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06FA" w14:textId="7FBA2FF3" w:rsidR="00524E1E" w:rsidRPr="00EF2F18" w:rsidRDefault="00524E1E" w:rsidP="001F4FCB">
      <w:pPr>
        <w:pStyle w:val="basic-paragraph"/>
        <w:shd w:val="clear" w:color="auto" w:fill="FFFFFF"/>
        <w:spacing w:before="0" w:beforeAutospacing="0" w:after="0" w:afterAutospacing="0"/>
        <w:ind w:firstLine="720"/>
        <w:jc w:val="both"/>
        <w:rPr>
          <w:sz w:val="22"/>
          <w:szCs w:val="22"/>
          <w:lang w:val="sr-Cyrl-RS"/>
        </w:rPr>
      </w:pPr>
      <w:r w:rsidRPr="00EF2F18">
        <w:rPr>
          <w:sz w:val="22"/>
          <w:szCs w:val="22"/>
          <w:lang w:val="sr-Cyrl-RS"/>
        </w:rPr>
        <w:t>На основу члана 38. став 1. Закона о планском систему Републике Србије („Службени гласник РС”, број 30/18),</w:t>
      </w:r>
    </w:p>
    <w:p w14:paraId="24CE77C9" w14:textId="77777777" w:rsidR="001F4FCB" w:rsidRPr="00EF2F18" w:rsidRDefault="001F4FCB" w:rsidP="001F4FCB">
      <w:pPr>
        <w:pStyle w:val="basic-paragraph"/>
        <w:shd w:val="clear" w:color="auto" w:fill="FFFFFF"/>
        <w:spacing w:before="0" w:beforeAutospacing="0" w:after="0" w:afterAutospacing="0"/>
        <w:ind w:firstLine="720"/>
        <w:jc w:val="both"/>
        <w:rPr>
          <w:sz w:val="22"/>
          <w:szCs w:val="22"/>
          <w:lang w:val="sr-Cyrl-RS"/>
        </w:rPr>
      </w:pPr>
    </w:p>
    <w:p w14:paraId="196457D9" w14:textId="77777777" w:rsidR="00524E1E" w:rsidRPr="00EF2F18" w:rsidRDefault="00524E1E" w:rsidP="00ED31D8">
      <w:pPr>
        <w:pStyle w:val="basic-paragraph"/>
        <w:spacing w:before="0" w:beforeAutospacing="0" w:after="0" w:afterAutospacing="0"/>
        <w:ind w:firstLine="720"/>
        <w:rPr>
          <w:sz w:val="22"/>
          <w:szCs w:val="22"/>
          <w:lang w:val="sr-Cyrl-RS"/>
        </w:rPr>
      </w:pPr>
      <w:r w:rsidRPr="00EF2F18">
        <w:rPr>
          <w:sz w:val="22"/>
          <w:szCs w:val="22"/>
          <w:lang w:val="sr-Cyrl-RS"/>
        </w:rPr>
        <w:t>Влада усваја</w:t>
      </w:r>
    </w:p>
    <w:p w14:paraId="3B2698E7" w14:textId="202E440F" w:rsidR="00524E1E" w:rsidRPr="00EF2F18" w:rsidRDefault="00524E1E" w:rsidP="00524E1E">
      <w:pPr>
        <w:rPr>
          <w:rFonts w:cs="Times New Roman"/>
          <w:sz w:val="22"/>
          <w:lang w:val="sr-Cyrl-RS"/>
        </w:rPr>
      </w:pPr>
    </w:p>
    <w:p w14:paraId="17CA93E2" w14:textId="7DA161F7" w:rsidR="001F4FCB" w:rsidRPr="00EF2F18" w:rsidRDefault="001F4FCB" w:rsidP="00524E1E">
      <w:pPr>
        <w:pStyle w:val="basic-paragraph"/>
        <w:shd w:val="clear" w:color="auto" w:fill="FFFFFF"/>
        <w:spacing w:before="0" w:beforeAutospacing="0" w:after="0" w:afterAutospacing="0"/>
        <w:jc w:val="center"/>
        <w:rPr>
          <w:b/>
          <w:bCs/>
          <w:color w:val="2E74B5" w:themeColor="accent1" w:themeShade="BF"/>
          <w:lang w:val="sr-Cyrl-RS"/>
        </w:rPr>
      </w:pPr>
      <w:r w:rsidRPr="00EF2F18">
        <w:rPr>
          <w:b/>
          <w:bCs/>
          <w:color w:val="2E74B5" w:themeColor="accent1" w:themeShade="BF"/>
          <w:lang w:val="sr-Cyrl-RS"/>
        </w:rPr>
        <w:t xml:space="preserve">СТРАТЕГИЈУ </w:t>
      </w:r>
    </w:p>
    <w:p w14:paraId="266E0CE2" w14:textId="77777777" w:rsidR="006157B8" w:rsidRPr="00EF2F18" w:rsidRDefault="006157B8" w:rsidP="00524E1E">
      <w:pPr>
        <w:pStyle w:val="basic-paragraph"/>
        <w:shd w:val="clear" w:color="auto" w:fill="FFFFFF"/>
        <w:spacing w:before="0" w:beforeAutospacing="0" w:after="0" w:afterAutospacing="0"/>
        <w:jc w:val="center"/>
        <w:rPr>
          <w:b/>
          <w:bCs/>
          <w:color w:val="2E74B5" w:themeColor="accent1" w:themeShade="BF"/>
          <w:sz w:val="18"/>
          <w:szCs w:val="18"/>
          <w:lang w:val="sr-Cyrl-RS"/>
        </w:rPr>
      </w:pPr>
    </w:p>
    <w:p w14:paraId="2A5E7BB1" w14:textId="0DB1485D" w:rsidR="00524E1E" w:rsidRPr="00EF2F18" w:rsidRDefault="001F4FCB" w:rsidP="001F4FCB">
      <w:pPr>
        <w:pStyle w:val="basic-paragraph"/>
        <w:shd w:val="clear" w:color="auto" w:fill="FFFFFF"/>
        <w:spacing w:before="0" w:beforeAutospacing="0" w:after="0" w:afterAutospacing="0"/>
        <w:jc w:val="center"/>
        <w:rPr>
          <w:b/>
          <w:bCs/>
          <w:color w:val="2E74B5" w:themeColor="accent1" w:themeShade="BF"/>
          <w:sz w:val="32"/>
          <w:szCs w:val="32"/>
          <w:lang w:val="sr-Cyrl-RS"/>
        </w:rPr>
      </w:pPr>
      <w:r w:rsidRPr="00EF2F18">
        <w:rPr>
          <w:b/>
          <w:bCs/>
          <w:color w:val="2E74B5" w:themeColor="accent1" w:themeShade="BF"/>
          <w:lang w:val="sr-Cyrl-RS"/>
        </w:rPr>
        <w:t xml:space="preserve">ЗАШТИТЕ ЖИВОТНЕ СРЕДИНЕ РЕПУБЛИКЕ СРБИЈЕ ДО 2033. ГОДИНЕ – ЗЕЛЕНА АГЕНДА ЗА СРБИЈУ </w:t>
      </w:r>
    </w:p>
    <w:p w14:paraId="23FE9DF5" w14:textId="01C638CF" w:rsidR="00524E1E" w:rsidRPr="00C64384" w:rsidRDefault="00524E1E" w:rsidP="00C64384">
      <w:pPr>
        <w:pStyle w:val="basic-paragraph"/>
        <w:shd w:val="clear" w:color="auto" w:fill="FFFFFF"/>
        <w:spacing w:before="0" w:beforeAutospacing="0" w:after="0" w:afterAutospacing="0"/>
        <w:rPr>
          <w:b/>
          <w:bCs/>
          <w:color w:val="2E74B5" w:themeColor="accent1" w:themeShade="BF"/>
          <w:sz w:val="32"/>
          <w:szCs w:val="32"/>
          <w:lang w:val="sr-Cyrl-RS"/>
        </w:rPr>
      </w:pPr>
    </w:p>
    <w:p w14:paraId="0D4A643B" w14:textId="710E1BCA" w:rsidR="00FB7412" w:rsidRPr="00EF2F18" w:rsidRDefault="00FB7412" w:rsidP="005F5388">
      <w:pPr>
        <w:pStyle w:val="Heading1"/>
        <w:numPr>
          <w:ilvl w:val="0"/>
          <w:numId w:val="2"/>
        </w:numPr>
        <w:tabs>
          <w:tab w:val="left" w:pos="720"/>
        </w:tabs>
        <w:ind w:firstLine="0"/>
        <w:jc w:val="center"/>
        <w:rPr>
          <w:rFonts w:cs="Times New Roman"/>
          <w:sz w:val="22"/>
          <w:szCs w:val="22"/>
          <w:lang w:val="sr-Cyrl-RS"/>
        </w:rPr>
      </w:pPr>
      <w:bookmarkStart w:id="0" w:name="_Toc158307683"/>
      <w:r w:rsidRPr="00EF2F18">
        <w:rPr>
          <w:rFonts w:cs="Times New Roman"/>
          <w:sz w:val="22"/>
          <w:szCs w:val="22"/>
          <w:lang w:val="sr-Cyrl-RS"/>
        </w:rPr>
        <w:t>УВОД</w:t>
      </w:r>
      <w:bookmarkEnd w:id="0"/>
    </w:p>
    <w:p w14:paraId="79F3D132" w14:textId="15470D49" w:rsidR="00FB7412" w:rsidRPr="00EF2F18" w:rsidRDefault="00FB7412" w:rsidP="00254EAA">
      <w:pPr>
        <w:pStyle w:val="Default"/>
        <w:tabs>
          <w:tab w:val="left" w:pos="720"/>
        </w:tabs>
        <w:spacing w:after="120"/>
        <w:rPr>
          <w:rFonts w:ascii="Times New Roman" w:hAnsi="Times New Roman" w:cs="Times New Roman"/>
          <w:b/>
          <w:bCs/>
          <w:sz w:val="22"/>
          <w:szCs w:val="22"/>
          <w:lang w:val="sr-Cyrl-RS"/>
        </w:rPr>
      </w:pPr>
    </w:p>
    <w:p w14:paraId="4DC8B8BB" w14:textId="56554425" w:rsidR="00BF12CF" w:rsidRPr="00EF2F18" w:rsidRDefault="00BF12CF" w:rsidP="009C2D85">
      <w:pPr>
        <w:spacing w:after="0"/>
        <w:ind w:firstLine="720"/>
        <w:jc w:val="both"/>
        <w:rPr>
          <w:rFonts w:cs="Times New Roman"/>
          <w:sz w:val="22"/>
          <w:lang w:val="sr-Cyrl-RS"/>
        </w:rPr>
      </w:pPr>
      <w:r w:rsidRPr="00EF2F18">
        <w:rPr>
          <w:rFonts w:cs="Times New Roman"/>
          <w:sz w:val="22"/>
          <w:lang w:val="sr-Cyrl-RS"/>
        </w:rPr>
        <w:t>Стратегија заштите животне средине</w:t>
      </w:r>
      <w:r w:rsidR="00573E16" w:rsidRPr="00EF2F18">
        <w:rPr>
          <w:rFonts w:cs="Times New Roman"/>
          <w:sz w:val="22"/>
          <w:lang w:val="sr-Cyrl-RS"/>
        </w:rPr>
        <w:t xml:space="preserve"> Републике Србије до 2033. године</w:t>
      </w:r>
      <w:r w:rsidRPr="00EF2F18">
        <w:rPr>
          <w:rFonts w:cs="Times New Roman"/>
          <w:sz w:val="22"/>
          <w:lang w:val="sr-Cyrl-RS"/>
        </w:rPr>
        <w:t xml:space="preserve"> </w:t>
      </w:r>
      <w:r w:rsidR="006157B8" w:rsidRPr="00EF2F18">
        <w:rPr>
          <w:rFonts w:cs="Times New Roman"/>
          <w:sz w:val="22"/>
          <w:lang w:val="sr-Cyrl-RS"/>
        </w:rPr>
        <w:t>–</w:t>
      </w:r>
      <w:r w:rsidRPr="00EF2F18">
        <w:rPr>
          <w:rFonts w:cs="Times New Roman"/>
          <w:sz w:val="22"/>
          <w:lang w:val="sr-Cyrl-RS"/>
        </w:rPr>
        <w:t xml:space="preserve"> Зелена агенда за Србију </w:t>
      </w:r>
      <w:r w:rsidR="00771429" w:rsidRPr="00EF2F18">
        <w:rPr>
          <w:rFonts w:cs="Times New Roman"/>
          <w:sz w:val="22"/>
          <w:lang w:val="sr-Cyrl-RS"/>
        </w:rPr>
        <w:t xml:space="preserve">(у даљем тексту: Стратегија) </w:t>
      </w:r>
      <w:bookmarkStart w:id="1" w:name="_Hlk179735946"/>
      <w:r w:rsidRPr="00EF2F18">
        <w:rPr>
          <w:rFonts w:cs="Times New Roman"/>
          <w:sz w:val="22"/>
          <w:lang w:val="sr-Cyrl-RS"/>
        </w:rPr>
        <w:t xml:space="preserve">представља </w:t>
      </w:r>
      <w:r w:rsidR="005300AD" w:rsidRPr="00EF2F18">
        <w:rPr>
          <w:rFonts w:cs="Times New Roman"/>
          <w:sz w:val="22"/>
          <w:lang w:val="sr-Cyrl-RS"/>
        </w:rPr>
        <w:t>кровни документ јавне политике</w:t>
      </w:r>
      <w:r w:rsidR="003506A8" w:rsidRPr="00EF2F18">
        <w:rPr>
          <w:rFonts w:cs="Times New Roman"/>
          <w:sz w:val="22"/>
          <w:lang w:val="sr-Cyrl-RS"/>
        </w:rPr>
        <w:t xml:space="preserve"> у области животне средине.</w:t>
      </w:r>
      <w:r w:rsidRPr="00EF2F18">
        <w:rPr>
          <w:rFonts w:cs="Times New Roman"/>
          <w:sz w:val="22"/>
          <w:lang w:val="sr-Cyrl-RS"/>
        </w:rPr>
        <w:t xml:space="preserve"> </w:t>
      </w:r>
      <w:r w:rsidR="004219A2" w:rsidRPr="00EF2F18">
        <w:rPr>
          <w:rFonts w:cs="Times New Roman"/>
          <w:sz w:val="22"/>
          <w:lang w:val="sr-Cyrl-RS"/>
        </w:rPr>
        <w:t>С</w:t>
      </w:r>
      <w:r w:rsidR="000E4862" w:rsidRPr="00EF2F18">
        <w:rPr>
          <w:rFonts w:cs="Times New Roman"/>
          <w:sz w:val="22"/>
          <w:lang w:val="sr-Cyrl-RS"/>
        </w:rPr>
        <w:t>врха Стратегије је да допринесе остваривањ</w:t>
      </w:r>
      <w:r w:rsidR="001552C9" w:rsidRPr="00EF2F18">
        <w:rPr>
          <w:rFonts w:cs="Times New Roman"/>
          <w:sz w:val="22"/>
          <w:lang w:val="sr-Cyrl-RS"/>
        </w:rPr>
        <w:t>у</w:t>
      </w:r>
      <w:r w:rsidR="000E4862" w:rsidRPr="00EF2F18">
        <w:rPr>
          <w:rFonts w:cs="Times New Roman"/>
          <w:sz w:val="22"/>
          <w:lang w:val="sr-Cyrl-RS"/>
        </w:rPr>
        <w:t xml:space="preserve"> циљева </w:t>
      </w:r>
      <w:r w:rsidR="008869E5" w:rsidRPr="00EF2F18">
        <w:rPr>
          <w:rFonts w:cs="Times New Roman"/>
          <w:sz w:val="22"/>
          <w:lang w:val="sr-Cyrl-RS"/>
        </w:rPr>
        <w:t xml:space="preserve">Зелене агенде, </w:t>
      </w:r>
      <w:r w:rsidR="004B1A38" w:rsidRPr="00EF2F18">
        <w:rPr>
          <w:rFonts w:cs="Times New Roman"/>
          <w:sz w:val="22"/>
          <w:lang w:val="sr-Cyrl-RS"/>
        </w:rPr>
        <w:t xml:space="preserve">угљеничне неутралности, </w:t>
      </w:r>
      <w:r w:rsidR="008869E5" w:rsidRPr="00EF2F18">
        <w:rPr>
          <w:rFonts w:cs="Times New Roman"/>
          <w:sz w:val="22"/>
          <w:lang w:val="sr-Cyrl-RS"/>
        </w:rPr>
        <w:t>одрживог развоја, заштите природних ресурса и смањења загађења</w:t>
      </w:r>
      <w:r w:rsidR="008869E5" w:rsidRPr="00EF2F18" w:rsidDel="004A4E67">
        <w:rPr>
          <w:rFonts w:cs="Times New Roman"/>
          <w:sz w:val="22"/>
          <w:lang w:val="sr-Cyrl-RS"/>
        </w:rPr>
        <w:t xml:space="preserve"> </w:t>
      </w:r>
      <w:r w:rsidR="008869E5" w:rsidRPr="00EF2F18">
        <w:rPr>
          <w:rFonts w:cs="Times New Roman"/>
          <w:sz w:val="22"/>
          <w:lang w:val="sr-Cyrl-RS"/>
        </w:rPr>
        <w:t>и унапређењ</w:t>
      </w:r>
      <w:r w:rsidR="006D4254" w:rsidRPr="00EF2F18">
        <w:rPr>
          <w:rFonts w:cs="Times New Roman"/>
          <w:sz w:val="22"/>
          <w:lang w:val="sr-Cyrl-RS"/>
        </w:rPr>
        <w:t>a</w:t>
      </w:r>
      <w:r w:rsidR="008869E5" w:rsidRPr="00EF2F18">
        <w:rPr>
          <w:rFonts w:cs="Times New Roman"/>
          <w:sz w:val="22"/>
          <w:lang w:val="sr-Cyrl-RS"/>
        </w:rPr>
        <w:t xml:space="preserve"> квалитета живота свих грађана</w:t>
      </w:r>
      <w:bookmarkEnd w:id="1"/>
      <w:r w:rsidRPr="00EF2F18">
        <w:rPr>
          <w:rFonts w:cs="Times New Roman"/>
          <w:sz w:val="22"/>
          <w:lang w:val="sr-Cyrl-RS"/>
        </w:rPr>
        <w:t>.</w:t>
      </w:r>
      <w:r w:rsidR="00B3562A" w:rsidRPr="00EF2F18">
        <w:rPr>
          <w:rFonts w:cs="Times New Roman"/>
          <w:sz w:val="22"/>
          <w:lang w:val="sr-Cyrl-RS"/>
        </w:rPr>
        <w:t xml:space="preserve"> </w:t>
      </w:r>
    </w:p>
    <w:p w14:paraId="1B9C4B61" w14:textId="518E0358" w:rsidR="00CF1521" w:rsidRPr="00EF2F18" w:rsidRDefault="00CF1521" w:rsidP="00CF1521">
      <w:pPr>
        <w:spacing w:after="0"/>
        <w:ind w:firstLine="720"/>
        <w:jc w:val="both"/>
        <w:rPr>
          <w:rFonts w:cs="Times New Roman"/>
          <w:sz w:val="22"/>
          <w:lang w:val="sr-Cyrl-RS"/>
        </w:rPr>
      </w:pPr>
      <w:r w:rsidRPr="00EF2F18">
        <w:rPr>
          <w:rFonts w:cs="Times New Roman"/>
          <w:sz w:val="22"/>
          <w:lang w:val="sr-Cyrl-RS"/>
        </w:rPr>
        <w:t xml:space="preserve">Стратегији </w:t>
      </w:r>
      <w:r w:rsidR="00C64F4E" w:rsidRPr="00EF2F18">
        <w:rPr>
          <w:rFonts w:cs="Times New Roman"/>
          <w:sz w:val="22"/>
          <w:lang w:val="sr-Cyrl-RS"/>
        </w:rPr>
        <w:t xml:space="preserve">je </w:t>
      </w:r>
      <w:r w:rsidRPr="00EF2F18">
        <w:rPr>
          <w:rFonts w:cs="Times New Roman"/>
          <w:sz w:val="22"/>
          <w:lang w:val="sr-Cyrl-RS"/>
        </w:rPr>
        <w:t>претходио Национални програм заштите животне средине за период 2010</w:t>
      </w:r>
      <w:r w:rsidR="000167AD" w:rsidRPr="00EF2F18">
        <w:rPr>
          <w:rFonts w:cs="Times New Roman"/>
          <w:sz w:val="22"/>
          <w:lang w:val="sr-Cyrl-RS"/>
        </w:rPr>
        <w:t xml:space="preserve"> </w:t>
      </w:r>
      <w:r w:rsidRPr="00EF2F18">
        <w:rPr>
          <w:rFonts w:cs="Times New Roman"/>
          <w:sz w:val="22"/>
          <w:lang w:val="sr-Cyrl-RS"/>
        </w:rPr>
        <w:t>–</w:t>
      </w:r>
      <w:r w:rsidR="000167AD" w:rsidRPr="00EF2F18">
        <w:rPr>
          <w:rFonts w:cs="Times New Roman"/>
          <w:sz w:val="22"/>
          <w:lang w:val="sr-Cyrl-RS"/>
        </w:rPr>
        <w:t xml:space="preserve"> </w:t>
      </w:r>
      <w:r w:rsidRPr="00EF2F18">
        <w:rPr>
          <w:rFonts w:cs="Times New Roman"/>
          <w:sz w:val="22"/>
          <w:lang w:val="sr-Cyrl-RS"/>
        </w:rPr>
        <w:t xml:space="preserve">2019. </w:t>
      </w:r>
      <w:r w:rsidR="009C3A55" w:rsidRPr="00EF2F18">
        <w:rPr>
          <w:rFonts w:cs="Times New Roman"/>
          <w:sz w:val="22"/>
          <w:lang w:val="sr-Cyrl-RS"/>
        </w:rPr>
        <w:t>г</w:t>
      </w:r>
      <w:r w:rsidRPr="00EF2F18">
        <w:rPr>
          <w:rFonts w:cs="Times New Roman"/>
          <w:sz w:val="22"/>
          <w:lang w:val="sr-Cyrl-RS"/>
        </w:rPr>
        <w:t>одине</w:t>
      </w:r>
      <w:r w:rsidR="009C3A55" w:rsidRPr="00EF2F18">
        <w:rPr>
          <w:rFonts w:cs="Times New Roman"/>
          <w:sz w:val="22"/>
          <w:lang w:val="sr-Cyrl-RS"/>
        </w:rPr>
        <w:t xml:space="preserve"> (Одлука о утврђивању Националног програма заштите животне средине</w:t>
      </w:r>
      <w:r w:rsidRPr="00EF2F18">
        <w:rPr>
          <w:rFonts w:cs="Times New Roman"/>
          <w:sz w:val="22"/>
          <w:lang w:val="sr-Cyrl-RS"/>
        </w:rPr>
        <w:t xml:space="preserve"> („Службени гласник РС”, број 12/10)</w:t>
      </w:r>
      <w:r w:rsidR="009C3A55" w:rsidRPr="00EF2F18">
        <w:rPr>
          <w:rFonts w:cs="Times New Roman"/>
          <w:sz w:val="22"/>
          <w:lang w:val="sr-Cyrl-RS"/>
        </w:rPr>
        <w:t>)</w:t>
      </w:r>
      <w:r w:rsidRPr="00EF2F18">
        <w:rPr>
          <w:rFonts w:cs="Times New Roman"/>
          <w:sz w:val="22"/>
          <w:lang w:val="sr-Cyrl-RS"/>
        </w:rPr>
        <w:t>, који је поставио одређене циљеве и пружио основу за напредак у заштити животне средине у претходној деценији. Израда Стратегије представља следећи корак у дугорочном планирању и унапређењу заштите животне средине.</w:t>
      </w:r>
    </w:p>
    <w:p w14:paraId="41B3FC01" w14:textId="4462EE5D" w:rsidR="00CF1521" w:rsidRPr="00EF2F18" w:rsidRDefault="00CF1521" w:rsidP="00CF1521">
      <w:pPr>
        <w:spacing w:after="0"/>
        <w:ind w:firstLine="720"/>
        <w:jc w:val="both"/>
        <w:rPr>
          <w:rFonts w:cs="Times New Roman"/>
          <w:sz w:val="22"/>
          <w:highlight w:val="yellow"/>
          <w:lang w:val="sr-Cyrl-RS"/>
        </w:rPr>
      </w:pPr>
      <w:bookmarkStart w:id="2" w:name="_Hlk179736016"/>
      <w:r w:rsidRPr="00EF2F18">
        <w:rPr>
          <w:rFonts w:cs="Times New Roman"/>
          <w:sz w:val="22"/>
          <w:lang w:val="sr-Cyrl-RS"/>
        </w:rPr>
        <w:t xml:space="preserve">У процесу израде Стратегије </w:t>
      </w:r>
      <w:r w:rsidR="008869E5" w:rsidRPr="00EF2F18">
        <w:rPr>
          <w:rFonts w:cs="Times New Roman"/>
          <w:sz w:val="22"/>
          <w:lang w:val="sr-Cyrl-RS"/>
        </w:rPr>
        <w:t>интегриса</w:t>
      </w:r>
      <w:r w:rsidR="00573E16" w:rsidRPr="00EF2F18">
        <w:rPr>
          <w:rFonts w:cs="Times New Roman"/>
          <w:sz w:val="22"/>
          <w:lang w:val="sr-Cyrl-RS"/>
        </w:rPr>
        <w:t>ни су</w:t>
      </w:r>
      <w:r w:rsidR="00C05646" w:rsidRPr="00EF2F18">
        <w:rPr>
          <w:rFonts w:cs="Times New Roman"/>
          <w:sz w:val="22"/>
          <w:lang w:val="sr-Cyrl-RS"/>
        </w:rPr>
        <w:t xml:space="preserve"> циљев</w:t>
      </w:r>
      <w:r w:rsidR="00573E16" w:rsidRPr="00EF2F18">
        <w:rPr>
          <w:rFonts w:cs="Times New Roman"/>
          <w:sz w:val="22"/>
          <w:lang w:val="sr-Cyrl-RS"/>
        </w:rPr>
        <w:t>и</w:t>
      </w:r>
      <w:r w:rsidR="00C05646" w:rsidRPr="00EF2F18">
        <w:rPr>
          <w:rFonts w:cs="Times New Roman"/>
          <w:sz w:val="22"/>
          <w:lang w:val="sr-Cyrl-RS"/>
        </w:rPr>
        <w:t xml:space="preserve"> Зелене агенде</w:t>
      </w:r>
      <w:r w:rsidR="009265DA" w:rsidRPr="00EF2F18">
        <w:rPr>
          <w:rFonts w:cs="Times New Roman"/>
          <w:sz w:val="22"/>
          <w:lang w:val="sr-Cyrl-RS"/>
        </w:rPr>
        <w:t>, у складу са Софијском декларацијом коју је Република Србија потписала новембра 2020. године,</w:t>
      </w:r>
      <w:r w:rsidR="00C05646" w:rsidRPr="00EF2F18">
        <w:rPr>
          <w:rFonts w:cs="Times New Roman"/>
          <w:sz w:val="22"/>
          <w:lang w:val="sr-Cyrl-RS"/>
        </w:rPr>
        <w:t xml:space="preserve"> </w:t>
      </w:r>
      <w:r w:rsidR="009265DA" w:rsidRPr="00EF2F18">
        <w:rPr>
          <w:rFonts w:cs="Times New Roman"/>
          <w:sz w:val="22"/>
          <w:lang w:val="sr-Cyrl-RS"/>
        </w:rPr>
        <w:t xml:space="preserve">као </w:t>
      </w:r>
      <w:r w:rsidR="00C05646" w:rsidRPr="00EF2F18">
        <w:rPr>
          <w:rFonts w:cs="Times New Roman"/>
          <w:sz w:val="22"/>
          <w:lang w:val="sr-Cyrl-RS"/>
        </w:rPr>
        <w:t>и мере за</w:t>
      </w:r>
      <w:r w:rsidRPr="00EF2F18">
        <w:rPr>
          <w:rFonts w:cs="Times New Roman"/>
          <w:sz w:val="22"/>
          <w:lang w:val="sr-Cyrl-RS"/>
        </w:rPr>
        <w:t xml:space="preserve"> </w:t>
      </w:r>
      <w:r w:rsidR="00C05646" w:rsidRPr="00EF2F18">
        <w:rPr>
          <w:rFonts w:cs="Times New Roman"/>
          <w:sz w:val="22"/>
          <w:lang w:val="sr-Cyrl-RS"/>
        </w:rPr>
        <w:t xml:space="preserve">даље </w:t>
      </w:r>
      <w:r w:rsidRPr="00EF2F18">
        <w:rPr>
          <w:rFonts w:cs="Times New Roman"/>
          <w:sz w:val="22"/>
          <w:lang w:val="sr-Cyrl-RS"/>
        </w:rPr>
        <w:t>усклађивањ</w:t>
      </w:r>
      <w:r w:rsidR="00C05646" w:rsidRPr="00EF2F18">
        <w:rPr>
          <w:rFonts w:cs="Times New Roman"/>
          <w:sz w:val="22"/>
          <w:lang w:val="sr-Cyrl-RS"/>
        </w:rPr>
        <w:t>е</w:t>
      </w:r>
      <w:r w:rsidRPr="00EF2F18">
        <w:rPr>
          <w:rFonts w:cs="Times New Roman"/>
          <w:sz w:val="22"/>
          <w:lang w:val="sr-Cyrl-RS"/>
        </w:rPr>
        <w:t xml:space="preserve"> са прописима и стандардима Европске уније, као и израд</w:t>
      </w:r>
      <w:r w:rsidR="00C05646" w:rsidRPr="00EF2F18">
        <w:rPr>
          <w:rFonts w:cs="Times New Roman"/>
          <w:sz w:val="22"/>
          <w:lang w:val="sr-Cyrl-RS"/>
        </w:rPr>
        <w:t>у</w:t>
      </w:r>
      <w:r w:rsidRPr="00EF2F18">
        <w:rPr>
          <w:rFonts w:cs="Times New Roman"/>
          <w:sz w:val="22"/>
          <w:lang w:val="sr-Cyrl-RS"/>
        </w:rPr>
        <w:t xml:space="preserve"> механизама за </w:t>
      </w:r>
      <w:r w:rsidR="004A4E67" w:rsidRPr="00EF2F18">
        <w:rPr>
          <w:rFonts w:cs="Times New Roman"/>
          <w:sz w:val="22"/>
          <w:lang w:val="sr-Cyrl-RS"/>
        </w:rPr>
        <w:t xml:space="preserve">праћење спровођења </w:t>
      </w:r>
      <w:r w:rsidR="00C05646" w:rsidRPr="00EF2F18">
        <w:rPr>
          <w:rFonts w:cs="Times New Roman"/>
          <w:sz w:val="22"/>
          <w:lang w:val="sr-Cyrl-RS"/>
        </w:rPr>
        <w:t>С</w:t>
      </w:r>
      <w:r w:rsidRPr="00EF2F18">
        <w:rPr>
          <w:rFonts w:cs="Times New Roman"/>
          <w:sz w:val="22"/>
          <w:lang w:val="sr-Cyrl-RS"/>
        </w:rPr>
        <w:t>тратегије</w:t>
      </w:r>
      <w:bookmarkEnd w:id="2"/>
      <w:r w:rsidRPr="00EF2F18">
        <w:rPr>
          <w:rFonts w:cs="Times New Roman"/>
          <w:sz w:val="22"/>
          <w:lang w:val="sr-Cyrl-RS"/>
        </w:rPr>
        <w:t xml:space="preserve">. То укључује и </w:t>
      </w:r>
      <w:r w:rsidR="000E4862" w:rsidRPr="00EF2F18">
        <w:rPr>
          <w:rFonts w:cs="Times New Roman"/>
          <w:sz w:val="22"/>
          <w:lang w:val="sr-Cyrl-RS"/>
        </w:rPr>
        <w:t xml:space="preserve">повећање буџетских издвајања за заштиту животне средине као и </w:t>
      </w:r>
      <w:r w:rsidRPr="00EF2F18">
        <w:rPr>
          <w:rFonts w:cs="Times New Roman"/>
          <w:sz w:val="22"/>
          <w:lang w:val="sr-Cyrl-RS"/>
        </w:rPr>
        <w:t>привла</w:t>
      </w:r>
      <w:r w:rsidR="00C05646" w:rsidRPr="00EF2F18">
        <w:rPr>
          <w:rFonts w:cs="Times New Roman"/>
          <w:sz w:val="22"/>
          <w:lang w:val="sr-Cyrl-RS"/>
        </w:rPr>
        <w:t>ч</w:t>
      </w:r>
      <w:r w:rsidRPr="00EF2F18">
        <w:rPr>
          <w:rFonts w:cs="Times New Roman"/>
          <w:sz w:val="22"/>
          <w:lang w:val="sr-Cyrl-RS"/>
        </w:rPr>
        <w:t>ење финансијских средстава из фондова Европске уније и других међународних извора, како би се о</w:t>
      </w:r>
      <w:r w:rsidR="004A4E67" w:rsidRPr="00EF2F18">
        <w:rPr>
          <w:rFonts w:cs="Times New Roman"/>
          <w:sz w:val="22"/>
          <w:lang w:val="sr-Cyrl-RS"/>
        </w:rPr>
        <w:t>безбедила</w:t>
      </w:r>
      <w:r w:rsidRPr="00EF2F18">
        <w:rPr>
          <w:rFonts w:cs="Times New Roman"/>
          <w:sz w:val="22"/>
          <w:lang w:val="sr-Cyrl-RS"/>
        </w:rPr>
        <w:t xml:space="preserve"> потребна инфраструктура и ресурси за спровођење мера заштите животне средине.</w:t>
      </w:r>
    </w:p>
    <w:p w14:paraId="3199C19F" w14:textId="47A40F65" w:rsidR="00BF12CF" w:rsidRPr="00EF2F18" w:rsidRDefault="00B3562A" w:rsidP="009C2D85">
      <w:pPr>
        <w:spacing w:after="0"/>
        <w:ind w:firstLine="720"/>
        <w:jc w:val="both"/>
        <w:rPr>
          <w:rFonts w:cs="Times New Roman"/>
          <w:sz w:val="22"/>
          <w:lang w:val="sr-Cyrl-RS"/>
        </w:rPr>
      </w:pPr>
      <w:r w:rsidRPr="00EF2F18">
        <w:rPr>
          <w:rFonts w:cs="Times New Roman"/>
          <w:sz w:val="22"/>
          <w:lang w:val="sr-Cyrl-RS"/>
        </w:rPr>
        <w:t>У складу са принципима</w:t>
      </w:r>
      <w:r w:rsidR="005B2A26" w:rsidRPr="00EF2F18">
        <w:rPr>
          <w:rFonts w:cs="Times New Roman"/>
          <w:sz w:val="22"/>
          <w:lang w:val="sr-Cyrl-RS"/>
        </w:rPr>
        <w:t xml:space="preserve"> и стубовима</w:t>
      </w:r>
      <w:r w:rsidRPr="00EF2F18">
        <w:rPr>
          <w:rFonts w:cs="Times New Roman"/>
          <w:sz w:val="22"/>
          <w:lang w:val="sr-Cyrl-RS"/>
        </w:rPr>
        <w:t xml:space="preserve"> Зелене агенде, Републик</w:t>
      </w:r>
      <w:r w:rsidR="00C05646" w:rsidRPr="00EF2F18">
        <w:rPr>
          <w:rFonts w:cs="Times New Roman"/>
          <w:sz w:val="22"/>
          <w:lang w:val="sr-Cyrl-RS"/>
        </w:rPr>
        <w:t>а</w:t>
      </w:r>
      <w:r w:rsidRPr="00EF2F18">
        <w:rPr>
          <w:rFonts w:cs="Times New Roman"/>
          <w:sz w:val="22"/>
          <w:lang w:val="sr-Cyrl-RS"/>
        </w:rPr>
        <w:t xml:space="preserve"> Србија ће се, у</w:t>
      </w:r>
      <w:r w:rsidR="00BF12CF" w:rsidRPr="00EF2F18">
        <w:rPr>
          <w:rFonts w:cs="Times New Roman"/>
          <w:sz w:val="22"/>
          <w:lang w:val="sr-Cyrl-RS"/>
        </w:rPr>
        <w:t xml:space="preserve"> периоду до 2033. године, фокусирати на неколико кључних области:</w:t>
      </w:r>
    </w:p>
    <w:p w14:paraId="4D36B781" w14:textId="19494F44" w:rsidR="00DD231E" w:rsidRPr="00EF2F18" w:rsidRDefault="00016FB0" w:rsidP="00313E8E">
      <w:pPr>
        <w:pStyle w:val="ListParagraph"/>
        <w:numPr>
          <w:ilvl w:val="0"/>
          <w:numId w:val="14"/>
        </w:numPr>
        <w:spacing w:after="0"/>
        <w:jc w:val="both"/>
        <w:rPr>
          <w:rFonts w:cs="Times New Roman"/>
          <w:sz w:val="22"/>
          <w:lang w:val="sr-Cyrl-RS"/>
        </w:rPr>
      </w:pPr>
      <w:r w:rsidRPr="00EF2F18">
        <w:rPr>
          <w:rFonts w:cs="Times New Roman"/>
          <w:sz w:val="22"/>
          <w:lang w:val="sr-Cyrl-RS"/>
        </w:rPr>
        <w:t xml:space="preserve">Климатске промене и </w:t>
      </w:r>
      <w:r w:rsidR="00DD231E" w:rsidRPr="00EF2F18">
        <w:rPr>
          <w:rFonts w:cs="Times New Roman"/>
          <w:sz w:val="22"/>
          <w:lang w:val="sr-Cyrl-RS"/>
        </w:rPr>
        <w:t>декарбонизација</w:t>
      </w:r>
      <w:r w:rsidRPr="00EF2F18">
        <w:rPr>
          <w:rFonts w:cs="Times New Roman"/>
          <w:sz w:val="22"/>
          <w:lang w:val="sr-Cyrl-RS"/>
        </w:rPr>
        <w:t xml:space="preserve">: </w:t>
      </w:r>
      <w:r w:rsidR="0076657D" w:rsidRPr="00EF2F18">
        <w:rPr>
          <w:rFonts w:cs="Times New Roman"/>
          <w:sz w:val="22"/>
          <w:lang w:val="sr-Cyrl-RS"/>
        </w:rPr>
        <w:t>са фокусом</w:t>
      </w:r>
      <w:r w:rsidRPr="00EF2F18">
        <w:rPr>
          <w:rFonts w:cs="Times New Roman"/>
          <w:sz w:val="22"/>
          <w:lang w:val="sr-Cyrl-RS"/>
        </w:rPr>
        <w:t xml:space="preserve"> на смањење емисија </w:t>
      </w:r>
      <w:r w:rsidR="006D517C" w:rsidRPr="00EF2F18">
        <w:rPr>
          <w:rFonts w:cs="Times New Roman"/>
          <w:sz w:val="22"/>
          <w:lang w:val="sr-Cyrl-RS"/>
        </w:rPr>
        <w:t>гасова са ефектом стаклене баште (</w:t>
      </w:r>
      <w:r w:rsidRPr="00EF2F18">
        <w:rPr>
          <w:rFonts w:cs="Times New Roman"/>
          <w:i/>
          <w:iCs/>
          <w:sz w:val="22"/>
          <w:lang w:val="sr-Cyrl-RS"/>
        </w:rPr>
        <w:t>GHG</w:t>
      </w:r>
      <w:r w:rsidR="006D517C" w:rsidRPr="00EF2F18">
        <w:rPr>
          <w:rFonts w:cs="Times New Roman"/>
          <w:i/>
          <w:iCs/>
          <w:sz w:val="22"/>
          <w:lang w:val="sr-Cyrl-RS"/>
        </w:rPr>
        <w:t>)</w:t>
      </w:r>
      <w:r w:rsidRPr="00EF2F18">
        <w:rPr>
          <w:rFonts w:cs="Times New Roman"/>
          <w:sz w:val="22"/>
          <w:lang w:val="sr-Cyrl-RS"/>
        </w:rPr>
        <w:t xml:space="preserve"> и прилагођавање на измењене климатске услове</w:t>
      </w:r>
      <w:r w:rsidR="00DD231E" w:rsidRPr="00EF2F18">
        <w:rPr>
          <w:rFonts w:cs="Times New Roman"/>
          <w:sz w:val="22"/>
          <w:lang w:val="sr-Cyrl-RS"/>
        </w:rPr>
        <w:t>, уз ефикасније коришћење енергије, као и прелазак на чист</w:t>
      </w:r>
      <w:r w:rsidR="006157B8" w:rsidRPr="00EF2F18">
        <w:rPr>
          <w:rFonts w:cs="Times New Roman"/>
          <w:sz w:val="22"/>
          <w:lang w:val="sr-Cyrl-RS"/>
        </w:rPr>
        <w:t>ије и обновљиве изворе енергије;</w:t>
      </w:r>
    </w:p>
    <w:p w14:paraId="4831F146" w14:textId="45F44E0B" w:rsidR="00C05646" w:rsidRPr="00EF2F18" w:rsidRDefault="00C05646" w:rsidP="00313E8E">
      <w:pPr>
        <w:numPr>
          <w:ilvl w:val="0"/>
          <w:numId w:val="14"/>
        </w:numPr>
        <w:spacing w:after="0"/>
        <w:jc w:val="both"/>
        <w:rPr>
          <w:rFonts w:cs="Times New Roman"/>
          <w:sz w:val="22"/>
          <w:lang w:val="sr-Cyrl-RS"/>
        </w:rPr>
      </w:pPr>
      <w:r w:rsidRPr="00EF2F18">
        <w:rPr>
          <w:rFonts w:cs="Times New Roman"/>
          <w:sz w:val="22"/>
          <w:lang w:val="sr-Cyrl-RS"/>
        </w:rPr>
        <w:t>Циркуларна економија</w:t>
      </w:r>
      <w:r w:rsidR="0076657D" w:rsidRPr="00EF2F18">
        <w:rPr>
          <w:rFonts w:cs="Times New Roman"/>
          <w:sz w:val="22"/>
          <w:lang w:val="sr-Cyrl-RS"/>
        </w:rPr>
        <w:t>:</w:t>
      </w:r>
      <w:r w:rsidRPr="00EF2F18">
        <w:rPr>
          <w:rFonts w:cs="Times New Roman"/>
          <w:sz w:val="22"/>
          <w:lang w:val="sr-Cyrl-RS"/>
        </w:rPr>
        <w:t xml:space="preserve"> са фокусом на индустријску симбиозу, искоришћење отпада, одговорну рециклажу</w:t>
      </w:r>
      <w:r w:rsidR="0076657D" w:rsidRPr="00EF2F18">
        <w:rPr>
          <w:rFonts w:cs="Times New Roman"/>
          <w:sz w:val="22"/>
          <w:lang w:val="sr-Cyrl-RS"/>
        </w:rPr>
        <w:t>,</w:t>
      </w:r>
      <w:r w:rsidRPr="00EF2F18">
        <w:rPr>
          <w:rFonts w:cs="Times New Roman"/>
          <w:sz w:val="22"/>
          <w:lang w:val="sr-Cyrl-RS"/>
        </w:rPr>
        <w:t xml:space="preserve"> одрживу производњу, иновације, еко-дизајн, зелене јавне наба</w:t>
      </w:r>
      <w:r w:rsidR="006157B8" w:rsidRPr="00EF2F18">
        <w:rPr>
          <w:rFonts w:cs="Times New Roman"/>
          <w:sz w:val="22"/>
          <w:lang w:val="sr-Cyrl-RS"/>
        </w:rPr>
        <w:t>вке и ефикасну употребу ресурса;</w:t>
      </w:r>
    </w:p>
    <w:p w14:paraId="45DE6567" w14:textId="1F3AB76F" w:rsidR="00C05646" w:rsidRPr="00EF2F18" w:rsidRDefault="00C05646" w:rsidP="00313E8E">
      <w:pPr>
        <w:numPr>
          <w:ilvl w:val="0"/>
          <w:numId w:val="14"/>
        </w:numPr>
        <w:spacing w:after="0"/>
        <w:jc w:val="both"/>
        <w:rPr>
          <w:rFonts w:cs="Times New Roman"/>
          <w:sz w:val="22"/>
          <w:lang w:val="sr-Cyrl-RS"/>
        </w:rPr>
      </w:pPr>
      <w:r w:rsidRPr="00EF2F18">
        <w:rPr>
          <w:rFonts w:cs="Times New Roman"/>
          <w:sz w:val="22"/>
          <w:lang w:val="sr-Cyrl-RS"/>
        </w:rPr>
        <w:t>Смањење загађења животне средине</w:t>
      </w:r>
      <w:r w:rsidR="00016FB0" w:rsidRPr="00EF2F18">
        <w:rPr>
          <w:rFonts w:cs="Times New Roman"/>
          <w:sz w:val="22"/>
          <w:lang w:val="sr-Cyrl-RS"/>
        </w:rPr>
        <w:t xml:space="preserve">: </w:t>
      </w:r>
      <w:r w:rsidR="00FD7CB3" w:rsidRPr="00EF2F18">
        <w:rPr>
          <w:rFonts w:cs="Times New Roman"/>
          <w:sz w:val="22"/>
          <w:lang w:val="sr-Cyrl-RS"/>
        </w:rPr>
        <w:t>побољшање квалитета ваздуха, воде и земљишта, смањење индустријског загађења и управљање ризиком, управљање хемикалијама, смањење буке у животној средини, јо</w:t>
      </w:r>
      <w:r w:rsidR="006157B8" w:rsidRPr="00EF2F18">
        <w:rPr>
          <w:rFonts w:cs="Times New Roman"/>
          <w:sz w:val="22"/>
          <w:lang w:val="sr-Cyrl-RS"/>
        </w:rPr>
        <w:t>низујуће и нејонизујуће зрачење;</w:t>
      </w:r>
    </w:p>
    <w:p w14:paraId="593E6A63" w14:textId="37982518" w:rsidR="00712444" w:rsidRPr="00EF2F18" w:rsidRDefault="00712444" w:rsidP="00313E8E">
      <w:pPr>
        <w:numPr>
          <w:ilvl w:val="0"/>
          <w:numId w:val="14"/>
        </w:numPr>
        <w:spacing w:after="0"/>
        <w:jc w:val="both"/>
        <w:rPr>
          <w:rFonts w:cs="Times New Roman"/>
          <w:sz w:val="22"/>
          <w:lang w:val="sr-Cyrl-RS"/>
        </w:rPr>
      </w:pPr>
      <w:r w:rsidRPr="00EF2F18">
        <w:rPr>
          <w:rFonts w:cs="Times New Roman"/>
          <w:sz w:val="22"/>
          <w:lang w:val="sr-Cyrl-RS"/>
        </w:rPr>
        <w:t xml:space="preserve">Заштита биодиверзитета и екосистема: заштита и одрживо управљање природним ресурсима, укључујући одрживо управљање и заштиту шума, заштићених подручја и </w:t>
      </w:r>
      <w:r w:rsidR="00F26C75" w:rsidRPr="00EF2F18">
        <w:rPr>
          <w:rFonts w:cs="Times New Roman"/>
          <w:sz w:val="22"/>
          <w:lang w:val="sr-Cyrl-RS"/>
        </w:rPr>
        <w:t xml:space="preserve">дивљих </w:t>
      </w:r>
      <w:r w:rsidR="006157B8" w:rsidRPr="00EF2F18">
        <w:rPr>
          <w:rFonts w:cs="Times New Roman"/>
          <w:sz w:val="22"/>
          <w:lang w:val="sr-Cyrl-RS"/>
        </w:rPr>
        <w:t>врста;</w:t>
      </w:r>
    </w:p>
    <w:p w14:paraId="7FE5015F" w14:textId="73A07349" w:rsidR="00C05646" w:rsidRPr="00EF2F18" w:rsidRDefault="00C05646" w:rsidP="00313E8E">
      <w:pPr>
        <w:numPr>
          <w:ilvl w:val="0"/>
          <w:numId w:val="14"/>
        </w:numPr>
        <w:spacing w:after="0"/>
        <w:jc w:val="both"/>
        <w:rPr>
          <w:rFonts w:cs="Times New Roman"/>
          <w:sz w:val="22"/>
          <w:lang w:val="sr-Cyrl-RS"/>
        </w:rPr>
      </w:pPr>
      <w:r w:rsidRPr="00EF2F18">
        <w:rPr>
          <w:rFonts w:cs="Times New Roman"/>
          <w:sz w:val="22"/>
          <w:lang w:val="sr-Cyrl-RS"/>
        </w:rPr>
        <w:t>Одрживи прехрамбени системи и рурални развој</w:t>
      </w:r>
      <w:r w:rsidR="00016FB0" w:rsidRPr="00EF2F18">
        <w:rPr>
          <w:rFonts w:cs="Times New Roman"/>
          <w:sz w:val="22"/>
          <w:lang w:val="sr-Cyrl-RS"/>
        </w:rPr>
        <w:t xml:space="preserve">: </w:t>
      </w:r>
      <w:r w:rsidRPr="00EF2F18">
        <w:rPr>
          <w:rFonts w:cs="Times New Roman"/>
          <w:sz w:val="22"/>
          <w:lang w:val="sr-Cyrl-RS"/>
        </w:rPr>
        <w:t>утицај пољопривреде на животну средину, безбедност хране, одржива производња хране, органска храна, употреба специфичних хемикалија (</w:t>
      </w:r>
      <w:r w:rsidR="005F1DF0" w:rsidRPr="00EF2F18">
        <w:rPr>
          <w:rFonts w:cs="Times New Roman"/>
          <w:sz w:val="22"/>
          <w:lang w:val="sr-Cyrl-RS"/>
        </w:rPr>
        <w:t>средства за заштиту биља и средства за исхрану биља</w:t>
      </w:r>
      <w:r w:rsidRPr="00EF2F18">
        <w:rPr>
          <w:rFonts w:cs="Times New Roman"/>
          <w:sz w:val="22"/>
          <w:lang w:val="sr-Cyrl-RS"/>
        </w:rPr>
        <w:t>).</w:t>
      </w:r>
    </w:p>
    <w:p w14:paraId="675CC33F" w14:textId="328303FE" w:rsidR="00BF12CF" w:rsidRPr="00EF2F18" w:rsidRDefault="00BF12CF" w:rsidP="009C2D85">
      <w:pPr>
        <w:spacing w:after="0"/>
        <w:ind w:firstLine="720"/>
        <w:jc w:val="both"/>
        <w:rPr>
          <w:rFonts w:cs="Times New Roman"/>
          <w:sz w:val="22"/>
          <w:lang w:val="sr-Cyrl-RS"/>
        </w:rPr>
      </w:pPr>
      <w:r w:rsidRPr="00EF2F18">
        <w:rPr>
          <w:rFonts w:cs="Times New Roman"/>
          <w:sz w:val="22"/>
          <w:lang w:val="sr-Cyrl-RS"/>
        </w:rPr>
        <w:t xml:space="preserve">Кључни аспекти </w:t>
      </w:r>
      <w:r w:rsidR="00B3562A" w:rsidRPr="00EF2F18">
        <w:rPr>
          <w:rFonts w:cs="Times New Roman"/>
          <w:sz w:val="22"/>
          <w:lang w:val="sr-Cyrl-RS"/>
        </w:rPr>
        <w:t>С</w:t>
      </w:r>
      <w:r w:rsidRPr="00EF2F18">
        <w:rPr>
          <w:rFonts w:cs="Times New Roman"/>
          <w:sz w:val="22"/>
          <w:lang w:val="sr-Cyrl-RS"/>
        </w:rPr>
        <w:t xml:space="preserve">тратегије укључују </w:t>
      </w:r>
      <w:r w:rsidR="00B3562A" w:rsidRPr="00EF2F18">
        <w:rPr>
          <w:rFonts w:cs="Times New Roman"/>
          <w:sz w:val="22"/>
          <w:lang w:val="sr-Cyrl-RS"/>
        </w:rPr>
        <w:t>унапређење</w:t>
      </w:r>
      <w:r w:rsidRPr="00EF2F18">
        <w:rPr>
          <w:rFonts w:cs="Times New Roman"/>
          <w:sz w:val="22"/>
          <w:lang w:val="sr-Cyrl-RS"/>
        </w:rPr>
        <w:t xml:space="preserve"> правног и институционалног оквира за заштиту животне средине, </w:t>
      </w:r>
      <w:r w:rsidR="00FD7CB3" w:rsidRPr="00EF2F18">
        <w:rPr>
          <w:rFonts w:cs="Times New Roman"/>
          <w:sz w:val="22"/>
          <w:lang w:val="sr-Cyrl-RS"/>
        </w:rPr>
        <w:t xml:space="preserve">јачање привреде засноване на нискоугљеничном развоју, </w:t>
      </w:r>
      <w:r w:rsidR="00DD231E" w:rsidRPr="00EF2F18">
        <w:rPr>
          <w:rFonts w:cs="Times New Roman"/>
          <w:sz w:val="22"/>
          <w:lang w:val="sr-Cyrl-RS"/>
        </w:rPr>
        <w:t xml:space="preserve">подстицање </w:t>
      </w:r>
      <w:r w:rsidR="00FD7CB3" w:rsidRPr="00EF2F18">
        <w:rPr>
          <w:rFonts w:cs="Times New Roman"/>
          <w:sz w:val="22"/>
          <w:lang w:val="sr-Cyrl-RS"/>
        </w:rPr>
        <w:t xml:space="preserve">иновација и развој „зелених” технологија, како би се стимулисао зелени привредни раст и креирали нови зелени послови. Република Србија постаје активни учесник у борби против климатских промена. Инвестиције у обновљиве изворе енергије, енергетску ефикасност, заштиту животне средине и </w:t>
      </w:r>
      <w:r w:rsidR="00DD231E" w:rsidRPr="00EF2F18">
        <w:rPr>
          <w:rFonts w:cs="Times New Roman"/>
          <w:sz w:val="22"/>
          <w:lang w:val="sr-Cyrl-RS"/>
        </w:rPr>
        <w:t xml:space="preserve">поновно искоришћење отпада </w:t>
      </w:r>
      <w:r w:rsidR="00FD7CB3" w:rsidRPr="00EF2F18">
        <w:rPr>
          <w:rFonts w:cs="Times New Roman"/>
          <w:sz w:val="22"/>
          <w:lang w:val="sr-Cyrl-RS"/>
        </w:rPr>
        <w:t xml:space="preserve">стварају нове индустрије и радна </w:t>
      </w:r>
      <w:r w:rsidR="00FD7CB3" w:rsidRPr="00EF2F18">
        <w:rPr>
          <w:rFonts w:cs="Times New Roman"/>
          <w:sz w:val="22"/>
          <w:lang w:val="sr-Cyrl-RS"/>
        </w:rPr>
        <w:lastRenderedPageBreak/>
        <w:t>места, доприносећи економском расту и развоју. Дигитализација</w:t>
      </w:r>
      <w:r w:rsidR="00D45C04" w:rsidRPr="00EF2F18">
        <w:rPr>
          <w:rFonts w:cs="Times New Roman"/>
          <w:sz w:val="22"/>
          <w:lang w:val="sr-Cyrl-RS"/>
        </w:rPr>
        <w:t>,</w:t>
      </w:r>
      <w:r w:rsidR="00FD7CB3" w:rsidRPr="00EF2F18">
        <w:rPr>
          <w:rFonts w:cs="Times New Roman"/>
          <w:sz w:val="22"/>
          <w:lang w:val="sr-Cyrl-RS"/>
        </w:rPr>
        <w:t xml:space="preserve"> такође</w:t>
      </w:r>
      <w:r w:rsidR="00D45C04" w:rsidRPr="00EF2F18">
        <w:rPr>
          <w:rFonts w:cs="Times New Roman"/>
          <w:sz w:val="22"/>
          <w:lang w:val="sr-Cyrl-RS"/>
        </w:rPr>
        <w:t>,</w:t>
      </w:r>
      <w:r w:rsidR="00FD7CB3" w:rsidRPr="00EF2F18">
        <w:rPr>
          <w:rFonts w:cs="Times New Roman"/>
          <w:sz w:val="22"/>
          <w:lang w:val="sr-Cyrl-RS"/>
        </w:rPr>
        <w:t xml:space="preserve"> има веома важну улогу</w:t>
      </w:r>
      <w:r w:rsidR="00771429" w:rsidRPr="00EF2F18">
        <w:rPr>
          <w:rFonts w:cs="Times New Roman"/>
          <w:sz w:val="22"/>
          <w:lang w:val="sr-Cyrl-RS"/>
        </w:rPr>
        <w:t>.</w:t>
      </w:r>
      <w:r w:rsidR="000A36CB" w:rsidRPr="00EF2F18">
        <w:rPr>
          <w:rFonts w:cs="Times New Roman"/>
          <w:sz w:val="22"/>
          <w:lang w:val="sr-Cyrl-RS"/>
        </w:rPr>
        <w:t xml:space="preserve"> Потребно је обезбедити још ефикасније механизме информисања, едукације и учешћа грађана у процесима одлучивања</w:t>
      </w:r>
      <w:r w:rsidR="005300AD" w:rsidRPr="00EF2F18">
        <w:rPr>
          <w:rFonts w:cs="Times New Roman"/>
          <w:sz w:val="22"/>
          <w:lang w:val="sr-Cyrl-RS"/>
        </w:rPr>
        <w:t>, као и остваривања права на правну заштиту у питањима заштите животне средине</w:t>
      </w:r>
      <w:r w:rsidR="000A36CB" w:rsidRPr="00EF2F18">
        <w:rPr>
          <w:rFonts w:cs="Times New Roman"/>
          <w:sz w:val="22"/>
          <w:lang w:val="sr-Cyrl-RS"/>
        </w:rPr>
        <w:t>.</w:t>
      </w:r>
      <w:r w:rsidR="009265DA" w:rsidRPr="00EF2F18">
        <w:rPr>
          <w:rFonts w:cs="Times New Roman"/>
          <w:sz w:val="22"/>
          <w:lang w:val="sr-Cyrl-RS"/>
        </w:rPr>
        <w:t xml:space="preserve"> Изазов представља и унапређење система финансирања заштите животне средине. </w:t>
      </w:r>
    </w:p>
    <w:p w14:paraId="13486A5D" w14:textId="62DBA1AB" w:rsidR="00573E16" w:rsidRPr="00EF2F18" w:rsidRDefault="00573E16" w:rsidP="00573E16">
      <w:pPr>
        <w:spacing w:after="0"/>
        <w:ind w:firstLine="720"/>
        <w:jc w:val="both"/>
        <w:rPr>
          <w:rFonts w:cs="Times New Roman"/>
          <w:sz w:val="22"/>
          <w:lang w:val="sr-Cyrl-RS"/>
        </w:rPr>
      </w:pPr>
      <w:r w:rsidRPr="00EF2F18">
        <w:rPr>
          <w:rFonts w:cs="Times New Roman"/>
          <w:sz w:val="22"/>
          <w:lang w:val="sr-Cyrl-RS"/>
        </w:rPr>
        <w:t xml:space="preserve">С тим у вези, структура Стратегије одговара структури Зелене агенде и обухвата све области у оквиру пет стубова Зелене агенде (декарбонизација, </w:t>
      </w:r>
      <w:r w:rsidR="00D45C04" w:rsidRPr="00EF2F18">
        <w:rPr>
          <w:rFonts w:cs="Times New Roman"/>
          <w:sz w:val="22"/>
          <w:lang w:val="sr-Cyrl-RS"/>
        </w:rPr>
        <w:t>ц</w:t>
      </w:r>
      <w:r w:rsidRPr="00EF2F18">
        <w:rPr>
          <w:rFonts w:cs="Times New Roman"/>
          <w:sz w:val="22"/>
          <w:lang w:val="sr-Cyrl-RS"/>
        </w:rPr>
        <w:t>иркуларна економија, смањење загађења животне средине, заштита биодиверзитета и екосистема и одржива пољопривреда и рурални раз</w:t>
      </w:r>
      <w:r w:rsidR="004779EC" w:rsidRPr="00EF2F18">
        <w:rPr>
          <w:rFonts w:cs="Times New Roman"/>
          <w:sz w:val="22"/>
          <w:lang w:val="sr-Cyrl-RS"/>
        </w:rPr>
        <w:t>в</w:t>
      </w:r>
      <w:r w:rsidRPr="00EF2F18">
        <w:rPr>
          <w:rFonts w:cs="Times New Roman"/>
          <w:sz w:val="22"/>
          <w:lang w:val="sr-Cyrl-RS"/>
        </w:rPr>
        <w:t>ој).</w:t>
      </w:r>
      <w:r w:rsidR="000E4862" w:rsidRPr="00EF2F18">
        <w:rPr>
          <w:rFonts w:cs="Times New Roman"/>
          <w:sz w:val="22"/>
          <w:lang w:val="sr-Cyrl-RS"/>
        </w:rPr>
        <w:t xml:space="preserve"> Поред ових пет стубова Зелене агенде, структуру Стратегије чини и шести стуб који се односи на хоризонтална питања.</w:t>
      </w:r>
      <w:r w:rsidR="00FA7222" w:rsidRPr="00EF2F18">
        <w:rPr>
          <w:rFonts w:cs="Times New Roman"/>
          <w:sz w:val="22"/>
          <w:lang w:val="sr-Cyrl-RS"/>
        </w:rPr>
        <w:t xml:space="preserve"> </w:t>
      </w:r>
    </w:p>
    <w:p w14:paraId="3C075A51" w14:textId="7A26E515" w:rsidR="008B32BA" w:rsidRPr="00EF2F18" w:rsidRDefault="00320473" w:rsidP="00573E16">
      <w:pPr>
        <w:spacing w:after="0"/>
        <w:ind w:firstLine="720"/>
        <w:jc w:val="both"/>
        <w:rPr>
          <w:rFonts w:cs="Times New Roman"/>
          <w:sz w:val="22"/>
          <w:lang w:val="sr-Cyrl-RS"/>
        </w:rPr>
      </w:pPr>
      <w:r w:rsidRPr="00EF2F18">
        <w:rPr>
          <w:rFonts w:cs="Times New Roman"/>
          <w:sz w:val="22"/>
          <w:lang w:val="sr-Cyrl-RS"/>
        </w:rPr>
        <w:t xml:space="preserve">Стратегија је израђена </w:t>
      </w:r>
      <w:r w:rsidR="00573E16" w:rsidRPr="00EF2F18">
        <w:rPr>
          <w:rFonts w:cs="Times New Roman"/>
          <w:sz w:val="22"/>
          <w:lang w:val="sr-Cyrl-RS"/>
        </w:rPr>
        <w:t xml:space="preserve">на предлог Министарства заштите животне средине, </w:t>
      </w:r>
      <w:r w:rsidRPr="00EF2F18">
        <w:rPr>
          <w:rFonts w:cs="Times New Roman"/>
          <w:sz w:val="22"/>
          <w:lang w:val="sr-Cyrl-RS"/>
        </w:rPr>
        <w:t xml:space="preserve">у складу са Законом о планском систему Републике Србије (,,Службени гласник РС”, број 30/18), Законом о заштити животне средине </w:t>
      </w:r>
      <w:r w:rsidR="00BA2956" w:rsidRPr="00EF2F18">
        <w:rPr>
          <w:rFonts w:eastAsia="Calibri" w:cs="Times New Roman"/>
          <w:sz w:val="22"/>
          <w:lang w:val="sr-Cyrl-RS"/>
        </w:rPr>
        <w:t>(,,Службени гласник РС”, бр. 135/04, 36/09, 36/09 – др. закон, 72/09 – др. закон, 43/11 – УС, 14/16, 76/18, 95/18 – др. закон, 95/18 – др. закон и 94/24 – др. закон)</w:t>
      </w:r>
      <w:r w:rsidRPr="00EF2F18">
        <w:rPr>
          <w:rFonts w:cs="Times New Roman"/>
          <w:sz w:val="22"/>
          <w:lang w:val="sr-Cyrl-RS"/>
        </w:rPr>
        <w:t xml:space="preserve"> и другим релевантним секторским законима. Им</w:t>
      </w:r>
      <w:r w:rsidR="00BA2956" w:rsidRPr="00EF2F18">
        <w:rPr>
          <w:rFonts w:cs="Times New Roman"/>
          <w:sz w:val="22"/>
          <w:lang w:val="sr-Cyrl-RS"/>
        </w:rPr>
        <w:t>ајући у виду да, у складу са чланом</w:t>
      </w:r>
      <w:r w:rsidRPr="00EF2F18">
        <w:rPr>
          <w:rFonts w:cs="Times New Roman"/>
          <w:sz w:val="22"/>
          <w:lang w:val="sr-Cyrl-RS"/>
        </w:rPr>
        <w:t xml:space="preserve"> 10. Закона о планском систему </w:t>
      </w:r>
      <w:r w:rsidR="00BA2956" w:rsidRPr="00EF2F18">
        <w:rPr>
          <w:rFonts w:cs="Times New Roman"/>
          <w:bCs/>
          <w:sz w:val="22"/>
          <w:lang w:val="sr-Cyrl-RS"/>
        </w:rPr>
        <w:t>Републике Србије</w:t>
      </w:r>
      <w:r w:rsidR="00BA2956" w:rsidRPr="00EF2F18">
        <w:rPr>
          <w:rFonts w:cs="Times New Roman"/>
          <w:sz w:val="22"/>
          <w:lang w:val="sr-Cyrl-RS"/>
        </w:rPr>
        <w:t xml:space="preserve"> </w:t>
      </w:r>
      <w:r w:rsidRPr="00EF2F18">
        <w:rPr>
          <w:rFonts w:cs="Times New Roman"/>
          <w:sz w:val="22"/>
          <w:lang w:val="sr-Cyrl-RS"/>
        </w:rPr>
        <w:t xml:space="preserve">и </w:t>
      </w:r>
      <w:r w:rsidR="00BA2956" w:rsidRPr="00EF2F18">
        <w:rPr>
          <w:rFonts w:cs="Times New Roman"/>
          <w:bCs/>
          <w:color w:val="000000"/>
          <w:sz w:val="22"/>
          <w:lang w:val="sr-Cyrl-RS"/>
        </w:rPr>
        <w:t>Уредбом о методологији израде докумената јавних политика („Службени гласник РС”, бр. 20/25, 27/26 и 30/26)</w:t>
      </w:r>
      <w:r w:rsidR="00573E16" w:rsidRPr="00EF2F18">
        <w:rPr>
          <w:rFonts w:cs="Times New Roman"/>
          <w:sz w:val="22"/>
          <w:lang w:val="sr-Cyrl-RS"/>
        </w:rPr>
        <w:t xml:space="preserve">, </w:t>
      </w:r>
      <w:r w:rsidRPr="00EF2F18">
        <w:rPr>
          <w:rFonts w:cs="Times New Roman"/>
          <w:sz w:val="22"/>
          <w:lang w:val="sr-Cyrl-RS"/>
        </w:rPr>
        <w:t xml:space="preserve">ова </w:t>
      </w:r>
      <w:r w:rsidR="000167AD" w:rsidRPr="00EF2F18">
        <w:rPr>
          <w:rFonts w:cs="Times New Roman"/>
          <w:sz w:val="22"/>
          <w:lang w:val="sr-Cyrl-RS"/>
        </w:rPr>
        <w:t xml:space="preserve">стратегија </w:t>
      </w:r>
      <w:r w:rsidRPr="00EF2F18">
        <w:rPr>
          <w:rFonts w:cs="Times New Roman"/>
          <w:sz w:val="22"/>
          <w:lang w:val="sr-Cyrl-RS"/>
        </w:rPr>
        <w:t>обухвата област планирања и спровођења јавних политика заштит</w:t>
      </w:r>
      <w:r w:rsidR="00C64F4E" w:rsidRPr="00EF2F18">
        <w:rPr>
          <w:rFonts w:cs="Times New Roman"/>
          <w:sz w:val="22"/>
          <w:lang w:val="sr-Cyrl-RS"/>
        </w:rPr>
        <w:t>e</w:t>
      </w:r>
      <w:r w:rsidRPr="00EF2F18">
        <w:rPr>
          <w:rFonts w:cs="Times New Roman"/>
          <w:sz w:val="22"/>
          <w:lang w:val="sr-Cyrl-RS"/>
        </w:rPr>
        <w:t xml:space="preserve"> животне средине, као и да у вези са том области постоје важећи програми, међусекторске и секторске стра</w:t>
      </w:r>
      <w:r w:rsidR="004779EC" w:rsidRPr="00EF2F18">
        <w:rPr>
          <w:rFonts w:cs="Times New Roman"/>
          <w:sz w:val="22"/>
          <w:lang w:val="sr-Cyrl-RS"/>
        </w:rPr>
        <w:t>т</w:t>
      </w:r>
      <w:r w:rsidRPr="00EF2F18">
        <w:rPr>
          <w:rFonts w:cs="Times New Roman"/>
          <w:sz w:val="22"/>
          <w:lang w:val="sr-Cyrl-RS"/>
        </w:rPr>
        <w:t xml:space="preserve">егије, </w:t>
      </w:r>
      <w:r w:rsidR="00573E16" w:rsidRPr="00EF2F18">
        <w:rPr>
          <w:rFonts w:cs="Times New Roman"/>
          <w:sz w:val="22"/>
          <w:lang w:val="sr-Cyrl-RS"/>
        </w:rPr>
        <w:t>приликом израде Стратегије су сва важећа докумeнта узета у обзир према правилима која су</w:t>
      </w:r>
      <w:r w:rsidR="00FC75B4" w:rsidRPr="00EF2F18">
        <w:rPr>
          <w:rFonts w:cs="Times New Roman"/>
          <w:sz w:val="22"/>
          <w:lang w:val="sr-Cyrl-RS"/>
        </w:rPr>
        <w:t xml:space="preserve"> </w:t>
      </w:r>
      <w:r w:rsidR="00573E16" w:rsidRPr="00EF2F18">
        <w:rPr>
          <w:rFonts w:cs="Times New Roman"/>
          <w:sz w:val="22"/>
          <w:lang w:val="sr-Cyrl-RS"/>
        </w:rPr>
        <w:t>утврђена Уредбом</w:t>
      </w:r>
      <w:r w:rsidR="000167AD" w:rsidRPr="00EF2F18">
        <w:rPr>
          <w:rFonts w:cs="Times New Roman"/>
          <w:bCs/>
          <w:color w:val="000000"/>
          <w:sz w:val="22"/>
          <w:lang w:val="sr-Cyrl-RS"/>
        </w:rPr>
        <w:t xml:space="preserve"> </w:t>
      </w:r>
      <w:r w:rsidR="000167AD" w:rsidRPr="00EF2F18">
        <w:rPr>
          <w:rFonts w:cs="Times New Roman"/>
          <w:bCs/>
          <w:sz w:val="22"/>
          <w:lang w:val="sr-Cyrl-RS"/>
        </w:rPr>
        <w:t>о методологији израде докумената јавних политика</w:t>
      </w:r>
      <w:r w:rsidRPr="00EF2F18">
        <w:rPr>
          <w:rFonts w:cs="Times New Roman"/>
          <w:sz w:val="22"/>
          <w:lang w:val="sr-Cyrl-RS"/>
        </w:rPr>
        <w:t>.</w:t>
      </w:r>
      <w:r w:rsidR="00C05646" w:rsidRPr="00EF2F18">
        <w:rPr>
          <w:rFonts w:cs="Times New Roman"/>
          <w:sz w:val="22"/>
          <w:lang w:val="sr-Cyrl-RS"/>
        </w:rPr>
        <w:t xml:space="preserve"> </w:t>
      </w:r>
    </w:p>
    <w:p w14:paraId="50B9AFA7" w14:textId="6953267C" w:rsidR="00C05646" w:rsidRPr="00EF2F18" w:rsidRDefault="00573E16" w:rsidP="009C2D85">
      <w:pPr>
        <w:spacing w:after="0"/>
        <w:ind w:firstLine="720"/>
        <w:jc w:val="both"/>
        <w:rPr>
          <w:rFonts w:cs="Times New Roman"/>
          <w:sz w:val="22"/>
          <w:lang w:val="sr-Cyrl-RS"/>
        </w:rPr>
      </w:pPr>
      <w:r w:rsidRPr="00EF2F18">
        <w:rPr>
          <w:rFonts w:cs="Times New Roman"/>
          <w:sz w:val="22"/>
          <w:lang w:val="sr-Cyrl-RS"/>
        </w:rPr>
        <w:t>С тим у вези,</w:t>
      </w:r>
      <w:r w:rsidR="00C05646" w:rsidRPr="00EF2F18">
        <w:rPr>
          <w:rFonts w:cs="Times New Roman"/>
          <w:sz w:val="22"/>
          <w:lang w:val="sr-Cyrl-RS"/>
        </w:rPr>
        <w:t xml:space="preserve"> </w:t>
      </w:r>
      <w:r w:rsidR="007033DA" w:rsidRPr="00EF2F18">
        <w:rPr>
          <w:rFonts w:cs="Times New Roman"/>
          <w:sz w:val="22"/>
          <w:lang w:val="sr-Cyrl-RS"/>
        </w:rPr>
        <w:t xml:space="preserve">за постизање посебних циљева Стратегије </w:t>
      </w:r>
      <w:r w:rsidR="00C05646" w:rsidRPr="00EF2F18">
        <w:rPr>
          <w:rFonts w:cs="Times New Roman"/>
          <w:sz w:val="22"/>
          <w:lang w:val="sr-Cyrl-RS"/>
        </w:rPr>
        <w:t xml:space="preserve">кључне мере </w:t>
      </w:r>
      <w:r w:rsidR="00013835" w:rsidRPr="00EF2F18">
        <w:rPr>
          <w:rFonts w:cs="Times New Roman"/>
          <w:sz w:val="22"/>
          <w:lang w:val="sr-Cyrl-RS"/>
        </w:rPr>
        <w:t>преузете</w:t>
      </w:r>
      <w:r w:rsidR="00C64F4E" w:rsidRPr="00EF2F18">
        <w:rPr>
          <w:rFonts w:cs="Times New Roman"/>
          <w:sz w:val="22"/>
          <w:lang w:val="sr-Cyrl-RS"/>
        </w:rPr>
        <w:t xml:space="preserve"> су</w:t>
      </w:r>
      <w:r w:rsidR="00013835" w:rsidRPr="00EF2F18">
        <w:rPr>
          <w:rFonts w:cs="Times New Roman"/>
          <w:sz w:val="22"/>
          <w:lang w:val="sr-Cyrl-RS"/>
        </w:rPr>
        <w:t xml:space="preserve"> </w:t>
      </w:r>
      <w:r w:rsidR="00C05646" w:rsidRPr="00EF2F18">
        <w:rPr>
          <w:rFonts w:cs="Times New Roman"/>
          <w:sz w:val="22"/>
          <w:lang w:val="sr-Cyrl-RS"/>
        </w:rPr>
        <w:t xml:space="preserve">из </w:t>
      </w:r>
      <w:r w:rsidR="00455CEC" w:rsidRPr="00EF2F18">
        <w:rPr>
          <w:rFonts w:cs="Times New Roman"/>
          <w:sz w:val="22"/>
          <w:lang w:val="sr-Cyrl-RS"/>
        </w:rPr>
        <w:t>следећих</w:t>
      </w:r>
      <w:r w:rsidR="00C05646" w:rsidRPr="00EF2F18">
        <w:rPr>
          <w:rFonts w:cs="Times New Roman"/>
          <w:sz w:val="22"/>
          <w:lang w:val="sr-Cyrl-RS"/>
        </w:rPr>
        <w:t xml:space="preserve"> програма и стратегија</w:t>
      </w:r>
      <w:r w:rsidR="00013835" w:rsidRPr="00EF2F18">
        <w:rPr>
          <w:rFonts w:cs="Times New Roman"/>
          <w:sz w:val="22"/>
          <w:lang w:val="sr-Cyrl-RS"/>
        </w:rPr>
        <w:t>:</w:t>
      </w:r>
    </w:p>
    <w:p w14:paraId="59A213FB" w14:textId="19E3FF13"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w:t>
      </w:r>
      <w:r w:rsidR="009265DA" w:rsidRPr="00EF2F18">
        <w:rPr>
          <w:rFonts w:cs="Times New Roman"/>
          <w:sz w:val="22"/>
          <w:lang w:val="sr-Cyrl-RS"/>
        </w:rPr>
        <w:t>а</w:t>
      </w:r>
      <w:r w:rsidRPr="00EF2F18">
        <w:rPr>
          <w:rFonts w:cs="Times New Roman"/>
          <w:sz w:val="22"/>
          <w:lang w:val="sr-Cyrl-RS"/>
        </w:rPr>
        <w:t xml:space="preserve"> нискоугљеничног развоја</w:t>
      </w:r>
      <w:r w:rsidR="009265DA" w:rsidRPr="00EF2F18">
        <w:rPr>
          <w:rFonts w:cs="Times New Roman"/>
          <w:sz w:val="22"/>
          <w:lang w:val="sr-Cyrl-RS"/>
        </w:rPr>
        <w:t xml:space="preserve"> Р</w:t>
      </w:r>
      <w:r w:rsidR="009265DA" w:rsidRPr="00EF2F18">
        <w:rPr>
          <w:rFonts w:cs="Times New Roman"/>
          <w:sz w:val="22"/>
          <w:shd w:val="clear" w:color="auto" w:fill="FFFFFF"/>
          <w:lang w:val="sr-Cyrl-RS"/>
        </w:rPr>
        <w:t>епублике Србије за период од 2023. до 2030. године са пројекцијама до 2050. године</w:t>
      </w:r>
      <w:r w:rsidR="00D346C3" w:rsidRPr="00EF2F18">
        <w:rPr>
          <w:rFonts w:cs="Times New Roman"/>
          <w:sz w:val="22"/>
          <w:shd w:val="clear" w:color="auto" w:fill="FFFFFF"/>
          <w:lang w:val="sr-Cyrl-RS"/>
        </w:rPr>
        <w:t>;</w:t>
      </w:r>
    </w:p>
    <w:p w14:paraId="1A62EAED" w14:textId="5ABD43FB" w:rsidR="009E57E9" w:rsidRPr="00EF2F18" w:rsidRDefault="00201D7A" w:rsidP="00C64384">
      <w:pPr>
        <w:pStyle w:val="ListParagraph"/>
        <w:numPr>
          <w:ilvl w:val="0"/>
          <w:numId w:val="15"/>
        </w:numPr>
        <w:spacing w:after="0"/>
        <w:jc w:val="both"/>
        <w:rPr>
          <w:rFonts w:cs="Times New Roman"/>
          <w:sz w:val="22"/>
          <w:lang w:val="sr-Cyrl-RS"/>
        </w:rPr>
      </w:pPr>
      <w:r w:rsidRPr="00EF2F18">
        <w:rPr>
          <w:rFonts w:cs="Times New Roman"/>
          <w:sz w:val="22"/>
          <w:lang w:val="sr-Cyrl-RS"/>
        </w:rPr>
        <w:t>Програм прилагођавања на измењене климатске услове</w:t>
      </w:r>
      <w:r w:rsidR="009E57E9" w:rsidRPr="00EF2F18">
        <w:rPr>
          <w:rFonts w:cs="Times New Roman"/>
          <w:sz w:val="22"/>
          <w:lang w:val="sr-Cyrl-RS"/>
        </w:rPr>
        <w:t xml:space="preserve"> за период од 2023. до 2030. године</w:t>
      </w:r>
      <w:r w:rsidR="00D346C3" w:rsidRPr="00EF2F18">
        <w:rPr>
          <w:rFonts w:cs="Times New Roman"/>
          <w:sz w:val="22"/>
          <w:lang w:val="sr-Cyrl-RS"/>
        </w:rPr>
        <w:t>;</w:t>
      </w:r>
    </w:p>
    <w:p w14:paraId="0B9667D5" w14:textId="37CA849E"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 xml:space="preserve">Програм управљања отпадом </w:t>
      </w:r>
      <w:r w:rsidR="007033DA" w:rsidRPr="00EF2F18">
        <w:rPr>
          <w:rFonts w:cs="Times New Roman"/>
          <w:sz w:val="22"/>
          <w:lang w:val="sr-Cyrl-RS"/>
        </w:rPr>
        <w:t xml:space="preserve">у Републици Србији </w:t>
      </w:r>
      <w:r w:rsidRPr="00EF2F18">
        <w:rPr>
          <w:rFonts w:cs="Times New Roman"/>
          <w:sz w:val="22"/>
          <w:lang w:val="sr-Cyrl-RS"/>
        </w:rPr>
        <w:t>2022</w:t>
      </w:r>
      <w:r w:rsidR="006157B8" w:rsidRPr="00EF2F18">
        <w:rPr>
          <w:rFonts w:cs="Times New Roman"/>
          <w:sz w:val="22"/>
          <w:lang w:val="sr-Cyrl-RS"/>
        </w:rPr>
        <w:t xml:space="preserve"> – </w:t>
      </w:r>
      <w:r w:rsidRPr="00EF2F18">
        <w:rPr>
          <w:rFonts w:cs="Times New Roman"/>
          <w:sz w:val="22"/>
          <w:lang w:val="sr-Cyrl-RS"/>
        </w:rPr>
        <w:t>203</w:t>
      </w:r>
      <w:r w:rsidR="00D346C3" w:rsidRPr="00EF2F18">
        <w:rPr>
          <w:rFonts w:cs="Times New Roman"/>
          <w:sz w:val="22"/>
          <w:lang w:val="sr-Cyrl-RS"/>
        </w:rPr>
        <w:t>1. године;</w:t>
      </w:r>
    </w:p>
    <w:p w14:paraId="37CEF6EF" w14:textId="2F299BD4" w:rsidR="00D346C3" w:rsidRPr="00EF2F18" w:rsidRDefault="00BE2E11" w:rsidP="00C64384">
      <w:pPr>
        <w:pStyle w:val="ListParagraph"/>
        <w:numPr>
          <w:ilvl w:val="0"/>
          <w:numId w:val="15"/>
        </w:numPr>
        <w:spacing w:after="0"/>
        <w:jc w:val="both"/>
        <w:rPr>
          <w:rFonts w:cs="Times New Roman"/>
          <w:sz w:val="22"/>
          <w:lang w:val="sr-Cyrl-RS"/>
        </w:rPr>
      </w:pPr>
      <w:r w:rsidRPr="00EF2F18">
        <w:rPr>
          <w:rFonts w:cs="Times New Roman"/>
          <w:sz w:val="22"/>
          <w:lang w:val="sr-Cyrl-RS"/>
        </w:rPr>
        <w:t>Програм развоја циркуларне економије у Републици Србији за период 2026</w:t>
      </w:r>
      <w:r w:rsidR="00C43ADC">
        <w:rPr>
          <w:rFonts w:cs="Times New Roman"/>
          <w:sz w:val="22"/>
          <w:lang w:val="sr-Cyrl-RS"/>
        </w:rPr>
        <w:t xml:space="preserve"> – </w:t>
      </w:r>
      <w:r w:rsidRPr="00EF2F18">
        <w:rPr>
          <w:rFonts w:cs="Times New Roman"/>
          <w:sz w:val="22"/>
          <w:lang w:val="sr-Cyrl-RS"/>
        </w:rPr>
        <w:t>2030. године са Акционим планом за период 2026</w:t>
      </w:r>
      <w:r w:rsidR="006157B8" w:rsidRPr="00EF2F18">
        <w:rPr>
          <w:rFonts w:cs="Times New Roman"/>
          <w:sz w:val="22"/>
          <w:lang w:val="sr-Cyrl-RS"/>
        </w:rPr>
        <w:t xml:space="preserve"> – </w:t>
      </w:r>
      <w:r w:rsidRPr="00EF2F18">
        <w:rPr>
          <w:rFonts w:cs="Times New Roman"/>
          <w:sz w:val="22"/>
          <w:lang w:val="sr-Cyrl-RS"/>
        </w:rPr>
        <w:t>2027. године</w:t>
      </w:r>
      <w:r w:rsidR="00D346C3" w:rsidRPr="00EF2F18">
        <w:rPr>
          <w:rFonts w:cs="Times New Roman"/>
          <w:sz w:val="22"/>
          <w:lang w:val="sr-Cyrl-RS"/>
        </w:rPr>
        <w:t>;</w:t>
      </w:r>
    </w:p>
    <w:p w14:paraId="3BC21468" w14:textId="6FD22FD0" w:rsidR="008B32BA" w:rsidRPr="00EF2F18" w:rsidRDefault="00BE2E11" w:rsidP="00C64384">
      <w:pPr>
        <w:pStyle w:val="ListParagraph"/>
        <w:numPr>
          <w:ilvl w:val="0"/>
          <w:numId w:val="15"/>
        </w:numPr>
        <w:spacing w:after="0"/>
        <w:jc w:val="both"/>
        <w:rPr>
          <w:rFonts w:cs="Times New Roman"/>
          <w:sz w:val="22"/>
          <w:lang w:val="sr-Cyrl-RS"/>
        </w:rPr>
      </w:pPr>
      <w:r w:rsidRPr="00EF2F18">
        <w:rPr>
          <w:rFonts w:cs="Times New Roman"/>
          <w:sz w:val="22"/>
          <w:lang w:val="sr-Cyrl-RS"/>
        </w:rPr>
        <w:t xml:space="preserve"> </w:t>
      </w:r>
      <w:r w:rsidR="008B32BA" w:rsidRPr="00EF2F18">
        <w:rPr>
          <w:rFonts w:cs="Times New Roman"/>
          <w:sz w:val="22"/>
          <w:lang w:val="sr-Cyrl-RS"/>
        </w:rPr>
        <w:t>Програм управљања муљем</w:t>
      </w:r>
      <w:r w:rsidR="007033DA" w:rsidRPr="00EF2F18">
        <w:rPr>
          <w:rFonts w:cs="Times New Roman"/>
          <w:sz w:val="22"/>
          <w:lang w:val="sr-Cyrl-RS"/>
        </w:rPr>
        <w:t xml:space="preserve"> у Републици Србији</w:t>
      </w:r>
      <w:r w:rsidR="008B32BA" w:rsidRPr="00EF2F18">
        <w:rPr>
          <w:rFonts w:cs="Times New Roman"/>
          <w:sz w:val="22"/>
          <w:lang w:val="sr-Cyrl-RS"/>
        </w:rPr>
        <w:t xml:space="preserve"> 2023</w:t>
      </w:r>
      <w:r w:rsidR="006157B8" w:rsidRPr="00EF2F18">
        <w:rPr>
          <w:rFonts w:cs="Times New Roman"/>
          <w:sz w:val="22"/>
          <w:lang w:val="sr-Cyrl-RS"/>
        </w:rPr>
        <w:t xml:space="preserve"> – </w:t>
      </w:r>
      <w:r w:rsidR="008B32BA" w:rsidRPr="00EF2F18">
        <w:rPr>
          <w:rFonts w:cs="Times New Roman"/>
          <w:sz w:val="22"/>
          <w:lang w:val="sr-Cyrl-RS"/>
        </w:rPr>
        <w:t>2032.</w:t>
      </w:r>
      <w:r w:rsidR="00D346C3" w:rsidRPr="00EF2F18">
        <w:rPr>
          <w:rFonts w:cs="Times New Roman"/>
          <w:sz w:val="22"/>
          <w:lang w:val="sr-Cyrl-RS"/>
        </w:rPr>
        <w:t xml:space="preserve"> године;</w:t>
      </w:r>
    </w:p>
    <w:p w14:paraId="31ACC076" w14:textId="502FCDE4"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 xml:space="preserve">Програм заштите ваздуха </w:t>
      </w:r>
      <w:r w:rsidR="007033DA" w:rsidRPr="00EF2F18">
        <w:rPr>
          <w:rFonts w:cs="Times New Roman"/>
          <w:sz w:val="22"/>
          <w:lang w:val="sr-Cyrl-RS"/>
        </w:rPr>
        <w:t xml:space="preserve">у Републици Србији </w:t>
      </w:r>
      <w:r w:rsidRPr="00EF2F18">
        <w:rPr>
          <w:rFonts w:cs="Times New Roman"/>
          <w:sz w:val="22"/>
          <w:lang w:val="sr-Cyrl-RS"/>
        </w:rPr>
        <w:t>2022</w:t>
      </w:r>
      <w:r w:rsidR="006157B8" w:rsidRPr="00EF2F18">
        <w:rPr>
          <w:rFonts w:cs="Times New Roman"/>
          <w:sz w:val="22"/>
          <w:lang w:val="sr-Cyrl-RS"/>
        </w:rPr>
        <w:t xml:space="preserve"> – </w:t>
      </w:r>
      <w:r w:rsidRPr="00EF2F18">
        <w:rPr>
          <w:rFonts w:cs="Times New Roman"/>
          <w:sz w:val="22"/>
          <w:lang w:val="sr-Cyrl-RS"/>
        </w:rPr>
        <w:t>2030.</w:t>
      </w:r>
      <w:r w:rsidR="00D346C3" w:rsidRPr="00EF2F18">
        <w:rPr>
          <w:rFonts w:cs="Times New Roman"/>
          <w:sz w:val="22"/>
          <w:lang w:val="sr-Cyrl-RS"/>
        </w:rPr>
        <w:t xml:space="preserve"> године;</w:t>
      </w:r>
    </w:p>
    <w:p w14:paraId="55631759" w14:textId="0CBC730A"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 xml:space="preserve">Стратегија управљања водама </w:t>
      </w:r>
      <w:r w:rsidR="007033DA" w:rsidRPr="00EF2F18">
        <w:rPr>
          <w:rFonts w:cs="Times New Roman"/>
          <w:sz w:val="22"/>
          <w:lang w:val="sr-Cyrl-RS"/>
        </w:rPr>
        <w:t xml:space="preserve">на територији Републике Србије </w:t>
      </w:r>
      <w:r w:rsidRPr="00EF2F18">
        <w:rPr>
          <w:rFonts w:cs="Times New Roman"/>
          <w:sz w:val="22"/>
          <w:lang w:val="sr-Cyrl-RS"/>
        </w:rPr>
        <w:t>до 2034.</w:t>
      </w:r>
      <w:r w:rsidR="00D346C3" w:rsidRPr="00EF2F18">
        <w:rPr>
          <w:rFonts w:cs="Times New Roman"/>
          <w:sz w:val="22"/>
          <w:lang w:val="sr-Cyrl-RS"/>
        </w:rPr>
        <w:t xml:space="preserve"> године;</w:t>
      </w:r>
    </w:p>
    <w:p w14:paraId="55839A75" w14:textId="4795C705"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План управљања водама</w:t>
      </w:r>
      <w:r w:rsidR="007033DA" w:rsidRPr="00EF2F18">
        <w:rPr>
          <w:rFonts w:cs="Times New Roman"/>
          <w:sz w:val="22"/>
          <w:lang w:val="sr-Cyrl-RS"/>
        </w:rPr>
        <w:t xml:space="preserve"> на територији Републике Србије до </w:t>
      </w:r>
      <w:r w:rsidRPr="00EF2F18">
        <w:rPr>
          <w:rFonts w:cs="Times New Roman"/>
          <w:sz w:val="22"/>
          <w:lang w:val="sr-Cyrl-RS"/>
        </w:rPr>
        <w:t>2027.</w:t>
      </w:r>
      <w:r w:rsidR="001F4FCB" w:rsidRPr="00EF2F18">
        <w:rPr>
          <w:rFonts w:cs="Times New Roman"/>
          <w:sz w:val="22"/>
          <w:lang w:val="sr-Cyrl-RS"/>
        </w:rPr>
        <w:t xml:space="preserve"> </w:t>
      </w:r>
      <w:r w:rsidR="00D346C3" w:rsidRPr="00EF2F18">
        <w:rPr>
          <w:rFonts w:cs="Times New Roman"/>
          <w:sz w:val="22"/>
          <w:lang w:val="sr-Cyrl-RS"/>
        </w:rPr>
        <w:t>године;</w:t>
      </w:r>
    </w:p>
    <w:p w14:paraId="0B545BE0" w14:textId="653DFD93" w:rsidR="0076338D" w:rsidRPr="00EF2F18" w:rsidRDefault="0076338D" w:rsidP="00C64384">
      <w:pPr>
        <w:pStyle w:val="ListParagraph"/>
        <w:numPr>
          <w:ilvl w:val="0"/>
          <w:numId w:val="15"/>
        </w:numPr>
        <w:spacing w:after="0"/>
        <w:jc w:val="both"/>
        <w:rPr>
          <w:rFonts w:cs="Times New Roman"/>
          <w:sz w:val="22"/>
          <w:lang w:val="sr-Cyrl-RS"/>
        </w:rPr>
      </w:pPr>
      <w:r w:rsidRPr="00EF2F18">
        <w:rPr>
          <w:rFonts w:cs="Times New Roman"/>
          <w:sz w:val="22"/>
          <w:lang w:val="sr-Cyrl-RS"/>
        </w:rPr>
        <w:t>Интегрисани национални енергетски и климатски план Републике Србије за период до 2030. са визијом до 2050. године</w:t>
      </w:r>
      <w:r w:rsidR="00E70FDA" w:rsidRPr="00EF2F18">
        <w:rPr>
          <w:rFonts w:cs="Times New Roman"/>
          <w:sz w:val="22"/>
          <w:lang w:val="sr-Cyrl-RS"/>
        </w:rPr>
        <w:t>.</w:t>
      </w:r>
      <w:r w:rsidRPr="00EF2F18">
        <w:rPr>
          <w:rFonts w:cs="Times New Roman"/>
          <w:sz w:val="22"/>
          <w:lang w:val="sr-Cyrl-RS"/>
        </w:rPr>
        <w:t xml:space="preserve"> </w:t>
      </w:r>
    </w:p>
    <w:p w14:paraId="7A36D749" w14:textId="4BA6F2B8" w:rsidR="008703E0" w:rsidRPr="00EF2F18" w:rsidRDefault="001552C9" w:rsidP="00A42801">
      <w:pPr>
        <w:spacing w:after="0"/>
        <w:ind w:firstLine="720"/>
        <w:jc w:val="both"/>
        <w:rPr>
          <w:rFonts w:cs="Times New Roman"/>
          <w:sz w:val="22"/>
          <w:lang w:val="sr-Cyrl-RS"/>
        </w:rPr>
      </w:pPr>
      <w:r w:rsidRPr="00EF2F18">
        <w:rPr>
          <w:rFonts w:cs="Times New Roman"/>
          <w:sz w:val="22"/>
          <w:lang w:val="sr-Cyrl-RS"/>
        </w:rPr>
        <w:t>Приликом израде Стратегије узет је у обзир и</w:t>
      </w:r>
      <w:r w:rsidR="008703E0" w:rsidRPr="00EF2F18">
        <w:rPr>
          <w:rFonts w:cs="Times New Roman"/>
          <w:sz w:val="22"/>
          <w:lang w:val="sr-Cyrl-RS"/>
        </w:rPr>
        <w:t xml:space="preserve"> Програм заштите природе </w:t>
      </w:r>
      <w:r w:rsidR="008703E0" w:rsidRPr="00EF2F18">
        <w:rPr>
          <w:rFonts w:eastAsia="Calibri" w:cs="Times New Roman"/>
          <w:sz w:val="22"/>
          <w:lang w:val="sr-Cyrl-RS"/>
        </w:rPr>
        <w:t>Републике Србије за период од 2021. до 2023. године</w:t>
      </w:r>
      <w:r w:rsidR="008703E0" w:rsidRPr="00EF2F18">
        <w:rPr>
          <w:rFonts w:cs="Times New Roman"/>
          <w:sz w:val="22"/>
          <w:lang w:val="sr-Cyrl-RS"/>
        </w:rPr>
        <w:t xml:space="preserve">, </w:t>
      </w:r>
      <w:r w:rsidRPr="00EF2F18">
        <w:rPr>
          <w:rFonts w:cs="Times New Roman"/>
          <w:sz w:val="22"/>
          <w:lang w:val="sr-Cyrl-RS"/>
        </w:rPr>
        <w:t>који је истекао у току израде Стратегије.</w:t>
      </w:r>
    </w:p>
    <w:p w14:paraId="465F4A1C" w14:textId="4011F48D" w:rsidR="008B32BA" w:rsidRPr="00EF2F18" w:rsidRDefault="008869E5" w:rsidP="007442D7">
      <w:pPr>
        <w:spacing w:after="0"/>
        <w:ind w:firstLine="720"/>
        <w:jc w:val="both"/>
        <w:rPr>
          <w:rFonts w:cs="Times New Roman"/>
          <w:sz w:val="22"/>
          <w:lang w:val="sr-Cyrl-RS"/>
        </w:rPr>
      </w:pPr>
      <w:r w:rsidRPr="00EF2F18">
        <w:rPr>
          <w:rFonts w:cs="Times New Roman"/>
          <w:sz w:val="22"/>
          <w:lang w:val="sr-Cyrl-RS"/>
        </w:rPr>
        <w:t xml:space="preserve">Друга </w:t>
      </w:r>
      <w:r w:rsidR="00FD7CB3" w:rsidRPr="00EF2F18">
        <w:rPr>
          <w:rFonts w:cs="Times New Roman"/>
          <w:sz w:val="22"/>
          <w:lang w:val="sr-Cyrl-RS"/>
        </w:rPr>
        <w:t xml:space="preserve">релевантна планска документа су разматрана и узета у обзир приликом израде ове </w:t>
      </w:r>
      <w:r w:rsidR="00C64F4E" w:rsidRPr="00EF2F18">
        <w:rPr>
          <w:rFonts w:cs="Times New Roman"/>
          <w:sz w:val="22"/>
          <w:lang w:val="sr-Cyrl-RS"/>
        </w:rPr>
        <w:t>С</w:t>
      </w:r>
      <w:r w:rsidR="00FD7CB3" w:rsidRPr="00EF2F18">
        <w:rPr>
          <w:rFonts w:cs="Times New Roman"/>
          <w:sz w:val="22"/>
          <w:lang w:val="sr-Cyrl-RS"/>
        </w:rPr>
        <w:t xml:space="preserve">тратегије и утврђивања њених </w:t>
      </w:r>
      <w:r w:rsidR="008B32BA" w:rsidRPr="00EF2F18">
        <w:rPr>
          <w:rFonts w:cs="Times New Roman"/>
          <w:sz w:val="22"/>
          <w:lang w:val="sr-Cyrl-RS"/>
        </w:rPr>
        <w:t>циљева:</w:t>
      </w:r>
    </w:p>
    <w:p w14:paraId="69F505A5" w14:textId="6D73AC68" w:rsidR="007442D7" w:rsidRPr="00EF2F18" w:rsidRDefault="007442D7"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w:t>
      </w:r>
      <w:r w:rsidR="008703E0" w:rsidRPr="00EF2F18">
        <w:rPr>
          <w:rFonts w:cs="Times New Roman"/>
          <w:sz w:val="22"/>
          <w:lang w:val="sr-Cyrl-RS"/>
        </w:rPr>
        <w:t>а</w:t>
      </w:r>
      <w:r w:rsidRPr="00EF2F18">
        <w:rPr>
          <w:rFonts w:cs="Times New Roman"/>
          <w:sz w:val="22"/>
          <w:lang w:val="sr-Cyrl-RS"/>
        </w:rPr>
        <w:t xml:space="preserve"> развоја енергетике Републике Србије до 2040. године са пројекцијама до 2050. </w:t>
      </w:r>
      <w:r w:rsidR="008A1E33" w:rsidRPr="00EF2F18">
        <w:rPr>
          <w:rFonts w:cs="Times New Roman"/>
          <w:sz w:val="22"/>
          <w:lang w:val="sr-Cyrl-RS"/>
        </w:rPr>
        <w:t>г</w:t>
      </w:r>
      <w:r w:rsidRPr="00EF2F18">
        <w:rPr>
          <w:rFonts w:cs="Times New Roman"/>
          <w:sz w:val="22"/>
          <w:lang w:val="sr-Cyrl-RS"/>
        </w:rPr>
        <w:t>одине</w:t>
      </w:r>
      <w:r w:rsidR="008A1E33" w:rsidRPr="00EF2F18">
        <w:rPr>
          <w:rFonts w:cs="Times New Roman"/>
          <w:sz w:val="22"/>
          <w:lang w:val="sr-Cyrl-RS"/>
        </w:rPr>
        <w:t>;</w:t>
      </w:r>
    </w:p>
    <w:p w14:paraId="2913D6F1" w14:textId="1CACD6CE"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развоја водног саобраћаја 2015</w:t>
      </w:r>
      <w:r w:rsidR="006157B8" w:rsidRPr="00EF2F18">
        <w:rPr>
          <w:rFonts w:cs="Times New Roman"/>
          <w:sz w:val="22"/>
          <w:lang w:val="sr-Cyrl-RS"/>
        </w:rPr>
        <w:t xml:space="preserve"> – </w:t>
      </w:r>
      <w:r w:rsidRPr="00EF2F18">
        <w:rPr>
          <w:rFonts w:cs="Times New Roman"/>
          <w:sz w:val="22"/>
          <w:lang w:val="sr-Cyrl-RS"/>
        </w:rPr>
        <w:t>2025.</w:t>
      </w:r>
      <w:r w:rsidR="008A1E33" w:rsidRPr="00EF2F18">
        <w:rPr>
          <w:rFonts w:cs="Times New Roman"/>
          <w:sz w:val="22"/>
          <w:lang w:val="sr-Cyrl-RS"/>
        </w:rPr>
        <w:t xml:space="preserve"> године;</w:t>
      </w:r>
    </w:p>
    <w:p w14:paraId="20CFDF34" w14:textId="3197E3E8" w:rsidR="00EF1686" w:rsidRPr="00EF2F18" w:rsidRDefault="00EF1686"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безбедности саобраћаја</w:t>
      </w:r>
      <w:r w:rsidR="008A1E33" w:rsidRPr="00EF2F18">
        <w:rPr>
          <w:rFonts w:cs="Times New Roman"/>
          <w:sz w:val="22"/>
          <w:lang w:val="sr-Cyrl-RS"/>
        </w:rPr>
        <w:t>;</w:t>
      </w:r>
    </w:p>
    <w:p w14:paraId="792993F8" w14:textId="6C8F5226"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одрживог урбаног развоја до 2030.</w:t>
      </w:r>
      <w:r w:rsidR="008A1E33" w:rsidRPr="00EF2F18">
        <w:rPr>
          <w:rFonts w:cs="Times New Roman"/>
          <w:sz w:val="22"/>
          <w:lang w:val="sr-Cyrl-RS"/>
        </w:rPr>
        <w:t xml:space="preserve"> године;</w:t>
      </w:r>
    </w:p>
    <w:p w14:paraId="4B1E88AE" w14:textId="3CFADE9A" w:rsidR="008B32BA" w:rsidRPr="00EF2F18" w:rsidRDefault="008B32BA" w:rsidP="00C64384">
      <w:pPr>
        <w:pStyle w:val="v1msonormal"/>
        <w:numPr>
          <w:ilvl w:val="0"/>
          <w:numId w:val="15"/>
        </w:numPr>
        <w:spacing w:before="0" w:beforeAutospacing="0" w:after="0" w:afterAutospacing="0"/>
        <w:jc w:val="both"/>
        <w:rPr>
          <w:sz w:val="22"/>
          <w:szCs w:val="22"/>
          <w:lang w:val="sr-Cyrl-RS"/>
        </w:rPr>
      </w:pPr>
      <w:r w:rsidRPr="00EF2F18">
        <w:rPr>
          <w:sz w:val="22"/>
          <w:szCs w:val="22"/>
          <w:lang w:val="sr-Cyrl-RS"/>
        </w:rPr>
        <w:t>Стратегија за смањење ризика од катастрофа и ванредне ситуације</w:t>
      </w:r>
      <w:r w:rsidR="008A1E33" w:rsidRPr="00EF2F18">
        <w:rPr>
          <w:sz w:val="22"/>
          <w:szCs w:val="22"/>
          <w:lang w:val="sr-Cyrl-RS"/>
        </w:rPr>
        <w:t>;</w:t>
      </w:r>
    </w:p>
    <w:p w14:paraId="6D6E5127" w14:textId="044F20F7" w:rsidR="008B32BA" w:rsidRPr="00EF2F18" w:rsidRDefault="008B32BA" w:rsidP="00C64384">
      <w:pPr>
        <w:pStyle w:val="v1msonormal"/>
        <w:numPr>
          <w:ilvl w:val="0"/>
          <w:numId w:val="15"/>
        </w:numPr>
        <w:spacing w:before="0" w:beforeAutospacing="0" w:after="0" w:afterAutospacing="0"/>
        <w:jc w:val="both"/>
        <w:rPr>
          <w:sz w:val="22"/>
          <w:szCs w:val="22"/>
          <w:lang w:val="sr-Cyrl-RS"/>
        </w:rPr>
      </w:pPr>
      <w:r w:rsidRPr="00EF2F18">
        <w:rPr>
          <w:sz w:val="22"/>
          <w:szCs w:val="22"/>
          <w:lang w:val="sr-Cyrl-RS"/>
        </w:rPr>
        <w:t xml:space="preserve">Дугорочна стратегија за подстицање улагања у обнову националног фонда зграда </w:t>
      </w:r>
      <w:r w:rsidR="001F4FCB" w:rsidRPr="00EF2F18">
        <w:rPr>
          <w:bCs/>
          <w:sz w:val="22"/>
          <w:szCs w:val="22"/>
          <w:lang w:val="sr-Cyrl-RS"/>
        </w:rPr>
        <w:t>Републике Србије</w:t>
      </w:r>
      <w:r w:rsidRPr="00EF2F18">
        <w:rPr>
          <w:sz w:val="22"/>
          <w:szCs w:val="22"/>
          <w:lang w:val="sr-Cyrl-RS"/>
        </w:rPr>
        <w:t xml:space="preserve"> до 2050.</w:t>
      </w:r>
      <w:r w:rsidR="008A1E33" w:rsidRPr="00EF2F18">
        <w:rPr>
          <w:sz w:val="22"/>
          <w:szCs w:val="22"/>
          <w:lang w:val="sr-Cyrl-RS"/>
        </w:rPr>
        <w:t xml:space="preserve"> </w:t>
      </w:r>
      <w:r w:rsidR="008A1E33" w:rsidRPr="00EF2F18">
        <w:rPr>
          <w:sz w:val="22"/>
          <w:lang w:val="sr-Cyrl-RS"/>
        </w:rPr>
        <w:t>године;</w:t>
      </w:r>
    </w:p>
    <w:p w14:paraId="7EA33B71" w14:textId="5B1752AC"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паметне специјализације у Републици Србији за период</w:t>
      </w:r>
      <w:r w:rsidR="00850F2C" w:rsidRPr="00EF2F18">
        <w:rPr>
          <w:rFonts w:cs="Times New Roman"/>
          <w:sz w:val="22"/>
          <w:lang w:val="sr-Cyrl-RS"/>
        </w:rPr>
        <w:t xml:space="preserve"> од</w:t>
      </w:r>
      <w:r w:rsidRPr="00EF2F18">
        <w:rPr>
          <w:rFonts w:cs="Times New Roman"/>
          <w:sz w:val="22"/>
          <w:lang w:val="sr-Cyrl-RS"/>
        </w:rPr>
        <w:t xml:space="preserve"> 2020. до 2027. </w:t>
      </w:r>
      <w:r w:rsidR="008A1E33" w:rsidRPr="00EF2F18">
        <w:rPr>
          <w:rFonts w:cs="Times New Roman"/>
          <w:sz w:val="22"/>
          <w:lang w:val="sr-Cyrl-RS"/>
        </w:rPr>
        <w:t>године;</w:t>
      </w:r>
    </w:p>
    <w:p w14:paraId="572C678B" w14:textId="697113A1"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индустријске политике Републике Србије за период од 2021. до 2030.</w:t>
      </w:r>
      <w:r w:rsidR="008A1E33" w:rsidRPr="00EF2F18">
        <w:rPr>
          <w:rFonts w:cs="Times New Roman"/>
          <w:sz w:val="22"/>
          <w:lang w:val="sr-Cyrl-RS"/>
        </w:rPr>
        <w:t xml:space="preserve"> године;</w:t>
      </w:r>
      <w:r w:rsidRPr="00EF2F18">
        <w:rPr>
          <w:rFonts w:cs="Times New Roman"/>
          <w:sz w:val="22"/>
          <w:lang w:val="sr-Cyrl-RS"/>
        </w:rPr>
        <w:t xml:space="preserve"> </w:t>
      </w:r>
    </w:p>
    <w:p w14:paraId="5D8D2552" w14:textId="1711229A"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Стратегијa научног и технолошког развоја Републике Србије за период од 2021. до 2025.</w:t>
      </w:r>
      <w:r w:rsidR="00716CBA" w:rsidRPr="00EF2F18">
        <w:rPr>
          <w:rFonts w:cs="Times New Roman"/>
          <w:sz w:val="22"/>
          <w:lang w:val="sr-Cyrl-RS"/>
        </w:rPr>
        <w:t xml:space="preserve"> године „Моћ знања”</w:t>
      </w:r>
      <w:r w:rsidR="008A1E33" w:rsidRPr="00EF2F18">
        <w:rPr>
          <w:rFonts w:cs="Times New Roman"/>
          <w:sz w:val="22"/>
          <w:lang w:val="sr-Cyrl-RS"/>
        </w:rPr>
        <w:t>;</w:t>
      </w:r>
    </w:p>
    <w:p w14:paraId="4DB3660E" w14:textId="353F0542"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lastRenderedPageBreak/>
        <w:t>Програм развоја јавних набавки у Републици Србији за период 20</w:t>
      </w:r>
      <w:r w:rsidR="008813BF" w:rsidRPr="00EF2F18">
        <w:rPr>
          <w:rFonts w:cs="Times New Roman"/>
          <w:sz w:val="22"/>
          <w:lang w:val="sr-Cyrl-RS"/>
        </w:rPr>
        <w:t>24</w:t>
      </w:r>
      <w:r w:rsidR="006157B8" w:rsidRPr="00EF2F18">
        <w:rPr>
          <w:rFonts w:cs="Times New Roman"/>
          <w:sz w:val="22"/>
          <w:lang w:val="sr-Cyrl-RS"/>
        </w:rPr>
        <w:t xml:space="preserve"> </w:t>
      </w:r>
      <w:r w:rsidRPr="00EF2F18">
        <w:rPr>
          <w:rFonts w:cs="Times New Roman"/>
          <w:sz w:val="22"/>
          <w:lang w:val="sr-Cyrl-RS"/>
        </w:rPr>
        <w:t>–</w:t>
      </w:r>
      <w:r w:rsidR="006157B8" w:rsidRPr="00EF2F18">
        <w:rPr>
          <w:rFonts w:cs="Times New Roman"/>
          <w:sz w:val="22"/>
          <w:lang w:val="sr-Cyrl-RS"/>
        </w:rPr>
        <w:t xml:space="preserve"> </w:t>
      </w:r>
      <w:r w:rsidRPr="00EF2F18">
        <w:rPr>
          <w:rFonts w:cs="Times New Roman"/>
          <w:sz w:val="22"/>
          <w:lang w:val="sr-Cyrl-RS"/>
        </w:rPr>
        <w:t>20</w:t>
      </w:r>
      <w:r w:rsidR="008813BF" w:rsidRPr="00EF2F18">
        <w:rPr>
          <w:rFonts w:cs="Times New Roman"/>
          <w:sz w:val="22"/>
          <w:lang w:val="sr-Cyrl-RS"/>
        </w:rPr>
        <w:t>28</w:t>
      </w:r>
      <w:r w:rsidRPr="00EF2F18">
        <w:rPr>
          <w:rFonts w:cs="Times New Roman"/>
          <w:sz w:val="22"/>
          <w:lang w:val="sr-Cyrl-RS"/>
        </w:rPr>
        <w:t>.</w:t>
      </w:r>
      <w:r w:rsidR="008A1E33" w:rsidRPr="00EF2F18">
        <w:rPr>
          <w:rFonts w:cs="Times New Roman"/>
          <w:sz w:val="22"/>
          <w:lang w:val="sr-Cyrl-RS"/>
        </w:rPr>
        <w:t xml:space="preserve"> године;</w:t>
      </w:r>
    </w:p>
    <w:p w14:paraId="441DE32A" w14:textId="004F7C3F"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развоја шумарства из 200</w:t>
      </w:r>
      <w:r w:rsidR="00CE77ED" w:rsidRPr="00EF2F18">
        <w:rPr>
          <w:rFonts w:cs="Times New Roman"/>
          <w:sz w:val="22"/>
          <w:lang w:val="sr-Cyrl-RS"/>
        </w:rPr>
        <w:t>6. године;</w:t>
      </w:r>
    </w:p>
    <w:p w14:paraId="3D084A11" w14:textId="649318E1"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пољопривреде и руралног развоја Републике Србије за период 2014</w:t>
      </w:r>
      <w:r w:rsidR="007605B1" w:rsidRPr="00EF2F18">
        <w:rPr>
          <w:rFonts w:cs="Times New Roman"/>
          <w:sz w:val="22"/>
          <w:lang w:val="sr-Cyrl-RS"/>
        </w:rPr>
        <w:t xml:space="preserve"> </w:t>
      </w:r>
      <w:r w:rsidRPr="00EF2F18">
        <w:rPr>
          <w:rFonts w:cs="Times New Roman"/>
          <w:sz w:val="22"/>
          <w:lang w:val="sr-Cyrl-RS"/>
        </w:rPr>
        <w:t>–2024.</w:t>
      </w:r>
      <w:r w:rsidR="008A1E33" w:rsidRPr="00EF2F18">
        <w:rPr>
          <w:rFonts w:cs="Times New Roman"/>
          <w:sz w:val="22"/>
          <w:lang w:val="sr-Cyrl-RS"/>
        </w:rPr>
        <w:t xml:space="preserve"> године;</w:t>
      </w:r>
      <w:r w:rsidRPr="00EF2F18">
        <w:rPr>
          <w:rFonts w:cs="Times New Roman"/>
          <w:sz w:val="22"/>
          <w:lang w:val="sr-Cyrl-RS"/>
        </w:rPr>
        <w:t xml:space="preserve"> </w:t>
      </w:r>
    </w:p>
    <w:p w14:paraId="7CE85C5D" w14:textId="05B5BBEB"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ИПАРД Програм Републике Србије за период 2021</w:t>
      </w:r>
      <w:r w:rsidR="006157B8" w:rsidRPr="00EF2F18">
        <w:rPr>
          <w:rFonts w:cs="Times New Roman"/>
          <w:sz w:val="22"/>
          <w:lang w:val="sr-Cyrl-RS"/>
        </w:rPr>
        <w:t xml:space="preserve"> – </w:t>
      </w:r>
      <w:r w:rsidRPr="00EF2F18">
        <w:rPr>
          <w:rFonts w:cs="Times New Roman"/>
          <w:sz w:val="22"/>
          <w:lang w:val="sr-Cyrl-RS"/>
        </w:rPr>
        <w:t>2027.</w:t>
      </w:r>
      <w:r w:rsidR="008A1E33" w:rsidRPr="00EF2F18">
        <w:rPr>
          <w:rFonts w:cs="Times New Roman"/>
          <w:sz w:val="22"/>
          <w:lang w:val="sr-Cyrl-RS"/>
        </w:rPr>
        <w:t xml:space="preserve"> године;</w:t>
      </w:r>
    </w:p>
    <w:p w14:paraId="7F0E6BFA" w14:textId="408028FD"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развоја образовања и васпитања у Републици Србији до 2030.</w:t>
      </w:r>
      <w:r w:rsidR="008A1E33" w:rsidRPr="00EF2F18">
        <w:rPr>
          <w:rFonts w:cs="Times New Roman"/>
          <w:sz w:val="22"/>
          <w:lang w:val="sr-Cyrl-RS"/>
        </w:rPr>
        <w:t xml:space="preserve"> године;</w:t>
      </w:r>
      <w:r w:rsidRPr="00EF2F18">
        <w:rPr>
          <w:rFonts w:cs="Times New Roman"/>
          <w:sz w:val="22"/>
          <w:lang w:val="sr-Cyrl-RS"/>
        </w:rPr>
        <w:t xml:space="preserve"> </w:t>
      </w:r>
    </w:p>
    <w:p w14:paraId="4346922D" w14:textId="57FFA24C" w:rsidR="006E503E" w:rsidRPr="00EF2F18" w:rsidRDefault="006E503E"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јавног здравља у Републици Србији 2018</w:t>
      </w:r>
      <w:r w:rsidR="006157B8" w:rsidRPr="00EF2F18">
        <w:rPr>
          <w:rFonts w:cs="Times New Roman"/>
          <w:sz w:val="22"/>
          <w:lang w:val="sr-Cyrl-RS"/>
        </w:rPr>
        <w:t xml:space="preserve"> </w:t>
      </w:r>
      <w:r w:rsidRPr="00EF2F18">
        <w:rPr>
          <w:rFonts w:cs="Times New Roman"/>
          <w:sz w:val="22"/>
          <w:lang w:val="sr-Cyrl-RS"/>
        </w:rPr>
        <w:t>–</w:t>
      </w:r>
      <w:r w:rsidR="006157B8" w:rsidRPr="00EF2F18">
        <w:rPr>
          <w:rFonts w:cs="Times New Roman"/>
          <w:sz w:val="22"/>
          <w:lang w:val="sr-Cyrl-RS"/>
        </w:rPr>
        <w:t xml:space="preserve"> </w:t>
      </w:r>
      <w:r w:rsidRPr="00EF2F18">
        <w:rPr>
          <w:rFonts w:cs="Times New Roman"/>
          <w:sz w:val="22"/>
          <w:lang w:val="sr-Cyrl-RS"/>
        </w:rPr>
        <w:t xml:space="preserve">2026. </w:t>
      </w:r>
      <w:r w:rsidR="008A1E33" w:rsidRPr="00EF2F18">
        <w:rPr>
          <w:rFonts w:cs="Times New Roman"/>
          <w:sz w:val="22"/>
          <w:lang w:val="sr-Cyrl-RS"/>
        </w:rPr>
        <w:t>године;</w:t>
      </w:r>
    </w:p>
    <w:p w14:paraId="67514589" w14:textId="24535C75" w:rsidR="008B32BA" w:rsidRPr="00EF2F18" w:rsidRDefault="008703E0"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развоја вештачке интелигенције у Републици Србији за период 2025</w:t>
      </w:r>
      <w:r w:rsidR="006157B8" w:rsidRPr="00EF2F18">
        <w:rPr>
          <w:rFonts w:cs="Times New Roman"/>
          <w:sz w:val="22"/>
          <w:lang w:val="sr-Cyrl-RS"/>
        </w:rPr>
        <w:t xml:space="preserve"> </w:t>
      </w:r>
      <w:r w:rsidRPr="00EF2F18">
        <w:rPr>
          <w:rFonts w:cs="Times New Roman"/>
          <w:sz w:val="22"/>
          <w:lang w:val="sr-Cyrl-RS"/>
        </w:rPr>
        <w:t>–2030</w:t>
      </w:r>
      <w:r w:rsidR="008A1E33" w:rsidRPr="00EF2F18">
        <w:rPr>
          <w:rFonts w:cs="Times New Roman"/>
          <w:sz w:val="22"/>
          <w:lang w:val="sr-Cyrl-RS"/>
        </w:rPr>
        <w:t>. године;</w:t>
      </w:r>
    </w:p>
    <w:p w14:paraId="33E59261" w14:textId="5A6653C2"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Програм економских реформи за период 202</w:t>
      </w:r>
      <w:r w:rsidR="008703E0" w:rsidRPr="00EF2F18">
        <w:rPr>
          <w:rFonts w:cs="Times New Roman"/>
          <w:sz w:val="22"/>
          <w:lang w:val="sr-Cyrl-RS"/>
        </w:rPr>
        <w:t>4</w:t>
      </w:r>
      <w:r w:rsidR="007605B1" w:rsidRPr="00EF2F18">
        <w:rPr>
          <w:rFonts w:cs="Times New Roman"/>
          <w:sz w:val="22"/>
          <w:lang w:val="sr-Cyrl-RS"/>
        </w:rPr>
        <w:t xml:space="preserve"> </w:t>
      </w:r>
      <w:r w:rsidR="006157B8" w:rsidRPr="00EF2F18">
        <w:rPr>
          <w:rFonts w:cs="Times New Roman"/>
          <w:sz w:val="22"/>
          <w:lang w:val="sr-Cyrl-RS"/>
        </w:rPr>
        <w:t>–</w:t>
      </w:r>
      <w:r w:rsidR="007605B1" w:rsidRPr="00EF2F18">
        <w:rPr>
          <w:rFonts w:cs="Times New Roman"/>
          <w:sz w:val="22"/>
          <w:lang w:val="sr-Cyrl-RS"/>
        </w:rPr>
        <w:t xml:space="preserve"> </w:t>
      </w:r>
      <w:r w:rsidR="008703E0" w:rsidRPr="00EF2F18">
        <w:rPr>
          <w:rFonts w:cs="Times New Roman"/>
          <w:sz w:val="22"/>
          <w:lang w:val="sr-Cyrl-RS"/>
        </w:rPr>
        <w:t>2026</w:t>
      </w:r>
      <w:r w:rsidRPr="00EF2F18">
        <w:rPr>
          <w:rFonts w:cs="Times New Roman"/>
          <w:sz w:val="22"/>
          <w:lang w:val="sr-Cyrl-RS"/>
        </w:rPr>
        <w:t>.</w:t>
      </w:r>
      <w:r w:rsidR="008A1E33" w:rsidRPr="00EF2F18">
        <w:rPr>
          <w:rFonts w:cs="Times New Roman"/>
          <w:sz w:val="22"/>
          <w:lang w:val="sr-Cyrl-RS"/>
        </w:rPr>
        <w:t xml:space="preserve"> године;</w:t>
      </w:r>
    </w:p>
    <w:p w14:paraId="071D8B3F" w14:textId="6F9E9A6F" w:rsidR="00591576" w:rsidRPr="00EF2F18" w:rsidRDefault="00591576" w:rsidP="00C64384">
      <w:pPr>
        <w:pStyle w:val="ListParagraph"/>
        <w:numPr>
          <w:ilvl w:val="0"/>
          <w:numId w:val="15"/>
        </w:numPr>
        <w:spacing w:after="0"/>
        <w:jc w:val="both"/>
        <w:rPr>
          <w:rFonts w:cs="Times New Roman"/>
          <w:sz w:val="22"/>
          <w:lang w:val="sr-Cyrl-RS"/>
        </w:rPr>
      </w:pPr>
      <w:r w:rsidRPr="00EF2F18">
        <w:rPr>
          <w:rFonts w:cs="Times New Roman"/>
          <w:sz w:val="22"/>
          <w:lang w:val="sr-Cyrl-RS"/>
        </w:rPr>
        <w:t>Реформска агенда Републике Србије 2024</w:t>
      </w:r>
      <w:r w:rsidR="007605B1" w:rsidRPr="00EF2F18">
        <w:rPr>
          <w:rFonts w:cs="Times New Roman"/>
          <w:sz w:val="22"/>
          <w:lang w:val="sr-Cyrl-RS"/>
        </w:rPr>
        <w:t xml:space="preserve"> </w:t>
      </w:r>
      <w:r w:rsidR="006157B8" w:rsidRPr="00EF2F18">
        <w:rPr>
          <w:rFonts w:cs="Times New Roman"/>
          <w:sz w:val="22"/>
          <w:lang w:val="sr-Cyrl-RS"/>
        </w:rPr>
        <w:t>–</w:t>
      </w:r>
      <w:r w:rsidR="007605B1" w:rsidRPr="00EF2F18">
        <w:rPr>
          <w:rFonts w:cs="Times New Roman"/>
          <w:sz w:val="22"/>
          <w:lang w:val="sr-Cyrl-RS"/>
        </w:rPr>
        <w:t xml:space="preserve"> </w:t>
      </w:r>
      <w:r w:rsidRPr="00EF2F18">
        <w:rPr>
          <w:rFonts w:cs="Times New Roman"/>
          <w:sz w:val="22"/>
          <w:lang w:val="sr-Cyrl-RS"/>
        </w:rPr>
        <w:t>2027.</w:t>
      </w:r>
      <w:r w:rsidR="008A1E33" w:rsidRPr="00EF2F18">
        <w:rPr>
          <w:rFonts w:cs="Times New Roman"/>
          <w:sz w:val="22"/>
          <w:lang w:val="sr-Cyrl-RS"/>
        </w:rPr>
        <w:t xml:space="preserve"> године;</w:t>
      </w:r>
    </w:p>
    <w:p w14:paraId="2F6EDD6A" w14:textId="3826D940" w:rsidR="007033DA" w:rsidRPr="00EF2F18" w:rsidRDefault="007033DA" w:rsidP="00C64384">
      <w:pPr>
        <w:pStyle w:val="ListParagraph"/>
        <w:numPr>
          <w:ilvl w:val="0"/>
          <w:numId w:val="15"/>
        </w:numPr>
        <w:spacing w:after="0"/>
        <w:jc w:val="both"/>
        <w:rPr>
          <w:rFonts w:cs="Times New Roman"/>
          <w:sz w:val="22"/>
          <w:lang w:val="sr-Cyrl-RS"/>
        </w:rPr>
      </w:pPr>
      <w:r w:rsidRPr="00EF2F18">
        <w:rPr>
          <w:rFonts w:cs="Times New Roman"/>
          <w:sz w:val="22"/>
          <w:lang w:val="sr-Cyrl-RS"/>
        </w:rPr>
        <w:t xml:space="preserve">Стратегија развоја информационог друштва и информационе безбедности у Републици Србији за период од 2021. до 2026. </w:t>
      </w:r>
      <w:r w:rsidR="008A1E33" w:rsidRPr="00EF2F18">
        <w:rPr>
          <w:rFonts w:cs="Times New Roman"/>
          <w:sz w:val="22"/>
          <w:lang w:val="sr-Cyrl-RS"/>
        </w:rPr>
        <w:t>г</w:t>
      </w:r>
      <w:r w:rsidRPr="00EF2F18">
        <w:rPr>
          <w:rFonts w:cs="Times New Roman"/>
          <w:sz w:val="22"/>
          <w:lang w:val="sr-Cyrl-RS"/>
        </w:rPr>
        <w:t>одине</w:t>
      </w:r>
      <w:r w:rsidR="008A1E33" w:rsidRPr="00EF2F18">
        <w:rPr>
          <w:rFonts w:cs="Times New Roman"/>
          <w:sz w:val="22"/>
          <w:lang w:val="sr-Cyrl-RS"/>
        </w:rPr>
        <w:t>;</w:t>
      </w:r>
    </w:p>
    <w:p w14:paraId="582B2E9E" w14:textId="293C3B3D" w:rsidR="008B32BA" w:rsidRPr="00EF2F18" w:rsidRDefault="008B32BA" w:rsidP="00C64384">
      <w:pPr>
        <w:pStyle w:val="ListParagraph"/>
        <w:numPr>
          <w:ilvl w:val="0"/>
          <w:numId w:val="15"/>
        </w:numPr>
        <w:spacing w:after="0"/>
        <w:jc w:val="both"/>
        <w:rPr>
          <w:rFonts w:cs="Times New Roman"/>
          <w:sz w:val="22"/>
          <w:lang w:val="sr-Cyrl-RS"/>
        </w:rPr>
      </w:pPr>
      <w:r w:rsidRPr="00EF2F18">
        <w:rPr>
          <w:rFonts w:cs="Times New Roman"/>
          <w:sz w:val="22"/>
          <w:lang w:val="sr-Cyrl-RS"/>
        </w:rPr>
        <w:t xml:space="preserve">Стратегија развоја </w:t>
      </w:r>
      <w:r w:rsidR="007033DA" w:rsidRPr="00EF2F18">
        <w:rPr>
          <w:rFonts w:cs="Times New Roman"/>
          <w:sz w:val="22"/>
          <w:lang w:val="sr-Cyrl-RS"/>
        </w:rPr>
        <w:t>дигиталних вештина у Републици Србији за период од 2020</w:t>
      </w:r>
      <w:r w:rsidR="00850F2C" w:rsidRPr="00EF2F18">
        <w:rPr>
          <w:rFonts w:cs="Times New Roman"/>
          <w:sz w:val="22"/>
          <w:lang w:val="sr-Cyrl-RS"/>
        </w:rPr>
        <w:t>.</w:t>
      </w:r>
      <w:r w:rsidR="00053221" w:rsidRPr="00EF2F18">
        <w:rPr>
          <w:rFonts w:cs="Times New Roman"/>
          <w:sz w:val="22"/>
          <w:lang w:val="sr-Cyrl-RS"/>
        </w:rPr>
        <w:t xml:space="preserve"> до</w:t>
      </w:r>
      <w:r w:rsidR="00850F2C" w:rsidRPr="00EF2F18">
        <w:rPr>
          <w:rFonts w:cs="Times New Roman"/>
          <w:sz w:val="22"/>
          <w:lang w:val="sr-Cyrl-RS"/>
        </w:rPr>
        <w:t xml:space="preserve"> </w:t>
      </w:r>
      <w:r w:rsidR="007033DA" w:rsidRPr="00EF2F18">
        <w:rPr>
          <w:rFonts w:cs="Times New Roman"/>
          <w:sz w:val="22"/>
          <w:lang w:val="sr-Cyrl-RS"/>
        </w:rPr>
        <w:t>2024.</w:t>
      </w:r>
      <w:r w:rsidR="008E3499" w:rsidRPr="00EF2F18">
        <w:rPr>
          <w:rFonts w:cs="Times New Roman"/>
          <w:sz w:val="22"/>
          <w:lang w:val="sr-Cyrl-RS"/>
        </w:rPr>
        <w:t xml:space="preserve"> године</w:t>
      </w:r>
      <w:r w:rsidR="008A1E33" w:rsidRPr="00EF2F18">
        <w:rPr>
          <w:rFonts w:cs="Times New Roman"/>
          <w:sz w:val="22"/>
          <w:lang w:val="sr-Cyrl-RS"/>
        </w:rPr>
        <w:t>.</w:t>
      </w:r>
    </w:p>
    <w:p w14:paraId="7D2C7596" w14:textId="6995A4DB" w:rsidR="008869E5" w:rsidRPr="00EF2F18" w:rsidRDefault="008869E5" w:rsidP="00C64384">
      <w:pPr>
        <w:spacing w:after="0"/>
        <w:ind w:left="720"/>
        <w:jc w:val="both"/>
        <w:rPr>
          <w:rFonts w:cs="Times New Roman"/>
          <w:sz w:val="22"/>
          <w:lang w:val="sr-Cyrl-RS"/>
        </w:rPr>
      </w:pPr>
      <w:r w:rsidRPr="00EF2F18">
        <w:rPr>
          <w:rFonts w:cs="Times New Roman"/>
          <w:sz w:val="22"/>
          <w:lang w:val="sr-Cyrl-RS"/>
        </w:rPr>
        <w:t>Остале релевантне стратегије које су узете у обзир приликом израде Стратегије су:</w:t>
      </w:r>
    </w:p>
    <w:p w14:paraId="3711C60A" w14:textId="08249484" w:rsidR="006E503E" w:rsidRPr="00EF2F18" w:rsidRDefault="006E503E" w:rsidP="00C64384">
      <w:pPr>
        <w:pStyle w:val="ListParagraph"/>
        <w:numPr>
          <w:ilvl w:val="0"/>
          <w:numId w:val="15"/>
        </w:numPr>
        <w:spacing w:after="0"/>
        <w:jc w:val="both"/>
        <w:rPr>
          <w:rFonts w:cs="Times New Roman"/>
          <w:sz w:val="22"/>
          <w:lang w:val="sr-Cyrl-RS"/>
        </w:rPr>
      </w:pPr>
      <w:r w:rsidRPr="00EF2F18">
        <w:rPr>
          <w:rFonts w:cs="Times New Roman"/>
          <w:sz w:val="22"/>
          <w:shd w:val="clear" w:color="auto" w:fill="FFFFFF"/>
          <w:lang w:val="sr-Cyrl-RS"/>
        </w:rPr>
        <w:t>Стратегија за стварање подстицајног окружења за развој цивилног друштва у Републици Србији за период 2022</w:t>
      </w:r>
      <w:r w:rsidR="006157B8" w:rsidRPr="00EF2F18">
        <w:rPr>
          <w:rFonts w:cs="Times New Roman"/>
          <w:sz w:val="22"/>
          <w:shd w:val="clear" w:color="auto" w:fill="FFFFFF"/>
          <w:lang w:val="sr-Cyrl-RS"/>
        </w:rPr>
        <w:t xml:space="preserve"> </w:t>
      </w:r>
      <w:r w:rsidRPr="00EF2F18">
        <w:rPr>
          <w:rFonts w:cs="Times New Roman"/>
          <w:sz w:val="22"/>
          <w:shd w:val="clear" w:color="auto" w:fill="FFFFFF"/>
          <w:lang w:val="sr-Cyrl-RS"/>
        </w:rPr>
        <w:t>–</w:t>
      </w:r>
      <w:r w:rsidR="006157B8" w:rsidRPr="00EF2F18">
        <w:rPr>
          <w:rFonts w:cs="Times New Roman"/>
          <w:sz w:val="22"/>
          <w:shd w:val="clear" w:color="auto" w:fill="FFFFFF"/>
          <w:lang w:val="sr-Cyrl-RS"/>
        </w:rPr>
        <w:t xml:space="preserve"> </w:t>
      </w:r>
      <w:r w:rsidRPr="00EF2F18">
        <w:rPr>
          <w:rFonts w:cs="Times New Roman"/>
          <w:sz w:val="22"/>
          <w:shd w:val="clear" w:color="auto" w:fill="FFFFFF"/>
          <w:lang w:val="sr-Cyrl-RS"/>
        </w:rPr>
        <w:t xml:space="preserve">2030. године; </w:t>
      </w:r>
    </w:p>
    <w:p w14:paraId="2A71239C" w14:textId="456B4C11" w:rsidR="00636A49" w:rsidRPr="00EF2F18" w:rsidRDefault="00636A49" w:rsidP="00C64384">
      <w:pPr>
        <w:pStyle w:val="ListParagraph"/>
        <w:numPr>
          <w:ilvl w:val="0"/>
          <w:numId w:val="15"/>
        </w:numPr>
        <w:spacing w:after="0"/>
        <w:jc w:val="both"/>
        <w:rPr>
          <w:rFonts w:cs="Times New Roman"/>
          <w:sz w:val="22"/>
          <w:lang w:val="sr-Cyrl-RS"/>
        </w:rPr>
      </w:pPr>
      <w:r w:rsidRPr="00EF2F18">
        <w:rPr>
          <w:rFonts w:cs="Times New Roman"/>
          <w:sz w:val="22"/>
          <w:lang w:val="sr-Cyrl-RS"/>
        </w:rPr>
        <w:t>Стратегија за развој малих и средњих предузећа за период 2023</w:t>
      </w:r>
      <w:r w:rsidR="006157B8" w:rsidRPr="00EF2F18">
        <w:rPr>
          <w:rFonts w:cs="Times New Roman"/>
          <w:sz w:val="22"/>
          <w:lang w:val="sr-Cyrl-RS"/>
        </w:rPr>
        <w:t xml:space="preserve"> – </w:t>
      </w:r>
      <w:r w:rsidRPr="00EF2F18">
        <w:rPr>
          <w:rFonts w:cs="Times New Roman"/>
          <w:sz w:val="22"/>
          <w:lang w:val="sr-Cyrl-RS"/>
        </w:rPr>
        <w:t>2027.</w:t>
      </w:r>
      <w:r w:rsidR="00E54516" w:rsidRPr="00EF2F18">
        <w:rPr>
          <w:rFonts w:cs="Times New Roman"/>
          <w:sz w:val="22"/>
          <w:lang w:val="sr-Cyrl-RS"/>
        </w:rPr>
        <w:t xml:space="preserve"> године</w:t>
      </w:r>
      <w:r w:rsidRPr="00EF2F18">
        <w:rPr>
          <w:rFonts w:cs="Times New Roman"/>
          <w:sz w:val="22"/>
          <w:lang w:val="sr-Cyrl-RS"/>
        </w:rPr>
        <w:t xml:space="preserve"> са Акционим планом;</w:t>
      </w:r>
    </w:p>
    <w:p w14:paraId="3FE746DF" w14:textId="283734AA" w:rsidR="006E503E" w:rsidRPr="00EF2F18" w:rsidRDefault="006E503E" w:rsidP="00C64384">
      <w:pPr>
        <w:pStyle w:val="ListParagraph"/>
        <w:numPr>
          <w:ilvl w:val="0"/>
          <w:numId w:val="15"/>
        </w:numPr>
        <w:spacing w:after="0" w:line="256" w:lineRule="auto"/>
        <w:contextualSpacing w:val="0"/>
        <w:jc w:val="both"/>
        <w:rPr>
          <w:rFonts w:cs="Times New Roman"/>
          <w:sz w:val="22"/>
          <w:lang w:val="sr-Cyrl-RS"/>
        </w:rPr>
      </w:pPr>
      <w:bookmarkStart w:id="3" w:name="_Hlk143077285"/>
      <w:r w:rsidRPr="00EF2F18">
        <w:rPr>
          <w:rFonts w:cs="Times New Roman"/>
          <w:sz w:val="22"/>
          <w:lang w:val="sr-Cyrl-RS"/>
        </w:rPr>
        <w:t>Стратегија за младе у Републици Србији за период од 2023. до 2030. године</w:t>
      </w:r>
      <w:bookmarkEnd w:id="3"/>
      <w:r w:rsidRPr="00EF2F18">
        <w:rPr>
          <w:rFonts w:cs="Times New Roman"/>
          <w:sz w:val="22"/>
          <w:lang w:val="sr-Cyrl-RS"/>
        </w:rPr>
        <w:t>;</w:t>
      </w:r>
      <w:r w:rsidR="005E5FF9" w:rsidRPr="00EF2F18">
        <w:rPr>
          <w:rFonts w:cs="Times New Roman"/>
          <w:sz w:val="22"/>
          <w:lang w:val="sr-Cyrl-RS"/>
        </w:rPr>
        <w:t xml:space="preserve"> </w:t>
      </w:r>
    </w:p>
    <w:p w14:paraId="2696BFAA" w14:textId="77777777" w:rsidR="006E503E" w:rsidRPr="00EF2F18" w:rsidRDefault="006E503E" w:rsidP="00C64384">
      <w:pPr>
        <w:pStyle w:val="ListParagraph"/>
        <w:numPr>
          <w:ilvl w:val="0"/>
          <w:numId w:val="15"/>
        </w:numPr>
        <w:spacing w:after="0" w:line="256" w:lineRule="auto"/>
        <w:contextualSpacing w:val="0"/>
        <w:jc w:val="both"/>
        <w:rPr>
          <w:rFonts w:cs="Times New Roman"/>
          <w:sz w:val="22"/>
          <w:lang w:val="sr-Cyrl-RS"/>
        </w:rPr>
      </w:pPr>
      <w:r w:rsidRPr="00EF2F18">
        <w:rPr>
          <w:rFonts w:cs="Times New Roman"/>
          <w:sz w:val="22"/>
          <w:lang w:val="sr-Cyrl-RS"/>
        </w:rPr>
        <w:t xml:space="preserve">Стратегија за родну равноправност за период од 2021. до 2030. године; </w:t>
      </w:r>
    </w:p>
    <w:p w14:paraId="0043B0C2" w14:textId="50FB1701" w:rsidR="006E503E" w:rsidRPr="00EF2F18" w:rsidRDefault="006E503E" w:rsidP="00C64384">
      <w:pPr>
        <w:pStyle w:val="ListParagraph"/>
        <w:numPr>
          <w:ilvl w:val="0"/>
          <w:numId w:val="15"/>
        </w:numPr>
        <w:spacing w:after="0" w:line="256" w:lineRule="auto"/>
        <w:contextualSpacing w:val="0"/>
        <w:jc w:val="both"/>
        <w:rPr>
          <w:rFonts w:cs="Times New Roman"/>
          <w:sz w:val="22"/>
          <w:lang w:val="sr-Cyrl-RS"/>
        </w:rPr>
      </w:pPr>
      <w:r w:rsidRPr="00EF2F18">
        <w:rPr>
          <w:rFonts w:cs="Times New Roman"/>
          <w:sz w:val="22"/>
          <w:lang w:val="sr-Cyrl-RS"/>
        </w:rPr>
        <w:t>Стратегија превенције и заштите од дискриминације за период од 2022. до 2030. године</w:t>
      </w:r>
      <w:r w:rsidR="00636A49" w:rsidRPr="00EF2F18">
        <w:rPr>
          <w:rFonts w:cs="Times New Roman"/>
          <w:sz w:val="22"/>
          <w:lang w:val="sr-Cyrl-RS"/>
        </w:rPr>
        <w:t>;</w:t>
      </w:r>
    </w:p>
    <w:p w14:paraId="3FE0A757" w14:textId="045E30F7" w:rsidR="006E503E" w:rsidRPr="00EF2F18" w:rsidRDefault="00F45EC6" w:rsidP="00C64384">
      <w:pPr>
        <w:pStyle w:val="ListParagraph"/>
        <w:numPr>
          <w:ilvl w:val="0"/>
          <w:numId w:val="15"/>
        </w:numPr>
        <w:spacing w:after="0" w:line="256" w:lineRule="auto"/>
        <w:contextualSpacing w:val="0"/>
        <w:jc w:val="both"/>
        <w:rPr>
          <w:rFonts w:cs="Times New Roman"/>
          <w:iCs/>
          <w:sz w:val="22"/>
          <w:lang w:val="sr-Cyrl-RS"/>
        </w:rPr>
      </w:pPr>
      <w:r w:rsidRPr="00EF2F18">
        <w:rPr>
          <w:rFonts w:eastAsia="Times New Roman" w:cs="Times New Roman"/>
          <w:iCs/>
          <w:sz w:val="22"/>
          <w:lang w:val="sr-Cyrl-RS"/>
        </w:rPr>
        <w:t>Стратегија унапређења положаја особа са инвалидитетом у Републици Србији за период од 2025. до 2030. године</w:t>
      </w:r>
      <w:r w:rsidR="00CE77ED" w:rsidRPr="00EF2F18">
        <w:rPr>
          <w:rFonts w:eastAsia="Times New Roman" w:cs="Times New Roman"/>
          <w:iCs/>
          <w:sz w:val="22"/>
          <w:lang w:val="sr-Cyrl-RS"/>
        </w:rPr>
        <w:t>;</w:t>
      </w:r>
    </w:p>
    <w:p w14:paraId="28809C89" w14:textId="63636621" w:rsidR="006E503E" w:rsidRPr="00EF2F18" w:rsidRDefault="006E503E" w:rsidP="00C64384">
      <w:pPr>
        <w:pStyle w:val="ListParagraph"/>
        <w:numPr>
          <w:ilvl w:val="0"/>
          <w:numId w:val="15"/>
        </w:numPr>
        <w:spacing w:after="0" w:line="256" w:lineRule="auto"/>
        <w:contextualSpacing w:val="0"/>
        <w:jc w:val="both"/>
        <w:rPr>
          <w:rFonts w:cs="Times New Roman"/>
          <w:iCs/>
          <w:sz w:val="22"/>
          <w:lang w:val="sr-Cyrl-RS"/>
        </w:rPr>
      </w:pPr>
      <w:r w:rsidRPr="00EF2F18">
        <w:rPr>
          <w:rFonts w:cs="Times New Roman"/>
          <w:iCs/>
          <w:sz w:val="22"/>
          <w:lang w:val="sr-Cyrl-RS"/>
        </w:rPr>
        <w:t>Стратегија за социјално укључивањ</w:t>
      </w:r>
      <w:r w:rsidR="00E54516" w:rsidRPr="00EF2F18">
        <w:rPr>
          <w:rFonts w:cs="Times New Roman"/>
          <w:iCs/>
          <w:sz w:val="22"/>
          <w:lang w:val="sr-Cyrl-RS"/>
        </w:rPr>
        <w:t>е Рома и Ромкиња за период 2022</w:t>
      </w:r>
      <w:r w:rsidR="006157B8" w:rsidRPr="00EF2F18">
        <w:rPr>
          <w:rFonts w:cs="Times New Roman"/>
          <w:iCs/>
          <w:sz w:val="22"/>
          <w:lang w:val="sr-Cyrl-RS"/>
        </w:rPr>
        <w:t xml:space="preserve"> – </w:t>
      </w:r>
      <w:r w:rsidRPr="00EF2F18">
        <w:rPr>
          <w:rFonts w:cs="Times New Roman"/>
          <w:iCs/>
          <w:sz w:val="22"/>
          <w:lang w:val="sr-Cyrl-RS"/>
        </w:rPr>
        <w:t>2030. године</w:t>
      </w:r>
      <w:r w:rsidR="00636A49" w:rsidRPr="00EF2F18">
        <w:rPr>
          <w:rFonts w:cs="Times New Roman"/>
          <w:iCs/>
          <w:sz w:val="22"/>
          <w:lang w:val="sr-Cyrl-RS"/>
        </w:rPr>
        <w:t>;</w:t>
      </w:r>
    </w:p>
    <w:p w14:paraId="0C3F93CF" w14:textId="77777777" w:rsidR="00636A49" w:rsidRPr="00EF2F18" w:rsidRDefault="00573E16" w:rsidP="00C64384">
      <w:pPr>
        <w:pStyle w:val="ListParagraph"/>
        <w:numPr>
          <w:ilvl w:val="0"/>
          <w:numId w:val="15"/>
        </w:numPr>
        <w:spacing w:after="0"/>
        <w:jc w:val="both"/>
        <w:rPr>
          <w:rFonts w:cs="Times New Roman"/>
          <w:sz w:val="22"/>
          <w:lang w:val="sr-Cyrl-RS"/>
        </w:rPr>
      </w:pPr>
      <w:r w:rsidRPr="00EF2F18">
        <w:rPr>
          <w:sz w:val="22"/>
          <w:lang w:val="sr-Cyrl-RS"/>
        </w:rPr>
        <w:t>Стратегија активног и здравог старења у Републици Србији за период од 2024. до 2030. године</w:t>
      </w:r>
      <w:r w:rsidR="00636A49" w:rsidRPr="00EF2F18">
        <w:rPr>
          <w:sz w:val="22"/>
          <w:lang w:val="sr-Cyrl-RS"/>
        </w:rPr>
        <w:t>;</w:t>
      </w:r>
    </w:p>
    <w:p w14:paraId="6E84E7C4" w14:textId="4BAE52BC" w:rsidR="00573E16" w:rsidRPr="00EF2F18" w:rsidRDefault="00636A49" w:rsidP="00313E8E">
      <w:pPr>
        <w:pStyle w:val="ListParagraph"/>
        <w:numPr>
          <w:ilvl w:val="0"/>
          <w:numId w:val="15"/>
        </w:numPr>
        <w:spacing w:after="0"/>
        <w:rPr>
          <w:rFonts w:cs="Times New Roman"/>
          <w:sz w:val="22"/>
          <w:lang w:val="sr-Cyrl-RS"/>
        </w:rPr>
      </w:pPr>
      <w:r w:rsidRPr="00EF2F18">
        <w:rPr>
          <w:sz w:val="22"/>
          <w:lang w:val="sr-Cyrl-RS"/>
        </w:rPr>
        <w:t>Стратегија развоја туризма Републике Србије за период од 2016. до 2025. године</w:t>
      </w:r>
      <w:r w:rsidR="00573E16" w:rsidRPr="00EF2F18">
        <w:rPr>
          <w:sz w:val="22"/>
          <w:lang w:val="sr-Cyrl-RS"/>
        </w:rPr>
        <w:t>.</w:t>
      </w:r>
    </w:p>
    <w:p w14:paraId="34A808A0" w14:textId="6A82E803" w:rsidR="00E914A6" w:rsidRPr="00EF2F18" w:rsidRDefault="00BF12CF" w:rsidP="00E914A6">
      <w:pPr>
        <w:spacing w:after="0"/>
        <w:ind w:firstLine="720"/>
        <w:jc w:val="both"/>
        <w:rPr>
          <w:rFonts w:cs="Times New Roman"/>
          <w:bCs/>
          <w:sz w:val="22"/>
          <w:lang w:val="sr-Cyrl-RS"/>
        </w:rPr>
      </w:pPr>
      <w:r w:rsidRPr="00EF2F18">
        <w:rPr>
          <w:rFonts w:cs="Times New Roman"/>
          <w:bCs/>
          <w:sz w:val="22"/>
          <w:lang w:val="sr-Cyrl-RS"/>
        </w:rPr>
        <w:t>Радну групу за израду овог планског документа чинили су представници</w:t>
      </w:r>
      <w:r w:rsidR="005B2A26" w:rsidRPr="00EF2F18">
        <w:rPr>
          <w:rFonts w:cs="Times New Roman"/>
          <w:bCs/>
          <w:sz w:val="22"/>
          <w:lang w:val="sr-Cyrl-RS"/>
        </w:rPr>
        <w:t xml:space="preserve"> следећих институција, организација, привредног сектора, академске заједнице и организација цивилног друштва</w:t>
      </w:r>
      <w:r w:rsidR="006157B8" w:rsidRPr="00EF2F18">
        <w:rPr>
          <w:rFonts w:cs="Times New Roman"/>
          <w:bCs/>
          <w:sz w:val="22"/>
          <w:lang w:val="sr-Cyrl-RS"/>
        </w:rPr>
        <w:t>, и то</w:t>
      </w:r>
      <w:r w:rsidR="005B2A26" w:rsidRPr="00EF2F18">
        <w:rPr>
          <w:rFonts w:cs="Times New Roman"/>
          <w:bCs/>
          <w:sz w:val="22"/>
          <w:lang w:val="sr-Cyrl-RS"/>
        </w:rPr>
        <w:t>:</w:t>
      </w:r>
      <w:r w:rsidRPr="00EF2F18">
        <w:rPr>
          <w:rFonts w:cs="Times New Roman"/>
          <w:bCs/>
          <w:sz w:val="22"/>
          <w:lang w:val="sr-Cyrl-RS"/>
        </w:rPr>
        <w:t xml:space="preserve"> Министарств</w:t>
      </w:r>
      <w:r w:rsidR="005B2A26" w:rsidRPr="00EF2F18">
        <w:rPr>
          <w:rFonts w:cs="Times New Roman"/>
          <w:bCs/>
          <w:sz w:val="22"/>
          <w:lang w:val="sr-Cyrl-RS"/>
        </w:rPr>
        <w:t>о</w:t>
      </w:r>
      <w:r w:rsidRPr="00EF2F18">
        <w:rPr>
          <w:rFonts w:cs="Times New Roman"/>
          <w:bCs/>
          <w:sz w:val="22"/>
          <w:lang w:val="sr-Cyrl-RS"/>
        </w:rPr>
        <w:t xml:space="preserve"> заштите животне средине, </w:t>
      </w:r>
      <w:r w:rsidR="005B2A26" w:rsidRPr="00EF2F18">
        <w:rPr>
          <w:rFonts w:cs="Times New Roman"/>
          <w:bCs/>
          <w:sz w:val="22"/>
          <w:lang w:val="sr-Cyrl-RS"/>
        </w:rPr>
        <w:t xml:space="preserve">Министарство пољопривреде, шумарства и водопривреде, Министарство привреде, Министарство за европске интеграције, Министарство финансија, Министарство рударства и енергетике, Министарство грађевинарства, саобраћаја и инфраструктуре, Министарство здравља, Министарство унутрашње и спољне трговине, Министарство туризма и омладине, Министарство информисања и телекомуникација, </w:t>
      </w:r>
      <w:r w:rsidR="001F4FCB" w:rsidRPr="00EF2F18">
        <w:rPr>
          <w:rFonts w:cs="Times New Roman"/>
          <w:bCs/>
          <w:sz w:val="22"/>
          <w:lang w:val="sr-Cyrl-RS"/>
        </w:rPr>
        <w:t xml:space="preserve">Министарство унутрашњих послова </w:t>
      </w:r>
      <w:r w:rsidR="007605B1" w:rsidRPr="00EF2F18">
        <w:rPr>
          <w:rFonts w:cs="Times New Roman"/>
          <w:bCs/>
          <w:sz w:val="22"/>
          <w:lang w:val="sr-Cyrl-RS"/>
        </w:rPr>
        <w:t>–</w:t>
      </w:r>
      <w:r w:rsidR="005B2A26" w:rsidRPr="00EF2F18">
        <w:rPr>
          <w:rFonts w:cs="Times New Roman"/>
          <w:bCs/>
          <w:sz w:val="22"/>
          <w:lang w:val="sr-Cyrl-RS"/>
        </w:rPr>
        <w:t xml:space="preserve"> Сектор за ванредне ситуације, Министарство за рад, запошљавање, борачка и социјална питања, Министарство науке, технолошког развоја и иновација, Министарство просвете, Министарство државне управе и локалне самоуправе, Министарство за људска и мањинска права и друштвени дијалог, Министарство за јавна улагања, </w:t>
      </w:r>
      <w:r w:rsidR="006157B8" w:rsidRPr="00EF2F18">
        <w:rPr>
          <w:rFonts w:cs="Times New Roman"/>
          <w:bCs/>
          <w:color w:val="000000"/>
          <w:spacing w:val="-1"/>
          <w:sz w:val="22"/>
          <w:lang w:val="sr-Cyrl-RS"/>
        </w:rPr>
        <w:t xml:space="preserve">Канцеларија </w:t>
      </w:r>
      <w:r w:rsidR="006157B8" w:rsidRPr="00EF2F18">
        <w:rPr>
          <w:rFonts w:cs="Times New Roman"/>
          <w:bCs/>
          <w:color w:val="000000"/>
          <w:spacing w:val="-1"/>
          <w:sz w:val="22"/>
          <w:szCs w:val="23"/>
          <w:lang w:val="sr-Cyrl-RS"/>
        </w:rPr>
        <w:t>за информационе технологије и електронску управу</w:t>
      </w:r>
      <w:r w:rsidR="005B2A26" w:rsidRPr="00EF2F18">
        <w:rPr>
          <w:rFonts w:cs="Times New Roman"/>
          <w:bCs/>
          <w:sz w:val="22"/>
          <w:lang w:val="sr-Cyrl-RS"/>
        </w:rPr>
        <w:t>, Републички секретаријат за јавне политике</w:t>
      </w:r>
      <w:r w:rsidR="006157B8" w:rsidRPr="00EF2F18">
        <w:rPr>
          <w:rFonts w:cs="Times New Roman"/>
          <w:bCs/>
          <w:sz w:val="22"/>
          <w:lang w:val="sr-Cyrl-RS"/>
        </w:rPr>
        <w:t>, Канцеларија за јавне набавке</w:t>
      </w:r>
      <w:r w:rsidR="005B2A26" w:rsidRPr="00EF2F18">
        <w:rPr>
          <w:rFonts w:cs="Times New Roman"/>
          <w:bCs/>
          <w:sz w:val="22"/>
          <w:lang w:val="sr-Cyrl-RS"/>
        </w:rPr>
        <w:t>, Директорат за радијациону и нуклеарну сигурност и безбедност Србије, Покрајински секретаријат за урбанизам и заштиту животне средине, Републички хидрометеоролошки завод, Републички завод за статистику, Агенција за заштиту животне средине, Завод за заштиту природе Србије,</w:t>
      </w:r>
      <w:r w:rsidR="005B2869" w:rsidRPr="00EF2F18">
        <w:rPr>
          <w:rFonts w:cs="Times New Roman"/>
          <w:bCs/>
          <w:sz w:val="22"/>
          <w:lang w:val="sr-Cyrl-RS"/>
        </w:rPr>
        <w:t xml:space="preserve"> Друштво с ограниченом одговорношћу „Србијаводе</w:t>
      </w:r>
      <w:r w:rsidR="001F4FCB" w:rsidRPr="00EF2F18">
        <w:rPr>
          <w:rFonts w:cs="Times New Roman"/>
          <w:bCs/>
          <w:sz w:val="22"/>
          <w:lang w:val="sr-Cyrl-RS"/>
        </w:rPr>
        <w:t>”</w:t>
      </w:r>
      <w:r w:rsidR="005B2869" w:rsidRPr="00EF2F18">
        <w:rPr>
          <w:rFonts w:cs="Times New Roman"/>
          <w:bCs/>
          <w:sz w:val="22"/>
          <w:lang w:val="sr-Cyrl-RS"/>
        </w:rPr>
        <w:t xml:space="preserve"> Београд, </w:t>
      </w:r>
      <w:r w:rsidR="005B2A26" w:rsidRPr="00EF2F18">
        <w:rPr>
          <w:rFonts w:cs="Times New Roman"/>
          <w:bCs/>
          <w:sz w:val="22"/>
          <w:lang w:val="sr-Cyrl-RS"/>
        </w:rPr>
        <w:t xml:space="preserve">Јавно водопривредно предузеће </w:t>
      </w:r>
      <w:r w:rsidR="007943E2" w:rsidRPr="00EF2F18">
        <w:rPr>
          <w:rFonts w:cs="Times New Roman"/>
          <w:bCs/>
          <w:sz w:val="22"/>
          <w:lang w:val="sr-Cyrl-RS"/>
        </w:rPr>
        <w:t>„</w:t>
      </w:r>
      <w:r w:rsidR="005B2A26" w:rsidRPr="00EF2F18">
        <w:rPr>
          <w:rFonts w:cs="Times New Roman"/>
          <w:bCs/>
          <w:sz w:val="22"/>
          <w:lang w:val="sr-Cyrl-RS"/>
        </w:rPr>
        <w:t>Воде Војводин</w:t>
      </w:r>
      <w:r w:rsidR="00053221" w:rsidRPr="00EF2F18">
        <w:rPr>
          <w:rFonts w:cs="Times New Roman"/>
          <w:bCs/>
          <w:sz w:val="22"/>
          <w:lang w:val="sr-Cyrl-RS"/>
        </w:rPr>
        <w:t>е</w:t>
      </w:r>
      <w:r w:rsidR="007943E2" w:rsidRPr="00EF2F18">
        <w:rPr>
          <w:rFonts w:cs="Times New Roman"/>
          <w:bCs/>
          <w:sz w:val="22"/>
          <w:lang w:val="sr-Cyrl-RS"/>
        </w:rPr>
        <w:t>”</w:t>
      </w:r>
      <w:r w:rsidR="005B2A26" w:rsidRPr="00EF2F18">
        <w:rPr>
          <w:rFonts w:cs="Times New Roman"/>
          <w:bCs/>
          <w:sz w:val="22"/>
          <w:lang w:val="sr-Cyrl-RS"/>
        </w:rPr>
        <w:t xml:space="preserve">, </w:t>
      </w:r>
      <w:r w:rsidR="005B2869" w:rsidRPr="00EF2F18">
        <w:rPr>
          <w:rFonts w:cs="Times New Roman"/>
          <w:bCs/>
          <w:sz w:val="22"/>
          <w:lang w:val="sr-Cyrl-RS"/>
        </w:rPr>
        <w:t>Привредно друштво за газдовањем шумама „Србијашуме</w:t>
      </w:r>
      <w:r w:rsidR="001F4FCB" w:rsidRPr="00EF2F18">
        <w:rPr>
          <w:rFonts w:cs="Times New Roman"/>
          <w:bCs/>
          <w:sz w:val="22"/>
          <w:lang w:val="sr-Cyrl-RS"/>
        </w:rPr>
        <w:t>”</w:t>
      </w:r>
      <w:r w:rsidR="005B2869" w:rsidRPr="00EF2F18">
        <w:rPr>
          <w:rFonts w:cs="Times New Roman"/>
          <w:bCs/>
          <w:sz w:val="22"/>
          <w:lang w:val="sr-Cyrl-RS"/>
        </w:rPr>
        <w:t xml:space="preserve"> д.о.о. Београд</w:t>
      </w:r>
      <w:r w:rsidR="005B2A26" w:rsidRPr="00EF2F18">
        <w:rPr>
          <w:rFonts w:cs="Times New Roman"/>
          <w:bCs/>
          <w:sz w:val="22"/>
          <w:lang w:val="sr-Cyrl-RS"/>
        </w:rPr>
        <w:t xml:space="preserve">, Јавно предузеће </w:t>
      </w:r>
      <w:r w:rsidR="007943E2" w:rsidRPr="00EF2F18">
        <w:rPr>
          <w:rFonts w:cs="Times New Roman"/>
          <w:bCs/>
          <w:sz w:val="22"/>
          <w:lang w:val="sr-Cyrl-RS"/>
        </w:rPr>
        <w:t>„</w:t>
      </w:r>
      <w:r w:rsidR="005B2A26" w:rsidRPr="00EF2F18">
        <w:rPr>
          <w:rFonts w:cs="Times New Roman"/>
          <w:bCs/>
          <w:sz w:val="22"/>
          <w:lang w:val="sr-Cyrl-RS"/>
        </w:rPr>
        <w:t>Војводинашуме</w:t>
      </w:r>
      <w:r w:rsidR="007943E2" w:rsidRPr="00EF2F18">
        <w:rPr>
          <w:rFonts w:cs="Times New Roman"/>
          <w:bCs/>
          <w:sz w:val="22"/>
          <w:lang w:val="sr-Cyrl-RS"/>
        </w:rPr>
        <w:t>”</w:t>
      </w:r>
      <w:r w:rsidR="005B2A26" w:rsidRPr="00EF2F18">
        <w:rPr>
          <w:rFonts w:cs="Times New Roman"/>
          <w:bCs/>
          <w:sz w:val="22"/>
          <w:lang w:val="sr-Cyrl-RS"/>
        </w:rPr>
        <w:t xml:space="preserve">, Привредна комора Србије, Унија послодаваца Србије, Стална конференција градова и општина, Национална алијанса за локални економски развој </w:t>
      </w:r>
      <w:r w:rsidR="005B2A26" w:rsidRPr="00EF2F18">
        <w:rPr>
          <w:rFonts w:cs="Times New Roman"/>
          <w:bCs/>
          <w:i/>
          <w:sz w:val="22"/>
          <w:lang w:val="sr-Cyrl-RS"/>
        </w:rPr>
        <w:t>(</w:t>
      </w:r>
      <w:r w:rsidR="005B2A26" w:rsidRPr="00EF2F18">
        <w:rPr>
          <w:rFonts w:cs="Times New Roman"/>
          <w:bCs/>
          <w:i/>
          <w:iCs/>
          <w:sz w:val="22"/>
          <w:lang w:val="sr-Cyrl-RS"/>
        </w:rPr>
        <w:t>NALED</w:t>
      </w:r>
      <w:r w:rsidR="005B2A26" w:rsidRPr="00EF2F18">
        <w:rPr>
          <w:rFonts w:cs="Times New Roman"/>
          <w:bCs/>
          <w:i/>
          <w:sz w:val="22"/>
          <w:lang w:val="sr-Cyrl-RS"/>
        </w:rPr>
        <w:t>)</w:t>
      </w:r>
      <w:r w:rsidR="005B2A26" w:rsidRPr="00EF2F18">
        <w:rPr>
          <w:rFonts w:cs="Times New Roman"/>
          <w:bCs/>
          <w:sz w:val="22"/>
          <w:lang w:val="sr-Cyrl-RS"/>
        </w:rPr>
        <w:t xml:space="preserve">, Универзитет у Београду, Универзитет у Новом Саду, Универзитет у Нишу, Универзитет у Крагујевцу, Регулаторни институт за обновљиву енергију и животну средину (РЕРИ), Млади </w:t>
      </w:r>
      <w:r w:rsidR="005B2A26" w:rsidRPr="00EF2F18">
        <w:rPr>
          <w:rFonts w:cs="Times New Roman"/>
          <w:bCs/>
          <w:sz w:val="22"/>
          <w:lang w:val="sr-Cyrl-RS"/>
        </w:rPr>
        <w:lastRenderedPageBreak/>
        <w:t xml:space="preserve">истраживачи Србије, Удружење грађана Нимбус, Београдска отворена школа. </w:t>
      </w:r>
      <w:r w:rsidR="00E914A6" w:rsidRPr="00EF2F18">
        <w:rPr>
          <w:rFonts w:cs="Times New Roman"/>
          <w:bCs/>
          <w:sz w:val="22"/>
          <w:lang w:val="sr-Cyrl-RS"/>
        </w:rPr>
        <w:t>У току израде Стратегије,</w:t>
      </w:r>
      <w:r w:rsidR="005E42D2" w:rsidRPr="00EF2F18">
        <w:rPr>
          <w:rFonts w:cs="Times New Roman"/>
          <w:bCs/>
          <w:sz w:val="22"/>
          <w:lang w:val="sr-Cyrl-RS"/>
        </w:rPr>
        <w:t xml:space="preserve"> </w:t>
      </w:r>
      <w:r w:rsidR="00E914A6" w:rsidRPr="00EF2F18">
        <w:rPr>
          <w:rFonts w:cs="Times New Roman"/>
          <w:bCs/>
          <w:sz w:val="22"/>
          <w:lang w:val="sr-Cyrl-RS"/>
        </w:rPr>
        <w:t xml:space="preserve">спроведене су широке консултације са заинтересованим странама и грађанима. </w:t>
      </w:r>
    </w:p>
    <w:p w14:paraId="6C4E8A27" w14:textId="2E8D5D66" w:rsidR="00BF12CF" w:rsidRPr="00EF2F18" w:rsidRDefault="00BF12CF" w:rsidP="009C2D85">
      <w:pPr>
        <w:spacing w:after="0"/>
        <w:ind w:firstLine="720"/>
        <w:jc w:val="both"/>
        <w:rPr>
          <w:rFonts w:cs="Times New Roman"/>
          <w:bCs/>
          <w:sz w:val="22"/>
          <w:lang w:val="sr-Cyrl-RS"/>
        </w:rPr>
      </w:pPr>
      <w:r w:rsidRPr="00EF2F18">
        <w:rPr>
          <w:rFonts w:cs="Times New Roman"/>
          <w:bCs/>
          <w:sz w:val="22"/>
          <w:lang w:val="sr-Cyrl-RS"/>
        </w:rPr>
        <w:t xml:space="preserve">Подршка изради </w:t>
      </w:r>
      <w:r w:rsidR="005B2A26" w:rsidRPr="00EF2F18">
        <w:rPr>
          <w:rFonts w:cs="Times New Roman"/>
          <w:bCs/>
          <w:sz w:val="22"/>
          <w:lang w:val="sr-Cyrl-RS"/>
        </w:rPr>
        <w:t>Стратегије</w:t>
      </w:r>
      <w:r w:rsidRPr="00EF2F18">
        <w:rPr>
          <w:rFonts w:cs="Times New Roman"/>
          <w:bCs/>
          <w:sz w:val="22"/>
          <w:lang w:val="sr-Cyrl-RS"/>
        </w:rPr>
        <w:t xml:space="preserve"> пружена је </w:t>
      </w:r>
      <w:r w:rsidR="005B2A26" w:rsidRPr="00EF2F18">
        <w:rPr>
          <w:rFonts w:cs="Times New Roman"/>
          <w:bCs/>
          <w:sz w:val="22"/>
          <w:lang w:val="sr-Cyrl-RS"/>
        </w:rPr>
        <w:t>у оквиру</w:t>
      </w:r>
      <w:r w:rsidRPr="00EF2F18">
        <w:rPr>
          <w:rFonts w:cs="Times New Roman"/>
          <w:bCs/>
          <w:sz w:val="22"/>
          <w:lang w:val="sr-Cyrl-RS"/>
        </w:rPr>
        <w:t xml:space="preserve"> пројект</w:t>
      </w:r>
      <w:r w:rsidR="005B2A26" w:rsidRPr="00EF2F18">
        <w:rPr>
          <w:rFonts w:cs="Times New Roman"/>
          <w:bCs/>
          <w:sz w:val="22"/>
          <w:lang w:val="sr-Cyrl-RS"/>
        </w:rPr>
        <w:t>а</w:t>
      </w:r>
      <w:r w:rsidRPr="00EF2F18">
        <w:rPr>
          <w:rFonts w:cs="Times New Roman"/>
          <w:bCs/>
          <w:sz w:val="22"/>
          <w:lang w:val="sr-Cyrl-RS"/>
        </w:rPr>
        <w:t xml:space="preserve"> „ЕУ </w:t>
      </w:r>
      <w:r w:rsidR="005B2A26" w:rsidRPr="00EF2F18">
        <w:rPr>
          <w:rFonts w:cs="Times New Roman"/>
          <w:bCs/>
          <w:sz w:val="22"/>
          <w:lang w:val="sr-Cyrl-RS"/>
        </w:rPr>
        <w:t>за Зелену агенду у Србији</w:t>
      </w:r>
      <w:r w:rsidRPr="00EF2F18">
        <w:rPr>
          <w:rFonts w:cs="Times New Roman"/>
          <w:bCs/>
          <w:sz w:val="22"/>
          <w:lang w:val="sr-Cyrl-RS"/>
        </w:rPr>
        <w:t>”</w:t>
      </w:r>
      <w:r w:rsidR="00237CD7" w:rsidRPr="00EF2F18">
        <w:rPr>
          <w:rFonts w:cs="Times New Roman"/>
          <w:bCs/>
          <w:sz w:val="22"/>
          <w:lang w:val="sr-Cyrl-RS"/>
        </w:rPr>
        <w:t>. Овај пројекат, уз техничку и финансијску подршку Европске уније и у партнерству са Министарством заштите животне средине, спроводи УНДП у сарадњи са Амбасадом Шведске и Европском инвестиционом банком (ЕИБ), уз додатна финансијска средства која су обезбедиле</w:t>
      </w:r>
      <w:r w:rsidR="006C2E00" w:rsidRPr="00EF2F18">
        <w:rPr>
          <w:rFonts w:cs="Times New Roman"/>
          <w:bCs/>
          <w:sz w:val="22"/>
          <w:lang w:val="sr-Cyrl-RS"/>
        </w:rPr>
        <w:t xml:space="preserve"> </w:t>
      </w:r>
      <w:r w:rsidR="00237CD7" w:rsidRPr="00EF2F18">
        <w:rPr>
          <w:rFonts w:cs="Times New Roman"/>
          <w:bCs/>
          <w:sz w:val="22"/>
          <w:lang w:val="sr-Cyrl-RS"/>
        </w:rPr>
        <w:t xml:space="preserve">владе Шведске, Швајцарске и </w:t>
      </w:r>
      <w:r w:rsidR="005C7A82" w:rsidRPr="00EF2F18">
        <w:rPr>
          <w:rFonts w:cs="Times New Roman"/>
          <w:bCs/>
          <w:sz w:val="22"/>
          <w:lang w:val="sr-Cyrl-RS"/>
        </w:rPr>
        <w:t>Републике Србије</w:t>
      </w:r>
      <w:r w:rsidR="008B32BA" w:rsidRPr="00EF2F18">
        <w:rPr>
          <w:rFonts w:cs="Times New Roman"/>
          <w:bCs/>
          <w:sz w:val="22"/>
          <w:lang w:val="sr-Cyrl-RS"/>
        </w:rPr>
        <w:t>.</w:t>
      </w:r>
    </w:p>
    <w:p w14:paraId="2FD1B436" w14:textId="38596EFF" w:rsidR="000D1650" w:rsidRPr="00EF2F18" w:rsidRDefault="007867A0" w:rsidP="000D1650">
      <w:pPr>
        <w:spacing w:after="0"/>
        <w:jc w:val="both"/>
        <w:rPr>
          <w:rFonts w:cs="Times New Roman"/>
          <w:sz w:val="22"/>
          <w:highlight w:val="cyan"/>
          <w:lang w:val="sr-Cyrl-RS"/>
        </w:rPr>
      </w:pPr>
      <w:r w:rsidRPr="00EF2F18">
        <w:rPr>
          <w:rFonts w:cs="Times New Roman"/>
          <w:sz w:val="22"/>
          <w:lang w:val="sr-Cyrl-RS"/>
        </w:rPr>
        <w:tab/>
        <w:t xml:space="preserve">Методологија </w:t>
      </w:r>
      <w:r w:rsidR="00CD46A4" w:rsidRPr="00EF2F18">
        <w:rPr>
          <w:rFonts w:cs="Times New Roman"/>
          <w:sz w:val="22"/>
          <w:lang w:val="sr-Cyrl-RS"/>
        </w:rPr>
        <w:t xml:space="preserve">израде Стратегије </w:t>
      </w:r>
      <w:r w:rsidRPr="00EF2F18">
        <w:rPr>
          <w:rFonts w:cs="Times New Roman"/>
          <w:sz w:val="22"/>
          <w:lang w:val="sr-Cyrl-RS"/>
        </w:rPr>
        <w:t xml:space="preserve">је пратила Закон о планском систему. </w:t>
      </w:r>
      <w:r w:rsidR="0085274F" w:rsidRPr="00EF2F18">
        <w:rPr>
          <w:rFonts w:cs="Times New Roman"/>
          <w:sz w:val="22"/>
          <w:lang w:val="sr-Cyrl-RS"/>
        </w:rPr>
        <w:t>Суштина методологије</w:t>
      </w:r>
      <w:r w:rsidRPr="00EF2F18">
        <w:rPr>
          <w:rFonts w:cs="Times New Roman"/>
          <w:sz w:val="22"/>
          <w:lang w:val="sr-Cyrl-RS"/>
        </w:rPr>
        <w:t xml:space="preserve"> обухватала</w:t>
      </w:r>
      <w:r w:rsidR="0085274F" w:rsidRPr="00EF2F18">
        <w:rPr>
          <w:rFonts w:cs="Times New Roman"/>
          <w:sz w:val="22"/>
          <w:lang w:val="sr-Cyrl-RS"/>
        </w:rPr>
        <w:t xml:space="preserve"> је </w:t>
      </w:r>
      <w:r w:rsidRPr="00EF2F18">
        <w:rPr>
          <w:rFonts w:cs="Times New Roman"/>
          <w:i/>
          <w:iCs/>
          <w:sz w:val="22"/>
          <w:lang w:val="sr-Cyrl-RS"/>
        </w:rPr>
        <w:t>ex-post</w:t>
      </w:r>
      <w:r w:rsidRPr="00EF2F18">
        <w:rPr>
          <w:rFonts w:cs="Times New Roman"/>
          <w:sz w:val="22"/>
          <w:lang w:val="sr-Cyrl-RS"/>
        </w:rPr>
        <w:t xml:space="preserve"> анализу испуњености циљева Националног програма заштите животне средине и анализу садашњег стања и трендова чинилаца животне средине по стубовима Зелене агенде. Анализирани су институционални капацитети и финансирање у области заштите животне средине. На основу анализе стања </w:t>
      </w:r>
      <w:r w:rsidR="00210BAB" w:rsidRPr="00EF2F18">
        <w:rPr>
          <w:rFonts w:cs="Times New Roman"/>
          <w:sz w:val="22"/>
          <w:lang w:val="sr-Cyrl-RS"/>
        </w:rPr>
        <w:t xml:space="preserve">на радионицама са Радном групом </w:t>
      </w:r>
      <w:r w:rsidRPr="00EF2F18">
        <w:rPr>
          <w:rFonts w:cs="Times New Roman"/>
          <w:sz w:val="22"/>
          <w:lang w:val="sr-Cyrl-RS"/>
        </w:rPr>
        <w:t xml:space="preserve">идентификовани су </w:t>
      </w:r>
      <w:r w:rsidR="000D1650" w:rsidRPr="00EF2F18">
        <w:rPr>
          <w:rFonts w:cs="Times New Roman"/>
          <w:sz w:val="22"/>
          <w:lang w:val="sr-Cyrl-RS"/>
        </w:rPr>
        <w:t xml:space="preserve">кључни </w:t>
      </w:r>
      <w:r w:rsidRPr="00EF2F18">
        <w:rPr>
          <w:rFonts w:cs="Times New Roman"/>
          <w:sz w:val="22"/>
          <w:lang w:val="sr-Cyrl-RS"/>
        </w:rPr>
        <w:t xml:space="preserve">проблеми и </w:t>
      </w:r>
      <w:r w:rsidR="000D1650" w:rsidRPr="00EF2F18">
        <w:rPr>
          <w:rFonts w:cs="Times New Roman"/>
          <w:sz w:val="22"/>
          <w:lang w:val="sr-Cyrl-RS"/>
        </w:rPr>
        <w:t>утврђени</w:t>
      </w:r>
      <w:r w:rsidRPr="00EF2F18">
        <w:rPr>
          <w:rFonts w:cs="Times New Roman"/>
          <w:sz w:val="22"/>
          <w:lang w:val="sr-Cyrl-RS"/>
        </w:rPr>
        <w:t xml:space="preserve"> општи и посебни циљеви</w:t>
      </w:r>
      <w:r w:rsidR="00210BAB" w:rsidRPr="00EF2F18">
        <w:rPr>
          <w:rFonts w:cs="Times New Roman"/>
          <w:sz w:val="22"/>
          <w:lang w:val="sr-Cyrl-RS"/>
        </w:rPr>
        <w:t xml:space="preserve"> Стратегије у областима које обухвата Зелена агенда</w:t>
      </w:r>
      <w:r w:rsidRPr="00EF2F18">
        <w:rPr>
          <w:rFonts w:cs="Times New Roman"/>
          <w:sz w:val="22"/>
          <w:lang w:val="sr-Cyrl-RS"/>
        </w:rPr>
        <w:t>. Формирана је концепција спровођења Зелене агенде</w:t>
      </w:r>
      <w:r w:rsidR="00210BAB" w:rsidRPr="00EF2F18">
        <w:rPr>
          <w:rFonts w:cs="Times New Roman"/>
          <w:sz w:val="22"/>
          <w:lang w:val="sr-Cyrl-RS"/>
        </w:rPr>
        <w:t>, која је узела у обзир Софијску декларацију о Зеленој агенди, као и већ донете документе јавне политике у секторима које обухвата Зелена агенда</w:t>
      </w:r>
      <w:r w:rsidRPr="00EF2F18">
        <w:rPr>
          <w:rFonts w:cs="Times New Roman"/>
          <w:sz w:val="22"/>
          <w:lang w:val="sr-Cyrl-RS"/>
        </w:rPr>
        <w:t>. Развијене су мере за остваривање циљева</w:t>
      </w:r>
      <w:r w:rsidR="000D1650" w:rsidRPr="00EF2F18">
        <w:rPr>
          <w:rFonts w:cs="Times New Roman"/>
          <w:sz w:val="22"/>
          <w:lang w:val="sr-Cyrl-RS"/>
        </w:rPr>
        <w:t xml:space="preserve"> на радионици са Радном групом и идентификована средстава за њихово постизање. Урађена је </w:t>
      </w:r>
      <w:r w:rsidR="000D1650" w:rsidRPr="00EF2F18">
        <w:rPr>
          <w:rFonts w:cs="Times New Roman"/>
          <w:i/>
          <w:iCs/>
          <w:sz w:val="22"/>
          <w:lang w:val="sr-Cyrl-RS"/>
        </w:rPr>
        <w:t>еx-ante</w:t>
      </w:r>
      <w:r w:rsidR="000D1650" w:rsidRPr="00EF2F18">
        <w:rPr>
          <w:rFonts w:cs="Times New Roman"/>
          <w:sz w:val="22"/>
          <w:lang w:val="sr-Cyrl-RS"/>
        </w:rPr>
        <w:t xml:space="preserve"> анализа ефеката мера. Затим су мере развијене у активности на радионицама са Радном групом на радионицама са Радном групом и урађен је акциони план. </w:t>
      </w:r>
      <w:r w:rsidR="0085274F" w:rsidRPr="00EF2F18">
        <w:rPr>
          <w:rFonts w:cs="Times New Roman"/>
          <w:sz w:val="22"/>
          <w:lang w:val="sr-Cyrl-RS"/>
        </w:rPr>
        <w:t xml:space="preserve">При изради </w:t>
      </w:r>
      <w:r w:rsidR="000D1650" w:rsidRPr="00EF2F18">
        <w:rPr>
          <w:rFonts w:cs="Times New Roman"/>
          <w:sz w:val="22"/>
          <w:lang w:val="sr-Cyrl-RS"/>
        </w:rPr>
        <w:t>Стратегије</w:t>
      </w:r>
      <w:r w:rsidR="0085274F" w:rsidRPr="00EF2F18">
        <w:rPr>
          <w:rFonts w:cs="Times New Roman"/>
          <w:sz w:val="22"/>
          <w:lang w:val="sr-Cyrl-RS"/>
        </w:rPr>
        <w:t xml:space="preserve"> тежило се постизању већег степена интеграције са другим</w:t>
      </w:r>
      <w:r w:rsidR="000D1650" w:rsidRPr="00EF2F18">
        <w:rPr>
          <w:rFonts w:cs="Times New Roman"/>
          <w:sz w:val="22"/>
          <w:lang w:val="sr-Cyrl-RS"/>
        </w:rPr>
        <w:t xml:space="preserve"> документима јавне политике</w:t>
      </w:r>
      <w:r w:rsidR="0085274F" w:rsidRPr="00EF2F18">
        <w:rPr>
          <w:rFonts w:cs="Times New Roman"/>
          <w:sz w:val="22"/>
          <w:lang w:val="sr-Cyrl-RS"/>
        </w:rPr>
        <w:t>.</w:t>
      </w:r>
      <w:r w:rsidR="000D1650" w:rsidRPr="00EF2F18">
        <w:rPr>
          <w:rFonts w:cs="Times New Roman"/>
          <w:sz w:val="22"/>
          <w:lang w:val="sr-Cyrl-RS"/>
        </w:rPr>
        <w:t xml:space="preserve"> </w:t>
      </w:r>
      <w:r w:rsidR="0085274F" w:rsidRPr="00EF2F18">
        <w:rPr>
          <w:rFonts w:cs="Times New Roman"/>
          <w:sz w:val="22"/>
          <w:lang w:val="sr-Cyrl-RS"/>
        </w:rPr>
        <w:t xml:space="preserve">Процес израде </w:t>
      </w:r>
      <w:r w:rsidRPr="00EF2F18">
        <w:rPr>
          <w:rFonts w:cs="Times New Roman"/>
          <w:sz w:val="22"/>
          <w:lang w:val="sr-Cyrl-RS"/>
        </w:rPr>
        <w:t>Стратегије</w:t>
      </w:r>
      <w:r w:rsidR="0085274F" w:rsidRPr="00EF2F18">
        <w:rPr>
          <w:rFonts w:cs="Times New Roman"/>
          <w:sz w:val="22"/>
          <w:lang w:val="sr-Cyrl-RS"/>
        </w:rPr>
        <w:t xml:space="preserve"> био</w:t>
      </w:r>
      <w:r w:rsidR="006157B8" w:rsidRPr="00EF2F18">
        <w:rPr>
          <w:rFonts w:cs="Times New Roman"/>
          <w:sz w:val="22"/>
          <w:lang w:val="sr-Cyrl-RS"/>
        </w:rPr>
        <w:t xml:space="preserve"> је</w:t>
      </w:r>
      <w:r w:rsidR="000D1650" w:rsidRPr="00EF2F18">
        <w:rPr>
          <w:rFonts w:cs="Times New Roman"/>
          <w:sz w:val="22"/>
          <w:lang w:val="sr-Cyrl-RS"/>
        </w:rPr>
        <w:t xml:space="preserve"> широко</w:t>
      </w:r>
      <w:r w:rsidR="0085274F" w:rsidRPr="00EF2F18">
        <w:rPr>
          <w:rFonts w:cs="Times New Roman"/>
          <w:sz w:val="22"/>
          <w:lang w:val="sr-Cyrl-RS"/>
        </w:rPr>
        <w:t xml:space="preserve"> </w:t>
      </w:r>
      <w:r w:rsidRPr="00EF2F18">
        <w:rPr>
          <w:rFonts w:cs="Times New Roman"/>
          <w:sz w:val="22"/>
          <w:lang w:val="sr-Cyrl-RS"/>
        </w:rPr>
        <w:t>партиципатив</w:t>
      </w:r>
      <w:r w:rsidR="000D1650" w:rsidRPr="00EF2F18">
        <w:rPr>
          <w:rFonts w:cs="Times New Roman"/>
          <w:sz w:val="22"/>
          <w:lang w:val="sr-Cyrl-RS"/>
        </w:rPr>
        <w:t>а</w:t>
      </w:r>
      <w:r w:rsidRPr="00EF2F18">
        <w:rPr>
          <w:rFonts w:cs="Times New Roman"/>
          <w:sz w:val="22"/>
          <w:lang w:val="sr-Cyrl-RS"/>
        </w:rPr>
        <w:t>н</w:t>
      </w:r>
      <w:r w:rsidR="000D1650" w:rsidRPr="00EF2F18">
        <w:rPr>
          <w:rFonts w:cs="Times New Roman"/>
          <w:sz w:val="22"/>
          <w:lang w:val="sr-Cyrl-RS"/>
        </w:rPr>
        <w:t>.</w:t>
      </w:r>
    </w:p>
    <w:p w14:paraId="792111C9" w14:textId="62734FB0" w:rsidR="0085274F" w:rsidRDefault="00CD46A4" w:rsidP="00C64384">
      <w:pPr>
        <w:pStyle w:val="ListParagraph"/>
        <w:spacing w:after="0"/>
        <w:ind w:left="0" w:firstLine="720"/>
        <w:jc w:val="both"/>
        <w:rPr>
          <w:sz w:val="22"/>
          <w:lang w:val="sr-Cyrl-RS"/>
        </w:rPr>
      </w:pPr>
      <w:r w:rsidRPr="00EF2F18">
        <w:rPr>
          <w:rFonts w:cs="Times New Roman"/>
          <w:sz w:val="22"/>
          <w:lang w:val="sr-Cyrl-RS"/>
        </w:rPr>
        <w:t xml:space="preserve">Обједињујући све кључне области релевантне за заштиту и унапређење животне средине и све с тим повезане јавне политике, Стратегија </w:t>
      </w:r>
      <w:r w:rsidR="001D2B7D" w:rsidRPr="00EF2F18">
        <w:rPr>
          <w:rFonts w:cs="Times New Roman"/>
          <w:sz w:val="22"/>
          <w:lang w:val="sr-Cyrl-RS"/>
        </w:rPr>
        <w:t>је документ који утврђује</w:t>
      </w:r>
      <w:r w:rsidRPr="00EF2F18">
        <w:rPr>
          <w:rFonts w:cs="Times New Roman"/>
          <w:sz w:val="22"/>
          <w:lang w:val="sr-Cyrl-RS"/>
        </w:rPr>
        <w:t xml:space="preserve"> свеобухватни оквир за праћење напретка Републике Србије и обједињено извешт</w:t>
      </w:r>
      <w:r w:rsidR="00B70999">
        <w:rPr>
          <w:rFonts w:cs="Times New Roman"/>
          <w:sz w:val="22"/>
          <w:lang w:val="sr-Cyrl-RS"/>
        </w:rPr>
        <w:t>а</w:t>
      </w:r>
      <w:r w:rsidRPr="00EF2F18">
        <w:rPr>
          <w:rFonts w:cs="Times New Roman"/>
          <w:sz w:val="22"/>
          <w:lang w:val="sr-Cyrl-RS"/>
        </w:rPr>
        <w:t>вање о достизању својих постављених циљева којима се обезбеђује напредак у ЕУ интеграцијама и доприноси остваривању циљева одрживог развоја Агенде 2030</w:t>
      </w:r>
      <w:r w:rsidRPr="00EF2F18">
        <w:rPr>
          <w:sz w:val="22"/>
          <w:lang w:val="sr-Cyrl-RS"/>
        </w:rPr>
        <w:t>.</w:t>
      </w:r>
    </w:p>
    <w:p w14:paraId="0EC657DA" w14:textId="03318FE5" w:rsidR="00C64384" w:rsidRDefault="00C64384" w:rsidP="00C64384">
      <w:pPr>
        <w:pStyle w:val="ListParagraph"/>
        <w:spacing w:after="0"/>
        <w:ind w:left="0" w:firstLine="720"/>
        <w:jc w:val="both"/>
        <w:rPr>
          <w:rFonts w:cs="Times New Roman"/>
          <w:sz w:val="22"/>
          <w:lang w:val="sr-Cyrl-RS"/>
        </w:rPr>
      </w:pPr>
    </w:p>
    <w:p w14:paraId="1F69E709" w14:textId="77777777" w:rsidR="00C64384" w:rsidRPr="00EF2F18" w:rsidRDefault="00C64384" w:rsidP="00C64384">
      <w:pPr>
        <w:pStyle w:val="ListParagraph"/>
        <w:spacing w:after="0"/>
        <w:ind w:left="0" w:firstLine="720"/>
        <w:jc w:val="both"/>
        <w:rPr>
          <w:rFonts w:cs="Times New Roman"/>
          <w:sz w:val="22"/>
          <w:lang w:val="sr-Cyrl-RS"/>
        </w:rPr>
      </w:pPr>
    </w:p>
    <w:p w14:paraId="2A61E4E7" w14:textId="1A78EEE3" w:rsidR="00FB7412" w:rsidRPr="00EF2F18" w:rsidRDefault="00FB7412" w:rsidP="005F5388">
      <w:pPr>
        <w:pStyle w:val="Heading1"/>
        <w:numPr>
          <w:ilvl w:val="0"/>
          <w:numId w:val="2"/>
        </w:numPr>
        <w:tabs>
          <w:tab w:val="left" w:pos="720"/>
        </w:tabs>
        <w:ind w:firstLine="0"/>
        <w:jc w:val="center"/>
        <w:rPr>
          <w:rFonts w:cs="Times New Roman"/>
          <w:sz w:val="22"/>
          <w:szCs w:val="22"/>
          <w:lang w:val="sr-Cyrl-RS"/>
        </w:rPr>
      </w:pPr>
      <w:bookmarkStart w:id="4" w:name="_Toc158307684"/>
      <w:bookmarkStart w:id="5" w:name="_Toc158307685"/>
      <w:bookmarkEnd w:id="4"/>
      <w:r w:rsidRPr="00EF2F18">
        <w:rPr>
          <w:rFonts w:cs="Times New Roman"/>
          <w:sz w:val="22"/>
          <w:szCs w:val="22"/>
          <w:lang w:val="sr-Cyrl-RS"/>
        </w:rPr>
        <w:t xml:space="preserve">ПЛАНСКИ И </w:t>
      </w:r>
      <w:r w:rsidR="001564F9" w:rsidRPr="00EF2F18">
        <w:rPr>
          <w:rFonts w:cs="Times New Roman"/>
          <w:sz w:val="22"/>
          <w:szCs w:val="22"/>
          <w:lang w:val="sr-Cyrl-RS"/>
        </w:rPr>
        <w:t>ЗАКОНОДАВНИ</w:t>
      </w:r>
      <w:r w:rsidRPr="00EF2F18">
        <w:rPr>
          <w:rFonts w:cs="Times New Roman"/>
          <w:sz w:val="22"/>
          <w:szCs w:val="22"/>
          <w:lang w:val="sr-Cyrl-RS"/>
        </w:rPr>
        <w:t xml:space="preserve"> ОКВИР</w:t>
      </w:r>
      <w:bookmarkEnd w:id="5"/>
    </w:p>
    <w:p w14:paraId="089728EB" w14:textId="10CABC62" w:rsidR="00FB7412" w:rsidRPr="00EF2F18" w:rsidRDefault="00FB7412" w:rsidP="005F5388">
      <w:pPr>
        <w:pStyle w:val="Heading2"/>
        <w:numPr>
          <w:ilvl w:val="1"/>
          <w:numId w:val="2"/>
        </w:numPr>
        <w:ind w:hanging="360"/>
        <w:jc w:val="center"/>
        <w:rPr>
          <w:rFonts w:cs="Times New Roman"/>
          <w:sz w:val="22"/>
          <w:szCs w:val="22"/>
          <w:lang w:val="sr-Cyrl-RS"/>
        </w:rPr>
      </w:pPr>
      <w:bookmarkStart w:id="6" w:name="_Toc158307686"/>
      <w:bookmarkStart w:id="7" w:name="_Hlk121611977"/>
      <w:r w:rsidRPr="00EF2F18">
        <w:rPr>
          <w:rFonts w:cs="Times New Roman"/>
          <w:sz w:val="22"/>
          <w:szCs w:val="22"/>
          <w:lang w:val="sr-Cyrl-RS"/>
        </w:rPr>
        <w:t>Оквир јавне политике у ЕУ и на међународном нивоу</w:t>
      </w:r>
      <w:bookmarkEnd w:id="6"/>
      <w:bookmarkEnd w:id="7"/>
    </w:p>
    <w:p w14:paraId="2A097F49" w14:textId="4DFD210F" w:rsidR="00FB7412" w:rsidRPr="00EF2F18" w:rsidRDefault="00FB7412" w:rsidP="00FB7412">
      <w:pPr>
        <w:pStyle w:val="Default"/>
        <w:spacing w:after="120"/>
        <w:rPr>
          <w:rFonts w:ascii="Times New Roman" w:hAnsi="Times New Roman" w:cs="Times New Roman"/>
          <w:sz w:val="22"/>
          <w:szCs w:val="22"/>
          <w:lang w:val="sr-Cyrl-RS"/>
        </w:rPr>
      </w:pPr>
    </w:p>
    <w:p w14:paraId="32DBE10D" w14:textId="20BF57F3" w:rsidR="00AA0693" w:rsidRPr="00EF2F18" w:rsidRDefault="00AA0693" w:rsidP="00AA0693">
      <w:pPr>
        <w:spacing w:after="0"/>
        <w:ind w:left="-15" w:right="-7" w:firstLine="735"/>
        <w:jc w:val="both"/>
        <w:rPr>
          <w:rFonts w:cs="Times New Roman"/>
          <w:sz w:val="22"/>
          <w:lang w:val="sr-Cyrl-RS"/>
        </w:rPr>
      </w:pPr>
      <w:r w:rsidRPr="00EF2F18">
        <w:rPr>
          <w:rFonts w:cs="Times New Roman"/>
          <w:sz w:val="22"/>
          <w:lang w:val="sr-Cyrl-RS"/>
        </w:rPr>
        <w:t>На глобалном нивоу у 2015. години</w:t>
      </w:r>
      <w:r w:rsidR="00CC1B9F" w:rsidRPr="00EF2F18">
        <w:rPr>
          <w:rFonts w:cs="Times New Roman"/>
          <w:sz w:val="22"/>
          <w:lang w:val="sr-Cyrl-RS"/>
        </w:rPr>
        <w:t>,</w:t>
      </w:r>
      <w:r w:rsidRPr="00EF2F18">
        <w:rPr>
          <w:rFonts w:cs="Times New Roman"/>
          <w:sz w:val="22"/>
          <w:lang w:val="sr-Cyrl-RS"/>
        </w:rPr>
        <w:t xml:space="preserve"> са циљем да се даље подстиче одрживи развој и да се ублаже климатске промене, донета су два веома важна документа. Уједињене </w:t>
      </w:r>
      <w:r w:rsidR="00B55BBA" w:rsidRPr="00EF2F18">
        <w:rPr>
          <w:rFonts w:cs="Times New Roman"/>
          <w:sz w:val="22"/>
          <w:lang w:val="sr-Cyrl-RS"/>
        </w:rPr>
        <w:t>н</w:t>
      </w:r>
      <w:r w:rsidRPr="00EF2F18">
        <w:rPr>
          <w:rFonts w:cs="Times New Roman"/>
          <w:sz w:val="22"/>
          <w:lang w:val="sr-Cyrl-RS"/>
        </w:rPr>
        <w:t xml:space="preserve">ације су представиле </w:t>
      </w:r>
      <w:r w:rsidR="00FD7CB3" w:rsidRPr="00EF2F18">
        <w:rPr>
          <w:rFonts w:cs="Times New Roman"/>
          <w:b/>
          <w:bCs/>
          <w:sz w:val="22"/>
          <w:lang w:val="sr-Cyrl-RS"/>
        </w:rPr>
        <w:t xml:space="preserve">УН </w:t>
      </w:r>
      <w:r w:rsidR="00FD7CB3" w:rsidRPr="00EF2F18">
        <w:rPr>
          <w:rFonts w:cs="Times New Roman"/>
          <w:b/>
          <w:sz w:val="22"/>
          <w:lang w:val="sr-Cyrl-RS"/>
        </w:rPr>
        <w:t xml:space="preserve">Агенду 2030 за одрживи развој </w:t>
      </w:r>
      <w:r w:rsidR="00FD7CB3" w:rsidRPr="00EF2F18">
        <w:rPr>
          <w:rFonts w:cs="Times New Roman"/>
          <w:sz w:val="22"/>
          <w:lang w:val="sr-Cyrl-RS"/>
        </w:rPr>
        <w:t>са 17 циљева, која предвиђа да државе потписнице до 2030. године, поред осталих договорених циљева предузму одлучне акције</w:t>
      </w:r>
      <w:r w:rsidR="005E42D2" w:rsidRPr="00EF2F18">
        <w:rPr>
          <w:rFonts w:cs="Times New Roman"/>
          <w:sz w:val="22"/>
          <w:lang w:val="sr-Cyrl-RS"/>
        </w:rPr>
        <w:t xml:space="preserve"> </w:t>
      </w:r>
      <w:r w:rsidR="00FD7CB3" w:rsidRPr="00EF2F18">
        <w:rPr>
          <w:rFonts w:cs="Times New Roman"/>
          <w:sz w:val="22"/>
          <w:lang w:val="sr-Cyrl-RS"/>
        </w:rPr>
        <w:t xml:space="preserve">као одговор на климатске промене. Република Србија је као чланица УН преузела обавезе да допринесе остаривању Агенде 2030. Други документ, </w:t>
      </w:r>
      <w:r w:rsidR="004B61DE" w:rsidRPr="00EF2F18">
        <w:rPr>
          <w:rFonts w:cs="Times New Roman"/>
          <w:b/>
          <w:sz w:val="22"/>
          <w:lang w:val="sr-Cyrl-RS"/>
        </w:rPr>
        <w:t>С</w:t>
      </w:r>
      <w:r w:rsidR="00FD7CB3" w:rsidRPr="00EF2F18">
        <w:rPr>
          <w:rFonts w:cs="Times New Roman"/>
          <w:b/>
          <w:sz w:val="22"/>
          <w:lang w:val="sr-Cyrl-RS"/>
        </w:rPr>
        <w:t>поразум</w:t>
      </w:r>
      <w:r w:rsidR="00FD7CB3" w:rsidRPr="00EF2F18">
        <w:rPr>
          <w:rFonts w:cs="Times New Roman"/>
          <w:sz w:val="22"/>
          <w:lang w:val="sr-Cyrl-RS"/>
        </w:rPr>
        <w:t xml:space="preserve"> </w:t>
      </w:r>
      <w:r w:rsidR="004B61DE" w:rsidRPr="00EF2F18">
        <w:rPr>
          <w:rFonts w:cs="Times New Roman"/>
          <w:b/>
          <w:bCs/>
          <w:sz w:val="22"/>
          <w:lang w:val="sr-Cyrl-RS"/>
        </w:rPr>
        <w:t>из Париза</w:t>
      </w:r>
      <w:r w:rsidR="004B61DE" w:rsidRPr="00EF2F18">
        <w:rPr>
          <w:rFonts w:cs="Times New Roman"/>
          <w:sz w:val="22"/>
          <w:lang w:val="sr-Cyrl-RS"/>
        </w:rPr>
        <w:t xml:space="preserve"> </w:t>
      </w:r>
      <w:r w:rsidR="00FD7CB3" w:rsidRPr="00EF2F18">
        <w:rPr>
          <w:rFonts w:cs="Times New Roman"/>
          <w:sz w:val="22"/>
          <w:lang w:val="sr-Cyrl-RS"/>
        </w:rPr>
        <w:t xml:space="preserve">настоји да оснажи глобални одговор на претње изазване климатским променама, укључујући ограничење раста просечне глобалне температуре. </w:t>
      </w:r>
      <w:r w:rsidR="004B61DE" w:rsidRPr="00EF2F18">
        <w:rPr>
          <w:rFonts w:cs="Times New Roman"/>
          <w:sz w:val="22"/>
          <w:lang w:val="sr-Cyrl-RS"/>
        </w:rPr>
        <w:t>С</w:t>
      </w:r>
      <w:r w:rsidR="00FD7CB3" w:rsidRPr="00EF2F18">
        <w:rPr>
          <w:rFonts w:cs="Times New Roman"/>
          <w:sz w:val="22"/>
          <w:lang w:val="sr-Cyrl-RS"/>
        </w:rPr>
        <w:t>поразум</w:t>
      </w:r>
      <w:r w:rsidR="004B61DE" w:rsidRPr="00EF2F18">
        <w:rPr>
          <w:rFonts w:cs="Times New Roman"/>
          <w:sz w:val="22"/>
          <w:lang w:val="sr-Cyrl-RS"/>
        </w:rPr>
        <w:t xml:space="preserve"> из Париза</w:t>
      </w:r>
      <w:r w:rsidR="00FD7CB3" w:rsidRPr="00EF2F18">
        <w:rPr>
          <w:rFonts w:cs="Times New Roman"/>
          <w:sz w:val="22"/>
          <w:lang w:val="sr-Cyrl-RS"/>
        </w:rPr>
        <w:t xml:space="preserve"> усвојен је у децембру 2015. године, а Република Србија га је потврдила</w:t>
      </w:r>
      <w:r w:rsidR="005E42D2" w:rsidRPr="00EF2F18">
        <w:rPr>
          <w:rFonts w:cs="Times New Roman"/>
          <w:sz w:val="22"/>
          <w:lang w:val="sr-Cyrl-RS"/>
        </w:rPr>
        <w:t xml:space="preserve"> </w:t>
      </w:r>
      <w:r w:rsidRPr="00EF2F18">
        <w:rPr>
          <w:rFonts w:cs="Times New Roman"/>
          <w:sz w:val="22"/>
          <w:lang w:val="sr-Cyrl-RS"/>
        </w:rPr>
        <w:t>2017. године.</w:t>
      </w:r>
      <w:r w:rsidR="00F26C75" w:rsidRPr="00EF2F18">
        <w:rPr>
          <w:rFonts w:cs="Times New Roman"/>
          <w:sz w:val="22"/>
          <w:lang w:val="sr-Cyrl-RS"/>
        </w:rPr>
        <w:t xml:space="preserve"> </w:t>
      </w:r>
      <w:r w:rsidR="00F26C75" w:rsidRPr="00EF2F18">
        <w:rPr>
          <w:rFonts w:eastAsia="Calibri" w:cs="Times New Roman"/>
          <w:sz w:val="22"/>
          <w:lang w:val="sr-Cyrl-RS"/>
        </w:rPr>
        <w:t xml:space="preserve">Такође, глобални оквир биодиверзитета после 2020. године усвојен на 15. заседању земаља чланица УН Конвенције о биолошкој разноврсности под називом Кунминг – Монтреал глобални оквир биодиверзитета, обухвата </w:t>
      </w:r>
      <w:r w:rsidR="00204FF0">
        <w:rPr>
          <w:rFonts w:eastAsia="Calibri" w:cs="Times New Roman"/>
          <w:sz w:val="22"/>
          <w:lang w:val="sr-Cyrl-RS"/>
        </w:rPr>
        <w:t>четири</w:t>
      </w:r>
      <w:r w:rsidR="00F26C75" w:rsidRPr="00EF2F18">
        <w:rPr>
          <w:rFonts w:eastAsia="Calibri" w:cs="Times New Roman"/>
          <w:sz w:val="22"/>
          <w:lang w:val="sr-Cyrl-RS"/>
        </w:rPr>
        <w:t xml:space="preserve"> општа и 23 посебна циља са елементима који ће омогућити њихово спровођење.</w:t>
      </w:r>
    </w:p>
    <w:p w14:paraId="6475D173" w14:textId="3C59EEAB" w:rsidR="00B55BBA" w:rsidRPr="00EF2F18" w:rsidRDefault="00E914A6" w:rsidP="00AA0693">
      <w:pPr>
        <w:spacing w:after="0"/>
        <w:ind w:left="-15" w:right="-7" w:firstLine="735"/>
        <w:jc w:val="both"/>
        <w:rPr>
          <w:rFonts w:cs="Times New Roman"/>
          <w:sz w:val="22"/>
          <w:lang w:val="sr-Cyrl-RS"/>
        </w:rPr>
      </w:pPr>
      <w:r w:rsidRPr="00EF2F18">
        <w:rPr>
          <w:rFonts w:cs="Times New Roman"/>
          <w:sz w:val="22"/>
          <w:lang w:val="sr-Cyrl-RS"/>
        </w:rPr>
        <w:t>На нивоу ЕУ постоје бројни документи јавних политика којима се остварују циљеви одрживог раз</w:t>
      </w:r>
      <w:r w:rsidR="00C64F4E" w:rsidRPr="00EF2F18">
        <w:rPr>
          <w:rFonts w:cs="Times New Roman"/>
          <w:sz w:val="22"/>
          <w:lang w:val="sr-Cyrl-RS"/>
        </w:rPr>
        <w:t>воја</w:t>
      </w:r>
      <w:r w:rsidRPr="00EF2F18">
        <w:rPr>
          <w:rFonts w:cs="Times New Roman"/>
          <w:sz w:val="22"/>
          <w:lang w:val="sr-Cyrl-RS"/>
        </w:rPr>
        <w:t>, од који</w:t>
      </w:r>
      <w:r w:rsidR="00C64F4E" w:rsidRPr="00EF2F18">
        <w:rPr>
          <w:rFonts w:cs="Times New Roman"/>
          <w:sz w:val="22"/>
          <w:lang w:val="sr-Cyrl-RS"/>
        </w:rPr>
        <w:t>х</w:t>
      </w:r>
      <w:r w:rsidRPr="00EF2F18">
        <w:rPr>
          <w:rFonts w:cs="Times New Roman"/>
          <w:sz w:val="22"/>
          <w:lang w:val="sr-Cyrl-RS"/>
        </w:rPr>
        <w:t xml:space="preserve"> је ве</w:t>
      </w:r>
      <w:r w:rsidR="00C64F4E" w:rsidRPr="00EF2F18">
        <w:rPr>
          <w:rFonts w:cs="Times New Roman"/>
          <w:sz w:val="22"/>
          <w:lang w:val="sr-Cyrl-RS"/>
        </w:rPr>
        <w:t>о</w:t>
      </w:r>
      <w:r w:rsidRPr="00EF2F18">
        <w:rPr>
          <w:rFonts w:cs="Times New Roman"/>
          <w:sz w:val="22"/>
          <w:lang w:val="sr-Cyrl-RS"/>
        </w:rPr>
        <w:t>ма значајан Европски зелени договор</w:t>
      </w:r>
      <w:r w:rsidR="00AA0693" w:rsidRPr="00EF2F18">
        <w:rPr>
          <w:rFonts w:cs="Times New Roman"/>
          <w:sz w:val="22"/>
          <w:lang w:val="sr-Cyrl-RS"/>
        </w:rPr>
        <w:t xml:space="preserve">. </w:t>
      </w:r>
    </w:p>
    <w:p w14:paraId="3855843E" w14:textId="1F1A7904" w:rsidR="00AA0693" w:rsidRPr="00EF2F18" w:rsidRDefault="00AA0693" w:rsidP="00AA0693">
      <w:pPr>
        <w:spacing w:after="0"/>
        <w:ind w:left="-15" w:right="-7" w:firstLine="735"/>
        <w:jc w:val="both"/>
        <w:rPr>
          <w:rFonts w:cs="Times New Roman"/>
          <w:bCs/>
          <w:sz w:val="22"/>
          <w:lang w:val="sr-Cyrl-RS"/>
        </w:rPr>
      </w:pPr>
      <w:r w:rsidRPr="00EF2F18">
        <w:rPr>
          <w:rFonts w:cs="Times New Roman"/>
          <w:b/>
          <w:sz w:val="22"/>
          <w:lang w:val="sr-Cyrl-RS"/>
        </w:rPr>
        <w:t>Европским зеленим договором</w:t>
      </w:r>
      <w:r w:rsidRPr="00EF2F18">
        <w:rPr>
          <w:rFonts w:cs="Times New Roman"/>
          <w:sz w:val="22"/>
          <w:lang w:val="sr-Cyrl-RS"/>
        </w:rPr>
        <w:t xml:space="preserve"> Европска унија се обавезала на испуњење циљева из Агенде 2030</w:t>
      </w:r>
      <w:r w:rsidR="009A03AB" w:rsidRPr="00EF2F18">
        <w:rPr>
          <w:rFonts w:cs="Times New Roman"/>
          <w:sz w:val="22"/>
          <w:lang w:val="sr-Cyrl-RS"/>
        </w:rPr>
        <w:t>.</w:t>
      </w:r>
      <w:r w:rsidRPr="00EF2F18">
        <w:rPr>
          <w:rFonts w:cs="Times New Roman"/>
          <w:sz w:val="22"/>
          <w:lang w:val="sr-Cyrl-RS"/>
        </w:rPr>
        <w:t xml:space="preserve"> и </w:t>
      </w:r>
      <w:r w:rsidR="004B61DE" w:rsidRPr="00EF2F18">
        <w:rPr>
          <w:rFonts w:cs="Times New Roman"/>
          <w:sz w:val="22"/>
          <w:lang w:val="sr-Cyrl-RS"/>
        </w:rPr>
        <w:t>С</w:t>
      </w:r>
      <w:r w:rsidR="00FD7CB3" w:rsidRPr="00EF2F18">
        <w:rPr>
          <w:rFonts w:cs="Times New Roman"/>
          <w:sz w:val="22"/>
          <w:lang w:val="sr-Cyrl-RS"/>
        </w:rPr>
        <w:t>поразума</w:t>
      </w:r>
      <w:r w:rsidR="004B61DE" w:rsidRPr="00EF2F18">
        <w:rPr>
          <w:rFonts w:cs="Times New Roman"/>
          <w:sz w:val="22"/>
          <w:lang w:val="sr-Cyrl-RS"/>
        </w:rPr>
        <w:t xml:space="preserve"> из Париза</w:t>
      </w:r>
      <w:r w:rsidR="00FD7CB3" w:rsidRPr="00EF2F18">
        <w:rPr>
          <w:rFonts w:cs="Times New Roman"/>
          <w:sz w:val="22"/>
          <w:lang w:val="sr-Cyrl-RS"/>
        </w:rPr>
        <w:t xml:space="preserve">. Зелени договор је најављен као најамбициознији пакет мера како би Европа до 2050. године постала први климатски неутралан континент, са нултом емисијом гасова са ефектом стаклене баште. Потписивањем </w:t>
      </w:r>
      <w:r w:rsidR="00FD7CB3" w:rsidRPr="00EF2F18">
        <w:rPr>
          <w:rFonts w:cs="Times New Roman"/>
          <w:b/>
          <w:sz w:val="22"/>
          <w:lang w:val="sr-Cyrl-RS"/>
        </w:rPr>
        <w:t>Софијске декларације о Зеленој агенди за Западни Балкан</w:t>
      </w:r>
      <w:r w:rsidR="00FD7CB3" w:rsidRPr="00EF2F18">
        <w:rPr>
          <w:rFonts w:cs="Times New Roman"/>
          <w:sz w:val="22"/>
          <w:lang w:val="sr-Cyrl-RS"/>
        </w:rPr>
        <w:t xml:space="preserve"> 2020. године, Република Србија се обавезала да ће спроводити препоручене мере у пет </w:t>
      </w:r>
      <w:r w:rsidR="00E914A6" w:rsidRPr="00EF2F18">
        <w:rPr>
          <w:rFonts w:cs="Times New Roman"/>
          <w:sz w:val="22"/>
          <w:lang w:val="sr-Cyrl-RS"/>
        </w:rPr>
        <w:t>стубова</w:t>
      </w:r>
      <w:r w:rsidR="00FD7CB3" w:rsidRPr="00EF2F18">
        <w:rPr>
          <w:rFonts w:cs="Times New Roman"/>
          <w:sz w:val="22"/>
          <w:lang w:val="sr-Cyrl-RS"/>
        </w:rPr>
        <w:t xml:space="preserve"> </w:t>
      </w:r>
      <w:r w:rsidRPr="00EF2F18">
        <w:rPr>
          <w:rFonts w:cs="Times New Roman"/>
          <w:sz w:val="22"/>
          <w:lang w:val="sr-Cyrl-RS"/>
        </w:rPr>
        <w:t>које обухвата ова стратегија (декарбонизација, циркуларна економија, смањење загађења, заштита и очување биодиверзитета и одржива пољопривреда и рурални развој). Ова декларација</w:t>
      </w:r>
      <w:r w:rsidR="00702C51" w:rsidRPr="00EF2F18">
        <w:rPr>
          <w:rFonts w:cs="Times New Roman"/>
          <w:sz w:val="22"/>
          <w:lang w:val="sr-Cyrl-RS"/>
        </w:rPr>
        <w:t xml:space="preserve"> </w:t>
      </w:r>
      <w:r w:rsidRPr="00EF2F18">
        <w:rPr>
          <w:rFonts w:cs="Times New Roman"/>
          <w:sz w:val="22"/>
          <w:lang w:val="sr-Cyrl-RS"/>
        </w:rPr>
        <w:t>треба да подстакн</w:t>
      </w:r>
      <w:r w:rsidR="00702C51" w:rsidRPr="00EF2F18">
        <w:rPr>
          <w:rFonts w:cs="Times New Roman"/>
          <w:sz w:val="22"/>
          <w:lang w:val="sr-Cyrl-RS"/>
        </w:rPr>
        <w:t>е</w:t>
      </w:r>
      <w:r w:rsidRPr="00EF2F18">
        <w:rPr>
          <w:rFonts w:cs="Times New Roman"/>
          <w:sz w:val="22"/>
          <w:lang w:val="sr-Cyrl-RS"/>
        </w:rPr>
        <w:t xml:space="preserve"> </w:t>
      </w:r>
      <w:r w:rsidR="00702C51" w:rsidRPr="00EF2F18">
        <w:rPr>
          <w:rFonts w:cs="Times New Roman"/>
          <w:sz w:val="22"/>
          <w:lang w:val="sr-Cyrl-RS"/>
        </w:rPr>
        <w:t xml:space="preserve">стварање одрживијег и здравијег животног </w:t>
      </w:r>
      <w:r w:rsidR="00702C51" w:rsidRPr="00EF2F18">
        <w:rPr>
          <w:rFonts w:cs="Times New Roman"/>
          <w:sz w:val="22"/>
          <w:lang w:val="sr-Cyrl-RS"/>
        </w:rPr>
        <w:lastRenderedPageBreak/>
        <w:t>окружења за све грађане</w:t>
      </w:r>
      <w:r w:rsidR="00C64F4E" w:rsidRPr="00EF2F18">
        <w:rPr>
          <w:rFonts w:cs="Times New Roman"/>
          <w:sz w:val="22"/>
          <w:lang w:val="sr-Cyrl-RS"/>
        </w:rPr>
        <w:t xml:space="preserve"> у земљама Западног Балкана</w:t>
      </w:r>
      <w:r w:rsidR="00702C51" w:rsidRPr="00EF2F18">
        <w:rPr>
          <w:rFonts w:cs="Times New Roman"/>
          <w:sz w:val="22"/>
          <w:lang w:val="sr-Cyrl-RS"/>
        </w:rPr>
        <w:t>,</w:t>
      </w:r>
      <w:r w:rsidRPr="00EF2F18">
        <w:rPr>
          <w:rFonts w:cs="Times New Roman"/>
          <w:sz w:val="22"/>
          <w:lang w:val="sr-Cyrl-RS"/>
        </w:rPr>
        <w:t xml:space="preserve"> док ће само спровођење мера бити подржано од Европске уније у складу са Економским и инвестиционим планом за Западни Балкан. У октобру 2021. године </w:t>
      </w:r>
      <w:r w:rsidR="00596EB6" w:rsidRPr="00EF2F18">
        <w:rPr>
          <w:rFonts w:cs="Times New Roman"/>
          <w:sz w:val="22"/>
          <w:lang w:val="sr-Cyrl-RS"/>
        </w:rPr>
        <w:t xml:space="preserve">договорен </w:t>
      </w:r>
      <w:r w:rsidRPr="00EF2F18">
        <w:rPr>
          <w:rFonts w:cs="Times New Roman"/>
          <w:sz w:val="22"/>
          <w:lang w:val="sr-Cyrl-RS"/>
        </w:rPr>
        <w:t xml:space="preserve">је и </w:t>
      </w:r>
      <w:r w:rsidRPr="00EF2F18">
        <w:rPr>
          <w:rFonts w:cs="Times New Roman"/>
          <w:b/>
          <w:sz w:val="22"/>
          <w:lang w:val="sr-Cyrl-RS"/>
        </w:rPr>
        <w:t>Акциони план за спровођење Зелене агенде за Западни Балкан</w:t>
      </w:r>
      <w:r w:rsidR="00FD7CB3" w:rsidRPr="00EF2F18">
        <w:rPr>
          <w:rFonts w:cs="Times New Roman"/>
          <w:bCs/>
          <w:sz w:val="22"/>
          <w:lang w:val="sr-Cyrl-RS"/>
        </w:rPr>
        <w:t xml:space="preserve">, који </w:t>
      </w:r>
      <w:r w:rsidR="001511A0" w:rsidRPr="00EF2F18">
        <w:rPr>
          <w:rFonts w:cs="Times New Roman"/>
          <w:bCs/>
          <w:sz w:val="22"/>
          <w:lang w:val="sr-Cyrl-RS"/>
        </w:rPr>
        <w:t xml:space="preserve">утврђује оквир за координацију </w:t>
      </w:r>
      <w:r w:rsidR="001511A0" w:rsidRPr="00EF2F18">
        <w:rPr>
          <w:sz w:val="22"/>
          <w:lang w:val="sr-Cyrl-RS"/>
        </w:rPr>
        <w:t>и праћење реализације,</w:t>
      </w:r>
      <w:r w:rsidR="004074F4" w:rsidRPr="00EF2F18">
        <w:rPr>
          <w:sz w:val="22"/>
          <w:lang w:val="sr-Cyrl-RS"/>
        </w:rPr>
        <w:t xml:space="preserve"> док је главна одговорност за спровођење на </w:t>
      </w:r>
      <w:r w:rsidR="00596EB6" w:rsidRPr="00EF2F18">
        <w:rPr>
          <w:sz w:val="22"/>
          <w:lang w:val="sr-Cyrl-RS"/>
        </w:rPr>
        <w:t xml:space="preserve">странама потписницама </w:t>
      </w:r>
      <w:r w:rsidR="00A479B8" w:rsidRPr="00EF2F18">
        <w:rPr>
          <w:rFonts w:cs="Times New Roman"/>
          <w:bCs/>
          <w:sz w:val="22"/>
          <w:lang w:val="sr-Cyrl-RS"/>
        </w:rPr>
        <w:t>Софијске декларације о Зеленој агенди за Западни Балкан</w:t>
      </w:r>
      <w:r w:rsidR="00A479B8" w:rsidRPr="00EF2F18" w:rsidDel="00A479B8">
        <w:rPr>
          <w:bCs/>
          <w:sz w:val="22"/>
          <w:lang w:val="sr-Cyrl-RS"/>
        </w:rPr>
        <w:t xml:space="preserve"> </w:t>
      </w:r>
      <w:r w:rsidR="004074F4" w:rsidRPr="00EF2F18">
        <w:rPr>
          <w:bCs/>
          <w:sz w:val="22"/>
          <w:lang w:val="sr-Cyrl-RS"/>
        </w:rPr>
        <w:t>на основу међусекторске и међуинституционалне сарадње на регионалном нивоу.</w:t>
      </w:r>
    </w:p>
    <w:p w14:paraId="28F02A57" w14:textId="282E4EAC" w:rsidR="0038022C" w:rsidRPr="00EF2F18" w:rsidRDefault="00AA0693" w:rsidP="00AA0693">
      <w:pPr>
        <w:spacing w:after="0"/>
        <w:ind w:right="-7" w:firstLine="720"/>
        <w:jc w:val="both"/>
        <w:rPr>
          <w:rFonts w:cs="Times New Roman"/>
          <w:sz w:val="22"/>
          <w:lang w:val="sr-Cyrl-RS"/>
        </w:rPr>
      </w:pPr>
      <w:r w:rsidRPr="00EF2F18">
        <w:rPr>
          <w:rFonts w:cs="Times New Roman"/>
          <w:sz w:val="22"/>
          <w:lang w:val="sr-Cyrl-RS"/>
        </w:rPr>
        <w:t xml:space="preserve">Поред Европског </w:t>
      </w:r>
      <w:r w:rsidR="001511A0" w:rsidRPr="00EF2F18">
        <w:rPr>
          <w:rFonts w:cs="Times New Roman"/>
          <w:sz w:val="22"/>
          <w:lang w:val="sr-Cyrl-RS"/>
        </w:rPr>
        <w:t>З</w:t>
      </w:r>
      <w:r w:rsidRPr="00EF2F18">
        <w:rPr>
          <w:rFonts w:cs="Times New Roman"/>
          <w:sz w:val="22"/>
          <w:lang w:val="sr-Cyrl-RS"/>
        </w:rPr>
        <w:t>еленог договора, низ других стратешких докумената ЕУ је релевантан за израду ове Стратегије</w:t>
      </w:r>
      <w:r w:rsidR="00CC1B9F" w:rsidRPr="00EF2F18">
        <w:rPr>
          <w:rFonts w:cs="Times New Roman"/>
          <w:sz w:val="22"/>
          <w:lang w:val="sr-Cyrl-RS"/>
        </w:rPr>
        <w:t>,</w:t>
      </w:r>
      <w:r w:rsidRPr="00EF2F18">
        <w:rPr>
          <w:rFonts w:cs="Times New Roman"/>
          <w:sz w:val="22"/>
          <w:lang w:val="sr-Cyrl-RS"/>
        </w:rPr>
        <w:t xml:space="preserve"> односно њене појединачне стубове. </w:t>
      </w:r>
      <w:r w:rsidR="008B09CD" w:rsidRPr="00EF2F18">
        <w:rPr>
          <w:rFonts w:cs="Times New Roman"/>
          <w:b/>
          <w:bCs/>
          <w:sz w:val="22"/>
          <w:lang w:val="sr-Cyrl-RS"/>
        </w:rPr>
        <w:t>Климатски пакет</w:t>
      </w:r>
      <w:r w:rsidR="008B09CD" w:rsidRPr="00EF2F18">
        <w:rPr>
          <w:rFonts w:cs="Times New Roman"/>
          <w:sz w:val="22"/>
          <w:lang w:val="sr-Cyrl-RS"/>
        </w:rPr>
        <w:t xml:space="preserve"> </w:t>
      </w:r>
      <w:r w:rsidR="007B3705" w:rsidRPr="00EF2F18">
        <w:rPr>
          <w:rFonts w:cs="Times New Roman"/>
          <w:b/>
          <w:sz w:val="22"/>
          <w:lang w:val="sr-Cyrl-RS"/>
        </w:rPr>
        <w:t>„</w:t>
      </w:r>
      <w:r w:rsidRPr="00EF2F18">
        <w:rPr>
          <w:rFonts w:cs="Times New Roman"/>
          <w:b/>
          <w:bCs/>
          <w:sz w:val="22"/>
          <w:lang w:val="sr-Cyrl-RS"/>
        </w:rPr>
        <w:t>Спремни за 55%</w:t>
      </w:r>
      <w:r w:rsidR="007B3705" w:rsidRPr="00EF2F18">
        <w:rPr>
          <w:rFonts w:cs="Times New Roman"/>
          <w:b/>
          <w:bCs/>
          <w:sz w:val="22"/>
          <w:lang w:val="sr-Cyrl-RS"/>
        </w:rPr>
        <w:t>”</w:t>
      </w:r>
      <w:r w:rsidRPr="00EF2F18">
        <w:rPr>
          <w:rFonts w:cs="Times New Roman"/>
          <w:b/>
          <w:bCs/>
          <w:sz w:val="22"/>
          <w:lang w:val="sr-Cyrl-RS"/>
        </w:rPr>
        <w:t xml:space="preserve"> (</w:t>
      </w:r>
      <w:r w:rsidRPr="00EF2F18">
        <w:rPr>
          <w:rFonts w:cs="Times New Roman"/>
          <w:b/>
          <w:bCs/>
          <w:i/>
          <w:iCs/>
          <w:sz w:val="22"/>
          <w:lang w:val="sr-Cyrl-RS"/>
        </w:rPr>
        <w:t>Fit for 55</w:t>
      </w:r>
      <w:r w:rsidRPr="00EF2F18">
        <w:rPr>
          <w:rFonts w:cs="Times New Roman"/>
          <w:b/>
          <w:bCs/>
          <w:sz w:val="22"/>
          <w:lang w:val="sr-Cyrl-RS"/>
        </w:rPr>
        <w:t>)</w:t>
      </w:r>
      <w:r w:rsidRPr="00EF2F18">
        <w:rPr>
          <w:rFonts w:cs="Times New Roman"/>
          <w:sz w:val="22"/>
          <w:lang w:val="sr-Cyrl-RS"/>
        </w:rPr>
        <w:t xml:space="preserve"> је донет како би се главне политике ЕУ ускладиле са циљем смањења емисиј</w:t>
      </w:r>
      <w:r w:rsidR="00CC1B9F" w:rsidRPr="00EF2F18">
        <w:rPr>
          <w:rFonts w:cs="Times New Roman"/>
          <w:sz w:val="22"/>
          <w:lang w:val="sr-Cyrl-RS"/>
        </w:rPr>
        <w:t>а</w:t>
      </w:r>
      <w:r w:rsidRPr="00EF2F18">
        <w:rPr>
          <w:rFonts w:cs="Times New Roman"/>
          <w:sz w:val="22"/>
          <w:lang w:val="sr-Cyrl-RS"/>
        </w:rPr>
        <w:t xml:space="preserve"> гасова с ефектом стаклене баште за најмање 55</w:t>
      </w:r>
      <w:r w:rsidR="00FD7CB3" w:rsidRPr="00EF2F18">
        <w:rPr>
          <w:rFonts w:cs="Times New Roman"/>
          <w:sz w:val="22"/>
          <w:lang w:val="sr-Cyrl-RS"/>
        </w:rPr>
        <w:t>%</w:t>
      </w:r>
      <w:r w:rsidRPr="00EF2F18">
        <w:rPr>
          <w:rFonts w:cs="Times New Roman"/>
          <w:sz w:val="22"/>
          <w:lang w:val="sr-Cyrl-RS"/>
        </w:rPr>
        <w:t xml:space="preserve"> до 2030. године у односу на ниво из 1990. Пакет је део Европског зеленог договора и укључује и нову ЕУ стратегију за прилагођавање на измењене климатске услове. </w:t>
      </w:r>
      <w:r w:rsidR="00FD7CB3" w:rsidRPr="00EF2F18">
        <w:rPr>
          <w:rFonts w:cs="Times New Roman"/>
          <w:sz w:val="22"/>
          <w:lang w:val="sr-Cyrl-RS"/>
        </w:rPr>
        <w:t>Њиме је Европска комисија предложила законодавне инструменте за постизање циљева договорених у европском Закону о клими</w:t>
      </w:r>
      <w:r w:rsidR="003246E2" w:rsidRPr="00EF2F18">
        <w:rPr>
          <w:rFonts w:cs="Times New Roman"/>
          <w:sz w:val="22"/>
          <w:lang w:val="sr-Cyrl-RS"/>
        </w:rPr>
        <w:t xml:space="preserve"> који је усвојен 2021. године</w:t>
      </w:r>
      <w:r w:rsidR="00FD7CB3" w:rsidRPr="00EF2F18">
        <w:rPr>
          <w:rFonts w:cs="Times New Roman"/>
          <w:sz w:val="22"/>
          <w:lang w:val="sr-Cyrl-RS"/>
        </w:rPr>
        <w:t xml:space="preserve">. </w:t>
      </w:r>
      <w:r w:rsidR="00FD7CB3" w:rsidRPr="00EF2F18">
        <w:rPr>
          <w:rFonts w:cs="Times New Roman"/>
          <w:b/>
          <w:bCs/>
          <w:sz w:val="22"/>
          <w:lang w:val="sr-Cyrl-RS"/>
        </w:rPr>
        <w:t>ЕУ Стратегија прилагођавања на измењене климатске услове</w:t>
      </w:r>
      <w:r w:rsidR="00FD7CB3" w:rsidRPr="00EF2F18">
        <w:rPr>
          <w:rFonts w:cs="Times New Roman"/>
          <w:sz w:val="22"/>
          <w:lang w:val="sr-Cyrl-RS"/>
        </w:rPr>
        <w:t xml:space="preserve"> је усвојена 2021. године, на темељу претходне ЕУ Стратегије из 2013. године. Стратегија представља дугорочну визију ЕУ као друштва отпорног на измењене климатске услове и у потпуности прилагођеног њиховим неизбежним утицајима до 2050. године. </w:t>
      </w:r>
      <w:r w:rsidR="00FD7CB3" w:rsidRPr="00EF2F18">
        <w:rPr>
          <w:rFonts w:cs="Times New Roman"/>
          <w:b/>
          <w:bCs/>
          <w:sz w:val="22"/>
          <w:lang w:val="sr-Cyrl-RS"/>
        </w:rPr>
        <w:t>Стратегија одрживе и паметне мобилности</w:t>
      </w:r>
      <w:r w:rsidR="00FD7CB3" w:rsidRPr="00EF2F18">
        <w:rPr>
          <w:rFonts w:cs="Times New Roman"/>
          <w:sz w:val="22"/>
          <w:lang w:val="sr-Cyrl-RS"/>
        </w:rPr>
        <w:t xml:space="preserve">, </w:t>
      </w:r>
      <w:r w:rsidR="003246E2" w:rsidRPr="00EF2F18">
        <w:rPr>
          <w:rFonts w:cs="Times New Roman"/>
          <w:sz w:val="22"/>
          <w:lang w:val="sr-Cyrl-RS"/>
        </w:rPr>
        <w:t xml:space="preserve">усвојена 2020. године, </w:t>
      </w:r>
      <w:r w:rsidRPr="00EF2F18">
        <w:rPr>
          <w:rFonts w:cs="Times New Roman"/>
          <w:sz w:val="22"/>
          <w:lang w:val="sr-Cyrl-RS"/>
        </w:rPr>
        <w:t>заједно са Акционим планом</w:t>
      </w:r>
      <w:r w:rsidR="003246E2" w:rsidRPr="00EF2F18">
        <w:rPr>
          <w:rFonts w:cs="Times New Roman"/>
          <w:sz w:val="22"/>
          <w:lang w:val="sr-Cyrl-RS"/>
        </w:rPr>
        <w:t xml:space="preserve"> </w:t>
      </w:r>
      <w:r w:rsidRPr="00EF2F18">
        <w:rPr>
          <w:rFonts w:cs="Times New Roman"/>
          <w:sz w:val="22"/>
          <w:lang w:val="sr-Cyrl-RS"/>
        </w:rPr>
        <w:t xml:space="preserve">поставља основу за то како транспортни систем ЕУ може да постигне своју зелену и дигиталну трансформацију и постане отпорнији на измењене климатске услове. </w:t>
      </w:r>
    </w:p>
    <w:p w14:paraId="0365D902" w14:textId="2DB1F6BA" w:rsidR="0038022C" w:rsidRPr="00EF2F18" w:rsidRDefault="0038022C" w:rsidP="0038022C">
      <w:pPr>
        <w:spacing w:after="0"/>
        <w:ind w:right="-7" w:firstLine="720"/>
        <w:jc w:val="both"/>
        <w:rPr>
          <w:rFonts w:cs="Times New Roman"/>
          <w:sz w:val="22"/>
          <w:lang w:val="sr-Cyrl-RS"/>
        </w:rPr>
      </w:pPr>
      <w:r w:rsidRPr="00EF2F18">
        <w:rPr>
          <w:rFonts w:cs="Times New Roman"/>
          <w:b/>
          <w:sz w:val="22"/>
          <w:lang w:val="sr-Cyrl-RS"/>
        </w:rPr>
        <w:t>Нова индустријска стратегија за Европу</w:t>
      </w:r>
      <w:r w:rsidRPr="00EF2F18">
        <w:rPr>
          <w:rFonts w:cs="Times New Roman"/>
          <w:sz w:val="22"/>
          <w:lang w:val="sr-Cyrl-RS"/>
        </w:rPr>
        <w:t xml:space="preserve"> </w:t>
      </w:r>
      <w:r w:rsidR="003246E2" w:rsidRPr="00EF2F18">
        <w:rPr>
          <w:rFonts w:cs="Times New Roman"/>
          <w:bCs/>
          <w:sz w:val="22"/>
          <w:lang w:val="sr-Cyrl-RS"/>
        </w:rPr>
        <w:t xml:space="preserve">усвојена 2020. године и допуњена 2021. године, </w:t>
      </w:r>
      <w:r w:rsidRPr="00EF2F18">
        <w:rPr>
          <w:rFonts w:cs="Times New Roman"/>
          <w:bCs/>
          <w:sz w:val="22"/>
          <w:lang w:val="sr-Cyrl-RS"/>
        </w:rPr>
        <w:t>д</w:t>
      </w:r>
      <w:r w:rsidRPr="00EF2F18">
        <w:rPr>
          <w:rFonts w:cs="Times New Roman"/>
          <w:sz w:val="22"/>
          <w:lang w:val="sr-Cyrl-RS"/>
        </w:rPr>
        <w:t>аје смернице за развој индустрије као кључног сектора за будући развој и благостање Европе. Новим</w:t>
      </w:r>
      <w:r w:rsidRPr="00EF2F18">
        <w:rPr>
          <w:rFonts w:cs="Times New Roman"/>
          <w:b/>
          <w:sz w:val="22"/>
          <w:lang w:val="sr-Cyrl-RS"/>
        </w:rPr>
        <w:t xml:space="preserve"> Акционим планом за циркуларну економију </w:t>
      </w:r>
      <w:r w:rsidR="006157B8" w:rsidRPr="00EF2F18">
        <w:rPr>
          <w:rFonts w:cs="Times New Roman"/>
          <w:b/>
          <w:sz w:val="22"/>
          <w:lang w:val="sr-Cyrl-RS"/>
        </w:rPr>
        <w:t>–</w:t>
      </w:r>
      <w:r w:rsidRPr="00EF2F18">
        <w:rPr>
          <w:rFonts w:cs="Times New Roman"/>
          <w:b/>
          <w:sz w:val="22"/>
          <w:lang w:val="sr-Cyrl-RS"/>
        </w:rPr>
        <w:t xml:space="preserve"> за чистију и конкурентнију Европу</w:t>
      </w:r>
      <w:r w:rsidR="003246E2" w:rsidRPr="00EF2F18">
        <w:rPr>
          <w:rFonts w:cs="Times New Roman"/>
          <w:b/>
          <w:sz w:val="22"/>
          <w:lang w:val="sr-Cyrl-RS"/>
        </w:rPr>
        <w:t xml:space="preserve"> </w:t>
      </w:r>
      <w:r w:rsidR="003246E2" w:rsidRPr="00EF2F18">
        <w:rPr>
          <w:rFonts w:cs="Times New Roman"/>
          <w:sz w:val="22"/>
          <w:lang w:val="sr-Cyrl-RS"/>
        </w:rPr>
        <w:t>који је усвојен 202</w:t>
      </w:r>
      <w:r w:rsidR="0015396E" w:rsidRPr="00EF2F18">
        <w:rPr>
          <w:rFonts w:cs="Times New Roman"/>
          <w:sz w:val="22"/>
          <w:lang w:val="sr-Cyrl-RS"/>
        </w:rPr>
        <w:t>0</w:t>
      </w:r>
      <w:r w:rsidR="003246E2" w:rsidRPr="00EF2F18">
        <w:rPr>
          <w:rFonts w:cs="Times New Roman"/>
          <w:sz w:val="22"/>
          <w:lang w:val="sr-Cyrl-RS"/>
        </w:rPr>
        <w:t>. године,</w:t>
      </w:r>
      <w:r w:rsidRPr="00EF2F18">
        <w:rPr>
          <w:rFonts w:cs="Times New Roman"/>
          <w:sz w:val="22"/>
          <w:lang w:val="sr-Cyrl-RS"/>
        </w:rPr>
        <w:t xml:space="preserve"> представљен је скуп међусобно повезаних иницијатива за успостављање чврстог и усклађеног оквира политике у којем ће одрживи производи, услуге и пословни модели постати стандард, а обрасци потрошње трансформисати тако да не долази до генерисања отпада. </w:t>
      </w:r>
      <w:r w:rsidR="007D5FF0" w:rsidRPr="00EF2F18">
        <w:rPr>
          <w:rFonts w:cs="Times New Roman"/>
          <w:sz w:val="22"/>
          <w:lang w:val="sr-Cyrl-RS"/>
        </w:rPr>
        <w:t>Ц</w:t>
      </w:r>
      <w:r w:rsidR="0070748A" w:rsidRPr="00EF2F18">
        <w:rPr>
          <w:rFonts w:cs="Times New Roman"/>
          <w:sz w:val="22"/>
          <w:lang w:val="sr-Cyrl-RS"/>
        </w:rPr>
        <w:t xml:space="preserve">иркуларна економија у складу са наведеним је модел производње и потрошње, који укључује дељење, уступање, поновну употребу, поправку, обнављање и рециклажу постојећих материјала и производа што је дуже могуће. На овај начин се продужава животни циклус производа. </w:t>
      </w:r>
      <w:r w:rsidRPr="00EF2F18">
        <w:rPr>
          <w:rFonts w:cs="Times New Roman"/>
          <w:b/>
          <w:sz w:val="22"/>
          <w:lang w:val="sr-Cyrl-RS"/>
        </w:rPr>
        <w:t>Европска</w:t>
      </w:r>
      <w:r w:rsidRPr="00EF2F18">
        <w:rPr>
          <w:rFonts w:cs="Times New Roman"/>
          <w:sz w:val="22"/>
          <w:lang w:val="sr-Cyrl-RS"/>
        </w:rPr>
        <w:t xml:space="preserve"> </w:t>
      </w:r>
      <w:r w:rsidRPr="00EF2F18">
        <w:rPr>
          <w:rFonts w:cs="Times New Roman"/>
          <w:b/>
          <w:sz w:val="22"/>
          <w:lang w:val="sr-Cyrl-RS"/>
        </w:rPr>
        <w:t>стратегија за пластику у циркуларној економији</w:t>
      </w:r>
      <w:r w:rsidR="003246E2" w:rsidRPr="00EF2F18">
        <w:rPr>
          <w:rFonts w:cs="Times New Roman"/>
          <w:b/>
          <w:sz w:val="22"/>
          <w:lang w:val="sr-Cyrl-RS"/>
        </w:rPr>
        <w:t>,</w:t>
      </w:r>
      <w:r w:rsidRPr="00EF2F18">
        <w:rPr>
          <w:rFonts w:cs="Times New Roman"/>
          <w:sz w:val="22"/>
          <w:lang w:val="sr-Cyrl-RS"/>
        </w:rPr>
        <w:t xml:space="preserve"> </w:t>
      </w:r>
      <w:r w:rsidR="003246E2" w:rsidRPr="00EF2F18">
        <w:rPr>
          <w:rFonts w:cs="Times New Roman"/>
          <w:sz w:val="22"/>
          <w:lang w:val="sr-Cyrl-RS"/>
        </w:rPr>
        <w:t xml:space="preserve">усвојена 2018. године, </w:t>
      </w:r>
      <w:r w:rsidRPr="00EF2F18">
        <w:rPr>
          <w:rFonts w:cs="Times New Roman"/>
          <w:sz w:val="22"/>
          <w:lang w:val="sr-Cyrl-RS"/>
        </w:rPr>
        <w:t xml:space="preserve">према програму до 2030. године подстиче циркуларни приступ којим се даје предност рециклажи амбалаже од пластике. </w:t>
      </w:r>
      <w:r w:rsidR="00A23EC7" w:rsidRPr="00EF2F18">
        <w:rPr>
          <w:rFonts w:cs="Times New Roman"/>
          <w:b/>
          <w:sz w:val="22"/>
          <w:lang w:val="sr-Cyrl-RS"/>
        </w:rPr>
        <w:t xml:space="preserve">Европска стратегија за одрживе и циркуларне текстилне производе </w:t>
      </w:r>
      <w:r w:rsidR="00A23EC7" w:rsidRPr="00EF2F18">
        <w:rPr>
          <w:rFonts w:cs="Times New Roman"/>
          <w:sz w:val="22"/>
          <w:lang w:val="sr-Cyrl-RS"/>
        </w:rPr>
        <w:t>усвојена 2022. године поставља нов приступ у увођењу захтева за еко</w:t>
      </w:r>
      <w:r w:rsidR="005F3A51" w:rsidRPr="00EF2F18">
        <w:rPr>
          <w:rFonts w:cs="Times New Roman"/>
          <w:sz w:val="22"/>
          <w:lang w:val="sr-Cyrl-RS"/>
        </w:rPr>
        <w:t>-</w:t>
      </w:r>
      <w:r w:rsidR="00A23EC7" w:rsidRPr="00EF2F18">
        <w:rPr>
          <w:rFonts w:cs="Times New Roman"/>
          <w:sz w:val="22"/>
          <w:lang w:val="sr-Cyrl-RS"/>
        </w:rPr>
        <w:t xml:space="preserve">дизајн, преокретање тренда прекомерне производње и прекомерне потрошње одеће </w:t>
      </w:r>
      <w:r w:rsidR="005F3A51" w:rsidRPr="00EF2F18">
        <w:rPr>
          <w:rFonts w:cs="Times New Roman"/>
          <w:sz w:val="22"/>
          <w:lang w:val="sr-Cyrl-RS"/>
        </w:rPr>
        <w:t>„</w:t>
      </w:r>
      <w:r w:rsidR="00A23EC7" w:rsidRPr="00EF2F18">
        <w:rPr>
          <w:rFonts w:cs="Times New Roman"/>
          <w:sz w:val="22"/>
          <w:lang w:val="sr-Cyrl-RS"/>
        </w:rPr>
        <w:t>брза мода није више у моди</w:t>
      </w:r>
      <w:r w:rsidR="001947D7" w:rsidRPr="00EF2F18">
        <w:rPr>
          <w:rFonts w:cs="Times New Roman"/>
          <w:sz w:val="22"/>
          <w:lang w:val="sr-Cyrl-RS"/>
        </w:rPr>
        <w:t>”</w:t>
      </w:r>
      <w:r w:rsidR="00A23EC7" w:rsidRPr="00EF2F18">
        <w:rPr>
          <w:rFonts w:cs="Times New Roman"/>
          <w:sz w:val="22"/>
          <w:lang w:val="sr-Cyrl-RS"/>
        </w:rPr>
        <w:t>, мера за сузбијање ослобађања микропластике из текстила,</w:t>
      </w:r>
      <w:r w:rsidR="00A23EC7" w:rsidRPr="00EF2F18">
        <w:rPr>
          <w:lang w:val="sr-Cyrl-RS"/>
        </w:rPr>
        <w:t xml:space="preserve"> п</w:t>
      </w:r>
      <w:r w:rsidR="00A23EC7" w:rsidRPr="00EF2F18">
        <w:rPr>
          <w:rFonts w:cs="Times New Roman"/>
          <w:sz w:val="22"/>
          <w:lang w:val="sr-Cyrl-RS"/>
        </w:rPr>
        <w:t xml:space="preserve">роширене одговорности произвођача и подстицање поновне употребе и рециклаже текстилног отпада као и развоју иновација у овој области. </w:t>
      </w:r>
      <w:r w:rsidR="00A23EC7" w:rsidRPr="00EF2F18">
        <w:rPr>
          <w:rFonts w:cs="Times New Roman"/>
          <w:b/>
          <w:sz w:val="22"/>
          <w:lang w:val="sr-Cyrl-RS"/>
        </w:rPr>
        <w:t>Одржива биоекономија за Европу: јачање везе између привреде, друштва и животне средине</w:t>
      </w:r>
      <w:r w:rsidR="00A23EC7" w:rsidRPr="00EF2F18">
        <w:rPr>
          <w:rFonts w:cs="Times New Roman"/>
          <w:sz w:val="22"/>
          <w:lang w:val="sr-Cyrl-RS"/>
        </w:rPr>
        <w:t xml:space="preserve"> која је усвојена 2018. године обухвата све секторе и системе који се ослањају на биолошке ресурсе (животиње, биљке, микроорганизме и добијену биомасу, укључујући органски отпад), поставља системски приступ у циљу осигуравања безбедности хране и исхране, одрживог управљања природним ресурсима, смањења зависности од необновљивих ресурса, ублажавања и прилагођавања климатским промена као и јачању европске конкурентности и отварању радних места.</w:t>
      </w:r>
    </w:p>
    <w:p w14:paraId="7542E71B" w14:textId="5FF212B8" w:rsidR="0038022C" w:rsidRPr="00EF2F18" w:rsidRDefault="0038022C" w:rsidP="0038022C">
      <w:pPr>
        <w:spacing w:after="0"/>
        <w:ind w:right="-7" w:firstLine="720"/>
        <w:jc w:val="both"/>
        <w:rPr>
          <w:rFonts w:cs="Times New Roman"/>
          <w:sz w:val="22"/>
          <w:lang w:val="sr-Cyrl-RS"/>
        </w:rPr>
      </w:pPr>
      <w:r w:rsidRPr="00EF2F18">
        <w:rPr>
          <w:rFonts w:cs="Times New Roman"/>
          <w:sz w:val="22"/>
          <w:lang w:val="sr-Cyrl-RS"/>
        </w:rPr>
        <w:t xml:space="preserve">У погледу смањења загађења ваздуха, ЕУ је </w:t>
      </w:r>
      <w:r w:rsidR="000803CF" w:rsidRPr="00EF2F18">
        <w:rPr>
          <w:rFonts w:cs="Times New Roman"/>
          <w:sz w:val="22"/>
          <w:lang w:val="sr-Cyrl-RS"/>
        </w:rPr>
        <w:t xml:space="preserve">2013. године </w:t>
      </w:r>
      <w:r w:rsidRPr="00EF2F18">
        <w:rPr>
          <w:rFonts w:cs="Times New Roman"/>
          <w:sz w:val="22"/>
          <w:lang w:val="sr-Cyrl-RS"/>
        </w:rPr>
        <w:t xml:space="preserve">усвојила </w:t>
      </w:r>
      <w:r w:rsidRPr="00EF2F18">
        <w:rPr>
          <w:rFonts w:cs="Times New Roman"/>
          <w:b/>
          <w:bCs/>
          <w:sz w:val="22"/>
          <w:lang w:val="sr-Cyrl-RS"/>
        </w:rPr>
        <w:t>Програм чистог ваздуха за Европу</w:t>
      </w:r>
      <w:r w:rsidRPr="00EF2F18">
        <w:rPr>
          <w:rFonts w:cs="Times New Roman"/>
          <w:sz w:val="22"/>
          <w:lang w:val="sr-Cyrl-RS"/>
        </w:rPr>
        <w:t xml:space="preserve"> и усмерила пажњу на утврђивање минималних стандарда квалитета за амбијентални ваздух и на решавање проблема киселих киша и приземног озона. Смањене су емисије загађујућих материја из великих постројења за сагоревање и из мобилних извора, побољшан је квалитет горива, а захтеви који се односе на заштиту животне средине интегрисани су у секторе саобраћаја и енергетике. </w:t>
      </w:r>
      <w:r w:rsidRPr="00EF2F18">
        <w:rPr>
          <w:rFonts w:cs="Times New Roman"/>
          <w:b/>
          <w:bCs/>
          <w:sz w:val="22"/>
          <w:lang w:val="sr-Cyrl-RS"/>
        </w:rPr>
        <w:t>Стратегија ЕУ о земљишту до 2030.</w:t>
      </w:r>
      <w:r w:rsidR="006157B8" w:rsidRPr="00EF2F18">
        <w:rPr>
          <w:rFonts w:cs="Times New Roman"/>
          <w:iCs/>
          <w:sz w:val="22"/>
          <w:lang w:val="sr-Cyrl-RS"/>
        </w:rPr>
        <w:t xml:space="preserve"> </w:t>
      </w:r>
      <w:r w:rsidR="006157B8" w:rsidRPr="00EF2F18">
        <w:rPr>
          <w:rFonts w:cs="Times New Roman"/>
          <w:b/>
          <w:iCs/>
          <w:sz w:val="22"/>
          <w:lang w:val="sr-Cyrl-RS"/>
        </w:rPr>
        <w:t>године</w:t>
      </w:r>
      <w:r w:rsidR="000803CF" w:rsidRPr="00EF2F18">
        <w:rPr>
          <w:rFonts w:cs="Times New Roman"/>
          <w:b/>
          <w:bCs/>
          <w:sz w:val="22"/>
          <w:lang w:val="sr-Cyrl-RS"/>
        </w:rPr>
        <w:t xml:space="preserve">, </w:t>
      </w:r>
      <w:r w:rsidR="000803CF" w:rsidRPr="00EF2F18">
        <w:rPr>
          <w:rFonts w:cs="Times New Roman"/>
          <w:sz w:val="22"/>
          <w:lang w:val="sr-Cyrl-RS"/>
        </w:rPr>
        <w:t>усвојена 2021. године,</w:t>
      </w:r>
      <w:r w:rsidRPr="00EF2F18">
        <w:rPr>
          <w:rFonts w:cs="Times New Roman"/>
          <w:b/>
          <w:bCs/>
          <w:sz w:val="22"/>
          <w:lang w:val="sr-Cyrl-RS"/>
        </w:rPr>
        <w:t xml:space="preserve"> </w:t>
      </w:r>
      <w:r w:rsidRPr="00EF2F18">
        <w:rPr>
          <w:rFonts w:cs="Times New Roman"/>
          <w:sz w:val="22"/>
          <w:lang w:val="sr-Cyrl-RS"/>
        </w:rPr>
        <w:t xml:space="preserve">представља оквир за обнову земљишта, како би се проценио статус европског </w:t>
      </w:r>
      <w:r w:rsidR="001B69A9" w:rsidRPr="00EF2F18">
        <w:rPr>
          <w:rFonts w:cs="Times New Roman"/>
          <w:sz w:val="22"/>
          <w:lang w:val="sr-Cyrl-RS"/>
        </w:rPr>
        <w:t xml:space="preserve">земљишта </w:t>
      </w:r>
      <w:r w:rsidRPr="00EF2F18">
        <w:rPr>
          <w:rFonts w:cs="Times New Roman"/>
          <w:sz w:val="22"/>
          <w:lang w:val="sr-Cyrl-RS"/>
        </w:rPr>
        <w:t>и предузеле мере против његове деградације.</w:t>
      </w:r>
      <w:r w:rsidRPr="00EF2F18">
        <w:rPr>
          <w:rFonts w:cs="Times New Roman"/>
          <w:b/>
          <w:bCs/>
          <w:sz w:val="22"/>
          <w:lang w:val="sr-Cyrl-RS"/>
        </w:rPr>
        <w:t xml:space="preserve"> </w:t>
      </w:r>
      <w:r w:rsidRPr="00EF2F18">
        <w:rPr>
          <w:rFonts w:cs="Times New Roman"/>
          <w:sz w:val="22"/>
          <w:lang w:val="sr-Cyrl-RS"/>
        </w:rPr>
        <w:t xml:space="preserve">Стратегија поставља низ амбициозних и неопходних циљева за обнављање земљишта ЕУ. </w:t>
      </w:r>
      <w:r w:rsidRPr="00EF2F18">
        <w:rPr>
          <w:rFonts w:cs="Times New Roman"/>
          <w:b/>
          <w:sz w:val="22"/>
          <w:lang w:val="sr-Cyrl-RS"/>
        </w:rPr>
        <w:t>Стратегија за одрживост у области хемикалија</w:t>
      </w:r>
      <w:r w:rsidR="000803CF" w:rsidRPr="00EF2F18">
        <w:rPr>
          <w:rFonts w:cs="Times New Roman"/>
          <w:b/>
          <w:sz w:val="22"/>
          <w:lang w:val="sr-Cyrl-RS"/>
        </w:rPr>
        <w:t xml:space="preserve">, </w:t>
      </w:r>
      <w:r w:rsidR="000803CF" w:rsidRPr="00EF2F18">
        <w:rPr>
          <w:rFonts w:cs="Times New Roman"/>
          <w:sz w:val="22"/>
          <w:lang w:val="sr-Cyrl-RS"/>
        </w:rPr>
        <w:t>усвојена 20</w:t>
      </w:r>
      <w:r w:rsidR="000665DD" w:rsidRPr="00EF2F18">
        <w:rPr>
          <w:rFonts w:cs="Times New Roman"/>
          <w:sz w:val="22"/>
          <w:lang w:val="sr-Cyrl-RS"/>
        </w:rPr>
        <w:t>20</w:t>
      </w:r>
      <w:r w:rsidR="000803CF" w:rsidRPr="00EF2F18">
        <w:rPr>
          <w:rFonts w:cs="Times New Roman"/>
          <w:sz w:val="22"/>
          <w:lang w:val="sr-Cyrl-RS"/>
        </w:rPr>
        <w:t>. године,</w:t>
      </w:r>
      <w:r w:rsidRPr="00EF2F18">
        <w:rPr>
          <w:rFonts w:cs="Times New Roman"/>
          <w:sz w:val="22"/>
          <w:lang w:val="sr-Cyrl-RS"/>
        </w:rPr>
        <w:t xml:space="preserve"> додатно се бави везом између ЕУ прописа о хемикалијама, производима и отпаду и јача синергију са циркуларном економијом. Ова стратегија је усмерена </w:t>
      </w:r>
      <w:r w:rsidRPr="00EF2F18">
        <w:rPr>
          <w:rFonts w:cs="Times New Roman"/>
          <w:sz w:val="22"/>
          <w:lang w:val="sr-Cyrl-RS"/>
        </w:rPr>
        <w:lastRenderedPageBreak/>
        <w:t xml:space="preserve">ка остварењу амбиције нултог загађења животне средине без токсичних материја која је утврђена у Европском зеленом договору. </w:t>
      </w:r>
    </w:p>
    <w:p w14:paraId="113E00F5" w14:textId="605C213C" w:rsidR="0038022C" w:rsidRPr="00EF2F18" w:rsidRDefault="0038022C" w:rsidP="0038022C">
      <w:pPr>
        <w:spacing w:after="0"/>
        <w:ind w:right="-7" w:firstLine="720"/>
        <w:jc w:val="both"/>
        <w:rPr>
          <w:rFonts w:cs="Times New Roman"/>
          <w:sz w:val="22"/>
          <w:lang w:val="sr-Cyrl-RS"/>
        </w:rPr>
      </w:pPr>
      <w:r w:rsidRPr="00EF2F18">
        <w:rPr>
          <w:rFonts w:cs="Times New Roman"/>
          <w:b/>
          <w:bCs/>
          <w:sz w:val="22"/>
          <w:lang w:val="sr-Cyrl-RS"/>
        </w:rPr>
        <w:t>Стратегија ЕУ о биодиверзитету до 2030.</w:t>
      </w:r>
      <w:r w:rsidR="006157B8" w:rsidRPr="00EF2F18">
        <w:rPr>
          <w:rFonts w:cs="Times New Roman"/>
          <w:iCs/>
          <w:sz w:val="22"/>
          <w:lang w:val="sr-Cyrl-RS"/>
        </w:rPr>
        <w:t xml:space="preserve"> </w:t>
      </w:r>
      <w:r w:rsidR="006157B8" w:rsidRPr="00EF2F18">
        <w:rPr>
          <w:rFonts w:cs="Times New Roman"/>
          <w:b/>
          <w:iCs/>
          <w:sz w:val="22"/>
          <w:lang w:val="sr-Cyrl-RS"/>
        </w:rPr>
        <w:t>године</w:t>
      </w:r>
      <w:r w:rsidR="000803CF" w:rsidRPr="00EF2F18">
        <w:rPr>
          <w:rFonts w:cs="Times New Roman"/>
          <w:b/>
          <w:bCs/>
          <w:sz w:val="22"/>
          <w:lang w:val="sr-Cyrl-RS"/>
        </w:rPr>
        <w:t xml:space="preserve">, </w:t>
      </w:r>
      <w:r w:rsidR="000803CF" w:rsidRPr="00EF2F18">
        <w:rPr>
          <w:rFonts w:cs="Times New Roman"/>
          <w:sz w:val="22"/>
          <w:lang w:val="sr-Cyrl-RS"/>
        </w:rPr>
        <w:t>усвојена 2020. године,</w:t>
      </w:r>
      <w:r w:rsidRPr="00EF2F18">
        <w:rPr>
          <w:rFonts w:cs="Times New Roman"/>
          <w:sz w:val="22"/>
          <w:lang w:val="sr-Cyrl-RS"/>
        </w:rPr>
        <w:t xml:space="preserve"> садржи мере како би се остварио опоравак биодиверзитета Европе, а намера је да се најмање 30% европског копна и мора претвори у заштићена подручја којима се управља на ефикасан начин, као и преображај најмање 10% пољопривредног земљишта у пределе које одликује висок ниво биодиверзитета. </w:t>
      </w:r>
      <w:hyperlink r:id="rId11" w:history="1">
        <w:r w:rsidRPr="00EF2F18">
          <w:rPr>
            <w:rFonts w:cs="Times New Roman"/>
            <w:b/>
            <w:bCs/>
            <w:sz w:val="22"/>
            <w:lang w:val="sr-Cyrl-RS"/>
          </w:rPr>
          <w:t>Стратегиј</w:t>
        </w:r>
        <w:r w:rsidR="007F4EA5" w:rsidRPr="00EF2F18">
          <w:rPr>
            <w:rFonts w:cs="Times New Roman"/>
            <w:b/>
            <w:bCs/>
            <w:sz w:val="22"/>
            <w:lang w:val="sr-Cyrl-RS"/>
          </w:rPr>
          <w:t>а</w:t>
        </w:r>
        <w:r w:rsidRPr="00EF2F18">
          <w:rPr>
            <w:rFonts w:cs="Times New Roman"/>
            <w:b/>
            <w:bCs/>
            <w:sz w:val="22"/>
            <w:lang w:val="sr-Cyrl-RS"/>
          </w:rPr>
          <w:t xml:space="preserve"> ЕУ за шуме до 2030.</w:t>
        </w:r>
      </w:hyperlink>
      <w:r w:rsidR="006157B8" w:rsidRPr="00EF2F18">
        <w:rPr>
          <w:rFonts w:cs="Times New Roman"/>
          <w:iCs/>
          <w:sz w:val="22"/>
          <w:lang w:val="sr-Cyrl-RS"/>
        </w:rPr>
        <w:t xml:space="preserve"> </w:t>
      </w:r>
      <w:r w:rsidR="006157B8" w:rsidRPr="00EF2F18">
        <w:rPr>
          <w:rFonts w:cs="Times New Roman"/>
          <w:b/>
          <w:iCs/>
          <w:sz w:val="22"/>
          <w:lang w:val="sr-Cyrl-RS"/>
        </w:rPr>
        <w:t>године</w:t>
      </w:r>
      <w:r w:rsidR="000803CF" w:rsidRPr="00EF2F18">
        <w:rPr>
          <w:rFonts w:cs="Times New Roman"/>
          <w:sz w:val="22"/>
          <w:lang w:val="sr-Cyrl-RS"/>
        </w:rPr>
        <w:t>,</w:t>
      </w:r>
      <w:r w:rsidR="008A1E33" w:rsidRPr="00EF2F18">
        <w:rPr>
          <w:rFonts w:cs="Times New Roman"/>
          <w:sz w:val="22"/>
          <w:lang w:val="sr-Cyrl-RS"/>
        </w:rPr>
        <w:t xml:space="preserve"> </w:t>
      </w:r>
      <w:r w:rsidRPr="00EF2F18">
        <w:rPr>
          <w:rFonts w:cs="Times New Roman"/>
          <w:sz w:val="22"/>
          <w:lang w:val="sr-Cyrl-RS"/>
        </w:rPr>
        <w:t xml:space="preserve">је једна од кључних иницијатива у оквиру </w:t>
      </w:r>
      <w:hyperlink r:id="rId12" w:history="1">
        <w:r w:rsidRPr="00EF2F18">
          <w:rPr>
            <w:rFonts w:cs="Times New Roman"/>
            <w:sz w:val="22"/>
            <w:lang w:val="sr-Cyrl-RS"/>
          </w:rPr>
          <w:t>Зеленог договора</w:t>
        </w:r>
      </w:hyperlink>
      <w:r w:rsidRPr="00EF2F18">
        <w:rPr>
          <w:rFonts w:cs="Times New Roman"/>
          <w:sz w:val="22"/>
          <w:lang w:val="sr-Cyrl-RS"/>
        </w:rPr>
        <w:t>. Стратегија има</w:t>
      </w:r>
      <w:r w:rsidR="00E32028" w:rsidRPr="00EF2F18">
        <w:rPr>
          <w:rFonts w:cs="Times New Roman"/>
          <w:sz w:val="22"/>
          <w:lang w:val="sr-Cyrl-RS"/>
        </w:rPr>
        <w:t xml:space="preserve"> за</w:t>
      </w:r>
      <w:r w:rsidRPr="00EF2F18">
        <w:rPr>
          <w:rFonts w:cs="Times New Roman"/>
          <w:sz w:val="22"/>
          <w:lang w:val="sr-Cyrl-RS"/>
        </w:rPr>
        <w:t xml:space="preserve"> циљ да допринесе достизању постављених циљева у вези са биодиверзитетом, као и да допринесе смањењу </w:t>
      </w:r>
      <w:r w:rsidRPr="00EF2F18">
        <w:rPr>
          <w:rFonts w:cs="Times New Roman"/>
          <w:i/>
          <w:iCs/>
          <w:sz w:val="22"/>
          <w:lang w:val="sr-Cyrl-RS"/>
        </w:rPr>
        <w:t>GHG</w:t>
      </w:r>
      <w:r w:rsidRPr="00EF2F18">
        <w:rPr>
          <w:rFonts w:cs="Times New Roman"/>
          <w:sz w:val="22"/>
          <w:lang w:val="sr-Cyrl-RS"/>
        </w:rPr>
        <w:t xml:space="preserve"> од најмање 55% до 2030. године, односно, остваривању угљеничне неутралности до </w:t>
      </w:r>
      <w:r w:rsidR="007B3705" w:rsidRPr="00EF2F18">
        <w:rPr>
          <w:rFonts w:cs="Times New Roman"/>
          <w:sz w:val="22"/>
          <w:lang w:val="sr-Cyrl-RS"/>
        </w:rPr>
        <w:t>2050</w:t>
      </w:r>
      <w:r w:rsidRPr="00EF2F18">
        <w:rPr>
          <w:rFonts w:cs="Times New Roman"/>
          <w:sz w:val="22"/>
          <w:lang w:val="sr-Cyrl-RS"/>
        </w:rPr>
        <w:t xml:space="preserve">. године. Стратегија препознаје кључну и мултифункционалну улогу шума, што, између осталог, помаже ЕУ да испуни своју обавезу да повећа уклањање угљеника природним понорима према </w:t>
      </w:r>
      <w:hyperlink r:id="rId13" w:history="1">
        <w:r w:rsidRPr="00EF2F18">
          <w:rPr>
            <w:rFonts w:cs="Times New Roman"/>
            <w:sz w:val="22"/>
            <w:lang w:val="sr-Cyrl-RS"/>
          </w:rPr>
          <w:t>Закону о клими</w:t>
        </w:r>
      </w:hyperlink>
      <w:r w:rsidRPr="00EF2F18">
        <w:rPr>
          <w:rFonts w:cs="Times New Roman"/>
          <w:sz w:val="22"/>
          <w:lang w:val="sr-Cyrl-RS"/>
        </w:rPr>
        <w:t>.</w:t>
      </w:r>
    </w:p>
    <w:p w14:paraId="5B99629E" w14:textId="3BAA8D94" w:rsidR="00643A0C" w:rsidRPr="00EF2F18" w:rsidRDefault="00AA0693" w:rsidP="00643A0C">
      <w:pPr>
        <w:spacing w:after="0"/>
        <w:ind w:right="-7" w:firstLine="720"/>
        <w:jc w:val="both"/>
        <w:rPr>
          <w:rFonts w:cs="Times New Roman"/>
          <w:sz w:val="22"/>
          <w:lang w:val="sr-Cyrl-RS"/>
        </w:rPr>
      </w:pPr>
      <w:r w:rsidRPr="00EF2F18">
        <w:rPr>
          <w:rFonts w:cs="Times New Roman"/>
          <w:b/>
          <w:sz w:val="22"/>
          <w:lang w:val="sr-Cyrl-RS"/>
        </w:rPr>
        <w:t xml:space="preserve">Стратегија од ,,њиве до трпезе” </w:t>
      </w:r>
      <w:r w:rsidRPr="00EF2F18">
        <w:rPr>
          <w:rFonts w:cs="Times New Roman"/>
          <w:sz w:val="22"/>
          <w:lang w:val="sr-Cyrl-RS"/>
        </w:rPr>
        <w:t>(</w:t>
      </w:r>
      <w:r w:rsidRPr="00EF2F18">
        <w:rPr>
          <w:rFonts w:cs="Times New Roman"/>
          <w:i/>
          <w:iCs/>
          <w:sz w:val="22"/>
          <w:lang w:val="sr-Cyrl-RS"/>
        </w:rPr>
        <w:t>Farm to fork Strategy</w:t>
      </w:r>
      <w:r w:rsidRPr="00EF2F18">
        <w:rPr>
          <w:rFonts w:cs="Times New Roman"/>
          <w:sz w:val="22"/>
          <w:lang w:val="sr-Cyrl-RS"/>
        </w:rPr>
        <w:t>)</w:t>
      </w:r>
      <w:r w:rsidR="000803CF" w:rsidRPr="00EF2F18">
        <w:rPr>
          <w:rFonts w:cs="Times New Roman"/>
          <w:sz w:val="22"/>
          <w:lang w:val="sr-Cyrl-RS"/>
        </w:rPr>
        <w:t xml:space="preserve"> је усвојена 2020. године и бави се</w:t>
      </w:r>
      <w:r w:rsidR="00715DC5" w:rsidRPr="00EF2F18">
        <w:rPr>
          <w:rFonts w:cs="Times New Roman"/>
          <w:sz w:val="22"/>
          <w:lang w:val="sr-Cyrl-RS"/>
        </w:rPr>
        <w:t xml:space="preserve"> </w:t>
      </w:r>
      <w:r w:rsidRPr="00EF2F18">
        <w:rPr>
          <w:rFonts w:cs="Times New Roman"/>
          <w:sz w:val="22"/>
          <w:lang w:val="sr-Cyrl-RS"/>
        </w:rPr>
        <w:t>одрживом пољопривредом и производњом хране, смањењем настајања отпада од хране, стварањем повољног прехрамбеног окружења које олакшава одабир здраве хране у циљу побољшања здравља и квалитета живота потрошача и помаже друштву да смањи трошкове повезане са здрављем.</w:t>
      </w:r>
      <w:r w:rsidR="00B577F5" w:rsidRPr="00EF2F18">
        <w:rPr>
          <w:rFonts w:cs="Times New Roman"/>
          <w:sz w:val="22"/>
          <w:lang w:val="sr-Cyrl-RS"/>
        </w:rPr>
        <w:t xml:space="preserve"> </w:t>
      </w:r>
      <w:r w:rsidRPr="00EF2F18">
        <w:rPr>
          <w:rFonts w:cs="Times New Roman"/>
          <w:sz w:val="22"/>
          <w:lang w:val="sr-Cyrl-RS"/>
        </w:rPr>
        <w:t xml:space="preserve">Ова стратегија омогућиће прелазак на одржив прехрамбени систем који гарантује сигурност снабдевања храном и приступ здравим намирницама које потичу са здраве планете. Овом стратегијом ће се смањити еколошки и климатски отисак прехрамбеног система ЕУ и ојачати његова отпорност на измењене климатске услове, заштитити здравље грађана и осигурати даљи рад привредних субјеката. </w:t>
      </w:r>
      <w:r w:rsidR="00643A0C" w:rsidRPr="00EF2F18">
        <w:rPr>
          <w:rFonts w:cs="Times New Roman"/>
          <w:sz w:val="22"/>
          <w:lang w:val="sr-Cyrl-RS"/>
        </w:rPr>
        <w:t>У оквиру стратегије ,,oд њиве до трпезе”, Европска комисија је поставила циљ да се до 2030. године „најмање 25% пољопривредног земљишта у ЕУ нађе под орга</w:t>
      </w:r>
      <w:r w:rsidR="009D4E50">
        <w:rPr>
          <w:rFonts w:cs="Times New Roman"/>
          <w:sz w:val="22"/>
          <w:lang w:val="sr-Cyrl-RS"/>
        </w:rPr>
        <w:t>нском пољопривредом и да се ост</w:t>
      </w:r>
      <w:r w:rsidR="00643A0C" w:rsidRPr="00EF2F18">
        <w:rPr>
          <w:rFonts w:cs="Times New Roman"/>
          <w:sz w:val="22"/>
          <w:lang w:val="sr-Cyrl-RS"/>
        </w:rPr>
        <w:t>в</w:t>
      </w:r>
      <w:r w:rsidR="009D4E50">
        <w:rPr>
          <w:rFonts w:cs="Times New Roman"/>
          <w:sz w:val="22"/>
          <w:lang w:val="sr-Cyrl-RS"/>
        </w:rPr>
        <w:t>а</w:t>
      </w:r>
      <w:r w:rsidR="00643A0C" w:rsidRPr="00EF2F18">
        <w:rPr>
          <w:rFonts w:cs="Times New Roman"/>
          <w:sz w:val="22"/>
          <w:lang w:val="sr-Cyrl-RS"/>
        </w:rPr>
        <w:t>ри значајно повећање органске аквакултуре. Ове циљеви ће се се спроводити кроз различите инструменте, као део ширег напора ЕУ да се смањи утицај људских активности на животну средину и подстакне одрживи развој</w:t>
      </w:r>
      <w:r w:rsidR="00C43ADC">
        <w:rPr>
          <w:rFonts w:cs="Times New Roman"/>
          <w:sz w:val="22"/>
          <w:lang w:val="sr-Cyrl-RS"/>
        </w:rPr>
        <w:t>.</w:t>
      </w:r>
    </w:p>
    <w:p w14:paraId="563B7938" w14:textId="27223458" w:rsidR="000F6505" w:rsidRPr="00EF2F18" w:rsidRDefault="00FD7CB3" w:rsidP="00FD7CB3">
      <w:pPr>
        <w:pStyle w:val="Default"/>
        <w:ind w:firstLine="720"/>
        <w:jc w:val="both"/>
        <w:rPr>
          <w:rFonts w:ascii="Times New Roman" w:hAnsi="Times New Roman" w:cs="Times New Roman"/>
          <w:sz w:val="22"/>
          <w:szCs w:val="22"/>
          <w:lang w:val="sr-Cyrl-RS" w:eastAsia="en-GB"/>
        </w:rPr>
      </w:pPr>
      <w:r w:rsidRPr="00EF2F18">
        <w:rPr>
          <w:rFonts w:ascii="Times New Roman" w:hAnsi="Times New Roman" w:cs="Times New Roman"/>
          <w:sz w:val="22"/>
          <w:szCs w:val="22"/>
          <w:lang w:val="sr-Cyrl-RS" w:eastAsia="en-GB"/>
        </w:rPr>
        <w:t>У складу са наведеним стратешким документима, извршена је измена постојећег законодавног оквира ЕУ. С тим у вези, ЕУ</w:t>
      </w:r>
      <w:r w:rsidR="000F6505" w:rsidRPr="00EF2F18">
        <w:rPr>
          <w:rFonts w:ascii="Times New Roman" w:hAnsi="Times New Roman" w:cs="Times New Roman"/>
          <w:sz w:val="22"/>
          <w:szCs w:val="22"/>
          <w:lang w:val="sr-Cyrl-RS" w:eastAsia="en-GB"/>
        </w:rPr>
        <w:t xml:space="preserve"> је усвојила низ </w:t>
      </w:r>
      <w:r w:rsidR="00DD231E" w:rsidRPr="00EF2F18">
        <w:rPr>
          <w:rFonts w:ascii="Times New Roman" w:hAnsi="Times New Roman" w:cs="Times New Roman"/>
          <w:sz w:val="22"/>
          <w:szCs w:val="22"/>
          <w:lang w:val="sr-Cyrl-RS" w:eastAsia="en-GB"/>
        </w:rPr>
        <w:t xml:space="preserve">прописа </w:t>
      </w:r>
      <w:r w:rsidR="000F6505" w:rsidRPr="00EF2F18">
        <w:rPr>
          <w:rFonts w:ascii="Times New Roman" w:hAnsi="Times New Roman" w:cs="Times New Roman"/>
          <w:sz w:val="22"/>
          <w:szCs w:val="22"/>
          <w:lang w:val="sr-Cyrl-RS" w:eastAsia="en-GB"/>
        </w:rPr>
        <w:t>усмерених ка постизању циљева Зелене агенде, којима се предвиђа смањење емисиј</w:t>
      </w:r>
      <w:r w:rsidR="00CC1B9F" w:rsidRPr="00EF2F18">
        <w:rPr>
          <w:rFonts w:ascii="Times New Roman" w:hAnsi="Times New Roman" w:cs="Times New Roman"/>
          <w:sz w:val="22"/>
          <w:szCs w:val="22"/>
          <w:lang w:val="sr-Cyrl-RS" w:eastAsia="en-GB"/>
        </w:rPr>
        <w:t>а</w:t>
      </w:r>
      <w:r w:rsidR="000F6505" w:rsidRPr="00EF2F18">
        <w:rPr>
          <w:rFonts w:ascii="Times New Roman" w:hAnsi="Times New Roman" w:cs="Times New Roman"/>
          <w:sz w:val="22"/>
          <w:szCs w:val="22"/>
          <w:lang w:val="sr-Cyrl-RS" w:eastAsia="en-GB"/>
        </w:rPr>
        <w:t xml:space="preserve"> гасова са ефектом стаклене баште, повећање коришћења обновљивих извора енергије, побољшање енергетске ефикасности, унапређење управљања отпадом и рециклаже, заштит</w:t>
      </w:r>
      <w:r w:rsidR="00C64F4E" w:rsidRPr="00EF2F18">
        <w:rPr>
          <w:rFonts w:ascii="Times New Roman" w:hAnsi="Times New Roman" w:cs="Times New Roman"/>
          <w:sz w:val="22"/>
          <w:szCs w:val="22"/>
          <w:lang w:val="sr-Cyrl-RS" w:eastAsia="en-GB"/>
        </w:rPr>
        <w:t>а</w:t>
      </w:r>
      <w:r w:rsidR="000F6505" w:rsidRPr="00EF2F18">
        <w:rPr>
          <w:rFonts w:ascii="Times New Roman" w:hAnsi="Times New Roman" w:cs="Times New Roman"/>
          <w:sz w:val="22"/>
          <w:szCs w:val="22"/>
          <w:lang w:val="sr-Cyrl-RS" w:eastAsia="en-GB"/>
        </w:rPr>
        <w:t xml:space="preserve"> природних ресурса и биодиверзитета, подршк</w:t>
      </w:r>
      <w:r w:rsidR="00C64F4E" w:rsidRPr="00EF2F18">
        <w:rPr>
          <w:rFonts w:ascii="Times New Roman" w:hAnsi="Times New Roman" w:cs="Times New Roman"/>
          <w:sz w:val="22"/>
          <w:szCs w:val="22"/>
          <w:lang w:val="sr-Cyrl-RS" w:eastAsia="en-GB"/>
        </w:rPr>
        <w:t>а</w:t>
      </w:r>
      <w:r w:rsidR="000F6505" w:rsidRPr="00EF2F18">
        <w:rPr>
          <w:rFonts w:ascii="Times New Roman" w:hAnsi="Times New Roman" w:cs="Times New Roman"/>
          <w:sz w:val="22"/>
          <w:szCs w:val="22"/>
          <w:lang w:val="sr-Cyrl-RS" w:eastAsia="en-GB"/>
        </w:rPr>
        <w:t xml:space="preserve"> еколошки одрживој пољопривреди и рибарству, као и подстицање одрживе мобилности и градњ</w:t>
      </w:r>
      <w:r w:rsidR="00C64F4E" w:rsidRPr="00EF2F18">
        <w:rPr>
          <w:rFonts w:ascii="Times New Roman" w:hAnsi="Times New Roman" w:cs="Times New Roman"/>
          <w:sz w:val="22"/>
          <w:szCs w:val="22"/>
          <w:lang w:val="sr-Cyrl-RS" w:eastAsia="en-GB"/>
        </w:rPr>
        <w:t>а</w:t>
      </w:r>
      <w:r w:rsidR="000F6505" w:rsidRPr="00EF2F18">
        <w:rPr>
          <w:rFonts w:ascii="Times New Roman" w:hAnsi="Times New Roman" w:cs="Times New Roman"/>
          <w:sz w:val="22"/>
          <w:szCs w:val="22"/>
          <w:lang w:val="sr-Cyrl-RS" w:eastAsia="en-GB"/>
        </w:rPr>
        <w:t xml:space="preserve"> зграда са високим енергетским стандардима. Ове директиве се спроводе кроз различите инструменте, као део ширег напора ЕУ да се смањи утицај људских активности на животну средину и подстакне одрживи развој.</w:t>
      </w:r>
    </w:p>
    <w:p w14:paraId="02EA0B47" w14:textId="77777777" w:rsidR="00AA0693" w:rsidRPr="00EF2F18" w:rsidRDefault="00AA0693" w:rsidP="00FB7412">
      <w:pPr>
        <w:pStyle w:val="Default"/>
        <w:spacing w:after="120"/>
        <w:rPr>
          <w:rFonts w:ascii="Times New Roman" w:hAnsi="Times New Roman" w:cs="Times New Roman"/>
          <w:sz w:val="22"/>
          <w:szCs w:val="22"/>
          <w:lang w:val="sr-Cyrl-RS"/>
        </w:rPr>
      </w:pPr>
    </w:p>
    <w:p w14:paraId="3F99981A" w14:textId="47D7A013" w:rsidR="00FB7412" w:rsidRPr="00EF2F18" w:rsidRDefault="00FB7412" w:rsidP="005F5388">
      <w:pPr>
        <w:pStyle w:val="Heading2"/>
        <w:numPr>
          <w:ilvl w:val="1"/>
          <w:numId w:val="2"/>
        </w:numPr>
        <w:ind w:hanging="360"/>
        <w:jc w:val="center"/>
        <w:rPr>
          <w:rFonts w:cs="Times New Roman"/>
          <w:sz w:val="22"/>
          <w:szCs w:val="22"/>
          <w:lang w:val="sr-Cyrl-RS"/>
        </w:rPr>
      </w:pPr>
      <w:bookmarkStart w:id="8" w:name="_Toc158307687"/>
      <w:r w:rsidRPr="00EF2F18">
        <w:rPr>
          <w:rFonts w:cs="Times New Roman"/>
          <w:sz w:val="22"/>
          <w:szCs w:val="22"/>
          <w:lang w:val="sr-Cyrl-RS"/>
        </w:rPr>
        <w:t>Национални оквир јавне политике</w:t>
      </w:r>
      <w:bookmarkEnd w:id="8"/>
    </w:p>
    <w:p w14:paraId="381B23FD" w14:textId="04406D6A" w:rsidR="00AA0693" w:rsidRPr="00EF2F18" w:rsidRDefault="00AA0693" w:rsidP="00AA0693">
      <w:pPr>
        <w:rPr>
          <w:rFonts w:cs="Times New Roman"/>
          <w:sz w:val="22"/>
          <w:lang w:val="sr-Cyrl-RS"/>
        </w:rPr>
      </w:pPr>
    </w:p>
    <w:p w14:paraId="5DAA6D25" w14:textId="44327071" w:rsidR="004B4CE5" w:rsidRPr="00EF2F18" w:rsidRDefault="00FD7CB3" w:rsidP="00C11198">
      <w:pPr>
        <w:spacing w:after="0"/>
        <w:ind w:firstLine="720"/>
        <w:jc w:val="both"/>
        <w:rPr>
          <w:rFonts w:cs="Times New Roman"/>
          <w:sz w:val="22"/>
          <w:lang w:val="sr-Cyrl-RS"/>
        </w:rPr>
      </w:pPr>
      <w:r w:rsidRPr="00EF2F18">
        <w:rPr>
          <w:rFonts w:cs="Times New Roman"/>
          <w:sz w:val="22"/>
          <w:lang w:val="sr-Cyrl-RS"/>
        </w:rPr>
        <w:t>Стратегија је повезана са бројним документима јавних политика (стратегијама и програмима), који су или већ усвојени или су у изради. Такође, из саме Стратегије проистиче низ програма, којима се детаљније уређују питања, као и мере и активности у одређеним областима</w:t>
      </w:r>
      <w:r w:rsidR="00C11198" w:rsidRPr="00EF2F18">
        <w:rPr>
          <w:rFonts w:cs="Times New Roman"/>
          <w:sz w:val="22"/>
          <w:lang w:val="sr-Cyrl-RS"/>
        </w:rPr>
        <w:t>.</w:t>
      </w:r>
    </w:p>
    <w:p w14:paraId="5DBB90D4" w14:textId="72CEE8CF" w:rsidR="000610AC" w:rsidRPr="00EF2F18" w:rsidRDefault="00FD7CB3" w:rsidP="00AA0693">
      <w:pPr>
        <w:spacing w:after="0"/>
        <w:ind w:left="-15" w:right="-7" w:firstLine="720"/>
        <w:jc w:val="both"/>
        <w:rPr>
          <w:rFonts w:cs="Times New Roman"/>
          <w:sz w:val="22"/>
          <w:lang w:val="sr-Cyrl-RS"/>
        </w:rPr>
      </w:pPr>
      <w:r w:rsidRPr="00EF2F18">
        <w:rPr>
          <w:rFonts w:cs="Times New Roman"/>
          <w:sz w:val="22"/>
          <w:lang w:val="sr-Cyrl-RS"/>
        </w:rPr>
        <w:t>У вези са првим</w:t>
      </w:r>
      <w:r w:rsidR="00AA0693" w:rsidRPr="00EF2F18">
        <w:rPr>
          <w:rFonts w:cs="Times New Roman"/>
          <w:sz w:val="22"/>
          <w:lang w:val="sr-Cyrl-RS"/>
        </w:rPr>
        <w:t xml:space="preserve"> стуб</w:t>
      </w:r>
      <w:r w:rsidRPr="00EF2F18">
        <w:rPr>
          <w:rFonts w:cs="Times New Roman"/>
          <w:sz w:val="22"/>
          <w:lang w:val="sr-Cyrl-RS"/>
        </w:rPr>
        <w:t>ом</w:t>
      </w:r>
      <w:r w:rsidR="00AA0693" w:rsidRPr="00EF2F18">
        <w:rPr>
          <w:rFonts w:cs="Times New Roman"/>
          <w:sz w:val="22"/>
          <w:lang w:val="sr-Cyrl-RS"/>
        </w:rPr>
        <w:t xml:space="preserve"> </w:t>
      </w:r>
      <w:r w:rsidR="000610AC" w:rsidRPr="00EF2F18">
        <w:rPr>
          <w:rFonts w:cs="Times New Roman"/>
          <w:sz w:val="22"/>
          <w:lang w:val="sr-Cyrl-RS"/>
        </w:rPr>
        <w:t xml:space="preserve">донета је </w:t>
      </w:r>
      <w:r w:rsidR="000610AC" w:rsidRPr="00EF2F18">
        <w:rPr>
          <w:rFonts w:cs="Times New Roman"/>
          <w:b/>
          <w:bCs/>
          <w:sz w:val="22"/>
          <w:lang w:val="sr-Cyrl-RS"/>
        </w:rPr>
        <w:t>Стратегија нискоугљеничног развоја</w:t>
      </w:r>
      <w:r w:rsidR="000610AC" w:rsidRPr="00EF2F18">
        <w:rPr>
          <w:rFonts w:cs="Times New Roman"/>
          <w:sz w:val="22"/>
          <w:lang w:val="sr-Cyrl-RS"/>
        </w:rPr>
        <w:t xml:space="preserve"> </w:t>
      </w:r>
      <w:r w:rsidR="000610AC" w:rsidRPr="00EF2F18">
        <w:rPr>
          <w:rFonts w:cs="Times New Roman"/>
          <w:b/>
          <w:bCs/>
          <w:sz w:val="22"/>
          <w:lang w:val="sr-Cyrl-RS"/>
        </w:rPr>
        <w:t>Републике Србије за период од 2023. до 2030. године са пројекцијама до 2050. године</w:t>
      </w:r>
      <w:r w:rsidR="000011E5" w:rsidRPr="00EF2F18">
        <w:rPr>
          <w:rFonts w:cs="Times New Roman"/>
          <w:b/>
          <w:bCs/>
          <w:sz w:val="22"/>
          <w:lang w:val="sr-Cyrl-RS"/>
        </w:rPr>
        <w:t xml:space="preserve"> </w:t>
      </w:r>
      <w:r w:rsidR="000011E5" w:rsidRPr="00EF2F18">
        <w:rPr>
          <w:rFonts w:cs="Times New Roman"/>
          <w:sz w:val="22"/>
          <w:lang w:val="sr-Cyrl-RS"/>
        </w:rPr>
        <w:t xml:space="preserve">(„Службени гласник РС”, број </w:t>
      </w:r>
      <w:r w:rsidR="00425FCC" w:rsidRPr="00EF2F18">
        <w:rPr>
          <w:rFonts w:cs="Times New Roman"/>
          <w:sz w:val="22"/>
          <w:lang w:val="sr-Cyrl-RS"/>
        </w:rPr>
        <w:t>46</w:t>
      </w:r>
      <w:r w:rsidR="000011E5" w:rsidRPr="00EF2F18">
        <w:rPr>
          <w:rFonts w:cs="Times New Roman"/>
          <w:sz w:val="22"/>
          <w:lang w:val="sr-Cyrl-RS"/>
        </w:rPr>
        <w:t>/23)</w:t>
      </w:r>
      <w:r w:rsidR="000610AC" w:rsidRPr="00EF2F18">
        <w:rPr>
          <w:rFonts w:cs="Times New Roman"/>
          <w:sz w:val="22"/>
          <w:lang w:val="sr-Cyrl-RS"/>
        </w:rPr>
        <w:t>.</w:t>
      </w:r>
      <w:r w:rsidR="000610AC" w:rsidRPr="00EF2F18">
        <w:rPr>
          <w:rFonts w:cs="Times New Roman"/>
          <w:b/>
          <w:bCs/>
          <w:sz w:val="22"/>
          <w:lang w:val="sr-Cyrl-RS"/>
        </w:rPr>
        <w:t xml:space="preserve"> </w:t>
      </w:r>
      <w:r w:rsidR="00AA0693" w:rsidRPr="00EF2F18">
        <w:rPr>
          <w:rFonts w:cs="Times New Roman"/>
          <w:sz w:val="22"/>
          <w:lang w:val="sr-Cyrl-RS"/>
        </w:rPr>
        <w:t>Стратегија нискоугљеничног развоја уређује мере и активности у складу са обавеза</w:t>
      </w:r>
      <w:r w:rsidR="001B47AD" w:rsidRPr="00EF2F18">
        <w:rPr>
          <w:rFonts w:cs="Times New Roman"/>
          <w:sz w:val="22"/>
          <w:lang w:val="sr-Cyrl-RS"/>
        </w:rPr>
        <w:t>ма</w:t>
      </w:r>
      <w:r w:rsidR="00AA0693" w:rsidRPr="00EF2F18">
        <w:rPr>
          <w:rFonts w:cs="Times New Roman"/>
          <w:sz w:val="22"/>
          <w:lang w:val="sr-Cyrl-RS"/>
        </w:rPr>
        <w:t xml:space="preserve"> Републике Србије према </w:t>
      </w:r>
      <w:r w:rsidR="004B61DE" w:rsidRPr="00EF2F18">
        <w:rPr>
          <w:rFonts w:cs="Times New Roman"/>
          <w:sz w:val="22"/>
          <w:lang w:val="sr-Cyrl-RS"/>
        </w:rPr>
        <w:t>С</w:t>
      </w:r>
      <w:r w:rsidR="00AA0693" w:rsidRPr="00EF2F18">
        <w:rPr>
          <w:rFonts w:cs="Times New Roman"/>
          <w:sz w:val="22"/>
          <w:lang w:val="sr-Cyrl-RS"/>
        </w:rPr>
        <w:t>поразуму</w:t>
      </w:r>
      <w:r w:rsidR="004B61DE" w:rsidRPr="00EF2F18">
        <w:rPr>
          <w:rFonts w:cs="Times New Roman"/>
          <w:sz w:val="22"/>
          <w:lang w:val="sr-Cyrl-RS"/>
        </w:rPr>
        <w:t xml:space="preserve"> из Париза</w:t>
      </w:r>
      <w:r w:rsidR="00AA0693" w:rsidRPr="00EF2F18">
        <w:rPr>
          <w:rFonts w:cs="Times New Roman"/>
          <w:sz w:val="22"/>
          <w:lang w:val="sr-Cyrl-RS"/>
        </w:rPr>
        <w:t xml:space="preserve"> и Оквирној конвенцији Уједињених нација о промени климе</w:t>
      </w:r>
      <w:r w:rsidR="00CC1B9F" w:rsidRPr="00EF2F18">
        <w:rPr>
          <w:rFonts w:cs="Times New Roman"/>
          <w:sz w:val="22"/>
          <w:lang w:val="sr-Cyrl-RS"/>
        </w:rPr>
        <w:t>,</w:t>
      </w:r>
      <w:r w:rsidR="00AA0693" w:rsidRPr="00EF2F18">
        <w:rPr>
          <w:rFonts w:cs="Times New Roman"/>
          <w:sz w:val="22"/>
          <w:lang w:val="sr-Cyrl-RS"/>
        </w:rPr>
        <w:t xml:space="preserve"> којима се омогућава значајан помак српске привреде ка нискоугљеничној и климатски прилагодљивој економији. </w:t>
      </w:r>
    </w:p>
    <w:p w14:paraId="4EE0CF31" w14:textId="385715CD" w:rsidR="00FD7CB3" w:rsidRPr="00EF2F18" w:rsidRDefault="00586980" w:rsidP="00FD7CB3">
      <w:pPr>
        <w:spacing w:after="0"/>
        <w:ind w:left="-15" w:right="-7" w:firstLine="720"/>
        <w:jc w:val="both"/>
        <w:rPr>
          <w:rFonts w:cs="Times New Roman"/>
          <w:sz w:val="22"/>
          <w:lang w:val="sr-Cyrl-RS"/>
        </w:rPr>
      </w:pPr>
      <w:r w:rsidRPr="00EF2F18">
        <w:rPr>
          <w:rFonts w:cs="Times New Roman"/>
          <w:sz w:val="22"/>
          <w:lang w:val="sr-Cyrl-RS"/>
        </w:rPr>
        <w:t xml:space="preserve">Крајем 2023. године </w:t>
      </w:r>
      <w:r w:rsidR="008C1034" w:rsidRPr="00EF2F18">
        <w:rPr>
          <w:rFonts w:cs="Times New Roman"/>
          <w:sz w:val="22"/>
          <w:lang w:val="sr-Cyrl-RS"/>
        </w:rPr>
        <w:t>усв</w:t>
      </w:r>
      <w:r w:rsidRPr="00EF2F18">
        <w:rPr>
          <w:rFonts w:cs="Times New Roman"/>
          <w:sz w:val="22"/>
          <w:lang w:val="sr-Cyrl-RS"/>
        </w:rPr>
        <w:t>ојен је</w:t>
      </w:r>
      <w:r w:rsidR="008C1034" w:rsidRPr="00EF2F18">
        <w:rPr>
          <w:rFonts w:cs="Times New Roman"/>
          <w:i/>
          <w:iCs/>
          <w:sz w:val="22"/>
          <w:lang w:val="sr-Cyrl-RS"/>
        </w:rPr>
        <w:t xml:space="preserve"> </w:t>
      </w:r>
      <w:r w:rsidR="00FD7CB3" w:rsidRPr="00EF2F18">
        <w:rPr>
          <w:rFonts w:cs="Times New Roman"/>
          <w:b/>
          <w:bCs/>
          <w:sz w:val="22"/>
          <w:lang w:val="sr-Cyrl-RS"/>
        </w:rPr>
        <w:t>Програм прилагођавања на измењене климатске услове</w:t>
      </w:r>
      <w:r w:rsidR="008C1034" w:rsidRPr="00EF2F18">
        <w:rPr>
          <w:rFonts w:cs="Times New Roman"/>
          <w:b/>
          <w:bCs/>
          <w:sz w:val="22"/>
          <w:lang w:val="sr-Cyrl-RS"/>
        </w:rPr>
        <w:t xml:space="preserve"> </w:t>
      </w:r>
      <w:r w:rsidR="009E57E9" w:rsidRPr="00EF2F18">
        <w:rPr>
          <w:rFonts w:cs="Times New Roman"/>
          <w:sz w:val="22"/>
          <w:lang w:val="sr-Cyrl-RS"/>
        </w:rPr>
        <w:t>за период од 2023. до 2030. године</w:t>
      </w:r>
      <w:r w:rsidR="00FD7CB3" w:rsidRPr="00EF2F18">
        <w:rPr>
          <w:rFonts w:cs="Times New Roman"/>
          <w:sz w:val="22"/>
          <w:lang w:val="sr-Cyrl-RS"/>
        </w:rPr>
        <w:t xml:space="preserve">, којим ће се предвидети мере за повећање отпорности на климатскe променe ради одржања и потенцијалног побољшања добробити људи, привреде и животне средине у Републици Србији. Да би се то постигло потребно је радити на (1) Повећању свести, унапређењу знања и разумевања утицаја климатских промена и њихових последица; (2) Успостављању и јачању капацитета за планирање, спровођење, праћење и управљање прилагођавањем на климатске промене на националном и локалном нивоу; (3) Повећању </w:t>
      </w:r>
      <w:r w:rsidR="00FD7CB3" w:rsidRPr="00EF2F18">
        <w:rPr>
          <w:rFonts w:cs="Times New Roman"/>
          <w:sz w:val="22"/>
          <w:lang w:val="sr-Cyrl-RS"/>
        </w:rPr>
        <w:lastRenderedPageBreak/>
        <w:t xml:space="preserve">отпорности на климатске промене планирањем, изградњом и одржавањем критичне инфраструктуре и заштитом природних ресурса; (4) Стварању адекватних финансијских подстицаја и обезбеђењу расположивих финансијских средстава за улагање у мере прилагођавања. </w:t>
      </w:r>
    </w:p>
    <w:p w14:paraId="451D23AC" w14:textId="152D41FA" w:rsidR="0044529C" w:rsidRPr="00EF2F18" w:rsidRDefault="0076338D" w:rsidP="0076338D">
      <w:pPr>
        <w:spacing w:after="0"/>
        <w:ind w:right="-7" w:firstLine="705"/>
        <w:jc w:val="both"/>
        <w:rPr>
          <w:rFonts w:cs="Times New Roman"/>
          <w:sz w:val="22"/>
          <w:lang w:val="sr-Cyrl-RS"/>
        </w:rPr>
      </w:pPr>
      <w:r w:rsidRPr="00EF2F18">
        <w:rPr>
          <w:rFonts w:cs="Times New Roman"/>
          <w:b/>
          <w:bCs/>
          <w:sz w:val="22"/>
          <w:lang w:val="sr-Cyrl-RS"/>
        </w:rPr>
        <w:t>Интегрисани национални енергетски и климатски план Републике Србије за период до 2030. са визијом до 2050. године</w:t>
      </w:r>
      <w:r w:rsidRPr="00EF2F18">
        <w:rPr>
          <w:rFonts w:cs="Times New Roman"/>
          <w:sz w:val="22"/>
          <w:lang w:val="sr-Cyrl-RS"/>
        </w:rPr>
        <w:t xml:space="preserve"> </w:t>
      </w:r>
      <w:r w:rsidR="00FD7CB3" w:rsidRPr="00EF2F18">
        <w:rPr>
          <w:rFonts w:cs="Times New Roman"/>
          <w:b/>
          <w:bCs/>
          <w:sz w:val="22"/>
          <w:lang w:val="sr-Cyrl-RS"/>
        </w:rPr>
        <w:t>(</w:t>
      </w:r>
      <w:r w:rsidR="00237CD7" w:rsidRPr="00EF2F18">
        <w:rPr>
          <w:rFonts w:cs="Times New Roman"/>
          <w:b/>
          <w:bCs/>
          <w:sz w:val="22"/>
          <w:lang w:val="sr-Cyrl-RS"/>
        </w:rPr>
        <w:t>ИНЕКП</w:t>
      </w:r>
      <w:r w:rsidR="00FD7CB3" w:rsidRPr="00EF2F18">
        <w:rPr>
          <w:rFonts w:cs="Times New Roman"/>
          <w:b/>
          <w:bCs/>
          <w:sz w:val="22"/>
          <w:lang w:val="sr-Cyrl-RS"/>
        </w:rPr>
        <w:t>)</w:t>
      </w:r>
      <w:r w:rsidR="00C33FFB" w:rsidRPr="00EF2F18">
        <w:rPr>
          <w:rFonts w:cs="Times New Roman"/>
          <w:b/>
          <w:bCs/>
          <w:i/>
          <w:iCs/>
          <w:sz w:val="22"/>
          <w:lang w:val="sr-Cyrl-RS"/>
        </w:rPr>
        <w:t xml:space="preserve"> </w:t>
      </w:r>
      <w:r w:rsidR="00EC5B21" w:rsidRPr="00EF2F18">
        <w:rPr>
          <w:rFonts w:cs="Times New Roman"/>
          <w:sz w:val="22"/>
          <w:lang w:val="sr-Cyrl-RS"/>
        </w:rPr>
        <w:t>поставља циљеве</w:t>
      </w:r>
      <w:r w:rsidR="0044529C" w:rsidRPr="00EF2F18">
        <w:rPr>
          <w:rFonts w:cs="Times New Roman"/>
          <w:sz w:val="22"/>
          <w:lang w:val="sr-Cyrl-RS"/>
        </w:rPr>
        <w:t xml:space="preserve"> у области енергетике и климе за 2030. годину</w:t>
      </w:r>
      <w:r w:rsidR="00FA7222" w:rsidRPr="00EF2F18">
        <w:rPr>
          <w:rFonts w:cs="Times New Roman"/>
          <w:sz w:val="22"/>
          <w:lang w:val="sr-Cyrl-RS"/>
        </w:rPr>
        <w:t xml:space="preserve"> </w:t>
      </w:r>
      <w:r w:rsidR="00EC5B21" w:rsidRPr="00EF2F18">
        <w:rPr>
          <w:rFonts w:cs="Times New Roman"/>
          <w:sz w:val="22"/>
          <w:lang w:val="sr-Cyrl-RS"/>
        </w:rPr>
        <w:t>чије о</w:t>
      </w:r>
      <w:r w:rsidR="00FD7CB3" w:rsidRPr="00EF2F18">
        <w:rPr>
          <w:rFonts w:cs="Times New Roman"/>
          <w:sz w:val="22"/>
          <w:lang w:val="sr-Cyrl-RS"/>
        </w:rPr>
        <w:t>стваривање ће допринети здравијој животној средини, сигурнијем снабдевању енергијом уз више зелене енергије, као и енергетској независности и ефикасном и економичном управљању процесом декарбонизације</w:t>
      </w:r>
      <w:r w:rsidR="0044529C" w:rsidRPr="00EF2F18">
        <w:rPr>
          <w:rFonts w:cs="Times New Roman"/>
          <w:sz w:val="22"/>
          <w:lang w:val="sr-Cyrl-RS"/>
        </w:rPr>
        <w:t>:</w:t>
      </w:r>
    </w:p>
    <w:p w14:paraId="39B3ABCC" w14:textId="77777777" w:rsidR="0044529C" w:rsidRPr="00EF2F18" w:rsidRDefault="0044529C"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Учешће ОИЕ у бруто финалној потрошњи енергије од 33,6%;</w:t>
      </w:r>
    </w:p>
    <w:p w14:paraId="26EF67BC" w14:textId="7C020E5D" w:rsidR="0044529C" w:rsidRPr="00EF2F18" w:rsidRDefault="0044529C"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П</w:t>
      </w:r>
      <w:r w:rsidR="007E27BA" w:rsidRPr="00EF2F18">
        <w:rPr>
          <w:rFonts w:cs="Times New Roman"/>
          <w:sz w:val="22"/>
          <w:lang w:val="sr-Cyrl-RS"/>
        </w:rPr>
        <w:t>о</w:t>
      </w:r>
      <w:r w:rsidRPr="00EF2F18">
        <w:rPr>
          <w:rFonts w:cs="Times New Roman"/>
          <w:sz w:val="22"/>
          <w:lang w:val="sr-Cyrl-RS"/>
        </w:rPr>
        <w:t>већање учешћа ОИЕ у производњи електричне енергије на 45%, чиме ће, поред угља, ОИЕ постати равноправан д</w:t>
      </w:r>
      <w:r w:rsidR="00095049" w:rsidRPr="00EF2F18">
        <w:rPr>
          <w:rFonts w:cs="Times New Roman"/>
          <w:sz w:val="22"/>
          <w:lang w:val="sr-Cyrl-RS"/>
        </w:rPr>
        <w:t>о</w:t>
      </w:r>
      <w:r w:rsidRPr="00EF2F18">
        <w:rPr>
          <w:rFonts w:cs="Times New Roman"/>
          <w:sz w:val="22"/>
          <w:lang w:val="sr-Cyrl-RS"/>
        </w:rPr>
        <w:t>маћи извор електричне енергије;</w:t>
      </w:r>
    </w:p>
    <w:p w14:paraId="60977260" w14:textId="77777777" w:rsidR="0044529C" w:rsidRPr="00EF2F18" w:rsidRDefault="0044529C"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Значајно повећање енергетске ефикасности: финална потрошња енергије у 2030. години износиће највише 9,6 Мtoe, док ће потрошња примарне енергије у 2030. години бити највише 14,68 Mtoe.</w:t>
      </w:r>
    </w:p>
    <w:p w14:paraId="559BEE92" w14:textId="2B2DACD9" w:rsidR="0044529C" w:rsidRPr="00EF2F18" w:rsidRDefault="0044529C" w:rsidP="00AB18DF">
      <w:pPr>
        <w:spacing w:after="0"/>
        <w:ind w:right="-7" w:firstLine="705"/>
        <w:jc w:val="both"/>
        <w:rPr>
          <w:rFonts w:cs="Times New Roman"/>
          <w:sz w:val="22"/>
          <w:lang w:val="sr-Cyrl-RS"/>
        </w:rPr>
      </w:pPr>
      <w:r w:rsidRPr="00EF2F18">
        <w:rPr>
          <w:rFonts w:cs="Times New Roman"/>
          <w:sz w:val="22"/>
          <w:lang w:val="sr-Cyrl-RS"/>
        </w:rPr>
        <w:t xml:space="preserve">Све ове мере треба да резултирају смањењем </w:t>
      </w:r>
      <w:r w:rsidR="00AB18DF" w:rsidRPr="00EF2F18">
        <w:rPr>
          <w:rFonts w:cs="Times New Roman"/>
          <w:sz w:val="22"/>
          <w:lang w:val="sr-Cyrl-RS"/>
        </w:rPr>
        <w:t>eмисије гасова са ефектом стаклене баште за 40,3% у односу на 1990. годину, а што је у складу са усвојеним и достављеним</w:t>
      </w:r>
      <w:r w:rsidR="00095049" w:rsidRPr="00EF2F18">
        <w:rPr>
          <w:rFonts w:cs="Times New Roman"/>
          <w:sz w:val="22"/>
          <w:lang w:val="sr-Cyrl-RS"/>
        </w:rPr>
        <w:t xml:space="preserve"> </w:t>
      </w:r>
      <w:r w:rsidR="00AB18DF" w:rsidRPr="00EF2F18">
        <w:rPr>
          <w:rFonts w:cs="Times New Roman"/>
          <w:sz w:val="22"/>
          <w:lang w:val="sr-Cyrl-RS"/>
        </w:rPr>
        <w:t xml:space="preserve">Уједињеним нацијама Националним утврђеним доприносом смањењу емисија гасова са ефектом стаклене баште Републике </w:t>
      </w:r>
      <w:r w:rsidR="000512F0" w:rsidRPr="00EF2F18">
        <w:rPr>
          <w:rFonts w:cs="Times New Roman"/>
          <w:sz w:val="22"/>
          <w:lang w:val="sr-Cyrl-RS"/>
        </w:rPr>
        <w:t xml:space="preserve">Србије </w:t>
      </w:r>
      <w:r w:rsidR="00AB18DF" w:rsidRPr="00EF2F18">
        <w:rPr>
          <w:rFonts w:cs="Times New Roman"/>
          <w:sz w:val="22"/>
          <w:lang w:val="sr-Cyrl-RS"/>
        </w:rPr>
        <w:t>за период 2021-2030. године.</w:t>
      </w:r>
    </w:p>
    <w:p w14:paraId="15630BFD" w14:textId="230AD1B0" w:rsidR="00AB18DF" w:rsidRPr="00EF2F18" w:rsidRDefault="00AB18DF" w:rsidP="00AB18DF">
      <w:pPr>
        <w:spacing w:after="0"/>
        <w:ind w:right="-7" w:firstLine="705"/>
        <w:jc w:val="both"/>
        <w:rPr>
          <w:rFonts w:cs="Times New Roman"/>
          <w:sz w:val="22"/>
          <w:lang w:val="sr-Cyrl-RS"/>
        </w:rPr>
      </w:pPr>
      <w:r w:rsidRPr="00EF2F18">
        <w:rPr>
          <w:rFonts w:cs="Times New Roman"/>
          <w:sz w:val="22"/>
          <w:lang w:val="sr-Cyrl-RS"/>
        </w:rPr>
        <w:t>ИНЕКП дефинише податке и мере за пет димензија Енергетске уније:</w:t>
      </w:r>
    </w:p>
    <w:p w14:paraId="71716E2A" w14:textId="2E87240B" w:rsidR="00AB18DF" w:rsidRPr="00EF2F18" w:rsidRDefault="00AB18DF"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Декарбоинизација</w:t>
      </w:r>
      <w:r w:rsidR="00F931FD" w:rsidRPr="00EF2F18">
        <w:rPr>
          <w:rFonts w:cs="Times New Roman"/>
          <w:sz w:val="22"/>
          <w:lang w:val="sr-Cyrl-RS"/>
        </w:rPr>
        <w:t>;</w:t>
      </w:r>
    </w:p>
    <w:p w14:paraId="38063F65" w14:textId="2A15F782" w:rsidR="00AB18DF" w:rsidRPr="00EF2F18" w:rsidRDefault="00AB18DF"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Енергетска ефикасност</w:t>
      </w:r>
      <w:r w:rsidR="00F931FD" w:rsidRPr="00EF2F18">
        <w:rPr>
          <w:rFonts w:cs="Times New Roman"/>
          <w:sz w:val="22"/>
          <w:lang w:val="sr-Cyrl-RS"/>
        </w:rPr>
        <w:t>;</w:t>
      </w:r>
    </w:p>
    <w:p w14:paraId="74308879" w14:textId="1804E74D" w:rsidR="00AB18DF" w:rsidRPr="00EF2F18" w:rsidRDefault="00AB18DF"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Енергетска сигурност</w:t>
      </w:r>
      <w:r w:rsidR="00F931FD" w:rsidRPr="00EF2F18">
        <w:rPr>
          <w:rFonts w:cs="Times New Roman"/>
          <w:sz w:val="22"/>
          <w:lang w:val="sr-Cyrl-RS"/>
        </w:rPr>
        <w:t>;</w:t>
      </w:r>
    </w:p>
    <w:p w14:paraId="7F95C27F" w14:textId="0CF2E79F" w:rsidR="00AB18DF" w:rsidRPr="00EF2F18" w:rsidRDefault="00AB18DF"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Унутра</w:t>
      </w:r>
      <w:r w:rsidR="00095049" w:rsidRPr="00EF2F18">
        <w:rPr>
          <w:rFonts w:cs="Times New Roman"/>
          <w:sz w:val="22"/>
          <w:lang w:val="sr-Cyrl-RS"/>
        </w:rPr>
        <w:t>ш</w:t>
      </w:r>
      <w:r w:rsidRPr="00EF2F18">
        <w:rPr>
          <w:rFonts w:cs="Times New Roman"/>
          <w:sz w:val="22"/>
          <w:lang w:val="sr-Cyrl-RS"/>
        </w:rPr>
        <w:t>ње енергетско тржиште</w:t>
      </w:r>
      <w:r w:rsidR="00F931FD" w:rsidRPr="00EF2F18">
        <w:rPr>
          <w:rFonts w:cs="Times New Roman"/>
          <w:sz w:val="22"/>
          <w:lang w:val="sr-Cyrl-RS"/>
        </w:rPr>
        <w:t>;</w:t>
      </w:r>
    </w:p>
    <w:p w14:paraId="21796DEF" w14:textId="6E4EC423" w:rsidR="00FD7CB3" w:rsidRPr="00EF2F18" w:rsidRDefault="00AB18DF" w:rsidP="00313E8E">
      <w:pPr>
        <w:pStyle w:val="ListParagraph"/>
        <w:numPr>
          <w:ilvl w:val="0"/>
          <w:numId w:val="68"/>
        </w:numPr>
        <w:spacing w:after="0"/>
        <w:ind w:right="-7"/>
        <w:jc w:val="both"/>
        <w:rPr>
          <w:rFonts w:cs="Times New Roman"/>
          <w:sz w:val="22"/>
          <w:lang w:val="sr-Cyrl-RS"/>
        </w:rPr>
      </w:pPr>
      <w:r w:rsidRPr="00EF2F18">
        <w:rPr>
          <w:rFonts w:cs="Times New Roman"/>
          <w:sz w:val="22"/>
          <w:lang w:val="sr-Cyrl-RS"/>
        </w:rPr>
        <w:t>Истраживање, иновације и конкурентност.</w:t>
      </w:r>
      <w:r w:rsidR="00FD7CB3" w:rsidRPr="00EF2F18">
        <w:rPr>
          <w:rFonts w:cs="Times New Roman"/>
          <w:sz w:val="22"/>
          <w:lang w:val="sr-Cyrl-RS"/>
        </w:rPr>
        <w:t xml:space="preserve"> </w:t>
      </w:r>
    </w:p>
    <w:p w14:paraId="15921816" w14:textId="74472B70" w:rsidR="00023201" w:rsidRPr="00EF2F18" w:rsidRDefault="004315E1" w:rsidP="00023201">
      <w:pPr>
        <w:spacing w:after="0"/>
        <w:ind w:left="-15" w:right="-7" w:firstLine="720"/>
        <w:jc w:val="both"/>
        <w:rPr>
          <w:rFonts w:cs="Times New Roman"/>
          <w:sz w:val="22"/>
          <w:lang w:val="sr-Cyrl-RS"/>
        </w:rPr>
      </w:pPr>
      <w:r w:rsidRPr="00EF2F18">
        <w:rPr>
          <w:rFonts w:cs="Times New Roman"/>
          <w:bCs/>
          <w:sz w:val="22"/>
          <w:lang w:val="sr-Cyrl-RS"/>
        </w:rPr>
        <w:t>Значајна за Зелену агенду је и</w:t>
      </w:r>
      <w:r w:rsidR="00FD7CB3" w:rsidRPr="00EF2F18">
        <w:rPr>
          <w:rFonts w:cs="Times New Roman"/>
          <w:bCs/>
          <w:sz w:val="22"/>
          <w:lang w:val="sr-Cyrl-RS"/>
        </w:rPr>
        <w:t xml:space="preserve"> </w:t>
      </w:r>
      <w:r w:rsidR="00FD7CB3" w:rsidRPr="00EF2F18">
        <w:rPr>
          <w:rFonts w:cs="Times New Roman"/>
          <w:b/>
          <w:sz w:val="22"/>
          <w:lang w:val="sr-Cyrl-RS"/>
        </w:rPr>
        <w:t>Стратегија развоја енергетике Републике Србије до 20</w:t>
      </w:r>
      <w:r w:rsidR="00023201" w:rsidRPr="00EF2F18">
        <w:rPr>
          <w:rFonts w:cs="Times New Roman"/>
          <w:b/>
          <w:sz w:val="22"/>
          <w:lang w:val="sr-Cyrl-RS"/>
        </w:rPr>
        <w:t>40</w:t>
      </w:r>
      <w:r w:rsidR="00FD7CB3" w:rsidRPr="00EF2F18">
        <w:rPr>
          <w:rFonts w:cs="Times New Roman"/>
          <w:b/>
          <w:sz w:val="22"/>
          <w:lang w:val="sr-Cyrl-RS"/>
        </w:rPr>
        <w:t xml:space="preserve">. године са пројекцијама до </w:t>
      </w:r>
      <w:r w:rsidR="00023201" w:rsidRPr="00EF2F18">
        <w:rPr>
          <w:rFonts w:cs="Times New Roman"/>
          <w:b/>
          <w:sz w:val="22"/>
          <w:lang w:val="sr-Cyrl-RS"/>
        </w:rPr>
        <w:t>2050</w:t>
      </w:r>
      <w:r w:rsidR="00FD7CB3" w:rsidRPr="00EF2F18">
        <w:rPr>
          <w:rFonts w:cs="Times New Roman"/>
          <w:b/>
          <w:sz w:val="22"/>
          <w:lang w:val="sr-Cyrl-RS"/>
        </w:rPr>
        <w:t xml:space="preserve">. године </w:t>
      </w:r>
      <w:r w:rsidR="00FD7CB3" w:rsidRPr="00EF2F18">
        <w:rPr>
          <w:rFonts w:cs="Times New Roman"/>
          <w:sz w:val="22"/>
          <w:lang w:val="sr-Cyrl-RS"/>
        </w:rPr>
        <w:t xml:space="preserve">(,,Службени гласник РС”, број </w:t>
      </w:r>
      <w:r w:rsidR="00023201" w:rsidRPr="00EF2F18">
        <w:rPr>
          <w:rFonts w:cs="Times New Roman"/>
          <w:sz w:val="22"/>
          <w:lang w:val="sr-Cyrl-RS"/>
        </w:rPr>
        <w:t>94</w:t>
      </w:r>
      <w:r w:rsidR="00FD7CB3" w:rsidRPr="00EF2F18">
        <w:rPr>
          <w:rFonts w:cs="Times New Roman"/>
          <w:sz w:val="22"/>
          <w:lang w:val="sr-Cyrl-RS"/>
        </w:rPr>
        <w:t>/</w:t>
      </w:r>
      <w:r w:rsidR="00023201" w:rsidRPr="00EF2F18">
        <w:rPr>
          <w:rFonts w:cs="Times New Roman"/>
          <w:sz w:val="22"/>
          <w:lang w:val="sr-Cyrl-RS"/>
        </w:rPr>
        <w:t>24</w:t>
      </w:r>
      <w:r w:rsidR="00FD7CB3" w:rsidRPr="00EF2F18">
        <w:rPr>
          <w:rFonts w:cs="Times New Roman"/>
          <w:sz w:val="22"/>
          <w:lang w:val="sr-Cyrl-RS"/>
        </w:rPr>
        <w:t>)</w:t>
      </w:r>
      <w:r w:rsidR="00C44718" w:rsidRPr="00EF2F18">
        <w:rPr>
          <w:rFonts w:cs="Times New Roman"/>
          <w:sz w:val="22"/>
          <w:lang w:val="sr-Cyrl-RS"/>
        </w:rPr>
        <w:t>.</w:t>
      </w:r>
      <w:r w:rsidR="00023201" w:rsidRPr="00EF2F18">
        <w:rPr>
          <w:rFonts w:cs="Times New Roman"/>
          <w:sz w:val="22"/>
          <w:lang w:val="sr-Cyrl-RS"/>
        </w:rPr>
        <w:t xml:space="preserve"> Стратешки циљеви Стратегије развоја енергетике </w:t>
      </w:r>
      <w:r w:rsidR="00023201" w:rsidRPr="00EF2F18">
        <w:rPr>
          <w:sz w:val="22"/>
          <w:lang w:val="sr-Cyrl-RS"/>
        </w:rPr>
        <w:t>су да се обезбеди сигурно снабдевање енергијом и енергентима становништва и привреде, уз прогресивно смањење емисије гасова са ефектом стаклене баште и других негативних утицаја по животну средину и здравље људи. С</w:t>
      </w:r>
      <w:r w:rsidR="00023201" w:rsidRPr="00EF2F18">
        <w:rPr>
          <w:rFonts w:cs="Times New Roman"/>
          <w:sz w:val="22"/>
          <w:lang w:val="sr-Cyrl-RS"/>
        </w:rPr>
        <w:t>тратегијом су предвиђена значајна улагања усмерена ка повећању производних капацитета из ОИЕ, енергетске ефикасности кроз све секторе, као и даљи развој и унапређење преносне и дистрибутивне мреже, диверсиф</w:t>
      </w:r>
      <w:r w:rsidR="00AC4641">
        <w:rPr>
          <w:rFonts w:cs="Times New Roman"/>
          <w:sz w:val="22"/>
          <w:lang w:val="sr-Cyrl-RS"/>
        </w:rPr>
        <w:t>и</w:t>
      </w:r>
      <w:r w:rsidR="00023201" w:rsidRPr="00EF2F18">
        <w:rPr>
          <w:rFonts w:cs="Times New Roman"/>
          <w:sz w:val="22"/>
          <w:lang w:val="sr-Cyrl-RS"/>
        </w:rPr>
        <w:t>кација снабдевања нафтом и гасом и шира употреба водоника у енергетском сектору</w:t>
      </w:r>
      <w:r w:rsidR="00A97F40" w:rsidRPr="00EF2F18">
        <w:rPr>
          <w:rFonts w:cs="Times New Roman"/>
          <w:sz w:val="22"/>
          <w:lang w:val="sr-Cyrl-RS"/>
        </w:rPr>
        <w:t>.</w:t>
      </w:r>
    </w:p>
    <w:p w14:paraId="71E8F014" w14:textId="5AF5802E" w:rsidR="00FD7CB3" w:rsidRPr="00EF2F18" w:rsidRDefault="008756E5" w:rsidP="00FD7CB3">
      <w:pPr>
        <w:spacing w:after="0"/>
        <w:ind w:left="-15" w:right="-7" w:firstLine="720"/>
        <w:jc w:val="both"/>
        <w:rPr>
          <w:rFonts w:cs="Times New Roman"/>
          <w:sz w:val="22"/>
          <w:lang w:val="sr-Cyrl-RS"/>
        </w:rPr>
      </w:pPr>
      <w:r w:rsidRPr="00EF2F18">
        <w:rPr>
          <w:rFonts w:cs="Times New Roman"/>
          <w:b/>
          <w:sz w:val="22"/>
          <w:lang w:val="sr-Cyrl-RS"/>
        </w:rPr>
        <w:t>Програм развоја циркуларне економије у Републици Србији за период 2026-2030. године са Акционим планом за период 2026</w:t>
      </w:r>
      <w:r w:rsidR="005F5388" w:rsidRPr="00EF2F18">
        <w:rPr>
          <w:rFonts w:cs="Times New Roman"/>
          <w:b/>
          <w:sz w:val="22"/>
          <w:lang w:val="sr-Cyrl-RS"/>
        </w:rPr>
        <w:t xml:space="preserve"> – </w:t>
      </w:r>
      <w:r w:rsidRPr="00EF2F18">
        <w:rPr>
          <w:rFonts w:cs="Times New Roman"/>
          <w:b/>
          <w:sz w:val="22"/>
          <w:lang w:val="sr-Cyrl-RS"/>
        </w:rPr>
        <w:t xml:space="preserve">2027. године </w:t>
      </w:r>
      <w:r w:rsidR="008F7EE5" w:rsidRPr="00EF2F18">
        <w:rPr>
          <w:rFonts w:cs="Times New Roman"/>
          <w:sz w:val="22"/>
          <w:lang w:val="sr-Cyrl-RS"/>
        </w:rPr>
        <w:t xml:space="preserve">(„Службени гласник РС”, број 41/2026/), </w:t>
      </w:r>
      <w:r w:rsidR="00FD7CB3" w:rsidRPr="00EF2F18">
        <w:rPr>
          <w:rFonts w:cs="Times New Roman"/>
          <w:bCs/>
          <w:sz w:val="22"/>
          <w:lang w:val="sr-Cyrl-RS"/>
        </w:rPr>
        <w:t>је документ јавне политике који је повезан са другим стубом Зелене агенде. Наведени програм као свој општи циљ има стварање подстицајног окружења за р</w:t>
      </w:r>
      <w:r w:rsidR="00FD7CB3" w:rsidRPr="00EF2F18">
        <w:rPr>
          <w:rFonts w:cs="Times New Roman"/>
          <w:sz w:val="22"/>
          <w:lang w:val="sr-Cyrl-RS"/>
        </w:rPr>
        <w:t xml:space="preserve">азвој циркуларне економије у циљу подршке зеленој транзицији у Републици Србији. Програмом су обухваћене најважније области од значаја за циркуларну економију: управљање отпадом; управљање водама; обновљиви извори енергије и енергетска ефикасност; управљање хемикалијама; добровољни инструменти у области заштите животне средине; привредна политика; иновације и подизање свести. Програм садржи Акциони план за период од три године у којем су утврђене активности за остваривање мера и циљева утврђених наведеним програмом. </w:t>
      </w:r>
    </w:p>
    <w:p w14:paraId="2A8C7858" w14:textId="062DB81C" w:rsidR="00F24222" w:rsidRPr="00EF2F18" w:rsidRDefault="00FD7CB3" w:rsidP="00FD7CB3">
      <w:pPr>
        <w:spacing w:after="0"/>
        <w:ind w:left="-15" w:right="-7" w:firstLine="720"/>
        <w:jc w:val="both"/>
        <w:rPr>
          <w:rFonts w:cs="Times New Roman"/>
          <w:sz w:val="22"/>
          <w:lang w:val="sr-Cyrl-RS"/>
        </w:rPr>
      </w:pPr>
      <w:r w:rsidRPr="00EF2F18">
        <w:rPr>
          <w:rFonts w:cs="Times New Roman"/>
          <w:bCs/>
          <w:sz w:val="22"/>
          <w:lang w:val="sr-Cyrl-RS"/>
        </w:rPr>
        <w:t>У вези са друг</w:t>
      </w:r>
      <w:r w:rsidR="004A55D4" w:rsidRPr="00EF2F18">
        <w:rPr>
          <w:rFonts w:cs="Times New Roman"/>
          <w:bCs/>
          <w:sz w:val="22"/>
          <w:lang w:val="sr-Cyrl-RS"/>
        </w:rPr>
        <w:t>им</w:t>
      </w:r>
      <w:r w:rsidRPr="00EF2F18">
        <w:rPr>
          <w:rFonts w:cs="Times New Roman"/>
          <w:bCs/>
          <w:sz w:val="22"/>
          <w:lang w:val="sr-Cyrl-RS"/>
        </w:rPr>
        <w:t xml:space="preserve"> стуб</w:t>
      </w:r>
      <w:r w:rsidR="004A55D4" w:rsidRPr="00EF2F18">
        <w:rPr>
          <w:rFonts w:cs="Times New Roman"/>
          <w:bCs/>
          <w:sz w:val="22"/>
          <w:lang w:val="sr-Cyrl-RS"/>
        </w:rPr>
        <w:t>ом</w:t>
      </w:r>
      <w:r w:rsidRPr="00EF2F18">
        <w:rPr>
          <w:rFonts w:cs="Times New Roman"/>
          <w:bCs/>
          <w:sz w:val="22"/>
          <w:lang w:val="sr-Cyrl-RS"/>
        </w:rPr>
        <w:t xml:space="preserve"> постоји </w:t>
      </w:r>
      <w:r w:rsidR="004A55D4" w:rsidRPr="00EF2F18">
        <w:rPr>
          <w:rFonts w:cs="Times New Roman"/>
          <w:bCs/>
          <w:sz w:val="22"/>
          <w:lang w:val="sr-Cyrl-RS"/>
        </w:rPr>
        <w:t xml:space="preserve">и </w:t>
      </w:r>
      <w:r w:rsidRPr="00EF2F18">
        <w:rPr>
          <w:rFonts w:cs="Times New Roman"/>
          <w:bCs/>
          <w:sz w:val="22"/>
          <w:lang w:val="sr-Cyrl-RS"/>
        </w:rPr>
        <w:t>важећи</w:t>
      </w:r>
      <w:r w:rsidR="005E5FF9" w:rsidRPr="00EF2F18">
        <w:rPr>
          <w:rFonts w:cs="Times New Roman"/>
          <w:bCs/>
          <w:sz w:val="22"/>
          <w:lang w:val="sr-Cyrl-RS"/>
        </w:rPr>
        <w:t xml:space="preserve"> </w:t>
      </w:r>
      <w:r w:rsidRPr="00EF2F18">
        <w:rPr>
          <w:rFonts w:cs="Times New Roman"/>
          <w:b/>
          <w:sz w:val="22"/>
          <w:lang w:val="sr-Cyrl-RS"/>
        </w:rPr>
        <w:t>Програм управљања отпадом у Републици Србији за период 2022</w:t>
      </w:r>
      <w:r w:rsidR="005F5388" w:rsidRPr="00EF2F18">
        <w:rPr>
          <w:rFonts w:cs="Times New Roman"/>
          <w:b/>
          <w:sz w:val="22"/>
          <w:lang w:val="sr-Cyrl-RS"/>
        </w:rPr>
        <w:t xml:space="preserve"> – </w:t>
      </w:r>
      <w:r w:rsidRPr="00EF2F18">
        <w:rPr>
          <w:rFonts w:cs="Times New Roman"/>
          <w:b/>
          <w:sz w:val="22"/>
          <w:lang w:val="sr-Cyrl-RS"/>
        </w:rPr>
        <w:t xml:space="preserve">2031. године </w:t>
      </w:r>
      <w:r w:rsidRPr="00EF2F18">
        <w:rPr>
          <w:rFonts w:cs="Times New Roman"/>
          <w:sz w:val="22"/>
          <w:lang w:val="sr-Cyrl-RS"/>
        </w:rPr>
        <w:t>(„Службени гласник РС”, број 12/22), којим се утврђују циљеви за унапређење система управљања отпадом и основна начела којима треба да се руководе сви актери у управљању отпадом за остваривање тих циљева у Републици Србији за период 2022-2031. године. Спровођење овог програма, поред смањења штетног утицаја на животну средину и климатске промене, треба да омогући остваривање предуслова за коришћење отпада у циркуларној економији</w:t>
      </w:r>
      <w:r w:rsidR="00AA0693" w:rsidRPr="00EF2F18">
        <w:rPr>
          <w:rFonts w:cs="Times New Roman"/>
          <w:sz w:val="22"/>
          <w:lang w:val="sr-Cyrl-RS"/>
        </w:rPr>
        <w:t xml:space="preserve">. </w:t>
      </w:r>
    </w:p>
    <w:p w14:paraId="43459016" w14:textId="564571F9" w:rsidR="00AE1E84" w:rsidRPr="00EF2F18" w:rsidRDefault="00AE1E84" w:rsidP="00FD7CB3">
      <w:pPr>
        <w:spacing w:after="0"/>
        <w:ind w:left="-15" w:right="-7" w:firstLine="720"/>
        <w:jc w:val="both"/>
        <w:rPr>
          <w:rFonts w:cs="Times New Roman"/>
          <w:sz w:val="22"/>
          <w:lang w:val="sr-Cyrl-RS"/>
        </w:rPr>
      </w:pPr>
      <w:r w:rsidRPr="00EF2F18">
        <w:rPr>
          <w:rFonts w:cs="Times New Roman"/>
          <w:sz w:val="22"/>
          <w:lang w:val="sr-Cyrl-RS"/>
        </w:rPr>
        <w:t xml:space="preserve">Први пут у Републици Србији донет је и </w:t>
      </w:r>
      <w:r w:rsidRPr="00EF2F18">
        <w:rPr>
          <w:rFonts w:cs="Times New Roman"/>
          <w:b/>
          <w:bCs/>
          <w:sz w:val="22"/>
          <w:lang w:val="sr-Cyrl-RS"/>
        </w:rPr>
        <w:t xml:space="preserve">Програм управљања муљем у Републици Србији </w:t>
      </w:r>
      <w:r w:rsidR="008A1E33" w:rsidRPr="00EF2F18">
        <w:rPr>
          <w:rFonts w:cs="Times New Roman"/>
          <w:b/>
          <w:sz w:val="22"/>
          <w:lang w:val="sr-Cyrl-RS"/>
        </w:rPr>
        <w:t xml:space="preserve">за период </w:t>
      </w:r>
      <w:r w:rsidRPr="00EF2F18">
        <w:rPr>
          <w:rFonts w:cs="Times New Roman"/>
          <w:b/>
          <w:bCs/>
          <w:sz w:val="22"/>
          <w:lang w:val="sr-Cyrl-RS"/>
        </w:rPr>
        <w:t>2023</w:t>
      </w:r>
      <w:r w:rsidR="005F5388" w:rsidRPr="00EF2F18">
        <w:rPr>
          <w:rFonts w:cs="Times New Roman"/>
          <w:b/>
          <w:bCs/>
          <w:sz w:val="22"/>
          <w:lang w:val="sr-Cyrl-RS"/>
        </w:rPr>
        <w:t xml:space="preserve"> – </w:t>
      </w:r>
      <w:r w:rsidRPr="00EF2F18">
        <w:rPr>
          <w:rFonts w:cs="Times New Roman"/>
          <w:b/>
          <w:bCs/>
          <w:sz w:val="22"/>
          <w:lang w:val="sr-Cyrl-RS"/>
        </w:rPr>
        <w:t>2032.</w:t>
      </w:r>
      <w:r w:rsidR="008A1E33" w:rsidRPr="00EF2F18">
        <w:rPr>
          <w:rFonts w:cs="Times New Roman"/>
          <w:b/>
          <w:bCs/>
          <w:sz w:val="22"/>
          <w:lang w:val="sr-Cyrl-RS"/>
        </w:rPr>
        <w:t xml:space="preserve"> године</w:t>
      </w:r>
      <w:r w:rsidRPr="00EF2F18">
        <w:rPr>
          <w:rFonts w:cs="Times New Roman"/>
          <w:sz w:val="22"/>
          <w:lang w:val="sr-Cyrl-RS"/>
        </w:rPr>
        <w:t xml:space="preserve"> („Службени гласник РС”, број 84/23), који даје смернице за поступање са муљем </w:t>
      </w:r>
      <w:r w:rsidR="00BC209D" w:rsidRPr="00EF2F18">
        <w:rPr>
          <w:rFonts w:cs="Times New Roman"/>
          <w:sz w:val="22"/>
          <w:lang w:val="sr-Cyrl-RS"/>
        </w:rPr>
        <w:t>који настаје у процесу</w:t>
      </w:r>
      <w:r w:rsidRPr="00EF2F18">
        <w:rPr>
          <w:rFonts w:cs="Times New Roman"/>
          <w:sz w:val="22"/>
          <w:lang w:val="sr-Cyrl-RS"/>
        </w:rPr>
        <w:t xml:space="preserve"> пречишћавања отпадних вода.</w:t>
      </w:r>
    </w:p>
    <w:p w14:paraId="72D85A4A" w14:textId="1463EDF0" w:rsidR="00275A91" w:rsidRPr="00EF2F18" w:rsidRDefault="00275A91" w:rsidP="00AA0693">
      <w:pPr>
        <w:spacing w:after="0"/>
        <w:ind w:left="-15" w:right="-7" w:firstLine="720"/>
        <w:jc w:val="both"/>
        <w:rPr>
          <w:rFonts w:cs="Times New Roman"/>
          <w:sz w:val="22"/>
          <w:lang w:val="sr-Cyrl-RS"/>
        </w:rPr>
      </w:pPr>
      <w:bookmarkStart w:id="9" w:name="_Hlk135499618"/>
      <w:r w:rsidRPr="00EF2F18">
        <w:rPr>
          <w:rFonts w:cs="Times New Roman"/>
          <w:b/>
          <w:bCs/>
          <w:sz w:val="22"/>
          <w:lang w:val="sr-Cyrl-RS"/>
        </w:rPr>
        <w:lastRenderedPageBreak/>
        <w:t>Програм економских реформи за период од 202</w:t>
      </w:r>
      <w:r w:rsidR="00856527" w:rsidRPr="00EF2F18">
        <w:rPr>
          <w:rFonts w:cs="Times New Roman"/>
          <w:b/>
          <w:bCs/>
          <w:sz w:val="22"/>
          <w:lang w:val="sr-Cyrl-RS"/>
        </w:rPr>
        <w:t>3</w:t>
      </w:r>
      <w:r w:rsidRPr="00EF2F18">
        <w:rPr>
          <w:rFonts w:cs="Times New Roman"/>
          <w:b/>
          <w:bCs/>
          <w:sz w:val="22"/>
          <w:lang w:val="sr-Cyrl-RS"/>
        </w:rPr>
        <w:t>. до 202</w:t>
      </w:r>
      <w:r w:rsidR="00856527" w:rsidRPr="00EF2F18">
        <w:rPr>
          <w:rFonts w:cs="Times New Roman"/>
          <w:b/>
          <w:bCs/>
          <w:sz w:val="22"/>
          <w:lang w:val="sr-Cyrl-RS"/>
        </w:rPr>
        <w:t>5</w:t>
      </w:r>
      <w:r w:rsidRPr="00EF2F18">
        <w:rPr>
          <w:rFonts w:cs="Times New Roman"/>
          <w:b/>
          <w:bCs/>
          <w:sz w:val="22"/>
          <w:lang w:val="sr-Cyrl-RS"/>
        </w:rPr>
        <w:t>. године</w:t>
      </w:r>
      <w:r w:rsidRPr="00EF2F18">
        <w:rPr>
          <w:rFonts w:cs="Times New Roman"/>
          <w:sz w:val="22"/>
          <w:lang w:val="sr-Cyrl-RS"/>
        </w:rPr>
        <w:t xml:space="preserve"> представља један од кључних докумената у економском дијалогу између Републике Србије и Европске уније. У овом документу описана је Структурна реформа </w:t>
      </w:r>
      <w:r w:rsidR="00856527" w:rsidRPr="00EF2F18">
        <w:rPr>
          <w:rFonts w:cs="Times New Roman"/>
          <w:sz w:val="22"/>
          <w:lang w:val="sr-Cyrl-RS"/>
        </w:rPr>
        <w:t>8: Унапређење услова за повећање енергетске ефикасности кроз стварање услова за примену енергетског означавања и еко</w:t>
      </w:r>
      <w:r w:rsidR="00CB744B">
        <w:rPr>
          <w:rFonts w:cs="Times New Roman"/>
          <w:sz w:val="22"/>
          <w:lang w:val="sr-Cyrl-RS"/>
        </w:rPr>
        <w:t>-</w:t>
      </w:r>
      <w:r w:rsidR="00856527" w:rsidRPr="00EF2F18">
        <w:rPr>
          <w:rFonts w:cs="Times New Roman"/>
          <w:sz w:val="22"/>
          <w:lang w:val="sr-Cyrl-RS"/>
        </w:rPr>
        <w:t>дизајна, као и кроз подстицаје за унапређење енергетске ефикасности и Структурна реформа 12</w:t>
      </w:r>
      <w:r w:rsidRPr="00EF2F18">
        <w:rPr>
          <w:rFonts w:cs="Times New Roman"/>
          <w:sz w:val="22"/>
          <w:lang w:val="sr-Cyrl-RS"/>
        </w:rPr>
        <w:t xml:space="preserve">: </w:t>
      </w:r>
      <w:r w:rsidR="00856527" w:rsidRPr="00EF2F18">
        <w:rPr>
          <w:rFonts w:cs="Times New Roman"/>
          <w:sz w:val="22"/>
          <w:lang w:val="sr-Cyrl-RS"/>
        </w:rPr>
        <w:t>Примена циркуларне економије у стварању повољног окружења за зелену транзицију</w:t>
      </w:r>
      <w:r w:rsidRPr="00EF2F18">
        <w:rPr>
          <w:rFonts w:cs="Times New Roman"/>
          <w:sz w:val="22"/>
          <w:lang w:val="sr-Cyrl-RS"/>
        </w:rPr>
        <w:t>.</w:t>
      </w:r>
      <w:r w:rsidR="00856527" w:rsidRPr="00EF2F18">
        <w:rPr>
          <w:rFonts w:cs="Times New Roman"/>
          <w:sz w:val="22"/>
          <w:lang w:val="sr-Cyrl-RS"/>
        </w:rPr>
        <w:t xml:space="preserve"> Концепт циркуларне економије</w:t>
      </w:r>
      <w:r w:rsidR="004A55D4" w:rsidRPr="00EF2F18">
        <w:rPr>
          <w:rFonts w:cs="Times New Roman"/>
          <w:sz w:val="22"/>
          <w:lang w:val="sr-Cyrl-RS"/>
        </w:rPr>
        <w:t>,</w:t>
      </w:r>
      <w:r w:rsidR="00856527" w:rsidRPr="00EF2F18">
        <w:rPr>
          <w:rFonts w:cs="Times New Roman"/>
          <w:sz w:val="22"/>
          <w:lang w:val="sr-Cyrl-RS"/>
        </w:rPr>
        <w:t xml:space="preserve"> који повезује многе области, има за циљ покретање зелене привредне транзиције Републике Србије, уз ефикасно коришћење ресурса и енергије и очување и унапређење животне средине и здравља људи.</w:t>
      </w:r>
      <w:bookmarkEnd w:id="9"/>
      <w:r w:rsidR="00B612A0" w:rsidRPr="00EF2F18">
        <w:rPr>
          <w:rFonts w:cs="Times New Roman"/>
          <w:sz w:val="22"/>
          <w:lang w:val="sr-Cyrl-RS"/>
        </w:rPr>
        <w:t xml:space="preserve"> Република Србија </w:t>
      </w:r>
      <w:r w:rsidR="00F4504B" w:rsidRPr="00EF2F18">
        <w:rPr>
          <w:rFonts w:cs="Times New Roman"/>
          <w:sz w:val="22"/>
          <w:lang w:val="sr-Cyrl-RS"/>
        </w:rPr>
        <w:t>донела је и</w:t>
      </w:r>
      <w:r w:rsidR="00B612A0" w:rsidRPr="00EF2F18">
        <w:rPr>
          <w:rFonts w:cs="Times New Roman"/>
          <w:sz w:val="22"/>
          <w:lang w:val="sr-Cyrl-RS"/>
        </w:rPr>
        <w:t xml:space="preserve"> десети по реду </w:t>
      </w:r>
      <w:r w:rsidR="00B612A0" w:rsidRPr="00EF2F18">
        <w:rPr>
          <w:rFonts w:cs="Times New Roman"/>
          <w:b/>
          <w:bCs/>
          <w:sz w:val="22"/>
          <w:lang w:val="sr-Cyrl-RS"/>
        </w:rPr>
        <w:t>Програма економских реформи за период 2024</w:t>
      </w:r>
      <w:r w:rsidR="005F5388" w:rsidRPr="00EF2F18">
        <w:rPr>
          <w:rFonts w:cs="Times New Roman"/>
          <w:b/>
          <w:bCs/>
          <w:sz w:val="22"/>
          <w:lang w:val="sr-Cyrl-RS"/>
        </w:rPr>
        <w:t xml:space="preserve"> – </w:t>
      </w:r>
      <w:r w:rsidR="00B612A0" w:rsidRPr="00EF2F18">
        <w:rPr>
          <w:rFonts w:cs="Times New Roman"/>
          <w:b/>
          <w:bCs/>
          <w:sz w:val="22"/>
          <w:lang w:val="sr-Cyrl-RS"/>
        </w:rPr>
        <w:t>2026. године</w:t>
      </w:r>
      <w:r w:rsidR="00B612A0" w:rsidRPr="00EF2F18">
        <w:rPr>
          <w:rFonts w:cs="Times New Roman"/>
          <w:sz w:val="22"/>
          <w:lang w:val="sr-Cyrl-RS"/>
        </w:rPr>
        <w:t>.</w:t>
      </w:r>
      <w:r w:rsidR="00F4504B" w:rsidRPr="00EF2F18">
        <w:rPr>
          <w:rFonts w:cs="Times New Roman"/>
          <w:sz w:val="22"/>
          <w:lang w:val="sr-Cyrl-RS"/>
        </w:rPr>
        <w:t xml:space="preserve"> У овом </w:t>
      </w:r>
      <w:r w:rsidR="005F5388" w:rsidRPr="00EF2F18">
        <w:rPr>
          <w:rFonts w:cs="Times New Roman"/>
          <w:sz w:val="22"/>
          <w:lang w:val="sr-Cyrl-RS"/>
        </w:rPr>
        <w:t xml:space="preserve">програму </w:t>
      </w:r>
      <w:r w:rsidR="00F4504B" w:rsidRPr="00EF2F18">
        <w:rPr>
          <w:rFonts w:cs="Times New Roman"/>
          <w:sz w:val="22"/>
          <w:lang w:val="sr-Cyrl-RS"/>
        </w:rPr>
        <w:t>издваја се Структурна реформа 3: Озелењавање сектора енергетике кроз повећање производње енергије из обновљивих извора и унапређење енергетске ефикасности, повезана са зеленом транзицијом.</w:t>
      </w:r>
    </w:p>
    <w:p w14:paraId="1962CA8E" w14:textId="004D0BF0" w:rsidR="008C077C" w:rsidRPr="00EF2F18" w:rsidRDefault="008C077C" w:rsidP="00AA0693">
      <w:pPr>
        <w:spacing w:after="0"/>
        <w:ind w:left="-15" w:right="-7" w:firstLine="720"/>
        <w:jc w:val="both"/>
        <w:rPr>
          <w:rFonts w:cs="Times New Roman"/>
          <w:sz w:val="22"/>
          <w:lang w:val="sr-Cyrl-RS"/>
        </w:rPr>
      </w:pPr>
      <w:r w:rsidRPr="00EF2F18">
        <w:rPr>
          <w:rFonts w:cs="Times New Roman"/>
          <w:b/>
          <w:bCs/>
          <w:sz w:val="22"/>
          <w:lang w:val="sr-Cyrl-RS"/>
        </w:rPr>
        <w:t>Програма економских реформи за период</w:t>
      </w:r>
      <w:r w:rsidRPr="00EF2F18">
        <w:rPr>
          <w:rFonts w:cs="Times New Roman"/>
          <w:sz w:val="22"/>
          <w:lang w:val="sr-Cyrl-RS"/>
        </w:rPr>
        <w:t xml:space="preserve"> </w:t>
      </w:r>
      <w:r w:rsidRPr="00EF2F18">
        <w:rPr>
          <w:rFonts w:cs="Times New Roman"/>
          <w:b/>
          <w:bCs/>
          <w:sz w:val="22"/>
          <w:lang w:val="sr-Cyrl-RS"/>
        </w:rPr>
        <w:t>2025</w:t>
      </w:r>
      <w:r w:rsidR="005F5388" w:rsidRPr="00EF2F18">
        <w:rPr>
          <w:rFonts w:cs="Times New Roman"/>
          <w:b/>
          <w:bCs/>
          <w:sz w:val="22"/>
          <w:lang w:val="sr-Cyrl-RS"/>
        </w:rPr>
        <w:t xml:space="preserve"> –</w:t>
      </w:r>
      <w:r w:rsidRPr="00EF2F18">
        <w:rPr>
          <w:rFonts w:cs="Times New Roman"/>
          <w:b/>
          <w:bCs/>
          <w:sz w:val="22"/>
          <w:lang w:val="sr-Cyrl-RS"/>
        </w:rPr>
        <w:t xml:space="preserve"> 2027. године</w:t>
      </w:r>
      <w:r w:rsidRPr="00EF2F18">
        <w:rPr>
          <w:rFonts w:cs="Times New Roman"/>
          <w:sz w:val="22"/>
          <w:lang w:val="sr-Cyrl-RS"/>
        </w:rPr>
        <w:t xml:space="preserve"> обухвата искључиво део који се односи на макроекономски и фискални оквир. Са друге стране, у оквиру Плана раста за Западни Балкан, новог инструмента Европске уније, Влада је 3. октобра 2024. године усвојила документ </w:t>
      </w:r>
      <w:r w:rsidRPr="00EF2F18">
        <w:rPr>
          <w:rFonts w:cs="Times New Roman"/>
          <w:b/>
          <w:bCs/>
          <w:sz w:val="22"/>
          <w:lang w:val="sr-Cyrl-RS"/>
        </w:rPr>
        <w:t>Реформска агенда Републике Србије 2024</w:t>
      </w:r>
      <w:r w:rsidR="003A00E3">
        <w:rPr>
          <w:rFonts w:cs="Times New Roman"/>
          <w:b/>
          <w:bCs/>
          <w:sz w:val="22"/>
          <w:lang w:val="sr-Cyrl-RS"/>
        </w:rPr>
        <w:t xml:space="preserve"> </w:t>
      </w:r>
      <w:r w:rsidR="00D72724">
        <w:rPr>
          <w:rFonts w:cs="Times New Roman"/>
          <w:b/>
          <w:bCs/>
          <w:sz w:val="22"/>
          <w:lang w:val="sr-Cyrl-RS"/>
        </w:rPr>
        <w:t>–</w:t>
      </w:r>
      <w:r w:rsidR="003A00E3">
        <w:rPr>
          <w:rFonts w:cs="Times New Roman"/>
          <w:b/>
          <w:bCs/>
          <w:sz w:val="22"/>
          <w:lang w:val="sr-Cyrl-RS"/>
        </w:rPr>
        <w:t xml:space="preserve"> </w:t>
      </w:r>
      <w:r w:rsidRPr="00EF2F18">
        <w:rPr>
          <w:rFonts w:cs="Times New Roman"/>
          <w:b/>
          <w:bCs/>
          <w:sz w:val="22"/>
          <w:lang w:val="sr-Cyrl-RS"/>
        </w:rPr>
        <w:t>2027.</w:t>
      </w:r>
      <w:r w:rsidR="003A00E3" w:rsidRPr="003A00E3">
        <w:rPr>
          <w:rFonts w:cs="Times New Roman"/>
          <w:iCs/>
          <w:sz w:val="22"/>
          <w:lang w:val="sr-Cyrl-RS"/>
        </w:rPr>
        <w:t xml:space="preserve"> </w:t>
      </w:r>
      <w:r w:rsidR="003A00E3" w:rsidRPr="003A00E3">
        <w:rPr>
          <w:rFonts w:cs="Times New Roman"/>
          <w:b/>
          <w:iCs/>
          <w:sz w:val="22"/>
          <w:lang w:val="sr-Cyrl-RS"/>
        </w:rPr>
        <w:t>године</w:t>
      </w:r>
      <w:r w:rsidRPr="00EF2F18">
        <w:rPr>
          <w:rFonts w:cs="Times New Roman"/>
          <w:b/>
          <w:bCs/>
          <w:sz w:val="22"/>
          <w:lang w:val="sr-Cyrl-RS"/>
        </w:rPr>
        <w:t xml:space="preserve"> у складу са Планом раста за Западни Балкан</w:t>
      </w:r>
      <w:r w:rsidRPr="00EF2F18">
        <w:rPr>
          <w:rFonts w:cs="Times New Roman"/>
          <w:sz w:val="22"/>
          <w:lang w:val="sr-Cyrl-RS"/>
        </w:rPr>
        <w:t>, који садржи ограничен број кључних структурних реформи и инвестиционих приоритета, индикаторе који указују на напредак у спровођењу реформи као и рокове за спровођење у областима: пословно окружење и развој приватног сектора, зелена и дигитална транзиција, људски капитал и основе, од чијег испуњења зависи повлачење средстава.</w:t>
      </w:r>
    </w:p>
    <w:p w14:paraId="6C280DAC" w14:textId="63A78D8E" w:rsidR="00275A91" w:rsidRPr="00EF2F18" w:rsidRDefault="00275A91" w:rsidP="00AA0693">
      <w:pPr>
        <w:spacing w:after="0"/>
        <w:ind w:left="-15" w:right="-7" w:firstLine="720"/>
        <w:jc w:val="both"/>
        <w:rPr>
          <w:rFonts w:cs="Times New Roman"/>
          <w:sz w:val="22"/>
          <w:lang w:val="sr-Cyrl-RS"/>
        </w:rPr>
      </w:pPr>
      <w:r w:rsidRPr="00EF2F18">
        <w:rPr>
          <w:rFonts w:cs="Times New Roman"/>
          <w:b/>
          <w:sz w:val="22"/>
          <w:lang w:val="sr-Cyrl-RS"/>
        </w:rPr>
        <w:t xml:space="preserve">Стратегија развоја образовања и васпитања у Републици Србији до 2030. године </w:t>
      </w:r>
      <w:r w:rsidRPr="00EF2F18">
        <w:rPr>
          <w:rFonts w:cs="Times New Roman"/>
          <w:bCs/>
          <w:sz w:val="22"/>
          <w:lang w:val="sr-Cyrl-RS"/>
        </w:rPr>
        <w:t>(,,Службени гласник РС”, број 63/21) поставила је темеље развоја образовања који се односе</w:t>
      </w:r>
      <w:r w:rsidRPr="00EF2F18">
        <w:rPr>
          <w:rFonts w:cs="Times New Roman"/>
          <w:sz w:val="22"/>
          <w:lang w:val="sr-Cyrl-RS"/>
        </w:rPr>
        <w:t xml:space="preserve"> на повећање квалитета, обухвата релевантност и ефикасност образовања, а ради стварања услова за лични и професионални развој сваког појединца, као и за развој друштва и државе заснованих на знању. Овим планским документом се предвиђа низ мера које ће истовремено ојачати институције, истраживаче и истраживачке тимове у научно</w:t>
      </w:r>
      <w:r w:rsidR="00685595" w:rsidRPr="00EF2F18">
        <w:rPr>
          <w:rFonts w:cs="Times New Roman"/>
          <w:sz w:val="22"/>
          <w:lang w:val="sr-Cyrl-RS"/>
        </w:rPr>
        <w:t>-</w:t>
      </w:r>
      <w:r w:rsidRPr="00EF2F18">
        <w:rPr>
          <w:rFonts w:cs="Times New Roman"/>
          <w:sz w:val="22"/>
          <w:lang w:val="sr-Cyrl-RS"/>
        </w:rPr>
        <w:t>истраживачком и иновационом систему.</w:t>
      </w:r>
    </w:p>
    <w:p w14:paraId="2A794D9D" w14:textId="59D1F325" w:rsidR="00D05BB0" w:rsidRPr="00EF2F18" w:rsidRDefault="00D05BB0" w:rsidP="00D05BB0">
      <w:pPr>
        <w:spacing w:after="0"/>
        <w:ind w:right="-7" w:firstLine="695"/>
        <w:jc w:val="both"/>
        <w:rPr>
          <w:rFonts w:cs="Times New Roman"/>
          <w:sz w:val="22"/>
          <w:lang w:val="sr-Cyrl-RS"/>
        </w:rPr>
      </w:pPr>
      <w:r w:rsidRPr="00EF2F18">
        <w:rPr>
          <w:rFonts w:cs="Times New Roman"/>
          <w:b/>
          <w:bCs/>
          <w:sz w:val="22"/>
          <w:lang w:val="sr-Cyrl-RS"/>
        </w:rPr>
        <w:t xml:space="preserve">Стратегија научног и технолошког развоја Републике Србије за период </w:t>
      </w:r>
      <w:r w:rsidR="00716CBA" w:rsidRPr="00EF2F18">
        <w:rPr>
          <w:rFonts w:cs="Times New Roman"/>
          <w:b/>
          <w:bCs/>
          <w:sz w:val="22"/>
          <w:lang w:val="sr-Cyrl-RS"/>
        </w:rPr>
        <w:t xml:space="preserve">од </w:t>
      </w:r>
      <w:r w:rsidRPr="00EF2F18">
        <w:rPr>
          <w:rFonts w:cs="Times New Roman"/>
          <w:b/>
          <w:bCs/>
          <w:sz w:val="22"/>
          <w:lang w:val="sr-Cyrl-RS"/>
        </w:rPr>
        <w:t>2021</w:t>
      </w:r>
      <w:r w:rsidR="00716CBA" w:rsidRPr="00EF2F18">
        <w:rPr>
          <w:rFonts w:cs="Times New Roman"/>
          <w:b/>
          <w:bCs/>
          <w:sz w:val="22"/>
          <w:lang w:val="sr-Cyrl-RS"/>
        </w:rPr>
        <w:t xml:space="preserve">. до </w:t>
      </w:r>
      <w:r w:rsidRPr="00EF2F18">
        <w:rPr>
          <w:rFonts w:cs="Times New Roman"/>
          <w:b/>
          <w:bCs/>
          <w:sz w:val="22"/>
          <w:lang w:val="sr-Cyrl-RS"/>
        </w:rPr>
        <w:t>2025</w:t>
      </w:r>
      <w:r w:rsidRPr="00EF2F18">
        <w:rPr>
          <w:rFonts w:cs="Times New Roman"/>
          <w:sz w:val="22"/>
          <w:lang w:val="sr-Cyrl-RS"/>
        </w:rPr>
        <w:t>.</w:t>
      </w:r>
      <w:r w:rsidR="00716CBA" w:rsidRPr="00EF2F18">
        <w:rPr>
          <w:rFonts w:cs="Times New Roman"/>
          <w:sz w:val="22"/>
          <w:lang w:val="sr-Cyrl-RS"/>
        </w:rPr>
        <w:t xml:space="preserve"> </w:t>
      </w:r>
      <w:r w:rsidR="00716CBA" w:rsidRPr="00EF2F18">
        <w:rPr>
          <w:rFonts w:cs="Times New Roman"/>
          <w:b/>
          <w:bCs/>
          <w:sz w:val="22"/>
          <w:lang w:val="sr-Cyrl-RS"/>
        </w:rPr>
        <w:t>године „Моћ знања”</w:t>
      </w:r>
      <w:r w:rsidRPr="00EF2F18">
        <w:rPr>
          <w:rFonts w:cs="Times New Roman"/>
          <w:sz w:val="22"/>
          <w:lang w:val="sr-Cyrl-RS"/>
        </w:rPr>
        <w:t xml:space="preserve"> („Службени гласник РС”, број 10/21) представља стратешки инструмент за унапређење квалитета живота грађана Републике Србије помоћу науке и технолошког развоја. Стратегија почива на уверењу да ће Република Србија бити снажна, просперитетна и угледна земља сразмерно знању којим као заједница мислећих људи располаже.</w:t>
      </w:r>
    </w:p>
    <w:p w14:paraId="0AA34EA3" w14:textId="5D4BE20A" w:rsidR="00D05BB0" w:rsidRPr="00EF2F18" w:rsidRDefault="00D05BB0" w:rsidP="00D05BB0">
      <w:pPr>
        <w:spacing w:after="0"/>
        <w:ind w:firstLine="695"/>
        <w:jc w:val="both"/>
        <w:rPr>
          <w:rFonts w:cs="Times New Roman"/>
          <w:sz w:val="22"/>
          <w:lang w:val="sr-Cyrl-RS"/>
        </w:rPr>
      </w:pPr>
      <w:r w:rsidRPr="00EF2F18">
        <w:rPr>
          <w:rFonts w:cs="Times New Roman"/>
          <w:bCs/>
          <w:sz w:val="22"/>
          <w:lang w:val="sr-Cyrl-RS"/>
        </w:rPr>
        <w:t xml:space="preserve">У </w:t>
      </w:r>
      <w:r w:rsidRPr="00EF2F18">
        <w:rPr>
          <w:rFonts w:cs="Times New Roman"/>
          <w:b/>
          <w:sz w:val="22"/>
          <w:lang w:val="sr-Cyrl-RS"/>
        </w:rPr>
        <w:t>Програму развоја јавних набавки у Републици Србији за период 20</w:t>
      </w:r>
      <w:r w:rsidR="00A22E82" w:rsidRPr="00EF2F18">
        <w:rPr>
          <w:rFonts w:cs="Times New Roman"/>
          <w:b/>
          <w:sz w:val="22"/>
          <w:lang w:val="sr-Cyrl-RS"/>
        </w:rPr>
        <w:t>24</w:t>
      </w:r>
      <w:r w:rsidR="005F5388" w:rsidRPr="00EF2F18">
        <w:rPr>
          <w:rFonts w:cs="Times New Roman"/>
          <w:b/>
          <w:sz w:val="22"/>
          <w:lang w:val="sr-Cyrl-RS"/>
        </w:rPr>
        <w:t xml:space="preserve"> – </w:t>
      </w:r>
      <w:r w:rsidRPr="00EF2F18">
        <w:rPr>
          <w:rFonts w:cs="Times New Roman"/>
          <w:b/>
          <w:sz w:val="22"/>
          <w:lang w:val="sr-Cyrl-RS"/>
        </w:rPr>
        <w:t>202</w:t>
      </w:r>
      <w:r w:rsidR="00A22E82" w:rsidRPr="00EF2F18">
        <w:rPr>
          <w:rFonts w:cs="Times New Roman"/>
          <w:b/>
          <w:sz w:val="22"/>
          <w:lang w:val="sr-Cyrl-RS"/>
        </w:rPr>
        <w:t>8</w:t>
      </w:r>
      <w:r w:rsidRPr="00EF2F18">
        <w:rPr>
          <w:rFonts w:cs="Times New Roman"/>
          <w:b/>
          <w:sz w:val="22"/>
          <w:lang w:val="sr-Cyrl-RS"/>
        </w:rPr>
        <w:t>. године</w:t>
      </w:r>
      <w:r w:rsidRPr="00EF2F18">
        <w:rPr>
          <w:rFonts w:cs="Times New Roman"/>
          <w:sz w:val="22"/>
          <w:lang w:val="sr-Cyrl-RS"/>
        </w:rPr>
        <w:t xml:space="preserve"> (,,Службени гласник РС”, број 82/19) један </w:t>
      </w:r>
      <w:r w:rsidR="00A22E82" w:rsidRPr="00EF2F18">
        <w:rPr>
          <w:rFonts w:cs="Times New Roman"/>
          <w:sz w:val="22"/>
          <w:lang w:val="sr-Cyrl-RS"/>
        </w:rPr>
        <w:t>посебан циљ се односи на</w:t>
      </w:r>
      <w:r w:rsidR="006C2E00" w:rsidRPr="00EF2F18">
        <w:rPr>
          <w:rFonts w:cs="Times New Roman"/>
          <w:sz w:val="22"/>
          <w:lang w:val="sr-Cyrl-RS"/>
        </w:rPr>
        <w:t xml:space="preserve"> </w:t>
      </w:r>
      <w:r w:rsidR="00A22E82" w:rsidRPr="00EF2F18">
        <w:rPr>
          <w:sz w:val="22"/>
          <w:lang w:val="sr-Cyrl-RS"/>
        </w:rPr>
        <w:t>постизање шире примене еколошког и социјалног аспекта и техничких инструмената у јавним набавкама</w:t>
      </w:r>
      <w:r w:rsidRPr="00EF2F18">
        <w:rPr>
          <w:rFonts w:cs="Times New Roman"/>
          <w:sz w:val="22"/>
          <w:lang w:val="sr-Cyrl-RS"/>
        </w:rPr>
        <w:t>, што може да допринесе и развоју циркулaрне економије.</w:t>
      </w:r>
    </w:p>
    <w:p w14:paraId="169B113D" w14:textId="2B298AB6" w:rsidR="00AA0693" w:rsidRPr="00EF2F18" w:rsidRDefault="00D05BB0" w:rsidP="00D05BB0">
      <w:pPr>
        <w:spacing w:after="0"/>
        <w:ind w:left="-15" w:right="-7" w:firstLine="720"/>
        <w:jc w:val="both"/>
        <w:rPr>
          <w:rFonts w:cs="Times New Roman"/>
          <w:bCs/>
          <w:sz w:val="22"/>
          <w:lang w:val="sr-Cyrl-RS"/>
        </w:rPr>
      </w:pPr>
      <w:r w:rsidRPr="00EF2F18">
        <w:rPr>
          <w:rFonts w:cs="Times New Roman"/>
          <w:bCs/>
          <w:sz w:val="22"/>
          <w:lang w:val="sr-Cyrl-RS"/>
        </w:rPr>
        <w:t>У вези са трећим стубом Зелене агенде – Смањење загађења</w:t>
      </w:r>
      <w:r w:rsidR="004A55D4" w:rsidRPr="00EF2F18">
        <w:rPr>
          <w:rFonts w:cs="Times New Roman"/>
          <w:bCs/>
          <w:sz w:val="22"/>
          <w:lang w:val="sr-Cyrl-RS"/>
        </w:rPr>
        <w:t>,</w:t>
      </w:r>
      <w:r w:rsidRPr="00EF2F18">
        <w:rPr>
          <w:rFonts w:cs="Times New Roman"/>
          <w:bCs/>
          <w:sz w:val="22"/>
          <w:lang w:val="sr-Cyrl-RS"/>
        </w:rPr>
        <w:t xml:space="preserve"> директно проистиче неколико докумената јавних политика.</w:t>
      </w:r>
      <w:r w:rsidRPr="00EF2F18">
        <w:rPr>
          <w:rFonts w:cs="Times New Roman"/>
          <w:sz w:val="22"/>
          <w:lang w:val="sr-Cyrl-RS"/>
        </w:rPr>
        <w:t xml:space="preserve"> </w:t>
      </w:r>
      <w:r w:rsidRPr="00EF2F18">
        <w:rPr>
          <w:rFonts w:cs="Times New Roman"/>
          <w:bCs/>
          <w:sz w:val="22"/>
          <w:lang w:val="sr-Cyrl-RS"/>
        </w:rPr>
        <w:t xml:space="preserve">Документ јавне политике у области заштите ваздуха представља </w:t>
      </w:r>
      <w:r w:rsidRPr="00EF2F18">
        <w:rPr>
          <w:rFonts w:cs="Times New Roman"/>
          <w:b/>
          <w:sz w:val="22"/>
          <w:lang w:val="sr-Cyrl-RS"/>
        </w:rPr>
        <w:t xml:space="preserve">Програм заштите ваздуха у Републици Србији за период од 2022. до 2030. године са акционим планом </w:t>
      </w:r>
      <w:r w:rsidRPr="00EF2F18">
        <w:rPr>
          <w:rFonts w:cs="Times New Roman"/>
          <w:bCs/>
          <w:sz w:val="22"/>
          <w:lang w:val="sr-Cyrl-RS"/>
        </w:rPr>
        <w:t xml:space="preserve">(„Службени гласник РС”, број </w:t>
      </w:r>
      <w:r w:rsidRPr="00EF2F18">
        <w:rPr>
          <w:rFonts w:cs="Times New Roman"/>
          <w:color w:val="333333"/>
          <w:sz w:val="22"/>
          <w:shd w:val="clear" w:color="auto" w:fill="FFFFFF"/>
          <w:lang w:val="sr-Cyrl-RS"/>
        </w:rPr>
        <w:t>140/22</w:t>
      </w:r>
      <w:r w:rsidRPr="00EF2F18">
        <w:rPr>
          <w:rFonts w:cs="Times New Roman"/>
          <w:bCs/>
          <w:sz w:val="22"/>
          <w:lang w:val="sr-Cyrl-RS"/>
        </w:rPr>
        <w:t>)</w:t>
      </w:r>
      <w:r w:rsidR="00AA0693" w:rsidRPr="00EF2F18">
        <w:rPr>
          <w:rFonts w:cs="Times New Roman"/>
          <w:bCs/>
          <w:sz w:val="22"/>
          <w:lang w:val="sr-Cyrl-RS"/>
        </w:rPr>
        <w:t>. Општи циљ Програма је смањење штетних утицаја на здравље услед излагања ваздуху лошег квалитета до 2030.</w:t>
      </w:r>
      <w:r w:rsidR="005F5388" w:rsidRPr="00EF2F18">
        <w:rPr>
          <w:rFonts w:cs="Times New Roman"/>
          <w:bCs/>
          <w:sz w:val="22"/>
          <w:lang w:val="sr-Cyrl-RS"/>
        </w:rPr>
        <w:t xml:space="preserve"> године</w:t>
      </w:r>
      <w:r w:rsidR="004A55D4" w:rsidRPr="00EF2F18">
        <w:rPr>
          <w:rFonts w:cs="Times New Roman"/>
          <w:bCs/>
          <w:sz w:val="22"/>
          <w:lang w:val="sr-Cyrl-RS"/>
        </w:rPr>
        <w:t>,</w:t>
      </w:r>
      <w:r w:rsidR="00AA0693" w:rsidRPr="00EF2F18">
        <w:rPr>
          <w:rFonts w:cs="Times New Roman"/>
          <w:bCs/>
          <w:sz w:val="22"/>
          <w:lang w:val="sr-Cyrl-RS"/>
        </w:rPr>
        <w:t xml:space="preserve"> у поређењу са 2015. годином смањењем излагања загађењу ваздуха, у исто време омогућавајући да се Република Србија усклади са регулаторним ограничењима прописаним у Европској унији за загађење ваздуха, и ограничавајући штетне утицаје на екосистеме. Посебни циљеви дефинисани Програмом обухватају: 1) Смањење емисија SO</w:t>
      </w:r>
      <w:r w:rsidR="00AA0693" w:rsidRPr="00EF2F18">
        <w:rPr>
          <w:rFonts w:cs="Times New Roman"/>
          <w:bCs/>
          <w:sz w:val="22"/>
          <w:vertAlign w:val="subscript"/>
          <w:lang w:val="sr-Cyrl-RS"/>
        </w:rPr>
        <w:t>2</w:t>
      </w:r>
      <w:r w:rsidR="00AA0693" w:rsidRPr="00EF2F18">
        <w:rPr>
          <w:rFonts w:cs="Times New Roman"/>
          <w:bCs/>
          <w:sz w:val="22"/>
          <w:lang w:val="sr-Cyrl-RS"/>
        </w:rPr>
        <w:t xml:space="preserve"> за 92% и суспендованих честица PM2.5 за 58,3% из сектора енергетике (укључујући саобраћај и индивидуална ложишта)</w:t>
      </w:r>
      <w:r w:rsidR="00715DC5" w:rsidRPr="00EF2F18">
        <w:rPr>
          <w:rFonts w:cs="Times New Roman"/>
          <w:bCs/>
          <w:sz w:val="22"/>
          <w:lang w:val="sr-Cyrl-RS"/>
        </w:rPr>
        <w:t xml:space="preserve"> </w:t>
      </w:r>
      <w:r w:rsidR="004A55D4" w:rsidRPr="00EF2F18">
        <w:rPr>
          <w:rFonts w:cs="Times New Roman"/>
          <w:bCs/>
          <w:sz w:val="22"/>
          <w:lang w:val="sr-Cyrl-RS"/>
        </w:rPr>
        <w:t xml:space="preserve">до </w:t>
      </w:r>
      <w:r w:rsidR="00AA0693" w:rsidRPr="00EF2F18">
        <w:rPr>
          <w:rFonts w:cs="Times New Roman"/>
          <w:bCs/>
          <w:sz w:val="22"/>
          <w:lang w:val="sr-Cyrl-RS"/>
        </w:rPr>
        <w:t xml:space="preserve">2030. године у поређењу са 2015. годином; 2) Смањење емисија загађујућих материја и тешких метала у ваздух из индустријских процеса и употребе производа кроз усаглашавање са </w:t>
      </w:r>
      <w:r w:rsidR="00AA0693" w:rsidRPr="00EF2F18">
        <w:rPr>
          <w:rFonts w:cs="Times New Roman"/>
          <w:bCs/>
          <w:i/>
          <w:iCs/>
          <w:sz w:val="22"/>
          <w:lang w:val="sr-Cyrl-RS"/>
        </w:rPr>
        <w:t>BAT AELs</w:t>
      </w:r>
      <w:r w:rsidR="00AA0693" w:rsidRPr="00EF2F18">
        <w:rPr>
          <w:rFonts w:cs="Times New Roman"/>
          <w:bCs/>
          <w:sz w:val="22"/>
          <w:lang w:val="sr-Cyrl-RS"/>
        </w:rPr>
        <w:t>; 3) Смањење емисија NH</w:t>
      </w:r>
      <w:r w:rsidR="00AA0693" w:rsidRPr="00EF2F18">
        <w:rPr>
          <w:rFonts w:cs="Times New Roman"/>
          <w:bCs/>
          <w:sz w:val="22"/>
          <w:vertAlign w:val="subscript"/>
          <w:lang w:val="sr-Cyrl-RS"/>
        </w:rPr>
        <w:t>3</w:t>
      </w:r>
      <w:r w:rsidR="00AA0693" w:rsidRPr="00EF2F18">
        <w:rPr>
          <w:rFonts w:cs="Times New Roman"/>
          <w:bCs/>
          <w:sz w:val="22"/>
          <w:lang w:val="sr-Cyrl-RS"/>
        </w:rPr>
        <w:t xml:space="preserve"> из сектора пољопривреде за 20,5% у поређењу са 2015. годином; и 4) Промоцију преласка на чист ваздух за све. Поред тога, ради решавања проблема емисија из највећих извора загађења у земљи, Влада је у јануару 2020. године усвојила </w:t>
      </w:r>
      <w:r w:rsidR="00AA0693" w:rsidRPr="00EF2F18">
        <w:rPr>
          <w:rFonts w:cs="Times New Roman"/>
          <w:b/>
          <w:sz w:val="22"/>
          <w:lang w:val="sr-Cyrl-RS"/>
        </w:rPr>
        <w:t>Национални план за смањење емисија главних загађујућих материја које потичу из старих великих постројења за сагоревање</w:t>
      </w:r>
      <w:r w:rsidR="00ED31D8" w:rsidRPr="00EF2F18">
        <w:rPr>
          <w:rFonts w:cs="Times New Roman"/>
          <w:b/>
          <w:sz w:val="22"/>
          <w:lang w:val="sr-Cyrl-RS"/>
        </w:rPr>
        <w:t xml:space="preserve"> </w:t>
      </w:r>
      <w:r w:rsidR="00ED31D8" w:rsidRPr="00EF2F18">
        <w:rPr>
          <w:rFonts w:cs="Times New Roman"/>
          <w:bCs/>
          <w:sz w:val="22"/>
          <w:lang w:val="sr-Cyrl-RS"/>
        </w:rPr>
        <w:t>(</w:t>
      </w:r>
      <w:r w:rsidR="00ED31D8" w:rsidRPr="00EF2F18">
        <w:rPr>
          <w:rFonts w:cs="Times New Roman"/>
          <w:bCs/>
          <w:i/>
          <w:iCs/>
          <w:sz w:val="22"/>
          <w:lang w:val="sr-Cyrl-RS"/>
        </w:rPr>
        <w:t>NERP</w:t>
      </w:r>
      <w:r w:rsidR="00ED31D8" w:rsidRPr="00EF2F18">
        <w:rPr>
          <w:rFonts w:cs="Times New Roman"/>
          <w:bCs/>
          <w:sz w:val="22"/>
          <w:lang w:val="sr-Cyrl-RS"/>
        </w:rPr>
        <w:t>)</w:t>
      </w:r>
      <w:r w:rsidR="00AA0693" w:rsidRPr="00EF2F18">
        <w:rPr>
          <w:rFonts w:cs="Times New Roman"/>
          <w:b/>
          <w:sz w:val="22"/>
          <w:lang w:val="sr-Cyrl-RS"/>
        </w:rPr>
        <w:t xml:space="preserve"> </w:t>
      </w:r>
      <w:r w:rsidR="00AA0693" w:rsidRPr="00EF2F18">
        <w:rPr>
          <w:rFonts w:cs="Times New Roman"/>
          <w:bCs/>
          <w:sz w:val="22"/>
          <w:lang w:val="sr-Cyrl-RS"/>
        </w:rPr>
        <w:t>(„Службени гласник РС”, број 10/20), чији је циљ да се смање укупне годишње емисије сумпор диоксида (SO</w:t>
      </w:r>
      <w:r w:rsidR="00AA0693" w:rsidRPr="00EF2F18">
        <w:rPr>
          <w:rFonts w:cs="Times New Roman"/>
          <w:bCs/>
          <w:sz w:val="22"/>
          <w:vertAlign w:val="subscript"/>
          <w:lang w:val="sr-Cyrl-RS"/>
        </w:rPr>
        <w:t>2</w:t>
      </w:r>
      <w:r w:rsidR="00AA0693" w:rsidRPr="00EF2F18">
        <w:rPr>
          <w:rFonts w:cs="Times New Roman"/>
          <w:bCs/>
          <w:sz w:val="22"/>
          <w:lang w:val="sr-Cyrl-RS"/>
        </w:rPr>
        <w:t xml:space="preserve">), оксида азота (NOx) и прашкастих материја из старих великих постројења за сагоревање обухваћених </w:t>
      </w:r>
      <w:r w:rsidR="00AA0693" w:rsidRPr="00EF2F18">
        <w:rPr>
          <w:rFonts w:cs="Times New Roman"/>
          <w:bCs/>
          <w:i/>
          <w:iCs/>
          <w:sz w:val="22"/>
          <w:lang w:val="sr-Cyrl-RS"/>
        </w:rPr>
        <w:t>NERP</w:t>
      </w:r>
      <w:r w:rsidR="00AA0693" w:rsidRPr="00EF2F18">
        <w:rPr>
          <w:rFonts w:cs="Times New Roman"/>
          <w:bCs/>
          <w:sz w:val="22"/>
          <w:lang w:val="sr-Cyrl-RS"/>
        </w:rPr>
        <w:t>-ом.</w:t>
      </w:r>
      <w:r w:rsidR="00C33FFB" w:rsidRPr="00EF2F18">
        <w:rPr>
          <w:rFonts w:cs="Times New Roman"/>
          <w:bCs/>
          <w:sz w:val="22"/>
          <w:lang w:val="sr-Cyrl-RS"/>
        </w:rPr>
        <w:t xml:space="preserve"> </w:t>
      </w:r>
    </w:p>
    <w:p w14:paraId="1B841163" w14:textId="0E471207" w:rsidR="00D05BB0" w:rsidRPr="00EF2F18" w:rsidRDefault="00D05BB0" w:rsidP="00B612A0">
      <w:pPr>
        <w:spacing w:after="0"/>
        <w:ind w:left="-15" w:right="-7" w:firstLine="720"/>
        <w:jc w:val="both"/>
        <w:rPr>
          <w:rFonts w:cs="Times New Roman"/>
          <w:sz w:val="22"/>
          <w:lang w:val="sr-Cyrl-RS"/>
        </w:rPr>
      </w:pPr>
      <w:r w:rsidRPr="00EF2F18">
        <w:rPr>
          <w:rFonts w:cs="Times New Roman"/>
          <w:bCs/>
          <w:sz w:val="22"/>
          <w:lang w:val="sr-Cyrl-RS"/>
        </w:rPr>
        <w:lastRenderedPageBreak/>
        <w:t xml:space="preserve">Други повезани документ представља </w:t>
      </w:r>
      <w:r w:rsidRPr="00EF2F18">
        <w:rPr>
          <w:rFonts w:cs="Times New Roman"/>
          <w:b/>
          <w:sz w:val="22"/>
          <w:lang w:val="sr-Cyrl-RS"/>
        </w:rPr>
        <w:t xml:space="preserve">Стратегија управљања водама на територији Републике Србије до 2034. године </w:t>
      </w:r>
      <w:r w:rsidRPr="00EF2F18">
        <w:rPr>
          <w:rFonts w:cs="Times New Roman"/>
          <w:sz w:val="22"/>
          <w:lang w:val="sr-Cyrl-RS"/>
        </w:rPr>
        <w:t>(,,Службени гласник РС”, број 3/17). Она представља</w:t>
      </w:r>
      <w:r w:rsidR="005E42D2" w:rsidRPr="00EF2F18">
        <w:rPr>
          <w:rFonts w:cs="Times New Roman"/>
          <w:sz w:val="22"/>
          <w:lang w:val="sr-Cyrl-RS"/>
        </w:rPr>
        <w:t xml:space="preserve"> </w:t>
      </w:r>
      <w:r w:rsidRPr="00EF2F18">
        <w:rPr>
          <w:rFonts w:cs="Times New Roman"/>
          <w:sz w:val="22"/>
          <w:lang w:val="sr-Cyrl-RS"/>
        </w:rPr>
        <w:t>документ јавне политике којим се утврђују дугорочни правци управљања водама на територији Републике Србије. Са аспекта циркуларне економије посебно су важне области снабдевања становништва и индустрије</w:t>
      </w:r>
      <w:r w:rsidR="004A55D4" w:rsidRPr="00EF2F18">
        <w:rPr>
          <w:rFonts w:cs="Times New Roman"/>
          <w:sz w:val="22"/>
          <w:lang w:val="sr-Cyrl-RS"/>
        </w:rPr>
        <w:t xml:space="preserve"> водом</w:t>
      </w:r>
      <w:r w:rsidRPr="00EF2F18">
        <w:rPr>
          <w:rFonts w:cs="Times New Roman"/>
          <w:sz w:val="22"/>
          <w:lang w:val="sr-Cyrl-RS"/>
        </w:rPr>
        <w:t>, као и управљања отпадним водама. У областима снабдевања водом</w:t>
      </w:r>
      <w:r w:rsidR="00BF7731" w:rsidRPr="00EF2F18">
        <w:rPr>
          <w:rFonts w:cs="Times New Roman"/>
          <w:sz w:val="22"/>
          <w:lang w:val="sr-Cyrl-RS"/>
        </w:rPr>
        <w:t>,</w:t>
      </w:r>
      <w:r w:rsidRPr="00EF2F18">
        <w:rPr>
          <w:rFonts w:cs="Times New Roman"/>
          <w:sz w:val="22"/>
          <w:lang w:val="sr-Cyrl-RS"/>
        </w:rPr>
        <w:t xml:space="preserve"> циљеви ове стратегије су углавном усмерени ка проширењу система водоснабдевања и њиховом унапређењу у погледу расположивости и квалитета воде, остваривању рационалне потрошње воде, кроз едукацију становништва и примену најбољих доступних техника у индустрији, као и остваривањ</w:t>
      </w:r>
      <w:r w:rsidR="004A55D4" w:rsidRPr="00EF2F18">
        <w:rPr>
          <w:rFonts w:cs="Times New Roman"/>
          <w:sz w:val="22"/>
          <w:lang w:val="sr-Cyrl-RS"/>
        </w:rPr>
        <w:t>у</w:t>
      </w:r>
      <w:r w:rsidRPr="00EF2F18">
        <w:rPr>
          <w:rFonts w:cs="Times New Roman"/>
          <w:sz w:val="22"/>
          <w:lang w:val="sr-Cyrl-RS"/>
        </w:rPr>
        <w:t xml:space="preserve"> ефикасније наплате, што све доприноси развоју циркуларне економије. У области управљања отпадним водама, између осталог, овом стратегијом је предвиђена даља изградња канализационих система, доношење неопходних планских и подзаконских аката за заштиту вода од загађивања, као и примена административних мера за стимулисање рециркулације и поновног коришћења воде. </w:t>
      </w:r>
      <w:r w:rsidRPr="00EF2F18">
        <w:rPr>
          <w:rFonts w:cs="Times New Roman"/>
          <w:b/>
          <w:bCs/>
          <w:sz w:val="22"/>
          <w:lang w:val="sr-Cyrl-RS"/>
        </w:rPr>
        <w:t xml:space="preserve">План управљања водама на територији Републике Србије до 2027. године </w:t>
      </w:r>
      <w:r w:rsidRPr="00EF2F18">
        <w:rPr>
          <w:rFonts w:cs="Times New Roman"/>
          <w:sz w:val="22"/>
          <w:lang w:val="sr-Cyrl-RS"/>
        </w:rPr>
        <w:t>(</w:t>
      </w:r>
      <w:r w:rsidR="00B612A0" w:rsidRPr="00EF2F18">
        <w:rPr>
          <w:rFonts w:cs="Times New Roman"/>
          <w:sz w:val="22"/>
          <w:lang w:val="sr-Cyrl-RS"/>
        </w:rPr>
        <w:t>Уредба о утврђивању</w:t>
      </w:r>
      <w:r w:rsidR="006C2E00" w:rsidRPr="00EF2F18">
        <w:rPr>
          <w:rFonts w:cs="Times New Roman"/>
          <w:sz w:val="22"/>
          <w:lang w:val="sr-Cyrl-RS"/>
        </w:rPr>
        <w:t xml:space="preserve"> </w:t>
      </w:r>
      <w:r w:rsidR="00B612A0" w:rsidRPr="00EF2F18">
        <w:rPr>
          <w:rFonts w:cs="Times New Roman"/>
          <w:sz w:val="22"/>
          <w:lang w:val="sr-Cyrl-RS"/>
        </w:rPr>
        <w:t>Плана управљања водама на територији Републике Србије до 2027. године (</w:t>
      </w:r>
      <w:r w:rsidRPr="00EF2F18">
        <w:rPr>
          <w:rFonts w:cs="Times New Roman"/>
          <w:sz w:val="22"/>
          <w:lang w:val="sr-Cyrl-RS"/>
        </w:rPr>
        <w:t>„Службени гласник РС”, број 33/23)</w:t>
      </w:r>
      <w:r w:rsidR="00B612A0" w:rsidRPr="00EF2F18">
        <w:rPr>
          <w:rFonts w:cs="Times New Roman"/>
          <w:sz w:val="22"/>
          <w:lang w:val="sr-Cyrl-RS"/>
        </w:rPr>
        <w:t>)</w:t>
      </w:r>
      <w:r w:rsidRPr="00EF2F18">
        <w:rPr>
          <w:rFonts w:cs="Times New Roman"/>
          <w:sz w:val="22"/>
          <w:lang w:val="sr-Cyrl-RS"/>
        </w:rPr>
        <w:t xml:space="preserve"> израђен је у складу </w:t>
      </w:r>
      <w:r w:rsidR="004A55D4" w:rsidRPr="00EF2F18">
        <w:rPr>
          <w:rFonts w:cs="Times New Roman"/>
          <w:sz w:val="22"/>
          <w:lang w:val="sr-Cyrl-RS"/>
        </w:rPr>
        <w:t xml:space="preserve">са </w:t>
      </w:r>
      <w:r w:rsidRPr="00EF2F18">
        <w:rPr>
          <w:rFonts w:cs="Times New Roman"/>
          <w:sz w:val="22"/>
          <w:lang w:val="sr-Cyrl-RS"/>
        </w:rPr>
        <w:t>Стр</w:t>
      </w:r>
      <w:r w:rsidR="00A25D04" w:rsidRPr="00EF2F18">
        <w:rPr>
          <w:rFonts w:cs="Times New Roman"/>
          <w:sz w:val="22"/>
          <w:lang w:val="sr-Cyrl-RS"/>
        </w:rPr>
        <w:t>а</w:t>
      </w:r>
      <w:r w:rsidRPr="00EF2F18">
        <w:rPr>
          <w:rFonts w:cs="Times New Roman"/>
          <w:sz w:val="22"/>
          <w:lang w:val="sr-Cyrl-RS"/>
        </w:rPr>
        <w:t xml:space="preserve">тегијом управљања водама, важећим законодавством у Републици Србији везаним за сектор вода, тренутно важећим међународним споразумима које је Република Србија потписала у вези </w:t>
      </w:r>
      <w:r w:rsidR="004A55D4" w:rsidRPr="00EF2F18">
        <w:rPr>
          <w:rFonts w:cs="Times New Roman"/>
          <w:sz w:val="22"/>
          <w:lang w:val="sr-Cyrl-RS"/>
        </w:rPr>
        <w:t xml:space="preserve">са </w:t>
      </w:r>
      <w:r w:rsidRPr="00EF2F18">
        <w:rPr>
          <w:rFonts w:cs="Times New Roman"/>
          <w:sz w:val="22"/>
          <w:lang w:val="sr-Cyrl-RS"/>
        </w:rPr>
        <w:t>сектор</w:t>
      </w:r>
      <w:r w:rsidR="004A55D4" w:rsidRPr="00EF2F18">
        <w:rPr>
          <w:rFonts w:cs="Times New Roman"/>
          <w:sz w:val="22"/>
          <w:lang w:val="sr-Cyrl-RS"/>
        </w:rPr>
        <w:t>ом</w:t>
      </w:r>
      <w:r w:rsidRPr="00EF2F18">
        <w:rPr>
          <w:rFonts w:cs="Times New Roman"/>
          <w:sz w:val="22"/>
          <w:lang w:val="sr-Cyrl-RS"/>
        </w:rPr>
        <w:t xml:space="preserve"> вода, узимајући у обзир захтеве директива Европске уније везане за сектор вода и то првенствено Оквирне директиве о водама, као најважнијем акту Европске уније у области вода. Спровођење овог плана треба да омогући достизање доброг статуса свих вода у складу са принципима Оквирне директиве о водама и с тим у вези, обухвата прописане елементе од карактеризације вода и анализе тренутног стања, до дефинисања програма мера за шестогодишњи плански период које ће, у перспективи, омогућити достизање постављених циљева животне средине који су дефинисани за сва водна тела површинских и подземних вода.</w:t>
      </w:r>
    </w:p>
    <w:p w14:paraId="583F35DB" w14:textId="413DC820" w:rsidR="00D05BB0" w:rsidRPr="00EF2F18" w:rsidRDefault="00D05BB0" w:rsidP="00D05BB0">
      <w:pPr>
        <w:spacing w:after="0"/>
        <w:ind w:left="-15" w:right="-7" w:firstLine="720"/>
        <w:jc w:val="both"/>
        <w:rPr>
          <w:rFonts w:cs="Times New Roman"/>
          <w:sz w:val="22"/>
          <w:lang w:val="sr-Cyrl-RS"/>
        </w:rPr>
      </w:pPr>
      <w:r w:rsidRPr="00EF2F18">
        <w:rPr>
          <w:rFonts w:cs="Times New Roman"/>
          <w:sz w:val="22"/>
          <w:lang w:val="sr-Cyrl-RS"/>
        </w:rPr>
        <w:t xml:space="preserve">Посредно повезана са овим стубом је и </w:t>
      </w:r>
      <w:r w:rsidRPr="00EF2F18">
        <w:rPr>
          <w:rFonts w:cs="Times New Roman"/>
          <w:b/>
          <w:bCs/>
          <w:sz w:val="22"/>
          <w:lang w:val="sr-Cyrl-RS"/>
        </w:rPr>
        <w:t xml:space="preserve">Стратегија развоја шумарства Републике Србије </w:t>
      </w:r>
      <w:r w:rsidRPr="00EF2F18">
        <w:rPr>
          <w:rFonts w:cs="Times New Roman"/>
          <w:sz w:val="22"/>
          <w:lang w:val="sr-Cyrl-RS"/>
        </w:rPr>
        <w:t xml:space="preserve">(„Службени гласник РС”, број 59/06). Овом стратегијом спроводе </w:t>
      </w:r>
      <w:r w:rsidR="004A55D4" w:rsidRPr="00EF2F18">
        <w:rPr>
          <w:rFonts w:cs="Times New Roman"/>
          <w:sz w:val="22"/>
          <w:lang w:val="sr-Cyrl-RS"/>
        </w:rPr>
        <w:t xml:space="preserve">се </w:t>
      </w:r>
      <w:r w:rsidRPr="00EF2F18">
        <w:rPr>
          <w:rFonts w:cs="Times New Roman"/>
          <w:sz w:val="22"/>
          <w:lang w:val="sr-Cyrl-RS"/>
        </w:rPr>
        <w:t>мере и активности у области очувања и побољшања стања шума и развој шумарства као привредне гране. Фокус је пре свега на унапређењу регулаторне функције шумских екосистема у ублажавању глобалних климатских промена и осталих опште корисних функција шума.</w:t>
      </w:r>
    </w:p>
    <w:p w14:paraId="0C01EE0D" w14:textId="46DE84F1" w:rsidR="00D05BB0" w:rsidRPr="00EF2F18" w:rsidRDefault="00D05BB0" w:rsidP="00D05BB0">
      <w:pPr>
        <w:spacing w:after="0"/>
        <w:ind w:left="-15" w:right="-7" w:firstLine="735"/>
        <w:jc w:val="both"/>
        <w:rPr>
          <w:rFonts w:cs="Times New Roman"/>
          <w:sz w:val="22"/>
          <w:lang w:val="sr-Cyrl-RS"/>
        </w:rPr>
      </w:pPr>
      <w:r w:rsidRPr="00EF2F18">
        <w:rPr>
          <w:rFonts w:cs="Times New Roman"/>
          <w:sz w:val="22"/>
          <w:lang w:val="sr-Cyrl-RS"/>
        </w:rPr>
        <w:t xml:space="preserve">Са петим стубом Зелене агенде у тесној вези је </w:t>
      </w:r>
      <w:r w:rsidRPr="00EF2F18">
        <w:rPr>
          <w:rFonts w:cs="Times New Roman"/>
          <w:b/>
          <w:sz w:val="22"/>
          <w:lang w:val="sr-Cyrl-RS"/>
        </w:rPr>
        <w:t>Стратегија пољопривреде и руралног развоја Републике Србије за период 2014</w:t>
      </w:r>
      <w:r w:rsidR="005F5388" w:rsidRPr="00EF2F18">
        <w:rPr>
          <w:rFonts w:cs="Times New Roman"/>
          <w:b/>
          <w:sz w:val="22"/>
          <w:lang w:val="sr-Cyrl-RS"/>
        </w:rPr>
        <w:t xml:space="preserve"> – </w:t>
      </w:r>
      <w:r w:rsidRPr="00EF2F18">
        <w:rPr>
          <w:rFonts w:cs="Times New Roman"/>
          <w:b/>
          <w:sz w:val="22"/>
          <w:lang w:val="sr-Cyrl-RS"/>
        </w:rPr>
        <w:t xml:space="preserve">2024. године </w:t>
      </w:r>
      <w:r w:rsidRPr="00EF2F18">
        <w:rPr>
          <w:rFonts w:cs="Times New Roman"/>
          <w:sz w:val="22"/>
          <w:lang w:val="sr-Cyrl-RS"/>
        </w:rPr>
        <w:t>(,,Службени гласник РС”, број 85/14)</w:t>
      </w:r>
      <w:r w:rsidRPr="00EF2F18">
        <w:rPr>
          <w:rFonts w:cs="Times New Roman"/>
          <w:bCs/>
          <w:sz w:val="22"/>
          <w:lang w:val="sr-Cyrl-RS"/>
        </w:rPr>
        <w:t>.</w:t>
      </w:r>
      <w:r w:rsidRPr="00EF2F18">
        <w:rPr>
          <w:rFonts w:cs="Times New Roman"/>
          <w:b/>
          <w:sz w:val="22"/>
          <w:lang w:val="sr-Cyrl-RS"/>
        </w:rPr>
        <w:t xml:space="preserve"> </w:t>
      </w:r>
      <w:r w:rsidRPr="00EF2F18">
        <w:rPr>
          <w:rFonts w:cs="Times New Roman"/>
          <w:bCs/>
          <w:sz w:val="22"/>
          <w:lang w:val="sr-Cyrl-RS"/>
        </w:rPr>
        <w:t xml:space="preserve">Овим документом дефинишу </w:t>
      </w:r>
      <w:r w:rsidR="004A55D4" w:rsidRPr="00EF2F18">
        <w:rPr>
          <w:rFonts w:cs="Times New Roman"/>
          <w:bCs/>
          <w:sz w:val="22"/>
          <w:lang w:val="sr-Cyrl-RS"/>
        </w:rPr>
        <w:t xml:space="preserve">се </w:t>
      </w:r>
      <w:r w:rsidRPr="00EF2F18">
        <w:rPr>
          <w:rFonts w:cs="Times New Roman"/>
          <w:bCs/>
          <w:sz w:val="22"/>
          <w:lang w:val="sr-Cyrl-RS"/>
        </w:rPr>
        <w:t>циљеви за постизање технолошког разво</w:t>
      </w:r>
      <w:r w:rsidRPr="00EF2F18">
        <w:rPr>
          <w:rFonts w:cs="Times New Roman"/>
          <w:sz w:val="22"/>
          <w:lang w:val="sr-Cyrl-RS"/>
        </w:rPr>
        <w:t xml:space="preserve">ја и модернизације пољопривредне производње и прераде кроз унапређење технологије и ефикаснији систем преношења искуства и иновација; повећање продуктивности и ефикасности у производњи на свим нивоима у ланцу производње хране; јачање способности прехрамбене индустрије за креирање производа више додате вредности уз употребу домаћих сировина. Поред тога, област заштите и унапређења животне средине и очувања природних ресурса дефинише оперативне циљеве: подизање свести о значају коришћења обновљивих извора енергије и производњи енергетских усева; контролисано управљање отпадом из примарне пољопривредне производње; развој и унапређење система управљања споредним производима прехрамбене индустрије. </w:t>
      </w:r>
    </w:p>
    <w:p w14:paraId="411613E2" w14:textId="24649BEA" w:rsidR="00D05BB0" w:rsidRDefault="00D05BB0" w:rsidP="00D05BB0">
      <w:pPr>
        <w:spacing w:after="0"/>
        <w:ind w:right="-144" w:firstLine="720"/>
        <w:jc w:val="both"/>
        <w:rPr>
          <w:rFonts w:cs="Times New Roman"/>
          <w:sz w:val="22"/>
          <w:lang w:val="sr-Cyrl-RS"/>
        </w:rPr>
      </w:pPr>
      <w:r w:rsidRPr="00EF2F18">
        <w:rPr>
          <w:rFonts w:cs="Times New Roman"/>
          <w:bCs/>
          <w:iCs/>
          <w:sz w:val="22"/>
          <w:lang w:val="sr-Cyrl-RS"/>
        </w:rPr>
        <w:t>Са петим стубом је повезан</w:t>
      </w:r>
      <w:r w:rsidR="004A55D4" w:rsidRPr="00EF2F18">
        <w:rPr>
          <w:rFonts w:cs="Times New Roman"/>
          <w:bCs/>
          <w:iCs/>
          <w:sz w:val="22"/>
          <w:lang w:val="sr-Cyrl-RS"/>
        </w:rPr>
        <w:t xml:space="preserve"> </w:t>
      </w:r>
      <w:r w:rsidRPr="00EF2F18">
        <w:rPr>
          <w:rFonts w:cs="Times New Roman"/>
          <w:bCs/>
          <w:iCs/>
          <w:sz w:val="22"/>
          <w:lang w:val="sr-Cyrl-RS"/>
        </w:rPr>
        <w:t>и</w:t>
      </w:r>
      <w:r w:rsidRPr="00EF2F18">
        <w:rPr>
          <w:rFonts w:cs="Times New Roman"/>
          <w:b/>
          <w:iCs/>
          <w:sz w:val="22"/>
          <w:lang w:val="sr-Cyrl-RS"/>
        </w:rPr>
        <w:t xml:space="preserve"> ИПАРД програм Републике Србије за период 2021</w:t>
      </w:r>
      <w:r w:rsidR="005F5388" w:rsidRPr="00EF2F18">
        <w:rPr>
          <w:rFonts w:cs="Times New Roman"/>
          <w:b/>
          <w:iCs/>
          <w:sz w:val="22"/>
          <w:lang w:val="sr-Cyrl-RS"/>
        </w:rPr>
        <w:t xml:space="preserve"> – </w:t>
      </w:r>
      <w:r w:rsidRPr="00EF2F18">
        <w:rPr>
          <w:rFonts w:cs="Times New Roman"/>
          <w:b/>
          <w:iCs/>
          <w:sz w:val="22"/>
          <w:lang w:val="sr-Cyrl-RS"/>
        </w:rPr>
        <w:t>2027</w:t>
      </w:r>
      <w:r w:rsidRPr="00EF2F18">
        <w:rPr>
          <w:rFonts w:cs="Times New Roman"/>
          <w:iCs/>
          <w:sz w:val="22"/>
          <w:lang w:val="sr-Cyrl-RS"/>
        </w:rPr>
        <w:t>.</w:t>
      </w:r>
      <w:r w:rsidR="005F5388" w:rsidRPr="00EF2F18">
        <w:rPr>
          <w:rFonts w:cs="Times New Roman"/>
          <w:iCs/>
          <w:sz w:val="22"/>
          <w:lang w:val="sr-Cyrl-RS"/>
        </w:rPr>
        <w:t xml:space="preserve"> </w:t>
      </w:r>
      <w:r w:rsidR="005F5388" w:rsidRPr="00EF2F18">
        <w:rPr>
          <w:rFonts w:cs="Times New Roman"/>
          <w:b/>
          <w:iCs/>
          <w:sz w:val="22"/>
          <w:lang w:val="sr-Cyrl-RS"/>
        </w:rPr>
        <w:t>године</w:t>
      </w:r>
      <w:r w:rsidR="005F5388" w:rsidRPr="00EF2F18">
        <w:rPr>
          <w:rFonts w:cs="Times New Roman"/>
          <w:iCs/>
          <w:sz w:val="22"/>
          <w:lang w:val="sr-Cyrl-RS"/>
        </w:rPr>
        <w:t>.</w:t>
      </w:r>
      <w:r w:rsidRPr="00EF2F18">
        <w:rPr>
          <w:rFonts w:cs="Times New Roman"/>
          <w:iCs/>
          <w:sz w:val="22"/>
          <w:lang w:val="sr-Cyrl-RS"/>
        </w:rPr>
        <w:t xml:space="preserve"> У периоду до 2027. године, ИПАРД програм </w:t>
      </w:r>
      <w:r w:rsidR="004A55D4" w:rsidRPr="00EF2F18">
        <w:rPr>
          <w:rFonts w:cs="Times New Roman"/>
          <w:iCs/>
          <w:sz w:val="22"/>
          <w:lang w:val="sr-Cyrl-RS"/>
        </w:rPr>
        <w:t xml:space="preserve">је </w:t>
      </w:r>
      <w:r w:rsidRPr="00EF2F18">
        <w:rPr>
          <w:rFonts w:cs="Times New Roman"/>
          <w:iCs/>
          <w:sz w:val="22"/>
          <w:lang w:val="sr-Cyrl-RS"/>
        </w:rPr>
        <w:t>предвидео подршку примени агро-еколошких, климатских и мера органске пољопривреде, како би се подстакли пољопривредници</w:t>
      </w:r>
      <w:r w:rsidRPr="00EF2F18">
        <w:rPr>
          <w:rFonts w:cs="Times New Roman"/>
          <w:sz w:val="22"/>
          <w:lang w:val="sr-Cyrl-RS"/>
        </w:rPr>
        <w:t xml:space="preserve"> да заштите и унапреде животну средину на земљишту којим управљају. Подршка пољопривредницима била би у виду компензација за вишегодишњу обавезу да се придржавају сета прописаних агроеколошких пракси у периоду од минимално пет година. Овај програм предвиђа четири операције које имају за циљ да унапреде методе узгоја прилагођене окружењу и карактеристикама пејзажа, унапреде биодиверзитет и услуге екосистема, промовишу очување количина вода и побољшање квалитета воде, и допринесу прилагођавању и ублажавању климатских промена првенствено одрживим коришћењем инпута и побољшањем управљања земљиштем. Поред тога, ИПАРД програм предвиђа и мер</w:t>
      </w:r>
      <w:r w:rsidR="00636A49" w:rsidRPr="00EF2F18">
        <w:rPr>
          <w:rFonts w:cs="Times New Roman"/>
          <w:sz w:val="22"/>
          <w:lang w:val="sr-Cyrl-RS"/>
        </w:rPr>
        <w:t>у</w:t>
      </w:r>
      <w:r w:rsidRPr="00EF2F18">
        <w:rPr>
          <w:rFonts w:cs="Times New Roman"/>
          <w:sz w:val="22"/>
          <w:lang w:val="sr-Cyrl-RS"/>
        </w:rPr>
        <w:t xml:space="preserve"> подршке развоју руралне инфраструктуре</w:t>
      </w:r>
      <w:r w:rsidR="00E65D1C" w:rsidRPr="00EF2F18">
        <w:rPr>
          <w:rFonts w:cs="Times New Roman"/>
          <w:sz w:val="22"/>
          <w:lang w:val="sr-Cyrl-RS"/>
        </w:rPr>
        <w:t xml:space="preserve"> и одрживог руралног туризма</w:t>
      </w:r>
      <w:r w:rsidRPr="00EF2F18">
        <w:rPr>
          <w:rFonts w:cs="Times New Roman"/>
          <w:sz w:val="22"/>
          <w:lang w:val="sr-Cyrl-RS"/>
        </w:rPr>
        <w:t xml:space="preserve">. </w:t>
      </w:r>
    </w:p>
    <w:p w14:paraId="42BE2AF0" w14:textId="0FA97CEB" w:rsidR="00C64384" w:rsidRDefault="00C64384" w:rsidP="00D05BB0">
      <w:pPr>
        <w:spacing w:after="0"/>
        <w:ind w:right="-144" w:firstLine="720"/>
        <w:jc w:val="both"/>
        <w:rPr>
          <w:rFonts w:cs="Times New Roman"/>
          <w:sz w:val="22"/>
          <w:lang w:val="sr-Cyrl-RS"/>
        </w:rPr>
      </w:pPr>
    </w:p>
    <w:p w14:paraId="742A0142" w14:textId="77777777" w:rsidR="00C64384" w:rsidRPr="00EF2F18" w:rsidRDefault="00C64384" w:rsidP="00D05BB0">
      <w:pPr>
        <w:spacing w:after="0"/>
        <w:ind w:right="-144" w:firstLine="720"/>
        <w:jc w:val="both"/>
        <w:rPr>
          <w:rFonts w:cs="Times New Roman"/>
          <w:sz w:val="22"/>
          <w:lang w:val="sr-Cyrl-RS"/>
        </w:rPr>
      </w:pPr>
    </w:p>
    <w:p w14:paraId="782B38A5" w14:textId="3E2C0008" w:rsidR="009A49DD" w:rsidRPr="00EF2F18" w:rsidRDefault="002E104D" w:rsidP="009A49DD">
      <w:pPr>
        <w:spacing w:after="0"/>
        <w:ind w:right="-144" w:firstLine="720"/>
        <w:jc w:val="both"/>
        <w:rPr>
          <w:color w:val="333333"/>
          <w:sz w:val="22"/>
          <w:lang w:val="sr-Cyrl-RS"/>
        </w:rPr>
      </w:pPr>
      <w:r w:rsidRPr="00EF2F18">
        <w:rPr>
          <w:rFonts w:cs="Times New Roman"/>
          <w:sz w:val="22"/>
          <w:lang w:val="sr-Cyrl-RS"/>
        </w:rPr>
        <w:lastRenderedPageBreak/>
        <w:t xml:space="preserve">Кроз </w:t>
      </w:r>
      <w:r w:rsidRPr="00EF2F18">
        <w:rPr>
          <w:rFonts w:cs="Times New Roman"/>
          <w:b/>
          <w:bCs/>
          <w:sz w:val="22"/>
          <w:lang w:val="sr-Cyrl-RS"/>
        </w:rPr>
        <w:t>С</w:t>
      </w:r>
      <w:r w:rsidR="00C35DBC">
        <w:rPr>
          <w:rFonts w:cs="Times New Roman"/>
          <w:b/>
          <w:bCs/>
          <w:sz w:val="22"/>
          <w:lang w:val="sr-Cyrl-RS"/>
        </w:rPr>
        <w:t>т</w:t>
      </w:r>
      <w:r w:rsidRPr="00EF2F18">
        <w:rPr>
          <w:rFonts w:cs="Times New Roman"/>
          <w:b/>
          <w:bCs/>
          <w:sz w:val="22"/>
          <w:lang w:val="sr-Cyrl-RS"/>
        </w:rPr>
        <w:t>ратегију јавног здравља у Републици Србији 2018</w:t>
      </w:r>
      <w:r w:rsidR="005F5388" w:rsidRPr="00EF2F18">
        <w:rPr>
          <w:rFonts w:cs="Times New Roman"/>
          <w:b/>
          <w:bCs/>
          <w:sz w:val="22"/>
          <w:lang w:val="sr-Cyrl-RS"/>
        </w:rPr>
        <w:t xml:space="preserve"> </w:t>
      </w:r>
      <w:r w:rsidRPr="00EF2F18">
        <w:rPr>
          <w:rFonts w:cs="Times New Roman"/>
          <w:b/>
          <w:bCs/>
          <w:sz w:val="22"/>
          <w:lang w:val="sr-Cyrl-RS"/>
        </w:rPr>
        <w:t>–</w:t>
      </w:r>
      <w:r w:rsidR="005F5388" w:rsidRPr="00EF2F18">
        <w:rPr>
          <w:rFonts w:cs="Times New Roman"/>
          <w:b/>
          <w:bCs/>
          <w:sz w:val="22"/>
          <w:lang w:val="sr-Cyrl-RS"/>
        </w:rPr>
        <w:t xml:space="preserve"> </w:t>
      </w:r>
      <w:r w:rsidRPr="00EF2F18">
        <w:rPr>
          <w:rFonts w:cs="Times New Roman"/>
          <w:b/>
          <w:bCs/>
          <w:sz w:val="22"/>
          <w:lang w:val="sr-Cyrl-RS"/>
        </w:rPr>
        <w:t>2026. године (</w:t>
      </w:r>
      <w:r w:rsidRPr="00EF2F18">
        <w:rPr>
          <w:rFonts w:cs="Times New Roman"/>
          <w:sz w:val="22"/>
          <w:lang w:val="sr-Cyrl-RS"/>
        </w:rPr>
        <w:t>Службени гласник РС”, број 61/18) обухваћена су питања из више стубова Зелене агенде. Унапређење животне средине постављено је за један, од седам специфичних и операт</w:t>
      </w:r>
      <w:r w:rsidR="002A313A">
        <w:rPr>
          <w:rFonts w:cs="Times New Roman"/>
          <w:sz w:val="22"/>
          <w:lang w:val="sr-Cyrl-RS"/>
        </w:rPr>
        <w:t>и</w:t>
      </w:r>
      <w:r w:rsidRPr="00EF2F18">
        <w:rPr>
          <w:rFonts w:cs="Times New Roman"/>
          <w:sz w:val="22"/>
          <w:lang w:val="sr-Cyrl-RS"/>
        </w:rPr>
        <w:t>вних циљева Стратегије, којим су предвиђене мере и активности које се односе на: праћење, евалуацију и унапређење животне средине и процену ризика за здравље становништва; унапређење снабдевања здравствено исправном водом за пиће; унапређење система управљања отпадних материја; унапређење стања животне средине и одговор на климатске промене; унапређење образовно-васпитних активности у области очувања и унапређења животне средине и здравља људи.</w:t>
      </w:r>
      <w:r w:rsidR="009A49DD" w:rsidRPr="00EF2F18">
        <w:rPr>
          <w:sz w:val="22"/>
          <w:lang w:val="sr-Cyrl-RS"/>
        </w:rPr>
        <w:t xml:space="preserve"> Добро здравље је од суштинског значаја за одрживи економски и друштвени развој и основна брига у животу сваког лица, породица и друштва. </w:t>
      </w:r>
      <w:r w:rsidR="009A49DD" w:rsidRPr="00EF2F18">
        <w:rPr>
          <w:color w:val="333333"/>
          <w:sz w:val="22"/>
          <w:lang w:val="sr-Cyrl-RS"/>
        </w:rPr>
        <w:t xml:space="preserve">У складу са законом којим се уређује јавно здравље, једна од области деловања јавног здравља је и животна средина и здравље становништва и један од општих циљева је унапређење животне средине и радне околине. </w:t>
      </w:r>
    </w:p>
    <w:p w14:paraId="5433677F" w14:textId="788F15D4" w:rsidR="00AA0693" w:rsidRPr="00EF2F18" w:rsidRDefault="00D05BB0" w:rsidP="00D05BB0">
      <w:pPr>
        <w:spacing w:after="0"/>
        <w:ind w:right="-144" w:firstLine="695"/>
        <w:jc w:val="both"/>
        <w:rPr>
          <w:rFonts w:cs="Times New Roman"/>
          <w:sz w:val="22"/>
          <w:lang w:val="sr-Cyrl-RS"/>
        </w:rPr>
      </w:pPr>
      <w:r w:rsidRPr="00EF2F18">
        <w:rPr>
          <w:rFonts w:cs="Times New Roman"/>
          <w:sz w:val="22"/>
          <w:lang w:val="sr-Cyrl-RS"/>
        </w:rPr>
        <w:t>Поред наведених докумената, низ других докумената јавних политика је у вези са остваривањем</w:t>
      </w:r>
      <w:r w:rsidR="005E42D2" w:rsidRPr="00EF2F18">
        <w:rPr>
          <w:rFonts w:cs="Times New Roman"/>
          <w:sz w:val="22"/>
          <w:lang w:val="sr-Cyrl-RS"/>
        </w:rPr>
        <w:t xml:space="preserve"> </w:t>
      </w:r>
      <w:r w:rsidRPr="00EF2F18">
        <w:rPr>
          <w:rFonts w:cs="Times New Roman"/>
          <w:sz w:val="22"/>
          <w:lang w:val="sr-Cyrl-RS"/>
        </w:rPr>
        <w:t xml:space="preserve">Зелене агенде. </w:t>
      </w:r>
      <w:r w:rsidRPr="00EF2F18">
        <w:rPr>
          <w:rFonts w:cs="Times New Roman"/>
          <w:b/>
          <w:sz w:val="22"/>
          <w:lang w:val="sr-Cyrl-RS"/>
        </w:rPr>
        <w:t>Стратегија индустријске политике Републике Србије за период од 2021. до 2030. године</w:t>
      </w:r>
      <w:r w:rsidRPr="00EF2F18">
        <w:rPr>
          <w:rFonts w:cs="Times New Roman"/>
          <w:sz w:val="22"/>
          <w:lang w:val="sr-Cyrl-RS"/>
        </w:rPr>
        <w:t xml:space="preserve"> (,,Службени гласник РС”, број 35/20) има за циљ подизање конкурентности индустрије. Између осталог у стратегији се констатује да се услед примене линеарног модела привређивања у Републици Србији јављају значајни губици у токовима сировина, материјала и производа, који доводе до нерационалне употребе ресурса. Један од посебних циљева (циљ 5) односи се на трансформацију индустрије од линеарног ка циркуларном моделу. Као сектори који у Републици Србији имају највећи потенцијал за примену концепта циркуларне економије идентификовани су прерађивачка индустрија (посебно прехрамбена), грађевинарство, као и примарна пољопривреда. </w:t>
      </w:r>
      <w:r w:rsidR="00DF7D05" w:rsidRPr="00EF2F18">
        <w:rPr>
          <w:rFonts w:cs="Times New Roman"/>
          <w:sz w:val="22"/>
          <w:lang w:val="sr-Cyrl-RS"/>
        </w:rPr>
        <w:t>У овој стратегији, у оквиру посебног циља 5</w:t>
      </w:r>
      <w:r w:rsidR="00C250D2" w:rsidRPr="00EF2F18">
        <w:rPr>
          <w:rFonts w:cs="Times New Roman"/>
          <w:sz w:val="22"/>
          <w:lang w:val="sr-Cyrl-RS"/>
        </w:rPr>
        <w:t xml:space="preserve"> дефинисане су три мере, које ће се спроводити кроз акционе планове за њену примену у периоду важења стратегије: 1. Промоција циркуларне економије и едукација привредних субјеката; 2. Подстицање инвестиција, и решења циркуларне и нискоугљеничне економије, као генераторе раста; 3. Подстицање ефикасније употребе материјалних ресурса и енергетске ефикасности у индустријским процесима.</w:t>
      </w:r>
    </w:p>
    <w:p w14:paraId="53165E0F" w14:textId="2A10C24D" w:rsidR="00AA0693" w:rsidRPr="00EF2F18" w:rsidRDefault="00AA0693" w:rsidP="00AA0693">
      <w:pPr>
        <w:spacing w:after="0"/>
        <w:ind w:right="-7" w:firstLine="695"/>
        <w:jc w:val="both"/>
        <w:rPr>
          <w:rFonts w:cs="Times New Roman"/>
          <w:sz w:val="22"/>
          <w:lang w:val="sr-Cyrl-RS"/>
        </w:rPr>
      </w:pPr>
      <w:r w:rsidRPr="00EF2F18">
        <w:rPr>
          <w:rFonts w:cs="Times New Roman"/>
          <w:b/>
          <w:sz w:val="22"/>
          <w:lang w:val="sr-Cyrl-RS"/>
        </w:rPr>
        <w:t>Стратегија паметне специјализације у Републици Србији за период</w:t>
      </w:r>
      <w:r w:rsidR="00394BF6" w:rsidRPr="00EF2F18">
        <w:rPr>
          <w:rFonts w:cs="Times New Roman"/>
          <w:b/>
          <w:sz w:val="22"/>
          <w:lang w:val="sr-Cyrl-RS"/>
        </w:rPr>
        <w:t xml:space="preserve"> од</w:t>
      </w:r>
      <w:r w:rsidRPr="00EF2F18">
        <w:rPr>
          <w:rFonts w:cs="Times New Roman"/>
          <w:b/>
          <w:sz w:val="22"/>
          <w:lang w:val="sr-Cyrl-RS"/>
        </w:rPr>
        <w:t xml:space="preserve"> 2020. до 2027. године</w:t>
      </w:r>
      <w:r w:rsidRPr="00EF2F18">
        <w:rPr>
          <w:rFonts w:cs="Times New Roman"/>
          <w:sz w:val="22"/>
          <w:lang w:val="sr-Cyrl-RS"/>
        </w:rPr>
        <w:t xml:space="preserve"> (,,Службени гласник РС”, број 21/20) представља документ настао у циљу даљег друштвеног и економског развоја путем подизања конкурентности привреде, привредног раста и напретка друштва кроз повезивање истраживачких, индустријских и иновационих снага и ресурса.</w:t>
      </w:r>
      <w:r w:rsidRPr="00EF2F18">
        <w:rPr>
          <w:rFonts w:eastAsia="Calibri" w:cs="Times New Roman"/>
          <w:sz w:val="22"/>
          <w:lang w:val="sr-Cyrl-RS"/>
        </w:rPr>
        <w:t xml:space="preserve"> </w:t>
      </w:r>
      <w:r w:rsidRPr="00EF2F18">
        <w:rPr>
          <w:rFonts w:cs="Times New Roman"/>
          <w:sz w:val="22"/>
          <w:lang w:val="sr-Cyrl-RS"/>
        </w:rPr>
        <w:t xml:space="preserve">У овом документу идентификоване су приоритетне области у које је потребно даље инвестирати: информационо-комуникационе технологије; храна за будућност; машине и производни процеси будућности и креативне индустрије. У оквиру креативних индустрија један од </w:t>
      </w:r>
      <w:r w:rsidR="00C52C2E" w:rsidRPr="00EF2F18">
        <w:rPr>
          <w:rFonts w:cs="Times New Roman"/>
          <w:sz w:val="22"/>
          <w:lang w:val="sr-Cyrl-RS"/>
        </w:rPr>
        <w:t xml:space="preserve">најважнијих циљева </w:t>
      </w:r>
      <w:r w:rsidRPr="00EF2F18">
        <w:rPr>
          <w:rFonts w:cs="Times New Roman"/>
          <w:sz w:val="22"/>
          <w:lang w:val="sr-Cyrl-RS"/>
        </w:rPr>
        <w:t>који ће бити подржан је развој паметне амбалаже, што подразумева развој зелених материјала (деградабилни, из обновљивих ресурса и др.); развој нових боја и пигмената који ће омогућити прелазак на паметне врсте паковања и развој информационих технологија које се примењују у свим деловима производног процеса. Иновације у овој области су кључне за развој циркуларне економије.</w:t>
      </w:r>
      <w:r w:rsidRPr="00EF2F18">
        <w:rPr>
          <w:rFonts w:eastAsia="Calibri" w:cs="Times New Roman"/>
          <w:sz w:val="22"/>
          <w:lang w:val="sr-Cyrl-RS"/>
        </w:rPr>
        <w:t xml:space="preserve"> </w:t>
      </w:r>
      <w:r w:rsidRPr="00EF2F18">
        <w:rPr>
          <w:rFonts w:cs="Times New Roman"/>
          <w:sz w:val="22"/>
          <w:lang w:val="sr-Cyrl-RS"/>
        </w:rPr>
        <w:t xml:space="preserve">У области производње хране акценат је на комплетном искоришћењу пољопривредних производа тако да се на оптималан начин искористе сви нутријенти, а да се кроз валоризацију отпад смањи на минимум и искористи за добијање различитих производа. Овом стратегијом је обухваћена и дигитализација, као важан алат за циркуларну економију. </w:t>
      </w:r>
    </w:p>
    <w:p w14:paraId="66E81415" w14:textId="1BCDFF05" w:rsidR="00D05BB0" w:rsidRPr="00EF2F18" w:rsidRDefault="00D47DEC" w:rsidP="00D05BB0">
      <w:pPr>
        <w:spacing w:after="0"/>
        <w:ind w:right="-7" w:firstLine="695"/>
        <w:jc w:val="both"/>
        <w:rPr>
          <w:rFonts w:cs="Times New Roman"/>
          <w:color w:val="333333"/>
          <w:sz w:val="22"/>
          <w:shd w:val="clear" w:color="auto" w:fill="FFFFFF"/>
          <w:lang w:val="sr-Cyrl-RS"/>
        </w:rPr>
      </w:pPr>
      <w:r w:rsidRPr="00EF2F18">
        <w:rPr>
          <w:rFonts w:cs="Times New Roman"/>
          <w:b/>
          <w:bCs/>
          <w:color w:val="333333"/>
          <w:sz w:val="22"/>
          <w:shd w:val="clear" w:color="auto" w:fill="FFFFFF"/>
          <w:lang w:val="sr-Cyrl-RS"/>
        </w:rPr>
        <w:t>Стратегијом развоја вештачке интелигенције у Републици Србији за период од 2025</w:t>
      </w:r>
      <w:r w:rsidR="00F30454">
        <w:rPr>
          <w:rFonts w:cs="Times New Roman"/>
          <w:b/>
          <w:bCs/>
          <w:color w:val="333333"/>
          <w:sz w:val="22"/>
          <w:shd w:val="clear" w:color="auto" w:fill="FFFFFF"/>
          <w:lang w:val="sr-Cyrl-RS"/>
        </w:rPr>
        <w:t xml:space="preserve"> – </w:t>
      </w:r>
      <w:r w:rsidRPr="00EF2F18">
        <w:rPr>
          <w:rFonts w:cs="Times New Roman"/>
          <w:b/>
          <w:bCs/>
          <w:color w:val="333333"/>
          <w:sz w:val="22"/>
          <w:shd w:val="clear" w:color="auto" w:fill="FFFFFF"/>
          <w:lang w:val="sr-Cyrl-RS"/>
        </w:rPr>
        <w:t>2030. године</w:t>
      </w:r>
      <w:r w:rsidRPr="00EF2F18">
        <w:rPr>
          <w:rFonts w:cs="Times New Roman"/>
          <w:color w:val="333333"/>
          <w:sz w:val="22"/>
          <w:shd w:val="clear" w:color="auto" w:fill="FFFFFF"/>
          <w:lang w:val="sr-Cyrl-RS"/>
        </w:rPr>
        <w:t xml:space="preserve"> („Службени гласник РС”, број 30/18) </w:t>
      </w:r>
      <w:r w:rsidR="00D05BB0" w:rsidRPr="00EF2F18">
        <w:rPr>
          <w:rFonts w:cs="Times New Roman"/>
          <w:color w:val="333333"/>
          <w:sz w:val="22"/>
          <w:shd w:val="clear" w:color="auto" w:fill="FFFFFF"/>
          <w:lang w:val="sr-Cyrl-RS"/>
        </w:rPr>
        <w:t>утврђују се циљеви и мере за развој вештачке интелигенције чија примена треба да резултира економским растом, унапређењем јавних услуга, унапређењем научног кадра и развојем вештина за послове будућности.</w:t>
      </w:r>
    </w:p>
    <w:p w14:paraId="702D3796" w14:textId="416C3414" w:rsidR="00AB7542" w:rsidRPr="00EF2F18" w:rsidRDefault="00D05BB0" w:rsidP="00D05BB0">
      <w:pPr>
        <w:spacing w:after="0"/>
        <w:ind w:right="-7" w:firstLine="695"/>
        <w:jc w:val="both"/>
        <w:rPr>
          <w:rFonts w:cs="Times New Roman"/>
          <w:sz w:val="22"/>
          <w:lang w:val="sr-Cyrl-RS"/>
        </w:rPr>
      </w:pPr>
      <w:r w:rsidRPr="00EF2F18">
        <w:rPr>
          <w:rFonts w:cs="Times New Roman"/>
          <w:b/>
          <w:bCs/>
          <w:sz w:val="22"/>
          <w:lang w:val="sr-Cyrl-RS"/>
        </w:rPr>
        <w:t>Стратегија развоја дигиталних вештина у Републици Србији за период</w:t>
      </w:r>
      <w:r w:rsidR="005E5FF9" w:rsidRPr="00EF2F18">
        <w:rPr>
          <w:rFonts w:cs="Times New Roman"/>
          <w:b/>
          <w:bCs/>
          <w:sz w:val="22"/>
          <w:lang w:val="sr-Cyrl-RS"/>
        </w:rPr>
        <w:t xml:space="preserve"> </w:t>
      </w:r>
      <w:r w:rsidRPr="00EF2F18">
        <w:rPr>
          <w:rFonts w:cs="Times New Roman"/>
          <w:b/>
          <w:bCs/>
          <w:sz w:val="22"/>
          <w:lang w:val="sr-Cyrl-RS"/>
        </w:rPr>
        <w:t>2020</w:t>
      </w:r>
      <w:r w:rsidR="005F5388" w:rsidRPr="00EF2F18">
        <w:rPr>
          <w:rFonts w:cs="Times New Roman"/>
          <w:b/>
          <w:bCs/>
          <w:sz w:val="22"/>
          <w:lang w:val="sr-Cyrl-RS"/>
        </w:rPr>
        <w:t xml:space="preserve"> </w:t>
      </w:r>
      <w:r w:rsidR="00F30454">
        <w:rPr>
          <w:rFonts w:cs="Times New Roman"/>
          <w:b/>
          <w:bCs/>
          <w:sz w:val="22"/>
          <w:lang w:val="sr-Cyrl-RS"/>
        </w:rPr>
        <w:t>–</w:t>
      </w:r>
      <w:r w:rsidR="005F5388" w:rsidRPr="00EF2F18">
        <w:rPr>
          <w:rFonts w:cs="Times New Roman"/>
          <w:b/>
          <w:bCs/>
          <w:sz w:val="22"/>
          <w:lang w:val="sr-Cyrl-RS"/>
        </w:rPr>
        <w:t xml:space="preserve"> </w:t>
      </w:r>
      <w:r w:rsidRPr="00EF2F18">
        <w:rPr>
          <w:rFonts w:cs="Times New Roman"/>
          <w:b/>
          <w:bCs/>
          <w:sz w:val="22"/>
          <w:lang w:val="sr-Cyrl-RS"/>
        </w:rPr>
        <w:t>2024.</w:t>
      </w:r>
      <w:r w:rsidR="005F5388" w:rsidRPr="00EF2F18">
        <w:rPr>
          <w:rFonts w:cs="Times New Roman"/>
          <w:iCs/>
          <w:sz w:val="22"/>
          <w:lang w:val="sr-Cyrl-RS"/>
        </w:rPr>
        <w:t xml:space="preserve"> </w:t>
      </w:r>
      <w:r w:rsidR="005F5388" w:rsidRPr="00EF2F18">
        <w:rPr>
          <w:rFonts w:cs="Times New Roman"/>
          <w:b/>
          <w:iCs/>
          <w:sz w:val="22"/>
          <w:lang w:val="sr-Cyrl-RS"/>
        </w:rPr>
        <w:t>године</w:t>
      </w:r>
      <w:r w:rsidRPr="00EF2F18">
        <w:rPr>
          <w:rFonts w:cs="Times New Roman"/>
          <w:b/>
          <w:bCs/>
          <w:sz w:val="22"/>
          <w:lang w:val="sr-Cyrl-RS"/>
        </w:rPr>
        <w:t xml:space="preserve"> </w:t>
      </w:r>
      <w:r w:rsidRPr="00EF2F18">
        <w:rPr>
          <w:rFonts w:cs="Times New Roman"/>
          <w:sz w:val="22"/>
          <w:lang w:val="sr-Cyrl-RS"/>
        </w:rPr>
        <w:t>(„Службени гласник РС”, бр. 21/20</w:t>
      </w:r>
      <w:r w:rsidR="00414FB8" w:rsidRPr="00EF2F18">
        <w:rPr>
          <w:rFonts w:cs="Times New Roman"/>
          <w:sz w:val="22"/>
          <w:lang w:val="sr-Cyrl-RS"/>
        </w:rPr>
        <w:t xml:space="preserve"> и</w:t>
      </w:r>
      <w:r w:rsidRPr="00EF2F18">
        <w:rPr>
          <w:rFonts w:cs="Times New Roman"/>
          <w:sz w:val="22"/>
          <w:lang w:val="sr-Cyrl-RS"/>
        </w:rPr>
        <w:t xml:space="preserve"> 8/23) уређује развој дигиталних вештина становништва са циљем већег коришћења потенцијала савремених информационо-комуникационих технологија у правцу подизања квалитета живота свих грађана, веће запослености, ефикасности рада и економског раста друштва. Под дигиталним вештинама се подразумева поседовање одговарајућих знања, вештина и понашања у складу са потребама појединца и друштва у условима савременог брзог развоја ИКТ у 21. веку</w:t>
      </w:r>
      <w:r w:rsidR="00AB7542" w:rsidRPr="00EF2F18">
        <w:rPr>
          <w:rFonts w:cs="Times New Roman"/>
          <w:sz w:val="22"/>
          <w:lang w:val="sr-Cyrl-RS"/>
        </w:rPr>
        <w:t>.</w:t>
      </w:r>
      <w:r w:rsidR="002717AA" w:rsidRPr="00EF2F18">
        <w:rPr>
          <w:rFonts w:cs="Times New Roman"/>
          <w:sz w:val="22"/>
          <w:lang w:val="sr-Cyrl-RS"/>
        </w:rPr>
        <w:t xml:space="preserve"> </w:t>
      </w:r>
    </w:p>
    <w:p w14:paraId="6462499C" w14:textId="2B4ECB06" w:rsidR="00540EE8" w:rsidRPr="00EF2F18" w:rsidRDefault="00540EE8" w:rsidP="00CA11D8">
      <w:pPr>
        <w:spacing w:after="0"/>
        <w:ind w:right="-7" w:firstLine="695"/>
        <w:jc w:val="both"/>
        <w:rPr>
          <w:rFonts w:cs="Times New Roman"/>
          <w:sz w:val="22"/>
          <w:lang w:val="sr-Cyrl-RS"/>
        </w:rPr>
      </w:pPr>
      <w:r w:rsidRPr="00EF2F18">
        <w:rPr>
          <w:rFonts w:cs="Times New Roman"/>
          <w:b/>
          <w:bCs/>
          <w:sz w:val="22"/>
          <w:lang w:val="sr-Cyrl-RS"/>
        </w:rPr>
        <w:lastRenderedPageBreak/>
        <w:t>Стратегија развој</w:t>
      </w:r>
      <w:r w:rsidR="004B4CE5" w:rsidRPr="00EF2F18">
        <w:rPr>
          <w:rFonts w:cs="Times New Roman"/>
          <w:b/>
          <w:bCs/>
          <w:sz w:val="22"/>
          <w:lang w:val="sr-Cyrl-RS"/>
        </w:rPr>
        <w:t>а</w:t>
      </w:r>
      <w:r w:rsidRPr="00EF2F18">
        <w:rPr>
          <w:rFonts w:cs="Times New Roman"/>
          <w:b/>
          <w:bCs/>
          <w:sz w:val="22"/>
          <w:lang w:val="sr-Cyrl-RS"/>
        </w:rPr>
        <w:t xml:space="preserve"> информационог друштва</w:t>
      </w:r>
      <w:r w:rsidRPr="00EF2F18">
        <w:rPr>
          <w:rFonts w:cs="Times New Roman"/>
          <w:sz w:val="22"/>
          <w:lang w:val="sr-Cyrl-RS"/>
        </w:rPr>
        <w:t xml:space="preserve"> </w:t>
      </w:r>
      <w:r w:rsidR="004B4CE5" w:rsidRPr="00EF2F18">
        <w:rPr>
          <w:rFonts w:cs="Times New Roman"/>
          <w:b/>
          <w:bCs/>
          <w:sz w:val="22"/>
          <w:lang w:val="sr-Cyrl-RS"/>
        </w:rPr>
        <w:t xml:space="preserve">и информационе безбедности у Републици Србији за период од 2021. до 2026. године </w:t>
      </w:r>
      <w:r w:rsidR="004B4CE5" w:rsidRPr="00EF2F18">
        <w:rPr>
          <w:rFonts w:cs="Times New Roman"/>
          <w:sz w:val="22"/>
          <w:lang w:val="sr-Cyrl-RS"/>
        </w:rPr>
        <w:t>(„Службени гласник РС</w:t>
      </w:r>
      <w:r w:rsidR="00CF307C" w:rsidRPr="00EF2F18">
        <w:rPr>
          <w:rFonts w:cs="Times New Roman"/>
          <w:sz w:val="22"/>
          <w:lang w:val="sr-Cyrl-RS"/>
        </w:rPr>
        <w:t>”</w:t>
      </w:r>
      <w:r w:rsidR="004B4CE5" w:rsidRPr="00EF2F18">
        <w:rPr>
          <w:rFonts w:cs="Times New Roman"/>
          <w:sz w:val="22"/>
          <w:lang w:val="sr-Cyrl-RS"/>
        </w:rPr>
        <w:t>, број 86/21) представља међусекторску стратегију којом се утврђују циљеви и мере за развој информационог друштва и информационе безбедности.</w:t>
      </w:r>
    </w:p>
    <w:p w14:paraId="1C234702" w14:textId="50227630" w:rsidR="00AA0693" w:rsidRPr="00EF2F18" w:rsidRDefault="00AA0693" w:rsidP="00CA11D8">
      <w:pPr>
        <w:spacing w:after="0"/>
        <w:ind w:left="-15" w:right="-7" w:firstLine="710"/>
        <w:jc w:val="both"/>
        <w:rPr>
          <w:rFonts w:cs="Times New Roman"/>
          <w:sz w:val="22"/>
          <w:lang w:val="sr-Cyrl-RS"/>
        </w:rPr>
      </w:pPr>
      <w:r w:rsidRPr="00EF2F18">
        <w:rPr>
          <w:rFonts w:cs="Times New Roman"/>
          <w:sz w:val="22"/>
          <w:lang w:val="sr-Cyrl-RS"/>
        </w:rPr>
        <w:t>Питања од значаја за Зелену агенду препозната су и у</w:t>
      </w:r>
      <w:r w:rsidR="00715DC5" w:rsidRPr="00EF2F18">
        <w:rPr>
          <w:rFonts w:cs="Times New Roman"/>
          <w:sz w:val="22"/>
          <w:lang w:val="sr-Cyrl-RS"/>
        </w:rPr>
        <w:t xml:space="preserve"> </w:t>
      </w:r>
      <w:r w:rsidRPr="00EF2F18">
        <w:rPr>
          <w:rFonts w:cs="Times New Roman"/>
          <w:b/>
          <w:sz w:val="22"/>
          <w:lang w:val="sr-Cyrl-RS"/>
        </w:rPr>
        <w:t>Стратегији одрживог урбаног развоја до 2030. године</w:t>
      </w:r>
      <w:r w:rsidRPr="00EF2F18">
        <w:rPr>
          <w:rFonts w:cs="Times New Roman"/>
          <w:sz w:val="22"/>
          <w:lang w:val="sr-Cyrl-RS"/>
        </w:rPr>
        <w:t xml:space="preserve"> (,,Службени гласник РС”, број 47/19).</w:t>
      </w:r>
      <w:r w:rsidRPr="00EF2F18">
        <w:rPr>
          <w:rFonts w:cs="Times New Roman"/>
          <w:b/>
          <w:sz w:val="22"/>
          <w:lang w:val="sr-Cyrl-RS"/>
        </w:rPr>
        <w:t xml:space="preserve"> </w:t>
      </w:r>
      <w:r w:rsidRPr="00EF2F18">
        <w:rPr>
          <w:rFonts w:cs="Times New Roman"/>
          <w:sz w:val="22"/>
          <w:lang w:val="sr-Cyrl-RS"/>
        </w:rPr>
        <w:t>Као мере за постизање циљева урбаног развоја, наведене су и мере за ублажавање климатских промена унапређењем квалитета свих параметара животне средине, система управљања отпадом и мере унапређења енергетске ефикасности. У оквиру Пакета мера 1.1: Унапређење услова за локални одрживи економски и урбани развој, ова стратегија дефинише као меру 1.1.1. Иновације и развој нискоугљеничне, ресурсно ефикасне ,,зелене” економије, која је у складу са принципима циркуларне економије.</w:t>
      </w:r>
      <w:r w:rsidR="00715DC5" w:rsidRPr="00EF2F18">
        <w:rPr>
          <w:rFonts w:cs="Times New Roman"/>
          <w:sz w:val="22"/>
          <w:lang w:val="sr-Cyrl-RS"/>
        </w:rPr>
        <w:t xml:space="preserve"> </w:t>
      </w:r>
    </w:p>
    <w:p w14:paraId="0EDF7C57" w14:textId="53237A48" w:rsidR="00CA11D8" w:rsidRPr="00EF2F18" w:rsidRDefault="00D05BB0" w:rsidP="00B50D91">
      <w:pPr>
        <w:pStyle w:val="basic-paragraph"/>
        <w:shd w:val="clear" w:color="auto" w:fill="FFFFFF"/>
        <w:spacing w:before="0" w:beforeAutospacing="0" w:after="0" w:afterAutospacing="0"/>
        <w:ind w:firstLine="695"/>
        <w:jc w:val="both"/>
        <w:rPr>
          <w:sz w:val="22"/>
          <w:szCs w:val="22"/>
          <w:lang w:val="sr-Cyrl-RS"/>
        </w:rPr>
      </w:pPr>
      <w:r w:rsidRPr="00EF2F18">
        <w:rPr>
          <w:b/>
          <w:bCs/>
          <w:sz w:val="22"/>
          <w:szCs w:val="22"/>
          <w:lang w:val="sr-Cyrl-RS"/>
        </w:rPr>
        <w:t>Дугорочна стратегија за подстицање улагања у обнову националног фонда зграда Републике Србије до 2050.</w:t>
      </w:r>
      <w:r w:rsidR="005F5388" w:rsidRPr="00EF2F18">
        <w:rPr>
          <w:iCs/>
          <w:sz w:val="22"/>
          <w:lang w:val="sr-Cyrl-RS"/>
        </w:rPr>
        <w:t xml:space="preserve"> </w:t>
      </w:r>
      <w:r w:rsidR="005F5388" w:rsidRPr="00EF2F18">
        <w:rPr>
          <w:b/>
          <w:iCs/>
          <w:sz w:val="22"/>
          <w:lang w:val="sr-Cyrl-RS"/>
        </w:rPr>
        <w:t>године</w:t>
      </w:r>
      <w:r w:rsidRPr="00EF2F18">
        <w:rPr>
          <w:b/>
          <w:bCs/>
          <w:sz w:val="22"/>
          <w:szCs w:val="22"/>
          <w:lang w:val="sr-Cyrl-RS"/>
        </w:rPr>
        <w:t xml:space="preserve"> </w:t>
      </w:r>
      <w:r w:rsidRPr="00EF2F18">
        <w:rPr>
          <w:sz w:val="22"/>
          <w:szCs w:val="22"/>
          <w:lang w:val="sr-Cyrl-RS"/>
        </w:rPr>
        <w:t xml:space="preserve">(,,Службени гласник РС”, број 27/22) произилази из чланства Републике Србије у Енергетској заједници и Одлуке Министарског савета Енергетске </w:t>
      </w:r>
      <w:r w:rsidR="00DD231E" w:rsidRPr="00EF2F18">
        <w:rPr>
          <w:sz w:val="22"/>
          <w:szCs w:val="22"/>
          <w:lang w:val="sr-Cyrl-RS"/>
        </w:rPr>
        <w:t xml:space="preserve">заједнице </w:t>
      </w:r>
      <w:r w:rsidRPr="00EF2F18">
        <w:rPr>
          <w:sz w:val="22"/>
          <w:szCs w:val="22"/>
          <w:lang w:val="sr-Cyrl-RS"/>
        </w:rPr>
        <w:t xml:space="preserve">из октобра 2015. године којом је Енергетска заједница усвојила обавезујућу примену Директиве 2012/27/EУ о енергетској ефикасности за </w:t>
      </w:r>
      <w:r w:rsidR="00A479B8" w:rsidRPr="00EF2F18">
        <w:rPr>
          <w:sz w:val="22"/>
          <w:szCs w:val="22"/>
          <w:lang w:val="sr-Cyrl-RS"/>
        </w:rPr>
        <w:t>у</w:t>
      </w:r>
      <w:r w:rsidR="00B612A0" w:rsidRPr="00EF2F18">
        <w:rPr>
          <w:sz w:val="22"/>
          <w:szCs w:val="22"/>
          <w:lang w:val="sr-Cyrl-RS"/>
        </w:rPr>
        <w:t>говорне стране</w:t>
      </w:r>
      <w:r w:rsidRPr="00EF2F18">
        <w:rPr>
          <w:sz w:val="22"/>
          <w:szCs w:val="22"/>
          <w:lang w:val="sr-Cyrl-RS"/>
        </w:rPr>
        <w:t xml:space="preserve"> Енергетске заједнице, почевши од 2017. године. Главни циљ ове стратегије је да се, на основу утврђених карактеристика фонда зграда Републике Србије, дефинисаних моделских зграда и за њих урађених трошковно-оптималних анализа, дефинишу мере и пакети мера обнове зграда до 2050</w:t>
      </w:r>
      <w:r w:rsidR="00CA11D8" w:rsidRPr="00EF2F18">
        <w:rPr>
          <w:sz w:val="22"/>
          <w:szCs w:val="22"/>
          <w:lang w:val="sr-Cyrl-RS"/>
        </w:rPr>
        <w:t>. године.</w:t>
      </w:r>
    </w:p>
    <w:p w14:paraId="1D7236EB" w14:textId="642BB789" w:rsidR="004A4E67" w:rsidRPr="00EF2F18" w:rsidRDefault="004A4E67" w:rsidP="00DC1402">
      <w:pPr>
        <w:spacing w:after="0"/>
        <w:ind w:left="-15" w:right="-7" w:firstLine="710"/>
        <w:jc w:val="both"/>
        <w:rPr>
          <w:rFonts w:cs="Times New Roman"/>
          <w:sz w:val="22"/>
          <w:lang w:val="sr-Cyrl-RS"/>
        </w:rPr>
      </w:pPr>
      <w:r w:rsidRPr="00EF2F18">
        <w:rPr>
          <w:rFonts w:cs="Times New Roman"/>
          <w:b/>
          <w:bCs/>
          <w:sz w:val="22"/>
          <w:lang w:val="sr-Cyrl-RS"/>
        </w:rPr>
        <w:t xml:space="preserve">Национални програм за усвајање правних тековина Европске уније </w:t>
      </w:r>
      <w:r w:rsidR="001947D7" w:rsidRPr="00EF2F18">
        <w:rPr>
          <w:rFonts w:cs="Times New Roman"/>
          <w:b/>
          <w:bCs/>
          <w:sz w:val="22"/>
          <w:lang w:val="sr-Cyrl-RS"/>
        </w:rPr>
        <w:t>2022</w:t>
      </w:r>
      <w:r w:rsidR="005F5388" w:rsidRPr="00EF2F18">
        <w:rPr>
          <w:rFonts w:cs="Times New Roman"/>
          <w:b/>
          <w:bCs/>
          <w:sz w:val="22"/>
          <w:lang w:val="sr-Cyrl-RS"/>
        </w:rPr>
        <w:t xml:space="preserve"> – </w:t>
      </w:r>
      <w:r w:rsidR="001947D7" w:rsidRPr="00EF2F18">
        <w:rPr>
          <w:rFonts w:cs="Times New Roman"/>
          <w:b/>
          <w:bCs/>
          <w:sz w:val="22"/>
          <w:lang w:val="sr-Cyrl-RS"/>
        </w:rPr>
        <w:t>2025.</w:t>
      </w:r>
      <w:r w:rsidR="005F5388" w:rsidRPr="00EF2F18">
        <w:rPr>
          <w:rFonts w:cs="Times New Roman"/>
          <w:iCs/>
          <w:sz w:val="22"/>
          <w:lang w:val="sr-Cyrl-RS"/>
        </w:rPr>
        <w:t xml:space="preserve"> </w:t>
      </w:r>
      <w:r w:rsidR="005F5388" w:rsidRPr="00EF2F18">
        <w:rPr>
          <w:rFonts w:cs="Times New Roman"/>
          <w:b/>
          <w:iCs/>
          <w:sz w:val="22"/>
          <w:lang w:val="sr-Cyrl-RS"/>
        </w:rPr>
        <w:t>године</w:t>
      </w:r>
      <w:r w:rsidR="001947D7" w:rsidRPr="00EF2F18">
        <w:rPr>
          <w:rFonts w:cs="Times New Roman"/>
          <w:sz w:val="22"/>
          <w:lang w:val="sr-Cyrl-RS"/>
        </w:rPr>
        <w:t xml:space="preserve"> </w:t>
      </w:r>
      <w:r w:rsidR="001947D7" w:rsidRPr="00EF2F18">
        <w:rPr>
          <w:rFonts w:cs="Times New Roman"/>
          <w:b/>
          <w:bCs/>
          <w:sz w:val="22"/>
          <w:lang w:val="sr-Cyrl-RS"/>
        </w:rPr>
        <w:t>(НПАА)</w:t>
      </w:r>
      <w:r w:rsidR="001947D7" w:rsidRPr="00EF2F18">
        <w:rPr>
          <w:rFonts w:cs="Times New Roman"/>
          <w:sz w:val="22"/>
          <w:lang w:val="sr-Cyrl-RS"/>
        </w:rPr>
        <w:t xml:space="preserve"> </w:t>
      </w:r>
      <w:r w:rsidRPr="00EF2F18">
        <w:rPr>
          <w:rFonts w:cs="Times New Roman"/>
          <w:sz w:val="22"/>
          <w:lang w:val="sr-Cyrl-RS"/>
        </w:rPr>
        <w:t xml:space="preserve">представља </w:t>
      </w:r>
      <w:r w:rsidR="00E92C32">
        <w:rPr>
          <w:rFonts w:cs="Times New Roman"/>
          <w:sz w:val="22"/>
          <w:lang w:val="sr-Cyrl-RS"/>
        </w:rPr>
        <w:t>четврти, ревидирани</w:t>
      </w:r>
      <w:r w:rsidR="005D23CD" w:rsidRPr="00EF2F18">
        <w:rPr>
          <w:rFonts w:cs="Times New Roman"/>
          <w:sz w:val="22"/>
          <w:lang w:val="sr-Cyrl-RS"/>
        </w:rPr>
        <w:t xml:space="preserve"> Национални програм за усвајање правних тековина Европске уније и у припреми је пети, </w:t>
      </w:r>
      <w:r w:rsidR="00E92C32">
        <w:rPr>
          <w:rFonts w:cs="Times New Roman"/>
          <w:sz w:val="22"/>
          <w:lang w:val="sr-Cyrl-RS"/>
        </w:rPr>
        <w:t>ревидирани</w:t>
      </w:r>
      <w:r w:rsidR="00E92C32" w:rsidRPr="00EF2F18">
        <w:rPr>
          <w:rFonts w:cs="Times New Roman"/>
          <w:sz w:val="22"/>
          <w:lang w:val="sr-Cyrl-RS"/>
        </w:rPr>
        <w:t xml:space="preserve"> </w:t>
      </w:r>
      <w:r w:rsidR="005D23CD" w:rsidRPr="00EF2F18">
        <w:rPr>
          <w:rFonts w:cs="Times New Roman"/>
          <w:sz w:val="22"/>
          <w:lang w:val="sr-Cyrl-RS"/>
        </w:rPr>
        <w:t xml:space="preserve">Национални програм. То је </w:t>
      </w:r>
      <w:r w:rsidRPr="00EF2F18">
        <w:rPr>
          <w:rFonts w:cs="Times New Roman"/>
          <w:sz w:val="22"/>
          <w:lang w:val="sr-Cyrl-RS"/>
        </w:rPr>
        <w:t>детаљан, вишегодишњи план усклађивања домаћих прописа са прописима ЕУ. Израђен је тако да повезује европско законодавство и домаћи правни поредак како би се у сваком тренутку пратили темпо, обим и квалитет усклађивања. НПАА садржи законодавне планове, као и мере усмерене ка успостављању институционалних и административних капацитет неопходних за примену усклађеног законодавства.</w:t>
      </w:r>
    </w:p>
    <w:p w14:paraId="3F04E229" w14:textId="0E5635D1" w:rsidR="00CA11D8" w:rsidRPr="00EF2F18" w:rsidRDefault="00DC1402" w:rsidP="00B34C5E">
      <w:pPr>
        <w:tabs>
          <w:tab w:val="left" w:pos="720"/>
        </w:tabs>
        <w:spacing w:after="0"/>
        <w:jc w:val="both"/>
        <w:rPr>
          <w:sz w:val="22"/>
          <w:lang w:val="sr-Cyrl-RS"/>
        </w:rPr>
      </w:pPr>
      <w:r w:rsidRPr="00EF2F18">
        <w:rPr>
          <w:rFonts w:cs="Times New Roman"/>
          <w:b/>
          <w:bCs/>
          <w:sz w:val="22"/>
          <w:lang w:val="sr-Cyrl-RS"/>
        </w:rPr>
        <w:tab/>
      </w:r>
      <w:r w:rsidR="004A4E67" w:rsidRPr="00EF2F18">
        <w:rPr>
          <w:rFonts w:cs="Times New Roman"/>
          <w:b/>
          <w:bCs/>
          <w:sz w:val="22"/>
          <w:lang w:val="sr-Cyrl-RS"/>
        </w:rPr>
        <w:t>Преговарачка позиција</w:t>
      </w:r>
      <w:r w:rsidR="00EE0691" w:rsidRPr="00EF2F18">
        <w:rPr>
          <w:rFonts w:cs="Times New Roman"/>
          <w:sz w:val="22"/>
          <w:lang w:val="sr-Cyrl-RS"/>
        </w:rPr>
        <w:t xml:space="preserve"> </w:t>
      </w:r>
      <w:r w:rsidR="008869E5" w:rsidRPr="00EF2F18">
        <w:rPr>
          <w:b/>
          <w:sz w:val="22"/>
          <w:lang w:val="sr-Cyrl-RS"/>
        </w:rPr>
        <w:t>Републике Србије за Међувладину конференцију о приступању Републике Србије Европској унији за Поглавље 27 „Животна средина и климатске промене”</w:t>
      </w:r>
      <w:r w:rsidR="008869E5" w:rsidRPr="00EF2F18">
        <w:rPr>
          <w:rFonts w:cs="Times New Roman"/>
          <w:sz w:val="22"/>
          <w:lang w:val="sr-Cyrl-RS"/>
        </w:rPr>
        <w:t xml:space="preserve"> </w:t>
      </w:r>
      <w:r w:rsidR="00EE0691" w:rsidRPr="00EF2F18">
        <w:rPr>
          <w:rFonts w:cs="Times New Roman"/>
          <w:sz w:val="22"/>
          <w:lang w:val="sr-Cyrl-RS"/>
        </w:rPr>
        <w:t>усвојена је</w:t>
      </w:r>
      <w:r w:rsidR="00FC75B4" w:rsidRPr="00EF2F18">
        <w:rPr>
          <w:rFonts w:cs="Times New Roman"/>
          <w:sz w:val="22"/>
          <w:lang w:val="sr-Cyrl-RS"/>
        </w:rPr>
        <w:t xml:space="preserve"> </w:t>
      </w:r>
      <w:r w:rsidR="00EE0691" w:rsidRPr="00EF2F18">
        <w:rPr>
          <w:rFonts w:cs="Times New Roman"/>
          <w:sz w:val="22"/>
          <w:lang w:val="sr-Cyrl-RS"/>
        </w:rPr>
        <w:t>јануара 2020. године и достављена Е</w:t>
      </w:r>
      <w:r w:rsidR="008869E5" w:rsidRPr="00EF2F18">
        <w:rPr>
          <w:rFonts w:cs="Times New Roman"/>
          <w:sz w:val="22"/>
          <w:lang w:val="sr-Cyrl-RS"/>
        </w:rPr>
        <w:t xml:space="preserve">вропској комисији. Преговарачка позиција обухвата </w:t>
      </w:r>
      <w:r w:rsidR="008869E5" w:rsidRPr="00EF2F18">
        <w:rPr>
          <w:rFonts w:eastAsia="Times New Roman"/>
          <w:sz w:val="22"/>
          <w:lang w:val="sr-Cyrl-RS"/>
        </w:rPr>
        <w:t xml:space="preserve">тренутно стање законодавног и институционалног оквира и планове </w:t>
      </w:r>
      <w:r w:rsidR="008869E5" w:rsidRPr="00EF2F18">
        <w:rPr>
          <w:color w:val="000000"/>
          <w:sz w:val="22"/>
          <w:lang w:val="sr-Cyrl-RS"/>
        </w:rPr>
        <w:t xml:space="preserve">за потпуно усклађивање у десет </w:t>
      </w:r>
      <w:r w:rsidR="008869E5" w:rsidRPr="00EF2F18">
        <w:rPr>
          <w:sz w:val="22"/>
          <w:lang w:val="sr-Cyrl-RS"/>
        </w:rPr>
        <w:t>основних подобласти: хоризонтално законодавство, квалитет ваздуха, управљање отпадом, управљање водама, заштита природе, контрола индустријског загађења, хемикалије, заштита од буке, климатске промене и цивилна заштита</w:t>
      </w:r>
      <w:r w:rsidRPr="00EF2F18">
        <w:rPr>
          <w:sz w:val="22"/>
          <w:lang w:val="sr-Cyrl-RS"/>
        </w:rPr>
        <w:t>.</w:t>
      </w:r>
      <w:r w:rsidR="00B612A0" w:rsidRPr="00EF2F18">
        <w:rPr>
          <w:sz w:val="22"/>
          <w:lang w:val="sr-Cyrl-RS"/>
        </w:rPr>
        <w:t xml:space="preserve"> Република Србија је формално прихватила нову методологију у септембру 2020. године. Након одржаних консултација, документ о примени ревидиране методологије проширења на приступне преговоре са Црном Гором и Србијом усвојен је на састанку Савета ЕУ 6. маја 2021. године, а прва међувладина конференција са Републиком Србијом, у складу са новом методологијом, одржана је 22. јуна 2021. године. Том приликом је констатовано да је Кластер 1 отворен, имајући у виду да су сва поглавља која га чине, отворена у ранијем периоду. Међувладина конференција, на којој је отворен Кластер 4 (Зелена агенда и одржива повезаност), одржана је 14. децембра 2021. године.</w:t>
      </w:r>
    </w:p>
    <w:p w14:paraId="0754F807" w14:textId="10CCB517" w:rsidR="002E104D" w:rsidRPr="00EF2F18" w:rsidRDefault="002E104D" w:rsidP="00DC1402">
      <w:pPr>
        <w:spacing w:after="0"/>
        <w:ind w:right="-7" w:firstLine="695"/>
        <w:jc w:val="both"/>
        <w:rPr>
          <w:sz w:val="22"/>
          <w:lang w:val="sr-Cyrl-RS"/>
        </w:rPr>
      </w:pPr>
      <w:r w:rsidRPr="00EF2F18">
        <w:rPr>
          <w:rFonts w:cs="Times New Roman"/>
          <w:b/>
          <w:bCs/>
          <w:sz w:val="22"/>
          <w:shd w:val="clear" w:color="auto" w:fill="FFFFFF"/>
          <w:lang w:val="sr-Cyrl-RS"/>
        </w:rPr>
        <w:t>Стратегија за стварање подстицајног окружења за развој цивилног друштва у Републици Србији за период 2022</w:t>
      </w:r>
      <w:r w:rsidR="005F5388" w:rsidRPr="00EF2F18">
        <w:rPr>
          <w:rFonts w:cs="Times New Roman"/>
          <w:b/>
          <w:bCs/>
          <w:sz w:val="22"/>
          <w:shd w:val="clear" w:color="auto" w:fill="FFFFFF"/>
          <w:lang w:val="sr-Cyrl-RS"/>
        </w:rPr>
        <w:t xml:space="preserve"> </w:t>
      </w:r>
      <w:r w:rsidRPr="00EF2F18">
        <w:rPr>
          <w:rFonts w:cs="Times New Roman"/>
          <w:b/>
          <w:bCs/>
          <w:sz w:val="22"/>
          <w:shd w:val="clear" w:color="auto" w:fill="FFFFFF"/>
          <w:lang w:val="sr-Cyrl-RS"/>
        </w:rPr>
        <w:t>–</w:t>
      </w:r>
      <w:r w:rsidR="005F5388" w:rsidRPr="00EF2F18">
        <w:rPr>
          <w:rFonts w:cs="Times New Roman"/>
          <w:b/>
          <w:bCs/>
          <w:sz w:val="22"/>
          <w:shd w:val="clear" w:color="auto" w:fill="FFFFFF"/>
          <w:lang w:val="sr-Cyrl-RS"/>
        </w:rPr>
        <w:t xml:space="preserve"> </w:t>
      </w:r>
      <w:r w:rsidRPr="00EF2F18">
        <w:rPr>
          <w:rFonts w:cs="Times New Roman"/>
          <w:b/>
          <w:bCs/>
          <w:sz w:val="22"/>
          <w:shd w:val="clear" w:color="auto" w:fill="FFFFFF"/>
          <w:lang w:val="sr-Cyrl-RS"/>
        </w:rPr>
        <w:t>2030. године</w:t>
      </w:r>
      <w:r w:rsidRPr="00EF2F18">
        <w:rPr>
          <w:rFonts w:cs="Times New Roman"/>
          <w:sz w:val="22"/>
          <w:shd w:val="clear" w:color="auto" w:fill="FFFFFF"/>
          <w:lang w:val="sr-Cyrl-RS"/>
        </w:rPr>
        <w:t xml:space="preserve"> („Службени гласник РС”, број 23/22)</w:t>
      </w:r>
      <w:r w:rsidR="005E5FF9" w:rsidRPr="00EF2F18">
        <w:rPr>
          <w:rFonts w:cs="Times New Roman"/>
          <w:sz w:val="22"/>
          <w:shd w:val="clear" w:color="auto" w:fill="FFFFFF"/>
          <w:lang w:val="sr-Cyrl-RS"/>
        </w:rPr>
        <w:t xml:space="preserve"> </w:t>
      </w:r>
      <w:r w:rsidRPr="00EF2F18">
        <w:rPr>
          <w:rFonts w:eastAsia="Cambria" w:cs="Times New Roman"/>
          <w:sz w:val="22"/>
          <w:bdr w:val="none" w:sz="0" w:space="0" w:color="auto" w:frame="1"/>
          <w:lang w:val="sr-Cyrl-RS"/>
        </w:rPr>
        <w:t xml:space="preserve">за општи циљ има </w:t>
      </w:r>
      <w:r w:rsidRPr="00EF2F18">
        <w:rPr>
          <w:rFonts w:cs="Times New Roman"/>
          <w:sz w:val="22"/>
          <w:lang w:val="sr-Cyrl-RS"/>
        </w:rPr>
        <w:t>оснаживање посто</w:t>
      </w:r>
      <w:r w:rsidR="00EB39EA">
        <w:rPr>
          <w:rFonts w:cs="Times New Roman"/>
          <w:sz w:val="22"/>
          <w:lang w:val="sr-Cyrl-RS"/>
        </w:rPr>
        <w:t>јећих и увођење нових механизама</w:t>
      </w:r>
      <w:r w:rsidRPr="00EF2F18">
        <w:rPr>
          <w:rFonts w:cs="Times New Roman"/>
          <w:sz w:val="22"/>
          <w:lang w:val="sr-Cyrl-RS"/>
        </w:rPr>
        <w:t xml:space="preserve"> за стварање подстицајног окружења за деловање организација цивилног друштва. Обезбеђење</w:t>
      </w:r>
      <w:r w:rsidR="005E5FF9" w:rsidRPr="00EF2F18">
        <w:rPr>
          <w:rFonts w:cs="Times New Roman"/>
          <w:sz w:val="22"/>
          <w:lang w:val="sr-Cyrl-RS"/>
        </w:rPr>
        <w:t xml:space="preserve"> </w:t>
      </w:r>
      <w:r w:rsidRPr="00EF2F18">
        <w:rPr>
          <w:rFonts w:cs="Times New Roman"/>
          <w:sz w:val="22"/>
          <w:lang w:val="sr-Cyrl-RS"/>
        </w:rPr>
        <w:t xml:space="preserve">већег </w:t>
      </w:r>
      <w:r w:rsidRPr="00EF2F18">
        <w:rPr>
          <w:rFonts w:eastAsia="Times New Roman" w:cs="Times New Roman"/>
          <w:sz w:val="22"/>
          <w:lang w:val="sr-Cyrl-RS"/>
        </w:rPr>
        <w:t>укључивања цивилног сектора у процес доношења одлука на свим нивоима власти један је од посебних циљева Стратегије, а од ништа мањег значаја су и остали посебни циљеви:</w:t>
      </w:r>
      <w:r w:rsidR="005E5FF9" w:rsidRPr="00EF2F18">
        <w:rPr>
          <w:rFonts w:eastAsia="Times New Roman" w:cs="Times New Roman"/>
          <w:sz w:val="22"/>
          <w:lang w:val="sr-Cyrl-RS"/>
        </w:rPr>
        <w:t xml:space="preserve"> </w:t>
      </w:r>
      <w:r w:rsidRPr="00EF2F18">
        <w:rPr>
          <w:sz w:val="22"/>
          <w:lang w:val="sr-Cyrl-RS"/>
        </w:rPr>
        <w:t>Унапређено транспарентно финансирање и одрживост цивилног сектора; Обезбеђено веће учешће</w:t>
      </w:r>
      <w:r w:rsidRPr="00EF2F18">
        <w:rPr>
          <w:b/>
          <w:sz w:val="22"/>
          <w:lang w:val="sr-Cyrl-RS"/>
        </w:rPr>
        <w:t xml:space="preserve"> </w:t>
      </w:r>
      <w:r w:rsidRPr="00EF2F18">
        <w:rPr>
          <w:sz w:val="22"/>
          <w:lang w:val="sr-Cyrl-RS"/>
        </w:rPr>
        <w:t xml:space="preserve">ОЦД у социо-економском развоју и деловање у складу са начелима одрживог развоја и Обезбеђено веће учешће ОЦД у процесу европских интеграција. </w:t>
      </w:r>
    </w:p>
    <w:p w14:paraId="58EE6264" w14:textId="4B2D0B5C" w:rsidR="00636A49" w:rsidRPr="00EF2F18" w:rsidRDefault="00636A49" w:rsidP="00DC1402">
      <w:pPr>
        <w:spacing w:after="0"/>
        <w:ind w:right="-7" w:firstLine="695"/>
        <w:jc w:val="both"/>
        <w:rPr>
          <w:rFonts w:eastAsia="Times New Roman" w:cs="Times New Roman"/>
          <w:sz w:val="22"/>
          <w:lang w:val="sr-Cyrl-RS"/>
        </w:rPr>
      </w:pPr>
      <w:r w:rsidRPr="00EF2F18">
        <w:rPr>
          <w:rFonts w:eastAsia="Times New Roman" w:cs="Times New Roman"/>
          <w:b/>
          <w:bCs/>
          <w:sz w:val="22"/>
          <w:lang w:val="sr-Cyrl-RS"/>
        </w:rPr>
        <w:t>Стратегија за развој малих и средњих предузећа за период од 2023. до 2027. године, са Акционим планом за период од 2023. до 2024. године</w:t>
      </w:r>
      <w:r w:rsidRPr="00EF2F18">
        <w:rPr>
          <w:rFonts w:eastAsia="Times New Roman" w:cs="Times New Roman"/>
          <w:sz w:val="22"/>
          <w:lang w:val="sr-Cyrl-RS"/>
        </w:rPr>
        <w:t xml:space="preserve"> </w:t>
      </w:r>
      <w:r w:rsidRPr="00EF2F18">
        <w:rPr>
          <w:sz w:val="22"/>
          <w:lang w:val="sr-Cyrl-RS"/>
        </w:rPr>
        <w:t>(„Службени гласник РС”, број 9</w:t>
      </w:r>
      <w:r w:rsidR="00FF6949" w:rsidRPr="00EF2F18">
        <w:rPr>
          <w:sz w:val="22"/>
          <w:lang w:val="sr-Cyrl-RS"/>
        </w:rPr>
        <w:t>7</w:t>
      </w:r>
      <w:r w:rsidRPr="00EF2F18">
        <w:rPr>
          <w:sz w:val="22"/>
          <w:lang w:val="sr-Cyrl-RS"/>
        </w:rPr>
        <w:t>/23)</w:t>
      </w:r>
      <w:r w:rsidR="00FF6949" w:rsidRPr="00EF2F18">
        <w:rPr>
          <w:sz w:val="22"/>
          <w:lang w:val="sr-Cyrl-RS"/>
        </w:rPr>
        <w:t xml:space="preserve"> за посебан циљ има Иновативан, зелени и на дигитализацији заснован развој </w:t>
      </w:r>
      <w:r w:rsidR="005F5388" w:rsidRPr="00EF2F18">
        <w:rPr>
          <w:sz w:val="22"/>
          <w:lang w:val="sr-Cyrl-RS"/>
        </w:rPr>
        <w:t>–</w:t>
      </w:r>
      <w:r w:rsidR="00FF6949" w:rsidRPr="00EF2F18">
        <w:rPr>
          <w:sz w:val="22"/>
          <w:lang w:val="sr-Cyrl-RS"/>
        </w:rPr>
        <w:t xml:space="preserve"> сектор МСПП као </w:t>
      </w:r>
      <w:r w:rsidR="00FF6949" w:rsidRPr="00EF2F18">
        <w:rPr>
          <w:sz w:val="22"/>
          <w:lang w:val="sr-Cyrl-RS"/>
        </w:rPr>
        <w:lastRenderedPageBreak/>
        <w:t>носилац убрзане трансформације, а мера у оквиру посебног циља се односи на п</w:t>
      </w:r>
      <w:r w:rsidR="00FF6949" w:rsidRPr="00EF2F18">
        <w:rPr>
          <w:bCs/>
          <w:lang w:val="sr-Cyrl-RS"/>
        </w:rPr>
        <w:t>одршку МСПП за примену зелене агенде у пословању</w:t>
      </w:r>
      <w:r w:rsidR="00FF6949" w:rsidRPr="00EF2F18">
        <w:rPr>
          <w:rFonts w:eastAsia="Times New Roman" w:cs="Times New Roman"/>
          <w:sz w:val="22"/>
          <w:lang w:val="sr-Cyrl-RS"/>
        </w:rPr>
        <w:t>.</w:t>
      </w:r>
    </w:p>
    <w:p w14:paraId="61BBD193" w14:textId="5EDE56F3" w:rsidR="002E104D" w:rsidRPr="00EF2F18" w:rsidRDefault="002E104D" w:rsidP="004450DB">
      <w:pPr>
        <w:spacing w:after="0"/>
        <w:ind w:right="-7" w:firstLine="695"/>
        <w:jc w:val="both"/>
        <w:rPr>
          <w:sz w:val="22"/>
          <w:lang w:val="sr-Cyrl-RS"/>
        </w:rPr>
      </w:pPr>
      <w:r w:rsidRPr="00EF2F18">
        <w:rPr>
          <w:rFonts w:cs="Times New Roman"/>
          <w:b/>
          <w:bCs/>
          <w:sz w:val="22"/>
          <w:lang w:val="sr-Cyrl-RS"/>
        </w:rPr>
        <w:t>Стратегија за младе</w:t>
      </w:r>
      <w:r w:rsidRPr="00EF2F18">
        <w:rPr>
          <w:rFonts w:cs="Times New Roman"/>
          <w:sz w:val="22"/>
          <w:lang w:val="sr-Cyrl-RS"/>
        </w:rPr>
        <w:t xml:space="preserve"> </w:t>
      </w:r>
      <w:r w:rsidRPr="00EF2F18">
        <w:rPr>
          <w:rFonts w:cs="Times New Roman"/>
          <w:b/>
          <w:bCs/>
          <w:sz w:val="22"/>
          <w:lang w:val="sr-Cyrl-RS"/>
        </w:rPr>
        <w:t>у Републици Србији за период од 2023. до 2030. године</w:t>
      </w:r>
      <w:r w:rsidRPr="00EF2F18">
        <w:rPr>
          <w:rFonts w:cs="Times New Roman"/>
          <w:sz w:val="22"/>
          <w:lang w:val="sr-Cyrl-RS"/>
        </w:rPr>
        <w:t xml:space="preserve"> </w:t>
      </w:r>
      <w:r w:rsidRPr="00EF2F18">
        <w:rPr>
          <w:sz w:val="22"/>
          <w:lang w:val="sr-Cyrl-RS"/>
        </w:rPr>
        <w:t xml:space="preserve">(„Службени гласник РС”, број 9/23) за општи циљ има: </w:t>
      </w:r>
      <w:r w:rsidRPr="00EF2F18">
        <w:rPr>
          <w:rFonts w:eastAsia="Times New Roman" w:cs="Times New Roman"/>
          <w:sz w:val="22"/>
          <w:lang w:val="sr-Cyrl-RS"/>
        </w:rPr>
        <w:t xml:space="preserve">Унапређен квалитет живота младих. У </w:t>
      </w:r>
      <w:r w:rsidRPr="00EF2F18">
        <w:rPr>
          <w:rFonts w:cs="Times New Roman"/>
          <w:bCs/>
          <w:sz w:val="22"/>
          <w:lang w:val="sr-Cyrl-RS"/>
        </w:rPr>
        <w:t xml:space="preserve">Стратегији је </w:t>
      </w:r>
      <w:r w:rsidRPr="00EF2F18">
        <w:rPr>
          <w:rFonts w:eastAsia="Times New Roman" w:cs="Times New Roman"/>
          <w:sz w:val="22"/>
          <w:lang w:val="sr-Cyrl-RS"/>
        </w:rPr>
        <w:t>посебна пажња посвећена јачању капацитета младих за активно учешће у заштити животне средине и одрживог развоја,</w:t>
      </w:r>
      <w:r w:rsidR="005E5FF9" w:rsidRPr="00EF2F18">
        <w:rPr>
          <w:rFonts w:eastAsia="Times New Roman" w:cs="Times New Roman"/>
          <w:sz w:val="22"/>
          <w:lang w:val="sr-Cyrl-RS"/>
        </w:rPr>
        <w:t xml:space="preserve"> </w:t>
      </w:r>
      <w:r w:rsidRPr="00EF2F18">
        <w:rPr>
          <w:rFonts w:eastAsia="Times New Roman" w:cs="Times New Roman"/>
          <w:sz w:val="22"/>
          <w:lang w:val="sr-Cyrl-RS"/>
        </w:rPr>
        <w:t>примени зелене економије, као и правовременом информисању и учешћу у еколошким програмима и борби против негативних ефеката климатских промена.</w:t>
      </w:r>
    </w:p>
    <w:p w14:paraId="2C186A56" w14:textId="18946545" w:rsidR="002E104D" w:rsidRPr="00EF2F18" w:rsidRDefault="002E104D" w:rsidP="00B34C5E">
      <w:pPr>
        <w:spacing w:after="0"/>
        <w:ind w:firstLine="720"/>
        <w:jc w:val="both"/>
        <w:rPr>
          <w:rFonts w:cs="Times New Roman"/>
          <w:sz w:val="22"/>
          <w:lang w:val="sr-Cyrl-RS"/>
        </w:rPr>
      </w:pPr>
      <w:r w:rsidRPr="00EF2F18">
        <w:rPr>
          <w:rFonts w:cs="Times New Roman"/>
          <w:b/>
          <w:bCs/>
          <w:sz w:val="22"/>
          <w:lang w:val="sr-Cyrl-RS"/>
        </w:rPr>
        <w:t>Стратегијом</w:t>
      </w:r>
      <w:r w:rsidR="005E5FF9" w:rsidRPr="00EF2F18">
        <w:rPr>
          <w:rFonts w:cs="Times New Roman"/>
          <w:b/>
          <w:bCs/>
          <w:sz w:val="22"/>
          <w:lang w:val="sr-Cyrl-RS"/>
        </w:rPr>
        <w:t xml:space="preserve"> </w:t>
      </w:r>
      <w:r w:rsidRPr="00EF2F18">
        <w:rPr>
          <w:rFonts w:cs="Times New Roman"/>
          <w:b/>
          <w:bCs/>
          <w:sz w:val="22"/>
          <w:lang w:val="sr-Cyrl-RS"/>
        </w:rPr>
        <w:t>за родну равноправност за период од 2021. до 2030. године</w:t>
      </w:r>
      <w:r w:rsidRPr="00EF2F18">
        <w:rPr>
          <w:rFonts w:cs="Times New Roman"/>
          <w:sz w:val="22"/>
          <w:lang w:val="sr-Cyrl-RS"/>
        </w:rPr>
        <w:t xml:space="preserve"> </w:t>
      </w:r>
      <w:bookmarkStart w:id="10" w:name="_Hlk143092157"/>
      <w:r w:rsidRPr="00EF2F18">
        <w:rPr>
          <w:rFonts w:cs="Times New Roman"/>
          <w:sz w:val="22"/>
          <w:lang w:val="sr-Cyrl-RS"/>
        </w:rPr>
        <w:t>(„Службени гласник РС”, број 103/21</w:t>
      </w:r>
      <w:bookmarkEnd w:id="10"/>
      <w:r w:rsidRPr="00EF2F18">
        <w:rPr>
          <w:rFonts w:cs="Times New Roman"/>
          <w:sz w:val="22"/>
          <w:lang w:val="sr-Cyrl-RS"/>
        </w:rPr>
        <w:t xml:space="preserve">) </w:t>
      </w:r>
      <w:r w:rsidRPr="00EF2F18">
        <w:rPr>
          <w:rFonts w:eastAsia="Arial Unicode MS" w:cs="Times New Roman"/>
          <w:sz w:val="22"/>
          <w:lang w:val="sr-Cyrl-RS"/>
        </w:rPr>
        <w:t>утврђене су свеобухватне мере за унапређење родне равноправности као чиниоца који подстиче развој друштва у Републици Србији, у циљу превазилажења родног јаза и остваривања родне равноправности као предуслова за развој друштва и побољшање свакодневног живота жена и мушкараца, девојчица и дечака.</w:t>
      </w:r>
      <w:r w:rsidRPr="00EF2F18">
        <w:rPr>
          <w:rFonts w:cs="Times New Roman"/>
          <w:sz w:val="22"/>
          <w:lang w:val="sr-Cyrl-RS"/>
        </w:rPr>
        <w:t xml:space="preserve"> </w:t>
      </w:r>
    </w:p>
    <w:p w14:paraId="3FB433FE" w14:textId="2DFC86B2" w:rsidR="002E104D" w:rsidRPr="00EF2F18" w:rsidRDefault="002E104D" w:rsidP="00B34C5E">
      <w:pPr>
        <w:spacing w:after="0"/>
        <w:ind w:firstLine="720"/>
        <w:jc w:val="both"/>
        <w:rPr>
          <w:rFonts w:eastAsia="Times New Roman" w:cs="Times New Roman"/>
          <w:iCs/>
          <w:sz w:val="22"/>
          <w:lang w:val="sr-Cyrl-RS"/>
        </w:rPr>
      </w:pPr>
      <w:r w:rsidRPr="00EF2F18">
        <w:rPr>
          <w:rFonts w:cs="Times New Roman"/>
          <w:b/>
          <w:bCs/>
          <w:sz w:val="22"/>
          <w:lang w:val="sr-Cyrl-RS"/>
        </w:rPr>
        <w:t>Стратегија превенције и заштите од дискриминације за период од 2022. до 2030. године</w:t>
      </w:r>
      <w:r w:rsidRPr="00EF2F18">
        <w:rPr>
          <w:rFonts w:cs="Times New Roman"/>
          <w:sz w:val="22"/>
          <w:lang w:val="sr-Cyrl-RS"/>
        </w:rPr>
        <w:t xml:space="preserve"> (</w:t>
      </w:r>
      <w:bookmarkStart w:id="11" w:name="_Hlk143092294"/>
      <w:r w:rsidRPr="00EF2F18">
        <w:rPr>
          <w:sz w:val="22"/>
          <w:lang w:val="sr-Cyrl-RS"/>
        </w:rPr>
        <w:t>„Службени гласник РС”, број 12/22</w:t>
      </w:r>
      <w:bookmarkEnd w:id="11"/>
      <w:r w:rsidRPr="00EF2F18">
        <w:rPr>
          <w:sz w:val="22"/>
          <w:lang w:val="sr-Cyrl-RS"/>
        </w:rPr>
        <w:t>)</w:t>
      </w:r>
      <w:r w:rsidR="005E5FF9" w:rsidRPr="00EF2F18">
        <w:rPr>
          <w:sz w:val="22"/>
          <w:lang w:val="sr-Cyrl-RS"/>
        </w:rPr>
        <w:t xml:space="preserve"> </w:t>
      </w:r>
      <w:r w:rsidRPr="00EF2F18">
        <w:rPr>
          <w:sz w:val="22"/>
          <w:lang w:val="sr-Cyrl-RS"/>
        </w:rPr>
        <w:t xml:space="preserve">представља кровну стратегију у овој области, али се ослања на многе друге планске документе који се односе на групе које су у већем ризику од дискриминације, или се њима унапређује стање у одређеним областима; а за општи циљ има </w:t>
      </w:r>
      <w:r w:rsidRPr="00EF2F18">
        <w:rPr>
          <w:rFonts w:cs="Times New Roman"/>
          <w:bCs/>
          <w:sz w:val="22"/>
          <w:lang w:val="sr-Cyrl-RS"/>
        </w:rPr>
        <w:t>изједначене могућности за припаднике група које су у ризику од дискриминације да на равноправној основи са другима уживају сва људска права и слободе, као и унапређена ефикасност система превенције и заштите од дискриминације у свим областима и на свим нивоима.</w:t>
      </w:r>
      <w:r w:rsidR="005E5FF9" w:rsidRPr="00EF2F18">
        <w:rPr>
          <w:rFonts w:cs="Times New Roman"/>
          <w:bCs/>
          <w:sz w:val="22"/>
          <w:lang w:val="sr-Cyrl-RS"/>
        </w:rPr>
        <w:t xml:space="preserve"> </w:t>
      </w:r>
    </w:p>
    <w:p w14:paraId="25E25D8C" w14:textId="653B7374" w:rsidR="002E104D" w:rsidRPr="00EF2F18" w:rsidRDefault="002E104D" w:rsidP="00B34C5E">
      <w:pPr>
        <w:spacing w:after="0"/>
        <w:ind w:firstLine="720"/>
        <w:jc w:val="both"/>
        <w:rPr>
          <w:rFonts w:cs="Times New Roman"/>
          <w:lang w:val="sr-Cyrl-RS"/>
        </w:rPr>
      </w:pPr>
      <w:r w:rsidRPr="00EF2F18">
        <w:rPr>
          <w:rFonts w:eastAsia="Times New Roman" w:cs="Times New Roman"/>
          <w:b/>
          <w:bCs/>
          <w:iCs/>
          <w:sz w:val="22"/>
          <w:lang w:val="sr-Cyrl-RS"/>
        </w:rPr>
        <w:t>Стратегија унапређења положаја особа са инвалидитетом у Републици Србији за период од 202</w:t>
      </w:r>
      <w:r w:rsidR="00044071" w:rsidRPr="00EF2F18">
        <w:rPr>
          <w:rFonts w:eastAsia="Times New Roman" w:cs="Times New Roman"/>
          <w:b/>
          <w:bCs/>
          <w:iCs/>
          <w:sz w:val="22"/>
          <w:lang w:val="sr-Cyrl-RS"/>
        </w:rPr>
        <w:t>5</w:t>
      </w:r>
      <w:r w:rsidRPr="00EF2F18">
        <w:rPr>
          <w:rFonts w:eastAsia="Times New Roman" w:cs="Times New Roman"/>
          <w:b/>
          <w:bCs/>
          <w:iCs/>
          <w:sz w:val="22"/>
          <w:lang w:val="sr-Cyrl-RS"/>
        </w:rPr>
        <w:t>. до 20</w:t>
      </w:r>
      <w:r w:rsidR="00044071" w:rsidRPr="00EF2F18">
        <w:rPr>
          <w:rFonts w:eastAsia="Times New Roman" w:cs="Times New Roman"/>
          <w:b/>
          <w:bCs/>
          <w:iCs/>
          <w:sz w:val="22"/>
          <w:lang w:val="sr-Cyrl-RS"/>
        </w:rPr>
        <w:t>30</w:t>
      </w:r>
      <w:r w:rsidRPr="00EF2F18">
        <w:rPr>
          <w:rFonts w:eastAsia="Times New Roman" w:cs="Times New Roman"/>
          <w:b/>
          <w:bCs/>
          <w:iCs/>
          <w:sz w:val="22"/>
          <w:lang w:val="sr-Cyrl-RS"/>
        </w:rPr>
        <w:t>. године</w:t>
      </w:r>
      <w:r w:rsidR="00044071" w:rsidRPr="00EF2F18">
        <w:rPr>
          <w:rFonts w:eastAsia="Times New Roman" w:cs="Times New Roman"/>
          <w:sz w:val="22"/>
          <w:lang w:val="sr-Cyrl-RS"/>
        </w:rPr>
        <w:t xml:space="preserve"> </w:t>
      </w:r>
      <w:r w:rsidRPr="00EF2F18">
        <w:rPr>
          <w:rFonts w:eastAsia="Times New Roman" w:cs="Times New Roman"/>
          <w:sz w:val="22"/>
          <w:lang w:val="sr-Cyrl-RS"/>
        </w:rPr>
        <w:t xml:space="preserve">(„Службени гласник РС”, број </w:t>
      </w:r>
      <w:r w:rsidR="00044071" w:rsidRPr="00EF2F18">
        <w:rPr>
          <w:rFonts w:eastAsia="Times New Roman" w:cs="Times New Roman"/>
          <w:sz w:val="22"/>
          <w:lang w:val="sr-Cyrl-RS"/>
        </w:rPr>
        <w:t>6</w:t>
      </w:r>
      <w:r w:rsidRPr="00EF2F18">
        <w:rPr>
          <w:rFonts w:eastAsia="Times New Roman" w:cs="Times New Roman"/>
          <w:sz w:val="22"/>
          <w:lang w:val="sr-Cyrl-RS"/>
        </w:rPr>
        <w:t>/2</w:t>
      </w:r>
      <w:r w:rsidR="00044071" w:rsidRPr="00EF2F18">
        <w:rPr>
          <w:rFonts w:eastAsia="Times New Roman" w:cs="Times New Roman"/>
          <w:sz w:val="22"/>
          <w:lang w:val="sr-Cyrl-RS"/>
        </w:rPr>
        <w:t>5</w:t>
      </w:r>
      <w:r w:rsidRPr="00EF2F18">
        <w:rPr>
          <w:rFonts w:eastAsia="Times New Roman" w:cs="Times New Roman"/>
          <w:sz w:val="22"/>
          <w:lang w:val="sr-Cyrl-RS"/>
        </w:rPr>
        <w:t>) као општи циљ поставља изједначавање могућности особа са инвалидитетом у уживању свих грађанских, политичких, економских, социјалних и културних права, уз пуно поштовање њиховог достојанства и индивидуалне аутономије, обезбеђивања независности, слободе избора и пуне и ефективне партиципације у свим областима друштвеног живота, укључујући и живот у заједници.</w:t>
      </w:r>
    </w:p>
    <w:p w14:paraId="04746516" w14:textId="66B34DAC" w:rsidR="002E104D" w:rsidRPr="00EF2F18" w:rsidRDefault="002E104D" w:rsidP="00B34C5E">
      <w:pPr>
        <w:spacing w:after="0"/>
        <w:ind w:firstLine="720"/>
        <w:jc w:val="both"/>
        <w:rPr>
          <w:rFonts w:cs="Times New Roman"/>
          <w:sz w:val="22"/>
          <w:lang w:val="sr-Cyrl-RS"/>
        </w:rPr>
      </w:pPr>
      <w:r w:rsidRPr="00EF2F18">
        <w:rPr>
          <w:rFonts w:cs="Times New Roman"/>
          <w:b/>
          <w:bCs/>
          <w:iCs/>
          <w:sz w:val="22"/>
          <w:lang w:val="sr-Cyrl-RS"/>
        </w:rPr>
        <w:t>Стратегија за социјално укључивање Рома и Ромкиња за период 2022</w:t>
      </w:r>
      <w:r w:rsidR="001301B7" w:rsidRPr="00EF2F18">
        <w:rPr>
          <w:rFonts w:cs="Times New Roman"/>
          <w:b/>
          <w:bCs/>
          <w:iCs/>
          <w:sz w:val="22"/>
          <w:lang w:val="sr-Cyrl-RS"/>
        </w:rPr>
        <w:t xml:space="preserve"> – </w:t>
      </w:r>
      <w:r w:rsidRPr="00EF2F18">
        <w:rPr>
          <w:rFonts w:cs="Times New Roman"/>
          <w:b/>
          <w:bCs/>
          <w:iCs/>
          <w:sz w:val="22"/>
          <w:lang w:val="sr-Cyrl-RS"/>
        </w:rPr>
        <w:t>2030. године</w:t>
      </w:r>
      <w:r w:rsidRPr="00EF2F18">
        <w:rPr>
          <w:rFonts w:cs="Times New Roman"/>
          <w:sz w:val="22"/>
          <w:lang w:val="sr-Cyrl-RS"/>
        </w:rPr>
        <w:t xml:space="preserve"> („Службени гласник РС”, број 23/22), п</w:t>
      </w:r>
      <w:r w:rsidRPr="00EF2F18">
        <w:rPr>
          <w:rFonts w:cs="Times New Roman"/>
          <w:bCs/>
          <w:sz w:val="22"/>
          <w:lang w:val="sr-Cyrl-RS"/>
        </w:rPr>
        <w:t xml:space="preserve">о узору на ЕУ Оквир за Роме, </w:t>
      </w:r>
      <w:r w:rsidRPr="00EF2F18">
        <w:rPr>
          <w:rFonts w:cs="Times New Roman"/>
          <w:sz w:val="22"/>
          <w:lang w:val="sr-Cyrl-RS"/>
        </w:rPr>
        <w:t xml:space="preserve">за општи циљ поставља унапређење квалитета живота Рома и Ромкиња у Републици Србији, уз уважавање људских и мањинских права, елиминисање дискриминације и циганизма као облика расизма и постизање веће социјалне укључености у свим сегментима друштва. </w:t>
      </w:r>
    </w:p>
    <w:p w14:paraId="62FB26CC" w14:textId="77777777" w:rsidR="004A4E67" w:rsidRPr="00C64384" w:rsidRDefault="004A4E67" w:rsidP="004A4E67">
      <w:pPr>
        <w:spacing w:after="0"/>
        <w:ind w:left="-15" w:right="-7" w:firstLine="710"/>
        <w:jc w:val="both"/>
        <w:rPr>
          <w:rFonts w:cs="Times New Roman"/>
          <w:sz w:val="6"/>
          <w:szCs w:val="6"/>
          <w:lang w:val="sr-Cyrl-RS"/>
        </w:rPr>
      </w:pPr>
    </w:p>
    <w:p w14:paraId="2FC66E78" w14:textId="2C19F591" w:rsidR="004642B8" w:rsidRPr="00C64384" w:rsidRDefault="00210ECC" w:rsidP="004642B8">
      <w:pPr>
        <w:pStyle w:val="Heading3"/>
        <w:numPr>
          <w:ilvl w:val="1"/>
          <w:numId w:val="2"/>
        </w:numPr>
        <w:jc w:val="center"/>
        <w:rPr>
          <w:rFonts w:eastAsia="Arial" w:cs="Times New Roman"/>
          <w:sz w:val="22"/>
          <w:szCs w:val="22"/>
          <w:lang w:val="sr-Cyrl-RS"/>
        </w:rPr>
      </w:pPr>
      <w:bookmarkStart w:id="12" w:name="_Toc158307688"/>
      <w:r w:rsidRPr="00EF2F18">
        <w:rPr>
          <w:rFonts w:eastAsia="Arial" w:cs="Times New Roman"/>
          <w:sz w:val="22"/>
          <w:szCs w:val="22"/>
          <w:lang w:val="sr-Cyrl-RS"/>
        </w:rPr>
        <w:t>Законодавно-правни оквир</w:t>
      </w:r>
      <w:r w:rsidR="007F76AD" w:rsidRPr="00EF2F18">
        <w:rPr>
          <w:rFonts w:eastAsia="Arial" w:cs="Times New Roman"/>
          <w:sz w:val="22"/>
          <w:szCs w:val="22"/>
          <w:lang w:val="sr-Cyrl-RS"/>
        </w:rPr>
        <w:t xml:space="preserve"> Републике Србије</w:t>
      </w:r>
      <w:bookmarkEnd w:id="12"/>
    </w:p>
    <w:p w14:paraId="76B9F33B" w14:textId="3BE6D89F" w:rsidR="00D05BB0" w:rsidRPr="00EF2F18" w:rsidRDefault="00E914A6" w:rsidP="00D05BB0">
      <w:pPr>
        <w:spacing w:after="0"/>
        <w:ind w:left="-15" w:right="-7" w:firstLine="735"/>
        <w:jc w:val="both"/>
        <w:rPr>
          <w:rFonts w:cs="Times New Roman"/>
          <w:sz w:val="22"/>
          <w:lang w:val="sr-Cyrl-RS"/>
        </w:rPr>
      </w:pPr>
      <w:r w:rsidRPr="00EF2F18">
        <w:rPr>
          <w:rFonts w:cs="Times New Roman"/>
          <w:sz w:val="22"/>
          <w:lang w:val="sr-Cyrl-RS"/>
        </w:rPr>
        <w:t>Велики број прописа из различитих области је у вези са појединим стубовима или са више стубова Стратегије, који су значајни</w:t>
      </w:r>
      <w:r w:rsidR="005E42D2" w:rsidRPr="00EF2F18">
        <w:rPr>
          <w:rFonts w:cs="Times New Roman"/>
          <w:sz w:val="22"/>
          <w:lang w:val="sr-Cyrl-RS"/>
        </w:rPr>
        <w:t xml:space="preserve"> </w:t>
      </w:r>
      <w:r w:rsidRPr="00EF2F18">
        <w:rPr>
          <w:rFonts w:cs="Times New Roman"/>
          <w:sz w:val="22"/>
          <w:lang w:val="sr-Cyrl-RS"/>
        </w:rPr>
        <w:t xml:space="preserve">за ефикасно коришћење ресурса и смањење притиска на животну средину </w:t>
      </w:r>
      <w:r w:rsidR="00DD231E" w:rsidRPr="00EF2F18">
        <w:rPr>
          <w:rFonts w:cs="Times New Roman"/>
          <w:sz w:val="22"/>
          <w:lang w:val="sr-Cyrl-RS"/>
        </w:rPr>
        <w:t xml:space="preserve">и усмеравање ка одрживом </w:t>
      </w:r>
      <w:r w:rsidR="00D05BB0" w:rsidRPr="00EF2F18">
        <w:rPr>
          <w:rFonts w:cs="Times New Roman"/>
          <w:sz w:val="22"/>
          <w:lang w:val="sr-Cyrl-RS"/>
        </w:rPr>
        <w:t>развој</w:t>
      </w:r>
      <w:r w:rsidR="00DD231E" w:rsidRPr="00EF2F18">
        <w:rPr>
          <w:rFonts w:cs="Times New Roman"/>
          <w:sz w:val="22"/>
          <w:lang w:val="sr-Cyrl-RS"/>
        </w:rPr>
        <w:t>у</w:t>
      </w:r>
      <w:r w:rsidR="00D05BB0" w:rsidRPr="00EF2F18">
        <w:rPr>
          <w:rFonts w:cs="Times New Roman"/>
          <w:sz w:val="22"/>
          <w:lang w:val="sr-Cyrl-RS"/>
        </w:rPr>
        <w:t xml:space="preserve">. </w:t>
      </w:r>
      <w:r w:rsidR="006F742E" w:rsidRPr="00EF2F18">
        <w:rPr>
          <w:rFonts w:cs="Times New Roman"/>
          <w:sz w:val="22"/>
          <w:lang w:val="sr-Cyrl-RS"/>
        </w:rPr>
        <w:t>У наставку су дати само кључни закони.</w:t>
      </w:r>
    </w:p>
    <w:p w14:paraId="56B52275" w14:textId="7096A9FE" w:rsidR="00D05BB0" w:rsidRPr="00EF2F18" w:rsidRDefault="00D05BB0" w:rsidP="00D05BB0">
      <w:pPr>
        <w:spacing w:after="0"/>
        <w:ind w:left="-15" w:right="-7" w:firstLine="735"/>
        <w:jc w:val="both"/>
        <w:rPr>
          <w:rFonts w:cs="Times New Roman"/>
          <w:sz w:val="22"/>
          <w:lang w:val="sr-Cyrl-RS"/>
        </w:rPr>
      </w:pPr>
      <w:r w:rsidRPr="00EF2F18">
        <w:rPr>
          <w:rFonts w:cs="Times New Roman"/>
          <w:b/>
          <w:sz w:val="22"/>
          <w:lang w:val="sr-Cyrl-RS"/>
        </w:rPr>
        <w:t>Закон о заштити животне средине</w:t>
      </w:r>
      <w:r w:rsidRPr="00EF2F18">
        <w:rPr>
          <w:rFonts w:cs="Times New Roman"/>
          <w:sz w:val="22"/>
          <w:lang w:val="sr-Cyrl-RS"/>
        </w:rPr>
        <w:t xml:space="preserve"> </w:t>
      </w:r>
      <w:r w:rsidR="0090711E" w:rsidRPr="00EF2F18">
        <w:rPr>
          <w:rFonts w:cs="Times New Roman"/>
          <w:sz w:val="22"/>
          <w:lang w:val="sr-Cyrl-RS"/>
        </w:rPr>
        <w:t>(,,Службени гласник РС”, бр. 135/04, 36/09, 36/09 – др. закон, 72/09 – др. закон, 43/11 – УС, 14/16, 76/18, 95/18 – др. закон, 95/18 – др. закон и 94/24 – др. закон)</w:t>
      </w:r>
      <w:r w:rsidRPr="00EF2F18">
        <w:rPr>
          <w:rFonts w:cs="Times New Roman"/>
          <w:sz w:val="22"/>
          <w:lang w:val="sr-Cyrl-RS"/>
        </w:rPr>
        <w:t xml:space="preserve">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58AB34F6" w14:textId="58B85A28" w:rsidR="00BA52C1" w:rsidRPr="00EF2F18" w:rsidRDefault="00D05BB0" w:rsidP="00D05BB0">
      <w:pPr>
        <w:autoSpaceDE w:val="0"/>
        <w:autoSpaceDN w:val="0"/>
        <w:adjustRightInd w:val="0"/>
        <w:spacing w:after="0"/>
        <w:ind w:firstLine="720"/>
        <w:jc w:val="both"/>
        <w:rPr>
          <w:rFonts w:eastAsia="Arial" w:cs="Times New Roman"/>
          <w:sz w:val="22"/>
          <w:highlight w:val="yellow"/>
          <w:lang w:val="sr-Cyrl-RS"/>
        </w:rPr>
      </w:pPr>
      <w:r w:rsidRPr="00EF2F18">
        <w:rPr>
          <w:rFonts w:eastAsia="Arial" w:cs="Times New Roman"/>
          <w:b/>
          <w:bCs/>
          <w:sz w:val="22"/>
          <w:lang w:val="sr-Cyrl-RS"/>
        </w:rPr>
        <w:t>Закон</w:t>
      </w:r>
      <w:r w:rsidR="00BA52C1" w:rsidRPr="00EF2F18">
        <w:rPr>
          <w:rFonts w:eastAsia="Arial" w:cs="Times New Roman"/>
          <w:b/>
          <w:bCs/>
          <w:sz w:val="22"/>
          <w:lang w:val="sr-Cyrl-RS"/>
        </w:rPr>
        <w:t>ом</w:t>
      </w:r>
      <w:r w:rsidRPr="00EF2F18">
        <w:rPr>
          <w:rFonts w:eastAsia="Arial" w:cs="Times New Roman"/>
          <w:b/>
          <w:bCs/>
          <w:sz w:val="22"/>
          <w:lang w:val="sr-Cyrl-RS"/>
        </w:rPr>
        <w:t xml:space="preserve"> о стратешкој процени утицаја на животну средину </w:t>
      </w:r>
      <w:r w:rsidRPr="00EF2F18">
        <w:rPr>
          <w:rFonts w:cs="Times New Roman"/>
          <w:sz w:val="22"/>
          <w:lang w:val="sr-Cyrl-RS"/>
        </w:rPr>
        <w:t>(„Службени гласник РС”, бр</w:t>
      </w:r>
      <w:r w:rsidR="00E026F4" w:rsidRPr="00EF2F18">
        <w:rPr>
          <w:rFonts w:cs="Times New Roman"/>
          <w:sz w:val="22"/>
          <w:lang w:val="sr-Cyrl-RS"/>
        </w:rPr>
        <w:t>ој</w:t>
      </w:r>
      <w:r w:rsidRPr="00EF2F18">
        <w:rPr>
          <w:rFonts w:cs="Times New Roman"/>
          <w:sz w:val="22"/>
          <w:lang w:val="sr-Cyrl-RS"/>
        </w:rPr>
        <w:t xml:space="preserve"> </w:t>
      </w:r>
      <w:r w:rsidR="00BA52C1" w:rsidRPr="00EF2F18">
        <w:rPr>
          <w:rFonts w:eastAsia="Arial" w:cs="Times New Roman"/>
          <w:sz w:val="22"/>
          <w:lang w:val="sr-Cyrl-RS"/>
        </w:rPr>
        <w:t>94/24</w:t>
      </w:r>
      <w:r w:rsidRPr="00EF2F18">
        <w:rPr>
          <w:rFonts w:eastAsia="Arial" w:cs="Times New Roman"/>
          <w:sz w:val="22"/>
          <w:lang w:val="sr-Cyrl-RS"/>
        </w:rPr>
        <w:t>)</w:t>
      </w:r>
      <w:r w:rsidR="001301B7" w:rsidRPr="00EF2F18">
        <w:rPr>
          <w:rFonts w:eastAsia="Arial" w:cs="Times New Roman"/>
          <w:sz w:val="22"/>
          <w:lang w:val="sr-Cyrl-RS"/>
        </w:rPr>
        <w:t xml:space="preserve"> </w:t>
      </w:r>
      <w:r w:rsidR="00BA52C1" w:rsidRPr="00EF2F18">
        <w:rPr>
          <w:rFonts w:eastAsia="Arial" w:cs="Times New Roman"/>
          <w:sz w:val="22"/>
          <w:lang w:val="sr-Cyrl-RS"/>
        </w:rPr>
        <w:t>уређују се услови, начин и поступак вршења процене утицаја на животну средину, стратегија, програма и планова развоја, који се доносе у складу са законом којим се уређује плански систем, просторних и урбанистичких планова дефинисаних законом којим се уређује просторно и урбанистичко планирање, као и планова и основа који се доносе у складу са другим законима у поступку припреме и усвајања планова и програма.</w:t>
      </w:r>
    </w:p>
    <w:p w14:paraId="2451CA06" w14:textId="3B931275" w:rsidR="00D05BB0" w:rsidRPr="00EF2F18" w:rsidRDefault="00D05BB0" w:rsidP="00D05BB0">
      <w:pPr>
        <w:spacing w:after="0"/>
        <w:ind w:left="-15" w:right="-7" w:firstLine="735"/>
        <w:jc w:val="both"/>
        <w:rPr>
          <w:rFonts w:eastAsia="Arial" w:cs="Times New Roman"/>
          <w:sz w:val="22"/>
          <w:lang w:val="sr-Cyrl-RS"/>
        </w:rPr>
      </w:pPr>
      <w:r w:rsidRPr="00EF2F18">
        <w:rPr>
          <w:rFonts w:eastAsia="Arial" w:cs="Times New Roman"/>
          <w:b/>
          <w:bCs/>
          <w:sz w:val="22"/>
          <w:lang w:val="sr-Cyrl-RS"/>
        </w:rPr>
        <w:t>Закон</w:t>
      </w:r>
      <w:r w:rsidR="00E026F4" w:rsidRPr="00EF2F18">
        <w:rPr>
          <w:rFonts w:eastAsia="Arial" w:cs="Times New Roman"/>
          <w:b/>
          <w:bCs/>
          <w:sz w:val="22"/>
          <w:lang w:val="sr-Cyrl-RS"/>
        </w:rPr>
        <w:t>ом</w:t>
      </w:r>
      <w:r w:rsidRPr="00EF2F18">
        <w:rPr>
          <w:rFonts w:eastAsia="Arial" w:cs="Times New Roman"/>
          <w:b/>
          <w:bCs/>
          <w:sz w:val="22"/>
          <w:lang w:val="sr-Cyrl-RS"/>
        </w:rPr>
        <w:t xml:space="preserve"> о процени утицаја на животну средину </w:t>
      </w:r>
      <w:r w:rsidRPr="00EF2F18">
        <w:rPr>
          <w:rFonts w:cs="Times New Roman"/>
          <w:sz w:val="22"/>
          <w:lang w:val="sr-Cyrl-RS"/>
        </w:rPr>
        <w:t>(„Службени гласник РС”, бр</w:t>
      </w:r>
      <w:r w:rsidR="00E026F4" w:rsidRPr="00EF2F18">
        <w:rPr>
          <w:rFonts w:cs="Times New Roman"/>
          <w:sz w:val="22"/>
          <w:lang w:val="sr-Cyrl-RS"/>
        </w:rPr>
        <w:t>ој</w:t>
      </w:r>
      <w:r w:rsidRPr="00EF2F18">
        <w:rPr>
          <w:rFonts w:cs="Times New Roman"/>
          <w:sz w:val="22"/>
          <w:lang w:val="sr-Cyrl-RS"/>
        </w:rPr>
        <w:t xml:space="preserve"> </w:t>
      </w:r>
      <w:r w:rsidR="00E026F4" w:rsidRPr="00EF2F18">
        <w:rPr>
          <w:rFonts w:eastAsia="Arial" w:cs="Times New Roman"/>
          <w:sz w:val="22"/>
          <w:lang w:val="sr-Cyrl-RS"/>
        </w:rPr>
        <w:t>94</w:t>
      </w:r>
      <w:r w:rsidRPr="00EF2F18">
        <w:rPr>
          <w:rFonts w:eastAsia="Arial" w:cs="Times New Roman"/>
          <w:sz w:val="22"/>
          <w:lang w:val="sr-Cyrl-RS"/>
        </w:rPr>
        <w:t>/</w:t>
      </w:r>
      <w:r w:rsidR="00E026F4" w:rsidRPr="00EF2F18">
        <w:rPr>
          <w:rFonts w:eastAsia="Arial" w:cs="Times New Roman"/>
          <w:sz w:val="22"/>
          <w:lang w:val="sr-Cyrl-RS"/>
        </w:rPr>
        <w:t>24</w:t>
      </w:r>
      <w:r w:rsidRPr="00EF2F18">
        <w:rPr>
          <w:rFonts w:eastAsia="Arial" w:cs="Times New Roman"/>
          <w:sz w:val="22"/>
          <w:lang w:val="sr-Cyrl-RS"/>
        </w:rPr>
        <w:t xml:space="preserve">) </w:t>
      </w:r>
      <w:r w:rsidR="00E026F4" w:rsidRPr="00EF2F18">
        <w:rPr>
          <w:rFonts w:eastAsia="Arial" w:cs="Times New Roman"/>
          <w:sz w:val="22"/>
          <w:lang w:val="sr-Cyrl-RS"/>
        </w:rPr>
        <w:t>уређује се поступак процене утицаја за пројекте који могу да имају значајне утицаје на животну средину, садржај студије о процени утицаја на животну средину, учешће заинтересованих органа и организација и јавности, прекограничнe консултације за пројекте који могу да имају значајне утицаје на животну средину друге државе, надзор и друга питања од значаја за процену утицаја на животну средину.</w:t>
      </w:r>
    </w:p>
    <w:p w14:paraId="482CABD9" w14:textId="6669A695" w:rsidR="005300AD" w:rsidRPr="00EF2F18" w:rsidRDefault="005300AD" w:rsidP="00D05BB0">
      <w:pPr>
        <w:spacing w:after="0"/>
        <w:ind w:left="-15" w:right="-7" w:firstLine="735"/>
        <w:jc w:val="both"/>
        <w:rPr>
          <w:rFonts w:cs="Times New Roman"/>
          <w:sz w:val="22"/>
          <w:lang w:val="sr-Cyrl-RS"/>
        </w:rPr>
      </w:pPr>
      <w:r w:rsidRPr="00EF2F18">
        <w:rPr>
          <w:rFonts w:eastAsia="Calibri" w:cstheme="minorHAnsi"/>
          <w:b/>
          <w:sz w:val="22"/>
          <w:lang w:val="sr-Cyrl-RS"/>
        </w:rPr>
        <w:lastRenderedPageBreak/>
        <w:t>Закон о потврђивању Конвенције о доступности информација, учешћу јавности у доношењу одлука и праву на правну заштиту у питањима заштите животне средине</w:t>
      </w:r>
      <w:r w:rsidRPr="00EF2F18">
        <w:rPr>
          <w:rFonts w:eastAsia="Calibri" w:cstheme="minorHAnsi"/>
          <w:bCs/>
          <w:sz w:val="22"/>
          <w:lang w:val="sr-Cyrl-RS"/>
        </w:rPr>
        <w:t xml:space="preserve"> </w:t>
      </w:r>
      <w:r w:rsidRPr="00EF2F18">
        <w:rPr>
          <w:rFonts w:cs="Times New Roman"/>
          <w:sz w:val="22"/>
          <w:lang w:val="sr-Cyrl-RS"/>
        </w:rPr>
        <w:t>(,,Службени гласник РС</w:t>
      </w:r>
      <w:r w:rsidR="00AF43C0" w:rsidRPr="00EF2F18">
        <w:rPr>
          <w:rFonts w:cs="Times New Roman"/>
          <w:sz w:val="22"/>
          <w:lang w:val="sr-Cyrl-RS"/>
        </w:rPr>
        <w:t xml:space="preserve"> </w:t>
      </w:r>
      <w:hyperlink r:id="rId14" w:tgtFrame="_blank" w:history="1">
        <w:r w:rsidR="00AF43C0" w:rsidRPr="00EF2F18">
          <w:rPr>
            <w:rStyle w:val="Hyperlink"/>
            <w:rFonts w:cs="Times New Roman"/>
            <w:color w:val="auto"/>
            <w:sz w:val="22"/>
            <w:u w:val="none"/>
            <w:shd w:val="clear" w:color="auto" w:fill="FFFFFF"/>
            <w:lang w:val="sr-Cyrl-RS"/>
          </w:rPr>
          <w:t>– Међународни уговори</w:t>
        </w:r>
        <w:r w:rsidR="00A64280" w:rsidRPr="00EF2F18">
          <w:rPr>
            <w:rStyle w:val="Hyperlink"/>
            <w:rFonts w:cs="Times New Roman"/>
            <w:color w:val="auto"/>
            <w:sz w:val="22"/>
            <w:u w:val="none"/>
            <w:shd w:val="clear" w:color="auto" w:fill="FFFFFF"/>
            <w:lang w:val="sr-Cyrl-RS"/>
          </w:rPr>
          <w:t>”</w:t>
        </w:r>
        <w:r w:rsidR="00AF43C0" w:rsidRPr="00EF2F18">
          <w:rPr>
            <w:rStyle w:val="Hyperlink"/>
            <w:rFonts w:cs="Times New Roman"/>
            <w:color w:val="auto"/>
            <w:sz w:val="22"/>
            <w:u w:val="none"/>
            <w:shd w:val="clear" w:color="auto" w:fill="FFFFFF"/>
            <w:lang w:val="sr-Cyrl-RS"/>
          </w:rPr>
          <w:t>, број 38/09)</w:t>
        </w:r>
      </w:hyperlink>
      <w:r w:rsidR="00AF43C0" w:rsidRPr="00EF2F18">
        <w:rPr>
          <w:rFonts w:cs="Times New Roman"/>
          <w:sz w:val="22"/>
          <w:lang w:val="sr-Cyrl-RS"/>
        </w:rPr>
        <w:t xml:space="preserve"> потврђује текст Конвенције чији је циљ</w:t>
      </w:r>
      <w:r w:rsidR="00AF43C0" w:rsidRPr="00EF2F18">
        <w:rPr>
          <w:lang w:val="sr-Cyrl-RS"/>
        </w:rPr>
        <w:t xml:space="preserve"> </w:t>
      </w:r>
      <w:r w:rsidR="00AF43C0" w:rsidRPr="00EF2F18">
        <w:rPr>
          <w:rFonts w:cs="Times New Roman"/>
          <w:sz w:val="22"/>
          <w:lang w:val="sr-Cyrl-RS"/>
        </w:rPr>
        <w:t>допринос заштити права сваког појединца садашњих и будућих генерација на живот у животној средини адекватној његовој здрављу и благостању, а свака Страна ће гарантовати право на доступност информација, учешће јавности у доношењу одлука и права на правну заштиту у питањима животне средине, у складу са одредбама ове конвенције.</w:t>
      </w:r>
    </w:p>
    <w:p w14:paraId="008026F4" w14:textId="77777777" w:rsidR="00296C31" w:rsidRPr="00EF2F18" w:rsidRDefault="00296C31" w:rsidP="008A539E">
      <w:pPr>
        <w:spacing w:after="0"/>
        <w:ind w:left="-15" w:right="-7" w:firstLine="735"/>
        <w:jc w:val="both"/>
        <w:rPr>
          <w:rFonts w:cs="Times New Roman"/>
          <w:sz w:val="22"/>
          <w:lang w:val="sr-Cyrl-RS"/>
        </w:rPr>
      </w:pPr>
      <w:r w:rsidRPr="00EF2F18">
        <w:rPr>
          <w:rFonts w:cs="Times New Roman"/>
          <w:b/>
          <w:sz w:val="22"/>
          <w:lang w:val="sr-Cyrl-RS"/>
        </w:rPr>
        <w:t xml:space="preserve">Закон о климатским променама </w:t>
      </w:r>
      <w:r w:rsidRPr="00EF2F18">
        <w:rPr>
          <w:rFonts w:cs="Times New Roman"/>
          <w:sz w:val="22"/>
          <w:lang w:val="sr-Cyrl-RS"/>
        </w:rPr>
        <w:t>(,,Службени гласник РС”, број 26/21)</w:t>
      </w:r>
      <w:r w:rsidRPr="00EF2F18">
        <w:rPr>
          <w:rFonts w:eastAsia="Calibri" w:cs="Times New Roman"/>
          <w:sz w:val="22"/>
          <w:lang w:val="sr-Cyrl-RS"/>
        </w:rPr>
        <w:t xml:space="preserve"> </w:t>
      </w:r>
      <w:r w:rsidRPr="00EF2F18">
        <w:rPr>
          <w:rFonts w:cs="Times New Roman"/>
          <w:sz w:val="22"/>
          <w:lang w:val="sr-Cyrl-RS"/>
        </w:rPr>
        <w:t>пружа основу за ефикасан и транспарентан систем за мониторинг, извештавање и верификацију (МRV систем), који ће пружити детаљне информације о напретку у испуњавању домаћих и међународних обавеза и осигурати праћење постизања национално утврђеног доприноса.</w:t>
      </w:r>
      <w:r w:rsidRPr="00EF2F18">
        <w:rPr>
          <w:rFonts w:eastAsia="Calibri" w:cs="Times New Roman"/>
          <w:sz w:val="22"/>
          <w:lang w:val="sr-Cyrl-RS"/>
        </w:rPr>
        <w:t xml:space="preserve"> </w:t>
      </w:r>
      <w:r w:rsidRPr="00EF2F18">
        <w:rPr>
          <w:rFonts w:cs="Times New Roman"/>
          <w:sz w:val="22"/>
          <w:lang w:val="sr-Cyrl-RS"/>
        </w:rPr>
        <w:t>Циљ овог закона је успостављање система за смањење емисија гасова са ефектом стаклене баште (</w:t>
      </w:r>
      <w:r w:rsidRPr="00EF2F18">
        <w:rPr>
          <w:rFonts w:cs="Times New Roman"/>
          <w:i/>
          <w:iCs/>
          <w:sz w:val="22"/>
          <w:lang w:val="sr-Cyrl-RS"/>
        </w:rPr>
        <w:t>GHG</w:t>
      </w:r>
      <w:r w:rsidRPr="00EF2F18">
        <w:rPr>
          <w:rFonts w:cs="Times New Roman"/>
          <w:sz w:val="22"/>
          <w:lang w:val="sr-Cyrl-RS"/>
        </w:rPr>
        <w:t xml:space="preserve">) на исплатив и економски ефикасан начин, како би се избегло погоршање промене климе на глобалном нивоу и неповољни утицаји тих промена. Такође, циљ овог закона је и смањење емисија </w:t>
      </w:r>
      <w:r w:rsidRPr="00EF2F18">
        <w:rPr>
          <w:rFonts w:cs="Times New Roman"/>
          <w:i/>
          <w:iCs/>
          <w:sz w:val="22"/>
          <w:lang w:val="sr-Cyrl-RS"/>
        </w:rPr>
        <w:t>GHG</w:t>
      </w:r>
      <w:r w:rsidRPr="00EF2F18">
        <w:rPr>
          <w:rFonts w:cs="Times New Roman"/>
          <w:sz w:val="22"/>
          <w:lang w:val="sr-Cyrl-RS"/>
        </w:rPr>
        <w:t xml:space="preserve"> и прилагођавање на измењене климатске услове путем усвајања и спровођења релевантних докумената јавних политика. </w:t>
      </w:r>
    </w:p>
    <w:p w14:paraId="2898051B" w14:textId="7E28A1A7" w:rsidR="00296C31" w:rsidRPr="00EF2F18" w:rsidRDefault="00296C31" w:rsidP="008A539E">
      <w:pPr>
        <w:spacing w:after="0"/>
        <w:ind w:left="-15" w:right="-7" w:firstLine="735"/>
        <w:jc w:val="both"/>
        <w:rPr>
          <w:rStyle w:val="Hyperlink"/>
          <w:rFonts w:cs="Times New Roman"/>
          <w:color w:val="auto"/>
          <w:sz w:val="22"/>
          <w:u w:val="none"/>
          <w:shd w:val="clear" w:color="auto" w:fill="FFFFFF"/>
          <w:lang w:val="sr-Cyrl-RS"/>
        </w:rPr>
      </w:pPr>
      <w:r w:rsidRPr="00EF2F18">
        <w:rPr>
          <w:rFonts w:cs="Times New Roman"/>
          <w:b/>
          <w:sz w:val="22"/>
          <w:lang w:val="sr-Cyrl-RS"/>
        </w:rPr>
        <w:t xml:space="preserve">Закон о потврђивању споразума из Париза </w:t>
      </w:r>
      <w:r w:rsidR="008A539E" w:rsidRPr="00EF2F18">
        <w:rPr>
          <w:rFonts w:cs="Times New Roman"/>
          <w:sz w:val="22"/>
          <w:lang w:val="sr-Cyrl-RS"/>
        </w:rPr>
        <w:t xml:space="preserve">(,,Службени гласник РС </w:t>
      </w:r>
      <w:hyperlink r:id="rId15" w:tgtFrame="_blank" w:history="1">
        <w:r w:rsidR="008A539E" w:rsidRPr="00EF2F18">
          <w:rPr>
            <w:rStyle w:val="Hyperlink"/>
            <w:rFonts w:cs="Times New Roman"/>
            <w:color w:val="auto"/>
            <w:sz w:val="22"/>
            <w:u w:val="none"/>
            <w:shd w:val="clear" w:color="auto" w:fill="FFFFFF"/>
            <w:lang w:val="sr-Cyrl-RS"/>
          </w:rPr>
          <w:t>– Међународни уговори</w:t>
        </w:r>
        <w:r w:rsidR="00A64280" w:rsidRPr="00EF2F18">
          <w:rPr>
            <w:rStyle w:val="Hyperlink"/>
            <w:rFonts w:cs="Times New Roman"/>
            <w:color w:val="auto"/>
            <w:sz w:val="22"/>
            <w:u w:val="none"/>
            <w:shd w:val="clear" w:color="auto" w:fill="FFFFFF"/>
            <w:lang w:val="sr-Cyrl-RS"/>
          </w:rPr>
          <w:t>”</w:t>
        </w:r>
        <w:r w:rsidR="008A539E" w:rsidRPr="00EF2F18">
          <w:rPr>
            <w:rStyle w:val="Hyperlink"/>
            <w:rFonts w:cs="Times New Roman"/>
            <w:color w:val="auto"/>
            <w:sz w:val="22"/>
            <w:u w:val="none"/>
            <w:shd w:val="clear" w:color="auto" w:fill="FFFFFF"/>
            <w:lang w:val="sr-Cyrl-RS"/>
          </w:rPr>
          <w:t>, број 4/17)</w:t>
        </w:r>
      </w:hyperlink>
      <w:r w:rsidR="008A539E" w:rsidRPr="00EF2F18">
        <w:rPr>
          <w:rStyle w:val="Hyperlink"/>
          <w:rFonts w:cs="Times New Roman"/>
          <w:color w:val="auto"/>
          <w:sz w:val="22"/>
          <w:u w:val="none"/>
          <w:shd w:val="clear" w:color="auto" w:fill="FFFFFF"/>
          <w:lang w:val="sr-Cyrl-RS"/>
        </w:rPr>
        <w:t xml:space="preserve"> потврђује текст Споразума којим се настоји да се </w:t>
      </w:r>
      <w:r w:rsidR="008A539E" w:rsidRPr="00EF2F18">
        <w:rPr>
          <w:rFonts w:cs="Times New Roman"/>
          <w:sz w:val="22"/>
          <w:lang w:val="sr-Cyrl-RS"/>
        </w:rPr>
        <w:t>оснажи глобални одговор на претње изазване климатским променама, уважавајући одрживи развој и напоре на искорењавању сиромаштва, како би се унапредило спровођење Конвенције и постизање њеног циља, укључујући:</w:t>
      </w:r>
    </w:p>
    <w:p w14:paraId="4A145472" w14:textId="58FD80E9" w:rsidR="008A539E" w:rsidRPr="00EF2F18" w:rsidRDefault="001301B7" w:rsidP="008A539E">
      <w:pPr>
        <w:pStyle w:val="NormalWeb"/>
        <w:shd w:val="clear" w:color="auto" w:fill="FFFFFF"/>
        <w:spacing w:before="0" w:beforeAutospacing="0" w:after="0" w:afterAutospacing="0"/>
        <w:ind w:firstLine="480"/>
        <w:jc w:val="both"/>
        <w:rPr>
          <w:sz w:val="22"/>
          <w:szCs w:val="22"/>
          <w:lang w:val="sr-Cyrl-RS"/>
        </w:rPr>
      </w:pPr>
      <w:r w:rsidRPr="00EF2F18">
        <w:rPr>
          <w:sz w:val="22"/>
          <w:szCs w:val="22"/>
          <w:lang w:val="sr-Cyrl-RS"/>
        </w:rPr>
        <w:t>1</w:t>
      </w:r>
      <w:r w:rsidR="008A539E" w:rsidRPr="00EF2F18">
        <w:rPr>
          <w:sz w:val="22"/>
          <w:szCs w:val="22"/>
          <w:lang w:val="sr-Cyrl-RS"/>
        </w:rPr>
        <w:t>) Ограничење раста просечне глобалне температуре значајно испод 2 °С у односу на прединдустријски ниво и наставак напора да се ограничи раст температуре до 1,5 °С у односу на прединдустријски ниво, увиђајући да би то значајно смањило ризике и утицаје климатских промена;</w:t>
      </w:r>
    </w:p>
    <w:p w14:paraId="08F86C4A" w14:textId="45CB3770" w:rsidR="008A539E" w:rsidRPr="00EF2F18" w:rsidRDefault="001301B7" w:rsidP="008A539E">
      <w:pPr>
        <w:pStyle w:val="NormalWeb"/>
        <w:shd w:val="clear" w:color="auto" w:fill="FFFFFF"/>
        <w:spacing w:before="0" w:beforeAutospacing="0" w:after="0" w:afterAutospacing="0"/>
        <w:ind w:firstLine="480"/>
        <w:jc w:val="both"/>
        <w:rPr>
          <w:sz w:val="22"/>
          <w:szCs w:val="22"/>
          <w:lang w:val="sr-Cyrl-RS"/>
        </w:rPr>
      </w:pPr>
      <w:r w:rsidRPr="00EF2F18">
        <w:rPr>
          <w:sz w:val="22"/>
          <w:szCs w:val="22"/>
          <w:lang w:val="sr-Cyrl-RS"/>
        </w:rPr>
        <w:t>2</w:t>
      </w:r>
      <w:r w:rsidR="008A539E" w:rsidRPr="00EF2F18">
        <w:rPr>
          <w:sz w:val="22"/>
          <w:szCs w:val="22"/>
          <w:lang w:val="sr-Cyrl-RS"/>
        </w:rPr>
        <w:t>) Повећање способности прилагођавања на негативне утицаје и јачање отпорности на климатске промене и развој праћен ниским емисијама гасова са ефектом стаклене баште, на начин који не угрожава производњу хране;</w:t>
      </w:r>
    </w:p>
    <w:p w14:paraId="3D5F0250" w14:textId="50570709" w:rsidR="008A539E" w:rsidRPr="00EF2F18" w:rsidRDefault="001301B7" w:rsidP="008A539E">
      <w:pPr>
        <w:pStyle w:val="NormalWeb"/>
        <w:shd w:val="clear" w:color="auto" w:fill="FFFFFF"/>
        <w:spacing w:before="0" w:beforeAutospacing="0" w:after="0" w:afterAutospacing="0"/>
        <w:ind w:firstLine="480"/>
        <w:jc w:val="both"/>
        <w:rPr>
          <w:sz w:val="22"/>
          <w:szCs w:val="22"/>
          <w:lang w:val="sr-Cyrl-RS"/>
        </w:rPr>
      </w:pPr>
      <w:r w:rsidRPr="00EF2F18">
        <w:rPr>
          <w:sz w:val="22"/>
          <w:szCs w:val="22"/>
          <w:lang w:val="sr-Cyrl-RS"/>
        </w:rPr>
        <w:t>3</w:t>
      </w:r>
      <w:r w:rsidR="008A539E" w:rsidRPr="00EF2F18">
        <w:rPr>
          <w:sz w:val="22"/>
          <w:szCs w:val="22"/>
          <w:lang w:val="sr-Cyrl-RS"/>
        </w:rPr>
        <w:t>) Усклађивање финансијских токова са потребама развоја праћеног ниским емисијама гасова са ефектом стаклене баште и ојачаном отпорности на климатске промене.</w:t>
      </w:r>
    </w:p>
    <w:p w14:paraId="00E89015" w14:textId="11DD9D23" w:rsidR="008A539E" w:rsidRPr="00EF2F18" w:rsidRDefault="008A539E" w:rsidP="008A539E">
      <w:pPr>
        <w:pStyle w:val="NormalWeb"/>
        <w:shd w:val="clear" w:color="auto" w:fill="FFFFFF"/>
        <w:spacing w:before="0" w:beforeAutospacing="0" w:after="0" w:afterAutospacing="0"/>
        <w:ind w:firstLine="480"/>
        <w:jc w:val="both"/>
        <w:rPr>
          <w:sz w:val="22"/>
          <w:szCs w:val="22"/>
          <w:lang w:val="sr-Cyrl-RS"/>
        </w:rPr>
      </w:pPr>
      <w:r w:rsidRPr="00EF2F18">
        <w:rPr>
          <w:sz w:val="22"/>
          <w:szCs w:val="22"/>
          <w:lang w:val="sr-Cyrl-RS"/>
        </w:rPr>
        <w:t>Овај споразум ће се спроводити тако да одражава једнакост и принцип заједничке али диференциране одговорности и одговарајућих могућности, уважавајући појединачне националне околности.</w:t>
      </w:r>
    </w:p>
    <w:p w14:paraId="3098FBB7" w14:textId="0CA4C365" w:rsidR="00466CC0" w:rsidRPr="00EF2F18" w:rsidRDefault="00D05BB0" w:rsidP="00C64384">
      <w:pPr>
        <w:spacing w:after="0"/>
        <w:ind w:left="-15" w:right="-7" w:firstLine="735"/>
        <w:jc w:val="both"/>
        <w:rPr>
          <w:rFonts w:cs="Times New Roman"/>
          <w:sz w:val="22"/>
          <w:lang w:val="sr-Cyrl-RS"/>
        </w:rPr>
      </w:pPr>
      <w:r w:rsidRPr="00EF2F18">
        <w:rPr>
          <w:rFonts w:cs="Times New Roman"/>
          <w:b/>
          <w:sz w:val="22"/>
          <w:lang w:val="sr-Cyrl-RS"/>
        </w:rPr>
        <w:t>Законом о енергетици</w:t>
      </w:r>
      <w:r w:rsidRPr="00EF2F18">
        <w:rPr>
          <w:rFonts w:cs="Times New Roman"/>
          <w:sz w:val="22"/>
          <w:lang w:val="sr-Cyrl-RS"/>
        </w:rPr>
        <w:t xml:space="preserve"> </w:t>
      </w:r>
      <w:r w:rsidR="008765A6" w:rsidRPr="00EF2F18">
        <w:rPr>
          <w:rFonts w:cs="Times New Roman"/>
          <w:bCs/>
          <w:sz w:val="22"/>
          <w:lang w:val="sr-Cyrl-RS"/>
        </w:rPr>
        <w:t>(„Службени гласник PC”,</w:t>
      </w:r>
      <w:r w:rsidR="008765A6" w:rsidRPr="00EF2F18">
        <w:rPr>
          <w:rFonts w:cs="Times New Roman"/>
          <w:sz w:val="22"/>
          <w:lang w:val="sr-Cyrl-RS"/>
        </w:rPr>
        <w:t xml:space="preserve"> бр. 145/14, 95/18 – др. закон, 40/21, 35/23 – др. закон, 62/23, 94/24, 109/25 – др. закон, 109/25 – др. закон и 109/25 – др. закон)</w:t>
      </w:r>
      <w:r w:rsidRPr="00EF2F18">
        <w:rPr>
          <w:rFonts w:cs="Times New Roman"/>
          <w:sz w:val="22"/>
          <w:lang w:val="sr-Cyrl-RS"/>
        </w:rPr>
        <w:t xml:space="preserve"> утврђени су дугорочни циљеви енергет</w:t>
      </w:r>
      <w:r w:rsidR="00502F75" w:rsidRPr="00EF2F18">
        <w:rPr>
          <w:rFonts w:cs="Times New Roman"/>
          <w:sz w:val="22"/>
          <w:lang w:val="sr-Cyrl-RS"/>
        </w:rPr>
        <w:t>ске политике</w:t>
      </w:r>
      <w:r w:rsidR="00E54516" w:rsidRPr="00EF2F18">
        <w:rPr>
          <w:rFonts w:cs="Times New Roman"/>
          <w:sz w:val="22"/>
          <w:lang w:val="sr-Cyrl-RS"/>
        </w:rPr>
        <w:t>,</w:t>
      </w:r>
      <w:r w:rsidR="00502F75" w:rsidRPr="00EF2F18">
        <w:rPr>
          <w:rFonts w:cs="Times New Roman"/>
          <w:sz w:val="22"/>
          <w:lang w:val="sr-Cyrl-RS"/>
        </w:rPr>
        <w:t xml:space="preserve"> и то: 1) поуздано, сигурно и квалитетно снабдевање енергијом и енергентима; 2) адекватни ниво производње електричне енергије и капацитета преносног система; 3) стварање услова за поуздан и безбедан рад и одрживи развој енергетских система; 4) конкурентност на тржишту енергије на начелима недискриминације, јавности и транспарентности;</w:t>
      </w:r>
      <w:r w:rsidR="005C2495" w:rsidRPr="00EF2F18">
        <w:rPr>
          <w:rFonts w:cs="Times New Roman"/>
          <w:sz w:val="22"/>
          <w:lang w:val="sr-Cyrl-RS"/>
        </w:rPr>
        <w:t xml:space="preserve"> </w:t>
      </w:r>
      <w:r w:rsidR="00502F75" w:rsidRPr="00EF2F18">
        <w:rPr>
          <w:rFonts w:cs="Times New Roman"/>
          <w:sz w:val="22"/>
          <w:lang w:val="sr-Cyrl-RS"/>
        </w:rPr>
        <w:t>5) обезбеђивањ</w:t>
      </w:r>
      <w:r w:rsidR="005C2495" w:rsidRPr="00EF2F18">
        <w:rPr>
          <w:rFonts w:cs="Times New Roman"/>
          <w:sz w:val="22"/>
          <w:lang w:val="sr-Cyrl-RS"/>
        </w:rPr>
        <w:t>е</w:t>
      </w:r>
      <w:r w:rsidR="00502F75" w:rsidRPr="00EF2F18">
        <w:rPr>
          <w:rFonts w:cs="Times New Roman"/>
          <w:sz w:val="22"/>
          <w:lang w:val="sr-Cyrl-RS"/>
        </w:rPr>
        <w:t xml:space="preserve"> услова за унапређење енергетске ефикасности у обављању енергетских делатности и потрошњи енергије;</w:t>
      </w:r>
      <w:r w:rsidR="005C2495" w:rsidRPr="00EF2F18">
        <w:rPr>
          <w:rFonts w:cs="Times New Roman"/>
          <w:sz w:val="22"/>
          <w:lang w:val="sr-Cyrl-RS"/>
        </w:rPr>
        <w:t xml:space="preserve"> </w:t>
      </w:r>
      <w:r w:rsidR="00466CC0" w:rsidRPr="00EF2F18">
        <w:rPr>
          <w:rFonts w:cs="Times New Roman"/>
          <w:sz w:val="22"/>
          <w:lang w:val="sr-Cyrl-RS"/>
        </w:rPr>
        <w:t>6) стварање економских, привредних и финансијских услова за производњу енергије из обновљивих извора енергије и комбиновану производњу електричне и топлотне енергије; 7) стварање регулаторних, економских и привредних услова за унапређење ефикасности у управљању електроенергетским системима; 8) стварање услова за коришћење нових извора енергије; 9) разноврсности у производњи електричне енергије; 10) унапређење заштите животне средине у свим областима енергетских делатности; 11) стварање услова за инвестирање у енергетику; 12) заштите купаца енергије и енергената; 13) повезивање енергетског система Републике Србије са енергетским системима других држава; 14) развој тржишта електричне енергије и природног гаса и њиховог повезивања са регион</w:t>
      </w:r>
      <w:r w:rsidR="00C64384">
        <w:rPr>
          <w:rFonts w:cs="Times New Roman"/>
          <w:sz w:val="22"/>
          <w:lang w:val="sr-Cyrl-RS"/>
        </w:rPr>
        <w:t>алним и пан-европским тржиштем.</w:t>
      </w:r>
    </w:p>
    <w:p w14:paraId="31FA03EC" w14:textId="6BB4A870" w:rsidR="004642B8" w:rsidRPr="00EF2F18" w:rsidRDefault="004642B8" w:rsidP="004642B8">
      <w:pPr>
        <w:spacing w:after="0"/>
        <w:ind w:left="-15" w:right="-7" w:firstLine="735"/>
        <w:jc w:val="both"/>
        <w:rPr>
          <w:rFonts w:cs="Times New Roman"/>
          <w:sz w:val="22"/>
          <w:lang w:val="sr-Cyrl-RS"/>
        </w:rPr>
      </w:pPr>
      <w:r w:rsidRPr="00EF2F18">
        <w:rPr>
          <w:rFonts w:cs="Times New Roman"/>
          <w:b/>
          <w:sz w:val="22"/>
          <w:lang w:val="sr-Cyrl-RS"/>
        </w:rPr>
        <w:t xml:space="preserve">Закон о коришћењу обновљивих извора енергије </w:t>
      </w:r>
      <w:r w:rsidRPr="00EF2F18">
        <w:rPr>
          <w:rFonts w:cs="Times New Roman"/>
          <w:sz w:val="22"/>
          <w:lang w:val="sr-Cyrl-RS"/>
        </w:rPr>
        <w:t>(,,Службени гласник РС”, бр</w:t>
      </w:r>
      <w:r w:rsidR="00B612A0" w:rsidRPr="00EF2F18">
        <w:rPr>
          <w:rFonts w:cs="Times New Roman"/>
          <w:sz w:val="22"/>
          <w:lang w:val="sr-Cyrl-RS"/>
        </w:rPr>
        <w:t>.</w:t>
      </w:r>
      <w:r w:rsidRPr="00EF2F18">
        <w:rPr>
          <w:rFonts w:cs="Times New Roman"/>
          <w:sz w:val="22"/>
          <w:lang w:val="sr-Cyrl-RS"/>
        </w:rPr>
        <w:t xml:space="preserve"> 40/21</w:t>
      </w:r>
      <w:r w:rsidR="00F41D40" w:rsidRPr="00EF2F18">
        <w:rPr>
          <w:rFonts w:cs="Times New Roman"/>
          <w:sz w:val="22"/>
          <w:lang w:val="sr-Cyrl-RS"/>
        </w:rPr>
        <w:t xml:space="preserve">, </w:t>
      </w:r>
      <w:r w:rsidR="00B612A0" w:rsidRPr="00EF2F18">
        <w:rPr>
          <w:rFonts w:cs="Times New Roman"/>
          <w:sz w:val="22"/>
          <w:lang w:val="sr-Cyrl-RS"/>
        </w:rPr>
        <w:t>35/23</w:t>
      </w:r>
      <w:r w:rsidR="00F41D40" w:rsidRPr="00EF2F18">
        <w:rPr>
          <w:rFonts w:cs="Times New Roman"/>
          <w:sz w:val="22"/>
          <w:lang w:val="sr-Cyrl-RS"/>
        </w:rPr>
        <w:t xml:space="preserve"> и </w:t>
      </w:r>
      <w:r w:rsidR="00F41D40" w:rsidRPr="00EF2F18">
        <w:rPr>
          <w:rFonts w:cs="Times New Roman"/>
          <w:sz w:val="22"/>
          <w:shd w:val="clear" w:color="auto" w:fill="FFFFFF"/>
          <w:lang w:val="sr-Cyrl-RS"/>
        </w:rPr>
        <w:t xml:space="preserve">94/24 </w:t>
      </w:r>
      <w:r w:rsidR="008765A6" w:rsidRPr="00EF2F18">
        <w:rPr>
          <w:rFonts w:cs="Times New Roman"/>
          <w:sz w:val="22"/>
          <w:shd w:val="clear" w:color="auto" w:fill="FFFFFF"/>
          <w:lang w:val="sr-Cyrl-RS"/>
        </w:rPr>
        <w:t>–</w:t>
      </w:r>
      <w:r w:rsidR="00F41D40" w:rsidRPr="00EF2F18">
        <w:rPr>
          <w:rFonts w:cs="Times New Roman"/>
          <w:sz w:val="22"/>
          <w:shd w:val="clear" w:color="auto" w:fill="FFFFFF"/>
          <w:lang w:val="sr-Cyrl-RS"/>
        </w:rPr>
        <w:t> др. закон</w:t>
      </w:r>
      <w:r w:rsidRPr="00EF2F18">
        <w:rPr>
          <w:rFonts w:cs="Times New Roman"/>
          <w:sz w:val="22"/>
          <w:lang w:val="sr-Cyrl-RS"/>
        </w:rPr>
        <w:t xml:space="preserve">) уређује коришћење енергије </w:t>
      </w:r>
      <w:r w:rsidR="004A55D4" w:rsidRPr="00EF2F18">
        <w:rPr>
          <w:rFonts w:cs="Times New Roman"/>
          <w:sz w:val="22"/>
          <w:lang w:val="sr-Cyrl-RS"/>
        </w:rPr>
        <w:t xml:space="preserve">из обновљивих извора </w:t>
      </w:r>
      <w:r w:rsidRPr="00EF2F18">
        <w:rPr>
          <w:rFonts w:cs="Times New Roman"/>
          <w:sz w:val="22"/>
          <w:lang w:val="sr-Cyrl-RS"/>
        </w:rPr>
        <w:t>и дефиниш</w:t>
      </w:r>
      <w:r w:rsidR="00C46C66" w:rsidRPr="00EF2F18">
        <w:rPr>
          <w:rFonts w:cs="Times New Roman"/>
          <w:sz w:val="22"/>
          <w:lang w:val="sr-Cyrl-RS"/>
        </w:rPr>
        <w:t>е</w:t>
      </w:r>
      <w:r w:rsidRPr="00EF2F18">
        <w:rPr>
          <w:rFonts w:cs="Times New Roman"/>
          <w:sz w:val="22"/>
          <w:lang w:val="sr-Cyrl-RS"/>
        </w:rPr>
        <w:t xml:space="preserve"> циљев</w:t>
      </w:r>
      <w:r w:rsidR="00C46C66" w:rsidRPr="00EF2F18">
        <w:rPr>
          <w:rFonts w:cs="Times New Roman"/>
          <w:sz w:val="22"/>
          <w:lang w:val="sr-Cyrl-RS"/>
        </w:rPr>
        <w:t>е</w:t>
      </w:r>
      <w:r w:rsidRPr="00EF2F18">
        <w:rPr>
          <w:rFonts w:cs="Times New Roman"/>
          <w:sz w:val="22"/>
          <w:lang w:val="sr-Cyrl-RS"/>
        </w:rPr>
        <w:t>, начин одређивања удела обновљивих извора енергије Републике Србије у бруто финалној потрошњи енергије, интеграциј</w:t>
      </w:r>
      <w:r w:rsidR="007C3D90" w:rsidRPr="00EF2F18">
        <w:rPr>
          <w:rFonts w:cs="Times New Roman"/>
          <w:sz w:val="22"/>
          <w:lang w:val="sr-Cyrl-RS"/>
        </w:rPr>
        <w:t>е</w:t>
      </w:r>
      <w:r w:rsidRPr="00EF2F18">
        <w:rPr>
          <w:rFonts w:cs="Times New Roman"/>
          <w:sz w:val="22"/>
          <w:lang w:val="sr-Cyrl-RS"/>
        </w:rPr>
        <w:t xml:space="preserve"> енергије из обновљивих извора на тржиште, систем</w:t>
      </w:r>
      <w:r w:rsidR="007C3D90" w:rsidRPr="00EF2F18">
        <w:rPr>
          <w:rFonts w:cs="Times New Roman"/>
          <w:sz w:val="22"/>
          <w:lang w:val="sr-Cyrl-RS"/>
        </w:rPr>
        <w:t>е</w:t>
      </w:r>
      <w:r w:rsidRPr="00EF2F18">
        <w:rPr>
          <w:rFonts w:cs="Times New Roman"/>
          <w:sz w:val="22"/>
          <w:lang w:val="sr-Cyrl-RS"/>
        </w:rPr>
        <w:t xml:space="preserve"> подстицаја производње електричне енергије из обновљивих извора итд. </w:t>
      </w:r>
    </w:p>
    <w:p w14:paraId="5F75558A" w14:textId="0893ACF1" w:rsidR="004642B8" w:rsidRPr="00EF2F18" w:rsidRDefault="004642B8" w:rsidP="004642B8">
      <w:pPr>
        <w:spacing w:after="0"/>
        <w:ind w:left="-15" w:right="-7" w:firstLine="735"/>
        <w:jc w:val="both"/>
        <w:rPr>
          <w:rFonts w:cs="Times New Roman"/>
          <w:sz w:val="22"/>
          <w:lang w:val="sr-Cyrl-RS"/>
        </w:rPr>
      </w:pPr>
      <w:r w:rsidRPr="00EF2F18">
        <w:rPr>
          <w:rFonts w:cs="Times New Roman"/>
          <w:b/>
          <w:sz w:val="22"/>
          <w:lang w:val="sr-Cyrl-RS"/>
        </w:rPr>
        <w:lastRenderedPageBreak/>
        <w:t>Законом о енергетској ефикасности и рационалној употреби енергије</w:t>
      </w:r>
      <w:r w:rsidRPr="00EF2F18">
        <w:rPr>
          <w:rFonts w:cs="Times New Roman"/>
          <w:sz w:val="22"/>
          <w:lang w:val="sr-Cyrl-RS"/>
        </w:rPr>
        <w:t xml:space="preserve"> (,,Службени гласник РС”, број 40/21) уређују се услови и начин ефикасног коришћења енергије и енергената</w:t>
      </w:r>
      <w:r w:rsidR="004A55D4" w:rsidRPr="00EF2F18">
        <w:rPr>
          <w:rFonts w:cs="Times New Roman"/>
          <w:sz w:val="22"/>
          <w:lang w:val="sr-Cyrl-RS"/>
        </w:rPr>
        <w:t>;</w:t>
      </w:r>
      <w:r w:rsidRPr="00EF2F18">
        <w:rPr>
          <w:rFonts w:cs="Times New Roman"/>
          <w:sz w:val="22"/>
          <w:lang w:val="sr-Cyrl-RS"/>
        </w:rPr>
        <w:t xml:space="preserve"> политика ефикасног коришћења енергије; систем енергетског менаџмента; мере политике енергетске ефикасности; енергетско означавање и захтеви у погледу еко-дизајна; финансирање, подстицајне и друге мере, као и друга питања од значаја у вези са ефикасним коришћењем енергије. </w:t>
      </w:r>
    </w:p>
    <w:p w14:paraId="3D78181F" w14:textId="77777777" w:rsidR="00D06B6B" w:rsidRPr="00EF2F18" w:rsidRDefault="003B2D5E" w:rsidP="004642B8">
      <w:pPr>
        <w:spacing w:after="0"/>
        <w:ind w:left="-15" w:right="-7" w:firstLine="735"/>
        <w:jc w:val="both"/>
        <w:rPr>
          <w:rFonts w:cs="Times New Roman"/>
          <w:sz w:val="22"/>
          <w:lang w:val="sr-Cyrl-RS"/>
        </w:rPr>
      </w:pPr>
      <w:r w:rsidRPr="00EF2F18">
        <w:rPr>
          <w:rFonts w:cs="Times New Roman"/>
          <w:b/>
          <w:bCs/>
          <w:sz w:val="22"/>
          <w:lang w:val="sr-Cyrl-RS"/>
        </w:rPr>
        <w:t>Закон</w:t>
      </w:r>
      <w:r w:rsidR="00210BAB" w:rsidRPr="00EF2F18">
        <w:rPr>
          <w:rFonts w:cs="Times New Roman"/>
          <w:b/>
          <w:bCs/>
          <w:sz w:val="22"/>
          <w:lang w:val="sr-Cyrl-RS"/>
        </w:rPr>
        <w:t>ом</w:t>
      </w:r>
      <w:r w:rsidRPr="00EF2F18">
        <w:rPr>
          <w:rFonts w:cs="Times New Roman"/>
          <w:b/>
          <w:bCs/>
          <w:sz w:val="22"/>
          <w:lang w:val="sr-Cyrl-RS"/>
        </w:rPr>
        <w:t xml:space="preserve"> о ратификацији Уговора о оснивању Енергетске заједнице</w:t>
      </w:r>
      <w:r w:rsidR="00A0310C" w:rsidRPr="00EF2F18">
        <w:rPr>
          <w:rFonts w:cs="Times New Roman"/>
          <w:b/>
          <w:bCs/>
          <w:sz w:val="22"/>
          <w:lang w:val="sr-Cyrl-RS"/>
        </w:rPr>
        <w:t xml:space="preserve"> </w:t>
      </w:r>
      <w:r w:rsidR="00A0310C" w:rsidRPr="00EF2F18">
        <w:rPr>
          <w:rFonts w:cs="Times New Roman"/>
          <w:sz w:val="22"/>
          <w:lang w:val="sr-Cyrl-RS"/>
        </w:rPr>
        <w:t>(„Службени гласник РС”, број 62/06)</w:t>
      </w:r>
      <w:r w:rsidRPr="00EF2F18">
        <w:rPr>
          <w:rFonts w:cs="Times New Roman"/>
          <w:sz w:val="22"/>
          <w:lang w:val="sr-Cyrl-RS"/>
        </w:rPr>
        <w:t xml:space="preserve"> </w:t>
      </w:r>
      <w:r w:rsidR="00210BAB" w:rsidRPr="00EF2F18">
        <w:rPr>
          <w:rFonts w:cs="Times New Roman"/>
          <w:sz w:val="22"/>
          <w:lang w:val="sr-Cyrl-RS"/>
        </w:rPr>
        <w:t xml:space="preserve">потврђен је Уговор </w:t>
      </w:r>
      <w:r w:rsidRPr="00EF2F18">
        <w:rPr>
          <w:rFonts w:cs="Times New Roman"/>
          <w:sz w:val="22"/>
          <w:lang w:val="sr-Cyrl-RS"/>
        </w:rPr>
        <w:t>о оснивању Енергетске заједнице, и обавезе које из Уговора проистичу, заједно са релевантним пратећим одлукама Министарског савета (које имају снагу амандмана на уговор)</w:t>
      </w:r>
      <w:r w:rsidR="00210BAB" w:rsidRPr="00EF2F18">
        <w:rPr>
          <w:rFonts w:cs="Times New Roman"/>
          <w:sz w:val="22"/>
          <w:lang w:val="sr-Cyrl-RS"/>
        </w:rPr>
        <w:t>,</w:t>
      </w:r>
      <w:r w:rsidRPr="00EF2F18">
        <w:rPr>
          <w:rFonts w:cs="Times New Roman"/>
          <w:sz w:val="22"/>
          <w:lang w:val="sr-Cyrl-RS"/>
        </w:rPr>
        <w:t xml:space="preserve"> попут Одлуке Министарског савета Енергетске заједнице од 15. децембра 2022. године. </w:t>
      </w:r>
      <w:r w:rsidR="00210BAB" w:rsidRPr="00EF2F18">
        <w:rPr>
          <w:rFonts w:cs="Times New Roman"/>
          <w:sz w:val="22"/>
          <w:lang w:val="sr-Cyrl-RS"/>
        </w:rPr>
        <w:t xml:space="preserve">Уговором су </w:t>
      </w:r>
      <w:r w:rsidRPr="00EF2F18">
        <w:rPr>
          <w:rFonts w:cs="Times New Roman"/>
          <w:sz w:val="22"/>
          <w:lang w:val="sr-Cyrl-RS"/>
        </w:rPr>
        <w:t xml:space="preserve">постављени циљеви у погледу смањења </w:t>
      </w:r>
      <w:r w:rsidR="00210BAB" w:rsidRPr="00EF2F18">
        <w:rPr>
          <w:rFonts w:cs="Times New Roman"/>
          <w:i/>
          <w:iCs/>
          <w:sz w:val="22"/>
          <w:lang w:val="sr-Cyrl-RS"/>
        </w:rPr>
        <w:t>GHG</w:t>
      </w:r>
      <w:r w:rsidRPr="00EF2F18">
        <w:rPr>
          <w:rFonts w:cs="Times New Roman"/>
          <w:sz w:val="22"/>
          <w:lang w:val="sr-Cyrl-RS"/>
        </w:rPr>
        <w:t>, повећања удела обновљивих извора енергије (ОИЕ) и повећања енергетске ефикасности.</w:t>
      </w:r>
    </w:p>
    <w:p w14:paraId="4F53B6E2" w14:textId="1691D85E" w:rsidR="00D06B6B" w:rsidRPr="00EF2F18" w:rsidRDefault="003B2D5E" w:rsidP="00D06B6B">
      <w:pPr>
        <w:spacing w:after="0"/>
        <w:ind w:left="-15" w:right="-7" w:firstLine="735"/>
        <w:jc w:val="both"/>
        <w:rPr>
          <w:rFonts w:cs="Times New Roman"/>
          <w:sz w:val="22"/>
          <w:lang w:val="sr-Cyrl-RS"/>
        </w:rPr>
      </w:pPr>
      <w:r w:rsidRPr="00EF2F18">
        <w:rPr>
          <w:rFonts w:cs="Times New Roman"/>
          <w:sz w:val="22"/>
          <w:lang w:val="sr-Cyrl-RS"/>
        </w:rPr>
        <w:t xml:space="preserve"> </w:t>
      </w:r>
      <w:r w:rsidR="00D06B6B" w:rsidRPr="00EF2F18">
        <w:rPr>
          <w:rFonts w:cs="Times New Roman"/>
          <w:b/>
          <w:bCs/>
          <w:sz w:val="22"/>
          <w:lang w:val="sr-Cyrl-RS"/>
        </w:rPr>
        <w:t xml:space="preserve">Закон о порезу на емисије гасова са ефектом стаклене баште </w:t>
      </w:r>
      <w:r w:rsidR="008765A6" w:rsidRPr="00EF2F18">
        <w:rPr>
          <w:rFonts w:cs="Times New Roman"/>
          <w:bCs/>
          <w:color w:val="000000"/>
          <w:sz w:val="22"/>
          <w:lang w:val="sr-Cyrl-RS"/>
        </w:rPr>
        <w:t>(„Службени гласник PC”, број</w:t>
      </w:r>
      <w:r w:rsidR="008765A6" w:rsidRPr="00EF2F18">
        <w:rPr>
          <w:rFonts w:cs="Times New Roman"/>
          <w:bCs/>
          <w:sz w:val="22"/>
          <w:lang w:val="sr-Cyrl-RS"/>
        </w:rPr>
        <w:t xml:space="preserve"> 109/</w:t>
      </w:r>
      <w:r w:rsidR="00D06B6B" w:rsidRPr="00EF2F18">
        <w:rPr>
          <w:rFonts w:cs="Times New Roman"/>
          <w:bCs/>
          <w:sz w:val="22"/>
          <w:lang w:val="sr-Cyrl-RS"/>
        </w:rPr>
        <w:t>25)</w:t>
      </w:r>
      <w:r w:rsidR="00D06B6B" w:rsidRPr="00EF2F18">
        <w:rPr>
          <w:rFonts w:cs="Times New Roman"/>
          <w:b/>
          <w:bCs/>
          <w:sz w:val="22"/>
          <w:lang w:val="sr-Cyrl-RS"/>
        </w:rPr>
        <w:t xml:space="preserve"> </w:t>
      </w:r>
      <w:r w:rsidR="00D06B6B" w:rsidRPr="00EF2F18">
        <w:rPr>
          <w:rFonts w:cs="Times New Roman"/>
          <w:sz w:val="22"/>
          <w:lang w:val="sr-Cyrl-RS"/>
        </w:rPr>
        <w:t>уређује обавезу плаћања пореза на емисије гасова са ефектом стаклене баште, обвезнике пореза, начин обрачуна и плаћања пореза, праћење и извештавање о емисијама, као и друга питања од значаја за смањење емисија гасова са ефектом ст</w:t>
      </w:r>
      <w:r w:rsidR="00BA777A">
        <w:rPr>
          <w:rFonts w:cs="Times New Roman"/>
          <w:sz w:val="22"/>
          <w:lang w:val="sr-Cyrl-RS"/>
        </w:rPr>
        <w:t>акле</w:t>
      </w:r>
      <w:r w:rsidR="00D06B6B" w:rsidRPr="00EF2F18">
        <w:rPr>
          <w:rFonts w:cs="Times New Roman"/>
          <w:sz w:val="22"/>
          <w:lang w:val="sr-Cyrl-RS"/>
        </w:rPr>
        <w:t xml:space="preserve">не баште. </w:t>
      </w:r>
    </w:p>
    <w:p w14:paraId="75B98626" w14:textId="25CCBFE6" w:rsidR="003B2D5E" w:rsidRPr="00EF2F18" w:rsidRDefault="00D06B6B" w:rsidP="00D06B6B">
      <w:pPr>
        <w:spacing w:after="0"/>
        <w:ind w:left="-15" w:right="-7" w:firstLine="735"/>
        <w:jc w:val="both"/>
        <w:rPr>
          <w:rFonts w:cs="Times New Roman"/>
          <w:b/>
          <w:bCs/>
          <w:sz w:val="22"/>
          <w:lang w:val="sr-Cyrl-RS"/>
        </w:rPr>
      </w:pPr>
      <w:r w:rsidRPr="00EF2F18">
        <w:rPr>
          <w:rFonts w:cs="Times New Roman"/>
          <w:b/>
          <w:bCs/>
          <w:sz w:val="22"/>
          <w:lang w:val="sr-Cyrl-RS"/>
        </w:rPr>
        <w:t xml:space="preserve">Закон о порезу на увоз угљенично интензивних производа </w:t>
      </w:r>
      <w:r w:rsidR="008765A6" w:rsidRPr="00EF2F18">
        <w:rPr>
          <w:rFonts w:cs="Times New Roman"/>
          <w:bCs/>
          <w:color w:val="000000"/>
          <w:sz w:val="22"/>
          <w:lang w:val="sr-Cyrl-RS"/>
        </w:rPr>
        <w:t xml:space="preserve">(„Службени гласник PC”, број </w:t>
      </w:r>
      <w:r w:rsidR="008765A6" w:rsidRPr="00EF2F18">
        <w:rPr>
          <w:rFonts w:cs="Times New Roman"/>
          <w:bCs/>
          <w:sz w:val="22"/>
          <w:lang w:val="sr-Cyrl-RS"/>
        </w:rPr>
        <w:t>109/25)</w:t>
      </w:r>
      <w:r w:rsidR="008765A6" w:rsidRPr="00EF2F18">
        <w:rPr>
          <w:rFonts w:cs="Times New Roman"/>
          <w:b/>
          <w:bCs/>
          <w:sz w:val="22"/>
          <w:lang w:val="sr-Cyrl-RS"/>
        </w:rPr>
        <w:t xml:space="preserve"> </w:t>
      </w:r>
      <w:r w:rsidRPr="00EF2F18">
        <w:rPr>
          <w:rFonts w:cs="Times New Roman"/>
          <w:b/>
          <w:bCs/>
          <w:sz w:val="22"/>
          <w:lang w:val="sr-Cyrl-RS"/>
        </w:rPr>
        <w:t xml:space="preserve"> </w:t>
      </w:r>
      <w:r w:rsidRPr="00EF2F18">
        <w:rPr>
          <w:rFonts w:cs="Times New Roman"/>
          <w:sz w:val="22"/>
          <w:lang w:val="sr-Cyrl-RS"/>
        </w:rPr>
        <w:t>уређује увођење и наплату пореза на увоз одређених производа са високим нивоом емисија гасова са ефектом стаклене баште, утврђивање обвезника, начин обрачуна пореза, као и правила за извештавање и контролу угљеничног садржаја увезене робе.</w:t>
      </w:r>
    </w:p>
    <w:p w14:paraId="3624635B" w14:textId="79A2F188" w:rsidR="00D05BB0" w:rsidRPr="00EF2F18" w:rsidRDefault="00D05BB0" w:rsidP="00D05BB0">
      <w:pPr>
        <w:spacing w:after="0"/>
        <w:ind w:left="-15" w:right="-7" w:firstLine="735"/>
        <w:jc w:val="both"/>
        <w:rPr>
          <w:rFonts w:cs="Times New Roman"/>
          <w:bCs/>
          <w:sz w:val="22"/>
          <w:lang w:val="sr-Cyrl-RS"/>
        </w:rPr>
      </w:pPr>
      <w:r w:rsidRPr="00EF2F18">
        <w:rPr>
          <w:rFonts w:cs="Times New Roman"/>
          <w:b/>
          <w:sz w:val="22"/>
          <w:lang w:val="sr-Cyrl-RS"/>
        </w:rPr>
        <w:t>Закон о накнадама за коришћење јавних добара</w:t>
      </w:r>
      <w:r w:rsidRPr="00EF2F18">
        <w:rPr>
          <w:rFonts w:cs="Times New Roman"/>
          <w:bCs/>
          <w:sz w:val="22"/>
          <w:lang w:val="sr-Cyrl-RS"/>
        </w:rPr>
        <w:t xml:space="preserve"> („Службени</w:t>
      </w:r>
      <w:r w:rsidR="00945239">
        <w:rPr>
          <w:rFonts w:cs="Times New Roman"/>
          <w:bCs/>
          <w:sz w:val="22"/>
          <w:lang w:val="sr-Cyrl-RS"/>
        </w:rPr>
        <w:t xml:space="preserve"> гласник РС”, бр. 95/18, 49/19, </w:t>
      </w:r>
      <w:r w:rsidR="00235BB9" w:rsidRPr="00EF2F18">
        <w:rPr>
          <w:rFonts w:cs="Times New Roman"/>
          <w:bCs/>
          <w:sz w:val="22"/>
          <w:lang w:val="sr-Cyrl-RS"/>
        </w:rPr>
        <w:t>92/23</w:t>
      </w:r>
      <w:r w:rsidR="00945239">
        <w:rPr>
          <w:rFonts w:cs="Times New Roman"/>
          <w:bCs/>
          <w:sz w:val="22"/>
          <w:lang w:val="sr-Cyrl-RS"/>
        </w:rPr>
        <w:t>, 109/25 и 35/26</w:t>
      </w:r>
      <w:r w:rsidRPr="00EF2F18">
        <w:rPr>
          <w:rFonts w:cs="Times New Roman"/>
          <w:bCs/>
          <w:sz w:val="22"/>
          <w:lang w:val="sr-Cyrl-RS"/>
        </w:rPr>
        <w:t>) прописује обавезу накнаде за коришћење јавних добара, и то: обвезнике плаћања, основицу, висину, начин утврђивања и плаћања, расподелу прихода од накнадe, као и друга питања од значаја за утврђивање и плаћање накнадa за коришћење јавних добара.</w:t>
      </w:r>
    </w:p>
    <w:p w14:paraId="2D0457BA" w14:textId="3C58A700" w:rsidR="00D05BB0" w:rsidRPr="00EF2F18" w:rsidRDefault="00D05BB0" w:rsidP="00EB1CE1">
      <w:pPr>
        <w:spacing w:after="0"/>
        <w:ind w:left="-15" w:right="-7" w:firstLine="735"/>
        <w:jc w:val="both"/>
        <w:rPr>
          <w:rFonts w:cs="Times New Roman"/>
          <w:sz w:val="22"/>
          <w:lang w:val="sr-Cyrl-RS"/>
        </w:rPr>
      </w:pPr>
      <w:r w:rsidRPr="00EF2F18">
        <w:rPr>
          <w:rFonts w:cs="Times New Roman"/>
          <w:b/>
          <w:sz w:val="22"/>
          <w:lang w:val="sr-Cyrl-RS"/>
        </w:rPr>
        <w:t>Закон о управљању отпадом</w:t>
      </w:r>
      <w:r w:rsidRPr="00EF2F18">
        <w:rPr>
          <w:rFonts w:cs="Times New Roman"/>
          <w:sz w:val="22"/>
          <w:lang w:val="sr-Cyrl-RS"/>
        </w:rPr>
        <w:t xml:space="preserve"> </w:t>
      </w:r>
      <w:r w:rsidR="00EB1CE1" w:rsidRPr="00EF2F18">
        <w:rPr>
          <w:rFonts w:cs="Times New Roman"/>
          <w:sz w:val="22"/>
          <w:lang w:val="sr-Cyrl-RS"/>
        </w:rPr>
        <w:t>(,,</w:t>
      </w:r>
      <w:r w:rsidR="008765A6" w:rsidRPr="00EF2F18">
        <w:rPr>
          <w:rFonts w:cs="Times New Roman"/>
          <w:sz w:val="22"/>
          <w:lang w:val="sr-Cyrl-RS"/>
        </w:rPr>
        <w:t>Службени гласник РС”, број</w:t>
      </w:r>
      <w:r w:rsidR="00EB1CE1" w:rsidRPr="00EF2F18">
        <w:rPr>
          <w:rFonts w:cs="Times New Roman"/>
          <w:sz w:val="22"/>
          <w:lang w:val="sr-Cyrl-RS"/>
        </w:rPr>
        <w:t xml:space="preserve"> 109/25) </w:t>
      </w:r>
      <w:r w:rsidRPr="00EF2F18">
        <w:rPr>
          <w:rFonts w:cs="Times New Roman"/>
          <w:sz w:val="22"/>
          <w:lang w:val="sr-Cyrl-RS"/>
        </w:rPr>
        <w:t>уређује област управљања отпадом</w:t>
      </w:r>
      <w:r w:rsidR="008765A6" w:rsidRPr="00EF2F18">
        <w:rPr>
          <w:rFonts w:cs="Times New Roman"/>
          <w:sz w:val="22"/>
          <w:lang w:val="sr-Cyrl-RS"/>
        </w:rPr>
        <w:t>,</w:t>
      </w:r>
      <w:r w:rsidRPr="00EF2F18">
        <w:rPr>
          <w:rFonts w:cs="Times New Roman"/>
          <w:sz w:val="22"/>
          <w:lang w:val="sr-Cyrl-RS"/>
        </w:rPr>
        <w:t xml:space="preserve"> </w:t>
      </w:r>
      <w:r w:rsidR="00EB1CE1" w:rsidRPr="00EF2F18">
        <w:rPr>
          <w:rFonts w:cs="Times New Roman"/>
          <w:sz w:val="22"/>
          <w:lang w:val="sr-Cyrl-RS"/>
        </w:rPr>
        <w:t>и то: врсте и класификација отпада; планирање управљања отпадом; субјекти управљања отпадом; одговорности и обавезе у управљању отпадом; организовање управљања отпадом; управљање посебним токовима отпада; услови и поступак издавања дозвола за управљање отпадом; прекогранично кретање отпада; извештавање о отпаду и база података; финансирање управљања отпадом; надзор, као и друга питања од значаја за управљање отпадом.</w:t>
      </w:r>
    </w:p>
    <w:p w14:paraId="1AA640DB" w14:textId="17F1E855" w:rsidR="00D05BB0" w:rsidRPr="00EF2F18" w:rsidRDefault="00D05BB0" w:rsidP="00D05BB0">
      <w:pPr>
        <w:spacing w:after="0"/>
        <w:ind w:left="-15" w:right="-7" w:firstLine="735"/>
        <w:jc w:val="both"/>
        <w:rPr>
          <w:rFonts w:cs="Times New Roman"/>
          <w:sz w:val="22"/>
          <w:lang w:val="sr-Cyrl-RS"/>
        </w:rPr>
      </w:pPr>
      <w:r w:rsidRPr="00EF2F18">
        <w:rPr>
          <w:rFonts w:cs="Times New Roman"/>
          <w:b/>
          <w:sz w:val="22"/>
          <w:lang w:val="sr-Cyrl-RS"/>
        </w:rPr>
        <w:t xml:space="preserve">Закон о амбалажи и амбалажном отпаду </w:t>
      </w:r>
      <w:r w:rsidRPr="00EF2F18">
        <w:rPr>
          <w:rFonts w:cs="Times New Roman"/>
          <w:sz w:val="22"/>
          <w:lang w:val="sr-Cyrl-RS"/>
        </w:rPr>
        <w:t xml:space="preserve">(,,Службени гласник РС”, бр. 36/09 и 95/18 </w:t>
      </w:r>
      <w:r w:rsidR="001301B7" w:rsidRPr="00EF2F18">
        <w:rPr>
          <w:rFonts w:cs="Times New Roman"/>
          <w:sz w:val="22"/>
          <w:lang w:val="sr-Cyrl-RS"/>
        </w:rPr>
        <w:t>–</w:t>
      </w:r>
      <w:r w:rsidRPr="00EF2F18">
        <w:rPr>
          <w:rFonts w:cs="Times New Roman"/>
          <w:sz w:val="22"/>
          <w:lang w:val="sr-Cyrl-RS"/>
        </w:rPr>
        <w:t xml:space="preserve"> др. закон) регулише услове стављања амбалаже на тржиште Републике Србије, начин управљања амбалажним отпадом и обавезу доношења националних циљева, дефинише све субјекте у управљању амбалажом и амбалажним отпадом и заснован је на подели одговорности произвођача, увозника, пакера/пунилаца, дистрибутера, сакупљача, превозника, крајњег снабдевача и крајњег корисника, а дефинише и обавезе извештавања, финансијске и економске инструменте, надзор и казнену политику.</w:t>
      </w:r>
    </w:p>
    <w:p w14:paraId="0E04D71B" w14:textId="37BC4968" w:rsidR="004642B8" w:rsidRPr="00EF2F18" w:rsidRDefault="00D05BB0" w:rsidP="00875C29">
      <w:pPr>
        <w:spacing w:after="0"/>
        <w:ind w:left="-15" w:right="-7" w:firstLine="735"/>
        <w:jc w:val="both"/>
        <w:rPr>
          <w:rFonts w:cs="Times New Roman"/>
          <w:sz w:val="22"/>
          <w:lang w:val="sr-Cyrl-RS"/>
        </w:rPr>
      </w:pPr>
      <w:r w:rsidRPr="00EF2F18">
        <w:rPr>
          <w:rFonts w:cs="Times New Roman"/>
          <w:b/>
          <w:sz w:val="22"/>
          <w:lang w:val="sr-Cyrl-RS"/>
        </w:rPr>
        <w:t>Закон о хемикалијама</w:t>
      </w:r>
      <w:r w:rsidRPr="00EF2F18">
        <w:rPr>
          <w:rFonts w:cs="Times New Roman"/>
          <w:sz w:val="22"/>
          <w:lang w:val="sr-Cyrl-RS"/>
        </w:rPr>
        <w:t xml:space="preserve"> (,,Службени гласник РС”, бр. 36/09, 88/10, 92/11, 93/12 и 25/15), уређује </w:t>
      </w:r>
      <w:r w:rsidR="00875C29" w:rsidRPr="00EF2F18">
        <w:rPr>
          <w:rFonts w:cs="Times New Roman"/>
          <w:sz w:val="22"/>
          <w:lang w:val="sr-Cyrl-RS"/>
        </w:rPr>
        <w:t xml:space="preserve">интегрисано управљање хемикалијама, класификација, паковање и обележавање хемикалија, интегрални регистар хемикалија и регистар хемикалија које су стављене у промет, ограничења и забране производње, стављања у промет и коришћења хемикалија, увоз и извоз одређених опасних хемикалија, дозволе за обављање делатности промета и дозволе за коришћење нарочито опасних хемикалија, стављање у промет детергента, систематско праћење хемикалија, доступност података, надзор и друга питања од значаја за управљање хемикалијама. </w:t>
      </w:r>
    </w:p>
    <w:p w14:paraId="4E1A2AD0" w14:textId="09934D8C" w:rsidR="007E62C5" w:rsidRDefault="007E62C5" w:rsidP="004642B8">
      <w:pPr>
        <w:spacing w:after="0"/>
        <w:ind w:left="-15" w:right="-7" w:firstLine="735"/>
        <w:jc w:val="both"/>
        <w:rPr>
          <w:lang w:val="sr-Cyrl-RS"/>
        </w:rPr>
      </w:pPr>
      <w:r w:rsidRPr="00EF2F18">
        <w:rPr>
          <w:rFonts w:cs="Times New Roman"/>
          <w:b/>
          <w:bCs/>
          <w:sz w:val="22"/>
          <w:lang w:val="sr-Cyrl-RS"/>
        </w:rPr>
        <w:t xml:space="preserve">Закон о биоцидним производима </w:t>
      </w:r>
      <w:r w:rsidRPr="00EF2F18">
        <w:rPr>
          <w:rFonts w:cs="Times New Roman"/>
          <w:sz w:val="22"/>
          <w:lang w:val="sr-Cyrl-RS"/>
        </w:rPr>
        <w:t xml:space="preserve">(„Службени гласник </w:t>
      </w:r>
      <w:r w:rsidR="00916A8E" w:rsidRPr="00EF2F18">
        <w:rPr>
          <w:rFonts w:cs="Times New Roman"/>
          <w:sz w:val="22"/>
          <w:lang w:val="sr-Cyrl-RS"/>
        </w:rPr>
        <w:t>РС</w:t>
      </w:r>
      <w:r w:rsidRPr="00EF2F18">
        <w:rPr>
          <w:rFonts w:cs="Times New Roman"/>
          <w:sz w:val="22"/>
          <w:lang w:val="sr-Cyrl-RS"/>
        </w:rPr>
        <w:t xml:space="preserve">”, број 109/21) </w:t>
      </w:r>
      <w:r w:rsidR="00875C29" w:rsidRPr="00EF2F18">
        <w:rPr>
          <w:rFonts w:cs="Times New Roman"/>
          <w:sz w:val="22"/>
          <w:lang w:val="sr-Cyrl-RS"/>
        </w:rPr>
        <w:t>уређујe листе активних супстанци; поступке доношења аката на основу којих се биоцидни производи чине доступним на тржишту и користе, затим истраживање и развој; класификација, паковање, обележавање, оглашавање и безбедносни лист биоцидног производа, Регистар биоцидних производа, безбедно коришћење биоцидних производ</w:t>
      </w:r>
      <w:r w:rsidR="00CD64D0" w:rsidRPr="00EF2F18">
        <w:rPr>
          <w:rFonts w:cs="Times New Roman"/>
          <w:sz w:val="22"/>
          <w:lang w:val="sr-Cyrl-RS"/>
        </w:rPr>
        <w:t>а</w:t>
      </w:r>
      <w:r w:rsidR="00875C29" w:rsidRPr="00EF2F18">
        <w:rPr>
          <w:rFonts w:cs="Times New Roman"/>
          <w:sz w:val="22"/>
          <w:lang w:val="sr-Cyrl-RS"/>
        </w:rPr>
        <w:t>, стављање на тржиште и обележавање третираних производа, надзор и друга питања од значаја за безбедно чињење доступним на тржишту и коришћење биоцидних производа и третираних производа.</w:t>
      </w:r>
      <w:r w:rsidR="00875C29" w:rsidRPr="00EF2F18">
        <w:rPr>
          <w:lang w:val="sr-Cyrl-RS"/>
        </w:rPr>
        <w:t xml:space="preserve"> </w:t>
      </w:r>
    </w:p>
    <w:p w14:paraId="7312B3C5" w14:textId="77777777" w:rsidR="002D380B" w:rsidRPr="00EF2F18" w:rsidRDefault="002D380B" w:rsidP="004642B8">
      <w:pPr>
        <w:spacing w:after="0"/>
        <w:ind w:left="-15" w:right="-7" w:firstLine="735"/>
        <w:jc w:val="both"/>
        <w:rPr>
          <w:rFonts w:cs="Times New Roman"/>
          <w:sz w:val="22"/>
          <w:lang w:val="sr-Cyrl-RS"/>
        </w:rPr>
      </w:pPr>
    </w:p>
    <w:p w14:paraId="39445121" w14:textId="3057BF59" w:rsidR="007E62C5" w:rsidRPr="00EF2F18" w:rsidRDefault="007E62C5" w:rsidP="004642B8">
      <w:pPr>
        <w:spacing w:after="0"/>
        <w:ind w:left="-15" w:right="-7" w:firstLine="735"/>
        <w:jc w:val="both"/>
        <w:rPr>
          <w:rFonts w:cs="Times New Roman"/>
          <w:sz w:val="22"/>
          <w:lang w:val="sr-Cyrl-RS"/>
        </w:rPr>
      </w:pPr>
      <w:r w:rsidRPr="00EF2F18">
        <w:rPr>
          <w:rFonts w:cs="Times New Roman"/>
          <w:b/>
          <w:bCs/>
          <w:sz w:val="22"/>
          <w:lang w:val="sr-Cyrl-RS"/>
        </w:rPr>
        <w:lastRenderedPageBreak/>
        <w:t>Закон</w:t>
      </w:r>
      <w:r w:rsidR="005F1DF0" w:rsidRPr="00EF2F18">
        <w:rPr>
          <w:rFonts w:cs="Times New Roman"/>
          <w:b/>
          <w:bCs/>
          <w:sz w:val="22"/>
          <w:lang w:val="sr-Cyrl-RS"/>
        </w:rPr>
        <w:t>ом</w:t>
      </w:r>
      <w:r w:rsidRPr="00EF2F18">
        <w:rPr>
          <w:rFonts w:cs="Times New Roman"/>
          <w:b/>
          <w:bCs/>
          <w:sz w:val="22"/>
          <w:lang w:val="sr-Cyrl-RS"/>
        </w:rPr>
        <w:t xml:space="preserve"> о здрављу биља </w:t>
      </w:r>
      <w:r w:rsidRPr="00EF2F18">
        <w:rPr>
          <w:rFonts w:cs="Times New Roman"/>
          <w:sz w:val="22"/>
          <w:lang w:val="sr-Cyrl-RS"/>
        </w:rPr>
        <w:t xml:space="preserve">(„Службени гласник </w:t>
      </w:r>
      <w:r w:rsidR="00916A8E" w:rsidRPr="00EF2F18">
        <w:rPr>
          <w:rFonts w:cs="Times New Roman"/>
          <w:sz w:val="22"/>
          <w:lang w:val="sr-Cyrl-RS"/>
        </w:rPr>
        <w:t>РС</w:t>
      </w:r>
      <w:r w:rsidRPr="00EF2F18">
        <w:rPr>
          <w:rFonts w:cs="Times New Roman"/>
          <w:sz w:val="22"/>
          <w:lang w:val="sr-Cyrl-RS"/>
        </w:rPr>
        <w:t>”, бр. 41/09</w:t>
      </w:r>
      <w:r w:rsidR="00414FB8" w:rsidRPr="00EF2F18">
        <w:rPr>
          <w:rFonts w:cs="Times New Roman"/>
          <w:sz w:val="22"/>
          <w:lang w:val="sr-Cyrl-RS"/>
        </w:rPr>
        <w:t xml:space="preserve"> и </w:t>
      </w:r>
      <w:r w:rsidRPr="00EF2F18">
        <w:rPr>
          <w:rFonts w:cs="Times New Roman"/>
          <w:sz w:val="22"/>
          <w:lang w:val="sr-Cyrl-RS"/>
        </w:rPr>
        <w:t xml:space="preserve">17/19) уређује </w:t>
      </w:r>
      <w:r w:rsidR="005F1DF0" w:rsidRPr="00EF2F18">
        <w:rPr>
          <w:rFonts w:cs="Times New Roman"/>
          <w:sz w:val="22"/>
          <w:lang w:val="sr-Cyrl-RS"/>
        </w:rPr>
        <w:t>се заштита и унапређење здравља биља; мере за спречавање уношења, откривање, спречавање ширења и сузбијање штетних организама; фитосанитарна контрола; услови за производњу, прераду, дораду, увоз, складиштење и промет биља, биљних производа и прописаних објеката, као и услови за пружање услуга у области заштите здравља биља.</w:t>
      </w:r>
    </w:p>
    <w:p w14:paraId="1E585A54" w14:textId="1453229F" w:rsidR="005266E2" w:rsidRPr="00EF2F18" w:rsidRDefault="005266E2" w:rsidP="005266E2">
      <w:pPr>
        <w:spacing w:after="0"/>
        <w:ind w:left="-15" w:right="-7" w:firstLine="735"/>
        <w:jc w:val="both"/>
        <w:rPr>
          <w:rFonts w:cs="Times New Roman"/>
          <w:sz w:val="22"/>
          <w:lang w:val="sr-Cyrl-RS"/>
        </w:rPr>
      </w:pPr>
      <w:r w:rsidRPr="00EF2F18">
        <w:rPr>
          <w:rFonts w:cs="Times New Roman"/>
          <w:b/>
          <w:bCs/>
          <w:sz w:val="22"/>
          <w:lang w:val="sr-Cyrl-RS"/>
        </w:rPr>
        <w:t>Законом о средствима за заштиту биља</w:t>
      </w:r>
      <w:r w:rsidRPr="00EF2F18">
        <w:rPr>
          <w:rFonts w:cs="Times New Roman"/>
          <w:sz w:val="22"/>
          <w:lang w:val="sr-Cyrl-RS"/>
        </w:rPr>
        <w:t xml:space="preserve"> („Службени гласник РС”, бр. 41/09 и 17/19)</w:t>
      </w:r>
      <w:r w:rsidR="006C2E00" w:rsidRPr="00EF2F18">
        <w:rPr>
          <w:rFonts w:cs="Times New Roman"/>
          <w:sz w:val="22"/>
          <w:lang w:val="sr-Cyrl-RS"/>
        </w:rPr>
        <w:t xml:space="preserve"> </w:t>
      </w:r>
      <w:r w:rsidRPr="00EF2F18">
        <w:rPr>
          <w:rFonts w:cs="Times New Roman"/>
          <w:sz w:val="22"/>
          <w:lang w:val="sr-Cyrl-RS"/>
        </w:rPr>
        <w:t>уређује се регистрација, контрола, промет, увоз и примена средстава за заштиту биља у пољопривреди и шумарству, послови од јавног интереса у области средстава за заштиту биља, као и друга питања од значаја за средства за заштиту биља</w:t>
      </w:r>
      <w:r w:rsidR="00F463C8" w:rsidRPr="00EF2F18">
        <w:rPr>
          <w:rFonts w:cs="Times New Roman"/>
          <w:sz w:val="22"/>
          <w:lang w:val="sr-Cyrl-RS"/>
        </w:rPr>
        <w:t>.</w:t>
      </w:r>
    </w:p>
    <w:p w14:paraId="60B9D543" w14:textId="5E9485E2" w:rsidR="00D45271" w:rsidRPr="00EF2F18" w:rsidRDefault="00D45271" w:rsidP="00D45271">
      <w:pPr>
        <w:spacing w:after="0"/>
        <w:ind w:left="-15" w:right="-7" w:firstLine="735"/>
        <w:jc w:val="both"/>
        <w:rPr>
          <w:sz w:val="22"/>
          <w:lang w:val="sr-Cyrl-RS"/>
        </w:rPr>
      </w:pPr>
      <w:r w:rsidRPr="00EF2F18">
        <w:rPr>
          <w:b/>
          <w:bCs/>
          <w:sz w:val="22"/>
          <w:lang w:val="sr-Cyrl-RS"/>
        </w:rPr>
        <w:t>Закон</w:t>
      </w:r>
      <w:r w:rsidR="00F455AA" w:rsidRPr="00EF2F18">
        <w:rPr>
          <w:b/>
          <w:bCs/>
          <w:sz w:val="22"/>
          <w:lang w:val="sr-Cyrl-RS"/>
        </w:rPr>
        <w:t>ом</w:t>
      </w:r>
      <w:r w:rsidRPr="00EF2F18">
        <w:rPr>
          <w:b/>
          <w:bCs/>
          <w:sz w:val="22"/>
          <w:lang w:val="sr-Cyrl-RS"/>
        </w:rPr>
        <w:t xml:space="preserve"> о потврђивању Базелске конвенције о контроли прекограничног кретања опасних отпада и њиховом одлагању</w:t>
      </w:r>
      <w:r w:rsidRPr="00EF2F18">
        <w:rPr>
          <w:sz w:val="22"/>
          <w:lang w:val="sr-Cyrl-RS"/>
        </w:rPr>
        <w:t xml:space="preserve"> („Службени лист СРЈ – Међународни уговори</w:t>
      </w:r>
      <w:r w:rsidR="00A0310C" w:rsidRPr="00EF2F18">
        <w:rPr>
          <w:rFonts w:cs="Times New Roman"/>
          <w:sz w:val="22"/>
          <w:lang w:val="sr-Cyrl-RS"/>
        </w:rPr>
        <w:t>”</w:t>
      </w:r>
      <w:r w:rsidRPr="00EF2F18">
        <w:rPr>
          <w:sz w:val="22"/>
          <w:lang w:val="sr-Cyrl-RS"/>
        </w:rPr>
        <w:t xml:space="preserve">, број 2/99) </w:t>
      </w:r>
      <w:r w:rsidR="00F455AA" w:rsidRPr="00EF2F18">
        <w:rPr>
          <w:sz w:val="22"/>
          <w:lang w:val="sr-Cyrl-RS"/>
        </w:rPr>
        <w:t>уређује се прекогранично кретање опасног отпада.</w:t>
      </w:r>
    </w:p>
    <w:p w14:paraId="54376672" w14:textId="3AB71B5A" w:rsidR="00D45271" w:rsidRPr="00EF2F18" w:rsidRDefault="00D45271" w:rsidP="00D45271">
      <w:pPr>
        <w:spacing w:after="0"/>
        <w:ind w:left="-15" w:right="-7" w:firstLine="735"/>
        <w:jc w:val="both"/>
        <w:rPr>
          <w:sz w:val="22"/>
          <w:lang w:val="sr-Cyrl-RS"/>
        </w:rPr>
      </w:pPr>
      <w:r w:rsidRPr="00EF2F18">
        <w:rPr>
          <w:b/>
          <w:bCs/>
          <w:sz w:val="22"/>
          <w:lang w:val="sr-Cyrl-RS"/>
        </w:rPr>
        <w:t>Закон о потврђивању Ротердамске конвенције о поступку давања сагласности на основу претходног обавештења за одређене опасне хемикалије и пестициде у међународној трговини са изменама и допунама</w:t>
      </w:r>
      <w:r w:rsidRPr="00EF2F18">
        <w:rPr>
          <w:sz w:val="22"/>
          <w:lang w:val="sr-Cyrl-RS"/>
        </w:rPr>
        <w:t xml:space="preserve"> („Службени гласник РС – Међународни уговори</w:t>
      </w:r>
      <w:r w:rsidR="00A0310C" w:rsidRPr="00EF2F18">
        <w:rPr>
          <w:rFonts w:cs="Times New Roman"/>
          <w:sz w:val="22"/>
          <w:lang w:val="sr-Cyrl-RS"/>
        </w:rPr>
        <w:t>”</w:t>
      </w:r>
      <w:r w:rsidRPr="00EF2F18">
        <w:rPr>
          <w:sz w:val="22"/>
          <w:lang w:val="sr-Cyrl-RS"/>
        </w:rPr>
        <w:t xml:space="preserve">, број 38/09) </w:t>
      </w:r>
      <w:r w:rsidR="00A0310C" w:rsidRPr="00EF2F18">
        <w:rPr>
          <w:sz w:val="22"/>
          <w:lang w:val="sr-Cyrl-RS"/>
        </w:rPr>
        <w:t xml:space="preserve">има за циљ </w:t>
      </w:r>
      <w:r w:rsidR="00A0310C" w:rsidRPr="00EF2F18">
        <w:rPr>
          <w:lang w:val="sr-Cyrl-RS"/>
        </w:rPr>
        <w:t>промовисање подељене одговорности и сарадње између страна уговорница на пољу међународне трговине одређеним опасним хемикалијама да би се заштитило људско здравље и животна средина од потенцијалне штете и да би се допринело коришћењу тих хемикалија на начин који је прихватљив за животну средину.</w:t>
      </w:r>
    </w:p>
    <w:p w14:paraId="6C620DF6" w14:textId="287A1596" w:rsidR="00D45271" w:rsidRPr="00EF2F18" w:rsidRDefault="00D45271" w:rsidP="00D45271">
      <w:pPr>
        <w:spacing w:after="0"/>
        <w:ind w:left="-15" w:right="-7" w:firstLine="735"/>
        <w:jc w:val="both"/>
        <w:rPr>
          <w:lang w:val="sr-Cyrl-RS"/>
        </w:rPr>
      </w:pPr>
      <w:r w:rsidRPr="00EF2F18">
        <w:rPr>
          <w:b/>
          <w:bCs/>
          <w:sz w:val="22"/>
          <w:lang w:val="sr-Cyrl-RS"/>
        </w:rPr>
        <w:t>Закон о потврђивању Стокхолмске конвенције о дуготрајним органским загађујућим супстанцама</w:t>
      </w:r>
      <w:r w:rsidRPr="00EF2F18">
        <w:rPr>
          <w:sz w:val="22"/>
          <w:lang w:val="sr-Cyrl-RS"/>
        </w:rPr>
        <w:t xml:space="preserve"> („Службени гласник РС – Међународни уговори</w:t>
      </w:r>
      <w:r w:rsidR="00A0310C" w:rsidRPr="00EF2F18">
        <w:rPr>
          <w:rFonts w:cs="Times New Roman"/>
          <w:sz w:val="22"/>
          <w:lang w:val="sr-Cyrl-RS"/>
        </w:rPr>
        <w:t>”</w:t>
      </w:r>
      <w:r w:rsidRPr="00EF2F18">
        <w:rPr>
          <w:sz w:val="22"/>
          <w:lang w:val="sr-Cyrl-RS"/>
        </w:rPr>
        <w:t xml:space="preserve">, број 42/09) </w:t>
      </w:r>
      <w:r w:rsidR="00A0310C" w:rsidRPr="00EF2F18">
        <w:rPr>
          <w:sz w:val="22"/>
          <w:lang w:val="sr-Cyrl-RS"/>
        </w:rPr>
        <w:t xml:space="preserve">има за циљ </w:t>
      </w:r>
      <w:r w:rsidR="00A0310C" w:rsidRPr="00EF2F18">
        <w:rPr>
          <w:lang w:val="sr-Cyrl-RS"/>
        </w:rPr>
        <w:t>заштиту здравља људи и животне средине од дуготрајних органских загађујућих супстанци.</w:t>
      </w:r>
    </w:p>
    <w:p w14:paraId="2EE99C1C" w14:textId="4BB0EA3A" w:rsidR="00E026F4" w:rsidRPr="00EF2F18" w:rsidRDefault="00E026F4" w:rsidP="00D45271">
      <w:pPr>
        <w:spacing w:after="0"/>
        <w:ind w:left="-15" w:right="-7" w:firstLine="735"/>
        <w:jc w:val="both"/>
        <w:rPr>
          <w:sz w:val="22"/>
          <w:lang w:val="sr-Cyrl-RS"/>
        </w:rPr>
      </w:pPr>
      <w:r w:rsidRPr="00EF2F18">
        <w:rPr>
          <w:b/>
          <w:bCs/>
          <w:sz w:val="22"/>
          <w:lang w:val="sr-Cyrl-RS"/>
        </w:rPr>
        <w:t xml:space="preserve">Закон о контроли опасности од великих удеса који укључују опасне супстанце </w:t>
      </w:r>
      <w:r w:rsidRPr="00EF2F18">
        <w:rPr>
          <w:rFonts w:cs="Times New Roman"/>
          <w:sz w:val="22"/>
          <w:lang w:val="sr-Cyrl-RS"/>
        </w:rPr>
        <w:t xml:space="preserve">(„Службени гласник РС”, број 94/24) </w:t>
      </w:r>
      <w:r w:rsidRPr="00EF2F18">
        <w:rPr>
          <w:sz w:val="22"/>
          <w:lang w:val="sr-Cyrl-RS"/>
        </w:rPr>
        <w:t>уређују се правила превенције великих удеса који укључују опасне супстанце и ограничавања њихових последица по здравље људи и животну средину ради обезбеђења високог нивоа заштите у Републици Србији на доследан и ефикасан начин, права и обавезе оператера комплекса, обавезе надлежних органа, активности након великог удеса, информисање, информациони систем, надзор и казнене одредбе, као и друга питања у вези са тим.</w:t>
      </w:r>
    </w:p>
    <w:p w14:paraId="3E1B8488" w14:textId="6428AC49" w:rsidR="000C5D85" w:rsidRPr="00EF2F18" w:rsidRDefault="000C5D85" w:rsidP="00D45271">
      <w:pPr>
        <w:spacing w:after="0"/>
        <w:ind w:left="-15" w:right="-7" w:firstLine="735"/>
        <w:jc w:val="both"/>
        <w:rPr>
          <w:sz w:val="22"/>
          <w:lang w:val="sr-Cyrl-RS"/>
        </w:rPr>
      </w:pPr>
      <w:r w:rsidRPr="00EF2F18">
        <w:rPr>
          <w:b/>
          <w:bCs/>
          <w:sz w:val="22"/>
          <w:lang w:val="sr-Cyrl-RS"/>
        </w:rPr>
        <w:t xml:space="preserve">Закон о потврђивању Минамата конвенције о живи </w:t>
      </w:r>
      <w:r w:rsidRPr="00EF2F18">
        <w:rPr>
          <w:sz w:val="22"/>
          <w:lang w:val="sr-Cyrl-RS"/>
        </w:rPr>
        <w:t xml:space="preserve">(„Службени гласник РС </w:t>
      </w:r>
      <w:r w:rsidR="008765A6" w:rsidRPr="00EF2F18">
        <w:rPr>
          <w:sz w:val="22"/>
          <w:lang w:val="sr-Cyrl-RS"/>
        </w:rPr>
        <w:t>–</w:t>
      </w:r>
      <w:r w:rsidRPr="00EF2F18">
        <w:rPr>
          <w:sz w:val="22"/>
          <w:lang w:val="sr-Cyrl-RS"/>
        </w:rPr>
        <w:t xml:space="preserve"> Међународни уговори”, брoj 9/24)</w:t>
      </w:r>
      <w:r w:rsidR="00B51A8A" w:rsidRPr="00EF2F18">
        <w:rPr>
          <w:sz w:val="22"/>
          <w:lang w:val="sr-Cyrl-RS"/>
        </w:rPr>
        <w:t xml:space="preserve"> има за циљ заштиту здравља људи и животне средине од загађења и последица насталих услед антропогених емисија и испуштања живе и њених једињења у животну средину.</w:t>
      </w:r>
    </w:p>
    <w:p w14:paraId="1993D673" w14:textId="70F3793B" w:rsidR="00EB1CE1" w:rsidRPr="00EF2F18" w:rsidRDefault="00EB1CE1" w:rsidP="00EB1CE1">
      <w:pPr>
        <w:spacing w:after="0"/>
        <w:ind w:left="-15" w:right="-7" w:firstLine="735"/>
        <w:jc w:val="both"/>
        <w:rPr>
          <w:sz w:val="22"/>
          <w:lang w:val="sr-Cyrl-RS"/>
        </w:rPr>
      </w:pPr>
      <w:r w:rsidRPr="00EF2F18">
        <w:rPr>
          <w:b/>
          <w:bCs/>
          <w:sz w:val="22"/>
          <w:lang w:val="sr-Cyrl-RS"/>
        </w:rPr>
        <w:t>Закон о забрани развоја, производње, складиштења и употребе хемијског оружја и о његовом уништавању</w:t>
      </w:r>
      <w:r w:rsidRPr="00EF2F18">
        <w:rPr>
          <w:sz w:val="22"/>
          <w:lang w:val="sr-Cyrl-RS"/>
        </w:rPr>
        <w:t xml:space="preserve"> („Службени гласник РС”, бр. 36/09 и 104/13) којим се прописују забране и ограничења развоја, производње, складиштења и употребе хемијског оружја и хемијских супстанци које служе за производњу тог оружја, начин и услови управљања хемијским супстанцама са двоструком наменом, што обухвата њихову производњу, прераду, коришћење и складиштење.</w:t>
      </w:r>
    </w:p>
    <w:p w14:paraId="026887C6" w14:textId="3E72A65E" w:rsidR="00210BAB" w:rsidRPr="00EF2F18" w:rsidRDefault="00A0310C" w:rsidP="00D45271">
      <w:pPr>
        <w:spacing w:after="0"/>
        <w:ind w:left="-15" w:right="-7" w:firstLine="735"/>
        <w:jc w:val="both"/>
        <w:rPr>
          <w:rFonts w:cs="Times New Roman"/>
          <w:sz w:val="22"/>
          <w:lang w:val="sr-Cyrl-RS"/>
        </w:rPr>
      </w:pPr>
      <w:r w:rsidRPr="00EF2F18">
        <w:rPr>
          <w:b/>
          <w:bCs/>
          <w:sz w:val="22"/>
          <w:lang w:val="sr-Cyrl-RS"/>
        </w:rPr>
        <w:t xml:space="preserve">Закон о потврђивању </w:t>
      </w:r>
      <w:r w:rsidR="00D45271" w:rsidRPr="00EF2F18">
        <w:rPr>
          <w:b/>
          <w:bCs/>
          <w:sz w:val="22"/>
          <w:lang w:val="sr-Cyrl-RS"/>
        </w:rPr>
        <w:t>Протокол</w:t>
      </w:r>
      <w:r w:rsidRPr="00EF2F18">
        <w:rPr>
          <w:b/>
          <w:bCs/>
          <w:sz w:val="22"/>
          <w:lang w:val="sr-Cyrl-RS"/>
        </w:rPr>
        <w:t>а</w:t>
      </w:r>
      <w:r w:rsidR="00D45271" w:rsidRPr="00EF2F18">
        <w:rPr>
          <w:b/>
          <w:bCs/>
          <w:sz w:val="22"/>
          <w:lang w:val="sr-Cyrl-RS"/>
        </w:rPr>
        <w:t xml:space="preserve"> о води и здрављу уз Конвенцију о заштити и коришћењу прекограничних водотокова и међународних језера и Амандмана на чл. 25. и 26. Конвенције о заштити и коришћењу прекограничних водотокова и међународних језера</w:t>
      </w:r>
      <w:r w:rsidR="00D45271" w:rsidRPr="00EF2F18">
        <w:rPr>
          <w:sz w:val="22"/>
          <w:lang w:val="sr-Cyrl-RS"/>
        </w:rPr>
        <w:t xml:space="preserve"> („Службени гласник РС – Међународни уговори</w:t>
      </w:r>
      <w:r w:rsidRPr="00EF2F18">
        <w:rPr>
          <w:rFonts w:cs="Times New Roman"/>
          <w:sz w:val="22"/>
          <w:lang w:val="sr-Cyrl-RS"/>
        </w:rPr>
        <w:t>”</w:t>
      </w:r>
      <w:r w:rsidR="00D45271" w:rsidRPr="00EF2F18">
        <w:rPr>
          <w:sz w:val="22"/>
          <w:lang w:val="sr-Cyrl-RS"/>
        </w:rPr>
        <w:t xml:space="preserve">, број 1/13) </w:t>
      </w:r>
      <w:r w:rsidRPr="00EF2F18">
        <w:rPr>
          <w:sz w:val="22"/>
          <w:lang w:val="sr-Cyrl-RS"/>
        </w:rPr>
        <w:t>има за циљ да се на свим одговарајућим нивоима, како у националном тако и прекограничним и међународном контексту, обезбеди заштита здравља и добробити људи, и индивидуалне и заједничке, а у оквиру одрживог развоја кроз унапређење управљања водом, укључујући и заштиту водених екосистема, а путем превенције, сузбијања и смањивања обољења везаних за воду.</w:t>
      </w:r>
    </w:p>
    <w:p w14:paraId="028322EB" w14:textId="6672B649" w:rsidR="005266E2" w:rsidRPr="00EF2F18" w:rsidRDefault="005266E2" w:rsidP="005266E2">
      <w:pPr>
        <w:spacing w:after="0"/>
        <w:ind w:left="-15" w:right="-7" w:firstLine="735"/>
        <w:jc w:val="both"/>
        <w:rPr>
          <w:rFonts w:cs="Times New Roman"/>
          <w:sz w:val="22"/>
          <w:lang w:val="sr-Cyrl-RS"/>
        </w:rPr>
      </w:pPr>
      <w:r w:rsidRPr="00EF2F18">
        <w:rPr>
          <w:rFonts w:cs="Times New Roman"/>
          <w:b/>
          <w:bCs/>
          <w:sz w:val="22"/>
          <w:lang w:val="sr-Cyrl-RS"/>
        </w:rPr>
        <w:t>Законом о средствима за исхрану биља и оплемењивачима земљишта</w:t>
      </w:r>
      <w:r w:rsidRPr="00EF2F18">
        <w:rPr>
          <w:rFonts w:cs="Times New Roman"/>
          <w:sz w:val="22"/>
          <w:lang w:val="sr-Cyrl-RS"/>
        </w:rPr>
        <w:t xml:space="preserve"> („Службени гласник РС”, бр. 41/09 и 17/19) уређује се се разврставање, квалитет, обележавање, фитосанитарна контрола и узорковање у промету, увозу и примени средстава за исхрану биља и оплемењивача земљишта и испитивање средстава за исхрану биља и оплемењивача земљишта, као и друга питања од значаја за средства за исхрану биља и оплемењиваче земљишта.</w:t>
      </w:r>
    </w:p>
    <w:p w14:paraId="6ABCD543" w14:textId="4C94372D" w:rsidR="004642B8" w:rsidRPr="00EF2F18" w:rsidRDefault="004642B8" w:rsidP="004642B8">
      <w:pPr>
        <w:spacing w:after="0"/>
        <w:ind w:left="-15" w:right="-7" w:firstLine="735"/>
        <w:jc w:val="both"/>
        <w:rPr>
          <w:rFonts w:cs="Times New Roman"/>
          <w:sz w:val="22"/>
          <w:lang w:val="sr-Cyrl-RS"/>
        </w:rPr>
      </w:pPr>
      <w:r w:rsidRPr="00EF2F18">
        <w:rPr>
          <w:rFonts w:cs="Times New Roman"/>
          <w:b/>
          <w:sz w:val="22"/>
          <w:lang w:val="sr-Cyrl-RS"/>
        </w:rPr>
        <w:lastRenderedPageBreak/>
        <w:t xml:space="preserve">Законом о заштити ваздуха </w:t>
      </w:r>
      <w:r w:rsidRPr="00EF2F18">
        <w:rPr>
          <w:rFonts w:cs="Times New Roman"/>
          <w:sz w:val="22"/>
          <w:lang w:val="sr-Cyrl-RS"/>
        </w:rPr>
        <w:t>(,,Службени гласник РС”, бр</w:t>
      </w:r>
      <w:r w:rsidR="00392771" w:rsidRPr="00EF2F18">
        <w:rPr>
          <w:rFonts w:cs="Times New Roman"/>
          <w:sz w:val="22"/>
          <w:lang w:val="sr-Cyrl-RS"/>
        </w:rPr>
        <w:t>ој 51</w:t>
      </w:r>
      <w:r w:rsidRPr="00EF2F18">
        <w:rPr>
          <w:rFonts w:cs="Times New Roman"/>
          <w:sz w:val="22"/>
          <w:lang w:val="sr-Cyrl-RS"/>
        </w:rPr>
        <w:t>/2</w:t>
      </w:r>
      <w:r w:rsidR="00392771" w:rsidRPr="00EF2F18">
        <w:rPr>
          <w:rFonts w:cs="Times New Roman"/>
          <w:sz w:val="22"/>
          <w:lang w:val="sr-Cyrl-RS"/>
        </w:rPr>
        <w:t>5</w:t>
      </w:r>
      <w:r w:rsidRPr="00EF2F18">
        <w:rPr>
          <w:rFonts w:cs="Times New Roman"/>
          <w:sz w:val="22"/>
          <w:lang w:val="sr-Cyrl-RS"/>
        </w:rPr>
        <w:t>) уређује се управљање квалитетом ваздуха и утврђују мере, начин организовања и контроле спровођења заштите и унапређења квалитета ваздуха као природне вредности од заједничког интереса под посебном заштитом. Одредбе овог закона не примењују се на загађења која изазивају радиоактивни материјали, индустријски удеси и природне катастрофе.</w:t>
      </w:r>
      <w:r w:rsidR="00715DC5" w:rsidRPr="00EF2F18">
        <w:rPr>
          <w:rFonts w:cs="Times New Roman"/>
          <w:sz w:val="22"/>
          <w:lang w:val="sr-Cyrl-RS"/>
        </w:rPr>
        <w:t xml:space="preserve"> </w:t>
      </w:r>
      <w:r w:rsidR="00BD570D" w:rsidRPr="00EF2F18">
        <w:rPr>
          <w:rFonts w:cs="Times New Roman"/>
          <w:sz w:val="22"/>
          <w:lang w:val="sr-Cyrl-RS"/>
        </w:rPr>
        <w:t>Јуна 2024. године Министарство заштите животне средине формирало је Радну групу за израду новог закона о заштити ваздуха.</w:t>
      </w:r>
    </w:p>
    <w:p w14:paraId="0CC2042E" w14:textId="3E1EC907" w:rsidR="007E62C5" w:rsidRPr="00EF2F18" w:rsidRDefault="007E62C5" w:rsidP="004642B8">
      <w:pPr>
        <w:spacing w:after="0"/>
        <w:ind w:left="-15" w:right="-7" w:firstLine="735"/>
        <w:jc w:val="both"/>
        <w:rPr>
          <w:rFonts w:cs="Times New Roman"/>
          <w:sz w:val="22"/>
          <w:lang w:val="sr-Cyrl-RS"/>
        </w:rPr>
      </w:pPr>
      <w:r w:rsidRPr="00EF2F18">
        <w:rPr>
          <w:rFonts w:cs="Times New Roman"/>
          <w:b/>
          <w:bCs/>
          <w:sz w:val="22"/>
          <w:lang w:val="sr-Cyrl-RS"/>
        </w:rPr>
        <w:t xml:space="preserve">Закон о водама </w:t>
      </w:r>
      <w:r w:rsidRPr="00EF2F18">
        <w:rPr>
          <w:rFonts w:cs="Times New Roman"/>
          <w:sz w:val="22"/>
          <w:lang w:val="sr-Cyrl-RS"/>
        </w:rPr>
        <w:t xml:space="preserve">(„Службени гласник </w:t>
      </w:r>
      <w:r w:rsidR="00916A8E" w:rsidRPr="00EF2F18">
        <w:rPr>
          <w:rFonts w:cs="Times New Roman"/>
          <w:sz w:val="22"/>
          <w:lang w:val="sr-Cyrl-RS"/>
        </w:rPr>
        <w:t>РС</w:t>
      </w:r>
      <w:r w:rsidRPr="00EF2F18">
        <w:rPr>
          <w:rFonts w:cs="Times New Roman"/>
          <w:sz w:val="22"/>
          <w:lang w:val="sr-Cyrl-RS"/>
        </w:rPr>
        <w:t>”, бр. 30/10, 93/12, 101/16</w:t>
      </w:r>
      <w:r w:rsidR="000C06F1">
        <w:rPr>
          <w:rFonts w:cs="Times New Roman"/>
          <w:sz w:val="22"/>
          <w:lang w:val="sr-Cyrl-RS"/>
        </w:rPr>
        <w:t>, 95/18</w:t>
      </w:r>
      <w:r w:rsidR="00414FB8" w:rsidRPr="00EF2F18">
        <w:rPr>
          <w:rFonts w:cs="Times New Roman"/>
          <w:sz w:val="22"/>
          <w:lang w:val="sr-Cyrl-RS"/>
        </w:rPr>
        <w:t xml:space="preserve"> и </w:t>
      </w:r>
      <w:r w:rsidRPr="00EF2F18">
        <w:rPr>
          <w:rFonts w:cs="Times New Roman"/>
          <w:sz w:val="22"/>
          <w:lang w:val="sr-Cyrl-RS"/>
        </w:rPr>
        <w:t>95/18</w:t>
      </w:r>
      <w:r w:rsidR="000C06F1">
        <w:rPr>
          <w:rFonts w:cs="Times New Roman"/>
          <w:sz w:val="22"/>
          <w:lang w:val="sr-Cyrl-RS"/>
        </w:rPr>
        <w:t xml:space="preserve"> – др. заакон</w:t>
      </w:r>
      <w:r w:rsidRPr="00EF2F18">
        <w:rPr>
          <w:rFonts w:cs="Times New Roman"/>
          <w:sz w:val="22"/>
          <w:lang w:val="sr-Cyrl-RS"/>
        </w:rPr>
        <w:t xml:space="preserve">) </w:t>
      </w:r>
      <w:r w:rsidR="00857AEF" w:rsidRPr="00EF2F18">
        <w:rPr>
          <w:rFonts w:cs="Times New Roman"/>
          <w:sz w:val="22"/>
          <w:lang w:val="sr-Cyrl-RS"/>
        </w:rPr>
        <w:t>уређује правни статус вода, интегрално управљање водама, управљање водним објектима и водним земљиштем. Закон прописује мере и активности усмерене на одржавање и унапређење водног режима, обезбеђивање потребних количина вода захтеваног квалитета за различите намене, заштиту од загађивања и заштиту од штетног дејства вода</w:t>
      </w:r>
      <w:r w:rsidRPr="00EF2F18">
        <w:rPr>
          <w:rFonts w:cs="Times New Roman"/>
          <w:sz w:val="22"/>
          <w:lang w:val="sr-Cyrl-RS"/>
        </w:rPr>
        <w:t>.</w:t>
      </w:r>
    </w:p>
    <w:p w14:paraId="3649D49C" w14:textId="4154D271" w:rsidR="00EB1CE1" w:rsidRPr="00EF2F18" w:rsidRDefault="00EB1CE1" w:rsidP="00EB1CE1">
      <w:pPr>
        <w:spacing w:after="0"/>
        <w:ind w:left="-15" w:right="-7" w:firstLine="735"/>
        <w:jc w:val="both"/>
        <w:rPr>
          <w:rFonts w:cs="Times New Roman"/>
          <w:sz w:val="22"/>
          <w:lang w:val="sr-Cyrl-RS"/>
        </w:rPr>
      </w:pPr>
      <w:r w:rsidRPr="00EF2F18">
        <w:rPr>
          <w:rFonts w:cs="Times New Roman"/>
          <w:b/>
          <w:bCs/>
          <w:sz w:val="22"/>
          <w:lang w:val="sr-Cyrl-RS"/>
        </w:rPr>
        <w:t xml:space="preserve">Закон о потврђивању Конвенције о сарадњи на заштити и одрживом коришћењу реке Дунав </w:t>
      </w:r>
      <w:r w:rsidRPr="00EF2F18">
        <w:rPr>
          <w:rFonts w:cs="Times New Roman"/>
          <w:sz w:val="22"/>
          <w:lang w:val="sr-Cyrl-RS"/>
        </w:rPr>
        <w:t>(„Службени лист СРЈ –</w:t>
      </w:r>
      <w:r w:rsidR="008765A6" w:rsidRPr="00EF2F18">
        <w:rPr>
          <w:rFonts w:cs="Times New Roman"/>
          <w:sz w:val="22"/>
          <w:lang w:val="sr-Cyrl-RS"/>
        </w:rPr>
        <w:t xml:space="preserve"> Међународни уговори”, број 2/</w:t>
      </w:r>
      <w:r w:rsidRPr="00EF2F18">
        <w:rPr>
          <w:rFonts w:cs="Times New Roman"/>
          <w:sz w:val="22"/>
          <w:lang w:val="sr-Cyrl-RS"/>
        </w:rPr>
        <w:t>03) ратификован је 30. јануара 2003. године. Овај закон правни је основ за међународну сарадњу на заштити реке Дунав и њених притока, која се остварује кроз рад Међународне комисије за заштиту реке Дунав – ICPDR (International Commission for the Protection of the Danube River).</w:t>
      </w:r>
    </w:p>
    <w:p w14:paraId="670474F5" w14:textId="035DF967" w:rsidR="00EB1CE1" w:rsidRPr="00EF2F18" w:rsidRDefault="00EB1CE1" w:rsidP="00EB1CE1">
      <w:pPr>
        <w:spacing w:after="0"/>
        <w:ind w:left="-15" w:right="-7" w:firstLine="735"/>
        <w:jc w:val="both"/>
        <w:rPr>
          <w:rFonts w:cs="Times New Roman"/>
          <w:sz w:val="22"/>
          <w:lang w:val="sr-Cyrl-RS"/>
        </w:rPr>
      </w:pPr>
      <w:r w:rsidRPr="00EF2F18">
        <w:rPr>
          <w:rFonts w:cs="Times New Roman"/>
          <w:b/>
          <w:bCs/>
          <w:sz w:val="22"/>
          <w:lang w:val="sr-Cyrl-RS"/>
        </w:rPr>
        <w:t>Закон о ратификацији Оквирног споразума о сливу реке Саве, Протокол о режиму пловидбе уз Оквирни споразум о сливу реке Саве и Споразум о изменама Оквирног споразум о сливу реке Саве и Протокол о режиму пловидбе уз Оквирни споразум о сливу реке Саве</w:t>
      </w:r>
      <w:r w:rsidRPr="00EF2F18">
        <w:rPr>
          <w:rFonts w:cs="Times New Roman"/>
          <w:sz w:val="22"/>
          <w:lang w:val="sr-Cyrl-RS"/>
        </w:rPr>
        <w:t xml:space="preserve"> („Службени лист СЦГ - Међународни уговори</w:t>
      </w:r>
      <w:r w:rsidR="008765A6" w:rsidRPr="00EF2F18">
        <w:rPr>
          <w:rFonts w:cs="Times New Roman"/>
          <w:bCs/>
          <w:sz w:val="22"/>
          <w:lang w:val="sr-Cyrl-RS"/>
        </w:rPr>
        <w:t>”</w:t>
      </w:r>
      <w:r w:rsidRPr="00EF2F18">
        <w:rPr>
          <w:rFonts w:cs="Times New Roman"/>
          <w:sz w:val="22"/>
          <w:lang w:val="sr-Cyrl-RS"/>
        </w:rPr>
        <w:t xml:space="preserve">, број </w:t>
      </w:r>
      <w:r w:rsidR="008765A6" w:rsidRPr="00EF2F18">
        <w:rPr>
          <w:rFonts w:cs="Times New Roman"/>
          <w:sz w:val="22"/>
          <w:lang w:val="sr-Cyrl-RS"/>
        </w:rPr>
        <w:t>12/</w:t>
      </w:r>
      <w:r w:rsidRPr="00EF2F18">
        <w:rPr>
          <w:rFonts w:cs="Times New Roman"/>
          <w:sz w:val="22"/>
          <w:lang w:val="sr-Cyrl-RS"/>
        </w:rPr>
        <w:t>04) успоставља међународну сарадњу</w:t>
      </w:r>
      <w:r w:rsidR="00D5306C" w:rsidRPr="00EF2F18">
        <w:rPr>
          <w:rFonts w:cs="Times New Roman"/>
          <w:sz w:val="22"/>
          <w:lang w:val="sr-Cyrl-RS"/>
        </w:rPr>
        <w:t xml:space="preserve"> </w:t>
      </w:r>
      <w:r w:rsidR="00D5306C" w:rsidRPr="00EF2F18">
        <w:rPr>
          <w:rFonts w:cs="Times New Roman"/>
          <w:bCs/>
          <w:sz w:val="22"/>
          <w:lang w:val="sr-Cyrl-RS"/>
        </w:rPr>
        <w:t>Републике Србије</w:t>
      </w:r>
      <w:r w:rsidRPr="00EF2F18">
        <w:rPr>
          <w:rFonts w:cs="Times New Roman"/>
          <w:sz w:val="22"/>
          <w:lang w:val="sr-Cyrl-RS"/>
        </w:rPr>
        <w:t>, Хрватске, Б</w:t>
      </w:r>
      <w:r w:rsidR="00D5306C" w:rsidRPr="00EF2F18">
        <w:rPr>
          <w:rFonts w:cs="Times New Roman"/>
          <w:sz w:val="22"/>
          <w:lang w:val="sr-Cyrl-RS"/>
        </w:rPr>
        <w:t xml:space="preserve">осне </w:t>
      </w:r>
      <w:r w:rsidRPr="00EF2F18">
        <w:rPr>
          <w:rFonts w:cs="Times New Roman"/>
          <w:sz w:val="22"/>
          <w:lang w:val="sr-Cyrl-RS"/>
        </w:rPr>
        <w:t>и</w:t>
      </w:r>
      <w:r w:rsidR="00D5306C" w:rsidRPr="00EF2F18">
        <w:rPr>
          <w:rFonts w:cs="Times New Roman"/>
          <w:sz w:val="22"/>
          <w:lang w:val="sr-Cyrl-RS"/>
        </w:rPr>
        <w:t xml:space="preserve"> </w:t>
      </w:r>
      <w:r w:rsidRPr="00EF2F18">
        <w:rPr>
          <w:rFonts w:cs="Times New Roman"/>
          <w:sz w:val="22"/>
          <w:lang w:val="sr-Cyrl-RS"/>
        </w:rPr>
        <w:t>Х</w:t>
      </w:r>
      <w:r w:rsidR="00D5306C" w:rsidRPr="00EF2F18">
        <w:rPr>
          <w:rFonts w:cs="Times New Roman"/>
          <w:sz w:val="22"/>
          <w:lang w:val="sr-Cyrl-RS"/>
        </w:rPr>
        <w:t>ерцеговине</w:t>
      </w:r>
      <w:r w:rsidRPr="00EF2F18">
        <w:rPr>
          <w:rFonts w:cs="Times New Roman"/>
          <w:sz w:val="22"/>
          <w:lang w:val="sr-Cyrl-RS"/>
        </w:rPr>
        <w:t xml:space="preserve"> и Словеније за одрживо управљање водама и пловидбу, што обухвата регулисање пловидбе, заштиту вода, екосистема, заштиту од поплава и развој инфраструктуре.</w:t>
      </w:r>
    </w:p>
    <w:p w14:paraId="3F0D4586" w14:textId="7FF38BBB" w:rsidR="008B3517" w:rsidRPr="00EF2F18" w:rsidRDefault="008B3517" w:rsidP="004642B8">
      <w:pPr>
        <w:spacing w:after="0"/>
        <w:ind w:left="-15" w:right="-7" w:firstLine="735"/>
        <w:jc w:val="both"/>
        <w:rPr>
          <w:rFonts w:cs="Times New Roman"/>
          <w:sz w:val="22"/>
          <w:lang w:val="sr-Cyrl-RS"/>
        </w:rPr>
      </w:pPr>
      <w:r w:rsidRPr="00EF2F18">
        <w:rPr>
          <w:rFonts w:cs="Times New Roman"/>
          <w:b/>
          <w:bCs/>
          <w:sz w:val="22"/>
          <w:lang w:val="sr-Cyrl-RS"/>
        </w:rPr>
        <w:t>Законом о заштити земљишта</w:t>
      </w:r>
      <w:r w:rsidRPr="00EF2F18">
        <w:rPr>
          <w:rFonts w:cs="Times New Roman"/>
          <w:sz w:val="22"/>
          <w:lang w:val="sr-Cyrl-RS"/>
        </w:rPr>
        <w:t xml:space="preserve"> </w:t>
      </w:r>
      <w:r w:rsidR="00CB78E4" w:rsidRPr="00EF2F18">
        <w:rPr>
          <w:rFonts w:cs="Times New Roman"/>
          <w:sz w:val="22"/>
          <w:lang w:val="sr-Cyrl-RS"/>
        </w:rPr>
        <w:t>(„Службени гласник РС”</w:t>
      </w:r>
      <w:r w:rsidRPr="00EF2F18">
        <w:rPr>
          <w:rFonts w:cs="Times New Roman"/>
          <w:sz w:val="22"/>
          <w:lang w:val="sr-Cyrl-RS"/>
        </w:rPr>
        <w:t>, бр</w:t>
      </w:r>
      <w:r w:rsidR="00425FCC" w:rsidRPr="00EF2F18">
        <w:rPr>
          <w:rFonts w:cs="Times New Roman"/>
          <w:sz w:val="22"/>
          <w:lang w:val="sr-Cyrl-RS"/>
        </w:rPr>
        <w:t>ој</w:t>
      </w:r>
      <w:r w:rsidRPr="00EF2F18">
        <w:rPr>
          <w:rFonts w:cs="Times New Roman"/>
          <w:sz w:val="22"/>
          <w:lang w:val="sr-Cyrl-RS"/>
        </w:rPr>
        <w:t xml:space="preserve"> 112/15) уређује се заштита земљишта, систематско праћење стања и квалитета земљишта, мере санације, ремедијације, рекултивације и друга питања од значаја за заштиту и очување земљишта као природног ресурса од националног интереса. Циљ овог закона је да се очувају површине и функције земљишта као природног ресурса и да се спрече или отклоне штетне промене у земљишту које могу да настану као последица ерозионих процеса, смањења садржаја органске материје у земљишту, непримерене пољопривредне и шумске производње, неконтролисане промене намене, управљања и коришћења земљишта, непланске изградње и развоја инфраструктуре, закисељавања (ацидификација), заслањивања (салинизација) и алкализације земљишта, сабијања земљишта, клизишта и одрона, пожара и хемијских удеса и загађења (насталог управљањем отпадом, испуштањем отпадних вода, емисијама из тачкастих и дифузних извора, хемијског загађења и др</w:t>
      </w:r>
      <w:r w:rsidR="002600A9" w:rsidRPr="00EF2F18">
        <w:rPr>
          <w:rFonts w:cs="Times New Roman"/>
          <w:sz w:val="22"/>
          <w:lang w:val="sr-Cyrl-RS"/>
        </w:rPr>
        <w:t>.</w:t>
      </w:r>
      <w:r w:rsidRPr="00EF2F18">
        <w:rPr>
          <w:rFonts w:cs="Times New Roman"/>
          <w:sz w:val="22"/>
          <w:lang w:val="sr-Cyrl-RS"/>
        </w:rPr>
        <w:t>).</w:t>
      </w:r>
    </w:p>
    <w:p w14:paraId="6D83FE3A" w14:textId="0740574D" w:rsidR="00991F40" w:rsidRPr="00EF2F18" w:rsidRDefault="00991F40" w:rsidP="00991F40">
      <w:pPr>
        <w:spacing w:after="0"/>
        <w:ind w:left="-15" w:right="-7" w:firstLine="735"/>
        <w:jc w:val="both"/>
        <w:rPr>
          <w:rFonts w:cs="Times New Roman"/>
          <w:sz w:val="22"/>
          <w:lang w:val="sr-Cyrl-RS"/>
        </w:rPr>
      </w:pPr>
      <w:r w:rsidRPr="00EF2F18">
        <w:rPr>
          <w:rFonts w:cs="Times New Roman"/>
          <w:b/>
          <w:sz w:val="22"/>
          <w:lang w:val="sr-Cyrl-RS"/>
        </w:rPr>
        <w:t>Закон о интегрисаном спречавању и контроли загађивања животне средине</w:t>
      </w:r>
      <w:r w:rsidR="00A2513F">
        <w:rPr>
          <w:rFonts w:cs="Times New Roman"/>
          <w:sz w:val="22"/>
          <w:lang w:val="sr-Cyrl-RS"/>
        </w:rPr>
        <w:t xml:space="preserve"> (,,Службени гласник РС”, број 63/26</w:t>
      </w:r>
      <w:r w:rsidRPr="00EF2F18">
        <w:rPr>
          <w:rFonts w:cs="Times New Roman"/>
          <w:sz w:val="22"/>
          <w:lang w:val="sr-Cyrl-RS"/>
        </w:rPr>
        <w:t xml:space="preserve">), уређује услове и поступак издавања интегрисане дозволе за постројења и активности која могу имати негативне утицаје на здравље људи, животну средину или материјална добра, врсте активности и постројења, надзор и друга питања. </w:t>
      </w:r>
    </w:p>
    <w:p w14:paraId="36E37E85" w14:textId="3A6D1999" w:rsidR="00B00DA1" w:rsidRPr="00EF2F18" w:rsidRDefault="00B00DA1" w:rsidP="004642B8">
      <w:pPr>
        <w:spacing w:after="0"/>
        <w:ind w:left="-15" w:right="-7" w:firstLine="735"/>
        <w:jc w:val="both"/>
        <w:rPr>
          <w:rFonts w:cs="Times New Roman"/>
          <w:b/>
          <w:bCs/>
          <w:sz w:val="22"/>
          <w:lang w:val="sr-Cyrl-RS"/>
        </w:rPr>
      </w:pPr>
      <w:r w:rsidRPr="00EF2F18">
        <w:rPr>
          <w:rFonts w:cs="Times New Roman"/>
          <w:b/>
          <w:bCs/>
          <w:sz w:val="22"/>
          <w:lang w:val="sr-Cyrl-RS"/>
        </w:rPr>
        <w:t>Закон о</w:t>
      </w:r>
      <w:r w:rsidR="00022619" w:rsidRPr="00EF2F18">
        <w:rPr>
          <w:rFonts w:cs="Times New Roman"/>
          <w:b/>
          <w:bCs/>
          <w:sz w:val="22"/>
          <w:lang w:val="sr-Cyrl-RS"/>
        </w:rPr>
        <w:t xml:space="preserve"> заштити од</w:t>
      </w:r>
      <w:r w:rsidRPr="00EF2F18">
        <w:rPr>
          <w:rFonts w:cs="Times New Roman"/>
          <w:b/>
          <w:bCs/>
          <w:sz w:val="22"/>
          <w:lang w:val="sr-Cyrl-RS"/>
        </w:rPr>
        <w:t xml:space="preserve"> бу</w:t>
      </w:r>
      <w:r w:rsidR="00022619" w:rsidRPr="00EF2F18">
        <w:rPr>
          <w:rFonts w:cs="Times New Roman"/>
          <w:b/>
          <w:bCs/>
          <w:sz w:val="22"/>
          <w:lang w:val="sr-Cyrl-RS"/>
        </w:rPr>
        <w:t>ке</w:t>
      </w:r>
      <w:r w:rsidRPr="00EF2F18">
        <w:rPr>
          <w:rFonts w:cs="Times New Roman"/>
          <w:b/>
          <w:bCs/>
          <w:sz w:val="22"/>
          <w:lang w:val="sr-Cyrl-RS"/>
        </w:rPr>
        <w:t xml:space="preserve"> у животној средини </w:t>
      </w:r>
      <w:r w:rsidR="00022619" w:rsidRPr="00EF2F18">
        <w:rPr>
          <w:rFonts w:cs="Times New Roman"/>
          <w:sz w:val="22"/>
          <w:lang w:val="sr-Cyrl-RS"/>
        </w:rPr>
        <w:t>(„Службени гласник РС”, број 96/21) уређује</w:t>
      </w:r>
      <w:r w:rsidR="00022619" w:rsidRPr="00EF2F18">
        <w:rPr>
          <w:rFonts w:cs="Times New Roman"/>
          <w:color w:val="333333"/>
          <w:sz w:val="22"/>
          <w:shd w:val="clear" w:color="auto" w:fill="FFFFFF"/>
          <w:lang w:val="sr-Cyrl-RS"/>
        </w:rPr>
        <w:t xml:space="preserve"> субјекте заштите животне средине од буке; мере и услови заштите од буке у животној средини; мерење буке у животној средини; приступ информацијама о буци; надзор и друга питања од значаја за заштиту животне средине и здравље људи.</w:t>
      </w:r>
    </w:p>
    <w:p w14:paraId="33BC185C" w14:textId="74C7D6D6" w:rsidR="00022619" w:rsidRPr="00EF2F18" w:rsidRDefault="00022619" w:rsidP="00022619">
      <w:pPr>
        <w:spacing w:after="0"/>
        <w:ind w:left="-15" w:right="-7" w:firstLine="735"/>
        <w:jc w:val="both"/>
        <w:rPr>
          <w:rFonts w:cs="Times New Roman"/>
          <w:sz w:val="22"/>
          <w:lang w:val="sr-Cyrl-RS"/>
        </w:rPr>
      </w:pPr>
      <w:r w:rsidRPr="00EF2F18">
        <w:rPr>
          <w:rFonts w:cs="Times New Roman"/>
          <w:b/>
          <w:bCs/>
          <w:sz w:val="22"/>
          <w:lang w:val="sr-Cyrl-RS"/>
        </w:rPr>
        <w:t>Закон о заштити од нејонизујући</w:t>
      </w:r>
      <w:r w:rsidR="009265DA" w:rsidRPr="00EF2F18">
        <w:rPr>
          <w:rFonts w:cs="Times New Roman"/>
          <w:b/>
          <w:bCs/>
          <w:sz w:val="22"/>
          <w:lang w:val="sr-Cyrl-RS"/>
        </w:rPr>
        <w:t>х</w:t>
      </w:r>
      <w:r w:rsidRPr="00EF2F18">
        <w:rPr>
          <w:rFonts w:cs="Times New Roman"/>
          <w:b/>
          <w:bCs/>
          <w:sz w:val="22"/>
          <w:lang w:val="sr-Cyrl-RS"/>
        </w:rPr>
        <w:t xml:space="preserve"> зрачења </w:t>
      </w:r>
      <w:r w:rsidRPr="00EF2F18">
        <w:rPr>
          <w:rFonts w:cs="Times New Roman"/>
          <w:sz w:val="22"/>
          <w:lang w:val="sr-Cyrl-RS"/>
        </w:rPr>
        <w:t>(„Службени гласник РС”, број 36/09) уређује услове и мере заштите здравља људи и заштите животне средине од штетног дејства нејонизујућих зрачења у коришћењу извора нејонизујућих зрачења.</w:t>
      </w:r>
    </w:p>
    <w:p w14:paraId="08EEA82C" w14:textId="267E8517" w:rsidR="002D380B" w:rsidRPr="00EF2F18" w:rsidRDefault="00022619" w:rsidP="00A2513F">
      <w:pPr>
        <w:spacing w:after="0"/>
        <w:ind w:left="-15" w:right="-7" w:firstLine="735"/>
        <w:jc w:val="both"/>
        <w:rPr>
          <w:rFonts w:cs="Times New Roman"/>
          <w:sz w:val="22"/>
          <w:lang w:val="sr-Cyrl-RS"/>
        </w:rPr>
      </w:pPr>
      <w:r w:rsidRPr="00EF2F18">
        <w:rPr>
          <w:rFonts w:cs="Times New Roman"/>
          <w:b/>
          <w:bCs/>
          <w:sz w:val="22"/>
          <w:lang w:val="sr-Cyrl-RS"/>
        </w:rPr>
        <w:t xml:space="preserve">Закон о радијационој и нуклеарној сигурности и безбедности </w:t>
      </w:r>
      <w:r w:rsidRPr="00EF2F18">
        <w:rPr>
          <w:rFonts w:cs="Times New Roman"/>
          <w:sz w:val="22"/>
          <w:lang w:val="sr-Cyrl-RS"/>
        </w:rPr>
        <w:t>(„Службени гласник РС”, бр. 95/18</w:t>
      </w:r>
      <w:r w:rsidR="00414FB8" w:rsidRPr="00EF2F18">
        <w:rPr>
          <w:rFonts w:cs="Times New Roman"/>
          <w:sz w:val="22"/>
          <w:lang w:val="sr-Cyrl-RS"/>
        </w:rPr>
        <w:t xml:space="preserve"> и</w:t>
      </w:r>
      <w:r w:rsidRPr="00EF2F18">
        <w:rPr>
          <w:rFonts w:cs="Times New Roman"/>
          <w:sz w:val="22"/>
          <w:lang w:val="sr-Cyrl-RS"/>
        </w:rPr>
        <w:t xml:space="preserve"> 10/19) </w:t>
      </w:r>
      <w:r w:rsidR="006F44B1" w:rsidRPr="00EF2F18">
        <w:rPr>
          <w:rFonts w:cs="Times New Roman"/>
          <w:sz w:val="22"/>
          <w:lang w:val="sr-Cyrl-RS"/>
        </w:rPr>
        <w:t>уређује мере радијационе и нуклеарне сигурности и безбедности, услове за обављање делатности са изворима зрачења, поступање у ситуацији планираног, постојећег и ванредног излагања јонизујућем зрачењу у циљу обезбеђивања заштите појединаца, становништва и животне средине од штетног утицаја јонизујућег зрачења, сада и убудуће</w:t>
      </w:r>
      <w:r w:rsidRPr="00EF2F18">
        <w:rPr>
          <w:rFonts w:cs="Times New Roman"/>
          <w:sz w:val="22"/>
          <w:lang w:val="sr-Cyrl-RS"/>
        </w:rPr>
        <w:t>.</w:t>
      </w:r>
    </w:p>
    <w:p w14:paraId="2E97731F" w14:textId="2DEE8133" w:rsidR="00F54427" w:rsidRPr="00EF2F18" w:rsidRDefault="00F54427" w:rsidP="00F54427">
      <w:pPr>
        <w:spacing w:after="0"/>
        <w:ind w:left="-15" w:right="-7" w:firstLine="735"/>
        <w:jc w:val="both"/>
        <w:rPr>
          <w:rFonts w:cs="Times New Roman"/>
          <w:sz w:val="22"/>
          <w:lang w:val="sr-Cyrl-RS"/>
        </w:rPr>
      </w:pPr>
      <w:r w:rsidRPr="00EF2F18">
        <w:rPr>
          <w:rFonts w:cs="Times New Roman"/>
          <w:b/>
          <w:bCs/>
          <w:sz w:val="22"/>
          <w:lang w:val="sr-Cyrl-RS"/>
        </w:rPr>
        <w:t xml:space="preserve">Закон о заштити природе </w:t>
      </w:r>
      <w:r w:rsidRPr="00EF2F18">
        <w:rPr>
          <w:rFonts w:cs="Times New Roman"/>
          <w:sz w:val="22"/>
          <w:lang w:val="sr-Cyrl-RS"/>
        </w:rPr>
        <w:t xml:space="preserve">(„Службени гласник РС”, бр. </w:t>
      </w:r>
      <w:r w:rsidRPr="00EF2F18">
        <w:rPr>
          <w:rFonts w:cs="Times New Roman"/>
          <w:sz w:val="22"/>
          <w:shd w:val="clear" w:color="auto" w:fill="FFFFFF"/>
          <w:lang w:val="sr-Cyrl-RS"/>
        </w:rPr>
        <w:t xml:space="preserve">36/09, 88/10, 91/10 </w:t>
      </w:r>
      <w:r w:rsidR="001301B7" w:rsidRPr="00EF2F18">
        <w:rPr>
          <w:rFonts w:cs="Times New Roman"/>
          <w:sz w:val="22"/>
          <w:shd w:val="clear" w:color="auto" w:fill="FFFFFF"/>
          <w:lang w:val="sr-Cyrl-RS"/>
        </w:rPr>
        <w:t>–</w:t>
      </w:r>
      <w:r w:rsidRPr="00EF2F18">
        <w:rPr>
          <w:rFonts w:cs="Times New Roman"/>
          <w:sz w:val="22"/>
          <w:shd w:val="clear" w:color="auto" w:fill="FFFFFF"/>
          <w:lang w:val="sr-Cyrl-RS"/>
        </w:rPr>
        <w:t xml:space="preserve"> исправка, 14/16, 95/18 </w:t>
      </w:r>
      <w:r w:rsidR="001301B7" w:rsidRPr="00EF2F18">
        <w:rPr>
          <w:rFonts w:cs="Times New Roman"/>
          <w:sz w:val="22"/>
          <w:shd w:val="clear" w:color="auto" w:fill="FFFFFF"/>
          <w:lang w:val="sr-Cyrl-RS"/>
        </w:rPr>
        <w:t>–</w:t>
      </w:r>
      <w:r w:rsidRPr="00EF2F18">
        <w:rPr>
          <w:rFonts w:cs="Times New Roman"/>
          <w:sz w:val="22"/>
          <w:shd w:val="clear" w:color="auto" w:fill="FFFFFF"/>
          <w:lang w:val="sr-Cyrl-RS"/>
        </w:rPr>
        <w:t xml:space="preserve"> др. </w:t>
      </w:r>
      <w:r w:rsidR="00414FB8" w:rsidRPr="00EF2F18">
        <w:rPr>
          <w:rFonts w:cs="Times New Roman"/>
          <w:sz w:val="22"/>
          <w:shd w:val="clear" w:color="auto" w:fill="FFFFFF"/>
          <w:lang w:val="sr-Cyrl-RS"/>
        </w:rPr>
        <w:t>з</w:t>
      </w:r>
      <w:r w:rsidRPr="00EF2F18">
        <w:rPr>
          <w:rFonts w:cs="Times New Roman"/>
          <w:sz w:val="22"/>
          <w:shd w:val="clear" w:color="auto" w:fill="FFFFFF"/>
          <w:lang w:val="sr-Cyrl-RS"/>
        </w:rPr>
        <w:t>акон</w:t>
      </w:r>
      <w:r w:rsidR="00414FB8" w:rsidRPr="00EF2F18">
        <w:rPr>
          <w:rFonts w:cs="Times New Roman"/>
          <w:sz w:val="22"/>
          <w:shd w:val="clear" w:color="auto" w:fill="FFFFFF"/>
          <w:lang w:val="sr-Cyrl-RS"/>
        </w:rPr>
        <w:t xml:space="preserve"> и</w:t>
      </w:r>
      <w:r w:rsidRPr="00EF2F18">
        <w:rPr>
          <w:rFonts w:cs="Times New Roman"/>
          <w:sz w:val="22"/>
          <w:shd w:val="clear" w:color="auto" w:fill="FFFFFF"/>
          <w:lang w:val="sr-Cyrl-RS"/>
        </w:rPr>
        <w:t xml:space="preserve"> 71/21) </w:t>
      </w:r>
      <w:r w:rsidRPr="00EF2F18">
        <w:rPr>
          <w:rFonts w:cs="Times New Roman"/>
          <w:sz w:val="22"/>
          <w:lang w:val="sr-Cyrl-RS"/>
        </w:rPr>
        <w:t>уређује заштиту и очување природе, биолошке, геолошке и предеоне разноврсности као дела животне средине. Природа као добро од општег интереса за Републику Србију ужива посебну заштиту у складу са овим законом и посебним законима.</w:t>
      </w:r>
    </w:p>
    <w:p w14:paraId="320A1DA5" w14:textId="1BA51061" w:rsidR="00235BB9" w:rsidRPr="00EF2F18" w:rsidRDefault="00235BB9" w:rsidP="00235BB9">
      <w:pPr>
        <w:spacing w:after="0"/>
        <w:ind w:left="-15" w:right="-7" w:firstLine="735"/>
        <w:jc w:val="both"/>
        <w:rPr>
          <w:rFonts w:cs="Times New Roman"/>
          <w:sz w:val="22"/>
          <w:lang w:val="sr-Cyrl-RS"/>
        </w:rPr>
      </w:pPr>
      <w:r w:rsidRPr="00EF2F18">
        <w:rPr>
          <w:rFonts w:cs="Times New Roman"/>
          <w:b/>
          <w:bCs/>
          <w:sz w:val="22"/>
          <w:lang w:val="sr-Cyrl-RS"/>
        </w:rPr>
        <w:lastRenderedPageBreak/>
        <w:t xml:space="preserve">Закон о шумама </w:t>
      </w:r>
      <w:r w:rsidRPr="00EF2F18">
        <w:rPr>
          <w:rFonts w:cs="Times New Roman"/>
          <w:sz w:val="22"/>
          <w:lang w:val="sr-Cyrl-RS"/>
        </w:rPr>
        <w:t>(„Службени гласник РС”, бр. 30/10, 93/12, 89/15 и 95/18 – др. закон) уређује очување, заштиту, планирање, гајење и коришћење шума, располагање шумама и шумским земљиштем, надзор над спровођењем овог закона, као и друга питања значајна за шуме и шумско земљиште.</w:t>
      </w:r>
    </w:p>
    <w:p w14:paraId="74D510FE" w14:textId="70E63176" w:rsidR="00764A4B" w:rsidRPr="00EF2F18" w:rsidRDefault="00F54427" w:rsidP="00F54427">
      <w:pPr>
        <w:spacing w:after="0"/>
        <w:ind w:left="-15" w:right="-7" w:firstLine="735"/>
        <w:jc w:val="both"/>
        <w:rPr>
          <w:rFonts w:cs="Times New Roman"/>
          <w:sz w:val="22"/>
          <w:lang w:val="sr-Cyrl-RS"/>
        </w:rPr>
      </w:pPr>
      <w:r w:rsidRPr="00EF2F18">
        <w:rPr>
          <w:rFonts w:cs="Times New Roman"/>
          <w:b/>
          <w:bCs/>
          <w:sz w:val="22"/>
          <w:lang w:val="sr-Cyrl-RS"/>
        </w:rPr>
        <w:t>Закон</w:t>
      </w:r>
      <w:r w:rsidR="00764A4B" w:rsidRPr="00EF2F18">
        <w:rPr>
          <w:rFonts w:cs="Times New Roman"/>
          <w:b/>
          <w:bCs/>
          <w:sz w:val="22"/>
          <w:lang w:val="sr-Cyrl-RS"/>
        </w:rPr>
        <w:t>ом</w:t>
      </w:r>
      <w:r w:rsidR="009265DA" w:rsidRPr="00EF2F18">
        <w:rPr>
          <w:rFonts w:cs="Times New Roman"/>
          <w:b/>
          <w:bCs/>
          <w:sz w:val="22"/>
          <w:lang w:val="sr-Cyrl-RS"/>
        </w:rPr>
        <w:t xml:space="preserve"> </w:t>
      </w:r>
      <w:r w:rsidRPr="00EF2F18">
        <w:rPr>
          <w:rFonts w:cs="Times New Roman"/>
          <w:b/>
          <w:bCs/>
          <w:sz w:val="22"/>
          <w:lang w:val="sr-Cyrl-RS"/>
        </w:rPr>
        <w:t>о дивљачи и ловству</w:t>
      </w:r>
      <w:r w:rsidRPr="00EF2F18">
        <w:rPr>
          <w:rFonts w:cs="Times New Roman"/>
          <w:sz w:val="22"/>
          <w:lang w:val="sr-Cyrl-RS"/>
        </w:rPr>
        <w:t xml:space="preserve"> („Службени гласник РС</w:t>
      </w:r>
      <w:r w:rsidR="00CF307C" w:rsidRPr="00EF2F18">
        <w:rPr>
          <w:rFonts w:cs="Times New Roman"/>
          <w:sz w:val="22"/>
          <w:lang w:val="sr-Cyrl-RS"/>
        </w:rPr>
        <w:t>”</w:t>
      </w:r>
      <w:r w:rsidRPr="00EF2F18">
        <w:rPr>
          <w:rFonts w:cs="Times New Roman"/>
          <w:sz w:val="22"/>
          <w:lang w:val="sr-Cyrl-RS"/>
        </w:rPr>
        <w:t>, б</w:t>
      </w:r>
      <w:r w:rsidR="00425FCC" w:rsidRPr="00EF2F18">
        <w:rPr>
          <w:rFonts w:cs="Times New Roman"/>
          <w:sz w:val="22"/>
          <w:lang w:val="sr-Cyrl-RS"/>
        </w:rPr>
        <w:t>р.</w:t>
      </w:r>
      <w:r w:rsidRPr="00EF2F18">
        <w:rPr>
          <w:rFonts w:cs="Times New Roman"/>
          <w:sz w:val="22"/>
          <w:lang w:val="sr-Cyrl-RS"/>
        </w:rPr>
        <w:t xml:space="preserve"> 18/10</w:t>
      </w:r>
      <w:r w:rsidR="00B612A0" w:rsidRPr="00EF2F18">
        <w:rPr>
          <w:rFonts w:cs="Times New Roman"/>
          <w:sz w:val="22"/>
          <w:lang w:val="sr-Cyrl-RS"/>
        </w:rPr>
        <w:t>,</w:t>
      </w:r>
      <w:r w:rsidRPr="00EF2F18">
        <w:rPr>
          <w:rFonts w:cs="Times New Roman"/>
          <w:sz w:val="22"/>
          <w:lang w:val="sr-Cyrl-RS"/>
        </w:rPr>
        <w:t xml:space="preserve"> 95/18 </w:t>
      </w:r>
      <w:r w:rsidR="00A2513F">
        <w:rPr>
          <w:rFonts w:cs="Times New Roman"/>
          <w:sz w:val="22"/>
          <w:lang w:val="sr-Cyrl-RS"/>
        </w:rPr>
        <w:t>–</w:t>
      </w:r>
      <w:r w:rsidRPr="00EF2F18">
        <w:rPr>
          <w:rFonts w:cs="Times New Roman"/>
          <w:sz w:val="22"/>
          <w:lang w:val="sr-Cyrl-RS"/>
        </w:rPr>
        <w:t xml:space="preserve"> др. </w:t>
      </w:r>
      <w:r w:rsidR="00B612A0" w:rsidRPr="00EF2F18">
        <w:rPr>
          <w:rFonts w:cs="Times New Roman"/>
          <w:sz w:val="22"/>
          <w:lang w:val="sr-Cyrl-RS"/>
        </w:rPr>
        <w:t xml:space="preserve">закон и 92/23 </w:t>
      </w:r>
      <w:r w:rsidR="00A2513F">
        <w:rPr>
          <w:rFonts w:cs="Times New Roman"/>
          <w:sz w:val="22"/>
          <w:lang w:val="sr-Cyrl-RS"/>
        </w:rPr>
        <w:t>–</w:t>
      </w:r>
      <w:r w:rsidR="00B612A0" w:rsidRPr="00EF2F18">
        <w:rPr>
          <w:rFonts w:cs="Times New Roman"/>
          <w:sz w:val="22"/>
          <w:lang w:val="sr-Cyrl-RS"/>
        </w:rPr>
        <w:t xml:space="preserve"> др. закон</w:t>
      </w:r>
      <w:r w:rsidRPr="00EF2F18">
        <w:rPr>
          <w:rFonts w:cs="Times New Roman"/>
          <w:sz w:val="22"/>
          <w:lang w:val="sr-Cyrl-RS"/>
        </w:rPr>
        <w:t xml:space="preserve">) </w:t>
      </w:r>
      <w:r w:rsidR="00764A4B" w:rsidRPr="00EF2F18">
        <w:rPr>
          <w:rFonts w:cs="Times New Roman"/>
          <w:sz w:val="22"/>
          <w:shd w:val="clear" w:color="auto" w:fill="FFFFFF"/>
          <w:lang w:val="sr-Cyrl-RS"/>
        </w:rPr>
        <w:t>уређује се: заштита, управљање, лов, коришћење и унапређивање популација дивљачи у ловишту; заштита, очување и унапређивање станишта дивљачи; заштита, уређивање и одржавање ловишта и друга питања од значаја за дивљач и ловство.</w:t>
      </w:r>
    </w:p>
    <w:p w14:paraId="04EFB9C3" w14:textId="675D74EF" w:rsidR="00F54427" w:rsidRPr="00EF2F18" w:rsidRDefault="00F54427" w:rsidP="00F54427">
      <w:pPr>
        <w:spacing w:after="0"/>
        <w:ind w:left="-15" w:right="-7" w:firstLine="735"/>
        <w:jc w:val="both"/>
        <w:rPr>
          <w:rFonts w:cs="Times New Roman"/>
          <w:sz w:val="22"/>
          <w:lang w:val="sr-Cyrl-RS"/>
        </w:rPr>
      </w:pPr>
      <w:bookmarkStart w:id="13" w:name="_Hlk136271257"/>
      <w:r w:rsidRPr="00EF2F18">
        <w:rPr>
          <w:rFonts w:cs="Times New Roman"/>
          <w:b/>
          <w:bCs/>
          <w:sz w:val="22"/>
          <w:lang w:val="sr-Cyrl-RS"/>
        </w:rPr>
        <w:t>Закон о заштити и одрживом коришћењу рибљег фонда</w:t>
      </w:r>
      <w:r w:rsidRPr="00EF2F18">
        <w:rPr>
          <w:rFonts w:cs="Times New Roman"/>
          <w:sz w:val="22"/>
          <w:lang w:val="sr-Cyrl-RS"/>
        </w:rPr>
        <w:t xml:space="preserve"> („Службени гласник РС</w:t>
      </w:r>
      <w:r w:rsidR="00CF307C" w:rsidRPr="00EF2F18">
        <w:rPr>
          <w:rFonts w:cs="Times New Roman"/>
          <w:sz w:val="22"/>
          <w:lang w:val="sr-Cyrl-RS"/>
        </w:rPr>
        <w:t>”</w:t>
      </w:r>
      <w:r w:rsidRPr="00EF2F18">
        <w:rPr>
          <w:rFonts w:cs="Times New Roman"/>
          <w:sz w:val="22"/>
          <w:lang w:val="sr-Cyrl-RS"/>
        </w:rPr>
        <w:t>, бр</w:t>
      </w:r>
      <w:r w:rsidR="00425FCC" w:rsidRPr="00EF2F18">
        <w:rPr>
          <w:rFonts w:cs="Times New Roman"/>
          <w:sz w:val="22"/>
          <w:lang w:val="sr-Cyrl-RS"/>
        </w:rPr>
        <w:t>.</w:t>
      </w:r>
      <w:r w:rsidRPr="00EF2F18">
        <w:rPr>
          <w:rFonts w:cs="Times New Roman"/>
          <w:sz w:val="22"/>
          <w:lang w:val="sr-Cyrl-RS"/>
        </w:rPr>
        <w:t xml:space="preserve"> 128/14</w:t>
      </w:r>
      <w:r w:rsidR="00414FB8" w:rsidRPr="00EF2F18">
        <w:rPr>
          <w:rFonts w:cs="Times New Roman"/>
          <w:sz w:val="22"/>
          <w:lang w:val="sr-Cyrl-RS"/>
        </w:rPr>
        <w:t xml:space="preserve"> и</w:t>
      </w:r>
      <w:r w:rsidR="00425FCC" w:rsidRPr="00EF2F18">
        <w:rPr>
          <w:rFonts w:cs="Times New Roman"/>
          <w:sz w:val="22"/>
          <w:lang w:val="sr-Cyrl-RS"/>
        </w:rPr>
        <w:t xml:space="preserve"> </w:t>
      </w:r>
      <w:r w:rsidRPr="00EF2F18">
        <w:rPr>
          <w:rFonts w:cs="Times New Roman"/>
          <w:sz w:val="22"/>
          <w:lang w:val="sr-Cyrl-RS"/>
        </w:rPr>
        <w:t xml:space="preserve">95/18 </w:t>
      </w:r>
      <w:r w:rsidR="007F47DF" w:rsidRPr="00EF2F18">
        <w:rPr>
          <w:rFonts w:cs="Times New Roman"/>
          <w:sz w:val="22"/>
          <w:lang w:val="sr-Cyrl-RS"/>
        </w:rPr>
        <w:t>–</w:t>
      </w:r>
      <w:r w:rsidRPr="00EF2F18">
        <w:rPr>
          <w:rFonts w:cs="Times New Roman"/>
          <w:sz w:val="22"/>
          <w:lang w:val="sr-Cyrl-RS"/>
        </w:rPr>
        <w:t xml:space="preserve"> др</w:t>
      </w:r>
      <w:r w:rsidR="007F47DF" w:rsidRPr="00EF2F18">
        <w:rPr>
          <w:rFonts w:cs="Times New Roman"/>
          <w:sz w:val="22"/>
          <w:lang w:val="sr-Cyrl-RS"/>
        </w:rPr>
        <w:t>.</w:t>
      </w:r>
      <w:r w:rsidRPr="00EF2F18">
        <w:rPr>
          <w:rFonts w:cs="Times New Roman"/>
          <w:sz w:val="22"/>
          <w:lang w:val="sr-Cyrl-RS"/>
        </w:rPr>
        <w:t xml:space="preserve"> </w:t>
      </w:r>
      <w:bookmarkEnd w:id="13"/>
      <w:r w:rsidRPr="00EF2F18">
        <w:rPr>
          <w:rFonts w:cs="Times New Roman"/>
          <w:sz w:val="22"/>
          <w:lang w:val="sr-Cyrl-RS"/>
        </w:rPr>
        <w:t>закон)</w:t>
      </w:r>
      <w:r w:rsidR="00764A4B" w:rsidRPr="00EF2F18">
        <w:rPr>
          <w:rFonts w:cs="Times New Roman"/>
          <w:sz w:val="22"/>
          <w:lang w:val="sr-Cyrl-RS"/>
        </w:rPr>
        <w:t xml:space="preserve"> уређује </w:t>
      </w:r>
      <w:r w:rsidR="00764A4B" w:rsidRPr="00EF2F18">
        <w:rPr>
          <w:rFonts w:cs="Times New Roman"/>
          <w:sz w:val="22"/>
          <w:shd w:val="clear" w:color="auto" w:fill="FFFFFF"/>
          <w:lang w:val="sr-Cyrl-RS"/>
        </w:rPr>
        <w:t xml:space="preserve">управљање рибљим фондом у риболовним водама, које обухвата заштиту и одрживо коришћење рибљег фонда као добра од општег интереса, </w:t>
      </w:r>
      <w:r w:rsidR="00F26C75" w:rsidRPr="00EF2F18">
        <w:rPr>
          <w:rFonts w:cs="Times New Roman"/>
          <w:sz w:val="22"/>
          <w:shd w:val="clear" w:color="auto" w:fill="FFFFFF"/>
          <w:lang w:val="sr-Cyrl-RS"/>
        </w:rPr>
        <w:t>као и</w:t>
      </w:r>
      <w:r w:rsidR="005E5FF9" w:rsidRPr="00EF2F18">
        <w:rPr>
          <w:rFonts w:cs="Times New Roman"/>
          <w:sz w:val="22"/>
          <w:lang w:val="sr-Cyrl-RS"/>
        </w:rPr>
        <w:t xml:space="preserve"> </w:t>
      </w:r>
      <w:r w:rsidR="00F26C75" w:rsidRPr="00EF2F18">
        <w:rPr>
          <w:rFonts w:cs="Times New Roman"/>
          <w:sz w:val="22"/>
          <w:lang w:val="sr-Cyrl-RS"/>
        </w:rPr>
        <w:t>установљавање и уступање рибарских подручја, обавезу израде и садржај програма управљања рибарским подручјем, мере за очување и заштиту рибљег фонда, ограничења коришћења риболовних вода, услове за обављање риболова и друга питања значајна за заштиту овог ресурса</w:t>
      </w:r>
      <w:r w:rsidR="00764A4B" w:rsidRPr="00EF2F18">
        <w:rPr>
          <w:rFonts w:cs="Times New Roman"/>
          <w:sz w:val="22"/>
          <w:lang w:val="sr-Cyrl-RS"/>
        </w:rPr>
        <w:t>.</w:t>
      </w:r>
    </w:p>
    <w:p w14:paraId="142C8063" w14:textId="59897942" w:rsidR="0085644E" w:rsidRPr="00EF2F18" w:rsidRDefault="0085644E" w:rsidP="000704C5">
      <w:pPr>
        <w:spacing w:after="0"/>
        <w:ind w:left="-15" w:right="-7" w:firstLine="735"/>
        <w:jc w:val="both"/>
        <w:rPr>
          <w:rFonts w:cs="Times New Roman"/>
          <w:sz w:val="22"/>
          <w:lang w:val="sr-Cyrl-RS"/>
        </w:rPr>
      </w:pPr>
      <w:r w:rsidRPr="00EF2F18">
        <w:rPr>
          <w:rFonts w:cs="Times New Roman"/>
          <w:b/>
          <w:bCs/>
          <w:sz w:val="22"/>
          <w:lang w:val="sr-Cyrl-RS"/>
        </w:rPr>
        <w:t xml:space="preserve">Закон о пољопривреди и руралном развоју </w:t>
      </w:r>
      <w:r w:rsidRPr="00EF2F18">
        <w:rPr>
          <w:rFonts w:cs="Times New Roman"/>
          <w:sz w:val="22"/>
          <w:lang w:val="sr-Cyrl-RS"/>
        </w:rPr>
        <w:t>(</w:t>
      </w:r>
      <w:r w:rsidR="000704C5" w:rsidRPr="00EF2F18">
        <w:rPr>
          <w:rFonts w:cs="Times New Roman"/>
          <w:sz w:val="22"/>
          <w:lang w:val="sr-Cyrl-RS"/>
        </w:rPr>
        <w:t>„</w:t>
      </w:r>
      <w:r w:rsidRPr="00EF2F18">
        <w:rPr>
          <w:rFonts w:cs="Times New Roman"/>
          <w:sz w:val="22"/>
          <w:lang w:val="sr-Cyrl-RS"/>
        </w:rPr>
        <w:t>Сл</w:t>
      </w:r>
      <w:r w:rsidR="000704C5" w:rsidRPr="00EF2F18">
        <w:rPr>
          <w:rFonts w:cs="Times New Roman"/>
          <w:sz w:val="22"/>
          <w:lang w:val="sr-Cyrl-RS"/>
        </w:rPr>
        <w:t>ужбени</w:t>
      </w:r>
      <w:r w:rsidRPr="00EF2F18">
        <w:rPr>
          <w:rFonts w:cs="Times New Roman"/>
          <w:sz w:val="22"/>
          <w:lang w:val="sr-Cyrl-RS"/>
        </w:rPr>
        <w:t xml:space="preserve"> гласник РС</w:t>
      </w:r>
      <w:r w:rsidR="000704C5" w:rsidRPr="00EF2F18">
        <w:rPr>
          <w:rFonts w:cs="Times New Roman"/>
          <w:sz w:val="22"/>
          <w:lang w:val="sr-Cyrl-RS"/>
        </w:rPr>
        <w:t>”</w:t>
      </w:r>
      <w:r w:rsidRPr="00EF2F18">
        <w:rPr>
          <w:rFonts w:cs="Times New Roman"/>
          <w:sz w:val="22"/>
          <w:lang w:val="sr-Cyrl-RS"/>
        </w:rPr>
        <w:t xml:space="preserve">, бр. 41/09, 10/13 </w:t>
      </w:r>
      <w:r w:rsidR="001301B7" w:rsidRPr="00EF2F18">
        <w:rPr>
          <w:rFonts w:cs="Times New Roman"/>
          <w:sz w:val="22"/>
          <w:lang w:val="sr-Cyrl-RS"/>
        </w:rPr>
        <w:t>–</w:t>
      </w:r>
      <w:r w:rsidRPr="00EF2F18">
        <w:rPr>
          <w:rFonts w:cs="Times New Roman"/>
          <w:sz w:val="22"/>
          <w:lang w:val="sr-Cyrl-RS"/>
        </w:rPr>
        <w:t xml:space="preserve"> др. за</w:t>
      </w:r>
      <w:r w:rsidR="008765A6" w:rsidRPr="00EF2F18">
        <w:rPr>
          <w:rFonts w:cs="Times New Roman"/>
          <w:sz w:val="22"/>
          <w:lang w:val="sr-Cyrl-RS"/>
        </w:rPr>
        <w:t xml:space="preserve">кон, 101/16, 67/21 </w:t>
      </w:r>
      <w:r w:rsidR="001301B7" w:rsidRPr="00EF2F18">
        <w:rPr>
          <w:rFonts w:cs="Times New Roman"/>
          <w:sz w:val="22"/>
          <w:lang w:val="sr-Cyrl-RS"/>
        </w:rPr>
        <w:t>–</w:t>
      </w:r>
      <w:r w:rsidR="008765A6" w:rsidRPr="00EF2F18">
        <w:rPr>
          <w:rFonts w:cs="Times New Roman"/>
          <w:sz w:val="22"/>
          <w:lang w:val="sr-Cyrl-RS"/>
        </w:rPr>
        <w:t xml:space="preserve"> др. закон,</w:t>
      </w:r>
      <w:r w:rsidRPr="00EF2F18">
        <w:rPr>
          <w:rFonts w:cs="Times New Roman"/>
          <w:sz w:val="22"/>
          <w:lang w:val="sr-Cyrl-RS"/>
        </w:rPr>
        <w:t xml:space="preserve"> 114/21</w:t>
      </w:r>
      <w:r w:rsidR="008765A6" w:rsidRPr="00EF2F18">
        <w:rPr>
          <w:rFonts w:cs="Times New Roman"/>
          <w:sz w:val="22"/>
          <w:lang w:val="sr-Cyrl-RS"/>
        </w:rPr>
        <w:t xml:space="preserve"> и 19/25</w:t>
      </w:r>
      <w:r w:rsidRPr="00EF2F18">
        <w:rPr>
          <w:rFonts w:cs="Times New Roman"/>
          <w:sz w:val="22"/>
          <w:lang w:val="sr-Cyrl-RS"/>
        </w:rPr>
        <w:t xml:space="preserve">) </w:t>
      </w:r>
      <w:r w:rsidR="000704C5" w:rsidRPr="00EF2F18">
        <w:rPr>
          <w:rFonts w:cs="Times New Roman"/>
          <w:sz w:val="22"/>
          <w:lang w:val="sr-Cyrl-RS"/>
        </w:rPr>
        <w:t>уређује циљеве пољопривредне политике и политике руралног развоја, као и начин њиховог остваривања, Регистар пољопривредних газдинстава, евидентирање и извештавање у пољопривреди, као и надзор над спровођењем овог закона. Овим законом уређују се и правила посебног поступка спровођења и контроле ИПАРД програма. Овим законом образује се Управа за аграрна плаћања, као орган управе у саставу министарства надлежног за послове пољопривреде и уређује њена надлежност.</w:t>
      </w:r>
    </w:p>
    <w:p w14:paraId="7FCF03AC" w14:textId="0B09EBD6" w:rsidR="000704C5" w:rsidRPr="00EF2F18" w:rsidRDefault="000704C5" w:rsidP="000704C5">
      <w:pPr>
        <w:spacing w:after="0"/>
        <w:ind w:left="-15" w:right="-7" w:firstLine="735"/>
        <w:jc w:val="both"/>
        <w:rPr>
          <w:rFonts w:cs="Times New Roman"/>
          <w:sz w:val="22"/>
          <w:lang w:val="sr-Cyrl-RS"/>
        </w:rPr>
      </w:pPr>
      <w:r w:rsidRPr="00EF2F18">
        <w:rPr>
          <w:rFonts w:cs="Times New Roman"/>
          <w:b/>
          <w:bCs/>
          <w:sz w:val="22"/>
          <w:lang w:val="sr-Cyrl-RS"/>
        </w:rPr>
        <w:t>Закон о подстицајима у пољопривреди и руралном развоју</w:t>
      </w:r>
      <w:r w:rsidRPr="00EF2F18">
        <w:rPr>
          <w:rFonts w:cs="Times New Roman"/>
          <w:sz w:val="22"/>
          <w:lang w:val="sr-Cyrl-RS"/>
        </w:rPr>
        <w:t xml:space="preserve"> („Службени гласник РС”, бр. 10/13, 142/14, 103/15, 101/16, 35/23</w:t>
      </w:r>
      <w:r w:rsidR="00B51A8A" w:rsidRPr="00EF2F18">
        <w:rPr>
          <w:rFonts w:cs="Times New Roman"/>
          <w:sz w:val="22"/>
          <w:lang w:val="sr-Cyrl-RS"/>
        </w:rPr>
        <w:t>,</w:t>
      </w:r>
      <w:r w:rsidRPr="00EF2F18">
        <w:rPr>
          <w:rFonts w:cs="Times New Roman"/>
          <w:sz w:val="22"/>
          <w:lang w:val="sr-Cyrl-RS"/>
        </w:rPr>
        <w:t xml:space="preserve"> 92/23</w:t>
      </w:r>
      <w:r w:rsidR="00B51A8A" w:rsidRPr="00EF2F18">
        <w:rPr>
          <w:rFonts w:cs="Times New Roman"/>
          <w:sz w:val="22"/>
          <w:lang w:val="sr-Cyrl-RS"/>
        </w:rPr>
        <w:t xml:space="preserve"> и 94/24</w:t>
      </w:r>
      <w:r w:rsidRPr="00EF2F18">
        <w:rPr>
          <w:rFonts w:cs="Times New Roman"/>
          <w:sz w:val="22"/>
          <w:lang w:val="sr-Cyrl-RS"/>
        </w:rPr>
        <w:t>) уређује врсте подстицаја, начин коришћења подстицаја, Регистар подстицаја у пољопривреди и руралном развоју, као и услове за остваривање права на подстицаје у пољопривреди и руралном развоју.</w:t>
      </w:r>
    </w:p>
    <w:p w14:paraId="1702BF80" w14:textId="2D6B9B2B" w:rsidR="007E62C5" w:rsidRPr="00EF2F18" w:rsidRDefault="00D05BB0" w:rsidP="0085644E">
      <w:pPr>
        <w:spacing w:after="0"/>
        <w:ind w:left="-15" w:right="-7" w:firstLine="735"/>
        <w:jc w:val="both"/>
        <w:rPr>
          <w:rFonts w:cs="Times New Roman"/>
          <w:sz w:val="22"/>
          <w:lang w:val="sr-Cyrl-RS"/>
        </w:rPr>
      </w:pPr>
      <w:r w:rsidRPr="00EF2F18">
        <w:rPr>
          <w:rFonts w:cs="Times New Roman"/>
          <w:b/>
          <w:bCs/>
          <w:sz w:val="22"/>
          <w:lang w:val="sr-Cyrl-RS"/>
        </w:rPr>
        <w:t xml:space="preserve">Законом о пољопривредном земљишту </w:t>
      </w:r>
      <w:r w:rsidRPr="00EF2F18">
        <w:rPr>
          <w:rFonts w:cs="Times New Roman"/>
          <w:sz w:val="22"/>
          <w:lang w:val="sr-Cyrl-RS"/>
        </w:rPr>
        <w:t>(„Службени гласник РС”, бр. 62/06, 65/08, 41/09, 112/15, 80/17</w:t>
      </w:r>
      <w:r w:rsidR="00414FB8" w:rsidRPr="00EF2F18">
        <w:rPr>
          <w:rFonts w:cs="Times New Roman"/>
          <w:sz w:val="22"/>
          <w:lang w:val="sr-Cyrl-RS"/>
        </w:rPr>
        <w:t xml:space="preserve"> и</w:t>
      </w:r>
      <w:r w:rsidRPr="00EF2F18">
        <w:rPr>
          <w:rFonts w:cs="Times New Roman"/>
          <w:sz w:val="22"/>
          <w:lang w:val="sr-Cyrl-RS"/>
        </w:rPr>
        <w:t xml:space="preserve"> 95/18) уређује се заштита земљишта, као и услови коришћења земљишта и обавеза власника, односно корисника пољопривредног земљишта да исто користи у складу са правилима кодекса добре пољопривредне праксе (</w:t>
      </w:r>
      <w:r w:rsidR="00EF02F9" w:rsidRPr="00EF2F18">
        <w:rPr>
          <w:rFonts w:cs="Times New Roman"/>
          <w:sz w:val="22"/>
          <w:lang w:val="sr-Cyrl-RS"/>
        </w:rPr>
        <w:t>члан 59.)</w:t>
      </w:r>
      <w:r w:rsidRPr="00EF2F18">
        <w:rPr>
          <w:rFonts w:cs="Times New Roman"/>
          <w:sz w:val="22"/>
          <w:lang w:val="sr-Cyrl-RS"/>
        </w:rPr>
        <w:t>, као и низ активности и процедура везаних за мелиор</w:t>
      </w:r>
      <w:r w:rsidR="00E914A6" w:rsidRPr="00EF2F18">
        <w:rPr>
          <w:rFonts w:cs="Times New Roman"/>
          <w:sz w:val="22"/>
          <w:lang w:val="sr-Cyrl-RS"/>
        </w:rPr>
        <w:t>а</w:t>
      </w:r>
      <w:r w:rsidRPr="00EF2F18">
        <w:rPr>
          <w:rFonts w:cs="Times New Roman"/>
          <w:sz w:val="22"/>
          <w:lang w:val="sr-Cyrl-RS"/>
        </w:rPr>
        <w:t>циј</w:t>
      </w:r>
      <w:r w:rsidR="00EF02F9" w:rsidRPr="00EF2F18">
        <w:rPr>
          <w:rFonts w:cs="Times New Roman"/>
          <w:sz w:val="22"/>
          <w:lang w:val="sr-Cyrl-RS"/>
        </w:rPr>
        <w:t>у</w:t>
      </w:r>
      <w:r w:rsidRPr="00EF2F18">
        <w:rPr>
          <w:rFonts w:cs="Times New Roman"/>
          <w:sz w:val="22"/>
          <w:lang w:val="sr-Cyrl-RS"/>
        </w:rPr>
        <w:t xml:space="preserve"> земљишта</w:t>
      </w:r>
      <w:r w:rsidR="00DF08DA" w:rsidRPr="00EF2F18">
        <w:rPr>
          <w:rFonts w:cs="Times New Roman"/>
          <w:sz w:val="22"/>
          <w:lang w:val="sr-Cyrl-RS"/>
        </w:rPr>
        <w:t>.</w:t>
      </w:r>
    </w:p>
    <w:p w14:paraId="0DC3BF59" w14:textId="2645EBCA" w:rsidR="00AF6E4C" w:rsidRPr="00EF2F18" w:rsidRDefault="00AF6E4C" w:rsidP="004642B8">
      <w:pPr>
        <w:spacing w:after="0"/>
        <w:ind w:left="-15" w:right="-7" w:firstLine="735"/>
        <w:jc w:val="both"/>
        <w:rPr>
          <w:rFonts w:cs="Times New Roman"/>
          <w:sz w:val="22"/>
          <w:lang w:val="sr-Cyrl-RS"/>
        </w:rPr>
      </w:pPr>
      <w:r w:rsidRPr="00EF2F18">
        <w:rPr>
          <w:rFonts w:cs="Times New Roman"/>
          <w:b/>
          <w:iCs/>
          <w:sz w:val="22"/>
          <w:lang w:val="sr-Cyrl-RS"/>
        </w:rPr>
        <w:t xml:space="preserve">Законом о безбедности хране </w:t>
      </w:r>
      <w:r w:rsidRPr="00EF2F18">
        <w:rPr>
          <w:rFonts w:cs="Times New Roman"/>
          <w:bCs/>
          <w:iCs/>
          <w:sz w:val="22"/>
          <w:lang w:val="sr-Cyrl-RS"/>
        </w:rPr>
        <w:t>(„С</w:t>
      </w:r>
      <w:r w:rsidRPr="00EF2F18">
        <w:rPr>
          <w:rFonts w:cs="Times New Roman"/>
          <w:iCs/>
          <w:sz w:val="22"/>
          <w:lang w:val="sr-Cyrl-RS"/>
        </w:rPr>
        <w:t>лужбени гласник РС</w:t>
      </w:r>
      <w:r w:rsidR="00CF307C" w:rsidRPr="00EF2F18">
        <w:rPr>
          <w:rFonts w:cs="Times New Roman"/>
          <w:iCs/>
          <w:sz w:val="22"/>
          <w:lang w:val="sr-Cyrl-RS"/>
        </w:rPr>
        <w:t>”</w:t>
      </w:r>
      <w:r w:rsidRPr="00EF2F18">
        <w:rPr>
          <w:rFonts w:cs="Times New Roman"/>
          <w:iCs/>
          <w:sz w:val="22"/>
          <w:lang w:val="sr-Cyrl-RS"/>
        </w:rPr>
        <w:t>, бр. 41/09</w:t>
      </w:r>
      <w:r w:rsidR="00414FB8" w:rsidRPr="00EF2F18">
        <w:rPr>
          <w:rFonts w:cs="Times New Roman"/>
          <w:iCs/>
          <w:sz w:val="22"/>
          <w:lang w:val="sr-Cyrl-RS"/>
        </w:rPr>
        <w:t xml:space="preserve"> и</w:t>
      </w:r>
      <w:r w:rsidRPr="00EF2F18">
        <w:rPr>
          <w:rFonts w:cs="Times New Roman"/>
          <w:iCs/>
          <w:sz w:val="22"/>
          <w:lang w:val="sr-Cyrl-RS"/>
        </w:rPr>
        <w:t xml:space="preserve"> 17/19) уређују</w:t>
      </w:r>
      <w:r w:rsidRPr="00EF2F18">
        <w:rPr>
          <w:rFonts w:cs="Times New Roman"/>
          <w:sz w:val="22"/>
          <w:lang w:val="sr-Cyrl-RS"/>
        </w:rPr>
        <w:t xml:space="preserve"> се општи услови за безбедност хране и хране за животиње, обавезе и одговорности субјеката у пословању храном и храном за животиње, систем брзог обавештавања и узбуњивања, хитне мере и управљање кризним ситуацијама, хигијена и квалитет хране и хране за животиње. Закон је 2019. године допуњене одредбама које се тичу нове поделе хране, и увођења широких надлежности националне референтне лабораторије за безбедност хране и испитивање квалитета млека.</w:t>
      </w:r>
    </w:p>
    <w:p w14:paraId="528069DE" w14:textId="4FF0CB26" w:rsidR="00AF6E4C" w:rsidRPr="00EF2F18" w:rsidRDefault="00AF6E4C" w:rsidP="004642B8">
      <w:pPr>
        <w:spacing w:after="0"/>
        <w:ind w:left="-15" w:right="-7" w:firstLine="735"/>
        <w:jc w:val="both"/>
        <w:rPr>
          <w:rFonts w:cs="Times New Roman"/>
          <w:sz w:val="22"/>
          <w:lang w:val="sr-Cyrl-RS"/>
        </w:rPr>
      </w:pPr>
      <w:r w:rsidRPr="00EF2F18">
        <w:rPr>
          <w:rFonts w:cs="Times New Roman"/>
          <w:b/>
          <w:iCs/>
          <w:sz w:val="22"/>
          <w:lang w:val="sr-Cyrl-RS"/>
        </w:rPr>
        <w:t xml:space="preserve">Законом о органској производњи </w:t>
      </w:r>
      <w:r w:rsidRPr="00EF2F18">
        <w:rPr>
          <w:rFonts w:cs="Times New Roman"/>
          <w:bCs/>
          <w:iCs/>
          <w:sz w:val="22"/>
          <w:lang w:val="sr-Cyrl-RS"/>
        </w:rPr>
        <w:t>(„</w:t>
      </w:r>
      <w:r w:rsidRPr="00EF2F18">
        <w:rPr>
          <w:rFonts w:cs="Times New Roman"/>
          <w:sz w:val="22"/>
          <w:lang w:val="sr-Cyrl-RS"/>
        </w:rPr>
        <w:t>Службени гласник РС</w:t>
      </w:r>
      <w:r w:rsidR="00CF307C" w:rsidRPr="00EF2F18">
        <w:rPr>
          <w:rFonts w:cs="Times New Roman"/>
          <w:sz w:val="22"/>
          <w:lang w:val="sr-Cyrl-RS"/>
        </w:rPr>
        <w:t>”</w:t>
      </w:r>
      <w:r w:rsidR="00A2513F">
        <w:rPr>
          <w:rFonts w:cs="Times New Roman"/>
          <w:sz w:val="22"/>
          <w:lang w:val="sr-Cyrl-RS"/>
        </w:rPr>
        <w:t>, број 109/25</w:t>
      </w:r>
      <w:r w:rsidRPr="00EF2F18">
        <w:rPr>
          <w:rFonts w:cs="Times New Roman"/>
          <w:sz w:val="22"/>
          <w:lang w:val="sr-Cyrl-RS"/>
        </w:rPr>
        <w:t>) уређују се органски произведени пољопривредни производи и успостављање органске производње као целовитог система управљања и производње хране</w:t>
      </w:r>
      <w:r w:rsidR="0005322E" w:rsidRPr="00EF2F18">
        <w:rPr>
          <w:rFonts w:cs="Times New Roman"/>
          <w:sz w:val="22"/>
          <w:lang w:val="sr-Cyrl-RS"/>
        </w:rPr>
        <w:t>,</w:t>
      </w:r>
      <w:r w:rsidRPr="00EF2F18">
        <w:rPr>
          <w:rFonts w:cs="Times New Roman"/>
          <w:sz w:val="22"/>
          <w:lang w:val="sr-Cyrl-RS"/>
        </w:rPr>
        <w:t xml:space="preserve"> заснованог на еколошкој пракси, одржавању високог нивоа биодиверзитета, очувању природних ресурса и примени високих стандарда у добробити животиња и методама производње коришћењем природних супстанци. и процеса, уз примену поступака који нису штетни по здравље људи, биљака, животиња и животну средину у целини.</w:t>
      </w:r>
    </w:p>
    <w:p w14:paraId="6F988970" w14:textId="6180A501" w:rsidR="004642B8" w:rsidRPr="00EF2F18" w:rsidRDefault="004642B8" w:rsidP="00916A8E">
      <w:pPr>
        <w:spacing w:after="0"/>
        <w:ind w:left="-15" w:right="-7" w:firstLine="735"/>
        <w:jc w:val="both"/>
        <w:rPr>
          <w:rFonts w:cs="Times New Roman"/>
          <w:sz w:val="22"/>
          <w:lang w:val="sr-Cyrl-RS"/>
        </w:rPr>
      </w:pPr>
      <w:r w:rsidRPr="00EF2F18">
        <w:rPr>
          <w:rFonts w:cs="Times New Roman"/>
          <w:b/>
          <w:sz w:val="22"/>
          <w:lang w:val="sr-Cyrl-RS"/>
        </w:rPr>
        <w:t xml:space="preserve">Законом о јавним набавкама </w:t>
      </w:r>
      <w:r w:rsidRPr="00EF2F18">
        <w:rPr>
          <w:rFonts w:cs="Times New Roman"/>
          <w:sz w:val="22"/>
          <w:lang w:val="sr-Cyrl-RS"/>
        </w:rPr>
        <w:t>(,,Службени гласник РС”, бр</w:t>
      </w:r>
      <w:r w:rsidR="00B612A0" w:rsidRPr="00EF2F18">
        <w:rPr>
          <w:rFonts w:cs="Times New Roman"/>
          <w:sz w:val="22"/>
          <w:lang w:val="sr-Cyrl-RS"/>
        </w:rPr>
        <w:t>.</w:t>
      </w:r>
      <w:r w:rsidRPr="00EF2F18">
        <w:rPr>
          <w:rFonts w:cs="Times New Roman"/>
          <w:sz w:val="22"/>
          <w:lang w:val="sr-Cyrl-RS"/>
        </w:rPr>
        <w:t xml:space="preserve"> 91/19</w:t>
      </w:r>
      <w:r w:rsidR="00B612A0" w:rsidRPr="00EF2F18">
        <w:rPr>
          <w:rFonts w:cs="Times New Roman"/>
          <w:sz w:val="22"/>
          <w:lang w:val="sr-Cyrl-RS"/>
        </w:rPr>
        <w:t xml:space="preserve"> и 92/23</w:t>
      </w:r>
      <w:r w:rsidRPr="00EF2F18">
        <w:rPr>
          <w:rFonts w:cs="Times New Roman"/>
          <w:sz w:val="22"/>
          <w:lang w:val="sr-Cyrl-RS"/>
        </w:rPr>
        <w:t xml:space="preserve">) предвиђена </w:t>
      </w:r>
      <w:r w:rsidR="001301B7" w:rsidRPr="00EF2F18">
        <w:rPr>
          <w:rFonts w:cs="Times New Roman"/>
          <w:sz w:val="22"/>
          <w:lang w:val="sr-Cyrl-RS"/>
        </w:rPr>
        <w:t xml:space="preserve">је </w:t>
      </w:r>
      <w:r w:rsidRPr="00EF2F18">
        <w:rPr>
          <w:rFonts w:cs="Times New Roman"/>
          <w:sz w:val="22"/>
          <w:lang w:val="sr-Cyrl-RS"/>
        </w:rPr>
        <w:t>могућност набавке добара, услуга и радова са бољим перформансама по животну средину (укључујући и узимање у обзир одговарајућег означавања и успостављеног система менаџмента животном средином), кроз укључивање одговарајућих захтева у техничким спецификацијама, критеријума за доделу уговора, а који се односе на предности у вези са животном средином и укупне трошкове животног циклуса предмета јавне набавке. Посебна пажња је посвећена трошковима животног циклуса што је од великог значаја за разумевање концепта зелених јавних набавки и за саму примену у пракси.</w:t>
      </w:r>
      <w:r w:rsidR="00B577F5" w:rsidRPr="00EF2F18">
        <w:rPr>
          <w:rFonts w:cs="Times New Roman"/>
          <w:sz w:val="22"/>
          <w:lang w:val="sr-Cyrl-RS"/>
        </w:rPr>
        <w:t xml:space="preserve"> </w:t>
      </w:r>
    </w:p>
    <w:p w14:paraId="1C9834D0" w14:textId="2FDD519D" w:rsidR="00BB5705" w:rsidRPr="00EF2F18" w:rsidRDefault="00BB5705" w:rsidP="00BB5705">
      <w:pPr>
        <w:spacing w:after="0"/>
        <w:ind w:firstLine="720"/>
        <w:jc w:val="both"/>
        <w:rPr>
          <w:rFonts w:cs="Times New Roman"/>
          <w:sz w:val="22"/>
          <w:lang w:val="sr-Cyrl-RS"/>
        </w:rPr>
      </w:pPr>
      <w:bookmarkStart w:id="14" w:name="_Hlk90341048"/>
      <w:r w:rsidRPr="00EF2F18">
        <w:rPr>
          <w:rFonts w:cs="Times New Roman"/>
          <w:b/>
          <w:bCs/>
          <w:sz w:val="22"/>
          <w:lang w:val="sr-Cyrl-RS"/>
        </w:rPr>
        <w:t>Законoм о националној инфраструктури просторних података</w:t>
      </w:r>
      <w:r w:rsidRPr="00EF2F18">
        <w:rPr>
          <w:rFonts w:cs="Times New Roman"/>
          <w:sz w:val="22"/>
          <w:lang w:val="sr-Cyrl-RS"/>
        </w:rPr>
        <w:t xml:space="preserve"> („Службени гласник РС”, брoj 27/18) уређује се успостављање и одржавање националне инфраструктуре просторних података у Републици Србији (НИГП) као метаподатака, скупова података и сервиса просторних </w:t>
      </w:r>
      <w:r w:rsidRPr="00EF2F18">
        <w:rPr>
          <w:rFonts w:cs="Times New Roman"/>
          <w:sz w:val="22"/>
          <w:lang w:val="sr-Cyrl-RS"/>
        </w:rPr>
        <w:lastRenderedPageBreak/>
        <w:t>података; мрежни сервиси и технологије; споразуми о размени, приступу и коришће</w:t>
      </w:r>
      <w:r w:rsidR="00DC7451">
        <w:rPr>
          <w:rFonts w:cs="Times New Roman"/>
          <w:sz w:val="22"/>
          <w:lang w:val="sr-Cyrl-RS"/>
        </w:rPr>
        <w:t>њу просторних података; механиз</w:t>
      </w:r>
      <w:r w:rsidRPr="00EF2F18">
        <w:rPr>
          <w:rFonts w:cs="Times New Roman"/>
          <w:sz w:val="22"/>
          <w:lang w:val="sr-Cyrl-RS"/>
        </w:rPr>
        <w:t>ми координације и праћења, процеси и процедуре који су успостављени, којим се управља и који су стављени на ра</w:t>
      </w:r>
      <w:r w:rsidR="0098758A" w:rsidRPr="00EF2F18">
        <w:rPr>
          <w:rFonts w:cs="Times New Roman"/>
          <w:sz w:val="22"/>
          <w:lang w:val="sr-Cyrl-RS"/>
        </w:rPr>
        <w:t>с</w:t>
      </w:r>
      <w:r w:rsidRPr="00EF2F18">
        <w:rPr>
          <w:rFonts w:cs="Times New Roman"/>
          <w:sz w:val="22"/>
          <w:lang w:val="sr-Cyrl-RS"/>
        </w:rPr>
        <w:t xml:space="preserve">полагање. Члан 2. наводи да се овим законом у национално законодавство транспонује ЕУ Директива 2007/2/ЕС – INSPIRE. Овим законом дефинисан је и посебан циљ НИГП-а о успостављању инфраструктуре која олакшава приступ информацијама о животној средини, тако што се јавности омогућава приступ и уклањање препрека за размену информација између органа власти, како на националном нивоу, тако и у прекограничној сарадњи. </w:t>
      </w:r>
    </w:p>
    <w:p w14:paraId="2AE6AF02" w14:textId="1228405B" w:rsidR="00635292" w:rsidRPr="00EF2F18" w:rsidRDefault="00635292" w:rsidP="00BB5705">
      <w:pPr>
        <w:spacing w:after="0"/>
        <w:ind w:firstLine="720"/>
        <w:jc w:val="both"/>
        <w:rPr>
          <w:rFonts w:cs="Times New Roman"/>
          <w:sz w:val="22"/>
          <w:lang w:val="sr-Cyrl-RS"/>
        </w:rPr>
      </w:pPr>
      <w:r w:rsidRPr="00EF2F18">
        <w:rPr>
          <w:rFonts w:cs="Times New Roman"/>
          <w:b/>
          <w:bCs/>
          <w:sz w:val="22"/>
          <w:lang w:val="sr-Cyrl-RS"/>
        </w:rPr>
        <w:t>Закон о смањењу ризика од катастрофа и управљању ванредним ситуацијама</w:t>
      </w:r>
      <w:r w:rsidR="00FC75B4" w:rsidRPr="00EF2F18">
        <w:rPr>
          <w:rFonts w:cs="Times New Roman"/>
          <w:sz w:val="22"/>
          <w:lang w:val="sr-Cyrl-RS"/>
        </w:rPr>
        <w:t xml:space="preserve"> </w:t>
      </w:r>
      <w:r w:rsidRPr="00EF2F18">
        <w:rPr>
          <w:rFonts w:cs="Times New Roman"/>
          <w:sz w:val="22"/>
          <w:lang w:val="sr-Cyrl-RS"/>
        </w:rPr>
        <w:t>(„Службени гласник РС”, брoj 87/18) уређује смањење ризика од катастрофа, као и управљање ванредним ситуацијама, где смањење ризика од катастрофа подразумева и праћење климатских промена и прилагођавање заједнице на очекиване последице.</w:t>
      </w:r>
      <w:r w:rsidR="00FC75B4" w:rsidRPr="00EF2F18">
        <w:rPr>
          <w:rFonts w:cs="Times New Roman"/>
          <w:sz w:val="22"/>
          <w:lang w:val="sr-Cyrl-RS"/>
        </w:rPr>
        <w:t xml:space="preserve"> </w:t>
      </w:r>
      <w:r w:rsidRPr="00EF2F18">
        <w:rPr>
          <w:rFonts w:cs="Times New Roman"/>
          <w:sz w:val="22"/>
          <w:lang w:val="sr-Cyrl-RS"/>
        </w:rPr>
        <w:t xml:space="preserve">Према овом </w:t>
      </w:r>
      <w:r w:rsidR="008765A6" w:rsidRPr="00EF2F18">
        <w:rPr>
          <w:rFonts w:cs="Times New Roman"/>
          <w:sz w:val="22"/>
          <w:lang w:val="sr-Cyrl-RS"/>
        </w:rPr>
        <w:t xml:space="preserve">закону </w:t>
      </w:r>
      <w:r w:rsidRPr="00EF2F18">
        <w:rPr>
          <w:rFonts w:cs="Times New Roman"/>
          <w:sz w:val="22"/>
          <w:lang w:val="sr-Cyrl-RS"/>
        </w:rPr>
        <w:t>и Закону о метеоролошкој и хидролошкој делатности,</w:t>
      </w:r>
      <w:r w:rsidR="00FC75B4" w:rsidRPr="00EF2F18">
        <w:rPr>
          <w:rFonts w:cs="Times New Roman"/>
          <w:sz w:val="22"/>
          <w:lang w:val="sr-Cyrl-RS"/>
        </w:rPr>
        <w:t xml:space="preserve"> </w:t>
      </w:r>
      <w:r w:rsidR="00350F1A" w:rsidRPr="00EF2F18">
        <w:rPr>
          <w:rFonts w:cs="Times New Roman"/>
          <w:sz w:val="22"/>
          <w:lang w:val="sr-Cyrl-RS"/>
        </w:rPr>
        <w:t>РХМЗ је учествовао и координирао релевантне субјекте, у изради Процене ризика од катастрофа Републике Србије у делу опасности дефинисаних као град, олујни ветар, велика количина падавина, суша и топли талас, снежне мећаве и наноси, поледица и хладни талас</w:t>
      </w:r>
      <w:r w:rsidRPr="00EF2F18">
        <w:rPr>
          <w:rFonts w:cs="Times New Roman"/>
          <w:sz w:val="22"/>
          <w:lang w:val="sr-Cyrl-RS"/>
        </w:rPr>
        <w:t>.</w:t>
      </w:r>
    </w:p>
    <w:p w14:paraId="206CC42A" w14:textId="2C1717A5" w:rsidR="00BB4A09" w:rsidRPr="00EF2F18" w:rsidRDefault="00BB4A09" w:rsidP="00BB5705">
      <w:pPr>
        <w:spacing w:after="0"/>
        <w:ind w:firstLine="720"/>
        <w:jc w:val="both"/>
        <w:rPr>
          <w:sz w:val="22"/>
          <w:lang w:val="sr-Cyrl-RS"/>
        </w:rPr>
      </w:pPr>
      <w:r w:rsidRPr="00EF2F18">
        <w:rPr>
          <w:b/>
          <w:bCs/>
          <w:sz w:val="22"/>
          <w:lang w:val="sr-Cyrl-RS"/>
        </w:rPr>
        <w:t xml:space="preserve">Закон о обнови након елементарне и друге непогоде </w:t>
      </w:r>
      <w:r w:rsidRPr="00EF2F18">
        <w:rPr>
          <w:rFonts w:cs="Times New Roman"/>
          <w:sz w:val="22"/>
          <w:lang w:val="sr-Cyrl-RS"/>
        </w:rPr>
        <w:t>(„Службени гласник РС”, брoj 112/15)</w:t>
      </w:r>
      <w:r w:rsidRPr="00EF2F18">
        <w:rPr>
          <w:sz w:val="22"/>
          <w:lang w:val="sr-Cyrl-RS"/>
        </w:rPr>
        <w:t xml:space="preserve"> регулише поступак обнове и пружања помоћи грађанима и привредним субјектима који су претрпели материјалну штету услед елементарних и других непогода. Такође утврђује принцип изградње бољег у обнови, тако да друшт</w:t>
      </w:r>
      <w:r w:rsidR="002A1AEA">
        <w:rPr>
          <w:sz w:val="22"/>
          <w:lang w:val="sr-Cyrl-RS"/>
        </w:rPr>
        <w:t>во буде отпорније на будуће елемен</w:t>
      </w:r>
      <w:r w:rsidRPr="00EF2F18">
        <w:rPr>
          <w:sz w:val="22"/>
          <w:lang w:val="sr-Cyrl-RS"/>
        </w:rPr>
        <w:t xml:space="preserve">тарне и друге непогоде. </w:t>
      </w:r>
    </w:p>
    <w:p w14:paraId="793103B6" w14:textId="0B75E0EB" w:rsidR="003E6065" w:rsidRPr="00EF2F18" w:rsidRDefault="003E6065" w:rsidP="00BB5705">
      <w:pPr>
        <w:spacing w:after="0"/>
        <w:ind w:firstLine="720"/>
        <w:jc w:val="both"/>
        <w:rPr>
          <w:sz w:val="22"/>
          <w:lang w:val="sr-Cyrl-RS"/>
        </w:rPr>
      </w:pPr>
      <w:r w:rsidRPr="00EF2F18">
        <w:rPr>
          <w:b/>
          <w:bCs/>
          <w:sz w:val="22"/>
          <w:lang w:val="sr-Cyrl-RS"/>
        </w:rPr>
        <w:t>Закон</w:t>
      </w:r>
      <w:r w:rsidR="00EE6477" w:rsidRPr="00EF2F18">
        <w:rPr>
          <w:b/>
          <w:bCs/>
          <w:sz w:val="22"/>
          <w:lang w:val="sr-Cyrl-RS"/>
        </w:rPr>
        <w:t>ом</w:t>
      </w:r>
      <w:r w:rsidRPr="00EF2F18">
        <w:rPr>
          <w:b/>
          <w:bCs/>
          <w:sz w:val="22"/>
          <w:lang w:val="sr-Cyrl-RS"/>
        </w:rPr>
        <w:t xml:space="preserve"> о здравственој заштити</w:t>
      </w:r>
      <w:r w:rsidRPr="00EF2F18">
        <w:rPr>
          <w:sz w:val="22"/>
          <w:lang w:val="sr-Cyrl-RS"/>
        </w:rPr>
        <w:t xml:space="preserve"> („</w:t>
      </w:r>
      <w:r w:rsidRPr="00EF2F18">
        <w:rPr>
          <w:rFonts w:cs="Times New Roman"/>
          <w:sz w:val="22"/>
          <w:lang w:val="sr-Cyrl-RS"/>
        </w:rPr>
        <w:t>Службени</w:t>
      </w:r>
      <w:r w:rsidRPr="00EF2F18">
        <w:rPr>
          <w:sz w:val="22"/>
          <w:lang w:val="sr-Cyrl-RS"/>
        </w:rPr>
        <w:t xml:space="preserve"> гласник РС</w:t>
      </w:r>
      <w:r w:rsidR="00A64280" w:rsidRPr="00EF2F18">
        <w:rPr>
          <w:sz w:val="22"/>
          <w:lang w:val="sr-Cyrl-RS"/>
        </w:rPr>
        <w:t>”</w:t>
      </w:r>
      <w:r w:rsidR="003A01F7">
        <w:rPr>
          <w:sz w:val="22"/>
          <w:lang w:val="sr-Cyrl-RS"/>
        </w:rPr>
        <w:t>, бр. 25/19,</w:t>
      </w:r>
      <w:r w:rsidRPr="00EF2F18">
        <w:rPr>
          <w:sz w:val="22"/>
          <w:lang w:val="sr-Cyrl-RS"/>
        </w:rPr>
        <w:t xml:space="preserve"> 92/23</w:t>
      </w:r>
      <w:r w:rsidR="003A01F7">
        <w:rPr>
          <w:sz w:val="22"/>
          <w:lang w:val="sr-Cyrl-RS"/>
        </w:rPr>
        <w:t xml:space="preserve"> – аутентично тумачење и 29/25 – УС</w:t>
      </w:r>
      <w:r w:rsidRPr="00EF2F18">
        <w:rPr>
          <w:sz w:val="22"/>
          <w:lang w:val="sr-Cyrl-RS"/>
        </w:rPr>
        <w:t xml:space="preserve">) </w:t>
      </w:r>
      <w:r w:rsidR="00EE6477" w:rsidRPr="00EF2F18">
        <w:rPr>
          <w:sz w:val="22"/>
          <w:lang w:val="sr-Cyrl-RS"/>
        </w:rPr>
        <w:t>уређује се систем здравствене заштите у Републици Србији, његова организација, друштвена брига за здравље становништва, општи интерес у здравственој заштити, надзор над спровођењем овог закона, као и друга питања од значаја.</w:t>
      </w:r>
    </w:p>
    <w:p w14:paraId="7E03E5B1" w14:textId="12294CFB" w:rsidR="003E6065" w:rsidRPr="00EF2F18" w:rsidRDefault="003E6065" w:rsidP="00BB5705">
      <w:pPr>
        <w:spacing w:after="0"/>
        <w:ind w:firstLine="720"/>
        <w:jc w:val="both"/>
        <w:rPr>
          <w:rFonts w:cs="Times New Roman"/>
          <w:sz w:val="22"/>
          <w:lang w:val="sr-Cyrl-RS"/>
        </w:rPr>
      </w:pPr>
      <w:r w:rsidRPr="00EF2F18">
        <w:rPr>
          <w:b/>
          <w:bCs/>
          <w:sz w:val="22"/>
          <w:lang w:val="sr-Cyrl-RS"/>
        </w:rPr>
        <w:t>Закон о јавном здрављу</w:t>
      </w:r>
      <w:r w:rsidRPr="00EF2F18">
        <w:rPr>
          <w:sz w:val="22"/>
          <w:lang w:val="sr-Cyrl-RS"/>
        </w:rPr>
        <w:t xml:space="preserve"> („</w:t>
      </w:r>
      <w:r w:rsidRPr="00EF2F18">
        <w:rPr>
          <w:rFonts w:cs="Times New Roman"/>
          <w:sz w:val="22"/>
          <w:lang w:val="sr-Cyrl-RS"/>
        </w:rPr>
        <w:t>Службени</w:t>
      </w:r>
      <w:r w:rsidRPr="00EF2F18">
        <w:rPr>
          <w:sz w:val="22"/>
          <w:lang w:val="sr-Cyrl-RS"/>
        </w:rPr>
        <w:t xml:space="preserve"> гласник РС</w:t>
      </w:r>
      <w:r w:rsidR="00A64280" w:rsidRPr="00EF2F18">
        <w:rPr>
          <w:sz w:val="22"/>
          <w:lang w:val="sr-Cyrl-RS"/>
        </w:rPr>
        <w:t>”</w:t>
      </w:r>
      <w:r w:rsidRPr="00EF2F18">
        <w:rPr>
          <w:sz w:val="22"/>
          <w:lang w:val="sr-Cyrl-RS"/>
        </w:rPr>
        <w:t xml:space="preserve">, </w:t>
      </w:r>
      <w:r w:rsidRPr="00EF2F18">
        <w:rPr>
          <w:rFonts w:cs="Times New Roman"/>
          <w:sz w:val="22"/>
          <w:lang w:val="sr-Cyrl-RS"/>
        </w:rPr>
        <w:t xml:space="preserve">број 15/16) </w:t>
      </w:r>
      <w:r w:rsidR="00EE6477" w:rsidRPr="00EF2F18">
        <w:rPr>
          <w:rFonts w:cs="Times New Roman"/>
          <w:color w:val="333333"/>
          <w:sz w:val="22"/>
          <w:shd w:val="clear" w:color="auto" w:fill="FFFFFF"/>
          <w:lang w:val="sr-Cyrl-RS"/>
        </w:rPr>
        <w:t>уређују се области деловања јавног здравља, надлежности, планирање, спровођење активности у вези са очувањем и унапређењем здравља становништва, као и спровођењем јавног здравља у области животне средине и здравља становништва.</w:t>
      </w:r>
    </w:p>
    <w:bookmarkEnd w:id="14"/>
    <w:p w14:paraId="49DD85A6" w14:textId="207BA067" w:rsidR="004642B8" w:rsidRPr="00EF2F18" w:rsidRDefault="008765A6" w:rsidP="00BB5705">
      <w:pPr>
        <w:spacing w:after="0"/>
        <w:ind w:left="-15" w:right="-7" w:firstLine="735"/>
        <w:jc w:val="both"/>
        <w:rPr>
          <w:rFonts w:cs="Times New Roman"/>
          <w:sz w:val="22"/>
          <w:lang w:val="sr-Cyrl-RS"/>
        </w:rPr>
      </w:pPr>
      <w:r w:rsidRPr="00EF2F18">
        <w:rPr>
          <w:rFonts w:cs="Times New Roman"/>
          <w:b/>
          <w:bCs/>
          <w:color w:val="000000"/>
          <w:sz w:val="22"/>
          <w:lang w:val="sr-Cyrl-RS"/>
        </w:rPr>
        <w:t xml:space="preserve">Закон о планирању и изградњи </w:t>
      </w:r>
      <w:r w:rsidRPr="00EF2F18">
        <w:rPr>
          <w:rFonts w:cs="Times New Roman"/>
          <w:bCs/>
          <w:color w:val="000000"/>
          <w:sz w:val="22"/>
          <w:lang w:val="sr-Cyrl-RS"/>
        </w:rPr>
        <w:t>(„Службени гласник РС”, бр. 72/09, 81/09 – исправка, 64/10 – УС, 24/11, 121/12, 42/13 – УС, 50/13 – УС, 98/13 – УС, 132/14, 145/14, 83/18, 31/19, 37/19 – др. закон, 9/20, 52/21, 62/23 и 91/25)</w:t>
      </w:r>
      <w:r w:rsidR="004642B8" w:rsidRPr="00EF2F18">
        <w:rPr>
          <w:rFonts w:eastAsia="Calibri" w:cs="Times New Roman"/>
          <w:sz w:val="22"/>
          <w:lang w:val="sr-Cyrl-RS"/>
        </w:rPr>
        <w:t xml:space="preserve"> </w:t>
      </w:r>
      <w:r w:rsidR="004642B8" w:rsidRPr="00EF2F18">
        <w:rPr>
          <w:rFonts w:cs="Times New Roman"/>
          <w:sz w:val="22"/>
          <w:lang w:val="sr-Cyrl-RS"/>
        </w:rPr>
        <w:t>уређује услове и начин уређења простора, уређивање и коришћење грађевинског земљишта и изградњу објеката; вршење надзора над применом одредаба овог закона и инспекцијски надзор; друга питања од значаја за уређење простора, уређивање и коришћење грађевинског земљишта и за изградњу објеката.</w:t>
      </w:r>
    </w:p>
    <w:p w14:paraId="3B3E51E8" w14:textId="49551605" w:rsidR="004642B8" w:rsidRPr="00EF2F18" w:rsidRDefault="004642B8" w:rsidP="00916A8E">
      <w:pPr>
        <w:spacing w:after="0"/>
        <w:ind w:firstLine="720"/>
        <w:jc w:val="both"/>
        <w:rPr>
          <w:rFonts w:cs="Times New Roman"/>
          <w:sz w:val="22"/>
          <w:lang w:val="sr-Cyrl-RS"/>
        </w:rPr>
      </w:pPr>
      <w:r w:rsidRPr="00EF2F18">
        <w:rPr>
          <w:rFonts w:cs="Times New Roman"/>
          <w:b/>
          <w:sz w:val="22"/>
          <w:lang w:val="sr-Cyrl-RS"/>
        </w:rPr>
        <w:t xml:space="preserve">Закон о комуналним делатностима </w:t>
      </w:r>
      <w:r w:rsidRPr="00EF2F18">
        <w:rPr>
          <w:rFonts w:cs="Times New Roman"/>
          <w:sz w:val="22"/>
          <w:lang w:val="sr-Cyrl-RS"/>
        </w:rPr>
        <w:t>(,,Службени гласник РС”, бр. 88/11, 104/16</w:t>
      </w:r>
      <w:r w:rsidR="00B51A8A" w:rsidRPr="00EF2F18">
        <w:rPr>
          <w:rFonts w:cs="Times New Roman"/>
          <w:sz w:val="22"/>
          <w:lang w:val="sr-Cyrl-RS"/>
        </w:rPr>
        <w:t>,</w:t>
      </w:r>
      <w:r w:rsidRPr="00EF2F18">
        <w:rPr>
          <w:rFonts w:cs="Times New Roman"/>
          <w:sz w:val="22"/>
          <w:lang w:val="sr-Cyrl-RS"/>
        </w:rPr>
        <w:t xml:space="preserve"> 95/18</w:t>
      </w:r>
      <w:r w:rsidR="00B51A8A" w:rsidRPr="00EF2F18">
        <w:rPr>
          <w:rFonts w:cs="Times New Roman"/>
          <w:sz w:val="22"/>
          <w:lang w:val="sr-Cyrl-RS"/>
        </w:rPr>
        <w:t xml:space="preserve"> и 94/24</w:t>
      </w:r>
      <w:r w:rsidRPr="00EF2F18">
        <w:rPr>
          <w:rFonts w:cs="Times New Roman"/>
          <w:sz w:val="22"/>
          <w:lang w:val="sr-Cyrl-RS"/>
        </w:rPr>
        <w:t>) утврђује комуналне услуге и уређује опште услове и начин њиховог пружања, омогућава организовање и пружање комуналних услуга за две или више општина и/или градовa, под условима предвиђеним законом и споразумима између скупштина општина.</w:t>
      </w:r>
    </w:p>
    <w:p w14:paraId="5E9FC656" w14:textId="0E43B5F4" w:rsidR="00FF6949" w:rsidRPr="00EF2F18" w:rsidRDefault="00FF6949" w:rsidP="0020599C">
      <w:pPr>
        <w:spacing w:after="0"/>
        <w:ind w:firstLine="720"/>
        <w:jc w:val="both"/>
        <w:rPr>
          <w:rFonts w:cs="Times New Roman"/>
          <w:sz w:val="22"/>
          <w:lang w:val="sr-Cyrl-RS"/>
        </w:rPr>
      </w:pPr>
      <w:r w:rsidRPr="00EF2F18">
        <w:rPr>
          <w:rFonts w:cs="Times New Roman"/>
          <w:b/>
          <w:bCs/>
          <w:sz w:val="22"/>
          <w:lang w:val="sr-Cyrl-RS"/>
        </w:rPr>
        <w:t>Закон о туризму</w:t>
      </w:r>
      <w:r w:rsidRPr="00EF2F18">
        <w:rPr>
          <w:rFonts w:cs="Times New Roman"/>
          <w:sz w:val="22"/>
          <w:lang w:val="sr-Cyrl-RS"/>
        </w:rPr>
        <w:t xml:space="preserve"> (,,Службени гласник РС”, бр</w:t>
      </w:r>
      <w:r w:rsidR="00C42153" w:rsidRPr="00EF2F18">
        <w:rPr>
          <w:rFonts w:cs="Times New Roman"/>
          <w:sz w:val="22"/>
          <w:lang w:val="sr-Cyrl-RS"/>
        </w:rPr>
        <w:t>ој</w:t>
      </w:r>
      <w:r w:rsidRPr="00EF2F18">
        <w:rPr>
          <w:rFonts w:cs="Times New Roman"/>
          <w:sz w:val="22"/>
          <w:lang w:val="sr-Cyrl-RS"/>
        </w:rPr>
        <w:t xml:space="preserve"> </w:t>
      </w:r>
      <w:r w:rsidR="0020599C" w:rsidRPr="00EF2F18">
        <w:rPr>
          <w:rFonts w:cs="Times New Roman"/>
          <w:sz w:val="22"/>
          <w:lang w:val="sr-Cyrl-RS"/>
        </w:rPr>
        <w:t>17/19</w:t>
      </w:r>
      <w:r w:rsidRPr="00EF2F18">
        <w:rPr>
          <w:rFonts w:cs="Times New Roman"/>
          <w:sz w:val="22"/>
          <w:lang w:val="sr-Cyrl-RS"/>
        </w:rPr>
        <w:t>) уређује</w:t>
      </w:r>
      <w:r w:rsidR="00E65D1C" w:rsidRPr="00EF2F18">
        <w:rPr>
          <w:rFonts w:cs="Times New Roman"/>
          <w:sz w:val="22"/>
          <w:lang w:val="sr-Cyrl-RS"/>
        </w:rPr>
        <w:t xml:space="preserve"> одрживи</w:t>
      </w:r>
      <w:r w:rsidRPr="00EF2F18">
        <w:rPr>
          <w:rFonts w:cs="Times New Roman"/>
          <w:sz w:val="22"/>
          <w:lang w:val="sr-Cyrl-RS"/>
        </w:rPr>
        <w:t xml:space="preserve"> развој туризма и послове од посебног интереса као што је заштита животне средин</w:t>
      </w:r>
      <w:r w:rsidR="0020599C" w:rsidRPr="00EF2F18">
        <w:rPr>
          <w:rFonts w:cs="Times New Roman"/>
          <w:sz w:val="22"/>
          <w:lang w:val="sr-Cyrl-RS"/>
        </w:rPr>
        <w:t>е</w:t>
      </w:r>
      <w:r w:rsidR="00E65D1C" w:rsidRPr="00EF2F18">
        <w:rPr>
          <w:rFonts w:cs="Times New Roman"/>
          <w:sz w:val="22"/>
          <w:lang w:val="sr-Cyrl-RS"/>
        </w:rPr>
        <w:t>, природног и културног наслеђа.</w:t>
      </w:r>
      <w:r w:rsidR="0020599C" w:rsidRPr="00EF2F18">
        <w:rPr>
          <w:rFonts w:cs="Times New Roman"/>
          <w:sz w:val="22"/>
          <w:lang w:val="sr-Cyrl-RS"/>
        </w:rPr>
        <w:t xml:space="preserve"> у циљу </w:t>
      </w:r>
      <w:r w:rsidRPr="00EF2F18">
        <w:rPr>
          <w:rFonts w:cs="Times New Roman"/>
          <w:sz w:val="22"/>
          <w:lang w:val="sr-Cyrl-RS"/>
        </w:rPr>
        <w:t>унапређења туризма и угоститељства.</w:t>
      </w:r>
    </w:p>
    <w:p w14:paraId="66DA9098" w14:textId="0BA650A7" w:rsidR="007E62C5" w:rsidRPr="00EF2F18" w:rsidRDefault="007E62C5" w:rsidP="00916A8E">
      <w:pPr>
        <w:pStyle w:val="BodyText"/>
        <w:widowControl w:val="0"/>
        <w:tabs>
          <w:tab w:val="left" w:pos="0"/>
          <w:tab w:val="left" w:pos="720"/>
        </w:tabs>
        <w:spacing w:after="0" w:line="240" w:lineRule="auto"/>
        <w:rPr>
          <w:rFonts w:ascii="Times New Roman" w:hAnsi="Times New Roman"/>
          <w:sz w:val="22"/>
          <w:szCs w:val="22"/>
          <w:lang w:val="sr-Cyrl-RS"/>
        </w:rPr>
      </w:pPr>
      <w:r w:rsidRPr="00EF2F18">
        <w:rPr>
          <w:rFonts w:ascii="Times New Roman" w:hAnsi="Times New Roman"/>
          <w:b/>
          <w:bCs/>
          <w:sz w:val="22"/>
          <w:szCs w:val="22"/>
          <w:lang w:val="sr-Cyrl-RS"/>
        </w:rPr>
        <w:tab/>
        <w:t xml:space="preserve">Закон о министарствима </w:t>
      </w:r>
      <w:r w:rsidRPr="00EF2F18">
        <w:rPr>
          <w:rFonts w:ascii="Times New Roman" w:hAnsi="Times New Roman"/>
          <w:sz w:val="22"/>
          <w:szCs w:val="22"/>
          <w:lang w:val="sr-Cyrl-RS"/>
        </w:rPr>
        <w:t xml:space="preserve">(„Службени гласник </w:t>
      </w:r>
      <w:r w:rsidR="00916A8E" w:rsidRPr="00EF2F18">
        <w:rPr>
          <w:rFonts w:ascii="Times New Roman" w:hAnsi="Times New Roman"/>
          <w:sz w:val="22"/>
          <w:szCs w:val="22"/>
          <w:lang w:val="sr-Cyrl-RS"/>
        </w:rPr>
        <w:t>РС</w:t>
      </w:r>
      <w:r w:rsidRPr="00EF2F18">
        <w:rPr>
          <w:rFonts w:ascii="Times New Roman" w:hAnsi="Times New Roman"/>
          <w:sz w:val="22"/>
          <w:szCs w:val="22"/>
          <w:lang w:val="sr-Cyrl-RS"/>
        </w:rPr>
        <w:t>”, бр</w:t>
      </w:r>
      <w:r w:rsidR="00ED4CC8" w:rsidRPr="00EF2F18">
        <w:rPr>
          <w:rFonts w:ascii="Times New Roman" w:hAnsi="Times New Roman"/>
          <w:sz w:val="22"/>
          <w:szCs w:val="22"/>
          <w:lang w:val="sr-Cyrl-RS"/>
        </w:rPr>
        <w:t>.</w:t>
      </w:r>
      <w:r w:rsidR="002717AA" w:rsidRPr="00EF2F18">
        <w:rPr>
          <w:rFonts w:ascii="Times New Roman" w:hAnsi="Times New Roman"/>
          <w:sz w:val="22"/>
          <w:szCs w:val="22"/>
          <w:lang w:val="sr-Cyrl-RS"/>
        </w:rPr>
        <w:t xml:space="preserve"> </w:t>
      </w:r>
      <w:r w:rsidR="00ED4CC8" w:rsidRPr="00EF2F18">
        <w:rPr>
          <w:rFonts w:ascii="Times New Roman" w:hAnsi="Times New Roman"/>
          <w:color w:val="333333"/>
          <w:sz w:val="22"/>
          <w:szCs w:val="22"/>
          <w:shd w:val="clear" w:color="auto" w:fill="FFFFFF"/>
          <w:lang w:val="sr-Cyrl-RS"/>
        </w:rPr>
        <w:t>128/20</w:t>
      </w:r>
      <w:r w:rsidR="008765A6" w:rsidRPr="00EF2F18">
        <w:rPr>
          <w:rFonts w:ascii="Times New Roman" w:hAnsi="Times New Roman"/>
          <w:color w:val="333333"/>
          <w:sz w:val="22"/>
          <w:szCs w:val="22"/>
          <w:shd w:val="clear" w:color="auto" w:fill="FFFFFF"/>
          <w:lang w:val="sr-Cyrl-RS"/>
        </w:rPr>
        <w:t>,</w:t>
      </w:r>
      <w:r w:rsidR="00ED4CC8" w:rsidRPr="00EF2F18">
        <w:rPr>
          <w:rFonts w:ascii="Times New Roman" w:hAnsi="Times New Roman"/>
          <w:color w:val="333333"/>
          <w:sz w:val="22"/>
          <w:szCs w:val="22"/>
          <w:shd w:val="clear" w:color="auto" w:fill="FFFFFF"/>
          <w:lang w:val="sr-Cyrl-RS"/>
        </w:rPr>
        <w:t xml:space="preserve"> 116/22</w:t>
      </w:r>
      <w:r w:rsidR="008765A6" w:rsidRPr="00EF2F18">
        <w:rPr>
          <w:rFonts w:ascii="Times New Roman" w:hAnsi="Times New Roman"/>
          <w:color w:val="333333"/>
          <w:sz w:val="22"/>
          <w:szCs w:val="22"/>
          <w:shd w:val="clear" w:color="auto" w:fill="FFFFFF"/>
          <w:lang w:val="sr-Cyrl-RS"/>
        </w:rPr>
        <w:t xml:space="preserve"> и 92/23 </w:t>
      </w:r>
      <w:r w:rsidR="008765A6" w:rsidRPr="00EF2F18">
        <w:rPr>
          <w:rFonts w:ascii="Times New Roman" w:hAnsi="Times New Roman"/>
          <w:sz w:val="22"/>
          <w:szCs w:val="22"/>
          <w:lang w:val="sr-Cyrl-RS"/>
        </w:rPr>
        <w:t>– др. закон</w:t>
      </w:r>
      <w:r w:rsidRPr="00EF2F18">
        <w:rPr>
          <w:rFonts w:ascii="Times New Roman" w:hAnsi="Times New Roman"/>
          <w:sz w:val="22"/>
          <w:szCs w:val="22"/>
          <w:lang w:val="sr-Cyrl-RS"/>
        </w:rPr>
        <w:t xml:space="preserve">) уређује број министарства и </w:t>
      </w:r>
      <w:r w:rsidRPr="00EF2F18">
        <w:rPr>
          <w:rFonts w:ascii="Times New Roman" w:hAnsi="Times New Roman"/>
          <w:color w:val="333333"/>
          <w:sz w:val="22"/>
          <w:szCs w:val="22"/>
          <w:shd w:val="clear" w:color="auto" w:fill="FFFFFF"/>
          <w:lang w:val="sr-Cyrl-RS"/>
        </w:rPr>
        <w:t xml:space="preserve">посебних организација и њихов делокруг. </w:t>
      </w:r>
    </w:p>
    <w:p w14:paraId="51BFDC5E" w14:textId="4B5CE50C" w:rsidR="007E62C5" w:rsidRPr="00EF2F18" w:rsidRDefault="007E62C5" w:rsidP="00916A8E">
      <w:pPr>
        <w:pStyle w:val="BodyText"/>
        <w:widowControl w:val="0"/>
        <w:tabs>
          <w:tab w:val="left" w:pos="0"/>
          <w:tab w:val="left" w:pos="527"/>
        </w:tabs>
        <w:spacing w:after="0" w:line="240" w:lineRule="auto"/>
        <w:rPr>
          <w:rFonts w:ascii="Times New Roman" w:hAnsi="Times New Roman"/>
          <w:sz w:val="22"/>
          <w:szCs w:val="22"/>
          <w:lang w:val="sr-Cyrl-RS"/>
        </w:rPr>
      </w:pPr>
      <w:r w:rsidRPr="00EF2F18">
        <w:rPr>
          <w:rFonts w:ascii="Times New Roman" w:hAnsi="Times New Roman"/>
          <w:b/>
          <w:bCs/>
          <w:sz w:val="22"/>
          <w:szCs w:val="22"/>
          <w:lang w:val="sr-Cyrl-RS"/>
        </w:rPr>
        <w:tab/>
      </w:r>
      <w:r w:rsidRPr="00EF2F18">
        <w:rPr>
          <w:rFonts w:ascii="Times New Roman" w:hAnsi="Times New Roman"/>
          <w:b/>
          <w:bCs/>
          <w:sz w:val="22"/>
          <w:szCs w:val="22"/>
          <w:lang w:val="sr-Cyrl-RS"/>
        </w:rPr>
        <w:tab/>
        <w:t xml:space="preserve">Закон </w:t>
      </w:r>
      <w:r w:rsidR="00ED4CC8" w:rsidRPr="00EF2F18">
        <w:rPr>
          <w:rFonts w:ascii="Times New Roman" w:hAnsi="Times New Roman"/>
          <w:b/>
          <w:bCs/>
          <w:sz w:val="22"/>
          <w:szCs w:val="22"/>
          <w:lang w:val="sr-Cyrl-RS"/>
        </w:rPr>
        <w:t>о утврђивању</w:t>
      </w:r>
      <w:r w:rsidRPr="00EF2F18">
        <w:rPr>
          <w:rFonts w:ascii="Times New Roman" w:hAnsi="Times New Roman"/>
          <w:b/>
          <w:bCs/>
          <w:sz w:val="22"/>
          <w:szCs w:val="22"/>
          <w:lang w:val="sr-Cyrl-RS"/>
        </w:rPr>
        <w:t xml:space="preserve"> надлежности Аутономне покрајине Војводине </w:t>
      </w:r>
      <w:r w:rsidRPr="00EF2F18">
        <w:rPr>
          <w:rFonts w:ascii="Times New Roman" w:hAnsi="Times New Roman"/>
          <w:sz w:val="22"/>
          <w:szCs w:val="22"/>
          <w:lang w:val="sr-Cyrl-RS"/>
        </w:rPr>
        <w:t xml:space="preserve">(„Службени гласник </w:t>
      </w:r>
      <w:r w:rsidR="00916A8E" w:rsidRPr="00EF2F18">
        <w:rPr>
          <w:rFonts w:ascii="Times New Roman" w:hAnsi="Times New Roman"/>
          <w:sz w:val="22"/>
          <w:szCs w:val="22"/>
          <w:lang w:val="sr-Cyrl-RS"/>
        </w:rPr>
        <w:t>РС</w:t>
      </w:r>
      <w:r w:rsidRPr="00EF2F18">
        <w:rPr>
          <w:rFonts w:ascii="Times New Roman" w:hAnsi="Times New Roman"/>
          <w:sz w:val="22"/>
          <w:szCs w:val="22"/>
          <w:lang w:val="sr-Cyrl-RS"/>
        </w:rPr>
        <w:t>”, бр. 99/09, 67/12, 18/20</w:t>
      </w:r>
      <w:r w:rsidR="00ED4CC8" w:rsidRPr="00EF2F18">
        <w:rPr>
          <w:rFonts w:ascii="Times New Roman" w:hAnsi="Times New Roman"/>
          <w:sz w:val="22"/>
          <w:szCs w:val="22"/>
          <w:lang w:val="sr-Cyrl-RS"/>
        </w:rPr>
        <w:t>, 18/20 – др. закон и 111/21 – др. закон</w:t>
      </w:r>
      <w:r w:rsidRPr="00EF2F18">
        <w:rPr>
          <w:rFonts w:ascii="Times New Roman" w:hAnsi="Times New Roman"/>
          <w:sz w:val="22"/>
          <w:szCs w:val="22"/>
          <w:lang w:val="sr-Cyrl-RS"/>
        </w:rPr>
        <w:t>) утврђује надлежности аутономне покрајине, посебно у областима у којима република уређује систем, као што су следеће: култура, образовање, здравствена заштита, санитарна инспекција, заштита и унапређење животне средине, урбанизам, грађевинарство, привреда и приватизација, рударство и енергетика, пољопривреда, шумарство и слично.</w:t>
      </w:r>
    </w:p>
    <w:p w14:paraId="27E3BD1C" w14:textId="049049EE" w:rsidR="007E62C5" w:rsidRPr="00EF2F18" w:rsidRDefault="007E62C5" w:rsidP="00916A8E">
      <w:pPr>
        <w:spacing w:after="0"/>
        <w:ind w:firstLine="720"/>
        <w:jc w:val="both"/>
        <w:rPr>
          <w:rFonts w:cs="Times New Roman"/>
          <w:sz w:val="22"/>
          <w:lang w:val="sr-Cyrl-RS"/>
        </w:rPr>
      </w:pPr>
      <w:r w:rsidRPr="00EF2F18">
        <w:rPr>
          <w:rFonts w:cs="Times New Roman"/>
          <w:b/>
          <w:bCs/>
          <w:sz w:val="22"/>
          <w:lang w:val="sr-Cyrl-RS"/>
        </w:rPr>
        <w:t xml:space="preserve">Закон о локалној самоуправи </w:t>
      </w:r>
      <w:r w:rsidRPr="00EF2F18">
        <w:rPr>
          <w:rFonts w:cs="Times New Roman"/>
          <w:sz w:val="22"/>
          <w:lang w:val="sr-Cyrl-RS"/>
        </w:rPr>
        <w:t xml:space="preserve">(„Службени гласник </w:t>
      </w:r>
      <w:r w:rsidR="00916A8E" w:rsidRPr="00EF2F18">
        <w:rPr>
          <w:rFonts w:cs="Times New Roman"/>
          <w:sz w:val="22"/>
          <w:lang w:val="sr-Cyrl-RS"/>
        </w:rPr>
        <w:t>РС</w:t>
      </w:r>
      <w:r w:rsidRPr="00EF2F18">
        <w:rPr>
          <w:rFonts w:cs="Times New Roman"/>
          <w:sz w:val="22"/>
          <w:lang w:val="sr-Cyrl-RS"/>
        </w:rPr>
        <w:t>”, бр. 129/07, 83/14</w:t>
      </w:r>
      <w:r w:rsidR="00D8247C" w:rsidRPr="00EF2F18">
        <w:rPr>
          <w:rFonts w:cs="Times New Roman"/>
          <w:sz w:val="22"/>
          <w:lang w:val="sr-Cyrl-RS"/>
        </w:rPr>
        <w:t xml:space="preserve"> – др. закон</w:t>
      </w:r>
      <w:r w:rsidRPr="00EF2F18">
        <w:rPr>
          <w:rFonts w:cs="Times New Roman"/>
          <w:sz w:val="22"/>
          <w:lang w:val="sr-Cyrl-RS"/>
        </w:rPr>
        <w:t>, 101/16</w:t>
      </w:r>
      <w:r w:rsidR="00D8247C" w:rsidRPr="00EF2F18">
        <w:rPr>
          <w:rFonts w:cs="Times New Roman"/>
          <w:sz w:val="22"/>
          <w:lang w:val="sr-Cyrl-RS"/>
        </w:rPr>
        <w:t xml:space="preserve"> – др. закон</w:t>
      </w:r>
      <w:r w:rsidRPr="00EF2F18">
        <w:rPr>
          <w:rFonts w:cs="Times New Roman"/>
          <w:sz w:val="22"/>
          <w:lang w:val="sr-Cyrl-RS"/>
        </w:rPr>
        <w:t>, 47/18</w:t>
      </w:r>
      <w:r w:rsidR="00414FB8" w:rsidRPr="00EF2F18">
        <w:rPr>
          <w:rFonts w:cs="Times New Roman"/>
          <w:sz w:val="22"/>
          <w:lang w:val="sr-Cyrl-RS"/>
        </w:rPr>
        <w:t xml:space="preserve"> и</w:t>
      </w:r>
      <w:r w:rsidR="00ED4CC8" w:rsidRPr="00EF2F18">
        <w:rPr>
          <w:rFonts w:cs="Times New Roman"/>
          <w:sz w:val="22"/>
          <w:lang w:val="sr-Cyrl-RS"/>
        </w:rPr>
        <w:t xml:space="preserve"> 111/21 – др. закон)</w:t>
      </w:r>
      <w:r w:rsidRPr="00EF2F18">
        <w:rPr>
          <w:rFonts w:cs="Times New Roman"/>
          <w:sz w:val="22"/>
          <w:lang w:val="sr-Cyrl-RS"/>
        </w:rPr>
        <w:t xml:space="preserve"> прописује права и одговорности јединиц</w:t>
      </w:r>
      <w:r w:rsidR="002D010E" w:rsidRPr="00EF2F18">
        <w:rPr>
          <w:rFonts w:cs="Times New Roman"/>
          <w:sz w:val="22"/>
          <w:lang w:val="sr-Cyrl-RS"/>
        </w:rPr>
        <w:t>a</w:t>
      </w:r>
      <w:r w:rsidRPr="00EF2F18">
        <w:rPr>
          <w:rFonts w:cs="Times New Roman"/>
          <w:sz w:val="22"/>
          <w:lang w:val="sr-Cyrl-RS"/>
        </w:rPr>
        <w:t xml:space="preserve"> локалне самоуправе утврђен</w:t>
      </w:r>
      <w:r w:rsidR="00E76C4E" w:rsidRPr="00EF2F18">
        <w:rPr>
          <w:rFonts w:cs="Times New Roman"/>
          <w:sz w:val="22"/>
          <w:lang w:val="sr-Cyrl-RS"/>
        </w:rPr>
        <w:t>их</w:t>
      </w:r>
      <w:r w:rsidRPr="00EF2F18">
        <w:rPr>
          <w:rFonts w:cs="Times New Roman"/>
          <w:sz w:val="22"/>
          <w:lang w:val="sr-Cyrl-RS"/>
        </w:rPr>
        <w:t xml:space="preserve"> Уставом, законом, другим прописом и статутом (кључне и поверене послове), могућност сарадње и удруживања јединица локалне самоуправе ради остваривања </w:t>
      </w:r>
      <w:r w:rsidRPr="00EF2F18">
        <w:rPr>
          <w:rFonts w:cs="Times New Roman"/>
          <w:sz w:val="22"/>
          <w:lang w:val="sr-Cyrl-RS"/>
        </w:rPr>
        <w:lastRenderedPageBreak/>
        <w:t>заједничких циљева, планова и развојних програма, као и других послова од заједничког интереса.</w:t>
      </w:r>
    </w:p>
    <w:p w14:paraId="3A191472" w14:textId="07471395" w:rsidR="007E62C5" w:rsidRPr="00EF2F18" w:rsidRDefault="00916A8E" w:rsidP="00916A8E">
      <w:pPr>
        <w:pStyle w:val="BodyText"/>
        <w:widowControl w:val="0"/>
        <w:tabs>
          <w:tab w:val="left" w:pos="0"/>
          <w:tab w:val="left" w:pos="527"/>
        </w:tabs>
        <w:spacing w:after="0" w:line="240" w:lineRule="auto"/>
        <w:rPr>
          <w:rFonts w:ascii="Times New Roman" w:hAnsi="Times New Roman"/>
          <w:sz w:val="22"/>
          <w:szCs w:val="22"/>
          <w:lang w:val="sr-Cyrl-RS"/>
        </w:rPr>
      </w:pPr>
      <w:r w:rsidRPr="00EF2F18">
        <w:rPr>
          <w:rFonts w:ascii="Times New Roman" w:hAnsi="Times New Roman"/>
          <w:b/>
          <w:bCs/>
          <w:sz w:val="22"/>
          <w:szCs w:val="22"/>
          <w:lang w:val="sr-Cyrl-RS"/>
        </w:rPr>
        <w:tab/>
      </w:r>
      <w:r w:rsidRPr="00EF2F18">
        <w:rPr>
          <w:rFonts w:ascii="Times New Roman" w:hAnsi="Times New Roman"/>
          <w:b/>
          <w:bCs/>
          <w:sz w:val="22"/>
          <w:szCs w:val="22"/>
          <w:lang w:val="sr-Cyrl-RS"/>
        </w:rPr>
        <w:tab/>
      </w:r>
      <w:r w:rsidR="007E62C5" w:rsidRPr="00EF2F18">
        <w:rPr>
          <w:rFonts w:ascii="Times New Roman" w:hAnsi="Times New Roman"/>
          <w:b/>
          <w:bCs/>
          <w:sz w:val="22"/>
          <w:szCs w:val="22"/>
          <w:lang w:val="sr-Cyrl-RS"/>
        </w:rPr>
        <w:t xml:space="preserve">Закон о главном граду </w:t>
      </w:r>
      <w:r w:rsidR="007E62C5" w:rsidRPr="00EF2F18">
        <w:rPr>
          <w:rFonts w:ascii="Times New Roman" w:hAnsi="Times New Roman"/>
          <w:sz w:val="22"/>
          <w:szCs w:val="22"/>
          <w:lang w:val="sr-Cyrl-RS"/>
        </w:rPr>
        <w:t xml:space="preserve">(„Службени гласник </w:t>
      </w:r>
      <w:r w:rsidRPr="00EF2F18">
        <w:rPr>
          <w:rFonts w:ascii="Times New Roman" w:hAnsi="Times New Roman"/>
          <w:sz w:val="22"/>
          <w:szCs w:val="22"/>
          <w:lang w:val="sr-Cyrl-RS"/>
        </w:rPr>
        <w:t>РС</w:t>
      </w:r>
      <w:r w:rsidR="007E62C5" w:rsidRPr="00EF2F18">
        <w:rPr>
          <w:rFonts w:ascii="Times New Roman" w:hAnsi="Times New Roman"/>
          <w:sz w:val="22"/>
          <w:szCs w:val="22"/>
          <w:lang w:val="sr-Cyrl-RS"/>
        </w:rPr>
        <w:t>”, бр. 129/07, 83/14, 101/16, 37/19</w:t>
      </w:r>
      <w:r w:rsidR="00ED4CC8" w:rsidRPr="00EF2F18">
        <w:rPr>
          <w:rFonts w:ascii="Times New Roman" w:hAnsi="Times New Roman"/>
          <w:sz w:val="22"/>
          <w:szCs w:val="22"/>
          <w:lang w:val="sr-Cyrl-RS"/>
        </w:rPr>
        <w:t xml:space="preserve"> </w:t>
      </w:r>
      <w:r w:rsidR="00414FB8" w:rsidRPr="00EF2F18">
        <w:rPr>
          <w:rFonts w:ascii="Times New Roman" w:hAnsi="Times New Roman"/>
          <w:sz w:val="22"/>
          <w:szCs w:val="22"/>
          <w:lang w:val="sr-Cyrl-RS"/>
        </w:rPr>
        <w:t xml:space="preserve">и </w:t>
      </w:r>
      <w:r w:rsidR="00ED4CC8" w:rsidRPr="00EF2F18">
        <w:rPr>
          <w:rFonts w:ascii="Times New Roman" w:hAnsi="Times New Roman"/>
          <w:sz w:val="22"/>
          <w:szCs w:val="22"/>
          <w:lang w:val="sr-Cyrl-RS"/>
        </w:rPr>
        <w:t>111/21 – др. закон</w:t>
      </w:r>
      <w:r w:rsidR="007E62C5" w:rsidRPr="00EF2F18">
        <w:rPr>
          <w:rFonts w:ascii="Times New Roman" w:hAnsi="Times New Roman"/>
          <w:sz w:val="22"/>
          <w:szCs w:val="22"/>
          <w:lang w:val="sr-Cyrl-RS"/>
        </w:rPr>
        <w:t>) уређује положај, надлежности и овлашћења Града Београда</w:t>
      </w:r>
      <w:r w:rsidR="00D05BB0" w:rsidRPr="00EF2F18">
        <w:rPr>
          <w:rFonts w:ascii="Times New Roman" w:hAnsi="Times New Roman"/>
          <w:sz w:val="22"/>
          <w:szCs w:val="22"/>
          <w:lang w:val="sr-Cyrl-RS"/>
        </w:rPr>
        <w:t xml:space="preserve"> као</w:t>
      </w:r>
      <w:r w:rsidR="007E62C5" w:rsidRPr="00EF2F18">
        <w:rPr>
          <w:rFonts w:ascii="Times New Roman" w:hAnsi="Times New Roman"/>
          <w:sz w:val="22"/>
          <w:szCs w:val="22"/>
          <w:lang w:val="sr-Cyrl-RS"/>
        </w:rPr>
        <w:t xml:space="preserve"> града престонице Републике Србије.</w:t>
      </w:r>
    </w:p>
    <w:p w14:paraId="6F323C04" w14:textId="5D865CE2" w:rsidR="007E62C5" w:rsidRPr="00EF2F18" w:rsidRDefault="007E62C5" w:rsidP="00916A8E">
      <w:pPr>
        <w:pStyle w:val="BodyText"/>
        <w:widowControl w:val="0"/>
        <w:tabs>
          <w:tab w:val="left" w:pos="0"/>
          <w:tab w:val="left" w:pos="527"/>
        </w:tabs>
        <w:spacing w:after="0" w:line="240" w:lineRule="auto"/>
        <w:rPr>
          <w:rFonts w:ascii="Times New Roman" w:hAnsi="Times New Roman"/>
          <w:sz w:val="22"/>
          <w:szCs w:val="22"/>
          <w:lang w:val="sr-Cyrl-RS"/>
        </w:rPr>
      </w:pPr>
      <w:r w:rsidRPr="00EF2F18">
        <w:rPr>
          <w:rFonts w:ascii="Times New Roman" w:hAnsi="Times New Roman"/>
          <w:b/>
          <w:bCs/>
          <w:sz w:val="22"/>
          <w:szCs w:val="22"/>
          <w:lang w:val="sr-Cyrl-RS"/>
        </w:rPr>
        <w:tab/>
      </w:r>
      <w:r w:rsidRPr="00EF2F18">
        <w:rPr>
          <w:rFonts w:ascii="Times New Roman" w:hAnsi="Times New Roman"/>
          <w:b/>
          <w:bCs/>
          <w:sz w:val="22"/>
          <w:szCs w:val="22"/>
          <w:lang w:val="sr-Cyrl-RS"/>
        </w:rPr>
        <w:tab/>
        <w:t xml:space="preserve">Закон о јавним предузећима </w:t>
      </w:r>
      <w:r w:rsidRPr="00EF2F18">
        <w:rPr>
          <w:rFonts w:ascii="Times New Roman" w:hAnsi="Times New Roman"/>
          <w:sz w:val="22"/>
          <w:szCs w:val="22"/>
          <w:lang w:val="sr-Cyrl-RS"/>
        </w:rPr>
        <w:t xml:space="preserve">(„Службени гласник </w:t>
      </w:r>
      <w:r w:rsidR="00916A8E" w:rsidRPr="00EF2F18">
        <w:rPr>
          <w:rFonts w:ascii="Times New Roman" w:hAnsi="Times New Roman"/>
          <w:sz w:val="22"/>
          <w:szCs w:val="22"/>
          <w:lang w:val="sr-Cyrl-RS"/>
        </w:rPr>
        <w:t>РС</w:t>
      </w:r>
      <w:r w:rsidRPr="00EF2F18">
        <w:rPr>
          <w:rFonts w:ascii="Times New Roman" w:hAnsi="Times New Roman"/>
          <w:sz w:val="22"/>
          <w:szCs w:val="22"/>
          <w:lang w:val="sr-Cyrl-RS"/>
        </w:rPr>
        <w:t>”, бр. 15/16</w:t>
      </w:r>
      <w:r w:rsidR="00414FB8" w:rsidRPr="00EF2F18">
        <w:rPr>
          <w:rFonts w:ascii="Times New Roman" w:hAnsi="Times New Roman"/>
          <w:sz w:val="22"/>
          <w:szCs w:val="22"/>
          <w:lang w:val="sr-Cyrl-RS"/>
        </w:rPr>
        <w:t xml:space="preserve"> и</w:t>
      </w:r>
      <w:r w:rsidRPr="00EF2F18">
        <w:rPr>
          <w:rFonts w:ascii="Times New Roman" w:hAnsi="Times New Roman"/>
          <w:sz w:val="22"/>
          <w:szCs w:val="22"/>
          <w:lang w:val="sr-Cyrl-RS"/>
        </w:rPr>
        <w:t xml:space="preserve"> 88/19) уређује оснивање и пословање предузећа која обављају делатности од општег интереса, облик и удео државног капитала у јавном предузећу и дефинише делатности од општег значаја као активности које су законом прописане као такве, између осталог, у области коришћења, управљања, заштите и промоције имовине од општег интереса, као и комуналних услуга.</w:t>
      </w:r>
    </w:p>
    <w:p w14:paraId="75356727" w14:textId="30DD3174" w:rsidR="007E62C5" w:rsidRPr="00EF2F18" w:rsidRDefault="007E62C5" w:rsidP="00916A8E">
      <w:pPr>
        <w:pStyle w:val="BodyText"/>
        <w:widowControl w:val="0"/>
        <w:tabs>
          <w:tab w:val="left" w:pos="0"/>
          <w:tab w:val="left" w:pos="527"/>
        </w:tabs>
        <w:spacing w:after="0" w:line="240" w:lineRule="auto"/>
        <w:rPr>
          <w:rFonts w:ascii="Times New Roman" w:hAnsi="Times New Roman"/>
          <w:sz w:val="22"/>
          <w:szCs w:val="22"/>
          <w:lang w:val="sr-Cyrl-RS"/>
        </w:rPr>
      </w:pPr>
      <w:r w:rsidRPr="00EF2F18">
        <w:rPr>
          <w:rFonts w:ascii="Times New Roman" w:hAnsi="Times New Roman"/>
          <w:b/>
          <w:bCs/>
          <w:sz w:val="22"/>
          <w:szCs w:val="22"/>
          <w:lang w:val="sr-Cyrl-RS"/>
        </w:rPr>
        <w:tab/>
      </w:r>
      <w:r w:rsidRPr="00EF2F18">
        <w:rPr>
          <w:rFonts w:ascii="Times New Roman" w:hAnsi="Times New Roman"/>
          <w:b/>
          <w:bCs/>
          <w:sz w:val="22"/>
          <w:szCs w:val="22"/>
          <w:lang w:val="sr-Cyrl-RS"/>
        </w:rPr>
        <w:tab/>
        <w:t xml:space="preserve">Законом о привредним друштвима </w:t>
      </w:r>
      <w:r w:rsidRPr="00EF2F18">
        <w:rPr>
          <w:rFonts w:ascii="Times New Roman" w:hAnsi="Times New Roman"/>
          <w:sz w:val="22"/>
          <w:szCs w:val="22"/>
          <w:lang w:val="sr-Cyrl-RS"/>
        </w:rPr>
        <w:t xml:space="preserve">(„Службени гласник </w:t>
      </w:r>
      <w:r w:rsidR="00916A8E" w:rsidRPr="00EF2F18">
        <w:rPr>
          <w:rFonts w:ascii="Times New Roman" w:hAnsi="Times New Roman"/>
          <w:sz w:val="22"/>
          <w:szCs w:val="22"/>
          <w:lang w:val="sr-Cyrl-RS"/>
        </w:rPr>
        <w:t>РС</w:t>
      </w:r>
      <w:r w:rsidRPr="00EF2F18">
        <w:rPr>
          <w:rFonts w:ascii="Times New Roman" w:hAnsi="Times New Roman"/>
          <w:sz w:val="22"/>
          <w:szCs w:val="22"/>
          <w:lang w:val="sr-Cyrl-RS"/>
        </w:rPr>
        <w:t>”, бр. 36/11, 99/11, 83/14, 05/15, 44/18, 95/18, 91/19</w:t>
      </w:r>
      <w:r w:rsidR="008765A6" w:rsidRPr="00EF2F18">
        <w:rPr>
          <w:rFonts w:ascii="Times New Roman" w:hAnsi="Times New Roman"/>
          <w:sz w:val="22"/>
          <w:szCs w:val="22"/>
          <w:lang w:val="sr-Cyrl-RS"/>
        </w:rPr>
        <w:t>,</w:t>
      </w:r>
      <w:r w:rsidR="00ED4CC8" w:rsidRPr="00EF2F18">
        <w:rPr>
          <w:rFonts w:ascii="Times New Roman" w:hAnsi="Times New Roman"/>
          <w:sz w:val="22"/>
          <w:szCs w:val="22"/>
          <w:lang w:val="sr-Cyrl-RS"/>
        </w:rPr>
        <w:t xml:space="preserve"> 109/21</w:t>
      </w:r>
      <w:r w:rsidR="008765A6" w:rsidRPr="00EF2F18">
        <w:rPr>
          <w:rFonts w:ascii="Times New Roman" w:hAnsi="Times New Roman"/>
          <w:sz w:val="22"/>
          <w:szCs w:val="22"/>
          <w:lang w:val="sr-Cyrl-RS"/>
        </w:rPr>
        <w:t xml:space="preserve"> и 19/25</w:t>
      </w:r>
      <w:r w:rsidRPr="00EF2F18">
        <w:rPr>
          <w:rFonts w:ascii="Times New Roman" w:hAnsi="Times New Roman"/>
          <w:sz w:val="22"/>
          <w:szCs w:val="22"/>
          <w:lang w:val="sr-Cyrl-RS"/>
        </w:rPr>
        <w:t>) уређује се правни положај привредних друштава и других облика организовања у складу са овим законом, а нарочито њихово оснивање, управљање, статусне промене, промене правне форме, престанак и друга питања од значаја за њихов положај, као и правни положај предузетника.</w:t>
      </w:r>
    </w:p>
    <w:p w14:paraId="7EBD5A8E" w14:textId="773BDD72" w:rsidR="00D8247C" w:rsidRPr="00EF2F18" w:rsidRDefault="00D8247C" w:rsidP="00971F94">
      <w:pPr>
        <w:pStyle w:val="BodyText"/>
        <w:widowControl w:val="0"/>
        <w:tabs>
          <w:tab w:val="left" w:pos="0"/>
          <w:tab w:val="left" w:pos="527"/>
        </w:tabs>
        <w:spacing w:after="0"/>
        <w:rPr>
          <w:rFonts w:ascii="Times New Roman" w:hAnsi="Times New Roman"/>
          <w:sz w:val="22"/>
          <w:szCs w:val="22"/>
          <w:lang w:val="sr-Cyrl-RS"/>
        </w:rPr>
      </w:pPr>
      <w:r w:rsidRPr="00EF2F18">
        <w:rPr>
          <w:rFonts w:ascii="Times New Roman" w:hAnsi="Times New Roman"/>
          <w:sz w:val="22"/>
          <w:szCs w:val="22"/>
          <w:lang w:val="sr-Cyrl-RS"/>
        </w:rPr>
        <w:tab/>
      </w:r>
      <w:r w:rsidRPr="00EF2F18">
        <w:rPr>
          <w:rFonts w:ascii="Times New Roman" w:hAnsi="Times New Roman"/>
          <w:sz w:val="22"/>
          <w:szCs w:val="22"/>
          <w:lang w:val="sr-Cyrl-RS"/>
        </w:rPr>
        <w:tab/>
      </w:r>
      <w:r w:rsidRPr="00EF2F18">
        <w:rPr>
          <w:rFonts w:ascii="Times New Roman" w:hAnsi="Times New Roman"/>
          <w:b/>
          <w:bCs/>
          <w:sz w:val="22"/>
          <w:szCs w:val="22"/>
          <w:lang w:val="sr-Cyrl-RS"/>
        </w:rPr>
        <w:t>Закон о управљању привредним друштвима која су у власништву Републике Србије</w:t>
      </w:r>
      <w:r w:rsidRPr="00EF2F18">
        <w:rPr>
          <w:rFonts w:ascii="Times New Roman" w:hAnsi="Times New Roman"/>
          <w:sz w:val="22"/>
          <w:szCs w:val="22"/>
          <w:lang w:val="sr-Cyrl-RS"/>
        </w:rPr>
        <w:t xml:space="preserve"> („Службени гласник РС</w:t>
      </w:r>
      <w:r w:rsidR="00A64280" w:rsidRPr="00EF2F18">
        <w:rPr>
          <w:rFonts w:ascii="Times New Roman" w:hAnsi="Times New Roman"/>
          <w:sz w:val="22"/>
          <w:szCs w:val="22"/>
          <w:lang w:val="sr-Cyrl-RS"/>
        </w:rPr>
        <w:t>”</w:t>
      </w:r>
      <w:r w:rsidRPr="00EF2F18">
        <w:rPr>
          <w:rFonts w:ascii="Times New Roman" w:hAnsi="Times New Roman"/>
          <w:sz w:val="22"/>
          <w:szCs w:val="22"/>
          <w:lang w:val="sr-Cyrl-RS"/>
        </w:rPr>
        <w:t>, број 76/23), којим се уређује начин спровођења политике државног власништва, управљање у привредним друштвима која су у власништву Републике Србије и друга питања у вези са правним положајем друштва капитала. На оснивање, управљање, органе, организацију, као и друга питања од значаја за друштвo капитала, а која нису посебно уређена овим законом, примењују се одредбе закона којим се уређује правни положај привредних друштава.</w:t>
      </w:r>
      <w:r w:rsidR="006C2E00" w:rsidRPr="00EF2F18">
        <w:rPr>
          <w:rFonts w:ascii="Times New Roman" w:hAnsi="Times New Roman"/>
          <w:sz w:val="22"/>
          <w:szCs w:val="22"/>
          <w:lang w:val="sr-Cyrl-RS"/>
        </w:rPr>
        <w:t xml:space="preserve"> </w:t>
      </w:r>
    </w:p>
    <w:p w14:paraId="569CD3E8" w14:textId="41356E83" w:rsidR="002E104D" w:rsidRPr="00EF2F18" w:rsidRDefault="00500FB7" w:rsidP="002E104D">
      <w:pPr>
        <w:spacing w:after="0"/>
        <w:ind w:firstLine="695"/>
        <w:jc w:val="both"/>
        <w:rPr>
          <w:rFonts w:cs="Times New Roman"/>
          <w:sz w:val="22"/>
          <w:lang w:val="sr-Cyrl-RS"/>
        </w:rPr>
      </w:pPr>
      <w:r w:rsidRPr="00EF2F18">
        <w:rPr>
          <w:sz w:val="22"/>
          <w:lang w:val="sr-Cyrl-RS"/>
        </w:rPr>
        <w:tab/>
      </w:r>
      <w:r w:rsidR="002E104D" w:rsidRPr="00EF2F18">
        <w:rPr>
          <w:rFonts w:cs="Times New Roman"/>
          <w:b/>
          <w:sz w:val="22"/>
          <w:lang w:val="sr-Cyrl-RS"/>
        </w:rPr>
        <w:t>Законом о удружењима</w:t>
      </w:r>
      <w:r w:rsidR="002E104D" w:rsidRPr="00EF2F18">
        <w:rPr>
          <w:rFonts w:cs="Times New Roman"/>
          <w:sz w:val="22"/>
          <w:lang w:val="sr-Cyrl-RS"/>
        </w:rPr>
        <w:t xml:space="preserve"> („</w:t>
      </w:r>
      <w:r w:rsidR="002E104D" w:rsidRPr="00EF2F18">
        <w:rPr>
          <w:rFonts w:cs="Times New Roman"/>
          <w:iCs/>
          <w:sz w:val="22"/>
          <w:lang w:val="sr-Cyrl-RS"/>
        </w:rPr>
        <w:t>Службени гласник РС</w:t>
      </w:r>
      <w:r w:rsidR="002E104D" w:rsidRPr="00EF2F18">
        <w:rPr>
          <w:rFonts w:cs="Times New Roman"/>
          <w:sz w:val="22"/>
          <w:lang w:val="sr-Cyrl-RS"/>
        </w:rPr>
        <w:t>”, бр</w:t>
      </w:r>
      <w:r w:rsidR="003D2DCB">
        <w:rPr>
          <w:rFonts w:cs="Times New Roman"/>
          <w:sz w:val="22"/>
          <w:lang w:val="sr-Cyrl-RS"/>
        </w:rPr>
        <w:t>.</w:t>
      </w:r>
      <w:r w:rsidR="002E104D" w:rsidRPr="00EF2F18">
        <w:rPr>
          <w:rFonts w:cs="Times New Roman"/>
          <w:sz w:val="22"/>
          <w:lang w:val="sr-Cyrl-RS"/>
        </w:rPr>
        <w:t xml:space="preserve"> 51/09</w:t>
      </w:r>
      <w:r w:rsidR="003D2DCB">
        <w:rPr>
          <w:rFonts w:cs="Times New Roman"/>
          <w:sz w:val="22"/>
          <w:lang w:val="sr-Cyrl-RS"/>
        </w:rPr>
        <w:t xml:space="preserve">, 99/11 </w:t>
      </w:r>
      <w:r w:rsidR="003D2DCB" w:rsidRPr="003D2DCB">
        <w:rPr>
          <w:rFonts w:cs="Times New Roman"/>
          <w:sz w:val="22"/>
          <w:lang w:val="sr-Cyrl-RS"/>
        </w:rPr>
        <w:t>– др. закон</w:t>
      </w:r>
      <w:r w:rsidR="003D2DCB">
        <w:rPr>
          <w:rFonts w:cs="Times New Roman"/>
          <w:sz w:val="22"/>
          <w:lang w:val="sr-Cyrl-RS"/>
        </w:rPr>
        <w:t xml:space="preserve"> и 44/18 </w:t>
      </w:r>
      <w:r w:rsidR="003D2DCB" w:rsidRPr="00EF2F18">
        <w:rPr>
          <w:rFonts w:eastAsia="Times New Roman" w:cs="Times New Roman"/>
          <w:sz w:val="22"/>
          <w:lang w:val="sr-Cyrl-RS"/>
        </w:rPr>
        <w:t>– др. закон</w:t>
      </w:r>
      <w:r w:rsidR="002E104D" w:rsidRPr="00EF2F18">
        <w:rPr>
          <w:rFonts w:cs="Times New Roman"/>
          <w:sz w:val="22"/>
          <w:lang w:val="sr-Cyrl-RS"/>
        </w:rPr>
        <w:t>)</w:t>
      </w:r>
      <w:r w:rsidR="002E104D" w:rsidRPr="00EF2F18">
        <w:rPr>
          <w:rFonts w:cs="Times New Roman"/>
          <w:b/>
          <w:bCs/>
          <w:sz w:val="22"/>
          <w:lang w:val="sr-Cyrl-RS"/>
        </w:rPr>
        <w:t xml:space="preserve"> </w:t>
      </w:r>
      <w:r w:rsidR="002E104D" w:rsidRPr="00EF2F18">
        <w:rPr>
          <w:rFonts w:cs="Times New Roman"/>
          <w:sz w:val="22"/>
          <w:lang w:val="sr-Cyrl-RS"/>
        </w:rPr>
        <w:t>уређује се оснивање и правни положај удружења, упис и брисање из регистра, чланство и органи, статусне промене и престанак удружења, као и друга питања значајна за рад удружења.</w:t>
      </w:r>
    </w:p>
    <w:p w14:paraId="597A3DC7" w14:textId="2A6F6CD1" w:rsidR="002E104D" w:rsidRPr="00EF2F18" w:rsidRDefault="002E104D" w:rsidP="002E104D">
      <w:pPr>
        <w:spacing w:after="0"/>
        <w:ind w:firstLine="695"/>
        <w:jc w:val="both"/>
        <w:rPr>
          <w:rFonts w:cs="Times New Roman"/>
          <w:sz w:val="22"/>
          <w:lang w:val="sr-Cyrl-RS"/>
        </w:rPr>
      </w:pPr>
      <w:r w:rsidRPr="00EF2F18">
        <w:rPr>
          <w:rFonts w:cs="Times New Roman"/>
          <w:b/>
          <w:sz w:val="22"/>
          <w:lang w:val="sr-Cyrl-RS"/>
        </w:rPr>
        <w:t xml:space="preserve">Законом о младима </w:t>
      </w:r>
      <w:r w:rsidRPr="00EF2F18">
        <w:rPr>
          <w:rFonts w:cs="Times New Roman"/>
          <w:bCs/>
          <w:sz w:val="22"/>
          <w:lang w:val="sr-Cyrl-RS"/>
        </w:rPr>
        <w:t>(</w:t>
      </w:r>
      <w:r w:rsidRPr="00EF2F18">
        <w:rPr>
          <w:rFonts w:cs="Times New Roman"/>
          <w:sz w:val="22"/>
          <w:lang w:val="sr-Cyrl-RS"/>
        </w:rPr>
        <w:t>„</w:t>
      </w:r>
      <w:r w:rsidRPr="00EF2F18">
        <w:rPr>
          <w:rFonts w:cs="Times New Roman"/>
          <w:iCs/>
          <w:sz w:val="22"/>
          <w:lang w:val="sr-Cyrl-RS"/>
        </w:rPr>
        <w:t>Службени гласник РС</w:t>
      </w:r>
      <w:r w:rsidRPr="00EF2F18">
        <w:rPr>
          <w:rFonts w:cs="Times New Roman"/>
          <w:sz w:val="22"/>
          <w:lang w:val="sr-Cyrl-RS"/>
        </w:rPr>
        <w:t>”, бр. 50/11</w:t>
      </w:r>
      <w:r w:rsidRPr="00EF2F18">
        <w:rPr>
          <w:rFonts w:eastAsia="Times New Roman" w:cs="Times New Roman"/>
          <w:sz w:val="22"/>
          <w:lang w:val="sr-Cyrl-RS"/>
        </w:rPr>
        <w:t xml:space="preserve"> и 116/22 – др. закон</w:t>
      </w:r>
      <w:r w:rsidRPr="00EF2F18">
        <w:rPr>
          <w:rFonts w:cs="Times New Roman"/>
          <w:sz w:val="22"/>
          <w:lang w:val="sr-Cyrl-RS"/>
        </w:rPr>
        <w:t>)</w:t>
      </w:r>
      <w:r w:rsidR="005E5FF9" w:rsidRPr="00EF2F18">
        <w:rPr>
          <w:rFonts w:cs="Times New Roman"/>
          <w:sz w:val="22"/>
          <w:lang w:val="sr-Cyrl-RS"/>
        </w:rPr>
        <w:t xml:space="preserve"> </w:t>
      </w:r>
      <w:r w:rsidRPr="00EF2F18">
        <w:rPr>
          <w:rFonts w:cs="Times New Roman"/>
          <w:sz w:val="22"/>
          <w:lang w:val="sr-Cyrl-RS"/>
        </w:rPr>
        <w:t xml:space="preserve">уређују се питања од значаја за унапређивање друштвеног положаја младих и стварање услова за остваривање потреба и интереса младих у свим областима које су од интереса за младе. </w:t>
      </w:r>
    </w:p>
    <w:p w14:paraId="3B320746" w14:textId="522837E5" w:rsidR="005D673E" w:rsidRPr="00EF2F18" w:rsidRDefault="005D673E" w:rsidP="002E104D">
      <w:pPr>
        <w:spacing w:after="0"/>
        <w:ind w:firstLine="695"/>
        <w:jc w:val="both"/>
        <w:rPr>
          <w:rFonts w:cs="Times New Roman"/>
          <w:sz w:val="22"/>
          <w:lang w:val="sr-Cyrl-RS"/>
        </w:rPr>
      </w:pPr>
      <w:r w:rsidRPr="00EF2F18">
        <w:rPr>
          <w:rFonts w:cs="Times New Roman"/>
          <w:b/>
          <w:bCs/>
          <w:sz w:val="22"/>
          <w:lang w:val="sr-Cyrl-RS"/>
        </w:rPr>
        <w:t>Законом о основама система образовања и васпитања</w:t>
      </w:r>
      <w:r w:rsidRPr="00EF2F18">
        <w:rPr>
          <w:rFonts w:cs="Times New Roman"/>
          <w:sz w:val="22"/>
          <w:lang w:val="sr-Cyrl-RS"/>
        </w:rPr>
        <w:t xml:space="preserve"> („</w:t>
      </w:r>
      <w:r w:rsidRPr="00EF2F18">
        <w:rPr>
          <w:rFonts w:cs="Times New Roman"/>
          <w:iCs/>
          <w:sz w:val="22"/>
          <w:lang w:val="sr-Cyrl-RS"/>
        </w:rPr>
        <w:t>Службени гласник РС</w:t>
      </w:r>
      <w:r w:rsidRPr="00EF2F18">
        <w:rPr>
          <w:rFonts w:cs="Times New Roman"/>
          <w:sz w:val="22"/>
          <w:lang w:val="sr-Cyrl-RS"/>
        </w:rPr>
        <w:t xml:space="preserve">”, бр. 88/17, 27/18 </w:t>
      </w:r>
      <w:r w:rsidR="001301B7" w:rsidRPr="00EF2F18">
        <w:rPr>
          <w:rFonts w:cs="Times New Roman"/>
          <w:sz w:val="22"/>
          <w:lang w:val="sr-Cyrl-RS"/>
        </w:rPr>
        <w:t>–</w:t>
      </w:r>
      <w:r w:rsidRPr="00EF2F18">
        <w:rPr>
          <w:rFonts w:cs="Times New Roman"/>
          <w:sz w:val="22"/>
          <w:lang w:val="sr-Cyrl-RS"/>
        </w:rPr>
        <w:t xml:space="preserve"> др. закон, 10/19, 27/18 </w:t>
      </w:r>
      <w:r w:rsidR="001301B7" w:rsidRPr="00EF2F18">
        <w:rPr>
          <w:rFonts w:cs="Times New Roman"/>
          <w:sz w:val="22"/>
          <w:lang w:val="sr-Cyrl-RS"/>
        </w:rPr>
        <w:t>–</w:t>
      </w:r>
      <w:r w:rsidRPr="00EF2F18">
        <w:rPr>
          <w:rFonts w:cs="Times New Roman"/>
          <w:sz w:val="22"/>
          <w:lang w:val="sr-Cyrl-RS"/>
        </w:rPr>
        <w:t xml:space="preserve"> др. закон, 6/20, 129/21 и 92/23) у</w:t>
      </w:r>
      <w:r w:rsidRPr="00EF2F18">
        <w:rPr>
          <w:sz w:val="22"/>
          <w:lang w:val="sr-Cyrl-RS"/>
        </w:rPr>
        <w:t xml:space="preserve">ређују се основе система предшколског, основног и средњег образовања и васпитања и образовања одраслих, и то: принципи, циљеви, исходи, стандарди образовања и васпитања, знања, вештина и ставова, начин и услови за обављање делатности предшколског васпитања и образовања, основног и средњег образовања и васпитања, врсте програма образовања и васпитања, оснивање, организација, финансирање и надзор над радом установа образовања и васпитања, као и друга питања од значаја за образовање и васпитање. </w:t>
      </w:r>
      <w:r w:rsidRPr="00EF2F18">
        <w:rPr>
          <w:rFonts w:cs="Times New Roman"/>
          <w:sz w:val="22"/>
          <w:lang w:val="sr-Cyrl-RS"/>
        </w:rPr>
        <w:t>Овим законом уређују се и радни односи запослених у установи.</w:t>
      </w:r>
    </w:p>
    <w:p w14:paraId="265D7E63" w14:textId="661048EB" w:rsidR="00D611D8" w:rsidRPr="00EF2F18" w:rsidRDefault="00D611D8" w:rsidP="002E104D">
      <w:pPr>
        <w:spacing w:after="0"/>
        <w:ind w:firstLine="695"/>
        <w:jc w:val="both"/>
        <w:rPr>
          <w:rFonts w:cs="Times New Roman"/>
          <w:sz w:val="22"/>
          <w:lang w:val="sr-Cyrl-RS"/>
        </w:rPr>
      </w:pPr>
      <w:r w:rsidRPr="00EF2F18">
        <w:rPr>
          <w:rFonts w:cs="Times New Roman"/>
          <w:b/>
          <w:bCs/>
          <w:sz w:val="22"/>
          <w:lang w:val="sr-Cyrl-RS"/>
        </w:rPr>
        <w:t>Закон о ратификацији Конвенције УН о правима детета</w:t>
      </w:r>
      <w:r w:rsidR="001301B7" w:rsidRPr="00EF2F18">
        <w:rPr>
          <w:rFonts w:cs="Times New Roman"/>
          <w:sz w:val="22"/>
          <w:lang w:val="sr-Cyrl-RS"/>
        </w:rPr>
        <w:t xml:space="preserve"> („Службени</w:t>
      </w:r>
      <w:r w:rsidRPr="00EF2F18">
        <w:rPr>
          <w:rFonts w:cs="Times New Roman"/>
          <w:sz w:val="22"/>
          <w:lang w:val="sr-Cyrl-RS"/>
        </w:rPr>
        <w:t xml:space="preserve"> лист СФРЈ </w:t>
      </w:r>
      <w:r w:rsidR="001301B7" w:rsidRPr="00EF2F18">
        <w:rPr>
          <w:rFonts w:cs="Times New Roman"/>
          <w:sz w:val="22"/>
          <w:lang w:val="sr-Cyrl-RS"/>
        </w:rPr>
        <w:t>–</w:t>
      </w:r>
      <w:r w:rsidRPr="00EF2F18">
        <w:rPr>
          <w:rFonts w:cs="Times New Roman"/>
          <w:sz w:val="22"/>
          <w:lang w:val="sr-Cyrl-RS"/>
        </w:rPr>
        <w:t xml:space="preserve"> Међунар</w:t>
      </w:r>
      <w:r w:rsidR="001301B7" w:rsidRPr="00EF2F18">
        <w:rPr>
          <w:rFonts w:cs="Times New Roman"/>
          <w:sz w:val="22"/>
          <w:lang w:val="sr-Cyrl-RS"/>
        </w:rPr>
        <w:t>одни уговори”, број 15/90 и „Службени</w:t>
      </w:r>
      <w:r w:rsidRPr="00EF2F18">
        <w:rPr>
          <w:rFonts w:cs="Times New Roman"/>
          <w:sz w:val="22"/>
          <w:lang w:val="sr-Cyrl-RS"/>
        </w:rPr>
        <w:t xml:space="preserve"> лист СРЈ </w:t>
      </w:r>
      <w:r w:rsidR="001301B7" w:rsidRPr="00EF2F18">
        <w:rPr>
          <w:rFonts w:cs="Times New Roman"/>
          <w:sz w:val="22"/>
          <w:lang w:val="sr-Cyrl-RS"/>
        </w:rPr>
        <w:t>–</w:t>
      </w:r>
      <w:r w:rsidRPr="00EF2F18">
        <w:rPr>
          <w:rFonts w:cs="Times New Roman"/>
          <w:sz w:val="22"/>
          <w:lang w:val="sr-Cyrl-RS"/>
        </w:rPr>
        <w:t xml:space="preserve"> Међународни уговори”, бр. 4/96 и 2/97) која је усвојена 1989. године на 44. заседању Генералне скупштине УН у Њујорку.</w:t>
      </w:r>
    </w:p>
    <w:p w14:paraId="52092BEE" w14:textId="074432AC" w:rsidR="002E104D" w:rsidRPr="00EF2F18" w:rsidRDefault="002E104D" w:rsidP="002E104D">
      <w:pPr>
        <w:spacing w:after="0"/>
        <w:ind w:firstLine="695"/>
        <w:jc w:val="both"/>
        <w:rPr>
          <w:rFonts w:cs="Times New Roman"/>
          <w:sz w:val="22"/>
          <w:lang w:val="sr-Cyrl-RS"/>
        </w:rPr>
      </w:pPr>
      <w:r w:rsidRPr="00EF2F18">
        <w:rPr>
          <w:rFonts w:cs="Times New Roman"/>
          <w:b/>
          <w:bCs/>
          <w:sz w:val="22"/>
          <w:lang w:val="sr-Cyrl-RS"/>
        </w:rPr>
        <w:t>Законом о забрани дискриминације (</w:t>
      </w:r>
      <w:r w:rsidRPr="00EF2F18">
        <w:rPr>
          <w:rFonts w:cs="Times New Roman"/>
          <w:sz w:val="22"/>
          <w:lang w:val="sr-Cyrl-RS"/>
        </w:rPr>
        <w:t>„</w:t>
      </w:r>
      <w:r w:rsidRPr="00EF2F18">
        <w:rPr>
          <w:rFonts w:cs="Times New Roman"/>
          <w:iCs/>
          <w:sz w:val="22"/>
          <w:lang w:val="sr-Cyrl-RS"/>
        </w:rPr>
        <w:t>Службени гласник РС</w:t>
      </w:r>
      <w:r w:rsidRPr="00EF2F18">
        <w:rPr>
          <w:rFonts w:cs="Times New Roman"/>
          <w:sz w:val="22"/>
          <w:lang w:val="sr-Cyrl-RS"/>
        </w:rPr>
        <w:t>”, бр. 22/09 и 52/21)</w:t>
      </w:r>
      <w:r w:rsidR="005E5FF9" w:rsidRPr="00EF2F18">
        <w:rPr>
          <w:rFonts w:cs="Times New Roman"/>
          <w:sz w:val="22"/>
          <w:lang w:val="sr-Cyrl-RS"/>
        </w:rPr>
        <w:t xml:space="preserve"> </w:t>
      </w:r>
      <w:r w:rsidRPr="00EF2F18">
        <w:rPr>
          <w:rFonts w:cs="Times New Roman"/>
          <w:sz w:val="22"/>
          <w:lang w:val="sr-Cyrl-RS"/>
        </w:rPr>
        <w:t>представља општи антидискриминациони закон којим се уређује општа забрана дискриминације, облици и случајеви дискриминације, као и поступци заштите од дискриминације.</w:t>
      </w:r>
      <w:r w:rsidR="005E5FF9" w:rsidRPr="00EF2F18">
        <w:rPr>
          <w:rFonts w:cs="Times New Roman"/>
          <w:sz w:val="22"/>
          <w:lang w:val="sr-Cyrl-RS"/>
        </w:rPr>
        <w:t xml:space="preserve"> </w:t>
      </w:r>
    </w:p>
    <w:p w14:paraId="4DE7AE91" w14:textId="57AAF082" w:rsidR="00D611D8" w:rsidRPr="004A6A43" w:rsidRDefault="00D611D8" w:rsidP="002E104D">
      <w:pPr>
        <w:spacing w:after="0"/>
        <w:ind w:firstLine="695"/>
        <w:jc w:val="both"/>
        <w:rPr>
          <w:rFonts w:cs="Times New Roman"/>
          <w:sz w:val="21"/>
          <w:szCs w:val="21"/>
          <w:lang w:val="sr-Cyrl-RS"/>
        </w:rPr>
      </w:pPr>
      <w:r w:rsidRPr="004A6A43">
        <w:rPr>
          <w:rFonts w:cs="Times New Roman"/>
          <w:b/>
          <w:bCs/>
          <w:sz w:val="21"/>
          <w:szCs w:val="21"/>
          <w:lang w:val="sr-Cyrl-RS"/>
        </w:rPr>
        <w:t>Закон о ратификацији Европске конвенције за заштиту људских права и основних слобода</w:t>
      </w:r>
      <w:r w:rsidRPr="004A6A43">
        <w:rPr>
          <w:rFonts w:cs="Times New Roman"/>
          <w:sz w:val="21"/>
          <w:szCs w:val="21"/>
          <w:lang w:val="sr-Cyrl-RS"/>
        </w:rPr>
        <w:t xml:space="preserve">, измењене у складу са Протоколом број 11, Протоколa уз Конвенцију за заштиту људских права и основних слобода, Протоколa број 4 уз Конвенцију за заштиту људских права и основних слобода којим се обезбеђују извесна права и слободе који нису укључени у Конвенцију и Први Протокол уз њу, Протоколa број 6 уз Конвенцију за заштиту људских права и основних слободa о укидању смртне казне, Протоколa број 7 уз Конвенцију за заштиту људских права и основних слобода, Протоколa број 12 уз Конвенцију за заштиту људских права и основних слобода и Протоколa број 13 уз Конвенцију за заштиту људских права и основних слободa о укидању смртне казне у свим околностима („Службени лист СЦГ </w:t>
      </w:r>
      <w:r w:rsidR="004A6A43" w:rsidRPr="004A6A43">
        <w:rPr>
          <w:rFonts w:cs="Times New Roman"/>
          <w:sz w:val="21"/>
          <w:szCs w:val="21"/>
          <w:lang w:val="sr-Cyrl-RS"/>
        </w:rPr>
        <w:t>–</w:t>
      </w:r>
      <w:r w:rsidRPr="004A6A43">
        <w:rPr>
          <w:rFonts w:cs="Times New Roman"/>
          <w:sz w:val="21"/>
          <w:szCs w:val="21"/>
          <w:lang w:val="sr-Cyrl-RS"/>
        </w:rPr>
        <w:t xml:space="preserve"> Међународни уговори”, број 9/03) представља најважнији регионални инструмент којим су у Европи гарантована основна права и слободе.</w:t>
      </w:r>
    </w:p>
    <w:p w14:paraId="039045B6" w14:textId="0CE277C2" w:rsidR="00157D54" w:rsidRPr="00EF2F18" w:rsidRDefault="002E104D" w:rsidP="002E104D">
      <w:pPr>
        <w:pStyle w:val="BodyText"/>
        <w:widowControl w:val="0"/>
        <w:tabs>
          <w:tab w:val="left" w:pos="0"/>
          <w:tab w:val="left" w:pos="527"/>
        </w:tabs>
        <w:spacing w:after="0" w:line="240" w:lineRule="auto"/>
        <w:rPr>
          <w:rFonts w:ascii="Times New Roman" w:hAnsi="Times New Roman"/>
          <w:sz w:val="22"/>
          <w:szCs w:val="22"/>
          <w:lang w:val="sr-Cyrl-RS"/>
        </w:rPr>
      </w:pPr>
      <w:r w:rsidRPr="00EF2F18">
        <w:rPr>
          <w:rFonts w:ascii="Times New Roman" w:hAnsi="Times New Roman"/>
          <w:b/>
          <w:bCs/>
          <w:iCs/>
          <w:sz w:val="22"/>
          <w:szCs w:val="22"/>
          <w:lang w:val="sr-Cyrl-RS"/>
        </w:rPr>
        <w:lastRenderedPageBreak/>
        <w:tab/>
      </w:r>
      <w:r w:rsidRPr="00EF2F18">
        <w:rPr>
          <w:rFonts w:ascii="Times New Roman" w:hAnsi="Times New Roman"/>
          <w:b/>
          <w:bCs/>
          <w:iCs/>
          <w:sz w:val="22"/>
          <w:szCs w:val="22"/>
          <w:lang w:val="sr-Cyrl-RS"/>
        </w:rPr>
        <w:tab/>
        <w:t>Закон о слободном приступу информацијама од јавног значаја</w:t>
      </w:r>
      <w:r w:rsidRPr="00EF2F18">
        <w:rPr>
          <w:rFonts w:ascii="Times New Roman" w:hAnsi="Times New Roman"/>
          <w:iCs/>
          <w:sz w:val="22"/>
          <w:szCs w:val="22"/>
          <w:lang w:val="sr-Cyrl-RS"/>
        </w:rPr>
        <w:t xml:space="preserve"> </w:t>
      </w:r>
      <w:r w:rsidRPr="00EF2F18">
        <w:rPr>
          <w:rFonts w:ascii="Times New Roman" w:hAnsi="Times New Roman"/>
          <w:b/>
          <w:bCs/>
          <w:sz w:val="22"/>
          <w:szCs w:val="22"/>
          <w:lang w:val="sr-Cyrl-RS"/>
        </w:rPr>
        <w:t>(</w:t>
      </w:r>
      <w:r w:rsidRPr="00EF2F18">
        <w:rPr>
          <w:rFonts w:ascii="Times New Roman" w:hAnsi="Times New Roman"/>
          <w:sz w:val="22"/>
          <w:szCs w:val="22"/>
          <w:lang w:val="sr-Cyrl-RS"/>
        </w:rPr>
        <w:t>„</w:t>
      </w:r>
      <w:r w:rsidRPr="00EF2F18">
        <w:rPr>
          <w:rFonts w:ascii="Times New Roman" w:hAnsi="Times New Roman"/>
          <w:iCs/>
          <w:sz w:val="22"/>
          <w:szCs w:val="22"/>
          <w:lang w:val="sr-Cyrl-RS"/>
        </w:rPr>
        <w:t>Службени гласник РС</w:t>
      </w:r>
      <w:r w:rsidRPr="00EF2F18">
        <w:rPr>
          <w:rFonts w:ascii="Times New Roman" w:hAnsi="Times New Roman"/>
          <w:sz w:val="22"/>
          <w:szCs w:val="22"/>
          <w:lang w:val="sr-Cyrl-RS"/>
        </w:rPr>
        <w:t>”, б</w:t>
      </w:r>
      <w:r w:rsidR="001301B7" w:rsidRPr="00EF2F18">
        <w:rPr>
          <w:rFonts w:ascii="Times New Roman" w:hAnsi="Times New Roman"/>
          <w:sz w:val="22"/>
          <w:szCs w:val="22"/>
          <w:lang w:val="sr-Cyrl-RS"/>
        </w:rPr>
        <w:t>р. 120/04, 54/07, 104/09, 36/1</w:t>
      </w:r>
      <w:r w:rsidR="004A6A43">
        <w:rPr>
          <w:rFonts w:ascii="Times New Roman" w:hAnsi="Times New Roman"/>
          <w:sz w:val="22"/>
          <w:szCs w:val="22"/>
          <w:lang w:val="sr-Cyrl-RS"/>
        </w:rPr>
        <w:t>0</w:t>
      </w:r>
      <w:r w:rsidR="001301B7" w:rsidRPr="00EF2F18">
        <w:rPr>
          <w:rFonts w:ascii="Times New Roman" w:hAnsi="Times New Roman"/>
          <w:sz w:val="22"/>
          <w:szCs w:val="22"/>
          <w:lang w:val="sr-Cyrl-RS"/>
        </w:rPr>
        <w:t xml:space="preserve"> и</w:t>
      </w:r>
      <w:r w:rsidRPr="00EF2F18">
        <w:rPr>
          <w:rFonts w:ascii="Times New Roman" w:hAnsi="Times New Roman"/>
          <w:sz w:val="22"/>
          <w:szCs w:val="22"/>
          <w:lang w:val="sr-Cyrl-RS"/>
        </w:rPr>
        <w:t xml:space="preserve"> 105/21) уређује права на приступ </w:t>
      </w:r>
      <w:r w:rsidRPr="00EF2F18">
        <w:rPr>
          <w:rFonts w:ascii="Times New Roman" w:hAnsi="Times New Roman"/>
          <w:iCs/>
          <w:sz w:val="22"/>
          <w:szCs w:val="22"/>
          <w:lang w:val="sr-Cyrl-RS"/>
        </w:rPr>
        <w:t>информацијама од јавног значаја којима располажу органи јавне власти, ради остваривања и заштите интереса јавности да зна и остварења слободног демократског поретка и отвореног друштва.</w:t>
      </w:r>
    </w:p>
    <w:p w14:paraId="138D9851" w14:textId="4F05D257" w:rsidR="007E62C5" w:rsidRPr="00EF2F18" w:rsidRDefault="007E62C5" w:rsidP="00916A8E">
      <w:pPr>
        <w:spacing w:after="0"/>
        <w:ind w:firstLine="720"/>
        <w:jc w:val="both"/>
        <w:rPr>
          <w:rFonts w:cs="Times New Roman"/>
          <w:sz w:val="22"/>
          <w:lang w:val="sr-Cyrl-RS"/>
        </w:rPr>
      </w:pPr>
      <w:r w:rsidRPr="00EF2F18">
        <w:rPr>
          <w:rFonts w:cs="Times New Roman"/>
          <w:b/>
          <w:bCs/>
          <w:sz w:val="22"/>
          <w:lang w:val="sr-Cyrl-RS"/>
        </w:rPr>
        <w:t xml:space="preserve">Кривични законик </w:t>
      </w:r>
      <w:r w:rsidRPr="00EF2F18">
        <w:rPr>
          <w:rFonts w:cs="Times New Roman"/>
          <w:sz w:val="22"/>
          <w:lang w:val="sr-Cyrl-RS"/>
        </w:rPr>
        <w:t xml:space="preserve">(„Службени гласник </w:t>
      </w:r>
      <w:r w:rsidR="00916A8E" w:rsidRPr="00EF2F18">
        <w:rPr>
          <w:rFonts w:cs="Times New Roman"/>
          <w:sz w:val="22"/>
          <w:lang w:val="sr-Cyrl-RS"/>
        </w:rPr>
        <w:t>РС</w:t>
      </w:r>
      <w:r w:rsidR="008765A6" w:rsidRPr="00EF2F18">
        <w:rPr>
          <w:rFonts w:cs="Times New Roman"/>
          <w:sz w:val="22"/>
          <w:lang w:val="sr-Cyrl-RS"/>
        </w:rPr>
        <w:t xml:space="preserve">”, бр. 85/05, 88/05 </w:t>
      </w:r>
      <w:r w:rsidR="001301B7" w:rsidRPr="00EF2F18">
        <w:rPr>
          <w:rFonts w:cs="Times New Roman"/>
          <w:sz w:val="22"/>
          <w:lang w:val="sr-Cyrl-RS"/>
        </w:rPr>
        <w:t>–</w:t>
      </w:r>
      <w:r w:rsidR="008765A6" w:rsidRPr="00EF2F18">
        <w:rPr>
          <w:rFonts w:cs="Times New Roman"/>
          <w:sz w:val="22"/>
          <w:lang w:val="sr-Cyrl-RS"/>
        </w:rPr>
        <w:t xml:space="preserve"> исправка, 107/05 </w:t>
      </w:r>
      <w:r w:rsidR="001301B7" w:rsidRPr="00EF2F18">
        <w:rPr>
          <w:rFonts w:cs="Times New Roman"/>
          <w:sz w:val="22"/>
          <w:lang w:val="sr-Cyrl-RS"/>
        </w:rPr>
        <w:t>–</w:t>
      </w:r>
      <w:r w:rsidR="008765A6" w:rsidRPr="00EF2F18">
        <w:rPr>
          <w:rFonts w:cs="Times New Roman"/>
          <w:sz w:val="22"/>
          <w:lang w:val="sr-Cyrl-RS"/>
        </w:rPr>
        <w:t>исправка</w:t>
      </w:r>
      <w:r w:rsidRPr="00EF2F18">
        <w:rPr>
          <w:rFonts w:cs="Times New Roman"/>
          <w:sz w:val="22"/>
          <w:lang w:val="sr-Cyrl-RS"/>
        </w:rPr>
        <w:t>, 72/09, 111/09, 121/12, 104/13, 108/14, 94/16</w:t>
      </w:r>
      <w:r w:rsidR="00B51A8A" w:rsidRPr="00EF2F18">
        <w:rPr>
          <w:rFonts w:cs="Times New Roman"/>
          <w:sz w:val="22"/>
          <w:lang w:val="sr-Cyrl-RS"/>
        </w:rPr>
        <w:t>,</w:t>
      </w:r>
      <w:r w:rsidRPr="00EF2F18">
        <w:rPr>
          <w:rFonts w:cs="Times New Roman"/>
          <w:sz w:val="22"/>
          <w:lang w:val="sr-Cyrl-RS"/>
        </w:rPr>
        <w:t xml:space="preserve"> 35/19</w:t>
      </w:r>
      <w:r w:rsidR="003D2DCB">
        <w:rPr>
          <w:rFonts w:cs="Times New Roman"/>
          <w:sz w:val="22"/>
          <w:lang w:val="sr-Cyrl-RS"/>
        </w:rPr>
        <w:t>,</w:t>
      </w:r>
      <w:r w:rsidR="00B51A8A" w:rsidRPr="00EF2F18">
        <w:rPr>
          <w:rFonts w:cs="Times New Roman"/>
          <w:sz w:val="22"/>
          <w:lang w:val="sr-Cyrl-RS"/>
        </w:rPr>
        <w:t xml:space="preserve"> 94/24</w:t>
      </w:r>
      <w:r w:rsidR="003D2DCB">
        <w:rPr>
          <w:rFonts w:cs="Times New Roman"/>
          <w:sz w:val="22"/>
          <w:lang w:val="sr-Cyrl-RS"/>
        </w:rPr>
        <w:t xml:space="preserve"> и 63/26</w:t>
      </w:r>
      <w:r w:rsidRPr="00EF2F18">
        <w:rPr>
          <w:rFonts w:cs="Times New Roman"/>
          <w:sz w:val="22"/>
          <w:lang w:val="sr-Cyrl-RS"/>
        </w:rPr>
        <w:t>) прописује санкције за: преношење робе преко царинске границе избегавајући мере царинског надзора; продају, дистрибуцију или прикривање непријављене робе; нелегалну производњу или прераду робе без одобрења надлежног органа; нелегалну трговину, производњу, продају или стављање у промет штетних прехрамбених производа, хране или пића или других штетних производа; загађење воде за пиће или прехрамбених производа; кршење прописа који се односе на заштиту, очување и унапређење животне средине загађењем ваздуха, воде и земљишта; непредузимање одређених мера заштите животне средине; нелегалну градњу, у случају када овлашћена или надлежна особа одобри изградњу, рад или експлоатацију објекта или примену технологије која загађује животну средину, поступајући противно прописима о заштити животне средине.</w:t>
      </w:r>
    </w:p>
    <w:p w14:paraId="0F33D41E" w14:textId="77777777" w:rsidR="007E62C5" w:rsidRPr="00EF2F18" w:rsidRDefault="007E62C5" w:rsidP="007E62C5">
      <w:pPr>
        <w:spacing w:after="0"/>
        <w:ind w:firstLine="720"/>
        <w:jc w:val="both"/>
        <w:rPr>
          <w:rFonts w:cs="Times New Roman"/>
          <w:sz w:val="22"/>
          <w:lang w:val="sr-Cyrl-RS"/>
        </w:rPr>
      </w:pPr>
    </w:p>
    <w:p w14:paraId="2D2D65F2" w14:textId="2B78E386" w:rsidR="00ED0251" w:rsidRPr="00EF2F18" w:rsidRDefault="00ED0251" w:rsidP="000167AD">
      <w:pPr>
        <w:pStyle w:val="Heading2"/>
        <w:numPr>
          <w:ilvl w:val="1"/>
          <w:numId w:val="2"/>
        </w:numPr>
        <w:jc w:val="center"/>
        <w:rPr>
          <w:rFonts w:cs="Times New Roman"/>
          <w:sz w:val="22"/>
          <w:szCs w:val="22"/>
          <w:lang w:val="sr-Cyrl-RS"/>
        </w:rPr>
      </w:pPr>
      <w:bookmarkStart w:id="15" w:name="_Toc158307689"/>
      <w:r w:rsidRPr="00EF2F18">
        <w:rPr>
          <w:rFonts w:cs="Times New Roman"/>
          <w:sz w:val="22"/>
          <w:szCs w:val="22"/>
          <w:lang w:val="sr-Cyrl-RS"/>
        </w:rPr>
        <w:t>Институционални оквир</w:t>
      </w:r>
      <w:bookmarkEnd w:id="15"/>
    </w:p>
    <w:p w14:paraId="6F3CEFA2" w14:textId="77777777" w:rsidR="002C4545" w:rsidRPr="00EF2F18" w:rsidRDefault="002C4545" w:rsidP="00D02B8F">
      <w:pPr>
        <w:spacing w:after="0"/>
        <w:ind w:firstLine="720"/>
        <w:jc w:val="both"/>
        <w:rPr>
          <w:rFonts w:cs="Times New Roman"/>
          <w:sz w:val="22"/>
          <w:lang w:val="sr-Cyrl-RS"/>
        </w:rPr>
      </w:pPr>
    </w:p>
    <w:p w14:paraId="3C75C280" w14:textId="77777777" w:rsidR="00D41CFC" w:rsidRPr="00EF2F18" w:rsidRDefault="00D41CFC" w:rsidP="000167AD">
      <w:pPr>
        <w:pStyle w:val="Normal1"/>
        <w:spacing w:after="0"/>
        <w:ind w:right="-173" w:firstLine="720"/>
        <w:jc w:val="both"/>
        <w:rPr>
          <w:rFonts w:ascii="Times New Roman" w:hAnsi="Times New Roman" w:cs="Times New Roman"/>
          <w:lang w:val="sr-Cyrl-RS"/>
        </w:rPr>
      </w:pPr>
      <w:r w:rsidRPr="00EF2F18">
        <w:rPr>
          <w:rFonts w:ascii="Times New Roman" w:hAnsi="Times New Roman" w:cs="Times New Roman"/>
          <w:b/>
          <w:i/>
          <w:lang w:val="sr-Cyrl-RS"/>
        </w:rPr>
        <w:t>Министарство заштите животне средине (МЗЖС)</w:t>
      </w:r>
      <w:r w:rsidRPr="00EF2F18">
        <w:rPr>
          <w:rFonts w:ascii="Times New Roman" w:hAnsi="Times New Roman" w:cs="Times New Roman"/>
          <w:lang w:val="sr-Cyrl-RS"/>
        </w:rPr>
        <w:t xml:space="preserve"> </w:t>
      </w:r>
    </w:p>
    <w:p w14:paraId="0CB38C88" w14:textId="5F320A69" w:rsidR="00D41CFC" w:rsidRPr="00EF2F18" w:rsidRDefault="00D41CFC" w:rsidP="00D41CFC">
      <w:pPr>
        <w:pStyle w:val="Normal1"/>
        <w:spacing w:after="0"/>
        <w:ind w:right="-173" w:firstLine="720"/>
        <w:jc w:val="both"/>
        <w:rPr>
          <w:rFonts w:ascii="Times New Roman" w:hAnsi="Times New Roman" w:cs="Times New Roman"/>
          <w:lang w:val="sr-Cyrl-RS"/>
        </w:rPr>
      </w:pPr>
      <w:r w:rsidRPr="00EF2F18">
        <w:rPr>
          <w:rFonts w:ascii="Times New Roman" w:hAnsi="Times New Roman" w:cs="Times New Roman"/>
          <w:bCs/>
          <w:iCs/>
          <w:lang w:val="sr-Cyrl-RS"/>
        </w:rPr>
        <w:t>Министарство заштите животне средине представља кључн</w:t>
      </w:r>
      <w:r w:rsidR="00AC2933" w:rsidRPr="00EF2F18">
        <w:rPr>
          <w:rFonts w:ascii="Times New Roman" w:hAnsi="Times New Roman" w:cs="Times New Roman"/>
          <w:bCs/>
          <w:iCs/>
          <w:lang w:val="sr-Cyrl-RS"/>
        </w:rPr>
        <w:t xml:space="preserve">и државни орган надлежан </w:t>
      </w:r>
      <w:r w:rsidRPr="00EF2F18">
        <w:rPr>
          <w:rFonts w:ascii="Times New Roman" w:hAnsi="Times New Roman" w:cs="Times New Roman"/>
          <w:lang w:val="sr-Cyrl-RS"/>
        </w:rPr>
        <w:t>за заштиту животне средине, које обавља послове државне управе у складу са Законом о министарствима и које покрива већину сектора заштите животне средине</w:t>
      </w:r>
      <w:r w:rsidR="00AC2933"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5F2303B0" w14:textId="672F55CD" w:rsidR="00D41CFC" w:rsidRPr="00EF2F18" w:rsidRDefault="000167AD" w:rsidP="00D41CFC">
      <w:pPr>
        <w:pStyle w:val="Normal1"/>
        <w:spacing w:after="0"/>
        <w:ind w:right="-173"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заштите животне средине</w:t>
      </w:r>
      <w:r w:rsidR="00D41CFC" w:rsidRPr="00EF2F18">
        <w:rPr>
          <w:rFonts w:ascii="Times New Roman" w:hAnsi="Times New Roman" w:cs="Times New Roman"/>
          <w:lang w:val="sr-Cyrl-RS"/>
        </w:rPr>
        <w:t xml:space="preserve"> води </w:t>
      </w:r>
      <w:r w:rsidR="00D41CFC" w:rsidRPr="00EF2F18">
        <w:rPr>
          <w:rFonts w:ascii="Times New Roman" w:hAnsi="Times New Roman" w:cs="Times New Roman"/>
          <w:b/>
          <w:lang w:val="sr-Cyrl-RS"/>
        </w:rPr>
        <w:t xml:space="preserve">Преговарачку групу (ПГ) за Поглавље 27 </w:t>
      </w:r>
      <w:r w:rsidR="001301B7" w:rsidRPr="00EF2F18">
        <w:rPr>
          <w:rFonts w:ascii="Times New Roman" w:hAnsi="Times New Roman" w:cs="Times New Roman"/>
          <w:b/>
          <w:lang w:val="sr-Cyrl-RS"/>
        </w:rPr>
        <w:t>–</w:t>
      </w:r>
      <w:r w:rsidR="00D41CFC" w:rsidRPr="00EF2F18">
        <w:rPr>
          <w:rFonts w:ascii="Times New Roman" w:hAnsi="Times New Roman" w:cs="Times New Roman"/>
          <w:b/>
          <w:lang w:val="sr-Cyrl-RS"/>
        </w:rPr>
        <w:t xml:space="preserve"> Животна средина и климатске промене</w:t>
      </w:r>
      <w:r w:rsidR="00D41CFC" w:rsidRPr="00EF2F18">
        <w:rPr>
          <w:rFonts w:ascii="Times New Roman" w:hAnsi="Times New Roman" w:cs="Times New Roman"/>
          <w:lang w:val="sr-Cyrl-RS"/>
        </w:rPr>
        <w:t xml:space="preserve"> и одговорно је за координацију свих других институција које учествују у ПГ у циљу обезбеђивања имплементације активности које се односе на учешће у преговарачком процесу и припрему преговарачке позиције. </w:t>
      </w:r>
      <w:r w:rsidR="004A4E67" w:rsidRPr="00EF2F18">
        <w:rPr>
          <w:rFonts w:ascii="Times New Roman" w:hAnsi="Times New Roman" w:cs="Times New Roman"/>
          <w:lang w:val="sr-Cyrl-RS"/>
        </w:rPr>
        <w:t xml:space="preserve">Како би </w:t>
      </w:r>
      <w:r w:rsidR="00736EC9" w:rsidRPr="00EF2F18">
        <w:rPr>
          <w:rFonts w:ascii="Times New Roman" w:hAnsi="Times New Roman" w:cs="Times New Roman"/>
          <w:lang w:val="sr-Cyrl-RS"/>
        </w:rPr>
        <w:t xml:space="preserve">Република </w:t>
      </w:r>
      <w:r w:rsidR="004A4E67" w:rsidRPr="00EF2F18">
        <w:rPr>
          <w:rFonts w:ascii="Times New Roman" w:hAnsi="Times New Roman" w:cs="Times New Roman"/>
          <w:lang w:val="sr-Cyrl-RS"/>
        </w:rPr>
        <w:t xml:space="preserve">Србија испунила обавезу предвиђену Споразумом о стабилизацији и придруживању (ССП), и на свеобухватан и системски начин утврдила вишегодишњи програм усклађивања свог законодавства са правном тековином ЕУ, доказујући при том постојање и одрживост неопходног административног капацитета, Србија је </w:t>
      </w:r>
      <w:r w:rsidR="00507756" w:rsidRPr="00EF2F18">
        <w:rPr>
          <w:rStyle w:val="cf11"/>
          <w:rFonts w:ascii="Times New Roman" w:hAnsi="Times New Roman" w:cs="Times New Roman"/>
          <w:sz w:val="22"/>
          <w:szCs w:val="22"/>
          <w:lang w:val="sr-Cyrl-RS"/>
        </w:rPr>
        <w:t xml:space="preserve">јула 2022. године </w:t>
      </w:r>
      <w:r w:rsidR="004A4E67" w:rsidRPr="00EF2F18">
        <w:rPr>
          <w:rFonts w:ascii="Times New Roman" w:hAnsi="Times New Roman" w:cs="Times New Roman"/>
          <w:lang w:val="sr-Cyrl-RS"/>
        </w:rPr>
        <w:t xml:space="preserve">усвојила </w:t>
      </w:r>
      <w:r w:rsidR="00D8247C" w:rsidRPr="00EF2F18">
        <w:rPr>
          <w:rStyle w:val="cf01"/>
          <w:rFonts w:ascii="Times New Roman" w:hAnsi="Times New Roman" w:cs="Times New Roman"/>
          <w:sz w:val="22"/>
          <w:szCs w:val="22"/>
          <w:lang w:val="sr-Cyrl-RS"/>
        </w:rPr>
        <w:t>IV</w:t>
      </w:r>
      <w:r w:rsidR="00D8247C" w:rsidRPr="00EF2F18">
        <w:rPr>
          <w:rStyle w:val="cf11"/>
          <w:rFonts w:ascii="Times New Roman" w:hAnsi="Times New Roman" w:cs="Times New Roman"/>
          <w:sz w:val="22"/>
          <w:szCs w:val="22"/>
          <w:lang w:val="sr-Cyrl-RS"/>
        </w:rPr>
        <w:t xml:space="preserve"> Национални програм за усвајање правних тековина ЕУ (НППА)</w:t>
      </w:r>
      <w:r w:rsidR="004A4E67" w:rsidRPr="00EF2F18">
        <w:rPr>
          <w:rFonts w:ascii="Times New Roman" w:hAnsi="Times New Roman" w:cs="Times New Roman"/>
          <w:lang w:val="sr-Cyrl-RS"/>
        </w:rPr>
        <w:t>. У том смислу је и МЗЖС задужено за</w:t>
      </w:r>
      <w:r w:rsidR="005E5FF9" w:rsidRPr="00EF2F18">
        <w:rPr>
          <w:rFonts w:ascii="Times New Roman" w:hAnsi="Times New Roman" w:cs="Times New Roman"/>
          <w:lang w:val="sr-Cyrl-RS"/>
        </w:rPr>
        <w:t xml:space="preserve"> </w:t>
      </w:r>
      <w:r w:rsidR="004A4E67" w:rsidRPr="00EF2F18">
        <w:rPr>
          <w:rFonts w:ascii="Times New Roman" w:hAnsi="Times New Roman" w:cs="Times New Roman"/>
          <w:lang w:val="sr-Cyrl-RS"/>
        </w:rPr>
        <w:t>израду и праћење имплементације Националног програма за усвајање правних тековина ЕУ (НПАА) за Поглавље 27.</w:t>
      </w:r>
      <w:r w:rsidR="00D8247C" w:rsidRPr="00EF2F18">
        <w:rPr>
          <w:rFonts w:ascii="Times New Roman" w:hAnsi="Times New Roman" w:cs="Times New Roman"/>
          <w:lang w:val="sr-Cyrl-RS"/>
        </w:rPr>
        <w:t xml:space="preserve"> </w:t>
      </w:r>
      <w:r w:rsidR="004A4E67" w:rsidRPr="00EF2F18">
        <w:rPr>
          <w:rFonts w:ascii="Times New Roman" w:hAnsi="Times New Roman" w:cs="Times New Roman"/>
          <w:lang w:val="sr-Cyrl-RS"/>
        </w:rPr>
        <w:t>МЗЖС, у чијој је надлежности Поглавље 27, је одговорно за системски и одрживи развој политике, и регулаторног оквира, планирање административних и институционалних капацитета као и</w:t>
      </w:r>
      <w:r w:rsidR="005E5FF9" w:rsidRPr="00EF2F18">
        <w:rPr>
          <w:rFonts w:ascii="Times New Roman" w:hAnsi="Times New Roman" w:cs="Times New Roman"/>
          <w:lang w:val="sr-Cyrl-RS"/>
        </w:rPr>
        <w:t xml:space="preserve"> </w:t>
      </w:r>
      <w:r w:rsidR="004A4E67" w:rsidRPr="00EF2F18">
        <w:rPr>
          <w:rFonts w:ascii="Times New Roman" w:hAnsi="Times New Roman" w:cs="Times New Roman"/>
          <w:lang w:val="sr-Cyrl-RS"/>
        </w:rPr>
        <w:t>планирање међународне помоћи - укључујући ИПА.</w:t>
      </w:r>
      <w:r w:rsidR="00B73387" w:rsidRPr="00EF2F18">
        <w:rPr>
          <w:rFonts w:ascii="Times New Roman" w:hAnsi="Times New Roman" w:cs="Times New Roman"/>
          <w:lang w:val="sr-Cyrl-RS"/>
        </w:rPr>
        <w:t xml:space="preserve"> </w:t>
      </w:r>
    </w:p>
    <w:p w14:paraId="5D515F50" w14:textId="4185D6DE" w:rsidR="00D41CFC" w:rsidRPr="00EF2F18" w:rsidRDefault="00342B1B" w:rsidP="00D41CFC">
      <w:pPr>
        <w:pStyle w:val="Normal1"/>
        <w:spacing w:after="0"/>
        <w:ind w:right="-173" w:firstLine="720"/>
        <w:jc w:val="both"/>
        <w:rPr>
          <w:rFonts w:ascii="Times New Roman" w:hAnsi="Times New Roman" w:cs="Times New Roman"/>
          <w:lang w:val="sr-Cyrl-RS"/>
        </w:rPr>
      </w:pPr>
      <w:r w:rsidRPr="00EF2F18">
        <w:rPr>
          <w:rFonts w:ascii="Times New Roman" w:hAnsi="Times New Roman" w:cs="Times New Roman"/>
          <w:b/>
          <w:lang w:val="sr-Cyrl-RS"/>
        </w:rPr>
        <w:t>Министарство заштите животне средине</w:t>
      </w:r>
      <w:r w:rsidR="00D41CFC" w:rsidRPr="00EF2F18">
        <w:rPr>
          <w:rFonts w:ascii="Times New Roman" w:hAnsi="Times New Roman" w:cs="Times New Roman"/>
          <w:b/>
          <w:lang w:val="sr-Cyrl-RS"/>
        </w:rPr>
        <w:t xml:space="preserve"> </w:t>
      </w:r>
      <w:r w:rsidR="00D41CFC" w:rsidRPr="00EF2F18">
        <w:rPr>
          <w:rFonts w:ascii="Times New Roman" w:hAnsi="Times New Roman" w:cs="Times New Roman"/>
          <w:lang w:val="sr-Cyrl-RS"/>
        </w:rPr>
        <w:t>је одговорно за следеће области релевантне за законодавство ЕУ</w:t>
      </w:r>
      <w:r w:rsidR="005E42D2" w:rsidRPr="00EF2F18">
        <w:rPr>
          <w:rFonts w:ascii="Times New Roman" w:hAnsi="Times New Roman" w:cs="Times New Roman"/>
          <w:lang w:val="sr-Cyrl-RS"/>
        </w:rPr>
        <w:t xml:space="preserve"> </w:t>
      </w:r>
      <w:r w:rsidR="00D41CFC" w:rsidRPr="00EF2F18">
        <w:rPr>
          <w:rFonts w:ascii="Times New Roman" w:hAnsi="Times New Roman" w:cs="Times New Roman"/>
          <w:lang w:val="sr-Cyrl-RS"/>
        </w:rPr>
        <w:t xml:space="preserve">у животној средини: </w:t>
      </w:r>
    </w:p>
    <w:p w14:paraId="15C25AE1"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хоризонтална питања животне средине (</w:t>
      </w:r>
      <w:r w:rsidRPr="00EF2F18">
        <w:rPr>
          <w:rFonts w:ascii="Times New Roman" w:eastAsia="Times New Roman" w:hAnsi="Times New Roman" w:cs="Times New Roman"/>
          <w:lang w:val="sr-Cyrl-RS" w:eastAsia="es-ES"/>
        </w:rPr>
        <w:t>EIA</w:t>
      </w:r>
      <w:r w:rsidRPr="00EF2F18">
        <w:rPr>
          <w:rFonts w:ascii="Times New Roman" w:hAnsi="Times New Roman" w:cs="Times New Roman"/>
          <w:lang w:val="sr-Cyrl-RS"/>
        </w:rPr>
        <w:t xml:space="preserve">, SEA, учешће јавности, итд); </w:t>
      </w:r>
    </w:p>
    <w:p w14:paraId="5C2522E8"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квалитет ваздуха; </w:t>
      </w:r>
    </w:p>
    <w:p w14:paraId="17B90ED4" w14:textId="7F345BD3"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управљање хемикалијама;</w:t>
      </w:r>
      <w:r w:rsidR="005E42D2" w:rsidRPr="00EF2F18">
        <w:rPr>
          <w:rFonts w:ascii="Times New Roman" w:hAnsi="Times New Roman" w:cs="Times New Roman"/>
          <w:lang w:val="sr-Cyrl-RS"/>
        </w:rPr>
        <w:t xml:space="preserve"> </w:t>
      </w:r>
    </w:p>
    <w:p w14:paraId="317A87C0"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климатске промене (искључујући техничке захтеве за возила и квалитет горива); </w:t>
      </w:r>
    </w:p>
    <w:p w14:paraId="44B69516"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заштита озонског омотача; </w:t>
      </w:r>
    </w:p>
    <w:p w14:paraId="2B8239A5" w14:textId="332E7A56"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управљање отпадом, осим радиоактивног отпада</w:t>
      </w:r>
      <w:r w:rsidR="00C52C2E" w:rsidRPr="00EF2F18">
        <w:rPr>
          <w:rFonts w:ascii="Times New Roman" w:hAnsi="Times New Roman" w:cs="Times New Roman"/>
          <w:lang w:val="sr-Cyrl-RS"/>
        </w:rPr>
        <w:t xml:space="preserve"> и </w:t>
      </w:r>
      <w:r w:rsidR="00CE519F" w:rsidRPr="00EF2F18">
        <w:rPr>
          <w:rFonts w:ascii="Times New Roman" w:hAnsi="Times New Roman" w:cs="Times New Roman"/>
          <w:lang w:val="sr-Cyrl-RS"/>
        </w:rPr>
        <w:t xml:space="preserve">отпада који настаје при истраживању, ископавању, експлоатацији, припреми и складиштењу минералних сировина, као и при раду у каменоломима на које се примењују прописи о управљању рударским </w:t>
      </w:r>
      <w:r w:rsidR="00C52C2E" w:rsidRPr="00EF2F18">
        <w:rPr>
          <w:rFonts w:ascii="Times New Roman" w:hAnsi="Times New Roman" w:cs="Times New Roman"/>
          <w:lang w:val="sr-Cyrl-RS"/>
        </w:rPr>
        <w:t>отпад</w:t>
      </w:r>
      <w:r w:rsidR="00CE519F" w:rsidRPr="00EF2F18">
        <w:rPr>
          <w:rFonts w:ascii="Times New Roman" w:hAnsi="Times New Roman" w:cs="Times New Roman"/>
          <w:lang w:val="sr-Cyrl-RS"/>
        </w:rPr>
        <w:t>ом</w:t>
      </w:r>
      <w:r w:rsidRPr="00EF2F18">
        <w:rPr>
          <w:rFonts w:ascii="Times New Roman" w:hAnsi="Times New Roman" w:cs="Times New Roman"/>
          <w:lang w:val="sr-Cyrl-RS"/>
        </w:rPr>
        <w:t xml:space="preserve">; </w:t>
      </w:r>
    </w:p>
    <w:p w14:paraId="3DEA41D0" w14:textId="0C3FCCC4"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заштита од </w:t>
      </w:r>
      <w:r w:rsidR="00182DC9" w:rsidRPr="00EF2F18">
        <w:rPr>
          <w:rFonts w:ascii="Times New Roman" w:hAnsi="Times New Roman" w:cs="Times New Roman"/>
          <w:lang w:val="sr-Cyrl-RS"/>
        </w:rPr>
        <w:t>великог хемијског удеса и учешће у реаговању у случају хемијских удеса</w:t>
      </w:r>
      <w:r w:rsidRPr="00EF2F18">
        <w:rPr>
          <w:rFonts w:ascii="Times New Roman" w:hAnsi="Times New Roman" w:cs="Times New Roman"/>
          <w:lang w:val="sr-Cyrl-RS"/>
        </w:rPr>
        <w:t xml:space="preserve">; </w:t>
      </w:r>
    </w:p>
    <w:p w14:paraId="5EEB9E5B"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индустријско загађење; </w:t>
      </w:r>
    </w:p>
    <w:p w14:paraId="1026E214" w14:textId="4D715281" w:rsidR="00D41CFC" w:rsidRPr="00EF2F18" w:rsidRDefault="0069686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природа и биодиверзитет;</w:t>
      </w:r>
      <w:r w:rsidR="00D41CFC" w:rsidRPr="00EF2F18">
        <w:rPr>
          <w:rFonts w:ascii="Times New Roman" w:hAnsi="Times New Roman" w:cs="Times New Roman"/>
          <w:lang w:val="sr-Cyrl-RS"/>
        </w:rPr>
        <w:t xml:space="preserve"> </w:t>
      </w:r>
    </w:p>
    <w:p w14:paraId="3EBBC4A6"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квалитет вода (заштита од загађења вода ради спречавања погоршања квалитета површинских и подземних вода); </w:t>
      </w:r>
    </w:p>
    <w:p w14:paraId="4473F4AA" w14:textId="77777777" w:rsidR="00D41CFC" w:rsidRPr="00EF2F18" w:rsidRDefault="00D41CF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инфраструктура за отпад и отпадне воде;</w:t>
      </w:r>
    </w:p>
    <w:p w14:paraId="356048DF" w14:textId="77777777" w:rsidR="00D8247C" w:rsidRPr="00EF2F18" w:rsidRDefault="00D8247C"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заштита од буке и вибрација;</w:t>
      </w:r>
    </w:p>
    <w:p w14:paraId="1DC21422" w14:textId="158F34F1" w:rsidR="00236929" w:rsidRPr="00EF2F18" w:rsidRDefault="00276EB2"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Pr>
          <w:rFonts w:ascii="Times New Roman" w:hAnsi="Times New Roman" w:cs="Times New Roman"/>
          <w:lang w:val="sr-Cyrl-RS"/>
        </w:rPr>
        <w:t>заштита од нејониз</w:t>
      </w:r>
      <w:r w:rsidR="00D8247C" w:rsidRPr="00EF2F18">
        <w:rPr>
          <w:rFonts w:ascii="Times New Roman" w:hAnsi="Times New Roman" w:cs="Times New Roman"/>
          <w:lang w:val="sr-Cyrl-RS"/>
        </w:rPr>
        <w:t>ујућег зрачења</w:t>
      </w:r>
      <w:r w:rsidR="00236929" w:rsidRPr="00EF2F18">
        <w:rPr>
          <w:rFonts w:ascii="Times New Roman" w:hAnsi="Times New Roman" w:cs="Times New Roman"/>
          <w:lang w:val="sr-Cyrl-RS"/>
        </w:rPr>
        <w:t>;</w:t>
      </w:r>
    </w:p>
    <w:p w14:paraId="2C5D2BB4" w14:textId="77777777" w:rsidR="00443ECB" w:rsidRPr="00EF2F18" w:rsidRDefault="00236929"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lastRenderedPageBreak/>
        <w:t>стварање услова за</w:t>
      </w:r>
      <w:r w:rsidR="00157D54" w:rsidRPr="00EF2F18">
        <w:rPr>
          <w:rFonts w:ascii="Times New Roman" w:hAnsi="Times New Roman" w:cs="Times New Roman"/>
          <w:lang w:val="sr-Cyrl-RS"/>
        </w:rPr>
        <w:t xml:space="preserve"> </w:t>
      </w:r>
      <w:r w:rsidRPr="00EF2F18">
        <w:rPr>
          <w:rFonts w:ascii="Times New Roman" w:hAnsi="Times New Roman" w:cs="Times New Roman"/>
          <w:lang w:val="sr-Cyrl-RS"/>
        </w:rPr>
        <w:t>планирање и реализацију пројеката из области животне средине (отпад, отпадне воде, итд.)</w:t>
      </w:r>
      <w:r w:rsidR="00443ECB" w:rsidRPr="00EF2F18">
        <w:rPr>
          <w:rFonts w:ascii="Times New Roman" w:hAnsi="Times New Roman" w:cs="Times New Roman"/>
          <w:lang w:val="sr-Cyrl-RS"/>
        </w:rPr>
        <w:t>;</w:t>
      </w:r>
    </w:p>
    <w:p w14:paraId="2F7DE7DD" w14:textId="48B5504F" w:rsidR="00D41CFC" w:rsidRPr="00EF2F18" w:rsidRDefault="00443ECB" w:rsidP="00313E8E">
      <w:pPr>
        <w:pStyle w:val="Normal1"/>
        <w:numPr>
          <w:ilvl w:val="0"/>
          <w:numId w:val="31"/>
        </w:numPr>
        <w:pBdr>
          <w:top w:val="nil"/>
          <w:left w:val="nil"/>
          <w:bottom w:val="nil"/>
          <w:right w:val="nil"/>
          <w:between w:val="nil"/>
        </w:pBdr>
        <w:spacing w:after="0"/>
        <w:ind w:right="-173"/>
        <w:jc w:val="both"/>
        <w:rPr>
          <w:rFonts w:ascii="Times New Roman" w:hAnsi="Times New Roman" w:cs="Times New Roman"/>
          <w:lang w:val="sr-Cyrl-RS"/>
        </w:rPr>
      </w:pPr>
      <w:r w:rsidRPr="00EF2F18">
        <w:rPr>
          <w:rFonts w:ascii="Times New Roman" w:hAnsi="Times New Roman" w:cs="Times New Roman"/>
          <w:lang w:val="sr-Cyrl-RS"/>
        </w:rPr>
        <w:t>инспекцијски надзор у области заштите животне средине</w:t>
      </w:r>
      <w:r w:rsidR="00D41CFC" w:rsidRPr="00EF2F18">
        <w:rPr>
          <w:rFonts w:ascii="Times New Roman" w:hAnsi="Times New Roman" w:cs="Times New Roman"/>
          <w:lang w:val="sr-Cyrl-RS"/>
        </w:rPr>
        <w:t xml:space="preserve">. </w:t>
      </w:r>
    </w:p>
    <w:p w14:paraId="5F4D1E0B" w14:textId="77777777" w:rsidR="00D41CFC" w:rsidRPr="00EF2F18" w:rsidRDefault="00D41CFC" w:rsidP="00D41CFC">
      <w:pPr>
        <w:pStyle w:val="Normal1"/>
        <w:spacing w:after="0"/>
        <w:ind w:right="-179"/>
        <w:jc w:val="both"/>
        <w:rPr>
          <w:rFonts w:ascii="Times New Roman" w:hAnsi="Times New Roman" w:cs="Times New Roman"/>
          <w:b/>
          <w:i/>
          <w:lang w:val="sr-Cyrl-RS"/>
        </w:rPr>
      </w:pPr>
    </w:p>
    <w:p w14:paraId="0C34D56A" w14:textId="44AF1B97" w:rsidR="00D41CFC" w:rsidRPr="00EF2F18" w:rsidRDefault="00D41CFC" w:rsidP="00342B1B">
      <w:pPr>
        <w:pStyle w:val="Normal1"/>
        <w:spacing w:after="0"/>
        <w:ind w:right="-179" w:firstLine="720"/>
        <w:jc w:val="both"/>
        <w:rPr>
          <w:rFonts w:ascii="Times New Roman" w:hAnsi="Times New Roman" w:cs="Times New Roman"/>
          <w:b/>
          <w:i/>
          <w:lang w:val="sr-Cyrl-RS"/>
        </w:rPr>
      </w:pPr>
      <w:r w:rsidRPr="00EF2F18">
        <w:rPr>
          <w:rFonts w:ascii="Times New Roman" w:hAnsi="Times New Roman" w:cs="Times New Roman"/>
          <w:b/>
          <w:i/>
          <w:lang w:val="sr-Cyrl-RS"/>
        </w:rPr>
        <w:t xml:space="preserve">Агенција за заштиту животне средине </w:t>
      </w:r>
      <w:r w:rsidR="006B2F45" w:rsidRPr="00EF2F18">
        <w:rPr>
          <w:rFonts w:ascii="Times New Roman" w:hAnsi="Times New Roman" w:cs="Times New Roman"/>
          <w:b/>
          <w:i/>
          <w:lang w:val="sr-Cyrl-RS"/>
        </w:rPr>
        <w:t>(</w:t>
      </w:r>
      <w:r w:rsidRPr="00EF2F18">
        <w:rPr>
          <w:rFonts w:ascii="Times New Roman" w:hAnsi="Times New Roman" w:cs="Times New Roman"/>
          <w:b/>
          <w:i/>
          <w:lang w:val="sr-Cyrl-RS"/>
        </w:rPr>
        <w:t>АЗЖС</w:t>
      </w:r>
      <w:r w:rsidR="006B2F45" w:rsidRPr="00EF2F18">
        <w:rPr>
          <w:rFonts w:ascii="Times New Roman" w:hAnsi="Times New Roman" w:cs="Times New Roman"/>
          <w:b/>
          <w:i/>
          <w:lang w:val="sr-Cyrl-RS"/>
        </w:rPr>
        <w:t>)</w:t>
      </w:r>
      <w:r w:rsidRPr="00EF2F18">
        <w:rPr>
          <w:rFonts w:ascii="Times New Roman" w:hAnsi="Times New Roman" w:cs="Times New Roman"/>
          <w:b/>
          <w:i/>
          <w:lang w:val="sr-Cyrl-RS"/>
        </w:rPr>
        <w:t xml:space="preserve"> </w:t>
      </w:r>
    </w:p>
    <w:p w14:paraId="3E53720A" w14:textId="4B1B4017" w:rsidR="001B69A9" w:rsidRPr="00EF2F18" w:rsidRDefault="00D41CFC" w:rsidP="001B69A9">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bCs/>
          <w:iCs/>
          <w:lang w:val="sr-Cyrl-RS"/>
        </w:rPr>
        <w:t xml:space="preserve">Агенција за заштиту животне средине </w:t>
      </w:r>
      <w:r w:rsidR="00AC2933" w:rsidRPr="00EF2F18">
        <w:rPr>
          <w:rFonts w:ascii="Times New Roman" w:hAnsi="Times New Roman" w:cs="Times New Roman"/>
          <w:bCs/>
          <w:iCs/>
          <w:lang w:val="sr-Cyrl-RS"/>
        </w:rPr>
        <w:t xml:space="preserve">је </w:t>
      </w:r>
      <w:r w:rsidRPr="00EF2F18">
        <w:rPr>
          <w:rFonts w:ascii="Times New Roman" w:hAnsi="Times New Roman" w:cs="Times New Roman"/>
          <w:bCs/>
          <w:iCs/>
          <w:lang w:val="sr-Cyrl-RS"/>
        </w:rPr>
        <w:t>орган управе</w:t>
      </w:r>
      <w:r w:rsidR="005E42D2" w:rsidRPr="00EF2F18">
        <w:rPr>
          <w:rFonts w:ascii="Times New Roman" w:hAnsi="Times New Roman" w:cs="Times New Roman"/>
          <w:bCs/>
          <w:iCs/>
          <w:lang w:val="sr-Cyrl-RS"/>
        </w:rPr>
        <w:t xml:space="preserve"> </w:t>
      </w:r>
      <w:r w:rsidRPr="00EF2F18">
        <w:rPr>
          <w:rFonts w:ascii="Times New Roman" w:hAnsi="Times New Roman" w:cs="Times New Roman"/>
          <w:bCs/>
          <w:iCs/>
          <w:lang w:val="sr-Cyrl-RS"/>
        </w:rPr>
        <w:t>у саставу</w:t>
      </w:r>
      <w:r w:rsidR="005E42D2" w:rsidRPr="00EF2F18">
        <w:rPr>
          <w:rFonts w:ascii="Times New Roman" w:hAnsi="Times New Roman" w:cs="Times New Roman"/>
          <w:lang w:val="sr-Cyrl-RS"/>
        </w:rPr>
        <w:t xml:space="preserve"> </w:t>
      </w:r>
      <w:r w:rsidR="001301B7" w:rsidRPr="00EF2F18">
        <w:rPr>
          <w:rFonts w:ascii="Times New Roman" w:hAnsi="Times New Roman" w:cs="Times New Roman"/>
          <w:lang w:val="sr-Cyrl-RS"/>
        </w:rPr>
        <w:t>Министарства заштите животне средине</w:t>
      </w:r>
      <w:r w:rsidR="00AC2933" w:rsidRPr="00EF2F18">
        <w:rPr>
          <w:rFonts w:ascii="Times New Roman" w:hAnsi="Times New Roman" w:cs="Times New Roman"/>
          <w:lang w:val="sr-Cyrl-RS"/>
        </w:rPr>
        <w:t>, са својством правног лица</w:t>
      </w:r>
      <w:r w:rsidRPr="00EF2F18">
        <w:rPr>
          <w:rFonts w:ascii="Times New Roman" w:hAnsi="Times New Roman" w:cs="Times New Roman"/>
          <w:lang w:val="sr-Cyrl-RS"/>
        </w:rPr>
        <w:t xml:space="preserve">. Одговорна је </w:t>
      </w:r>
      <w:r w:rsidR="001B69A9" w:rsidRPr="00EF2F18">
        <w:rPr>
          <w:rFonts w:ascii="Times New Roman" w:hAnsi="Times New Roman" w:cs="Times New Roman"/>
          <w:lang w:val="sr-Cyrl-RS"/>
        </w:rPr>
        <w:t>за</w:t>
      </w:r>
      <w:r w:rsidR="006C2E00" w:rsidRPr="00EF2F18">
        <w:rPr>
          <w:rFonts w:ascii="Times New Roman" w:hAnsi="Times New Roman" w:cs="Times New Roman"/>
          <w:lang w:val="sr-Cyrl-RS"/>
        </w:rPr>
        <w:t xml:space="preserve"> </w:t>
      </w:r>
      <w:r w:rsidR="001B69A9" w:rsidRPr="00EF2F18">
        <w:rPr>
          <w:rFonts w:ascii="Times New Roman" w:hAnsi="Times New Roman" w:cs="Times New Roman"/>
          <w:lang w:val="sr-Cyrl-RS"/>
        </w:rPr>
        <w:t xml:space="preserve">обављање послова државне управе који се односе на: </w:t>
      </w:r>
    </w:p>
    <w:p w14:paraId="224AC785" w14:textId="77777777" w:rsidR="001B69A9" w:rsidRPr="00EF2F18" w:rsidRDefault="001B69A9" w:rsidP="00313E8E">
      <w:pPr>
        <w:pStyle w:val="Normal1"/>
        <w:numPr>
          <w:ilvl w:val="0"/>
          <w:numId w:val="56"/>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развој, усклађивање и вођење националног информационог система заштите животне средине (праћење стања чинилаца животне средине кроз индикаторе животне средине; регистар загађујућих материја и др.);</w:t>
      </w:r>
    </w:p>
    <w:p w14:paraId="29D503A6" w14:textId="77777777" w:rsidR="001B69A9" w:rsidRPr="00EF2F18" w:rsidRDefault="001B69A9" w:rsidP="00313E8E">
      <w:pPr>
        <w:pStyle w:val="Normal1"/>
        <w:numPr>
          <w:ilvl w:val="0"/>
          <w:numId w:val="56"/>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 спровођење државног мониторинга квалитета ваздуха и вода, укључујући спровођење прописаних и усаглашених програма за контролу квалитета ваздуха, површинских вода и подземних вода прве издани и падавина; </w:t>
      </w:r>
    </w:p>
    <w:p w14:paraId="6BF9B1F9" w14:textId="77777777" w:rsidR="001B69A9" w:rsidRPr="00EF2F18" w:rsidRDefault="001B69A9" w:rsidP="00313E8E">
      <w:pPr>
        <w:pStyle w:val="Normal1"/>
        <w:numPr>
          <w:ilvl w:val="0"/>
          <w:numId w:val="56"/>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управљање Националном лабораторијом; </w:t>
      </w:r>
    </w:p>
    <w:p w14:paraId="652D7FE9" w14:textId="77777777" w:rsidR="001B69A9" w:rsidRPr="00EF2F18" w:rsidRDefault="001B69A9" w:rsidP="00313E8E">
      <w:pPr>
        <w:pStyle w:val="Normal1"/>
        <w:numPr>
          <w:ilvl w:val="0"/>
          <w:numId w:val="56"/>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прикупљање и обједињавање података о животној средини, њихову обраду и израду извештаја о стању животне средине и спровођењу политике заштите животне средине; развој поступака за обраду података о животној средини и њихову процену;</w:t>
      </w:r>
    </w:p>
    <w:p w14:paraId="1D910190" w14:textId="77777777" w:rsidR="001B69A9" w:rsidRPr="00EF2F18" w:rsidRDefault="001B69A9" w:rsidP="00313E8E">
      <w:pPr>
        <w:pStyle w:val="Normal1"/>
        <w:numPr>
          <w:ilvl w:val="0"/>
          <w:numId w:val="56"/>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сарадњу са Европском агенцијом за животну средину (ЕЕА) и Европском мрежом за информације и посматрање (ЕИОНЕТ), као и друге послове одређене законом.</w:t>
      </w:r>
    </w:p>
    <w:p w14:paraId="3429121B" w14:textId="77777777" w:rsidR="00D41CFC" w:rsidRPr="00EF2F18" w:rsidRDefault="00D41CFC" w:rsidP="00985E96">
      <w:pPr>
        <w:pStyle w:val="Normal1"/>
        <w:spacing w:after="0"/>
        <w:ind w:right="-179" w:firstLine="720"/>
        <w:jc w:val="both"/>
        <w:rPr>
          <w:rFonts w:ascii="Times New Roman" w:hAnsi="Times New Roman" w:cs="Times New Roman"/>
          <w:lang w:val="sr-Cyrl-RS"/>
        </w:rPr>
      </w:pPr>
    </w:p>
    <w:p w14:paraId="230D104E" w14:textId="77777777" w:rsidR="00D41CFC" w:rsidRPr="00EF2F18" w:rsidRDefault="00D41CFC" w:rsidP="00342B1B">
      <w:pPr>
        <w:pStyle w:val="Normal1"/>
        <w:pBdr>
          <w:top w:val="nil"/>
          <w:left w:val="nil"/>
          <w:bottom w:val="nil"/>
          <w:right w:val="nil"/>
          <w:between w:val="nil"/>
        </w:pBdr>
        <w:spacing w:after="0"/>
        <w:ind w:right="-179" w:firstLine="720"/>
        <w:jc w:val="both"/>
        <w:rPr>
          <w:rFonts w:ascii="Times New Roman" w:hAnsi="Times New Roman" w:cs="Times New Roman"/>
          <w:lang w:val="sr-Cyrl-RS"/>
        </w:rPr>
      </w:pPr>
      <w:r w:rsidRPr="00EF2F18">
        <w:rPr>
          <w:rFonts w:ascii="Times New Roman" w:hAnsi="Times New Roman" w:cs="Times New Roman"/>
          <w:b/>
          <w:i/>
          <w:lang w:val="sr-Cyrl-RS"/>
        </w:rPr>
        <w:t>Министарство пољопривреде, шумарства и водопривреде (МПШВ)</w:t>
      </w:r>
      <w:r w:rsidRPr="00EF2F18">
        <w:rPr>
          <w:rFonts w:ascii="Times New Roman" w:hAnsi="Times New Roman" w:cs="Times New Roman"/>
          <w:lang w:val="sr-Cyrl-RS"/>
        </w:rPr>
        <w:t xml:space="preserve"> </w:t>
      </w:r>
    </w:p>
    <w:p w14:paraId="545DC074" w14:textId="0E23D3D3" w:rsidR="005F1DF0" w:rsidRPr="00EF2F18" w:rsidRDefault="006A7693" w:rsidP="005F1DF0">
      <w:pPr>
        <w:pStyle w:val="Normal1"/>
        <w:spacing w:after="0"/>
        <w:ind w:firstLine="720"/>
        <w:jc w:val="both"/>
        <w:rPr>
          <w:rFonts w:ascii="Times New Roman" w:hAnsi="Times New Roman" w:cs="Times New Roman"/>
          <w:lang w:val="sr-Cyrl-RS"/>
        </w:rPr>
      </w:pPr>
      <w:r w:rsidRPr="00EF2F18">
        <w:rPr>
          <w:rFonts w:ascii="Times New Roman" w:hAnsi="Times New Roman" w:cs="Times New Roman"/>
          <w:bCs/>
          <w:iCs/>
          <w:lang w:val="sr-Cyrl-RS"/>
        </w:rPr>
        <w:t xml:space="preserve">Министарство пољопривреде, шумарства и водопривреде </w:t>
      </w:r>
      <w:r w:rsidR="005F1DF0" w:rsidRPr="00EF2F18">
        <w:rPr>
          <w:rFonts w:ascii="Times New Roman" w:hAnsi="Times New Roman" w:cs="Times New Roman"/>
          <w:lang w:val="sr-Cyrl-RS"/>
        </w:rPr>
        <w:t>обавља послове државне управе који се односе на: стратегију и политику развоја пољопривреде и прехрамбене индустрије; подстицаје у области прехрамбене индустрије; анализу производње и тржишта пољопривредних производа; билансе пољопривредно-прехрамбених производа и систем робних резерви основних пољопривредно-прехрамбених производа; уређење заједничког тржишта, мере тржишно-ценовне политике, структурне политике и земљишне политике у пољопривреди; мере подстицаја за унапређење пољопривредне производње; предлагање системских решења и мера заштите при увозу пољопривредних и прехрамбених производа; заштиту и коришћење пољопривредног земљишта; производњу аграрних инпута за пољопривредну и прехрамбену индустрију, производњу и промет алкохолних и безалкохолних пића, етанола, дувана и производа од дувана и прехрамбених производа; контролу квалитета пољопривредних производа и прехрамбених производа, вина, алкохолних и безалкохолних пића, воћних сокова, концентрисаних воћних сокова, воћних нектара, воћних сокова у праху, минералних вода, етанола, дувана и производа од дувана у унутрашњем и спољном промету; рурални развој; земљорадничко задругарство; стручне пољопривредне службе; систем тржишних информација у пољопривреди; производњу, цертификацију и контролу квалитета и промета семена и садног материјала; признавање и заштиту сорти биља и раса домаћих животиња; очување и одрживо коришћење биљних и животињских генетичких ресурса за храну и пољопривреду; стварање услова за приступ и реализацију пројеката из делокруга тог министарства који се финансирају из средстава претприступних фондова Европске уније, донација и других облика развојне помоћи; инспекцијски надзор у области пољопривреде.</w:t>
      </w:r>
    </w:p>
    <w:p w14:paraId="0FFC1AB5" w14:textId="77777777" w:rsidR="005F1DF0" w:rsidRPr="00EF2F18" w:rsidRDefault="005F1DF0" w:rsidP="00D41CFC">
      <w:pPr>
        <w:pStyle w:val="Normal1"/>
        <w:spacing w:after="0"/>
        <w:ind w:firstLine="720"/>
        <w:jc w:val="both"/>
        <w:rPr>
          <w:rFonts w:ascii="Times New Roman" w:hAnsi="Times New Roman" w:cs="Times New Roman"/>
          <w:lang w:val="sr-Cyrl-RS"/>
        </w:rPr>
      </w:pPr>
    </w:p>
    <w:p w14:paraId="2BA625EB" w14:textId="2F68E291" w:rsidR="00D41CFC" w:rsidRPr="00EF2F18" w:rsidRDefault="00D41CFC" w:rsidP="00342B1B">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b/>
          <w:i/>
          <w:lang w:val="sr-Cyrl-RS"/>
        </w:rPr>
        <w:t xml:space="preserve">МПШВ </w:t>
      </w:r>
      <w:r w:rsidR="001301B7" w:rsidRPr="00EF2F18">
        <w:rPr>
          <w:rFonts w:ascii="Times New Roman" w:hAnsi="Times New Roman" w:cs="Times New Roman"/>
          <w:b/>
          <w:i/>
          <w:lang w:val="sr-Cyrl-RS"/>
        </w:rPr>
        <w:t>–</w:t>
      </w:r>
      <w:r w:rsidRPr="00EF2F18">
        <w:rPr>
          <w:rFonts w:ascii="Times New Roman" w:hAnsi="Times New Roman" w:cs="Times New Roman"/>
          <w:b/>
          <w:i/>
          <w:lang w:val="sr-Cyrl-RS"/>
        </w:rPr>
        <w:t xml:space="preserve"> Републичка дирекција за воде (РДВ</w:t>
      </w:r>
      <w:r w:rsidRPr="00EF2F18">
        <w:rPr>
          <w:rFonts w:ascii="Times New Roman" w:hAnsi="Times New Roman" w:cs="Times New Roman"/>
          <w:lang w:val="sr-Cyrl-RS"/>
        </w:rPr>
        <w:t>)</w:t>
      </w:r>
    </w:p>
    <w:p w14:paraId="20096A9C" w14:textId="12BA0DFE" w:rsidR="00D41CFC" w:rsidRPr="00EF2F18" w:rsidRDefault="00D41CFC" w:rsidP="00D41CFC">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Представља орган управе у саставу Министарства пољопривреде, шумарства и водопривреде,</w:t>
      </w:r>
      <w:r w:rsidR="00F04073" w:rsidRPr="00EF2F18">
        <w:rPr>
          <w:rFonts w:ascii="Times New Roman" w:hAnsi="Times New Roman" w:cs="Times New Roman"/>
          <w:lang w:val="sr-Cyrl-RS"/>
        </w:rPr>
        <w:t xml:space="preserve"> и обавља послове државне управе и стручне послове који се односе на</w:t>
      </w:r>
      <w:r w:rsidRPr="00EF2F18">
        <w:rPr>
          <w:rFonts w:ascii="Times New Roman" w:hAnsi="Times New Roman" w:cs="Times New Roman"/>
          <w:lang w:val="sr-Cyrl-RS"/>
        </w:rPr>
        <w:t>:</w:t>
      </w:r>
    </w:p>
    <w:p w14:paraId="07B9CB78" w14:textId="6B2C1886"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 xml:space="preserve">политику водопривреде; </w:t>
      </w:r>
    </w:p>
    <w:p w14:paraId="20E44A0A" w14:textId="77777777"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 xml:space="preserve">вишенаменско коришћење вода; </w:t>
      </w:r>
    </w:p>
    <w:p w14:paraId="1EC21A52" w14:textId="77777777"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 xml:space="preserve">водоснабдевање, изузев дистрибуције воде; </w:t>
      </w:r>
    </w:p>
    <w:p w14:paraId="27BF328D" w14:textId="77777777"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 xml:space="preserve">заштиту од вода; </w:t>
      </w:r>
    </w:p>
    <w:p w14:paraId="5B267C45" w14:textId="77777777"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 xml:space="preserve">спровођење мера заштите вода и планску рационализацију потрошње воде; </w:t>
      </w:r>
    </w:p>
    <w:p w14:paraId="79974819" w14:textId="77777777"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 xml:space="preserve">уређење водних режима; </w:t>
      </w:r>
    </w:p>
    <w:p w14:paraId="5DB64346" w14:textId="05864603"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t>праћење и одржавање режима вода кој</w:t>
      </w:r>
      <w:r w:rsidR="00857AEF" w:rsidRPr="00EF2F18">
        <w:rPr>
          <w:rFonts w:ascii="Times New Roman" w:hAnsi="Times New Roman" w:cs="Times New Roman"/>
          <w:bCs/>
          <w:lang w:val="sr-Cyrl-RS"/>
        </w:rPr>
        <w:t>е</w:t>
      </w:r>
      <w:r w:rsidRPr="00EF2F18">
        <w:rPr>
          <w:rFonts w:ascii="Times New Roman" w:hAnsi="Times New Roman" w:cs="Times New Roman"/>
          <w:bCs/>
          <w:lang w:val="sr-Cyrl-RS"/>
        </w:rPr>
        <w:t xml:space="preserve"> чине и пресецају границу Републике Србије; </w:t>
      </w:r>
    </w:p>
    <w:p w14:paraId="17A5777C" w14:textId="78011394" w:rsidR="00F04073" w:rsidRPr="00EF2F18" w:rsidRDefault="00F04073" w:rsidP="00313E8E">
      <w:pPr>
        <w:pStyle w:val="Normal1"/>
        <w:numPr>
          <w:ilvl w:val="0"/>
          <w:numId w:val="32"/>
        </w:numPr>
        <w:pBdr>
          <w:top w:val="nil"/>
          <w:left w:val="nil"/>
          <w:bottom w:val="nil"/>
          <w:right w:val="nil"/>
          <w:between w:val="nil"/>
        </w:pBdr>
        <w:spacing w:after="0"/>
        <w:ind w:right="-173"/>
        <w:jc w:val="both"/>
        <w:rPr>
          <w:rFonts w:ascii="Times New Roman" w:hAnsi="Times New Roman" w:cs="Times New Roman"/>
          <w:bCs/>
          <w:lang w:val="sr-Cyrl-RS"/>
        </w:rPr>
      </w:pPr>
      <w:r w:rsidRPr="00EF2F18">
        <w:rPr>
          <w:rFonts w:ascii="Times New Roman" w:hAnsi="Times New Roman" w:cs="Times New Roman"/>
          <w:bCs/>
          <w:lang w:val="sr-Cyrl-RS"/>
        </w:rPr>
        <w:lastRenderedPageBreak/>
        <w:t>инспекцијски надзор у области водопривреде</w:t>
      </w:r>
      <w:r w:rsidR="00857AEF" w:rsidRPr="00EF2F18">
        <w:rPr>
          <w:rFonts w:ascii="Times New Roman" w:hAnsi="Times New Roman" w:cs="Times New Roman"/>
          <w:bCs/>
          <w:lang w:val="sr-Cyrl-RS"/>
        </w:rPr>
        <w:t>.</w:t>
      </w:r>
    </w:p>
    <w:p w14:paraId="7BB932EB" w14:textId="77777777" w:rsidR="006A7693" w:rsidRPr="00EF2F18" w:rsidRDefault="006A7693" w:rsidP="006A7693">
      <w:pPr>
        <w:pStyle w:val="Normal1"/>
        <w:spacing w:after="0"/>
        <w:ind w:right="-188"/>
        <w:jc w:val="both"/>
        <w:rPr>
          <w:rFonts w:ascii="Times New Roman" w:hAnsi="Times New Roman" w:cs="Times New Roman"/>
          <w:b/>
          <w:i/>
          <w:lang w:val="sr-Cyrl-RS"/>
        </w:rPr>
      </w:pPr>
    </w:p>
    <w:p w14:paraId="26CBAC6D" w14:textId="5F969270" w:rsidR="00334DC3" w:rsidRPr="00EF2F18" w:rsidRDefault="00334DC3" w:rsidP="00342B1B">
      <w:pPr>
        <w:pStyle w:val="Normal1"/>
        <w:spacing w:after="0"/>
        <w:ind w:right="-179" w:firstLine="720"/>
        <w:jc w:val="both"/>
        <w:rPr>
          <w:rFonts w:ascii="Times New Roman" w:hAnsi="Times New Roman" w:cs="Times New Roman"/>
          <w:b/>
          <w:bCs/>
          <w:i/>
          <w:lang w:val="sr-Cyrl-RS"/>
        </w:rPr>
      </w:pPr>
      <w:r w:rsidRPr="00EF2F18">
        <w:rPr>
          <w:rFonts w:ascii="Times New Roman" w:hAnsi="Times New Roman" w:cs="Times New Roman"/>
          <w:b/>
          <w:bCs/>
          <w:i/>
          <w:lang w:val="sr-Cyrl-RS"/>
        </w:rPr>
        <w:t>Друштво с ограниченом одговорношћу „Србијаводе</w:t>
      </w:r>
      <w:r w:rsidR="0069686C" w:rsidRPr="00EF2F18">
        <w:rPr>
          <w:rFonts w:ascii="Times New Roman" w:hAnsi="Times New Roman" w:cs="Times New Roman"/>
          <w:b/>
          <w:bCs/>
          <w:i/>
          <w:lang w:val="sr-Cyrl-RS"/>
        </w:rPr>
        <w:t>”</w:t>
      </w:r>
      <w:r w:rsidRPr="00EF2F18">
        <w:rPr>
          <w:rFonts w:ascii="Times New Roman" w:hAnsi="Times New Roman" w:cs="Times New Roman"/>
          <w:b/>
          <w:bCs/>
          <w:i/>
          <w:lang w:val="sr-Cyrl-RS"/>
        </w:rPr>
        <w:t xml:space="preserve"> Београд</w:t>
      </w:r>
    </w:p>
    <w:p w14:paraId="4ADFB03F" w14:textId="014ECDA0" w:rsidR="00980C99" w:rsidRPr="00EF2F18" w:rsidRDefault="00334DC3" w:rsidP="00D41CFC">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bCs/>
          <w:lang w:val="sr-Cyrl-RS"/>
        </w:rPr>
        <w:t>Друштво с ограниченом одговорношћу „Србијаводе</w:t>
      </w:r>
      <w:r w:rsidR="00C020AB" w:rsidRPr="00EF2F18">
        <w:rPr>
          <w:rFonts w:ascii="Times New Roman" w:hAnsi="Times New Roman" w:cs="Times New Roman"/>
          <w:bCs/>
          <w:lang w:val="sr-Cyrl-RS"/>
        </w:rPr>
        <w:t>”</w:t>
      </w:r>
      <w:r w:rsidR="00C250D2" w:rsidRPr="00EF2F18">
        <w:rPr>
          <w:rFonts w:ascii="Times New Roman" w:hAnsi="Times New Roman" w:cs="Times New Roman"/>
          <w:bCs/>
          <w:lang w:val="sr-Cyrl-RS"/>
        </w:rPr>
        <w:t xml:space="preserve"> Београд</w:t>
      </w:r>
      <w:r w:rsidRPr="00EF2F18">
        <w:rPr>
          <w:rFonts w:ascii="Times New Roman" w:hAnsi="Times New Roman" w:cs="Times New Roman"/>
          <w:bCs/>
          <w:lang w:val="sr-Cyrl-RS"/>
        </w:rPr>
        <w:t xml:space="preserve"> </w:t>
      </w:r>
      <w:r w:rsidR="009E6CFF" w:rsidRPr="00EF2F18">
        <w:rPr>
          <w:rFonts w:ascii="Times New Roman" w:hAnsi="Times New Roman" w:cs="Times New Roman"/>
          <w:lang w:val="sr-Cyrl-RS"/>
        </w:rPr>
        <w:t>је</w:t>
      </w:r>
      <w:r w:rsidR="00D41CFC" w:rsidRPr="00EF2F18">
        <w:rPr>
          <w:rFonts w:ascii="Times New Roman" w:hAnsi="Times New Roman" w:cs="Times New Roman"/>
          <w:lang w:val="sr-Cyrl-RS"/>
        </w:rPr>
        <w:t xml:space="preserve"> </w:t>
      </w:r>
      <w:r w:rsidR="00857AEF" w:rsidRPr="00EF2F18">
        <w:rPr>
          <w:rFonts w:ascii="Times New Roman" w:hAnsi="Times New Roman" w:cs="Times New Roman"/>
          <w:lang w:val="sr-Cyrl-RS"/>
        </w:rPr>
        <w:t xml:space="preserve">водопривредно </w:t>
      </w:r>
      <w:r w:rsidR="00D41CFC" w:rsidRPr="00EF2F18">
        <w:rPr>
          <w:rFonts w:ascii="Times New Roman" w:hAnsi="Times New Roman" w:cs="Times New Roman"/>
          <w:lang w:val="sr-Cyrl-RS"/>
        </w:rPr>
        <w:t>предузеће за управљање водама</w:t>
      </w:r>
      <w:r w:rsidR="00980C99" w:rsidRPr="00EF2F18">
        <w:rPr>
          <w:rFonts w:ascii="Times New Roman" w:hAnsi="Times New Roman" w:cs="Times New Roman"/>
          <w:lang w:val="sr-Cyrl-RS"/>
        </w:rPr>
        <w:t xml:space="preserve">. Законом о водама је дефинисана делатност предузећа од општег интереса и односи се на: </w:t>
      </w:r>
    </w:p>
    <w:p w14:paraId="04C7E02C" w14:textId="7F41838C" w:rsidR="00980C99" w:rsidRPr="00EF2F18" w:rsidRDefault="00980C99"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 xml:space="preserve">уређење водотока и </w:t>
      </w:r>
      <w:r w:rsidR="00C020AB" w:rsidRPr="00EF2F18">
        <w:rPr>
          <w:rFonts w:ascii="Times New Roman" w:hAnsi="Times New Roman" w:cs="Times New Roman"/>
          <w:lang w:val="sr-Cyrl-RS"/>
        </w:rPr>
        <w:t>заштиту од штетног дејства вода;</w:t>
      </w:r>
      <w:r w:rsidRPr="00EF2F18">
        <w:rPr>
          <w:rFonts w:ascii="Times New Roman" w:hAnsi="Times New Roman" w:cs="Times New Roman"/>
          <w:lang w:val="sr-Cyrl-RS"/>
        </w:rPr>
        <w:t xml:space="preserve"> </w:t>
      </w:r>
    </w:p>
    <w:p w14:paraId="0945BB53" w14:textId="090AC3CB" w:rsidR="00980C99" w:rsidRPr="00EF2F18" w:rsidRDefault="00980C99"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уређење и коришћење вода</w:t>
      </w:r>
      <w:r w:rsidR="00C020AB"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28040BFC" w14:textId="11B3D494" w:rsidR="00980C99" w:rsidRPr="00EF2F18" w:rsidRDefault="00980C99"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заштиту вода од загађивања</w:t>
      </w:r>
      <w:r w:rsidR="00C020AB"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7D607ABA" w14:textId="42F7A364" w:rsidR="00980C99" w:rsidRPr="00EF2F18" w:rsidRDefault="00980C99"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израду и спровођење планских докумената, програма и нормативних аката, студија и извођење истражних радова за потребе интегралног управљања водама, израда техничке документације</w:t>
      </w:r>
      <w:r w:rsidR="00857AEF" w:rsidRPr="00EF2F18">
        <w:rPr>
          <w:rFonts w:ascii="Times New Roman" w:hAnsi="Times New Roman" w:cs="Times New Roman"/>
          <w:lang w:val="sr-Cyrl-RS"/>
        </w:rPr>
        <w:t xml:space="preserve"> и издавање водних аката</w:t>
      </w:r>
      <w:r w:rsidR="00C020AB"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1A081050" w14:textId="3D2BD2BD" w:rsidR="00980C99" w:rsidRPr="00EF2F18" w:rsidRDefault="00980C99"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као и пословe међународне сарадње и успостављање и вођење водне документације и водног информационог система, али не и нa водно-комуналну делатност.</w:t>
      </w:r>
    </w:p>
    <w:p w14:paraId="066D387C" w14:textId="77777777" w:rsidR="006A7693" w:rsidRPr="00EF2F18" w:rsidRDefault="006A7693" w:rsidP="00985E96">
      <w:pPr>
        <w:pStyle w:val="Normal1"/>
        <w:spacing w:after="0"/>
        <w:ind w:right="-179" w:firstLine="720"/>
        <w:jc w:val="both"/>
        <w:rPr>
          <w:rFonts w:ascii="Times New Roman" w:hAnsi="Times New Roman" w:cs="Times New Roman"/>
          <w:b/>
          <w:i/>
          <w:lang w:val="sr-Cyrl-RS"/>
        </w:rPr>
      </w:pPr>
    </w:p>
    <w:p w14:paraId="6E819DE5" w14:textId="4B7F2E32" w:rsidR="00D41CFC" w:rsidRPr="00EF2F18" w:rsidRDefault="00D41CFC" w:rsidP="00342B1B">
      <w:pPr>
        <w:pStyle w:val="Normal1"/>
        <w:spacing w:after="0"/>
        <w:ind w:firstLine="720"/>
        <w:jc w:val="both"/>
        <w:rPr>
          <w:rFonts w:ascii="Times New Roman" w:hAnsi="Times New Roman" w:cs="Times New Roman"/>
          <w:lang w:val="sr-Cyrl-RS"/>
        </w:rPr>
      </w:pPr>
      <w:r w:rsidRPr="00EF2F18">
        <w:rPr>
          <w:rFonts w:ascii="Times New Roman" w:hAnsi="Times New Roman" w:cs="Times New Roman"/>
          <w:b/>
          <w:i/>
          <w:lang w:val="sr-Cyrl-RS"/>
        </w:rPr>
        <w:t xml:space="preserve">МПШВ </w:t>
      </w:r>
      <w:r w:rsidR="001301B7" w:rsidRPr="00EF2F18">
        <w:rPr>
          <w:rFonts w:ascii="Times New Roman" w:hAnsi="Times New Roman" w:cs="Times New Roman"/>
          <w:b/>
          <w:i/>
          <w:lang w:val="sr-Cyrl-RS"/>
        </w:rPr>
        <w:t>–</w:t>
      </w:r>
      <w:r w:rsidRPr="00EF2F18">
        <w:rPr>
          <w:rFonts w:ascii="Times New Roman" w:hAnsi="Times New Roman" w:cs="Times New Roman"/>
          <w:b/>
          <w:i/>
          <w:lang w:val="sr-Cyrl-RS"/>
        </w:rPr>
        <w:t xml:space="preserve"> Управа за ветерину</w:t>
      </w:r>
    </w:p>
    <w:p w14:paraId="7D935645" w14:textId="0444FD14" w:rsidR="00D41CFC" w:rsidRPr="00EF2F18" w:rsidRDefault="004A4E67" w:rsidP="006A7693">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Представља орган управе у саставу Министарства пољопривреде, шумарства и водопривреде, </w:t>
      </w:r>
      <w:r w:rsidR="0047338B" w:rsidRPr="00EF2F18">
        <w:rPr>
          <w:rFonts w:ascii="Times New Roman" w:hAnsi="Times New Roman" w:cs="Times New Roman"/>
          <w:lang w:val="sr-Cyrl-RS"/>
        </w:rPr>
        <w:t>одговоран за</w:t>
      </w:r>
      <w:r w:rsidRPr="00EF2F18">
        <w:rPr>
          <w:rFonts w:ascii="Times New Roman" w:hAnsi="Times New Roman" w:cs="Times New Roman"/>
          <w:lang w:val="sr-Cyrl-RS"/>
        </w:rPr>
        <w:t>:</w:t>
      </w:r>
    </w:p>
    <w:p w14:paraId="18618D7B" w14:textId="77777777" w:rsidR="00D41CFC" w:rsidRPr="00EF2F18" w:rsidRDefault="00D41CFC" w:rsidP="00313E8E">
      <w:pPr>
        <w:pStyle w:val="Normal1"/>
        <w:numPr>
          <w:ilvl w:val="0"/>
          <w:numId w:val="33"/>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здравствену заштиту животиња; </w:t>
      </w:r>
    </w:p>
    <w:p w14:paraId="717D5743" w14:textId="77777777" w:rsidR="00D41CFC" w:rsidRPr="00EF2F18" w:rsidRDefault="00D41CFC" w:rsidP="00313E8E">
      <w:pPr>
        <w:pStyle w:val="Normal1"/>
        <w:numPr>
          <w:ilvl w:val="0"/>
          <w:numId w:val="33"/>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ветеринарску и санитарну контролу у производњи, унутрашњем и спољашњем промету животиња; </w:t>
      </w:r>
    </w:p>
    <w:p w14:paraId="70898C4A" w14:textId="77777777" w:rsidR="00D41CFC" w:rsidRPr="00EF2F18" w:rsidRDefault="00D41CFC" w:rsidP="00313E8E">
      <w:pPr>
        <w:pStyle w:val="Normal1"/>
        <w:numPr>
          <w:ilvl w:val="0"/>
          <w:numId w:val="33"/>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контролу рада објеката за производњу намирница животињског порекла (кланице), млекаре, итд); </w:t>
      </w:r>
    </w:p>
    <w:p w14:paraId="1BB7B19A" w14:textId="0B4DF9F6" w:rsidR="004A4E67" w:rsidRPr="00EF2F18" w:rsidRDefault="004A4E67" w:rsidP="00313E8E">
      <w:pPr>
        <w:pStyle w:val="Normal1"/>
        <w:numPr>
          <w:ilvl w:val="0"/>
          <w:numId w:val="33"/>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регистрацију, односно одобравање и контролу објеката за производњу хране за животиње и нешкодљиво уклањање лешева и споредних производа животињског порекла, као и објеката за њихову прераду.</w:t>
      </w:r>
    </w:p>
    <w:p w14:paraId="0A008DBC" w14:textId="77777777" w:rsidR="006A7693" w:rsidRPr="00EF2F18" w:rsidRDefault="006A7693" w:rsidP="006A7693">
      <w:pPr>
        <w:pStyle w:val="Normal1"/>
        <w:spacing w:after="0"/>
        <w:jc w:val="both"/>
        <w:rPr>
          <w:rFonts w:ascii="Times New Roman" w:hAnsi="Times New Roman" w:cs="Times New Roman"/>
          <w:b/>
          <w:i/>
          <w:lang w:val="sr-Cyrl-RS"/>
        </w:rPr>
      </w:pPr>
    </w:p>
    <w:p w14:paraId="67D7E2E6" w14:textId="2100CE58" w:rsidR="00D41CFC" w:rsidRPr="00EF2F18" w:rsidRDefault="00D41CFC" w:rsidP="00342B1B">
      <w:pPr>
        <w:pStyle w:val="Normal1"/>
        <w:spacing w:after="0"/>
        <w:ind w:firstLine="720"/>
        <w:jc w:val="both"/>
        <w:rPr>
          <w:rFonts w:ascii="Times New Roman" w:hAnsi="Times New Roman" w:cs="Times New Roman"/>
          <w:lang w:val="sr-Cyrl-RS"/>
        </w:rPr>
      </w:pPr>
      <w:r w:rsidRPr="00EF2F18">
        <w:rPr>
          <w:rFonts w:ascii="Times New Roman" w:hAnsi="Times New Roman" w:cs="Times New Roman"/>
          <w:b/>
          <w:i/>
          <w:lang w:val="sr-Cyrl-RS"/>
        </w:rPr>
        <w:t xml:space="preserve">МПШВ </w:t>
      </w:r>
      <w:r w:rsidR="001301B7" w:rsidRPr="00EF2F18">
        <w:rPr>
          <w:rFonts w:ascii="Times New Roman" w:hAnsi="Times New Roman" w:cs="Times New Roman"/>
          <w:b/>
          <w:i/>
          <w:lang w:val="sr-Cyrl-RS"/>
        </w:rPr>
        <w:t>–</w:t>
      </w:r>
      <w:r w:rsidRPr="00EF2F18">
        <w:rPr>
          <w:rFonts w:ascii="Times New Roman" w:hAnsi="Times New Roman" w:cs="Times New Roman"/>
          <w:b/>
          <w:i/>
          <w:lang w:val="sr-Cyrl-RS"/>
        </w:rPr>
        <w:t xml:space="preserve"> Управа за шуме</w:t>
      </w:r>
    </w:p>
    <w:p w14:paraId="602880AC" w14:textId="65AD8E67" w:rsidR="00D41CFC" w:rsidRPr="00EF2F18" w:rsidRDefault="004A4E67"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Представља орган управе у саставу Министарства пољопривреде, шумарства и водопривреде, </w:t>
      </w:r>
      <w:r w:rsidR="0047338B" w:rsidRPr="00EF2F18">
        <w:rPr>
          <w:rFonts w:ascii="Times New Roman" w:hAnsi="Times New Roman" w:cs="Times New Roman"/>
          <w:lang w:val="sr-Cyrl-RS"/>
        </w:rPr>
        <w:t>одговоран за</w:t>
      </w:r>
      <w:r w:rsidRPr="00EF2F18">
        <w:rPr>
          <w:rFonts w:ascii="Times New Roman" w:hAnsi="Times New Roman" w:cs="Times New Roman"/>
          <w:lang w:val="sr-Cyrl-RS"/>
        </w:rPr>
        <w:t xml:space="preserve">: </w:t>
      </w:r>
    </w:p>
    <w:p w14:paraId="662B0BEF" w14:textId="77777777" w:rsidR="001B2DA6" w:rsidRPr="00EF2F18" w:rsidRDefault="001B2DA6" w:rsidP="00313E8E">
      <w:pPr>
        <w:pStyle w:val="Normal1"/>
        <w:numPr>
          <w:ilvl w:val="0"/>
          <w:numId w:val="60"/>
        </w:numPr>
        <w:spacing w:after="0"/>
        <w:jc w:val="both"/>
        <w:rPr>
          <w:rFonts w:ascii="Times New Roman" w:hAnsi="Times New Roman" w:cs="Times New Roman"/>
          <w:lang w:val="sr-Cyrl-RS"/>
        </w:rPr>
      </w:pPr>
      <w:r w:rsidRPr="00EF2F18">
        <w:rPr>
          <w:rFonts w:ascii="Times New Roman" w:hAnsi="Times New Roman" w:cs="Times New Roman"/>
          <w:lang w:val="sr-Cyrl-RS"/>
        </w:rPr>
        <w:t>политику шумарства;</w:t>
      </w:r>
    </w:p>
    <w:p w14:paraId="1C75CD68" w14:textId="77777777" w:rsidR="001B2DA6" w:rsidRPr="00EF2F18" w:rsidRDefault="001B2DA6" w:rsidP="00313E8E">
      <w:pPr>
        <w:pStyle w:val="Normal1"/>
        <w:numPr>
          <w:ilvl w:val="0"/>
          <w:numId w:val="60"/>
        </w:numPr>
        <w:spacing w:after="0"/>
        <w:jc w:val="both"/>
        <w:rPr>
          <w:rFonts w:ascii="Times New Roman" w:hAnsi="Times New Roman" w:cs="Times New Roman"/>
          <w:lang w:val="sr-Cyrl-RS"/>
        </w:rPr>
      </w:pPr>
      <w:r w:rsidRPr="00EF2F18">
        <w:rPr>
          <w:rFonts w:ascii="Times New Roman" w:hAnsi="Times New Roman" w:cs="Times New Roman"/>
          <w:lang w:val="sr-Cyrl-RS"/>
        </w:rPr>
        <w:t>очување шума;</w:t>
      </w:r>
    </w:p>
    <w:p w14:paraId="6E55D2BD" w14:textId="77777777" w:rsidR="001B2DA6" w:rsidRPr="00EF2F18" w:rsidRDefault="001B2DA6" w:rsidP="00313E8E">
      <w:pPr>
        <w:pStyle w:val="Normal1"/>
        <w:numPr>
          <w:ilvl w:val="0"/>
          <w:numId w:val="60"/>
        </w:numPr>
        <w:spacing w:after="0"/>
        <w:jc w:val="both"/>
        <w:rPr>
          <w:rFonts w:ascii="Times New Roman" w:hAnsi="Times New Roman" w:cs="Times New Roman"/>
          <w:lang w:val="sr-Cyrl-RS"/>
        </w:rPr>
      </w:pPr>
      <w:r w:rsidRPr="00EF2F18">
        <w:rPr>
          <w:rFonts w:ascii="Times New Roman" w:hAnsi="Times New Roman" w:cs="Times New Roman"/>
          <w:lang w:val="sr-Cyrl-RS"/>
        </w:rPr>
        <w:t>унапређење и коришћење шума и дивљачи;</w:t>
      </w:r>
    </w:p>
    <w:p w14:paraId="6D829332" w14:textId="77777777" w:rsidR="001B2DA6" w:rsidRPr="00EF2F18" w:rsidRDefault="001B2DA6" w:rsidP="00313E8E">
      <w:pPr>
        <w:pStyle w:val="Normal1"/>
        <w:numPr>
          <w:ilvl w:val="0"/>
          <w:numId w:val="60"/>
        </w:numPr>
        <w:spacing w:after="0"/>
        <w:jc w:val="both"/>
        <w:rPr>
          <w:rFonts w:ascii="Times New Roman" w:hAnsi="Times New Roman" w:cs="Times New Roman"/>
          <w:lang w:val="sr-Cyrl-RS"/>
        </w:rPr>
      </w:pPr>
      <w:r w:rsidRPr="00EF2F18">
        <w:rPr>
          <w:rFonts w:ascii="Times New Roman" w:hAnsi="Times New Roman" w:cs="Times New Roman"/>
          <w:lang w:val="sr-Cyrl-RS"/>
        </w:rPr>
        <w:t>спровођење мера заштите шума и дивљачи;</w:t>
      </w:r>
    </w:p>
    <w:p w14:paraId="4555CCCA" w14:textId="77777777" w:rsidR="001B2DA6" w:rsidRPr="00EF2F18" w:rsidRDefault="001B2DA6" w:rsidP="00313E8E">
      <w:pPr>
        <w:pStyle w:val="Normal1"/>
        <w:numPr>
          <w:ilvl w:val="0"/>
          <w:numId w:val="60"/>
        </w:numPr>
        <w:spacing w:after="0"/>
        <w:jc w:val="both"/>
        <w:rPr>
          <w:rFonts w:ascii="Times New Roman" w:hAnsi="Times New Roman" w:cs="Times New Roman"/>
          <w:lang w:val="sr-Cyrl-RS"/>
        </w:rPr>
      </w:pPr>
      <w:r w:rsidRPr="00EF2F18">
        <w:rPr>
          <w:rFonts w:ascii="Times New Roman" w:hAnsi="Times New Roman" w:cs="Times New Roman"/>
          <w:lang w:val="sr-Cyrl-RS"/>
        </w:rPr>
        <w:t>контролу семена и садног материјала у шумарству;</w:t>
      </w:r>
    </w:p>
    <w:p w14:paraId="6F01A9CE" w14:textId="18567F33" w:rsidR="001B2DA6" w:rsidRPr="00EF2F18" w:rsidRDefault="001B2DA6" w:rsidP="00313E8E">
      <w:pPr>
        <w:pStyle w:val="Normal1"/>
        <w:numPr>
          <w:ilvl w:val="0"/>
          <w:numId w:val="60"/>
        </w:numPr>
        <w:spacing w:after="0"/>
        <w:jc w:val="both"/>
        <w:rPr>
          <w:rFonts w:ascii="Times New Roman" w:hAnsi="Times New Roman" w:cs="Times New Roman"/>
          <w:lang w:val="sr-Cyrl-RS"/>
        </w:rPr>
      </w:pPr>
      <w:r w:rsidRPr="00EF2F18">
        <w:rPr>
          <w:rFonts w:ascii="Times New Roman" w:hAnsi="Times New Roman" w:cs="Times New Roman"/>
          <w:lang w:val="sr-Cyrl-RS"/>
        </w:rPr>
        <w:t>инспекцијски надзор у области шумарства и ловства.</w:t>
      </w:r>
    </w:p>
    <w:p w14:paraId="5DCF331E" w14:textId="37EE4827" w:rsidR="00DF6676" w:rsidRPr="00EF2F18" w:rsidRDefault="00D41CFC" w:rsidP="00DC6CB5">
      <w:pPr>
        <w:pStyle w:val="Normal1"/>
        <w:pBdr>
          <w:top w:val="nil"/>
          <w:left w:val="nil"/>
          <w:bottom w:val="nil"/>
          <w:right w:val="nil"/>
          <w:between w:val="nil"/>
        </w:pBdr>
        <w:spacing w:after="0"/>
        <w:ind w:right="-179"/>
        <w:jc w:val="both"/>
        <w:rPr>
          <w:rFonts w:ascii="Times New Roman" w:hAnsi="Times New Roman" w:cs="Times New Roman"/>
          <w:b/>
          <w:i/>
          <w:lang w:val="sr-Cyrl-RS"/>
        </w:rPr>
      </w:pPr>
      <w:r w:rsidRPr="00EF2F18">
        <w:rPr>
          <w:rFonts w:ascii="Times New Roman" w:hAnsi="Times New Roman" w:cs="Times New Roman"/>
          <w:lang w:val="sr-Cyrl-RS"/>
        </w:rPr>
        <w:t>.</w:t>
      </w:r>
    </w:p>
    <w:p w14:paraId="4E230A8C" w14:textId="5F09CDB6" w:rsidR="002F2E86" w:rsidRPr="00EF2F18" w:rsidRDefault="002F2E86" w:rsidP="002F2E86">
      <w:pPr>
        <w:pStyle w:val="Normal1"/>
        <w:spacing w:after="0"/>
        <w:ind w:right="-188"/>
        <w:jc w:val="both"/>
        <w:rPr>
          <w:rFonts w:ascii="Times New Roman" w:hAnsi="Times New Roman" w:cs="Times New Roman"/>
          <w:b/>
          <w:i/>
          <w:lang w:val="sr-Cyrl-RS"/>
        </w:rPr>
      </w:pPr>
      <w:r w:rsidRPr="00EF2F18">
        <w:rPr>
          <w:rFonts w:ascii="Times New Roman" w:hAnsi="Times New Roman" w:cs="Times New Roman"/>
          <w:b/>
          <w:i/>
          <w:lang w:val="sr-Cyrl-RS"/>
        </w:rPr>
        <w:t xml:space="preserve"> </w:t>
      </w:r>
      <w:r w:rsidR="00342B1B" w:rsidRPr="00EF2F18">
        <w:rPr>
          <w:rFonts w:ascii="Times New Roman" w:hAnsi="Times New Roman" w:cs="Times New Roman"/>
          <w:b/>
          <w:i/>
          <w:lang w:val="sr-Cyrl-RS"/>
        </w:rPr>
        <w:tab/>
      </w:r>
      <w:r w:rsidR="00334DC3" w:rsidRPr="00EF2F18">
        <w:rPr>
          <w:rFonts w:ascii="Times New Roman" w:hAnsi="Times New Roman" w:cs="Times New Roman"/>
          <w:b/>
          <w:i/>
          <w:lang w:val="sr-Cyrl-RS"/>
        </w:rPr>
        <w:t>ПД „Србијашуме</w:t>
      </w:r>
      <w:r w:rsidR="006015DD" w:rsidRPr="00EF2F18">
        <w:rPr>
          <w:rFonts w:ascii="Times New Roman" w:hAnsi="Times New Roman" w:cs="Times New Roman"/>
          <w:b/>
          <w:bCs/>
          <w:i/>
          <w:lang w:val="sr-Cyrl-RS"/>
        </w:rPr>
        <w:t>”</w:t>
      </w:r>
      <w:r w:rsidR="00334DC3" w:rsidRPr="00EF2F18">
        <w:rPr>
          <w:rFonts w:ascii="Times New Roman" w:hAnsi="Times New Roman" w:cs="Times New Roman"/>
          <w:b/>
          <w:i/>
          <w:lang w:val="sr-Cyrl-RS"/>
        </w:rPr>
        <w:t xml:space="preserve"> д.о.о. Београд</w:t>
      </w:r>
    </w:p>
    <w:p w14:paraId="3158786C" w14:textId="78B86751" w:rsidR="002F2E86" w:rsidRPr="00EF2F18" w:rsidRDefault="002E21EC" w:rsidP="002E21EC">
      <w:pPr>
        <w:pStyle w:val="Normal1"/>
        <w:spacing w:after="0"/>
        <w:ind w:right="-179"/>
        <w:jc w:val="both"/>
        <w:rPr>
          <w:rFonts w:ascii="Times New Roman" w:hAnsi="Times New Roman" w:cs="Times New Roman"/>
          <w:bCs/>
          <w:lang w:val="sr-Cyrl-RS"/>
        </w:rPr>
      </w:pPr>
      <w:r w:rsidRPr="00EF2F18">
        <w:rPr>
          <w:rFonts w:ascii="Times New Roman" w:hAnsi="Times New Roman" w:cs="Times New Roman"/>
          <w:lang w:val="sr-Cyrl-RS"/>
        </w:rPr>
        <w:t xml:space="preserve"> </w:t>
      </w:r>
      <w:r w:rsidR="001301B7" w:rsidRPr="00EF2F18">
        <w:rPr>
          <w:rFonts w:ascii="Times New Roman" w:hAnsi="Times New Roman" w:cs="Times New Roman"/>
          <w:lang w:val="sr-Cyrl-RS"/>
        </w:rPr>
        <w:tab/>
      </w:r>
      <w:r w:rsidR="00334DC3" w:rsidRPr="00EF2F18">
        <w:rPr>
          <w:rFonts w:ascii="Times New Roman" w:hAnsi="Times New Roman" w:cs="Times New Roman"/>
          <w:lang w:val="sr-Cyrl-RS"/>
        </w:rPr>
        <w:t>ПД</w:t>
      </w:r>
      <w:r w:rsidR="00BD2992" w:rsidRPr="00EF2F18">
        <w:rPr>
          <w:rFonts w:ascii="Times New Roman" w:hAnsi="Times New Roman" w:cs="Times New Roman"/>
          <w:lang w:val="sr-Cyrl-RS"/>
        </w:rPr>
        <w:t xml:space="preserve"> </w:t>
      </w:r>
      <w:r w:rsidR="00334DC3" w:rsidRPr="00EF2F18">
        <w:rPr>
          <w:rFonts w:ascii="Times New Roman" w:hAnsi="Times New Roman" w:cs="Times New Roman"/>
          <w:lang w:val="sr-Cyrl-RS"/>
        </w:rPr>
        <w:t xml:space="preserve"> „Србијашуме</w:t>
      </w:r>
      <w:r w:rsidR="006015DD" w:rsidRPr="00EF2F18">
        <w:rPr>
          <w:rFonts w:ascii="Times New Roman" w:hAnsi="Times New Roman" w:cs="Times New Roman"/>
          <w:bCs/>
          <w:lang w:val="sr-Cyrl-RS"/>
        </w:rPr>
        <w:t>”</w:t>
      </w:r>
      <w:r w:rsidR="00334DC3" w:rsidRPr="00EF2F18">
        <w:rPr>
          <w:rFonts w:ascii="Times New Roman" w:hAnsi="Times New Roman" w:cs="Times New Roman"/>
          <w:lang w:val="sr-Cyrl-RS"/>
        </w:rPr>
        <w:t xml:space="preserve"> д.о.о. Београд је</w:t>
      </w:r>
      <w:r w:rsidR="002F2E86" w:rsidRPr="00EF2F18">
        <w:rPr>
          <w:rFonts w:ascii="Times New Roman" w:hAnsi="Times New Roman" w:cs="Times New Roman"/>
          <w:lang w:val="sr-Cyrl-RS"/>
        </w:rPr>
        <w:t xml:space="preserve"> предузеће за газдовање шумама. </w:t>
      </w:r>
      <w:r w:rsidR="001B2DA6" w:rsidRPr="00EF2F18">
        <w:rPr>
          <w:rFonts w:ascii="Times New Roman" w:hAnsi="Times New Roman" w:cs="Times New Roman"/>
          <w:lang w:val="sr-Cyrl-RS"/>
        </w:rPr>
        <w:t>Делатност</w:t>
      </w:r>
      <w:r w:rsidR="001B2DA6" w:rsidRPr="00EF2F18">
        <w:rPr>
          <w:rFonts w:ascii="Times New Roman" w:hAnsi="Times New Roman" w:cs="Times New Roman"/>
          <w:bCs/>
          <w:lang w:val="sr-Cyrl-RS"/>
        </w:rPr>
        <w:t xml:space="preserve"> </w:t>
      </w:r>
      <w:r w:rsidR="000C0780" w:rsidRPr="00EF2F18">
        <w:rPr>
          <w:rFonts w:ascii="Times New Roman" w:hAnsi="Times New Roman" w:cs="Times New Roman"/>
          <w:bCs/>
          <w:lang w:val="sr-Cyrl-RS"/>
        </w:rPr>
        <w:t xml:space="preserve">ПД  „Србијашуме” д.о.о. Београд </w:t>
      </w:r>
      <w:r w:rsidR="001B2DA6" w:rsidRPr="00EF2F18">
        <w:rPr>
          <w:rFonts w:ascii="Times New Roman" w:hAnsi="Times New Roman" w:cs="Times New Roman"/>
          <w:bCs/>
          <w:lang w:val="sr-Cyrl-RS"/>
        </w:rPr>
        <w:t>се</w:t>
      </w:r>
      <w:r w:rsidR="002F2E86" w:rsidRPr="00EF2F18">
        <w:rPr>
          <w:rFonts w:ascii="Times New Roman" w:hAnsi="Times New Roman" w:cs="Times New Roman"/>
          <w:bCs/>
          <w:lang w:val="sr-Cyrl-RS"/>
        </w:rPr>
        <w:t xml:space="preserve"> односи на: </w:t>
      </w:r>
    </w:p>
    <w:p w14:paraId="2A109FBA" w14:textId="77777777" w:rsidR="002F2E86" w:rsidRPr="00EF2F18" w:rsidRDefault="002F2E86"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гајење, одржавање и обнова шума и реконструкција деградираних шума;</w:t>
      </w:r>
    </w:p>
    <w:p w14:paraId="5ACC69E7" w14:textId="77777777" w:rsidR="002F2E86" w:rsidRPr="00EF2F18" w:rsidRDefault="002F2E86"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газдовање државним шумама и ловиштима посебне намене;</w:t>
      </w:r>
    </w:p>
    <w:p w14:paraId="6F0799C2" w14:textId="77777777" w:rsidR="002F2E86" w:rsidRPr="00EF2F18" w:rsidRDefault="002F2E86"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стручно саветодавни послови у шумама сопственика;</w:t>
      </w:r>
    </w:p>
    <w:p w14:paraId="11A29553" w14:textId="77777777" w:rsidR="002F2E86" w:rsidRPr="00EF2F18" w:rsidRDefault="002F2E86"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управљање заштићеним подручјима;</w:t>
      </w:r>
    </w:p>
    <w:p w14:paraId="25474FB8" w14:textId="77777777" w:rsidR="002F2E86" w:rsidRPr="00EF2F18" w:rsidRDefault="002F2E86" w:rsidP="00313E8E">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управљање рибарским подручјима;</w:t>
      </w:r>
    </w:p>
    <w:p w14:paraId="26ABEE9A" w14:textId="1076BB93" w:rsidR="001301B7" w:rsidRPr="004A6A43" w:rsidRDefault="002F2E86" w:rsidP="004A6A43">
      <w:pPr>
        <w:pStyle w:val="Normal1"/>
        <w:numPr>
          <w:ilvl w:val="0"/>
          <w:numId w:val="55"/>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ловни, риболовни, сеоски и екотуризам и друге послове прописане законом.</w:t>
      </w:r>
    </w:p>
    <w:p w14:paraId="5294D818" w14:textId="77777777" w:rsidR="001301B7" w:rsidRPr="00EF2F18" w:rsidRDefault="001301B7" w:rsidP="004A4E67">
      <w:pPr>
        <w:pStyle w:val="Normal1"/>
        <w:pBdr>
          <w:top w:val="nil"/>
          <w:left w:val="nil"/>
          <w:bottom w:val="nil"/>
          <w:right w:val="nil"/>
          <w:between w:val="nil"/>
        </w:pBdr>
        <w:spacing w:after="0"/>
        <w:jc w:val="both"/>
        <w:rPr>
          <w:rFonts w:ascii="Times New Roman" w:hAnsi="Times New Roman" w:cs="Times New Roman"/>
          <w:b/>
          <w:bCs/>
          <w:i/>
          <w:iCs/>
          <w:lang w:val="sr-Cyrl-RS"/>
        </w:rPr>
      </w:pPr>
    </w:p>
    <w:p w14:paraId="7E280A09" w14:textId="066B0F0D" w:rsidR="004A4E67" w:rsidRPr="00EF2F18" w:rsidRDefault="004A4E67" w:rsidP="00342B1B">
      <w:pPr>
        <w:pStyle w:val="Normal1"/>
        <w:pBdr>
          <w:top w:val="nil"/>
          <w:left w:val="nil"/>
          <w:bottom w:val="nil"/>
          <w:right w:val="nil"/>
          <w:between w:val="nil"/>
        </w:pBdr>
        <w:spacing w:after="0"/>
        <w:ind w:firstLine="720"/>
        <w:jc w:val="both"/>
        <w:rPr>
          <w:rFonts w:ascii="Times New Roman" w:hAnsi="Times New Roman" w:cs="Times New Roman"/>
          <w:b/>
          <w:bCs/>
          <w:i/>
          <w:iCs/>
          <w:lang w:val="sr-Cyrl-RS"/>
        </w:rPr>
      </w:pPr>
      <w:r w:rsidRPr="00EF2F18">
        <w:rPr>
          <w:rFonts w:ascii="Times New Roman" w:hAnsi="Times New Roman" w:cs="Times New Roman"/>
          <w:b/>
          <w:bCs/>
          <w:i/>
          <w:iCs/>
          <w:lang w:val="sr-Cyrl-RS"/>
        </w:rPr>
        <w:t>МПШВ – Управа за заштиту биља</w:t>
      </w:r>
    </w:p>
    <w:p w14:paraId="25628B6D" w14:textId="646B5ECB" w:rsidR="004A4E67" w:rsidRPr="00EF2F18" w:rsidRDefault="004A4E67" w:rsidP="00B50D91">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Представља орган управе у саставу Министарства пољопривреде, шумарства и водопривреде</w:t>
      </w:r>
      <w:r w:rsidR="005F1DF0" w:rsidRPr="00EF2F18">
        <w:rPr>
          <w:rFonts w:ascii="Times New Roman" w:hAnsi="Times New Roman" w:cs="Times New Roman"/>
          <w:lang w:val="sr-Cyrl-RS"/>
        </w:rPr>
        <w:t xml:space="preserve"> и обавља послове државне управе и стручне послове који се односе на</w:t>
      </w:r>
      <w:r w:rsidR="00BF1F91" w:rsidRPr="00EF2F18">
        <w:rPr>
          <w:rFonts w:ascii="Times New Roman" w:hAnsi="Times New Roman" w:cs="Times New Roman"/>
          <w:lang w:val="sr-Cyrl-RS"/>
        </w:rPr>
        <w:t>:</w:t>
      </w:r>
    </w:p>
    <w:p w14:paraId="2902D3AE" w14:textId="77777777" w:rsidR="00BF1F91" w:rsidRPr="00EF2F18" w:rsidRDefault="00BF1F91" w:rsidP="00313E8E">
      <w:pPr>
        <w:pStyle w:val="Normal1"/>
        <w:numPr>
          <w:ilvl w:val="0"/>
          <w:numId w:val="5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заштиту биља од заразних болести и штеточина; </w:t>
      </w:r>
    </w:p>
    <w:p w14:paraId="19F8C9C5" w14:textId="151D884E" w:rsidR="00BF1F91" w:rsidRPr="00EF2F18" w:rsidRDefault="00BF1F91" w:rsidP="00313E8E">
      <w:pPr>
        <w:pStyle w:val="Normal1"/>
        <w:numPr>
          <w:ilvl w:val="0"/>
          <w:numId w:val="5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контролу средстава за заштиту биља и ђубрива у производњи, унутрашњем и спољном промету; </w:t>
      </w:r>
    </w:p>
    <w:p w14:paraId="4B0B6565" w14:textId="5AAF811B" w:rsidR="00BF1F91" w:rsidRPr="00EF2F18" w:rsidRDefault="00BF1F91" w:rsidP="00313E8E">
      <w:pPr>
        <w:pStyle w:val="Normal1"/>
        <w:numPr>
          <w:ilvl w:val="0"/>
          <w:numId w:val="5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контролу примене средстава за заштиту биља; </w:t>
      </w:r>
    </w:p>
    <w:p w14:paraId="4609780B" w14:textId="77777777" w:rsidR="00BF1F91" w:rsidRPr="00EF2F18" w:rsidRDefault="00BF1F91" w:rsidP="00313E8E">
      <w:pPr>
        <w:pStyle w:val="Normal1"/>
        <w:numPr>
          <w:ilvl w:val="0"/>
          <w:numId w:val="5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lastRenderedPageBreak/>
        <w:t xml:space="preserve">производњу и регистрацију средстава за заштиту биља и исхрану биља; </w:t>
      </w:r>
    </w:p>
    <w:p w14:paraId="1A46EA95" w14:textId="77777777" w:rsidR="00BF1F91" w:rsidRPr="00EF2F18" w:rsidRDefault="00BF1F91" w:rsidP="00313E8E">
      <w:pPr>
        <w:pStyle w:val="Normal1"/>
        <w:numPr>
          <w:ilvl w:val="0"/>
          <w:numId w:val="5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 xml:space="preserve">утврђивање испуњености услова, процену ризика и спровођење мера контроле везаних за биолошку сигурност код ограничене употребе, увођења у производњу, стављање у промет и увоз генетички модификованих организама; </w:t>
      </w:r>
    </w:p>
    <w:p w14:paraId="18BB7B5B" w14:textId="1F5E9040" w:rsidR="004A4E67" w:rsidRPr="00EF2F18" w:rsidRDefault="00BF1F91" w:rsidP="00313E8E">
      <w:pPr>
        <w:pStyle w:val="Normal1"/>
        <w:numPr>
          <w:ilvl w:val="0"/>
          <w:numId w:val="5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фитосанитарни надзор и инспекцију у унутрашњем и спољном промету биља, семена и садног материјала, као и друге послове одређене законом.</w:t>
      </w:r>
    </w:p>
    <w:p w14:paraId="11A85F20" w14:textId="77777777" w:rsidR="002F2E86" w:rsidRPr="00EF2F18" w:rsidRDefault="002F2E86" w:rsidP="002F2E86">
      <w:pPr>
        <w:spacing w:after="0"/>
        <w:rPr>
          <w:rFonts w:cs="Times New Roman"/>
          <w:b/>
          <w:i/>
          <w:color w:val="5C2D91"/>
          <w:w w:val="105"/>
          <w:sz w:val="22"/>
          <w:u w:val="single" w:color="5C2D91"/>
          <w:lang w:val="sr-Cyrl-RS"/>
        </w:rPr>
      </w:pPr>
    </w:p>
    <w:p w14:paraId="73DBA727" w14:textId="0A3796FF" w:rsidR="002F2E86" w:rsidRPr="00EF2F18" w:rsidRDefault="002F2E86" w:rsidP="00342B1B">
      <w:pPr>
        <w:spacing w:after="0"/>
        <w:ind w:firstLine="720"/>
        <w:rPr>
          <w:rFonts w:ascii="Times New Roman Bold" w:hAnsi="Times New Roman Bold" w:cs="Times New Roman"/>
          <w:b/>
          <w:i/>
          <w:sz w:val="22"/>
          <w:lang w:val="sr-Cyrl-RS"/>
        </w:rPr>
      </w:pPr>
      <w:r w:rsidRPr="00EF2F18">
        <w:rPr>
          <w:rFonts w:ascii="Times New Roman Bold" w:hAnsi="Times New Roman Bold" w:cs="Times New Roman"/>
          <w:b/>
          <w:i/>
          <w:sz w:val="22"/>
          <w:lang w:val="sr-Cyrl-RS"/>
        </w:rPr>
        <w:t>МПШВ – Управа за за аграрна плаћања</w:t>
      </w:r>
    </w:p>
    <w:p w14:paraId="4CA86AA5" w14:textId="77777777" w:rsidR="002F2E86" w:rsidRPr="00EF2F18" w:rsidRDefault="002F2E86" w:rsidP="00971F94">
      <w:pPr>
        <w:pStyle w:val="BodyText"/>
        <w:spacing w:after="0" w:line="240" w:lineRule="auto"/>
        <w:ind w:firstLine="720"/>
        <w:rPr>
          <w:rFonts w:ascii="Times New Roman" w:hAnsi="Times New Roman"/>
          <w:sz w:val="22"/>
          <w:szCs w:val="22"/>
          <w:lang w:val="sr-Cyrl-RS"/>
        </w:rPr>
      </w:pPr>
      <w:r w:rsidRPr="00EF2F18">
        <w:rPr>
          <w:rFonts w:ascii="Times New Roman" w:hAnsi="Times New Roman"/>
          <w:sz w:val="22"/>
          <w:szCs w:val="22"/>
          <w:lang w:val="sr-Cyrl-RS"/>
        </w:rPr>
        <w:t>Управа за аграрна плаћања, као орган управе у саставу Министарства пољопривреде, шумарства и водопривреде обавља следеће послове: </w:t>
      </w:r>
    </w:p>
    <w:p w14:paraId="74100FEF" w14:textId="77777777" w:rsidR="002F2E86" w:rsidRPr="00EF2F18" w:rsidRDefault="002F2E86" w:rsidP="00313E8E">
      <w:pPr>
        <w:pStyle w:val="ListParagraph"/>
        <w:widowControl w:val="0"/>
        <w:numPr>
          <w:ilvl w:val="0"/>
          <w:numId w:val="63"/>
        </w:numPr>
        <w:tabs>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 xml:space="preserve">врши избор поступака у складу са критеријумима, механизмима и правилима утврђеним прописима за доделу подстицаја; </w:t>
      </w:r>
    </w:p>
    <w:p w14:paraId="2740356B" w14:textId="77777777" w:rsidR="002F2E86" w:rsidRPr="00EF2F18" w:rsidRDefault="002F2E86" w:rsidP="00313E8E">
      <w:pPr>
        <w:pStyle w:val="ListParagraph"/>
        <w:widowControl w:val="0"/>
        <w:numPr>
          <w:ilvl w:val="0"/>
          <w:numId w:val="63"/>
        </w:numPr>
        <w:tabs>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 xml:space="preserve">расписује конкурс за доделу подстицаја; </w:t>
      </w:r>
    </w:p>
    <w:p w14:paraId="654E0B6E" w14:textId="77777777" w:rsidR="002F2E86" w:rsidRPr="00EF2F18" w:rsidRDefault="002F2E86" w:rsidP="00313E8E">
      <w:pPr>
        <w:pStyle w:val="ListParagraph"/>
        <w:widowControl w:val="0"/>
        <w:numPr>
          <w:ilvl w:val="0"/>
          <w:numId w:val="63"/>
        </w:numPr>
        <w:tabs>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 xml:space="preserve">објављује јавни позив за подношење пријава за остваривање права на подстицаје са условима за коришћење права на подстицаје; </w:t>
      </w:r>
    </w:p>
    <w:p w14:paraId="7E1978B0" w14:textId="77777777" w:rsidR="002F2E86" w:rsidRPr="00EF2F18" w:rsidRDefault="002F2E86" w:rsidP="00313E8E">
      <w:pPr>
        <w:pStyle w:val="ListParagraph"/>
        <w:widowControl w:val="0"/>
        <w:numPr>
          <w:ilvl w:val="0"/>
          <w:numId w:val="63"/>
        </w:numPr>
        <w:tabs>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 xml:space="preserve">проверава испуњеност услова за одобравање и исплату средстава по захтеву за остваривање права на подстицај у складу са прописима и условима на конкурсу и где је то потребно и по правилима јавних набавки; </w:t>
      </w:r>
    </w:p>
    <w:p w14:paraId="3237F033" w14:textId="77777777" w:rsidR="002F2E86" w:rsidRPr="00EF2F18" w:rsidRDefault="002F2E86" w:rsidP="00313E8E">
      <w:pPr>
        <w:pStyle w:val="ListParagraph"/>
        <w:widowControl w:val="0"/>
        <w:numPr>
          <w:ilvl w:val="0"/>
          <w:numId w:val="63"/>
        </w:numPr>
        <w:tabs>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одлучује о праву на подстицаје;</w:t>
      </w:r>
    </w:p>
    <w:p w14:paraId="27069C89" w14:textId="77777777" w:rsidR="002F2E86" w:rsidRPr="00EF2F18" w:rsidRDefault="002F2E86" w:rsidP="00313E8E">
      <w:pPr>
        <w:pStyle w:val="ListParagraph"/>
        <w:widowControl w:val="0"/>
        <w:numPr>
          <w:ilvl w:val="0"/>
          <w:numId w:val="63"/>
        </w:numPr>
        <w:tabs>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 xml:space="preserve">спроводи поступак за повраћај средстава у случају неиспуњења обавеза од стране корисника или неосноване исплате средстава; </w:t>
      </w:r>
    </w:p>
    <w:p w14:paraId="43AFFC9A" w14:textId="77777777" w:rsidR="002F2E86" w:rsidRPr="00EF2F18" w:rsidRDefault="002F2E86" w:rsidP="00313E8E">
      <w:pPr>
        <w:pStyle w:val="ListParagraph"/>
        <w:widowControl w:val="0"/>
        <w:numPr>
          <w:ilvl w:val="0"/>
          <w:numId w:val="63"/>
        </w:numPr>
        <w:tabs>
          <w:tab w:val="left" w:pos="720"/>
          <w:tab w:val="left" w:pos="1134"/>
        </w:tabs>
        <w:autoSpaceDE w:val="0"/>
        <w:autoSpaceDN w:val="0"/>
        <w:spacing w:after="0"/>
        <w:contextualSpacing w:val="0"/>
        <w:jc w:val="both"/>
        <w:rPr>
          <w:rFonts w:cs="Times New Roman"/>
          <w:sz w:val="22"/>
          <w:lang w:val="sr-Cyrl-RS"/>
        </w:rPr>
      </w:pPr>
      <w:r w:rsidRPr="00EF2F18">
        <w:rPr>
          <w:rFonts w:cs="Times New Roman"/>
          <w:sz w:val="22"/>
          <w:lang w:val="sr-Cyrl-RS"/>
        </w:rPr>
        <w:t xml:space="preserve">врши административну контролу и контролу на лицу места; </w:t>
      </w:r>
    </w:p>
    <w:p w14:paraId="4C10C33E" w14:textId="77777777" w:rsidR="002059A3" w:rsidRPr="00EF2F18" w:rsidRDefault="002F2E86" w:rsidP="00313E8E">
      <w:pPr>
        <w:pStyle w:val="ListParagraph"/>
        <w:widowControl w:val="0"/>
        <w:numPr>
          <w:ilvl w:val="0"/>
          <w:numId w:val="63"/>
        </w:numPr>
        <w:tabs>
          <w:tab w:val="left" w:pos="720"/>
          <w:tab w:val="left" w:pos="1134"/>
        </w:tabs>
        <w:autoSpaceDE w:val="0"/>
        <w:autoSpaceDN w:val="0"/>
        <w:spacing w:after="0"/>
        <w:contextualSpacing w:val="0"/>
        <w:jc w:val="both"/>
        <w:rPr>
          <w:rFonts w:cs="Times New Roman"/>
          <w:color w:val="444444"/>
          <w:sz w:val="22"/>
          <w:lang w:val="sr-Cyrl-RS"/>
        </w:rPr>
      </w:pPr>
      <w:r w:rsidRPr="00EF2F18">
        <w:rPr>
          <w:rFonts w:cs="Times New Roman"/>
          <w:sz w:val="22"/>
          <w:lang w:val="sr-Cyrl-RS"/>
        </w:rPr>
        <w:t xml:space="preserve">спроводи програме међународних подстицаја пољопривредне политике у Републици Србији; </w:t>
      </w:r>
    </w:p>
    <w:p w14:paraId="517A68B3" w14:textId="6405C2D8" w:rsidR="002F2E86" w:rsidRPr="00EF2F18" w:rsidRDefault="002F2E86" w:rsidP="00313E8E">
      <w:pPr>
        <w:pStyle w:val="ListParagraph"/>
        <w:widowControl w:val="0"/>
        <w:numPr>
          <w:ilvl w:val="0"/>
          <w:numId w:val="63"/>
        </w:numPr>
        <w:tabs>
          <w:tab w:val="left" w:pos="720"/>
          <w:tab w:val="left" w:pos="1134"/>
        </w:tabs>
        <w:autoSpaceDE w:val="0"/>
        <w:autoSpaceDN w:val="0"/>
        <w:spacing w:after="0"/>
        <w:contextualSpacing w:val="0"/>
        <w:jc w:val="both"/>
        <w:rPr>
          <w:rFonts w:cs="Times New Roman"/>
          <w:color w:val="444444"/>
          <w:sz w:val="22"/>
          <w:lang w:val="sr-Cyrl-RS"/>
        </w:rPr>
      </w:pPr>
      <w:r w:rsidRPr="00EF2F18">
        <w:rPr>
          <w:rFonts w:cs="Times New Roman"/>
          <w:sz w:val="22"/>
          <w:lang w:val="sr-Cyrl-RS"/>
        </w:rPr>
        <w:t>води Регистар пољопривредних газдинстава</w:t>
      </w:r>
      <w:r w:rsidRPr="00EF2F18">
        <w:rPr>
          <w:rFonts w:cs="Times New Roman"/>
          <w:color w:val="444444"/>
          <w:sz w:val="22"/>
          <w:lang w:val="sr-Cyrl-RS"/>
        </w:rPr>
        <w:t>.</w:t>
      </w:r>
    </w:p>
    <w:p w14:paraId="417C3AEF" w14:textId="77777777" w:rsidR="004A4E67" w:rsidRPr="00EF2F18" w:rsidRDefault="004A4E67" w:rsidP="004A4E67">
      <w:pPr>
        <w:pStyle w:val="Normal1"/>
        <w:pBdr>
          <w:top w:val="nil"/>
          <w:left w:val="nil"/>
          <w:bottom w:val="nil"/>
          <w:right w:val="nil"/>
          <w:between w:val="nil"/>
        </w:pBdr>
        <w:spacing w:after="0"/>
        <w:jc w:val="both"/>
        <w:rPr>
          <w:rFonts w:ascii="Times New Roman" w:hAnsi="Times New Roman" w:cs="Times New Roman"/>
          <w:lang w:val="sr-Cyrl-RS"/>
        </w:rPr>
      </w:pPr>
    </w:p>
    <w:p w14:paraId="6B780A1A" w14:textId="44490CC8" w:rsidR="004A4E67" w:rsidRPr="00EF2F18" w:rsidRDefault="004A4E67" w:rsidP="00342B1B">
      <w:pPr>
        <w:pStyle w:val="Normal1"/>
        <w:pBdr>
          <w:top w:val="nil"/>
          <w:left w:val="nil"/>
          <w:bottom w:val="nil"/>
          <w:right w:val="nil"/>
          <w:between w:val="nil"/>
        </w:pBdr>
        <w:spacing w:after="0"/>
        <w:ind w:firstLine="720"/>
        <w:jc w:val="both"/>
        <w:rPr>
          <w:rFonts w:ascii="Times New Roman" w:hAnsi="Times New Roman" w:cs="Times New Roman"/>
          <w:b/>
          <w:bCs/>
          <w:i/>
          <w:iCs/>
          <w:lang w:val="sr-Cyrl-RS"/>
        </w:rPr>
      </w:pPr>
      <w:r w:rsidRPr="00EF2F18">
        <w:rPr>
          <w:rFonts w:ascii="Times New Roman" w:hAnsi="Times New Roman" w:cs="Times New Roman"/>
          <w:b/>
          <w:bCs/>
          <w:i/>
          <w:iCs/>
          <w:lang w:val="sr-Cyrl-RS"/>
        </w:rPr>
        <w:t>МПШВ – Управа за пољопривредно земљиште</w:t>
      </w:r>
    </w:p>
    <w:p w14:paraId="7728828D" w14:textId="26C35598" w:rsidR="004A4E67" w:rsidRPr="00EF2F18" w:rsidRDefault="003E533F" w:rsidP="004A4E67">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Управа за пољопривредно земљиште</w:t>
      </w:r>
      <w:r w:rsidRPr="00EF2F18" w:rsidDel="003E533F">
        <w:rPr>
          <w:rFonts w:ascii="Times New Roman" w:hAnsi="Times New Roman" w:cs="Times New Roman"/>
          <w:lang w:val="sr-Cyrl-RS"/>
        </w:rPr>
        <w:t xml:space="preserve"> </w:t>
      </w:r>
      <w:r w:rsidRPr="00EF2F18">
        <w:rPr>
          <w:rFonts w:ascii="Times New Roman" w:hAnsi="Times New Roman" w:cs="Times New Roman"/>
          <w:lang w:val="sr-Cyrl-RS"/>
        </w:rPr>
        <w:t>п</w:t>
      </w:r>
      <w:r w:rsidR="004A4E67" w:rsidRPr="00EF2F18">
        <w:rPr>
          <w:rFonts w:ascii="Times New Roman" w:hAnsi="Times New Roman" w:cs="Times New Roman"/>
          <w:lang w:val="sr-Cyrl-RS"/>
        </w:rPr>
        <w:t xml:space="preserve">редставља орган управе у саставу Министарства пољопривреде, шумарства и водопривреде, </w:t>
      </w:r>
      <w:r w:rsidR="007E3F45" w:rsidRPr="00EF2F18">
        <w:rPr>
          <w:rFonts w:ascii="Times New Roman" w:hAnsi="Times New Roman" w:cs="Times New Roman"/>
          <w:lang w:val="sr-Cyrl-RS"/>
        </w:rPr>
        <w:t>који обавља следеће послове</w:t>
      </w:r>
      <w:r w:rsidR="004A4E67" w:rsidRPr="00EF2F18">
        <w:rPr>
          <w:rFonts w:ascii="Times New Roman" w:hAnsi="Times New Roman" w:cs="Times New Roman"/>
          <w:lang w:val="sr-Cyrl-RS"/>
        </w:rPr>
        <w:t xml:space="preserve">: </w:t>
      </w:r>
    </w:p>
    <w:p w14:paraId="350F6E61" w14:textId="4BC4FB68" w:rsidR="007E3F45" w:rsidRPr="00EF2F18" w:rsidRDefault="007E3F45" w:rsidP="00313E8E">
      <w:pPr>
        <w:pStyle w:val="Normal1"/>
        <w:numPr>
          <w:ilvl w:val="0"/>
          <w:numId w:val="6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управља пољопривредним земљиштем у државној својини;</w:t>
      </w:r>
    </w:p>
    <w:p w14:paraId="2C0A5316" w14:textId="4E760E7A" w:rsidR="007E3F45" w:rsidRPr="00EF2F18" w:rsidRDefault="007E3F45" w:rsidP="00313E8E">
      <w:pPr>
        <w:pStyle w:val="Normal1"/>
        <w:numPr>
          <w:ilvl w:val="0"/>
          <w:numId w:val="6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успоставља и води информациони систем о пољопривредном земљишту Републике Србије;</w:t>
      </w:r>
    </w:p>
    <w:p w14:paraId="23223049" w14:textId="221630F8" w:rsidR="007E3F45" w:rsidRPr="00EF2F18" w:rsidRDefault="007E3F45" w:rsidP="00313E8E">
      <w:pPr>
        <w:pStyle w:val="Normal1"/>
        <w:numPr>
          <w:ilvl w:val="0"/>
          <w:numId w:val="6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расподељује средства за извођење радова и прати реализацију годишњег програма заштите, уређења и коришћења пољопривредног земљишта за Републику Србију;</w:t>
      </w:r>
    </w:p>
    <w:p w14:paraId="71A32A52" w14:textId="48615AFB" w:rsidR="007E3F45" w:rsidRPr="00EF2F18" w:rsidRDefault="007E3F45" w:rsidP="00313E8E">
      <w:pPr>
        <w:pStyle w:val="Normal1"/>
        <w:numPr>
          <w:ilvl w:val="0"/>
          <w:numId w:val="6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остварује међународну сарадњу у области заштите, уређења и коришћења пољопривредног земљишта;</w:t>
      </w:r>
    </w:p>
    <w:p w14:paraId="1B9B88C6" w14:textId="59EC348F" w:rsidR="007E3F45" w:rsidRPr="00EF2F18" w:rsidRDefault="007E3F45" w:rsidP="00313E8E">
      <w:pPr>
        <w:pStyle w:val="Normal1"/>
        <w:numPr>
          <w:ilvl w:val="0"/>
          <w:numId w:val="6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прати израду Пољопривредне основе Републике и њено остваривање;</w:t>
      </w:r>
    </w:p>
    <w:p w14:paraId="38DAC682" w14:textId="55A948EF" w:rsidR="007E3F45" w:rsidRPr="00EF2F18" w:rsidRDefault="007E3F45" w:rsidP="00313E8E">
      <w:pPr>
        <w:pStyle w:val="Normal1"/>
        <w:numPr>
          <w:ilvl w:val="0"/>
          <w:numId w:val="62"/>
        </w:numPr>
        <w:pBdr>
          <w:top w:val="nil"/>
          <w:left w:val="nil"/>
          <w:bottom w:val="nil"/>
          <w:right w:val="nil"/>
          <w:between w:val="nil"/>
        </w:pBdr>
        <w:spacing w:after="0"/>
        <w:jc w:val="both"/>
        <w:rPr>
          <w:rFonts w:ascii="Times New Roman" w:hAnsi="Times New Roman" w:cs="Times New Roman"/>
          <w:lang w:val="sr-Cyrl-RS"/>
        </w:rPr>
      </w:pPr>
      <w:r w:rsidRPr="00EF2F18">
        <w:rPr>
          <w:rFonts w:ascii="Times New Roman" w:hAnsi="Times New Roman" w:cs="Times New Roman"/>
          <w:lang w:val="sr-Cyrl-RS"/>
        </w:rPr>
        <w:t>обавља и друге послове из области планирања, заштите, уређења и коришћења пољопривредног земљишта.</w:t>
      </w:r>
    </w:p>
    <w:p w14:paraId="5E50B2DC" w14:textId="77777777" w:rsidR="004A4E67" w:rsidRPr="00EF2F18" w:rsidRDefault="004A4E67" w:rsidP="00D41CFC">
      <w:pPr>
        <w:pStyle w:val="Normal1"/>
        <w:spacing w:after="0"/>
        <w:ind w:right="-179" w:firstLine="720"/>
        <w:jc w:val="both"/>
        <w:rPr>
          <w:rFonts w:ascii="Times New Roman" w:hAnsi="Times New Roman" w:cs="Times New Roman"/>
          <w:b/>
          <w:i/>
          <w:lang w:val="sr-Cyrl-RS"/>
        </w:rPr>
      </w:pPr>
    </w:p>
    <w:p w14:paraId="5B48FDDA" w14:textId="7B03AEE6" w:rsidR="00D41CFC" w:rsidRPr="00EF2F18" w:rsidRDefault="00D41CFC" w:rsidP="00342B1B">
      <w:pPr>
        <w:pStyle w:val="Normal1"/>
        <w:spacing w:after="0"/>
        <w:ind w:right="-179" w:firstLine="720"/>
        <w:jc w:val="both"/>
        <w:rPr>
          <w:rFonts w:ascii="Times New Roman" w:hAnsi="Times New Roman" w:cs="Times New Roman"/>
          <w:b/>
          <w:i/>
          <w:lang w:val="sr-Cyrl-RS"/>
        </w:rPr>
      </w:pPr>
      <w:r w:rsidRPr="00EF2F18">
        <w:rPr>
          <w:rFonts w:ascii="Times New Roman" w:hAnsi="Times New Roman" w:cs="Times New Roman"/>
          <w:b/>
          <w:i/>
          <w:lang w:val="sr-Cyrl-RS"/>
        </w:rPr>
        <w:t xml:space="preserve">Републички хидрометеоролошки завод </w:t>
      </w:r>
      <w:r w:rsidR="009E6CFF" w:rsidRPr="00EF2F18">
        <w:rPr>
          <w:rFonts w:ascii="Times New Roman" w:hAnsi="Times New Roman" w:cs="Times New Roman"/>
          <w:b/>
          <w:i/>
          <w:lang w:val="sr-Cyrl-RS"/>
        </w:rPr>
        <w:t>(РХМЗ)</w:t>
      </w:r>
    </w:p>
    <w:p w14:paraId="1A3F7588" w14:textId="16E68583" w:rsidR="00D41CFC" w:rsidRPr="00EF2F18" w:rsidRDefault="001301B7" w:rsidP="00D41CFC">
      <w:pPr>
        <w:pStyle w:val="Normal1"/>
        <w:tabs>
          <w:tab w:val="left" w:pos="0"/>
        </w:tabs>
        <w:spacing w:after="0"/>
        <w:ind w:right="-179" w:firstLine="720"/>
        <w:jc w:val="both"/>
        <w:rPr>
          <w:rFonts w:ascii="Times New Roman" w:hAnsi="Times New Roman" w:cs="Times New Roman"/>
          <w:lang w:val="sr-Cyrl-RS"/>
        </w:rPr>
      </w:pPr>
      <w:r w:rsidRPr="00EF2F18">
        <w:rPr>
          <w:rFonts w:ascii="Times New Roman" w:hAnsi="Times New Roman" w:cs="Times New Roman"/>
          <w:bCs/>
          <w:lang w:val="sr-Cyrl-RS"/>
        </w:rPr>
        <w:t>Републички хидрометеоролошки завод</w:t>
      </w:r>
      <w:r w:rsidR="009E6CFF" w:rsidRPr="00EF2F18">
        <w:rPr>
          <w:rFonts w:ascii="Times New Roman" w:hAnsi="Times New Roman" w:cs="Times New Roman"/>
          <w:lang w:val="sr-Cyrl-RS"/>
        </w:rPr>
        <w:t xml:space="preserve"> </w:t>
      </w:r>
      <w:r w:rsidR="00D41CFC" w:rsidRPr="00EF2F18">
        <w:rPr>
          <w:rFonts w:ascii="Times New Roman" w:hAnsi="Times New Roman" w:cs="Times New Roman"/>
          <w:lang w:val="sr-Cyrl-RS"/>
        </w:rPr>
        <w:t xml:space="preserve">је посебна организација која обавља стручне послове и послове државне управе који се односе на: </w:t>
      </w:r>
    </w:p>
    <w:p w14:paraId="0F8C9403"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систематска метеоролошка, климатска, агро-метеоролошка и хидролошка мерења и осматрања;</w:t>
      </w:r>
    </w:p>
    <w:p w14:paraId="1F16F402"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базе података уочених и измерених хидролошких и метеоролошких података; </w:t>
      </w:r>
    </w:p>
    <w:p w14:paraId="4E9BBE0D"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мониторинг, анализу и прогнозе временских промена, климатских промена и промена воде; </w:t>
      </w:r>
    </w:p>
    <w:p w14:paraId="47D6E3F2" w14:textId="02B4CD89"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развијање</w:t>
      </w:r>
      <w:r w:rsidR="00B75D85" w:rsidRPr="00EF2F18">
        <w:rPr>
          <w:rFonts w:ascii="Times New Roman" w:hAnsi="Times New Roman" w:cs="Times New Roman"/>
          <w:lang w:val="sr-Cyrl-RS"/>
        </w:rPr>
        <w:t xml:space="preserve"> </w:t>
      </w:r>
      <w:r w:rsidRPr="00EF2F18">
        <w:rPr>
          <w:rFonts w:ascii="Times New Roman" w:hAnsi="Times New Roman" w:cs="Times New Roman"/>
          <w:lang w:val="sr-Cyrl-RS"/>
        </w:rPr>
        <w:t>метода, оперативне опсервације и упозорења о неповољним атмосферским и хидросферским условима;</w:t>
      </w:r>
    </w:p>
    <w:p w14:paraId="19F391FC"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истраживање атмосферских и хидросферских процеса и развој метода и модела за прогнозу времена, климе и воде;</w:t>
      </w:r>
    </w:p>
    <w:p w14:paraId="30342692"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модификацију времена;</w:t>
      </w:r>
    </w:p>
    <w:p w14:paraId="5BB88774" w14:textId="6EC7F23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lastRenderedPageBreak/>
        <w:t xml:space="preserve">израду предлога за коришћење енергетских </w:t>
      </w:r>
      <w:r w:rsidR="00C32624" w:rsidRPr="00EF2F18">
        <w:rPr>
          <w:rFonts w:ascii="Times New Roman" w:hAnsi="Times New Roman" w:cs="Times New Roman"/>
          <w:lang w:val="sr-Cyrl-RS"/>
        </w:rPr>
        <w:t xml:space="preserve">потенцијала </w:t>
      </w:r>
      <w:r w:rsidRPr="00EF2F18">
        <w:rPr>
          <w:rFonts w:ascii="Times New Roman" w:hAnsi="Times New Roman" w:cs="Times New Roman"/>
          <w:lang w:val="sr-Cyrl-RS"/>
        </w:rPr>
        <w:t>сунца и ветра;</w:t>
      </w:r>
    </w:p>
    <w:p w14:paraId="513153DE"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хидрометеоролошка подршка за речни транспорт;</w:t>
      </w:r>
    </w:p>
    <w:p w14:paraId="6C6B469C"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успостављање и очување мерила и калибрације хидролошких и метеоролошких информационих система;</w:t>
      </w:r>
    </w:p>
    <w:p w14:paraId="6A80BC24" w14:textId="2AC5EC8F"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обављање међународних дужности у област</w:t>
      </w:r>
      <w:r w:rsidR="00930B91" w:rsidRPr="00EF2F18">
        <w:rPr>
          <w:rFonts w:ascii="Times New Roman" w:hAnsi="Times New Roman" w:cs="Times New Roman"/>
          <w:lang w:val="sr-Cyrl-RS"/>
        </w:rPr>
        <w:t>и метеорологије и хидрологије;</w:t>
      </w:r>
      <w:r w:rsidRPr="00EF2F18">
        <w:rPr>
          <w:rFonts w:ascii="Times New Roman" w:hAnsi="Times New Roman" w:cs="Times New Roman"/>
          <w:lang w:val="sr-Cyrl-RS"/>
        </w:rPr>
        <w:t xml:space="preserve"> </w:t>
      </w:r>
    </w:p>
    <w:p w14:paraId="67BE9973" w14:textId="77777777" w:rsidR="00D41CFC" w:rsidRPr="00EF2F18" w:rsidRDefault="00D41CFC" w:rsidP="00313E8E">
      <w:pPr>
        <w:pStyle w:val="Normal1"/>
        <w:numPr>
          <w:ilvl w:val="0"/>
          <w:numId w:val="34"/>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друге послове дефинисане законом.</w:t>
      </w:r>
    </w:p>
    <w:p w14:paraId="56793489" w14:textId="77777777" w:rsidR="006A7693" w:rsidRPr="00EF2F18" w:rsidRDefault="006A7693" w:rsidP="006A7693">
      <w:pPr>
        <w:pStyle w:val="Normal1"/>
        <w:spacing w:after="0"/>
        <w:ind w:right="-179"/>
        <w:jc w:val="both"/>
        <w:rPr>
          <w:rFonts w:ascii="Times New Roman" w:hAnsi="Times New Roman" w:cs="Times New Roman"/>
          <w:b/>
          <w:i/>
          <w:lang w:val="sr-Cyrl-RS"/>
        </w:rPr>
      </w:pPr>
    </w:p>
    <w:p w14:paraId="208DA5A7" w14:textId="2A4865F1" w:rsidR="00D41CFC" w:rsidRPr="00EF2F18" w:rsidRDefault="00D41CFC" w:rsidP="000167AD">
      <w:pPr>
        <w:pStyle w:val="Normal1"/>
        <w:spacing w:after="0"/>
        <w:ind w:right="-179"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Министарство здрављ</w:t>
      </w:r>
      <w:r w:rsidR="006A7693" w:rsidRPr="00EF2F18">
        <w:rPr>
          <w:rFonts w:ascii="Times New Roman" w:hAnsi="Times New Roman" w:cs="Times New Roman"/>
          <w:b/>
          <w:i/>
          <w:lang w:val="sr-Cyrl-RS"/>
        </w:rPr>
        <w:t>а</w:t>
      </w:r>
    </w:p>
    <w:p w14:paraId="7518C969" w14:textId="77777777" w:rsidR="00D41CFC" w:rsidRPr="00EF2F18" w:rsidRDefault="00D41CFC" w:rsidP="00D41CFC">
      <w:pPr>
        <w:pStyle w:val="Normal1"/>
        <w:spacing w:after="0"/>
        <w:ind w:right="-179" w:firstLine="720"/>
        <w:jc w:val="both"/>
        <w:rPr>
          <w:rFonts w:ascii="Times New Roman" w:hAnsi="Times New Roman" w:cs="Times New Roman"/>
          <w:lang w:val="sr-Cyrl-RS"/>
        </w:rPr>
      </w:pPr>
      <w:bookmarkStart w:id="16" w:name="_Hlk191729449"/>
      <w:r w:rsidRPr="00EF2F18">
        <w:rPr>
          <w:rFonts w:ascii="Times New Roman" w:hAnsi="Times New Roman" w:cs="Times New Roman"/>
          <w:lang w:val="sr-Cyrl-RS"/>
        </w:rPr>
        <w:t>Министарство здравља је одговорно за:</w:t>
      </w:r>
    </w:p>
    <w:p w14:paraId="4358845B" w14:textId="0D3601D6" w:rsidR="00175803" w:rsidRPr="00EF2F18" w:rsidRDefault="00175803" w:rsidP="00313E8E">
      <w:pPr>
        <w:pStyle w:val="Normal1"/>
        <w:numPr>
          <w:ilvl w:val="0"/>
          <w:numId w:val="36"/>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спровођење стратегије јавног здравља;</w:t>
      </w:r>
    </w:p>
    <w:p w14:paraId="52F3C7DD" w14:textId="4495D6A6" w:rsidR="00D41CFC" w:rsidRPr="00EF2F18" w:rsidRDefault="00D41CFC" w:rsidP="00313E8E">
      <w:pPr>
        <w:pStyle w:val="Normal1"/>
        <w:numPr>
          <w:ilvl w:val="0"/>
          <w:numId w:val="36"/>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спровођење санитарних прописа који се односе на заштиту животне средине и био-сигурност; </w:t>
      </w:r>
    </w:p>
    <w:p w14:paraId="6D4759E6" w14:textId="2732295E" w:rsidR="00D41CFC" w:rsidRPr="00EF2F18" w:rsidRDefault="00D41CFC" w:rsidP="00313E8E">
      <w:pPr>
        <w:pStyle w:val="Normal1"/>
        <w:numPr>
          <w:ilvl w:val="0"/>
          <w:numId w:val="36"/>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санитарну инспекцију</w:t>
      </w:r>
      <w:r w:rsidR="002F4237" w:rsidRPr="00EF2F18">
        <w:rPr>
          <w:rFonts w:ascii="Times New Roman" w:hAnsi="Times New Roman" w:cs="Times New Roman"/>
          <w:lang w:val="sr-Cyrl-RS"/>
        </w:rPr>
        <w:t>;</w:t>
      </w:r>
    </w:p>
    <w:p w14:paraId="6550CCFB" w14:textId="77777777" w:rsidR="00D41CFC" w:rsidRPr="00EF2F18" w:rsidRDefault="00D41CFC" w:rsidP="00313E8E">
      <w:pPr>
        <w:pStyle w:val="Normal1"/>
        <w:numPr>
          <w:ilvl w:val="0"/>
          <w:numId w:val="36"/>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водоснабдевање за јавну потрошњу; </w:t>
      </w:r>
    </w:p>
    <w:p w14:paraId="67D49FE8" w14:textId="77777777" w:rsidR="00D41CFC" w:rsidRPr="00EF2F18" w:rsidRDefault="00D41CFC" w:rsidP="00313E8E">
      <w:pPr>
        <w:pStyle w:val="Normal1"/>
        <w:numPr>
          <w:ilvl w:val="0"/>
          <w:numId w:val="36"/>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контролу и праћење санитарних услова у и на објектима и на граници и на другим местима. </w:t>
      </w:r>
    </w:p>
    <w:bookmarkEnd w:id="16"/>
    <w:p w14:paraId="0B860671" w14:textId="77777777" w:rsidR="006A7693" w:rsidRPr="00EF2F18" w:rsidRDefault="006A7693" w:rsidP="006A7693">
      <w:pPr>
        <w:pStyle w:val="Normal1"/>
        <w:spacing w:after="0"/>
        <w:ind w:right="-179"/>
        <w:jc w:val="both"/>
        <w:rPr>
          <w:rFonts w:ascii="Times New Roman" w:hAnsi="Times New Roman" w:cs="Times New Roman"/>
          <w:b/>
          <w:i/>
          <w:lang w:val="sr-Cyrl-RS"/>
        </w:rPr>
      </w:pPr>
    </w:p>
    <w:p w14:paraId="01F6C7CB" w14:textId="195BE124" w:rsidR="00D41CFC" w:rsidRPr="00EF2F18" w:rsidRDefault="00D41CFC" w:rsidP="00342B1B">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b/>
          <w:i/>
          <w:lang w:val="sr-Cyrl-RS"/>
        </w:rPr>
        <w:t xml:space="preserve">Министарство здравља </w:t>
      </w:r>
      <w:r w:rsidR="00342B1B" w:rsidRPr="00EF2F18">
        <w:rPr>
          <w:rFonts w:ascii="Times New Roman" w:hAnsi="Times New Roman" w:cs="Times New Roman"/>
          <w:b/>
          <w:i/>
          <w:lang w:val="sr-Cyrl-RS"/>
        </w:rPr>
        <w:t>–</w:t>
      </w:r>
      <w:r w:rsidRPr="00EF2F18">
        <w:rPr>
          <w:rFonts w:ascii="Times New Roman" w:hAnsi="Times New Roman" w:cs="Times New Roman"/>
          <w:b/>
          <w:i/>
          <w:lang w:val="sr-Cyrl-RS"/>
        </w:rPr>
        <w:t xml:space="preserve"> Санитарна инспекција</w:t>
      </w:r>
      <w:r w:rsidRPr="00EF2F18">
        <w:rPr>
          <w:rFonts w:ascii="Times New Roman" w:hAnsi="Times New Roman" w:cs="Times New Roman"/>
          <w:lang w:val="sr-Cyrl-RS"/>
        </w:rPr>
        <w:t xml:space="preserve"> </w:t>
      </w:r>
    </w:p>
    <w:p w14:paraId="4A3BCA68" w14:textId="77777777" w:rsidR="00513BDF" w:rsidRPr="00EF2F18" w:rsidRDefault="00513BDF" w:rsidP="00D41CFC">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здравља спроводи стратегију јавног здравља.</w:t>
      </w:r>
    </w:p>
    <w:p w14:paraId="735B6007" w14:textId="634ADE37" w:rsidR="00D41CFC" w:rsidRPr="00EF2F18" w:rsidRDefault="00D41CFC" w:rsidP="00D41CFC">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У оквиру Министарства здравља, санитарна инспекција је одговорна за инспекцију и надзор:</w:t>
      </w:r>
    </w:p>
    <w:p w14:paraId="137FEFF9" w14:textId="77777777" w:rsidR="00D41CFC" w:rsidRPr="00EF2F18" w:rsidRDefault="00D41CFC" w:rsidP="00313E8E">
      <w:pPr>
        <w:pStyle w:val="Normal1"/>
        <w:numPr>
          <w:ilvl w:val="0"/>
          <w:numId w:val="38"/>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квалитета воде у јавном водоснабдевању; </w:t>
      </w:r>
    </w:p>
    <w:p w14:paraId="2E25DE94" w14:textId="77777777" w:rsidR="00D41CFC" w:rsidRPr="00EF2F18" w:rsidRDefault="00D41CFC" w:rsidP="00313E8E">
      <w:pPr>
        <w:pStyle w:val="Normal1"/>
        <w:numPr>
          <w:ilvl w:val="0"/>
          <w:numId w:val="38"/>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здравствену контролу објеката опште употребе у производњи, трговини и увозу, укључујући општу употребу хемикалија и производа на тржишту; </w:t>
      </w:r>
    </w:p>
    <w:p w14:paraId="7DD8934D" w14:textId="77777777" w:rsidR="00D41CFC" w:rsidRPr="00EF2F18" w:rsidRDefault="00D41CFC" w:rsidP="00313E8E">
      <w:pPr>
        <w:pStyle w:val="Normal1"/>
        <w:numPr>
          <w:ilvl w:val="0"/>
          <w:numId w:val="38"/>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примене ограничења и забране производње, стављања у промет и употребе хемикалија и производа намењених за општу употребу; </w:t>
      </w:r>
    </w:p>
    <w:p w14:paraId="7897F25F" w14:textId="5E26C768" w:rsidR="00D41CFC" w:rsidRPr="00EF2F18" w:rsidRDefault="00D41CFC" w:rsidP="00313E8E">
      <w:pPr>
        <w:pStyle w:val="Normal1"/>
        <w:numPr>
          <w:ilvl w:val="0"/>
          <w:numId w:val="38"/>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области заштите с</w:t>
      </w:r>
      <w:r w:rsidR="00930B91" w:rsidRPr="00EF2F18">
        <w:rPr>
          <w:rFonts w:ascii="Times New Roman" w:hAnsi="Times New Roman" w:cs="Times New Roman"/>
          <w:lang w:val="sr-Cyrl-RS"/>
        </w:rPr>
        <w:t>тановништва од заразних болести;</w:t>
      </w:r>
      <w:r w:rsidR="005E42D2" w:rsidRPr="00EF2F18">
        <w:rPr>
          <w:rFonts w:ascii="Times New Roman" w:hAnsi="Times New Roman" w:cs="Times New Roman"/>
          <w:lang w:val="sr-Cyrl-RS"/>
        </w:rPr>
        <w:t xml:space="preserve"> </w:t>
      </w:r>
    </w:p>
    <w:p w14:paraId="783A1B06" w14:textId="77777777" w:rsidR="00D41CFC" w:rsidRPr="00EF2F18" w:rsidRDefault="00D41CFC" w:rsidP="00313E8E">
      <w:pPr>
        <w:pStyle w:val="Normal1"/>
        <w:numPr>
          <w:ilvl w:val="0"/>
          <w:numId w:val="38"/>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друге задатке у санитарној контроли. </w:t>
      </w:r>
    </w:p>
    <w:p w14:paraId="682BA066" w14:textId="77777777" w:rsidR="00D41CFC" w:rsidRPr="00EF2F18" w:rsidRDefault="00D41CFC" w:rsidP="00D41CFC">
      <w:pPr>
        <w:pStyle w:val="Normal1"/>
        <w:pBdr>
          <w:top w:val="nil"/>
          <w:left w:val="nil"/>
          <w:bottom w:val="nil"/>
          <w:right w:val="nil"/>
          <w:between w:val="nil"/>
        </w:pBdr>
        <w:spacing w:after="0"/>
        <w:ind w:firstLine="720"/>
        <w:jc w:val="both"/>
        <w:rPr>
          <w:rFonts w:ascii="Times New Roman" w:hAnsi="Times New Roman" w:cs="Times New Roman"/>
          <w:lang w:val="sr-Cyrl-RS"/>
        </w:rPr>
      </w:pPr>
    </w:p>
    <w:p w14:paraId="423616A8" w14:textId="77777777" w:rsidR="00E503F9" w:rsidRPr="00EF2F18" w:rsidRDefault="00E503F9" w:rsidP="00342B1B">
      <w:pPr>
        <w:pStyle w:val="Normal1"/>
        <w:spacing w:after="0"/>
        <w:ind w:right="-179" w:firstLine="720"/>
        <w:jc w:val="both"/>
        <w:rPr>
          <w:rFonts w:ascii="Times New Roman" w:hAnsi="Times New Roman" w:cs="Times New Roman"/>
          <w:b/>
          <w:i/>
          <w:lang w:val="sr-Cyrl-RS"/>
        </w:rPr>
      </w:pPr>
      <w:r w:rsidRPr="00EF2F18">
        <w:rPr>
          <w:rFonts w:ascii="Times New Roman" w:hAnsi="Times New Roman" w:cs="Times New Roman"/>
          <w:b/>
          <w:i/>
          <w:lang w:val="sr-Cyrl-RS"/>
        </w:rPr>
        <w:t xml:space="preserve">Мрежа института јавног здравља </w:t>
      </w:r>
    </w:p>
    <w:p w14:paraId="300FFE34" w14:textId="77777777" w:rsidR="00E503F9" w:rsidRPr="00EF2F18" w:rsidRDefault="00E503F9" w:rsidP="00E503F9">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Ови институти</w:t>
      </w:r>
      <w:r w:rsidRPr="00EF2F18">
        <w:rPr>
          <w:rFonts w:ascii="Times New Roman" w:hAnsi="Times New Roman" w:cs="Times New Roman"/>
          <w:b/>
          <w:i/>
          <w:lang w:val="sr-Cyrl-RS"/>
        </w:rPr>
        <w:t xml:space="preserve"> </w:t>
      </w:r>
      <w:r w:rsidRPr="00EF2F18">
        <w:rPr>
          <w:rFonts w:ascii="Times New Roman" w:hAnsi="Times New Roman" w:cs="Times New Roman"/>
          <w:lang w:val="sr-Cyrl-RS"/>
        </w:rPr>
        <w:t>покривају:</w:t>
      </w:r>
    </w:p>
    <w:p w14:paraId="7097DC31"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праћење квалитета амбијенталног ваздуха;</w:t>
      </w:r>
    </w:p>
    <w:p w14:paraId="0CE732B3"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праћење квалитета површинских вода за купање и површинских вода као извора водоснабдевања; </w:t>
      </w:r>
    </w:p>
    <w:p w14:paraId="1C90A9E9"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мониторинг безбедности и квалитета воде за пиће; </w:t>
      </w:r>
    </w:p>
    <w:p w14:paraId="74D321EA"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мониторинг безбедности хране према Закону о безбедности хране (дечија храна, со, специјална храна, итд);</w:t>
      </w:r>
    </w:p>
    <w:p w14:paraId="62C8F8C7"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праћење предмета опште употребе;</w:t>
      </w:r>
    </w:p>
    <w:p w14:paraId="52FCE45A"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праћење квалитета отпадних вода;</w:t>
      </w:r>
    </w:p>
    <w:p w14:paraId="4AD1266A"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праћење медицинског отпада; </w:t>
      </w:r>
    </w:p>
    <w:p w14:paraId="54BB828E" w14:textId="77777777" w:rsidR="00E503F9" w:rsidRPr="00EF2F18" w:rsidRDefault="00E503F9" w:rsidP="00313E8E">
      <w:pPr>
        <w:pStyle w:val="Normal1"/>
        <w:numPr>
          <w:ilvl w:val="0"/>
          <w:numId w:val="37"/>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одређено ИПХ мерење или мониторинг буке у животној средини. </w:t>
      </w:r>
    </w:p>
    <w:p w14:paraId="7B03DD1F" w14:textId="77777777" w:rsidR="00E503F9" w:rsidRPr="00EF2F18" w:rsidRDefault="00E503F9" w:rsidP="006A7693">
      <w:pPr>
        <w:pStyle w:val="Normal1"/>
        <w:spacing w:after="0"/>
        <w:ind w:right="-179"/>
        <w:jc w:val="both"/>
        <w:rPr>
          <w:rFonts w:ascii="Times New Roman" w:hAnsi="Times New Roman" w:cs="Times New Roman"/>
          <w:b/>
          <w:i/>
          <w:lang w:val="sr-Cyrl-RS"/>
        </w:rPr>
      </w:pPr>
    </w:p>
    <w:p w14:paraId="6CB5668F" w14:textId="388C5774" w:rsidR="00D41CFC" w:rsidRPr="00EF2F18" w:rsidRDefault="00D41CFC" w:rsidP="00342B1B">
      <w:pPr>
        <w:pStyle w:val="Normal1"/>
        <w:spacing w:after="0"/>
        <w:ind w:right="-179" w:firstLine="720"/>
        <w:jc w:val="both"/>
        <w:rPr>
          <w:rFonts w:ascii="Times New Roman" w:hAnsi="Times New Roman" w:cs="Times New Roman"/>
          <w:b/>
          <w:bCs/>
          <w:i/>
          <w:iCs/>
          <w:lang w:val="sr-Cyrl-RS"/>
        </w:rPr>
      </w:pPr>
      <w:r w:rsidRPr="00EF2F18">
        <w:rPr>
          <w:rFonts w:ascii="Times New Roman" w:hAnsi="Times New Roman" w:cs="Times New Roman"/>
          <w:b/>
          <w:i/>
          <w:lang w:val="sr-Cyrl-RS"/>
        </w:rPr>
        <w:t>Министарство финансија</w:t>
      </w:r>
      <w:r w:rsidRPr="00EF2F18">
        <w:rPr>
          <w:rFonts w:ascii="Times New Roman" w:hAnsi="Times New Roman" w:cs="Times New Roman"/>
          <w:b/>
          <w:bCs/>
          <w:i/>
          <w:iCs/>
          <w:lang w:val="sr-Cyrl-RS"/>
        </w:rPr>
        <w:t xml:space="preserve"> </w:t>
      </w:r>
      <w:r w:rsidR="006B2F45" w:rsidRPr="00EF2F18">
        <w:rPr>
          <w:rFonts w:ascii="Times New Roman" w:hAnsi="Times New Roman" w:cs="Times New Roman"/>
          <w:b/>
          <w:bCs/>
          <w:i/>
          <w:iCs/>
          <w:lang w:val="sr-Cyrl-RS"/>
        </w:rPr>
        <w:t>(МФ)</w:t>
      </w:r>
    </w:p>
    <w:p w14:paraId="062C5F4F" w14:textId="76E552D2" w:rsidR="00D41CFC" w:rsidRPr="00EF2F18" w:rsidRDefault="00051065" w:rsidP="00D41CFC">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Министарств</w:t>
      </w:r>
      <w:r w:rsidR="008C5C17">
        <w:rPr>
          <w:rFonts w:ascii="Times New Roman" w:hAnsi="Times New Roman" w:cs="Times New Roman"/>
          <w:lang w:val="sr-Cyrl-RS"/>
        </w:rPr>
        <w:t>о</w:t>
      </w:r>
      <w:r w:rsidRPr="00EF2F18">
        <w:rPr>
          <w:rFonts w:ascii="Times New Roman" w:hAnsi="Times New Roman" w:cs="Times New Roman"/>
          <w:lang w:val="sr-Cyrl-RS"/>
        </w:rPr>
        <w:t xml:space="preserve"> финансија </w:t>
      </w:r>
      <w:r w:rsidR="00D41CFC" w:rsidRPr="00EF2F18">
        <w:rPr>
          <w:rFonts w:ascii="Times New Roman" w:hAnsi="Times New Roman" w:cs="Times New Roman"/>
          <w:lang w:val="sr-Cyrl-RS"/>
        </w:rPr>
        <w:t xml:space="preserve">је одговорно за макроекономију, планирање државног буџета, контролу и ревизију, координацију система управљања и имплементацију програма финансирања из фондова ЕУ. </w:t>
      </w:r>
    </w:p>
    <w:p w14:paraId="71A76933" w14:textId="0F582EC0" w:rsidR="004A6A43" w:rsidRPr="00EF2F18" w:rsidRDefault="004A6A43" w:rsidP="004E449F">
      <w:pPr>
        <w:pStyle w:val="Normal1"/>
        <w:spacing w:after="0"/>
        <w:ind w:right="-179"/>
        <w:jc w:val="both"/>
        <w:rPr>
          <w:rFonts w:ascii="Times New Roman" w:hAnsi="Times New Roman" w:cs="Times New Roman"/>
          <w:b/>
          <w:lang w:val="sr-Cyrl-RS"/>
        </w:rPr>
      </w:pPr>
    </w:p>
    <w:p w14:paraId="6F5107C7" w14:textId="146392AE" w:rsidR="00D41CFC" w:rsidRPr="00EF2F18" w:rsidRDefault="00D41CFC" w:rsidP="00342B1B">
      <w:pPr>
        <w:pStyle w:val="Normal1"/>
        <w:spacing w:after="0"/>
        <w:ind w:right="-179" w:firstLine="720"/>
        <w:jc w:val="both"/>
        <w:rPr>
          <w:rFonts w:ascii="Times New Roman" w:hAnsi="Times New Roman" w:cs="Times New Roman"/>
          <w:b/>
          <w:i/>
          <w:iCs/>
          <w:lang w:val="sr-Cyrl-RS"/>
        </w:rPr>
      </w:pPr>
      <w:r w:rsidRPr="00EF2F18">
        <w:rPr>
          <w:rFonts w:ascii="Times New Roman" w:hAnsi="Times New Roman" w:cs="Times New Roman"/>
          <w:b/>
          <w:i/>
          <w:iCs/>
          <w:lang w:val="sr-Cyrl-RS"/>
        </w:rPr>
        <w:t xml:space="preserve">Министарство финансија </w:t>
      </w:r>
      <w:r w:rsidR="00342B1B" w:rsidRPr="00EF2F18">
        <w:rPr>
          <w:rFonts w:ascii="Times New Roman" w:hAnsi="Times New Roman" w:cs="Times New Roman"/>
          <w:b/>
          <w:i/>
          <w:iCs/>
          <w:lang w:val="sr-Cyrl-RS"/>
        </w:rPr>
        <w:t>–</w:t>
      </w:r>
      <w:r w:rsidRPr="00EF2F18">
        <w:rPr>
          <w:rFonts w:ascii="Times New Roman" w:hAnsi="Times New Roman" w:cs="Times New Roman"/>
          <w:b/>
          <w:i/>
          <w:iCs/>
          <w:lang w:val="sr-Cyrl-RS"/>
        </w:rPr>
        <w:t xml:space="preserve"> Управа царина </w:t>
      </w:r>
    </w:p>
    <w:p w14:paraId="2632262E" w14:textId="0C33631A" w:rsidR="00F85F9E" w:rsidRPr="00EF2F18" w:rsidRDefault="00F85F9E" w:rsidP="00F85F9E">
      <w:pPr>
        <w:pStyle w:val="Normal1"/>
        <w:spacing w:after="0"/>
        <w:ind w:right="-179" w:firstLine="720"/>
        <w:jc w:val="both"/>
        <w:rPr>
          <w:rFonts w:ascii="Times New Roman" w:hAnsi="Times New Roman" w:cs="Times New Roman"/>
          <w:lang w:val="sr-Cyrl-RS"/>
        </w:rPr>
      </w:pPr>
      <w:bookmarkStart w:id="17" w:name="_Hlk19006471"/>
      <w:r w:rsidRPr="00EF2F18">
        <w:rPr>
          <w:rFonts w:ascii="Times New Roman" w:hAnsi="Times New Roman" w:cs="Times New Roman"/>
          <w:lang w:val="sr-Cyrl-RS"/>
        </w:rPr>
        <w:t>Управа царина, као орган управе у саставу Министарств</w:t>
      </w:r>
      <w:r w:rsidR="0098656E">
        <w:rPr>
          <w:rFonts w:ascii="Times New Roman" w:hAnsi="Times New Roman" w:cs="Times New Roman"/>
          <w:lang w:val="sr-Cyrl-RS"/>
        </w:rPr>
        <w:t>у</w:t>
      </w:r>
      <w:r w:rsidRPr="00EF2F18">
        <w:rPr>
          <w:rFonts w:ascii="Times New Roman" w:hAnsi="Times New Roman" w:cs="Times New Roman"/>
          <w:lang w:val="sr-Cyrl-RS"/>
        </w:rPr>
        <w:t xml:space="preserve"> финансија, обавља послове државне управе и стручне послове који се односе на: царињење робе, царински надзор и друге послове контроле путника и промета робе и услуга са иностранством, као и друге послове одређене законом.</w:t>
      </w:r>
    </w:p>
    <w:p w14:paraId="6CEF74A5" w14:textId="4838A657" w:rsidR="00F85F9E" w:rsidRPr="00EF2F18" w:rsidRDefault="00F85F9E" w:rsidP="00F85F9E">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lastRenderedPageBreak/>
        <w:t>Управа царина обавља послове из своје надлежности на целом царинском подручју Републике Србије</w:t>
      </w:r>
      <w:r w:rsidR="000C0780" w:rsidRPr="00EF2F18">
        <w:rPr>
          <w:rFonts w:ascii="Times New Roman" w:hAnsi="Times New Roman" w:cs="Times New Roman"/>
          <w:lang w:val="sr-Cyrl-RS"/>
        </w:rPr>
        <w:t>,</w:t>
      </w:r>
      <w:r w:rsidRPr="00EF2F18">
        <w:rPr>
          <w:rFonts w:ascii="Times New Roman" w:hAnsi="Times New Roman" w:cs="Times New Roman"/>
          <w:lang w:val="sr-Cyrl-RS"/>
        </w:rPr>
        <w:t xml:space="preserve"> и то:</w:t>
      </w:r>
    </w:p>
    <w:p w14:paraId="395AD826" w14:textId="14180D38" w:rsidR="00F85F9E" w:rsidRPr="00EF2F18" w:rsidRDefault="00F85F9E" w:rsidP="00313E8E">
      <w:pPr>
        <w:pStyle w:val="Normal1"/>
        <w:numPr>
          <w:ilvl w:val="0"/>
          <w:numId w:val="61"/>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 xml:space="preserve">врши преглед и контролу робе и превозних средстава која улазе или напуштају царинско подручје Републике Србије у робном и путничком промету; </w:t>
      </w:r>
    </w:p>
    <w:p w14:paraId="6D230D88" w14:textId="2FF405A0" w:rsidR="00F85F9E" w:rsidRPr="00EF2F18" w:rsidRDefault="00F85F9E" w:rsidP="00313E8E">
      <w:pPr>
        <w:pStyle w:val="Normal1"/>
        <w:numPr>
          <w:ilvl w:val="0"/>
          <w:numId w:val="61"/>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спроводи и примењује царинске прописе и друге прописе чија примена је у надлежности Управе царина, у циљу наплате царине и осталих дажбина, те спречавањa свих облика незаконитог преноса робе;</w:t>
      </w:r>
    </w:p>
    <w:p w14:paraId="74CB118A" w14:textId="1554DA9B" w:rsidR="00F85F9E" w:rsidRPr="00EF2F18" w:rsidRDefault="00F85F9E" w:rsidP="00313E8E">
      <w:pPr>
        <w:pStyle w:val="Normal1"/>
        <w:numPr>
          <w:ilvl w:val="0"/>
          <w:numId w:val="61"/>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спроводи контролу забрана и ограничења промета робе која угрожава јавну безбедност и морал, здравље или живот лица, заштиту животиња и биљака, очување животне средине, заштите природних реткости, културног наслеђа, уметничке, историјске, археолошке, етнолошке или технолошке вредности, заштиту права интелектуалне својине и сл.</w:t>
      </w:r>
    </w:p>
    <w:bookmarkEnd w:id="17"/>
    <w:p w14:paraId="032677E9" w14:textId="77777777" w:rsidR="006A7693" w:rsidRPr="00EF2F18" w:rsidRDefault="006A7693" w:rsidP="006A7693">
      <w:pPr>
        <w:pStyle w:val="Normal1"/>
        <w:spacing w:after="0"/>
        <w:ind w:right="-179"/>
        <w:jc w:val="both"/>
        <w:rPr>
          <w:rFonts w:ascii="Times New Roman" w:hAnsi="Times New Roman" w:cs="Times New Roman"/>
          <w:b/>
          <w:i/>
          <w:lang w:val="sr-Cyrl-RS"/>
        </w:rPr>
      </w:pPr>
    </w:p>
    <w:p w14:paraId="113D6CA7" w14:textId="677EB65A" w:rsidR="00D41CFC" w:rsidRPr="00EF2F18" w:rsidRDefault="00D41CFC" w:rsidP="00342B1B">
      <w:pPr>
        <w:pStyle w:val="Normal1"/>
        <w:spacing w:after="0"/>
        <w:ind w:right="-179"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Министарство</w:t>
      </w:r>
      <w:r w:rsidRPr="00EF2F18">
        <w:rPr>
          <w:rFonts w:ascii="Times New Roman" w:hAnsi="Times New Roman" w:cs="Times New Roman"/>
          <w:b/>
          <w:lang w:val="sr-Cyrl-RS"/>
        </w:rPr>
        <w:t xml:space="preserve"> </w:t>
      </w:r>
      <w:r w:rsidRPr="00EF2F18">
        <w:rPr>
          <w:rFonts w:ascii="Times New Roman" w:hAnsi="Times New Roman" w:cs="Times New Roman"/>
          <w:b/>
          <w:i/>
          <w:lang w:val="sr-Cyrl-RS"/>
        </w:rPr>
        <w:t>привреде</w:t>
      </w:r>
    </w:p>
    <w:p w14:paraId="3E8B0886" w14:textId="48F85821" w:rsidR="00D41CFC" w:rsidRPr="00EF2F18" w:rsidRDefault="00D41CFC" w:rsidP="00DF6676">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је одговорно за економију и економски развој, развој стратешке политике у сектору привреде, праћење и спровођење мера за унапређење инвестиција, подршку малим и средњим предузећима, пружање подстицаја и кредита предузећима, подршку извозу, стратешке инвестиције, конкурентност, приватизацију, стандардизацију. Такође је одговорно за регионални развој.</w:t>
      </w:r>
      <w:r w:rsidR="00F754D2" w:rsidRPr="00EF2F18">
        <w:rPr>
          <w:rFonts w:ascii="Times New Roman" w:hAnsi="Times New Roman" w:cs="Times New Roman"/>
          <w:lang w:val="sr-Cyrl-RS"/>
        </w:rPr>
        <w:t xml:space="preserve"> </w:t>
      </w:r>
      <w:bookmarkStart w:id="18" w:name="_Hlk16247891"/>
      <w:r w:rsidRPr="00EF2F18">
        <w:rPr>
          <w:rFonts w:ascii="Times New Roman" w:hAnsi="Times New Roman" w:cs="Times New Roman"/>
          <w:lang w:val="sr-Cyrl-RS"/>
        </w:rPr>
        <w:t>Релевантне надлежности Министарства привреде значајне за област животне средине су</w:t>
      </w:r>
      <w:r w:rsidR="00DF6676" w:rsidRPr="00EF2F18">
        <w:rPr>
          <w:rFonts w:ascii="Times New Roman" w:hAnsi="Times New Roman" w:cs="Times New Roman"/>
          <w:lang w:val="sr-Cyrl-RS"/>
        </w:rPr>
        <w:t xml:space="preserve"> п</w:t>
      </w:r>
      <w:r w:rsidRPr="00EF2F18">
        <w:rPr>
          <w:rFonts w:ascii="Times New Roman" w:hAnsi="Times New Roman" w:cs="Times New Roman"/>
          <w:lang w:val="sr-Cyrl-RS"/>
        </w:rPr>
        <w:t xml:space="preserve">рописивање техничких захтева за стављање на тржиште и употребу одређених индустријских производа као и поступака за оцењивање усаглашености тих производа са прописаним захтевима (укључујући безбедносне, еколошке и друге техничке захтеве). </w:t>
      </w:r>
      <w:bookmarkEnd w:id="18"/>
    </w:p>
    <w:p w14:paraId="24F4BC89" w14:textId="48EE975D" w:rsidR="006A7693" w:rsidRPr="00EF2F18" w:rsidRDefault="006A7693" w:rsidP="006A7693">
      <w:pPr>
        <w:pStyle w:val="Normal1"/>
        <w:pBdr>
          <w:top w:val="nil"/>
          <w:left w:val="nil"/>
          <w:bottom w:val="nil"/>
          <w:right w:val="nil"/>
          <w:between w:val="nil"/>
        </w:pBdr>
        <w:spacing w:after="0"/>
        <w:ind w:right="-179"/>
        <w:jc w:val="both"/>
        <w:rPr>
          <w:rFonts w:ascii="Times New Roman" w:hAnsi="Times New Roman" w:cs="Times New Roman"/>
          <w:b/>
          <w:i/>
          <w:lang w:val="sr-Cyrl-RS"/>
        </w:rPr>
      </w:pPr>
    </w:p>
    <w:p w14:paraId="76D2C475" w14:textId="59745979" w:rsidR="00D41CFC" w:rsidRPr="00EF2F18" w:rsidRDefault="00D41CFC" w:rsidP="00342B1B">
      <w:pPr>
        <w:pStyle w:val="Normal1"/>
        <w:pBdr>
          <w:top w:val="nil"/>
          <w:left w:val="nil"/>
          <w:bottom w:val="nil"/>
          <w:right w:val="nil"/>
          <w:between w:val="nil"/>
        </w:pBdr>
        <w:spacing w:after="0"/>
        <w:ind w:right="-179" w:firstLine="720"/>
        <w:jc w:val="both"/>
        <w:rPr>
          <w:rFonts w:ascii="Times New Roman" w:hAnsi="Times New Roman" w:cs="Times New Roman"/>
          <w:lang w:val="sr-Cyrl-RS"/>
        </w:rPr>
      </w:pPr>
      <w:r w:rsidRPr="00EF2F18">
        <w:rPr>
          <w:rFonts w:ascii="Times New Roman" w:hAnsi="Times New Roman" w:cs="Times New Roman"/>
          <w:b/>
          <w:i/>
          <w:lang w:val="sr-Cyrl-RS"/>
        </w:rPr>
        <w:t>Министарство грађевинарства, саобраћаја и инфраструктуре</w:t>
      </w:r>
      <w:r w:rsidR="006B2F45" w:rsidRPr="00EF2F18">
        <w:rPr>
          <w:rFonts w:ascii="Times New Roman" w:hAnsi="Times New Roman" w:cs="Times New Roman"/>
          <w:b/>
          <w:i/>
          <w:lang w:val="sr-Cyrl-RS"/>
        </w:rPr>
        <w:t xml:space="preserve"> (МГСИ)</w:t>
      </w:r>
      <w:r w:rsidRPr="00EF2F18">
        <w:rPr>
          <w:rFonts w:ascii="Times New Roman" w:hAnsi="Times New Roman" w:cs="Times New Roman"/>
          <w:lang w:val="sr-Cyrl-RS"/>
        </w:rPr>
        <w:t xml:space="preserve"> </w:t>
      </w:r>
    </w:p>
    <w:p w14:paraId="1FB07CBA" w14:textId="5F996181" w:rsidR="00D41CFC" w:rsidRPr="00EF2F18" w:rsidRDefault="00D41CFC" w:rsidP="00D41CFC">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је одговорно за урбанистичко и просторно планирање, издавање грађевинских дозвола, услуге комуналне инфраструктуре, саобраћај (железнички, друмски, водни и ваздушни), водни саобраћај и сигурност пловидбе, унутрашњи, као и транспорт опасне робе. Министарство је одговорно и за инспекцију објеката комуналне инфраструктуре и обављање комуналних делатности. Релевантне надлежности у сектору животне средине су:</w:t>
      </w:r>
    </w:p>
    <w:p w14:paraId="6215E066" w14:textId="02E90CCE" w:rsidR="000803CF" w:rsidRPr="00EF2F18" w:rsidRDefault="000803CF" w:rsidP="00313E8E">
      <w:pPr>
        <w:pStyle w:val="Normal1"/>
        <w:numPr>
          <w:ilvl w:val="0"/>
          <w:numId w:val="39"/>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послове који се односе на комуналну инфраструктуру и комуналне делатности, изузев производње, дистрибуције и снабдевања топлотном енергијом;</w:t>
      </w:r>
    </w:p>
    <w:p w14:paraId="32C09E3E" w14:textId="3D5DDA01" w:rsidR="00D41CFC" w:rsidRPr="00EF2F18" w:rsidRDefault="00D41CFC" w:rsidP="00313E8E">
      <w:pPr>
        <w:pStyle w:val="Normal1"/>
        <w:numPr>
          <w:ilvl w:val="0"/>
          <w:numId w:val="39"/>
        </w:numPr>
        <w:pBdr>
          <w:top w:val="nil"/>
          <w:left w:val="nil"/>
          <w:bottom w:val="nil"/>
          <w:right w:val="nil"/>
          <w:between w:val="nil"/>
        </w:pBdr>
        <w:tabs>
          <w:tab w:val="left" w:pos="426"/>
        </w:tabs>
        <w:spacing w:after="0"/>
        <w:ind w:right="-179"/>
        <w:jc w:val="both"/>
        <w:rPr>
          <w:rFonts w:ascii="Times New Roman" w:hAnsi="Times New Roman" w:cs="Times New Roman"/>
          <w:lang w:val="sr-Cyrl-RS"/>
        </w:rPr>
      </w:pPr>
      <w:r w:rsidRPr="00EF2F18">
        <w:rPr>
          <w:rFonts w:ascii="Times New Roman" w:hAnsi="Times New Roman" w:cs="Times New Roman"/>
          <w:lang w:val="sr-Cyrl-RS"/>
        </w:rPr>
        <w:t>инспекциј</w:t>
      </w:r>
      <w:r w:rsidR="000803CF" w:rsidRPr="00EF2F18">
        <w:rPr>
          <w:rFonts w:ascii="Times New Roman" w:hAnsi="Times New Roman" w:cs="Times New Roman"/>
          <w:lang w:val="sr-Cyrl-RS"/>
        </w:rPr>
        <w:t>ски надзор над објектима комуналне инфраструктуре и комуналних делатности, изузев производње, дистрибуције и снабдевања топлотном</w:t>
      </w:r>
      <w:r w:rsidR="00BE2085" w:rsidRPr="00EF2F18">
        <w:rPr>
          <w:rFonts w:ascii="Times New Roman" w:hAnsi="Times New Roman" w:cs="Times New Roman"/>
          <w:lang w:val="sr-Cyrl-RS"/>
        </w:rPr>
        <w:t xml:space="preserve"> енергијом</w:t>
      </w:r>
      <w:r w:rsidRPr="00EF2F18">
        <w:rPr>
          <w:rFonts w:ascii="Times New Roman" w:hAnsi="Times New Roman" w:cs="Times New Roman"/>
          <w:lang w:val="sr-Cyrl-RS"/>
        </w:rPr>
        <w:t>.</w:t>
      </w:r>
    </w:p>
    <w:p w14:paraId="6225D69D" w14:textId="77777777" w:rsidR="006A7693" w:rsidRPr="00EF2F18" w:rsidRDefault="006A7693" w:rsidP="006A7693">
      <w:pPr>
        <w:pStyle w:val="Normal1"/>
        <w:spacing w:after="0"/>
        <w:jc w:val="both"/>
        <w:rPr>
          <w:rFonts w:ascii="Times New Roman" w:hAnsi="Times New Roman" w:cs="Times New Roman"/>
          <w:b/>
          <w:i/>
          <w:lang w:val="sr-Cyrl-RS"/>
        </w:rPr>
      </w:pPr>
    </w:p>
    <w:p w14:paraId="01E74731" w14:textId="77777777" w:rsidR="00E503F9" w:rsidRPr="00EF2F18" w:rsidRDefault="00E503F9" w:rsidP="00342B1B">
      <w:pPr>
        <w:pStyle w:val="Normal1"/>
        <w:spacing w:after="0"/>
        <w:ind w:right="-179" w:firstLine="720"/>
        <w:jc w:val="both"/>
        <w:rPr>
          <w:rFonts w:ascii="Times New Roman" w:hAnsi="Times New Roman" w:cs="Times New Roman"/>
          <w:b/>
          <w:bCs/>
          <w:i/>
          <w:iCs/>
          <w:lang w:val="sr-Cyrl-RS"/>
        </w:rPr>
      </w:pPr>
      <w:r w:rsidRPr="00EF2F18">
        <w:rPr>
          <w:rFonts w:ascii="Times New Roman" w:hAnsi="Times New Roman" w:cs="Times New Roman"/>
          <w:b/>
          <w:i/>
          <w:lang w:val="sr-Cyrl-RS"/>
        </w:rPr>
        <w:t>Републички геодетски завод</w:t>
      </w:r>
      <w:r w:rsidRPr="00EF2F18">
        <w:rPr>
          <w:rFonts w:ascii="Times New Roman" w:hAnsi="Times New Roman" w:cs="Times New Roman"/>
          <w:lang w:val="sr-Cyrl-RS"/>
        </w:rPr>
        <w:t xml:space="preserve"> </w:t>
      </w:r>
      <w:r w:rsidRPr="00EF2F18">
        <w:rPr>
          <w:rFonts w:ascii="Times New Roman" w:hAnsi="Times New Roman" w:cs="Times New Roman"/>
          <w:b/>
          <w:bCs/>
          <w:i/>
          <w:iCs/>
          <w:lang w:val="sr-Cyrl-RS"/>
        </w:rPr>
        <w:t>(РГЗ)</w:t>
      </w:r>
    </w:p>
    <w:p w14:paraId="7A8430B0" w14:textId="77777777" w:rsidR="000F73A9" w:rsidRPr="00EF2F18" w:rsidRDefault="000F73A9" w:rsidP="000F73A9">
      <w:pPr>
        <w:shd w:val="clear" w:color="auto" w:fill="FFFFFF"/>
        <w:spacing w:after="0"/>
        <w:ind w:firstLine="720"/>
        <w:jc w:val="both"/>
        <w:rPr>
          <w:rFonts w:eastAsia="Times New Roman" w:cs="Times New Roman"/>
          <w:sz w:val="22"/>
          <w:lang w:val="sr-Cyrl-RS" w:eastAsia="en-GB"/>
        </w:rPr>
      </w:pPr>
      <w:r w:rsidRPr="00EF2F18">
        <w:rPr>
          <w:rFonts w:eastAsia="Times New Roman" w:cs="Times New Roman"/>
          <w:sz w:val="22"/>
          <w:lang w:val="sr-Cyrl-RS" w:eastAsia="en-GB"/>
        </w:rPr>
        <w:t>Републички геодетски завод је посебна организација која обавља стручне и оперативне геодетске послове, послове државног премера и катастра, као и послове управљања свим геопросторним подацима на националном нивоу, који обухватају следеће:</w:t>
      </w:r>
    </w:p>
    <w:p w14:paraId="3C4CD576" w14:textId="086FA032" w:rsidR="000F73A9" w:rsidRPr="00EF2F18" w:rsidRDefault="000F73A9" w:rsidP="00313E8E">
      <w:pPr>
        <w:numPr>
          <w:ilvl w:val="0"/>
          <w:numId w:val="35"/>
        </w:numPr>
        <w:shd w:val="clear" w:color="auto" w:fill="FFFFFF"/>
        <w:spacing w:after="0"/>
        <w:rPr>
          <w:rFonts w:eastAsia="Times New Roman" w:cs="Times New Roman"/>
          <w:sz w:val="22"/>
          <w:lang w:val="sr-Cyrl-RS" w:eastAsia="en-GB"/>
        </w:rPr>
      </w:pPr>
      <w:r w:rsidRPr="00EF2F18">
        <w:rPr>
          <w:rFonts w:eastAsia="Times New Roman" w:cs="Times New Roman"/>
          <w:sz w:val="22"/>
          <w:lang w:val="sr-Cyrl-RS" w:eastAsia="en-GB"/>
        </w:rPr>
        <w:t>основне геодетске радове</w:t>
      </w:r>
      <w:r w:rsidR="00930B91" w:rsidRPr="00EF2F18">
        <w:rPr>
          <w:rFonts w:eastAsia="Times New Roman" w:cs="Times New Roman"/>
          <w:sz w:val="22"/>
          <w:lang w:val="sr-Cyrl-RS" w:eastAsia="en-GB"/>
        </w:rPr>
        <w:t>;</w:t>
      </w:r>
    </w:p>
    <w:p w14:paraId="6AA5DDB7" w14:textId="3AF0F55C"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катастарски и комасациони премер</w:t>
      </w:r>
      <w:r w:rsidR="00930B91" w:rsidRPr="00EF2F18">
        <w:rPr>
          <w:rFonts w:eastAsia="Times New Roman" w:cs="Times New Roman"/>
          <w:sz w:val="22"/>
          <w:lang w:val="sr-Cyrl-RS" w:eastAsia="en-GB"/>
        </w:rPr>
        <w:t>;</w:t>
      </w:r>
    </w:p>
    <w:p w14:paraId="7837AB1D" w14:textId="2AF7F1EA"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успостављање и одржавање Катастра непокретности и Катастра инфраструктурних и подземних објеката</w:t>
      </w:r>
      <w:r w:rsidR="00930B91" w:rsidRPr="00EF2F18">
        <w:rPr>
          <w:rFonts w:eastAsia="Times New Roman" w:cs="Times New Roman"/>
          <w:sz w:val="22"/>
          <w:lang w:val="sr-Cyrl-RS" w:eastAsia="en-GB"/>
        </w:rPr>
        <w:t>;</w:t>
      </w:r>
    </w:p>
    <w:p w14:paraId="0AAC7E7C" w14:textId="2049101C"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стручни и инспекцијски надзор над радом</w:t>
      </w:r>
      <w:r w:rsidR="00FA7222" w:rsidRPr="00EF2F18">
        <w:rPr>
          <w:rFonts w:eastAsia="Times New Roman" w:cs="Times New Roman"/>
          <w:sz w:val="22"/>
          <w:lang w:val="sr-Cyrl-RS" w:eastAsia="en-GB"/>
        </w:rPr>
        <w:t xml:space="preserve"> </w:t>
      </w:r>
      <w:r w:rsidRPr="00EF2F18">
        <w:rPr>
          <w:rFonts w:eastAsia="Times New Roman" w:cs="Times New Roman"/>
          <w:sz w:val="22"/>
          <w:lang w:val="sr-Cyrl-RS" w:eastAsia="en-GB"/>
        </w:rPr>
        <w:t>геодетских организација</w:t>
      </w:r>
      <w:r w:rsidR="00930B91" w:rsidRPr="00EF2F18">
        <w:rPr>
          <w:rFonts w:eastAsia="Times New Roman" w:cs="Times New Roman"/>
          <w:sz w:val="22"/>
          <w:lang w:val="sr-Cyrl-RS" w:eastAsia="en-GB"/>
        </w:rPr>
        <w:t>;</w:t>
      </w:r>
    </w:p>
    <w:p w14:paraId="167D13C5" w14:textId="49657DEE"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издавање и одузимање лиценце за рад геодетске организације и геодетских лиценци</w:t>
      </w:r>
      <w:r w:rsidR="00930B91" w:rsidRPr="00EF2F18">
        <w:rPr>
          <w:rFonts w:eastAsia="Times New Roman" w:cs="Times New Roman"/>
          <w:sz w:val="22"/>
          <w:lang w:val="sr-Cyrl-RS" w:eastAsia="en-GB"/>
        </w:rPr>
        <w:t>;</w:t>
      </w:r>
    </w:p>
    <w:p w14:paraId="576C334C" w14:textId="65830B58"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издавање и одузимање овлашћења за снимање из ваздушног простора територије Републике Србије за потребе државног премера</w:t>
      </w:r>
      <w:r w:rsidR="00930B91" w:rsidRPr="00EF2F18">
        <w:rPr>
          <w:rFonts w:eastAsia="Times New Roman" w:cs="Times New Roman"/>
          <w:sz w:val="22"/>
          <w:lang w:val="sr-Cyrl-RS" w:eastAsia="en-GB"/>
        </w:rPr>
        <w:t>;</w:t>
      </w:r>
    </w:p>
    <w:p w14:paraId="6CF8D66E" w14:textId="4481CF39"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успостављање и одржавање Адресни регистар</w:t>
      </w:r>
      <w:r w:rsidR="00930B91" w:rsidRPr="00EF2F18">
        <w:rPr>
          <w:rFonts w:eastAsia="Times New Roman" w:cs="Times New Roman"/>
          <w:sz w:val="22"/>
          <w:lang w:val="sr-Cyrl-RS" w:eastAsia="en-GB"/>
        </w:rPr>
        <w:t>;</w:t>
      </w:r>
    </w:p>
    <w:p w14:paraId="2147226A" w14:textId="624F9C69"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успостављање и одржавање Регистра просторних јединица</w:t>
      </w:r>
      <w:r w:rsidR="00930B91" w:rsidRPr="00EF2F18">
        <w:rPr>
          <w:rFonts w:eastAsia="Times New Roman" w:cs="Times New Roman"/>
          <w:sz w:val="22"/>
          <w:lang w:val="sr-Cyrl-RS" w:eastAsia="en-GB"/>
        </w:rPr>
        <w:t>;</w:t>
      </w:r>
    </w:p>
    <w:p w14:paraId="40FFF813" w14:textId="4B876515"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премер државне границе и вођење Регистра државне границе</w:t>
      </w:r>
      <w:r w:rsidR="00930B91" w:rsidRPr="00EF2F18">
        <w:rPr>
          <w:rFonts w:eastAsia="Times New Roman" w:cs="Times New Roman"/>
          <w:sz w:val="22"/>
          <w:lang w:val="sr-Cyrl-RS" w:eastAsia="en-GB"/>
        </w:rPr>
        <w:t>;</w:t>
      </w:r>
    </w:p>
    <w:p w14:paraId="36DCDA41" w14:textId="2A6BF25A"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катастарско класирање и бонитирање земљишта</w:t>
      </w:r>
      <w:r w:rsidR="00930B91" w:rsidRPr="00EF2F18">
        <w:rPr>
          <w:rFonts w:eastAsia="Times New Roman" w:cs="Times New Roman"/>
          <w:sz w:val="22"/>
          <w:lang w:val="sr-Cyrl-RS" w:eastAsia="en-GB"/>
        </w:rPr>
        <w:t>;</w:t>
      </w:r>
    </w:p>
    <w:p w14:paraId="51ADB1ED" w14:textId="0CCCF5B5"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процену и вођење вредности непокретности</w:t>
      </w:r>
      <w:r w:rsidR="00930B91" w:rsidRPr="00EF2F18">
        <w:rPr>
          <w:rFonts w:eastAsia="Times New Roman" w:cs="Times New Roman"/>
          <w:sz w:val="22"/>
          <w:lang w:val="sr-Cyrl-RS" w:eastAsia="en-GB"/>
        </w:rPr>
        <w:t>;</w:t>
      </w:r>
    </w:p>
    <w:p w14:paraId="0F8FA16D" w14:textId="77777777"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даљинску детекцију, топографски премер и топографско-картографску делатност</w:t>
      </w:r>
    </w:p>
    <w:p w14:paraId="14307B49" w14:textId="1B9254F8"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lastRenderedPageBreak/>
        <w:t>издавање картографских и других публикација и давање сагласности за издавање картографских публикација</w:t>
      </w:r>
      <w:r w:rsidR="00930B91" w:rsidRPr="00EF2F18">
        <w:rPr>
          <w:rFonts w:eastAsia="Times New Roman" w:cs="Times New Roman"/>
          <w:sz w:val="22"/>
          <w:lang w:val="sr-Cyrl-RS" w:eastAsia="en-GB"/>
        </w:rPr>
        <w:t>;</w:t>
      </w:r>
    </w:p>
    <w:p w14:paraId="22F66B33" w14:textId="3BB6AC2A"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успостављање и одржавање Регистра географских имена</w:t>
      </w:r>
      <w:r w:rsidR="00930B91" w:rsidRPr="00EF2F18">
        <w:rPr>
          <w:rFonts w:eastAsia="Times New Roman" w:cs="Times New Roman"/>
          <w:sz w:val="22"/>
          <w:lang w:val="sr-Cyrl-RS" w:eastAsia="en-GB"/>
        </w:rPr>
        <w:t>;</w:t>
      </w:r>
    </w:p>
    <w:p w14:paraId="627B4889" w14:textId="77777777"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одржавање и располагање геодетско-катастарским информационим системом</w:t>
      </w:r>
    </w:p>
    <w:p w14:paraId="2E9A94C6" w14:textId="413119AE"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вођење архива</w:t>
      </w:r>
      <w:r w:rsidR="00930B91" w:rsidRPr="00EF2F18">
        <w:rPr>
          <w:rFonts w:eastAsia="Times New Roman" w:cs="Times New Roman"/>
          <w:sz w:val="22"/>
          <w:lang w:val="sr-Cyrl-RS" w:eastAsia="en-GB"/>
        </w:rPr>
        <w:t>;</w:t>
      </w:r>
      <w:r w:rsidRPr="00EF2F18">
        <w:rPr>
          <w:rFonts w:eastAsia="Times New Roman" w:cs="Times New Roman"/>
          <w:sz w:val="22"/>
          <w:lang w:val="sr-Cyrl-RS" w:eastAsia="en-GB"/>
        </w:rPr>
        <w:t xml:space="preserve"> </w:t>
      </w:r>
    </w:p>
    <w:p w14:paraId="7B4A4412" w14:textId="28E19EE5"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одржавање Националне инфраструктуре геопросторних података</w:t>
      </w:r>
      <w:r w:rsidR="00930B91" w:rsidRPr="00EF2F18">
        <w:rPr>
          <w:rFonts w:eastAsia="Times New Roman" w:cs="Times New Roman"/>
          <w:sz w:val="22"/>
          <w:lang w:val="sr-Cyrl-RS" w:eastAsia="en-GB"/>
        </w:rPr>
        <w:t>;</w:t>
      </w:r>
    </w:p>
    <w:p w14:paraId="6B226611" w14:textId="4F33F971" w:rsidR="000F73A9" w:rsidRPr="00EF2F18" w:rsidRDefault="000F73A9" w:rsidP="00313E8E">
      <w:pPr>
        <w:numPr>
          <w:ilvl w:val="0"/>
          <w:numId w:val="35"/>
        </w:numPr>
        <w:shd w:val="clear" w:color="auto" w:fill="FFFFFF"/>
        <w:spacing w:before="100" w:beforeAutospacing="1" w:after="100" w:afterAutospacing="1"/>
        <w:rPr>
          <w:rFonts w:eastAsia="Times New Roman" w:cs="Times New Roman"/>
          <w:sz w:val="22"/>
          <w:lang w:val="sr-Cyrl-RS" w:eastAsia="en-GB"/>
        </w:rPr>
      </w:pPr>
      <w:r w:rsidRPr="00EF2F18">
        <w:rPr>
          <w:rFonts w:eastAsia="Times New Roman" w:cs="Times New Roman"/>
          <w:sz w:val="22"/>
          <w:lang w:val="sr-Cyrl-RS" w:eastAsia="en-GB"/>
        </w:rPr>
        <w:t>пружање услуга у оквиру пројеката међународне сарадње</w:t>
      </w:r>
      <w:r w:rsidR="00930B91" w:rsidRPr="00EF2F18">
        <w:rPr>
          <w:rFonts w:eastAsia="Times New Roman" w:cs="Times New Roman"/>
          <w:sz w:val="22"/>
          <w:lang w:val="sr-Cyrl-RS" w:eastAsia="en-GB"/>
        </w:rPr>
        <w:t>;</w:t>
      </w:r>
    </w:p>
    <w:p w14:paraId="341963E5" w14:textId="3815A52B" w:rsidR="004E5BE0" w:rsidRPr="002D380B" w:rsidRDefault="000F73A9" w:rsidP="006A7693">
      <w:pPr>
        <w:pStyle w:val="Normal1"/>
        <w:numPr>
          <w:ilvl w:val="0"/>
          <w:numId w:val="35"/>
        </w:numPr>
        <w:pBdr>
          <w:top w:val="nil"/>
          <w:left w:val="nil"/>
          <w:bottom w:val="nil"/>
          <w:right w:val="nil"/>
          <w:between w:val="nil"/>
        </w:pBdr>
        <w:spacing w:after="0"/>
        <w:ind w:right="-179"/>
        <w:jc w:val="both"/>
        <w:rPr>
          <w:rFonts w:ascii="Times New Roman" w:hAnsi="Times New Roman" w:cs="Times New Roman"/>
          <w:lang w:val="sr-Cyrl-RS"/>
        </w:rPr>
      </w:pPr>
      <w:r w:rsidRPr="00EF2F18">
        <w:rPr>
          <w:rFonts w:ascii="Times New Roman" w:eastAsia="Times New Roman" w:hAnsi="Times New Roman" w:cs="Times New Roman"/>
          <w:lang w:val="sr-Cyrl-RS" w:eastAsia="en-GB"/>
        </w:rPr>
        <w:t>геомагнетизам и ареномију.</w:t>
      </w:r>
    </w:p>
    <w:p w14:paraId="7BA180B8" w14:textId="77777777" w:rsidR="004E5BE0" w:rsidRPr="00EF2F18" w:rsidRDefault="004E5BE0" w:rsidP="006A7693">
      <w:pPr>
        <w:pStyle w:val="Normal1"/>
        <w:spacing w:after="0"/>
        <w:jc w:val="both"/>
        <w:rPr>
          <w:rFonts w:ascii="Times New Roman" w:hAnsi="Times New Roman" w:cs="Times New Roman"/>
          <w:b/>
          <w:i/>
          <w:lang w:val="sr-Cyrl-RS"/>
        </w:rPr>
      </w:pPr>
    </w:p>
    <w:p w14:paraId="22838DE3" w14:textId="1E2CE80B" w:rsidR="00D41CFC" w:rsidRPr="00EF2F18" w:rsidRDefault="00D41CFC"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Министарство рударства и енергетике</w:t>
      </w:r>
      <w:r w:rsidR="006B2F45" w:rsidRPr="00EF2F18">
        <w:rPr>
          <w:rFonts w:ascii="Times New Roman" w:hAnsi="Times New Roman" w:cs="Times New Roman"/>
          <w:b/>
          <w:i/>
          <w:lang w:val="sr-Cyrl-RS"/>
        </w:rPr>
        <w:t xml:space="preserve"> (МРЕ)</w:t>
      </w:r>
    </w:p>
    <w:p w14:paraId="579349C1" w14:textId="5481259D" w:rsidR="00D41CFC" w:rsidRPr="00EF2F18" w:rsidRDefault="00D41CFC" w:rsidP="00F754D2">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је одговорно за рударство, стратегију и политику развоја рударства, енергетику, енергетску политику и планирање енергетског развоја у областима електричне енергије, природног гаса, нафте и нафтних деривата, енергетског биланса Републике Србије. Релевантне надлежности у сектору животне средине су:</w:t>
      </w:r>
    </w:p>
    <w:p w14:paraId="488150F2" w14:textId="77777777"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рационално коришћење енергије и енергетска ефикасност; </w:t>
      </w:r>
    </w:p>
    <w:p w14:paraId="240B39F8" w14:textId="77777777"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обновљиви извори енергије;</w:t>
      </w:r>
    </w:p>
    <w:p w14:paraId="5DBBA1B4" w14:textId="5EC59293"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заштита животне средине и климатске промене у области енергетике</w:t>
      </w:r>
      <w:r w:rsidR="00175803" w:rsidRPr="00EF2F18">
        <w:rPr>
          <w:rFonts w:ascii="Times New Roman" w:hAnsi="Times New Roman" w:cs="Times New Roman"/>
          <w:lang w:val="sr-Cyrl-RS"/>
        </w:rPr>
        <w:t xml:space="preserve"> и рударства</w:t>
      </w:r>
      <w:r w:rsidRPr="00EF2F18">
        <w:rPr>
          <w:rFonts w:ascii="Times New Roman" w:hAnsi="Times New Roman" w:cs="Times New Roman"/>
          <w:lang w:val="sr-Cyrl-RS"/>
        </w:rPr>
        <w:t xml:space="preserve">; </w:t>
      </w:r>
    </w:p>
    <w:p w14:paraId="02376297" w14:textId="77777777"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координација активности везаних за енергетске инвестиције; </w:t>
      </w:r>
    </w:p>
    <w:p w14:paraId="21CDF96C" w14:textId="77777777"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инспекцијски надзор у области енергетике; </w:t>
      </w:r>
    </w:p>
    <w:p w14:paraId="75E67169" w14:textId="33F0B97C" w:rsidR="00D41CFC" w:rsidRPr="00EF2F18" w:rsidRDefault="0077598B"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Pr>
          <w:rFonts w:ascii="Times New Roman" w:hAnsi="Times New Roman" w:cs="Times New Roman"/>
          <w:lang w:val="sr-Cyrl-RS"/>
        </w:rPr>
        <w:t>други послови утврђен</w:t>
      </w:r>
      <w:r w:rsidR="00D41CFC" w:rsidRPr="00EF2F18">
        <w:rPr>
          <w:rFonts w:ascii="Times New Roman" w:hAnsi="Times New Roman" w:cs="Times New Roman"/>
          <w:lang w:val="sr-Cyrl-RS"/>
        </w:rPr>
        <w:t xml:space="preserve">и законом; </w:t>
      </w:r>
    </w:p>
    <w:p w14:paraId="2499BD6F" w14:textId="77777777"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доношење релевантних прописа који се односе на управљање отпадом из екстрактивне индустрије, којим ће се утврдити услови, критеријуми, поступак и начин одлагања, управљања и категоризације отпада из рударских делатности, као и </w:t>
      </w:r>
    </w:p>
    <w:p w14:paraId="39052191" w14:textId="437511CE" w:rsidR="00D41CFC" w:rsidRPr="00EF2F18" w:rsidRDefault="00D41CFC"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извештавање о отпаду из рударских делатности</w:t>
      </w:r>
      <w:r w:rsidR="00930B91" w:rsidRPr="00EF2F18">
        <w:rPr>
          <w:rFonts w:ascii="Times New Roman" w:eastAsia="Times New Roman" w:hAnsi="Times New Roman" w:cs="Times New Roman"/>
          <w:lang w:val="sr-Cyrl-RS" w:eastAsia="en-GB"/>
        </w:rPr>
        <w:t>;</w:t>
      </w:r>
      <w:r w:rsidR="005E42D2" w:rsidRPr="00EF2F18">
        <w:rPr>
          <w:rFonts w:ascii="Times New Roman" w:hAnsi="Times New Roman" w:cs="Times New Roman"/>
          <w:lang w:val="sr-Cyrl-RS"/>
        </w:rPr>
        <w:t xml:space="preserve"> </w:t>
      </w:r>
    </w:p>
    <w:p w14:paraId="5F814826" w14:textId="5B143401" w:rsidR="00D611D8" w:rsidRPr="00EF2F18" w:rsidRDefault="00D611D8" w:rsidP="00313E8E">
      <w:pPr>
        <w:pStyle w:val="Normal1"/>
        <w:numPr>
          <w:ilvl w:val="0"/>
          <w:numId w:val="40"/>
        </w:numPr>
        <w:pBdr>
          <w:top w:val="nil"/>
          <w:left w:val="nil"/>
          <w:bottom w:val="nil"/>
          <w:right w:val="nil"/>
          <w:between w:val="nil"/>
        </w:pBdr>
        <w:tabs>
          <w:tab w:val="left" w:pos="567"/>
        </w:tabs>
        <w:spacing w:after="0"/>
        <w:jc w:val="both"/>
        <w:rPr>
          <w:rFonts w:ascii="Times New Roman" w:hAnsi="Times New Roman" w:cs="Times New Roman"/>
          <w:lang w:val="sr-Cyrl-RS"/>
        </w:rPr>
      </w:pPr>
      <w:r w:rsidRPr="00EF2F18">
        <w:rPr>
          <w:rFonts w:ascii="Times New Roman" w:hAnsi="Times New Roman" w:cs="Times New Roman"/>
          <w:lang w:val="sr-Cyrl-RS"/>
        </w:rPr>
        <w:t>геолошка истраживања и експлоатациј</w:t>
      </w:r>
      <w:r w:rsidR="00DE4363" w:rsidRPr="00EF2F18">
        <w:rPr>
          <w:rFonts w:ascii="Times New Roman" w:hAnsi="Times New Roman" w:cs="Times New Roman"/>
          <w:lang w:val="sr-Cyrl-RS"/>
        </w:rPr>
        <w:t>а</w:t>
      </w:r>
      <w:r w:rsidRPr="00EF2F18">
        <w:rPr>
          <w:rFonts w:ascii="Times New Roman" w:hAnsi="Times New Roman" w:cs="Times New Roman"/>
          <w:lang w:val="sr-Cyrl-RS"/>
        </w:rPr>
        <w:t xml:space="preserve"> минералних сировина</w:t>
      </w:r>
      <w:r w:rsidR="00DE4363" w:rsidRPr="00EF2F18">
        <w:rPr>
          <w:rFonts w:ascii="Times New Roman" w:hAnsi="Times New Roman" w:cs="Times New Roman"/>
          <w:lang w:val="sr-Cyrl-RS"/>
        </w:rPr>
        <w:t>,</w:t>
      </w:r>
      <w:r w:rsidRPr="00EF2F18">
        <w:rPr>
          <w:rFonts w:ascii="Times New Roman" w:hAnsi="Times New Roman" w:cs="Times New Roman"/>
          <w:lang w:val="sr-Cyrl-RS"/>
        </w:rPr>
        <w:t xml:space="preserve"> а посебно подземних вода, што обухвата израду биланса подземних вода и геотермалних ресурса.</w:t>
      </w:r>
    </w:p>
    <w:p w14:paraId="4FF4195F" w14:textId="77777777" w:rsidR="006A7693" w:rsidRPr="00EF2F18" w:rsidRDefault="006A7693" w:rsidP="006A7693">
      <w:pPr>
        <w:pStyle w:val="Normal1"/>
        <w:spacing w:after="0"/>
        <w:jc w:val="both"/>
        <w:rPr>
          <w:rFonts w:ascii="Times New Roman" w:hAnsi="Times New Roman" w:cs="Times New Roman"/>
          <w:b/>
          <w:i/>
          <w:lang w:val="sr-Cyrl-RS"/>
        </w:rPr>
      </w:pPr>
    </w:p>
    <w:p w14:paraId="14E59424" w14:textId="7526E773" w:rsidR="00D41CFC" w:rsidRPr="00EF2F18" w:rsidRDefault="00D41CFC" w:rsidP="00342B1B">
      <w:pPr>
        <w:pStyle w:val="Normal1"/>
        <w:spacing w:after="0"/>
        <w:ind w:firstLine="720"/>
        <w:jc w:val="both"/>
        <w:rPr>
          <w:rFonts w:ascii="Times New Roman" w:hAnsi="Times New Roman" w:cs="Times New Roman"/>
          <w:lang w:val="sr-Cyrl-RS"/>
        </w:rPr>
      </w:pPr>
      <w:r w:rsidRPr="00EF2F18">
        <w:rPr>
          <w:rFonts w:ascii="Times New Roman" w:hAnsi="Times New Roman" w:cs="Times New Roman"/>
          <w:b/>
          <w:i/>
          <w:lang w:val="sr-Cyrl-RS"/>
        </w:rPr>
        <w:t>Министарство за европске интеграције</w:t>
      </w:r>
      <w:r w:rsidRPr="00EF2F18">
        <w:rPr>
          <w:rFonts w:ascii="Times New Roman" w:hAnsi="Times New Roman" w:cs="Times New Roman"/>
          <w:lang w:val="sr-Cyrl-RS"/>
        </w:rPr>
        <w:t xml:space="preserve"> </w:t>
      </w:r>
      <w:r w:rsidR="006B2F45" w:rsidRPr="00EF2F18">
        <w:rPr>
          <w:rFonts w:ascii="Times New Roman" w:hAnsi="Times New Roman" w:cs="Times New Roman"/>
          <w:b/>
          <w:bCs/>
          <w:i/>
          <w:iCs/>
          <w:lang w:val="sr-Cyrl-RS"/>
        </w:rPr>
        <w:t>(МЕИ)</w:t>
      </w:r>
    </w:p>
    <w:p w14:paraId="4670E219" w14:textId="50D79973" w:rsidR="00D41CFC" w:rsidRPr="00EF2F18" w:rsidRDefault="00D41CFC"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за европске интеграције је одговорно за: координацију и праћење и извештавање о процесу приступања Европској унији; усмеравање рада Преговарачког тима за приступање Републике Србије </w:t>
      </w:r>
      <w:r w:rsidR="0057192F" w:rsidRPr="00EF2F18">
        <w:rPr>
          <w:rFonts w:ascii="Times New Roman" w:hAnsi="Times New Roman" w:cs="Times New Roman"/>
          <w:lang w:val="sr-Cyrl-RS"/>
        </w:rPr>
        <w:t>Европској унији</w:t>
      </w:r>
      <w:r w:rsidRPr="00EF2F18">
        <w:rPr>
          <w:rFonts w:ascii="Times New Roman" w:hAnsi="Times New Roman" w:cs="Times New Roman"/>
          <w:lang w:val="sr-Cyrl-RS"/>
        </w:rPr>
        <w:t>; координацију припреме стратешких докумената у вези са процесом приступања Европској унији; пружање помоћи министарствима и посебним организацијама у усклађивању прописа са прописима ЕУ; координацију међународне донаторске помоћи за финансирање из фондова ЕУ и других извора; као и друге активности у области приступања Европској унији. Ове опште надлежности покривају сектор животне средине у целини.</w:t>
      </w:r>
    </w:p>
    <w:p w14:paraId="20DE4481" w14:textId="77777777" w:rsidR="006A7693" w:rsidRPr="00EF2F18" w:rsidRDefault="006A7693" w:rsidP="006A7693">
      <w:pPr>
        <w:pStyle w:val="Normal1"/>
        <w:spacing w:after="0"/>
        <w:jc w:val="both"/>
        <w:rPr>
          <w:rFonts w:ascii="Times New Roman" w:hAnsi="Times New Roman" w:cs="Times New Roman"/>
          <w:b/>
          <w:i/>
          <w:lang w:val="sr-Cyrl-RS"/>
        </w:rPr>
      </w:pPr>
    </w:p>
    <w:p w14:paraId="739EBBAF" w14:textId="41EFB12C" w:rsidR="00D41CFC" w:rsidRPr="00EF2F18" w:rsidRDefault="00D41CFC"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 xml:space="preserve">Министарство унутрашњих послова (МУП) </w:t>
      </w:r>
    </w:p>
    <w:p w14:paraId="47C9A974" w14:textId="5554F56C" w:rsidR="00D41CFC" w:rsidRPr="00EF2F18" w:rsidRDefault="00342B1B"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унутрашњих послова</w:t>
      </w:r>
      <w:r w:rsidR="00D41CFC" w:rsidRPr="00EF2F18">
        <w:rPr>
          <w:rFonts w:ascii="Times New Roman" w:hAnsi="Times New Roman" w:cs="Times New Roman"/>
          <w:b/>
          <w:i/>
          <w:lang w:val="sr-Cyrl-RS"/>
        </w:rPr>
        <w:t xml:space="preserve"> </w:t>
      </w:r>
      <w:r w:rsidR="00D41CFC" w:rsidRPr="00EF2F18">
        <w:rPr>
          <w:rFonts w:ascii="Times New Roman" w:hAnsi="Times New Roman" w:cs="Times New Roman"/>
          <w:lang w:val="sr-Cyrl-RS"/>
        </w:rPr>
        <w:t>обавља</w:t>
      </w:r>
      <w:r w:rsidR="00237CD7" w:rsidRPr="00EF2F18">
        <w:rPr>
          <w:rFonts w:ascii="Times New Roman" w:hAnsi="Times New Roman" w:cs="Times New Roman"/>
          <w:lang w:val="sr-Cyrl-RS"/>
        </w:rPr>
        <w:t xml:space="preserve"> следеће</w:t>
      </w:r>
      <w:r w:rsidR="00D41CFC" w:rsidRPr="00EF2F18">
        <w:rPr>
          <w:rFonts w:ascii="Times New Roman" w:hAnsi="Times New Roman" w:cs="Times New Roman"/>
          <w:lang w:val="sr-Cyrl-RS"/>
        </w:rPr>
        <w:t xml:space="preserve"> послове државне управе који се односе на</w:t>
      </w:r>
      <w:r w:rsidR="00237CD7" w:rsidRPr="00EF2F18">
        <w:rPr>
          <w:rFonts w:ascii="Times New Roman" w:hAnsi="Times New Roman" w:cs="Times New Roman"/>
          <w:lang w:val="sr-Cyrl-RS"/>
        </w:rPr>
        <w:t xml:space="preserve"> сектор животне средине</w:t>
      </w:r>
      <w:r w:rsidR="00D41CFC" w:rsidRPr="00EF2F18">
        <w:rPr>
          <w:rFonts w:ascii="Times New Roman" w:hAnsi="Times New Roman" w:cs="Times New Roman"/>
          <w:lang w:val="sr-Cyrl-RS"/>
        </w:rPr>
        <w:t xml:space="preserve">: </w:t>
      </w:r>
    </w:p>
    <w:p w14:paraId="1E76A1CE" w14:textId="49A5F0DB" w:rsidR="00D41CFC" w:rsidRPr="00EF2F18" w:rsidRDefault="00D41CFC" w:rsidP="00313E8E">
      <w:pPr>
        <w:pStyle w:val="Normal1"/>
        <w:numPr>
          <w:ilvl w:val="0"/>
          <w:numId w:val="41"/>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одјаву моторних и прикључних возила, уписаних у јединствени регистар возила;</w:t>
      </w:r>
    </w:p>
    <w:p w14:paraId="482A2D6F" w14:textId="01F5C842" w:rsidR="00D41CFC" w:rsidRPr="00EF2F18" w:rsidRDefault="00D41CFC" w:rsidP="00313E8E">
      <w:pPr>
        <w:pStyle w:val="Normal1"/>
        <w:numPr>
          <w:ilvl w:val="0"/>
          <w:numId w:val="41"/>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безбедност, регулисање и контролу саобраћаја на путевима;</w:t>
      </w:r>
    </w:p>
    <w:p w14:paraId="151DCDC0" w14:textId="77777777" w:rsidR="00D41CFC" w:rsidRPr="00EF2F18" w:rsidRDefault="00D41CFC" w:rsidP="00313E8E">
      <w:pPr>
        <w:pStyle w:val="Normal1"/>
        <w:numPr>
          <w:ilvl w:val="0"/>
          <w:numId w:val="41"/>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обављање граничних провера лица и возила – Управа граничне полиције;</w:t>
      </w:r>
    </w:p>
    <w:p w14:paraId="336AEABC" w14:textId="4D6352EF" w:rsidR="00D41CFC" w:rsidRPr="00EF2F18" w:rsidRDefault="00D41CFC" w:rsidP="00313E8E">
      <w:pPr>
        <w:pStyle w:val="Normal1"/>
        <w:numPr>
          <w:ilvl w:val="0"/>
          <w:numId w:val="41"/>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организовање и спровођење мера заштите и спасавања људи, материјалних и културних добара и животне средине од елементарних непогода, техничко-технолошких несрећа – удеса и катастрофа и других већих несрећа (</w:t>
      </w:r>
      <w:r w:rsidRPr="00EF2F18">
        <w:rPr>
          <w:rFonts w:ascii="Times New Roman" w:hAnsi="Times New Roman" w:cs="Times New Roman"/>
          <w:bCs/>
          <w:iCs/>
          <w:lang w:val="sr-Cyrl-RS"/>
        </w:rPr>
        <w:t>Сектор за ванредне ситуације);</w:t>
      </w:r>
    </w:p>
    <w:p w14:paraId="1903B4F1" w14:textId="77777777" w:rsidR="007378D5" w:rsidRPr="00EF2F18" w:rsidRDefault="00D41CFC" w:rsidP="00313E8E">
      <w:pPr>
        <w:pStyle w:val="Normal1"/>
        <w:numPr>
          <w:ilvl w:val="0"/>
          <w:numId w:val="30"/>
        </w:numPr>
        <w:pBdr>
          <w:top w:val="nil"/>
          <w:left w:val="nil"/>
          <w:bottom w:val="nil"/>
          <w:right w:val="nil"/>
          <w:between w:val="nil"/>
        </w:pBdr>
        <w:tabs>
          <w:tab w:val="left" w:pos="426"/>
          <w:tab w:val="left" w:pos="1080"/>
        </w:tabs>
        <w:spacing w:after="0"/>
        <w:ind w:left="1080"/>
        <w:jc w:val="both"/>
        <w:rPr>
          <w:rFonts w:ascii="Times New Roman" w:hAnsi="Times New Roman" w:cs="Times New Roman"/>
          <w:b/>
          <w:i/>
          <w:lang w:val="sr-Cyrl-RS"/>
        </w:rPr>
      </w:pPr>
      <w:r w:rsidRPr="00EF2F18">
        <w:rPr>
          <w:rFonts w:ascii="Times New Roman" w:hAnsi="Times New Roman" w:cs="Times New Roman"/>
          <w:lang w:val="sr-Cyrl-RS"/>
        </w:rPr>
        <w:t>превенцију и реаговање у хитним случајевима (</w:t>
      </w:r>
      <w:r w:rsidRPr="00EF2F18">
        <w:rPr>
          <w:rFonts w:ascii="Times New Roman" w:hAnsi="Times New Roman" w:cs="Times New Roman"/>
          <w:bCs/>
          <w:iCs/>
          <w:lang w:val="sr-Cyrl-RS"/>
        </w:rPr>
        <w:t>Сектор за ванредне ситуације</w:t>
      </w:r>
      <w:r w:rsidRPr="00EF2F18">
        <w:rPr>
          <w:rFonts w:ascii="Times New Roman" w:hAnsi="Times New Roman" w:cs="Times New Roman"/>
          <w:lang w:val="sr-Cyrl-RS"/>
        </w:rPr>
        <w:t>):</w:t>
      </w:r>
      <w:r w:rsidR="00B50D91" w:rsidRPr="00EF2F18">
        <w:rPr>
          <w:rFonts w:ascii="Times New Roman" w:hAnsi="Times New Roman" w:cs="Times New Roman"/>
          <w:lang w:val="sr-Cyrl-RS"/>
        </w:rPr>
        <w:t xml:space="preserve"> </w:t>
      </w:r>
      <w:r w:rsidRPr="00EF2F18">
        <w:rPr>
          <w:rFonts w:ascii="Times New Roman" w:hAnsi="Times New Roman" w:cs="Times New Roman"/>
          <w:lang w:val="sr-Cyrl-RS"/>
        </w:rPr>
        <w:t>елементарне непогоде</w:t>
      </w:r>
      <w:r w:rsidR="005E42D2" w:rsidRPr="00EF2F18">
        <w:rPr>
          <w:rFonts w:ascii="Times New Roman" w:hAnsi="Times New Roman" w:cs="Times New Roman"/>
          <w:lang w:val="sr-Cyrl-RS"/>
        </w:rPr>
        <w:t xml:space="preserve"> </w:t>
      </w:r>
      <w:r w:rsidR="00B50D91" w:rsidRPr="00EF2F18">
        <w:rPr>
          <w:rFonts w:ascii="Times New Roman" w:hAnsi="Times New Roman" w:cs="Times New Roman"/>
          <w:lang w:val="sr-Cyrl-RS"/>
        </w:rPr>
        <w:t xml:space="preserve">и </w:t>
      </w:r>
      <w:r w:rsidRPr="00EF2F18">
        <w:rPr>
          <w:rFonts w:ascii="Times New Roman" w:hAnsi="Times New Roman" w:cs="Times New Roman"/>
          <w:lang w:val="sr-Cyrl-RS"/>
        </w:rPr>
        <w:t xml:space="preserve">појаве хидролошког, метеоролошког, геолошког </w:t>
      </w:r>
      <w:r w:rsidR="00F26C75" w:rsidRPr="00EF2F18">
        <w:rPr>
          <w:rFonts w:ascii="Times New Roman" w:hAnsi="Times New Roman" w:cs="Times New Roman"/>
          <w:lang w:val="sr-Cyrl-RS"/>
        </w:rPr>
        <w:t>порекла</w:t>
      </w:r>
      <w:r w:rsidR="007378D5" w:rsidRPr="00EF2F18">
        <w:rPr>
          <w:rFonts w:ascii="Times New Roman" w:hAnsi="Times New Roman" w:cs="Times New Roman"/>
          <w:lang w:val="sr-Cyrl-RS"/>
        </w:rPr>
        <w:t>;</w:t>
      </w:r>
    </w:p>
    <w:p w14:paraId="57C6E785" w14:textId="226B94EF" w:rsidR="006A7693" w:rsidRPr="00EF2F18" w:rsidRDefault="007378D5" w:rsidP="00313E8E">
      <w:pPr>
        <w:pStyle w:val="Normal1"/>
        <w:numPr>
          <w:ilvl w:val="0"/>
          <w:numId w:val="30"/>
        </w:numPr>
        <w:pBdr>
          <w:top w:val="nil"/>
          <w:left w:val="nil"/>
          <w:bottom w:val="nil"/>
          <w:right w:val="nil"/>
          <w:between w:val="nil"/>
        </w:pBdr>
        <w:tabs>
          <w:tab w:val="left" w:pos="426"/>
          <w:tab w:val="left" w:pos="1080"/>
        </w:tabs>
        <w:spacing w:after="0"/>
        <w:ind w:left="1080"/>
        <w:jc w:val="both"/>
        <w:rPr>
          <w:rFonts w:ascii="Times New Roman" w:hAnsi="Times New Roman" w:cs="Times New Roman"/>
          <w:b/>
          <w:i/>
          <w:lang w:val="sr-Cyrl-RS"/>
        </w:rPr>
      </w:pPr>
      <w:r w:rsidRPr="00EF2F18">
        <w:rPr>
          <w:rFonts w:ascii="Times New Roman" w:hAnsi="Times New Roman" w:cs="Times New Roman"/>
          <w:lang w:val="sr-Cyrl-RS"/>
        </w:rPr>
        <w:t>сузбијање кривичних дела из области еколошког криминала</w:t>
      </w:r>
      <w:r w:rsidR="00F26C75" w:rsidRPr="00EF2F18">
        <w:rPr>
          <w:rFonts w:ascii="Times New Roman" w:hAnsi="Times New Roman" w:cs="Times New Roman"/>
          <w:lang w:val="sr-Cyrl-RS"/>
        </w:rPr>
        <w:t>.</w:t>
      </w:r>
    </w:p>
    <w:p w14:paraId="746CA8A5" w14:textId="77777777" w:rsidR="006A7693" w:rsidRPr="00EF2F18" w:rsidRDefault="006A7693" w:rsidP="006A7693">
      <w:pPr>
        <w:pStyle w:val="Normal1"/>
        <w:pBdr>
          <w:top w:val="nil"/>
          <w:left w:val="nil"/>
          <w:bottom w:val="nil"/>
          <w:right w:val="nil"/>
          <w:between w:val="nil"/>
        </w:pBdr>
        <w:tabs>
          <w:tab w:val="left" w:pos="426"/>
        </w:tabs>
        <w:spacing w:after="0"/>
        <w:jc w:val="both"/>
        <w:rPr>
          <w:rFonts w:ascii="Times New Roman" w:hAnsi="Times New Roman" w:cs="Times New Roman"/>
          <w:b/>
          <w:i/>
          <w:lang w:val="sr-Cyrl-RS"/>
        </w:rPr>
      </w:pPr>
    </w:p>
    <w:p w14:paraId="27DF2988" w14:textId="7D3ECEC8" w:rsidR="00186B13" w:rsidRDefault="00186B13" w:rsidP="006A7693">
      <w:pPr>
        <w:pStyle w:val="Normal1"/>
        <w:pBdr>
          <w:top w:val="nil"/>
          <w:left w:val="nil"/>
          <w:bottom w:val="nil"/>
          <w:right w:val="nil"/>
          <w:between w:val="nil"/>
        </w:pBdr>
        <w:tabs>
          <w:tab w:val="left" w:pos="426"/>
        </w:tabs>
        <w:spacing w:after="0"/>
        <w:jc w:val="both"/>
        <w:rPr>
          <w:rFonts w:ascii="Times New Roman" w:hAnsi="Times New Roman" w:cs="Times New Roman"/>
          <w:b/>
          <w:i/>
          <w:lang w:val="sr-Cyrl-RS"/>
        </w:rPr>
      </w:pPr>
    </w:p>
    <w:p w14:paraId="6D8FC53A" w14:textId="77777777" w:rsidR="004E449F" w:rsidRPr="00EF2F18" w:rsidRDefault="004E449F" w:rsidP="006A7693">
      <w:pPr>
        <w:pStyle w:val="Normal1"/>
        <w:pBdr>
          <w:top w:val="nil"/>
          <w:left w:val="nil"/>
          <w:bottom w:val="nil"/>
          <w:right w:val="nil"/>
          <w:between w:val="nil"/>
        </w:pBdr>
        <w:tabs>
          <w:tab w:val="left" w:pos="426"/>
        </w:tabs>
        <w:spacing w:after="0"/>
        <w:jc w:val="both"/>
        <w:rPr>
          <w:rFonts w:ascii="Times New Roman" w:hAnsi="Times New Roman" w:cs="Times New Roman"/>
          <w:b/>
          <w:i/>
          <w:lang w:val="sr-Cyrl-RS"/>
        </w:rPr>
      </w:pPr>
    </w:p>
    <w:p w14:paraId="5F854526" w14:textId="540EB09E" w:rsidR="00D41CFC" w:rsidRPr="00EF2F18" w:rsidRDefault="00342B1B" w:rsidP="006A7693">
      <w:pPr>
        <w:pStyle w:val="Normal1"/>
        <w:pBdr>
          <w:top w:val="nil"/>
          <w:left w:val="nil"/>
          <w:bottom w:val="nil"/>
          <w:right w:val="nil"/>
          <w:between w:val="nil"/>
        </w:pBdr>
        <w:tabs>
          <w:tab w:val="left" w:pos="426"/>
        </w:tabs>
        <w:spacing w:after="0"/>
        <w:jc w:val="both"/>
        <w:rPr>
          <w:rFonts w:ascii="Times New Roman" w:hAnsi="Times New Roman" w:cs="Times New Roman"/>
          <w:b/>
          <w:i/>
          <w:lang w:val="sr-Cyrl-RS"/>
        </w:rPr>
      </w:pPr>
      <w:r w:rsidRPr="00EF2F18">
        <w:rPr>
          <w:rFonts w:ascii="Times New Roman" w:hAnsi="Times New Roman" w:cs="Times New Roman"/>
          <w:b/>
          <w:i/>
          <w:lang w:val="sr-Cyrl-RS"/>
        </w:rPr>
        <w:lastRenderedPageBreak/>
        <w:tab/>
      </w:r>
      <w:r w:rsidRPr="00EF2F18">
        <w:rPr>
          <w:rFonts w:ascii="Times New Roman" w:hAnsi="Times New Roman" w:cs="Times New Roman"/>
          <w:b/>
          <w:i/>
          <w:lang w:val="sr-Cyrl-RS"/>
        </w:rPr>
        <w:tab/>
      </w:r>
      <w:r w:rsidR="00D41CFC" w:rsidRPr="00EF2F18">
        <w:rPr>
          <w:rFonts w:ascii="Times New Roman" w:hAnsi="Times New Roman" w:cs="Times New Roman"/>
          <w:b/>
          <w:i/>
          <w:lang w:val="sr-Cyrl-RS"/>
        </w:rPr>
        <w:t>Министарство правде</w:t>
      </w:r>
      <w:r w:rsidR="00D41CFC" w:rsidRPr="00EF2F18">
        <w:rPr>
          <w:rFonts w:ascii="Times New Roman" w:hAnsi="Times New Roman" w:cs="Times New Roman"/>
          <w:b/>
          <w:i/>
          <w:lang w:val="sr-Cyrl-RS"/>
        </w:rPr>
        <w:tab/>
      </w:r>
    </w:p>
    <w:p w14:paraId="16BAAA22" w14:textId="64344650" w:rsidR="00D41CFC" w:rsidRPr="00EF2F18" w:rsidRDefault="00D41CFC"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Министарство</w:t>
      </w:r>
      <w:r w:rsidR="00342B1B" w:rsidRPr="00EF2F18">
        <w:rPr>
          <w:rFonts w:ascii="Times New Roman" w:hAnsi="Times New Roman" w:cs="Times New Roman"/>
          <w:lang w:val="sr-Cyrl-RS"/>
        </w:rPr>
        <w:t xml:space="preserve"> правде</w:t>
      </w:r>
      <w:r w:rsidRPr="00EF2F18">
        <w:rPr>
          <w:rFonts w:ascii="Times New Roman" w:hAnsi="Times New Roman" w:cs="Times New Roman"/>
          <w:lang w:val="sr-Cyrl-RS"/>
        </w:rPr>
        <w:t xml:space="preserve"> је одговорно за развој и координацију правосудног информационог система, међународну правну помоћ, управљање </w:t>
      </w:r>
      <w:r w:rsidR="00D7382E" w:rsidRPr="00EF2F18">
        <w:rPr>
          <w:rFonts w:ascii="Times New Roman" w:hAnsi="Times New Roman" w:cs="Times New Roman"/>
          <w:lang w:val="sr-Cyrl-RS"/>
        </w:rPr>
        <w:t xml:space="preserve">одузетом </w:t>
      </w:r>
      <w:r w:rsidRPr="00EF2F18">
        <w:rPr>
          <w:rFonts w:ascii="Times New Roman" w:hAnsi="Times New Roman" w:cs="Times New Roman"/>
          <w:lang w:val="sr-Cyrl-RS"/>
        </w:rPr>
        <w:t>имовином која произлази из кривичног дела, припрему прописа о поступку пред Уставним судом и правно дејство одлука Уставног суда. Ова општа одговорност покрива све правне и судски релевантне послове у сектору заштите животне средине, укључујући и грађанска, административна и кривична питања у области заштите животне средине.</w:t>
      </w:r>
    </w:p>
    <w:p w14:paraId="06CCC475" w14:textId="77777777" w:rsidR="006A7693" w:rsidRPr="00EF2F18" w:rsidRDefault="006A7693" w:rsidP="006A7693">
      <w:pPr>
        <w:pStyle w:val="Normal1"/>
        <w:spacing w:after="0"/>
        <w:jc w:val="both"/>
        <w:rPr>
          <w:rFonts w:ascii="Times New Roman" w:hAnsi="Times New Roman" w:cs="Times New Roman"/>
          <w:b/>
          <w:i/>
          <w:lang w:val="sr-Cyrl-RS"/>
        </w:rPr>
      </w:pPr>
    </w:p>
    <w:p w14:paraId="7CFF09DE" w14:textId="66CA6940" w:rsidR="00BD752D" w:rsidRPr="00EF2F18" w:rsidRDefault="00BD752D"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Министарство информисања и телекомуникација (МИТ)</w:t>
      </w:r>
    </w:p>
    <w:p w14:paraId="24BA367E" w14:textId="2056C772" w:rsidR="00BD752D" w:rsidRPr="00EF2F18" w:rsidRDefault="00BD752D" w:rsidP="006A7693">
      <w:pPr>
        <w:pStyle w:val="Normal1"/>
        <w:spacing w:after="0"/>
        <w:jc w:val="both"/>
        <w:rPr>
          <w:rFonts w:ascii="Times New Roman" w:hAnsi="Times New Roman" w:cs="Times New Roman"/>
          <w:bCs/>
          <w:iCs/>
          <w:lang w:val="sr-Cyrl-RS"/>
        </w:rPr>
      </w:pPr>
      <w:r w:rsidRPr="00EF2F18">
        <w:rPr>
          <w:rFonts w:ascii="Times New Roman" w:hAnsi="Times New Roman" w:cs="Times New Roman"/>
          <w:bCs/>
          <w:iCs/>
          <w:lang w:val="sr-Cyrl-RS"/>
        </w:rPr>
        <w:tab/>
        <w:t>Министарство</w:t>
      </w:r>
      <w:r w:rsidR="00342B1B" w:rsidRPr="00EF2F18">
        <w:rPr>
          <w:rFonts w:ascii="Times New Roman" w:hAnsi="Times New Roman" w:cs="Times New Roman"/>
          <w:bCs/>
          <w:iCs/>
          <w:lang w:val="sr-Cyrl-RS"/>
        </w:rPr>
        <w:t xml:space="preserve"> информисања и телекомуникација</w:t>
      </w:r>
      <w:r w:rsidRPr="00EF2F18">
        <w:rPr>
          <w:rFonts w:ascii="Times New Roman" w:hAnsi="Times New Roman" w:cs="Times New Roman"/>
          <w:bCs/>
          <w:iCs/>
          <w:lang w:val="sr-Cyrl-RS"/>
        </w:rPr>
        <w:t xml:space="preserve"> је одговорно за</w:t>
      </w:r>
      <w:r w:rsidR="009A49DD" w:rsidRPr="00EF2F18">
        <w:rPr>
          <w:rFonts w:ascii="Times New Roman" w:hAnsi="Times New Roman" w:cs="Times New Roman"/>
          <w:bCs/>
          <w:iCs/>
          <w:lang w:val="sr-Cyrl-RS"/>
        </w:rPr>
        <w:t>:</w:t>
      </w:r>
    </w:p>
    <w:p w14:paraId="7856F7EC" w14:textId="5E8A0D2C" w:rsidR="00BD752D" w:rsidRPr="00EF2F18" w:rsidRDefault="00BD752D" w:rsidP="00313E8E">
      <w:pPr>
        <w:pStyle w:val="Normal1"/>
        <w:numPr>
          <w:ilvl w:val="0"/>
          <w:numId w:val="59"/>
        </w:numPr>
        <w:spacing w:after="0"/>
        <w:jc w:val="both"/>
        <w:rPr>
          <w:rFonts w:ascii="Times New Roman" w:hAnsi="Times New Roman" w:cs="Times New Roman"/>
          <w:bCs/>
          <w:iCs/>
          <w:lang w:val="sr-Cyrl-RS"/>
        </w:rPr>
      </w:pPr>
      <w:r w:rsidRPr="00EF2F18">
        <w:rPr>
          <w:rFonts w:ascii="Times New Roman" w:hAnsi="Times New Roman" w:cs="Times New Roman"/>
          <w:bCs/>
          <w:iCs/>
          <w:lang w:val="sr-Cyrl-RS"/>
        </w:rPr>
        <w:t>примену информационо-комуникационих технологија</w:t>
      </w:r>
      <w:r w:rsidR="00F305E9" w:rsidRPr="00EF2F18">
        <w:rPr>
          <w:rFonts w:ascii="Times New Roman" w:hAnsi="Times New Roman" w:cs="Times New Roman"/>
          <w:bCs/>
          <w:iCs/>
          <w:lang w:val="sr-Cyrl-RS"/>
        </w:rPr>
        <w:t>;</w:t>
      </w:r>
    </w:p>
    <w:p w14:paraId="39825DC2" w14:textId="626E252F" w:rsidR="00EE6325" w:rsidRPr="00EF2F18" w:rsidRDefault="00F305E9" w:rsidP="00313E8E">
      <w:pPr>
        <w:pStyle w:val="Normal1"/>
        <w:numPr>
          <w:ilvl w:val="0"/>
          <w:numId w:val="59"/>
        </w:numPr>
        <w:spacing w:after="0"/>
        <w:jc w:val="both"/>
        <w:rPr>
          <w:rFonts w:ascii="Times New Roman" w:hAnsi="Times New Roman" w:cs="Times New Roman"/>
          <w:bCs/>
          <w:iCs/>
          <w:lang w:val="sr-Cyrl-RS"/>
        </w:rPr>
      </w:pPr>
      <w:r w:rsidRPr="00EF2F18">
        <w:rPr>
          <w:rFonts w:ascii="Times New Roman" w:hAnsi="Times New Roman" w:cs="Times New Roman"/>
          <w:bCs/>
          <w:iCs/>
          <w:lang w:val="sr-Cyrl-RS"/>
        </w:rPr>
        <w:t xml:space="preserve">учествовање у изради и праћењу спровођења стратешких </w:t>
      </w:r>
      <w:r w:rsidR="00727421" w:rsidRPr="00EF2F18">
        <w:rPr>
          <w:rFonts w:ascii="Times New Roman" w:hAnsi="Times New Roman" w:cs="Times New Roman"/>
          <w:bCs/>
          <w:iCs/>
          <w:lang w:val="sr-Cyrl-RS"/>
        </w:rPr>
        <w:t>пројек</w:t>
      </w:r>
      <w:r w:rsidRPr="00EF2F18">
        <w:rPr>
          <w:rFonts w:ascii="Times New Roman" w:hAnsi="Times New Roman" w:cs="Times New Roman"/>
          <w:bCs/>
          <w:iCs/>
          <w:lang w:val="sr-Cyrl-RS"/>
        </w:rPr>
        <w:t>ата из надлежности министарства;</w:t>
      </w:r>
    </w:p>
    <w:p w14:paraId="7E0007FD" w14:textId="3695742F" w:rsidR="00727421" w:rsidRPr="00EF2F18" w:rsidRDefault="00727421" w:rsidP="00313E8E">
      <w:pPr>
        <w:pStyle w:val="Normal1"/>
        <w:numPr>
          <w:ilvl w:val="0"/>
          <w:numId w:val="59"/>
        </w:numPr>
        <w:spacing w:after="0"/>
        <w:jc w:val="both"/>
        <w:rPr>
          <w:rFonts w:ascii="Times New Roman" w:hAnsi="Times New Roman" w:cs="Times New Roman"/>
          <w:bCs/>
          <w:iCs/>
          <w:lang w:val="sr-Cyrl-RS"/>
        </w:rPr>
      </w:pPr>
      <w:r w:rsidRPr="00EF2F18">
        <w:rPr>
          <w:rFonts w:ascii="Times New Roman" w:hAnsi="Times New Roman" w:cs="Times New Roman"/>
          <w:bCs/>
          <w:iCs/>
          <w:lang w:val="sr-Cyrl-RS"/>
        </w:rPr>
        <w:t>примену правних тековина Европске уније у области техничке усаглашености радио опреме.</w:t>
      </w:r>
    </w:p>
    <w:p w14:paraId="11915381" w14:textId="77777777" w:rsidR="00BD752D" w:rsidRPr="00EF2F18" w:rsidRDefault="00BD752D" w:rsidP="006A7693">
      <w:pPr>
        <w:pStyle w:val="Normal1"/>
        <w:spacing w:after="0"/>
        <w:jc w:val="both"/>
        <w:rPr>
          <w:rFonts w:ascii="Times New Roman" w:hAnsi="Times New Roman" w:cs="Times New Roman"/>
          <w:b/>
          <w:i/>
          <w:lang w:val="sr-Cyrl-RS"/>
        </w:rPr>
      </w:pPr>
    </w:p>
    <w:p w14:paraId="121DA056" w14:textId="4DD2DB32" w:rsidR="00D41CFC" w:rsidRPr="00EF2F18" w:rsidRDefault="00D41CFC" w:rsidP="00342B1B">
      <w:pPr>
        <w:pStyle w:val="Normal1"/>
        <w:spacing w:after="0"/>
        <w:ind w:firstLine="720"/>
        <w:jc w:val="both"/>
        <w:rPr>
          <w:rFonts w:ascii="Times New Roman" w:hAnsi="Times New Roman" w:cs="Times New Roman"/>
          <w:i/>
          <w:iCs/>
          <w:lang w:val="sr-Cyrl-RS"/>
        </w:rPr>
      </w:pPr>
      <w:r w:rsidRPr="00EF2F18">
        <w:rPr>
          <w:rFonts w:ascii="Times New Roman" w:hAnsi="Times New Roman" w:cs="Times New Roman"/>
          <w:b/>
          <w:i/>
          <w:lang w:val="sr-Cyrl-RS"/>
        </w:rPr>
        <w:t xml:space="preserve">Министарство </w:t>
      </w:r>
      <w:r w:rsidR="0047338B" w:rsidRPr="00EF2F18">
        <w:rPr>
          <w:rFonts w:ascii="Times New Roman" w:hAnsi="Times New Roman" w:cs="Times New Roman"/>
          <w:b/>
          <w:i/>
          <w:lang w:val="sr-Cyrl-RS"/>
        </w:rPr>
        <w:t xml:space="preserve">унутрашње и спољне </w:t>
      </w:r>
      <w:r w:rsidRPr="00EF2F18">
        <w:rPr>
          <w:rFonts w:ascii="Times New Roman" w:hAnsi="Times New Roman" w:cs="Times New Roman"/>
          <w:b/>
          <w:i/>
          <w:lang w:val="sr-Cyrl-RS"/>
        </w:rPr>
        <w:t>трговине</w:t>
      </w:r>
      <w:r w:rsidR="0047338B" w:rsidRPr="00EF2F18">
        <w:rPr>
          <w:rFonts w:ascii="Times New Roman" w:hAnsi="Times New Roman" w:cs="Times New Roman"/>
          <w:b/>
          <w:i/>
          <w:lang w:val="sr-Cyrl-RS"/>
        </w:rPr>
        <w:t xml:space="preserve"> </w:t>
      </w:r>
      <w:r w:rsidRPr="00EF2F18">
        <w:rPr>
          <w:rFonts w:ascii="Times New Roman" w:hAnsi="Times New Roman" w:cs="Times New Roman"/>
          <w:b/>
          <w:i/>
          <w:iCs/>
          <w:lang w:val="sr-Cyrl-RS"/>
        </w:rPr>
        <w:t>(М</w:t>
      </w:r>
      <w:r w:rsidR="0047338B" w:rsidRPr="00EF2F18">
        <w:rPr>
          <w:rFonts w:ascii="Times New Roman" w:hAnsi="Times New Roman" w:cs="Times New Roman"/>
          <w:b/>
          <w:i/>
          <w:iCs/>
          <w:lang w:val="sr-Cyrl-RS"/>
        </w:rPr>
        <w:t>УС</w:t>
      </w:r>
      <w:r w:rsidRPr="00EF2F18">
        <w:rPr>
          <w:rFonts w:ascii="Times New Roman" w:hAnsi="Times New Roman" w:cs="Times New Roman"/>
          <w:b/>
          <w:i/>
          <w:iCs/>
          <w:lang w:val="sr-Cyrl-RS"/>
        </w:rPr>
        <w:t>Т)</w:t>
      </w:r>
    </w:p>
    <w:p w14:paraId="159CCFBF" w14:textId="13952B69" w:rsidR="00D41CFC" w:rsidRPr="00EF2F18" w:rsidRDefault="00342B1B"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Министарство унутрашње и спољне трговине</w:t>
      </w:r>
      <w:r w:rsidR="00D41CFC" w:rsidRPr="00EF2F18">
        <w:rPr>
          <w:rFonts w:ascii="Times New Roman" w:hAnsi="Times New Roman" w:cs="Times New Roman"/>
          <w:lang w:val="sr-Cyrl-RS"/>
        </w:rPr>
        <w:t xml:space="preserve"> је релевантно за сектор животне средине,</w:t>
      </w:r>
      <w:r w:rsidR="005E42D2" w:rsidRPr="00EF2F18">
        <w:rPr>
          <w:rFonts w:ascii="Times New Roman" w:hAnsi="Times New Roman" w:cs="Times New Roman"/>
          <w:lang w:val="sr-Cyrl-RS"/>
        </w:rPr>
        <w:t xml:space="preserve"> </w:t>
      </w:r>
      <w:r w:rsidR="00D41CFC" w:rsidRPr="00EF2F18">
        <w:rPr>
          <w:rFonts w:ascii="Times New Roman" w:hAnsi="Times New Roman" w:cs="Times New Roman"/>
          <w:lang w:val="sr-Cyrl-RS"/>
        </w:rPr>
        <w:t>код одговорности за:</w:t>
      </w:r>
    </w:p>
    <w:p w14:paraId="3BDA9752" w14:textId="77777777" w:rsidR="00D41CFC" w:rsidRPr="00EF2F18" w:rsidRDefault="00D41CFC" w:rsidP="00313E8E">
      <w:pPr>
        <w:pStyle w:val="Normal1"/>
        <w:numPr>
          <w:ilvl w:val="0"/>
          <w:numId w:val="42"/>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стратешку политику и политику развоја трговине; </w:t>
      </w:r>
    </w:p>
    <w:p w14:paraId="4BEC02D3" w14:textId="77777777" w:rsidR="00D41CFC" w:rsidRPr="00EF2F18" w:rsidRDefault="00D41CFC" w:rsidP="00313E8E">
      <w:pPr>
        <w:pStyle w:val="Normal1"/>
        <w:numPr>
          <w:ilvl w:val="0"/>
          <w:numId w:val="42"/>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унутрашњу трговину робом и услугама; </w:t>
      </w:r>
    </w:p>
    <w:p w14:paraId="383530EB" w14:textId="77777777" w:rsidR="00D41CFC" w:rsidRPr="00EF2F18" w:rsidRDefault="00D41CFC" w:rsidP="00313E8E">
      <w:pPr>
        <w:pStyle w:val="Normal1"/>
        <w:numPr>
          <w:ilvl w:val="0"/>
          <w:numId w:val="42"/>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праћење укупних трговинских токова и предлагање одговарајућих мера; </w:t>
      </w:r>
    </w:p>
    <w:p w14:paraId="43AD6C83" w14:textId="77777777" w:rsidR="00E503F9" w:rsidRPr="00EF2F18" w:rsidRDefault="00D41CFC" w:rsidP="00313E8E">
      <w:pPr>
        <w:pStyle w:val="Normal1"/>
        <w:numPr>
          <w:ilvl w:val="0"/>
          <w:numId w:val="42"/>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предлагање системских решења и прописа у области посебних увозних дажбина, пољопривредних и прехрамбених производа, посебних облика спољне трговине, трговине нафтом и унапређења система извоза</w:t>
      </w:r>
      <w:r w:rsidR="00E503F9" w:rsidRPr="00EF2F18">
        <w:rPr>
          <w:rFonts w:ascii="Times New Roman" w:hAnsi="Times New Roman" w:cs="Times New Roman"/>
          <w:lang w:val="sr-Cyrl-RS"/>
        </w:rPr>
        <w:t>;</w:t>
      </w:r>
    </w:p>
    <w:p w14:paraId="6BA28029" w14:textId="6F28B57A" w:rsidR="00D41CFC" w:rsidRPr="00EF2F18" w:rsidRDefault="00E503F9" w:rsidP="00313E8E">
      <w:pPr>
        <w:pStyle w:val="Normal1"/>
        <w:numPr>
          <w:ilvl w:val="0"/>
          <w:numId w:val="42"/>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инспекцијски надзор у области трговине</w:t>
      </w:r>
      <w:r w:rsidR="00D41CFC" w:rsidRPr="00EF2F18">
        <w:rPr>
          <w:rFonts w:ascii="Times New Roman" w:hAnsi="Times New Roman" w:cs="Times New Roman"/>
          <w:lang w:val="sr-Cyrl-RS"/>
        </w:rPr>
        <w:t xml:space="preserve">. </w:t>
      </w:r>
    </w:p>
    <w:p w14:paraId="7597571C" w14:textId="77777777" w:rsidR="00175803" w:rsidRPr="00EF2F18" w:rsidRDefault="00175803" w:rsidP="006A7693">
      <w:pPr>
        <w:pStyle w:val="Normal1"/>
        <w:spacing w:after="0"/>
        <w:jc w:val="both"/>
        <w:rPr>
          <w:rFonts w:ascii="Times New Roman" w:hAnsi="Times New Roman" w:cs="Times New Roman"/>
          <w:b/>
          <w:i/>
          <w:lang w:val="sr-Cyrl-RS"/>
        </w:rPr>
      </w:pPr>
    </w:p>
    <w:p w14:paraId="6A03417D" w14:textId="63BD70A5" w:rsidR="006A7693" w:rsidRPr="00EF2F18" w:rsidRDefault="00175803"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Министарству за људска и мањинска права и друштвени дијалог</w:t>
      </w:r>
    </w:p>
    <w:p w14:paraId="72C4938C" w14:textId="14F0C99A" w:rsidR="00DE4363" w:rsidRPr="00EF2F18" w:rsidRDefault="009A49DD" w:rsidP="00B31BB6">
      <w:pPr>
        <w:pStyle w:val="Normal1"/>
        <w:spacing w:after="0"/>
        <w:ind w:firstLine="720"/>
        <w:jc w:val="both"/>
        <w:rPr>
          <w:rFonts w:ascii="Times New Roman" w:hAnsi="Times New Roman" w:cs="Times New Roman"/>
          <w:bCs/>
          <w:iCs/>
          <w:lang w:val="sr-Cyrl-RS"/>
        </w:rPr>
      </w:pPr>
      <w:r w:rsidRPr="00EF2F18">
        <w:rPr>
          <w:rFonts w:ascii="Times New Roman" w:hAnsi="Times New Roman" w:cs="Times New Roman"/>
          <w:bCs/>
          <w:iCs/>
          <w:lang w:val="sr-Cyrl-RS"/>
        </w:rPr>
        <w:t xml:space="preserve">Министарство </w:t>
      </w:r>
      <w:r w:rsidR="00342B1B" w:rsidRPr="00EF2F18">
        <w:rPr>
          <w:rFonts w:ascii="Times New Roman" w:hAnsi="Times New Roman" w:cs="Times New Roman"/>
          <w:bCs/>
          <w:iCs/>
          <w:lang w:val="sr-Cyrl-RS"/>
        </w:rPr>
        <w:t xml:space="preserve">за људска и мањинска права и друштвени дијалог </w:t>
      </w:r>
      <w:r w:rsidRPr="00EF2F18">
        <w:rPr>
          <w:rFonts w:ascii="Times New Roman" w:hAnsi="Times New Roman" w:cs="Times New Roman"/>
          <w:bCs/>
          <w:iCs/>
          <w:lang w:val="sr-Cyrl-RS"/>
        </w:rPr>
        <w:t xml:space="preserve">је одговорно: за заштиту и унапређење људских и мањинских права; израду прописа о људским и мањинским правима; праћење усаглашености домаћих прописа са међународним уговорима; општа питања положаја припадника националних мањина; равноправност полова; антидискриминациону политику; питања у вези са родном равноправношћу, с циљем унапређења родне равноправности у Републици Србији; припрему прописа којима се уређује положај удружења и других организација цивилног друштва. Министарство је одговорно за спровођење Стратегије за стварање подстицајног окружења за развој цивилног друштва за </w:t>
      </w:r>
      <w:r w:rsidR="000823B3" w:rsidRPr="00EF2F18">
        <w:rPr>
          <w:rFonts w:ascii="Times New Roman" w:hAnsi="Times New Roman" w:cs="Times New Roman"/>
          <w:bCs/>
          <w:iCs/>
          <w:lang w:val="sr-Cyrl-RS"/>
        </w:rPr>
        <w:t>период 2022-2030. године</w:t>
      </w:r>
      <w:r w:rsidRPr="00EF2F18">
        <w:rPr>
          <w:rFonts w:ascii="Times New Roman" w:hAnsi="Times New Roman" w:cs="Times New Roman"/>
          <w:bCs/>
          <w:iCs/>
          <w:lang w:val="sr-Cyrl-RS"/>
        </w:rPr>
        <w:t>.</w:t>
      </w:r>
    </w:p>
    <w:p w14:paraId="5B065B71" w14:textId="77777777" w:rsidR="00175803" w:rsidRPr="00EF2F18" w:rsidRDefault="00175803" w:rsidP="006A7693">
      <w:pPr>
        <w:pStyle w:val="Normal1"/>
        <w:spacing w:after="0"/>
        <w:jc w:val="both"/>
        <w:rPr>
          <w:rFonts w:ascii="Times New Roman" w:hAnsi="Times New Roman" w:cs="Times New Roman"/>
          <w:bCs/>
          <w:iCs/>
          <w:lang w:val="sr-Cyrl-RS"/>
        </w:rPr>
      </w:pPr>
    </w:p>
    <w:p w14:paraId="6DB50A3E" w14:textId="77777777" w:rsidR="00175803" w:rsidRPr="00EF2F18" w:rsidRDefault="00175803" w:rsidP="00342B1B">
      <w:pPr>
        <w:pStyle w:val="Normal1"/>
        <w:spacing w:after="0"/>
        <w:ind w:firstLine="720"/>
        <w:jc w:val="both"/>
        <w:rPr>
          <w:rFonts w:ascii="Times New Roman" w:hAnsi="Times New Roman" w:cs="Times New Roman"/>
          <w:b/>
          <w:bCs/>
          <w:i/>
          <w:iCs/>
          <w:lang w:val="sr-Cyrl-RS"/>
        </w:rPr>
      </w:pPr>
      <w:r w:rsidRPr="00EF2F18">
        <w:rPr>
          <w:rFonts w:ascii="Times New Roman" w:hAnsi="Times New Roman" w:cs="Times New Roman"/>
          <w:b/>
          <w:bCs/>
          <w:i/>
          <w:iCs/>
          <w:lang w:val="sr-Cyrl-RS"/>
        </w:rPr>
        <w:t xml:space="preserve">Министарство државне управе и локалне самоуправе </w:t>
      </w:r>
    </w:p>
    <w:p w14:paraId="64CBBB66" w14:textId="2121ECD7" w:rsidR="00175803" w:rsidRPr="00EF2F18" w:rsidRDefault="00175803" w:rsidP="00971F94">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државне управе и локалне самоуправе одговорно је, између осталог, за утврђивање </w:t>
      </w:r>
      <w:r w:rsidR="00716CBA" w:rsidRPr="00EF2F18">
        <w:rPr>
          <w:rFonts w:ascii="Times New Roman" w:hAnsi="Times New Roman" w:cs="Times New Roman"/>
          <w:lang w:val="sr-Cyrl-RS"/>
        </w:rPr>
        <w:t xml:space="preserve">Јединственог пописа </w:t>
      </w:r>
      <w:r w:rsidRPr="00EF2F18">
        <w:rPr>
          <w:rFonts w:ascii="Times New Roman" w:hAnsi="Times New Roman" w:cs="Times New Roman"/>
          <w:lang w:val="sr-Cyrl-RS"/>
        </w:rPr>
        <w:t xml:space="preserve">послова </w:t>
      </w:r>
      <w:r w:rsidR="00716CBA" w:rsidRPr="00EF2F18">
        <w:rPr>
          <w:rFonts w:ascii="Times New Roman" w:hAnsi="Times New Roman" w:cs="Times New Roman"/>
          <w:lang w:val="sr-Cyrl-RS"/>
        </w:rPr>
        <w:t xml:space="preserve">на </w:t>
      </w:r>
      <w:r w:rsidRPr="00EF2F18">
        <w:rPr>
          <w:rFonts w:ascii="Times New Roman" w:hAnsi="Times New Roman" w:cs="Times New Roman"/>
          <w:lang w:val="sr-Cyrl-RS"/>
        </w:rPr>
        <w:t>локалн</w:t>
      </w:r>
      <w:r w:rsidR="00716CBA" w:rsidRPr="00EF2F18">
        <w:rPr>
          <w:rFonts w:ascii="Times New Roman" w:hAnsi="Times New Roman" w:cs="Times New Roman"/>
          <w:lang w:val="sr-Cyrl-RS"/>
        </w:rPr>
        <w:t>ом нивоу власти</w:t>
      </w:r>
      <w:r w:rsidRPr="00EF2F18">
        <w:rPr>
          <w:rFonts w:ascii="Times New Roman" w:hAnsi="Times New Roman" w:cs="Times New Roman"/>
          <w:lang w:val="sr-Cyrl-RS"/>
        </w:rPr>
        <w:t>. На тој листи налази се тренутно 14</w:t>
      </w:r>
      <w:r w:rsidR="00716CBA" w:rsidRPr="00EF2F18">
        <w:rPr>
          <w:rFonts w:ascii="Times New Roman" w:hAnsi="Times New Roman" w:cs="Times New Roman"/>
          <w:lang w:val="sr-Cyrl-RS"/>
        </w:rPr>
        <w:t>9</w:t>
      </w:r>
      <w:r w:rsidRPr="00EF2F18">
        <w:rPr>
          <w:rFonts w:ascii="Times New Roman" w:hAnsi="Times New Roman" w:cs="Times New Roman"/>
          <w:lang w:val="sr-Cyrl-RS"/>
        </w:rPr>
        <w:t xml:space="preserve"> послова из области заштите животне средине.</w:t>
      </w:r>
    </w:p>
    <w:p w14:paraId="79E6A4B5" w14:textId="77777777" w:rsidR="005D673E" w:rsidRPr="00EF2F18" w:rsidRDefault="005D673E" w:rsidP="005D673E">
      <w:pPr>
        <w:pStyle w:val="Normal1"/>
        <w:spacing w:after="0"/>
        <w:jc w:val="both"/>
        <w:rPr>
          <w:rFonts w:ascii="Times New Roman" w:hAnsi="Times New Roman" w:cs="Times New Roman"/>
          <w:bCs/>
          <w:iCs/>
          <w:lang w:val="sr-Cyrl-RS"/>
        </w:rPr>
      </w:pPr>
    </w:p>
    <w:p w14:paraId="53813C31" w14:textId="57B050E4" w:rsidR="005D673E" w:rsidRPr="00EF2F18" w:rsidRDefault="005D673E"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Министарство просвете</w:t>
      </w:r>
    </w:p>
    <w:p w14:paraId="34C4DF22" w14:textId="2D87CA80" w:rsidR="005D673E" w:rsidRPr="00EF2F18" w:rsidRDefault="005D673E" w:rsidP="005D673E">
      <w:pPr>
        <w:pStyle w:val="Normal1"/>
        <w:spacing w:after="0"/>
        <w:jc w:val="both"/>
        <w:rPr>
          <w:rFonts w:ascii="Times New Roman" w:hAnsi="Times New Roman" w:cs="Times New Roman"/>
          <w:iCs/>
          <w:lang w:val="sr-Cyrl-RS"/>
        </w:rPr>
      </w:pPr>
      <w:r w:rsidRPr="00EF2F18">
        <w:rPr>
          <w:rFonts w:ascii="Times New Roman" w:hAnsi="Times New Roman" w:cs="Times New Roman"/>
          <w:bCs/>
          <w:iCs/>
          <w:lang w:val="sr-Cyrl-RS"/>
        </w:rPr>
        <w:tab/>
      </w:r>
      <w:r w:rsidR="004219A2" w:rsidRPr="00EF2F18">
        <w:rPr>
          <w:rFonts w:ascii="Times New Roman" w:hAnsi="Times New Roman" w:cs="Times New Roman"/>
          <w:iCs/>
          <w:lang w:val="sr-Cyrl-RS"/>
        </w:rPr>
        <w:t xml:space="preserve">Министарство просвете је одговорно за: истраживање, планирање и развој предшколског, основног, средњег и високог образовања и ученичког и студентског стандарда; допунско образовање деце домаћих држављана у иностранству; учешће у изградњи, опремању и одржавању објеката предшколског, основног, средњег и високог образовања и ученичког и студентског стандарда од интереса за Републику Србију; управни надзор као и стручно-педагошки надзор у предшколском, основном и средњем образовању и ученичком стандарду; организацију, вредновање рада и надзор над стручним усавршавањем запослених у просвети; признавање јавних исправа стечених у иностранству; унапређење друштвене бриге о ученицима и студентима са </w:t>
      </w:r>
      <w:r w:rsidR="007378D5" w:rsidRPr="00EF2F18">
        <w:rPr>
          <w:rFonts w:ascii="Times New Roman" w:hAnsi="Times New Roman" w:cs="Times New Roman"/>
          <w:iCs/>
          <w:lang w:val="sr-Cyrl-RS"/>
        </w:rPr>
        <w:t xml:space="preserve">изузетним, односно </w:t>
      </w:r>
      <w:r w:rsidR="004219A2" w:rsidRPr="00EF2F18">
        <w:rPr>
          <w:rFonts w:ascii="Times New Roman" w:hAnsi="Times New Roman" w:cs="Times New Roman"/>
          <w:iCs/>
          <w:lang w:val="sr-Cyrl-RS"/>
        </w:rPr>
        <w:t xml:space="preserve">посебним </w:t>
      </w:r>
      <w:r w:rsidR="007378D5" w:rsidRPr="00EF2F18">
        <w:rPr>
          <w:rFonts w:ascii="Times New Roman" w:hAnsi="Times New Roman" w:cs="Times New Roman"/>
          <w:iCs/>
          <w:lang w:val="sr-Cyrl-RS"/>
        </w:rPr>
        <w:t>способностима</w:t>
      </w:r>
      <w:r w:rsidR="004219A2" w:rsidRPr="00EF2F18">
        <w:rPr>
          <w:rFonts w:ascii="Times New Roman" w:hAnsi="Times New Roman" w:cs="Times New Roman"/>
          <w:iCs/>
          <w:lang w:val="sr-Cyrl-RS"/>
        </w:rPr>
        <w:t>, као и друге послове одређене законом.</w:t>
      </w:r>
    </w:p>
    <w:p w14:paraId="09AC367A" w14:textId="399CD941" w:rsidR="00186B13" w:rsidRPr="00EF2F18" w:rsidRDefault="00186B13" w:rsidP="005D673E">
      <w:pPr>
        <w:pStyle w:val="Normal1"/>
        <w:spacing w:after="0"/>
        <w:jc w:val="both"/>
        <w:rPr>
          <w:rFonts w:ascii="Times New Roman" w:hAnsi="Times New Roman" w:cs="Times New Roman"/>
          <w:bCs/>
          <w:iCs/>
          <w:lang w:val="sr-Cyrl-RS"/>
        </w:rPr>
      </w:pPr>
    </w:p>
    <w:p w14:paraId="0DA7B43D" w14:textId="6250E553" w:rsidR="005D673E" w:rsidRPr="00EF2F18" w:rsidRDefault="005D673E"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lastRenderedPageBreak/>
        <w:t>Министарство за рад, запошљавање, борачка и социјална питања</w:t>
      </w:r>
    </w:p>
    <w:p w14:paraId="6D87D63C" w14:textId="65AD50B6" w:rsidR="005D673E" w:rsidRPr="00EF2F18" w:rsidRDefault="005D673E" w:rsidP="004219A2">
      <w:pPr>
        <w:pStyle w:val="Normal1"/>
        <w:spacing w:after="0"/>
        <w:jc w:val="both"/>
        <w:rPr>
          <w:rFonts w:ascii="Times New Roman" w:hAnsi="Times New Roman" w:cs="Times New Roman"/>
          <w:bCs/>
          <w:iCs/>
          <w:lang w:val="sr-Cyrl-RS"/>
        </w:rPr>
      </w:pPr>
      <w:r w:rsidRPr="00EF2F18">
        <w:rPr>
          <w:rFonts w:ascii="Times New Roman" w:hAnsi="Times New Roman" w:cs="Times New Roman"/>
          <w:bCs/>
          <w:iCs/>
          <w:lang w:val="sr-Cyrl-RS"/>
        </w:rPr>
        <w:tab/>
      </w:r>
      <w:bookmarkStart w:id="19" w:name="_Hlk191729302"/>
      <w:r w:rsidR="004219A2" w:rsidRPr="00EF2F18">
        <w:rPr>
          <w:rFonts w:ascii="Times New Roman" w:hAnsi="Times New Roman" w:cs="Times New Roman"/>
          <w:bCs/>
          <w:iCs/>
          <w:lang w:val="sr-Cyrl-RS"/>
        </w:rPr>
        <w:t>Министарство за рад, запошљавање, борачка и социјална питања обавља послове државне управе који се односе на: систем у области радних односа и права из рада у свим облицима рада изузев у државним органима и органима јединица локалне самоуправе и аутономне покрајине, јавним агенцијама и јавним службама; безбедност и здравље на раду; инспекцијски надзор у области радних односа и безбедности и здравља на раду; сарадњу с међународним организацијама у области рада и запошљавања; међународне конвенције у области рада и безбедности и здравља на раду; систем социјалне заштите; остваривање права и интеграцију избеглих и расељених лица, повратника по основу споразума о реадмисији, ромског становништва и других социјално угрожених група; унапређење и подстицање запошљавања; развој и обезбеђивање социјалног запошљавања и социјалног предузетништва</w:t>
      </w:r>
      <w:r w:rsidR="00AD02B4" w:rsidRPr="00EF2F18">
        <w:rPr>
          <w:rFonts w:ascii="Times New Roman" w:hAnsi="Times New Roman" w:cs="Times New Roman"/>
          <w:bCs/>
          <w:iCs/>
          <w:lang w:val="sr-Cyrl-RS"/>
        </w:rPr>
        <w:t xml:space="preserve"> и др. </w:t>
      </w:r>
      <w:r w:rsidR="004219A2" w:rsidRPr="00EF2F18">
        <w:rPr>
          <w:rFonts w:ascii="Times New Roman" w:hAnsi="Times New Roman" w:cs="Times New Roman"/>
          <w:bCs/>
          <w:iCs/>
          <w:lang w:val="sr-Cyrl-RS"/>
        </w:rPr>
        <w:t>Инспекторат за рад, као орган управе у саставу Министарства за рад, запошљавање, борачка и социјална питања, обавља инспекцијске послове и с њима повезане стручне послове у области радних односа и безбедности и здравља на раду.</w:t>
      </w:r>
    </w:p>
    <w:bookmarkEnd w:id="19"/>
    <w:p w14:paraId="0BD1269E" w14:textId="77777777" w:rsidR="005D673E" w:rsidRPr="00EF2F18" w:rsidRDefault="005D673E" w:rsidP="00AD02B4">
      <w:pPr>
        <w:pStyle w:val="Normal1"/>
        <w:spacing w:after="0"/>
        <w:jc w:val="both"/>
        <w:rPr>
          <w:rFonts w:ascii="Times New Roman" w:hAnsi="Times New Roman" w:cs="Times New Roman"/>
          <w:bCs/>
          <w:iCs/>
          <w:lang w:val="sr-Cyrl-RS"/>
        </w:rPr>
      </w:pPr>
    </w:p>
    <w:p w14:paraId="18244534" w14:textId="77777777" w:rsidR="0047338B" w:rsidRPr="00EF2F18" w:rsidRDefault="0047338B"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Министарство туризма и омладине (МТО)</w:t>
      </w:r>
    </w:p>
    <w:p w14:paraId="6CA22029" w14:textId="058AC2D1" w:rsidR="006A7693" w:rsidRPr="00EF2F18" w:rsidRDefault="0047338B" w:rsidP="0047338B">
      <w:pPr>
        <w:pStyle w:val="Normal1"/>
        <w:spacing w:after="0"/>
        <w:ind w:firstLine="720"/>
        <w:jc w:val="both"/>
        <w:rPr>
          <w:rFonts w:ascii="Times New Roman" w:hAnsi="Times New Roman" w:cs="Times New Roman"/>
          <w:bCs/>
          <w:iCs/>
          <w:lang w:val="sr-Cyrl-RS"/>
        </w:rPr>
      </w:pPr>
      <w:r w:rsidRPr="00EF2F18">
        <w:rPr>
          <w:rFonts w:ascii="Times New Roman" w:hAnsi="Times New Roman" w:cs="Times New Roman"/>
          <w:bCs/>
          <w:iCs/>
          <w:lang w:val="sr-Cyrl-RS"/>
        </w:rPr>
        <w:t>Министарство туризма и омладине је задужено за одрживи развој туризма, интегрално планирање развоја туризма и комплементарних делатности; развој, проглашење и одрживо коришћење туристичког простора и туристичких дестинација од значаја за туризам. Министарство је такође надлежно за систем, развој и унапређење омладинске политике и спровођење националне политике и националне стратегије за младе и на акционе планове и програме; подстицање младих да се организују и удружују и да учествују у друштвеним токовима; заштиту интереса младих и помоћ младима да остваре те интересе; давање савета младима и подучавање младих везано за запошљавање и волонтерски рад; подстицање неформалног образовања младих и друге послове прописане законом.</w:t>
      </w:r>
      <w:r w:rsidR="006C2E00" w:rsidRPr="00EF2F18">
        <w:rPr>
          <w:rFonts w:ascii="Times New Roman" w:hAnsi="Times New Roman" w:cs="Times New Roman"/>
          <w:bCs/>
          <w:iCs/>
          <w:lang w:val="sr-Cyrl-RS"/>
        </w:rPr>
        <w:t xml:space="preserve"> </w:t>
      </w:r>
    </w:p>
    <w:p w14:paraId="291A1C0D" w14:textId="77777777" w:rsidR="0047338B" w:rsidRPr="00EF2F18" w:rsidRDefault="0047338B" w:rsidP="006A7693">
      <w:pPr>
        <w:pStyle w:val="Normal1"/>
        <w:spacing w:after="0"/>
        <w:jc w:val="both"/>
        <w:rPr>
          <w:rFonts w:ascii="Times New Roman" w:hAnsi="Times New Roman" w:cs="Times New Roman"/>
          <w:b/>
          <w:i/>
          <w:lang w:val="sr-Cyrl-RS"/>
        </w:rPr>
      </w:pPr>
    </w:p>
    <w:p w14:paraId="7A48FBFC" w14:textId="574BB04C" w:rsidR="00D41CFC" w:rsidRPr="00EF2F18" w:rsidRDefault="00D41CFC"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Агенција за безбедност саобраћаја</w:t>
      </w:r>
      <w:r w:rsidR="005E5FF9" w:rsidRPr="00EF2F18">
        <w:rPr>
          <w:rFonts w:ascii="Times New Roman" w:hAnsi="Times New Roman" w:cs="Times New Roman"/>
          <w:b/>
          <w:i/>
          <w:lang w:val="sr-Cyrl-RS"/>
        </w:rPr>
        <w:t xml:space="preserve"> </w:t>
      </w:r>
    </w:p>
    <w:p w14:paraId="2D42B76E" w14:textId="070F54B1" w:rsidR="00D41CFC" w:rsidRPr="00EF2F18" w:rsidRDefault="00D41CFC"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У циљу успостављања система безбедности саобраћаја, чија је сврха првенствено спречавање и отклањање последица насталих током рада те врсте саобраћаја, Влада је у децембру 2009. </w:t>
      </w:r>
      <w:r w:rsidR="00B34686" w:rsidRPr="00EF2F18">
        <w:rPr>
          <w:rFonts w:ascii="Times New Roman" w:hAnsi="Times New Roman" w:cs="Times New Roman"/>
          <w:lang w:val="sr-Cyrl-RS"/>
        </w:rPr>
        <w:t>г</w:t>
      </w:r>
      <w:r w:rsidRPr="00EF2F18">
        <w:rPr>
          <w:rFonts w:ascii="Times New Roman" w:hAnsi="Times New Roman" w:cs="Times New Roman"/>
          <w:lang w:val="sr-Cyrl-RS"/>
        </w:rPr>
        <w:t>одине основала Агенцију за безбед</w:t>
      </w:r>
      <w:r w:rsidR="00342B1B" w:rsidRPr="00EF2F18">
        <w:rPr>
          <w:rFonts w:ascii="Times New Roman" w:hAnsi="Times New Roman" w:cs="Times New Roman"/>
          <w:lang w:val="sr-Cyrl-RS"/>
        </w:rPr>
        <w:t>ност саобраћаја. У сарадњи са Министарством заштите животне средине</w:t>
      </w:r>
      <w:r w:rsidRPr="00EF2F18">
        <w:rPr>
          <w:rFonts w:ascii="Times New Roman" w:hAnsi="Times New Roman" w:cs="Times New Roman"/>
          <w:lang w:val="sr-Cyrl-RS"/>
        </w:rPr>
        <w:t xml:space="preserve">, </w:t>
      </w:r>
      <w:r w:rsidR="00342B1B" w:rsidRPr="00EF2F18">
        <w:rPr>
          <w:rFonts w:ascii="Times New Roman" w:hAnsi="Times New Roman" w:cs="Times New Roman"/>
          <w:bCs/>
          <w:color w:val="000000"/>
          <w:szCs w:val="20"/>
          <w:lang w:val="sr-Cyrl-RS"/>
        </w:rPr>
        <w:t>Агенција за безбедност саобраћаја</w:t>
      </w:r>
      <w:r w:rsidRPr="00EF2F18">
        <w:rPr>
          <w:rFonts w:ascii="Times New Roman" w:hAnsi="Times New Roman" w:cs="Times New Roman"/>
          <w:lang w:val="sr-Cyrl-RS"/>
        </w:rPr>
        <w:t xml:space="preserve"> се бави:</w:t>
      </w:r>
    </w:p>
    <w:p w14:paraId="7383BDD7" w14:textId="24456EC3" w:rsidR="00D41CFC" w:rsidRPr="00EF2F18" w:rsidRDefault="00D41CFC" w:rsidP="00313E8E">
      <w:pPr>
        <w:pStyle w:val="Normal1"/>
        <w:numPr>
          <w:ilvl w:val="0"/>
          <w:numId w:val="43"/>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питањем емисије CO</w:t>
      </w:r>
      <w:r w:rsidRPr="00EF2F18">
        <w:rPr>
          <w:rFonts w:ascii="Times New Roman" w:hAnsi="Times New Roman" w:cs="Times New Roman"/>
          <w:vertAlign w:val="subscript"/>
          <w:lang w:val="sr-Cyrl-RS"/>
        </w:rPr>
        <w:t>2</w:t>
      </w:r>
      <w:r w:rsidRPr="00EF2F18">
        <w:rPr>
          <w:rFonts w:ascii="Times New Roman" w:hAnsi="Times New Roman" w:cs="Times New Roman"/>
          <w:lang w:val="sr-Cyrl-RS"/>
        </w:rPr>
        <w:t xml:space="preserve"> из путничких </w:t>
      </w:r>
      <w:r w:rsidR="00FF6F3F" w:rsidRPr="00EF2F18">
        <w:rPr>
          <w:rFonts w:ascii="Times New Roman" w:hAnsi="Times New Roman" w:cs="Times New Roman"/>
          <w:lang w:val="sr-Cyrl-RS"/>
        </w:rPr>
        <w:t>возила</w:t>
      </w:r>
      <w:r w:rsidRPr="00EF2F18">
        <w:rPr>
          <w:rFonts w:ascii="Times New Roman" w:hAnsi="Times New Roman" w:cs="Times New Roman"/>
          <w:lang w:val="sr-Cyrl-RS"/>
        </w:rPr>
        <w:t>;</w:t>
      </w:r>
    </w:p>
    <w:p w14:paraId="2016DADE" w14:textId="16B6F55A" w:rsidR="00D41CFC" w:rsidRPr="00EF2F18" w:rsidRDefault="00D41CFC" w:rsidP="00313E8E">
      <w:pPr>
        <w:pStyle w:val="Normal1"/>
        <w:numPr>
          <w:ilvl w:val="0"/>
          <w:numId w:val="43"/>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креирањем базе података која прати податке у складу са захтевима ЕУ у области емисије CO</w:t>
      </w:r>
      <w:r w:rsidRPr="00EF2F18">
        <w:rPr>
          <w:rFonts w:ascii="Times New Roman" w:hAnsi="Times New Roman" w:cs="Times New Roman"/>
          <w:vertAlign w:val="subscript"/>
          <w:lang w:val="sr-Cyrl-RS"/>
        </w:rPr>
        <w:t>2</w:t>
      </w:r>
      <w:r w:rsidRPr="00EF2F18">
        <w:rPr>
          <w:rFonts w:ascii="Times New Roman" w:hAnsi="Times New Roman" w:cs="Times New Roman"/>
          <w:lang w:val="sr-Cyrl-RS"/>
        </w:rPr>
        <w:t xml:space="preserve"> из путничких </w:t>
      </w:r>
      <w:r w:rsidR="00FF6F3F" w:rsidRPr="00EF2F18">
        <w:rPr>
          <w:rFonts w:ascii="Times New Roman" w:hAnsi="Times New Roman" w:cs="Times New Roman"/>
          <w:lang w:val="sr-Cyrl-RS"/>
        </w:rPr>
        <w:t>возила</w:t>
      </w:r>
      <w:r w:rsidRPr="00EF2F18">
        <w:rPr>
          <w:rFonts w:ascii="Times New Roman" w:hAnsi="Times New Roman" w:cs="Times New Roman"/>
          <w:lang w:val="sr-Cyrl-RS"/>
        </w:rPr>
        <w:t xml:space="preserve">. </w:t>
      </w:r>
    </w:p>
    <w:p w14:paraId="43B88AF4" w14:textId="77777777" w:rsidR="006A7693" w:rsidRPr="00EF2F18" w:rsidRDefault="006A7693" w:rsidP="006A7693">
      <w:pPr>
        <w:pStyle w:val="Normal1"/>
        <w:spacing w:after="0"/>
        <w:jc w:val="both"/>
        <w:rPr>
          <w:rFonts w:ascii="Times New Roman" w:hAnsi="Times New Roman" w:cs="Times New Roman"/>
          <w:b/>
          <w:i/>
          <w:lang w:val="sr-Cyrl-RS"/>
        </w:rPr>
      </w:pPr>
    </w:p>
    <w:p w14:paraId="27D73092" w14:textId="433C0E31" w:rsidR="00D41CFC" w:rsidRPr="00EF2F18" w:rsidRDefault="00D41CFC" w:rsidP="00342B1B">
      <w:pPr>
        <w:pStyle w:val="Normal1"/>
        <w:spacing w:after="0"/>
        <w:ind w:firstLine="720"/>
        <w:jc w:val="both"/>
        <w:rPr>
          <w:rFonts w:ascii="Times New Roman" w:hAnsi="Times New Roman" w:cs="Times New Roman"/>
          <w:lang w:val="sr-Cyrl-RS"/>
        </w:rPr>
      </w:pPr>
      <w:r w:rsidRPr="00EF2F18">
        <w:rPr>
          <w:rFonts w:ascii="Times New Roman" w:hAnsi="Times New Roman" w:cs="Times New Roman"/>
          <w:b/>
          <w:i/>
          <w:lang w:val="sr-Cyrl-RS"/>
        </w:rPr>
        <w:t>Завод за заштиту природе Србије</w:t>
      </w:r>
      <w:r w:rsidR="006B2F45" w:rsidRPr="00EF2F18">
        <w:rPr>
          <w:rFonts w:ascii="Times New Roman" w:hAnsi="Times New Roman" w:cs="Times New Roman"/>
          <w:b/>
          <w:i/>
          <w:lang w:val="sr-Cyrl-RS"/>
        </w:rPr>
        <w:t xml:space="preserve"> (ЗЗПС)</w:t>
      </w:r>
      <w:r w:rsidRPr="00EF2F18">
        <w:rPr>
          <w:rFonts w:ascii="Times New Roman" w:hAnsi="Times New Roman" w:cs="Times New Roman"/>
          <w:lang w:val="sr-Cyrl-RS"/>
        </w:rPr>
        <w:t xml:space="preserve"> </w:t>
      </w:r>
    </w:p>
    <w:p w14:paraId="056F142E" w14:textId="399B209C" w:rsidR="00D41CFC" w:rsidRPr="00EF2F18" w:rsidRDefault="00D41CFC"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Завод </w:t>
      </w:r>
      <w:r w:rsidR="00342B1B" w:rsidRPr="00EF2F18">
        <w:rPr>
          <w:rFonts w:ascii="Times New Roman" w:hAnsi="Times New Roman" w:cs="Times New Roman"/>
          <w:lang w:val="sr-Cyrl-RS"/>
        </w:rPr>
        <w:t xml:space="preserve">за заштиту природе Србије </w:t>
      </w:r>
      <w:r w:rsidRPr="00EF2F18">
        <w:rPr>
          <w:rFonts w:ascii="Times New Roman" w:hAnsi="Times New Roman" w:cs="Times New Roman"/>
          <w:lang w:val="sr-Cyrl-RS"/>
        </w:rPr>
        <w:t xml:space="preserve">је стручна институција која обавља послове заштите и унапређења природне баштине </w:t>
      </w:r>
      <w:r w:rsidR="00A75F85" w:rsidRPr="00EF2F18">
        <w:rPr>
          <w:rFonts w:ascii="Times New Roman" w:hAnsi="Times New Roman" w:cs="Times New Roman"/>
          <w:lang w:val="sr-Cyrl-RS"/>
        </w:rPr>
        <w:t xml:space="preserve">Републике </w:t>
      </w:r>
      <w:r w:rsidRPr="00EF2F18">
        <w:rPr>
          <w:rFonts w:ascii="Times New Roman" w:hAnsi="Times New Roman" w:cs="Times New Roman"/>
          <w:lang w:val="sr-Cyrl-RS"/>
        </w:rPr>
        <w:t xml:space="preserve">Србије. На националном нивоу </w:t>
      </w:r>
      <w:r w:rsidR="000C0780" w:rsidRPr="00EF2F18">
        <w:rPr>
          <w:rFonts w:ascii="Times New Roman" w:hAnsi="Times New Roman" w:cs="Times New Roman"/>
          <w:lang w:val="sr-Cyrl-RS"/>
        </w:rPr>
        <w:t xml:space="preserve">овај завод </w:t>
      </w:r>
      <w:r w:rsidR="00A75F85" w:rsidRPr="00EF2F18">
        <w:rPr>
          <w:rFonts w:ascii="Times New Roman" w:hAnsi="Times New Roman" w:cs="Times New Roman"/>
          <w:lang w:val="sr-Cyrl-RS"/>
        </w:rPr>
        <w:t>обавља следеће послове</w:t>
      </w:r>
      <w:r w:rsidRPr="00EF2F18">
        <w:rPr>
          <w:rFonts w:ascii="Times New Roman" w:hAnsi="Times New Roman" w:cs="Times New Roman"/>
          <w:lang w:val="sr-Cyrl-RS"/>
        </w:rPr>
        <w:t>:</w:t>
      </w:r>
    </w:p>
    <w:p w14:paraId="492EFDCF" w14:textId="0FBB7612"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прикупљање и обраду података о природи и природним вредностима;</w:t>
      </w:r>
    </w:p>
    <w:p w14:paraId="2ACBB71B" w14:textId="614C733A"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праћење стања и оцену очуваности природе и степена угрожености објеката геонаслеђа, дивљих врста и њихових станишта, станишних типова, екосистема, еколошки значајних подручја, заштићених подручја, еколошких коридора, еколошке мреже и предела;</w:t>
      </w:r>
    </w:p>
    <w:p w14:paraId="1FDEC1DC" w14:textId="3005BF51"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утврђивање услова и мера заштите природе и природних вредности у поступку израде и спровођења просторних и урбанистичких планова, пројектне документације, основа (шумских, ловних, риболовних, водопривредних и др.), програма и стратегија у свим делатностима које утичу на природу;</w:t>
      </w:r>
    </w:p>
    <w:p w14:paraId="1142E28F" w14:textId="63577173"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вођење евиденције о начину и обиму коришћења, као и факторима угрожавања заштићених и строго заштићених дивљих врста ради утврђивања и праћења стања њихових популација;</w:t>
      </w:r>
    </w:p>
    <w:p w14:paraId="348DDF4E" w14:textId="381FFA03"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учешће у спровођењу ратификованих међународних уговора о заштити природе;</w:t>
      </w:r>
    </w:p>
    <w:p w14:paraId="41BC8169" w14:textId="13E12F64"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инвентаризацију појединачних елемената геолошке, биолошке и предеоне разноврсности са статистичким анализама и извештајима о њиховом стању;</w:t>
      </w:r>
    </w:p>
    <w:p w14:paraId="77BD7D52" w14:textId="3D06598D"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lastRenderedPageBreak/>
        <w:t>вођење базе података у области заштите природе као дела јединственог информационог система Агенције за заштиту животне средине;</w:t>
      </w:r>
    </w:p>
    <w:p w14:paraId="3B7DAD5F" w14:textId="623695A7"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вођење регистра заштићених природних добара и других података од значаја за заштиту природе;</w:t>
      </w:r>
    </w:p>
    <w:p w14:paraId="4D864FA9" w14:textId="09358CE4" w:rsidR="00A75F85" w:rsidRPr="00EF2F18" w:rsidRDefault="00A75F85" w:rsidP="00313E8E">
      <w:pPr>
        <w:pStyle w:val="Normal1"/>
        <w:numPr>
          <w:ilvl w:val="0"/>
          <w:numId w:val="44"/>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обавља и друге послове утврђене законом.</w:t>
      </w:r>
    </w:p>
    <w:p w14:paraId="6004EB20" w14:textId="77777777" w:rsidR="006A7693" w:rsidRPr="00EF2F18" w:rsidRDefault="006A7693" w:rsidP="006A7693">
      <w:pPr>
        <w:pStyle w:val="Normal1"/>
        <w:spacing w:after="0"/>
        <w:jc w:val="both"/>
        <w:rPr>
          <w:rFonts w:ascii="Times New Roman" w:hAnsi="Times New Roman" w:cs="Times New Roman"/>
          <w:b/>
          <w:i/>
          <w:lang w:val="sr-Cyrl-RS"/>
        </w:rPr>
      </w:pPr>
    </w:p>
    <w:p w14:paraId="46F8EC8E" w14:textId="7DF66419" w:rsidR="00D41CFC" w:rsidRPr="00EF2F18" w:rsidRDefault="00D41CFC"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Дирек</w:t>
      </w:r>
      <w:r w:rsidR="006F5138" w:rsidRPr="00EF2F18">
        <w:rPr>
          <w:rFonts w:ascii="Times New Roman" w:hAnsi="Times New Roman" w:cs="Times New Roman"/>
          <w:b/>
          <w:i/>
          <w:lang w:val="sr-Cyrl-RS"/>
        </w:rPr>
        <w:t>торат</w:t>
      </w:r>
      <w:r w:rsidRPr="00EF2F18">
        <w:rPr>
          <w:rFonts w:ascii="Times New Roman" w:hAnsi="Times New Roman" w:cs="Times New Roman"/>
          <w:b/>
          <w:i/>
          <w:lang w:val="sr-Cyrl-RS"/>
        </w:rPr>
        <w:t xml:space="preserve"> цивилно</w:t>
      </w:r>
      <w:r w:rsidR="006F5138" w:rsidRPr="00EF2F18">
        <w:rPr>
          <w:rFonts w:ascii="Times New Roman" w:hAnsi="Times New Roman" w:cs="Times New Roman"/>
          <w:b/>
          <w:i/>
          <w:lang w:val="sr-Cyrl-RS"/>
        </w:rPr>
        <w:t>г</w:t>
      </w:r>
      <w:r w:rsidRPr="00EF2F18">
        <w:rPr>
          <w:rFonts w:ascii="Times New Roman" w:hAnsi="Times New Roman" w:cs="Times New Roman"/>
          <w:b/>
          <w:i/>
          <w:lang w:val="sr-Cyrl-RS"/>
        </w:rPr>
        <w:t xml:space="preserve"> ваздухопловств</w:t>
      </w:r>
      <w:r w:rsidR="006F5138" w:rsidRPr="00EF2F18">
        <w:rPr>
          <w:rFonts w:ascii="Times New Roman" w:hAnsi="Times New Roman" w:cs="Times New Roman"/>
          <w:b/>
          <w:i/>
          <w:lang w:val="sr-Cyrl-RS"/>
        </w:rPr>
        <w:t>а</w:t>
      </w:r>
      <w:r w:rsidRPr="00EF2F18">
        <w:rPr>
          <w:rFonts w:ascii="Times New Roman" w:hAnsi="Times New Roman" w:cs="Times New Roman"/>
          <w:b/>
          <w:i/>
          <w:lang w:val="sr-Cyrl-RS"/>
        </w:rPr>
        <w:t xml:space="preserve"> Републике Србије </w:t>
      </w:r>
    </w:p>
    <w:p w14:paraId="5697EE95" w14:textId="2FE463D8" w:rsidR="00D41CFC" w:rsidRPr="00EF2F18" w:rsidRDefault="00D41CFC"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Дирек</w:t>
      </w:r>
      <w:r w:rsidR="006F5138" w:rsidRPr="00EF2F18">
        <w:rPr>
          <w:rFonts w:ascii="Times New Roman" w:hAnsi="Times New Roman" w:cs="Times New Roman"/>
          <w:lang w:val="sr-Cyrl-RS"/>
        </w:rPr>
        <w:t>торат</w:t>
      </w:r>
      <w:r w:rsidRPr="00EF2F18">
        <w:rPr>
          <w:rFonts w:ascii="Times New Roman" w:hAnsi="Times New Roman" w:cs="Times New Roman"/>
          <w:lang w:val="sr-Cyrl-RS"/>
        </w:rPr>
        <w:t xml:space="preserve"> је јавна агенција, чија оснивачка права остварује Влада у име Републике Србије, а која обавља послове државне управе који су joj поверени Законом о ваздушном саобраћају. Дирек</w:t>
      </w:r>
      <w:r w:rsidR="006F5138" w:rsidRPr="00EF2F18">
        <w:rPr>
          <w:rFonts w:ascii="Times New Roman" w:hAnsi="Times New Roman" w:cs="Times New Roman"/>
          <w:lang w:val="sr-Cyrl-RS"/>
        </w:rPr>
        <w:t>торат</w:t>
      </w:r>
      <w:r w:rsidRPr="00EF2F18">
        <w:rPr>
          <w:rFonts w:ascii="Times New Roman" w:hAnsi="Times New Roman" w:cs="Times New Roman"/>
          <w:lang w:val="sr-Cyrl-RS"/>
        </w:rPr>
        <w:t xml:space="preserve">, у сарадњи са </w:t>
      </w:r>
      <w:r w:rsidR="003D2DCB" w:rsidRPr="003D2DCB">
        <w:rPr>
          <w:rFonts w:ascii="Times New Roman" w:hAnsi="Times New Roman" w:cs="Times New Roman"/>
          <w:lang w:val="sr-Cyrl-RS"/>
        </w:rPr>
        <w:t>Агенциј</w:t>
      </w:r>
      <w:r w:rsidR="003D2DCB">
        <w:rPr>
          <w:rFonts w:ascii="Times New Roman" w:hAnsi="Times New Roman" w:cs="Times New Roman"/>
          <w:lang w:val="sr-Cyrl-RS"/>
        </w:rPr>
        <w:t>ом</w:t>
      </w:r>
      <w:r w:rsidR="003D2DCB" w:rsidRPr="003D2DCB">
        <w:rPr>
          <w:rFonts w:ascii="Times New Roman" w:hAnsi="Times New Roman" w:cs="Times New Roman"/>
          <w:lang w:val="sr-Cyrl-RS"/>
        </w:rPr>
        <w:t xml:space="preserve"> за заштиту животне средине</w:t>
      </w:r>
      <w:r w:rsidR="006F5138" w:rsidRPr="00EF2F18">
        <w:rPr>
          <w:rFonts w:ascii="Times New Roman" w:hAnsi="Times New Roman" w:cs="Times New Roman"/>
          <w:lang w:val="sr-Cyrl-RS"/>
        </w:rPr>
        <w:t>:</w:t>
      </w:r>
    </w:p>
    <w:p w14:paraId="1DA8B2A8" w14:textId="763FAC5C" w:rsidR="00D41CFC" w:rsidRPr="00EF2F18" w:rsidRDefault="00D41CFC" w:rsidP="00313E8E">
      <w:pPr>
        <w:pStyle w:val="Normal1"/>
        <w:numPr>
          <w:ilvl w:val="0"/>
          <w:numId w:val="45"/>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пружа техничку подршку у </w:t>
      </w:r>
      <w:r w:rsidR="000C0780" w:rsidRPr="00EF2F18">
        <w:rPr>
          <w:rFonts w:ascii="Times New Roman" w:hAnsi="Times New Roman" w:cs="Times New Roman"/>
          <w:lang w:val="sr-Cyrl-RS"/>
        </w:rPr>
        <w:t>борби против климатских промена;</w:t>
      </w:r>
      <w:r w:rsidRPr="00EF2F18">
        <w:rPr>
          <w:rFonts w:ascii="Times New Roman" w:hAnsi="Times New Roman" w:cs="Times New Roman"/>
          <w:lang w:val="sr-Cyrl-RS"/>
        </w:rPr>
        <w:t xml:space="preserve"> </w:t>
      </w:r>
    </w:p>
    <w:p w14:paraId="6BDA996A" w14:textId="77777777" w:rsidR="00D41CFC" w:rsidRPr="00EF2F18" w:rsidRDefault="00D41CFC" w:rsidP="00313E8E">
      <w:pPr>
        <w:pStyle w:val="Normal1"/>
        <w:numPr>
          <w:ilvl w:val="0"/>
          <w:numId w:val="45"/>
        </w:numPr>
        <w:pBdr>
          <w:top w:val="nil"/>
          <w:left w:val="nil"/>
          <w:bottom w:val="nil"/>
          <w:right w:val="nil"/>
          <w:between w:val="nil"/>
        </w:pBdr>
        <w:tabs>
          <w:tab w:val="left" w:pos="426"/>
        </w:tabs>
        <w:spacing w:after="0"/>
        <w:jc w:val="both"/>
        <w:rPr>
          <w:rFonts w:ascii="Times New Roman" w:hAnsi="Times New Roman" w:cs="Times New Roman"/>
          <w:lang w:val="sr-Cyrl-RS"/>
        </w:rPr>
      </w:pPr>
      <w:r w:rsidRPr="00EF2F18">
        <w:rPr>
          <w:rFonts w:ascii="Times New Roman" w:hAnsi="Times New Roman" w:cs="Times New Roman"/>
          <w:lang w:val="sr-Cyrl-RS"/>
        </w:rPr>
        <w:t xml:space="preserve">врши друге послове у области утицаја ваздушног саобраћаја на животну средину. </w:t>
      </w:r>
    </w:p>
    <w:p w14:paraId="5DCFA0DF" w14:textId="77777777" w:rsidR="004E5BE0" w:rsidRPr="00EF2F18" w:rsidRDefault="004E5BE0" w:rsidP="006A7693">
      <w:pPr>
        <w:pStyle w:val="Normal1"/>
        <w:spacing w:after="0"/>
        <w:jc w:val="both"/>
        <w:rPr>
          <w:rFonts w:ascii="Times New Roman" w:hAnsi="Times New Roman" w:cs="Times New Roman"/>
          <w:b/>
          <w:i/>
          <w:lang w:val="sr-Cyrl-RS"/>
        </w:rPr>
      </w:pPr>
    </w:p>
    <w:p w14:paraId="3C3C752A" w14:textId="458015C3" w:rsidR="00D41CFC" w:rsidRPr="00EF2F18" w:rsidRDefault="00D41CFC" w:rsidP="00342B1B">
      <w:pPr>
        <w:pStyle w:val="Normal1"/>
        <w:spacing w:after="0"/>
        <w:ind w:firstLine="720"/>
        <w:jc w:val="both"/>
        <w:rPr>
          <w:rFonts w:ascii="Times New Roman" w:hAnsi="Times New Roman" w:cs="Times New Roman"/>
          <w:lang w:val="sr-Cyrl-RS"/>
        </w:rPr>
      </w:pPr>
      <w:r w:rsidRPr="00EF2F18">
        <w:rPr>
          <w:rFonts w:ascii="Times New Roman" w:hAnsi="Times New Roman" w:cs="Times New Roman"/>
          <w:b/>
          <w:i/>
          <w:lang w:val="sr-Cyrl-RS"/>
        </w:rPr>
        <w:t>Институт за стандардизацију Србије</w:t>
      </w:r>
      <w:r w:rsidR="005E42D2" w:rsidRPr="00EF2F18">
        <w:rPr>
          <w:rFonts w:ascii="Times New Roman" w:hAnsi="Times New Roman" w:cs="Times New Roman"/>
          <w:lang w:val="sr-Cyrl-RS"/>
        </w:rPr>
        <w:t xml:space="preserve"> </w:t>
      </w:r>
    </w:p>
    <w:p w14:paraId="7F22B85B" w14:textId="41FFF2EB" w:rsidR="00D41CFC" w:rsidRPr="00EF2F18" w:rsidRDefault="00D41CFC"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Институт је национални орган за стандардизацију у Републици Србији, као институција која је правно лице и послује у складу са прописима који регулишу правни статус јавних служби. Оснивач Института је Влада. Она је одговорна за усвајање стандарда у</w:t>
      </w:r>
      <w:r w:rsidR="009E6CFF" w:rsidRPr="00EF2F18">
        <w:rPr>
          <w:rFonts w:ascii="Times New Roman" w:hAnsi="Times New Roman" w:cs="Times New Roman"/>
          <w:lang w:val="sr-Cyrl-RS"/>
        </w:rPr>
        <w:t xml:space="preserve"> Републици</w:t>
      </w:r>
      <w:r w:rsidRPr="00EF2F18">
        <w:rPr>
          <w:rFonts w:ascii="Times New Roman" w:hAnsi="Times New Roman" w:cs="Times New Roman"/>
          <w:lang w:val="sr-Cyrl-RS"/>
        </w:rPr>
        <w:t xml:space="preserve"> Србији, такође и у области заштите животне средине. </w:t>
      </w:r>
    </w:p>
    <w:p w14:paraId="1A94D314" w14:textId="77777777" w:rsidR="006A7693" w:rsidRPr="00EF2F18" w:rsidRDefault="006A7693" w:rsidP="006A7693">
      <w:pPr>
        <w:pStyle w:val="Normal1"/>
        <w:spacing w:after="0"/>
        <w:jc w:val="both"/>
        <w:rPr>
          <w:rFonts w:ascii="Times New Roman" w:hAnsi="Times New Roman" w:cs="Times New Roman"/>
          <w:b/>
          <w:i/>
          <w:lang w:val="sr-Cyrl-RS"/>
        </w:rPr>
      </w:pPr>
    </w:p>
    <w:p w14:paraId="72078526" w14:textId="4B2B069A" w:rsidR="00D41CFC" w:rsidRPr="00EF2F18" w:rsidRDefault="00D41CFC" w:rsidP="00342B1B">
      <w:pPr>
        <w:pStyle w:val="Normal1"/>
        <w:spacing w:after="0"/>
        <w:ind w:firstLine="720"/>
        <w:jc w:val="both"/>
        <w:rPr>
          <w:rFonts w:ascii="Times New Roman" w:hAnsi="Times New Roman" w:cs="Times New Roman"/>
          <w:b/>
          <w:i/>
          <w:lang w:val="sr-Cyrl-RS"/>
        </w:rPr>
      </w:pPr>
      <w:r w:rsidRPr="00EF2F18">
        <w:rPr>
          <w:rFonts w:ascii="Times New Roman" w:hAnsi="Times New Roman" w:cs="Times New Roman"/>
          <w:b/>
          <w:i/>
          <w:lang w:val="sr-Cyrl-RS"/>
        </w:rPr>
        <w:t xml:space="preserve">Републички завод за статистику </w:t>
      </w:r>
      <w:r w:rsidR="006B2F45" w:rsidRPr="00EF2F18">
        <w:rPr>
          <w:rFonts w:ascii="Times New Roman" w:hAnsi="Times New Roman" w:cs="Times New Roman"/>
          <w:b/>
          <w:i/>
          <w:lang w:val="sr-Cyrl-RS"/>
        </w:rPr>
        <w:t>(РЗС)</w:t>
      </w:r>
    </w:p>
    <w:p w14:paraId="258BFA04" w14:textId="1DD50308" w:rsidR="00D41CFC" w:rsidRPr="00EF2F18" w:rsidRDefault="00342B1B"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bCs/>
          <w:lang w:val="sr-Cyrl-RS"/>
        </w:rPr>
        <w:t>Републички завод за статистику</w:t>
      </w:r>
      <w:r w:rsidR="00D41CFC" w:rsidRPr="00EF2F18">
        <w:rPr>
          <w:rFonts w:ascii="Times New Roman" w:hAnsi="Times New Roman" w:cs="Times New Roman"/>
          <w:b/>
          <w:i/>
          <w:lang w:val="sr-Cyrl-RS"/>
        </w:rPr>
        <w:t xml:space="preserve"> </w:t>
      </w:r>
      <w:r w:rsidR="00D41CFC" w:rsidRPr="00EF2F18">
        <w:rPr>
          <w:rFonts w:ascii="Times New Roman" w:hAnsi="Times New Roman" w:cs="Times New Roman"/>
          <w:lang w:val="sr-Cyrl-RS"/>
        </w:rPr>
        <w:t>одговоран је за формирање система за националну употребу, програм усвајања, развој методологија, сарадњу и техничку координацију са органима и организацијама овлашћеним за спровођење статистичких истраживања, сарадњу са међународним организацијама за стандардизацију и обезбеђивање упоредивости података, као и друге задатке дефинисане по закону.</w:t>
      </w:r>
    </w:p>
    <w:p w14:paraId="5EB6497C" w14:textId="77777777" w:rsidR="00175803" w:rsidRPr="00EF2F18" w:rsidRDefault="00175803" w:rsidP="00D41CFC">
      <w:pPr>
        <w:pStyle w:val="Normal1"/>
        <w:spacing w:after="0"/>
        <w:ind w:firstLine="720"/>
        <w:jc w:val="both"/>
        <w:rPr>
          <w:rFonts w:ascii="Times New Roman" w:hAnsi="Times New Roman" w:cs="Times New Roman"/>
          <w:lang w:val="sr-Cyrl-RS"/>
        </w:rPr>
      </w:pPr>
    </w:p>
    <w:p w14:paraId="740CD5D5" w14:textId="7BEDA9FC" w:rsidR="00175803" w:rsidRPr="00EF2F18" w:rsidRDefault="00175803" w:rsidP="00342B1B">
      <w:pPr>
        <w:pStyle w:val="Normal1"/>
        <w:spacing w:after="0"/>
        <w:ind w:firstLine="720"/>
        <w:jc w:val="both"/>
        <w:rPr>
          <w:rFonts w:ascii="Times New Roman" w:hAnsi="Times New Roman" w:cs="Times New Roman"/>
          <w:b/>
          <w:i/>
          <w:iCs/>
          <w:lang w:val="sr-Cyrl-RS"/>
        </w:rPr>
      </w:pPr>
      <w:r w:rsidRPr="00EF2F18">
        <w:rPr>
          <w:rFonts w:ascii="Times New Roman" w:hAnsi="Times New Roman" w:cs="Times New Roman"/>
          <w:b/>
          <w:i/>
          <w:iCs/>
          <w:lang w:val="sr-Cyrl-RS"/>
        </w:rPr>
        <w:t>Републички секретаријат за јавне политике</w:t>
      </w:r>
    </w:p>
    <w:p w14:paraId="29AA22BA" w14:textId="2E07A1E2" w:rsidR="00175803" w:rsidRPr="00EF2F18" w:rsidRDefault="00175803" w:rsidP="00D41CFC">
      <w:pPr>
        <w:pStyle w:val="Normal1"/>
        <w:spacing w:after="0"/>
        <w:ind w:firstLine="720"/>
        <w:jc w:val="both"/>
        <w:rPr>
          <w:rFonts w:ascii="Times New Roman" w:hAnsi="Times New Roman" w:cs="Times New Roman"/>
          <w:lang w:val="sr-Cyrl-RS"/>
        </w:rPr>
      </w:pPr>
      <w:r w:rsidRPr="00EF2F18">
        <w:rPr>
          <w:rFonts w:ascii="Times New Roman" w:hAnsi="Times New Roman" w:cs="Times New Roman"/>
          <w:bCs/>
          <w:lang w:val="sr-Cyrl-RS"/>
        </w:rPr>
        <w:t>Републички секретаријат за јавне политике надлежан за креирање и управљање јавним политикама, спровођење регулаторне реформе и анализу ефеката докумената јавних политика и прописа које припремају министарства и посебне организације</w:t>
      </w:r>
      <w:r w:rsidR="00BB5E51" w:rsidRPr="00EF2F18">
        <w:rPr>
          <w:rFonts w:ascii="Times New Roman" w:hAnsi="Times New Roman" w:cs="Times New Roman"/>
          <w:bCs/>
          <w:lang w:val="sr-Cyrl-RS"/>
        </w:rPr>
        <w:t>.</w:t>
      </w:r>
    </w:p>
    <w:p w14:paraId="715F4EE1" w14:textId="77777777" w:rsidR="006A7693" w:rsidRPr="00EF2F18" w:rsidRDefault="006A7693" w:rsidP="006A7693">
      <w:pPr>
        <w:pStyle w:val="Normal1"/>
        <w:spacing w:after="0"/>
        <w:ind w:right="-188"/>
        <w:jc w:val="both"/>
        <w:rPr>
          <w:rFonts w:ascii="Times New Roman" w:hAnsi="Times New Roman" w:cs="Times New Roman"/>
          <w:b/>
          <w:i/>
          <w:lang w:val="sr-Cyrl-RS"/>
        </w:rPr>
      </w:pPr>
    </w:p>
    <w:p w14:paraId="6AA90B19" w14:textId="439D7EB0" w:rsidR="00D41CFC" w:rsidRPr="00EF2F18" w:rsidRDefault="00D41CFC" w:rsidP="00342B1B">
      <w:pPr>
        <w:pStyle w:val="Normal1"/>
        <w:spacing w:after="0"/>
        <w:ind w:right="-188" w:firstLine="720"/>
        <w:jc w:val="both"/>
        <w:rPr>
          <w:rFonts w:ascii="Times New Roman" w:hAnsi="Times New Roman" w:cs="Times New Roman"/>
          <w:lang w:val="sr-Cyrl-RS"/>
        </w:rPr>
      </w:pPr>
      <w:r w:rsidRPr="00EF2F18">
        <w:rPr>
          <w:rFonts w:ascii="Times New Roman" w:hAnsi="Times New Roman" w:cs="Times New Roman"/>
          <w:b/>
          <w:i/>
          <w:lang w:val="sr-Cyrl-RS"/>
        </w:rPr>
        <w:t xml:space="preserve">Влада </w:t>
      </w:r>
      <w:r w:rsidR="006B2F45" w:rsidRPr="00EF2F18">
        <w:rPr>
          <w:rFonts w:ascii="Times New Roman" w:hAnsi="Times New Roman" w:cs="Times New Roman"/>
          <w:b/>
          <w:i/>
          <w:lang w:val="sr-Cyrl-RS"/>
        </w:rPr>
        <w:t xml:space="preserve">Аутономне </w:t>
      </w:r>
      <w:r w:rsidRPr="00EF2F18">
        <w:rPr>
          <w:rFonts w:ascii="Times New Roman" w:hAnsi="Times New Roman" w:cs="Times New Roman"/>
          <w:b/>
          <w:i/>
          <w:lang w:val="sr-Cyrl-RS"/>
        </w:rPr>
        <w:t>покрајине Војводине</w:t>
      </w:r>
      <w:r w:rsidRPr="00EF2F18">
        <w:rPr>
          <w:rFonts w:ascii="Times New Roman" w:hAnsi="Times New Roman" w:cs="Times New Roman"/>
          <w:lang w:val="sr-Cyrl-RS"/>
        </w:rPr>
        <w:t xml:space="preserve"> </w:t>
      </w:r>
      <w:r w:rsidR="00342B1B" w:rsidRPr="00EF2F18">
        <w:rPr>
          <w:rFonts w:ascii="Times New Roman" w:hAnsi="Times New Roman" w:cs="Times New Roman"/>
          <w:b/>
          <w:i/>
          <w:lang w:val="sr-Cyrl-RS"/>
        </w:rPr>
        <w:t>(Покрајинска влада)</w:t>
      </w:r>
    </w:p>
    <w:p w14:paraId="467AA06F" w14:textId="63695822" w:rsidR="00D41CFC" w:rsidRPr="00EF2F18" w:rsidRDefault="00D41CFC" w:rsidP="00D41CFC">
      <w:pPr>
        <w:pStyle w:val="Normal1"/>
        <w:spacing w:after="0"/>
        <w:ind w:right="-188" w:firstLine="720"/>
        <w:jc w:val="both"/>
        <w:rPr>
          <w:rFonts w:ascii="Times New Roman" w:hAnsi="Times New Roman" w:cs="Times New Roman"/>
          <w:lang w:val="sr-Cyrl-RS"/>
        </w:rPr>
      </w:pPr>
      <w:r w:rsidRPr="00EF2F18">
        <w:rPr>
          <w:rFonts w:ascii="Times New Roman" w:hAnsi="Times New Roman" w:cs="Times New Roman"/>
          <w:bCs/>
          <w:iCs/>
          <w:lang w:val="sr-Cyrl-RS"/>
        </w:rPr>
        <w:t xml:space="preserve">Влада </w:t>
      </w:r>
      <w:r w:rsidR="006B2F45" w:rsidRPr="00EF2F18">
        <w:rPr>
          <w:rFonts w:ascii="Times New Roman" w:hAnsi="Times New Roman" w:cs="Times New Roman"/>
          <w:bCs/>
          <w:iCs/>
          <w:lang w:val="sr-Cyrl-RS"/>
        </w:rPr>
        <w:t xml:space="preserve">Аутономне </w:t>
      </w:r>
      <w:r w:rsidRPr="00EF2F18">
        <w:rPr>
          <w:rFonts w:ascii="Times New Roman" w:hAnsi="Times New Roman" w:cs="Times New Roman"/>
          <w:bCs/>
          <w:iCs/>
          <w:lang w:val="sr-Cyrl-RS"/>
        </w:rPr>
        <w:t>покрајине Војводине има одговорност за управљање и контролу на</w:t>
      </w:r>
      <w:r w:rsidRPr="00EF2F18">
        <w:rPr>
          <w:rFonts w:ascii="Times New Roman" w:hAnsi="Times New Roman" w:cs="Times New Roman"/>
          <w:lang w:val="sr-Cyrl-RS"/>
        </w:rPr>
        <w:t xml:space="preserve"> својој територији. Одговорности АП Војводине, према Закону о утврђивању одговорности АП </w:t>
      </w:r>
      <w:r w:rsidR="00930B91" w:rsidRPr="00EF2F18">
        <w:rPr>
          <w:rFonts w:ascii="Times New Roman" w:hAnsi="Times New Roman" w:cs="Times New Roman"/>
          <w:lang w:val="sr-Cyrl-RS"/>
        </w:rPr>
        <w:t>Војводине („Службени гласник РС</w:t>
      </w:r>
      <w:r w:rsidRPr="00EF2F18">
        <w:rPr>
          <w:rFonts w:ascii="Times New Roman" w:hAnsi="Times New Roman" w:cs="Times New Roman"/>
          <w:lang w:val="sr-Cyrl-RS"/>
        </w:rPr>
        <w:t>”</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бр. 99/09, 67/12</w:t>
      </w:r>
      <w:r w:rsidR="006F53E3" w:rsidRPr="00EF2F18">
        <w:rPr>
          <w:rFonts w:ascii="Times New Roman" w:hAnsi="Times New Roman" w:cs="Times New Roman"/>
          <w:lang w:val="sr-Cyrl-RS"/>
        </w:rPr>
        <w:t xml:space="preserve">, </w:t>
      </w:r>
      <w:r w:rsidR="006F53E3" w:rsidRPr="00EF2F18">
        <w:rPr>
          <w:rFonts w:ascii="Times New Roman" w:hAnsi="Times New Roman"/>
          <w:lang w:val="sr-Cyrl-RS"/>
        </w:rPr>
        <w:t>18/20, 18/20 – др. закон и 111/21 – др. закон</w:t>
      </w:r>
      <w:r w:rsidRPr="00EF2F18">
        <w:rPr>
          <w:rFonts w:ascii="Times New Roman" w:hAnsi="Times New Roman" w:cs="Times New Roman"/>
          <w:lang w:val="sr-Cyrl-RS"/>
        </w:rPr>
        <w:t xml:space="preserve">) обухватају следеће секторе, који су релевантни за правну тековину ЕУ у области животне средине и климатских промена: </w:t>
      </w:r>
    </w:p>
    <w:p w14:paraId="6969AC32"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 xml:space="preserve">урбанистичко планирање, изградња и коришћење земљишта; </w:t>
      </w:r>
    </w:p>
    <w:p w14:paraId="15FFED42"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 xml:space="preserve">ветеринарство; </w:t>
      </w:r>
    </w:p>
    <w:p w14:paraId="163DB075"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 xml:space="preserve">пољопривреда; </w:t>
      </w:r>
    </w:p>
    <w:p w14:paraId="57A723D0"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 xml:space="preserve">водопривреда; </w:t>
      </w:r>
    </w:p>
    <w:p w14:paraId="4215BBF4"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 xml:space="preserve">шумарство; </w:t>
      </w:r>
    </w:p>
    <w:p w14:paraId="56D84DDD" w14:textId="6D567B95"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27"/>
        <w:jc w:val="both"/>
        <w:rPr>
          <w:rFonts w:ascii="Times New Roman" w:hAnsi="Times New Roman" w:cs="Times New Roman"/>
          <w:lang w:val="sr-Cyrl-RS"/>
        </w:rPr>
      </w:pPr>
      <w:r w:rsidRPr="00EF2F18">
        <w:rPr>
          <w:rFonts w:ascii="Times New Roman" w:hAnsi="Times New Roman" w:cs="Times New Roman"/>
          <w:lang w:val="sr-Cyrl-RS"/>
        </w:rPr>
        <w:t>заштите животне средине (чл. 16, 25. и 28</w:t>
      </w:r>
      <w:r w:rsidR="002E38DE" w:rsidRPr="00EF2F18">
        <w:rPr>
          <w:rFonts w:ascii="Times New Roman" w:hAnsi="Times New Roman" w:cs="Times New Roman"/>
          <w:lang w:val="sr-Cyrl-RS"/>
        </w:rPr>
        <w:t>.</w:t>
      </w:r>
      <w:r w:rsidRPr="00EF2F18">
        <w:rPr>
          <w:rFonts w:ascii="Times New Roman" w:hAnsi="Times New Roman" w:cs="Times New Roman"/>
          <w:lang w:val="sr-Cyrl-RS"/>
        </w:rPr>
        <w:t xml:space="preserve">) укључујући и управљање природним ресурсима; </w:t>
      </w:r>
    </w:p>
    <w:p w14:paraId="43300967"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27"/>
        <w:jc w:val="both"/>
        <w:rPr>
          <w:rFonts w:ascii="Times New Roman" w:hAnsi="Times New Roman" w:cs="Times New Roman"/>
          <w:lang w:val="sr-Cyrl-RS"/>
        </w:rPr>
      </w:pPr>
      <w:r w:rsidRPr="00EF2F18">
        <w:rPr>
          <w:rFonts w:ascii="Times New Roman" w:hAnsi="Times New Roman" w:cs="Times New Roman"/>
          <w:lang w:val="sr-Cyrl-RS"/>
        </w:rPr>
        <w:t xml:space="preserve">усклађивање са националним програмима; </w:t>
      </w:r>
    </w:p>
    <w:p w14:paraId="24E58066"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27"/>
        <w:jc w:val="both"/>
        <w:rPr>
          <w:rFonts w:ascii="Times New Roman" w:hAnsi="Times New Roman" w:cs="Times New Roman"/>
          <w:lang w:val="sr-Cyrl-RS"/>
        </w:rPr>
      </w:pPr>
      <w:r w:rsidRPr="00EF2F18">
        <w:rPr>
          <w:rFonts w:ascii="Times New Roman" w:hAnsi="Times New Roman" w:cs="Times New Roman"/>
          <w:lang w:val="sr-Cyrl-RS"/>
        </w:rPr>
        <w:t xml:space="preserve">инспекције и спровођење; </w:t>
      </w:r>
    </w:p>
    <w:p w14:paraId="137B8394" w14:textId="77777777" w:rsidR="00D41CFC" w:rsidRPr="00EF2F18" w:rsidRDefault="00D41CFC" w:rsidP="00313E8E">
      <w:pPr>
        <w:pStyle w:val="Normal1"/>
        <w:numPr>
          <w:ilvl w:val="0"/>
          <w:numId w:val="46"/>
        </w:numPr>
        <w:pBdr>
          <w:top w:val="nil"/>
          <w:left w:val="nil"/>
          <w:bottom w:val="nil"/>
          <w:right w:val="nil"/>
          <w:between w:val="nil"/>
        </w:pBdr>
        <w:tabs>
          <w:tab w:val="left" w:pos="426"/>
        </w:tabs>
        <w:spacing w:after="0"/>
        <w:ind w:right="27"/>
        <w:jc w:val="both"/>
        <w:rPr>
          <w:rFonts w:ascii="Times New Roman" w:hAnsi="Times New Roman" w:cs="Times New Roman"/>
          <w:lang w:val="sr-Cyrl-RS"/>
        </w:rPr>
      </w:pPr>
      <w:r w:rsidRPr="00EF2F18">
        <w:rPr>
          <w:rFonts w:ascii="Times New Roman" w:hAnsi="Times New Roman" w:cs="Times New Roman"/>
          <w:lang w:val="sr-Cyrl-RS"/>
        </w:rPr>
        <w:t xml:space="preserve">наплата за заштиту и унапређење животне средине. </w:t>
      </w:r>
    </w:p>
    <w:p w14:paraId="3B90AAC6" w14:textId="77777777" w:rsidR="006A7693" w:rsidRPr="00EF2F18" w:rsidRDefault="006A7693" w:rsidP="008212C2">
      <w:pPr>
        <w:pStyle w:val="Normal1"/>
        <w:spacing w:after="0"/>
        <w:ind w:right="27"/>
        <w:jc w:val="both"/>
        <w:rPr>
          <w:rFonts w:ascii="Times New Roman" w:hAnsi="Times New Roman" w:cs="Times New Roman"/>
          <w:b/>
          <w:i/>
          <w:lang w:val="sr-Cyrl-RS"/>
        </w:rPr>
      </w:pPr>
    </w:p>
    <w:p w14:paraId="052E996F" w14:textId="25D84A71" w:rsidR="00F463C8" w:rsidRPr="00EF2F18" w:rsidRDefault="00F463C8" w:rsidP="00342B1B">
      <w:pPr>
        <w:pStyle w:val="Normal2"/>
        <w:shd w:val="clear" w:color="auto" w:fill="FFFFFF"/>
        <w:spacing w:before="0" w:beforeAutospacing="0" w:after="0" w:afterAutospacing="0"/>
        <w:ind w:right="27" w:firstLine="720"/>
        <w:jc w:val="both"/>
        <w:rPr>
          <w:sz w:val="22"/>
          <w:szCs w:val="22"/>
          <w:lang w:val="sr-Cyrl-RS"/>
        </w:rPr>
      </w:pPr>
      <w:r w:rsidRPr="00EF2F18">
        <w:rPr>
          <w:sz w:val="22"/>
          <w:szCs w:val="22"/>
          <w:lang w:val="sr-Cyrl-RS"/>
        </w:rPr>
        <w:t>АП Војводина, преко својих органа, у складу са законом, врши инспекцијски надзор на</w:t>
      </w:r>
      <w:r w:rsidR="008212C2" w:rsidRPr="00EF2F18">
        <w:rPr>
          <w:sz w:val="22"/>
          <w:szCs w:val="22"/>
          <w:lang w:val="sr-Cyrl-RS"/>
        </w:rPr>
        <w:t xml:space="preserve"> </w:t>
      </w:r>
      <w:r w:rsidRPr="00EF2F18">
        <w:rPr>
          <w:sz w:val="22"/>
          <w:szCs w:val="22"/>
          <w:lang w:val="sr-Cyrl-RS"/>
        </w:rPr>
        <w:t>територији АП Војводине.</w:t>
      </w:r>
      <w:r w:rsidR="008212C2" w:rsidRPr="00EF2F18">
        <w:rPr>
          <w:sz w:val="22"/>
          <w:szCs w:val="22"/>
          <w:lang w:val="sr-Cyrl-RS"/>
        </w:rPr>
        <w:t xml:space="preserve"> Ови п</w:t>
      </w:r>
      <w:r w:rsidRPr="00EF2F18">
        <w:rPr>
          <w:sz w:val="22"/>
          <w:szCs w:val="22"/>
          <w:lang w:val="sr-Cyrl-RS"/>
        </w:rPr>
        <w:t xml:space="preserve">ослови </w:t>
      </w:r>
      <w:r w:rsidR="008212C2" w:rsidRPr="00EF2F18">
        <w:rPr>
          <w:sz w:val="22"/>
          <w:szCs w:val="22"/>
          <w:lang w:val="sr-Cyrl-RS"/>
        </w:rPr>
        <w:t>се</w:t>
      </w:r>
      <w:r w:rsidRPr="00EF2F18">
        <w:rPr>
          <w:sz w:val="22"/>
          <w:szCs w:val="22"/>
          <w:lang w:val="sr-Cyrl-RS"/>
        </w:rPr>
        <w:t xml:space="preserve"> врше као поверени.</w:t>
      </w:r>
    </w:p>
    <w:p w14:paraId="02F53D6C" w14:textId="701F316E" w:rsidR="00186B13" w:rsidRDefault="00186B13" w:rsidP="008212C2">
      <w:pPr>
        <w:pStyle w:val="Normal1"/>
        <w:spacing w:after="0"/>
        <w:ind w:right="27"/>
        <w:jc w:val="both"/>
        <w:rPr>
          <w:rFonts w:ascii="Times New Roman" w:hAnsi="Times New Roman" w:cs="Times New Roman"/>
          <w:b/>
          <w:i/>
          <w:lang w:val="sr-Cyrl-RS"/>
        </w:rPr>
      </w:pPr>
    </w:p>
    <w:p w14:paraId="77B82E90" w14:textId="11B852C8" w:rsidR="004E449F" w:rsidRDefault="004E449F" w:rsidP="008212C2">
      <w:pPr>
        <w:pStyle w:val="Normal1"/>
        <w:spacing w:after="0"/>
        <w:ind w:right="27"/>
        <w:jc w:val="both"/>
        <w:rPr>
          <w:rFonts w:ascii="Times New Roman" w:hAnsi="Times New Roman" w:cs="Times New Roman"/>
          <w:b/>
          <w:i/>
          <w:lang w:val="sr-Cyrl-RS"/>
        </w:rPr>
      </w:pPr>
    </w:p>
    <w:p w14:paraId="674C72D5" w14:textId="0D6528C1" w:rsidR="004E449F" w:rsidRDefault="004E449F" w:rsidP="008212C2">
      <w:pPr>
        <w:pStyle w:val="Normal1"/>
        <w:spacing w:after="0"/>
        <w:ind w:right="27"/>
        <w:jc w:val="both"/>
        <w:rPr>
          <w:rFonts w:ascii="Times New Roman" w:hAnsi="Times New Roman" w:cs="Times New Roman"/>
          <w:b/>
          <w:i/>
          <w:lang w:val="sr-Cyrl-RS"/>
        </w:rPr>
      </w:pPr>
    </w:p>
    <w:p w14:paraId="7CD938E5" w14:textId="77777777" w:rsidR="004E449F" w:rsidRPr="00EF2F18" w:rsidRDefault="004E449F" w:rsidP="008212C2">
      <w:pPr>
        <w:pStyle w:val="Normal1"/>
        <w:spacing w:after="0"/>
        <w:ind w:right="27"/>
        <w:jc w:val="both"/>
        <w:rPr>
          <w:rFonts w:ascii="Times New Roman" w:hAnsi="Times New Roman" w:cs="Times New Roman"/>
          <w:b/>
          <w:i/>
          <w:lang w:val="sr-Cyrl-RS"/>
        </w:rPr>
      </w:pPr>
    </w:p>
    <w:p w14:paraId="047372ED" w14:textId="07AE0F61" w:rsidR="00D41CFC" w:rsidRPr="00EF2F18" w:rsidRDefault="00D41CFC" w:rsidP="00342B1B">
      <w:pPr>
        <w:pStyle w:val="Normal1"/>
        <w:spacing w:after="0"/>
        <w:ind w:right="27" w:firstLine="720"/>
        <w:jc w:val="both"/>
        <w:rPr>
          <w:rFonts w:ascii="Times New Roman" w:hAnsi="Times New Roman" w:cs="Times New Roman"/>
          <w:b/>
          <w:i/>
          <w:lang w:val="sr-Cyrl-RS"/>
        </w:rPr>
      </w:pPr>
      <w:r w:rsidRPr="00EF2F18">
        <w:rPr>
          <w:rFonts w:ascii="Times New Roman" w:hAnsi="Times New Roman" w:cs="Times New Roman"/>
          <w:b/>
          <w:i/>
          <w:lang w:val="sr-Cyrl-RS"/>
        </w:rPr>
        <w:lastRenderedPageBreak/>
        <w:t xml:space="preserve">Покрајински секретаријат за урбанизам и заштиту животне средине (ПСУЗЖС) </w:t>
      </w:r>
    </w:p>
    <w:p w14:paraId="47CFDC0B" w14:textId="182990EC" w:rsidR="00D41CFC" w:rsidRPr="00EF2F18" w:rsidRDefault="00D41CFC" w:rsidP="008212C2">
      <w:pPr>
        <w:pStyle w:val="Normal1"/>
        <w:spacing w:after="0"/>
        <w:ind w:right="27" w:firstLine="720"/>
        <w:jc w:val="both"/>
        <w:rPr>
          <w:rFonts w:ascii="Times New Roman" w:hAnsi="Times New Roman" w:cs="Times New Roman"/>
          <w:bCs/>
          <w:iCs/>
          <w:lang w:val="sr-Cyrl-RS"/>
        </w:rPr>
      </w:pPr>
      <w:bookmarkStart w:id="20" w:name="_Hlk191729695"/>
      <w:r w:rsidRPr="00EF2F18">
        <w:rPr>
          <w:rFonts w:ascii="Times New Roman" w:hAnsi="Times New Roman" w:cs="Times New Roman"/>
          <w:bCs/>
          <w:iCs/>
          <w:lang w:val="sr-Cyrl-RS"/>
        </w:rPr>
        <w:t xml:space="preserve">Покрајински секретаријат за урбанизам и заштиту животне средине: </w:t>
      </w:r>
    </w:p>
    <w:p w14:paraId="5C0C9D60" w14:textId="77777777"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обавља послове покрајинске управе у области просторног и урбанистичког планирања и заштите животне средине;</w:t>
      </w:r>
    </w:p>
    <w:p w14:paraId="6AFE5D50" w14:textId="77777777"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доноси програм заштите животне средине, програм мониторинга животне средине, спољни план заштите од несрећа и природних ресурса и планове и програме управљања имовином;</w:t>
      </w:r>
    </w:p>
    <w:p w14:paraId="3B4EC66A" w14:textId="10C21AA7"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одговоран је за стављање природног добра под заштиту и проглашење стања угрожености животне средине на територији АП Војводине;</w:t>
      </w:r>
    </w:p>
    <w:p w14:paraId="581EB031" w14:textId="37F1900C"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праћење примене прописа из своје надлежности;</w:t>
      </w:r>
    </w:p>
    <w:p w14:paraId="2C5A1FEB" w14:textId="77777777"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 xml:space="preserve">праћење, надзор и помоћ у раду јавних предузећа, установа и јавних служби, чији је оснивач АП Војводина; </w:t>
      </w:r>
    </w:p>
    <w:p w14:paraId="1887453A" w14:textId="4D363488"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одговоран је за контролу експлоатације и заштите природних ресурса и имовине на територији АП Војводине</w:t>
      </w:r>
      <w:r w:rsidR="006F53E3" w:rsidRPr="00EF2F18">
        <w:rPr>
          <w:rFonts w:ascii="Times New Roman" w:hAnsi="Times New Roman" w:cs="Times New Roman"/>
          <w:lang w:val="sr-Cyrl-RS"/>
        </w:rPr>
        <w:t>;</w:t>
      </w:r>
    </w:p>
    <w:p w14:paraId="18778728" w14:textId="77777777"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 xml:space="preserve">обезбеђује сталну контролу и праћење стања животне средине; </w:t>
      </w:r>
    </w:p>
    <w:p w14:paraId="3C88CF24" w14:textId="40B55B54" w:rsidR="00D41CFC" w:rsidRPr="00EF2F18" w:rsidRDefault="00D41CFC" w:rsidP="00313E8E">
      <w:pPr>
        <w:pStyle w:val="Normal1"/>
        <w:numPr>
          <w:ilvl w:val="0"/>
          <w:numId w:val="47"/>
        </w:numPr>
        <w:pBdr>
          <w:top w:val="nil"/>
          <w:left w:val="nil"/>
          <w:bottom w:val="nil"/>
          <w:right w:val="nil"/>
          <w:between w:val="nil"/>
        </w:pBdr>
        <w:tabs>
          <w:tab w:val="left" w:pos="567"/>
        </w:tabs>
        <w:spacing w:after="0"/>
        <w:ind w:right="27"/>
        <w:jc w:val="both"/>
        <w:rPr>
          <w:rFonts w:ascii="Times New Roman" w:hAnsi="Times New Roman" w:cs="Times New Roman"/>
          <w:lang w:val="sr-Cyrl-RS"/>
        </w:rPr>
      </w:pPr>
      <w:r w:rsidRPr="00EF2F18">
        <w:rPr>
          <w:rFonts w:ascii="Times New Roman" w:hAnsi="Times New Roman" w:cs="Times New Roman"/>
          <w:lang w:val="sr-Cyrl-RS"/>
        </w:rPr>
        <w:t>даје услове за обезбеђивање мера и услова за заштиту животне средине (</w:t>
      </w:r>
      <w:r w:rsidR="002E320F" w:rsidRPr="00EF2F18">
        <w:rPr>
          <w:rFonts w:ascii="Times New Roman" w:hAnsi="Times New Roman" w:cs="Times New Roman"/>
          <w:lang w:val="sr-Cyrl-RS"/>
        </w:rPr>
        <w:t xml:space="preserve">у процесу процене утицаја на животну средину, у процесу стратешке процене утицаја, за потребе </w:t>
      </w:r>
      <w:r w:rsidR="00507756" w:rsidRPr="00EF2F18">
        <w:rPr>
          <w:rFonts w:ascii="Times New Roman" w:hAnsi="Times New Roman" w:cs="Times New Roman"/>
          <w:lang w:val="sr-Cyrl-RS"/>
        </w:rPr>
        <w:t>СЕВЕСО</w:t>
      </w:r>
      <w:r w:rsidRPr="00EF2F18">
        <w:rPr>
          <w:rFonts w:ascii="Times New Roman" w:hAnsi="Times New Roman" w:cs="Times New Roman"/>
          <w:lang w:val="sr-Cyrl-RS"/>
        </w:rPr>
        <w:t>).</w:t>
      </w:r>
    </w:p>
    <w:bookmarkEnd w:id="20"/>
    <w:p w14:paraId="6F57D771" w14:textId="77777777" w:rsidR="006A7693" w:rsidRPr="00EF2F18" w:rsidRDefault="006A7693" w:rsidP="008212C2">
      <w:pPr>
        <w:pStyle w:val="Normal1"/>
        <w:spacing w:after="0"/>
        <w:ind w:right="27"/>
        <w:jc w:val="both"/>
        <w:rPr>
          <w:rFonts w:ascii="Times New Roman" w:hAnsi="Times New Roman" w:cs="Times New Roman"/>
          <w:b/>
          <w:i/>
          <w:lang w:val="sr-Cyrl-RS"/>
        </w:rPr>
      </w:pPr>
    </w:p>
    <w:p w14:paraId="677F6819" w14:textId="022F658F" w:rsidR="00D41CFC" w:rsidRPr="00EF2F18" w:rsidRDefault="00D41CFC" w:rsidP="00342B1B">
      <w:pPr>
        <w:pStyle w:val="Normal1"/>
        <w:spacing w:after="0"/>
        <w:ind w:right="27" w:firstLine="720"/>
        <w:jc w:val="both"/>
        <w:rPr>
          <w:rFonts w:ascii="Times New Roman" w:hAnsi="Times New Roman" w:cs="Times New Roman"/>
          <w:b/>
          <w:lang w:val="sr-Cyrl-RS"/>
        </w:rPr>
      </w:pPr>
      <w:r w:rsidRPr="00EF2F18">
        <w:rPr>
          <w:rFonts w:ascii="Times New Roman" w:hAnsi="Times New Roman" w:cs="Times New Roman"/>
          <w:b/>
          <w:i/>
          <w:lang w:val="sr-Cyrl-RS"/>
        </w:rPr>
        <w:t>Покрајински завод за заштиту природе</w:t>
      </w:r>
      <w:r w:rsidRPr="00EF2F18">
        <w:rPr>
          <w:rFonts w:ascii="Times New Roman" w:hAnsi="Times New Roman" w:cs="Times New Roman"/>
          <w:b/>
          <w:lang w:val="sr-Cyrl-RS"/>
        </w:rPr>
        <w:t xml:space="preserve"> </w:t>
      </w:r>
    </w:p>
    <w:p w14:paraId="574C4DB5" w14:textId="5A3CEB0F" w:rsidR="00D41CFC" w:rsidRPr="00EF2F18" w:rsidRDefault="009E6CFF" w:rsidP="008212C2">
      <w:pPr>
        <w:pStyle w:val="Normal1"/>
        <w:spacing w:after="0"/>
        <w:ind w:right="27" w:firstLine="720"/>
        <w:jc w:val="both"/>
        <w:rPr>
          <w:rFonts w:ascii="Times New Roman" w:hAnsi="Times New Roman" w:cs="Times New Roman"/>
          <w:b/>
          <w:lang w:val="sr-Cyrl-RS"/>
        </w:rPr>
      </w:pPr>
      <w:r w:rsidRPr="00EF2F18">
        <w:rPr>
          <w:rFonts w:ascii="Times New Roman" w:hAnsi="Times New Roman" w:cs="Times New Roman"/>
          <w:bCs/>
          <w:iCs/>
          <w:lang w:val="sr-Cyrl-RS"/>
        </w:rPr>
        <w:t>Покрајински завод за заштиту природе</w:t>
      </w:r>
      <w:r w:rsidRPr="00EF2F18" w:rsidDel="009E6CFF">
        <w:rPr>
          <w:rFonts w:ascii="Times New Roman" w:hAnsi="Times New Roman" w:cs="Times New Roman"/>
          <w:lang w:val="sr-Cyrl-RS"/>
        </w:rPr>
        <w:t xml:space="preserve"> </w:t>
      </w:r>
      <w:r w:rsidR="00D41CFC" w:rsidRPr="00EF2F18">
        <w:rPr>
          <w:rFonts w:ascii="Times New Roman" w:hAnsi="Times New Roman" w:cs="Times New Roman"/>
          <w:lang w:val="sr-Cyrl-RS"/>
        </w:rPr>
        <w:t xml:space="preserve">је стручна </w:t>
      </w:r>
      <w:r w:rsidR="000F65B5" w:rsidRPr="00EF2F18">
        <w:rPr>
          <w:rFonts w:ascii="Times New Roman" w:hAnsi="Times New Roman" w:cs="Times New Roman"/>
          <w:lang w:val="sr-Cyrl-RS"/>
        </w:rPr>
        <w:t xml:space="preserve">установа </w:t>
      </w:r>
      <w:r w:rsidR="00D41CFC" w:rsidRPr="00EF2F18">
        <w:rPr>
          <w:rFonts w:ascii="Times New Roman" w:hAnsi="Times New Roman" w:cs="Times New Roman"/>
          <w:lang w:val="sr-Cyrl-RS"/>
        </w:rPr>
        <w:t>у области заштите природе и природних ресурса на територији АП Војводине. Одговоран је з</w:t>
      </w:r>
      <w:r w:rsidR="006A7693" w:rsidRPr="00EF2F18">
        <w:rPr>
          <w:rFonts w:ascii="Times New Roman" w:hAnsi="Times New Roman" w:cs="Times New Roman"/>
          <w:lang w:val="sr-Cyrl-RS"/>
        </w:rPr>
        <w:t xml:space="preserve">а </w:t>
      </w:r>
      <w:r w:rsidR="00D41CFC" w:rsidRPr="00EF2F18">
        <w:rPr>
          <w:rFonts w:ascii="Times New Roman" w:hAnsi="Times New Roman" w:cs="Times New Roman"/>
          <w:lang w:val="sr-Cyrl-RS"/>
        </w:rPr>
        <w:t>прикупљање и обраду података о природи и природним вредностима, дивљим врстама и њиховим стаништима, врстама станишта, екосистемима, еколошки значајним подручјима, заштићеним подручјима, еколошким коридорима, еколошким мрежама и регијама</w:t>
      </w:r>
      <w:r w:rsidR="000F65B5" w:rsidRPr="00EF2F18">
        <w:rPr>
          <w:rFonts w:ascii="Times New Roman" w:hAnsi="Times New Roman" w:cs="Times New Roman"/>
          <w:lang w:val="sr-Cyrl-RS"/>
        </w:rPr>
        <w:t xml:space="preserve">, </w:t>
      </w:r>
      <w:r w:rsidR="000F65B5" w:rsidRPr="00EF2F18">
        <w:rPr>
          <w:rFonts w:ascii="Times New Roman" w:hAnsi="Times New Roman"/>
          <w:sz w:val="23"/>
          <w:szCs w:val="23"/>
          <w:lang w:val="sr-Cyrl-RS"/>
        </w:rPr>
        <w:t xml:space="preserve">вођење </w:t>
      </w:r>
      <w:r w:rsidR="000F65B5" w:rsidRPr="00EF2F18">
        <w:rPr>
          <w:rFonts w:ascii="Times New Roman" w:hAnsi="Times New Roman"/>
          <w:color w:val="000000"/>
          <w:lang w:val="sr-Cyrl-RS"/>
        </w:rPr>
        <w:t>регистара заштићених природних добара за територију Аутономне покрајине</w:t>
      </w:r>
      <w:r w:rsidR="000C0780" w:rsidRPr="00EF2F18">
        <w:rPr>
          <w:rFonts w:ascii="Times New Roman" w:hAnsi="Times New Roman" w:cs="Times New Roman"/>
          <w:lang w:val="sr-Cyrl-RS"/>
        </w:rPr>
        <w:t xml:space="preserve"> Војводине</w:t>
      </w:r>
      <w:r w:rsidR="00D41CFC" w:rsidRPr="00EF2F18">
        <w:rPr>
          <w:rFonts w:ascii="Times New Roman" w:hAnsi="Times New Roman" w:cs="Times New Roman"/>
          <w:lang w:val="sr-Cyrl-RS"/>
        </w:rPr>
        <w:t>.</w:t>
      </w:r>
      <w:r w:rsidR="000F65B5" w:rsidRPr="00EF2F18">
        <w:rPr>
          <w:rFonts w:ascii="Times New Roman" w:hAnsi="Times New Roman" w:cs="Times New Roman"/>
          <w:lang w:val="sr-Cyrl-RS"/>
        </w:rPr>
        <w:t xml:space="preserve"> </w:t>
      </w:r>
      <w:r w:rsidR="000F65B5" w:rsidRPr="00EF2F18">
        <w:rPr>
          <w:rFonts w:ascii="Times New Roman" w:hAnsi="Times New Roman"/>
          <w:color w:val="000000"/>
          <w:lang w:val="sr-Cyrl-RS"/>
        </w:rPr>
        <w:t>Покрајински завод</w:t>
      </w:r>
      <w:r w:rsidR="00FA7222" w:rsidRPr="00EF2F18">
        <w:rPr>
          <w:rFonts w:ascii="Times New Roman" w:hAnsi="Times New Roman"/>
          <w:color w:val="000000"/>
          <w:lang w:val="sr-Cyrl-RS"/>
        </w:rPr>
        <w:t xml:space="preserve"> </w:t>
      </w:r>
      <w:r w:rsidR="000F65B5" w:rsidRPr="00EF2F18">
        <w:rPr>
          <w:rFonts w:ascii="Times New Roman" w:hAnsi="Times New Roman"/>
          <w:color w:val="000000"/>
          <w:lang w:val="sr-Cyrl-RS"/>
        </w:rPr>
        <w:t>за заштиту природе обавља и музејску делатност.</w:t>
      </w:r>
    </w:p>
    <w:p w14:paraId="2EC2A79C" w14:textId="77777777" w:rsidR="006A7693" w:rsidRPr="00EF2F18" w:rsidRDefault="006A7693" w:rsidP="006A7693">
      <w:pPr>
        <w:pStyle w:val="Normal1"/>
        <w:spacing w:after="0"/>
        <w:ind w:right="-188"/>
        <w:jc w:val="both"/>
        <w:rPr>
          <w:rFonts w:ascii="Times New Roman" w:hAnsi="Times New Roman" w:cs="Times New Roman"/>
          <w:b/>
          <w:i/>
          <w:lang w:val="sr-Cyrl-RS"/>
        </w:rPr>
      </w:pPr>
    </w:p>
    <w:p w14:paraId="254E02A1" w14:textId="3486B460" w:rsidR="00D41CFC" w:rsidRPr="00EF2F18" w:rsidRDefault="00D41CFC" w:rsidP="00342B1B">
      <w:pPr>
        <w:pStyle w:val="Normal1"/>
        <w:spacing w:after="0"/>
        <w:ind w:right="-188" w:firstLine="720"/>
        <w:jc w:val="both"/>
        <w:rPr>
          <w:rFonts w:ascii="Times New Roman" w:hAnsi="Times New Roman" w:cs="Times New Roman"/>
          <w:lang w:val="sr-Cyrl-RS"/>
        </w:rPr>
      </w:pPr>
      <w:r w:rsidRPr="00EF2F18">
        <w:rPr>
          <w:rFonts w:ascii="Times New Roman" w:hAnsi="Times New Roman" w:cs="Times New Roman"/>
          <w:b/>
          <w:i/>
          <w:lang w:val="sr-Cyrl-RS"/>
        </w:rPr>
        <w:t>Покрајински секретаријат за пољопривреду, шумарство и водопривреду</w:t>
      </w:r>
      <w:r w:rsidRPr="00EF2F18">
        <w:rPr>
          <w:rFonts w:ascii="Times New Roman" w:hAnsi="Times New Roman" w:cs="Times New Roman"/>
          <w:lang w:val="sr-Cyrl-RS"/>
        </w:rPr>
        <w:t xml:space="preserve"> </w:t>
      </w:r>
    </w:p>
    <w:p w14:paraId="3CC7A737" w14:textId="31F48245" w:rsidR="00D41CFC" w:rsidRPr="00EF2F18" w:rsidRDefault="009E6CFF" w:rsidP="009E6CFF">
      <w:pPr>
        <w:pStyle w:val="Normal1"/>
        <w:spacing w:after="0"/>
        <w:ind w:right="-188" w:firstLine="720"/>
        <w:jc w:val="both"/>
        <w:rPr>
          <w:rFonts w:ascii="Times New Roman" w:hAnsi="Times New Roman" w:cs="Times New Roman"/>
          <w:lang w:val="sr-Cyrl-RS"/>
        </w:rPr>
      </w:pPr>
      <w:r w:rsidRPr="00EF2F18">
        <w:rPr>
          <w:rFonts w:ascii="Times New Roman" w:hAnsi="Times New Roman" w:cs="Times New Roman"/>
          <w:bCs/>
          <w:iCs/>
          <w:lang w:val="sr-Cyrl-RS"/>
        </w:rPr>
        <w:t>Покрајински секретаријат за пољопривреду, шумарство и водопривреду п</w:t>
      </w:r>
      <w:r w:rsidR="00D41CFC" w:rsidRPr="00EF2F18">
        <w:rPr>
          <w:rFonts w:ascii="Times New Roman" w:hAnsi="Times New Roman" w:cs="Times New Roman"/>
          <w:bCs/>
          <w:iCs/>
          <w:lang w:val="sr-Cyrl-RS"/>
        </w:rPr>
        <w:t>редставља</w:t>
      </w:r>
      <w:r w:rsidR="00D41CFC" w:rsidRPr="00EF2F18">
        <w:rPr>
          <w:rFonts w:ascii="Times New Roman" w:hAnsi="Times New Roman" w:cs="Times New Roman"/>
          <w:lang w:val="sr-Cyrl-RS"/>
        </w:rPr>
        <w:t xml:space="preserve"> одговорну институцију на покрајинском нивоу у области:</w:t>
      </w:r>
    </w:p>
    <w:p w14:paraId="5266C2D2"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пољопривреде; </w:t>
      </w:r>
    </w:p>
    <w:p w14:paraId="4B4CC3F6"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водопривреде; </w:t>
      </w:r>
    </w:p>
    <w:p w14:paraId="5B068DC1"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шумарства;</w:t>
      </w:r>
    </w:p>
    <w:p w14:paraId="257919B4"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ловства; </w:t>
      </w:r>
    </w:p>
    <w:p w14:paraId="31DBDA25"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усвајања програма мера за подршку спровођења пољопривредне политике; </w:t>
      </w:r>
    </w:p>
    <w:p w14:paraId="5A4C896B"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успостављања и рада пољопривредних саветодавних служби; </w:t>
      </w:r>
    </w:p>
    <w:p w14:paraId="4540AEC1"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доношења, спровођења и праћења стандардних и ванредних заштитних мера против спољашњих и унутрашњих вода; </w:t>
      </w:r>
    </w:p>
    <w:p w14:paraId="5D7CF6A2" w14:textId="77777777"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управљања водним ресурсима, вештачким и природним водотоковима; </w:t>
      </w:r>
    </w:p>
    <w:p w14:paraId="1E0E7A7F" w14:textId="62DCB5D5"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 xml:space="preserve">доношење планских докумената из области </w:t>
      </w:r>
      <w:r w:rsidR="00857AEF" w:rsidRPr="00EF2F18">
        <w:rPr>
          <w:rFonts w:ascii="Times New Roman" w:hAnsi="Times New Roman" w:cs="Times New Roman"/>
          <w:lang w:val="sr-Cyrl-RS"/>
        </w:rPr>
        <w:t xml:space="preserve">интегралног </w:t>
      </w:r>
      <w:r w:rsidR="000C0780" w:rsidRPr="00EF2F18">
        <w:rPr>
          <w:rFonts w:ascii="Times New Roman" w:hAnsi="Times New Roman" w:cs="Times New Roman"/>
          <w:lang w:val="sr-Cyrl-RS"/>
        </w:rPr>
        <w:t>управљања водама;</w:t>
      </w:r>
    </w:p>
    <w:p w14:paraId="2C7E2537" w14:textId="66D21D72" w:rsidR="00D41CFC" w:rsidRPr="00EF2F18" w:rsidRDefault="00D41CFC" w:rsidP="00313E8E">
      <w:pPr>
        <w:pStyle w:val="Normal1"/>
        <w:numPr>
          <w:ilvl w:val="0"/>
          <w:numId w:val="48"/>
        </w:numPr>
        <w:pBdr>
          <w:top w:val="nil"/>
          <w:left w:val="nil"/>
          <w:bottom w:val="nil"/>
          <w:right w:val="nil"/>
          <w:between w:val="nil"/>
        </w:pBdr>
        <w:tabs>
          <w:tab w:val="left" w:pos="567"/>
        </w:tabs>
        <w:spacing w:after="0"/>
        <w:ind w:right="-187"/>
        <w:jc w:val="both"/>
        <w:rPr>
          <w:rFonts w:ascii="Times New Roman" w:hAnsi="Times New Roman" w:cs="Times New Roman"/>
          <w:lang w:val="sr-Cyrl-RS"/>
        </w:rPr>
      </w:pPr>
      <w:r w:rsidRPr="00EF2F18">
        <w:rPr>
          <w:rFonts w:ascii="Times New Roman" w:hAnsi="Times New Roman" w:cs="Times New Roman"/>
          <w:lang w:val="sr-Cyrl-RS"/>
        </w:rPr>
        <w:t>мониторинга,</w:t>
      </w:r>
      <w:r w:rsidR="00F463C8" w:rsidRPr="00EF2F18">
        <w:rPr>
          <w:rFonts w:ascii="Times New Roman" w:hAnsi="Times New Roman" w:cs="Times New Roman"/>
          <w:lang w:val="sr-Cyrl-RS"/>
        </w:rPr>
        <w:t xml:space="preserve"> </w:t>
      </w:r>
      <w:r w:rsidRPr="00EF2F18">
        <w:rPr>
          <w:rFonts w:ascii="Times New Roman" w:hAnsi="Times New Roman" w:cs="Times New Roman"/>
          <w:lang w:val="sr-Cyrl-RS"/>
        </w:rPr>
        <w:t>надзора и пружања помоћи у раду јавног предузећа за управљање водама и јавним службама, чији је оснивач АП Војводина.</w:t>
      </w:r>
    </w:p>
    <w:p w14:paraId="3FC27B2E" w14:textId="77777777" w:rsidR="006A7693" w:rsidRPr="00EF2F18" w:rsidRDefault="006A7693" w:rsidP="006A7693">
      <w:pPr>
        <w:pStyle w:val="Normal1"/>
        <w:spacing w:after="0"/>
        <w:ind w:right="-188"/>
        <w:jc w:val="both"/>
        <w:rPr>
          <w:rFonts w:ascii="Times New Roman" w:hAnsi="Times New Roman" w:cs="Times New Roman"/>
          <w:b/>
          <w:i/>
          <w:lang w:val="sr-Cyrl-RS"/>
        </w:rPr>
      </w:pPr>
    </w:p>
    <w:p w14:paraId="7E6688F7" w14:textId="465B8322" w:rsidR="00D41CFC" w:rsidRPr="00EF2F18" w:rsidRDefault="00D41CFC" w:rsidP="00342B1B">
      <w:pPr>
        <w:pStyle w:val="Normal1"/>
        <w:spacing w:after="0"/>
        <w:ind w:right="-188" w:firstLine="720"/>
        <w:jc w:val="both"/>
        <w:rPr>
          <w:rFonts w:ascii="Times New Roman" w:hAnsi="Times New Roman" w:cs="Times New Roman"/>
          <w:b/>
          <w:i/>
          <w:highlight w:val="yellow"/>
          <w:lang w:val="sr-Cyrl-RS"/>
        </w:rPr>
      </w:pPr>
      <w:r w:rsidRPr="00EF2F18">
        <w:rPr>
          <w:rFonts w:ascii="Times New Roman" w:hAnsi="Times New Roman" w:cs="Times New Roman"/>
          <w:b/>
          <w:i/>
          <w:lang w:val="sr-Cyrl-RS"/>
        </w:rPr>
        <w:t>Покрајински секретаријат за здравство</w:t>
      </w:r>
    </w:p>
    <w:p w14:paraId="046446E6" w14:textId="7321C5F2" w:rsidR="00186B13" w:rsidRDefault="00D41CFC" w:rsidP="00930B91">
      <w:pPr>
        <w:pStyle w:val="Normal1"/>
        <w:spacing w:after="0"/>
        <w:ind w:right="-188" w:firstLine="720"/>
        <w:jc w:val="both"/>
        <w:rPr>
          <w:rFonts w:ascii="Times New Roman" w:hAnsi="Times New Roman" w:cs="Times New Roman"/>
          <w:lang w:val="sr-Cyrl-RS"/>
        </w:rPr>
      </w:pPr>
      <w:r w:rsidRPr="00EF2F18">
        <w:rPr>
          <w:rFonts w:ascii="Times New Roman" w:hAnsi="Times New Roman" w:cs="Times New Roman"/>
          <w:lang w:val="sr-Cyrl-RS"/>
        </w:rPr>
        <w:t xml:space="preserve">Санитарна инспекција покрајинског секретаријата за здравство је одговорна за обављање поверених задатака државне управе по Закону о санитарном надзору. Доноси одлуку о утврђивању зона санитарне заштите водних ресурса и предлаже министру надлежном за послове здравља да одреди референтне здравствене установе за поједине области здравствене заштите, на територији АП Војводине. </w:t>
      </w:r>
    </w:p>
    <w:p w14:paraId="71B3CB7C" w14:textId="49E6234D" w:rsidR="004E449F" w:rsidRDefault="004E449F" w:rsidP="00930B91">
      <w:pPr>
        <w:pStyle w:val="Normal1"/>
        <w:spacing w:after="0"/>
        <w:ind w:right="-188" w:firstLine="720"/>
        <w:jc w:val="both"/>
        <w:rPr>
          <w:rFonts w:ascii="Times New Roman" w:hAnsi="Times New Roman" w:cs="Times New Roman"/>
          <w:lang w:val="sr-Cyrl-RS"/>
        </w:rPr>
      </w:pPr>
    </w:p>
    <w:p w14:paraId="1CE52634" w14:textId="2A97192E" w:rsidR="004E449F" w:rsidRDefault="004E449F" w:rsidP="00930B91">
      <w:pPr>
        <w:pStyle w:val="Normal1"/>
        <w:spacing w:after="0"/>
        <w:ind w:right="-188" w:firstLine="720"/>
        <w:jc w:val="both"/>
        <w:rPr>
          <w:rFonts w:ascii="Times New Roman" w:hAnsi="Times New Roman" w:cs="Times New Roman"/>
          <w:lang w:val="sr-Cyrl-RS"/>
        </w:rPr>
      </w:pPr>
    </w:p>
    <w:p w14:paraId="01ADB5E2" w14:textId="77777777" w:rsidR="004E449F" w:rsidRPr="00EF2F18" w:rsidRDefault="004E449F" w:rsidP="00930B91">
      <w:pPr>
        <w:pStyle w:val="Normal1"/>
        <w:spacing w:after="0"/>
        <w:ind w:right="-188" w:firstLine="720"/>
        <w:jc w:val="both"/>
        <w:rPr>
          <w:rFonts w:ascii="Times New Roman" w:hAnsi="Times New Roman" w:cs="Times New Roman"/>
          <w:lang w:val="sr-Cyrl-RS"/>
        </w:rPr>
      </w:pPr>
    </w:p>
    <w:p w14:paraId="5293D78A" w14:textId="0A72D34D" w:rsidR="00D41CFC" w:rsidRPr="00EF2F18" w:rsidRDefault="009E6CFF" w:rsidP="00342B1B">
      <w:pPr>
        <w:pStyle w:val="Normal1"/>
        <w:spacing w:after="0"/>
        <w:ind w:right="-188" w:firstLine="720"/>
        <w:jc w:val="both"/>
        <w:rPr>
          <w:rFonts w:ascii="Times New Roman" w:hAnsi="Times New Roman" w:cs="Times New Roman"/>
          <w:b/>
          <w:i/>
          <w:lang w:val="sr-Cyrl-RS"/>
        </w:rPr>
      </w:pPr>
      <w:r w:rsidRPr="00EF2F18">
        <w:rPr>
          <w:rFonts w:ascii="Times New Roman" w:hAnsi="Times New Roman" w:cs="Times New Roman"/>
          <w:b/>
          <w:i/>
          <w:lang w:val="sr-Cyrl-RS"/>
        </w:rPr>
        <w:lastRenderedPageBreak/>
        <w:t xml:space="preserve">ЈВП </w:t>
      </w:r>
      <w:r w:rsidR="00930B91" w:rsidRPr="00EF2F18">
        <w:rPr>
          <w:rFonts w:ascii="Times New Roman" w:hAnsi="Times New Roman" w:cs="Times New Roman"/>
          <w:b/>
          <w:bCs/>
          <w:i/>
          <w:lang w:val="sr-Cyrl-RS"/>
        </w:rPr>
        <w:t>„</w:t>
      </w:r>
      <w:r w:rsidR="00D41CFC" w:rsidRPr="00EF2F18">
        <w:rPr>
          <w:rFonts w:ascii="Times New Roman" w:hAnsi="Times New Roman" w:cs="Times New Roman"/>
          <w:b/>
          <w:i/>
          <w:lang w:val="sr-Cyrl-RS"/>
        </w:rPr>
        <w:t>Воде Војводине</w:t>
      </w:r>
      <w:r w:rsidR="00930B91" w:rsidRPr="00EF2F18">
        <w:rPr>
          <w:b/>
          <w:bCs/>
          <w:lang w:val="sr-Cyrl-RS"/>
        </w:rPr>
        <w:t>”</w:t>
      </w:r>
      <w:r w:rsidR="00D41CFC" w:rsidRPr="00EF2F18">
        <w:rPr>
          <w:rFonts w:ascii="Times New Roman" w:hAnsi="Times New Roman" w:cs="Times New Roman"/>
          <w:b/>
          <w:i/>
          <w:lang w:val="sr-Cyrl-RS"/>
        </w:rPr>
        <w:t xml:space="preserve"> </w:t>
      </w:r>
    </w:p>
    <w:p w14:paraId="0CC0981C" w14:textId="50B9542C" w:rsidR="00D41CFC" w:rsidRPr="00EF2F18" w:rsidRDefault="00D41CFC" w:rsidP="00D41CFC">
      <w:pPr>
        <w:pStyle w:val="Normal1"/>
        <w:spacing w:after="0"/>
        <w:ind w:right="-188" w:firstLine="720"/>
        <w:jc w:val="both"/>
        <w:rPr>
          <w:rFonts w:ascii="Times New Roman" w:hAnsi="Times New Roman" w:cs="Times New Roman"/>
          <w:lang w:val="sr-Cyrl-RS"/>
        </w:rPr>
      </w:pPr>
      <w:r w:rsidRPr="00EF2F18">
        <w:rPr>
          <w:rFonts w:ascii="Times New Roman" w:hAnsi="Times New Roman" w:cs="Times New Roman"/>
          <w:lang w:val="sr-Cyrl-RS"/>
        </w:rPr>
        <w:t xml:space="preserve">Јавно водопривредно предузеће </w:t>
      </w:r>
      <w:r w:rsidR="00930B91" w:rsidRPr="00EF2F18">
        <w:rPr>
          <w:rFonts w:ascii="Times New Roman" w:hAnsi="Times New Roman" w:cs="Times New Roman"/>
          <w:bCs/>
          <w:lang w:val="sr-Cyrl-RS"/>
        </w:rPr>
        <w:t>„</w:t>
      </w:r>
      <w:r w:rsidR="00930B91" w:rsidRPr="00EF2F18">
        <w:rPr>
          <w:rFonts w:ascii="Times New Roman" w:hAnsi="Times New Roman" w:cs="Times New Roman"/>
          <w:lang w:val="sr-Cyrl-RS"/>
        </w:rPr>
        <w:t>Воде Војводине</w:t>
      </w:r>
      <w:r w:rsidR="00930B91" w:rsidRPr="00EF2F18">
        <w:rPr>
          <w:rFonts w:ascii="Times New Roman" w:hAnsi="Times New Roman" w:cs="Times New Roman"/>
          <w:bCs/>
          <w:lang w:val="sr-Cyrl-RS"/>
        </w:rPr>
        <w:t>”</w:t>
      </w:r>
      <w:r w:rsidR="00930B91" w:rsidRPr="00EF2F18">
        <w:rPr>
          <w:rFonts w:ascii="Times New Roman" w:hAnsi="Times New Roman" w:cs="Times New Roman"/>
          <w:b/>
          <w:bCs/>
          <w:lang w:val="sr-Cyrl-RS"/>
        </w:rPr>
        <w:t xml:space="preserve"> </w:t>
      </w:r>
      <w:r w:rsidRPr="00EF2F18">
        <w:rPr>
          <w:rFonts w:ascii="Times New Roman" w:hAnsi="Times New Roman" w:cs="Times New Roman"/>
          <w:lang w:val="sr-Cyrl-RS"/>
        </w:rPr>
        <w:t>је одговорно за:</w:t>
      </w:r>
      <w:r w:rsidR="005E42D2" w:rsidRPr="00EF2F18">
        <w:rPr>
          <w:rFonts w:ascii="Times New Roman" w:hAnsi="Times New Roman" w:cs="Times New Roman"/>
          <w:lang w:val="sr-Cyrl-RS"/>
        </w:rPr>
        <w:t xml:space="preserve"> </w:t>
      </w:r>
    </w:p>
    <w:p w14:paraId="356802C7" w14:textId="57A002D5" w:rsidR="00980C99" w:rsidRPr="00EF2F18" w:rsidRDefault="00980C99" w:rsidP="00313E8E">
      <w:pPr>
        <w:pStyle w:val="Normal1"/>
        <w:numPr>
          <w:ilvl w:val="0"/>
          <w:numId w:val="49"/>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уређење водотока и заштиту од штетног дејства вода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723F6827" w14:textId="217DCF6F" w:rsidR="00980C99" w:rsidRPr="00EF2F18" w:rsidRDefault="00980C99" w:rsidP="00313E8E">
      <w:pPr>
        <w:pStyle w:val="Normal1"/>
        <w:numPr>
          <w:ilvl w:val="0"/>
          <w:numId w:val="49"/>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уређење и коришћење вода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058B9489" w14:textId="44145E3D" w:rsidR="00980C99" w:rsidRPr="00EF2F18" w:rsidRDefault="00980C99" w:rsidP="00313E8E">
      <w:pPr>
        <w:pStyle w:val="Normal1"/>
        <w:numPr>
          <w:ilvl w:val="0"/>
          <w:numId w:val="49"/>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заштиту вода од загађивања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56CE02B1" w14:textId="2E428ADC" w:rsidR="00980C99" w:rsidRPr="00EF2F18" w:rsidRDefault="00980C99" w:rsidP="00313E8E">
      <w:pPr>
        <w:pStyle w:val="Normal1"/>
        <w:numPr>
          <w:ilvl w:val="0"/>
          <w:numId w:val="49"/>
        </w:numPr>
        <w:spacing w:after="0"/>
        <w:ind w:right="-179"/>
        <w:jc w:val="both"/>
        <w:rPr>
          <w:rFonts w:ascii="Times New Roman" w:hAnsi="Times New Roman" w:cs="Times New Roman"/>
          <w:lang w:val="sr-Cyrl-RS"/>
        </w:rPr>
      </w:pPr>
      <w:r w:rsidRPr="00EF2F18">
        <w:rPr>
          <w:rFonts w:ascii="Times New Roman" w:hAnsi="Times New Roman" w:cs="Times New Roman"/>
          <w:lang w:val="sr-Cyrl-RS"/>
        </w:rPr>
        <w:t>израду и спровођење планских докумената, програма и нормативних аката, студија и извођење истражних радова за потребе интегралног управљања водама, израда техничке документације</w:t>
      </w:r>
      <w:r w:rsidR="00857AEF" w:rsidRPr="00EF2F18">
        <w:rPr>
          <w:rFonts w:ascii="Times New Roman" w:hAnsi="Times New Roman" w:cs="Times New Roman"/>
          <w:lang w:val="sr-Cyrl-RS"/>
        </w:rPr>
        <w:t xml:space="preserve"> и издавање водних аката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1FB3CC18" w14:textId="6AB9D098" w:rsidR="00D41CFC" w:rsidRPr="00EF2F18" w:rsidRDefault="00980C99" w:rsidP="00313E8E">
      <w:pPr>
        <w:pStyle w:val="Normal1"/>
        <w:numPr>
          <w:ilvl w:val="0"/>
          <w:numId w:val="49"/>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као и пословe међународне сарадње и успостављање и вођење водне документације и водног информационог система, али не и нa водно-комуналну делатност</w:t>
      </w:r>
      <w:r w:rsidR="00D41CFC" w:rsidRPr="00EF2F18">
        <w:rPr>
          <w:rFonts w:ascii="Times New Roman" w:hAnsi="Times New Roman" w:cs="Times New Roman"/>
          <w:lang w:val="sr-Cyrl-RS"/>
        </w:rPr>
        <w:t xml:space="preserve">. </w:t>
      </w:r>
    </w:p>
    <w:p w14:paraId="04234A2F" w14:textId="77777777" w:rsidR="003A2F34" w:rsidRPr="00EF2F18" w:rsidRDefault="003A2F34" w:rsidP="003A2F34">
      <w:pPr>
        <w:pStyle w:val="Normal1"/>
        <w:pBdr>
          <w:top w:val="nil"/>
          <w:left w:val="nil"/>
          <w:bottom w:val="nil"/>
          <w:right w:val="nil"/>
          <w:between w:val="nil"/>
        </w:pBdr>
        <w:tabs>
          <w:tab w:val="left" w:pos="426"/>
        </w:tabs>
        <w:spacing w:after="0"/>
        <w:ind w:right="-188"/>
        <w:jc w:val="both"/>
        <w:rPr>
          <w:rFonts w:ascii="Times New Roman" w:hAnsi="Times New Roman" w:cs="Times New Roman"/>
          <w:lang w:val="sr-Cyrl-RS"/>
        </w:rPr>
      </w:pPr>
    </w:p>
    <w:p w14:paraId="06A3DD38" w14:textId="0C577204" w:rsidR="003A2F34" w:rsidRPr="00EF2F18" w:rsidRDefault="00342B1B" w:rsidP="003A2F34">
      <w:pPr>
        <w:pStyle w:val="Normal1"/>
        <w:pBdr>
          <w:top w:val="nil"/>
          <w:left w:val="nil"/>
          <w:bottom w:val="nil"/>
          <w:right w:val="nil"/>
          <w:between w:val="nil"/>
        </w:pBdr>
        <w:tabs>
          <w:tab w:val="left" w:pos="426"/>
        </w:tabs>
        <w:spacing w:after="0"/>
        <w:ind w:right="-188"/>
        <w:jc w:val="both"/>
        <w:rPr>
          <w:rFonts w:ascii="Times New Roman" w:hAnsi="Times New Roman" w:cs="Times New Roman"/>
          <w:b/>
          <w:bCs/>
          <w:i/>
          <w:iCs/>
          <w:lang w:val="sr-Cyrl-RS"/>
        </w:rPr>
      </w:pPr>
      <w:r w:rsidRPr="00EF2F18">
        <w:rPr>
          <w:rFonts w:ascii="Times New Roman" w:hAnsi="Times New Roman" w:cs="Times New Roman"/>
          <w:b/>
          <w:bCs/>
          <w:i/>
          <w:iCs/>
          <w:lang w:val="sr-Cyrl-RS"/>
        </w:rPr>
        <w:tab/>
      </w:r>
      <w:r w:rsidRPr="00EF2F18">
        <w:rPr>
          <w:rFonts w:ascii="Times New Roman" w:hAnsi="Times New Roman" w:cs="Times New Roman"/>
          <w:b/>
          <w:bCs/>
          <w:i/>
          <w:iCs/>
          <w:lang w:val="sr-Cyrl-RS"/>
        </w:rPr>
        <w:tab/>
      </w:r>
      <w:r w:rsidR="003A2F34" w:rsidRPr="00EF2F18">
        <w:rPr>
          <w:rFonts w:ascii="Times New Roman" w:hAnsi="Times New Roman" w:cs="Times New Roman"/>
          <w:b/>
          <w:bCs/>
          <w:i/>
          <w:iCs/>
          <w:lang w:val="sr-Cyrl-RS"/>
        </w:rPr>
        <w:t xml:space="preserve">ЈП </w:t>
      </w:r>
      <w:r w:rsidR="00930B91" w:rsidRPr="00EF2F18">
        <w:rPr>
          <w:rFonts w:cs="Times New Roman"/>
          <w:bCs/>
          <w:lang w:val="sr-Cyrl-RS"/>
        </w:rPr>
        <w:t>„</w:t>
      </w:r>
      <w:r w:rsidR="003A2F34" w:rsidRPr="00EF2F18">
        <w:rPr>
          <w:rFonts w:ascii="Times New Roman" w:hAnsi="Times New Roman" w:cs="Times New Roman"/>
          <w:b/>
          <w:bCs/>
          <w:i/>
          <w:iCs/>
          <w:lang w:val="sr-Cyrl-RS"/>
        </w:rPr>
        <w:t>Војводинашуме</w:t>
      </w:r>
      <w:r w:rsidR="00930B91" w:rsidRPr="00EF2F18">
        <w:rPr>
          <w:rFonts w:cs="Times New Roman"/>
          <w:bCs/>
          <w:lang w:val="sr-Cyrl-RS"/>
        </w:rPr>
        <w:t>”</w:t>
      </w:r>
    </w:p>
    <w:p w14:paraId="45EEDC04" w14:textId="2F6B0537" w:rsidR="003A2F34" w:rsidRPr="00EF2F18" w:rsidRDefault="003A2F34" w:rsidP="003A2F34">
      <w:pPr>
        <w:pStyle w:val="Normal1"/>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ab/>
      </w:r>
      <w:r w:rsidRPr="00EF2F18">
        <w:rPr>
          <w:rFonts w:ascii="Times New Roman" w:hAnsi="Times New Roman" w:cs="Times New Roman"/>
          <w:lang w:val="sr-Cyrl-RS"/>
        </w:rPr>
        <w:tab/>
        <w:t xml:space="preserve">Јавно предузеће </w:t>
      </w:r>
      <w:r w:rsidR="00930B91" w:rsidRPr="00EF2F18">
        <w:rPr>
          <w:rFonts w:ascii="Times New Roman" w:hAnsi="Times New Roman" w:cs="Times New Roman"/>
          <w:bCs/>
          <w:lang w:val="sr-Cyrl-RS"/>
        </w:rPr>
        <w:t>„</w:t>
      </w:r>
      <w:r w:rsidRPr="00EF2F18">
        <w:rPr>
          <w:rFonts w:ascii="Times New Roman" w:hAnsi="Times New Roman" w:cs="Times New Roman"/>
          <w:lang w:val="sr-Cyrl-RS"/>
        </w:rPr>
        <w:t>Војводинашуме</w:t>
      </w:r>
      <w:r w:rsidR="00930B91" w:rsidRPr="00EF2F18">
        <w:rPr>
          <w:rFonts w:ascii="Times New Roman" w:hAnsi="Times New Roman" w:cs="Times New Roman"/>
          <w:bCs/>
          <w:lang w:val="sr-Cyrl-RS"/>
        </w:rPr>
        <w:t>”</w:t>
      </w:r>
      <w:r w:rsidRPr="00EF2F18">
        <w:rPr>
          <w:rFonts w:ascii="Times New Roman" w:hAnsi="Times New Roman" w:cs="Times New Roman"/>
          <w:lang w:val="sr-Cyrl-RS"/>
        </w:rPr>
        <w:t xml:space="preserve"> </w:t>
      </w:r>
      <w:r w:rsidR="008209F8" w:rsidRPr="00EF2F18">
        <w:rPr>
          <w:rFonts w:ascii="Times New Roman" w:hAnsi="Times New Roman" w:cs="Times New Roman"/>
          <w:lang w:val="sr-Cyrl-RS"/>
        </w:rPr>
        <w:t>обавља следеће делатности</w:t>
      </w:r>
      <w:r w:rsidRPr="00EF2F18">
        <w:rPr>
          <w:rFonts w:ascii="Times New Roman" w:hAnsi="Times New Roman" w:cs="Times New Roman"/>
          <w:lang w:val="sr-Cyrl-RS"/>
        </w:rPr>
        <w:t>:</w:t>
      </w:r>
    </w:p>
    <w:p w14:paraId="317C610B" w14:textId="23758751" w:rsidR="003A2F34" w:rsidRPr="00EF2F18" w:rsidRDefault="008209F8" w:rsidP="00313E8E">
      <w:pPr>
        <w:pStyle w:val="Normal1"/>
        <w:numPr>
          <w:ilvl w:val="0"/>
          <w:numId w:val="58"/>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узгој, заштиту, управљање заштићеним природним добрима, одржавање и обнова шума, производња шумског семена и садног материјала и подизање нових шума и шумских засада</w:t>
      </w:r>
      <w:r w:rsidR="00930B91" w:rsidRPr="00EF2F18">
        <w:rPr>
          <w:rFonts w:ascii="Times New Roman" w:hAnsi="Times New Roman" w:cs="Times New Roman"/>
          <w:lang w:val="sr-Cyrl-RS"/>
        </w:rPr>
        <w:t>;</w:t>
      </w:r>
    </w:p>
    <w:p w14:paraId="4B7608D2" w14:textId="5B674E0A" w:rsidR="008209F8" w:rsidRPr="00EF2F18" w:rsidRDefault="008209F8" w:rsidP="00313E8E">
      <w:pPr>
        <w:pStyle w:val="Normal1"/>
        <w:numPr>
          <w:ilvl w:val="0"/>
          <w:numId w:val="58"/>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искоришћавање шума, производња шумских производа шума и шумских подручја, коришћење шума за рекреацију, произ</w:t>
      </w:r>
      <w:r w:rsidR="0057192F">
        <w:rPr>
          <w:rFonts w:ascii="Times New Roman" w:hAnsi="Times New Roman" w:cs="Times New Roman"/>
          <w:lang w:val="sr-Cyrl-RS"/>
        </w:rPr>
        <w:t>водња резане грађе и друго кори</w:t>
      </w:r>
      <w:r w:rsidRPr="00EF2F18">
        <w:rPr>
          <w:rFonts w:ascii="Times New Roman" w:hAnsi="Times New Roman" w:cs="Times New Roman"/>
          <w:lang w:val="sr-Cyrl-RS"/>
        </w:rPr>
        <w:t>шћење шума</w:t>
      </w:r>
      <w:r w:rsidR="00930B91" w:rsidRPr="00EF2F18">
        <w:rPr>
          <w:rFonts w:ascii="Times New Roman" w:hAnsi="Times New Roman" w:cs="Times New Roman"/>
          <w:lang w:val="sr-Cyrl-RS"/>
        </w:rPr>
        <w:t>;</w:t>
      </w:r>
    </w:p>
    <w:p w14:paraId="7B5E9201" w14:textId="2AE14E5F" w:rsidR="008209F8" w:rsidRPr="00EF2F18" w:rsidRDefault="008209F8" w:rsidP="00313E8E">
      <w:pPr>
        <w:pStyle w:val="Normal1"/>
        <w:numPr>
          <w:ilvl w:val="0"/>
          <w:numId w:val="58"/>
        </w:numPr>
        <w:pBdr>
          <w:top w:val="nil"/>
          <w:left w:val="nil"/>
          <w:bottom w:val="nil"/>
          <w:right w:val="nil"/>
          <w:between w:val="nil"/>
        </w:pBdr>
        <w:tabs>
          <w:tab w:val="left" w:pos="426"/>
        </w:tabs>
        <w:spacing w:after="0"/>
        <w:ind w:right="-188"/>
        <w:jc w:val="both"/>
        <w:rPr>
          <w:rFonts w:ascii="Times New Roman" w:hAnsi="Times New Roman" w:cs="Times New Roman"/>
          <w:lang w:val="sr-Cyrl-RS"/>
        </w:rPr>
      </w:pPr>
      <w:r w:rsidRPr="00EF2F18">
        <w:rPr>
          <w:rFonts w:ascii="Times New Roman" w:hAnsi="Times New Roman" w:cs="Times New Roman"/>
          <w:lang w:val="sr-Cyrl-RS"/>
        </w:rPr>
        <w:t>унапређење и коришћење општекорисних функција шума и друге делатности прописане законом.</w:t>
      </w:r>
    </w:p>
    <w:p w14:paraId="78ED2372" w14:textId="77777777" w:rsidR="00D41CFC" w:rsidRPr="00EF2F18" w:rsidRDefault="00D41CFC" w:rsidP="00D02B8F">
      <w:pPr>
        <w:spacing w:after="0"/>
        <w:ind w:firstLine="720"/>
        <w:jc w:val="both"/>
        <w:rPr>
          <w:rFonts w:cs="Times New Roman"/>
          <w:sz w:val="22"/>
          <w:lang w:val="sr-Cyrl-RS"/>
        </w:rPr>
      </w:pPr>
    </w:p>
    <w:p w14:paraId="59AC06B3" w14:textId="1EAB1E05" w:rsidR="00D41CFC" w:rsidRPr="00EF2F18" w:rsidRDefault="00D41CFC" w:rsidP="00342B1B">
      <w:pPr>
        <w:spacing w:after="0"/>
        <w:ind w:firstLine="720"/>
        <w:jc w:val="both"/>
        <w:rPr>
          <w:rFonts w:cs="Times New Roman"/>
          <w:b/>
          <w:bCs/>
          <w:i/>
          <w:iCs/>
          <w:sz w:val="22"/>
          <w:lang w:val="sr-Cyrl-RS"/>
        </w:rPr>
      </w:pPr>
      <w:r w:rsidRPr="00EF2F18">
        <w:rPr>
          <w:rFonts w:cs="Times New Roman"/>
          <w:b/>
          <w:bCs/>
          <w:i/>
          <w:iCs/>
          <w:sz w:val="22"/>
          <w:lang w:val="sr-Cyrl-RS"/>
        </w:rPr>
        <w:t>Јединице локалне самоуправе</w:t>
      </w:r>
      <w:r w:rsidR="00342B1B" w:rsidRPr="00EF2F18">
        <w:rPr>
          <w:rFonts w:cs="Times New Roman"/>
          <w:b/>
          <w:bCs/>
          <w:i/>
          <w:iCs/>
          <w:sz w:val="22"/>
          <w:lang w:val="sr-Cyrl-RS"/>
        </w:rPr>
        <w:t xml:space="preserve"> (ЈЛС)</w:t>
      </w:r>
    </w:p>
    <w:p w14:paraId="6058F3E9" w14:textId="5A1D5C0A" w:rsidR="00915346" w:rsidRDefault="00915346" w:rsidP="006735D9">
      <w:pPr>
        <w:spacing w:after="0"/>
        <w:ind w:firstLine="720"/>
        <w:jc w:val="both"/>
        <w:rPr>
          <w:rFonts w:cs="Times New Roman"/>
          <w:sz w:val="22"/>
          <w:lang w:val="sr-Cyrl-RS"/>
        </w:rPr>
      </w:pPr>
      <w:r w:rsidRPr="00EF2F18">
        <w:rPr>
          <w:rFonts w:cs="Times New Roman"/>
          <w:sz w:val="22"/>
          <w:lang w:val="sr-Cyrl-RS"/>
        </w:rPr>
        <w:t>Функције, овлашћења, структуре и процедуре ј</w:t>
      </w:r>
      <w:r w:rsidR="004744B3" w:rsidRPr="00EF2F18">
        <w:rPr>
          <w:rFonts w:cs="Times New Roman"/>
          <w:sz w:val="22"/>
          <w:lang w:val="sr-Cyrl-RS"/>
        </w:rPr>
        <w:t>единиц</w:t>
      </w:r>
      <w:r w:rsidRPr="00EF2F18">
        <w:rPr>
          <w:rFonts w:cs="Times New Roman"/>
          <w:sz w:val="22"/>
          <w:lang w:val="sr-Cyrl-RS"/>
        </w:rPr>
        <w:t>а</w:t>
      </w:r>
      <w:r w:rsidR="004744B3" w:rsidRPr="00EF2F18">
        <w:rPr>
          <w:rFonts w:cs="Times New Roman"/>
          <w:sz w:val="22"/>
          <w:lang w:val="sr-Cyrl-RS"/>
        </w:rPr>
        <w:t xml:space="preserve"> локалне самоуправе </w:t>
      </w:r>
      <w:r w:rsidRPr="00EF2F18">
        <w:rPr>
          <w:rFonts w:cs="Times New Roman"/>
          <w:sz w:val="22"/>
          <w:lang w:val="sr-Cyrl-RS"/>
        </w:rPr>
        <w:t xml:space="preserve">утврђене су Законом о локалној самоуправи („Службени гласник РС”, </w:t>
      </w:r>
      <w:r w:rsidR="00B71BC1" w:rsidRPr="00EF2F18">
        <w:rPr>
          <w:rFonts w:cs="Times New Roman"/>
          <w:sz w:val="22"/>
          <w:lang w:val="sr-Cyrl-RS"/>
        </w:rPr>
        <w:t>бр. 129/07, 83/14, 101/16, 47/18 и 111/21 – др. закон</w:t>
      </w:r>
      <w:r w:rsidRPr="00EF2F18">
        <w:rPr>
          <w:rFonts w:cs="Times New Roman"/>
          <w:sz w:val="22"/>
          <w:lang w:val="sr-Cyrl-RS"/>
        </w:rPr>
        <w:t xml:space="preserve">). </w:t>
      </w:r>
      <w:bookmarkStart w:id="21" w:name="_Hlk191729914"/>
      <w:r w:rsidRPr="00EF2F18">
        <w:rPr>
          <w:rFonts w:cs="Times New Roman"/>
          <w:sz w:val="22"/>
          <w:lang w:val="sr-Cyrl-RS"/>
        </w:rPr>
        <w:t xml:space="preserve">Одговорности </w:t>
      </w:r>
      <w:r w:rsidR="00B71BC1" w:rsidRPr="00EF2F18">
        <w:rPr>
          <w:rFonts w:cs="Times New Roman"/>
          <w:sz w:val="22"/>
          <w:lang w:val="sr-Cyrl-RS"/>
        </w:rPr>
        <w:t>ЈЛС</w:t>
      </w:r>
      <w:r w:rsidRPr="00EF2F18">
        <w:rPr>
          <w:rFonts w:cs="Times New Roman"/>
          <w:sz w:val="22"/>
          <w:lang w:val="sr-Cyrl-RS"/>
        </w:rPr>
        <w:t xml:space="preserve"> које се односе на заштиту жи</w:t>
      </w:r>
      <w:r w:rsidR="003D2DCB">
        <w:rPr>
          <w:rFonts w:cs="Times New Roman"/>
          <w:sz w:val="22"/>
          <w:lang w:val="sr-Cyrl-RS"/>
        </w:rPr>
        <w:t>вотне средине укључују (члан 20</w:t>
      </w:r>
      <w:r w:rsidRPr="00EF2F18">
        <w:rPr>
          <w:rFonts w:cs="Times New Roman"/>
          <w:sz w:val="22"/>
          <w:lang w:val="sr-Cyrl-RS"/>
        </w:rPr>
        <w:t xml:space="preserve">): развој планова и програма; </w:t>
      </w:r>
      <w:r w:rsidR="00B71BC1" w:rsidRPr="00EF2F18">
        <w:rPr>
          <w:rFonts w:cs="Times New Roman"/>
          <w:sz w:val="22"/>
          <w:lang w:val="sr-Cyrl-RS"/>
        </w:rPr>
        <w:t>заштита, унапређење и коришћење пољопривредног земљишта и спровођење политике руралног развоја</w:t>
      </w:r>
      <w:r w:rsidRPr="00EF2F18">
        <w:rPr>
          <w:rFonts w:cs="Times New Roman"/>
          <w:sz w:val="22"/>
          <w:lang w:val="sr-Cyrl-RS"/>
        </w:rPr>
        <w:t>; комуналне услуге, укључујући пречишћавање и дистрибуцију воде, сакупљање и пречишћавање отпадних вода, даљинско грејање, управљање чврстим отпадом, депоније, просторно планирање, паркове, природу и друго; заштиту животне средине, планирање животне средине, у складу са (вишим) стратешким документима; накнаде за заштиту и унапређење животне средине; инспекцију и извршење; регулацију, подршку и надзор над радом и развојем комуналних услуга (третман и дистрибуција воде за пиће, одлагање и третман отпада и отпадних вода); регулисање и дефинисање процедура за коришћење и управљање изворима, јавним бунарима и јавним славинама, укључујући стандарде квалитета воде; дозволу и одобравање захватања и употребе воде; организацију заштите од природних и других великих катастрофа, нпр. поплава или ерозије</w:t>
      </w:r>
      <w:r w:rsidR="00B71BC1" w:rsidRPr="00EF2F18">
        <w:rPr>
          <w:rFonts w:cs="Times New Roman"/>
          <w:sz w:val="22"/>
          <w:lang w:val="sr-Cyrl-RS"/>
        </w:rPr>
        <w:t>; питања процене утицаја на животну средину и стратешке процене утицаја; нејонизујућ</w:t>
      </w:r>
      <w:r w:rsidR="00A93690" w:rsidRPr="00EF2F18">
        <w:rPr>
          <w:rFonts w:cs="Times New Roman"/>
          <w:sz w:val="22"/>
          <w:lang w:val="sr-Cyrl-RS"/>
        </w:rPr>
        <w:t>е</w:t>
      </w:r>
      <w:r w:rsidR="00B71BC1" w:rsidRPr="00EF2F18">
        <w:rPr>
          <w:rFonts w:cs="Times New Roman"/>
          <w:sz w:val="22"/>
          <w:lang w:val="sr-Cyrl-RS"/>
        </w:rPr>
        <w:t xml:space="preserve"> зрачењ</w:t>
      </w:r>
      <w:r w:rsidR="00A93690" w:rsidRPr="00EF2F18">
        <w:rPr>
          <w:rFonts w:cs="Times New Roman"/>
          <w:sz w:val="22"/>
          <w:lang w:val="sr-Cyrl-RS"/>
        </w:rPr>
        <w:t>е;</w:t>
      </w:r>
      <w:r w:rsidR="00B71BC1" w:rsidRPr="00EF2F18">
        <w:rPr>
          <w:rFonts w:cs="Times New Roman"/>
          <w:sz w:val="22"/>
          <w:lang w:val="sr-Cyrl-RS"/>
        </w:rPr>
        <w:t xml:space="preserve"> заштита природе</w:t>
      </w:r>
      <w:r w:rsidRPr="00EF2F18">
        <w:rPr>
          <w:rFonts w:cs="Times New Roman"/>
          <w:sz w:val="22"/>
          <w:lang w:val="sr-Cyrl-RS"/>
        </w:rPr>
        <w:t>.</w:t>
      </w:r>
    </w:p>
    <w:p w14:paraId="3360DA14" w14:textId="77777777" w:rsidR="004E449F" w:rsidRPr="00EF2F18" w:rsidRDefault="004E449F" w:rsidP="006735D9">
      <w:pPr>
        <w:spacing w:after="0"/>
        <w:ind w:firstLine="720"/>
        <w:jc w:val="both"/>
        <w:rPr>
          <w:rFonts w:cs="Times New Roman"/>
          <w:sz w:val="22"/>
          <w:lang w:val="sr-Cyrl-RS"/>
        </w:rPr>
      </w:pPr>
    </w:p>
    <w:bookmarkEnd w:id="21"/>
    <w:p w14:paraId="2E38C0A1" w14:textId="133C15B8" w:rsidR="00D41CFC" w:rsidRPr="00EF2F18" w:rsidRDefault="00D41CFC" w:rsidP="006735D9">
      <w:pPr>
        <w:pStyle w:val="Normal1"/>
        <w:spacing w:after="0"/>
        <w:ind w:right="-179" w:firstLine="720"/>
        <w:jc w:val="both"/>
        <w:rPr>
          <w:rFonts w:ascii="Times New Roman" w:hAnsi="Times New Roman" w:cs="Times New Roman"/>
          <w:lang w:val="sr-Cyrl-RS"/>
        </w:rPr>
      </w:pPr>
      <w:r w:rsidRPr="00EF2F18">
        <w:rPr>
          <w:rFonts w:ascii="Times New Roman" w:hAnsi="Times New Roman" w:cs="Times New Roman"/>
          <w:lang w:val="sr-Cyrl-RS"/>
        </w:rPr>
        <w:t>Јавна комунална предузећа (ЈКП) су одговорна за комуналне услуге које обухватају:</w:t>
      </w:r>
    </w:p>
    <w:p w14:paraId="60C88A2A" w14:textId="3F9C97F4" w:rsidR="00D41CFC" w:rsidRPr="00EF2F18" w:rsidRDefault="00D41CFC" w:rsidP="00313E8E">
      <w:pPr>
        <w:pStyle w:val="Normal1"/>
        <w:numPr>
          <w:ilvl w:val="0"/>
          <w:numId w:val="29"/>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пречишћавање и дистрибуцију воде</w:t>
      </w:r>
      <w:r w:rsidR="00930B91" w:rsidRPr="00EF2F18">
        <w:rPr>
          <w:rFonts w:ascii="Times New Roman" w:hAnsi="Times New Roman" w:cs="Times New Roman"/>
          <w:lang w:val="sr-Cyrl-RS"/>
        </w:rPr>
        <w:t>;</w:t>
      </w:r>
    </w:p>
    <w:p w14:paraId="08696765" w14:textId="78B2DC0D" w:rsidR="00D41CFC" w:rsidRPr="00EF2F18" w:rsidRDefault="00D41CFC" w:rsidP="00313E8E">
      <w:pPr>
        <w:pStyle w:val="Normal1"/>
        <w:numPr>
          <w:ilvl w:val="0"/>
          <w:numId w:val="29"/>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третман и</w:t>
      </w:r>
      <w:r w:rsidR="005E42D2" w:rsidRPr="00EF2F18">
        <w:rPr>
          <w:rFonts w:ascii="Times New Roman" w:hAnsi="Times New Roman" w:cs="Times New Roman"/>
          <w:lang w:val="sr-Cyrl-RS"/>
        </w:rPr>
        <w:t xml:space="preserve"> </w:t>
      </w:r>
      <w:r w:rsidRPr="00EF2F18">
        <w:rPr>
          <w:rFonts w:ascii="Times New Roman" w:hAnsi="Times New Roman" w:cs="Times New Roman"/>
          <w:lang w:val="sr-Cyrl-RS"/>
        </w:rPr>
        <w:t>одводњавање атмосферских и отпадних вода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4EB04404" w14:textId="24431827" w:rsidR="00D41CFC" w:rsidRPr="00EF2F18" w:rsidRDefault="00D41CFC" w:rsidP="00313E8E">
      <w:pPr>
        <w:pStyle w:val="Normal1"/>
        <w:numPr>
          <w:ilvl w:val="0"/>
          <w:numId w:val="29"/>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производњу и снабдевање паром и топлом водом</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5B2E1B61" w14:textId="084FE482" w:rsidR="00D41CFC" w:rsidRPr="00EF2F18" w:rsidRDefault="00D41CFC" w:rsidP="00313E8E">
      <w:pPr>
        <w:pStyle w:val="Normal1"/>
        <w:numPr>
          <w:ilvl w:val="0"/>
          <w:numId w:val="29"/>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одржавање чистоће у градовима, селима и општинама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12DD2E7C" w14:textId="6ACA5F97" w:rsidR="00D41CFC" w:rsidRPr="00EF2F18" w:rsidRDefault="00D41CFC" w:rsidP="00313E8E">
      <w:pPr>
        <w:pStyle w:val="Normal1"/>
        <w:numPr>
          <w:ilvl w:val="0"/>
          <w:numId w:val="29"/>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организацију и одржавање паркова, зелених и рекреативних површина</w:t>
      </w:r>
      <w:r w:rsidR="00930B91" w:rsidRPr="00EF2F18">
        <w:rPr>
          <w:rFonts w:ascii="Times New Roman" w:hAnsi="Times New Roman" w:cs="Times New Roman"/>
          <w:lang w:val="sr-Cyrl-RS"/>
        </w:rPr>
        <w:t>;</w:t>
      </w:r>
      <w:r w:rsidRPr="00EF2F18">
        <w:rPr>
          <w:rFonts w:ascii="Times New Roman" w:hAnsi="Times New Roman" w:cs="Times New Roman"/>
          <w:lang w:val="sr-Cyrl-RS"/>
        </w:rPr>
        <w:t xml:space="preserve"> </w:t>
      </w:r>
    </w:p>
    <w:p w14:paraId="13DD45B0" w14:textId="4757A434" w:rsidR="00D41CFC" w:rsidRPr="00EF2F18" w:rsidRDefault="00D41CFC" w:rsidP="00313E8E">
      <w:pPr>
        <w:pStyle w:val="Normal1"/>
        <w:numPr>
          <w:ilvl w:val="0"/>
          <w:numId w:val="29"/>
        </w:numPr>
        <w:spacing w:after="0"/>
        <w:ind w:left="1080" w:right="-179"/>
        <w:jc w:val="both"/>
        <w:rPr>
          <w:rFonts w:ascii="Times New Roman" w:hAnsi="Times New Roman" w:cs="Times New Roman"/>
          <w:lang w:val="sr-Cyrl-RS"/>
        </w:rPr>
      </w:pPr>
      <w:r w:rsidRPr="00EF2F18">
        <w:rPr>
          <w:rFonts w:ascii="Times New Roman" w:hAnsi="Times New Roman" w:cs="Times New Roman"/>
          <w:lang w:val="sr-Cyrl-RS"/>
        </w:rPr>
        <w:t>одржавање депонија</w:t>
      </w:r>
      <w:r w:rsidR="00611E0E" w:rsidRPr="00EF2F18">
        <w:rPr>
          <w:rFonts w:ascii="Times New Roman" w:hAnsi="Times New Roman" w:cs="Times New Roman"/>
          <w:lang w:val="sr-Cyrl-RS"/>
        </w:rPr>
        <w:t>.</w:t>
      </w:r>
    </w:p>
    <w:p w14:paraId="216736D2" w14:textId="4E05DB8D" w:rsidR="000A6E64" w:rsidRPr="00EF2F18" w:rsidRDefault="000A6E64" w:rsidP="00D41CFC">
      <w:pPr>
        <w:spacing w:after="0"/>
        <w:ind w:firstLine="720"/>
        <w:jc w:val="both"/>
        <w:rPr>
          <w:rFonts w:cs="Times New Roman"/>
          <w:sz w:val="22"/>
          <w:lang w:val="sr-Cyrl-RS"/>
        </w:rPr>
      </w:pPr>
    </w:p>
    <w:p w14:paraId="2EDF0662" w14:textId="77777777" w:rsidR="00186B13" w:rsidRPr="00EF2F18" w:rsidRDefault="00186B13" w:rsidP="00D41CFC">
      <w:pPr>
        <w:spacing w:after="0"/>
        <w:ind w:firstLine="720"/>
        <w:jc w:val="both"/>
        <w:rPr>
          <w:rFonts w:cs="Times New Roman"/>
          <w:sz w:val="22"/>
          <w:lang w:val="sr-Cyrl-RS"/>
        </w:rPr>
      </w:pPr>
    </w:p>
    <w:p w14:paraId="76D374AE" w14:textId="77777777" w:rsidR="00186B13" w:rsidRPr="00EF2F18" w:rsidRDefault="00186B13" w:rsidP="00D41CFC">
      <w:pPr>
        <w:spacing w:after="0"/>
        <w:ind w:firstLine="720"/>
        <w:jc w:val="both"/>
        <w:rPr>
          <w:rFonts w:cs="Times New Roman"/>
          <w:sz w:val="22"/>
          <w:lang w:val="sr-Cyrl-RS"/>
        </w:rPr>
      </w:pPr>
    </w:p>
    <w:p w14:paraId="1C2653AD" w14:textId="77777777" w:rsidR="00186B13" w:rsidRPr="00EF2F18" w:rsidRDefault="00186B13" w:rsidP="00D41CFC">
      <w:pPr>
        <w:spacing w:after="0"/>
        <w:ind w:firstLine="720"/>
        <w:jc w:val="both"/>
        <w:rPr>
          <w:rFonts w:cs="Times New Roman"/>
          <w:sz w:val="22"/>
          <w:lang w:val="sr-Cyrl-RS"/>
        </w:rPr>
      </w:pPr>
    </w:p>
    <w:p w14:paraId="1870B240" w14:textId="77777777" w:rsidR="00611E0E" w:rsidRPr="00EF2F18" w:rsidRDefault="00611E0E" w:rsidP="00D41CFC">
      <w:pPr>
        <w:spacing w:after="0"/>
        <w:ind w:firstLine="720"/>
        <w:jc w:val="both"/>
        <w:rPr>
          <w:rFonts w:cs="Times New Roman"/>
          <w:sz w:val="22"/>
          <w:lang w:val="sr-Cyrl-RS"/>
        </w:rPr>
      </w:pPr>
    </w:p>
    <w:p w14:paraId="3F0DD072" w14:textId="055E9F25" w:rsidR="00F8293D" w:rsidRPr="00EF2F18" w:rsidRDefault="0069768F" w:rsidP="000167AD">
      <w:pPr>
        <w:pStyle w:val="Heading1"/>
        <w:numPr>
          <w:ilvl w:val="0"/>
          <w:numId w:val="2"/>
        </w:numPr>
        <w:ind w:left="1080"/>
        <w:jc w:val="center"/>
        <w:rPr>
          <w:rFonts w:cs="Times New Roman"/>
          <w:sz w:val="22"/>
          <w:szCs w:val="22"/>
          <w:lang w:val="sr-Cyrl-RS"/>
        </w:rPr>
      </w:pPr>
      <w:bookmarkStart w:id="22" w:name="_Toc158307690"/>
      <w:r w:rsidRPr="00EF2F18">
        <w:rPr>
          <w:rFonts w:cs="Times New Roman"/>
          <w:sz w:val="22"/>
          <w:szCs w:val="22"/>
          <w:lang w:val="sr-Cyrl-RS"/>
        </w:rPr>
        <w:lastRenderedPageBreak/>
        <w:t>ПОСТОЈЕЋЕ</w:t>
      </w:r>
      <w:r w:rsidR="00FB7412" w:rsidRPr="00EF2F18">
        <w:rPr>
          <w:rFonts w:cs="Times New Roman"/>
          <w:sz w:val="22"/>
          <w:szCs w:val="22"/>
          <w:lang w:val="sr-Cyrl-RS"/>
        </w:rPr>
        <w:t xml:space="preserve"> СТАЊ</w:t>
      </w:r>
      <w:r w:rsidR="00F46996" w:rsidRPr="00EF2F18">
        <w:rPr>
          <w:rFonts w:cs="Times New Roman"/>
          <w:sz w:val="22"/>
          <w:szCs w:val="22"/>
          <w:lang w:val="sr-Cyrl-RS"/>
        </w:rPr>
        <w:t>Е</w:t>
      </w:r>
      <w:r w:rsidR="00FB7412" w:rsidRPr="00EF2F18">
        <w:rPr>
          <w:rFonts w:cs="Times New Roman"/>
          <w:sz w:val="22"/>
          <w:szCs w:val="22"/>
          <w:lang w:val="sr-Cyrl-RS"/>
        </w:rPr>
        <w:t xml:space="preserve"> У </w:t>
      </w:r>
      <w:r w:rsidR="0058581F" w:rsidRPr="00EF2F18">
        <w:rPr>
          <w:rFonts w:cs="Times New Roman"/>
          <w:sz w:val="22"/>
          <w:szCs w:val="22"/>
          <w:lang w:val="sr-Cyrl-RS"/>
        </w:rPr>
        <w:t>ОБЛАСТИ</w:t>
      </w:r>
      <w:r w:rsidR="00FB7412" w:rsidRPr="00EF2F18">
        <w:rPr>
          <w:rFonts w:cs="Times New Roman"/>
          <w:sz w:val="22"/>
          <w:szCs w:val="22"/>
          <w:lang w:val="sr-Cyrl-RS"/>
        </w:rPr>
        <w:t xml:space="preserve"> </w:t>
      </w:r>
      <w:r w:rsidR="00F46996" w:rsidRPr="00EF2F18">
        <w:rPr>
          <w:rFonts w:cs="Times New Roman"/>
          <w:sz w:val="22"/>
          <w:szCs w:val="22"/>
          <w:lang w:val="sr-Cyrl-RS"/>
        </w:rPr>
        <w:t>ЖИВОТНЕ СРЕДИНЕ</w:t>
      </w:r>
      <w:r w:rsidR="00FB7412" w:rsidRPr="00EF2F18">
        <w:rPr>
          <w:rFonts w:cs="Times New Roman"/>
          <w:sz w:val="22"/>
          <w:szCs w:val="22"/>
          <w:lang w:val="sr-Cyrl-RS"/>
        </w:rPr>
        <w:t xml:space="preserve"> </w:t>
      </w:r>
      <w:r w:rsidR="00E83CEF" w:rsidRPr="00EF2F18">
        <w:rPr>
          <w:rFonts w:cs="Times New Roman"/>
          <w:sz w:val="22"/>
          <w:szCs w:val="22"/>
          <w:lang w:val="sr-Cyrl-RS"/>
        </w:rPr>
        <w:t>И КЛИМАТСКИ</w:t>
      </w:r>
      <w:r w:rsidR="00D535B8" w:rsidRPr="00EF2F18">
        <w:rPr>
          <w:rFonts w:cs="Times New Roman"/>
          <w:sz w:val="22"/>
          <w:szCs w:val="22"/>
          <w:lang w:val="sr-Cyrl-RS"/>
        </w:rPr>
        <w:t>Х</w:t>
      </w:r>
      <w:r w:rsidR="00E83CEF" w:rsidRPr="00EF2F18">
        <w:rPr>
          <w:rFonts w:cs="Times New Roman"/>
          <w:sz w:val="22"/>
          <w:szCs w:val="22"/>
          <w:lang w:val="sr-Cyrl-RS"/>
        </w:rPr>
        <w:t xml:space="preserve"> ПРОМЕНА</w:t>
      </w:r>
      <w:bookmarkEnd w:id="22"/>
    </w:p>
    <w:p w14:paraId="65CDAB85" w14:textId="059B3ADD" w:rsidR="004B0C01" w:rsidRPr="00EF2F18" w:rsidRDefault="00BA08EC" w:rsidP="000167AD">
      <w:pPr>
        <w:pStyle w:val="Heading2"/>
        <w:numPr>
          <w:ilvl w:val="1"/>
          <w:numId w:val="2"/>
        </w:numPr>
        <w:ind w:hanging="360"/>
        <w:jc w:val="center"/>
        <w:rPr>
          <w:rFonts w:cs="Times New Roman"/>
          <w:sz w:val="22"/>
          <w:szCs w:val="22"/>
          <w:lang w:val="sr-Cyrl-RS"/>
        </w:rPr>
      </w:pPr>
      <w:bookmarkStart w:id="23" w:name="_Toc158307691"/>
      <w:r w:rsidRPr="00EF2F18">
        <w:rPr>
          <w:rFonts w:cs="Times New Roman"/>
          <w:sz w:val="22"/>
          <w:szCs w:val="22"/>
          <w:lang w:val="sr-Cyrl-RS"/>
        </w:rPr>
        <w:t>Основни подаци</w:t>
      </w:r>
      <w:bookmarkEnd w:id="23"/>
    </w:p>
    <w:p w14:paraId="57A3A8FD" w14:textId="77777777" w:rsidR="00B577F5" w:rsidRPr="00EF2F18" w:rsidRDefault="00B577F5" w:rsidP="00CE2839">
      <w:pPr>
        <w:rPr>
          <w:rFonts w:cs="Times New Roman"/>
          <w:sz w:val="22"/>
          <w:highlight w:val="yellow"/>
          <w:lang w:val="sr-Cyrl-RS"/>
        </w:rPr>
      </w:pPr>
    </w:p>
    <w:p w14:paraId="200DC3D6" w14:textId="4B8097DC" w:rsidR="000A69AF" w:rsidRPr="00EF2F18" w:rsidRDefault="000A69AF" w:rsidP="000A69AF">
      <w:pPr>
        <w:spacing w:after="0"/>
        <w:ind w:firstLine="720"/>
        <w:jc w:val="both"/>
        <w:rPr>
          <w:rFonts w:cs="Times New Roman"/>
          <w:sz w:val="22"/>
          <w:lang w:val="sr-Cyrl-RS"/>
        </w:rPr>
      </w:pPr>
      <w:r w:rsidRPr="00EF2F18">
        <w:rPr>
          <w:rFonts w:cs="Times New Roman"/>
          <w:sz w:val="22"/>
          <w:lang w:val="sr-Cyrl-RS"/>
        </w:rPr>
        <w:t>Република Србија се налази у југоисточној Европи на Балканском полуострву и обухвата површину од 88.499 km</w:t>
      </w:r>
      <w:r w:rsidRPr="00EF2F18">
        <w:rPr>
          <w:rFonts w:cs="Times New Roman"/>
          <w:sz w:val="22"/>
          <w:vertAlign w:val="superscript"/>
          <w:lang w:val="sr-Cyrl-RS"/>
        </w:rPr>
        <w:t>2</w:t>
      </w:r>
      <w:r w:rsidRPr="00EF2F18">
        <w:rPr>
          <w:rFonts w:cs="Times New Roman"/>
          <w:sz w:val="22"/>
          <w:lang w:val="sr-Cyrl-RS"/>
        </w:rPr>
        <w:t xml:space="preserve">. У Републици Србији постоје две аутономне покрајине, </w:t>
      </w:r>
      <w:r w:rsidR="000C0780" w:rsidRPr="00EF2F18">
        <w:rPr>
          <w:rFonts w:cs="Times New Roman"/>
          <w:sz w:val="22"/>
          <w:lang w:val="sr-Cyrl-RS"/>
        </w:rPr>
        <w:t xml:space="preserve">АП </w:t>
      </w:r>
      <w:r w:rsidRPr="00EF2F18">
        <w:rPr>
          <w:rFonts w:cs="Times New Roman"/>
          <w:sz w:val="22"/>
          <w:lang w:val="sr-Cyrl-RS"/>
        </w:rPr>
        <w:t>Војводина (21.614 km</w:t>
      </w:r>
      <w:r w:rsidRPr="00EF2F18">
        <w:rPr>
          <w:rFonts w:cs="Times New Roman"/>
          <w:sz w:val="22"/>
          <w:vertAlign w:val="superscript"/>
          <w:lang w:val="sr-Cyrl-RS"/>
        </w:rPr>
        <w:t>2</w:t>
      </w:r>
      <w:r w:rsidRPr="00EF2F18">
        <w:rPr>
          <w:rFonts w:cs="Times New Roman"/>
          <w:sz w:val="22"/>
          <w:lang w:val="sr-Cyrl-RS"/>
        </w:rPr>
        <w:t xml:space="preserve">) на северу и </w:t>
      </w:r>
      <w:r w:rsidR="000C0780" w:rsidRPr="00EF2F18">
        <w:rPr>
          <w:rFonts w:cs="Times New Roman"/>
          <w:sz w:val="22"/>
          <w:lang w:val="sr-Cyrl-RS"/>
        </w:rPr>
        <w:t xml:space="preserve">АП </w:t>
      </w:r>
      <w:r w:rsidRPr="00EF2F18">
        <w:rPr>
          <w:rFonts w:cs="Times New Roman"/>
          <w:sz w:val="22"/>
          <w:lang w:val="sr-Cyrl-RS"/>
        </w:rPr>
        <w:t>Косово и Метохија (10.910 km</w:t>
      </w:r>
      <w:r w:rsidRPr="00EF2F18">
        <w:rPr>
          <w:rFonts w:cs="Times New Roman"/>
          <w:sz w:val="22"/>
          <w:vertAlign w:val="superscript"/>
          <w:lang w:val="sr-Cyrl-RS"/>
        </w:rPr>
        <w:t>2</w:t>
      </w:r>
      <w:r w:rsidRPr="00EF2F18">
        <w:rPr>
          <w:rFonts w:cs="Times New Roman"/>
          <w:sz w:val="22"/>
          <w:lang w:val="sr-Cyrl-RS"/>
        </w:rPr>
        <w:t xml:space="preserve">) на југу (Општине и региони у Републици Србији, 2022.). </w:t>
      </w:r>
      <w:r w:rsidR="000C0780" w:rsidRPr="00EF2F18">
        <w:rPr>
          <w:rFonts w:cs="Times New Roman"/>
          <w:sz w:val="22"/>
          <w:lang w:val="sr-Cyrl-RS"/>
        </w:rPr>
        <w:t xml:space="preserve">АП </w:t>
      </w:r>
      <w:r w:rsidRPr="00EF2F18">
        <w:rPr>
          <w:rFonts w:cs="Times New Roman"/>
          <w:sz w:val="22"/>
          <w:lang w:val="sr-Cyrl-RS"/>
        </w:rPr>
        <w:t xml:space="preserve">Косово и Метохија је под привременом међународном управом, према Резолуцији 1244 Савета безбедности Уједињених нација и није разматрано у овој </w:t>
      </w:r>
      <w:r w:rsidR="00342B1B" w:rsidRPr="00EF2F18">
        <w:rPr>
          <w:rFonts w:cs="Times New Roman"/>
          <w:sz w:val="22"/>
          <w:lang w:val="sr-Cyrl-RS"/>
        </w:rPr>
        <w:t>стратегији</w:t>
      </w:r>
      <w:r w:rsidRPr="00EF2F18">
        <w:rPr>
          <w:rFonts w:cs="Times New Roman"/>
          <w:sz w:val="22"/>
          <w:lang w:val="sr-Cyrl-RS"/>
        </w:rPr>
        <w:t>.</w:t>
      </w:r>
    </w:p>
    <w:p w14:paraId="5360B7D1" w14:textId="3AD3BAC2" w:rsidR="00932B55" w:rsidRPr="00EF2F18" w:rsidRDefault="00932B55" w:rsidP="00932B55">
      <w:pPr>
        <w:spacing w:after="0"/>
        <w:ind w:firstLine="720"/>
        <w:jc w:val="both"/>
        <w:rPr>
          <w:rFonts w:cs="Times New Roman"/>
          <w:sz w:val="22"/>
          <w:lang w:val="sr-Cyrl-RS"/>
        </w:rPr>
      </w:pPr>
      <w:r w:rsidRPr="00EF2F18">
        <w:rPr>
          <w:rFonts w:cs="Times New Roman"/>
          <w:sz w:val="22"/>
          <w:lang w:val="sr-Cyrl-RS"/>
        </w:rPr>
        <w:t xml:space="preserve">Према Попису из 2022. године, </w:t>
      </w:r>
      <w:r w:rsidRPr="00EF2F18">
        <w:rPr>
          <w:rFonts w:cs="Times New Roman"/>
          <w:color w:val="000000" w:themeColor="text1"/>
          <w:sz w:val="22"/>
          <w:lang w:val="sr-Cyrl-RS"/>
        </w:rPr>
        <w:t xml:space="preserve">Република Србија има 6.647.003 становника, а 62% становништва живи у урбаним срединама. Градови са највећим бројем становника су Београд (1.685.563), </w:t>
      </w:r>
      <w:r w:rsidRPr="00EF2F18">
        <w:rPr>
          <w:rFonts w:cs="Times New Roman"/>
          <w:sz w:val="22"/>
          <w:lang w:val="sr-Cyrl-RS"/>
        </w:rPr>
        <w:t xml:space="preserve">Нови Сад (367.121), Ниш (249.816) и Крагујевац (171.628). Нешто више од половине укупног становништва чине жене (51,4%), док је мушкараца 48,6%. </w:t>
      </w:r>
      <w:r w:rsidR="00762A86" w:rsidRPr="00EF2F18">
        <w:rPr>
          <w:rFonts w:cs="Times New Roman"/>
          <w:sz w:val="22"/>
          <w:lang w:val="sr-Cyrl-RS"/>
        </w:rPr>
        <w:t>У укупној популацији удео деце,</w:t>
      </w:r>
      <w:r w:rsidR="00FA7222" w:rsidRPr="00EF2F18">
        <w:rPr>
          <w:rFonts w:cs="Times New Roman"/>
          <w:sz w:val="22"/>
          <w:lang w:val="sr-Cyrl-RS"/>
        </w:rPr>
        <w:t xml:space="preserve"> </w:t>
      </w:r>
      <w:r w:rsidR="00762A86" w:rsidRPr="00EF2F18">
        <w:rPr>
          <w:rFonts w:cs="Times New Roman"/>
          <w:sz w:val="22"/>
          <w:lang w:val="sr-Cyrl-RS"/>
        </w:rPr>
        <w:t>узраста до 14 година,</w:t>
      </w:r>
      <w:r w:rsidR="00FA7222" w:rsidRPr="00EF2F18">
        <w:rPr>
          <w:rFonts w:cs="Times New Roman"/>
          <w:sz w:val="22"/>
          <w:lang w:val="sr-Cyrl-RS"/>
        </w:rPr>
        <w:t xml:space="preserve"> </w:t>
      </w:r>
      <w:r w:rsidR="00762A86" w:rsidRPr="00EF2F18">
        <w:rPr>
          <w:rFonts w:cs="Times New Roman"/>
          <w:sz w:val="22"/>
          <w:lang w:val="sr-Cyrl-RS"/>
        </w:rPr>
        <w:t>износи 14,4% популације; док је младих (узраста 15-29 година) 15,8%. Лица</w:t>
      </w:r>
      <w:r w:rsidR="00B05488" w:rsidRPr="00EF2F18">
        <w:rPr>
          <w:rFonts w:cs="Times New Roman"/>
          <w:sz w:val="22"/>
          <w:lang w:val="sr-Cyrl-RS"/>
        </w:rPr>
        <w:t xml:space="preserve"> </w:t>
      </w:r>
      <w:r w:rsidR="00762A86" w:rsidRPr="00EF2F18">
        <w:rPr>
          <w:rFonts w:cs="Times New Roman"/>
          <w:sz w:val="22"/>
          <w:lang w:val="sr-Cyrl-RS"/>
        </w:rPr>
        <w:t>у категорији 65 и више година чине</w:t>
      </w:r>
      <w:r w:rsidR="00FA7222" w:rsidRPr="00EF2F18">
        <w:rPr>
          <w:rFonts w:cs="Times New Roman"/>
          <w:sz w:val="22"/>
          <w:lang w:val="sr-Cyrl-RS"/>
        </w:rPr>
        <w:t xml:space="preserve"> </w:t>
      </w:r>
      <w:r w:rsidR="00762A86" w:rsidRPr="00EF2F18">
        <w:rPr>
          <w:rFonts w:cs="Times New Roman"/>
          <w:sz w:val="22"/>
          <w:lang w:val="sr-Cyrl-RS"/>
        </w:rPr>
        <w:t xml:space="preserve">22% популације. </w:t>
      </w:r>
      <w:r w:rsidR="00AC2933" w:rsidRPr="00EF2F18">
        <w:rPr>
          <w:sz w:val="22"/>
          <w:lang w:val="sr-Cyrl-RS"/>
        </w:rPr>
        <w:t>Просечна старост становништва Републике Србије износи 43,8 година, с тим што су жене у просеку старије од мушкараца за око три године (просечна старост жена је 45,2 године, а мушкараца 42,4 године).</w:t>
      </w:r>
      <w:r w:rsidR="005D673E" w:rsidRPr="00EF2F18">
        <w:rPr>
          <w:rFonts w:cs="Times New Roman"/>
          <w:sz w:val="22"/>
          <w:lang w:val="sr-Cyrl-RS"/>
        </w:rPr>
        <w:t xml:space="preserve"> </w:t>
      </w:r>
      <w:r w:rsidRPr="00EF2F18">
        <w:rPr>
          <w:rFonts w:cs="Times New Roman"/>
          <w:sz w:val="22"/>
          <w:lang w:val="sr-Cyrl-RS"/>
        </w:rPr>
        <w:t>Према резултатима Анкете о радној снази, у трећем кварталу 2022. године, стопа запослености износи 50,8%, док је стопа незапослености 8,9%. Просечне зараде без пореза и доприноса у 2022. години, у односу на претходну годину, номинално су веће за 14,1%, а реално за 2,0%.</w:t>
      </w:r>
    </w:p>
    <w:p w14:paraId="179D478F" w14:textId="7AA4A381" w:rsidR="000A69AF" w:rsidRPr="00EF2F18" w:rsidRDefault="000A69AF" w:rsidP="000A69AF">
      <w:pPr>
        <w:spacing w:after="0"/>
        <w:ind w:firstLine="720"/>
        <w:jc w:val="both"/>
        <w:rPr>
          <w:rFonts w:cs="Times New Roman"/>
          <w:sz w:val="22"/>
          <w:lang w:val="sr-Cyrl-RS"/>
        </w:rPr>
      </w:pPr>
      <w:r w:rsidRPr="00EF2F18">
        <w:rPr>
          <w:rFonts w:cs="Times New Roman"/>
          <w:sz w:val="22"/>
          <w:lang w:val="sr-Cyrl-RS"/>
        </w:rPr>
        <w:t>Процењено је да је укупна економска активност у Републици Србији у 2022. години, мерена реалним кретањем бруто домаћег производа (БДП), забележила раст од 2,3% у односу на 2021. годину.</w:t>
      </w:r>
      <w:r w:rsidR="008D17D9" w:rsidRPr="00EF2F18">
        <w:rPr>
          <w:rFonts w:cs="Times New Roman"/>
          <w:sz w:val="22"/>
          <w:lang w:val="sr-Cyrl-RS"/>
        </w:rPr>
        <w:t xml:space="preserve"> </w:t>
      </w:r>
      <w:r w:rsidRPr="00EF2F18">
        <w:rPr>
          <w:rFonts w:cs="Times New Roman"/>
          <w:sz w:val="22"/>
          <w:lang w:val="sr-Cyrl-RS"/>
        </w:rPr>
        <w:t xml:space="preserve">Бруто инвестиције у основна средства у 2022. години, мерене стопама реалног раста, на истом су нивоу као претходне године. Пољопривредна производња остварила је у 2022. години пад физичког обима од 8,0%. У истом периоду индустријска производња забележила је раст од 1,5%, а прерађивачка индустрија раст од 1,7%. Вредност изведених радова у грађевинарству у 2022. години бележи реални пад од 11,8% у односу на претходну годину. Спољнотрговинска робна размена, у </w:t>
      </w:r>
      <w:r w:rsidR="00590EF5" w:rsidRPr="00EF2F18">
        <w:rPr>
          <w:rFonts w:cs="Times New Roman"/>
          <w:sz w:val="22"/>
          <w:lang w:val="sr-Cyrl-RS"/>
        </w:rPr>
        <w:t>ЕУР</w:t>
      </w:r>
      <w:r w:rsidRPr="00EF2F18">
        <w:rPr>
          <w:rFonts w:cs="Times New Roman"/>
          <w:sz w:val="22"/>
          <w:lang w:val="sr-Cyrl-RS"/>
        </w:rPr>
        <w:t>, у 2022. години, у односу на 2021, показује раст извоза за 23,5% и раст увоза за 33,0%.</w:t>
      </w:r>
      <w:r w:rsidR="008D17D9" w:rsidRPr="00EF2F18">
        <w:rPr>
          <w:rFonts w:cs="Times New Roman"/>
          <w:sz w:val="22"/>
          <w:lang w:val="sr-Cyrl-RS"/>
        </w:rPr>
        <w:t xml:space="preserve"> </w:t>
      </w:r>
      <w:r w:rsidR="00932B55" w:rsidRPr="00EF2F18">
        <w:rPr>
          <w:rFonts w:cs="Times New Roman"/>
          <w:sz w:val="22"/>
          <w:lang w:val="sr-Cyrl-RS"/>
        </w:rPr>
        <w:t xml:space="preserve">Инвестиције у инфраструктуру су у сталном порасту. </w:t>
      </w:r>
      <w:r w:rsidRPr="00EF2F18">
        <w:rPr>
          <w:rFonts w:cs="Times New Roman"/>
          <w:sz w:val="22"/>
          <w:lang w:val="sr-Cyrl-RS"/>
        </w:rPr>
        <w:t>У 2021. години, учешће трошкова за заштиту животне средине у бруто домаћем производу износило је 1% (РЗС, Трошкови за заштиту животне средине, 2022.).</w:t>
      </w:r>
    </w:p>
    <w:p w14:paraId="0F13D293" w14:textId="44148554" w:rsidR="00D02B8F" w:rsidRPr="00EF2F18" w:rsidRDefault="00932B55" w:rsidP="00D02B8F">
      <w:pPr>
        <w:spacing w:after="0"/>
        <w:ind w:firstLine="720"/>
        <w:jc w:val="both"/>
        <w:rPr>
          <w:rFonts w:cs="Times New Roman"/>
          <w:sz w:val="22"/>
          <w:lang w:val="sr-Cyrl-RS"/>
        </w:rPr>
      </w:pPr>
      <w:r w:rsidRPr="00EF2F18">
        <w:rPr>
          <w:rFonts w:cs="Times New Roman"/>
          <w:sz w:val="22"/>
          <w:lang w:val="sr-Cyrl-RS"/>
        </w:rPr>
        <w:t xml:space="preserve">Најзначајнији природни ресурси Републике Србије су </w:t>
      </w:r>
      <w:r w:rsidR="00191A25" w:rsidRPr="00EF2F18">
        <w:rPr>
          <w:rFonts w:cs="Times New Roman"/>
          <w:sz w:val="22"/>
          <w:lang w:val="sr-Cyrl-RS"/>
        </w:rPr>
        <w:t>пољопривредно земљиште, шуме и воде</w:t>
      </w:r>
      <w:r w:rsidRPr="00EF2F18">
        <w:rPr>
          <w:rFonts w:cs="Times New Roman"/>
          <w:sz w:val="22"/>
          <w:lang w:val="sr-Cyrl-RS"/>
        </w:rPr>
        <w:t>. Такође, Република Србија располаже сировинском базом металичних и неметаличних минералних сировина</w:t>
      </w:r>
      <w:r w:rsidR="00F72A57" w:rsidRPr="00EF2F18">
        <w:rPr>
          <w:rFonts w:cs="Times New Roman"/>
          <w:sz w:val="22"/>
          <w:lang w:val="sr-Cyrl-RS"/>
        </w:rPr>
        <w:t>,</w:t>
      </w:r>
      <w:r w:rsidRPr="00EF2F18">
        <w:rPr>
          <w:rFonts w:cs="Times New Roman"/>
          <w:sz w:val="22"/>
          <w:lang w:val="sr-Cyrl-RS"/>
        </w:rPr>
        <w:t xml:space="preserve"> као и енергетских минералних сировина (угаљ, нафта, природни гас). </w:t>
      </w:r>
      <w:r w:rsidR="00D41E17" w:rsidRPr="00EF2F18">
        <w:rPr>
          <w:rFonts w:cs="Times New Roman"/>
          <w:color w:val="000000" w:themeColor="text1"/>
          <w:sz w:val="22"/>
          <w:lang w:val="sr-Cyrl-RS"/>
        </w:rPr>
        <w:t xml:space="preserve">Најзначајнија пољопривредна подручја </w:t>
      </w:r>
      <w:r w:rsidR="00D41E17" w:rsidRPr="00EF2F18">
        <w:rPr>
          <w:rFonts w:cs="Times New Roman"/>
          <w:sz w:val="22"/>
          <w:lang w:val="sr-Cyrl-RS"/>
        </w:rPr>
        <w:t xml:space="preserve">налазе </w:t>
      </w:r>
      <w:r w:rsidR="00F72A57" w:rsidRPr="00EF2F18">
        <w:rPr>
          <w:rFonts w:cs="Times New Roman"/>
          <w:color w:val="000000" w:themeColor="text1"/>
          <w:sz w:val="22"/>
          <w:lang w:val="sr-Cyrl-RS"/>
        </w:rPr>
        <w:t xml:space="preserve">се </w:t>
      </w:r>
      <w:r w:rsidR="00D41E17" w:rsidRPr="00EF2F18">
        <w:rPr>
          <w:rFonts w:cs="Times New Roman"/>
          <w:sz w:val="22"/>
          <w:lang w:val="sr-Cyrl-RS"/>
        </w:rPr>
        <w:t>у Војводини. Сточарство је, такође, развијено. Тешка индустрија у Републици Србији углавном је везана за прерађивачку, металуршку, хемијску и др.</w:t>
      </w:r>
      <w:r w:rsidR="001846DD" w:rsidRPr="00EF2F18">
        <w:rPr>
          <w:rFonts w:cs="Times New Roman"/>
          <w:sz w:val="22"/>
          <w:lang w:val="sr-Cyrl-RS"/>
        </w:rPr>
        <w:t xml:space="preserve"> </w:t>
      </w:r>
      <w:r w:rsidR="00D41E17" w:rsidRPr="00EF2F18">
        <w:rPr>
          <w:rFonts w:cs="Times New Roman"/>
          <w:sz w:val="22"/>
          <w:lang w:val="sr-Cyrl-RS"/>
        </w:rPr>
        <w:t xml:space="preserve">Остала индустријска производња обухвата производњу цемента и других грађевинских материјала, електро-опреме, прераду дрвета, </w:t>
      </w:r>
      <w:r w:rsidRPr="00EF2F18">
        <w:rPr>
          <w:rFonts w:cs="Times New Roman"/>
          <w:sz w:val="22"/>
          <w:lang w:val="sr-Cyrl-RS"/>
        </w:rPr>
        <w:t xml:space="preserve">производњу гуме, </w:t>
      </w:r>
      <w:r w:rsidR="00D41E17" w:rsidRPr="00EF2F18">
        <w:rPr>
          <w:rFonts w:cs="Times New Roman"/>
          <w:sz w:val="22"/>
          <w:lang w:val="sr-Cyrl-RS"/>
        </w:rPr>
        <w:t>текстил</w:t>
      </w:r>
      <w:r w:rsidRPr="00EF2F18">
        <w:rPr>
          <w:rFonts w:cs="Times New Roman"/>
          <w:sz w:val="22"/>
          <w:lang w:val="sr-Cyrl-RS"/>
        </w:rPr>
        <w:t>а</w:t>
      </w:r>
      <w:r w:rsidR="00D41E17" w:rsidRPr="00EF2F18">
        <w:rPr>
          <w:rFonts w:cs="Times New Roman"/>
          <w:sz w:val="22"/>
          <w:lang w:val="sr-Cyrl-RS"/>
        </w:rPr>
        <w:t>, прехрамбен</w:t>
      </w:r>
      <w:r w:rsidRPr="00EF2F18">
        <w:rPr>
          <w:rFonts w:cs="Times New Roman"/>
          <w:sz w:val="22"/>
          <w:lang w:val="sr-Cyrl-RS"/>
        </w:rPr>
        <w:t>их</w:t>
      </w:r>
      <w:r w:rsidR="00D41E17" w:rsidRPr="00EF2F18">
        <w:rPr>
          <w:rFonts w:cs="Times New Roman"/>
          <w:sz w:val="22"/>
          <w:lang w:val="sr-Cyrl-RS"/>
        </w:rPr>
        <w:t xml:space="preserve"> производ</w:t>
      </w:r>
      <w:r w:rsidRPr="00EF2F18">
        <w:rPr>
          <w:rFonts w:cs="Times New Roman"/>
          <w:sz w:val="22"/>
          <w:lang w:val="sr-Cyrl-RS"/>
        </w:rPr>
        <w:t>а</w:t>
      </w:r>
      <w:r w:rsidR="00D41E17" w:rsidRPr="00EF2F18">
        <w:rPr>
          <w:rFonts w:cs="Times New Roman"/>
          <w:sz w:val="22"/>
          <w:lang w:val="sr-Cyrl-RS"/>
        </w:rPr>
        <w:t xml:space="preserve"> и др.</w:t>
      </w:r>
      <w:r w:rsidR="0056149F" w:rsidRPr="00EF2F18">
        <w:rPr>
          <w:rFonts w:cs="Times New Roman"/>
          <w:sz w:val="22"/>
          <w:lang w:val="sr-Cyrl-RS"/>
        </w:rPr>
        <w:t xml:space="preserve"> </w:t>
      </w:r>
    </w:p>
    <w:p w14:paraId="46003E5D" w14:textId="77777777" w:rsidR="000D0989" w:rsidRPr="00EF2F18" w:rsidRDefault="000D0989" w:rsidP="00920D0B">
      <w:pPr>
        <w:spacing w:after="0"/>
        <w:ind w:firstLine="720"/>
        <w:jc w:val="both"/>
        <w:rPr>
          <w:rFonts w:cs="Times New Roman"/>
          <w:sz w:val="22"/>
          <w:lang w:val="sr-Cyrl-RS"/>
        </w:rPr>
      </w:pPr>
    </w:p>
    <w:p w14:paraId="0EE526FA" w14:textId="6BFD8B59" w:rsidR="00D41E17" w:rsidRPr="00EF2F18" w:rsidRDefault="00D41E17" w:rsidP="000167AD">
      <w:pPr>
        <w:pStyle w:val="Heading2"/>
        <w:numPr>
          <w:ilvl w:val="1"/>
          <w:numId w:val="2"/>
        </w:numPr>
        <w:jc w:val="center"/>
        <w:rPr>
          <w:rFonts w:cs="Times New Roman"/>
          <w:sz w:val="22"/>
          <w:szCs w:val="22"/>
          <w:lang w:val="sr-Cyrl-RS"/>
        </w:rPr>
      </w:pPr>
      <w:bookmarkStart w:id="24" w:name="_Toc158307692"/>
      <w:r w:rsidRPr="00EF2F18">
        <w:rPr>
          <w:rFonts w:cs="Times New Roman"/>
          <w:sz w:val="22"/>
          <w:szCs w:val="22"/>
          <w:lang w:val="sr-Cyrl-RS"/>
        </w:rPr>
        <w:t>Оствареност циљева</w:t>
      </w:r>
      <w:r w:rsidR="00E914A6" w:rsidRPr="00EF2F18">
        <w:rPr>
          <w:rFonts w:cs="Times New Roman"/>
          <w:sz w:val="22"/>
          <w:szCs w:val="22"/>
          <w:lang w:val="sr-Cyrl-RS"/>
        </w:rPr>
        <w:t xml:space="preserve"> у области заштите животне средине у претхо</w:t>
      </w:r>
      <w:r w:rsidR="000679FA" w:rsidRPr="00EF2F18">
        <w:rPr>
          <w:rFonts w:cs="Times New Roman"/>
          <w:sz w:val="22"/>
          <w:szCs w:val="22"/>
          <w:lang w:val="sr-Cyrl-RS"/>
        </w:rPr>
        <w:t>д</w:t>
      </w:r>
      <w:r w:rsidR="00E914A6" w:rsidRPr="00EF2F18">
        <w:rPr>
          <w:rFonts w:cs="Times New Roman"/>
          <w:sz w:val="22"/>
          <w:szCs w:val="22"/>
          <w:lang w:val="sr-Cyrl-RS"/>
        </w:rPr>
        <w:t>ном периоду</w:t>
      </w:r>
      <w:bookmarkEnd w:id="24"/>
    </w:p>
    <w:p w14:paraId="0696C115" w14:textId="77777777" w:rsidR="00D41E17" w:rsidRPr="00EF2F18" w:rsidRDefault="00D41E17" w:rsidP="00D41E17">
      <w:pPr>
        <w:autoSpaceDE w:val="0"/>
        <w:autoSpaceDN w:val="0"/>
        <w:adjustRightInd w:val="0"/>
        <w:spacing w:after="0"/>
        <w:ind w:firstLine="720"/>
        <w:jc w:val="both"/>
        <w:rPr>
          <w:rFonts w:cs="Times New Roman"/>
          <w:sz w:val="22"/>
          <w:shd w:val="clear" w:color="auto" w:fill="FFFFFF"/>
          <w:lang w:val="sr-Cyrl-RS"/>
        </w:rPr>
      </w:pPr>
    </w:p>
    <w:p w14:paraId="3B8B3066" w14:textId="3B26596D" w:rsidR="00E914A6" w:rsidRPr="00EF2F18" w:rsidRDefault="00E914A6" w:rsidP="00E914A6">
      <w:pPr>
        <w:autoSpaceDE w:val="0"/>
        <w:autoSpaceDN w:val="0"/>
        <w:adjustRightInd w:val="0"/>
        <w:spacing w:after="0"/>
        <w:ind w:firstLine="720"/>
        <w:jc w:val="both"/>
        <w:rPr>
          <w:rFonts w:cs="Times New Roman"/>
          <w:sz w:val="22"/>
          <w:lang w:val="sr-Cyrl-RS"/>
        </w:rPr>
      </w:pPr>
      <w:r w:rsidRPr="00EF2F18">
        <w:rPr>
          <w:rFonts w:cs="Times New Roman"/>
          <w:sz w:val="22"/>
          <w:shd w:val="clear" w:color="auto" w:fill="FFFFFF"/>
          <w:lang w:val="sr-Cyrl-RS"/>
        </w:rPr>
        <w:t xml:space="preserve">У периоду од 2010. до 2019. године, кључни документ јавне политике у области заштите животне средине био је </w:t>
      </w:r>
      <w:r w:rsidRPr="00EF2F18">
        <w:rPr>
          <w:rFonts w:cs="Times New Roman"/>
          <w:sz w:val="22"/>
          <w:lang w:val="sr-Cyrl-RS"/>
        </w:rPr>
        <w:t>Националн</w:t>
      </w:r>
      <w:r w:rsidR="00E62503" w:rsidRPr="00EF2F18">
        <w:rPr>
          <w:rFonts w:cs="Times New Roman"/>
          <w:sz w:val="22"/>
          <w:lang w:val="sr-Cyrl-RS"/>
        </w:rPr>
        <w:t>и</w:t>
      </w:r>
      <w:r w:rsidRPr="00EF2F18">
        <w:rPr>
          <w:rFonts w:cs="Times New Roman"/>
          <w:sz w:val="22"/>
          <w:lang w:val="sr-Cyrl-RS"/>
        </w:rPr>
        <w:t xml:space="preserve"> програм заштит</w:t>
      </w:r>
      <w:r w:rsidR="00BF6433" w:rsidRPr="00EF2F18">
        <w:rPr>
          <w:rFonts w:cs="Times New Roman"/>
          <w:sz w:val="22"/>
          <w:lang w:val="sr-Cyrl-RS"/>
        </w:rPr>
        <w:t>е</w:t>
      </w:r>
      <w:r w:rsidRPr="00EF2F18">
        <w:rPr>
          <w:rFonts w:cs="Times New Roman"/>
          <w:sz w:val="22"/>
          <w:lang w:val="sr-Cyrl-RS"/>
        </w:rPr>
        <w:t xml:space="preserve"> животне средине („Службени гласник РС”, број 12/10). С обзиром да наведени документ није садржао показатеље за праћење напретка у достизању утврђених циљева у периоду важења овог програма, није вр</w:t>
      </w:r>
      <w:r w:rsidR="00E62503" w:rsidRPr="00EF2F18">
        <w:rPr>
          <w:rFonts w:cs="Times New Roman"/>
          <w:sz w:val="22"/>
          <w:lang w:val="sr-Cyrl-RS"/>
        </w:rPr>
        <w:t>ш</w:t>
      </w:r>
      <w:r w:rsidRPr="00EF2F18">
        <w:rPr>
          <w:rFonts w:cs="Times New Roman"/>
          <w:sz w:val="22"/>
          <w:lang w:val="sr-Cyrl-RS"/>
        </w:rPr>
        <w:t>ено извештавање о пост</w:t>
      </w:r>
      <w:r w:rsidR="00E62503" w:rsidRPr="00EF2F18">
        <w:rPr>
          <w:rFonts w:cs="Times New Roman"/>
          <w:sz w:val="22"/>
          <w:lang w:val="sr-Cyrl-RS"/>
        </w:rPr>
        <w:t>и</w:t>
      </w:r>
      <w:r w:rsidRPr="00EF2F18">
        <w:rPr>
          <w:rFonts w:cs="Times New Roman"/>
          <w:sz w:val="22"/>
          <w:lang w:val="sr-Cyrl-RS"/>
        </w:rPr>
        <w:t>гнутим учинцима, односно није праћен напредак у његовом спровођењу.</w:t>
      </w:r>
      <w:r w:rsidRPr="00EF2F18">
        <w:rPr>
          <w:rFonts w:cs="Times New Roman"/>
          <w:sz w:val="22"/>
          <w:shd w:val="clear" w:color="auto" w:fill="FFFFFF"/>
          <w:lang w:val="sr-Cyrl-RS"/>
        </w:rPr>
        <w:t xml:space="preserve"> </w:t>
      </w:r>
    </w:p>
    <w:p w14:paraId="5286F80E" w14:textId="4ADB0150" w:rsidR="00D41E17" w:rsidRPr="00EF2F18" w:rsidRDefault="00E914A6" w:rsidP="00E914A6">
      <w:pPr>
        <w:autoSpaceDE w:val="0"/>
        <w:autoSpaceDN w:val="0"/>
        <w:adjustRightInd w:val="0"/>
        <w:spacing w:after="0"/>
        <w:ind w:firstLine="720"/>
        <w:jc w:val="both"/>
        <w:rPr>
          <w:rFonts w:cs="Times New Roman"/>
          <w:sz w:val="22"/>
          <w:lang w:val="sr-Cyrl-RS"/>
        </w:rPr>
      </w:pPr>
      <w:r w:rsidRPr="00EF2F18">
        <w:rPr>
          <w:rFonts w:cs="Times New Roman"/>
          <w:sz w:val="22"/>
          <w:lang w:val="sr-Cyrl-RS"/>
        </w:rPr>
        <w:t>Општи циљеви јавне политике у области заштите животне средине, утврђени навед</w:t>
      </w:r>
      <w:r w:rsidR="00E37949">
        <w:rPr>
          <w:rFonts w:cs="Times New Roman"/>
          <w:sz w:val="22"/>
          <w:lang w:val="sr-Cyrl-RS"/>
        </w:rPr>
        <w:t>е</w:t>
      </w:r>
      <w:r w:rsidRPr="00EF2F18">
        <w:rPr>
          <w:rFonts w:cs="Times New Roman"/>
          <w:sz w:val="22"/>
          <w:lang w:val="sr-Cyrl-RS"/>
        </w:rPr>
        <w:t>ним програмом, били су груписани у следећим областима</w:t>
      </w:r>
      <w:r w:rsidR="00D41E17" w:rsidRPr="00EF2F18">
        <w:rPr>
          <w:rFonts w:cs="Times New Roman"/>
          <w:sz w:val="22"/>
          <w:lang w:val="sr-Cyrl-RS"/>
        </w:rPr>
        <w:t xml:space="preserve">: </w:t>
      </w:r>
    </w:p>
    <w:p w14:paraId="1EE7223B" w14:textId="77777777"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1. </w:t>
      </w:r>
      <w:r w:rsidRPr="00EF2F18">
        <w:rPr>
          <w:rFonts w:cs="Times New Roman"/>
          <w:b/>
          <w:bCs/>
          <w:sz w:val="22"/>
          <w:lang w:val="sr-Cyrl-RS"/>
        </w:rPr>
        <w:t>Доношење стратешких и планских докумената</w:t>
      </w:r>
      <w:r w:rsidRPr="00EF2F18">
        <w:rPr>
          <w:rFonts w:cs="Times New Roman"/>
          <w:sz w:val="22"/>
          <w:lang w:val="sr-Cyrl-RS"/>
        </w:rPr>
        <w:t xml:space="preserve"> из области заштите животне средине и одрживог коришћења природних ресурса дефинисаних Законом о заштити животне средине и другим посебним законима; </w:t>
      </w:r>
    </w:p>
    <w:p w14:paraId="2418EF8D" w14:textId="0B3A49E4"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lastRenderedPageBreak/>
        <w:t xml:space="preserve">2. </w:t>
      </w:r>
      <w:r w:rsidRPr="00EF2F18">
        <w:rPr>
          <w:rFonts w:cs="Times New Roman"/>
          <w:b/>
          <w:bCs/>
          <w:sz w:val="22"/>
          <w:lang w:val="sr-Cyrl-RS"/>
        </w:rPr>
        <w:t>Интеграција политике заштите животне средине</w:t>
      </w:r>
      <w:r w:rsidRPr="00EF2F18">
        <w:rPr>
          <w:rFonts w:cs="Times New Roman"/>
          <w:sz w:val="22"/>
          <w:lang w:val="sr-Cyrl-RS"/>
        </w:rPr>
        <w:t xml:space="preserve"> са економском и политиком других сектора</w:t>
      </w:r>
      <w:r w:rsidR="00F72A57" w:rsidRPr="00EF2F18">
        <w:rPr>
          <w:rFonts w:cs="Times New Roman"/>
          <w:sz w:val="22"/>
          <w:lang w:val="sr-Cyrl-RS"/>
        </w:rPr>
        <w:t>,</w:t>
      </w:r>
      <w:r w:rsidRPr="00EF2F18">
        <w:rPr>
          <w:rFonts w:cs="Times New Roman"/>
          <w:sz w:val="22"/>
          <w:lang w:val="sr-Cyrl-RS"/>
        </w:rPr>
        <w:t xml:space="preserve"> </w:t>
      </w:r>
      <w:r w:rsidR="00F72A57" w:rsidRPr="00EF2F18">
        <w:rPr>
          <w:rFonts w:cs="Times New Roman"/>
          <w:sz w:val="22"/>
          <w:lang w:val="sr-Cyrl-RS"/>
        </w:rPr>
        <w:t>учествовање у припреми и спровођењу секторских стратегија у деловима који се односе на животну средину, као и интегрисање принц</w:t>
      </w:r>
      <w:r w:rsidR="00943E9C">
        <w:rPr>
          <w:rFonts w:cs="Times New Roman"/>
          <w:sz w:val="22"/>
          <w:lang w:val="sr-Cyrl-RS"/>
        </w:rPr>
        <w:t>ипа заш</w:t>
      </w:r>
      <w:r w:rsidR="00F72A57" w:rsidRPr="00EF2F18">
        <w:rPr>
          <w:rFonts w:cs="Times New Roman"/>
          <w:sz w:val="22"/>
          <w:lang w:val="sr-Cyrl-RS"/>
        </w:rPr>
        <w:t>тите животне средине и енергетске ефикасности у просторно и урбанистичко планирањ</w:t>
      </w:r>
      <w:r w:rsidRPr="00EF2F18">
        <w:rPr>
          <w:rFonts w:cs="Times New Roman"/>
          <w:sz w:val="22"/>
          <w:lang w:val="sr-Cyrl-RS"/>
        </w:rPr>
        <w:t xml:space="preserve">е; </w:t>
      </w:r>
    </w:p>
    <w:p w14:paraId="6BAABDF3" w14:textId="77777777"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3. </w:t>
      </w:r>
      <w:r w:rsidRPr="00EF2F18">
        <w:rPr>
          <w:rFonts w:cs="Times New Roman"/>
          <w:b/>
          <w:bCs/>
          <w:sz w:val="22"/>
          <w:lang w:val="sr-Cyrl-RS"/>
        </w:rPr>
        <w:t>Јачање институционалних капацитета</w:t>
      </w:r>
      <w:r w:rsidRPr="00EF2F18">
        <w:rPr>
          <w:rFonts w:cs="Times New Roman"/>
          <w:sz w:val="22"/>
          <w:lang w:val="sr-Cyrl-RS"/>
        </w:rPr>
        <w:t xml:space="preserve"> за креирање и имплементацију секторских политика и политике заштите животне средине у целини и успостављање система за реаговање у акцидентним ситуацијама; </w:t>
      </w:r>
    </w:p>
    <w:p w14:paraId="1046094B" w14:textId="416B2DF5"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4. </w:t>
      </w:r>
      <w:r w:rsidRPr="00EF2F18">
        <w:rPr>
          <w:rFonts w:cs="Times New Roman"/>
          <w:b/>
          <w:bCs/>
          <w:sz w:val="22"/>
          <w:lang w:val="sr-Cyrl-RS"/>
        </w:rPr>
        <w:t>Унапређење система контроле квалитета животне средине</w:t>
      </w:r>
      <w:r w:rsidRPr="00EF2F18">
        <w:rPr>
          <w:rFonts w:cs="Times New Roman"/>
          <w:sz w:val="22"/>
          <w:lang w:val="sr-Cyrl-RS"/>
        </w:rPr>
        <w:t xml:space="preserve"> акредитацијом овлашћених лабораторија, применом норматива и прописа, обавезном контролом квалитета мониторинга чинилаца животне средине</w:t>
      </w:r>
      <w:r w:rsidR="00104F5B" w:rsidRPr="00EF2F18">
        <w:rPr>
          <w:rFonts w:cs="Times New Roman"/>
          <w:sz w:val="22"/>
          <w:lang w:val="sr-Cyrl-RS"/>
        </w:rPr>
        <w:t>, самомониторингом</w:t>
      </w:r>
      <w:r w:rsidR="005E5FF9" w:rsidRPr="00EF2F18">
        <w:rPr>
          <w:rFonts w:cs="Times New Roman"/>
          <w:sz w:val="22"/>
          <w:lang w:val="sr-Cyrl-RS"/>
        </w:rPr>
        <w:t xml:space="preserve"> </w:t>
      </w:r>
      <w:r w:rsidR="00104F5B" w:rsidRPr="00EF2F18">
        <w:rPr>
          <w:rFonts w:cs="Times New Roman"/>
          <w:sz w:val="22"/>
          <w:lang w:val="sr-Cyrl-RS"/>
        </w:rPr>
        <w:t>извора загађивања,</w:t>
      </w:r>
      <w:r w:rsidR="005E5FF9" w:rsidRPr="00EF2F18">
        <w:rPr>
          <w:rFonts w:cs="Times New Roman"/>
          <w:sz w:val="22"/>
          <w:lang w:val="sr-Cyrl-RS"/>
        </w:rPr>
        <w:t xml:space="preserve"> </w:t>
      </w:r>
      <w:r w:rsidR="00104F5B" w:rsidRPr="00EF2F18">
        <w:rPr>
          <w:rFonts w:cs="Times New Roman"/>
          <w:sz w:val="22"/>
          <w:lang w:val="sr-Cyrl-RS"/>
        </w:rPr>
        <w:t>унапређењем прикупљања и анализе података у оквиру Националног регистра извора загађивања</w:t>
      </w:r>
      <w:r w:rsidR="005313EC" w:rsidRPr="00EF2F18">
        <w:rPr>
          <w:rFonts w:cs="Times New Roman"/>
          <w:sz w:val="22"/>
          <w:lang w:val="sr-Cyrl-RS"/>
        </w:rPr>
        <w:t xml:space="preserve"> и успостављањем</w:t>
      </w:r>
      <w:r w:rsidR="00B34686" w:rsidRPr="00EF2F18">
        <w:rPr>
          <w:rFonts w:cs="Times New Roman"/>
          <w:sz w:val="22"/>
          <w:lang w:val="sr-Cyrl-RS"/>
        </w:rPr>
        <w:t xml:space="preserve"> </w:t>
      </w:r>
      <w:r w:rsidR="005313EC" w:rsidRPr="00EF2F18">
        <w:rPr>
          <w:rFonts w:cs="Times New Roman"/>
          <w:sz w:val="22"/>
          <w:lang w:val="sr-Cyrl-RS"/>
        </w:rPr>
        <w:t>и унапређењем локалних регистара извора загађивања</w:t>
      </w:r>
      <w:r w:rsidR="00104F5B" w:rsidRPr="00EF2F18">
        <w:rPr>
          <w:rFonts w:cs="Times New Roman"/>
          <w:sz w:val="22"/>
          <w:lang w:val="sr-Cyrl-RS"/>
        </w:rPr>
        <w:t>, израдом инвентара гасова са ефектом стаклене баште и инвентара основних загађујућих материја, унапређењем јединственог информационог система животне средине</w:t>
      </w:r>
      <w:r w:rsidRPr="00EF2F18">
        <w:rPr>
          <w:rFonts w:cs="Times New Roman"/>
          <w:sz w:val="22"/>
          <w:lang w:val="sr-Cyrl-RS"/>
        </w:rPr>
        <w:t xml:space="preserve">; </w:t>
      </w:r>
    </w:p>
    <w:p w14:paraId="69DF3904" w14:textId="77777777"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5. </w:t>
      </w:r>
      <w:r w:rsidRPr="00EF2F18">
        <w:rPr>
          <w:rFonts w:cs="Times New Roman"/>
          <w:b/>
          <w:bCs/>
          <w:sz w:val="22"/>
          <w:lang w:val="sr-Cyrl-RS"/>
        </w:rPr>
        <w:t>Унапређење правног система у области заштите животне средине</w:t>
      </w:r>
      <w:r w:rsidRPr="00EF2F18">
        <w:rPr>
          <w:rFonts w:cs="Times New Roman"/>
          <w:sz w:val="22"/>
          <w:lang w:val="sr-Cyrl-RS"/>
        </w:rPr>
        <w:t xml:space="preserve"> доношењем секторских закона и подзаконских прописа, побољшањем надзора над спровођењем прописа и подизањем капацитета правосудног система; </w:t>
      </w:r>
    </w:p>
    <w:p w14:paraId="339B4631" w14:textId="107BB335"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6. </w:t>
      </w:r>
      <w:r w:rsidR="00E914A6" w:rsidRPr="00EF2F18">
        <w:rPr>
          <w:rFonts w:cs="Times New Roman"/>
          <w:b/>
          <w:bCs/>
          <w:sz w:val="22"/>
          <w:lang w:val="sr-Cyrl-RS"/>
        </w:rPr>
        <w:t>Развој ефикасног система финансирања заштите животне средине</w:t>
      </w:r>
      <w:r w:rsidR="00E914A6" w:rsidRPr="00EF2F18">
        <w:rPr>
          <w:rFonts w:cs="Times New Roman"/>
          <w:sz w:val="22"/>
          <w:lang w:val="sr-Cyrl-RS"/>
        </w:rPr>
        <w:t xml:space="preserve"> </w:t>
      </w:r>
      <w:r w:rsidR="00E914A6" w:rsidRPr="00EF2F18">
        <w:rPr>
          <w:rFonts w:cs="Times New Roman"/>
          <w:b/>
          <w:bCs/>
          <w:sz w:val="22"/>
          <w:lang w:val="sr-Cyrl-RS"/>
        </w:rPr>
        <w:t>и економских подстицаја</w:t>
      </w:r>
      <w:r w:rsidR="00E914A6" w:rsidRPr="00EF2F18">
        <w:rPr>
          <w:rFonts w:cs="Times New Roman"/>
          <w:sz w:val="22"/>
          <w:lang w:val="sr-Cyrl-RS"/>
        </w:rPr>
        <w:t>, ради обезбеђивања потпуне примене принципа „загађивач плаћа”, при чему, ефикасан систем економских инструмената треба да подстакне смањење загађења. Ефикасни финансијски механизми треба да подстакну улагања у животну средину и обезбеде сигурне изворе финансирања Фонда за заштиту животне средине</w:t>
      </w:r>
      <w:r w:rsidRPr="00EF2F18">
        <w:rPr>
          <w:rFonts w:cs="Times New Roman"/>
          <w:sz w:val="22"/>
          <w:lang w:val="sr-Cyrl-RS"/>
        </w:rPr>
        <w:t xml:space="preserve">; </w:t>
      </w:r>
    </w:p>
    <w:p w14:paraId="66E08351" w14:textId="77777777"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7. </w:t>
      </w:r>
      <w:r w:rsidRPr="00EF2F18">
        <w:rPr>
          <w:rFonts w:cs="Times New Roman"/>
          <w:b/>
          <w:bCs/>
          <w:sz w:val="22"/>
          <w:lang w:val="sr-Cyrl-RS"/>
        </w:rPr>
        <w:t>Унапређење формалног и неформалног образовања</w:t>
      </w:r>
      <w:r w:rsidRPr="00EF2F18">
        <w:rPr>
          <w:rFonts w:cs="Times New Roman"/>
          <w:sz w:val="22"/>
          <w:lang w:val="sr-Cyrl-RS"/>
        </w:rPr>
        <w:t xml:space="preserve"> о заштити животне средине и енергетској ефикасности, које треба да буде засновано на Националној стратегији образовања у области заштите животне средине. Подизање нивоа свести кроз боље информисање и комуникацију са јавношћу и развијање механизама њиховог учешћа у одлучивању по питањима животне средине у складу са Архуском конвенцијом.</w:t>
      </w:r>
    </w:p>
    <w:p w14:paraId="4E1A9922" w14:textId="288EFA81" w:rsidR="00D41E17" w:rsidRPr="00EF2F18" w:rsidRDefault="00D41E17"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Посебни циљеви били су дефинисани за сваку област, као краткорочни (2010</w:t>
      </w:r>
      <w:r w:rsidR="00342B1B" w:rsidRPr="00EF2F18">
        <w:rPr>
          <w:rFonts w:cs="Times New Roman"/>
          <w:sz w:val="22"/>
          <w:lang w:val="sr-Cyrl-RS"/>
        </w:rPr>
        <w:t xml:space="preserve"> – </w:t>
      </w:r>
      <w:r w:rsidRPr="00EF2F18">
        <w:rPr>
          <w:rFonts w:cs="Times New Roman"/>
          <w:sz w:val="22"/>
          <w:lang w:val="sr-Cyrl-RS"/>
        </w:rPr>
        <w:t>2014.</w:t>
      </w:r>
      <w:r w:rsidR="00342B1B" w:rsidRPr="00EF2F18">
        <w:rPr>
          <w:rFonts w:cs="Times New Roman"/>
          <w:iCs/>
          <w:sz w:val="22"/>
          <w:lang w:val="sr-Cyrl-RS"/>
        </w:rPr>
        <w:t xml:space="preserve"> године</w:t>
      </w:r>
      <w:r w:rsidRPr="00EF2F18">
        <w:rPr>
          <w:rFonts w:cs="Times New Roman"/>
          <w:sz w:val="22"/>
          <w:lang w:val="sr-Cyrl-RS"/>
        </w:rPr>
        <w:t>), континуирани (2010</w:t>
      </w:r>
      <w:r w:rsidR="00342B1B" w:rsidRPr="00EF2F18">
        <w:rPr>
          <w:rFonts w:cs="Times New Roman"/>
          <w:sz w:val="22"/>
          <w:lang w:val="sr-Cyrl-RS"/>
        </w:rPr>
        <w:t xml:space="preserve"> – </w:t>
      </w:r>
      <w:r w:rsidRPr="00EF2F18">
        <w:rPr>
          <w:rFonts w:cs="Times New Roman"/>
          <w:sz w:val="22"/>
          <w:lang w:val="sr-Cyrl-RS"/>
        </w:rPr>
        <w:t>2019.</w:t>
      </w:r>
      <w:r w:rsidR="00342B1B" w:rsidRPr="00EF2F18">
        <w:rPr>
          <w:rFonts w:cs="Times New Roman"/>
          <w:iCs/>
          <w:sz w:val="22"/>
          <w:lang w:val="sr-Cyrl-RS"/>
        </w:rPr>
        <w:t xml:space="preserve"> године</w:t>
      </w:r>
      <w:r w:rsidRPr="00EF2F18">
        <w:rPr>
          <w:rFonts w:cs="Times New Roman"/>
          <w:sz w:val="22"/>
          <w:lang w:val="sr-Cyrl-RS"/>
        </w:rPr>
        <w:t>) и средњорочни (2015</w:t>
      </w:r>
      <w:r w:rsidR="00342B1B" w:rsidRPr="00EF2F18">
        <w:rPr>
          <w:rFonts w:cs="Times New Roman"/>
          <w:sz w:val="22"/>
          <w:lang w:val="sr-Cyrl-RS"/>
        </w:rPr>
        <w:t xml:space="preserve"> – </w:t>
      </w:r>
      <w:r w:rsidRPr="00EF2F18">
        <w:rPr>
          <w:rFonts w:cs="Times New Roman"/>
          <w:sz w:val="22"/>
          <w:lang w:val="sr-Cyrl-RS"/>
        </w:rPr>
        <w:t>2019.</w:t>
      </w:r>
      <w:r w:rsidR="00342B1B" w:rsidRPr="00EF2F18">
        <w:rPr>
          <w:rFonts w:cs="Times New Roman"/>
          <w:iCs/>
          <w:sz w:val="22"/>
          <w:lang w:val="sr-Cyrl-RS"/>
        </w:rPr>
        <w:t xml:space="preserve"> године</w:t>
      </w:r>
      <w:r w:rsidRPr="00EF2F18">
        <w:rPr>
          <w:rFonts w:cs="Times New Roman"/>
          <w:sz w:val="22"/>
          <w:lang w:val="sr-Cyrl-RS"/>
        </w:rPr>
        <w:t xml:space="preserve">). </w:t>
      </w:r>
    </w:p>
    <w:p w14:paraId="7C430E9A" w14:textId="6421CD91" w:rsidR="00CA2DA9" w:rsidRPr="00EF2F18" w:rsidRDefault="00932B55" w:rsidP="00D41E17">
      <w:pPr>
        <w:autoSpaceDE w:val="0"/>
        <w:autoSpaceDN w:val="0"/>
        <w:adjustRightInd w:val="0"/>
        <w:spacing w:after="0"/>
        <w:ind w:firstLine="720"/>
        <w:jc w:val="both"/>
        <w:rPr>
          <w:rFonts w:cs="Times New Roman"/>
          <w:sz w:val="22"/>
          <w:shd w:val="clear" w:color="auto" w:fill="FFFFFF"/>
          <w:lang w:val="sr-Cyrl-RS"/>
        </w:rPr>
      </w:pPr>
      <w:r w:rsidRPr="00EF2F18">
        <w:rPr>
          <w:rFonts w:cs="Times New Roman"/>
          <w:sz w:val="22"/>
          <w:shd w:val="clear" w:color="auto" w:fill="FFFFFF"/>
          <w:lang w:val="sr-Cyrl-RS"/>
        </w:rPr>
        <w:t>Подаци и инфо</w:t>
      </w:r>
      <w:r w:rsidR="00243B1D">
        <w:rPr>
          <w:rFonts w:cs="Times New Roman"/>
          <w:sz w:val="22"/>
          <w:shd w:val="clear" w:color="auto" w:fill="FFFFFF"/>
          <w:lang w:val="sr-Cyrl-RS"/>
        </w:rPr>
        <w:t>р</w:t>
      </w:r>
      <w:r w:rsidRPr="00EF2F18">
        <w:rPr>
          <w:rFonts w:cs="Times New Roman"/>
          <w:sz w:val="22"/>
          <w:shd w:val="clear" w:color="auto" w:fill="FFFFFF"/>
          <w:lang w:val="sr-Cyrl-RS"/>
        </w:rPr>
        <w:t xml:space="preserve">мације о садашњем стању о области заштите животне средине, које је приказано у поглављу 3. ове </w:t>
      </w:r>
      <w:r w:rsidR="00342B1B" w:rsidRPr="00EF2F18">
        <w:rPr>
          <w:rFonts w:cs="Times New Roman"/>
          <w:sz w:val="22"/>
          <w:shd w:val="clear" w:color="auto" w:fill="FFFFFF"/>
          <w:lang w:val="sr-Cyrl-RS"/>
        </w:rPr>
        <w:t>стратегије</w:t>
      </w:r>
      <w:r w:rsidRPr="00EF2F18">
        <w:rPr>
          <w:rFonts w:cs="Times New Roman"/>
          <w:sz w:val="22"/>
          <w:shd w:val="clear" w:color="auto" w:fill="FFFFFF"/>
          <w:lang w:val="sr-Cyrl-RS"/>
        </w:rPr>
        <w:t>, показуј</w:t>
      </w:r>
      <w:r w:rsidR="00A56483" w:rsidRPr="00EF2F18">
        <w:rPr>
          <w:rFonts w:cs="Times New Roman"/>
          <w:sz w:val="22"/>
          <w:shd w:val="clear" w:color="auto" w:fill="FFFFFF"/>
          <w:lang w:val="sr-Cyrl-RS"/>
        </w:rPr>
        <w:t>у</w:t>
      </w:r>
      <w:r w:rsidRPr="00EF2F18">
        <w:rPr>
          <w:rFonts w:cs="Times New Roman"/>
          <w:sz w:val="22"/>
          <w:shd w:val="clear" w:color="auto" w:fill="FFFFFF"/>
          <w:lang w:val="sr-Cyrl-RS"/>
        </w:rPr>
        <w:t xml:space="preserve"> да су општи циљеви утврђени наведеним програмом у извесном обиму реализовани, као и да се његово спровођење није одвијало предвиђеном динамиком. У</w:t>
      </w:r>
      <w:r w:rsidR="00E914A6" w:rsidRPr="00EF2F18">
        <w:rPr>
          <w:rFonts w:cs="Times New Roman"/>
          <w:sz w:val="22"/>
          <w:shd w:val="clear" w:color="auto" w:fill="FFFFFF"/>
          <w:lang w:val="sr-Cyrl-RS"/>
        </w:rPr>
        <w:t xml:space="preserve"> периоду 2010</w:t>
      </w:r>
      <w:r w:rsidR="00342B1B" w:rsidRPr="00EF2F18">
        <w:rPr>
          <w:rFonts w:cs="Times New Roman"/>
          <w:sz w:val="22"/>
          <w:shd w:val="clear" w:color="auto" w:fill="FFFFFF"/>
          <w:lang w:val="sr-Cyrl-RS"/>
        </w:rPr>
        <w:t xml:space="preserve"> – </w:t>
      </w:r>
      <w:r w:rsidR="00E914A6" w:rsidRPr="00EF2F18">
        <w:rPr>
          <w:rFonts w:cs="Times New Roman"/>
          <w:sz w:val="22"/>
          <w:shd w:val="clear" w:color="auto" w:fill="FFFFFF"/>
          <w:lang w:val="sr-Cyrl-RS"/>
        </w:rPr>
        <w:t>2019. године, постигнути су значајни резултати на усклађивању регулативе у области заштите животне средине са регулативом ЕУ</w:t>
      </w:r>
      <w:r w:rsidR="008B0480" w:rsidRPr="00EF2F18">
        <w:rPr>
          <w:rFonts w:cs="Times New Roman"/>
          <w:sz w:val="22"/>
          <w:shd w:val="clear" w:color="auto" w:fill="FFFFFF"/>
          <w:lang w:val="sr-Cyrl-RS"/>
        </w:rPr>
        <w:t xml:space="preserve"> и</w:t>
      </w:r>
      <w:r w:rsidR="00E914A6" w:rsidRPr="00EF2F18">
        <w:rPr>
          <w:rFonts w:cs="Times New Roman"/>
          <w:sz w:val="22"/>
          <w:shd w:val="clear" w:color="auto" w:fill="FFFFFF"/>
          <w:lang w:val="sr-Cyrl-RS"/>
        </w:rPr>
        <w:t xml:space="preserve"> </w:t>
      </w:r>
      <w:r w:rsidR="00CA2DA9" w:rsidRPr="00EF2F18">
        <w:rPr>
          <w:rFonts w:cs="Times New Roman"/>
          <w:sz w:val="22"/>
          <w:shd w:val="clear" w:color="auto" w:fill="FFFFFF"/>
          <w:lang w:val="sr-Cyrl-RS"/>
        </w:rPr>
        <w:t xml:space="preserve">на изради планских докумената, </w:t>
      </w:r>
      <w:r w:rsidR="00E914A6" w:rsidRPr="00EF2F18">
        <w:rPr>
          <w:rFonts w:cs="Times New Roman"/>
          <w:sz w:val="22"/>
          <w:shd w:val="clear" w:color="auto" w:fill="FFFFFF"/>
          <w:lang w:val="sr-Cyrl-RS"/>
        </w:rPr>
        <w:t xml:space="preserve">а </w:t>
      </w:r>
      <w:r w:rsidRPr="00EF2F18">
        <w:rPr>
          <w:rFonts w:cs="Times New Roman"/>
          <w:sz w:val="22"/>
          <w:shd w:val="clear" w:color="auto" w:fill="FFFFFF"/>
          <w:lang w:val="sr-Cyrl-RS"/>
        </w:rPr>
        <w:t xml:space="preserve">известан </w:t>
      </w:r>
      <w:r w:rsidR="00E914A6" w:rsidRPr="00EF2F18">
        <w:rPr>
          <w:rFonts w:cs="Times New Roman"/>
          <w:sz w:val="22"/>
          <w:shd w:val="clear" w:color="auto" w:fill="FFFFFF"/>
          <w:lang w:val="sr-Cyrl-RS"/>
        </w:rPr>
        <w:t>напредак је оств</w:t>
      </w:r>
      <w:r w:rsidR="00F72A57" w:rsidRPr="00EF2F18">
        <w:rPr>
          <w:rFonts w:cs="Times New Roman"/>
          <w:sz w:val="22"/>
          <w:shd w:val="clear" w:color="auto" w:fill="FFFFFF"/>
          <w:lang w:val="sr-Cyrl-RS"/>
        </w:rPr>
        <w:t>а</w:t>
      </w:r>
      <w:r w:rsidR="00E914A6" w:rsidRPr="00EF2F18">
        <w:rPr>
          <w:rFonts w:cs="Times New Roman"/>
          <w:sz w:val="22"/>
          <w:shd w:val="clear" w:color="auto" w:fill="FFFFFF"/>
          <w:lang w:val="sr-Cyrl-RS"/>
        </w:rPr>
        <w:t xml:space="preserve">рен и у </w:t>
      </w:r>
      <w:r w:rsidR="008B0480" w:rsidRPr="00EF2F18">
        <w:rPr>
          <w:rFonts w:cs="Times New Roman"/>
          <w:sz w:val="22"/>
          <w:shd w:val="clear" w:color="auto" w:fill="FFFFFF"/>
          <w:lang w:val="sr-Cyrl-RS"/>
        </w:rPr>
        <w:t xml:space="preserve">примени прописа и </w:t>
      </w:r>
      <w:r w:rsidR="00CA2DA9" w:rsidRPr="00EF2F18">
        <w:rPr>
          <w:rFonts w:cs="Times New Roman"/>
          <w:sz w:val="22"/>
          <w:shd w:val="clear" w:color="auto" w:fill="FFFFFF"/>
          <w:lang w:val="sr-Cyrl-RS"/>
        </w:rPr>
        <w:t>изградњи потребне инфраструктуре за управљање отпадом и отпадним водама</w:t>
      </w:r>
      <w:r w:rsidR="008B0480" w:rsidRPr="00EF2F18">
        <w:rPr>
          <w:rFonts w:cs="Times New Roman"/>
          <w:sz w:val="22"/>
          <w:shd w:val="clear" w:color="auto" w:fill="FFFFFF"/>
          <w:lang w:val="sr-Cyrl-RS"/>
        </w:rPr>
        <w:t xml:space="preserve"> и друге</w:t>
      </w:r>
      <w:r w:rsidR="00CA2DA9" w:rsidRPr="00EF2F18">
        <w:rPr>
          <w:rFonts w:cs="Times New Roman"/>
          <w:sz w:val="22"/>
          <w:shd w:val="clear" w:color="auto" w:fill="FFFFFF"/>
          <w:lang w:val="sr-Cyrl-RS"/>
        </w:rPr>
        <w:t xml:space="preserve"> </w:t>
      </w:r>
      <w:r w:rsidR="008B0480" w:rsidRPr="00EF2F18">
        <w:rPr>
          <w:rFonts w:cs="Times New Roman"/>
          <w:sz w:val="22"/>
          <w:shd w:val="clear" w:color="auto" w:fill="FFFFFF"/>
          <w:lang w:val="sr-Cyrl-RS"/>
        </w:rPr>
        <w:t xml:space="preserve">инфраструктуре за заштиту животне средине, </w:t>
      </w:r>
      <w:r w:rsidR="00BD570D" w:rsidRPr="00EF2F18">
        <w:rPr>
          <w:rFonts w:cs="Times New Roman"/>
          <w:sz w:val="22"/>
          <w:shd w:val="clear" w:color="auto" w:fill="FFFFFF"/>
          <w:lang w:val="sr-Cyrl-RS"/>
        </w:rPr>
        <w:t xml:space="preserve">као и у области мониторинга </w:t>
      </w:r>
      <w:r w:rsidR="00CA2DA9" w:rsidRPr="00EF2F18">
        <w:rPr>
          <w:rFonts w:cs="Times New Roman"/>
          <w:sz w:val="22"/>
          <w:shd w:val="clear" w:color="auto" w:fill="FFFFFF"/>
          <w:lang w:val="sr-Cyrl-RS"/>
        </w:rPr>
        <w:t xml:space="preserve">и </w:t>
      </w:r>
      <w:r w:rsidR="00BD570D" w:rsidRPr="00EF2F18">
        <w:rPr>
          <w:rFonts w:cs="Times New Roman"/>
          <w:sz w:val="22"/>
          <w:shd w:val="clear" w:color="auto" w:fill="FFFFFF"/>
          <w:lang w:val="sr-Cyrl-RS"/>
        </w:rPr>
        <w:t>извештавања</w:t>
      </w:r>
      <w:r w:rsidR="008B0480" w:rsidRPr="00EF2F18">
        <w:rPr>
          <w:rFonts w:cs="Times New Roman"/>
          <w:sz w:val="22"/>
          <w:shd w:val="clear" w:color="auto" w:fill="FFFFFF"/>
          <w:lang w:val="sr-Cyrl-RS"/>
        </w:rPr>
        <w:t>.</w:t>
      </w:r>
    </w:p>
    <w:p w14:paraId="3AC60D29" w14:textId="1D01C7CB" w:rsidR="00D41E17" w:rsidRPr="00EF2F18" w:rsidRDefault="00E914A6" w:rsidP="00D41E17">
      <w:pPr>
        <w:autoSpaceDE w:val="0"/>
        <w:autoSpaceDN w:val="0"/>
        <w:adjustRightInd w:val="0"/>
        <w:spacing w:after="0"/>
        <w:ind w:firstLine="720"/>
        <w:jc w:val="both"/>
        <w:rPr>
          <w:rFonts w:cs="Times New Roman"/>
          <w:sz w:val="22"/>
          <w:lang w:val="sr-Cyrl-RS"/>
        </w:rPr>
      </w:pPr>
      <w:r w:rsidRPr="00EF2F18">
        <w:rPr>
          <w:rFonts w:cs="Times New Roman"/>
          <w:sz w:val="22"/>
          <w:lang w:val="sr-Cyrl-RS"/>
        </w:rPr>
        <w:t>У наставку су дате информације и подаци који приказују са</w:t>
      </w:r>
      <w:r w:rsidR="00F72A57" w:rsidRPr="00EF2F18">
        <w:rPr>
          <w:rFonts w:cs="Times New Roman"/>
          <w:sz w:val="22"/>
          <w:lang w:val="sr-Cyrl-RS"/>
        </w:rPr>
        <w:t>д</w:t>
      </w:r>
      <w:r w:rsidRPr="00EF2F18">
        <w:rPr>
          <w:rFonts w:cs="Times New Roman"/>
          <w:sz w:val="22"/>
          <w:lang w:val="sr-Cyrl-RS"/>
        </w:rPr>
        <w:t xml:space="preserve">ашње стање, као и промене које </w:t>
      </w:r>
      <w:r w:rsidR="00F72A57" w:rsidRPr="00EF2F18">
        <w:rPr>
          <w:rFonts w:cs="Times New Roman"/>
          <w:sz w:val="22"/>
          <w:lang w:val="sr-Cyrl-RS"/>
        </w:rPr>
        <w:t>с</w:t>
      </w:r>
      <w:r w:rsidRPr="00EF2F18">
        <w:rPr>
          <w:rFonts w:cs="Times New Roman"/>
          <w:sz w:val="22"/>
          <w:lang w:val="sr-Cyrl-RS"/>
        </w:rPr>
        <w:t>у остварене у периоду спровођења наведеног програма.</w:t>
      </w:r>
    </w:p>
    <w:p w14:paraId="2E6E5AD1" w14:textId="7D1B1DC0" w:rsidR="004B0C01" w:rsidRPr="00EF2F18" w:rsidRDefault="004B0C01" w:rsidP="006E3FBB">
      <w:pPr>
        <w:pStyle w:val="Heading2"/>
        <w:rPr>
          <w:rFonts w:cs="Times New Roman"/>
          <w:sz w:val="22"/>
          <w:szCs w:val="22"/>
          <w:lang w:val="sr-Cyrl-RS"/>
        </w:rPr>
      </w:pPr>
    </w:p>
    <w:p w14:paraId="72C866B6" w14:textId="2CB4AA2C" w:rsidR="00296C31" w:rsidRDefault="00090F71" w:rsidP="00296C31">
      <w:pPr>
        <w:pStyle w:val="Heading2"/>
        <w:numPr>
          <w:ilvl w:val="1"/>
          <w:numId w:val="2"/>
        </w:numPr>
        <w:ind w:hanging="360"/>
        <w:jc w:val="center"/>
        <w:rPr>
          <w:rFonts w:cs="Times New Roman"/>
          <w:sz w:val="22"/>
          <w:szCs w:val="22"/>
          <w:lang w:val="sr-Cyrl-RS"/>
        </w:rPr>
      </w:pPr>
      <w:bookmarkStart w:id="25" w:name="_Toc158307693"/>
      <w:r>
        <w:rPr>
          <w:rFonts w:cs="Times New Roman"/>
          <w:sz w:val="22"/>
          <w:szCs w:val="22"/>
          <w:lang w:val="sr-Cyrl-RS"/>
        </w:rPr>
        <w:t>К</w:t>
      </w:r>
      <w:r w:rsidR="00D93B63" w:rsidRPr="00EF2F18">
        <w:rPr>
          <w:rFonts w:cs="Times New Roman"/>
          <w:sz w:val="22"/>
          <w:szCs w:val="22"/>
          <w:lang w:val="sr-Cyrl-RS"/>
        </w:rPr>
        <w:t>лиматск</w:t>
      </w:r>
      <w:r w:rsidR="00926085" w:rsidRPr="00EF2F18">
        <w:rPr>
          <w:rFonts w:cs="Times New Roman"/>
          <w:sz w:val="22"/>
          <w:szCs w:val="22"/>
          <w:lang w:val="sr-Cyrl-RS"/>
        </w:rPr>
        <w:t>е</w:t>
      </w:r>
      <w:r w:rsidR="00D93B63" w:rsidRPr="00EF2F18">
        <w:rPr>
          <w:rFonts w:cs="Times New Roman"/>
          <w:sz w:val="22"/>
          <w:szCs w:val="22"/>
          <w:lang w:val="sr-Cyrl-RS"/>
        </w:rPr>
        <w:t xml:space="preserve"> промен</w:t>
      </w:r>
      <w:r w:rsidR="00926085" w:rsidRPr="00EF2F18">
        <w:rPr>
          <w:rFonts w:cs="Times New Roman"/>
          <w:sz w:val="22"/>
          <w:szCs w:val="22"/>
          <w:lang w:val="sr-Cyrl-RS"/>
        </w:rPr>
        <w:t>е</w:t>
      </w:r>
      <w:bookmarkEnd w:id="25"/>
    </w:p>
    <w:p w14:paraId="29F12238" w14:textId="77777777" w:rsidR="002D380B" w:rsidRPr="002D380B" w:rsidRDefault="002D380B" w:rsidP="002D380B">
      <w:pPr>
        <w:rPr>
          <w:lang w:val="sr-Cyrl-RS"/>
        </w:rPr>
      </w:pPr>
    </w:p>
    <w:p w14:paraId="771C1423" w14:textId="77777777" w:rsidR="00F257A5" w:rsidRPr="00EF2F18" w:rsidRDefault="00F257A5" w:rsidP="00F257A5">
      <w:pPr>
        <w:autoSpaceDE w:val="0"/>
        <w:autoSpaceDN w:val="0"/>
        <w:adjustRightInd w:val="0"/>
        <w:spacing w:after="0"/>
        <w:ind w:firstLine="720"/>
        <w:jc w:val="both"/>
        <w:rPr>
          <w:rFonts w:cs="Times New Roman"/>
          <w:sz w:val="22"/>
          <w:lang w:val="sr-Cyrl-RS"/>
        </w:rPr>
      </w:pPr>
      <w:r w:rsidRPr="00EF2F18">
        <w:rPr>
          <w:rFonts w:cs="Times New Roman"/>
          <w:sz w:val="22"/>
          <w:lang w:val="sr-Cyrl-RS"/>
        </w:rPr>
        <w:t>Област климатских промена у Републици Србији регулисана је већим бројем ратификованих конвенција и међународних обавеза, као и националним прописима. У претходном периоду учињени су значајни напори на унапређењу законодавног оквира и политика које директно или индиректно утичу на реализацију активности у вези са климатским променама и прилагођавањем на измењене климатске услове.</w:t>
      </w:r>
    </w:p>
    <w:p w14:paraId="4D7B44F5" w14:textId="71487EE4" w:rsidR="00F257A5" w:rsidRPr="00EF2F18" w:rsidRDefault="00F257A5" w:rsidP="00F257A5">
      <w:pPr>
        <w:spacing w:after="0"/>
        <w:ind w:firstLine="720"/>
        <w:jc w:val="both"/>
        <w:rPr>
          <w:sz w:val="22"/>
          <w:lang w:val="sr-Cyrl-RS"/>
        </w:rPr>
      </w:pPr>
      <w:r w:rsidRPr="00EF2F18">
        <w:rPr>
          <w:rFonts w:cs="Times New Roman"/>
          <w:sz w:val="22"/>
          <w:lang w:val="sr-Cyrl-RS"/>
        </w:rPr>
        <w:t>Министарство заштите животне средине је главна надлежна институција и координатор политике у области климатских промена и фокална тачка за спровођење Оквирне конвенције Уједињених нација о промени климе (</w:t>
      </w:r>
      <w:r w:rsidRPr="00EF2F18">
        <w:rPr>
          <w:rFonts w:cs="Times New Roman"/>
          <w:i/>
          <w:iCs/>
          <w:sz w:val="22"/>
          <w:lang w:val="sr-Cyrl-RS"/>
        </w:rPr>
        <w:t>UNFCCC</w:t>
      </w:r>
      <w:r w:rsidRPr="00EF2F18">
        <w:rPr>
          <w:rFonts w:cs="Times New Roman"/>
          <w:sz w:val="22"/>
          <w:lang w:val="sr-Cyrl-RS"/>
        </w:rPr>
        <w:t xml:space="preserve">) у </w:t>
      </w:r>
      <w:r w:rsidR="00990B31" w:rsidRPr="00EF2F18">
        <w:rPr>
          <w:rFonts w:cs="Times New Roman"/>
          <w:sz w:val="22"/>
          <w:lang w:val="sr-Cyrl-RS"/>
        </w:rPr>
        <w:t xml:space="preserve">Републици </w:t>
      </w:r>
      <w:r w:rsidRPr="00EF2F18">
        <w:rPr>
          <w:rFonts w:cs="Times New Roman"/>
          <w:sz w:val="22"/>
          <w:lang w:val="sr-Cyrl-RS"/>
        </w:rPr>
        <w:t xml:space="preserve">Србији. У циљу ефикасније размене информација у области климатских промена, припреме извештаја и промовисања овог питања на националном нивоу, а у складу са Законом о климатским променама, успостављен је Национални савет за климатске промене, као саветодавно тело Владе. </w:t>
      </w:r>
      <w:r w:rsidR="00DC7F63" w:rsidRPr="00EF2F18">
        <w:rPr>
          <w:rFonts w:cs="Times New Roman"/>
          <w:sz w:val="22"/>
          <w:lang w:val="sr-Cyrl-RS"/>
        </w:rPr>
        <w:t>Национални с</w:t>
      </w:r>
      <w:r w:rsidRPr="00EF2F18">
        <w:rPr>
          <w:sz w:val="22"/>
          <w:lang w:val="sr-Cyrl-RS"/>
        </w:rPr>
        <w:t>авет, којим председава министар надлежан за животну средину</w:t>
      </w:r>
      <w:r w:rsidR="00DC7F63" w:rsidRPr="00EF2F18">
        <w:rPr>
          <w:sz w:val="22"/>
          <w:lang w:val="sr-Cyrl-RS"/>
        </w:rPr>
        <w:t xml:space="preserve">, задужен је за доношење одлука од значаја </w:t>
      </w:r>
      <w:r w:rsidR="00DC7F63" w:rsidRPr="00EF2F18">
        <w:rPr>
          <w:sz w:val="22"/>
          <w:lang w:val="sr-Cyrl-RS"/>
        </w:rPr>
        <w:lastRenderedPageBreak/>
        <w:t>за спровођење релевантних пројеката и других активности у области климатских промена.</w:t>
      </w:r>
      <w:r w:rsidR="00F627DF" w:rsidRPr="00EF2F18">
        <w:rPr>
          <w:sz w:val="22"/>
          <w:lang w:val="sr-Cyrl-RS"/>
        </w:rPr>
        <w:t xml:space="preserve"> Национални савет, између осталог, </w:t>
      </w:r>
      <w:r w:rsidRPr="00EF2F18">
        <w:rPr>
          <w:sz w:val="22"/>
          <w:lang w:val="sr-Cyrl-RS"/>
        </w:rPr>
        <w:t>разматра стање, развој и спровођење националне политике у области климатских промена, секторских политика и других планских докумената, са аспекта конзистентности са националном политиком климатских промена и разматра остваривање међународних обавеза Републике Србије у области климатских промена, разматра извештаје о спровођењу Oквирне конвенције УН о промени климе и њеном Споразуму из Париза и даје предлоге за ублажавање климатских промена, односно смањење емисије гасова са ефектом стаклене баште и прилагођавање на измењене климатске услове</w:t>
      </w:r>
      <w:r w:rsidR="00F627DF" w:rsidRPr="00EF2F18">
        <w:rPr>
          <w:sz w:val="22"/>
          <w:lang w:val="sr-Cyrl-RS"/>
        </w:rPr>
        <w:t>, разматра потребу за изменама и допунама закона и других прописа који су од значаја за област климатских промена, даје предлоге за остваривање циљева борбе против климатских промена, а нарочито у процесу преговора Републике Србије са Европском унијом у области климатских промена и даје мишљења надлежном министарству о потреби измене политика, прописа и мера у области климатских промена у складу са европским прописима и стандардима Уједињених нација</w:t>
      </w:r>
      <w:r w:rsidRPr="00EF2F18">
        <w:rPr>
          <w:sz w:val="22"/>
          <w:lang w:val="sr-Cyrl-RS"/>
        </w:rPr>
        <w:t xml:space="preserve">. Савет чине представници министарства и других институција Владе, као и представници научне и стручне јавности и цивилног друштва и други представници чија је област деловања од значаја за утврђивање и спровођење активности у области климатских промена. Савет је усвојио Пословник о раду Националног савета за климатске промене којим се уређује начин рада </w:t>
      </w:r>
      <w:r w:rsidR="00BD570D" w:rsidRPr="00EF2F18">
        <w:rPr>
          <w:sz w:val="22"/>
          <w:lang w:val="sr-Cyrl-RS"/>
        </w:rPr>
        <w:t>овог тела. До тренутка израде овог документа</w:t>
      </w:r>
      <w:r w:rsidRPr="00EF2F18">
        <w:rPr>
          <w:sz w:val="22"/>
          <w:lang w:val="sr-Cyrl-RS"/>
        </w:rPr>
        <w:t xml:space="preserve"> одржане </w:t>
      </w:r>
      <w:r w:rsidR="00BD570D" w:rsidRPr="00EF2F18">
        <w:rPr>
          <w:sz w:val="22"/>
          <w:lang w:val="sr-Cyrl-RS"/>
        </w:rPr>
        <w:t xml:space="preserve">су </w:t>
      </w:r>
      <w:r w:rsidRPr="00EF2F18">
        <w:rPr>
          <w:sz w:val="22"/>
          <w:lang w:val="sr-Cyrl-RS"/>
        </w:rPr>
        <w:t>три седнице Савета.</w:t>
      </w:r>
    </w:p>
    <w:p w14:paraId="0D115AE0" w14:textId="378D0BF3" w:rsidR="00F257A5" w:rsidRPr="00EF2F18" w:rsidRDefault="00CE359F" w:rsidP="00F257A5">
      <w:pPr>
        <w:spacing w:after="0"/>
        <w:ind w:firstLine="720"/>
        <w:jc w:val="both"/>
        <w:rPr>
          <w:rFonts w:cs="Times New Roman"/>
          <w:sz w:val="22"/>
          <w:lang w:val="sr-Cyrl-RS"/>
        </w:rPr>
      </w:pPr>
      <w:r w:rsidRPr="00EF2F18">
        <w:rPr>
          <w:rFonts w:cs="Times New Roman"/>
          <w:sz w:val="22"/>
          <w:lang w:val="sr-Cyrl-RS"/>
        </w:rPr>
        <w:t xml:space="preserve">Агенција за заштиту животне средине је национално тело одговорно за припрему и унапређење националних </w:t>
      </w:r>
      <w:r w:rsidRPr="00EF2F18">
        <w:rPr>
          <w:rFonts w:cs="Times New Roman"/>
          <w:i/>
          <w:iCs/>
          <w:sz w:val="22"/>
          <w:lang w:val="sr-Cyrl-RS"/>
        </w:rPr>
        <w:t>GHG</w:t>
      </w:r>
      <w:r w:rsidRPr="00EF2F18">
        <w:rPr>
          <w:rFonts w:cs="Times New Roman"/>
          <w:sz w:val="22"/>
          <w:lang w:val="sr-Cyrl-RS"/>
        </w:rPr>
        <w:t xml:space="preserve"> инвентара. Агенција је одговорна за контролу квалитета података о активностима, њихово архивирање и прорачун </w:t>
      </w:r>
      <w:r w:rsidRPr="00EF2F18">
        <w:rPr>
          <w:rFonts w:cs="Times New Roman"/>
          <w:i/>
          <w:iCs/>
          <w:sz w:val="22"/>
          <w:lang w:val="sr-Cyrl-RS"/>
        </w:rPr>
        <w:t>GHG</w:t>
      </w:r>
      <w:r w:rsidRPr="00EF2F18">
        <w:rPr>
          <w:rFonts w:cs="Times New Roman"/>
          <w:sz w:val="22"/>
          <w:lang w:val="sr-Cyrl-RS"/>
        </w:rPr>
        <w:t xml:space="preserve"> емисија и понорa. Агенција припрема инвентаре у складу са захтевима </w:t>
      </w:r>
      <w:r w:rsidRPr="00EF2F18">
        <w:rPr>
          <w:rFonts w:cs="Times New Roman"/>
          <w:i/>
          <w:iCs/>
          <w:sz w:val="22"/>
          <w:lang w:val="sr-Cyrl-RS"/>
        </w:rPr>
        <w:t>UNFCCC</w:t>
      </w:r>
      <w:r w:rsidRPr="00EF2F18">
        <w:rPr>
          <w:rFonts w:cs="Times New Roman"/>
          <w:sz w:val="22"/>
          <w:lang w:val="sr-Cyrl-RS"/>
        </w:rPr>
        <w:t xml:space="preserve">-а за извештавање за не-Анекс I државе чланице. </w:t>
      </w:r>
      <w:r w:rsidR="00655014" w:rsidRPr="00EF2F18">
        <w:rPr>
          <w:rFonts w:cs="Times New Roman"/>
          <w:sz w:val="22"/>
          <w:lang w:val="sr-Cyrl-RS"/>
        </w:rPr>
        <w:t>Агенција за заштиту животне средине</w:t>
      </w:r>
      <w:r w:rsidRPr="00EF2F18">
        <w:rPr>
          <w:rFonts w:cs="Times New Roman"/>
          <w:sz w:val="22"/>
          <w:lang w:val="sr-Cyrl-RS"/>
        </w:rPr>
        <w:t xml:space="preserve"> је израдила </w:t>
      </w:r>
      <w:r w:rsidRPr="00EF2F18">
        <w:rPr>
          <w:rFonts w:cs="Times New Roman"/>
          <w:i/>
          <w:iCs/>
          <w:sz w:val="22"/>
          <w:lang w:val="sr-Cyrl-RS"/>
        </w:rPr>
        <w:t>GHG</w:t>
      </w:r>
      <w:r w:rsidRPr="00EF2F18">
        <w:rPr>
          <w:rFonts w:cs="Times New Roman"/>
          <w:sz w:val="22"/>
          <w:lang w:val="sr-Cyrl-RS"/>
        </w:rPr>
        <w:t xml:space="preserve"> инвентаре за период 1990</w:t>
      </w:r>
      <w:r w:rsidR="00655014">
        <w:rPr>
          <w:rFonts w:cs="Times New Roman"/>
          <w:sz w:val="22"/>
          <w:lang w:val="sr-Cyrl-RS"/>
        </w:rPr>
        <w:t xml:space="preserve"> </w:t>
      </w:r>
      <w:r w:rsidRPr="00EF2F18">
        <w:rPr>
          <w:rFonts w:cs="Times New Roman"/>
          <w:sz w:val="22"/>
          <w:lang w:val="sr-Cyrl-RS"/>
        </w:rPr>
        <w:t xml:space="preserve">-2024. године. Израда и ажурирање инвентара, као и извештавање о емисијама </w:t>
      </w:r>
      <w:r w:rsidRPr="00EF2F18">
        <w:rPr>
          <w:rFonts w:cs="Times New Roman"/>
          <w:i/>
          <w:iCs/>
          <w:sz w:val="22"/>
          <w:lang w:val="sr-Cyrl-RS"/>
        </w:rPr>
        <w:t>GHG</w:t>
      </w:r>
      <w:r w:rsidRPr="00EF2F18">
        <w:rPr>
          <w:rFonts w:cs="Times New Roman"/>
          <w:sz w:val="22"/>
          <w:lang w:val="sr-Cyrl-RS"/>
        </w:rPr>
        <w:t xml:space="preserve"> регулисани Законом о климатским променама и пратећим подзаконским актима</w:t>
      </w:r>
      <w:r w:rsidR="00F257A5" w:rsidRPr="00EF2F18">
        <w:rPr>
          <w:rFonts w:cs="Times New Roman"/>
          <w:sz w:val="22"/>
          <w:lang w:val="sr-Cyrl-RS"/>
        </w:rPr>
        <w:t>.</w:t>
      </w:r>
    </w:p>
    <w:p w14:paraId="6DD7FE1E" w14:textId="72317F67" w:rsidR="00F257A5" w:rsidRPr="00EF2F18" w:rsidRDefault="00F257A5" w:rsidP="00F257A5">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Република Србија је </w:t>
      </w:r>
      <w:r w:rsidR="00655014">
        <w:rPr>
          <w:rFonts w:cs="Times New Roman"/>
          <w:sz w:val="22"/>
          <w:lang w:val="sr-Cyrl-RS"/>
        </w:rPr>
        <w:t>потврдила</w:t>
      </w:r>
      <w:r w:rsidRPr="00EF2F18">
        <w:rPr>
          <w:rFonts w:cs="Times New Roman"/>
          <w:sz w:val="22"/>
          <w:lang w:val="sr-Cyrl-RS"/>
        </w:rPr>
        <w:t xml:space="preserve"> Оквирну конвенцију Уједињених нација о промени климе (</w:t>
      </w:r>
      <w:r w:rsidRPr="00EF2F18">
        <w:rPr>
          <w:rFonts w:cs="Times New Roman"/>
          <w:i/>
          <w:iCs/>
          <w:sz w:val="22"/>
          <w:lang w:val="sr-Cyrl-RS"/>
        </w:rPr>
        <w:t>UNFCCC</w:t>
      </w:r>
      <w:r w:rsidRPr="00EF2F18">
        <w:rPr>
          <w:rFonts w:cs="Times New Roman"/>
          <w:sz w:val="22"/>
          <w:lang w:val="sr-Cyrl-RS"/>
        </w:rPr>
        <w:t xml:space="preserve">) 2001. године. У складу са међународним обавезама, у претходном периоду израђен је Први извештај Републике Србије према </w:t>
      </w:r>
      <w:r w:rsidRPr="00EF2F18">
        <w:rPr>
          <w:rFonts w:cs="Times New Roman"/>
          <w:i/>
          <w:iCs/>
          <w:sz w:val="22"/>
          <w:lang w:val="sr-Cyrl-RS"/>
        </w:rPr>
        <w:t>UNFCCC</w:t>
      </w:r>
      <w:r w:rsidRPr="00EF2F18">
        <w:rPr>
          <w:rFonts w:cs="Times New Roman"/>
          <w:sz w:val="22"/>
          <w:lang w:val="sr-Cyrl-RS"/>
        </w:rPr>
        <w:t xml:space="preserve"> (поднет 2010. године), Први ажурирани двогодишњи извештај (поднет 2016.</w:t>
      </w:r>
      <w:r w:rsidR="00655014" w:rsidRPr="00655014">
        <w:rPr>
          <w:rFonts w:cs="Times New Roman"/>
          <w:iCs/>
          <w:sz w:val="22"/>
          <w:lang w:val="sr-Cyrl-RS"/>
        </w:rPr>
        <w:t xml:space="preserve"> </w:t>
      </w:r>
      <w:r w:rsidR="00655014">
        <w:rPr>
          <w:rFonts w:cs="Times New Roman"/>
          <w:iCs/>
          <w:sz w:val="22"/>
          <w:lang w:val="sr-Cyrl-RS"/>
        </w:rPr>
        <w:t>године</w:t>
      </w:r>
      <w:r w:rsidRPr="00EF2F18">
        <w:rPr>
          <w:rFonts w:cs="Times New Roman"/>
          <w:sz w:val="22"/>
          <w:lang w:val="sr-Cyrl-RS"/>
        </w:rPr>
        <w:t xml:space="preserve">), док је 2017. године поднет Други извештај Републике Србије према </w:t>
      </w:r>
      <w:r w:rsidRPr="00EF2F18">
        <w:rPr>
          <w:rFonts w:cs="Times New Roman"/>
          <w:i/>
          <w:iCs/>
          <w:sz w:val="22"/>
          <w:lang w:val="sr-Cyrl-RS"/>
        </w:rPr>
        <w:t>UNFCCC</w:t>
      </w:r>
      <w:r w:rsidRPr="00EF2F18">
        <w:rPr>
          <w:rFonts w:cs="Times New Roman"/>
          <w:sz w:val="22"/>
          <w:lang w:val="sr-Cyrl-RS"/>
        </w:rPr>
        <w:t xml:space="preserve">. Крајем 2023. године усвојен је Други ажурирани двогодишњи извештај Републике Србије према </w:t>
      </w:r>
      <w:r w:rsidRPr="00EF2F18">
        <w:rPr>
          <w:rFonts w:cs="Times New Roman"/>
          <w:i/>
          <w:iCs/>
          <w:sz w:val="22"/>
          <w:lang w:val="sr-Cyrl-RS"/>
        </w:rPr>
        <w:t>UNFCCC</w:t>
      </w:r>
      <w:r w:rsidRPr="00EF2F18">
        <w:rPr>
          <w:rFonts w:cs="Times New Roman"/>
          <w:sz w:val="22"/>
          <w:lang w:val="sr-Cyrl-RS"/>
        </w:rPr>
        <w:t xml:space="preserve">, а почетком 2024. године и Трећи извештај Републике Србије према </w:t>
      </w:r>
      <w:r w:rsidRPr="00EF2F18">
        <w:rPr>
          <w:rFonts w:cs="Times New Roman"/>
          <w:i/>
          <w:iCs/>
          <w:sz w:val="22"/>
          <w:lang w:val="sr-Cyrl-RS"/>
        </w:rPr>
        <w:t>UNFCCC</w:t>
      </w:r>
      <w:r w:rsidRPr="00EF2F18">
        <w:rPr>
          <w:rFonts w:cs="Times New Roman"/>
          <w:sz w:val="22"/>
          <w:lang w:val="sr-Cyrl-RS"/>
        </w:rPr>
        <w:t xml:space="preserve">. </w:t>
      </w:r>
    </w:p>
    <w:p w14:paraId="123CAE53" w14:textId="2AA73C55" w:rsidR="00F257A5" w:rsidRPr="00EF2F18" w:rsidRDefault="00F257A5" w:rsidP="00F257A5">
      <w:pPr>
        <w:spacing w:after="0"/>
        <w:ind w:firstLine="720"/>
        <w:jc w:val="both"/>
        <w:rPr>
          <w:rFonts w:eastAsia="Calibri" w:cs="Times New Roman"/>
          <w:sz w:val="22"/>
          <w:shd w:val="clear" w:color="auto" w:fill="FFFFFF"/>
          <w:lang w:val="sr-Cyrl-RS"/>
        </w:rPr>
      </w:pPr>
      <w:r w:rsidRPr="00EF2F18">
        <w:rPr>
          <w:rFonts w:cs="Times New Roman"/>
          <w:sz w:val="22"/>
          <w:lang w:val="sr-Cyrl-RS"/>
        </w:rPr>
        <w:t>Република Србија је 2017.</w:t>
      </w:r>
      <w:r w:rsidR="00342B1B" w:rsidRPr="00EF2F18">
        <w:rPr>
          <w:rFonts w:cs="Times New Roman"/>
          <w:iCs/>
          <w:sz w:val="22"/>
          <w:lang w:val="sr-Cyrl-RS"/>
        </w:rPr>
        <w:t xml:space="preserve"> године</w:t>
      </w:r>
      <w:r w:rsidRPr="00EF2F18">
        <w:rPr>
          <w:rFonts w:cs="Times New Roman"/>
          <w:sz w:val="22"/>
          <w:lang w:val="sr-Cyrl-RS"/>
        </w:rPr>
        <w:t xml:space="preserve"> </w:t>
      </w:r>
      <w:r w:rsidR="00655014">
        <w:rPr>
          <w:rFonts w:cs="Times New Roman"/>
          <w:sz w:val="22"/>
          <w:lang w:val="sr-Cyrl-RS"/>
        </w:rPr>
        <w:t>потврдила</w:t>
      </w:r>
      <w:r w:rsidR="00655014" w:rsidRPr="00EF2F18">
        <w:rPr>
          <w:rFonts w:cs="Times New Roman"/>
          <w:sz w:val="22"/>
          <w:lang w:val="sr-Cyrl-RS"/>
        </w:rPr>
        <w:t xml:space="preserve"> </w:t>
      </w:r>
      <w:r w:rsidRPr="00EF2F18">
        <w:rPr>
          <w:rFonts w:cs="Times New Roman"/>
          <w:sz w:val="22"/>
          <w:lang w:val="sr-Cyrl-RS"/>
        </w:rPr>
        <w:t>Споразум из Париза, као први универзални правно обавезујући међународни уговор о климатским променама. Циљ Споразума је ограничење повећања глобалне температуре до краја века на 2</w:t>
      </w:r>
      <w:r w:rsidRPr="00EF2F18">
        <w:rPr>
          <w:rFonts w:cs="Times New Roman"/>
          <w:sz w:val="22"/>
          <w:vertAlign w:val="superscript"/>
          <w:lang w:val="sr-Cyrl-RS"/>
        </w:rPr>
        <w:t>о</w:t>
      </w:r>
      <w:r w:rsidRPr="00EF2F18">
        <w:rPr>
          <w:rFonts w:cs="Times New Roman"/>
          <w:sz w:val="22"/>
          <w:lang w:val="sr-Cyrl-RS"/>
        </w:rPr>
        <w:t>С, са напорима да се тај раст ограничи на 1,5</w:t>
      </w:r>
      <w:r w:rsidRPr="00EF2F18">
        <w:rPr>
          <w:rFonts w:cs="Times New Roman"/>
          <w:sz w:val="22"/>
          <w:vertAlign w:val="superscript"/>
          <w:lang w:val="sr-Cyrl-RS"/>
        </w:rPr>
        <w:t>о</w:t>
      </w:r>
      <w:r w:rsidRPr="00EF2F18">
        <w:rPr>
          <w:rFonts w:cs="Times New Roman"/>
          <w:sz w:val="22"/>
          <w:lang w:val="sr-Cyrl-RS"/>
        </w:rPr>
        <w:t>С у односу на прединдустријски ниво. Национални циљ се изражава кроз Национално утврђени допринос, а од потписница се захтева да их периодично ревидирају (почевши од 2020. године), постепено повећавајући своје амбиције, односно обавезе у погледу смањења емисија гасова са ефектом стаклене баште, узимајући у обзир националне околности и капацитете.</w:t>
      </w:r>
    </w:p>
    <w:p w14:paraId="400621F5" w14:textId="5B9EC567" w:rsidR="00CC6498" w:rsidRPr="00EF2F18" w:rsidRDefault="00CC6498" w:rsidP="000167AD">
      <w:pPr>
        <w:pStyle w:val="Heading3"/>
        <w:numPr>
          <w:ilvl w:val="2"/>
          <w:numId w:val="2"/>
        </w:numPr>
        <w:jc w:val="center"/>
        <w:rPr>
          <w:rFonts w:cs="Times New Roman"/>
          <w:sz w:val="22"/>
          <w:szCs w:val="22"/>
          <w:lang w:val="sr-Cyrl-RS"/>
        </w:rPr>
      </w:pPr>
      <w:bookmarkStart w:id="26" w:name="_Toc158307694"/>
      <w:r w:rsidRPr="00EF2F18">
        <w:rPr>
          <w:rFonts w:cs="Times New Roman"/>
          <w:sz w:val="22"/>
          <w:szCs w:val="22"/>
          <w:lang w:val="sr-Cyrl-RS"/>
        </w:rPr>
        <w:t>Ублажавање утицаја климатских промена</w:t>
      </w:r>
      <w:bookmarkEnd w:id="26"/>
    </w:p>
    <w:p w14:paraId="16230092" w14:textId="14C43012" w:rsidR="00F21B70" w:rsidRPr="00EF2F18" w:rsidRDefault="00D06B6B" w:rsidP="00F21B70">
      <w:pPr>
        <w:spacing w:after="0"/>
        <w:ind w:firstLine="720"/>
        <w:jc w:val="both"/>
        <w:rPr>
          <w:rFonts w:cs="Times New Roman"/>
          <w:sz w:val="22"/>
          <w:shd w:val="clear" w:color="auto" w:fill="FFFFFF"/>
          <w:lang w:val="sr-Cyrl-RS"/>
        </w:rPr>
      </w:pPr>
      <w:bookmarkStart w:id="27" w:name="_Hlk147752400"/>
      <w:r w:rsidRPr="00EF2F18">
        <w:rPr>
          <w:rFonts w:eastAsia="Calibri" w:cs="Times New Roman"/>
          <w:sz w:val="22"/>
          <w:shd w:val="clear" w:color="auto" w:fill="FFFFFF"/>
          <w:lang w:val="sr-Cyrl-RS"/>
        </w:rPr>
        <w:t>У односу на Национално утврђени допринос (НДЦ) из 2015. године, којим је био дефинисан циљ смањења емисија од 9,8% до 2030. године у односу на ниво из 1990. године, Ревидираним Национално утврђени допринос Републике Србије усвојеним у августу 2022. године циљ је повећан на 33,3% до 2030. године, док је даљом ревизијом из септембра 2025. године амбиција додатно повећан на 40,1% до 2035. године, у циљу доприноса ублажавању негативних последица климатских промена.</w:t>
      </w:r>
      <w:r w:rsidR="003C7171" w:rsidRPr="00EF2F18">
        <w:rPr>
          <w:rFonts w:eastAsia="Calibri" w:cs="Times New Roman"/>
          <w:sz w:val="22"/>
          <w:shd w:val="clear" w:color="auto" w:fill="FFFFFF"/>
          <w:lang w:val="sr-Cyrl-RS"/>
        </w:rPr>
        <w:t xml:space="preserve"> </w:t>
      </w:r>
      <w:r w:rsidR="00F21B70" w:rsidRPr="00EF2F18">
        <w:rPr>
          <w:rFonts w:cs="Times New Roman"/>
          <w:sz w:val="22"/>
          <w:lang w:val="sr-Cyrl-RS"/>
        </w:rPr>
        <w:t xml:space="preserve">Нето циљеви смањења емисија </w:t>
      </w:r>
      <w:r w:rsidR="00F21B70" w:rsidRPr="00EF2F18">
        <w:rPr>
          <w:rFonts w:cs="Times New Roman"/>
          <w:i/>
          <w:iCs/>
          <w:sz w:val="22"/>
          <w:lang w:val="sr-Cyrl-RS"/>
        </w:rPr>
        <w:t>GHG</w:t>
      </w:r>
      <w:r w:rsidR="00F21B70" w:rsidRPr="00EF2F18">
        <w:rPr>
          <w:rFonts w:cs="Times New Roman"/>
          <w:sz w:val="22"/>
          <w:lang w:val="sr-Cyrl-RS"/>
        </w:rPr>
        <w:t xml:space="preserve"> за Републику Србију, укључујући смањење и уклањање емисија у оквиру сектора кориш</w:t>
      </w:r>
      <w:r w:rsidR="008D7159">
        <w:rPr>
          <w:rFonts w:cs="Times New Roman"/>
          <w:sz w:val="22"/>
          <w:lang w:val="sr-Cyrl-RS"/>
        </w:rPr>
        <w:t>ћења земљишта, промене намене зе</w:t>
      </w:r>
      <w:r w:rsidR="00F21B70" w:rsidRPr="00EF2F18">
        <w:rPr>
          <w:rFonts w:cs="Times New Roman"/>
          <w:sz w:val="22"/>
          <w:lang w:val="sr-Cyrl-RS"/>
        </w:rPr>
        <w:t>мљишта и шумарства</w:t>
      </w:r>
      <w:r w:rsidR="009B283A" w:rsidRPr="00EF2F18">
        <w:rPr>
          <w:rFonts w:cs="Times New Roman"/>
          <w:sz w:val="22"/>
          <w:lang w:val="sr-Cyrl-RS"/>
        </w:rPr>
        <w:t xml:space="preserve"> такође</w:t>
      </w:r>
      <w:r w:rsidR="00F21B70" w:rsidRPr="00EF2F18">
        <w:rPr>
          <w:rFonts w:cs="Times New Roman"/>
          <w:sz w:val="22"/>
          <w:lang w:val="sr-Cyrl-RS"/>
        </w:rPr>
        <w:t xml:space="preserve"> су усвојени у децембру 2022. године, </w:t>
      </w:r>
      <w:r w:rsidR="00C32624" w:rsidRPr="00EF2F18">
        <w:rPr>
          <w:rFonts w:cs="Times New Roman"/>
          <w:sz w:val="22"/>
          <w:lang w:val="sr-Cyrl-RS"/>
        </w:rPr>
        <w:t xml:space="preserve">у оквиру </w:t>
      </w:r>
      <w:r w:rsidR="00F21B70" w:rsidRPr="00EF2F18">
        <w:rPr>
          <w:rFonts w:cs="Times New Roman"/>
          <w:sz w:val="22"/>
          <w:lang w:val="sr-Cyrl-RS"/>
        </w:rPr>
        <w:t>Уговор</w:t>
      </w:r>
      <w:r w:rsidR="00C32624" w:rsidRPr="00EF2F18">
        <w:rPr>
          <w:rFonts w:cs="Times New Roman"/>
          <w:sz w:val="22"/>
          <w:lang w:val="sr-Cyrl-RS"/>
        </w:rPr>
        <w:t>а</w:t>
      </w:r>
      <w:r w:rsidR="00F21B70" w:rsidRPr="00EF2F18">
        <w:rPr>
          <w:rFonts w:cs="Times New Roman"/>
          <w:sz w:val="22"/>
          <w:lang w:val="sr-Cyrl-RS"/>
        </w:rPr>
        <w:t xml:space="preserve"> о оснивању Енергетске заједнице. </w:t>
      </w:r>
      <w:r w:rsidR="00F21B70" w:rsidRPr="00EF2F18">
        <w:rPr>
          <w:rFonts w:cs="Times New Roman"/>
          <w:sz w:val="22"/>
          <w:shd w:val="clear" w:color="auto" w:fill="FFFFFF"/>
          <w:lang w:val="sr-Cyrl-RS"/>
        </w:rPr>
        <w:t xml:space="preserve">Министарски савет Енергетске заједнице </w:t>
      </w:r>
      <w:r w:rsidR="00C32624" w:rsidRPr="00EF2F18">
        <w:rPr>
          <w:rFonts w:cs="Times New Roman"/>
          <w:sz w:val="22"/>
          <w:shd w:val="clear" w:color="auto" w:fill="FFFFFF"/>
          <w:lang w:val="sr-Cyrl-RS"/>
        </w:rPr>
        <w:t xml:space="preserve">(Одлука Министарског савета Енергетске заједнице бр. 2022/02/МS-EnZ о изменама Одлуке Министарског савета бр. 2021/14/MS-EnZ и допуна Анекса I Уговора о оснивању Енергетске заједнице) </w:t>
      </w:r>
      <w:r w:rsidR="00F21B70" w:rsidRPr="00EF2F18">
        <w:rPr>
          <w:rFonts w:cs="Times New Roman"/>
          <w:sz w:val="22"/>
          <w:shd w:val="clear" w:color="auto" w:fill="FFFFFF"/>
          <w:lang w:val="sr-Cyrl-RS"/>
        </w:rPr>
        <w:t xml:space="preserve">усвојио је 2022. године циљеве за 2030. </w:t>
      </w:r>
      <w:r w:rsidR="00C32624" w:rsidRPr="00EF2F18">
        <w:rPr>
          <w:rFonts w:cs="Times New Roman"/>
          <w:sz w:val="22"/>
          <w:shd w:val="clear" w:color="auto" w:fill="FFFFFF"/>
          <w:lang w:val="sr-Cyrl-RS"/>
        </w:rPr>
        <w:t>годину</w:t>
      </w:r>
      <w:r w:rsidR="00E35190" w:rsidRPr="00EF2F18">
        <w:rPr>
          <w:rFonts w:cs="Times New Roman"/>
          <w:sz w:val="22"/>
          <w:shd w:val="clear" w:color="auto" w:fill="FFFFFF"/>
          <w:lang w:val="sr-Cyrl-RS"/>
        </w:rPr>
        <w:t xml:space="preserve"> </w:t>
      </w:r>
      <w:r w:rsidR="00F21B70" w:rsidRPr="00EF2F18">
        <w:rPr>
          <w:rFonts w:cs="Times New Roman"/>
          <w:sz w:val="22"/>
          <w:shd w:val="clear" w:color="auto" w:fill="FFFFFF"/>
          <w:lang w:val="sr-Cyrl-RS"/>
        </w:rPr>
        <w:t xml:space="preserve">за смањење потрошње примарне и </w:t>
      </w:r>
      <w:r w:rsidR="00F21B70" w:rsidRPr="00EF2F18">
        <w:rPr>
          <w:rFonts w:cs="Times New Roman"/>
          <w:sz w:val="22"/>
          <w:shd w:val="clear" w:color="auto" w:fill="FFFFFF"/>
          <w:lang w:val="sr-Cyrl-RS"/>
        </w:rPr>
        <w:lastRenderedPageBreak/>
        <w:t xml:space="preserve">финалне енергије, </w:t>
      </w:r>
      <w:r w:rsidR="00C32624" w:rsidRPr="00EF2F18">
        <w:rPr>
          <w:rFonts w:cs="Times New Roman"/>
          <w:sz w:val="22"/>
          <w:shd w:val="clear" w:color="auto" w:fill="FFFFFF"/>
          <w:lang w:val="sr-Cyrl-RS"/>
        </w:rPr>
        <w:t xml:space="preserve">повећање </w:t>
      </w:r>
      <w:r w:rsidR="00F21B70" w:rsidRPr="00EF2F18">
        <w:rPr>
          <w:rFonts w:cs="Times New Roman"/>
          <w:sz w:val="22"/>
          <w:shd w:val="clear" w:color="auto" w:fill="FFFFFF"/>
          <w:lang w:val="sr-Cyrl-RS"/>
        </w:rPr>
        <w:t xml:space="preserve">коришћења обновљивих извора енергије и смањење емисије </w:t>
      </w:r>
      <w:r w:rsidR="00F21B70" w:rsidRPr="00EF2F18">
        <w:rPr>
          <w:rFonts w:cs="Times New Roman"/>
          <w:i/>
          <w:iCs/>
          <w:sz w:val="22"/>
          <w:shd w:val="clear" w:color="auto" w:fill="FFFFFF"/>
          <w:lang w:val="sr-Cyrl-RS"/>
        </w:rPr>
        <w:t>GHG</w:t>
      </w:r>
      <w:r w:rsidR="00F21B70" w:rsidRPr="00EF2F18">
        <w:rPr>
          <w:rFonts w:cs="Times New Roman"/>
          <w:sz w:val="22"/>
          <w:shd w:val="clear" w:color="auto" w:fill="FFFFFF"/>
          <w:lang w:val="sr-Cyrl-RS"/>
        </w:rPr>
        <w:t xml:space="preserve"> како би се </w:t>
      </w:r>
      <w:r w:rsidR="00D872D6" w:rsidRPr="00EF2F18">
        <w:rPr>
          <w:rFonts w:cs="Times New Roman"/>
          <w:sz w:val="22"/>
          <w:shd w:val="clear" w:color="auto" w:fill="FFFFFF"/>
          <w:lang w:val="sr-Cyrl-RS"/>
        </w:rPr>
        <w:t xml:space="preserve">тежило </w:t>
      </w:r>
      <w:r w:rsidR="00F21B70" w:rsidRPr="00EF2F18">
        <w:rPr>
          <w:rFonts w:cs="Times New Roman"/>
          <w:sz w:val="22"/>
          <w:shd w:val="clear" w:color="auto" w:fill="FFFFFF"/>
          <w:lang w:val="sr-Cyrl-RS"/>
        </w:rPr>
        <w:t>климатск</w:t>
      </w:r>
      <w:r w:rsidR="00D872D6" w:rsidRPr="00EF2F18">
        <w:rPr>
          <w:rFonts w:cs="Times New Roman"/>
          <w:sz w:val="22"/>
          <w:shd w:val="clear" w:color="auto" w:fill="FFFFFF"/>
          <w:lang w:val="sr-Cyrl-RS"/>
        </w:rPr>
        <w:t>ој</w:t>
      </w:r>
      <w:r w:rsidR="00F21B70" w:rsidRPr="00EF2F18">
        <w:rPr>
          <w:rFonts w:cs="Times New Roman"/>
          <w:sz w:val="22"/>
          <w:shd w:val="clear" w:color="auto" w:fill="FFFFFF"/>
          <w:lang w:val="sr-Cyrl-RS"/>
        </w:rPr>
        <w:t xml:space="preserve"> неутралност</w:t>
      </w:r>
      <w:r w:rsidR="00D872D6" w:rsidRPr="00EF2F18">
        <w:rPr>
          <w:rFonts w:cs="Times New Roman"/>
          <w:sz w:val="22"/>
          <w:shd w:val="clear" w:color="auto" w:fill="FFFFFF"/>
          <w:lang w:val="sr-Cyrl-RS"/>
        </w:rPr>
        <w:t>и</w:t>
      </w:r>
      <w:r w:rsidR="00F21B70" w:rsidRPr="00EF2F18">
        <w:rPr>
          <w:rFonts w:cs="Times New Roman"/>
          <w:sz w:val="22"/>
          <w:shd w:val="clear" w:color="auto" w:fill="FFFFFF"/>
          <w:lang w:val="sr-Cyrl-RS"/>
        </w:rPr>
        <w:t xml:space="preserve"> до 2050. године.</w:t>
      </w:r>
    </w:p>
    <w:p w14:paraId="57D9AE4A" w14:textId="7C9F9732" w:rsidR="00F21B70" w:rsidRPr="00EF2F18" w:rsidRDefault="00F21B70" w:rsidP="00F21B70">
      <w:pPr>
        <w:autoSpaceDE w:val="0"/>
        <w:autoSpaceDN w:val="0"/>
        <w:adjustRightInd w:val="0"/>
        <w:spacing w:after="0"/>
        <w:ind w:firstLine="720"/>
        <w:jc w:val="both"/>
        <w:rPr>
          <w:rFonts w:eastAsia="Times New Roman" w:cs="Times New Roman"/>
          <w:sz w:val="22"/>
          <w:lang w:val="sr-Cyrl-RS" w:eastAsia="de-DE"/>
        </w:rPr>
      </w:pPr>
      <w:r w:rsidRPr="00EF2F18">
        <w:rPr>
          <w:rFonts w:eastAsia="Times New Roman" w:cs="Times New Roman"/>
          <w:sz w:val="22"/>
          <w:lang w:val="sr-Cyrl-RS" w:eastAsia="de-DE"/>
        </w:rPr>
        <w:t>У области хоризонталног законодавства,</w:t>
      </w:r>
      <w:r w:rsidR="00260405" w:rsidRPr="00EF2F18">
        <w:rPr>
          <w:rFonts w:eastAsia="Times New Roman" w:cs="Times New Roman"/>
          <w:sz w:val="22"/>
          <w:lang w:val="sr-Cyrl-RS" w:eastAsia="de-DE"/>
        </w:rPr>
        <w:t xml:space="preserve"> Република</w:t>
      </w:r>
      <w:r w:rsidRPr="00EF2F18">
        <w:rPr>
          <w:rFonts w:eastAsia="Times New Roman" w:cs="Times New Roman"/>
          <w:sz w:val="22"/>
          <w:lang w:val="sr-Cyrl-RS" w:eastAsia="de-DE"/>
        </w:rPr>
        <w:t xml:space="preserve"> Србија константно ради на усклађености са правним тековинама ЕУ. </w:t>
      </w:r>
      <w:r w:rsidR="00095E18" w:rsidRPr="00EF2F18">
        <w:rPr>
          <w:rFonts w:eastAsia="Times New Roman" w:cs="Times New Roman"/>
          <w:sz w:val="22"/>
          <w:lang w:val="sr-Cyrl-RS" w:eastAsia="de-DE"/>
        </w:rPr>
        <w:t>Кључни механизам ЕУ за смањење емисије гасова са ефектом стаклене баште је систем трговине емисионим јединицама, а у складу са Директивом 2003/87/ЕС о успостављању система трговања емисионим јединицама са ефектом стаклене баште</w:t>
      </w:r>
      <w:r w:rsidRPr="00EF2F18">
        <w:rPr>
          <w:rFonts w:eastAsia="Times New Roman" w:cs="Times New Roman"/>
          <w:sz w:val="22"/>
          <w:lang w:val="sr-Cyrl-RS" w:eastAsia="de-DE"/>
        </w:rPr>
        <w:t xml:space="preserve">. Крајњи резултат је смањење емисије из сектора индустрије, укључујући енергетику, праћено повећањем конкурентности и енергетске стабилности држава чланица ЕУ. </w:t>
      </w:r>
    </w:p>
    <w:p w14:paraId="75A145B2" w14:textId="77777777" w:rsidR="00D06B6B" w:rsidRPr="00EF2F18" w:rsidRDefault="00D06B6B" w:rsidP="00D06B6B">
      <w:pPr>
        <w:autoSpaceDE w:val="0"/>
        <w:autoSpaceDN w:val="0"/>
        <w:adjustRightInd w:val="0"/>
        <w:spacing w:after="0"/>
        <w:ind w:firstLine="720"/>
        <w:jc w:val="both"/>
        <w:rPr>
          <w:sz w:val="22"/>
          <w:lang w:val="sr-Cyrl-RS"/>
        </w:rPr>
      </w:pPr>
      <w:r w:rsidRPr="00EF2F18">
        <w:rPr>
          <w:sz w:val="22"/>
          <w:lang w:val="sr-Cyrl-RS"/>
        </w:rPr>
        <w:t>Законом о климатским променама у Републици Србији успостављен је правни основ за систем мониторинга, извештавања и верификације и акредитације емисија гасова са ефектом стаклене баште (MRVА), у складу са Директивом 2003/87/EC.</w:t>
      </w:r>
    </w:p>
    <w:p w14:paraId="46FBBFAA" w14:textId="77777777" w:rsidR="00D06B6B" w:rsidRPr="00EF2F18" w:rsidRDefault="00D06B6B" w:rsidP="00D06B6B">
      <w:pPr>
        <w:autoSpaceDE w:val="0"/>
        <w:autoSpaceDN w:val="0"/>
        <w:adjustRightInd w:val="0"/>
        <w:spacing w:after="0"/>
        <w:ind w:firstLine="720"/>
        <w:jc w:val="both"/>
        <w:rPr>
          <w:sz w:val="22"/>
          <w:lang w:val="sr-Cyrl-RS"/>
        </w:rPr>
      </w:pPr>
      <w:r w:rsidRPr="00EF2F18">
        <w:rPr>
          <w:sz w:val="22"/>
          <w:lang w:val="sr-Cyrl-RS"/>
        </w:rPr>
        <w:t xml:space="preserve">Систем MRVА је успостављен 2023. године, док је током 2024. године започела његова практична примена кроз развој и функционисање IT/дигиталног система за издавање дозвола за емисију GHG. У 2024. години издате су прве дозволе за емисије гасова са ефектом стаклене баште, чиме је успостављен потпуни систем праћења, извештавања, верификације и акредитације на нивоу постројења и створен предуслов за увођење система наплате емисија. Успостављени MRVА систем представља основ за постепено увођење механизма цене угљеника и припрему за усклађивање са системом трговине емисијама (EU ETS). </w:t>
      </w:r>
    </w:p>
    <w:p w14:paraId="42F4BC4B" w14:textId="77777777" w:rsidR="00D06B6B" w:rsidRPr="00EF2F18" w:rsidRDefault="00D06B6B" w:rsidP="00D06B6B">
      <w:pPr>
        <w:autoSpaceDE w:val="0"/>
        <w:autoSpaceDN w:val="0"/>
        <w:adjustRightInd w:val="0"/>
        <w:spacing w:after="0"/>
        <w:ind w:firstLine="720"/>
        <w:jc w:val="both"/>
        <w:rPr>
          <w:sz w:val="22"/>
          <w:lang w:val="sr-Cyrl-RS"/>
        </w:rPr>
      </w:pPr>
      <w:r w:rsidRPr="00EF2F18">
        <w:rPr>
          <w:sz w:val="22"/>
          <w:lang w:val="sr-Cyrl-RS"/>
        </w:rPr>
        <w:t>У том контексту, од јануара 2026. године почиње примена Закона о порезу на емисије гасова са ефектом стаклене баште и Закона о порезу на увоз високоугљеничних производа.</w:t>
      </w:r>
    </w:p>
    <w:p w14:paraId="41E8536D" w14:textId="77777777" w:rsidR="00D06B6B" w:rsidRPr="00EF2F18" w:rsidRDefault="00D06B6B" w:rsidP="00D06B6B">
      <w:pPr>
        <w:autoSpaceDE w:val="0"/>
        <w:autoSpaceDN w:val="0"/>
        <w:adjustRightInd w:val="0"/>
        <w:spacing w:after="0"/>
        <w:ind w:firstLine="720"/>
        <w:jc w:val="both"/>
        <w:rPr>
          <w:sz w:val="22"/>
          <w:lang w:val="sr-Cyrl-RS"/>
        </w:rPr>
      </w:pPr>
      <w:r w:rsidRPr="00EF2F18">
        <w:rPr>
          <w:sz w:val="22"/>
          <w:lang w:val="sr-Cyrl-RS"/>
        </w:rPr>
        <w:t xml:space="preserve">Закон о порезу на емисије гасова са ефектом стаклене баште уводи таксу на угљеник као прелазни инструмент ка успостављању система трговине емисијама (EU ETS), уређујући обвезнике, начин обрачуна и наплате пореза. </w:t>
      </w:r>
    </w:p>
    <w:p w14:paraId="08D54FB2" w14:textId="77777777" w:rsidR="00D06B6B" w:rsidRPr="00EF2F18" w:rsidRDefault="00D06B6B" w:rsidP="00D06B6B">
      <w:pPr>
        <w:autoSpaceDE w:val="0"/>
        <w:autoSpaceDN w:val="0"/>
        <w:adjustRightInd w:val="0"/>
        <w:spacing w:after="0"/>
        <w:ind w:firstLine="720"/>
        <w:jc w:val="both"/>
        <w:rPr>
          <w:sz w:val="22"/>
          <w:lang w:val="sr-Cyrl-RS"/>
        </w:rPr>
      </w:pPr>
      <w:r w:rsidRPr="00EF2F18">
        <w:rPr>
          <w:sz w:val="22"/>
          <w:lang w:val="sr-Cyrl-RS"/>
        </w:rPr>
        <w:t>Закон о порезу на увоз високоугљеничних производа представља одговор на Механизам Европске уније за прекогранично прилагођавање угљеника (Carbon Border Adjustment Mechanism – CBAM), који има за циљ да обезбеди да се емисије угљеника уграђене у увезене производе третирају на упоредив начин као емисије из производње унутар ЕУ. На тај начин се спречава ризик од „цурења угљеника“ односно измештања производње у земље са мање строжим климатским политикама, чиме би се умањила ефикасност климатских мера ЕУ.</w:t>
      </w:r>
    </w:p>
    <w:p w14:paraId="7A5F23FF" w14:textId="77777777" w:rsidR="00D06B6B" w:rsidRPr="00EF2F18" w:rsidRDefault="00D06B6B" w:rsidP="00D06B6B">
      <w:pPr>
        <w:autoSpaceDE w:val="0"/>
        <w:autoSpaceDN w:val="0"/>
        <w:adjustRightInd w:val="0"/>
        <w:spacing w:after="0"/>
        <w:ind w:firstLine="720"/>
        <w:jc w:val="both"/>
        <w:rPr>
          <w:sz w:val="22"/>
          <w:lang w:val="sr-Cyrl-RS"/>
        </w:rPr>
      </w:pPr>
      <w:r w:rsidRPr="00EF2F18">
        <w:rPr>
          <w:sz w:val="22"/>
          <w:lang w:val="sr-Cyrl-RS"/>
        </w:rPr>
        <w:t>CBAM представља инструмент који изједначава цену угљеника за домаће и увозне производе обухваћене EU ETS системом. У почетној фази обухвата секторе са високом емисионом интензивношћу, као што су гвожђе и челик, цемент, алуминијум, минерална ђубрива, електрична енергија и водоник, као и одређене претходне и пратеће производе. Од увозника се захтева да извештавају о уграђеним емисијама CO₂ у увезеним производима и да, у пуном режиму примене, набављају CBAM сертификате који одражавају цену угљеника еквивалентну оној у EU ETS систему.</w:t>
      </w:r>
    </w:p>
    <w:p w14:paraId="7BBD8EDC" w14:textId="7B1CA6E4" w:rsidR="00BD570D" w:rsidRPr="00EF2F18" w:rsidRDefault="00D06B6B" w:rsidP="00D06B6B">
      <w:pPr>
        <w:autoSpaceDE w:val="0"/>
        <w:autoSpaceDN w:val="0"/>
        <w:adjustRightInd w:val="0"/>
        <w:spacing w:after="0"/>
        <w:ind w:firstLine="720"/>
        <w:jc w:val="both"/>
        <w:rPr>
          <w:sz w:val="22"/>
          <w:lang w:val="sr-Cyrl-RS"/>
        </w:rPr>
      </w:pPr>
      <w:r w:rsidRPr="00EF2F18">
        <w:rPr>
          <w:sz w:val="22"/>
          <w:lang w:val="sr-Cyrl-RS"/>
        </w:rPr>
        <w:t>У наредном периоду наставиће се анализе у циљу даљег унапређења националног система наплате угљеника и његовог усклађивања са EU ETS и CBAM оквиром.</w:t>
      </w:r>
    </w:p>
    <w:p w14:paraId="10CC07EF" w14:textId="6F7A4266" w:rsidR="00F21B70" w:rsidRPr="00EF2F18" w:rsidRDefault="00466CC0" w:rsidP="00F21B70">
      <w:pPr>
        <w:spacing w:after="0"/>
        <w:ind w:firstLine="720"/>
        <w:jc w:val="both"/>
        <w:rPr>
          <w:rStyle w:val="cf01"/>
          <w:rFonts w:ascii="Times New Roman" w:hAnsi="Times New Roman" w:cs="Times New Roman"/>
          <w:sz w:val="22"/>
          <w:lang w:val="sr-Cyrl-RS"/>
        </w:rPr>
      </w:pPr>
      <w:r w:rsidRPr="00EF2F18">
        <w:rPr>
          <w:rStyle w:val="cf01"/>
          <w:rFonts w:ascii="Times New Roman" w:hAnsi="Times New Roman" w:cs="Times New Roman"/>
          <w:sz w:val="22"/>
          <w:lang w:val="sr-Cyrl-RS"/>
        </w:rPr>
        <w:t>Република Србија, у складу са Интегрисаним националним енергетским и климатским планом Републике Србије до 2030. године са визијом до 2050. године и својим финансијским могућностима, улаже напоре у усклађивање политика и мера са Оквиром за климу и енергетику ЕУ до 2030. године. Овај Оквир за ЕУ поставља три кључна циља која треба постићи до 2030. године: најмање 55% смањења емисија гасова са ефектом стаклене баште (у односу на ниво из 1990. године), најмање 32% учешће енергије из обновљивих извора и унапређење енергетске ефикасности од најмање 32,5%.</w:t>
      </w:r>
      <w:r w:rsidR="00F21B70" w:rsidRPr="00EF2F18">
        <w:rPr>
          <w:rStyle w:val="cf01"/>
          <w:rFonts w:ascii="Times New Roman" w:hAnsi="Times New Roman" w:cs="Times New Roman"/>
          <w:sz w:val="22"/>
          <w:lang w:val="sr-Cyrl-RS"/>
        </w:rPr>
        <w:t xml:space="preserve"> </w:t>
      </w:r>
      <w:r w:rsidR="001C3B97" w:rsidRPr="00EF2F18">
        <w:rPr>
          <w:rStyle w:val="cf01"/>
          <w:rFonts w:ascii="Times New Roman" w:hAnsi="Times New Roman" w:cs="Times New Roman"/>
          <w:sz w:val="22"/>
          <w:lang w:val="sr-Cyrl-RS"/>
        </w:rPr>
        <w:t xml:space="preserve">ИНЕКП је донет 2024. године на предлог Министарства рударства и енергетике. ИНЕКП, у погледу ОИЕ, енергетске ефикасности и смањења емисије </w:t>
      </w:r>
      <w:r w:rsidR="001C3B97" w:rsidRPr="00EF2F18">
        <w:rPr>
          <w:rStyle w:val="cf01"/>
          <w:rFonts w:ascii="Times New Roman" w:hAnsi="Times New Roman" w:cs="Times New Roman"/>
          <w:i/>
          <w:iCs/>
          <w:sz w:val="22"/>
          <w:lang w:val="sr-Cyrl-RS"/>
        </w:rPr>
        <w:t>GHG</w:t>
      </w:r>
      <w:r w:rsidR="001C3B97" w:rsidRPr="00EF2F18">
        <w:rPr>
          <w:rStyle w:val="cf01"/>
          <w:rFonts w:ascii="Times New Roman" w:hAnsi="Times New Roman" w:cs="Times New Roman"/>
          <w:sz w:val="22"/>
          <w:lang w:val="sr-Cyrl-RS"/>
        </w:rPr>
        <w:t xml:space="preserve">, дефинише циљеве за 2030. годину и предвиђа конкретне мере политике за њихово достизање. ИНЕКП садржи приказ постојећег стања кључних политика и одговарајућих мера за сагледавање пет димензија Уредбе (ЕУ) 2018/1999: декарбонизација (укључујући емисије </w:t>
      </w:r>
      <w:r w:rsidR="001C3B97" w:rsidRPr="00EF2F18">
        <w:rPr>
          <w:rStyle w:val="cf01"/>
          <w:rFonts w:ascii="Times New Roman" w:hAnsi="Times New Roman" w:cs="Times New Roman"/>
          <w:i/>
          <w:iCs/>
          <w:sz w:val="22"/>
          <w:lang w:val="sr-Cyrl-RS"/>
        </w:rPr>
        <w:t>GHG</w:t>
      </w:r>
      <w:r w:rsidR="001C3B97" w:rsidRPr="00EF2F18">
        <w:rPr>
          <w:rStyle w:val="cf01"/>
          <w:rFonts w:ascii="Times New Roman" w:hAnsi="Times New Roman" w:cs="Times New Roman"/>
          <w:sz w:val="22"/>
          <w:lang w:val="sr-Cyrl-RS"/>
        </w:rPr>
        <w:t xml:space="preserve"> и ОИЕ), енергетска ефикасност; енергетска сигурност; унутрашње енергетско тржиште; истраживање, иновације и конкурентност.</w:t>
      </w:r>
    </w:p>
    <w:p w14:paraId="7E591165" w14:textId="366D7534" w:rsidR="00F21B70" w:rsidRPr="00EF2F18" w:rsidRDefault="00F21B70" w:rsidP="00F21B70">
      <w:pPr>
        <w:autoSpaceDE w:val="0"/>
        <w:autoSpaceDN w:val="0"/>
        <w:adjustRightInd w:val="0"/>
        <w:spacing w:after="0"/>
        <w:ind w:firstLine="720"/>
        <w:jc w:val="both"/>
        <w:rPr>
          <w:rFonts w:cs="Times New Roman"/>
          <w:sz w:val="22"/>
          <w:lang w:val="sr-Cyrl-RS"/>
        </w:rPr>
      </w:pPr>
      <w:r w:rsidRPr="00EF2F18">
        <w:rPr>
          <w:rFonts w:eastAsia="Calibri" w:cs="Times New Roman"/>
          <w:sz w:val="22"/>
          <w:lang w:val="sr-Cyrl-RS"/>
        </w:rPr>
        <w:t xml:space="preserve">Стратегија нискоугљеничног развоја за период од 2023. до 2030. године </w:t>
      </w:r>
      <w:r w:rsidR="00842BC9" w:rsidRPr="00EF2F18">
        <w:rPr>
          <w:rFonts w:eastAsia="Calibri" w:cs="Times New Roman"/>
          <w:sz w:val="22"/>
          <w:lang w:val="sr-Cyrl-RS"/>
        </w:rPr>
        <w:t>са пројекцијама до 2050. године („Службени гласник РС</w:t>
      </w:r>
      <w:r w:rsidR="00A64280" w:rsidRPr="00EF2F18">
        <w:rPr>
          <w:rFonts w:eastAsia="Calibri" w:cs="Times New Roman"/>
          <w:sz w:val="22"/>
          <w:lang w:val="sr-Cyrl-RS"/>
        </w:rPr>
        <w:t>”</w:t>
      </w:r>
      <w:r w:rsidR="00842BC9" w:rsidRPr="00EF2F18">
        <w:rPr>
          <w:rFonts w:eastAsia="Calibri" w:cs="Times New Roman"/>
          <w:sz w:val="22"/>
          <w:lang w:val="sr-Cyrl-RS"/>
        </w:rPr>
        <w:t xml:space="preserve">, број 46/23) </w:t>
      </w:r>
      <w:r w:rsidRPr="00EF2F18">
        <w:rPr>
          <w:rFonts w:eastAsia="Calibri" w:cs="Times New Roman"/>
          <w:sz w:val="22"/>
          <w:lang w:val="sr-Cyrl-RS"/>
        </w:rPr>
        <w:t xml:space="preserve">која препознаје ризике климатских промена по одрживи развој Републике Србије и наглашава обавезе Републике Србије према Споразуму из Париза и Оквирној конвенцији Уједињених нација о промени климе који налажу, </w:t>
      </w:r>
      <w:r w:rsidRPr="00EF2F18">
        <w:rPr>
          <w:rFonts w:eastAsia="Calibri" w:cs="Times New Roman"/>
          <w:sz w:val="22"/>
          <w:lang w:val="sr-Cyrl-RS"/>
        </w:rPr>
        <w:lastRenderedPageBreak/>
        <w:t xml:space="preserve">дугорочно гледано, значајан помак српске привреде ка нискоугљеничној и климатски </w:t>
      </w:r>
      <w:r w:rsidR="00E115A8" w:rsidRPr="00EF2F18">
        <w:rPr>
          <w:rFonts w:eastAsia="Calibri" w:cs="Times New Roman"/>
          <w:sz w:val="22"/>
          <w:lang w:val="sr-Cyrl-RS"/>
        </w:rPr>
        <w:t xml:space="preserve">отпорној </w:t>
      </w:r>
      <w:r w:rsidRPr="00EF2F18">
        <w:rPr>
          <w:rFonts w:eastAsia="Calibri" w:cs="Times New Roman"/>
          <w:sz w:val="22"/>
          <w:lang w:val="sr-Cyrl-RS"/>
        </w:rPr>
        <w:t xml:space="preserve">економији. </w:t>
      </w:r>
      <w:r w:rsidR="00095E18" w:rsidRPr="00EF2F18">
        <w:rPr>
          <w:rFonts w:eastAsia="Calibri" w:cs="Times New Roman"/>
          <w:sz w:val="22"/>
          <w:lang w:val="sr-Cyrl-RS"/>
        </w:rPr>
        <w:t xml:space="preserve">Циљ је </w:t>
      </w:r>
      <w:r w:rsidRPr="00EF2F18">
        <w:rPr>
          <w:rFonts w:cs="Times New Roman"/>
          <w:sz w:val="22"/>
          <w:shd w:val="clear" w:color="auto" w:fill="FFFFFF"/>
          <w:lang w:val="sr-Cyrl-RS"/>
        </w:rPr>
        <w:t xml:space="preserve">смањење емисије </w:t>
      </w:r>
      <w:r w:rsidRPr="00EF2F18">
        <w:rPr>
          <w:rFonts w:cs="Times New Roman"/>
          <w:i/>
          <w:iCs/>
          <w:sz w:val="22"/>
          <w:shd w:val="clear" w:color="auto" w:fill="FFFFFF"/>
          <w:lang w:val="sr-Cyrl-RS"/>
        </w:rPr>
        <w:t>GHG</w:t>
      </w:r>
      <w:r w:rsidRPr="00EF2F18">
        <w:rPr>
          <w:rFonts w:cs="Times New Roman"/>
          <w:sz w:val="22"/>
          <w:shd w:val="clear" w:color="auto" w:fill="FFFFFF"/>
          <w:lang w:val="sr-Cyrl-RS"/>
        </w:rPr>
        <w:t xml:space="preserve"> </w:t>
      </w:r>
      <w:r w:rsidR="00E115A8" w:rsidRPr="00EF2F18">
        <w:rPr>
          <w:rFonts w:cs="Times New Roman"/>
          <w:sz w:val="22"/>
          <w:shd w:val="clear" w:color="auto" w:fill="FFFFFF"/>
          <w:lang w:val="sr-Cyrl-RS"/>
        </w:rPr>
        <w:t xml:space="preserve">без </w:t>
      </w:r>
      <w:r w:rsidR="00E115A8" w:rsidRPr="00EF2F18">
        <w:rPr>
          <w:rFonts w:cs="Times New Roman"/>
          <w:i/>
          <w:iCs/>
          <w:sz w:val="22"/>
          <w:shd w:val="clear" w:color="auto" w:fill="FFFFFF"/>
          <w:lang w:val="sr-Cyrl-RS"/>
        </w:rPr>
        <w:t>LULUCF</w:t>
      </w:r>
      <w:r w:rsidR="00E115A8" w:rsidRPr="00EF2F18">
        <w:rPr>
          <w:rFonts w:cs="Times New Roman"/>
          <w:sz w:val="22"/>
          <w:shd w:val="clear" w:color="auto" w:fill="FFFFFF"/>
          <w:lang w:val="sr-Cyrl-RS"/>
        </w:rPr>
        <w:t xml:space="preserve"> </w:t>
      </w:r>
      <w:r w:rsidRPr="00EF2F18">
        <w:rPr>
          <w:rFonts w:cs="Times New Roman"/>
          <w:sz w:val="22"/>
          <w:shd w:val="clear" w:color="auto" w:fill="FFFFFF"/>
          <w:lang w:val="sr-Cyrl-RS"/>
        </w:rPr>
        <w:t>за 33,3% до 2030.,</w:t>
      </w:r>
      <w:r w:rsidR="00E115A8" w:rsidRPr="00EF2F18">
        <w:rPr>
          <w:rFonts w:cs="Times New Roman"/>
          <w:sz w:val="22"/>
          <w:shd w:val="clear" w:color="auto" w:fill="FFFFFF"/>
          <w:lang w:val="sr-Cyrl-RS"/>
        </w:rPr>
        <w:t xml:space="preserve"> </w:t>
      </w:r>
      <w:r w:rsidRPr="00EF2F18">
        <w:rPr>
          <w:rFonts w:cs="Times New Roman"/>
          <w:sz w:val="22"/>
          <w:shd w:val="clear" w:color="auto" w:fill="FFFFFF"/>
          <w:lang w:val="sr-Cyrl-RS"/>
        </w:rPr>
        <w:t>што ће бити</w:t>
      </w:r>
      <w:r w:rsidRPr="00EF2F18">
        <w:rPr>
          <w:rFonts w:cs="Times New Roman"/>
          <w:sz w:val="22"/>
          <w:lang w:val="sr-Cyrl-RS"/>
        </w:rPr>
        <w:t xml:space="preserve"> постигнуто, пре свега, смањењем емисије у производњи електричне и топлотне енергије, повећањем енергетске ефикасности и коришћењем обновљивих извора енергије, али и мерама у другим секторима. </w:t>
      </w:r>
      <w:r w:rsidR="00E115A8" w:rsidRPr="00EF2F18">
        <w:rPr>
          <w:rFonts w:cs="Times New Roman"/>
          <w:sz w:val="22"/>
          <w:lang w:val="sr-Cyrl-RS"/>
        </w:rPr>
        <w:t>С</w:t>
      </w:r>
      <w:r w:rsidR="00E115A8" w:rsidRPr="00EF2F18">
        <w:rPr>
          <w:rFonts w:cs="Times New Roman"/>
          <w:sz w:val="22"/>
          <w:shd w:val="clear" w:color="auto" w:fill="FFFFFF"/>
          <w:lang w:val="sr-Cyrl-RS"/>
        </w:rPr>
        <w:t>мањење емисије</w:t>
      </w:r>
      <w:r w:rsidR="00756DF9" w:rsidRPr="00EF2F18">
        <w:rPr>
          <w:rFonts w:cs="Times New Roman"/>
          <w:sz w:val="22"/>
          <w:shd w:val="clear" w:color="auto" w:fill="FFFFFF"/>
          <w:lang w:val="sr-Cyrl-RS"/>
        </w:rPr>
        <w:t xml:space="preserve"> </w:t>
      </w:r>
      <w:r w:rsidR="00756DF9" w:rsidRPr="00EF2F18">
        <w:rPr>
          <w:rFonts w:cs="Times New Roman"/>
          <w:i/>
          <w:iCs/>
          <w:sz w:val="22"/>
          <w:shd w:val="clear" w:color="auto" w:fill="FFFFFF"/>
          <w:lang w:val="sr-Cyrl-RS"/>
        </w:rPr>
        <w:t>GHG</w:t>
      </w:r>
      <w:r w:rsidR="00E115A8" w:rsidRPr="00EF2F18">
        <w:rPr>
          <w:rFonts w:cs="Times New Roman"/>
          <w:sz w:val="22"/>
          <w:shd w:val="clear" w:color="auto" w:fill="FFFFFF"/>
          <w:lang w:val="sr-Cyrl-RS"/>
        </w:rPr>
        <w:t xml:space="preserve"> </w:t>
      </w:r>
      <w:r w:rsidR="0014432C" w:rsidRPr="00EF2F18">
        <w:rPr>
          <w:rFonts w:cs="Times New Roman"/>
          <w:sz w:val="22"/>
          <w:shd w:val="clear" w:color="auto" w:fill="FFFFFF"/>
          <w:lang w:val="sr-Cyrl-RS"/>
        </w:rPr>
        <w:t xml:space="preserve">са </w:t>
      </w:r>
      <w:r w:rsidR="00E115A8" w:rsidRPr="00EF2F18">
        <w:rPr>
          <w:rFonts w:cs="Times New Roman"/>
          <w:i/>
          <w:iCs/>
          <w:sz w:val="22"/>
          <w:shd w:val="clear" w:color="auto" w:fill="FFFFFF"/>
          <w:lang w:val="sr-Cyrl-RS"/>
        </w:rPr>
        <w:t>LULUCF</w:t>
      </w:r>
      <w:r w:rsidR="00E115A8" w:rsidRPr="00EF2F18">
        <w:rPr>
          <w:rFonts w:cs="Times New Roman"/>
          <w:sz w:val="22"/>
          <w:shd w:val="clear" w:color="auto" w:fill="FFFFFF"/>
          <w:lang w:val="sr-Cyrl-RS"/>
        </w:rPr>
        <w:t xml:space="preserve"> </w:t>
      </w:r>
      <w:r w:rsidR="00095E18" w:rsidRPr="00EF2F18">
        <w:rPr>
          <w:rFonts w:cs="Times New Roman"/>
          <w:sz w:val="22"/>
          <w:shd w:val="clear" w:color="auto" w:fill="FFFFFF"/>
          <w:lang w:val="sr-Cyrl-RS"/>
        </w:rPr>
        <w:t>је планирано</w:t>
      </w:r>
      <w:r w:rsidR="00E115A8" w:rsidRPr="00EF2F18">
        <w:rPr>
          <w:rFonts w:cs="Times New Roman"/>
          <w:sz w:val="22"/>
          <w:shd w:val="clear" w:color="auto" w:fill="FFFFFF"/>
          <w:lang w:val="sr-Cyrl-RS"/>
        </w:rPr>
        <w:t xml:space="preserve"> за </w:t>
      </w:r>
      <w:r w:rsidR="0014432C" w:rsidRPr="00EF2F18">
        <w:rPr>
          <w:rFonts w:cs="Times New Roman"/>
          <w:sz w:val="22"/>
          <w:shd w:val="clear" w:color="auto" w:fill="FFFFFF"/>
          <w:lang w:val="sr-Cyrl-RS"/>
        </w:rPr>
        <w:t>40,3</w:t>
      </w:r>
      <w:r w:rsidR="00E115A8" w:rsidRPr="00EF2F18">
        <w:rPr>
          <w:rFonts w:cs="Times New Roman"/>
          <w:sz w:val="22"/>
          <w:shd w:val="clear" w:color="auto" w:fill="FFFFFF"/>
          <w:lang w:val="sr-Cyrl-RS"/>
        </w:rPr>
        <w:t xml:space="preserve">% до 2030. </w:t>
      </w:r>
      <w:r w:rsidR="0014432C" w:rsidRPr="00EF2F18">
        <w:rPr>
          <w:rFonts w:cs="Times New Roman"/>
          <w:sz w:val="22"/>
          <w:shd w:val="clear" w:color="auto" w:fill="FFFFFF"/>
          <w:lang w:val="sr-Cyrl-RS"/>
        </w:rPr>
        <w:t xml:space="preserve">године. </w:t>
      </w:r>
      <w:r w:rsidRPr="00EF2F18">
        <w:rPr>
          <w:rFonts w:cs="Times New Roman"/>
          <w:sz w:val="22"/>
          <w:lang w:val="sr-Cyrl-RS"/>
        </w:rPr>
        <w:t xml:space="preserve">Стратегија је представила могућности и препоручила пожељне опције за усклађивање путева нивоа српских емисија </w:t>
      </w:r>
      <w:r w:rsidRPr="00EF2F18">
        <w:rPr>
          <w:rFonts w:cs="Times New Roman"/>
          <w:i/>
          <w:iCs/>
          <w:sz w:val="22"/>
          <w:lang w:val="sr-Cyrl-RS"/>
        </w:rPr>
        <w:t>GHG</w:t>
      </w:r>
      <w:r w:rsidRPr="00EF2F18">
        <w:rPr>
          <w:rFonts w:cs="Times New Roman"/>
          <w:sz w:val="22"/>
          <w:lang w:val="sr-Cyrl-RS"/>
        </w:rPr>
        <w:t xml:space="preserve"> са оним у ЕУ, на економски прихватљив и друштвено правичан начин.</w:t>
      </w:r>
      <w:r w:rsidR="00357B2A" w:rsidRPr="00EF2F18">
        <w:rPr>
          <w:rFonts w:cs="Times New Roman"/>
          <w:sz w:val="22"/>
          <w:lang w:val="sr-Cyrl-RS"/>
        </w:rPr>
        <w:t xml:space="preserve"> </w:t>
      </w:r>
      <w:r w:rsidRPr="00EF2F18">
        <w:rPr>
          <w:rFonts w:cs="Times New Roman"/>
          <w:sz w:val="22"/>
          <w:lang w:val="sr-Cyrl-RS"/>
        </w:rPr>
        <w:t>Стратег</w:t>
      </w:r>
      <w:r w:rsidR="002B4405" w:rsidRPr="00EF2F18">
        <w:rPr>
          <w:rFonts w:cs="Times New Roman"/>
          <w:sz w:val="22"/>
          <w:lang w:val="sr-Cyrl-RS"/>
        </w:rPr>
        <w:t>и</w:t>
      </w:r>
      <w:r w:rsidRPr="00EF2F18">
        <w:rPr>
          <w:rFonts w:cs="Times New Roman"/>
          <w:sz w:val="22"/>
          <w:lang w:val="sr-Cyrl-RS"/>
        </w:rPr>
        <w:t>ја одређује пут до 2030. године и предлаже распон могућности до 2050. године.</w:t>
      </w:r>
      <w:r w:rsidR="00B73387" w:rsidRPr="00EF2F18">
        <w:rPr>
          <w:rFonts w:cs="Times New Roman"/>
          <w:sz w:val="22"/>
          <w:lang w:val="sr-Cyrl-RS"/>
        </w:rPr>
        <w:t xml:space="preserve"> </w:t>
      </w:r>
      <w:r w:rsidRPr="00EF2F18">
        <w:rPr>
          <w:rFonts w:cs="Times New Roman"/>
          <w:sz w:val="22"/>
          <w:lang w:val="sr-Cyrl-RS"/>
        </w:rPr>
        <w:t xml:space="preserve">Стратегија садржи и пожељне опције за усклађивање нивоа емисија </w:t>
      </w:r>
      <w:r w:rsidRPr="00EF2F18">
        <w:rPr>
          <w:rFonts w:cs="Times New Roman"/>
          <w:i/>
          <w:iCs/>
          <w:sz w:val="22"/>
          <w:lang w:val="sr-Cyrl-RS"/>
        </w:rPr>
        <w:t>GHG</w:t>
      </w:r>
      <w:r w:rsidR="006D517C" w:rsidRPr="00EF2F18">
        <w:rPr>
          <w:rFonts w:cs="Times New Roman"/>
          <w:i/>
          <w:iCs/>
          <w:sz w:val="22"/>
          <w:lang w:val="sr-Cyrl-RS"/>
        </w:rPr>
        <w:t xml:space="preserve"> </w:t>
      </w:r>
      <w:r w:rsidR="006D517C" w:rsidRPr="00EF2F18">
        <w:rPr>
          <w:rFonts w:cs="Times New Roman"/>
          <w:sz w:val="22"/>
          <w:lang w:val="sr-Cyrl-RS"/>
        </w:rPr>
        <w:t>у Републици Србији</w:t>
      </w:r>
      <w:r w:rsidRPr="00EF2F18">
        <w:rPr>
          <w:rFonts w:cs="Times New Roman"/>
          <w:sz w:val="22"/>
          <w:lang w:val="sr-Cyrl-RS"/>
        </w:rPr>
        <w:t xml:space="preserve"> са оним у ЕУ, на економски прихватљив у друштвено правичан начин кроз развијених шест сценарија емисија </w:t>
      </w:r>
      <w:r w:rsidRPr="00EF2F18">
        <w:rPr>
          <w:rFonts w:cs="Times New Roman"/>
          <w:i/>
          <w:iCs/>
          <w:sz w:val="22"/>
          <w:lang w:val="sr-Cyrl-RS"/>
        </w:rPr>
        <w:t>GHG</w:t>
      </w:r>
      <w:r w:rsidRPr="00EF2F18">
        <w:rPr>
          <w:rFonts w:cs="Times New Roman"/>
          <w:sz w:val="22"/>
          <w:lang w:val="sr-Cyrl-RS"/>
        </w:rPr>
        <w:t xml:space="preserve"> до 2030. године. </w:t>
      </w:r>
    </w:p>
    <w:p w14:paraId="3F2863F6" w14:textId="16973373" w:rsidR="00287C30" w:rsidRPr="00EF2F18" w:rsidRDefault="00287C30" w:rsidP="00287C30">
      <w:pPr>
        <w:pStyle w:val="ListParagraph"/>
        <w:spacing w:after="60"/>
        <w:ind w:left="0" w:firstLine="720"/>
        <w:jc w:val="both"/>
        <w:rPr>
          <w:sz w:val="22"/>
          <w:lang w:val="sr-Cyrl-RS"/>
        </w:rPr>
      </w:pPr>
      <w:r w:rsidRPr="00EF2F18">
        <w:rPr>
          <w:sz w:val="22"/>
          <w:lang w:val="sr-Cyrl-RS"/>
        </w:rPr>
        <w:t xml:space="preserve">Стратегија нискоугљеничног развоја за период од 2023. до 2030. године, као један од кључних нето циљева укључује уклањање емисија у оквиру сектора коришћења земљишта, промене намене земљишта и шумарства, што се постиже побољшањем стања и јачањем функционалности понора и резервоара </w:t>
      </w:r>
      <w:r w:rsidRPr="00EF2F18">
        <w:rPr>
          <w:rFonts w:cs="Times New Roman"/>
          <w:i/>
          <w:iCs/>
          <w:sz w:val="22"/>
          <w:shd w:val="clear" w:color="auto" w:fill="FFFFFF"/>
          <w:lang w:val="sr-Cyrl-RS"/>
        </w:rPr>
        <w:t>GHG</w:t>
      </w:r>
      <w:r w:rsidRPr="00EF2F18">
        <w:rPr>
          <w:sz w:val="22"/>
          <w:lang w:val="sr-Cyrl-RS"/>
        </w:rPr>
        <w:t xml:space="preserve">. </w:t>
      </w:r>
      <w:r w:rsidRPr="00EF2F18">
        <w:rPr>
          <w:iCs/>
          <w:sz w:val="22"/>
          <w:lang w:val="sr-Cyrl-RS"/>
        </w:rPr>
        <w:t>Улагање у проактивне мере прилагођавања на климатске промене, међу којима је очување биодиверзитета као кључног елемента адаптивних капацитета, свакако је исплативије од улагања у примену реактивних мера (санирање настале штете), превасходно узевши у обзир значај мултифункционалности природних система у еколошком и економском смислу (екосистемске услуге).</w:t>
      </w:r>
    </w:p>
    <w:p w14:paraId="4533FE6B" w14:textId="77777777" w:rsidR="00F21B70" w:rsidRPr="00EF2F18" w:rsidRDefault="00F21B70" w:rsidP="00F21B70">
      <w:pPr>
        <w:autoSpaceDE w:val="0"/>
        <w:autoSpaceDN w:val="0"/>
        <w:adjustRightInd w:val="0"/>
        <w:spacing w:after="0"/>
        <w:ind w:firstLine="720"/>
        <w:jc w:val="both"/>
        <w:rPr>
          <w:rFonts w:eastAsia="Calibri" w:cs="Times New Roman"/>
          <w:sz w:val="22"/>
          <w:lang w:val="sr-Cyrl-RS"/>
        </w:rPr>
      </w:pPr>
      <w:r w:rsidRPr="00EF2F18">
        <w:rPr>
          <w:rFonts w:cs="Times New Roman"/>
          <w:sz w:val="22"/>
          <w:lang w:val="sr-Cyrl-RS"/>
        </w:rPr>
        <w:t xml:space="preserve">Питања климатских промена делимично су укључена у друге секторске политике. </w:t>
      </w:r>
      <w:r w:rsidRPr="00EF2F18">
        <w:rPr>
          <w:rFonts w:eastAsia="Calibri" w:cs="Times New Roman"/>
          <w:sz w:val="22"/>
          <w:lang w:val="sr-Cyrl-RS"/>
        </w:rPr>
        <w:t>Ублажавање климатских промена унапређењем квалитета свих параметара животне средине, система управљања отпадом и енергетске ефикасности дефинисано је као један од пет пакета мера у оквиру Стратегије одрживог урбаног развоја Републике Србије до 2030. године. Стратегија индустријске политике Републике Србије од 2021. до 2030. године само препознаје климатске промене као један од стратешких изазова у области интервенција нове индустријске политике, у склопу захтева за одрживом, зеленом и ресурсно-ефикасном индустријском производњом. Остале секторске политике не узимају у обзир аспекте утицаја промена климе.</w:t>
      </w:r>
    </w:p>
    <w:p w14:paraId="76B43585" w14:textId="70CE393E" w:rsidR="00F21B70" w:rsidRPr="00EF2F18" w:rsidRDefault="00F21B70" w:rsidP="00F21B70">
      <w:pPr>
        <w:autoSpaceDE w:val="0"/>
        <w:autoSpaceDN w:val="0"/>
        <w:adjustRightInd w:val="0"/>
        <w:spacing w:after="0"/>
        <w:ind w:firstLine="720"/>
        <w:jc w:val="both"/>
        <w:rPr>
          <w:rFonts w:cs="Times New Roman"/>
          <w:sz w:val="22"/>
          <w:lang w:val="sr-Cyrl-RS"/>
        </w:rPr>
      </w:pPr>
      <w:r w:rsidRPr="00EF2F18">
        <w:rPr>
          <w:rFonts w:cs="Times New Roman"/>
          <w:sz w:val="22"/>
          <w:lang w:val="sr-Cyrl-RS"/>
        </w:rPr>
        <w:t>Закон о климатским променама усвојен је у марту 2021. године, као део процеса европских интеграција. Овај закон транспонује релевантно законодавство ЕУ, пружајући правни основ за израду и ажурирање стратегије нискоугљеничног развоја и програма прилагођавања на измењене клима</w:t>
      </w:r>
      <w:r w:rsidR="008D7159">
        <w:rPr>
          <w:rFonts w:cs="Times New Roman"/>
          <w:sz w:val="22"/>
          <w:lang w:val="sr-Cyrl-RS"/>
        </w:rPr>
        <w:t>тске услове, мониторинг, извешт</w:t>
      </w:r>
      <w:r w:rsidRPr="00EF2F18">
        <w:rPr>
          <w:rFonts w:cs="Times New Roman"/>
          <w:sz w:val="22"/>
          <w:lang w:val="sr-Cyrl-RS"/>
        </w:rPr>
        <w:t>а</w:t>
      </w:r>
      <w:r w:rsidR="008D7159">
        <w:rPr>
          <w:rFonts w:cs="Times New Roman"/>
          <w:sz w:val="22"/>
          <w:lang w:val="sr-Cyrl-RS"/>
        </w:rPr>
        <w:t>ва</w:t>
      </w:r>
      <w:r w:rsidRPr="00EF2F18">
        <w:rPr>
          <w:rFonts w:cs="Times New Roman"/>
          <w:sz w:val="22"/>
          <w:lang w:val="sr-Cyrl-RS"/>
        </w:rPr>
        <w:t xml:space="preserve">ње и верификацију емисија </w:t>
      </w:r>
      <w:r w:rsidRPr="00EF2F18">
        <w:rPr>
          <w:rFonts w:cs="Times New Roman"/>
          <w:i/>
          <w:iCs/>
          <w:sz w:val="22"/>
          <w:lang w:val="sr-Cyrl-RS"/>
        </w:rPr>
        <w:t>GHG</w:t>
      </w:r>
      <w:r w:rsidRPr="00EF2F18">
        <w:rPr>
          <w:rFonts w:cs="Times New Roman"/>
          <w:sz w:val="22"/>
          <w:lang w:val="sr-Cyrl-RS"/>
        </w:rPr>
        <w:t xml:space="preserve"> и примену климатских политика и мера. Законом је посебно дефинисан начин вршења мониторинга, извештавања и верификације емисија </w:t>
      </w:r>
      <w:r w:rsidRPr="00EF2F18">
        <w:rPr>
          <w:rFonts w:cs="Times New Roman"/>
          <w:i/>
          <w:iCs/>
          <w:sz w:val="22"/>
          <w:lang w:val="sr-Cyrl-RS"/>
        </w:rPr>
        <w:t>GHG</w:t>
      </w:r>
      <w:r w:rsidRPr="00EF2F18">
        <w:rPr>
          <w:rFonts w:cs="Times New Roman"/>
          <w:sz w:val="22"/>
          <w:lang w:val="sr-Cyrl-RS"/>
        </w:rPr>
        <w:t xml:space="preserve"> из постројења и ваздухоплова. Прописано је издавање дозволе за емисију </w:t>
      </w:r>
      <w:r w:rsidRPr="00EF2F18">
        <w:rPr>
          <w:rFonts w:cs="Times New Roman"/>
          <w:i/>
          <w:iCs/>
          <w:sz w:val="22"/>
          <w:lang w:val="sr-Cyrl-RS"/>
        </w:rPr>
        <w:t>GHG</w:t>
      </w:r>
      <w:r w:rsidRPr="00EF2F18">
        <w:rPr>
          <w:rFonts w:cs="Times New Roman"/>
          <w:sz w:val="22"/>
          <w:lang w:val="sr-Cyrl-RS"/>
        </w:rPr>
        <w:t xml:space="preserve"> оператеру постројења, односно одобрење плана мониторинга </w:t>
      </w:r>
      <w:r w:rsidRPr="00EF2F18">
        <w:rPr>
          <w:rFonts w:cs="Times New Roman"/>
          <w:i/>
          <w:iCs/>
          <w:sz w:val="22"/>
          <w:lang w:val="sr-Cyrl-RS"/>
        </w:rPr>
        <w:t>GHG</w:t>
      </w:r>
      <w:r w:rsidRPr="00EF2F18">
        <w:rPr>
          <w:rFonts w:cs="Times New Roman"/>
          <w:sz w:val="22"/>
          <w:lang w:val="sr-Cyrl-RS"/>
        </w:rPr>
        <w:t xml:space="preserve"> оператеру ваздухоплова.</w:t>
      </w:r>
    </w:p>
    <w:p w14:paraId="10602F1B" w14:textId="6CE6BE76" w:rsidR="004A2277" w:rsidRPr="00EF2F18" w:rsidRDefault="00842BC9" w:rsidP="004A2277">
      <w:pPr>
        <w:spacing w:after="0"/>
        <w:ind w:firstLine="720"/>
        <w:jc w:val="both"/>
        <w:rPr>
          <w:rFonts w:cs="Times New Roman"/>
          <w:sz w:val="22"/>
          <w:lang w:val="sr-Cyrl-RS"/>
        </w:rPr>
      </w:pPr>
      <w:r w:rsidRPr="00EF2F18">
        <w:rPr>
          <w:rFonts w:cs="Times New Roman"/>
          <w:sz w:val="22"/>
          <w:lang w:val="sr-Cyrl-RS"/>
        </w:rPr>
        <w:t xml:space="preserve">Закон о климатским променама, поред надлежности за израду инвентара успоставља комплетан систем за мониторинг емисија </w:t>
      </w:r>
      <w:r w:rsidRPr="00EF2F18">
        <w:rPr>
          <w:rFonts w:cs="Times New Roman"/>
          <w:i/>
          <w:iCs/>
          <w:sz w:val="22"/>
          <w:lang w:val="sr-Cyrl-RS"/>
        </w:rPr>
        <w:t>GHG</w:t>
      </w:r>
      <w:r w:rsidRPr="00EF2F18">
        <w:rPr>
          <w:rFonts w:cs="Times New Roman"/>
          <w:sz w:val="22"/>
          <w:lang w:val="sr-Cyrl-RS"/>
        </w:rPr>
        <w:t xml:space="preserve"> и њихово уклањање путем понора. </w:t>
      </w:r>
      <w:r w:rsidR="00F21B70" w:rsidRPr="00EF2F18">
        <w:rPr>
          <w:rFonts w:cs="Times New Roman"/>
          <w:sz w:val="22"/>
          <w:lang w:val="sr-Cyrl-RS"/>
        </w:rPr>
        <w:t xml:space="preserve">Инвентар гасова са ефектом стаклене баште успостављен је 2012. године на основу Уредбе о методологији прикупљања података за Национални инвентар емисије гасова са ефектом стаклене баште („Службени гласник РС”, број 81/10). Наведеном уредбом је прописан и поступак његовог ажурирања. На основу Националног инвентара </w:t>
      </w:r>
      <w:r w:rsidR="00F21B70" w:rsidRPr="00EF2F18">
        <w:rPr>
          <w:rFonts w:cs="Times New Roman"/>
          <w:i/>
          <w:iCs/>
          <w:sz w:val="22"/>
          <w:lang w:val="sr-Cyrl-RS"/>
        </w:rPr>
        <w:t>GHG</w:t>
      </w:r>
      <w:r w:rsidR="00F21B70" w:rsidRPr="00EF2F18">
        <w:rPr>
          <w:rFonts w:cs="Times New Roman"/>
          <w:sz w:val="22"/>
          <w:lang w:val="sr-Cyrl-RS"/>
        </w:rPr>
        <w:t xml:space="preserve"> израђује се Национални извештај о инвентару </w:t>
      </w:r>
      <w:r w:rsidR="00F21B70" w:rsidRPr="00EF2F18">
        <w:rPr>
          <w:rFonts w:cs="Times New Roman"/>
          <w:i/>
          <w:iCs/>
          <w:sz w:val="22"/>
          <w:lang w:val="sr-Cyrl-RS"/>
        </w:rPr>
        <w:t>GHG</w:t>
      </w:r>
      <w:r w:rsidR="00F21B70" w:rsidRPr="00EF2F18">
        <w:rPr>
          <w:rFonts w:cs="Times New Roman"/>
          <w:sz w:val="22"/>
          <w:lang w:val="sr-Cyrl-RS"/>
        </w:rPr>
        <w:t xml:space="preserve">. </w:t>
      </w:r>
      <w:r w:rsidR="0032105F" w:rsidRPr="00EF2F18">
        <w:rPr>
          <w:rFonts w:cs="Times New Roman"/>
          <w:sz w:val="22"/>
          <w:lang w:val="sr-Cyrl-RS"/>
        </w:rPr>
        <w:t xml:space="preserve">АЗЖС је израдила </w:t>
      </w:r>
      <w:r w:rsidR="0032105F" w:rsidRPr="00EF2F18">
        <w:rPr>
          <w:rFonts w:cs="Times New Roman"/>
          <w:i/>
          <w:iCs/>
          <w:sz w:val="22"/>
          <w:lang w:val="sr-Cyrl-RS"/>
        </w:rPr>
        <w:t>GHG</w:t>
      </w:r>
      <w:r w:rsidR="0032105F" w:rsidRPr="00EF2F18">
        <w:rPr>
          <w:rFonts w:cs="Times New Roman"/>
          <w:sz w:val="22"/>
          <w:lang w:val="sr-Cyrl-RS"/>
        </w:rPr>
        <w:t xml:space="preserve"> инвентаре за период 1990</w:t>
      </w:r>
      <w:r w:rsidR="00A74A0A" w:rsidRPr="00EF2F18">
        <w:rPr>
          <w:rFonts w:cs="Times New Roman"/>
          <w:sz w:val="22"/>
          <w:lang w:val="sr-Cyrl-RS"/>
        </w:rPr>
        <w:t xml:space="preserve"> – </w:t>
      </w:r>
      <w:r w:rsidR="00CE359F" w:rsidRPr="00EF2F18">
        <w:rPr>
          <w:rFonts w:cs="Times New Roman"/>
          <w:sz w:val="22"/>
          <w:lang w:val="sr-Cyrl-RS"/>
        </w:rPr>
        <w:t>2024</w:t>
      </w:r>
      <w:r w:rsidR="0032105F" w:rsidRPr="00EF2F18">
        <w:rPr>
          <w:rFonts w:cs="Times New Roman"/>
          <w:sz w:val="22"/>
          <w:lang w:val="sr-Cyrl-RS"/>
        </w:rPr>
        <w:t>. године.</w:t>
      </w:r>
      <w:r w:rsidR="0014432C" w:rsidRPr="00EF2F18">
        <w:rPr>
          <w:rFonts w:cs="Times New Roman"/>
          <w:sz w:val="22"/>
          <w:lang w:val="sr-Cyrl-RS"/>
        </w:rPr>
        <w:t xml:space="preserve"> </w:t>
      </w:r>
      <w:r w:rsidR="0032105F" w:rsidRPr="00EF2F18">
        <w:rPr>
          <w:rFonts w:cs="Times New Roman"/>
          <w:sz w:val="22"/>
          <w:lang w:val="sr-Cyrl-RS"/>
        </w:rPr>
        <w:t xml:space="preserve">Законом о климатским променама успостављен је систем којим </w:t>
      </w:r>
      <w:r w:rsidR="00095E18" w:rsidRPr="00EF2F18">
        <w:rPr>
          <w:rFonts w:cs="Times New Roman"/>
          <w:sz w:val="22"/>
          <w:lang w:val="sr-Cyrl-RS"/>
        </w:rPr>
        <w:t xml:space="preserve">Агенција за заштиту животне средине </w:t>
      </w:r>
      <w:r w:rsidR="0032105F" w:rsidRPr="00EF2F18">
        <w:rPr>
          <w:rFonts w:cs="Times New Roman"/>
          <w:sz w:val="22"/>
          <w:lang w:val="sr-Cyrl-RS"/>
        </w:rPr>
        <w:t xml:space="preserve">до 31. јула сваке године </w:t>
      </w:r>
      <w:r w:rsidR="00095E18" w:rsidRPr="00EF2F18">
        <w:rPr>
          <w:rFonts w:cs="Times New Roman"/>
          <w:sz w:val="22"/>
          <w:lang w:val="sr-Cyrl-RS"/>
        </w:rPr>
        <w:t xml:space="preserve">израђује </w:t>
      </w:r>
      <w:r w:rsidR="0032105F" w:rsidRPr="00EF2F18">
        <w:rPr>
          <w:rFonts w:cs="Times New Roman"/>
          <w:sz w:val="22"/>
          <w:lang w:val="sr-Cyrl-RS"/>
        </w:rPr>
        <w:t xml:space="preserve">инвентар </w:t>
      </w:r>
      <w:r w:rsidR="0032105F" w:rsidRPr="00EF2F18">
        <w:rPr>
          <w:rFonts w:cs="Times New Roman"/>
          <w:i/>
          <w:iCs/>
          <w:sz w:val="22"/>
          <w:lang w:val="sr-Cyrl-RS"/>
        </w:rPr>
        <w:t>GHG</w:t>
      </w:r>
      <w:r w:rsidR="0032105F" w:rsidRPr="00EF2F18">
        <w:rPr>
          <w:rFonts w:cs="Times New Roman"/>
          <w:sz w:val="22"/>
          <w:lang w:val="sr-Cyrl-RS"/>
        </w:rPr>
        <w:t xml:space="preserve"> са привременим подацима за претходну годину</w:t>
      </w:r>
      <w:r w:rsidR="004A2277" w:rsidRPr="00EF2F18">
        <w:rPr>
          <w:rFonts w:cs="Times New Roman"/>
          <w:sz w:val="22"/>
          <w:lang w:val="sr-Cyrl-RS"/>
        </w:rPr>
        <w:t>.</w:t>
      </w:r>
      <w:r w:rsidR="004A2277" w:rsidRPr="00EF2F18">
        <w:rPr>
          <w:rStyle w:val="FootnoteReference"/>
          <w:rFonts w:cs="Times New Roman"/>
          <w:sz w:val="22"/>
          <w:lang w:val="sr-Cyrl-RS"/>
        </w:rPr>
        <w:footnoteReference w:id="1"/>
      </w:r>
    </w:p>
    <w:bookmarkEnd w:id="27"/>
    <w:p w14:paraId="049D3045" w14:textId="124AFF7A" w:rsidR="005B6009" w:rsidRPr="00EF2F18" w:rsidRDefault="00CE359F"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Агенција за заштиту животне средине редовно ажурира и унапређује Национални </w:t>
      </w:r>
      <w:r w:rsidRPr="00EF2F18">
        <w:rPr>
          <w:rFonts w:cs="Times New Roman"/>
          <w:i/>
          <w:iCs/>
          <w:sz w:val="22"/>
          <w:lang w:val="sr-Cyrl-RS"/>
        </w:rPr>
        <w:t>GHG</w:t>
      </w:r>
      <w:r w:rsidRPr="00EF2F18">
        <w:rPr>
          <w:rFonts w:cs="Times New Roman"/>
          <w:sz w:val="22"/>
          <w:lang w:val="sr-Cyrl-RS"/>
        </w:rPr>
        <w:t xml:space="preserve"> инвентар у складу са доступним подацима и методологијама. У тренутку израде Предлога </w:t>
      </w:r>
      <w:r w:rsidR="00A74A0A" w:rsidRPr="00EF2F18">
        <w:rPr>
          <w:rFonts w:cs="Times New Roman"/>
          <w:sz w:val="22"/>
          <w:lang w:val="sr-Cyrl-RS"/>
        </w:rPr>
        <w:t xml:space="preserve">стратегије </w:t>
      </w:r>
      <w:r w:rsidRPr="00EF2F18">
        <w:rPr>
          <w:rFonts w:cs="Times New Roman"/>
          <w:sz w:val="22"/>
          <w:lang w:val="sr-Cyrl-RS"/>
        </w:rPr>
        <w:t xml:space="preserve">заштите животне средине, укупне емисије </w:t>
      </w:r>
      <w:r w:rsidRPr="00EF2F18">
        <w:rPr>
          <w:rFonts w:cs="Times New Roman"/>
          <w:i/>
          <w:iCs/>
          <w:sz w:val="22"/>
          <w:lang w:val="sr-Cyrl-RS"/>
        </w:rPr>
        <w:t>GHG</w:t>
      </w:r>
      <w:r w:rsidRPr="00EF2F18">
        <w:rPr>
          <w:rFonts w:cs="Times New Roman"/>
          <w:sz w:val="22"/>
          <w:lang w:val="sr-Cyrl-RS"/>
        </w:rPr>
        <w:t xml:space="preserve"> без уклањања путем понора у 2021. години износиле су 61.684 Gg CO</w:t>
      </w:r>
      <w:r w:rsidRPr="00EF2F18">
        <w:rPr>
          <w:rFonts w:cs="Times New Roman"/>
          <w:sz w:val="22"/>
          <w:vertAlign w:val="subscript"/>
          <w:lang w:val="sr-Cyrl-RS"/>
        </w:rPr>
        <w:t>2</w:t>
      </w:r>
      <w:r w:rsidRPr="00EF2F18">
        <w:rPr>
          <w:rFonts w:cs="Times New Roman"/>
          <w:sz w:val="22"/>
          <w:lang w:val="sr-Cyrl-RS"/>
        </w:rPr>
        <w:t>eq, а са уклањањем 57.503 Gg CO</w:t>
      </w:r>
      <w:r w:rsidRPr="00EF2F18">
        <w:rPr>
          <w:rFonts w:cs="Times New Roman"/>
          <w:sz w:val="22"/>
          <w:vertAlign w:val="subscript"/>
          <w:lang w:val="sr-Cyrl-RS"/>
        </w:rPr>
        <w:t>2</w:t>
      </w:r>
      <w:r w:rsidRPr="00EF2F18">
        <w:rPr>
          <w:rFonts w:cs="Times New Roman"/>
          <w:sz w:val="22"/>
          <w:lang w:val="sr-Cyrl-RS"/>
        </w:rPr>
        <w:t xml:space="preserve">eq што је смањење од 2,5% у односу на 2010. годину односно 24,6%, респективно у односу на 1990. годину. Од укупних емисија </w:t>
      </w:r>
      <w:r w:rsidRPr="00EF2F18">
        <w:rPr>
          <w:rFonts w:cs="Times New Roman"/>
          <w:i/>
          <w:iCs/>
          <w:sz w:val="22"/>
          <w:lang w:val="sr-Cyrl-RS"/>
        </w:rPr>
        <w:t>GHG</w:t>
      </w:r>
      <w:r w:rsidRPr="00EF2F18">
        <w:rPr>
          <w:rFonts w:cs="Times New Roman"/>
          <w:sz w:val="22"/>
          <w:lang w:val="sr-Cyrl-RS"/>
        </w:rPr>
        <w:t xml:space="preserve"> 79,8% долазило је из сектора енергетике, 8,2% из сектора индустријских процеса и употребе производа, укључујући производњу и потрошњу минералних сировина (као што су </w:t>
      </w:r>
      <w:r w:rsidRPr="00EF2F18">
        <w:rPr>
          <w:rFonts w:cs="Times New Roman"/>
          <w:sz w:val="22"/>
          <w:lang w:val="sr-Cyrl-RS"/>
        </w:rPr>
        <w:lastRenderedPageBreak/>
        <w:t>цемент, креч, кречњак и натријум карбонат, производња хемикалија, а пре свега производња амонијака, гвожђа и других метала и осталих производа), а 5,2% из сектора управљања отпадом, односно су идентични, а апсолутне вредности незнатно се разликују у 2010. години. У 2021. години угљен-диоксид (CO</w:t>
      </w:r>
      <w:r w:rsidRPr="00EF2F18">
        <w:rPr>
          <w:rFonts w:cs="Times New Roman"/>
          <w:sz w:val="22"/>
          <w:vertAlign w:val="subscript"/>
          <w:lang w:val="sr-Cyrl-RS"/>
        </w:rPr>
        <w:t>2</w:t>
      </w:r>
      <w:r w:rsidRPr="00EF2F18">
        <w:rPr>
          <w:rFonts w:cs="Times New Roman"/>
          <w:sz w:val="22"/>
          <w:lang w:val="sr-Cyrl-RS"/>
        </w:rPr>
        <w:t xml:space="preserve">) чинио је 82,9% укупних емисија </w:t>
      </w:r>
      <w:r w:rsidRPr="00EF2F18">
        <w:rPr>
          <w:rFonts w:cs="Times New Roman"/>
          <w:i/>
          <w:iCs/>
          <w:sz w:val="22"/>
          <w:lang w:val="sr-Cyrl-RS"/>
        </w:rPr>
        <w:t>GHG</w:t>
      </w:r>
      <w:r w:rsidRPr="00EF2F18">
        <w:rPr>
          <w:rFonts w:cs="Times New Roman"/>
          <w:sz w:val="22"/>
          <w:lang w:val="sr-Cyrl-RS"/>
        </w:rPr>
        <w:t>, метан (CH</w:t>
      </w:r>
      <w:r w:rsidRPr="00EF2F18">
        <w:rPr>
          <w:rFonts w:cs="Times New Roman"/>
          <w:sz w:val="22"/>
          <w:vertAlign w:val="subscript"/>
          <w:lang w:val="sr-Cyrl-RS"/>
        </w:rPr>
        <w:t>4</w:t>
      </w:r>
      <w:r w:rsidRPr="00EF2F18">
        <w:rPr>
          <w:rFonts w:cs="Times New Roman"/>
          <w:sz w:val="22"/>
          <w:lang w:val="sr-Cyrl-RS"/>
        </w:rPr>
        <w:t>) 13,5% и азот-субоксид (N</w:t>
      </w:r>
      <w:r w:rsidRPr="00EF2F18">
        <w:rPr>
          <w:rFonts w:cs="Times New Roman"/>
          <w:sz w:val="22"/>
          <w:vertAlign w:val="subscript"/>
          <w:lang w:val="sr-Cyrl-RS"/>
        </w:rPr>
        <w:t>2</w:t>
      </w:r>
      <w:r w:rsidRPr="00EF2F18">
        <w:rPr>
          <w:rFonts w:cs="Times New Roman"/>
          <w:sz w:val="22"/>
          <w:lang w:val="sr-Cyrl-RS"/>
        </w:rPr>
        <w:t>O) 3,3%, а флуоровани угљоводоници (HFCs) и сумпор хексафлуорид (SF</w:t>
      </w:r>
      <w:r w:rsidRPr="00EF2F18">
        <w:rPr>
          <w:rFonts w:cs="Times New Roman"/>
          <w:sz w:val="22"/>
          <w:vertAlign w:val="subscript"/>
          <w:lang w:val="sr-Cyrl-RS"/>
        </w:rPr>
        <w:t>6</w:t>
      </w:r>
      <w:r w:rsidRPr="00EF2F18">
        <w:rPr>
          <w:rFonts w:cs="Times New Roman"/>
          <w:sz w:val="22"/>
          <w:lang w:val="sr-Cyrl-RS"/>
        </w:rPr>
        <w:t>) 0,4%.</w:t>
      </w:r>
    </w:p>
    <w:p w14:paraId="03871278" w14:textId="6228A8B5" w:rsidR="00163D04" w:rsidRPr="00EF2F18" w:rsidRDefault="00163D04" w:rsidP="005B6009">
      <w:pPr>
        <w:autoSpaceDE w:val="0"/>
        <w:autoSpaceDN w:val="0"/>
        <w:adjustRightInd w:val="0"/>
        <w:spacing w:after="0"/>
        <w:ind w:firstLine="720"/>
        <w:jc w:val="both"/>
        <w:rPr>
          <w:rFonts w:cs="Times New Roman"/>
          <w:sz w:val="22"/>
          <w:lang w:val="sr-Cyrl-RS"/>
        </w:rPr>
      </w:pPr>
    </w:p>
    <w:p w14:paraId="784FDD27" w14:textId="77777777" w:rsidR="005556FE" w:rsidRPr="00EF2F18" w:rsidRDefault="005556FE" w:rsidP="005B6009">
      <w:pPr>
        <w:autoSpaceDE w:val="0"/>
        <w:autoSpaceDN w:val="0"/>
        <w:adjustRightInd w:val="0"/>
        <w:spacing w:after="0"/>
        <w:ind w:firstLine="720"/>
        <w:jc w:val="both"/>
        <w:rPr>
          <w:rFonts w:cs="Times New Roman"/>
          <w:sz w:val="22"/>
          <w:lang w:val="sr-Cyrl-RS"/>
        </w:rPr>
      </w:pPr>
    </w:p>
    <w:p w14:paraId="5B00A8C9" w14:textId="5FA10EE1" w:rsidR="005556FE" w:rsidRPr="00EF2F18" w:rsidRDefault="005556FE" w:rsidP="00985E96">
      <w:pPr>
        <w:autoSpaceDE w:val="0"/>
        <w:autoSpaceDN w:val="0"/>
        <w:adjustRightInd w:val="0"/>
        <w:spacing w:after="0"/>
        <w:jc w:val="center"/>
        <w:rPr>
          <w:rFonts w:cs="Times New Roman"/>
          <w:sz w:val="22"/>
          <w:lang w:val="sr-Cyrl-RS"/>
        </w:rPr>
      </w:pPr>
      <w:r w:rsidRPr="00EF2F18">
        <w:rPr>
          <w:rFonts w:cs="Times New Roman"/>
          <w:noProof/>
          <w:sz w:val="22"/>
          <w:lang w:val="sr-Cyrl-RS" w:eastAsia="sr-Cyrl-RS"/>
        </w:rPr>
        <w:drawing>
          <wp:inline distT="0" distB="0" distL="0" distR="0" wp14:anchorId="287BEABC" wp14:editId="5ACB6C35">
            <wp:extent cx="4810125" cy="2554398"/>
            <wp:effectExtent l="0" t="0" r="0" b="0"/>
            <wp:docPr id="2057230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6242" cy="2568267"/>
                    </a:xfrm>
                    <a:prstGeom prst="rect">
                      <a:avLst/>
                    </a:prstGeom>
                    <a:noFill/>
                  </pic:spPr>
                </pic:pic>
              </a:graphicData>
            </a:graphic>
          </wp:inline>
        </w:drawing>
      </w:r>
    </w:p>
    <w:p w14:paraId="42B98007" w14:textId="7C23F677" w:rsidR="005B6009" w:rsidRPr="00EF2F18" w:rsidRDefault="005B6009" w:rsidP="00985E96">
      <w:pPr>
        <w:autoSpaceDE w:val="0"/>
        <w:autoSpaceDN w:val="0"/>
        <w:adjustRightInd w:val="0"/>
        <w:spacing w:after="0"/>
        <w:rPr>
          <w:rFonts w:cs="Times New Roman"/>
          <w:sz w:val="22"/>
          <w:lang w:val="sr-Cyrl-RS"/>
        </w:rPr>
      </w:pPr>
      <w:bookmarkStart w:id="28" w:name="_Hlk147791966"/>
      <w:r w:rsidRPr="00EF2F18">
        <w:rPr>
          <w:rFonts w:cs="Times New Roman"/>
          <w:b/>
          <w:bCs/>
          <w:sz w:val="22"/>
          <w:lang w:val="sr-Cyrl-RS"/>
        </w:rPr>
        <w:t xml:space="preserve">Слика </w:t>
      </w:r>
      <w:r w:rsidR="000409EA" w:rsidRPr="00EF2F18">
        <w:rPr>
          <w:rFonts w:cs="Times New Roman"/>
          <w:b/>
          <w:bCs/>
          <w:sz w:val="22"/>
          <w:lang w:val="sr-Cyrl-RS"/>
        </w:rPr>
        <w:t>3.1.</w:t>
      </w:r>
      <w:r w:rsidRPr="00EF2F18">
        <w:rPr>
          <w:rFonts w:cs="Times New Roman"/>
          <w:sz w:val="22"/>
          <w:lang w:val="sr-Cyrl-RS"/>
        </w:rPr>
        <w:t xml:space="preserve"> Укупне емисије </w:t>
      </w:r>
      <w:r w:rsidRPr="00EF2F18">
        <w:rPr>
          <w:rFonts w:cs="Times New Roman"/>
          <w:i/>
          <w:iCs/>
          <w:sz w:val="22"/>
          <w:lang w:val="sr-Cyrl-RS"/>
        </w:rPr>
        <w:t>GHG</w:t>
      </w:r>
      <w:r w:rsidRPr="00EF2F18">
        <w:rPr>
          <w:rFonts w:cs="Times New Roman"/>
          <w:sz w:val="22"/>
          <w:lang w:val="sr-Cyrl-RS"/>
        </w:rPr>
        <w:t xml:space="preserve"> и допринос сектора у периоду 1990-2021. (Gg CO</w:t>
      </w:r>
      <w:r w:rsidR="006D517C" w:rsidRPr="00EF2F18">
        <w:rPr>
          <w:rFonts w:cs="Times New Roman"/>
          <w:sz w:val="22"/>
          <w:vertAlign w:val="subscript"/>
          <w:lang w:val="sr-Cyrl-RS"/>
        </w:rPr>
        <w:t>2</w:t>
      </w:r>
      <w:r w:rsidR="006D517C" w:rsidRPr="00EF2F18">
        <w:rPr>
          <w:rFonts w:cs="Times New Roman"/>
          <w:sz w:val="22"/>
          <w:lang w:val="sr-Cyrl-RS"/>
        </w:rPr>
        <w:t>eq</w:t>
      </w:r>
      <w:r w:rsidRPr="00EF2F18">
        <w:rPr>
          <w:rFonts w:cs="Times New Roman"/>
          <w:sz w:val="22"/>
          <w:lang w:val="sr-Cyrl-RS"/>
        </w:rPr>
        <w:t>)</w:t>
      </w:r>
    </w:p>
    <w:p w14:paraId="61715D64" w14:textId="640266CD" w:rsidR="005B6009" w:rsidRPr="00EF2F18" w:rsidRDefault="005B6009" w:rsidP="00B34C5E">
      <w:pPr>
        <w:autoSpaceDE w:val="0"/>
        <w:autoSpaceDN w:val="0"/>
        <w:adjustRightInd w:val="0"/>
        <w:spacing w:after="0"/>
        <w:jc w:val="both"/>
        <w:rPr>
          <w:rFonts w:cs="Times New Roman"/>
          <w:i/>
          <w:iCs/>
          <w:sz w:val="22"/>
          <w:lang w:val="sr-Cyrl-RS"/>
        </w:rPr>
      </w:pPr>
      <w:r w:rsidRPr="00EF2F18">
        <w:rPr>
          <w:rFonts w:cs="Times New Roman"/>
          <w:i/>
          <w:iCs/>
          <w:sz w:val="22"/>
          <w:lang w:val="sr-Cyrl-RS"/>
        </w:rPr>
        <w:t>Извор: Трећ</w:t>
      </w:r>
      <w:r w:rsidR="00507756" w:rsidRPr="00EF2F18">
        <w:rPr>
          <w:rFonts w:cs="Times New Roman"/>
          <w:i/>
          <w:iCs/>
          <w:sz w:val="22"/>
          <w:lang w:val="sr-Cyrl-RS"/>
        </w:rPr>
        <w:t>и</w:t>
      </w:r>
      <w:r w:rsidRPr="00EF2F18">
        <w:rPr>
          <w:rFonts w:cs="Times New Roman"/>
          <w:i/>
          <w:iCs/>
          <w:sz w:val="22"/>
          <w:lang w:val="sr-Cyrl-RS"/>
        </w:rPr>
        <w:t xml:space="preserve"> извештај </w:t>
      </w:r>
      <w:r w:rsidR="00201D7A" w:rsidRPr="00EF2F18">
        <w:rPr>
          <w:rFonts w:cs="Times New Roman"/>
          <w:i/>
          <w:iCs/>
          <w:sz w:val="22"/>
          <w:lang w:val="sr-Cyrl-RS"/>
        </w:rPr>
        <w:t xml:space="preserve">Републике Србије </w:t>
      </w:r>
      <w:r w:rsidRPr="00EF2F18">
        <w:rPr>
          <w:rFonts w:cs="Times New Roman"/>
          <w:i/>
          <w:iCs/>
          <w:sz w:val="22"/>
          <w:lang w:val="sr-Cyrl-RS"/>
        </w:rPr>
        <w:t>према UNFCCC</w:t>
      </w:r>
      <w:bookmarkEnd w:id="28"/>
      <w:r w:rsidR="00C4713B" w:rsidRPr="00EF2F18">
        <w:rPr>
          <w:rFonts w:cs="Times New Roman"/>
          <w:i/>
          <w:iCs/>
          <w:sz w:val="22"/>
          <w:lang w:val="sr-Cyrl-RS"/>
        </w:rPr>
        <w:t>, 2024.</w:t>
      </w:r>
      <w:r w:rsidRPr="00EF2F18">
        <w:rPr>
          <w:rFonts w:cs="Times New Roman"/>
          <w:i/>
          <w:iCs/>
          <w:sz w:val="22"/>
          <w:lang w:val="sr-Cyrl-RS"/>
        </w:rPr>
        <w:t xml:space="preserve"> </w:t>
      </w:r>
    </w:p>
    <w:p w14:paraId="55189ECB" w14:textId="77777777" w:rsidR="005B6009" w:rsidRPr="00EF2F18" w:rsidRDefault="005B6009" w:rsidP="005B6009">
      <w:pPr>
        <w:autoSpaceDE w:val="0"/>
        <w:autoSpaceDN w:val="0"/>
        <w:adjustRightInd w:val="0"/>
        <w:spacing w:after="0"/>
        <w:ind w:firstLine="720"/>
        <w:jc w:val="both"/>
        <w:rPr>
          <w:rFonts w:cs="Times New Roman"/>
          <w:sz w:val="22"/>
          <w:lang w:val="sr-Cyrl-RS"/>
        </w:rPr>
      </w:pPr>
    </w:p>
    <w:p w14:paraId="2C90A6F1" w14:textId="27659216" w:rsidR="005B6009" w:rsidRPr="00EF2F18" w:rsidRDefault="005556FE" w:rsidP="00B34C5E">
      <w:pPr>
        <w:autoSpaceDE w:val="0"/>
        <w:autoSpaceDN w:val="0"/>
        <w:adjustRightInd w:val="0"/>
        <w:spacing w:after="0"/>
        <w:jc w:val="center"/>
        <w:rPr>
          <w:rFonts w:cs="Times New Roman"/>
          <w:sz w:val="22"/>
          <w:lang w:val="sr-Cyrl-RS"/>
        </w:rPr>
      </w:pPr>
      <w:r w:rsidRPr="00EF2F18">
        <w:rPr>
          <w:rFonts w:cs="Times New Roman"/>
          <w:noProof/>
          <w:sz w:val="22"/>
          <w:lang w:val="sr-Cyrl-RS" w:eastAsia="sr-Cyrl-RS"/>
        </w:rPr>
        <w:drawing>
          <wp:inline distT="0" distB="0" distL="0" distR="0" wp14:anchorId="188F0281" wp14:editId="149FEBD0">
            <wp:extent cx="4733925" cy="2643171"/>
            <wp:effectExtent l="0" t="0" r="0" b="5080"/>
            <wp:docPr id="5073646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4409" cy="2649025"/>
                    </a:xfrm>
                    <a:prstGeom prst="rect">
                      <a:avLst/>
                    </a:prstGeom>
                    <a:noFill/>
                  </pic:spPr>
                </pic:pic>
              </a:graphicData>
            </a:graphic>
          </wp:inline>
        </w:drawing>
      </w:r>
    </w:p>
    <w:p w14:paraId="5FF55E6D" w14:textId="23129E1C" w:rsidR="005B6009" w:rsidRPr="00EF2F18" w:rsidRDefault="005B6009" w:rsidP="00B34C5E">
      <w:pPr>
        <w:autoSpaceDE w:val="0"/>
        <w:autoSpaceDN w:val="0"/>
        <w:adjustRightInd w:val="0"/>
        <w:spacing w:after="0"/>
        <w:jc w:val="both"/>
        <w:rPr>
          <w:rFonts w:cs="Times New Roman"/>
          <w:sz w:val="22"/>
          <w:lang w:val="sr-Cyrl-RS"/>
        </w:rPr>
      </w:pPr>
      <w:bookmarkStart w:id="29" w:name="_Hlk147791987"/>
      <w:r w:rsidRPr="00EF2F18">
        <w:rPr>
          <w:rFonts w:cs="Times New Roman"/>
          <w:b/>
          <w:bCs/>
          <w:sz w:val="22"/>
          <w:lang w:val="sr-Cyrl-RS"/>
        </w:rPr>
        <w:t xml:space="preserve">Слика </w:t>
      </w:r>
      <w:r w:rsidR="000409EA" w:rsidRPr="00EF2F18">
        <w:rPr>
          <w:rFonts w:cs="Times New Roman"/>
          <w:b/>
          <w:bCs/>
          <w:sz w:val="22"/>
          <w:lang w:val="sr-Cyrl-RS"/>
        </w:rPr>
        <w:t>3.2.</w:t>
      </w:r>
      <w:r w:rsidRPr="00EF2F18">
        <w:rPr>
          <w:rFonts w:cs="Times New Roman"/>
          <w:sz w:val="22"/>
          <w:lang w:val="sr-Cyrl-RS"/>
        </w:rPr>
        <w:t xml:space="preserve"> Укупне емисије </w:t>
      </w:r>
      <w:r w:rsidRPr="00EF2F18">
        <w:rPr>
          <w:rFonts w:cs="Times New Roman"/>
          <w:i/>
          <w:iCs/>
          <w:sz w:val="22"/>
          <w:lang w:val="sr-Cyrl-RS"/>
        </w:rPr>
        <w:t>GHG</w:t>
      </w:r>
      <w:r w:rsidRPr="00EF2F18">
        <w:rPr>
          <w:rFonts w:cs="Times New Roman"/>
          <w:sz w:val="22"/>
          <w:lang w:val="sr-Cyrl-RS"/>
        </w:rPr>
        <w:t xml:space="preserve"> и удели гасова у периоду 1990-2021. година (Gg CO</w:t>
      </w:r>
      <w:r w:rsidRPr="00EF2F18">
        <w:rPr>
          <w:rFonts w:cs="Times New Roman"/>
          <w:sz w:val="22"/>
          <w:vertAlign w:val="subscript"/>
          <w:lang w:val="sr-Cyrl-RS"/>
        </w:rPr>
        <w:t>2</w:t>
      </w:r>
      <w:r w:rsidRPr="00EF2F18">
        <w:rPr>
          <w:rFonts w:cs="Times New Roman"/>
          <w:sz w:val="22"/>
          <w:lang w:val="sr-Cyrl-RS"/>
        </w:rPr>
        <w:t>eq)</w:t>
      </w:r>
    </w:p>
    <w:p w14:paraId="633458F5" w14:textId="2F52BB2A" w:rsidR="005B6009" w:rsidRPr="00EF2F18" w:rsidRDefault="005B6009" w:rsidP="00B34C5E">
      <w:pPr>
        <w:autoSpaceDE w:val="0"/>
        <w:autoSpaceDN w:val="0"/>
        <w:adjustRightInd w:val="0"/>
        <w:spacing w:after="0"/>
        <w:jc w:val="both"/>
        <w:rPr>
          <w:rFonts w:cs="Times New Roman"/>
          <w:i/>
          <w:iCs/>
          <w:sz w:val="22"/>
          <w:lang w:val="sr-Cyrl-RS"/>
        </w:rPr>
      </w:pPr>
      <w:r w:rsidRPr="00EF2F18">
        <w:rPr>
          <w:rFonts w:cs="Times New Roman"/>
          <w:i/>
          <w:iCs/>
          <w:sz w:val="22"/>
          <w:lang w:val="sr-Cyrl-RS"/>
        </w:rPr>
        <w:t>Извор: Тре</w:t>
      </w:r>
      <w:r w:rsidR="005556FE" w:rsidRPr="00EF2F18">
        <w:rPr>
          <w:rFonts w:cs="Times New Roman"/>
          <w:i/>
          <w:iCs/>
          <w:sz w:val="22"/>
          <w:lang w:val="sr-Cyrl-RS"/>
        </w:rPr>
        <w:t>ћи</w:t>
      </w:r>
      <w:r w:rsidRPr="00EF2F18">
        <w:rPr>
          <w:rFonts w:cs="Times New Roman"/>
          <w:i/>
          <w:iCs/>
          <w:sz w:val="22"/>
          <w:lang w:val="sr-Cyrl-RS"/>
        </w:rPr>
        <w:t xml:space="preserve"> извештај</w:t>
      </w:r>
      <w:r w:rsidR="00201D7A" w:rsidRPr="00EF2F18">
        <w:rPr>
          <w:rFonts w:cs="Times New Roman"/>
          <w:i/>
          <w:iCs/>
          <w:sz w:val="22"/>
          <w:lang w:val="sr-Cyrl-RS"/>
        </w:rPr>
        <w:t xml:space="preserve"> Републике Србије</w:t>
      </w:r>
      <w:r w:rsidRPr="00EF2F18">
        <w:rPr>
          <w:rFonts w:cs="Times New Roman"/>
          <w:i/>
          <w:iCs/>
          <w:sz w:val="22"/>
          <w:lang w:val="sr-Cyrl-RS"/>
        </w:rPr>
        <w:t xml:space="preserve"> према UNFCCC</w:t>
      </w:r>
      <w:r w:rsidR="00C4713B" w:rsidRPr="00EF2F18">
        <w:rPr>
          <w:rFonts w:cs="Times New Roman"/>
          <w:i/>
          <w:iCs/>
          <w:sz w:val="22"/>
          <w:lang w:val="sr-Cyrl-RS"/>
        </w:rPr>
        <w:t>, 2024.</w:t>
      </w:r>
      <w:r w:rsidRPr="00EF2F18">
        <w:rPr>
          <w:rFonts w:cs="Times New Roman"/>
          <w:i/>
          <w:iCs/>
          <w:sz w:val="22"/>
          <w:lang w:val="sr-Cyrl-RS"/>
        </w:rPr>
        <w:t xml:space="preserve"> </w:t>
      </w:r>
    </w:p>
    <w:bookmarkEnd w:id="29"/>
    <w:p w14:paraId="6A459547" w14:textId="77777777" w:rsidR="005B6009" w:rsidRPr="00EF2F18" w:rsidRDefault="005B6009" w:rsidP="005B6009">
      <w:pPr>
        <w:autoSpaceDE w:val="0"/>
        <w:autoSpaceDN w:val="0"/>
        <w:adjustRightInd w:val="0"/>
        <w:spacing w:after="0"/>
        <w:ind w:firstLine="720"/>
        <w:jc w:val="both"/>
        <w:rPr>
          <w:rFonts w:cs="Times New Roman"/>
          <w:sz w:val="22"/>
          <w:lang w:val="sr-Cyrl-RS"/>
        </w:rPr>
      </w:pPr>
    </w:p>
    <w:p w14:paraId="0A7CC2AD" w14:textId="466187B1" w:rsidR="005B6009"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Као и у скоро свим земљама света, и у Републици Србији, енергетски сектор (укључујући и саобраћај) je највећи емитер гасова са ефектом стаклене баште који представља 49 197 Gg CO</w:t>
      </w:r>
      <w:r w:rsidR="006D517C" w:rsidRPr="00EF2F18">
        <w:rPr>
          <w:rFonts w:cs="Times New Roman"/>
          <w:sz w:val="22"/>
          <w:vertAlign w:val="subscript"/>
          <w:lang w:val="sr-Cyrl-RS"/>
        </w:rPr>
        <w:t>2</w:t>
      </w:r>
      <w:r w:rsidR="006D517C" w:rsidRPr="00EF2F18">
        <w:rPr>
          <w:rFonts w:cs="Times New Roman"/>
          <w:sz w:val="22"/>
          <w:lang w:val="sr-Cyrl-RS"/>
        </w:rPr>
        <w:t>eq</w:t>
      </w:r>
      <w:r w:rsidRPr="00EF2F18">
        <w:rPr>
          <w:rFonts w:cs="Times New Roman"/>
          <w:sz w:val="22"/>
          <w:lang w:val="sr-Cyrl-RS"/>
        </w:rPr>
        <w:t xml:space="preserve">, односно 79,8% укупних емисија у 2021. години и за 2,1% мање од оних 2010. године. У оквиру Енергетског сектора 95,6% емисија емитовано је у подсектору: Активности сагоревања горива, од чега 70,1% из енергетских индустрија, 9,0% из производних индустрија и грађевинарства, 13,8% из саобраћаја и 7,1% из осталих сектора. </w:t>
      </w:r>
    </w:p>
    <w:p w14:paraId="6F452051" w14:textId="1FD31135" w:rsidR="005B6009" w:rsidRPr="00EF2F18" w:rsidRDefault="005556FE" w:rsidP="00B34C5E">
      <w:pPr>
        <w:autoSpaceDE w:val="0"/>
        <w:autoSpaceDN w:val="0"/>
        <w:adjustRightInd w:val="0"/>
        <w:spacing w:after="0"/>
        <w:jc w:val="center"/>
        <w:rPr>
          <w:rFonts w:cs="Times New Roman"/>
          <w:sz w:val="22"/>
          <w:lang w:val="sr-Cyrl-RS"/>
        </w:rPr>
      </w:pPr>
      <w:r w:rsidRPr="00EF2F18">
        <w:rPr>
          <w:rFonts w:cs="Times New Roman"/>
          <w:noProof/>
          <w:sz w:val="22"/>
          <w:lang w:val="sr-Cyrl-RS" w:eastAsia="sr-Cyrl-RS"/>
        </w:rPr>
        <w:lastRenderedPageBreak/>
        <w:drawing>
          <wp:inline distT="0" distB="0" distL="0" distR="0" wp14:anchorId="6061BE94" wp14:editId="584EE0FE">
            <wp:extent cx="4838700" cy="2672728"/>
            <wp:effectExtent l="0" t="0" r="0" b="0"/>
            <wp:docPr id="1830053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47566" cy="2677625"/>
                    </a:xfrm>
                    <a:prstGeom prst="rect">
                      <a:avLst/>
                    </a:prstGeom>
                    <a:noFill/>
                  </pic:spPr>
                </pic:pic>
              </a:graphicData>
            </a:graphic>
          </wp:inline>
        </w:drawing>
      </w:r>
    </w:p>
    <w:p w14:paraId="49F5A97A" w14:textId="06B8127E" w:rsidR="005B6009" w:rsidRPr="00EF2F18" w:rsidRDefault="005B6009" w:rsidP="00B34C5E">
      <w:pPr>
        <w:autoSpaceDE w:val="0"/>
        <w:autoSpaceDN w:val="0"/>
        <w:adjustRightInd w:val="0"/>
        <w:spacing w:after="0"/>
        <w:jc w:val="both"/>
        <w:rPr>
          <w:rFonts w:cs="Times New Roman"/>
          <w:sz w:val="22"/>
          <w:lang w:val="sr-Cyrl-RS"/>
        </w:rPr>
      </w:pPr>
      <w:bookmarkStart w:id="30" w:name="_Hlk147792005"/>
      <w:r w:rsidRPr="00EF2F18">
        <w:rPr>
          <w:rFonts w:cs="Times New Roman"/>
          <w:b/>
          <w:bCs/>
          <w:sz w:val="22"/>
          <w:lang w:val="sr-Cyrl-RS"/>
        </w:rPr>
        <w:t xml:space="preserve">Слика </w:t>
      </w:r>
      <w:r w:rsidR="000409EA" w:rsidRPr="00EF2F18">
        <w:rPr>
          <w:rFonts w:cs="Times New Roman"/>
          <w:b/>
          <w:bCs/>
          <w:sz w:val="22"/>
          <w:lang w:val="sr-Cyrl-RS"/>
        </w:rPr>
        <w:t>3.3.</w:t>
      </w:r>
      <w:r w:rsidRPr="00EF2F18">
        <w:rPr>
          <w:rFonts w:cs="Times New Roman"/>
          <w:sz w:val="22"/>
          <w:lang w:val="sr-Cyrl-RS"/>
        </w:rPr>
        <w:t xml:space="preserve"> Емисије </w:t>
      </w:r>
      <w:r w:rsidRPr="00EF2F18">
        <w:rPr>
          <w:rFonts w:cs="Times New Roman"/>
          <w:i/>
          <w:iCs/>
          <w:sz w:val="22"/>
          <w:lang w:val="sr-Cyrl-RS"/>
        </w:rPr>
        <w:t>GHG</w:t>
      </w:r>
      <w:r w:rsidRPr="00EF2F18">
        <w:rPr>
          <w:rFonts w:cs="Times New Roman"/>
          <w:sz w:val="22"/>
          <w:lang w:val="sr-Cyrl-RS"/>
        </w:rPr>
        <w:t xml:space="preserve"> из </w:t>
      </w:r>
      <w:r w:rsidR="005556FE" w:rsidRPr="00EF2F18">
        <w:rPr>
          <w:rFonts w:cs="Times New Roman"/>
          <w:sz w:val="22"/>
          <w:lang w:val="sr-Cyrl-RS"/>
        </w:rPr>
        <w:t>а</w:t>
      </w:r>
      <w:r w:rsidRPr="00EF2F18">
        <w:rPr>
          <w:rFonts w:cs="Times New Roman"/>
          <w:sz w:val="22"/>
          <w:lang w:val="sr-Cyrl-RS"/>
        </w:rPr>
        <w:t xml:space="preserve">ктивности сагоревања горива </w:t>
      </w:r>
      <w:r w:rsidR="005556FE" w:rsidRPr="00EF2F18">
        <w:rPr>
          <w:rFonts w:cs="Times New Roman"/>
          <w:sz w:val="22"/>
          <w:lang w:val="sr-Cyrl-RS"/>
        </w:rPr>
        <w:t>(</w:t>
      </w:r>
      <w:r w:rsidRPr="00EF2F18">
        <w:rPr>
          <w:rFonts w:cs="Times New Roman"/>
          <w:sz w:val="22"/>
          <w:lang w:val="sr-Cyrl-RS"/>
        </w:rPr>
        <w:t>Gg CO</w:t>
      </w:r>
      <w:r w:rsidRPr="00EF2F18">
        <w:rPr>
          <w:rFonts w:cs="Times New Roman"/>
          <w:sz w:val="22"/>
          <w:vertAlign w:val="subscript"/>
          <w:lang w:val="sr-Cyrl-RS"/>
        </w:rPr>
        <w:t>2</w:t>
      </w:r>
      <w:r w:rsidRPr="00EF2F18">
        <w:rPr>
          <w:rFonts w:cs="Times New Roman"/>
          <w:sz w:val="22"/>
          <w:lang w:val="sr-Cyrl-RS"/>
        </w:rPr>
        <w:t>eq</w:t>
      </w:r>
      <w:r w:rsidR="005556FE" w:rsidRPr="00EF2F18">
        <w:rPr>
          <w:rFonts w:cs="Times New Roman"/>
          <w:sz w:val="22"/>
          <w:lang w:val="sr-Cyrl-RS"/>
        </w:rPr>
        <w:t>)</w:t>
      </w:r>
    </w:p>
    <w:p w14:paraId="70739671" w14:textId="21F97908" w:rsidR="005B6009" w:rsidRPr="00EF2F18" w:rsidRDefault="005B6009" w:rsidP="00B34C5E">
      <w:pPr>
        <w:autoSpaceDE w:val="0"/>
        <w:autoSpaceDN w:val="0"/>
        <w:adjustRightInd w:val="0"/>
        <w:spacing w:after="0"/>
        <w:jc w:val="both"/>
        <w:rPr>
          <w:rFonts w:cs="Times New Roman"/>
          <w:i/>
          <w:iCs/>
          <w:sz w:val="22"/>
          <w:lang w:val="sr-Cyrl-RS"/>
        </w:rPr>
      </w:pPr>
      <w:r w:rsidRPr="00EF2F18">
        <w:rPr>
          <w:rFonts w:cs="Times New Roman"/>
          <w:i/>
          <w:iCs/>
          <w:sz w:val="22"/>
          <w:lang w:val="sr-Cyrl-RS"/>
        </w:rPr>
        <w:t>Извор: Трећ</w:t>
      </w:r>
      <w:r w:rsidR="005556FE" w:rsidRPr="00EF2F18">
        <w:rPr>
          <w:rFonts w:cs="Times New Roman"/>
          <w:i/>
          <w:iCs/>
          <w:sz w:val="22"/>
          <w:lang w:val="sr-Cyrl-RS"/>
        </w:rPr>
        <w:t>и</w:t>
      </w:r>
      <w:r w:rsidRPr="00EF2F18">
        <w:rPr>
          <w:rFonts w:cs="Times New Roman"/>
          <w:i/>
          <w:iCs/>
          <w:sz w:val="22"/>
          <w:lang w:val="sr-Cyrl-RS"/>
        </w:rPr>
        <w:t xml:space="preserve"> извештај</w:t>
      </w:r>
      <w:r w:rsidR="00201D7A" w:rsidRPr="00EF2F18">
        <w:rPr>
          <w:rFonts w:cs="Times New Roman"/>
          <w:i/>
          <w:iCs/>
          <w:sz w:val="22"/>
          <w:lang w:val="sr-Cyrl-RS"/>
        </w:rPr>
        <w:t xml:space="preserve"> Републике Србије</w:t>
      </w:r>
      <w:r w:rsidRPr="00EF2F18">
        <w:rPr>
          <w:rFonts w:cs="Times New Roman"/>
          <w:i/>
          <w:iCs/>
          <w:sz w:val="22"/>
          <w:lang w:val="sr-Cyrl-RS"/>
        </w:rPr>
        <w:t xml:space="preserve"> према UNFCCC</w:t>
      </w:r>
      <w:r w:rsidR="00C4713B" w:rsidRPr="00EF2F18">
        <w:rPr>
          <w:rFonts w:cs="Times New Roman"/>
          <w:i/>
          <w:iCs/>
          <w:sz w:val="22"/>
          <w:lang w:val="sr-Cyrl-RS"/>
        </w:rPr>
        <w:t>, 2024.</w:t>
      </w:r>
      <w:r w:rsidRPr="00EF2F18">
        <w:rPr>
          <w:rFonts w:cs="Times New Roman"/>
          <w:i/>
          <w:iCs/>
          <w:sz w:val="22"/>
          <w:lang w:val="sr-Cyrl-RS"/>
        </w:rPr>
        <w:t xml:space="preserve"> </w:t>
      </w:r>
    </w:p>
    <w:bookmarkEnd w:id="30"/>
    <w:p w14:paraId="1D5F6730" w14:textId="77777777" w:rsidR="005B6009" w:rsidRPr="00EF2F18" w:rsidRDefault="005B6009" w:rsidP="005B6009">
      <w:pPr>
        <w:autoSpaceDE w:val="0"/>
        <w:autoSpaceDN w:val="0"/>
        <w:adjustRightInd w:val="0"/>
        <w:spacing w:after="0"/>
        <w:ind w:firstLine="720"/>
        <w:jc w:val="both"/>
        <w:rPr>
          <w:rFonts w:cs="Times New Roman"/>
          <w:sz w:val="22"/>
          <w:lang w:val="sr-Cyrl-RS"/>
        </w:rPr>
      </w:pPr>
    </w:p>
    <w:p w14:paraId="27D3521A" w14:textId="65A13127" w:rsidR="00EA2AC2" w:rsidRPr="00EF2F18" w:rsidRDefault="00EA2AC2" w:rsidP="00EA2AC2">
      <w:pPr>
        <w:spacing w:after="0"/>
        <w:ind w:firstLine="720"/>
        <w:jc w:val="both"/>
        <w:rPr>
          <w:rStyle w:val="cf01"/>
          <w:rFonts w:ascii="Times New Roman" w:hAnsi="Times New Roman" w:cs="Times New Roman"/>
          <w:sz w:val="22"/>
          <w:lang w:val="sr-Cyrl-RS"/>
        </w:rPr>
      </w:pPr>
      <w:r w:rsidRPr="00EF2F18">
        <w:rPr>
          <w:rStyle w:val="cf01"/>
          <w:rFonts w:cs="Times New Roman"/>
          <w:sz w:val="22"/>
          <w:lang w:val="sr-Cyrl-RS"/>
        </w:rPr>
        <w:t xml:space="preserve">У </w:t>
      </w:r>
      <w:r w:rsidRPr="00EF2F18">
        <w:rPr>
          <w:rStyle w:val="cf01"/>
          <w:rFonts w:ascii="Times New Roman" w:hAnsi="Times New Roman" w:cs="Times New Roman"/>
          <w:sz w:val="22"/>
          <w:lang w:val="sr-Cyrl-RS"/>
        </w:rPr>
        <w:t>периоду 2010-202</w:t>
      </w:r>
      <w:r w:rsidR="00313324" w:rsidRPr="00EF2F18">
        <w:rPr>
          <w:rStyle w:val="cf01"/>
          <w:rFonts w:ascii="Times New Roman" w:hAnsi="Times New Roman" w:cs="Times New Roman"/>
          <w:sz w:val="22"/>
          <w:lang w:val="sr-Cyrl-RS"/>
        </w:rPr>
        <w:t>1</w:t>
      </w:r>
      <w:r w:rsidRPr="00EF2F18">
        <w:rPr>
          <w:rStyle w:val="cf01"/>
          <w:rFonts w:ascii="Times New Roman" w:hAnsi="Times New Roman" w:cs="Times New Roman"/>
          <w:sz w:val="22"/>
          <w:lang w:val="sr-Cyrl-RS"/>
        </w:rPr>
        <w:t>. године удео обновљивих извора енергије и повећање енергетске ефикасности показује константан тренд раста</w:t>
      </w:r>
      <w:r w:rsidR="005556FE" w:rsidRPr="00EF2F18">
        <w:rPr>
          <w:rStyle w:val="cf01"/>
          <w:rFonts w:ascii="Times New Roman" w:hAnsi="Times New Roman" w:cs="Times New Roman"/>
          <w:sz w:val="22"/>
          <w:lang w:val="sr-Cyrl-RS"/>
        </w:rPr>
        <w:t xml:space="preserve">, што је у складу са циљевима Енергетске заједнице и </w:t>
      </w:r>
      <w:r w:rsidRPr="00EF2F18">
        <w:rPr>
          <w:rStyle w:val="cf01"/>
          <w:rFonts w:ascii="Times New Roman" w:hAnsi="Times New Roman" w:cs="Times New Roman"/>
          <w:sz w:val="22"/>
          <w:lang w:val="sr-Cyrl-RS"/>
        </w:rPr>
        <w:t>мерама и активностима предвиђеним у Стратегији нискоугљеничног развоја и Интегрисано</w:t>
      </w:r>
      <w:r w:rsidR="00C2742B" w:rsidRPr="00EF2F18">
        <w:rPr>
          <w:rStyle w:val="cf01"/>
          <w:rFonts w:ascii="Times New Roman" w:hAnsi="Times New Roman" w:cs="Times New Roman"/>
          <w:sz w:val="22"/>
          <w:lang w:val="sr-Cyrl-RS"/>
        </w:rPr>
        <w:t>м</w:t>
      </w:r>
      <w:r w:rsidRPr="00EF2F18">
        <w:rPr>
          <w:rStyle w:val="cf01"/>
          <w:rFonts w:ascii="Times New Roman" w:hAnsi="Times New Roman" w:cs="Times New Roman"/>
          <w:sz w:val="22"/>
          <w:lang w:val="sr-Cyrl-RS"/>
        </w:rPr>
        <w:t xml:space="preserve"> </w:t>
      </w:r>
      <w:r w:rsidR="00C2742B" w:rsidRPr="00EF2F18">
        <w:rPr>
          <w:rStyle w:val="cf01"/>
          <w:rFonts w:ascii="Times New Roman" w:hAnsi="Times New Roman" w:cs="Times New Roman"/>
          <w:sz w:val="22"/>
          <w:lang w:val="sr-Cyrl-RS"/>
        </w:rPr>
        <w:t xml:space="preserve">националном </w:t>
      </w:r>
      <w:r w:rsidRPr="00EF2F18">
        <w:rPr>
          <w:rStyle w:val="cf01"/>
          <w:rFonts w:ascii="Times New Roman" w:hAnsi="Times New Roman" w:cs="Times New Roman"/>
          <w:sz w:val="22"/>
          <w:lang w:val="sr-Cyrl-RS"/>
        </w:rPr>
        <w:t>енергетскo</w:t>
      </w:r>
      <w:r w:rsidR="00C2742B" w:rsidRPr="00EF2F18">
        <w:rPr>
          <w:rStyle w:val="cf01"/>
          <w:rFonts w:ascii="Times New Roman" w:hAnsi="Times New Roman" w:cs="Times New Roman"/>
          <w:sz w:val="22"/>
          <w:lang w:val="sr-Cyrl-RS"/>
        </w:rPr>
        <w:t>м</w:t>
      </w:r>
      <w:r w:rsidRPr="00EF2F18">
        <w:rPr>
          <w:rStyle w:val="cf01"/>
          <w:rFonts w:ascii="Times New Roman" w:hAnsi="Times New Roman" w:cs="Times New Roman"/>
          <w:sz w:val="22"/>
          <w:lang w:val="sr-Cyrl-RS"/>
        </w:rPr>
        <w:t xml:space="preserve"> и климатскo</w:t>
      </w:r>
      <w:r w:rsidR="00C2742B" w:rsidRPr="00EF2F18">
        <w:rPr>
          <w:rStyle w:val="cf01"/>
          <w:rFonts w:ascii="Times New Roman" w:hAnsi="Times New Roman" w:cs="Times New Roman"/>
          <w:sz w:val="22"/>
          <w:lang w:val="sr-Cyrl-RS"/>
        </w:rPr>
        <w:t>м</w:t>
      </w:r>
      <w:r w:rsidRPr="00EF2F18">
        <w:rPr>
          <w:rStyle w:val="cf01"/>
          <w:rFonts w:ascii="Times New Roman" w:hAnsi="Times New Roman" w:cs="Times New Roman"/>
          <w:sz w:val="22"/>
          <w:lang w:val="sr-Cyrl-RS"/>
        </w:rPr>
        <w:t xml:space="preserve"> план</w:t>
      </w:r>
      <w:r w:rsidR="00C2742B" w:rsidRPr="00EF2F18">
        <w:rPr>
          <w:rStyle w:val="cf01"/>
          <w:rFonts w:ascii="Times New Roman" w:hAnsi="Times New Roman" w:cs="Times New Roman"/>
          <w:sz w:val="22"/>
          <w:lang w:val="sr-Cyrl-RS"/>
        </w:rPr>
        <w:t>у</w:t>
      </w:r>
      <w:r w:rsidRPr="00EF2F18">
        <w:rPr>
          <w:rStyle w:val="cf01"/>
          <w:rFonts w:ascii="Times New Roman" w:hAnsi="Times New Roman" w:cs="Times New Roman"/>
          <w:sz w:val="22"/>
          <w:lang w:val="sr-Cyrl-RS"/>
        </w:rPr>
        <w:t xml:space="preserve"> Републике Србије за период до 2030. године са </w:t>
      </w:r>
      <w:r w:rsidR="00902EDC" w:rsidRPr="00EF2F18">
        <w:rPr>
          <w:rStyle w:val="cf01"/>
          <w:rFonts w:ascii="Times New Roman" w:hAnsi="Times New Roman" w:cs="Times New Roman"/>
          <w:sz w:val="22"/>
          <w:lang w:val="sr-Cyrl-RS"/>
        </w:rPr>
        <w:t>визијом</w:t>
      </w:r>
      <w:r w:rsidR="00E57E25" w:rsidRPr="00EF2F18">
        <w:rPr>
          <w:rStyle w:val="cf01"/>
          <w:rFonts w:ascii="Times New Roman" w:hAnsi="Times New Roman" w:cs="Times New Roman"/>
          <w:sz w:val="22"/>
          <w:lang w:val="sr-Cyrl-RS"/>
        </w:rPr>
        <w:t xml:space="preserve"> </w:t>
      </w:r>
      <w:r w:rsidRPr="00EF2F18">
        <w:rPr>
          <w:rStyle w:val="cf01"/>
          <w:rFonts w:ascii="Times New Roman" w:hAnsi="Times New Roman" w:cs="Times New Roman"/>
          <w:sz w:val="22"/>
          <w:lang w:val="sr-Cyrl-RS"/>
        </w:rPr>
        <w:t>до 2050. године.</w:t>
      </w:r>
      <w:r w:rsidR="002A0A6D" w:rsidRPr="00EF2F18">
        <w:rPr>
          <w:lang w:val="sr-Cyrl-RS"/>
        </w:rPr>
        <w:t xml:space="preserve"> </w:t>
      </w:r>
    </w:p>
    <w:p w14:paraId="71017AE5" w14:textId="3BD13A95" w:rsidR="00EA2AC2" w:rsidRPr="00EF2F18" w:rsidRDefault="00466CC0" w:rsidP="00EA2AC2">
      <w:pPr>
        <w:autoSpaceDE w:val="0"/>
        <w:autoSpaceDN w:val="0"/>
        <w:adjustRightInd w:val="0"/>
        <w:spacing w:after="0"/>
        <w:ind w:firstLine="720"/>
        <w:jc w:val="both"/>
        <w:rPr>
          <w:rFonts w:cs="Times New Roman"/>
          <w:sz w:val="22"/>
          <w:lang w:val="sr-Cyrl-RS"/>
        </w:rPr>
      </w:pPr>
      <w:r w:rsidRPr="00EF2F18">
        <w:rPr>
          <w:rFonts w:cs="Times New Roman"/>
          <w:sz w:val="22"/>
          <w:lang w:val="sr-Cyrl-RS" w:bidi="sr-Cyrl-CS"/>
        </w:rPr>
        <w:t>Удео ОИЕ у бруто финалној потрошњи енергије Републике Србије повећан је са 19,7% у 2010. години на 26,3% у 2020. години. Гледано по секторима потрошње, удео ОИЕ у потрошњи електричне енергије повећан је са 28,18% у 2010. години на 30,7% у 2020. години, у сектору грејања и хлађења повећан је са 23,2% у 2010. години на 35,68% у 2020. години, док је у саобраћају удео повећан са 0,67% у 2010. години на 1,17% у 2020. години.</w:t>
      </w:r>
      <w:r w:rsidR="00EA2AC2" w:rsidRPr="00EF2F18">
        <w:rPr>
          <w:rFonts w:cs="Times New Roman"/>
          <w:sz w:val="22"/>
          <w:lang w:val="sr-Cyrl-RS"/>
        </w:rPr>
        <w:t xml:space="preserve"> </w:t>
      </w:r>
    </w:p>
    <w:p w14:paraId="60D4A005" w14:textId="0E85B3F4" w:rsidR="00EA2AC2" w:rsidRPr="00EF2F18" w:rsidRDefault="00EA2AC2" w:rsidP="00F30E49">
      <w:pPr>
        <w:autoSpaceDE w:val="0"/>
        <w:autoSpaceDN w:val="0"/>
        <w:adjustRightInd w:val="0"/>
        <w:spacing w:after="0"/>
        <w:ind w:firstLine="720"/>
        <w:jc w:val="both"/>
        <w:rPr>
          <w:rFonts w:cs="Times New Roman"/>
          <w:sz w:val="22"/>
          <w:lang w:val="sr-Cyrl-RS"/>
        </w:rPr>
      </w:pPr>
      <w:r w:rsidRPr="00EF2F18">
        <w:rPr>
          <w:rFonts w:cs="Times New Roman"/>
          <w:sz w:val="22"/>
          <w:lang w:val="sr-Cyrl-RS"/>
        </w:rPr>
        <w:t>У периоду од 2015. године, запажен је раст капацитета и броја изграђених електрана које користе ОИЕ</w:t>
      </w:r>
      <w:r w:rsidR="00357B2A" w:rsidRPr="00EF2F18">
        <w:rPr>
          <w:rFonts w:cs="Times New Roman"/>
          <w:sz w:val="22"/>
          <w:lang w:val="sr-Cyrl-RS"/>
        </w:rPr>
        <w:t xml:space="preserve">. </w:t>
      </w:r>
      <w:r w:rsidR="00466CC0" w:rsidRPr="00EF2F18">
        <w:rPr>
          <w:rFonts w:cs="Times New Roman"/>
          <w:sz w:val="22"/>
          <w:lang w:val="sr-Cyrl-RS"/>
        </w:rPr>
        <w:t>У марту 2024. године, број прикључених електрана које користе ОИЕ износио је 392 док је укупан инсталирани капацитет истих износио 3.105,5 MW. Додатно о купцима-произвођачима, регистровано је 768 купаца – произвођача који нису домаћинство или стамбена заједница, 2.158 купаца – произвођача који су домаћинство и три купца – произвођача који су стамбена заједница, укупне инсталационе снаге од 45,53 MW</w:t>
      </w:r>
      <w:r w:rsidRPr="00EF2F18">
        <w:rPr>
          <w:rFonts w:cs="Times New Roman"/>
          <w:sz w:val="22"/>
          <w:lang w:val="sr-Cyrl-RS"/>
        </w:rPr>
        <w:t>. Иако се капацитети за производњу обновљиве енергије стално повећавају, на тренд повећања удела ОИЕ негативно утиче повећање потрошње енергије током последњих година.</w:t>
      </w:r>
    </w:p>
    <w:p w14:paraId="580BD155" w14:textId="77777777" w:rsidR="00EA2AC2" w:rsidRPr="00EF2F18" w:rsidRDefault="00EA2AC2" w:rsidP="00F30E49">
      <w:pPr>
        <w:autoSpaceDE w:val="0"/>
        <w:autoSpaceDN w:val="0"/>
        <w:adjustRightInd w:val="0"/>
        <w:spacing w:after="0"/>
        <w:ind w:firstLine="720"/>
        <w:jc w:val="both"/>
        <w:rPr>
          <w:rFonts w:cs="Times New Roman"/>
          <w:sz w:val="22"/>
          <w:lang w:val="sr-Cyrl-RS"/>
        </w:rPr>
      </w:pPr>
    </w:p>
    <w:p w14:paraId="586A8AD6" w14:textId="36E931D1" w:rsidR="00EA2AC2" w:rsidRPr="00EF2F18" w:rsidRDefault="003614CB" w:rsidP="00F30E49">
      <w:pPr>
        <w:autoSpaceDE w:val="0"/>
        <w:autoSpaceDN w:val="0"/>
        <w:adjustRightInd w:val="0"/>
        <w:spacing w:after="0"/>
        <w:jc w:val="center"/>
        <w:rPr>
          <w:rFonts w:cs="Times New Roman"/>
          <w:sz w:val="22"/>
          <w:lang w:val="sr-Cyrl-RS"/>
        </w:rPr>
      </w:pPr>
      <w:bookmarkStart w:id="31" w:name="_Hlk188287825"/>
      <w:r w:rsidRPr="00EF2F18">
        <w:rPr>
          <w:noProof/>
          <w:lang w:val="sr-Cyrl-RS" w:eastAsia="sr-Cyrl-RS"/>
        </w:rPr>
        <w:drawing>
          <wp:inline distT="0" distB="0" distL="0" distR="0" wp14:anchorId="2B28F35F" wp14:editId="7A02DD94">
            <wp:extent cx="4095750" cy="1458823"/>
            <wp:effectExtent l="0" t="0" r="0" b="8255"/>
            <wp:docPr id="1975024356" name="Picture 6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24356" name="Picture 61" descr="A graph with numbers and lin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09324" cy="1463658"/>
                    </a:xfrm>
                    <a:prstGeom prst="rect">
                      <a:avLst/>
                    </a:prstGeom>
                    <a:noFill/>
                    <a:ln>
                      <a:noFill/>
                    </a:ln>
                  </pic:spPr>
                </pic:pic>
              </a:graphicData>
            </a:graphic>
          </wp:inline>
        </w:drawing>
      </w:r>
    </w:p>
    <w:p w14:paraId="0A5D0F3C" w14:textId="03C0E6AD" w:rsidR="00EA2AC2" w:rsidRPr="00EF2F18" w:rsidRDefault="00EA2AC2" w:rsidP="00F30E49">
      <w:pPr>
        <w:autoSpaceDE w:val="0"/>
        <w:autoSpaceDN w:val="0"/>
        <w:adjustRightInd w:val="0"/>
        <w:spacing w:after="0"/>
        <w:jc w:val="both"/>
        <w:rPr>
          <w:rFonts w:cs="Times New Roman"/>
          <w:sz w:val="22"/>
          <w:lang w:val="sr-Cyrl-RS"/>
        </w:rPr>
      </w:pPr>
      <w:r w:rsidRPr="00EF2F18">
        <w:rPr>
          <w:rFonts w:cs="Times New Roman"/>
          <w:b/>
          <w:bCs/>
          <w:sz w:val="22"/>
          <w:lang w:val="sr-Cyrl-RS"/>
        </w:rPr>
        <w:t xml:space="preserve">Слика 3.4. </w:t>
      </w:r>
      <w:r w:rsidRPr="00EF2F18">
        <w:rPr>
          <w:rFonts w:cs="Times New Roman"/>
          <w:sz w:val="22"/>
          <w:lang w:val="sr-Cyrl-RS"/>
        </w:rPr>
        <w:t>Остварено учешће ОИЕ и циљеви за Републику Србију и ЕУ</w:t>
      </w:r>
    </w:p>
    <w:p w14:paraId="2F1E1BF5" w14:textId="57AA5C8A" w:rsidR="00EA2AC2" w:rsidRPr="00EF2F18" w:rsidRDefault="00EA2AC2" w:rsidP="00F30E49">
      <w:pPr>
        <w:autoSpaceDE w:val="0"/>
        <w:autoSpaceDN w:val="0"/>
        <w:adjustRightInd w:val="0"/>
        <w:spacing w:after="0"/>
        <w:jc w:val="both"/>
        <w:rPr>
          <w:rFonts w:cs="Times New Roman"/>
          <w:i/>
          <w:sz w:val="22"/>
          <w:lang w:val="sr-Cyrl-RS"/>
        </w:rPr>
      </w:pPr>
      <w:r w:rsidRPr="00EF2F18">
        <w:rPr>
          <w:rFonts w:cs="Times New Roman"/>
          <w:i/>
          <w:sz w:val="22"/>
          <w:lang w:val="sr-Cyrl-RS"/>
        </w:rPr>
        <w:t>Извор:</w:t>
      </w:r>
      <w:r w:rsidR="00BA11C1">
        <w:rPr>
          <w:rFonts w:cs="Times New Roman"/>
          <w:i/>
          <w:sz w:val="22"/>
          <w:lang w:val="sr-Cyrl-RS"/>
        </w:rPr>
        <w:t xml:space="preserve"> Агенција за заштиту животне ср</w:t>
      </w:r>
      <w:r w:rsidRPr="00EF2F18">
        <w:rPr>
          <w:rFonts w:cs="Times New Roman"/>
          <w:i/>
          <w:sz w:val="22"/>
          <w:lang w:val="sr-Cyrl-RS"/>
        </w:rPr>
        <w:t xml:space="preserve">едине, </w:t>
      </w:r>
      <w:r w:rsidR="003614CB" w:rsidRPr="00EF2F18">
        <w:rPr>
          <w:rFonts w:cs="Times New Roman"/>
          <w:i/>
          <w:sz w:val="22"/>
          <w:lang w:val="sr-Cyrl-RS"/>
        </w:rPr>
        <w:t>2024</w:t>
      </w:r>
      <w:r w:rsidRPr="00EF2F18">
        <w:rPr>
          <w:rFonts w:cs="Times New Roman"/>
          <w:i/>
          <w:sz w:val="22"/>
          <w:lang w:val="sr-Cyrl-RS"/>
        </w:rPr>
        <w:t>.</w:t>
      </w:r>
    </w:p>
    <w:bookmarkEnd w:id="31"/>
    <w:p w14:paraId="31235175" w14:textId="77777777" w:rsidR="00EA2AC2" w:rsidRPr="00EF2F18" w:rsidRDefault="00EA2AC2" w:rsidP="00F30E49">
      <w:pPr>
        <w:autoSpaceDE w:val="0"/>
        <w:autoSpaceDN w:val="0"/>
        <w:adjustRightInd w:val="0"/>
        <w:spacing w:after="0"/>
        <w:ind w:firstLine="720"/>
        <w:jc w:val="both"/>
        <w:rPr>
          <w:rFonts w:cs="Times New Roman"/>
          <w:sz w:val="22"/>
          <w:lang w:val="sr-Cyrl-RS"/>
        </w:rPr>
      </w:pPr>
    </w:p>
    <w:p w14:paraId="6E10D344" w14:textId="18906B5E" w:rsidR="002A0A6D" w:rsidRPr="00EF2F18" w:rsidRDefault="00EA2AC2" w:rsidP="00F30E49">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Регулисање коришћења обновљивих извора енергије и утврђивање шема подршке за ОИЕ започето је усвајањем Закона о енергетици 2014. године, што је представљало усклађивање енергетског законодавства Републике Србије са Трећим енергетским пакетом. </w:t>
      </w:r>
      <w:r w:rsidRPr="00EF2F18">
        <w:rPr>
          <w:rFonts w:cs="Times New Roman"/>
          <w:sz w:val="22"/>
          <w:shd w:val="clear" w:color="auto" w:fill="FFFFFF"/>
          <w:lang w:val="sr-Cyrl-RS"/>
        </w:rPr>
        <w:t xml:space="preserve">Национални акциони план за коришћење обновљивих извора енергије, усвојен је 2013. године, којим је </w:t>
      </w:r>
      <w:r w:rsidRPr="00EF2F18">
        <w:rPr>
          <w:rFonts w:cs="Times New Roman"/>
          <w:sz w:val="22"/>
          <w:shd w:val="clear" w:color="auto" w:fill="FFFFFF"/>
          <w:lang w:val="sr-Cyrl-RS"/>
        </w:rPr>
        <w:lastRenderedPageBreak/>
        <w:t xml:space="preserve">предвиђено 27% ОИЕ у бруто финалној потрошњи до 2020. године. </w:t>
      </w:r>
      <w:r w:rsidR="002A0A6D" w:rsidRPr="00EF2F18">
        <w:rPr>
          <w:rFonts w:cs="Times New Roman"/>
          <w:sz w:val="22"/>
          <w:shd w:val="clear" w:color="auto" w:fill="FFFFFF"/>
          <w:lang w:val="sr-Cyrl-RS"/>
        </w:rPr>
        <w:t>Садржина уговора</w:t>
      </w:r>
      <w:r w:rsidR="006C2E00" w:rsidRPr="00EF2F18">
        <w:rPr>
          <w:rFonts w:cs="Times New Roman"/>
          <w:sz w:val="22"/>
          <w:shd w:val="clear" w:color="auto" w:fill="FFFFFF"/>
          <w:lang w:val="sr-Cyrl-RS"/>
        </w:rPr>
        <w:t xml:space="preserve"> </w:t>
      </w:r>
      <w:r w:rsidR="002A0A6D" w:rsidRPr="00EF2F18">
        <w:rPr>
          <w:rFonts w:cs="Times New Roman"/>
          <w:sz w:val="22"/>
          <w:shd w:val="clear" w:color="auto" w:fill="FFFFFF"/>
          <w:lang w:val="sr-Cyrl-RS"/>
        </w:rPr>
        <w:t xml:space="preserve">о откупу електричне енергије дефинисана </w:t>
      </w:r>
      <w:r w:rsidR="00F41D40" w:rsidRPr="00EF2F18">
        <w:rPr>
          <w:rFonts w:cs="Times New Roman"/>
          <w:sz w:val="22"/>
          <w:shd w:val="clear" w:color="auto" w:fill="FFFFFF"/>
          <w:lang w:val="sr-Cyrl-RS"/>
        </w:rPr>
        <w:t xml:space="preserve">је </w:t>
      </w:r>
      <w:r w:rsidR="002A0A6D" w:rsidRPr="00EF2F18">
        <w:rPr>
          <w:rFonts w:cs="Times New Roman"/>
          <w:sz w:val="22"/>
          <w:shd w:val="clear" w:color="auto" w:fill="FFFFFF"/>
          <w:lang w:val="sr-Cyrl-RS"/>
        </w:rPr>
        <w:t>Уредбом о</w:t>
      </w:r>
      <w:r w:rsidR="00F41D40" w:rsidRPr="00EF2F18">
        <w:rPr>
          <w:rFonts w:cs="Times New Roman"/>
          <w:sz w:val="22"/>
          <w:shd w:val="clear" w:color="auto" w:fill="FFFFFF"/>
          <w:lang w:val="sr-Cyrl-RS"/>
        </w:rPr>
        <w:t xml:space="preserve"> уговору о</w:t>
      </w:r>
      <w:r w:rsidR="002A0A6D" w:rsidRPr="00EF2F18">
        <w:rPr>
          <w:rFonts w:cs="Times New Roman"/>
          <w:sz w:val="22"/>
          <w:shd w:val="clear" w:color="auto" w:fill="FFFFFF"/>
          <w:lang w:val="sr-Cyrl-RS"/>
        </w:rPr>
        <w:t xml:space="preserve"> откупу електричне енергије („Службени гласник РС</w:t>
      </w:r>
      <w:r w:rsidR="00A64280" w:rsidRPr="00EF2F18">
        <w:rPr>
          <w:rFonts w:cs="Times New Roman"/>
          <w:sz w:val="22"/>
          <w:shd w:val="clear" w:color="auto" w:fill="FFFFFF"/>
          <w:lang w:val="sr-Cyrl-RS"/>
        </w:rPr>
        <w:t>”</w:t>
      </w:r>
      <w:r w:rsidR="002A0A6D" w:rsidRPr="00EF2F18">
        <w:rPr>
          <w:rFonts w:cs="Times New Roman"/>
          <w:sz w:val="22"/>
          <w:shd w:val="clear" w:color="auto" w:fill="FFFFFF"/>
          <w:lang w:val="sr-Cyrl-RS"/>
        </w:rPr>
        <w:t>, бр</w:t>
      </w:r>
      <w:r w:rsidR="00F41D40" w:rsidRPr="00EF2F18">
        <w:rPr>
          <w:rFonts w:cs="Times New Roman"/>
          <w:sz w:val="22"/>
          <w:shd w:val="clear" w:color="auto" w:fill="FFFFFF"/>
          <w:lang w:val="sr-Cyrl-RS"/>
        </w:rPr>
        <w:t>.</w:t>
      </w:r>
      <w:r w:rsidR="002A0A6D" w:rsidRPr="00EF2F18">
        <w:rPr>
          <w:rFonts w:cs="Times New Roman"/>
          <w:sz w:val="22"/>
          <w:shd w:val="clear" w:color="auto" w:fill="FFFFFF"/>
          <w:lang w:val="sr-Cyrl-RS"/>
        </w:rPr>
        <w:t xml:space="preserve"> 56/16</w:t>
      </w:r>
      <w:r w:rsidR="00F41D40" w:rsidRPr="00EF2F18">
        <w:rPr>
          <w:rFonts w:cs="Times New Roman"/>
          <w:sz w:val="22"/>
          <w:shd w:val="clear" w:color="auto" w:fill="FFFFFF"/>
          <w:lang w:val="sr-Cyrl-RS"/>
        </w:rPr>
        <w:t>, 61/17 и 106/20</w:t>
      </w:r>
      <w:r w:rsidR="002A0A6D" w:rsidRPr="00EF2F18">
        <w:rPr>
          <w:rFonts w:cs="Times New Roman"/>
          <w:sz w:val="22"/>
          <w:shd w:val="clear" w:color="auto" w:fill="FFFFFF"/>
          <w:lang w:val="sr-Cyrl-RS"/>
        </w:rPr>
        <w:t xml:space="preserve">). Истовремено, Законом о коришћењу обновљивих извора енергије </w:t>
      </w:r>
      <w:r w:rsidR="002A0A6D" w:rsidRPr="00EF2F18">
        <w:rPr>
          <w:rFonts w:cs="Times New Roman"/>
          <w:bCs/>
          <w:sz w:val="22"/>
          <w:lang w:val="sr-Cyrl-RS"/>
        </w:rPr>
        <w:t>(</w:t>
      </w:r>
      <w:r w:rsidR="002A0A6D" w:rsidRPr="00EF2F18">
        <w:rPr>
          <w:rFonts w:cs="Times New Roman"/>
          <w:sz w:val="22"/>
          <w:shd w:val="clear" w:color="auto" w:fill="FFFFFF"/>
          <w:lang w:val="sr-Cyrl-RS"/>
        </w:rPr>
        <w:t>„Службени гласник РС”, бр</w:t>
      </w:r>
      <w:r w:rsidR="00F41D40" w:rsidRPr="00EF2F18">
        <w:rPr>
          <w:rFonts w:cs="Times New Roman"/>
          <w:sz w:val="22"/>
          <w:shd w:val="clear" w:color="auto" w:fill="FFFFFF"/>
          <w:lang w:val="sr-Cyrl-RS"/>
        </w:rPr>
        <w:t>.</w:t>
      </w:r>
      <w:r w:rsidR="002A0A6D" w:rsidRPr="00EF2F18">
        <w:rPr>
          <w:rFonts w:cs="Times New Roman"/>
          <w:sz w:val="22"/>
          <w:shd w:val="clear" w:color="auto" w:fill="FFFFFF"/>
          <w:lang w:val="sr-Cyrl-RS"/>
        </w:rPr>
        <w:t xml:space="preserve"> 40/21</w:t>
      </w:r>
      <w:r w:rsidR="00F41D40" w:rsidRPr="00EF2F18">
        <w:rPr>
          <w:rFonts w:cs="Times New Roman"/>
          <w:sz w:val="22"/>
          <w:shd w:val="clear" w:color="auto" w:fill="FFFFFF"/>
          <w:lang w:val="sr-Cyrl-RS"/>
        </w:rPr>
        <w:t xml:space="preserve">, 35/23 и 94/24 </w:t>
      </w:r>
      <w:r w:rsidR="00782A37" w:rsidRPr="00EF2F18">
        <w:rPr>
          <w:rFonts w:cs="Times New Roman"/>
          <w:sz w:val="22"/>
          <w:shd w:val="clear" w:color="auto" w:fill="FFFFFF"/>
          <w:lang w:val="sr-Cyrl-RS"/>
        </w:rPr>
        <w:t>–</w:t>
      </w:r>
      <w:r w:rsidR="00F41D40" w:rsidRPr="00EF2F18">
        <w:rPr>
          <w:rFonts w:cs="Times New Roman"/>
          <w:sz w:val="22"/>
          <w:shd w:val="clear" w:color="auto" w:fill="FFFFFF"/>
          <w:lang w:val="sr-Cyrl-RS"/>
        </w:rPr>
        <w:t> др. закон</w:t>
      </w:r>
      <w:r w:rsidR="002A0A6D" w:rsidRPr="00EF2F18">
        <w:rPr>
          <w:rFonts w:cs="Times New Roman"/>
          <w:sz w:val="22"/>
          <w:shd w:val="clear" w:color="auto" w:fill="FFFFFF"/>
          <w:lang w:val="sr-Cyrl-RS"/>
        </w:rPr>
        <w:t xml:space="preserve">) прописане су садржине уговора о </w:t>
      </w:r>
      <w:r w:rsidR="006D517C" w:rsidRPr="00EF2F18">
        <w:rPr>
          <w:rFonts w:cs="Times New Roman"/>
          <w:i/>
          <w:iCs/>
          <w:sz w:val="22"/>
          <w:shd w:val="clear" w:color="auto" w:fill="FFFFFF"/>
          <w:lang w:val="sr-Cyrl-RS"/>
        </w:rPr>
        <w:t>feed-in</w:t>
      </w:r>
      <w:r w:rsidR="006D517C" w:rsidRPr="00EF2F18">
        <w:rPr>
          <w:rFonts w:cs="Times New Roman"/>
          <w:sz w:val="22"/>
          <w:shd w:val="clear" w:color="auto" w:fill="FFFFFF"/>
          <w:lang w:val="sr-Cyrl-RS"/>
        </w:rPr>
        <w:t xml:space="preserve"> </w:t>
      </w:r>
      <w:r w:rsidR="002A0A6D" w:rsidRPr="00EF2F18">
        <w:rPr>
          <w:rFonts w:cs="Times New Roman"/>
          <w:sz w:val="22"/>
          <w:shd w:val="clear" w:color="auto" w:fill="FFFFFF"/>
          <w:lang w:val="sr-Cyrl-RS"/>
        </w:rPr>
        <w:t>тарифи, уговора о преузимању балансне одговорности и уговора о тржишној премији. Уредбом о преузимању балансне одговорности и моделу уговора о преузимању балансне одговорности („Службени гласник РС</w:t>
      </w:r>
      <w:r w:rsidR="00A64280" w:rsidRPr="00EF2F18">
        <w:rPr>
          <w:rFonts w:cs="Times New Roman"/>
          <w:sz w:val="22"/>
          <w:shd w:val="clear" w:color="auto" w:fill="FFFFFF"/>
          <w:lang w:val="sr-Cyrl-RS"/>
        </w:rPr>
        <w:t>”</w:t>
      </w:r>
      <w:r w:rsidR="002A0A6D" w:rsidRPr="00EF2F18">
        <w:rPr>
          <w:rFonts w:cs="Times New Roman"/>
          <w:sz w:val="22"/>
          <w:shd w:val="clear" w:color="auto" w:fill="FFFFFF"/>
          <w:lang w:val="sr-Cyrl-RS"/>
        </w:rPr>
        <w:t>, број 45/23) прописана је садржина уговора о преузимању балансне одговорности.</w:t>
      </w:r>
    </w:p>
    <w:p w14:paraId="148AB3E4" w14:textId="570695D7" w:rsidR="00EA2AC2" w:rsidRPr="00EF2F18" w:rsidRDefault="00EA2AC2" w:rsidP="00EA2AC2">
      <w:pPr>
        <w:autoSpaceDE w:val="0"/>
        <w:autoSpaceDN w:val="0"/>
        <w:adjustRightInd w:val="0"/>
        <w:spacing w:after="0"/>
        <w:ind w:firstLine="720"/>
        <w:jc w:val="both"/>
        <w:rPr>
          <w:rFonts w:cs="Times New Roman"/>
          <w:sz w:val="22"/>
          <w:lang w:val="sr-Cyrl-RS"/>
        </w:rPr>
      </w:pPr>
      <w:r w:rsidRPr="00EF2F18">
        <w:rPr>
          <w:rFonts w:cs="Times New Roman"/>
          <w:sz w:val="22"/>
          <w:lang w:val="sr-Cyrl-RS" w:eastAsia="x-none"/>
        </w:rPr>
        <w:t xml:space="preserve">Повећање удела ОИЕ представља један од најважнијих циљева. </w:t>
      </w:r>
      <w:r w:rsidRPr="00EF2F18">
        <w:rPr>
          <w:rFonts w:cs="Times New Roman"/>
          <w:sz w:val="22"/>
          <w:lang w:val="sr-Cyrl-RS"/>
        </w:rPr>
        <w:t>Прописане су</w:t>
      </w:r>
      <w:r w:rsidR="001C3B97" w:rsidRPr="00EF2F18">
        <w:rPr>
          <w:rFonts w:cs="Times New Roman"/>
          <w:sz w:val="22"/>
          <w:lang w:val="sr-Cyrl-RS"/>
        </w:rPr>
        <w:t xml:space="preserve"> и</w:t>
      </w:r>
      <w:r w:rsidRPr="00EF2F18">
        <w:rPr>
          <w:rFonts w:cs="Times New Roman"/>
          <w:sz w:val="22"/>
          <w:lang w:val="sr-Cyrl-RS"/>
        </w:rPr>
        <w:t xml:space="preserve"> додатне мере подстицаја за коришћење ОИЕ у сектору топлотне енергије. </w:t>
      </w:r>
    </w:p>
    <w:p w14:paraId="2823EF32" w14:textId="77777777" w:rsidR="00EA2AC2" w:rsidRPr="00EF2F18" w:rsidRDefault="00EA2AC2" w:rsidP="00EA2AC2">
      <w:pPr>
        <w:spacing w:after="0"/>
        <w:ind w:firstLine="720"/>
        <w:jc w:val="both"/>
        <w:rPr>
          <w:rFonts w:cs="Times New Roman"/>
          <w:sz w:val="22"/>
          <w:lang w:val="sr-Cyrl-RS" w:eastAsia="x-none"/>
        </w:rPr>
      </w:pPr>
      <w:r w:rsidRPr="00EF2F18">
        <w:rPr>
          <w:rFonts w:cs="Times New Roman"/>
          <w:sz w:val="22"/>
          <w:lang w:val="sr-Cyrl-RS" w:eastAsia="x-none"/>
        </w:rPr>
        <w:t xml:space="preserve">Промовисање енергетске ефикасности представља основни приоритет који наглашава неопходност имплементације политика и мера, које опет приказују економски и друштвено најефикаснији приступ за сваку крајњу потрошњу. Побољшање енергетске ефикасности доноси вишеструке додатне користи, као што су смањење емисије </w:t>
      </w:r>
      <w:r w:rsidRPr="00EF2F18">
        <w:rPr>
          <w:rFonts w:cs="Times New Roman"/>
          <w:i/>
          <w:iCs/>
          <w:sz w:val="22"/>
          <w:lang w:val="sr-Cyrl-RS" w:eastAsia="x-none"/>
        </w:rPr>
        <w:t>GHG</w:t>
      </w:r>
      <w:r w:rsidRPr="00EF2F18">
        <w:rPr>
          <w:rFonts w:cs="Times New Roman"/>
          <w:sz w:val="22"/>
          <w:lang w:val="sr-Cyrl-RS" w:eastAsia="x-none"/>
        </w:rPr>
        <w:t xml:space="preserve">, смањење трошкова за енергију, побољшање комфорности у зградама, повећање запошљавања и побољшање конкурентности предузећа. </w:t>
      </w:r>
      <w:r w:rsidRPr="00EF2F18">
        <w:rPr>
          <w:rFonts w:cs="Times New Roman"/>
          <w:sz w:val="22"/>
          <w:lang w:val="sr-Cyrl-RS"/>
        </w:rPr>
        <w:t xml:space="preserve">Интензитет финалне енергије у 2020. години износио је 0,25 toe/000 ЕУР, а применом мера енергетске ефикасности овај интензитет ће се смањивати. </w:t>
      </w:r>
    </w:p>
    <w:p w14:paraId="6C8DDAED" w14:textId="0CF0077E" w:rsidR="00EA2AC2" w:rsidRPr="00EF2F18" w:rsidRDefault="002B4405" w:rsidP="00EA2AC2">
      <w:pPr>
        <w:autoSpaceDE w:val="0"/>
        <w:autoSpaceDN w:val="0"/>
        <w:adjustRightInd w:val="0"/>
        <w:spacing w:after="0"/>
        <w:ind w:firstLine="720"/>
        <w:jc w:val="both"/>
        <w:rPr>
          <w:rFonts w:cs="Times New Roman"/>
          <w:sz w:val="22"/>
          <w:lang w:val="sr-Cyrl-RS"/>
        </w:rPr>
      </w:pPr>
      <w:r w:rsidRPr="00EF2F18">
        <w:rPr>
          <w:rFonts w:cs="Times New Roman"/>
          <w:sz w:val="22"/>
          <w:shd w:val="clear" w:color="auto" w:fill="FFFFFF"/>
          <w:lang w:val="sr-Cyrl-RS"/>
        </w:rPr>
        <w:t xml:space="preserve">Закон о енергетској ефикасности и рационалној употреби енергије („Службени гласник РС”, број 40/21), којим се уређују услови и начин ефикасног коришћења енергије и енергената, политика ефикасног коришћења енергије и др., усвојен је 2021. године. До сада </w:t>
      </w:r>
      <w:r w:rsidR="001C3B97" w:rsidRPr="00EF2F18">
        <w:rPr>
          <w:rFonts w:cs="Times New Roman"/>
          <w:sz w:val="22"/>
          <w:shd w:val="clear" w:color="auto" w:fill="FFFFFF"/>
          <w:lang w:val="sr-Cyrl-RS"/>
        </w:rPr>
        <w:t xml:space="preserve">је донето </w:t>
      </w:r>
      <w:r w:rsidR="00701A10" w:rsidRPr="00EF2F18">
        <w:rPr>
          <w:rFonts w:cs="Times New Roman"/>
          <w:sz w:val="22"/>
          <w:shd w:val="clear" w:color="auto" w:fill="FFFFFF"/>
          <w:lang w:val="sr-Cyrl-RS"/>
        </w:rPr>
        <w:t xml:space="preserve">више од </w:t>
      </w:r>
      <w:r w:rsidR="001C3B97" w:rsidRPr="00EF2F18">
        <w:rPr>
          <w:rFonts w:cs="Times New Roman"/>
          <w:sz w:val="22"/>
          <w:shd w:val="clear" w:color="auto" w:fill="FFFFFF"/>
          <w:lang w:val="sr-Cyrl-RS"/>
        </w:rPr>
        <w:t xml:space="preserve">56 </w:t>
      </w:r>
      <w:r w:rsidRPr="00EF2F18">
        <w:rPr>
          <w:rFonts w:cs="Times New Roman"/>
          <w:sz w:val="22"/>
          <w:shd w:val="clear" w:color="auto" w:fill="FFFFFF"/>
          <w:lang w:val="sr-Cyrl-RS"/>
        </w:rPr>
        <w:t>подзаконск</w:t>
      </w:r>
      <w:r w:rsidR="00701A10" w:rsidRPr="00EF2F18">
        <w:rPr>
          <w:rFonts w:cs="Times New Roman"/>
          <w:sz w:val="22"/>
          <w:shd w:val="clear" w:color="auto" w:fill="FFFFFF"/>
          <w:lang w:val="sr-Cyrl-RS"/>
        </w:rPr>
        <w:t>их</w:t>
      </w:r>
      <w:r w:rsidRPr="00EF2F18">
        <w:rPr>
          <w:rFonts w:cs="Times New Roman"/>
          <w:sz w:val="22"/>
          <w:shd w:val="clear" w:color="auto" w:fill="FFFFFF"/>
          <w:lang w:val="sr-Cyrl-RS"/>
        </w:rPr>
        <w:t xml:space="preserve"> ак</w:t>
      </w:r>
      <w:r w:rsidR="00701A10" w:rsidRPr="00EF2F18">
        <w:rPr>
          <w:rFonts w:cs="Times New Roman"/>
          <w:sz w:val="22"/>
          <w:shd w:val="clear" w:color="auto" w:fill="FFFFFF"/>
          <w:lang w:val="sr-Cyrl-RS"/>
        </w:rPr>
        <w:t>а</w:t>
      </w:r>
      <w:r w:rsidRPr="00EF2F18">
        <w:rPr>
          <w:rFonts w:cs="Times New Roman"/>
          <w:sz w:val="22"/>
          <w:shd w:val="clear" w:color="auto" w:fill="FFFFFF"/>
          <w:lang w:val="sr-Cyrl-RS"/>
        </w:rPr>
        <w:t>та на тај закон. Закон је усклађен са Директивом 2012/27/ЕУ о енергетској ефикасности са свим изменама и допунама, са</w:t>
      </w:r>
      <w:r w:rsidRPr="00EF2F18">
        <w:rPr>
          <w:sz w:val="22"/>
          <w:lang w:val="sr-Cyrl-RS"/>
        </w:rPr>
        <w:t xml:space="preserve"> </w:t>
      </w:r>
      <w:r w:rsidRPr="00EF2F18">
        <w:rPr>
          <w:rFonts w:cs="Times New Roman"/>
          <w:sz w:val="22"/>
          <w:shd w:val="clear" w:color="auto" w:fill="FFFFFF"/>
          <w:lang w:val="sr-Cyrl-RS"/>
        </w:rPr>
        <w:t>Директивом 2010/31/ЕУ о енергетској ефикасности зграда (у делу који се односи на контролу система за грејање и система за климатизацију), а у погледу техничких прописа са</w:t>
      </w:r>
      <w:r w:rsidR="006C2E00" w:rsidRPr="00EF2F18">
        <w:rPr>
          <w:rFonts w:cs="Times New Roman"/>
          <w:sz w:val="22"/>
          <w:shd w:val="clear" w:color="auto" w:fill="FFFFFF"/>
          <w:lang w:val="sr-Cyrl-RS"/>
        </w:rPr>
        <w:t xml:space="preserve"> </w:t>
      </w:r>
      <w:r w:rsidRPr="00EF2F18">
        <w:rPr>
          <w:rFonts w:cs="Times New Roman"/>
          <w:sz w:val="22"/>
          <w:shd w:val="clear" w:color="auto" w:fill="FFFFFF"/>
          <w:lang w:val="sr-Cyrl-RS"/>
        </w:rPr>
        <w:t>Директивом 2009/125/ЕЗ којом се успоставља општи оквир за утврђивање захтева еко-дизајна за производе који утичу на потрошњу енергије, као и са Уредбом (ЕУ) 2017/1369 којом се успоставља оквир за означавање енергетске ефикасности</w:t>
      </w:r>
      <w:r w:rsidR="00EA2AC2" w:rsidRPr="00EF2F18">
        <w:rPr>
          <w:rFonts w:cs="Times New Roman"/>
          <w:sz w:val="22"/>
          <w:lang w:val="sr-Cyrl-RS"/>
        </w:rPr>
        <w:t>. Република Србија је усвојила четири Национална акциона плана за енергетску ефикасност (НАПЕЕ) за периоде 2010-2012, 2013-2015, 2016-2018.</w:t>
      </w:r>
      <w:r w:rsidR="00782A37" w:rsidRPr="00EF2F18">
        <w:rPr>
          <w:rFonts w:cs="Times New Roman"/>
          <w:sz w:val="22"/>
          <w:lang w:val="sr-Cyrl-RS"/>
        </w:rPr>
        <w:t xml:space="preserve"> године</w:t>
      </w:r>
      <w:r w:rsidR="00EA2AC2" w:rsidRPr="00EF2F18">
        <w:rPr>
          <w:rFonts w:cs="Times New Roman"/>
          <w:sz w:val="22"/>
          <w:lang w:val="sr-Cyrl-RS"/>
        </w:rPr>
        <w:t xml:space="preserve"> и </w:t>
      </w:r>
      <w:r w:rsidR="00BB4B20" w:rsidRPr="00EF2F18">
        <w:rPr>
          <w:rFonts w:cs="Times New Roman"/>
          <w:sz w:val="22"/>
          <w:lang w:val="sr-Cyrl-RS"/>
        </w:rPr>
        <w:t xml:space="preserve">Акциони план </w:t>
      </w:r>
      <w:r w:rsidR="00EA2AC2" w:rsidRPr="00EF2F18">
        <w:rPr>
          <w:rFonts w:cs="Times New Roman"/>
          <w:sz w:val="22"/>
          <w:lang w:val="sr-Cyrl-RS"/>
        </w:rPr>
        <w:t>за период 2019-2021</w:t>
      </w:r>
      <w:r w:rsidR="00782A37" w:rsidRPr="00EF2F18">
        <w:rPr>
          <w:rFonts w:cs="Times New Roman"/>
          <w:sz w:val="22"/>
          <w:lang w:val="sr-Cyrl-RS"/>
        </w:rPr>
        <w:t>. године</w:t>
      </w:r>
      <w:r w:rsidR="00EA2AC2" w:rsidRPr="00EF2F18">
        <w:rPr>
          <w:rFonts w:cs="Times New Roman"/>
          <w:sz w:val="22"/>
          <w:lang w:val="sr-Cyrl-RS"/>
        </w:rPr>
        <w:t xml:space="preserve">, који је </w:t>
      </w:r>
      <w:r w:rsidR="00BB4B20" w:rsidRPr="00EF2F18">
        <w:rPr>
          <w:rFonts w:cs="Times New Roman"/>
          <w:sz w:val="22"/>
          <w:lang w:val="sr-Cyrl-RS"/>
        </w:rPr>
        <w:t xml:space="preserve">припремљен </w:t>
      </w:r>
      <w:r w:rsidR="00EA2AC2" w:rsidRPr="00EF2F18">
        <w:rPr>
          <w:rFonts w:cs="Times New Roman"/>
          <w:sz w:val="22"/>
          <w:lang w:val="sr-Cyrl-RS"/>
        </w:rPr>
        <w:t>у складу са захтевима Директиве 2012/27/</w:t>
      </w:r>
      <w:r w:rsidR="00BB4B20" w:rsidRPr="00EF2F18">
        <w:rPr>
          <w:rFonts w:cs="Times New Roman"/>
          <w:sz w:val="22"/>
          <w:lang w:val="sr-Cyrl-RS"/>
        </w:rPr>
        <w:t>ЕУ</w:t>
      </w:r>
      <w:r w:rsidR="00EA2AC2" w:rsidRPr="00EF2F18">
        <w:rPr>
          <w:rFonts w:cs="Times New Roman"/>
          <w:sz w:val="22"/>
          <w:lang w:val="sr-Cyrl-RS"/>
        </w:rPr>
        <w:t>. На основу резултата последњег НАПЕЕ, Република Србија је приказала да је достигла 88% циља постављеног за период 2010-2018, а такође је остварен и циљ дефинисан за 2020. годину у Програму остваривања Стратегије у вези са максимално дозвољеном потрошњом енергије за 2020. годину</w:t>
      </w:r>
      <w:r w:rsidR="00BB5E51" w:rsidRPr="00EF2F18">
        <w:rPr>
          <w:rFonts w:cs="Times New Roman"/>
          <w:sz w:val="22"/>
          <w:lang w:val="sr-Cyrl-RS"/>
        </w:rPr>
        <w:t>.</w:t>
      </w:r>
    </w:p>
    <w:p w14:paraId="44FE348A" w14:textId="1167A554" w:rsidR="00F21B70"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У 2021. години емисије из сектора Индустријских процеса </w:t>
      </w:r>
      <w:r w:rsidR="006E7780" w:rsidRPr="00EF2F18">
        <w:rPr>
          <w:rFonts w:cs="Times New Roman"/>
          <w:sz w:val="22"/>
          <w:lang w:val="sr-Cyrl-RS"/>
        </w:rPr>
        <w:t>и</w:t>
      </w:r>
      <w:r w:rsidRPr="00EF2F18">
        <w:rPr>
          <w:rFonts w:cs="Times New Roman"/>
          <w:sz w:val="22"/>
          <w:lang w:val="sr-Cyrl-RS"/>
        </w:rPr>
        <w:t xml:space="preserve"> употребе производа износиле су 5.0</w:t>
      </w:r>
      <w:r w:rsidR="00A7207E" w:rsidRPr="00EF2F18">
        <w:rPr>
          <w:rFonts w:cs="Times New Roman"/>
          <w:sz w:val="22"/>
          <w:lang w:val="sr-Cyrl-RS"/>
        </w:rPr>
        <w:t>64</w:t>
      </w:r>
      <w:r w:rsidRPr="00EF2F18">
        <w:rPr>
          <w:rFonts w:cs="Times New Roman"/>
          <w:sz w:val="22"/>
          <w:lang w:val="sr-Cyrl-RS"/>
        </w:rPr>
        <w:t xml:space="preserve"> Gg</w:t>
      </w:r>
      <w:r w:rsidR="006C2E00" w:rsidRPr="00EF2F18">
        <w:rPr>
          <w:rFonts w:cs="Times New Roman"/>
          <w:sz w:val="22"/>
          <w:lang w:val="sr-Cyrl-RS"/>
        </w:rPr>
        <w:t xml:space="preserve"> </w:t>
      </w:r>
      <w:r w:rsidR="006D517C" w:rsidRPr="00EF2F18">
        <w:rPr>
          <w:rFonts w:cs="Times New Roman"/>
          <w:sz w:val="22"/>
          <w:lang w:val="sr-Cyrl-RS"/>
        </w:rPr>
        <w:t>CO</w:t>
      </w:r>
      <w:r w:rsidR="006D517C" w:rsidRPr="00EF2F18">
        <w:rPr>
          <w:rFonts w:cs="Times New Roman"/>
          <w:sz w:val="22"/>
          <w:vertAlign w:val="subscript"/>
          <w:lang w:val="sr-Cyrl-RS"/>
        </w:rPr>
        <w:t>2</w:t>
      </w:r>
      <w:r w:rsidR="006D517C" w:rsidRPr="00EF2F18">
        <w:rPr>
          <w:rFonts w:cs="Times New Roman"/>
          <w:sz w:val="22"/>
          <w:lang w:val="sr-Cyrl-RS"/>
        </w:rPr>
        <w:t xml:space="preserve">eq </w:t>
      </w:r>
      <w:r w:rsidRPr="00EF2F18">
        <w:rPr>
          <w:rFonts w:cs="Times New Roman"/>
          <w:sz w:val="22"/>
          <w:lang w:val="sr-Cyrl-RS"/>
        </w:rPr>
        <w:t>(8,</w:t>
      </w:r>
      <w:r w:rsidR="006E7780" w:rsidRPr="00EF2F18">
        <w:rPr>
          <w:rFonts w:cs="Times New Roman"/>
          <w:sz w:val="22"/>
          <w:lang w:val="sr-Cyrl-RS"/>
        </w:rPr>
        <w:t>1</w:t>
      </w:r>
      <w:r w:rsidRPr="00EF2F18">
        <w:rPr>
          <w:rFonts w:cs="Times New Roman"/>
          <w:sz w:val="22"/>
          <w:lang w:val="sr-Cyrl-RS"/>
        </w:rPr>
        <w:t xml:space="preserve">% укупних емисија) и биле су веће 1,9% него у 2010. години. </w:t>
      </w:r>
    </w:p>
    <w:p w14:paraId="29E1EB06" w14:textId="79BF7186" w:rsidR="000409EA" w:rsidRPr="00EF2F18" w:rsidRDefault="005B6009" w:rsidP="007C33E8">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Нето емисије из сектора пољопривреде, шумарства и другог коришћења земљишта у 2021. години износиле су 0,05 Gg </w:t>
      </w:r>
      <w:r w:rsidR="006D517C" w:rsidRPr="00EF2F18">
        <w:rPr>
          <w:rFonts w:cs="Times New Roman"/>
          <w:sz w:val="22"/>
          <w:lang w:val="sr-Cyrl-RS"/>
        </w:rPr>
        <w:t>CO</w:t>
      </w:r>
      <w:r w:rsidR="006D517C" w:rsidRPr="00EF2F18">
        <w:rPr>
          <w:rFonts w:cs="Times New Roman"/>
          <w:sz w:val="22"/>
          <w:vertAlign w:val="subscript"/>
          <w:lang w:val="sr-Cyrl-RS"/>
        </w:rPr>
        <w:t>2</w:t>
      </w:r>
      <w:r w:rsidR="006D517C" w:rsidRPr="00EF2F18">
        <w:rPr>
          <w:rFonts w:cs="Times New Roman"/>
          <w:sz w:val="22"/>
          <w:lang w:val="sr-Cyrl-RS"/>
        </w:rPr>
        <w:t>eq</w:t>
      </w:r>
      <w:r w:rsidRPr="00EF2F18">
        <w:rPr>
          <w:rFonts w:cs="Times New Roman"/>
          <w:sz w:val="22"/>
          <w:lang w:val="sr-Cyrl-RS"/>
        </w:rPr>
        <w:t xml:space="preserve"> и пратио их је пораст од 1.111 Gg CO</w:t>
      </w:r>
      <w:r w:rsidR="006D517C" w:rsidRPr="00EF2F18">
        <w:rPr>
          <w:rFonts w:cs="Times New Roman"/>
          <w:sz w:val="22"/>
          <w:vertAlign w:val="subscript"/>
          <w:lang w:val="sr-Cyrl-RS"/>
        </w:rPr>
        <w:t>2</w:t>
      </w:r>
      <w:r w:rsidR="006D517C" w:rsidRPr="00EF2F18">
        <w:rPr>
          <w:rFonts w:cs="Times New Roman"/>
          <w:sz w:val="22"/>
          <w:lang w:val="sr-Cyrl-RS"/>
        </w:rPr>
        <w:t>eq</w:t>
      </w:r>
      <w:r w:rsidRPr="00EF2F18">
        <w:rPr>
          <w:rFonts w:cs="Times New Roman"/>
          <w:sz w:val="22"/>
          <w:lang w:val="sr-Cyrl-RS"/>
        </w:rPr>
        <w:t xml:space="preserve"> од 2010. године, а емисије из сектора Управљања отпадом 3.192 Gg </w:t>
      </w:r>
      <w:r w:rsidR="006D517C" w:rsidRPr="00EF2F18">
        <w:rPr>
          <w:rFonts w:cs="Times New Roman"/>
          <w:sz w:val="22"/>
          <w:lang w:val="sr-Cyrl-RS"/>
        </w:rPr>
        <w:t>CO</w:t>
      </w:r>
      <w:r w:rsidR="006D517C" w:rsidRPr="00EF2F18">
        <w:rPr>
          <w:rFonts w:cs="Times New Roman"/>
          <w:sz w:val="22"/>
          <w:vertAlign w:val="subscript"/>
          <w:lang w:val="sr-Cyrl-RS"/>
        </w:rPr>
        <w:t>2</w:t>
      </w:r>
      <w:r w:rsidR="006D517C" w:rsidRPr="00EF2F18">
        <w:rPr>
          <w:rFonts w:cs="Times New Roman"/>
          <w:sz w:val="22"/>
          <w:lang w:val="sr-Cyrl-RS"/>
        </w:rPr>
        <w:t>eq</w:t>
      </w:r>
      <w:r w:rsidRPr="00EF2F18">
        <w:rPr>
          <w:rFonts w:cs="Times New Roman"/>
          <w:sz w:val="22"/>
          <w:lang w:val="sr-Cyrl-RS"/>
        </w:rPr>
        <w:t xml:space="preserve"> (5,</w:t>
      </w:r>
      <w:r w:rsidR="006E7780" w:rsidRPr="00EF2F18">
        <w:rPr>
          <w:rFonts w:cs="Times New Roman"/>
          <w:sz w:val="22"/>
          <w:lang w:val="sr-Cyrl-RS"/>
        </w:rPr>
        <w:t>1</w:t>
      </w:r>
      <w:r w:rsidRPr="00EF2F18">
        <w:rPr>
          <w:rFonts w:cs="Times New Roman"/>
          <w:sz w:val="22"/>
          <w:lang w:val="sr-Cyrl-RS"/>
        </w:rPr>
        <w:t xml:space="preserve">% укупних емисија) и повећане су за 5,1% у односу на 2010. годину. Несигурност инвентара емисија укључујући </w:t>
      </w:r>
      <w:r w:rsidRPr="00EF2F18">
        <w:rPr>
          <w:rFonts w:cs="Times New Roman"/>
          <w:i/>
          <w:iCs/>
          <w:sz w:val="22"/>
          <w:lang w:val="sr-Cyrl-RS"/>
        </w:rPr>
        <w:t>LULUCF</w:t>
      </w:r>
      <w:r w:rsidRPr="00EF2F18">
        <w:rPr>
          <w:rFonts w:cs="Times New Roman"/>
          <w:sz w:val="22"/>
          <w:lang w:val="sr-Cyrl-RS"/>
        </w:rPr>
        <w:t xml:space="preserve"> 2021. године износила је 9,6% а трендова 2,0%, док је комбинована несигурност инвентара </w:t>
      </w:r>
      <w:r w:rsidRPr="00EF2F18">
        <w:rPr>
          <w:rFonts w:cs="Times New Roman"/>
          <w:i/>
          <w:iCs/>
          <w:sz w:val="22"/>
          <w:lang w:val="sr-Cyrl-RS"/>
        </w:rPr>
        <w:t>GHG</w:t>
      </w:r>
      <w:r w:rsidRPr="00EF2F18">
        <w:rPr>
          <w:rFonts w:cs="Times New Roman"/>
          <w:sz w:val="22"/>
          <w:lang w:val="sr-Cyrl-RS"/>
        </w:rPr>
        <w:t xml:space="preserve">, без </w:t>
      </w:r>
      <w:r w:rsidRPr="00EF2F18">
        <w:rPr>
          <w:rFonts w:cs="Times New Roman"/>
          <w:i/>
          <w:iCs/>
          <w:sz w:val="22"/>
          <w:lang w:val="sr-Cyrl-RS"/>
        </w:rPr>
        <w:t>LULUCF</w:t>
      </w:r>
      <w:r w:rsidRPr="00EF2F18">
        <w:rPr>
          <w:rFonts w:cs="Times New Roman"/>
          <w:sz w:val="22"/>
          <w:lang w:val="sr-Cyrl-RS"/>
        </w:rPr>
        <w:t>, 8,8%</w:t>
      </w:r>
      <w:r w:rsidR="009B2082" w:rsidRPr="00EF2F18">
        <w:rPr>
          <w:rFonts w:cs="Times New Roman"/>
          <w:sz w:val="22"/>
          <w:lang w:val="sr-Cyrl-RS"/>
        </w:rPr>
        <w:t>,</w:t>
      </w:r>
      <w:r w:rsidRPr="00EF2F18">
        <w:rPr>
          <w:rFonts w:cs="Times New Roman"/>
          <w:sz w:val="22"/>
          <w:lang w:val="sr-Cyrl-RS"/>
        </w:rPr>
        <w:t xml:space="preserve"> а трендова 1,9%. </w:t>
      </w:r>
      <w:r w:rsidR="00F21B70" w:rsidRPr="00EF2F18">
        <w:rPr>
          <w:rFonts w:cs="Times New Roman"/>
          <w:sz w:val="22"/>
          <w:lang w:val="sr-Cyrl-RS"/>
        </w:rPr>
        <w:t xml:space="preserve">Од 1990. године, </w:t>
      </w:r>
      <w:r w:rsidR="00F21B70" w:rsidRPr="00EF2F18">
        <w:rPr>
          <w:rFonts w:cs="Times New Roman"/>
          <w:i/>
          <w:iCs/>
          <w:sz w:val="22"/>
          <w:lang w:val="sr-Cyrl-RS"/>
        </w:rPr>
        <w:t>AFOLU</w:t>
      </w:r>
      <w:r w:rsidR="00F21B70" w:rsidRPr="00EF2F18">
        <w:rPr>
          <w:rFonts w:cs="Times New Roman"/>
          <w:sz w:val="22"/>
          <w:lang w:val="sr-Cyrl-RS"/>
        </w:rPr>
        <w:t xml:space="preserve"> сектор је постепено смањивао своје емисије </w:t>
      </w:r>
      <w:r w:rsidR="00F21B70" w:rsidRPr="00EF2F18">
        <w:rPr>
          <w:rFonts w:cs="Times New Roman"/>
          <w:i/>
          <w:iCs/>
          <w:sz w:val="22"/>
          <w:lang w:val="sr-Cyrl-RS"/>
        </w:rPr>
        <w:t>GHG</w:t>
      </w:r>
      <w:r w:rsidR="00F21B70" w:rsidRPr="00EF2F18">
        <w:rPr>
          <w:rFonts w:cs="Times New Roman"/>
          <w:sz w:val="22"/>
          <w:lang w:val="sr-Cyrl-RS"/>
        </w:rPr>
        <w:t>, углавном захваљујући комбинацији смањених емисија из сточарства, што одражава пад активности у овој категорији извора, и повећане емисије из пољопривредних земљишта.</w:t>
      </w:r>
      <w:r w:rsidR="00FA7222" w:rsidRPr="00EF2F18">
        <w:rPr>
          <w:rFonts w:cs="Times New Roman"/>
          <w:sz w:val="22"/>
          <w:lang w:val="sr-Cyrl-RS"/>
        </w:rPr>
        <w:t xml:space="preserve"> </w:t>
      </w:r>
    </w:p>
    <w:p w14:paraId="64010F5D" w14:textId="7DC8F725" w:rsidR="00EA2AC2"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Расподела секторских емисија у укупним емисијама </w:t>
      </w:r>
      <w:r w:rsidRPr="00EF2F18">
        <w:rPr>
          <w:rFonts w:cs="Times New Roman"/>
          <w:i/>
          <w:iCs/>
          <w:sz w:val="22"/>
          <w:lang w:val="sr-Cyrl-RS"/>
        </w:rPr>
        <w:t>GHG</w:t>
      </w:r>
      <w:r w:rsidRPr="00EF2F18">
        <w:rPr>
          <w:rFonts w:cs="Times New Roman"/>
          <w:sz w:val="22"/>
          <w:lang w:val="sr-Cyrl-RS"/>
        </w:rPr>
        <w:t xml:space="preserve"> остаје готово иста током целог периода 1990–2020.</w:t>
      </w:r>
      <w:r w:rsidR="00782A37" w:rsidRPr="00EF2F18">
        <w:rPr>
          <w:rFonts w:cs="Times New Roman"/>
          <w:sz w:val="22"/>
          <w:lang w:val="sr-Cyrl-RS"/>
        </w:rPr>
        <w:t xml:space="preserve"> године.</w:t>
      </w:r>
      <w:r w:rsidRPr="00EF2F18">
        <w:rPr>
          <w:rFonts w:cs="Times New Roman"/>
          <w:sz w:val="22"/>
          <w:lang w:val="sr-Cyrl-RS"/>
        </w:rPr>
        <w:t xml:space="preserve"> Емисије </w:t>
      </w:r>
      <w:r w:rsidRPr="00EF2F18">
        <w:rPr>
          <w:rFonts w:cs="Times New Roman"/>
          <w:i/>
          <w:iCs/>
          <w:sz w:val="22"/>
          <w:lang w:val="sr-Cyrl-RS"/>
        </w:rPr>
        <w:t>GHG</w:t>
      </w:r>
      <w:r w:rsidRPr="00EF2F18">
        <w:rPr>
          <w:rFonts w:cs="Times New Roman"/>
          <w:sz w:val="22"/>
          <w:lang w:val="sr-Cyrl-RS"/>
        </w:rPr>
        <w:t xml:space="preserve"> из сектора енергетике доминирају у укупним количинама захваљујући производњи електричне енергије из домаћег нискокалоричног лигнита из површинских копова. </w:t>
      </w:r>
    </w:p>
    <w:p w14:paraId="375D7C57" w14:textId="77777777" w:rsidR="005B6009"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Током периода 2010-2020. године, привреда је почела полако да се опоравља од глобалне економске кризе, али без значајног утицаја на профил емисија гасова са ефектом стаклене баште. Емисије из сектора енергетике биле су прилично стабилне, док су емисије у индустријским процесима током истог периода смањене за 7,0% због смањене производње у енергетски интензивној индустрији (мање производа као што су клинкер, креч, амонијак, цигла, адипинска киселина). </w:t>
      </w:r>
    </w:p>
    <w:p w14:paraId="1877DED1" w14:textId="77777777" w:rsidR="005B6009"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lastRenderedPageBreak/>
        <w:t xml:space="preserve">Сектор индустријских процеса и употребе производа, укључујући производњу и потрошњу минералних сировина (попут цемента, креча, кречњака и натријум-карбоната), производњу хемикалија (пре свега амонијака), гвожђа и других метала те других производа, допринео је са 7,3% укупним емисијама гасова са ефектом стаклене баште. </w:t>
      </w:r>
    </w:p>
    <w:p w14:paraId="49ABADCD" w14:textId="7E6C9FFD" w:rsidR="005B6009"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Емисије у сектору отпада остале су практично непромењене у периоду </w:t>
      </w:r>
      <w:r w:rsidR="00782A37" w:rsidRPr="00EF2F18">
        <w:rPr>
          <w:rFonts w:cs="Times New Roman"/>
          <w:sz w:val="22"/>
          <w:lang w:val="sr-Cyrl-RS"/>
        </w:rPr>
        <w:t xml:space="preserve">од </w:t>
      </w:r>
      <w:r w:rsidRPr="00EF2F18">
        <w:rPr>
          <w:rFonts w:cs="Times New Roman"/>
          <w:sz w:val="22"/>
          <w:lang w:val="sr-Cyrl-RS"/>
        </w:rPr>
        <w:t>2010</w:t>
      </w:r>
      <w:r w:rsidR="00782A37" w:rsidRPr="00EF2F18">
        <w:rPr>
          <w:rFonts w:cs="Times New Roman"/>
          <w:sz w:val="22"/>
          <w:lang w:val="sr-Cyrl-RS"/>
        </w:rPr>
        <w:t xml:space="preserve">. до </w:t>
      </w:r>
      <w:r w:rsidRPr="00EF2F18">
        <w:rPr>
          <w:rFonts w:cs="Times New Roman"/>
          <w:sz w:val="22"/>
          <w:lang w:val="sr-Cyrl-RS"/>
        </w:rPr>
        <w:t xml:space="preserve">2017. </w:t>
      </w:r>
      <w:r w:rsidR="00782A37" w:rsidRPr="00EF2F18">
        <w:rPr>
          <w:rFonts w:cs="Times New Roman"/>
          <w:sz w:val="22"/>
          <w:lang w:val="sr-Cyrl-RS"/>
        </w:rPr>
        <w:t xml:space="preserve">године </w:t>
      </w:r>
      <w:r w:rsidRPr="00EF2F18">
        <w:rPr>
          <w:rFonts w:cs="Times New Roman"/>
          <w:sz w:val="22"/>
          <w:lang w:val="sr-Cyrl-RS"/>
        </w:rPr>
        <w:t>са трендом повећања од 2018</w:t>
      </w:r>
      <w:r w:rsidR="00782A37" w:rsidRPr="00EF2F18">
        <w:rPr>
          <w:rFonts w:cs="Times New Roman"/>
          <w:sz w:val="22"/>
          <w:lang w:val="sr-Cyrl-RS"/>
        </w:rPr>
        <w:t xml:space="preserve">. до </w:t>
      </w:r>
      <w:r w:rsidRPr="00EF2F18">
        <w:rPr>
          <w:rFonts w:cs="Times New Roman"/>
          <w:sz w:val="22"/>
          <w:lang w:val="sr-Cyrl-RS"/>
        </w:rPr>
        <w:t>2020.</w:t>
      </w:r>
      <w:r w:rsidR="00782A37" w:rsidRPr="00EF2F18">
        <w:rPr>
          <w:rFonts w:cs="Times New Roman"/>
          <w:sz w:val="22"/>
          <w:lang w:val="sr-Cyrl-RS"/>
        </w:rPr>
        <w:t xml:space="preserve"> године</w:t>
      </w:r>
      <w:r w:rsidRPr="00EF2F18">
        <w:rPr>
          <w:rFonts w:cs="Times New Roman"/>
          <w:sz w:val="22"/>
          <w:lang w:val="sr-Cyrl-RS"/>
        </w:rPr>
        <w:t xml:space="preserve"> (са укупним повећањем од 3,2% за период 2010</w:t>
      </w:r>
      <w:r w:rsidR="00782A37" w:rsidRPr="00EF2F18">
        <w:rPr>
          <w:rFonts w:cs="Times New Roman"/>
          <w:sz w:val="22"/>
          <w:lang w:val="sr-Cyrl-RS"/>
        </w:rPr>
        <w:t xml:space="preserve"> </w:t>
      </w:r>
      <w:r w:rsidRPr="00EF2F18">
        <w:rPr>
          <w:rFonts w:cs="Times New Roman"/>
          <w:sz w:val="22"/>
          <w:lang w:val="sr-Cyrl-RS"/>
        </w:rPr>
        <w:t>-</w:t>
      </w:r>
      <w:r w:rsidR="00782A37" w:rsidRPr="00EF2F18">
        <w:rPr>
          <w:rFonts w:cs="Times New Roman"/>
          <w:sz w:val="22"/>
          <w:lang w:val="sr-Cyrl-RS"/>
        </w:rPr>
        <w:t xml:space="preserve"> </w:t>
      </w:r>
      <w:r w:rsidRPr="00EF2F18">
        <w:rPr>
          <w:rFonts w:cs="Times New Roman"/>
          <w:sz w:val="22"/>
          <w:lang w:val="sr-Cyrl-RS"/>
        </w:rPr>
        <w:t>2020</w:t>
      </w:r>
      <w:r w:rsidR="007F3A7D" w:rsidRPr="00EF2F18">
        <w:rPr>
          <w:rFonts w:cs="Times New Roman"/>
          <w:sz w:val="22"/>
          <w:lang w:val="sr-Cyrl-RS"/>
        </w:rPr>
        <w:t>.</w:t>
      </w:r>
      <w:r w:rsidR="00782A37" w:rsidRPr="00EF2F18">
        <w:rPr>
          <w:rFonts w:cs="Times New Roman"/>
          <w:sz w:val="22"/>
          <w:lang w:val="sr-Cyrl-RS"/>
        </w:rPr>
        <w:t xml:space="preserve"> године</w:t>
      </w:r>
      <w:r w:rsidRPr="00EF2F18">
        <w:rPr>
          <w:rFonts w:cs="Times New Roman"/>
          <w:sz w:val="22"/>
          <w:lang w:val="sr-Cyrl-RS"/>
        </w:rPr>
        <w:t xml:space="preserve">), јер је Република Србија још у транзицији са концепта регионалних санитарних депонија на модел регионалних центара за управљање отпадом, који укључује сортирање отпада, одвајање и рециклирање, као и третман отпада који се не може рециклирати. Емисија </w:t>
      </w:r>
      <w:r w:rsidRPr="00EF2F18">
        <w:rPr>
          <w:rFonts w:cs="Times New Roman"/>
          <w:i/>
          <w:iCs/>
          <w:sz w:val="22"/>
          <w:lang w:val="sr-Cyrl-RS"/>
        </w:rPr>
        <w:t>GHG</w:t>
      </w:r>
      <w:r w:rsidRPr="00EF2F18">
        <w:rPr>
          <w:rFonts w:cs="Times New Roman"/>
          <w:sz w:val="22"/>
          <w:lang w:val="sr-Cyrl-RS"/>
        </w:rPr>
        <w:t xml:space="preserve"> из сектора управљања отпадом износила је 4,9% у односу на укупне емисије гасова са ефектом стаклене баште из 2020. године.</w:t>
      </w:r>
      <w:r w:rsidR="008674AE" w:rsidRPr="00EF2F18">
        <w:rPr>
          <w:rFonts w:cs="Times New Roman"/>
          <w:sz w:val="22"/>
          <w:lang w:val="sr-Cyrl-RS"/>
        </w:rPr>
        <w:t xml:space="preserve"> </w:t>
      </w:r>
      <w:r w:rsidRPr="00EF2F18">
        <w:rPr>
          <w:rFonts w:cs="Times New Roman"/>
          <w:sz w:val="22"/>
          <w:lang w:val="sr-Cyrl-RS"/>
        </w:rPr>
        <w:t>Емисија хлорофлуороугљеника (HFCs) се знатно</w:t>
      </w:r>
      <w:r w:rsidR="008674AE" w:rsidRPr="00EF2F18">
        <w:rPr>
          <w:rFonts w:cs="Times New Roman"/>
          <w:sz w:val="22"/>
          <w:lang w:val="sr-Cyrl-RS"/>
        </w:rPr>
        <w:t xml:space="preserve"> </w:t>
      </w:r>
      <w:r w:rsidRPr="00EF2F18">
        <w:rPr>
          <w:rFonts w:cs="Times New Roman"/>
          <w:sz w:val="22"/>
          <w:lang w:val="sr-Cyrl-RS"/>
        </w:rPr>
        <w:t>сма</w:t>
      </w:r>
      <w:r w:rsidR="008674AE" w:rsidRPr="00EF2F18">
        <w:rPr>
          <w:rFonts w:cs="Times New Roman"/>
          <w:sz w:val="22"/>
          <w:lang w:val="sr-Cyrl-RS"/>
        </w:rPr>
        <w:t>њ</w:t>
      </w:r>
      <w:r w:rsidRPr="00EF2F18">
        <w:rPr>
          <w:rFonts w:cs="Times New Roman"/>
          <w:sz w:val="22"/>
          <w:lang w:val="sr-Cyrl-RS"/>
        </w:rPr>
        <w:t>ила од 2010. године, углавном услед замене супстанци које оштећују озонски омотач у системима за климатизацију, тако да су емисије у 2021. години износиле 165 Gg CO</w:t>
      </w:r>
      <w:r w:rsidR="006D517C" w:rsidRPr="00EF2F18">
        <w:rPr>
          <w:rFonts w:cs="Times New Roman"/>
          <w:sz w:val="22"/>
          <w:vertAlign w:val="subscript"/>
          <w:lang w:val="sr-Cyrl-RS"/>
        </w:rPr>
        <w:t>2</w:t>
      </w:r>
      <w:r w:rsidR="006D517C" w:rsidRPr="00EF2F18">
        <w:rPr>
          <w:rFonts w:cs="Times New Roman"/>
          <w:sz w:val="22"/>
          <w:lang w:val="sr-Cyrl-RS"/>
        </w:rPr>
        <w:t>eq</w:t>
      </w:r>
      <w:r w:rsidRPr="00EF2F18">
        <w:rPr>
          <w:rFonts w:cs="Times New Roman"/>
          <w:sz w:val="22"/>
          <w:lang w:val="sr-Cyrl-RS"/>
        </w:rPr>
        <w:t>. У 2021. години емисије сумпор х</w:t>
      </w:r>
      <w:r w:rsidR="008674AE" w:rsidRPr="00EF2F18">
        <w:rPr>
          <w:rFonts w:cs="Times New Roman"/>
          <w:sz w:val="22"/>
          <w:lang w:val="sr-Cyrl-RS"/>
        </w:rPr>
        <w:t>е</w:t>
      </w:r>
      <w:r w:rsidRPr="00EF2F18">
        <w:rPr>
          <w:rFonts w:cs="Times New Roman"/>
          <w:sz w:val="22"/>
          <w:lang w:val="sr-Cyrl-RS"/>
        </w:rPr>
        <w:t>ксафлуорида (SF</w:t>
      </w:r>
      <w:r w:rsidRPr="00EF2F18">
        <w:rPr>
          <w:rFonts w:cs="Times New Roman"/>
          <w:sz w:val="22"/>
          <w:vertAlign w:val="subscript"/>
          <w:lang w:val="sr-Cyrl-RS"/>
        </w:rPr>
        <w:t>6</w:t>
      </w:r>
      <w:r w:rsidRPr="00EF2F18">
        <w:rPr>
          <w:rFonts w:cs="Times New Roman"/>
          <w:sz w:val="22"/>
          <w:lang w:val="sr-Cyrl-RS"/>
        </w:rPr>
        <w:t>) повећале су се за 97% у односу на 2010. годину, углавном услед емисија из метал</w:t>
      </w:r>
      <w:r w:rsidR="008674AE" w:rsidRPr="00EF2F18">
        <w:rPr>
          <w:rFonts w:cs="Times New Roman"/>
          <w:sz w:val="22"/>
          <w:lang w:val="sr-Cyrl-RS"/>
        </w:rPr>
        <w:t>ске</w:t>
      </w:r>
      <w:r w:rsidRPr="00EF2F18">
        <w:rPr>
          <w:rFonts w:cs="Times New Roman"/>
          <w:sz w:val="22"/>
          <w:lang w:val="sr-Cyrl-RS"/>
        </w:rPr>
        <w:t xml:space="preserve"> индустрије односно производње магнезијума, док су емисије из </w:t>
      </w:r>
      <w:r w:rsidR="008674AE" w:rsidRPr="00EF2F18">
        <w:rPr>
          <w:rFonts w:cs="Times New Roman"/>
          <w:sz w:val="22"/>
          <w:lang w:val="sr-Cyrl-RS"/>
        </w:rPr>
        <w:t xml:space="preserve">индустрије </w:t>
      </w:r>
      <w:r w:rsidRPr="00EF2F18">
        <w:rPr>
          <w:rFonts w:cs="Times New Roman"/>
          <w:sz w:val="22"/>
          <w:lang w:val="sr-Cyrl-RS"/>
        </w:rPr>
        <w:t>електричне опреме порасле</w:t>
      </w:r>
      <w:r w:rsidR="008674AE" w:rsidRPr="00EF2F18">
        <w:rPr>
          <w:rFonts w:cs="Times New Roman"/>
          <w:sz w:val="22"/>
          <w:lang w:val="sr-Cyrl-RS"/>
        </w:rPr>
        <w:t xml:space="preserve"> за</w:t>
      </w:r>
      <w:r w:rsidRPr="00EF2F18">
        <w:rPr>
          <w:rFonts w:cs="Times New Roman"/>
          <w:sz w:val="22"/>
          <w:lang w:val="sr-Cyrl-RS"/>
        </w:rPr>
        <w:t xml:space="preserve"> 53,7% у односу на 2010. годину.</w:t>
      </w:r>
      <w:r w:rsidR="003830B1" w:rsidRPr="00EF2F18">
        <w:rPr>
          <w:rFonts w:cs="Times New Roman"/>
          <w:sz w:val="22"/>
          <w:lang w:val="sr-Cyrl-RS"/>
        </w:rPr>
        <w:t xml:space="preserve"> </w:t>
      </w:r>
    </w:p>
    <w:p w14:paraId="5A375BF3" w14:textId="79A81110" w:rsidR="005B6009" w:rsidRPr="00EF2F18" w:rsidRDefault="005B6009" w:rsidP="005B6009">
      <w:pPr>
        <w:autoSpaceDE w:val="0"/>
        <w:autoSpaceDN w:val="0"/>
        <w:adjustRightInd w:val="0"/>
        <w:spacing w:after="0"/>
        <w:ind w:firstLine="720"/>
        <w:jc w:val="both"/>
        <w:rPr>
          <w:rFonts w:cs="Times New Roman"/>
          <w:sz w:val="22"/>
          <w:lang w:val="sr-Cyrl-RS"/>
        </w:rPr>
      </w:pPr>
      <w:r w:rsidRPr="00EF2F18">
        <w:rPr>
          <w:rFonts w:cs="Times New Roman"/>
          <w:sz w:val="22"/>
          <w:lang w:val="sr-Cyrl-RS"/>
        </w:rPr>
        <w:t>Одстрањене количине из категорије шумског земљишта (шумарство) у истом периоду (2010–2020</w:t>
      </w:r>
      <w:r w:rsidR="009A0E36" w:rsidRPr="00EF2F18">
        <w:rPr>
          <w:rFonts w:cs="Times New Roman"/>
          <w:sz w:val="22"/>
          <w:lang w:val="sr-Cyrl-RS"/>
        </w:rPr>
        <w:t>.</w:t>
      </w:r>
      <w:r w:rsidR="00782A37" w:rsidRPr="00EF2F18">
        <w:rPr>
          <w:rFonts w:cs="Times New Roman"/>
          <w:sz w:val="22"/>
          <w:lang w:val="sr-Cyrl-RS"/>
        </w:rPr>
        <w:t xml:space="preserve"> године</w:t>
      </w:r>
      <w:r w:rsidRPr="00EF2F18">
        <w:rPr>
          <w:rFonts w:cs="Times New Roman"/>
          <w:sz w:val="22"/>
          <w:lang w:val="sr-Cyrl-RS"/>
        </w:rPr>
        <w:t>) биле су мање за 17,6%, углавном услед повећане употребе биомасе, повећаној употреби дрвета за индустријске потребе и за грејање, али и елементарних непогода (нпр. пожари, ломови услед јаких ветрова, штете узроковане дејством инсеката и болести).</w:t>
      </w:r>
    </w:p>
    <w:p w14:paraId="13C862B6" w14:textId="77777777" w:rsidR="00ED3485" w:rsidRPr="00EF2F18" w:rsidRDefault="00ED3485" w:rsidP="00ED3485">
      <w:pPr>
        <w:spacing w:after="0"/>
        <w:ind w:firstLine="720"/>
        <w:jc w:val="both"/>
        <w:rPr>
          <w:sz w:val="22"/>
          <w:lang w:val="sr-Cyrl-RS"/>
        </w:rPr>
      </w:pPr>
      <w:bookmarkStart w:id="32" w:name="_Toc158307695"/>
      <w:r w:rsidRPr="00EF2F18">
        <w:rPr>
          <w:sz w:val="22"/>
          <w:lang w:val="sr-Cyrl-RS"/>
        </w:rPr>
        <w:t xml:space="preserve">Република Србија се у оквиру својих напора ка смањењу емисија </w:t>
      </w:r>
      <w:r w:rsidRPr="00EF2F18">
        <w:rPr>
          <w:i/>
          <w:iCs/>
          <w:sz w:val="22"/>
          <w:lang w:val="sr-Cyrl-RS"/>
        </w:rPr>
        <w:t>GHG</w:t>
      </w:r>
      <w:r w:rsidRPr="00EF2F18">
        <w:rPr>
          <w:sz w:val="22"/>
          <w:lang w:val="sr-Cyrl-RS"/>
        </w:rPr>
        <w:t xml:space="preserve"> придружила глобалним иницијативама: Глобална иницијатива у вези са метаном (</w:t>
      </w:r>
      <w:r w:rsidRPr="00EF2F18">
        <w:rPr>
          <w:i/>
          <w:iCs/>
          <w:sz w:val="22"/>
          <w:lang w:val="sr-Cyrl-RS"/>
        </w:rPr>
        <w:t>The Global Methane Pledge</w:t>
      </w:r>
      <w:r w:rsidRPr="00EF2F18">
        <w:rPr>
          <w:sz w:val="22"/>
          <w:lang w:val="sr-Cyrl-RS"/>
        </w:rPr>
        <w:t>) у циљу колективног смањења емисије метана за најмање 30% до краја 2030. године. Иницијатива за спречавање деградације шума на COP26 (</w:t>
      </w:r>
      <w:r w:rsidRPr="00EF2F18">
        <w:rPr>
          <w:i/>
          <w:iCs/>
          <w:sz w:val="22"/>
          <w:lang w:val="sr-Cyrl-RS"/>
        </w:rPr>
        <w:t>COP26 Deforestation Pledge</w:t>
      </w:r>
      <w:r w:rsidRPr="00EF2F18">
        <w:rPr>
          <w:sz w:val="22"/>
          <w:lang w:val="sr-Cyrl-RS"/>
        </w:rPr>
        <w:t>) са циљем заустављања даљих штета у шумама, као и Глобална иницијатива за обновљиве изворе енергије и енергетску ефикасност (</w:t>
      </w:r>
      <w:r w:rsidRPr="00EF2F18">
        <w:rPr>
          <w:i/>
          <w:iCs/>
          <w:sz w:val="22"/>
          <w:lang w:val="sr-Cyrl-RS"/>
        </w:rPr>
        <w:t>Global Renewables and Energy Efficiency Pledge</w:t>
      </w:r>
      <w:r w:rsidRPr="00EF2F18">
        <w:rPr>
          <w:sz w:val="22"/>
          <w:lang w:val="sr-Cyrl-RS"/>
        </w:rPr>
        <w:t xml:space="preserve">) коју је Република Србија подржала на COP28 у Дубаију. </w:t>
      </w:r>
    </w:p>
    <w:p w14:paraId="097FA1AF" w14:textId="74AD595F" w:rsidR="00ED3485" w:rsidRDefault="00ED3485" w:rsidP="00ED3485">
      <w:pPr>
        <w:ind w:firstLine="720"/>
        <w:jc w:val="both"/>
        <w:rPr>
          <w:sz w:val="22"/>
          <w:lang w:val="sr-Cyrl-RS"/>
        </w:rPr>
      </w:pPr>
      <w:r w:rsidRPr="00EF2F18">
        <w:rPr>
          <w:sz w:val="22"/>
          <w:lang w:val="sr-Cyrl-RS"/>
        </w:rPr>
        <w:t>У Републици Србији усвојени су и примењују се од 1.</w:t>
      </w:r>
      <w:r w:rsidR="00782A37" w:rsidRPr="00EF2F18">
        <w:rPr>
          <w:sz w:val="22"/>
          <w:lang w:val="sr-Cyrl-RS"/>
        </w:rPr>
        <w:t xml:space="preserve"> </w:t>
      </w:r>
      <w:r w:rsidRPr="00EF2F18">
        <w:rPr>
          <w:sz w:val="22"/>
          <w:lang w:val="sr-Cyrl-RS"/>
        </w:rPr>
        <w:t>јануара 2026. године Закон о порезу на емисије гасова са ефектом стаклене баште („Службени гласник РС</w:t>
      </w:r>
      <w:r w:rsidR="00782A37" w:rsidRPr="00EF2F18">
        <w:rPr>
          <w:rFonts w:cs="Times New Roman"/>
          <w:bCs/>
          <w:sz w:val="22"/>
          <w:lang w:val="sr-Cyrl-RS"/>
        </w:rPr>
        <w:t>”</w:t>
      </w:r>
      <w:r w:rsidRPr="00EF2F18">
        <w:rPr>
          <w:sz w:val="22"/>
          <w:lang w:val="sr-Cyrl-RS"/>
        </w:rPr>
        <w:t>, број</w:t>
      </w:r>
      <w:r w:rsidR="00782A37" w:rsidRPr="00EF2F18">
        <w:rPr>
          <w:sz w:val="22"/>
          <w:lang w:val="sr-Cyrl-RS"/>
        </w:rPr>
        <w:t xml:space="preserve"> </w:t>
      </w:r>
      <w:r w:rsidR="003A2709" w:rsidRPr="00EF2F18">
        <w:rPr>
          <w:sz w:val="22"/>
          <w:lang w:val="sr-Cyrl-RS"/>
        </w:rPr>
        <w:t>109/</w:t>
      </w:r>
      <w:r w:rsidRPr="00EF2F18">
        <w:rPr>
          <w:sz w:val="22"/>
          <w:lang w:val="sr-Cyrl-RS"/>
        </w:rPr>
        <w:t xml:space="preserve">25) и Закон о порезу на увоз угљенично интензивних производа </w:t>
      </w:r>
      <w:r w:rsidR="003A2709" w:rsidRPr="00EF2F18">
        <w:rPr>
          <w:sz w:val="22"/>
          <w:lang w:val="sr-Cyrl-RS"/>
        </w:rPr>
        <w:t>(„Службени гласник РС</w:t>
      </w:r>
      <w:r w:rsidR="003A2709" w:rsidRPr="00EF2F18">
        <w:rPr>
          <w:bCs/>
          <w:sz w:val="22"/>
          <w:lang w:val="sr-Cyrl-RS"/>
        </w:rPr>
        <w:t>”</w:t>
      </w:r>
      <w:r w:rsidR="003A2709" w:rsidRPr="00EF2F18">
        <w:rPr>
          <w:sz w:val="22"/>
          <w:lang w:val="sr-Cyrl-RS"/>
        </w:rPr>
        <w:t>, број 109/25)</w:t>
      </w:r>
      <w:r w:rsidRPr="00EF2F18">
        <w:rPr>
          <w:sz w:val="22"/>
          <w:lang w:val="sr-Cyrl-RS"/>
        </w:rPr>
        <w:t>, којима су уведени економски инструменти у области климатских промена.</w:t>
      </w:r>
    </w:p>
    <w:p w14:paraId="394A7F35" w14:textId="77777777" w:rsidR="00CD0755" w:rsidRPr="00EF2F18" w:rsidRDefault="00CD0755" w:rsidP="00ED3485">
      <w:pPr>
        <w:ind w:firstLine="720"/>
        <w:jc w:val="both"/>
        <w:rPr>
          <w:sz w:val="22"/>
          <w:lang w:val="sr-Cyrl-RS"/>
        </w:rPr>
      </w:pPr>
    </w:p>
    <w:p w14:paraId="7EC69B01" w14:textId="35765C3B" w:rsidR="00CD0755" w:rsidRDefault="00CC6498" w:rsidP="00CD0755">
      <w:pPr>
        <w:pStyle w:val="Heading3"/>
        <w:numPr>
          <w:ilvl w:val="2"/>
          <w:numId w:val="2"/>
        </w:numPr>
        <w:jc w:val="center"/>
        <w:rPr>
          <w:rFonts w:cs="Times New Roman"/>
          <w:sz w:val="22"/>
          <w:szCs w:val="22"/>
          <w:lang w:val="sr-Cyrl-RS"/>
        </w:rPr>
      </w:pPr>
      <w:r w:rsidRPr="00EF2F18">
        <w:rPr>
          <w:rFonts w:cs="Times New Roman"/>
          <w:sz w:val="22"/>
          <w:szCs w:val="22"/>
          <w:lang w:val="sr-Cyrl-RS"/>
        </w:rPr>
        <w:t>Прилагођавање на измењене климатске услове</w:t>
      </w:r>
      <w:bookmarkEnd w:id="32"/>
    </w:p>
    <w:p w14:paraId="18BD08E5" w14:textId="77777777" w:rsidR="00CD0755" w:rsidRPr="00CD0755" w:rsidRDefault="00CD0755" w:rsidP="00CD0755">
      <w:pPr>
        <w:rPr>
          <w:lang w:val="sr-Cyrl-RS"/>
        </w:rPr>
      </w:pPr>
    </w:p>
    <w:p w14:paraId="2430E97C" w14:textId="42C2AC30" w:rsidR="00AB2845" w:rsidRPr="00EF2F18" w:rsidRDefault="009B2082" w:rsidP="00FE2048">
      <w:pPr>
        <w:spacing w:after="0"/>
        <w:ind w:firstLine="720"/>
        <w:jc w:val="both"/>
        <w:rPr>
          <w:rFonts w:cs="Times New Roman"/>
          <w:sz w:val="22"/>
          <w:lang w:val="sr-Cyrl-RS"/>
        </w:rPr>
      </w:pPr>
      <w:r w:rsidRPr="00EF2F18">
        <w:rPr>
          <w:rFonts w:cs="Times New Roman"/>
          <w:sz w:val="22"/>
          <w:lang w:val="sr-Cyrl-RS"/>
        </w:rPr>
        <w:t>Процене показују да се Република Србија загрева више и брже од глобалног просека. Пораст средње глобалне температуре ваздуха у периоду 2011</w:t>
      </w:r>
      <w:r w:rsidR="00D72BD3" w:rsidRPr="00EF2F18">
        <w:rPr>
          <w:rFonts w:cs="Times New Roman"/>
          <w:sz w:val="22"/>
          <w:lang w:val="sr-Cyrl-RS"/>
        </w:rPr>
        <w:t xml:space="preserve"> – </w:t>
      </w:r>
      <w:r w:rsidRPr="00EF2F18">
        <w:rPr>
          <w:rFonts w:cs="Times New Roman"/>
          <w:sz w:val="22"/>
          <w:lang w:val="sr-Cyrl-RS"/>
        </w:rPr>
        <w:t xml:space="preserve">2020. </w:t>
      </w:r>
      <w:r w:rsidR="003C7171" w:rsidRPr="00EF2F18">
        <w:rPr>
          <w:rFonts w:cs="Times New Roman"/>
          <w:sz w:val="22"/>
          <w:lang w:val="sr-Cyrl-RS"/>
        </w:rPr>
        <w:t xml:space="preserve">године </w:t>
      </w:r>
      <w:r w:rsidRPr="00EF2F18">
        <w:rPr>
          <w:rFonts w:cs="Times New Roman"/>
          <w:sz w:val="22"/>
          <w:lang w:val="sr-Cyrl-RS"/>
        </w:rPr>
        <w:t>износи 1,1°C у односу на пре</w:t>
      </w:r>
      <w:r w:rsidR="00963AA6">
        <w:rPr>
          <w:rFonts w:cs="Times New Roman"/>
          <w:sz w:val="22"/>
          <w:lang w:val="sr-Cyrl-RS"/>
        </w:rPr>
        <w:t>д</w:t>
      </w:r>
      <w:r w:rsidRPr="00EF2F18">
        <w:rPr>
          <w:rFonts w:cs="Times New Roman"/>
          <w:sz w:val="22"/>
          <w:lang w:val="sr-Cyrl-RS"/>
        </w:rPr>
        <w:t>индустријски ниво, док је пораст средње температуре ваздуха на територији Републике Србије достигао 1,8°С, а лети на чак 2,6°С. Истовремено, од 2000. године Република Србија се суочила са неколико значајних екстремних климатских и временских епизода које су проузроковале значајнe материјалне и финансијске губитке, као и губитке људских живота</w:t>
      </w:r>
      <w:r w:rsidR="00AB2845" w:rsidRPr="00EF2F18">
        <w:rPr>
          <w:rFonts w:cs="Times New Roman"/>
          <w:sz w:val="22"/>
          <w:lang w:val="sr-Cyrl-RS"/>
        </w:rPr>
        <w:t xml:space="preserve">. </w:t>
      </w:r>
    </w:p>
    <w:p w14:paraId="24D0931D" w14:textId="084A7417" w:rsidR="00186B13" w:rsidRDefault="00186B13" w:rsidP="00CD0755">
      <w:pPr>
        <w:spacing w:after="60"/>
        <w:ind w:firstLine="720"/>
        <w:jc w:val="both"/>
        <w:rPr>
          <w:rFonts w:cs="Times New Roman"/>
          <w:sz w:val="22"/>
          <w:lang w:val="sr-Cyrl-RS"/>
        </w:rPr>
      </w:pPr>
      <w:r w:rsidRPr="00EF2F18">
        <w:rPr>
          <w:rFonts w:cs="Times New Roman"/>
          <w:sz w:val="22"/>
          <w:lang w:val="sr-Cyrl-RS"/>
        </w:rPr>
        <w:t>Досадашње праћење климатских промена у Републици Србији указује недвосмислено на следеће карактеристике климатских промена</w:t>
      </w:r>
      <w:r w:rsidR="003C7171" w:rsidRPr="00EF2F18">
        <w:rPr>
          <w:rFonts w:cs="Times New Roman"/>
          <w:sz w:val="22"/>
          <w:lang w:val="sr-Cyrl-RS"/>
        </w:rPr>
        <w:t>,</w:t>
      </w:r>
      <w:r w:rsidRPr="00EF2F18">
        <w:rPr>
          <w:rFonts w:cs="Times New Roman"/>
          <w:sz w:val="22"/>
          <w:lang w:val="sr-Cyrl-RS"/>
        </w:rPr>
        <w:t xml:space="preserve"> и то: </w:t>
      </w:r>
      <w:r w:rsidR="003C7171" w:rsidRPr="00EF2F18">
        <w:rPr>
          <w:rFonts w:cs="Times New Roman"/>
          <w:sz w:val="22"/>
          <w:lang w:val="sr-Cyrl-RS"/>
        </w:rPr>
        <w:t>(</w:t>
      </w:r>
      <w:r w:rsidR="002D380B">
        <w:rPr>
          <w:rFonts w:cs="Times New Roman"/>
          <w:sz w:val="22"/>
          <w:lang w:val="sr-Cyrl-RS"/>
        </w:rPr>
        <w:t>1</w:t>
      </w:r>
      <w:r w:rsidRPr="00EF2F18">
        <w:rPr>
          <w:rFonts w:cs="Times New Roman"/>
          <w:sz w:val="22"/>
          <w:lang w:val="sr-Cyrl-RS"/>
        </w:rPr>
        <w:t>) пораст средње температуре, са већим порастом средње максималне температуре од средње минималне температуре и са највећим порастом током летње сезоне; (</w:t>
      </w:r>
      <w:r w:rsidR="002D380B">
        <w:rPr>
          <w:rFonts w:cs="Times New Roman"/>
          <w:sz w:val="22"/>
          <w:lang w:val="sr-Cyrl-RS"/>
        </w:rPr>
        <w:t>2</w:t>
      </w:r>
      <w:r w:rsidRPr="00EF2F18">
        <w:rPr>
          <w:rFonts w:cs="Times New Roman"/>
          <w:sz w:val="22"/>
          <w:lang w:val="sr-Cyrl-RS"/>
        </w:rPr>
        <w:t>) промена средњих годишњих сума падавина није значајна; промена расподеле падавина по интензитету је уочена кроз просечно смањење дана са умереним и ниским падавинама и повећање дана са високим и екстремним падавинама; промена годишње расподеле падавина се дешава кроз продужавање сушније сезоне карактеристичне за лето и померање просечног месечног максимума падавина ка ранијем периоду (просечно са касног пролећа и раног лета ка ранијем периоду у пролеће); (</w:t>
      </w:r>
      <w:r w:rsidR="002D380B">
        <w:rPr>
          <w:rFonts w:cs="Times New Roman"/>
          <w:sz w:val="22"/>
          <w:lang w:val="sr-Cyrl-RS"/>
        </w:rPr>
        <w:t>3</w:t>
      </w:r>
      <w:r w:rsidRPr="00EF2F18">
        <w:rPr>
          <w:rFonts w:cs="Times New Roman"/>
          <w:sz w:val="22"/>
          <w:lang w:val="sr-Cyrl-RS"/>
        </w:rPr>
        <w:t>) повећање учесталости и интензитета/трајања топлотних таласа; (</w:t>
      </w:r>
      <w:r w:rsidR="002D380B">
        <w:rPr>
          <w:rFonts w:cs="Times New Roman"/>
          <w:sz w:val="22"/>
          <w:lang w:val="sr-Cyrl-RS"/>
        </w:rPr>
        <w:t>4</w:t>
      </w:r>
      <w:r w:rsidRPr="00EF2F18">
        <w:rPr>
          <w:rFonts w:cs="Times New Roman"/>
          <w:sz w:val="22"/>
          <w:lang w:val="sr-Cyrl-RS"/>
        </w:rPr>
        <w:t>) повећање учесталости и интензитета/трајања суша и (</w:t>
      </w:r>
      <w:r w:rsidR="002D380B">
        <w:rPr>
          <w:rFonts w:cs="Times New Roman"/>
          <w:sz w:val="22"/>
          <w:lang w:val="sr-Cyrl-RS"/>
        </w:rPr>
        <w:t>5</w:t>
      </w:r>
      <w:r w:rsidRPr="00EF2F18">
        <w:rPr>
          <w:rFonts w:cs="Times New Roman"/>
          <w:sz w:val="22"/>
          <w:lang w:val="sr-Cyrl-RS"/>
        </w:rPr>
        <w:t xml:space="preserve">) повећање учесталости и интензитета </w:t>
      </w:r>
      <w:r w:rsidR="00CD0755">
        <w:rPr>
          <w:rFonts w:cs="Times New Roman"/>
          <w:sz w:val="22"/>
          <w:lang w:val="sr-Cyrl-RS"/>
        </w:rPr>
        <w:t>екстремних временских догађаја.</w:t>
      </w:r>
    </w:p>
    <w:p w14:paraId="2B5454EC" w14:textId="77777777" w:rsidR="00CD0755" w:rsidRPr="00EF2F18" w:rsidRDefault="00CD0755" w:rsidP="00CD0755">
      <w:pPr>
        <w:spacing w:after="60"/>
        <w:ind w:firstLine="720"/>
        <w:jc w:val="both"/>
        <w:rPr>
          <w:rFonts w:cs="Times New Roman"/>
          <w:sz w:val="22"/>
          <w:lang w:val="sr-Cyrl-RS"/>
        </w:rPr>
      </w:pPr>
    </w:p>
    <w:p w14:paraId="211CD8EE" w14:textId="3CA99E33" w:rsidR="00663FD4" w:rsidRPr="00EF2F18" w:rsidRDefault="00663FD4" w:rsidP="009A5C7B">
      <w:pPr>
        <w:spacing w:after="0"/>
        <w:jc w:val="center"/>
        <w:rPr>
          <w:rFonts w:cs="Times New Roman"/>
          <w:sz w:val="22"/>
          <w:lang w:val="sr-Cyrl-RS"/>
        </w:rPr>
      </w:pPr>
      <w:r w:rsidRPr="00EF2F18">
        <w:rPr>
          <w:rFonts w:cs="Times New Roman"/>
          <w:noProof/>
          <w:sz w:val="22"/>
          <w:lang w:val="sr-Cyrl-RS" w:eastAsia="sr-Cyrl-RS"/>
        </w:rPr>
        <w:lastRenderedPageBreak/>
        <w:drawing>
          <wp:inline distT="0" distB="0" distL="0" distR="0" wp14:anchorId="5226CC50" wp14:editId="5F3E82A3">
            <wp:extent cx="3434080" cy="2573880"/>
            <wp:effectExtent l="0" t="0" r="0" b="0"/>
            <wp:docPr id="1687613577" name="Picture 1" descr="A graph of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13577" name="Picture 1" descr="A graph of a number of different colored lines&#10;&#10;Description automatically generated"/>
                    <pic:cNvPicPr/>
                  </pic:nvPicPr>
                  <pic:blipFill>
                    <a:blip r:embed="rId20"/>
                    <a:stretch>
                      <a:fillRect/>
                    </a:stretch>
                  </pic:blipFill>
                  <pic:spPr>
                    <a:xfrm>
                      <a:off x="0" y="0"/>
                      <a:ext cx="3434080" cy="2573880"/>
                    </a:xfrm>
                    <a:prstGeom prst="rect">
                      <a:avLst/>
                    </a:prstGeom>
                  </pic:spPr>
                </pic:pic>
              </a:graphicData>
            </a:graphic>
          </wp:inline>
        </w:drawing>
      </w:r>
    </w:p>
    <w:p w14:paraId="5F155A4F" w14:textId="7FA0BC51" w:rsidR="00663FD4" w:rsidRPr="00EF2F18" w:rsidRDefault="00663FD4" w:rsidP="001C6801">
      <w:pPr>
        <w:spacing w:after="0"/>
        <w:jc w:val="both"/>
        <w:rPr>
          <w:rFonts w:cs="Times New Roman"/>
          <w:sz w:val="22"/>
          <w:lang w:val="sr-Cyrl-RS"/>
        </w:rPr>
      </w:pPr>
      <w:r w:rsidRPr="00EF2F18">
        <w:rPr>
          <w:b/>
          <w:bCs/>
          <w:sz w:val="22"/>
          <w:lang w:val="sr-Cyrl-RS"/>
        </w:rPr>
        <w:t>Слика</w:t>
      </w:r>
      <w:r w:rsidRPr="00EF2F18">
        <w:rPr>
          <w:sz w:val="22"/>
          <w:lang w:val="sr-Cyrl-RS"/>
        </w:rPr>
        <w:t xml:space="preserve"> </w:t>
      </w:r>
      <w:r w:rsidR="000409EA" w:rsidRPr="00EF2F18">
        <w:rPr>
          <w:b/>
          <w:bCs/>
          <w:sz w:val="22"/>
          <w:lang w:val="sr-Cyrl-RS"/>
        </w:rPr>
        <w:t>3.</w:t>
      </w:r>
      <w:r w:rsidR="007C33E8" w:rsidRPr="00EF2F18">
        <w:rPr>
          <w:b/>
          <w:bCs/>
          <w:sz w:val="22"/>
          <w:lang w:val="sr-Cyrl-RS"/>
        </w:rPr>
        <w:t>5</w:t>
      </w:r>
      <w:r w:rsidR="000409EA" w:rsidRPr="00EF2F18">
        <w:rPr>
          <w:b/>
          <w:bCs/>
          <w:sz w:val="22"/>
          <w:lang w:val="sr-Cyrl-RS"/>
        </w:rPr>
        <w:t>.</w:t>
      </w:r>
      <w:r w:rsidR="000409EA" w:rsidRPr="00EF2F18">
        <w:rPr>
          <w:sz w:val="22"/>
          <w:lang w:val="sr-Cyrl-RS"/>
        </w:rPr>
        <w:t xml:space="preserve"> </w:t>
      </w:r>
      <w:r w:rsidR="009B2082" w:rsidRPr="00EF2F18">
        <w:rPr>
          <w:rFonts w:cs="Times New Roman"/>
          <w:sz w:val="22"/>
          <w:lang w:val="sr-Cyrl-RS"/>
        </w:rPr>
        <w:t xml:space="preserve">Одступање средње годишње температуре (°C) у односу на средњу вредност референтног периода (1961-1990.). Вредности за Београд добијене су из осматрања на метеоролошкој станици Опсерваторија Београд на којој постоји најдужи низ осматрања (од 1888. године). Просечне вредности за целу Србију добијене су из два сета података: E-OBS (база података са интерполисаним дневним вредностима температура и падавина на резолуцији 10 km oд 1950. године) и DanubeClim (база дневних интерполисаних података резолуције 10 </w:t>
      </w:r>
      <w:r w:rsidR="009D72BE" w:rsidRPr="00EF2F18">
        <w:rPr>
          <w:rFonts w:cs="Times New Roman"/>
          <w:sz w:val="22"/>
          <w:lang w:val="sr-Cyrl-RS"/>
        </w:rPr>
        <w:t>km</w:t>
      </w:r>
      <w:r w:rsidR="009B2082" w:rsidRPr="00EF2F18">
        <w:rPr>
          <w:rFonts w:cs="Times New Roman"/>
          <w:sz w:val="22"/>
          <w:lang w:val="sr-Cyrl-RS"/>
        </w:rPr>
        <w:t xml:space="preserve"> за период 1961</w:t>
      </w:r>
      <w:r w:rsidR="000B35A3">
        <w:rPr>
          <w:rFonts w:cs="Times New Roman"/>
          <w:sz w:val="22"/>
          <w:lang w:val="sr-Cyrl-RS"/>
        </w:rPr>
        <w:t xml:space="preserve"> </w:t>
      </w:r>
      <w:r w:rsidR="009B2082" w:rsidRPr="00EF2F18">
        <w:rPr>
          <w:rFonts w:cs="Times New Roman"/>
          <w:sz w:val="22"/>
          <w:lang w:val="sr-Cyrl-RS"/>
        </w:rPr>
        <w:t>-</w:t>
      </w:r>
      <w:r w:rsidR="000B35A3">
        <w:rPr>
          <w:rFonts w:cs="Times New Roman"/>
          <w:sz w:val="22"/>
          <w:lang w:val="sr-Cyrl-RS"/>
        </w:rPr>
        <w:t xml:space="preserve"> </w:t>
      </w:r>
      <w:r w:rsidR="009B2082" w:rsidRPr="00EF2F18">
        <w:rPr>
          <w:rFonts w:cs="Times New Roman"/>
          <w:sz w:val="22"/>
          <w:lang w:val="sr-Cyrl-RS"/>
        </w:rPr>
        <w:t>2010.</w:t>
      </w:r>
      <w:r w:rsidR="000B35A3" w:rsidRPr="000B35A3">
        <w:rPr>
          <w:rFonts w:cs="Times New Roman"/>
          <w:iCs/>
          <w:sz w:val="22"/>
          <w:lang w:val="sr-Cyrl-RS"/>
        </w:rPr>
        <w:t xml:space="preserve"> </w:t>
      </w:r>
      <w:r w:rsidR="000B35A3">
        <w:rPr>
          <w:rFonts w:cs="Times New Roman"/>
          <w:iCs/>
          <w:sz w:val="22"/>
          <w:lang w:val="sr-Cyrl-RS"/>
        </w:rPr>
        <w:t>године</w:t>
      </w:r>
      <w:r w:rsidR="009B2082" w:rsidRPr="00EF2F18">
        <w:rPr>
          <w:rFonts w:cs="Times New Roman"/>
          <w:sz w:val="22"/>
          <w:lang w:val="sr-Cyrl-RS"/>
        </w:rPr>
        <w:t>)</w:t>
      </w:r>
    </w:p>
    <w:p w14:paraId="60E13B0D" w14:textId="77777777" w:rsidR="001F3887" w:rsidRPr="00EF2F18" w:rsidRDefault="001F3887" w:rsidP="00FE2048">
      <w:pPr>
        <w:spacing w:after="0"/>
        <w:ind w:firstLine="720"/>
        <w:jc w:val="both"/>
        <w:rPr>
          <w:rFonts w:cs="Times New Roman"/>
          <w:sz w:val="20"/>
          <w:szCs w:val="20"/>
          <w:lang w:val="sr-Cyrl-RS"/>
        </w:rPr>
      </w:pPr>
    </w:p>
    <w:p w14:paraId="3B53B8A6" w14:textId="77777777" w:rsidR="00855A71" w:rsidRPr="00EF2F18" w:rsidRDefault="00855A71" w:rsidP="00855A71">
      <w:pPr>
        <w:jc w:val="center"/>
        <w:rPr>
          <w:sz w:val="22"/>
          <w:lang w:val="sr-Cyrl-RS"/>
        </w:rPr>
      </w:pPr>
      <w:r w:rsidRPr="00EF2F18">
        <w:rPr>
          <w:noProof/>
          <w:sz w:val="22"/>
          <w:lang w:val="sr-Cyrl-RS" w:eastAsia="sr-Cyrl-RS"/>
        </w:rPr>
        <w:drawing>
          <wp:inline distT="0" distB="0" distL="0" distR="0" wp14:anchorId="3A7563F4" wp14:editId="32FC116B">
            <wp:extent cx="4420925" cy="1847551"/>
            <wp:effectExtent l="0" t="0" r="0" b="635"/>
            <wp:docPr id="75" name="Picture 75" descr="Chart, line char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line chartDescription automatically generated"/>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427167" cy="1850159"/>
                    </a:xfrm>
                    <a:prstGeom prst="rect">
                      <a:avLst/>
                    </a:prstGeom>
                    <a:noFill/>
                    <a:ln>
                      <a:noFill/>
                    </a:ln>
                  </pic:spPr>
                </pic:pic>
              </a:graphicData>
            </a:graphic>
          </wp:inline>
        </w:drawing>
      </w:r>
    </w:p>
    <w:p w14:paraId="15DF8170" w14:textId="5D1D2E09" w:rsidR="00855A71" w:rsidRPr="00EF2F18" w:rsidRDefault="00855A71" w:rsidP="00B34C5E">
      <w:pPr>
        <w:spacing w:after="0"/>
        <w:jc w:val="both"/>
        <w:rPr>
          <w:sz w:val="22"/>
          <w:lang w:val="sr-Cyrl-RS"/>
        </w:rPr>
      </w:pPr>
      <w:r w:rsidRPr="00EF2F18">
        <w:rPr>
          <w:b/>
          <w:bCs/>
          <w:sz w:val="22"/>
          <w:lang w:val="sr-Cyrl-RS"/>
        </w:rPr>
        <w:t xml:space="preserve">Слика </w:t>
      </w:r>
      <w:r w:rsidR="000409EA" w:rsidRPr="00EF2F18">
        <w:rPr>
          <w:b/>
          <w:bCs/>
          <w:sz w:val="22"/>
          <w:lang w:val="sr-Cyrl-RS"/>
        </w:rPr>
        <w:t>3.</w:t>
      </w:r>
      <w:r w:rsidR="007C33E8" w:rsidRPr="00EF2F18">
        <w:rPr>
          <w:b/>
          <w:bCs/>
          <w:sz w:val="22"/>
          <w:lang w:val="sr-Cyrl-RS"/>
        </w:rPr>
        <w:t>6</w:t>
      </w:r>
      <w:r w:rsidR="000409EA" w:rsidRPr="00EF2F18">
        <w:rPr>
          <w:b/>
          <w:bCs/>
          <w:sz w:val="22"/>
          <w:lang w:val="sr-Cyrl-RS"/>
        </w:rPr>
        <w:t>.</w:t>
      </w:r>
      <w:r w:rsidR="000409EA" w:rsidRPr="00EF2F18">
        <w:rPr>
          <w:sz w:val="22"/>
          <w:lang w:val="sr-Cyrl-RS"/>
        </w:rPr>
        <w:t xml:space="preserve"> </w:t>
      </w:r>
      <w:r w:rsidRPr="00EF2F18">
        <w:rPr>
          <w:sz w:val="22"/>
          <w:lang w:val="sr-Cyrl-RS"/>
        </w:rPr>
        <w:t>Одступања (</w:t>
      </w:r>
      <w:r w:rsidR="006D32B5">
        <w:rPr>
          <w:sz w:val="22"/>
          <w:lang w:val="sr-Cyrl-RS"/>
        </w:rPr>
        <w:t>аномалије) средњих годишњих тем</w:t>
      </w:r>
      <w:r w:rsidRPr="00EF2F18">
        <w:rPr>
          <w:sz w:val="22"/>
          <w:lang w:val="sr-Cyrl-RS"/>
        </w:rPr>
        <w:t>п</w:t>
      </w:r>
      <w:r w:rsidR="006D32B5">
        <w:rPr>
          <w:sz w:val="22"/>
          <w:lang w:val="sr-Cyrl-RS"/>
        </w:rPr>
        <w:t>е</w:t>
      </w:r>
      <w:r w:rsidRPr="00EF2F18">
        <w:rPr>
          <w:sz w:val="22"/>
          <w:lang w:val="sr-Cyrl-RS"/>
        </w:rPr>
        <w:t>ратура ваздуха, осредњених за територију Републике Србије, за период 1961</w:t>
      </w:r>
      <w:r w:rsidR="000B35A3">
        <w:rPr>
          <w:sz w:val="22"/>
          <w:lang w:val="sr-Cyrl-RS"/>
        </w:rPr>
        <w:t xml:space="preserve"> – </w:t>
      </w:r>
      <w:r w:rsidRPr="00EF2F18">
        <w:rPr>
          <w:sz w:val="22"/>
          <w:lang w:val="sr-Cyrl-RS"/>
        </w:rPr>
        <w:t>2020</w:t>
      </w:r>
      <w:r w:rsidR="00663FD4" w:rsidRPr="00EF2F18">
        <w:rPr>
          <w:sz w:val="22"/>
          <w:lang w:val="sr-Cyrl-RS"/>
        </w:rPr>
        <w:t>.</w:t>
      </w:r>
      <w:r w:rsidR="003A2709" w:rsidRPr="00EF2F18">
        <w:rPr>
          <w:rFonts w:cs="Times New Roman"/>
          <w:sz w:val="22"/>
          <w:lang w:val="sr-Cyrl-RS"/>
        </w:rPr>
        <w:t xml:space="preserve"> године</w:t>
      </w:r>
      <w:r w:rsidRPr="00EF2F18">
        <w:rPr>
          <w:sz w:val="22"/>
          <w:lang w:val="sr-Cyrl-RS"/>
        </w:rPr>
        <w:t xml:space="preserve"> у односу на средњу вредност референтног периода 1961</w:t>
      </w:r>
      <w:r w:rsidR="00FA0F3D">
        <w:rPr>
          <w:sz w:val="22"/>
          <w:lang w:val="sr-Cyrl-RS"/>
        </w:rPr>
        <w:t xml:space="preserve"> – </w:t>
      </w:r>
      <w:r w:rsidRPr="00EF2F18">
        <w:rPr>
          <w:sz w:val="22"/>
          <w:lang w:val="sr-Cyrl-RS"/>
        </w:rPr>
        <w:t>1990.</w:t>
      </w:r>
      <w:r w:rsidR="003A2709" w:rsidRPr="00EF2F18">
        <w:rPr>
          <w:rFonts w:cs="Times New Roman"/>
          <w:sz w:val="22"/>
          <w:lang w:val="sr-Cyrl-RS"/>
        </w:rPr>
        <w:t xml:space="preserve"> године.</w:t>
      </w:r>
    </w:p>
    <w:p w14:paraId="6E1EC8A7" w14:textId="4BA53DB5" w:rsidR="00841E62" w:rsidRPr="00EF2F18" w:rsidRDefault="00841E62" w:rsidP="00841E62">
      <w:pPr>
        <w:spacing w:after="0"/>
        <w:jc w:val="both"/>
        <w:rPr>
          <w:i/>
          <w:iCs/>
          <w:sz w:val="22"/>
          <w:lang w:val="sr-Cyrl-RS"/>
        </w:rPr>
      </w:pPr>
      <w:r w:rsidRPr="00EF2F18">
        <w:rPr>
          <w:i/>
          <w:iCs/>
          <w:sz w:val="22"/>
          <w:lang w:val="sr-Cyrl-RS"/>
        </w:rPr>
        <w:t xml:space="preserve">Извор: </w:t>
      </w:r>
      <w:r w:rsidR="00201D7A" w:rsidRPr="00EF2F18">
        <w:rPr>
          <w:i/>
          <w:iCs/>
          <w:sz w:val="22"/>
          <w:lang w:val="sr-Cyrl-RS"/>
        </w:rPr>
        <w:t>П</w:t>
      </w:r>
      <w:r w:rsidRPr="00EF2F18">
        <w:rPr>
          <w:i/>
          <w:iCs/>
          <w:sz w:val="22"/>
          <w:lang w:val="sr-Cyrl-RS"/>
        </w:rPr>
        <w:t xml:space="preserve">рограм </w:t>
      </w:r>
      <w:r w:rsidR="00663FD4" w:rsidRPr="00EF2F18">
        <w:rPr>
          <w:i/>
          <w:iCs/>
          <w:sz w:val="22"/>
          <w:lang w:val="sr-Cyrl-RS"/>
        </w:rPr>
        <w:t>прилагођавања</w:t>
      </w:r>
      <w:r w:rsidRPr="00EF2F18">
        <w:rPr>
          <w:i/>
          <w:iCs/>
          <w:sz w:val="22"/>
          <w:lang w:val="sr-Cyrl-RS"/>
        </w:rPr>
        <w:t xml:space="preserve"> на измењене климатске услове</w:t>
      </w:r>
      <w:r w:rsidR="00A44007" w:rsidRPr="00EF2F18">
        <w:rPr>
          <w:i/>
          <w:iCs/>
          <w:sz w:val="22"/>
          <w:lang w:val="sr-Cyrl-RS"/>
        </w:rPr>
        <w:t xml:space="preserve"> </w:t>
      </w:r>
      <w:r w:rsidR="009E57E9" w:rsidRPr="00EF2F18">
        <w:rPr>
          <w:rFonts w:cs="Times New Roman"/>
          <w:i/>
          <w:iCs/>
          <w:sz w:val="22"/>
          <w:lang w:val="sr-Cyrl-RS"/>
        </w:rPr>
        <w:t>за период од 2023. до 2030. године</w:t>
      </w:r>
      <w:r w:rsidRPr="00EF2F18">
        <w:rPr>
          <w:i/>
          <w:iCs/>
          <w:sz w:val="22"/>
          <w:lang w:val="sr-Cyrl-RS"/>
        </w:rPr>
        <w:t>, 2023.</w:t>
      </w:r>
    </w:p>
    <w:p w14:paraId="228FA23B" w14:textId="77777777" w:rsidR="00855A71" w:rsidRPr="00EF2F18" w:rsidRDefault="00855A71" w:rsidP="00FE2048">
      <w:pPr>
        <w:spacing w:after="0"/>
        <w:ind w:firstLine="720"/>
        <w:jc w:val="both"/>
        <w:rPr>
          <w:rFonts w:cs="Times New Roman"/>
          <w:sz w:val="22"/>
          <w:lang w:val="sr-Cyrl-RS"/>
        </w:rPr>
      </w:pPr>
    </w:p>
    <w:p w14:paraId="39B3344F" w14:textId="590D0AE7" w:rsidR="00AB2845" w:rsidRPr="00EF2F18" w:rsidRDefault="009B2082" w:rsidP="00186B13">
      <w:pPr>
        <w:spacing w:after="0"/>
        <w:ind w:firstLine="720"/>
        <w:jc w:val="both"/>
        <w:rPr>
          <w:rFonts w:cs="Times New Roman"/>
          <w:sz w:val="22"/>
          <w:lang w:val="sr-Cyrl-RS"/>
        </w:rPr>
      </w:pPr>
      <w:r w:rsidRPr="00EF2F18">
        <w:rPr>
          <w:rFonts w:cs="Times New Roman"/>
          <w:sz w:val="22"/>
          <w:lang w:val="sr-Cyrl-RS"/>
        </w:rPr>
        <w:t>У периоду 2011</w:t>
      </w:r>
      <w:r w:rsidR="00F8700B">
        <w:rPr>
          <w:rFonts w:cs="Times New Roman"/>
          <w:sz w:val="22"/>
          <w:lang w:val="sr-Cyrl-RS"/>
        </w:rPr>
        <w:t xml:space="preserve"> – </w:t>
      </w:r>
      <w:r w:rsidRPr="00EF2F18">
        <w:rPr>
          <w:rFonts w:cs="Times New Roman"/>
          <w:sz w:val="22"/>
          <w:lang w:val="sr-Cyrl-RS"/>
        </w:rPr>
        <w:t xml:space="preserve">2020. године са сушом на територији Србије су биле у просеку сваке друге године, док су се у клими 20. века јављале просечно једном у </w:t>
      </w:r>
      <w:r w:rsidR="00B57CFF" w:rsidRPr="00EF2F18">
        <w:rPr>
          <w:rFonts w:cs="Times New Roman"/>
          <w:sz w:val="22"/>
          <w:lang w:val="sr-Cyrl-RS"/>
        </w:rPr>
        <w:t>десет</w:t>
      </w:r>
      <w:r w:rsidRPr="00EF2F18">
        <w:rPr>
          <w:rFonts w:cs="Times New Roman"/>
          <w:sz w:val="22"/>
          <w:lang w:val="sr-Cyrl-RS"/>
        </w:rPr>
        <w:t xml:space="preserve"> година. Топлотни услови током лета су готово сваке године у домену екстремних услова у поређењу са условима током ове сезоне у клими 20. века. Дошло је до повећања учесталости и интензитета догађаја са екстремним падавинама. Количина падавина која падне у облику екстремних падавина се дуплирала. Ово су само неке најупечатљивије карактеристике климатских промена у</w:t>
      </w:r>
      <w:r w:rsidR="00990B31" w:rsidRPr="00EF2F18">
        <w:rPr>
          <w:rFonts w:cs="Times New Roman"/>
          <w:sz w:val="22"/>
          <w:lang w:val="sr-Cyrl-RS"/>
        </w:rPr>
        <w:t xml:space="preserve"> Републици</w:t>
      </w:r>
      <w:r w:rsidR="006C2E00" w:rsidRPr="00EF2F18">
        <w:rPr>
          <w:rFonts w:cs="Times New Roman"/>
          <w:sz w:val="22"/>
          <w:lang w:val="sr-Cyrl-RS"/>
        </w:rPr>
        <w:t xml:space="preserve"> </w:t>
      </w:r>
      <w:r w:rsidRPr="00EF2F18">
        <w:rPr>
          <w:rFonts w:cs="Times New Roman"/>
          <w:sz w:val="22"/>
          <w:lang w:val="sr-Cyrl-RS"/>
        </w:rPr>
        <w:t>Србији које су већ осмотрене</w:t>
      </w:r>
      <w:r w:rsidR="00AB2845" w:rsidRPr="00EF2F18">
        <w:rPr>
          <w:rFonts w:cs="Times New Roman"/>
          <w:sz w:val="22"/>
          <w:lang w:val="sr-Cyrl-RS"/>
        </w:rPr>
        <w:t>.</w:t>
      </w:r>
    </w:p>
    <w:p w14:paraId="42E891B9" w14:textId="77777777" w:rsidR="003B1385" w:rsidRPr="00EF2F18" w:rsidRDefault="003B1385" w:rsidP="00FE2048">
      <w:pPr>
        <w:spacing w:after="0"/>
        <w:ind w:firstLine="720"/>
        <w:jc w:val="both"/>
        <w:rPr>
          <w:rFonts w:cs="Times New Roman"/>
          <w:sz w:val="22"/>
          <w:lang w:val="sr-Cyrl-RS"/>
        </w:rPr>
      </w:pPr>
    </w:p>
    <w:p w14:paraId="72B242CE" w14:textId="77777777" w:rsidR="003B1385" w:rsidRPr="00EF2F18" w:rsidRDefault="003B1385" w:rsidP="003B1385">
      <w:pPr>
        <w:jc w:val="center"/>
        <w:rPr>
          <w:sz w:val="20"/>
          <w:lang w:val="sr-Cyrl-RS"/>
        </w:rPr>
      </w:pPr>
      <w:r w:rsidRPr="00EF2F18">
        <w:rPr>
          <w:noProof/>
          <w:sz w:val="20"/>
          <w:lang w:val="sr-Cyrl-RS" w:eastAsia="sr-Cyrl-RS"/>
        </w:rPr>
        <w:lastRenderedPageBreak/>
        <w:drawing>
          <wp:inline distT="0" distB="0" distL="0" distR="0" wp14:anchorId="7821633C" wp14:editId="7FE282C5">
            <wp:extent cx="4261899" cy="1786977"/>
            <wp:effectExtent l="0" t="0" r="5715" b="3810"/>
            <wp:docPr id="66" name="Picture 66" descr="Chart, line chart, waterfall char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rt, line chart, waterfall chartDescription automatically generated"/>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266618" cy="1788956"/>
                    </a:xfrm>
                    <a:prstGeom prst="rect">
                      <a:avLst/>
                    </a:prstGeom>
                    <a:noFill/>
                    <a:ln>
                      <a:noFill/>
                    </a:ln>
                  </pic:spPr>
                </pic:pic>
              </a:graphicData>
            </a:graphic>
          </wp:inline>
        </w:drawing>
      </w:r>
    </w:p>
    <w:p w14:paraId="3BB9C781" w14:textId="08E82BF1" w:rsidR="003B1385" w:rsidRPr="00EF2F18" w:rsidRDefault="003B1385" w:rsidP="003B1385">
      <w:pPr>
        <w:spacing w:after="0"/>
        <w:jc w:val="both"/>
        <w:rPr>
          <w:sz w:val="22"/>
          <w:lang w:val="sr-Cyrl-RS"/>
        </w:rPr>
      </w:pPr>
      <w:r w:rsidRPr="00EF2F18">
        <w:rPr>
          <w:b/>
          <w:bCs/>
          <w:sz w:val="22"/>
          <w:lang w:val="sr-Cyrl-RS"/>
        </w:rPr>
        <w:t xml:space="preserve">Слика </w:t>
      </w:r>
      <w:r w:rsidR="000409EA" w:rsidRPr="00EF2F18">
        <w:rPr>
          <w:b/>
          <w:bCs/>
          <w:sz w:val="22"/>
          <w:lang w:val="sr-Cyrl-RS"/>
        </w:rPr>
        <w:t>3.</w:t>
      </w:r>
      <w:r w:rsidR="007C33E8" w:rsidRPr="00EF2F18">
        <w:rPr>
          <w:b/>
          <w:bCs/>
          <w:sz w:val="22"/>
          <w:lang w:val="sr-Cyrl-RS"/>
        </w:rPr>
        <w:t>7</w:t>
      </w:r>
      <w:r w:rsidR="000409EA" w:rsidRPr="00EF2F18">
        <w:rPr>
          <w:b/>
          <w:bCs/>
          <w:sz w:val="22"/>
          <w:lang w:val="sr-Cyrl-RS"/>
        </w:rPr>
        <w:t>.</w:t>
      </w:r>
      <w:r w:rsidR="000409EA" w:rsidRPr="00EF2F18">
        <w:rPr>
          <w:sz w:val="22"/>
          <w:lang w:val="sr-Cyrl-RS"/>
        </w:rPr>
        <w:t xml:space="preserve"> </w:t>
      </w:r>
      <w:r w:rsidRPr="00EF2F18">
        <w:rPr>
          <w:sz w:val="22"/>
          <w:lang w:val="sr-Cyrl-RS"/>
        </w:rPr>
        <w:t>Одступања (аномалије) средњих годишњих сума падавина, које се излуче на територији Републике Србије, за период 1961-2020, у односу на средњу вредност референтног периода 1961</w:t>
      </w:r>
      <w:r w:rsidR="00D72BD3" w:rsidRPr="00EF2F18">
        <w:rPr>
          <w:sz w:val="22"/>
          <w:lang w:val="sr-Cyrl-RS"/>
        </w:rPr>
        <w:t xml:space="preserve"> – </w:t>
      </w:r>
      <w:r w:rsidRPr="00EF2F18">
        <w:rPr>
          <w:sz w:val="22"/>
          <w:lang w:val="sr-Cyrl-RS"/>
        </w:rPr>
        <w:t>1990.</w:t>
      </w:r>
      <w:r w:rsidR="00D72BD3" w:rsidRPr="00EF2F18">
        <w:rPr>
          <w:iCs/>
          <w:sz w:val="22"/>
          <w:lang w:val="sr-Cyrl-RS"/>
        </w:rPr>
        <w:t xml:space="preserve"> године</w:t>
      </w:r>
    </w:p>
    <w:p w14:paraId="612784A4" w14:textId="6DC822DF" w:rsidR="003B1385" w:rsidRPr="00EF2F18" w:rsidRDefault="003B1385" w:rsidP="003B1385">
      <w:pPr>
        <w:spacing w:after="0"/>
        <w:jc w:val="both"/>
        <w:rPr>
          <w:i/>
          <w:iCs/>
          <w:sz w:val="20"/>
          <w:szCs w:val="20"/>
          <w:lang w:val="sr-Cyrl-RS"/>
        </w:rPr>
      </w:pPr>
      <w:r w:rsidRPr="00EF2F18">
        <w:rPr>
          <w:i/>
          <w:iCs/>
          <w:sz w:val="22"/>
          <w:lang w:val="sr-Cyrl-RS"/>
        </w:rPr>
        <w:t xml:space="preserve">Извор: </w:t>
      </w:r>
      <w:r w:rsidR="00201D7A" w:rsidRPr="00EF2F18">
        <w:rPr>
          <w:i/>
          <w:iCs/>
          <w:sz w:val="22"/>
          <w:lang w:val="sr-Cyrl-RS"/>
        </w:rPr>
        <w:t xml:space="preserve">Програм </w:t>
      </w:r>
      <w:r w:rsidR="00663FD4" w:rsidRPr="00EF2F18">
        <w:rPr>
          <w:i/>
          <w:iCs/>
          <w:sz w:val="22"/>
          <w:lang w:val="sr-Cyrl-RS"/>
        </w:rPr>
        <w:t>прилагођавања</w:t>
      </w:r>
      <w:r w:rsidRPr="00EF2F18">
        <w:rPr>
          <w:i/>
          <w:iCs/>
          <w:sz w:val="22"/>
          <w:lang w:val="sr-Cyrl-RS"/>
        </w:rPr>
        <w:t xml:space="preserve"> на измењене климатске услове</w:t>
      </w:r>
      <w:r w:rsidR="008C1034" w:rsidRPr="00EF2F18">
        <w:rPr>
          <w:i/>
          <w:iCs/>
          <w:sz w:val="22"/>
          <w:lang w:val="sr-Cyrl-RS"/>
        </w:rPr>
        <w:t xml:space="preserve"> </w:t>
      </w:r>
      <w:r w:rsidR="009E57E9" w:rsidRPr="00EF2F18">
        <w:rPr>
          <w:i/>
          <w:iCs/>
          <w:sz w:val="22"/>
          <w:lang w:val="sr-Cyrl-RS"/>
        </w:rPr>
        <w:t>за период од 2023. до 2030. године</w:t>
      </w:r>
      <w:r w:rsidRPr="00EF2F18">
        <w:rPr>
          <w:i/>
          <w:iCs/>
          <w:sz w:val="22"/>
          <w:lang w:val="sr-Cyrl-RS"/>
        </w:rPr>
        <w:t>, 2023</w:t>
      </w:r>
      <w:r w:rsidRPr="00EF2F18">
        <w:rPr>
          <w:i/>
          <w:iCs/>
          <w:sz w:val="20"/>
          <w:szCs w:val="20"/>
          <w:lang w:val="sr-Cyrl-RS"/>
        </w:rPr>
        <w:t>.</w:t>
      </w:r>
    </w:p>
    <w:p w14:paraId="44186D2E" w14:textId="77777777" w:rsidR="003B1385" w:rsidRPr="00EF2F18" w:rsidRDefault="003B1385" w:rsidP="003B1385">
      <w:pPr>
        <w:spacing w:after="0"/>
        <w:ind w:firstLine="720"/>
        <w:jc w:val="both"/>
        <w:rPr>
          <w:rFonts w:cs="Times New Roman"/>
          <w:sz w:val="22"/>
          <w:lang w:val="sr-Cyrl-RS"/>
        </w:rPr>
      </w:pPr>
    </w:p>
    <w:p w14:paraId="2A069687" w14:textId="62270481" w:rsidR="00EE54A8" w:rsidRPr="00EF2F18" w:rsidRDefault="00EE54A8" w:rsidP="00EE54A8">
      <w:pPr>
        <w:spacing w:after="0"/>
        <w:ind w:firstLine="720"/>
        <w:jc w:val="both"/>
        <w:rPr>
          <w:rFonts w:eastAsia="Times New Roman" w:cs="Times New Roman"/>
          <w:kern w:val="2"/>
          <w:sz w:val="22"/>
          <w:lang w:val="sr-Cyrl-RS"/>
        </w:rPr>
      </w:pPr>
      <w:r w:rsidRPr="00EF2F18">
        <w:rPr>
          <w:rFonts w:eastAsia="Times New Roman" w:cs="Times New Roman"/>
          <w:kern w:val="2"/>
          <w:sz w:val="22"/>
          <w:lang w:val="sr-Cyrl-RS"/>
        </w:rPr>
        <w:t>Према Програму прилагођавања на измењене климатске услове за период 2023</w:t>
      </w:r>
      <w:r w:rsidR="00D72BD3" w:rsidRPr="00EF2F18">
        <w:rPr>
          <w:rFonts w:eastAsia="Times New Roman" w:cs="Times New Roman"/>
          <w:kern w:val="2"/>
          <w:sz w:val="22"/>
          <w:lang w:val="sr-Cyrl-RS"/>
        </w:rPr>
        <w:t xml:space="preserve"> – </w:t>
      </w:r>
      <w:r w:rsidRPr="00EF2F18">
        <w:rPr>
          <w:rFonts w:eastAsia="Times New Roman" w:cs="Times New Roman"/>
          <w:kern w:val="2"/>
          <w:sz w:val="22"/>
          <w:lang w:val="sr-Cyrl-RS"/>
        </w:rPr>
        <w:t xml:space="preserve">2030. године, климатске опасности које највише наносе штете и губитке у Републици Србији и чији се интензитет и учесталост повећавају услед промена климе су: топлотни таласи, интензивне падавине и суше. Друге климатске опасности изазване климатским променама а делују у зависности од карактеристика региона су: поплаве, клизишта, одрони, пожари, итд. </w:t>
      </w:r>
    </w:p>
    <w:p w14:paraId="1D5A840A" w14:textId="30C5F403" w:rsidR="009B2082" w:rsidRPr="00EF2F18" w:rsidRDefault="009B2082" w:rsidP="009B2082">
      <w:pPr>
        <w:spacing w:after="0"/>
        <w:ind w:firstLine="720"/>
        <w:jc w:val="both"/>
        <w:rPr>
          <w:rFonts w:cs="Times New Roman"/>
          <w:sz w:val="22"/>
          <w:lang w:val="sr-Cyrl-RS"/>
        </w:rPr>
      </w:pPr>
      <w:r w:rsidRPr="00EF2F18">
        <w:rPr>
          <w:rFonts w:cs="Times New Roman"/>
          <w:sz w:val="22"/>
          <w:lang w:val="sr-Cyrl-RS"/>
        </w:rPr>
        <w:t>Пројекције климатских промена са великом сигурношћу утврђују да ће очекивана промена средње температуре за период 2021</w:t>
      </w:r>
      <w:r w:rsidR="00F8700B">
        <w:rPr>
          <w:rFonts w:cs="Times New Roman"/>
          <w:sz w:val="22"/>
          <w:lang w:val="sr-Cyrl-RS"/>
        </w:rPr>
        <w:t xml:space="preserve"> </w:t>
      </w:r>
      <w:r w:rsidRPr="00EF2F18">
        <w:rPr>
          <w:rFonts w:cs="Times New Roman"/>
          <w:sz w:val="22"/>
          <w:lang w:val="sr-Cyrl-RS"/>
        </w:rPr>
        <w:t>-</w:t>
      </w:r>
      <w:r w:rsidR="00F8700B">
        <w:rPr>
          <w:rFonts w:cs="Times New Roman"/>
          <w:sz w:val="22"/>
          <w:lang w:val="sr-Cyrl-RS"/>
        </w:rPr>
        <w:t xml:space="preserve"> </w:t>
      </w:r>
      <w:r w:rsidRPr="00EF2F18">
        <w:rPr>
          <w:rFonts w:cs="Times New Roman"/>
          <w:sz w:val="22"/>
          <w:lang w:val="sr-Cyrl-RS"/>
        </w:rPr>
        <w:t>2040.</w:t>
      </w:r>
      <w:r w:rsidR="00D72BD3" w:rsidRPr="00EF2F18">
        <w:rPr>
          <w:rFonts w:cs="Times New Roman"/>
          <w:iCs/>
          <w:sz w:val="22"/>
          <w:lang w:val="sr-Cyrl-RS"/>
        </w:rPr>
        <w:t xml:space="preserve"> године</w:t>
      </w:r>
      <w:r w:rsidRPr="00EF2F18">
        <w:rPr>
          <w:rFonts w:cs="Times New Roman"/>
          <w:sz w:val="22"/>
          <w:lang w:val="sr-Cyrl-RS"/>
        </w:rPr>
        <w:t xml:space="preserve"> у односу на 1961-1990. </w:t>
      </w:r>
      <w:r w:rsidR="00D72BD3" w:rsidRPr="00EF2F18">
        <w:rPr>
          <w:rFonts w:cs="Times New Roman"/>
          <w:iCs/>
          <w:sz w:val="22"/>
          <w:lang w:val="sr-Cyrl-RS"/>
        </w:rPr>
        <w:t>годину</w:t>
      </w:r>
      <w:r w:rsidR="00D72BD3" w:rsidRPr="00EF2F18">
        <w:rPr>
          <w:rFonts w:cs="Times New Roman"/>
          <w:sz w:val="22"/>
          <w:lang w:val="sr-Cyrl-RS"/>
        </w:rPr>
        <w:t xml:space="preserve"> </w:t>
      </w:r>
      <w:r w:rsidRPr="00EF2F18">
        <w:rPr>
          <w:rFonts w:cs="Times New Roman"/>
          <w:sz w:val="22"/>
          <w:lang w:val="sr-Cyrl-RS"/>
        </w:rPr>
        <w:t>бити око 2,2°C, док за период 2041</w:t>
      </w:r>
      <w:r w:rsidR="00F8700B">
        <w:rPr>
          <w:rFonts w:cs="Times New Roman"/>
          <w:sz w:val="22"/>
          <w:lang w:val="sr-Cyrl-RS"/>
        </w:rPr>
        <w:t xml:space="preserve"> </w:t>
      </w:r>
      <w:r w:rsidRPr="00EF2F18">
        <w:rPr>
          <w:rFonts w:cs="Times New Roman"/>
          <w:sz w:val="22"/>
          <w:lang w:val="sr-Cyrl-RS"/>
        </w:rPr>
        <w:t>-</w:t>
      </w:r>
      <w:r w:rsidR="00F8700B">
        <w:rPr>
          <w:rFonts w:cs="Times New Roman"/>
          <w:sz w:val="22"/>
          <w:lang w:val="sr-Cyrl-RS"/>
        </w:rPr>
        <w:t xml:space="preserve"> </w:t>
      </w:r>
      <w:r w:rsidRPr="00EF2F18">
        <w:rPr>
          <w:rFonts w:cs="Times New Roman"/>
          <w:sz w:val="22"/>
          <w:lang w:val="sr-Cyrl-RS"/>
        </w:rPr>
        <w:t>2060</w:t>
      </w:r>
      <w:r w:rsidR="00187D5B" w:rsidRPr="00EF2F18">
        <w:rPr>
          <w:rFonts w:cs="Times New Roman"/>
          <w:sz w:val="22"/>
          <w:lang w:val="sr-Cyrl-RS"/>
        </w:rPr>
        <w:t>.</w:t>
      </w:r>
      <w:r w:rsidRPr="00EF2F18">
        <w:rPr>
          <w:rFonts w:cs="Times New Roman"/>
          <w:sz w:val="22"/>
          <w:lang w:val="sr-Cyrl-RS"/>
        </w:rPr>
        <w:t xml:space="preserve"> </w:t>
      </w:r>
      <w:r w:rsidR="00D72BD3" w:rsidRPr="00EF2F18">
        <w:rPr>
          <w:rFonts w:cs="Times New Roman"/>
          <w:iCs/>
          <w:sz w:val="22"/>
          <w:lang w:val="sr-Cyrl-RS"/>
        </w:rPr>
        <w:t>године</w:t>
      </w:r>
      <w:r w:rsidR="00D72BD3" w:rsidRPr="00EF2F18">
        <w:rPr>
          <w:rFonts w:cs="Times New Roman"/>
          <w:sz w:val="22"/>
          <w:lang w:val="sr-Cyrl-RS"/>
        </w:rPr>
        <w:t xml:space="preserve"> </w:t>
      </w:r>
      <w:r w:rsidRPr="00EF2F18">
        <w:rPr>
          <w:rFonts w:cs="Times New Roman"/>
          <w:sz w:val="22"/>
          <w:lang w:val="sr-Cyrl-RS"/>
        </w:rPr>
        <w:t>у односу на 1961</w:t>
      </w:r>
      <w:r w:rsidR="00F8700B">
        <w:rPr>
          <w:rFonts w:cs="Times New Roman"/>
          <w:sz w:val="22"/>
          <w:lang w:val="sr-Cyrl-RS"/>
        </w:rPr>
        <w:t xml:space="preserve"> </w:t>
      </w:r>
      <w:r w:rsidRPr="00EF2F18">
        <w:rPr>
          <w:rFonts w:cs="Times New Roman"/>
          <w:sz w:val="22"/>
          <w:lang w:val="sr-Cyrl-RS"/>
        </w:rPr>
        <w:t>-</w:t>
      </w:r>
      <w:r w:rsidR="00F8700B">
        <w:rPr>
          <w:rFonts w:cs="Times New Roman"/>
          <w:sz w:val="22"/>
          <w:lang w:val="sr-Cyrl-RS"/>
        </w:rPr>
        <w:t xml:space="preserve"> </w:t>
      </w:r>
      <w:r w:rsidRPr="00EF2F18">
        <w:rPr>
          <w:rFonts w:cs="Times New Roman"/>
          <w:sz w:val="22"/>
          <w:lang w:val="sr-Cyrl-RS"/>
        </w:rPr>
        <w:t>1990.</w:t>
      </w:r>
      <w:r w:rsidR="00D72BD3" w:rsidRPr="00EF2F18">
        <w:rPr>
          <w:rFonts w:cs="Times New Roman"/>
          <w:iCs/>
          <w:sz w:val="22"/>
          <w:lang w:val="sr-Cyrl-RS"/>
        </w:rPr>
        <w:t xml:space="preserve"> годину</w:t>
      </w:r>
      <w:r w:rsidRPr="00EF2F18">
        <w:rPr>
          <w:rFonts w:cs="Times New Roman"/>
          <w:sz w:val="22"/>
          <w:lang w:val="sr-Cyrl-RS"/>
        </w:rPr>
        <w:t xml:space="preserve"> биће већа од 2,5°C, а највероватније око 3,1°C. Пораст средње температуре у периоду 2081</w:t>
      </w:r>
      <w:r w:rsidR="00F8700B">
        <w:rPr>
          <w:rFonts w:cs="Times New Roman"/>
          <w:sz w:val="22"/>
          <w:lang w:val="sr-Cyrl-RS"/>
        </w:rPr>
        <w:t xml:space="preserve"> </w:t>
      </w:r>
      <w:r w:rsidRPr="00EF2F18">
        <w:rPr>
          <w:rFonts w:cs="Times New Roman"/>
          <w:sz w:val="22"/>
          <w:lang w:val="sr-Cyrl-RS"/>
        </w:rPr>
        <w:t>-</w:t>
      </w:r>
      <w:r w:rsidR="00F8700B">
        <w:rPr>
          <w:rFonts w:cs="Times New Roman"/>
          <w:sz w:val="22"/>
          <w:lang w:val="sr-Cyrl-RS"/>
        </w:rPr>
        <w:t xml:space="preserve"> </w:t>
      </w:r>
      <w:r w:rsidRPr="00EF2F18">
        <w:rPr>
          <w:rFonts w:cs="Times New Roman"/>
          <w:sz w:val="22"/>
          <w:lang w:val="sr-Cyrl-RS"/>
        </w:rPr>
        <w:t xml:space="preserve">2100. </w:t>
      </w:r>
      <w:r w:rsidR="00D72BD3" w:rsidRPr="00EF2F18">
        <w:rPr>
          <w:rFonts w:cs="Times New Roman"/>
          <w:iCs/>
          <w:sz w:val="22"/>
          <w:lang w:val="sr-Cyrl-RS"/>
        </w:rPr>
        <w:t>године</w:t>
      </w:r>
      <w:r w:rsidR="00D72BD3" w:rsidRPr="00EF2F18">
        <w:rPr>
          <w:rFonts w:cs="Times New Roman"/>
          <w:sz w:val="22"/>
          <w:lang w:val="sr-Cyrl-RS"/>
        </w:rPr>
        <w:t xml:space="preserve"> </w:t>
      </w:r>
      <w:r w:rsidRPr="00EF2F18">
        <w:rPr>
          <w:rFonts w:cs="Times New Roman"/>
          <w:sz w:val="22"/>
          <w:lang w:val="sr-Cyrl-RS"/>
        </w:rPr>
        <w:t>очекује се да буде највероватније око 3,1°C по RCP4.5 и чак 5,8°C по RCP8.5 сценарију, у односу на вредност за референтни период 1961</w:t>
      </w:r>
      <w:r w:rsidR="00F8700B">
        <w:rPr>
          <w:rFonts w:cs="Times New Roman"/>
          <w:sz w:val="22"/>
          <w:lang w:val="sr-Cyrl-RS"/>
        </w:rPr>
        <w:t xml:space="preserve"> </w:t>
      </w:r>
      <w:r w:rsidR="004E449F">
        <w:rPr>
          <w:rFonts w:cs="Times New Roman"/>
          <w:sz w:val="22"/>
          <w:lang w:val="sr-Cyrl-RS"/>
        </w:rPr>
        <w:t>–</w:t>
      </w:r>
      <w:r w:rsidR="00F8700B">
        <w:rPr>
          <w:rFonts w:cs="Times New Roman"/>
          <w:sz w:val="22"/>
          <w:lang w:val="sr-Cyrl-RS"/>
        </w:rPr>
        <w:t xml:space="preserve"> </w:t>
      </w:r>
      <w:r w:rsidRPr="00EF2F18">
        <w:rPr>
          <w:rFonts w:cs="Times New Roman"/>
          <w:sz w:val="22"/>
          <w:lang w:val="sr-Cyrl-RS"/>
        </w:rPr>
        <w:t>1990.</w:t>
      </w:r>
      <w:r w:rsidR="00F8700B" w:rsidRPr="00F8700B">
        <w:rPr>
          <w:rFonts w:cs="Times New Roman"/>
          <w:iCs/>
          <w:sz w:val="22"/>
          <w:lang w:val="sr-Cyrl-RS"/>
        </w:rPr>
        <w:t xml:space="preserve"> </w:t>
      </w:r>
      <w:r w:rsidR="00F8700B">
        <w:rPr>
          <w:rFonts w:cs="Times New Roman"/>
          <w:iCs/>
          <w:sz w:val="22"/>
          <w:lang w:val="sr-Cyrl-RS"/>
        </w:rPr>
        <w:t>године.</w:t>
      </w:r>
      <w:r w:rsidRPr="00EF2F18">
        <w:rPr>
          <w:rFonts w:cs="Times New Roman"/>
          <w:sz w:val="22"/>
          <w:lang w:val="sr-Cyrl-RS"/>
        </w:rPr>
        <w:t xml:space="preserve"> Анализе показују да је извесно да ће средином 21. века пораст средње температуре ваздуха превазићи 3°С на територији Србије. Очекује се да ће тада свака година бити са сушом, док ће се екстремне суше, као она 2012. године, појављивати у </w:t>
      </w:r>
      <w:r w:rsidR="00B57CFF" w:rsidRPr="00EF2F18">
        <w:rPr>
          <w:rFonts w:cs="Times New Roman"/>
          <w:sz w:val="22"/>
          <w:lang w:val="sr-Cyrl-RS"/>
        </w:rPr>
        <w:t>три</w:t>
      </w:r>
      <w:r w:rsidRPr="00EF2F18">
        <w:rPr>
          <w:rFonts w:cs="Times New Roman"/>
          <w:sz w:val="22"/>
          <w:lang w:val="sr-Cyrl-RS"/>
        </w:rPr>
        <w:t xml:space="preserve"> до </w:t>
      </w:r>
      <w:r w:rsidR="00B57CFF" w:rsidRPr="00EF2F18">
        <w:rPr>
          <w:rFonts w:cs="Times New Roman"/>
          <w:sz w:val="22"/>
          <w:lang w:val="sr-Cyrl-RS"/>
        </w:rPr>
        <w:t>четири</w:t>
      </w:r>
      <w:r w:rsidRPr="00EF2F18">
        <w:rPr>
          <w:rFonts w:cs="Times New Roman"/>
          <w:sz w:val="22"/>
          <w:lang w:val="sr-Cyrl-RS"/>
        </w:rPr>
        <w:t xml:space="preserve"> године по деценији. Током 2021. и 2022. године, када су лета такође била екстремно топла, такође су забележени приноси нижи од просека по прелиминарним подацима преко 20% у 2022. години. Од свих гајених култура под највећим ризиком од високих температур</w:t>
      </w:r>
      <w:r w:rsidR="00C2742B" w:rsidRPr="00EF2F18">
        <w:rPr>
          <w:rFonts w:cs="Times New Roman"/>
          <w:sz w:val="22"/>
          <w:lang w:val="sr-Cyrl-RS"/>
        </w:rPr>
        <w:t>а</w:t>
      </w:r>
      <w:r w:rsidRPr="00EF2F18">
        <w:rPr>
          <w:rFonts w:cs="Times New Roman"/>
          <w:sz w:val="22"/>
          <w:lang w:val="sr-Cyrl-RS"/>
        </w:rPr>
        <w:t xml:space="preserve"> и суше је кукуруз, због велике осетљивости на високе температуре и суше у време њиховог појављивања. До половине </w:t>
      </w:r>
      <w:r w:rsidR="00E65C16" w:rsidRPr="00EF2F18">
        <w:rPr>
          <w:rFonts w:cs="Times New Roman"/>
          <w:sz w:val="22"/>
          <w:lang w:val="sr-Cyrl-RS"/>
        </w:rPr>
        <w:t>21.</w:t>
      </w:r>
      <w:r w:rsidRPr="00EF2F18">
        <w:rPr>
          <w:rFonts w:cs="Times New Roman"/>
          <w:sz w:val="22"/>
          <w:lang w:val="sr-Cyrl-RS"/>
        </w:rPr>
        <w:t xml:space="preserve"> века ризици могу достићи највиши ниво и могу се очекивати негативни утицаји ризика чешће од сваке друге године. Очекује се повећање ризика од екстремних падавина на преко половине територије Србије. Летња сезона ће постајати сушнија, док ће се падавине повећавати у хладнијем делу године. У другој половини </w:t>
      </w:r>
      <w:r w:rsidR="00E65C16" w:rsidRPr="00EF2F18">
        <w:rPr>
          <w:rFonts w:cs="Times New Roman"/>
          <w:sz w:val="22"/>
          <w:lang w:val="sr-Cyrl-RS"/>
        </w:rPr>
        <w:t>21.</w:t>
      </w:r>
      <w:r w:rsidRPr="00EF2F18">
        <w:rPr>
          <w:rFonts w:cs="Times New Roman"/>
          <w:sz w:val="22"/>
          <w:lang w:val="sr-Cyrl-RS"/>
        </w:rPr>
        <w:t xml:space="preserve"> века, у зависности од глобалних напора у митигацији климатских промена, промене климатских услова процењене до половине </w:t>
      </w:r>
      <w:r w:rsidR="00E65C16" w:rsidRPr="00EF2F18">
        <w:rPr>
          <w:rFonts w:cs="Times New Roman"/>
          <w:sz w:val="22"/>
          <w:lang w:val="sr-Cyrl-RS"/>
        </w:rPr>
        <w:t>21.</w:t>
      </w:r>
      <w:r w:rsidRPr="00EF2F18">
        <w:rPr>
          <w:rFonts w:cs="Times New Roman"/>
          <w:sz w:val="22"/>
          <w:lang w:val="sr-Cyrl-RS"/>
        </w:rPr>
        <w:t xml:space="preserve"> века се могу стабилизовати или се промене могу даље појачавати. Процене показују да ће доћи до продужења маловодног периода у домаћим рекама, да ће се смањити минимални протоци, али повећати максимални протоци што указује на опасност од бујица. Такође, процењен је значајан пад у брзини обнављања подземних вода. Неповољна расподела падавина продукује вишак воде у периоду са смањеном потребом, док климатске промене утичу на смањење падавина у периоду са повећаним потребама. </w:t>
      </w:r>
    </w:p>
    <w:p w14:paraId="0D35A280" w14:textId="6A11F563" w:rsidR="00CD0755" w:rsidRDefault="00EA2AC2" w:rsidP="00CD0755">
      <w:pPr>
        <w:spacing w:after="0"/>
        <w:ind w:firstLine="720"/>
        <w:jc w:val="both"/>
        <w:rPr>
          <w:rFonts w:cs="Times New Roman"/>
          <w:sz w:val="22"/>
          <w:lang w:val="sr-Cyrl-RS"/>
        </w:rPr>
      </w:pPr>
      <w:r w:rsidRPr="00EF2F18">
        <w:rPr>
          <w:rFonts w:cs="Times New Roman"/>
          <w:sz w:val="22"/>
          <w:lang w:val="sr-Cyrl-RS"/>
        </w:rPr>
        <w:t>Укупна минимална сума материјалних штета изазваних екстремним климатским и временским условима, у периоду 2000 – 2020. годин</w:t>
      </w:r>
      <w:r w:rsidR="00D72BD3" w:rsidRPr="00EF2F18">
        <w:rPr>
          <w:rFonts w:cs="Times New Roman"/>
          <w:sz w:val="22"/>
          <w:lang w:val="sr-Cyrl-RS"/>
        </w:rPr>
        <w:t>е</w:t>
      </w:r>
      <w:r w:rsidRPr="00EF2F18">
        <w:rPr>
          <w:rFonts w:cs="Times New Roman"/>
          <w:sz w:val="22"/>
          <w:lang w:val="sr-Cyrl-RS"/>
        </w:rPr>
        <w:t xml:space="preserve">, износи 6,8 милијарди </w:t>
      </w:r>
      <w:r w:rsidR="00637A2D" w:rsidRPr="00EF2F18">
        <w:rPr>
          <w:rFonts w:cs="Times New Roman"/>
          <w:sz w:val="22"/>
          <w:lang w:val="sr-Cyrl-RS"/>
        </w:rPr>
        <w:t>ЕУР</w:t>
      </w:r>
      <w:r w:rsidRPr="00EF2F18">
        <w:rPr>
          <w:rFonts w:cs="Times New Roman"/>
          <w:sz w:val="22"/>
          <w:lang w:val="sr-Cyrl-RS"/>
        </w:rPr>
        <w:t xml:space="preserve">. Више од 70% штета настале су услед суша и високих температура изазваних променом климе и екстремним временским догађајима. Други главни узрок значајних губитака биле су поплаве. Пораст средње глобалне температуре до краја века у оквирима одређеним Споразумом из Париза (испод 2°C) водило би губитку БДП-а </w:t>
      </w:r>
      <w:r w:rsidR="00D72BD3" w:rsidRPr="00EF2F18">
        <w:rPr>
          <w:rFonts w:cs="Times New Roman"/>
          <w:bCs/>
          <w:sz w:val="22"/>
          <w:lang w:val="sr-Cyrl-RS"/>
        </w:rPr>
        <w:t>Републике Србије</w:t>
      </w:r>
      <w:r w:rsidRPr="00EF2F18">
        <w:rPr>
          <w:rFonts w:cs="Times New Roman"/>
          <w:sz w:val="22"/>
          <w:lang w:val="sr-Cyrl-RS"/>
        </w:rPr>
        <w:t xml:space="preserve"> од 4,53% у периоду блиске будућности, који може бити значајно смањен улагањем у прилагођавање на измењене климатске услове.</w:t>
      </w:r>
    </w:p>
    <w:p w14:paraId="4DFFD212" w14:textId="77777777" w:rsidR="00CD0755" w:rsidRPr="00CD0755" w:rsidRDefault="00CD0755" w:rsidP="00CD0755">
      <w:pPr>
        <w:spacing w:after="0"/>
        <w:ind w:firstLine="720"/>
        <w:jc w:val="both"/>
        <w:rPr>
          <w:rFonts w:cs="Times New Roman"/>
          <w:sz w:val="22"/>
          <w:lang w:val="sr-Cyrl-RS"/>
        </w:rPr>
      </w:pPr>
    </w:p>
    <w:p w14:paraId="333F53BF" w14:textId="14FD690E" w:rsidR="00EA2AC2" w:rsidRPr="00EF2F18" w:rsidRDefault="00EA2AC2" w:rsidP="00EA2AC2">
      <w:pPr>
        <w:spacing w:after="0"/>
        <w:ind w:firstLine="720"/>
        <w:jc w:val="both"/>
        <w:rPr>
          <w:rFonts w:cs="Times New Roman"/>
          <w:sz w:val="22"/>
          <w:lang w:val="sr-Cyrl-RS"/>
        </w:rPr>
      </w:pPr>
      <w:r w:rsidRPr="00EF2F18">
        <w:rPr>
          <w:rFonts w:cs="Times New Roman"/>
          <w:sz w:val="22"/>
          <w:lang w:val="sr-Cyrl-RS"/>
        </w:rPr>
        <w:lastRenderedPageBreak/>
        <w:t xml:space="preserve">Обавеза израде </w:t>
      </w:r>
      <w:r w:rsidR="009E57E9" w:rsidRPr="00EF2F18">
        <w:rPr>
          <w:rFonts w:cs="Times New Roman"/>
          <w:sz w:val="22"/>
          <w:lang w:val="sr-Cyrl-RS"/>
        </w:rPr>
        <w:t>П</w:t>
      </w:r>
      <w:r w:rsidRPr="00EF2F18">
        <w:rPr>
          <w:rFonts w:cs="Times New Roman"/>
          <w:sz w:val="22"/>
          <w:lang w:val="sr-Cyrl-RS"/>
        </w:rPr>
        <w:t>рограма прилагођавања на измењене климатске услове</w:t>
      </w:r>
      <w:r w:rsidR="009E57E9" w:rsidRPr="00EF2F18">
        <w:rPr>
          <w:rFonts w:cs="Times New Roman"/>
          <w:sz w:val="22"/>
          <w:lang w:val="sr-Cyrl-RS"/>
        </w:rPr>
        <w:t>, који је усвојен крајем 2023. године</w:t>
      </w:r>
      <w:r w:rsidRPr="00EF2F18">
        <w:rPr>
          <w:rFonts w:cs="Times New Roman"/>
          <w:sz w:val="22"/>
          <w:lang w:val="sr-Cyrl-RS"/>
        </w:rPr>
        <w:t>, успостављена је Законом о климатским променама, као и ратификацијом међународних уговора (пре свих Споразума из Париза)</w:t>
      </w:r>
      <w:r w:rsidR="00BB5E51" w:rsidRPr="00EF2F18">
        <w:rPr>
          <w:rFonts w:cs="Times New Roman"/>
          <w:sz w:val="22"/>
          <w:lang w:val="sr-Cyrl-RS"/>
        </w:rPr>
        <w:t xml:space="preserve">, </w:t>
      </w:r>
      <w:r w:rsidR="00C2742B" w:rsidRPr="00EF2F18">
        <w:rPr>
          <w:rFonts w:cs="Times New Roman"/>
          <w:sz w:val="22"/>
          <w:lang w:val="sr-Cyrl-RS"/>
        </w:rPr>
        <w:t>Акционим планом Програма прилагођавања на измењене климатске услове предвиђена је мера измене Смерница за израду локалних планова прилагођавања на измењене климатске услове</w:t>
      </w:r>
      <w:r w:rsidR="00BB5E51" w:rsidRPr="00EF2F18">
        <w:rPr>
          <w:rFonts w:cs="Times New Roman"/>
          <w:sz w:val="22"/>
          <w:lang w:val="sr-Cyrl-RS"/>
        </w:rPr>
        <w:t xml:space="preserve">. </w:t>
      </w:r>
      <w:r w:rsidRPr="00EF2F18">
        <w:rPr>
          <w:rFonts w:cs="Times New Roman"/>
          <w:sz w:val="22"/>
          <w:lang w:val="sr-Cyrl-RS"/>
        </w:rPr>
        <w:t>Само одређени број секторских докумената јавне политике препознаје област прилагођавања на измењене климатске услове (Програм заштите природе</w:t>
      </w:r>
      <w:r w:rsidR="0064007B" w:rsidRPr="00EF2F18">
        <w:rPr>
          <w:rFonts w:cs="Times New Roman"/>
          <w:sz w:val="22"/>
          <w:lang w:val="sr-Cyrl-RS"/>
        </w:rPr>
        <w:t xml:space="preserve"> </w:t>
      </w:r>
      <w:r w:rsidR="007F4EA5" w:rsidRPr="00EF2F18">
        <w:rPr>
          <w:rFonts w:cs="Times New Roman"/>
          <w:sz w:val="22"/>
          <w:lang w:val="sr-Cyrl-RS"/>
        </w:rPr>
        <w:t>Р</w:t>
      </w:r>
      <w:r w:rsidR="0064007B" w:rsidRPr="00EF2F18">
        <w:rPr>
          <w:rFonts w:cs="Times New Roman"/>
          <w:sz w:val="22"/>
          <w:lang w:val="sr-Cyrl-RS"/>
        </w:rPr>
        <w:t>епублике Србије за период</w:t>
      </w:r>
      <w:r w:rsidRPr="00EF2F18">
        <w:rPr>
          <w:rFonts w:cs="Times New Roman"/>
          <w:sz w:val="22"/>
          <w:lang w:val="sr-Cyrl-RS"/>
        </w:rPr>
        <w:t xml:space="preserve"> од 2021. до 2023.</w:t>
      </w:r>
      <w:r w:rsidR="00B51304" w:rsidRPr="00EF2F18">
        <w:rPr>
          <w:rFonts w:cs="Times New Roman"/>
          <w:sz w:val="22"/>
          <w:lang w:val="sr-Cyrl-RS"/>
        </w:rPr>
        <w:t xml:space="preserve"> </w:t>
      </w:r>
      <w:r w:rsidR="0064007B" w:rsidRPr="00EF2F18">
        <w:rPr>
          <w:rFonts w:cs="Times New Roman"/>
          <w:sz w:val="22"/>
          <w:lang w:val="sr-Cyrl-RS"/>
        </w:rPr>
        <w:t xml:space="preserve">године </w:t>
      </w:r>
      <w:r w:rsidR="00B51304" w:rsidRPr="00EF2F18">
        <w:rPr>
          <w:rFonts w:cs="Times New Roman"/>
          <w:sz w:val="22"/>
          <w:lang w:val="sr-Cyrl-RS"/>
        </w:rPr>
        <w:t>који је истекао</w:t>
      </w:r>
      <w:r w:rsidRPr="00EF2F18">
        <w:rPr>
          <w:rFonts w:cs="Times New Roman"/>
          <w:sz w:val="22"/>
          <w:lang w:val="sr-Cyrl-RS"/>
        </w:rPr>
        <w:t>, Стратегија одрживог урбаног развоја Републике Србије до 2030.</w:t>
      </w:r>
      <w:r w:rsidR="00B57CFF" w:rsidRPr="00EF2F18">
        <w:rPr>
          <w:rFonts w:cs="Times New Roman"/>
          <w:sz w:val="22"/>
          <w:lang w:val="sr-Cyrl-RS"/>
        </w:rPr>
        <w:t xml:space="preserve"> године</w:t>
      </w:r>
      <w:r w:rsidRPr="00EF2F18">
        <w:rPr>
          <w:rFonts w:cs="Times New Roman"/>
          <w:sz w:val="22"/>
          <w:lang w:val="sr-Cyrl-RS"/>
        </w:rPr>
        <w:t>). Стратегија управљања водама на територији Републике Србије до 2034. године препознаје климатске промене као чинилац од значаја у области управљања водама, али код операционализације мера питање прилагођавања на измењене климатске услове није укључено у довољној мери, док јавне политике у области пољопривреде, шумарства, јавног здравља и индустријске политике не сагледавају пројектоване климатске промене и неопходност прилагођавања на њих</w:t>
      </w:r>
      <w:r w:rsidR="00255BFC" w:rsidRPr="00EF2F18">
        <w:rPr>
          <w:rFonts w:cs="Times New Roman"/>
          <w:sz w:val="22"/>
          <w:lang w:val="sr-Cyrl-RS"/>
        </w:rPr>
        <w:t>.</w:t>
      </w:r>
      <w:r w:rsidR="001B2DA6" w:rsidRPr="00EF2F18">
        <w:rPr>
          <w:rFonts w:cs="Times New Roman"/>
          <w:sz w:val="22"/>
          <w:lang w:val="sr-Cyrl-RS"/>
        </w:rPr>
        <w:t xml:space="preserve"> Стратегија развоја шумарства препознаје ублажавање климатских промена кроз складиштење угљеника у биомаси, али и социјалну и културну функцију шума.</w:t>
      </w:r>
    </w:p>
    <w:p w14:paraId="331A2C32" w14:textId="77777777" w:rsidR="00255BFC" w:rsidRPr="00EF2F18" w:rsidRDefault="00255BFC" w:rsidP="00255BFC">
      <w:pPr>
        <w:spacing w:after="0"/>
        <w:ind w:firstLine="720"/>
        <w:jc w:val="both"/>
        <w:rPr>
          <w:rFonts w:cs="Times New Roman"/>
          <w:sz w:val="22"/>
          <w:lang w:val="sr-Cyrl-RS"/>
        </w:rPr>
      </w:pPr>
      <w:r w:rsidRPr="00EF2F18">
        <w:rPr>
          <w:rFonts w:cs="Times New Roman"/>
          <w:sz w:val="22"/>
          <w:lang w:val="sr-Cyrl-RS"/>
        </w:rPr>
        <w:t>Осмотрене климатске промене и будуће промене климатских услова и њихови осмотрени и потенцијални будући утицаји су проузроковале али ће и довести до одређених утицаја и последица у доле наведеним секторима.</w:t>
      </w:r>
    </w:p>
    <w:p w14:paraId="6825FE6E" w14:textId="01BDCF3F" w:rsidR="00C2742B" w:rsidRPr="00EF2F18" w:rsidRDefault="00255BFC" w:rsidP="00DC6CB5">
      <w:pPr>
        <w:spacing w:after="0"/>
        <w:ind w:firstLine="720"/>
        <w:jc w:val="both"/>
        <w:rPr>
          <w:rFonts w:eastAsia="Times New Roman" w:cs="Times New Roman"/>
          <w:kern w:val="2"/>
          <w:sz w:val="22"/>
          <w:lang w:val="sr-Cyrl-RS"/>
        </w:rPr>
      </w:pPr>
      <w:r w:rsidRPr="00EF2F18">
        <w:rPr>
          <w:rFonts w:cs="Times New Roman"/>
          <w:b/>
          <w:bCs/>
          <w:sz w:val="22"/>
          <w:lang w:val="sr-Cyrl-RS"/>
        </w:rPr>
        <w:t>Сектор пољопривреде</w:t>
      </w:r>
      <w:r w:rsidRPr="00EF2F18">
        <w:rPr>
          <w:rFonts w:cs="Times New Roman"/>
          <w:sz w:val="22"/>
          <w:lang w:val="sr-Cyrl-RS"/>
        </w:rPr>
        <w:t xml:space="preserve"> </w:t>
      </w:r>
      <w:r w:rsidR="00C2742B" w:rsidRPr="00EF2F18">
        <w:rPr>
          <w:rFonts w:cs="Times New Roman"/>
          <w:sz w:val="22"/>
          <w:lang w:val="sr-Cyrl-RS"/>
        </w:rPr>
        <w:t>је један од најосетљивијих на климатске промене и има велику изложеност јер је пољопривредна производња највећим делом на отвореном простору.</w:t>
      </w:r>
      <w:r w:rsidR="00C2742B" w:rsidRPr="00EF2F18">
        <w:rPr>
          <w:rFonts w:cs="Times New Roman"/>
          <w:b/>
          <w:bCs/>
          <w:sz w:val="22"/>
          <w:lang w:val="sr-Cyrl-RS"/>
        </w:rPr>
        <w:t xml:space="preserve"> </w:t>
      </w:r>
      <w:r w:rsidR="00C2742B" w:rsidRPr="00EF2F18">
        <w:rPr>
          <w:rFonts w:eastAsia="Times New Roman" w:cs="Times New Roman"/>
          <w:kern w:val="2"/>
          <w:sz w:val="22"/>
          <w:lang w:val="sr-Cyrl-RS"/>
        </w:rPr>
        <w:t xml:space="preserve">Потребно је да прилагођавање пољопривредне производње на климатске промене узима у обзир и угроженост водних и земљишних ресурса климатским променама, односно укључује интегрални приступ у процени рањивости и ризика и спровођењу адаптације. </w:t>
      </w:r>
    </w:p>
    <w:p w14:paraId="0E1E5488" w14:textId="7FDF7A2E" w:rsidR="00255BFC" w:rsidRPr="00EF2F18" w:rsidRDefault="00C2742B" w:rsidP="00C2742B">
      <w:pPr>
        <w:spacing w:after="0"/>
        <w:ind w:firstLine="720"/>
        <w:jc w:val="both"/>
        <w:rPr>
          <w:rFonts w:cs="Times New Roman"/>
          <w:sz w:val="22"/>
          <w:lang w:val="sr-Cyrl-RS"/>
        </w:rPr>
      </w:pPr>
      <w:r w:rsidRPr="00EF2F18">
        <w:rPr>
          <w:rFonts w:cs="Times New Roman"/>
          <w:sz w:val="22"/>
          <w:lang w:val="sr-Cyrl-RS"/>
        </w:rPr>
        <w:t>У ратарству, највећа опасност је од комбинованог утицаја високих температура и недостатка воде, односно сушних периода који се повећавају убрзано и због пораста температура. Вишегодишњи засади, односно засади воћака и виногради, биће под знатно већим ризиком од града, а друга неизбежна опасност је растући ризик од појаве мраза у вегетацији, који се јавља због повећане временске варијабилности и учесталије појаве топлотних таласа током зиме и у рано пролеће. Топлотни таласи који се јављају лети изазивају ожеготине и смањивање приноса и квалитета приноса. На ливадама и пашњацима идентификован је велики ризик од недостатка воде услед промене у годишњој расподели падавина, чији се тренд наставља у будућности, па је потребно адаптирати и ове области како би обављале своју вишеструку функцију као што је исхрана стоке, одржање биодиверзитета, заштита од ерозије. У сточарству поред потенцијалне опасности од недостатка хране, може се очекивати и опасност од недостатка воде, али тренутно је идентификована највећа опасност од топлотног стреса услед неадекватног гајења, односно чувања животиња.</w:t>
      </w:r>
      <w:r w:rsidR="00255BFC" w:rsidRPr="00EF2F18">
        <w:rPr>
          <w:rFonts w:cs="Times New Roman"/>
          <w:sz w:val="22"/>
          <w:lang w:val="sr-Cyrl-RS"/>
        </w:rPr>
        <w:t xml:space="preserve"> Процене су показале да ће се већ осмотрене опасности повећавати, али да ће се створити и нове опасности. </w:t>
      </w:r>
    </w:p>
    <w:p w14:paraId="3C9D9B21" w14:textId="4AF71A92" w:rsidR="00255BFC" w:rsidRPr="00EF2F18" w:rsidRDefault="00255BFC" w:rsidP="00255BFC">
      <w:pPr>
        <w:spacing w:after="0"/>
        <w:ind w:firstLine="720"/>
        <w:jc w:val="both"/>
        <w:rPr>
          <w:rFonts w:cs="Times New Roman"/>
          <w:sz w:val="22"/>
          <w:lang w:val="sr-Cyrl-RS"/>
        </w:rPr>
      </w:pPr>
      <w:r w:rsidRPr="00EF2F18">
        <w:rPr>
          <w:rFonts w:cs="Times New Roman"/>
          <w:sz w:val="22"/>
          <w:lang w:val="sr-Cyrl-RS"/>
        </w:rPr>
        <w:t xml:space="preserve">На деградацију земљишта утиче </w:t>
      </w:r>
      <w:r w:rsidR="005313EC" w:rsidRPr="00EF2F18">
        <w:rPr>
          <w:rFonts w:cs="Times New Roman"/>
          <w:sz w:val="22"/>
          <w:lang w:val="sr-Cyrl-RS"/>
        </w:rPr>
        <w:t xml:space="preserve">повећана учесталост </w:t>
      </w:r>
      <w:r w:rsidRPr="00EF2F18">
        <w:rPr>
          <w:rFonts w:cs="Times New Roman"/>
          <w:sz w:val="22"/>
          <w:lang w:val="sr-Cyrl-RS"/>
        </w:rPr>
        <w:t xml:space="preserve">екстремних падавина и пораст степена аридности климатских услова узрокованих највише као последица пораста температуре. </w:t>
      </w:r>
    </w:p>
    <w:p w14:paraId="055523E6" w14:textId="17234C72" w:rsidR="00255BFC" w:rsidRPr="00EF2F18" w:rsidRDefault="00B566B1" w:rsidP="00255BFC">
      <w:pPr>
        <w:spacing w:after="0"/>
        <w:ind w:firstLine="720"/>
        <w:jc w:val="both"/>
        <w:rPr>
          <w:rFonts w:cs="Times New Roman"/>
          <w:sz w:val="22"/>
          <w:lang w:val="sr-Cyrl-RS"/>
        </w:rPr>
      </w:pPr>
      <w:r w:rsidRPr="00EF2F18">
        <w:rPr>
          <w:rFonts w:cs="Times New Roman"/>
          <w:sz w:val="22"/>
          <w:lang w:val="sr-Cyrl-RS"/>
        </w:rPr>
        <w:t xml:space="preserve">Познавање и праћење утицаја климатских промена у сектору </w:t>
      </w:r>
      <w:r w:rsidRPr="00EF2F18">
        <w:rPr>
          <w:rFonts w:cs="Times New Roman"/>
          <w:b/>
          <w:bCs/>
          <w:sz w:val="22"/>
          <w:lang w:val="sr-Cyrl-RS"/>
        </w:rPr>
        <w:t xml:space="preserve">шумарства </w:t>
      </w:r>
      <w:r w:rsidRPr="00EF2F18">
        <w:rPr>
          <w:rFonts w:cs="Times New Roman"/>
          <w:sz w:val="22"/>
          <w:lang w:val="sr-Cyrl-RS"/>
        </w:rPr>
        <w:t xml:space="preserve">је од изузетне важности нарочито јер по резултатима Друге националне инвентуре шума Републике Србије шуме </w:t>
      </w:r>
      <w:r w:rsidR="001B2DA6" w:rsidRPr="00EF2F18">
        <w:rPr>
          <w:rFonts w:cs="Times New Roman"/>
          <w:sz w:val="22"/>
          <w:lang w:val="sr-Cyrl-RS"/>
        </w:rPr>
        <w:t xml:space="preserve">и шумско земљиште </w:t>
      </w:r>
      <w:r w:rsidRPr="00EF2F18">
        <w:rPr>
          <w:rFonts w:cs="Times New Roman"/>
          <w:sz w:val="22"/>
          <w:lang w:val="sr-Cyrl-RS"/>
        </w:rPr>
        <w:t>покривају 39,</w:t>
      </w:r>
      <w:r w:rsidR="001B2DA6" w:rsidRPr="00EF2F18">
        <w:rPr>
          <w:rFonts w:cs="Times New Roman"/>
          <w:sz w:val="22"/>
          <w:lang w:val="sr-Cyrl-RS"/>
        </w:rPr>
        <w:t>01</w:t>
      </w:r>
      <w:r w:rsidRPr="00EF2F18">
        <w:rPr>
          <w:rFonts w:cs="Times New Roman"/>
          <w:sz w:val="22"/>
          <w:lang w:val="sr-Cyrl-RS"/>
        </w:rPr>
        <w:t>% површине Републике Србије</w:t>
      </w:r>
      <w:r w:rsidR="00255BFC" w:rsidRPr="00EF2F18">
        <w:rPr>
          <w:rFonts w:cs="Times New Roman"/>
          <w:sz w:val="22"/>
          <w:lang w:val="sr-Cyrl-RS"/>
        </w:rPr>
        <w:t>.</w:t>
      </w:r>
      <w:r w:rsidR="00B73387" w:rsidRPr="00EF2F18">
        <w:rPr>
          <w:rFonts w:cs="Times New Roman"/>
          <w:sz w:val="22"/>
          <w:lang w:val="sr-Cyrl-RS"/>
        </w:rPr>
        <w:t xml:space="preserve"> </w:t>
      </w:r>
      <w:r w:rsidR="00255BFC" w:rsidRPr="00EF2F18">
        <w:rPr>
          <w:rFonts w:cs="Times New Roman"/>
          <w:sz w:val="22"/>
          <w:lang w:val="sr-Cyrl-RS"/>
        </w:rPr>
        <w:t>Идентификовано је да постоји рањивост и растући ризици услед климатских промена за одрживост овог сектора, односно за виталност и продуктивност, али и опстанак шумских врста. Управа за шуме је, од 2019. до пролећа 2022. године, из средстава субвенција, финансирала пошумљавање 1</w:t>
      </w:r>
      <w:r w:rsidR="00C4713B" w:rsidRPr="00EF2F18">
        <w:rPr>
          <w:rFonts w:cs="Times New Roman"/>
          <w:sz w:val="22"/>
          <w:lang w:val="sr-Cyrl-RS"/>
        </w:rPr>
        <w:t>.</w:t>
      </w:r>
      <w:r w:rsidR="00255BFC" w:rsidRPr="00EF2F18">
        <w:rPr>
          <w:rFonts w:cs="Times New Roman"/>
          <w:sz w:val="22"/>
          <w:lang w:val="sr-Cyrl-RS"/>
        </w:rPr>
        <w:t>726,94 ha површина на којима су евидентирани негативни ефекти климатских промена као дејство више силе (дуготрајна суша и висока температура), те су након једног вегетационог периода, када се врши пријем радова, саднице преживеле само на 884 ha, односно више од половине пошумљене површине се осушило већ у првој години</w:t>
      </w:r>
      <w:r w:rsidR="00C4713B" w:rsidRPr="00EF2F18">
        <w:rPr>
          <w:rFonts w:cs="Times New Roman"/>
          <w:sz w:val="22"/>
          <w:lang w:val="sr-Cyrl-RS"/>
        </w:rPr>
        <w:t xml:space="preserve">, према подацима </w:t>
      </w:r>
      <w:r w:rsidR="00255BFC" w:rsidRPr="00EF2F18">
        <w:rPr>
          <w:rFonts w:cs="Times New Roman"/>
          <w:sz w:val="22"/>
          <w:lang w:val="sr-Cyrl-RS"/>
        </w:rPr>
        <w:t>Управ</w:t>
      </w:r>
      <w:r w:rsidR="00C4713B" w:rsidRPr="00EF2F18">
        <w:rPr>
          <w:rFonts w:cs="Times New Roman"/>
          <w:sz w:val="22"/>
          <w:lang w:val="sr-Cyrl-RS"/>
        </w:rPr>
        <w:t>е</w:t>
      </w:r>
      <w:r w:rsidR="00255BFC" w:rsidRPr="00EF2F18">
        <w:rPr>
          <w:rFonts w:cs="Times New Roman"/>
          <w:sz w:val="22"/>
          <w:lang w:val="sr-Cyrl-RS"/>
        </w:rPr>
        <w:t xml:space="preserve"> за шуме. Услед све чешће појаве топлих и сушних лета, вероватноћа појаве шумских пожара у </w:t>
      </w:r>
      <w:r w:rsidR="00C4713B" w:rsidRPr="00EF2F18">
        <w:rPr>
          <w:rFonts w:cs="Times New Roman"/>
          <w:sz w:val="22"/>
          <w:lang w:val="sr-Cyrl-RS"/>
        </w:rPr>
        <w:t xml:space="preserve">Републици </w:t>
      </w:r>
      <w:r w:rsidR="00255BFC" w:rsidRPr="00EF2F18">
        <w:rPr>
          <w:rFonts w:cs="Times New Roman"/>
          <w:sz w:val="22"/>
          <w:lang w:val="sr-Cyrl-RS"/>
        </w:rPr>
        <w:t>Србији расте. У периоду 2011-2020</w:t>
      </w:r>
      <w:r w:rsidR="00A439FD" w:rsidRPr="00EF2F18">
        <w:rPr>
          <w:rFonts w:cs="Times New Roman"/>
          <w:sz w:val="22"/>
          <w:lang w:val="sr-Cyrl-RS"/>
        </w:rPr>
        <w:t>.</w:t>
      </w:r>
      <w:r w:rsidR="00255BFC" w:rsidRPr="00EF2F18">
        <w:rPr>
          <w:rFonts w:cs="Times New Roman"/>
          <w:sz w:val="22"/>
          <w:lang w:val="sr-Cyrl-RS"/>
        </w:rPr>
        <w:t xml:space="preserve"> шумским пожарима било је захваћено 17.500 ha шуме, односно изгорело је 165.000 m</w:t>
      </w:r>
      <w:r w:rsidR="00255BFC" w:rsidRPr="00EF2F18">
        <w:rPr>
          <w:rFonts w:cs="Times New Roman"/>
          <w:sz w:val="22"/>
          <w:vertAlign w:val="superscript"/>
          <w:lang w:val="sr-Cyrl-RS"/>
        </w:rPr>
        <w:t>3</w:t>
      </w:r>
      <w:r w:rsidR="00255BFC" w:rsidRPr="00EF2F18">
        <w:rPr>
          <w:rFonts w:cs="Times New Roman"/>
          <w:sz w:val="22"/>
          <w:lang w:val="sr-Cyrl-RS"/>
        </w:rPr>
        <w:t xml:space="preserve"> дрвне масе. Највеће штете од пожара су забележене 2012. године, која је имала екстремно топло и сушно лето, када је изгорело преко 7.000 ha шуме и изгубљено око 60.000 m</w:t>
      </w:r>
      <w:r w:rsidR="00255BFC" w:rsidRPr="00EF2F18">
        <w:rPr>
          <w:rFonts w:cs="Times New Roman"/>
          <w:sz w:val="22"/>
          <w:vertAlign w:val="superscript"/>
          <w:lang w:val="sr-Cyrl-RS"/>
        </w:rPr>
        <w:t>3</w:t>
      </w:r>
      <w:r w:rsidR="00255BFC" w:rsidRPr="00EF2F18">
        <w:rPr>
          <w:rFonts w:cs="Times New Roman"/>
          <w:sz w:val="22"/>
          <w:lang w:val="sr-Cyrl-RS"/>
        </w:rPr>
        <w:t xml:space="preserve"> дрвне масе</w:t>
      </w:r>
      <w:r w:rsidR="00C4713B" w:rsidRPr="00EF2F18">
        <w:rPr>
          <w:rFonts w:cs="Times New Roman"/>
          <w:sz w:val="22"/>
          <w:lang w:val="sr-Cyrl-RS"/>
        </w:rPr>
        <w:t xml:space="preserve">, према </w:t>
      </w:r>
      <w:r w:rsidR="00255BFC" w:rsidRPr="00EF2F18">
        <w:rPr>
          <w:rFonts w:cs="Times New Roman"/>
          <w:sz w:val="22"/>
          <w:lang w:val="sr-Cyrl-RS"/>
        </w:rPr>
        <w:t>Републичк</w:t>
      </w:r>
      <w:r w:rsidR="00C4713B" w:rsidRPr="00EF2F18">
        <w:rPr>
          <w:rFonts w:cs="Times New Roman"/>
          <w:sz w:val="22"/>
          <w:lang w:val="sr-Cyrl-RS"/>
        </w:rPr>
        <w:t>ом</w:t>
      </w:r>
      <w:r w:rsidR="00255BFC" w:rsidRPr="00EF2F18">
        <w:rPr>
          <w:rFonts w:cs="Times New Roman"/>
          <w:sz w:val="22"/>
          <w:lang w:val="sr-Cyrl-RS"/>
        </w:rPr>
        <w:t xml:space="preserve"> завод</w:t>
      </w:r>
      <w:r w:rsidR="00375FC8" w:rsidRPr="00EF2F18">
        <w:rPr>
          <w:rFonts w:cs="Times New Roman"/>
          <w:sz w:val="22"/>
          <w:lang w:val="sr-Cyrl-RS"/>
        </w:rPr>
        <w:t>у</w:t>
      </w:r>
      <w:r w:rsidR="00255BFC" w:rsidRPr="00EF2F18">
        <w:rPr>
          <w:rFonts w:cs="Times New Roman"/>
          <w:sz w:val="22"/>
          <w:lang w:val="sr-Cyrl-RS"/>
        </w:rPr>
        <w:t xml:space="preserve"> за статистику. Климатске промене утицале су и на повећани ризик од болести и штеточина и то смањујући отпорност дрвећа услед изложености </w:t>
      </w:r>
      <w:r w:rsidR="00255BFC" w:rsidRPr="00EF2F18">
        <w:rPr>
          <w:rFonts w:cs="Times New Roman"/>
          <w:sz w:val="22"/>
          <w:lang w:val="sr-Cyrl-RS"/>
        </w:rPr>
        <w:lastRenderedPageBreak/>
        <w:t>абиотичком стресу, повећавајући вирулентност патогена и пружајући погодно окружење за развој штеточина и болести. Узимајући у обзир климатске опасности које имају идентификовани утицај на шуме, угроженост шума може бити још већа и негативни утицаји могу доћи раније до изра</w:t>
      </w:r>
      <w:r w:rsidR="00F8700B">
        <w:rPr>
          <w:rFonts w:cs="Times New Roman"/>
          <w:sz w:val="22"/>
          <w:lang w:val="sr-Cyrl-RS"/>
        </w:rPr>
        <w:t>ж</w:t>
      </w:r>
      <w:r w:rsidR="00255BFC" w:rsidRPr="00EF2F18">
        <w:rPr>
          <w:rFonts w:cs="Times New Roman"/>
          <w:sz w:val="22"/>
          <w:lang w:val="sr-Cyrl-RS"/>
        </w:rPr>
        <w:t>аја и касније проузроковати веће последице.</w:t>
      </w:r>
    </w:p>
    <w:p w14:paraId="2E4ED90A" w14:textId="77777777" w:rsidR="00255BFC" w:rsidRPr="00EF2F18" w:rsidRDefault="00255BFC" w:rsidP="00255BFC">
      <w:pPr>
        <w:spacing w:after="0"/>
        <w:ind w:firstLine="720"/>
        <w:jc w:val="both"/>
        <w:rPr>
          <w:rFonts w:cs="Times New Roman"/>
          <w:sz w:val="22"/>
          <w:lang w:val="sr-Cyrl-RS"/>
        </w:rPr>
      </w:pPr>
      <w:r w:rsidRPr="00EF2F18">
        <w:rPr>
          <w:rFonts w:cs="Times New Roman"/>
          <w:b/>
          <w:bCs/>
          <w:sz w:val="22"/>
          <w:lang w:val="sr-Cyrl-RS"/>
        </w:rPr>
        <w:t>Саобраћајна (путна) инфраструктура</w:t>
      </w:r>
      <w:r w:rsidRPr="00EF2F18">
        <w:rPr>
          <w:rFonts w:cs="Times New Roman"/>
          <w:sz w:val="22"/>
          <w:lang w:val="sr-Cyrl-RS"/>
        </w:rPr>
        <w:t xml:space="preserve"> на територији Републике Србије рањива је на утицаје климатских промена, како на повећану учесталост, интензитет и трајање екстремних временских догађаја, тако и на промене температуре и падавина. Екстремни временски догађаји могу да проузрокују оштећења инфраструктуре и прекиде саобраћаја. Утицаји се односе на смањење носивости конструкције и настанак оштећења на асфалтном застору у воду колотрага и пукотина, пропадање коловоза, смањена безбедност у функционалност, плављење путне инфраструктуре, нефункционалност система за одводњавање, клизишта подлоге пута и ослонца мостова, утицаји на конструкцију мостова и пропуста, промена распореда одржавања услед снежних олуја и наноса. Због тога је потребна ревизија постојећих грађевинских стандарда и пракси, али и прилагођавање регулаторног оквира и оквира јавних политика у сектору саобраћаја. Због повећане учесталости екстремних временских догађаја, који могу довести до учесталијег смањења функционалности или обустављања саобраћаја на појединим деоницама путева, потребно је размотрити унапређење система за ране најаве и упозорења за потребе путне инфраструктуре и обављање саобраћаја.</w:t>
      </w:r>
    </w:p>
    <w:p w14:paraId="21E92E19" w14:textId="09B208B3" w:rsidR="00255BFC" w:rsidRPr="00EF2F18" w:rsidRDefault="00255BFC" w:rsidP="00DB77B3">
      <w:pPr>
        <w:spacing w:after="0"/>
        <w:ind w:firstLine="720"/>
        <w:jc w:val="both"/>
        <w:rPr>
          <w:rFonts w:cs="Times New Roman"/>
          <w:sz w:val="20"/>
          <w:szCs w:val="20"/>
          <w:lang w:val="sr-Cyrl-RS"/>
        </w:rPr>
      </w:pPr>
      <w:r w:rsidRPr="00EF2F18">
        <w:rPr>
          <w:rFonts w:cs="Times New Roman"/>
          <w:sz w:val="22"/>
          <w:lang w:val="sr-Cyrl-RS"/>
        </w:rPr>
        <w:t xml:space="preserve">Климатске промене могу узроковати опасности од оштећења и поремећаја у сектору </w:t>
      </w:r>
      <w:r w:rsidRPr="00EF2F18">
        <w:rPr>
          <w:rFonts w:cs="Times New Roman"/>
          <w:b/>
          <w:bCs/>
          <w:sz w:val="22"/>
          <w:lang w:val="sr-Cyrl-RS"/>
        </w:rPr>
        <w:t>енергетике</w:t>
      </w:r>
      <w:r w:rsidRPr="00EF2F18">
        <w:rPr>
          <w:rFonts w:cs="Times New Roman"/>
          <w:sz w:val="22"/>
          <w:lang w:val="sr-Cyrl-RS"/>
        </w:rPr>
        <w:t xml:space="preserve">, како по стабилност производње тако и по саму енергетску инфраструктуру. Предметни утицаји климатских промена на енергетику могу се поделити у четири категорије: утицаји на производњу електричне енергије, утицаји на потражњу за електричном енергијом, утицаји на пренос и дистрибуцију електричне енергије и индиректни утицаји. Ради обезбеђивања правовремених информација које </w:t>
      </w:r>
      <w:r w:rsidR="00215A69" w:rsidRPr="00EF2F18">
        <w:rPr>
          <w:rFonts w:cs="Times New Roman"/>
          <w:sz w:val="22"/>
          <w:lang w:val="sr-Cyrl-RS"/>
        </w:rPr>
        <w:t xml:space="preserve">доприносе планирању производње енергије у </w:t>
      </w:r>
      <w:r w:rsidRPr="00EF2F18">
        <w:rPr>
          <w:rFonts w:cs="Times New Roman"/>
          <w:sz w:val="22"/>
          <w:lang w:val="sr-Cyrl-RS"/>
        </w:rPr>
        <w:t>складу са потребама (потражњом), потребно је развити прогностичке продукте за ове потребе из дугорочних (сезонских) и средњорочних (месечних) прогноза времена Републичког хидрометеоролошког завода и редовно обнављати новим информацијама.</w:t>
      </w:r>
      <w:r w:rsidR="00E06835" w:rsidRPr="00EF2F18">
        <w:rPr>
          <w:rFonts w:cs="Times New Roman"/>
          <w:sz w:val="22"/>
          <w:lang w:val="sr-Cyrl-RS"/>
        </w:rPr>
        <w:t xml:space="preserve"> </w:t>
      </w:r>
      <w:r w:rsidRPr="00EF2F18">
        <w:rPr>
          <w:rFonts w:cs="Times New Roman"/>
          <w:sz w:val="22"/>
          <w:lang w:val="sr-Cyrl-RS"/>
        </w:rPr>
        <w:t>Услед промене у годишњој расподели падавина и промени у расподели падавина по интензитету долази до промена у расположивости водних ресурса за производњу енергије и за хлађење постројења. Анализа утицаја климатских промена на водне ресурсе показује продуживање периода ниских протока у рекама, повећање у протоцима у хладном делу године, померање периода највећих месечних протока, смањивање вредности минималних протока али и повећање у вредностима максималних протока. Треба имати у виду да у сезони дефицита у расположивости водних ресурса повећаће се потребе за водом и у другим секторима, што захтева оптималну прерасподелу у потрошњи воде како би се задовољиле потребе свих корисника. Поред овога, потребе за енергијом</w:t>
      </w:r>
      <w:r w:rsidR="00C315EE" w:rsidRPr="00EF2F18">
        <w:rPr>
          <w:rFonts w:cs="Times New Roman"/>
          <w:sz w:val="22"/>
          <w:lang w:val="sr-Cyrl-RS"/>
        </w:rPr>
        <w:t xml:space="preserve"> ће</w:t>
      </w:r>
      <w:r w:rsidRPr="00EF2F18">
        <w:rPr>
          <w:rFonts w:cs="Times New Roman"/>
          <w:sz w:val="22"/>
          <w:lang w:val="sr-Cyrl-RS"/>
        </w:rPr>
        <w:t xml:space="preserve"> расти због повећања потреба за хлађењем и то у сезони када се смањују расположивости водних ресурса. </w:t>
      </w:r>
    </w:p>
    <w:p w14:paraId="099A4A47" w14:textId="211EB70E" w:rsidR="00255BFC" w:rsidRPr="00EF2F18" w:rsidRDefault="002B4405" w:rsidP="00E65C16">
      <w:pPr>
        <w:spacing w:after="0"/>
        <w:ind w:firstLine="720"/>
        <w:jc w:val="both"/>
        <w:rPr>
          <w:rFonts w:cs="Times New Roman"/>
          <w:sz w:val="22"/>
          <w:lang w:val="sr-Cyrl-RS"/>
        </w:rPr>
      </w:pPr>
      <w:r w:rsidRPr="00EF2F18">
        <w:rPr>
          <w:rFonts w:cs="Times New Roman"/>
          <w:sz w:val="22"/>
          <w:lang w:val="sr-Cyrl-RS"/>
        </w:rPr>
        <w:t>Пораст температуре и повећање у интензитету и учесталости топлотних таласа утичу на промену у расподели потражње енергије за грејањем и за хлађењем</w:t>
      </w:r>
      <w:r w:rsidR="006F70B0" w:rsidRPr="00EF2F18">
        <w:rPr>
          <w:rFonts w:cs="Times New Roman"/>
          <w:sz w:val="22"/>
          <w:lang w:val="sr-Cyrl-RS"/>
        </w:rPr>
        <w:t>.</w:t>
      </w:r>
      <w:r w:rsidRPr="00EF2F18">
        <w:rPr>
          <w:rFonts w:cs="Times New Roman"/>
          <w:sz w:val="22"/>
          <w:lang w:val="sr-Cyrl-RS"/>
        </w:rPr>
        <w:t xml:space="preserve"> Како се до средине 21. века, односно климатског периода 2041-2060</w:t>
      </w:r>
      <w:r w:rsidR="006F70B0" w:rsidRPr="00EF2F18">
        <w:rPr>
          <w:rFonts w:cs="Times New Roman"/>
          <w:sz w:val="22"/>
          <w:lang w:val="sr-Cyrl-RS"/>
        </w:rPr>
        <w:t>.</w:t>
      </w:r>
      <w:r w:rsidR="00B57CFF" w:rsidRPr="00EF2F18">
        <w:rPr>
          <w:rFonts w:cs="Times New Roman"/>
          <w:sz w:val="22"/>
          <w:lang w:val="sr-Cyrl-RS"/>
        </w:rPr>
        <w:t xml:space="preserve"> године</w:t>
      </w:r>
      <w:r w:rsidRPr="00EF2F18">
        <w:rPr>
          <w:rFonts w:cs="Times New Roman"/>
          <w:sz w:val="22"/>
          <w:lang w:val="sr-Cyrl-RS"/>
        </w:rPr>
        <w:t xml:space="preserve">, брже повећавају максималне температуре и температуре током сезоне јун-јул-август, очекује се да ће до већих промена (повећања) доћи у вредностима </w:t>
      </w:r>
      <w:r w:rsidRPr="00EF2F18">
        <w:rPr>
          <w:rFonts w:cs="Times New Roman"/>
          <w:b/>
          <w:sz w:val="22"/>
          <w:lang w:val="sr-Cyrl-RS"/>
        </w:rPr>
        <w:t>„степен дани хлађења”</w:t>
      </w:r>
      <w:r w:rsidRPr="00EF2F18">
        <w:rPr>
          <w:rFonts w:cs="Times New Roman"/>
          <w:sz w:val="22"/>
          <w:lang w:val="sr-Cyrl-RS"/>
        </w:rPr>
        <w:t xml:space="preserve"> него у променама (смањењу) </w:t>
      </w:r>
      <w:r w:rsidRPr="00EF2F18">
        <w:rPr>
          <w:rFonts w:cs="Times New Roman"/>
          <w:b/>
          <w:sz w:val="22"/>
          <w:lang w:val="sr-Cyrl-RS"/>
        </w:rPr>
        <w:t>„степен дани грејања</w:t>
      </w:r>
      <w:r w:rsidR="00255BFC" w:rsidRPr="00EF2F18">
        <w:rPr>
          <w:rFonts w:cs="Times New Roman"/>
          <w:b/>
          <w:sz w:val="22"/>
          <w:lang w:val="sr-Cyrl-RS"/>
        </w:rPr>
        <w:t>”</w:t>
      </w:r>
      <w:r w:rsidR="00255BFC" w:rsidRPr="00EF2F18">
        <w:rPr>
          <w:rFonts w:cs="Times New Roman"/>
          <w:sz w:val="22"/>
          <w:lang w:val="sr-Cyrl-RS"/>
        </w:rPr>
        <w:t xml:space="preserve">. Услед повећане климатске варијабилности, очекује се да ће током екстремних услова бити већа одступања у овим вредностима од просечних вишегодишњих вредности, него у климатским условима у прошлости. Из овог разлога потребно је израдити анализу промена у расподели степен дани хлађења и грејања услед осмотрених и будућих климатских промена коришћењем ансамбла климатских модела репрезентативних за подручје Републике Србије. </w:t>
      </w:r>
    </w:p>
    <w:p w14:paraId="7F204D6C" w14:textId="7D107EDC" w:rsidR="00255BFC" w:rsidRPr="00EF2F18" w:rsidRDefault="00255BFC" w:rsidP="00255BFC">
      <w:pPr>
        <w:spacing w:after="0"/>
        <w:ind w:firstLine="720"/>
        <w:jc w:val="both"/>
        <w:rPr>
          <w:rFonts w:cs="Times New Roman"/>
          <w:sz w:val="22"/>
          <w:lang w:val="sr-Cyrl-RS"/>
        </w:rPr>
      </w:pPr>
      <w:r w:rsidRPr="00EF2F18">
        <w:rPr>
          <w:rFonts w:cs="Times New Roman"/>
          <w:sz w:val="22"/>
          <w:lang w:val="sr-Cyrl-RS"/>
        </w:rPr>
        <w:t xml:space="preserve"> Климатске промене директно утичу на </w:t>
      </w:r>
      <w:r w:rsidRPr="00EF2F18">
        <w:rPr>
          <w:rFonts w:cs="Times New Roman"/>
          <w:b/>
          <w:bCs/>
          <w:sz w:val="22"/>
          <w:lang w:val="sr-Cyrl-RS"/>
        </w:rPr>
        <w:t>здравље и безбедност људи</w:t>
      </w:r>
      <w:r w:rsidRPr="00EF2F18">
        <w:rPr>
          <w:rFonts w:cs="Times New Roman"/>
          <w:sz w:val="22"/>
          <w:lang w:val="sr-Cyrl-RS"/>
        </w:rPr>
        <w:t xml:space="preserve"> услед повећане учесталости климатских опасности. Индиректни утицај се дешава кроз смањену доступност воде и воде задовољавајућег квалитета услед утицаја климатских промена, смањена доступност и квалитет хране, учесталије и распрострањеније појаве векторски преносивих болести и болести које преносе глoдари, итд. Повећање повреда, смртних случајева, инфекција и друго се везује за утицај климатских промена. Дугорочан утицај климатских опасности на здравље и безбедност људи се огледа у погоршању животних услова услед оштећења имовине и погоршања стања животне средине и природних ресурса, када не постоји могућност брзог оправка, односно </w:t>
      </w:r>
      <w:r w:rsidRPr="00EF2F18">
        <w:rPr>
          <w:rFonts w:cs="Times New Roman"/>
          <w:sz w:val="22"/>
          <w:lang w:val="sr-Cyrl-RS"/>
        </w:rPr>
        <w:lastRenderedPageBreak/>
        <w:t xml:space="preserve">санација штета. Климатске опасности које угрожавају здравље и безбедност се повећавају и наставиће да се повећавају у будућности у </w:t>
      </w:r>
      <w:r w:rsidR="00E65C16" w:rsidRPr="00EF2F18">
        <w:rPr>
          <w:rFonts w:cs="Times New Roman"/>
          <w:sz w:val="22"/>
          <w:lang w:val="sr-Cyrl-RS"/>
        </w:rPr>
        <w:t xml:space="preserve">Републици </w:t>
      </w:r>
      <w:r w:rsidRPr="00EF2F18">
        <w:rPr>
          <w:rFonts w:cs="Times New Roman"/>
          <w:sz w:val="22"/>
          <w:lang w:val="sr-Cyrl-RS"/>
        </w:rPr>
        <w:t>Србији</w:t>
      </w:r>
      <w:r w:rsidR="00E65C16" w:rsidRPr="00EF2F18">
        <w:rPr>
          <w:rFonts w:cs="Times New Roman"/>
          <w:sz w:val="22"/>
          <w:lang w:val="sr-Cyrl-RS"/>
        </w:rPr>
        <w:t>.</w:t>
      </w:r>
      <w:r w:rsidR="00B73387" w:rsidRPr="00EF2F18">
        <w:rPr>
          <w:rFonts w:cs="Times New Roman"/>
          <w:sz w:val="22"/>
          <w:lang w:val="sr-Cyrl-RS"/>
        </w:rPr>
        <w:t xml:space="preserve"> </w:t>
      </w:r>
      <w:r w:rsidRPr="00EF2F18">
        <w:rPr>
          <w:rFonts w:cs="Times New Roman"/>
          <w:sz w:val="22"/>
          <w:lang w:val="sr-Cyrl-RS"/>
        </w:rPr>
        <w:t>Према истраживањима, прелиминарна оквирна процена удела становништва Републике Србије који су под високим ризиком (врло вероватно ће трпети последице климатских промена које ће им угрозити здравље и услове живота) од климатских промена је у опсегу од 45% до 55%, од којих је у опсегу 20% до 30% под екстремно високим ризиком (сигурно ће трпети последице климатских промена које ће им угрозити здравље и услове живота). Узимајући у обзир тренд старења становништва, као и пораст интензитета и трајања временских екстрема, очекује се да ће овај број знатно порасти до средине 21. века. Такође, пораст топлотних екстрема, који ће достизати изузетно екстремне вредности, нарочито у урбаним срединама (услед утицаја урбаног топлотног острва) низијских области, довешће до пораста рањивости на климатске промене и дела популације изван наведених рањивих група.</w:t>
      </w:r>
    </w:p>
    <w:p w14:paraId="451F9F00" w14:textId="4ECA52EF" w:rsidR="00C315EE" w:rsidRPr="00EF2F18" w:rsidRDefault="00255BFC" w:rsidP="00C315EE">
      <w:pPr>
        <w:spacing w:after="0"/>
        <w:ind w:firstLine="720"/>
        <w:jc w:val="both"/>
        <w:rPr>
          <w:rFonts w:cs="Times New Roman"/>
          <w:kern w:val="2"/>
          <w:sz w:val="22"/>
          <w:lang w:val="sr-Cyrl-RS"/>
          <w14:ligatures w14:val="standardContextual"/>
        </w:rPr>
      </w:pPr>
      <w:r w:rsidRPr="00EF2F18">
        <w:rPr>
          <w:rFonts w:cs="Times New Roman"/>
          <w:b/>
          <w:bCs/>
          <w:kern w:val="2"/>
          <w:sz w:val="22"/>
          <w:lang w:val="sr-Cyrl-RS"/>
          <w14:ligatures w14:val="standardContextual"/>
        </w:rPr>
        <w:t>Урбана подручја</w:t>
      </w:r>
      <w:r w:rsidRPr="00EF2F18">
        <w:rPr>
          <w:rFonts w:cs="Times New Roman"/>
          <w:kern w:val="2"/>
          <w:sz w:val="22"/>
          <w:lang w:val="sr-Cyrl-RS"/>
          <w14:ligatures w14:val="standardContextual"/>
        </w:rPr>
        <w:t xml:space="preserve"> препозната су на глобалном нивоу као посебно рањива на климатске промене, са растућим ризиком у будућим климатским условима</w:t>
      </w:r>
      <w:r w:rsidRPr="00EF2F18">
        <w:rPr>
          <w:rStyle w:val="FootnoteReference"/>
          <w:rFonts w:cs="Times New Roman"/>
          <w:kern w:val="2"/>
          <w:sz w:val="22"/>
          <w:lang w:val="sr-Cyrl-RS"/>
          <w14:ligatures w14:val="standardContextual"/>
        </w:rPr>
        <w:footnoteReference w:id="2"/>
      </w:r>
      <w:r w:rsidRPr="00EF2F18">
        <w:rPr>
          <w:rFonts w:cs="Times New Roman"/>
          <w:kern w:val="2"/>
          <w:sz w:val="22"/>
          <w:lang w:val="sr-Cyrl-RS"/>
          <w14:ligatures w14:val="standardContextual"/>
        </w:rPr>
        <w:t xml:space="preserve">. Висок ниво ризика је узрокован постојањем ефекта урбаног топлотног острва и великог удела водонепропусних површина. Поред угрожености инфраструктуре и других облика функционисања урбаног система, изразито је висок ризик за здравље и безбедност људи. </w:t>
      </w:r>
      <w:r w:rsidR="00C315EE" w:rsidRPr="00EF2F18">
        <w:rPr>
          <w:rFonts w:cs="Times New Roman"/>
          <w:kern w:val="2"/>
          <w:sz w:val="22"/>
          <w:lang w:val="sr-Cyrl-RS"/>
          <w14:ligatures w14:val="standardContextual"/>
        </w:rPr>
        <w:t>У Републици Србији повећава се учесталост и интензитет климатских опасности у урбаним срединама, као што су топлотни таласи, интензивне падавине, суше, итд. У урбаним срединама температуре ваздуха изнад области под асфалтом и бетоном могу бити више и око 10</w:t>
      </w:r>
      <w:r w:rsidR="00C315EE" w:rsidRPr="00EF2F18">
        <w:rPr>
          <w:rFonts w:cs="Times New Roman"/>
          <w:kern w:val="2"/>
          <w:sz w:val="22"/>
          <w:lang w:val="sr-Cyrl-RS"/>
          <w14:ligatures w14:val="standardContextual"/>
        </w:rPr>
        <w:sym w:font="Symbol" w:char="F0B0"/>
      </w:r>
      <w:r w:rsidR="00C315EE" w:rsidRPr="00EF2F18">
        <w:rPr>
          <w:rFonts w:cs="Times New Roman"/>
          <w:kern w:val="2"/>
          <w:sz w:val="22"/>
          <w:lang w:val="sr-Cyrl-RS"/>
          <w14:ligatures w14:val="standardContextual"/>
        </w:rPr>
        <w:t>C него изнад земљишта и траве. Ово значи да је ваздух у областима урбаних средина са израженим ефектом урбаног топлотног острва изузетно топлији него што показују стандардна метеоролошка мерења. Због растућег ризика од екстремних падавина на територији Републике Србије, постоји растућа опасност од великих површинских отицаја и акумулација воде (поплава, бујица, клизишта) у урбаним срединама. Услед суша узрокованих климатским променама, поједини градови остају без расположиве воде за водоснабдевање грађана.</w:t>
      </w:r>
      <w:r w:rsidR="005B2462" w:rsidRPr="00EF2F18">
        <w:rPr>
          <w:rFonts w:cs="Times New Roman"/>
          <w:kern w:val="2"/>
          <w:sz w:val="22"/>
          <w:lang w:val="sr-Cyrl-RS"/>
          <w14:ligatures w14:val="standardContextual"/>
        </w:rPr>
        <w:t xml:space="preserve"> Узимајући у обзир утицаје климатских промена у урбаним пределима као мултифункционално решење препознато је коришћење услуга које пружају зелене површине, а према концепту Решења заснованих на природи. У урбаним пределима оне представљају природне или полуприродне површине које обављају следеће екосистемске услуге: доприноси смањивања температуре услед процеса евапотранспирације и смањеног загревања површина, као и стварања засена, повећање водопропусности површине, побољшање циркулације ваздуха, итд. Овакве структуре се препознају као зелена инфраструктура урбаних средина и пружају користи у ублажавању климатских опасности, унапређењу животне средине и здравља и квалитета живота људи у урбаним срединама.</w:t>
      </w:r>
    </w:p>
    <w:p w14:paraId="79121C8C" w14:textId="6A2EBB3B" w:rsidR="009B2082" w:rsidRPr="00EF2F18" w:rsidRDefault="009B2082" w:rsidP="00C315EE">
      <w:pPr>
        <w:spacing w:after="0"/>
        <w:ind w:firstLine="720"/>
        <w:jc w:val="both"/>
        <w:rPr>
          <w:rFonts w:cs="Times New Roman"/>
          <w:sz w:val="22"/>
          <w:lang w:val="sr-Cyrl-RS"/>
        </w:rPr>
      </w:pPr>
      <w:r w:rsidRPr="00EF2F18">
        <w:rPr>
          <w:rFonts w:cs="Times New Roman"/>
          <w:b/>
          <w:bCs/>
          <w:sz w:val="22"/>
          <w:lang w:val="sr-Cyrl-RS"/>
        </w:rPr>
        <w:t>Праћење индикатора биодиверзитета</w:t>
      </w:r>
      <w:r w:rsidRPr="00EF2F18">
        <w:rPr>
          <w:rFonts w:cs="Times New Roman"/>
          <w:sz w:val="22"/>
          <w:lang w:val="sr-Cyrl-RS"/>
        </w:rPr>
        <w:t xml:space="preserve"> у условима климатских промена могу указати, између осталих индикатора о квалитету воде, хране, преносивих болести и друго, на стање здравља животне средине и природних ресурса у условима климатских промена. </w:t>
      </w:r>
      <w:r w:rsidR="00313485" w:rsidRPr="00EF2F18">
        <w:rPr>
          <w:rFonts w:cs="Times New Roman"/>
          <w:sz w:val="22"/>
          <w:lang w:val="sr-Cyrl-RS"/>
        </w:rPr>
        <w:t>Б</w:t>
      </w:r>
      <w:r w:rsidR="00313485" w:rsidRPr="00EF2F18">
        <w:rPr>
          <w:iCs/>
          <w:sz w:val="23"/>
          <w:szCs w:val="23"/>
          <w:lang w:val="sr-Cyrl-RS"/>
        </w:rPr>
        <w:t>иодиверзитет је један од кључних чинилаца прилагођавања на измењене климатске услове, а улога екосистемских услуга у процесу прилагођавања</w:t>
      </w:r>
      <w:r w:rsidR="00313485" w:rsidRPr="00EF2F18">
        <w:rPr>
          <w:rFonts w:cs="Times New Roman"/>
          <w:sz w:val="22"/>
          <w:lang w:val="sr-Cyrl-RS"/>
        </w:rPr>
        <w:t xml:space="preserve"> је </w:t>
      </w:r>
      <w:r w:rsidR="00313485" w:rsidRPr="00EF2F18">
        <w:rPr>
          <w:iCs/>
          <w:sz w:val="23"/>
          <w:szCs w:val="23"/>
          <w:lang w:val="sr-Cyrl-RS"/>
        </w:rPr>
        <w:t>незаменљива.</w:t>
      </w:r>
      <w:r w:rsidR="00313485" w:rsidRPr="00EF2F18">
        <w:rPr>
          <w:rFonts w:cs="Times New Roman"/>
          <w:sz w:val="22"/>
          <w:lang w:val="sr-Cyrl-RS"/>
        </w:rPr>
        <w:t xml:space="preserve"> </w:t>
      </w:r>
      <w:r w:rsidRPr="00EF2F18">
        <w:rPr>
          <w:rFonts w:cs="Times New Roman"/>
          <w:sz w:val="22"/>
          <w:lang w:val="sr-Cyrl-RS"/>
        </w:rPr>
        <w:t xml:space="preserve">Више информација се налази у посебном </w:t>
      </w:r>
      <w:r w:rsidR="00E65C16" w:rsidRPr="00EF2F18">
        <w:rPr>
          <w:rFonts w:cs="Times New Roman"/>
          <w:sz w:val="22"/>
          <w:lang w:val="sr-Cyrl-RS"/>
        </w:rPr>
        <w:t>поглављу које се односи на Биодиверзитет и екосистеме</w:t>
      </w:r>
      <w:r w:rsidRPr="00EF2F18">
        <w:rPr>
          <w:rFonts w:cs="Times New Roman"/>
          <w:sz w:val="22"/>
          <w:lang w:val="sr-Cyrl-RS"/>
        </w:rPr>
        <w:t>.</w:t>
      </w:r>
    </w:p>
    <w:p w14:paraId="647C71A5" w14:textId="657C3B90" w:rsidR="009B2082" w:rsidRPr="00EF2F18" w:rsidRDefault="009B2082" w:rsidP="009B2082">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У складу са Законом о смањењу ризика од катастрофа и управљању ванредним ситуацијама урађена је Процена угрожености Републике Србије од временских елементарних непогода за потребе Националне процене ризика од катастрофа. Процена ризика израђена је за четири метеоролошка мултихазарда: град, олујни ветар и велике количине падавина; суша и топлотни таласи; снежне мећаве и наноси, поледица и хладни таласи. Национална процена ризика не укључује ове ризике у секторске анализе ризика.</w:t>
      </w:r>
      <w:r w:rsidR="00255BFC" w:rsidRPr="00EF2F18">
        <w:rPr>
          <w:rFonts w:ascii="Times New Roman" w:hAnsi="Times New Roman" w:cs="Times New Roman"/>
          <w:color w:val="auto"/>
          <w:sz w:val="22"/>
          <w:szCs w:val="22"/>
          <w:lang w:val="sr-Cyrl-RS"/>
        </w:rPr>
        <w:t xml:space="preserve"> </w:t>
      </w:r>
      <w:r w:rsidR="00C315EE" w:rsidRPr="00EF2F18">
        <w:rPr>
          <w:rFonts w:ascii="Times New Roman" w:hAnsi="Times New Roman" w:cs="Times New Roman"/>
          <w:color w:val="auto"/>
          <w:sz w:val="22"/>
          <w:szCs w:val="22"/>
          <w:lang w:val="sr-Cyrl-RS"/>
        </w:rPr>
        <w:t xml:space="preserve">Додатно, Упутство о Методологији израде и садржају процене ризика од катастрофа и плана заштите и спасавања које је тренутно на снази не захтева укључење климатских промена у процене ризика. Тиме у проценама ризика </w:t>
      </w:r>
      <w:r w:rsidR="00C315EE" w:rsidRPr="00EF2F18">
        <w:rPr>
          <w:rFonts w:ascii="Times New Roman" w:hAnsi="Times New Roman" w:cs="Times New Roman"/>
          <w:color w:val="auto"/>
          <w:sz w:val="22"/>
          <w:szCs w:val="22"/>
          <w:lang w:val="sr-Cyrl-RS"/>
        </w:rPr>
        <w:lastRenderedPageBreak/>
        <w:t xml:space="preserve">за јединице локалне самоуправе изостају утицаји климатских промена, односно укључења климатских сценарија у процене ризика. Треба имати у виду да је Програмом прилагођавања на </w:t>
      </w:r>
      <w:r w:rsidR="00A51A16">
        <w:rPr>
          <w:rFonts w:ascii="Times New Roman" w:hAnsi="Times New Roman" w:cs="Times New Roman"/>
          <w:color w:val="auto"/>
          <w:sz w:val="22"/>
          <w:szCs w:val="22"/>
          <w:lang w:val="sr-Cyrl-RS"/>
        </w:rPr>
        <w:t xml:space="preserve">измењене климатске услове за период 2023 – </w:t>
      </w:r>
      <w:r w:rsidR="00C315EE" w:rsidRPr="00EF2F18">
        <w:rPr>
          <w:rFonts w:ascii="Times New Roman" w:hAnsi="Times New Roman" w:cs="Times New Roman"/>
          <w:color w:val="auto"/>
          <w:sz w:val="22"/>
          <w:szCs w:val="22"/>
          <w:lang w:val="sr-Cyrl-RS"/>
        </w:rPr>
        <w:t>2030. године предвиђено укључивање осмотрених и пројектованих климатске промене (сценарија) у процену ризика</w:t>
      </w:r>
      <w:r w:rsidR="00255BFC" w:rsidRPr="00EF2F18">
        <w:rPr>
          <w:rFonts w:ascii="Times New Roman" w:hAnsi="Times New Roman" w:cs="Times New Roman"/>
          <w:color w:val="auto"/>
          <w:sz w:val="22"/>
          <w:szCs w:val="22"/>
          <w:lang w:val="sr-Cyrl-RS"/>
        </w:rPr>
        <w:t>.</w:t>
      </w:r>
    </w:p>
    <w:p w14:paraId="74B624FE" w14:textId="77777777" w:rsidR="002E3173" w:rsidRPr="00EF2F18" w:rsidRDefault="002E3173" w:rsidP="00186B13">
      <w:pPr>
        <w:spacing w:after="0"/>
        <w:jc w:val="both"/>
        <w:rPr>
          <w:rFonts w:cs="Times New Roman"/>
          <w:sz w:val="22"/>
          <w:lang w:val="sr-Cyrl-RS"/>
        </w:rPr>
      </w:pPr>
      <w:bookmarkStart w:id="33" w:name="_Hlk140493099"/>
    </w:p>
    <w:p w14:paraId="3D03D17E" w14:textId="40FB7116" w:rsidR="00024CAC" w:rsidRPr="00EF2F18" w:rsidRDefault="002B53A1" w:rsidP="00F106C9">
      <w:pPr>
        <w:pStyle w:val="Heading2"/>
        <w:numPr>
          <w:ilvl w:val="1"/>
          <w:numId w:val="2"/>
        </w:numPr>
        <w:ind w:hanging="360"/>
        <w:jc w:val="center"/>
        <w:rPr>
          <w:rFonts w:cs="Times New Roman"/>
          <w:sz w:val="22"/>
          <w:szCs w:val="22"/>
          <w:lang w:val="sr-Cyrl-RS"/>
        </w:rPr>
      </w:pPr>
      <w:bookmarkStart w:id="34" w:name="_Toc158307696"/>
      <w:r w:rsidRPr="00EF2F18">
        <w:rPr>
          <w:rFonts w:cs="Times New Roman"/>
          <w:sz w:val="22"/>
          <w:szCs w:val="22"/>
          <w:lang w:val="sr-Cyrl-RS"/>
        </w:rPr>
        <w:t xml:space="preserve">Циркуларна економија </w:t>
      </w:r>
      <w:r w:rsidR="00D93B63" w:rsidRPr="00EF2F18">
        <w:rPr>
          <w:rFonts w:cs="Times New Roman"/>
          <w:sz w:val="22"/>
          <w:szCs w:val="22"/>
          <w:lang w:val="sr-Cyrl-RS"/>
        </w:rPr>
        <w:t>и</w:t>
      </w:r>
      <w:r w:rsidRPr="00EF2F18">
        <w:rPr>
          <w:rFonts w:cs="Times New Roman"/>
          <w:sz w:val="22"/>
          <w:szCs w:val="22"/>
          <w:lang w:val="sr-Cyrl-RS"/>
        </w:rPr>
        <w:t xml:space="preserve"> ресурсн</w:t>
      </w:r>
      <w:r w:rsidR="00D93B63" w:rsidRPr="00EF2F18">
        <w:rPr>
          <w:rFonts w:cs="Times New Roman"/>
          <w:sz w:val="22"/>
          <w:szCs w:val="22"/>
          <w:lang w:val="sr-Cyrl-RS"/>
        </w:rPr>
        <w:t>а</w:t>
      </w:r>
      <w:r w:rsidRPr="00EF2F18">
        <w:rPr>
          <w:rFonts w:cs="Times New Roman"/>
          <w:sz w:val="22"/>
          <w:szCs w:val="22"/>
          <w:lang w:val="sr-Cyrl-RS"/>
        </w:rPr>
        <w:t xml:space="preserve"> </w:t>
      </w:r>
      <w:r w:rsidR="00A22E82" w:rsidRPr="00EF2F18">
        <w:rPr>
          <w:rFonts w:cs="Times New Roman"/>
          <w:sz w:val="22"/>
          <w:szCs w:val="22"/>
          <w:lang w:val="sr-Cyrl-RS"/>
        </w:rPr>
        <w:t>ефикасност</w:t>
      </w:r>
      <w:bookmarkEnd w:id="34"/>
    </w:p>
    <w:p w14:paraId="14ECDEF5" w14:textId="77777777" w:rsidR="00186B13" w:rsidRPr="00CD0755" w:rsidRDefault="00186B13" w:rsidP="00186B13">
      <w:pPr>
        <w:rPr>
          <w:sz w:val="6"/>
          <w:szCs w:val="6"/>
          <w:lang w:val="sr-Cyrl-RS"/>
        </w:rPr>
      </w:pPr>
    </w:p>
    <w:p w14:paraId="50CE0255" w14:textId="619B65C9" w:rsidR="00024CAC" w:rsidRPr="00EF2F18" w:rsidRDefault="00024CAC" w:rsidP="00024CAC">
      <w:pPr>
        <w:spacing w:after="0"/>
        <w:ind w:firstLine="720"/>
        <w:jc w:val="both"/>
        <w:rPr>
          <w:rFonts w:cs="Times New Roman"/>
          <w:sz w:val="22"/>
          <w:lang w:val="sr-Cyrl-RS"/>
        </w:rPr>
      </w:pPr>
      <w:r w:rsidRPr="00EF2F18">
        <w:rPr>
          <w:rFonts w:cs="Times New Roman"/>
          <w:sz w:val="22"/>
          <w:lang w:val="sr-Cyrl-RS"/>
        </w:rPr>
        <w:t>Циркуларна економија је препознатa као важан стратешки концепт за зелену транзицију Републике Србије. У складу са тим, пре свега, усвојен</w:t>
      </w:r>
      <w:r w:rsidR="005D04BD" w:rsidRPr="00EF2F18">
        <w:rPr>
          <w:rFonts w:cs="Times New Roman"/>
          <w:sz w:val="22"/>
          <w:lang w:val="sr-Cyrl-RS"/>
        </w:rPr>
        <w:t xml:space="preserve"> је </w:t>
      </w:r>
      <w:r w:rsidR="00EB1CE1" w:rsidRPr="00EF2F18">
        <w:rPr>
          <w:rFonts w:cs="Times New Roman"/>
          <w:sz w:val="22"/>
          <w:lang w:val="sr-Cyrl-RS"/>
        </w:rPr>
        <w:t>Програм развоја циркуларне економије у Републици Србији за период 2026</w:t>
      </w:r>
      <w:r w:rsidR="00F106C9" w:rsidRPr="00EF2F18">
        <w:rPr>
          <w:rFonts w:cs="Times New Roman"/>
          <w:sz w:val="22"/>
          <w:lang w:val="sr-Cyrl-RS"/>
        </w:rPr>
        <w:t xml:space="preserve"> – </w:t>
      </w:r>
      <w:r w:rsidR="00EB1CE1" w:rsidRPr="00EF2F18">
        <w:rPr>
          <w:rFonts w:cs="Times New Roman"/>
          <w:sz w:val="22"/>
          <w:lang w:val="sr-Cyrl-RS"/>
        </w:rPr>
        <w:t>2030. године са Акционим планом за период 2026</w:t>
      </w:r>
      <w:r w:rsidR="00F106C9" w:rsidRPr="00EF2F18">
        <w:rPr>
          <w:rFonts w:cs="Times New Roman"/>
          <w:sz w:val="22"/>
          <w:lang w:val="sr-Cyrl-RS"/>
        </w:rPr>
        <w:t xml:space="preserve"> – </w:t>
      </w:r>
      <w:r w:rsidR="00EB1CE1" w:rsidRPr="00EF2F18">
        <w:rPr>
          <w:rFonts w:cs="Times New Roman"/>
          <w:sz w:val="22"/>
          <w:lang w:val="sr-Cyrl-RS"/>
        </w:rPr>
        <w:t>2027. године</w:t>
      </w:r>
      <w:r w:rsidR="00BE2E11" w:rsidRPr="00EF2F18">
        <w:rPr>
          <w:rFonts w:cs="Times New Roman"/>
          <w:sz w:val="22"/>
          <w:lang w:val="sr-Cyrl-RS"/>
        </w:rPr>
        <w:t xml:space="preserve"> </w:t>
      </w:r>
      <w:r w:rsidR="00461FF3" w:rsidRPr="00EF2F18">
        <w:rPr>
          <w:rFonts w:cs="Times New Roman"/>
          <w:sz w:val="22"/>
          <w:lang w:val="sr-Cyrl-RS"/>
        </w:rPr>
        <w:t xml:space="preserve">(„Службени гласник РС”, број </w:t>
      </w:r>
      <w:r w:rsidR="00B57CFF" w:rsidRPr="00EF2F18">
        <w:rPr>
          <w:rFonts w:cs="Times New Roman"/>
          <w:sz w:val="22"/>
          <w:lang w:val="sr-Cyrl-RS"/>
        </w:rPr>
        <w:t>41/</w:t>
      </w:r>
      <w:r w:rsidR="00461FF3" w:rsidRPr="00EF2F18">
        <w:rPr>
          <w:rFonts w:cs="Times New Roman"/>
          <w:sz w:val="22"/>
          <w:lang w:val="sr-Cyrl-RS"/>
        </w:rPr>
        <w:t>26)</w:t>
      </w:r>
      <w:r w:rsidR="005D04BD" w:rsidRPr="00EF2F18">
        <w:rPr>
          <w:rFonts w:cs="Times New Roman"/>
          <w:sz w:val="22"/>
          <w:lang w:val="sr-Cyrl-RS"/>
        </w:rPr>
        <w:t xml:space="preserve">, </w:t>
      </w:r>
      <w:r w:rsidRPr="00EF2F18">
        <w:rPr>
          <w:rFonts w:cs="Times New Roman"/>
          <w:sz w:val="22"/>
          <w:lang w:val="sr-Cyrl-RS"/>
        </w:rPr>
        <w:t>као и низ других докумената јавних политика у којима се кроз планиране мере и активности обезбеђује транзиција са линеа</w:t>
      </w:r>
      <w:r w:rsidR="00E932E4" w:rsidRPr="00EF2F18">
        <w:rPr>
          <w:rFonts w:cs="Times New Roman"/>
          <w:sz w:val="22"/>
          <w:lang w:val="sr-Cyrl-RS"/>
        </w:rPr>
        <w:t>р</w:t>
      </w:r>
      <w:r w:rsidRPr="00EF2F18">
        <w:rPr>
          <w:rFonts w:cs="Times New Roman"/>
          <w:sz w:val="22"/>
          <w:lang w:val="sr-Cyrl-RS"/>
        </w:rPr>
        <w:t>не на циркуларну економију</w:t>
      </w:r>
      <w:r w:rsidR="005313EC" w:rsidRPr="00EF2F18">
        <w:rPr>
          <w:rFonts w:cs="Times New Roman"/>
          <w:sz w:val="22"/>
          <w:lang w:val="sr-Cyrl-RS"/>
        </w:rPr>
        <w:t>,</w:t>
      </w:r>
      <w:r w:rsidRPr="00EF2F18">
        <w:rPr>
          <w:rFonts w:cs="Times New Roman"/>
          <w:sz w:val="22"/>
          <w:lang w:val="sr-Cyrl-RS"/>
        </w:rPr>
        <w:t xml:space="preserve"> а које су засноване на одрживом коришћењу ресурса и енергије, поновном искоришћењу отпада, смањењу негативног утицаја на животну средину, примени иновација и дигиталних алата, подизању нивоа знања</w:t>
      </w:r>
      <w:r w:rsidR="005313EC" w:rsidRPr="00EF2F18">
        <w:rPr>
          <w:rFonts w:cs="Times New Roman"/>
          <w:sz w:val="22"/>
          <w:lang w:val="sr-Cyrl-RS"/>
        </w:rPr>
        <w:t>, што ће допринети</w:t>
      </w:r>
      <w:r w:rsidRPr="00EF2F18">
        <w:rPr>
          <w:rFonts w:cs="Times New Roman"/>
          <w:sz w:val="22"/>
          <w:lang w:val="sr-Cyrl-RS"/>
        </w:rPr>
        <w:t xml:space="preserve"> већој конкурентности привреде. Последњих година спроведено је више активности и пројеката који имају за циљ пружање подршке привреди у примени принципа циркуларне економије и унапређење сарадње науке и привреде у области циркуларних иновација.</w:t>
      </w:r>
    </w:p>
    <w:p w14:paraId="462BA8B9" w14:textId="46CDF471" w:rsidR="00024CAC" w:rsidRPr="00EF2F18" w:rsidRDefault="00024CAC" w:rsidP="00024CAC">
      <w:pPr>
        <w:spacing w:after="0"/>
        <w:ind w:firstLine="720"/>
        <w:jc w:val="both"/>
        <w:rPr>
          <w:rFonts w:cs="Times New Roman"/>
          <w:sz w:val="22"/>
          <w:lang w:val="sr-Cyrl-RS"/>
        </w:rPr>
      </w:pPr>
      <w:r w:rsidRPr="00EF2F18">
        <w:rPr>
          <w:rFonts w:cs="Times New Roman"/>
          <w:sz w:val="22"/>
          <w:lang w:val="sr-Cyrl-RS"/>
        </w:rPr>
        <w:t xml:space="preserve">Према последњим подацима Републичког завода за статистику, домаћа потрошња материјалних ресурса у Републици Србији у </w:t>
      </w:r>
      <w:r w:rsidR="00FD3659" w:rsidRPr="00EF2F18">
        <w:rPr>
          <w:rFonts w:cs="Times New Roman"/>
          <w:sz w:val="22"/>
          <w:lang w:val="sr-Cyrl-RS"/>
        </w:rPr>
        <w:t>2022</w:t>
      </w:r>
      <w:r w:rsidRPr="00EF2F18">
        <w:rPr>
          <w:rFonts w:cs="Times New Roman"/>
          <w:sz w:val="22"/>
          <w:lang w:val="sr-Cyrl-RS"/>
        </w:rPr>
        <w:t>. години износила је 1</w:t>
      </w:r>
      <w:r w:rsidR="00FD3659" w:rsidRPr="00EF2F18">
        <w:rPr>
          <w:rFonts w:cs="Times New Roman"/>
          <w:sz w:val="22"/>
          <w:lang w:val="sr-Cyrl-RS"/>
        </w:rPr>
        <w:t>46</w:t>
      </w:r>
      <w:r w:rsidRPr="00EF2F18">
        <w:rPr>
          <w:rFonts w:cs="Times New Roman"/>
          <w:sz w:val="22"/>
          <w:lang w:val="sr-Cyrl-RS"/>
        </w:rPr>
        <w:t>,</w:t>
      </w:r>
      <w:r w:rsidR="00FD3659" w:rsidRPr="00EF2F18">
        <w:rPr>
          <w:rFonts w:cs="Times New Roman"/>
          <w:sz w:val="22"/>
          <w:lang w:val="sr-Cyrl-RS"/>
        </w:rPr>
        <w:t>22</w:t>
      </w:r>
      <w:r w:rsidRPr="00EF2F18">
        <w:rPr>
          <w:rFonts w:cs="Times New Roman"/>
          <w:sz w:val="22"/>
          <w:lang w:val="sr-Cyrl-RS"/>
        </w:rPr>
        <w:t xml:space="preserve"> милиона </w:t>
      </w:r>
      <w:r w:rsidR="004E449F">
        <w:rPr>
          <w:rFonts w:cs="Times New Roman"/>
          <w:sz w:val="22"/>
          <w:lang w:val="sr-Cyrl-RS"/>
        </w:rPr>
        <w:t>тона</w:t>
      </w:r>
      <w:r w:rsidRPr="00EF2F18">
        <w:rPr>
          <w:rFonts w:cs="Times New Roman"/>
          <w:sz w:val="22"/>
          <w:lang w:val="sr-Cyrl-RS"/>
        </w:rPr>
        <w:t xml:space="preserve">, што је за </w:t>
      </w:r>
      <w:r w:rsidR="00FD3659" w:rsidRPr="00EF2F18">
        <w:rPr>
          <w:rFonts w:cs="Times New Roman"/>
          <w:sz w:val="22"/>
          <w:lang w:val="sr-Cyrl-RS"/>
        </w:rPr>
        <w:t>7</w:t>
      </w:r>
      <w:r w:rsidRPr="00EF2F18">
        <w:rPr>
          <w:rFonts w:cs="Times New Roman"/>
          <w:sz w:val="22"/>
          <w:lang w:val="sr-Cyrl-RS"/>
        </w:rPr>
        <w:t xml:space="preserve">,1% више него у </w:t>
      </w:r>
      <w:r w:rsidR="00FD3659" w:rsidRPr="00EF2F18">
        <w:rPr>
          <w:rFonts w:cs="Times New Roman"/>
          <w:sz w:val="22"/>
          <w:lang w:val="sr-Cyrl-RS"/>
        </w:rPr>
        <w:t>2021</w:t>
      </w:r>
      <w:r w:rsidRPr="00EF2F18">
        <w:rPr>
          <w:rFonts w:cs="Times New Roman"/>
          <w:sz w:val="22"/>
          <w:lang w:val="sr-Cyrl-RS"/>
        </w:rPr>
        <w:t xml:space="preserve">. години, а </w:t>
      </w:r>
      <w:r w:rsidR="00FD3659" w:rsidRPr="00EF2F18">
        <w:rPr>
          <w:rFonts w:cs="Times New Roman"/>
          <w:sz w:val="22"/>
          <w:lang w:val="sr-Cyrl-RS"/>
        </w:rPr>
        <w:t>50</w:t>
      </w:r>
      <w:r w:rsidRPr="00EF2F18">
        <w:rPr>
          <w:rFonts w:cs="Times New Roman"/>
          <w:sz w:val="22"/>
          <w:lang w:val="sr-Cyrl-RS"/>
        </w:rPr>
        <w:t xml:space="preserve">% више у односу на 2001. годину. Такав тренд има негативно значење, јер се повећава годишња потрошња ресурса. У истом периоду у Европској унији забележено је смањење за </w:t>
      </w:r>
      <w:r w:rsidR="00FD3659" w:rsidRPr="00EF2F18">
        <w:rPr>
          <w:rFonts w:cs="Times New Roman"/>
          <w:sz w:val="22"/>
          <w:lang w:val="sr-Cyrl-RS"/>
        </w:rPr>
        <w:t>2</w:t>
      </w:r>
      <w:r w:rsidRPr="00EF2F18">
        <w:rPr>
          <w:rFonts w:cs="Times New Roman"/>
          <w:sz w:val="22"/>
          <w:lang w:val="sr-Cyrl-RS"/>
        </w:rPr>
        <w:t>,</w:t>
      </w:r>
      <w:r w:rsidR="00FD3659" w:rsidRPr="00EF2F18">
        <w:rPr>
          <w:rFonts w:cs="Times New Roman"/>
          <w:sz w:val="22"/>
          <w:lang w:val="sr-Cyrl-RS"/>
        </w:rPr>
        <w:t>4</w:t>
      </w:r>
      <w:r w:rsidRPr="00EF2F18">
        <w:rPr>
          <w:rFonts w:cs="Times New Roman"/>
          <w:sz w:val="22"/>
          <w:lang w:val="sr-Cyrl-RS"/>
        </w:rPr>
        <w:t xml:space="preserve">%. </w:t>
      </w:r>
      <w:r w:rsidR="00B252B6" w:rsidRPr="00EF2F18">
        <w:rPr>
          <w:bCs/>
          <w:sz w:val="22"/>
          <w:lang w:val="sr-Cyrl-RS"/>
        </w:rPr>
        <w:t xml:space="preserve">У праћењу потрошње ресурса, због утицаја на животну средину, значајну улогу има структура ресурса. Главне компоненте укупне </w:t>
      </w:r>
      <w:r w:rsidR="00B252B6" w:rsidRPr="00EF2F18">
        <w:rPr>
          <w:rFonts w:cs="Times New Roman"/>
          <w:sz w:val="22"/>
          <w:lang w:val="sr-Cyrl-RS"/>
        </w:rPr>
        <w:t>домаће потрошње материјалних ресурса</w:t>
      </w:r>
      <w:r w:rsidR="00B252B6" w:rsidRPr="00EF2F18">
        <w:rPr>
          <w:bCs/>
          <w:sz w:val="22"/>
          <w:lang w:val="sr-Cyrl-RS"/>
        </w:rPr>
        <w:t xml:space="preserve"> су биомаса, фосилна горива, неметални минерали (углавном материјали који се користе у грађевинарству) и метали (укључујући руде метала).</w:t>
      </w:r>
    </w:p>
    <w:p w14:paraId="7ABEF32D" w14:textId="77777777" w:rsidR="00E914A6" w:rsidRPr="00EF2F18" w:rsidRDefault="00E914A6" w:rsidP="00024CAC">
      <w:pPr>
        <w:spacing w:after="0"/>
        <w:ind w:firstLine="720"/>
        <w:jc w:val="both"/>
        <w:rPr>
          <w:rFonts w:cs="Times New Roman"/>
          <w:sz w:val="22"/>
          <w:lang w:val="sr-Cyrl-RS"/>
        </w:rPr>
      </w:pPr>
    </w:p>
    <w:p w14:paraId="0064CE05" w14:textId="7E9E8F14" w:rsidR="00024CAC" w:rsidRPr="00EF2F18" w:rsidRDefault="003614CB" w:rsidP="000F3016">
      <w:pPr>
        <w:jc w:val="center"/>
        <w:rPr>
          <w:rFonts w:cs="Times New Roman"/>
          <w:sz w:val="22"/>
          <w:lang w:val="sr-Cyrl-RS"/>
        </w:rPr>
      </w:pPr>
      <w:r w:rsidRPr="00EF2F18">
        <w:rPr>
          <w:noProof/>
          <w:lang w:val="sr-Cyrl-RS" w:eastAsia="sr-Cyrl-RS"/>
        </w:rPr>
        <w:drawing>
          <wp:inline distT="0" distB="0" distL="0" distR="0" wp14:anchorId="0180A6A1" wp14:editId="0AFDEEBF">
            <wp:extent cx="4780212" cy="1397000"/>
            <wp:effectExtent l="0" t="0" r="1905" b="0"/>
            <wp:docPr id="46978665" name="Picture 65" descr="A graph of a graph showing the number of the company's sa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8665" name="Picture 65" descr="A graph of a graph showing the number of the company's sal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02695" cy="1403570"/>
                    </a:xfrm>
                    <a:prstGeom prst="rect">
                      <a:avLst/>
                    </a:prstGeom>
                    <a:noFill/>
                    <a:ln>
                      <a:noFill/>
                    </a:ln>
                  </pic:spPr>
                </pic:pic>
              </a:graphicData>
            </a:graphic>
          </wp:inline>
        </w:drawing>
      </w:r>
    </w:p>
    <w:p w14:paraId="3C023036" w14:textId="268C0F0B" w:rsidR="00024CAC" w:rsidRPr="00EF2F18" w:rsidRDefault="00024CAC" w:rsidP="00024CAC">
      <w:pPr>
        <w:spacing w:after="0"/>
        <w:jc w:val="both"/>
        <w:rPr>
          <w:rFonts w:cs="Times New Roman"/>
          <w:bCs/>
          <w:sz w:val="22"/>
          <w:lang w:val="sr-Cyrl-RS"/>
        </w:rPr>
      </w:pPr>
      <w:r w:rsidRPr="00EF2F18">
        <w:rPr>
          <w:rFonts w:cs="Times New Roman"/>
          <w:b/>
          <w:sz w:val="22"/>
          <w:lang w:val="sr-Cyrl-RS"/>
        </w:rPr>
        <w:t xml:space="preserve">Слика </w:t>
      </w:r>
      <w:r w:rsidR="00C0735C" w:rsidRPr="00EF2F18">
        <w:rPr>
          <w:rFonts w:cs="Times New Roman"/>
          <w:b/>
          <w:sz w:val="22"/>
          <w:lang w:val="sr-Cyrl-RS"/>
        </w:rPr>
        <w:t>3</w:t>
      </w:r>
      <w:r w:rsidR="00F36CC7" w:rsidRPr="00EF2F18">
        <w:rPr>
          <w:rFonts w:cs="Times New Roman"/>
          <w:b/>
          <w:sz w:val="22"/>
          <w:lang w:val="sr-Cyrl-RS"/>
        </w:rPr>
        <w:t>.</w:t>
      </w:r>
      <w:r w:rsidR="007C33E8" w:rsidRPr="00EF2F18">
        <w:rPr>
          <w:rFonts w:cs="Times New Roman"/>
          <w:b/>
          <w:sz w:val="22"/>
          <w:lang w:val="sr-Cyrl-RS"/>
        </w:rPr>
        <w:t>8</w:t>
      </w:r>
      <w:r w:rsidR="00F36CC7" w:rsidRPr="00EF2F18">
        <w:rPr>
          <w:rFonts w:cs="Times New Roman"/>
          <w:b/>
          <w:sz w:val="22"/>
          <w:lang w:val="sr-Cyrl-RS"/>
        </w:rPr>
        <w:t>.</w:t>
      </w:r>
      <w:r w:rsidRPr="00EF2F18">
        <w:rPr>
          <w:rFonts w:cs="Times New Roman"/>
          <w:bCs/>
          <w:sz w:val="22"/>
          <w:lang w:val="sr-Cyrl-RS"/>
        </w:rPr>
        <w:t xml:space="preserve"> Укупна потрошња материјала у Републици Србији и ЕУ</w:t>
      </w:r>
    </w:p>
    <w:p w14:paraId="3B005372" w14:textId="23E3F205" w:rsidR="00024CAC" w:rsidRPr="00EF2F18" w:rsidRDefault="00024CAC" w:rsidP="00024CAC">
      <w:pPr>
        <w:spacing w:after="0"/>
        <w:jc w:val="both"/>
        <w:rPr>
          <w:rFonts w:cs="Times New Roman"/>
          <w:bCs/>
          <w:i/>
          <w:sz w:val="22"/>
          <w:lang w:val="sr-Cyrl-RS"/>
        </w:rPr>
      </w:pPr>
      <w:r w:rsidRPr="00EF2F18">
        <w:rPr>
          <w:rFonts w:cs="Times New Roman"/>
          <w:bCs/>
          <w:i/>
          <w:sz w:val="22"/>
          <w:lang w:val="sr-Cyrl-RS"/>
        </w:rPr>
        <w:t xml:space="preserve">Извор: Агенција за заштиту животне средине, </w:t>
      </w:r>
      <w:r w:rsidR="003614CB" w:rsidRPr="00EF2F18">
        <w:rPr>
          <w:rFonts w:cs="Times New Roman"/>
          <w:bCs/>
          <w:i/>
          <w:sz w:val="22"/>
          <w:lang w:val="sr-Cyrl-RS"/>
        </w:rPr>
        <w:t>2024</w:t>
      </w:r>
      <w:r w:rsidRPr="00EF2F18">
        <w:rPr>
          <w:rFonts w:cs="Times New Roman"/>
          <w:bCs/>
          <w:i/>
          <w:sz w:val="22"/>
          <w:lang w:val="sr-Cyrl-RS"/>
        </w:rPr>
        <w:t>.</w:t>
      </w:r>
    </w:p>
    <w:p w14:paraId="0834D5A4" w14:textId="77777777" w:rsidR="00186B13" w:rsidRPr="00EF2F18" w:rsidRDefault="00186B13" w:rsidP="00024CAC">
      <w:pPr>
        <w:spacing w:after="0"/>
        <w:jc w:val="both"/>
        <w:rPr>
          <w:rFonts w:cs="Times New Roman"/>
          <w:bCs/>
          <w:i/>
          <w:sz w:val="22"/>
          <w:lang w:val="sr-Cyrl-RS"/>
        </w:rPr>
      </w:pPr>
    </w:p>
    <w:p w14:paraId="62F0192E" w14:textId="4EA241B4" w:rsidR="00024CAC" w:rsidRPr="00EF2F18" w:rsidRDefault="00024CAC" w:rsidP="00186B13">
      <w:pPr>
        <w:autoSpaceDE w:val="0"/>
        <w:autoSpaceDN w:val="0"/>
        <w:adjustRightInd w:val="0"/>
        <w:spacing w:after="0"/>
        <w:jc w:val="both"/>
        <w:rPr>
          <w:rFonts w:cs="Times New Roman"/>
          <w:sz w:val="22"/>
          <w:lang w:val="sr-Cyrl-RS"/>
        </w:rPr>
      </w:pPr>
      <w:r w:rsidRPr="00EF2F18">
        <w:rPr>
          <w:rFonts w:cs="Times New Roman"/>
          <w:sz w:val="22"/>
          <w:lang w:val="sr-Cyrl-RS"/>
        </w:rPr>
        <w:t xml:space="preserve">Домаћа потрошња материјала по становнику у Републици Србији је повећана са 12,98 t у 2001. години на </w:t>
      </w:r>
      <w:r w:rsidR="008E76E5" w:rsidRPr="00EF2F18">
        <w:rPr>
          <w:rFonts w:cs="Times New Roman"/>
          <w:sz w:val="22"/>
          <w:lang w:val="sr-Cyrl-RS"/>
        </w:rPr>
        <w:t>21</w:t>
      </w:r>
      <w:r w:rsidRPr="00EF2F18">
        <w:rPr>
          <w:rFonts w:cs="Times New Roman"/>
          <w:sz w:val="22"/>
          <w:lang w:val="sr-Cyrl-RS"/>
        </w:rPr>
        <w:t>,</w:t>
      </w:r>
      <w:r w:rsidR="008E76E5" w:rsidRPr="00EF2F18">
        <w:rPr>
          <w:rFonts w:cs="Times New Roman"/>
          <w:sz w:val="22"/>
          <w:lang w:val="sr-Cyrl-RS"/>
        </w:rPr>
        <w:t>9</w:t>
      </w:r>
      <w:r w:rsidRPr="00EF2F18">
        <w:rPr>
          <w:rFonts w:cs="Times New Roman"/>
          <w:sz w:val="22"/>
          <w:lang w:val="sr-Cyrl-RS"/>
        </w:rPr>
        <w:t xml:space="preserve">4 t у </w:t>
      </w:r>
      <w:r w:rsidR="008E76E5" w:rsidRPr="00EF2F18">
        <w:rPr>
          <w:rFonts w:cs="Times New Roman"/>
          <w:sz w:val="22"/>
          <w:lang w:val="sr-Cyrl-RS"/>
        </w:rPr>
        <w:t>2022</w:t>
      </w:r>
      <w:r w:rsidRPr="00EF2F18">
        <w:rPr>
          <w:rFonts w:cs="Times New Roman"/>
          <w:sz w:val="22"/>
          <w:lang w:val="sr-Cyrl-RS"/>
        </w:rPr>
        <w:t xml:space="preserve">. години, односно за </w:t>
      </w:r>
      <w:r w:rsidR="008E76E5" w:rsidRPr="00EF2F18">
        <w:rPr>
          <w:rFonts w:cs="Times New Roman"/>
          <w:sz w:val="22"/>
          <w:lang w:val="sr-Cyrl-RS"/>
        </w:rPr>
        <w:t>69</w:t>
      </w:r>
      <w:r w:rsidRPr="00EF2F18">
        <w:rPr>
          <w:rFonts w:cs="Times New Roman"/>
          <w:sz w:val="22"/>
          <w:lang w:val="sr-Cyrl-RS"/>
        </w:rPr>
        <w:t xml:space="preserve">%, док је у истом периоду у ЕУ опала за 8,2%. Ради поређења, просечна домаћа потрошња материјала по становнику у ЕУ </w:t>
      </w:r>
      <w:r w:rsidR="008E76E5" w:rsidRPr="00EF2F18">
        <w:rPr>
          <w:rFonts w:cs="Times New Roman"/>
          <w:sz w:val="22"/>
          <w:lang w:val="sr-Cyrl-RS"/>
        </w:rPr>
        <w:t>2022</w:t>
      </w:r>
      <w:r w:rsidRPr="00EF2F18">
        <w:rPr>
          <w:rFonts w:cs="Times New Roman"/>
          <w:sz w:val="22"/>
          <w:lang w:val="sr-Cyrl-RS"/>
        </w:rPr>
        <w:t>. године је износила 14,</w:t>
      </w:r>
      <w:r w:rsidR="008E76E5" w:rsidRPr="00EF2F18">
        <w:rPr>
          <w:rFonts w:cs="Times New Roman"/>
          <w:sz w:val="22"/>
          <w:lang w:val="sr-Cyrl-RS"/>
        </w:rPr>
        <w:t xml:space="preserve">45 </w:t>
      </w:r>
      <w:r w:rsidRPr="00EF2F18">
        <w:rPr>
          <w:rFonts w:cs="Times New Roman"/>
          <w:sz w:val="22"/>
          <w:lang w:val="sr-Cyrl-RS"/>
        </w:rPr>
        <w:t>t.</w:t>
      </w:r>
    </w:p>
    <w:p w14:paraId="3002F4F8" w14:textId="77777777" w:rsidR="00024CAC" w:rsidRPr="00EF2F18" w:rsidRDefault="00024CAC" w:rsidP="00024CAC">
      <w:pPr>
        <w:autoSpaceDE w:val="0"/>
        <w:autoSpaceDN w:val="0"/>
        <w:adjustRightInd w:val="0"/>
        <w:spacing w:after="0"/>
        <w:jc w:val="center"/>
        <w:rPr>
          <w:rFonts w:cs="Times New Roman"/>
          <w:sz w:val="22"/>
          <w:lang w:val="sr-Cyrl-RS"/>
        </w:rPr>
      </w:pPr>
    </w:p>
    <w:p w14:paraId="7C7CA036" w14:textId="41BF85F6" w:rsidR="00024CAC" w:rsidRPr="00EF2F18" w:rsidRDefault="008E76E5" w:rsidP="00024CAC">
      <w:pPr>
        <w:autoSpaceDE w:val="0"/>
        <w:autoSpaceDN w:val="0"/>
        <w:adjustRightInd w:val="0"/>
        <w:spacing w:after="0"/>
        <w:jc w:val="center"/>
        <w:rPr>
          <w:rFonts w:cs="Times New Roman"/>
          <w:sz w:val="22"/>
          <w:lang w:val="sr-Cyrl-RS"/>
        </w:rPr>
      </w:pPr>
      <w:r w:rsidRPr="00EF2F18">
        <w:rPr>
          <w:noProof/>
          <w:lang w:val="sr-Cyrl-RS" w:eastAsia="sr-Cyrl-RS"/>
        </w:rPr>
        <w:drawing>
          <wp:inline distT="0" distB="0" distL="0" distR="0" wp14:anchorId="1DD5F181" wp14:editId="656AC751">
            <wp:extent cx="4038355" cy="1417320"/>
            <wp:effectExtent l="0" t="0" r="635" b="0"/>
            <wp:docPr id="1939811161" name="Picture 69" descr="A graph with a line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11161" name="Picture 69" descr="A graph with a line and a red lin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44962" cy="1419639"/>
                    </a:xfrm>
                    <a:prstGeom prst="rect">
                      <a:avLst/>
                    </a:prstGeom>
                    <a:noFill/>
                    <a:ln>
                      <a:noFill/>
                    </a:ln>
                  </pic:spPr>
                </pic:pic>
              </a:graphicData>
            </a:graphic>
          </wp:inline>
        </w:drawing>
      </w:r>
    </w:p>
    <w:p w14:paraId="541B3AD1" w14:textId="725E6D06" w:rsidR="00024CAC" w:rsidRPr="00EF2F18" w:rsidRDefault="00024CAC" w:rsidP="00024CAC">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7C33E8" w:rsidRPr="00EF2F18">
        <w:rPr>
          <w:rFonts w:cs="Times New Roman"/>
          <w:b/>
          <w:bCs/>
          <w:sz w:val="22"/>
          <w:lang w:val="sr-Cyrl-RS"/>
        </w:rPr>
        <w:t>9</w:t>
      </w:r>
      <w:r w:rsidR="00F36CC7" w:rsidRPr="00EF2F18">
        <w:rPr>
          <w:rFonts w:cs="Times New Roman"/>
          <w:b/>
          <w:bCs/>
          <w:sz w:val="22"/>
          <w:lang w:val="sr-Cyrl-RS"/>
        </w:rPr>
        <w:t>.</w:t>
      </w:r>
      <w:r w:rsidRPr="00EF2F18">
        <w:rPr>
          <w:rFonts w:cs="Times New Roman"/>
          <w:sz w:val="22"/>
          <w:lang w:val="sr-Cyrl-RS"/>
        </w:rPr>
        <w:t xml:space="preserve"> Домаћа потрошња материјала по становнику у Републици Србији и ЕУ</w:t>
      </w:r>
    </w:p>
    <w:p w14:paraId="1FDE17F6" w14:textId="5EA497C7" w:rsidR="00024CAC" w:rsidRPr="00CD0755" w:rsidRDefault="00024CAC" w:rsidP="00CD0755">
      <w:pPr>
        <w:spacing w:after="0"/>
        <w:jc w:val="both"/>
        <w:rPr>
          <w:rFonts w:cs="Times New Roman"/>
          <w:bCs/>
          <w:i/>
          <w:sz w:val="22"/>
          <w:lang w:val="sr-Cyrl-RS"/>
        </w:rPr>
      </w:pPr>
      <w:r w:rsidRPr="00EF2F18">
        <w:rPr>
          <w:rFonts w:cs="Times New Roman"/>
          <w:bCs/>
          <w:i/>
          <w:sz w:val="22"/>
          <w:lang w:val="sr-Cyrl-RS"/>
        </w:rPr>
        <w:t xml:space="preserve">Извор: Агенција за заштиту животне средине, </w:t>
      </w:r>
      <w:r w:rsidR="008E76E5" w:rsidRPr="00EF2F18">
        <w:rPr>
          <w:rFonts w:cs="Times New Roman"/>
          <w:bCs/>
          <w:i/>
          <w:sz w:val="22"/>
          <w:lang w:val="sr-Cyrl-RS"/>
        </w:rPr>
        <w:t>2024</w:t>
      </w:r>
      <w:r w:rsidRPr="00EF2F18">
        <w:rPr>
          <w:rFonts w:cs="Times New Roman"/>
          <w:bCs/>
          <w:i/>
          <w:sz w:val="22"/>
          <w:lang w:val="sr-Cyrl-RS"/>
        </w:rPr>
        <w:t>.</w:t>
      </w:r>
    </w:p>
    <w:p w14:paraId="45C47A05" w14:textId="1E67FA34" w:rsidR="007F6FF0" w:rsidRPr="00EF2F18" w:rsidRDefault="004C6434" w:rsidP="00F106C9">
      <w:pPr>
        <w:pStyle w:val="Heading3"/>
        <w:numPr>
          <w:ilvl w:val="2"/>
          <w:numId w:val="2"/>
        </w:numPr>
        <w:jc w:val="center"/>
        <w:rPr>
          <w:rFonts w:cs="Times New Roman"/>
          <w:sz w:val="22"/>
          <w:szCs w:val="22"/>
          <w:lang w:val="sr-Cyrl-RS"/>
        </w:rPr>
      </w:pPr>
      <w:bookmarkStart w:id="35" w:name="_Toc158307697"/>
      <w:r w:rsidRPr="00EF2F18">
        <w:rPr>
          <w:rFonts w:cs="Times New Roman"/>
          <w:sz w:val="22"/>
          <w:szCs w:val="22"/>
          <w:lang w:val="sr-Cyrl-RS"/>
        </w:rPr>
        <w:lastRenderedPageBreak/>
        <w:t>Искоришћење о</w:t>
      </w:r>
      <w:r w:rsidR="0089035C" w:rsidRPr="00EF2F18">
        <w:rPr>
          <w:rFonts w:cs="Times New Roman"/>
          <w:sz w:val="22"/>
          <w:szCs w:val="22"/>
          <w:lang w:val="sr-Cyrl-RS"/>
        </w:rPr>
        <w:t>тпад</w:t>
      </w:r>
      <w:r w:rsidRPr="00EF2F18">
        <w:rPr>
          <w:rFonts w:cs="Times New Roman"/>
          <w:sz w:val="22"/>
          <w:szCs w:val="22"/>
          <w:lang w:val="sr-Cyrl-RS"/>
        </w:rPr>
        <w:t>а</w:t>
      </w:r>
      <w:bookmarkEnd w:id="35"/>
    </w:p>
    <w:p w14:paraId="1A14D35D" w14:textId="0E293100" w:rsidR="00B961EB" w:rsidRPr="00EF2F18" w:rsidRDefault="00B961EB" w:rsidP="00B961EB">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Анализа постојећег стања од значаја за искоришћење отпада припремљена је на основу доступних званичних података Агенције за заштиту животне средине, као и идентификованих проблема, прописа и показатеља дефинисаних у Програму управљања отпадом у Републици Србији за период 2022 </w:t>
      </w:r>
      <w:r w:rsidR="00143597">
        <w:rPr>
          <w:rFonts w:cs="Times New Roman"/>
          <w:sz w:val="22"/>
          <w:lang w:val="sr-Cyrl-RS"/>
        </w:rPr>
        <w:t>–</w:t>
      </w:r>
      <w:r w:rsidRPr="00EF2F18">
        <w:rPr>
          <w:rFonts w:cs="Times New Roman"/>
          <w:sz w:val="22"/>
          <w:lang w:val="sr-Cyrl-RS"/>
        </w:rPr>
        <w:t xml:space="preserve"> 2031. године и Програму развоја циркуларне економије у Републици Србији за период 202</w:t>
      </w:r>
      <w:r w:rsidR="000D5AD5" w:rsidRPr="00EF2F18">
        <w:rPr>
          <w:rFonts w:cs="Times New Roman"/>
          <w:sz w:val="22"/>
          <w:lang w:val="sr-Cyrl-RS"/>
        </w:rPr>
        <w:t>6</w:t>
      </w:r>
      <w:r w:rsidR="00143597">
        <w:rPr>
          <w:rFonts w:cs="Times New Roman"/>
          <w:sz w:val="22"/>
          <w:lang w:val="sr-Cyrl-RS"/>
        </w:rPr>
        <w:t xml:space="preserve"> – </w:t>
      </w:r>
      <w:r w:rsidRPr="00EF2F18">
        <w:rPr>
          <w:rFonts w:cs="Times New Roman"/>
          <w:sz w:val="22"/>
          <w:lang w:val="sr-Cyrl-RS"/>
        </w:rPr>
        <w:t>20</w:t>
      </w:r>
      <w:r w:rsidR="000D5AD5" w:rsidRPr="00EF2F18">
        <w:rPr>
          <w:rFonts w:cs="Times New Roman"/>
          <w:sz w:val="22"/>
          <w:lang w:val="sr-Cyrl-RS"/>
        </w:rPr>
        <w:t>30</w:t>
      </w:r>
      <w:r w:rsidRPr="00EF2F18">
        <w:rPr>
          <w:rFonts w:cs="Times New Roman"/>
          <w:sz w:val="22"/>
          <w:lang w:val="sr-Cyrl-RS"/>
        </w:rPr>
        <w:t>. године.</w:t>
      </w:r>
    </w:p>
    <w:p w14:paraId="501655F3" w14:textId="6F7C995F" w:rsidR="00496775" w:rsidRPr="00EF2F18" w:rsidRDefault="00496775" w:rsidP="00B961EB">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Проценат становника обухваћених организованим </w:t>
      </w:r>
      <w:r w:rsidR="004C1A81" w:rsidRPr="00EF2F18">
        <w:rPr>
          <w:rFonts w:cs="Times New Roman"/>
          <w:sz w:val="22"/>
          <w:lang w:val="sr-Cyrl-RS"/>
        </w:rPr>
        <w:t>са</w:t>
      </w:r>
      <w:r w:rsidRPr="00EF2F18">
        <w:rPr>
          <w:rFonts w:cs="Times New Roman"/>
          <w:sz w:val="22"/>
          <w:lang w:val="sr-Cyrl-RS"/>
        </w:rPr>
        <w:t>купљањем отпада показује тренд пораста и у 2022. години је износио 87%.</w:t>
      </w:r>
    </w:p>
    <w:p w14:paraId="4955B525" w14:textId="1BE3F2A4" w:rsidR="00EB1742" w:rsidRPr="00EF2F18" w:rsidRDefault="00354FC7" w:rsidP="00A24072">
      <w:pPr>
        <w:autoSpaceDE w:val="0"/>
        <w:autoSpaceDN w:val="0"/>
        <w:adjustRightInd w:val="0"/>
        <w:spacing w:after="0"/>
        <w:ind w:firstLine="720"/>
        <w:jc w:val="both"/>
        <w:rPr>
          <w:rFonts w:cs="Times New Roman"/>
          <w:sz w:val="22"/>
          <w:lang w:val="sr-Cyrl-RS"/>
        </w:rPr>
      </w:pPr>
      <w:r w:rsidRPr="00EF2F18">
        <w:rPr>
          <w:rFonts w:cs="Times New Roman"/>
          <w:sz w:val="22"/>
          <w:lang w:val="sr-Cyrl-RS"/>
        </w:rPr>
        <w:t>Системски организовано одвојено сакупљање, сортирање и рециклажа комуналног отпада није успостављено. Иако је примарна сепарација у Републици Србији утврђена законом и предвиђа одвајање пластике, папира, стакла и метала у посебно означеним контејнерима, одвојено сакупљање у пракси функционише</w:t>
      </w:r>
      <w:r w:rsidR="009265DA" w:rsidRPr="00EF2F18">
        <w:rPr>
          <w:rFonts w:cs="Times New Roman"/>
          <w:sz w:val="22"/>
          <w:lang w:val="sr-Cyrl-RS"/>
        </w:rPr>
        <w:t xml:space="preserve"> </w:t>
      </w:r>
      <w:r w:rsidRPr="00EF2F18">
        <w:rPr>
          <w:rFonts w:cs="Times New Roman"/>
          <w:sz w:val="22"/>
          <w:lang w:val="sr-Cyrl-RS"/>
        </w:rPr>
        <w:t xml:space="preserve">спорадично у </w:t>
      </w:r>
      <w:r w:rsidR="009265DA" w:rsidRPr="00EF2F18">
        <w:rPr>
          <w:rFonts w:cs="Times New Roman"/>
          <w:sz w:val="22"/>
          <w:lang w:val="sr-Cyrl-RS"/>
        </w:rPr>
        <w:t>малом броју</w:t>
      </w:r>
      <w:r w:rsidR="004C1A81" w:rsidRPr="00EF2F18">
        <w:rPr>
          <w:rFonts w:cs="Times New Roman"/>
          <w:sz w:val="22"/>
          <w:lang w:val="sr-Cyrl-RS"/>
        </w:rPr>
        <w:t xml:space="preserve"> </w:t>
      </w:r>
      <w:r w:rsidRPr="00EF2F18">
        <w:rPr>
          <w:rFonts w:cs="Times New Roman"/>
          <w:sz w:val="22"/>
          <w:lang w:val="sr-Cyrl-RS"/>
        </w:rPr>
        <w:t>локални</w:t>
      </w:r>
      <w:r w:rsidR="009265DA" w:rsidRPr="00EF2F18">
        <w:rPr>
          <w:rFonts w:cs="Times New Roman"/>
          <w:sz w:val="22"/>
          <w:lang w:val="sr-Cyrl-RS"/>
        </w:rPr>
        <w:t>х</w:t>
      </w:r>
      <w:r w:rsidRPr="00EF2F18">
        <w:rPr>
          <w:rFonts w:cs="Times New Roman"/>
          <w:sz w:val="22"/>
          <w:lang w:val="sr-Cyrl-RS"/>
        </w:rPr>
        <w:t xml:space="preserve"> самоуправа. Инфраструктурни систем за рециклажу није уравнотежен да би укупна ефикасност била максимална</w:t>
      </w:r>
      <w:r w:rsidR="009265DA" w:rsidRPr="00EF2F18">
        <w:rPr>
          <w:rFonts w:cs="Times New Roman"/>
          <w:sz w:val="22"/>
          <w:lang w:val="sr-Cyrl-RS"/>
        </w:rPr>
        <w:t>. М</w:t>
      </w:r>
      <w:r w:rsidRPr="00EF2F18">
        <w:rPr>
          <w:rFonts w:cs="Times New Roman"/>
          <w:sz w:val="22"/>
          <w:lang w:val="sr-Cyrl-RS"/>
        </w:rPr>
        <w:t>режа за одвојено сакупљање отпада није довољно развијена у односу на постојеће капацитете за рециклажу.</w:t>
      </w:r>
      <w:r w:rsidR="00A24072" w:rsidRPr="00EF2F18">
        <w:rPr>
          <w:rFonts w:cs="Times New Roman"/>
          <w:sz w:val="22"/>
          <w:lang w:val="sr-Cyrl-RS"/>
        </w:rPr>
        <w:t xml:space="preserve"> Последња процена Агенције за заштиту животне средине је да је у 2022.</w:t>
      </w:r>
      <w:r w:rsidR="00AE5F2C" w:rsidRPr="00AE5F2C">
        <w:rPr>
          <w:rFonts w:cs="Times New Roman"/>
          <w:iCs/>
          <w:sz w:val="22"/>
          <w:lang w:val="sr-Cyrl-RS"/>
        </w:rPr>
        <w:t xml:space="preserve"> </w:t>
      </w:r>
      <w:r w:rsidR="00AE5F2C">
        <w:rPr>
          <w:rFonts w:cs="Times New Roman"/>
          <w:iCs/>
          <w:sz w:val="22"/>
          <w:lang w:val="sr-Cyrl-RS"/>
        </w:rPr>
        <w:t>години</w:t>
      </w:r>
      <w:r w:rsidR="00A24072" w:rsidRPr="00EF2F18">
        <w:rPr>
          <w:rFonts w:cs="Times New Roman"/>
          <w:sz w:val="22"/>
          <w:lang w:val="sr-Cyrl-RS"/>
        </w:rPr>
        <w:t xml:space="preserve"> рециклирано 17,7% генерисаног комуналног отпада, а да јединице локалне самоуправе у томе учествују са само 3%.</w:t>
      </w:r>
      <w:r w:rsidR="00024CAC" w:rsidRPr="00EF2F18">
        <w:rPr>
          <w:rFonts w:cs="Times New Roman"/>
          <w:sz w:val="22"/>
          <w:lang w:val="sr-Cyrl-RS"/>
        </w:rPr>
        <w:t xml:space="preserve"> </w:t>
      </w:r>
    </w:p>
    <w:p w14:paraId="128A7B5C" w14:textId="062B61DB" w:rsidR="00354FC7" w:rsidRPr="00EF2F18" w:rsidRDefault="00024CAC" w:rsidP="00A24072">
      <w:pPr>
        <w:autoSpaceDE w:val="0"/>
        <w:autoSpaceDN w:val="0"/>
        <w:adjustRightInd w:val="0"/>
        <w:spacing w:after="0"/>
        <w:ind w:firstLine="720"/>
        <w:jc w:val="both"/>
        <w:rPr>
          <w:rFonts w:cs="Times New Roman"/>
          <w:sz w:val="22"/>
          <w:lang w:val="sr-Cyrl-RS"/>
        </w:rPr>
      </w:pPr>
      <w:r w:rsidRPr="00EF2F18">
        <w:rPr>
          <w:rFonts w:cs="Times New Roman"/>
          <w:sz w:val="22"/>
          <w:lang w:val="sr-Cyrl-RS"/>
        </w:rPr>
        <w:t>У 2022. години од укупно произведених 3,18 милиона тона комуналног отпада, око 1,4 милиона тона (45,6%) чини биоразградиви отпад. Од те количине, поновно је употребљено само 11.469 тона биоразградивог отпада, што је мање од 1% произведеног биоразградивог отпада, док се остатак одлаже на депоније.</w:t>
      </w:r>
    </w:p>
    <w:p w14:paraId="7634DFC1" w14:textId="76F1B3B1" w:rsidR="00496775" w:rsidRPr="00EF2F18" w:rsidRDefault="00EB1742" w:rsidP="00496775">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Од 2010. године изграђено је </w:t>
      </w:r>
      <w:r w:rsidR="00143597">
        <w:rPr>
          <w:rFonts w:cs="Times New Roman"/>
          <w:sz w:val="22"/>
          <w:lang w:val="sr-Cyrl-RS"/>
        </w:rPr>
        <w:t>десет</w:t>
      </w:r>
      <w:r w:rsidRPr="00EF2F18">
        <w:rPr>
          <w:rFonts w:cs="Times New Roman"/>
          <w:sz w:val="22"/>
          <w:lang w:val="sr-Cyrl-RS"/>
        </w:rPr>
        <w:t xml:space="preserve"> регионалних депонија у оквиру регионалних центара за управљање отпадом, а укупно је 12 санитарних депонија, од 26 планираних. Тренд повећања количине депонованог отпада на санитарним депонијама је приметан, што је нарочито изражено у 2021. отварањем нове регионалне санитарне депоније Винча. Укупна количина одложеног отпада на овим депонијама у току 2022. године износила је 1.294.126 тона, чиме је обухваћено 42% становника Републике Србије. Овим је знатно повећана приступачност санитарном депоновању чврстог комуналног отпада, које је 2016. године износило свега 14%. </w:t>
      </w:r>
    </w:p>
    <w:p w14:paraId="3D681597" w14:textId="1602F587" w:rsidR="006138AF" w:rsidRPr="00EF2F18" w:rsidRDefault="00496775" w:rsidP="006138AF">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Урађено је 18 регионалних планова управљања отпадом од </w:t>
      </w:r>
      <w:r w:rsidR="005D04BD" w:rsidRPr="00EF2F18">
        <w:rPr>
          <w:rFonts w:cs="Times New Roman"/>
          <w:sz w:val="22"/>
          <w:lang w:val="sr-Cyrl-RS"/>
        </w:rPr>
        <w:t>26</w:t>
      </w:r>
      <w:r w:rsidRPr="00EF2F18">
        <w:rPr>
          <w:rFonts w:cs="Times New Roman"/>
          <w:sz w:val="22"/>
          <w:lang w:val="sr-Cyrl-RS"/>
        </w:rPr>
        <w:t xml:space="preserve"> </w:t>
      </w:r>
      <w:r w:rsidR="00264C99" w:rsidRPr="00EF2F18">
        <w:rPr>
          <w:rFonts w:cs="Times New Roman"/>
          <w:sz w:val="22"/>
          <w:lang w:val="sr-Cyrl-RS"/>
        </w:rPr>
        <w:t>региона за управљање отпадом</w:t>
      </w:r>
      <w:r w:rsidR="00CC1C5D" w:rsidRPr="00EF2F18">
        <w:rPr>
          <w:rFonts w:cs="Times New Roman"/>
          <w:sz w:val="22"/>
          <w:lang w:val="sr-Cyrl-RS"/>
        </w:rPr>
        <w:t>,</w:t>
      </w:r>
      <w:r w:rsidRPr="00EF2F18">
        <w:rPr>
          <w:rFonts w:cs="Times New Roman"/>
          <w:sz w:val="22"/>
          <w:lang w:val="sr-Cyrl-RS"/>
        </w:rPr>
        <w:t xml:space="preserve"> </w:t>
      </w:r>
      <w:r w:rsidR="006138AF" w:rsidRPr="00EF2F18">
        <w:rPr>
          <w:rFonts w:cs="Times New Roman"/>
          <w:sz w:val="22"/>
          <w:lang w:val="sr-Cyrl-RS"/>
        </w:rPr>
        <w:t xml:space="preserve">на основу удруживања локалних самоуправа у регионе за управљање отпадом и потписивања међуопштинских споразума. </w:t>
      </w:r>
    </w:p>
    <w:p w14:paraId="4434DC34" w14:textId="0A91F332" w:rsidR="00496775" w:rsidRPr="00EF2F18" w:rsidRDefault="00EB1742" w:rsidP="00496775">
      <w:pPr>
        <w:autoSpaceDE w:val="0"/>
        <w:autoSpaceDN w:val="0"/>
        <w:adjustRightInd w:val="0"/>
        <w:spacing w:after="0"/>
        <w:ind w:firstLine="720"/>
        <w:jc w:val="both"/>
        <w:rPr>
          <w:rFonts w:cs="Times New Roman"/>
          <w:sz w:val="22"/>
          <w:lang w:val="sr-Cyrl-RS"/>
        </w:rPr>
      </w:pPr>
      <w:r w:rsidRPr="00EF2F18">
        <w:rPr>
          <w:rFonts w:cs="Times New Roman"/>
          <w:sz w:val="22"/>
          <w:lang w:val="sr-Cyrl-RS"/>
        </w:rPr>
        <w:t>И поред оваквог напретка у приступачности санитарним депонијама</w:t>
      </w:r>
      <w:r w:rsidR="00EF30FF" w:rsidRPr="00EF2F18">
        <w:rPr>
          <w:rFonts w:cs="Times New Roman"/>
          <w:sz w:val="22"/>
          <w:lang w:val="sr-Cyrl-RS"/>
        </w:rPr>
        <w:t xml:space="preserve">, </w:t>
      </w:r>
      <w:r w:rsidRPr="00EF2F18">
        <w:rPr>
          <w:rFonts w:cs="Times New Roman"/>
          <w:sz w:val="22"/>
          <w:lang w:val="sr-Cyrl-RS"/>
        </w:rPr>
        <w:t xml:space="preserve">и даље се знатна количина отпада одлаже на несанитарне и дивље депоније. </w:t>
      </w:r>
      <w:r w:rsidR="00264C99" w:rsidRPr="00EF2F18">
        <w:rPr>
          <w:rFonts w:cs="Times New Roman"/>
          <w:sz w:val="22"/>
          <w:lang w:val="sr-Cyrl-RS"/>
        </w:rPr>
        <w:t xml:space="preserve">У </w:t>
      </w:r>
      <w:r w:rsidR="00496775" w:rsidRPr="00EF2F18">
        <w:rPr>
          <w:rFonts w:cs="Times New Roman"/>
          <w:sz w:val="22"/>
          <w:lang w:val="sr-Cyrl-RS"/>
        </w:rPr>
        <w:t>период</w:t>
      </w:r>
      <w:r w:rsidR="00264C99" w:rsidRPr="00EF2F18">
        <w:rPr>
          <w:rFonts w:cs="Times New Roman"/>
          <w:sz w:val="22"/>
          <w:lang w:val="sr-Cyrl-RS"/>
        </w:rPr>
        <w:t>у</w:t>
      </w:r>
      <w:r w:rsidR="00496775" w:rsidRPr="00EF2F18">
        <w:rPr>
          <w:rFonts w:cs="Times New Roman"/>
          <w:sz w:val="22"/>
          <w:lang w:val="sr-Cyrl-RS"/>
        </w:rPr>
        <w:t xml:space="preserve"> од 2010. године урађена су 32 пројекта санације, затварања и рекултивације сметлишта. Саниран</w:t>
      </w:r>
      <w:r w:rsidR="00264C99" w:rsidRPr="00EF2F18">
        <w:rPr>
          <w:rFonts w:cs="Times New Roman"/>
          <w:sz w:val="22"/>
          <w:lang w:val="sr-Cyrl-RS"/>
        </w:rPr>
        <w:t>е</w:t>
      </w:r>
      <w:r w:rsidR="00496775" w:rsidRPr="00EF2F18">
        <w:rPr>
          <w:rFonts w:cs="Times New Roman"/>
          <w:sz w:val="22"/>
          <w:lang w:val="sr-Cyrl-RS"/>
        </w:rPr>
        <w:t xml:space="preserve"> су </w:t>
      </w:r>
      <w:r w:rsidR="00264C99" w:rsidRPr="00EF2F18">
        <w:rPr>
          <w:rFonts w:cs="Times New Roman"/>
          <w:sz w:val="22"/>
          <w:lang w:val="sr-Cyrl-RS"/>
        </w:rPr>
        <w:t xml:space="preserve">несанитарне депоније </w:t>
      </w:r>
      <w:r w:rsidR="00496775" w:rsidRPr="00EF2F18">
        <w:rPr>
          <w:rFonts w:cs="Times New Roman"/>
          <w:sz w:val="22"/>
          <w:lang w:val="sr-Cyrl-RS"/>
        </w:rPr>
        <w:t>у неким општинама кој</w:t>
      </w:r>
      <w:r w:rsidR="000A6224" w:rsidRPr="00EF2F18">
        <w:rPr>
          <w:rFonts w:cs="Times New Roman"/>
          <w:sz w:val="22"/>
          <w:lang w:val="sr-Cyrl-RS"/>
        </w:rPr>
        <w:t>e</w:t>
      </w:r>
      <w:r w:rsidR="00496775" w:rsidRPr="00EF2F18">
        <w:rPr>
          <w:rFonts w:cs="Times New Roman"/>
          <w:sz w:val="22"/>
          <w:lang w:val="sr-Cyrl-RS"/>
        </w:rPr>
        <w:t xml:space="preserve"> су представљал</w:t>
      </w:r>
      <w:r w:rsidR="000A6224" w:rsidRPr="00EF2F18">
        <w:rPr>
          <w:rFonts w:cs="Times New Roman"/>
          <w:sz w:val="22"/>
          <w:lang w:val="sr-Cyrl-RS"/>
        </w:rPr>
        <w:t>e</w:t>
      </w:r>
      <w:r w:rsidR="00496775" w:rsidRPr="00EF2F18">
        <w:rPr>
          <w:rFonts w:cs="Times New Roman"/>
          <w:sz w:val="22"/>
          <w:lang w:val="sr-Cyrl-RS"/>
        </w:rPr>
        <w:t xml:space="preserve"> ризик по животну средину.</w:t>
      </w:r>
    </w:p>
    <w:p w14:paraId="181901E3" w14:textId="1C2B6CA7" w:rsidR="00496775" w:rsidRPr="00EF2F18" w:rsidRDefault="00354FC7" w:rsidP="00A24072">
      <w:pPr>
        <w:autoSpaceDE w:val="0"/>
        <w:autoSpaceDN w:val="0"/>
        <w:adjustRightInd w:val="0"/>
        <w:spacing w:after="0"/>
        <w:ind w:firstLine="720"/>
        <w:jc w:val="both"/>
        <w:rPr>
          <w:rFonts w:cs="Times New Roman"/>
          <w:sz w:val="22"/>
          <w:lang w:val="sr-Cyrl-RS"/>
        </w:rPr>
      </w:pPr>
      <w:r w:rsidRPr="00EF2F18">
        <w:rPr>
          <w:rFonts w:cs="Times New Roman"/>
          <w:sz w:val="22"/>
          <w:lang w:val="sr-Cyrl-RS"/>
        </w:rPr>
        <w:t>Инфраструктура за управљање опасним отпадом није успостављена</w:t>
      </w:r>
      <w:r w:rsidR="00CC1C5D" w:rsidRPr="00EF2F18">
        <w:rPr>
          <w:rFonts w:cs="Times New Roman"/>
          <w:sz w:val="22"/>
          <w:lang w:val="sr-Cyrl-RS"/>
        </w:rPr>
        <w:t>, није изграђено</w:t>
      </w:r>
      <w:r w:rsidRPr="00EF2F18">
        <w:rPr>
          <w:rFonts w:cs="Times New Roman"/>
          <w:sz w:val="22"/>
          <w:lang w:val="sr-Cyrl-RS"/>
        </w:rPr>
        <w:t xml:space="preserve"> национално постројење за третман опасног индустријског отпада, као ни централна регионална складишта опасног отпада, </w:t>
      </w:r>
      <w:r w:rsidR="00CC1C5D" w:rsidRPr="00EF2F18">
        <w:rPr>
          <w:rFonts w:cs="Times New Roman"/>
          <w:sz w:val="22"/>
          <w:lang w:val="sr-Cyrl-RS"/>
        </w:rPr>
        <w:t>за које је</w:t>
      </w:r>
      <w:r w:rsidRPr="00EF2F18">
        <w:rPr>
          <w:rFonts w:cs="Times New Roman"/>
          <w:sz w:val="22"/>
          <w:lang w:val="sr-Cyrl-RS"/>
        </w:rPr>
        <w:t xml:space="preserve"> планско решење дато у Просторном плану Републике Србије из 2010. године. У приватном сектору постоји неколико постројења која врше третман опасног отпада</w:t>
      </w:r>
      <w:r w:rsidR="00215A69" w:rsidRPr="00EF2F18">
        <w:rPr>
          <w:rFonts w:cs="Times New Roman"/>
          <w:sz w:val="22"/>
          <w:lang w:val="sr-Cyrl-RS"/>
        </w:rPr>
        <w:t xml:space="preserve"> и имају одговарајуће дозволе, како би вршиле третман опасног отпада, као</w:t>
      </w:r>
      <w:r w:rsidRPr="00EF2F18">
        <w:rPr>
          <w:rFonts w:cs="Times New Roman"/>
          <w:sz w:val="22"/>
          <w:lang w:val="sr-Cyrl-RS"/>
        </w:rPr>
        <w:t xml:space="preserve"> и постројења чија се изградња планира. Недостају капацитети за инсинерацију органског индустријског и медицинског отпада. </w:t>
      </w:r>
    </w:p>
    <w:p w14:paraId="26885C62" w14:textId="1C212A44" w:rsidR="00D124EC" w:rsidRPr="00EF2F18" w:rsidRDefault="00BF3E57" w:rsidP="00D124EC">
      <w:pPr>
        <w:autoSpaceDE w:val="0"/>
        <w:autoSpaceDN w:val="0"/>
        <w:adjustRightInd w:val="0"/>
        <w:spacing w:after="0"/>
        <w:ind w:firstLine="720"/>
        <w:jc w:val="both"/>
        <w:rPr>
          <w:rFonts w:cs="Times New Roman"/>
          <w:sz w:val="22"/>
          <w:lang w:val="sr-Cyrl-RS"/>
        </w:rPr>
      </w:pPr>
      <w:r w:rsidRPr="00EF2F18">
        <w:rPr>
          <w:rFonts w:cs="Times New Roman"/>
          <w:sz w:val="22"/>
          <w:lang w:val="sr-Cyrl-RS"/>
        </w:rPr>
        <w:t>Систем за управљање посебним токовима отпада,</w:t>
      </w:r>
      <w:r w:rsidR="00DE4363" w:rsidRPr="00EF2F18">
        <w:rPr>
          <w:rFonts w:cs="Times New Roman"/>
          <w:sz w:val="22"/>
          <w:lang w:val="sr-Cyrl-RS"/>
        </w:rPr>
        <w:t xml:space="preserve"> </w:t>
      </w:r>
      <w:r w:rsidRPr="00EF2F18">
        <w:rPr>
          <w:rFonts w:cs="Times New Roman"/>
          <w:sz w:val="22"/>
          <w:lang w:val="sr-Cyrl-RS"/>
        </w:rPr>
        <w:t xml:space="preserve">делимично је успостављен на основу постојећих законских и подзаконских прописа у складу са захтевима ЕУ. </w:t>
      </w:r>
      <w:r w:rsidR="00D124EC" w:rsidRPr="00EF2F18">
        <w:rPr>
          <w:rFonts w:cs="Times New Roman"/>
          <w:sz w:val="22"/>
          <w:lang w:val="sr-Cyrl-RS"/>
        </w:rPr>
        <w:t>Управљање амбалажом и амбалажним отпадом уређено је Законом о амбалажи и амбалажном отпаду и подзаконским прописима. У 2022. години седам оператера који обављају делатности управљања амбалажним отпадом је вршило управљање амбалажом и амбалажним отпадом за 1.918 правних лица која стављају производе у амбалажи на тржиште наше земље. Такође, до</w:t>
      </w:r>
      <w:r w:rsidR="00FA7222" w:rsidRPr="00EF2F18">
        <w:rPr>
          <w:rFonts w:cs="Times New Roman"/>
          <w:sz w:val="22"/>
          <w:lang w:val="sr-Cyrl-RS"/>
        </w:rPr>
        <w:t xml:space="preserve"> </w:t>
      </w:r>
      <w:r w:rsidR="00D124EC" w:rsidRPr="00EF2F18">
        <w:rPr>
          <w:rFonts w:cs="Times New Roman"/>
          <w:sz w:val="22"/>
          <w:lang w:val="sr-Cyrl-RS"/>
        </w:rPr>
        <w:t xml:space="preserve">јуна 2023. године Агенцији </w:t>
      </w:r>
      <w:r w:rsidR="0097120F" w:rsidRPr="00EF2F18">
        <w:rPr>
          <w:rFonts w:cs="Times New Roman"/>
          <w:sz w:val="22"/>
          <w:lang w:val="sr-Cyrl-RS"/>
        </w:rPr>
        <w:t>за заштиту животне средине</w:t>
      </w:r>
      <w:r w:rsidR="00D124EC" w:rsidRPr="00EF2F18">
        <w:rPr>
          <w:rFonts w:cs="Times New Roman"/>
          <w:sz w:val="22"/>
          <w:lang w:val="sr-Cyrl-RS"/>
        </w:rPr>
        <w:t xml:space="preserve"> су достављена 234 извештаја од стране правних лица или предузетника који нису пренели своју обавезу на оператере за управљање амбалажним отпадом. </w:t>
      </w:r>
    </w:p>
    <w:p w14:paraId="584CE82D" w14:textId="5156EE18" w:rsidR="00D124EC" w:rsidRPr="00EF2F18" w:rsidRDefault="00D124EC" w:rsidP="00D124EC">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 У 2022. години на тржиште Републике Србије стављено је 401</w:t>
      </w:r>
      <w:r w:rsidR="0070748A" w:rsidRPr="00EF2F18">
        <w:rPr>
          <w:rFonts w:cs="Times New Roman"/>
          <w:sz w:val="22"/>
          <w:lang w:val="sr-Cyrl-RS"/>
        </w:rPr>
        <w:t>.</w:t>
      </w:r>
      <w:r w:rsidRPr="00EF2F18">
        <w:rPr>
          <w:rFonts w:cs="Times New Roman"/>
          <w:sz w:val="22"/>
          <w:lang w:val="sr-Cyrl-RS"/>
        </w:rPr>
        <w:t>229</w:t>
      </w:r>
      <w:r w:rsidR="0070748A" w:rsidRPr="00EF2F18">
        <w:rPr>
          <w:rFonts w:cs="Times New Roman"/>
          <w:sz w:val="22"/>
          <w:lang w:val="sr-Cyrl-RS"/>
        </w:rPr>
        <w:t>,</w:t>
      </w:r>
      <w:r w:rsidRPr="00EF2F18">
        <w:rPr>
          <w:rFonts w:cs="Times New Roman"/>
          <w:sz w:val="22"/>
          <w:lang w:val="sr-Cyrl-RS"/>
        </w:rPr>
        <w:t xml:space="preserve">5 </w:t>
      </w:r>
      <w:r w:rsidR="00143597">
        <w:rPr>
          <w:rFonts w:cs="Times New Roman"/>
          <w:sz w:val="22"/>
          <w:lang w:val="sr-Cyrl-RS"/>
        </w:rPr>
        <w:t>тона</w:t>
      </w:r>
      <w:r w:rsidRPr="00EF2F18">
        <w:rPr>
          <w:rFonts w:cs="Times New Roman"/>
          <w:sz w:val="22"/>
          <w:lang w:val="sr-Cyrl-RS"/>
        </w:rPr>
        <w:t xml:space="preserve"> амбалаже. Од ове количине 399</w:t>
      </w:r>
      <w:r w:rsidR="0097120F" w:rsidRPr="00EF2F18">
        <w:rPr>
          <w:rFonts w:cs="Times New Roman"/>
          <w:sz w:val="22"/>
          <w:lang w:val="sr-Cyrl-RS"/>
        </w:rPr>
        <w:t>.</w:t>
      </w:r>
      <w:r w:rsidRPr="00EF2F18">
        <w:rPr>
          <w:rFonts w:cs="Times New Roman"/>
          <w:sz w:val="22"/>
          <w:lang w:val="sr-Cyrl-RS"/>
        </w:rPr>
        <w:t xml:space="preserve">906,0 </w:t>
      </w:r>
      <w:r w:rsidR="00143597">
        <w:rPr>
          <w:rFonts w:cs="Times New Roman"/>
          <w:sz w:val="22"/>
          <w:lang w:val="sr-Cyrl-RS"/>
        </w:rPr>
        <w:t>тона</w:t>
      </w:r>
      <w:r w:rsidRPr="00EF2F18">
        <w:rPr>
          <w:rFonts w:cs="Times New Roman"/>
          <w:sz w:val="22"/>
          <w:lang w:val="sr-Cyrl-RS"/>
        </w:rPr>
        <w:t xml:space="preserve"> стављено је на тржиште од стране правних лица или предузетника који су своје</w:t>
      </w:r>
      <w:r w:rsidR="001867D9">
        <w:rPr>
          <w:rFonts w:cs="Times New Roman"/>
          <w:sz w:val="22"/>
          <w:lang w:val="sr-Cyrl-RS"/>
        </w:rPr>
        <w:t xml:space="preserve"> обавезе пренели на оператере. К</w:t>
      </w:r>
      <w:r w:rsidRPr="00EF2F18">
        <w:rPr>
          <w:rFonts w:cs="Times New Roman"/>
          <w:sz w:val="22"/>
          <w:lang w:val="sr-Cyrl-RS"/>
        </w:rPr>
        <w:t>оличина поновно искоришћеног амбалажног отпада je 256</w:t>
      </w:r>
      <w:r w:rsidR="0070748A" w:rsidRPr="00EF2F18">
        <w:rPr>
          <w:rFonts w:cs="Times New Roman"/>
          <w:sz w:val="22"/>
          <w:lang w:val="sr-Cyrl-RS"/>
        </w:rPr>
        <w:t>.</w:t>
      </w:r>
      <w:r w:rsidRPr="00EF2F18">
        <w:rPr>
          <w:rFonts w:cs="Times New Roman"/>
          <w:sz w:val="22"/>
          <w:lang w:val="sr-Cyrl-RS"/>
        </w:rPr>
        <w:t xml:space="preserve">125,5 </w:t>
      </w:r>
      <w:r w:rsidR="00143597">
        <w:rPr>
          <w:rFonts w:cs="Times New Roman"/>
          <w:sz w:val="22"/>
          <w:lang w:val="sr-Cyrl-RS"/>
        </w:rPr>
        <w:t>тона</w:t>
      </w:r>
      <w:r w:rsidRPr="00EF2F18">
        <w:rPr>
          <w:rFonts w:cs="Times New Roman"/>
          <w:sz w:val="22"/>
          <w:lang w:val="sr-Cyrl-RS"/>
        </w:rPr>
        <w:t>, од ове количине 244</w:t>
      </w:r>
      <w:r w:rsidR="0070748A" w:rsidRPr="00EF2F18">
        <w:rPr>
          <w:rFonts w:cs="Times New Roman"/>
          <w:sz w:val="22"/>
          <w:lang w:val="sr-Cyrl-RS"/>
        </w:rPr>
        <w:t>.</w:t>
      </w:r>
      <w:r w:rsidRPr="00EF2F18">
        <w:rPr>
          <w:rFonts w:cs="Times New Roman"/>
          <w:sz w:val="22"/>
          <w:lang w:val="sr-Cyrl-RS"/>
        </w:rPr>
        <w:t xml:space="preserve">099,4 </w:t>
      </w:r>
      <w:r w:rsidR="00143597">
        <w:rPr>
          <w:rFonts w:cs="Times New Roman"/>
          <w:sz w:val="22"/>
          <w:lang w:val="sr-Cyrl-RS"/>
        </w:rPr>
        <w:t>тона</w:t>
      </w:r>
      <w:r w:rsidRPr="00EF2F18">
        <w:rPr>
          <w:rFonts w:cs="Times New Roman"/>
          <w:sz w:val="22"/>
          <w:lang w:val="sr-Cyrl-RS"/>
        </w:rPr>
        <w:t xml:space="preserve"> амбалажног отпада je рециклирано. На </w:t>
      </w:r>
      <w:r w:rsidRPr="00EF2F18">
        <w:rPr>
          <w:rFonts w:cs="Times New Roman"/>
          <w:sz w:val="22"/>
          <w:lang w:val="sr-Cyrl-RS"/>
        </w:rPr>
        <w:lastRenderedPageBreak/>
        <w:t>основу наведених података, општи и специфични национални циљеви за Републику Србију у 2022. години су испуњени и то за поновно искоришћење отпада у вредности 64% и за рециклажу отпада у вредности од 61%.</w:t>
      </w:r>
      <w:r w:rsidR="0070748A" w:rsidRPr="00EF2F18">
        <w:rPr>
          <w:rStyle w:val="FootnoteReference"/>
          <w:rFonts w:cs="Times New Roman"/>
          <w:sz w:val="22"/>
          <w:lang w:val="sr-Cyrl-RS"/>
        </w:rPr>
        <w:footnoteReference w:id="3"/>
      </w:r>
    </w:p>
    <w:p w14:paraId="4B60C8C4" w14:textId="22490954" w:rsidR="00D124EC" w:rsidRPr="00EF2F18" w:rsidRDefault="00D124EC" w:rsidP="00D124EC">
      <w:pPr>
        <w:autoSpaceDE w:val="0"/>
        <w:autoSpaceDN w:val="0"/>
        <w:adjustRightInd w:val="0"/>
        <w:spacing w:after="0"/>
        <w:ind w:firstLine="720"/>
        <w:jc w:val="both"/>
        <w:rPr>
          <w:rFonts w:cs="Times New Roman"/>
          <w:sz w:val="22"/>
          <w:lang w:val="sr-Cyrl-RS"/>
        </w:rPr>
      </w:pPr>
      <w:r w:rsidRPr="00EF2F18">
        <w:rPr>
          <w:rFonts w:cs="Times New Roman"/>
          <w:sz w:val="22"/>
          <w:lang w:val="sr-Cyrl-RS"/>
        </w:rPr>
        <w:t>Будући да систем одвојеног сакупљања амбалажног отпада из домаћинстава тренутно није адекватно успостављен, највећи део амбалажног отпада из домаћинстава укључен је у мешовити комунални отпад. Тренутно, систем одвојеног сакупљања амбалажног отпада из домаћинстава није проширен на читаву земљу. Посебно је важно истаћи да су у току 2023.</w:t>
      </w:r>
      <w:r w:rsidR="0070748A" w:rsidRPr="00EF2F18">
        <w:rPr>
          <w:rFonts w:cs="Times New Roman"/>
          <w:sz w:val="22"/>
          <w:lang w:val="sr-Cyrl-RS"/>
        </w:rPr>
        <w:t xml:space="preserve"> </w:t>
      </w:r>
      <w:r w:rsidRPr="00EF2F18">
        <w:rPr>
          <w:rFonts w:cs="Times New Roman"/>
          <w:sz w:val="22"/>
          <w:lang w:val="sr-Cyrl-RS"/>
        </w:rPr>
        <w:t>године изменама Плaна смањења амбалажног отпада за период од 2020. до 2024. године прописани специфични циљеви за рециклажу комуналног амбалажног отпада који треба да допринесу унапређењу система одвојеног сакупљања комуналног амбалажног отпада.</w:t>
      </w:r>
    </w:p>
    <w:p w14:paraId="2DFC72FE" w14:textId="01D0ECC3" w:rsidR="00BF3E57" w:rsidRPr="00EF2F18" w:rsidRDefault="00D124EC" w:rsidP="00354FC7">
      <w:pPr>
        <w:autoSpaceDE w:val="0"/>
        <w:autoSpaceDN w:val="0"/>
        <w:adjustRightInd w:val="0"/>
        <w:spacing w:after="0"/>
        <w:ind w:firstLine="720"/>
        <w:jc w:val="both"/>
        <w:rPr>
          <w:rFonts w:cs="Times New Roman"/>
          <w:sz w:val="22"/>
          <w:lang w:val="sr-Cyrl-RS"/>
        </w:rPr>
      </w:pPr>
      <w:r w:rsidRPr="00EF2F18">
        <w:rPr>
          <w:rFonts w:cs="Times New Roman"/>
          <w:sz w:val="22"/>
          <w:lang w:val="sr-Cyrl-RS"/>
        </w:rPr>
        <w:t>С</w:t>
      </w:r>
      <w:r w:rsidR="00BF3E57" w:rsidRPr="00EF2F18">
        <w:rPr>
          <w:rFonts w:cs="Times New Roman"/>
          <w:sz w:val="22"/>
          <w:lang w:val="sr-Cyrl-RS"/>
        </w:rPr>
        <w:t xml:space="preserve">истем сакупљања отпадних гума из домаћинстава, одвојеног сакупљања истрошених батерија и акумулатора из домаћинстава, као и одвојеног сакупљања отпадног моторног уља није успостављен од стране локалних самоуправа. Систем за организовано сакупљање отпада од електричне и електронске опреме из домаћинстава није успостављен од стране локалних самоуправа, осим спорадично. Дозволе за сакупљање отпадних возила која су категорисана као опасан отпад </w:t>
      </w:r>
      <w:r w:rsidR="00124CEC" w:rsidRPr="00EF2F18">
        <w:rPr>
          <w:rFonts w:cs="Times New Roman"/>
          <w:sz w:val="22"/>
          <w:lang w:val="sr-Cyrl-RS"/>
        </w:rPr>
        <w:t>у 20</w:t>
      </w:r>
      <w:r w:rsidR="00024A7F" w:rsidRPr="00EF2F18">
        <w:rPr>
          <w:rFonts w:cs="Times New Roman"/>
          <w:sz w:val="22"/>
          <w:lang w:val="sr-Cyrl-RS"/>
        </w:rPr>
        <w:t>22</w:t>
      </w:r>
      <w:r w:rsidR="00124CEC" w:rsidRPr="00EF2F18">
        <w:rPr>
          <w:rFonts w:cs="Times New Roman"/>
          <w:sz w:val="22"/>
          <w:lang w:val="sr-Cyrl-RS"/>
        </w:rPr>
        <w:t xml:space="preserve">. години </w:t>
      </w:r>
      <w:r w:rsidR="00BF3E57" w:rsidRPr="00EF2F18">
        <w:rPr>
          <w:rFonts w:cs="Times New Roman"/>
          <w:sz w:val="22"/>
          <w:lang w:val="sr-Cyrl-RS"/>
        </w:rPr>
        <w:t>има 63 правна лица/предузетника, 132 правна лица/предузетника поседује дозволе за сакупљање отпадних возила категорисаних као неопасан отпад, 27 правних лица/предузетника имају дозволу за транспорт, а 16 оператера за складиштење отпадних возила категорисаних као опасан отпад. Иако су јединице локалне самоуправе дужне да организују одвојено сакупљање отпада и успоставе учесталост сакупљања отпада за рециклабилне производе (папир, метал, пластику и стакло), систем одвојеног сакупљања амбалажног отпада из домаћинстава није проширен на читаву земљу. Капацитети за одвојено сакупљање и рециклажу отпада из посебних токова нису довољно развијени.</w:t>
      </w:r>
    </w:p>
    <w:p w14:paraId="5C2DB983" w14:textId="6A09DFFF" w:rsidR="00354FC7" w:rsidRPr="00EF2F18" w:rsidRDefault="00215A69" w:rsidP="00354FC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Управљање отпадом од грађења и рушења регулисано је Уредбом о </w:t>
      </w:r>
      <w:r w:rsidR="009D72BE" w:rsidRPr="00EF2F18">
        <w:rPr>
          <w:rFonts w:cs="Times New Roman"/>
          <w:sz w:val="22"/>
          <w:lang w:val="sr-Cyrl-RS"/>
        </w:rPr>
        <w:t xml:space="preserve">начину и поступку </w:t>
      </w:r>
      <w:r w:rsidRPr="00EF2F18">
        <w:rPr>
          <w:rFonts w:cs="Times New Roman"/>
          <w:sz w:val="22"/>
          <w:lang w:val="sr-Cyrl-RS"/>
        </w:rPr>
        <w:t>управљањ</w:t>
      </w:r>
      <w:r w:rsidR="009D72BE" w:rsidRPr="00EF2F18">
        <w:rPr>
          <w:rFonts w:cs="Times New Roman"/>
          <w:sz w:val="22"/>
          <w:lang w:val="sr-Cyrl-RS"/>
        </w:rPr>
        <w:t>а</w:t>
      </w:r>
      <w:r w:rsidRPr="00EF2F18">
        <w:rPr>
          <w:rFonts w:cs="Times New Roman"/>
          <w:sz w:val="22"/>
          <w:lang w:val="sr-Cyrl-RS"/>
        </w:rPr>
        <w:t xml:space="preserve"> отпадом од грађења и рушења („Службени гласник РС</w:t>
      </w:r>
      <w:r w:rsidR="00A64280" w:rsidRPr="00EF2F18">
        <w:rPr>
          <w:rFonts w:cs="Times New Roman"/>
          <w:sz w:val="22"/>
          <w:lang w:val="sr-Cyrl-RS"/>
        </w:rPr>
        <w:t>”</w:t>
      </w:r>
      <w:r w:rsidRPr="00EF2F18">
        <w:rPr>
          <w:rFonts w:cs="Times New Roman"/>
          <w:sz w:val="22"/>
          <w:lang w:val="sr-Cyrl-RS"/>
        </w:rPr>
        <w:t>, бр</w:t>
      </w:r>
      <w:r w:rsidR="009D72BE" w:rsidRPr="00EF2F18">
        <w:rPr>
          <w:rFonts w:cs="Times New Roman"/>
          <w:sz w:val="22"/>
          <w:lang w:val="sr-Cyrl-RS"/>
        </w:rPr>
        <w:t>.</w:t>
      </w:r>
      <w:r w:rsidRPr="00EF2F18">
        <w:rPr>
          <w:rFonts w:cs="Times New Roman"/>
          <w:sz w:val="22"/>
          <w:lang w:val="sr-Cyrl-RS"/>
        </w:rPr>
        <w:t xml:space="preserve"> </w:t>
      </w:r>
      <w:r w:rsidR="009D72BE" w:rsidRPr="00EF2F18">
        <w:rPr>
          <w:rFonts w:cs="Times New Roman"/>
          <w:sz w:val="22"/>
          <w:lang w:val="sr-Cyrl-RS"/>
        </w:rPr>
        <w:t>9</w:t>
      </w:r>
      <w:r w:rsidRPr="00EF2F18">
        <w:rPr>
          <w:rFonts w:cs="Times New Roman"/>
          <w:sz w:val="22"/>
          <w:lang w:val="sr-Cyrl-RS"/>
        </w:rPr>
        <w:t>3/23</w:t>
      </w:r>
      <w:r w:rsidR="00B57CFF" w:rsidRPr="00EF2F18">
        <w:rPr>
          <w:rFonts w:cs="Times New Roman"/>
          <w:sz w:val="22"/>
          <w:lang w:val="sr-Cyrl-RS"/>
        </w:rPr>
        <w:t xml:space="preserve"> и 94/23</w:t>
      </w:r>
      <w:r w:rsidR="00143597">
        <w:rPr>
          <w:rFonts w:cs="Times New Roman"/>
          <w:sz w:val="22"/>
          <w:lang w:val="sr-Cyrl-RS"/>
        </w:rPr>
        <w:t xml:space="preserve"> – </w:t>
      </w:r>
      <w:r w:rsidR="00B57CFF" w:rsidRPr="00EF2F18">
        <w:rPr>
          <w:rFonts w:cs="Times New Roman"/>
          <w:sz w:val="22"/>
          <w:lang w:val="sr-Cyrl-RS"/>
        </w:rPr>
        <w:t>исправка</w:t>
      </w:r>
      <w:r w:rsidRPr="00EF2F18">
        <w:rPr>
          <w:rFonts w:cs="Times New Roman"/>
          <w:sz w:val="22"/>
          <w:lang w:val="sr-Cyrl-RS"/>
        </w:rPr>
        <w:t>)</w:t>
      </w:r>
      <w:r w:rsidR="005D04BD" w:rsidRPr="00EF2F18">
        <w:rPr>
          <w:rFonts w:cs="Times New Roman"/>
          <w:sz w:val="22"/>
          <w:lang w:val="sr-Cyrl-RS"/>
        </w:rPr>
        <w:t>.</w:t>
      </w:r>
      <w:r w:rsidR="00354FC7" w:rsidRPr="00EF2F18">
        <w:rPr>
          <w:rFonts w:cs="Times New Roman"/>
          <w:sz w:val="22"/>
          <w:lang w:val="sr-Cyrl-RS"/>
        </w:rPr>
        <w:t xml:space="preserve"> Рециклира се </w:t>
      </w:r>
      <w:r w:rsidR="00124CEC" w:rsidRPr="00EF2F18">
        <w:rPr>
          <w:rFonts w:cs="Times New Roman"/>
          <w:sz w:val="22"/>
          <w:lang w:val="sr-Cyrl-RS"/>
        </w:rPr>
        <w:t>мање од 1%</w:t>
      </w:r>
      <w:r w:rsidR="00354FC7" w:rsidRPr="00EF2F18">
        <w:rPr>
          <w:rFonts w:cs="Times New Roman"/>
          <w:sz w:val="22"/>
          <w:lang w:val="sr-Cyrl-RS"/>
        </w:rPr>
        <w:t xml:space="preserve"> </w:t>
      </w:r>
      <w:r w:rsidR="00124CEC" w:rsidRPr="00EF2F18">
        <w:rPr>
          <w:rFonts w:cs="Times New Roman"/>
          <w:sz w:val="22"/>
          <w:lang w:val="sr-Cyrl-RS"/>
        </w:rPr>
        <w:t xml:space="preserve">генерисане </w:t>
      </w:r>
      <w:r w:rsidR="00354FC7" w:rsidRPr="00EF2F18">
        <w:rPr>
          <w:rFonts w:cs="Times New Roman"/>
          <w:sz w:val="22"/>
          <w:lang w:val="sr-Cyrl-RS"/>
        </w:rPr>
        <w:t>количине отпада од грађења и рушења.</w:t>
      </w:r>
      <w:r w:rsidR="0070748A" w:rsidRPr="00EF2F18">
        <w:rPr>
          <w:rFonts w:cs="Times New Roman"/>
          <w:sz w:val="22"/>
          <w:lang w:val="sr-Cyrl-RS"/>
        </w:rPr>
        <w:t xml:space="preserve"> Технички захтеви за поновно искоришћење отпада од грађења и рушења као главног или додатног сировинског материјала за производњу грађевинских производа дефинисани су српским стандардима којима су преузети хармонизовани </w:t>
      </w:r>
      <w:r w:rsidR="00A46EDA" w:rsidRPr="00EF2F18">
        <w:rPr>
          <w:rFonts w:cs="Times New Roman"/>
          <w:sz w:val="22"/>
          <w:lang w:val="sr-Cyrl-RS"/>
        </w:rPr>
        <w:t xml:space="preserve">EN </w:t>
      </w:r>
      <w:r w:rsidR="0070748A" w:rsidRPr="00EF2F18">
        <w:rPr>
          <w:rFonts w:cs="Times New Roman"/>
          <w:sz w:val="22"/>
          <w:lang w:val="sr-Cyrl-RS"/>
        </w:rPr>
        <w:t>стандарди.</w:t>
      </w:r>
    </w:p>
    <w:p w14:paraId="6B9A99FA" w14:textId="6F40EAFE" w:rsidR="000A6224" w:rsidRPr="00EF2F18" w:rsidRDefault="000A6224" w:rsidP="000A6224">
      <w:pPr>
        <w:spacing w:after="0"/>
        <w:ind w:firstLine="720"/>
        <w:jc w:val="both"/>
        <w:rPr>
          <w:rFonts w:cs="Times New Roman"/>
          <w:sz w:val="22"/>
          <w:lang w:val="sr-Cyrl-RS"/>
        </w:rPr>
      </w:pPr>
      <w:r w:rsidRPr="00EF2F18">
        <w:rPr>
          <w:rFonts w:cs="Times New Roman"/>
          <w:sz w:val="22"/>
          <w:lang w:val="sr-Cyrl-RS"/>
        </w:rPr>
        <w:t xml:space="preserve">У Републици Србији се </w:t>
      </w:r>
      <w:r w:rsidR="00151393" w:rsidRPr="00EF2F18">
        <w:rPr>
          <w:rFonts w:cs="Times New Roman"/>
          <w:sz w:val="22"/>
          <w:lang w:val="sr-Cyrl-RS"/>
        </w:rPr>
        <w:t>према последње објављеним подацима УНЕП-а за 2024. годину годишње баци 780</w:t>
      </w:r>
      <w:r w:rsidR="0032105F" w:rsidRPr="00EF2F18">
        <w:rPr>
          <w:rFonts w:cs="Times New Roman"/>
          <w:sz w:val="22"/>
          <w:lang w:val="sr-Cyrl-RS"/>
        </w:rPr>
        <w:t>.</w:t>
      </w:r>
      <w:r w:rsidR="00151393" w:rsidRPr="00EF2F18">
        <w:rPr>
          <w:rFonts w:cs="Times New Roman"/>
          <w:sz w:val="22"/>
          <w:lang w:val="sr-Cyrl-RS"/>
        </w:rPr>
        <w:t>482 тона хране, односно 108 kg по становнику</w:t>
      </w:r>
      <w:r w:rsidRPr="00EF2F18">
        <w:rPr>
          <w:rFonts w:cs="Times New Roman"/>
          <w:sz w:val="22"/>
          <w:lang w:val="sr-Cyrl-RS"/>
        </w:rPr>
        <w:t>. Процењује се да сектор угоститељства годишње генерише око 40.000 тона отпада од хране</w:t>
      </w:r>
      <w:r w:rsidR="00B961EB" w:rsidRPr="00EF2F18">
        <w:rPr>
          <w:rStyle w:val="FootnoteReference"/>
          <w:rFonts w:cs="Times New Roman"/>
          <w:sz w:val="22"/>
          <w:lang w:val="sr-Cyrl-RS"/>
        </w:rPr>
        <w:footnoteReference w:id="4"/>
      </w:r>
      <w:r w:rsidRPr="00EF2F18">
        <w:rPr>
          <w:rFonts w:cs="Times New Roman"/>
          <w:sz w:val="22"/>
          <w:lang w:val="sr-Cyrl-RS"/>
        </w:rPr>
        <w:t>, који по прописима нису дозвољени за</w:t>
      </w:r>
      <w:r w:rsidR="006C2E00" w:rsidRPr="00EF2F18">
        <w:rPr>
          <w:rFonts w:cs="Times New Roman"/>
          <w:sz w:val="22"/>
          <w:lang w:val="sr-Cyrl-RS"/>
        </w:rPr>
        <w:t xml:space="preserve"> </w:t>
      </w:r>
      <w:r w:rsidRPr="00EF2F18">
        <w:rPr>
          <w:rFonts w:cs="Times New Roman"/>
          <w:sz w:val="22"/>
          <w:lang w:val="sr-Cyrl-RS"/>
        </w:rPr>
        <w:t>употребу</w:t>
      </w:r>
      <w:r w:rsidR="004C1A81" w:rsidRPr="00EF2F18">
        <w:rPr>
          <w:rFonts w:cs="Times New Roman"/>
          <w:sz w:val="22"/>
          <w:lang w:val="sr-Cyrl-RS"/>
        </w:rPr>
        <w:t xml:space="preserve"> и</w:t>
      </w:r>
      <w:r w:rsidRPr="00EF2F18">
        <w:rPr>
          <w:rFonts w:cs="Times New Roman"/>
          <w:sz w:val="22"/>
          <w:lang w:val="sr-Cyrl-RS"/>
        </w:rPr>
        <w:t xml:space="preserve"> нису дозвољени ни за људску ни животињску исхрану.</w:t>
      </w:r>
    </w:p>
    <w:p w14:paraId="247F20D9" w14:textId="2F76B241" w:rsidR="00DD74F2" w:rsidRPr="00EF2F18" w:rsidRDefault="00DD74F2" w:rsidP="000A6224">
      <w:pPr>
        <w:spacing w:after="0"/>
        <w:ind w:firstLine="720"/>
        <w:jc w:val="both"/>
        <w:rPr>
          <w:rFonts w:cs="Times New Roman"/>
          <w:sz w:val="22"/>
          <w:lang w:val="sr-Cyrl-RS"/>
        </w:rPr>
      </w:pPr>
      <w:r w:rsidRPr="00EF2F18">
        <w:rPr>
          <w:rFonts w:cs="Times New Roman"/>
          <w:sz w:val="22"/>
          <w:lang w:val="sr-Cyrl-RS"/>
        </w:rPr>
        <w:t>Отпад од хране препознат је у оквиру Закона о управљању отпадом  као храна (супстанца или производ, прерађен, делимично прерађен или непрерађен, а намењен за људску употребу или за који се може очекивати да ће га људи употребити), која је постала отпад. Имајући у виду да постоје подаци да се велика количина хране баца, у мере превенције укључене су и посебне мере које имају за циљ спречавање стварања отпада и то на начин смањивања стварање отпада од хране у примарној производњи, у преради и производњи, у малопродаји и другој дистрибуцији хране, у ресторанима и угоститељским објектима и у домаћинствима, као и подстицање донирање хране и други облици прерасподеле за људску употребу, дајући предност људској употреби у односу на употребу у храни за животиње и прераду у непрехрамбене производе.</w:t>
      </w:r>
    </w:p>
    <w:p w14:paraId="382EA1E1" w14:textId="66A27941" w:rsidR="00496775" w:rsidRPr="00EF2F18" w:rsidRDefault="00496775" w:rsidP="000A6224">
      <w:pPr>
        <w:spacing w:after="0"/>
        <w:ind w:firstLine="720"/>
        <w:jc w:val="both"/>
        <w:rPr>
          <w:rFonts w:cs="Times New Roman"/>
          <w:sz w:val="22"/>
          <w:lang w:val="sr-Cyrl-RS"/>
        </w:rPr>
      </w:pPr>
      <w:r w:rsidRPr="00EF2F18">
        <w:rPr>
          <w:rFonts w:cs="Times New Roman"/>
          <w:sz w:val="22"/>
          <w:lang w:val="sr-Cyrl-RS"/>
        </w:rPr>
        <w:t xml:space="preserve">Још један ток отпада који захтева збрињавање је отпад животињског порекла, односно споредни производи животињског порекла који настају током узгоја, промета животиња и клања животиња или током производње производа животињског порекла. </w:t>
      </w:r>
      <w:r w:rsidR="006F0F1E" w:rsidRPr="00EF2F18">
        <w:rPr>
          <w:rFonts w:cs="Times New Roman"/>
          <w:sz w:val="22"/>
          <w:lang w:val="sr-Cyrl-RS"/>
        </w:rPr>
        <w:t>Ово је изузетак од примене Закона о управљању отпадом.</w:t>
      </w:r>
    </w:p>
    <w:p w14:paraId="7004FC11" w14:textId="52214BEA" w:rsidR="00496775" w:rsidRPr="00EF2F18" w:rsidRDefault="00496775" w:rsidP="00496775">
      <w:pPr>
        <w:autoSpaceDE w:val="0"/>
        <w:autoSpaceDN w:val="0"/>
        <w:adjustRightInd w:val="0"/>
        <w:spacing w:after="0"/>
        <w:ind w:firstLine="720"/>
        <w:jc w:val="both"/>
        <w:rPr>
          <w:rFonts w:cs="Times New Roman"/>
          <w:sz w:val="22"/>
          <w:lang w:val="sr-Cyrl-RS" w:eastAsia="nl-NL"/>
        </w:rPr>
      </w:pPr>
      <w:r w:rsidRPr="00EF2F18">
        <w:rPr>
          <w:rFonts w:cs="Times New Roman"/>
          <w:sz w:val="22"/>
          <w:shd w:val="clear" w:color="auto" w:fill="FFFFFF"/>
          <w:lang w:val="sr-Cyrl-RS"/>
        </w:rPr>
        <w:t xml:space="preserve">У складу са Стратегијом пољопривреде и руралног развоја Републике Србије за период 2014–2024. године („Службени гласник РС”, број 85/14), донет је </w:t>
      </w:r>
      <w:r w:rsidRPr="00EF2F18">
        <w:rPr>
          <w:rFonts w:cs="Times New Roman"/>
          <w:sz w:val="22"/>
          <w:lang w:val="sr-Cyrl-RS"/>
        </w:rPr>
        <w:t xml:space="preserve">Програм за унапређење управљања споредним производима животињског порекла за период од 2020. до 2024. године </w:t>
      </w:r>
      <w:r w:rsidR="00E10B07">
        <w:rPr>
          <w:rFonts w:cs="Times New Roman"/>
          <w:sz w:val="22"/>
          <w:lang w:val="sr-Cyrl-RS"/>
        </w:rPr>
        <w:lastRenderedPageBreak/>
        <w:t>(„Службени гл</w:t>
      </w:r>
      <w:r w:rsidRPr="00EF2F18">
        <w:rPr>
          <w:rFonts w:cs="Times New Roman"/>
          <w:sz w:val="22"/>
          <w:lang w:val="sr-Cyrl-RS"/>
        </w:rPr>
        <w:t>асник РС</w:t>
      </w:r>
      <w:r w:rsidR="00FB0E74" w:rsidRPr="00EF2F18">
        <w:rPr>
          <w:rFonts w:cs="Times New Roman"/>
          <w:sz w:val="22"/>
          <w:lang w:val="sr-Cyrl-RS"/>
        </w:rPr>
        <w:t>”</w:t>
      </w:r>
      <w:r w:rsidR="00B57CFF" w:rsidRPr="00EF2F18">
        <w:rPr>
          <w:rFonts w:cs="Times New Roman"/>
          <w:sz w:val="22"/>
          <w:lang w:val="sr-Cyrl-RS"/>
        </w:rPr>
        <w:t>, бр.</w:t>
      </w:r>
      <w:r w:rsidRPr="00EF2F18">
        <w:rPr>
          <w:rFonts w:cs="Times New Roman"/>
          <w:sz w:val="22"/>
          <w:lang w:val="sr-Cyrl-RS"/>
        </w:rPr>
        <w:t xml:space="preserve"> 14/20, 44/21, 139/22</w:t>
      </w:r>
      <w:r w:rsidR="00F41D40" w:rsidRPr="00EF2F18">
        <w:rPr>
          <w:rFonts w:cs="Times New Roman"/>
          <w:sz w:val="22"/>
          <w:lang w:val="sr-Cyrl-RS"/>
        </w:rPr>
        <w:t>,</w:t>
      </w:r>
      <w:r w:rsidR="005B0CCA" w:rsidRPr="00EF2F18">
        <w:rPr>
          <w:rFonts w:cs="Times New Roman"/>
          <w:sz w:val="22"/>
          <w:lang w:val="sr-Cyrl-RS"/>
        </w:rPr>
        <w:t xml:space="preserve"> 73/23</w:t>
      </w:r>
      <w:r w:rsidR="00F41D40" w:rsidRPr="00EF2F18">
        <w:rPr>
          <w:rFonts w:cs="Times New Roman"/>
          <w:sz w:val="22"/>
          <w:lang w:val="sr-Cyrl-RS"/>
        </w:rPr>
        <w:t xml:space="preserve"> и 99/24</w:t>
      </w:r>
      <w:r w:rsidRPr="00EF2F18">
        <w:rPr>
          <w:rFonts w:cs="Times New Roman"/>
          <w:sz w:val="22"/>
          <w:lang w:val="sr-Cyrl-RS"/>
        </w:rPr>
        <w:t>), који</w:t>
      </w:r>
      <w:r w:rsidR="005E42D2" w:rsidRPr="00EF2F18">
        <w:rPr>
          <w:rFonts w:cs="Times New Roman"/>
          <w:color w:val="333333"/>
          <w:sz w:val="22"/>
          <w:shd w:val="clear" w:color="auto" w:fill="FFFFFF"/>
          <w:lang w:val="sr-Cyrl-RS"/>
        </w:rPr>
        <w:t xml:space="preserve"> </w:t>
      </w:r>
      <w:r w:rsidRPr="00EF2F18">
        <w:rPr>
          <w:rFonts w:cs="Times New Roman"/>
          <w:sz w:val="22"/>
          <w:lang w:val="sr-Cyrl-RS"/>
        </w:rPr>
        <w:t xml:space="preserve">предвиђа доношење и примену прописа који су у потпуности усклађени са ЕУ прописима из ове области, успостављање одрживог система за сакупљање и прераду, јачање институционалних капацитета и подизање свести свих заинтересованих страна о важности унапређења система управљања споредним производима животињског порекла. Највеће количине овог отпада упућују се на прераду у постројења која производе месно-коштано брашно, топљене масти, и друге техничке производе, компост и биогас, прерађене протеине животињског порекла, као и храну за кућне љубимце. Постројења отвореног типа за третман споредних производа животињског порекла Категорије 1, која примењују основне методе прераде, постоје у Ћуприји и Инђији. Инсталисани капацитети за прераду материјала Категорије 1 су 200.000 </w:t>
      </w:r>
      <w:r w:rsidR="00143597">
        <w:rPr>
          <w:rFonts w:cs="Times New Roman"/>
          <w:sz w:val="22"/>
          <w:lang w:val="sr-Cyrl-RS"/>
        </w:rPr>
        <w:t>тона</w:t>
      </w:r>
      <w:r w:rsidRPr="00EF2F18">
        <w:rPr>
          <w:rFonts w:cs="Times New Roman"/>
          <w:sz w:val="22"/>
          <w:lang w:val="sr-Cyrl-RS"/>
        </w:rPr>
        <w:t xml:space="preserve"> на годишњем нивоу. Спаљивање и ко-спаљивање се врши у пећима у Нишу и Ћуприји. Ко</w:t>
      </w:r>
      <w:r w:rsidR="00777788" w:rsidRPr="00EF2F18">
        <w:rPr>
          <w:rFonts w:cs="Times New Roman"/>
          <w:sz w:val="22"/>
          <w:lang w:val="sr-Cyrl-RS"/>
        </w:rPr>
        <w:t>-</w:t>
      </w:r>
      <w:r w:rsidRPr="00EF2F18">
        <w:rPr>
          <w:rFonts w:cs="Times New Roman"/>
          <w:sz w:val="22"/>
          <w:lang w:val="sr-Cyrl-RS"/>
        </w:rPr>
        <w:t xml:space="preserve">спаљивање месно-коштаног брашна врши се и у четири објекта (две циглане, једној цементари и у једном објекту из области хемијске индустрије). Према подацима Управе за ветерину из 2019. године, постоје три </w:t>
      </w:r>
      <w:r w:rsidRPr="00EF2F18">
        <w:rPr>
          <w:rFonts w:cs="Times New Roman"/>
          <w:sz w:val="22"/>
          <w:lang w:val="sr-Cyrl-RS" w:eastAsia="nl-NL"/>
        </w:rPr>
        <w:t xml:space="preserve">биогасна постројења </w:t>
      </w:r>
      <w:r w:rsidRPr="00EF2F18">
        <w:rPr>
          <w:rFonts w:cs="Times New Roman"/>
          <w:sz w:val="22"/>
          <w:lang w:val="sr-Cyrl-RS"/>
        </w:rPr>
        <w:t xml:space="preserve">која </w:t>
      </w:r>
      <w:r w:rsidRPr="00EF2F18">
        <w:rPr>
          <w:rFonts w:cs="Times New Roman"/>
          <w:sz w:val="22"/>
          <w:lang w:val="sr-Cyrl-RS" w:eastAsia="nl-NL"/>
        </w:rPr>
        <w:t>углавном користе стајњак у комбинацији са осталим органским супстратима. Производња компоста је далеко мања</w:t>
      </w:r>
      <w:r w:rsidR="005E42D2" w:rsidRPr="00EF2F18">
        <w:rPr>
          <w:rFonts w:cs="Times New Roman"/>
          <w:sz w:val="22"/>
          <w:lang w:val="sr-Cyrl-RS" w:eastAsia="nl-NL"/>
        </w:rPr>
        <w:t xml:space="preserve"> </w:t>
      </w:r>
      <w:r w:rsidRPr="00EF2F18">
        <w:rPr>
          <w:rFonts w:cs="Times New Roman"/>
          <w:sz w:val="22"/>
          <w:lang w:val="sr-Cyrl-RS" w:eastAsia="nl-NL"/>
        </w:rPr>
        <w:t xml:space="preserve">и одвија се у пет објеката. </w:t>
      </w:r>
    </w:p>
    <w:p w14:paraId="5C853E94" w14:textId="0E42EF45" w:rsidR="00496775" w:rsidRPr="00EF2F18" w:rsidRDefault="00496775" w:rsidP="00496775">
      <w:pPr>
        <w:autoSpaceDE w:val="0"/>
        <w:autoSpaceDN w:val="0"/>
        <w:adjustRightInd w:val="0"/>
        <w:spacing w:after="0"/>
        <w:ind w:firstLine="720"/>
        <w:jc w:val="both"/>
        <w:rPr>
          <w:rFonts w:cs="Times New Roman"/>
          <w:sz w:val="22"/>
          <w:lang w:val="sr-Cyrl-RS"/>
        </w:rPr>
      </w:pPr>
      <w:r w:rsidRPr="00EF2F18">
        <w:rPr>
          <w:rFonts w:cs="Times New Roman"/>
          <w:sz w:val="22"/>
          <w:lang w:val="sr-Cyrl-RS"/>
        </w:rPr>
        <w:t>У току 2022. године у Републици Србији је произведено 8,28 милиона тона отпада из индустрије</w:t>
      </w:r>
      <w:r w:rsidR="00777788" w:rsidRPr="00EF2F18">
        <w:rPr>
          <w:rFonts w:cs="Times New Roman"/>
          <w:sz w:val="22"/>
          <w:lang w:val="sr-Cyrl-RS"/>
        </w:rPr>
        <w:t>,</w:t>
      </w:r>
      <w:r w:rsidRPr="00EF2F18">
        <w:rPr>
          <w:rFonts w:cs="Times New Roman"/>
          <w:sz w:val="22"/>
          <w:lang w:val="sr-Cyrl-RS"/>
        </w:rPr>
        <w:t xml:space="preserve"> од чега 80 хиљада тона </w:t>
      </w:r>
      <w:r w:rsidR="00A46EDA" w:rsidRPr="00EF2F18">
        <w:rPr>
          <w:rFonts w:cs="Times New Roman"/>
          <w:sz w:val="22"/>
          <w:lang w:val="sr-Cyrl-RS"/>
        </w:rPr>
        <w:t xml:space="preserve">чини </w:t>
      </w:r>
      <w:r w:rsidRPr="00EF2F18">
        <w:rPr>
          <w:rFonts w:cs="Times New Roman"/>
          <w:sz w:val="22"/>
          <w:lang w:val="sr-Cyrl-RS"/>
        </w:rPr>
        <w:t>отпад који је по карактеру опасан. Термоенергетски објекти су највећи произвођачи отпада. Генерисани отпад из термичких процеса износи 7 милиона тона, односно чини 84% укупне количине произведеног отпада из индустрије. Заступљене су у значајним количинама и друге врсте отпада кој</w:t>
      </w:r>
      <w:r w:rsidR="00220F3A" w:rsidRPr="00EF2F18">
        <w:rPr>
          <w:rFonts w:cs="Times New Roman"/>
          <w:sz w:val="22"/>
          <w:lang w:val="sr-Cyrl-RS"/>
        </w:rPr>
        <w:t>е</w:t>
      </w:r>
      <w:r w:rsidRPr="00EF2F18">
        <w:rPr>
          <w:rFonts w:cs="Times New Roman"/>
          <w:sz w:val="22"/>
          <w:lang w:val="sr-Cyrl-RS"/>
        </w:rPr>
        <w:t xml:space="preserve"> потичу из термичких процеса: непрерађена шљака, отпади од прераде шљаке, чврсти отпади на бази калцијума, настали у процесу одсумпоравања гасова. </w:t>
      </w:r>
      <w:r w:rsidR="00701A10" w:rsidRPr="00EF2F18">
        <w:rPr>
          <w:rFonts w:cs="Times New Roman"/>
          <w:sz w:val="22"/>
          <w:lang w:val="sr-Cyrl-RS"/>
        </w:rPr>
        <w:t>Тренутно се летећи пепео из отпрашивања димних гасова настао у термичким поступцима сагоревања угља користи за производњу цемента и извози, док се одређене количине гипса из процеса одсумпоравања користе као помоћни састојак у производњи цемента и извоз</w:t>
      </w:r>
      <w:r w:rsidR="00534E49" w:rsidRPr="00EF2F18">
        <w:rPr>
          <w:rFonts w:cs="Times New Roman"/>
          <w:sz w:val="22"/>
          <w:lang w:val="sr-Cyrl-RS"/>
        </w:rPr>
        <w:t>е</w:t>
      </w:r>
      <w:r w:rsidRPr="00EF2F18">
        <w:rPr>
          <w:rFonts w:cs="Times New Roman"/>
          <w:sz w:val="22"/>
          <w:lang w:val="sr-Cyrl-RS"/>
        </w:rPr>
        <w:t xml:space="preserve">. </w:t>
      </w:r>
      <w:r w:rsidR="00534E49" w:rsidRPr="00EF2F18">
        <w:rPr>
          <w:rFonts w:cs="Times New Roman"/>
          <w:sz w:val="22"/>
          <w:lang w:val="sr-Cyrl-RS"/>
        </w:rPr>
        <w:t>Увођење нове технологије за сакупљање, транспорт и одлагање пепела реализовано је на локацији ТЕ Костолац А, ТЕ Костолац Б, ТЕНТ Б и у ТЕ Колубара за блок А5</w:t>
      </w:r>
      <w:r w:rsidRPr="00EF2F18">
        <w:rPr>
          <w:rFonts w:cs="Times New Roman"/>
          <w:sz w:val="22"/>
          <w:lang w:val="sr-Cyrl-RS"/>
        </w:rPr>
        <w:t xml:space="preserve">. У ТЕ „Никола Тесла” А није завршен пројекат одлагања пепела. </w:t>
      </w:r>
      <w:r w:rsidR="00534E49" w:rsidRPr="00EF2F18">
        <w:rPr>
          <w:rFonts w:cs="Times New Roman"/>
          <w:sz w:val="22"/>
          <w:lang w:val="sr-Cyrl-RS"/>
        </w:rPr>
        <w:t>Престанак експлоатације, реконструкција и ремедијација депонија пепела и шљаке термоелектрана „Костолац”, „Колубара”, „Морава”, „Никола Тесла” А и „Никола Тесла” Б није реализован</w:t>
      </w:r>
      <w:r w:rsidRPr="00EF2F18">
        <w:rPr>
          <w:rFonts w:cs="Times New Roman"/>
          <w:sz w:val="22"/>
          <w:shd w:val="clear" w:color="auto" w:fill="FFFFFF"/>
          <w:lang w:val="sr-Cyrl-RS"/>
        </w:rPr>
        <w:t>.</w:t>
      </w:r>
    </w:p>
    <w:p w14:paraId="73BAB1E5" w14:textId="26286108" w:rsidR="00496775" w:rsidRPr="00EF2F18" w:rsidRDefault="00496775" w:rsidP="00496775">
      <w:pPr>
        <w:autoSpaceDE w:val="0"/>
        <w:autoSpaceDN w:val="0"/>
        <w:adjustRightInd w:val="0"/>
        <w:spacing w:after="0"/>
        <w:ind w:firstLine="720"/>
        <w:jc w:val="both"/>
        <w:rPr>
          <w:rFonts w:cs="Times New Roman"/>
          <w:sz w:val="22"/>
          <w:lang w:val="sr-Cyrl-RS"/>
        </w:rPr>
      </w:pPr>
      <w:r w:rsidRPr="00EF2F18">
        <w:rPr>
          <w:rFonts w:cs="Times New Roman"/>
          <w:sz w:val="22"/>
          <w:lang w:val="sr-Cyrl-RS"/>
        </w:rPr>
        <w:t>У Републици Србији постоје три фабрике цемента, од којих две (</w:t>
      </w:r>
      <w:r w:rsidR="006F0F1E" w:rsidRPr="00EF2F18">
        <w:rPr>
          <w:rFonts w:cs="Times New Roman"/>
          <w:sz w:val="22"/>
          <w:lang w:val="sr-Cyrl-RS"/>
        </w:rPr>
        <w:t>Холцим</w:t>
      </w:r>
      <w:r w:rsidRPr="00EF2F18">
        <w:rPr>
          <w:rFonts w:cs="Times New Roman"/>
          <w:sz w:val="22"/>
          <w:lang w:val="sr-Cyrl-RS"/>
        </w:rPr>
        <w:t xml:space="preserve"> и CRH) врше термички третман опасног и неопасног отпада, односно користе га као алтернативно гориво и имају одговарајућу дозволу. </w:t>
      </w:r>
      <w:r w:rsidR="00B961EB" w:rsidRPr="00EF2F18">
        <w:rPr>
          <w:rFonts w:cs="Times New Roman"/>
          <w:sz w:val="22"/>
          <w:lang w:val="sr-Cyrl-RS"/>
        </w:rPr>
        <w:t>Ц</w:t>
      </w:r>
      <w:r w:rsidRPr="00EF2F18">
        <w:rPr>
          <w:rFonts w:cs="Times New Roman"/>
          <w:sz w:val="22"/>
          <w:lang w:val="sr-Cyrl-RS"/>
        </w:rPr>
        <w:t>ементна индустрија у Републици Србији, као алтернативну сировину, користи више од 300.000 тона неопасног и опасног отпада годишње (највише летећег пепела и гранулисане шљаке из високе пећи).</w:t>
      </w:r>
      <w:r w:rsidR="00B961EB" w:rsidRPr="00EF2F18">
        <w:rPr>
          <w:rFonts w:cs="Times New Roman"/>
          <w:sz w:val="22"/>
          <w:lang w:val="sr-Cyrl-RS"/>
        </w:rPr>
        <w:t xml:space="preserve"> Поред наведених капацитета цементне индустрије</w:t>
      </w:r>
      <w:r w:rsidR="00FA7222" w:rsidRPr="00EF2F18">
        <w:rPr>
          <w:rFonts w:cs="Times New Roman"/>
          <w:sz w:val="22"/>
          <w:lang w:val="sr-Cyrl-RS"/>
        </w:rPr>
        <w:t xml:space="preserve"> </w:t>
      </w:r>
      <w:r w:rsidR="00B961EB" w:rsidRPr="00EF2F18">
        <w:rPr>
          <w:rFonts w:cs="Times New Roman"/>
          <w:sz w:val="22"/>
          <w:lang w:val="sr-Cyrl-RS"/>
        </w:rPr>
        <w:t>инсинератор комуналног отпада у Београду има максимални пројектовани капацитет спаљивања 340.000 тона отпада годишње.</w:t>
      </w:r>
    </w:p>
    <w:p w14:paraId="73BADA32" w14:textId="0A97AA16" w:rsidR="00354FC7" w:rsidRPr="00EF2F18" w:rsidRDefault="00CC1C5D" w:rsidP="00354FC7">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Према подацима</w:t>
      </w:r>
      <w:r w:rsidR="00124CEC" w:rsidRPr="00EF2F18">
        <w:rPr>
          <w:rFonts w:cs="Times New Roman"/>
          <w:sz w:val="22"/>
          <w:lang w:val="sr-Cyrl-RS"/>
        </w:rPr>
        <w:t xml:space="preserve"> </w:t>
      </w:r>
      <w:r w:rsidRPr="00EF2F18">
        <w:rPr>
          <w:rFonts w:cs="Times New Roman"/>
          <w:sz w:val="22"/>
          <w:lang w:val="sr-Cyrl-RS"/>
        </w:rPr>
        <w:t xml:space="preserve">Агенције за заштиту животне средине, у Републици Србији </w:t>
      </w:r>
      <w:r w:rsidR="00FB4A3D" w:rsidRPr="00EF2F18">
        <w:rPr>
          <w:rFonts w:cs="Times New Roman"/>
          <w:sz w:val="22"/>
          <w:lang w:val="sr-Cyrl-RS"/>
        </w:rPr>
        <w:t xml:space="preserve">до </w:t>
      </w:r>
      <w:r w:rsidR="00024A7F" w:rsidRPr="00EF2F18">
        <w:rPr>
          <w:rFonts w:cs="Times New Roman"/>
          <w:sz w:val="22"/>
          <w:lang w:val="sr-Cyrl-RS"/>
        </w:rPr>
        <w:t xml:space="preserve">2024. године </w:t>
      </w:r>
      <w:r w:rsidRPr="00EF2F18">
        <w:rPr>
          <w:rFonts w:cs="Times New Roman"/>
          <w:sz w:val="22"/>
          <w:lang w:val="sr-Cyrl-RS"/>
        </w:rPr>
        <w:t xml:space="preserve">издато </w:t>
      </w:r>
      <w:r w:rsidR="00024A7F" w:rsidRPr="00EF2F18">
        <w:rPr>
          <w:rFonts w:cs="Times New Roman"/>
          <w:sz w:val="22"/>
          <w:lang w:val="sr-Cyrl-RS"/>
        </w:rPr>
        <w:t xml:space="preserve">укупно </w:t>
      </w:r>
      <w:r w:rsidRPr="00EF2F18">
        <w:rPr>
          <w:rFonts w:cs="Times New Roman"/>
          <w:sz w:val="22"/>
          <w:lang w:val="sr-Cyrl-RS"/>
        </w:rPr>
        <w:t>2.6</w:t>
      </w:r>
      <w:r w:rsidR="00024A7F" w:rsidRPr="00EF2F18">
        <w:rPr>
          <w:rFonts w:cs="Times New Roman"/>
          <w:sz w:val="22"/>
          <w:lang w:val="sr-Cyrl-RS"/>
        </w:rPr>
        <w:t>12</w:t>
      </w:r>
      <w:r w:rsidRPr="00EF2F18">
        <w:rPr>
          <w:rFonts w:cs="Times New Roman"/>
          <w:sz w:val="22"/>
          <w:lang w:val="sr-Cyrl-RS"/>
        </w:rPr>
        <w:t xml:space="preserve"> дозвола за управљање отпадом на свим нивоима, међутим, број достављених извештаја показује да велики проценат оператера који поседује дозволе није активно на тржишту у овој области, или не поступа у складу са законским захтевима у погледу извештавања</w:t>
      </w:r>
      <w:r w:rsidR="00354FC7" w:rsidRPr="00EF2F18">
        <w:rPr>
          <w:rFonts w:cs="Times New Roman"/>
          <w:sz w:val="22"/>
          <w:lang w:val="sr-Cyrl-RS"/>
        </w:rPr>
        <w:t>.</w:t>
      </w:r>
    </w:p>
    <w:p w14:paraId="5758193F" w14:textId="713D6D26" w:rsidR="00354FC7" w:rsidRPr="00CD0755" w:rsidRDefault="0070748A" w:rsidP="00CD0755">
      <w:pPr>
        <w:autoSpaceDE w:val="0"/>
        <w:autoSpaceDN w:val="0"/>
        <w:adjustRightInd w:val="0"/>
        <w:spacing w:after="0"/>
        <w:ind w:firstLine="720"/>
        <w:jc w:val="both"/>
        <w:rPr>
          <w:rFonts w:cs="Times New Roman"/>
          <w:sz w:val="22"/>
          <w:lang w:val="sr-Cyrl-RS"/>
        </w:rPr>
      </w:pPr>
      <w:r w:rsidRPr="00EF2F18">
        <w:rPr>
          <w:rFonts w:cs="Times New Roman"/>
          <w:sz w:val="22"/>
          <w:lang w:val="sr-Cyrl-RS"/>
        </w:rPr>
        <w:t>Иако постоји одређени помак ка унапређењу управљања отпадом, инфраструктура није довољно развијена у односу на генерисане количине отпада. Изградња нових постројења за отпад је неопходна како би се максимално искористили постојећи ресурси и смањ</w:t>
      </w:r>
      <w:r w:rsidR="00CD0755">
        <w:rPr>
          <w:rFonts w:cs="Times New Roman"/>
          <w:sz w:val="22"/>
          <w:lang w:val="sr-Cyrl-RS"/>
        </w:rPr>
        <w:t>ио притисак на животну средину.</w:t>
      </w:r>
    </w:p>
    <w:p w14:paraId="29DB5194" w14:textId="4B2678BD" w:rsidR="001A23A7" w:rsidRPr="00EF2F18" w:rsidRDefault="00013726" w:rsidP="00F106C9">
      <w:pPr>
        <w:pStyle w:val="Heading3"/>
        <w:numPr>
          <w:ilvl w:val="2"/>
          <w:numId w:val="2"/>
        </w:numPr>
        <w:jc w:val="center"/>
        <w:rPr>
          <w:rFonts w:cs="Times New Roman"/>
          <w:sz w:val="22"/>
          <w:szCs w:val="22"/>
          <w:lang w:val="sr-Cyrl-RS"/>
        </w:rPr>
      </w:pPr>
      <w:bookmarkStart w:id="36" w:name="_Toc158307698"/>
      <w:r w:rsidRPr="00EF2F18">
        <w:rPr>
          <w:rFonts w:cs="Times New Roman"/>
          <w:sz w:val="22"/>
          <w:szCs w:val="22"/>
          <w:lang w:val="sr-Cyrl-RS"/>
        </w:rPr>
        <w:t>Истраживање</w:t>
      </w:r>
      <w:r w:rsidR="00FA2EA4" w:rsidRPr="00EF2F18">
        <w:rPr>
          <w:rFonts w:cs="Times New Roman"/>
          <w:sz w:val="22"/>
          <w:szCs w:val="22"/>
          <w:lang w:val="sr-Cyrl-RS"/>
        </w:rPr>
        <w:t>,</w:t>
      </w:r>
      <w:r w:rsidRPr="00EF2F18">
        <w:rPr>
          <w:rFonts w:cs="Times New Roman"/>
          <w:sz w:val="22"/>
          <w:szCs w:val="22"/>
          <w:lang w:val="sr-Cyrl-RS"/>
        </w:rPr>
        <w:t xml:space="preserve"> иновације</w:t>
      </w:r>
      <w:r w:rsidR="00FA2EA4" w:rsidRPr="00EF2F18">
        <w:rPr>
          <w:rFonts w:cs="Times New Roman"/>
          <w:sz w:val="22"/>
          <w:szCs w:val="22"/>
          <w:lang w:val="sr-Cyrl-RS"/>
        </w:rPr>
        <w:t xml:space="preserve"> и добровољни инструменти</w:t>
      </w:r>
      <w:r w:rsidR="00A03D65" w:rsidRPr="00EF2F18">
        <w:rPr>
          <w:rFonts w:cs="Times New Roman"/>
          <w:sz w:val="22"/>
          <w:szCs w:val="22"/>
          <w:lang w:val="sr-Cyrl-RS"/>
        </w:rPr>
        <w:t xml:space="preserve"> </w:t>
      </w:r>
      <w:r w:rsidR="00151393" w:rsidRPr="00EF2F18">
        <w:rPr>
          <w:rFonts w:cs="Times New Roman"/>
          <w:sz w:val="22"/>
          <w:szCs w:val="22"/>
          <w:lang w:val="sr-Cyrl-RS"/>
        </w:rPr>
        <w:t>у области циркуларне економије</w:t>
      </w:r>
      <w:bookmarkEnd w:id="36"/>
    </w:p>
    <w:p w14:paraId="543735BB" w14:textId="25801CCF" w:rsidR="00D3281C" w:rsidRPr="00EF2F18" w:rsidRDefault="00D3281C" w:rsidP="00D3281C">
      <w:pPr>
        <w:spacing w:after="0"/>
        <w:ind w:firstLine="720"/>
        <w:jc w:val="both"/>
        <w:rPr>
          <w:rFonts w:cs="Times New Roman"/>
          <w:sz w:val="22"/>
          <w:lang w:val="sr-Cyrl-RS"/>
        </w:rPr>
      </w:pPr>
      <w:r w:rsidRPr="00EF2F18">
        <w:rPr>
          <w:rFonts w:cs="Times New Roman"/>
          <w:sz w:val="22"/>
          <w:lang w:val="sr-Cyrl-RS"/>
        </w:rPr>
        <w:t>Јачање извозне конкурентности кроз трансформацију извозне структуре могуће је само значајним растом пословне и инвестиционе активности домаћих и страних предузећа која своје пословање заснивају на високим технологијама, знању и иновацијама. Према последњем извештају Европске комисије о оцени иновација (</w:t>
      </w:r>
      <w:r w:rsidRPr="00EF2F18">
        <w:rPr>
          <w:rFonts w:cs="Times New Roman"/>
          <w:i/>
          <w:iCs/>
          <w:sz w:val="22"/>
          <w:lang w:val="sr-Cyrl-RS"/>
        </w:rPr>
        <w:t>European Innovation Scoreboard</w:t>
      </w:r>
      <w:r w:rsidRPr="00EF2F18">
        <w:rPr>
          <w:rFonts w:cs="Times New Roman"/>
          <w:sz w:val="22"/>
          <w:lang w:val="sr-Cyrl-RS"/>
        </w:rPr>
        <w:t>)</w:t>
      </w:r>
      <w:r w:rsidR="00777788" w:rsidRPr="00EF2F18">
        <w:rPr>
          <w:rFonts w:cs="Times New Roman"/>
          <w:sz w:val="22"/>
          <w:lang w:val="sr-Cyrl-RS"/>
        </w:rPr>
        <w:t>,</w:t>
      </w:r>
      <w:r w:rsidRPr="00EF2F18">
        <w:rPr>
          <w:rFonts w:cs="Times New Roman"/>
          <w:sz w:val="22"/>
          <w:lang w:val="sr-Cyrl-RS"/>
        </w:rPr>
        <w:t xml:space="preserve"> објављено је да је Република Србија остварила значајан раст од скоро 30% у последње три године у области иновација. Према овом извештају у којем се оцењују различите компоненте иновација на основу </w:t>
      </w:r>
      <w:r w:rsidRPr="00EF2F18">
        <w:rPr>
          <w:rFonts w:cs="Times New Roman"/>
          <w:sz w:val="22"/>
          <w:lang w:val="sr-Cyrl-RS"/>
        </w:rPr>
        <w:lastRenderedPageBreak/>
        <w:t xml:space="preserve">званичних података, као што су области људског капитала, дигитализација, иновативне привреде и други, раст Републике Србије је дупло бржи од раста држава чланица ЕУ. Оцена извештаја Европске комисије јесте да је Република Србија у свим областима забележила запажен раст, поготово претходне три године. Република Србија је сада на нивоу 66,2% просека ЕУ (2018. године је била на 58 %), док је у одређеним областима далеко испред просека ЕУ. У области креирања иновација у малим и средњим предузећима Република Србија је 65,8% изнад просека ЕУ, а у области запошљавања у иновативним компанијама 46% изнад просека ЕУ у области. Према извештају Европске комисије, Република Србија је регионални лидер на овој листи, и убедљиво је испред појединих држава чланица ЕУ. Овај успех резултат је повећаних улагања државе у иновације, науку и образовање, као и приватног сектора који је препознао будућност привреде у области иновација. Број запослених у ИТ индустрији је дуплиран за мање од четири године на више од 40 хиљада у 2021. години. У Републици Србији све већи број привредних друштава развија своје иновативне производе, што и доказују продаје домаћих ИТ компанија за износе од више стотина милиона </w:t>
      </w:r>
      <w:r w:rsidR="0020525E" w:rsidRPr="00EF2F18">
        <w:rPr>
          <w:rFonts w:cs="Times New Roman"/>
          <w:sz w:val="22"/>
          <w:lang w:val="sr-Cyrl-RS"/>
        </w:rPr>
        <w:t>ЕУР</w:t>
      </w:r>
      <w:r w:rsidRPr="00EF2F18">
        <w:rPr>
          <w:rFonts w:cs="Times New Roman"/>
          <w:sz w:val="22"/>
          <w:lang w:val="sr-Cyrl-RS"/>
        </w:rPr>
        <w:t xml:space="preserve">. Препорука извештаја је да ће додатна улагања, поготово кроз финансијску подршку за развој </w:t>
      </w:r>
      <w:r w:rsidR="00A25D04" w:rsidRPr="00EF2F18">
        <w:rPr>
          <w:rFonts w:cs="Times New Roman"/>
          <w:i/>
          <w:iCs/>
          <w:sz w:val="22"/>
          <w:lang w:val="sr-Cyrl-RS"/>
        </w:rPr>
        <w:t>start-up</w:t>
      </w:r>
      <w:r w:rsidR="00A25D04" w:rsidRPr="00EF2F18">
        <w:rPr>
          <w:rFonts w:cs="Times New Roman"/>
          <w:sz w:val="22"/>
          <w:lang w:val="sr-Cyrl-RS"/>
        </w:rPr>
        <w:t>-</w:t>
      </w:r>
      <w:r w:rsidRPr="00EF2F18">
        <w:rPr>
          <w:rFonts w:cs="Times New Roman"/>
          <w:sz w:val="22"/>
          <w:lang w:val="sr-Cyrl-RS"/>
        </w:rPr>
        <w:t xml:space="preserve">ова, улагања у фондове ризичног капитала и развоја образовања које ће омогућити већи број талентованих кадрова, омогућити даљи раст Републике Србије на овој листи. Извештај Европске комисије о оцени иновација даје компаративну анализу у области иновација за земље чланице ЕУ и друге европске земље. </w:t>
      </w:r>
    </w:p>
    <w:p w14:paraId="5F906B95" w14:textId="4AFC5FFB" w:rsidR="000A6224" w:rsidRPr="00EF2F18" w:rsidRDefault="00A03D65" w:rsidP="000A6224">
      <w:pPr>
        <w:spacing w:after="0"/>
        <w:ind w:firstLine="720"/>
        <w:jc w:val="both"/>
        <w:rPr>
          <w:rFonts w:cs="Times New Roman"/>
          <w:sz w:val="22"/>
          <w:lang w:val="sr-Cyrl-RS"/>
        </w:rPr>
      </w:pPr>
      <w:r w:rsidRPr="00EF2F18">
        <w:rPr>
          <w:rFonts w:cs="Times New Roman"/>
          <w:sz w:val="22"/>
          <w:lang w:val="sr-Cyrl-RS"/>
        </w:rPr>
        <w:t>Највећи број пословних субјеката који су сврстани у средња предузећа запошљава од 1% до 4% високообразованих, док скоро трећина великих предузећа запошљава од 10% до 24% високообразованих кадрова</w:t>
      </w:r>
      <w:r w:rsidR="00D3281C" w:rsidRPr="00EF2F18">
        <w:rPr>
          <w:rFonts w:cs="Times New Roman"/>
          <w:sz w:val="22"/>
          <w:lang w:val="sr-Cyrl-RS"/>
        </w:rPr>
        <w:t>.</w:t>
      </w:r>
      <w:r w:rsidR="00C57322" w:rsidRPr="00EF2F18">
        <w:rPr>
          <w:rFonts w:cs="Times New Roman"/>
          <w:sz w:val="22"/>
          <w:lang w:val="sr-Cyrl-RS"/>
        </w:rPr>
        <w:t xml:space="preserve"> </w:t>
      </w:r>
      <w:r w:rsidR="000A6224" w:rsidRPr="00EF2F18">
        <w:rPr>
          <w:rFonts w:cs="Times New Roman"/>
          <w:sz w:val="22"/>
          <w:lang w:val="sr-Cyrl-RS"/>
        </w:rPr>
        <w:t>Према подацима Републичког завода за статистику, укупни издаци за научно</w:t>
      </w:r>
      <w:r w:rsidR="008C4C33" w:rsidRPr="00EF2F18">
        <w:rPr>
          <w:rFonts w:cs="Times New Roman"/>
          <w:sz w:val="22"/>
          <w:lang w:val="sr-Cyrl-RS"/>
        </w:rPr>
        <w:t>-</w:t>
      </w:r>
      <w:r w:rsidR="000A6224" w:rsidRPr="00EF2F18">
        <w:rPr>
          <w:rFonts w:cs="Times New Roman"/>
          <w:sz w:val="22"/>
          <w:lang w:val="sr-Cyrl-RS"/>
        </w:rPr>
        <w:t>истраживачку и истраживачко-развојну делатност у 2022. години износили су преко 68 милијарди РСД</w:t>
      </w:r>
      <w:r w:rsidR="00735BC7" w:rsidRPr="00EF2F18">
        <w:rPr>
          <w:rFonts w:cs="Times New Roman"/>
          <w:sz w:val="22"/>
          <w:lang w:val="sr-Cyrl-RS"/>
        </w:rPr>
        <w:t>,</w:t>
      </w:r>
      <w:r w:rsidR="000A6224" w:rsidRPr="00EF2F18">
        <w:rPr>
          <w:rFonts w:cs="Times New Roman"/>
          <w:sz w:val="22"/>
          <w:lang w:val="sr-Cyrl-RS"/>
        </w:rPr>
        <w:t xml:space="preserve"> а њихово учешће у БДП-у износило је 0,97%. У укупном броју организација које се баве научно</w:t>
      </w:r>
      <w:r w:rsidR="00685595" w:rsidRPr="00EF2F18">
        <w:rPr>
          <w:rFonts w:cs="Times New Roman"/>
          <w:sz w:val="22"/>
          <w:lang w:val="sr-Cyrl-RS"/>
        </w:rPr>
        <w:t>-</w:t>
      </w:r>
      <w:r w:rsidR="000A6224" w:rsidRPr="00EF2F18">
        <w:rPr>
          <w:rFonts w:cs="Times New Roman"/>
          <w:sz w:val="22"/>
          <w:lang w:val="sr-Cyrl-RS"/>
        </w:rPr>
        <w:t xml:space="preserve">истраживачком и истраживачко-развојном делатношћу, нефинансијски сектор је учествовао са 55%, високо образовање са 29%, сектор државе са 15%, а непрофитни сектор са 1%. У 2022. години било је 24.838 запослених лица у овој делатности, а од тога су 17.512 истраживачи. У укупном броју запослених учешће жена износи 53%. Учешће истраживача запослених у </w:t>
      </w:r>
      <w:r w:rsidR="00C57322" w:rsidRPr="00EF2F18">
        <w:rPr>
          <w:rFonts w:cs="Times New Roman"/>
          <w:sz w:val="22"/>
          <w:lang w:val="sr-Cyrl-RS"/>
        </w:rPr>
        <w:t>научно</w:t>
      </w:r>
      <w:r w:rsidR="00685595" w:rsidRPr="00EF2F18">
        <w:rPr>
          <w:rFonts w:cs="Times New Roman"/>
          <w:sz w:val="22"/>
          <w:lang w:val="sr-Cyrl-RS"/>
        </w:rPr>
        <w:t>-</w:t>
      </w:r>
      <w:r w:rsidR="00C57322" w:rsidRPr="00EF2F18">
        <w:rPr>
          <w:rFonts w:cs="Times New Roman"/>
          <w:sz w:val="22"/>
          <w:lang w:val="sr-Cyrl-RS"/>
        </w:rPr>
        <w:t xml:space="preserve">истраживачкој и истраживачко-развојној делатности </w:t>
      </w:r>
      <w:r w:rsidR="000A6224" w:rsidRPr="00EF2F18">
        <w:rPr>
          <w:rFonts w:cs="Times New Roman"/>
          <w:sz w:val="22"/>
          <w:lang w:val="sr-Cyrl-RS"/>
        </w:rPr>
        <w:t>у укупном броју запослених износи око 71%.</w:t>
      </w:r>
      <w:r w:rsidR="00C57322" w:rsidRPr="00EF2F18">
        <w:rPr>
          <w:rFonts w:cs="Times New Roman"/>
          <w:sz w:val="22"/>
          <w:lang w:val="sr-Cyrl-RS"/>
        </w:rPr>
        <w:t xml:space="preserve"> </w:t>
      </w:r>
    </w:p>
    <w:p w14:paraId="33DED493" w14:textId="6F46B168" w:rsidR="00D3281C" w:rsidRPr="00EF2F18" w:rsidRDefault="000A6224" w:rsidP="00D3281C">
      <w:pPr>
        <w:spacing w:after="0"/>
        <w:ind w:firstLine="720"/>
        <w:jc w:val="both"/>
        <w:rPr>
          <w:rFonts w:cs="Times New Roman"/>
          <w:sz w:val="22"/>
          <w:lang w:val="sr-Cyrl-RS"/>
        </w:rPr>
      </w:pPr>
      <w:r w:rsidRPr="00EF2F18">
        <w:rPr>
          <w:rFonts w:cs="Times New Roman"/>
          <w:sz w:val="22"/>
          <w:lang w:val="sr-Cyrl-RS"/>
        </w:rPr>
        <w:t>Што се тиче индикатора иновативних активности, за период 2020</w:t>
      </w:r>
      <w:r w:rsidR="009C3133">
        <w:rPr>
          <w:rFonts w:cs="Times New Roman"/>
          <w:sz w:val="22"/>
          <w:lang w:val="sr-Cyrl-RS"/>
        </w:rPr>
        <w:t xml:space="preserve"> </w:t>
      </w:r>
      <w:r w:rsidRPr="00EF2F18">
        <w:rPr>
          <w:rFonts w:cs="Times New Roman"/>
          <w:sz w:val="22"/>
          <w:lang w:val="sr-Cyrl-RS"/>
        </w:rPr>
        <w:t>–</w:t>
      </w:r>
      <w:r w:rsidR="009C3133">
        <w:rPr>
          <w:rFonts w:cs="Times New Roman"/>
          <w:sz w:val="22"/>
          <w:lang w:val="sr-Cyrl-RS"/>
        </w:rPr>
        <w:t xml:space="preserve"> </w:t>
      </w:r>
      <w:r w:rsidRPr="00EF2F18">
        <w:rPr>
          <w:rFonts w:cs="Times New Roman"/>
          <w:sz w:val="22"/>
          <w:lang w:val="sr-Cyrl-RS"/>
        </w:rPr>
        <w:t>2022. године, учешће пословних субјеката са најмање једном врстом иновације износи 51,14%. Иновативнo је више од</w:t>
      </w:r>
      <w:r w:rsidR="006C2E00" w:rsidRPr="00EF2F18">
        <w:rPr>
          <w:rFonts w:cs="Times New Roman"/>
          <w:sz w:val="22"/>
          <w:lang w:val="sr-Cyrl-RS"/>
        </w:rPr>
        <w:t xml:space="preserve"> </w:t>
      </w:r>
      <w:r w:rsidRPr="00EF2F18">
        <w:rPr>
          <w:rFonts w:cs="Times New Roman"/>
          <w:sz w:val="22"/>
          <w:lang w:val="sr-Cyrl-RS"/>
        </w:rPr>
        <w:t>67% великих пословних субјекaта, око 56% средњих пословних субјеката, док је међу малим пословним субјектима око 50% иновативно. Иновативне активности су скоро једнако заступљене код пословних субјеката који се баве производним и услужним делатностима.</w:t>
      </w:r>
      <w:r w:rsidRPr="00EF2F18">
        <w:rPr>
          <w:sz w:val="22"/>
          <w:lang w:val="sr-Cyrl-RS"/>
        </w:rPr>
        <w:t xml:space="preserve"> Највећи удео укупних издатака за иновативне активности пословних субјеката пре</w:t>
      </w:r>
      <w:r w:rsidR="00C57322" w:rsidRPr="00EF2F18">
        <w:rPr>
          <w:sz w:val="22"/>
          <w:lang w:val="sr-Cyrl-RS"/>
        </w:rPr>
        <w:t>д</w:t>
      </w:r>
      <w:r w:rsidRPr="00EF2F18">
        <w:rPr>
          <w:sz w:val="22"/>
          <w:lang w:val="sr-Cyrl-RS"/>
        </w:rPr>
        <w:t>ставља у</w:t>
      </w:r>
      <w:r w:rsidRPr="00EF2F18">
        <w:rPr>
          <w:rFonts w:cs="Times New Roman"/>
          <w:sz w:val="22"/>
          <w:lang w:val="sr-Cyrl-RS"/>
        </w:rPr>
        <w:t>чешће трошкова за набавку машина и опреме од око 80%</w:t>
      </w:r>
      <w:r w:rsidR="00C57322" w:rsidRPr="00EF2F18">
        <w:rPr>
          <w:rFonts w:cs="Times New Roman"/>
          <w:sz w:val="22"/>
          <w:lang w:val="sr-Cyrl-RS"/>
        </w:rPr>
        <w:t xml:space="preserve">, </w:t>
      </w:r>
      <w:r w:rsidRPr="00EF2F18">
        <w:rPr>
          <w:rFonts w:cs="Times New Roman"/>
          <w:sz w:val="22"/>
          <w:lang w:val="sr-Cyrl-RS"/>
        </w:rPr>
        <w:t>док је око 20% средстава уложено у све остале активности.</w:t>
      </w:r>
      <w:r w:rsidR="00D3281C" w:rsidRPr="00EF2F18">
        <w:rPr>
          <w:rFonts w:cs="Times New Roman"/>
          <w:sz w:val="22"/>
          <w:lang w:val="sr-Cyrl-RS"/>
        </w:rPr>
        <w:t xml:space="preserve"> </w:t>
      </w:r>
    </w:p>
    <w:p w14:paraId="4D43D5AA" w14:textId="16F7C244" w:rsidR="00CD0755" w:rsidRDefault="00024A7F" w:rsidP="00CD0755">
      <w:pPr>
        <w:spacing w:after="0"/>
        <w:ind w:firstLine="720"/>
        <w:jc w:val="both"/>
        <w:rPr>
          <w:rFonts w:cs="Times New Roman"/>
          <w:sz w:val="22"/>
          <w:lang w:val="sr-Cyrl-RS"/>
        </w:rPr>
      </w:pPr>
      <w:r w:rsidRPr="00EF2F18">
        <w:rPr>
          <w:rFonts w:cs="Times New Roman"/>
          <w:sz w:val="22"/>
          <w:lang w:val="sr-Cyrl-RS"/>
        </w:rPr>
        <w:t xml:space="preserve">Ради подстицања и промовисања циркуларне економије, Министарство заштите животне средине и УНДП у партнерству спроводе пројекат </w:t>
      </w:r>
      <w:r w:rsidR="00A64280" w:rsidRPr="00EF2F18">
        <w:rPr>
          <w:rFonts w:cs="Times New Roman"/>
          <w:sz w:val="22"/>
          <w:lang w:val="sr-Cyrl-RS"/>
        </w:rPr>
        <w:t>„</w:t>
      </w:r>
      <w:r w:rsidRPr="00EF2F18">
        <w:rPr>
          <w:rFonts w:cs="Times New Roman"/>
          <w:sz w:val="22"/>
          <w:lang w:val="sr-Cyrl-RS"/>
        </w:rPr>
        <w:t xml:space="preserve">Смањење угљеничног отиска локалних заједница применом принципа циркуларне економије у Републици Србији – Циркуларне заједнице </w:t>
      </w:r>
      <w:r w:rsidR="00990B31" w:rsidRPr="00EF2F18">
        <w:rPr>
          <w:rFonts w:cs="Times New Roman"/>
          <w:sz w:val="22"/>
          <w:lang w:val="sr-Cyrl-RS"/>
        </w:rPr>
        <w:t>у</w:t>
      </w:r>
      <w:r w:rsidRPr="00EF2F18">
        <w:rPr>
          <w:rFonts w:cs="Times New Roman"/>
          <w:sz w:val="22"/>
          <w:lang w:val="sr-Cyrl-RS"/>
        </w:rPr>
        <w:t xml:space="preserve"> Србији”, уз финансијску подршку Глобалног фонда за животну средину (</w:t>
      </w:r>
      <w:r w:rsidRPr="00EF2F18">
        <w:rPr>
          <w:rFonts w:cs="Times New Roman"/>
          <w:i/>
          <w:iCs/>
          <w:sz w:val="22"/>
          <w:lang w:val="sr-Cyrl-RS"/>
        </w:rPr>
        <w:t>ГЕФ</w:t>
      </w:r>
      <w:r w:rsidRPr="00EF2F18">
        <w:rPr>
          <w:rFonts w:cs="Times New Roman"/>
          <w:sz w:val="22"/>
          <w:lang w:val="sr-Cyrl-RS"/>
        </w:rPr>
        <w:t xml:space="preserve">) који траје од 2022. до 2027. године. Посебна компонента пројекта је посвећена унапређењу сарадње науке и привреде у области циркуларних иновација кроз доделу финансијских подстицаја- </w:t>
      </w:r>
      <w:r w:rsidR="009B0C3A" w:rsidRPr="00EF2F18">
        <w:rPr>
          <w:rFonts w:cs="Times New Roman"/>
          <w:sz w:val="22"/>
          <w:lang w:val="sr-Cyrl-RS"/>
        </w:rPr>
        <w:t xml:space="preserve">циркуларних </w:t>
      </w:r>
      <w:r w:rsidRPr="00EF2F18">
        <w:rPr>
          <w:rFonts w:cs="Times New Roman"/>
          <w:sz w:val="22"/>
          <w:lang w:val="sr-Cyrl-RS"/>
        </w:rPr>
        <w:t>ваучера за награђивање конкретних иницијатива у области циркуларне економије којима се доприноси ублажавању климатских промена. Циљ овог подстицаја је препознавање реалних потреба и могућности тржишта у</w:t>
      </w:r>
      <w:r w:rsidR="00990B31" w:rsidRPr="00EF2F18">
        <w:rPr>
          <w:rFonts w:cs="Times New Roman"/>
          <w:sz w:val="22"/>
          <w:lang w:val="sr-Cyrl-RS"/>
        </w:rPr>
        <w:t xml:space="preserve"> Републици</w:t>
      </w:r>
      <w:r w:rsidRPr="00EF2F18">
        <w:rPr>
          <w:rFonts w:cs="Times New Roman"/>
          <w:sz w:val="22"/>
          <w:lang w:val="sr-Cyrl-RS"/>
        </w:rPr>
        <w:t xml:space="preserve"> Србији да примени циркуларне иновације,</w:t>
      </w:r>
      <w:r w:rsidRPr="00EF2F18">
        <w:rPr>
          <w:lang w:val="sr-Cyrl-RS"/>
        </w:rPr>
        <w:t xml:space="preserve"> </w:t>
      </w:r>
      <w:r w:rsidRPr="00EF2F18">
        <w:rPr>
          <w:rFonts w:cs="Times New Roman"/>
          <w:sz w:val="22"/>
          <w:lang w:val="sr-Cyrl-RS"/>
        </w:rPr>
        <w:t>у домену повећања ефикасности и поновног коришћења сировина,</w:t>
      </w:r>
      <w:r w:rsidR="006C2E00" w:rsidRPr="00EF2F18">
        <w:rPr>
          <w:rFonts w:cs="Times New Roman"/>
          <w:sz w:val="22"/>
          <w:lang w:val="sr-Cyrl-RS"/>
        </w:rPr>
        <w:t xml:space="preserve"> </w:t>
      </w:r>
      <w:r w:rsidRPr="00EF2F18">
        <w:rPr>
          <w:rFonts w:cs="Times New Roman"/>
          <w:sz w:val="22"/>
          <w:lang w:val="sr-Cyrl-RS"/>
        </w:rPr>
        <w:t>које доприносе</w:t>
      </w:r>
      <w:r w:rsidR="006C2E00" w:rsidRPr="00EF2F18">
        <w:rPr>
          <w:rFonts w:cs="Times New Roman"/>
          <w:sz w:val="22"/>
          <w:lang w:val="sr-Cyrl-RS"/>
        </w:rPr>
        <w:t xml:space="preserve"> </w:t>
      </w:r>
      <w:r w:rsidRPr="00EF2F18">
        <w:rPr>
          <w:rFonts w:cs="Times New Roman"/>
          <w:sz w:val="22"/>
          <w:lang w:val="sr-Cyrl-RS"/>
        </w:rPr>
        <w:t xml:space="preserve">развоју иновационих капацитета привредних субјеката у </w:t>
      </w:r>
      <w:r w:rsidR="00990B31" w:rsidRPr="00EF2F18">
        <w:rPr>
          <w:rFonts w:cs="Times New Roman"/>
          <w:sz w:val="22"/>
          <w:lang w:val="sr-Cyrl-RS"/>
        </w:rPr>
        <w:t xml:space="preserve">Републици </w:t>
      </w:r>
      <w:r w:rsidRPr="00EF2F18">
        <w:rPr>
          <w:rFonts w:cs="Times New Roman"/>
          <w:sz w:val="22"/>
          <w:lang w:val="sr-Cyrl-RS"/>
        </w:rPr>
        <w:t>Србији, првенствено малих и средњих предузећа, кроз успостављену сарадњу са научно</w:t>
      </w:r>
      <w:r w:rsidR="00685595" w:rsidRPr="00EF2F18">
        <w:rPr>
          <w:rFonts w:cs="Times New Roman"/>
          <w:sz w:val="22"/>
          <w:lang w:val="sr-Cyrl-RS"/>
        </w:rPr>
        <w:t>-</w:t>
      </w:r>
      <w:r w:rsidRPr="00EF2F18">
        <w:rPr>
          <w:rFonts w:cs="Times New Roman"/>
          <w:sz w:val="22"/>
          <w:lang w:val="sr-Cyrl-RS"/>
        </w:rPr>
        <w:t>истраживачким организацијама. У току 2023. и 2024. године додељено је 35 циркуларних ваучера акредитованим научно</w:t>
      </w:r>
      <w:r w:rsidR="00685595" w:rsidRPr="00EF2F18">
        <w:rPr>
          <w:rFonts w:cs="Times New Roman"/>
          <w:sz w:val="22"/>
          <w:lang w:val="sr-Cyrl-RS"/>
        </w:rPr>
        <w:t>-</w:t>
      </w:r>
      <w:r w:rsidRPr="00EF2F18">
        <w:rPr>
          <w:rFonts w:cs="Times New Roman"/>
          <w:sz w:val="22"/>
          <w:lang w:val="sr-Cyrl-RS"/>
        </w:rPr>
        <w:t>истраживачким организацијама и иновационим центрима за конкретне иницијатив</w:t>
      </w:r>
      <w:r w:rsidR="00035BCF" w:rsidRPr="00EF2F18">
        <w:rPr>
          <w:rFonts w:cs="Times New Roman"/>
          <w:sz w:val="22"/>
          <w:lang w:val="sr-Cyrl-RS"/>
        </w:rPr>
        <w:t>е</w:t>
      </w:r>
      <w:r w:rsidRPr="00EF2F18">
        <w:rPr>
          <w:rFonts w:cs="Times New Roman"/>
          <w:sz w:val="22"/>
          <w:lang w:val="sr-Cyrl-RS"/>
        </w:rPr>
        <w:t xml:space="preserve"> у области циркуларне економије.</w:t>
      </w:r>
    </w:p>
    <w:p w14:paraId="39E46CF1" w14:textId="77777777" w:rsidR="00CD0755" w:rsidRPr="00CD0755" w:rsidRDefault="00CD0755" w:rsidP="00CD0755">
      <w:pPr>
        <w:spacing w:after="0"/>
        <w:ind w:firstLine="720"/>
        <w:jc w:val="both"/>
        <w:rPr>
          <w:rFonts w:cs="Times New Roman"/>
          <w:sz w:val="22"/>
          <w:lang w:val="sr-Cyrl-RS"/>
        </w:rPr>
      </w:pPr>
    </w:p>
    <w:p w14:paraId="62D69D3B" w14:textId="4D23A2E9" w:rsidR="00D3281C" w:rsidRDefault="00D3281C" w:rsidP="00D3281C">
      <w:pPr>
        <w:keepNext/>
        <w:keepLines/>
        <w:spacing w:after="0"/>
        <w:outlineLvl w:val="3"/>
        <w:rPr>
          <w:rFonts w:eastAsia="Calibri" w:cs="Times New Roman"/>
          <w:b/>
          <w:bCs/>
          <w:i/>
          <w:sz w:val="22"/>
          <w:lang w:val="sr-Cyrl-RS"/>
        </w:rPr>
      </w:pPr>
      <w:r w:rsidRPr="00EF2F18">
        <w:rPr>
          <w:rFonts w:eastAsia="Calibri" w:cs="Times New Roman"/>
          <w:b/>
          <w:bCs/>
          <w:i/>
          <w:sz w:val="22"/>
          <w:lang w:val="sr-Cyrl-RS"/>
        </w:rPr>
        <w:lastRenderedPageBreak/>
        <w:t xml:space="preserve">Добровољни инструменти </w:t>
      </w:r>
      <w:r w:rsidR="00151393" w:rsidRPr="00EF2F18">
        <w:rPr>
          <w:rFonts w:eastAsia="Calibri" w:cs="Times New Roman"/>
          <w:b/>
          <w:bCs/>
          <w:i/>
          <w:sz w:val="22"/>
          <w:lang w:val="sr-Cyrl-RS"/>
        </w:rPr>
        <w:t>у заштити и унапређењу животне средине и одрживом развоју</w:t>
      </w:r>
    </w:p>
    <w:p w14:paraId="6B2DA753" w14:textId="77777777" w:rsidR="00143597" w:rsidRPr="00143597" w:rsidRDefault="00143597" w:rsidP="00D3281C">
      <w:pPr>
        <w:keepNext/>
        <w:keepLines/>
        <w:spacing w:after="0"/>
        <w:outlineLvl w:val="3"/>
        <w:rPr>
          <w:rFonts w:eastAsia="Calibri" w:cs="Times New Roman"/>
          <w:b/>
          <w:bCs/>
          <w:i/>
          <w:sz w:val="10"/>
          <w:szCs w:val="10"/>
          <w:lang w:val="sr-Cyrl-RS"/>
        </w:rPr>
      </w:pPr>
    </w:p>
    <w:p w14:paraId="5E5ACF07" w14:textId="594A94BE" w:rsidR="00D3281C" w:rsidRPr="00EF2F18" w:rsidRDefault="00B252B6" w:rsidP="00D3281C">
      <w:pPr>
        <w:spacing w:after="0"/>
        <w:ind w:firstLine="720"/>
        <w:jc w:val="both"/>
        <w:rPr>
          <w:rFonts w:cs="Times New Roman"/>
          <w:sz w:val="22"/>
          <w:lang w:val="sr-Cyrl-RS"/>
        </w:rPr>
      </w:pPr>
      <w:r w:rsidRPr="00EF2F18">
        <w:rPr>
          <w:rFonts w:cs="Times New Roman"/>
          <w:sz w:val="22"/>
          <w:lang w:val="sr-Cyrl-RS"/>
        </w:rPr>
        <w:t>Д</w:t>
      </w:r>
      <w:r w:rsidR="00D3281C" w:rsidRPr="00EF2F18">
        <w:rPr>
          <w:rFonts w:cs="Times New Roman"/>
          <w:sz w:val="22"/>
          <w:lang w:val="sr-Cyrl-RS"/>
        </w:rPr>
        <w:t xml:space="preserve">оступност одговарајућих стандарда из области животне средине, одрживости, менаџмента енергијом, уштеда енергије и циркуларне економије у Републици Србији је на доста високом нивоу. У оквиру Института за стандардизацију Србије постоје одговарајуће националне техничке комисије за релевантне EN и </w:t>
      </w:r>
      <w:r w:rsidR="00D3281C" w:rsidRPr="00EF2F18">
        <w:rPr>
          <w:rFonts w:cs="Times New Roman"/>
          <w:i/>
          <w:iCs/>
          <w:sz w:val="22"/>
          <w:lang w:val="sr-Cyrl-RS"/>
        </w:rPr>
        <w:t>ISO</w:t>
      </w:r>
      <w:r w:rsidR="00D3281C" w:rsidRPr="00EF2F18">
        <w:rPr>
          <w:rFonts w:cs="Times New Roman"/>
          <w:sz w:val="22"/>
          <w:lang w:val="sr-Cyrl-RS"/>
        </w:rPr>
        <w:t xml:space="preserve"> стандарде и</w:t>
      </w:r>
      <w:r w:rsidR="0084504E" w:rsidRPr="00EF2F18">
        <w:rPr>
          <w:rFonts w:cs="Times New Roman"/>
          <w:sz w:val="22"/>
          <w:lang w:val="sr-Cyrl-RS"/>
        </w:rPr>
        <w:t xml:space="preserve"> Република</w:t>
      </w:r>
      <w:r w:rsidR="00D3281C" w:rsidRPr="00EF2F18">
        <w:rPr>
          <w:rFonts w:cs="Times New Roman"/>
          <w:sz w:val="22"/>
          <w:lang w:val="sr-Cyrl-RS"/>
        </w:rPr>
        <w:t xml:space="preserve"> Србија активно учествује на изради нових стандарда из области циркуларне економије (у оквиру ISO TC 323 техничке комисије за циркуларну економију). </w:t>
      </w:r>
    </w:p>
    <w:p w14:paraId="5CC51D47" w14:textId="0C0FB23A" w:rsidR="00D3281C" w:rsidRPr="00EF2F18" w:rsidRDefault="00D3281C" w:rsidP="00D3281C">
      <w:pPr>
        <w:spacing w:after="0"/>
        <w:ind w:firstLine="720"/>
        <w:jc w:val="both"/>
        <w:rPr>
          <w:rFonts w:cs="Times New Roman"/>
          <w:sz w:val="22"/>
          <w:lang w:val="sr-Cyrl-RS"/>
        </w:rPr>
      </w:pPr>
      <w:r w:rsidRPr="00EF2F18">
        <w:rPr>
          <w:rFonts w:cs="Times New Roman"/>
          <w:sz w:val="22"/>
          <w:lang w:val="sr-Cyrl-RS"/>
        </w:rPr>
        <w:t xml:space="preserve">Рад на стандардима из области циркуларне економије је организован преко националне комисије у оквиру Института за стандардизацију Србије, KS Z183 Циркуларна економија и управљање отпадом, </w:t>
      </w:r>
      <w:r w:rsidR="00B54BAB" w:rsidRPr="00EF2F18">
        <w:rPr>
          <w:rFonts w:cs="Times New Roman"/>
          <w:sz w:val="22"/>
          <w:lang w:val="sr-Cyrl-RS"/>
        </w:rPr>
        <w:t>а</w:t>
      </w:r>
      <w:r w:rsidRPr="00EF2F18">
        <w:rPr>
          <w:rFonts w:cs="Times New Roman"/>
          <w:sz w:val="22"/>
          <w:lang w:val="sr-Cyrl-RS"/>
        </w:rPr>
        <w:t xml:space="preserve"> значајним делом и преко других релевантних националних комисија, посебно комисије у области менаџмента животном средином КС А 207 која прати рад међународне комисије ISO TC 207. Већина међународних стандарда који се оцене да су од посебног значаја за заинтересоване стране се преузимају методом превођења и објављују на српском језику или двојезично од стране Института за стандардизацију Србије, што ствара добре предуслове за њихову примену од стране заинтересованих страна у Републици Србији. </w:t>
      </w:r>
    </w:p>
    <w:p w14:paraId="0C7E131A" w14:textId="5FBDA6D4" w:rsidR="00151393" w:rsidRPr="00EF2F18" w:rsidRDefault="00D3281C" w:rsidP="00151393">
      <w:pPr>
        <w:spacing w:after="0"/>
        <w:ind w:firstLine="720"/>
        <w:jc w:val="both"/>
        <w:rPr>
          <w:rFonts w:cs="Times New Roman"/>
          <w:sz w:val="22"/>
          <w:lang w:val="sr-Cyrl-RS"/>
        </w:rPr>
      </w:pPr>
      <w:r w:rsidRPr="00EF2F18">
        <w:rPr>
          <w:rFonts w:cs="Times New Roman"/>
          <w:sz w:val="22"/>
          <w:lang w:val="sr-Cyrl-RS"/>
        </w:rPr>
        <w:t>Према подацима Међународне организације за стандардизацију (ISO)</w:t>
      </w:r>
      <w:r w:rsidRPr="00EF2F18">
        <w:rPr>
          <w:rFonts w:cs="Times New Roman"/>
          <w:sz w:val="22"/>
          <w:vertAlign w:val="superscript"/>
          <w:lang w:val="sr-Cyrl-RS"/>
        </w:rPr>
        <w:footnoteReference w:id="5"/>
      </w:r>
      <w:r w:rsidRPr="00EF2F18">
        <w:rPr>
          <w:rFonts w:cs="Times New Roman"/>
          <w:sz w:val="22"/>
          <w:lang w:val="sr-Cyrl-RS"/>
        </w:rPr>
        <w:t xml:space="preserve">, број сертификованих организација у </w:t>
      </w:r>
      <w:r w:rsidR="00151393" w:rsidRPr="00EF2F18">
        <w:rPr>
          <w:rFonts w:cs="Times New Roman"/>
          <w:sz w:val="22"/>
          <w:lang w:val="sr-Cyrl-RS"/>
        </w:rPr>
        <w:t xml:space="preserve">Републици Србији у </w:t>
      </w:r>
      <w:r w:rsidR="009B0C3A" w:rsidRPr="00EF2F18">
        <w:rPr>
          <w:rFonts w:cs="Times New Roman"/>
          <w:sz w:val="22"/>
          <w:lang w:val="sr-Cyrl-RS"/>
        </w:rPr>
        <w:t>2022</w:t>
      </w:r>
      <w:r w:rsidR="00151393" w:rsidRPr="00EF2F18">
        <w:rPr>
          <w:rFonts w:cs="Times New Roman"/>
          <w:sz w:val="22"/>
          <w:lang w:val="sr-Cyrl-RS"/>
        </w:rPr>
        <w:t>. години према стандарду за систем менаџмента животном средином (ISO 14001:2015) износио је 1.</w:t>
      </w:r>
      <w:r w:rsidR="009B0C3A" w:rsidRPr="00EF2F18">
        <w:rPr>
          <w:rFonts w:cs="Times New Roman"/>
          <w:sz w:val="22"/>
          <w:lang w:val="sr-Cyrl-RS"/>
        </w:rPr>
        <w:t>921</w:t>
      </w:r>
      <w:r w:rsidR="00151393" w:rsidRPr="00EF2F18">
        <w:rPr>
          <w:rFonts w:cs="Times New Roman"/>
          <w:sz w:val="22"/>
          <w:lang w:val="sr-Cyrl-RS"/>
        </w:rPr>
        <w:t xml:space="preserve">, што је четири пута више у односу на 2010. годину, а према стандарду за систем менаџмента енергијом (ISO 50001:2018), број је износио 77. </w:t>
      </w:r>
    </w:p>
    <w:p w14:paraId="11010F8D" w14:textId="7A7AEE3C" w:rsidR="00D3281C" w:rsidRPr="00EF2F18" w:rsidRDefault="00D3281C" w:rsidP="00D3281C">
      <w:pPr>
        <w:spacing w:after="0"/>
        <w:ind w:firstLine="720"/>
        <w:jc w:val="both"/>
        <w:rPr>
          <w:rFonts w:cs="Times New Roman"/>
          <w:sz w:val="22"/>
          <w:lang w:val="sr-Cyrl-RS"/>
        </w:rPr>
      </w:pPr>
    </w:p>
    <w:p w14:paraId="6D045830" w14:textId="09B5F121" w:rsidR="00E02614" w:rsidRPr="00EF2F18" w:rsidRDefault="001F582B" w:rsidP="003D0B29">
      <w:pPr>
        <w:spacing w:after="0"/>
        <w:jc w:val="center"/>
        <w:rPr>
          <w:rFonts w:cs="Times New Roman"/>
          <w:sz w:val="22"/>
          <w:lang w:val="sr-Cyrl-RS"/>
        </w:rPr>
      </w:pPr>
      <w:r w:rsidRPr="00EF2F18">
        <w:rPr>
          <w:noProof/>
          <w:lang w:val="sr-Cyrl-RS" w:eastAsia="sr-Cyrl-RS"/>
        </w:rPr>
        <w:drawing>
          <wp:inline distT="0" distB="0" distL="0" distR="0" wp14:anchorId="65967214" wp14:editId="1CCB67B6">
            <wp:extent cx="4724400" cy="1917406"/>
            <wp:effectExtent l="0" t="0" r="0" b="6985"/>
            <wp:docPr id="844298662" name="Picture 2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98662" name="Picture 21" descr="A graph with numbers and a ba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35445" cy="1921889"/>
                    </a:xfrm>
                    <a:prstGeom prst="rect">
                      <a:avLst/>
                    </a:prstGeom>
                    <a:noFill/>
                    <a:ln>
                      <a:noFill/>
                    </a:ln>
                  </pic:spPr>
                </pic:pic>
              </a:graphicData>
            </a:graphic>
          </wp:inline>
        </w:drawing>
      </w:r>
    </w:p>
    <w:p w14:paraId="61DDFB78" w14:textId="52FD1A63" w:rsidR="00E02614" w:rsidRPr="00EF2F18" w:rsidRDefault="00E02614" w:rsidP="00E02614">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2F1BE7" w:rsidRPr="00EF2F18">
        <w:rPr>
          <w:rFonts w:cs="Times New Roman"/>
          <w:b/>
          <w:bCs/>
          <w:sz w:val="22"/>
          <w:lang w:val="sr-Cyrl-RS"/>
        </w:rPr>
        <w:t>1</w:t>
      </w:r>
      <w:r w:rsidR="007C33E8" w:rsidRPr="00EF2F18">
        <w:rPr>
          <w:rFonts w:cs="Times New Roman"/>
          <w:b/>
          <w:bCs/>
          <w:sz w:val="22"/>
          <w:lang w:val="sr-Cyrl-RS"/>
        </w:rPr>
        <w:t>0</w:t>
      </w:r>
      <w:r w:rsidR="00F36CC7" w:rsidRPr="00EF2F18">
        <w:rPr>
          <w:rFonts w:cs="Times New Roman"/>
          <w:b/>
          <w:bCs/>
          <w:sz w:val="22"/>
          <w:lang w:val="sr-Cyrl-RS"/>
        </w:rPr>
        <w:t>.</w:t>
      </w:r>
      <w:r w:rsidRPr="00EF2F18">
        <w:rPr>
          <w:rFonts w:cs="Times New Roman"/>
          <w:sz w:val="22"/>
          <w:lang w:val="sr-Cyrl-RS"/>
        </w:rPr>
        <w:t xml:space="preserve"> Развој броја ISO 14001 сертификата у Републици Србији</w:t>
      </w:r>
    </w:p>
    <w:p w14:paraId="4AB6B93E" w14:textId="23F037DC" w:rsidR="00E02614" w:rsidRPr="00EF2F18" w:rsidRDefault="00A634C6" w:rsidP="00E02614">
      <w:pPr>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1F582B" w:rsidRPr="00EF2F18">
        <w:rPr>
          <w:rFonts w:cs="Times New Roman"/>
          <w:i/>
          <w:sz w:val="22"/>
          <w:lang w:val="sr-Cyrl-RS"/>
        </w:rPr>
        <w:t>2024</w:t>
      </w:r>
      <w:r w:rsidRPr="00EF2F18">
        <w:rPr>
          <w:rFonts w:cs="Times New Roman"/>
          <w:i/>
          <w:sz w:val="22"/>
          <w:lang w:val="sr-Cyrl-RS"/>
        </w:rPr>
        <w:t>.</w:t>
      </w:r>
    </w:p>
    <w:p w14:paraId="5EED687F" w14:textId="77777777" w:rsidR="00E02614" w:rsidRPr="00143597" w:rsidRDefault="00E02614" w:rsidP="00E02614">
      <w:pPr>
        <w:spacing w:after="0"/>
        <w:jc w:val="both"/>
        <w:rPr>
          <w:rFonts w:cs="Times New Roman"/>
          <w:sz w:val="12"/>
          <w:szCs w:val="12"/>
          <w:lang w:val="sr-Cyrl-RS"/>
        </w:rPr>
      </w:pPr>
    </w:p>
    <w:p w14:paraId="70BE5722" w14:textId="336B1FBB" w:rsidR="00D3281C" w:rsidRPr="00EF2F18" w:rsidRDefault="00D3281C" w:rsidP="00D3281C">
      <w:pPr>
        <w:spacing w:after="0"/>
        <w:ind w:firstLine="720"/>
        <w:jc w:val="both"/>
        <w:rPr>
          <w:rFonts w:cs="Times New Roman"/>
          <w:sz w:val="22"/>
          <w:lang w:val="sr-Cyrl-RS"/>
        </w:rPr>
      </w:pPr>
      <w:r w:rsidRPr="00EF2F18">
        <w:rPr>
          <w:rFonts w:cs="Times New Roman"/>
          <w:b/>
          <w:sz w:val="22"/>
          <w:lang w:val="sr-Cyrl-RS"/>
        </w:rPr>
        <w:t>EMAS (</w:t>
      </w:r>
      <w:r w:rsidRPr="00EF2F18">
        <w:rPr>
          <w:rFonts w:cs="Times New Roman"/>
          <w:b/>
          <w:i/>
          <w:sz w:val="22"/>
          <w:lang w:val="sr-Cyrl-RS"/>
        </w:rPr>
        <w:t>EMAS - Eco Management and Audit Scheme</w:t>
      </w:r>
      <w:r w:rsidRPr="00EF2F18">
        <w:rPr>
          <w:rFonts w:cs="Times New Roman"/>
          <w:b/>
          <w:sz w:val="22"/>
          <w:lang w:val="sr-Cyrl-RS"/>
        </w:rPr>
        <w:t>)</w:t>
      </w:r>
      <w:r w:rsidRPr="00EF2F18">
        <w:rPr>
          <w:rFonts w:cs="Times New Roman"/>
          <w:sz w:val="22"/>
          <w:lang w:val="sr-Cyrl-RS"/>
        </w:rPr>
        <w:t xml:space="preserve"> представља програм ЕУ којим се омогућава организацијама да верификују свој систем менаџмента животном средином у складу са одговарајућом Уредбом </w:t>
      </w:r>
      <w:r w:rsidR="00DA264D" w:rsidRPr="00EF2F18">
        <w:rPr>
          <w:rFonts w:cs="Times New Roman"/>
          <w:sz w:val="22"/>
          <w:lang w:val="sr-Cyrl-RS"/>
        </w:rPr>
        <w:t>(</w:t>
      </w:r>
      <w:r w:rsidRPr="00EF2F18">
        <w:rPr>
          <w:rFonts w:cs="Times New Roman"/>
          <w:sz w:val="22"/>
          <w:lang w:val="sr-Cyrl-RS"/>
        </w:rPr>
        <w:t>ЕУ</w:t>
      </w:r>
      <w:r w:rsidR="00DA264D" w:rsidRPr="00EF2F18">
        <w:rPr>
          <w:rFonts w:cs="Times New Roman"/>
          <w:sz w:val="22"/>
          <w:lang w:val="sr-Cyrl-RS"/>
        </w:rPr>
        <w:t>)</w:t>
      </w:r>
      <w:r w:rsidRPr="00EF2F18">
        <w:rPr>
          <w:rFonts w:cs="Times New Roman"/>
          <w:sz w:val="22"/>
          <w:lang w:val="sr-Cyrl-RS"/>
        </w:rPr>
        <w:t xml:space="preserve"> 1221/2009</w:t>
      </w:r>
      <w:r w:rsidR="005B0CCA" w:rsidRPr="00EF2F18">
        <w:rPr>
          <w:rFonts w:cs="Times New Roman"/>
          <w:sz w:val="22"/>
          <w:lang w:val="sr-Cyrl-RS"/>
        </w:rPr>
        <w:t xml:space="preserve"> о добровољном учешћу организација у систему управљања животном средином и независног оцењивања Заједнице (</w:t>
      </w:r>
      <w:r w:rsidR="005B0CCA" w:rsidRPr="00EF2F18">
        <w:rPr>
          <w:rFonts w:cs="Times New Roman"/>
          <w:i/>
          <w:iCs/>
          <w:sz w:val="22"/>
          <w:lang w:val="sr-Cyrl-RS"/>
        </w:rPr>
        <w:t>EMAS</w:t>
      </w:r>
      <w:r w:rsidR="005B0CCA" w:rsidRPr="00EF2F18">
        <w:rPr>
          <w:rFonts w:cs="Times New Roman"/>
          <w:sz w:val="22"/>
          <w:lang w:val="sr-Cyrl-RS"/>
        </w:rPr>
        <w:t>).</w:t>
      </w:r>
    </w:p>
    <w:p w14:paraId="47DC1ECE" w14:textId="6A25B14E" w:rsidR="00B55385" w:rsidRPr="00EF2F18" w:rsidRDefault="00A210AD" w:rsidP="00B55385">
      <w:pPr>
        <w:spacing w:after="0"/>
        <w:ind w:firstLine="720"/>
        <w:jc w:val="both"/>
        <w:rPr>
          <w:rFonts w:cs="Times New Roman"/>
          <w:sz w:val="22"/>
          <w:lang w:val="sr-Cyrl-RS"/>
        </w:rPr>
      </w:pPr>
      <w:r w:rsidRPr="00EF2F18">
        <w:rPr>
          <w:rFonts w:cs="Times New Roman"/>
          <w:sz w:val="22"/>
          <w:lang w:val="sr-Cyrl-RS"/>
        </w:rPr>
        <w:t xml:space="preserve">Чистија производња и </w:t>
      </w:r>
      <w:r w:rsidR="00151393" w:rsidRPr="00EF2F18">
        <w:rPr>
          <w:rFonts w:cs="Times New Roman"/>
          <w:sz w:val="22"/>
          <w:lang w:val="sr-Cyrl-RS"/>
        </w:rPr>
        <w:t>Шема еко-менаџмента и провере</w:t>
      </w:r>
      <w:r w:rsidR="00151393" w:rsidRPr="00EF2F18" w:rsidDel="00151393">
        <w:rPr>
          <w:rFonts w:cs="Times New Roman"/>
          <w:sz w:val="22"/>
          <w:lang w:val="sr-Cyrl-RS"/>
        </w:rPr>
        <w:t xml:space="preserve"> </w:t>
      </w:r>
      <w:r w:rsidRPr="00EF2F18">
        <w:rPr>
          <w:rFonts w:cs="Times New Roman"/>
          <w:sz w:val="22"/>
          <w:lang w:val="sr-Cyrl-RS"/>
        </w:rPr>
        <w:t>(</w:t>
      </w:r>
      <w:r w:rsidRPr="00EF2F18">
        <w:rPr>
          <w:rFonts w:cs="Times New Roman"/>
          <w:i/>
          <w:iCs/>
          <w:sz w:val="22"/>
          <w:lang w:val="sr-Cyrl-RS"/>
        </w:rPr>
        <w:t>EMAS</w:t>
      </w:r>
      <w:r w:rsidRPr="00EF2F18">
        <w:rPr>
          <w:rFonts w:cs="Times New Roman"/>
          <w:sz w:val="22"/>
          <w:lang w:val="sr-Cyrl-RS"/>
        </w:rPr>
        <w:t xml:space="preserve">) у Републици Србији уведен је и делимично дефинисан Законом о заштити животне средине </w:t>
      </w:r>
      <w:r w:rsidR="003A2709" w:rsidRPr="00EF2F18">
        <w:rPr>
          <w:sz w:val="22"/>
          <w:lang w:val="sr-Cyrl-RS"/>
        </w:rPr>
        <w:t>(,,Службени гласник РС”, бр. 135/04, 36/09, 36/09 – др. закон, 72/09 – др. закон, 43/11 – УС, 14/16, 76/18, 95/18 – др. закон, 95/18 – др. закон и 94/24 – др. закон)</w:t>
      </w:r>
      <w:r w:rsidRPr="00EF2F18">
        <w:rPr>
          <w:rFonts w:cs="Times New Roman"/>
          <w:sz w:val="22"/>
          <w:lang w:val="sr-Cyrl-RS"/>
        </w:rPr>
        <w:t>, који је 2016. године измењен, између осталог, са циљем да се и реално</w:t>
      </w:r>
      <w:r w:rsidR="00B54BAB" w:rsidRPr="00EF2F18">
        <w:rPr>
          <w:rFonts w:cs="Times New Roman"/>
          <w:sz w:val="22"/>
          <w:lang w:val="sr-Cyrl-RS"/>
        </w:rPr>
        <w:t>,</w:t>
      </w:r>
      <w:r w:rsidRPr="00EF2F18">
        <w:rPr>
          <w:rFonts w:cs="Times New Roman"/>
          <w:sz w:val="22"/>
          <w:lang w:val="sr-Cyrl-RS"/>
        </w:rPr>
        <w:t xml:space="preserve"> у пракси</w:t>
      </w:r>
      <w:r w:rsidR="00B54BAB" w:rsidRPr="00EF2F18">
        <w:rPr>
          <w:rFonts w:cs="Times New Roman"/>
          <w:sz w:val="22"/>
          <w:lang w:val="sr-Cyrl-RS"/>
        </w:rPr>
        <w:t>,</w:t>
      </w:r>
      <w:r w:rsidRPr="00EF2F18">
        <w:rPr>
          <w:rFonts w:cs="Times New Roman"/>
          <w:sz w:val="22"/>
          <w:lang w:val="sr-Cyrl-RS"/>
        </w:rPr>
        <w:t xml:space="preserve"> подстакну прве регистрације </w:t>
      </w:r>
      <w:r w:rsidRPr="00EF2F18">
        <w:rPr>
          <w:rFonts w:cs="Times New Roman"/>
          <w:i/>
          <w:iCs/>
          <w:sz w:val="22"/>
          <w:lang w:val="sr-Cyrl-RS"/>
        </w:rPr>
        <w:t>EMAS</w:t>
      </w:r>
      <w:r w:rsidRPr="00EF2F18">
        <w:rPr>
          <w:rFonts w:cs="Times New Roman"/>
          <w:sz w:val="22"/>
          <w:lang w:val="sr-Cyrl-RS"/>
        </w:rPr>
        <w:t xml:space="preserve"> организација из Републике Србије.</w:t>
      </w:r>
      <w:r w:rsidR="00B55385" w:rsidRPr="00EF2F18">
        <w:rPr>
          <w:rFonts w:cs="Times New Roman"/>
          <w:sz w:val="22"/>
          <w:lang w:val="sr-Cyrl-RS"/>
        </w:rPr>
        <w:t xml:space="preserve"> Регистрација организација из Републике Србије у ЕУ </w:t>
      </w:r>
      <w:r w:rsidR="00B55385" w:rsidRPr="00EF2F18">
        <w:rPr>
          <w:rFonts w:cs="Times New Roman"/>
          <w:i/>
          <w:iCs/>
          <w:sz w:val="22"/>
          <w:lang w:val="sr-Cyrl-RS"/>
        </w:rPr>
        <w:t>EMAS</w:t>
      </w:r>
      <w:r w:rsidR="00B55385" w:rsidRPr="00EF2F18">
        <w:rPr>
          <w:rFonts w:cs="Times New Roman"/>
          <w:sz w:val="22"/>
          <w:lang w:val="sr-Cyrl-RS"/>
        </w:rPr>
        <w:t xml:space="preserve"> регистар је могућа (кроз посебне услове за </w:t>
      </w:r>
      <w:r w:rsidR="009807F7" w:rsidRPr="00EF2F18">
        <w:rPr>
          <w:rFonts w:cs="Times New Roman"/>
          <w:sz w:val="22"/>
          <w:lang w:val="sr-Cyrl-RS"/>
        </w:rPr>
        <w:t xml:space="preserve">Глобалну </w:t>
      </w:r>
      <w:r w:rsidR="00B55385" w:rsidRPr="00EF2F18">
        <w:rPr>
          <w:rFonts w:cs="Times New Roman"/>
          <w:i/>
          <w:iCs/>
          <w:sz w:val="22"/>
          <w:lang w:val="sr-Cyrl-RS"/>
        </w:rPr>
        <w:t>EMAS</w:t>
      </w:r>
      <w:r w:rsidR="00B55385" w:rsidRPr="00EF2F18">
        <w:rPr>
          <w:rFonts w:cs="Times New Roman"/>
          <w:sz w:val="22"/>
          <w:lang w:val="sr-Cyrl-RS"/>
        </w:rPr>
        <w:t xml:space="preserve"> регистрацију и регистрацију организација из трећих земаља). </w:t>
      </w:r>
      <w:r w:rsidR="00124CEC" w:rsidRPr="00EF2F18">
        <w:rPr>
          <w:rFonts w:cs="Times New Roman"/>
          <w:sz w:val="22"/>
          <w:lang w:val="sr-Cyrl-RS"/>
        </w:rPr>
        <w:t>Н</w:t>
      </w:r>
      <w:r w:rsidR="00B55385" w:rsidRPr="00EF2F18">
        <w:rPr>
          <w:rFonts w:cs="Times New Roman"/>
          <w:sz w:val="22"/>
          <w:lang w:val="sr-Cyrl-RS"/>
        </w:rPr>
        <w:t xml:space="preserve">ема компанија са успостављеним </w:t>
      </w:r>
      <w:r w:rsidR="00151393" w:rsidRPr="00EF2F18">
        <w:rPr>
          <w:rFonts w:cs="Times New Roman"/>
          <w:sz w:val="22"/>
          <w:lang w:val="sr-Cyrl-RS"/>
        </w:rPr>
        <w:t xml:space="preserve">и регистрованим </w:t>
      </w:r>
      <w:r w:rsidR="00151393" w:rsidRPr="00EF2F18">
        <w:rPr>
          <w:rFonts w:cs="Times New Roman"/>
          <w:i/>
          <w:iCs/>
          <w:sz w:val="22"/>
          <w:lang w:val="sr-Cyrl-RS"/>
        </w:rPr>
        <w:t>EMAS</w:t>
      </w:r>
      <w:r w:rsidR="00151393" w:rsidRPr="00EF2F18">
        <w:rPr>
          <w:rFonts w:cs="Times New Roman"/>
          <w:sz w:val="22"/>
          <w:lang w:val="sr-Cyrl-RS"/>
        </w:rPr>
        <w:t xml:space="preserve"> системом </w:t>
      </w:r>
      <w:r w:rsidR="009807F7" w:rsidRPr="00EF2F18">
        <w:rPr>
          <w:rFonts w:cs="Times New Roman"/>
          <w:sz w:val="22"/>
          <w:lang w:val="sr-Cyrl-RS"/>
        </w:rPr>
        <w:t>у Републици Србији</w:t>
      </w:r>
      <w:r w:rsidR="00B55385" w:rsidRPr="00EF2F18">
        <w:rPr>
          <w:rFonts w:cs="Times New Roman"/>
          <w:sz w:val="22"/>
          <w:lang w:val="sr-Cyrl-RS"/>
        </w:rPr>
        <w:t>.</w:t>
      </w:r>
    </w:p>
    <w:p w14:paraId="3CC97253" w14:textId="34D1D9E0" w:rsidR="00D3281C" w:rsidRPr="00EF2F18" w:rsidRDefault="00D3281C" w:rsidP="00D3281C">
      <w:pPr>
        <w:spacing w:after="0"/>
        <w:ind w:firstLine="720"/>
        <w:jc w:val="both"/>
        <w:rPr>
          <w:rFonts w:cs="Times New Roman"/>
          <w:sz w:val="22"/>
          <w:lang w:val="sr-Cyrl-RS"/>
        </w:rPr>
      </w:pPr>
      <w:r w:rsidRPr="00EF2F18">
        <w:rPr>
          <w:rFonts w:cs="Times New Roman"/>
          <w:sz w:val="22"/>
          <w:lang w:val="sr-Cyrl-RS"/>
        </w:rPr>
        <w:t xml:space="preserve">Да би се организације из Републике Србије регистровале у </w:t>
      </w:r>
      <w:r w:rsidRPr="00EF2F18">
        <w:rPr>
          <w:rFonts w:cs="Times New Roman"/>
          <w:i/>
          <w:iCs/>
          <w:sz w:val="22"/>
          <w:lang w:val="sr-Cyrl-RS"/>
        </w:rPr>
        <w:t>EMAS</w:t>
      </w:r>
      <w:r w:rsidRPr="00EF2F18">
        <w:rPr>
          <w:rFonts w:cs="Times New Roman"/>
          <w:sz w:val="22"/>
          <w:lang w:val="sr-Cyrl-RS"/>
        </w:rPr>
        <w:t xml:space="preserve"> систему ЕУ, потребно је да испуне читав сет захтева од којих се одређени број захтева односи и на испуњавање законских захтева из области животне средине у Републици Србији. Тај део у поступку </w:t>
      </w:r>
      <w:r w:rsidRPr="00EF2F18">
        <w:rPr>
          <w:rFonts w:cs="Times New Roman"/>
          <w:i/>
          <w:iCs/>
          <w:sz w:val="22"/>
          <w:lang w:val="sr-Cyrl-RS"/>
        </w:rPr>
        <w:t>EMAS</w:t>
      </w:r>
      <w:r w:rsidRPr="00EF2F18">
        <w:rPr>
          <w:rFonts w:cs="Times New Roman"/>
          <w:sz w:val="22"/>
          <w:lang w:val="sr-Cyrl-RS"/>
        </w:rPr>
        <w:t xml:space="preserve"> регистрације проверава независни, овлашћени </w:t>
      </w:r>
      <w:r w:rsidRPr="00EF2F18">
        <w:rPr>
          <w:rFonts w:cs="Times New Roman"/>
          <w:i/>
          <w:iCs/>
          <w:sz w:val="22"/>
          <w:lang w:val="sr-Cyrl-RS"/>
        </w:rPr>
        <w:t>EMAS</w:t>
      </w:r>
      <w:r w:rsidRPr="00EF2F18">
        <w:rPr>
          <w:rFonts w:cs="Times New Roman"/>
          <w:sz w:val="22"/>
          <w:lang w:val="sr-Cyrl-RS"/>
        </w:rPr>
        <w:t xml:space="preserve"> верификатор. Додатно је важно да постоји </w:t>
      </w:r>
      <w:r w:rsidRPr="00EF2F18">
        <w:rPr>
          <w:rFonts w:cs="Times New Roman"/>
          <w:sz w:val="22"/>
          <w:lang w:val="sr-Cyrl-RS"/>
        </w:rPr>
        <w:lastRenderedPageBreak/>
        <w:t xml:space="preserve">и неки вид комуникације надлежних органа за </w:t>
      </w:r>
      <w:r w:rsidRPr="00EF2F18">
        <w:rPr>
          <w:rFonts w:cs="Times New Roman"/>
          <w:i/>
          <w:iCs/>
          <w:sz w:val="22"/>
          <w:lang w:val="sr-Cyrl-RS"/>
        </w:rPr>
        <w:t>EMAS</w:t>
      </w:r>
      <w:r w:rsidRPr="00EF2F18">
        <w:rPr>
          <w:rFonts w:cs="Times New Roman"/>
          <w:sz w:val="22"/>
          <w:lang w:val="sr-Cyrl-RS"/>
        </w:rPr>
        <w:t xml:space="preserve"> из ЕУ, где се врши регистрација, са релевантним надлежним органом у Републици Србији (са министарством надлежним за послове животне средине) и неки вид потврде од стране надлежних органа из Републике Србије да конкретна организација нема евидентираних неусклађености са законским прописима из области животне средине. </w:t>
      </w:r>
      <w:r w:rsidR="005B0CCA" w:rsidRPr="00EF2F18">
        <w:rPr>
          <w:rFonts w:cs="Times New Roman"/>
          <w:sz w:val="22"/>
          <w:lang w:val="sr-Cyrl-RS"/>
        </w:rPr>
        <w:t xml:space="preserve">Правна лица, предузетници и организације, која имају успостављен систем управљања заштитом животне средине </w:t>
      </w:r>
      <w:r w:rsidR="00151393" w:rsidRPr="00EF2F18">
        <w:rPr>
          <w:rFonts w:cs="Times New Roman"/>
          <w:sz w:val="22"/>
          <w:lang w:val="sr-Cyrl-RS"/>
        </w:rPr>
        <w:t xml:space="preserve">(према стандарду ISO 14001) имају добре предуслове да покрену поступак припреме и укључивања у систем </w:t>
      </w:r>
      <w:r w:rsidR="009807F7" w:rsidRPr="00EF2F18">
        <w:rPr>
          <w:rFonts w:cs="Times New Roman"/>
          <w:i/>
          <w:iCs/>
          <w:sz w:val="22"/>
          <w:lang w:val="sr-Cyrl-RS"/>
        </w:rPr>
        <w:t>EMAS</w:t>
      </w:r>
      <w:r w:rsidR="005B0CCA" w:rsidRPr="00EF2F18">
        <w:rPr>
          <w:rFonts w:cs="Times New Roman"/>
          <w:sz w:val="22"/>
          <w:lang w:val="sr-Cyrl-RS"/>
        </w:rPr>
        <w:t>. Министарство води евиденцију издатих потврда.</w:t>
      </w:r>
    </w:p>
    <w:p w14:paraId="4EA38BB9" w14:textId="2984C9E8" w:rsidR="00D3281C" w:rsidRPr="00EF2F18" w:rsidRDefault="00D3281C" w:rsidP="00E02614">
      <w:pPr>
        <w:spacing w:after="0"/>
        <w:ind w:firstLine="720"/>
        <w:jc w:val="both"/>
        <w:rPr>
          <w:rFonts w:eastAsiaTheme="minorEastAsia" w:cs="Times New Roman"/>
          <w:color w:val="000000"/>
          <w:sz w:val="22"/>
          <w:lang w:val="sr-Cyrl-RS"/>
        </w:rPr>
      </w:pPr>
      <w:r w:rsidRPr="00EF2F18">
        <w:rPr>
          <w:rFonts w:cs="Times New Roman"/>
          <w:b/>
          <w:sz w:val="22"/>
          <w:lang w:val="sr-Cyrl-RS"/>
        </w:rPr>
        <w:t>Еко знак Републике Србије</w:t>
      </w:r>
      <w:r w:rsidRPr="00EF2F18">
        <w:rPr>
          <w:rFonts w:cs="Times New Roman"/>
          <w:sz w:val="22"/>
          <w:lang w:val="sr-Cyrl-RS"/>
        </w:rPr>
        <w:t xml:space="preserve"> (национални Еко знак Републике Србије: </w:t>
      </w:r>
      <w:r w:rsidRPr="00EF2F18">
        <w:rPr>
          <w:rFonts w:eastAsia="Calibri" w:cs="Times New Roman"/>
          <w:sz w:val="22"/>
          <w:lang w:val="sr-Cyrl-RS"/>
        </w:rPr>
        <w:t>,,</w:t>
      </w:r>
      <w:r w:rsidRPr="00EF2F18">
        <w:rPr>
          <w:rFonts w:cs="Times New Roman"/>
          <w:sz w:val="22"/>
          <w:lang w:val="sr-Cyrl-RS"/>
        </w:rPr>
        <w:t>Пријатељ животне средине</w:t>
      </w:r>
      <w:r w:rsidRPr="00EF2F18">
        <w:rPr>
          <w:rFonts w:eastAsia="Calibri" w:cs="Times New Roman"/>
          <w:sz w:val="22"/>
          <w:lang w:val="sr-Cyrl-RS"/>
        </w:rPr>
        <w:t>”</w:t>
      </w:r>
      <w:r w:rsidRPr="00EF2F18">
        <w:rPr>
          <w:rFonts w:cs="Times New Roman"/>
          <w:sz w:val="22"/>
          <w:lang w:val="sr-Cyrl-RS"/>
        </w:rPr>
        <w:t xml:space="preserve">) и ЕУ Еко знак припадају Програму означавања у вези са животном средином типа I (у складу са стандардом ISO 14024 и ISO 14050). </w:t>
      </w:r>
      <w:r w:rsidRPr="00EF2F18">
        <w:rPr>
          <w:rFonts w:eastAsiaTheme="minorEastAsia" w:cs="Times New Roman"/>
          <w:sz w:val="22"/>
          <w:lang w:val="sr-Cyrl-RS"/>
        </w:rPr>
        <w:t xml:space="preserve">Еко знаком се подстиче примена циркуларне економије јер је у фокусу еко знака смањење негативних утицаја на животну средину, продужавање века трајања производа кроз одговарајући еко-дизајн производа, једноставна поправка и одржавање, водећи рачуна и о смањивању или елиминисању одређених опасних материја које улазе у састав производа. </w:t>
      </w:r>
      <w:r w:rsidR="00124CEC" w:rsidRPr="00EF2F18">
        <w:rPr>
          <w:rFonts w:eastAsiaTheme="minorEastAsia" w:cs="Times New Roman"/>
          <w:color w:val="000000"/>
          <w:sz w:val="22"/>
          <w:lang w:val="sr-Cyrl-RS"/>
        </w:rPr>
        <w:t>У</w:t>
      </w:r>
      <w:r w:rsidRPr="00EF2F18">
        <w:rPr>
          <w:rFonts w:eastAsiaTheme="minorEastAsia" w:cs="Times New Roman"/>
          <w:color w:val="000000"/>
          <w:sz w:val="22"/>
          <w:lang w:val="sr-Cyrl-RS"/>
        </w:rPr>
        <w:t xml:space="preserve"> Републици Србији само две организације имају производе за које је додељен национални Еко знак.</w:t>
      </w:r>
      <w:r w:rsidR="00B9180A" w:rsidRPr="00EF2F18">
        <w:rPr>
          <w:rFonts w:eastAsiaTheme="minorEastAsia" w:cs="Times New Roman"/>
          <w:color w:val="000000"/>
          <w:sz w:val="22"/>
          <w:lang w:val="sr-Cyrl-RS"/>
        </w:rPr>
        <w:t xml:space="preserve"> </w:t>
      </w:r>
    </w:p>
    <w:p w14:paraId="57B4F6F9" w14:textId="77777777" w:rsidR="001F582B" w:rsidRPr="00EF2F18" w:rsidRDefault="001F582B" w:rsidP="00E02614">
      <w:pPr>
        <w:spacing w:after="0"/>
        <w:ind w:firstLine="720"/>
        <w:jc w:val="both"/>
        <w:rPr>
          <w:rFonts w:eastAsiaTheme="minorEastAsia" w:cs="Times New Roman"/>
          <w:color w:val="000000"/>
          <w:sz w:val="22"/>
          <w:lang w:val="sr-Cyrl-RS"/>
        </w:rPr>
      </w:pPr>
    </w:p>
    <w:p w14:paraId="4F4EC29B" w14:textId="519BC797" w:rsidR="003D0B29" w:rsidRPr="00EF2F18" w:rsidRDefault="001F582B" w:rsidP="00606081">
      <w:pPr>
        <w:spacing w:after="0"/>
        <w:jc w:val="center"/>
        <w:rPr>
          <w:rFonts w:cs="Times New Roman"/>
          <w:sz w:val="22"/>
          <w:lang w:val="sr-Cyrl-RS"/>
        </w:rPr>
      </w:pPr>
      <w:r w:rsidRPr="00EF2F18">
        <w:rPr>
          <w:noProof/>
          <w:lang w:val="sr-Cyrl-RS" w:eastAsia="sr-Cyrl-RS"/>
        </w:rPr>
        <w:drawing>
          <wp:inline distT="0" distB="0" distL="0" distR="0" wp14:anchorId="1A3AE9D3" wp14:editId="39D8A8D3">
            <wp:extent cx="4162425" cy="1243506"/>
            <wp:effectExtent l="0" t="0" r="0" b="0"/>
            <wp:docPr id="487512916" name="Picture 25" descr="A graph with numbers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12916" name="Picture 25" descr="A graph with numbers and green ba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3329" cy="1246763"/>
                    </a:xfrm>
                    <a:prstGeom prst="rect">
                      <a:avLst/>
                    </a:prstGeom>
                    <a:noFill/>
                    <a:ln>
                      <a:noFill/>
                    </a:ln>
                  </pic:spPr>
                </pic:pic>
              </a:graphicData>
            </a:graphic>
          </wp:inline>
        </w:drawing>
      </w:r>
    </w:p>
    <w:p w14:paraId="34595023" w14:textId="7D2DB5D6" w:rsidR="00E02614" w:rsidRPr="00EF2F18" w:rsidRDefault="00E02614" w:rsidP="00E02614">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2F1BE7" w:rsidRPr="00EF2F18">
        <w:rPr>
          <w:rFonts w:cs="Times New Roman"/>
          <w:b/>
          <w:bCs/>
          <w:sz w:val="22"/>
          <w:lang w:val="sr-Cyrl-RS"/>
        </w:rPr>
        <w:t>1</w:t>
      </w:r>
      <w:r w:rsidR="007C33E8" w:rsidRPr="00EF2F18">
        <w:rPr>
          <w:rFonts w:cs="Times New Roman"/>
          <w:b/>
          <w:bCs/>
          <w:sz w:val="22"/>
          <w:lang w:val="sr-Cyrl-RS"/>
        </w:rPr>
        <w:t>1</w:t>
      </w:r>
      <w:r w:rsidR="00F36CC7" w:rsidRPr="00EF2F18">
        <w:rPr>
          <w:rFonts w:cs="Times New Roman"/>
          <w:b/>
          <w:bCs/>
          <w:sz w:val="22"/>
          <w:lang w:val="sr-Cyrl-RS"/>
        </w:rPr>
        <w:t>.</w:t>
      </w:r>
      <w:r w:rsidRPr="00EF2F18">
        <w:rPr>
          <w:rFonts w:cs="Times New Roman"/>
          <w:sz w:val="22"/>
          <w:lang w:val="sr-Cyrl-RS"/>
        </w:rPr>
        <w:t xml:space="preserve"> Развој броја Еко знак сертификованих компанија у Републици Србији</w:t>
      </w:r>
    </w:p>
    <w:p w14:paraId="5F07B6E1" w14:textId="6044CF6F" w:rsidR="00E02614" w:rsidRPr="00EF2F18" w:rsidRDefault="00A634C6" w:rsidP="00E02614">
      <w:pPr>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1F582B" w:rsidRPr="00EF2F18">
        <w:rPr>
          <w:rFonts w:cs="Times New Roman"/>
          <w:i/>
          <w:sz w:val="22"/>
          <w:lang w:val="sr-Cyrl-RS"/>
        </w:rPr>
        <w:t>2024</w:t>
      </w:r>
      <w:r w:rsidRPr="00EF2F18">
        <w:rPr>
          <w:rFonts w:cs="Times New Roman"/>
          <w:i/>
          <w:sz w:val="22"/>
          <w:lang w:val="sr-Cyrl-RS"/>
        </w:rPr>
        <w:t>.</w:t>
      </w:r>
    </w:p>
    <w:p w14:paraId="45FFC1B6" w14:textId="77777777" w:rsidR="00E02614" w:rsidRPr="00EF2F18" w:rsidRDefault="00E02614" w:rsidP="00E02614">
      <w:pPr>
        <w:spacing w:after="0"/>
        <w:jc w:val="both"/>
        <w:rPr>
          <w:rFonts w:eastAsiaTheme="minorEastAsia" w:cs="Times New Roman"/>
          <w:color w:val="000000"/>
          <w:sz w:val="22"/>
          <w:lang w:val="sr-Cyrl-RS"/>
        </w:rPr>
      </w:pPr>
    </w:p>
    <w:p w14:paraId="5E49FF81" w14:textId="0A1E560B" w:rsidR="00D3281C" w:rsidRPr="00EF2F18" w:rsidRDefault="00D3281C" w:rsidP="00B55385">
      <w:pPr>
        <w:spacing w:after="0"/>
        <w:ind w:firstLine="720"/>
        <w:jc w:val="both"/>
        <w:rPr>
          <w:rFonts w:cs="Times New Roman"/>
          <w:b/>
          <w:sz w:val="22"/>
          <w:lang w:val="sr-Cyrl-RS"/>
        </w:rPr>
      </w:pPr>
      <w:r w:rsidRPr="00EF2F18">
        <w:rPr>
          <w:rFonts w:cs="Times New Roman"/>
          <w:sz w:val="22"/>
          <w:lang w:val="sr-Cyrl-RS"/>
        </w:rPr>
        <w:t xml:space="preserve">Додељивање ЕУ Еко знака у складу са одговарајућом Уредбом ЕУ о Еко знаку, за производе који су произведени у Републици Србији није могуће у оквиру Републике Србије. Тако нешто биће могуће у тренутку када Република Србија постане чланица ЕУ. </w:t>
      </w:r>
    </w:p>
    <w:p w14:paraId="57DBEFE6" w14:textId="74770E1D" w:rsidR="00D3281C" w:rsidRPr="00EF2F18" w:rsidRDefault="00D3281C" w:rsidP="00D3281C">
      <w:pPr>
        <w:spacing w:after="0"/>
        <w:ind w:firstLine="720"/>
        <w:jc w:val="both"/>
        <w:rPr>
          <w:rFonts w:cs="Times New Roman"/>
          <w:sz w:val="22"/>
          <w:lang w:val="sr-Cyrl-RS"/>
        </w:rPr>
      </w:pPr>
      <w:r w:rsidRPr="00EF2F18">
        <w:rPr>
          <w:rFonts w:cs="Times New Roman"/>
          <w:sz w:val="22"/>
          <w:lang w:val="sr-Cyrl-RS"/>
        </w:rPr>
        <w:t xml:space="preserve">Детаљи у вези </w:t>
      </w:r>
      <w:r w:rsidR="00B54BAB" w:rsidRPr="00EF2F18">
        <w:rPr>
          <w:rFonts w:cs="Times New Roman"/>
          <w:sz w:val="22"/>
          <w:lang w:val="sr-Cyrl-RS"/>
        </w:rPr>
        <w:t xml:space="preserve">са </w:t>
      </w:r>
      <w:r w:rsidRPr="00EF2F18">
        <w:rPr>
          <w:rFonts w:cs="Times New Roman"/>
          <w:sz w:val="22"/>
          <w:lang w:val="sr-Cyrl-RS"/>
        </w:rPr>
        <w:t>поступк</w:t>
      </w:r>
      <w:r w:rsidR="00B54BAB" w:rsidRPr="00EF2F18">
        <w:rPr>
          <w:rFonts w:cs="Times New Roman"/>
          <w:sz w:val="22"/>
          <w:lang w:val="sr-Cyrl-RS"/>
        </w:rPr>
        <w:t>ом</w:t>
      </w:r>
      <w:r w:rsidRPr="00EF2F18">
        <w:rPr>
          <w:rFonts w:cs="Times New Roman"/>
          <w:sz w:val="22"/>
          <w:lang w:val="sr-Cyrl-RS"/>
        </w:rPr>
        <w:t xml:space="preserve"> и услов</w:t>
      </w:r>
      <w:r w:rsidR="00B54BAB" w:rsidRPr="00EF2F18">
        <w:rPr>
          <w:rFonts w:cs="Times New Roman"/>
          <w:sz w:val="22"/>
          <w:lang w:val="sr-Cyrl-RS"/>
        </w:rPr>
        <w:t>им</w:t>
      </w:r>
      <w:r w:rsidRPr="00EF2F18">
        <w:rPr>
          <w:rFonts w:cs="Times New Roman"/>
          <w:sz w:val="22"/>
          <w:lang w:val="sr-Cyrl-RS"/>
        </w:rPr>
        <w:t>а додељивања националног Еко знака дефинисани су Законом о заштити животне средине и посебним Правилником о ближим условима, критеријумима и поступку за добијање права на коришћење еколошког знака, елементима, изгледу и начину употребе еколошког знака за производе и услуге</w:t>
      </w:r>
      <w:r w:rsidRPr="00EF2F18">
        <w:rPr>
          <w:rFonts w:cs="Times New Roman"/>
          <w:i/>
          <w:sz w:val="22"/>
          <w:lang w:val="sr-Cyrl-RS"/>
        </w:rPr>
        <w:t xml:space="preserve"> </w:t>
      </w:r>
      <w:r w:rsidRPr="00EF2F18">
        <w:rPr>
          <w:rFonts w:eastAsia="Times New Roman" w:cs="Times New Roman"/>
          <w:sz w:val="22"/>
          <w:lang w:val="sr-Cyrl-RS"/>
        </w:rPr>
        <w:t xml:space="preserve">(,,Службени гласник РС”, број 49/16). </w:t>
      </w:r>
      <w:r w:rsidRPr="00EF2F18">
        <w:rPr>
          <w:rFonts w:cs="Times New Roman"/>
          <w:sz w:val="22"/>
          <w:lang w:val="sr-Cyrl-RS"/>
        </w:rPr>
        <w:t xml:space="preserve">Правилник садржи и конкретне критеријуме за Еко знак за 26 различитих група производа. Критеријуми су израђени по угледу на одговарајуће критеријуме за ЕУ Еко знак који су важили у тренутку израде наведеног правилника. Стратешки правац развоја националног Еко знака Републике Србије сагледава се кроз одлуку да групе производа и услуга за које се може доделити национални Еко знак, као и критеријуми по појединачним групама, буду истоветни као групе производа и критеријуми за доделу европског Еко знака – ,,Цвета” ЕУ. </w:t>
      </w:r>
      <w:r w:rsidR="00B54BAB" w:rsidRPr="00EF2F18">
        <w:rPr>
          <w:rFonts w:cs="Times New Roman"/>
          <w:sz w:val="22"/>
          <w:lang w:val="sr-Cyrl-RS"/>
        </w:rPr>
        <w:t xml:space="preserve">Због измена које су се у међувремену догодиле у критеријумима за Еко знак ЕУ, постоје одређена неслагања у критеријумима националног Еко знака и ЕУ Еко знака. </w:t>
      </w:r>
      <w:r w:rsidR="00124CEC" w:rsidRPr="00EF2F18">
        <w:rPr>
          <w:rFonts w:cs="Times New Roman"/>
          <w:sz w:val="22"/>
          <w:lang w:val="sr-Cyrl-RS"/>
        </w:rPr>
        <w:t>П</w:t>
      </w:r>
      <w:r w:rsidR="00B54BAB" w:rsidRPr="00EF2F18">
        <w:rPr>
          <w:rFonts w:cs="Times New Roman"/>
          <w:sz w:val="22"/>
          <w:lang w:val="sr-Cyrl-RS"/>
        </w:rPr>
        <w:t xml:space="preserve">отребно </w:t>
      </w:r>
      <w:r w:rsidR="00124CEC" w:rsidRPr="00EF2F18">
        <w:rPr>
          <w:rFonts w:cs="Times New Roman"/>
          <w:sz w:val="22"/>
          <w:lang w:val="sr-Cyrl-RS"/>
        </w:rPr>
        <w:t xml:space="preserve">је </w:t>
      </w:r>
      <w:r w:rsidR="00B54BAB" w:rsidRPr="00EF2F18">
        <w:rPr>
          <w:rFonts w:cs="Times New Roman"/>
          <w:sz w:val="22"/>
          <w:lang w:val="sr-Cyrl-RS"/>
        </w:rPr>
        <w:t>урадити ревизију важећег Правилника узимајући у обзир додатне групе производа и услуга, као и приоритете који ће бити дефинисани за зелене јавне набавке и заступљеност одговарајућих производа/услуга на тржишту Републике Србије</w:t>
      </w:r>
      <w:r w:rsidRPr="00EF2F18">
        <w:rPr>
          <w:rFonts w:cs="Times New Roman"/>
          <w:sz w:val="22"/>
          <w:lang w:val="sr-Cyrl-RS"/>
        </w:rPr>
        <w:t xml:space="preserve">. </w:t>
      </w:r>
    </w:p>
    <w:p w14:paraId="28AAEBF4" w14:textId="02C6B8DF" w:rsidR="00E932E4" w:rsidRPr="00EF2F18" w:rsidRDefault="00E932E4" w:rsidP="00D3281C">
      <w:pPr>
        <w:spacing w:after="0"/>
        <w:ind w:firstLine="720"/>
        <w:jc w:val="both"/>
        <w:rPr>
          <w:sz w:val="22"/>
          <w:lang w:val="sr-Cyrl-RS"/>
        </w:rPr>
      </w:pPr>
      <w:bookmarkStart w:id="37" w:name="_Hlk179815926"/>
      <w:r w:rsidRPr="00EF2F18">
        <w:rPr>
          <w:sz w:val="22"/>
          <w:lang w:val="sr-Cyrl-RS"/>
        </w:rPr>
        <w:t xml:space="preserve">Потребно је поменути и </w:t>
      </w:r>
      <w:r w:rsidRPr="00EF2F18">
        <w:rPr>
          <w:b/>
          <w:bCs/>
          <w:i/>
          <w:iCs/>
          <w:sz w:val="22"/>
          <w:lang w:val="sr-Cyrl-RS"/>
        </w:rPr>
        <w:t>ESG</w:t>
      </w:r>
      <w:r w:rsidRPr="00EF2F18">
        <w:rPr>
          <w:b/>
          <w:bCs/>
          <w:sz w:val="22"/>
          <w:lang w:val="sr-Cyrl-RS"/>
        </w:rPr>
        <w:t xml:space="preserve"> стандарде</w:t>
      </w:r>
      <w:r w:rsidRPr="00EF2F18">
        <w:rPr>
          <w:sz w:val="22"/>
          <w:lang w:val="sr-Cyrl-RS"/>
        </w:rPr>
        <w:t xml:space="preserve"> који усмеравају корпоративне политике како би биле у складу са концептима одрживог развоја у областима животне средине, друштвене одговорности и корпоративног управљања. Овај начин извештавања почеле су да користе и многе компаније у Србији, које које желе да на овај начин покажу да су друштвено одговорне компаније. Да би се испунили климатски и енергетски циљеви Зелене агенде, потребно је усмерити инвестиције ка одрживим пројектима и активностима. У том смислу је важно поменути и систем класификације за одрживе економске активности, или ЕУ таксономију. Један од циљева ЕУ таксономије је подршка транзицији на циркуларну економију и промовисање употребе секундарних сировина, продужавање животног века производа и материјала и </w:t>
      </w:r>
      <w:r w:rsidRPr="00EF2F18">
        <w:rPr>
          <w:sz w:val="22"/>
          <w:lang w:val="sr-Cyrl-RS"/>
        </w:rPr>
        <w:lastRenderedPageBreak/>
        <w:t>имплементацију затворене материјалне петље како би се спречило стварање отпада. Овај оквир има за циљ да помогне компанијама, инвеститорима и другим заинтересованим странама да разумеју и саопште еколошки учинак својих средстава, производа, услуга и инвестиција, као и да олакша компанијама да идентификују могу</w:t>
      </w:r>
      <w:r w:rsidR="00E729B4" w:rsidRPr="00EF2F18">
        <w:rPr>
          <w:sz w:val="22"/>
          <w:lang w:val="sr-Cyrl-RS"/>
        </w:rPr>
        <w:t>ћ</w:t>
      </w:r>
      <w:r w:rsidRPr="00EF2F18">
        <w:rPr>
          <w:sz w:val="22"/>
          <w:lang w:val="sr-Cyrl-RS"/>
        </w:rPr>
        <w:t>ности за побољшање свог еколошког учинка и приступ новим тржиштима и инвеститорима заинтересованим за одржива и одговорна улагања</w:t>
      </w:r>
      <w:bookmarkEnd w:id="37"/>
      <w:r w:rsidRPr="00EF2F18">
        <w:rPr>
          <w:sz w:val="22"/>
          <w:lang w:val="sr-Cyrl-RS"/>
        </w:rPr>
        <w:t>.</w:t>
      </w:r>
    </w:p>
    <w:p w14:paraId="0D1DFFA9" w14:textId="77777777" w:rsidR="00FA2EA4" w:rsidRPr="00EF2F18" w:rsidRDefault="00FA2EA4" w:rsidP="00FA2EA4">
      <w:pPr>
        <w:spacing w:after="0"/>
        <w:jc w:val="both"/>
        <w:rPr>
          <w:rFonts w:cs="Times New Roman"/>
          <w:sz w:val="22"/>
          <w:lang w:val="sr-Cyrl-RS"/>
        </w:rPr>
      </w:pPr>
    </w:p>
    <w:p w14:paraId="6590E39F" w14:textId="3DE00F88" w:rsidR="00FA2EA4" w:rsidRPr="00EF2F18" w:rsidRDefault="00FA2EA4" w:rsidP="00F106C9">
      <w:pPr>
        <w:spacing w:after="0"/>
        <w:ind w:firstLine="720"/>
        <w:jc w:val="both"/>
        <w:rPr>
          <w:rFonts w:cs="Times New Roman"/>
          <w:b/>
          <w:bCs/>
          <w:i/>
          <w:iCs/>
          <w:sz w:val="22"/>
          <w:lang w:val="sr-Cyrl-RS"/>
        </w:rPr>
      </w:pPr>
      <w:r w:rsidRPr="00EF2F18">
        <w:rPr>
          <w:rFonts w:cs="Times New Roman"/>
          <w:b/>
          <w:bCs/>
          <w:i/>
          <w:iCs/>
          <w:sz w:val="22"/>
          <w:lang w:val="sr-Cyrl-RS"/>
        </w:rPr>
        <w:t>Зелене јавне набавке</w:t>
      </w:r>
    </w:p>
    <w:p w14:paraId="0D52D7FB" w14:textId="77777777" w:rsidR="00FA2EA4" w:rsidRPr="00EF2F18" w:rsidRDefault="00FA2EA4" w:rsidP="00FA2EA4">
      <w:pPr>
        <w:spacing w:after="0"/>
        <w:ind w:firstLine="720"/>
        <w:jc w:val="both"/>
        <w:rPr>
          <w:rFonts w:eastAsia="Times New Roman" w:cs="Times New Roman"/>
          <w:sz w:val="22"/>
          <w:shd w:val="clear" w:color="auto" w:fill="FFFFFF"/>
          <w:lang w:val="sr-Cyrl-RS"/>
        </w:rPr>
      </w:pPr>
      <w:r w:rsidRPr="00EF2F18">
        <w:rPr>
          <w:rFonts w:eastAsia="Times New Roman" w:cs="Times New Roman"/>
          <w:sz w:val="22"/>
          <w:shd w:val="clear" w:color="auto" w:fill="FFFFFF"/>
          <w:lang w:val="sr-Cyrl-RS"/>
        </w:rPr>
        <w:t xml:space="preserve">Зелене јавне набавке имају своју значајну улогу у постизању циљева одрживог развоја који су дефинисани у оквиру Агенде за одрживи развој 2030, посебно циља 12 – Одговорна потрошња и производња. Зелене јавне набавке су препознате као једна од приоритетних области и у стратешким документима ЕУ за циркуларну економију. У оквиру ЕУ Зеленог договора, указује се на план Европске комисије да у наредном периоду предложи минимум обавезних критеријума за зелене јавне набавке и циљеве у секторском законодавству, као и постепено обавезно извештавање у вези са зеленим јавним набавкама. </w:t>
      </w:r>
    </w:p>
    <w:p w14:paraId="595B17FA" w14:textId="6F2B68DD" w:rsidR="00A03D65" w:rsidRPr="00EF2F18" w:rsidRDefault="00A03D65" w:rsidP="00A03D65">
      <w:pPr>
        <w:spacing w:after="0"/>
        <w:ind w:firstLine="720"/>
        <w:jc w:val="both"/>
        <w:rPr>
          <w:rFonts w:cs="Times New Roman"/>
          <w:sz w:val="22"/>
          <w:lang w:val="sr-Cyrl-RS"/>
        </w:rPr>
      </w:pPr>
      <w:r w:rsidRPr="00EF2F18">
        <w:rPr>
          <w:rFonts w:cs="Times New Roman"/>
          <w:sz w:val="22"/>
          <w:lang w:val="sr-Cyrl-RS"/>
        </w:rPr>
        <w:t>У претходном периоду је реализовано више активности из области зелених јавних набавки. Објављене су Смернице за зелене јавне набавке (2019</w:t>
      </w:r>
      <w:r w:rsidR="00673307" w:rsidRPr="00EF2F18">
        <w:rPr>
          <w:rFonts w:cs="Times New Roman"/>
          <w:sz w:val="22"/>
          <w:lang w:val="sr-Cyrl-RS"/>
        </w:rPr>
        <w:t>.</w:t>
      </w:r>
      <w:r w:rsidRPr="00EF2F18">
        <w:rPr>
          <w:rFonts w:cs="Times New Roman"/>
          <w:sz w:val="22"/>
          <w:lang w:val="sr-Cyrl-RS"/>
        </w:rPr>
        <w:t>), Смернице за обрачун трошкова животног циклуса (2019</w:t>
      </w:r>
      <w:r w:rsidR="00673307" w:rsidRPr="00EF2F18">
        <w:rPr>
          <w:rFonts w:cs="Times New Roman"/>
          <w:sz w:val="22"/>
          <w:lang w:val="sr-Cyrl-RS"/>
        </w:rPr>
        <w:t>.</w:t>
      </w:r>
      <w:r w:rsidRPr="00EF2F18">
        <w:rPr>
          <w:rFonts w:cs="Times New Roman"/>
          <w:sz w:val="22"/>
          <w:lang w:val="sr-Cyrl-RS"/>
        </w:rPr>
        <w:t>)</w:t>
      </w:r>
      <w:r w:rsidRPr="00EF2F18">
        <w:rPr>
          <w:rFonts w:cs="Times New Roman"/>
          <w:sz w:val="22"/>
          <w:vertAlign w:val="superscript"/>
          <w:lang w:val="sr-Cyrl-RS"/>
        </w:rPr>
        <w:footnoteReference w:id="6"/>
      </w:r>
      <w:r w:rsidRPr="00EF2F18">
        <w:rPr>
          <w:rFonts w:cs="Times New Roman"/>
          <w:sz w:val="22"/>
          <w:lang w:val="sr-Cyrl-RS"/>
        </w:rPr>
        <w:t xml:space="preserve">, Смернице за партнерство за иновације </w:t>
      </w:r>
      <w:r w:rsidR="00122A66" w:rsidRPr="00EF2F18">
        <w:rPr>
          <w:rFonts w:cs="Times New Roman"/>
          <w:sz w:val="22"/>
          <w:lang w:val="sr-Cyrl-RS"/>
        </w:rPr>
        <w:t>(</w:t>
      </w:r>
      <w:r w:rsidRPr="00EF2F18">
        <w:rPr>
          <w:rFonts w:cs="Times New Roman"/>
          <w:sz w:val="22"/>
          <w:lang w:val="sr-Cyrl-RS"/>
        </w:rPr>
        <w:t>2021.</w:t>
      </w:r>
      <w:r w:rsidR="00122A66" w:rsidRPr="00EF2F18">
        <w:rPr>
          <w:rFonts w:cs="Times New Roman"/>
          <w:sz w:val="22"/>
          <w:lang w:val="sr-Cyrl-RS"/>
        </w:rPr>
        <w:t>)</w:t>
      </w:r>
      <w:r w:rsidR="00A93690" w:rsidRPr="00EF2F18">
        <w:rPr>
          <w:rFonts w:cs="Times New Roman"/>
          <w:sz w:val="22"/>
          <w:lang w:val="sr-Cyrl-RS"/>
        </w:rPr>
        <w:t xml:space="preserve"> и Приручник за јавне набавке намењен наручиоцима у јединицама локалне самоуправе</w:t>
      </w:r>
      <w:r w:rsidR="00122A66" w:rsidRPr="00EF2F18">
        <w:rPr>
          <w:rFonts w:cs="Times New Roman"/>
          <w:sz w:val="22"/>
          <w:lang w:val="sr-Cyrl-RS"/>
        </w:rPr>
        <w:t xml:space="preserve"> (</w:t>
      </w:r>
      <w:r w:rsidR="00A93690" w:rsidRPr="00EF2F18">
        <w:rPr>
          <w:rFonts w:cs="Times New Roman"/>
          <w:sz w:val="22"/>
          <w:lang w:val="sr-Cyrl-RS"/>
        </w:rPr>
        <w:t>2023</w:t>
      </w:r>
      <w:r w:rsidR="00122A66" w:rsidRPr="00EF2F18">
        <w:rPr>
          <w:rFonts w:cs="Times New Roman"/>
          <w:sz w:val="22"/>
          <w:lang w:val="sr-Cyrl-RS"/>
        </w:rPr>
        <w:t>.)</w:t>
      </w:r>
      <w:r w:rsidR="007936CE" w:rsidRPr="00EF2F18">
        <w:rPr>
          <w:rFonts w:cs="Times New Roman"/>
          <w:sz w:val="22"/>
          <w:lang w:val="sr-Cyrl-RS"/>
        </w:rPr>
        <w:t>,</w:t>
      </w:r>
      <w:r w:rsidR="00A93690" w:rsidRPr="00EF2F18">
        <w:rPr>
          <w:rFonts w:cs="Times New Roman"/>
          <w:sz w:val="22"/>
          <w:lang w:val="sr-Cyrl-RS"/>
        </w:rPr>
        <w:t xml:space="preserve"> који садржи поглавље о зеленим јавним набавкама</w:t>
      </w:r>
      <w:r w:rsidRPr="00EF2F18">
        <w:rPr>
          <w:rFonts w:cs="Times New Roman"/>
          <w:sz w:val="22"/>
          <w:lang w:val="sr-Cyrl-RS"/>
        </w:rPr>
        <w:t xml:space="preserve">. </w:t>
      </w:r>
    </w:p>
    <w:p w14:paraId="34A88F67" w14:textId="18E5261D" w:rsidR="000A6224" w:rsidRPr="00EF2F18" w:rsidRDefault="00FA2EA4" w:rsidP="000A6224">
      <w:pPr>
        <w:spacing w:after="0"/>
        <w:ind w:firstLine="720"/>
        <w:jc w:val="both"/>
        <w:rPr>
          <w:rFonts w:cs="Times New Roman"/>
          <w:sz w:val="22"/>
          <w:lang w:val="sr-Cyrl-RS"/>
        </w:rPr>
      </w:pPr>
      <w:r w:rsidRPr="00EF2F18">
        <w:rPr>
          <w:rFonts w:cs="Times New Roman"/>
          <w:sz w:val="22"/>
          <w:lang w:val="sr-Cyrl-RS"/>
        </w:rPr>
        <w:t>У периоду од 2019-2021.</w:t>
      </w:r>
      <w:r w:rsidR="003A2709" w:rsidRPr="00EF2F18">
        <w:rPr>
          <w:rFonts w:cs="Times New Roman"/>
          <w:sz w:val="22"/>
          <w:lang w:val="sr-Cyrl-RS"/>
        </w:rPr>
        <w:t xml:space="preserve"> године</w:t>
      </w:r>
      <w:r w:rsidRPr="00EF2F18">
        <w:rPr>
          <w:rFonts w:cs="Times New Roman"/>
          <w:sz w:val="22"/>
          <w:lang w:val="sr-Cyrl-RS"/>
        </w:rPr>
        <w:t xml:space="preserve"> израђени су одговарајући водичи за примену критеријума за зелене јавне набавке за неколико група добара, услуга и радова</w:t>
      </w:r>
      <w:r w:rsidR="00A03D65" w:rsidRPr="00EF2F18">
        <w:rPr>
          <w:rFonts w:cs="Times New Roman"/>
          <w:sz w:val="22"/>
          <w:lang w:val="sr-Cyrl-RS"/>
        </w:rPr>
        <w:t>, а</w:t>
      </w:r>
      <w:r w:rsidRPr="00EF2F18">
        <w:rPr>
          <w:rFonts w:cs="Times New Roman"/>
          <w:sz w:val="22"/>
          <w:lang w:val="sr-Cyrl-RS"/>
        </w:rPr>
        <w:t xml:space="preserve"> израђен је </w:t>
      </w:r>
      <w:r w:rsidR="00A03D65" w:rsidRPr="00EF2F18">
        <w:rPr>
          <w:rFonts w:cs="Times New Roman"/>
          <w:sz w:val="22"/>
          <w:lang w:val="sr-Cyrl-RS"/>
        </w:rPr>
        <w:t xml:space="preserve">и </w:t>
      </w:r>
      <w:r w:rsidRPr="00EF2F18">
        <w:rPr>
          <w:rFonts w:cs="Times New Roman"/>
          <w:sz w:val="22"/>
          <w:lang w:val="sr-Cyrl-RS"/>
        </w:rPr>
        <w:t>Извештај о зеленим јавним набавкама у</w:t>
      </w:r>
      <w:r w:rsidR="005B0CCA" w:rsidRPr="00EF2F18">
        <w:rPr>
          <w:rFonts w:cs="Times New Roman"/>
          <w:sz w:val="22"/>
          <w:lang w:val="sr-Cyrl-RS"/>
        </w:rPr>
        <w:t xml:space="preserve"> Републици Србији за период 1.</w:t>
      </w:r>
      <w:r w:rsidR="00B57CFF" w:rsidRPr="00EF2F18">
        <w:rPr>
          <w:rFonts w:cs="Times New Roman"/>
          <w:sz w:val="22"/>
          <w:lang w:val="sr-Cyrl-RS"/>
        </w:rPr>
        <w:t xml:space="preserve"> јануар </w:t>
      </w:r>
      <w:r w:rsidR="005B0CCA" w:rsidRPr="00EF2F18">
        <w:rPr>
          <w:rFonts w:cs="Times New Roman"/>
          <w:sz w:val="22"/>
          <w:lang w:val="sr-Cyrl-RS"/>
        </w:rPr>
        <w:t>2019 – 30.</w:t>
      </w:r>
      <w:r w:rsidR="00B57CFF" w:rsidRPr="00EF2F18">
        <w:rPr>
          <w:rFonts w:cs="Times New Roman"/>
          <w:sz w:val="22"/>
          <w:lang w:val="sr-Cyrl-RS"/>
        </w:rPr>
        <w:t xml:space="preserve"> јун </w:t>
      </w:r>
      <w:r w:rsidR="005B0CCA" w:rsidRPr="00EF2F18">
        <w:rPr>
          <w:rFonts w:cs="Times New Roman"/>
          <w:sz w:val="22"/>
          <w:lang w:val="sr-Cyrl-RS"/>
        </w:rPr>
        <w:t>2019. године</w:t>
      </w:r>
      <w:r w:rsidRPr="00EF2F18">
        <w:rPr>
          <w:rFonts w:cs="Times New Roman"/>
          <w:sz w:val="22"/>
          <w:lang w:val="sr-Cyrl-RS"/>
        </w:rPr>
        <w:t xml:space="preserve">. </w:t>
      </w:r>
      <w:r w:rsidR="00B57CFF" w:rsidRPr="00EF2F18">
        <w:rPr>
          <w:rFonts w:cs="Times New Roman"/>
          <w:bCs/>
          <w:color w:val="000000"/>
          <w:spacing w:val="-1"/>
          <w:sz w:val="22"/>
          <w:szCs w:val="23"/>
          <w:lang w:val="sr-Cyrl-RS"/>
        </w:rPr>
        <w:t>Канцеларија за јавне набавке</w:t>
      </w:r>
      <w:r w:rsidR="00DD53CA" w:rsidRPr="00EF2F18">
        <w:rPr>
          <w:rFonts w:cs="Times New Roman"/>
          <w:sz w:val="22"/>
          <w:lang w:val="sr-Cyrl-RS"/>
        </w:rPr>
        <w:t xml:space="preserve"> је израдила моделе конкурсних документа</w:t>
      </w:r>
      <w:r w:rsidR="007300F5">
        <w:rPr>
          <w:rFonts w:cs="Times New Roman"/>
          <w:sz w:val="22"/>
          <w:lang w:val="sr-Cyrl-RS"/>
        </w:rPr>
        <w:t>ци</w:t>
      </w:r>
      <w:r w:rsidR="00DD53CA" w:rsidRPr="00EF2F18">
        <w:rPr>
          <w:rFonts w:cs="Times New Roman"/>
          <w:sz w:val="22"/>
          <w:lang w:val="sr-Cyrl-RS"/>
        </w:rPr>
        <w:t xml:space="preserve">ја </w:t>
      </w:r>
      <w:hyperlink r:id="rId27" w:history="1">
        <w:r w:rsidR="00DD53CA" w:rsidRPr="00EF2F18">
          <w:rPr>
            <w:rStyle w:val="Hyperlink"/>
            <w:rFonts w:cs="Times New Roman"/>
            <w:sz w:val="22"/>
            <w:lang w:val="sr-Cyrl-RS"/>
          </w:rPr>
          <w:t>https://www.ujn.gov.rs/?page_id=1195</w:t>
        </w:r>
      </w:hyperlink>
      <w:r w:rsidR="00DD53CA" w:rsidRPr="00EF2F18">
        <w:rPr>
          <w:rFonts w:cs="Times New Roman"/>
          <w:sz w:val="22"/>
          <w:lang w:val="sr-Cyrl-RS"/>
        </w:rPr>
        <w:t xml:space="preserve">. </w:t>
      </w:r>
      <w:r w:rsidRPr="00EF2F18">
        <w:rPr>
          <w:rFonts w:cs="Times New Roman"/>
          <w:sz w:val="22"/>
          <w:lang w:val="sr-Cyrl-RS"/>
        </w:rPr>
        <w:t xml:space="preserve">Од 2020. године постоји техничка могућност евидентирања података о зеленим јавним набавкама кроз Портал за јавне набавке. </w:t>
      </w:r>
      <w:r w:rsidR="000A6224" w:rsidRPr="00EF2F18">
        <w:rPr>
          <w:rFonts w:cs="Times New Roman"/>
          <w:sz w:val="22"/>
          <w:lang w:val="sr-Cyrl-RS"/>
        </w:rPr>
        <w:t>На основу анализе тих података из годишњ</w:t>
      </w:r>
      <w:r w:rsidR="00F45E82" w:rsidRPr="00EF2F18">
        <w:rPr>
          <w:rFonts w:cs="Times New Roman"/>
          <w:sz w:val="22"/>
          <w:lang w:val="sr-Cyrl-RS"/>
        </w:rPr>
        <w:t>их</w:t>
      </w:r>
      <w:r w:rsidR="000A6224" w:rsidRPr="00EF2F18">
        <w:rPr>
          <w:rFonts w:cs="Times New Roman"/>
          <w:sz w:val="22"/>
          <w:lang w:val="sr-Cyrl-RS"/>
        </w:rPr>
        <w:t xml:space="preserve"> извештаја о јавним набавкама у Републици Србији, Канцеларије за јавне наб</w:t>
      </w:r>
      <w:r w:rsidR="00F45E82" w:rsidRPr="00EF2F18">
        <w:rPr>
          <w:rFonts w:cs="Times New Roman"/>
          <w:sz w:val="22"/>
          <w:lang w:val="sr-Cyrl-RS"/>
        </w:rPr>
        <w:t>а</w:t>
      </w:r>
      <w:r w:rsidR="000A6224" w:rsidRPr="00EF2F18">
        <w:rPr>
          <w:rFonts w:cs="Times New Roman"/>
          <w:sz w:val="22"/>
          <w:lang w:val="sr-Cyrl-RS"/>
        </w:rPr>
        <w:t xml:space="preserve">вке, током 2021. године је </w:t>
      </w:r>
      <w:r w:rsidR="00F45E82" w:rsidRPr="00EF2F18">
        <w:rPr>
          <w:rFonts w:cs="Times New Roman"/>
          <w:sz w:val="22"/>
          <w:lang w:val="sr-Cyrl-RS"/>
        </w:rPr>
        <w:t xml:space="preserve">спроведено 650 поступака јавних набавки са еколошким аспектима, што чини 0,41 % у односу на укупан број поступака јавних набавки у Републици Србији, док је током 2022. године спроведено је 1111 поступака јавних набавки са еколошким аспектима, што чини 0,44% у односу на укупан број поступака јавних набавки. </w:t>
      </w:r>
      <w:r w:rsidR="002D081D" w:rsidRPr="00EF2F18">
        <w:rPr>
          <w:rFonts w:cs="Times New Roman"/>
          <w:sz w:val="22"/>
          <w:lang w:val="sr-Cyrl-RS"/>
        </w:rPr>
        <w:t>У</w:t>
      </w:r>
      <w:r w:rsidR="00F45E82" w:rsidRPr="00EF2F18">
        <w:rPr>
          <w:rFonts w:cs="Times New Roman"/>
          <w:sz w:val="22"/>
          <w:lang w:val="sr-Cyrl-RS"/>
        </w:rPr>
        <w:t xml:space="preserve"> 2023. години спроведено је 1.592 поступака јавних набавки са еколошким аспектима, што чини 3,32% у односу на укупан број поступака јавних набавки, те је закључено 27.695 уговора у којима је примењен еколошки аспект, што чини 8,24% у односу на укупан број закључених уговора.</w:t>
      </w:r>
    </w:p>
    <w:p w14:paraId="4192446D" w14:textId="082EB6A0" w:rsidR="000A6224" w:rsidRPr="00EF2F18" w:rsidRDefault="007936CE" w:rsidP="000A6224">
      <w:pPr>
        <w:spacing w:after="0"/>
        <w:ind w:firstLine="720"/>
        <w:jc w:val="both"/>
        <w:rPr>
          <w:rFonts w:cs="Times New Roman"/>
          <w:sz w:val="22"/>
          <w:lang w:val="sr-Cyrl-RS"/>
        </w:rPr>
      </w:pPr>
      <w:r w:rsidRPr="00EF2F18">
        <w:rPr>
          <w:rFonts w:cs="Times New Roman"/>
          <w:sz w:val="22"/>
          <w:lang w:val="sr-Cyrl-RS"/>
        </w:rPr>
        <w:t>Д</w:t>
      </w:r>
      <w:r w:rsidR="000A6224" w:rsidRPr="00EF2F18">
        <w:rPr>
          <w:rFonts w:cs="Times New Roman"/>
          <w:sz w:val="22"/>
          <w:lang w:val="sr-Cyrl-RS"/>
        </w:rPr>
        <w:t xml:space="preserve">оношењем </w:t>
      </w:r>
      <w:r w:rsidR="008B2E3A" w:rsidRPr="00EF2F18">
        <w:rPr>
          <w:rFonts w:cs="Times New Roman"/>
          <w:sz w:val="22"/>
          <w:lang w:val="sr-Cyrl-RS"/>
        </w:rPr>
        <w:t xml:space="preserve">измена и допуна </w:t>
      </w:r>
      <w:r w:rsidR="00B57CFF" w:rsidRPr="00EF2F18">
        <w:rPr>
          <w:rFonts w:cs="Times New Roman"/>
          <w:bCs/>
          <w:color w:val="000000"/>
          <w:sz w:val="22"/>
          <w:lang w:val="sr-Cyrl-RS"/>
        </w:rPr>
        <w:t>Закона о јавним набавкама („Службени гласник РС</w:t>
      </w:r>
      <w:r w:rsidR="00B57CFF" w:rsidRPr="00EF2F18">
        <w:rPr>
          <w:rFonts w:cs="Times New Roman"/>
          <w:bCs/>
          <w:color w:val="000000"/>
          <w:sz w:val="22"/>
          <w:lang w:val="sr-Cyrl-RS" w:eastAsia="sr-Latn-CS"/>
        </w:rPr>
        <w:t>”</w:t>
      </w:r>
      <w:r w:rsidR="00B57CFF" w:rsidRPr="00EF2F18">
        <w:rPr>
          <w:rFonts w:cs="Times New Roman"/>
          <w:bCs/>
          <w:color w:val="000000"/>
          <w:sz w:val="22"/>
          <w:lang w:val="sr-Cyrl-RS"/>
        </w:rPr>
        <w:t>, бр. 91/19 и 92/23)</w:t>
      </w:r>
      <w:r w:rsidR="000A6224" w:rsidRPr="00EF2F18">
        <w:rPr>
          <w:rFonts w:cs="Times New Roman"/>
          <w:sz w:val="22"/>
          <w:lang w:val="sr-Cyrl-RS"/>
        </w:rPr>
        <w:t xml:space="preserve"> </w:t>
      </w:r>
      <w:r w:rsidR="00DD53CA" w:rsidRPr="00EF2F18">
        <w:rPr>
          <w:rFonts w:cs="Times New Roman"/>
          <w:sz w:val="22"/>
          <w:lang w:val="sr-Cyrl-RS"/>
        </w:rPr>
        <w:t xml:space="preserve">поред начела </w:t>
      </w:r>
      <w:r w:rsidR="000F00F6">
        <w:rPr>
          <w:rFonts w:cs="Times New Roman"/>
          <w:sz w:val="22"/>
          <w:lang w:val="sr-Cyrl-RS"/>
        </w:rPr>
        <w:t>економичности и ефикасности, уве</w:t>
      </w:r>
      <w:r w:rsidR="00DD53CA" w:rsidRPr="00EF2F18">
        <w:rPr>
          <w:rFonts w:cs="Times New Roman"/>
          <w:sz w:val="22"/>
          <w:lang w:val="sr-Cyrl-RS"/>
        </w:rPr>
        <w:t xml:space="preserve">дено </w:t>
      </w:r>
      <w:r w:rsidRPr="00EF2F18">
        <w:rPr>
          <w:rFonts w:cs="Times New Roman"/>
          <w:sz w:val="22"/>
          <w:lang w:val="sr-Cyrl-RS"/>
        </w:rPr>
        <w:t xml:space="preserve">је </w:t>
      </w:r>
      <w:r w:rsidR="000A6224" w:rsidRPr="00EF2F18">
        <w:rPr>
          <w:rFonts w:cs="Times New Roman"/>
          <w:sz w:val="22"/>
          <w:lang w:val="sr-Cyrl-RS"/>
        </w:rPr>
        <w:t xml:space="preserve">начело заштите животне средине у поступцима јавних набавки. </w:t>
      </w:r>
      <w:r w:rsidR="00DD53CA" w:rsidRPr="00EF2F18">
        <w:rPr>
          <w:rFonts w:cs="Times New Roman"/>
          <w:sz w:val="22"/>
          <w:lang w:val="sr-Cyrl-RS"/>
        </w:rPr>
        <w:t>Уведена је обавеза примене критеријума за доделу уговора који није заснован само на цени, већ и квалитету, за тачно одређене категорије услуга.</w:t>
      </w:r>
    </w:p>
    <w:p w14:paraId="5FF6EB9A" w14:textId="3594F745" w:rsidR="000A6224" w:rsidRPr="00EF2F18" w:rsidRDefault="000A6224" w:rsidP="000A6224">
      <w:pPr>
        <w:spacing w:after="0"/>
        <w:ind w:firstLine="720"/>
        <w:jc w:val="both"/>
        <w:rPr>
          <w:rFonts w:cs="Times New Roman"/>
          <w:sz w:val="22"/>
          <w:lang w:val="sr-Cyrl-RS"/>
        </w:rPr>
      </w:pPr>
      <w:r w:rsidRPr="00EF2F18">
        <w:rPr>
          <w:rFonts w:cs="Times New Roman"/>
          <w:sz w:val="22"/>
          <w:lang w:val="sr-Cyrl-RS"/>
        </w:rPr>
        <w:t xml:space="preserve">На основу </w:t>
      </w:r>
      <w:r w:rsidR="006F0F1E" w:rsidRPr="00EF2F18">
        <w:rPr>
          <w:rFonts w:cs="Times New Roman"/>
          <w:sz w:val="22"/>
          <w:lang w:val="sr-Cyrl-RS"/>
        </w:rPr>
        <w:t>Правилникa о врстама добара и услуга за која су наручиоци у обавези да примењују еколошке аспекте у поступцима јавних набавки („Службени гласник РС”, број 118/25),</w:t>
      </w:r>
      <w:r w:rsidR="00B57CFF" w:rsidRPr="00EF2F18">
        <w:rPr>
          <w:rFonts w:cs="Times New Roman"/>
          <w:sz w:val="22"/>
          <w:lang w:val="sr-Cyrl-RS"/>
        </w:rPr>
        <w:t xml:space="preserve"> наручиоци су у обавези да од </w:t>
      </w:r>
      <w:r w:rsidRPr="00EF2F18">
        <w:rPr>
          <w:rFonts w:cs="Times New Roman"/>
          <w:sz w:val="22"/>
          <w:lang w:val="sr-Cyrl-RS"/>
        </w:rPr>
        <w:t>1.</w:t>
      </w:r>
      <w:r w:rsidR="00B57CFF" w:rsidRPr="00EF2F18">
        <w:rPr>
          <w:rFonts w:cs="Times New Roman"/>
          <w:sz w:val="22"/>
          <w:lang w:val="sr-Cyrl-RS"/>
        </w:rPr>
        <w:t xml:space="preserve"> јануара </w:t>
      </w:r>
      <w:r w:rsidRPr="00EF2F18">
        <w:rPr>
          <w:rFonts w:cs="Times New Roman"/>
          <w:sz w:val="22"/>
          <w:lang w:val="sr-Cyrl-RS"/>
        </w:rPr>
        <w:t>202</w:t>
      </w:r>
      <w:r w:rsidR="006F0F1E" w:rsidRPr="00EF2F18">
        <w:rPr>
          <w:rFonts w:cs="Times New Roman"/>
          <w:sz w:val="22"/>
          <w:lang w:val="sr-Cyrl-RS"/>
        </w:rPr>
        <w:t>6</w:t>
      </w:r>
      <w:r w:rsidRPr="00EF2F18">
        <w:rPr>
          <w:rFonts w:cs="Times New Roman"/>
          <w:sz w:val="22"/>
          <w:lang w:val="sr-Cyrl-RS"/>
        </w:rPr>
        <w:t>.</w:t>
      </w:r>
      <w:r w:rsidR="00B57CFF" w:rsidRPr="00EF2F18">
        <w:rPr>
          <w:rFonts w:cs="Times New Roman"/>
          <w:sz w:val="22"/>
          <w:lang w:val="sr-Cyrl-RS"/>
        </w:rPr>
        <w:t xml:space="preserve"> </w:t>
      </w:r>
      <w:r w:rsidRPr="00EF2F18">
        <w:rPr>
          <w:rFonts w:cs="Times New Roman"/>
          <w:sz w:val="22"/>
          <w:lang w:val="sr-Cyrl-RS"/>
        </w:rPr>
        <w:t xml:space="preserve">године </w:t>
      </w:r>
      <w:r w:rsidR="006F0F1E" w:rsidRPr="00EF2F18">
        <w:rPr>
          <w:rFonts w:cs="Times New Roman"/>
          <w:sz w:val="22"/>
          <w:lang w:val="sr-Cyrl-RS"/>
        </w:rPr>
        <w:t>примењују еколошке аспекте у поступцима јавних набавки приликом одређивања техничких спецификација, критеријума за избор привредног субјекта, критеријума за доделу уговора или услова за извршење уговора о јавној набавци за следећа добра: фотокопир папир, рачунарска опрема (десктоп рачунари, лаптоп рачунари и монитори), канцеларијска електронска опрема (штампачи, скенери, мултифункционални уређаји и сл.), клима уређаји (стандардни клима уређаји, инвертер климе за грејање и хлађење и сл.), средства за чишћење (производи за чишћење тврдих површина, текстилни производи за чишћење и сл.), услуге чишћења и електрични апарати за домаћинство.</w:t>
      </w:r>
      <w:r w:rsidR="00422F41">
        <w:rPr>
          <w:rFonts w:cs="Times New Roman"/>
          <w:sz w:val="22"/>
          <w:lang w:val="sr-Cyrl-RS"/>
        </w:rPr>
        <w:t xml:space="preserve"> </w:t>
      </w:r>
      <w:r w:rsidRPr="00EF2F18">
        <w:rPr>
          <w:rFonts w:cs="Times New Roman"/>
          <w:sz w:val="22"/>
          <w:lang w:val="sr-Cyrl-RS"/>
        </w:rPr>
        <w:t>Такође је прописан удео предмета набавке са еколошким аспектима у поступцима јавних набавки добара у износу најмање 10% у односу на укупан обим предмета јавне набавке.</w:t>
      </w:r>
    </w:p>
    <w:p w14:paraId="135056C4" w14:textId="4072BCC9" w:rsidR="00124CEC" w:rsidRPr="00EF2F18" w:rsidRDefault="00124CEC" w:rsidP="000A6224">
      <w:pPr>
        <w:spacing w:after="0"/>
        <w:ind w:firstLine="720"/>
        <w:jc w:val="both"/>
        <w:rPr>
          <w:rFonts w:cs="Times New Roman"/>
          <w:sz w:val="22"/>
          <w:lang w:val="sr-Cyrl-RS"/>
        </w:rPr>
      </w:pPr>
      <w:r w:rsidRPr="00EF2F18">
        <w:rPr>
          <w:rFonts w:cs="Times New Roman"/>
          <w:sz w:val="22"/>
          <w:lang w:val="sr-Cyrl-RS"/>
        </w:rPr>
        <w:t>У оквиру Програма развоја јавних набавки у Републици Србији за период 2024</w:t>
      </w:r>
      <w:r w:rsidR="00621D8B">
        <w:rPr>
          <w:rFonts w:cs="Times New Roman"/>
          <w:sz w:val="22"/>
          <w:lang w:val="sr-Cyrl-RS"/>
        </w:rPr>
        <w:t xml:space="preserve"> </w:t>
      </w:r>
      <w:r w:rsidRPr="00EF2F18">
        <w:rPr>
          <w:rFonts w:cs="Times New Roman"/>
          <w:sz w:val="22"/>
          <w:lang w:val="sr-Cyrl-RS"/>
        </w:rPr>
        <w:t>–</w:t>
      </w:r>
      <w:r w:rsidR="00621D8B">
        <w:rPr>
          <w:rFonts w:cs="Times New Roman"/>
          <w:sz w:val="22"/>
          <w:lang w:val="sr-Cyrl-RS"/>
        </w:rPr>
        <w:t xml:space="preserve"> </w:t>
      </w:r>
      <w:r w:rsidRPr="00EF2F18">
        <w:rPr>
          <w:rFonts w:cs="Times New Roman"/>
          <w:sz w:val="22"/>
          <w:lang w:val="sr-Cyrl-RS"/>
        </w:rPr>
        <w:t>2028. године, планирано је да се осигура шира примена еколошких аспеката приликом спровођења јавних набавки, путем израде водича, и модела конкурсне документације, као и путем обука на тему зелених јавних набавки.</w:t>
      </w:r>
    </w:p>
    <w:p w14:paraId="0FA7D429" w14:textId="562F2FD6" w:rsidR="00FA2EA4" w:rsidRPr="00EF2F18" w:rsidRDefault="00536924" w:rsidP="000A6224">
      <w:pPr>
        <w:spacing w:after="0"/>
        <w:ind w:firstLine="720"/>
        <w:jc w:val="both"/>
        <w:rPr>
          <w:rFonts w:cs="Times New Roman"/>
          <w:sz w:val="22"/>
          <w:lang w:val="sr-Cyrl-RS"/>
        </w:rPr>
      </w:pPr>
      <w:r w:rsidRPr="00EF2F18">
        <w:rPr>
          <w:rFonts w:cs="Times New Roman"/>
          <w:sz w:val="22"/>
          <w:lang w:val="sr-Cyrl-RS"/>
        </w:rPr>
        <w:lastRenderedPageBreak/>
        <w:t>Очекује</w:t>
      </w:r>
      <w:r w:rsidR="006C2E00" w:rsidRPr="00EF2F18">
        <w:rPr>
          <w:rFonts w:cs="Times New Roman"/>
          <w:sz w:val="22"/>
          <w:lang w:val="sr-Cyrl-RS"/>
        </w:rPr>
        <w:t xml:space="preserve"> </w:t>
      </w:r>
      <w:r w:rsidRPr="00EF2F18">
        <w:rPr>
          <w:rFonts w:cs="Times New Roman"/>
          <w:sz w:val="22"/>
          <w:lang w:val="sr-Cyrl-RS"/>
        </w:rPr>
        <w:t>се да п</w:t>
      </w:r>
      <w:r w:rsidR="000A6224" w:rsidRPr="00EF2F18">
        <w:rPr>
          <w:rFonts w:cs="Times New Roman"/>
          <w:sz w:val="22"/>
          <w:lang w:val="sr-Cyrl-RS"/>
        </w:rPr>
        <w:t>римена зелених јавних набавки има снажан позитиван утицај на развој и примену циркуларне економије</w:t>
      </w:r>
      <w:r w:rsidR="00971F94" w:rsidRPr="00EF2F18">
        <w:rPr>
          <w:rFonts w:cs="Times New Roman"/>
          <w:sz w:val="22"/>
          <w:lang w:val="sr-Cyrl-RS"/>
        </w:rPr>
        <w:t>.</w:t>
      </w:r>
    </w:p>
    <w:p w14:paraId="1698D0AC" w14:textId="77777777" w:rsidR="00FA2EA4" w:rsidRPr="00EF2F18" w:rsidRDefault="00FA2EA4" w:rsidP="00FA2EA4">
      <w:pPr>
        <w:spacing w:after="0"/>
        <w:jc w:val="both"/>
        <w:rPr>
          <w:rFonts w:cs="Times New Roman"/>
          <w:sz w:val="22"/>
          <w:lang w:val="sr-Cyrl-RS"/>
        </w:rPr>
      </w:pPr>
    </w:p>
    <w:p w14:paraId="67CF926A" w14:textId="7568BC64" w:rsidR="00013726" w:rsidRPr="00EF2F18" w:rsidRDefault="00013726" w:rsidP="00F106C9">
      <w:pPr>
        <w:pStyle w:val="Heading3"/>
        <w:numPr>
          <w:ilvl w:val="2"/>
          <w:numId w:val="2"/>
        </w:numPr>
        <w:jc w:val="center"/>
        <w:rPr>
          <w:rFonts w:cs="Times New Roman"/>
          <w:sz w:val="22"/>
          <w:szCs w:val="22"/>
          <w:lang w:val="sr-Cyrl-RS"/>
        </w:rPr>
      </w:pPr>
      <w:bookmarkStart w:id="38" w:name="_Toc158307699"/>
      <w:r w:rsidRPr="00EF2F18">
        <w:rPr>
          <w:rFonts w:cs="Times New Roman"/>
          <w:sz w:val="22"/>
          <w:szCs w:val="22"/>
          <w:lang w:val="sr-Cyrl-RS"/>
        </w:rPr>
        <w:t>Потенцијали за примену циркуларне економије</w:t>
      </w:r>
      <w:bookmarkEnd w:id="38"/>
    </w:p>
    <w:p w14:paraId="61292B26" w14:textId="60B34730" w:rsidR="003F5020" w:rsidRPr="00EF2F18" w:rsidRDefault="00EE5439" w:rsidP="003F5020">
      <w:pPr>
        <w:spacing w:after="0"/>
        <w:ind w:firstLine="720"/>
        <w:jc w:val="both"/>
        <w:rPr>
          <w:rFonts w:eastAsia="Calibri" w:cs="Times New Roman"/>
          <w:sz w:val="22"/>
          <w:lang w:val="sr-Cyrl-RS"/>
        </w:rPr>
      </w:pPr>
      <w:r>
        <w:rPr>
          <w:rFonts w:eastAsia="Calibri" w:cs="Times New Roman"/>
          <w:sz w:val="22"/>
          <w:lang w:val="sr-Cyrl-RS"/>
        </w:rPr>
        <w:t>Један од најбит</w:t>
      </w:r>
      <w:r w:rsidR="009E3082" w:rsidRPr="00EF2F18">
        <w:rPr>
          <w:rFonts w:eastAsia="Calibri" w:cs="Times New Roman"/>
          <w:sz w:val="22"/>
          <w:lang w:val="sr-Cyrl-RS"/>
        </w:rPr>
        <w:t>н</w:t>
      </w:r>
      <w:r w:rsidR="00141093" w:rsidRPr="00EF2F18">
        <w:rPr>
          <w:rFonts w:eastAsia="Calibri" w:cs="Times New Roman"/>
          <w:sz w:val="22"/>
          <w:lang w:val="sr-Cyrl-RS"/>
        </w:rPr>
        <w:t>иј</w:t>
      </w:r>
      <w:r w:rsidR="009E3082" w:rsidRPr="00EF2F18">
        <w:rPr>
          <w:rFonts w:eastAsia="Calibri" w:cs="Times New Roman"/>
          <w:sz w:val="22"/>
          <w:lang w:val="sr-Cyrl-RS"/>
        </w:rPr>
        <w:t>их предуслова за развој циркуал</w:t>
      </w:r>
      <w:r>
        <w:rPr>
          <w:rFonts w:eastAsia="Calibri" w:cs="Times New Roman"/>
          <w:sz w:val="22"/>
          <w:lang w:val="sr-Cyrl-RS"/>
        </w:rPr>
        <w:t>а</w:t>
      </w:r>
      <w:r w:rsidR="009E3082" w:rsidRPr="00EF2F18">
        <w:rPr>
          <w:rFonts w:eastAsia="Calibri" w:cs="Times New Roman"/>
          <w:sz w:val="22"/>
          <w:lang w:val="sr-Cyrl-RS"/>
        </w:rPr>
        <w:t xml:space="preserve">рне економије је ефикасно коришћење сировина и енергије. </w:t>
      </w:r>
      <w:r w:rsidR="00536924" w:rsidRPr="00EF2F18">
        <w:rPr>
          <w:rFonts w:eastAsia="Calibri" w:cs="Times New Roman"/>
          <w:sz w:val="22"/>
          <w:lang w:val="sr-Cyrl-RS"/>
        </w:rPr>
        <w:t>С</w:t>
      </w:r>
      <w:r w:rsidR="009E3082" w:rsidRPr="00EF2F18">
        <w:rPr>
          <w:rFonts w:eastAsia="Calibri" w:cs="Times New Roman"/>
          <w:sz w:val="22"/>
          <w:lang w:val="sr-Cyrl-RS"/>
        </w:rPr>
        <w:t xml:space="preserve">тање у </w:t>
      </w:r>
      <w:r w:rsidR="003F5020" w:rsidRPr="00EF2F18">
        <w:rPr>
          <w:rFonts w:eastAsia="Calibri" w:cs="Times New Roman"/>
          <w:sz w:val="22"/>
          <w:lang w:val="sr-Cyrl-RS"/>
        </w:rPr>
        <w:t>индустриј</w:t>
      </w:r>
      <w:r w:rsidR="00B54BAB" w:rsidRPr="00EF2F18">
        <w:rPr>
          <w:rFonts w:eastAsia="Calibri" w:cs="Times New Roman"/>
          <w:sz w:val="22"/>
          <w:lang w:val="sr-Cyrl-RS"/>
        </w:rPr>
        <w:t>и</w:t>
      </w:r>
      <w:r w:rsidR="003F5020" w:rsidRPr="00EF2F18">
        <w:rPr>
          <w:rFonts w:eastAsia="Calibri" w:cs="Times New Roman"/>
          <w:sz w:val="22"/>
          <w:lang w:val="sr-Cyrl-RS"/>
        </w:rPr>
        <w:t xml:space="preserve"> углавном карактерише примена застарелих технологија, висока специфична потрошња енергије, значајна количина генерисаног отпада који се не користи као секундарна сировина, нерационална потрошња воде, испуштање отпадних вода без третмана, коришћење опасних хемикалија, недостатак мониторинга потрошње енергената у производним процесима, и друго. Уштеда ресурса се може постићи применом циркуларног дизајна, коришћењем нуспроизвода као секундарних сировина, уштедом воде кроз оптимизацију коришћења и рециркулацију воде и др. </w:t>
      </w:r>
      <w:r w:rsidR="009E3082" w:rsidRPr="00EF2F18">
        <w:rPr>
          <w:rFonts w:eastAsia="Calibri" w:cs="Times New Roman"/>
          <w:sz w:val="22"/>
          <w:lang w:val="sr-Cyrl-RS"/>
        </w:rPr>
        <w:t xml:space="preserve">Како је циркуларни </w:t>
      </w:r>
      <w:r w:rsidR="009E3082" w:rsidRPr="00EF2F18">
        <w:rPr>
          <w:rFonts w:cs="Times New Roman"/>
          <w:sz w:val="22"/>
          <w:lang w:val="sr-Cyrl-RS"/>
        </w:rPr>
        <w:t>ток материјала истовремено и ток хемикалија, безбедно управљање хемикалијама заузима важно место у циркуларним токовима материјала у различитим индустријским гранама.</w:t>
      </w:r>
      <w:r w:rsidR="009E3082" w:rsidRPr="00EF2F18">
        <w:rPr>
          <w:rFonts w:eastAsia="Calibri" w:cs="Times New Roman"/>
          <w:sz w:val="22"/>
          <w:lang w:val="sr-Cyrl-RS"/>
        </w:rPr>
        <w:t xml:space="preserve"> </w:t>
      </w:r>
      <w:r w:rsidR="009E3082" w:rsidRPr="00EF2F18">
        <w:rPr>
          <w:rFonts w:cs="Times New Roman"/>
          <w:sz w:val="22"/>
          <w:lang w:val="sr-Cyrl-RS"/>
        </w:rPr>
        <w:t>Стање у области безбедног управљања хемикалијама карактерише недостатак информација о хемикалијама у материјалима и представља препреку у постизању ефикасне циркуларне и „зелене” економије.</w:t>
      </w:r>
      <w:r w:rsidR="00FC75B4" w:rsidRPr="00EF2F18">
        <w:rPr>
          <w:rFonts w:cs="Times New Roman"/>
          <w:sz w:val="22"/>
          <w:lang w:val="sr-Cyrl-RS"/>
        </w:rPr>
        <w:t xml:space="preserve"> </w:t>
      </w:r>
      <w:r w:rsidR="009E3082" w:rsidRPr="00EF2F18">
        <w:rPr>
          <w:rFonts w:eastAsia="Calibri" w:cs="Times New Roman"/>
          <w:sz w:val="22"/>
          <w:lang w:val="sr-Cyrl-RS"/>
        </w:rPr>
        <w:t>Уштеда енергије</w:t>
      </w:r>
      <w:r w:rsidR="00141093" w:rsidRPr="00EF2F18">
        <w:rPr>
          <w:rFonts w:eastAsia="Calibri" w:cs="Times New Roman"/>
          <w:sz w:val="22"/>
          <w:lang w:val="sr-Cyrl-RS"/>
        </w:rPr>
        <w:t xml:space="preserve"> </w:t>
      </w:r>
      <w:r w:rsidR="009E3082" w:rsidRPr="00EF2F18">
        <w:rPr>
          <w:rFonts w:eastAsia="Calibri" w:cs="Times New Roman"/>
          <w:sz w:val="22"/>
          <w:lang w:val="sr-Cyrl-RS"/>
        </w:rPr>
        <w:t>и прелазак на обновљиве изворе енергије у циљу успостављања њеног циркуларног тока, има смисао у случају када</w:t>
      </w:r>
      <w:r w:rsidR="003F5020" w:rsidRPr="00EF2F18">
        <w:rPr>
          <w:rFonts w:eastAsia="Calibri" w:cs="Times New Roman"/>
          <w:sz w:val="22"/>
          <w:lang w:val="sr-Cyrl-RS"/>
        </w:rPr>
        <w:t xml:space="preserve"> су постојећи системи оптимизовани и </w:t>
      </w:r>
      <w:r w:rsidR="009E3082" w:rsidRPr="00EF2F18">
        <w:rPr>
          <w:rFonts w:eastAsia="Calibri" w:cs="Times New Roman"/>
          <w:sz w:val="22"/>
          <w:lang w:val="sr-Cyrl-RS"/>
        </w:rPr>
        <w:t xml:space="preserve">када </w:t>
      </w:r>
      <w:r w:rsidR="003F5020" w:rsidRPr="00EF2F18">
        <w:rPr>
          <w:rFonts w:eastAsia="Calibri" w:cs="Times New Roman"/>
          <w:sz w:val="22"/>
          <w:lang w:val="sr-Cyrl-RS"/>
        </w:rPr>
        <w:t xml:space="preserve">се ресурси ефикасно користе, без разлике да ли су обновљиви или не. Због тога </w:t>
      </w:r>
      <w:r w:rsidR="00A23EC7" w:rsidRPr="00EF2F18">
        <w:rPr>
          <w:rFonts w:eastAsia="Calibri" w:cs="Times New Roman"/>
          <w:sz w:val="22"/>
          <w:lang w:val="sr-Cyrl-RS"/>
        </w:rPr>
        <w:t>је</w:t>
      </w:r>
      <w:r w:rsidR="003F5020" w:rsidRPr="00EF2F18">
        <w:rPr>
          <w:rFonts w:eastAsia="Calibri" w:cs="Times New Roman"/>
          <w:sz w:val="22"/>
          <w:lang w:val="sr-Cyrl-RS"/>
        </w:rPr>
        <w:t xml:space="preserve"> даљи развој система управљања енергијом и смањење губитака, јед</w:t>
      </w:r>
      <w:r w:rsidR="00A23EC7" w:rsidRPr="00EF2F18">
        <w:rPr>
          <w:rFonts w:eastAsia="Calibri" w:cs="Times New Roman"/>
          <w:sz w:val="22"/>
          <w:lang w:val="sr-Cyrl-RS"/>
        </w:rPr>
        <w:t>ан</w:t>
      </w:r>
      <w:r w:rsidR="003F5020" w:rsidRPr="00EF2F18">
        <w:rPr>
          <w:rFonts w:eastAsia="Calibri" w:cs="Times New Roman"/>
          <w:sz w:val="22"/>
          <w:lang w:val="sr-Cyrl-RS"/>
        </w:rPr>
        <w:t xml:space="preserve"> од праваца за унапређење постојећег стања у привреди. Такође, веће економско искоришћење енергије може се остварити и повећањем степена финализације производа, у чему циркуларни дизајн производа може да има велику улогу.</w:t>
      </w:r>
    </w:p>
    <w:p w14:paraId="2725C516" w14:textId="0AC8B90F" w:rsidR="00FA2EA4" w:rsidRPr="00EF2F18" w:rsidRDefault="00FA2EA4" w:rsidP="00FA2EA4">
      <w:pPr>
        <w:spacing w:after="0"/>
        <w:ind w:firstLine="720"/>
        <w:jc w:val="both"/>
        <w:rPr>
          <w:rFonts w:cs="Times New Roman"/>
          <w:sz w:val="22"/>
          <w:lang w:val="sr-Cyrl-RS"/>
        </w:rPr>
      </w:pPr>
      <w:r w:rsidRPr="00EF2F18">
        <w:rPr>
          <w:rFonts w:cs="Times New Roman"/>
          <w:sz w:val="22"/>
          <w:lang w:val="sr-Cyrl-RS"/>
        </w:rPr>
        <w:t>Отпад од грађења и рушења и отпад од хране, имају</w:t>
      </w:r>
      <w:r w:rsidR="005E42D2" w:rsidRPr="00EF2F18">
        <w:rPr>
          <w:rFonts w:cs="Times New Roman"/>
          <w:sz w:val="22"/>
          <w:lang w:val="sr-Cyrl-RS"/>
        </w:rPr>
        <w:t xml:space="preserve"> </w:t>
      </w:r>
      <w:r w:rsidRPr="00EF2F18">
        <w:rPr>
          <w:rFonts w:cs="Times New Roman"/>
          <w:sz w:val="22"/>
          <w:lang w:val="sr-Cyrl-RS"/>
        </w:rPr>
        <w:t>велики потенцијал за даљи развој циркуларне економије у Републици Србији.</w:t>
      </w:r>
    </w:p>
    <w:p w14:paraId="62EE7A5D" w14:textId="4CED1FBA" w:rsidR="00A301D9" w:rsidRPr="00EF2F18" w:rsidRDefault="00A301D9" w:rsidP="00A301D9">
      <w:pPr>
        <w:spacing w:after="0"/>
        <w:ind w:firstLine="720"/>
        <w:jc w:val="both"/>
        <w:rPr>
          <w:rFonts w:cs="Times New Roman"/>
          <w:sz w:val="22"/>
          <w:lang w:val="sr-Cyrl-RS"/>
        </w:rPr>
      </w:pPr>
      <w:r w:rsidRPr="00EF2F18">
        <w:rPr>
          <w:rFonts w:cs="Times New Roman"/>
          <w:sz w:val="22"/>
          <w:lang w:val="sr-Cyrl-RS"/>
        </w:rPr>
        <w:t>Према Стратегији индустријске политике Републике Србије за период од 2021. до 2030.</w:t>
      </w:r>
      <w:r w:rsidR="009B0C3A" w:rsidRPr="00EF2F18">
        <w:rPr>
          <w:rFonts w:cs="Times New Roman"/>
          <w:sz w:val="22"/>
          <w:lang w:val="sr-Cyrl-RS"/>
        </w:rPr>
        <w:t xml:space="preserve"> године</w:t>
      </w:r>
      <w:r w:rsidRPr="00EF2F18">
        <w:rPr>
          <w:rFonts w:cs="Times New Roman"/>
          <w:sz w:val="22"/>
          <w:lang w:val="sr-Cyrl-RS"/>
        </w:rPr>
        <w:t>, као сектори који у Републици Србији имају највећи потенцијал за примену концепта циркуларне економије идентификовани су прерађивачка индустрија (посебно прехрамбена), грађевинарство, дрвна индустрија, као и примарна пољопривреда.</w:t>
      </w:r>
    </w:p>
    <w:bookmarkEnd w:id="33"/>
    <w:p w14:paraId="100670B1" w14:textId="77777777" w:rsidR="00D3281C" w:rsidRPr="00EF2F18" w:rsidRDefault="00D3281C" w:rsidP="00D3281C">
      <w:pPr>
        <w:pStyle w:val="Default"/>
        <w:spacing w:after="120"/>
        <w:ind w:left="720"/>
        <w:rPr>
          <w:rFonts w:ascii="Times New Roman" w:hAnsi="Times New Roman" w:cs="Times New Roman"/>
          <w:sz w:val="22"/>
          <w:szCs w:val="22"/>
          <w:lang w:val="sr-Cyrl-RS"/>
        </w:rPr>
      </w:pPr>
    </w:p>
    <w:p w14:paraId="59D70C86" w14:textId="77777777" w:rsidR="00A21DFE" w:rsidRPr="00EF2F18" w:rsidRDefault="00A21DFE" w:rsidP="00F106C9">
      <w:pPr>
        <w:pStyle w:val="Heading2"/>
        <w:numPr>
          <w:ilvl w:val="1"/>
          <w:numId w:val="2"/>
        </w:numPr>
        <w:ind w:left="1350" w:hanging="630"/>
        <w:jc w:val="center"/>
        <w:rPr>
          <w:rFonts w:cs="Times New Roman"/>
          <w:sz w:val="22"/>
          <w:szCs w:val="22"/>
          <w:lang w:val="sr-Cyrl-RS"/>
        </w:rPr>
      </w:pPr>
      <w:bookmarkStart w:id="39" w:name="_Toc158307700"/>
      <w:r w:rsidRPr="00EF2F18">
        <w:rPr>
          <w:rFonts w:cs="Times New Roman"/>
          <w:sz w:val="22"/>
          <w:szCs w:val="22"/>
          <w:lang w:val="sr-Cyrl-RS"/>
        </w:rPr>
        <w:t>Квалитет животне средине и фактори утицаја</w:t>
      </w:r>
      <w:bookmarkEnd w:id="39"/>
    </w:p>
    <w:p w14:paraId="2A084C52" w14:textId="6156719F" w:rsidR="00A21DFE" w:rsidRPr="00EF2F18" w:rsidRDefault="00A21DFE" w:rsidP="00F106C9">
      <w:pPr>
        <w:pStyle w:val="Heading3"/>
        <w:numPr>
          <w:ilvl w:val="2"/>
          <w:numId w:val="2"/>
        </w:numPr>
        <w:jc w:val="center"/>
        <w:rPr>
          <w:rFonts w:cs="Times New Roman"/>
          <w:sz w:val="22"/>
          <w:szCs w:val="22"/>
          <w:lang w:val="sr-Cyrl-RS"/>
        </w:rPr>
      </w:pPr>
      <w:bookmarkStart w:id="40" w:name="_Toc158307701"/>
      <w:r w:rsidRPr="00EF2F18">
        <w:rPr>
          <w:rFonts w:cs="Times New Roman"/>
          <w:sz w:val="22"/>
          <w:szCs w:val="22"/>
          <w:lang w:val="sr-Cyrl-RS"/>
        </w:rPr>
        <w:t>Квалитет ваздуха</w:t>
      </w:r>
      <w:bookmarkEnd w:id="40"/>
    </w:p>
    <w:p w14:paraId="7197873E" w14:textId="3EBBF538" w:rsidR="00A06A21" w:rsidRPr="00EF2F18" w:rsidRDefault="00A06A21" w:rsidP="000D0989">
      <w:pPr>
        <w:autoSpaceDE w:val="0"/>
        <w:autoSpaceDN w:val="0"/>
        <w:adjustRightInd w:val="0"/>
        <w:spacing w:after="0"/>
        <w:ind w:firstLine="720"/>
        <w:jc w:val="both"/>
        <w:rPr>
          <w:b/>
          <w:bCs/>
          <w:i/>
          <w:iCs/>
          <w:lang w:val="sr-Cyrl-RS"/>
        </w:rPr>
      </w:pPr>
      <w:r w:rsidRPr="00EF2F18">
        <w:rPr>
          <w:b/>
          <w:bCs/>
          <w:i/>
          <w:iCs/>
          <w:lang w:val="sr-Cyrl-RS"/>
        </w:rPr>
        <w:t>Квалитет ваздуха</w:t>
      </w:r>
    </w:p>
    <w:p w14:paraId="608DDE4D" w14:textId="4BBB4CD2" w:rsidR="00BF78D1" w:rsidRPr="00EF2F18" w:rsidRDefault="00B252B6" w:rsidP="000D0989">
      <w:pPr>
        <w:autoSpaceDE w:val="0"/>
        <w:autoSpaceDN w:val="0"/>
        <w:adjustRightInd w:val="0"/>
        <w:spacing w:after="0"/>
        <w:ind w:firstLine="720"/>
        <w:jc w:val="both"/>
        <w:rPr>
          <w:rFonts w:cs="Times New Roman"/>
          <w:sz w:val="22"/>
          <w:lang w:val="sr-Cyrl-RS"/>
        </w:rPr>
      </w:pPr>
      <w:r w:rsidRPr="00EF2F18">
        <w:rPr>
          <w:rFonts w:cs="Times New Roman"/>
          <w:sz w:val="22"/>
          <w:lang w:val="sr-Cyrl-RS"/>
        </w:rPr>
        <w:t>На квалитет амбијенталног ваздуха у Републици Србији доминантно утичу концентрације суспендованих честица PM10 и PM2.5</w:t>
      </w:r>
      <w:r w:rsidR="00793687" w:rsidRPr="00EF2F18">
        <w:rPr>
          <w:rFonts w:cs="Times New Roman"/>
          <w:sz w:val="22"/>
          <w:lang w:val="sr-Cyrl-RS"/>
        </w:rPr>
        <w:t>,</w:t>
      </w:r>
      <w:r w:rsidRPr="00EF2F18">
        <w:rPr>
          <w:rFonts w:cs="Times New Roman"/>
          <w:sz w:val="22"/>
          <w:lang w:val="sr-Cyrl-RS"/>
        </w:rPr>
        <w:t xml:space="preserve"> осим у Бору где</w:t>
      </w:r>
      <w:r w:rsidR="00793687" w:rsidRPr="00EF2F18">
        <w:rPr>
          <w:rFonts w:cs="Times New Roman"/>
          <w:sz w:val="22"/>
          <w:lang w:val="sr-Cyrl-RS"/>
        </w:rPr>
        <w:t xml:space="preserve"> заједно са</w:t>
      </w:r>
      <w:r w:rsidRPr="00EF2F18">
        <w:rPr>
          <w:rFonts w:cs="Times New Roman"/>
          <w:sz w:val="22"/>
          <w:lang w:val="sr-Cyrl-RS"/>
        </w:rPr>
        <w:t xml:space="preserve"> сумпор диоксид</w:t>
      </w:r>
      <w:r w:rsidR="00793687" w:rsidRPr="00EF2F18">
        <w:rPr>
          <w:rFonts w:cs="Times New Roman"/>
          <w:sz w:val="22"/>
          <w:lang w:val="sr-Cyrl-RS"/>
        </w:rPr>
        <w:t>ом</w:t>
      </w:r>
      <w:r w:rsidRPr="00EF2F18">
        <w:rPr>
          <w:rFonts w:cs="Times New Roman"/>
          <w:sz w:val="22"/>
          <w:lang w:val="sr-Cyrl-RS"/>
        </w:rPr>
        <w:t xml:space="preserve"> условљава</w:t>
      </w:r>
      <w:r w:rsidR="00793687" w:rsidRPr="00EF2F18">
        <w:rPr>
          <w:rFonts w:cs="Times New Roman"/>
          <w:sz w:val="22"/>
          <w:lang w:val="sr-Cyrl-RS"/>
        </w:rPr>
        <w:t>ју</w:t>
      </w:r>
      <w:r w:rsidRPr="00EF2F18">
        <w:rPr>
          <w:rFonts w:cs="Times New Roman"/>
          <w:sz w:val="22"/>
          <w:lang w:val="sr-Cyrl-RS"/>
        </w:rPr>
        <w:t xml:space="preserve"> прекомерно загађење </w:t>
      </w:r>
      <w:r w:rsidR="00793687" w:rsidRPr="00EF2F18">
        <w:rPr>
          <w:rFonts w:cs="Times New Roman"/>
          <w:sz w:val="22"/>
          <w:lang w:val="sr-Cyrl-RS"/>
        </w:rPr>
        <w:t>ваздуха</w:t>
      </w:r>
      <w:r w:rsidR="00BF78D1" w:rsidRPr="00EF2F18">
        <w:rPr>
          <w:rFonts w:cs="Times New Roman"/>
          <w:sz w:val="22"/>
          <w:lang w:val="sr-Cyrl-RS"/>
        </w:rPr>
        <w:t xml:space="preserve">. </w:t>
      </w:r>
      <w:r w:rsidRPr="00EF2F18">
        <w:rPr>
          <w:rFonts w:cs="Times New Roman"/>
          <w:sz w:val="22"/>
          <w:lang w:val="sr-Cyrl-RS"/>
        </w:rPr>
        <w:t>Од тешких метала, арсен у Лазаревцу и арсен и кадмијум у Бору јављају се у концентрацијама већим од годишње циљне вредности</w:t>
      </w:r>
      <w:r w:rsidR="00BF78D1" w:rsidRPr="00EF2F18">
        <w:rPr>
          <w:rFonts w:cs="Times New Roman"/>
          <w:sz w:val="22"/>
          <w:lang w:val="sr-Cyrl-RS"/>
        </w:rPr>
        <w:t xml:space="preserve">. </w:t>
      </w:r>
    </w:p>
    <w:p w14:paraId="0537CD7C" w14:textId="4D5DEAD7" w:rsidR="00DC1402" w:rsidRPr="00EF2F18" w:rsidRDefault="00DC1402" w:rsidP="00DC1402">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У оквиру државне мреже за аутоматски мониторинг квалитета ваздуха у Републици Србији, у </w:t>
      </w:r>
      <w:r w:rsidR="00A92411" w:rsidRPr="00EF2F18">
        <w:rPr>
          <w:rFonts w:cs="Times New Roman"/>
          <w:sz w:val="22"/>
          <w:lang w:val="sr-Cyrl-RS"/>
        </w:rPr>
        <w:t>2024</w:t>
      </w:r>
      <w:r w:rsidRPr="00EF2F18">
        <w:rPr>
          <w:rFonts w:cs="Times New Roman"/>
          <w:sz w:val="22"/>
          <w:lang w:val="sr-Cyrl-RS"/>
        </w:rPr>
        <w:t xml:space="preserve">. години државна мрежа има укупно </w:t>
      </w:r>
      <w:r w:rsidR="00A92411" w:rsidRPr="00EF2F18">
        <w:rPr>
          <w:rFonts w:cs="Times New Roman"/>
          <w:sz w:val="22"/>
          <w:lang w:val="sr-Cyrl-RS"/>
        </w:rPr>
        <w:t xml:space="preserve">49 </w:t>
      </w:r>
      <w:r w:rsidR="00793687" w:rsidRPr="00EF2F18">
        <w:rPr>
          <w:rFonts w:cs="Times New Roman"/>
          <w:sz w:val="22"/>
          <w:lang w:val="sr-Cyrl-RS"/>
        </w:rPr>
        <w:t>аутоматских</w:t>
      </w:r>
      <w:r w:rsidRPr="00EF2F18">
        <w:rPr>
          <w:rFonts w:cs="Times New Roman"/>
          <w:sz w:val="22"/>
          <w:lang w:val="sr-Cyrl-RS"/>
        </w:rPr>
        <w:t xml:space="preserve"> станица</w:t>
      </w:r>
      <w:r w:rsidR="00B252B6" w:rsidRPr="00EF2F18">
        <w:rPr>
          <w:rFonts w:cs="Times New Roman"/>
          <w:sz w:val="22"/>
          <w:lang w:val="sr-Cyrl-RS"/>
        </w:rPr>
        <w:t xml:space="preserve"> </w:t>
      </w:r>
      <w:r w:rsidR="00793687" w:rsidRPr="00EF2F18">
        <w:rPr>
          <w:rFonts w:cs="Times New Roman"/>
          <w:sz w:val="22"/>
          <w:lang w:val="sr-Cyrl-RS"/>
        </w:rPr>
        <w:t xml:space="preserve">којима управља АЗЖС </w:t>
      </w:r>
      <w:r w:rsidR="00057AD1" w:rsidRPr="00EF2F18">
        <w:rPr>
          <w:rFonts w:cs="Times New Roman"/>
          <w:sz w:val="22"/>
          <w:lang w:val="sr-Cyrl-RS"/>
        </w:rPr>
        <w:t xml:space="preserve">(од којих је </w:t>
      </w:r>
      <w:r w:rsidR="00D034DD" w:rsidRPr="00EF2F18">
        <w:rPr>
          <w:rFonts w:cs="Times New Roman"/>
          <w:sz w:val="22"/>
          <w:lang w:val="sr-Cyrl-RS"/>
        </w:rPr>
        <w:t xml:space="preserve">осам </w:t>
      </w:r>
      <w:r w:rsidR="00057AD1" w:rsidRPr="00EF2F18">
        <w:rPr>
          <w:rFonts w:cs="Times New Roman"/>
          <w:sz w:val="22"/>
          <w:lang w:val="sr-Cyrl-RS"/>
        </w:rPr>
        <w:t xml:space="preserve">на територији АПВ) </w:t>
      </w:r>
      <w:r w:rsidR="00B252B6" w:rsidRPr="00EF2F18">
        <w:rPr>
          <w:rFonts w:cs="Times New Roman"/>
          <w:sz w:val="22"/>
          <w:lang w:val="sr-Cyrl-RS"/>
        </w:rPr>
        <w:t xml:space="preserve">и </w:t>
      </w:r>
      <w:r w:rsidR="00B57CFF" w:rsidRPr="00EF2F18">
        <w:rPr>
          <w:rFonts w:cs="Times New Roman"/>
          <w:sz w:val="22"/>
          <w:lang w:val="sr-Cyrl-RS"/>
        </w:rPr>
        <w:t>три</w:t>
      </w:r>
      <w:r w:rsidR="00B252B6" w:rsidRPr="00EF2F18">
        <w:rPr>
          <w:rFonts w:cs="Times New Roman"/>
          <w:sz w:val="22"/>
          <w:lang w:val="sr-Cyrl-RS"/>
        </w:rPr>
        <w:t xml:space="preserve"> аутоматске станице којима управља Градски завод за јавно здравље Београда.</w:t>
      </w:r>
    </w:p>
    <w:p w14:paraId="24AF7A7F" w14:textId="2FB578F5" w:rsidR="00163EDF" w:rsidRPr="00EF2F18" w:rsidRDefault="0018412F" w:rsidP="00BF78D1">
      <w:pPr>
        <w:autoSpaceDE w:val="0"/>
        <w:autoSpaceDN w:val="0"/>
        <w:adjustRightInd w:val="0"/>
        <w:spacing w:after="0"/>
        <w:ind w:firstLine="720"/>
        <w:jc w:val="both"/>
        <w:rPr>
          <w:rFonts w:cs="Times New Roman"/>
          <w:sz w:val="22"/>
          <w:lang w:val="sr-Cyrl-RS"/>
        </w:rPr>
      </w:pPr>
      <w:r w:rsidRPr="00EF2F18">
        <w:rPr>
          <w:rFonts w:cs="Times New Roman"/>
          <w:sz w:val="22"/>
          <w:lang w:val="sr-Cyrl-RS"/>
        </w:rPr>
        <w:t>Аутоматских станица које су део локалне мреже</w:t>
      </w:r>
      <w:r w:rsidR="0088194D" w:rsidRPr="00EF2F18">
        <w:rPr>
          <w:rFonts w:cs="Times New Roman"/>
          <w:sz w:val="22"/>
          <w:lang w:val="sr-Cyrl-RS"/>
        </w:rPr>
        <w:t xml:space="preserve"> има</w:t>
      </w:r>
      <w:r w:rsidR="009E3888" w:rsidRPr="00EF2F18">
        <w:rPr>
          <w:rFonts w:cs="Times New Roman"/>
          <w:sz w:val="22"/>
          <w:lang w:val="sr-Cyrl-RS"/>
        </w:rPr>
        <w:t xml:space="preserve"> </w:t>
      </w:r>
      <w:r w:rsidR="00D034DD" w:rsidRPr="00EF2F18">
        <w:rPr>
          <w:rFonts w:cs="Times New Roman"/>
          <w:sz w:val="22"/>
          <w:lang w:val="sr-Cyrl-RS"/>
        </w:rPr>
        <w:t xml:space="preserve">40 </w:t>
      </w:r>
      <w:r w:rsidR="009E3888" w:rsidRPr="00EF2F18">
        <w:rPr>
          <w:rFonts w:cs="Times New Roman"/>
          <w:sz w:val="22"/>
          <w:lang w:val="sr-Cyrl-RS"/>
        </w:rPr>
        <w:t>(</w:t>
      </w:r>
      <w:r w:rsidR="00B252B6" w:rsidRPr="00EF2F18">
        <w:rPr>
          <w:rFonts w:cs="Times New Roman"/>
          <w:sz w:val="22"/>
          <w:lang w:val="sr-Cyrl-RS"/>
        </w:rPr>
        <w:t>27</w:t>
      </w:r>
      <w:r w:rsidR="009E3888" w:rsidRPr="00EF2F18">
        <w:rPr>
          <w:rFonts w:cs="Times New Roman"/>
          <w:sz w:val="22"/>
          <w:lang w:val="sr-Cyrl-RS"/>
        </w:rPr>
        <w:t xml:space="preserve"> у мрежи </w:t>
      </w:r>
      <w:r w:rsidR="00B57CFF" w:rsidRPr="00EF2F18">
        <w:rPr>
          <w:rFonts w:cs="Times New Roman"/>
          <w:sz w:val="22"/>
          <w:lang w:val="sr-Cyrl-RS"/>
        </w:rPr>
        <w:t xml:space="preserve">града </w:t>
      </w:r>
      <w:r w:rsidR="00D438B8" w:rsidRPr="00EF2F18">
        <w:rPr>
          <w:rFonts w:cs="Times New Roman"/>
          <w:sz w:val="22"/>
          <w:lang w:val="sr-Cyrl-RS"/>
        </w:rPr>
        <w:t>Београда</w:t>
      </w:r>
      <w:r w:rsidR="004501E8" w:rsidRPr="00EF2F18">
        <w:rPr>
          <w:rFonts w:cs="Times New Roman"/>
          <w:sz w:val="22"/>
          <w:lang w:val="sr-Cyrl-RS"/>
        </w:rPr>
        <w:t xml:space="preserve"> </w:t>
      </w:r>
      <w:r w:rsidR="00F106C9" w:rsidRPr="00EF2F18">
        <w:rPr>
          <w:rFonts w:cs="Times New Roman"/>
          <w:sz w:val="22"/>
          <w:lang w:val="sr-Cyrl-RS"/>
        </w:rPr>
        <w:t>–</w:t>
      </w:r>
      <w:r w:rsidR="004501E8" w:rsidRPr="00EF2F18">
        <w:rPr>
          <w:rFonts w:cs="Times New Roman"/>
          <w:sz w:val="22"/>
          <w:lang w:val="sr-Cyrl-RS"/>
        </w:rPr>
        <w:t>Секретаријата за заштиту животне средине</w:t>
      </w:r>
      <w:r w:rsidR="009E3888" w:rsidRPr="00EF2F18">
        <w:rPr>
          <w:rFonts w:cs="Times New Roman"/>
          <w:sz w:val="22"/>
          <w:lang w:val="sr-Cyrl-RS"/>
        </w:rPr>
        <w:t xml:space="preserve">, </w:t>
      </w:r>
      <w:r w:rsidR="00B57CFF" w:rsidRPr="00EF2F18">
        <w:rPr>
          <w:rFonts w:cs="Times New Roman"/>
          <w:sz w:val="22"/>
          <w:lang w:val="sr-Cyrl-RS"/>
        </w:rPr>
        <w:t>седам</w:t>
      </w:r>
      <w:r w:rsidR="00057AD1" w:rsidRPr="00EF2F18">
        <w:rPr>
          <w:rFonts w:cs="Times New Roman"/>
          <w:sz w:val="22"/>
          <w:lang w:val="sr-Cyrl-RS"/>
        </w:rPr>
        <w:t xml:space="preserve"> у мрежи Покрајинског секретаријата за урбанизам и заштиту животне средине за територију Војводине, </w:t>
      </w:r>
      <w:r w:rsidR="00B57CFF" w:rsidRPr="00EF2F18">
        <w:rPr>
          <w:rFonts w:cs="Times New Roman"/>
          <w:sz w:val="22"/>
          <w:lang w:val="sr-Cyrl-RS"/>
        </w:rPr>
        <w:t>четири</w:t>
      </w:r>
      <w:r w:rsidR="00057AD1" w:rsidRPr="00EF2F18">
        <w:rPr>
          <w:rFonts w:cs="Times New Roman"/>
          <w:sz w:val="22"/>
          <w:lang w:val="sr-Cyrl-RS"/>
        </w:rPr>
        <w:t xml:space="preserve"> у мрежи </w:t>
      </w:r>
      <w:r w:rsidR="00B57CFF" w:rsidRPr="00EF2F18">
        <w:rPr>
          <w:rFonts w:cs="Times New Roman"/>
          <w:sz w:val="22"/>
          <w:lang w:val="sr-Cyrl-RS"/>
        </w:rPr>
        <w:t xml:space="preserve">града </w:t>
      </w:r>
      <w:r w:rsidR="00057AD1" w:rsidRPr="00EF2F18">
        <w:rPr>
          <w:rFonts w:cs="Times New Roman"/>
          <w:sz w:val="22"/>
          <w:lang w:val="sr-Cyrl-RS"/>
        </w:rPr>
        <w:t>Панчева за територију Панчева</w:t>
      </w:r>
      <w:r w:rsidR="00D034DD" w:rsidRPr="00EF2F18">
        <w:rPr>
          <w:rFonts w:cs="Times New Roman"/>
          <w:sz w:val="22"/>
          <w:lang w:val="sr-Cyrl-RS"/>
        </w:rPr>
        <w:t xml:space="preserve"> и</w:t>
      </w:r>
      <w:r w:rsidR="009E3888" w:rsidRPr="00EF2F18">
        <w:rPr>
          <w:rFonts w:cs="Times New Roman"/>
          <w:sz w:val="22"/>
          <w:lang w:val="sr-Cyrl-RS"/>
        </w:rPr>
        <w:t xml:space="preserve"> </w:t>
      </w:r>
      <w:r w:rsidR="00B57CFF" w:rsidRPr="00EF2F18">
        <w:rPr>
          <w:rFonts w:cs="Times New Roman"/>
          <w:sz w:val="22"/>
          <w:lang w:val="sr-Cyrl-RS"/>
        </w:rPr>
        <w:t>две</w:t>
      </w:r>
      <w:r w:rsidR="00D438B8" w:rsidRPr="00EF2F18">
        <w:rPr>
          <w:rFonts w:cs="Times New Roman"/>
          <w:sz w:val="22"/>
          <w:lang w:val="sr-Cyrl-RS"/>
        </w:rPr>
        <w:t xml:space="preserve"> </w:t>
      </w:r>
      <w:r w:rsidRPr="00EF2F18">
        <w:rPr>
          <w:rFonts w:cs="Times New Roman"/>
          <w:sz w:val="22"/>
          <w:lang w:val="sr-Cyrl-RS"/>
        </w:rPr>
        <w:t xml:space="preserve">станице оператера </w:t>
      </w:r>
      <w:r w:rsidR="00D438B8" w:rsidRPr="00EF2F18">
        <w:rPr>
          <w:rFonts w:cs="Times New Roman"/>
          <w:sz w:val="22"/>
          <w:lang w:val="sr-Cyrl-RS"/>
        </w:rPr>
        <w:t>у</w:t>
      </w:r>
      <w:r w:rsidR="009E3888" w:rsidRPr="00EF2F18">
        <w:rPr>
          <w:rFonts w:cs="Times New Roman"/>
          <w:sz w:val="22"/>
          <w:lang w:val="sr-Cyrl-RS"/>
        </w:rPr>
        <w:t xml:space="preserve"> </w:t>
      </w:r>
      <w:r w:rsidR="00D438B8" w:rsidRPr="00EF2F18">
        <w:rPr>
          <w:rFonts w:cs="Times New Roman"/>
          <w:sz w:val="22"/>
          <w:lang w:val="sr-Cyrl-RS"/>
        </w:rPr>
        <w:t>Бору</w:t>
      </w:r>
      <w:r w:rsidR="009E3888" w:rsidRPr="00EF2F18">
        <w:rPr>
          <w:rFonts w:cs="Times New Roman"/>
          <w:sz w:val="22"/>
          <w:lang w:val="sr-Cyrl-RS"/>
        </w:rPr>
        <w:t>)</w:t>
      </w:r>
      <w:r w:rsidR="0088194D" w:rsidRPr="00EF2F18">
        <w:rPr>
          <w:rFonts w:cs="Times New Roman"/>
          <w:sz w:val="22"/>
          <w:lang w:val="sr-Cyrl-RS"/>
        </w:rPr>
        <w:t>.</w:t>
      </w:r>
    </w:p>
    <w:p w14:paraId="71BCEF97" w14:textId="52EB69C8" w:rsidR="00B252B6" w:rsidRPr="00EF2F18" w:rsidRDefault="00D034DD" w:rsidP="003E5E7D">
      <w:pPr>
        <w:autoSpaceDE w:val="0"/>
        <w:autoSpaceDN w:val="0"/>
        <w:adjustRightInd w:val="0"/>
        <w:spacing w:after="0"/>
        <w:ind w:firstLine="720"/>
        <w:jc w:val="both"/>
        <w:rPr>
          <w:rFonts w:cs="Times New Roman"/>
          <w:sz w:val="22"/>
          <w:lang w:val="sr-Cyrl-RS"/>
        </w:rPr>
      </w:pPr>
      <w:r w:rsidRPr="00EF2F18">
        <w:rPr>
          <w:rFonts w:cs="Times New Roman"/>
          <w:sz w:val="22"/>
          <w:lang w:val="sr-Cyrl-RS"/>
        </w:rPr>
        <w:t>Поједине загађујуће материје су различито заступљене у програмима мониторинга квалитета ваздуха у државној и локалним мрежама за контролу квалитета ваздуха. У периоду 2019</w:t>
      </w:r>
      <w:r w:rsidR="00F106C9" w:rsidRPr="00EF2F18">
        <w:rPr>
          <w:rFonts w:cs="Times New Roman"/>
          <w:sz w:val="22"/>
          <w:lang w:val="sr-Cyrl-RS"/>
        </w:rPr>
        <w:t xml:space="preserve"> – </w:t>
      </w:r>
      <w:r w:rsidRPr="00EF2F18">
        <w:rPr>
          <w:rFonts w:cs="Times New Roman"/>
          <w:sz w:val="22"/>
          <w:lang w:val="sr-Cyrl-RS"/>
        </w:rPr>
        <w:t xml:space="preserve">2023. године повећавао се број мерних места односно број достављених података тако да је њихов укупан број порастао са 53 у 2019. години на 96 мерних места у 2023. години. Током протеклих пет година најзначајнији пораст бележе мерења суспендованих честица РМ10 (за 48 мерних места више), азот-диоксида и суспендованих честица РМ 2,5 (за 38 мерних места више), </w:t>
      </w:r>
      <w:r w:rsidRPr="00EF2F18">
        <w:rPr>
          <w:rFonts w:cs="Times New Roman"/>
          <w:sz w:val="22"/>
          <w:lang w:val="sr-Cyrl-RS"/>
        </w:rPr>
        <w:lastRenderedPageBreak/>
        <w:t>сумпор-диоксида (24), а затим приземног озона (16) и угљен-мон</w:t>
      </w:r>
      <w:r w:rsidR="00133A91">
        <w:rPr>
          <w:rFonts w:cs="Times New Roman"/>
          <w:sz w:val="22"/>
          <w:lang w:val="sr-Cyrl-RS"/>
        </w:rPr>
        <w:t>оксида (14). По броју резултата</w:t>
      </w:r>
      <w:r w:rsidRPr="00EF2F18">
        <w:rPr>
          <w:rFonts w:cs="Times New Roman"/>
          <w:sz w:val="22"/>
          <w:lang w:val="sr-Cyrl-RS"/>
        </w:rPr>
        <w:t xml:space="preserve"> током 2023. године најбројнија су била мерења суспендованих честица РМ10 (80), затим азот-диоксида (67), сумпор-диоксида (61), суспендованих честица РМ2,5 (54), угљен-моноксида (44) и приз</w:t>
      </w:r>
      <w:r w:rsidR="00A43E44" w:rsidRPr="00EF2F18">
        <w:rPr>
          <w:rFonts w:cs="Times New Roman"/>
          <w:sz w:val="22"/>
          <w:lang w:val="sr-Cyrl-RS"/>
        </w:rPr>
        <w:t>е</w:t>
      </w:r>
      <w:r w:rsidRPr="00EF2F18">
        <w:rPr>
          <w:rFonts w:cs="Times New Roman"/>
          <w:sz w:val="22"/>
          <w:lang w:val="sr-Cyrl-RS"/>
        </w:rPr>
        <w:t>мног озона (38)</w:t>
      </w:r>
      <w:r w:rsidR="00793687" w:rsidRPr="00EF2F18">
        <w:rPr>
          <w:rStyle w:val="FootnoteReference"/>
          <w:rFonts w:eastAsia="Times New Roman"/>
          <w:color w:val="000000"/>
          <w:sz w:val="22"/>
          <w:lang w:val="sr-Cyrl-RS"/>
        </w:rPr>
        <w:footnoteReference w:id="7"/>
      </w:r>
      <w:r w:rsidR="00B252B6" w:rsidRPr="00EF2F18">
        <w:rPr>
          <w:rFonts w:cs="Times New Roman"/>
          <w:sz w:val="22"/>
          <w:lang w:val="sr-Cyrl-RS"/>
        </w:rPr>
        <w:t>.</w:t>
      </w:r>
    </w:p>
    <w:p w14:paraId="0278FC23" w14:textId="5DAD1276" w:rsidR="00A43E44" w:rsidRPr="00EF2F18" w:rsidRDefault="00914938" w:rsidP="003E5E7D">
      <w:pPr>
        <w:autoSpaceDE w:val="0"/>
        <w:autoSpaceDN w:val="0"/>
        <w:adjustRightInd w:val="0"/>
        <w:spacing w:after="0"/>
        <w:ind w:firstLine="720"/>
        <w:jc w:val="both"/>
        <w:rPr>
          <w:rFonts w:cs="Times New Roman"/>
          <w:sz w:val="22"/>
          <w:lang w:val="sr-Cyrl-RS"/>
        </w:rPr>
      </w:pPr>
      <w:r w:rsidRPr="00EF2F18">
        <w:rPr>
          <w:noProof/>
          <w:lang w:val="sr-Cyrl-RS" w:eastAsia="sr-Cyrl-RS"/>
        </w:rPr>
        <w:drawing>
          <wp:inline distT="0" distB="0" distL="0" distR="0" wp14:anchorId="6713DCB0" wp14:editId="01FDF871">
            <wp:extent cx="3645556" cy="2181595"/>
            <wp:effectExtent l="0" t="0" r="0" b="9525"/>
            <wp:docPr id="1667754092" name="Picture 5" descr="A graph of numbers an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54092" name="Picture 5" descr="A graph of numbers and bar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54728" cy="2187084"/>
                    </a:xfrm>
                    <a:prstGeom prst="rect">
                      <a:avLst/>
                    </a:prstGeom>
                    <a:noFill/>
                    <a:ln>
                      <a:noFill/>
                    </a:ln>
                  </pic:spPr>
                </pic:pic>
              </a:graphicData>
            </a:graphic>
          </wp:inline>
        </w:drawing>
      </w:r>
    </w:p>
    <w:p w14:paraId="28C7829A" w14:textId="5A6ACBF8" w:rsidR="00D847E6" w:rsidRPr="00EF2F18" w:rsidRDefault="00B252B6" w:rsidP="00B252B6">
      <w:pPr>
        <w:autoSpaceDE w:val="0"/>
        <w:autoSpaceDN w:val="0"/>
        <w:adjustRightInd w:val="0"/>
        <w:spacing w:after="0"/>
        <w:jc w:val="both"/>
        <w:rPr>
          <w:rFonts w:eastAsia="Times New Roman"/>
          <w:bCs/>
          <w:color w:val="000000"/>
          <w:sz w:val="22"/>
          <w:lang w:val="sr-Cyrl-RS"/>
        </w:rPr>
      </w:pPr>
      <w:r w:rsidRPr="00EF2F18">
        <w:rPr>
          <w:rFonts w:eastAsia="Times New Roman"/>
          <w:b/>
          <w:color w:val="000000"/>
          <w:sz w:val="22"/>
          <w:lang w:val="sr-Cyrl-RS"/>
        </w:rPr>
        <w:t>Слика 3.1</w:t>
      </w:r>
      <w:r w:rsidR="007C33E8" w:rsidRPr="00EF2F18">
        <w:rPr>
          <w:rFonts w:eastAsia="Times New Roman"/>
          <w:b/>
          <w:color w:val="000000"/>
          <w:sz w:val="22"/>
          <w:lang w:val="sr-Cyrl-RS"/>
        </w:rPr>
        <w:t>2</w:t>
      </w:r>
      <w:r w:rsidRPr="00EF2F18">
        <w:rPr>
          <w:rFonts w:eastAsia="Times New Roman"/>
          <w:b/>
          <w:color w:val="000000"/>
          <w:sz w:val="22"/>
          <w:lang w:val="sr-Cyrl-RS"/>
        </w:rPr>
        <w:t>.</w:t>
      </w:r>
      <w:r w:rsidR="00A43E44" w:rsidRPr="00EF2F18">
        <w:rPr>
          <w:rFonts w:eastAsia="Times New Roman"/>
          <w:bCs/>
          <w:color w:val="000000"/>
          <w:sz w:val="22"/>
          <w:lang w:val="sr-Cyrl-RS"/>
        </w:rPr>
        <w:t xml:space="preserve"> Број мерних места на основу којих је урађена категоризација квалитета ваздуха у периоду 2019-2023. године</w:t>
      </w:r>
      <w:r w:rsidR="00267448" w:rsidRPr="00EF2F18">
        <w:rPr>
          <w:rFonts w:eastAsia="Times New Roman"/>
          <w:bCs/>
          <w:color w:val="000000"/>
          <w:sz w:val="22"/>
          <w:lang w:val="sr-Cyrl-RS"/>
        </w:rPr>
        <w:t xml:space="preserve"> </w:t>
      </w:r>
    </w:p>
    <w:p w14:paraId="4649812C" w14:textId="4E1FCA20" w:rsidR="00B252B6" w:rsidRPr="00EF2F18" w:rsidRDefault="00267448" w:rsidP="00B252B6">
      <w:pPr>
        <w:autoSpaceDE w:val="0"/>
        <w:autoSpaceDN w:val="0"/>
        <w:adjustRightInd w:val="0"/>
        <w:spacing w:after="0"/>
        <w:jc w:val="both"/>
        <w:rPr>
          <w:rFonts w:cs="Times New Roman"/>
          <w:i/>
          <w:iCs/>
          <w:sz w:val="22"/>
          <w:lang w:val="sr-Cyrl-RS"/>
        </w:rPr>
      </w:pPr>
      <w:r w:rsidRPr="00EF2F18">
        <w:rPr>
          <w:rFonts w:eastAsia="Times New Roman"/>
          <w:bCs/>
          <w:i/>
          <w:iCs/>
          <w:color w:val="000000"/>
          <w:sz w:val="22"/>
          <w:lang w:val="sr-Cyrl-RS"/>
        </w:rPr>
        <w:t xml:space="preserve">Извор: </w:t>
      </w:r>
      <w:r w:rsidR="00914938" w:rsidRPr="00EF2F18">
        <w:rPr>
          <w:rFonts w:cs="Times New Roman"/>
          <w:i/>
          <w:iCs/>
          <w:sz w:val="22"/>
          <w:lang w:val="sr-Cyrl-RS"/>
        </w:rPr>
        <w:t>СЕПА, Годишњи извештај о стању квалитета ваздуха у Републици Србији 2023. године, 2024.</w:t>
      </w:r>
    </w:p>
    <w:p w14:paraId="248CD943" w14:textId="77777777" w:rsidR="00163EDF" w:rsidRPr="00EF2F18" w:rsidRDefault="00163EDF" w:rsidP="00BF78D1">
      <w:pPr>
        <w:autoSpaceDE w:val="0"/>
        <w:autoSpaceDN w:val="0"/>
        <w:adjustRightInd w:val="0"/>
        <w:spacing w:after="0"/>
        <w:ind w:firstLine="720"/>
        <w:jc w:val="both"/>
        <w:rPr>
          <w:rFonts w:cs="Times New Roman"/>
          <w:sz w:val="22"/>
          <w:lang w:val="sr-Cyrl-RS"/>
        </w:rPr>
      </w:pPr>
    </w:p>
    <w:p w14:paraId="35079859" w14:textId="68B5E8D5" w:rsidR="007936CE" w:rsidRPr="00EF2F18" w:rsidRDefault="00A20065" w:rsidP="00BF78D1">
      <w:pPr>
        <w:autoSpaceDE w:val="0"/>
        <w:autoSpaceDN w:val="0"/>
        <w:adjustRightInd w:val="0"/>
        <w:spacing w:after="0"/>
        <w:ind w:firstLine="720"/>
        <w:jc w:val="both"/>
        <w:rPr>
          <w:rFonts w:cs="Times New Roman"/>
          <w:sz w:val="22"/>
          <w:lang w:val="sr-Cyrl-RS"/>
        </w:rPr>
      </w:pPr>
      <w:r w:rsidRPr="00EF2F18">
        <w:rPr>
          <w:rFonts w:cs="Times New Roman"/>
          <w:sz w:val="22"/>
          <w:lang w:val="sr-Cyrl-RS"/>
        </w:rPr>
        <w:t>У периоду од 2019. до 2023. године у Републици Србији дошло је до знатног повећања броја мерних места, нарочито оних на којима се врше мерења суспендованих честица PM2.5, а од 2021. године почело је да се примењује и критеријум за категоризацију квалитета ваздуха у односу на број дана у години када су регистрована прекорачења дневне граничне вредности за суспендоване честице PM10. Ове промене су условиле додатни начин поређења и анализе квалитета ваздуха од године до године, у овом посматраном периоду. За анализу суспендованих честица PM10 узет је проценат мерних места на којима је забележено прекорачење броја дана са концентрацијама већим од граничне вредности (ГВ) 50 μg/m³</w:t>
      </w:r>
      <w:r w:rsidR="008207C2" w:rsidRPr="00EF2F18">
        <w:rPr>
          <w:rFonts w:cs="Times New Roman"/>
          <w:sz w:val="22"/>
          <w:lang w:val="sr-Cyrl-RS"/>
        </w:rPr>
        <w:t xml:space="preserve">. </w:t>
      </w:r>
    </w:p>
    <w:p w14:paraId="3D96290F" w14:textId="26E8BF3F" w:rsidR="00BF78D1" w:rsidRPr="00EF2F18" w:rsidRDefault="00A43E44" w:rsidP="00BF78D1">
      <w:pPr>
        <w:autoSpaceDE w:val="0"/>
        <w:autoSpaceDN w:val="0"/>
        <w:adjustRightInd w:val="0"/>
        <w:spacing w:after="0"/>
        <w:ind w:firstLine="720"/>
        <w:jc w:val="both"/>
        <w:rPr>
          <w:rFonts w:cs="Times New Roman"/>
          <w:sz w:val="22"/>
          <w:lang w:val="sr-Cyrl-RS"/>
        </w:rPr>
      </w:pPr>
      <w:r w:rsidRPr="00EF2F18">
        <w:rPr>
          <w:rFonts w:cs="Times New Roman"/>
          <w:sz w:val="22"/>
          <w:lang w:val="sr-Cyrl-RS"/>
        </w:rPr>
        <w:t>У зони „Србија</w:t>
      </w:r>
      <w:r w:rsidR="00A64280" w:rsidRPr="00EF2F18">
        <w:rPr>
          <w:rFonts w:cs="Times New Roman"/>
          <w:sz w:val="22"/>
          <w:lang w:val="sr-Cyrl-RS"/>
        </w:rPr>
        <w:t>”</w:t>
      </w:r>
      <w:r w:rsidRPr="00EF2F18">
        <w:rPr>
          <w:rFonts w:cs="Times New Roman"/>
          <w:sz w:val="22"/>
          <w:lang w:val="sr-Cyrl-RS"/>
        </w:rPr>
        <w:t xml:space="preserve"> током 2023. године ваздух је био I категорије тј. чист или незнатно загађен ваздух, осим у градовима Крушевац, Ша</w:t>
      </w:r>
      <w:r w:rsidR="00B53378">
        <w:rPr>
          <w:rFonts w:cs="Times New Roman"/>
          <w:sz w:val="22"/>
          <w:lang w:val="sr-Cyrl-RS"/>
        </w:rPr>
        <w:t>бац, К</w:t>
      </w:r>
      <w:r w:rsidRPr="00EF2F18">
        <w:rPr>
          <w:rFonts w:cs="Times New Roman"/>
          <w:sz w:val="22"/>
          <w:lang w:val="sr-Cyrl-RS"/>
        </w:rPr>
        <w:t>рагујевац, Пирот, Лозница, Чачак, Параћин (Поповац), Зајечар, Краљево, Нови Пазар и Ваљево. У зони „Војводина</w:t>
      </w:r>
      <w:r w:rsidR="00A64280" w:rsidRPr="00EF2F18">
        <w:rPr>
          <w:rFonts w:cs="Times New Roman"/>
          <w:sz w:val="22"/>
          <w:lang w:val="sr-Cyrl-RS"/>
        </w:rPr>
        <w:t>”</w:t>
      </w:r>
      <w:r w:rsidRPr="00EF2F18">
        <w:rPr>
          <w:rFonts w:cs="Times New Roman"/>
          <w:sz w:val="22"/>
          <w:lang w:val="sr-Cyrl-RS"/>
        </w:rPr>
        <w:t xml:space="preserve"> током 2023. године ваздух је био I категорије тј. чист или незнатно загађен ваздух, осим у градовима Суботица и Сомбор. У 2023. години ваздух је био III категорије у агломерацијама: Београд, Нови Сад, Ниш, Панчево, Смедерево, Бор, Косјерић и Ужице. Током 2023. године квалитет ваздуха је био треће категорије, прекомерно загађен у аломерацији Београду услед прекорачења граничних вредности азот-диоксида и суспендованих честица PM10 и PM2.5, а у агломерацији Бор услед прекорачења граничних вредности суспендованих честица PM10 и олова у суспендованим честицама PM10. Агломерације Нови Сад, Ниш, Панчево, Смедерево, Косјерић и Ужице и градови Крушевац, Пирот, Нови Пазар, Ваљево су сврстани у трећу категорију квалитета ваздуха због прекомерног загађења суспендованим честицама PM10 и PM2.5. Прекомерно су били загађени градови Шабац, Крагујевац, Лозница, Чачак, Параћин (Поповац), Зајечар, Краљево, Суботица и Сомбор, а узрок је присуство суспендованих честица PM10 изнад дозвољених граница.</w:t>
      </w:r>
      <w:r w:rsidR="00BF78D1" w:rsidRPr="00EF2F18">
        <w:rPr>
          <w:rFonts w:cs="Times New Roman"/>
          <w:sz w:val="22"/>
          <w:lang w:val="sr-Cyrl-RS"/>
        </w:rPr>
        <w:t xml:space="preserve"> </w:t>
      </w:r>
    </w:p>
    <w:p w14:paraId="2D662CCD" w14:textId="7A62BFD0" w:rsidR="003A7C51" w:rsidRPr="00EF2F18" w:rsidRDefault="00DC1402" w:rsidP="003A7C51">
      <w:pPr>
        <w:autoSpaceDE w:val="0"/>
        <w:autoSpaceDN w:val="0"/>
        <w:adjustRightInd w:val="0"/>
        <w:spacing w:after="0"/>
        <w:ind w:firstLine="720"/>
        <w:jc w:val="both"/>
        <w:rPr>
          <w:rFonts w:cs="Times New Roman"/>
          <w:sz w:val="22"/>
          <w:lang w:val="sr-Cyrl-RS"/>
        </w:rPr>
      </w:pPr>
      <w:r w:rsidRPr="00EF2F18">
        <w:rPr>
          <w:rFonts w:cs="Times New Roman"/>
          <w:sz w:val="22"/>
          <w:lang w:val="sr-Cyrl-RS"/>
        </w:rPr>
        <w:t>Јединице л</w:t>
      </w:r>
      <w:r w:rsidR="003A7C51" w:rsidRPr="00EF2F18">
        <w:rPr>
          <w:rFonts w:cs="Times New Roman"/>
          <w:sz w:val="22"/>
          <w:lang w:val="sr-Cyrl-RS"/>
        </w:rPr>
        <w:t xml:space="preserve">окалне самоуправе у којима је квалитет ваздуха сврстан у трећу категорију у обавези су да усвоје план квалитета ваздуха. До почетка 2023. године, планови квалитета ваздуха припремљени су за Бор, Панчево, Смедерево, Нови Сад, Ужице, Београд, Косјерић и Крагујевац. Осим тога, локалне самоуправе имају обавезу да израде краткорочне акционе планове када постоји ризик од прекорачења концентрација опасних по здравље људи која је прописана за сумпор-диоксид, азот-диоксид и приземни озон. Овим краткорочним акционим плановима дефинишу се мере које се краткорочно предузимају у циљу смањења ризика или трајања таквог </w:t>
      </w:r>
      <w:r w:rsidR="003A7C51" w:rsidRPr="00EF2F18">
        <w:rPr>
          <w:rFonts w:cs="Times New Roman"/>
          <w:sz w:val="22"/>
          <w:lang w:val="sr-Cyrl-RS"/>
        </w:rPr>
        <w:lastRenderedPageBreak/>
        <w:t xml:space="preserve">прекорачења. Краткорочни акциони планови израђени су за агломерације Бор и Ужице, и за градове Сомбор, Крагујевац, Сремска Митровица, Лесковац, Трстеник и Крушевац, док је краткорочни акциони план за Београд укључен у ажурирани план </w:t>
      </w:r>
      <w:r w:rsidR="00793687" w:rsidRPr="00EF2F18">
        <w:rPr>
          <w:rFonts w:cs="Times New Roman"/>
          <w:sz w:val="22"/>
          <w:lang w:val="sr-Cyrl-RS"/>
        </w:rPr>
        <w:t xml:space="preserve">квалитета </w:t>
      </w:r>
      <w:r w:rsidR="003A7C51" w:rsidRPr="00EF2F18">
        <w:rPr>
          <w:rFonts w:cs="Times New Roman"/>
          <w:sz w:val="22"/>
          <w:lang w:val="sr-Cyrl-RS"/>
        </w:rPr>
        <w:t>ваздуха.</w:t>
      </w:r>
    </w:p>
    <w:p w14:paraId="678732D4" w14:textId="77777777" w:rsidR="00114464" w:rsidRPr="00EF2F18" w:rsidRDefault="00114464" w:rsidP="00BF78D1">
      <w:pPr>
        <w:autoSpaceDE w:val="0"/>
        <w:autoSpaceDN w:val="0"/>
        <w:adjustRightInd w:val="0"/>
        <w:spacing w:after="0"/>
        <w:ind w:firstLine="720"/>
        <w:jc w:val="both"/>
        <w:rPr>
          <w:rFonts w:cs="Times New Roman"/>
          <w:sz w:val="22"/>
          <w:lang w:val="sr-Cyrl-RS"/>
        </w:rPr>
      </w:pPr>
    </w:p>
    <w:p w14:paraId="10DAED4D" w14:textId="3B729F82" w:rsidR="00114464" w:rsidRPr="00EF2F18" w:rsidRDefault="00914938" w:rsidP="00646109">
      <w:pPr>
        <w:tabs>
          <w:tab w:val="left" w:pos="0"/>
        </w:tabs>
        <w:jc w:val="center"/>
        <w:rPr>
          <w:rFonts w:cs="Times New Roman"/>
          <w:sz w:val="22"/>
          <w:lang w:val="sr-Cyrl-RS"/>
        </w:rPr>
      </w:pPr>
      <w:r w:rsidRPr="00EF2F18">
        <w:rPr>
          <w:noProof/>
          <w:lang w:val="sr-Cyrl-RS" w:eastAsia="sr-Cyrl-RS"/>
        </w:rPr>
        <w:drawing>
          <wp:inline distT="0" distB="0" distL="0" distR="0" wp14:anchorId="54151F08" wp14:editId="2514FB7F">
            <wp:extent cx="2879908" cy="3840480"/>
            <wp:effectExtent l="0" t="0" r="0" b="7620"/>
            <wp:docPr id="710639820" name="Picture 9" descr="A map of a country with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60989" name="Picture 9" descr="A map of a country with different colored dot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09059" cy="3879354"/>
                    </a:xfrm>
                    <a:prstGeom prst="rect">
                      <a:avLst/>
                    </a:prstGeom>
                    <a:noFill/>
                    <a:ln>
                      <a:noFill/>
                    </a:ln>
                  </pic:spPr>
                </pic:pic>
              </a:graphicData>
            </a:graphic>
          </wp:inline>
        </w:drawing>
      </w:r>
    </w:p>
    <w:p w14:paraId="64F7C357" w14:textId="2C26AF32" w:rsidR="00114464" w:rsidRPr="00EF2F18" w:rsidRDefault="00114464" w:rsidP="003D0B29">
      <w:pPr>
        <w:pStyle w:val="Caption"/>
        <w:spacing w:after="0"/>
        <w:rPr>
          <w:rFonts w:ascii="Times New Roman" w:hAnsi="Times New Roman"/>
          <w:b w:val="0"/>
          <w:sz w:val="22"/>
          <w:szCs w:val="22"/>
          <w:lang w:val="sr-Cyrl-RS"/>
        </w:rPr>
      </w:pPr>
      <w:r w:rsidRPr="00EF2F18">
        <w:rPr>
          <w:rFonts w:ascii="Times New Roman" w:hAnsi="Times New Roman"/>
          <w:bCs w:val="0"/>
          <w:sz w:val="22"/>
          <w:szCs w:val="22"/>
          <w:lang w:val="sr-Cyrl-RS"/>
        </w:rPr>
        <w:t xml:space="preserve">Слика </w:t>
      </w:r>
      <w:r w:rsidR="00C0735C" w:rsidRPr="00EF2F18">
        <w:rPr>
          <w:rFonts w:ascii="Times New Roman" w:hAnsi="Times New Roman"/>
          <w:bCs w:val="0"/>
          <w:sz w:val="22"/>
          <w:szCs w:val="22"/>
          <w:lang w:val="sr-Cyrl-RS"/>
        </w:rPr>
        <w:t>3</w:t>
      </w:r>
      <w:r w:rsidR="00F36CC7" w:rsidRPr="00EF2F18">
        <w:rPr>
          <w:rFonts w:ascii="Times New Roman" w:hAnsi="Times New Roman"/>
          <w:bCs w:val="0"/>
          <w:sz w:val="22"/>
          <w:szCs w:val="22"/>
          <w:lang w:val="sr-Cyrl-RS"/>
        </w:rPr>
        <w:t>.</w:t>
      </w:r>
      <w:r w:rsidR="00CA06D5" w:rsidRPr="00EF2F18">
        <w:rPr>
          <w:rFonts w:ascii="Times New Roman" w:hAnsi="Times New Roman"/>
          <w:bCs w:val="0"/>
          <w:sz w:val="22"/>
          <w:szCs w:val="22"/>
          <w:lang w:val="sr-Cyrl-RS"/>
        </w:rPr>
        <w:t>1</w:t>
      </w:r>
      <w:r w:rsidR="007C33E8" w:rsidRPr="00EF2F18">
        <w:rPr>
          <w:rFonts w:ascii="Times New Roman" w:hAnsi="Times New Roman"/>
          <w:bCs w:val="0"/>
          <w:sz w:val="22"/>
          <w:szCs w:val="22"/>
          <w:lang w:val="sr-Cyrl-RS"/>
        </w:rPr>
        <w:t>3</w:t>
      </w:r>
      <w:r w:rsidR="00F36CC7" w:rsidRPr="00EF2F18">
        <w:rPr>
          <w:rFonts w:ascii="Times New Roman" w:hAnsi="Times New Roman"/>
          <w:bCs w:val="0"/>
          <w:sz w:val="22"/>
          <w:szCs w:val="22"/>
          <w:lang w:val="sr-Cyrl-RS"/>
        </w:rPr>
        <w:t>.</w:t>
      </w:r>
      <w:r w:rsidRPr="00EF2F18">
        <w:rPr>
          <w:rFonts w:ascii="Times New Roman" w:hAnsi="Times New Roman"/>
          <w:b w:val="0"/>
          <w:sz w:val="22"/>
          <w:szCs w:val="22"/>
          <w:lang w:val="sr-Cyrl-RS"/>
        </w:rPr>
        <w:t xml:space="preserve"> К</w:t>
      </w:r>
      <w:r w:rsidR="00401965" w:rsidRPr="00EF2F18">
        <w:rPr>
          <w:rFonts w:ascii="Times New Roman" w:hAnsi="Times New Roman"/>
          <w:b w:val="0"/>
          <w:sz w:val="22"/>
          <w:szCs w:val="22"/>
          <w:lang w:val="sr-Cyrl-RS"/>
        </w:rPr>
        <w:t>атегорије к</w:t>
      </w:r>
      <w:r w:rsidRPr="00EF2F18">
        <w:rPr>
          <w:rFonts w:ascii="Times New Roman" w:hAnsi="Times New Roman"/>
          <w:b w:val="0"/>
          <w:sz w:val="22"/>
          <w:szCs w:val="22"/>
          <w:lang w:val="sr-Cyrl-RS"/>
        </w:rPr>
        <w:t>валитет</w:t>
      </w:r>
      <w:r w:rsidR="00401965" w:rsidRPr="00EF2F18">
        <w:rPr>
          <w:rFonts w:ascii="Times New Roman" w:hAnsi="Times New Roman"/>
          <w:b w:val="0"/>
          <w:sz w:val="22"/>
          <w:szCs w:val="22"/>
          <w:lang w:val="sr-Cyrl-RS"/>
        </w:rPr>
        <w:t>а</w:t>
      </w:r>
      <w:r w:rsidRPr="00EF2F18">
        <w:rPr>
          <w:rFonts w:ascii="Times New Roman" w:hAnsi="Times New Roman"/>
          <w:b w:val="0"/>
          <w:sz w:val="22"/>
          <w:szCs w:val="22"/>
          <w:lang w:val="sr-Cyrl-RS"/>
        </w:rPr>
        <w:t xml:space="preserve"> ваздуха </w:t>
      </w:r>
      <w:r w:rsidR="00401965" w:rsidRPr="00EF2F18">
        <w:rPr>
          <w:rFonts w:ascii="Times New Roman" w:hAnsi="Times New Roman"/>
          <w:b w:val="0"/>
          <w:sz w:val="22"/>
          <w:szCs w:val="22"/>
          <w:lang w:val="sr-Cyrl-RS"/>
        </w:rPr>
        <w:t>у</w:t>
      </w:r>
      <w:r w:rsidRPr="00EF2F18">
        <w:rPr>
          <w:rFonts w:ascii="Times New Roman" w:hAnsi="Times New Roman"/>
          <w:b w:val="0"/>
          <w:sz w:val="22"/>
          <w:szCs w:val="22"/>
          <w:lang w:val="sr-Cyrl-RS"/>
        </w:rPr>
        <w:t xml:space="preserve"> 202</w:t>
      </w:r>
      <w:r w:rsidR="00914938" w:rsidRPr="00EF2F18">
        <w:rPr>
          <w:rFonts w:ascii="Times New Roman" w:hAnsi="Times New Roman"/>
          <w:b w:val="0"/>
          <w:sz w:val="22"/>
          <w:szCs w:val="22"/>
          <w:lang w:val="sr-Cyrl-RS"/>
        </w:rPr>
        <w:t>3</w:t>
      </w:r>
      <w:r w:rsidRPr="00EF2F18">
        <w:rPr>
          <w:rFonts w:ascii="Times New Roman" w:hAnsi="Times New Roman"/>
          <w:b w:val="0"/>
          <w:sz w:val="22"/>
          <w:szCs w:val="22"/>
          <w:lang w:val="sr-Cyrl-RS"/>
        </w:rPr>
        <w:t>. годин</w:t>
      </w:r>
      <w:r w:rsidR="00401965" w:rsidRPr="00EF2F18">
        <w:rPr>
          <w:rFonts w:ascii="Times New Roman" w:hAnsi="Times New Roman"/>
          <w:b w:val="0"/>
          <w:sz w:val="22"/>
          <w:szCs w:val="22"/>
          <w:lang w:val="sr-Cyrl-RS"/>
        </w:rPr>
        <w:t>и</w:t>
      </w:r>
    </w:p>
    <w:p w14:paraId="0539F972" w14:textId="41557410" w:rsidR="00114464" w:rsidRPr="00EF2F18" w:rsidRDefault="00114464" w:rsidP="003D0B29">
      <w:pPr>
        <w:autoSpaceDE w:val="0"/>
        <w:autoSpaceDN w:val="0"/>
        <w:adjustRightInd w:val="0"/>
        <w:spacing w:after="0"/>
        <w:jc w:val="both"/>
        <w:rPr>
          <w:rFonts w:cs="Times New Roman"/>
          <w:sz w:val="22"/>
          <w:lang w:val="sr-Cyrl-RS"/>
        </w:rPr>
      </w:pPr>
      <w:r w:rsidRPr="00EF2F18">
        <w:rPr>
          <w:rFonts w:cs="Times New Roman"/>
          <w:i/>
          <w:iCs/>
          <w:sz w:val="22"/>
          <w:lang w:val="sr-Cyrl-RS"/>
        </w:rPr>
        <w:t>Извор: Агенц</w:t>
      </w:r>
      <w:r w:rsidR="00401965" w:rsidRPr="00EF2F18">
        <w:rPr>
          <w:rFonts w:cs="Times New Roman"/>
          <w:i/>
          <w:iCs/>
          <w:sz w:val="22"/>
          <w:lang w:val="sr-Cyrl-RS"/>
        </w:rPr>
        <w:t xml:space="preserve">ија за заштиту животне средине, </w:t>
      </w:r>
      <w:r w:rsidR="00914938" w:rsidRPr="00EF2F18">
        <w:rPr>
          <w:rFonts w:cs="Times New Roman"/>
          <w:i/>
          <w:iCs/>
          <w:sz w:val="22"/>
          <w:lang w:val="sr-Cyrl-RS"/>
        </w:rPr>
        <w:t>2024</w:t>
      </w:r>
      <w:r w:rsidR="00401965" w:rsidRPr="00EF2F18">
        <w:rPr>
          <w:rFonts w:cs="Times New Roman"/>
          <w:i/>
          <w:iCs/>
          <w:sz w:val="22"/>
          <w:lang w:val="sr-Cyrl-RS"/>
        </w:rPr>
        <w:t>.</w:t>
      </w:r>
    </w:p>
    <w:p w14:paraId="2C6742BF" w14:textId="77777777" w:rsidR="00793687" w:rsidRPr="00EF2F18" w:rsidRDefault="00793687" w:rsidP="00793687">
      <w:pPr>
        <w:autoSpaceDE w:val="0"/>
        <w:autoSpaceDN w:val="0"/>
        <w:adjustRightInd w:val="0"/>
        <w:spacing w:after="0"/>
        <w:jc w:val="both"/>
        <w:rPr>
          <w:rFonts w:cs="Times New Roman"/>
          <w:sz w:val="22"/>
          <w:lang w:val="sr-Cyrl-RS"/>
        </w:rPr>
      </w:pPr>
    </w:p>
    <w:p w14:paraId="59896C33" w14:textId="6CCD671C" w:rsidR="00793687" w:rsidRPr="00EF2F18" w:rsidRDefault="00793687" w:rsidP="006E3932">
      <w:pPr>
        <w:autoSpaceDE w:val="0"/>
        <w:autoSpaceDN w:val="0"/>
        <w:adjustRightInd w:val="0"/>
        <w:spacing w:after="0"/>
        <w:ind w:firstLine="576"/>
        <w:jc w:val="both"/>
        <w:rPr>
          <w:rFonts w:eastAsia="Times New Roman" w:cs="Times New Roman"/>
          <w:b/>
          <w:bCs/>
          <w:i/>
          <w:iCs/>
          <w:sz w:val="22"/>
          <w:lang w:val="sr-Cyrl-RS"/>
        </w:rPr>
      </w:pPr>
      <w:r w:rsidRPr="00EF2F18">
        <w:rPr>
          <w:rFonts w:eastAsia="Times New Roman" w:cs="Times New Roman"/>
          <w:b/>
          <w:bCs/>
          <w:i/>
          <w:iCs/>
          <w:sz w:val="22"/>
          <w:lang w:val="sr-Cyrl-RS"/>
        </w:rPr>
        <w:t>Емисије загађујућих материја у ваздух</w:t>
      </w:r>
    </w:p>
    <w:p w14:paraId="540887CC" w14:textId="77777777" w:rsidR="00A20065" w:rsidRPr="00EF2F18" w:rsidRDefault="00A20065" w:rsidP="006E3932">
      <w:pPr>
        <w:autoSpaceDE w:val="0"/>
        <w:autoSpaceDN w:val="0"/>
        <w:adjustRightInd w:val="0"/>
        <w:spacing w:after="0"/>
        <w:ind w:firstLine="576"/>
        <w:jc w:val="both"/>
        <w:rPr>
          <w:rFonts w:eastAsia="Times New Roman" w:cs="Times New Roman"/>
          <w:b/>
          <w:bCs/>
          <w:i/>
          <w:iCs/>
          <w:sz w:val="22"/>
          <w:lang w:val="sr-Cyrl-RS"/>
        </w:rPr>
      </w:pPr>
    </w:p>
    <w:p w14:paraId="6CB9EC20" w14:textId="69026630" w:rsidR="00A20065" w:rsidRPr="00EF2F18" w:rsidRDefault="00A20065" w:rsidP="006E3932">
      <w:pPr>
        <w:autoSpaceDE w:val="0"/>
        <w:autoSpaceDN w:val="0"/>
        <w:adjustRightInd w:val="0"/>
        <w:spacing w:after="0"/>
        <w:ind w:firstLine="576"/>
        <w:jc w:val="both"/>
        <w:rPr>
          <w:rFonts w:cs="Times New Roman"/>
          <w:b/>
          <w:bCs/>
          <w:i/>
          <w:iCs/>
          <w:sz w:val="22"/>
          <w:lang w:val="sr-Cyrl-RS"/>
        </w:rPr>
      </w:pPr>
      <w:r w:rsidRPr="00EF2F18">
        <w:rPr>
          <w:rFonts w:cs="Times New Roman"/>
          <w:sz w:val="22"/>
          <w:lang w:val="sr-Cyrl-RS"/>
        </w:rPr>
        <w:t>Укупне емисије SO</w:t>
      </w:r>
      <w:r w:rsidRPr="00EF2F18">
        <w:rPr>
          <w:rFonts w:cs="Times New Roman"/>
          <w:sz w:val="22"/>
          <w:vertAlign w:val="subscript"/>
          <w:lang w:val="sr-Cyrl-RS"/>
        </w:rPr>
        <w:t>2</w:t>
      </w:r>
      <w:r w:rsidRPr="00EF2F18">
        <w:rPr>
          <w:rFonts w:cs="Times New Roman"/>
          <w:sz w:val="22"/>
          <w:lang w:val="sr-Cyrl-RS"/>
        </w:rPr>
        <w:t xml:space="preserve"> у 2023. години су достигле 332,36 kt SO</w:t>
      </w:r>
      <w:r w:rsidRPr="00EF2F18">
        <w:rPr>
          <w:rFonts w:cs="Times New Roman"/>
          <w:sz w:val="22"/>
          <w:vertAlign w:val="subscript"/>
          <w:lang w:val="sr-Cyrl-RS"/>
        </w:rPr>
        <w:t>2</w:t>
      </w:r>
      <w:r w:rsidRPr="00EF2F18">
        <w:rPr>
          <w:rFonts w:cs="Times New Roman"/>
          <w:sz w:val="22"/>
          <w:lang w:val="sr-Cyrl-RS"/>
        </w:rPr>
        <w:t>, што представља смањење од 17,04% у односу на 2010. годину. Повећање емисија се запажа у 2011. години од 13,8% у поређењу са 2010., а затим и у 2013. години од 8,3%. Након тога се успоставља стабилан тренд емисија. Јавна производња и дистрибуција енергије далеко је највећи извор емисија SO</w:t>
      </w:r>
      <w:r w:rsidRPr="00EF2F18">
        <w:rPr>
          <w:rFonts w:cs="Times New Roman"/>
          <w:sz w:val="22"/>
          <w:vertAlign w:val="subscript"/>
          <w:lang w:val="sr-Cyrl-RS"/>
        </w:rPr>
        <w:t>2</w:t>
      </w:r>
      <w:r w:rsidRPr="00EF2F18">
        <w:rPr>
          <w:rFonts w:cs="Times New Roman"/>
          <w:sz w:val="22"/>
          <w:lang w:val="sr-Cyrl-RS"/>
        </w:rPr>
        <w:t xml:space="preserve"> и овај сектор емитује 88,6% укупних емисија у 2023. Емисије SO</w:t>
      </w:r>
      <w:r w:rsidRPr="00EF2F18">
        <w:rPr>
          <w:rFonts w:cs="Times New Roman"/>
          <w:sz w:val="22"/>
          <w:vertAlign w:val="subscript"/>
          <w:lang w:val="sr-Cyrl-RS"/>
        </w:rPr>
        <w:t>2</w:t>
      </w:r>
      <w:r w:rsidRPr="00EF2F18">
        <w:rPr>
          <w:rFonts w:cs="Times New Roman"/>
          <w:sz w:val="22"/>
          <w:lang w:val="sr-Cyrl-RS"/>
        </w:rPr>
        <w:t xml:space="preserve"> потичу од употребе домаћег лигнита као енергента у термоелектранама и другим ложиштима. Преосталих 7,4% емисија SO</w:t>
      </w:r>
      <w:r w:rsidRPr="00EF2F18">
        <w:rPr>
          <w:rFonts w:cs="Times New Roman"/>
          <w:sz w:val="22"/>
          <w:vertAlign w:val="subscript"/>
          <w:lang w:val="sr-Cyrl-RS"/>
        </w:rPr>
        <w:t>2</w:t>
      </w:r>
      <w:r w:rsidRPr="00EF2F18">
        <w:rPr>
          <w:rFonts w:cs="Times New Roman"/>
          <w:sz w:val="22"/>
          <w:lang w:val="sr-Cyrl-RS"/>
        </w:rPr>
        <w:t xml:space="preserve"> потиче из сектора употребе енергије у индустрији и индустријских процеса, као и из сектора топлана снаге мање од 50 MW и индивидуалног грејања од 3,6%.</w:t>
      </w:r>
    </w:p>
    <w:p w14:paraId="4B6E000F" w14:textId="086D80CA" w:rsidR="009E3888" w:rsidRPr="00EF2F18" w:rsidRDefault="009E3888" w:rsidP="009A2A14">
      <w:pPr>
        <w:spacing w:after="0"/>
        <w:jc w:val="center"/>
        <w:rPr>
          <w:rFonts w:eastAsia="Times New Roman" w:cs="Times New Roman"/>
          <w:sz w:val="22"/>
          <w:lang w:val="sr-Cyrl-RS"/>
        </w:rPr>
      </w:pPr>
      <w:bookmarkStart w:id="41" w:name="_heading=h.2jxsxqh" w:colFirst="0" w:colLast="0"/>
      <w:bookmarkEnd w:id="41"/>
      <w:r w:rsidRPr="00EF2F18">
        <w:rPr>
          <w:rFonts w:eastAsia="Times New Roman" w:cs="Times New Roman"/>
          <w:noProof/>
          <w:sz w:val="22"/>
          <w:lang w:val="sr-Cyrl-RS" w:eastAsia="sr-Cyrl-RS"/>
        </w:rPr>
        <w:lastRenderedPageBreak/>
        <w:drawing>
          <wp:inline distT="0" distB="0" distL="0" distR="0" wp14:anchorId="26EC9A5E" wp14:editId="3602A3C8">
            <wp:extent cx="4895850" cy="2857500"/>
            <wp:effectExtent l="0" t="0" r="0" b="0"/>
            <wp:docPr id="586" name="image43.png" descr="A graph with blue and orange bars&#10;&#10;Description automatically generated"/>
            <wp:cNvGraphicFramePr/>
            <a:graphic xmlns:a="http://schemas.openxmlformats.org/drawingml/2006/main">
              <a:graphicData uri="http://schemas.openxmlformats.org/drawingml/2006/picture">
                <pic:pic xmlns:pic="http://schemas.openxmlformats.org/drawingml/2006/picture">
                  <pic:nvPicPr>
                    <pic:cNvPr id="586" name="image43.png" descr="A graph with blue and orange bars&#10;&#10;Description automatically generated"/>
                    <pic:cNvPicPr preferRelativeResize="0"/>
                  </pic:nvPicPr>
                  <pic:blipFill>
                    <a:blip r:embed="rId30"/>
                    <a:srcRect/>
                    <a:stretch>
                      <a:fillRect/>
                    </a:stretch>
                  </pic:blipFill>
                  <pic:spPr>
                    <a:xfrm>
                      <a:off x="0" y="0"/>
                      <a:ext cx="4895850" cy="2857500"/>
                    </a:xfrm>
                    <a:prstGeom prst="rect">
                      <a:avLst/>
                    </a:prstGeom>
                    <a:ln/>
                  </pic:spPr>
                </pic:pic>
              </a:graphicData>
            </a:graphic>
          </wp:inline>
        </w:drawing>
      </w:r>
    </w:p>
    <w:p w14:paraId="435682A1" w14:textId="74C8223B" w:rsidR="009E3888" w:rsidRPr="00EF2F18" w:rsidRDefault="009E3888" w:rsidP="009A2A14">
      <w:pPr>
        <w:keepNext/>
        <w:pBdr>
          <w:top w:val="nil"/>
          <w:left w:val="nil"/>
          <w:bottom w:val="nil"/>
          <w:right w:val="nil"/>
          <w:between w:val="nil"/>
        </w:pBdr>
        <w:spacing w:after="0"/>
        <w:jc w:val="both"/>
        <w:rPr>
          <w:rFonts w:eastAsia="Times New Roman" w:cs="Times New Roman"/>
          <w:b/>
          <w:i/>
          <w:color w:val="000000"/>
          <w:sz w:val="22"/>
          <w:lang w:val="sr-Cyrl-RS"/>
        </w:rPr>
      </w:pPr>
      <w:r w:rsidRPr="00EF2F18">
        <w:rPr>
          <w:rFonts w:eastAsia="Times New Roman" w:cs="Times New Roman"/>
          <w:b/>
          <w:color w:val="000000"/>
          <w:sz w:val="22"/>
          <w:lang w:val="sr-Cyrl-RS"/>
        </w:rPr>
        <w:t>Слика 3.1</w:t>
      </w:r>
      <w:r w:rsidR="007C33E8" w:rsidRPr="00EF2F18">
        <w:rPr>
          <w:rFonts w:eastAsia="Times New Roman" w:cs="Times New Roman"/>
          <w:b/>
          <w:color w:val="000000"/>
          <w:sz w:val="22"/>
          <w:lang w:val="sr-Cyrl-RS"/>
        </w:rPr>
        <w:t>4</w:t>
      </w:r>
      <w:r w:rsidRPr="00EF2F18">
        <w:rPr>
          <w:rFonts w:eastAsia="Times New Roman" w:cs="Times New Roman"/>
          <w:b/>
          <w:color w:val="000000"/>
          <w:sz w:val="22"/>
          <w:lang w:val="sr-Cyrl-RS"/>
        </w:rPr>
        <w:t xml:space="preserve">. </w:t>
      </w:r>
      <w:r w:rsidRPr="00EF2F18">
        <w:rPr>
          <w:rFonts w:eastAsia="Times New Roman" w:cs="Times New Roman"/>
          <w:bCs/>
          <w:color w:val="000000"/>
          <w:sz w:val="22"/>
          <w:lang w:val="sr-Cyrl-RS"/>
        </w:rPr>
        <w:t>Укупне емисије SO</w:t>
      </w:r>
      <w:r w:rsidRPr="00EF2F18">
        <w:rPr>
          <w:rFonts w:eastAsia="Times New Roman" w:cs="Times New Roman"/>
          <w:bCs/>
          <w:color w:val="000000"/>
          <w:sz w:val="22"/>
          <w:vertAlign w:val="subscript"/>
          <w:lang w:val="sr-Cyrl-RS"/>
        </w:rPr>
        <w:t>2</w:t>
      </w:r>
      <w:r w:rsidRPr="00EF2F18">
        <w:rPr>
          <w:rFonts w:eastAsia="Times New Roman" w:cs="Times New Roman"/>
          <w:bCs/>
          <w:color w:val="000000"/>
          <w:sz w:val="22"/>
          <w:lang w:val="sr-Cyrl-RS"/>
        </w:rPr>
        <w:t xml:space="preserve"> у Републици Србији (2005-2019. године)</w:t>
      </w:r>
    </w:p>
    <w:p w14:paraId="29D8A143" w14:textId="10D5E49D" w:rsidR="000A25F7" w:rsidRPr="00EF2F18" w:rsidRDefault="000A25F7" w:rsidP="009A2A14">
      <w:pPr>
        <w:spacing w:after="0"/>
        <w:jc w:val="both"/>
        <w:rPr>
          <w:rFonts w:cs="Times New Roman"/>
          <w:i/>
          <w:iCs/>
          <w:sz w:val="22"/>
          <w:lang w:val="sr-Cyrl-RS"/>
        </w:rPr>
      </w:pPr>
      <w:r w:rsidRPr="00EF2F18">
        <w:rPr>
          <w:rFonts w:cs="Times New Roman"/>
          <w:i/>
          <w:iCs/>
          <w:sz w:val="22"/>
          <w:lang w:val="sr-Cyrl-RS"/>
        </w:rPr>
        <w:t>Извор:</w:t>
      </w:r>
      <w:r w:rsidR="0055125F" w:rsidRPr="00EF2F18">
        <w:rPr>
          <w:lang w:val="sr-Cyrl-RS"/>
        </w:rPr>
        <w:t xml:space="preserve"> </w:t>
      </w:r>
      <w:r w:rsidR="0055125F" w:rsidRPr="00EF2F18">
        <w:rPr>
          <w:rFonts w:cs="Times New Roman"/>
          <w:i/>
          <w:iCs/>
          <w:sz w:val="22"/>
          <w:lang w:val="sr-Cyrl-RS"/>
        </w:rPr>
        <w:t>Програм заштите ваздуха у Републици Србији за период од 2022. до 2030. године са акционим планом</w:t>
      </w:r>
    </w:p>
    <w:p w14:paraId="71CB1E6C" w14:textId="77777777" w:rsidR="000A25F7" w:rsidRPr="00EF2F18" w:rsidRDefault="000A25F7" w:rsidP="009A2A14">
      <w:pPr>
        <w:spacing w:after="0"/>
        <w:jc w:val="both"/>
        <w:rPr>
          <w:rFonts w:eastAsia="Times New Roman" w:cs="Times New Roman"/>
          <w:sz w:val="22"/>
          <w:lang w:val="sr-Cyrl-RS"/>
        </w:rPr>
      </w:pPr>
    </w:p>
    <w:p w14:paraId="0140AE9F" w14:textId="324B5BB6" w:rsidR="00A32356" w:rsidRPr="00CD0755" w:rsidRDefault="00A20065" w:rsidP="00CD0755">
      <w:pPr>
        <w:spacing w:after="0"/>
        <w:ind w:firstLine="720"/>
        <w:jc w:val="both"/>
        <w:rPr>
          <w:rFonts w:cs="Times New Roman"/>
          <w:sz w:val="22"/>
          <w:lang w:val="sr-Cyrl-RS"/>
        </w:rPr>
      </w:pPr>
      <w:r w:rsidRPr="00EF2F18">
        <w:rPr>
          <w:rFonts w:cs="Times New Roman"/>
          <w:sz w:val="22"/>
          <w:lang w:val="sr-Cyrl-RS"/>
        </w:rPr>
        <w:t>Укупне емисије NOx у 2023. години су достигле 139,07 kt NOx што представља смањење од 4,6% у односу на 2010. годину. Повећање емисија се запажа у 2011. години од 9,7% у поређењу са 2010.</w:t>
      </w:r>
      <w:r w:rsidR="00AA2891" w:rsidRPr="00EF2F18">
        <w:rPr>
          <w:rFonts w:cs="Times New Roman"/>
          <w:sz w:val="22"/>
          <w:lang w:val="sr-Cyrl-RS"/>
        </w:rPr>
        <w:t xml:space="preserve"> годином</w:t>
      </w:r>
      <w:r w:rsidRPr="00EF2F18">
        <w:rPr>
          <w:rFonts w:cs="Times New Roman"/>
          <w:sz w:val="22"/>
          <w:lang w:val="sr-Cyrl-RS"/>
        </w:rPr>
        <w:t xml:space="preserve">, након чега је присутан опадајући тренд емисија, нарочито у 2014. години када су емисије услед великих поплава опале за 15% у односу на 2010. годину. Јавна производња и дистрибуција енергије је највећи извор емисија NOx и овај сектор емитује 48% укупних емисија у 2023. 25,4% емисија NOx потиче из сектора друмског саобраћаја. У овом сектору, 46% емисија NOx потичу од путничких </w:t>
      </w:r>
      <w:r w:rsidR="00FF6F3F" w:rsidRPr="00EF2F18">
        <w:rPr>
          <w:rFonts w:cs="Times New Roman"/>
          <w:sz w:val="22"/>
          <w:lang w:val="sr-Cyrl-RS"/>
        </w:rPr>
        <w:t xml:space="preserve">возила, </w:t>
      </w:r>
      <w:r w:rsidRPr="00EF2F18">
        <w:rPr>
          <w:rFonts w:cs="Times New Roman"/>
          <w:sz w:val="22"/>
          <w:lang w:val="sr-Cyrl-RS"/>
        </w:rPr>
        <w:t>42% од теретних возила и аутобуса и 12% од комерцијалних возила. Већи део преосталих емисија NOx потиче из сектора употребе енергије у индустрији и индустријских процеса и износе 9,8%</w:t>
      </w:r>
      <w:bookmarkStart w:id="42" w:name="_Hlk180646465"/>
      <w:r w:rsidR="009E3888" w:rsidRPr="00EF2F18">
        <w:rPr>
          <w:rFonts w:eastAsia="Times New Roman" w:cs="Times New Roman"/>
          <w:sz w:val="22"/>
          <w:lang w:val="sr-Cyrl-RS"/>
        </w:rPr>
        <w:t>.</w:t>
      </w:r>
      <w:r w:rsidR="006C2E00" w:rsidRPr="00EF2F18">
        <w:rPr>
          <w:rFonts w:eastAsia="Times New Roman" w:cs="Times New Roman"/>
          <w:sz w:val="22"/>
          <w:lang w:val="sr-Cyrl-RS"/>
        </w:rPr>
        <w:t xml:space="preserve"> </w:t>
      </w:r>
      <w:bookmarkEnd w:id="42"/>
    </w:p>
    <w:p w14:paraId="01D4EA7A" w14:textId="77777777" w:rsidR="009E3888" w:rsidRPr="00EF2F18" w:rsidRDefault="009E3888" w:rsidP="009A2A14">
      <w:pPr>
        <w:spacing w:after="0"/>
        <w:jc w:val="center"/>
        <w:rPr>
          <w:rFonts w:eastAsia="Times New Roman" w:cs="Times New Roman"/>
          <w:sz w:val="22"/>
          <w:lang w:val="sr-Cyrl-RS"/>
        </w:rPr>
      </w:pPr>
      <w:bookmarkStart w:id="43" w:name="_heading=h.z337ya" w:colFirst="0" w:colLast="0"/>
      <w:bookmarkEnd w:id="43"/>
      <w:r w:rsidRPr="00EF2F18">
        <w:rPr>
          <w:rFonts w:eastAsia="Times New Roman" w:cs="Times New Roman"/>
          <w:noProof/>
          <w:sz w:val="22"/>
          <w:lang w:val="sr-Cyrl-RS" w:eastAsia="sr-Cyrl-RS"/>
        </w:rPr>
        <w:drawing>
          <wp:inline distT="0" distB="0" distL="0" distR="0" wp14:anchorId="145A3633" wp14:editId="32F0FB5A">
            <wp:extent cx="4895850" cy="2581275"/>
            <wp:effectExtent l="0" t="0" r="0" b="9525"/>
            <wp:docPr id="588" name="image60.png" descr="A graph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588" name="image60.png" descr="A graph with different colored bars&#10;&#10;Description automatically generated"/>
                    <pic:cNvPicPr preferRelativeResize="0"/>
                  </pic:nvPicPr>
                  <pic:blipFill>
                    <a:blip r:embed="rId31"/>
                    <a:srcRect/>
                    <a:stretch>
                      <a:fillRect/>
                    </a:stretch>
                  </pic:blipFill>
                  <pic:spPr>
                    <a:xfrm>
                      <a:off x="0" y="0"/>
                      <a:ext cx="4895850" cy="2581275"/>
                    </a:xfrm>
                    <a:prstGeom prst="rect">
                      <a:avLst/>
                    </a:prstGeom>
                    <a:ln/>
                  </pic:spPr>
                </pic:pic>
              </a:graphicData>
            </a:graphic>
          </wp:inline>
        </w:drawing>
      </w:r>
    </w:p>
    <w:p w14:paraId="5B4F3970" w14:textId="7CFC5169" w:rsidR="009E3888" w:rsidRPr="00EF2F18" w:rsidRDefault="009E3888" w:rsidP="009A2A14">
      <w:pPr>
        <w:keepNext/>
        <w:pBdr>
          <w:top w:val="nil"/>
          <w:left w:val="nil"/>
          <w:bottom w:val="nil"/>
          <w:right w:val="nil"/>
          <w:between w:val="nil"/>
        </w:pBdr>
        <w:spacing w:after="0"/>
        <w:jc w:val="both"/>
        <w:rPr>
          <w:rFonts w:eastAsia="Times New Roman" w:cs="Times New Roman"/>
          <w:b/>
          <w:i/>
          <w:color w:val="000000"/>
          <w:sz w:val="22"/>
          <w:lang w:val="sr-Cyrl-RS"/>
        </w:rPr>
      </w:pPr>
      <w:r w:rsidRPr="00EF2F18">
        <w:rPr>
          <w:rFonts w:eastAsia="Times New Roman" w:cs="Times New Roman"/>
          <w:b/>
          <w:color w:val="000000"/>
          <w:sz w:val="22"/>
          <w:lang w:val="sr-Cyrl-RS"/>
        </w:rPr>
        <w:t>Слика 3.1</w:t>
      </w:r>
      <w:r w:rsidR="007C33E8" w:rsidRPr="00EF2F18">
        <w:rPr>
          <w:rFonts w:eastAsia="Times New Roman" w:cs="Times New Roman"/>
          <w:b/>
          <w:color w:val="000000"/>
          <w:sz w:val="22"/>
          <w:lang w:val="sr-Cyrl-RS"/>
        </w:rPr>
        <w:t>5</w:t>
      </w:r>
      <w:r w:rsidRPr="00EF2F18">
        <w:rPr>
          <w:rFonts w:eastAsia="Times New Roman" w:cs="Times New Roman"/>
          <w:b/>
          <w:color w:val="000000"/>
          <w:sz w:val="22"/>
          <w:lang w:val="sr-Cyrl-RS"/>
        </w:rPr>
        <w:t xml:space="preserve">. </w:t>
      </w:r>
      <w:r w:rsidRPr="00EF2F18">
        <w:rPr>
          <w:rFonts w:eastAsia="Times New Roman" w:cs="Times New Roman"/>
          <w:bCs/>
          <w:color w:val="000000"/>
          <w:sz w:val="22"/>
          <w:lang w:val="sr-Cyrl-RS"/>
        </w:rPr>
        <w:t>Укупне емисије NOx у Републици Србији (2005-2019. године)</w:t>
      </w:r>
    </w:p>
    <w:p w14:paraId="5FB8F92E" w14:textId="476B3B82" w:rsidR="000A25F7" w:rsidRPr="00EF2F18" w:rsidRDefault="000A25F7" w:rsidP="009A2A14">
      <w:pPr>
        <w:spacing w:after="0"/>
        <w:jc w:val="both"/>
        <w:rPr>
          <w:rFonts w:cs="Times New Roman"/>
          <w:i/>
          <w:iCs/>
          <w:sz w:val="22"/>
          <w:lang w:val="sr-Cyrl-RS"/>
        </w:rPr>
      </w:pPr>
      <w:r w:rsidRPr="00EF2F18">
        <w:rPr>
          <w:rFonts w:cs="Times New Roman"/>
          <w:i/>
          <w:iCs/>
          <w:sz w:val="22"/>
          <w:lang w:val="sr-Cyrl-RS"/>
        </w:rPr>
        <w:t>Извор:</w:t>
      </w:r>
      <w:r w:rsidR="0055125F" w:rsidRPr="00EF2F18">
        <w:rPr>
          <w:rFonts w:cs="Times New Roman"/>
          <w:i/>
          <w:iCs/>
          <w:sz w:val="22"/>
          <w:lang w:val="sr-Cyrl-RS"/>
        </w:rPr>
        <w:t xml:space="preserve"> Програм заштите ваздуха у Републици Србији за период од 2022. до 2030. године са акционим планом</w:t>
      </w:r>
    </w:p>
    <w:p w14:paraId="050FAE23" w14:textId="77777777" w:rsidR="009E3888" w:rsidRPr="00EF2F18" w:rsidRDefault="009E3888" w:rsidP="009A2A14">
      <w:pPr>
        <w:spacing w:after="0"/>
        <w:jc w:val="both"/>
        <w:rPr>
          <w:rFonts w:eastAsia="Times New Roman" w:cs="Times New Roman"/>
          <w:sz w:val="22"/>
          <w:lang w:val="sr-Cyrl-RS"/>
        </w:rPr>
      </w:pPr>
    </w:p>
    <w:p w14:paraId="480EF097" w14:textId="63950A5C" w:rsidR="009E3888" w:rsidRDefault="00A20065" w:rsidP="009A2A14">
      <w:pPr>
        <w:spacing w:after="0"/>
        <w:ind w:firstLine="720"/>
        <w:jc w:val="both"/>
        <w:rPr>
          <w:rFonts w:cs="Times New Roman"/>
          <w:sz w:val="22"/>
          <w:lang w:val="sr-Cyrl-RS"/>
        </w:rPr>
      </w:pPr>
      <w:r w:rsidRPr="00EF2F18">
        <w:rPr>
          <w:rFonts w:cs="Times New Roman"/>
          <w:sz w:val="22"/>
          <w:lang w:val="sr-Cyrl-RS"/>
        </w:rPr>
        <w:t xml:space="preserve">Емисије PM2.5 су у 2023. години износиле 58,18 kt PM2.5, што представља повећање од 36,4% у односу на 2010. годину. Стабилан тренд емисија је све до 2019. године када долази до наглог скока PM2.5 емисија од 36,8%. Разлог оваквог повећања је повећана потрошња лигнита, природног гаса и дрвне биомасе у категорији Домаћинства: Стационарно сагоревање. Примећује </w:t>
      </w:r>
      <w:r w:rsidRPr="00EF2F18">
        <w:rPr>
          <w:rFonts w:cs="Times New Roman"/>
          <w:sz w:val="22"/>
          <w:lang w:val="sr-Cyrl-RS"/>
        </w:rPr>
        <w:lastRenderedPageBreak/>
        <w:t>се да је у наредном периоду и даље повећана потрошња природног гаса и дрвне биомасе у овој категорији, док се потрошња лигнита вратила на ниво пре 2020. године. Доминантни извор емисија PM2.5 је сектор топлана снаге мање од 50 MW и индивидуално грејање, који доприноси укупним PM2.5 емисијама са 83,33% у 2023, затим употреба енергије у индустрији и индустријски процеси са 6,22% и друмски саобраћај са 3,62%.</w:t>
      </w:r>
    </w:p>
    <w:p w14:paraId="67BB4AF4" w14:textId="77777777" w:rsidR="00CD0755" w:rsidRPr="00EF2F18" w:rsidRDefault="00CD0755" w:rsidP="009A2A14">
      <w:pPr>
        <w:spacing w:after="0"/>
        <w:ind w:firstLine="720"/>
        <w:jc w:val="both"/>
        <w:rPr>
          <w:rFonts w:eastAsia="Times New Roman" w:cs="Times New Roman"/>
          <w:sz w:val="22"/>
          <w:lang w:val="sr-Cyrl-RS"/>
        </w:rPr>
      </w:pPr>
    </w:p>
    <w:p w14:paraId="670B5515" w14:textId="63D37404" w:rsidR="009E3888" w:rsidRPr="00EF2F18" w:rsidRDefault="009E3888" w:rsidP="009A2A14">
      <w:pPr>
        <w:spacing w:after="0"/>
        <w:jc w:val="center"/>
        <w:rPr>
          <w:rFonts w:eastAsia="Times New Roman" w:cs="Times New Roman"/>
          <w:sz w:val="22"/>
          <w:lang w:val="sr-Cyrl-RS"/>
        </w:rPr>
      </w:pPr>
      <w:bookmarkStart w:id="44" w:name="_heading=h.3j2qqm3" w:colFirst="0" w:colLast="0"/>
      <w:bookmarkEnd w:id="44"/>
      <w:r w:rsidRPr="00EF2F18">
        <w:rPr>
          <w:rFonts w:eastAsia="Times New Roman" w:cs="Times New Roman"/>
          <w:noProof/>
          <w:sz w:val="22"/>
          <w:lang w:val="sr-Cyrl-RS" w:eastAsia="sr-Cyrl-RS"/>
        </w:rPr>
        <w:drawing>
          <wp:inline distT="0" distB="0" distL="0" distR="0" wp14:anchorId="58948F1B" wp14:editId="1BB406F3">
            <wp:extent cx="4895850" cy="2409825"/>
            <wp:effectExtent l="0" t="0" r="0" b="9525"/>
            <wp:docPr id="587" name="image50.png" descr="A graph of a number of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587" name="image50.png" descr="A graph of a number of bars&#10;&#10;Description automatically generated with medium confidence"/>
                    <pic:cNvPicPr preferRelativeResize="0"/>
                  </pic:nvPicPr>
                  <pic:blipFill>
                    <a:blip r:embed="rId32"/>
                    <a:srcRect/>
                    <a:stretch>
                      <a:fillRect/>
                    </a:stretch>
                  </pic:blipFill>
                  <pic:spPr>
                    <a:xfrm>
                      <a:off x="0" y="0"/>
                      <a:ext cx="4895850" cy="2409825"/>
                    </a:xfrm>
                    <a:prstGeom prst="rect">
                      <a:avLst/>
                    </a:prstGeom>
                    <a:ln/>
                  </pic:spPr>
                </pic:pic>
              </a:graphicData>
            </a:graphic>
          </wp:inline>
        </w:drawing>
      </w:r>
    </w:p>
    <w:p w14:paraId="7169FFBF" w14:textId="0DE2D51E" w:rsidR="009E3888" w:rsidRPr="00EF2F18" w:rsidRDefault="009E3888" w:rsidP="009A2A14">
      <w:pPr>
        <w:spacing w:after="0"/>
        <w:jc w:val="both"/>
        <w:rPr>
          <w:rFonts w:eastAsia="Times New Roman" w:cs="Times New Roman"/>
          <w:bCs/>
          <w:color w:val="000000"/>
          <w:sz w:val="22"/>
          <w:lang w:val="sr-Cyrl-RS"/>
        </w:rPr>
      </w:pPr>
      <w:r w:rsidRPr="00EF2F18">
        <w:rPr>
          <w:rFonts w:eastAsia="Times New Roman" w:cs="Times New Roman"/>
          <w:b/>
          <w:color w:val="000000"/>
          <w:sz w:val="22"/>
          <w:lang w:val="sr-Cyrl-RS"/>
        </w:rPr>
        <w:t>Слика 3.1</w:t>
      </w:r>
      <w:r w:rsidR="007C33E8" w:rsidRPr="00EF2F18">
        <w:rPr>
          <w:rFonts w:eastAsia="Times New Roman" w:cs="Times New Roman"/>
          <w:b/>
          <w:color w:val="000000"/>
          <w:sz w:val="22"/>
          <w:lang w:val="sr-Cyrl-RS"/>
        </w:rPr>
        <w:t>6</w:t>
      </w:r>
      <w:r w:rsidRPr="00EF2F18">
        <w:rPr>
          <w:rFonts w:eastAsia="Times New Roman" w:cs="Times New Roman"/>
          <w:b/>
          <w:color w:val="000000"/>
          <w:sz w:val="22"/>
          <w:lang w:val="sr-Cyrl-RS"/>
        </w:rPr>
        <w:t xml:space="preserve">. </w:t>
      </w:r>
      <w:r w:rsidRPr="00EF2F18">
        <w:rPr>
          <w:rFonts w:eastAsia="Times New Roman" w:cs="Times New Roman"/>
          <w:bCs/>
          <w:color w:val="000000"/>
          <w:sz w:val="22"/>
          <w:lang w:val="sr-Cyrl-RS"/>
        </w:rPr>
        <w:t>Укупне емисије PM2.5 у Републици Србији (2005-2019. године)</w:t>
      </w:r>
    </w:p>
    <w:p w14:paraId="2EEEC548" w14:textId="58985325" w:rsidR="000A25F7" w:rsidRPr="00EF2F18" w:rsidRDefault="000A25F7" w:rsidP="009A2A14">
      <w:pPr>
        <w:spacing w:after="0"/>
        <w:jc w:val="both"/>
        <w:rPr>
          <w:rFonts w:cs="Times New Roman"/>
          <w:i/>
          <w:iCs/>
          <w:sz w:val="22"/>
          <w:lang w:val="sr-Cyrl-RS"/>
        </w:rPr>
      </w:pPr>
      <w:r w:rsidRPr="00EF2F18">
        <w:rPr>
          <w:rFonts w:cs="Times New Roman"/>
          <w:i/>
          <w:iCs/>
          <w:sz w:val="22"/>
          <w:lang w:val="sr-Cyrl-RS"/>
        </w:rPr>
        <w:t>Извор:</w:t>
      </w:r>
      <w:r w:rsidR="0055125F" w:rsidRPr="00EF2F18">
        <w:rPr>
          <w:rFonts w:cs="Times New Roman"/>
          <w:i/>
          <w:iCs/>
          <w:sz w:val="22"/>
          <w:lang w:val="sr-Cyrl-RS"/>
        </w:rPr>
        <w:t xml:space="preserve"> Програм заштите ваздуха у Републици Србији за период од 2022. до 2030. године са акционим планом</w:t>
      </w:r>
    </w:p>
    <w:p w14:paraId="1463589D" w14:textId="77777777" w:rsidR="009E3888" w:rsidRPr="00EF2F18" w:rsidRDefault="009E3888" w:rsidP="009A2A14">
      <w:pPr>
        <w:spacing w:after="0"/>
        <w:ind w:firstLine="720"/>
        <w:jc w:val="both"/>
        <w:rPr>
          <w:rFonts w:eastAsia="Times New Roman" w:cs="Times New Roman"/>
          <w:sz w:val="22"/>
          <w:lang w:val="sr-Cyrl-RS"/>
        </w:rPr>
      </w:pPr>
    </w:p>
    <w:p w14:paraId="38CBF91F" w14:textId="4E93BA6A" w:rsidR="009E3888" w:rsidRPr="00EF2F18" w:rsidRDefault="009E3888" w:rsidP="009A2A14">
      <w:pPr>
        <w:spacing w:after="0"/>
        <w:ind w:firstLine="720"/>
        <w:jc w:val="both"/>
        <w:rPr>
          <w:rFonts w:eastAsia="Times New Roman" w:cs="Times New Roman"/>
          <w:sz w:val="22"/>
          <w:lang w:val="sr-Cyrl-RS"/>
        </w:rPr>
      </w:pPr>
      <w:r w:rsidRPr="00EF2F18">
        <w:rPr>
          <w:rFonts w:eastAsia="Times New Roman" w:cs="Times New Roman"/>
          <w:sz w:val="22"/>
          <w:lang w:val="sr-Cyrl-RS"/>
        </w:rPr>
        <w:t>Емисије PM2.5 из ложења биомасе у домаћинствима не показују значајно побољшање од 2005. године, што одражава мала технолошка побољшања у смислу коришћења биомасе и других чврстих горива, што се може приписати и недостатку релевантних прописа којима би се стимулисали произвођачи котлова, шпорета и других уређаја на биомасу уместо на друга чврста горива, чиме би се побољшао учинак уређаја кроз унапређени дизајн производа намењених домаћем тржишту.</w:t>
      </w:r>
    </w:p>
    <w:p w14:paraId="7ECE6049" w14:textId="186A6E0D" w:rsidR="009E3888" w:rsidRPr="00EF2F18" w:rsidRDefault="009E3888" w:rsidP="009A2A14">
      <w:pPr>
        <w:spacing w:after="0"/>
        <w:ind w:firstLine="720"/>
        <w:jc w:val="both"/>
        <w:rPr>
          <w:rFonts w:eastAsia="Times New Roman" w:cs="Times New Roman"/>
          <w:sz w:val="22"/>
          <w:lang w:val="sr-Cyrl-RS"/>
        </w:rPr>
      </w:pPr>
      <w:bookmarkStart w:id="45" w:name="_heading=h.1y810tw" w:colFirst="0" w:colLast="0"/>
      <w:bookmarkEnd w:id="45"/>
      <w:r w:rsidRPr="00EF2F18">
        <w:rPr>
          <w:rFonts w:eastAsia="Times New Roman" w:cs="Times New Roman"/>
          <w:sz w:val="22"/>
          <w:lang w:val="sr-Cyrl-RS"/>
        </w:rPr>
        <w:t xml:space="preserve">Емисије </w:t>
      </w:r>
      <w:r w:rsidR="00EA5273" w:rsidRPr="00EF2F18">
        <w:rPr>
          <w:rFonts w:eastAsia="Times New Roman" w:cs="Times New Roman"/>
          <w:sz w:val="22"/>
          <w:lang w:val="sr-Cyrl-RS"/>
        </w:rPr>
        <w:t>PM2.5</w:t>
      </w:r>
      <w:r w:rsidRPr="00EF2F18">
        <w:rPr>
          <w:rFonts w:eastAsia="Times New Roman" w:cs="Times New Roman"/>
          <w:sz w:val="22"/>
          <w:lang w:val="sr-Cyrl-RS"/>
        </w:rPr>
        <w:t xml:space="preserve"> садржане у националном </w:t>
      </w:r>
      <w:r w:rsidRPr="00EF2F18">
        <w:rPr>
          <w:rFonts w:eastAsia="Times New Roman" w:cs="Times New Roman"/>
          <w:i/>
          <w:iCs/>
          <w:sz w:val="22"/>
          <w:lang w:val="sr-Cyrl-RS"/>
        </w:rPr>
        <w:t>CLRTAP</w:t>
      </w:r>
      <w:r w:rsidRPr="00EF2F18">
        <w:rPr>
          <w:rFonts w:eastAsia="Times New Roman" w:cs="Times New Roman"/>
          <w:sz w:val="22"/>
          <w:lang w:val="sr-Cyrl-RS"/>
        </w:rPr>
        <w:t xml:space="preserve"> инвентару су примарне емисије </w:t>
      </w:r>
      <w:r w:rsidR="00EA5273" w:rsidRPr="00EF2F18">
        <w:rPr>
          <w:rFonts w:eastAsia="Times New Roman" w:cs="Times New Roman"/>
          <w:sz w:val="22"/>
          <w:lang w:val="sr-Cyrl-RS"/>
        </w:rPr>
        <w:t>PМ2.5</w:t>
      </w:r>
      <w:r w:rsidRPr="00EF2F18">
        <w:rPr>
          <w:rFonts w:eastAsia="Times New Roman" w:cs="Times New Roman"/>
          <w:sz w:val="22"/>
          <w:lang w:val="sr-Cyrl-RS"/>
        </w:rPr>
        <w:t xml:space="preserve">. </w:t>
      </w:r>
      <w:r w:rsidR="009E3082" w:rsidRPr="00EF2F18">
        <w:rPr>
          <w:rFonts w:eastAsia="Times New Roman" w:cs="Times New Roman"/>
          <w:sz w:val="22"/>
          <w:lang w:val="sr-Cyrl-RS"/>
        </w:rPr>
        <w:t xml:space="preserve">Поред </w:t>
      </w:r>
      <w:r w:rsidRPr="00EF2F18">
        <w:rPr>
          <w:rFonts w:eastAsia="Times New Roman" w:cs="Times New Roman"/>
          <w:sz w:val="22"/>
          <w:lang w:val="sr-Cyrl-RS"/>
        </w:rPr>
        <w:t xml:space="preserve">примарног </w:t>
      </w:r>
      <w:r w:rsidR="00EA5273" w:rsidRPr="00EF2F18">
        <w:rPr>
          <w:rFonts w:eastAsia="Times New Roman" w:cs="Times New Roman"/>
          <w:sz w:val="22"/>
          <w:lang w:val="sr-Cyrl-RS"/>
        </w:rPr>
        <w:t xml:space="preserve">PM2.5 </w:t>
      </w:r>
      <w:r w:rsidRPr="00EF2F18">
        <w:rPr>
          <w:rFonts w:eastAsia="Times New Roman" w:cs="Times New Roman"/>
          <w:sz w:val="22"/>
          <w:lang w:val="sr-Cyrl-RS"/>
        </w:rPr>
        <w:t xml:space="preserve">амбијентални ваздух садржи и секундарни </w:t>
      </w:r>
      <w:r w:rsidR="00EA5273" w:rsidRPr="00EF2F18">
        <w:rPr>
          <w:rFonts w:eastAsia="Times New Roman" w:cs="Times New Roman"/>
          <w:sz w:val="22"/>
          <w:lang w:val="sr-Cyrl-RS"/>
        </w:rPr>
        <w:t>PM2.5</w:t>
      </w:r>
      <w:r w:rsidRPr="00EF2F18">
        <w:rPr>
          <w:rFonts w:eastAsia="Times New Roman" w:cs="Times New Roman"/>
          <w:sz w:val="22"/>
          <w:lang w:val="sr-Cyrl-RS"/>
        </w:rPr>
        <w:t xml:space="preserve">. Секундарна формација настаје услед сложених фотохемијских реакција у атмосфери. Према томе, вредности које детектује систем за надзор амбијенталног ваздуха представљају и примарни и секундарни </w:t>
      </w:r>
      <w:r w:rsidR="00EA5273" w:rsidRPr="00EF2F18">
        <w:rPr>
          <w:rFonts w:eastAsia="Times New Roman" w:cs="Times New Roman"/>
          <w:sz w:val="22"/>
          <w:lang w:val="sr-Cyrl-RS"/>
        </w:rPr>
        <w:t>PM2.5</w:t>
      </w:r>
      <w:r w:rsidRPr="00EF2F18">
        <w:rPr>
          <w:rFonts w:eastAsia="Times New Roman" w:cs="Times New Roman"/>
          <w:sz w:val="22"/>
          <w:lang w:val="sr-Cyrl-RS"/>
        </w:rPr>
        <w:t xml:space="preserve">. Главни прекурсори/компоненте за секундарно формирање </w:t>
      </w:r>
      <w:r w:rsidR="00EA5273" w:rsidRPr="00EF2F18">
        <w:rPr>
          <w:rFonts w:eastAsia="Times New Roman" w:cs="Times New Roman"/>
          <w:sz w:val="22"/>
          <w:lang w:val="sr-Cyrl-RS"/>
        </w:rPr>
        <w:t xml:space="preserve">PM2.5 </w:t>
      </w:r>
      <w:r w:rsidRPr="00EF2F18">
        <w:rPr>
          <w:rFonts w:eastAsia="Times New Roman" w:cs="Times New Roman"/>
          <w:sz w:val="22"/>
          <w:lang w:val="sr-Cyrl-RS"/>
        </w:rPr>
        <w:t>су SО</w:t>
      </w:r>
      <w:r w:rsidRPr="00EF2F18">
        <w:rPr>
          <w:rFonts w:eastAsia="Times New Roman" w:cs="Times New Roman"/>
          <w:sz w:val="22"/>
          <w:vertAlign w:val="subscript"/>
          <w:lang w:val="sr-Cyrl-RS"/>
        </w:rPr>
        <w:t>2</w:t>
      </w:r>
      <w:r w:rsidRPr="00EF2F18">
        <w:rPr>
          <w:rFonts w:eastAsia="Times New Roman" w:cs="Times New Roman"/>
          <w:sz w:val="22"/>
          <w:lang w:val="sr-Cyrl-RS"/>
        </w:rPr>
        <w:t xml:space="preserve">, NOx, </w:t>
      </w:r>
      <w:r w:rsidRPr="00EF2F18">
        <w:rPr>
          <w:rFonts w:eastAsia="Times New Roman" w:cs="Times New Roman"/>
          <w:i/>
          <w:iCs/>
          <w:sz w:val="22"/>
          <w:lang w:val="sr-Cyrl-RS"/>
        </w:rPr>
        <w:t>VOC</w:t>
      </w:r>
      <w:r w:rsidRPr="00EF2F18">
        <w:rPr>
          <w:rFonts w:eastAsia="Times New Roman" w:cs="Times New Roman"/>
          <w:sz w:val="22"/>
          <w:lang w:val="sr-Cyrl-RS"/>
        </w:rPr>
        <w:t xml:space="preserve"> и NH</w:t>
      </w:r>
      <w:r w:rsidRPr="00EF2F18">
        <w:rPr>
          <w:rFonts w:eastAsia="Times New Roman" w:cs="Times New Roman"/>
          <w:sz w:val="22"/>
          <w:vertAlign w:val="subscript"/>
          <w:lang w:val="sr-Cyrl-RS"/>
        </w:rPr>
        <w:t>3</w:t>
      </w:r>
      <w:r w:rsidRPr="00EF2F18">
        <w:rPr>
          <w:rFonts w:eastAsia="Times New Roman" w:cs="Times New Roman"/>
          <w:sz w:val="22"/>
          <w:lang w:val="sr-Cyrl-RS"/>
        </w:rPr>
        <w:t>. На пример, SО</w:t>
      </w:r>
      <w:r w:rsidRPr="00EF2F18">
        <w:rPr>
          <w:rFonts w:eastAsia="Times New Roman" w:cs="Times New Roman"/>
          <w:sz w:val="22"/>
          <w:vertAlign w:val="subscript"/>
          <w:lang w:val="sr-Cyrl-RS"/>
        </w:rPr>
        <w:t>2</w:t>
      </w:r>
      <w:r w:rsidRPr="00EF2F18">
        <w:rPr>
          <w:rFonts w:eastAsia="Times New Roman" w:cs="Times New Roman"/>
          <w:sz w:val="22"/>
          <w:lang w:val="sr-Cyrl-RS"/>
        </w:rPr>
        <w:t xml:space="preserve"> у амбијенталном ваздуху може бити оксидован оксидантом као што је озон и хидроксилни радикал (OH) у H</w:t>
      </w:r>
      <w:r w:rsidRPr="00EF2F18">
        <w:rPr>
          <w:rFonts w:eastAsia="Times New Roman" w:cs="Times New Roman"/>
          <w:sz w:val="22"/>
          <w:vertAlign w:val="subscript"/>
          <w:lang w:val="sr-Cyrl-RS"/>
        </w:rPr>
        <w:t>2</w:t>
      </w:r>
      <w:r w:rsidRPr="00EF2F18">
        <w:rPr>
          <w:rFonts w:eastAsia="Times New Roman" w:cs="Times New Roman"/>
          <w:sz w:val="22"/>
          <w:lang w:val="sr-Cyrl-RS"/>
        </w:rPr>
        <w:t>SО</w:t>
      </w:r>
      <w:r w:rsidRPr="00EF2F18">
        <w:rPr>
          <w:rFonts w:eastAsia="Times New Roman" w:cs="Times New Roman"/>
          <w:sz w:val="22"/>
          <w:vertAlign w:val="subscript"/>
          <w:lang w:val="sr-Cyrl-RS"/>
        </w:rPr>
        <w:t>4</w:t>
      </w:r>
      <w:r w:rsidRPr="00EF2F18">
        <w:rPr>
          <w:rFonts w:eastAsia="Times New Roman" w:cs="Times New Roman"/>
          <w:sz w:val="22"/>
          <w:lang w:val="sr-Cyrl-RS"/>
        </w:rPr>
        <w:t xml:space="preserve"> и скоро цео гас H</w:t>
      </w:r>
      <w:r w:rsidRPr="00EF2F18">
        <w:rPr>
          <w:rFonts w:eastAsia="Times New Roman" w:cs="Times New Roman"/>
          <w:sz w:val="22"/>
          <w:vertAlign w:val="subscript"/>
          <w:lang w:val="sr-Cyrl-RS"/>
        </w:rPr>
        <w:t>2</w:t>
      </w:r>
      <w:r w:rsidRPr="00EF2F18">
        <w:rPr>
          <w:rFonts w:eastAsia="Times New Roman" w:cs="Times New Roman"/>
          <w:sz w:val="22"/>
          <w:lang w:val="sr-Cyrl-RS"/>
        </w:rPr>
        <w:t>SО</w:t>
      </w:r>
      <w:r w:rsidRPr="00EF2F18">
        <w:rPr>
          <w:rFonts w:eastAsia="Times New Roman" w:cs="Times New Roman"/>
          <w:sz w:val="22"/>
          <w:vertAlign w:val="subscript"/>
          <w:lang w:val="sr-Cyrl-RS"/>
        </w:rPr>
        <w:t>4</w:t>
      </w:r>
      <w:r w:rsidRPr="00EF2F18">
        <w:rPr>
          <w:rFonts w:eastAsia="Times New Roman" w:cs="Times New Roman"/>
          <w:sz w:val="22"/>
          <w:lang w:val="sr-Cyrl-RS"/>
        </w:rPr>
        <w:t xml:space="preserve"> може бити последица његовог ниског притиска паре у амбијенталном ваздуху који се претвара из гасовите фазе у фазу честица јер H</w:t>
      </w:r>
      <w:r w:rsidRPr="00EF2F18">
        <w:rPr>
          <w:rFonts w:eastAsia="Times New Roman" w:cs="Times New Roman"/>
          <w:sz w:val="22"/>
          <w:vertAlign w:val="subscript"/>
          <w:lang w:val="sr-Cyrl-RS"/>
        </w:rPr>
        <w:t>2</w:t>
      </w:r>
      <w:r w:rsidRPr="00EF2F18">
        <w:rPr>
          <w:rFonts w:eastAsia="Times New Roman" w:cs="Times New Roman"/>
          <w:sz w:val="22"/>
          <w:lang w:val="sr-Cyrl-RS"/>
        </w:rPr>
        <w:t>SО</w:t>
      </w:r>
      <w:r w:rsidRPr="00EF2F18">
        <w:rPr>
          <w:rFonts w:eastAsia="Times New Roman" w:cs="Times New Roman"/>
          <w:sz w:val="22"/>
          <w:vertAlign w:val="subscript"/>
          <w:lang w:val="sr-Cyrl-RS"/>
        </w:rPr>
        <w:t>4</w:t>
      </w:r>
      <w:r w:rsidRPr="00EF2F18">
        <w:rPr>
          <w:rFonts w:eastAsia="Times New Roman" w:cs="Times New Roman"/>
          <w:sz w:val="22"/>
          <w:lang w:val="sr-Cyrl-RS"/>
        </w:rPr>
        <w:t xml:space="preserve"> даље реагује са NH</w:t>
      </w:r>
      <w:r w:rsidRPr="00EF2F18">
        <w:rPr>
          <w:rFonts w:eastAsia="Times New Roman" w:cs="Times New Roman"/>
          <w:sz w:val="22"/>
          <w:vertAlign w:val="subscript"/>
          <w:lang w:val="sr-Cyrl-RS"/>
        </w:rPr>
        <w:t>3</w:t>
      </w:r>
      <w:r w:rsidRPr="00EF2F18">
        <w:rPr>
          <w:rFonts w:eastAsia="Times New Roman" w:cs="Times New Roman"/>
          <w:sz w:val="22"/>
          <w:lang w:val="sr-Cyrl-RS"/>
        </w:rPr>
        <w:t xml:space="preserve"> и формира сулфатне соли (NH</w:t>
      </w:r>
      <w:r w:rsidRPr="00EF2F18">
        <w:rPr>
          <w:rFonts w:eastAsia="Times New Roman" w:cs="Times New Roman"/>
          <w:sz w:val="22"/>
          <w:vertAlign w:val="subscript"/>
          <w:lang w:val="sr-Cyrl-RS"/>
        </w:rPr>
        <w:t>4</w:t>
      </w:r>
      <w:r w:rsidRPr="00EF2F18">
        <w:rPr>
          <w:rFonts w:eastAsia="Times New Roman" w:cs="Times New Roman"/>
          <w:sz w:val="22"/>
          <w:lang w:val="sr-Cyrl-RS"/>
        </w:rPr>
        <w:t>)</w:t>
      </w:r>
      <w:r w:rsidRPr="00EF2F18">
        <w:rPr>
          <w:rFonts w:eastAsia="Times New Roman" w:cs="Times New Roman"/>
          <w:sz w:val="22"/>
          <w:vertAlign w:val="subscript"/>
          <w:lang w:val="sr-Cyrl-RS"/>
        </w:rPr>
        <w:t>2</w:t>
      </w:r>
      <w:r w:rsidRPr="00EF2F18">
        <w:rPr>
          <w:rFonts w:eastAsia="Times New Roman" w:cs="Times New Roman"/>
          <w:sz w:val="22"/>
          <w:lang w:val="sr-Cyrl-RS"/>
        </w:rPr>
        <w:t>SО</w:t>
      </w:r>
      <w:r w:rsidRPr="00EF2F18">
        <w:rPr>
          <w:rFonts w:eastAsia="Times New Roman" w:cs="Times New Roman"/>
          <w:sz w:val="22"/>
          <w:vertAlign w:val="subscript"/>
          <w:lang w:val="sr-Cyrl-RS"/>
        </w:rPr>
        <w:t>4</w:t>
      </w:r>
      <w:r w:rsidRPr="00EF2F18">
        <w:rPr>
          <w:rFonts w:eastAsia="Times New Roman" w:cs="Times New Roman"/>
          <w:sz w:val="22"/>
          <w:lang w:val="sr-Cyrl-RS"/>
        </w:rPr>
        <w:t>, које су термички стабилне. Према томе, свако смањење емисије SО</w:t>
      </w:r>
      <w:r w:rsidRPr="00EF2F18">
        <w:rPr>
          <w:rFonts w:eastAsia="Times New Roman" w:cs="Times New Roman"/>
          <w:sz w:val="22"/>
          <w:vertAlign w:val="subscript"/>
          <w:lang w:val="sr-Cyrl-RS"/>
        </w:rPr>
        <w:t>2</w:t>
      </w:r>
      <w:r w:rsidRPr="00EF2F18">
        <w:rPr>
          <w:rFonts w:eastAsia="Times New Roman" w:cs="Times New Roman"/>
          <w:sz w:val="22"/>
          <w:lang w:val="sr-Cyrl-RS"/>
        </w:rPr>
        <w:t xml:space="preserve"> ће се поред примарних смањења </w:t>
      </w:r>
      <w:r w:rsidR="00EA5273" w:rsidRPr="00EF2F18">
        <w:rPr>
          <w:rFonts w:eastAsia="Times New Roman" w:cs="Times New Roman"/>
          <w:sz w:val="22"/>
          <w:lang w:val="sr-Cyrl-RS"/>
        </w:rPr>
        <w:t xml:space="preserve">PM2.5 </w:t>
      </w:r>
      <w:r w:rsidRPr="00EF2F18">
        <w:rPr>
          <w:rFonts w:eastAsia="Times New Roman" w:cs="Times New Roman"/>
          <w:sz w:val="22"/>
          <w:lang w:val="sr-Cyrl-RS"/>
        </w:rPr>
        <w:t xml:space="preserve">(које је покренуто примењеном технологијом одсумпоравања) одразити и на смањење секундарних </w:t>
      </w:r>
      <w:r w:rsidR="00EA5273" w:rsidRPr="00EF2F18">
        <w:rPr>
          <w:rFonts w:eastAsia="Times New Roman" w:cs="Times New Roman"/>
          <w:sz w:val="22"/>
          <w:lang w:val="sr-Cyrl-RS"/>
        </w:rPr>
        <w:t>PM2.5</w:t>
      </w:r>
      <w:r w:rsidRPr="00EF2F18">
        <w:rPr>
          <w:rFonts w:eastAsia="Times New Roman" w:cs="Times New Roman"/>
          <w:sz w:val="22"/>
          <w:lang w:val="sr-Cyrl-RS"/>
        </w:rPr>
        <w:t>, а комбиновани ефекат ће бити откривен од стране мреже за праћење квалитета амбијенталног ваздуха. Сличан процес се примењује и за емисије NOx које се завршава формирањем нитратних соли које нису термички стабилне и могу се распасти у специфичним атмосферским условима.</w:t>
      </w:r>
    </w:p>
    <w:p w14:paraId="4E50DBA9" w14:textId="09CE1BB4" w:rsidR="009E3888" w:rsidRPr="00EF2F18" w:rsidRDefault="009E3888" w:rsidP="009A2A14">
      <w:pPr>
        <w:spacing w:after="0"/>
        <w:ind w:firstLine="720"/>
        <w:jc w:val="both"/>
        <w:rPr>
          <w:rFonts w:eastAsia="Times New Roman" w:cs="Times New Roman"/>
          <w:sz w:val="22"/>
          <w:lang w:val="sr-Cyrl-RS"/>
        </w:rPr>
      </w:pPr>
      <w:r w:rsidRPr="00EF2F18">
        <w:rPr>
          <w:rFonts w:eastAsia="Times New Roman" w:cs="Times New Roman"/>
          <w:sz w:val="22"/>
          <w:lang w:val="sr-Cyrl-RS"/>
        </w:rPr>
        <w:t xml:space="preserve">Емисије испарљивих органских једињења су 2019. године износиле 121,3 kt </w:t>
      </w:r>
      <w:r w:rsidRPr="00EF2F18">
        <w:rPr>
          <w:rFonts w:eastAsia="Times New Roman" w:cs="Times New Roman"/>
          <w:i/>
          <w:iCs/>
          <w:sz w:val="22"/>
          <w:lang w:val="sr-Cyrl-RS"/>
        </w:rPr>
        <w:t>VOC</w:t>
      </w:r>
      <w:r w:rsidRPr="00EF2F18">
        <w:rPr>
          <w:rFonts w:eastAsia="Times New Roman" w:cs="Times New Roman"/>
          <w:sz w:val="22"/>
          <w:lang w:val="sr-Cyrl-RS"/>
        </w:rPr>
        <w:t xml:space="preserve">, што представља смањење од 18,8% у поређењу са 2005. и 3,6% у поређењу са 2015. годином. Најзначајније смањење емисија </w:t>
      </w:r>
      <w:r w:rsidRPr="00EF2F18">
        <w:rPr>
          <w:rFonts w:eastAsia="Times New Roman" w:cs="Times New Roman"/>
          <w:i/>
          <w:iCs/>
          <w:sz w:val="22"/>
          <w:lang w:val="sr-Cyrl-RS"/>
        </w:rPr>
        <w:t>VOC</w:t>
      </w:r>
      <w:r w:rsidRPr="00EF2F18">
        <w:rPr>
          <w:rFonts w:eastAsia="Times New Roman" w:cs="Times New Roman"/>
          <w:sz w:val="22"/>
          <w:lang w:val="sr-Cyrl-RS"/>
        </w:rPr>
        <w:t xml:space="preserve"> забележено је у сектору друмског саобраћаја, где су емисије </w:t>
      </w:r>
      <w:r w:rsidRPr="00EF2F18">
        <w:rPr>
          <w:rFonts w:eastAsia="Times New Roman" w:cs="Times New Roman"/>
          <w:i/>
          <w:iCs/>
          <w:sz w:val="22"/>
          <w:lang w:val="sr-Cyrl-RS"/>
        </w:rPr>
        <w:t>VOC</w:t>
      </w:r>
      <w:r w:rsidRPr="00EF2F18">
        <w:rPr>
          <w:rFonts w:eastAsia="Times New Roman" w:cs="Times New Roman"/>
          <w:sz w:val="22"/>
          <w:lang w:val="sr-Cyrl-RS"/>
        </w:rPr>
        <w:t xml:space="preserve"> пале за 77,2% у односу на 2005. и 49,7% у односу на 2015. годину, углавном због </w:t>
      </w:r>
      <w:r w:rsidRPr="00EF2F18">
        <w:rPr>
          <w:rFonts w:eastAsia="Times New Roman" w:cs="Times New Roman"/>
          <w:sz w:val="22"/>
          <w:lang w:val="sr-Cyrl-RS"/>
        </w:rPr>
        <w:lastRenderedPageBreak/>
        <w:t xml:space="preserve">побољшаног возног парка путничких возила на бензин. Ненамерне емисије </w:t>
      </w:r>
      <w:r w:rsidRPr="00EF2F18">
        <w:rPr>
          <w:rFonts w:eastAsia="Times New Roman" w:cs="Times New Roman"/>
          <w:i/>
          <w:iCs/>
          <w:sz w:val="22"/>
          <w:lang w:val="sr-Cyrl-RS"/>
        </w:rPr>
        <w:t>VOC</w:t>
      </w:r>
      <w:r w:rsidRPr="00EF2F18">
        <w:rPr>
          <w:rFonts w:eastAsia="Times New Roman" w:cs="Times New Roman"/>
          <w:sz w:val="22"/>
          <w:vertAlign w:val="superscript"/>
          <w:lang w:val="sr-Cyrl-RS"/>
        </w:rPr>
        <w:footnoteReference w:id="8"/>
      </w:r>
      <w:r w:rsidRPr="00EF2F18">
        <w:rPr>
          <w:rFonts w:eastAsia="Times New Roman" w:cs="Times New Roman"/>
          <w:sz w:val="22"/>
          <w:lang w:val="sr-Cyrl-RS"/>
        </w:rPr>
        <w:t xml:space="preserve">, које представљају 30,8% свих емисија, су од 2015. порасле за 3,2%, углавном због повећања ненамерних емисија из употребе чврстих горива, на пример, </w:t>
      </w:r>
      <w:r w:rsidR="005E3943" w:rsidRPr="00EF2F18">
        <w:rPr>
          <w:rFonts w:eastAsia="Times New Roman" w:cs="Times New Roman"/>
          <w:sz w:val="22"/>
          <w:lang w:val="sr-Cyrl-RS"/>
        </w:rPr>
        <w:t xml:space="preserve">из активности експлоатације и припреме угља </w:t>
      </w:r>
      <w:r w:rsidRPr="00EF2F18">
        <w:rPr>
          <w:rFonts w:eastAsia="Times New Roman" w:cs="Times New Roman"/>
          <w:sz w:val="22"/>
          <w:lang w:val="sr-Cyrl-RS"/>
        </w:rPr>
        <w:t>(+1,9%) и услед повећања дистрибуције нафтних производа (+11,9%).</w:t>
      </w:r>
    </w:p>
    <w:p w14:paraId="629DDF45" w14:textId="27D27376" w:rsidR="00CD0755" w:rsidRPr="00EF2F18" w:rsidRDefault="009E3888" w:rsidP="00143597">
      <w:pPr>
        <w:spacing w:after="0"/>
        <w:ind w:firstLine="720"/>
        <w:jc w:val="both"/>
        <w:rPr>
          <w:rFonts w:eastAsia="Times New Roman" w:cs="Times New Roman"/>
          <w:sz w:val="22"/>
          <w:lang w:val="sr-Cyrl-RS"/>
        </w:rPr>
      </w:pPr>
      <w:r w:rsidRPr="00EF2F18">
        <w:rPr>
          <w:rFonts w:eastAsia="Times New Roman" w:cs="Times New Roman"/>
          <w:sz w:val="22"/>
          <w:lang w:val="sr-Cyrl-RS"/>
        </w:rPr>
        <w:t xml:space="preserve">После ненамерних емисија </w:t>
      </w:r>
      <w:r w:rsidRPr="00EF2F18">
        <w:rPr>
          <w:rFonts w:eastAsia="Times New Roman" w:cs="Times New Roman"/>
          <w:i/>
          <w:iCs/>
          <w:sz w:val="22"/>
          <w:lang w:val="sr-Cyrl-RS"/>
        </w:rPr>
        <w:t>VOC</w:t>
      </w:r>
      <w:r w:rsidRPr="00EF2F18">
        <w:rPr>
          <w:rFonts w:eastAsia="Times New Roman" w:cs="Times New Roman"/>
          <w:sz w:val="22"/>
          <w:lang w:val="sr-Cyrl-RS"/>
        </w:rPr>
        <w:t xml:space="preserve">, следе емисије из других стационарних извора (са биомасом која се користи у домаћинствима), чији удео износи 21,9% у укупним емисијама </w:t>
      </w:r>
      <w:r w:rsidRPr="00EF2F18">
        <w:rPr>
          <w:rFonts w:eastAsia="Times New Roman" w:cs="Times New Roman"/>
          <w:i/>
          <w:iCs/>
          <w:sz w:val="22"/>
          <w:lang w:val="sr-Cyrl-RS"/>
        </w:rPr>
        <w:t>VOC</w:t>
      </w:r>
      <w:r w:rsidRPr="00EF2F18">
        <w:rPr>
          <w:rFonts w:eastAsia="Times New Roman" w:cs="Times New Roman"/>
          <w:sz w:val="22"/>
          <w:lang w:val="sr-Cyrl-RS"/>
        </w:rPr>
        <w:t xml:space="preserve">. Емисије из ових извора су од 2015. године порасле за 6,5%, углавном због повећања коришћења биомасе као енергента у домаћинствима. </w:t>
      </w:r>
    </w:p>
    <w:p w14:paraId="0518FEB6" w14:textId="77777777" w:rsidR="009E3888" w:rsidRPr="00EF2F18" w:rsidRDefault="009E3888" w:rsidP="009A2A14">
      <w:pPr>
        <w:spacing w:after="0"/>
        <w:jc w:val="center"/>
        <w:rPr>
          <w:rFonts w:eastAsia="Times New Roman" w:cs="Times New Roman"/>
          <w:sz w:val="22"/>
          <w:lang w:val="sr-Cyrl-RS"/>
        </w:rPr>
      </w:pPr>
      <w:bookmarkStart w:id="46" w:name="_heading=h.4i7ojhp" w:colFirst="0" w:colLast="0"/>
      <w:bookmarkEnd w:id="46"/>
      <w:r w:rsidRPr="00EF2F18">
        <w:rPr>
          <w:rFonts w:eastAsia="Times New Roman" w:cs="Times New Roman"/>
          <w:noProof/>
          <w:sz w:val="22"/>
          <w:lang w:val="sr-Cyrl-RS" w:eastAsia="sr-Cyrl-RS"/>
        </w:rPr>
        <w:drawing>
          <wp:inline distT="0" distB="0" distL="0" distR="0" wp14:anchorId="61411EA7" wp14:editId="43159FC2">
            <wp:extent cx="4886325" cy="2857500"/>
            <wp:effectExtent l="0" t="0" r="9525" b="0"/>
            <wp:docPr id="590" name="image46.png" descr="A graph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590" name="image46.png" descr="A graph with different colored bars&#10;&#10;Description automatically generated"/>
                    <pic:cNvPicPr preferRelativeResize="0"/>
                  </pic:nvPicPr>
                  <pic:blipFill>
                    <a:blip r:embed="rId33"/>
                    <a:srcRect/>
                    <a:stretch>
                      <a:fillRect/>
                    </a:stretch>
                  </pic:blipFill>
                  <pic:spPr>
                    <a:xfrm>
                      <a:off x="0" y="0"/>
                      <a:ext cx="4886325" cy="2857500"/>
                    </a:xfrm>
                    <a:prstGeom prst="rect">
                      <a:avLst/>
                    </a:prstGeom>
                    <a:ln/>
                  </pic:spPr>
                </pic:pic>
              </a:graphicData>
            </a:graphic>
          </wp:inline>
        </w:drawing>
      </w:r>
    </w:p>
    <w:p w14:paraId="1268A54C" w14:textId="4A457756" w:rsidR="009E3888" w:rsidRPr="00EF2F18" w:rsidRDefault="009E3888" w:rsidP="009A2A14">
      <w:pPr>
        <w:spacing w:after="0"/>
        <w:jc w:val="both"/>
        <w:rPr>
          <w:rFonts w:eastAsia="Times New Roman" w:cs="Times New Roman"/>
          <w:bCs/>
          <w:color w:val="000000"/>
          <w:sz w:val="22"/>
          <w:lang w:val="sr-Cyrl-RS"/>
        </w:rPr>
      </w:pPr>
      <w:r w:rsidRPr="00EF2F18">
        <w:rPr>
          <w:rFonts w:eastAsia="Times New Roman" w:cs="Times New Roman"/>
          <w:b/>
          <w:color w:val="000000"/>
          <w:sz w:val="22"/>
          <w:lang w:val="sr-Cyrl-RS"/>
        </w:rPr>
        <w:t>Слика 3.1</w:t>
      </w:r>
      <w:r w:rsidR="007C33E8" w:rsidRPr="00EF2F18">
        <w:rPr>
          <w:rFonts w:eastAsia="Times New Roman" w:cs="Times New Roman"/>
          <w:b/>
          <w:color w:val="000000"/>
          <w:sz w:val="22"/>
          <w:lang w:val="sr-Cyrl-RS"/>
        </w:rPr>
        <w:t>7</w:t>
      </w:r>
      <w:r w:rsidRPr="00EF2F18">
        <w:rPr>
          <w:rFonts w:eastAsia="Times New Roman" w:cs="Times New Roman"/>
          <w:b/>
          <w:color w:val="000000"/>
          <w:sz w:val="22"/>
          <w:lang w:val="sr-Cyrl-RS"/>
        </w:rPr>
        <w:t xml:space="preserve">. </w:t>
      </w:r>
      <w:r w:rsidRPr="00EF2F18">
        <w:rPr>
          <w:rFonts w:eastAsia="Times New Roman" w:cs="Times New Roman"/>
          <w:bCs/>
          <w:color w:val="000000"/>
          <w:sz w:val="22"/>
          <w:lang w:val="sr-Cyrl-RS"/>
        </w:rPr>
        <w:t xml:space="preserve">Укупне емисије </w:t>
      </w:r>
      <w:r w:rsidRPr="00EF2F18">
        <w:rPr>
          <w:rFonts w:eastAsia="Times New Roman" w:cs="Times New Roman"/>
          <w:bCs/>
          <w:i/>
          <w:iCs/>
          <w:color w:val="000000"/>
          <w:sz w:val="22"/>
          <w:lang w:val="sr-Cyrl-RS"/>
        </w:rPr>
        <w:t>VOC</w:t>
      </w:r>
      <w:r w:rsidRPr="00EF2F18">
        <w:rPr>
          <w:rFonts w:eastAsia="Times New Roman" w:cs="Times New Roman"/>
          <w:bCs/>
          <w:color w:val="000000"/>
          <w:sz w:val="22"/>
          <w:lang w:val="sr-Cyrl-RS"/>
        </w:rPr>
        <w:t xml:space="preserve"> у Републици Србији (2005-2019. године)</w:t>
      </w:r>
    </w:p>
    <w:p w14:paraId="71A13574" w14:textId="0A475E9B" w:rsidR="000A25F7" w:rsidRPr="00EF2F18" w:rsidRDefault="000A25F7" w:rsidP="009A2A14">
      <w:pPr>
        <w:spacing w:after="0"/>
        <w:jc w:val="both"/>
        <w:rPr>
          <w:rFonts w:cs="Times New Roman"/>
          <w:i/>
          <w:iCs/>
          <w:sz w:val="22"/>
          <w:lang w:val="sr-Cyrl-RS"/>
        </w:rPr>
      </w:pPr>
      <w:r w:rsidRPr="00EF2F18">
        <w:rPr>
          <w:rFonts w:cs="Times New Roman"/>
          <w:i/>
          <w:iCs/>
          <w:sz w:val="22"/>
          <w:lang w:val="sr-Cyrl-RS"/>
        </w:rPr>
        <w:t>Извор:</w:t>
      </w:r>
      <w:r w:rsidR="0055125F" w:rsidRPr="00EF2F18">
        <w:rPr>
          <w:rFonts w:cs="Times New Roman"/>
          <w:i/>
          <w:iCs/>
          <w:sz w:val="22"/>
          <w:lang w:val="sr-Cyrl-RS"/>
        </w:rPr>
        <w:t xml:space="preserve"> Програм заштите ваздуха у Републици Србији за период од 2022. до 2030. године са акционим планом</w:t>
      </w:r>
    </w:p>
    <w:p w14:paraId="4700B89D" w14:textId="77777777" w:rsidR="009E3888" w:rsidRPr="00EF2F18" w:rsidRDefault="009E3888" w:rsidP="009A2A14">
      <w:pPr>
        <w:spacing w:after="0"/>
        <w:ind w:firstLine="720"/>
        <w:jc w:val="both"/>
        <w:rPr>
          <w:rFonts w:eastAsia="Times New Roman" w:cs="Times New Roman"/>
          <w:sz w:val="22"/>
          <w:lang w:val="sr-Cyrl-RS"/>
        </w:rPr>
      </w:pPr>
    </w:p>
    <w:p w14:paraId="2AF048D0" w14:textId="4431D68D" w:rsidR="009E3888" w:rsidRPr="00EF2F18" w:rsidRDefault="009E3888" w:rsidP="009A2A14">
      <w:pPr>
        <w:spacing w:after="0"/>
        <w:ind w:firstLine="720"/>
        <w:jc w:val="both"/>
        <w:rPr>
          <w:rFonts w:eastAsia="Times New Roman" w:cs="Times New Roman"/>
          <w:sz w:val="22"/>
          <w:lang w:val="sr-Cyrl-RS"/>
        </w:rPr>
      </w:pPr>
      <w:r w:rsidRPr="00EF2F18">
        <w:rPr>
          <w:rFonts w:eastAsia="Times New Roman" w:cs="Times New Roman"/>
          <w:sz w:val="22"/>
          <w:lang w:val="sr-Cyrl-RS"/>
        </w:rPr>
        <w:t xml:space="preserve">Емисије </w:t>
      </w:r>
      <w:r w:rsidRPr="00EF2F18">
        <w:rPr>
          <w:rFonts w:eastAsia="Times New Roman" w:cs="Times New Roman"/>
          <w:i/>
          <w:iCs/>
          <w:sz w:val="22"/>
          <w:lang w:val="sr-Cyrl-RS"/>
        </w:rPr>
        <w:t>VOC</w:t>
      </w:r>
      <w:r w:rsidRPr="00EF2F18">
        <w:rPr>
          <w:rFonts w:eastAsia="Times New Roman" w:cs="Times New Roman"/>
          <w:sz w:val="22"/>
          <w:lang w:val="sr-Cyrl-RS"/>
        </w:rPr>
        <w:t xml:space="preserve"> из сектора пољопривреде чине удео од 17,5%, и пале су за 3,7% од 2015. године. Највећи извор емисија </w:t>
      </w:r>
      <w:r w:rsidRPr="00EF2F18">
        <w:rPr>
          <w:rFonts w:eastAsia="Times New Roman" w:cs="Times New Roman"/>
          <w:i/>
          <w:iCs/>
          <w:sz w:val="22"/>
          <w:lang w:val="sr-Cyrl-RS"/>
        </w:rPr>
        <w:t>VOC</w:t>
      </w:r>
      <w:r w:rsidRPr="00EF2F18">
        <w:rPr>
          <w:rFonts w:eastAsia="Times New Roman" w:cs="Times New Roman"/>
          <w:sz w:val="22"/>
          <w:lang w:val="sr-Cyrl-RS"/>
        </w:rPr>
        <w:t xml:space="preserve"> из пољопривреде потиче из управљања стајњаком, и чине 83,3% удела у укупним емисијама </w:t>
      </w:r>
      <w:r w:rsidRPr="00EF2F18">
        <w:rPr>
          <w:rFonts w:eastAsia="Times New Roman" w:cs="Times New Roman"/>
          <w:i/>
          <w:iCs/>
          <w:sz w:val="22"/>
          <w:lang w:val="sr-Cyrl-RS"/>
        </w:rPr>
        <w:t>VOC</w:t>
      </w:r>
      <w:r w:rsidRPr="00EF2F18">
        <w:rPr>
          <w:rFonts w:eastAsia="Times New Roman" w:cs="Times New Roman"/>
          <w:sz w:val="22"/>
          <w:lang w:val="sr-Cyrl-RS"/>
        </w:rPr>
        <w:t xml:space="preserve">, затим следе </w:t>
      </w:r>
      <w:r w:rsidRPr="00EF2F18">
        <w:rPr>
          <w:rFonts w:eastAsia="Times New Roman" w:cs="Times New Roman"/>
          <w:i/>
          <w:iCs/>
          <w:sz w:val="22"/>
          <w:lang w:val="sr-Cyrl-RS"/>
        </w:rPr>
        <w:t>VOC</w:t>
      </w:r>
      <w:r w:rsidRPr="00EF2F18">
        <w:rPr>
          <w:rFonts w:eastAsia="Times New Roman" w:cs="Times New Roman"/>
          <w:sz w:val="22"/>
          <w:lang w:val="sr-Cyrl-RS"/>
        </w:rPr>
        <w:t xml:space="preserve"> из узгоја житарица са 14,1% и спаљивање остатака из пољопривреде на отвореном са 2,6%. У делу управљања стајњаком, </w:t>
      </w:r>
      <w:r w:rsidRPr="00EF2F18">
        <w:rPr>
          <w:rFonts w:eastAsia="Times New Roman" w:cs="Times New Roman"/>
          <w:i/>
          <w:iCs/>
          <w:sz w:val="22"/>
          <w:lang w:val="sr-Cyrl-RS"/>
        </w:rPr>
        <w:t>VOC</w:t>
      </w:r>
      <w:r w:rsidRPr="00EF2F18">
        <w:rPr>
          <w:rFonts w:eastAsia="Times New Roman" w:cs="Times New Roman"/>
          <w:sz w:val="22"/>
          <w:lang w:val="sr-Cyrl-RS"/>
        </w:rPr>
        <w:t xml:space="preserve"> из млечног говедарства износи 42,8%, из немлечног говедарства 23,9%, из узгоја свиња 12,2% и 21,2% из узгоја остале стоке и живине, као што су овце, козе, коке носиље и товни пилићи. </w:t>
      </w:r>
    </w:p>
    <w:p w14:paraId="73174F7E" w14:textId="1C1F506F" w:rsidR="00A20065" w:rsidRPr="00EF2F18" w:rsidRDefault="00A20065" w:rsidP="009A2A14">
      <w:pPr>
        <w:spacing w:after="0"/>
        <w:ind w:firstLine="720"/>
        <w:jc w:val="both"/>
        <w:rPr>
          <w:rFonts w:cs="Times New Roman"/>
          <w:sz w:val="22"/>
          <w:lang w:val="sr-Cyrl-RS"/>
        </w:rPr>
      </w:pPr>
      <w:r w:rsidRPr="00EF2F18">
        <w:rPr>
          <w:rFonts w:cs="Times New Roman"/>
          <w:sz w:val="22"/>
          <w:lang w:val="sr-Cyrl-RS"/>
        </w:rPr>
        <w:t>Емисије NMVOC су 2023. године износиле 140,1 kt NMVOC, што представља смањење од 1,9% у односу на 2010. годину. Бележе се већи падови емисија, нарочито у 2014. години од 11,7%, односно у 2019. години од 5,6% респективно. Највеће емисије NMVOC су у 2020. години и износе 147,03 kt NMVOC. Доминантни извор емисија NMVOC је сектор Фугитивне емисије који доприноси укупним NMVOC емисијама са 30,3% у 2023, затим Топлане снаге мање од 50MW и индивидуално грејање са 29,4%, и Пољопривреда са 12,5%.</w:t>
      </w:r>
    </w:p>
    <w:p w14:paraId="5F260BFB" w14:textId="7FC953FF" w:rsidR="009E3888" w:rsidRPr="00EF2F18" w:rsidRDefault="00A20065" w:rsidP="00143597">
      <w:pPr>
        <w:spacing w:after="0"/>
        <w:ind w:firstLine="720"/>
        <w:jc w:val="both"/>
        <w:rPr>
          <w:rFonts w:eastAsia="Times New Roman" w:cs="Times New Roman"/>
          <w:sz w:val="22"/>
          <w:lang w:val="sr-Cyrl-RS"/>
        </w:rPr>
      </w:pPr>
      <w:r w:rsidRPr="00EF2F18">
        <w:rPr>
          <w:rFonts w:cs="Times New Roman"/>
          <w:sz w:val="22"/>
          <w:lang w:val="sr-Cyrl-RS"/>
        </w:rPr>
        <w:t>Емисије NH</w:t>
      </w:r>
      <w:r w:rsidRPr="00EF2F18">
        <w:rPr>
          <w:rFonts w:cs="Times New Roman"/>
          <w:sz w:val="22"/>
          <w:vertAlign w:val="subscript"/>
          <w:lang w:val="sr-Cyrl-RS"/>
        </w:rPr>
        <w:t>3</w:t>
      </w:r>
      <w:r w:rsidRPr="00EF2F18">
        <w:rPr>
          <w:rFonts w:cs="Times New Roman"/>
          <w:sz w:val="22"/>
          <w:lang w:val="sr-Cyrl-RS"/>
        </w:rPr>
        <w:t xml:space="preserve"> су у 2023. години износиле 58,78 kt NH</w:t>
      </w:r>
      <w:r w:rsidRPr="00EF2F18">
        <w:rPr>
          <w:rFonts w:cs="Times New Roman"/>
          <w:sz w:val="22"/>
          <w:vertAlign w:val="subscript"/>
          <w:lang w:val="sr-Cyrl-RS"/>
        </w:rPr>
        <w:t>3</w:t>
      </w:r>
      <w:r w:rsidRPr="00EF2F18">
        <w:rPr>
          <w:rFonts w:cs="Times New Roman"/>
          <w:sz w:val="22"/>
          <w:lang w:val="sr-Cyrl-RS"/>
        </w:rPr>
        <w:t>, што представља смањење од 33,9% у односу на 2010. годину. Предоминантни сектор емисије NH</w:t>
      </w:r>
      <w:r w:rsidRPr="00EF2F18">
        <w:rPr>
          <w:rFonts w:cs="Times New Roman"/>
          <w:sz w:val="22"/>
          <w:vertAlign w:val="subscript"/>
          <w:lang w:val="sr-Cyrl-RS"/>
        </w:rPr>
        <w:t>3</w:t>
      </w:r>
      <w:r w:rsidRPr="00EF2F18">
        <w:rPr>
          <w:rFonts w:cs="Times New Roman"/>
          <w:sz w:val="22"/>
          <w:lang w:val="sr-Cyrl-RS"/>
        </w:rPr>
        <w:t xml:space="preserve"> је пољопривреда, чији је удео у укупним националним емисијама чак 91,4%, док сектор управљања отпадом доприноси укупним NH</w:t>
      </w:r>
      <w:r w:rsidRPr="00EF2F18">
        <w:rPr>
          <w:rFonts w:cs="Times New Roman"/>
          <w:sz w:val="22"/>
          <w:vertAlign w:val="subscript"/>
          <w:lang w:val="sr-Cyrl-RS"/>
        </w:rPr>
        <w:t>3</w:t>
      </w:r>
      <w:r w:rsidRPr="00EF2F18">
        <w:rPr>
          <w:rFonts w:cs="Times New Roman"/>
          <w:sz w:val="22"/>
          <w:lang w:val="sr-Cyrl-RS"/>
        </w:rPr>
        <w:t xml:space="preserve"> емисијама у 2023. са 6,81%. Главни извор емисија NH</w:t>
      </w:r>
      <w:r w:rsidRPr="00EF2F18">
        <w:rPr>
          <w:rFonts w:cs="Times New Roman"/>
          <w:sz w:val="22"/>
          <w:vertAlign w:val="subscript"/>
          <w:lang w:val="sr-Cyrl-RS"/>
        </w:rPr>
        <w:t>3</w:t>
      </w:r>
      <w:r w:rsidRPr="00EF2F18">
        <w:rPr>
          <w:rFonts w:cs="Times New Roman"/>
          <w:sz w:val="22"/>
          <w:lang w:val="sr-Cyrl-RS"/>
        </w:rPr>
        <w:t xml:space="preserve"> су из категорија управљање стајњаком, који чини 87,4% пољопривредних емисија у 2023, и са 12,6% категорија примене неорганских азотних ђубрива (укључујући примену урее). Опадајући тренд емисија NH</w:t>
      </w:r>
      <w:r w:rsidRPr="00EF2F18">
        <w:rPr>
          <w:rFonts w:cs="Times New Roman"/>
          <w:sz w:val="22"/>
          <w:vertAlign w:val="subscript"/>
          <w:lang w:val="sr-Cyrl-RS"/>
        </w:rPr>
        <w:t>3</w:t>
      </w:r>
      <w:r w:rsidRPr="00EF2F18">
        <w:rPr>
          <w:rFonts w:cs="Times New Roman"/>
          <w:sz w:val="22"/>
          <w:lang w:val="sr-Cyrl-RS"/>
        </w:rPr>
        <w:t xml:space="preserve"> углавном је резултат смањења броја свиња и говеда у Републици Србији. Треба нагласити да су емисије NH</w:t>
      </w:r>
      <w:r w:rsidRPr="00EF2F18">
        <w:rPr>
          <w:rFonts w:cs="Times New Roman"/>
          <w:sz w:val="22"/>
          <w:vertAlign w:val="subscript"/>
          <w:lang w:val="sr-Cyrl-RS"/>
        </w:rPr>
        <w:t>3</w:t>
      </w:r>
      <w:r w:rsidRPr="00EF2F18">
        <w:rPr>
          <w:rFonts w:cs="Times New Roman"/>
          <w:sz w:val="22"/>
          <w:lang w:val="sr-Cyrl-RS"/>
        </w:rPr>
        <w:t xml:space="preserve"> из индустрије знатно опале 2019. године. Смањење емисија NH</w:t>
      </w:r>
      <w:r w:rsidRPr="00EF2F18">
        <w:rPr>
          <w:rFonts w:cs="Times New Roman"/>
          <w:sz w:val="22"/>
          <w:vertAlign w:val="subscript"/>
          <w:lang w:val="sr-Cyrl-RS"/>
        </w:rPr>
        <w:t>3</w:t>
      </w:r>
      <w:r w:rsidRPr="00EF2F18">
        <w:rPr>
          <w:rFonts w:cs="Times New Roman"/>
          <w:sz w:val="22"/>
          <w:lang w:val="sr-Cyrl-RS"/>
        </w:rPr>
        <w:t xml:space="preserve"> из овог сектора </w:t>
      </w:r>
      <w:r w:rsidRPr="00EF2F18">
        <w:rPr>
          <w:rFonts w:cs="Times New Roman"/>
          <w:sz w:val="22"/>
          <w:lang w:val="sr-Cyrl-RS"/>
        </w:rPr>
        <w:lastRenderedPageBreak/>
        <w:t>последица је обуставе производње амонијум-нитрата због неусаглашености са прописима из области заштите животне средине и са тржишним условима.</w:t>
      </w:r>
    </w:p>
    <w:p w14:paraId="7E7FC281" w14:textId="77777777" w:rsidR="009E3888" w:rsidRPr="00EF2F18" w:rsidRDefault="009E3888" w:rsidP="009A2A14">
      <w:pPr>
        <w:spacing w:after="0"/>
        <w:jc w:val="center"/>
        <w:rPr>
          <w:rFonts w:eastAsia="Times New Roman" w:cs="Times New Roman"/>
          <w:sz w:val="22"/>
          <w:lang w:val="sr-Cyrl-RS"/>
        </w:rPr>
      </w:pPr>
      <w:bookmarkStart w:id="47" w:name="_heading=h.2xcytpi" w:colFirst="0" w:colLast="0"/>
      <w:bookmarkEnd w:id="47"/>
      <w:r w:rsidRPr="00EF2F18">
        <w:rPr>
          <w:rFonts w:eastAsia="Times New Roman" w:cs="Times New Roman"/>
          <w:noProof/>
          <w:sz w:val="22"/>
          <w:lang w:val="sr-Cyrl-RS" w:eastAsia="sr-Cyrl-RS"/>
        </w:rPr>
        <w:drawing>
          <wp:inline distT="0" distB="0" distL="0" distR="0" wp14:anchorId="686C1AC4" wp14:editId="69D0685D">
            <wp:extent cx="4953000" cy="2495550"/>
            <wp:effectExtent l="0" t="0" r="0" b="0"/>
            <wp:docPr id="589" name="image45.png" descr="A graph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589" name="image45.png" descr="A graph with different colored bars&#10;&#10;Description automatically generated"/>
                    <pic:cNvPicPr preferRelativeResize="0"/>
                  </pic:nvPicPr>
                  <pic:blipFill>
                    <a:blip r:embed="rId34"/>
                    <a:srcRect/>
                    <a:stretch>
                      <a:fillRect/>
                    </a:stretch>
                  </pic:blipFill>
                  <pic:spPr>
                    <a:xfrm>
                      <a:off x="0" y="0"/>
                      <a:ext cx="4953000" cy="2495550"/>
                    </a:xfrm>
                    <a:prstGeom prst="rect">
                      <a:avLst/>
                    </a:prstGeom>
                    <a:ln/>
                  </pic:spPr>
                </pic:pic>
              </a:graphicData>
            </a:graphic>
          </wp:inline>
        </w:drawing>
      </w:r>
    </w:p>
    <w:p w14:paraId="53C95D06" w14:textId="2758D540" w:rsidR="009E3888" w:rsidRPr="00EF2F18" w:rsidRDefault="009E3888" w:rsidP="00927F99">
      <w:pPr>
        <w:spacing w:after="0"/>
        <w:jc w:val="both"/>
        <w:rPr>
          <w:rFonts w:eastAsia="Times New Roman" w:cs="Times New Roman"/>
          <w:bCs/>
          <w:color w:val="000000"/>
          <w:sz w:val="22"/>
          <w:lang w:val="sr-Cyrl-RS"/>
        </w:rPr>
      </w:pPr>
      <w:r w:rsidRPr="00EF2F18">
        <w:rPr>
          <w:rFonts w:eastAsia="Times New Roman" w:cs="Times New Roman"/>
          <w:b/>
          <w:color w:val="000000"/>
          <w:sz w:val="22"/>
          <w:lang w:val="sr-Cyrl-RS"/>
        </w:rPr>
        <w:t>Слика 3.</w:t>
      </w:r>
      <w:r w:rsidR="002F1BE7" w:rsidRPr="00EF2F18">
        <w:rPr>
          <w:rFonts w:eastAsia="Times New Roman" w:cs="Times New Roman"/>
          <w:b/>
          <w:color w:val="000000"/>
          <w:sz w:val="22"/>
          <w:lang w:val="sr-Cyrl-RS"/>
        </w:rPr>
        <w:t>1</w:t>
      </w:r>
      <w:r w:rsidR="007C33E8" w:rsidRPr="00EF2F18">
        <w:rPr>
          <w:rFonts w:eastAsia="Times New Roman" w:cs="Times New Roman"/>
          <w:b/>
          <w:color w:val="000000"/>
          <w:sz w:val="22"/>
          <w:lang w:val="sr-Cyrl-RS"/>
        </w:rPr>
        <w:t>8</w:t>
      </w:r>
      <w:r w:rsidRPr="00EF2F18">
        <w:rPr>
          <w:rFonts w:eastAsia="Times New Roman" w:cs="Times New Roman"/>
          <w:b/>
          <w:color w:val="000000"/>
          <w:sz w:val="22"/>
          <w:lang w:val="sr-Cyrl-RS"/>
        </w:rPr>
        <w:t xml:space="preserve">. </w:t>
      </w:r>
      <w:r w:rsidRPr="00EF2F18">
        <w:rPr>
          <w:rFonts w:eastAsia="Times New Roman" w:cs="Times New Roman"/>
          <w:bCs/>
          <w:color w:val="000000"/>
          <w:sz w:val="22"/>
          <w:lang w:val="sr-Cyrl-RS"/>
        </w:rPr>
        <w:t>Укупне емисије NH</w:t>
      </w:r>
      <w:r w:rsidRPr="00EF2F18">
        <w:rPr>
          <w:rFonts w:eastAsia="Times New Roman" w:cs="Times New Roman"/>
          <w:bCs/>
          <w:color w:val="000000"/>
          <w:sz w:val="22"/>
          <w:vertAlign w:val="subscript"/>
          <w:lang w:val="sr-Cyrl-RS"/>
        </w:rPr>
        <w:t>3</w:t>
      </w:r>
      <w:r w:rsidRPr="00EF2F18">
        <w:rPr>
          <w:rFonts w:eastAsia="Times New Roman" w:cs="Times New Roman"/>
          <w:bCs/>
          <w:color w:val="000000"/>
          <w:sz w:val="22"/>
          <w:lang w:val="sr-Cyrl-RS"/>
        </w:rPr>
        <w:t xml:space="preserve"> у Републици Србији (2005-2019. године)</w:t>
      </w:r>
    </w:p>
    <w:p w14:paraId="5D8FEED7" w14:textId="7E7B8377" w:rsidR="000A25F7" w:rsidRPr="00EF2F18" w:rsidRDefault="000A25F7" w:rsidP="009A2A14">
      <w:pPr>
        <w:spacing w:after="0"/>
        <w:jc w:val="both"/>
        <w:rPr>
          <w:rFonts w:cs="Times New Roman"/>
          <w:i/>
          <w:iCs/>
          <w:sz w:val="22"/>
          <w:lang w:val="sr-Cyrl-RS"/>
        </w:rPr>
      </w:pPr>
      <w:r w:rsidRPr="00EF2F18">
        <w:rPr>
          <w:rFonts w:cs="Times New Roman"/>
          <w:i/>
          <w:iCs/>
          <w:sz w:val="22"/>
          <w:lang w:val="sr-Cyrl-RS"/>
        </w:rPr>
        <w:t>Извор:</w:t>
      </w:r>
      <w:r w:rsidR="0055125F" w:rsidRPr="00EF2F18">
        <w:rPr>
          <w:rFonts w:cs="Times New Roman"/>
          <w:i/>
          <w:iCs/>
          <w:sz w:val="22"/>
          <w:lang w:val="sr-Cyrl-RS"/>
        </w:rPr>
        <w:t xml:space="preserve"> Програм заштите ваздуха у Републици Србији за период од 2022. до 2030. године са акционим планом</w:t>
      </w:r>
    </w:p>
    <w:p w14:paraId="79166287" w14:textId="77777777" w:rsidR="009E3888" w:rsidRPr="00EF2F18" w:rsidRDefault="009E3888" w:rsidP="00927F99">
      <w:pPr>
        <w:spacing w:after="0"/>
        <w:ind w:firstLine="720"/>
        <w:jc w:val="both"/>
        <w:rPr>
          <w:rFonts w:eastAsia="Times New Roman" w:cs="Times New Roman"/>
          <w:sz w:val="22"/>
          <w:lang w:val="sr-Cyrl-RS"/>
        </w:rPr>
      </w:pPr>
    </w:p>
    <w:p w14:paraId="65F5D0CA" w14:textId="636D935D" w:rsidR="00BF78D1" w:rsidRPr="00EF2F18" w:rsidRDefault="00BF78D1" w:rsidP="00927F99">
      <w:pPr>
        <w:spacing w:after="0"/>
        <w:ind w:firstLine="720"/>
        <w:jc w:val="both"/>
        <w:rPr>
          <w:rFonts w:cs="Times New Roman"/>
          <w:sz w:val="22"/>
          <w:lang w:val="sr-Cyrl-RS"/>
        </w:rPr>
      </w:pPr>
      <w:r w:rsidRPr="00EF2F18">
        <w:rPr>
          <w:rFonts w:cs="Times New Roman"/>
          <w:sz w:val="22"/>
          <w:lang w:val="sr-Cyrl-RS"/>
        </w:rPr>
        <w:t>Емисије суспендованих честица из термоелектрана на угаљ су унутар национално утврђених граничних вредности и имају опадајући тренд, при чему једино те</w:t>
      </w:r>
      <w:r w:rsidR="00A42320" w:rsidRPr="00EF2F18">
        <w:rPr>
          <w:rFonts w:cs="Times New Roman"/>
          <w:sz w:val="22"/>
          <w:lang w:val="sr-Cyrl-RS"/>
        </w:rPr>
        <w:t>р</w:t>
      </w:r>
      <w:r w:rsidRPr="00EF2F18">
        <w:rPr>
          <w:rFonts w:cs="Times New Roman"/>
          <w:sz w:val="22"/>
          <w:lang w:val="sr-Cyrl-RS"/>
        </w:rPr>
        <w:t>моелектрана „Никола Тесла</w:t>
      </w:r>
      <w:r w:rsidR="00CF307C" w:rsidRPr="00EF2F18">
        <w:rPr>
          <w:rFonts w:cs="Times New Roman"/>
          <w:sz w:val="22"/>
          <w:lang w:val="sr-Cyrl-RS"/>
        </w:rPr>
        <w:t>”</w:t>
      </w:r>
      <w:r w:rsidRPr="00EF2F18">
        <w:rPr>
          <w:rFonts w:cs="Times New Roman"/>
          <w:sz w:val="22"/>
          <w:lang w:val="sr-Cyrl-RS"/>
        </w:rPr>
        <w:t xml:space="preserve"> А1 – А3 прекорачује 1,75 пута граничне вредности, док „Костолац</w:t>
      </w:r>
      <w:r w:rsidR="00CF307C" w:rsidRPr="00EF2F18">
        <w:rPr>
          <w:rFonts w:cs="Times New Roman"/>
          <w:sz w:val="22"/>
          <w:lang w:val="sr-Cyrl-RS"/>
        </w:rPr>
        <w:t>”</w:t>
      </w:r>
      <w:r w:rsidRPr="00EF2F18">
        <w:rPr>
          <w:rFonts w:cs="Times New Roman"/>
          <w:sz w:val="22"/>
          <w:lang w:val="sr-Cyrl-RS"/>
        </w:rPr>
        <w:t xml:space="preserve"> А1 и А2 имају незнатно прекорачење. Према подацима ЕПС</w:t>
      </w:r>
      <w:r w:rsidR="00B53378">
        <w:rPr>
          <w:rFonts w:cs="Times New Roman"/>
          <w:sz w:val="22"/>
          <w:lang w:val="sr-Cyrl-RS"/>
        </w:rPr>
        <w:t xml:space="preserve"> АД</w:t>
      </w:r>
      <w:r w:rsidRPr="00EF2F18">
        <w:rPr>
          <w:rFonts w:cs="Times New Roman"/>
          <w:sz w:val="22"/>
          <w:lang w:val="sr-Cyrl-RS"/>
        </w:rPr>
        <w:t xml:space="preserve">, емисије суспендованих честица у производњи електричне енергије у 2021. години смањене су </w:t>
      </w:r>
      <w:r w:rsidR="000C1F21" w:rsidRPr="00EF2F18">
        <w:rPr>
          <w:rFonts w:cs="Times New Roman"/>
          <w:sz w:val="22"/>
          <w:lang w:val="sr-Cyrl-RS"/>
        </w:rPr>
        <w:t xml:space="preserve">на </w:t>
      </w:r>
      <w:r w:rsidRPr="00EF2F18">
        <w:rPr>
          <w:rFonts w:cs="Times New Roman"/>
          <w:sz w:val="22"/>
          <w:lang w:val="sr-Cyrl-RS"/>
        </w:rPr>
        <w:t xml:space="preserve">7.474 t по години у односу на 66.626 t по години, колико је емитовано у 2003. години. У циљу смањења емисија прашкастих материја на 14 блокова у термоенергетским објектима реконструисани су електрофилтери. </w:t>
      </w:r>
      <w:r w:rsidR="00534E49" w:rsidRPr="00EF2F18">
        <w:rPr>
          <w:rFonts w:cs="Times New Roman"/>
          <w:sz w:val="22"/>
          <w:lang w:val="sr-Cyrl-RS"/>
        </w:rPr>
        <w:t>Изграђено је постројење за одсумпоравање димних гасова влажним поступком у ТЕ „Костолац” Б, а систем за одсумпоравање димних гасова у ТЕ „Никола Тесла” А на блоковима А3, А4, А5 и А6 пуштен је у пробни рад марта 2024. године и процес исходовања употребне дозволе је у току, а систем на ТЕ „Никола Тесла” Б налази се у пробном раду до краја 2026. године</w:t>
      </w:r>
      <w:r w:rsidR="00017E09">
        <w:rPr>
          <w:rFonts w:cs="Times New Roman"/>
          <w:sz w:val="22"/>
          <w:lang w:val="sr-Cyrl-RS"/>
        </w:rPr>
        <w:t xml:space="preserve">. </w:t>
      </w:r>
      <w:r w:rsidRPr="00EF2F18">
        <w:rPr>
          <w:rFonts w:cs="Times New Roman"/>
          <w:sz w:val="22"/>
          <w:lang w:val="sr-Cyrl-RS"/>
        </w:rPr>
        <w:t>Изграђено је постројење за одсумпоравање димних гасова влажним поступком у ТЕ „Костолац</w:t>
      </w:r>
      <w:r w:rsidR="00CF307C" w:rsidRPr="00EF2F18">
        <w:rPr>
          <w:rFonts w:cs="Times New Roman"/>
          <w:sz w:val="22"/>
          <w:lang w:val="sr-Cyrl-RS"/>
        </w:rPr>
        <w:t>”</w:t>
      </w:r>
      <w:r w:rsidRPr="00EF2F18">
        <w:rPr>
          <w:rFonts w:cs="Times New Roman"/>
          <w:sz w:val="22"/>
          <w:lang w:val="sr-Cyrl-RS"/>
        </w:rPr>
        <w:t xml:space="preserve"> Б, док је систем за </w:t>
      </w:r>
      <w:r w:rsidR="00F45912" w:rsidRPr="00EF2F18">
        <w:rPr>
          <w:rFonts w:cs="Times New Roman"/>
          <w:sz w:val="22"/>
          <w:lang w:val="sr-Cyrl-RS"/>
        </w:rPr>
        <w:t xml:space="preserve">одсумпоравање димних гасова </w:t>
      </w:r>
      <w:r w:rsidRPr="00EF2F18">
        <w:rPr>
          <w:rFonts w:cs="Times New Roman"/>
          <w:sz w:val="22"/>
          <w:lang w:val="sr-Cyrl-RS"/>
        </w:rPr>
        <w:t>у ТЕ „Никола Тесла</w:t>
      </w:r>
      <w:r w:rsidR="00CF307C" w:rsidRPr="00EF2F18">
        <w:rPr>
          <w:rFonts w:cs="Times New Roman"/>
          <w:sz w:val="22"/>
          <w:lang w:val="sr-Cyrl-RS"/>
        </w:rPr>
        <w:t>”</w:t>
      </w:r>
      <w:r w:rsidRPr="00EF2F18">
        <w:rPr>
          <w:rFonts w:cs="Times New Roman"/>
          <w:sz w:val="22"/>
          <w:lang w:val="sr-Cyrl-RS"/>
        </w:rPr>
        <w:t xml:space="preserve"> А, блокови А3, А4, А5, и А6 и ТЕ „Никола Тесла</w:t>
      </w:r>
      <w:r w:rsidR="00CF307C" w:rsidRPr="00EF2F18">
        <w:rPr>
          <w:rFonts w:cs="Times New Roman"/>
          <w:sz w:val="22"/>
          <w:lang w:val="sr-Cyrl-RS"/>
        </w:rPr>
        <w:t>”</w:t>
      </w:r>
      <w:r w:rsidRPr="00EF2F18">
        <w:rPr>
          <w:rFonts w:cs="Times New Roman"/>
          <w:sz w:val="22"/>
          <w:lang w:val="sr-Cyrl-RS"/>
        </w:rPr>
        <w:t xml:space="preserve"> Б у поступку реализације. Емисије азотних оксида су у опадању од 2018. године и у 2021. години износиле су 77% граничних вредности предвиђених </w:t>
      </w:r>
      <w:r w:rsidRPr="00EF2F18">
        <w:rPr>
          <w:rFonts w:cs="Times New Roman"/>
          <w:i/>
          <w:iCs/>
          <w:sz w:val="22"/>
          <w:lang w:val="sr-Cyrl-RS"/>
        </w:rPr>
        <w:t>NERP</w:t>
      </w:r>
      <w:r w:rsidRPr="00EF2F18">
        <w:rPr>
          <w:rFonts w:cs="Times New Roman"/>
          <w:sz w:val="22"/>
          <w:lang w:val="sr-Cyrl-RS"/>
        </w:rPr>
        <w:t>-ом. Једино постројење које је имало емисије веће од дозвољених био је Костолац А2, који је прекорачио лимит за 1,5 пута. Примарне мере за смањење емисија азотних оксида (уградња савремених „</w:t>
      </w:r>
      <w:r w:rsidRPr="00EF2F18">
        <w:rPr>
          <w:rFonts w:cs="Times New Roman"/>
          <w:i/>
          <w:iCs/>
          <w:sz w:val="22"/>
          <w:lang w:val="sr-Cyrl-RS"/>
        </w:rPr>
        <w:t>low</w:t>
      </w:r>
      <w:r w:rsidRPr="00EF2F18">
        <w:rPr>
          <w:rFonts w:cs="Times New Roman"/>
          <w:sz w:val="22"/>
          <w:lang w:val="sr-Cyrl-RS"/>
        </w:rPr>
        <w:t>-NOx</w:t>
      </w:r>
      <w:r w:rsidR="00CF307C" w:rsidRPr="00EF2F18">
        <w:rPr>
          <w:rFonts w:cs="Times New Roman"/>
          <w:sz w:val="22"/>
          <w:lang w:val="sr-Cyrl-RS"/>
        </w:rPr>
        <w:t>”</w:t>
      </w:r>
      <w:r w:rsidRPr="00EF2F18">
        <w:rPr>
          <w:rFonts w:cs="Times New Roman"/>
          <w:sz w:val="22"/>
          <w:lang w:val="sr-Cyrl-RS"/>
        </w:rPr>
        <w:t xml:space="preserve"> горионика и реконструкција млинова за угаљ) уведене су на блоку Б1 у ТЕ „Костолац</w:t>
      </w:r>
      <w:r w:rsidR="00CF307C" w:rsidRPr="00EF2F18">
        <w:rPr>
          <w:rFonts w:cs="Times New Roman"/>
          <w:sz w:val="22"/>
          <w:lang w:val="sr-Cyrl-RS"/>
        </w:rPr>
        <w:t>”</w:t>
      </w:r>
      <w:r w:rsidRPr="00EF2F18">
        <w:rPr>
          <w:rFonts w:cs="Times New Roman"/>
          <w:sz w:val="22"/>
          <w:lang w:val="sr-Cyrl-RS"/>
        </w:rPr>
        <w:t xml:space="preserve"> Б, док су примарне и секундарне мере уведене на блоку Б2 у ТЕ „Костолац</w:t>
      </w:r>
      <w:r w:rsidR="00CF307C" w:rsidRPr="00EF2F18">
        <w:rPr>
          <w:rFonts w:cs="Times New Roman"/>
          <w:sz w:val="22"/>
          <w:lang w:val="sr-Cyrl-RS"/>
        </w:rPr>
        <w:t>”</w:t>
      </w:r>
      <w:r w:rsidRPr="00EF2F18">
        <w:rPr>
          <w:rFonts w:cs="Times New Roman"/>
          <w:sz w:val="22"/>
          <w:lang w:val="sr-Cyrl-RS"/>
        </w:rPr>
        <w:t xml:space="preserve"> Б. У ТЕ „Никола Тесла</w:t>
      </w:r>
      <w:r w:rsidR="00CF307C" w:rsidRPr="00EF2F18">
        <w:rPr>
          <w:rFonts w:cs="Times New Roman"/>
          <w:sz w:val="22"/>
          <w:lang w:val="sr-Cyrl-RS"/>
        </w:rPr>
        <w:t>”</w:t>
      </w:r>
      <w:r w:rsidRPr="00EF2F18">
        <w:rPr>
          <w:rFonts w:cs="Times New Roman"/>
          <w:sz w:val="22"/>
          <w:lang w:val="sr-Cyrl-RS"/>
        </w:rPr>
        <w:t xml:space="preserve"> блок Б1 је уграђен примарни систем за редукцију азотних оксида, док су реконструкције горионика извршене на блоковима А3, А4 и А5 у ТЕ „Никола Тесла А</w:t>
      </w:r>
      <w:r w:rsidR="00CF307C" w:rsidRPr="00EF2F18">
        <w:rPr>
          <w:rFonts w:cs="Times New Roman"/>
          <w:sz w:val="22"/>
          <w:lang w:val="sr-Cyrl-RS"/>
        </w:rPr>
        <w:t>”</w:t>
      </w:r>
      <w:r w:rsidRPr="00EF2F18">
        <w:rPr>
          <w:rFonts w:cs="Times New Roman"/>
          <w:sz w:val="22"/>
          <w:lang w:val="sr-Cyrl-RS"/>
        </w:rPr>
        <w:t>.</w:t>
      </w:r>
    </w:p>
    <w:p w14:paraId="2257C8A0" w14:textId="4EDC6F8A" w:rsidR="00BF78D1" w:rsidRPr="00EF2F18" w:rsidRDefault="00BF78D1" w:rsidP="00927F99">
      <w:pPr>
        <w:spacing w:after="0"/>
        <w:ind w:firstLine="720"/>
        <w:jc w:val="both"/>
        <w:rPr>
          <w:rFonts w:cs="Times New Roman"/>
          <w:sz w:val="22"/>
          <w:lang w:val="sr-Cyrl-RS"/>
        </w:rPr>
      </w:pPr>
      <w:r w:rsidRPr="00EF2F18">
        <w:rPr>
          <w:rFonts w:cs="Times New Roman"/>
          <w:sz w:val="22"/>
          <w:lang w:val="sr-Cyrl-RS"/>
        </w:rPr>
        <w:t xml:space="preserve">Емисије загађујућих материја у ваздух из </w:t>
      </w:r>
      <w:r w:rsidR="00B64DF2" w:rsidRPr="00EF2F18">
        <w:rPr>
          <w:rFonts w:cs="Times New Roman"/>
          <w:sz w:val="22"/>
          <w:lang w:val="sr-Cyrl-RS"/>
        </w:rPr>
        <w:t xml:space="preserve">сектора индустрије </w:t>
      </w:r>
      <w:r w:rsidRPr="00EF2F18">
        <w:rPr>
          <w:rFonts w:cs="Times New Roman"/>
          <w:sz w:val="22"/>
          <w:lang w:val="sr-Cyrl-RS"/>
        </w:rPr>
        <w:t>још увек су значајн</w:t>
      </w:r>
      <w:r w:rsidR="00294D12" w:rsidRPr="00EF2F18">
        <w:rPr>
          <w:rFonts w:cs="Times New Roman"/>
          <w:sz w:val="22"/>
          <w:lang w:val="sr-Cyrl-RS"/>
        </w:rPr>
        <w:t>e</w:t>
      </w:r>
      <w:r w:rsidR="0037086B" w:rsidRPr="00EF2F18">
        <w:rPr>
          <w:rFonts w:cs="Times New Roman"/>
          <w:sz w:val="22"/>
          <w:lang w:val="sr-Cyrl-RS"/>
        </w:rPr>
        <w:t>.</w:t>
      </w:r>
      <w:r w:rsidRPr="00EF2F18">
        <w:rPr>
          <w:rFonts w:cs="Times New Roman"/>
          <w:sz w:val="22"/>
          <w:lang w:val="sr-Cyrl-RS"/>
        </w:rPr>
        <w:t xml:space="preserve"> Највећи ниво емисија бележи се у производним процесима у индустрији цемента, гвожђа и челика, производњи азотне киселине и петрохемији. Индустријска предузећа</w:t>
      </w:r>
      <w:r w:rsidR="00B9180A" w:rsidRPr="00EF2F18">
        <w:rPr>
          <w:rFonts w:cs="Times New Roman"/>
          <w:sz w:val="22"/>
          <w:lang w:val="sr-Cyrl-RS"/>
        </w:rPr>
        <w:t xml:space="preserve"> </w:t>
      </w:r>
      <w:r w:rsidRPr="00EF2F18">
        <w:rPr>
          <w:rFonts w:cs="Times New Roman"/>
          <w:sz w:val="22"/>
          <w:lang w:val="sr-Cyrl-RS"/>
        </w:rPr>
        <w:t xml:space="preserve">још увек недовољно примењују најбоље доступне технологије и није забележен одговарајући напредак у примени </w:t>
      </w:r>
      <w:r w:rsidRPr="00EF2F18">
        <w:rPr>
          <w:rFonts w:cs="Times New Roman"/>
          <w:i/>
          <w:iCs/>
          <w:sz w:val="22"/>
          <w:lang w:val="sr-Cyrl-RS"/>
        </w:rPr>
        <w:t>BAT A</w:t>
      </w:r>
      <w:r w:rsidR="00B64DF2" w:rsidRPr="00EF2F18">
        <w:rPr>
          <w:rFonts w:cs="Times New Roman"/>
          <w:i/>
          <w:iCs/>
          <w:sz w:val="22"/>
          <w:lang w:val="sr-Cyrl-RS"/>
        </w:rPr>
        <w:t>Е</w:t>
      </w:r>
      <w:r w:rsidRPr="00EF2F18">
        <w:rPr>
          <w:rFonts w:cs="Times New Roman"/>
          <w:i/>
          <w:iCs/>
          <w:sz w:val="22"/>
          <w:lang w:val="sr-Cyrl-RS"/>
        </w:rPr>
        <w:t>L</w:t>
      </w:r>
      <w:r w:rsidR="00B64DF2" w:rsidRPr="00EF2F18">
        <w:rPr>
          <w:rFonts w:cs="Times New Roman"/>
          <w:sz w:val="22"/>
          <w:lang w:val="sr-Cyrl-RS"/>
        </w:rPr>
        <w:t>s</w:t>
      </w:r>
      <w:r w:rsidRPr="00EF2F18">
        <w:rPr>
          <w:rFonts w:cs="Times New Roman"/>
          <w:sz w:val="22"/>
          <w:lang w:val="sr-Cyrl-RS"/>
        </w:rPr>
        <w:t xml:space="preserve">. Кроз процес транспоновања законодавства ЕУ, Република Србија се определила да постепено решава проблеме индустријског загађења (пре свега транспоновањем одредби </w:t>
      </w:r>
      <w:r w:rsidR="000C1F21" w:rsidRPr="00EF2F18">
        <w:rPr>
          <w:rFonts w:cs="Times New Roman"/>
          <w:sz w:val="22"/>
          <w:lang w:val="sr-Cyrl-RS"/>
        </w:rPr>
        <w:t>Директиве 2010/75</w:t>
      </w:r>
      <w:r w:rsidR="009719F8" w:rsidRPr="00EF2F18">
        <w:rPr>
          <w:rFonts w:cs="Times New Roman"/>
          <w:sz w:val="22"/>
          <w:lang w:val="sr-Cyrl-RS"/>
        </w:rPr>
        <w:t>/EU</w:t>
      </w:r>
      <w:r w:rsidR="000C1F21" w:rsidRPr="00EF2F18">
        <w:rPr>
          <w:rFonts w:cs="Times New Roman"/>
          <w:sz w:val="22"/>
          <w:lang w:val="sr-Cyrl-RS"/>
        </w:rPr>
        <w:t xml:space="preserve"> о индустријским емисијама (интегрално спречавање, превенција и контрола)</w:t>
      </w:r>
      <w:r w:rsidRPr="00EF2F18">
        <w:rPr>
          <w:rFonts w:cs="Times New Roman"/>
          <w:sz w:val="22"/>
          <w:lang w:val="sr-Cyrl-RS"/>
        </w:rPr>
        <w:t xml:space="preserve"> и Директиве </w:t>
      </w:r>
      <w:r w:rsidR="000C1F21" w:rsidRPr="00EF2F18">
        <w:rPr>
          <w:rFonts w:cs="Times New Roman"/>
          <w:sz w:val="22"/>
          <w:lang w:val="sr-Cyrl-RS"/>
        </w:rPr>
        <w:t>2012/18</w:t>
      </w:r>
      <w:r w:rsidR="009719F8" w:rsidRPr="00EF2F18">
        <w:rPr>
          <w:rFonts w:cs="Times New Roman"/>
          <w:sz w:val="22"/>
          <w:lang w:val="sr-Cyrl-RS"/>
        </w:rPr>
        <w:t>/EU</w:t>
      </w:r>
      <w:r w:rsidR="000C1F21" w:rsidRPr="00EF2F18">
        <w:rPr>
          <w:rFonts w:cs="Times New Roman"/>
          <w:sz w:val="22"/>
          <w:lang w:val="sr-Cyrl-RS"/>
        </w:rPr>
        <w:t xml:space="preserve"> о контроли опасности од великих </w:t>
      </w:r>
      <w:r w:rsidRPr="00EF2F18">
        <w:rPr>
          <w:rFonts w:cs="Times New Roman"/>
          <w:sz w:val="22"/>
          <w:lang w:val="sr-Cyrl-RS"/>
        </w:rPr>
        <w:t>удеса који укључуј</w:t>
      </w:r>
      <w:r w:rsidR="000C1F21" w:rsidRPr="00EF2F18">
        <w:rPr>
          <w:rFonts w:cs="Times New Roman"/>
          <w:sz w:val="22"/>
          <w:lang w:val="sr-Cyrl-RS"/>
        </w:rPr>
        <w:t>у</w:t>
      </w:r>
      <w:r w:rsidRPr="00EF2F18">
        <w:rPr>
          <w:rFonts w:cs="Times New Roman"/>
          <w:sz w:val="22"/>
          <w:lang w:val="sr-Cyrl-RS"/>
        </w:rPr>
        <w:t xml:space="preserve"> опасне супстанце - СЕВЕСО III Директиве</w:t>
      </w:r>
      <w:r w:rsidR="00BE2D4E" w:rsidRPr="00EF2F18">
        <w:rPr>
          <w:rFonts w:cs="Times New Roman"/>
          <w:sz w:val="22"/>
          <w:lang w:val="sr-Cyrl-RS"/>
        </w:rPr>
        <w:t xml:space="preserve"> ЕУ</w:t>
      </w:r>
      <w:r w:rsidRPr="00EF2F18">
        <w:rPr>
          <w:rFonts w:cs="Times New Roman"/>
          <w:sz w:val="22"/>
          <w:lang w:val="sr-Cyrl-RS"/>
        </w:rPr>
        <w:t>).</w:t>
      </w:r>
      <w:r w:rsidR="009E3082" w:rsidRPr="00EF2F18">
        <w:rPr>
          <w:rFonts w:cs="Times New Roman"/>
          <w:sz w:val="22"/>
          <w:lang w:val="sr-Cyrl-RS"/>
        </w:rPr>
        <w:t xml:space="preserve"> У области издавања интегрисаних дозвола, поступци издавања дозвола се спроводе на републичком нивоу,</w:t>
      </w:r>
      <w:r w:rsidR="00B31778" w:rsidRPr="00EF2F18">
        <w:rPr>
          <w:rFonts w:cs="Times New Roman"/>
          <w:sz w:val="22"/>
          <w:lang w:val="sr-Cyrl-RS"/>
        </w:rPr>
        <w:t xml:space="preserve"> </w:t>
      </w:r>
      <w:r w:rsidR="00017E09">
        <w:rPr>
          <w:rFonts w:cs="Times New Roman"/>
          <w:sz w:val="22"/>
          <w:lang w:val="sr-Cyrl-RS"/>
        </w:rPr>
        <w:t>за покрајински и локални ни</w:t>
      </w:r>
      <w:r w:rsidR="009E3082" w:rsidRPr="00EF2F18">
        <w:rPr>
          <w:rFonts w:cs="Times New Roman"/>
          <w:sz w:val="22"/>
          <w:lang w:val="sr-Cyrl-RS"/>
        </w:rPr>
        <w:t>в</w:t>
      </w:r>
      <w:r w:rsidR="00017E09">
        <w:rPr>
          <w:rFonts w:cs="Times New Roman"/>
          <w:sz w:val="22"/>
          <w:lang w:val="sr-Cyrl-RS"/>
        </w:rPr>
        <w:t>о</w:t>
      </w:r>
      <w:r w:rsidR="009E3082" w:rsidRPr="00EF2F18">
        <w:rPr>
          <w:rFonts w:cs="Times New Roman"/>
          <w:sz w:val="22"/>
          <w:lang w:val="sr-Cyrl-RS"/>
        </w:rPr>
        <w:t>и послови издавања дозвола су поверени и покрај</w:t>
      </w:r>
      <w:r w:rsidR="00F328A1">
        <w:rPr>
          <w:rFonts w:cs="Times New Roman"/>
          <w:sz w:val="22"/>
          <w:lang w:val="sr-Cyrl-RS"/>
        </w:rPr>
        <w:t>и</w:t>
      </w:r>
      <w:r w:rsidR="009E3082" w:rsidRPr="00EF2F18">
        <w:rPr>
          <w:rFonts w:cs="Times New Roman"/>
          <w:sz w:val="22"/>
          <w:lang w:val="sr-Cyrl-RS"/>
        </w:rPr>
        <w:t>нским и органима јединица локалних самоуправа</w:t>
      </w:r>
      <w:r w:rsidR="001E706C" w:rsidRPr="00EF2F18">
        <w:rPr>
          <w:rFonts w:cs="Times New Roman"/>
          <w:sz w:val="22"/>
          <w:lang w:val="sr-Cyrl-RS"/>
        </w:rPr>
        <w:t xml:space="preserve">, док </w:t>
      </w:r>
      <w:r w:rsidR="00DC1402" w:rsidRPr="00EF2F18">
        <w:rPr>
          <w:rFonts w:cs="Times New Roman"/>
          <w:sz w:val="22"/>
          <w:lang w:val="sr-Cyrl-RS"/>
        </w:rPr>
        <w:t xml:space="preserve">је контрола опасности од </w:t>
      </w:r>
      <w:r w:rsidR="00373BB3" w:rsidRPr="00EF2F18">
        <w:rPr>
          <w:rFonts w:cs="Times New Roman"/>
          <w:sz w:val="22"/>
          <w:lang w:val="sr-Cyrl-RS"/>
        </w:rPr>
        <w:t>хемијски</w:t>
      </w:r>
      <w:r w:rsidR="00DC1402" w:rsidRPr="00EF2F18">
        <w:rPr>
          <w:rFonts w:cs="Times New Roman"/>
          <w:sz w:val="22"/>
          <w:lang w:val="sr-Cyrl-RS"/>
        </w:rPr>
        <w:t>х</w:t>
      </w:r>
      <w:r w:rsidR="001E706C" w:rsidRPr="00EF2F18">
        <w:rPr>
          <w:rFonts w:cs="Times New Roman"/>
          <w:sz w:val="22"/>
          <w:lang w:val="sr-Cyrl-RS"/>
        </w:rPr>
        <w:t xml:space="preserve"> удес</w:t>
      </w:r>
      <w:r w:rsidR="00DC1402" w:rsidRPr="00EF2F18">
        <w:rPr>
          <w:rFonts w:cs="Times New Roman"/>
          <w:sz w:val="22"/>
          <w:lang w:val="sr-Cyrl-RS"/>
        </w:rPr>
        <w:t>а</w:t>
      </w:r>
      <w:r w:rsidR="00182DC9" w:rsidRPr="00EF2F18">
        <w:rPr>
          <w:rFonts w:cs="Times New Roman"/>
          <w:sz w:val="22"/>
          <w:lang w:val="sr-Cyrl-RS"/>
        </w:rPr>
        <w:t xml:space="preserve"> у</w:t>
      </w:r>
      <w:r w:rsidR="001E706C" w:rsidRPr="00EF2F18">
        <w:rPr>
          <w:rFonts w:cs="Times New Roman"/>
          <w:sz w:val="22"/>
          <w:lang w:val="sr-Cyrl-RS"/>
        </w:rPr>
        <w:t xml:space="preserve"> надлежност</w:t>
      </w:r>
      <w:r w:rsidR="00182DC9" w:rsidRPr="00EF2F18">
        <w:rPr>
          <w:rFonts w:cs="Times New Roman"/>
          <w:sz w:val="22"/>
          <w:lang w:val="sr-Cyrl-RS"/>
        </w:rPr>
        <w:t>и</w:t>
      </w:r>
      <w:r w:rsidR="001E706C" w:rsidRPr="00EF2F18">
        <w:rPr>
          <w:rFonts w:cs="Times New Roman"/>
          <w:sz w:val="22"/>
          <w:lang w:val="sr-Cyrl-RS"/>
        </w:rPr>
        <w:t xml:space="preserve"> </w:t>
      </w:r>
      <w:r w:rsidR="00182DC9" w:rsidRPr="00EF2F18">
        <w:rPr>
          <w:rFonts w:cs="Times New Roman"/>
          <w:sz w:val="22"/>
          <w:lang w:val="sr-Cyrl-RS"/>
        </w:rPr>
        <w:t xml:space="preserve">Министарства </w:t>
      </w:r>
      <w:r w:rsidR="00182DC9" w:rsidRPr="00EF2F18">
        <w:rPr>
          <w:rFonts w:cs="Times New Roman"/>
          <w:sz w:val="22"/>
          <w:lang w:val="sr-Cyrl-RS"/>
        </w:rPr>
        <w:lastRenderedPageBreak/>
        <w:t>заштите животне средине</w:t>
      </w:r>
      <w:r w:rsidRPr="00EF2F18">
        <w:rPr>
          <w:rFonts w:cs="Times New Roman"/>
          <w:sz w:val="22"/>
          <w:lang w:val="sr-Cyrl-RS"/>
        </w:rPr>
        <w:t>. Инспекције на свим нивоима су надлежне за контролу и надзор великих постројења за сагоревање и спровођење законодавства на републичком, покрајинском и локалном нивоу</w:t>
      </w:r>
      <w:r w:rsidR="00BA6877" w:rsidRPr="00EF2F18">
        <w:rPr>
          <w:rFonts w:cs="Times New Roman"/>
          <w:sz w:val="22"/>
          <w:lang w:val="sr-Cyrl-RS"/>
        </w:rPr>
        <w:t>, као</w:t>
      </w:r>
      <w:r w:rsidRPr="00EF2F18">
        <w:rPr>
          <w:rFonts w:cs="Times New Roman"/>
          <w:sz w:val="22"/>
          <w:lang w:val="sr-Cyrl-RS"/>
        </w:rPr>
        <w:t xml:space="preserve"> и за контролу и надзор над постројењима која су у обавези да имају интегрисану дозволу</w:t>
      </w:r>
      <w:r w:rsidR="00FF5F8F" w:rsidRPr="00EF2F18">
        <w:rPr>
          <w:rFonts w:cs="Times New Roman"/>
          <w:sz w:val="22"/>
          <w:lang w:val="sr-Cyrl-RS"/>
        </w:rPr>
        <w:t>.</w:t>
      </w:r>
      <w:r w:rsidR="00790DB1">
        <w:rPr>
          <w:rFonts w:cs="Times New Roman"/>
          <w:sz w:val="22"/>
          <w:lang w:val="sr-Cyrl-RS"/>
        </w:rPr>
        <w:t xml:space="preserve"> </w:t>
      </w:r>
      <w:r w:rsidRPr="00EF2F18">
        <w:rPr>
          <w:rFonts w:cs="Times New Roman"/>
          <w:sz w:val="22"/>
          <w:lang w:val="sr-Cyrl-RS"/>
        </w:rPr>
        <w:t>Недостатак капацитета на свим административним нивоима и код оператера идентификовани су као главне препреке за успешно спровођење законских прописа у области индустријског загађења.</w:t>
      </w:r>
      <w:r w:rsidR="00034E30" w:rsidRPr="00EF2F18">
        <w:rPr>
          <w:rFonts w:cs="Times New Roman"/>
          <w:sz w:val="22"/>
          <w:lang w:val="sr-Cyrl-RS"/>
        </w:rPr>
        <w:t xml:space="preserve"> </w:t>
      </w:r>
    </w:p>
    <w:p w14:paraId="103FDAA7" w14:textId="53940D7A" w:rsidR="00A32356" w:rsidRPr="00EF2F18" w:rsidRDefault="00A32356" w:rsidP="00927F99">
      <w:pPr>
        <w:autoSpaceDE w:val="0"/>
        <w:autoSpaceDN w:val="0"/>
        <w:adjustRightInd w:val="0"/>
        <w:spacing w:after="0"/>
        <w:ind w:firstLine="720"/>
        <w:jc w:val="both"/>
        <w:rPr>
          <w:rFonts w:cs="Times New Roman"/>
          <w:sz w:val="22"/>
          <w:lang w:val="sr-Cyrl-RS"/>
        </w:rPr>
      </w:pPr>
      <w:r w:rsidRPr="00EF2F18">
        <w:rPr>
          <w:rFonts w:cs="Times New Roman"/>
          <w:sz w:val="22"/>
          <w:lang w:val="sr-Cyrl-RS"/>
        </w:rPr>
        <w:t>У Републици Србији је забрањена производња супстанци које оштећују озонски омотач, а увоз је дозвољен само за хлорофлуороугљоводонике чија се потрошња контролише кроз веома ефикасан систем издавања дозвола и квота</w:t>
      </w:r>
      <w:r w:rsidR="00B630DE" w:rsidRPr="00EF2F18">
        <w:rPr>
          <w:rFonts w:cs="Times New Roman"/>
          <w:sz w:val="22"/>
          <w:lang w:val="sr-Cyrl-RS"/>
        </w:rPr>
        <w:t>.</w:t>
      </w:r>
      <w:r w:rsidRPr="00EF2F18">
        <w:rPr>
          <w:rFonts w:cs="Times New Roman"/>
          <w:sz w:val="22"/>
          <w:lang w:val="sr-Cyrl-RS"/>
        </w:rPr>
        <w:t xml:space="preserve"> У 2020. години потрошња </w:t>
      </w:r>
      <w:r w:rsidRPr="00EF2F18">
        <w:rPr>
          <w:rFonts w:cs="Times New Roman"/>
          <w:i/>
          <w:iCs/>
          <w:sz w:val="22"/>
          <w:lang w:val="sr-Cyrl-RS"/>
        </w:rPr>
        <w:t>HCFC</w:t>
      </w:r>
      <w:r w:rsidRPr="00EF2F18">
        <w:rPr>
          <w:rFonts w:cs="Times New Roman"/>
          <w:sz w:val="22"/>
          <w:lang w:val="sr-Cyrl-RS"/>
        </w:rPr>
        <w:t xml:space="preserve"> супстанци смањена је за 35% у односу на базни ниво из 2013. године, са циљем да то смањење до 2025. године буде за 67,5 % базне потрошње, уз тенденцију искључивања ових супстанци из употребе за 97,5 % до 2030. године и потпуног искључивања од 2040. године. Потрошња супстанци из групе </w:t>
      </w:r>
      <w:r w:rsidRPr="00EF2F18">
        <w:rPr>
          <w:rFonts w:cs="Times New Roman"/>
          <w:i/>
          <w:iCs/>
          <w:sz w:val="22"/>
          <w:lang w:val="sr-Cyrl-RS"/>
        </w:rPr>
        <w:t>HCFC</w:t>
      </w:r>
      <w:r w:rsidRPr="00EF2F18">
        <w:rPr>
          <w:rFonts w:cs="Times New Roman"/>
          <w:sz w:val="22"/>
          <w:lang w:val="sr-Cyrl-RS"/>
        </w:rPr>
        <w:t xml:space="preserve"> у Републици Србији, у </w:t>
      </w:r>
      <w:r w:rsidR="001F582B" w:rsidRPr="00EF2F18">
        <w:rPr>
          <w:rFonts w:cs="Times New Roman"/>
          <w:sz w:val="22"/>
          <w:lang w:val="sr-Cyrl-RS"/>
        </w:rPr>
        <w:t>2023</w:t>
      </w:r>
      <w:r w:rsidRPr="00EF2F18">
        <w:rPr>
          <w:rFonts w:cs="Times New Roman"/>
          <w:sz w:val="22"/>
          <w:lang w:val="sr-Cyrl-RS"/>
        </w:rPr>
        <w:t xml:space="preserve">. години је најмања до сада и износила је </w:t>
      </w:r>
      <w:r w:rsidR="001F582B" w:rsidRPr="00EF2F18">
        <w:rPr>
          <w:rFonts w:cs="Times New Roman"/>
          <w:sz w:val="22"/>
          <w:lang w:val="sr-Cyrl-RS"/>
        </w:rPr>
        <w:t>3,73</w:t>
      </w:r>
      <w:r w:rsidRPr="00EF2F18">
        <w:rPr>
          <w:rFonts w:cs="Times New Roman"/>
          <w:sz w:val="22"/>
          <w:lang w:val="sr-Cyrl-RS"/>
        </w:rPr>
        <w:t xml:space="preserve"> OДП тона.</w:t>
      </w:r>
      <w:r w:rsidRPr="00EF2F18">
        <w:rPr>
          <w:rFonts w:cs="Times New Roman"/>
          <w:sz w:val="22"/>
          <w:shd w:val="clear" w:color="auto" w:fill="FFFFFF"/>
          <w:lang w:val="sr-Cyrl-RS"/>
        </w:rPr>
        <w:t xml:space="preserve"> Република Србија je ратификовала Монтреалски протокол и све његове амандмане, укључујући Кигали амандман којим су уведене контролне мере по питању смањења потрошње флуорованих гасова са ефектом стаклене баште (</w:t>
      </w:r>
      <w:r w:rsidRPr="00EF2F18">
        <w:rPr>
          <w:rFonts w:cs="Times New Roman"/>
          <w:i/>
          <w:iCs/>
          <w:sz w:val="22"/>
          <w:shd w:val="clear" w:color="auto" w:fill="FFFFFF"/>
          <w:lang w:val="sr-Cyrl-RS"/>
        </w:rPr>
        <w:t>HFC</w:t>
      </w:r>
      <w:r w:rsidRPr="00EF2F18">
        <w:rPr>
          <w:rFonts w:cs="Times New Roman"/>
          <w:sz w:val="22"/>
          <w:shd w:val="clear" w:color="auto" w:fill="FFFFFF"/>
          <w:lang w:val="sr-Cyrl-RS"/>
        </w:rPr>
        <w:t>) по одређеној динамици</w:t>
      </w:r>
      <w:r w:rsidRPr="00EF2F18">
        <w:rPr>
          <w:rFonts w:cs="Times New Roman"/>
          <w:sz w:val="22"/>
          <w:lang w:val="sr-Cyrl-RS"/>
        </w:rPr>
        <w:t>.</w:t>
      </w:r>
    </w:p>
    <w:p w14:paraId="7CB3E459" w14:textId="77777777" w:rsidR="00A32356" w:rsidRPr="00EF2F18" w:rsidRDefault="00A32356" w:rsidP="00927F99">
      <w:pPr>
        <w:autoSpaceDE w:val="0"/>
        <w:autoSpaceDN w:val="0"/>
        <w:adjustRightInd w:val="0"/>
        <w:spacing w:after="0"/>
        <w:ind w:firstLine="720"/>
        <w:jc w:val="both"/>
        <w:rPr>
          <w:rFonts w:cs="Times New Roman"/>
          <w:sz w:val="22"/>
          <w:lang w:val="sr-Cyrl-RS"/>
        </w:rPr>
      </w:pPr>
      <w:r w:rsidRPr="00EF2F18">
        <w:rPr>
          <w:rFonts w:cs="Times New Roman"/>
          <w:sz w:val="22"/>
          <w:lang w:val="sr-Cyrl-RS"/>
        </w:rPr>
        <w:t>Бечка конвенција о заштити озонског омотача је ратификована 1990. године Законом о ратификацији Бечке конвенције о заштити озонског омотача, са прилозима I и II („Службени гласник СФРЈ – Међународни уговори”, број 1/90).</w:t>
      </w:r>
    </w:p>
    <w:p w14:paraId="1C4C2691" w14:textId="77777777" w:rsidR="00A32356" w:rsidRPr="00EF2F18" w:rsidRDefault="00A32356" w:rsidP="00A32356">
      <w:pPr>
        <w:autoSpaceDE w:val="0"/>
        <w:autoSpaceDN w:val="0"/>
        <w:adjustRightInd w:val="0"/>
        <w:spacing w:after="0"/>
        <w:ind w:firstLine="720"/>
        <w:jc w:val="both"/>
        <w:rPr>
          <w:rFonts w:cs="Times New Roman"/>
          <w:sz w:val="22"/>
          <w:lang w:val="sr-Cyrl-RS"/>
        </w:rPr>
      </w:pPr>
    </w:p>
    <w:p w14:paraId="30704272" w14:textId="43A9F949" w:rsidR="00A32356" w:rsidRPr="00EF2F18" w:rsidRDefault="001F582B" w:rsidP="00A32356">
      <w:pPr>
        <w:autoSpaceDE w:val="0"/>
        <w:autoSpaceDN w:val="0"/>
        <w:adjustRightInd w:val="0"/>
        <w:spacing w:after="0"/>
        <w:jc w:val="center"/>
        <w:rPr>
          <w:rFonts w:cs="Times New Roman"/>
          <w:sz w:val="22"/>
          <w:lang w:val="sr-Cyrl-RS"/>
        </w:rPr>
      </w:pPr>
      <w:r w:rsidRPr="00EF2F18">
        <w:rPr>
          <w:noProof/>
          <w:lang w:val="sr-Cyrl-RS" w:eastAsia="sr-Cyrl-RS"/>
        </w:rPr>
        <w:drawing>
          <wp:inline distT="0" distB="0" distL="0" distR="0" wp14:anchorId="7B94AA15" wp14:editId="74F9D6E7">
            <wp:extent cx="3686175" cy="2137020"/>
            <wp:effectExtent l="0" t="0" r="0" b="0"/>
            <wp:docPr id="261214055" name="Picture 29" descr="A graph with 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14055" name="Picture 29" descr="A graph with red bar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99015" cy="2144464"/>
                    </a:xfrm>
                    <a:prstGeom prst="rect">
                      <a:avLst/>
                    </a:prstGeom>
                    <a:noFill/>
                    <a:ln>
                      <a:noFill/>
                    </a:ln>
                  </pic:spPr>
                </pic:pic>
              </a:graphicData>
            </a:graphic>
          </wp:inline>
        </w:drawing>
      </w:r>
    </w:p>
    <w:p w14:paraId="5DB1EAFA" w14:textId="03522764" w:rsidR="00A32356" w:rsidRPr="00EF2F18" w:rsidRDefault="00A32356" w:rsidP="00A32356">
      <w:pPr>
        <w:autoSpaceDE w:val="0"/>
        <w:autoSpaceDN w:val="0"/>
        <w:adjustRightInd w:val="0"/>
        <w:spacing w:after="0"/>
        <w:jc w:val="both"/>
        <w:rPr>
          <w:rFonts w:cs="Times New Roman"/>
          <w:sz w:val="22"/>
          <w:lang w:val="sr-Cyrl-RS"/>
        </w:rPr>
      </w:pPr>
      <w:r w:rsidRPr="00EF2F18">
        <w:rPr>
          <w:rFonts w:cs="Times New Roman"/>
          <w:b/>
          <w:bCs/>
          <w:sz w:val="22"/>
          <w:lang w:val="sr-Cyrl-RS"/>
        </w:rPr>
        <w:t>Слика 3.</w:t>
      </w:r>
      <w:r w:rsidR="007C33E8" w:rsidRPr="00EF2F18">
        <w:rPr>
          <w:rFonts w:cs="Times New Roman"/>
          <w:b/>
          <w:bCs/>
          <w:sz w:val="22"/>
          <w:lang w:val="sr-Cyrl-RS"/>
        </w:rPr>
        <w:t>19</w:t>
      </w:r>
      <w:r w:rsidRPr="00EF2F18">
        <w:rPr>
          <w:rFonts w:cs="Times New Roman"/>
          <w:b/>
          <w:bCs/>
          <w:sz w:val="22"/>
          <w:lang w:val="sr-Cyrl-RS"/>
        </w:rPr>
        <w:t>.</w:t>
      </w:r>
      <w:r w:rsidRPr="00EF2F18">
        <w:rPr>
          <w:rFonts w:cs="Times New Roman"/>
          <w:sz w:val="22"/>
          <w:lang w:val="sr-Cyrl-RS"/>
        </w:rPr>
        <w:t xml:space="preserve"> Потрошња супстанци које оштећују озонски омотач, у периоду 2005</w:t>
      </w:r>
      <w:r w:rsidR="000902F2">
        <w:rPr>
          <w:rFonts w:cs="Times New Roman"/>
          <w:sz w:val="22"/>
          <w:lang w:val="sr-Cyrl-RS"/>
        </w:rPr>
        <w:t xml:space="preserve"> – </w:t>
      </w:r>
      <w:r w:rsidR="001F582B" w:rsidRPr="00EF2F18">
        <w:rPr>
          <w:rFonts w:cs="Times New Roman"/>
          <w:sz w:val="22"/>
          <w:lang w:val="sr-Cyrl-RS"/>
        </w:rPr>
        <w:t>2023</w:t>
      </w:r>
      <w:r w:rsidRPr="00EF2F18">
        <w:rPr>
          <w:rFonts w:cs="Times New Roman"/>
          <w:sz w:val="22"/>
          <w:lang w:val="sr-Cyrl-RS"/>
        </w:rPr>
        <w:t xml:space="preserve">. </w:t>
      </w:r>
      <w:r w:rsidR="00DA2594" w:rsidRPr="00EF2F18">
        <w:rPr>
          <w:rFonts w:cs="Times New Roman"/>
          <w:sz w:val="22"/>
          <w:lang w:val="sr-Cyrl-RS"/>
        </w:rPr>
        <w:t>годинe</w:t>
      </w:r>
    </w:p>
    <w:p w14:paraId="0D905150" w14:textId="7E231D2C" w:rsidR="00A32356" w:rsidRPr="00EF2F18" w:rsidRDefault="00A32356" w:rsidP="00A32356">
      <w:pPr>
        <w:autoSpaceDE w:val="0"/>
        <w:autoSpaceDN w:val="0"/>
        <w:adjustRightInd w:val="0"/>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1F582B" w:rsidRPr="00EF2F18">
        <w:rPr>
          <w:rFonts w:cs="Times New Roman"/>
          <w:i/>
          <w:sz w:val="22"/>
          <w:lang w:val="sr-Cyrl-RS"/>
        </w:rPr>
        <w:t>2024</w:t>
      </w:r>
      <w:r w:rsidRPr="00EF2F18">
        <w:rPr>
          <w:rFonts w:cs="Times New Roman"/>
          <w:i/>
          <w:sz w:val="22"/>
          <w:lang w:val="sr-Cyrl-RS"/>
        </w:rPr>
        <w:t>.</w:t>
      </w:r>
    </w:p>
    <w:p w14:paraId="33D93322" w14:textId="77777777" w:rsidR="00A32356" w:rsidRPr="00EF2F18" w:rsidRDefault="00A32356" w:rsidP="00BF78D1">
      <w:pPr>
        <w:spacing w:after="0"/>
        <w:ind w:firstLine="720"/>
        <w:jc w:val="both"/>
        <w:rPr>
          <w:rFonts w:cs="Times New Roman"/>
          <w:sz w:val="22"/>
          <w:lang w:val="sr-Cyrl-RS"/>
        </w:rPr>
      </w:pPr>
    </w:p>
    <w:p w14:paraId="7C35D4E5" w14:textId="33A18099" w:rsidR="00BF78D1" w:rsidRPr="00EF2F18" w:rsidRDefault="00BF78D1" w:rsidP="00BF78D1">
      <w:pPr>
        <w:spacing w:after="0"/>
        <w:ind w:firstLine="720"/>
        <w:jc w:val="both"/>
        <w:rPr>
          <w:rFonts w:cs="Times New Roman"/>
          <w:sz w:val="22"/>
          <w:lang w:val="sr-Cyrl-RS"/>
        </w:rPr>
      </w:pPr>
      <w:r w:rsidRPr="00EF2F18">
        <w:rPr>
          <w:rFonts w:cs="Times New Roman"/>
          <w:sz w:val="22"/>
          <w:lang w:val="sr-Cyrl-RS"/>
        </w:rPr>
        <w:t xml:space="preserve">Административни капацитети за осигурање квалитета ваздуха на свим нивоима (националном, покрајинском, локалном) су недовољни, што представља значајно ограничење за спровођење постојећих стратешких и планских докумената, као и легислативе. Уз то, финансијска средства на свим нивоима су ограничена, а пре свега на нивоу </w:t>
      </w:r>
      <w:r w:rsidR="00E52612" w:rsidRPr="00EF2F18">
        <w:rPr>
          <w:rFonts w:cs="Times New Roman"/>
          <w:sz w:val="22"/>
          <w:lang w:val="sr-Cyrl-RS"/>
        </w:rPr>
        <w:t xml:space="preserve">јединица </w:t>
      </w:r>
      <w:r w:rsidRPr="00EF2F18">
        <w:rPr>
          <w:rFonts w:cs="Times New Roman"/>
          <w:sz w:val="22"/>
          <w:lang w:val="sr-Cyrl-RS"/>
        </w:rPr>
        <w:t>локалне самоуправе кој</w:t>
      </w:r>
      <w:r w:rsidR="00E52612" w:rsidRPr="00EF2F18">
        <w:rPr>
          <w:rFonts w:cs="Times New Roman"/>
          <w:sz w:val="22"/>
          <w:lang w:val="sr-Cyrl-RS"/>
        </w:rPr>
        <w:t>е</w:t>
      </w:r>
      <w:r w:rsidRPr="00EF2F18">
        <w:rPr>
          <w:rFonts w:cs="Times New Roman"/>
          <w:sz w:val="22"/>
          <w:lang w:val="sr-Cyrl-RS"/>
        </w:rPr>
        <w:t xml:space="preserve"> има</w:t>
      </w:r>
      <w:r w:rsidR="00E52612" w:rsidRPr="00EF2F18">
        <w:rPr>
          <w:rFonts w:cs="Times New Roman"/>
          <w:sz w:val="22"/>
          <w:lang w:val="sr-Cyrl-RS"/>
        </w:rPr>
        <w:t>ју</w:t>
      </w:r>
      <w:r w:rsidRPr="00EF2F18">
        <w:rPr>
          <w:rFonts w:cs="Times New Roman"/>
          <w:sz w:val="22"/>
          <w:lang w:val="sr-Cyrl-RS"/>
        </w:rPr>
        <w:t xml:space="preserve"> надлежности у спровођењу јавних политика у области заштите ваздуха.</w:t>
      </w:r>
    </w:p>
    <w:p w14:paraId="6B7E1C47" w14:textId="0454A83B" w:rsidR="006549D4" w:rsidRPr="00EF2F18" w:rsidRDefault="006549D4" w:rsidP="006549D4">
      <w:pPr>
        <w:spacing w:after="0"/>
        <w:ind w:firstLine="720"/>
        <w:jc w:val="both"/>
        <w:rPr>
          <w:rFonts w:cs="Times New Roman"/>
          <w:sz w:val="22"/>
          <w:lang w:val="sr-Cyrl-RS"/>
        </w:rPr>
      </w:pPr>
      <w:r w:rsidRPr="00EF2F18">
        <w:rPr>
          <w:rFonts w:cs="Times New Roman"/>
          <w:sz w:val="22"/>
          <w:lang w:val="sr-Cyrl-RS"/>
        </w:rPr>
        <w:t>Стратешки оквир за квалитет ваздуха успостављен је усвајањем Програма заштите ваздуха у Републици Србији за период од 2022. до 2030. године са акционим планом</w:t>
      </w:r>
      <w:r w:rsidR="00B86C8E" w:rsidRPr="00EF2F18">
        <w:rPr>
          <w:rFonts w:cs="Times New Roman"/>
          <w:sz w:val="22"/>
          <w:lang w:val="sr-Cyrl-RS"/>
        </w:rPr>
        <w:t xml:space="preserve">, који је </w:t>
      </w:r>
      <w:r w:rsidRPr="00EF2F18">
        <w:rPr>
          <w:rFonts w:cs="Times New Roman"/>
          <w:sz w:val="22"/>
          <w:lang w:val="sr-Cyrl-RS"/>
        </w:rPr>
        <w:t xml:space="preserve">усвојен </w:t>
      </w:r>
      <w:r w:rsidR="00551E6C" w:rsidRPr="00EF2F18">
        <w:rPr>
          <w:rFonts w:cs="Times New Roman"/>
          <w:sz w:val="22"/>
          <w:lang w:val="sr-Cyrl-RS"/>
        </w:rPr>
        <w:t xml:space="preserve">крајем </w:t>
      </w:r>
      <w:r w:rsidRPr="00EF2F18">
        <w:rPr>
          <w:rFonts w:cs="Times New Roman"/>
          <w:sz w:val="22"/>
          <w:lang w:val="sr-Cyrl-RS"/>
        </w:rPr>
        <w:t>2022. године</w:t>
      </w:r>
      <w:r w:rsidR="00B86C8E" w:rsidRPr="00EF2F18">
        <w:rPr>
          <w:rFonts w:cs="Times New Roman"/>
          <w:sz w:val="22"/>
          <w:lang w:val="sr-Cyrl-RS"/>
        </w:rPr>
        <w:t>,</w:t>
      </w:r>
      <w:r w:rsidRPr="00EF2F18">
        <w:rPr>
          <w:rFonts w:cs="Times New Roman"/>
          <w:sz w:val="22"/>
          <w:lang w:val="sr-Cyrl-RS"/>
        </w:rPr>
        <w:t xml:space="preserve"> и Националног плана за смањење емисија главних загађујућих материја које потичу из старих великих постројења за сагоревање (</w:t>
      </w:r>
      <w:r w:rsidRPr="00EF2F18">
        <w:rPr>
          <w:rFonts w:cs="Times New Roman"/>
          <w:i/>
          <w:iCs/>
          <w:sz w:val="22"/>
          <w:lang w:val="sr-Cyrl-RS"/>
        </w:rPr>
        <w:t>NERP</w:t>
      </w:r>
      <w:r w:rsidR="00A62A7E" w:rsidRPr="00EF2F18">
        <w:rPr>
          <w:rFonts w:cs="Times New Roman"/>
          <w:i/>
          <w:iCs/>
          <w:sz w:val="22"/>
          <w:lang w:val="sr-Cyrl-RS"/>
        </w:rPr>
        <w:t>)</w:t>
      </w:r>
      <w:r w:rsidRPr="00EF2F18">
        <w:rPr>
          <w:rFonts w:cs="Times New Roman"/>
          <w:sz w:val="22"/>
          <w:lang w:val="sr-Cyrl-RS"/>
        </w:rPr>
        <w:t>,</w:t>
      </w:r>
      <w:r w:rsidR="00B86C8E" w:rsidRPr="00EF2F18">
        <w:rPr>
          <w:rFonts w:cs="Times New Roman"/>
          <w:sz w:val="22"/>
          <w:lang w:val="sr-Cyrl-RS"/>
        </w:rPr>
        <w:t xml:space="preserve"> који је</w:t>
      </w:r>
      <w:r w:rsidRPr="00EF2F18">
        <w:rPr>
          <w:rFonts w:cs="Times New Roman"/>
          <w:sz w:val="22"/>
          <w:lang w:val="sr-Cyrl-RS"/>
        </w:rPr>
        <w:t xml:space="preserve"> усвојен </w:t>
      </w:r>
      <w:r w:rsidR="00551E6C" w:rsidRPr="00EF2F18">
        <w:rPr>
          <w:rFonts w:cs="Times New Roman"/>
          <w:sz w:val="22"/>
          <w:lang w:val="sr-Cyrl-RS"/>
        </w:rPr>
        <w:t xml:space="preserve">почетком </w:t>
      </w:r>
      <w:r w:rsidRPr="00EF2F18">
        <w:rPr>
          <w:rFonts w:cs="Times New Roman"/>
          <w:sz w:val="22"/>
          <w:lang w:val="sr-Cyrl-RS"/>
        </w:rPr>
        <w:t>2020. године. Програм заштите ваздуха предвиђа смањење емисија SO</w:t>
      </w:r>
      <w:r w:rsidRPr="00EF2F18">
        <w:rPr>
          <w:rFonts w:cs="Times New Roman"/>
          <w:sz w:val="22"/>
          <w:vertAlign w:val="subscript"/>
          <w:lang w:val="sr-Cyrl-RS"/>
        </w:rPr>
        <w:t>2</w:t>
      </w:r>
      <w:r w:rsidRPr="00EF2F18">
        <w:rPr>
          <w:rFonts w:cs="Times New Roman"/>
          <w:sz w:val="22"/>
          <w:lang w:val="sr-Cyrl-RS"/>
        </w:rPr>
        <w:t xml:space="preserve"> за 92%, суспендованих честица PM2.5 из сектора енергетике (укључујући саобраћај и индивидуална ложишта) за 58,3% до 2030. године; смањење емисија загађујућих материја и тешких метала у ваздух из индустријских процеса и употребе производа кроз усаглашавање са </w:t>
      </w:r>
      <w:r w:rsidRPr="00EF2F18">
        <w:rPr>
          <w:rFonts w:cs="Times New Roman"/>
          <w:i/>
          <w:iCs/>
          <w:sz w:val="22"/>
          <w:lang w:val="sr-Cyrl-RS"/>
        </w:rPr>
        <w:t>BAT AELs</w:t>
      </w:r>
      <w:r w:rsidRPr="00EF2F18">
        <w:rPr>
          <w:rFonts w:cs="Times New Roman"/>
          <w:sz w:val="22"/>
          <w:lang w:val="sr-Cyrl-RS"/>
        </w:rPr>
        <w:t>; смањење емисија NH</w:t>
      </w:r>
      <w:r w:rsidRPr="00EF2F18">
        <w:rPr>
          <w:rFonts w:cs="Times New Roman"/>
          <w:sz w:val="22"/>
          <w:vertAlign w:val="subscript"/>
          <w:lang w:val="sr-Cyrl-RS"/>
        </w:rPr>
        <w:t>3</w:t>
      </w:r>
      <w:r w:rsidRPr="00EF2F18">
        <w:rPr>
          <w:rFonts w:cs="Times New Roman"/>
          <w:sz w:val="22"/>
          <w:lang w:val="sr-Cyrl-RS"/>
        </w:rPr>
        <w:t xml:space="preserve"> из сектора пољопривреде за 20,5% у поређењу са 2015. годином; као и промоцију преласка на чист ваздух за све. </w:t>
      </w:r>
    </w:p>
    <w:p w14:paraId="64B6036D" w14:textId="171B7E37" w:rsidR="00A32356" w:rsidRPr="00EF2F18" w:rsidRDefault="00A32356" w:rsidP="00A32356">
      <w:pPr>
        <w:spacing w:after="0"/>
        <w:ind w:firstLine="720"/>
        <w:jc w:val="both"/>
        <w:rPr>
          <w:rFonts w:cs="Times New Roman"/>
          <w:sz w:val="22"/>
          <w:lang w:val="sr-Cyrl-RS"/>
        </w:rPr>
      </w:pPr>
      <w:r w:rsidRPr="00EF2F18">
        <w:rPr>
          <w:rFonts w:cs="Times New Roman"/>
          <w:sz w:val="22"/>
          <w:lang w:val="sr-Cyrl-RS"/>
        </w:rPr>
        <w:t xml:space="preserve">Република Србија је </w:t>
      </w:r>
      <w:r w:rsidR="00455ED7">
        <w:rPr>
          <w:rFonts w:cs="Times New Roman"/>
          <w:sz w:val="22"/>
          <w:lang w:val="sr-Cyrl-RS"/>
        </w:rPr>
        <w:t>потврдила</w:t>
      </w:r>
      <w:r w:rsidRPr="00EF2F18">
        <w:rPr>
          <w:rFonts w:cs="Times New Roman"/>
          <w:sz w:val="22"/>
          <w:lang w:val="sr-Cyrl-RS"/>
        </w:rPr>
        <w:t xml:space="preserve"> Конвенцију о </w:t>
      </w:r>
      <w:r w:rsidRPr="00EF2F18">
        <w:rPr>
          <w:sz w:val="22"/>
          <w:lang w:val="sr-Cyrl-RS"/>
        </w:rPr>
        <w:t>прекограничном загађивању ваздуха на великим удаљеностима („Сл</w:t>
      </w:r>
      <w:r w:rsidR="00BE2D4E" w:rsidRPr="00EF2F18">
        <w:rPr>
          <w:sz w:val="22"/>
          <w:lang w:val="sr-Cyrl-RS"/>
        </w:rPr>
        <w:t>ужбени</w:t>
      </w:r>
      <w:r w:rsidRPr="00EF2F18">
        <w:rPr>
          <w:sz w:val="22"/>
          <w:lang w:val="sr-Cyrl-RS"/>
        </w:rPr>
        <w:t xml:space="preserve"> лист СФРЈ – Међународни уговори</w:t>
      </w:r>
      <w:r w:rsidR="00D37E2C" w:rsidRPr="00EF2F18">
        <w:rPr>
          <w:sz w:val="22"/>
          <w:lang w:val="sr-Cyrl-RS"/>
        </w:rPr>
        <w:t>”</w:t>
      </w:r>
      <w:r w:rsidRPr="00EF2F18">
        <w:rPr>
          <w:sz w:val="22"/>
          <w:lang w:val="sr-Cyrl-RS"/>
        </w:rPr>
        <w:t>, брoj 11/86).</w:t>
      </w:r>
    </w:p>
    <w:p w14:paraId="600FB133" w14:textId="5E695EAB" w:rsidR="006549D4" w:rsidRPr="00EF2F18" w:rsidRDefault="006549D4" w:rsidP="00551E6C">
      <w:pPr>
        <w:autoSpaceDE w:val="0"/>
        <w:autoSpaceDN w:val="0"/>
        <w:adjustRightInd w:val="0"/>
        <w:spacing w:after="0"/>
        <w:ind w:firstLine="720"/>
        <w:jc w:val="both"/>
        <w:rPr>
          <w:rFonts w:cs="Times New Roman"/>
          <w:sz w:val="22"/>
          <w:lang w:val="sr-Cyrl-RS"/>
        </w:rPr>
      </w:pPr>
      <w:r w:rsidRPr="00EF2F18">
        <w:rPr>
          <w:rFonts w:cs="Times New Roman"/>
          <w:sz w:val="22"/>
          <w:lang w:val="sr-Cyrl-RS"/>
        </w:rPr>
        <w:lastRenderedPageBreak/>
        <w:t xml:space="preserve">Усклађивање националних прописа који се односе на захтеве и мониторинг квалитета ваздуха и емисије у ваздух са законодавством ЕУ је делимично постигнуто, али преостаје значајан даљи рад на транспозицији. Иако је </w:t>
      </w:r>
      <w:r w:rsidR="00551E6C" w:rsidRPr="00EF2F18">
        <w:rPr>
          <w:rFonts w:cs="Times New Roman"/>
          <w:sz w:val="22"/>
          <w:lang w:val="sr-Cyrl-RS"/>
        </w:rPr>
        <w:t xml:space="preserve">део </w:t>
      </w:r>
      <w:r w:rsidRPr="00EF2F18">
        <w:rPr>
          <w:rFonts w:cs="Times New Roman"/>
          <w:sz w:val="22"/>
          <w:lang w:val="sr-Cyrl-RS"/>
        </w:rPr>
        <w:t xml:space="preserve">одредби из Директиве 2001/81/ЕС о националним </w:t>
      </w:r>
      <w:r w:rsidR="00551E6C" w:rsidRPr="00EF2F18">
        <w:rPr>
          <w:rFonts w:cs="Times New Roman"/>
          <w:sz w:val="22"/>
          <w:lang w:val="sr-Cyrl-RS"/>
        </w:rPr>
        <w:t xml:space="preserve">максималним емисијама </w:t>
      </w:r>
      <w:r w:rsidRPr="00EF2F18">
        <w:rPr>
          <w:rFonts w:cs="Times New Roman"/>
          <w:sz w:val="22"/>
          <w:lang w:val="sr-Cyrl-RS"/>
        </w:rPr>
        <w:t>за одређене загађујуће материје, која је претходила Директиви 2016/2284</w:t>
      </w:r>
      <w:r w:rsidR="009719F8" w:rsidRPr="00EF2F18">
        <w:rPr>
          <w:rFonts w:cs="Times New Roman"/>
          <w:sz w:val="22"/>
          <w:lang w:val="sr-Cyrl-RS"/>
        </w:rPr>
        <w:t>/EU</w:t>
      </w:r>
      <w:r w:rsidRPr="00EF2F18">
        <w:rPr>
          <w:rFonts w:cs="Times New Roman"/>
          <w:sz w:val="22"/>
          <w:lang w:val="sr-Cyrl-RS"/>
        </w:rPr>
        <w:t>, већ транспонована у национално законодавство, транспозиција захтева из Директиве</w:t>
      </w:r>
      <w:r w:rsidR="000C1F21" w:rsidRPr="00EF2F18">
        <w:rPr>
          <w:rFonts w:cs="Times New Roman"/>
          <w:sz w:val="22"/>
          <w:lang w:val="sr-Cyrl-RS"/>
        </w:rPr>
        <w:t xml:space="preserve"> (ЕУ)</w:t>
      </w:r>
      <w:r w:rsidRPr="00EF2F18">
        <w:rPr>
          <w:rFonts w:cs="Times New Roman"/>
          <w:sz w:val="22"/>
          <w:lang w:val="sr-Cyrl-RS"/>
        </w:rPr>
        <w:t xml:space="preserve"> 2016/2284</w:t>
      </w:r>
      <w:r w:rsidR="009719F8" w:rsidRPr="00EF2F18">
        <w:rPr>
          <w:rFonts w:cs="Times New Roman"/>
          <w:sz w:val="22"/>
          <w:lang w:val="sr-Cyrl-RS"/>
        </w:rPr>
        <w:t>/EU</w:t>
      </w:r>
      <w:r w:rsidR="000C1F21" w:rsidRPr="00EF2F18">
        <w:rPr>
          <w:rFonts w:cs="Times New Roman"/>
          <w:sz w:val="22"/>
          <w:lang w:val="sr-Cyrl-RS"/>
        </w:rPr>
        <w:t xml:space="preserve"> </w:t>
      </w:r>
      <w:r w:rsidR="000C1F21" w:rsidRPr="00EF2F18">
        <w:rPr>
          <w:rStyle w:val="cf01"/>
          <w:rFonts w:ascii="Times New Roman" w:hAnsi="Times New Roman" w:cs="Times New Roman"/>
          <w:sz w:val="22"/>
          <w:szCs w:val="22"/>
          <w:lang w:val="sr-Cyrl-RS"/>
        </w:rPr>
        <w:t xml:space="preserve">о смањењу националних емисија одређених атмосферских загађујућих материја, </w:t>
      </w:r>
      <w:r w:rsidR="00BA6877" w:rsidRPr="00EF2F18">
        <w:rPr>
          <w:rFonts w:cs="Times New Roman"/>
          <w:sz w:val="22"/>
          <w:lang w:val="sr-Cyrl-RS"/>
        </w:rPr>
        <w:t xml:space="preserve">је </w:t>
      </w:r>
      <w:r w:rsidRPr="00EF2F18">
        <w:rPr>
          <w:rFonts w:cs="Times New Roman"/>
          <w:sz w:val="22"/>
          <w:lang w:val="sr-Cyrl-RS"/>
        </w:rPr>
        <w:t xml:space="preserve">још увек у почетној фази. Уредбом о методологији за израду инвентара емисија и пројекција загађујућих материја у ваздух („Службени гласник РС”, број 3/16) делимично су транспоновани захтеви за израду националних инвентара и пројекција емисија у складу са </w:t>
      </w:r>
      <w:r w:rsidRPr="00EF2F18">
        <w:rPr>
          <w:rFonts w:cs="Times New Roman"/>
          <w:i/>
          <w:iCs/>
          <w:sz w:val="22"/>
          <w:lang w:val="sr-Cyrl-RS"/>
        </w:rPr>
        <w:t>EMEP</w:t>
      </w:r>
      <w:r w:rsidRPr="00EF2F18">
        <w:rPr>
          <w:rFonts w:cs="Times New Roman"/>
          <w:sz w:val="22"/>
          <w:lang w:val="sr-Cyrl-RS"/>
        </w:rPr>
        <w:t>/EEA водичем из 2019. године.</w:t>
      </w:r>
      <w:r w:rsidR="00B64DF2" w:rsidRPr="00EF2F18">
        <w:rPr>
          <w:rStyle w:val="FootnoteReference"/>
          <w:rFonts w:cs="Times New Roman"/>
          <w:sz w:val="22"/>
          <w:lang w:val="sr-Cyrl-RS"/>
        </w:rPr>
        <w:footnoteReference w:id="9"/>
      </w:r>
      <w:r w:rsidRPr="00EF2F18">
        <w:rPr>
          <w:rFonts w:cs="Times New Roman"/>
          <w:sz w:val="22"/>
          <w:lang w:val="sr-Cyrl-RS"/>
        </w:rPr>
        <w:t xml:space="preserve"> Како би се постигло потпуно усклађивање, </w:t>
      </w:r>
      <w:r w:rsidR="00CA1C9F" w:rsidRPr="00EF2F18">
        <w:rPr>
          <w:rFonts w:cs="Times New Roman"/>
          <w:sz w:val="22"/>
          <w:lang w:val="sr-Cyrl-RS"/>
        </w:rPr>
        <w:t>донет је нови</w:t>
      </w:r>
      <w:r w:rsidRPr="00EF2F18">
        <w:rPr>
          <w:rFonts w:cs="Times New Roman"/>
          <w:sz w:val="22"/>
          <w:lang w:val="sr-Cyrl-RS"/>
        </w:rPr>
        <w:t xml:space="preserve"> Закон о заштити ваздуха и </w:t>
      </w:r>
      <w:r w:rsidR="00CA1C9F" w:rsidRPr="00EF2F18">
        <w:rPr>
          <w:rFonts w:cs="Times New Roman"/>
          <w:sz w:val="22"/>
          <w:lang w:val="sr-Cyrl-RS"/>
        </w:rPr>
        <w:t xml:space="preserve">потребно је </w:t>
      </w:r>
      <w:r w:rsidRPr="00EF2F18">
        <w:rPr>
          <w:rFonts w:cs="Times New Roman"/>
          <w:sz w:val="22"/>
          <w:lang w:val="sr-Cyrl-RS"/>
        </w:rPr>
        <w:t xml:space="preserve">усвајање неколико подзаконских аката. </w:t>
      </w:r>
    </w:p>
    <w:p w14:paraId="0F81F675" w14:textId="17F51163" w:rsidR="000A25F7" w:rsidRPr="00EF2F18" w:rsidRDefault="006549D4" w:rsidP="000A25F7">
      <w:pPr>
        <w:autoSpaceDE w:val="0"/>
        <w:autoSpaceDN w:val="0"/>
        <w:adjustRightInd w:val="0"/>
        <w:spacing w:after="0"/>
        <w:ind w:firstLine="720"/>
        <w:jc w:val="both"/>
        <w:rPr>
          <w:rFonts w:cs="Times New Roman"/>
          <w:sz w:val="22"/>
          <w:shd w:val="clear" w:color="auto" w:fill="FFFFFF"/>
          <w:lang w:val="sr-Cyrl-RS"/>
        </w:rPr>
      </w:pPr>
      <w:r w:rsidRPr="00EF2F18">
        <w:rPr>
          <w:rFonts w:cs="Times New Roman"/>
          <w:sz w:val="22"/>
          <w:lang w:val="sr-Cyrl-RS"/>
        </w:rPr>
        <w:t xml:space="preserve">Мониторинг квалитета амбијенталног ваздуха у складу са захтевима ЕУ је успостављен, </w:t>
      </w:r>
      <w:r w:rsidR="00551E6C" w:rsidRPr="00EF2F18">
        <w:rPr>
          <w:rFonts w:cs="Times New Roman"/>
          <w:sz w:val="22"/>
          <w:lang w:val="sr-Cyrl-RS"/>
        </w:rPr>
        <w:t xml:space="preserve">али је и даље потребно додатно усклађивање са захтевима у вези са параметрима које се мере и минималним бројем мерних станица у зонама и агломерацијама. Ближи услови за вршење мониторинга и захтеви у погледу квалитета ваздуха </w:t>
      </w:r>
      <w:r w:rsidRPr="00EF2F18">
        <w:rPr>
          <w:rFonts w:cs="Times New Roman"/>
          <w:sz w:val="22"/>
          <w:lang w:val="sr-Cyrl-RS"/>
        </w:rPr>
        <w:t>прописани су Уредбом о условима за мониторинг и захтевима квалитета ваздуха („Службени гласник РС”, бр</w:t>
      </w:r>
      <w:r w:rsidR="008B2E3A" w:rsidRPr="00EF2F18">
        <w:rPr>
          <w:rFonts w:cs="Times New Roman"/>
          <w:sz w:val="22"/>
          <w:lang w:val="sr-Cyrl-RS"/>
        </w:rPr>
        <w:t>. 11/10, 75/10 и</w:t>
      </w:r>
      <w:r w:rsidRPr="00EF2F18">
        <w:rPr>
          <w:rFonts w:cs="Times New Roman"/>
          <w:sz w:val="22"/>
          <w:lang w:val="sr-Cyrl-RS"/>
        </w:rPr>
        <w:t xml:space="preserve"> 63/13)</w:t>
      </w:r>
      <w:r w:rsidR="00B64DF2" w:rsidRPr="00EF2F18">
        <w:rPr>
          <w:rFonts w:cs="Times New Roman"/>
          <w:sz w:val="22"/>
          <w:lang w:val="sr-Cyrl-RS"/>
        </w:rPr>
        <w:t xml:space="preserve">. Остали прописи </w:t>
      </w:r>
      <w:r w:rsidR="00D96163" w:rsidRPr="00EF2F18">
        <w:rPr>
          <w:rFonts w:cs="Times New Roman"/>
          <w:sz w:val="22"/>
          <w:lang w:val="sr-Cyrl-RS"/>
        </w:rPr>
        <w:t>који су у вези са мониторинг</w:t>
      </w:r>
      <w:r w:rsidR="000433FF" w:rsidRPr="00EF2F18">
        <w:rPr>
          <w:rFonts w:cs="Times New Roman"/>
          <w:sz w:val="22"/>
          <w:lang w:val="sr-Cyrl-RS"/>
        </w:rPr>
        <w:t>ом</w:t>
      </w:r>
      <w:r w:rsidR="00D96163" w:rsidRPr="00EF2F18">
        <w:rPr>
          <w:rFonts w:cs="Times New Roman"/>
          <w:sz w:val="22"/>
          <w:lang w:val="sr-Cyrl-RS"/>
        </w:rPr>
        <w:t xml:space="preserve"> квалитета ваздуха </w:t>
      </w:r>
      <w:r w:rsidR="00B64DF2" w:rsidRPr="00EF2F18">
        <w:rPr>
          <w:rFonts w:cs="Times New Roman"/>
          <w:sz w:val="22"/>
          <w:lang w:val="sr-Cyrl-RS"/>
        </w:rPr>
        <w:t xml:space="preserve">укључују </w:t>
      </w:r>
      <w:r w:rsidR="00B64DF2" w:rsidRPr="00EF2F18">
        <w:rPr>
          <w:rFonts w:cs="Times New Roman"/>
          <w:sz w:val="22"/>
          <w:shd w:val="clear" w:color="auto" w:fill="FFFFFF"/>
          <w:lang w:val="sr-Cyrl-RS"/>
        </w:rPr>
        <w:t>Уредбу</w:t>
      </w:r>
      <w:r w:rsidRPr="00EF2F18">
        <w:rPr>
          <w:rFonts w:cs="Times New Roman"/>
          <w:sz w:val="22"/>
          <w:shd w:val="clear" w:color="auto" w:fill="FFFFFF"/>
          <w:lang w:val="sr-Cyrl-RS"/>
        </w:rPr>
        <w:t xml:space="preserve"> о утврђивању Програма контроле квалитета ваздуха у државној мрежи</w:t>
      </w:r>
      <w:r w:rsidRPr="00EF2F18">
        <w:rPr>
          <w:rStyle w:val="bold"/>
          <w:rFonts w:cs="Times New Roman"/>
          <w:b/>
          <w:bCs/>
          <w:sz w:val="22"/>
          <w:shd w:val="clear" w:color="auto" w:fill="FFFFFF"/>
          <w:lang w:val="sr-Cyrl-RS"/>
        </w:rPr>
        <w:t> </w:t>
      </w:r>
      <w:r w:rsidRPr="00EF2F18">
        <w:rPr>
          <w:rFonts w:cs="Times New Roman"/>
          <w:sz w:val="22"/>
          <w:shd w:val="clear" w:color="auto" w:fill="FFFFFF"/>
          <w:lang w:val="sr-Cyrl-RS"/>
        </w:rPr>
        <w:t>(,,Службени гласник РС”, број 58/11), као и Правилни</w:t>
      </w:r>
      <w:r w:rsidR="004861CC" w:rsidRPr="00EF2F18">
        <w:rPr>
          <w:rFonts w:cs="Times New Roman"/>
          <w:sz w:val="22"/>
          <w:shd w:val="clear" w:color="auto" w:fill="FFFFFF"/>
          <w:lang w:val="sr-Cyrl-RS"/>
        </w:rPr>
        <w:t>к</w:t>
      </w:r>
      <w:r w:rsidRPr="00EF2F18">
        <w:rPr>
          <w:rFonts w:cs="Times New Roman"/>
          <w:sz w:val="22"/>
          <w:shd w:val="clear" w:color="auto" w:fill="FFFFFF"/>
          <w:lang w:val="sr-Cyrl-RS"/>
        </w:rPr>
        <w:t xml:space="preserve"> о условима за издавање дозволе за мерење квалитета ваздуха и дозволе за мерење емисије из стационарних извора загађивања (,,Службени гласник РС”, број 1/12) и </w:t>
      </w:r>
      <w:r w:rsidR="00D96163" w:rsidRPr="00EF2F18">
        <w:rPr>
          <w:rFonts w:cs="Times New Roman"/>
          <w:sz w:val="22"/>
          <w:shd w:val="clear" w:color="auto" w:fill="FFFFFF"/>
          <w:lang w:val="sr-Cyrl-RS"/>
        </w:rPr>
        <w:t xml:space="preserve">Правилник </w:t>
      </w:r>
      <w:r w:rsidRPr="00EF2F18">
        <w:rPr>
          <w:rFonts w:cs="Times New Roman"/>
          <w:sz w:val="22"/>
          <w:shd w:val="clear" w:color="auto" w:fill="FFFFFF"/>
          <w:lang w:val="sr-Cyrl-RS"/>
        </w:rPr>
        <w:t>о начину размене информација о мерним местима у државној и локалној мрежи, техникама мерења, као и о начину размене података добијених праћењем квалитета ваздуха у државној и локалним мрежама (,,Службени гласник РС”, број 84/10)</w:t>
      </w:r>
      <w:r w:rsidR="00143597">
        <w:rPr>
          <w:rFonts w:cs="Times New Roman"/>
          <w:sz w:val="22"/>
          <w:shd w:val="clear" w:color="auto" w:fill="FFFFFF"/>
          <w:lang w:val="sr-Cyrl-RS"/>
        </w:rPr>
        <w:t>,</w:t>
      </w:r>
      <w:r w:rsidR="000A25F7" w:rsidRPr="00EF2F18">
        <w:rPr>
          <w:rFonts w:cs="Times New Roman"/>
          <w:sz w:val="22"/>
          <w:shd w:val="clear" w:color="auto" w:fill="FFFFFF"/>
          <w:lang w:val="sr-Cyrl-RS"/>
        </w:rPr>
        <w:t xml:space="preserve"> како би се омогућило извештавање у електронској форми, чиме се осигурава интегритет информационог система о квалитету ваздуха који је саставни део јединственог информационог система заштите животне средине.</w:t>
      </w:r>
      <w:r w:rsidR="005E5FF9" w:rsidRPr="00EF2F18">
        <w:rPr>
          <w:rFonts w:cs="Times New Roman"/>
          <w:sz w:val="22"/>
          <w:shd w:val="clear" w:color="auto" w:fill="FFFFFF"/>
          <w:lang w:val="sr-Cyrl-RS"/>
        </w:rPr>
        <w:t xml:space="preserve"> </w:t>
      </w:r>
    </w:p>
    <w:p w14:paraId="28A17EF6" w14:textId="5AB19A7E" w:rsidR="000A25F7" w:rsidRPr="00EF2F18" w:rsidRDefault="000A25F7" w:rsidP="000A25F7">
      <w:pPr>
        <w:autoSpaceDE w:val="0"/>
        <w:autoSpaceDN w:val="0"/>
        <w:adjustRightInd w:val="0"/>
        <w:spacing w:after="0"/>
        <w:ind w:firstLine="720"/>
        <w:jc w:val="both"/>
        <w:rPr>
          <w:rFonts w:cs="Times New Roman"/>
          <w:sz w:val="22"/>
          <w:shd w:val="clear" w:color="auto" w:fill="FFFFFF"/>
          <w:lang w:val="sr-Cyrl-RS"/>
        </w:rPr>
      </w:pPr>
      <w:r w:rsidRPr="00EF2F18">
        <w:rPr>
          <w:rFonts w:cs="Times New Roman"/>
          <w:sz w:val="22"/>
          <w:shd w:val="clear" w:color="auto" w:fill="FFFFFF"/>
          <w:lang w:val="sr-Cyrl-RS"/>
        </w:rPr>
        <w:t>Такође, у Годишњем извештају Европске комисије о напретку за 2021. годину, у оквиру Поглавља 27 – Животна средина и климатске промене, дата је као кључна препорука да Република Србија усвoји индекс ЕУ за квалитет ваздуха, како би се постигла усаглашеност са индексом који користи Европска Агенција за заштиту животне средине</w:t>
      </w:r>
      <w:r w:rsidR="00122A66" w:rsidRPr="00EF2F18">
        <w:rPr>
          <w:rFonts w:cs="Times New Roman"/>
          <w:sz w:val="22"/>
          <w:shd w:val="clear" w:color="auto" w:fill="FFFFFF"/>
          <w:lang w:val="sr-Cyrl-RS"/>
        </w:rPr>
        <w:t>.</w:t>
      </w:r>
      <w:r w:rsidR="006549D4" w:rsidRPr="00EF2F18">
        <w:rPr>
          <w:rFonts w:cs="Times New Roman"/>
          <w:sz w:val="22"/>
          <w:shd w:val="clear" w:color="auto" w:fill="FFFFFF"/>
          <w:lang w:val="sr-Cyrl-RS"/>
        </w:rPr>
        <w:t xml:space="preserve"> </w:t>
      </w:r>
    </w:p>
    <w:p w14:paraId="3BA78EA5" w14:textId="6CBC6501" w:rsidR="004E5BE0" w:rsidRPr="00EF2F18" w:rsidRDefault="00D96163" w:rsidP="00143597">
      <w:pPr>
        <w:autoSpaceDE w:val="0"/>
        <w:autoSpaceDN w:val="0"/>
        <w:adjustRightInd w:val="0"/>
        <w:spacing w:after="0"/>
        <w:ind w:firstLine="720"/>
        <w:jc w:val="both"/>
        <w:rPr>
          <w:rFonts w:cs="Times New Roman"/>
          <w:sz w:val="22"/>
          <w:shd w:val="clear" w:color="auto" w:fill="FFFFFF"/>
          <w:lang w:val="sr-Cyrl-RS"/>
        </w:rPr>
      </w:pPr>
      <w:r w:rsidRPr="00EF2F18">
        <w:rPr>
          <w:rStyle w:val="Strong"/>
          <w:b w:val="0"/>
          <w:bCs w:val="0"/>
          <w:sz w:val="22"/>
          <w:bdr w:val="none" w:sz="0" w:space="0" w:color="auto" w:frame="1"/>
          <w:lang w:val="sr-Cyrl-RS"/>
        </w:rPr>
        <w:t xml:space="preserve">Уредбом </w:t>
      </w:r>
      <w:r w:rsidR="006549D4" w:rsidRPr="00EF2F18">
        <w:rPr>
          <w:rStyle w:val="Strong"/>
          <w:rFonts w:cs="Times New Roman"/>
          <w:b w:val="0"/>
          <w:bCs w:val="0"/>
          <w:sz w:val="22"/>
          <w:bdr w:val="none" w:sz="0" w:space="0" w:color="auto" w:frame="1"/>
          <w:lang w:val="sr-Cyrl-RS"/>
        </w:rPr>
        <w:t>о граничним вредностима емисија загађујућих материја у ваздух из постројења за сагоревање</w:t>
      </w:r>
      <w:r w:rsidR="006549D4" w:rsidRPr="00EF2F18">
        <w:rPr>
          <w:rStyle w:val="Strong"/>
          <w:rFonts w:cs="Times New Roman"/>
          <w:sz w:val="22"/>
          <w:bdr w:val="none" w:sz="0" w:space="0" w:color="auto" w:frame="1"/>
          <w:shd w:val="clear" w:color="auto" w:fill="FFFFFF"/>
          <w:lang w:val="sr-Cyrl-RS"/>
        </w:rPr>
        <w:t> </w:t>
      </w:r>
      <w:r w:rsidR="006549D4" w:rsidRPr="00EF2F18">
        <w:rPr>
          <w:rFonts w:cs="Times New Roman"/>
          <w:sz w:val="22"/>
          <w:shd w:val="clear" w:color="auto" w:fill="FFFFFF"/>
          <w:lang w:val="sr-Cyrl-RS"/>
        </w:rPr>
        <w:t>(„Службени гласник РС”, бр</w:t>
      </w:r>
      <w:r w:rsidR="008207C2" w:rsidRPr="00EF2F18">
        <w:rPr>
          <w:rFonts w:cs="Times New Roman"/>
          <w:sz w:val="22"/>
          <w:shd w:val="clear" w:color="auto" w:fill="FFFFFF"/>
          <w:lang w:val="sr-Cyrl-RS"/>
        </w:rPr>
        <w:t>.</w:t>
      </w:r>
      <w:r w:rsidR="006549D4" w:rsidRPr="00EF2F18">
        <w:rPr>
          <w:rFonts w:cs="Times New Roman"/>
          <w:sz w:val="22"/>
          <w:shd w:val="clear" w:color="auto" w:fill="FFFFFF"/>
          <w:lang w:val="sr-Cyrl-RS"/>
        </w:rPr>
        <w:t xml:space="preserve"> 6/16</w:t>
      </w:r>
      <w:r w:rsidR="008207C2" w:rsidRPr="00EF2F18">
        <w:rPr>
          <w:rFonts w:cs="Times New Roman"/>
          <w:sz w:val="22"/>
          <w:shd w:val="clear" w:color="auto" w:fill="FFFFFF"/>
          <w:lang w:val="sr-Cyrl-RS"/>
        </w:rPr>
        <w:t xml:space="preserve"> и</w:t>
      </w:r>
      <w:r w:rsidR="000C1F21" w:rsidRPr="00EF2F18">
        <w:rPr>
          <w:rFonts w:cs="Times New Roman"/>
          <w:sz w:val="22"/>
          <w:shd w:val="clear" w:color="auto" w:fill="FFFFFF"/>
          <w:lang w:val="sr-Cyrl-RS"/>
        </w:rPr>
        <w:t xml:space="preserve"> 67/21</w:t>
      </w:r>
      <w:r w:rsidR="006549D4" w:rsidRPr="00EF2F18">
        <w:rPr>
          <w:rFonts w:cs="Times New Roman"/>
          <w:sz w:val="22"/>
          <w:shd w:val="clear" w:color="auto" w:fill="FFFFFF"/>
          <w:lang w:val="sr-Cyrl-RS"/>
        </w:rPr>
        <w:t xml:space="preserve">) </w:t>
      </w:r>
      <w:r w:rsidR="004861CC" w:rsidRPr="00EF2F18">
        <w:rPr>
          <w:rFonts w:cs="Times New Roman"/>
          <w:sz w:val="22"/>
          <w:shd w:val="clear" w:color="auto" w:fill="FFFFFF"/>
          <w:lang w:val="sr-Cyrl-RS"/>
        </w:rPr>
        <w:t>унапређен</w:t>
      </w:r>
      <w:r w:rsidR="006549D4" w:rsidRPr="00EF2F18">
        <w:rPr>
          <w:rFonts w:cs="Times New Roman"/>
          <w:sz w:val="22"/>
          <w:shd w:val="clear" w:color="auto" w:fill="FFFFFF"/>
          <w:lang w:val="sr-Cyrl-RS"/>
        </w:rPr>
        <w:t xml:space="preserve"> је </w:t>
      </w:r>
      <w:r w:rsidR="006549D4" w:rsidRPr="00EF2F18">
        <w:rPr>
          <w:rStyle w:val="Emphasis"/>
          <w:rFonts w:cs="Times New Roman"/>
          <w:b w:val="0"/>
          <w:bCs w:val="0"/>
          <w:sz w:val="22"/>
          <w:bdr w:val="none" w:sz="0" w:space="0" w:color="auto" w:frame="1"/>
          <w:shd w:val="clear" w:color="auto" w:fill="FFFFFF"/>
          <w:lang w:val="sr-Cyrl-RS"/>
        </w:rPr>
        <w:t>регистар великих постројења за сагоревање у оквиру Агенције за заштиту животне средине за потребе Националног регистра извора загађивања,</w:t>
      </w:r>
      <w:r w:rsidR="004861CC" w:rsidRPr="00EF2F18">
        <w:rPr>
          <w:rStyle w:val="Emphasis"/>
          <w:rFonts w:cs="Times New Roman"/>
          <w:b w:val="0"/>
          <w:bCs w:val="0"/>
          <w:sz w:val="22"/>
          <w:bdr w:val="none" w:sz="0" w:space="0" w:color="auto" w:frame="1"/>
          <w:shd w:val="clear" w:color="auto" w:fill="FFFFFF"/>
          <w:lang w:val="sr-Cyrl-RS"/>
        </w:rPr>
        <w:t xml:space="preserve"> </w:t>
      </w:r>
      <w:r w:rsidR="006549D4" w:rsidRPr="00EF2F18">
        <w:rPr>
          <w:rStyle w:val="Emphasis"/>
          <w:rFonts w:cs="Times New Roman"/>
          <w:b w:val="0"/>
          <w:bCs w:val="0"/>
          <w:sz w:val="22"/>
          <w:bdr w:val="none" w:sz="0" w:space="0" w:color="auto" w:frame="1"/>
          <w:shd w:val="clear" w:color="auto" w:fill="FFFFFF"/>
          <w:lang w:val="sr-Cyrl-RS"/>
        </w:rPr>
        <w:t>као и методологија за врсте, начине и рокове прикупљања података. Регистар садржи количине емитованих загађујућих материја - сумпор диоксида, оксида азота и прашкастих материја</w:t>
      </w:r>
      <w:r w:rsidR="004A7D9A" w:rsidRPr="00EF2F18">
        <w:rPr>
          <w:rStyle w:val="Emphasis"/>
          <w:rFonts w:cs="Times New Roman"/>
          <w:b w:val="0"/>
          <w:bCs w:val="0"/>
          <w:sz w:val="22"/>
          <w:bdr w:val="none" w:sz="0" w:space="0" w:color="auto" w:frame="1"/>
          <w:shd w:val="clear" w:color="auto" w:fill="FFFFFF"/>
          <w:lang w:val="sr-Cyrl-RS"/>
        </w:rPr>
        <w:t>, као и осталих загађујућих материја</w:t>
      </w:r>
      <w:r w:rsidR="006549D4" w:rsidRPr="00EF2F18">
        <w:rPr>
          <w:rStyle w:val="Emphasis"/>
          <w:rFonts w:cs="Times New Roman"/>
          <w:b w:val="0"/>
          <w:bCs w:val="0"/>
          <w:sz w:val="22"/>
          <w:bdr w:val="none" w:sz="0" w:space="0" w:color="auto" w:frame="1"/>
          <w:shd w:val="clear" w:color="auto" w:fill="FFFFFF"/>
          <w:lang w:val="sr-Cyrl-RS"/>
        </w:rPr>
        <w:t>. У</w:t>
      </w:r>
      <w:r w:rsidR="006549D4" w:rsidRPr="00EF2F18">
        <w:rPr>
          <w:rStyle w:val="Emphasis"/>
          <w:rFonts w:cs="Times New Roman"/>
          <w:sz w:val="22"/>
          <w:bdr w:val="none" w:sz="0" w:space="0" w:color="auto" w:frame="1"/>
          <w:shd w:val="clear" w:color="auto" w:fill="FFFFFF"/>
          <w:lang w:val="sr-Cyrl-RS"/>
        </w:rPr>
        <w:t xml:space="preserve"> </w:t>
      </w:r>
      <w:r w:rsidR="006549D4" w:rsidRPr="00EF2F18">
        <w:rPr>
          <w:rFonts w:cs="Times New Roman"/>
          <w:sz w:val="22"/>
          <w:shd w:val="clear" w:color="auto" w:fill="FFFFFF"/>
          <w:lang w:val="sr-Cyrl-RS"/>
        </w:rPr>
        <w:t xml:space="preserve">2021. години усвојена је Уредба о измени и допуни Уредбе о граничним вредностима емисија загађујућих материја у ваздух из стационарних извора загађивања, осим постројења за сагоревање („Службени гласник РС”, број 83/21) и </w:t>
      </w:r>
      <w:r w:rsidRPr="00EF2F18">
        <w:rPr>
          <w:rFonts w:cs="Times New Roman"/>
          <w:sz w:val="22"/>
          <w:shd w:val="clear" w:color="auto" w:fill="FFFFFF"/>
          <w:lang w:val="sr-Cyrl-RS"/>
        </w:rPr>
        <w:t xml:space="preserve">Уредба о измени и допуни Уредбе о граничним вредностима емисија загађујућих материја у ваздух из постројења за сагоревање </w:t>
      </w:r>
      <w:r w:rsidR="006549D4" w:rsidRPr="00EF2F18">
        <w:rPr>
          <w:rFonts w:cs="Times New Roman"/>
          <w:sz w:val="22"/>
          <w:shd w:val="clear" w:color="auto" w:fill="FFFFFF"/>
          <w:lang w:val="sr-Cyrl-RS"/>
        </w:rPr>
        <w:t>(„Службени гласник РС”, број 67/21), чиме је комплетиран законски оквир за извештавање о емисијама загађујућих материја у ваздух и створени услови за потпуну имплементацију пројекта Зелена дигитализација Националног регистра извора загађивања, пре свега, кроз потпуно нови начин достављања извештаја.</w:t>
      </w:r>
      <w:r w:rsidR="00581DC9" w:rsidRPr="00EF2F18">
        <w:rPr>
          <w:rFonts w:cs="Times New Roman"/>
          <w:sz w:val="22"/>
          <w:shd w:val="clear" w:color="auto" w:fill="FFFFFF"/>
          <w:lang w:val="sr-Cyrl-RS"/>
        </w:rPr>
        <w:t xml:space="preserve"> Концепт који је развијен у оквиру овог пројекта представља јединствен пример информационог система у државним органима Републике Србије заснованог искључиво на електронском документу. Годишњи извештај правна лица и предузетници достављају Агенцији</w:t>
      </w:r>
      <w:r w:rsidR="007B773D" w:rsidRPr="00EF2F18">
        <w:rPr>
          <w:rFonts w:cs="Times New Roman"/>
          <w:sz w:val="22"/>
          <w:shd w:val="clear" w:color="auto" w:fill="FFFFFF"/>
          <w:lang w:val="sr-Cyrl-RS"/>
        </w:rPr>
        <w:t xml:space="preserve"> за заштиту животне средине </w:t>
      </w:r>
      <w:r w:rsidR="00581DC9" w:rsidRPr="00EF2F18">
        <w:rPr>
          <w:rFonts w:cs="Times New Roman"/>
          <w:sz w:val="22"/>
          <w:shd w:val="clear" w:color="auto" w:fill="FFFFFF"/>
          <w:lang w:val="sr-Cyrl-RS"/>
        </w:rPr>
        <w:t xml:space="preserve">као електронски документ, уносом података у информациони систем Националног регистра извора загађивања, у складу са прописима којима се уређује електронски документ, електронска идентификација и услуге од поверења у електронском пословању. </w:t>
      </w:r>
    </w:p>
    <w:p w14:paraId="3B19A489" w14:textId="7C3D6379" w:rsidR="000D0989" w:rsidRDefault="00A21DFE" w:rsidP="00F106C9">
      <w:pPr>
        <w:pStyle w:val="Heading3"/>
        <w:numPr>
          <w:ilvl w:val="2"/>
          <w:numId w:val="2"/>
        </w:numPr>
        <w:jc w:val="center"/>
        <w:rPr>
          <w:rFonts w:cs="Times New Roman"/>
          <w:sz w:val="22"/>
          <w:szCs w:val="22"/>
          <w:lang w:val="sr-Cyrl-RS"/>
        </w:rPr>
      </w:pPr>
      <w:bookmarkStart w:id="48" w:name="_Toc158307702"/>
      <w:r w:rsidRPr="00EF2F18">
        <w:rPr>
          <w:rFonts w:cs="Times New Roman"/>
          <w:sz w:val="22"/>
          <w:szCs w:val="22"/>
          <w:lang w:val="sr-Cyrl-RS"/>
        </w:rPr>
        <w:lastRenderedPageBreak/>
        <w:t xml:space="preserve">Квалитет </w:t>
      </w:r>
      <w:r w:rsidR="004A7D9A" w:rsidRPr="00EF2F18">
        <w:rPr>
          <w:rFonts w:cs="Times New Roman"/>
          <w:sz w:val="22"/>
          <w:szCs w:val="22"/>
          <w:lang w:val="sr-Cyrl-RS"/>
        </w:rPr>
        <w:t>вода</w:t>
      </w:r>
      <w:bookmarkEnd w:id="48"/>
    </w:p>
    <w:p w14:paraId="5A1E15A3" w14:textId="77777777" w:rsidR="00143597" w:rsidRPr="00143597" w:rsidRDefault="00143597" w:rsidP="00143597">
      <w:pPr>
        <w:rPr>
          <w:sz w:val="12"/>
          <w:szCs w:val="12"/>
          <w:lang w:val="sr-Cyrl-RS"/>
        </w:rPr>
      </w:pPr>
    </w:p>
    <w:p w14:paraId="0884F389" w14:textId="6F7F87CA" w:rsidR="006910C9" w:rsidRPr="00EF2F18" w:rsidRDefault="006910C9" w:rsidP="00F106C9">
      <w:pPr>
        <w:autoSpaceDE w:val="0"/>
        <w:autoSpaceDN w:val="0"/>
        <w:adjustRightInd w:val="0"/>
        <w:spacing w:after="0"/>
        <w:ind w:firstLine="720"/>
        <w:jc w:val="both"/>
        <w:rPr>
          <w:rFonts w:cs="Times New Roman"/>
          <w:b/>
          <w:bCs/>
          <w:i/>
          <w:sz w:val="22"/>
          <w:lang w:val="sr-Cyrl-RS"/>
        </w:rPr>
      </w:pPr>
      <w:r w:rsidRPr="00EF2F18">
        <w:rPr>
          <w:rFonts w:cs="Times New Roman"/>
          <w:b/>
          <w:bCs/>
          <w:i/>
          <w:sz w:val="22"/>
          <w:shd w:val="clear" w:color="auto" w:fill="FFFFFF"/>
          <w:lang w:val="sr-Cyrl-RS"/>
        </w:rPr>
        <w:t>Површинске воде</w:t>
      </w:r>
    </w:p>
    <w:p w14:paraId="78EE18C6" w14:textId="388104D7" w:rsidR="00D37E2C" w:rsidRPr="00EF2F18" w:rsidRDefault="007F56E1" w:rsidP="006910C9">
      <w:pPr>
        <w:spacing w:after="0"/>
        <w:ind w:firstLine="720"/>
        <w:jc w:val="both"/>
        <w:rPr>
          <w:rFonts w:cs="Times New Roman"/>
          <w:sz w:val="22"/>
          <w:lang w:val="sr-Cyrl-RS"/>
        </w:rPr>
      </w:pPr>
      <w:r w:rsidRPr="00EF2F18">
        <w:rPr>
          <w:rFonts w:eastAsia="Calibri" w:cs="Times New Roman"/>
          <w:sz w:val="22"/>
          <w:lang w:val="sr-Cyrl-RS"/>
        </w:rPr>
        <w:t>Стање квалитета површинских вода у Републици Србији није задовољавајуће. Удео водних тела са добрим квалитетом воде у периоду 2017</w:t>
      </w:r>
      <w:r w:rsidR="00143597">
        <w:rPr>
          <w:rFonts w:eastAsia="Calibri" w:cs="Times New Roman"/>
          <w:sz w:val="22"/>
          <w:lang w:val="sr-Cyrl-RS"/>
        </w:rPr>
        <w:t xml:space="preserve"> </w:t>
      </w:r>
      <w:r w:rsidRPr="00EF2F18">
        <w:rPr>
          <w:rFonts w:eastAsia="Calibri" w:cs="Times New Roman"/>
          <w:sz w:val="22"/>
          <w:lang w:val="sr-Cyrl-RS"/>
        </w:rPr>
        <w:t>–</w:t>
      </w:r>
      <w:r w:rsidR="00143597">
        <w:rPr>
          <w:rFonts w:eastAsia="Calibri" w:cs="Times New Roman"/>
          <w:sz w:val="22"/>
          <w:lang w:val="sr-Cyrl-RS"/>
        </w:rPr>
        <w:t xml:space="preserve"> </w:t>
      </w:r>
      <w:r w:rsidRPr="00EF2F18">
        <w:rPr>
          <w:rFonts w:eastAsia="Calibri" w:cs="Times New Roman"/>
          <w:sz w:val="22"/>
          <w:lang w:val="sr-Cyrl-RS"/>
        </w:rPr>
        <w:t>2019. године, иако показује растући тренд у односу на период 2014</w:t>
      </w:r>
      <w:r w:rsidR="00143597">
        <w:rPr>
          <w:rFonts w:eastAsia="Calibri" w:cs="Times New Roman"/>
          <w:sz w:val="22"/>
          <w:lang w:val="sr-Cyrl-RS"/>
        </w:rPr>
        <w:t xml:space="preserve"> – </w:t>
      </w:r>
      <w:r w:rsidRPr="00EF2F18">
        <w:rPr>
          <w:rFonts w:eastAsia="Calibri" w:cs="Times New Roman"/>
          <w:sz w:val="22"/>
          <w:lang w:val="sr-Cyrl-RS"/>
        </w:rPr>
        <w:t xml:space="preserve">2016. година (80% у односу на 73%), још увек је релативно низак. Удео водних тела (акумулација) са добрим квалитетом </w:t>
      </w:r>
      <w:r w:rsidR="00EA08DB" w:rsidRPr="00EF2F18">
        <w:rPr>
          <w:rFonts w:eastAsia="Calibri" w:cs="Times New Roman"/>
          <w:sz w:val="22"/>
          <w:lang w:val="sr-Cyrl-RS"/>
        </w:rPr>
        <w:t>би био</w:t>
      </w:r>
      <w:r w:rsidRPr="00EF2F18">
        <w:rPr>
          <w:rFonts w:eastAsia="Calibri" w:cs="Times New Roman"/>
          <w:sz w:val="22"/>
          <w:lang w:val="sr-Cyrl-RS"/>
        </w:rPr>
        <w:t xml:space="preserve"> 23% у периоду 2014-2016. године</w:t>
      </w:r>
      <w:r w:rsidR="001122DD" w:rsidRPr="00EF2F18">
        <w:rPr>
          <w:rFonts w:eastAsia="Calibri" w:cs="Times New Roman"/>
          <w:sz w:val="22"/>
          <w:lang w:val="sr-Cyrl-RS"/>
        </w:rPr>
        <w:t>.</w:t>
      </w:r>
      <w:r w:rsidRPr="00EF2F18">
        <w:rPr>
          <w:rFonts w:eastAsia="Calibri" w:cs="Times New Roman"/>
          <w:sz w:val="22"/>
          <w:lang w:val="sr-Cyrl-RS"/>
        </w:rPr>
        <w:t xml:space="preserve"> </w:t>
      </w:r>
      <w:r w:rsidR="001122DD" w:rsidRPr="00EF2F18">
        <w:rPr>
          <w:rFonts w:eastAsia="Calibri" w:cs="Times New Roman"/>
          <w:sz w:val="22"/>
          <w:lang w:val="sr-Cyrl-RS"/>
        </w:rPr>
        <w:t>У</w:t>
      </w:r>
      <w:r w:rsidRPr="00EF2F18">
        <w:rPr>
          <w:rFonts w:eastAsia="Calibri" w:cs="Times New Roman"/>
          <w:sz w:val="22"/>
          <w:lang w:val="sr-Cyrl-RS"/>
        </w:rPr>
        <w:t xml:space="preserve"> периоду 2017–2019. године</w:t>
      </w:r>
      <w:r w:rsidR="001122DD" w:rsidRPr="00EF2F18">
        <w:rPr>
          <w:rFonts w:eastAsia="Calibri" w:cs="Times New Roman"/>
          <w:sz w:val="22"/>
          <w:lang w:val="sr-Cyrl-RS"/>
        </w:rPr>
        <w:t xml:space="preserve"> није било акумулација са добрим квалитетом воде. </w:t>
      </w:r>
      <w:r w:rsidRPr="00EF2F18">
        <w:rPr>
          <w:rFonts w:eastAsia="Calibri" w:cs="Times New Roman"/>
          <w:sz w:val="22"/>
          <w:lang w:val="sr-Cyrl-RS"/>
        </w:rPr>
        <w:t>За површинске воде, укупан удео водних тела са добрим квалитетом воде у периоду 2014–2016. године био је 60,2%, а у периоду 2017</w:t>
      </w:r>
      <w:r w:rsidR="00143597">
        <w:rPr>
          <w:rFonts w:eastAsia="Calibri" w:cs="Times New Roman"/>
          <w:sz w:val="22"/>
          <w:lang w:val="sr-Cyrl-RS"/>
        </w:rPr>
        <w:t xml:space="preserve"> </w:t>
      </w:r>
      <w:r w:rsidRPr="00EF2F18">
        <w:rPr>
          <w:rFonts w:eastAsia="Calibri" w:cs="Times New Roman"/>
          <w:sz w:val="22"/>
          <w:lang w:val="sr-Cyrl-RS"/>
        </w:rPr>
        <w:t>–</w:t>
      </w:r>
      <w:r w:rsidR="00143597">
        <w:rPr>
          <w:rFonts w:eastAsia="Calibri" w:cs="Times New Roman"/>
          <w:sz w:val="22"/>
          <w:lang w:val="sr-Cyrl-RS"/>
        </w:rPr>
        <w:t xml:space="preserve"> </w:t>
      </w:r>
      <w:r w:rsidRPr="00EF2F18">
        <w:rPr>
          <w:rFonts w:eastAsia="Calibri" w:cs="Times New Roman"/>
          <w:sz w:val="22"/>
          <w:lang w:val="sr-Cyrl-RS"/>
        </w:rPr>
        <w:t>2019. године 68</w:t>
      </w:r>
      <w:r w:rsidR="004A7D9A" w:rsidRPr="00EF2F18">
        <w:rPr>
          <w:rFonts w:eastAsia="Calibri" w:cs="Times New Roman"/>
          <w:lang w:val="sr-Cyrl-RS"/>
        </w:rPr>
        <w:t>,3</w:t>
      </w:r>
      <w:r w:rsidRPr="00EF2F18">
        <w:rPr>
          <w:rFonts w:cs="Times New Roman"/>
          <w:sz w:val="22"/>
          <w:lang w:val="sr-Cyrl-RS"/>
        </w:rPr>
        <w:t>%</w:t>
      </w:r>
      <w:r w:rsidR="00BF78D1" w:rsidRPr="00EF2F18">
        <w:rPr>
          <w:rFonts w:cs="Times New Roman"/>
          <w:sz w:val="22"/>
          <w:lang w:val="sr-Cyrl-RS"/>
        </w:rPr>
        <w:t xml:space="preserve">. </w:t>
      </w:r>
      <w:r w:rsidR="00797AAB" w:rsidRPr="00EF2F18">
        <w:rPr>
          <w:rFonts w:cs="Times New Roman"/>
          <w:sz w:val="22"/>
          <w:lang w:val="sr-Cyrl-RS"/>
        </w:rPr>
        <w:t>Генерални закључак</w:t>
      </w:r>
      <w:r w:rsidR="00CC001E" w:rsidRPr="00EF2F18">
        <w:rPr>
          <w:rFonts w:cs="Times New Roman"/>
          <w:sz w:val="22"/>
          <w:lang w:val="sr-Cyrl-RS"/>
        </w:rPr>
        <w:t xml:space="preserve"> изнет у Плану управљања водама </w:t>
      </w:r>
      <w:r w:rsidR="00CC001E" w:rsidRPr="00EF2F18">
        <w:rPr>
          <w:rFonts w:eastAsia="Calibri" w:cs="Times New Roman"/>
          <w:bCs/>
          <w:iCs/>
          <w:sz w:val="22"/>
          <w:lang w:val="sr-Cyrl-RS" w:bidi="he-IL"/>
        </w:rPr>
        <w:t>на територији Републике Србије до 2027. године („Сл</w:t>
      </w:r>
      <w:r w:rsidR="00BE138C" w:rsidRPr="00EF2F18">
        <w:rPr>
          <w:rFonts w:eastAsia="Calibri" w:cs="Times New Roman"/>
          <w:bCs/>
          <w:iCs/>
          <w:sz w:val="22"/>
          <w:lang w:val="sr-Cyrl-RS" w:bidi="he-IL"/>
        </w:rPr>
        <w:t>ужбени</w:t>
      </w:r>
      <w:r w:rsidR="00CC001E" w:rsidRPr="00EF2F18">
        <w:rPr>
          <w:rFonts w:eastAsia="Calibri" w:cs="Times New Roman"/>
          <w:bCs/>
          <w:iCs/>
          <w:sz w:val="22"/>
          <w:lang w:val="sr-Cyrl-RS" w:bidi="he-IL"/>
        </w:rPr>
        <w:t xml:space="preserve"> гласник РС”, број 33/23) </w:t>
      </w:r>
      <w:r w:rsidR="00CC001E" w:rsidRPr="00EF2F18">
        <w:rPr>
          <w:rFonts w:cs="Times New Roman"/>
          <w:sz w:val="22"/>
          <w:lang w:val="sr-Cyrl-RS"/>
        </w:rPr>
        <w:t>на основу</w:t>
      </w:r>
      <w:r w:rsidR="00797AAB" w:rsidRPr="00EF2F18">
        <w:rPr>
          <w:rFonts w:cs="Times New Roman"/>
          <w:sz w:val="22"/>
          <w:lang w:val="sr-Cyrl-RS"/>
        </w:rPr>
        <w:t xml:space="preserve"> националног мониторинга и других истраживања указује да</w:t>
      </w:r>
      <w:r w:rsidR="00BA6877" w:rsidRPr="00EF2F18">
        <w:rPr>
          <w:rFonts w:cs="Times New Roman"/>
          <w:sz w:val="22"/>
          <w:lang w:val="sr-Cyrl-RS"/>
        </w:rPr>
        <w:t>,</w:t>
      </w:r>
      <w:r w:rsidR="00797AAB" w:rsidRPr="00EF2F18">
        <w:rPr>
          <w:rFonts w:cs="Times New Roman"/>
          <w:sz w:val="22"/>
          <w:lang w:val="sr-Cyrl-RS"/>
        </w:rPr>
        <w:t xml:space="preserve"> од укупно оцењиваних 1.065 водних тела површинских вода</w:t>
      </w:r>
      <w:r w:rsidR="00BA6877" w:rsidRPr="00EF2F18">
        <w:rPr>
          <w:rFonts w:cs="Times New Roman"/>
          <w:sz w:val="22"/>
          <w:lang w:val="sr-Cyrl-RS"/>
        </w:rPr>
        <w:t>,</w:t>
      </w:r>
      <w:r w:rsidR="00797AAB" w:rsidRPr="00EF2F18">
        <w:rPr>
          <w:rFonts w:cs="Times New Roman"/>
          <w:sz w:val="22"/>
          <w:lang w:val="sr-Cyrl-RS"/>
        </w:rPr>
        <w:t xml:space="preserve"> 26% има одличан еколошки статус, добар статус је идентификован на 21% водних тела, умерени статус на 27%, док је 18% у статусу који је оцењен као слаб, а </w:t>
      </w:r>
      <w:r w:rsidR="00BA6877" w:rsidRPr="00EF2F18">
        <w:rPr>
          <w:rFonts w:cs="Times New Roman"/>
          <w:sz w:val="22"/>
          <w:lang w:val="sr-Cyrl-RS"/>
        </w:rPr>
        <w:t xml:space="preserve">8% </w:t>
      </w:r>
      <w:r w:rsidR="00797AAB" w:rsidRPr="00EF2F18">
        <w:rPr>
          <w:rFonts w:cs="Times New Roman"/>
          <w:sz w:val="22"/>
          <w:lang w:val="sr-Cyrl-RS"/>
        </w:rPr>
        <w:t xml:space="preserve">у статусу који је оцењен као лош. Лошији подаци за еколошки статус указују на присуство великог броја концентрисаних и расутих извора загађења површинских вода. Када је реч о хемијском статусу, подаци указују да пољопривредне активности доводе до тренутних оптерећења пестицидима услед неадекватног коришћења ових средстава. </w:t>
      </w:r>
      <w:r w:rsidR="00857AEF" w:rsidRPr="00EF2F18">
        <w:rPr>
          <w:rFonts w:cs="Times New Roman"/>
          <w:sz w:val="22"/>
          <w:lang w:val="sr-Cyrl-RS"/>
        </w:rPr>
        <w:t>Хемијски статус је одређен за 185 водних тела на основу података државног мониторинга спроведеног у периоду од 2011</w:t>
      </w:r>
      <w:r w:rsidR="00143597">
        <w:rPr>
          <w:rFonts w:cs="Times New Roman"/>
          <w:sz w:val="22"/>
          <w:lang w:val="sr-Cyrl-RS"/>
        </w:rPr>
        <w:t xml:space="preserve"> – </w:t>
      </w:r>
      <w:r w:rsidR="00857AEF" w:rsidRPr="00EF2F18">
        <w:rPr>
          <w:rFonts w:cs="Times New Roman"/>
          <w:sz w:val="22"/>
          <w:lang w:val="sr-Cyrl-RS"/>
        </w:rPr>
        <w:t xml:space="preserve">2018. године. Од 185 оцењених водних тела на 18 није постигнут добар хемијски статус. Због броја параметара који се оцењују (26 од 45), учесталости мерења и ограничења примењених метода за анализу појединих параметара, хемијски статус је оцењен са средњим степеном поузданости. </w:t>
      </w:r>
    </w:p>
    <w:p w14:paraId="4E38CE4D" w14:textId="2AB2264B" w:rsidR="00BF78D1" w:rsidRPr="00EF2F18" w:rsidRDefault="00857AEF" w:rsidP="006910C9">
      <w:pPr>
        <w:spacing w:after="0"/>
        <w:ind w:firstLine="720"/>
        <w:jc w:val="both"/>
        <w:rPr>
          <w:rFonts w:cs="Times New Roman"/>
          <w:sz w:val="22"/>
          <w:lang w:val="sr-Cyrl-RS"/>
        </w:rPr>
      </w:pPr>
      <w:r w:rsidRPr="00EF2F18">
        <w:rPr>
          <w:rFonts w:cs="Times New Roman"/>
          <w:sz w:val="22"/>
          <w:lang w:val="sr-Cyrl-RS"/>
        </w:rPr>
        <w:t>Према подацима из наведеног Плана управљања водама</w:t>
      </w:r>
      <w:r w:rsidR="00DE003D" w:rsidRPr="00EF2F18">
        <w:rPr>
          <w:rFonts w:cs="Times New Roman"/>
          <w:sz w:val="22"/>
          <w:lang w:val="sr-Cyrl-RS"/>
        </w:rPr>
        <w:t xml:space="preserve"> </w:t>
      </w:r>
      <w:r w:rsidR="00DE003D" w:rsidRPr="00EF2F18">
        <w:rPr>
          <w:rFonts w:eastAsia="Calibri" w:cs="Times New Roman"/>
          <w:bCs/>
          <w:iCs/>
          <w:sz w:val="22"/>
          <w:lang w:val="sr-Cyrl-RS" w:bidi="he-IL"/>
        </w:rPr>
        <w:t>на територији Републике Србије до 2027. године</w:t>
      </w:r>
      <w:r w:rsidRPr="00EF2F18">
        <w:rPr>
          <w:rFonts w:cs="Times New Roman"/>
          <w:sz w:val="22"/>
          <w:lang w:val="sr-Cyrl-RS"/>
        </w:rPr>
        <w:t>, д</w:t>
      </w:r>
      <w:r w:rsidR="00482D51" w:rsidRPr="00EF2F18">
        <w:rPr>
          <w:rFonts w:cs="Times New Roman"/>
          <w:sz w:val="22"/>
          <w:lang w:val="sr-Cyrl-RS"/>
        </w:rPr>
        <w:t xml:space="preserve">оминантни извори концентрисаног органског загађења су насеља и индустрија (око 78% од укупних емисија), док дифузни извори органског загађења чине око 22% укупних емисија. Највећи део органског загађења потиче из агломерација (око 80% од укупне емисије органског загађења) у којима је концентрисан највећи број становништва. </w:t>
      </w:r>
      <w:r w:rsidR="00797AAB" w:rsidRPr="00EF2F18">
        <w:rPr>
          <w:rFonts w:eastAsia="TimesNewRoman" w:cs="Times New Roman"/>
          <w:sz w:val="22"/>
          <w:lang w:val="sr-Cyrl-RS"/>
        </w:rPr>
        <w:t>Четвртина водних тела има незадовољавајући квалитет по биолошким параметрима</w:t>
      </w:r>
      <w:r w:rsidR="005236DF" w:rsidRPr="00EF2F18">
        <w:rPr>
          <w:rFonts w:eastAsia="TimesNewRoman" w:cs="Times New Roman"/>
          <w:sz w:val="22"/>
          <w:lang w:val="sr-Cyrl-RS"/>
        </w:rPr>
        <w:t xml:space="preserve"> (алге, водене макрофит</w:t>
      </w:r>
      <w:r w:rsidR="007862F0" w:rsidRPr="00EF2F18">
        <w:rPr>
          <w:rFonts w:eastAsia="TimesNewRoman" w:cs="Times New Roman"/>
          <w:sz w:val="22"/>
          <w:lang w:val="sr-Cyrl-RS"/>
        </w:rPr>
        <w:t>е</w:t>
      </w:r>
      <w:r w:rsidR="005236DF" w:rsidRPr="00EF2F18">
        <w:rPr>
          <w:rFonts w:eastAsia="TimesNewRoman" w:cs="Times New Roman"/>
          <w:sz w:val="22"/>
          <w:lang w:val="sr-Cyrl-RS"/>
        </w:rPr>
        <w:t>, водени бескичмењаци и</w:t>
      </w:r>
      <w:r w:rsidR="006C2E00" w:rsidRPr="00EF2F18">
        <w:rPr>
          <w:rFonts w:eastAsia="TimesNewRoman" w:cs="Times New Roman"/>
          <w:sz w:val="22"/>
          <w:lang w:val="sr-Cyrl-RS"/>
        </w:rPr>
        <w:t xml:space="preserve"> </w:t>
      </w:r>
      <w:r w:rsidR="005236DF" w:rsidRPr="00EF2F18">
        <w:rPr>
          <w:rFonts w:eastAsia="TimesNewRoman" w:cs="Times New Roman"/>
          <w:sz w:val="22"/>
          <w:lang w:val="sr-Cyrl-RS"/>
        </w:rPr>
        <w:t>рибе)</w:t>
      </w:r>
      <w:r w:rsidR="00797AAB" w:rsidRPr="00EF2F18">
        <w:rPr>
          <w:rFonts w:eastAsia="TimesNewRoman" w:cs="Times New Roman"/>
          <w:sz w:val="22"/>
          <w:lang w:val="sr-Cyrl-RS"/>
        </w:rPr>
        <w:t xml:space="preserve">, међу којима се налазе делови токова Јужне Мораве, Расине, Кубршнице, Нишаве, Бегеја, Златице, Турије, Љига, затим акумулације Потпећ, Сјеница, Бован, Гружа и друге. </w:t>
      </w:r>
      <w:r w:rsidR="00CC001E" w:rsidRPr="00EF2F18">
        <w:rPr>
          <w:rFonts w:eastAsia="TimesNewRoman" w:cs="Times New Roman"/>
          <w:sz w:val="22"/>
          <w:lang w:val="sr-Cyrl-RS"/>
        </w:rPr>
        <w:t>Незадовољавајуће вредности параметара еколошког и хемијског статуса</w:t>
      </w:r>
      <w:r w:rsidRPr="00EF2F18">
        <w:rPr>
          <w:rFonts w:eastAsia="TimesNewRoman" w:cs="Times New Roman"/>
          <w:sz w:val="22"/>
          <w:lang w:val="sr-Cyrl-RS"/>
        </w:rPr>
        <w:t>/потенцијала</w:t>
      </w:r>
      <w:r w:rsidR="00CC001E" w:rsidRPr="00EF2F18" w:rsidDel="00C36A8E">
        <w:rPr>
          <w:rFonts w:eastAsia="TimesNewRoman" w:cs="Times New Roman"/>
          <w:sz w:val="22"/>
          <w:lang w:val="sr-Cyrl-RS"/>
        </w:rPr>
        <w:t xml:space="preserve"> </w:t>
      </w:r>
      <w:r w:rsidR="00797AAB" w:rsidRPr="00EF2F18">
        <w:rPr>
          <w:rFonts w:eastAsia="TimesNewRoman" w:cs="Times New Roman"/>
          <w:sz w:val="22"/>
          <w:lang w:val="sr-Cyrl-RS"/>
        </w:rPr>
        <w:t>бележе се на каналу Врбас-Бездан на хидросистему ДТД и реци Криваји, од ушћа канала ДТД до бране Зобнатица</w:t>
      </w:r>
      <w:r w:rsidR="00B86C8E" w:rsidRPr="00EF2F18">
        <w:rPr>
          <w:rFonts w:eastAsia="TimesNewRoman" w:cs="Times New Roman"/>
          <w:sz w:val="22"/>
          <w:lang w:val="sr-Cyrl-RS"/>
        </w:rPr>
        <w:t>,</w:t>
      </w:r>
      <w:r w:rsidR="00797AAB" w:rsidRPr="00EF2F18">
        <w:rPr>
          <w:rFonts w:eastAsia="TimesNewRoman" w:cs="Times New Roman"/>
          <w:sz w:val="22"/>
          <w:lang w:val="sr-Cyrl-RS"/>
        </w:rPr>
        <w:t xml:space="preserve"> Пеку у Каонској клисури</w:t>
      </w:r>
      <w:r w:rsidR="00B86C8E" w:rsidRPr="00EF2F18">
        <w:rPr>
          <w:rFonts w:eastAsia="TimesNewRoman" w:cs="Times New Roman"/>
          <w:sz w:val="22"/>
          <w:lang w:val="sr-Cyrl-RS"/>
        </w:rPr>
        <w:t xml:space="preserve"> и Великом Тимоку (због повишених концентрација тешких метала)</w:t>
      </w:r>
      <w:r w:rsidR="00797AAB" w:rsidRPr="00EF2F18">
        <w:rPr>
          <w:rFonts w:eastAsia="TimesNewRoman" w:cs="Times New Roman"/>
          <w:sz w:val="22"/>
          <w:lang w:val="sr-Cyrl-RS"/>
        </w:rPr>
        <w:t>, од ушћа Љешнице до ушћа Кучајске реке.</w:t>
      </w:r>
      <w:r w:rsidR="00797AAB" w:rsidRPr="00EF2F18">
        <w:rPr>
          <w:rFonts w:cs="Times New Roman"/>
          <w:sz w:val="22"/>
          <w:lang w:val="sr-Cyrl-RS"/>
        </w:rPr>
        <w:t xml:space="preserve"> Погоршано стање квалитета изражено је у каналима у АП Војводини, на мањим водотоцима и у близини већих насеља. Ситуација је повољниј</w:t>
      </w:r>
      <w:r w:rsidR="00D76FC2">
        <w:rPr>
          <w:rFonts w:cs="Times New Roman"/>
          <w:sz w:val="22"/>
          <w:lang w:val="sr-Cyrl-RS"/>
        </w:rPr>
        <w:t>а у зони заштићених изворишта. К</w:t>
      </w:r>
      <w:r w:rsidR="00797AAB" w:rsidRPr="00EF2F18">
        <w:rPr>
          <w:rFonts w:cs="Times New Roman"/>
          <w:sz w:val="22"/>
          <w:lang w:val="sr-Cyrl-RS"/>
        </w:rPr>
        <w:t>онцентрација нитрата у периоду 2008</w:t>
      </w:r>
      <w:r w:rsidR="00D76FC2">
        <w:rPr>
          <w:rFonts w:cs="Times New Roman"/>
          <w:sz w:val="22"/>
          <w:lang w:val="sr-Cyrl-RS"/>
        </w:rPr>
        <w:t xml:space="preserve"> </w:t>
      </w:r>
      <w:r w:rsidR="004A14D5">
        <w:rPr>
          <w:rFonts w:cs="Times New Roman"/>
          <w:sz w:val="22"/>
          <w:lang w:val="sr-Cyrl-RS"/>
        </w:rPr>
        <w:t>–</w:t>
      </w:r>
      <w:r w:rsidR="00D76FC2">
        <w:rPr>
          <w:rFonts w:cs="Times New Roman"/>
          <w:sz w:val="22"/>
          <w:lang w:val="sr-Cyrl-RS"/>
        </w:rPr>
        <w:t xml:space="preserve"> </w:t>
      </w:r>
      <w:r w:rsidR="00797AAB" w:rsidRPr="00EF2F18">
        <w:rPr>
          <w:rFonts w:cs="Times New Roman"/>
          <w:sz w:val="22"/>
          <w:lang w:val="sr-Cyrl-RS"/>
        </w:rPr>
        <w:t xml:space="preserve">2017. </w:t>
      </w:r>
      <w:r w:rsidR="00D76FC2">
        <w:rPr>
          <w:rFonts w:cs="Times New Roman"/>
          <w:sz w:val="22"/>
          <w:lang w:val="sr-Cyrl-RS"/>
        </w:rPr>
        <w:t xml:space="preserve">године </w:t>
      </w:r>
      <w:r w:rsidR="00797AAB" w:rsidRPr="00EF2F18">
        <w:rPr>
          <w:rFonts w:cs="Times New Roman"/>
          <w:sz w:val="22"/>
          <w:lang w:val="sr-Cyrl-RS"/>
        </w:rPr>
        <w:t>показује смањење у односу на период 1998</w:t>
      </w:r>
      <w:r w:rsidR="004A14D5">
        <w:rPr>
          <w:rFonts w:cs="Times New Roman"/>
          <w:sz w:val="22"/>
          <w:lang w:val="sr-Cyrl-RS"/>
        </w:rPr>
        <w:t xml:space="preserve"> – </w:t>
      </w:r>
      <w:r w:rsidR="00797AAB" w:rsidRPr="00EF2F18">
        <w:rPr>
          <w:rFonts w:cs="Times New Roman"/>
          <w:sz w:val="22"/>
          <w:lang w:val="sr-Cyrl-RS"/>
        </w:rPr>
        <w:t>2007.</w:t>
      </w:r>
      <w:r w:rsidR="004A14D5">
        <w:rPr>
          <w:rFonts w:cs="Times New Roman"/>
          <w:sz w:val="22"/>
          <w:lang w:val="sr-Cyrl-RS"/>
        </w:rPr>
        <w:t xml:space="preserve"> године</w:t>
      </w:r>
      <w:r w:rsidR="00797AAB" w:rsidRPr="00EF2F18">
        <w:rPr>
          <w:rFonts w:cs="Times New Roman"/>
          <w:sz w:val="22"/>
          <w:lang w:val="sr-Cyrl-RS"/>
        </w:rPr>
        <w:t xml:space="preserve"> уз доминантан безначајни тренд, тако да се не може приписати мерама у пољопривреди и у изградњи комуналних и индустријских постројења за пречишћавање отпадних вода. </w:t>
      </w:r>
      <w:r w:rsidR="00797AAB" w:rsidRPr="00EF2F18">
        <w:rPr>
          <w:rFonts w:eastAsia="TimesNewRoman" w:cs="Times New Roman"/>
          <w:sz w:val="22"/>
          <w:lang w:val="sr-Cyrl-RS"/>
        </w:rPr>
        <w:t>Тешки метали заступљени су у укупним емисијама загађујућих материја са 0,1%. Емисиј</w:t>
      </w:r>
      <w:r w:rsidR="00BA6877" w:rsidRPr="00EF2F18">
        <w:rPr>
          <w:rFonts w:eastAsia="TimesNewRoman" w:cs="Times New Roman"/>
          <w:sz w:val="22"/>
          <w:lang w:val="sr-Cyrl-RS"/>
        </w:rPr>
        <w:t>е</w:t>
      </w:r>
      <w:r w:rsidR="00797AAB" w:rsidRPr="00EF2F18">
        <w:rPr>
          <w:rFonts w:eastAsia="TimesNewRoman" w:cs="Times New Roman"/>
          <w:sz w:val="22"/>
          <w:lang w:val="sr-Cyrl-RS"/>
        </w:rPr>
        <w:t xml:space="preserve"> цинка и једињења цинка знатно су заступљеније у односу на укупне емисије осталих тешких метала.</w:t>
      </w:r>
      <w:r w:rsidR="00F82805" w:rsidRPr="00EF2F18">
        <w:rPr>
          <w:rFonts w:eastAsia="TimesNewRoman" w:cs="Times New Roman"/>
          <w:sz w:val="22"/>
          <w:lang w:val="sr-Cyrl-RS"/>
        </w:rPr>
        <w:t xml:space="preserve"> </w:t>
      </w:r>
    </w:p>
    <w:p w14:paraId="744F3949" w14:textId="7476580C" w:rsidR="00BF78D1" w:rsidRPr="00EF2F18" w:rsidRDefault="00BF78D1" w:rsidP="006910C9">
      <w:pPr>
        <w:pStyle w:val="ListParagraph"/>
        <w:spacing w:after="0"/>
        <w:ind w:left="0" w:firstLine="720"/>
        <w:jc w:val="both"/>
        <w:rPr>
          <w:rFonts w:cs="Times New Roman"/>
          <w:sz w:val="22"/>
          <w:lang w:val="sr-Cyrl-RS"/>
        </w:rPr>
      </w:pPr>
      <w:r w:rsidRPr="00EF2F18">
        <w:rPr>
          <w:rFonts w:cs="Times New Roman"/>
          <w:sz w:val="22"/>
          <w:lang w:val="sr-Cyrl-RS"/>
        </w:rPr>
        <w:t xml:space="preserve">Када се ради о присуству нутријената у површинским водама (параметри: укупан азот, нитрати, нитрити, амонијум јон, нејонизовани амонијак, укупан фосфор, ортофосфати), значајно је повећан број водних тела у IV класи </w:t>
      </w:r>
      <w:r w:rsidR="004C3766" w:rsidRPr="00EF2F18">
        <w:rPr>
          <w:rFonts w:cs="Times New Roman"/>
          <w:sz w:val="22"/>
          <w:lang w:val="sr-Cyrl-RS"/>
        </w:rPr>
        <w:t>загађености</w:t>
      </w:r>
      <w:r w:rsidRPr="00EF2F18">
        <w:rPr>
          <w:rFonts w:cs="Times New Roman"/>
          <w:sz w:val="22"/>
          <w:lang w:val="sr-Cyrl-RS"/>
        </w:rPr>
        <w:t>. Према индикатору амонијум (NH4-N), квалитет воде се погоршава. Концентрације су ниске</w:t>
      </w:r>
      <w:r w:rsidR="00A2305D" w:rsidRPr="00EF2F18">
        <w:rPr>
          <w:rFonts w:cs="Times New Roman"/>
          <w:sz w:val="22"/>
          <w:lang w:val="sr-Cyrl-RS"/>
        </w:rPr>
        <w:t>.</w:t>
      </w:r>
      <w:r w:rsidRPr="00EF2F18">
        <w:rPr>
          <w:rFonts w:cs="Times New Roman"/>
          <w:sz w:val="22"/>
          <w:lang w:val="sr-Cyrl-RS"/>
        </w:rPr>
        <w:t xml:space="preserve"> Према индикатору нитрати (NO3-N)</w:t>
      </w:r>
      <w:r w:rsidR="00BA6877" w:rsidRPr="00EF2F18">
        <w:rPr>
          <w:rFonts w:cs="Times New Roman"/>
          <w:sz w:val="22"/>
          <w:lang w:val="sr-Cyrl-RS"/>
        </w:rPr>
        <w:t>,</w:t>
      </w:r>
      <w:r w:rsidRPr="00EF2F18">
        <w:rPr>
          <w:rFonts w:cs="Times New Roman"/>
          <w:sz w:val="22"/>
          <w:lang w:val="sr-Cyrl-RS"/>
        </w:rPr>
        <w:t xml:space="preserve"> квалитет воде има безначајан тренд, концентрације су веома ниске </w:t>
      </w:r>
      <w:r w:rsidR="00857AEF" w:rsidRPr="00EF2F18">
        <w:rPr>
          <w:rFonts w:cs="Times New Roman"/>
          <w:sz w:val="22"/>
          <w:lang w:val="sr-Cyrl-RS"/>
        </w:rPr>
        <w:t>док на основу анализе притисака спроведене у Плану управљања водама на територији Републике Србије до 2027. године („Службени гласник РС”, број 33/23), око 15% водних тела (од укупно 2</w:t>
      </w:r>
      <w:r w:rsidR="00DE003D" w:rsidRPr="00EF2F18">
        <w:rPr>
          <w:rFonts w:cs="Times New Roman"/>
          <w:sz w:val="22"/>
          <w:lang w:val="sr-Cyrl-RS"/>
        </w:rPr>
        <w:t>.</w:t>
      </w:r>
      <w:r w:rsidR="00857AEF" w:rsidRPr="00EF2F18">
        <w:rPr>
          <w:rFonts w:cs="Times New Roman"/>
          <w:sz w:val="22"/>
          <w:lang w:val="sr-Cyrl-RS"/>
        </w:rPr>
        <w:t>816 анализираних водних тела) изложено је утицају загађења од нутријената који су последица концентрисаних извора загађења</w:t>
      </w:r>
      <w:r w:rsidRPr="00EF2F18">
        <w:rPr>
          <w:rFonts w:cs="Times New Roman"/>
          <w:sz w:val="22"/>
          <w:lang w:val="sr-Cyrl-RS"/>
        </w:rPr>
        <w:t>.</w:t>
      </w:r>
    </w:p>
    <w:p w14:paraId="1E559324" w14:textId="7DE21DE6" w:rsidR="00BF78D1" w:rsidRPr="00EF2F18" w:rsidRDefault="00BF78D1" w:rsidP="006910C9">
      <w:pPr>
        <w:pStyle w:val="ListParagraph"/>
        <w:spacing w:after="0"/>
        <w:ind w:left="0" w:firstLine="720"/>
        <w:jc w:val="both"/>
        <w:rPr>
          <w:rFonts w:cs="Times New Roman"/>
          <w:sz w:val="22"/>
          <w:lang w:val="sr-Cyrl-RS"/>
        </w:rPr>
      </w:pPr>
      <w:r w:rsidRPr="00EF2F18">
        <w:rPr>
          <w:rFonts w:cs="Times New Roman"/>
          <w:sz w:val="22"/>
          <w:lang w:val="sr-Cyrl-RS"/>
        </w:rPr>
        <w:t xml:space="preserve">У погледу присуства метала може се уочити значајно побољшање </w:t>
      </w:r>
      <w:r w:rsidR="00857AEF" w:rsidRPr="00EF2F18">
        <w:rPr>
          <w:rFonts w:cs="Times New Roman"/>
          <w:sz w:val="22"/>
          <w:lang w:val="sr-Cyrl-RS"/>
        </w:rPr>
        <w:t xml:space="preserve">хемијског </w:t>
      </w:r>
      <w:r w:rsidRPr="00EF2F18">
        <w:rPr>
          <w:rFonts w:cs="Times New Roman"/>
          <w:sz w:val="22"/>
          <w:lang w:val="sr-Cyrl-RS"/>
        </w:rPr>
        <w:t>статуса површинских вода. У великој мери је смањен број водних тела у IV и V класи.</w:t>
      </w:r>
      <w:r w:rsidR="00857AEF" w:rsidRPr="00EF2F18">
        <w:rPr>
          <w:rFonts w:cs="Times New Roman"/>
          <w:sz w:val="22"/>
          <w:lang w:val="sr-Cyrl-RS"/>
        </w:rPr>
        <w:t xml:space="preserve"> Према оцени хемијског стату</w:t>
      </w:r>
      <w:r w:rsidR="002F4237" w:rsidRPr="00EF2F18">
        <w:rPr>
          <w:rFonts w:cs="Times New Roman"/>
          <w:sz w:val="22"/>
          <w:lang w:val="sr-Cyrl-RS"/>
        </w:rPr>
        <w:t>с</w:t>
      </w:r>
      <w:r w:rsidR="00857AEF" w:rsidRPr="00EF2F18">
        <w:rPr>
          <w:rFonts w:cs="Times New Roman"/>
          <w:sz w:val="22"/>
          <w:lang w:val="sr-Cyrl-RS"/>
        </w:rPr>
        <w:t xml:space="preserve">а површинских вода спроведеном у Плану управљања водама на територији </w:t>
      </w:r>
      <w:r w:rsidR="00857AEF" w:rsidRPr="00EF2F18">
        <w:rPr>
          <w:rFonts w:cs="Times New Roman"/>
          <w:sz w:val="22"/>
          <w:lang w:val="sr-Cyrl-RS"/>
        </w:rPr>
        <w:lastRenderedPageBreak/>
        <w:t>Републике Србије до 2027. године („Службени гласник РС”, број 33/23) детектовани метали који прекорачују граничне вредности у површинским водама на основу државног мониторинга су углавном никл, олово, кадмијум и жива. Међутим, због непознатог извора загађења за параметар растворени никл (који је могуће природног порекла) и ограничења у методи која се користи за процену живе, хемијски статус површинских вода је оцењен без ових параметара.</w:t>
      </w:r>
    </w:p>
    <w:p w14:paraId="53FA9C07" w14:textId="757BBCF5" w:rsidR="00BF78D1" w:rsidRPr="00EF2F18" w:rsidRDefault="00BF78D1" w:rsidP="006910C9">
      <w:pPr>
        <w:pStyle w:val="ListParagraph"/>
        <w:spacing w:after="0"/>
        <w:ind w:left="0" w:firstLine="720"/>
        <w:jc w:val="both"/>
        <w:rPr>
          <w:rFonts w:cs="Times New Roman"/>
          <w:sz w:val="22"/>
          <w:lang w:val="sr-Cyrl-RS"/>
        </w:rPr>
      </w:pPr>
      <w:r w:rsidRPr="00EF2F18">
        <w:rPr>
          <w:rFonts w:cs="Times New Roman"/>
          <w:sz w:val="22"/>
          <w:lang w:val="sr-Cyrl-RS"/>
        </w:rPr>
        <w:t>Коначно, код м</w:t>
      </w:r>
      <w:r w:rsidR="00CC001E" w:rsidRPr="00EF2F18">
        <w:rPr>
          <w:rFonts w:cs="Times New Roman"/>
          <w:sz w:val="22"/>
          <w:lang w:val="sr-Cyrl-RS"/>
        </w:rPr>
        <w:t>и</w:t>
      </w:r>
      <w:r w:rsidRPr="00EF2F18">
        <w:rPr>
          <w:rFonts w:cs="Times New Roman"/>
          <w:sz w:val="22"/>
          <w:lang w:val="sr-Cyrl-RS"/>
        </w:rPr>
        <w:t>кробиолошких параметара (фекални колиформи, укупни колиформи, цревне ентерококе, број аеробних хетеротрофа) може се уочити значајно смањење броја водних тела у IV класи на рачун повећања броја водних тела у II класи.</w:t>
      </w:r>
    </w:p>
    <w:p w14:paraId="5EF91F57" w14:textId="77777777" w:rsidR="006910C9" w:rsidRPr="00EF2F18" w:rsidRDefault="006910C9" w:rsidP="006910C9">
      <w:pPr>
        <w:autoSpaceDE w:val="0"/>
        <w:autoSpaceDN w:val="0"/>
        <w:adjustRightInd w:val="0"/>
        <w:spacing w:after="0"/>
        <w:jc w:val="both"/>
        <w:rPr>
          <w:rFonts w:cs="Times New Roman"/>
          <w:sz w:val="22"/>
          <w:lang w:val="sr-Cyrl-RS"/>
        </w:rPr>
      </w:pPr>
    </w:p>
    <w:p w14:paraId="1634294B" w14:textId="6A20F02B" w:rsidR="006910C9" w:rsidRPr="00EF2F18" w:rsidRDefault="006910C9" w:rsidP="00F106C9">
      <w:pPr>
        <w:autoSpaceDE w:val="0"/>
        <w:autoSpaceDN w:val="0"/>
        <w:adjustRightInd w:val="0"/>
        <w:spacing w:after="0"/>
        <w:ind w:firstLine="720"/>
        <w:jc w:val="both"/>
        <w:rPr>
          <w:rFonts w:cs="Times New Roman"/>
          <w:b/>
          <w:bCs/>
          <w:i/>
          <w:sz w:val="22"/>
          <w:lang w:val="sr-Cyrl-RS"/>
        </w:rPr>
      </w:pPr>
      <w:r w:rsidRPr="00EF2F18">
        <w:rPr>
          <w:rFonts w:cs="Times New Roman"/>
          <w:b/>
          <w:bCs/>
          <w:i/>
          <w:sz w:val="22"/>
          <w:lang w:val="sr-Cyrl-RS"/>
        </w:rPr>
        <w:t>Подземне воде</w:t>
      </w:r>
    </w:p>
    <w:p w14:paraId="50408B1D" w14:textId="4EA0FECF" w:rsidR="00BF78D1" w:rsidRPr="00EF2F18" w:rsidRDefault="00BF78D1" w:rsidP="00BF78D1">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Око 70% становништва Републике Србије снабдева се водом из ресурса подземних вода. Подземне воде су релативно оскудне и неравномерно распоређене. Биланс резерви подземних вода урађен је за потребе израде Стратегије управљања водама за територију Републике Србије до 2034. године </w:t>
      </w:r>
      <w:r w:rsidR="00B731F8" w:rsidRPr="00EF2F18">
        <w:rPr>
          <w:rFonts w:cs="Times New Roman"/>
          <w:sz w:val="22"/>
          <w:lang w:val="sr-Cyrl-RS"/>
        </w:rPr>
        <w:t>(„Службени гласник РС</w:t>
      </w:r>
      <w:r w:rsidR="00BA2956" w:rsidRPr="00EF2F18">
        <w:rPr>
          <w:rFonts w:cs="Times New Roman"/>
          <w:bCs/>
          <w:lang w:val="sr-Cyrl-RS"/>
        </w:rPr>
        <w:t>”</w:t>
      </w:r>
      <w:r w:rsidR="00B731F8" w:rsidRPr="00EF2F18">
        <w:rPr>
          <w:rFonts w:cs="Times New Roman"/>
          <w:sz w:val="22"/>
          <w:lang w:val="sr-Cyrl-RS"/>
        </w:rPr>
        <w:t xml:space="preserve">, број 3/17) </w:t>
      </w:r>
      <w:r w:rsidRPr="00EF2F18">
        <w:rPr>
          <w:rFonts w:cs="Times New Roman"/>
          <w:sz w:val="22"/>
          <w:lang w:val="sr-Cyrl-RS"/>
        </w:rPr>
        <w:t xml:space="preserve">и њен је саставни део. </w:t>
      </w:r>
      <w:r w:rsidRPr="00EF2F18">
        <w:rPr>
          <w:rFonts w:eastAsia="TimesNewRoman" w:cs="Times New Roman"/>
          <w:sz w:val="22"/>
          <w:lang w:val="sr-Cyrl-RS"/>
        </w:rPr>
        <w:t xml:space="preserve">Природни квалитет подземних вода је доста неуједначен, што је последица различитог минеролошко-петрографског састава водоносних средина, генезе подземних вода и аквифера, старости воде, различитог интензитета водоразмене и креће се од изузетног квалитета који не захтева третман, до вода које захтевају веома сложене поступке кондиционирања пре њене употребе за јавно водоснабдевање. </w:t>
      </w:r>
      <w:r w:rsidRPr="00EF2F18">
        <w:rPr>
          <w:rFonts w:cs="Times New Roman"/>
          <w:sz w:val="22"/>
          <w:lang w:val="sr-Cyrl-RS"/>
        </w:rPr>
        <w:t>Капацитети алувијалних издани из којих се добија 52-55% воде драстично се смањују у маловодним периодима, а на територији</w:t>
      </w:r>
      <w:r w:rsidR="00B9180A" w:rsidRPr="00EF2F18">
        <w:rPr>
          <w:rFonts w:cs="Times New Roman"/>
          <w:sz w:val="22"/>
          <w:lang w:val="sr-Cyrl-RS"/>
        </w:rPr>
        <w:t xml:space="preserve"> </w:t>
      </w:r>
      <w:r w:rsidRPr="00EF2F18">
        <w:rPr>
          <w:rFonts w:cs="Times New Roman"/>
          <w:sz w:val="22"/>
          <w:lang w:val="sr-Cyrl-RS"/>
        </w:rPr>
        <w:t xml:space="preserve">Војводине се веома споро обнављају због прекомерне експлоатације. </w:t>
      </w:r>
      <w:r w:rsidR="00463EDF" w:rsidRPr="00EF2F18">
        <w:rPr>
          <w:rFonts w:eastAsia="Calibri" w:cs="Times New Roman"/>
          <w:sz w:val="22"/>
          <w:lang w:val="sr-Cyrl-RS"/>
        </w:rPr>
        <w:t>Удео подземних водних тела са добрим квалитетом воде у периоду 2017</w:t>
      </w:r>
      <w:r w:rsidR="00F106C9" w:rsidRPr="00EF2F18">
        <w:rPr>
          <w:rFonts w:eastAsia="Calibri" w:cs="Times New Roman"/>
          <w:sz w:val="22"/>
          <w:lang w:val="sr-Cyrl-RS"/>
        </w:rPr>
        <w:t xml:space="preserve"> </w:t>
      </w:r>
      <w:r w:rsidR="00463EDF" w:rsidRPr="00EF2F18">
        <w:rPr>
          <w:rFonts w:eastAsia="Calibri" w:cs="Times New Roman"/>
          <w:sz w:val="22"/>
          <w:lang w:val="sr-Cyrl-RS"/>
        </w:rPr>
        <w:t>–</w:t>
      </w:r>
      <w:r w:rsidR="00F106C9" w:rsidRPr="00EF2F18">
        <w:rPr>
          <w:rFonts w:eastAsia="Calibri" w:cs="Times New Roman"/>
          <w:sz w:val="22"/>
          <w:lang w:val="sr-Cyrl-RS"/>
        </w:rPr>
        <w:t xml:space="preserve"> </w:t>
      </w:r>
      <w:r w:rsidR="00463EDF" w:rsidRPr="00EF2F18">
        <w:rPr>
          <w:rFonts w:eastAsia="Calibri" w:cs="Times New Roman"/>
          <w:sz w:val="22"/>
          <w:lang w:val="sr-Cyrl-RS"/>
        </w:rPr>
        <w:t>2019. године био је 92,31% и показује растући тренд у односу на 2014</w:t>
      </w:r>
      <w:r w:rsidR="00F106C9" w:rsidRPr="00EF2F18">
        <w:rPr>
          <w:rFonts w:eastAsia="Calibri" w:cs="Times New Roman"/>
          <w:sz w:val="22"/>
          <w:lang w:val="sr-Cyrl-RS"/>
        </w:rPr>
        <w:t xml:space="preserve"> – </w:t>
      </w:r>
      <w:r w:rsidR="00463EDF" w:rsidRPr="00EF2F18">
        <w:rPr>
          <w:rFonts w:eastAsia="Calibri" w:cs="Times New Roman"/>
          <w:sz w:val="22"/>
          <w:lang w:val="sr-Cyrl-RS"/>
        </w:rPr>
        <w:t>2016. годину (90,63%</w:t>
      </w:r>
      <w:r w:rsidRPr="00EF2F18">
        <w:rPr>
          <w:rFonts w:cs="Times New Roman"/>
          <w:sz w:val="22"/>
          <w:lang w:val="sr-Cyrl-RS"/>
        </w:rPr>
        <w:t>).</w:t>
      </w:r>
      <w:r w:rsidR="00B9180A" w:rsidRPr="00EF2F18">
        <w:rPr>
          <w:rFonts w:cs="Times New Roman"/>
          <w:sz w:val="22"/>
          <w:lang w:val="sr-Cyrl-RS"/>
        </w:rPr>
        <w:t xml:space="preserve"> </w:t>
      </w:r>
      <w:r w:rsidRPr="00EF2F18">
        <w:rPr>
          <w:rFonts w:cs="Times New Roman"/>
          <w:sz w:val="22"/>
          <w:lang w:val="sr-Cyrl-RS"/>
        </w:rPr>
        <w:t xml:space="preserve">Преко половине антропогених органских загађења подземних вода у плитким изданима долази од сточног фонда (53,3%), коришћења земљишта </w:t>
      </w:r>
      <w:r w:rsidR="00CC001E" w:rsidRPr="00EF2F18">
        <w:rPr>
          <w:rFonts w:cs="Times New Roman"/>
          <w:sz w:val="22"/>
          <w:lang w:val="sr-Cyrl-RS"/>
        </w:rPr>
        <w:t xml:space="preserve">(употреба у пољопривреди, употреба </w:t>
      </w:r>
      <w:r w:rsidR="005E3943" w:rsidRPr="00EF2F18">
        <w:rPr>
          <w:rFonts w:cs="Times New Roman"/>
          <w:sz w:val="22"/>
          <w:lang w:val="sr-Cyrl-RS"/>
        </w:rPr>
        <w:t xml:space="preserve">рударске </w:t>
      </w:r>
      <w:r w:rsidR="00CC001E" w:rsidRPr="00EF2F18">
        <w:rPr>
          <w:rFonts w:cs="Times New Roman"/>
          <w:sz w:val="22"/>
          <w:lang w:val="sr-Cyrl-RS"/>
        </w:rPr>
        <w:t xml:space="preserve">индустрије, шуме и пашњаци, индустријска подручја, урбана подручја, вода и мочваре, остало) </w:t>
      </w:r>
      <w:r w:rsidRPr="00EF2F18">
        <w:rPr>
          <w:rFonts w:cs="Times New Roman"/>
          <w:sz w:val="22"/>
          <w:lang w:val="sr-Cyrl-RS"/>
        </w:rPr>
        <w:t>због инфилтрације загађења у подземне воде са површине терена (27%) и од дифузног загађења од становништва због коришћ</w:t>
      </w:r>
      <w:r w:rsidR="006E12A1">
        <w:rPr>
          <w:rFonts w:cs="Times New Roman"/>
          <w:sz w:val="22"/>
          <w:lang w:val="sr-Cyrl-RS"/>
        </w:rPr>
        <w:t>е</w:t>
      </w:r>
      <w:r w:rsidRPr="00EF2F18">
        <w:rPr>
          <w:rFonts w:cs="Times New Roman"/>
          <w:sz w:val="22"/>
          <w:lang w:val="sr-Cyrl-RS"/>
        </w:rPr>
        <w:t xml:space="preserve">ња септичких јама и суве канализације (19,7%). Сточни фонд је такође одговоран и за половину загађења нутријентима (51,8%), док је за преосталу половину одговорно коришћење земљишта (38,4%), становништво (8,4%) и рударске и индустријске активности (као резултат коришћења земљишта за депоније, рударске активности, индустријска подручја, итд.) (1,4%). </w:t>
      </w:r>
      <w:r w:rsidR="00581DC9" w:rsidRPr="00EF2F18">
        <w:rPr>
          <w:rFonts w:cs="Times New Roman"/>
          <w:sz w:val="22"/>
          <w:lang w:val="sr-Cyrl-RS"/>
        </w:rPr>
        <w:t xml:space="preserve">Експлоатација </w:t>
      </w:r>
      <w:r w:rsidR="003B5A56" w:rsidRPr="00EF2F18">
        <w:rPr>
          <w:rFonts w:cs="Times New Roman"/>
          <w:sz w:val="22"/>
          <w:lang w:val="sr-Cyrl-RS"/>
        </w:rPr>
        <w:t xml:space="preserve">лежишта минералних сировина </w:t>
      </w:r>
      <w:r w:rsidR="00581DC9" w:rsidRPr="00EF2F18">
        <w:rPr>
          <w:rFonts w:cs="Times New Roman"/>
          <w:sz w:val="22"/>
          <w:lang w:val="sr-Cyrl-RS"/>
        </w:rPr>
        <w:t>често захтева велике количине воде за</w:t>
      </w:r>
      <w:r w:rsidR="00235264" w:rsidRPr="00EF2F18">
        <w:rPr>
          <w:rFonts w:cs="Times New Roman"/>
          <w:sz w:val="22"/>
          <w:lang w:val="sr-Cyrl-RS"/>
        </w:rPr>
        <w:t xml:space="preserve"> </w:t>
      </w:r>
      <w:r w:rsidR="003B5A56" w:rsidRPr="00EF2F18">
        <w:rPr>
          <w:rFonts w:cs="Times New Roman"/>
          <w:sz w:val="22"/>
          <w:lang w:val="sr-Cyrl-RS"/>
        </w:rPr>
        <w:t>технолошке процесе везане за експлоатацију и припрему руде</w:t>
      </w:r>
      <w:r w:rsidR="00581DC9" w:rsidRPr="00EF2F18">
        <w:rPr>
          <w:rFonts w:cs="Times New Roman"/>
          <w:sz w:val="22"/>
          <w:lang w:val="sr-Cyrl-RS"/>
        </w:rPr>
        <w:t xml:space="preserve">, што доводи до утицаја на спуштање нивоа подземних вода. Такође, и њихово загађење у рударским областима, нарочито у Источној Србији. </w:t>
      </w:r>
      <w:r w:rsidRPr="00EF2F18">
        <w:rPr>
          <w:rFonts w:cs="Times New Roman"/>
          <w:sz w:val="22"/>
          <w:lang w:val="sr-Cyrl-RS"/>
        </w:rPr>
        <w:t>Квалитет подземних вода у дубоким изданима, иако заштићен од људске активности релативно дебелим водонепропусним седиментима, веома је оптерећен присуством природних органских материја, амонијака и арсена.</w:t>
      </w:r>
    </w:p>
    <w:p w14:paraId="07C5EBFA" w14:textId="5D37A4F3" w:rsidR="00A2305D" w:rsidRPr="00EF2F18" w:rsidRDefault="00A2305D" w:rsidP="00A2305D">
      <w:pPr>
        <w:autoSpaceDE w:val="0"/>
        <w:autoSpaceDN w:val="0"/>
        <w:adjustRightInd w:val="0"/>
        <w:spacing w:after="0"/>
        <w:ind w:firstLine="720"/>
        <w:jc w:val="both"/>
        <w:rPr>
          <w:rFonts w:cs="Times New Roman"/>
          <w:sz w:val="22"/>
          <w:lang w:val="sr-Cyrl-RS"/>
        </w:rPr>
      </w:pPr>
      <w:r w:rsidRPr="00EF2F18">
        <w:rPr>
          <w:rFonts w:cs="Times New Roman"/>
          <w:sz w:val="22"/>
          <w:lang w:val="sr-Cyrl-RS"/>
        </w:rPr>
        <w:t>Имајући у виду чињеницу да мониторинг квалитета подземних вода у Републици Србији покрива релативно мали број водних тела подземних вода и да је учесталост мониторинга скромна (једном годишње), хемијски статус подземних вода је према Плану управљања водама на територији Републике Србије до 2027. године („Службени гласник РС”, број 33/23) оцењен на основу података националног мониторинга, резултата анализе процене ризика и индекса утицаја који је одређен преко анализе притисака и осетљивости водних тела подземних вода. Према</w:t>
      </w:r>
      <w:r w:rsidR="006C2E00" w:rsidRPr="00EF2F18">
        <w:rPr>
          <w:rFonts w:cs="Times New Roman"/>
          <w:sz w:val="22"/>
          <w:lang w:val="sr-Cyrl-RS"/>
        </w:rPr>
        <w:t xml:space="preserve"> </w:t>
      </w:r>
      <w:r w:rsidRPr="00EF2F18">
        <w:rPr>
          <w:rFonts w:cs="Times New Roman"/>
          <w:sz w:val="22"/>
          <w:lang w:val="sr-Cyrl-RS"/>
        </w:rPr>
        <w:t xml:space="preserve">резултатима те анализе од 153 водних тела подземних вода </w:t>
      </w:r>
      <w:r w:rsidR="00B731F8" w:rsidRPr="00EF2F18">
        <w:rPr>
          <w:rFonts w:cs="Times New Roman"/>
          <w:sz w:val="22"/>
          <w:lang w:val="sr-Cyrl-RS"/>
        </w:rPr>
        <w:t xml:space="preserve">(од чега је 141 водно тело плитких издани и 12 водних тела дубоке издани), </w:t>
      </w:r>
      <w:r w:rsidR="003A2709" w:rsidRPr="00EF2F18">
        <w:rPr>
          <w:rFonts w:cs="Times New Roman"/>
          <w:sz w:val="22"/>
          <w:lang w:val="sr-Cyrl-RS"/>
        </w:rPr>
        <w:t>десет</w:t>
      </w:r>
      <w:r w:rsidRPr="00EF2F18">
        <w:rPr>
          <w:rFonts w:cs="Times New Roman"/>
          <w:sz w:val="22"/>
          <w:lang w:val="sr-Cyrl-RS"/>
        </w:rPr>
        <w:t xml:space="preserve"> водних тела плитке издани и једно водно тело дубоке издани је у лошем хемијском статусу, </w:t>
      </w:r>
      <w:r w:rsidR="00B731F8" w:rsidRPr="00EF2F18">
        <w:rPr>
          <w:rFonts w:cs="Times New Roman"/>
          <w:sz w:val="22"/>
          <w:lang w:val="sr-Cyrl-RS"/>
        </w:rPr>
        <w:t xml:space="preserve">док је 27 </w:t>
      </w:r>
      <w:r w:rsidRPr="00EF2F18">
        <w:rPr>
          <w:rFonts w:cs="Times New Roman"/>
          <w:sz w:val="22"/>
          <w:lang w:val="sr-Cyrl-RS"/>
        </w:rPr>
        <w:t xml:space="preserve">водних тела </w:t>
      </w:r>
      <w:r w:rsidR="00B731F8" w:rsidRPr="00EF2F18">
        <w:rPr>
          <w:rFonts w:cs="Times New Roman"/>
          <w:sz w:val="22"/>
          <w:lang w:val="sr-Cyrl-RS"/>
        </w:rPr>
        <w:t xml:space="preserve">плитких издани </w:t>
      </w:r>
      <w:r w:rsidRPr="00EF2F18">
        <w:rPr>
          <w:rFonts w:cs="Times New Roman"/>
          <w:sz w:val="22"/>
          <w:lang w:val="sr-Cyrl-RS"/>
        </w:rPr>
        <w:t>у „потенциј</w:t>
      </w:r>
      <w:r w:rsidR="00A814F6">
        <w:rPr>
          <w:rFonts w:cs="Times New Roman"/>
          <w:sz w:val="22"/>
          <w:lang w:val="sr-Cyrl-RS"/>
        </w:rPr>
        <w:t>а</w:t>
      </w:r>
      <w:r w:rsidRPr="00EF2F18">
        <w:rPr>
          <w:rFonts w:cs="Times New Roman"/>
          <w:sz w:val="22"/>
          <w:lang w:val="sr-Cyrl-RS"/>
        </w:rPr>
        <w:t>лно лошем хемијском статусу</w:t>
      </w:r>
      <w:r w:rsidR="00A64280" w:rsidRPr="00EF2F18">
        <w:rPr>
          <w:rFonts w:cs="Times New Roman"/>
          <w:sz w:val="22"/>
          <w:lang w:val="sr-Cyrl-RS"/>
        </w:rPr>
        <w:t>”</w:t>
      </w:r>
      <w:r w:rsidRPr="00EF2F18">
        <w:rPr>
          <w:rFonts w:cs="Times New Roman"/>
          <w:sz w:val="22"/>
          <w:lang w:val="sr-Cyrl-RS"/>
        </w:rPr>
        <w:t>.</w:t>
      </w:r>
    </w:p>
    <w:p w14:paraId="5725B7D1" w14:textId="5A7F2172" w:rsidR="00BF78D1" w:rsidRPr="00EF2F18" w:rsidRDefault="00BF78D1" w:rsidP="00D970D2">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У периоду </w:t>
      </w:r>
      <w:r w:rsidR="00D970D2" w:rsidRPr="00EF2F18">
        <w:rPr>
          <w:rFonts w:cs="Times New Roman"/>
          <w:sz w:val="22"/>
          <w:lang w:val="sr-Cyrl-RS"/>
        </w:rPr>
        <w:t>2012-2021</w:t>
      </w:r>
      <w:r w:rsidRPr="00EF2F18">
        <w:rPr>
          <w:rFonts w:cs="Times New Roman"/>
          <w:sz w:val="22"/>
          <w:lang w:val="sr-Cyrl-RS"/>
        </w:rPr>
        <w:t>. године забележен је безначајан тренд нитрата у подземним водама, што указује да нема битних промена квалитета подземних вода. Просечна десетогодишња концентрација већа од 50 mg/l одређена је само на мерном месту Шид (5</w:t>
      </w:r>
      <w:r w:rsidR="00D970D2" w:rsidRPr="00EF2F18">
        <w:rPr>
          <w:rFonts w:cs="Times New Roman"/>
          <w:sz w:val="22"/>
          <w:lang w:val="sr-Cyrl-RS"/>
        </w:rPr>
        <w:t>5</w:t>
      </w:r>
      <w:r w:rsidRPr="00EF2F18">
        <w:rPr>
          <w:rFonts w:cs="Times New Roman"/>
          <w:sz w:val="22"/>
          <w:lang w:val="sr-Cyrl-RS"/>
        </w:rPr>
        <w:t xml:space="preserve"> mg/l) у сливу Саве, док је релативно висока просечна десетогодишња </w:t>
      </w:r>
      <w:r w:rsidR="00D970D2" w:rsidRPr="00EF2F18">
        <w:rPr>
          <w:rFonts w:cs="Times New Roman"/>
          <w:sz w:val="22"/>
          <w:lang w:val="sr-Cyrl-RS"/>
        </w:rPr>
        <w:t>к</w:t>
      </w:r>
      <w:r w:rsidRPr="00EF2F18">
        <w:rPr>
          <w:rFonts w:cs="Times New Roman"/>
          <w:sz w:val="22"/>
          <w:lang w:val="sr-Cyrl-RS"/>
        </w:rPr>
        <w:t xml:space="preserve">онцентрација </w:t>
      </w:r>
      <w:r w:rsidR="00D970D2" w:rsidRPr="00EF2F18">
        <w:rPr>
          <w:rFonts w:cs="Times New Roman"/>
          <w:sz w:val="22"/>
          <w:lang w:val="sr-Cyrl-RS"/>
        </w:rPr>
        <w:t>већа од 25 mg/l одређена на мерним местима Нови Сад (РШ-1/1) (31,4 mg/l) и Зрењанин (ЗР-1/Д) (28,1 mg/l) у сливу Дунава</w:t>
      </w:r>
      <w:r w:rsidR="00BA6877" w:rsidRPr="00EF2F18">
        <w:rPr>
          <w:rFonts w:cs="Times New Roman"/>
          <w:sz w:val="22"/>
          <w:lang w:val="sr-Cyrl-RS"/>
        </w:rPr>
        <w:t>,</w:t>
      </w:r>
      <w:r w:rsidR="00D970D2" w:rsidRPr="00EF2F18">
        <w:rPr>
          <w:rFonts w:cs="Times New Roman"/>
          <w:sz w:val="22"/>
          <w:lang w:val="sr-Cyrl-RS"/>
        </w:rPr>
        <w:t xml:space="preserve"> и Лозовик-Влашки До (33,2 mg/l) и Обреж-Ратаре (31 mg/l) у сливу Мораве</w:t>
      </w:r>
      <w:r w:rsidRPr="00EF2F18">
        <w:rPr>
          <w:rFonts w:cs="Times New Roman"/>
          <w:sz w:val="22"/>
          <w:lang w:val="sr-Cyrl-RS"/>
        </w:rPr>
        <w:t>.</w:t>
      </w:r>
    </w:p>
    <w:p w14:paraId="558FC34B" w14:textId="06F3C8A4" w:rsidR="004E5BE0" w:rsidRPr="00143597" w:rsidRDefault="00581DC9" w:rsidP="006910C9">
      <w:pPr>
        <w:autoSpaceDE w:val="0"/>
        <w:autoSpaceDN w:val="0"/>
        <w:adjustRightInd w:val="0"/>
        <w:spacing w:after="0"/>
        <w:jc w:val="both"/>
        <w:rPr>
          <w:rFonts w:cs="Times New Roman"/>
          <w:sz w:val="22"/>
          <w:lang w:val="sr-Cyrl-RS"/>
        </w:rPr>
      </w:pPr>
      <w:r w:rsidRPr="00EF2F18">
        <w:rPr>
          <w:rFonts w:cs="Times New Roman"/>
          <w:sz w:val="22"/>
          <w:lang w:val="sr-Cyrl-RS"/>
        </w:rPr>
        <w:tab/>
      </w:r>
      <w:r w:rsidR="00B86C8E" w:rsidRPr="00EF2F18">
        <w:rPr>
          <w:rFonts w:cs="Times New Roman"/>
          <w:sz w:val="22"/>
          <w:lang w:val="sr-Cyrl-RS"/>
        </w:rPr>
        <w:t>П</w:t>
      </w:r>
      <w:r w:rsidRPr="00EF2F18">
        <w:rPr>
          <w:rFonts w:cs="Times New Roman"/>
          <w:sz w:val="22"/>
          <w:lang w:val="sr-Cyrl-RS"/>
        </w:rPr>
        <w:t>одземн</w:t>
      </w:r>
      <w:r w:rsidR="00B86C8E" w:rsidRPr="00EF2F18">
        <w:rPr>
          <w:rFonts w:cs="Times New Roman"/>
          <w:sz w:val="22"/>
          <w:lang w:val="sr-Cyrl-RS"/>
        </w:rPr>
        <w:t>е</w:t>
      </w:r>
      <w:r w:rsidRPr="00EF2F18">
        <w:rPr>
          <w:rFonts w:cs="Times New Roman"/>
          <w:sz w:val="22"/>
          <w:lang w:val="sr-Cyrl-RS"/>
        </w:rPr>
        <w:t xml:space="preserve"> вод</w:t>
      </w:r>
      <w:r w:rsidR="00B86C8E" w:rsidRPr="00EF2F18">
        <w:rPr>
          <w:rFonts w:cs="Times New Roman"/>
          <w:sz w:val="22"/>
          <w:lang w:val="sr-Cyrl-RS"/>
        </w:rPr>
        <w:t>е</w:t>
      </w:r>
      <w:r w:rsidRPr="00EF2F18">
        <w:rPr>
          <w:rFonts w:cs="Times New Roman"/>
          <w:sz w:val="22"/>
          <w:lang w:val="sr-Cyrl-RS"/>
        </w:rPr>
        <w:t xml:space="preserve"> са повишеним садржајем минерала, олигоелемената и/или повишеном температуром </w:t>
      </w:r>
      <w:r w:rsidR="00B86C8E" w:rsidRPr="00EF2F18">
        <w:rPr>
          <w:rFonts w:cs="Times New Roman"/>
          <w:sz w:val="22"/>
          <w:lang w:val="sr-Cyrl-RS"/>
        </w:rPr>
        <w:t>су</w:t>
      </w:r>
      <w:r w:rsidRPr="00EF2F18">
        <w:rPr>
          <w:rFonts w:cs="Times New Roman"/>
          <w:sz w:val="22"/>
          <w:lang w:val="sr-Cyrl-RS"/>
        </w:rPr>
        <w:t xml:space="preserve"> минералне, термалне и термоминералне воде. На територији Републике Србије постоји значајно богатство у минералним и термалним водама. </w:t>
      </w:r>
    </w:p>
    <w:p w14:paraId="63682DD5" w14:textId="3E0B60DD" w:rsidR="006910C9" w:rsidRPr="00EF2F18" w:rsidRDefault="006910C9" w:rsidP="00F106C9">
      <w:pPr>
        <w:autoSpaceDE w:val="0"/>
        <w:autoSpaceDN w:val="0"/>
        <w:adjustRightInd w:val="0"/>
        <w:spacing w:after="0"/>
        <w:ind w:firstLine="720"/>
        <w:jc w:val="both"/>
        <w:rPr>
          <w:rFonts w:cs="Times New Roman"/>
          <w:b/>
          <w:bCs/>
          <w:i/>
          <w:sz w:val="22"/>
          <w:lang w:val="sr-Cyrl-RS"/>
        </w:rPr>
      </w:pPr>
      <w:r w:rsidRPr="00EF2F18">
        <w:rPr>
          <w:rFonts w:cs="Times New Roman"/>
          <w:b/>
          <w:bCs/>
          <w:i/>
          <w:sz w:val="22"/>
          <w:lang w:val="sr-Cyrl-RS"/>
        </w:rPr>
        <w:lastRenderedPageBreak/>
        <w:t>Заштита вода од загађивања</w:t>
      </w:r>
    </w:p>
    <w:p w14:paraId="1FCF8F9F" w14:textId="2B6535A2" w:rsidR="00940180" w:rsidRPr="00EF2F18" w:rsidRDefault="00BF78D1" w:rsidP="007C0ADB">
      <w:pPr>
        <w:autoSpaceDE w:val="0"/>
        <w:autoSpaceDN w:val="0"/>
        <w:adjustRightInd w:val="0"/>
        <w:spacing w:after="0"/>
        <w:ind w:firstLine="720"/>
        <w:jc w:val="both"/>
        <w:rPr>
          <w:rFonts w:cs="Times New Roman"/>
          <w:sz w:val="22"/>
          <w:lang w:val="sr-Cyrl-RS"/>
        </w:rPr>
      </w:pPr>
      <w:r w:rsidRPr="00EF2F18">
        <w:rPr>
          <w:rFonts w:cs="Times New Roman"/>
          <w:sz w:val="22"/>
          <w:lang w:val="sr-Cyrl-RS"/>
        </w:rPr>
        <w:t>Заштита вода од загађивања је још увек недовољно уређена. Укупна количина отпадних вода испуштена у системе јавне канализације у 2021. години бележи раст од 2,7% у односу на 2020., односно 4,2% у односу на 2017. годину, док је количина отпадних вода испуштена у септичке јаме у 2021. години већа за 8,7% него у 2020. години.</w:t>
      </w:r>
      <w:r w:rsidR="00940180" w:rsidRPr="00EF2F18">
        <w:rPr>
          <w:rFonts w:cs="Times New Roman"/>
          <w:sz w:val="22"/>
          <w:lang w:val="sr-Cyrl-RS"/>
        </w:rPr>
        <w:t xml:space="preserve"> </w:t>
      </w:r>
      <w:r w:rsidR="00307EB6" w:rsidRPr="00EF2F18">
        <w:rPr>
          <w:rFonts w:cs="Times New Roman"/>
          <w:sz w:val="22"/>
          <w:lang w:val="sr-Cyrl-RS"/>
        </w:rPr>
        <w:t>Проценат загађених (непречишћених) отпадних вода има повољан (опадајући) тренд у периоду 2013-2022. године. У 2022. години износи (86,5%) и у опадању је од 2019. године</w:t>
      </w:r>
      <w:r w:rsidR="00940180" w:rsidRPr="00EF2F18">
        <w:rPr>
          <w:rFonts w:cs="Times New Roman"/>
          <w:sz w:val="22"/>
          <w:lang w:val="sr-Cyrl-RS"/>
        </w:rPr>
        <w:t>.</w:t>
      </w:r>
      <w:r w:rsidR="00B9180A" w:rsidRPr="00EF2F18">
        <w:rPr>
          <w:rFonts w:cs="Times New Roman"/>
          <w:sz w:val="22"/>
          <w:lang w:val="sr-Cyrl-RS"/>
        </w:rPr>
        <w:t xml:space="preserve"> </w:t>
      </w:r>
    </w:p>
    <w:p w14:paraId="78C57B5C" w14:textId="3F430364" w:rsidR="00940180" w:rsidRPr="00EF2F18" w:rsidRDefault="00CC3270" w:rsidP="00F15588">
      <w:pPr>
        <w:spacing w:after="0"/>
        <w:jc w:val="center"/>
        <w:rPr>
          <w:rFonts w:cs="Times New Roman"/>
          <w:sz w:val="22"/>
          <w:lang w:val="sr-Cyrl-RS"/>
        </w:rPr>
      </w:pPr>
      <w:r w:rsidRPr="00EF2F18">
        <w:rPr>
          <w:noProof/>
          <w:lang w:val="sr-Cyrl-RS" w:eastAsia="sr-Cyrl-RS"/>
        </w:rPr>
        <w:drawing>
          <wp:inline distT="0" distB="0" distL="0" distR="0" wp14:anchorId="4F6F5E1C" wp14:editId="5300FD96">
            <wp:extent cx="3724275" cy="1645691"/>
            <wp:effectExtent l="0" t="0" r="0" b="0"/>
            <wp:docPr id="68841652" name="Picture 4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1652" name="Picture 41" descr="A graph with numbers and a bar&#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39163" cy="1652270"/>
                    </a:xfrm>
                    <a:prstGeom prst="rect">
                      <a:avLst/>
                    </a:prstGeom>
                    <a:noFill/>
                    <a:ln>
                      <a:noFill/>
                    </a:ln>
                  </pic:spPr>
                </pic:pic>
              </a:graphicData>
            </a:graphic>
          </wp:inline>
        </w:drawing>
      </w:r>
    </w:p>
    <w:p w14:paraId="282983E6" w14:textId="2EA67668" w:rsidR="00940180" w:rsidRPr="00EF2F18" w:rsidRDefault="00940180" w:rsidP="00940180">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DE003D" w:rsidRPr="00EF2F18">
        <w:rPr>
          <w:rFonts w:cs="Times New Roman"/>
          <w:b/>
          <w:bCs/>
          <w:sz w:val="22"/>
          <w:lang w:val="sr-Cyrl-RS"/>
        </w:rPr>
        <w:t>20</w:t>
      </w:r>
      <w:r w:rsidR="00F36CC7" w:rsidRPr="00EF2F18">
        <w:rPr>
          <w:rFonts w:cs="Times New Roman"/>
          <w:b/>
          <w:bCs/>
          <w:sz w:val="22"/>
          <w:lang w:val="sr-Cyrl-RS"/>
        </w:rPr>
        <w:t>.</w:t>
      </w:r>
      <w:r w:rsidRPr="00EF2F18">
        <w:rPr>
          <w:rFonts w:cs="Times New Roman"/>
          <w:sz w:val="22"/>
          <w:lang w:val="sr-Cyrl-RS"/>
        </w:rPr>
        <w:t xml:space="preserve"> Проценат непречишћених отпадних вода у Републици Србији (201</w:t>
      </w:r>
      <w:r w:rsidR="00CC3270" w:rsidRPr="00EF2F18">
        <w:rPr>
          <w:rFonts w:cs="Times New Roman"/>
          <w:sz w:val="22"/>
          <w:lang w:val="sr-Cyrl-RS"/>
        </w:rPr>
        <w:t>3</w:t>
      </w:r>
      <w:r w:rsidRPr="00EF2F18">
        <w:rPr>
          <w:rFonts w:cs="Times New Roman"/>
          <w:sz w:val="22"/>
          <w:lang w:val="sr-Cyrl-RS"/>
        </w:rPr>
        <w:t>-</w:t>
      </w:r>
      <w:r w:rsidR="00CC3270" w:rsidRPr="00EF2F18">
        <w:rPr>
          <w:rFonts w:cs="Times New Roman"/>
          <w:sz w:val="22"/>
          <w:lang w:val="sr-Cyrl-RS"/>
        </w:rPr>
        <w:t>2022</w:t>
      </w:r>
      <w:r w:rsidRPr="00EF2F18">
        <w:rPr>
          <w:rFonts w:cs="Times New Roman"/>
          <w:sz w:val="22"/>
          <w:lang w:val="sr-Cyrl-RS"/>
        </w:rPr>
        <w:t>. године)</w:t>
      </w:r>
    </w:p>
    <w:p w14:paraId="5AFF0C43" w14:textId="43195111" w:rsidR="00940180" w:rsidRPr="00EF2F18" w:rsidRDefault="00A634C6" w:rsidP="00940180">
      <w:pPr>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CC3270" w:rsidRPr="00EF2F18">
        <w:rPr>
          <w:rFonts w:cs="Times New Roman"/>
          <w:i/>
          <w:sz w:val="22"/>
          <w:lang w:val="sr-Cyrl-RS"/>
        </w:rPr>
        <w:t>2024</w:t>
      </w:r>
      <w:r w:rsidRPr="00EF2F18">
        <w:rPr>
          <w:rFonts w:cs="Times New Roman"/>
          <w:i/>
          <w:sz w:val="22"/>
          <w:lang w:val="sr-Cyrl-RS"/>
        </w:rPr>
        <w:t>.</w:t>
      </w:r>
    </w:p>
    <w:p w14:paraId="5A60CC2C" w14:textId="77777777" w:rsidR="00940180" w:rsidRPr="00EF2F18" w:rsidRDefault="00940180" w:rsidP="00940180">
      <w:pPr>
        <w:spacing w:after="0"/>
        <w:jc w:val="both"/>
        <w:rPr>
          <w:rFonts w:cs="Times New Roman"/>
          <w:sz w:val="22"/>
          <w:lang w:val="sr-Cyrl-RS"/>
        </w:rPr>
      </w:pPr>
    </w:p>
    <w:p w14:paraId="0D6AA11D" w14:textId="343B9AFA" w:rsidR="00E02614" w:rsidRPr="00EF2F18" w:rsidRDefault="00BF78D1" w:rsidP="00BF78D1">
      <w:pPr>
        <w:spacing w:after="0"/>
        <w:ind w:firstLine="720"/>
        <w:jc w:val="both"/>
        <w:rPr>
          <w:rFonts w:cs="Times New Roman"/>
          <w:sz w:val="22"/>
          <w:lang w:val="sr-Cyrl-RS"/>
        </w:rPr>
      </w:pPr>
      <w:r w:rsidRPr="00EF2F18">
        <w:rPr>
          <w:rFonts w:eastAsia="TimesNewRoman" w:cs="Times New Roman"/>
          <w:sz w:val="22"/>
          <w:lang w:val="sr-Cyrl-RS"/>
        </w:rPr>
        <w:t xml:space="preserve">Иако </w:t>
      </w:r>
      <w:r w:rsidRPr="00EF2F18">
        <w:rPr>
          <w:rFonts w:cs="Times New Roman"/>
          <w:sz w:val="22"/>
          <w:lang w:val="sr-Cyrl-RS"/>
        </w:rPr>
        <w:t xml:space="preserve">проценат непречишћених отпадних вода има повољан (опадајући) тренд, прикљученост на канализациону мрежу и степен изграђености постројења за пречишћавање отпадних вода су још увек веома ниски. Прикљученост на канализациону мрежу износи око </w:t>
      </w:r>
      <w:r w:rsidR="00CC3270" w:rsidRPr="00EF2F18">
        <w:rPr>
          <w:rFonts w:cs="Times New Roman"/>
          <w:sz w:val="22"/>
          <w:lang w:val="sr-Cyrl-RS"/>
        </w:rPr>
        <w:t>69</w:t>
      </w:r>
      <w:r w:rsidRPr="00EF2F18">
        <w:rPr>
          <w:rFonts w:cs="Times New Roman"/>
          <w:sz w:val="22"/>
          <w:lang w:val="sr-Cyrl-RS"/>
        </w:rPr>
        <w:t>,</w:t>
      </w:r>
      <w:r w:rsidR="00CC3270" w:rsidRPr="00EF2F18">
        <w:rPr>
          <w:rFonts w:cs="Times New Roman"/>
          <w:sz w:val="22"/>
          <w:lang w:val="sr-Cyrl-RS"/>
        </w:rPr>
        <w:t>4</w:t>
      </w:r>
      <w:r w:rsidRPr="00EF2F18">
        <w:rPr>
          <w:rFonts w:cs="Times New Roman"/>
          <w:sz w:val="22"/>
          <w:lang w:val="sr-Cyrl-RS"/>
        </w:rPr>
        <w:t xml:space="preserve">%, а степен изграђености постројења за пречишћавање отпадних вода је веома низак и прикљученост износи око </w:t>
      </w:r>
      <w:r w:rsidR="00CC3270" w:rsidRPr="00EF2F18">
        <w:rPr>
          <w:rFonts w:cs="Times New Roman"/>
          <w:sz w:val="22"/>
          <w:lang w:val="sr-Cyrl-RS"/>
        </w:rPr>
        <w:t>16</w:t>
      </w:r>
      <w:r w:rsidR="00114464" w:rsidRPr="00EF2F18">
        <w:rPr>
          <w:rFonts w:cs="Times New Roman"/>
          <w:sz w:val="22"/>
          <w:lang w:val="sr-Cyrl-RS"/>
        </w:rPr>
        <w:t>,</w:t>
      </w:r>
      <w:r w:rsidR="00CC3270" w:rsidRPr="00EF2F18">
        <w:rPr>
          <w:rFonts w:cs="Times New Roman"/>
          <w:sz w:val="22"/>
          <w:lang w:val="sr-Cyrl-RS"/>
        </w:rPr>
        <w:t>44</w:t>
      </w:r>
      <w:r w:rsidRPr="00EF2F18">
        <w:rPr>
          <w:rFonts w:cs="Times New Roman"/>
          <w:sz w:val="22"/>
          <w:lang w:val="sr-Cyrl-RS"/>
        </w:rPr>
        <w:t>%</w:t>
      </w:r>
      <w:r w:rsidR="00114464" w:rsidRPr="00EF2F18">
        <w:rPr>
          <w:rFonts w:cs="Times New Roman"/>
          <w:sz w:val="22"/>
          <w:lang w:val="sr-Cyrl-RS"/>
        </w:rPr>
        <w:t>, 2021. године</w:t>
      </w:r>
      <w:r w:rsidRPr="00EF2F18">
        <w:rPr>
          <w:rFonts w:cs="Times New Roman"/>
          <w:sz w:val="22"/>
          <w:lang w:val="sr-Cyrl-RS"/>
        </w:rPr>
        <w:t xml:space="preserve">. </w:t>
      </w:r>
    </w:p>
    <w:p w14:paraId="71D935FD" w14:textId="29C3FC18" w:rsidR="00E02614" w:rsidRPr="00EF2F18" w:rsidRDefault="00CC3270" w:rsidP="00F15588">
      <w:pPr>
        <w:spacing w:after="0"/>
        <w:jc w:val="center"/>
        <w:rPr>
          <w:rFonts w:cs="Times New Roman"/>
          <w:sz w:val="22"/>
          <w:lang w:val="sr-Cyrl-RS"/>
        </w:rPr>
      </w:pPr>
      <w:r w:rsidRPr="00EF2F18">
        <w:rPr>
          <w:noProof/>
          <w:lang w:val="sr-Cyrl-RS" w:eastAsia="sr-Cyrl-RS"/>
        </w:rPr>
        <w:drawing>
          <wp:inline distT="0" distB="0" distL="0" distR="0" wp14:anchorId="40F0448C" wp14:editId="670C9364">
            <wp:extent cx="3523637" cy="2037080"/>
            <wp:effectExtent l="0" t="0" r="635" b="1270"/>
            <wp:docPr id="1156931280" name="Picture 37" descr="A graph of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931280" name="Picture 37" descr="A graph of numbers and a numbe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30766" cy="2041201"/>
                    </a:xfrm>
                    <a:prstGeom prst="rect">
                      <a:avLst/>
                    </a:prstGeom>
                    <a:noFill/>
                    <a:ln>
                      <a:noFill/>
                    </a:ln>
                  </pic:spPr>
                </pic:pic>
              </a:graphicData>
            </a:graphic>
          </wp:inline>
        </w:drawing>
      </w:r>
    </w:p>
    <w:p w14:paraId="34F925A5" w14:textId="7488D12B" w:rsidR="00E02614" w:rsidRPr="00EF2F18" w:rsidRDefault="00E02614" w:rsidP="00E02614">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DE003D" w:rsidRPr="00EF2F18">
        <w:rPr>
          <w:rFonts w:cs="Times New Roman"/>
          <w:b/>
          <w:bCs/>
          <w:sz w:val="22"/>
          <w:lang w:val="sr-Cyrl-RS"/>
        </w:rPr>
        <w:t>21</w:t>
      </w:r>
      <w:r w:rsidR="00F36CC7" w:rsidRPr="00EF2F18">
        <w:rPr>
          <w:rFonts w:cs="Times New Roman"/>
          <w:b/>
          <w:bCs/>
          <w:sz w:val="22"/>
          <w:lang w:val="sr-Cyrl-RS"/>
        </w:rPr>
        <w:t>.</w:t>
      </w:r>
      <w:r w:rsidRPr="00EF2F18">
        <w:rPr>
          <w:rFonts w:cs="Times New Roman"/>
          <w:sz w:val="22"/>
          <w:lang w:val="sr-Cyrl-RS"/>
        </w:rPr>
        <w:t xml:space="preserve"> Проценат становника прикључених на јавну канализацију (2000-</w:t>
      </w:r>
      <w:r w:rsidR="001F582B" w:rsidRPr="00EF2F18">
        <w:rPr>
          <w:rFonts w:cs="Times New Roman"/>
          <w:sz w:val="22"/>
          <w:lang w:val="sr-Cyrl-RS"/>
        </w:rPr>
        <w:t>2022</w:t>
      </w:r>
      <w:r w:rsidRPr="00EF2F18">
        <w:rPr>
          <w:rFonts w:cs="Times New Roman"/>
          <w:sz w:val="22"/>
          <w:lang w:val="sr-Cyrl-RS"/>
        </w:rPr>
        <w:t>. годинe)</w:t>
      </w:r>
    </w:p>
    <w:p w14:paraId="5525F2CC" w14:textId="3FCD5409" w:rsidR="00E02614" w:rsidRPr="00EF2F18" w:rsidRDefault="00A634C6" w:rsidP="00E02614">
      <w:pPr>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1F582B" w:rsidRPr="00EF2F18">
        <w:rPr>
          <w:rFonts w:cs="Times New Roman"/>
          <w:i/>
          <w:sz w:val="22"/>
          <w:lang w:val="sr-Cyrl-RS"/>
        </w:rPr>
        <w:t>2024</w:t>
      </w:r>
      <w:r w:rsidRPr="00EF2F18">
        <w:rPr>
          <w:rFonts w:cs="Times New Roman"/>
          <w:i/>
          <w:sz w:val="22"/>
          <w:lang w:val="sr-Cyrl-RS"/>
        </w:rPr>
        <w:t>.</w:t>
      </w:r>
    </w:p>
    <w:p w14:paraId="5C05E272" w14:textId="3A2AE9D6" w:rsidR="00E02614" w:rsidRPr="00EF2F18" w:rsidRDefault="00CC3270" w:rsidP="00F15588">
      <w:pPr>
        <w:spacing w:after="0"/>
        <w:jc w:val="center"/>
        <w:rPr>
          <w:rFonts w:cs="Times New Roman"/>
          <w:sz w:val="22"/>
          <w:lang w:val="sr-Cyrl-RS"/>
        </w:rPr>
      </w:pPr>
      <w:r w:rsidRPr="00EF2F18">
        <w:rPr>
          <w:noProof/>
          <w:lang w:val="sr-Cyrl-RS" w:eastAsia="sr-Cyrl-RS"/>
        </w:rPr>
        <w:drawing>
          <wp:inline distT="0" distB="0" distL="0" distR="0" wp14:anchorId="57B72653" wp14:editId="5775BA57">
            <wp:extent cx="3665549" cy="1727200"/>
            <wp:effectExtent l="0" t="0" r="0" b="6350"/>
            <wp:docPr id="1937606634" name="Picture 33" descr="A graph with numbers and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06634" name="Picture 33" descr="A graph with numbers and a number of years&#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00327" cy="1743587"/>
                    </a:xfrm>
                    <a:prstGeom prst="rect">
                      <a:avLst/>
                    </a:prstGeom>
                    <a:noFill/>
                    <a:ln>
                      <a:noFill/>
                    </a:ln>
                  </pic:spPr>
                </pic:pic>
              </a:graphicData>
            </a:graphic>
          </wp:inline>
        </w:drawing>
      </w:r>
    </w:p>
    <w:p w14:paraId="1A3348C7" w14:textId="6577C3C5" w:rsidR="00E02614" w:rsidRPr="00EF2F18" w:rsidRDefault="00E02614" w:rsidP="00E02614">
      <w:pPr>
        <w:autoSpaceDE w:val="0"/>
        <w:autoSpaceDN w:val="0"/>
        <w:adjustRightInd w:val="0"/>
        <w:spacing w:after="0"/>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DE003D" w:rsidRPr="00EF2F18">
        <w:rPr>
          <w:rFonts w:cs="Times New Roman"/>
          <w:b/>
          <w:bCs/>
          <w:sz w:val="22"/>
          <w:lang w:val="sr-Cyrl-RS"/>
        </w:rPr>
        <w:t>22</w:t>
      </w:r>
      <w:r w:rsidR="00F36CC7" w:rsidRPr="00EF2F18">
        <w:rPr>
          <w:rFonts w:cs="Times New Roman"/>
          <w:b/>
          <w:bCs/>
          <w:sz w:val="22"/>
          <w:lang w:val="sr-Cyrl-RS"/>
        </w:rPr>
        <w:t>.</w:t>
      </w:r>
      <w:r w:rsidRPr="00EF2F18">
        <w:rPr>
          <w:rFonts w:cs="Times New Roman"/>
          <w:sz w:val="22"/>
          <w:lang w:val="sr-Cyrl-RS"/>
        </w:rPr>
        <w:t xml:space="preserve"> Проценат становништва обухваћеног третманом за пречишћавање отпадних вода у</w:t>
      </w:r>
    </w:p>
    <w:p w14:paraId="550FB059" w14:textId="5C44342B" w:rsidR="00E02614" w:rsidRPr="00EF2F18" w:rsidRDefault="00E02614" w:rsidP="00E02614">
      <w:pPr>
        <w:autoSpaceDE w:val="0"/>
        <w:autoSpaceDN w:val="0"/>
        <w:adjustRightInd w:val="0"/>
        <w:spacing w:after="0"/>
        <w:rPr>
          <w:rFonts w:cs="Times New Roman"/>
          <w:sz w:val="22"/>
          <w:lang w:val="sr-Cyrl-RS"/>
        </w:rPr>
      </w:pPr>
      <w:r w:rsidRPr="00EF2F18">
        <w:rPr>
          <w:rFonts w:cs="Times New Roman"/>
          <w:sz w:val="22"/>
          <w:lang w:val="sr-Cyrl-RS"/>
        </w:rPr>
        <w:t>зависности од врсте третмана у Републици Србији (</w:t>
      </w:r>
      <w:r w:rsidR="00CC3270" w:rsidRPr="00EF2F18">
        <w:rPr>
          <w:rFonts w:cs="Times New Roman"/>
          <w:sz w:val="22"/>
          <w:lang w:val="sr-Cyrl-RS"/>
        </w:rPr>
        <w:t>2013</w:t>
      </w:r>
      <w:r w:rsidRPr="00EF2F18">
        <w:rPr>
          <w:rFonts w:cs="Times New Roman"/>
          <w:sz w:val="22"/>
          <w:lang w:val="sr-Cyrl-RS"/>
        </w:rPr>
        <w:t>-</w:t>
      </w:r>
      <w:r w:rsidR="00CC3270" w:rsidRPr="00EF2F18">
        <w:rPr>
          <w:rFonts w:cs="Times New Roman"/>
          <w:sz w:val="22"/>
          <w:lang w:val="sr-Cyrl-RS"/>
        </w:rPr>
        <w:t>2022</w:t>
      </w:r>
      <w:r w:rsidRPr="00EF2F18">
        <w:rPr>
          <w:rFonts w:cs="Times New Roman"/>
          <w:sz w:val="22"/>
          <w:lang w:val="sr-Cyrl-RS"/>
        </w:rPr>
        <w:t>. годинe)</w:t>
      </w:r>
    </w:p>
    <w:p w14:paraId="68CD15FD" w14:textId="687F5D9C" w:rsidR="00E02614" w:rsidRPr="00EF2F18" w:rsidRDefault="00A634C6" w:rsidP="00186B13">
      <w:pPr>
        <w:autoSpaceDE w:val="0"/>
        <w:autoSpaceDN w:val="0"/>
        <w:adjustRightInd w:val="0"/>
        <w:spacing w:after="0"/>
        <w:rPr>
          <w:rFonts w:cs="Times New Roman"/>
          <w:sz w:val="22"/>
          <w:lang w:val="sr-Cyrl-RS"/>
        </w:rPr>
      </w:pPr>
      <w:r w:rsidRPr="00EF2F18">
        <w:rPr>
          <w:rFonts w:cs="Times New Roman"/>
          <w:i/>
          <w:sz w:val="22"/>
          <w:lang w:val="sr-Cyrl-RS"/>
        </w:rPr>
        <w:t xml:space="preserve">Извор: Агенција за заштиту животне средине, </w:t>
      </w:r>
      <w:r w:rsidR="00CC3270" w:rsidRPr="00EF2F18">
        <w:rPr>
          <w:rFonts w:cs="Times New Roman"/>
          <w:i/>
          <w:sz w:val="22"/>
          <w:lang w:val="sr-Cyrl-RS"/>
        </w:rPr>
        <w:t>2024</w:t>
      </w:r>
      <w:r w:rsidRPr="00EF2F18">
        <w:rPr>
          <w:rFonts w:cs="Times New Roman"/>
          <w:i/>
          <w:sz w:val="22"/>
          <w:lang w:val="sr-Cyrl-RS"/>
        </w:rPr>
        <w:t>.</w:t>
      </w:r>
    </w:p>
    <w:p w14:paraId="5D09B66C" w14:textId="12AF21E7" w:rsidR="00BF78D1" w:rsidRPr="00EF2F18" w:rsidRDefault="00BF78D1" w:rsidP="00BF78D1">
      <w:pPr>
        <w:spacing w:after="0"/>
        <w:ind w:firstLine="720"/>
        <w:jc w:val="both"/>
        <w:rPr>
          <w:rFonts w:cs="Times New Roman"/>
          <w:sz w:val="22"/>
          <w:lang w:val="sr-Cyrl-RS"/>
        </w:rPr>
      </w:pPr>
      <w:r w:rsidRPr="00EF2F18">
        <w:rPr>
          <w:rFonts w:cs="Times New Roman"/>
          <w:sz w:val="22"/>
          <w:lang w:val="sr-Cyrl-RS"/>
        </w:rPr>
        <w:lastRenderedPageBreak/>
        <w:t xml:space="preserve">Проценат становништва прикљученог на системе за пречишћавање </w:t>
      </w:r>
      <w:r w:rsidR="00980C99" w:rsidRPr="00EF2F18">
        <w:rPr>
          <w:rFonts w:cs="Times New Roman"/>
          <w:sz w:val="22"/>
          <w:lang w:val="sr-Cyrl-RS"/>
        </w:rPr>
        <w:t xml:space="preserve">комуналних </w:t>
      </w:r>
      <w:r w:rsidRPr="00EF2F18">
        <w:rPr>
          <w:rFonts w:cs="Times New Roman"/>
          <w:sz w:val="22"/>
          <w:lang w:val="sr-Cyrl-RS"/>
        </w:rPr>
        <w:t xml:space="preserve">отпадних вода са најмање секундарним третманом, иако још увек веома низак, има константни тренд раста од 2002. године и у </w:t>
      </w:r>
      <w:r w:rsidR="00CC3270" w:rsidRPr="00EF2F18">
        <w:rPr>
          <w:rFonts w:cs="Times New Roman"/>
          <w:sz w:val="22"/>
          <w:lang w:val="sr-Cyrl-RS"/>
        </w:rPr>
        <w:t>2022</w:t>
      </w:r>
      <w:r w:rsidRPr="00EF2F18">
        <w:rPr>
          <w:rFonts w:cs="Times New Roman"/>
          <w:sz w:val="22"/>
          <w:lang w:val="sr-Cyrl-RS"/>
        </w:rPr>
        <w:t xml:space="preserve">. години достигао је </w:t>
      </w:r>
      <w:r w:rsidR="00CC3270" w:rsidRPr="00EF2F18">
        <w:rPr>
          <w:rFonts w:cs="Times New Roman"/>
          <w:sz w:val="22"/>
          <w:lang w:val="sr-Cyrl-RS"/>
        </w:rPr>
        <w:t>16</w:t>
      </w:r>
      <w:r w:rsidRPr="00EF2F18">
        <w:rPr>
          <w:rFonts w:cs="Times New Roman"/>
          <w:sz w:val="22"/>
          <w:lang w:val="sr-Cyrl-RS"/>
        </w:rPr>
        <w:t>,</w:t>
      </w:r>
      <w:r w:rsidR="00CC3270" w:rsidRPr="00EF2F18">
        <w:rPr>
          <w:rFonts w:cs="Times New Roman"/>
          <w:sz w:val="22"/>
          <w:lang w:val="sr-Cyrl-RS"/>
        </w:rPr>
        <w:t>44</w:t>
      </w:r>
      <w:r w:rsidRPr="00EF2F18">
        <w:rPr>
          <w:rFonts w:cs="Times New Roman"/>
          <w:sz w:val="22"/>
          <w:lang w:val="sr-Cyrl-RS"/>
        </w:rPr>
        <w:t xml:space="preserve">%. </w:t>
      </w:r>
      <w:r w:rsidRPr="00EF2F18">
        <w:rPr>
          <w:rFonts w:eastAsia="TimesNewRoman" w:cs="Times New Roman"/>
          <w:sz w:val="22"/>
          <w:lang w:val="sr-Cyrl-RS"/>
        </w:rPr>
        <w:t xml:space="preserve">Само у 26 градова и општина у функцији су постројења за пречишћавање комуналних отпадних вода </w:t>
      </w:r>
      <w:r w:rsidRPr="00EF2F18">
        <w:rPr>
          <w:rFonts w:cs="Times New Roman"/>
          <w:sz w:val="22"/>
          <w:shd w:val="clear" w:color="auto" w:fill="FFFFFF"/>
          <w:lang w:val="sr-Cyrl-RS"/>
        </w:rPr>
        <w:t xml:space="preserve">(уз два у реконструкцији и пет у пробном раду), </w:t>
      </w:r>
      <w:r w:rsidRPr="00EF2F18">
        <w:rPr>
          <w:rFonts w:eastAsia="TimesNewRoman" w:cs="Times New Roman"/>
          <w:sz w:val="22"/>
          <w:lang w:val="sr-Cyrl-RS"/>
        </w:rPr>
        <w:t>од којих мали број ради по пројектним критеријумима, док остала раде са ефикасношћу далеко испод пројектоване.</w:t>
      </w:r>
      <w:r w:rsidRPr="00EF2F18">
        <w:rPr>
          <w:rFonts w:cs="Times New Roman"/>
          <w:sz w:val="22"/>
          <w:shd w:val="clear" w:color="auto" w:fill="FFFFFF"/>
          <w:lang w:val="sr-Cyrl-RS"/>
        </w:rPr>
        <w:t xml:space="preserve"> Само пет јединица локалне самоуправе има постројење са терцијарним третманом. </w:t>
      </w:r>
      <w:r w:rsidRPr="00EF2F18">
        <w:rPr>
          <w:rFonts w:cs="Times New Roman"/>
          <w:sz w:val="22"/>
          <w:lang w:val="sr-Cyrl-RS"/>
        </w:rPr>
        <w:t>Мали број индустријских објеката врши предтретман технолошких отпадних вода пре испуштања у реципијент.</w:t>
      </w:r>
    </w:p>
    <w:p w14:paraId="25D67C12" w14:textId="0C51BCAF" w:rsidR="000F7487" w:rsidRPr="00EF2F18" w:rsidRDefault="000F7487" w:rsidP="000F7487">
      <w:pPr>
        <w:spacing w:after="0"/>
        <w:ind w:firstLine="720"/>
        <w:jc w:val="both"/>
        <w:rPr>
          <w:rFonts w:cs="Times New Roman"/>
          <w:sz w:val="22"/>
          <w:lang w:val="sr-Cyrl-RS"/>
        </w:rPr>
      </w:pPr>
      <w:r w:rsidRPr="00EF2F18">
        <w:rPr>
          <w:rFonts w:cs="Times New Roman"/>
          <w:sz w:val="22"/>
          <w:lang w:val="sr-Cyrl-RS"/>
        </w:rPr>
        <w:t>Проценат становништва обухваћеног третманом за пречишћавање отпадних вода у зависности од врсте третмана има такође повољан (растући) тренд у периоду 2013-2022. године за секундарни и терцијарни третман док је за примарни третман тренд безначајан. У периоду 2016-2021. године значајно је порастао терцијарни третман као најсавршенији третман пречишћавања и 5,39% становништва је прикључено на овај третман у 2022. години. Ова врста третмана отпадних вода је у 2022. години у односу на 2013. годину већа за 4,12%</w:t>
      </w:r>
    </w:p>
    <w:p w14:paraId="09F4D3F4" w14:textId="369C975E" w:rsidR="004E6EB7" w:rsidRPr="00EF2F18" w:rsidRDefault="004E6EB7" w:rsidP="004E6EB7">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Програм управљања муљем из постројења за пречишћавање отпадних вода </w:t>
      </w:r>
      <w:r w:rsidR="008C077C" w:rsidRPr="00EF2F18">
        <w:rPr>
          <w:rFonts w:cs="Times New Roman"/>
          <w:sz w:val="22"/>
          <w:lang w:val="sr-Cyrl-RS"/>
        </w:rPr>
        <w:t xml:space="preserve">за период </w:t>
      </w:r>
      <w:r w:rsidRPr="00EF2F18">
        <w:rPr>
          <w:rFonts w:cs="Times New Roman"/>
          <w:sz w:val="22"/>
          <w:lang w:val="sr-Cyrl-RS"/>
        </w:rPr>
        <w:t>2023-2032.</w:t>
      </w:r>
      <w:r w:rsidR="008C077C" w:rsidRPr="00EF2F18">
        <w:rPr>
          <w:rFonts w:cs="Times New Roman"/>
          <w:sz w:val="22"/>
          <w:lang w:val="sr-Cyrl-RS"/>
        </w:rPr>
        <w:t xml:space="preserve"> године</w:t>
      </w:r>
      <w:r w:rsidRPr="00EF2F18">
        <w:rPr>
          <w:rFonts w:cs="Times New Roman"/>
          <w:sz w:val="22"/>
          <w:lang w:val="sr-Cyrl-RS"/>
        </w:rPr>
        <w:t xml:space="preserve"> </w:t>
      </w:r>
      <w:r w:rsidR="0002391F" w:rsidRPr="00EF2F18">
        <w:rPr>
          <w:rFonts w:cs="Times New Roman"/>
          <w:sz w:val="22"/>
          <w:lang w:val="sr-Cyrl-RS"/>
        </w:rPr>
        <w:t>је</w:t>
      </w:r>
      <w:r w:rsidRPr="00EF2F18">
        <w:rPr>
          <w:rFonts w:cs="Times New Roman"/>
          <w:sz w:val="22"/>
          <w:lang w:val="sr-Cyrl-RS"/>
        </w:rPr>
        <w:t xml:space="preserve"> </w:t>
      </w:r>
      <w:r w:rsidR="0002391F" w:rsidRPr="00EF2F18">
        <w:rPr>
          <w:rFonts w:cs="Times New Roman"/>
          <w:sz w:val="22"/>
          <w:lang w:val="sr-Cyrl-RS"/>
        </w:rPr>
        <w:t>усвојен септембра 2023</w:t>
      </w:r>
      <w:r w:rsidRPr="00EF2F18">
        <w:rPr>
          <w:rFonts w:cs="Times New Roman"/>
          <w:sz w:val="22"/>
          <w:lang w:val="sr-Cyrl-RS"/>
        </w:rPr>
        <w:t xml:space="preserve">. </w:t>
      </w:r>
    </w:p>
    <w:p w14:paraId="1BD47BD5" w14:textId="77777777" w:rsidR="006910C9" w:rsidRPr="00EF2F18" w:rsidRDefault="006910C9" w:rsidP="006910C9">
      <w:pPr>
        <w:autoSpaceDE w:val="0"/>
        <w:autoSpaceDN w:val="0"/>
        <w:adjustRightInd w:val="0"/>
        <w:spacing w:after="0"/>
        <w:jc w:val="both"/>
        <w:rPr>
          <w:rFonts w:cs="Times New Roman"/>
          <w:sz w:val="22"/>
          <w:lang w:val="sr-Cyrl-RS"/>
        </w:rPr>
      </w:pPr>
    </w:p>
    <w:p w14:paraId="435EA1B8" w14:textId="206EDEE6" w:rsidR="004923B1" w:rsidRPr="00EF2F18" w:rsidRDefault="004923B1" w:rsidP="00AD01BE">
      <w:pPr>
        <w:autoSpaceDE w:val="0"/>
        <w:autoSpaceDN w:val="0"/>
        <w:adjustRightInd w:val="0"/>
        <w:spacing w:after="0"/>
        <w:ind w:firstLine="720"/>
        <w:jc w:val="both"/>
        <w:rPr>
          <w:rFonts w:cs="Times New Roman"/>
          <w:b/>
          <w:bCs/>
          <w:i/>
          <w:sz w:val="22"/>
          <w:lang w:val="sr-Cyrl-RS"/>
        </w:rPr>
      </w:pPr>
      <w:r w:rsidRPr="00EF2F18">
        <w:rPr>
          <w:rFonts w:cs="Times New Roman"/>
          <w:b/>
          <w:bCs/>
          <w:i/>
          <w:sz w:val="22"/>
          <w:lang w:val="sr-Cyrl-RS"/>
        </w:rPr>
        <w:t>Захваћене и испоручене воде</w:t>
      </w:r>
    </w:p>
    <w:p w14:paraId="2C7F615D" w14:textId="4C495BC3" w:rsidR="00940180" w:rsidRPr="00EF2F18" w:rsidRDefault="00BF78D1" w:rsidP="00BF78D1">
      <w:pPr>
        <w:pStyle w:val="NormalWeb"/>
        <w:spacing w:before="0" w:beforeAutospacing="0" w:after="0" w:afterAutospacing="0"/>
        <w:ind w:firstLine="720"/>
        <w:jc w:val="both"/>
        <w:rPr>
          <w:sz w:val="22"/>
          <w:szCs w:val="22"/>
          <w:lang w:val="sr-Cyrl-RS"/>
        </w:rPr>
      </w:pPr>
      <w:r w:rsidRPr="00EF2F18">
        <w:rPr>
          <w:sz w:val="22"/>
          <w:szCs w:val="22"/>
          <w:lang w:val="sr-Cyrl-RS"/>
        </w:rPr>
        <w:t>Индекс експлоатације воде (</w:t>
      </w:r>
      <w:r w:rsidRPr="00EF2F18">
        <w:rPr>
          <w:sz w:val="22"/>
          <w:szCs w:val="22"/>
          <w:shd w:val="clear" w:color="auto" w:fill="FCFDFD"/>
          <w:lang w:val="sr-Cyrl-RS"/>
        </w:rPr>
        <w:t xml:space="preserve">однос укупне годишње количине захваћених водних ресурса и обновљивих водних ресурса) </w:t>
      </w:r>
      <w:r w:rsidRPr="00EF2F18">
        <w:rPr>
          <w:sz w:val="22"/>
          <w:szCs w:val="22"/>
          <w:lang w:val="sr-Cyrl-RS"/>
        </w:rPr>
        <w:t xml:space="preserve">у периоду </w:t>
      </w:r>
      <w:r w:rsidR="00E2559A" w:rsidRPr="00EF2F18">
        <w:rPr>
          <w:sz w:val="22"/>
          <w:szCs w:val="22"/>
          <w:lang w:val="sr-Cyrl-RS"/>
        </w:rPr>
        <w:t>2013</w:t>
      </w:r>
      <w:r w:rsidRPr="00EF2F18">
        <w:rPr>
          <w:sz w:val="22"/>
          <w:szCs w:val="22"/>
          <w:lang w:val="sr-Cyrl-RS"/>
        </w:rPr>
        <w:t>-</w:t>
      </w:r>
      <w:r w:rsidR="00E2559A" w:rsidRPr="00EF2F18">
        <w:rPr>
          <w:sz w:val="22"/>
          <w:szCs w:val="22"/>
          <w:lang w:val="sr-Cyrl-RS"/>
        </w:rPr>
        <w:t>2022</w:t>
      </w:r>
      <w:r w:rsidRPr="00EF2F18">
        <w:rPr>
          <w:sz w:val="22"/>
          <w:szCs w:val="22"/>
          <w:lang w:val="sr-Cyrl-RS"/>
        </w:rPr>
        <w:t>. године имао је растући (неповољан) тренд, али веома ниску просечну вредност од 2,</w:t>
      </w:r>
      <w:r w:rsidR="00E2559A" w:rsidRPr="00EF2F18">
        <w:rPr>
          <w:sz w:val="22"/>
          <w:szCs w:val="22"/>
          <w:lang w:val="sr-Cyrl-RS"/>
        </w:rPr>
        <w:t>82</w:t>
      </w:r>
      <w:r w:rsidRPr="00EF2F18">
        <w:rPr>
          <w:sz w:val="22"/>
          <w:szCs w:val="22"/>
          <w:lang w:val="sr-Cyrl-RS"/>
        </w:rPr>
        <w:t>%.</w:t>
      </w:r>
      <w:r w:rsidR="0003416B" w:rsidRPr="00EF2F18">
        <w:rPr>
          <w:rStyle w:val="FootnoteReference"/>
          <w:sz w:val="22"/>
          <w:szCs w:val="22"/>
          <w:lang w:val="sr-Cyrl-RS"/>
        </w:rPr>
        <w:footnoteReference w:id="10"/>
      </w:r>
      <w:r w:rsidRPr="00EF2F18">
        <w:rPr>
          <w:sz w:val="22"/>
          <w:szCs w:val="22"/>
          <w:lang w:val="sr-Cyrl-RS"/>
        </w:rPr>
        <w:t xml:space="preserve"> </w:t>
      </w:r>
    </w:p>
    <w:p w14:paraId="74AE5BEA" w14:textId="77777777" w:rsidR="008C077C" w:rsidRPr="00EF2F18" w:rsidRDefault="008C077C" w:rsidP="00BF78D1">
      <w:pPr>
        <w:pStyle w:val="NormalWeb"/>
        <w:spacing w:before="0" w:beforeAutospacing="0" w:after="0" w:afterAutospacing="0"/>
        <w:ind w:firstLine="720"/>
        <w:jc w:val="both"/>
        <w:rPr>
          <w:sz w:val="22"/>
          <w:szCs w:val="22"/>
          <w:lang w:val="sr-Cyrl-RS"/>
        </w:rPr>
      </w:pPr>
    </w:p>
    <w:p w14:paraId="05B02801" w14:textId="6FFAC336" w:rsidR="00940180" w:rsidRPr="00EF2F18" w:rsidRDefault="00E2559A" w:rsidP="00F15588">
      <w:pPr>
        <w:pStyle w:val="NormalWeb"/>
        <w:spacing w:before="0" w:beforeAutospacing="0" w:after="0" w:afterAutospacing="0"/>
        <w:jc w:val="center"/>
        <w:rPr>
          <w:sz w:val="22"/>
          <w:szCs w:val="22"/>
          <w:lang w:val="sr-Cyrl-RS"/>
        </w:rPr>
      </w:pPr>
      <w:r w:rsidRPr="00EF2F18">
        <w:rPr>
          <w:noProof/>
          <w:lang w:val="sr-Cyrl-RS" w:eastAsia="sr-Cyrl-RS"/>
        </w:rPr>
        <w:drawing>
          <wp:inline distT="0" distB="0" distL="0" distR="0" wp14:anchorId="61DFD8C7" wp14:editId="51B1DF16">
            <wp:extent cx="2990850" cy="1948129"/>
            <wp:effectExtent l="0" t="0" r="0" b="0"/>
            <wp:docPr id="1863067428" name="Picture 45"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67428" name="Picture 45" descr="A graph with numbers and a bar&#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95359" cy="1951066"/>
                    </a:xfrm>
                    <a:prstGeom prst="rect">
                      <a:avLst/>
                    </a:prstGeom>
                    <a:noFill/>
                    <a:ln>
                      <a:noFill/>
                    </a:ln>
                  </pic:spPr>
                </pic:pic>
              </a:graphicData>
            </a:graphic>
          </wp:inline>
        </w:drawing>
      </w:r>
    </w:p>
    <w:p w14:paraId="30C97505" w14:textId="5A2E1DEA" w:rsidR="00940180" w:rsidRPr="00EF2F18" w:rsidRDefault="00940180" w:rsidP="00940180">
      <w:pPr>
        <w:pStyle w:val="NormalWeb"/>
        <w:spacing w:before="0" w:beforeAutospacing="0" w:after="0" w:afterAutospacing="0"/>
        <w:jc w:val="both"/>
        <w:rPr>
          <w:sz w:val="22"/>
          <w:szCs w:val="22"/>
          <w:lang w:val="sr-Cyrl-RS"/>
        </w:rPr>
      </w:pPr>
      <w:r w:rsidRPr="00EF2F18">
        <w:rPr>
          <w:b/>
          <w:bCs/>
          <w:sz w:val="22"/>
          <w:szCs w:val="22"/>
          <w:lang w:val="sr-Cyrl-RS"/>
        </w:rPr>
        <w:t xml:space="preserve">Слика </w:t>
      </w:r>
      <w:r w:rsidR="00C0735C" w:rsidRPr="00EF2F18">
        <w:rPr>
          <w:b/>
          <w:bCs/>
          <w:sz w:val="22"/>
          <w:szCs w:val="22"/>
          <w:lang w:val="sr-Cyrl-RS"/>
        </w:rPr>
        <w:t>3</w:t>
      </w:r>
      <w:r w:rsidR="00F36CC7" w:rsidRPr="00EF2F18">
        <w:rPr>
          <w:b/>
          <w:bCs/>
          <w:sz w:val="22"/>
          <w:szCs w:val="22"/>
          <w:lang w:val="sr-Cyrl-RS"/>
        </w:rPr>
        <w:t>.</w:t>
      </w:r>
      <w:r w:rsidR="00DE003D" w:rsidRPr="00EF2F18">
        <w:rPr>
          <w:b/>
          <w:bCs/>
          <w:sz w:val="22"/>
          <w:szCs w:val="22"/>
          <w:lang w:val="sr-Cyrl-RS"/>
        </w:rPr>
        <w:t>23</w:t>
      </w:r>
      <w:r w:rsidR="00F36CC7" w:rsidRPr="00EF2F18">
        <w:rPr>
          <w:b/>
          <w:bCs/>
          <w:sz w:val="22"/>
          <w:szCs w:val="22"/>
          <w:lang w:val="sr-Cyrl-RS"/>
        </w:rPr>
        <w:t>.</w:t>
      </w:r>
      <w:r w:rsidRPr="00EF2F18">
        <w:rPr>
          <w:sz w:val="22"/>
          <w:szCs w:val="22"/>
          <w:lang w:val="sr-Cyrl-RS"/>
        </w:rPr>
        <w:t xml:space="preserve"> Индекс експлоатације воде (</w:t>
      </w:r>
      <w:r w:rsidR="00E2559A" w:rsidRPr="00EF2F18">
        <w:rPr>
          <w:sz w:val="22"/>
          <w:szCs w:val="22"/>
          <w:lang w:val="sr-Cyrl-RS"/>
        </w:rPr>
        <w:t>2013</w:t>
      </w:r>
      <w:r w:rsidRPr="00EF2F18">
        <w:rPr>
          <w:sz w:val="22"/>
          <w:szCs w:val="22"/>
          <w:lang w:val="sr-Cyrl-RS"/>
        </w:rPr>
        <w:t>-</w:t>
      </w:r>
      <w:r w:rsidR="00E2559A" w:rsidRPr="00EF2F18">
        <w:rPr>
          <w:sz w:val="22"/>
          <w:szCs w:val="22"/>
          <w:lang w:val="sr-Cyrl-RS"/>
        </w:rPr>
        <w:t>2022</w:t>
      </w:r>
      <w:r w:rsidRPr="00EF2F18">
        <w:rPr>
          <w:sz w:val="22"/>
          <w:szCs w:val="22"/>
          <w:lang w:val="sr-Cyrl-RS"/>
        </w:rPr>
        <w:t>. године)</w:t>
      </w:r>
    </w:p>
    <w:p w14:paraId="3B9B1F4D" w14:textId="363E8DA0" w:rsidR="00940180" w:rsidRPr="00EF2F18" w:rsidRDefault="00A634C6" w:rsidP="00940180">
      <w:pPr>
        <w:pStyle w:val="NormalWeb"/>
        <w:spacing w:before="0" w:beforeAutospacing="0" w:after="0" w:afterAutospacing="0"/>
        <w:jc w:val="both"/>
        <w:rPr>
          <w:sz w:val="22"/>
          <w:szCs w:val="22"/>
          <w:lang w:val="sr-Cyrl-RS"/>
        </w:rPr>
      </w:pPr>
      <w:r w:rsidRPr="00EF2F18">
        <w:rPr>
          <w:i/>
          <w:sz w:val="22"/>
          <w:szCs w:val="22"/>
          <w:lang w:val="sr-Cyrl-RS"/>
        </w:rPr>
        <w:t xml:space="preserve">Извор: Агенција за заштиту животне средине, </w:t>
      </w:r>
      <w:r w:rsidR="00E2559A" w:rsidRPr="00EF2F18">
        <w:rPr>
          <w:i/>
          <w:sz w:val="22"/>
          <w:szCs w:val="22"/>
          <w:lang w:val="sr-Cyrl-RS"/>
        </w:rPr>
        <w:t>2024</w:t>
      </w:r>
      <w:r w:rsidRPr="00EF2F18">
        <w:rPr>
          <w:i/>
          <w:sz w:val="22"/>
          <w:szCs w:val="22"/>
          <w:lang w:val="sr-Cyrl-RS"/>
        </w:rPr>
        <w:t>.</w:t>
      </w:r>
    </w:p>
    <w:p w14:paraId="490CA8AF" w14:textId="77777777" w:rsidR="00940180" w:rsidRPr="00EF2F18" w:rsidRDefault="00940180" w:rsidP="00BF78D1">
      <w:pPr>
        <w:pStyle w:val="NormalWeb"/>
        <w:spacing w:before="0" w:beforeAutospacing="0" w:after="0" w:afterAutospacing="0"/>
        <w:ind w:firstLine="720"/>
        <w:jc w:val="both"/>
        <w:rPr>
          <w:sz w:val="22"/>
          <w:szCs w:val="22"/>
          <w:lang w:val="sr-Cyrl-RS"/>
        </w:rPr>
      </w:pPr>
    </w:p>
    <w:p w14:paraId="16172338" w14:textId="30B2BB5A" w:rsidR="00F81F78" w:rsidRPr="00EF2F18" w:rsidRDefault="00BF78D1" w:rsidP="00BF78D1">
      <w:pPr>
        <w:pStyle w:val="NormalWeb"/>
        <w:spacing w:before="0" w:beforeAutospacing="0" w:after="0" w:afterAutospacing="0"/>
        <w:ind w:firstLine="720"/>
        <w:jc w:val="both"/>
        <w:rPr>
          <w:sz w:val="22"/>
          <w:szCs w:val="22"/>
          <w:lang w:val="sr-Cyrl-RS"/>
        </w:rPr>
      </w:pPr>
      <w:r w:rsidRPr="00EF2F18">
        <w:rPr>
          <w:sz w:val="22"/>
          <w:szCs w:val="22"/>
          <w:lang w:val="sr-Cyrl-RS"/>
        </w:rPr>
        <w:t xml:space="preserve">Према </w:t>
      </w:r>
      <w:r w:rsidRPr="00EF2F18">
        <w:rPr>
          <w:rStyle w:val="Emphasis"/>
          <w:rFonts w:eastAsiaTheme="majorEastAsia"/>
          <w:b w:val="0"/>
          <w:bCs w:val="0"/>
          <w:sz w:val="22"/>
          <w:szCs w:val="22"/>
          <w:bdr w:val="none" w:sz="0" w:space="0" w:color="auto" w:frame="1"/>
          <w:shd w:val="clear" w:color="auto" w:fill="FFFFFF"/>
          <w:lang w:val="sr-Cyrl-RS"/>
        </w:rPr>
        <w:t xml:space="preserve">Билансу воде у Републици </w:t>
      </w:r>
      <w:r w:rsidR="00940180" w:rsidRPr="00EF2F18">
        <w:rPr>
          <w:rStyle w:val="Emphasis"/>
          <w:rFonts w:eastAsiaTheme="majorEastAsia"/>
          <w:b w:val="0"/>
          <w:bCs w:val="0"/>
          <w:sz w:val="22"/>
          <w:szCs w:val="22"/>
          <w:bdr w:val="none" w:sz="0" w:space="0" w:color="auto" w:frame="1"/>
          <w:shd w:val="clear" w:color="auto" w:fill="FFFFFF"/>
          <w:lang w:val="sr-Cyrl-RS"/>
        </w:rPr>
        <w:t xml:space="preserve">Србији </w:t>
      </w:r>
      <w:r w:rsidRPr="00EF2F18">
        <w:rPr>
          <w:rStyle w:val="Emphasis"/>
          <w:rFonts w:eastAsiaTheme="majorEastAsia"/>
          <w:b w:val="0"/>
          <w:bCs w:val="0"/>
          <w:sz w:val="22"/>
          <w:szCs w:val="22"/>
          <w:bdr w:val="none" w:sz="0" w:space="0" w:color="auto" w:frame="1"/>
          <w:shd w:val="clear" w:color="auto" w:fill="FFFFFF"/>
          <w:lang w:val="sr-Cyrl-RS"/>
        </w:rPr>
        <w:t xml:space="preserve">у периоду 2004 </w:t>
      </w:r>
      <w:r w:rsidR="00CD0755">
        <w:rPr>
          <w:rStyle w:val="Emphasis"/>
          <w:rFonts w:eastAsiaTheme="majorEastAsia"/>
          <w:b w:val="0"/>
          <w:bCs w:val="0"/>
          <w:sz w:val="22"/>
          <w:szCs w:val="22"/>
          <w:bdr w:val="none" w:sz="0" w:space="0" w:color="auto" w:frame="1"/>
          <w:shd w:val="clear" w:color="auto" w:fill="FFFFFF"/>
          <w:lang w:val="sr-Cyrl-RS"/>
        </w:rPr>
        <w:t>–</w:t>
      </w:r>
      <w:r w:rsidRPr="00EF2F18">
        <w:rPr>
          <w:rStyle w:val="Emphasis"/>
          <w:rFonts w:eastAsiaTheme="majorEastAsia"/>
          <w:b w:val="0"/>
          <w:bCs w:val="0"/>
          <w:sz w:val="22"/>
          <w:szCs w:val="22"/>
          <w:bdr w:val="none" w:sz="0" w:space="0" w:color="auto" w:frame="1"/>
          <w:shd w:val="clear" w:color="auto" w:fill="FFFFFF"/>
          <w:lang w:val="sr-Cyrl-RS"/>
        </w:rPr>
        <w:t xml:space="preserve"> 2019.</w:t>
      </w:r>
      <w:r w:rsidR="00CD0755" w:rsidRPr="00CD0755">
        <w:rPr>
          <w:sz w:val="22"/>
          <w:szCs w:val="22"/>
          <w:lang w:val="sr-Cyrl-RS"/>
        </w:rPr>
        <w:t xml:space="preserve"> </w:t>
      </w:r>
      <w:r w:rsidR="00CD0755" w:rsidRPr="00EF2F18">
        <w:rPr>
          <w:sz w:val="22"/>
          <w:szCs w:val="22"/>
          <w:lang w:val="sr-Cyrl-RS"/>
        </w:rPr>
        <w:t>годин</w:t>
      </w:r>
      <w:r w:rsidR="00CD0755">
        <w:rPr>
          <w:sz w:val="22"/>
          <w:szCs w:val="22"/>
          <w:lang w:val="sr-Cyrl-RS"/>
        </w:rPr>
        <w:t>е</w:t>
      </w:r>
      <w:r w:rsidRPr="00EF2F18">
        <w:rPr>
          <w:rStyle w:val="Emphasis"/>
          <w:rFonts w:eastAsiaTheme="majorEastAsia"/>
          <w:sz w:val="22"/>
          <w:szCs w:val="22"/>
          <w:bdr w:val="none" w:sz="0" w:space="0" w:color="auto" w:frame="1"/>
          <w:shd w:val="clear" w:color="auto" w:fill="FFFFFF"/>
          <w:lang w:val="sr-Cyrl-RS"/>
        </w:rPr>
        <w:t xml:space="preserve"> </w:t>
      </w:r>
      <w:r w:rsidRPr="00EF2F18">
        <w:rPr>
          <w:sz w:val="22"/>
          <w:szCs w:val="22"/>
          <w:shd w:val="clear" w:color="auto" w:fill="FFFFFF"/>
          <w:lang w:val="sr-Cyrl-RS"/>
        </w:rPr>
        <w:t xml:space="preserve">приметни су благи трендови смањења количина захваћене и испоручене воде, и повећања количина изгубљене воде. </w:t>
      </w:r>
      <w:r w:rsidRPr="00EF2F18">
        <w:rPr>
          <w:sz w:val="22"/>
          <w:szCs w:val="22"/>
          <w:lang w:val="sr-Cyrl-RS"/>
        </w:rPr>
        <w:t xml:space="preserve">Према подацима Републичког завода за статистику за 2019. годину, укупна количина воде коју су комунални водоводни системи у </w:t>
      </w:r>
      <w:r w:rsidR="0084504E" w:rsidRPr="00EF2F18">
        <w:rPr>
          <w:sz w:val="22"/>
          <w:szCs w:val="22"/>
          <w:lang w:val="sr-Cyrl-RS"/>
        </w:rPr>
        <w:t xml:space="preserve">Републици </w:t>
      </w:r>
      <w:r w:rsidRPr="00EF2F18">
        <w:rPr>
          <w:sz w:val="22"/>
          <w:szCs w:val="22"/>
          <w:lang w:val="sr-Cyrl-RS"/>
        </w:rPr>
        <w:t xml:space="preserve">Србији годишње захватали износила је 668 милиона m³, што је еквивалентно просечном протоку од отприлике 21 m³/s. Од ове захваћене воде, приближно 65% је дистрибуирано за потрошњу, што чини укупно 436 милиона m³ годишње или просечни проток од 14 m³/s. Потрошња домаћинстава чинила је 48% од укупно дистрибуиране воде (око 323 милиона m³ годишње или просечни проток од 10 m³/s), док је потрошња индустрије и институција износила 17% (приближно 113 милиона </w:t>
      </w:r>
      <w:r w:rsidR="003519D3" w:rsidRPr="00EF2F18">
        <w:rPr>
          <w:sz w:val="22"/>
          <w:szCs w:val="22"/>
          <w:lang w:val="sr-Cyrl-RS"/>
        </w:rPr>
        <w:t>m</w:t>
      </w:r>
      <w:r w:rsidRPr="00EF2F18">
        <w:rPr>
          <w:sz w:val="22"/>
          <w:szCs w:val="22"/>
          <w:lang w:val="sr-Cyrl-RS"/>
        </w:rPr>
        <w:t xml:space="preserve">³ годишње или просечни проток од 4 m³/s). Домаћинства су потрошила отприлике 74% од укупно дистрибуиране воде, индустријски сектор око 11%, а остали корисници око 15% од укупно испоручене воде. </w:t>
      </w:r>
      <w:r w:rsidRPr="00EF2F18">
        <w:rPr>
          <w:sz w:val="22"/>
          <w:szCs w:val="22"/>
          <w:shd w:val="clear" w:color="auto" w:fill="FFFFFF"/>
          <w:lang w:val="sr-Cyrl-RS"/>
        </w:rPr>
        <w:t>Од укупно коришћених вода у индустрији</w:t>
      </w:r>
      <w:r w:rsidR="00BA6877" w:rsidRPr="00EF2F18">
        <w:rPr>
          <w:sz w:val="22"/>
          <w:szCs w:val="22"/>
          <w:shd w:val="clear" w:color="auto" w:fill="FFFFFF"/>
          <w:lang w:val="sr-Cyrl-RS"/>
        </w:rPr>
        <w:t>,</w:t>
      </w:r>
      <w:r w:rsidRPr="00EF2F18">
        <w:rPr>
          <w:sz w:val="22"/>
          <w:szCs w:val="22"/>
          <w:shd w:val="clear" w:color="auto" w:fill="FFFFFF"/>
          <w:lang w:val="sr-Cyrl-RS"/>
        </w:rPr>
        <w:t xml:space="preserve"> 97,4% чине воде коришћене у снабдевању електричном енергијом, гасом и паром, 2,1% у прерађивачкој индустрији, а 0,5% у рударству. Специфична потрошња воде појединих категорија потрошача у периоду 2014 – 2019. показује благу тенденцију смањења. Н</w:t>
      </w:r>
      <w:r w:rsidRPr="00EF2F18">
        <w:rPr>
          <w:sz w:val="22"/>
          <w:szCs w:val="22"/>
          <w:lang w:val="sr-Cyrl-RS"/>
        </w:rPr>
        <w:t xml:space="preserve">ето специфична потрошња домаћинстава смањена је са </w:t>
      </w:r>
      <w:r w:rsidRPr="00EF2F18">
        <w:rPr>
          <w:sz w:val="22"/>
          <w:szCs w:val="22"/>
          <w:lang w:val="sr-Cyrl-RS"/>
        </w:rPr>
        <w:lastRenderedPageBreak/>
        <w:t>1</w:t>
      </w:r>
      <w:r w:rsidR="00F81F78" w:rsidRPr="00EF2F18">
        <w:rPr>
          <w:sz w:val="22"/>
          <w:szCs w:val="22"/>
          <w:lang w:val="sr-Cyrl-RS"/>
        </w:rPr>
        <w:t>53</w:t>
      </w:r>
      <w:r w:rsidRPr="00EF2F18">
        <w:rPr>
          <w:sz w:val="22"/>
          <w:szCs w:val="22"/>
          <w:lang w:val="sr-Cyrl-RS"/>
        </w:rPr>
        <w:t xml:space="preserve"> l/st/dan у 201</w:t>
      </w:r>
      <w:r w:rsidR="00F81F78" w:rsidRPr="00EF2F18">
        <w:rPr>
          <w:sz w:val="22"/>
          <w:szCs w:val="22"/>
          <w:lang w:val="sr-Cyrl-RS"/>
        </w:rPr>
        <w:t>2</w:t>
      </w:r>
      <w:r w:rsidRPr="00EF2F18">
        <w:rPr>
          <w:sz w:val="22"/>
          <w:szCs w:val="22"/>
          <w:lang w:val="sr-Cyrl-RS"/>
        </w:rPr>
        <w:t xml:space="preserve">. на </w:t>
      </w:r>
      <w:r w:rsidR="00E2559A" w:rsidRPr="00EF2F18">
        <w:rPr>
          <w:sz w:val="22"/>
          <w:szCs w:val="22"/>
          <w:lang w:val="sr-Cyrl-RS"/>
        </w:rPr>
        <w:t xml:space="preserve">143,5 </w:t>
      </w:r>
      <w:r w:rsidRPr="00EF2F18">
        <w:rPr>
          <w:sz w:val="22"/>
          <w:szCs w:val="22"/>
          <w:lang w:val="sr-Cyrl-RS"/>
        </w:rPr>
        <w:t xml:space="preserve">l/st/dan у </w:t>
      </w:r>
      <w:r w:rsidR="00E2559A" w:rsidRPr="00EF2F18">
        <w:rPr>
          <w:sz w:val="22"/>
          <w:szCs w:val="22"/>
          <w:lang w:val="sr-Cyrl-RS"/>
        </w:rPr>
        <w:t>2022</w:t>
      </w:r>
      <w:r w:rsidRPr="00EF2F18">
        <w:rPr>
          <w:sz w:val="22"/>
          <w:szCs w:val="22"/>
          <w:lang w:val="sr-Cyrl-RS"/>
        </w:rPr>
        <w:t>. години; потрошња комерцијалних</w:t>
      </w:r>
      <w:r w:rsidR="00F81F78" w:rsidRPr="00EF2F18">
        <w:rPr>
          <w:sz w:val="22"/>
          <w:szCs w:val="22"/>
          <w:lang w:val="sr-Cyrl-RS"/>
        </w:rPr>
        <w:t xml:space="preserve"> потрошача и институција са 35 </w:t>
      </w:r>
      <w:r w:rsidRPr="00EF2F18">
        <w:rPr>
          <w:sz w:val="22"/>
          <w:szCs w:val="22"/>
          <w:lang w:val="sr-Cyrl-RS"/>
        </w:rPr>
        <w:t>l/st/dan смањена је на 33,5 l/st/dan; бруто специфична потрошња (са потрошњом привреде и институција) са 18</w:t>
      </w:r>
      <w:r w:rsidR="00F81F78" w:rsidRPr="00EF2F18">
        <w:rPr>
          <w:sz w:val="22"/>
          <w:szCs w:val="22"/>
          <w:lang w:val="sr-Cyrl-RS"/>
        </w:rPr>
        <w:t>8</w:t>
      </w:r>
      <w:r w:rsidRPr="00EF2F18">
        <w:rPr>
          <w:sz w:val="22"/>
          <w:szCs w:val="22"/>
          <w:lang w:val="sr-Cyrl-RS"/>
        </w:rPr>
        <w:t xml:space="preserve"> l/st/dan смањена је на 1</w:t>
      </w:r>
      <w:r w:rsidR="00F81F78" w:rsidRPr="00EF2F18">
        <w:rPr>
          <w:sz w:val="22"/>
          <w:szCs w:val="22"/>
          <w:lang w:val="sr-Cyrl-RS"/>
        </w:rPr>
        <w:t>78,5</w:t>
      </w:r>
      <w:r w:rsidRPr="00EF2F18">
        <w:rPr>
          <w:sz w:val="22"/>
          <w:szCs w:val="22"/>
          <w:lang w:val="sr-Cyrl-RS"/>
        </w:rPr>
        <w:t xml:space="preserve"> l/st/dan. </w:t>
      </w:r>
    </w:p>
    <w:p w14:paraId="7622795D" w14:textId="77777777" w:rsidR="00F15588" w:rsidRPr="00EF2F18" w:rsidRDefault="00F15588" w:rsidP="00F81F78">
      <w:pPr>
        <w:pStyle w:val="NormalWeb"/>
        <w:spacing w:before="0" w:beforeAutospacing="0" w:after="0" w:afterAutospacing="0"/>
        <w:jc w:val="both"/>
        <w:rPr>
          <w:sz w:val="22"/>
          <w:szCs w:val="22"/>
          <w:lang w:val="sr-Cyrl-RS"/>
        </w:rPr>
      </w:pPr>
    </w:p>
    <w:p w14:paraId="6D8E1EA8" w14:textId="1D6002C2" w:rsidR="00F15588" w:rsidRPr="00EF2F18" w:rsidRDefault="00E2559A" w:rsidP="00F15588">
      <w:pPr>
        <w:pStyle w:val="NormalWeb"/>
        <w:spacing w:before="0" w:beforeAutospacing="0" w:after="0" w:afterAutospacing="0"/>
        <w:jc w:val="center"/>
        <w:rPr>
          <w:sz w:val="22"/>
          <w:szCs w:val="22"/>
          <w:lang w:val="sr-Cyrl-RS"/>
        </w:rPr>
      </w:pPr>
      <w:r w:rsidRPr="00EF2F18">
        <w:rPr>
          <w:noProof/>
          <w:lang w:val="sr-Cyrl-RS" w:eastAsia="sr-Cyrl-RS"/>
        </w:rPr>
        <w:drawing>
          <wp:inline distT="0" distB="0" distL="0" distR="0" wp14:anchorId="21E2A549" wp14:editId="0A8E6EBD">
            <wp:extent cx="2809875" cy="1673990"/>
            <wp:effectExtent l="0" t="0" r="0" b="2540"/>
            <wp:docPr id="441835706" name="Picture 49" descr="A graph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35706" name="Picture 49" descr="A graph with numbers and a number on it&#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13531" cy="1676168"/>
                    </a:xfrm>
                    <a:prstGeom prst="rect">
                      <a:avLst/>
                    </a:prstGeom>
                    <a:noFill/>
                    <a:ln>
                      <a:noFill/>
                    </a:ln>
                  </pic:spPr>
                </pic:pic>
              </a:graphicData>
            </a:graphic>
          </wp:inline>
        </w:drawing>
      </w:r>
    </w:p>
    <w:p w14:paraId="398F2AD8" w14:textId="57F22DD6" w:rsidR="00F81F78" w:rsidRPr="00EF2F18" w:rsidRDefault="00F81F78" w:rsidP="00F81F78">
      <w:pPr>
        <w:pStyle w:val="NormalWeb"/>
        <w:spacing w:before="0" w:beforeAutospacing="0" w:after="0" w:afterAutospacing="0"/>
        <w:jc w:val="both"/>
        <w:rPr>
          <w:sz w:val="22"/>
          <w:szCs w:val="22"/>
          <w:lang w:val="sr-Cyrl-RS"/>
        </w:rPr>
      </w:pPr>
      <w:r w:rsidRPr="00EF2F18">
        <w:rPr>
          <w:b/>
          <w:bCs/>
          <w:sz w:val="22"/>
          <w:szCs w:val="22"/>
          <w:lang w:val="sr-Cyrl-RS"/>
        </w:rPr>
        <w:t xml:space="preserve">Слика </w:t>
      </w:r>
      <w:r w:rsidR="00C0735C" w:rsidRPr="00EF2F18">
        <w:rPr>
          <w:b/>
          <w:bCs/>
          <w:sz w:val="22"/>
          <w:szCs w:val="22"/>
          <w:lang w:val="sr-Cyrl-RS"/>
        </w:rPr>
        <w:t>3</w:t>
      </w:r>
      <w:r w:rsidR="00F36CC7" w:rsidRPr="00EF2F18">
        <w:rPr>
          <w:b/>
          <w:bCs/>
          <w:sz w:val="22"/>
          <w:szCs w:val="22"/>
          <w:lang w:val="sr-Cyrl-RS"/>
        </w:rPr>
        <w:t>.</w:t>
      </w:r>
      <w:r w:rsidR="00DE003D" w:rsidRPr="00EF2F18">
        <w:rPr>
          <w:b/>
          <w:bCs/>
          <w:sz w:val="22"/>
          <w:szCs w:val="22"/>
          <w:lang w:val="sr-Cyrl-RS"/>
        </w:rPr>
        <w:t>24</w:t>
      </w:r>
      <w:r w:rsidR="00F36CC7" w:rsidRPr="00EF2F18">
        <w:rPr>
          <w:b/>
          <w:bCs/>
          <w:sz w:val="22"/>
          <w:szCs w:val="22"/>
          <w:lang w:val="sr-Cyrl-RS"/>
        </w:rPr>
        <w:t>.</w:t>
      </w:r>
      <w:r w:rsidRPr="00EF2F18">
        <w:rPr>
          <w:sz w:val="22"/>
          <w:szCs w:val="22"/>
          <w:lang w:val="sr-Cyrl-RS"/>
        </w:rPr>
        <w:t xml:space="preserve"> Коришћење воде у домаћинству (</w:t>
      </w:r>
      <w:r w:rsidR="00E2559A" w:rsidRPr="00EF2F18">
        <w:rPr>
          <w:sz w:val="22"/>
          <w:szCs w:val="22"/>
          <w:lang w:val="sr-Cyrl-RS"/>
        </w:rPr>
        <w:t>2013</w:t>
      </w:r>
      <w:r w:rsidRPr="00EF2F18">
        <w:rPr>
          <w:sz w:val="22"/>
          <w:szCs w:val="22"/>
          <w:lang w:val="sr-Cyrl-RS"/>
        </w:rPr>
        <w:t>-</w:t>
      </w:r>
      <w:r w:rsidR="00E2559A" w:rsidRPr="00EF2F18">
        <w:rPr>
          <w:sz w:val="22"/>
          <w:szCs w:val="22"/>
          <w:lang w:val="sr-Cyrl-RS"/>
        </w:rPr>
        <w:t>2022</w:t>
      </w:r>
      <w:r w:rsidRPr="00EF2F18">
        <w:rPr>
          <w:sz w:val="22"/>
          <w:szCs w:val="22"/>
          <w:lang w:val="sr-Cyrl-RS"/>
        </w:rPr>
        <w:t>. године)</w:t>
      </w:r>
    </w:p>
    <w:p w14:paraId="446B8420" w14:textId="00D55405" w:rsidR="00F81F78" w:rsidRPr="00EF2F18" w:rsidRDefault="00A634C6" w:rsidP="00F81F78">
      <w:pPr>
        <w:pStyle w:val="NormalWeb"/>
        <w:spacing w:before="0" w:beforeAutospacing="0" w:after="0" w:afterAutospacing="0"/>
        <w:jc w:val="both"/>
        <w:rPr>
          <w:sz w:val="22"/>
          <w:szCs w:val="22"/>
          <w:lang w:val="sr-Cyrl-RS"/>
        </w:rPr>
      </w:pPr>
      <w:r w:rsidRPr="00EF2F18">
        <w:rPr>
          <w:i/>
          <w:sz w:val="22"/>
          <w:szCs w:val="22"/>
          <w:lang w:val="sr-Cyrl-RS"/>
        </w:rPr>
        <w:t xml:space="preserve">Извор: Агенција за заштиту животне средине, </w:t>
      </w:r>
      <w:r w:rsidR="00E2559A" w:rsidRPr="00EF2F18">
        <w:rPr>
          <w:i/>
          <w:sz w:val="22"/>
          <w:szCs w:val="22"/>
          <w:lang w:val="sr-Cyrl-RS"/>
        </w:rPr>
        <w:t>2024</w:t>
      </w:r>
      <w:r w:rsidRPr="00EF2F18">
        <w:rPr>
          <w:i/>
          <w:sz w:val="22"/>
          <w:szCs w:val="22"/>
          <w:lang w:val="sr-Cyrl-RS"/>
        </w:rPr>
        <w:t>.</w:t>
      </w:r>
    </w:p>
    <w:p w14:paraId="1FE78171" w14:textId="77777777" w:rsidR="00F81F78" w:rsidRPr="00EF2F18" w:rsidRDefault="00F81F78" w:rsidP="00BF78D1">
      <w:pPr>
        <w:pStyle w:val="NormalWeb"/>
        <w:spacing w:before="0" w:beforeAutospacing="0" w:after="0" w:afterAutospacing="0"/>
        <w:ind w:firstLine="720"/>
        <w:jc w:val="both"/>
        <w:rPr>
          <w:sz w:val="22"/>
          <w:szCs w:val="22"/>
          <w:lang w:val="sr-Cyrl-RS"/>
        </w:rPr>
      </w:pPr>
    </w:p>
    <w:p w14:paraId="6296B0B5" w14:textId="5DA1BF30" w:rsidR="00F15588" w:rsidRPr="00EF2F18" w:rsidRDefault="00BF78D1" w:rsidP="00F81F78">
      <w:pPr>
        <w:autoSpaceDE w:val="0"/>
        <w:autoSpaceDN w:val="0"/>
        <w:adjustRightInd w:val="0"/>
        <w:spacing w:after="0"/>
        <w:ind w:firstLine="720"/>
        <w:jc w:val="both"/>
        <w:rPr>
          <w:rFonts w:cs="Times New Roman"/>
          <w:sz w:val="22"/>
          <w:shd w:val="clear" w:color="auto" w:fill="FFFFFF"/>
          <w:lang w:val="sr-Cyrl-RS"/>
        </w:rPr>
      </w:pPr>
      <w:r w:rsidRPr="00EF2F18">
        <w:rPr>
          <w:rFonts w:cs="Times New Roman"/>
          <w:sz w:val="22"/>
          <w:lang w:val="sr-Cyrl-RS"/>
        </w:rPr>
        <w:t>Због неуједначеног нивоа развијености, као и стања комуналне инфраструктуре постоје велике разлике у потрошњи воде унутар Републике Србије. АП Војводина има најмању просечну потрошњу, у централној Србији специфична потрошњ</w:t>
      </w:r>
      <w:r w:rsidR="00BA6877" w:rsidRPr="00EF2F18">
        <w:rPr>
          <w:rFonts w:cs="Times New Roman"/>
          <w:sz w:val="22"/>
          <w:lang w:val="sr-Cyrl-RS"/>
        </w:rPr>
        <w:t>а</w:t>
      </w:r>
      <w:r w:rsidRPr="00EF2F18">
        <w:rPr>
          <w:rFonts w:cs="Times New Roman"/>
          <w:sz w:val="22"/>
          <w:lang w:val="sr-Cyrl-RS"/>
        </w:rPr>
        <w:t xml:space="preserve"> је нешто већа од просечне за Републику Србију, док град Београд има највећу специфичну потрошњу воде. </w:t>
      </w:r>
      <w:r w:rsidRPr="00EF2F18">
        <w:rPr>
          <w:rFonts w:cs="Times New Roman"/>
          <w:sz w:val="22"/>
          <w:shd w:val="clear" w:color="auto" w:fill="FFFFFF"/>
          <w:lang w:val="sr-Cyrl-RS"/>
        </w:rPr>
        <w:t xml:space="preserve">Насупрот томе, </w:t>
      </w:r>
      <w:r w:rsidR="00F81F78" w:rsidRPr="00EF2F18">
        <w:rPr>
          <w:rFonts w:cs="Times New Roman"/>
          <w:sz w:val="22"/>
          <w:lang w:val="sr-Cyrl-RS"/>
        </w:rPr>
        <w:t xml:space="preserve">губици, за период </w:t>
      </w:r>
      <w:r w:rsidR="00E2559A" w:rsidRPr="00EF2F18">
        <w:rPr>
          <w:rFonts w:cs="Times New Roman"/>
          <w:sz w:val="22"/>
          <w:lang w:val="sr-Cyrl-RS"/>
        </w:rPr>
        <w:t>2013</w:t>
      </w:r>
      <w:r w:rsidR="00F81F78" w:rsidRPr="00EF2F18">
        <w:rPr>
          <w:rFonts w:cs="Times New Roman"/>
          <w:sz w:val="22"/>
          <w:lang w:val="sr-Cyrl-RS"/>
        </w:rPr>
        <w:t>-</w:t>
      </w:r>
      <w:r w:rsidR="00E2559A" w:rsidRPr="00EF2F18">
        <w:rPr>
          <w:rFonts w:cs="Times New Roman"/>
          <w:sz w:val="22"/>
          <w:lang w:val="sr-Cyrl-RS"/>
        </w:rPr>
        <w:t>2022</w:t>
      </w:r>
      <w:r w:rsidR="00F81F78" w:rsidRPr="00EF2F18">
        <w:rPr>
          <w:rFonts w:cs="Times New Roman"/>
          <w:sz w:val="22"/>
          <w:lang w:val="sr-Cyrl-RS"/>
        </w:rPr>
        <w:t xml:space="preserve">. године, имају </w:t>
      </w:r>
      <w:r w:rsidR="00E2559A" w:rsidRPr="00EF2F18">
        <w:rPr>
          <w:rFonts w:cs="Times New Roman"/>
          <w:sz w:val="22"/>
          <w:lang w:val="sr-Cyrl-RS"/>
        </w:rPr>
        <w:t xml:space="preserve">безначајан </w:t>
      </w:r>
      <w:r w:rsidR="00F81F78" w:rsidRPr="00EF2F18">
        <w:rPr>
          <w:rFonts w:cs="Times New Roman"/>
          <w:sz w:val="22"/>
          <w:lang w:val="sr-Cyrl-RS"/>
        </w:rPr>
        <w:t>тренд и просечно износе 34,</w:t>
      </w:r>
      <w:r w:rsidR="00E2559A" w:rsidRPr="00EF2F18">
        <w:rPr>
          <w:rFonts w:cs="Times New Roman"/>
          <w:sz w:val="22"/>
          <w:lang w:val="sr-Cyrl-RS"/>
        </w:rPr>
        <w:t>7</w:t>
      </w:r>
      <w:r w:rsidR="00F81F78" w:rsidRPr="00EF2F18">
        <w:rPr>
          <w:rFonts w:cs="Times New Roman"/>
          <w:sz w:val="22"/>
          <w:lang w:val="sr-Cyrl-RS"/>
        </w:rPr>
        <w:t xml:space="preserve">%. У 2016. години су достигли максималних 35,7%. У </w:t>
      </w:r>
      <w:r w:rsidR="00E2559A" w:rsidRPr="00EF2F18">
        <w:rPr>
          <w:rFonts w:cs="Times New Roman"/>
          <w:sz w:val="22"/>
          <w:lang w:val="sr-Cyrl-RS"/>
        </w:rPr>
        <w:t>2022</w:t>
      </w:r>
      <w:r w:rsidR="00F81F78" w:rsidRPr="00EF2F18">
        <w:rPr>
          <w:rFonts w:cs="Times New Roman"/>
          <w:sz w:val="22"/>
          <w:lang w:val="sr-Cyrl-RS"/>
        </w:rPr>
        <w:t xml:space="preserve">. години </w:t>
      </w:r>
      <w:r w:rsidR="00E2559A" w:rsidRPr="00EF2F18">
        <w:rPr>
          <w:rFonts w:cs="Times New Roman"/>
          <w:sz w:val="22"/>
          <w:lang w:val="sr-Cyrl-RS"/>
        </w:rPr>
        <w:t>имају исту вредност као и</w:t>
      </w:r>
      <w:r w:rsidR="00F81F78" w:rsidRPr="00EF2F18">
        <w:rPr>
          <w:rFonts w:cs="Times New Roman"/>
          <w:sz w:val="22"/>
          <w:lang w:val="sr-Cyrl-RS"/>
        </w:rPr>
        <w:t xml:space="preserve"> </w:t>
      </w:r>
      <w:r w:rsidR="00E2559A" w:rsidRPr="00EF2F18">
        <w:rPr>
          <w:rFonts w:cs="Times New Roman"/>
          <w:sz w:val="22"/>
          <w:lang w:val="sr-Cyrl-RS"/>
        </w:rPr>
        <w:t>2021</w:t>
      </w:r>
      <w:r w:rsidR="00F81F78" w:rsidRPr="00EF2F18">
        <w:rPr>
          <w:rFonts w:cs="Times New Roman"/>
          <w:sz w:val="22"/>
          <w:lang w:val="sr-Cyrl-RS"/>
        </w:rPr>
        <w:t>. годину и износе 35,1%</w:t>
      </w:r>
      <w:r w:rsidRPr="00EF2F18">
        <w:rPr>
          <w:rFonts w:cs="Times New Roman"/>
          <w:sz w:val="22"/>
          <w:shd w:val="clear" w:color="auto" w:fill="FFFFFF"/>
          <w:lang w:val="sr-Cyrl-RS"/>
        </w:rPr>
        <w:t>.</w:t>
      </w:r>
    </w:p>
    <w:p w14:paraId="1E02E030" w14:textId="21307B2B" w:rsidR="00940180" w:rsidRPr="00EF2F18" w:rsidRDefault="000F7487" w:rsidP="00F15588">
      <w:pPr>
        <w:pStyle w:val="NormalWeb"/>
        <w:spacing w:before="0" w:beforeAutospacing="0" w:after="0" w:afterAutospacing="0"/>
        <w:jc w:val="center"/>
        <w:rPr>
          <w:sz w:val="22"/>
          <w:szCs w:val="22"/>
          <w:shd w:val="clear" w:color="auto" w:fill="FFFFFF"/>
          <w:lang w:val="sr-Cyrl-RS"/>
        </w:rPr>
      </w:pPr>
      <w:r w:rsidRPr="00EF2F18">
        <w:rPr>
          <w:noProof/>
          <w:lang w:val="sr-Cyrl-RS" w:eastAsia="sr-Cyrl-RS"/>
        </w:rPr>
        <w:drawing>
          <wp:inline distT="0" distB="0" distL="0" distR="0" wp14:anchorId="5B7221F9" wp14:editId="09794199">
            <wp:extent cx="2771598" cy="1568334"/>
            <wp:effectExtent l="0" t="0" r="0" b="0"/>
            <wp:docPr id="54167188" name="Picture 53" descr="A graph of blue bar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7188" name="Picture 53" descr="A graph of blue bars with numbers&#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81123" cy="1573724"/>
                    </a:xfrm>
                    <a:prstGeom prst="rect">
                      <a:avLst/>
                    </a:prstGeom>
                    <a:noFill/>
                    <a:ln>
                      <a:noFill/>
                    </a:ln>
                  </pic:spPr>
                </pic:pic>
              </a:graphicData>
            </a:graphic>
          </wp:inline>
        </w:drawing>
      </w:r>
    </w:p>
    <w:p w14:paraId="56FE61B4" w14:textId="55FABC47" w:rsidR="00F81F78" w:rsidRPr="00EF2F18" w:rsidRDefault="00F81F78" w:rsidP="00940180">
      <w:pPr>
        <w:pStyle w:val="NormalWeb"/>
        <w:spacing w:before="0" w:beforeAutospacing="0" w:after="0" w:afterAutospacing="0"/>
        <w:jc w:val="both"/>
        <w:rPr>
          <w:sz w:val="22"/>
          <w:szCs w:val="22"/>
          <w:lang w:val="sr-Cyrl-RS"/>
        </w:rPr>
      </w:pPr>
      <w:r w:rsidRPr="00EF2F18">
        <w:rPr>
          <w:b/>
          <w:bCs/>
          <w:sz w:val="22"/>
          <w:szCs w:val="22"/>
          <w:lang w:val="sr-Cyrl-RS"/>
        </w:rPr>
        <w:t xml:space="preserve">Слика </w:t>
      </w:r>
      <w:r w:rsidR="00C0735C" w:rsidRPr="00EF2F18">
        <w:rPr>
          <w:b/>
          <w:bCs/>
          <w:sz w:val="22"/>
          <w:szCs w:val="22"/>
          <w:lang w:val="sr-Cyrl-RS"/>
        </w:rPr>
        <w:t>3</w:t>
      </w:r>
      <w:r w:rsidR="00F36CC7" w:rsidRPr="00EF2F18">
        <w:rPr>
          <w:b/>
          <w:bCs/>
          <w:sz w:val="22"/>
          <w:szCs w:val="22"/>
          <w:lang w:val="sr-Cyrl-RS"/>
        </w:rPr>
        <w:t>.</w:t>
      </w:r>
      <w:r w:rsidR="00DE003D" w:rsidRPr="00EF2F18">
        <w:rPr>
          <w:b/>
          <w:bCs/>
          <w:sz w:val="22"/>
          <w:szCs w:val="22"/>
          <w:lang w:val="sr-Cyrl-RS"/>
        </w:rPr>
        <w:t>25</w:t>
      </w:r>
      <w:r w:rsidR="00F36CC7" w:rsidRPr="00EF2F18">
        <w:rPr>
          <w:b/>
          <w:bCs/>
          <w:sz w:val="22"/>
          <w:szCs w:val="22"/>
          <w:lang w:val="sr-Cyrl-RS"/>
        </w:rPr>
        <w:t>.</w:t>
      </w:r>
      <w:r w:rsidRPr="00EF2F18">
        <w:rPr>
          <w:sz w:val="22"/>
          <w:szCs w:val="22"/>
          <w:lang w:val="sr-Cyrl-RS"/>
        </w:rPr>
        <w:t xml:space="preserve"> Губици воде у водоводној мрежи Републике Србије (</w:t>
      </w:r>
      <w:r w:rsidR="000F7487" w:rsidRPr="00EF2F18">
        <w:rPr>
          <w:sz w:val="22"/>
          <w:szCs w:val="22"/>
          <w:lang w:val="sr-Cyrl-RS"/>
        </w:rPr>
        <w:t>2013</w:t>
      </w:r>
      <w:r w:rsidRPr="00EF2F18">
        <w:rPr>
          <w:sz w:val="22"/>
          <w:szCs w:val="22"/>
          <w:lang w:val="sr-Cyrl-RS"/>
        </w:rPr>
        <w:t>-</w:t>
      </w:r>
      <w:r w:rsidR="000F7487" w:rsidRPr="00EF2F18">
        <w:rPr>
          <w:sz w:val="22"/>
          <w:szCs w:val="22"/>
          <w:lang w:val="sr-Cyrl-RS"/>
        </w:rPr>
        <w:t>2022</w:t>
      </w:r>
      <w:r w:rsidRPr="00EF2F18">
        <w:rPr>
          <w:sz w:val="22"/>
          <w:szCs w:val="22"/>
          <w:lang w:val="sr-Cyrl-RS"/>
        </w:rPr>
        <w:t>. године)</w:t>
      </w:r>
    </w:p>
    <w:p w14:paraId="285B7E45" w14:textId="0F15D553" w:rsidR="00F81F78" w:rsidRPr="00EF2F18" w:rsidRDefault="00A634C6" w:rsidP="00940180">
      <w:pPr>
        <w:pStyle w:val="NormalWeb"/>
        <w:spacing w:before="0" w:beforeAutospacing="0" w:after="0" w:afterAutospacing="0"/>
        <w:jc w:val="both"/>
        <w:rPr>
          <w:sz w:val="22"/>
          <w:szCs w:val="22"/>
          <w:lang w:val="sr-Cyrl-RS"/>
        </w:rPr>
      </w:pPr>
      <w:r w:rsidRPr="00EF2F18">
        <w:rPr>
          <w:i/>
          <w:sz w:val="22"/>
          <w:szCs w:val="22"/>
          <w:lang w:val="sr-Cyrl-RS"/>
        </w:rPr>
        <w:t xml:space="preserve">Извор: Агенција за заштиту животне средине, </w:t>
      </w:r>
      <w:r w:rsidR="000F7487" w:rsidRPr="00EF2F18">
        <w:rPr>
          <w:i/>
          <w:sz w:val="22"/>
          <w:szCs w:val="22"/>
          <w:lang w:val="sr-Cyrl-RS"/>
        </w:rPr>
        <w:t>2024</w:t>
      </w:r>
      <w:r w:rsidRPr="00EF2F18">
        <w:rPr>
          <w:i/>
          <w:sz w:val="22"/>
          <w:szCs w:val="22"/>
          <w:lang w:val="sr-Cyrl-RS"/>
        </w:rPr>
        <w:t>.</w:t>
      </w:r>
    </w:p>
    <w:p w14:paraId="37AED8E5" w14:textId="77777777" w:rsidR="004923B1" w:rsidRPr="00EF2F18" w:rsidRDefault="004923B1" w:rsidP="004923B1">
      <w:pPr>
        <w:autoSpaceDE w:val="0"/>
        <w:autoSpaceDN w:val="0"/>
        <w:adjustRightInd w:val="0"/>
        <w:spacing w:after="0"/>
        <w:jc w:val="both"/>
        <w:rPr>
          <w:rFonts w:cs="Times New Roman"/>
          <w:i/>
          <w:sz w:val="22"/>
          <w:lang w:val="sr-Cyrl-RS"/>
        </w:rPr>
      </w:pPr>
    </w:p>
    <w:p w14:paraId="718C8A9F" w14:textId="1DA260E6" w:rsidR="004923B1" w:rsidRPr="00EF2F18" w:rsidRDefault="004923B1" w:rsidP="00F106C9">
      <w:pPr>
        <w:autoSpaceDE w:val="0"/>
        <w:autoSpaceDN w:val="0"/>
        <w:adjustRightInd w:val="0"/>
        <w:spacing w:after="0"/>
        <w:ind w:firstLine="720"/>
        <w:jc w:val="both"/>
        <w:rPr>
          <w:rFonts w:cs="Times New Roman"/>
          <w:b/>
          <w:bCs/>
          <w:i/>
          <w:sz w:val="22"/>
          <w:lang w:val="sr-Cyrl-RS"/>
        </w:rPr>
      </w:pPr>
      <w:r w:rsidRPr="00EF2F18">
        <w:rPr>
          <w:rFonts w:cs="Times New Roman"/>
          <w:b/>
          <w:bCs/>
          <w:i/>
          <w:sz w:val="22"/>
          <w:lang w:val="sr-Cyrl-RS"/>
        </w:rPr>
        <w:t>Вод</w:t>
      </w:r>
      <w:r w:rsidR="00A2305D" w:rsidRPr="00EF2F18">
        <w:rPr>
          <w:rFonts w:cs="Times New Roman"/>
          <w:b/>
          <w:bCs/>
          <w:i/>
          <w:sz w:val="22"/>
          <w:lang w:val="sr-Cyrl-RS"/>
        </w:rPr>
        <w:t>а</w:t>
      </w:r>
      <w:r w:rsidRPr="00EF2F18">
        <w:rPr>
          <w:rFonts w:cs="Times New Roman"/>
          <w:b/>
          <w:bCs/>
          <w:i/>
          <w:sz w:val="22"/>
          <w:lang w:val="sr-Cyrl-RS"/>
        </w:rPr>
        <w:t xml:space="preserve"> за пиће</w:t>
      </w:r>
    </w:p>
    <w:p w14:paraId="097C5E11" w14:textId="3EC95F76" w:rsidR="00211DE4" w:rsidRPr="00EF2F18" w:rsidRDefault="00211DE4" w:rsidP="00211DE4">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Проценат становника прикључених на јавни водовод константно расте у периоду 2000-</w:t>
      </w:r>
      <w:r w:rsidR="000F7487" w:rsidRPr="00EF2F18">
        <w:rPr>
          <w:rFonts w:cs="Times New Roman"/>
          <w:sz w:val="22"/>
          <w:lang w:val="sr-Cyrl-RS"/>
        </w:rPr>
        <w:t>2022</w:t>
      </w:r>
      <w:r w:rsidRPr="00EF2F18">
        <w:rPr>
          <w:rFonts w:cs="Times New Roman"/>
          <w:sz w:val="22"/>
          <w:lang w:val="sr-Cyrl-RS"/>
        </w:rPr>
        <w:t xml:space="preserve">. године. Прикљученост од 65% у 2000. години је до </w:t>
      </w:r>
      <w:r w:rsidR="000F7487" w:rsidRPr="00EF2F18">
        <w:rPr>
          <w:rFonts w:cs="Times New Roman"/>
          <w:sz w:val="22"/>
          <w:lang w:val="sr-Cyrl-RS"/>
        </w:rPr>
        <w:t>2022</w:t>
      </w:r>
      <w:r w:rsidRPr="00EF2F18">
        <w:rPr>
          <w:rFonts w:cs="Times New Roman"/>
          <w:sz w:val="22"/>
          <w:lang w:val="sr-Cyrl-RS"/>
        </w:rPr>
        <w:t xml:space="preserve">. године порасла за </w:t>
      </w:r>
      <w:r w:rsidR="000F7487" w:rsidRPr="00EF2F18">
        <w:rPr>
          <w:rFonts w:cs="Times New Roman"/>
          <w:sz w:val="22"/>
          <w:lang w:val="sr-Cyrl-RS"/>
        </w:rPr>
        <w:t>28</w:t>
      </w:r>
      <w:r w:rsidRPr="00EF2F18">
        <w:rPr>
          <w:rFonts w:cs="Times New Roman"/>
          <w:sz w:val="22"/>
          <w:lang w:val="sr-Cyrl-RS"/>
        </w:rPr>
        <w:t>,</w:t>
      </w:r>
      <w:r w:rsidR="000F7487" w:rsidRPr="00EF2F18">
        <w:rPr>
          <w:rFonts w:cs="Times New Roman"/>
          <w:sz w:val="22"/>
          <w:lang w:val="sr-Cyrl-RS"/>
        </w:rPr>
        <w:t>7</w:t>
      </w:r>
      <w:r w:rsidRPr="00EF2F18">
        <w:rPr>
          <w:rFonts w:cs="Times New Roman"/>
          <w:sz w:val="22"/>
          <w:lang w:val="sr-Cyrl-RS"/>
        </w:rPr>
        <w:t xml:space="preserve">% и у </w:t>
      </w:r>
      <w:r w:rsidR="000F7487" w:rsidRPr="00EF2F18">
        <w:rPr>
          <w:rFonts w:cs="Times New Roman"/>
          <w:sz w:val="22"/>
          <w:lang w:val="sr-Cyrl-RS"/>
        </w:rPr>
        <w:t>2022</w:t>
      </w:r>
      <w:r w:rsidRPr="00EF2F18">
        <w:rPr>
          <w:rFonts w:cs="Times New Roman"/>
          <w:sz w:val="22"/>
          <w:lang w:val="sr-Cyrl-RS"/>
        </w:rPr>
        <w:t xml:space="preserve">. години износи </w:t>
      </w:r>
      <w:r w:rsidR="000F7487" w:rsidRPr="00EF2F18">
        <w:rPr>
          <w:rFonts w:cs="Times New Roman"/>
          <w:sz w:val="22"/>
          <w:lang w:val="sr-Cyrl-RS"/>
        </w:rPr>
        <w:t>93</w:t>
      </w:r>
      <w:r w:rsidRPr="00EF2F18">
        <w:rPr>
          <w:rFonts w:cs="Times New Roman"/>
          <w:sz w:val="22"/>
          <w:lang w:val="sr-Cyrl-RS"/>
        </w:rPr>
        <w:t>,</w:t>
      </w:r>
      <w:r w:rsidR="000F7487" w:rsidRPr="00EF2F18">
        <w:rPr>
          <w:rFonts w:cs="Times New Roman"/>
          <w:sz w:val="22"/>
          <w:lang w:val="sr-Cyrl-RS"/>
        </w:rPr>
        <w:t>7</w:t>
      </w:r>
      <w:r w:rsidRPr="00EF2F18">
        <w:rPr>
          <w:rFonts w:cs="Times New Roman"/>
          <w:sz w:val="22"/>
          <w:lang w:val="sr-Cyrl-RS"/>
        </w:rPr>
        <w:t>% што ће већем броју становништва и привреди насеља обезбедити воду за пиће и производњу која испуњава услове у погледу здравствене исправности</w:t>
      </w:r>
      <w:r w:rsidR="00BF78D1" w:rsidRPr="00EF2F18">
        <w:rPr>
          <w:rFonts w:cs="Times New Roman"/>
          <w:sz w:val="22"/>
          <w:lang w:val="sr-Cyrl-RS"/>
        </w:rPr>
        <w:t xml:space="preserve">. </w:t>
      </w:r>
    </w:p>
    <w:p w14:paraId="3524D614" w14:textId="77777777" w:rsidR="008C077C" w:rsidRPr="00EF2F18" w:rsidRDefault="008C077C" w:rsidP="00211DE4">
      <w:pPr>
        <w:autoSpaceDE w:val="0"/>
        <w:autoSpaceDN w:val="0"/>
        <w:adjustRightInd w:val="0"/>
        <w:spacing w:after="0"/>
        <w:ind w:firstLine="720"/>
        <w:jc w:val="both"/>
        <w:rPr>
          <w:rFonts w:cs="Times New Roman"/>
          <w:sz w:val="22"/>
          <w:lang w:val="sr-Cyrl-RS"/>
        </w:rPr>
      </w:pPr>
    </w:p>
    <w:p w14:paraId="15D64F1C" w14:textId="515EF2B7" w:rsidR="00F15588" w:rsidRPr="00EF2F18" w:rsidRDefault="000F7487" w:rsidP="00F15588">
      <w:pPr>
        <w:autoSpaceDE w:val="0"/>
        <w:autoSpaceDN w:val="0"/>
        <w:adjustRightInd w:val="0"/>
        <w:spacing w:after="0"/>
        <w:jc w:val="center"/>
        <w:rPr>
          <w:rFonts w:cs="Times New Roman"/>
          <w:sz w:val="22"/>
          <w:lang w:val="sr-Cyrl-RS"/>
        </w:rPr>
      </w:pPr>
      <w:r w:rsidRPr="00EF2F18">
        <w:rPr>
          <w:noProof/>
          <w:lang w:val="sr-Cyrl-RS" w:eastAsia="sr-Cyrl-RS"/>
        </w:rPr>
        <w:drawing>
          <wp:inline distT="0" distB="0" distL="0" distR="0" wp14:anchorId="3A5D5EE1" wp14:editId="66A8F0C8">
            <wp:extent cx="3265904" cy="1483360"/>
            <wp:effectExtent l="0" t="0" r="0" b="2540"/>
            <wp:docPr id="343939714" name="Picture 57" descr="A graph showing the number of the y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39714" name="Picture 57" descr="A graph showing the number of the year&#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82416" cy="1490859"/>
                    </a:xfrm>
                    <a:prstGeom prst="rect">
                      <a:avLst/>
                    </a:prstGeom>
                    <a:noFill/>
                    <a:ln>
                      <a:noFill/>
                    </a:ln>
                  </pic:spPr>
                </pic:pic>
              </a:graphicData>
            </a:graphic>
          </wp:inline>
        </w:drawing>
      </w:r>
    </w:p>
    <w:p w14:paraId="48F49A0E" w14:textId="140B77E4" w:rsidR="00211DE4" w:rsidRPr="00EF2F18" w:rsidRDefault="00211DE4" w:rsidP="00211DE4">
      <w:pPr>
        <w:autoSpaceDE w:val="0"/>
        <w:autoSpaceDN w:val="0"/>
        <w:adjustRightInd w:val="0"/>
        <w:spacing w:after="0"/>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DE003D" w:rsidRPr="00EF2F18">
        <w:rPr>
          <w:rFonts w:cs="Times New Roman"/>
          <w:b/>
          <w:bCs/>
          <w:sz w:val="22"/>
          <w:lang w:val="sr-Cyrl-RS"/>
        </w:rPr>
        <w:t>26</w:t>
      </w:r>
      <w:r w:rsidR="00F36CC7" w:rsidRPr="00EF2F18">
        <w:rPr>
          <w:rFonts w:cs="Times New Roman"/>
          <w:b/>
          <w:bCs/>
          <w:sz w:val="22"/>
          <w:lang w:val="sr-Cyrl-RS"/>
        </w:rPr>
        <w:t>.</w:t>
      </w:r>
      <w:r w:rsidRPr="00EF2F18">
        <w:rPr>
          <w:rFonts w:cs="Times New Roman"/>
          <w:sz w:val="22"/>
          <w:lang w:val="sr-Cyrl-RS"/>
        </w:rPr>
        <w:t xml:space="preserve"> Проценат становника прикључених на јавни водовод (2000-202</w:t>
      </w:r>
      <w:r w:rsidR="000F7487" w:rsidRPr="00EF2F18">
        <w:rPr>
          <w:rFonts w:cs="Times New Roman"/>
          <w:sz w:val="22"/>
          <w:lang w:val="sr-Cyrl-RS"/>
        </w:rPr>
        <w:t>2</w:t>
      </w:r>
      <w:r w:rsidRPr="00EF2F18">
        <w:rPr>
          <w:rFonts w:cs="Times New Roman"/>
          <w:sz w:val="22"/>
          <w:lang w:val="sr-Cyrl-RS"/>
        </w:rPr>
        <w:t>. годинe)</w:t>
      </w:r>
    </w:p>
    <w:p w14:paraId="0C036DA0" w14:textId="6B00215A" w:rsidR="00211DE4" w:rsidRPr="00EF2F18" w:rsidRDefault="00A634C6" w:rsidP="00211DE4">
      <w:pPr>
        <w:autoSpaceDE w:val="0"/>
        <w:autoSpaceDN w:val="0"/>
        <w:adjustRightInd w:val="0"/>
        <w:spacing w:after="0"/>
        <w:rPr>
          <w:rFonts w:cs="Times New Roman"/>
          <w:sz w:val="22"/>
          <w:lang w:val="sr-Cyrl-RS"/>
        </w:rPr>
      </w:pPr>
      <w:r w:rsidRPr="00EF2F18">
        <w:rPr>
          <w:rFonts w:cs="Times New Roman"/>
          <w:i/>
          <w:sz w:val="22"/>
          <w:lang w:val="sr-Cyrl-RS"/>
        </w:rPr>
        <w:t xml:space="preserve">Извор: Агенција за заштиту животне средине, </w:t>
      </w:r>
      <w:r w:rsidR="001F582B" w:rsidRPr="00EF2F18">
        <w:rPr>
          <w:rFonts w:cs="Times New Roman"/>
          <w:i/>
          <w:sz w:val="22"/>
          <w:lang w:val="sr-Cyrl-RS"/>
        </w:rPr>
        <w:t>2024</w:t>
      </w:r>
      <w:r w:rsidRPr="00EF2F18">
        <w:rPr>
          <w:rFonts w:cs="Times New Roman"/>
          <w:i/>
          <w:sz w:val="22"/>
          <w:lang w:val="sr-Cyrl-RS"/>
        </w:rPr>
        <w:t>.</w:t>
      </w:r>
    </w:p>
    <w:p w14:paraId="4A3FA3EA" w14:textId="68354D9C" w:rsidR="00BF78D1" w:rsidRPr="00EF2F18" w:rsidRDefault="000F7487" w:rsidP="000F7487">
      <w:pPr>
        <w:autoSpaceDE w:val="0"/>
        <w:autoSpaceDN w:val="0"/>
        <w:adjustRightInd w:val="0"/>
        <w:spacing w:after="0"/>
        <w:ind w:firstLine="720"/>
        <w:jc w:val="both"/>
        <w:rPr>
          <w:rFonts w:eastAsia="TimesNewRoman" w:cs="Times New Roman"/>
          <w:sz w:val="22"/>
          <w:lang w:val="sr-Cyrl-RS"/>
        </w:rPr>
      </w:pPr>
      <w:r w:rsidRPr="00EF2F18">
        <w:rPr>
          <w:rFonts w:cs="Times New Roman"/>
          <w:sz w:val="22"/>
          <w:lang w:val="sr-Cyrl-RS"/>
        </w:rPr>
        <w:lastRenderedPageBreak/>
        <w:t xml:space="preserve">Количине захваћене воде за јавне водоводе у периоду 2013-2022. године износиле су просечно 661 милион m3 годишње, док су количине испоручене воде у истом периоду износиле просечно 432 милиона m3 годишње и обе имају растући тренд. </w:t>
      </w:r>
      <w:r w:rsidR="00BF78D1" w:rsidRPr="00EF2F18">
        <w:rPr>
          <w:rFonts w:cs="Times New Roman"/>
          <w:sz w:val="22"/>
          <w:lang w:val="sr-Cyrl-RS"/>
        </w:rPr>
        <w:t>У 2021</w:t>
      </w:r>
      <w:r w:rsidR="00F81F78" w:rsidRPr="00EF2F18">
        <w:rPr>
          <w:rFonts w:cs="Times New Roman"/>
          <w:sz w:val="22"/>
          <w:lang w:val="sr-Cyrl-RS"/>
        </w:rPr>
        <w:t>.</w:t>
      </w:r>
      <w:r w:rsidR="00BF78D1" w:rsidRPr="00EF2F18">
        <w:rPr>
          <w:rFonts w:cs="Times New Roman"/>
          <w:sz w:val="22"/>
          <w:lang w:val="sr-Cyrl-RS"/>
        </w:rPr>
        <w:t xml:space="preserve">, системима јавних водовода захваћено је за 1,4% више воде за пиће у односу на исти период 2020. године, а домаћинствима је испоручено 0,8% више воде од количине испоручене у 2020. Укупни удео становништва </w:t>
      </w:r>
      <w:r w:rsidR="00211DE4" w:rsidRPr="00EF2F18">
        <w:rPr>
          <w:rFonts w:cs="Times New Roman"/>
          <w:sz w:val="22"/>
          <w:lang w:val="sr-Cyrl-RS"/>
        </w:rPr>
        <w:t xml:space="preserve">прикључених на водовод </w:t>
      </w:r>
      <w:r w:rsidR="00BF78D1" w:rsidRPr="00EF2F18">
        <w:rPr>
          <w:rFonts w:cs="Times New Roman"/>
          <w:sz w:val="22"/>
          <w:lang w:val="sr-Cyrl-RS"/>
        </w:rPr>
        <w:t>кој</w:t>
      </w:r>
      <w:r w:rsidR="00211DE4" w:rsidRPr="00EF2F18">
        <w:rPr>
          <w:rFonts w:cs="Times New Roman"/>
          <w:sz w:val="22"/>
          <w:lang w:val="sr-Cyrl-RS"/>
        </w:rPr>
        <w:t>и</w:t>
      </w:r>
      <w:r w:rsidR="00BF78D1" w:rsidRPr="00EF2F18">
        <w:rPr>
          <w:rFonts w:cs="Times New Roman"/>
          <w:sz w:val="22"/>
          <w:lang w:val="sr-Cyrl-RS"/>
        </w:rPr>
        <w:t xml:space="preserve"> користи пијаћу воду из система којима се безбедно управља износи 75% у 2020. години и</w:t>
      </w:r>
      <w:r w:rsidR="00211DE4" w:rsidRPr="00EF2F18">
        <w:rPr>
          <w:rFonts w:cs="Times New Roman"/>
          <w:sz w:val="22"/>
          <w:lang w:val="sr-Cyrl-RS"/>
        </w:rPr>
        <w:t xml:space="preserve"> није се мењао од 2004. године, </w:t>
      </w:r>
      <w:r w:rsidR="00F81F78" w:rsidRPr="00EF2F18">
        <w:rPr>
          <w:rFonts w:cs="Times New Roman"/>
          <w:sz w:val="22"/>
          <w:lang w:val="sr-Cyrl-RS"/>
        </w:rPr>
        <w:t>од чега је</w:t>
      </w:r>
      <w:r w:rsidR="00211DE4" w:rsidRPr="00EF2F18">
        <w:rPr>
          <w:rFonts w:cs="Times New Roman"/>
          <w:sz w:val="22"/>
          <w:lang w:val="sr-Cyrl-RS"/>
        </w:rPr>
        <w:t xml:space="preserve"> 82% градског</w:t>
      </w:r>
      <w:r w:rsidR="00F81F78" w:rsidRPr="00EF2F18">
        <w:rPr>
          <w:rFonts w:cs="Times New Roman"/>
          <w:sz w:val="22"/>
          <w:lang w:val="sr-Cyrl-RS"/>
        </w:rPr>
        <w:t xml:space="preserve"> </w:t>
      </w:r>
      <w:r w:rsidR="00211DE4" w:rsidRPr="00EF2F18">
        <w:rPr>
          <w:rFonts w:cs="Times New Roman"/>
          <w:sz w:val="22"/>
          <w:lang w:val="sr-Cyrl-RS"/>
        </w:rPr>
        <w:t>становништва и 67% у осталим насељима (руралне области</w:t>
      </w:r>
      <w:r w:rsidR="00F81F78" w:rsidRPr="00EF2F18">
        <w:rPr>
          <w:rFonts w:cs="Times New Roman"/>
          <w:sz w:val="22"/>
          <w:lang w:val="sr-Cyrl-RS"/>
        </w:rPr>
        <w:t>).</w:t>
      </w:r>
      <w:r w:rsidR="00BF78D1" w:rsidRPr="00EF2F18">
        <w:rPr>
          <w:rFonts w:cs="Times New Roman"/>
          <w:sz w:val="22"/>
          <w:lang w:val="sr-Cyrl-RS"/>
        </w:rPr>
        <w:t xml:space="preserve"> Квалитет испоручене воде није задовољавајући у неким деловима </w:t>
      </w:r>
      <w:r w:rsidR="0084504E" w:rsidRPr="00EF2F18">
        <w:rPr>
          <w:rFonts w:cs="Times New Roman"/>
          <w:sz w:val="22"/>
          <w:lang w:val="sr-Cyrl-RS"/>
        </w:rPr>
        <w:t xml:space="preserve">Републике </w:t>
      </w:r>
      <w:r w:rsidR="00BF78D1" w:rsidRPr="00EF2F18">
        <w:rPr>
          <w:rFonts w:cs="Times New Roman"/>
          <w:sz w:val="22"/>
          <w:lang w:val="sr-Cyrl-RS"/>
        </w:rPr>
        <w:t xml:space="preserve">Србије, посебно у Војводини и делу долине Велике Мораве. </w:t>
      </w:r>
      <w:r w:rsidR="00DC1402" w:rsidRPr="00EF2F18">
        <w:rPr>
          <w:rFonts w:cs="Times New Roman"/>
          <w:sz w:val="22"/>
          <w:lang w:val="sr-Cyrl-RS"/>
        </w:rPr>
        <w:t>Према испитивањима Института за јавно здравље Србије „Др Милан Јовановић Батут”, 16,2% становништва Републике Србије у 2020. години и 16,8% у 2021. години, који су прикључени на водовод, користило је воду за пиће која се у физичко-хемијском смислу може окарактерисати као лоша, веома лоша или вода алармантног квалитета са израженим ризиком по здравље. У АП Војводини удео тог становништва износио је 43,53% у 2020. години и 49,9% у 2021. години. Воду из јавних водовода градских насеља која је у микробиолошком смислу са нивоом ризика по здравље људи умерен, велики и огроман користило је 16,3% становништва Републике Србије прикључених на водовод у 2020. години, а 14,3% у 2021. години, док је у АП Војводини тај удео износио 41,8% и 35,4%, респективно</w:t>
      </w:r>
      <w:r w:rsidR="00BF78D1" w:rsidRPr="00EF2F18">
        <w:rPr>
          <w:rFonts w:eastAsia="TimesNewRoman" w:cs="Times New Roman"/>
          <w:sz w:val="22"/>
          <w:lang w:val="sr-Cyrl-RS"/>
        </w:rPr>
        <w:t>.</w:t>
      </w:r>
      <w:r w:rsidR="00BF78D1" w:rsidRPr="00EF2F18">
        <w:rPr>
          <w:rFonts w:cs="Times New Roman"/>
          <w:sz w:val="22"/>
          <w:lang w:val="sr-Cyrl-RS"/>
        </w:rPr>
        <w:t xml:space="preserve"> </w:t>
      </w:r>
      <w:r w:rsidR="00BF78D1" w:rsidRPr="00EF2F18">
        <w:rPr>
          <w:rFonts w:eastAsia="TimesNewRoman" w:cs="Times New Roman"/>
          <w:sz w:val="22"/>
          <w:lang w:val="sr-Cyrl-RS"/>
        </w:rPr>
        <w:t xml:space="preserve">Још увек је присутан неодговарајући квалитет воде за пиће у великом делу АП Војводине (посебно у Бачкој и Банату), Поморавља, деловима Шумадије и бројним мањим општинама, с тим што је на простору АП Војводине физичко-хемијска неисправност узорака везана превасходно за природне карактеристике подземне воде, док су за централну Србију одступања често везана за садржај нитрата. Емисије тешких метала износе око 0,1% укупних емисија загађујућих материја. Емисија цинка и једињења цинка бележи опадајући тренд у 2021. години, али је и даље знатно већа у односу на укупне емисије осталих тешких метала. Генерално, премашивање максималних дозвољених концентрација загађујућих материја у води за пиће чешће се јавља у малим системима за водоснабдевање и мањим насељима, а ређе у великим градовима. </w:t>
      </w:r>
    </w:p>
    <w:p w14:paraId="2B42406B" w14:textId="56C5FA41" w:rsidR="00B55385" w:rsidRPr="00EF2F18" w:rsidRDefault="00BF78D1" w:rsidP="00D40F59">
      <w:pPr>
        <w:spacing w:after="0"/>
        <w:ind w:firstLine="720"/>
        <w:jc w:val="both"/>
        <w:rPr>
          <w:rFonts w:cs="Times New Roman"/>
          <w:sz w:val="22"/>
          <w:lang w:val="sr-Cyrl-RS"/>
        </w:rPr>
      </w:pPr>
      <w:r w:rsidRPr="00EF2F18">
        <w:rPr>
          <w:rFonts w:cs="Times New Roman"/>
          <w:sz w:val="22"/>
          <w:lang w:val="sr-Cyrl-RS"/>
        </w:rPr>
        <w:t>Неодговарајући квалитет воде за пиће, присутан у великом делу АП Војводине (посебно у Бачкој и Банату), Поморавља, деловима Шумадије и бројним мањим општинама представ</w:t>
      </w:r>
      <w:r w:rsidR="0084504E" w:rsidRPr="00EF2F18">
        <w:rPr>
          <w:rFonts w:cs="Times New Roman"/>
          <w:sz w:val="22"/>
          <w:lang w:val="sr-Cyrl-RS"/>
        </w:rPr>
        <w:t>љ</w:t>
      </w:r>
      <w:r w:rsidRPr="00EF2F18">
        <w:rPr>
          <w:rFonts w:cs="Times New Roman"/>
          <w:sz w:val="22"/>
          <w:lang w:val="sr-Cyrl-RS"/>
        </w:rPr>
        <w:t>а основни проблем квалитета воде у</w:t>
      </w:r>
      <w:r w:rsidR="0084504E" w:rsidRPr="00EF2F18">
        <w:rPr>
          <w:rFonts w:cs="Times New Roman"/>
          <w:sz w:val="22"/>
          <w:lang w:val="sr-Cyrl-RS"/>
        </w:rPr>
        <w:t xml:space="preserve"> Републици</w:t>
      </w:r>
      <w:r w:rsidRPr="00EF2F18">
        <w:rPr>
          <w:rFonts w:cs="Times New Roman"/>
          <w:sz w:val="22"/>
          <w:lang w:val="sr-Cyrl-RS"/>
        </w:rPr>
        <w:t xml:space="preserve"> Србији. Осим тога, као велики проблем издваја се</w:t>
      </w:r>
      <w:r w:rsidR="00B9180A" w:rsidRPr="00EF2F18">
        <w:rPr>
          <w:rFonts w:cs="Times New Roman"/>
          <w:sz w:val="22"/>
          <w:lang w:val="sr-Cyrl-RS"/>
        </w:rPr>
        <w:t xml:space="preserve"> </w:t>
      </w:r>
      <w:r w:rsidRPr="00EF2F18">
        <w:rPr>
          <w:rFonts w:cs="Times New Roman"/>
          <w:sz w:val="22"/>
          <w:lang w:val="sr-Cyrl-RS"/>
        </w:rPr>
        <w:t xml:space="preserve">надексплоатација подземне воде, пре свега </w:t>
      </w:r>
      <w:r w:rsidR="00A64280" w:rsidRPr="00EF2F18">
        <w:rPr>
          <w:rFonts w:cs="Times New Roman"/>
          <w:sz w:val="22"/>
          <w:lang w:val="sr-Cyrl-RS"/>
        </w:rPr>
        <w:t xml:space="preserve">у </w:t>
      </w:r>
      <w:r w:rsidRPr="00EF2F18">
        <w:rPr>
          <w:rFonts w:cs="Times New Roman"/>
          <w:sz w:val="22"/>
          <w:lang w:val="sr-Cyrl-RS"/>
        </w:rPr>
        <w:t>АП Војводини. Изворишта воде су недовољно заштићена. Улагања у сектор вода су значајно смањена у по</w:t>
      </w:r>
      <w:r w:rsidR="00A64280" w:rsidRPr="00EF2F18">
        <w:rPr>
          <w:rFonts w:cs="Times New Roman"/>
          <w:sz w:val="22"/>
          <w:lang w:val="sr-Cyrl-RS"/>
        </w:rPr>
        <w:t>с</w:t>
      </w:r>
      <w:r w:rsidRPr="00EF2F18">
        <w:rPr>
          <w:rFonts w:cs="Times New Roman"/>
          <w:sz w:val="22"/>
          <w:lang w:val="sr-Cyrl-RS"/>
        </w:rPr>
        <w:t>ледњој деценији, како у одржавање постојећих инфраструктурних објеката, тако и у изградњу нових капацитета. Учешће инвестиција у делатностима снабдевања водом и сакупљања, одвођења и пречишћавања отпадних вода (каналисање насеља), је веома ниско и показује тренд смањења. Одржавање објеката и система у јавној својини је још увек недовољно и без поштовања одговарајућих стандарда.</w:t>
      </w:r>
    </w:p>
    <w:p w14:paraId="5C66A76B" w14:textId="77777777" w:rsidR="00CC001E" w:rsidRPr="00EF2F18" w:rsidRDefault="00CC001E" w:rsidP="00BF78D1">
      <w:pPr>
        <w:spacing w:after="0"/>
        <w:ind w:firstLine="720"/>
        <w:jc w:val="both"/>
        <w:rPr>
          <w:rFonts w:cs="Times New Roman"/>
          <w:sz w:val="22"/>
          <w:lang w:val="sr-Cyrl-RS"/>
        </w:rPr>
      </w:pPr>
    </w:p>
    <w:p w14:paraId="2E3E6378" w14:textId="2A7AC983" w:rsidR="00CC001E" w:rsidRPr="00EF2F18" w:rsidRDefault="00CC001E" w:rsidP="00F106C9">
      <w:pPr>
        <w:spacing w:after="0"/>
        <w:ind w:firstLine="720"/>
        <w:jc w:val="both"/>
        <w:rPr>
          <w:rFonts w:cs="Times New Roman"/>
          <w:b/>
          <w:bCs/>
          <w:sz w:val="22"/>
          <w:lang w:val="sr-Cyrl-RS"/>
        </w:rPr>
      </w:pPr>
      <w:r w:rsidRPr="00EF2F18">
        <w:rPr>
          <w:rFonts w:cs="Times New Roman"/>
          <w:b/>
          <w:bCs/>
          <w:i/>
          <w:iCs/>
          <w:sz w:val="22"/>
          <w:lang w:val="sr-Cyrl-RS"/>
        </w:rPr>
        <w:t>Законодавни и стратешки оквир</w:t>
      </w:r>
    </w:p>
    <w:p w14:paraId="1BAAD50D" w14:textId="2ADF2D24" w:rsidR="00A2305D" w:rsidRPr="00EF2F18" w:rsidRDefault="006549D4" w:rsidP="00A2305D">
      <w:pPr>
        <w:autoSpaceDE w:val="0"/>
        <w:autoSpaceDN w:val="0"/>
        <w:adjustRightInd w:val="0"/>
        <w:spacing w:after="0"/>
        <w:ind w:firstLine="720"/>
        <w:jc w:val="both"/>
        <w:rPr>
          <w:rFonts w:eastAsia="TimesNewRoman" w:cs="Times New Roman"/>
          <w:sz w:val="22"/>
          <w:lang w:val="sr-Cyrl-RS"/>
        </w:rPr>
      </w:pPr>
      <w:r w:rsidRPr="00EF2F18">
        <w:rPr>
          <w:rFonts w:eastAsia="TimesNewRoman" w:cs="Times New Roman"/>
          <w:sz w:val="22"/>
          <w:lang w:val="sr-Cyrl-RS"/>
        </w:rPr>
        <w:t xml:space="preserve">Стратешки оквир о заштити и одрживом коришћењу вода успостављен је доношењем </w:t>
      </w:r>
      <w:r w:rsidRPr="00EF2F18">
        <w:rPr>
          <w:rFonts w:cs="Times New Roman"/>
          <w:sz w:val="22"/>
          <w:lang w:val="sr-Cyrl-RS"/>
        </w:rPr>
        <w:t>Стратегије управљања водама за територију Републике Србије до 2034. године</w:t>
      </w:r>
      <w:r w:rsidR="0014061E" w:rsidRPr="00EF2F18">
        <w:rPr>
          <w:rFonts w:cs="Times New Roman"/>
          <w:sz w:val="22"/>
          <w:lang w:val="sr-Cyrl-RS"/>
        </w:rPr>
        <w:t xml:space="preserve"> („Службени гласник РС</w:t>
      </w:r>
      <w:r w:rsidR="008B2E3A" w:rsidRPr="00EF2F18">
        <w:rPr>
          <w:rFonts w:cs="Times New Roman"/>
          <w:sz w:val="22"/>
          <w:lang w:val="sr-Cyrl-RS"/>
        </w:rPr>
        <w:t>”</w:t>
      </w:r>
      <w:r w:rsidR="0014061E" w:rsidRPr="00EF2F18">
        <w:rPr>
          <w:rFonts w:cs="Times New Roman"/>
          <w:sz w:val="22"/>
          <w:lang w:val="sr-Cyrl-RS"/>
        </w:rPr>
        <w:t>, број 3/17)</w:t>
      </w:r>
      <w:r w:rsidRPr="00EF2F18">
        <w:rPr>
          <w:rFonts w:cs="Times New Roman"/>
          <w:sz w:val="22"/>
          <w:lang w:val="sr-Cyrl-RS"/>
        </w:rPr>
        <w:t xml:space="preserve"> и Акционог плана за спровођење Стратегије управљања водама на територији Републике Србије </w:t>
      </w:r>
      <w:r w:rsidR="00980C99" w:rsidRPr="00EF2F18">
        <w:rPr>
          <w:rFonts w:cs="Times New Roman"/>
          <w:sz w:val="22"/>
          <w:lang w:val="sr-Cyrl-RS"/>
        </w:rPr>
        <w:t>за период од 2021 до 2023. године</w:t>
      </w:r>
      <w:r w:rsidR="0014061E" w:rsidRPr="00EF2F18">
        <w:rPr>
          <w:rFonts w:cs="Times New Roman"/>
          <w:sz w:val="22"/>
          <w:lang w:val="sr-Cyrl-RS"/>
        </w:rPr>
        <w:t xml:space="preserve"> („Службени гласник РС</w:t>
      </w:r>
      <w:r w:rsidR="008B2E3A" w:rsidRPr="00EF2F18">
        <w:rPr>
          <w:rFonts w:cs="Times New Roman"/>
          <w:sz w:val="22"/>
          <w:lang w:val="sr-Cyrl-RS"/>
        </w:rPr>
        <w:t>”,</w:t>
      </w:r>
      <w:r w:rsidR="0014061E" w:rsidRPr="00EF2F18">
        <w:rPr>
          <w:rFonts w:cs="Times New Roman"/>
          <w:sz w:val="22"/>
          <w:lang w:val="sr-Cyrl-RS"/>
        </w:rPr>
        <w:t xml:space="preserve"> број 79/21)</w:t>
      </w:r>
      <w:r w:rsidRPr="00EF2F18">
        <w:rPr>
          <w:rFonts w:cs="Times New Roman"/>
          <w:sz w:val="22"/>
          <w:lang w:val="sr-Cyrl-RS"/>
        </w:rPr>
        <w:t xml:space="preserve">. </w:t>
      </w:r>
      <w:r w:rsidR="00A2305D" w:rsidRPr="00EF2F18">
        <w:rPr>
          <w:rFonts w:cs="Times New Roman"/>
          <w:sz w:val="22"/>
          <w:lang w:val="sr-Cyrl-RS"/>
        </w:rPr>
        <w:t xml:space="preserve">У току је усвајање Акционог плана за спровођење Стратегије управљања водама Републике Србије </w:t>
      </w:r>
      <w:r w:rsidR="0003416B" w:rsidRPr="00EF2F18">
        <w:rPr>
          <w:rFonts w:cs="Times New Roman"/>
          <w:sz w:val="22"/>
          <w:lang w:val="sr-Cyrl-RS"/>
        </w:rPr>
        <w:t xml:space="preserve">за </w:t>
      </w:r>
      <w:r w:rsidR="00A2305D" w:rsidRPr="00EF2F18">
        <w:rPr>
          <w:rFonts w:cs="Times New Roman"/>
          <w:sz w:val="22"/>
          <w:lang w:val="sr-Cyrl-RS"/>
        </w:rPr>
        <w:t xml:space="preserve">2026. </w:t>
      </w:r>
      <w:r w:rsidR="0003416B" w:rsidRPr="00EF2F18">
        <w:rPr>
          <w:rFonts w:cs="Times New Roman"/>
          <w:sz w:val="22"/>
          <w:lang w:val="sr-Cyrl-RS"/>
        </w:rPr>
        <w:t>годину</w:t>
      </w:r>
      <w:r w:rsidR="00A2305D" w:rsidRPr="00EF2F18">
        <w:rPr>
          <w:rFonts w:cs="Times New Roman"/>
          <w:sz w:val="22"/>
          <w:lang w:val="sr-Cyrl-RS"/>
        </w:rPr>
        <w:t xml:space="preserve">. </w:t>
      </w:r>
      <w:r w:rsidRPr="00EF2F18">
        <w:rPr>
          <w:rFonts w:cs="Times New Roman"/>
          <w:sz w:val="22"/>
          <w:lang w:val="sr-Cyrl-RS"/>
        </w:rPr>
        <w:t xml:space="preserve">Стратегија представља документ који даје основу за спровођење реформе сектора вода, ради достизања потребних стандарда у управљању водама, укључујући и организационо прилагођавање и системско јачање стручних и институционалних капацитета на националном, регионалном и локалном нивоу. Стратешка опредељења и циљеви утврђени овим документом представљају </w:t>
      </w:r>
      <w:r w:rsidR="00704D50" w:rsidRPr="00EF2F18">
        <w:rPr>
          <w:rFonts w:cs="Times New Roman"/>
          <w:sz w:val="22"/>
          <w:lang w:val="sr-Cyrl-RS"/>
        </w:rPr>
        <w:t xml:space="preserve">смернице </w:t>
      </w:r>
      <w:r w:rsidRPr="00EF2F18">
        <w:rPr>
          <w:rFonts w:cs="Times New Roman"/>
          <w:sz w:val="22"/>
          <w:lang w:val="sr-Cyrl-RS"/>
        </w:rPr>
        <w:t>за израду планова управљања водама на водним подручјима, као и за предлог измене и допуне Закона о водама, укључујући и аспект финансирања. Акционим планом за спровођење Стратегије управљања водама на територији Републике Србије за период од 2021. до 2023. године дефинисани су одговарајући индикатори – показатељи, који поред праћења реализације Стратегије обезбеђују и хармонизацију са активностима које су у Европској унији релевантне за области животне средине и вода</w:t>
      </w:r>
      <w:r w:rsidR="008C37BA" w:rsidRPr="00EF2F18">
        <w:rPr>
          <w:rFonts w:cs="Times New Roman"/>
          <w:sz w:val="22"/>
          <w:lang w:val="sr-Cyrl-RS"/>
        </w:rPr>
        <w:t>;</w:t>
      </w:r>
      <w:r w:rsidRPr="00EF2F18">
        <w:rPr>
          <w:rFonts w:cs="Times New Roman"/>
          <w:sz w:val="22"/>
          <w:lang w:val="sr-Cyrl-RS"/>
        </w:rPr>
        <w:t xml:space="preserve"> специфични индикатори, које је потребно пратити на националном нивоу и параметри којима се </w:t>
      </w:r>
      <w:r w:rsidRPr="00EF2F18">
        <w:rPr>
          <w:rFonts w:cs="Times New Roman"/>
          <w:sz w:val="22"/>
          <w:lang w:val="sr-Cyrl-RS"/>
        </w:rPr>
        <w:lastRenderedPageBreak/>
        <w:t>унапређује статистика у области вода, као и активности са роковима и органима, организацијама и јавним предузећима надлежним за реализацију тих активности.</w:t>
      </w:r>
      <w:r w:rsidR="00A2305D" w:rsidRPr="00EF2F18">
        <w:rPr>
          <w:rFonts w:cs="Times New Roman"/>
          <w:sz w:val="22"/>
          <w:lang w:val="sr-Cyrl-RS"/>
        </w:rPr>
        <w:t xml:space="preserve"> Усвајањем </w:t>
      </w:r>
      <w:r w:rsidR="00A2305D" w:rsidRPr="00EF2F18">
        <w:rPr>
          <w:rFonts w:eastAsia="TimesNewRoman" w:cs="Times New Roman"/>
          <w:sz w:val="22"/>
          <w:lang w:val="sr-Cyrl-RS"/>
        </w:rPr>
        <w:t>Плана управљања водама на територији Републике Србије до 2027. године („Службени гласник РС”, број 33/23) као основног инструмента за имплементацију принципа Оквирне директиве о водама, прописују се циљеви животне средине за сва водна тела површинских и подземних вода које је потребно достићи уз спровођење активности заштите и унапређења водних ресурса. Овај план садржи и приказ карактеристика подсливова на територији Републике Србије, оцену притисака и утицаја људских активности на количину и квалитет вода, податке о мониторингу квалитета површинских и подземних вода, економске анализе и преглед програма мера за достизање доброг статуса вода. План се доноси на период од 6 година након чега се врши његова ревизија, измена и допуна у смислу оцене напредовања у постизању циљева животне средине и ефеката предузетих мера.</w:t>
      </w:r>
    </w:p>
    <w:p w14:paraId="1B748AF9" w14:textId="156BCEEA" w:rsidR="006549D4" w:rsidRPr="00EF2F18" w:rsidRDefault="006549D4" w:rsidP="006549D4">
      <w:pPr>
        <w:autoSpaceDE w:val="0"/>
        <w:autoSpaceDN w:val="0"/>
        <w:adjustRightInd w:val="0"/>
        <w:spacing w:after="0"/>
        <w:ind w:firstLine="720"/>
        <w:jc w:val="both"/>
        <w:rPr>
          <w:rFonts w:cs="Times New Roman"/>
          <w:sz w:val="22"/>
          <w:shd w:val="clear" w:color="auto" w:fill="FFFFFF" w:themeFill="background1"/>
          <w:lang w:val="sr-Cyrl-RS"/>
        </w:rPr>
      </w:pPr>
      <w:r w:rsidRPr="00EF2F18">
        <w:rPr>
          <w:rFonts w:eastAsia="TimesNewRoman" w:cs="Times New Roman"/>
          <w:sz w:val="22"/>
          <w:lang w:val="sr-Cyrl-RS"/>
        </w:rPr>
        <w:t xml:space="preserve">Транспозиција Оквирне директиве о водама у највећој мери извршена је доношењем Закона о изменама и допунама Закона о водама 2016. године. Овим </w:t>
      </w:r>
      <w:r w:rsidR="003A2709" w:rsidRPr="00EF2F18">
        <w:rPr>
          <w:rFonts w:eastAsia="TimesNewRoman" w:cs="Times New Roman"/>
          <w:sz w:val="22"/>
          <w:lang w:val="sr-Cyrl-RS"/>
        </w:rPr>
        <w:t xml:space="preserve">законом </w:t>
      </w:r>
      <w:r w:rsidRPr="00EF2F18">
        <w:rPr>
          <w:rFonts w:eastAsia="TimesNewRoman" w:cs="Times New Roman"/>
          <w:sz w:val="22"/>
          <w:lang w:val="sr-Cyrl-RS"/>
        </w:rPr>
        <w:t xml:space="preserve">извршена је и транспозиција Директиве 2008/105/EC о стандардима квалитета животне средине у области политике вода, Директиве 2006/118/EС о заштити подземне воде од загађивања и погоршавања квалитета, Директиве 91/271/ЕEС о пречишћавању комуналних отпадних вода, Директиве 91/676/ЕEС о заштити вода од загађивања узрокованог нитратима из пољопривредних извора, Директиве 98/83/EС о квалитету воде намењене за људску потрошњу, Директиве 2006/7/EС о квалитету воде за купање, Директиве 2007/60/EС о процени и управљању ризицима од поплава и Директиве 2009/90/EС која утврђује техничке спецификације за хемијске анализе и мониторинг статуса воде. </w:t>
      </w:r>
      <w:r w:rsidRPr="00EF2F18">
        <w:rPr>
          <w:rFonts w:cs="Times New Roman"/>
          <w:sz w:val="22"/>
          <w:lang w:val="sr-Cyrl-RS"/>
        </w:rPr>
        <w:t xml:space="preserve">Током 2022. године, Министарство здравља иницирало је процедуру за транспозицију Директиве 2020/2184/EU о квалитету воде намењене за људску употребу у националну законску регулативу. </w:t>
      </w:r>
      <w:bookmarkStart w:id="49" w:name="_Hlk203029007"/>
      <w:r w:rsidRPr="00EF2F18">
        <w:rPr>
          <w:rFonts w:cs="Times New Roman"/>
          <w:sz w:val="22"/>
          <w:lang w:val="sr-Cyrl-RS"/>
        </w:rPr>
        <w:t xml:space="preserve">Припремљени су </w:t>
      </w:r>
      <w:r w:rsidRPr="00EF2F18">
        <w:rPr>
          <w:rFonts w:cs="Times New Roman"/>
          <w:i/>
          <w:iCs/>
          <w:sz w:val="22"/>
          <w:lang w:val="sr-Cyrl-RS"/>
        </w:rPr>
        <w:t>нацрти новог Закона о води за пиће и Правилника о здравственој исправности воде за пиће</w:t>
      </w:r>
      <w:r w:rsidRPr="00EF2F18">
        <w:rPr>
          <w:rFonts w:cs="Times New Roman"/>
          <w:sz w:val="22"/>
          <w:lang w:val="sr-Cyrl-RS"/>
        </w:rPr>
        <w:t xml:space="preserve">, чије се усвајање очекује </w:t>
      </w:r>
      <w:r w:rsidR="005E32FE" w:rsidRPr="00EF2F18">
        <w:rPr>
          <w:rFonts w:cs="Times New Roman"/>
          <w:sz w:val="22"/>
          <w:lang w:val="sr-Cyrl-RS"/>
        </w:rPr>
        <w:t xml:space="preserve">током </w:t>
      </w:r>
      <w:r w:rsidRPr="00EF2F18">
        <w:rPr>
          <w:rFonts w:cs="Times New Roman"/>
          <w:sz w:val="22"/>
          <w:lang w:val="sr-Cyrl-RS"/>
        </w:rPr>
        <w:t>202</w:t>
      </w:r>
      <w:r w:rsidR="00511080" w:rsidRPr="00EF2F18">
        <w:rPr>
          <w:rFonts w:cs="Times New Roman"/>
          <w:sz w:val="22"/>
          <w:lang w:val="sr-Cyrl-RS"/>
        </w:rPr>
        <w:t>6</w:t>
      </w:r>
      <w:r w:rsidRPr="00EF2F18">
        <w:rPr>
          <w:rFonts w:cs="Times New Roman"/>
          <w:sz w:val="22"/>
          <w:lang w:val="sr-Cyrl-RS"/>
        </w:rPr>
        <w:t xml:space="preserve">. године. Припремљен је и </w:t>
      </w:r>
      <w:r w:rsidRPr="00EF2F18">
        <w:rPr>
          <w:rFonts w:cs="Times New Roman"/>
          <w:i/>
          <w:iCs/>
          <w:sz w:val="22"/>
          <w:lang w:val="sr-Cyrl-RS"/>
        </w:rPr>
        <w:t>нацрт Правилника о квалитету воде за купање</w:t>
      </w:r>
      <w:r w:rsidRPr="00EF2F18">
        <w:rPr>
          <w:rFonts w:cs="Times New Roman"/>
          <w:sz w:val="22"/>
          <w:lang w:val="sr-Cyrl-RS"/>
        </w:rPr>
        <w:t>, којим је транспонована Директива 2006/7/</w:t>
      </w:r>
      <w:r w:rsidRPr="00EF2F18">
        <w:rPr>
          <w:rFonts w:eastAsia="TimesNewRoman" w:cs="Times New Roman"/>
          <w:sz w:val="22"/>
          <w:lang w:val="sr-Cyrl-RS"/>
        </w:rPr>
        <w:t>EС</w:t>
      </w:r>
      <w:r w:rsidRPr="00EF2F18">
        <w:rPr>
          <w:rFonts w:cs="Times New Roman"/>
          <w:sz w:val="22"/>
          <w:lang w:val="sr-Cyrl-RS"/>
        </w:rPr>
        <w:t xml:space="preserve"> о управљању квалитетом воде за купање</w:t>
      </w:r>
      <w:bookmarkEnd w:id="49"/>
      <w:r w:rsidRPr="00EF2F18">
        <w:rPr>
          <w:rFonts w:cs="Times New Roman"/>
          <w:sz w:val="22"/>
          <w:lang w:val="sr-Cyrl-RS"/>
        </w:rPr>
        <w:t xml:space="preserve">. Одређене одредбе ове Директиве биће транспоноване кроз нови Закон о водама, Стандарди за квалитет ефлуента према Директиви о пречишћавању комуналних отпадних вода уведени су Уредбом о граничним вредностима емисије загађујућих материја у воде и роковима за њихово достизање </w:t>
      </w:r>
      <w:r w:rsidR="00B86C8E" w:rsidRPr="00EF2F18">
        <w:rPr>
          <w:rFonts w:cs="Times New Roman"/>
          <w:sz w:val="22"/>
          <w:shd w:val="clear" w:color="auto" w:fill="FFFFFF" w:themeFill="background1"/>
          <w:lang w:val="sr-Cyrl-RS"/>
        </w:rPr>
        <w:t>(„Службени</w:t>
      </w:r>
      <w:r w:rsidRPr="00EF2F18">
        <w:rPr>
          <w:rFonts w:cs="Times New Roman"/>
          <w:sz w:val="22"/>
          <w:shd w:val="clear" w:color="auto" w:fill="FFFFFF" w:themeFill="background1"/>
          <w:lang w:val="sr-Cyrl-RS"/>
        </w:rPr>
        <w:t xml:space="preserve"> гласник РС</w:t>
      </w:r>
      <w:r w:rsidR="00A64280" w:rsidRPr="00EF2F18">
        <w:rPr>
          <w:rFonts w:cs="Times New Roman"/>
          <w:sz w:val="22"/>
          <w:shd w:val="clear" w:color="auto" w:fill="FFFFFF" w:themeFill="background1"/>
          <w:lang w:val="sr-Cyrl-RS"/>
        </w:rPr>
        <w:t>”</w:t>
      </w:r>
      <w:r w:rsidR="00B86C8E" w:rsidRPr="00EF2F18">
        <w:rPr>
          <w:rFonts w:cs="Times New Roman"/>
          <w:sz w:val="22"/>
          <w:shd w:val="clear" w:color="auto" w:fill="FFFFFF" w:themeFill="background1"/>
          <w:lang w:val="sr-Cyrl-RS"/>
        </w:rPr>
        <w:t xml:space="preserve">, </w:t>
      </w:r>
      <w:r w:rsidRPr="00EF2F18">
        <w:rPr>
          <w:rFonts w:cs="Times New Roman"/>
          <w:sz w:val="22"/>
          <w:shd w:val="clear" w:color="auto" w:fill="FFFFFF" w:themeFill="background1"/>
          <w:lang w:val="sr-Cyrl-RS"/>
        </w:rPr>
        <w:t>бр. 67/11, 48/12 и 1/16)</w:t>
      </w:r>
      <w:r w:rsidR="00CC001E" w:rsidRPr="00EF2F18">
        <w:rPr>
          <w:rFonts w:cs="Times New Roman"/>
          <w:sz w:val="22"/>
          <w:shd w:val="clear" w:color="auto" w:fill="FFFFFF" w:themeFill="background1"/>
          <w:lang w:val="sr-Cyrl-RS"/>
        </w:rPr>
        <w:t xml:space="preserve">, а стандарди квалитета површинских и подземних вода прописани су Уредбом о граничним вредностима загађујућих материја у површинским и подземним водама и седименту и роковима за њихово достизање </w:t>
      </w:r>
      <w:r w:rsidR="00B86C8E" w:rsidRPr="00EF2F18">
        <w:rPr>
          <w:rFonts w:cs="Times New Roman"/>
          <w:sz w:val="22"/>
          <w:shd w:val="clear" w:color="auto" w:fill="FFFFFF" w:themeFill="background1"/>
          <w:lang w:val="sr-Cyrl-RS"/>
        </w:rPr>
        <w:t>(„</w:t>
      </w:r>
      <w:r w:rsidR="00CC001E" w:rsidRPr="00EF2F18">
        <w:rPr>
          <w:rFonts w:cs="Times New Roman"/>
          <w:sz w:val="22"/>
          <w:shd w:val="clear" w:color="auto" w:fill="FFFFFF" w:themeFill="background1"/>
          <w:lang w:val="sr-Cyrl-RS"/>
        </w:rPr>
        <w:t>Сл</w:t>
      </w:r>
      <w:r w:rsidR="00B86C8E" w:rsidRPr="00EF2F18">
        <w:rPr>
          <w:rFonts w:cs="Times New Roman"/>
          <w:sz w:val="22"/>
          <w:shd w:val="clear" w:color="auto" w:fill="FFFFFF" w:themeFill="background1"/>
          <w:lang w:val="sr-Cyrl-RS"/>
        </w:rPr>
        <w:t>ужбени</w:t>
      </w:r>
      <w:r w:rsidR="00CC001E" w:rsidRPr="00EF2F18">
        <w:rPr>
          <w:rFonts w:cs="Times New Roman"/>
          <w:sz w:val="22"/>
          <w:shd w:val="clear" w:color="auto" w:fill="FFFFFF" w:themeFill="background1"/>
          <w:lang w:val="sr-Cyrl-RS"/>
        </w:rPr>
        <w:t>. гласник РС”, бр</w:t>
      </w:r>
      <w:r w:rsidR="00927F99" w:rsidRPr="00EF2F18">
        <w:rPr>
          <w:rFonts w:cs="Times New Roman"/>
          <w:sz w:val="22"/>
          <w:shd w:val="clear" w:color="auto" w:fill="FFFFFF" w:themeFill="background1"/>
          <w:lang w:val="sr-Cyrl-RS"/>
        </w:rPr>
        <w:t>ој</w:t>
      </w:r>
      <w:r w:rsidR="00CC001E" w:rsidRPr="00EF2F18">
        <w:rPr>
          <w:rFonts w:cs="Times New Roman"/>
          <w:sz w:val="22"/>
          <w:shd w:val="clear" w:color="auto" w:fill="FFFFFF" w:themeFill="background1"/>
          <w:lang w:val="sr-Cyrl-RS"/>
        </w:rPr>
        <w:t xml:space="preserve"> 50/12) и Уредбом о граничним вредностима приоритетних и приоритетних хазардних супстанци које загађују површинске воде и роковима за њихово достизање („</w:t>
      </w:r>
      <w:r w:rsidR="00B86C8E" w:rsidRPr="00EF2F18">
        <w:rPr>
          <w:rFonts w:cs="Times New Roman"/>
          <w:sz w:val="22"/>
          <w:shd w:val="clear" w:color="auto" w:fill="FFFFFF" w:themeFill="background1"/>
          <w:lang w:val="sr-Cyrl-RS"/>
        </w:rPr>
        <w:t>Службени</w:t>
      </w:r>
      <w:r w:rsidR="00CC001E" w:rsidRPr="00EF2F18">
        <w:rPr>
          <w:rFonts w:cs="Times New Roman"/>
          <w:sz w:val="22"/>
          <w:shd w:val="clear" w:color="auto" w:fill="FFFFFF" w:themeFill="background1"/>
          <w:lang w:val="sr-Cyrl-RS"/>
        </w:rPr>
        <w:t xml:space="preserve"> гласник РС”, бр</w:t>
      </w:r>
      <w:r w:rsidR="00927F99" w:rsidRPr="00EF2F18">
        <w:rPr>
          <w:rFonts w:cs="Times New Roman"/>
          <w:sz w:val="22"/>
          <w:shd w:val="clear" w:color="auto" w:fill="FFFFFF" w:themeFill="background1"/>
          <w:lang w:val="sr-Cyrl-RS"/>
        </w:rPr>
        <w:t>ој</w:t>
      </w:r>
      <w:r w:rsidR="00CC001E" w:rsidRPr="00EF2F18">
        <w:rPr>
          <w:rFonts w:cs="Times New Roman"/>
          <w:sz w:val="22"/>
          <w:shd w:val="clear" w:color="auto" w:fill="FFFFFF" w:themeFill="background1"/>
          <w:lang w:val="sr-Cyrl-RS"/>
        </w:rPr>
        <w:t xml:space="preserve"> 24/14). Оцена статуса вода врши се приликом израде плана управљања водама на основу резултата мониторинга вода и у сладу са Правилником o параметрима еколошког и хемијског статуса површинских вода и параметрима хемијског и квантитативног статуса подземних вода („</w:t>
      </w:r>
      <w:r w:rsidR="00B86C8E" w:rsidRPr="00EF2F18">
        <w:rPr>
          <w:rFonts w:cs="Times New Roman"/>
          <w:sz w:val="22"/>
          <w:shd w:val="clear" w:color="auto" w:fill="FFFFFF" w:themeFill="background1"/>
          <w:lang w:val="sr-Cyrl-RS"/>
        </w:rPr>
        <w:t xml:space="preserve">Службени </w:t>
      </w:r>
      <w:r w:rsidR="00CC001E" w:rsidRPr="00EF2F18">
        <w:rPr>
          <w:rFonts w:cs="Times New Roman"/>
          <w:sz w:val="22"/>
          <w:shd w:val="clear" w:color="auto" w:fill="FFFFFF" w:themeFill="background1"/>
          <w:lang w:val="sr-Cyrl-RS"/>
        </w:rPr>
        <w:t>гласник РС</w:t>
      </w:r>
      <w:r w:rsidR="00A64280" w:rsidRPr="00EF2F18">
        <w:rPr>
          <w:rFonts w:cs="Times New Roman"/>
          <w:sz w:val="22"/>
          <w:shd w:val="clear" w:color="auto" w:fill="FFFFFF" w:themeFill="background1"/>
          <w:lang w:val="sr-Cyrl-RS"/>
        </w:rPr>
        <w:t xml:space="preserve">”, </w:t>
      </w:r>
      <w:r w:rsidR="00CC001E" w:rsidRPr="00EF2F18">
        <w:rPr>
          <w:rFonts w:cs="Times New Roman"/>
          <w:sz w:val="22"/>
          <w:shd w:val="clear" w:color="auto" w:fill="FFFFFF" w:themeFill="background1"/>
          <w:lang w:val="sr-Cyrl-RS"/>
        </w:rPr>
        <w:t>број 74/11).</w:t>
      </w:r>
    </w:p>
    <w:p w14:paraId="5C3521F8" w14:textId="77777777" w:rsidR="00CC001E" w:rsidRPr="00EF2F18" w:rsidRDefault="00CC001E" w:rsidP="00CC001E">
      <w:pPr>
        <w:autoSpaceDE w:val="0"/>
        <w:autoSpaceDN w:val="0"/>
        <w:adjustRightInd w:val="0"/>
        <w:spacing w:after="0"/>
        <w:jc w:val="both"/>
        <w:rPr>
          <w:rFonts w:cs="Times New Roman"/>
          <w:sz w:val="22"/>
          <w:shd w:val="clear" w:color="auto" w:fill="FFFFFF" w:themeFill="background1"/>
          <w:lang w:val="sr-Cyrl-RS"/>
        </w:rPr>
      </w:pPr>
    </w:p>
    <w:p w14:paraId="16FBE1EA" w14:textId="77777777" w:rsidR="00CC001E" w:rsidRPr="00EF2F18" w:rsidRDefault="00CC001E" w:rsidP="00AD01BE">
      <w:pPr>
        <w:autoSpaceDE w:val="0"/>
        <w:autoSpaceDN w:val="0"/>
        <w:adjustRightInd w:val="0"/>
        <w:spacing w:after="0"/>
        <w:ind w:firstLine="720"/>
        <w:jc w:val="both"/>
        <w:rPr>
          <w:b/>
          <w:bCs/>
          <w:sz w:val="22"/>
          <w:lang w:val="sr-Cyrl-RS"/>
        </w:rPr>
      </w:pPr>
      <w:r w:rsidRPr="00EF2F18">
        <w:rPr>
          <w:b/>
          <w:bCs/>
          <w:i/>
          <w:iCs/>
          <w:sz w:val="22"/>
          <w:lang w:val="sr-Cyrl-RS"/>
        </w:rPr>
        <w:t>Мониторинг вода</w:t>
      </w:r>
    </w:p>
    <w:p w14:paraId="421A9532" w14:textId="4C6A8699" w:rsidR="003217B5" w:rsidRPr="00EF2F18" w:rsidRDefault="003217B5" w:rsidP="006549D4">
      <w:pPr>
        <w:autoSpaceDE w:val="0"/>
        <w:autoSpaceDN w:val="0"/>
        <w:adjustRightInd w:val="0"/>
        <w:spacing w:after="0"/>
        <w:ind w:firstLine="720"/>
        <w:jc w:val="both"/>
        <w:rPr>
          <w:sz w:val="22"/>
          <w:lang w:val="sr-Cyrl-RS"/>
        </w:rPr>
      </w:pPr>
      <w:r w:rsidRPr="00EF2F18">
        <w:rPr>
          <w:sz w:val="22"/>
          <w:lang w:val="sr-Cyrl-RS"/>
        </w:rPr>
        <w:t xml:space="preserve">Мониторинг квалитета површинских вода, према годишњем програму мониторинга, врши Агенција за заштиту животне средине Републике Србије. На основу резултата оцене квалитета вода у 2009. и 2010. години, идентификована су водна тела површинских вода за која постоји потенцијални ризик од непостизања циљева животне средине. </w:t>
      </w:r>
      <w:r w:rsidR="00CC001E" w:rsidRPr="00EF2F18">
        <w:rPr>
          <w:sz w:val="22"/>
          <w:lang w:val="sr-Cyrl-RS"/>
        </w:rPr>
        <w:t xml:space="preserve">На овим водним телима, 2012. године је успостављен оперативни мониторинг у складу са захтевима </w:t>
      </w:r>
      <w:r w:rsidR="0030101C" w:rsidRPr="00EF2F18">
        <w:rPr>
          <w:sz w:val="22"/>
          <w:lang w:val="sr-Cyrl-RS"/>
        </w:rPr>
        <w:t>Оквирне Директиве 2000/60/ЕС о успостављању оквира за деловање Заједнице у области политике вода.</w:t>
      </w:r>
      <w:r w:rsidR="00CC001E" w:rsidRPr="00EF2F18">
        <w:rPr>
          <w:sz w:val="22"/>
          <w:lang w:val="sr-Cyrl-RS"/>
        </w:rPr>
        <w:t xml:space="preserve"> Од тада се мониторинг свих површинских вода у Републици Србије постепено усклађује са </w:t>
      </w:r>
      <w:r w:rsidR="0030101C" w:rsidRPr="00EF2F18">
        <w:rPr>
          <w:sz w:val="22"/>
          <w:lang w:val="sr-Cyrl-RS"/>
        </w:rPr>
        <w:t>овом Директивом</w:t>
      </w:r>
      <w:r w:rsidR="00CC001E" w:rsidRPr="00EF2F18">
        <w:rPr>
          <w:sz w:val="22"/>
          <w:lang w:val="sr-Cyrl-RS"/>
        </w:rPr>
        <w:t xml:space="preserve"> (Анекс V 1.3.1, 1.3.2 и 1.3.4). </w:t>
      </w:r>
    </w:p>
    <w:p w14:paraId="7CAE477F" w14:textId="51C8DE97" w:rsidR="003217B5" w:rsidRPr="00EF2F18" w:rsidRDefault="003217B5" w:rsidP="006549D4">
      <w:pPr>
        <w:autoSpaceDE w:val="0"/>
        <w:autoSpaceDN w:val="0"/>
        <w:adjustRightInd w:val="0"/>
        <w:spacing w:after="0"/>
        <w:ind w:firstLine="720"/>
        <w:jc w:val="both"/>
        <w:rPr>
          <w:sz w:val="22"/>
          <w:lang w:val="sr-Cyrl-RS"/>
        </w:rPr>
      </w:pPr>
      <w:r w:rsidRPr="00EF2F18">
        <w:rPr>
          <w:sz w:val="22"/>
          <w:lang w:val="sr-Cyrl-RS"/>
        </w:rPr>
        <w:t>Генерално, еколошки и хемијски статус површинских вода се оцењује путем оперативног мониторинга. Надзорни мониторинг се чешће спроводи, како би се проценило оптерећење и извршила анализа трендова током дужег временског периода.</w:t>
      </w:r>
      <w:r w:rsidR="00577EB3" w:rsidRPr="00EF2F18">
        <w:rPr>
          <w:sz w:val="22"/>
          <w:lang w:val="sr-Cyrl-RS"/>
        </w:rPr>
        <w:t xml:space="preserve"> Шест дневних извештајних станица, лоцираних у Новом Саду (Дунав), Јамени (Сава), Шапцу (Сава), Љубичевском Мосту (Велика Морава), Грделици (Јужна Морава) и Рашкој (Ибар), </w:t>
      </w:r>
      <w:r w:rsidRPr="00EF2F18">
        <w:rPr>
          <w:sz w:val="22"/>
          <w:lang w:val="sr-Cyrl-RS"/>
        </w:rPr>
        <w:t xml:space="preserve">пружају додатне дневне податке о квалитету вода. Захтеви у погледу учесталости мониторинга и </w:t>
      </w:r>
      <w:r w:rsidRPr="00EF2F18">
        <w:rPr>
          <w:sz w:val="22"/>
          <w:lang w:val="sr-Cyrl-RS"/>
        </w:rPr>
        <w:lastRenderedPageBreak/>
        <w:t xml:space="preserve">параметара квалитета за надзорни мониторинг, оперативни мониторинг и мониторинг језера и акумулација дати су у </w:t>
      </w:r>
      <w:r w:rsidR="00FC0DC6" w:rsidRPr="00EF2F18">
        <w:rPr>
          <w:sz w:val="22"/>
          <w:lang w:val="sr-Cyrl-RS"/>
        </w:rPr>
        <w:t>ОДВ</w:t>
      </w:r>
      <w:r w:rsidR="00CC001E" w:rsidRPr="00EF2F18">
        <w:rPr>
          <w:sz w:val="22"/>
          <w:lang w:val="sr-Cyrl-RS"/>
        </w:rPr>
        <w:t>, а на основу њих су припремљене Смернице за израду вишегодишњег програма мониторинга површинских и подземних вода, дате у Плану управљања водама</w:t>
      </w:r>
      <w:r w:rsidR="00FC0DC6" w:rsidRPr="00EF2F18">
        <w:rPr>
          <w:sz w:val="22"/>
          <w:lang w:val="sr-Cyrl-RS"/>
        </w:rPr>
        <w:t>.</w:t>
      </w:r>
    </w:p>
    <w:p w14:paraId="722B2DDD" w14:textId="129CB454" w:rsidR="00A2305D" w:rsidRPr="00EF2F18" w:rsidRDefault="00A2305D" w:rsidP="00A2305D">
      <w:pPr>
        <w:autoSpaceDE w:val="0"/>
        <w:autoSpaceDN w:val="0"/>
        <w:adjustRightInd w:val="0"/>
        <w:spacing w:after="0"/>
        <w:ind w:firstLine="720"/>
        <w:jc w:val="both"/>
        <w:rPr>
          <w:sz w:val="22"/>
          <w:lang w:val="sr-Cyrl-RS"/>
        </w:rPr>
      </w:pPr>
      <w:r w:rsidRPr="00EF2F18">
        <w:rPr>
          <w:sz w:val="22"/>
          <w:lang w:val="sr-Cyrl-RS"/>
        </w:rPr>
        <w:t xml:space="preserve">Резултати државног програма мониторинга објављују се на веб страници </w:t>
      </w:r>
      <w:r w:rsidR="00A814F6">
        <w:rPr>
          <w:sz w:val="22"/>
          <w:lang w:val="sr-Cyrl-RS"/>
        </w:rPr>
        <w:t>Агенције за заштиту животне средине</w:t>
      </w:r>
      <w:r w:rsidRPr="00EF2F18">
        <w:rPr>
          <w:sz w:val="22"/>
          <w:lang w:val="sr-Cyrl-RS"/>
        </w:rPr>
        <w:t>. Хидроморфолошке промене и њихови ефекти имају велики значај у управљању водама због утицаја на еколошки статус и еколошки потенцијал површинских вода. Хидроморфолошки параметри квалитета нису део државног програма мониторинга, па је за израду Плана управљања водама на територији Републике Србије до 2027. године („</w:t>
      </w:r>
      <w:r w:rsidRPr="00EF2F18">
        <w:rPr>
          <w:rFonts w:cs="Times New Roman"/>
          <w:sz w:val="22"/>
          <w:shd w:val="clear" w:color="auto" w:fill="FFFFFF" w:themeFill="background1"/>
          <w:lang w:val="sr-Cyrl-RS"/>
        </w:rPr>
        <w:t>Службени гласник РС</w:t>
      </w:r>
      <w:r w:rsidR="00A64280" w:rsidRPr="00EF2F18">
        <w:rPr>
          <w:rFonts w:cs="Times New Roman"/>
          <w:sz w:val="22"/>
          <w:shd w:val="clear" w:color="auto" w:fill="FFFFFF" w:themeFill="background1"/>
          <w:lang w:val="sr-Cyrl-RS"/>
        </w:rPr>
        <w:t>”</w:t>
      </w:r>
      <w:r w:rsidRPr="00EF2F18">
        <w:rPr>
          <w:rFonts w:cs="Times New Roman"/>
          <w:sz w:val="22"/>
          <w:shd w:val="clear" w:color="auto" w:fill="FFFFFF" w:themeFill="background1"/>
          <w:lang w:val="sr-Cyrl-RS"/>
        </w:rPr>
        <w:t>, број 33/23)</w:t>
      </w:r>
      <w:r w:rsidRPr="00EF2F18">
        <w:rPr>
          <w:sz w:val="22"/>
          <w:lang w:val="sr-Cyrl-RS"/>
        </w:rPr>
        <w:t xml:space="preserve"> извршена анализа притисака и утицаја, као и процена ризика услед хидроморфолошких промена. Анализирано је 3</w:t>
      </w:r>
      <w:r w:rsidR="003519D3" w:rsidRPr="00EF2F18">
        <w:rPr>
          <w:sz w:val="22"/>
          <w:lang w:val="sr-Cyrl-RS"/>
        </w:rPr>
        <w:t>.</w:t>
      </w:r>
      <w:r w:rsidRPr="00EF2F18">
        <w:rPr>
          <w:sz w:val="22"/>
          <w:lang w:val="sr-Cyrl-RS"/>
        </w:rPr>
        <w:t>058 водних тела, од чега је 42% оцењено „под ризиком</w:t>
      </w:r>
      <w:r w:rsidR="00A64280" w:rsidRPr="00EF2F18">
        <w:rPr>
          <w:sz w:val="22"/>
          <w:lang w:val="sr-Cyrl-RS"/>
        </w:rPr>
        <w:t>”</w:t>
      </w:r>
      <w:r w:rsidRPr="00EF2F18">
        <w:rPr>
          <w:sz w:val="22"/>
          <w:lang w:val="sr-Cyrl-RS"/>
        </w:rPr>
        <w:t xml:space="preserve"> или „могуће под ризиком</w:t>
      </w:r>
      <w:r w:rsidR="00A64280" w:rsidRPr="00EF2F18">
        <w:rPr>
          <w:sz w:val="22"/>
          <w:lang w:val="sr-Cyrl-RS"/>
        </w:rPr>
        <w:t>”</w:t>
      </w:r>
      <w:r w:rsidRPr="00EF2F18">
        <w:rPr>
          <w:sz w:val="22"/>
          <w:lang w:val="sr-Cyrl-RS"/>
        </w:rPr>
        <w:t xml:space="preserve"> од недостизања одличног еколошког статуса услед хидроморфолошких промена.</w:t>
      </w:r>
    </w:p>
    <w:p w14:paraId="69B04B36" w14:textId="43C964D8" w:rsidR="00B55385" w:rsidRPr="00EF2F18" w:rsidRDefault="003217B5" w:rsidP="009A2A14">
      <w:pPr>
        <w:autoSpaceDE w:val="0"/>
        <w:autoSpaceDN w:val="0"/>
        <w:adjustRightInd w:val="0"/>
        <w:spacing w:after="0"/>
        <w:ind w:firstLine="720"/>
        <w:jc w:val="both"/>
        <w:rPr>
          <w:sz w:val="22"/>
          <w:lang w:val="sr-Cyrl-RS"/>
        </w:rPr>
      </w:pPr>
      <w:r w:rsidRPr="00EF2F18">
        <w:rPr>
          <w:sz w:val="22"/>
          <w:lang w:val="sr-Cyrl-RS"/>
        </w:rPr>
        <w:t xml:space="preserve">Програми мониторинга подземних вода морају обухватати квантитативни мониторинг, мониторинг хемијских параметара квалитета (надзорни и оперативни), као и мониторинг који ће омогућити постизање циљева животне средине за заштићене области, као што су заштићене области намењене захватању воде за људску потрошњу или области намењене заштити станишта или врста. Док </w:t>
      </w:r>
      <w:r w:rsidR="00A814F6" w:rsidRPr="00A814F6">
        <w:rPr>
          <w:sz w:val="22"/>
          <w:lang w:val="sr-Cyrl-RS"/>
        </w:rPr>
        <w:t>Агенциј</w:t>
      </w:r>
      <w:r w:rsidR="00A814F6">
        <w:rPr>
          <w:sz w:val="22"/>
          <w:lang w:val="sr-Cyrl-RS"/>
        </w:rPr>
        <w:t>а</w:t>
      </w:r>
      <w:r w:rsidR="00A814F6" w:rsidRPr="00A814F6">
        <w:rPr>
          <w:sz w:val="22"/>
          <w:lang w:val="sr-Cyrl-RS"/>
        </w:rPr>
        <w:t xml:space="preserve"> за заштиту животне средине</w:t>
      </w:r>
      <w:r w:rsidRPr="00EF2F18">
        <w:rPr>
          <w:sz w:val="22"/>
          <w:lang w:val="sr-Cyrl-RS"/>
        </w:rPr>
        <w:t xml:space="preserve"> врши мониторинг хемијских параметара квалитета подземних вода, </w:t>
      </w:r>
      <w:r w:rsidR="00A814F6" w:rsidRPr="00A814F6">
        <w:rPr>
          <w:bCs/>
          <w:sz w:val="22"/>
          <w:lang w:val="sr-Cyrl-RS"/>
        </w:rPr>
        <w:t>Републичк</w:t>
      </w:r>
      <w:r w:rsidR="00A814F6">
        <w:rPr>
          <w:bCs/>
          <w:sz w:val="22"/>
          <w:lang w:val="sr-Cyrl-RS"/>
        </w:rPr>
        <w:t>и</w:t>
      </w:r>
      <w:r w:rsidR="00A814F6" w:rsidRPr="00A814F6">
        <w:rPr>
          <w:bCs/>
          <w:sz w:val="22"/>
          <w:lang w:val="sr-Cyrl-RS"/>
        </w:rPr>
        <w:t xml:space="preserve"> хидрометеоролошк</w:t>
      </w:r>
      <w:r w:rsidR="00A814F6">
        <w:rPr>
          <w:bCs/>
          <w:sz w:val="22"/>
          <w:lang w:val="sr-Cyrl-RS"/>
        </w:rPr>
        <w:t>и завод</w:t>
      </w:r>
      <w:r w:rsidRPr="00EF2F18">
        <w:rPr>
          <w:sz w:val="22"/>
          <w:lang w:val="sr-Cyrl-RS"/>
        </w:rPr>
        <w:t xml:space="preserve"> врши квантитативни мониторинг подземних вода у оквиру државне мреже за мониторинг. Прикупљени подаци о мониторингу се обрађују и објављују путем званичних годишњих извештаја. Поред АЗЖС и РХМЗ и следеће институције врше мониторинг подземних вода у различите сврхе. Институт за јавно здравље Србије „Др Милан Јовановић Батут”</w:t>
      </w:r>
      <w:r w:rsidR="00CC001E" w:rsidRPr="00EF2F18">
        <w:rPr>
          <w:sz w:val="22"/>
          <w:lang w:val="sr-Cyrl-RS"/>
        </w:rPr>
        <w:t xml:space="preserve"> </w:t>
      </w:r>
      <w:r w:rsidRPr="00EF2F18">
        <w:rPr>
          <w:sz w:val="22"/>
          <w:lang w:val="sr-Cyrl-RS"/>
        </w:rPr>
        <w:t xml:space="preserve">(заједно са Регионалним заводима за јавно здравље) спроводи мониторинг подземних вода које се користе за водоснабдевање. </w:t>
      </w:r>
      <w:r w:rsidR="0030101C" w:rsidRPr="00EF2F18">
        <w:rPr>
          <w:sz w:val="22"/>
          <w:lang w:val="sr-Cyrl-RS"/>
        </w:rPr>
        <w:t>Огранак ЕПС АД „ХЕ Ђердап</w:t>
      </w:r>
      <w:r w:rsidR="00A64280" w:rsidRPr="00EF2F18">
        <w:rPr>
          <w:sz w:val="22"/>
          <w:lang w:val="sr-Cyrl-RS"/>
        </w:rPr>
        <w:t>”</w:t>
      </w:r>
      <w:r w:rsidRPr="00EF2F18">
        <w:rPr>
          <w:sz w:val="22"/>
          <w:lang w:val="sr-Cyrl-RS"/>
        </w:rPr>
        <w:t xml:space="preserve"> врши мерења нивоа подземних вода дуж обала слива реке Дунав (бране и ХЕ „Ђердап 1” и „Ђердап 2”) у сврху испуњења услова из водне дозволе. ЈВП „Воде Војводине” спроводи мониторинг режима нивоа подземних вода у сврху одбране од сувишних унутрашњих вода.</w:t>
      </w:r>
      <w:r w:rsidR="00565FEA" w:rsidRPr="00EF2F18">
        <w:rPr>
          <w:sz w:val="22"/>
          <w:lang w:val="sr-Cyrl-RS"/>
        </w:rPr>
        <w:t xml:space="preserve"> </w:t>
      </w:r>
      <w:r w:rsidRPr="00EF2F18">
        <w:rPr>
          <w:sz w:val="22"/>
          <w:lang w:val="sr-Cyrl-RS"/>
        </w:rPr>
        <w:t>Мониторинг квалитета подземних вода</w:t>
      </w:r>
      <w:r w:rsidR="0003416B" w:rsidRPr="00EF2F18">
        <w:rPr>
          <w:sz w:val="22"/>
          <w:lang w:val="sr-Cyrl-RS"/>
        </w:rPr>
        <w:t>, у оквиру државног програма мониторинга вода,</w:t>
      </w:r>
      <w:r w:rsidRPr="00EF2F18">
        <w:rPr>
          <w:sz w:val="22"/>
          <w:lang w:val="sr-Cyrl-RS"/>
        </w:rPr>
        <w:t xml:space="preserve"> врши се на око 60 до 80 тачака годишње.</w:t>
      </w:r>
    </w:p>
    <w:p w14:paraId="4C46EF5F" w14:textId="2637F4E2" w:rsidR="000D0989" w:rsidRPr="00EF2F18" w:rsidRDefault="00A21DFE" w:rsidP="00F106C9">
      <w:pPr>
        <w:pStyle w:val="Heading3"/>
        <w:numPr>
          <w:ilvl w:val="2"/>
          <w:numId w:val="2"/>
        </w:numPr>
        <w:jc w:val="center"/>
        <w:rPr>
          <w:rFonts w:cs="Times New Roman"/>
          <w:sz w:val="22"/>
          <w:szCs w:val="22"/>
          <w:lang w:val="sr-Cyrl-RS"/>
        </w:rPr>
      </w:pPr>
      <w:bookmarkStart w:id="50" w:name="_Toc158307703"/>
      <w:r w:rsidRPr="00EF2F18">
        <w:rPr>
          <w:rFonts w:cs="Times New Roman"/>
          <w:sz w:val="22"/>
          <w:szCs w:val="22"/>
          <w:lang w:val="sr-Cyrl-RS"/>
        </w:rPr>
        <w:t>Квалитет земљишта</w:t>
      </w:r>
      <w:bookmarkEnd w:id="50"/>
    </w:p>
    <w:p w14:paraId="53B67D2E" w14:textId="77777777" w:rsidR="00A420F1" w:rsidRPr="00EF2F18" w:rsidRDefault="00A420F1" w:rsidP="00BF78D1">
      <w:pPr>
        <w:spacing w:after="0"/>
        <w:ind w:firstLine="720"/>
        <w:jc w:val="both"/>
        <w:rPr>
          <w:rFonts w:cs="Times New Roman"/>
          <w:sz w:val="22"/>
          <w:lang w:val="sr-Cyrl-RS"/>
        </w:rPr>
      </w:pPr>
    </w:p>
    <w:p w14:paraId="6F3F3855" w14:textId="6FD86FC4" w:rsidR="00946A35" w:rsidRPr="00EF2F18" w:rsidRDefault="00946A35" w:rsidP="00946A35">
      <w:pPr>
        <w:spacing w:after="0"/>
        <w:ind w:firstLine="720"/>
        <w:jc w:val="both"/>
        <w:rPr>
          <w:rFonts w:cs="Times New Roman"/>
          <w:sz w:val="22"/>
          <w:lang w:val="sr-Cyrl-RS"/>
        </w:rPr>
      </w:pPr>
      <w:r w:rsidRPr="00EF2F18">
        <w:rPr>
          <w:rFonts w:cs="Times New Roman"/>
          <w:sz w:val="22"/>
          <w:lang w:val="sr-Cyrl-RS"/>
        </w:rPr>
        <w:t xml:space="preserve">Земљиште је тешко обновљив природни ресурс, јер се формира током дугих временских интервала кроз интеракцију основног матичног </w:t>
      </w:r>
      <w:r w:rsidR="005C6FD7" w:rsidRPr="00EF2F18">
        <w:rPr>
          <w:rFonts w:cs="Times New Roman"/>
          <w:sz w:val="22"/>
          <w:lang w:val="sr-Cyrl-RS"/>
        </w:rPr>
        <w:t>супстрата</w:t>
      </w:r>
      <w:r w:rsidRPr="00EF2F18">
        <w:rPr>
          <w:rFonts w:cs="Times New Roman"/>
          <w:sz w:val="22"/>
          <w:lang w:val="sr-Cyrl-RS"/>
        </w:rPr>
        <w:t xml:space="preserve"> и органске материје. За образовање једног цeнтиметра земљишта у различитим природним условима потребно је да прође 100 до 300 година. У случају матичних супстрата који дају малу количину резидијума приликом распадања, овај период може да буде и знатно дужи. Основни фактори педогенезе су клима, рељеф, ниво слободне воде, геолошка подлога, организми и време.</w:t>
      </w:r>
    </w:p>
    <w:p w14:paraId="4B80B1B9" w14:textId="7C9CE739" w:rsidR="00946A35" w:rsidRPr="00EF2F18" w:rsidRDefault="00946A35" w:rsidP="00EC743F">
      <w:pPr>
        <w:spacing w:after="0"/>
        <w:ind w:firstLine="720"/>
        <w:jc w:val="both"/>
        <w:rPr>
          <w:rFonts w:cs="Times New Roman"/>
          <w:sz w:val="22"/>
          <w:lang w:val="sr-Cyrl-RS"/>
        </w:rPr>
      </w:pPr>
      <w:r w:rsidRPr="00EF2F18">
        <w:rPr>
          <w:rFonts w:cs="Times New Roman"/>
          <w:bCs/>
          <w:sz w:val="22"/>
          <w:lang w:val="sr-Cyrl-RS"/>
        </w:rPr>
        <w:t>Фактори који посебно утичу на деградацију земљишта, смањуј</w:t>
      </w:r>
      <w:r w:rsidR="007A52BD" w:rsidRPr="00EF2F18">
        <w:rPr>
          <w:rFonts w:cs="Times New Roman"/>
          <w:bCs/>
          <w:sz w:val="22"/>
          <w:lang w:val="sr-Cyrl-RS"/>
        </w:rPr>
        <w:t>у</w:t>
      </w:r>
      <w:r w:rsidR="005C6FD7" w:rsidRPr="00EF2F18">
        <w:rPr>
          <w:rFonts w:cs="Times New Roman"/>
          <w:bCs/>
          <w:sz w:val="22"/>
          <w:lang w:val="sr-Cyrl-RS"/>
        </w:rPr>
        <w:t>ћи</w:t>
      </w:r>
      <w:r w:rsidRPr="00EF2F18">
        <w:rPr>
          <w:rFonts w:cs="Times New Roman"/>
          <w:bCs/>
          <w:sz w:val="22"/>
          <w:lang w:val="sr-Cyrl-RS"/>
        </w:rPr>
        <w:t xml:space="preserve"> његову плодност и производну способност </w:t>
      </w:r>
      <w:r w:rsidR="00EC743F" w:rsidRPr="00EF2F18">
        <w:rPr>
          <w:rFonts w:cs="Times New Roman"/>
          <w:bCs/>
          <w:sz w:val="22"/>
          <w:lang w:val="sr-Cyrl-RS"/>
        </w:rPr>
        <w:t>је</w:t>
      </w:r>
      <w:r w:rsidRPr="00EF2F18">
        <w:rPr>
          <w:rFonts w:cs="Times New Roman"/>
          <w:bCs/>
          <w:sz w:val="22"/>
          <w:lang w:val="sr-Cyrl-RS"/>
        </w:rPr>
        <w:t>су:</w:t>
      </w:r>
      <w:r w:rsidR="00EC743F" w:rsidRPr="00EF2F18">
        <w:rPr>
          <w:rFonts w:cs="Times New Roman"/>
          <w:bCs/>
          <w:sz w:val="22"/>
          <w:lang w:val="sr-Cyrl-RS"/>
        </w:rPr>
        <w:t xml:space="preserve"> </w:t>
      </w:r>
      <w:r w:rsidRPr="00EF2F18">
        <w:rPr>
          <w:rFonts w:cs="Times New Roman"/>
          <w:sz w:val="22"/>
          <w:lang w:val="sr-Cyrl-RS"/>
        </w:rPr>
        <w:t>ерозија,</w:t>
      </w:r>
      <w:r w:rsidR="00EC743F" w:rsidRPr="00EF2F18">
        <w:rPr>
          <w:rFonts w:cs="Times New Roman"/>
          <w:sz w:val="22"/>
          <w:lang w:val="sr-Cyrl-RS"/>
        </w:rPr>
        <w:t xml:space="preserve"> </w:t>
      </w:r>
      <w:r w:rsidRPr="00EF2F18">
        <w:rPr>
          <w:rFonts w:cs="Times New Roman"/>
          <w:sz w:val="22"/>
          <w:lang w:val="sr-Cyrl-RS"/>
        </w:rPr>
        <w:t>губитак органске материје,</w:t>
      </w:r>
      <w:r w:rsidR="00EC743F" w:rsidRPr="00EF2F18">
        <w:rPr>
          <w:rFonts w:cs="Times New Roman"/>
          <w:sz w:val="22"/>
          <w:lang w:val="sr-Cyrl-RS"/>
        </w:rPr>
        <w:t xml:space="preserve"> </w:t>
      </w:r>
      <w:r w:rsidRPr="00EF2F18">
        <w:rPr>
          <w:rFonts w:cs="Times New Roman"/>
          <w:sz w:val="22"/>
          <w:lang w:val="sr-Cyrl-RS"/>
        </w:rPr>
        <w:t>локална контаминација,</w:t>
      </w:r>
      <w:r w:rsidR="00EC743F" w:rsidRPr="00EF2F18">
        <w:rPr>
          <w:rFonts w:cs="Times New Roman"/>
          <w:sz w:val="22"/>
          <w:lang w:val="sr-Cyrl-RS"/>
        </w:rPr>
        <w:t xml:space="preserve"> </w:t>
      </w:r>
      <w:r w:rsidRPr="00EF2F18">
        <w:rPr>
          <w:rFonts w:cs="Times New Roman"/>
          <w:sz w:val="22"/>
          <w:lang w:val="sr-Cyrl-RS"/>
        </w:rPr>
        <w:t>дифузна контаминација,</w:t>
      </w:r>
      <w:r w:rsidR="00EC743F" w:rsidRPr="00EF2F18">
        <w:rPr>
          <w:rFonts w:cs="Times New Roman"/>
          <w:sz w:val="22"/>
          <w:lang w:val="sr-Cyrl-RS"/>
        </w:rPr>
        <w:t xml:space="preserve"> </w:t>
      </w:r>
      <w:r w:rsidRPr="00EF2F18">
        <w:rPr>
          <w:rFonts w:cs="Times New Roman"/>
          <w:sz w:val="22"/>
          <w:lang w:val="sr-Cyrl-RS"/>
        </w:rPr>
        <w:t>заслањивање и алкализација,</w:t>
      </w:r>
      <w:r w:rsidR="00EC743F" w:rsidRPr="00EF2F18">
        <w:rPr>
          <w:rFonts w:cs="Times New Roman"/>
          <w:sz w:val="22"/>
          <w:lang w:val="sr-Cyrl-RS"/>
        </w:rPr>
        <w:t xml:space="preserve"> </w:t>
      </w:r>
      <w:r w:rsidRPr="00EF2F18">
        <w:rPr>
          <w:rFonts w:cs="Times New Roman"/>
          <w:bCs/>
          <w:sz w:val="22"/>
          <w:lang w:val="sr-Cyrl-RS"/>
        </w:rPr>
        <w:t>ацидификација,</w:t>
      </w:r>
      <w:r w:rsidR="00EC743F" w:rsidRPr="00EF2F18">
        <w:rPr>
          <w:rFonts w:cs="Times New Roman"/>
          <w:bCs/>
          <w:sz w:val="22"/>
          <w:lang w:val="sr-Cyrl-RS"/>
        </w:rPr>
        <w:t xml:space="preserve"> </w:t>
      </w:r>
      <w:r w:rsidR="007A52BD" w:rsidRPr="00EF2F18">
        <w:rPr>
          <w:rFonts w:cs="Times New Roman"/>
          <w:bCs/>
          <w:sz w:val="22"/>
          <w:lang w:val="sr-Cyrl-RS"/>
        </w:rPr>
        <w:t>„</w:t>
      </w:r>
      <w:r w:rsidRPr="00EF2F18">
        <w:rPr>
          <w:rFonts w:cs="Times New Roman"/>
          <w:i/>
          <w:iCs/>
          <w:sz w:val="22"/>
          <w:lang w:val="sr-Cyrl-RS"/>
        </w:rPr>
        <w:t>siealing</w:t>
      </w:r>
      <w:r w:rsidR="00A64280" w:rsidRPr="00EF2F18">
        <w:rPr>
          <w:rFonts w:cs="Times New Roman"/>
          <w:i/>
          <w:iCs/>
          <w:sz w:val="22"/>
          <w:lang w:val="sr-Cyrl-RS"/>
        </w:rPr>
        <w:t>”</w:t>
      </w:r>
      <w:r w:rsidRPr="00EF2F18">
        <w:rPr>
          <w:rFonts w:cs="Times New Roman"/>
          <w:sz w:val="22"/>
          <w:lang w:val="sr-Cyrl-RS"/>
        </w:rPr>
        <w:t xml:space="preserve"> (прекривање земљишта непропусним материјалима, асфалт, бетон, грађевински објекти и сл</w:t>
      </w:r>
      <w:r w:rsidR="008070DE" w:rsidRPr="00EF2F18">
        <w:rPr>
          <w:rFonts w:cs="Times New Roman"/>
          <w:sz w:val="22"/>
          <w:lang w:val="sr-Cyrl-RS"/>
        </w:rPr>
        <w:t>.</w:t>
      </w:r>
      <w:r w:rsidRPr="00EF2F18">
        <w:rPr>
          <w:rFonts w:cs="Times New Roman"/>
          <w:sz w:val="22"/>
          <w:lang w:val="sr-Cyrl-RS"/>
        </w:rPr>
        <w:t>), збијање,</w:t>
      </w:r>
      <w:r w:rsidR="00EC743F" w:rsidRPr="00EF2F18">
        <w:rPr>
          <w:rFonts w:cs="Times New Roman"/>
          <w:sz w:val="22"/>
          <w:lang w:val="sr-Cyrl-RS"/>
        </w:rPr>
        <w:t xml:space="preserve"> </w:t>
      </w:r>
      <w:r w:rsidRPr="00EF2F18">
        <w:rPr>
          <w:rFonts w:cs="Times New Roman"/>
          <w:sz w:val="22"/>
          <w:lang w:val="sr-Cyrl-RS"/>
        </w:rPr>
        <w:t>смањење биодиверзитета,</w:t>
      </w:r>
      <w:r w:rsidR="00EC743F" w:rsidRPr="00EF2F18">
        <w:rPr>
          <w:rFonts w:cs="Times New Roman"/>
          <w:sz w:val="22"/>
          <w:lang w:val="sr-Cyrl-RS"/>
        </w:rPr>
        <w:t xml:space="preserve"> </w:t>
      </w:r>
      <w:r w:rsidRPr="00EF2F18">
        <w:rPr>
          <w:rFonts w:cs="Times New Roman"/>
          <w:sz w:val="22"/>
          <w:lang w:val="sr-Cyrl-RS"/>
        </w:rPr>
        <w:t>салинизација,</w:t>
      </w:r>
      <w:r w:rsidR="00EC743F" w:rsidRPr="00EF2F18">
        <w:rPr>
          <w:rFonts w:cs="Times New Roman"/>
          <w:sz w:val="22"/>
          <w:lang w:val="sr-Cyrl-RS"/>
        </w:rPr>
        <w:t xml:space="preserve"> </w:t>
      </w:r>
      <w:r w:rsidRPr="00EF2F18">
        <w:rPr>
          <w:rFonts w:cs="Times New Roman"/>
          <w:sz w:val="22"/>
          <w:lang w:val="sr-Cyrl-RS"/>
        </w:rPr>
        <w:t>поплаве и клизишта.</w:t>
      </w:r>
      <w:r w:rsidR="00EC743F" w:rsidRPr="00EF2F18">
        <w:rPr>
          <w:rFonts w:cs="Times New Roman"/>
          <w:sz w:val="22"/>
          <w:lang w:val="sr-Cyrl-RS"/>
        </w:rPr>
        <w:t xml:space="preserve"> </w:t>
      </w:r>
    </w:p>
    <w:p w14:paraId="232EDE40" w14:textId="6FCE2A7B" w:rsidR="00946A35" w:rsidRPr="00EF2F18" w:rsidRDefault="00946A35" w:rsidP="00946A35">
      <w:pPr>
        <w:spacing w:after="0"/>
        <w:ind w:firstLine="720"/>
        <w:jc w:val="both"/>
        <w:rPr>
          <w:rFonts w:cs="Times New Roman"/>
          <w:sz w:val="22"/>
          <w:lang w:val="sr-Cyrl-RS"/>
        </w:rPr>
      </w:pPr>
      <w:r w:rsidRPr="00EF2F18">
        <w:rPr>
          <w:rFonts w:cs="Times New Roman"/>
          <w:sz w:val="22"/>
          <w:lang w:val="sr-Cyrl-RS"/>
        </w:rPr>
        <w:t xml:space="preserve">Поред деградације од наведених главних претњи земљишту, </w:t>
      </w:r>
      <w:r w:rsidR="00ED18B5" w:rsidRPr="00EF2F18">
        <w:rPr>
          <w:rFonts w:cs="Times New Roman"/>
          <w:sz w:val="22"/>
          <w:lang w:val="sr-Cyrl-RS"/>
        </w:rPr>
        <w:t xml:space="preserve">претераним и неодговорним коришћењем земљишта долази до пада продуктивности и коначне деструкције. Деструктивни процеси су су најчешће једносмерни, без реалне могућности враћања у претходно стање. </w:t>
      </w:r>
    </w:p>
    <w:p w14:paraId="58110122" w14:textId="67EA7F14" w:rsidR="00946A35" w:rsidRPr="00EF2F18" w:rsidRDefault="00946A35" w:rsidP="00CF585E">
      <w:pPr>
        <w:spacing w:after="0"/>
        <w:ind w:firstLine="720"/>
        <w:jc w:val="both"/>
        <w:rPr>
          <w:rFonts w:cs="Times New Roman"/>
          <w:sz w:val="22"/>
          <w:lang w:val="sr-Cyrl-RS"/>
        </w:rPr>
      </w:pPr>
      <w:r w:rsidRPr="00EF2F18">
        <w:rPr>
          <w:rFonts w:cs="Times New Roman"/>
          <w:sz w:val="22"/>
          <w:lang w:val="sr-Cyrl-RS"/>
        </w:rPr>
        <w:t>Према извештају о неутралности деградације земљишта из 2020. године</w:t>
      </w:r>
      <w:r w:rsidRPr="00EF2F18">
        <w:rPr>
          <w:rFonts w:cs="Times New Roman"/>
          <w:sz w:val="22"/>
          <w:vertAlign w:val="superscript"/>
          <w:lang w:val="sr-Cyrl-RS"/>
        </w:rPr>
        <w:footnoteReference w:id="11"/>
      </w:r>
      <w:r w:rsidRPr="00EF2F18">
        <w:rPr>
          <w:rFonts w:cs="Times New Roman"/>
          <w:sz w:val="22"/>
          <w:lang w:val="sr-Cyrl-RS"/>
        </w:rPr>
        <w:t>, процењено је да у Републици Србији деградирано земљиште чини 6</w:t>
      </w:r>
      <w:r w:rsidR="008070DE" w:rsidRPr="00EF2F18">
        <w:rPr>
          <w:rFonts w:cs="Times New Roman"/>
          <w:sz w:val="22"/>
          <w:lang w:val="sr-Cyrl-RS"/>
        </w:rPr>
        <w:t>,</w:t>
      </w:r>
      <w:r w:rsidRPr="00EF2F18">
        <w:rPr>
          <w:rFonts w:cs="Times New Roman"/>
          <w:sz w:val="22"/>
          <w:lang w:val="sr-Cyrl-RS"/>
        </w:rPr>
        <w:t>47% укупне територије државе, 72</w:t>
      </w:r>
      <w:r w:rsidR="008070DE" w:rsidRPr="00EF2F18">
        <w:rPr>
          <w:rFonts w:cs="Times New Roman"/>
          <w:sz w:val="22"/>
          <w:lang w:val="sr-Cyrl-RS"/>
        </w:rPr>
        <w:t>,</w:t>
      </w:r>
      <w:r w:rsidRPr="00EF2F18">
        <w:rPr>
          <w:rFonts w:cs="Times New Roman"/>
          <w:sz w:val="22"/>
          <w:lang w:val="sr-Cyrl-RS"/>
        </w:rPr>
        <w:t>86% је у категорији побољшаног стања, а 20</w:t>
      </w:r>
      <w:r w:rsidR="008070DE" w:rsidRPr="00EF2F18">
        <w:rPr>
          <w:rFonts w:cs="Times New Roman"/>
          <w:sz w:val="22"/>
          <w:lang w:val="sr-Cyrl-RS"/>
        </w:rPr>
        <w:t>,</w:t>
      </w:r>
      <w:r w:rsidRPr="00EF2F18">
        <w:rPr>
          <w:rFonts w:cs="Times New Roman"/>
          <w:sz w:val="22"/>
          <w:lang w:val="sr-Cyrl-RS"/>
        </w:rPr>
        <w:t xml:space="preserve">54% припада категорији стабилног стања. Удео деградираног земљишта у односу на целокупну површину Републике Србије (ЦОР индикатор </w:t>
      </w:r>
      <w:r w:rsidRPr="00EF2F18">
        <w:rPr>
          <w:rFonts w:cs="Times New Roman"/>
          <w:sz w:val="22"/>
          <w:lang w:val="sr-Cyrl-RS"/>
        </w:rPr>
        <w:lastRenderedPageBreak/>
        <w:t>15.3.1.) порастао је у периоду од 2015. до 2019. године са 1,89% на 4,18%</w:t>
      </w:r>
      <w:r w:rsidR="005C6FD7" w:rsidRPr="00EF2F18">
        <w:rPr>
          <w:rStyle w:val="FootnoteReference"/>
          <w:rFonts w:ascii="Times New Roman" w:hAnsi="Times New Roman" w:cs="Times New Roman"/>
          <w:sz w:val="22"/>
          <w:lang w:val="sr-Cyrl-RS"/>
        </w:rPr>
        <w:footnoteReference w:id="12"/>
      </w:r>
      <w:r w:rsidRPr="00EF2F18">
        <w:rPr>
          <w:rFonts w:cs="Times New Roman"/>
          <w:sz w:val="22"/>
          <w:lang w:val="sr-Cyrl-RS"/>
        </w:rPr>
        <w:t xml:space="preserve">. Ови подаци су добијени на основу глобалних података за земљишни покривач, продуктивност земљишта и залихе угљеника изнад и испод површине. </w:t>
      </w:r>
      <w:r w:rsidR="00E0276C" w:rsidRPr="00EF2F18">
        <w:rPr>
          <w:rFonts w:cs="Times New Roman"/>
          <w:sz w:val="22"/>
          <w:lang w:val="sr-Cyrl-RS"/>
        </w:rPr>
        <w:t xml:space="preserve">Здраво </w:t>
      </w:r>
      <w:r w:rsidR="00A13F8C" w:rsidRPr="00EF2F18">
        <w:rPr>
          <w:rFonts w:cs="Times New Roman"/>
          <w:sz w:val="22"/>
          <w:lang w:val="sr-Cyrl-RS"/>
        </w:rPr>
        <w:t>земљиште</w:t>
      </w:r>
      <w:r w:rsidR="00E0276C" w:rsidRPr="00EF2F18">
        <w:rPr>
          <w:rFonts w:cs="Times New Roman"/>
          <w:sz w:val="22"/>
          <w:lang w:val="sr-Cyrl-RS"/>
        </w:rPr>
        <w:t xml:space="preserve"> представља и највећи копнени резервоар угљеника на планети, што </w:t>
      </w:r>
      <w:r w:rsidR="00A13F8C" w:rsidRPr="00EF2F18">
        <w:rPr>
          <w:rFonts w:cs="Times New Roman"/>
          <w:sz w:val="22"/>
          <w:lang w:val="sr-Cyrl-RS"/>
        </w:rPr>
        <w:t xml:space="preserve">га </w:t>
      </w:r>
      <w:r w:rsidR="00E0276C" w:rsidRPr="00EF2F18">
        <w:rPr>
          <w:rFonts w:cs="Times New Roman"/>
          <w:sz w:val="22"/>
          <w:lang w:val="sr-Cyrl-RS"/>
        </w:rPr>
        <w:t xml:space="preserve">заједно са способношћу апсорпције воде и смањења ризика од поплава и суше чини неизоставним </w:t>
      </w:r>
      <w:r w:rsidR="00A13F8C" w:rsidRPr="00EF2F18">
        <w:rPr>
          <w:rFonts w:cs="Times New Roman"/>
          <w:sz w:val="22"/>
          <w:lang w:val="sr-Cyrl-RS"/>
        </w:rPr>
        <w:t xml:space="preserve">фактором </w:t>
      </w:r>
      <w:r w:rsidR="00E0276C" w:rsidRPr="00EF2F18">
        <w:rPr>
          <w:rFonts w:cs="Times New Roman"/>
          <w:sz w:val="22"/>
          <w:lang w:val="sr-Cyrl-RS"/>
        </w:rPr>
        <w:t xml:space="preserve">за ублажавање климатских промена и </w:t>
      </w:r>
      <w:r w:rsidR="00A13F8C" w:rsidRPr="00EF2F18">
        <w:rPr>
          <w:rFonts w:cs="Times New Roman"/>
          <w:sz w:val="22"/>
          <w:lang w:val="sr-Cyrl-RS"/>
        </w:rPr>
        <w:t>адаптацију на</w:t>
      </w:r>
      <w:r w:rsidR="00E0276C" w:rsidRPr="00EF2F18">
        <w:rPr>
          <w:rFonts w:cs="Times New Roman"/>
          <w:sz w:val="22"/>
          <w:lang w:val="sr-Cyrl-RS"/>
        </w:rPr>
        <w:t xml:space="preserve"> пром</w:t>
      </w:r>
      <w:r w:rsidR="00A13F8C" w:rsidRPr="00EF2F18">
        <w:rPr>
          <w:rFonts w:cs="Times New Roman"/>
          <w:sz w:val="22"/>
          <w:lang w:val="sr-Cyrl-RS"/>
        </w:rPr>
        <w:t>ене</w:t>
      </w:r>
      <w:r w:rsidR="00E0276C" w:rsidRPr="00EF2F18">
        <w:rPr>
          <w:rFonts w:cs="Times New Roman"/>
          <w:sz w:val="22"/>
          <w:lang w:val="sr-Cyrl-RS"/>
        </w:rPr>
        <w:t xml:space="preserve">. Стога је здраво </w:t>
      </w:r>
      <w:r w:rsidR="00A13F8C" w:rsidRPr="00EF2F18">
        <w:rPr>
          <w:rFonts w:cs="Times New Roman"/>
          <w:sz w:val="22"/>
          <w:lang w:val="sr-Cyrl-RS"/>
        </w:rPr>
        <w:t>земљиште</w:t>
      </w:r>
      <w:r w:rsidR="00E0276C" w:rsidRPr="00EF2F18">
        <w:rPr>
          <w:rFonts w:cs="Times New Roman"/>
          <w:sz w:val="22"/>
          <w:lang w:val="sr-Cyrl-RS"/>
        </w:rPr>
        <w:t xml:space="preserve"> </w:t>
      </w:r>
      <w:r w:rsidR="00A13F8C" w:rsidRPr="00EF2F18">
        <w:rPr>
          <w:rFonts w:cs="Times New Roman"/>
          <w:sz w:val="22"/>
          <w:lang w:val="sr-Cyrl-RS"/>
        </w:rPr>
        <w:t>основни фундамент</w:t>
      </w:r>
      <w:r w:rsidR="00E0276C" w:rsidRPr="00EF2F18">
        <w:rPr>
          <w:rFonts w:cs="Times New Roman"/>
          <w:sz w:val="22"/>
          <w:lang w:val="sr-Cyrl-RS"/>
        </w:rPr>
        <w:t xml:space="preserve"> постизањ</w:t>
      </w:r>
      <w:r w:rsidR="00ED4724" w:rsidRPr="00EF2F18">
        <w:rPr>
          <w:rFonts w:cs="Times New Roman"/>
          <w:sz w:val="22"/>
          <w:lang w:val="sr-Cyrl-RS"/>
        </w:rPr>
        <w:t>а</w:t>
      </w:r>
      <w:r w:rsidR="00E0276C" w:rsidRPr="00EF2F18">
        <w:rPr>
          <w:rFonts w:cs="Times New Roman"/>
          <w:sz w:val="22"/>
          <w:lang w:val="sr-Cyrl-RS"/>
        </w:rPr>
        <w:t xml:space="preserve"> циљева </w:t>
      </w:r>
      <w:r w:rsidR="00A13F8C" w:rsidRPr="00EF2F18">
        <w:rPr>
          <w:rFonts w:cs="Times New Roman"/>
          <w:sz w:val="22"/>
          <w:lang w:val="sr-Cyrl-RS"/>
        </w:rPr>
        <w:t xml:space="preserve">одрживог развоја. </w:t>
      </w:r>
      <w:r w:rsidR="00CF585E" w:rsidRPr="00EF2F18">
        <w:rPr>
          <w:rFonts w:cs="Times New Roman"/>
          <w:sz w:val="22"/>
          <w:lang w:val="sr-Cyrl-RS"/>
        </w:rPr>
        <w:t xml:space="preserve">Земљиште је здраво кад је у добром хемијском, биолошком и физичком стању </w:t>
      </w:r>
      <w:r w:rsidR="005C46D5" w:rsidRPr="00EF2F18">
        <w:rPr>
          <w:rFonts w:cs="Times New Roman"/>
          <w:sz w:val="22"/>
          <w:lang w:val="sr-Cyrl-RS"/>
        </w:rPr>
        <w:t>и</w:t>
      </w:r>
      <w:r w:rsidR="00CF585E" w:rsidRPr="00EF2F18">
        <w:rPr>
          <w:rFonts w:cs="Times New Roman"/>
          <w:sz w:val="22"/>
          <w:lang w:val="sr-Cyrl-RS"/>
        </w:rPr>
        <w:t xml:space="preserve"> стога може непрестано пружати с</w:t>
      </w:r>
      <w:r w:rsidR="005C46D5" w:rsidRPr="00EF2F18">
        <w:rPr>
          <w:rFonts w:cs="Times New Roman"/>
          <w:sz w:val="22"/>
          <w:lang w:val="sr-Cyrl-RS"/>
        </w:rPr>
        <w:t>л</w:t>
      </w:r>
      <w:r w:rsidR="00CF585E" w:rsidRPr="00EF2F18">
        <w:rPr>
          <w:rFonts w:cs="Times New Roman"/>
          <w:sz w:val="22"/>
          <w:lang w:val="sr-Cyrl-RS"/>
        </w:rPr>
        <w:t>еде</w:t>
      </w:r>
      <w:r w:rsidR="005C46D5" w:rsidRPr="00EF2F18">
        <w:rPr>
          <w:rFonts w:cs="Times New Roman"/>
          <w:sz w:val="22"/>
          <w:lang w:val="sr-Cyrl-RS"/>
        </w:rPr>
        <w:t>ће</w:t>
      </w:r>
      <w:r w:rsidR="00CF585E" w:rsidRPr="00EF2F18">
        <w:rPr>
          <w:rFonts w:cs="Times New Roman"/>
          <w:sz w:val="22"/>
          <w:lang w:val="sr-Cyrl-RS"/>
        </w:rPr>
        <w:t xml:space="preserve"> екосистемске услуге:</w:t>
      </w:r>
      <w:r w:rsidR="00FA7222" w:rsidRPr="00EF2F18">
        <w:rPr>
          <w:rFonts w:cs="Times New Roman"/>
          <w:sz w:val="22"/>
          <w:lang w:val="sr-Cyrl-RS"/>
        </w:rPr>
        <w:t xml:space="preserve"> </w:t>
      </w:r>
      <w:r w:rsidR="00CF585E" w:rsidRPr="00EF2F18">
        <w:rPr>
          <w:rFonts w:cs="Times New Roman"/>
          <w:sz w:val="22"/>
          <w:lang w:val="sr-Cyrl-RS"/>
        </w:rPr>
        <w:t>омогућавање производње хране и биомасе у пољопривреди и шумарству, абсор</w:t>
      </w:r>
      <w:r w:rsidR="002F413D" w:rsidRPr="00EF2F18">
        <w:rPr>
          <w:rFonts w:cs="Times New Roman"/>
          <w:sz w:val="22"/>
          <w:lang w:val="sr-Cyrl-RS"/>
        </w:rPr>
        <w:t>п</w:t>
      </w:r>
      <w:r w:rsidR="00CF585E" w:rsidRPr="00EF2F18">
        <w:rPr>
          <w:rFonts w:cs="Times New Roman"/>
          <w:sz w:val="22"/>
          <w:lang w:val="sr-Cyrl-RS"/>
        </w:rPr>
        <w:t>цију, складиштење и филтрирање воде и самим тим трансформацију храњивих и других материја</w:t>
      </w:r>
      <w:r w:rsidR="005C46D5" w:rsidRPr="00EF2F18">
        <w:rPr>
          <w:rFonts w:cs="Times New Roman"/>
          <w:sz w:val="22"/>
          <w:lang w:val="sr-Cyrl-RS"/>
        </w:rPr>
        <w:t xml:space="preserve">, што представља заштитни фактор квалитета </w:t>
      </w:r>
      <w:r w:rsidR="00CF585E" w:rsidRPr="00EF2F18">
        <w:rPr>
          <w:rFonts w:cs="Times New Roman"/>
          <w:sz w:val="22"/>
          <w:lang w:val="sr-Cyrl-RS"/>
        </w:rPr>
        <w:t>подземн</w:t>
      </w:r>
      <w:r w:rsidR="005C46D5" w:rsidRPr="00EF2F18">
        <w:rPr>
          <w:rFonts w:cs="Times New Roman"/>
          <w:sz w:val="22"/>
          <w:lang w:val="sr-Cyrl-RS"/>
        </w:rPr>
        <w:t>их</w:t>
      </w:r>
      <w:r w:rsidR="00CF585E" w:rsidRPr="00EF2F18">
        <w:rPr>
          <w:rFonts w:cs="Times New Roman"/>
          <w:sz w:val="22"/>
          <w:lang w:val="sr-Cyrl-RS"/>
        </w:rPr>
        <w:t xml:space="preserve"> вод</w:t>
      </w:r>
      <w:r w:rsidR="005C46D5" w:rsidRPr="00EF2F18">
        <w:rPr>
          <w:rFonts w:cs="Times New Roman"/>
          <w:sz w:val="22"/>
          <w:lang w:val="sr-Cyrl-RS"/>
        </w:rPr>
        <w:t>а</w:t>
      </w:r>
      <w:r w:rsidR="00CF585E" w:rsidRPr="00EF2F18">
        <w:rPr>
          <w:rFonts w:cs="Times New Roman"/>
          <w:sz w:val="22"/>
          <w:lang w:val="sr-Cyrl-RS"/>
        </w:rPr>
        <w:t xml:space="preserve">, пружање основа за живот и биоразноликост, укључујући станишта, врсте и гене, </w:t>
      </w:r>
      <w:bookmarkStart w:id="51" w:name="_Hlk189086749"/>
      <w:r w:rsidR="00CF585E" w:rsidRPr="00EF2F18">
        <w:rPr>
          <w:rFonts w:cs="Times New Roman"/>
          <w:sz w:val="22"/>
          <w:lang w:val="sr-Cyrl-RS"/>
        </w:rPr>
        <w:t>услуга</w:t>
      </w:r>
      <w:bookmarkEnd w:id="51"/>
      <w:r w:rsidR="00CF585E" w:rsidRPr="00EF2F18">
        <w:rPr>
          <w:rFonts w:cs="Times New Roman"/>
          <w:sz w:val="22"/>
          <w:lang w:val="sr-Cyrl-RS"/>
        </w:rPr>
        <w:t xml:space="preserve"> резервоара угљеника, </w:t>
      </w:r>
      <w:r w:rsidR="005C46D5" w:rsidRPr="00EF2F18">
        <w:rPr>
          <w:rFonts w:cs="Times New Roman"/>
          <w:sz w:val="22"/>
          <w:lang w:val="sr-Cyrl-RS"/>
        </w:rPr>
        <w:t xml:space="preserve">услуга </w:t>
      </w:r>
      <w:r w:rsidR="00CF585E" w:rsidRPr="00EF2F18">
        <w:rPr>
          <w:rFonts w:cs="Times New Roman"/>
          <w:sz w:val="22"/>
          <w:lang w:val="sr-Cyrl-RS"/>
        </w:rPr>
        <w:t>н</w:t>
      </w:r>
      <w:r w:rsidR="005C46D5" w:rsidRPr="00EF2F18">
        <w:rPr>
          <w:rFonts w:cs="Times New Roman"/>
          <w:sz w:val="22"/>
          <w:lang w:val="sr-Cyrl-RS"/>
        </w:rPr>
        <w:t>о</w:t>
      </w:r>
      <w:r w:rsidR="00CF585E" w:rsidRPr="00EF2F18">
        <w:rPr>
          <w:rFonts w:cs="Times New Roman"/>
          <w:sz w:val="22"/>
          <w:lang w:val="sr-Cyrl-RS"/>
        </w:rPr>
        <w:t>си</w:t>
      </w:r>
      <w:r w:rsidR="005C46D5" w:rsidRPr="00EF2F18">
        <w:rPr>
          <w:rFonts w:cs="Times New Roman"/>
          <w:sz w:val="22"/>
          <w:lang w:val="sr-Cyrl-RS"/>
        </w:rPr>
        <w:t>о</w:t>
      </w:r>
      <w:r w:rsidR="00CF585E" w:rsidRPr="00EF2F18">
        <w:rPr>
          <w:rFonts w:cs="Times New Roman"/>
          <w:sz w:val="22"/>
          <w:lang w:val="sr-Cyrl-RS"/>
        </w:rPr>
        <w:t>ц</w:t>
      </w:r>
      <w:r w:rsidR="005C46D5" w:rsidRPr="00EF2F18">
        <w:rPr>
          <w:rFonts w:cs="Times New Roman"/>
          <w:sz w:val="22"/>
          <w:lang w:val="sr-Cyrl-RS"/>
        </w:rPr>
        <w:t>а</w:t>
      </w:r>
      <w:r w:rsidR="00CF585E" w:rsidRPr="00EF2F18">
        <w:rPr>
          <w:rFonts w:cs="Times New Roman"/>
          <w:sz w:val="22"/>
          <w:lang w:val="sr-Cyrl-RS"/>
        </w:rPr>
        <w:t xml:space="preserve"> физичких и културних услуга за људе и њихове активности, услуга извора сировина,</w:t>
      </w:r>
      <w:r w:rsidR="005C46D5" w:rsidRPr="00EF2F18">
        <w:rPr>
          <w:rFonts w:cs="Times New Roman"/>
          <w:sz w:val="22"/>
          <w:lang w:val="sr-Cyrl-RS"/>
        </w:rPr>
        <w:t xml:space="preserve"> </w:t>
      </w:r>
      <w:r w:rsidR="00CF585E" w:rsidRPr="00EF2F18">
        <w:rPr>
          <w:rFonts w:cs="Times New Roman"/>
          <w:sz w:val="22"/>
          <w:lang w:val="sr-Cyrl-RS"/>
        </w:rPr>
        <w:t>услуга носи</w:t>
      </w:r>
      <w:r w:rsidR="005C46D5" w:rsidRPr="00EF2F18">
        <w:rPr>
          <w:rFonts w:cs="Times New Roman"/>
          <w:sz w:val="22"/>
          <w:lang w:val="sr-Cyrl-RS"/>
        </w:rPr>
        <w:t>оца</w:t>
      </w:r>
      <w:r w:rsidR="00CF585E" w:rsidRPr="00EF2F18">
        <w:rPr>
          <w:rFonts w:cs="Times New Roman"/>
          <w:sz w:val="22"/>
          <w:lang w:val="sr-Cyrl-RS"/>
        </w:rPr>
        <w:t xml:space="preserve"> геолошке, геоморфолошке и археолошке </w:t>
      </w:r>
      <w:r w:rsidR="005C46D5" w:rsidRPr="00EF2F18">
        <w:rPr>
          <w:rFonts w:cs="Times New Roman"/>
          <w:sz w:val="22"/>
          <w:lang w:val="sr-Cyrl-RS"/>
        </w:rPr>
        <w:t>грађе</w:t>
      </w:r>
      <w:r w:rsidR="00CF585E" w:rsidRPr="00EF2F18">
        <w:rPr>
          <w:rFonts w:cs="Times New Roman"/>
          <w:sz w:val="22"/>
          <w:lang w:val="sr-Cyrl-RS"/>
        </w:rPr>
        <w:t>.</w:t>
      </w:r>
    </w:p>
    <w:p w14:paraId="1F6564EC" w14:textId="43E91276" w:rsidR="00946A35" w:rsidRPr="00EF2F18" w:rsidRDefault="00946A35" w:rsidP="00946A35">
      <w:pPr>
        <w:spacing w:after="0"/>
        <w:ind w:firstLine="720"/>
        <w:jc w:val="both"/>
        <w:rPr>
          <w:rFonts w:cs="Times New Roman"/>
          <w:sz w:val="22"/>
          <w:lang w:val="sr-Cyrl-RS"/>
        </w:rPr>
      </w:pPr>
      <w:r w:rsidRPr="00EF2F18">
        <w:rPr>
          <w:rFonts w:cs="Times New Roman"/>
          <w:sz w:val="22"/>
          <w:lang w:val="sr-Cyrl-RS"/>
        </w:rPr>
        <w:t>Загађење земљишта у Републици Србији превасходно је антропогеног карактера и потиче од индустријских активности, одлагањa индустријског и комуналног отпада на неадекватан начин, емисиј</w:t>
      </w:r>
      <w:r w:rsidR="002F413D" w:rsidRPr="00EF2F18">
        <w:rPr>
          <w:rFonts w:cs="Times New Roman"/>
          <w:sz w:val="22"/>
          <w:lang w:val="sr-Cyrl-RS"/>
        </w:rPr>
        <w:t>а</w:t>
      </w:r>
      <w:r w:rsidRPr="00EF2F18">
        <w:rPr>
          <w:rFonts w:cs="Times New Roman"/>
          <w:sz w:val="22"/>
          <w:lang w:val="sr-Cyrl-RS"/>
        </w:rPr>
        <w:t xml:space="preserve"> из технолошких процеса, процеса сагоревања фосилних горива, емисија од саобраћаја, неадекватних пољопривредних пракси (прекомерне и неконтролисане употребе средстава за заштиту биља и </w:t>
      </w:r>
      <w:r w:rsidR="00BF1F91" w:rsidRPr="00EF2F18">
        <w:rPr>
          <w:rFonts w:cs="Times New Roman"/>
          <w:sz w:val="22"/>
          <w:lang w:val="sr-Cyrl-RS"/>
        </w:rPr>
        <w:t>средстава за исхрану биља</w:t>
      </w:r>
      <w:r w:rsidRPr="00EF2F18">
        <w:rPr>
          <w:rFonts w:cs="Times New Roman"/>
          <w:sz w:val="22"/>
          <w:lang w:val="sr-Cyrl-RS"/>
        </w:rPr>
        <w:t>, паљења стрњике), од комуналних, индустријских</w:t>
      </w:r>
      <w:r w:rsidR="00FA7222" w:rsidRPr="00EF2F18">
        <w:rPr>
          <w:rFonts w:cs="Times New Roman"/>
          <w:sz w:val="22"/>
          <w:lang w:val="sr-Cyrl-RS"/>
        </w:rPr>
        <w:t xml:space="preserve"> </w:t>
      </w:r>
      <w:r w:rsidRPr="00EF2F18">
        <w:rPr>
          <w:rFonts w:cs="Times New Roman"/>
          <w:sz w:val="22"/>
          <w:lang w:val="sr-Cyrl-RS"/>
        </w:rPr>
        <w:t>отпадних и вода из пољопривредне производње и др.</w:t>
      </w:r>
    </w:p>
    <w:p w14:paraId="3F1CD8A2" w14:textId="54581F52" w:rsidR="00BF78D1" w:rsidRPr="00EF2F18" w:rsidRDefault="00BF78D1" w:rsidP="00BF78D1">
      <w:pPr>
        <w:spacing w:after="0"/>
        <w:ind w:firstLine="720"/>
        <w:jc w:val="both"/>
        <w:rPr>
          <w:rFonts w:eastAsia="TimesNewRomanPSMT" w:cs="Times New Roman"/>
          <w:sz w:val="22"/>
          <w:lang w:val="sr-Cyrl-RS"/>
        </w:rPr>
      </w:pPr>
      <w:r w:rsidRPr="00EF2F18">
        <w:rPr>
          <w:rFonts w:cs="Times New Roman"/>
          <w:sz w:val="22"/>
          <w:lang w:val="sr-Cyrl-RS"/>
        </w:rPr>
        <w:t xml:space="preserve">Пољопривредно земљиште чини 48,5% укупне територије </w:t>
      </w:r>
      <w:r w:rsidR="0084504E" w:rsidRPr="00EF2F18">
        <w:rPr>
          <w:rFonts w:cs="Times New Roman"/>
          <w:sz w:val="22"/>
          <w:lang w:val="sr-Cyrl-RS"/>
        </w:rPr>
        <w:t xml:space="preserve">Републике </w:t>
      </w:r>
      <w:r w:rsidRPr="00EF2F18">
        <w:rPr>
          <w:rFonts w:cs="Times New Roman"/>
          <w:sz w:val="22"/>
          <w:lang w:val="sr-Cyrl-RS"/>
        </w:rPr>
        <w:t xml:space="preserve">Србије. Под шумом и необраслим шумским земљиштем је </w:t>
      </w:r>
      <w:r w:rsidR="001B2DA6" w:rsidRPr="00EF2F18">
        <w:rPr>
          <w:rFonts w:cs="Times New Roman"/>
          <w:sz w:val="22"/>
          <w:lang w:val="sr-Cyrl-RS"/>
        </w:rPr>
        <w:t>39,01</w:t>
      </w:r>
      <w:r w:rsidRPr="00EF2F18">
        <w:rPr>
          <w:rFonts w:cs="Times New Roman"/>
          <w:sz w:val="22"/>
          <w:lang w:val="sr-Cyrl-RS"/>
        </w:rPr>
        <w:t xml:space="preserve">% територије, влажна земљишта и водене површине чине 2,7% територије, док вештачке површине и голети чине 5,3% укупне територије. Под ораницама, баштама и окућницама је 73,8% коришћеног пољопривредног земљишта. </w:t>
      </w:r>
      <w:r w:rsidRPr="00EF2F18">
        <w:rPr>
          <w:rFonts w:eastAsia="TimesNewRomanPSMT" w:cs="Times New Roman"/>
          <w:sz w:val="22"/>
          <w:lang w:val="sr-Cyrl-RS"/>
        </w:rPr>
        <w:t>Тренд коришћења пољопри</w:t>
      </w:r>
      <w:r w:rsidR="00E3129C" w:rsidRPr="00EF2F18">
        <w:rPr>
          <w:rFonts w:eastAsia="TimesNewRomanPSMT" w:cs="Times New Roman"/>
          <w:sz w:val="22"/>
          <w:lang w:val="sr-Cyrl-RS"/>
        </w:rPr>
        <w:t>вредног земљишта у периоду 2012-</w:t>
      </w:r>
      <w:r w:rsidRPr="00EF2F18">
        <w:rPr>
          <w:rFonts w:eastAsia="TimesNewRomanPSMT" w:cs="Times New Roman"/>
          <w:sz w:val="22"/>
          <w:lang w:val="sr-Cyrl-RS"/>
        </w:rPr>
        <w:t>2021. године показује повећање површина под ораницама и ба</w:t>
      </w:r>
      <w:r w:rsidR="00E3129C" w:rsidRPr="00EF2F18">
        <w:rPr>
          <w:rFonts w:eastAsia="TimesNewRomanPSMT" w:cs="Times New Roman"/>
          <w:sz w:val="22"/>
          <w:lang w:val="sr-Cyrl-RS"/>
        </w:rPr>
        <w:t>штама, посебно у периодима 2012–</w:t>
      </w:r>
      <w:r w:rsidRPr="00EF2F18">
        <w:rPr>
          <w:rFonts w:eastAsia="TimesNewRomanPSMT" w:cs="Times New Roman"/>
          <w:sz w:val="22"/>
          <w:lang w:val="sr-Cyrl-RS"/>
        </w:rPr>
        <w:t>2014</w:t>
      </w:r>
      <w:r w:rsidR="00E3129C" w:rsidRPr="00EF2F18">
        <w:rPr>
          <w:rFonts w:eastAsia="TimesNewRomanPSMT" w:cs="Times New Roman"/>
          <w:sz w:val="22"/>
          <w:lang w:val="sr-Cyrl-RS"/>
        </w:rPr>
        <w:t>.</w:t>
      </w:r>
      <w:r w:rsidRPr="00EF2F18">
        <w:rPr>
          <w:rFonts w:eastAsia="TimesNewRomanPSMT" w:cs="Times New Roman"/>
          <w:sz w:val="22"/>
          <w:lang w:val="sr-Cyrl-RS"/>
        </w:rPr>
        <w:t xml:space="preserve"> и 2019–2021. Истовремено, површине под ливадама су у константном паду, док се површине под пашњацима после пада у периоду 2012</w:t>
      </w:r>
      <w:r w:rsidR="00E3129C" w:rsidRPr="00EF2F18">
        <w:rPr>
          <w:rFonts w:eastAsia="TimesNewRomanPSMT" w:cs="Times New Roman"/>
          <w:sz w:val="22"/>
          <w:lang w:val="sr-Cyrl-RS"/>
        </w:rPr>
        <w:t>-</w:t>
      </w:r>
      <w:r w:rsidRPr="00EF2F18">
        <w:rPr>
          <w:rFonts w:eastAsia="TimesNewRomanPSMT" w:cs="Times New Roman"/>
          <w:sz w:val="22"/>
          <w:lang w:val="sr-Cyrl-RS"/>
        </w:rPr>
        <w:t>2017</w:t>
      </w:r>
      <w:r w:rsidR="00E3129C" w:rsidRPr="00EF2F18">
        <w:rPr>
          <w:rFonts w:eastAsia="TimesNewRomanPSMT" w:cs="Times New Roman"/>
          <w:sz w:val="22"/>
          <w:lang w:val="sr-Cyrl-RS"/>
        </w:rPr>
        <w:t>.</w:t>
      </w:r>
      <w:r w:rsidRPr="00EF2F18">
        <w:rPr>
          <w:rFonts w:eastAsia="TimesNewRomanPSMT" w:cs="Times New Roman"/>
          <w:sz w:val="22"/>
          <w:lang w:val="sr-Cyrl-RS"/>
        </w:rPr>
        <w:t xml:space="preserve"> повећавају, достижући у 2021. години вредност из 2012. Површине под воћњацима показују растући тренд, док површине под виноградима стагнирају. </w:t>
      </w:r>
    </w:p>
    <w:p w14:paraId="73CAF7C6" w14:textId="209C263E" w:rsidR="00EC743F" w:rsidRPr="00EF2F18" w:rsidRDefault="00EC743F" w:rsidP="00EC743F">
      <w:pPr>
        <w:spacing w:after="0"/>
        <w:ind w:firstLine="720"/>
        <w:jc w:val="both"/>
        <w:rPr>
          <w:rFonts w:eastAsia="TimesNewRomanPSMT" w:cs="Times New Roman"/>
          <w:sz w:val="22"/>
          <w:lang w:val="sr-Cyrl-RS"/>
        </w:rPr>
      </w:pPr>
      <w:r w:rsidRPr="00EF2F18">
        <w:rPr>
          <w:rFonts w:eastAsia="TimesNewRomanPSMT" w:cs="Times New Roman"/>
          <w:sz w:val="22"/>
          <w:lang w:val="sr-Cyrl-RS"/>
        </w:rPr>
        <w:t xml:space="preserve">Садржај органског угљеника и хумуса је испод оптималних нивоа у већини подручја, посебно у категорији ораница и башти, углавном због изостанка ђубрења органским ђубривима. Просечан садржај органског угљеника је око 2%, и налази се на граници категорије ниског и средњег садржаја. Више од четвртине пољопривредног земљишта је </w:t>
      </w:r>
      <w:r w:rsidR="00C1083D" w:rsidRPr="00EF2F18">
        <w:rPr>
          <w:rFonts w:eastAsia="TimesNewRomanPSMT" w:cs="Times New Roman"/>
          <w:sz w:val="22"/>
          <w:lang w:val="sr-Cyrl-RS"/>
        </w:rPr>
        <w:t>закишељено</w:t>
      </w:r>
      <w:r w:rsidRPr="00EF2F18">
        <w:rPr>
          <w:rFonts w:eastAsia="TimesNewRomanPSMT" w:cs="Times New Roman"/>
          <w:sz w:val="22"/>
          <w:lang w:val="sr-Cyrl-RS"/>
        </w:rPr>
        <w:t>, углавном због неконтролисане употребе хемијских супстанци. Сабијање земљишта је такође често, посебно на најплоднијим равницама, због неадекватне употребе тешке механизације и других агротехничких мера.</w:t>
      </w:r>
    </w:p>
    <w:p w14:paraId="50AF9E29" w14:textId="0C54A2DC" w:rsidR="00BF78D1" w:rsidRPr="00EF2F18" w:rsidRDefault="009E003F" w:rsidP="00BF78D1">
      <w:pPr>
        <w:spacing w:after="0"/>
        <w:ind w:firstLine="720"/>
        <w:jc w:val="both"/>
        <w:rPr>
          <w:rFonts w:cs="Times New Roman"/>
          <w:sz w:val="22"/>
          <w:lang w:val="sr-Cyrl-RS"/>
        </w:rPr>
      </w:pPr>
      <w:r w:rsidRPr="00EF2F18">
        <w:rPr>
          <w:rFonts w:cs="Times New Roman"/>
          <w:sz w:val="22"/>
          <w:lang w:val="sr-Cyrl-RS"/>
        </w:rPr>
        <w:t xml:space="preserve">У периоду од 2012. до 2018. године у урбано земљиште конвертовано је 2.930 ha пашњака и мешовитог пољопривредног земљишта, 91 ha водених басена, и 1.768 ha шума и прелазних шумских подручја, али није забележена значајна конверзија ораница и сталних засада, што је било карактеристично за период пре 2012. године. </w:t>
      </w:r>
      <w:r w:rsidR="00BF78D1" w:rsidRPr="00EF2F18">
        <w:rPr>
          <w:rFonts w:cs="Times New Roman"/>
          <w:sz w:val="22"/>
          <w:lang w:val="sr-Cyrl-RS"/>
        </w:rPr>
        <w:t xml:space="preserve">Анализа доприноса појединих категорија и класа начина коришћења земљишта које су заузете урбаним развојем у Републици Србији у периоду 1990-2018. године показује да су углавном заузимана земљишта под пашњацима, као и мешовита пољопривредна подручја. </w:t>
      </w:r>
    </w:p>
    <w:p w14:paraId="3138C537" w14:textId="1B481135" w:rsidR="009E003F" w:rsidRPr="00EF2F18" w:rsidRDefault="00BF78D1" w:rsidP="00D970D2">
      <w:pPr>
        <w:spacing w:after="0"/>
        <w:ind w:firstLine="720"/>
        <w:jc w:val="both"/>
        <w:rPr>
          <w:rFonts w:cs="Times New Roman"/>
          <w:sz w:val="22"/>
          <w:lang w:val="sr-Cyrl-RS"/>
        </w:rPr>
      </w:pPr>
      <w:r w:rsidRPr="00EF2F18">
        <w:rPr>
          <w:rFonts w:cs="Times New Roman"/>
          <w:sz w:val="22"/>
          <w:lang w:val="sr-Cyrl-RS"/>
        </w:rPr>
        <w:t>Интензивна урбанизација, развој индустрије, саобраћај</w:t>
      </w:r>
      <w:r w:rsidR="0036375F" w:rsidRPr="00EF2F18">
        <w:rPr>
          <w:rFonts w:cs="Times New Roman"/>
          <w:sz w:val="22"/>
          <w:lang w:val="sr-Cyrl-RS"/>
        </w:rPr>
        <w:t>а</w:t>
      </w:r>
      <w:r w:rsidRPr="00EF2F18">
        <w:rPr>
          <w:rFonts w:cs="Times New Roman"/>
          <w:sz w:val="22"/>
          <w:lang w:val="sr-Cyrl-RS"/>
        </w:rPr>
        <w:t xml:space="preserve"> и </w:t>
      </w:r>
      <w:r w:rsidR="0036375F" w:rsidRPr="00EF2F18">
        <w:rPr>
          <w:rFonts w:cs="Times New Roman"/>
          <w:sz w:val="22"/>
          <w:lang w:val="sr-Cyrl-RS"/>
        </w:rPr>
        <w:t xml:space="preserve">пољопривредне </w:t>
      </w:r>
      <w:r w:rsidRPr="00EF2F18">
        <w:rPr>
          <w:rFonts w:cs="Times New Roman"/>
          <w:sz w:val="22"/>
          <w:lang w:val="sr-Cyrl-RS"/>
        </w:rPr>
        <w:t>делатност</w:t>
      </w:r>
      <w:r w:rsidR="0036375F" w:rsidRPr="00EF2F18">
        <w:rPr>
          <w:rFonts w:cs="Times New Roman"/>
          <w:sz w:val="22"/>
          <w:lang w:val="sr-Cyrl-RS"/>
        </w:rPr>
        <w:t>и</w:t>
      </w:r>
      <w:r w:rsidRPr="00EF2F18">
        <w:rPr>
          <w:rFonts w:cs="Times New Roman"/>
          <w:sz w:val="22"/>
          <w:lang w:val="sr-Cyrl-RS"/>
        </w:rPr>
        <w:t xml:space="preserve"> доводе до оптерећења површинских слојева земљишта </w:t>
      </w:r>
      <w:r w:rsidR="00B01A72" w:rsidRPr="00EF2F18">
        <w:rPr>
          <w:rFonts w:cs="Times New Roman"/>
          <w:sz w:val="22"/>
          <w:lang w:val="sr-Cyrl-RS"/>
        </w:rPr>
        <w:t>загађујући</w:t>
      </w:r>
      <w:r w:rsidR="004A7D9A" w:rsidRPr="00EF2F18">
        <w:rPr>
          <w:rFonts w:cs="Times New Roman"/>
          <w:sz w:val="22"/>
          <w:lang w:val="sr-Cyrl-RS"/>
        </w:rPr>
        <w:t>м</w:t>
      </w:r>
      <w:r w:rsidR="00B01A72" w:rsidRPr="00EF2F18">
        <w:rPr>
          <w:rFonts w:cs="Times New Roman"/>
          <w:sz w:val="22"/>
          <w:lang w:val="sr-Cyrl-RS"/>
        </w:rPr>
        <w:t xml:space="preserve"> </w:t>
      </w:r>
      <w:r w:rsidRPr="00EF2F18">
        <w:rPr>
          <w:rFonts w:cs="Times New Roman"/>
          <w:sz w:val="22"/>
          <w:lang w:val="sr-Cyrl-RS"/>
        </w:rPr>
        <w:t>материја</w:t>
      </w:r>
      <w:r w:rsidR="004A7D9A" w:rsidRPr="00EF2F18">
        <w:rPr>
          <w:rFonts w:cs="Times New Roman"/>
          <w:sz w:val="22"/>
          <w:lang w:val="sr-Cyrl-RS"/>
        </w:rPr>
        <w:t>ма</w:t>
      </w:r>
      <w:r w:rsidRPr="00EF2F18">
        <w:rPr>
          <w:rFonts w:cs="Times New Roman"/>
          <w:sz w:val="22"/>
          <w:lang w:val="sr-Cyrl-RS"/>
        </w:rPr>
        <w:t xml:space="preserve"> које се не могу разградити </w:t>
      </w:r>
      <w:r w:rsidR="004A7D9A" w:rsidRPr="00EF2F18">
        <w:rPr>
          <w:rFonts w:cs="Times New Roman"/>
          <w:sz w:val="22"/>
          <w:lang w:val="sr-Cyrl-RS"/>
        </w:rPr>
        <w:t>у дужем временском периоду</w:t>
      </w:r>
      <w:r w:rsidRPr="00EF2F18">
        <w:rPr>
          <w:rFonts w:cs="Times New Roman"/>
          <w:sz w:val="22"/>
          <w:lang w:val="sr-Cyrl-RS"/>
        </w:rPr>
        <w:t xml:space="preserve">. Уочљиве су тенденције промене намене пољопривредног земљишта за изградњу и уређење насеља, инфраструктуре, индустријских зона и слично, што доводи до трајних губитака продуктивних и екосистемских функција земљишта, </w:t>
      </w:r>
      <w:r w:rsidR="00E0276C" w:rsidRPr="00EF2F18">
        <w:rPr>
          <w:rFonts w:cs="Times New Roman"/>
          <w:sz w:val="22"/>
          <w:lang w:val="sr-Cyrl-RS"/>
        </w:rPr>
        <w:t xml:space="preserve">на </w:t>
      </w:r>
      <w:r w:rsidR="007A52BD" w:rsidRPr="00EF2F18">
        <w:rPr>
          <w:rFonts w:cs="Times New Roman"/>
          <w:sz w:val="22"/>
          <w:lang w:val="sr-Cyrl-RS"/>
        </w:rPr>
        <w:t xml:space="preserve">рачун </w:t>
      </w:r>
      <w:r w:rsidR="00E0276C" w:rsidRPr="00EF2F18">
        <w:rPr>
          <w:rFonts w:cs="Times New Roman"/>
          <w:sz w:val="22"/>
          <w:lang w:val="sr-Cyrl-RS"/>
        </w:rPr>
        <w:t>пораста његових технолошких функција</w:t>
      </w:r>
      <w:r w:rsidRPr="00EF2F18">
        <w:rPr>
          <w:rFonts w:cs="Times New Roman"/>
          <w:sz w:val="22"/>
          <w:lang w:val="sr-Cyrl-RS"/>
        </w:rPr>
        <w:t xml:space="preserve">. </w:t>
      </w:r>
    </w:p>
    <w:p w14:paraId="26914EDE" w14:textId="36D8AB84" w:rsidR="00BF78D1" w:rsidRPr="00EF2F18" w:rsidRDefault="00BF78D1" w:rsidP="00D970D2">
      <w:pPr>
        <w:spacing w:after="0"/>
        <w:ind w:firstLine="720"/>
        <w:jc w:val="both"/>
        <w:rPr>
          <w:rFonts w:eastAsia="TimesNewRomanPSMT" w:cs="Times New Roman"/>
          <w:sz w:val="22"/>
          <w:lang w:val="sr-Cyrl-RS"/>
        </w:rPr>
      </w:pPr>
      <w:r w:rsidRPr="00EF2F18">
        <w:rPr>
          <w:rFonts w:cs="Times New Roman"/>
          <w:sz w:val="22"/>
          <w:lang w:val="sr-Cyrl-RS"/>
        </w:rPr>
        <w:t xml:space="preserve">У урбаним срединама бележи се хемијско загађење земљишта, уз </w:t>
      </w:r>
      <w:r w:rsidRPr="00EF2F18">
        <w:rPr>
          <w:rFonts w:eastAsia="TimesNewRomanPSMT" w:cs="Times New Roman"/>
          <w:sz w:val="22"/>
          <w:lang w:val="sr-Cyrl-RS"/>
        </w:rPr>
        <w:t xml:space="preserve">прекорачења граничних и ремедијационих вредности најчешће за никл, бакар, цинк, али и за друге елементе. </w:t>
      </w:r>
      <w:r w:rsidRPr="00EF2F18">
        <w:rPr>
          <w:rFonts w:cs="Times New Roman"/>
          <w:sz w:val="22"/>
          <w:lang w:val="sr-Cyrl-RS"/>
        </w:rPr>
        <w:t xml:space="preserve">На основу резултата испитивања квалитета земљишта у периоду од 2018. до 2021. године, може </w:t>
      </w:r>
      <w:r w:rsidRPr="00EF2F18">
        <w:rPr>
          <w:rFonts w:cs="Times New Roman"/>
          <w:sz w:val="22"/>
          <w:lang w:val="sr-Cyrl-RS"/>
        </w:rPr>
        <w:lastRenderedPageBreak/>
        <w:t xml:space="preserve">се закључити да су поједине урбане средине (Београд, Панчево, Крушевац, Чачак, Смедерево, Нови Пазар и Сурдулица) под јаким антропогеним утицајем. На овим подручјима најчешће загађујуће материје су метали, при чему су прекорачене граничне вредности или ремедијационе вредности појединих елемената. Прекорачењa граничних вредности у највећем проценту бележе се за бакар, кобалт, живу и никл на локацијама прометних саобраћајница, у околини индустрије и водоизворишта, као и на пољопривредном земљишту. </w:t>
      </w:r>
      <w:r w:rsidRPr="00EF2F18">
        <w:rPr>
          <w:rFonts w:eastAsia="TimesNewRomanPSMT" w:cs="Times New Roman"/>
          <w:sz w:val="22"/>
          <w:lang w:val="sr-Cyrl-RS"/>
        </w:rPr>
        <w:t>На територији града Београда резултати у 202</w:t>
      </w:r>
      <w:r w:rsidR="00D970D2" w:rsidRPr="00EF2F18">
        <w:rPr>
          <w:rFonts w:eastAsia="TimesNewRomanPSMT" w:cs="Times New Roman"/>
          <w:sz w:val="22"/>
          <w:lang w:val="sr-Cyrl-RS"/>
        </w:rPr>
        <w:t>2</w:t>
      </w:r>
      <w:r w:rsidRPr="00EF2F18">
        <w:rPr>
          <w:rFonts w:eastAsia="TimesNewRomanPSMT" w:cs="Times New Roman"/>
          <w:sz w:val="22"/>
          <w:lang w:val="sr-Cyrl-RS"/>
        </w:rPr>
        <w:t xml:space="preserve">. години </w:t>
      </w:r>
      <w:r w:rsidR="00D970D2" w:rsidRPr="00EF2F18">
        <w:rPr>
          <w:rFonts w:cs="Times New Roman"/>
          <w:sz w:val="22"/>
          <w:lang w:val="sr-Cyrl-RS"/>
        </w:rPr>
        <w:t xml:space="preserve">показују прекорачење граничне вредности за кадмијум, </w:t>
      </w:r>
      <w:r w:rsidR="00D970D2" w:rsidRPr="00EF2F18">
        <w:rPr>
          <w:rFonts w:eastAsia="TimesNewRomanPSMT" w:cs="Times New Roman"/>
          <w:sz w:val="22"/>
          <w:lang w:val="sr-Cyrl-RS"/>
        </w:rPr>
        <w:t>цинк, бакар, никл, хром, арсен</w:t>
      </w:r>
      <w:r w:rsidR="00D970D2" w:rsidRPr="00EF2F18">
        <w:rPr>
          <w:rFonts w:cs="Times New Roman"/>
          <w:sz w:val="22"/>
          <w:lang w:val="sr-Cyrl-RS"/>
        </w:rPr>
        <w:t xml:space="preserve"> </w:t>
      </w:r>
      <w:r w:rsidR="00D970D2" w:rsidRPr="00EF2F18">
        <w:rPr>
          <w:rFonts w:eastAsia="TimesNewRomanPSMT" w:cs="Times New Roman"/>
          <w:sz w:val="22"/>
          <w:lang w:val="sr-Cyrl-RS"/>
        </w:rPr>
        <w:t xml:space="preserve">и живу </w:t>
      </w:r>
      <w:r w:rsidR="00D970D2" w:rsidRPr="00EF2F18">
        <w:rPr>
          <w:rFonts w:cs="Times New Roman"/>
          <w:sz w:val="22"/>
          <w:lang w:val="sr-Cyrl-RS"/>
        </w:rPr>
        <w:t>у индустријској зони, у зони прометних саобраћајница, у близини депоније, стамбеној зони, педагошкој установи, изворишту водоснабдевања, рекреационој зони и пољопривредном земљишту. Ремедијациона вредност није прекорачена ни у једном узорку</w:t>
      </w:r>
      <w:r w:rsidRPr="00EF2F18">
        <w:rPr>
          <w:rFonts w:eastAsia="TimesNewRomanPSMT" w:cs="Times New Roman"/>
          <w:sz w:val="22"/>
          <w:lang w:val="sr-Cyrl-RS"/>
        </w:rPr>
        <w:t xml:space="preserve">. </w:t>
      </w:r>
    </w:p>
    <w:p w14:paraId="3F1234D2" w14:textId="428CC2E5" w:rsidR="00BF78D1" w:rsidRPr="00EF2F18" w:rsidRDefault="00BF78D1" w:rsidP="00BF78D1">
      <w:pPr>
        <w:spacing w:after="0"/>
        <w:ind w:firstLine="720"/>
        <w:jc w:val="both"/>
        <w:rPr>
          <w:rFonts w:cs="Times New Roman"/>
          <w:sz w:val="22"/>
          <w:lang w:val="sr-Cyrl-RS"/>
        </w:rPr>
      </w:pPr>
      <w:r w:rsidRPr="00EF2F18">
        <w:rPr>
          <w:rFonts w:cs="Times New Roman"/>
          <w:sz w:val="22"/>
          <w:lang w:val="sr-Cyrl-RS"/>
        </w:rPr>
        <w:t xml:space="preserve">На квалитет земљишта у </w:t>
      </w:r>
      <w:r w:rsidR="0084504E" w:rsidRPr="00EF2F18">
        <w:rPr>
          <w:rFonts w:cs="Times New Roman"/>
          <w:sz w:val="22"/>
          <w:lang w:val="sr-Cyrl-RS"/>
        </w:rPr>
        <w:t xml:space="preserve">Републици </w:t>
      </w:r>
      <w:r w:rsidRPr="00EF2F18">
        <w:rPr>
          <w:rFonts w:cs="Times New Roman"/>
          <w:sz w:val="22"/>
          <w:lang w:val="sr-Cyrl-RS"/>
        </w:rPr>
        <w:t xml:space="preserve">Србији утичу и ерозиони процеси, који су са различитим интензитетом заступљени на преко 80% пољопривредних површина. </w:t>
      </w:r>
      <w:r w:rsidR="00B01A72" w:rsidRPr="00EF2F18">
        <w:rPr>
          <w:rFonts w:cs="Times New Roman"/>
          <w:sz w:val="22"/>
          <w:lang w:val="sr-Cyrl-RS"/>
        </w:rPr>
        <w:t xml:space="preserve">Процеси </w:t>
      </w:r>
      <w:r w:rsidR="00DC1402" w:rsidRPr="00EF2F18">
        <w:rPr>
          <w:rFonts w:cs="Times New Roman"/>
          <w:sz w:val="22"/>
          <w:lang w:val="sr-Cyrl-RS"/>
        </w:rPr>
        <w:t xml:space="preserve">који проузрокују </w:t>
      </w:r>
      <w:r w:rsidR="00B01A72" w:rsidRPr="00EF2F18">
        <w:rPr>
          <w:rFonts w:cs="Times New Roman"/>
          <w:sz w:val="22"/>
          <w:lang w:val="sr-Cyrl-RS"/>
        </w:rPr>
        <w:t>нестабилности терена, као што су клизишта, урушавања и друга померања тла различитих величина и активности, присутни су на око 25-30% територије Републике</w:t>
      </w:r>
      <w:r w:rsidR="00BF6433" w:rsidRPr="00EF2F18">
        <w:rPr>
          <w:rFonts w:cs="Times New Roman"/>
          <w:sz w:val="22"/>
          <w:lang w:val="sr-Cyrl-RS"/>
        </w:rPr>
        <w:t xml:space="preserve"> Србије</w:t>
      </w:r>
      <w:r w:rsidR="00B01A72" w:rsidRPr="00EF2F18">
        <w:rPr>
          <w:rFonts w:cs="Times New Roman"/>
          <w:sz w:val="22"/>
          <w:lang w:val="sr-Cyrl-RS"/>
        </w:rPr>
        <w:t xml:space="preserve">. </w:t>
      </w:r>
      <w:r w:rsidRPr="00EF2F18">
        <w:rPr>
          <w:rFonts w:cs="Times New Roman"/>
          <w:sz w:val="22"/>
          <w:lang w:val="sr-Cyrl-RS"/>
        </w:rPr>
        <w:t>На основу података Републичког завода за статистику, на подручју Републике Србије у 2021. години еродирано је 3.912 km</w:t>
      </w:r>
      <w:r w:rsidRPr="00EF2F18">
        <w:rPr>
          <w:rFonts w:cs="Times New Roman"/>
          <w:sz w:val="22"/>
          <w:vertAlign w:val="superscript"/>
          <w:lang w:val="sr-Cyrl-RS"/>
        </w:rPr>
        <w:t>2</w:t>
      </w:r>
      <w:r w:rsidRPr="00EF2F18">
        <w:rPr>
          <w:rFonts w:cs="Times New Roman"/>
          <w:sz w:val="22"/>
          <w:lang w:val="sr-Cyrl-RS"/>
        </w:rPr>
        <w:t xml:space="preserve"> земљишта, док је смирено 292 km</w:t>
      </w:r>
      <w:r w:rsidRPr="00EF2F18">
        <w:rPr>
          <w:rFonts w:cs="Times New Roman"/>
          <w:sz w:val="22"/>
          <w:vertAlign w:val="superscript"/>
          <w:lang w:val="sr-Cyrl-RS"/>
        </w:rPr>
        <w:t>2</w:t>
      </w:r>
      <w:r w:rsidRPr="00EF2F18">
        <w:rPr>
          <w:rFonts w:cs="Times New Roman"/>
          <w:sz w:val="22"/>
          <w:lang w:val="sr-Cyrl-RS"/>
        </w:rPr>
        <w:t xml:space="preserve"> земљишта. На северном, равничарском подручју Републике Србије</w:t>
      </w:r>
      <w:r w:rsidR="008C37BA" w:rsidRPr="00EF2F18">
        <w:rPr>
          <w:rFonts w:cs="Times New Roman"/>
          <w:sz w:val="22"/>
          <w:lang w:val="sr-Cyrl-RS"/>
        </w:rPr>
        <w:t>,</w:t>
      </w:r>
      <w:r w:rsidRPr="00EF2F18">
        <w:rPr>
          <w:rFonts w:cs="Times New Roman"/>
          <w:sz w:val="22"/>
          <w:lang w:val="sr-Cyrl-RS"/>
        </w:rPr>
        <w:t xml:space="preserve"> најзаступљенија је врло слаба и слаба водна ерозија (средња знатно мање), док су у централном и јужном делу Републике Србије ерозиони процеси знатно већег интензитета, са израженим подручјима јаке и ексцесивне ерозије. У Војводини је око 85% пољопривредног земљишта угрожено еолском ерозијом.</w:t>
      </w:r>
      <w:r w:rsidR="00B01A72" w:rsidRPr="00EF2F18">
        <w:rPr>
          <w:rFonts w:cs="Times New Roman"/>
          <w:sz w:val="22"/>
          <w:lang w:val="sr-Cyrl-RS"/>
        </w:rPr>
        <w:t xml:space="preserve"> </w:t>
      </w:r>
    </w:p>
    <w:p w14:paraId="38812D36" w14:textId="5AB6E1EF" w:rsidR="00BF78D1" w:rsidRPr="00EF2F18" w:rsidRDefault="00A420F1" w:rsidP="00EA5835">
      <w:pPr>
        <w:spacing w:after="0"/>
        <w:ind w:firstLine="720"/>
        <w:jc w:val="both"/>
        <w:rPr>
          <w:rFonts w:cs="Times New Roman"/>
          <w:sz w:val="22"/>
          <w:lang w:val="sr-Cyrl-RS"/>
        </w:rPr>
      </w:pPr>
      <w:r w:rsidRPr="00EF2F18">
        <w:rPr>
          <w:rFonts w:eastAsia="Calibri" w:cs="Times New Roman"/>
          <w:sz w:val="22"/>
          <w:lang w:val="sr-Cyrl-RS" w:eastAsia="en-GB"/>
        </w:rPr>
        <w:t xml:space="preserve">Контаминација земљишта услед активности у индустрији последица је неконтролисаног и неадекватног складиштења </w:t>
      </w:r>
      <w:r w:rsidR="00EA5835" w:rsidRPr="00EF2F18">
        <w:rPr>
          <w:rFonts w:eastAsia="Calibri" w:cs="Times New Roman"/>
          <w:sz w:val="22"/>
          <w:lang w:val="sr-Cyrl-RS" w:eastAsia="en-GB"/>
        </w:rPr>
        <w:t xml:space="preserve">и </w:t>
      </w:r>
      <w:r w:rsidR="00C1083D" w:rsidRPr="00EF2F18">
        <w:rPr>
          <w:rFonts w:eastAsia="Calibri" w:cs="Times New Roman"/>
          <w:sz w:val="22"/>
          <w:lang w:val="sr-Cyrl-RS" w:eastAsia="en-GB"/>
        </w:rPr>
        <w:t>и</w:t>
      </w:r>
      <w:r w:rsidR="00EA5835" w:rsidRPr="00EF2F18">
        <w:rPr>
          <w:rFonts w:eastAsia="Calibri" w:cs="Times New Roman"/>
          <w:sz w:val="22"/>
          <w:lang w:val="sr-Cyrl-RS" w:eastAsia="en-GB"/>
        </w:rPr>
        <w:t xml:space="preserve">спуштања </w:t>
      </w:r>
      <w:r w:rsidRPr="00EF2F18">
        <w:rPr>
          <w:rFonts w:eastAsia="Calibri" w:cs="Times New Roman"/>
          <w:sz w:val="22"/>
          <w:lang w:val="sr-Cyrl-RS" w:eastAsia="en-GB"/>
        </w:rPr>
        <w:t>опасних</w:t>
      </w:r>
      <w:r w:rsidR="00EA5835" w:rsidRPr="00EF2F18">
        <w:rPr>
          <w:rFonts w:eastAsia="Calibri" w:cs="Times New Roman"/>
          <w:sz w:val="22"/>
          <w:lang w:val="sr-Cyrl-RS" w:eastAsia="en-GB"/>
        </w:rPr>
        <w:t xml:space="preserve"> и штетних</w:t>
      </w:r>
      <w:r w:rsidRPr="00EF2F18">
        <w:rPr>
          <w:rFonts w:eastAsia="Calibri" w:cs="Times New Roman"/>
          <w:sz w:val="22"/>
          <w:lang w:val="sr-Cyrl-RS" w:eastAsia="en-GB"/>
        </w:rPr>
        <w:t xml:space="preserve"> материја из технолошких процеса</w:t>
      </w:r>
      <w:r w:rsidR="00EA5835" w:rsidRPr="00EF2F18">
        <w:rPr>
          <w:rFonts w:eastAsia="Calibri" w:cs="Times New Roman"/>
          <w:sz w:val="22"/>
          <w:lang w:val="sr-Cyrl-RS" w:eastAsia="en-GB"/>
        </w:rPr>
        <w:t>.</w:t>
      </w:r>
      <w:r w:rsidRPr="00EF2F18">
        <w:rPr>
          <w:rFonts w:cs="Times New Roman"/>
          <w:sz w:val="22"/>
          <w:lang w:val="sr-Cyrl-RS"/>
        </w:rPr>
        <w:t xml:space="preserve"> </w:t>
      </w:r>
      <w:r w:rsidR="00BF78D1" w:rsidRPr="00EF2F18">
        <w:rPr>
          <w:rFonts w:cs="Times New Roman"/>
          <w:sz w:val="22"/>
          <w:lang w:val="sr-Cyrl-RS"/>
        </w:rPr>
        <w:t xml:space="preserve">Према подацима Катастра контаминираног земљишта из 2018. године, </w:t>
      </w:r>
      <w:r w:rsidR="00BF78D1" w:rsidRPr="00EF2F18">
        <w:rPr>
          <w:rFonts w:eastAsia="CenturyGothic" w:cs="Times New Roman"/>
          <w:sz w:val="22"/>
          <w:lang w:val="sr-Cyrl-RS"/>
        </w:rPr>
        <w:t xml:space="preserve">на територији Републике Србије евидентирано је 709 потенцијално контаминираних и контаминираних локација, од којих је 557 регистровано, а 152 </w:t>
      </w:r>
      <w:r w:rsidR="00EA5835" w:rsidRPr="00EF2F18">
        <w:rPr>
          <w:rFonts w:eastAsia="CenturyGothic" w:cs="Times New Roman"/>
          <w:sz w:val="22"/>
          <w:lang w:val="sr-Cyrl-RS"/>
        </w:rPr>
        <w:t xml:space="preserve">су </w:t>
      </w:r>
      <w:r w:rsidR="00BF78D1" w:rsidRPr="00EF2F18">
        <w:rPr>
          <w:rFonts w:eastAsia="CenturyGothic" w:cs="Times New Roman"/>
          <w:sz w:val="22"/>
          <w:lang w:val="sr-Cyrl-RS"/>
        </w:rPr>
        <w:t xml:space="preserve">процењене без локација на којима су се претходно налазили војни објекти, бензинске станице и пумпе, инсталације за хемијско чишћење и третман отпадних вода, као и водови за транспорт опасних материја. </w:t>
      </w:r>
      <w:r w:rsidR="004204F4" w:rsidRPr="00EF2F18">
        <w:rPr>
          <w:rFonts w:eastAsia="CenturyGothic" w:cs="Times New Roman"/>
          <w:sz w:val="22"/>
          <w:lang w:val="sr-Cyrl-RS"/>
        </w:rPr>
        <w:t>Идентификоване к</w:t>
      </w:r>
      <w:r w:rsidR="00EA5835" w:rsidRPr="00EF2F18">
        <w:rPr>
          <w:rFonts w:cs="Times New Roman"/>
          <w:sz w:val="22"/>
          <w:shd w:val="clear" w:color="auto" w:fill="FFFFFF"/>
          <w:lang w:val="sr-Cyrl-RS"/>
        </w:rPr>
        <w:t>онтаминиране локације углавном су резултат историјског загађења и налазе се унутар индустријских комплекса који више нису у раду, или су повезане са депоновањем комуналног отпада, рударским активностима (</w:t>
      </w:r>
      <w:r w:rsidR="003B5A56" w:rsidRPr="00EF2F18">
        <w:rPr>
          <w:rFonts w:cs="Times New Roman"/>
          <w:sz w:val="22"/>
          <w:shd w:val="clear" w:color="auto" w:fill="FFFFFF"/>
          <w:lang w:val="sr-Cyrl-RS"/>
        </w:rPr>
        <w:t xml:space="preserve">одлагање </w:t>
      </w:r>
      <w:r w:rsidR="00EA5835" w:rsidRPr="00EF2F18">
        <w:rPr>
          <w:rFonts w:cs="Times New Roman"/>
          <w:sz w:val="22"/>
          <w:shd w:val="clear" w:color="auto" w:fill="FFFFFF"/>
          <w:lang w:val="sr-Cyrl-RS"/>
        </w:rPr>
        <w:t xml:space="preserve">јаловине) или акцидентима. </w:t>
      </w:r>
      <w:r w:rsidR="00EA5835" w:rsidRPr="00EF2F18">
        <w:rPr>
          <w:rFonts w:cs="Times New Roman"/>
          <w:sz w:val="22"/>
          <w:lang w:val="sr-Cyrl-RS"/>
        </w:rPr>
        <w:t xml:space="preserve">По учешћу у укупном броју контаминираних локација, у Републици Србији у протеклом периоду најзаступљеније су несанитарне депоније комуналног отпада са 43,7% од укупног броја контаминираних локалитета, бушотине и складишта нафте са 26,4% и индустријски и комерцијални локалитети са 16,3%. </w:t>
      </w:r>
      <w:r w:rsidR="00BF78D1" w:rsidRPr="00EF2F18">
        <w:rPr>
          <w:rFonts w:eastAsia="CenturyGothic" w:cs="Times New Roman"/>
          <w:sz w:val="22"/>
          <w:lang w:val="sr-Cyrl-RS"/>
        </w:rPr>
        <w:t>Укупно 41 локација је у процесу санације, док су санациј</w:t>
      </w:r>
      <w:r w:rsidR="00EA5835" w:rsidRPr="00EF2F18">
        <w:rPr>
          <w:rFonts w:eastAsia="CenturyGothic" w:cs="Times New Roman"/>
          <w:sz w:val="22"/>
          <w:lang w:val="sr-Cyrl-RS"/>
        </w:rPr>
        <w:t>е</w:t>
      </w:r>
      <w:r w:rsidR="00BF78D1" w:rsidRPr="00EF2F18">
        <w:rPr>
          <w:rFonts w:eastAsia="CenturyGothic" w:cs="Times New Roman"/>
          <w:sz w:val="22"/>
          <w:lang w:val="sr-Cyrl-RS"/>
        </w:rPr>
        <w:t xml:space="preserve"> и ремедијациј</w:t>
      </w:r>
      <w:r w:rsidR="00EA5835" w:rsidRPr="00EF2F18">
        <w:rPr>
          <w:rFonts w:eastAsia="CenturyGothic" w:cs="Times New Roman"/>
          <w:sz w:val="22"/>
          <w:lang w:val="sr-Cyrl-RS"/>
        </w:rPr>
        <w:t>е</w:t>
      </w:r>
      <w:r w:rsidR="00BF78D1" w:rsidRPr="00EF2F18">
        <w:rPr>
          <w:rFonts w:eastAsia="CenturyGothic" w:cs="Times New Roman"/>
          <w:sz w:val="22"/>
          <w:lang w:val="sr-Cyrl-RS"/>
        </w:rPr>
        <w:t xml:space="preserve"> обављене на 52 локације</w:t>
      </w:r>
      <w:r w:rsidR="00EA5835" w:rsidRPr="00EF2F18">
        <w:rPr>
          <w:rFonts w:eastAsia="CenturyGothic" w:cs="Times New Roman"/>
          <w:sz w:val="22"/>
          <w:lang w:val="sr-Cyrl-RS"/>
        </w:rPr>
        <w:t>.</w:t>
      </w:r>
      <w:r w:rsidR="00BF78D1" w:rsidRPr="00EF2F18">
        <w:rPr>
          <w:rFonts w:eastAsia="CenturyGothic" w:cs="Times New Roman"/>
          <w:sz w:val="22"/>
          <w:lang w:val="sr-Cyrl-RS"/>
        </w:rPr>
        <w:t xml:space="preserve"> </w:t>
      </w:r>
    </w:p>
    <w:p w14:paraId="74CF5746" w14:textId="485C377B" w:rsidR="00C441D0" w:rsidRPr="00EF2F18" w:rsidRDefault="00BF78D1" w:rsidP="00425FCC">
      <w:pPr>
        <w:spacing w:after="0"/>
        <w:ind w:firstLine="720"/>
        <w:jc w:val="both"/>
        <w:rPr>
          <w:rFonts w:cs="Times New Roman"/>
          <w:sz w:val="22"/>
          <w:lang w:val="sr-Cyrl-RS"/>
        </w:rPr>
      </w:pPr>
      <w:r w:rsidRPr="00EF2F18">
        <w:rPr>
          <w:rFonts w:cs="Times New Roman"/>
          <w:sz w:val="22"/>
          <w:lang w:val="sr-Cyrl-RS"/>
        </w:rPr>
        <w:t xml:space="preserve">Са друге стране, </w:t>
      </w:r>
      <w:r w:rsidR="003B5A56" w:rsidRPr="00EF2F18">
        <w:rPr>
          <w:rFonts w:cs="Times New Roman"/>
          <w:sz w:val="22"/>
          <w:lang w:val="sr-Cyrl-RS"/>
        </w:rPr>
        <w:t xml:space="preserve">прерађивачка индустрија </w:t>
      </w:r>
      <w:r w:rsidRPr="00EF2F18">
        <w:rPr>
          <w:rFonts w:cs="Times New Roman"/>
          <w:sz w:val="22"/>
          <w:lang w:val="sr-Cyrl-RS"/>
        </w:rPr>
        <w:t xml:space="preserve">и индустријски капацитети представљају и даље површине на којима је присутан највиши ниво контаминације земљишта. У </w:t>
      </w:r>
      <w:r w:rsidR="000B403D" w:rsidRPr="00EF2F18">
        <w:rPr>
          <w:rFonts w:cs="Times New Roman"/>
          <w:sz w:val="22"/>
          <w:lang w:val="sr-Cyrl-RS"/>
        </w:rPr>
        <w:t>приоритетну</w:t>
      </w:r>
      <w:r w:rsidRPr="00EF2F18">
        <w:rPr>
          <w:rFonts w:cs="Times New Roman"/>
          <w:sz w:val="22"/>
          <w:lang w:val="sr-Cyrl-RS"/>
        </w:rPr>
        <w:t xml:space="preserve"> групу </w:t>
      </w:r>
      <w:r w:rsidR="000B403D" w:rsidRPr="00EF2F18">
        <w:rPr>
          <w:rFonts w:cs="Times New Roman"/>
          <w:sz w:val="22"/>
          <w:lang w:val="sr-Cyrl-RS"/>
        </w:rPr>
        <w:t>контаминираних лок</w:t>
      </w:r>
      <w:r w:rsidR="00110546">
        <w:rPr>
          <w:rFonts w:cs="Times New Roman"/>
          <w:sz w:val="22"/>
          <w:lang w:val="sr-Cyrl-RS"/>
        </w:rPr>
        <w:t>а</w:t>
      </w:r>
      <w:r w:rsidR="000B403D" w:rsidRPr="00EF2F18">
        <w:rPr>
          <w:rFonts w:cs="Times New Roman"/>
          <w:sz w:val="22"/>
          <w:lang w:val="sr-Cyrl-RS"/>
        </w:rPr>
        <w:t xml:space="preserve">ција </w:t>
      </w:r>
      <w:r w:rsidRPr="00EF2F18">
        <w:rPr>
          <w:rFonts w:cs="Times New Roman"/>
          <w:sz w:val="22"/>
          <w:lang w:val="sr-Cyrl-RS"/>
        </w:rPr>
        <w:t>сврставају се велика индустријска предузећа</w:t>
      </w:r>
      <w:r w:rsidR="004204F4" w:rsidRPr="00EF2F18">
        <w:rPr>
          <w:rFonts w:cs="Times New Roman"/>
          <w:sz w:val="22"/>
          <w:lang w:val="sr-Cyrl-RS"/>
        </w:rPr>
        <w:t xml:space="preserve"> чиј</w:t>
      </w:r>
      <w:r w:rsidR="001C1905" w:rsidRPr="00EF2F18">
        <w:rPr>
          <w:rFonts w:cs="Times New Roman"/>
          <w:sz w:val="22"/>
          <w:lang w:val="sr-Cyrl-RS"/>
        </w:rPr>
        <w:t>а</w:t>
      </w:r>
      <w:r w:rsidR="004204F4" w:rsidRPr="00EF2F18">
        <w:rPr>
          <w:rFonts w:cs="Times New Roman"/>
          <w:sz w:val="22"/>
          <w:lang w:val="sr-Cyrl-RS"/>
        </w:rPr>
        <w:t xml:space="preserve"> земљишт</w:t>
      </w:r>
      <w:r w:rsidR="001C1905" w:rsidRPr="00EF2F18">
        <w:rPr>
          <w:rFonts w:cs="Times New Roman"/>
          <w:sz w:val="22"/>
          <w:lang w:val="sr-Cyrl-RS"/>
        </w:rPr>
        <w:t>а</w:t>
      </w:r>
      <w:r w:rsidR="004204F4" w:rsidRPr="00EF2F18">
        <w:rPr>
          <w:rFonts w:cs="Times New Roman"/>
          <w:sz w:val="22"/>
          <w:lang w:val="sr-Cyrl-RS"/>
        </w:rPr>
        <w:t xml:space="preserve"> </w:t>
      </w:r>
      <w:r w:rsidRPr="00EF2F18">
        <w:rPr>
          <w:rFonts w:cs="Times New Roman"/>
          <w:sz w:val="22"/>
          <w:lang w:val="sr-Cyrl-RS"/>
        </w:rPr>
        <w:t xml:space="preserve">захтевају санацију и ремедијацију: </w:t>
      </w:r>
      <w:r w:rsidR="006D026F" w:rsidRPr="00EF2F18">
        <w:rPr>
          <w:rFonts w:eastAsia="Calibri" w:cstheme="minorHAnsi"/>
          <w:sz w:val="22"/>
          <w:lang w:val="sr-Cyrl-RS"/>
        </w:rPr>
        <w:t xml:space="preserve">Serbia </w:t>
      </w:r>
      <w:r w:rsidR="00741BFA" w:rsidRPr="00EF2F18">
        <w:rPr>
          <w:rFonts w:eastAsia="Calibri" w:cstheme="minorHAnsi"/>
          <w:sz w:val="22"/>
          <w:lang w:val="sr-Cyrl-RS"/>
        </w:rPr>
        <w:t xml:space="preserve">Zijin Copper </w:t>
      </w:r>
      <w:r w:rsidR="006D026F" w:rsidRPr="00EF2F18">
        <w:rPr>
          <w:rFonts w:eastAsia="Calibri" w:cstheme="minorHAnsi"/>
          <w:sz w:val="22"/>
          <w:lang w:val="sr-Cyrl-RS"/>
        </w:rPr>
        <w:t>DOO</w:t>
      </w:r>
      <w:r w:rsidRPr="00EF2F18">
        <w:rPr>
          <w:rFonts w:cs="Times New Roman"/>
          <w:sz w:val="22"/>
          <w:lang w:val="sr-Cyrl-RS"/>
        </w:rPr>
        <w:t xml:space="preserve">, </w:t>
      </w:r>
      <w:r w:rsidR="00581FB9">
        <w:rPr>
          <w:rFonts w:cs="Times New Roman"/>
          <w:sz w:val="22"/>
          <w:lang w:val="sr-Cyrl-RS"/>
        </w:rPr>
        <w:t>ППТ-</w:t>
      </w:r>
      <w:r w:rsidR="00741BFA" w:rsidRPr="00EF2F18">
        <w:rPr>
          <w:rFonts w:cs="Times New Roman"/>
          <w:sz w:val="22"/>
          <w:lang w:val="sr-Cyrl-RS"/>
        </w:rPr>
        <w:t>Петолетка д.о.о</w:t>
      </w:r>
      <w:r w:rsidR="00581FB9">
        <w:rPr>
          <w:rFonts w:cs="Times New Roman"/>
          <w:sz w:val="22"/>
          <w:lang w:val="sr-Cyrl-RS"/>
        </w:rPr>
        <w:t>.</w:t>
      </w:r>
      <w:r w:rsidR="00741BFA" w:rsidRPr="00EF2F18" w:rsidDel="00741BFA">
        <w:rPr>
          <w:rFonts w:cs="Times New Roman"/>
          <w:sz w:val="22"/>
          <w:lang w:val="sr-Cyrl-RS"/>
        </w:rPr>
        <w:t xml:space="preserve"> </w:t>
      </w:r>
      <w:r w:rsidRPr="00EF2F18">
        <w:rPr>
          <w:rFonts w:cs="Times New Roman"/>
          <w:sz w:val="22"/>
          <w:lang w:val="sr-Cyrl-RS"/>
        </w:rPr>
        <w:t xml:space="preserve">Трстеник, </w:t>
      </w:r>
      <w:r w:rsidR="00741BFA" w:rsidRPr="00EF2F18">
        <w:rPr>
          <w:rFonts w:eastAsia="Calibri" w:cstheme="minorHAnsi"/>
          <w:sz w:val="22"/>
          <w:lang w:val="sr-Cyrl-RS"/>
        </w:rPr>
        <w:t>HBIS GROUP Serbia Iron &amp;</w:t>
      </w:r>
      <w:r w:rsidR="006A0AED">
        <w:rPr>
          <w:rFonts w:eastAsia="Calibri" w:cstheme="minorHAnsi"/>
          <w:sz w:val="22"/>
          <w:lang w:val="sr-Cyrl-RS"/>
        </w:rPr>
        <w:t xml:space="preserve"> </w:t>
      </w:r>
      <w:r w:rsidR="00741BFA" w:rsidRPr="00EF2F18">
        <w:rPr>
          <w:rFonts w:eastAsia="Calibri" w:cstheme="minorHAnsi"/>
          <w:sz w:val="22"/>
          <w:lang w:val="sr-Cyrl-RS"/>
        </w:rPr>
        <w:t>Steel d.o.o</w:t>
      </w:r>
      <w:r w:rsidR="00173921">
        <w:rPr>
          <w:rFonts w:eastAsia="Calibri" w:cstheme="minorHAnsi"/>
          <w:sz w:val="22"/>
          <w:lang w:val="sr-Cyrl-RS"/>
        </w:rPr>
        <w:t>.</w:t>
      </w:r>
      <w:r w:rsidR="00741BFA" w:rsidRPr="00EF2F18" w:rsidDel="00741BFA">
        <w:rPr>
          <w:rFonts w:cs="Times New Roman"/>
          <w:sz w:val="22"/>
          <w:lang w:val="sr-Cyrl-RS"/>
        </w:rPr>
        <w:t xml:space="preserve"> </w:t>
      </w:r>
      <w:r w:rsidRPr="00EF2F18">
        <w:rPr>
          <w:rFonts w:cs="Times New Roman"/>
          <w:sz w:val="22"/>
          <w:lang w:val="sr-Cyrl-RS"/>
        </w:rPr>
        <w:t xml:space="preserve">Смедерево, Хемијска индустрија Зорка Суботица, ПКС Латекс Чачак и Хемијска индустрија Вискоза Лозница. </w:t>
      </w:r>
    </w:p>
    <w:p w14:paraId="4EB0510D" w14:textId="5175915F" w:rsidR="00BF78D1" w:rsidRPr="00EF2F18" w:rsidRDefault="00BF78D1" w:rsidP="00425FCC">
      <w:pPr>
        <w:spacing w:after="0"/>
        <w:ind w:firstLine="720"/>
        <w:jc w:val="both"/>
        <w:rPr>
          <w:rFonts w:cs="Times New Roman"/>
          <w:sz w:val="22"/>
          <w:shd w:val="clear" w:color="auto" w:fill="FFFFFF"/>
          <w:lang w:val="sr-Cyrl-RS"/>
        </w:rPr>
      </w:pPr>
      <w:r w:rsidRPr="00EF2F18">
        <w:rPr>
          <w:rFonts w:cs="Times New Roman"/>
          <w:sz w:val="22"/>
          <w:lang w:val="sr-Cyrl-RS"/>
        </w:rPr>
        <w:t>Највећи број идентификованих локација на којима се реализују активности које могу да буду узрок загађења и деградације земљишта</w:t>
      </w:r>
      <w:r w:rsidR="00C441D0" w:rsidRPr="00EF2F18">
        <w:rPr>
          <w:rFonts w:cs="Times New Roman"/>
          <w:sz w:val="22"/>
          <w:lang w:val="sr-Cyrl-RS"/>
        </w:rPr>
        <w:t>,</w:t>
      </w:r>
      <w:r w:rsidRPr="00EF2F18">
        <w:rPr>
          <w:rFonts w:cs="Times New Roman"/>
          <w:sz w:val="22"/>
          <w:lang w:val="sr-Cyrl-RS"/>
        </w:rPr>
        <w:t xml:space="preserve"> су локације управљања отпадом, у оквиру којих се налазе и несанитарне депоније – сметлишта, којима управљају јединице локалне самоуправе. Неке од ових локација су саниране, или су у процесу санације, рекултивације и затварања. </w:t>
      </w:r>
      <w:r w:rsidR="00A42320" w:rsidRPr="00EF2F18">
        <w:rPr>
          <w:rFonts w:cs="Times New Roman"/>
          <w:sz w:val="22"/>
          <w:shd w:val="clear" w:color="auto" w:fill="FFFFFF"/>
          <w:lang w:val="sr-Cyrl-RS"/>
        </w:rPr>
        <w:t>И</w:t>
      </w:r>
      <w:r w:rsidRPr="00EF2F18">
        <w:rPr>
          <w:rFonts w:cs="Times New Roman"/>
          <w:sz w:val="22"/>
          <w:shd w:val="clear" w:color="auto" w:fill="FFFFFF"/>
          <w:lang w:val="sr-Cyrl-RS"/>
        </w:rPr>
        <w:t>здвојено је 14 локација у околини бивших или постојећих индустријских постројења које представљају приоритете за санацију контаминираног земљишта. По две локације налазе се на територији Ниша (Електронска и Машинска индустрија) и Краљева (Магнохром и Фабрика вагона), а по једна у Крушевцу (Хемијска индустрија Жупа), Прокупљу (Фабрика обојених метала ФОМ), Шапцу (Зорка), Лозници (Хемијска индустрија Вискоза), Зајечару (Кожарско – текстилни комбинат), Прахову (Хемијска индустрија Еликсир), Крагујевцу (Шумадија), Сомбору (Фабрика акумулатора), Зрењанину (Радијатор АД) и Владичином Хану (Фабрика папира и амбалаже).</w:t>
      </w:r>
    </w:p>
    <w:p w14:paraId="4A1292C9" w14:textId="48312131" w:rsidR="00D443EA" w:rsidRPr="00EF2F18" w:rsidRDefault="00D443EA" w:rsidP="00D443EA">
      <w:pPr>
        <w:autoSpaceDE w:val="0"/>
        <w:autoSpaceDN w:val="0"/>
        <w:adjustRightInd w:val="0"/>
        <w:spacing w:after="0"/>
        <w:ind w:firstLine="720"/>
        <w:jc w:val="both"/>
        <w:rPr>
          <w:rFonts w:cs="Times New Roman"/>
          <w:bCs/>
          <w:sz w:val="22"/>
          <w:lang w:val="sr-Cyrl-RS"/>
        </w:rPr>
      </w:pPr>
      <w:r w:rsidRPr="00EF2F18">
        <w:rPr>
          <w:rFonts w:cs="Times New Roman"/>
          <w:sz w:val="22"/>
          <w:lang w:val="sr-Cyrl-RS"/>
        </w:rPr>
        <w:t>Плански оквир заштите земљишта у Републици Србији још увек није у потпуности успостављен.</w:t>
      </w:r>
      <w:r w:rsidRPr="00EF2F18">
        <w:rPr>
          <w:rFonts w:cs="Times New Roman"/>
          <w:b/>
          <w:kern w:val="2"/>
          <w:lang w:val="sr-Cyrl-RS"/>
          <w14:ligatures w14:val="standardContextual"/>
        </w:rPr>
        <w:t xml:space="preserve"> </w:t>
      </w:r>
      <w:r w:rsidRPr="00EF2F18">
        <w:rPr>
          <w:rFonts w:cs="Times New Roman"/>
          <w:bCs/>
          <w:kern w:val="2"/>
          <w:lang w:val="sr-Cyrl-RS"/>
          <w14:ligatures w14:val="standardContextual"/>
        </w:rPr>
        <w:t>Транспозиција</w:t>
      </w:r>
      <w:r w:rsidRPr="00EF2F18">
        <w:rPr>
          <w:rFonts w:cs="Times New Roman"/>
          <w:b/>
          <w:kern w:val="2"/>
          <w:lang w:val="sr-Cyrl-RS"/>
          <w14:ligatures w14:val="standardContextual"/>
        </w:rPr>
        <w:t xml:space="preserve"> </w:t>
      </w:r>
      <w:r w:rsidRPr="00EF2F18">
        <w:rPr>
          <w:rFonts w:cs="Times New Roman"/>
          <w:bCs/>
          <w:sz w:val="22"/>
          <w:lang w:val="sr-Cyrl-RS"/>
        </w:rPr>
        <w:t xml:space="preserve">ЕУ Стратегије за земљиште до 2030. године (Soil Strategy for 2030, </w:t>
      </w:r>
      <w:r w:rsidRPr="00EF2F18">
        <w:rPr>
          <w:rFonts w:cs="Times New Roman"/>
          <w:bCs/>
          <w:sz w:val="22"/>
          <w:lang w:val="sr-Cyrl-RS"/>
        </w:rPr>
        <w:lastRenderedPageBreak/>
        <w:t xml:space="preserve">COM(2021) 699 final) и ЕУ Закона о здрављу земљишта (Soil Health Law), извршена је кроз израду драфта Програма </w:t>
      </w:r>
      <w:r w:rsidR="00A60BF2">
        <w:rPr>
          <w:rFonts w:cs="Times New Roman"/>
          <w:bCs/>
          <w:sz w:val="22"/>
          <w:lang w:val="sr-Cyrl-RS"/>
        </w:rPr>
        <w:t>заштите земљишта за период 2026</w:t>
      </w:r>
      <w:r w:rsidRPr="00EF2F18">
        <w:rPr>
          <w:rFonts w:cs="Times New Roman"/>
          <w:bCs/>
          <w:sz w:val="22"/>
          <w:lang w:val="sr-Cyrl-RS"/>
        </w:rPr>
        <w:t xml:space="preserve"> – 2032. године,</w:t>
      </w:r>
      <w:r w:rsidRPr="00EF2F18">
        <w:rPr>
          <w:rFonts w:eastAsia="Times New Roman" w:cs="Times New Roman"/>
          <w:szCs w:val="24"/>
          <w:lang w:val="sr-Cyrl-RS"/>
        </w:rPr>
        <w:t xml:space="preserve"> </w:t>
      </w:r>
      <w:r w:rsidRPr="00EF2F18">
        <w:rPr>
          <w:rFonts w:cs="Times New Roman"/>
          <w:bCs/>
          <w:sz w:val="22"/>
          <w:lang w:val="sr-Cyrl-RS"/>
        </w:rPr>
        <w:t>са циљем да сва земљишта до 2050. године буду у здравом и отпорном стању.</w:t>
      </w:r>
      <w:r w:rsidRPr="00EF2F18">
        <w:rPr>
          <w:rFonts w:eastAsia="Times New Roman" w:cs="Times New Roman"/>
          <w:szCs w:val="24"/>
          <w:lang w:val="sr-Cyrl-RS"/>
        </w:rPr>
        <w:t xml:space="preserve"> </w:t>
      </w:r>
      <w:r w:rsidRPr="00EF2F18">
        <w:rPr>
          <w:rFonts w:cs="Times New Roman"/>
          <w:bCs/>
          <w:sz w:val="22"/>
          <w:lang w:val="sr-Cyrl-RS"/>
        </w:rPr>
        <w:t>Сврха Програма је да обезбеди дугорочно очување, обнову и унапређење овог кључног природног ресурса успостављањем јединственог и дугорочног система праћења и управљања.</w:t>
      </w:r>
    </w:p>
    <w:p w14:paraId="4595FC1D" w14:textId="77777777" w:rsidR="00D443EA" w:rsidRPr="00EF2F18" w:rsidRDefault="00D443EA" w:rsidP="00D443EA">
      <w:pPr>
        <w:autoSpaceDE w:val="0"/>
        <w:autoSpaceDN w:val="0"/>
        <w:adjustRightInd w:val="0"/>
        <w:spacing w:after="0"/>
        <w:ind w:firstLine="720"/>
        <w:jc w:val="both"/>
        <w:rPr>
          <w:rFonts w:cs="Times New Roman"/>
          <w:bCs/>
          <w:sz w:val="22"/>
          <w:lang w:val="sr-Cyrl-RS"/>
        </w:rPr>
      </w:pPr>
      <w:r w:rsidRPr="00EF2F18">
        <w:rPr>
          <w:rFonts w:cs="Times New Roman"/>
          <w:bCs/>
          <w:sz w:val="22"/>
          <w:lang w:val="sr-Cyrl-RS"/>
        </w:rPr>
        <w:t xml:space="preserve"> Програм је усмерен на стварање услова у којима ће земљиште задржати или повратити свој пуни капацитет за обављање основних екосистемских функција, од производње хране и подршке биодиверзитету, до регулације водног режима и складиштења угљеника.</w:t>
      </w:r>
      <w:r w:rsidRPr="00EF2F18">
        <w:rPr>
          <w:rFonts w:eastAsia="Times New Roman" w:cs="Times New Roman"/>
          <w:szCs w:val="24"/>
          <w:lang w:val="sr-Cyrl-RS"/>
        </w:rPr>
        <w:t xml:space="preserve"> </w:t>
      </w:r>
      <w:r w:rsidRPr="00EF2F18">
        <w:rPr>
          <w:rFonts w:cs="Times New Roman"/>
          <w:bCs/>
          <w:sz w:val="22"/>
          <w:lang w:val="sr-Cyrl-RS"/>
        </w:rPr>
        <w:t>За разлику од традиционалних приступа који су земљиште вредновали углавном кроз његов тренутни агрономски или производни учинак, савремени концепт здравља земљишта полази од ширег сагледавања његове улоге у одржавању екосистема. Посебан акценат ставља се на правовремено препознавање и спречавање процеса деградације, смањење постојећих притисака и обнову оштећених површина у стање које обезбеђује њихову дугорочну стабилност и отпорност. У том смислу, здравље земљишта није крајње стање, већ процесна особина, односно одраз његове отпорности, прилагодљивости и способности да одговори на природне и антропогене притиске, без губитка интегритета.</w:t>
      </w:r>
      <w:r w:rsidRPr="00EF2F18">
        <w:rPr>
          <w:rFonts w:eastAsia="Times New Roman" w:cs="Times New Roman"/>
          <w:szCs w:val="24"/>
          <w:lang w:val="sr-Cyrl-RS"/>
        </w:rPr>
        <w:t xml:space="preserve"> </w:t>
      </w:r>
      <w:r w:rsidRPr="00EF2F18">
        <w:rPr>
          <w:rFonts w:cs="Times New Roman"/>
          <w:bCs/>
          <w:sz w:val="22"/>
          <w:lang w:val="sr-Cyrl-RS"/>
        </w:rPr>
        <w:t>Концепт здравља земљишта захтева промену начина размишљања од процене употребне вредности ка процени функционалног капацитета.</w:t>
      </w:r>
      <w:r w:rsidRPr="00EF2F18">
        <w:rPr>
          <w:rFonts w:eastAsia="Times New Roman" w:cs="Times New Roman"/>
          <w:szCs w:val="24"/>
          <w:lang w:val="sr-Cyrl-RS"/>
        </w:rPr>
        <w:t xml:space="preserve"> </w:t>
      </w:r>
      <w:r w:rsidRPr="00EF2F18">
        <w:rPr>
          <w:bCs/>
          <w:sz w:val="22"/>
          <w:lang w:val="sr-Cyrl-RS"/>
        </w:rPr>
        <w:t>У складу са тим, дефинише се као „физичко, хемијско, функционално и биолошко стање земљишта које одређује његову способност да функционише као виталан живи систем и да обезбеђује екосистемске услуге, узимајући у обзир намену коришћења земљишта“. Овим се приступ процени стања земљишта проширује и уводи флексибилнији, прилагодљив оквир, који омогућава повезивање здравља земљишта са специфичностима простора, пејзажа и начина коришћења.</w:t>
      </w:r>
      <w:r w:rsidRPr="00EF2F18">
        <w:rPr>
          <w:rFonts w:cs="Times New Roman"/>
          <w:bCs/>
          <w:sz w:val="22"/>
          <w:lang w:val="sr-Cyrl-RS"/>
        </w:rPr>
        <w:t xml:space="preserve"> Овим концептом успоставља се мост између науке и политике, између локалних знања и глобалних изазова, подстичући развој интегрисаних метода оцењивања, стратешког планирања и прилагођених мера заштите. У том смислу, здравље земљишта постаје темељни показатељ одрживости једног система и оријентир за обликовање будућих политика заштите природе и ресурса.</w:t>
      </w:r>
    </w:p>
    <w:p w14:paraId="25F5CF3C" w14:textId="14ADCAB6" w:rsidR="00D443EA" w:rsidRPr="00EF2F18" w:rsidRDefault="00D443EA" w:rsidP="00D443EA">
      <w:pPr>
        <w:autoSpaceDE w:val="0"/>
        <w:autoSpaceDN w:val="0"/>
        <w:adjustRightInd w:val="0"/>
        <w:spacing w:after="0"/>
        <w:ind w:firstLine="720"/>
        <w:jc w:val="both"/>
        <w:rPr>
          <w:rFonts w:cs="Times New Roman"/>
          <w:bCs/>
          <w:sz w:val="22"/>
          <w:lang w:val="sr-Cyrl-RS"/>
        </w:rPr>
      </w:pPr>
      <w:r w:rsidRPr="00EF2F18">
        <w:rPr>
          <w:rFonts w:cs="Times New Roman"/>
          <w:bCs/>
          <w:sz w:val="22"/>
          <w:lang w:val="sr-Cyrl-RS"/>
        </w:rPr>
        <w:t>Програма заштите земљишта</w:t>
      </w:r>
      <w:r w:rsidRPr="00EF2F18">
        <w:rPr>
          <w:rFonts w:eastAsia="Times New Roman" w:cs="Times New Roman"/>
          <w:szCs w:val="24"/>
          <w:lang w:val="sr-Cyrl-RS"/>
        </w:rPr>
        <w:t xml:space="preserve"> </w:t>
      </w:r>
      <w:r w:rsidRPr="00EF2F18">
        <w:rPr>
          <w:rFonts w:cs="Times New Roman"/>
          <w:bCs/>
          <w:sz w:val="22"/>
          <w:lang w:val="sr-Cyrl-RS"/>
        </w:rPr>
        <w:t>предвиђа транзицију ка здравим земљиштима кроз мрежу живих лабораторија и демонстрацион</w:t>
      </w:r>
      <w:r w:rsidR="002B56E8">
        <w:rPr>
          <w:rFonts w:cs="Times New Roman"/>
          <w:bCs/>
          <w:sz w:val="22"/>
          <w:lang w:val="sr-Cyrl-RS"/>
        </w:rPr>
        <w:t>их локација, снаж</w:t>
      </w:r>
      <w:r w:rsidRPr="00EF2F18">
        <w:rPr>
          <w:rFonts w:cs="Times New Roman"/>
          <w:bCs/>
          <w:sz w:val="22"/>
          <w:lang w:val="sr-Cyrl-RS"/>
        </w:rPr>
        <w:t>ном програму истраживања и иновацијама, хармонизованом систему мониторинга и подизању свести о значају земљишта у друштву.</w:t>
      </w:r>
      <w:r w:rsidRPr="00EF2F18">
        <w:rPr>
          <w:rFonts w:eastAsia="Times New Roman" w:cs="Times New Roman"/>
          <w:szCs w:val="24"/>
          <w:lang w:val="sr-Cyrl-RS"/>
        </w:rPr>
        <w:t xml:space="preserve"> </w:t>
      </w:r>
      <w:r w:rsidRPr="00EF2F18">
        <w:rPr>
          <w:rFonts w:cs="Times New Roman"/>
          <w:bCs/>
          <w:sz w:val="22"/>
          <w:lang w:val="sr-Cyrl-RS"/>
        </w:rPr>
        <w:t xml:space="preserve">У Плану имплементације издвојен је сет од </w:t>
      </w:r>
      <w:r w:rsidRPr="00EF2F18">
        <w:rPr>
          <w:rFonts w:cs="Times New Roman"/>
          <w:sz w:val="22"/>
          <w:lang w:val="sr-Cyrl-RS"/>
        </w:rPr>
        <w:t>осамнаест основних индикатора здравља земљишта</w:t>
      </w:r>
      <w:r w:rsidRPr="00EF2F18">
        <w:rPr>
          <w:rFonts w:cs="Times New Roman"/>
          <w:bCs/>
          <w:sz w:val="22"/>
          <w:lang w:val="sr-Cyrl-RS"/>
        </w:rPr>
        <w:t xml:space="preserve"> у оквиру којих постоји знатно већи број специфичних показатеља подиндикатора који омогућавају детаљније и прецизније праћење стања и трендова.</w:t>
      </w:r>
      <w:r w:rsidRPr="00EF2F18">
        <w:rPr>
          <w:rFonts w:eastAsia="Times New Roman" w:cs="Times New Roman"/>
          <w:szCs w:val="24"/>
          <w:lang w:val="sr-Cyrl-RS"/>
        </w:rPr>
        <w:t xml:space="preserve"> </w:t>
      </w:r>
      <w:r w:rsidRPr="00EF2F18">
        <w:rPr>
          <w:rFonts w:cs="Times New Roman"/>
          <w:bCs/>
          <w:sz w:val="22"/>
          <w:lang w:val="sr-Cyrl-RS"/>
        </w:rPr>
        <w:t xml:space="preserve">Паралелно са тим, значајну улогу има и Европска опсерваторија за земљиште (European Soil Observatory </w:t>
      </w:r>
      <w:r w:rsidR="004A57B1">
        <w:rPr>
          <w:rFonts w:cs="Times New Roman"/>
          <w:bCs/>
          <w:sz w:val="22"/>
          <w:lang w:val="sr-Cyrl-RS"/>
        </w:rPr>
        <w:t>–</w:t>
      </w:r>
      <w:r w:rsidRPr="00EF2F18">
        <w:rPr>
          <w:rFonts w:cs="Times New Roman"/>
          <w:bCs/>
          <w:sz w:val="22"/>
          <w:lang w:val="sr-Cyrl-RS"/>
        </w:rPr>
        <w:t xml:space="preserve"> EUSO), чији је један од најважнијих резултата развој алата за праћење здравља земљишта (Soil Health Dashboard). Реч је о јединственом дигиталном алату који омогућава први интегрисани преглед стања здравља земљишта. Овај инструмент комбинује податке из националних мониторинг програма, европских научних пројеката и база података и интегрише их у сет свих 18 индикатора који прате кључне аспекте здравља земљишта.</w:t>
      </w:r>
      <w:r w:rsidRPr="00EF2F18">
        <w:rPr>
          <w:rFonts w:eastAsia="Times New Roman" w:cs="Times New Roman"/>
          <w:szCs w:val="24"/>
          <w:lang w:val="sr-Cyrl-RS"/>
        </w:rPr>
        <w:t xml:space="preserve"> </w:t>
      </w:r>
      <w:r w:rsidRPr="00EF2F18">
        <w:rPr>
          <w:rFonts w:cs="Times New Roman"/>
          <w:bCs/>
          <w:sz w:val="22"/>
          <w:lang w:val="sr-Cyrl-RS"/>
        </w:rPr>
        <w:t>Хармонизација индикатора и методологија омогућила би да се национални извештаји о стању животне средине интегришу у европске оквире, што би допринело транспарентности и препознатљивости Србије на међународном нивоу. Занемаривање овог приступа може довести до продубљивања постојећих проблема и ограничити способност Србије да се адекватно прилагоди глобалним еколошким и економским изазовима.</w:t>
      </w:r>
    </w:p>
    <w:p w14:paraId="621BFD72" w14:textId="4F569EA4" w:rsidR="00D443EA" w:rsidRPr="00EF2F18" w:rsidRDefault="00D443EA" w:rsidP="00D443EA">
      <w:pPr>
        <w:autoSpaceDE w:val="0"/>
        <w:autoSpaceDN w:val="0"/>
        <w:adjustRightInd w:val="0"/>
        <w:spacing w:after="0"/>
        <w:ind w:firstLine="720"/>
        <w:jc w:val="both"/>
        <w:rPr>
          <w:rFonts w:cs="Times New Roman"/>
          <w:bCs/>
          <w:sz w:val="22"/>
          <w:lang w:val="sr-Cyrl-RS"/>
        </w:rPr>
      </w:pPr>
      <w:r w:rsidRPr="00EF2F18">
        <w:rPr>
          <w:rFonts w:cs="Times New Roman"/>
          <w:bCs/>
          <w:sz w:val="22"/>
          <w:lang w:val="sr-Cyrl-RS"/>
        </w:rPr>
        <w:t xml:space="preserve">Заштита земљишта у Републици Србији заснива се на јединственом системском закону и групи међусобно повезаних прописа који заједно обезбеђују правни, институционални и технички оквир за очување овог ресурса. Основу система чини Закон о заштити земљишта </w:t>
      </w:r>
      <w:r w:rsidR="0071655B">
        <w:rPr>
          <w:rFonts w:cs="Times New Roman"/>
          <w:bCs/>
          <w:sz w:val="22"/>
          <w:lang w:val="sr-Latn-RS"/>
        </w:rPr>
        <w:t>(</w:t>
      </w:r>
      <w:r w:rsidRPr="00EF2F18">
        <w:rPr>
          <w:rFonts w:cs="Times New Roman"/>
          <w:bCs/>
          <w:sz w:val="22"/>
          <w:lang w:val="sr-Cyrl-RS"/>
        </w:rPr>
        <w:t>„Службени гласник РС</w:t>
      </w:r>
      <w:r w:rsidR="0071655B" w:rsidRPr="00EF2F18">
        <w:rPr>
          <w:rFonts w:cs="Times New Roman"/>
          <w:bCs/>
          <w:sz w:val="22"/>
          <w:lang w:val="sr-Cyrl-RS"/>
        </w:rPr>
        <w:t>”</w:t>
      </w:r>
      <w:r w:rsidR="0071655B">
        <w:rPr>
          <w:rFonts w:cs="Times New Roman"/>
          <w:bCs/>
          <w:sz w:val="22"/>
          <w:lang w:val="sr-Cyrl-RS"/>
        </w:rPr>
        <w:t>, брoj</w:t>
      </w:r>
      <w:r w:rsidRPr="00EF2F18">
        <w:rPr>
          <w:rFonts w:cs="Times New Roman"/>
          <w:bCs/>
          <w:sz w:val="22"/>
          <w:lang w:val="sr-Cyrl-RS"/>
        </w:rPr>
        <w:t xml:space="preserve"> 112/15), први свеобухватни акт који уређује очување површина и функција земљишта, прописује систематско праћење стања и квалитета, мере санације, ремедијације и рекултивације, као и инспекцијски надзор. Закон се примењује на све типове земљишта, без обзира на намену и својину, и поставља оквир за доношење оперативних прописа и дефинисање институционалних надлежности. На овај закон директно се надовезују кључни подзаконски акти. Уредба о систематском праћењу стања и квалитета земљишта („Службени гласник РС</w:t>
      </w:r>
      <w:r w:rsidR="0097361F" w:rsidRPr="00EF2F18">
        <w:rPr>
          <w:rFonts w:cs="Times New Roman"/>
          <w:bCs/>
          <w:sz w:val="22"/>
          <w:lang w:val="sr-Cyrl-RS"/>
        </w:rPr>
        <w:t>”</w:t>
      </w:r>
      <w:r w:rsidRPr="00EF2F18">
        <w:rPr>
          <w:rFonts w:cs="Times New Roman"/>
          <w:bCs/>
          <w:sz w:val="22"/>
          <w:lang w:val="sr-Cyrl-RS"/>
        </w:rPr>
        <w:t>, бр</w:t>
      </w:r>
      <w:r w:rsidR="0097361F">
        <w:rPr>
          <w:rFonts w:cs="Times New Roman"/>
          <w:bCs/>
          <w:sz w:val="22"/>
          <w:lang w:val="sr-Latn-RS"/>
        </w:rPr>
        <w:t>oj</w:t>
      </w:r>
      <w:r w:rsidRPr="00EF2F18">
        <w:rPr>
          <w:rFonts w:cs="Times New Roman"/>
          <w:bCs/>
          <w:sz w:val="22"/>
          <w:lang w:val="sr-Cyrl-RS"/>
        </w:rPr>
        <w:t xml:space="preserve"> 88/20) прецизира садржај програма мониторинга, методологије и критеријуме за избор мерних места, листе параметара и метода, учесталост мерења, индикаторе ризика и </w:t>
      </w:r>
      <w:r w:rsidRPr="00EF2F18">
        <w:rPr>
          <w:rFonts w:cs="Times New Roman"/>
          <w:bCs/>
          <w:sz w:val="22"/>
          <w:lang w:val="sr-Cyrl-RS"/>
        </w:rPr>
        <w:lastRenderedPageBreak/>
        <w:t>динамику достављања података. Уредба о граничним вредностима загађујућих, штетних и опасних материја у земљишту („Службени гласник РС</w:t>
      </w:r>
      <w:r w:rsidR="003A2709" w:rsidRPr="00EF2F18">
        <w:rPr>
          <w:rFonts w:cs="Times New Roman"/>
          <w:bCs/>
          <w:sz w:val="22"/>
          <w:lang w:val="sr-Cyrl-RS"/>
        </w:rPr>
        <w:t>”</w:t>
      </w:r>
      <w:r w:rsidRPr="00EF2F18">
        <w:rPr>
          <w:rFonts w:cs="Times New Roman"/>
          <w:bCs/>
          <w:sz w:val="22"/>
          <w:lang w:val="sr-Cyrl-RS"/>
        </w:rPr>
        <w:t xml:space="preserve">, бр. 30/18 и 64/19) утврђује граничне и ремедијационе вредности чије прекорачење покреће додатна испитивања и ограничења у управљању и ремедијационе процедуре. </w:t>
      </w:r>
    </w:p>
    <w:p w14:paraId="2B21BB9D" w14:textId="162243FA" w:rsidR="00D443EA" w:rsidRPr="00143597" w:rsidRDefault="00D443EA" w:rsidP="00143597">
      <w:pPr>
        <w:autoSpaceDE w:val="0"/>
        <w:autoSpaceDN w:val="0"/>
        <w:adjustRightInd w:val="0"/>
        <w:spacing w:after="0"/>
        <w:ind w:firstLine="720"/>
        <w:jc w:val="both"/>
        <w:rPr>
          <w:rFonts w:cs="Times New Roman"/>
          <w:bCs/>
          <w:sz w:val="22"/>
          <w:lang w:val="sr-Cyrl-RS"/>
        </w:rPr>
      </w:pPr>
      <w:r w:rsidRPr="00EF2F18">
        <w:rPr>
          <w:rFonts w:cs="Times New Roman"/>
          <w:bCs/>
          <w:sz w:val="22"/>
          <w:lang w:val="sr-Cyrl-RS"/>
        </w:rPr>
        <w:t>Поред ових централних докумената, низ секторских политика индиректно доприноси заштити земљишта. Стратегија ЕУ о биодиверзитету до 2030. године предвиђа повећање површина под високим степеном биолошке разноврсности, укључујући и најмање 10% пољопривредног земљишта. Стратегија за шуме подржава очување шумског земљишта, док климатски циљеви до 2030. и 2050. године утичу на смањење емисија и повећање капацитета земљишта за складиштење угљеника. Секторске директиве такође имају значајну улогу. Директива о депонијама спречава загађење земљишта од инфилтрације процедних вода, Директива о индустријским емисијама прописује мере за спречавање и контролу загађења земљишта од стране индустријских постројења, а прописи о процени утицаја на животну средину (EIA) захтевају разматрање утицаја планова и пројеката на земљиште. Значајно место има и развој иновативних алата и пројеката који подржавају праћење и управљање земљиштем. ЕУ финансира иницијативе као што је AI4SoilHealth, усмерен на развој дигиталне инфраструктуре засноване на вештачкој интелигенцији за праћење здравља земљишта широм Европе. Поред тога, алати као што су EU Soil Observatory и Copernicus Land Monitoring Service омогућавају интегрисано управљање подацима и подршку креирању политика. Систематско праћење здравља земљишта спроводи и Европска аге</w:t>
      </w:r>
      <w:r w:rsidR="00143597">
        <w:rPr>
          <w:rFonts w:cs="Times New Roman"/>
          <w:bCs/>
          <w:sz w:val="22"/>
          <w:lang w:val="sr-Cyrl-RS"/>
        </w:rPr>
        <w:t>нција за животну средину (EEA).</w:t>
      </w:r>
    </w:p>
    <w:p w14:paraId="5F4F6BC9" w14:textId="35083A01" w:rsidR="00167B46" w:rsidRPr="00AD01BE" w:rsidRDefault="00A42320" w:rsidP="00AD01BE">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Агенција за заштиту животне средине надлежна је за успостављање и вођење </w:t>
      </w:r>
      <w:r w:rsidR="00104F5B" w:rsidRPr="00EF2F18">
        <w:rPr>
          <w:rFonts w:cs="Times New Roman"/>
          <w:sz w:val="22"/>
          <w:lang w:val="sr-Cyrl-RS"/>
        </w:rPr>
        <w:t>К</w:t>
      </w:r>
      <w:r w:rsidRPr="00EF2F18">
        <w:rPr>
          <w:rFonts w:cs="Times New Roman"/>
          <w:sz w:val="22"/>
          <w:lang w:val="sr-Cyrl-RS"/>
        </w:rPr>
        <w:t xml:space="preserve">атастра </w:t>
      </w:r>
      <w:r w:rsidR="00104F5B" w:rsidRPr="00EF2F18">
        <w:rPr>
          <w:rFonts w:cs="Times New Roman"/>
          <w:sz w:val="22"/>
          <w:lang w:val="sr-Cyrl-RS"/>
        </w:rPr>
        <w:t>контаминиран</w:t>
      </w:r>
      <w:r w:rsidR="0030101C" w:rsidRPr="00EF2F18">
        <w:rPr>
          <w:rFonts w:cs="Times New Roman"/>
          <w:sz w:val="22"/>
          <w:lang w:val="sr-Cyrl-RS"/>
        </w:rPr>
        <w:t>их локација</w:t>
      </w:r>
      <w:r w:rsidRPr="00EF2F18">
        <w:rPr>
          <w:rFonts w:cs="Times New Roman"/>
          <w:sz w:val="22"/>
          <w:lang w:val="sr-Cyrl-RS"/>
        </w:rPr>
        <w:t xml:space="preserve">, који је саставни део информационог система заштите животне средине у Републици Србији. Стање и квалитет земљишта на контаминираним локацијама прате се на годишњем нивоу. Основна намена катастра је обезбеђивање систематских података о изворима загађења, као што су врста, количине, начин и локација испуштања загађујућих материја у земљиште, у циљу спровођења мера превенције или санације. Прикупљање података ближе је дефинисано Правилником </w:t>
      </w:r>
      <w:r w:rsidR="0030101C" w:rsidRPr="00EF2F18">
        <w:rPr>
          <w:rFonts w:cs="Times New Roman"/>
          <w:sz w:val="22"/>
          <w:lang w:val="sr-Cyrl-RS"/>
        </w:rPr>
        <w:t xml:space="preserve">о садржини и начину вођења Катастра контаминираних локација, врсти, садржини, обрасцима, начину и роковима достављања података </w:t>
      </w:r>
      <w:r w:rsidRPr="00EF2F18">
        <w:rPr>
          <w:rFonts w:cs="Times New Roman"/>
          <w:sz w:val="22"/>
          <w:lang w:val="sr-Cyrl-RS"/>
        </w:rPr>
        <w:t>(„Слу</w:t>
      </w:r>
      <w:r w:rsidR="00AD01BE">
        <w:rPr>
          <w:rFonts w:cs="Times New Roman"/>
          <w:sz w:val="22"/>
          <w:lang w:val="sr-Cyrl-RS"/>
        </w:rPr>
        <w:t>жбени гласник РС”, број 58/19).</w:t>
      </w:r>
    </w:p>
    <w:p w14:paraId="19551D11" w14:textId="19E22529" w:rsidR="00A21DFE" w:rsidRPr="00EF2F18" w:rsidRDefault="00A21DFE" w:rsidP="00F106C9">
      <w:pPr>
        <w:pStyle w:val="Heading3"/>
        <w:numPr>
          <w:ilvl w:val="2"/>
          <w:numId w:val="2"/>
        </w:numPr>
        <w:jc w:val="center"/>
        <w:rPr>
          <w:rFonts w:cs="Times New Roman"/>
          <w:sz w:val="22"/>
          <w:szCs w:val="22"/>
          <w:lang w:val="sr-Cyrl-RS"/>
        </w:rPr>
      </w:pPr>
      <w:bookmarkStart w:id="52" w:name="_Toc158307704"/>
      <w:r w:rsidRPr="00EF2F18">
        <w:rPr>
          <w:rFonts w:cs="Times New Roman"/>
          <w:sz w:val="22"/>
          <w:szCs w:val="22"/>
          <w:lang w:val="sr-Cyrl-RS"/>
        </w:rPr>
        <w:t>Индустријскo загађење и ризик од удеса</w:t>
      </w:r>
      <w:bookmarkEnd w:id="52"/>
    </w:p>
    <w:p w14:paraId="58461837" w14:textId="3B2E0E71" w:rsidR="00E86284" w:rsidRPr="00EF2F18" w:rsidRDefault="00E86284" w:rsidP="000D0989">
      <w:pPr>
        <w:spacing w:after="0"/>
        <w:ind w:firstLine="720"/>
        <w:jc w:val="both"/>
        <w:rPr>
          <w:rFonts w:cs="Times New Roman"/>
          <w:sz w:val="22"/>
          <w:lang w:val="sr-Cyrl-RS"/>
        </w:rPr>
      </w:pPr>
      <w:r w:rsidRPr="00EF2F18">
        <w:rPr>
          <w:rFonts w:cs="Times New Roman"/>
          <w:sz w:val="22"/>
          <w:lang w:val="sr-Cyrl-RS"/>
        </w:rPr>
        <w:t xml:space="preserve">Енергетски интензитет, иако смањен у периоду 1995 – 2016. </w:t>
      </w:r>
      <w:r w:rsidR="00F106C9" w:rsidRPr="00EF2F18">
        <w:rPr>
          <w:rFonts w:cs="Times New Roman"/>
          <w:iCs/>
          <w:sz w:val="22"/>
          <w:lang w:val="sr-Cyrl-RS"/>
        </w:rPr>
        <w:t>године</w:t>
      </w:r>
      <w:r w:rsidR="00F106C9" w:rsidRPr="00EF2F18">
        <w:rPr>
          <w:rFonts w:cs="Times New Roman"/>
          <w:sz w:val="22"/>
          <w:lang w:val="sr-Cyrl-RS"/>
        </w:rPr>
        <w:t xml:space="preserve"> </w:t>
      </w:r>
      <w:r w:rsidRPr="00EF2F18">
        <w:rPr>
          <w:rFonts w:cs="Times New Roman"/>
          <w:sz w:val="22"/>
          <w:lang w:val="sr-Cyrl-RS"/>
        </w:rPr>
        <w:t xml:space="preserve">за 12%, још увек је за 80% већи од просека ЕУ, уз уочено повећање у периоду 2014 – 2016. </w:t>
      </w:r>
      <w:r w:rsidR="00F106C9" w:rsidRPr="00EF2F18">
        <w:rPr>
          <w:rFonts w:cs="Times New Roman"/>
          <w:iCs/>
          <w:sz w:val="22"/>
          <w:lang w:val="sr-Cyrl-RS"/>
        </w:rPr>
        <w:t>године.</w:t>
      </w:r>
      <w:r w:rsidR="00F106C9" w:rsidRPr="00EF2F18">
        <w:rPr>
          <w:rFonts w:cs="Times New Roman"/>
          <w:sz w:val="22"/>
          <w:lang w:val="sr-Cyrl-RS"/>
        </w:rPr>
        <w:t xml:space="preserve"> </w:t>
      </w:r>
      <w:r w:rsidRPr="00EF2F18">
        <w:rPr>
          <w:rFonts w:cs="Times New Roman"/>
          <w:sz w:val="22"/>
          <w:lang w:val="sr-Cyrl-RS"/>
        </w:rPr>
        <w:t xml:space="preserve">Код старих технологија повећани су губици у материјалним токовима и производња отпада по јединици производа, уз недовољан степен прераде отпада и отпадних вода. Бележи се и недовољна искоришћеност потенцијала обновљивих извора енергије, пре свега због потребе великих улагања и недовољних финансијских могућности привредних субјеката, али и недовољног подстицајног окружења које би промовисало инвестиције у зелене технологије, управљање отпадом или производне системе који генеришу енергију из обновљивих извора енергије. Због свега наведеног, Стратегија индустријске политике Републике Србије од 2022. до 2030. године као мере </w:t>
      </w:r>
      <w:r w:rsidR="00A429EB" w:rsidRPr="00EF2F18">
        <w:rPr>
          <w:rFonts w:cs="Times New Roman"/>
          <w:sz w:val="22"/>
          <w:lang w:val="sr-Cyrl-RS"/>
        </w:rPr>
        <w:t xml:space="preserve">подстицањa </w:t>
      </w:r>
      <w:r w:rsidRPr="00EF2F18">
        <w:rPr>
          <w:rFonts w:cs="Times New Roman"/>
          <w:sz w:val="22"/>
          <w:lang w:val="sr-Cyrl-RS"/>
        </w:rPr>
        <w:t>инвестиција у наредном периоду предвиђа решења циркуларне нискоугљеничне економије као генераторе раста и подстицање ефикасније употребе материјалних ресурса и енергетске ефикасности у индустријским процесима.</w:t>
      </w:r>
      <w:r w:rsidR="00A429EB" w:rsidRPr="00EF2F18">
        <w:rPr>
          <w:rFonts w:cs="Times New Roman"/>
          <w:sz w:val="22"/>
          <w:lang w:val="sr-Cyrl-RS"/>
        </w:rPr>
        <w:t xml:space="preserve"> </w:t>
      </w:r>
    </w:p>
    <w:p w14:paraId="62152D60" w14:textId="54B1ABE6" w:rsidR="00167B46" w:rsidRPr="00EF2F18" w:rsidRDefault="00167B46" w:rsidP="00167B46">
      <w:pPr>
        <w:autoSpaceDE w:val="0"/>
        <w:autoSpaceDN w:val="0"/>
        <w:adjustRightInd w:val="0"/>
        <w:spacing w:after="0"/>
        <w:ind w:firstLine="720"/>
        <w:jc w:val="both"/>
        <w:rPr>
          <w:rFonts w:cs="Times New Roman"/>
          <w:sz w:val="22"/>
          <w:shd w:val="clear" w:color="auto" w:fill="FFFFFF"/>
          <w:lang w:val="sr-Cyrl-RS"/>
        </w:rPr>
      </w:pPr>
      <w:r w:rsidRPr="00EF2F18">
        <w:rPr>
          <w:rFonts w:cs="Times New Roman"/>
          <w:sz w:val="22"/>
          <w:lang w:val="sr-Cyrl-RS"/>
        </w:rPr>
        <w:t xml:space="preserve">Интегрисани национални енергетски и климатски план Републике Србије до 2030. године са </w:t>
      </w:r>
      <w:r w:rsidR="00902EDC" w:rsidRPr="00EF2F18">
        <w:rPr>
          <w:rStyle w:val="cf01"/>
          <w:rFonts w:ascii="Times New Roman" w:hAnsi="Times New Roman" w:cs="Times New Roman"/>
          <w:sz w:val="22"/>
          <w:lang w:val="sr-Cyrl-RS"/>
        </w:rPr>
        <w:t xml:space="preserve">визијом </w:t>
      </w:r>
      <w:r w:rsidRPr="00EF2F18">
        <w:rPr>
          <w:rFonts w:cs="Times New Roman"/>
          <w:sz w:val="22"/>
          <w:lang w:val="sr-Cyrl-RS"/>
        </w:rPr>
        <w:t>до 2050. године дефинише политике и мере које је потребно реализовани у процесу декарбонизације и повећању енергетске ефикасности са посебним освртом на индустријски сектор.</w:t>
      </w:r>
      <w:r w:rsidR="001846DD" w:rsidRPr="00EF2F18">
        <w:rPr>
          <w:rFonts w:cs="Times New Roman"/>
          <w:sz w:val="22"/>
          <w:lang w:val="sr-Cyrl-RS"/>
        </w:rPr>
        <w:t xml:space="preserve"> </w:t>
      </w:r>
      <w:r w:rsidRPr="00EF2F18">
        <w:rPr>
          <w:rFonts w:cs="Times New Roman"/>
          <w:sz w:val="22"/>
          <w:lang w:val="sr-Cyrl-RS"/>
        </w:rPr>
        <w:t>Дефинисане су шеме подршке за спровођење пројеката енергетске ефикасности у индустријском сектору комбиновањем различитих финансијских инструмената, као што су директна финансијска подршка, кредити са ниским каматама, пореске олакшице, кредитне линије и гаранције.</w:t>
      </w:r>
      <w:r w:rsidR="001846DD" w:rsidRPr="00EF2F18">
        <w:rPr>
          <w:rFonts w:cs="Times New Roman"/>
          <w:sz w:val="22"/>
          <w:lang w:val="sr-Cyrl-RS"/>
        </w:rPr>
        <w:t xml:space="preserve"> </w:t>
      </w:r>
      <w:r w:rsidRPr="00EF2F18">
        <w:rPr>
          <w:rFonts w:cs="Times New Roman"/>
          <w:sz w:val="22"/>
          <w:shd w:val="clear" w:color="auto" w:fill="FFFFFF"/>
          <w:lang w:val="sr-Cyrl-RS"/>
        </w:rPr>
        <w:t>Додатна примена најбољих доступних технологија биће подржана у складу са одговарајућим законодавством, док ће развој посебних механизма за праћење и надзор допринети остварењу овог циља. Поред тога, применом захтева еко-дизајна ће се осигурати примена енергетски ефикасних технологија и опреме.</w:t>
      </w:r>
      <w:r w:rsidR="001846DD" w:rsidRPr="00EF2F18">
        <w:rPr>
          <w:rFonts w:cs="Times New Roman"/>
          <w:sz w:val="22"/>
          <w:shd w:val="clear" w:color="auto" w:fill="FFFFFF"/>
          <w:lang w:val="sr-Cyrl-RS"/>
        </w:rPr>
        <w:t xml:space="preserve"> </w:t>
      </w:r>
      <w:r w:rsidRPr="00EF2F18">
        <w:rPr>
          <w:rFonts w:cs="Times New Roman"/>
          <w:sz w:val="22"/>
          <w:shd w:val="clear" w:color="auto" w:fill="FFFFFF"/>
          <w:lang w:val="sr-Cyrl-RS"/>
        </w:rPr>
        <w:t xml:space="preserve">Поред тога, </w:t>
      </w:r>
      <w:r w:rsidR="005E49E8" w:rsidRPr="00EF2F18">
        <w:rPr>
          <w:rFonts w:cs="Times New Roman"/>
          <w:sz w:val="22"/>
          <w:shd w:val="clear" w:color="auto" w:fill="FFFFFF"/>
          <w:lang w:val="sr-Cyrl-RS"/>
        </w:rPr>
        <w:t>планиране су</w:t>
      </w:r>
      <w:r w:rsidRPr="00EF2F18">
        <w:rPr>
          <w:rFonts w:cs="Times New Roman"/>
          <w:sz w:val="22"/>
          <w:shd w:val="clear" w:color="auto" w:fill="FFFFFF"/>
          <w:lang w:val="sr-Cyrl-RS"/>
        </w:rPr>
        <w:t xml:space="preserve"> разне додатне активности обезбеђивањем финансијских и фискалних подстицаја у циљу промовисања </w:t>
      </w:r>
      <w:r w:rsidRPr="00EF2F18">
        <w:rPr>
          <w:rFonts w:cs="Times New Roman"/>
          <w:sz w:val="22"/>
          <w:shd w:val="clear" w:color="auto" w:fill="FFFFFF"/>
          <w:lang w:val="sr-Cyrl-RS"/>
        </w:rPr>
        <w:lastRenderedPageBreak/>
        <w:t>енергетске ефикасности у индустријском сектору, као што су успостављање индустријско-пословних зона које ће бити прикључене на централизована когенерациона постројења и централне системе за производњу и дистрибуцију топлоте, увођење система когенерације, промовисање циркуларне економије, укључујући експлоатацију отпадне топлоте и већу дигитализацију индустријских процеса.</w:t>
      </w:r>
    </w:p>
    <w:p w14:paraId="714A7E9C" w14:textId="77777777" w:rsidR="00B61803" w:rsidRPr="00EF2F18" w:rsidRDefault="001C45D0" w:rsidP="00E86284">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Према подацима Другог двогодишњег ажурираног извештаја Републике Србије према Оквирној конвенцији УН о промени климе, индустријски процеси и употреба производа, укључујући производњу и потрошњу минералних сировина (цемент, креч, кречњак и натријум-карбонат), производњу хемикалија (пре свега амонијака), гвожђа и других метала и других производа, допринели су у 2016. години 7% укупним емисијама гасова са ефектом стаклене баште. Од укупних емисија гасова са ефектом стаклене баште насталих у индустријским процесима у 2016. години, 45,1% је генерисано у производњи метала, од чега 94% у производњи гвожђа и челика. Индустрија минерала чини 26,3% процесних емисија, при чему главни допринос има производња цемента са 79%, а следи производња креча са 18%. На хемијску индустрију отпада 17,6% укупних процесних емисија, од чега половина</w:t>
      </w:r>
      <w:r w:rsidR="002717AA" w:rsidRPr="00EF2F18">
        <w:rPr>
          <w:rFonts w:cs="Times New Roman"/>
          <w:sz w:val="22"/>
          <w:lang w:val="sr-Cyrl-RS"/>
        </w:rPr>
        <w:t xml:space="preserve"> </w:t>
      </w:r>
      <w:r w:rsidRPr="00EF2F18">
        <w:rPr>
          <w:rFonts w:cs="Times New Roman"/>
          <w:sz w:val="22"/>
          <w:lang w:val="sr-Cyrl-RS"/>
        </w:rPr>
        <w:t xml:space="preserve">на производњу азотне киселине, трећина на производњу чађи и 27,9% на производњу амонијака. </w:t>
      </w:r>
    </w:p>
    <w:p w14:paraId="3C2E3D16" w14:textId="359EBC7C" w:rsidR="003B5A56" w:rsidRPr="00EF2F18" w:rsidRDefault="00E12D6D" w:rsidP="003B5A56">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Национални план за смањење емисија </w:t>
      </w:r>
      <w:r w:rsidRPr="00EF2F18">
        <w:rPr>
          <w:rFonts w:cs="Times New Roman"/>
          <w:sz w:val="22"/>
          <w:shd w:val="clear" w:color="auto" w:fill="FFFFFF"/>
          <w:lang w:val="sr-Cyrl-RS"/>
        </w:rPr>
        <w:t>главних загађујућих материја које потичу из старих великих постројења за сагоревање (</w:t>
      </w:r>
      <w:r w:rsidRPr="00EF2F18">
        <w:rPr>
          <w:rFonts w:cs="Times New Roman"/>
          <w:i/>
          <w:iCs/>
          <w:sz w:val="22"/>
          <w:shd w:val="clear" w:color="auto" w:fill="FFFFFF"/>
          <w:lang w:val="sr-Cyrl-RS"/>
        </w:rPr>
        <w:t>NERP</w:t>
      </w:r>
      <w:r w:rsidRPr="00EF2F18">
        <w:rPr>
          <w:rFonts w:cs="Times New Roman"/>
          <w:sz w:val="22"/>
          <w:shd w:val="clear" w:color="auto" w:fill="FFFFFF"/>
          <w:lang w:val="sr-Cyrl-RS"/>
        </w:rPr>
        <w:t>) („Службени гласник РС”, број 10/20)</w:t>
      </w:r>
      <w:r w:rsidRPr="00EF2F18">
        <w:rPr>
          <w:rFonts w:cs="Times New Roman"/>
          <w:sz w:val="22"/>
          <w:lang w:val="sr-Cyrl-RS"/>
        </w:rPr>
        <w:t xml:space="preserve"> усклађен је са захтевима Директиве ЕУ о великим ложиштима</w:t>
      </w:r>
      <w:r w:rsidR="00927F99" w:rsidRPr="00EF2F18">
        <w:rPr>
          <w:rFonts w:cs="Times New Roman"/>
          <w:sz w:val="22"/>
          <w:lang w:val="sr-Cyrl-RS"/>
        </w:rPr>
        <w:t xml:space="preserve"> (која је сада обједињена у Директиви ЕУ 2010/75</w:t>
      </w:r>
      <w:r w:rsidR="009719F8" w:rsidRPr="00EF2F18">
        <w:rPr>
          <w:rFonts w:cs="Times New Roman"/>
          <w:sz w:val="22"/>
          <w:lang w:val="sr-Cyrl-RS"/>
        </w:rPr>
        <w:t>/EU</w:t>
      </w:r>
      <w:r w:rsidR="00927F99" w:rsidRPr="00EF2F18">
        <w:rPr>
          <w:rFonts w:cs="Times New Roman"/>
          <w:sz w:val="22"/>
          <w:lang w:val="sr-Cyrl-RS"/>
        </w:rPr>
        <w:t xml:space="preserve"> о индустријским емисијама)</w:t>
      </w:r>
      <w:r w:rsidR="006F5392" w:rsidRPr="00EF2F18">
        <w:rPr>
          <w:rFonts w:cs="Times New Roman"/>
          <w:sz w:val="22"/>
          <w:lang w:val="sr-Cyrl-RS"/>
        </w:rPr>
        <w:t>,</w:t>
      </w:r>
      <w:r w:rsidR="00927F99" w:rsidRPr="00EF2F18">
        <w:rPr>
          <w:rFonts w:cs="Times New Roman"/>
          <w:sz w:val="22"/>
          <w:lang w:val="sr-Cyrl-RS"/>
        </w:rPr>
        <w:t xml:space="preserve"> </w:t>
      </w:r>
      <w:r w:rsidR="006F5392" w:rsidRPr="00EF2F18">
        <w:rPr>
          <w:rFonts w:cs="Times New Roman"/>
          <w:sz w:val="22"/>
          <w:lang w:val="sr-Cyrl-RS"/>
        </w:rPr>
        <w:t>међутим</w:t>
      </w:r>
      <w:r w:rsidR="00927F99" w:rsidRPr="00EF2F18">
        <w:rPr>
          <w:rFonts w:cs="Times New Roman"/>
          <w:sz w:val="22"/>
          <w:lang w:val="sr-Cyrl-RS"/>
        </w:rPr>
        <w:t>,</w:t>
      </w:r>
      <w:r w:rsidR="006F5392" w:rsidRPr="00EF2F18">
        <w:rPr>
          <w:rFonts w:cs="Times New Roman"/>
          <w:sz w:val="22"/>
          <w:lang w:val="sr-Cyrl-RS"/>
        </w:rPr>
        <w:t xml:space="preserve"> прописане мере се још увек недовољно спроводе у пракси</w:t>
      </w:r>
      <w:r w:rsidRPr="00EF2F18">
        <w:rPr>
          <w:rFonts w:cs="Times New Roman"/>
          <w:sz w:val="22"/>
          <w:lang w:val="sr-Cyrl-RS"/>
        </w:rPr>
        <w:t xml:space="preserve">. </w:t>
      </w:r>
      <w:r w:rsidR="001C45D0" w:rsidRPr="00EF2F18">
        <w:rPr>
          <w:rFonts w:cs="Times New Roman"/>
          <w:sz w:val="22"/>
          <w:lang w:val="sr-Cyrl-RS"/>
        </w:rPr>
        <w:t xml:space="preserve">Емисије загађујућих материја из старих великих постројења за сагоревање и непречишћене индустријске отпадне воде представљају један од кључних извора загађивања ваздуха, површинских и подземних вода. </w:t>
      </w:r>
      <w:r w:rsidR="00534E49" w:rsidRPr="00EF2F18">
        <w:rPr>
          <w:rFonts w:cs="Times New Roman"/>
          <w:sz w:val="22"/>
          <w:lang w:val="sr-Cyrl-RS"/>
        </w:rPr>
        <w:t>Емисије загађујућих материја из старих великих постројења за сагоревање и непречишћене индустријске отпадне воде представљају један од кључних извора загађивања ваздуха, површинских и подземних вода. Највећи загађивачи према количини у тонама загађујуће материје су Железара Смедерево, термоелектране Никола Тесла А и Б, термоелектрана Костолац, Борски и Сјенички рудници и отворени коп Колубара</w:t>
      </w:r>
      <w:r w:rsidR="001C45D0" w:rsidRPr="00EF2F18">
        <w:rPr>
          <w:rFonts w:cs="Times New Roman"/>
          <w:sz w:val="22"/>
          <w:lang w:val="sr-Cyrl-RS"/>
        </w:rPr>
        <w:t xml:space="preserve">. Врло је мали број индустријских загађивача који пречишћавају своје отпадне воде. </w:t>
      </w:r>
      <w:r w:rsidR="00F90C37" w:rsidRPr="00EF2F18">
        <w:rPr>
          <w:rFonts w:cs="Times New Roman"/>
          <w:sz w:val="22"/>
          <w:lang w:val="sr-Cyrl-RS"/>
        </w:rPr>
        <w:t xml:space="preserve">Изградња постројења за третман отпадних вода завршена је у ТЕНТ А и ТЕ „Костолац Б”. Нису изграђена постројења за пречишћавање отпадних вода у ТЕ „Никола Тесла” Б, ТО „Вреоци” и „Панонске” ТЕ-ТО, као ни у ХЕ „Ђердап” и „Дринско-Лимске” ХЕ. </w:t>
      </w:r>
      <w:r w:rsidR="00B61803" w:rsidRPr="00EF2F18">
        <w:rPr>
          <w:rFonts w:cs="Times New Roman"/>
          <w:sz w:val="22"/>
          <w:lang w:val="sr-Cyrl-RS"/>
        </w:rPr>
        <w:t xml:space="preserve">Пречишћавање отпадних вода из рударских и постројења за експлоатацију минералних сировина није на задовољавајућем нивоу. </w:t>
      </w:r>
      <w:r w:rsidR="003B5A56" w:rsidRPr="00EF2F18">
        <w:rPr>
          <w:rFonts w:cs="Times New Roman"/>
          <w:sz w:val="22"/>
          <w:lang w:val="sr-Cyrl-RS"/>
        </w:rPr>
        <w:t>Од укупне количине отпадних вода у привреди, 13,8% отпадних вода генерише се у сектору рударства и експлоатације минералних сировина. Према подацима Републичког завода за статистику, од укупне количине отпадних вода у рударству од 25 милиона m</w:t>
      </w:r>
      <w:r w:rsidR="003B5A56" w:rsidRPr="00EF2F18">
        <w:rPr>
          <w:rFonts w:cs="Times New Roman"/>
          <w:sz w:val="22"/>
          <w:vertAlign w:val="superscript"/>
          <w:lang w:val="sr-Cyrl-RS"/>
        </w:rPr>
        <w:t>3</w:t>
      </w:r>
      <w:r w:rsidR="003B5A56" w:rsidRPr="00EF2F18">
        <w:rPr>
          <w:rFonts w:cs="Times New Roman"/>
          <w:sz w:val="22"/>
          <w:lang w:val="sr-Cyrl-RS"/>
        </w:rPr>
        <w:t xml:space="preserve"> у 2022. години, само 3 милиона m</w:t>
      </w:r>
      <w:r w:rsidR="003B5A56" w:rsidRPr="00EF2F18">
        <w:rPr>
          <w:rFonts w:cs="Times New Roman"/>
          <w:sz w:val="22"/>
          <w:vertAlign w:val="superscript"/>
          <w:lang w:val="sr-Cyrl-RS"/>
        </w:rPr>
        <w:t>3</w:t>
      </w:r>
      <w:r w:rsidR="003B5A56" w:rsidRPr="00EF2F18">
        <w:rPr>
          <w:rFonts w:cs="Times New Roman"/>
          <w:sz w:val="22"/>
          <w:lang w:val="sr-Cyrl-RS"/>
        </w:rPr>
        <w:t xml:space="preserve"> (14%) било је подвргнуто пречишћавању. </w:t>
      </w:r>
    </w:p>
    <w:p w14:paraId="3B550995" w14:textId="792F810A" w:rsidR="001C45D0" w:rsidRPr="00EF2F18" w:rsidRDefault="001C45D0" w:rsidP="00E86284">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Проблем „историјског</w:t>
      </w:r>
      <w:r w:rsidR="00CF307C" w:rsidRPr="00EF2F18">
        <w:rPr>
          <w:rFonts w:cs="Times New Roman"/>
          <w:sz w:val="22"/>
          <w:lang w:val="sr-Cyrl-RS"/>
        </w:rPr>
        <w:t>”</w:t>
      </w:r>
      <w:r w:rsidRPr="00EF2F18">
        <w:rPr>
          <w:rFonts w:cs="Times New Roman"/>
          <w:sz w:val="22"/>
          <w:lang w:val="sr-Cyrl-RS"/>
        </w:rPr>
        <w:t xml:space="preserve"> загађења још увек није решен у потпуности.</w:t>
      </w:r>
    </w:p>
    <w:p w14:paraId="63D28EF3" w14:textId="768DF0E3" w:rsidR="00B61803" w:rsidRPr="00EF2F18" w:rsidRDefault="001846DD" w:rsidP="00B61803">
      <w:pPr>
        <w:spacing w:after="0"/>
        <w:ind w:firstLine="720"/>
        <w:jc w:val="both"/>
        <w:rPr>
          <w:rFonts w:cs="Times New Roman"/>
          <w:sz w:val="22"/>
          <w:shd w:val="clear" w:color="auto" w:fill="FFFFFF"/>
          <w:lang w:val="sr-Cyrl-RS"/>
        </w:rPr>
      </w:pPr>
      <w:r w:rsidRPr="00EF2F18">
        <w:rPr>
          <w:rFonts w:cs="Times New Roman"/>
          <w:sz w:val="22"/>
          <w:lang w:val="sr-Cyrl-RS"/>
        </w:rPr>
        <w:t>У 2023. години је произведено око 170 милиона тона отпада из сектора рударства и експлоатације минералних сировина, од чега 23,1% чини опасан (флотацијски) отпад</w:t>
      </w:r>
      <w:r w:rsidR="00B61803" w:rsidRPr="00EF2F18">
        <w:rPr>
          <w:rFonts w:cs="Times New Roman"/>
          <w:sz w:val="22"/>
          <w:lang w:val="sr-Cyrl-RS"/>
        </w:rPr>
        <w:t>. Највећи генератор</w:t>
      </w:r>
      <w:r w:rsidR="004256FD" w:rsidRPr="00EF2F18">
        <w:rPr>
          <w:rFonts w:cs="Times New Roman"/>
          <w:sz w:val="22"/>
          <w:lang w:val="sr-Cyrl-RS"/>
        </w:rPr>
        <w:t>и</w:t>
      </w:r>
      <w:r w:rsidR="00B61803" w:rsidRPr="00EF2F18">
        <w:rPr>
          <w:rFonts w:cs="Times New Roman"/>
          <w:sz w:val="22"/>
          <w:lang w:val="sr-Cyrl-RS"/>
        </w:rPr>
        <w:t xml:space="preserve"> отпада </w:t>
      </w:r>
      <w:r w:rsidR="004256FD" w:rsidRPr="00EF2F18">
        <w:rPr>
          <w:rFonts w:cs="Times New Roman"/>
          <w:sz w:val="22"/>
          <w:lang w:val="sr-Cyrl-RS"/>
        </w:rPr>
        <w:t xml:space="preserve">су </w:t>
      </w:r>
      <w:r w:rsidR="00B61803" w:rsidRPr="00EF2F18">
        <w:rPr>
          <w:rFonts w:cs="Times New Roman"/>
          <w:sz w:val="22"/>
          <w:lang w:val="sr-Cyrl-RS"/>
        </w:rPr>
        <w:t>„</w:t>
      </w:r>
      <w:r w:rsidR="005E2335" w:rsidRPr="00EF2F18">
        <w:rPr>
          <w:rFonts w:cs="Times New Roman"/>
          <w:sz w:val="22"/>
          <w:lang w:val="sr-Cyrl-RS"/>
        </w:rPr>
        <w:t>Serbia Zijin Copper DOO</w:t>
      </w:r>
      <w:r w:rsidR="00B61803" w:rsidRPr="00EF2F18">
        <w:rPr>
          <w:rFonts w:cs="Times New Roman"/>
          <w:sz w:val="22"/>
          <w:lang w:val="sr-Cyrl-RS"/>
        </w:rPr>
        <w:t>” Бор</w:t>
      </w:r>
      <w:r w:rsidR="004256FD" w:rsidRPr="00EF2F18">
        <w:rPr>
          <w:rFonts w:cs="Times New Roman"/>
          <w:sz w:val="22"/>
          <w:lang w:val="sr-Cyrl-RS"/>
        </w:rPr>
        <w:t xml:space="preserve"> и „Serbia Zijin mining DOO” Bor</w:t>
      </w:r>
      <w:r w:rsidR="00B61803" w:rsidRPr="00EF2F18">
        <w:rPr>
          <w:rFonts w:cs="Times New Roman"/>
          <w:sz w:val="22"/>
          <w:lang w:val="sr-Cyrl-RS"/>
        </w:rPr>
        <w:t xml:space="preserve">, а поред </w:t>
      </w:r>
      <w:r w:rsidR="00235264" w:rsidRPr="00EF2F18">
        <w:rPr>
          <w:rFonts w:cs="Times New Roman"/>
          <w:sz w:val="22"/>
          <w:lang w:val="sr-Cyrl-RS"/>
        </w:rPr>
        <w:t xml:space="preserve">ових привредних друштава </w:t>
      </w:r>
      <w:r w:rsidR="00B61803" w:rsidRPr="00EF2F18">
        <w:rPr>
          <w:rFonts w:cs="Times New Roman"/>
          <w:sz w:val="22"/>
          <w:lang w:val="sr-Cyrl-RS"/>
        </w:rPr>
        <w:t xml:space="preserve">постоји још </w:t>
      </w:r>
      <w:r w:rsidR="005429BF" w:rsidRPr="00EF2F18">
        <w:rPr>
          <w:rFonts w:cs="Times New Roman"/>
          <w:sz w:val="22"/>
          <w:lang w:val="sr-Cyrl-RS"/>
        </w:rPr>
        <w:t>6 која се баве експлоатаци</w:t>
      </w:r>
      <w:r w:rsidR="00E64623">
        <w:rPr>
          <w:rFonts w:cs="Times New Roman"/>
          <w:sz w:val="22"/>
          <w:lang w:val="sr-Cyrl-RS"/>
        </w:rPr>
        <w:t>јом металичних сировина и произ</w:t>
      </w:r>
      <w:r w:rsidR="005429BF" w:rsidRPr="00EF2F18">
        <w:rPr>
          <w:rFonts w:cs="Times New Roman"/>
          <w:sz w:val="22"/>
          <w:lang w:val="sr-Cyrl-RS"/>
        </w:rPr>
        <w:t>в</w:t>
      </w:r>
      <w:r w:rsidR="00E64623">
        <w:rPr>
          <w:rFonts w:cs="Times New Roman"/>
          <w:sz w:val="22"/>
          <w:lang w:val="sr-Cyrl-RS"/>
        </w:rPr>
        <w:t>о</w:t>
      </w:r>
      <w:r w:rsidR="005429BF" w:rsidRPr="00EF2F18">
        <w:rPr>
          <w:rFonts w:cs="Times New Roman"/>
          <w:sz w:val="22"/>
          <w:lang w:val="sr-Cyrl-RS"/>
        </w:rPr>
        <w:t>де флотацијски отпад.</w:t>
      </w:r>
      <w:r w:rsidR="00B61803" w:rsidRPr="00EF2F18">
        <w:rPr>
          <w:rFonts w:cs="Times New Roman"/>
          <w:sz w:val="22"/>
          <w:lang w:val="sr-Cyrl-RS"/>
        </w:rPr>
        <w:t xml:space="preserve"> Током 2019. године финализована је израда катастра рударског отпада. </w:t>
      </w:r>
      <w:r w:rsidR="00B61803" w:rsidRPr="00EF2F18">
        <w:rPr>
          <w:rStyle w:val="Strong"/>
          <w:rFonts w:cs="Times New Roman"/>
          <w:b w:val="0"/>
          <w:sz w:val="22"/>
          <w:shd w:val="clear" w:color="auto" w:fill="FFFFFF"/>
          <w:lang w:val="sr-Cyrl-RS"/>
        </w:rPr>
        <w:t>Катастар садржи систематизоване податке о рударском отпаду са 250 локација које представљају напуштене или затворене руднике</w:t>
      </w:r>
      <w:r w:rsidR="003B5A56" w:rsidRPr="00EF2F18">
        <w:rPr>
          <w:rStyle w:val="Strong"/>
          <w:rFonts w:cs="Times New Roman"/>
          <w:b w:val="0"/>
          <w:sz w:val="22"/>
          <w:shd w:val="clear" w:color="auto" w:fill="FFFFFF"/>
          <w:lang w:val="sr-Cyrl-RS"/>
        </w:rPr>
        <w:t xml:space="preserve">. </w:t>
      </w:r>
      <w:r w:rsidR="003B5A56" w:rsidRPr="00EF2F18">
        <w:rPr>
          <w:rFonts w:cs="Times New Roman"/>
          <w:sz w:val="22"/>
          <w:shd w:val="clear" w:color="auto" w:fill="FFFFFF"/>
          <w:lang w:val="sr-Cyrl-RS"/>
        </w:rPr>
        <w:t xml:space="preserve">У периоду 2017 </w:t>
      </w:r>
      <w:r w:rsidR="00E64623">
        <w:rPr>
          <w:rFonts w:cs="Times New Roman"/>
          <w:sz w:val="22"/>
          <w:shd w:val="clear" w:color="auto" w:fill="FFFFFF"/>
          <w:lang w:val="sr-Cyrl-RS"/>
        </w:rPr>
        <w:t>–</w:t>
      </w:r>
      <w:r w:rsidR="003B5A56" w:rsidRPr="00EF2F18">
        <w:rPr>
          <w:rFonts w:cs="Times New Roman"/>
          <w:sz w:val="22"/>
          <w:shd w:val="clear" w:color="auto" w:fill="FFFFFF"/>
          <w:lang w:val="sr-Cyrl-RS"/>
        </w:rPr>
        <w:t xml:space="preserve"> 2020. године </w:t>
      </w:r>
      <w:r w:rsidR="00B61803" w:rsidRPr="00EF2F18">
        <w:rPr>
          <w:rFonts w:cs="Times New Roman"/>
          <w:sz w:val="22"/>
          <w:shd w:val="clear" w:color="auto" w:fill="FFFFFF"/>
          <w:lang w:val="sr-Cyrl-RS"/>
        </w:rPr>
        <w:t xml:space="preserve">на 41 изабраној локацији у 21 општини, на којима се налази 80% идентификованог рударског отпада, извршена су детаљна испитивања (узорковање земљишта, карактеризација рударског отпада, испитивање подземних и површинских вода, хемијске анализе, процене стабилности). </w:t>
      </w:r>
    </w:p>
    <w:p w14:paraId="08989FA4" w14:textId="503F662B" w:rsidR="00BF78D1" w:rsidRPr="00EF2F18" w:rsidRDefault="00B61803" w:rsidP="00B61803">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Закон о рударству и геолошким истраживањима („Службени гласник РС”, бр. 101/15, 95/18 – др. закон и 40/21) дефинисао је управљање рударским отпадом. Законом је прописана обавеза израде плана управљања отпадом из рударства и издавања дозволе за одлагање и управљање отпадом из рударства. </w:t>
      </w:r>
      <w:r w:rsidR="001846DD" w:rsidRPr="00EF2F18">
        <w:rPr>
          <w:rFonts w:cs="Times New Roman"/>
          <w:sz w:val="22"/>
          <w:lang w:val="sr-Cyrl-RS"/>
        </w:rPr>
        <w:t xml:space="preserve">Док рударска индустрија углавном може имати локализован утицај на животну средину, друге индустрије које имају одређен степен прераде (металуршка и хемијска постројења и термоелектране), могу изазвати утицаје ширих размера. Јасно разликовање ових извора загађења омогућава прецизније планирање мера заштите животне средине и ефикаснију контролу утицаја на ваздух, воду и земљиште. </w:t>
      </w:r>
      <w:r w:rsidRPr="00EF2F18">
        <w:rPr>
          <w:rFonts w:cs="Times New Roman"/>
          <w:sz w:val="22"/>
          <w:lang w:val="sr-Cyrl-RS"/>
        </w:rPr>
        <w:t xml:space="preserve">Уредба о условима и </w:t>
      </w:r>
      <w:r w:rsidRPr="00EF2F18">
        <w:rPr>
          <w:rFonts w:cs="Times New Roman"/>
          <w:sz w:val="22"/>
          <w:lang w:val="sr-Cyrl-RS"/>
        </w:rPr>
        <w:lastRenderedPageBreak/>
        <w:t>поступку издавања дозволе за управљање отпадом, као и критеријумима, карактеризацији, класификацији и извештавању о рударском отпаду („Службени гласник РС”, број 53/17)</w:t>
      </w:r>
      <w:r w:rsidRPr="00EF2F18">
        <w:rPr>
          <w:rFonts w:cs="Times New Roman"/>
          <w:sz w:val="22"/>
          <w:shd w:val="clear" w:color="auto" w:fill="FFFFFF"/>
          <w:lang w:val="sr-Cyrl-RS"/>
        </w:rPr>
        <w:t>, ступила је на снагу 1. јануара 2020. године.</w:t>
      </w:r>
      <w:r w:rsidR="00A42320" w:rsidRPr="00EF2F18">
        <w:rPr>
          <w:rFonts w:cs="Times New Roman"/>
          <w:sz w:val="22"/>
          <w:shd w:val="clear" w:color="auto" w:fill="FFFFFF"/>
          <w:lang w:val="sr-Cyrl-RS"/>
        </w:rPr>
        <w:t xml:space="preserve"> </w:t>
      </w:r>
      <w:r w:rsidR="00BF78D1" w:rsidRPr="00EF2F18">
        <w:rPr>
          <w:rFonts w:cs="Times New Roman"/>
          <w:sz w:val="22"/>
          <w:lang w:val="sr-Cyrl-RS"/>
        </w:rPr>
        <w:t>Од укупне количине од 108 милиона m</w:t>
      </w:r>
      <w:r w:rsidR="00BF78D1" w:rsidRPr="00EF2F18">
        <w:rPr>
          <w:rFonts w:cs="Times New Roman"/>
          <w:sz w:val="22"/>
          <w:vertAlign w:val="superscript"/>
          <w:lang w:val="sr-Cyrl-RS"/>
        </w:rPr>
        <w:t>3</w:t>
      </w:r>
      <w:r w:rsidR="00BF78D1" w:rsidRPr="00EF2F18">
        <w:rPr>
          <w:rFonts w:cs="Times New Roman"/>
          <w:sz w:val="22"/>
          <w:lang w:val="sr-Cyrl-RS"/>
        </w:rPr>
        <w:t xml:space="preserve"> отпадних вода из индустрије </w:t>
      </w:r>
      <w:r w:rsidR="00434429" w:rsidRPr="00EF2F18">
        <w:rPr>
          <w:rFonts w:cs="Times New Roman"/>
          <w:sz w:val="22"/>
          <w:lang w:val="sr-Cyrl-RS"/>
        </w:rPr>
        <w:t>у</w:t>
      </w:r>
      <w:r w:rsidR="00BF78D1" w:rsidRPr="00EF2F18">
        <w:rPr>
          <w:rFonts w:cs="Times New Roman"/>
          <w:sz w:val="22"/>
          <w:lang w:val="sr-Cyrl-RS"/>
        </w:rPr>
        <w:t xml:space="preserve"> 2021. години пречишћено је само 27%, а поново искоришћено само 3%. Проценат пречишћених отпадних вода има благи тренд опадања у периоду 2017 – 2021. годин</w:t>
      </w:r>
      <w:r w:rsidR="00F106C9" w:rsidRPr="00EF2F18">
        <w:rPr>
          <w:rFonts w:cs="Times New Roman"/>
          <w:sz w:val="22"/>
          <w:lang w:val="sr-Cyrl-RS"/>
        </w:rPr>
        <w:t>е</w:t>
      </w:r>
      <w:r w:rsidR="00BF78D1" w:rsidRPr="00EF2F18">
        <w:rPr>
          <w:rFonts w:cs="Times New Roman"/>
          <w:sz w:val="22"/>
          <w:lang w:val="sr-Cyrl-RS"/>
        </w:rPr>
        <w:t>.</w:t>
      </w:r>
      <w:r w:rsidR="001846DD" w:rsidRPr="00EF2F18">
        <w:rPr>
          <w:rFonts w:cs="Times New Roman"/>
          <w:sz w:val="22"/>
          <w:lang w:val="sr-Cyrl-RS"/>
        </w:rPr>
        <w:t xml:space="preserve"> </w:t>
      </w:r>
    </w:p>
    <w:p w14:paraId="7FF47182" w14:textId="56A3AC7A" w:rsidR="00B61803" w:rsidRPr="00EF2F18" w:rsidRDefault="00AC2933" w:rsidP="00B61803">
      <w:pPr>
        <w:autoSpaceDE w:val="0"/>
        <w:autoSpaceDN w:val="0"/>
        <w:adjustRightInd w:val="0"/>
        <w:spacing w:after="0"/>
        <w:ind w:firstLine="720"/>
        <w:jc w:val="both"/>
        <w:rPr>
          <w:rStyle w:val="Strong"/>
          <w:rFonts w:cs="Times New Roman"/>
          <w:b w:val="0"/>
          <w:sz w:val="22"/>
          <w:shd w:val="clear" w:color="auto" w:fill="FFFFFF"/>
          <w:lang w:val="sr-Cyrl-RS"/>
        </w:rPr>
      </w:pPr>
      <w:r w:rsidRPr="00EF2F18">
        <w:rPr>
          <w:rFonts w:cs="Times New Roman"/>
          <w:sz w:val="22"/>
          <w:lang w:val="sr-Cyrl-RS"/>
        </w:rPr>
        <w:t xml:space="preserve">Систем интегрисаних дозвола утврђен је </w:t>
      </w:r>
      <w:r w:rsidR="00A40F7C" w:rsidRPr="00EF2F18">
        <w:rPr>
          <w:rFonts w:cs="Times New Roman"/>
          <w:sz w:val="22"/>
          <w:lang w:val="sr-Cyrl-RS"/>
        </w:rPr>
        <w:t xml:space="preserve">2004. године </w:t>
      </w:r>
      <w:r w:rsidRPr="00EF2F18">
        <w:rPr>
          <w:rFonts w:cs="Times New Roman"/>
          <w:sz w:val="22"/>
          <w:lang w:val="sr-Cyrl-RS"/>
        </w:rPr>
        <w:t>Законом о интегрисаном спречавању и контроли загађивања животне средине и</w:t>
      </w:r>
      <w:r w:rsidR="00A40F7C" w:rsidRPr="00EF2F18">
        <w:rPr>
          <w:rStyle w:val="Heading3Char"/>
          <w:rFonts w:eastAsiaTheme="minorHAnsi" w:cs="Times New Roman"/>
          <w:sz w:val="22"/>
          <w:szCs w:val="22"/>
          <w:lang w:val="sr-Cyrl-RS"/>
        </w:rPr>
        <w:t xml:space="preserve"> </w:t>
      </w:r>
      <w:r w:rsidR="00A40F7C" w:rsidRPr="00EF2F18">
        <w:rPr>
          <w:rStyle w:val="Heading3Char"/>
          <w:rFonts w:eastAsiaTheme="minorHAnsi" w:cs="Times New Roman"/>
          <w:b w:val="0"/>
          <w:bCs/>
          <w:color w:val="auto"/>
          <w:sz w:val="22"/>
          <w:szCs w:val="22"/>
          <w:lang w:val="sr-Cyrl-RS"/>
        </w:rPr>
        <w:t>и</w:t>
      </w:r>
      <w:r w:rsidR="00A40F7C" w:rsidRPr="00EF2F18">
        <w:rPr>
          <w:rStyle w:val="cf01"/>
          <w:rFonts w:ascii="Times New Roman" w:hAnsi="Times New Roman" w:cs="Times New Roman"/>
          <w:sz w:val="22"/>
          <w:szCs w:val="22"/>
          <w:lang w:val="sr-Cyrl-RS"/>
        </w:rPr>
        <w:t xml:space="preserve">мплементацијом </w:t>
      </w:r>
      <w:r w:rsidRPr="00EF2F18">
        <w:rPr>
          <w:rFonts w:cs="Times New Roman"/>
          <w:sz w:val="22"/>
          <w:lang w:val="sr-Cyrl-RS"/>
        </w:rPr>
        <w:t>Директив</w:t>
      </w:r>
      <w:r w:rsidR="00A40F7C" w:rsidRPr="00EF2F18">
        <w:rPr>
          <w:rFonts w:cs="Times New Roman"/>
          <w:sz w:val="22"/>
          <w:lang w:val="sr-Cyrl-RS"/>
        </w:rPr>
        <w:t>е</w:t>
      </w:r>
      <w:r w:rsidRPr="00EF2F18">
        <w:rPr>
          <w:rFonts w:cs="Times New Roman"/>
          <w:sz w:val="22"/>
          <w:lang w:val="sr-Cyrl-RS"/>
        </w:rPr>
        <w:t xml:space="preserve"> 96/61/ЕЗ </w:t>
      </w:r>
      <w:r w:rsidR="00A40F7C" w:rsidRPr="00EF2F18">
        <w:rPr>
          <w:rFonts w:cs="Times New Roman"/>
          <w:sz w:val="22"/>
          <w:lang w:val="sr-Cyrl-RS"/>
        </w:rPr>
        <w:t>о интегрисаном спречавању и контроли загађивања (</w:t>
      </w:r>
      <w:r w:rsidRPr="00EF2F18">
        <w:rPr>
          <w:rFonts w:cs="Times New Roman"/>
          <w:i/>
          <w:iCs/>
          <w:sz w:val="22"/>
          <w:lang w:val="sr-Cyrl-RS"/>
        </w:rPr>
        <w:t>IPPC</w:t>
      </w:r>
      <w:r w:rsidRPr="00EF2F18">
        <w:rPr>
          <w:rFonts w:cs="Times New Roman"/>
          <w:sz w:val="22"/>
          <w:lang w:val="sr-Cyrl-RS"/>
        </w:rPr>
        <w:t xml:space="preserve"> Директив</w:t>
      </w:r>
      <w:r w:rsidR="00A40F7C" w:rsidRPr="00EF2F18">
        <w:rPr>
          <w:rFonts w:cs="Times New Roman"/>
          <w:sz w:val="22"/>
          <w:lang w:val="sr-Cyrl-RS"/>
        </w:rPr>
        <w:t>а)</w:t>
      </w:r>
      <w:r w:rsidRPr="00EF2F18">
        <w:rPr>
          <w:rFonts w:cs="Times New Roman"/>
          <w:sz w:val="22"/>
          <w:lang w:val="sr-Cyrl-RS"/>
        </w:rPr>
        <w:t>. Закон се примењује на постројења и активности које су класификоване према нивоу загађивања и ризику који те активности могу имати по здравље људи и животну средину. Примена овог закона је током времена открила проблеме и неспремност како оператера да одговоре на захтеве које је овај закон донео (обимна документација коју је неопходно припремити или прибавити,</w:t>
      </w:r>
      <w:r w:rsidR="005E5FF9" w:rsidRPr="00EF2F18">
        <w:rPr>
          <w:rFonts w:cs="Times New Roman"/>
          <w:sz w:val="22"/>
          <w:lang w:val="sr-Cyrl-RS"/>
        </w:rPr>
        <w:t xml:space="preserve"> </w:t>
      </w:r>
      <w:r w:rsidRPr="00EF2F18">
        <w:rPr>
          <w:rFonts w:cs="Times New Roman"/>
          <w:sz w:val="22"/>
          <w:lang w:val="sr-Cyrl-RS"/>
        </w:rPr>
        <w:t>за чије је прибављање</w:t>
      </w:r>
      <w:r w:rsidR="005E5FF9" w:rsidRPr="00EF2F18">
        <w:rPr>
          <w:rFonts w:cs="Times New Roman"/>
          <w:sz w:val="22"/>
          <w:lang w:val="sr-Cyrl-RS"/>
        </w:rPr>
        <w:t xml:space="preserve"> </w:t>
      </w:r>
      <w:r w:rsidRPr="00EF2F18">
        <w:rPr>
          <w:rFonts w:cs="Times New Roman"/>
          <w:sz w:val="22"/>
          <w:lang w:val="sr-Cyrl-RS"/>
        </w:rPr>
        <w:t xml:space="preserve">потребно уложити велика средства, а пре тога и знатна материјална улагања у иновирање опреме и усклађивање примењених технологија са најбоље доступним техникама), тако и проблеме у исходовању </w:t>
      </w:r>
      <w:r w:rsidR="00637D94" w:rsidRPr="00EF2F18">
        <w:rPr>
          <w:rFonts w:cs="Times New Roman"/>
          <w:sz w:val="22"/>
          <w:lang w:val="sr-Cyrl-RS"/>
        </w:rPr>
        <w:t>претходних потребних докумената</w:t>
      </w:r>
      <w:r w:rsidR="00FF5F8F" w:rsidRPr="00EF2F18">
        <w:rPr>
          <w:rFonts w:cs="Times New Roman"/>
          <w:sz w:val="22"/>
          <w:lang w:val="sr-Cyrl-RS"/>
        </w:rPr>
        <w:t xml:space="preserve"> </w:t>
      </w:r>
      <w:r w:rsidRPr="00EF2F18">
        <w:rPr>
          <w:rFonts w:cs="Times New Roman"/>
          <w:sz w:val="22"/>
          <w:lang w:val="sr-Cyrl-RS"/>
        </w:rPr>
        <w:t>код других државних институција. Такође, сам надлежни орган се суочио са хроничним недостатком потребних капацитета. Све ово је довело до тога да су захтеви за издавање дозвола често били непотпуни (захтеви су предавани само због рокова), што је заједно са дужином процедуре, чекања на потребна документа других органа и допуна захтева, разлог дугог трајања поступка и релативно малог број издатих дозвола у односу на број оператера и усаглашене рокове за њихово исходовање</w:t>
      </w:r>
      <w:r w:rsidR="00B61803" w:rsidRPr="00EF2F18">
        <w:rPr>
          <w:rStyle w:val="Strong"/>
          <w:rFonts w:cs="Times New Roman"/>
          <w:b w:val="0"/>
          <w:sz w:val="22"/>
          <w:shd w:val="clear" w:color="auto" w:fill="FFFFFF"/>
          <w:lang w:val="sr-Cyrl-RS"/>
        </w:rPr>
        <w:t>.</w:t>
      </w:r>
    </w:p>
    <w:p w14:paraId="280DF139" w14:textId="76D526AE" w:rsidR="00887E77" w:rsidRPr="00EF2F18" w:rsidRDefault="001C45D0" w:rsidP="001C45D0">
      <w:pPr>
        <w:spacing w:after="0"/>
        <w:ind w:firstLine="720"/>
        <w:jc w:val="both"/>
        <w:rPr>
          <w:rFonts w:cs="Times New Roman"/>
          <w:sz w:val="22"/>
          <w:lang w:val="sr-Cyrl-RS"/>
        </w:rPr>
      </w:pPr>
      <w:r w:rsidRPr="00EF2F18">
        <w:rPr>
          <w:rFonts w:cs="Times New Roman"/>
          <w:sz w:val="22"/>
          <w:lang w:val="sr-Cyrl-RS"/>
        </w:rPr>
        <w:t xml:space="preserve">На листи </w:t>
      </w:r>
      <w:r w:rsidRPr="00EF2F18">
        <w:rPr>
          <w:rFonts w:cs="Times New Roman"/>
          <w:i/>
          <w:iCs/>
          <w:sz w:val="22"/>
          <w:lang w:val="sr-Cyrl-RS"/>
        </w:rPr>
        <w:t>IPPC</w:t>
      </w:r>
      <w:r w:rsidRPr="00EF2F18">
        <w:rPr>
          <w:rFonts w:cs="Times New Roman"/>
          <w:sz w:val="22"/>
          <w:lang w:val="sr-Cyrl-RS"/>
        </w:rPr>
        <w:t xml:space="preserve"> постројења се тренутно налази </w:t>
      </w:r>
      <w:r w:rsidR="0090650E" w:rsidRPr="00EF2F18">
        <w:rPr>
          <w:rFonts w:cs="Times New Roman"/>
          <w:sz w:val="22"/>
          <w:lang w:val="sr-Cyrl-RS"/>
        </w:rPr>
        <w:t>22</w:t>
      </w:r>
      <w:r w:rsidR="00400A98" w:rsidRPr="00EF2F18">
        <w:rPr>
          <w:rFonts w:cs="Times New Roman"/>
          <w:sz w:val="22"/>
          <w:lang w:val="sr-Cyrl-RS"/>
        </w:rPr>
        <w:t>6</w:t>
      </w:r>
      <w:r w:rsidR="0090650E" w:rsidRPr="00EF2F18">
        <w:rPr>
          <w:rFonts w:cs="Times New Roman"/>
          <w:sz w:val="22"/>
          <w:lang w:val="sr-Cyrl-RS"/>
        </w:rPr>
        <w:t xml:space="preserve"> </w:t>
      </w:r>
      <w:r w:rsidRPr="00EF2F18">
        <w:rPr>
          <w:rFonts w:cs="Times New Roman"/>
          <w:sz w:val="22"/>
          <w:lang w:val="sr-Cyrl-RS"/>
        </w:rPr>
        <w:t xml:space="preserve">оператера и очекује се да ће бити проширена са потенцијалних 70 нових постројења, након усвајања </w:t>
      </w:r>
      <w:r w:rsidR="00876923" w:rsidRPr="00EF2F18">
        <w:rPr>
          <w:rFonts w:cs="Times New Roman"/>
          <w:sz w:val="22"/>
          <w:lang w:val="sr-Cyrl-RS"/>
        </w:rPr>
        <w:t>новог</w:t>
      </w:r>
      <w:r w:rsidR="00A40F7C" w:rsidRPr="00EF2F18">
        <w:rPr>
          <w:rFonts w:cs="Times New Roman"/>
          <w:sz w:val="22"/>
          <w:lang w:val="sr-Cyrl-RS"/>
        </w:rPr>
        <w:t xml:space="preserve"> </w:t>
      </w:r>
      <w:r w:rsidRPr="00EF2F18">
        <w:rPr>
          <w:rFonts w:cs="Times New Roman"/>
          <w:sz w:val="22"/>
          <w:lang w:val="sr-Cyrl-RS"/>
        </w:rPr>
        <w:t xml:space="preserve">Закона о </w:t>
      </w:r>
      <w:r w:rsidR="0084504E" w:rsidRPr="00EF2F18">
        <w:rPr>
          <w:rFonts w:cs="Times New Roman"/>
          <w:sz w:val="22"/>
          <w:lang w:val="sr-Cyrl-RS"/>
        </w:rPr>
        <w:t>интегрисаном спречавању и контроли загађивања</w:t>
      </w:r>
      <w:r w:rsidRPr="00EF2F18">
        <w:rPr>
          <w:rFonts w:cs="Times New Roman"/>
          <w:sz w:val="22"/>
          <w:lang w:val="sr-Cyrl-RS"/>
        </w:rPr>
        <w:t xml:space="preserve"> у складу са изменама и допунама Прилога I</w:t>
      </w:r>
      <w:r w:rsidR="00DE4363" w:rsidRPr="00EF2F18">
        <w:rPr>
          <w:rFonts w:cs="Times New Roman"/>
          <w:sz w:val="22"/>
          <w:lang w:val="sr-Cyrl-RS"/>
        </w:rPr>
        <w:t xml:space="preserve"> </w:t>
      </w:r>
      <w:r w:rsidR="00626DBF" w:rsidRPr="00EF2F18">
        <w:rPr>
          <w:rFonts w:cs="Times New Roman"/>
          <w:sz w:val="22"/>
          <w:lang w:val="sr-Cyrl-RS"/>
        </w:rPr>
        <w:t>Директиве о индустријским емисијама</w:t>
      </w:r>
      <w:r w:rsidRPr="00EF2F18">
        <w:rPr>
          <w:rFonts w:cs="Times New Roman"/>
          <w:sz w:val="22"/>
          <w:lang w:val="sr-Cyrl-RS"/>
        </w:rPr>
        <w:t>. На листи се сада налазе само активна постројења.</w:t>
      </w:r>
      <w:r w:rsidR="006C2E00" w:rsidRPr="00EF2F18">
        <w:rPr>
          <w:rFonts w:cs="Times New Roman"/>
          <w:sz w:val="22"/>
          <w:lang w:val="sr-Cyrl-RS"/>
        </w:rPr>
        <w:t xml:space="preserve"> </w:t>
      </w:r>
    </w:p>
    <w:p w14:paraId="7C27D3EC" w14:textId="77777777" w:rsidR="00810B19" w:rsidRPr="00EF2F18" w:rsidRDefault="00810B19" w:rsidP="00A5062D">
      <w:pPr>
        <w:pStyle w:val="Caption"/>
        <w:spacing w:after="0" w:line="240" w:lineRule="auto"/>
        <w:rPr>
          <w:rFonts w:ascii="Times New Roman" w:hAnsi="Times New Roman"/>
          <w:sz w:val="22"/>
          <w:szCs w:val="22"/>
          <w:lang w:val="sr-Cyrl-RS"/>
        </w:rPr>
      </w:pPr>
      <w:bookmarkStart w:id="53" w:name="_Hlk141682616"/>
    </w:p>
    <w:p w14:paraId="322256CF" w14:textId="656D9B9B" w:rsidR="00887E77" w:rsidRPr="00EF2F18" w:rsidRDefault="00887E77" w:rsidP="00A5062D">
      <w:pPr>
        <w:pStyle w:val="Caption"/>
        <w:spacing w:after="0" w:line="240" w:lineRule="auto"/>
        <w:rPr>
          <w:rFonts w:ascii="Times New Roman" w:hAnsi="Times New Roman"/>
          <w:b w:val="0"/>
          <w:bCs w:val="0"/>
          <w:sz w:val="22"/>
          <w:szCs w:val="22"/>
          <w:lang w:val="sr-Cyrl-RS"/>
        </w:rPr>
      </w:pPr>
      <w:r w:rsidRPr="00EF2F18">
        <w:rPr>
          <w:rFonts w:ascii="Times New Roman" w:hAnsi="Times New Roman"/>
          <w:sz w:val="22"/>
          <w:szCs w:val="22"/>
          <w:lang w:val="sr-Cyrl-RS"/>
        </w:rPr>
        <w:t xml:space="preserve">Табела </w:t>
      </w:r>
      <w:r w:rsidR="00C0735C" w:rsidRPr="00EF2F18">
        <w:rPr>
          <w:rFonts w:ascii="Times New Roman" w:hAnsi="Times New Roman"/>
          <w:sz w:val="22"/>
          <w:szCs w:val="22"/>
          <w:lang w:val="sr-Cyrl-RS"/>
        </w:rPr>
        <w:t>3</w:t>
      </w:r>
      <w:r w:rsidR="00F36CC7" w:rsidRPr="00EF2F18">
        <w:rPr>
          <w:rFonts w:ascii="Times New Roman" w:hAnsi="Times New Roman"/>
          <w:sz w:val="22"/>
          <w:szCs w:val="22"/>
          <w:lang w:val="sr-Cyrl-RS"/>
        </w:rPr>
        <w:t>.1</w:t>
      </w:r>
      <w:r w:rsidRPr="00EF2F18">
        <w:rPr>
          <w:rFonts w:ascii="Times New Roman" w:hAnsi="Times New Roman"/>
          <w:sz w:val="22"/>
          <w:szCs w:val="22"/>
          <w:lang w:val="sr-Cyrl-RS"/>
        </w:rPr>
        <w:t xml:space="preserve">. </w:t>
      </w:r>
      <w:r w:rsidRPr="00EF2F18">
        <w:rPr>
          <w:rFonts w:ascii="Times New Roman" w:hAnsi="Times New Roman"/>
          <w:b w:val="0"/>
          <w:bCs w:val="0"/>
          <w:sz w:val="22"/>
          <w:szCs w:val="22"/>
          <w:lang w:val="sr-Cyrl-RS"/>
        </w:rPr>
        <w:t>Преглед издатих интегрисаних дозвола</w:t>
      </w:r>
      <w:r w:rsidR="00A42320" w:rsidRPr="00EF2F18">
        <w:rPr>
          <w:rFonts w:ascii="Times New Roman" w:hAnsi="Times New Roman"/>
          <w:b w:val="0"/>
          <w:bCs w:val="0"/>
          <w:sz w:val="22"/>
          <w:szCs w:val="22"/>
          <w:lang w:val="sr-Cyrl-RS"/>
        </w:rPr>
        <w:t xml:space="preserve"> </w:t>
      </w:r>
    </w:p>
    <w:p w14:paraId="465234C9" w14:textId="77777777" w:rsidR="00810B19" w:rsidRPr="00EF2F18" w:rsidRDefault="00810B19" w:rsidP="00810B19">
      <w:pPr>
        <w:rPr>
          <w:lang w:val="sr-Cyrl-RS" w:eastAsia="de-DE"/>
        </w:rPr>
      </w:pPr>
    </w:p>
    <w:p w14:paraId="6D063033" w14:textId="01A49176" w:rsidR="00400A98" w:rsidRPr="00EF2F18" w:rsidRDefault="00400A98" w:rsidP="003C3AE7">
      <w:pPr>
        <w:spacing w:after="0"/>
        <w:jc w:val="both"/>
        <w:rPr>
          <w:rFonts w:cs="Times New Roman"/>
          <w:sz w:val="22"/>
          <w:lang w:val="sr-Cyrl-RS"/>
        </w:rPr>
      </w:pPr>
      <w:r w:rsidRPr="00EF2F18">
        <w:rPr>
          <w:noProof/>
          <w:lang w:val="sr-Cyrl-RS" w:eastAsia="sr-Cyrl-RS"/>
        </w:rPr>
        <w:drawing>
          <wp:inline distT="0" distB="0" distL="0" distR="0" wp14:anchorId="6460B7A5" wp14:editId="411B690A">
            <wp:extent cx="5732145" cy="2818765"/>
            <wp:effectExtent l="0" t="0" r="0" b="0"/>
            <wp:docPr id="7730383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2145" cy="2818765"/>
                    </a:xfrm>
                    <a:prstGeom prst="rect">
                      <a:avLst/>
                    </a:prstGeom>
                    <a:noFill/>
                    <a:ln>
                      <a:noFill/>
                    </a:ln>
                  </pic:spPr>
                </pic:pic>
              </a:graphicData>
            </a:graphic>
          </wp:inline>
        </w:drawing>
      </w:r>
    </w:p>
    <w:p w14:paraId="60A273F7" w14:textId="53998DAE" w:rsidR="003C3AE7" w:rsidRPr="00EF2F18" w:rsidRDefault="003C3AE7" w:rsidP="003C3AE7">
      <w:pPr>
        <w:spacing w:after="0"/>
        <w:jc w:val="both"/>
        <w:rPr>
          <w:rFonts w:cs="Times New Roman"/>
          <w:sz w:val="22"/>
          <w:lang w:val="sr-Cyrl-RS"/>
        </w:rPr>
      </w:pPr>
      <w:r w:rsidRPr="00EF2F18">
        <w:rPr>
          <w:rFonts w:cs="Times New Roman"/>
          <w:sz w:val="22"/>
          <w:lang w:val="sr-Cyrl-RS"/>
        </w:rPr>
        <w:t xml:space="preserve">         На основу Закона о контроли опасности од великих удеса који укључују опасне супстанце, контрола опасности од великих удеса је део система управљања заштитом животне средине. Министарство заштите животне средине води Регистар комплекса, а тренутно је у Републици Србији идентификовано 116 Севесо комплекса, од којих је 49 комплекса вишег реда и 67 комплекса нижег реда. Оператери комплекса нижег реда израђују документа Политика превенције великог удеса. Извештај о безбедности и интерни План заштите од великог удеса израђују и достављају Министарству заштите животне средине на сагласност оператери за комплексе вишег реда. </w:t>
      </w:r>
    </w:p>
    <w:p w14:paraId="5347C550" w14:textId="42C14A51" w:rsidR="003C3AE7" w:rsidRPr="00EF2F18" w:rsidRDefault="003C3AE7" w:rsidP="003C3AE7">
      <w:pPr>
        <w:spacing w:after="0"/>
        <w:jc w:val="both"/>
        <w:rPr>
          <w:rFonts w:cs="Times New Roman"/>
          <w:sz w:val="22"/>
          <w:lang w:val="sr-Cyrl-RS"/>
        </w:rPr>
      </w:pPr>
      <w:r w:rsidRPr="00EF2F18">
        <w:rPr>
          <w:rFonts w:cs="Times New Roman"/>
          <w:sz w:val="22"/>
          <w:lang w:val="sr-Cyrl-RS"/>
        </w:rPr>
        <w:lastRenderedPageBreak/>
        <w:t xml:space="preserve">            Током 2021. године покренут је Дијалог о националној политици за индустријску безбедност у оквиру Конвенције о прекограничним ефектима индустријских удеса, на основу којег </w:t>
      </w:r>
      <w:r w:rsidR="0097690C" w:rsidRPr="00EF2F18">
        <w:rPr>
          <w:rFonts w:cs="Times New Roman"/>
          <w:sz w:val="22"/>
          <w:lang w:val="sr-Cyrl-RS"/>
        </w:rPr>
        <w:t>је</w:t>
      </w:r>
      <w:r w:rsidRPr="00EF2F18">
        <w:rPr>
          <w:rFonts w:cs="Times New Roman"/>
          <w:sz w:val="22"/>
          <w:lang w:val="sr-Cyrl-RS"/>
        </w:rPr>
        <w:t xml:space="preserve"> израђен Програм за индустријску безбедност</w:t>
      </w:r>
      <w:r w:rsidR="003A52C7" w:rsidRPr="00EF2F18">
        <w:rPr>
          <w:rFonts w:cs="Times New Roman"/>
          <w:sz w:val="22"/>
          <w:lang w:val="sr-Cyrl-RS"/>
        </w:rPr>
        <w:t xml:space="preserve"> </w:t>
      </w:r>
      <w:r w:rsidR="00F106C9" w:rsidRPr="00EF2F18">
        <w:rPr>
          <w:rFonts w:cs="Times New Roman"/>
          <w:bCs/>
          <w:color w:val="000000"/>
          <w:sz w:val="22"/>
          <w:lang w:val="sr-Cyrl-RS"/>
        </w:rPr>
        <w:t xml:space="preserve">(„Службени гласник PC”, број </w:t>
      </w:r>
      <w:r w:rsidR="0097690C" w:rsidRPr="00EF2F18">
        <w:rPr>
          <w:rFonts w:cs="Times New Roman"/>
          <w:sz w:val="22"/>
          <w:lang w:val="sr-Cyrl-RS"/>
        </w:rPr>
        <w:t>21</w:t>
      </w:r>
      <w:r w:rsidR="003A52C7" w:rsidRPr="00EF2F18">
        <w:rPr>
          <w:rFonts w:cs="Times New Roman"/>
          <w:sz w:val="22"/>
          <w:lang w:val="sr-Cyrl-RS"/>
        </w:rPr>
        <w:t>/25)</w:t>
      </w:r>
      <w:r w:rsidRPr="00EF2F18">
        <w:rPr>
          <w:rFonts w:cs="Times New Roman"/>
          <w:sz w:val="22"/>
          <w:lang w:val="sr-Cyrl-RS"/>
        </w:rPr>
        <w:t>, у складу са Законом о планском систему</w:t>
      </w:r>
      <w:r w:rsidR="00F106C9" w:rsidRPr="00EF2F18">
        <w:rPr>
          <w:rFonts w:cs="Times New Roman"/>
          <w:sz w:val="22"/>
          <w:lang w:val="sr-Cyrl-RS"/>
        </w:rPr>
        <w:t xml:space="preserve"> </w:t>
      </w:r>
      <w:r w:rsidR="00F106C9" w:rsidRPr="00EF2F18">
        <w:rPr>
          <w:rFonts w:cs="Times New Roman"/>
          <w:bCs/>
          <w:sz w:val="22"/>
          <w:lang w:val="sr-Cyrl-RS"/>
        </w:rPr>
        <w:t>Републике Србије</w:t>
      </w:r>
      <w:r w:rsidRPr="00EF2F18">
        <w:rPr>
          <w:rFonts w:cs="Times New Roman"/>
          <w:sz w:val="22"/>
          <w:lang w:val="sr-Cyrl-RS"/>
        </w:rPr>
        <w:t xml:space="preserve">, којим </w:t>
      </w:r>
      <w:r w:rsidR="003A52C7" w:rsidRPr="00EF2F18">
        <w:rPr>
          <w:rFonts w:cs="Times New Roman"/>
          <w:sz w:val="22"/>
          <w:lang w:val="sr-Cyrl-RS"/>
        </w:rPr>
        <w:t>ј</w:t>
      </w:r>
      <w:r w:rsidRPr="00EF2F18">
        <w:rPr>
          <w:rFonts w:cs="Times New Roman"/>
          <w:sz w:val="22"/>
          <w:lang w:val="sr-Cyrl-RS"/>
        </w:rPr>
        <w:t>е као посебан циљ дефинисан развој функционалног система управљања ризиком од великих удеса кроз разумевање ризика, јачање управљања ризиком (превенције, спремности и одговора), улагање у смањење ризика и јачање спремности за ефикасно реаговање у хазардним индустријама, укључујући јаловишта рудника, као и технолошке удесе изазване природним опасностима и катастрофама (Natech опасности).</w:t>
      </w:r>
    </w:p>
    <w:p w14:paraId="74EFFA3A" w14:textId="1537BB0B" w:rsidR="003C3AE7" w:rsidRPr="00AD01BE" w:rsidRDefault="003C3AE7" w:rsidP="00AD01BE">
      <w:pPr>
        <w:spacing w:after="0"/>
        <w:jc w:val="both"/>
        <w:rPr>
          <w:rFonts w:cs="Times New Roman"/>
          <w:sz w:val="22"/>
          <w:lang w:val="sr-Cyrl-RS"/>
        </w:rPr>
      </w:pPr>
      <w:r w:rsidRPr="00EF2F18">
        <w:rPr>
          <w:rFonts w:cs="Times New Roman"/>
          <w:sz w:val="22"/>
          <w:lang w:val="sr-Cyrl-RS"/>
        </w:rPr>
        <w:t xml:space="preserve">            Директива о контроли опасности од великог удеса који укључује опасне супстанце - Севесо III Директива је потпуно транспонована у Закону о контроли опасности од великих удеса који укључују опасне супстанце и припадајућим подзаконским актима, као и Закону о смањењу ризика од катастрофа и управљању ванредним ситуацијама.</w:t>
      </w:r>
      <w:bookmarkEnd w:id="53"/>
    </w:p>
    <w:p w14:paraId="17D01A30" w14:textId="3A1EF0E3" w:rsidR="004662E2" w:rsidRPr="00EF2F18" w:rsidRDefault="004662E2" w:rsidP="004662E2">
      <w:pPr>
        <w:spacing w:after="0"/>
        <w:ind w:firstLine="720"/>
        <w:jc w:val="both"/>
        <w:rPr>
          <w:rFonts w:cs="Times New Roman"/>
          <w:sz w:val="22"/>
          <w:lang w:val="sr-Cyrl-RS"/>
        </w:rPr>
      </w:pPr>
      <w:r w:rsidRPr="00EF2F18">
        <w:rPr>
          <w:rFonts w:cs="Times New Roman"/>
          <w:sz w:val="22"/>
          <w:lang w:val="sr-Cyrl-RS"/>
        </w:rPr>
        <w:t xml:space="preserve">Директива </w:t>
      </w:r>
      <w:r w:rsidR="00A46EDA" w:rsidRPr="00EF2F18">
        <w:rPr>
          <w:rFonts w:cs="Times New Roman"/>
          <w:sz w:val="22"/>
          <w:lang w:val="sr-Cyrl-RS"/>
        </w:rPr>
        <w:t xml:space="preserve">ЕУ </w:t>
      </w:r>
      <w:r w:rsidRPr="00EF2F18">
        <w:rPr>
          <w:rFonts w:cs="Times New Roman"/>
          <w:sz w:val="22"/>
          <w:lang w:val="sr-Cyrl-RS"/>
        </w:rPr>
        <w:t xml:space="preserve">о индустријским емисијама је делимично транспонована у национални законски оквир, кроз </w:t>
      </w:r>
      <w:r w:rsidR="004F3155">
        <w:rPr>
          <w:rFonts w:cs="Times New Roman"/>
          <w:sz w:val="22"/>
          <w:lang w:val="sr-Cyrl-RS"/>
        </w:rPr>
        <w:t>Закон</w:t>
      </w:r>
      <w:r w:rsidR="004F3155" w:rsidRPr="004F3155">
        <w:rPr>
          <w:rFonts w:cs="Times New Roman"/>
          <w:sz w:val="22"/>
          <w:lang w:val="sr-Cyrl-RS"/>
        </w:rPr>
        <w:t xml:space="preserve"> о интегрисаном спречавању и контроли загађивања животне средине </w:t>
      </w:r>
      <w:r w:rsidR="004F3155" w:rsidRPr="004F3155">
        <w:rPr>
          <w:rFonts w:cs="Times New Roman"/>
          <w:bCs/>
          <w:sz w:val="22"/>
          <w:lang w:val="ru-RU"/>
        </w:rPr>
        <w:t>(„Службени гласник PC”, број 63/26)</w:t>
      </w:r>
      <w:r w:rsidRPr="00EF2F18">
        <w:rPr>
          <w:rFonts w:cs="Times New Roman"/>
          <w:sz w:val="22"/>
          <w:lang w:val="sr-Cyrl-RS"/>
        </w:rPr>
        <w:t>, Закон о заштити ваздуха („Службени гласник РС”, бр</w:t>
      </w:r>
      <w:r w:rsidR="00CA1C9F" w:rsidRPr="00EF2F18">
        <w:rPr>
          <w:rFonts w:cs="Times New Roman"/>
          <w:sz w:val="22"/>
          <w:lang w:val="sr-Cyrl-RS"/>
        </w:rPr>
        <w:t>ој 51/25</w:t>
      </w:r>
      <w:r w:rsidRPr="00EF2F18">
        <w:rPr>
          <w:rFonts w:cs="Times New Roman"/>
          <w:sz w:val="22"/>
          <w:lang w:val="sr-Cyrl-RS"/>
        </w:rPr>
        <w:t>), Закон о управљању отпадом („Службени гласник РС”, бр. 36/09, 88/10, 14/16 и 95/18 – др. закон</w:t>
      </w:r>
      <w:r w:rsidR="004F3155">
        <w:rPr>
          <w:rFonts w:cs="Times New Roman"/>
          <w:sz w:val="22"/>
          <w:lang w:val="sr-Cyrl-RS"/>
        </w:rPr>
        <w:t xml:space="preserve"> и</w:t>
      </w:r>
      <w:r w:rsidR="00AB5D57" w:rsidRPr="00EF2F18">
        <w:rPr>
          <w:rFonts w:cs="Times New Roman"/>
          <w:sz w:val="22"/>
          <w:lang w:val="sr-Cyrl-RS"/>
        </w:rPr>
        <w:t xml:space="preserve"> 35/23</w:t>
      </w:r>
      <w:r w:rsidRPr="00EF2F18">
        <w:rPr>
          <w:rFonts w:cs="Times New Roman"/>
          <w:sz w:val="22"/>
          <w:lang w:val="sr-Cyrl-RS"/>
        </w:rPr>
        <w:t>) и одговарајућа подзаконска акта. У оквиру припрема Преговарачке позиције за Поглавље 27 израђен је Специфични план имплементације Директиве (</w:t>
      </w:r>
      <w:r w:rsidRPr="00EF2F18">
        <w:rPr>
          <w:rFonts w:cs="Times New Roman"/>
          <w:i/>
          <w:iCs/>
          <w:sz w:val="22"/>
          <w:lang w:val="sr-Cyrl-RS"/>
        </w:rPr>
        <w:t>DSIP</w:t>
      </w:r>
      <w:r w:rsidRPr="00EF2F18">
        <w:rPr>
          <w:rFonts w:cs="Times New Roman"/>
          <w:sz w:val="22"/>
          <w:lang w:val="sr-Cyrl-RS"/>
        </w:rPr>
        <w:t xml:space="preserve">) о индустријским емисијама, који дефинише мере потребне за потпуну транспозицију ове Директиве </w:t>
      </w:r>
      <w:r w:rsidR="00D0076C" w:rsidRPr="00EF2F18">
        <w:rPr>
          <w:rFonts w:cs="Times New Roman"/>
          <w:sz w:val="22"/>
          <w:lang w:val="sr-Cyrl-RS"/>
        </w:rPr>
        <w:t xml:space="preserve">ЕУ </w:t>
      </w:r>
      <w:r w:rsidRPr="00EF2F18">
        <w:rPr>
          <w:rFonts w:cs="Times New Roman"/>
          <w:sz w:val="22"/>
          <w:lang w:val="sr-Cyrl-RS"/>
        </w:rPr>
        <w:t xml:space="preserve">и за спровођење одредби Директиве на институционалном нивоу и на нивоу сваког оператера. </w:t>
      </w:r>
    </w:p>
    <w:p w14:paraId="64832FDD" w14:textId="1C83F11A" w:rsidR="004662E2" w:rsidRPr="00EF2F18" w:rsidRDefault="004662E2" w:rsidP="004662E2">
      <w:pPr>
        <w:spacing w:after="0"/>
        <w:ind w:firstLine="720"/>
        <w:jc w:val="both"/>
        <w:rPr>
          <w:rFonts w:cs="Times New Roman"/>
          <w:sz w:val="22"/>
          <w:lang w:val="sr-Cyrl-RS"/>
        </w:rPr>
      </w:pPr>
      <w:r w:rsidRPr="00EF2F18">
        <w:rPr>
          <w:rFonts w:cs="Times New Roman"/>
          <w:sz w:val="22"/>
          <w:lang w:val="sr-Cyrl-RS"/>
        </w:rPr>
        <w:t xml:space="preserve">У циљу постизања потпуне транспозиције Поглавља II Директиве о индустријским емисијама, </w:t>
      </w:r>
      <w:r w:rsidR="004F3155">
        <w:rPr>
          <w:rFonts w:cs="Times New Roman"/>
          <w:sz w:val="22"/>
          <w:lang w:val="sr-Cyrl-RS"/>
        </w:rPr>
        <w:t>донет</w:t>
      </w:r>
      <w:r w:rsidR="0090650E" w:rsidRPr="00EF2F18">
        <w:rPr>
          <w:rFonts w:cs="Times New Roman"/>
          <w:sz w:val="22"/>
          <w:lang w:val="sr-Cyrl-RS"/>
        </w:rPr>
        <w:t xml:space="preserve"> </w:t>
      </w:r>
      <w:r w:rsidRPr="00EF2F18">
        <w:rPr>
          <w:rFonts w:cs="Times New Roman"/>
          <w:sz w:val="22"/>
          <w:lang w:val="sr-Cyrl-RS"/>
        </w:rPr>
        <w:t xml:space="preserve">је нови </w:t>
      </w:r>
      <w:r w:rsidR="004F3155">
        <w:rPr>
          <w:rFonts w:cs="Times New Roman"/>
          <w:i/>
          <w:iCs/>
          <w:sz w:val="22"/>
          <w:lang w:val="sr-Cyrl-RS"/>
        </w:rPr>
        <w:t>Закон</w:t>
      </w:r>
      <w:r w:rsidR="004F3155" w:rsidRPr="004F3155">
        <w:rPr>
          <w:rFonts w:cs="Times New Roman"/>
          <w:i/>
          <w:iCs/>
          <w:sz w:val="22"/>
          <w:lang w:val="sr-Cyrl-RS"/>
        </w:rPr>
        <w:t xml:space="preserve"> о интегрисаном спречавању и контроли загађивања животне средине </w:t>
      </w:r>
      <w:r w:rsidR="004F3155" w:rsidRPr="004F3155">
        <w:rPr>
          <w:rFonts w:cs="Times New Roman"/>
          <w:bCs/>
          <w:i/>
          <w:iCs/>
          <w:sz w:val="22"/>
          <w:lang w:val="ru-RU"/>
        </w:rPr>
        <w:t>(„Службени гласник PC”, број 63/26)</w:t>
      </w:r>
      <w:r w:rsidR="00A46EDA" w:rsidRPr="00EF2F18">
        <w:rPr>
          <w:rFonts w:cs="Times New Roman"/>
          <w:sz w:val="22"/>
          <w:lang w:val="sr-Cyrl-RS"/>
        </w:rPr>
        <w:t xml:space="preserve"> </w:t>
      </w:r>
      <w:r w:rsidRPr="00EF2F18">
        <w:rPr>
          <w:rFonts w:cs="Times New Roman"/>
          <w:sz w:val="22"/>
          <w:lang w:val="sr-Cyrl-RS"/>
        </w:rPr>
        <w:t>(</w:t>
      </w:r>
      <w:r w:rsidRPr="00EF2F18">
        <w:rPr>
          <w:rFonts w:cs="Times New Roman"/>
          <w:i/>
          <w:iCs/>
          <w:sz w:val="22"/>
          <w:lang w:val="sr-Cyrl-RS"/>
        </w:rPr>
        <w:t>IPPC</w:t>
      </w:r>
      <w:r w:rsidRPr="00EF2F18">
        <w:rPr>
          <w:rFonts w:cs="Times New Roman"/>
          <w:sz w:val="22"/>
          <w:lang w:val="sr-Cyrl-RS"/>
        </w:rPr>
        <w:t xml:space="preserve">), чијим изменама се обавеза прибављања интегрисане дозволе примењује на додатне индустријске активности и постројења са одређеним капацитетима (у оквиру сектора хемијске индустрије, прераде дрвета и управљања отпадом). Као последица усвајања ових измена Закона </w:t>
      </w:r>
      <w:r w:rsidR="00AF2C63" w:rsidRPr="00EF2F18">
        <w:rPr>
          <w:rFonts w:cs="Times New Roman"/>
          <w:sz w:val="22"/>
          <w:lang w:val="sr-Cyrl-RS"/>
        </w:rPr>
        <w:t xml:space="preserve">о интегрисаном спречавању и контроли загађивања животне средине </w:t>
      </w:r>
      <w:r w:rsidRPr="00EF2F18">
        <w:rPr>
          <w:rFonts w:cs="Times New Roman"/>
          <w:sz w:val="22"/>
          <w:lang w:val="sr-Cyrl-RS"/>
        </w:rPr>
        <w:t xml:space="preserve">и усклађивања листе активности и постројења за које се издаје интегрисана дозвола са Прилогом I Директиве </w:t>
      </w:r>
      <w:r w:rsidR="00D0076C" w:rsidRPr="00EF2F18">
        <w:rPr>
          <w:rFonts w:cs="Times New Roman"/>
          <w:sz w:val="22"/>
          <w:lang w:val="sr-Cyrl-RS"/>
        </w:rPr>
        <w:t xml:space="preserve">ЕУ </w:t>
      </w:r>
      <w:r w:rsidRPr="00EF2F18">
        <w:rPr>
          <w:rFonts w:cs="Times New Roman"/>
          <w:sz w:val="22"/>
          <w:lang w:val="sr-Cyrl-RS"/>
        </w:rPr>
        <w:t xml:space="preserve">о индустријским емисијама, очекује се да би нових 70 оператера могло да се нађе на </w:t>
      </w:r>
      <w:r w:rsidRPr="00EF2F18">
        <w:rPr>
          <w:rFonts w:cs="Times New Roman"/>
          <w:i/>
          <w:iCs/>
          <w:sz w:val="22"/>
          <w:lang w:val="sr-Cyrl-RS"/>
        </w:rPr>
        <w:t>IPPC</w:t>
      </w:r>
      <w:r w:rsidRPr="00EF2F18">
        <w:rPr>
          <w:rFonts w:cs="Times New Roman"/>
          <w:sz w:val="22"/>
          <w:lang w:val="sr-Cyrl-RS"/>
        </w:rPr>
        <w:t xml:space="preserve"> листи. </w:t>
      </w:r>
      <w:r w:rsidR="002D094E" w:rsidRPr="00EF2F18">
        <w:rPr>
          <w:rFonts w:cs="Times New Roman"/>
          <w:sz w:val="22"/>
          <w:lang w:val="sr-Cyrl-RS"/>
        </w:rPr>
        <w:t xml:space="preserve">Новим </w:t>
      </w:r>
      <w:r w:rsidR="00CB23BD" w:rsidRPr="00EF2F18">
        <w:rPr>
          <w:rFonts w:cs="Times New Roman"/>
          <w:sz w:val="22"/>
          <w:lang w:val="sr-Cyrl-RS"/>
        </w:rPr>
        <w:t xml:space="preserve">Законом </w:t>
      </w:r>
      <w:r w:rsidR="002D094E" w:rsidRPr="00EF2F18">
        <w:rPr>
          <w:rFonts w:cs="Times New Roman"/>
          <w:sz w:val="22"/>
          <w:lang w:val="sr-Cyrl-RS"/>
        </w:rPr>
        <w:t>о интегрисаном спречавању и контроли загађивања животне средине</w:t>
      </w:r>
      <w:r w:rsidR="00CB23BD">
        <w:rPr>
          <w:rFonts w:cs="Times New Roman"/>
          <w:sz w:val="22"/>
          <w:lang w:val="sr-Cyrl-RS"/>
        </w:rPr>
        <w:t xml:space="preserve"> </w:t>
      </w:r>
      <w:r w:rsidR="00CB23BD" w:rsidRPr="00CB23BD">
        <w:rPr>
          <w:rFonts w:cs="Times New Roman"/>
          <w:bCs/>
          <w:noProof/>
          <w:color w:val="000000"/>
          <w:sz w:val="22"/>
          <w:lang w:val="ru-RU"/>
        </w:rPr>
        <w:t>(„Службени гласник PC”, број</w:t>
      </w:r>
      <w:r w:rsidR="00CB23BD">
        <w:rPr>
          <w:rFonts w:cs="Times New Roman"/>
          <w:bCs/>
          <w:noProof/>
          <w:color w:val="000000"/>
          <w:sz w:val="22"/>
          <w:lang w:val="ru-RU"/>
        </w:rPr>
        <w:t xml:space="preserve"> 63/26</w:t>
      </w:r>
      <w:r w:rsidR="00CB23BD" w:rsidRPr="00CB23BD">
        <w:rPr>
          <w:rFonts w:cs="Times New Roman"/>
          <w:bCs/>
          <w:noProof/>
          <w:color w:val="000000"/>
          <w:sz w:val="22"/>
          <w:lang w:val="ru-RU"/>
        </w:rPr>
        <w:t>)</w:t>
      </w:r>
      <w:r w:rsidR="002D094E" w:rsidRPr="00EF2F18">
        <w:rPr>
          <w:rFonts w:cs="Times New Roman"/>
          <w:sz w:val="22"/>
          <w:lang w:val="sr-Cyrl-RS"/>
        </w:rPr>
        <w:t xml:space="preserve"> пр</w:t>
      </w:r>
      <w:r w:rsidR="00CB23BD">
        <w:rPr>
          <w:rFonts w:cs="Times New Roman"/>
          <w:sz w:val="22"/>
          <w:lang w:val="sr-Cyrl-RS"/>
        </w:rPr>
        <w:t>е</w:t>
      </w:r>
      <w:r w:rsidR="002D094E" w:rsidRPr="00EF2F18">
        <w:rPr>
          <w:rFonts w:cs="Times New Roman"/>
          <w:sz w:val="22"/>
          <w:lang w:val="sr-Cyrl-RS"/>
        </w:rPr>
        <w:t xml:space="preserve">двиђена </w:t>
      </w:r>
      <w:r w:rsidR="00CB23BD">
        <w:rPr>
          <w:rFonts w:cs="Times New Roman"/>
          <w:sz w:val="22"/>
          <w:lang w:val="sr-Cyrl-RS"/>
        </w:rPr>
        <w:t xml:space="preserve">је </w:t>
      </w:r>
      <w:r w:rsidR="002D094E" w:rsidRPr="00EF2F18">
        <w:rPr>
          <w:rFonts w:cs="Times New Roman"/>
          <w:sz w:val="22"/>
          <w:lang w:val="sr-Cyrl-RS"/>
        </w:rPr>
        <w:t>обавеза оператера да се сам идентификује ако по својој активности подлеже обавези прибављања интегрисане дозволе.</w:t>
      </w:r>
    </w:p>
    <w:p w14:paraId="60AA11D6" w14:textId="791B7F50" w:rsidR="004332D7" w:rsidRPr="00EF2F18" w:rsidRDefault="003C3AE7" w:rsidP="003A52C7">
      <w:pPr>
        <w:spacing w:after="0"/>
        <w:ind w:firstLine="720"/>
        <w:jc w:val="both"/>
        <w:rPr>
          <w:rFonts w:cs="Times New Roman"/>
          <w:sz w:val="22"/>
          <w:lang w:val="sr-Cyrl-RS"/>
        </w:rPr>
      </w:pPr>
      <w:r w:rsidRPr="00EF2F18">
        <w:rPr>
          <w:rFonts w:cs="Times New Roman"/>
          <w:sz w:val="22"/>
          <w:lang w:val="sr-Cyrl-RS"/>
        </w:rPr>
        <w:t xml:space="preserve">На основу Закона о контроли опасности од великих удеса који укључују опасне супстанце, контрола опасности од великих удеса је део система управљања заштитом животне средине. Министарство заштите животне средине води Регистар комплекса, а тренутно је у Републици Србији идентификовано 116 Севесо комплекса, од којих је 49 комплекса вишег реда и 67 комплекса нижег реда. Оператери комплекса нижег реда израђују документа Политика превенције великог удеса. Извештај о безбедности и интерни План заштите од великог удеса израђују и достављају Министарству заштите животне средине на сагласност оператери за комплексе вишег реда. </w:t>
      </w:r>
    </w:p>
    <w:p w14:paraId="7148D922" w14:textId="7ADCE67F" w:rsidR="00A21DFE" w:rsidRPr="00EF2F18" w:rsidRDefault="00A21DFE" w:rsidP="00F106C9">
      <w:pPr>
        <w:pStyle w:val="Heading3"/>
        <w:numPr>
          <w:ilvl w:val="2"/>
          <w:numId w:val="2"/>
        </w:numPr>
        <w:jc w:val="center"/>
        <w:rPr>
          <w:rFonts w:cs="Times New Roman"/>
          <w:sz w:val="22"/>
          <w:szCs w:val="22"/>
          <w:lang w:val="sr-Cyrl-RS"/>
        </w:rPr>
      </w:pPr>
      <w:bookmarkStart w:id="54" w:name="_Toc158307705"/>
      <w:r w:rsidRPr="00EF2F18">
        <w:rPr>
          <w:rFonts w:cs="Times New Roman"/>
          <w:sz w:val="22"/>
          <w:szCs w:val="22"/>
          <w:lang w:val="sr-Cyrl-RS"/>
        </w:rPr>
        <w:t>Управљање хемикалијама</w:t>
      </w:r>
      <w:bookmarkEnd w:id="54"/>
    </w:p>
    <w:p w14:paraId="2B65CC50" w14:textId="2FE857BD" w:rsidR="00BF78D1" w:rsidRPr="00EF2F18" w:rsidRDefault="00BF78D1" w:rsidP="00BF78D1">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Према подацима Завода за статистику Републике Србије, потрошња хемикалија опасних по здравље људи у 2021. години износила је 1.148 хиљада тона, што је за 7,5% мање у односу на 2020. годину, за 22% у односу на 2017. годину и за 91% више у односу на 2010. годину. Потрошња хемикалија опасних по животну средину у 2021. години мања је за 5,4% у односу на 2020. годину и за 39% већа у односу на 2010. годину. Тренд повећања потрошње хемикалија опасних по здравље и животну средину у периоду од 2010 – 2017. године прешао је у смањење до 2018. и релативну стагнацију у периоду до 2021. године.</w:t>
      </w:r>
    </w:p>
    <w:p w14:paraId="620DE712" w14:textId="20EFDA1E" w:rsidR="00E86284" w:rsidRPr="00EF2F18" w:rsidRDefault="00F11EE7" w:rsidP="00E86284">
      <w:pPr>
        <w:autoSpaceDE w:val="0"/>
        <w:autoSpaceDN w:val="0"/>
        <w:adjustRightInd w:val="0"/>
        <w:spacing w:after="0"/>
        <w:ind w:firstLine="720"/>
        <w:jc w:val="both"/>
        <w:rPr>
          <w:rFonts w:cs="Times New Roman"/>
          <w:sz w:val="22"/>
          <w:lang w:val="sr-Cyrl-RS"/>
        </w:rPr>
      </w:pPr>
      <w:r w:rsidRPr="00EF2F18">
        <w:rPr>
          <w:rFonts w:cs="Times New Roman"/>
          <w:sz w:val="22"/>
          <w:lang w:val="sr-Cyrl-RS"/>
        </w:rPr>
        <w:t>Интегрални регистар</w:t>
      </w:r>
      <w:r w:rsidR="00E86284" w:rsidRPr="00EF2F18">
        <w:rPr>
          <w:rFonts w:cs="Times New Roman"/>
          <w:sz w:val="22"/>
          <w:lang w:val="sr-Cyrl-RS"/>
        </w:rPr>
        <w:t xml:space="preserve"> хемикалија успостављен је 2010. године у складу са члановима </w:t>
      </w:r>
      <w:r w:rsidR="00F60292" w:rsidRPr="00EF2F18">
        <w:rPr>
          <w:rFonts w:cs="Times New Roman"/>
          <w:sz w:val="22"/>
          <w:lang w:val="sr-Cyrl-RS"/>
        </w:rPr>
        <w:t>38</w:t>
      </w:r>
      <w:r w:rsidR="00E86284" w:rsidRPr="00EF2F18">
        <w:rPr>
          <w:rFonts w:cs="Times New Roman"/>
          <w:sz w:val="22"/>
          <w:lang w:val="sr-Cyrl-RS"/>
        </w:rPr>
        <w:t>-47. Закона о хемикалијама. Регистар</w:t>
      </w:r>
      <w:r w:rsidR="00F60292" w:rsidRPr="00EF2F18">
        <w:rPr>
          <w:rFonts w:cs="Times New Roman"/>
          <w:sz w:val="22"/>
          <w:lang w:val="sr-Cyrl-RS"/>
        </w:rPr>
        <w:t xml:space="preserve"> хемикалија</w:t>
      </w:r>
      <w:r w:rsidR="00E86284" w:rsidRPr="00EF2F18">
        <w:rPr>
          <w:rFonts w:cs="Times New Roman"/>
          <w:sz w:val="22"/>
          <w:lang w:val="sr-Cyrl-RS"/>
        </w:rPr>
        <w:t xml:space="preserve"> обухвата хемикалије (супстанце, као и смеше) које се стављају на тржиште Републике Србије (тј. произведене или увезене) у годишњим количинама једнаким или већим од 100 kg. Произвођач, увозник или даљи корисник супстанце </w:t>
      </w:r>
      <w:r w:rsidR="00E86284" w:rsidRPr="00EF2F18">
        <w:rPr>
          <w:rFonts w:cs="Times New Roman"/>
          <w:sz w:val="22"/>
          <w:lang w:val="sr-Cyrl-RS"/>
        </w:rPr>
        <w:lastRenderedPageBreak/>
        <w:t xml:space="preserve">која изазива велику забринутост (тј. супстанце која је наведена на националној листи </w:t>
      </w:r>
      <w:r w:rsidR="00E86284" w:rsidRPr="00EF2F18">
        <w:rPr>
          <w:rFonts w:cs="Times New Roman"/>
          <w:i/>
          <w:iCs/>
          <w:sz w:val="22"/>
          <w:lang w:val="sr-Cyrl-RS"/>
        </w:rPr>
        <w:t>SVHC</w:t>
      </w:r>
      <w:r w:rsidR="00E86284" w:rsidRPr="00EF2F18">
        <w:rPr>
          <w:rFonts w:cs="Times New Roman"/>
          <w:sz w:val="22"/>
          <w:lang w:val="sr-Cyrl-RS"/>
        </w:rPr>
        <w:t xml:space="preserve"> која је транспонована из Анекса </w:t>
      </w:r>
      <w:r w:rsidR="003D14CD" w:rsidRPr="00EF2F18">
        <w:rPr>
          <w:rFonts w:cs="Times New Roman"/>
          <w:sz w:val="22"/>
          <w:lang w:val="sr-Cyrl-RS"/>
        </w:rPr>
        <w:t>X</w:t>
      </w:r>
      <w:r w:rsidR="00E86284" w:rsidRPr="00EF2F18">
        <w:rPr>
          <w:rFonts w:cs="Times New Roman"/>
          <w:sz w:val="22"/>
          <w:lang w:val="sr-Cyrl-RS"/>
        </w:rPr>
        <w:t xml:space="preserve">IV </w:t>
      </w:r>
      <w:r w:rsidR="004525DB" w:rsidRPr="00EF2F18">
        <w:rPr>
          <w:rFonts w:cs="Times New Roman"/>
          <w:sz w:val="22"/>
          <w:lang w:val="sr-Cyrl-RS"/>
        </w:rPr>
        <w:t>Уредбе (ЕЗ) 1907/2006 о регистрацији, евалуацији, ауторизацији и ограничавању хемикалија (</w:t>
      </w:r>
      <w:r w:rsidR="00E86284" w:rsidRPr="00EF2F18">
        <w:rPr>
          <w:rFonts w:cs="Times New Roman"/>
          <w:i/>
          <w:iCs/>
          <w:sz w:val="22"/>
          <w:lang w:val="sr-Cyrl-RS"/>
        </w:rPr>
        <w:t>REACH</w:t>
      </w:r>
      <w:r w:rsidR="00E86284" w:rsidRPr="00EF2F18">
        <w:rPr>
          <w:rFonts w:cs="Times New Roman"/>
          <w:sz w:val="22"/>
          <w:lang w:val="sr-Cyrl-RS"/>
        </w:rPr>
        <w:t xml:space="preserve">), или смеше која садржи ту супстанцу, треба да поднесе посебан досије који садржи додатне податке: опис употреба и мера за смањење ризика, предложени метод за систематско праћење употребе и, ако су доступни, информације о алтернативним супстанцама (назив супстанци, информације о опасностима или ризицима које ове супстанце могу представљати за људе, здравље и животну средину, као и техничке и социо-економске информације о изводљивости замене). </w:t>
      </w:r>
    </w:p>
    <w:p w14:paraId="25D8CC8A" w14:textId="77777777" w:rsidR="00CD45DA" w:rsidRPr="00EF2F18" w:rsidRDefault="00CD45DA" w:rsidP="00E86284">
      <w:pPr>
        <w:autoSpaceDE w:val="0"/>
        <w:autoSpaceDN w:val="0"/>
        <w:adjustRightInd w:val="0"/>
        <w:spacing w:after="0"/>
        <w:ind w:firstLine="720"/>
        <w:jc w:val="both"/>
        <w:rPr>
          <w:rFonts w:cs="Times New Roman"/>
          <w:sz w:val="22"/>
          <w:lang w:val="sr-Cyrl-RS"/>
        </w:rPr>
      </w:pPr>
    </w:p>
    <w:p w14:paraId="30E794DC" w14:textId="77777777" w:rsidR="00CD45DA" w:rsidRPr="00EF2F18" w:rsidRDefault="00CD45DA" w:rsidP="00F15588">
      <w:pPr>
        <w:spacing w:line="276" w:lineRule="auto"/>
        <w:jc w:val="center"/>
        <w:rPr>
          <w:rFonts w:cs="Times New Roman"/>
          <w:sz w:val="22"/>
          <w:lang w:val="sr-Cyrl-RS"/>
        </w:rPr>
      </w:pPr>
      <w:r w:rsidRPr="00EF2F18">
        <w:rPr>
          <w:rFonts w:cs="Times New Roman"/>
          <w:noProof/>
          <w:sz w:val="22"/>
          <w:lang w:val="sr-Cyrl-RS" w:eastAsia="sr-Cyrl-RS"/>
        </w:rPr>
        <w:drawing>
          <wp:inline distT="0" distB="0" distL="0" distR="0" wp14:anchorId="11FA8ADE" wp14:editId="39113827">
            <wp:extent cx="3334870" cy="1787819"/>
            <wp:effectExtent l="0" t="0" r="0" b="3175"/>
            <wp:docPr id="1322745923" name="Picture 1322745923" descr="http://www.ekologija.gov.rs/wp-content/uploads/2015/12/slika2-1024x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kologija.gov.rs/wp-content/uploads/2015/12/slika2-1024x637.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36293" cy="1842192"/>
                    </a:xfrm>
                    <a:prstGeom prst="rect">
                      <a:avLst/>
                    </a:prstGeom>
                    <a:noFill/>
                    <a:ln>
                      <a:noFill/>
                    </a:ln>
                  </pic:spPr>
                </pic:pic>
              </a:graphicData>
            </a:graphic>
          </wp:inline>
        </w:drawing>
      </w:r>
    </w:p>
    <w:p w14:paraId="7BAA31CD" w14:textId="219F0E92" w:rsidR="00CD45DA" w:rsidRPr="00EF2F18" w:rsidRDefault="00CD45DA" w:rsidP="00CD45DA">
      <w:pPr>
        <w:spacing w:after="0"/>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F36CC7" w:rsidRPr="00EF2F18">
        <w:rPr>
          <w:rFonts w:cs="Times New Roman"/>
          <w:b/>
          <w:bCs/>
          <w:sz w:val="22"/>
          <w:lang w:val="sr-Cyrl-RS"/>
        </w:rPr>
        <w:t>.</w:t>
      </w:r>
      <w:r w:rsidR="00DE003D" w:rsidRPr="00EF2F18">
        <w:rPr>
          <w:rFonts w:cs="Times New Roman"/>
          <w:b/>
          <w:bCs/>
          <w:sz w:val="22"/>
          <w:lang w:val="sr-Cyrl-RS"/>
        </w:rPr>
        <w:t>27</w:t>
      </w:r>
      <w:r w:rsidR="00F36CC7" w:rsidRPr="00EF2F18">
        <w:rPr>
          <w:rFonts w:cs="Times New Roman"/>
          <w:b/>
          <w:bCs/>
          <w:sz w:val="22"/>
          <w:lang w:val="sr-Cyrl-RS"/>
        </w:rPr>
        <w:t>.</w:t>
      </w:r>
      <w:r w:rsidRPr="00EF2F18">
        <w:rPr>
          <w:rFonts w:cs="Times New Roman"/>
          <w:sz w:val="22"/>
          <w:lang w:val="sr-Cyrl-RS"/>
        </w:rPr>
        <w:t xml:space="preserve"> Број хемикалија које су стављене у промет у Републици Србији (период од 2010. до 2016. године)</w:t>
      </w:r>
    </w:p>
    <w:p w14:paraId="092B8003" w14:textId="54C99388" w:rsidR="00CD45DA" w:rsidRPr="00EF2F18" w:rsidRDefault="00CD45DA" w:rsidP="00CD45DA">
      <w:pPr>
        <w:autoSpaceDE w:val="0"/>
        <w:autoSpaceDN w:val="0"/>
        <w:adjustRightInd w:val="0"/>
        <w:spacing w:after="0"/>
        <w:jc w:val="both"/>
        <w:rPr>
          <w:rFonts w:cs="Times New Roman"/>
          <w:i/>
          <w:sz w:val="22"/>
          <w:lang w:val="sr-Cyrl-RS"/>
        </w:rPr>
      </w:pPr>
      <w:r w:rsidRPr="00EF2F18">
        <w:rPr>
          <w:rFonts w:cs="Times New Roman"/>
          <w:i/>
          <w:sz w:val="22"/>
          <w:lang w:val="sr-Cyrl-RS"/>
        </w:rPr>
        <w:t>Извор: Интегрални регистар хемикалија, 2016.</w:t>
      </w:r>
    </w:p>
    <w:p w14:paraId="0CE553B9" w14:textId="77777777" w:rsidR="00CD45DA" w:rsidRPr="00EF2F18" w:rsidRDefault="00CD45DA" w:rsidP="00CD45DA">
      <w:pPr>
        <w:autoSpaceDE w:val="0"/>
        <w:autoSpaceDN w:val="0"/>
        <w:adjustRightInd w:val="0"/>
        <w:spacing w:after="0"/>
        <w:jc w:val="both"/>
        <w:rPr>
          <w:rFonts w:cs="Times New Roman"/>
          <w:sz w:val="22"/>
          <w:lang w:val="sr-Cyrl-RS"/>
        </w:rPr>
      </w:pPr>
    </w:p>
    <w:p w14:paraId="0EB8F4A9" w14:textId="1F4C8BE8" w:rsidR="00F60292" w:rsidRPr="00EF2F18" w:rsidRDefault="00F60292" w:rsidP="00F60292">
      <w:pPr>
        <w:autoSpaceDE w:val="0"/>
        <w:autoSpaceDN w:val="0"/>
        <w:adjustRightInd w:val="0"/>
        <w:spacing w:after="0"/>
        <w:ind w:firstLine="720"/>
        <w:jc w:val="both"/>
        <w:rPr>
          <w:rFonts w:cs="Times New Roman"/>
          <w:sz w:val="22"/>
          <w:lang w:val="sr-Cyrl-RS"/>
        </w:rPr>
      </w:pPr>
      <w:r w:rsidRPr="00EF2F18">
        <w:rPr>
          <w:rFonts w:cs="Times New Roman"/>
          <w:sz w:val="22"/>
          <w:lang w:val="sr-Cyrl-RS"/>
        </w:rPr>
        <w:t>Поред Регистра хемикалија саставни део Интегралног регистра хемикалија чине и Регистар биоцидних производа</w:t>
      </w:r>
      <w:r w:rsidR="005E5FF9" w:rsidRPr="00EF2F18">
        <w:rPr>
          <w:rFonts w:cs="Times New Roman"/>
          <w:sz w:val="22"/>
          <w:lang w:val="sr-Cyrl-RS"/>
        </w:rPr>
        <w:t xml:space="preserve"> </w:t>
      </w:r>
      <w:r w:rsidRPr="00EF2F18">
        <w:rPr>
          <w:rFonts w:cs="Times New Roman"/>
          <w:sz w:val="22"/>
          <w:lang w:val="sr-Cyrl-RS"/>
        </w:rPr>
        <w:t>и Регистар средстава за заштиту биља. Биоцидни производи су хемикалије неопходне за контролу организама који су непожељни или имају штетан ефекат на људе, њихове активности, производе које користе или производе, на животиње или животну средину. Међутим, због својих својстава да униште, одврате, учине безопасним, спрече деловање или другачије контролишу штетне организме и са њима повезаних начина коришћења, биоцидни производи могу представљати ризик по људе, животиње и животну средину. Из истих разлога ти производи јесу у тзв. режиму дозвола, за разлику од режима слободног промета у ком се налази већина хемикалија, односно њихова својства, ризик који представљају и друге податке о њима процењује надлежни орган у оквиру поступка доношења акта на основу ког се он ставља на тржиште и користи и на основу резултата свих процена одлучује да ли се могу учинити доступним на тржишту и користити. При том</w:t>
      </w:r>
      <w:r w:rsidR="00037E87" w:rsidRPr="00EF2F18">
        <w:rPr>
          <w:rFonts w:cs="Times New Roman"/>
          <w:sz w:val="22"/>
          <w:lang w:val="sr-Cyrl-RS"/>
        </w:rPr>
        <w:t>е</w:t>
      </w:r>
      <w:r w:rsidRPr="00EF2F18">
        <w:rPr>
          <w:rFonts w:cs="Times New Roman"/>
          <w:sz w:val="22"/>
          <w:lang w:val="sr-Cyrl-RS"/>
        </w:rPr>
        <w:t xml:space="preserve">, сам акт не представља баријеру у трговини већ нужан услов за заштиту здравља људи, здравља животиња и животне средине од биоцидних производа који представљају неприхватљив ризик и нису довољно ефикасни. Регистар биоцидних производа води се у складу са чланом 52. Закона о биоцидним производима на основу података који се достављају у поступку доношење актa на основу ког се биоцидни производ чини доступним на тржишту и користи. </w:t>
      </w:r>
    </w:p>
    <w:p w14:paraId="688EA313" w14:textId="571B3C48" w:rsidR="00F60292" w:rsidRPr="00EF2F18" w:rsidRDefault="00F60292" w:rsidP="00884AB9">
      <w:pPr>
        <w:autoSpaceDE w:val="0"/>
        <w:autoSpaceDN w:val="0"/>
        <w:adjustRightInd w:val="0"/>
        <w:spacing w:after="0"/>
        <w:ind w:firstLine="720"/>
        <w:jc w:val="both"/>
        <w:rPr>
          <w:rFonts w:cs="Times New Roman"/>
          <w:sz w:val="22"/>
          <w:lang w:val="sr-Cyrl-RS"/>
        </w:rPr>
      </w:pPr>
      <w:r w:rsidRPr="00EF2F18">
        <w:rPr>
          <w:rFonts w:cs="Times New Roman"/>
          <w:sz w:val="22"/>
          <w:lang w:val="sr-Cyrl-RS"/>
        </w:rPr>
        <w:t>На основу Регистра биоцидних производа око 560 компанија ставља на тржиште Србије преко 3.000 биоцидних производа. У погледу привредне делатности, половину компанија чине увозници биоцидних производа, 42% компанија су домаћи произвођачи биоцидних производа док 8% компанија послује у области увоза и производње биоцидних производа. У вези са земљом порекла биоцидних производа стављених на тржиште Србије, 50% биоцидних производа је произведено у EУ/EEП, 11% биоцидних производа је произведено изван EУ/EEП, док је 39% биоцидних производа произведено у</w:t>
      </w:r>
      <w:r w:rsidR="00260707" w:rsidRPr="00EF2F18">
        <w:rPr>
          <w:rFonts w:cs="Times New Roman"/>
          <w:sz w:val="22"/>
          <w:lang w:val="sr-Cyrl-RS"/>
        </w:rPr>
        <w:t xml:space="preserve"> Републици</w:t>
      </w:r>
      <w:r w:rsidRPr="00EF2F18">
        <w:rPr>
          <w:rFonts w:cs="Times New Roman"/>
          <w:sz w:val="22"/>
          <w:lang w:val="sr-Cyrl-RS"/>
        </w:rPr>
        <w:t xml:space="preserve"> Србији.</w:t>
      </w:r>
    </w:p>
    <w:p w14:paraId="43130C22" w14:textId="77777777" w:rsidR="00F60292" w:rsidRPr="00EF2F18" w:rsidRDefault="00F60292" w:rsidP="00F60292">
      <w:pPr>
        <w:autoSpaceDE w:val="0"/>
        <w:autoSpaceDN w:val="0"/>
        <w:adjustRightInd w:val="0"/>
        <w:spacing w:after="0"/>
        <w:jc w:val="both"/>
        <w:rPr>
          <w:rFonts w:cs="Times New Roman"/>
          <w:sz w:val="22"/>
          <w:lang w:val="sr-Cyrl-RS"/>
        </w:rPr>
      </w:pPr>
    </w:p>
    <w:p w14:paraId="4CC55456" w14:textId="77777777" w:rsidR="00F60292" w:rsidRPr="00EF2F18" w:rsidRDefault="00F60292" w:rsidP="006B4DF8">
      <w:pPr>
        <w:autoSpaceDE w:val="0"/>
        <w:autoSpaceDN w:val="0"/>
        <w:adjustRightInd w:val="0"/>
        <w:spacing w:after="0"/>
        <w:jc w:val="center"/>
        <w:rPr>
          <w:rFonts w:cs="Times New Roman"/>
          <w:sz w:val="22"/>
          <w:lang w:val="sr-Cyrl-RS"/>
        </w:rPr>
      </w:pPr>
      <w:r w:rsidRPr="00EF2F18">
        <w:rPr>
          <w:noProof/>
          <w:lang w:val="sr-Cyrl-RS" w:eastAsia="sr-Cyrl-RS"/>
        </w:rPr>
        <w:lastRenderedPageBreak/>
        <w:drawing>
          <wp:inline distT="0" distB="0" distL="0" distR="0" wp14:anchorId="5732F3AC" wp14:editId="6EE7C378">
            <wp:extent cx="3771900" cy="2057400"/>
            <wp:effectExtent l="0" t="0" r="0" b="0"/>
            <wp:docPr id="1568363033" name="Grafikon 1">
              <a:extLst xmlns:a="http://schemas.openxmlformats.org/drawingml/2006/main">
                <a:ext uri="{FF2B5EF4-FFF2-40B4-BE49-F238E27FC236}">
                  <a16:creationId xmlns:a16="http://schemas.microsoft.com/office/drawing/2014/main" id="{849755EC-A21D-0DA8-3D28-709107E567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960961" w14:textId="6DFEC1D1" w:rsidR="00F60292" w:rsidRPr="00EF2F18" w:rsidRDefault="00F60292" w:rsidP="00F60292">
      <w:pPr>
        <w:spacing w:after="0"/>
        <w:rPr>
          <w:rFonts w:cs="Times New Roman"/>
          <w:sz w:val="22"/>
          <w:lang w:val="sr-Cyrl-RS"/>
        </w:rPr>
      </w:pPr>
      <w:r w:rsidRPr="00EF2F18">
        <w:rPr>
          <w:rFonts w:cs="Times New Roman"/>
          <w:b/>
          <w:bCs/>
          <w:sz w:val="22"/>
          <w:lang w:val="sr-Cyrl-RS"/>
        </w:rPr>
        <w:t>Слика 3.</w:t>
      </w:r>
      <w:r w:rsidR="00DE003D" w:rsidRPr="00EF2F18">
        <w:rPr>
          <w:rFonts w:cs="Times New Roman"/>
          <w:b/>
          <w:bCs/>
          <w:sz w:val="22"/>
          <w:lang w:val="sr-Cyrl-RS"/>
        </w:rPr>
        <w:t>28</w:t>
      </w:r>
      <w:r w:rsidRPr="00EF2F18">
        <w:rPr>
          <w:rFonts w:cs="Times New Roman"/>
          <w:b/>
          <w:bCs/>
          <w:sz w:val="22"/>
          <w:lang w:val="sr-Cyrl-RS"/>
        </w:rPr>
        <w:t>.</w:t>
      </w:r>
      <w:r w:rsidRPr="00EF2F18">
        <w:rPr>
          <w:rFonts w:cs="Times New Roman"/>
          <w:sz w:val="22"/>
          <w:lang w:val="sr-Cyrl-RS"/>
        </w:rPr>
        <w:t xml:space="preserve"> Број биоцидних производа стављених на тржиште Републике Србије по годинама (период од 2010. до 2022. године)</w:t>
      </w:r>
    </w:p>
    <w:p w14:paraId="47F2BB2F" w14:textId="77777777" w:rsidR="00F60292" w:rsidRPr="00EF2F18" w:rsidRDefault="00F60292" w:rsidP="00F60292">
      <w:pPr>
        <w:autoSpaceDE w:val="0"/>
        <w:autoSpaceDN w:val="0"/>
        <w:adjustRightInd w:val="0"/>
        <w:spacing w:after="0"/>
        <w:jc w:val="both"/>
        <w:rPr>
          <w:rFonts w:cs="Times New Roman"/>
          <w:i/>
          <w:sz w:val="22"/>
          <w:lang w:val="sr-Cyrl-RS"/>
        </w:rPr>
      </w:pPr>
      <w:r w:rsidRPr="00EF2F18">
        <w:rPr>
          <w:rFonts w:cs="Times New Roman"/>
          <w:i/>
          <w:sz w:val="22"/>
          <w:lang w:val="sr-Cyrl-RS"/>
        </w:rPr>
        <w:t>Извор: Интегрални регистар хемикалија, Регистар биоцидних производа, 2023.</w:t>
      </w:r>
    </w:p>
    <w:p w14:paraId="4603D7F6" w14:textId="77777777" w:rsidR="00F60292" w:rsidRPr="00EF2F18" w:rsidRDefault="00F60292" w:rsidP="00F60292">
      <w:pPr>
        <w:autoSpaceDE w:val="0"/>
        <w:autoSpaceDN w:val="0"/>
        <w:adjustRightInd w:val="0"/>
        <w:spacing w:after="0"/>
        <w:jc w:val="both"/>
        <w:rPr>
          <w:rFonts w:cs="Times New Roman"/>
          <w:iCs/>
          <w:sz w:val="22"/>
          <w:lang w:val="sr-Cyrl-RS"/>
        </w:rPr>
      </w:pPr>
    </w:p>
    <w:p w14:paraId="1C80C2B3" w14:textId="77777777" w:rsidR="00F60292" w:rsidRPr="00EF2F18" w:rsidRDefault="00F60292" w:rsidP="00F60292">
      <w:pPr>
        <w:autoSpaceDE w:val="0"/>
        <w:autoSpaceDN w:val="0"/>
        <w:adjustRightInd w:val="0"/>
        <w:spacing w:after="0"/>
        <w:ind w:firstLine="720"/>
        <w:jc w:val="both"/>
        <w:rPr>
          <w:rFonts w:cs="Times New Roman"/>
          <w:sz w:val="22"/>
          <w:lang w:val="sr-Cyrl-RS"/>
        </w:rPr>
      </w:pPr>
      <w:r w:rsidRPr="00EF2F18">
        <w:rPr>
          <w:rFonts w:cs="Times New Roman"/>
          <w:sz w:val="22"/>
          <w:lang w:val="sr-Cyrl-RS"/>
        </w:rPr>
        <w:t>У погледу врсте биоцидних производа стављених на тржиште Србије, 68 % биоцидних производа спада у Главну групу 1: Дезинфекциони производи, 9 % биоцидних производа спада у Главну групу 2: Конзерванси, док 23 % биоцидних производа спада у Главну групу 3: Биоцидни производи за контролу штеточина.</w:t>
      </w:r>
    </w:p>
    <w:p w14:paraId="205B8508" w14:textId="0AF43F74" w:rsidR="00F60292" w:rsidRPr="00EF2F18" w:rsidRDefault="00F60292" w:rsidP="00F60292">
      <w:pPr>
        <w:autoSpaceDE w:val="0"/>
        <w:autoSpaceDN w:val="0"/>
        <w:adjustRightInd w:val="0"/>
        <w:spacing w:after="0"/>
        <w:ind w:firstLine="720"/>
        <w:jc w:val="both"/>
        <w:rPr>
          <w:rFonts w:cs="Times New Roman"/>
          <w:sz w:val="22"/>
          <w:shd w:val="clear" w:color="auto" w:fill="FFFFFF"/>
          <w:lang w:val="sr-Cyrl-RS"/>
        </w:rPr>
      </w:pPr>
      <w:r w:rsidRPr="00EF2F18">
        <w:rPr>
          <w:rFonts w:cs="Times New Roman"/>
          <w:sz w:val="22"/>
          <w:lang w:val="sr-Cyrl-RS"/>
        </w:rPr>
        <w:t>У 2019. години успостављен је електронски портал за Интегрални регистар хемикалија (е-ИРХ портал) чиме су створени услови за електронско пословање у области хемикалија и биоцидних производа и постигнута је електронска комуникација са привредним субјектима који стављају на тржиште хемикалије и биоцидне производе.</w:t>
      </w:r>
    </w:p>
    <w:p w14:paraId="4A668D8E" w14:textId="615E5367" w:rsidR="00E86284" w:rsidRPr="00EF2F18" w:rsidRDefault="00E86284" w:rsidP="00E86284">
      <w:pPr>
        <w:autoSpaceDE w:val="0"/>
        <w:autoSpaceDN w:val="0"/>
        <w:adjustRightInd w:val="0"/>
        <w:spacing w:after="0"/>
        <w:ind w:firstLine="720"/>
        <w:jc w:val="both"/>
        <w:rPr>
          <w:rFonts w:cs="Times New Roman"/>
          <w:sz w:val="22"/>
          <w:lang w:val="sr-Cyrl-RS"/>
        </w:rPr>
      </w:pPr>
      <w:r w:rsidRPr="00EF2F18">
        <w:rPr>
          <w:rFonts w:cs="Times New Roman"/>
          <w:sz w:val="22"/>
          <w:shd w:val="clear" w:color="auto" w:fill="FFFFFF"/>
          <w:lang w:val="sr-Cyrl-RS"/>
        </w:rPr>
        <w:t>Још увек није усвојен ажурирани Национални имплементациони план за спровођење Стокхолмске конвенције о дуготрајним органским загађујућим супстанцама (</w:t>
      </w:r>
      <w:r w:rsidRPr="00EF2F18">
        <w:rPr>
          <w:rFonts w:cs="Times New Roman"/>
          <w:sz w:val="22"/>
          <w:lang w:val="sr-Cyrl-RS"/>
        </w:rPr>
        <w:t>POPs</w:t>
      </w:r>
      <w:r w:rsidRPr="00EF2F18">
        <w:rPr>
          <w:rFonts w:cs="Times New Roman"/>
          <w:sz w:val="22"/>
          <w:shd w:val="clear" w:color="auto" w:fill="FFFFFF"/>
          <w:lang w:val="sr-Cyrl-RS"/>
        </w:rPr>
        <w:t xml:space="preserve">), </w:t>
      </w:r>
      <w:r w:rsidR="0073393A" w:rsidRPr="00EF2F18">
        <w:rPr>
          <w:rFonts w:cs="Times New Roman"/>
          <w:sz w:val="22"/>
          <w:shd w:val="clear" w:color="auto" w:fill="FFFFFF"/>
          <w:lang w:val="sr-Cyrl-RS"/>
        </w:rPr>
        <w:t xml:space="preserve">који </w:t>
      </w:r>
      <w:r w:rsidRPr="00EF2F18">
        <w:rPr>
          <w:rFonts w:cs="Times New Roman"/>
          <w:sz w:val="22"/>
          <w:shd w:val="clear" w:color="auto" w:fill="FFFFFF"/>
          <w:lang w:val="sr-Cyrl-RS"/>
        </w:rPr>
        <w:t>је припремљен још 2015. године</w:t>
      </w:r>
      <w:r w:rsidR="004525DB" w:rsidRPr="00EF2F18">
        <w:rPr>
          <w:rFonts w:cs="Times New Roman"/>
          <w:sz w:val="22"/>
          <w:shd w:val="clear" w:color="auto" w:fill="FFFFFF"/>
          <w:lang w:val="sr-Cyrl-RS"/>
        </w:rPr>
        <w:t xml:space="preserve">, а на основу </w:t>
      </w:r>
      <w:r w:rsidR="004525DB" w:rsidRPr="00EF2F18">
        <w:rPr>
          <w:rStyle w:val="cf01"/>
          <w:rFonts w:ascii="Times New Roman" w:hAnsi="Times New Roman" w:cs="Times New Roman"/>
          <w:sz w:val="22"/>
          <w:szCs w:val="22"/>
          <w:lang w:val="sr-Cyrl-RS"/>
        </w:rPr>
        <w:t xml:space="preserve">Закона о потврђивању Стокхолмске конвенције </w:t>
      </w:r>
      <w:r w:rsidR="009F5B7E" w:rsidRPr="00EF2F18">
        <w:rPr>
          <w:rStyle w:val="cf01"/>
          <w:rFonts w:ascii="Times New Roman" w:hAnsi="Times New Roman" w:cs="Times New Roman"/>
          <w:sz w:val="22"/>
          <w:szCs w:val="22"/>
          <w:lang w:val="sr-Cyrl-RS"/>
        </w:rPr>
        <w:t xml:space="preserve">o дуготрајним органским загађујућим супстанцама </w:t>
      </w:r>
      <w:r w:rsidR="004525DB" w:rsidRPr="00EF2F18">
        <w:rPr>
          <w:rStyle w:val="cf01"/>
          <w:rFonts w:ascii="Times New Roman" w:hAnsi="Times New Roman" w:cs="Times New Roman"/>
          <w:sz w:val="22"/>
          <w:szCs w:val="22"/>
          <w:lang w:val="sr-Cyrl-RS"/>
        </w:rPr>
        <w:t>(„Службени гласник РС - Међунаро</w:t>
      </w:r>
      <w:r w:rsidR="00A47ACD" w:rsidRPr="00EF2F18">
        <w:rPr>
          <w:rStyle w:val="cf01"/>
          <w:rFonts w:ascii="Times New Roman" w:hAnsi="Times New Roman" w:cs="Times New Roman"/>
          <w:sz w:val="22"/>
          <w:szCs w:val="22"/>
          <w:lang w:val="sr-Cyrl-RS"/>
        </w:rPr>
        <w:t>д</w:t>
      </w:r>
      <w:r w:rsidR="004525DB" w:rsidRPr="00EF2F18">
        <w:rPr>
          <w:rStyle w:val="cf01"/>
          <w:rFonts w:ascii="Times New Roman" w:hAnsi="Times New Roman" w:cs="Times New Roman"/>
          <w:sz w:val="22"/>
          <w:szCs w:val="22"/>
          <w:lang w:val="sr-Cyrl-RS"/>
        </w:rPr>
        <w:t>ни уговори</w:t>
      </w:r>
      <w:r w:rsidR="00A64280" w:rsidRPr="00EF2F18">
        <w:rPr>
          <w:rStyle w:val="cf01"/>
          <w:rFonts w:ascii="Times New Roman" w:hAnsi="Times New Roman" w:cs="Times New Roman"/>
          <w:sz w:val="22"/>
          <w:szCs w:val="22"/>
          <w:lang w:val="sr-Cyrl-RS"/>
        </w:rPr>
        <w:t>”</w:t>
      </w:r>
      <w:r w:rsidR="004525DB" w:rsidRPr="00EF2F18">
        <w:rPr>
          <w:rStyle w:val="cf01"/>
          <w:rFonts w:ascii="Times New Roman" w:hAnsi="Times New Roman" w:cs="Times New Roman"/>
          <w:sz w:val="22"/>
          <w:szCs w:val="22"/>
          <w:lang w:val="sr-Cyrl-RS"/>
        </w:rPr>
        <w:t>, број 42/09). Стокхолмска конвенција је имплементирана кроз Закон о хемикалијама и Закон о биоцидним производима.</w:t>
      </w:r>
    </w:p>
    <w:p w14:paraId="42371FC6" w14:textId="42C8F1F1" w:rsidR="00F60292" w:rsidRPr="00EF2F18" w:rsidRDefault="00F60292" w:rsidP="00F60292">
      <w:pPr>
        <w:spacing w:after="0"/>
        <w:ind w:firstLine="720"/>
        <w:jc w:val="both"/>
        <w:rPr>
          <w:rFonts w:cs="Times New Roman"/>
          <w:color w:val="000000" w:themeColor="text1"/>
          <w:sz w:val="22"/>
          <w:lang w:val="sr-Cyrl-RS"/>
        </w:rPr>
      </w:pPr>
      <w:r w:rsidRPr="00EF2F18">
        <w:rPr>
          <w:rFonts w:cs="Times New Roman"/>
          <w:bCs/>
          <w:sz w:val="22"/>
          <w:lang w:val="sr-Cyrl-RS"/>
        </w:rPr>
        <w:t>Према Закону о хемикалијама сваки увозник или произвођач хемикалија мора да изради безбедносни лист хемикалије који је уређен Правилником о садржају безбедносног листа. Безбедносни лист пружа структурно обједињене информације о опасним супстанцама и смешама, као и са њима повезаним ризицима који могу настати приликом коришћења, складиштења и руковањем хемикалијама.</w:t>
      </w:r>
      <w:r w:rsidR="00884AB9" w:rsidRPr="00EF2F18">
        <w:rPr>
          <w:rFonts w:cs="Times New Roman"/>
          <w:bCs/>
          <w:sz w:val="22"/>
          <w:lang w:val="sr-Cyrl-RS"/>
        </w:rPr>
        <w:t xml:space="preserve"> </w:t>
      </w:r>
      <w:r w:rsidRPr="00EF2F18">
        <w:rPr>
          <w:rFonts w:cs="Times New Roman"/>
          <w:bCs/>
          <w:sz w:val="22"/>
          <w:lang w:val="sr-Cyrl-RS"/>
        </w:rPr>
        <w:t xml:space="preserve">Такође обавеза сваког увозника и произвођача хемикалија је да исте класификује, пакује и обележи у складу са Глобално хармонизованим системом УН, односно </w:t>
      </w:r>
      <w:r w:rsidRPr="00EF2F18">
        <w:rPr>
          <w:rFonts w:cs="Times New Roman"/>
          <w:bCs/>
          <w:i/>
          <w:iCs/>
          <w:sz w:val="22"/>
          <w:lang w:val="sr-Cyrl-RS"/>
        </w:rPr>
        <w:t>CLP</w:t>
      </w:r>
      <w:r w:rsidRPr="00EF2F18">
        <w:rPr>
          <w:rFonts w:cs="Times New Roman"/>
          <w:bCs/>
          <w:sz w:val="22"/>
          <w:lang w:val="sr-Cyrl-RS"/>
        </w:rPr>
        <w:t xml:space="preserve"> Уредбом. </w:t>
      </w:r>
      <w:r w:rsidRPr="00EF2F18">
        <w:rPr>
          <w:rFonts w:cs="Times New Roman"/>
          <w:color w:val="000000" w:themeColor="text1"/>
          <w:sz w:val="22"/>
          <w:lang w:val="sr-Cyrl-RS"/>
        </w:rPr>
        <w:t xml:space="preserve">Република Србија је постигла висок ниво усклађености у области управљања хемикалијама са правним тековинама ЕУ. </w:t>
      </w:r>
      <w:r w:rsidR="00373BB3" w:rsidRPr="00EF2F18">
        <w:rPr>
          <w:rFonts w:cs="Times New Roman"/>
          <w:color w:val="000000" w:themeColor="text1"/>
          <w:sz w:val="22"/>
          <w:shd w:val="clear" w:color="auto" w:fill="FFFFFF"/>
          <w:lang w:val="sr-Cyrl-RS"/>
        </w:rPr>
        <w:t>Законодавни</w:t>
      </w:r>
      <w:r w:rsidR="005E5FF9" w:rsidRPr="00EF2F18">
        <w:rPr>
          <w:rFonts w:cs="Times New Roman"/>
          <w:color w:val="000000" w:themeColor="text1"/>
          <w:sz w:val="22"/>
          <w:shd w:val="clear" w:color="auto" w:fill="FFFFFF"/>
          <w:lang w:val="sr-Cyrl-RS"/>
        </w:rPr>
        <w:t xml:space="preserve"> </w:t>
      </w:r>
      <w:r w:rsidR="00373BB3" w:rsidRPr="00EF2F18">
        <w:rPr>
          <w:rFonts w:cs="Times New Roman"/>
          <w:color w:val="000000" w:themeColor="text1"/>
          <w:sz w:val="22"/>
          <w:shd w:val="clear" w:color="auto" w:fill="FFFFFF"/>
          <w:lang w:val="sr-Cyrl-RS"/>
        </w:rPr>
        <w:t>оквир успостављен је</w:t>
      </w:r>
      <w:r w:rsidR="005E5FF9" w:rsidRPr="00EF2F18">
        <w:rPr>
          <w:rFonts w:cs="Times New Roman"/>
          <w:color w:val="000000" w:themeColor="text1"/>
          <w:sz w:val="22"/>
          <w:shd w:val="clear" w:color="auto" w:fill="FFFFFF"/>
          <w:lang w:val="sr-Cyrl-RS"/>
        </w:rPr>
        <w:t xml:space="preserve"> </w:t>
      </w:r>
      <w:r w:rsidR="00373BB3" w:rsidRPr="00EF2F18">
        <w:rPr>
          <w:rFonts w:cs="Times New Roman"/>
          <w:color w:val="000000" w:themeColor="text1"/>
          <w:sz w:val="22"/>
          <w:shd w:val="clear" w:color="auto" w:fill="FFFFFF"/>
          <w:lang w:val="sr-Cyrl-RS"/>
        </w:rPr>
        <w:t>усвајањем Закона о хемикалијама, Закона о биоцидним производима и подзаконским прописима донетих на основу њих. Законодавни оквир</w:t>
      </w:r>
      <w:r w:rsidR="005E5FF9" w:rsidRPr="00EF2F18">
        <w:rPr>
          <w:rFonts w:cs="Times New Roman"/>
          <w:color w:val="000000" w:themeColor="text1"/>
          <w:sz w:val="22"/>
          <w:shd w:val="clear" w:color="auto" w:fill="FFFFFF"/>
          <w:lang w:val="sr-Cyrl-RS"/>
        </w:rPr>
        <w:t xml:space="preserve"> </w:t>
      </w:r>
      <w:r w:rsidR="00373BB3" w:rsidRPr="00EF2F18">
        <w:rPr>
          <w:rFonts w:cs="Times New Roman"/>
          <w:color w:val="000000" w:themeColor="text1"/>
          <w:sz w:val="22"/>
          <w:shd w:val="clear" w:color="auto" w:fill="FFFFFF"/>
          <w:lang w:val="sr-Cyrl-RS"/>
        </w:rPr>
        <w:t>усаглашен је са</w:t>
      </w:r>
      <w:r w:rsidR="005E5FF9" w:rsidRPr="00EF2F18">
        <w:rPr>
          <w:rFonts w:cs="Times New Roman"/>
          <w:color w:val="000000" w:themeColor="text1"/>
          <w:sz w:val="22"/>
          <w:shd w:val="clear" w:color="auto" w:fill="FFFFFF"/>
          <w:lang w:val="sr-Cyrl-RS"/>
        </w:rPr>
        <w:t xml:space="preserve"> </w:t>
      </w:r>
      <w:r w:rsidR="00373BB3" w:rsidRPr="00EF2F18">
        <w:rPr>
          <w:rFonts w:cs="Times New Roman"/>
          <w:color w:val="000000" w:themeColor="text1"/>
          <w:sz w:val="22"/>
          <w:shd w:val="clear" w:color="auto" w:fill="FFFFFF"/>
          <w:lang w:val="sr-Cyrl-RS"/>
        </w:rPr>
        <w:t xml:space="preserve">са прописима ЕУ у мери у којој је то могуће за земљу која је кандидат за чланство у ЕУ. </w:t>
      </w:r>
      <w:r w:rsidR="00373BB3" w:rsidRPr="00EF2F18">
        <w:rPr>
          <w:rFonts w:cs="Times New Roman"/>
          <w:color w:val="000000" w:themeColor="text1"/>
          <w:sz w:val="22"/>
          <w:lang w:val="sr-Cyrl-RS"/>
        </w:rPr>
        <w:t xml:space="preserve">Законодавни оквир у области биоцидних производа је усклађен са ЕУ Уредбом о биоцидним производима усвајањем новог </w:t>
      </w:r>
      <w:r w:rsidR="005266E2" w:rsidRPr="00EF2F18">
        <w:rPr>
          <w:rFonts w:cs="Times New Roman"/>
          <w:color w:val="000000" w:themeColor="text1"/>
          <w:sz w:val="22"/>
          <w:lang w:val="sr-Cyrl-RS"/>
        </w:rPr>
        <w:t>З</w:t>
      </w:r>
      <w:r w:rsidR="00373BB3" w:rsidRPr="00EF2F18">
        <w:rPr>
          <w:rFonts w:cs="Times New Roman"/>
          <w:color w:val="000000" w:themeColor="text1"/>
          <w:sz w:val="22"/>
          <w:lang w:val="sr-Cyrl-RS"/>
        </w:rPr>
        <w:t>акона</w:t>
      </w:r>
      <w:r w:rsidR="005266E2" w:rsidRPr="00EF2F18">
        <w:rPr>
          <w:rFonts w:cs="Times New Roman"/>
          <w:color w:val="000000" w:themeColor="text1"/>
          <w:sz w:val="22"/>
          <w:lang w:val="sr-Cyrl-RS"/>
        </w:rPr>
        <w:t xml:space="preserve"> о биоцидним производима</w:t>
      </w:r>
      <w:r w:rsidR="00AB37C1" w:rsidRPr="00EF2F18">
        <w:rPr>
          <w:rFonts w:cs="Times New Roman"/>
          <w:color w:val="000000" w:themeColor="text1"/>
          <w:sz w:val="22"/>
          <w:lang w:val="sr-Cyrl-RS"/>
        </w:rPr>
        <w:t>,</w:t>
      </w:r>
      <w:r w:rsidR="00373BB3" w:rsidRPr="00EF2F18">
        <w:rPr>
          <w:rFonts w:cs="Times New Roman"/>
          <w:color w:val="000000" w:themeColor="text1"/>
          <w:sz w:val="22"/>
          <w:lang w:val="sr-Cyrl-RS"/>
        </w:rPr>
        <w:t xml:space="preserve"> 2021. године. Претходни национални прописи у овој области били су усклађени са Директивом</w:t>
      </w:r>
      <w:r w:rsidR="00D0076C" w:rsidRPr="00EF2F18">
        <w:rPr>
          <w:rFonts w:cs="Times New Roman"/>
          <w:color w:val="000000" w:themeColor="text1"/>
          <w:sz w:val="22"/>
          <w:lang w:val="sr-Cyrl-RS"/>
        </w:rPr>
        <w:t xml:space="preserve"> ЕУ</w:t>
      </w:r>
      <w:r w:rsidR="00373BB3" w:rsidRPr="00EF2F18">
        <w:rPr>
          <w:rFonts w:cs="Times New Roman"/>
          <w:color w:val="000000" w:themeColor="text1"/>
          <w:sz w:val="22"/>
          <w:lang w:val="sr-Cyrl-RS"/>
        </w:rPr>
        <w:t xml:space="preserve"> о биоцидним производима.</w:t>
      </w:r>
    </w:p>
    <w:p w14:paraId="10D1EEB9" w14:textId="5ADF200E" w:rsidR="00B448CC" w:rsidRPr="00EF2F18" w:rsidRDefault="00B448CC" w:rsidP="00F60292">
      <w:pPr>
        <w:spacing w:after="0"/>
        <w:ind w:firstLine="720"/>
        <w:jc w:val="both"/>
        <w:rPr>
          <w:rFonts w:cs="Times New Roman"/>
          <w:sz w:val="22"/>
          <w:lang w:val="sr-Cyrl-RS"/>
        </w:rPr>
      </w:pPr>
      <w:r w:rsidRPr="00EF2F18">
        <w:rPr>
          <w:rFonts w:cs="Times New Roman"/>
          <w:sz w:val="22"/>
          <w:lang w:val="sr-Cyrl-RS"/>
        </w:rPr>
        <w:t xml:space="preserve">У оквиру Акционог плана Европске агенције за хемикалије за процену националних капацитета и спремности за спровођење и надзор </w:t>
      </w:r>
      <w:r w:rsidR="004525DB" w:rsidRPr="00EF2F18">
        <w:rPr>
          <w:rFonts w:cs="Times New Roman"/>
          <w:sz w:val="22"/>
          <w:lang w:val="sr-Cyrl-RS"/>
        </w:rPr>
        <w:t xml:space="preserve">уредби ЕУ: </w:t>
      </w:r>
      <w:r w:rsidRPr="00EF2F18">
        <w:rPr>
          <w:rFonts w:cs="Times New Roman"/>
          <w:sz w:val="22"/>
          <w:lang w:val="sr-Cyrl-RS"/>
        </w:rPr>
        <w:t>REACH</w:t>
      </w:r>
      <w:r w:rsidR="004525DB" w:rsidRPr="00EF2F18">
        <w:rPr>
          <w:rFonts w:cs="Times New Roman"/>
          <w:sz w:val="22"/>
          <w:lang w:val="sr-Cyrl-RS"/>
        </w:rPr>
        <w:t xml:space="preserve">, </w:t>
      </w:r>
      <w:r w:rsidRPr="00EF2F18">
        <w:rPr>
          <w:rFonts w:cs="Times New Roman"/>
          <w:sz w:val="22"/>
          <w:lang w:val="sr-Cyrl-RS"/>
        </w:rPr>
        <w:t>CLP</w:t>
      </w:r>
      <w:r w:rsidR="004525DB" w:rsidRPr="00EF2F18">
        <w:rPr>
          <w:rFonts w:cs="Times New Roman"/>
          <w:sz w:val="22"/>
          <w:lang w:val="sr-Cyrl-RS"/>
        </w:rPr>
        <w:t xml:space="preserve"> (Уредбе (ЕУ) 1272/2008 о усклађивању са системом GHS, о усклађивању са системом УН за утврђивање опасних хемикалија и обавештавање корисника о тим опасностима)</w:t>
      </w:r>
      <w:r w:rsidRPr="00EF2F18">
        <w:rPr>
          <w:rFonts w:cs="Times New Roman"/>
          <w:sz w:val="22"/>
          <w:lang w:val="sr-Cyrl-RS"/>
        </w:rPr>
        <w:t>, BPR</w:t>
      </w:r>
      <w:r w:rsidR="004525DB" w:rsidRPr="00EF2F18">
        <w:rPr>
          <w:rFonts w:cs="Times New Roman"/>
          <w:sz w:val="22"/>
          <w:lang w:val="sr-Cyrl-RS"/>
        </w:rPr>
        <w:t xml:space="preserve"> (Уредбе (ЕУ) 528/2012 о биоцидним производима) </w:t>
      </w:r>
      <w:r w:rsidRPr="00EF2F18">
        <w:rPr>
          <w:rFonts w:cs="Times New Roman"/>
          <w:sz w:val="22"/>
          <w:lang w:val="sr-Cyrl-RS"/>
        </w:rPr>
        <w:t xml:space="preserve">и PIC </w:t>
      </w:r>
      <w:r w:rsidR="004525DB" w:rsidRPr="00EF2F18">
        <w:rPr>
          <w:rFonts w:cs="Times New Roman"/>
          <w:sz w:val="22"/>
          <w:lang w:val="sr-Cyrl-RS"/>
        </w:rPr>
        <w:t xml:space="preserve">(Уредбе (ЕУ) 649/2012 о увозу и извозу хемикалија у ЕУ), </w:t>
      </w:r>
      <w:r w:rsidRPr="00EF2F18">
        <w:rPr>
          <w:rFonts w:cs="Times New Roman"/>
          <w:sz w:val="22"/>
          <w:lang w:val="sr-Cyrl-RS"/>
        </w:rPr>
        <w:t>у Црној Гори и Србији идентификован је као недостатак и непостојање Меморандума о разумевању између надлежног органа за управљање хемикалијама (Министарства заштите животне средине) и научно-истраживачких организација и спољних сарадника у области процене ризика и евалуације супстанци у складу са захтевима ЕУ легислативе из области управљања хемикалијама и биоцидним производима.</w:t>
      </w:r>
    </w:p>
    <w:p w14:paraId="6554BE48" w14:textId="6779E390" w:rsidR="00A42320" w:rsidRPr="00EF2F18" w:rsidRDefault="00F60292" w:rsidP="00A42320">
      <w:pPr>
        <w:autoSpaceDE w:val="0"/>
        <w:autoSpaceDN w:val="0"/>
        <w:adjustRightInd w:val="0"/>
        <w:spacing w:after="0"/>
        <w:ind w:firstLine="720"/>
        <w:jc w:val="both"/>
        <w:rPr>
          <w:rFonts w:cs="Times New Roman"/>
          <w:color w:val="000000" w:themeColor="text1"/>
          <w:sz w:val="22"/>
          <w:lang w:val="sr-Cyrl-RS"/>
        </w:rPr>
      </w:pPr>
      <w:r w:rsidRPr="00EF2F18">
        <w:rPr>
          <w:rFonts w:cs="Times New Roman"/>
          <w:sz w:val="22"/>
          <w:lang w:val="sr-Cyrl-RS"/>
        </w:rPr>
        <w:lastRenderedPageBreak/>
        <w:t xml:space="preserve">Административни капацитети </w:t>
      </w:r>
      <w:r w:rsidRPr="00EF2F18">
        <w:rPr>
          <w:rFonts w:cs="Times New Roman"/>
          <w:color w:val="000000" w:themeColor="text1"/>
          <w:sz w:val="22"/>
          <w:lang w:val="sr-Cyrl-RS"/>
        </w:rPr>
        <w:t>за спровођење прописа у области управљања хемикалијама и биоцидним производима нису адекватни исказаним потребама</w:t>
      </w:r>
      <w:r w:rsidR="005266E2" w:rsidRPr="00EF2F18">
        <w:rPr>
          <w:rFonts w:cs="Times New Roman"/>
          <w:color w:val="000000" w:themeColor="text1"/>
          <w:sz w:val="22"/>
          <w:lang w:val="sr-Cyrl-RS"/>
        </w:rPr>
        <w:t>.</w:t>
      </w:r>
      <w:r w:rsidR="005266E2" w:rsidRPr="00EF2F18">
        <w:rPr>
          <w:rStyle w:val="FootnoteReference"/>
          <w:rFonts w:cs="Times New Roman"/>
          <w:color w:val="000000" w:themeColor="text1"/>
          <w:sz w:val="22"/>
          <w:lang w:val="sr-Cyrl-RS"/>
        </w:rPr>
        <w:footnoteReference w:id="13"/>
      </w:r>
    </w:p>
    <w:p w14:paraId="0BC6ED9B" w14:textId="77777777" w:rsidR="00A42320" w:rsidRPr="00EF2F18" w:rsidRDefault="00A42320" w:rsidP="001C45D0">
      <w:pPr>
        <w:ind w:firstLine="720"/>
        <w:jc w:val="both"/>
        <w:rPr>
          <w:rFonts w:cs="Times New Roman"/>
          <w:bCs/>
          <w:sz w:val="22"/>
          <w:lang w:val="sr-Cyrl-RS"/>
        </w:rPr>
      </w:pPr>
    </w:p>
    <w:p w14:paraId="12BEE3E4" w14:textId="7D4E604D" w:rsidR="00A21DFE" w:rsidRPr="00EF2F18" w:rsidRDefault="00E711BE" w:rsidP="00F106C9">
      <w:pPr>
        <w:pStyle w:val="Heading3"/>
        <w:numPr>
          <w:ilvl w:val="2"/>
          <w:numId w:val="2"/>
        </w:numPr>
        <w:jc w:val="center"/>
        <w:rPr>
          <w:rFonts w:cs="Times New Roman"/>
          <w:sz w:val="22"/>
          <w:szCs w:val="22"/>
          <w:lang w:val="sr-Cyrl-RS"/>
        </w:rPr>
      </w:pPr>
      <w:bookmarkStart w:id="55" w:name="_Toc158307706"/>
      <w:r w:rsidRPr="00EF2F18">
        <w:rPr>
          <w:rFonts w:cs="Times New Roman"/>
          <w:sz w:val="22"/>
          <w:szCs w:val="22"/>
          <w:lang w:val="sr-Cyrl-RS"/>
        </w:rPr>
        <w:t>Б</w:t>
      </w:r>
      <w:r w:rsidR="00A21DFE" w:rsidRPr="00EF2F18">
        <w:rPr>
          <w:rFonts w:cs="Times New Roman"/>
          <w:sz w:val="22"/>
          <w:szCs w:val="22"/>
          <w:lang w:val="sr-Cyrl-RS"/>
        </w:rPr>
        <w:t>ук</w:t>
      </w:r>
      <w:r w:rsidRPr="00EF2F18">
        <w:rPr>
          <w:rFonts w:cs="Times New Roman"/>
          <w:sz w:val="22"/>
          <w:szCs w:val="22"/>
          <w:lang w:val="sr-Cyrl-RS"/>
        </w:rPr>
        <w:t>а</w:t>
      </w:r>
      <w:bookmarkEnd w:id="55"/>
      <w:r w:rsidR="004D2FE5" w:rsidRPr="00EF2F18">
        <w:rPr>
          <w:rFonts w:cs="Times New Roman"/>
          <w:sz w:val="22"/>
          <w:szCs w:val="22"/>
          <w:lang w:val="sr-Cyrl-RS"/>
        </w:rPr>
        <w:t xml:space="preserve"> и вибрације</w:t>
      </w:r>
    </w:p>
    <w:p w14:paraId="12CAFB62" w14:textId="3479A15C" w:rsidR="00E711BE" w:rsidRPr="00EF2F18" w:rsidRDefault="00E711BE" w:rsidP="00E711BE">
      <w:pPr>
        <w:spacing w:after="0"/>
        <w:ind w:firstLine="720"/>
        <w:jc w:val="both"/>
        <w:rPr>
          <w:rFonts w:cs="Times New Roman"/>
          <w:sz w:val="22"/>
          <w:lang w:val="sr-Cyrl-RS"/>
        </w:rPr>
      </w:pPr>
      <w:r w:rsidRPr="00EF2F18">
        <w:rPr>
          <w:rFonts w:cs="Times New Roman"/>
          <w:sz w:val="22"/>
          <w:lang w:val="sr-Cyrl-RS"/>
        </w:rPr>
        <w:t>Доминантни</w:t>
      </w:r>
      <w:r w:rsidR="005E5FF9" w:rsidRPr="00EF2F18">
        <w:rPr>
          <w:rFonts w:cs="Times New Roman"/>
          <w:sz w:val="22"/>
          <w:lang w:val="sr-Cyrl-RS"/>
        </w:rPr>
        <w:t xml:space="preserve"> </w:t>
      </w:r>
      <w:r w:rsidRPr="00EF2F18">
        <w:rPr>
          <w:rFonts w:cs="Times New Roman"/>
          <w:sz w:val="22"/>
          <w:lang w:val="sr-Cyrl-RS"/>
        </w:rPr>
        <w:t>извори буке у животној средини у Републици Србији су сви видови саобраћаја (друмски, железнички и ваздушни), индустријска постројења и</w:t>
      </w:r>
      <w:r w:rsidR="005E5FF9" w:rsidRPr="00EF2F18">
        <w:rPr>
          <w:rFonts w:cs="Times New Roman"/>
          <w:sz w:val="22"/>
          <w:lang w:val="sr-Cyrl-RS"/>
        </w:rPr>
        <w:t xml:space="preserve"> </w:t>
      </w:r>
      <w:r w:rsidRPr="00EF2F18">
        <w:rPr>
          <w:rFonts w:cs="Times New Roman"/>
          <w:sz w:val="22"/>
          <w:lang w:val="sr-Cyrl-RS"/>
        </w:rPr>
        <w:t>извори буке у урбаним срединама (угоститељски објекти, занатске радње и други извори).</w:t>
      </w:r>
    </w:p>
    <w:p w14:paraId="0081CFE7" w14:textId="3A3C9963" w:rsidR="00E86284" w:rsidRPr="00EF2F18" w:rsidRDefault="00E711BE" w:rsidP="00E711BE">
      <w:pPr>
        <w:spacing w:after="0"/>
        <w:ind w:firstLine="720"/>
        <w:jc w:val="both"/>
        <w:rPr>
          <w:rFonts w:cs="Times New Roman"/>
          <w:sz w:val="22"/>
          <w:lang w:val="sr-Cyrl-RS"/>
        </w:rPr>
      </w:pPr>
      <w:r w:rsidRPr="00EF2F18">
        <w:rPr>
          <w:rFonts w:cs="Times New Roman"/>
          <w:sz w:val="22"/>
          <w:lang w:val="sr-Cyrl-RS"/>
        </w:rPr>
        <w:t>Стратешке карте буке се израђују за општу процену изложености буци одређеног подручја од различитих извора буке или за предвиђање изложености буци на том подручју. У Републици Србији израђене су стратешке карте буке за град Ниш и</w:t>
      </w:r>
      <w:r w:rsidR="005E5FF9" w:rsidRPr="00EF2F18">
        <w:rPr>
          <w:rFonts w:cs="Times New Roman"/>
          <w:sz w:val="22"/>
          <w:lang w:val="sr-Cyrl-RS"/>
        </w:rPr>
        <w:t xml:space="preserve"> </w:t>
      </w:r>
      <w:r w:rsidRPr="00EF2F18">
        <w:rPr>
          <w:rFonts w:cs="Times New Roman"/>
          <w:sz w:val="22"/>
          <w:lang w:val="sr-Cyrl-RS"/>
        </w:rPr>
        <w:t>град Нови Сад</w:t>
      </w:r>
      <w:r w:rsidR="005E5FF9" w:rsidRPr="00EF2F18">
        <w:rPr>
          <w:rFonts w:cs="Times New Roman"/>
          <w:sz w:val="22"/>
          <w:lang w:val="sr-Cyrl-RS"/>
        </w:rPr>
        <w:t xml:space="preserve"> </w:t>
      </w:r>
      <w:r w:rsidRPr="00EF2F18">
        <w:rPr>
          <w:rFonts w:cs="Times New Roman"/>
          <w:sz w:val="22"/>
          <w:lang w:val="sr-Cyrl-RS"/>
        </w:rPr>
        <w:t xml:space="preserve">(агломерације са преко 100.000 становника), све главне путеве у </w:t>
      </w:r>
      <w:r w:rsidR="00990B31" w:rsidRPr="00EF2F18">
        <w:rPr>
          <w:rFonts w:cs="Times New Roman"/>
          <w:sz w:val="22"/>
          <w:lang w:val="sr-Cyrl-RS"/>
        </w:rPr>
        <w:t xml:space="preserve">Републици </w:t>
      </w:r>
      <w:r w:rsidRPr="00EF2F18">
        <w:rPr>
          <w:rFonts w:cs="Times New Roman"/>
          <w:sz w:val="22"/>
          <w:lang w:val="sr-Cyrl-RS"/>
        </w:rPr>
        <w:t xml:space="preserve">Србији (843 km), са просечним годишњим протоком саобраћаја већим од три милиона возила, главне железничке </w:t>
      </w:r>
      <w:r w:rsidR="00E22991" w:rsidRPr="00EF2F18">
        <w:rPr>
          <w:rFonts w:cs="Times New Roman"/>
          <w:sz w:val="22"/>
          <w:lang w:val="sr-Cyrl-RS"/>
        </w:rPr>
        <w:t>пруге са просечним годишњим саобраћајем већим од 30.000 возова (</w:t>
      </w:r>
      <w:r w:rsidR="00E22991" w:rsidRPr="00EF2F18">
        <w:rPr>
          <w:rFonts w:cs="Times New Roman"/>
          <w:sz w:val="22"/>
          <w:lang w:val="sr-Cyrl-RS" w:eastAsia="en-GB"/>
        </w:rPr>
        <w:t>пруга број 101: Београд</w:t>
      </w:r>
      <w:r w:rsidR="00A62666" w:rsidRPr="00EF2F18">
        <w:rPr>
          <w:rFonts w:cs="Times New Roman"/>
          <w:sz w:val="22"/>
          <w:lang w:val="sr-Cyrl-RS" w:eastAsia="en-GB"/>
        </w:rPr>
        <w:t xml:space="preserve"> Центар</w:t>
      </w:r>
      <w:r w:rsidR="00E22991" w:rsidRPr="00EF2F18">
        <w:rPr>
          <w:rFonts w:cs="Times New Roman"/>
          <w:sz w:val="22"/>
          <w:lang w:val="sr-Cyrl-RS" w:eastAsia="en-GB"/>
        </w:rPr>
        <w:t xml:space="preserve"> – </w:t>
      </w:r>
      <w:r w:rsidR="00A62666" w:rsidRPr="00EF2F18">
        <w:rPr>
          <w:rFonts w:cs="Times New Roman"/>
          <w:sz w:val="22"/>
          <w:lang w:val="sr-Cyrl-RS" w:eastAsia="en-GB"/>
        </w:rPr>
        <w:t>Батајница - Стара Пазова</w:t>
      </w:r>
      <w:r w:rsidR="00E22991" w:rsidRPr="00EF2F18">
        <w:rPr>
          <w:rFonts w:cs="Times New Roman"/>
          <w:sz w:val="22"/>
          <w:lang w:val="sr-Cyrl-RS" w:eastAsia="en-GB"/>
        </w:rPr>
        <w:t>, укупне дужине</w:t>
      </w:r>
      <w:r w:rsidR="00A62666" w:rsidRPr="00EF2F18">
        <w:rPr>
          <w:rFonts w:cs="Times New Roman"/>
          <w:sz w:val="22"/>
          <w:lang w:val="sr-Cyrl-RS" w:eastAsia="en-GB"/>
        </w:rPr>
        <w:t xml:space="preserve"> 36,406</w:t>
      </w:r>
      <w:r w:rsidR="00E22991" w:rsidRPr="00EF2F18">
        <w:rPr>
          <w:rFonts w:cs="Times New Roman"/>
          <w:sz w:val="22"/>
          <w:lang w:val="sr-Cyrl-RS" w:eastAsia="en-GB"/>
        </w:rPr>
        <w:t xml:space="preserve"> km;</w:t>
      </w:r>
      <w:r w:rsidR="00A62666" w:rsidRPr="00EF2F18">
        <w:rPr>
          <w:rFonts w:cs="Times New Roman"/>
          <w:sz w:val="22"/>
          <w:lang w:val="sr-Cyrl-RS" w:eastAsia="en-GB"/>
        </w:rPr>
        <w:t xml:space="preserve"> пруга број 105 Стара Пазова -Нови Сад укупне дужине 41,205 km, </w:t>
      </w:r>
      <w:r w:rsidR="00E22991" w:rsidRPr="00EF2F18">
        <w:rPr>
          <w:rFonts w:cs="Times New Roman"/>
          <w:sz w:val="22"/>
          <w:lang w:val="sr-Cyrl-RS" w:eastAsia="en-GB"/>
        </w:rPr>
        <w:t>пруга број 106: Београд Центар – Панчево – Вршац – Државна граница (Стамора Моравита), укупне дужине 12 km;</w:t>
      </w:r>
      <w:r w:rsidR="00A62666" w:rsidRPr="00EF2F18">
        <w:rPr>
          <w:rFonts w:cs="Times New Roman"/>
          <w:sz w:val="22"/>
          <w:lang w:val="sr-Cyrl-RS" w:eastAsia="en-GB"/>
        </w:rPr>
        <w:t xml:space="preserve"> пруга број 107 Београд Центар – Панчево главна -Вршац </w:t>
      </w:r>
      <w:r w:rsidR="00FF6F3F" w:rsidRPr="00EF2F18">
        <w:rPr>
          <w:rFonts w:cs="Times New Roman"/>
          <w:sz w:val="22"/>
          <w:lang w:val="sr-Cyrl-RS" w:eastAsia="en-GB"/>
        </w:rPr>
        <w:t>–</w:t>
      </w:r>
      <w:r w:rsidR="00A62666" w:rsidRPr="00EF2F18">
        <w:rPr>
          <w:rFonts w:cs="Times New Roman"/>
          <w:sz w:val="22"/>
          <w:lang w:val="sr-Cyrl-RS" w:eastAsia="en-GB"/>
        </w:rPr>
        <w:t xml:space="preserve"> </w:t>
      </w:r>
      <w:r w:rsidR="00FF6F3F" w:rsidRPr="00EF2F18">
        <w:rPr>
          <w:rFonts w:cs="Times New Roman"/>
          <w:sz w:val="22"/>
          <w:lang w:val="sr-Cyrl-RS" w:eastAsia="en-GB"/>
        </w:rPr>
        <w:t xml:space="preserve">државна граница ( Стамора Моравица ) укупне дужине 12, 535 km </w:t>
      </w:r>
      <w:r w:rsidR="00E22991" w:rsidRPr="00EF2F18">
        <w:rPr>
          <w:rFonts w:cs="Times New Roman"/>
          <w:sz w:val="22"/>
          <w:lang w:val="sr-Cyrl-RS" w:eastAsia="en-GB"/>
        </w:rPr>
        <w:t xml:space="preserve"> пруга број 110: Београд Центар - Нови Београд, укупне дужине 3 km). </w:t>
      </w:r>
      <w:r w:rsidR="003F5A28" w:rsidRPr="00EF2F18">
        <w:rPr>
          <w:rFonts w:cs="Times New Roman"/>
          <w:sz w:val="22"/>
          <w:lang w:val="sr-Cyrl-RS"/>
        </w:rPr>
        <w:t xml:space="preserve">Израђене </w:t>
      </w:r>
      <w:r w:rsidR="00E22991" w:rsidRPr="00EF2F18">
        <w:rPr>
          <w:rFonts w:cs="Times New Roman"/>
          <w:sz w:val="22"/>
          <w:lang w:val="sr-Cyrl-RS"/>
        </w:rPr>
        <w:t xml:space="preserve">су стратешке карте буке за </w:t>
      </w:r>
      <w:r w:rsidR="00AA1B90" w:rsidRPr="00EF2F18">
        <w:rPr>
          <w:rFonts w:cs="Times New Roman"/>
          <w:sz w:val="22"/>
          <w:lang w:val="sr-Cyrl-RS"/>
        </w:rPr>
        <w:t>Аеродром Никола Тесла – Београд</w:t>
      </w:r>
      <w:r w:rsidR="00E22991" w:rsidRPr="00EF2F18">
        <w:rPr>
          <w:rFonts w:cs="Times New Roman"/>
          <w:sz w:val="22"/>
          <w:lang w:val="sr-Cyrl-RS"/>
        </w:rPr>
        <w:t xml:space="preserve">, док </w:t>
      </w:r>
      <w:r w:rsidR="004501E8" w:rsidRPr="00EF2F18">
        <w:rPr>
          <w:rFonts w:cs="Times New Roman"/>
          <w:sz w:val="22"/>
          <w:lang w:val="sr-Cyrl-RS"/>
        </w:rPr>
        <w:t xml:space="preserve">су </w:t>
      </w:r>
      <w:r w:rsidR="00E22991" w:rsidRPr="00EF2F18">
        <w:rPr>
          <w:rFonts w:cs="Times New Roman"/>
          <w:sz w:val="22"/>
          <w:lang w:val="sr-Cyrl-RS"/>
        </w:rPr>
        <w:t>за град Београд</w:t>
      </w:r>
      <w:r w:rsidR="00AA55B1" w:rsidRPr="00EF2F18">
        <w:rPr>
          <w:rFonts w:cs="Times New Roman"/>
          <w:sz w:val="22"/>
          <w:lang w:val="sr-Cyrl-RS"/>
        </w:rPr>
        <w:t xml:space="preserve"> </w:t>
      </w:r>
      <w:r w:rsidR="004501E8" w:rsidRPr="00EF2F18">
        <w:rPr>
          <w:rFonts w:cs="Times New Roman"/>
          <w:sz w:val="22"/>
          <w:lang w:val="sr-Cyrl-RS"/>
        </w:rPr>
        <w:t>у изради, а за</w:t>
      </w:r>
      <w:r w:rsidR="00E22991" w:rsidRPr="00EF2F18">
        <w:rPr>
          <w:rFonts w:cs="Times New Roman"/>
          <w:sz w:val="22"/>
          <w:lang w:val="sr-Cyrl-RS"/>
        </w:rPr>
        <w:t xml:space="preserve"> Крагујевац стратешке карте буке још увек нису израђене. </w:t>
      </w:r>
      <w:r w:rsidR="00CA7B84" w:rsidRPr="00EF2F18">
        <w:rPr>
          <w:rFonts w:cs="Times New Roman"/>
          <w:sz w:val="22"/>
          <w:lang w:val="sr-Cyrl-RS"/>
        </w:rPr>
        <w:t xml:space="preserve">Стратешке карте буке користе се као основа за израду акционих планова од буке и као средство за обавештавање јавности о нивоу буке у животној средини и њеним штетним ефектима. </w:t>
      </w:r>
      <w:r w:rsidR="00E22991" w:rsidRPr="00EF2F18">
        <w:rPr>
          <w:rFonts w:cs="Times New Roman"/>
          <w:sz w:val="22"/>
          <w:lang w:val="sr-Cyrl-RS"/>
        </w:rPr>
        <w:t xml:space="preserve">Акциони планови за заштиту од буке </w:t>
      </w:r>
      <w:r w:rsidR="00CA7B84" w:rsidRPr="00EF2F18">
        <w:rPr>
          <w:rFonts w:cs="Times New Roman"/>
          <w:sz w:val="22"/>
          <w:lang w:val="sr-Cyrl-RS"/>
        </w:rPr>
        <w:t xml:space="preserve">у животној средини израђују се за сва подручја за која се израђују стратешке карте буке, прегледају се и ако је потребно ревидирају, најмање сваких пет година од дана њиховог усвајања. У Републици Србији урађени су акциони планови </w:t>
      </w:r>
      <w:r w:rsidR="00E22991" w:rsidRPr="00EF2F18">
        <w:rPr>
          <w:rFonts w:cs="Times New Roman"/>
          <w:sz w:val="22"/>
          <w:lang w:val="sr-Cyrl-RS"/>
        </w:rPr>
        <w:t>за државне путеве I и II реда.</w:t>
      </w:r>
    </w:p>
    <w:p w14:paraId="587CE5F0" w14:textId="768CEA20" w:rsidR="00F00EDB" w:rsidRPr="00EF2F18" w:rsidRDefault="00E22991" w:rsidP="00F00EDB">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Закон о заштити од буке у животној средини </w:t>
      </w:r>
      <w:r w:rsidR="00716AA9" w:rsidRPr="00EF2F18">
        <w:rPr>
          <w:rFonts w:cs="Times New Roman"/>
          <w:sz w:val="22"/>
          <w:lang w:val="sr-Cyrl-RS"/>
        </w:rPr>
        <w:t xml:space="preserve">(„Службени гласник РС”, број 96/21) </w:t>
      </w:r>
      <w:r w:rsidRPr="00EF2F18">
        <w:rPr>
          <w:rFonts w:cs="Times New Roman"/>
          <w:sz w:val="22"/>
          <w:lang w:val="sr-Cyrl-RS"/>
        </w:rPr>
        <w:t xml:space="preserve">усвојен је 2021. године и њиме је </w:t>
      </w:r>
      <w:r w:rsidR="00AA1B90" w:rsidRPr="00EF2F18">
        <w:rPr>
          <w:rFonts w:cs="Times New Roman"/>
          <w:sz w:val="22"/>
          <w:lang w:val="sr-Cyrl-RS"/>
        </w:rPr>
        <w:t>обезбеђена висока усклађеност ове области са Директивом 2002/49/EC</w:t>
      </w:r>
      <w:r w:rsidR="00C07491" w:rsidRPr="00EF2F18">
        <w:rPr>
          <w:rFonts w:cs="Times New Roman"/>
          <w:sz w:val="22"/>
          <w:lang w:val="sr-Cyrl-RS"/>
        </w:rPr>
        <w:t xml:space="preserve"> о процени и управљању буком у животној средини</w:t>
      </w:r>
      <w:r w:rsidR="00AA1B90" w:rsidRPr="00EF2F18">
        <w:rPr>
          <w:rFonts w:cs="Times New Roman"/>
          <w:sz w:val="22"/>
          <w:lang w:val="sr-Cyrl-RS"/>
        </w:rPr>
        <w:t xml:space="preserve"> и Директивом (ЕУ) 2015/996</w:t>
      </w:r>
      <w:r w:rsidR="00C07491" w:rsidRPr="00EF2F18">
        <w:rPr>
          <w:rFonts w:cs="Times New Roman"/>
          <w:sz w:val="22"/>
          <w:lang w:val="sr-Cyrl-RS"/>
        </w:rPr>
        <w:t xml:space="preserve"> о успостављању заједничких метода оцене буке у складу са Директивом 2002/49/ЕЗ,</w:t>
      </w:r>
      <w:r w:rsidR="004F3155">
        <w:rPr>
          <w:rFonts w:cs="Times New Roman"/>
          <w:sz w:val="22"/>
          <w:lang w:val="sr-Cyrl-RS"/>
        </w:rPr>
        <w:t xml:space="preserve"> а пот</w:t>
      </w:r>
      <w:r w:rsidR="00AA1B90" w:rsidRPr="00EF2F18">
        <w:rPr>
          <w:rFonts w:cs="Times New Roman"/>
          <w:sz w:val="22"/>
          <w:lang w:val="sr-Cyrl-RS"/>
        </w:rPr>
        <w:t>п</w:t>
      </w:r>
      <w:r w:rsidR="004F3155">
        <w:rPr>
          <w:rFonts w:cs="Times New Roman"/>
          <w:sz w:val="22"/>
          <w:lang w:val="sr-Cyrl-RS"/>
        </w:rPr>
        <w:t>у</w:t>
      </w:r>
      <w:r w:rsidR="00AA1B90" w:rsidRPr="00EF2F18">
        <w:rPr>
          <w:rFonts w:cs="Times New Roman"/>
          <w:sz w:val="22"/>
          <w:lang w:val="sr-Cyrl-RS"/>
        </w:rPr>
        <w:t>на транспозиција ће се постићи доношењем релевантних подзаконских аката. Закон је про</w:t>
      </w:r>
      <w:r w:rsidR="00AB37C1" w:rsidRPr="00EF2F18">
        <w:rPr>
          <w:rFonts w:cs="Times New Roman"/>
          <w:sz w:val="22"/>
          <w:lang w:val="sr-Cyrl-RS"/>
        </w:rPr>
        <w:t>п</w:t>
      </w:r>
      <w:r w:rsidR="00AA1B90" w:rsidRPr="00EF2F18">
        <w:rPr>
          <w:rFonts w:cs="Times New Roman"/>
          <w:sz w:val="22"/>
          <w:lang w:val="sr-Cyrl-RS"/>
        </w:rPr>
        <w:t xml:space="preserve">исао и </w:t>
      </w:r>
      <w:r w:rsidRPr="00EF2F18">
        <w:rPr>
          <w:rFonts w:cs="Times New Roman"/>
          <w:sz w:val="22"/>
          <w:lang w:val="sr-Cyrl-RS"/>
        </w:rPr>
        <w:t xml:space="preserve">исте рокове за израду стратешких карата буке и акционих планова као у Директиви 2002/49/EC. Спровођење је и даље у раној фази и још увек недостају административни капацитети за припрему карата буке и акционих планова, као и за спровођење правних прописа који се односе на заштиту од буке. </w:t>
      </w:r>
      <w:r w:rsidR="000D0989" w:rsidRPr="00EF2F18">
        <w:rPr>
          <w:rFonts w:cs="Times New Roman"/>
          <w:sz w:val="22"/>
          <w:lang w:val="sr-Cyrl-RS"/>
        </w:rPr>
        <w:t>З</w:t>
      </w:r>
      <w:r w:rsidR="001C45D0" w:rsidRPr="00EF2F18">
        <w:rPr>
          <w:rFonts w:cs="Times New Roman"/>
          <w:sz w:val="22"/>
          <w:lang w:val="sr-Cyrl-RS"/>
        </w:rPr>
        <w:t xml:space="preserve">аконом из 2021. године прописано </w:t>
      </w:r>
      <w:r w:rsidR="00716AA9" w:rsidRPr="00EF2F18">
        <w:rPr>
          <w:rFonts w:cs="Times New Roman"/>
          <w:sz w:val="22"/>
          <w:lang w:val="sr-Cyrl-RS"/>
        </w:rPr>
        <w:t xml:space="preserve">је </w:t>
      </w:r>
      <w:r w:rsidR="001C45D0" w:rsidRPr="00EF2F18">
        <w:rPr>
          <w:rFonts w:cs="Times New Roman"/>
          <w:sz w:val="22"/>
          <w:lang w:val="sr-Cyrl-RS"/>
        </w:rPr>
        <w:t xml:space="preserve">да стратешке карте буке за агломерације израђује јединица локалне самоуправе у сарадњи са другим субјектима заштите животне средине, а да стратешке </w:t>
      </w:r>
      <w:r w:rsidR="00716AA9" w:rsidRPr="00EF2F18">
        <w:rPr>
          <w:rFonts w:cs="Times New Roman"/>
          <w:sz w:val="22"/>
          <w:lang w:val="sr-Cyrl-RS"/>
        </w:rPr>
        <w:t xml:space="preserve">карте </w:t>
      </w:r>
      <w:r w:rsidR="001C45D0" w:rsidRPr="00EF2F18">
        <w:rPr>
          <w:rFonts w:cs="Times New Roman"/>
          <w:sz w:val="22"/>
          <w:lang w:val="sr-Cyrl-RS"/>
        </w:rPr>
        <w:t>буке за главне путеве, главне</w:t>
      </w:r>
      <w:r w:rsidR="00AA1B90" w:rsidRPr="00EF2F18">
        <w:rPr>
          <w:rFonts w:cs="Times New Roman"/>
          <w:sz w:val="22"/>
          <w:lang w:val="sr-Cyrl-RS"/>
        </w:rPr>
        <w:t xml:space="preserve"> железничке</w:t>
      </w:r>
      <w:r w:rsidR="001C45D0" w:rsidRPr="00EF2F18">
        <w:rPr>
          <w:rFonts w:cs="Times New Roman"/>
          <w:sz w:val="22"/>
          <w:lang w:val="sr-Cyrl-RS"/>
        </w:rPr>
        <w:t xml:space="preserve"> пруге и главне аеродроме на територији Републике Србије израђују правна лица која су власници и концесионари главних путева, главних</w:t>
      </w:r>
      <w:r w:rsidR="00AA1B90" w:rsidRPr="00EF2F18">
        <w:rPr>
          <w:rFonts w:cs="Times New Roman"/>
          <w:sz w:val="22"/>
          <w:lang w:val="sr-Cyrl-RS"/>
        </w:rPr>
        <w:t xml:space="preserve"> железничких</w:t>
      </w:r>
      <w:r w:rsidR="001C45D0" w:rsidRPr="00EF2F18">
        <w:rPr>
          <w:rFonts w:cs="Times New Roman"/>
          <w:sz w:val="22"/>
          <w:lang w:val="sr-Cyrl-RS"/>
        </w:rPr>
        <w:t xml:space="preserve"> пруга и главних аеродрома. </w:t>
      </w:r>
    </w:p>
    <w:p w14:paraId="1B0B6DD4" w14:textId="40433EED" w:rsidR="00F00EDB" w:rsidRPr="00EF2F18" w:rsidRDefault="00AA1B90" w:rsidP="00F00EDB">
      <w:pPr>
        <w:autoSpaceDE w:val="0"/>
        <w:autoSpaceDN w:val="0"/>
        <w:adjustRightInd w:val="0"/>
        <w:spacing w:after="0"/>
        <w:ind w:firstLine="720"/>
        <w:jc w:val="both"/>
        <w:rPr>
          <w:rFonts w:cs="Times New Roman"/>
          <w:sz w:val="22"/>
          <w:lang w:val="sr-Cyrl-RS"/>
        </w:rPr>
      </w:pPr>
      <w:r w:rsidRPr="00EF2F18">
        <w:rPr>
          <w:rFonts w:cs="Times New Roman"/>
          <w:sz w:val="22"/>
          <w:lang w:val="sr-Cyrl-RS"/>
        </w:rPr>
        <w:t>М</w:t>
      </w:r>
      <w:r w:rsidR="00F00EDB" w:rsidRPr="00EF2F18">
        <w:rPr>
          <w:rFonts w:cs="Times New Roman"/>
          <w:sz w:val="22"/>
          <w:lang w:val="sr-Cyrl-RS"/>
        </w:rPr>
        <w:t xml:space="preserve">ониторинг буке у животној средини у градовима реализује се на одређеном броју мерних места по програмима усклађеним са потребама и могућностима локалних самоуправа. </w:t>
      </w:r>
      <w:r w:rsidR="002C15CC" w:rsidRPr="00EF2F18">
        <w:rPr>
          <w:rFonts w:cs="Times New Roman"/>
          <w:sz w:val="22"/>
          <w:lang w:val="sr-Cyrl-RS"/>
        </w:rPr>
        <w:t xml:space="preserve">У циљу утврђивања стања буке, за процену и предвиђање стања буке, израду стратешких карата буке и планирања мера заштите, користе се индикатори буке. </w:t>
      </w:r>
      <w:r w:rsidR="00F00EDB" w:rsidRPr="00EF2F18">
        <w:rPr>
          <w:rFonts w:cs="Times New Roman"/>
          <w:sz w:val="22"/>
          <w:lang w:val="sr-Cyrl-RS"/>
        </w:rPr>
        <w:t xml:space="preserve">Граничне вредности индикатора буке прописане су Уредбом о индикаторима буке, граничним вредностима, методама за оцењивање индикатора буке, узнемиравања и штетних ефеката буке у животној средини („Службени гласник РС”, број 75/10). </w:t>
      </w:r>
      <w:r w:rsidR="002C15CC" w:rsidRPr="00EF2F18">
        <w:rPr>
          <w:rFonts w:cs="Times New Roman"/>
          <w:sz w:val="22"/>
          <w:lang w:val="sr-Cyrl-RS"/>
        </w:rPr>
        <w:t>У зависности од захтева, извештаји о резултатима мониторинга се израђују периодично – и месечно и годишње, само на годишњем нивоу или у било ком другом периоду одр</w:t>
      </w:r>
      <w:r w:rsidR="00765A5E">
        <w:rPr>
          <w:rFonts w:cs="Times New Roman"/>
          <w:sz w:val="22"/>
          <w:lang w:val="sr-Cyrl-RS"/>
        </w:rPr>
        <w:t>е</w:t>
      </w:r>
      <w:r w:rsidR="002C15CC" w:rsidRPr="00EF2F18">
        <w:rPr>
          <w:rFonts w:cs="Times New Roman"/>
          <w:sz w:val="22"/>
          <w:lang w:val="sr-Cyrl-RS"/>
        </w:rPr>
        <w:t>ђеном програмом мониторинга.</w:t>
      </w:r>
      <w:r w:rsidR="002C15CC" w:rsidRPr="00EF2F18">
        <w:rPr>
          <w:sz w:val="22"/>
          <w:lang w:val="sr-Cyrl-RS"/>
        </w:rPr>
        <w:t xml:space="preserve"> </w:t>
      </w:r>
      <w:r w:rsidRPr="00EF2F18">
        <w:rPr>
          <w:sz w:val="22"/>
          <w:lang w:val="sr-Cyrl-RS"/>
        </w:rPr>
        <w:t xml:space="preserve">Правилником о националној листи индикатора заштите животне средине </w:t>
      </w:r>
      <w:r w:rsidR="00AB37C1" w:rsidRPr="00EF2F18">
        <w:rPr>
          <w:sz w:val="22"/>
          <w:lang w:val="sr-Cyrl-RS"/>
        </w:rPr>
        <w:t>(„</w:t>
      </w:r>
      <w:r w:rsidRPr="00EF2F18">
        <w:rPr>
          <w:sz w:val="22"/>
          <w:lang w:val="sr-Cyrl-RS"/>
        </w:rPr>
        <w:t xml:space="preserve">Службени </w:t>
      </w:r>
      <w:r w:rsidR="002C15CC" w:rsidRPr="00EF2F18">
        <w:rPr>
          <w:sz w:val="22"/>
          <w:lang w:val="sr-Cyrl-RS"/>
        </w:rPr>
        <w:t>г</w:t>
      </w:r>
      <w:r w:rsidRPr="00EF2F18">
        <w:rPr>
          <w:sz w:val="22"/>
          <w:lang w:val="sr-Cyrl-RS"/>
        </w:rPr>
        <w:t>ласник</w:t>
      </w:r>
      <w:r w:rsidR="002C15CC" w:rsidRPr="00EF2F18">
        <w:rPr>
          <w:sz w:val="22"/>
          <w:lang w:val="sr-Cyrl-RS"/>
        </w:rPr>
        <w:t xml:space="preserve"> РС</w:t>
      </w:r>
      <w:r w:rsidR="00AB37C1" w:rsidRPr="00EF2F18">
        <w:rPr>
          <w:sz w:val="22"/>
          <w:lang w:val="sr-Cyrl-RS"/>
        </w:rPr>
        <w:t xml:space="preserve">”, </w:t>
      </w:r>
      <w:r w:rsidR="002C15CC" w:rsidRPr="00EF2F18">
        <w:rPr>
          <w:sz w:val="22"/>
          <w:lang w:val="sr-Cyrl-RS"/>
        </w:rPr>
        <w:t>бро</w:t>
      </w:r>
      <w:r w:rsidRPr="00EF2F18">
        <w:rPr>
          <w:sz w:val="22"/>
          <w:lang w:val="sr-Cyrl-RS"/>
        </w:rPr>
        <w:t xml:space="preserve">ј 37/11) дефинисана су два индикатора буке која се прате и то: </w:t>
      </w:r>
      <w:r w:rsidRPr="00EF2F18">
        <w:rPr>
          <w:bCs/>
          <w:sz w:val="22"/>
          <w:lang w:val="sr-Cyrl-RS"/>
        </w:rPr>
        <w:t>Укупни индикатор буке</w:t>
      </w:r>
      <w:r w:rsidRPr="00EF2F18">
        <w:rPr>
          <w:sz w:val="22"/>
          <w:lang w:val="sr-Cyrl-RS"/>
        </w:rPr>
        <w:t xml:space="preserve"> </w:t>
      </w:r>
      <w:r w:rsidRPr="00EF2F18">
        <w:rPr>
          <w:bCs/>
          <w:i/>
          <w:iCs/>
          <w:sz w:val="22"/>
          <w:lang w:val="sr-Cyrl-RS"/>
        </w:rPr>
        <w:t>L</w:t>
      </w:r>
      <w:r w:rsidRPr="00EF2F18">
        <w:rPr>
          <w:bCs/>
          <w:i/>
          <w:iCs/>
          <w:sz w:val="22"/>
          <w:vertAlign w:val="subscript"/>
          <w:lang w:val="sr-Cyrl-RS"/>
        </w:rPr>
        <w:t xml:space="preserve">den </w:t>
      </w:r>
      <w:r w:rsidRPr="00EF2F18">
        <w:rPr>
          <w:sz w:val="22"/>
          <w:lang w:val="sr-Cyrl-RS"/>
        </w:rPr>
        <w:t>(индикатор који описује ометање буком у временском периоду од 24 часа, за дан-вече-ноћ</w:t>
      </w:r>
      <w:r w:rsidRPr="00EF2F18">
        <w:rPr>
          <w:i/>
          <w:iCs/>
          <w:sz w:val="22"/>
          <w:lang w:val="sr-Cyrl-RS"/>
        </w:rPr>
        <w:t xml:space="preserve">) </w:t>
      </w:r>
      <w:r w:rsidRPr="00EF2F18">
        <w:rPr>
          <w:iCs/>
          <w:sz w:val="22"/>
          <w:lang w:val="sr-Cyrl-RS"/>
        </w:rPr>
        <w:t xml:space="preserve">и </w:t>
      </w:r>
      <w:r w:rsidRPr="00EF2F18">
        <w:rPr>
          <w:bCs/>
          <w:sz w:val="22"/>
          <w:lang w:val="sr-Cyrl-RS"/>
        </w:rPr>
        <w:t>Индикатор ноћне буке</w:t>
      </w:r>
      <w:r w:rsidRPr="00EF2F18">
        <w:rPr>
          <w:sz w:val="22"/>
          <w:lang w:val="sr-Cyrl-RS"/>
        </w:rPr>
        <w:t xml:space="preserve"> </w:t>
      </w:r>
      <w:r w:rsidRPr="00EF2F18">
        <w:rPr>
          <w:bCs/>
          <w:i/>
          <w:iCs/>
          <w:sz w:val="22"/>
          <w:lang w:val="sr-Cyrl-RS"/>
        </w:rPr>
        <w:t>L</w:t>
      </w:r>
      <w:r w:rsidRPr="00EF2F18">
        <w:rPr>
          <w:bCs/>
          <w:i/>
          <w:iCs/>
          <w:sz w:val="22"/>
          <w:vertAlign w:val="subscript"/>
          <w:lang w:val="sr-Cyrl-RS"/>
        </w:rPr>
        <w:t>night</w:t>
      </w:r>
      <w:r w:rsidRPr="00EF2F18">
        <w:rPr>
          <w:b/>
          <w:bCs/>
          <w:i/>
          <w:iCs/>
          <w:sz w:val="22"/>
          <w:vertAlign w:val="subscript"/>
          <w:lang w:val="sr-Cyrl-RS"/>
        </w:rPr>
        <w:t xml:space="preserve"> </w:t>
      </w:r>
      <w:r w:rsidRPr="00EF2F18">
        <w:rPr>
          <w:sz w:val="22"/>
          <w:lang w:val="sr-Cyrl-RS"/>
        </w:rPr>
        <w:t>(индикатор који описује ометање буком у току ноћи, период од 22</w:t>
      </w:r>
      <w:r w:rsidR="00AD01BE">
        <w:rPr>
          <w:sz w:val="22"/>
          <w:lang w:val="sr-Cyrl-RS"/>
        </w:rPr>
        <w:t>,00</w:t>
      </w:r>
      <w:r w:rsidRPr="00EF2F18">
        <w:rPr>
          <w:sz w:val="22"/>
          <w:lang w:val="sr-Cyrl-RS"/>
        </w:rPr>
        <w:t xml:space="preserve"> до 6</w:t>
      </w:r>
      <w:r w:rsidR="00AD01BE">
        <w:rPr>
          <w:sz w:val="22"/>
          <w:lang w:val="sr-Cyrl-RS"/>
        </w:rPr>
        <w:t>,00</w:t>
      </w:r>
      <w:r w:rsidRPr="00EF2F18">
        <w:rPr>
          <w:sz w:val="22"/>
          <w:lang w:val="sr-Cyrl-RS"/>
        </w:rPr>
        <w:t xml:space="preserve"> часова</w:t>
      </w:r>
      <w:r w:rsidRPr="00AD01BE">
        <w:rPr>
          <w:iCs/>
          <w:sz w:val="22"/>
          <w:lang w:val="sr-Cyrl-RS"/>
        </w:rPr>
        <w:t>)</w:t>
      </w:r>
      <w:r w:rsidR="00F00EDB" w:rsidRPr="00EF2F18">
        <w:rPr>
          <w:rFonts w:cs="Times New Roman"/>
          <w:sz w:val="22"/>
          <w:lang w:val="sr-Cyrl-RS"/>
        </w:rPr>
        <w:t xml:space="preserve">. </w:t>
      </w:r>
    </w:p>
    <w:p w14:paraId="389856FD" w14:textId="729DCDDB" w:rsidR="002C15CC" w:rsidRPr="00EF2F18" w:rsidRDefault="002C15CC" w:rsidP="00F00EDB">
      <w:pPr>
        <w:autoSpaceDE w:val="0"/>
        <w:autoSpaceDN w:val="0"/>
        <w:adjustRightInd w:val="0"/>
        <w:spacing w:after="0"/>
        <w:ind w:firstLine="720"/>
        <w:jc w:val="both"/>
        <w:rPr>
          <w:rFonts w:cs="Times New Roman"/>
          <w:sz w:val="22"/>
          <w:lang w:val="sr-Cyrl-RS"/>
        </w:rPr>
      </w:pPr>
      <w:r w:rsidRPr="00EF2F18">
        <w:rPr>
          <w:rFonts w:cs="Times New Roman"/>
          <w:sz w:val="22"/>
          <w:lang w:val="sr-Cyrl-RS"/>
        </w:rPr>
        <w:lastRenderedPageBreak/>
        <w:t>За 2020. годину анализирани су резултат</w:t>
      </w:r>
      <w:r w:rsidR="00765A5E">
        <w:rPr>
          <w:rFonts w:cs="Times New Roman"/>
          <w:sz w:val="22"/>
          <w:lang w:val="sr-Cyrl-RS"/>
        </w:rPr>
        <w:t>и мо</w:t>
      </w:r>
      <w:r w:rsidRPr="00EF2F18">
        <w:rPr>
          <w:rFonts w:cs="Times New Roman"/>
          <w:sz w:val="22"/>
          <w:lang w:val="sr-Cyrl-RS"/>
        </w:rPr>
        <w:t>ниторинга буке из 16 јединица локалних самоуправа. Након анализе података, закључено је да се највећи проценат индикатора укупне буке L</w:t>
      </w:r>
      <w:r w:rsidRPr="00EF2F18">
        <w:rPr>
          <w:rFonts w:cs="Times New Roman"/>
          <w:i/>
          <w:iCs/>
          <w:sz w:val="22"/>
          <w:vertAlign w:val="subscript"/>
          <w:lang w:val="sr-Cyrl-RS"/>
        </w:rPr>
        <w:t>den</w:t>
      </w:r>
      <w:r w:rsidRPr="00EF2F18">
        <w:rPr>
          <w:rFonts w:cs="Times New Roman"/>
          <w:sz w:val="22"/>
          <w:lang w:val="sr-Cyrl-RS"/>
        </w:rPr>
        <w:t xml:space="preserve"> налази у опсегу 60-64 dB, док се највећи проценат индикатора ноћне буке L</w:t>
      </w:r>
      <w:r w:rsidRPr="00EF2F18">
        <w:rPr>
          <w:rFonts w:cs="Times New Roman"/>
          <w:i/>
          <w:iCs/>
          <w:sz w:val="22"/>
          <w:vertAlign w:val="subscript"/>
          <w:lang w:val="sr-Cyrl-RS"/>
        </w:rPr>
        <w:t>night</w:t>
      </w:r>
      <w:r w:rsidRPr="00EF2F18">
        <w:rPr>
          <w:rFonts w:cs="Times New Roman"/>
          <w:sz w:val="22"/>
          <w:lang w:val="sr-Cyrl-RS"/>
        </w:rPr>
        <w:t xml:space="preserve"> налази у опсегу 51-55 dB као и у 55-60 dB, проценат преласка 70 dB занемарљив. Уколико се посматрају 4 агломерације (50 мерних места), независно од других урбаних средина на територији Републике Србије где се врши мониторинг закључује се да се највећи проценат индикатора укупне буке L</w:t>
      </w:r>
      <w:r w:rsidRPr="00EF2F18">
        <w:rPr>
          <w:rFonts w:cs="Times New Roman"/>
          <w:i/>
          <w:iCs/>
          <w:sz w:val="22"/>
          <w:vertAlign w:val="subscript"/>
          <w:lang w:val="sr-Cyrl-RS"/>
        </w:rPr>
        <w:t>den</w:t>
      </w:r>
      <w:r w:rsidRPr="00EF2F18">
        <w:rPr>
          <w:rFonts w:cs="Times New Roman"/>
          <w:sz w:val="22"/>
          <w:lang w:val="sr-Cyrl-RS"/>
        </w:rPr>
        <w:t xml:space="preserve"> налази у опсегу 60-64 dB, док се највећи проценат индикатора ноћне буке L</w:t>
      </w:r>
      <w:r w:rsidRPr="00EF2F18">
        <w:rPr>
          <w:rFonts w:cs="Times New Roman"/>
          <w:i/>
          <w:iCs/>
          <w:sz w:val="22"/>
          <w:vertAlign w:val="subscript"/>
          <w:lang w:val="sr-Cyrl-RS"/>
        </w:rPr>
        <w:t>night</w:t>
      </w:r>
      <w:r w:rsidRPr="00EF2F18">
        <w:rPr>
          <w:rFonts w:cs="Times New Roman"/>
          <w:sz w:val="22"/>
          <w:lang w:val="sr-Cyrl-RS"/>
        </w:rPr>
        <w:t xml:space="preserve"> налази у опсегу 56-60 dB, проценат преласка 70 dB је и овде занемарљив.</w:t>
      </w:r>
    </w:p>
    <w:p w14:paraId="365DA1AC" w14:textId="5FA7B880" w:rsidR="004D2FE5" w:rsidRPr="00EF2F18" w:rsidRDefault="004D2FE5" w:rsidP="004D2FE5">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Заштита од вибрација је у законодавству Републике Србије дефинисана само за радну средину. Вибрације у животној средини представљају механичке осцилације које се преносе кроз чврсте материјале као што су земља, вода или конструкције. Оне могу бити природног порекла, као што су земљотреси или активности ветра, али и антропогене, као резултат људских активности као што су саобраћај, индустријска производња, грађевински радови или рад машинерије. Вибрације могу изазвати оштећења на зградама и инфраструктури, као и повећати буку, што има негативне последице на људско здравље. Дугорочно излагање вибрацијама може довести до стреса, поремећаја спавања и других здравствених проблема. Поред тога, вибрације могу оштетити природну флору и фауну, нарушавајући станишта дивљих животиња и утичући на њихову способност за опстанак. </w:t>
      </w:r>
      <w:r w:rsidR="00A535D4" w:rsidRPr="00EF2F18">
        <w:rPr>
          <w:rFonts w:cs="Times New Roman"/>
          <w:sz w:val="22"/>
          <w:lang w:val="sr-Cyrl-RS"/>
        </w:rPr>
        <w:t>З</w:t>
      </w:r>
      <w:r w:rsidRPr="00EF2F18">
        <w:rPr>
          <w:rFonts w:cs="Times New Roman"/>
          <w:sz w:val="22"/>
          <w:lang w:val="sr-Cyrl-RS"/>
        </w:rPr>
        <w:t>бог ових потенцијалних опасности важна је примена техничких стандарда и превентивних мера како би се минимизирао негативан утицај вибрација на људе и природу.</w:t>
      </w:r>
    </w:p>
    <w:p w14:paraId="28221B75" w14:textId="20811E62" w:rsidR="001C45D0" w:rsidRPr="00EF2F18" w:rsidRDefault="001C45D0" w:rsidP="001C45D0">
      <w:pPr>
        <w:spacing w:after="0"/>
        <w:ind w:firstLine="720"/>
        <w:jc w:val="both"/>
        <w:rPr>
          <w:rFonts w:cs="Times New Roman"/>
          <w:sz w:val="22"/>
          <w:lang w:val="sr-Cyrl-RS"/>
        </w:rPr>
      </w:pPr>
    </w:p>
    <w:p w14:paraId="40396317" w14:textId="3D670048" w:rsidR="00A21DFE" w:rsidRPr="00EF2F18" w:rsidRDefault="00463EDF" w:rsidP="00F106C9">
      <w:pPr>
        <w:pStyle w:val="Heading3"/>
        <w:numPr>
          <w:ilvl w:val="2"/>
          <w:numId w:val="2"/>
        </w:numPr>
        <w:jc w:val="center"/>
        <w:rPr>
          <w:rFonts w:cs="Times New Roman"/>
          <w:sz w:val="22"/>
          <w:szCs w:val="22"/>
          <w:lang w:val="sr-Cyrl-RS"/>
        </w:rPr>
      </w:pPr>
      <w:bookmarkStart w:id="56" w:name="_Toc158307707"/>
      <w:r w:rsidRPr="00EF2F18">
        <w:rPr>
          <w:rFonts w:cs="Times New Roman"/>
          <w:sz w:val="22"/>
          <w:szCs w:val="22"/>
          <w:lang w:val="sr-Cyrl-RS"/>
        </w:rPr>
        <w:t>Ј</w:t>
      </w:r>
      <w:r w:rsidR="00A21DFE" w:rsidRPr="00EF2F18">
        <w:rPr>
          <w:rFonts w:cs="Times New Roman"/>
          <w:sz w:val="22"/>
          <w:szCs w:val="22"/>
          <w:lang w:val="sr-Cyrl-RS"/>
        </w:rPr>
        <w:t xml:space="preserve">онизујуће и нејонизујуће </w:t>
      </w:r>
      <w:r w:rsidRPr="00EF2F18">
        <w:rPr>
          <w:rFonts w:cs="Times New Roman"/>
          <w:sz w:val="22"/>
          <w:szCs w:val="22"/>
          <w:lang w:val="sr-Cyrl-RS"/>
        </w:rPr>
        <w:t>зрачење</w:t>
      </w:r>
      <w:bookmarkEnd w:id="56"/>
    </w:p>
    <w:p w14:paraId="49D9E872" w14:textId="2E12E402" w:rsidR="006F44B1" w:rsidRPr="00EF2F18" w:rsidRDefault="006F44B1" w:rsidP="00B63C9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Потенцијални загађивачи животне средине радиоактивним материјама су и нуклеарне електране којих има неколико у суседним државама, затим различити технолошки процеси у којима долази до повећања концентрације природних радионуклида, као и делатности у медицини, индустрији и другим областима у којима се користе извори зрачења. Због тога је неопходно вршити систематско праћење радиоактивности, како би се проценила угроженост животне средине и омогућио правовремени одговор у случају повећања радиоактивности, као и спровођење мера радијационе сигурности и безбедности.</w:t>
      </w:r>
    </w:p>
    <w:p w14:paraId="7E3DE455" w14:textId="46AA7907" w:rsidR="00B63C93" w:rsidRPr="00EF2F18" w:rsidRDefault="006F44B1" w:rsidP="00B63C9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Мониторинг јонизујућег зрачења се врши према Закону о радијационој и нуклеарној сигурности и безбедности („Службени гласник РС”</w:t>
      </w:r>
      <w:r w:rsidR="00A535D4"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бр. 95/18 и 10/19), ради утврђивања присуства радионуклида у животној средини и процене нивоа излагања становништва јонизујућим зрачењима и то у редовним условима, у случају сумње на акцидент и у току акцидента. Према Извештају Директората за радијациону и нуклеарну сигурност и безбедност Србије, о мерењу радиоактивности животне средине на територији Републике Србије у 2022. години, може се закључити да се активност како природних радионуклида тако и дугоживећих радионуклида вештачког порекла (углавном од Чернобиљских падавина), у различитим врстама узорака (ваздух, падавине), кретала у ниским нивоима</w:t>
      </w:r>
      <w:r w:rsidR="00B63C93" w:rsidRPr="00EF2F18">
        <w:rPr>
          <w:rFonts w:ascii="Times New Roman" w:hAnsi="Times New Roman" w:cs="Times New Roman"/>
          <w:sz w:val="22"/>
          <w:szCs w:val="22"/>
          <w:lang w:val="sr-Cyrl-RS"/>
        </w:rPr>
        <w:t>.</w:t>
      </w:r>
    </w:p>
    <w:p w14:paraId="413D8708" w14:textId="201EF864" w:rsidR="00B63C93" w:rsidRPr="00EF2F18" w:rsidRDefault="002C15CC" w:rsidP="00B63C9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За квалитетно управљање заштитом од </w:t>
      </w:r>
      <w:r w:rsidR="00AB4CDA" w:rsidRPr="00EF2F18">
        <w:rPr>
          <w:rFonts w:ascii="Times New Roman" w:hAnsi="Times New Roman" w:cs="Times New Roman"/>
          <w:sz w:val="22"/>
          <w:szCs w:val="22"/>
          <w:lang w:val="sr-Cyrl-RS"/>
        </w:rPr>
        <w:t xml:space="preserve">нејонизујућих </w:t>
      </w:r>
      <w:r w:rsidR="00BF6433" w:rsidRPr="00EF2F18">
        <w:rPr>
          <w:rFonts w:ascii="Times New Roman" w:hAnsi="Times New Roman" w:cs="Times New Roman"/>
          <w:sz w:val="22"/>
          <w:szCs w:val="22"/>
          <w:lang w:val="sr-Cyrl-RS"/>
        </w:rPr>
        <w:t>зрачења</w:t>
      </w:r>
      <w:r w:rsidRPr="00EF2F18">
        <w:rPr>
          <w:rFonts w:ascii="Times New Roman" w:hAnsi="Times New Roman" w:cs="Times New Roman"/>
          <w:sz w:val="22"/>
          <w:szCs w:val="22"/>
          <w:lang w:val="sr-Cyrl-RS"/>
        </w:rPr>
        <w:t xml:space="preserve">, изузетну важност има праћење извора </w:t>
      </w:r>
      <w:r w:rsidR="00AB4CDA" w:rsidRPr="00EF2F18">
        <w:rPr>
          <w:rFonts w:ascii="Times New Roman" w:hAnsi="Times New Roman" w:cs="Times New Roman"/>
          <w:sz w:val="22"/>
          <w:szCs w:val="22"/>
          <w:lang w:val="sr-Cyrl-RS"/>
        </w:rPr>
        <w:t xml:space="preserve">нејонизујућих </w:t>
      </w:r>
      <w:r w:rsidR="00BF6433" w:rsidRPr="00EF2F18">
        <w:rPr>
          <w:rFonts w:ascii="Times New Roman" w:hAnsi="Times New Roman" w:cs="Times New Roman"/>
          <w:sz w:val="22"/>
          <w:szCs w:val="22"/>
          <w:lang w:val="sr-Cyrl-RS"/>
        </w:rPr>
        <w:t xml:space="preserve">зрачења </w:t>
      </w:r>
      <w:r w:rsidRPr="00EF2F18">
        <w:rPr>
          <w:rFonts w:ascii="Times New Roman" w:hAnsi="Times New Roman" w:cs="Times New Roman"/>
          <w:sz w:val="22"/>
          <w:szCs w:val="22"/>
          <w:lang w:val="sr-Cyrl-RS"/>
        </w:rPr>
        <w:t xml:space="preserve">испитивањем нивоа зрачења. Оператори корисници извора </w:t>
      </w:r>
      <w:r w:rsidR="00AB4CDA" w:rsidRPr="00EF2F18">
        <w:rPr>
          <w:rFonts w:ascii="Times New Roman" w:hAnsi="Times New Roman" w:cs="Times New Roman"/>
          <w:sz w:val="22"/>
          <w:szCs w:val="22"/>
          <w:lang w:val="sr-Cyrl-RS"/>
        </w:rPr>
        <w:t xml:space="preserve">нејонизујућих </w:t>
      </w:r>
      <w:r w:rsidR="00BF6433" w:rsidRPr="00EF2F18">
        <w:rPr>
          <w:rFonts w:ascii="Times New Roman" w:hAnsi="Times New Roman" w:cs="Times New Roman"/>
          <w:sz w:val="22"/>
          <w:szCs w:val="22"/>
          <w:lang w:val="sr-Cyrl-RS"/>
        </w:rPr>
        <w:t>зрачења</w:t>
      </w:r>
      <w:r w:rsidRPr="00EF2F18">
        <w:rPr>
          <w:rFonts w:ascii="Times New Roman" w:hAnsi="Times New Roman" w:cs="Times New Roman"/>
          <w:sz w:val="22"/>
          <w:szCs w:val="22"/>
          <w:lang w:val="sr-Cyrl-RS"/>
        </w:rPr>
        <w:t>, дужни су да обављају прва и периодична испитивања нивоа зрачења преко овлашћених организација, на начин и у складу са одредбама закона и подзаконских аката. Такође, Уредб</w:t>
      </w:r>
      <w:r w:rsidR="00AB4CDA" w:rsidRPr="00EF2F18">
        <w:rPr>
          <w:rFonts w:ascii="Times New Roman" w:hAnsi="Times New Roman" w:cs="Times New Roman"/>
          <w:sz w:val="22"/>
          <w:szCs w:val="22"/>
          <w:lang w:val="sr-Cyrl-RS"/>
        </w:rPr>
        <w:t>ом</w:t>
      </w:r>
      <w:r w:rsidRPr="00EF2F18">
        <w:rPr>
          <w:rFonts w:ascii="Times New Roman" w:hAnsi="Times New Roman" w:cs="Times New Roman"/>
          <w:sz w:val="22"/>
          <w:szCs w:val="22"/>
          <w:lang w:val="sr-Cyrl-RS"/>
        </w:rPr>
        <w:t xml:space="preserve"> о утврђивању Програма систематског испитивања нивоа нејонизујућих зрачења у животној средини, за период од 2011. до 2012. године</w:t>
      </w:r>
      <w:r w:rsidR="00C07491" w:rsidRPr="00EF2F18">
        <w:rPr>
          <w:rFonts w:ascii="Times New Roman" w:hAnsi="Times New Roman" w:cs="Times New Roman"/>
          <w:sz w:val="22"/>
          <w:szCs w:val="22"/>
          <w:lang w:val="sr-Cyrl-RS"/>
        </w:rPr>
        <w:t xml:space="preserve"> („Службени гласник РС</w:t>
      </w:r>
      <w:r w:rsidR="00D0076C" w:rsidRPr="00EF2F18">
        <w:rPr>
          <w:rFonts w:ascii="Times New Roman" w:hAnsi="Times New Roman" w:cs="Times New Roman"/>
          <w:sz w:val="22"/>
          <w:szCs w:val="22"/>
          <w:lang w:val="sr-Cyrl-RS"/>
        </w:rPr>
        <w:t>”</w:t>
      </w:r>
      <w:r w:rsidR="00C07491" w:rsidRPr="00EF2F18">
        <w:rPr>
          <w:rFonts w:ascii="Times New Roman" w:hAnsi="Times New Roman" w:cs="Times New Roman"/>
          <w:sz w:val="22"/>
          <w:szCs w:val="22"/>
          <w:lang w:val="sr-Cyrl-RS"/>
        </w:rPr>
        <w:t>, број 102/10)</w:t>
      </w:r>
      <w:r w:rsidRPr="00EF2F18">
        <w:rPr>
          <w:rFonts w:ascii="Times New Roman" w:hAnsi="Times New Roman" w:cs="Times New Roman"/>
          <w:sz w:val="22"/>
          <w:szCs w:val="22"/>
          <w:lang w:val="sr-Cyrl-RS"/>
        </w:rPr>
        <w:t>, од 2015. до 2016. године</w:t>
      </w:r>
      <w:r w:rsidR="00C07491" w:rsidRPr="00EF2F18">
        <w:rPr>
          <w:rFonts w:ascii="Times New Roman" w:hAnsi="Times New Roman" w:cs="Times New Roman"/>
          <w:sz w:val="22"/>
          <w:szCs w:val="22"/>
          <w:lang w:val="sr-Cyrl-RS"/>
        </w:rPr>
        <w:t xml:space="preserve"> („Службени гласник РС</w:t>
      </w:r>
      <w:r w:rsidR="00AB37C1" w:rsidRPr="00EF2F18">
        <w:rPr>
          <w:rFonts w:ascii="Times New Roman" w:hAnsi="Times New Roman" w:cs="Times New Roman"/>
          <w:sz w:val="22"/>
          <w:szCs w:val="22"/>
          <w:lang w:val="sr-Cyrl-RS"/>
        </w:rPr>
        <w:t xml:space="preserve">”, </w:t>
      </w:r>
      <w:r w:rsidR="00C07491" w:rsidRPr="00EF2F18">
        <w:rPr>
          <w:rFonts w:ascii="Times New Roman" w:hAnsi="Times New Roman" w:cs="Times New Roman"/>
          <w:sz w:val="22"/>
          <w:szCs w:val="22"/>
          <w:lang w:val="sr-Cyrl-RS"/>
        </w:rPr>
        <w:t>број 105/15)</w:t>
      </w:r>
      <w:r w:rsidRPr="00EF2F18">
        <w:rPr>
          <w:rFonts w:ascii="Times New Roman" w:hAnsi="Times New Roman" w:cs="Times New Roman"/>
          <w:sz w:val="22"/>
          <w:szCs w:val="22"/>
          <w:lang w:val="sr-Cyrl-RS"/>
        </w:rPr>
        <w:t xml:space="preserve"> и од 2017</w:t>
      </w:r>
      <w:r w:rsidR="00C07491"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до 2018. године</w:t>
      </w:r>
      <w:r w:rsidR="00C07491" w:rsidRPr="00EF2F18">
        <w:rPr>
          <w:rFonts w:ascii="Times New Roman" w:hAnsi="Times New Roman" w:cs="Times New Roman"/>
          <w:sz w:val="22"/>
          <w:szCs w:val="22"/>
          <w:lang w:val="sr-Cyrl-RS"/>
        </w:rPr>
        <w:t xml:space="preserve"> („Службени гласник РС</w:t>
      </w:r>
      <w:r w:rsidR="00AB37C1" w:rsidRPr="00EF2F18">
        <w:rPr>
          <w:rFonts w:ascii="Times New Roman" w:hAnsi="Times New Roman" w:cs="Times New Roman"/>
          <w:sz w:val="22"/>
          <w:szCs w:val="22"/>
          <w:lang w:val="sr-Cyrl-RS"/>
        </w:rPr>
        <w:t xml:space="preserve">”, </w:t>
      </w:r>
      <w:r w:rsidR="00C07491" w:rsidRPr="00EF2F18">
        <w:rPr>
          <w:rFonts w:ascii="Times New Roman" w:hAnsi="Times New Roman" w:cs="Times New Roman"/>
          <w:sz w:val="22"/>
          <w:szCs w:val="22"/>
          <w:lang w:val="sr-Cyrl-RS"/>
        </w:rPr>
        <w:t>број 2/17)</w:t>
      </w:r>
      <w:r w:rsidRPr="00EF2F18">
        <w:rPr>
          <w:rFonts w:ascii="Times New Roman" w:hAnsi="Times New Roman" w:cs="Times New Roman"/>
          <w:sz w:val="22"/>
          <w:szCs w:val="22"/>
          <w:lang w:val="sr-Cyrl-RS"/>
        </w:rPr>
        <w:t>, прописана су</w:t>
      </w:r>
      <w:r w:rsidR="005E5FF9"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систематска испитивања нивоа нејонизујућих зрачења у животној средини која спроводи Министарство надлежно за заштиту животне средине у сарадњи са надлежним органом аутономне покрајине, ради откривања присуства, утврђивања опасности, обавештавања и предузимања мера заштите од нејонизујућих зрачења, а 13 извештаја о спроведеним мерењима за нискофреквенцијска и високофреквенцијска подручја, објављено је на интернет страници Агенције за заштиту животне средине (</w:t>
      </w:r>
      <w:hyperlink r:id="rId46" w:history="1">
        <w:r w:rsidRPr="00EF2F18">
          <w:rPr>
            <w:rStyle w:val="Hyperlink"/>
            <w:rFonts w:ascii="Times New Roman" w:hAnsi="Times New Roman" w:cs="Times New Roman"/>
            <w:sz w:val="22"/>
            <w:szCs w:val="22"/>
            <w:lang w:val="sr-Cyrl-RS"/>
          </w:rPr>
          <w:t>www.sepa.gov.rs</w:t>
        </w:r>
      </w:hyperlink>
      <w:r w:rsidRPr="00EF2F18">
        <w:rPr>
          <w:rFonts w:ascii="Times New Roman" w:hAnsi="Times New Roman" w:cs="Times New Roman"/>
          <w:sz w:val="22"/>
          <w:szCs w:val="22"/>
          <w:lang w:val="sr-Cyrl-RS"/>
        </w:rPr>
        <w:t xml:space="preserve">). </w:t>
      </w:r>
      <w:r w:rsidR="009107AC" w:rsidRPr="00EF2F18">
        <w:rPr>
          <w:rFonts w:ascii="Times New Roman" w:hAnsi="Times New Roman" w:cs="Times New Roman"/>
          <w:sz w:val="22"/>
          <w:szCs w:val="22"/>
          <w:lang w:val="sr-Cyrl-RS"/>
        </w:rPr>
        <w:t xml:space="preserve">Најчешћи корисници извора нејонизујућих зрачења су оператери </w:t>
      </w:r>
      <w:r w:rsidR="00E77C1E" w:rsidRPr="00EF2F18">
        <w:rPr>
          <w:rFonts w:ascii="Times New Roman" w:hAnsi="Times New Roman" w:cs="Times New Roman"/>
          <w:sz w:val="22"/>
          <w:szCs w:val="22"/>
          <w:lang w:val="sr-Cyrl-RS"/>
        </w:rPr>
        <w:t>јавних мобилних електронских комуникационих мрежа</w:t>
      </w:r>
      <w:r w:rsidR="009107AC" w:rsidRPr="00EF2F18">
        <w:rPr>
          <w:rFonts w:ascii="Times New Roman" w:hAnsi="Times New Roman" w:cs="Times New Roman"/>
          <w:sz w:val="22"/>
          <w:szCs w:val="22"/>
          <w:lang w:val="sr-Cyrl-RS"/>
        </w:rPr>
        <w:t xml:space="preserve">, електроенергетске дистрибутивне и </w:t>
      </w:r>
      <w:r w:rsidR="009107AC" w:rsidRPr="00EF2F18">
        <w:rPr>
          <w:rFonts w:ascii="Times New Roman" w:hAnsi="Times New Roman" w:cs="Times New Roman"/>
          <w:sz w:val="22"/>
          <w:szCs w:val="22"/>
          <w:lang w:val="sr-Cyrl-RS"/>
        </w:rPr>
        <w:lastRenderedPageBreak/>
        <w:t xml:space="preserve">преносне мреже и </w:t>
      </w:r>
      <w:r w:rsidR="00E77C1E" w:rsidRPr="00EF2F18">
        <w:rPr>
          <w:rFonts w:ascii="Times New Roman" w:hAnsi="Times New Roman" w:cs="Times New Roman"/>
          <w:sz w:val="22"/>
          <w:szCs w:val="22"/>
          <w:lang w:val="sr-Cyrl-RS"/>
        </w:rPr>
        <w:t>оператери електронских комуникационих мрежа за дистрибуцију медијских садржаја (</w:t>
      </w:r>
      <w:r w:rsidR="009107AC" w:rsidRPr="00EF2F18">
        <w:rPr>
          <w:rFonts w:ascii="Times New Roman" w:hAnsi="Times New Roman" w:cs="Times New Roman"/>
          <w:sz w:val="22"/>
          <w:szCs w:val="22"/>
          <w:lang w:val="sr-Cyrl-RS"/>
        </w:rPr>
        <w:t>радио и ТВ емитери</w:t>
      </w:r>
      <w:r w:rsidR="00E77C1E" w:rsidRPr="00EF2F18">
        <w:rPr>
          <w:rFonts w:ascii="Times New Roman" w:hAnsi="Times New Roman" w:cs="Times New Roman"/>
          <w:sz w:val="22"/>
          <w:szCs w:val="22"/>
          <w:lang w:val="sr-Cyrl-RS"/>
        </w:rPr>
        <w:t>)</w:t>
      </w:r>
      <w:r w:rsidR="009107AC"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И на територијaма појединих општина спровођени су мониторинзи нивоа </w:t>
      </w:r>
      <w:r w:rsidR="00AB4CDA" w:rsidRPr="00EF2F18">
        <w:rPr>
          <w:rFonts w:ascii="Times New Roman" w:hAnsi="Times New Roman" w:cs="Times New Roman"/>
          <w:sz w:val="22"/>
          <w:szCs w:val="22"/>
          <w:lang w:val="sr-Cyrl-RS"/>
        </w:rPr>
        <w:t xml:space="preserve">нејонизујућих зрачења </w:t>
      </w:r>
      <w:r w:rsidRPr="00EF2F18">
        <w:rPr>
          <w:rFonts w:ascii="Times New Roman" w:hAnsi="Times New Roman" w:cs="Times New Roman"/>
          <w:sz w:val="22"/>
          <w:szCs w:val="22"/>
          <w:lang w:val="sr-Cyrl-RS"/>
        </w:rPr>
        <w:t>које су спроводиле јединице локалних самоуправа. Т</w:t>
      </w:r>
      <w:r w:rsidR="00293A1C">
        <w:rPr>
          <w:rFonts w:ascii="Times New Roman" w:hAnsi="Times New Roman" w:cs="Times New Roman"/>
          <w:sz w:val="22"/>
          <w:szCs w:val="22"/>
          <w:lang w:val="sr-Cyrl-RS"/>
        </w:rPr>
        <w:t xml:space="preserve"> У </w:t>
      </w:r>
      <w:r w:rsidRPr="00EF2F18">
        <w:rPr>
          <w:rFonts w:ascii="Times New Roman" w:hAnsi="Times New Roman" w:cs="Times New Roman"/>
          <w:sz w:val="22"/>
          <w:szCs w:val="22"/>
          <w:lang w:val="sr-Cyrl-RS"/>
        </w:rPr>
        <w:t>2023.</w:t>
      </w:r>
      <w:r w:rsidR="00293A1C">
        <w:rPr>
          <w:rFonts w:ascii="Times New Roman" w:hAnsi="Times New Roman" w:cs="Times New Roman"/>
          <w:sz w:val="22"/>
          <w:szCs w:val="22"/>
          <w:lang w:val="sr-Cyrl-RS"/>
        </w:rPr>
        <w:t xml:space="preserve"> години</w:t>
      </w:r>
      <w:r w:rsidRPr="00EF2F18">
        <w:rPr>
          <w:rFonts w:ascii="Times New Roman" w:hAnsi="Times New Roman" w:cs="Times New Roman"/>
          <w:sz w:val="22"/>
          <w:szCs w:val="22"/>
          <w:lang w:val="sr-Cyrl-RS"/>
        </w:rPr>
        <w:t xml:space="preserve"> је овлашћено по </w:t>
      </w:r>
      <w:r w:rsidR="0071655B">
        <w:rPr>
          <w:rFonts w:ascii="Times New Roman" w:hAnsi="Times New Roman" w:cs="Times New Roman"/>
          <w:sz w:val="22"/>
          <w:szCs w:val="22"/>
          <w:lang w:val="sr-Cyrl-RS"/>
        </w:rPr>
        <w:t>девет</w:t>
      </w:r>
      <w:r w:rsidRPr="00EF2F18">
        <w:rPr>
          <w:rFonts w:ascii="Times New Roman" w:hAnsi="Times New Roman" w:cs="Times New Roman"/>
          <w:sz w:val="22"/>
          <w:szCs w:val="22"/>
          <w:lang w:val="sr-Cyrl-RS"/>
        </w:rPr>
        <w:t xml:space="preserve"> стручних кућа за послове испитивања нивоа зрачења извора </w:t>
      </w:r>
      <w:r w:rsidR="00AB4CDA" w:rsidRPr="00EF2F18">
        <w:rPr>
          <w:rFonts w:ascii="Times New Roman" w:hAnsi="Times New Roman" w:cs="Times New Roman"/>
          <w:sz w:val="22"/>
          <w:szCs w:val="22"/>
          <w:lang w:val="sr-Cyrl-RS"/>
        </w:rPr>
        <w:t xml:space="preserve">нејонизујућих </w:t>
      </w:r>
      <w:r w:rsidRPr="00EF2F18">
        <w:rPr>
          <w:rFonts w:ascii="Times New Roman" w:hAnsi="Times New Roman" w:cs="Times New Roman"/>
          <w:sz w:val="22"/>
          <w:szCs w:val="22"/>
          <w:lang w:val="sr-Cyrl-RS"/>
        </w:rPr>
        <w:t xml:space="preserve">од посебног интереса, као и систематског испитивања нивоа </w:t>
      </w:r>
      <w:r w:rsidR="00AB4CDA" w:rsidRPr="00EF2F18">
        <w:rPr>
          <w:rFonts w:ascii="Times New Roman" w:hAnsi="Times New Roman" w:cs="Times New Roman"/>
          <w:sz w:val="22"/>
          <w:szCs w:val="22"/>
          <w:lang w:val="sr-Cyrl-RS"/>
        </w:rPr>
        <w:t xml:space="preserve">нејонизујућих </w:t>
      </w:r>
      <w:r w:rsidRPr="00EF2F18">
        <w:rPr>
          <w:rFonts w:ascii="Times New Roman" w:hAnsi="Times New Roman" w:cs="Times New Roman"/>
          <w:sz w:val="22"/>
          <w:szCs w:val="22"/>
          <w:lang w:val="sr-Cyrl-RS"/>
        </w:rPr>
        <w:t>у животној средини</w:t>
      </w:r>
      <w:r w:rsidR="00E86284" w:rsidRPr="00EF2F18">
        <w:rPr>
          <w:rFonts w:ascii="Times New Roman" w:hAnsi="Times New Roman" w:cs="Times New Roman"/>
          <w:sz w:val="22"/>
          <w:szCs w:val="22"/>
          <w:lang w:val="sr-Cyrl-RS"/>
        </w:rPr>
        <w:t>.</w:t>
      </w:r>
      <w:r w:rsidR="00B63C93" w:rsidRPr="00EF2F18">
        <w:rPr>
          <w:rFonts w:ascii="Times New Roman" w:hAnsi="Times New Roman" w:cs="Times New Roman"/>
          <w:sz w:val="22"/>
          <w:szCs w:val="22"/>
          <w:lang w:val="sr-Cyrl-RS"/>
        </w:rPr>
        <w:t xml:space="preserve"> </w:t>
      </w:r>
    </w:p>
    <w:p w14:paraId="677C4D72" w14:textId="5B4B3FB9" w:rsidR="00B63C93" w:rsidRPr="00EF2F18" w:rsidRDefault="00B63C93" w:rsidP="00B63C9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Законом о заштити од нејонизујућих зрачења („</w:t>
      </w:r>
      <w:r w:rsidR="00AB4CDA" w:rsidRPr="00EF2F18">
        <w:rPr>
          <w:rFonts w:ascii="Times New Roman" w:hAnsi="Times New Roman" w:cs="Times New Roman"/>
          <w:sz w:val="22"/>
          <w:szCs w:val="22"/>
          <w:lang w:val="sr-Cyrl-RS"/>
        </w:rPr>
        <w:t xml:space="preserve">Службени гласник </w:t>
      </w:r>
      <w:r w:rsidRPr="00EF2F18">
        <w:rPr>
          <w:rFonts w:ascii="Times New Roman" w:hAnsi="Times New Roman" w:cs="Times New Roman"/>
          <w:sz w:val="22"/>
          <w:szCs w:val="22"/>
          <w:lang w:val="sr-Cyrl-RS"/>
        </w:rPr>
        <w:t>РС”, бр</w:t>
      </w:r>
      <w:r w:rsidR="00AB4CDA" w:rsidRPr="00EF2F18">
        <w:rPr>
          <w:rFonts w:ascii="Times New Roman" w:hAnsi="Times New Roman" w:cs="Times New Roman"/>
          <w:sz w:val="22"/>
          <w:szCs w:val="22"/>
          <w:lang w:val="sr-Cyrl-RS"/>
        </w:rPr>
        <w:t>ој</w:t>
      </w:r>
      <w:r w:rsidRPr="00EF2F18">
        <w:rPr>
          <w:rFonts w:ascii="Times New Roman" w:hAnsi="Times New Roman" w:cs="Times New Roman"/>
          <w:sz w:val="22"/>
          <w:szCs w:val="22"/>
          <w:lang w:val="sr-Cyrl-RS"/>
        </w:rPr>
        <w:t xml:space="preserve"> 36/09) са подзаконским актима, уређују се субјекти заштите животне средине од нејонизујућих зрачења, мере и услови заштите од нејонизујућих зрачења у животној средини, мерење нивоа нејонизујућих зрачења у животној средини, надзор и друга питања од значаја за заштиту животне средине и здравље људи. У складу са наведеним законима, органима аутономне покрајине и органима </w:t>
      </w:r>
      <w:r w:rsidR="00E52612" w:rsidRPr="00EF2F18">
        <w:rPr>
          <w:rFonts w:ascii="Times New Roman" w:hAnsi="Times New Roman" w:cs="Times New Roman"/>
          <w:sz w:val="22"/>
          <w:szCs w:val="22"/>
          <w:lang w:val="sr-Cyrl-RS"/>
        </w:rPr>
        <w:t xml:space="preserve">јединица </w:t>
      </w:r>
      <w:r w:rsidRPr="00EF2F18">
        <w:rPr>
          <w:rFonts w:ascii="Times New Roman" w:hAnsi="Times New Roman" w:cs="Times New Roman"/>
          <w:sz w:val="22"/>
          <w:szCs w:val="22"/>
          <w:lang w:val="sr-Cyrl-RS"/>
        </w:rPr>
        <w:t xml:space="preserve">локалне самоуправе поверено је спровођење прописаних одредби из области заштите животне средине и заштите од нејонизујућих зрачења. </w:t>
      </w:r>
    </w:p>
    <w:p w14:paraId="63226CB8" w14:textId="77777777" w:rsidR="00A0304A" w:rsidRPr="00143597" w:rsidRDefault="00A0304A" w:rsidP="00B63C93">
      <w:pPr>
        <w:pStyle w:val="Default"/>
        <w:ind w:firstLine="720"/>
        <w:jc w:val="both"/>
        <w:rPr>
          <w:rFonts w:ascii="Times New Roman" w:hAnsi="Times New Roman" w:cs="Times New Roman"/>
          <w:sz w:val="6"/>
          <w:szCs w:val="6"/>
          <w:lang w:val="sr-Cyrl-RS"/>
        </w:rPr>
      </w:pPr>
    </w:p>
    <w:p w14:paraId="0384705A" w14:textId="71725E61" w:rsidR="00AD6D78" w:rsidRPr="00EF2F18" w:rsidRDefault="00AD6D78" w:rsidP="00F106C9">
      <w:pPr>
        <w:pStyle w:val="Heading3"/>
        <w:numPr>
          <w:ilvl w:val="2"/>
          <w:numId w:val="2"/>
        </w:numPr>
        <w:jc w:val="center"/>
        <w:rPr>
          <w:rFonts w:cs="Times New Roman"/>
          <w:sz w:val="22"/>
          <w:szCs w:val="22"/>
          <w:lang w:val="sr-Cyrl-RS"/>
        </w:rPr>
      </w:pPr>
      <w:bookmarkStart w:id="57" w:name="_Toc158307708"/>
      <w:r w:rsidRPr="00EF2F18">
        <w:rPr>
          <w:rFonts w:cs="Times New Roman"/>
          <w:sz w:val="22"/>
          <w:szCs w:val="22"/>
          <w:lang w:val="sr-Cyrl-RS"/>
        </w:rPr>
        <w:t>Животна средина и здравље</w:t>
      </w:r>
      <w:bookmarkEnd w:id="57"/>
    </w:p>
    <w:p w14:paraId="19928391" w14:textId="08108DB0" w:rsidR="00552EDE" w:rsidRPr="00EF2F18" w:rsidRDefault="00552EDE" w:rsidP="00552EDE">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 xml:space="preserve">Повезаност између квалитета животне средине и здравља здравља није тако једноставна због многих других фактора који утичу на здравље људи. Општа и здравствена статистика не обезбеђује податке који би се могли искористити за процену ризика од контаминирања животне средине по живот и здравље људи. Међутим, постоји снажна веза између одређених услова и загађења ваздуха или воде и, на пример, астме или инфекција дигестивног система. Прикупљање извештаја о посебним запажањима о здрављу људи и квалитету животне средине и </w:t>
      </w:r>
      <w:r w:rsidR="009D315D" w:rsidRPr="00EF2F18">
        <w:rPr>
          <w:rFonts w:ascii="Times New Roman" w:hAnsi="Times New Roman" w:cs="Times New Roman"/>
          <w:color w:val="auto"/>
          <w:sz w:val="22"/>
          <w:szCs w:val="22"/>
          <w:lang w:val="sr-Cyrl-RS"/>
        </w:rPr>
        <w:t xml:space="preserve">формирање </w:t>
      </w:r>
      <w:r w:rsidRPr="00EF2F18">
        <w:rPr>
          <w:rFonts w:ascii="Times New Roman" w:hAnsi="Times New Roman" w:cs="Times New Roman"/>
          <w:color w:val="auto"/>
          <w:sz w:val="22"/>
          <w:szCs w:val="22"/>
          <w:lang w:val="sr-Cyrl-RS"/>
        </w:rPr>
        <w:t>баз</w:t>
      </w:r>
      <w:r w:rsidR="009D315D" w:rsidRPr="00EF2F18">
        <w:rPr>
          <w:rFonts w:ascii="Times New Roman" w:hAnsi="Times New Roman" w:cs="Times New Roman"/>
          <w:color w:val="auto"/>
          <w:sz w:val="22"/>
          <w:szCs w:val="22"/>
          <w:lang w:val="sr-Cyrl-RS"/>
        </w:rPr>
        <w:t>е</w:t>
      </w:r>
      <w:r w:rsidRPr="00EF2F18">
        <w:rPr>
          <w:rFonts w:ascii="Times New Roman" w:hAnsi="Times New Roman" w:cs="Times New Roman"/>
          <w:color w:val="auto"/>
          <w:sz w:val="22"/>
          <w:szCs w:val="22"/>
          <w:lang w:val="sr-Cyrl-RS"/>
        </w:rPr>
        <w:t xml:space="preserve"> података важно је за откривање здравствених проблема</w:t>
      </w:r>
      <w:r w:rsidR="009D315D" w:rsidRPr="00EF2F18">
        <w:rPr>
          <w:rFonts w:ascii="Times New Roman" w:hAnsi="Times New Roman" w:cs="Times New Roman"/>
          <w:color w:val="auto"/>
          <w:sz w:val="22"/>
          <w:szCs w:val="22"/>
          <w:lang w:val="sr-Cyrl-RS"/>
        </w:rPr>
        <w:t xml:space="preserve"> зб</w:t>
      </w:r>
      <w:r w:rsidR="00D0076C" w:rsidRPr="00EF2F18">
        <w:rPr>
          <w:rFonts w:ascii="Times New Roman" w:hAnsi="Times New Roman" w:cs="Times New Roman"/>
          <w:color w:val="auto"/>
          <w:sz w:val="22"/>
          <w:szCs w:val="22"/>
          <w:lang w:val="sr-Cyrl-RS"/>
        </w:rPr>
        <w:t>о</w:t>
      </w:r>
      <w:r w:rsidR="009D315D" w:rsidRPr="00EF2F18">
        <w:rPr>
          <w:rFonts w:ascii="Times New Roman" w:hAnsi="Times New Roman" w:cs="Times New Roman"/>
          <w:color w:val="auto"/>
          <w:sz w:val="22"/>
          <w:szCs w:val="22"/>
          <w:lang w:val="sr-Cyrl-RS"/>
        </w:rPr>
        <w:t>г загађене животне средине, као</w:t>
      </w:r>
      <w:r w:rsidRPr="00EF2F18">
        <w:rPr>
          <w:rFonts w:ascii="Times New Roman" w:hAnsi="Times New Roman" w:cs="Times New Roman"/>
          <w:color w:val="auto"/>
          <w:sz w:val="22"/>
          <w:szCs w:val="22"/>
          <w:lang w:val="sr-Cyrl-RS"/>
        </w:rPr>
        <w:t xml:space="preserve"> и за планирање и организовање интервенција и програма превенције.</w:t>
      </w:r>
    </w:p>
    <w:p w14:paraId="24CE0C7F" w14:textId="77777777" w:rsidR="00552EDE" w:rsidRPr="00EF2F18" w:rsidRDefault="00552EDE" w:rsidP="00552EDE">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Загађење ваздуха, контаминација воде и хране, климатске промене и отпад су главни узроци нарушавања здравља због животне средине.</w:t>
      </w:r>
    </w:p>
    <w:p w14:paraId="0FC22E2B" w14:textId="224B09C8" w:rsidR="00552EDE" w:rsidRPr="00EF2F18" w:rsidRDefault="00552EDE" w:rsidP="00552EDE">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Загађен ваздух може изазвати респираторне проблеме, укључујући астму, бронхитис, смањење функције плућа, смањење имунитета итд. Највише забрињава смог у урбаним срединама током зимских или летњих периода без ветра</w:t>
      </w:r>
      <w:r w:rsidR="0019799A" w:rsidRPr="00EF2F18">
        <w:rPr>
          <w:rFonts w:ascii="Times New Roman" w:hAnsi="Times New Roman" w:cs="Times New Roman"/>
          <w:color w:val="auto"/>
          <w:sz w:val="22"/>
          <w:szCs w:val="22"/>
          <w:lang w:val="sr-Cyrl-RS"/>
        </w:rPr>
        <w:t>,</w:t>
      </w:r>
      <w:r w:rsidRPr="00EF2F18">
        <w:rPr>
          <w:rFonts w:ascii="Times New Roman" w:hAnsi="Times New Roman" w:cs="Times New Roman"/>
          <w:color w:val="auto"/>
          <w:sz w:val="22"/>
          <w:szCs w:val="22"/>
          <w:lang w:val="sr-Cyrl-RS"/>
        </w:rPr>
        <w:t xml:space="preserve"> када су концентрације загађујућих материја и њихов утицај на здравље изузетно високи. Већина загађујућих материја има негативан утицај на здравље људи, посебно азотни оксиди (NOx), испарљива органска једињења (VOCs), озон, суспендоване честице PМ10</w:t>
      </w:r>
      <w:r w:rsidR="00E360C8" w:rsidRPr="00EF2F18">
        <w:rPr>
          <w:rFonts w:ascii="Times New Roman" w:hAnsi="Times New Roman" w:cs="Times New Roman"/>
          <w:color w:val="auto"/>
          <w:sz w:val="22"/>
          <w:szCs w:val="22"/>
          <w:lang w:val="sr-Cyrl-RS"/>
        </w:rPr>
        <w:t xml:space="preserve"> и SO</w:t>
      </w:r>
      <w:r w:rsidR="00E360C8" w:rsidRPr="00EF2F18">
        <w:rPr>
          <w:rFonts w:ascii="Times New Roman" w:hAnsi="Times New Roman" w:cs="Times New Roman"/>
          <w:color w:val="auto"/>
          <w:sz w:val="22"/>
          <w:szCs w:val="22"/>
          <w:vertAlign w:val="subscript"/>
          <w:lang w:val="sr-Cyrl-RS"/>
        </w:rPr>
        <w:t>2</w:t>
      </w:r>
      <w:r w:rsidRPr="00EF2F18">
        <w:rPr>
          <w:rFonts w:ascii="Times New Roman" w:hAnsi="Times New Roman" w:cs="Times New Roman"/>
          <w:color w:val="auto"/>
          <w:sz w:val="22"/>
          <w:szCs w:val="22"/>
          <w:lang w:val="sr-Cyrl-RS"/>
        </w:rPr>
        <w:t>. Далеко на</w:t>
      </w:r>
      <w:r w:rsidR="00A25076">
        <w:rPr>
          <w:rFonts w:ascii="Times New Roman" w:hAnsi="Times New Roman" w:cs="Times New Roman"/>
          <w:color w:val="auto"/>
          <w:sz w:val="22"/>
          <w:szCs w:val="22"/>
          <w:lang w:val="sr-Cyrl-RS"/>
        </w:rPr>
        <w:t>ј</w:t>
      </w:r>
      <w:r w:rsidRPr="00EF2F18">
        <w:rPr>
          <w:rFonts w:ascii="Times New Roman" w:hAnsi="Times New Roman" w:cs="Times New Roman"/>
          <w:color w:val="auto"/>
          <w:sz w:val="22"/>
          <w:szCs w:val="22"/>
          <w:lang w:val="sr-Cyrl-RS"/>
        </w:rPr>
        <w:t>израженији утицај на здравље је при излагању суспендованим честицама PМ2.5. Становништво великих урбаних подручја посебно је изложено овим загађујућим материја</w:t>
      </w:r>
      <w:r w:rsidR="008E67CC" w:rsidRPr="00EF2F18">
        <w:rPr>
          <w:rFonts w:ascii="Times New Roman" w:hAnsi="Times New Roman" w:cs="Times New Roman"/>
          <w:color w:val="auto"/>
          <w:sz w:val="22"/>
          <w:szCs w:val="22"/>
          <w:lang w:val="sr-Cyrl-RS"/>
        </w:rPr>
        <w:t>м</w:t>
      </w:r>
      <w:r w:rsidRPr="00EF2F18">
        <w:rPr>
          <w:rFonts w:ascii="Times New Roman" w:hAnsi="Times New Roman" w:cs="Times New Roman"/>
          <w:color w:val="auto"/>
          <w:sz w:val="22"/>
          <w:szCs w:val="22"/>
          <w:lang w:val="sr-Cyrl-RS"/>
        </w:rPr>
        <w:t>а.</w:t>
      </w:r>
    </w:p>
    <w:p w14:paraId="2771ECC8" w14:textId="7FBEC145" w:rsidR="00552EDE" w:rsidRPr="00EF2F18" w:rsidRDefault="00552EDE" w:rsidP="00552EDE">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Хигијенски неисправна вода за пиће (бактериолошка и хемијска контаминација, нпр. пестицидима или тешким металима) доводи до ширења поремећаја дигестивног система, хроничних и инфективних болести.</w:t>
      </w:r>
    </w:p>
    <w:p w14:paraId="5895813B" w14:textId="4F8BECDB" w:rsidR="00552EDE" w:rsidRPr="00EF2F18" w:rsidRDefault="00552EDE" w:rsidP="009B4BAA">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 xml:space="preserve">Потребно је узети у обзир и утицај </w:t>
      </w:r>
      <w:r w:rsidR="008E67CC" w:rsidRPr="00EF2F18">
        <w:rPr>
          <w:rFonts w:ascii="Times New Roman" w:hAnsi="Times New Roman" w:cs="Times New Roman"/>
          <w:color w:val="auto"/>
          <w:sz w:val="22"/>
          <w:szCs w:val="22"/>
          <w:lang w:val="sr-Cyrl-RS"/>
        </w:rPr>
        <w:t xml:space="preserve">климатских </w:t>
      </w:r>
      <w:r w:rsidRPr="00EF2F18">
        <w:rPr>
          <w:rFonts w:ascii="Times New Roman" w:hAnsi="Times New Roman" w:cs="Times New Roman"/>
          <w:color w:val="auto"/>
          <w:sz w:val="22"/>
          <w:szCs w:val="22"/>
          <w:lang w:val="sr-Cyrl-RS"/>
        </w:rPr>
        <w:t xml:space="preserve">промена на здравље људи, </w:t>
      </w:r>
      <w:r w:rsidR="008E67CC" w:rsidRPr="00EF2F18">
        <w:rPr>
          <w:rFonts w:ascii="Times New Roman" w:hAnsi="Times New Roman" w:cs="Times New Roman"/>
          <w:color w:val="auto"/>
          <w:sz w:val="22"/>
          <w:szCs w:val="22"/>
          <w:lang w:val="sr-Cyrl-RS"/>
        </w:rPr>
        <w:t xml:space="preserve">брзе </w:t>
      </w:r>
      <w:r w:rsidRPr="00EF2F18">
        <w:rPr>
          <w:rFonts w:ascii="Times New Roman" w:hAnsi="Times New Roman" w:cs="Times New Roman"/>
          <w:color w:val="auto"/>
          <w:sz w:val="22"/>
          <w:szCs w:val="22"/>
          <w:lang w:val="sr-Cyrl-RS"/>
        </w:rPr>
        <w:t xml:space="preserve">промене директно утичу на изложеност болестима и природним опасностима, укључујући екстремне временске појаве као што су топлотни таласи, суше, </w:t>
      </w:r>
      <w:r w:rsidR="004059D7" w:rsidRPr="00EF2F18">
        <w:rPr>
          <w:rFonts w:ascii="Times New Roman" w:hAnsi="Times New Roman" w:cs="Times New Roman"/>
          <w:color w:val="auto"/>
          <w:sz w:val="22"/>
          <w:szCs w:val="22"/>
          <w:lang w:val="sr-Cyrl-RS"/>
        </w:rPr>
        <w:t>поплаве,</w:t>
      </w:r>
      <w:r w:rsidRPr="00EF2F18">
        <w:rPr>
          <w:rFonts w:ascii="Times New Roman" w:hAnsi="Times New Roman" w:cs="Times New Roman"/>
          <w:color w:val="auto"/>
          <w:sz w:val="22"/>
          <w:szCs w:val="22"/>
          <w:lang w:val="sr-Cyrl-RS"/>
        </w:rPr>
        <w:t xml:space="preserve"> пожари и олује. Ове промене услова живота на крају имају дубоког утицаја на све аспекте здравља </w:t>
      </w:r>
      <w:r w:rsidR="008E67CC" w:rsidRPr="00EF2F18">
        <w:rPr>
          <w:rFonts w:ascii="Times New Roman" w:hAnsi="Times New Roman" w:cs="Times New Roman"/>
          <w:color w:val="auto"/>
          <w:sz w:val="22"/>
          <w:szCs w:val="22"/>
          <w:lang w:val="sr-Cyrl-RS"/>
        </w:rPr>
        <w:t xml:space="preserve">људи </w:t>
      </w:r>
      <w:r w:rsidRPr="00EF2F18">
        <w:rPr>
          <w:rFonts w:ascii="Times New Roman" w:hAnsi="Times New Roman" w:cs="Times New Roman"/>
          <w:color w:val="auto"/>
          <w:sz w:val="22"/>
          <w:szCs w:val="22"/>
          <w:lang w:val="sr-Cyrl-RS"/>
        </w:rPr>
        <w:t>и благостања, укључујући квалитет исхране, појаву болести.</w:t>
      </w:r>
      <w:r w:rsidR="009B4BAA" w:rsidRPr="00EF2F18">
        <w:rPr>
          <w:rFonts w:ascii="Times New Roman" w:hAnsi="Times New Roman" w:cs="Times New Roman"/>
          <w:color w:val="auto"/>
          <w:sz w:val="22"/>
          <w:szCs w:val="22"/>
          <w:lang w:val="sr-Cyrl-RS"/>
        </w:rPr>
        <w:t xml:space="preserve"> Према Програму прилагођавања на измењене климатске услове, 45% до 55% становништва је у ризику од климатских промена, од којих је 20% до 30% под екстремно високим ризиком (сигурно ће трпети последице климатских промена). Услед миграција становништва у градове, стопе старења становништва и пораста екстремно високих температура, у периоду до средине 21. века, претпоставља се да ће удео становништва под високим ризиком по здравље знатно порасти.</w:t>
      </w:r>
    </w:p>
    <w:p w14:paraId="7A8BA6B2" w14:textId="48BEB555" w:rsidR="00552EDE" w:rsidRPr="00EF2F18" w:rsidRDefault="008E67CC" w:rsidP="00552EDE">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Неадекватно управљање отпадом, такође, има утицај на здравље људи, могућим загађењем подземних вода и емисијом гасова са ефектом стаклене баште директно у атмосферу</w:t>
      </w:r>
      <w:r w:rsidR="00552EDE" w:rsidRPr="00EF2F18">
        <w:rPr>
          <w:rFonts w:ascii="Times New Roman" w:hAnsi="Times New Roman" w:cs="Times New Roman"/>
          <w:color w:val="auto"/>
          <w:sz w:val="22"/>
          <w:szCs w:val="22"/>
          <w:lang w:val="sr-Cyrl-RS"/>
        </w:rPr>
        <w:t xml:space="preserve">, </w:t>
      </w:r>
      <w:r w:rsidRPr="00EF2F18">
        <w:rPr>
          <w:rFonts w:ascii="Times New Roman" w:hAnsi="Times New Roman" w:cs="Times New Roman"/>
          <w:color w:val="auto"/>
          <w:sz w:val="22"/>
          <w:szCs w:val="22"/>
          <w:lang w:val="sr-Cyrl-RS"/>
        </w:rPr>
        <w:t>као и емисијом диоксина и фурана који могу настати самопаљењем отпада на неадекватним депонијама и сметлиштима</w:t>
      </w:r>
      <w:r w:rsidR="00552EDE" w:rsidRPr="00EF2F18">
        <w:rPr>
          <w:rFonts w:ascii="Times New Roman" w:hAnsi="Times New Roman" w:cs="Times New Roman"/>
          <w:color w:val="auto"/>
          <w:sz w:val="22"/>
          <w:szCs w:val="22"/>
          <w:lang w:val="sr-Cyrl-RS"/>
        </w:rPr>
        <w:t>.</w:t>
      </w:r>
    </w:p>
    <w:p w14:paraId="1AA32045" w14:textId="79DF1F4C" w:rsidR="00552EDE" w:rsidRPr="00EF2F18" w:rsidRDefault="00552EDE" w:rsidP="00552EDE">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Деца су посебно рањив</w:t>
      </w:r>
      <w:r w:rsidR="00A25076">
        <w:rPr>
          <w:rFonts w:ascii="Times New Roman" w:hAnsi="Times New Roman" w:cs="Times New Roman"/>
          <w:color w:val="auto"/>
          <w:sz w:val="22"/>
          <w:szCs w:val="22"/>
          <w:lang w:val="sr-Cyrl-RS"/>
        </w:rPr>
        <w:t>а на загађе</w:t>
      </w:r>
      <w:r w:rsidRPr="00EF2F18">
        <w:rPr>
          <w:rFonts w:ascii="Times New Roman" w:hAnsi="Times New Roman" w:cs="Times New Roman"/>
          <w:color w:val="auto"/>
          <w:sz w:val="22"/>
          <w:szCs w:val="22"/>
          <w:lang w:val="sr-Cyrl-RS"/>
        </w:rPr>
        <w:t>ња животне средине и потребно је посветити посебну пажњу смањењу њихове изложености код куће</w:t>
      </w:r>
      <w:r w:rsidR="008E67CC" w:rsidRPr="00EF2F18">
        <w:rPr>
          <w:rFonts w:ascii="Times New Roman" w:hAnsi="Times New Roman" w:cs="Times New Roman"/>
          <w:color w:val="auto"/>
          <w:sz w:val="22"/>
          <w:szCs w:val="22"/>
          <w:lang w:val="sr-Cyrl-RS"/>
        </w:rPr>
        <w:t xml:space="preserve"> и</w:t>
      </w:r>
      <w:r w:rsidRPr="00EF2F18">
        <w:rPr>
          <w:rFonts w:ascii="Times New Roman" w:hAnsi="Times New Roman" w:cs="Times New Roman"/>
          <w:color w:val="auto"/>
          <w:sz w:val="22"/>
          <w:szCs w:val="22"/>
          <w:lang w:val="sr-Cyrl-RS"/>
        </w:rPr>
        <w:t xml:space="preserve"> у школи. Постоји потреба да се адекватно информишу дец</w:t>
      </w:r>
      <w:r w:rsidR="008E67CC" w:rsidRPr="00EF2F18">
        <w:rPr>
          <w:rFonts w:ascii="Times New Roman" w:hAnsi="Times New Roman" w:cs="Times New Roman"/>
          <w:color w:val="auto"/>
          <w:sz w:val="22"/>
          <w:szCs w:val="22"/>
          <w:lang w:val="sr-Cyrl-RS"/>
        </w:rPr>
        <w:t>а</w:t>
      </w:r>
      <w:r w:rsidRPr="00EF2F18">
        <w:rPr>
          <w:rFonts w:ascii="Times New Roman" w:hAnsi="Times New Roman" w:cs="Times New Roman"/>
          <w:color w:val="auto"/>
          <w:sz w:val="22"/>
          <w:szCs w:val="22"/>
          <w:lang w:val="sr-Cyrl-RS"/>
        </w:rPr>
        <w:t>, родитељ</w:t>
      </w:r>
      <w:r w:rsidR="008E67CC" w:rsidRPr="00EF2F18">
        <w:rPr>
          <w:rFonts w:ascii="Times New Roman" w:hAnsi="Times New Roman" w:cs="Times New Roman"/>
          <w:color w:val="auto"/>
          <w:sz w:val="22"/>
          <w:szCs w:val="22"/>
          <w:lang w:val="sr-Cyrl-RS"/>
        </w:rPr>
        <w:t>и</w:t>
      </w:r>
      <w:r w:rsidRPr="00EF2F18">
        <w:rPr>
          <w:rFonts w:ascii="Times New Roman" w:hAnsi="Times New Roman" w:cs="Times New Roman"/>
          <w:color w:val="auto"/>
          <w:sz w:val="22"/>
          <w:szCs w:val="22"/>
          <w:lang w:val="sr-Cyrl-RS"/>
        </w:rPr>
        <w:t xml:space="preserve"> и друг</w:t>
      </w:r>
      <w:r w:rsidR="008E67CC" w:rsidRPr="00EF2F18">
        <w:rPr>
          <w:rFonts w:ascii="Times New Roman" w:hAnsi="Times New Roman" w:cs="Times New Roman"/>
          <w:color w:val="auto"/>
          <w:sz w:val="22"/>
          <w:szCs w:val="22"/>
          <w:lang w:val="sr-Cyrl-RS"/>
        </w:rPr>
        <w:t>е</w:t>
      </w:r>
      <w:r w:rsidRPr="00EF2F18">
        <w:rPr>
          <w:rFonts w:ascii="Times New Roman" w:hAnsi="Times New Roman" w:cs="Times New Roman"/>
          <w:color w:val="auto"/>
          <w:sz w:val="22"/>
          <w:szCs w:val="22"/>
          <w:lang w:val="sr-Cyrl-RS"/>
        </w:rPr>
        <w:t xml:space="preserve"> кључн</w:t>
      </w:r>
      <w:r w:rsidR="008E67CC" w:rsidRPr="00EF2F18">
        <w:rPr>
          <w:rFonts w:ascii="Times New Roman" w:hAnsi="Times New Roman" w:cs="Times New Roman"/>
          <w:color w:val="auto"/>
          <w:sz w:val="22"/>
          <w:szCs w:val="22"/>
          <w:lang w:val="sr-Cyrl-RS"/>
        </w:rPr>
        <w:t>е</w:t>
      </w:r>
      <w:r w:rsidRPr="00EF2F18">
        <w:rPr>
          <w:rFonts w:ascii="Times New Roman" w:hAnsi="Times New Roman" w:cs="Times New Roman"/>
          <w:color w:val="auto"/>
          <w:sz w:val="22"/>
          <w:szCs w:val="22"/>
          <w:lang w:val="sr-Cyrl-RS"/>
        </w:rPr>
        <w:t xml:space="preserve"> заинтересован</w:t>
      </w:r>
      <w:r w:rsidR="008E67CC" w:rsidRPr="00EF2F18">
        <w:rPr>
          <w:rFonts w:ascii="Times New Roman" w:hAnsi="Times New Roman" w:cs="Times New Roman"/>
          <w:color w:val="auto"/>
          <w:sz w:val="22"/>
          <w:szCs w:val="22"/>
          <w:lang w:val="sr-Cyrl-RS"/>
        </w:rPr>
        <w:t>е</w:t>
      </w:r>
      <w:r w:rsidRPr="00EF2F18">
        <w:rPr>
          <w:rFonts w:ascii="Times New Roman" w:hAnsi="Times New Roman" w:cs="Times New Roman"/>
          <w:color w:val="auto"/>
          <w:sz w:val="22"/>
          <w:szCs w:val="22"/>
          <w:lang w:val="sr-Cyrl-RS"/>
        </w:rPr>
        <w:t xml:space="preserve"> стран</w:t>
      </w:r>
      <w:r w:rsidR="008E67CC" w:rsidRPr="00EF2F18">
        <w:rPr>
          <w:rFonts w:ascii="Times New Roman" w:hAnsi="Times New Roman" w:cs="Times New Roman"/>
          <w:color w:val="auto"/>
          <w:sz w:val="22"/>
          <w:szCs w:val="22"/>
          <w:lang w:val="sr-Cyrl-RS"/>
        </w:rPr>
        <w:t>е</w:t>
      </w:r>
      <w:r w:rsidRPr="00EF2F18">
        <w:rPr>
          <w:rFonts w:ascii="Times New Roman" w:hAnsi="Times New Roman" w:cs="Times New Roman"/>
          <w:color w:val="auto"/>
          <w:sz w:val="22"/>
          <w:szCs w:val="22"/>
          <w:lang w:val="sr-Cyrl-RS"/>
        </w:rPr>
        <w:t xml:space="preserve"> о важности здравља и животне средине.</w:t>
      </w:r>
    </w:p>
    <w:p w14:paraId="17D856D2" w14:textId="6FBE6D36" w:rsidR="00B45689" w:rsidRPr="00EF2F18" w:rsidRDefault="002B069C" w:rsidP="002B069C">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lastRenderedPageBreak/>
        <w:t>Потребно је донети програм за процену ризика из животне средине на здравље становништва.</w:t>
      </w:r>
    </w:p>
    <w:p w14:paraId="1229C05C" w14:textId="319DCF59" w:rsidR="006B708D" w:rsidRPr="00EF2F18" w:rsidRDefault="006B708D" w:rsidP="006B708D">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Поред очувања здравља у животној средини</w:t>
      </w:r>
      <w:r w:rsidR="00866ADB"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битан фактор је и брига о окружењу у здравственим установама и безбедност пацијената и особља уз смањење изложености ризицима од болничких инфе</w:t>
      </w:r>
      <w:r w:rsidR="00A25076">
        <w:rPr>
          <w:rFonts w:ascii="Times New Roman" w:hAnsi="Times New Roman" w:cs="Times New Roman"/>
          <w:sz w:val="22"/>
          <w:szCs w:val="22"/>
          <w:lang w:val="sr-Cyrl-RS"/>
        </w:rPr>
        <w:t>к</w:t>
      </w:r>
      <w:r w:rsidRPr="00EF2F18">
        <w:rPr>
          <w:rFonts w:ascii="Times New Roman" w:hAnsi="Times New Roman" w:cs="Times New Roman"/>
          <w:sz w:val="22"/>
          <w:szCs w:val="22"/>
          <w:lang w:val="sr-Cyrl-RS"/>
        </w:rPr>
        <w:t>ција и медицинског отпада. Применом еколошких и ефикасних средстава за дезинфекцију здравствених установа (подова, површина, руку и медицинског отпада) смањује се ризик од ширења резистентних бактерија и вируса који су све већи проблем здравственог система и све већи ризик по живот и здравље пацијената и медицинских радника.</w:t>
      </w:r>
    </w:p>
    <w:p w14:paraId="53DAD15A" w14:textId="77777777" w:rsidR="009A35D4" w:rsidRPr="00EF2F18" w:rsidRDefault="009A35D4" w:rsidP="00D83673">
      <w:pPr>
        <w:pStyle w:val="Default"/>
        <w:spacing w:after="120"/>
        <w:jc w:val="both"/>
        <w:rPr>
          <w:rFonts w:ascii="Times New Roman" w:hAnsi="Times New Roman" w:cs="Times New Roman"/>
          <w:sz w:val="22"/>
          <w:szCs w:val="22"/>
          <w:lang w:val="sr-Cyrl-RS"/>
        </w:rPr>
      </w:pPr>
    </w:p>
    <w:p w14:paraId="2764FC0C" w14:textId="77777777" w:rsidR="000B197E" w:rsidRPr="00EF2F18" w:rsidRDefault="000B197E" w:rsidP="00F106C9">
      <w:pPr>
        <w:pStyle w:val="Heading2"/>
        <w:numPr>
          <w:ilvl w:val="1"/>
          <w:numId w:val="2"/>
        </w:numPr>
        <w:ind w:hanging="360"/>
        <w:jc w:val="center"/>
        <w:rPr>
          <w:rFonts w:cs="Times New Roman"/>
          <w:sz w:val="22"/>
          <w:szCs w:val="22"/>
          <w:lang w:val="sr-Cyrl-RS"/>
        </w:rPr>
      </w:pPr>
      <w:bookmarkStart w:id="58" w:name="_Toc158307709"/>
      <w:bookmarkStart w:id="59" w:name="_Toc136343431"/>
      <w:r w:rsidRPr="00EF2F18">
        <w:rPr>
          <w:rFonts w:cs="Times New Roman"/>
          <w:sz w:val="22"/>
          <w:szCs w:val="22"/>
          <w:lang w:val="sr-Cyrl-RS"/>
        </w:rPr>
        <w:t>Биодиверзитет и екосистеми</w:t>
      </w:r>
      <w:bookmarkEnd w:id="58"/>
    </w:p>
    <w:p w14:paraId="5A61ADEE" w14:textId="1C8FC2A2" w:rsidR="007F6FF0" w:rsidRPr="00EF2F18" w:rsidRDefault="0089035C" w:rsidP="00F106C9">
      <w:pPr>
        <w:pStyle w:val="Heading3"/>
        <w:numPr>
          <w:ilvl w:val="2"/>
          <w:numId w:val="2"/>
        </w:numPr>
        <w:jc w:val="center"/>
        <w:rPr>
          <w:rFonts w:cs="Times New Roman"/>
          <w:sz w:val="22"/>
          <w:szCs w:val="22"/>
          <w:lang w:val="sr-Cyrl-RS"/>
        </w:rPr>
      </w:pPr>
      <w:bookmarkStart w:id="60" w:name="_Toc158307710"/>
      <w:bookmarkEnd w:id="59"/>
      <w:r w:rsidRPr="00EF2F18">
        <w:rPr>
          <w:rFonts w:cs="Times New Roman"/>
          <w:sz w:val="22"/>
          <w:szCs w:val="22"/>
          <w:lang w:val="sr-Cyrl-RS"/>
        </w:rPr>
        <w:t>Биодиверзитет</w:t>
      </w:r>
      <w:bookmarkEnd w:id="60"/>
    </w:p>
    <w:p w14:paraId="769A2C78" w14:textId="35A3C871" w:rsidR="00F26C75" w:rsidRPr="00EF2F18" w:rsidRDefault="00F26C75" w:rsidP="00F26C75">
      <w:pPr>
        <w:pStyle w:val="NormalWeb"/>
        <w:spacing w:before="0" w:beforeAutospacing="0" w:after="0" w:afterAutospacing="0"/>
        <w:ind w:firstLine="720"/>
        <w:jc w:val="both"/>
        <w:rPr>
          <w:bCs/>
          <w:sz w:val="22"/>
          <w:szCs w:val="22"/>
          <w:lang w:val="sr-Cyrl-RS"/>
        </w:rPr>
      </w:pPr>
      <w:bookmarkStart w:id="61" w:name="_Hlk145707259"/>
      <w:r w:rsidRPr="00EF2F18">
        <w:rPr>
          <w:sz w:val="22"/>
          <w:szCs w:val="22"/>
          <w:lang w:val="sr-Cyrl-RS"/>
        </w:rPr>
        <w:t>Као део Балканског полуострва подручје Србије, посебно њен планински и високопланински део, представља један од шест центара биодиверзитета Европе. Овакав статус Србије је последица изузетно великог биодиверзитета, односно велике разноврсности гена, врста, екосистема и предела. Србија, захваљујући свом географском положају, геоморфологији и орографији, представља и веома репрезентативан рефугијални простор који је током квартарних глацијација био уточиште за велики број врста, што се данас одражава на значајан број реликтних и ендемореликтних таксона у многим таксономским групама.</w:t>
      </w:r>
      <w:r w:rsidR="00313485" w:rsidRPr="00EF2F18">
        <w:rPr>
          <w:sz w:val="22"/>
          <w:szCs w:val="22"/>
          <w:lang w:val="sr-Cyrl-RS"/>
        </w:rPr>
        <w:t xml:space="preserve"> </w:t>
      </w:r>
      <w:r w:rsidR="00313485" w:rsidRPr="00EF2F18">
        <w:rPr>
          <w:iCs/>
          <w:sz w:val="22"/>
          <w:szCs w:val="22"/>
          <w:lang w:val="sr-Cyrl-RS"/>
        </w:rPr>
        <w:t>Северни део Србије припада Панонском биогеографском региону што додатно повећава биолошку разноврсност, узимајући у обзир присуство панонских станишних типова и врста везаних за њих.</w:t>
      </w:r>
    </w:p>
    <w:p w14:paraId="13A90091" w14:textId="4B313947" w:rsidR="00F26C75" w:rsidRPr="00EF2F18" w:rsidRDefault="00F26C75" w:rsidP="00F26C75">
      <w:pPr>
        <w:pStyle w:val="NormalWeb"/>
        <w:spacing w:before="0" w:beforeAutospacing="0" w:after="0" w:afterAutospacing="0"/>
        <w:ind w:firstLine="720"/>
        <w:jc w:val="both"/>
        <w:rPr>
          <w:sz w:val="22"/>
          <w:szCs w:val="22"/>
          <w:lang w:val="sr-Cyrl-RS"/>
        </w:rPr>
      </w:pPr>
      <w:r w:rsidRPr="00EF2F18">
        <w:rPr>
          <w:bCs/>
          <w:sz w:val="22"/>
          <w:szCs w:val="22"/>
          <w:lang w:val="sr-Cyrl-RS"/>
        </w:rPr>
        <w:t>Специјска разноврсност је истраживана и документована за поједине групе</w:t>
      </w:r>
      <w:r w:rsidRPr="00EF2F18">
        <w:rPr>
          <w:sz w:val="22"/>
          <w:szCs w:val="22"/>
          <w:lang w:val="sr-Cyrl-RS"/>
        </w:rPr>
        <w:t xml:space="preserve"> организама, иако постоји асиметрија у проучености појединих група. </w:t>
      </w:r>
      <w:r w:rsidR="00260707" w:rsidRPr="00EF2F18">
        <w:rPr>
          <w:sz w:val="22"/>
          <w:szCs w:val="22"/>
          <w:lang w:val="sr-Cyrl-RS"/>
        </w:rPr>
        <w:t>Н</w:t>
      </w:r>
      <w:r w:rsidRPr="00EF2F18">
        <w:rPr>
          <w:sz w:val="22"/>
          <w:szCs w:val="22"/>
          <w:lang w:val="sr-Cyrl-RS"/>
        </w:rPr>
        <w:t>е постоје апсолутно прецизни подаци за бројеве свих група организама за подручје</w:t>
      </w:r>
      <w:r w:rsidR="00260707" w:rsidRPr="00EF2F18">
        <w:rPr>
          <w:sz w:val="22"/>
          <w:szCs w:val="22"/>
          <w:lang w:val="sr-Cyrl-RS"/>
        </w:rPr>
        <w:t xml:space="preserve"> Републике</w:t>
      </w:r>
      <w:r w:rsidRPr="00EF2F18">
        <w:rPr>
          <w:sz w:val="22"/>
          <w:szCs w:val="22"/>
          <w:lang w:val="sr-Cyrl-RS"/>
        </w:rPr>
        <w:t xml:space="preserve"> Србије, а за поједине групе они су сада већ и застарели. </w:t>
      </w:r>
      <w:bookmarkStart w:id="62" w:name="_Hlk145707318"/>
      <w:bookmarkEnd w:id="61"/>
      <w:r w:rsidRPr="00EF2F18">
        <w:rPr>
          <w:sz w:val="22"/>
          <w:szCs w:val="22"/>
          <w:lang w:val="sr-Cyrl-RS"/>
        </w:rPr>
        <w:t xml:space="preserve">Посматрајући доступне податке, за </w:t>
      </w:r>
      <w:r w:rsidR="00260707" w:rsidRPr="00EF2F18">
        <w:rPr>
          <w:sz w:val="22"/>
          <w:szCs w:val="22"/>
          <w:lang w:val="sr-Cyrl-RS"/>
        </w:rPr>
        <w:t xml:space="preserve">Републику </w:t>
      </w:r>
      <w:r w:rsidRPr="00EF2F18">
        <w:rPr>
          <w:sz w:val="22"/>
          <w:szCs w:val="22"/>
          <w:lang w:val="sr-Cyrl-RS"/>
        </w:rPr>
        <w:t xml:space="preserve">Србију је познато </w:t>
      </w:r>
      <w:bookmarkEnd w:id="62"/>
      <w:r w:rsidRPr="00EF2F18">
        <w:rPr>
          <w:sz w:val="22"/>
          <w:szCs w:val="22"/>
          <w:lang w:val="sr-Cyrl-RS"/>
        </w:rPr>
        <w:t xml:space="preserve">је око 220 врста </w:t>
      </w:r>
      <w:r w:rsidRPr="00EF2F18">
        <w:rPr>
          <w:i/>
          <w:sz w:val="22"/>
          <w:szCs w:val="22"/>
          <w:lang w:val="sr-Cyrl-RS"/>
        </w:rPr>
        <w:t>Cyanobactheria</w:t>
      </w:r>
      <w:r w:rsidRPr="00EF2F18">
        <w:rPr>
          <w:sz w:val="22"/>
          <w:szCs w:val="22"/>
          <w:lang w:val="sr-Cyrl-RS"/>
        </w:rPr>
        <w:t xml:space="preserve">, постоје веома скромни подаци за царство </w:t>
      </w:r>
      <w:r w:rsidRPr="00EF2F18">
        <w:rPr>
          <w:i/>
          <w:iCs/>
          <w:sz w:val="22"/>
          <w:szCs w:val="22"/>
          <w:lang w:val="sr-Cyrl-RS"/>
        </w:rPr>
        <w:t>Protista</w:t>
      </w:r>
      <w:r w:rsidRPr="00EF2F18">
        <w:rPr>
          <w:sz w:val="22"/>
          <w:szCs w:val="22"/>
          <w:lang w:val="sr-Cyrl-RS"/>
        </w:rPr>
        <w:t xml:space="preserve">, док готово да не постоје подаци о царству </w:t>
      </w:r>
      <w:r w:rsidRPr="00EF2F18">
        <w:rPr>
          <w:i/>
          <w:iCs/>
          <w:sz w:val="22"/>
          <w:szCs w:val="22"/>
          <w:lang w:val="sr-Cyrl-RS"/>
        </w:rPr>
        <w:t>Monera</w:t>
      </w:r>
      <w:r w:rsidRPr="00EF2F18">
        <w:rPr>
          <w:sz w:val="22"/>
          <w:szCs w:val="22"/>
          <w:lang w:val="sr-Cyrl-RS"/>
        </w:rPr>
        <w:t xml:space="preserve">. Скромни подаци за слатководне алге говоре о броју од око 1.400 врста, док је група </w:t>
      </w:r>
      <w:r w:rsidRPr="00EF2F18">
        <w:rPr>
          <w:i/>
          <w:sz w:val="22"/>
          <w:szCs w:val="22"/>
          <w:lang w:val="sr-Cyrl-RS"/>
        </w:rPr>
        <w:t>Rhizopoda</w:t>
      </w:r>
      <w:r w:rsidRPr="00EF2F18">
        <w:rPr>
          <w:sz w:val="22"/>
          <w:szCs w:val="22"/>
          <w:lang w:val="sr-Cyrl-RS"/>
        </w:rPr>
        <w:t xml:space="preserve"> заступљена са 236 врста. За царство гљива су подаци веома хетерогени и данас се спекулише о броју између 3.000 и 6.000 врста микромицета</w:t>
      </w:r>
      <w:r w:rsidRPr="00EF2F18">
        <w:rPr>
          <w:sz w:val="22"/>
          <w:lang w:val="sr-Cyrl-RS"/>
        </w:rPr>
        <w:t xml:space="preserve"> и 1.300 врста гљива. Група лишајева броји 586 врста. Вероватно најбоље проучена група организама са доступним подацима је царство биљака. Број врста васкуларне флоре (папратњаче, голосеменице и скривеносеменице) се креће између 3.900 и 4.000, док флора маховина броји око 800 врста од чега 645 правих маховина и 120 јетрењача.</w:t>
      </w:r>
    </w:p>
    <w:p w14:paraId="55876FA6" w14:textId="6B0DA6C6" w:rsidR="00F26C75" w:rsidRPr="00EF2F18" w:rsidRDefault="00F26C75" w:rsidP="00F26C75">
      <w:pPr>
        <w:pStyle w:val="NormalWeb"/>
        <w:spacing w:before="0" w:beforeAutospacing="0" w:after="0" w:afterAutospacing="0"/>
        <w:ind w:firstLine="720"/>
        <w:jc w:val="both"/>
        <w:rPr>
          <w:sz w:val="22"/>
          <w:szCs w:val="22"/>
          <w:lang w:val="sr-Cyrl-RS"/>
        </w:rPr>
      </w:pPr>
      <w:r w:rsidRPr="00EF2F18">
        <w:rPr>
          <w:sz w:val="22"/>
          <w:szCs w:val="22"/>
          <w:lang w:val="sr-Cyrl-RS"/>
        </w:rPr>
        <w:t xml:space="preserve">У Републици Србији се налази 3.662 врсте и подврсте васкуларне флоре (39% европске васкуларне флоре), 98 врста риба (51% фауне </w:t>
      </w:r>
      <w:r w:rsidR="00B61308" w:rsidRPr="00EF2F18">
        <w:rPr>
          <w:sz w:val="22"/>
          <w:szCs w:val="22"/>
          <w:lang w:val="sr-Cyrl-RS"/>
        </w:rPr>
        <w:t xml:space="preserve">риба </w:t>
      </w:r>
      <w:r w:rsidRPr="00EF2F18">
        <w:rPr>
          <w:sz w:val="22"/>
          <w:szCs w:val="22"/>
          <w:lang w:val="sr-Cyrl-RS"/>
        </w:rPr>
        <w:t xml:space="preserve">Европе), 45 врста водоземаца и гмизаваца (49% фауне водоземаца и гмизаваца Европе), 360 врста птица (74% птичје фауне у Европи), 95 врстa сисара (67% европских сисара). Познато је 139 врста ваљкастих црва </w:t>
      </w:r>
      <w:r w:rsidRPr="00EF2F18">
        <w:rPr>
          <w:i/>
          <w:sz w:val="22"/>
          <w:szCs w:val="22"/>
          <w:lang w:val="sr-Cyrl-RS"/>
        </w:rPr>
        <w:t>Nematodes</w:t>
      </w:r>
      <w:r w:rsidRPr="00EF2F18">
        <w:rPr>
          <w:sz w:val="22"/>
          <w:szCs w:val="22"/>
          <w:lang w:val="sr-Cyrl-RS"/>
        </w:rPr>
        <w:t>, око 400 врста пужева (</w:t>
      </w:r>
      <w:r w:rsidRPr="00EF2F18">
        <w:rPr>
          <w:i/>
          <w:iCs/>
          <w:sz w:val="22"/>
          <w:szCs w:val="22"/>
          <w:lang w:val="sr-Cyrl-RS"/>
        </w:rPr>
        <w:t>Gastropoda</w:t>
      </w:r>
      <w:r w:rsidRPr="00EF2F18">
        <w:rPr>
          <w:sz w:val="22"/>
          <w:szCs w:val="22"/>
          <w:lang w:val="sr-Cyrl-RS"/>
        </w:rPr>
        <w:t>) и преко 214 врста различитих група ракова (</w:t>
      </w:r>
      <w:r w:rsidRPr="00EF2F18">
        <w:rPr>
          <w:i/>
          <w:sz w:val="22"/>
          <w:szCs w:val="22"/>
          <w:lang w:val="sr-Cyrl-RS"/>
        </w:rPr>
        <w:t>Crustacea</w:t>
      </w:r>
      <w:r w:rsidRPr="00EF2F18">
        <w:rPr>
          <w:sz w:val="22"/>
          <w:szCs w:val="22"/>
          <w:lang w:val="sr-Cyrl-RS"/>
        </w:rPr>
        <w:t>). Међутим најхетерогенија група – Insecta (</w:t>
      </w:r>
      <w:r w:rsidRPr="00EF2F18">
        <w:rPr>
          <w:i/>
          <w:sz w:val="22"/>
          <w:szCs w:val="22"/>
          <w:lang w:val="sr-Cyrl-RS"/>
        </w:rPr>
        <w:t>Hexapoda</w:t>
      </w:r>
      <w:r w:rsidRPr="00EF2F18">
        <w:rPr>
          <w:sz w:val="22"/>
          <w:szCs w:val="22"/>
          <w:lang w:val="sr-Cyrl-RS"/>
        </w:rPr>
        <w:t>) инсекти, је истражена само на нивоу неких редова, а претпоставља се да само група опнокрилаца (</w:t>
      </w:r>
      <w:r w:rsidRPr="00EF2F18">
        <w:rPr>
          <w:i/>
          <w:sz w:val="22"/>
          <w:szCs w:val="22"/>
          <w:lang w:val="sr-Cyrl-RS"/>
        </w:rPr>
        <w:t>Hymenoptera</w:t>
      </w:r>
      <w:r w:rsidRPr="00EF2F18">
        <w:rPr>
          <w:sz w:val="22"/>
          <w:szCs w:val="22"/>
          <w:lang w:val="sr-Cyrl-RS"/>
        </w:rPr>
        <w:t>), двокрилаца (</w:t>
      </w:r>
      <w:r w:rsidRPr="00EF2F18">
        <w:rPr>
          <w:i/>
          <w:sz w:val="22"/>
          <w:szCs w:val="22"/>
          <w:lang w:val="sr-Cyrl-RS"/>
        </w:rPr>
        <w:t>Diptera</w:t>
      </w:r>
      <w:r w:rsidRPr="00EF2F18">
        <w:rPr>
          <w:sz w:val="22"/>
          <w:szCs w:val="22"/>
          <w:lang w:val="sr-Cyrl-RS"/>
        </w:rPr>
        <w:t>) и тврдокрилаца (</w:t>
      </w:r>
      <w:r w:rsidRPr="00EF2F18">
        <w:rPr>
          <w:i/>
          <w:sz w:val="22"/>
          <w:szCs w:val="22"/>
          <w:lang w:val="sr-Cyrl-RS"/>
        </w:rPr>
        <w:t>Coleoptera</w:t>
      </w:r>
      <w:r w:rsidRPr="00EF2F18">
        <w:rPr>
          <w:sz w:val="22"/>
          <w:szCs w:val="22"/>
          <w:lang w:val="sr-Cyrl-RS"/>
        </w:rPr>
        <w:t>) имају свака више од по 10.000 врста.</w:t>
      </w:r>
    </w:p>
    <w:p w14:paraId="417554A4" w14:textId="4D2E7CDB" w:rsidR="00700913" w:rsidRPr="00EF2F18" w:rsidRDefault="00F26C75" w:rsidP="00FF6235">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Проценат ендемских и реликтних врста је висок и центри екосистемског диверзитета укључују значајан број ендемских, реликтних или ендемореликтних таксона.</w:t>
      </w:r>
      <w:r w:rsidR="00404B57" w:rsidRPr="00EF2F18">
        <w:rPr>
          <w:rFonts w:cs="Times New Roman"/>
          <w:sz w:val="22"/>
          <w:lang w:val="sr-Cyrl-RS"/>
        </w:rPr>
        <w:t xml:space="preserve"> Према подацима</w:t>
      </w:r>
      <w:r w:rsidR="006C2E00" w:rsidRPr="00EF2F18">
        <w:rPr>
          <w:rFonts w:cs="Times New Roman"/>
          <w:sz w:val="22"/>
          <w:lang w:val="sr-Cyrl-RS"/>
        </w:rPr>
        <w:t xml:space="preserve"> </w:t>
      </w:r>
      <w:r w:rsidR="00404B57" w:rsidRPr="00EF2F18">
        <w:rPr>
          <w:rFonts w:cs="Times New Roman"/>
          <w:sz w:val="22"/>
          <w:lang w:val="sr-Cyrl-RS"/>
        </w:rPr>
        <w:t xml:space="preserve">Програма заштите природе Републике Србије </w:t>
      </w:r>
      <w:r w:rsidR="0064007B" w:rsidRPr="00EF2F18">
        <w:rPr>
          <w:rFonts w:cs="Times New Roman"/>
          <w:sz w:val="22"/>
          <w:lang w:val="sr-Cyrl-RS"/>
        </w:rPr>
        <w:t xml:space="preserve">за период од </w:t>
      </w:r>
      <w:r w:rsidR="00404B57" w:rsidRPr="00EF2F18">
        <w:rPr>
          <w:rFonts w:cs="Times New Roman"/>
          <w:sz w:val="22"/>
          <w:lang w:val="sr-Cyrl-RS"/>
        </w:rPr>
        <w:t>2021</w:t>
      </w:r>
      <w:r w:rsidR="0064007B" w:rsidRPr="00EF2F18">
        <w:rPr>
          <w:rFonts w:cs="Times New Roman"/>
          <w:sz w:val="22"/>
          <w:lang w:val="sr-Cyrl-RS"/>
        </w:rPr>
        <w:t>. до</w:t>
      </w:r>
      <w:r w:rsidR="00404B57" w:rsidRPr="00EF2F18">
        <w:rPr>
          <w:rFonts w:cs="Times New Roman"/>
          <w:sz w:val="22"/>
          <w:lang w:val="sr-Cyrl-RS"/>
        </w:rPr>
        <w:t xml:space="preserve"> 2023</w:t>
      </w:r>
      <w:r w:rsidR="0064007B" w:rsidRPr="00EF2F18">
        <w:rPr>
          <w:rFonts w:cs="Times New Roman"/>
          <w:sz w:val="22"/>
          <w:lang w:val="sr-Cyrl-RS"/>
        </w:rPr>
        <w:t>. године</w:t>
      </w:r>
      <w:r w:rsidR="00404B57" w:rsidRPr="00EF2F18">
        <w:rPr>
          <w:rFonts w:cs="Times New Roman"/>
          <w:sz w:val="22"/>
          <w:lang w:val="sr-Cyrl-RS"/>
        </w:rPr>
        <w:t>,</w:t>
      </w:r>
      <w:r w:rsidR="006C2E00" w:rsidRPr="00EF2F18">
        <w:rPr>
          <w:rFonts w:cs="Times New Roman"/>
          <w:sz w:val="22"/>
          <w:lang w:val="sr-Cyrl-RS"/>
        </w:rPr>
        <w:t xml:space="preserve"> </w:t>
      </w:r>
      <w:r w:rsidR="00404B57" w:rsidRPr="00EF2F18">
        <w:rPr>
          <w:rFonts w:cs="Times New Roman"/>
          <w:sz w:val="22"/>
          <w:lang w:val="sr-Cyrl-RS"/>
        </w:rPr>
        <w:t xml:space="preserve">балкански </w:t>
      </w:r>
      <w:r w:rsidRPr="00EF2F18">
        <w:rPr>
          <w:rFonts w:cs="Times New Roman"/>
          <w:sz w:val="22"/>
          <w:lang w:val="sr-Cyrl-RS"/>
        </w:rPr>
        <w:t>ендемити чине око 14,94% флоре Републике Србије (547 врста), док локалне ендемичне врсте чине 1,5% (59 врста). Налазе се углавном у брдским и планинским зонама Републике Србије, у високопланинским подручјима, али и у панонским пешчарама и мозаичним слатинама (Делиблатска и Суботичко-Хоргошка пешчара и мозаичне слатине у Банату и Бачкој, у Војводини), те рефугијалним стаништима у виду клисура и кањона. Највећи степен ендемизма у Републици Србији је утврђен код инсеката и васкуларних биљака</w:t>
      </w:r>
      <w:r w:rsidR="00BF78D1" w:rsidRPr="00EF2F18">
        <w:rPr>
          <w:rFonts w:cs="Times New Roman"/>
          <w:sz w:val="22"/>
          <w:lang w:val="sr-Cyrl-RS"/>
        </w:rPr>
        <w:t>.</w:t>
      </w:r>
    </w:p>
    <w:p w14:paraId="4FA64CD3" w14:textId="468AEF14" w:rsidR="00F26C75" w:rsidRPr="00EF2F18" w:rsidRDefault="00F26C75" w:rsidP="00F26C75">
      <w:pPr>
        <w:spacing w:after="0"/>
        <w:ind w:firstLine="720"/>
        <w:jc w:val="both"/>
        <w:rPr>
          <w:rFonts w:cs="Times New Roman"/>
          <w:sz w:val="22"/>
          <w:lang w:val="sr-Cyrl-RS"/>
        </w:rPr>
      </w:pPr>
      <w:r w:rsidRPr="00EF2F18">
        <w:rPr>
          <w:rFonts w:cs="Times New Roman"/>
          <w:sz w:val="22"/>
          <w:lang w:val="sr-Cyrl-RS"/>
        </w:rPr>
        <w:t>Попис биодиверзитета, угрожених станишта, ретких и ендемичних врста није завршен у потпуности.</w:t>
      </w:r>
      <w:r w:rsidRPr="00EF2F18">
        <w:rPr>
          <w:rFonts w:cs="Times New Roman"/>
          <w:sz w:val="22"/>
          <w:lang w:val="sr-Cyrl-RS" w:eastAsia="en-GB"/>
        </w:rPr>
        <w:t xml:space="preserve"> У последње две деценије, после објављивања прве Црвене књиге флоре Републике Србије (ишчезли и крајње угрожени таксони) 1999. године и Црвене књиге дневних лептира Републике Србије 2003. године, израђени су прилози за шири попис биодиверзитета </w:t>
      </w:r>
      <w:r w:rsidRPr="00EF2F18">
        <w:rPr>
          <w:rFonts w:cs="Times New Roman"/>
          <w:sz w:val="22"/>
          <w:lang w:val="sr-Cyrl-RS" w:eastAsia="en-GB"/>
        </w:rPr>
        <w:lastRenderedPageBreak/>
        <w:t xml:space="preserve">објављивањем </w:t>
      </w:r>
      <w:r w:rsidRPr="00EF2F18">
        <w:rPr>
          <w:rFonts w:cs="Times New Roman"/>
          <w:sz w:val="22"/>
          <w:lang w:val="sr-Cyrl-RS"/>
        </w:rPr>
        <w:t>прве две црвене књиге кичмењачке фауне (2015. године Црвена књига фауне I – Водоземци која обухвата 47% фауне водоземаца, Црвена књига фауне II – Гмизавци, која обухвата 75% врста гмизаваца). Године 2018. објављена је Црвена књига фауне Републике Србије IV – Правокрилци, која је обухватила 45 угрожених таксона правокрилаца у фауни Србије. Године 2019. је објављена Црвена књига фауне Републике Србије III – Птице са 352 таксона. До краја 2023. године, очекује се публиковање Црвене књиге риба Србије и Црвене књиге водених бескичмењака Србије</w:t>
      </w:r>
      <w:r w:rsidR="0077361E" w:rsidRPr="00EF2F18">
        <w:rPr>
          <w:rFonts w:cs="Times New Roman"/>
          <w:sz w:val="22"/>
          <w:lang w:val="sr-Cyrl-RS"/>
        </w:rPr>
        <w:t>.</w:t>
      </w:r>
      <w:r w:rsidRPr="00EF2F18">
        <w:rPr>
          <w:rFonts w:cs="Times New Roman"/>
          <w:sz w:val="22"/>
          <w:lang w:val="sr-Cyrl-RS"/>
        </w:rPr>
        <w:t xml:space="preserve"> Међутим, многе групе нису уопште идентификоване, нити пописане. Рад на Црвеној листи фауне Србије је у завршној фази, а Црвене листе васкуларне флоре, маховина и гљива се очекују у најскоријем периоду.</w:t>
      </w:r>
    </w:p>
    <w:p w14:paraId="3B6838F1" w14:textId="095C4734" w:rsidR="00F26C75" w:rsidRPr="00EF2F18" w:rsidRDefault="00830EB6" w:rsidP="00830EB6">
      <w:pPr>
        <w:spacing w:after="0"/>
        <w:ind w:firstLine="720"/>
        <w:jc w:val="both"/>
        <w:rPr>
          <w:rFonts w:cs="Times New Roman"/>
          <w:sz w:val="22"/>
          <w:lang w:val="sr-Cyrl-RS"/>
        </w:rPr>
      </w:pPr>
      <w:r w:rsidRPr="00EF2F18">
        <w:rPr>
          <w:rFonts w:cs="Times New Roman"/>
          <w:sz w:val="22"/>
          <w:lang w:val="sr-Cyrl-RS"/>
        </w:rPr>
        <w:t>У Републици Србији Правилником о проглашењу и заштити строго заштићених и заштићених дивљих врста биљака, животиња и гљива обухваћено је 2</w:t>
      </w:r>
      <w:r w:rsidR="0057618D" w:rsidRPr="00EF2F18">
        <w:rPr>
          <w:rFonts w:cs="Times New Roman"/>
          <w:sz w:val="22"/>
          <w:lang w:val="sr-Cyrl-RS"/>
        </w:rPr>
        <w:t>.</w:t>
      </w:r>
      <w:r w:rsidRPr="00EF2F18">
        <w:rPr>
          <w:rFonts w:cs="Times New Roman"/>
          <w:sz w:val="22"/>
          <w:lang w:val="sr-Cyrl-RS"/>
        </w:rPr>
        <w:t>6</w:t>
      </w:r>
      <w:r w:rsidR="0057618D" w:rsidRPr="00EF2F18">
        <w:rPr>
          <w:rFonts w:cs="Times New Roman"/>
          <w:sz w:val="22"/>
          <w:lang w:val="sr-Cyrl-RS"/>
        </w:rPr>
        <w:t>49</w:t>
      </w:r>
      <w:r w:rsidRPr="00EF2F18">
        <w:rPr>
          <w:rFonts w:cs="Times New Roman"/>
          <w:sz w:val="22"/>
          <w:lang w:val="sr-Cyrl-RS"/>
        </w:rPr>
        <w:t xml:space="preserve"> дивљих врста од чега 1.784 строго заштићених и 865 заштићених врста.</w:t>
      </w:r>
    </w:p>
    <w:p w14:paraId="4112E213" w14:textId="77777777" w:rsidR="00830EB6" w:rsidRPr="00EF2F18" w:rsidRDefault="00830EB6" w:rsidP="00CB74C9">
      <w:pPr>
        <w:spacing w:after="0"/>
        <w:ind w:firstLine="720"/>
        <w:jc w:val="both"/>
        <w:rPr>
          <w:rFonts w:cs="Times New Roman"/>
          <w:bCs/>
          <w:sz w:val="22"/>
          <w:lang w:val="sr-Cyrl-RS"/>
        </w:rPr>
      </w:pPr>
    </w:p>
    <w:p w14:paraId="285D5888" w14:textId="77777777" w:rsidR="00F26C75" w:rsidRPr="00EF2F18" w:rsidRDefault="00F26C75" w:rsidP="00F26C75">
      <w:pPr>
        <w:spacing w:after="0"/>
        <w:rPr>
          <w:rFonts w:cs="Times New Roman"/>
          <w:sz w:val="22"/>
          <w:lang w:val="sr-Cyrl-RS"/>
        </w:rPr>
      </w:pPr>
      <w:r w:rsidRPr="00EF2F18">
        <w:rPr>
          <w:rFonts w:cs="Times New Roman"/>
          <w:b/>
          <w:bCs/>
          <w:sz w:val="22"/>
          <w:lang w:val="sr-Cyrl-RS"/>
        </w:rPr>
        <w:t>Табела 3.2</w:t>
      </w:r>
      <w:r w:rsidRPr="00EF2F18">
        <w:rPr>
          <w:rFonts w:cs="Times New Roman"/>
          <w:sz w:val="22"/>
          <w:lang w:val="sr-Cyrl-RS"/>
        </w:rPr>
        <w:t xml:space="preserve">. Број строго заштићених и заштићених дивљих врста биљака, животиња и гљива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595"/>
        <w:gridCol w:w="2610"/>
        <w:gridCol w:w="2700"/>
      </w:tblGrid>
      <w:tr w:rsidR="0052633C" w:rsidRPr="00EF2F18" w14:paraId="4B201179" w14:textId="77777777" w:rsidTr="006B4DF8">
        <w:trPr>
          <w:trHeight w:val="152"/>
        </w:trPr>
        <w:tc>
          <w:tcPr>
            <w:tcW w:w="3595" w:type="dxa"/>
            <w:tcBorders>
              <w:left w:val="single" w:sz="4" w:space="0" w:color="auto"/>
              <w:bottom w:val="single" w:sz="4" w:space="0" w:color="auto"/>
            </w:tcBorders>
            <w:shd w:val="clear" w:color="auto" w:fill="FFFFCC"/>
            <w:vAlign w:val="center"/>
          </w:tcPr>
          <w:p w14:paraId="1CBFC72C" w14:textId="77777777" w:rsidR="0052633C" w:rsidRPr="00EF2F18" w:rsidRDefault="0052633C" w:rsidP="00AF36A7">
            <w:pPr>
              <w:spacing w:after="0"/>
              <w:ind w:left="162"/>
              <w:rPr>
                <w:rFonts w:cs="Times New Roman"/>
                <w:b/>
                <w:bCs/>
                <w:sz w:val="22"/>
                <w:lang w:val="sr-Cyrl-RS"/>
              </w:rPr>
            </w:pPr>
            <w:r w:rsidRPr="00EF2F18">
              <w:rPr>
                <w:rFonts w:cs="Times New Roman"/>
                <w:b/>
                <w:bCs/>
                <w:sz w:val="22"/>
                <w:lang w:val="sr-Cyrl-RS"/>
              </w:rPr>
              <w:t>Врсте</w:t>
            </w:r>
          </w:p>
        </w:tc>
        <w:tc>
          <w:tcPr>
            <w:tcW w:w="2610" w:type="dxa"/>
            <w:tcBorders>
              <w:bottom w:val="single" w:sz="4" w:space="0" w:color="auto"/>
            </w:tcBorders>
            <w:shd w:val="clear" w:color="auto" w:fill="FFFFCC"/>
            <w:vAlign w:val="center"/>
          </w:tcPr>
          <w:p w14:paraId="04489BDC" w14:textId="3E4F5817" w:rsidR="0052633C" w:rsidRPr="00EF2F18" w:rsidRDefault="006B3103" w:rsidP="00AF36A7">
            <w:pPr>
              <w:spacing w:after="0"/>
              <w:ind w:left="174"/>
              <w:jc w:val="center"/>
              <w:rPr>
                <w:rFonts w:cs="Times New Roman"/>
                <w:b/>
                <w:bCs/>
                <w:sz w:val="22"/>
                <w:lang w:val="sr-Cyrl-RS"/>
              </w:rPr>
            </w:pPr>
            <w:r w:rsidRPr="00EF2F18">
              <w:rPr>
                <w:rFonts w:cs="Times New Roman"/>
                <w:b/>
                <w:bCs/>
                <w:sz w:val="22"/>
                <w:lang w:val="sr-Cyrl-RS"/>
              </w:rPr>
              <w:t>С</w:t>
            </w:r>
            <w:r w:rsidR="0052633C" w:rsidRPr="00EF2F18">
              <w:rPr>
                <w:rFonts w:cs="Times New Roman"/>
                <w:b/>
                <w:bCs/>
                <w:sz w:val="22"/>
                <w:lang w:val="sr-Cyrl-RS"/>
              </w:rPr>
              <w:t>трого заштићене</w:t>
            </w:r>
          </w:p>
        </w:tc>
        <w:tc>
          <w:tcPr>
            <w:tcW w:w="2700" w:type="dxa"/>
            <w:tcBorders>
              <w:bottom w:val="single" w:sz="4" w:space="0" w:color="auto"/>
              <w:right w:val="single" w:sz="4" w:space="0" w:color="auto"/>
            </w:tcBorders>
            <w:shd w:val="clear" w:color="auto" w:fill="FFFFCC"/>
            <w:vAlign w:val="center"/>
          </w:tcPr>
          <w:p w14:paraId="708FF53A" w14:textId="46B188C4" w:rsidR="0052633C" w:rsidRPr="00EF2F18" w:rsidRDefault="006B3103" w:rsidP="00AF36A7">
            <w:pPr>
              <w:spacing w:after="0"/>
              <w:ind w:left="174"/>
              <w:jc w:val="center"/>
              <w:rPr>
                <w:rFonts w:cs="Times New Roman"/>
                <w:b/>
                <w:bCs/>
                <w:sz w:val="22"/>
                <w:lang w:val="sr-Cyrl-RS"/>
              </w:rPr>
            </w:pPr>
            <w:r w:rsidRPr="00EF2F18">
              <w:rPr>
                <w:rFonts w:cs="Times New Roman"/>
                <w:b/>
                <w:bCs/>
                <w:sz w:val="22"/>
                <w:lang w:val="sr-Cyrl-RS"/>
              </w:rPr>
              <w:t>З</w:t>
            </w:r>
            <w:r w:rsidR="0052633C" w:rsidRPr="00EF2F18">
              <w:rPr>
                <w:rFonts w:cs="Times New Roman"/>
                <w:b/>
                <w:bCs/>
                <w:sz w:val="22"/>
                <w:lang w:val="sr-Cyrl-RS"/>
              </w:rPr>
              <w:t>аштићене</w:t>
            </w:r>
          </w:p>
        </w:tc>
      </w:tr>
      <w:tr w:rsidR="0052633C" w:rsidRPr="00EF2F18" w14:paraId="06CBB89B" w14:textId="77777777" w:rsidTr="006B4DF8">
        <w:trPr>
          <w:trHeight w:val="330"/>
        </w:trPr>
        <w:tc>
          <w:tcPr>
            <w:tcW w:w="3595" w:type="dxa"/>
            <w:tcBorders>
              <w:left w:val="single" w:sz="4" w:space="0" w:color="auto"/>
              <w:bottom w:val="single" w:sz="4" w:space="0" w:color="auto"/>
            </w:tcBorders>
            <w:vAlign w:val="center"/>
          </w:tcPr>
          <w:p w14:paraId="284B2367"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 xml:space="preserve">Сисари </w:t>
            </w:r>
          </w:p>
        </w:tc>
        <w:tc>
          <w:tcPr>
            <w:tcW w:w="2610" w:type="dxa"/>
            <w:tcBorders>
              <w:bottom w:val="single" w:sz="4" w:space="0" w:color="auto"/>
            </w:tcBorders>
            <w:vAlign w:val="center"/>
          </w:tcPr>
          <w:p w14:paraId="6599F517"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51</w:t>
            </w:r>
          </w:p>
        </w:tc>
        <w:tc>
          <w:tcPr>
            <w:tcW w:w="2700" w:type="dxa"/>
            <w:tcBorders>
              <w:bottom w:val="single" w:sz="4" w:space="0" w:color="auto"/>
              <w:right w:val="single" w:sz="4" w:space="0" w:color="auto"/>
            </w:tcBorders>
            <w:vAlign w:val="center"/>
          </w:tcPr>
          <w:p w14:paraId="5E5C68EB"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30</w:t>
            </w:r>
          </w:p>
        </w:tc>
      </w:tr>
      <w:tr w:rsidR="0052633C" w:rsidRPr="00EF2F18" w14:paraId="3B593DFE" w14:textId="77777777" w:rsidTr="006B4DF8">
        <w:trPr>
          <w:trHeight w:val="58"/>
        </w:trPr>
        <w:tc>
          <w:tcPr>
            <w:tcW w:w="3595" w:type="dxa"/>
            <w:tcBorders>
              <w:top w:val="single" w:sz="4" w:space="0" w:color="auto"/>
              <w:left w:val="single" w:sz="4" w:space="0" w:color="auto"/>
              <w:bottom w:val="single" w:sz="4" w:space="0" w:color="auto"/>
            </w:tcBorders>
            <w:vAlign w:val="center"/>
          </w:tcPr>
          <w:p w14:paraId="5075B90C"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Птице</w:t>
            </w:r>
          </w:p>
        </w:tc>
        <w:tc>
          <w:tcPr>
            <w:tcW w:w="2610" w:type="dxa"/>
            <w:tcBorders>
              <w:top w:val="single" w:sz="4" w:space="0" w:color="auto"/>
              <w:bottom w:val="single" w:sz="4" w:space="0" w:color="auto"/>
            </w:tcBorders>
            <w:vAlign w:val="center"/>
          </w:tcPr>
          <w:p w14:paraId="4F48D7AD"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307</w:t>
            </w:r>
          </w:p>
        </w:tc>
        <w:tc>
          <w:tcPr>
            <w:tcW w:w="2700" w:type="dxa"/>
            <w:tcBorders>
              <w:top w:val="single" w:sz="4" w:space="0" w:color="auto"/>
              <w:bottom w:val="single" w:sz="4" w:space="0" w:color="auto"/>
              <w:right w:val="single" w:sz="4" w:space="0" w:color="auto"/>
            </w:tcBorders>
            <w:vAlign w:val="center"/>
          </w:tcPr>
          <w:p w14:paraId="3886EB47"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35</w:t>
            </w:r>
          </w:p>
        </w:tc>
      </w:tr>
      <w:tr w:rsidR="0052633C" w:rsidRPr="00EF2F18" w14:paraId="72714477" w14:textId="77777777" w:rsidTr="006B4DF8">
        <w:trPr>
          <w:trHeight w:val="330"/>
        </w:trPr>
        <w:tc>
          <w:tcPr>
            <w:tcW w:w="3595" w:type="dxa"/>
            <w:tcBorders>
              <w:top w:val="single" w:sz="4" w:space="0" w:color="auto"/>
              <w:left w:val="single" w:sz="4" w:space="0" w:color="auto"/>
              <w:bottom w:val="single" w:sz="4" w:space="0" w:color="auto"/>
            </w:tcBorders>
            <w:vAlign w:val="center"/>
          </w:tcPr>
          <w:p w14:paraId="69AC0E9D"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Гмизавци</w:t>
            </w:r>
          </w:p>
        </w:tc>
        <w:tc>
          <w:tcPr>
            <w:tcW w:w="2610" w:type="dxa"/>
            <w:tcBorders>
              <w:top w:val="single" w:sz="4" w:space="0" w:color="auto"/>
              <w:bottom w:val="single" w:sz="4" w:space="0" w:color="auto"/>
            </w:tcBorders>
            <w:vAlign w:val="center"/>
          </w:tcPr>
          <w:p w14:paraId="08B998F8"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18</w:t>
            </w:r>
          </w:p>
        </w:tc>
        <w:tc>
          <w:tcPr>
            <w:tcW w:w="2700" w:type="dxa"/>
            <w:tcBorders>
              <w:top w:val="single" w:sz="4" w:space="0" w:color="auto"/>
              <w:bottom w:val="single" w:sz="4" w:space="0" w:color="auto"/>
              <w:right w:val="single" w:sz="4" w:space="0" w:color="auto"/>
            </w:tcBorders>
            <w:vAlign w:val="center"/>
          </w:tcPr>
          <w:p w14:paraId="532E2634"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2</w:t>
            </w:r>
          </w:p>
        </w:tc>
      </w:tr>
      <w:tr w:rsidR="0052633C" w:rsidRPr="00EF2F18" w14:paraId="67BC0613" w14:textId="77777777" w:rsidTr="006B4DF8">
        <w:trPr>
          <w:trHeight w:val="330"/>
        </w:trPr>
        <w:tc>
          <w:tcPr>
            <w:tcW w:w="3595" w:type="dxa"/>
            <w:tcBorders>
              <w:top w:val="single" w:sz="4" w:space="0" w:color="auto"/>
              <w:left w:val="single" w:sz="4" w:space="0" w:color="auto"/>
              <w:bottom w:val="single" w:sz="4" w:space="0" w:color="auto"/>
            </w:tcBorders>
            <w:vAlign w:val="center"/>
          </w:tcPr>
          <w:p w14:paraId="7E5C6CCF"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Водоземци</w:t>
            </w:r>
          </w:p>
        </w:tc>
        <w:tc>
          <w:tcPr>
            <w:tcW w:w="2610" w:type="dxa"/>
            <w:tcBorders>
              <w:top w:val="single" w:sz="4" w:space="0" w:color="auto"/>
              <w:bottom w:val="single" w:sz="4" w:space="0" w:color="auto"/>
            </w:tcBorders>
            <w:vAlign w:val="center"/>
          </w:tcPr>
          <w:p w14:paraId="3AC72A79"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18</w:t>
            </w:r>
          </w:p>
        </w:tc>
        <w:tc>
          <w:tcPr>
            <w:tcW w:w="2700" w:type="dxa"/>
            <w:tcBorders>
              <w:top w:val="single" w:sz="4" w:space="0" w:color="auto"/>
              <w:bottom w:val="single" w:sz="4" w:space="0" w:color="auto"/>
              <w:right w:val="single" w:sz="4" w:space="0" w:color="auto"/>
            </w:tcBorders>
            <w:vAlign w:val="center"/>
          </w:tcPr>
          <w:p w14:paraId="05B545BE"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w:t>
            </w:r>
          </w:p>
        </w:tc>
      </w:tr>
      <w:tr w:rsidR="0052633C" w:rsidRPr="00EF2F18" w14:paraId="5A154BAD" w14:textId="77777777" w:rsidTr="006B4DF8">
        <w:trPr>
          <w:trHeight w:val="330"/>
        </w:trPr>
        <w:tc>
          <w:tcPr>
            <w:tcW w:w="3595" w:type="dxa"/>
            <w:tcBorders>
              <w:top w:val="single" w:sz="4" w:space="0" w:color="auto"/>
              <w:left w:val="single" w:sz="4" w:space="0" w:color="auto"/>
              <w:bottom w:val="single" w:sz="4" w:space="0" w:color="auto"/>
            </w:tcBorders>
            <w:vAlign w:val="center"/>
          </w:tcPr>
          <w:p w14:paraId="3342035C"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Рибе</w:t>
            </w:r>
          </w:p>
        </w:tc>
        <w:tc>
          <w:tcPr>
            <w:tcW w:w="2610" w:type="dxa"/>
            <w:tcBorders>
              <w:top w:val="single" w:sz="4" w:space="0" w:color="auto"/>
              <w:bottom w:val="single" w:sz="4" w:space="0" w:color="auto"/>
            </w:tcBorders>
            <w:vAlign w:val="center"/>
          </w:tcPr>
          <w:p w14:paraId="0687AEF3"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38</w:t>
            </w:r>
          </w:p>
        </w:tc>
        <w:tc>
          <w:tcPr>
            <w:tcW w:w="2700" w:type="dxa"/>
            <w:tcBorders>
              <w:top w:val="single" w:sz="4" w:space="0" w:color="auto"/>
              <w:bottom w:val="single" w:sz="4" w:space="0" w:color="auto"/>
              <w:right w:val="single" w:sz="4" w:space="0" w:color="auto"/>
            </w:tcBorders>
            <w:vAlign w:val="center"/>
          </w:tcPr>
          <w:p w14:paraId="1E4F618B"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29</w:t>
            </w:r>
          </w:p>
        </w:tc>
      </w:tr>
      <w:tr w:rsidR="0052633C" w:rsidRPr="00EF2F18" w14:paraId="443369CC" w14:textId="77777777" w:rsidTr="006B4DF8">
        <w:trPr>
          <w:trHeight w:val="330"/>
        </w:trPr>
        <w:tc>
          <w:tcPr>
            <w:tcW w:w="3595" w:type="dxa"/>
            <w:tcBorders>
              <w:top w:val="single" w:sz="4" w:space="0" w:color="auto"/>
              <w:left w:val="single" w:sz="4" w:space="0" w:color="auto"/>
              <w:bottom w:val="single" w:sz="4" w:space="0" w:color="auto"/>
            </w:tcBorders>
            <w:vAlign w:val="center"/>
          </w:tcPr>
          <w:p w14:paraId="7E052228"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Бескичмењаци</w:t>
            </w:r>
          </w:p>
        </w:tc>
        <w:tc>
          <w:tcPr>
            <w:tcW w:w="2610" w:type="dxa"/>
            <w:tcBorders>
              <w:top w:val="single" w:sz="4" w:space="0" w:color="auto"/>
              <w:bottom w:val="single" w:sz="4" w:space="0" w:color="auto"/>
            </w:tcBorders>
            <w:vAlign w:val="center"/>
          </w:tcPr>
          <w:p w14:paraId="25FC5178"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610</w:t>
            </w:r>
          </w:p>
        </w:tc>
        <w:tc>
          <w:tcPr>
            <w:tcW w:w="2700" w:type="dxa"/>
            <w:tcBorders>
              <w:top w:val="single" w:sz="4" w:space="0" w:color="auto"/>
              <w:bottom w:val="single" w:sz="4" w:space="0" w:color="auto"/>
              <w:right w:val="single" w:sz="4" w:space="0" w:color="auto"/>
            </w:tcBorders>
            <w:vAlign w:val="center"/>
          </w:tcPr>
          <w:p w14:paraId="5BCE22A9"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154</w:t>
            </w:r>
          </w:p>
        </w:tc>
      </w:tr>
      <w:tr w:rsidR="0052633C" w:rsidRPr="00EF2F18" w14:paraId="7A41034C" w14:textId="77777777" w:rsidTr="006B4DF8">
        <w:trPr>
          <w:trHeight w:val="377"/>
        </w:trPr>
        <w:tc>
          <w:tcPr>
            <w:tcW w:w="3595" w:type="dxa"/>
            <w:tcBorders>
              <w:top w:val="single" w:sz="4" w:space="0" w:color="auto"/>
              <w:left w:val="single" w:sz="4" w:space="0" w:color="auto"/>
              <w:bottom w:val="single" w:sz="4" w:space="0" w:color="auto"/>
            </w:tcBorders>
            <w:vAlign w:val="center"/>
          </w:tcPr>
          <w:p w14:paraId="036E7FDE" w14:textId="08129718" w:rsidR="0052633C" w:rsidRPr="00EF2F18" w:rsidRDefault="0052633C" w:rsidP="00AF36A7">
            <w:pPr>
              <w:spacing w:after="0"/>
              <w:ind w:left="29"/>
              <w:rPr>
                <w:rFonts w:cs="Times New Roman"/>
                <w:sz w:val="22"/>
                <w:lang w:val="sr-Cyrl-RS"/>
              </w:rPr>
            </w:pPr>
            <w:r w:rsidRPr="00EF2F18">
              <w:rPr>
                <w:rFonts w:cs="Times New Roman"/>
                <w:sz w:val="22"/>
                <w:lang w:val="sr-Cyrl-RS"/>
              </w:rPr>
              <w:t>Гљиве</w:t>
            </w:r>
          </w:p>
        </w:tc>
        <w:tc>
          <w:tcPr>
            <w:tcW w:w="2610" w:type="dxa"/>
            <w:tcBorders>
              <w:top w:val="single" w:sz="4" w:space="0" w:color="auto"/>
              <w:bottom w:val="single" w:sz="4" w:space="0" w:color="auto"/>
            </w:tcBorders>
            <w:vAlign w:val="center"/>
          </w:tcPr>
          <w:p w14:paraId="412C2970" w14:textId="2BE5FCB1"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38</w:t>
            </w:r>
          </w:p>
        </w:tc>
        <w:tc>
          <w:tcPr>
            <w:tcW w:w="2700" w:type="dxa"/>
            <w:tcBorders>
              <w:top w:val="single" w:sz="4" w:space="0" w:color="auto"/>
              <w:bottom w:val="single" w:sz="4" w:space="0" w:color="auto"/>
              <w:right w:val="single" w:sz="4" w:space="0" w:color="auto"/>
            </w:tcBorders>
            <w:vAlign w:val="center"/>
          </w:tcPr>
          <w:p w14:paraId="563E7398" w14:textId="1DC23984"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26</w:t>
            </w:r>
          </w:p>
        </w:tc>
      </w:tr>
      <w:tr w:rsidR="0052633C" w:rsidRPr="00EF2F18" w14:paraId="4BE3DA2C" w14:textId="77777777" w:rsidTr="006B4DF8">
        <w:trPr>
          <w:trHeight w:val="368"/>
        </w:trPr>
        <w:tc>
          <w:tcPr>
            <w:tcW w:w="3595" w:type="dxa"/>
            <w:tcBorders>
              <w:top w:val="single" w:sz="4" w:space="0" w:color="auto"/>
              <w:left w:val="single" w:sz="4" w:space="0" w:color="auto"/>
              <w:bottom w:val="single" w:sz="4" w:space="0" w:color="auto"/>
            </w:tcBorders>
            <w:vAlign w:val="center"/>
          </w:tcPr>
          <w:p w14:paraId="4923C3EF" w14:textId="0B50D303" w:rsidR="0052633C" w:rsidRPr="00EF2F18" w:rsidRDefault="0052633C" w:rsidP="00AF36A7">
            <w:pPr>
              <w:spacing w:after="0"/>
              <w:ind w:left="29"/>
              <w:rPr>
                <w:rFonts w:cs="Times New Roman"/>
                <w:sz w:val="22"/>
                <w:lang w:val="sr-Cyrl-RS"/>
              </w:rPr>
            </w:pPr>
            <w:r w:rsidRPr="00EF2F18">
              <w:rPr>
                <w:rFonts w:cs="Times New Roman"/>
                <w:sz w:val="22"/>
                <w:lang w:val="sr-Cyrl-RS"/>
              </w:rPr>
              <w:t>Лишајеви</w:t>
            </w:r>
          </w:p>
        </w:tc>
        <w:tc>
          <w:tcPr>
            <w:tcW w:w="2610" w:type="dxa"/>
            <w:tcBorders>
              <w:top w:val="single" w:sz="4" w:space="0" w:color="auto"/>
              <w:bottom w:val="single" w:sz="4" w:space="0" w:color="auto"/>
            </w:tcBorders>
            <w:vAlign w:val="center"/>
          </w:tcPr>
          <w:p w14:paraId="7C2082DC" w14:textId="71B2CEED"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37</w:t>
            </w:r>
          </w:p>
        </w:tc>
        <w:tc>
          <w:tcPr>
            <w:tcW w:w="2700" w:type="dxa"/>
            <w:tcBorders>
              <w:top w:val="single" w:sz="4" w:space="0" w:color="auto"/>
              <w:bottom w:val="single" w:sz="4" w:space="0" w:color="auto"/>
              <w:right w:val="single" w:sz="4" w:space="0" w:color="auto"/>
            </w:tcBorders>
            <w:vAlign w:val="center"/>
          </w:tcPr>
          <w:p w14:paraId="0649265D" w14:textId="3A5F602E"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11</w:t>
            </w:r>
          </w:p>
        </w:tc>
      </w:tr>
      <w:tr w:rsidR="0052633C" w:rsidRPr="00EF2F18" w14:paraId="366CEA60" w14:textId="77777777" w:rsidTr="006B4DF8">
        <w:trPr>
          <w:trHeight w:val="330"/>
        </w:trPr>
        <w:tc>
          <w:tcPr>
            <w:tcW w:w="3595" w:type="dxa"/>
            <w:tcBorders>
              <w:top w:val="single" w:sz="4" w:space="0" w:color="auto"/>
              <w:left w:val="single" w:sz="4" w:space="0" w:color="auto"/>
              <w:bottom w:val="single" w:sz="4" w:space="0" w:color="auto"/>
            </w:tcBorders>
            <w:vAlign w:val="center"/>
          </w:tcPr>
          <w:p w14:paraId="2B287CC3"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Биљке</w:t>
            </w:r>
          </w:p>
        </w:tc>
        <w:tc>
          <w:tcPr>
            <w:tcW w:w="2610" w:type="dxa"/>
            <w:tcBorders>
              <w:top w:val="single" w:sz="4" w:space="0" w:color="auto"/>
              <w:bottom w:val="single" w:sz="4" w:space="0" w:color="auto"/>
            </w:tcBorders>
            <w:vAlign w:val="center"/>
          </w:tcPr>
          <w:p w14:paraId="4B470BF2"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642</w:t>
            </w:r>
          </w:p>
        </w:tc>
        <w:tc>
          <w:tcPr>
            <w:tcW w:w="2700" w:type="dxa"/>
            <w:tcBorders>
              <w:top w:val="single" w:sz="4" w:space="0" w:color="auto"/>
              <w:bottom w:val="single" w:sz="4" w:space="0" w:color="auto"/>
              <w:right w:val="single" w:sz="4" w:space="0" w:color="auto"/>
            </w:tcBorders>
            <w:vAlign w:val="center"/>
          </w:tcPr>
          <w:p w14:paraId="7FA22B36"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570</w:t>
            </w:r>
          </w:p>
        </w:tc>
      </w:tr>
      <w:tr w:rsidR="0052633C" w:rsidRPr="00EF2F18" w14:paraId="5B28CB98" w14:textId="77777777" w:rsidTr="006B4DF8">
        <w:trPr>
          <w:trHeight w:val="330"/>
        </w:trPr>
        <w:tc>
          <w:tcPr>
            <w:tcW w:w="3595" w:type="dxa"/>
            <w:tcBorders>
              <w:top w:val="single" w:sz="4" w:space="0" w:color="auto"/>
              <w:left w:val="single" w:sz="4" w:space="0" w:color="auto"/>
            </w:tcBorders>
            <w:vAlign w:val="center"/>
          </w:tcPr>
          <w:p w14:paraId="0B683760" w14:textId="77777777" w:rsidR="0052633C" w:rsidRPr="00EF2F18" w:rsidRDefault="0052633C" w:rsidP="00AF36A7">
            <w:pPr>
              <w:spacing w:after="0"/>
              <w:ind w:left="29"/>
              <w:rPr>
                <w:rFonts w:cs="Times New Roman"/>
                <w:sz w:val="22"/>
                <w:lang w:val="sr-Cyrl-RS"/>
              </w:rPr>
            </w:pPr>
            <w:r w:rsidRPr="00EF2F18">
              <w:rPr>
                <w:rFonts w:cs="Times New Roman"/>
                <w:sz w:val="22"/>
                <w:lang w:val="sr-Cyrl-RS"/>
              </w:rPr>
              <w:t>Алге</w:t>
            </w:r>
          </w:p>
        </w:tc>
        <w:tc>
          <w:tcPr>
            <w:tcW w:w="2610" w:type="dxa"/>
            <w:tcBorders>
              <w:top w:val="single" w:sz="4" w:space="0" w:color="auto"/>
            </w:tcBorders>
            <w:vAlign w:val="center"/>
          </w:tcPr>
          <w:p w14:paraId="382110D4"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25</w:t>
            </w:r>
          </w:p>
        </w:tc>
        <w:tc>
          <w:tcPr>
            <w:tcW w:w="2700" w:type="dxa"/>
            <w:tcBorders>
              <w:top w:val="single" w:sz="4" w:space="0" w:color="auto"/>
              <w:right w:val="single" w:sz="4" w:space="0" w:color="auto"/>
            </w:tcBorders>
            <w:vAlign w:val="center"/>
          </w:tcPr>
          <w:p w14:paraId="678F5C45" w14:textId="77777777" w:rsidR="0052633C" w:rsidRPr="00EF2F18" w:rsidRDefault="0052633C" w:rsidP="00AF36A7">
            <w:pPr>
              <w:spacing w:after="0"/>
              <w:ind w:left="174"/>
              <w:jc w:val="center"/>
              <w:rPr>
                <w:rFonts w:cs="Times New Roman"/>
                <w:sz w:val="22"/>
                <w:lang w:val="sr-Cyrl-RS"/>
              </w:rPr>
            </w:pPr>
            <w:r w:rsidRPr="00EF2F18">
              <w:rPr>
                <w:rFonts w:cs="Times New Roman"/>
                <w:sz w:val="22"/>
                <w:lang w:val="sr-Cyrl-RS"/>
              </w:rPr>
              <w:t>-</w:t>
            </w:r>
          </w:p>
        </w:tc>
      </w:tr>
      <w:tr w:rsidR="0052633C" w:rsidRPr="00EF2F18" w14:paraId="295983DB" w14:textId="77777777" w:rsidTr="006B4DF8">
        <w:trPr>
          <w:trHeight w:val="319"/>
        </w:trPr>
        <w:tc>
          <w:tcPr>
            <w:tcW w:w="3595" w:type="dxa"/>
            <w:tcBorders>
              <w:left w:val="single" w:sz="4" w:space="0" w:color="auto"/>
            </w:tcBorders>
            <w:vAlign w:val="center"/>
          </w:tcPr>
          <w:p w14:paraId="47175FFC" w14:textId="77777777" w:rsidR="0052633C" w:rsidRPr="00EF2F18" w:rsidRDefault="0052633C" w:rsidP="00AF36A7">
            <w:pPr>
              <w:spacing w:after="0"/>
              <w:ind w:left="29"/>
              <w:rPr>
                <w:rFonts w:cs="Times New Roman"/>
                <w:b/>
                <w:bCs/>
                <w:sz w:val="22"/>
                <w:lang w:val="sr-Cyrl-RS"/>
              </w:rPr>
            </w:pPr>
            <w:r w:rsidRPr="00EF2F18">
              <w:rPr>
                <w:rFonts w:cs="Times New Roman"/>
                <w:b/>
                <w:bCs/>
                <w:sz w:val="22"/>
                <w:lang w:val="sr-Cyrl-RS"/>
              </w:rPr>
              <w:t>Укупно</w:t>
            </w:r>
          </w:p>
        </w:tc>
        <w:tc>
          <w:tcPr>
            <w:tcW w:w="2610" w:type="dxa"/>
            <w:vAlign w:val="center"/>
          </w:tcPr>
          <w:p w14:paraId="66CA1140" w14:textId="649A68C0" w:rsidR="0052633C" w:rsidRPr="00EF2F18" w:rsidRDefault="0052633C" w:rsidP="00AF36A7">
            <w:pPr>
              <w:spacing w:after="0"/>
              <w:ind w:left="174"/>
              <w:jc w:val="center"/>
              <w:rPr>
                <w:rFonts w:cs="Times New Roman"/>
                <w:b/>
                <w:bCs/>
                <w:sz w:val="22"/>
                <w:lang w:val="sr-Cyrl-RS"/>
              </w:rPr>
            </w:pPr>
            <w:r w:rsidRPr="00EF2F18">
              <w:rPr>
                <w:rFonts w:cs="Times New Roman"/>
                <w:b/>
                <w:bCs/>
                <w:sz w:val="22"/>
                <w:lang w:val="sr-Cyrl-RS"/>
              </w:rPr>
              <w:t>1.784</w:t>
            </w:r>
          </w:p>
        </w:tc>
        <w:tc>
          <w:tcPr>
            <w:tcW w:w="2700" w:type="dxa"/>
            <w:tcBorders>
              <w:right w:val="single" w:sz="4" w:space="0" w:color="auto"/>
            </w:tcBorders>
            <w:vAlign w:val="center"/>
          </w:tcPr>
          <w:p w14:paraId="7104A1C2" w14:textId="77777777" w:rsidR="0052633C" w:rsidRPr="00EF2F18" w:rsidRDefault="0052633C" w:rsidP="00AF36A7">
            <w:pPr>
              <w:spacing w:after="0"/>
              <w:ind w:left="174"/>
              <w:jc w:val="center"/>
              <w:rPr>
                <w:rFonts w:cs="Times New Roman"/>
                <w:b/>
                <w:bCs/>
                <w:sz w:val="22"/>
                <w:lang w:val="sr-Cyrl-RS"/>
              </w:rPr>
            </w:pPr>
            <w:r w:rsidRPr="00EF2F18">
              <w:rPr>
                <w:rFonts w:cs="Times New Roman"/>
                <w:b/>
                <w:bCs/>
                <w:sz w:val="22"/>
                <w:lang w:val="sr-Cyrl-RS"/>
              </w:rPr>
              <w:t>865</w:t>
            </w:r>
          </w:p>
        </w:tc>
      </w:tr>
      <w:tr w:rsidR="0052633C" w:rsidRPr="00EF2F18" w14:paraId="73993AD5" w14:textId="77777777" w:rsidTr="006B4DF8">
        <w:trPr>
          <w:trHeight w:val="319"/>
        </w:trPr>
        <w:tc>
          <w:tcPr>
            <w:tcW w:w="3595" w:type="dxa"/>
            <w:tcBorders>
              <w:left w:val="single" w:sz="4" w:space="0" w:color="auto"/>
            </w:tcBorders>
            <w:shd w:val="clear" w:color="auto" w:fill="BDD6EE" w:themeFill="accent1" w:themeFillTint="66"/>
            <w:vAlign w:val="center"/>
          </w:tcPr>
          <w:p w14:paraId="6A244398" w14:textId="77777777" w:rsidR="0052633C" w:rsidRPr="00EF2F18" w:rsidRDefault="0052633C" w:rsidP="00AF36A7">
            <w:pPr>
              <w:spacing w:after="0"/>
              <w:ind w:left="29"/>
              <w:rPr>
                <w:rFonts w:cs="Times New Roman"/>
                <w:b/>
                <w:bCs/>
                <w:sz w:val="22"/>
                <w:lang w:val="sr-Cyrl-RS"/>
              </w:rPr>
            </w:pPr>
          </w:p>
        </w:tc>
        <w:tc>
          <w:tcPr>
            <w:tcW w:w="5310" w:type="dxa"/>
            <w:gridSpan w:val="2"/>
            <w:tcBorders>
              <w:right w:val="single" w:sz="4" w:space="0" w:color="auto"/>
            </w:tcBorders>
            <w:shd w:val="clear" w:color="auto" w:fill="BDD6EE" w:themeFill="accent1" w:themeFillTint="66"/>
            <w:vAlign w:val="center"/>
          </w:tcPr>
          <w:p w14:paraId="0C4212A9" w14:textId="49EC55CC" w:rsidR="0052633C" w:rsidRPr="00EF2F18" w:rsidRDefault="0052633C" w:rsidP="00AF36A7">
            <w:pPr>
              <w:spacing w:after="0"/>
              <w:ind w:left="174"/>
              <w:jc w:val="center"/>
              <w:rPr>
                <w:rFonts w:cs="Times New Roman"/>
                <w:b/>
                <w:bCs/>
                <w:sz w:val="22"/>
                <w:lang w:val="sr-Cyrl-RS"/>
              </w:rPr>
            </w:pPr>
            <w:r w:rsidRPr="00EF2F18">
              <w:rPr>
                <w:rFonts w:cs="Times New Roman"/>
                <w:b/>
                <w:bCs/>
                <w:sz w:val="22"/>
                <w:lang w:val="sr-Cyrl-RS"/>
              </w:rPr>
              <w:t>2.649</w:t>
            </w:r>
          </w:p>
        </w:tc>
      </w:tr>
    </w:tbl>
    <w:p w14:paraId="587303E0" w14:textId="75B9FA51" w:rsidR="00F26C75" w:rsidRPr="00EF2F18" w:rsidRDefault="003D08CA" w:rsidP="00F26C75">
      <w:pPr>
        <w:spacing w:after="0"/>
        <w:jc w:val="both"/>
        <w:rPr>
          <w:rFonts w:cs="Times New Roman"/>
          <w:i/>
          <w:iCs/>
          <w:sz w:val="22"/>
          <w:lang w:val="sr-Cyrl-RS"/>
        </w:rPr>
      </w:pPr>
      <w:r w:rsidRPr="00EF2F18">
        <w:rPr>
          <w:rFonts w:cs="Times New Roman"/>
          <w:i/>
          <w:iCs/>
          <w:sz w:val="22"/>
          <w:lang w:val="sr-Cyrl-RS"/>
        </w:rPr>
        <w:t>Извор: Завод за заштиту природе Србије, 2023.</w:t>
      </w:r>
    </w:p>
    <w:p w14:paraId="4B539208" w14:textId="77777777" w:rsidR="0052633C" w:rsidRPr="00EF2F18" w:rsidRDefault="0052633C" w:rsidP="00F26C75">
      <w:pPr>
        <w:spacing w:after="0"/>
        <w:jc w:val="both"/>
        <w:rPr>
          <w:rFonts w:cs="Times New Roman"/>
          <w:sz w:val="22"/>
          <w:lang w:val="sr-Cyrl-RS"/>
        </w:rPr>
      </w:pPr>
    </w:p>
    <w:p w14:paraId="4F688403" w14:textId="7E185A92" w:rsidR="00F26C75" w:rsidRPr="00EF2F18" w:rsidRDefault="00F26C75" w:rsidP="00F26C75">
      <w:pPr>
        <w:spacing w:after="0"/>
        <w:ind w:firstLine="720"/>
        <w:jc w:val="both"/>
        <w:rPr>
          <w:rFonts w:cs="Times New Roman"/>
          <w:sz w:val="22"/>
          <w:lang w:val="sr-Cyrl-RS"/>
        </w:rPr>
      </w:pPr>
      <w:r w:rsidRPr="00EF2F18">
        <w:rPr>
          <w:rFonts w:cs="Times New Roman"/>
          <w:sz w:val="22"/>
          <w:lang w:val="sr-Cyrl-RS"/>
        </w:rPr>
        <w:t xml:space="preserve">Генетички диверзитет је до сада обрађиван на подручју Републике Србије веома скромно, на нивоу научних пројеката. За поједине групе животиња, као што су поскок и зелена жаба постоје комплетне слике укупне генетичке варијабилности, а што је и случај са неким </w:t>
      </w:r>
      <w:r w:rsidR="004724C6" w:rsidRPr="00EF2F18">
        <w:rPr>
          <w:rFonts w:cs="Times New Roman"/>
          <w:sz w:val="22"/>
          <w:lang w:val="sr-Cyrl-RS"/>
        </w:rPr>
        <w:t xml:space="preserve">ловним </w:t>
      </w:r>
      <w:r w:rsidRPr="00EF2F18">
        <w:rPr>
          <w:rFonts w:cs="Times New Roman"/>
          <w:sz w:val="22"/>
          <w:lang w:val="sr-Cyrl-RS"/>
        </w:rPr>
        <w:t xml:space="preserve">врстама дивљачи (срна и др.) и неких врста риба (пастрмка, липљен, кечига и др.). Генетички ресурси поред гајених врста укључују и самоникле врсте биљака које припадају групи врста карактеристичних екосистемских услуга: лековите (420 врста), медоносне (1.800 врста), јестиве и друге. </w:t>
      </w:r>
    </w:p>
    <w:p w14:paraId="779D468C" w14:textId="77777777" w:rsidR="00F26C75" w:rsidRPr="00EF2F18" w:rsidRDefault="00F26C75" w:rsidP="00F26C75">
      <w:pPr>
        <w:spacing w:after="0"/>
        <w:ind w:firstLine="720"/>
        <w:jc w:val="both"/>
        <w:rPr>
          <w:rFonts w:cs="Times New Roman"/>
          <w:sz w:val="22"/>
          <w:lang w:val="sr-Cyrl-RS"/>
        </w:rPr>
      </w:pPr>
      <w:r w:rsidRPr="00EF2F18">
        <w:rPr>
          <w:rFonts w:cs="Times New Roman"/>
          <w:sz w:val="22"/>
          <w:lang w:val="sr-Cyrl-RS"/>
        </w:rPr>
        <w:t xml:space="preserve">Екосистемски диверзитет за подручје Републике Србије детектује четири од укупно 12 терестричних биома: зонобиом листопадних шума, зонобиом степа; зонобиом четинарских шума – дефинсан као оробиом и зонобиом високопланинске „тундре” – такође дефинисан као оробиом. Оробиоми су у том статусу због надморске висине и локације на високим планинама. Подручје Републике Србије карактерише десет основних типова зоналних екосистема са 1.200 асоцијација сврстаних у 59 вегетацијских класа. </w:t>
      </w:r>
    </w:p>
    <w:p w14:paraId="67A8526E" w14:textId="2CF4A5F5" w:rsidR="00F26C75" w:rsidRPr="00EF2F18" w:rsidRDefault="00F26C75" w:rsidP="00F26C75">
      <w:pPr>
        <w:spacing w:after="0"/>
        <w:ind w:firstLine="720"/>
        <w:jc w:val="both"/>
        <w:rPr>
          <w:rFonts w:cs="Times New Roman"/>
          <w:sz w:val="22"/>
          <w:lang w:val="sr-Cyrl-RS"/>
        </w:rPr>
      </w:pPr>
      <w:r w:rsidRPr="00EF2F18">
        <w:rPr>
          <w:rFonts w:cs="Times New Roman"/>
          <w:sz w:val="22"/>
          <w:lang w:val="sr-Cyrl-RS"/>
        </w:rPr>
        <w:t>Каталогом станишта Републике Србије, који је компатибилан са EUNIS класификацијом</w:t>
      </w:r>
      <w:r w:rsidR="009107AC" w:rsidRPr="00EF2F18">
        <w:rPr>
          <w:rFonts w:cs="Times New Roman"/>
          <w:sz w:val="22"/>
          <w:lang w:val="sr-Cyrl-RS"/>
        </w:rPr>
        <w:t xml:space="preserve"> </w:t>
      </w:r>
      <w:r w:rsidR="009107AC" w:rsidRPr="00EF2F18">
        <w:rPr>
          <w:rStyle w:val="cf01"/>
          <w:rFonts w:ascii="Times New Roman" w:hAnsi="Times New Roman" w:cs="Times New Roman"/>
          <w:sz w:val="22"/>
          <w:szCs w:val="22"/>
          <w:lang w:val="sr-Cyrl-RS"/>
        </w:rPr>
        <w:t>станишта (пан-европски систем за идентификацију станишта)</w:t>
      </w:r>
      <w:r w:rsidRPr="00EF2F18">
        <w:rPr>
          <w:rFonts w:cs="Times New Roman"/>
          <w:sz w:val="22"/>
          <w:lang w:val="sr-Cyrl-RS"/>
        </w:rPr>
        <w:t>, дефинисано је осам основних типова станишта (копнена површинска водена станишта; мочварна, тресавска и ритска станишта; травна станишта и станишта где доминирају високе зелени, маховине и лишајеви; вриштине, жбунаста станишта и тундра; шуме и шумска станишта и друге пошумљене површине; унутарконтинентална станишта са слабо развијеном вегетацијом; редовно или скоро култивисана пољопривредна, хортикултурна или домаћа станишта; конструкције, индустријска и друга вештачка станишта).</w:t>
      </w:r>
      <w:r w:rsidRPr="00EF2F18">
        <w:rPr>
          <w:rFonts w:cs="Times New Roman"/>
          <w:sz w:val="22"/>
          <w:lang w:val="sr-Cyrl-RS"/>
        </w:rPr>
        <w:tab/>
      </w:r>
    </w:p>
    <w:p w14:paraId="3F6F439E" w14:textId="4C447B6E" w:rsidR="00F26C75" w:rsidRPr="00EF2F18" w:rsidRDefault="00F26C75" w:rsidP="00F26C75">
      <w:pPr>
        <w:spacing w:after="0"/>
        <w:ind w:firstLine="720"/>
        <w:jc w:val="both"/>
        <w:rPr>
          <w:rFonts w:eastAsia="Calibri"/>
          <w:sz w:val="22"/>
          <w:lang w:val="sr-Cyrl-RS"/>
        </w:rPr>
      </w:pPr>
      <w:r w:rsidRPr="00EF2F18">
        <w:rPr>
          <w:rFonts w:cs="Times New Roman"/>
          <w:sz w:val="22"/>
          <w:lang w:val="sr-Cyrl-RS"/>
        </w:rPr>
        <w:lastRenderedPageBreak/>
        <w:t>Поред заштићених врста и заштићених подручја, важна су и покретна заштићена природна добра. Она поред свог културолошког, научног и образовног значаја имају и изузетан национални значај и представљају елементе геолошких, палеонтолошких и биолошких докумената који су заштићени Законом и не смеју се уништавати нити сакупљати, а такође је забрањено и наношење штете њиховим налазима. Покретна заштићена природна документа су распоређена у четири категорије и то су примерци холотипова, синтипова и генотипова фосила и типске врсте фосила, п</w:t>
      </w:r>
      <w:r w:rsidR="001658F4">
        <w:rPr>
          <w:rFonts w:cs="Times New Roman"/>
          <w:sz w:val="22"/>
          <w:lang w:val="sr-Cyrl-RS"/>
        </w:rPr>
        <w:t>о</w:t>
      </w:r>
      <w:r w:rsidRPr="00EF2F18">
        <w:rPr>
          <w:rFonts w:cs="Times New Roman"/>
          <w:sz w:val="22"/>
          <w:lang w:val="sr-Cyrl-RS"/>
        </w:rPr>
        <w:t xml:space="preserve">јединачни минерали и кристален и минералне друзе у лежиштима, холотипови, синтипови </w:t>
      </w:r>
      <w:r w:rsidRPr="00EF2F18">
        <w:rPr>
          <w:rFonts w:eastAsia="Calibri"/>
          <w:sz w:val="22"/>
          <w:lang w:val="sr-Cyrl-RS"/>
        </w:rPr>
        <w:t>фосила, типс</w:t>
      </w:r>
      <w:r w:rsidRPr="00EF2F18">
        <w:rPr>
          <w:rFonts w:eastAsia="Calibri"/>
          <w:spacing w:val="-3"/>
          <w:sz w:val="22"/>
          <w:lang w:val="sr-Cyrl-RS"/>
        </w:rPr>
        <w:t>к</w:t>
      </w:r>
      <w:r w:rsidRPr="00EF2F18">
        <w:rPr>
          <w:rFonts w:eastAsia="Calibri"/>
          <w:sz w:val="22"/>
          <w:lang w:val="sr-Cyrl-RS"/>
        </w:rPr>
        <w:t>е врс</w:t>
      </w:r>
      <w:r w:rsidRPr="00EF2F18">
        <w:rPr>
          <w:rFonts w:eastAsia="Calibri"/>
          <w:spacing w:val="-2"/>
          <w:sz w:val="22"/>
          <w:lang w:val="sr-Cyrl-RS"/>
        </w:rPr>
        <w:t>т</w:t>
      </w:r>
      <w:r w:rsidRPr="00EF2F18">
        <w:rPr>
          <w:rFonts w:eastAsia="Calibri"/>
          <w:sz w:val="22"/>
          <w:lang w:val="sr-Cyrl-RS"/>
        </w:rPr>
        <w:t>е фосила пој</w:t>
      </w:r>
      <w:r w:rsidRPr="00EF2F18">
        <w:rPr>
          <w:rFonts w:eastAsia="Calibri"/>
          <w:spacing w:val="-3"/>
          <w:sz w:val="22"/>
          <w:lang w:val="sr-Cyrl-RS"/>
        </w:rPr>
        <w:t>е</w:t>
      </w:r>
      <w:r w:rsidRPr="00EF2F18">
        <w:rPr>
          <w:rFonts w:eastAsia="Calibri"/>
          <w:sz w:val="22"/>
          <w:lang w:val="sr-Cyrl-RS"/>
        </w:rPr>
        <w:t>диначних минерала и кристала и Научне збирке (ми</w:t>
      </w:r>
      <w:r w:rsidRPr="00EF2F18">
        <w:rPr>
          <w:rFonts w:eastAsia="Calibri"/>
          <w:spacing w:val="-3"/>
          <w:sz w:val="22"/>
          <w:lang w:val="sr-Cyrl-RS"/>
        </w:rPr>
        <w:t>ко</w:t>
      </w:r>
      <w:r w:rsidRPr="00EF2F18">
        <w:rPr>
          <w:rFonts w:eastAsia="Calibri"/>
          <w:sz w:val="22"/>
          <w:lang w:val="sr-Cyrl-RS"/>
        </w:rPr>
        <w:t>лош</w:t>
      </w:r>
      <w:r w:rsidRPr="00EF2F18">
        <w:rPr>
          <w:rFonts w:eastAsia="Calibri"/>
          <w:spacing w:val="-2"/>
          <w:sz w:val="22"/>
          <w:lang w:val="sr-Cyrl-RS"/>
        </w:rPr>
        <w:t>к</w:t>
      </w:r>
      <w:r w:rsidRPr="00EF2F18">
        <w:rPr>
          <w:rFonts w:eastAsia="Calibri"/>
          <w:sz w:val="22"/>
          <w:lang w:val="sr-Cyrl-RS"/>
        </w:rPr>
        <w:t>е, б</w:t>
      </w:r>
      <w:r w:rsidRPr="00EF2F18">
        <w:rPr>
          <w:rFonts w:eastAsia="Calibri"/>
          <w:spacing w:val="-1"/>
          <w:sz w:val="22"/>
          <w:lang w:val="sr-Cyrl-RS"/>
        </w:rPr>
        <w:t>о</w:t>
      </w:r>
      <w:r w:rsidRPr="00EF2F18">
        <w:rPr>
          <w:rFonts w:eastAsia="Calibri"/>
          <w:sz w:val="22"/>
          <w:lang w:val="sr-Cyrl-RS"/>
        </w:rPr>
        <w:t>танич</w:t>
      </w:r>
      <w:r w:rsidRPr="00EF2F18">
        <w:rPr>
          <w:rFonts w:eastAsia="Calibri"/>
          <w:spacing w:val="-2"/>
          <w:sz w:val="22"/>
          <w:lang w:val="sr-Cyrl-RS"/>
        </w:rPr>
        <w:t>к</w:t>
      </w:r>
      <w:r w:rsidRPr="00EF2F18">
        <w:rPr>
          <w:rFonts w:eastAsia="Calibri"/>
          <w:sz w:val="22"/>
          <w:lang w:val="sr-Cyrl-RS"/>
        </w:rPr>
        <w:t>е и зо</w:t>
      </w:r>
      <w:r w:rsidRPr="00EF2F18">
        <w:rPr>
          <w:rFonts w:eastAsia="Calibri"/>
          <w:spacing w:val="-3"/>
          <w:sz w:val="22"/>
          <w:lang w:val="sr-Cyrl-RS"/>
        </w:rPr>
        <w:t>о</w:t>
      </w:r>
      <w:r w:rsidRPr="00EF2F18">
        <w:rPr>
          <w:rFonts w:eastAsia="Calibri"/>
          <w:sz w:val="22"/>
          <w:lang w:val="sr-Cyrl-RS"/>
        </w:rPr>
        <w:t>лош</w:t>
      </w:r>
      <w:r w:rsidRPr="00EF2F18">
        <w:rPr>
          <w:rFonts w:eastAsia="Calibri"/>
          <w:spacing w:val="-2"/>
          <w:sz w:val="22"/>
          <w:lang w:val="sr-Cyrl-RS"/>
        </w:rPr>
        <w:t>к</w:t>
      </w:r>
      <w:r w:rsidRPr="00EF2F18">
        <w:rPr>
          <w:rFonts w:eastAsia="Calibri"/>
          <w:sz w:val="22"/>
          <w:lang w:val="sr-Cyrl-RS"/>
        </w:rPr>
        <w:t xml:space="preserve">е), </w:t>
      </w:r>
      <w:r w:rsidRPr="00EF2F18">
        <w:rPr>
          <w:rFonts w:eastAsia="Calibri"/>
          <w:spacing w:val="-3"/>
          <w:sz w:val="22"/>
          <w:lang w:val="sr-Cyrl-RS"/>
        </w:rPr>
        <w:t>к</w:t>
      </w:r>
      <w:r w:rsidRPr="00EF2F18">
        <w:rPr>
          <w:rFonts w:eastAsia="Calibri"/>
          <w:sz w:val="22"/>
          <w:lang w:val="sr-Cyrl-RS"/>
        </w:rPr>
        <w:t>ао и пој</w:t>
      </w:r>
      <w:r w:rsidRPr="00EF2F18">
        <w:rPr>
          <w:rFonts w:eastAsia="Calibri"/>
          <w:spacing w:val="-3"/>
          <w:sz w:val="22"/>
          <w:lang w:val="sr-Cyrl-RS"/>
        </w:rPr>
        <w:t>е</w:t>
      </w:r>
      <w:r w:rsidRPr="00EF2F18">
        <w:rPr>
          <w:rFonts w:eastAsia="Calibri"/>
          <w:sz w:val="22"/>
          <w:lang w:val="sr-Cyrl-RS"/>
        </w:rPr>
        <w:t xml:space="preserve">диначни </w:t>
      </w:r>
      <w:r w:rsidRPr="00EF2F18">
        <w:rPr>
          <w:rFonts w:eastAsia="Calibri"/>
          <w:spacing w:val="-3"/>
          <w:sz w:val="22"/>
          <w:lang w:val="sr-Cyrl-RS"/>
        </w:rPr>
        <w:t>к</w:t>
      </w:r>
      <w:r w:rsidRPr="00EF2F18">
        <w:rPr>
          <w:rFonts w:eastAsia="Calibri"/>
          <w:sz w:val="22"/>
          <w:lang w:val="sr-Cyrl-RS"/>
        </w:rPr>
        <w:t>онзервирани препар</w:t>
      </w:r>
      <w:r w:rsidRPr="00EF2F18">
        <w:rPr>
          <w:rFonts w:eastAsia="Calibri"/>
          <w:spacing w:val="-1"/>
          <w:sz w:val="22"/>
          <w:lang w:val="sr-Cyrl-RS"/>
        </w:rPr>
        <w:t>а</w:t>
      </w:r>
      <w:r w:rsidRPr="00EF2F18">
        <w:rPr>
          <w:rFonts w:eastAsia="Calibri"/>
          <w:sz w:val="22"/>
          <w:lang w:val="sr-Cyrl-RS"/>
        </w:rPr>
        <w:t>ти врста њи</w:t>
      </w:r>
      <w:r w:rsidRPr="00EF2F18">
        <w:rPr>
          <w:rFonts w:eastAsia="Calibri"/>
          <w:spacing w:val="-3"/>
          <w:sz w:val="22"/>
          <w:lang w:val="sr-Cyrl-RS"/>
        </w:rPr>
        <w:t>х</w:t>
      </w:r>
      <w:r w:rsidRPr="00EF2F18">
        <w:rPr>
          <w:rFonts w:eastAsia="Calibri"/>
          <w:sz w:val="22"/>
          <w:lang w:val="sr-Cyrl-RS"/>
        </w:rPr>
        <w:t xml:space="preserve">ови </w:t>
      </w:r>
      <w:r w:rsidRPr="00EF2F18">
        <w:rPr>
          <w:rFonts w:eastAsia="Calibri"/>
          <w:spacing w:val="-3"/>
          <w:sz w:val="22"/>
          <w:lang w:val="sr-Cyrl-RS"/>
        </w:rPr>
        <w:t>хо</w:t>
      </w:r>
      <w:r w:rsidRPr="00EF2F18">
        <w:rPr>
          <w:rFonts w:eastAsia="Calibri"/>
          <w:sz w:val="22"/>
          <w:lang w:val="sr-Cyrl-RS"/>
        </w:rPr>
        <w:t>л</w:t>
      </w:r>
      <w:r w:rsidRPr="00EF2F18">
        <w:rPr>
          <w:rFonts w:eastAsia="Calibri"/>
          <w:spacing w:val="-1"/>
          <w:sz w:val="22"/>
          <w:lang w:val="sr-Cyrl-RS"/>
        </w:rPr>
        <w:t>о</w:t>
      </w:r>
      <w:r w:rsidRPr="00EF2F18">
        <w:rPr>
          <w:rFonts w:eastAsia="Calibri"/>
          <w:sz w:val="22"/>
          <w:lang w:val="sr-Cyrl-RS"/>
        </w:rPr>
        <w:t>типови и синтипови.</w:t>
      </w:r>
    </w:p>
    <w:p w14:paraId="184AE272" w14:textId="51E00B91" w:rsidR="00F26C75" w:rsidRPr="00EF2F18" w:rsidRDefault="001B16D8" w:rsidP="00F26C75">
      <w:pPr>
        <w:spacing w:after="0"/>
        <w:ind w:firstLine="720"/>
        <w:jc w:val="both"/>
        <w:rPr>
          <w:rFonts w:cs="Times New Roman"/>
          <w:sz w:val="22"/>
          <w:lang w:val="sr-Cyrl-RS"/>
        </w:rPr>
      </w:pPr>
      <w:r w:rsidRPr="00EF2F18">
        <w:rPr>
          <w:rFonts w:cs="Times New Roman"/>
          <w:sz w:val="22"/>
          <w:lang w:val="sr-Cyrl-RS"/>
        </w:rPr>
        <w:t xml:space="preserve">Мониторинг компоненти биодиверзитета је успостављен за поједине строго заштићене и заштићене врсте, али још увек не постоје јасни принципи и заједнички именитељи мониторинга система дивљих врста. </w:t>
      </w:r>
      <w:r w:rsidR="00830EB6" w:rsidRPr="00EF2F18">
        <w:rPr>
          <w:rFonts w:cs="Times New Roman"/>
          <w:sz w:val="22"/>
          <w:lang w:val="sr-Cyrl-RS"/>
        </w:rPr>
        <w:t xml:space="preserve">Мониторинг утицаја електроводова и ветрогенератора на птице у складу са </w:t>
      </w:r>
      <w:r w:rsidR="009107AC" w:rsidRPr="00EF2F18">
        <w:rPr>
          <w:rFonts w:cs="Times New Roman"/>
          <w:sz w:val="22"/>
          <w:lang w:val="sr-Cyrl-RS"/>
        </w:rPr>
        <w:t xml:space="preserve">Законом о потврђивању Конвенције о очувању европске дивље флоре и фауне и природних станишта („Службени гласник РС </w:t>
      </w:r>
      <w:r w:rsidR="003A2709" w:rsidRPr="00EF2F18">
        <w:rPr>
          <w:rFonts w:cs="Times New Roman"/>
          <w:sz w:val="22"/>
          <w:lang w:val="sr-Cyrl-RS"/>
        </w:rPr>
        <w:t>–</w:t>
      </w:r>
      <w:r w:rsidR="009107AC" w:rsidRPr="00EF2F18">
        <w:rPr>
          <w:rFonts w:cs="Times New Roman"/>
          <w:sz w:val="22"/>
          <w:lang w:val="sr-Cyrl-RS"/>
        </w:rPr>
        <w:t xml:space="preserve"> Међународни уговори</w:t>
      </w:r>
      <w:r w:rsidR="00A64280" w:rsidRPr="00EF2F18">
        <w:rPr>
          <w:rFonts w:cs="Times New Roman"/>
          <w:sz w:val="22"/>
          <w:lang w:val="sr-Cyrl-RS"/>
        </w:rPr>
        <w:t>”</w:t>
      </w:r>
      <w:r w:rsidR="009107AC" w:rsidRPr="00EF2F18">
        <w:rPr>
          <w:rFonts w:cs="Times New Roman"/>
          <w:sz w:val="22"/>
          <w:lang w:val="sr-Cyrl-RS"/>
        </w:rPr>
        <w:t xml:space="preserve">, број 102/07) и </w:t>
      </w:r>
      <w:r w:rsidR="00830EB6" w:rsidRPr="00EF2F18">
        <w:rPr>
          <w:rFonts w:cs="Times New Roman"/>
          <w:sz w:val="22"/>
          <w:lang w:val="sr-Cyrl-RS"/>
        </w:rPr>
        <w:t>Препоруком бр. 110, Савета Европе у оквиру Бернске конвенције, као ни мониторинг утицаја климатских промена на биодиверзитет и у заштићеним подручјима и Препоруком бр. 135 Савета Европе, још увек нису успостављени</w:t>
      </w:r>
      <w:r w:rsidR="00F26C75" w:rsidRPr="00EF2F18">
        <w:rPr>
          <w:rFonts w:cs="Times New Roman"/>
          <w:sz w:val="22"/>
          <w:lang w:val="sr-Cyrl-RS"/>
        </w:rPr>
        <w:t>.</w:t>
      </w:r>
    </w:p>
    <w:p w14:paraId="13AA038E" w14:textId="10140FA7" w:rsidR="00F26C75" w:rsidRPr="00EF2F18" w:rsidRDefault="00F26C75" w:rsidP="00F26C75">
      <w:pPr>
        <w:autoSpaceDE w:val="0"/>
        <w:autoSpaceDN w:val="0"/>
        <w:adjustRightInd w:val="0"/>
        <w:spacing w:after="0"/>
        <w:ind w:firstLine="720"/>
        <w:jc w:val="both"/>
        <w:rPr>
          <w:rFonts w:cs="Times New Roman"/>
          <w:sz w:val="22"/>
          <w:lang w:val="sr-Cyrl-RS"/>
        </w:rPr>
      </w:pPr>
      <w:r w:rsidRPr="00EF2F18">
        <w:rPr>
          <w:rFonts w:cs="Times New Roman"/>
          <w:sz w:val="22"/>
          <w:lang w:val="sr-Cyrl-RS"/>
        </w:rPr>
        <w:t>Тренд шумских врста птица је стабилан уз благи пораст и благи пад популације у ливадским врстама. У 2022. години идентификовано је 79 важних подручја за птице и биодиверзитет (</w:t>
      </w:r>
      <w:r w:rsidRPr="00EF2F18">
        <w:rPr>
          <w:rFonts w:cs="Times New Roman"/>
          <w:i/>
          <w:iCs/>
          <w:sz w:val="22"/>
          <w:lang w:val="sr-Cyrl-RS"/>
        </w:rPr>
        <w:t>IBA</w:t>
      </w:r>
      <w:r w:rsidRPr="00EF2F18">
        <w:rPr>
          <w:rFonts w:cs="Times New Roman"/>
          <w:sz w:val="22"/>
          <w:lang w:val="sr-Cyrl-RS"/>
        </w:rPr>
        <w:t xml:space="preserve">) укупне површине </w:t>
      </w:r>
      <w:r w:rsidRPr="00EF2F18">
        <w:rPr>
          <w:rFonts w:cs="Times New Roman"/>
          <w:sz w:val="22"/>
          <w:shd w:val="clear" w:color="auto" w:fill="FFFFFF"/>
          <w:lang w:val="sr-Cyrl-RS"/>
        </w:rPr>
        <w:t xml:space="preserve">2.579.364 </w:t>
      </w:r>
      <w:r w:rsidRPr="00EF2F18">
        <w:rPr>
          <w:rFonts w:cs="Times New Roman"/>
          <w:sz w:val="22"/>
          <w:lang w:val="sr-Cyrl-RS"/>
        </w:rPr>
        <w:t xml:space="preserve">ha, што представља 29,14% територије Републике Србије. Број </w:t>
      </w:r>
      <w:r w:rsidRPr="00EF2F18">
        <w:rPr>
          <w:rFonts w:cs="Times New Roman"/>
          <w:i/>
          <w:iCs/>
          <w:sz w:val="22"/>
          <w:lang w:val="sr-Cyrl-RS"/>
        </w:rPr>
        <w:t>IBA</w:t>
      </w:r>
      <w:r w:rsidRPr="00EF2F18">
        <w:rPr>
          <w:rFonts w:cs="Times New Roman"/>
          <w:sz w:val="22"/>
          <w:lang w:val="sr-Cyrl-RS"/>
        </w:rPr>
        <w:t xml:space="preserve"> подручја увећан је за 88% у односу на 2009. годину, а њихова површина више него дуплирана. У шумским стаништима постоји значајан број врста чија се популација смањује. Иако већи број врста ливадских станишта показује тренд опадања, присутан је повећан број врста са стабилном популацијом. Плански документ за спречавање незаконитог убијања птица још увек није усвојен, укључујући спречавање кривичних дела незаконитог убијања птица.</w:t>
      </w:r>
    </w:p>
    <w:p w14:paraId="2AA8C347" w14:textId="77777777" w:rsidR="00F26C75" w:rsidRPr="00EF2F18" w:rsidRDefault="00F26C75" w:rsidP="00FF6235">
      <w:pPr>
        <w:autoSpaceDE w:val="0"/>
        <w:autoSpaceDN w:val="0"/>
        <w:adjustRightInd w:val="0"/>
        <w:spacing w:after="0"/>
        <w:ind w:firstLine="720"/>
        <w:jc w:val="both"/>
        <w:rPr>
          <w:rFonts w:cs="Times New Roman"/>
          <w:sz w:val="22"/>
          <w:lang w:val="sr-Cyrl-RS"/>
        </w:rPr>
      </w:pPr>
    </w:p>
    <w:p w14:paraId="064F66AF" w14:textId="374732D1" w:rsidR="00CE4CA1" w:rsidRPr="00EF2F18" w:rsidRDefault="00BF78D1" w:rsidP="00FF6235">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 </w:t>
      </w:r>
    </w:p>
    <w:p w14:paraId="54A6AD18" w14:textId="42B91BB2" w:rsidR="00CE4CA1" w:rsidRPr="00EF2F18" w:rsidRDefault="00700913" w:rsidP="00700913">
      <w:pPr>
        <w:autoSpaceDE w:val="0"/>
        <w:autoSpaceDN w:val="0"/>
        <w:adjustRightInd w:val="0"/>
        <w:spacing w:after="0"/>
        <w:jc w:val="center"/>
        <w:rPr>
          <w:rFonts w:cs="Times New Roman"/>
          <w:sz w:val="22"/>
          <w:lang w:val="sr-Cyrl-RS"/>
        </w:rPr>
      </w:pPr>
      <w:r w:rsidRPr="00EF2F18">
        <w:rPr>
          <w:rFonts w:cs="Times New Roman"/>
          <w:noProof/>
          <w:sz w:val="22"/>
          <w:lang w:val="sr-Cyrl-RS" w:eastAsia="sr-Cyrl-RS"/>
        </w:rPr>
        <w:drawing>
          <wp:inline distT="0" distB="0" distL="0" distR="0" wp14:anchorId="790DB18B" wp14:editId="749D7800">
            <wp:extent cx="3757493" cy="223690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71046" cy="2244971"/>
                    </a:xfrm>
                    <a:prstGeom prst="rect">
                      <a:avLst/>
                    </a:prstGeom>
                    <a:noFill/>
                  </pic:spPr>
                </pic:pic>
              </a:graphicData>
            </a:graphic>
          </wp:inline>
        </w:drawing>
      </w:r>
    </w:p>
    <w:p w14:paraId="3623FA89" w14:textId="2B119FDE" w:rsidR="00CE4CA1" w:rsidRPr="00EF2F18" w:rsidRDefault="00CE4CA1" w:rsidP="00CE4CA1">
      <w:pPr>
        <w:autoSpaceDE w:val="0"/>
        <w:autoSpaceDN w:val="0"/>
        <w:adjustRightInd w:val="0"/>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7E2A58" w:rsidRPr="00EF2F18">
        <w:rPr>
          <w:rFonts w:cs="Times New Roman"/>
          <w:b/>
          <w:bCs/>
          <w:sz w:val="22"/>
          <w:lang w:val="sr-Cyrl-RS"/>
        </w:rPr>
        <w:t>.</w:t>
      </w:r>
      <w:r w:rsidR="00DE003D" w:rsidRPr="00EF2F18">
        <w:rPr>
          <w:rFonts w:cs="Times New Roman"/>
          <w:b/>
          <w:bCs/>
          <w:sz w:val="22"/>
          <w:lang w:val="sr-Cyrl-RS"/>
        </w:rPr>
        <w:t>29</w:t>
      </w:r>
      <w:r w:rsidR="007E2A58" w:rsidRPr="00EF2F18">
        <w:rPr>
          <w:rFonts w:cs="Times New Roman"/>
          <w:b/>
          <w:bCs/>
          <w:sz w:val="22"/>
          <w:lang w:val="sr-Cyrl-RS"/>
        </w:rPr>
        <w:t xml:space="preserve">. </w:t>
      </w:r>
      <w:r w:rsidRPr="00EF2F18">
        <w:rPr>
          <w:rFonts w:cs="Times New Roman"/>
          <w:sz w:val="22"/>
          <w:lang w:val="sr-Cyrl-RS"/>
        </w:rPr>
        <w:t>Тренд популација птица у Републици Србији</w:t>
      </w:r>
    </w:p>
    <w:p w14:paraId="0CCD505B" w14:textId="161BA2D3" w:rsidR="00CE4CA1" w:rsidRPr="00EF2F18" w:rsidRDefault="00CE4CA1" w:rsidP="00CE4CA1">
      <w:pPr>
        <w:autoSpaceDE w:val="0"/>
        <w:autoSpaceDN w:val="0"/>
        <w:adjustRightInd w:val="0"/>
        <w:spacing w:after="0"/>
        <w:jc w:val="both"/>
        <w:rPr>
          <w:rFonts w:cs="Times New Roman"/>
          <w:sz w:val="22"/>
          <w:lang w:val="sr-Cyrl-RS"/>
        </w:rPr>
      </w:pPr>
      <w:r w:rsidRPr="00EF2F18">
        <w:rPr>
          <w:rFonts w:cs="Times New Roman"/>
          <w:i/>
          <w:sz w:val="22"/>
          <w:lang w:val="sr-Cyrl-RS"/>
        </w:rPr>
        <w:t>Извор: Агенција за заштиту животне средине, 202</w:t>
      </w:r>
      <w:r w:rsidR="00C0735C" w:rsidRPr="00EF2F18">
        <w:rPr>
          <w:rFonts w:cs="Times New Roman"/>
          <w:i/>
          <w:sz w:val="22"/>
          <w:lang w:val="sr-Cyrl-RS"/>
        </w:rPr>
        <w:t>2</w:t>
      </w:r>
      <w:r w:rsidRPr="00EF2F18">
        <w:rPr>
          <w:rFonts w:cs="Times New Roman"/>
          <w:i/>
          <w:sz w:val="22"/>
          <w:lang w:val="sr-Cyrl-RS"/>
        </w:rPr>
        <w:t>.</w:t>
      </w:r>
    </w:p>
    <w:p w14:paraId="3950B675" w14:textId="77777777" w:rsidR="00CE4CA1" w:rsidRPr="00EF2F18" w:rsidRDefault="00CE4CA1" w:rsidP="00FF6235">
      <w:pPr>
        <w:autoSpaceDE w:val="0"/>
        <w:autoSpaceDN w:val="0"/>
        <w:adjustRightInd w:val="0"/>
        <w:spacing w:after="0"/>
        <w:ind w:firstLine="720"/>
        <w:jc w:val="both"/>
        <w:rPr>
          <w:rFonts w:cs="Times New Roman"/>
          <w:sz w:val="22"/>
          <w:lang w:val="sr-Cyrl-RS"/>
        </w:rPr>
      </w:pPr>
    </w:p>
    <w:p w14:paraId="5953F07B" w14:textId="285F25F7" w:rsidR="00BF78D1" w:rsidRPr="00EF2F18" w:rsidRDefault="00BF78D1" w:rsidP="00FF6235">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Трендови популација шумских лептира су у благом порасту, </w:t>
      </w:r>
      <w:r w:rsidR="003A2709" w:rsidRPr="00EF2F18">
        <w:rPr>
          <w:rFonts w:cs="Times New Roman"/>
          <w:sz w:val="22"/>
          <w:lang w:val="sr-Cyrl-RS"/>
        </w:rPr>
        <w:t>са максималним вредностима 2004</w:t>
      </w:r>
      <w:r w:rsidRPr="00EF2F18">
        <w:rPr>
          <w:rFonts w:cs="Times New Roman"/>
          <w:sz w:val="22"/>
          <w:lang w:val="sr-Cyrl-RS"/>
        </w:rPr>
        <w:t xml:space="preserve">, 2011, 2015. и 2017. године. Код ливадских врста забележено је благо смањење популација дневних лептирова. Идентификовано је 40 области главних подручја лептира (PBA). Укупна површина свих PBA износи 903.643 ha, што представља 10,2% територије Републике Србије. </w:t>
      </w:r>
      <w:r w:rsidR="006138AF" w:rsidRPr="00EF2F18">
        <w:rPr>
          <w:rFonts w:cs="Times New Roman"/>
          <w:sz w:val="22"/>
          <w:lang w:val="sr-Cyrl-RS"/>
        </w:rPr>
        <w:t xml:space="preserve">Бројност популација најзначајнијих ловних врста је у стабилном порасту последњих година. Осим популације препелица која је смањена за око 9 % у односу на 2021. годину, али се одржава значајно повећање популације. </w:t>
      </w:r>
      <w:r w:rsidRPr="00EF2F18">
        <w:rPr>
          <w:rFonts w:cs="Times New Roman"/>
          <w:sz w:val="22"/>
          <w:lang w:val="sr-Cyrl-RS"/>
        </w:rPr>
        <w:t>Анализа података за период 2009-2021. године показује повећање бројности популације највећег броја аутохтоних раса и сојева домаћих животиња, што је директни резултат спровођења програма очувања животињских генетичких ресурса.</w:t>
      </w:r>
    </w:p>
    <w:p w14:paraId="7BFCB49C" w14:textId="77777777" w:rsidR="00CE4CA1" w:rsidRPr="00EF2F18" w:rsidRDefault="00CE4CA1" w:rsidP="00CE4CA1">
      <w:pPr>
        <w:autoSpaceDE w:val="0"/>
        <w:autoSpaceDN w:val="0"/>
        <w:adjustRightInd w:val="0"/>
        <w:spacing w:after="0"/>
        <w:jc w:val="both"/>
        <w:rPr>
          <w:rFonts w:cs="Times New Roman"/>
          <w:sz w:val="22"/>
          <w:lang w:val="sr-Cyrl-RS"/>
        </w:rPr>
      </w:pPr>
    </w:p>
    <w:p w14:paraId="6A2A9590" w14:textId="445D030E" w:rsidR="00CE4CA1" w:rsidRPr="00EF2F18" w:rsidRDefault="00700913" w:rsidP="00700913">
      <w:pPr>
        <w:autoSpaceDE w:val="0"/>
        <w:autoSpaceDN w:val="0"/>
        <w:adjustRightInd w:val="0"/>
        <w:spacing w:after="0"/>
        <w:jc w:val="center"/>
        <w:rPr>
          <w:rFonts w:cs="Times New Roman"/>
          <w:sz w:val="22"/>
          <w:lang w:val="sr-Cyrl-RS"/>
        </w:rPr>
      </w:pPr>
      <w:r w:rsidRPr="00EF2F18">
        <w:rPr>
          <w:rFonts w:cs="Times New Roman"/>
          <w:noProof/>
          <w:sz w:val="22"/>
          <w:lang w:val="sr-Cyrl-RS" w:eastAsia="sr-Cyrl-RS"/>
        </w:rPr>
        <w:drawing>
          <wp:inline distT="0" distB="0" distL="0" distR="0" wp14:anchorId="3F4B09ED" wp14:editId="01802DEA">
            <wp:extent cx="3542339" cy="2132695"/>
            <wp:effectExtent l="0" t="0" r="1270" b="1270"/>
            <wp:docPr id="1" name="Picture 1" descr="A graph of 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graph with lines and numbers&#10;&#10;Description automatically generated"/>
                    <pic:cNvPicPr/>
                  </pic:nvPicPr>
                  <pic:blipFill>
                    <a:blip r:embed="rId48"/>
                    <a:stretch>
                      <a:fillRect/>
                    </a:stretch>
                  </pic:blipFill>
                  <pic:spPr>
                    <a:xfrm>
                      <a:off x="0" y="0"/>
                      <a:ext cx="3554669" cy="2140118"/>
                    </a:xfrm>
                    <a:prstGeom prst="rect">
                      <a:avLst/>
                    </a:prstGeom>
                  </pic:spPr>
                </pic:pic>
              </a:graphicData>
            </a:graphic>
          </wp:inline>
        </w:drawing>
      </w:r>
    </w:p>
    <w:p w14:paraId="0A137470" w14:textId="42D040A8" w:rsidR="00CE4CA1" w:rsidRPr="00EF2F18" w:rsidRDefault="00CE4CA1" w:rsidP="00CE4CA1">
      <w:pPr>
        <w:autoSpaceDE w:val="0"/>
        <w:autoSpaceDN w:val="0"/>
        <w:adjustRightInd w:val="0"/>
        <w:spacing w:after="0"/>
        <w:jc w:val="both"/>
        <w:rPr>
          <w:rFonts w:cs="Times New Roman"/>
          <w:sz w:val="22"/>
          <w:lang w:val="sr-Cyrl-RS"/>
        </w:rPr>
      </w:pPr>
      <w:r w:rsidRPr="00EF2F18">
        <w:rPr>
          <w:rFonts w:cs="Times New Roman"/>
          <w:b/>
          <w:bCs/>
          <w:sz w:val="22"/>
          <w:lang w:val="sr-Cyrl-RS"/>
        </w:rPr>
        <w:t>Слика</w:t>
      </w:r>
      <w:r w:rsidR="007E2A58" w:rsidRPr="00EF2F18">
        <w:rPr>
          <w:rFonts w:cs="Times New Roman"/>
          <w:b/>
          <w:bCs/>
          <w:sz w:val="22"/>
          <w:lang w:val="sr-Cyrl-RS"/>
        </w:rPr>
        <w:t xml:space="preserve"> </w:t>
      </w:r>
      <w:r w:rsidR="00C0735C" w:rsidRPr="00EF2F18">
        <w:rPr>
          <w:rFonts w:cs="Times New Roman"/>
          <w:b/>
          <w:bCs/>
          <w:sz w:val="22"/>
          <w:lang w:val="sr-Cyrl-RS"/>
        </w:rPr>
        <w:t>3</w:t>
      </w:r>
      <w:r w:rsidR="007E2A58" w:rsidRPr="00EF2F18">
        <w:rPr>
          <w:rFonts w:cs="Times New Roman"/>
          <w:b/>
          <w:bCs/>
          <w:sz w:val="22"/>
          <w:lang w:val="sr-Cyrl-RS"/>
        </w:rPr>
        <w:t>.</w:t>
      </w:r>
      <w:r w:rsidR="00DE003D" w:rsidRPr="00EF2F18">
        <w:rPr>
          <w:rFonts w:cs="Times New Roman"/>
          <w:b/>
          <w:bCs/>
          <w:sz w:val="22"/>
          <w:lang w:val="sr-Cyrl-RS"/>
        </w:rPr>
        <w:t>30</w:t>
      </w:r>
      <w:r w:rsidR="007E2A58" w:rsidRPr="00EF2F18">
        <w:rPr>
          <w:rFonts w:cs="Times New Roman"/>
          <w:b/>
          <w:bCs/>
          <w:sz w:val="22"/>
          <w:lang w:val="sr-Cyrl-RS"/>
        </w:rPr>
        <w:t>.</w:t>
      </w:r>
      <w:r w:rsidRPr="00EF2F18">
        <w:rPr>
          <w:rFonts w:cs="Times New Roman"/>
          <w:b/>
          <w:bCs/>
          <w:sz w:val="22"/>
          <w:lang w:val="sr-Cyrl-RS"/>
        </w:rPr>
        <w:t xml:space="preserve"> </w:t>
      </w:r>
      <w:r w:rsidRPr="00EF2F18">
        <w:rPr>
          <w:rFonts w:cs="Times New Roman"/>
          <w:sz w:val="22"/>
          <w:lang w:val="sr-Cyrl-RS"/>
        </w:rPr>
        <w:t>Тренд популација 15 врста ливадских и 15 врста шумских станишта дневних лептирова</w:t>
      </w:r>
    </w:p>
    <w:p w14:paraId="4830E31F" w14:textId="36CBCE19" w:rsidR="00CE4CA1" w:rsidRPr="00EF2F18" w:rsidRDefault="00CE4CA1" w:rsidP="00CE4CA1">
      <w:pPr>
        <w:autoSpaceDE w:val="0"/>
        <w:autoSpaceDN w:val="0"/>
        <w:adjustRightInd w:val="0"/>
        <w:spacing w:after="0"/>
        <w:jc w:val="both"/>
        <w:rPr>
          <w:rFonts w:cs="Times New Roman"/>
          <w:sz w:val="22"/>
          <w:lang w:val="sr-Cyrl-RS"/>
        </w:rPr>
      </w:pPr>
      <w:r w:rsidRPr="00EF2F18">
        <w:rPr>
          <w:rFonts w:cs="Times New Roman"/>
          <w:i/>
          <w:sz w:val="22"/>
          <w:lang w:val="sr-Cyrl-RS"/>
        </w:rPr>
        <w:t>Извор: Агенција за заштиту животне средине, 202</w:t>
      </w:r>
      <w:r w:rsidR="00C0735C" w:rsidRPr="00EF2F18">
        <w:rPr>
          <w:rFonts w:cs="Times New Roman"/>
          <w:i/>
          <w:sz w:val="22"/>
          <w:lang w:val="sr-Cyrl-RS"/>
        </w:rPr>
        <w:t>2</w:t>
      </w:r>
      <w:r w:rsidRPr="00EF2F18">
        <w:rPr>
          <w:rFonts w:cs="Times New Roman"/>
          <w:i/>
          <w:sz w:val="22"/>
          <w:lang w:val="sr-Cyrl-RS"/>
        </w:rPr>
        <w:t>.</w:t>
      </w:r>
    </w:p>
    <w:p w14:paraId="1419ECCD" w14:textId="77777777" w:rsidR="00CE4CA1" w:rsidRPr="00EF2F18" w:rsidRDefault="00CE4CA1" w:rsidP="00FF6235">
      <w:pPr>
        <w:autoSpaceDE w:val="0"/>
        <w:autoSpaceDN w:val="0"/>
        <w:adjustRightInd w:val="0"/>
        <w:spacing w:after="0"/>
        <w:ind w:firstLine="720"/>
        <w:jc w:val="both"/>
        <w:rPr>
          <w:rFonts w:cs="Times New Roman"/>
          <w:sz w:val="22"/>
          <w:lang w:val="sr-Cyrl-RS"/>
        </w:rPr>
      </w:pPr>
    </w:p>
    <w:p w14:paraId="181D30E6" w14:textId="4A4D5329" w:rsidR="00F26C75" w:rsidRPr="00EF2F18" w:rsidRDefault="00F26C75" w:rsidP="00F26C75">
      <w:pPr>
        <w:spacing w:after="0"/>
        <w:ind w:firstLine="720"/>
        <w:jc w:val="both"/>
        <w:rPr>
          <w:rFonts w:cs="Times New Roman"/>
          <w:sz w:val="22"/>
          <w:lang w:val="sr-Cyrl-RS"/>
        </w:rPr>
      </w:pPr>
      <w:r w:rsidRPr="00EF2F18">
        <w:rPr>
          <w:rFonts w:cs="Times New Roman"/>
          <w:sz w:val="22"/>
          <w:lang w:val="sr-Cyrl-RS"/>
        </w:rPr>
        <w:t xml:space="preserve">Извештавање о стању биодиверзитета саставни је део годишњег Извештаја о стању животне средине Републике Србије, који сачињава Агенција за заштиту животне средине. </w:t>
      </w:r>
      <w:r w:rsidRPr="00EF2F18">
        <w:rPr>
          <w:rFonts w:cs="Times New Roman"/>
          <w:sz w:val="22"/>
          <w:shd w:val="clear" w:color="auto" w:fill="FFFFFF"/>
          <w:lang w:val="sr-Cyrl-RS"/>
        </w:rPr>
        <w:t xml:space="preserve">Агенција је креирала и одржава базе података у складу са Националном листом индикатора, док је у </w:t>
      </w:r>
      <w:r w:rsidRPr="00EF2F18">
        <w:rPr>
          <w:sz w:val="22"/>
          <w:lang w:val="sr-Cyrl-RS"/>
        </w:rPr>
        <w:t xml:space="preserve">национални информациони систем за биодиверзитет (НИСБ) </w:t>
      </w:r>
      <w:r w:rsidRPr="00EF2F18">
        <w:rPr>
          <w:rFonts w:cs="Times New Roman"/>
          <w:sz w:val="22"/>
          <w:shd w:val="clear" w:color="auto" w:fill="FFFFFF"/>
          <w:lang w:val="sr-Cyrl-RS"/>
        </w:rPr>
        <w:t xml:space="preserve">делимично интегрисан сектор шумарства, ловства и </w:t>
      </w:r>
      <w:r w:rsidR="004724C6" w:rsidRPr="00EF2F18">
        <w:rPr>
          <w:rFonts w:cs="Times New Roman"/>
          <w:sz w:val="22"/>
          <w:shd w:val="clear" w:color="auto" w:fill="FFFFFF"/>
          <w:lang w:val="sr-Cyrl-RS"/>
        </w:rPr>
        <w:t xml:space="preserve">рибарства </w:t>
      </w:r>
      <w:r w:rsidRPr="00EF2F18">
        <w:rPr>
          <w:rFonts w:cs="Times New Roman"/>
          <w:sz w:val="22"/>
          <w:shd w:val="clear" w:color="auto" w:fill="FFFFFF"/>
          <w:lang w:val="sr-Cyrl-RS"/>
        </w:rPr>
        <w:t xml:space="preserve">у оквиру Националне листе индикатора. </w:t>
      </w:r>
      <w:r w:rsidRPr="00EF2F18">
        <w:rPr>
          <w:rStyle w:val="v2-clan-left-1"/>
          <w:rFonts w:cs="Times New Roman"/>
          <w:bCs/>
          <w:sz w:val="22"/>
          <w:shd w:val="clear" w:color="auto" w:fill="FFFFFF"/>
          <w:lang w:val="sr-Cyrl-RS"/>
        </w:rPr>
        <w:t xml:space="preserve">Завод за заштиту природе Србије, за територију Републике Србије води регистар заштићених природних добара и информациони систем о заштити природе (базе података о заштићеним природним добрима, стаништима, заштићеним врстама, подручјима еколошке мреже), израђује </w:t>
      </w:r>
      <w:r w:rsidRPr="00EF2F18">
        <w:rPr>
          <w:rStyle w:val="v2-clan-left-3"/>
          <w:rFonts w:cs="Times New Roman"/>
          <w:bCs/>
          <w:sz w:val="22"/>
          <w:shd w:val="clear" w:color="auto" w:fill="FFFFFF"/>
          <w:lang w:val="sr-Cyrl-RS"/>
        </w:rPr>
        <w:t xml:space="preserve">План </w:t>
      </w:r>
      <w:r w:rsidRPr="00EF2F18">
        <w:rPr>
          <w:rStyle w:val="v2-clan-left-1"/>
          <w:rFonts w:cs="Times New Roman"/>
          <w:bCs/>
          <w:sz w:val="22"/>
          <w:shd w:val="clear" w:color="auto" w:fill="FFFFFF"/>
          <w:lang w:val="sr-Cyrl-RS"/>
        </w:rPr>
        <w:t>заштите природних добара, израђује стручне основе за</w:t>
      </w:r>
      <w:r w:rsidRPr="00EF2F18">
        <w:rPr>
          <w:rStyle w:val="v2-clan-left-3"/>
          <w:rFonts w:cs="Times New Roman"/>
          <w:bCs/>
          <w:sz w:val="22"/>
          <w:shd w:val="clear" w:color="auto" w:fill="FFFFFF"/>
          <w:lang w:val="sr-Cyrl-RS"/>
        </w:rPr>
        <w:t xml:space="preserve"> Програм</w:t>
      </w:r>
      <w:r w:rsidRPr="00EF2F18">
        <w:rPr>
          <w:rStyle w:val="v2-clan-left-1"/>
          <w:rFonts w:cs="Times New Roman"/>
          <w:bCs/>
          <w:sz w:val="22"/>
          <w:shd w:val="clear" w:color="auto" w:fill="FFFFFF"/>
          <w:lang w:val="sr-Cyrl-RS"/>
        </w:rPr>
        <w:t xml:space="preserve"> заштите природе и природних вредности Републике Србије и Извештај о стању природе.</w:t>
      </w:r>
      <w:r w:rsidR="00C055B1" w:rsidRPr="00EF2F18">
        <w:rPr>
          <w:rStyle w:val="v2-clan-left-1"/>
          <w:rFonts w:cs="Times New Roman"/>
          <w:bCs/>
          <w:sz w:val="22"/>
          <w:shd w:val="clear" w:color="auto" w:fill="FFFFFF"/>
          <w:lang w:val="sr-Cyrl-RS"/>
        </w:rPr>
        <w:t xml:space="preserve"> Покрајински завод за заштиту природе</w:t>
      </w:r>
      <w:r w:rsidR="000F65B5" w:rsidRPr="00EF2F18">
        <w:rPr>
          <w:rStyle w:val="v2-clan-left-1"/>
          <w:rFonts w:cs="Times New Roman"/>
          <w:bCs/>
          <w:sz w:val="22"/>
          <w:shd w:val="clear" w:color="auto" w:fill="FFFFFF"/>
          <w:lang w:val="sr-Cyrl-RS"/>
        </w:rPr>
        <w:t xml:space="preserve"> надлежан је за </w:t>
      </w:r>
      <w:r w:rsidR="000F65B5" w:rsidRPr="00EF2F18">
        <w:rPr>
          <w:color w:val="000000"/>
          <w:sz w:val="23"/>
          <w:szCs w:val="23"/>
          <w:lang w:val="sr-Cyrl-RS"/>
        </w:rPr>
        <w:t>издавање Решења о условима заштите природе за све активности које се не спроводе на подручју Националног парка и заштићеним подручјима I и II категорије.</w:t>
      </w:r>
    </w:p>
    <w:p w14:paraId="043D76CE" w14:textId="73EB3955" w:rsidR="00BF78D1" w:rsidRPr="00EF2F18" w:rsidRDefault="00235BB9" w:rsidP="00BF78D1">
      <w:pPr>
        <w:pStyle w:val="NormalWeb"/>
        <w:spacing w:before="0" w:beforeAutospacing="0" w:after="0" w:afterAutospacing="0"/>
        <w:ind w:firstLine="720"/>
        <w:jc w:val="both"/>
        <w:rPr>
          <w:sz w:val="22"/>
          <w:lang w:val="sr-Cyrl-RS"/>
        </w:rPr>
      </w:pPr>
      <w:r w:rsidRPr="00EF2F18">
        <w:rPr>
          <w:sz w:val="22"/>
          <w:szCs w:val="22"/>
          <w:lang w:val="sr-Cyrl-RS"/>
        </w:rPr>
        <w:t>Анализа промене намене земљишта у периоду од 2006. до 2018. године</w:t>
      </w:r>
      <w:r w:rsidR="00404B57" w:rsidRPr="00EF2F18">
        <w:rPr>
          <w:sz w:val="22"/>
          <w:szCs w:val="22"/>
          <w:lang w:val="sr-Cyrl-RS"/>
        </w:rPr>
        <w:t>, према подацима Агенције за</w:t>
      </w:r>
      <w:r w:rsidR="001658F4">
        <w:rPr>
          <w:sz w:val="22"/>
          <w:szCs w:val="22"/>
          <w:lang w:val="sr-Cyrl-RS"/>
        </w:rPr>
        <w:t xml:space="preserve"> </w:t>
      </w:r>
      <w:r w:rsidR="00404B57" w:rsidRPr="00EF2F18">
        <w:rPr>
          <w:sz w:val="22"/>
          <w:szCs w:val="22"/>
          <w:lang w:val="sr-Cyrl-RS"/>
        </w:rPr>
        <w:t>заштиту животне средине,</w:t>
      </w:r>
      <w:r w:rsidRPr="00EF2F18">
        <w:rPr>
          <w:sz w:val="22"/>
          <w:szCs w:val="22"/>
          <w:lang w:val="sr-Cyrl-RS"/>
        </w:rPr>
        <w:t xml:space="preserve"> показује да су се највеће промене десиле у категорији вештачких површина (повећање од 34.605 ha). Пољопривредно земљиште је у посматраном периоду смањено за 86.492 ha, односно за</w:t>
      </w:r>
      <w:r w:rsidRPr="00EF2F18">
        <w:rPr>
          <w:sz w:val="22"/>
          <w:szCs w:val="22"/>
          <w:shd w:val="clear" w:color="auto" w:fill="F7F7F8"/>
          <w:lang w:val="sr-Cyrl-RS"/>
        </w:rPr>
        <w:t xml:space="preserve"> </w:t>
      </w:r>
      <w:r w:rsidRPr="00EF2F18">
        <w:rPr>
          <w:sz w:val="22"/>
          <w:szCs w:val="22"/>
          <w:lang w:val="sr-Cyrl-RS"/>
        </w:rPr>
        <w:t>2,7%, док је фрагментираност смањена за 2,7%.</w:t>
      </w:r>
      <w:r w:rsidR="006C2E00" w:rsidRPr="00EF2F18">
        <w:rPr>
          <w:sz w:val="22"/>
          <w:szCs w:val="22"/>
          <w:lang w:val="sr-Cyrl-RS"/>
        </w:rPr>
        <w:t xml:space="preserve"> </w:t>
      </w:r>
      <w:r w:rsidR="00BF78D1" w:rsidRPr="00EF2F18">
        <w:rPr>
          <w:sz w:val="22"/>
          <w:szCs w:val="22"/>
          <w:lang w:val="sr-Cyrl-RS"/>
        </w:rPr>
        <w:t>Приближно 11.872 km</w:t>
      </w:r>
      <w:r w:rsidR="00BF78D1" w:rsidRPr="00EF2F18">
        <w:rPr>
          <w:sz w:val="22"/>
          <w:szCs w:val="22"/>
          <w:vertAlign w:val="superscript"/>
          <w:lang w:val="sr-Cyrl-RS"/>
        </w:rPr>
        <w:t>2</w:t>
      </w:r>
      <w:r w:rsidR="00BF78D1" w:rsidRPr="00EF2F18">
        <w:rPr>
          <w:sz w:val="22"/>
          <w:szCs w:val="22"/>
          <w:lang w:val="sr-Cyrl-RS"/>
        </w:rPr>
        <w:t xml:space="preserve"> пољопривредног земљишта у </w:t>
      </w:r>
      <w:r w:rsidR="00FF6235" w:rsidRPr="00EF2F18">
        <w:rPr>
          <w:sz w:val="22"/>
          <w:szCs w:val="22"/>
          <w:lang w:val="sr-Cyrl-RS"/>
        </w:rPr>
        <w:t xml:space="preserve">Републици </w:t>
      </w:r>
      <w:r w:rsidR="00BF78D1" w:rsidRPr="00EF2F18">
        <w:rPr>
          <w:sz w:val="22"/>
          <w:szCs w:val="22"/>
          <w:lang w:val="sr-Cyrl-RS"/>
        </w:rPr>
        <w:t>Србији (19% укупне пољопривредне површине и 13% територије Србије) има високу природну вредност.</w:t>
      </w:r>
      <w:r w:rsidR="00BF78D1" w:rsidRPr="00EF2F18">
        <w:rPr>
          <w:sz w:val="22"/>
          <w:szCs w:val="22"/>
          <w:shd w:val="clear" w:color="auto" w:fill="F7F7F8"/>
          <w:lang w:val="sr-Cyrl-RS"/>
        </w:rPr>
        <w:t xml:space="preserve"> </w:t>
      </w:r>
      <w:r w:rsidR="00352D1F" w:rsidRPr="00EF2F18">
        <w:rPr>
          <w:sz w:val="22"/>
          <w:lang w:val="sr-Cyrl-RS"/>
        </w:rPr>
        <w:t>Током 2022. године у Републици Србији сакупљено је око 8.200 t дивљих врста. Сакупљено је 2.700 t лековитог биља, 4.400 t печурака и 1.100 t пужева. У односу на 2021. годину сакупљено је 60% мање лековитог биља и скоро 60% више печурки.</w:t>
      </w:r>
    </w:p>
    <w:p w14:paraId="2256018C" w14:textId="77777777" w:rsidR="007160DE" w:rsidRPr="00EF2F18" w:rsidRDefault="007160DE" w:rsidP="007160DE">
      <w:pPr>
        <w:spacing w:after="0"/>
        <w:ind w:firstLine="720"/>
        <w:jc w:val="both"/>
        <w:rPr>
          <w:rFonts w:cs="Times New Roman"/>
          <w:sz w:val="22"/>
          <w:lang w:val="sr-Cyrl-RS"/>
        </w:rPr>
      </w:pPr>
      <w:r w:rsidRPr="00EF2F18">
        <w:rPr>
          <w:rFonts w:cs="Times New Roman"/>
          <w:sz w:val="22"/>
          <w:lang w:val="sr-Cyrl-RS"/>
        </w:rPr>
        <w:t xml:space="preserve">Програм заштите природе Републике Србије за период од 2021. до 2023. године („Службени гласник РС”, број 53/21) усвојен је 2021. године и као општи циљ заштите природе поставио је унапређење система заштите природе, уз четири посебна циља (заштита биодиверзитета; унапређење система заштићених подручја и еколошких мрежа; одрживо коришћење природних ресурса; и јачање јавне политике и учешћа јавности у доношењу одлука). Исте године извршене су и измене и допуне Закона о заштити природе како би се заштита природе у Републици Србији ускладила са елементима који важе за подручја европске еколошке мреже </w:t>
      </w:r>
      <w:r w:rsidRPr="00EF2F18">
        <w:rPr>
          <w:sz w:val="22"/>
          <w:lang w:val="sr-Cyrl-RS"/>
        </w:rPr>
        <w:t>НАТУРА 2000</w:t>
      </w:r>
      <w:r w:rsidRPr="00EF2F18">
        <w:rPr>
          <w:rFonts w:cs="Times New Roman"/>
          <w:sz w:val="22"/>
          <w:lang w:val="sr-Cyrl-RS"/>
        </w:rPr>
        <w:t>.</w:t>
      </w:r>
    </w:p>
    <w:p w14:paraId="1E2C01B7" w14:textId="5F81985B" w:rsidR="00C055B1" w:rsidRPr="00EF2F18" w:rsidRDefault="00C055B1" w:rsidP="00C055B1">
      <w:pPr>
        <w:spacing w:after="0"/>
        <w:ind w:firstLine="720"/>
        <w:jc w:val="both"/>
        <w:rPr>
          <w:rFonts w:cs="Times New Roman"/>
          <w:sz w:val="22"/>
          <w:lang w:val="sr-Cyrl-RS"/>
        </w:rPr>
      </w:pPr>
      <w:r w:rsidRPr="00EF2F18">
        <w:rPr>
          <w:rFonts w:cs="Times New Roman"/>
          <w:sz w:val="22"/>
          <w:lang w:val="sr-Cyrl-RS"/>
        </w:rPr>
        <w:t>Заштита биодиверзитета у Републици Србији се спроводи кроз одговарајуће инструменте, циљеве и мере заштите и унапређења врста, њихових популација, природних станишта и екосистема, у складу са Законом о заштити природе („Службени гласник РС”, бр. 36/09, 88/10, 91/10, 14/16, 95/18</w:t>
      </w:r>
      <w:r w:rsidR="00F94415" w:rsidRPr="00EF2F18">
        <w:rPr>
          <w:rFonts w:cs="Times New Roman"/>
          <w:sz w:val="22"/>
          <w:lang w:val="sr-Cyrl-RS"/>
        </w:rPr>
        <w:t xml:space="preserve"> и</w:t>
      </w:r>
      <w:r w:rsidR="007160DE" w:rsidRPr="00EF2F18">
        <w:rPr>
          <w:rFonts w:cs="Times New Roman"/>
          <w:sz w:val="22"/>
          <w:lang w:val="sr-Cyrl-RS"/>
        </w:rPr>
        <w:t xml:space="preserve"> 71/21</w:t>
      </w:r>
      <w:r w:rsidRPr="00EF2F18">
        <w:rPr>
          <w:rFonts w:cs="Times New Roman"/>
          <w:sz w:val="22"/>
          <w:lang w:val="sr-Cyrl-RS"/>
        </w:rPr>
        <w:t xml:space="preserve">) и свих подзаконских аката који из њега произилазе. Стратегија биолошке разноврсности Републике Србије за период 2011 – 2018. године усвојена је почетком 2011. године. Национална стратегија одрживог коришћења природних ресурса и </w:t>
      </w:r>
      <w:r w:rsidRPr="00EF2F18">
        <w:rPr>
          <w:rFonts w:cs="Times New Roman"/>
          <w:sz w:val="22"/>
          <w:lang w:val="sr-Cyrl-RS"/>
        </w:rPr>
        <w:lastRenderedPageBreak/>
        <w:t xml:space="preserve">добара усвојена је 2012. године и престала је да се примењује крајем 2021. године Одлуком о престанку примене појединих докумената јавних политика. </w:t>
      </w:r>
    </w:p>
    <w:p w14:paraId="5C68D4FD" w14:textId="6CD65497" w:rsidR="00C055B1" w:rsidRPr="00EF2F18" w:rsidRDefault="00C055B1" w:rsidP="00C055B1">
      <w:pPr>
        <w:ind w:firstLine="720"/>
        <w:jc w:val="both"/>
        <w:rPr>
          <w:sz w:val="22"/>
          <w:lang w:val="sr-Cyrl-RS" w:eastAsia="en-GB"/>
        </w:rPr>
      </w:pPr>
      <w:r w:rsidRPr="00EF2F18">
        <w:rPr>
          <w:rFonts w:cs="Times New Roman"/>
          <w:sz w:val="22"/>
          <w:lang w:val="sr-Cyrl-RS"/>
        </w:rPr>
        <w:t xml:space="preserve">Законодавни оквир заштите биолошке разноврсности и заштите природе у Републици Србији усклађени су са </w:t>
      </w:r>
      <w:r w:rsidRPr="00EF2F18">
        <w:rPr>
          <w:sz w:val="22"/>
          <w:lang w:val="sr-Cyrl-RS"/>
        </w:rPr>
        <w:t>међународним споразумима, конвенцијама и уговорима у области заштите природе на глобалном нивоу</w:t>
      </w:r>
      <w:r w:rsidRPr="00EF2F18">
        <w:rPr>
          <w:rFonts w:cs="Times New Roman"/>
          <w:sz w:val="22"/>
          <w:lang w:val="sr-Cyrl-RS"/>
        </w:rPr>
        <w:t xml:space="preserve">. Пре свега </w:t>
      </w:r>
      <w:r w:rsidRPr="00EF2F18">
        <w:rPr>
          <w:iCs/>
          <w:sz w:val="22"/>
          <w:lang w:val="sr-Cyrl-RS"/>
        </w:rPr>
        <w:t xml:space="preserve">Република Србија је сукцесијом постала потписница Декларације о животној средини и развоју из 1992. године, а такође и </w:t>
      </w:r>
      <w:r w:rsidRPr="00EF2F18">
        <w:rPr>
          <w:rFonts w:eastAsia="Times New Roman"/>
          <w:sz w:val="22"/>
          <w:lang w:val="sr-Cyrl-RS"/>
        </w:rPr>
        <w:t>Конвенције о заштити светског културног и природног наслеђа која је потврђена у Републици Србији 1974. године (</w:t>
      </w:r>
      <w:r w:rsidRPr="00EF2F18">
        <w:rPr>
          <w:rFonts w:eastAsia="Calibri"/>
          <w:bCs/>
          <w:sz w:val="22"/>
          <w:lang w:val="sr-Cyrl-RS"/>
        </w:rPr>
        <w:t>„</w:t>
      </w:r>
      <w:r w:rsidRPr="00EF2F18">
        <w:rPr>
          <w:sz w:val="22"/>
          <w:lang w:val="sr-Cyrl-RS"/>
        </w:rPr>
        <w:t>Службени лист СФРЈ</w:t>
      </w:r>
      <w:r w:rsidR="0024365B">
        <w:rPr>
          <w:sz w:val="22"/>
          <w:lang w:val="sr-Cyrl-RS"/>
        </w:rPr>
        <w:t xml:space="preserve"> – </w:t>
      </w:r>
      <w:r w:rsidRPr="00EF2F18">
        <w:rPr>
          <w:sz w:val="22"/>
          <w:lang w:val="sr-Cyrl-RS"/>
        </w:rPr>
        <w:t>Међународни уговори</w:t>
      </w:r>
      <w:r w:rsidRPr="00EF2F18">
        <w:rPr>
          <w:rFonts w:eastAsia="Calibri"/>
          <w:bCs/>
          <w:sz w:val="22"/>
          <w:lang w:val="sr-Cyrl-RS"/>
        </w:rPr>
        <w:t>”</w:t>
      </w:r>
      <w:r w:rsidRPr="00EF2F18">
        <w:rPr>
          <w:sz w:val="22"/>
          <w:lang w:val="sr-Cyrl-RS"/>
        </w:rPr>
        <w:t>, број 56/74)</w:t>
      </w:r>
      <w:r w:rsidRPr="00EF2F18">
        <w:rPr>
          <w:rFonts w:eastAsia="Times New Roman"/>
          <w:sz w:val="22"/>
          <w:lang w:val="sr-Cyrl-RS"/>
        </w:rPr>
        <w:t xml:space="preserve">. </w:t>
      </w:r>
      <w:r w:rsidRPr="00EF2F18">
        <w:rPr>
          <w:iCs/>
          <w:sz w:val="22"/>
          <w:lang w:val="sr-Cyrl-RS"/>
        </w:rPr>
        <w:t xml:space="preserve">Конвенција о биолошкој разноврсности у Републици Србији ратификована је </w:t>
      </w:r>
      <w:r w:rsidRPr="00EF2F18">
        <w:rPr>
          <w:rFonts w:eastAsia="Calibri"/>
          <w:bCs/>
          <w:sz w:val="22"/>
          <w:lang w:val="sr-Cyrl-RS"/>
        </w:rPr>
        <w:t xml:space="preserve">Законом о потврђивању Конвенције о биолошкој разноврсности („Службени лист СРЈ </w:t>
      </w:r>
      <w:r w:rsidR="003A2709" w:rsidRPr="00EF2F18">
        <w:rPr>
          <w:rFonts w:eastAsia="Calibri"/>
          <w:bCs/>
          <w:sz w:val="22"/>
          <w:lang w:val="sr-Cyrl-RS"/>
        </w:rPr>
        <w:t>–</w:t>
      </w:r>
      <w:r w:rsidRPr="00EF2F18">
        <w:rPr>
          <w:rFonts w:eastAsia="Calibri"/>
          <w:bCs/>
          <w:sz w:val="22"/>
          <w:lang w:val="sr-Cyrl-RS"/>
        </w:rPr>
        <w:t xml:space="preserve"> Међународни уговори”, број 11/01). </w:t>
      </w:r>
      <w:r w:rsidRPr="00EF2F18">
        <w:rPr>
          <w:rFonts w:eastAsia="Times New Roman"/>
          <w:sz w:val="22"/>
          <w:lang w:val="sr-Cyrl-RS"/>
        </w:rPr>
        <w:t xml:space="preserve">У оквиру УН Конвенције о биолошкој разноврсности усвојени су и Протокол о биосигурности </w:t>
      </w:r>
      <w:r w:rsidR="00D215DF">
        <w:rPr>
          <w:rFonts w:eastAsia="Times New Roman"/>
          <w:sz w:val="22"/>
          <w:lang w:val="sr-Cyrl-RS"/>
        </w:rPr>
        <w:t>–</w:t>
      </w:r>
      <w:r w:rsidRPr="00EF2F18">
        <w:rPr>
          <w:rFonts w:eastAsia="Times New Roman"/>
          <w:sz w:val="22"/>
          <w:lang w:val="sr-Cyrl-RS"/>
        </w:rPr>
        <w:t xml:space="preserve"> Картагена протокол и Протокол о приступу генетичким ресурсима и </w:t>
      </w:r>
      <w:r w:rsidRPr="00EF2F18">
        <w:rPr>
          <w:sz w:val="22"/>
          <w:lang w:val="sr-Cyrl-RS"/>
        </w:rPr>
        <w:t xml:space="preserve">праведној и једнакој </w:t>
      </w:r>
      <w:r w:rsidRPr="00EF2F18">
        <w:rPr>
          <w:rFonts w:eastAsia="Times New Roman"/>
          <w:sz w:val="22"/>
          <w:lang w:val="sr-Cyrl-RS"/>
        </w:rPr>
        <w:t xml:space="preserve">расподели користи од њиховог коришћења – Нагоја Протокол. Одговарајућим актима Република Србије прихваћена је и Конвенција о мочварама од међународног значаја посебно као станишта птица мочварица </w:t>
      </w:r>
      <w:r w:rsidR="003A2709" w:rsidRPr="00EF2F18">
        <w:rPr>
          <w:rFonts w:eastAsia="Times New Roman"/>
          <w:sz w:val="22"/>
          <w:lang w:val="sr-Cyrl-RS"/>
        </w:rPr>
        <w:t>–</w:t>
      </w:r>
      <w:r w:rsidRPr="00EF2F18">
        <w:rPr>
          <w:rFonts w:eastAsia="Times New Roman"/>
          <w:sz w:val="22"/>
          <w:lang w:val="sr-Cyrl-RS"/>
        </w:rPr>
        <w:t xml:space="preserve"> Рамсарска конвенција, Конвенцију о међународној трговини угроженим врстама дивље флоре и фауне – </w:t>
      </w:r>
      <w:r w:rsidRPr="00EF2F18">
        <w:rPr>
          <w:rFonts w:eastAsia="Times New Roman"/>
          <w:i/>
          <w:iCs/>
          <w:sz w:val="22"/>
          <w:lang w:val="sr-Cyrl-RS"/>
        </w:rPr>
        <w:t>CITES</w:t>
      </w:r>
      <w:r w:rsidRPr="00EF2F18">
        <w:rPr>
          <w:rFonts w:eastAsia="Times New Roman"/>
          <w:sz w:val="22"/>
          <w:lang w:val="sr-Cyrl-RS"/>
        </w:rPr>
        <w:t>, Конвенцију о очувању миграторних врста дивљих животиња – Бонска конвенција, Споразум о заштити Афричко – Евроазијских миграторних птица водених станишта (</w:t>
      </w:r>
      <w:r w:rsidRPr="00EF2F18">
        <w:rPr>
          <w:rFonts w:eastAsia="Times New Roman"/>
          <w:i/>
          <w:iCs/>
          <w:sz w:val="22"/>
          <w:lang w:val="sr-Cyrl-RS"/>
        </w:rPr>
        <w:t>UNEP/AEWA</w:t>
      </w:r>
      <w:r w:rsidRPr="00EF2F18">
        <w:rPr>
          <w:rFonts w:eastAsia="Times New Roman"/>
          <w:sz w:val="22"/>
          <w:lang w:val="sr-Cyrl-RS"/>
        </w:rPr>
        <w:t>) и Споразум о очувању популација слепих мишева у Европи (</w:t>
      </w:r>
      <w:r w:rsidRPr="00EF2F18">
        <w:rPr>
          <w:rFonts w:eastAsia="Times New Roman"/>
          <w:i/>
          <w:iCs/>
          <w:sz w:val="22"/>
          <w:lang w:val="sr-Cyrl-RS"/>
        </w:rPr>
        <w:t>UNEP/EUROBATS</w:t>
      </w:r>
      <w:r w:rsidRPr="00EF2F18">
        <w:rPr>
          <w:rFonts w:eastAsia="Times New Roman"/>
          <w:sz w:val="22"/>
          <w:lang w:val="sr-Cyrl-RS"/>
        </w:rPr>
        <w:t xml:space="preserve">). Република Србија је 2020. године постала чланица </w:t>
      </w:r>
      <w:r w:rsidRPr="00EF2F18">
        <w:rPr>
          <w:sz w:val="22"/>
          <w:lang w:val="sr-Cyrl-RS"/>
        </w:rPr>
        <w:t>Међувладине научно-политичке платформе о биодиверзитету и услугама екосистема (</w:t>
      </w:r>
      <w:r w:rsidRPr="00EF2F18">
        <w:rPr>
          <w:i/>
          <w:iCs/>
          <w:sz w:val="22"/>
          <w:lang w:val="sr-Cyrl-RS"/>
        </w:rPr>
        <w:t>Intergovernmental Science-Policy Platform on Biodiversity and Ecosystem Services – IPBES</w:t>
      </w:r>
      <w:r w:rsidRPr="00EF2F18">
        <w:rPr>
          <w:sz w:val="22"/>
          <w:lang w:val="sr-Cyrl-RS"/>
        </w:rPr>
        <w:t>)</w:t>
      </w:r>
      <w:r w:rsidR="00A512A7" w:rsidRPr="00EF2F18">
        <w:rPr>
          <w:sz w:val="22"/>
          <w:lang w:val="sr-Cyrl-RS"/>
        </w:rPr>
        <w:t xml:space="preserve">, чија је улога </w:t>
      </w:r>
      <w:r w:rsidR="00A512A7" w:rsidRPr="00EF2F18">
        <w:rPr>
          <w:rFonts w:eastAsia="Times New Roman"/>
          <w:sz w:val="22"/>
          <w:lang w:val="sr-Cyrl-RS"/>
        </w:rPr>
        <w:t>процена стања биодиверзитета, екосистема и услуга на глобалном и регионалном нивоу</w:t>
      </w:r>
      <w:r w:rsidRPr="00EF2F18">
        <w:rPr>
          <w:sz w:val="22"/>
          <w:lang w:val="sr-Cyrl-RS"/>
        </w:rPr>
        <w:t xml:space="preserve">. Од посебне важности за заштиту природе и заштиту биодиверзитета у Републици Србији је и </w:t>
      </w:r>
      <w:r w:rsidRPr="00EF2F18">
        <w:rPr>
          <w:sz w:val="22"/>
          <w:lang w:val="sr-Cyrl-RS" w:eastAsia="en-GB"/>
        </w:rPr>
        <w:t xml:space="preserve">Стратегија </w:t>
      </w:r>
      <w:r w:rsidR="009C6F88" w:rsidRPr="00EF2F18">
        <w:rPr>
          <w:sz w:val="22"/>
          <w:lang w:val="sr-Cyrl-RS" w:eastAsia="en-GB"/>
        </w:rPr>
        <w:t>ЕУ</w:t>
      </w:r>
      <w:r w:rsidRPr="00EF2F18">
        <w:rPr>
          <w:sz w:val="22"/>
          <w:lang w:val="sr-Cyrl-RS" w:eastAsia="en-GB"/>
        </w:rPr>
        <w:t xml:space="preserve"> о биодиверзитету до 2030. године са Акционим планом. који представља свеобухватан и дугорочни план заштите природе и заустављања деградације екосистема и њихово обнављање.</w:t>
      </w:r>
    </w:p>
    <w:p w14:paraId="23EF747E" w14:textId="292587F1" w:rsidR="00C055B1" w:rsidRPr="00EF2F18" w:rsidRDefault="00C055B1" w:rsidP="00F106C9">
      <w:pPr>
        <w:pStyle w:val="Heading3"/>
        <w:numPr>
          <w:ilvl w:val="2"/>
          <w:numId w:val="2"/>
        </w:numPr>
        <w:jc w:val="center"/>
        <w:rPr>
          <w:rFonts w:cs="Times New Roman"/>
          <w:sz w:val="22"/>
          <w:szCs w:val="22"/>
          <w:lang w:val="sr-Cyrl-RS"/>
        </w:rPr>
      </w:pPr>
      <w:bookmarkStart w:id="63" w:name="_Toc158307711"/>
      <w:r w:rsidRPr="00EF2F18">
        <w:rPr>
          <w:rFonts w:cs="Times New Roman"/>
          <w:sz w:val="22"/>
          <w:szCs w:val="22"/>
          <w:lang w:val="sr-Cyrl-RS"/>
        </w:rPr>
        <w:t xml:space="preserve">Заштита природе и биолошке </w:t>
      </w:r>
      <w:r w:rsidR="00C07324" w:rsidRPr="00EF2F18">
        <w:rPr>
          <w:rFonts w:cs="Times New Roman"/>
          <w:sz w:val="22"/>
          <w:szCs w:val="22"/>
          <w:lang w:val="sr-Cyrl-RS"/>
        </w:rPr>
        <w:t xml:space="preserve">и геолошке </w:t>
      </w:r>
      <w:r w:rsidRPr="00EF2F18">
        <w:rPr>
          <w:rFonts w:cs="Times New Roman"/>
          <w:sz w:val="22"/>
          <w:szCs w:val="22"/>
          <w:lang w:val="sr-Cyrl-RS"/>
        </w:rPr>
        <w:t>разноврсности</w:t>
      </w:r>
      <w:bookmarkEnd w:id="63"/>
    </w:p>
    <w:p w14:paraId="6F836C83" w14:textId="4E073CAC" w:rsidR="00D77312" w:rsidRPr="00EF2F18" w:rsidRDefault="00D77312" w:rsidP="00D77312">
      <w:pPr>
        <w:pStyle w:val="Normal1"/>
        <w:spacing w:after="0"/>
        <w:ind w:firstLine="720"/>
        <w:jc w:val="both"/>
        <w:rPr>
          <w:rStyle w:val="normalchar1"/>
          <w:rFonts w:ascii="Times New Roman" w:hAnsi="Times New Roman" w:cs="Times New Roman"/>
          <w:lang w:val="sr-Cyrl-RS"/>
        </w:rPr>
      </w:pPr>
      <w:r w:rsidRPr="00EF2F18">
        <w:rPr>
          <w:rStyle w:val="normalchar1"/>
          <w:rFonts w:ascii="Times New Roman" w:hAnsi="Times New Roman" w:cs="Times New Roman"/>
          <w:lang w:val="sr-Cyrl-RS"/>
        </w:rPr>
        <w:t>У Републици Србији заштићена подручја представљају подручја која по својим еколошким, биогеографским и другим карактеристикама представљају подручја од изузетног значаја. Њихов значај огледа се у јединствености, посебности, препознатљивости и очуваности екосистемима и предела посебних вредности у погледу изворности, разноврсности вегетације, флоре и фауне, репрезентативних геоморфолошких, геолошких, хидролошких и других појава и процеса. Поред при</w:t>
      </w:r>
      <w:r w:rsidR="00235BB9" w:rsidRPr="00EF2F18">
        <w:rPr>
          <w:rStyle w:val="normalchar1"/>
          <w:rFonts w:ascii="Times New Roman" w:hAnsi="Times New Roman" w:cs="Times New Roman"/>
          <w:lang w:val="sr-Cyrl-RS"/>
        </w:rPr>
        <w:t>р</w:t>
      </w:r>
      <w:r w:rsidRPr="00EF2F18">
        <w:rPr>
          <w:rStyle w:val="normalchar1"/>
          <w:rFonts w:ascii="Times New Roman" w:hAnsi="Times New Roman" w:cs="Times New Roman"/>
          <w:lang w:val="sr-Cyrl-RS"/>
        </w:rPr>
        <w:t xml:space="preserve">одних вредности ови простори имају и изузетне, културно-историјске вредности и антрополошке феномене настале вишевековном интеракцијом човека и природе. Заштићена подручја, као добра од општег интереса, се стављају у функцију спровођења укупне заштите и развоја природних ресурса и свих осталих вредности, специфичности и феномена у складу са Законом о заштити природе и актима о проглашењу заштићених подручја. </w:t>
      </w:r>
    </w:p>
    <w:p w14:paraId="0C27FC52" w14:textId="4B78E3C8" w:rsidR="00386BCF" w:rsidRPr="00EF2F18" w:rsidRDefault="008C4C33" w:rsidP="00386BCF">
      <w:pPr>
        <w:spacing w:after="0"/>
        <w:ind w:firstLine="720"/>
        <w:jc w:val="both"/>
        <w:rPr>
          <w:sz w:val="22"/>
          <w:lang w:val="sr-Cyrl-RS"/>
        </w:rPr>
      </w:pPr>
      <w:r w:rsidRPr="00EF2F18">
        <w:rPr>
          <w:sz w:val="22"/>
          <w:lang w:val="sr-Cyrl-RS"/>
        </w:rPr>
        <w:t>П</w:t>
      </w:r>
      <w:r w:rsidR="00386BCF" w:rsidRPr="00EF2F18">
        <w:rPr>
          <w:sz w:val="22"/>
          <w:lang w:val="sr-Cyrl-RS"/>
        </w:rPr>
        <w:t>овршина под заштитом територије централне Србије и АП Војводине,</w:t>
      </w:r>
      <w:r w:rsidR="006C2E00" w:rsidRPr="00EF2F18">
        <w:rPr>
          <w:sz w:val="22"/>
          <w:lang w:val="sr-Cyrl-RS"/>
        </w:rPr>
        <w:t xml:space="preserve"> </w:t>
      </w:r>
      <w:r w:rsidR="00386BCF" w:rsidRPr="00EF2F18">
        <w:rPr>
          <w:sz w:val="22"/>
          <w:lang w:val="sr-Cyrl-RS"/>
        </w:rPr>
        <w:t>износи 733</w:t>
      </w:r>
      <w:r w:rsidR="009C6F88" w:rsidRPr="00EF2F18">
        <w:rPr>
          <w:sz w:val="22"/>
          <w:lang w:val="sr-Cyrl-RS"/>
        </w:rPr>
        <w:t>.</w:t>
      </w:r>
      <w:r w:rsidR="00386BCF" w:rsidRPr="00EF2F18">
        <w:rPr>
          <w:sz w:val="22"/>
          <w:lang w:val="sr-Cyrl-RS"/>
        </w:rPr>
        <w:t xml:space="preserve">500 ha, или 9,53% укупне територије. </w:t>
      </w:r>
      <w:r w:rsidRPr="00EF2F18">
        <w:rPr>
          <w:sz w:val="22"/>
          <w:lang w:val="sr-Cyrl-RS"/>
        </w:rPr>
        <w:t>П</w:t>
      </w:r>
      <w:r w:rsidR="00386BCF" w:rsidRPr="00EF2F18">
        <w:rPr>
          <w:sz w:val="22"/>
          <w:lang w:val="sr-Cyrl-RS"/>
        </w:rPr>
        <w:t xml:space="preserve">овршина под заштитом се константно повећава. У складу са националним законодавством, поступак заштите природног подручја је покренут када Завод за заштиту природе Србије достави студију заштите надлежном органу и Министарство заштите животне средине обавести јавност о поступку покретања заштите природног подручја на интернет страници Министарства заштите животне средине. Ова подручја сматрају се заштићеним иако није донет акт о заштити. </w:t>
      </w:r>
      <w:r w:rsidRPr="00EF2F18">
        <w:rPr>
          <w:sz w:val="22"/>
          <w:lang w:val="sr-Cyrl-RS"/>
        </w:rPr>
        <w:t>П</w:t>
      </w:r>
      <w:r w:rsidR="00386BCF" w:rsidRPr="00EF2F18">
        <w:rPr>
          <w:sz w:val="22"/>
          <w:lang w:val="sr-Cyrl-RS"/>
        </w:rPr>
        <w:t>овршина ових природних подручја је 120.000 ha, што износи додатних 1,6 % територије централне Србије и АП Војводине.</w:t>
      </w:r>
    </w:p>
    <w:p w14:paraId="1FE6D64D" w14:textId="0407F3FD" w:rsidR="00D77312" w:rsidRPr="00EF2F18" w:rsidRDefault="00211616" w:rsidP="00D77312">
      <w:pPr>
        <w:spacing w:after="0"/>
        <w:ind w:firstLine="720"/>
        <w:jc w:val="both"/>
        <w:rPr>
          <w:rFonts w:cs="Times New Roman"/>
          <w:sz w:val="22"/>
          <w:lang w:val="sr-Cyrl-RS"/>
        </w:rPr>
      </w:pPr>
      <w:r w:rsidRPr="00EF2F18">
        <w:rPr>
          <w:sz w:val="22"/>
          <w:lang w:val="sr-Cyrl-RS"/>
        </w:rPr>
        <w:t>Под заштитом је укупно 422 заштићених подручја (</w:t>
      </w:r>
      <w:r w:rsidR="00A512A7" w:rsidRPr="00EF2F18">
        <w:rPr>
          <w:sz w:val="22"/>
          <w:lang w:val="sr-Cyrl-RS"/>
        </w:rPr>
        <w:t xml:space="preserve">пет </w:t>
      </w:r>
      <w:r w:rsidRPr="00EF2F18">
        <w:rPr>
          <w:sz w:val="22"/>
          <w:lang w:val="sr-Cyrl-RS"/>
        </w:rPr>
        <w:t>националн</w:t>
      </w:r>
      <w:r w:rsidR="00A512A7" w:rsidRPr="00EF2F18">
        <w:rPr>
          <w:sz w:val="22"/>
          <w:lang w:val="sr-Cyrl-RS"/>
        </w:rPr>
        <w:t>их</w:t>
      </w:r>
      <w:r w:rsidRPr="00EF2F18">
        <w:rPr>
          <w:sz w:val="22"/>
          <w:lang w:val="sr-Cyrl-RS"/>
        </w:rPr>
        <w:t xml:space="preserve"> парк</w:t>
      </w:r>
      <w:r w:rsidR="00A512A7" w:rsidRPr="00EF2F18">
        <w:rPr>
          <w:sz w:val="22"/>
          <w:lang w:val="sr-Cyrl-RS"/>
        </w:rPr>
        <w:t>ов</w:t>
      </w:r>
      <w:r w:rsidRPr="00EF2F18">
        <w:rPr>
          <w:sz w:val="22"/>
          <w:lang w:val="sr-Cyrl-RS"/>
        </w:rPr>
        <w:t xml:space="preserve">а, 19 паркова природе, 60 резервата природе, 29 предела изузетних одлика, 274 споменика природе, шест заштићених станишта и 30 простора око споменика). Покренут је поступак заштите за 11 заштићених подручја, од којих су два подручја која су предложена за нове националне паркове (Кучај ‒ Бељаница и Стара Планина, која је до сада били заштићена као парк природе). Посебно су заштићена подручја са сврхом очувања појединих врста, а самим тим и станишта, односно типова станишта, названих по тим врстама, као што су Строги резерват природе „Зеленичје” и Специјални резерват природе „Пашњаци велике дропље”. Званично, унутар заштићених подручја и у природним подручјима уопште, све људске активности су усклађене како би се </w:t>
      </w:r>
      <w:r w:rsidRPr="00EF2F18">
        <w:rPr>
          <w:sz w:val="22"/>
          <w:lang w:val="sr-Cyrl-RS"/>
        </w:rPr>
        <w:lastRenderedPageBreak/>
        <w:t>смањила или искључила штета по биодиверзитет. Поред ових мера, предузете су и неке активне мере очувања станишта и врста</w:t>
      </w:r>
      <w:r w:rsidR="00D77312" w:rsidRPr="00EF2F18">
        <w:rPr>
          <w:rFonts w:cs="Times New Roman"/>
          <w:sz w:val="22"/>
          <w:lang w:val="sr-Cyrl-RS"/>
        </w:rPr>
        <w:t>.</w:t>
      </w:r>
    </w:p>
    <w:p w14:paraId="0BE384FD" w14:textId="216B202E" w:rsidR="00D95BCF" w:rsidRPr="00EF2F18" w:rsidRDefault="00830EB6" w:rsidP="009A2A14">
      <w:pPr>
        <w:spacing w:after="0"/>
        <w:ind w:firstLine="720"/>
        <w:jc w:val="both"/>
        <w:rPr>
          <w:rFonts w:cs="Times New Roman"/>
          <w:sz w:val="22"/>
          <w:lang w:val="sr-Cyrl-RS"/>
        </w:rPr>
      </w:pPr>
      <w:r w:rsidRPr="00EF2F18">
        <w:rPr>
          <w:rFonts w:eastAsia="Times New Roman" w:cs="Times New Roman"/>
          <w:sz w:val="22"/>
          <w:lang w:val="sr-Cyrl-RS"/>
        </w:rPr>
        <w:t>Еколошка мрежа</w:t>
      </w:r>
      <w:r w:rsidR="00C055B1" w:rsidRPr="00EF2F18">
        <w:rPr>
          <w:rFonts w:eastAsia="Times New Roman" w:cs="Times New Roman"/>
          <w:sz w:val="22"/>
          <w:lang w:val="sr-Cyrl-RS"/>
        </w:rPr>
        <w:t>,</w:t>
      </w:r>
      <w:r w:rsidRPr="00EF2F18">
        <w:rPr>
          <w:rFonts w:eastAsia="Times New Roman" w:cs="Times New Roman"/>
          <w:sz w:val="22"/>
          <w:lang w:val="sr-Cyrl-RS"/>
        </w:rPr>
        <w:t xml:space="preserve"> </w:t>
      </w:r>
      <w:r w:rsidR="00C055B1" w:rsidRPr="00EF2F18">
        <w:rPr>
          <w:sz w:val="22"/>
          <w:lang w:val="sr-Cyrl-RS"/>
        </w:rPr>
        <w:t>као функционално и просторно повезана целина ради очувања типова станишта од посебног значаја за заштиту, за обнављање и/или унапређивање нарушених станишта и за очување станишта дивљих врста флоре и фауне</w:t>
      </w:r>
      <w:r w:rsidR="00C055B1" w:rsidRPr="00EF2F18">
        <w:rPr>
          <w:rFonts w:eastAsia="Times New Roman" w:cs="Times New Roman"/>
          <w:sz w:val="22"/>
          <w:lang w:val="sr-Cyrl-RS"/>
        </w:rPr>
        <w:t>,</w:t>
      </w:r>
      <w:r w:rsidRPr="00EF2F18">
        <w:rPr>
          <w:rFonts w:eastAsia="Times New Roman" w:cs="Times New Roman"/>
          <w:sz w:val="22"/>
          <w:lang w:val="sr-Cyrl-RS"/>
        </w:rPr>
        <w:t xml:space="preserve"> успостављена је 2010. године</w:t>
      </w:r>
      <w:r w:rsidR="00C055B1" w:rsidRPr="00EF2F18">
        <w:rPr>
          <w:rFonts w:eastAsia="Times New Roman" w:cs="Times New Roman"/>
          <w:sz w:val="22"/>
          <w:lang w:val="sr-Cyrl-RS"/>
        </w:rPr>
        <w:t xml:space="preserve"> у Републици Србији</w:t>
      </w:r>
      <w:r w:rsidR="00211616" w:rsidRPr="00EF2F18">
        <w:rPr>
          <w:rFonts w:eastAsia="Times New Roman" w:cs="Times New Roman"/>
          <w:sz w:val="22"/>
          <w:lang w:val="sr-Cyrl-RS"/>
        </w:rPr>
        <w:t>.</w:t>
      </w:r>
      <w:r w:rsidR="008139AE" w:rsidRPr="00EF2F18">
        <w:rPr>
          <w:rFonts w:eastAsia="Times New Roman" w:cs="Times New Roman"/>
          <w:sz w:val="22"/>
          <w:lang w:val="sr-Cyrl-RS"/>
        </w:rPr>
        <w:t xml:space="preserve"> </w:t>
      </w:r>
      <w:r w:rsidR="008139AE" w:rsidRPr="00EF2F18">
        <w:rPr>
          <w:sz w:val="22"/>
          <w:lang w:val="sr-Cyrl-RS"/>
        </w:rPr>
        <w:t>Уредбом о еколошкој мрежи („Службени гласник РС</w:t>
      </w:r>
      <w:r w:rsidR="008139AE" w:rsidRPr="00EF2F18">
        <w:rPr>
          <w:sz w:val="22"/>
          <w:lang w:val="sr-Cyrl-RS" w:eastAsia="sr-Latn-CS"/>
        </w:rPr>
        <w:t>”</w:t>
      </w:r>
      <w:r w:rsidR="008139AE" w:rsidRPr="00EF2F18">
        <w:rPr>
          <w:sz w:val="22"/>
          <w:lang w:val="sr-Cyrl-RS"/>
        </w:rPr>
        <w:t>, број 102/10)</w:t>
      </w:r>
      <w:r w:rsidR="00211616" w:rsidRPr="00EF2F18">
        <w:rPr>
          <w:sz w:val="22"/>
          <w:lang w:val="sr-Cyrl-RS"/>
        </w:rPr>
        <w:t xml:space="preserve"> утврђена је еколошка мрежа Републике Србије, </w:t>
      </w:r>
      <w:r w:rsidR="00211616" w:rsidRPr="00EF2F18">
        <w:rPr>
          <w:color w:val="222222"/>
          <w:sz w:val="22"/>
          <w:shd w:val="clear" w:color="auto" w:fill="FFFFFF"/>
          <w:lang w:val="sr-Cyrl-RS"/>
        </w:rPr>
        <w:t>састав, заштита, управљање</w:t>
      </w:r>
      <w:r w:rsidR="00211616" w:rsidRPr="00EF2F18">
        <w:rPr>
          <w:rStyle w:val="apple-converted-space"/>
          <w:color w:val="222222"/>
          <w:sz w:val="22"/>
          <w:shd w:val="clear" w:color="auto" w:fill="FFFFFF"/>
          <w:lang w:val="sr-Cyrl-RS"/>
        </w:rPr>
        <w:t xml:space="preserve"> </w:t>
      </w:r>
      <w:r w:rsidR="00211616" w:rsidRPr="00EF2F18">
        <w:rPr>
          <w:color w:val="222222"/>
          <w:sz w:val="22"/>
          <w:shd w:val="clear" w:color="auto" w:fill="FFFFFF"/>
          <w:lang w:val="sr-Cyrl-RS"/>
        </w:rPr>
        <w:t>и финансирање мреже</w:t>
      </w:r>
      <w:r w:rsidR="00211616" w:rsidRPr="00EF2F18">
        <w:rPr>
          <w:sz w:val="22"/>
          <w:lang w:val="sr-Cyrl-RS"/>
        </w:rPr>
        <w:t>.</w:t>
      </w:r>
      <w:r w:rsidR="00F257A5" w:rsidRPr="00EF2F18">
        <w:rPr>
          <w:lang w:val="sr-Cyrl-RS"/>
        </w:rPr>
        <w:t xml:space="preserve"> </w:t>
      </w:r>
      <w:r w:rsidR="001D0D4C" w:rsidRPr="00EF2F18">
        <w:rPr>
          <w:lang w:val="sr-Cyrl-RS"/>
        </w:rPr>
        <w:t xml:space="preserve">У </w:t>
      </w:r>
      <w:r w:rsidR="001D0D4C" w:rsidRPr="00EF2F18">
        <w:rPr>
          <w:sz w:val="22"/>
          <w:lang w:val="sr-Cyrl-RS"/>
        </w:rPr>
        <w:t>току је израда нове уредбе о еколошкој мрежи</w:t>
      </w:r>
      <w:r w:rsidR="001D0D4C" w:rsidRPr="00EF2F18">
        <w:rPr>
          <w:rFonts w:cs="Times New Roman"/>
          <w:sz w:val="22"/>
          <w:lang w:val="sr-Cyrl-RS"/>
        </w:rPr>
        <w:t>.</w:t>
      </w:r>
      <w:r w:rsidR="003E0EA2" w:rsidRPr="00EF2F18">
        <w:rPr>
          <w:rFonts w:cs="Times New Roman"/>
          <w:sz w:val="22"/>
          <w:lang w:val="sr-Cyrl-RS"/>
        </w:rPr>
        <w:t xml:space="preserve"> </w:t>
      </w:r>
    </w:p>
    <w:p w14:paraId="0AE893FA" w14:textId="2CDF4194" w:rsidR="003E0EA2" w:rsidRPr="00EF2F18" w:rsidRDefault="003E0EA2" w:rsidP="009A2A14">
      <w:pPr>
        <w:spacing w:after="0"/>
        <w:ind w:firstLine="720"/>
        <w:jc w:val="both"/>
        <w:rPr>
          <w:rFonts w:cs="Times New Roman"/>
          <w:kern w:val="2"/>
          <w:sz w:val="22"/>
          <w:lang w:val="sr-Cyrl-RS"/>
        </w:rPr>
      </w:pPr>
      <w:r w:rsidRPr="00EF2F18">
        <w:rPr>
          <w:rFonts w:cs="Times New Roman"/>
          <w:sz w:val="22"/>
          <w:lang w:val="sr-Cyrl-RS"/>
        </w:rPr>
        <w:t>Еколошки значајна подручја од националног значаја су:</w:t>
      </w:r>
    </w:p>
    <w:p w14:paraId="17818C5B" w14:textId="77777777" w:rsidR="003E0EA2" w:rsidRPr="00EF2F18" w:rsidRDefault="003E0EA2" w:rsidP="00313E8E">
      <w:pPr>
        <w:pStyle w:val="ListParagraph"/>
        <w:numPr>
          <w:ilvl w:val="0"/>
          <w:numId w:val="53"/>
        </w:numPr>
        <w:tabs>
          <w:tab w:val="left" w:pos="1080"/>
        </w:tabs>
        <w:spacing w:after="0"/>
        <w:jc w:val="both"/>
        <w:rPr>
          <w:rFonts w:cs="Times New Roman"/>
          <w:sz w:val="22"/>
          <w:lang w:val="sr-Cyrl-RS"/>
        </w:rPr>
      </w:pPr>
      <w:r w:rsidRPr="00EF2F18">
        <w:rPr>
          <w:rFonts w:cs="Times New Roman"/>
          <w:sz w:val="22"/>
          <w:lang w:val="sr-Cyrl-RS"/>
        </w:rPr>
        <w:t>Подручја која биогеографском заступљеношћу и репрезентативношћу значајна за очување типова станишта и дивљих врста на националном нивоу, у скалду са прописима Републике Србије;</w:t>
      </w:r>
    </w:p>
    <w:p w14:paraId="5FF22AD1" w14:textId="06DDAF86" w:rsidR="003E0EA2" w:rsidRPr="00EF2F18" w:rsidRDefault="003E0EA2" w:rsidP="00313E8E">
      <w:pPr>
        <w:pStyle w:val="ListParagraph"/>
        <w:numPr>
          <w:ilvl w:val="0"/>
          <w:numId w:val="53"/>
        </w:numPr>
        <w:spacing w:after="0"/>
        <w:jc w:val="both"/>
        <w:rPr>
          <w:rFonts w:cs="Times New Roman"/>
          <w:sz w:val="22"/>
          <w:lang w:val="sr-Cyrl-RS"/>
        </w:rPr>
      </w:pPr>
      <w:r w:rsidRPr="00EF2F18">
        <w:rPr>
          <w:rFonts w:cs="Times New Roman"/>
          <w:sz w:val="22"/>
          <w:lang w:val="sr-Cyrl-RS"/>
        </w:rPr>
        <w:t>Подручја која су идентификована на основу Кон</w:t>
      </w:r>
      <w:r w:rsidR="00B12088">
        <w:rPr>
          <w:rFonts w:cs="Times New Roman"/>
          <w:sz w:val="22"/>
          <w:lang w:val="sr-Cyrl-RS"/>
        </w:rPr>
        <w:t>венције о очувању европс</w:t>
      </w:r>
      <w:r w:rsidRPr="00EF2F18">
        <w:rPr>
          <w:rFonts w:cs="Times New Roman"/>
          <w:sz w:val="22"/>
          <w:lang w:val="sr-Cyrl-RS"/>
        </w:rPr>
        <w:t>ке дивље флоре и фауне и природних станишта (Бернска конвенција) као Емералд подручја;</w:t>
      </w:r>
    </w:p>
    <w:p w14:paraId="686170C3" w14:textId="77777777" w:rsidR="003E0EA2" w:rsidRPr="00EF2F18" w:rsidRDefault="003E0EA2" w:rsidP="00313E8E">
      <w:pPr>
        <w:pStyle w:val="ListParagraph"/>
        <w:numPr>
          <w:ilvl w:val="0"/>
          <w:numId w:val="53"/>
        </w:numPr>
        <w:spacing w:after="0"/>
        <w:jc w:val="both"/>
        <w:rPr>
          <w:rFonts w:eastAsia="Times New Roman" w:cs="Times New Roman"/>
          <w:color w:val="231F20"/>
          <w:sz w:val="22"/>
          <w:lang w:val="sr-Cyrl-RS"/>
        </w:rPr>
      </w:pPr>
      <w:r w:rsidRPr="00EF2F18">
        <w:rPr>
          <w:rFonts w:cs="Times New Roman"/>
          <w:sz w:val="22"/>
          <w:lang w:val="sr-Cyrl-RS"/>
        </w:rPr>
        <w:t xml:space="preserve">Потенцијална подручја еколошке мреже </w:t>
      </w:r>
      <w:r w:rsidRPr="00EF2F18">
        <w:rPr>
          <w:sz w:val="22"/>
          <w:lang w:val="sr-Cyrl-RS"/>
        </w:rPr>
        <w:t>НАТУРА</w:t>
      </w:r>
      <w:r w:rsidRPr="00EF2F18">
        <w:rPr>
          <w:rFonts w:cs="Times New Roman"/>
          <w:sz w:val="22"/>
          <w:lang w:val="sr-Cyrl-RS"/>
        </w:rPr>
        <w:t xml:space="preserve"> 2000, до формалног приступања Републике Србије Европској унији, која су идентификована на основу Директиве ЕУ </w:t>
      </w:r>
      <w:r w:rsidRPr="00EF2F18">
        <w:rPr>
          <w:rFonts w:eastAsia="Times New Roman" w:cs="Times New Roman"/>
          <w:color w:val="231F20"/>
          <w:sz w:val="22"/>
          <w:lang w:val="sr-Cyrl-RS"/>
        </w:rPr>
        <w:t xml:space="preserve">92/43/ЕЕС о очувању природних станишта и дивље флоре и фауне и Директиве ЕУ 2009/147/ЕЕС о очувању дивљих птица. </w:t>
      </w:r>
    </w:p>
    <w:p w14:paraId="7740F863" w14:textId="548B5613" w:rsidR="00F26A57" w:rsidRPr="00EF2F18" w:rsidRDefault="00D95BCF" w:rsidP="003E0EA2">
      <w:pPr>
        <w:spacing w:after="0"/>
        <w:ind w:firstLine="708"/>
        <w:jc w:val="both"/>
        <w:rPr>
          <w:sz w:val="22"/>
          <w:lang w:val="sr-Cyrl-RS"/>
        </w:rPr>
      </w:pPr>
      <w:r w:rsidRPr="00EF2F18">
        <w:rPr>
          <w:sz w:val="22"/>
          <w:lang w:val="sr-Cyrl-RS"/>
        </w:rPr>
        <w:t>У оквиру еколошке мреже и</w:t>
      </w:r>
      <w:r w:rsidR="00F26A57" w:rsidRPr="00EF2F18">
        <w:rPr>
          <w:sz w:val="22"/>
          <w:lang w:val="sr-Cyrl-RS"/>
        </w:rPr>
        <w:t xml:space="preserve">дентификовано је 101 еколошки значајно подручје, које обухвата површину </w:t>
      </w:r>
      <w:r w:rsidR="00BC0433">
        <w:rPr>
          <w:sz w:val="22"/>
          <w:lang w:val="sr-Cyrl-RS"/>
        </w:rPr>
        <w:t>од површине 1.979.700 ha (22,36</w:t>
      </w:r>
      <w:r w:rsidR="00F26A57" w:rsidRPr="00EF2F18">
        <w:rPr>
          <w:sz w:val="22"/>
          <w:lang w:val="sr-Cyrl-RS"/>
        </w:rPr>
        <w:t>% територије Републике Србије), и то: 61 Емералд подручје, 43 међународно значајна подручја за птице – ИБА, 61 значајно подручје за биљке – ИПА, 11 Рамсарских подручја и 40 одабраних подручја за дневне лептире – ПБА, док сва ЕЗП имају статус проглашеног, предложеног или планираног заштићеног подручја.</w:t>
      </w:r>
    </w:p>
    <w:p w14:paraId="4E528E2F" w14:textId="4EC4064A" w:rsidR="003E0EA2" w:rsidRPr="00EF2F18" w:rsidRDefault="00F26A57" w:rsidP="003E0EA2">
      <w:pPr>
        <w:spacing w:after="0"/>
        <w:ind w:firstLine="708"/>
        <w:jc w:val="both"/>
        <w:rPr>
          <w:rFonts w:eastAsia="Times New Roman" w:cs="Times New Roman"/>
          <w:iCs/>
          <w:sz w:val="22"/>
          <w:lang w:val="sr-Cyrl-RS"/>
        </w:rPr>
      </w:pPr>
      <w:r w:rsidRPr="00EF2F18">
        <w:rPr>
          <w:sz w:val="22"/>
          <w:lang w:val="sr-Cyrl-RS"/>
        </w:rPr>
        <w:t xml:space="preserve">Еколошки коридори националног значаја повезују подручја на простору Републике Србије, a коридори међународног значаја омогућују повезивање са еколошким мрежама суседних земаља, </w:t>
      </w:r>
      <w:r w:rsidR="003E0EA2" w:rsidRPr="00EF2F18">
        <w:rPr>
          <w:rFonts w:eastAsia="Times New Roman" w:cs="Times New Roman"/>
          <w:iCs/>
          <w:sz w:val="22"/>
          <w:lang w:val="sr-Cyrl-RS"/>
        </w:rPr>
        <w:t>у складу са прописима Републике Србије и потврђеним међународним уговорима.</w:t>
      </w:r>
      <w:r w:rsidR="00313485" w:rsidRPr="00EF2F18">
        <w:rPr>
          <w:rFonts w:eastAsia="Times New Roman" w:cs="Times New Roman"/>
          <w:iCs/>
          <w:sz w:val="22"/>
          <w:lang w:val="sr-Cyrl-RS"/>
        </w:rPr>
        <w:t xml:space="preserve"> </w:t>
      </w:r>
      <w:r w:rsidR="00313485" w:rsidRPr="00EF2F18">
        <w:rPr>
          <w:iCs/>
          <w:sz w:val="23"/>
          <w:szCs w:val="23"/>
          <w:lang w:val="sr-Cyrl-RS"/>
        </w:rPr>
        <w:t>Издвајањем и заштитом еколошких коридора омогућене су миграције дивљих врста, са посебним освртом на миграције које наступају услед измењених климатских услова.</w:t>
      </w:r>
    </w:p>
    <w:p w14:paraId="35311238" w14:textId="056446D4" w:rsidR="003D19A5" w:rsidRPr="00EF2F18" w:rsidRDefault="003D19A5" w:rsidP="00985E96">
      <w:pPr>
        <w:autoSpaceDE w:val="0"/>
        <w:autoSpaceDN w:val="0"/>
        <w:adjustRightInd w:val="0"/>
        <w:spacing w:after="0"/>
        <w:ind w:firstLine="720"/>
        <w:jc w:val="both"/>
        <w:rPr>
          <w:rFonts w:cs="Times New Roman"/>
          <w:sz w:val="22"/>
          <w:lang w:val="sr-Cyrl-RS"/>
        </w:rPr>
      </w:pPr>
      <w:r w:rsidRPr="00EF2F18">
        <w:rPr>
          <w:rFonts w:cs="Times New Roman"/>
          <w:sz w:val="22"/>
          <w:lang w:val="sr-Cyrl-RS"/>
        </w:rPr>
        <w:t>Имплементацијом пројекта ЕУ ИПА 2016 Натура 2000 (2019-2021</w:t>
      </w:r>
      <w:r w:rsidR="00A512A7" w:rsidRPr="00EF2F18">
        <w:rPr>
          <w:rFonts w:cs="Times New Roman"/>
          <w:sz w:val="22"/>
          <w:lang w:val="sr-Cyrl-RS"/>
        </w:rPr>
        <w:t>.</w:t>
      </w:r>
      <w:r w:rsidRPr="00EF2F18">
        <w:rPr>
          <w:rFonts w:cs="Times New Roman"/>
          <w:sz w:val="22"/>
          <w:lang w:val="sr-Cyrl-RS"/>
        </w:rPr>
        <w:t>) идентификовано је 277 потенцијалних Подручја од интереса за заједницу (pSCIs) и 85 Подручја посебне зашти</w:t>
      </w:r>
      <w:r w:rsidR="00BC0433">
        <w:rPr>
          <w:rFonts w:cs="Times New Roman"/>
          <w:sz w:val="22"/>
          <w:lang w:val="sr-Cyrl-RS"/>
        </w:rPr>
        <w:t>те (SPAs)), обухватајући око 30</w:t>
      </w:r>
      <w:r w:rsidRPr="00EF2F18">
        <w:rPr>
          <w:rFonts w:cs="Times New Roman"/>
          <w:sz w:val="22"/>
          <w:lang w:val="sr-Cyrl-RS"/>
        </w:rPr>
        <w:t>% територије Републике Србије.</w:t>
      </w:r>
    </w:p>
    <w:p w14:paraId="5758B5AC" w14:textId="3E97105D" w:rsidR="001D0D4C" w:rsidRPr="00EF2F18" w:rsidRDefault="00830EB6" w:rsidP="003D19A5">
      <w:pPr>
        <w:spacing w:after="0"/>
        <w:ind w:firstLine="708"/>
        <w:jc w:val="both"/>
        <w:rPr>
          <w:sz w:val="22"/>
          <w:lang w:val="sr-Cyrl-RS"/>
        </w:rPr>
      </w:pPr>
      <w:r w:rsidRPr="00EF2F18">
        <w:rPr>
          <w:rFonts w:eastAsia="Times New Roman" w:cs="Times New Roman"/>
          <w:sz w:val="22"/>
          <w:lang w:val="sr-Cyrl-RS"/>
        </w:rPr>
        <w:t>У складу са Законом о заштити природе и подзаконским актима, потврђеним међународним уговорима и прописима Европске уније</w:t>
      </w:r>
      <w:r w:rsidR="005E5FF9" w:rsidRPr="00EF2F18">
        <w:rPr>
          <w:rFonts w:eastAsia="Times New Roman" w:cs="Times New Roman"/>
          <w:sz w:val="22"/>
          <w:lang w:val="sr-Cyrl-RS"/>
        </w:rPr>
        <w:t xml:space="preserve"> </w:t>
      </w:r>
      <w:r w:rsidRPr="00EF2F18">
        <w:rPr>
          <w:rFonts w:eastAsia="Times New Roman" w:cs="Times New Roman"/>
          <w:sz w:val="22"/>
          <w:lang w:val="sr-Cyrl-RS"/>
        </w:rPr>
        <w:t>утврђује се кохерентна</w:t>
      </w:r>
      <w:r w:rsidR="005E5FF9" w:rsidRPr="00EF2F18">
        <w:rPr>
          <w:rFonts w:eastAsia="Times New Roman" w:cs="Times New Roman"/>
          <w:sz w:val="22"/>
          <w:lang w:val="sr-Cyrl-RS"/>
        </w:rPr>
        <w:t xml:space="preserve"> </w:t>
      </w:r>
      <w:r w:rsidRPr="00EF2F18">
        <w:rPr>
          <w:rFonts w:eastAsia="Times New Roman" w:cs="Times New Roman"/>
          <w:sz w:val="22"/>
          <w:lang w:val="sr-Cyrl-RS"/>
        </w:rPr>
        <w:t>еколошка мрежа која се састоји од еколошки значајних подручја од националног и међународног значаја ради очувања типова станишта и врста чије очување захтева одређивање подручја еколошке мреже, укључујући за заштиту приоритетне типове станишта и врсте од европског и националног значаја.</w:t>
      </w:r>
      <w:r w:rsidR="00211616" w:rsidRPr="00EF2F18">
        <w:rPr>
          <w:rFonts w:eastAsia="Times New Roman" w:cs="Times New Roman"/>
          <w:sz w:val="22"/>
          <w:lang w:val="sr-Cyrl-RS"/>
        </w:rPr>
        <w:t xml:space="preserve"> </w:t>
      </w:r>
    </w:p>
    <w:p w14:paraId="3870D2A6" w14:textId="5617ABD8" w:rsidR="00830EB6" w:rsidRPr="00EF2F18" w:rsidRDefault="00830EB6" w:rsidP="00AB4CDA">
      <w:pPr>
        <w:spacing w:after="0"/>
        <w:ind w:firstLine="708"/>
        <w:jc w:val="both"/>
        <w:rPr>
          <w:sz w:val="22"/>
          <w:lang w:val="sr-Cyrl-RS"/>
        </w:rPr>
      </w:pPr>
      <w:r w:rsidRPr="00EF2F18">
        <w:rPr>
          <w:sz w:val="22"/>
          <w:lang w:val="sr-Cyrl-RS"/>
        </w:rPr>
        <w:t>Законом о потврђивању Конвенције о очувању европске дивље флоре и фауне и природних станишта (</w:t>
      </w:r>
      <w:r w:rsidR="008E7B8F" w:rsidRPr="00EF2F18">
        <w:rPr>
          <w:sz w:val="22"/>
          <w:lang w:val="sr-Cyrl-RS"/>
        </w:rPr>
        <w:t>„</w:t>
      </w:r>
      <w:r w:rsidRPr="00EF2F18">
        <w:rPr>
          <w:sz w:val="22"/>
          <w:lang w:val="sr-Cyrl-RS"/>
        </w:rPr>
        <w:t>Сл</w:t>
      </w:r>
      <w:r w:rsidR="008E7B8F" w:rsidRPr="00EF2F18">
        <w:rPr>
          <w:sz w:val="22"/>
          <w:lang w:val="sr-Cyrl-RS"/>
        </w:rPr>
        <w:t>ужбени г</w:t>
      </w:r>
      <w:r w:rsidRPr="00EF2F18">
        <w:rPr>
          <w:sz w:val="22"/>
          <w:lang w:val="sr-Cyrl-RS"/>
        </w:rPr>
        <w:t>ласник РС – Међународни уговори</w:t>
      </w:r>
      <w:r w:rsidR="008E7B8F" w:rsidRPr="00EF2F18">
        <w:rPr>
          <w:sz w:val="22"/>
          <w:lang w:val="sr-Cyrl-RS"/>
        </w:rPr>
        <w:t>”,</w:t>
      </w:r>
      <w:r w:rsidRPr="00EF2F18">
        <w:rPr>
          <w:sz w:val="22"/>
          <w:lang w:val="sr-Cyrl-RS"/>
        </w:rPr>
        <w:t xml:space="preserve"> бр</w:t>
      </w:r>
      <w:r w:rsidR="008E7B8F" w:rsidRPr="00EF2F18">
        <w:rPr>
          <w:sz w:val="22"/>
          <w:lang w:val="sr-Cyrl-RS"/>
        </w:rPr>
        <w:t>oj</w:t>
      </w:r>
      <w:r w:rsidRPr="00EF2F18">
        <w:rPr>
          <w:sz w:val="22"/>
          <w:lang w:val="sr-Cyrl-RS"/>
        </w:rPr>
        <w:t xml:space="preserve"> 120/07), Република Србија је усвојила Конвенцију о очувању европске дивље флоре и фауне</w:t>
      </w:r>
      <w:r w:rsidR="00BC0433">
        <w:rPr>
          <w:sz w:val="22"/>
          <w:lang w:val="sr-Cyrl-RS"/>
        </w:rPr>
        <w:t xml:space="preserve"> </w:t>
      </w:r>
      <w:r w:rsidRPr="00EF2F18">
        <w:rPr>
          <w:sz w:val="22"/>
          <w:lang w:val="sr-Cyrl-RS"/>
        </w:rPr>
        <w:t>и природних станишта – Бернску конвенцију. У складу са Резолуцијом број 8 ове конвенције, 2019. године је реализована прва фаза извештавања Републике Србије о дистрибуцији референтних врста и типова станишта која су идентификована на територији Републике Србије у складу са Резолуцијом бр. 4 и 6.</w:t>
      </w:r>
    </w:p>
    <w:p w14:paraId="4A6B7297" w14:textId="137C157A" w:rsidR="00CD173F" w:rsidRPr="00EF2F18" w:rsidRDefault="00CD173F" w:rsidP="00AB4CDA">
      <w:pPr>
        <w:spacing w:after="0"/>
        <w:ind w:firstLine="708"/>
        <w:jc w:val="both"/>
        <w:rPr>
          <w:sz w:val="22"/>
          <w:lang w:val="sr-Cyrl-RS"/>
        </w:rPr>
      </w:pPr>
      <w:r w:rsidRPr="00EF2F18">
        <w:rPr>
          <w:sz w:val="22"/>
          <w:lang w:val="sr-Cyrl-RS"/>
        </w:rPr>
        <w:t xml:space="preserve">Србија на својој територији има и више објеката природе који су заштићени поред националног и међународним уговорима. Под заштитом </w:t>
      </w:r>
      <w:r w:rsidR="001C1303" w:rsidRPr="00EF2F18">
        <w:rPr>
          <w:sz w:val="22"/>
          <w:lang w:val="sr-Cyrl-RS"/>
        </w:rPr>
        <w:t>УНЕСКО</w:t>
      </w:r>
      <w:r w:rsidRPr="00EF2F18">
        <w:rPr>
          <w:sz w:val="22"/>
          <w:lang w:val="sr-Cyrl-RS"/>
        </w:rPr>
        <w:t xml:space="preserve"> налазе се Голија-Студеница и Бачко подунавље, као резервати биосфере. У оквирима Рамсарског програма коме је Србија приступила 2002. године, препознато је и међународно ратификовано укупно десет подручја од којих се осам налазе на подручју Аутономне покрајине Војводине. То су Власинска висораван, Горње Подунавље, Засавица</w:t>
      </w:r>
      <w:r w:rsidR="00CE5C09" w:rsidRPr="00EF2F18">
        <w:rPr>
          <w:sz w:val="22"/>
          <w:lang w:val="sr-Cyrl-RS"/>
        </w:rPr>
        <w:t>,</w:t>
      </w:r>
      <w:r w:rsidRPr="00EF2F18">
        <w:rPr>
          <w:sz w:val="22"/>
          <w:lang w:val="sr-Cyrl-RS"/>
        </w:rPr>
        <w:t xml:space="preserve"> Ковиљско-петроварадински рит, Лабудово окно, Лудашко језеро, Обедска бара, Пештерско поље, Слано Копово и Царска бара-Стари Бегеј. Поред тога на територији Србије постоји више од 40 међународно значајних подручја за птице (</w:t>
      </w:r>
      <w:r w:rsidRPr="00EF2F18">
        <w:rPr>
          <w:i/>
          <w:iCs/>
          <w:sz w:val="22"/>
          <w:lang w:val="sr-Cyrl-RS"/>
        </w:rPr>
        <w:t>IBA</w:t>
      </w:r>
      <w:r w:rsidRPr="00EF2F18">
        <w:rPr>
          <w:sz w:val="22"/>
          <w:lang w:val="sr-Cyrl-RS"/>
        </w:rPr>
        <w:t xml:space="preserve"> - </w:t>
      </w:r>
      <w:r w:rsidRPr="00EF2F18">
        <w:rPr>
          <w:i/>
          <w:iCs/>
          <w:sz w:val="22"/>
          <w:lang w:val="sr-Cyrl-RS"/>
        </w:rPr>
        <w:t>Important Bird Areas</w:t>
      </w:r>
      <w:r w:rsidR="001C1303" w:rsidRPr="00EF2F18">
        <w:rPr>
          <w:i/>
          <w:iCs/>
          <w:sz w:val="22"/>
          <w:lang w:val="sr-Cyrl-RS"/>
        </w:rPr>
        <w:t>)</w:t>
      </w:r>
      <w:r w:rsidRPr="00EF2F18">
        <w:rPr>
          <w:sz w:val="22"/>
          <w:lang w:val="sr-Cyrl-RS"/>
        </w:rPr>
        <w:t>, изузетно велики број Ботанички значајних подручја (</w:t>
      </w:r>
      <w:r w:rsidRPr="00EF2F18">
        <w:rPr>
          <w:i/>
          <w:iCs/>
          <w:sz w:val="22"/>
          <w:lang w:val="sr-Cyrl-RS"/>
        </w:rPr>
        <w:t>IPA</w:t>
      </w:r>
      <w:r w:rsidRPr="00EF2F18">
        <w:rPr>
          <w:sz w:val="22"/>
          <w:lang w:val="sr-Cyrl-RS"/>
        </w:rPr>
        <w:t xml:space="preserve"> - </w:t>
      </w:r>
      <w:r w:rsidRPr="00EF2F18">
        <w:rPr>
          <w:i/>
          <w:iCs/>
          <w:sz w:val="22"/>
          <w:lang w:val="sr-Cyrl-RS"/>
        </w:rPr>
        <w:t>Important Plant Areas</w:t>
      </w:r>
      <w:r w:rsidRPr="00EF2F18">
        <w:rPr>
          <w:sz w:val="22"/>
          <w:lang w:val="sr-Cyrl-RS"/>
        </w:rPr>
        <w:t xml:space="preserve">), </w:t>
      </w:r>
      <w:r w:rsidRPr="00EF2F18">
        <w:rPr>
          <w:sz w:val="22"/>
          <w:lang w:val="sr-Cyrl-RS"/>
        </w:rPr>
        <w:lastRenderedPageBreak/>
        <w:t>као и више подручја значајних за дистрибуцију дневних лептира (</w:t>
      </w:r>
      <w:r w:rsidRPr="00EF2F18">
        <w:rPr>
          <w:i/>
          <w:iCs/>
          <w:sz w:val="22"/>
          <w:lang w:val="sr-Cyrl-RS"/>
        </w:rPr>
        <w:t>PBA - Prime Buterfly Areas</w:t>
      </w:r>
      <w:r w:rsidRPr="00EF2F18">
        <w:rPr>
          <w:sz w:val="22"/>
          <w:lang w:val="sr-Cyrl-RS"/>
        </w:rPr>
        <w:t xml:space="preserve">). Такође, од посебног значаја су и </w:t>
      </w:r>
      <w:r w:rsidRPr="00EF2F18">
        <w:rPr>
          <w:i/>
          <w:iCs/>
          <w:sz w:val="22"/>
          <w:lang w:val="sr-Cyrl-RS"/>
        </w:rPr>
        <w:t>EMERALD</w:t>
      </w:r>
      <w:r w:rsidRPr="00EF2F18">
        <w:rPr>
          <w:sz w:val="22"/>
          <w:lang w:val="sr-Cyrl-RS"/>
        </w:rPr>
        <w:t xml:space="preserve"> подручја (према Конвенцији Савета Европе о очувању европске дивље флоре и фауне и природних станишта). Генерално посматрано у оквиру ових међународно заштићених подручја налази се више од 30 % територије Србије. Вредно је споменути и подручја са режимом прекограничне заштите, као и еколошке коридоре.</w:t>
      </w:r>
    </w:p>
    <w:p w14:paraId="598F0BA5" w14:textId="675F184C" w:rsidR="000C0E58" w:rsidRPr="00EF2F18" w:rsidRDefault="003E0EA2" w:rsidP="00985E96">
      <w:pPr>
        <w:tabs>
          <w:tab w:val="left" w:pos="720"/>
        </w:tabs>
        <w:spacing w:after="0"/>
        <w:jc w:val="both"/>
        <w:rPr>
          <w:rFonts w:cs="Times New Roman"/>
          <w:sz w:val="22"/>
          <w:lang w:val="sr-Cyrl-RS"/>
        </w:rPr>
      </w:pPr>
      <w:r w:rsidRPr="00EF2F18">
        <w:rPr>
          <w:sz w:val="22"/>
          <w:lang w:val="sr-Cyrl-RS"/>
        </w:rPr>
        <w:tab/>
      </w:r>
      <w:r w:rsidR="00820799" w:rsidRPr="00EF2F18">
        <w:rPr>
          <w:sz w:val="22"/>
          <w:lang w:val="sr-Cyrl-RS"/>
        </w:rPr>
        <w:t>Геодиверзитет, који представља разноврсност гео материјала, појава и процеса, у Републици Србији је под притиском антропогених активности</w:t>
      </w:r>
      <w:r w:rsidR="00D95BCF" w:rsidRPr="00EF2F18">
        <w:rPr>
          <w:sz w:val="22"/>
          <w:lang w:val="sr-Cyrl-RS"/>
        </w:rPr>
        <w:t>.</w:t>
      </w:r>
    </w:p>
    <w:p w14:paraId="2B88EBF4" w14:textId="43F7540E" w:rsidR="00F26A57" w:rsidRPr="00EF2F18" w:rsidRDefault="00BC0F0A" w:rsidP="00BC0F0A">
      <w:pPr>
        <w:spacing w:after="0"/>
        <w:ind w:firstLine="720"/>
        <w:jc w:val="both"/>
        <w:rPr>
          <w:sz w:val="22"/>
          <w:lang w:val="sr-Cyrl-RS"/>
        </w:rPr>
      </w:pPr>
      <w:r w:rsidRPr="00EF2F18">
        <w:rPr>
          <w:sz w:val="22"/>
          <w:lang w:val="sr-Cyrl-RS"/>
        </w:rPr>
        <w:t xml:space="preserve">Простор који обухвата територију Републике Србије изграђен је од најразличитијих врста стена ствараних кроз дугу историју развоја која датира још од најстарије епохе геолошке историје </w:t>
      </w:r>
      <w:r w:rsidR="00231D95">
        <w:rPr>
          <w:sz w:val="22"/>
          <w:lang w:val="sr-Cyrl-RS"/>
        </w:rPr>
        <w:t>–</w:t>
      </w:r>
      <w:r w:rsidRPr="00EF2F18">
        <w:rPr>
          <w:sz w:val="22"/>
          <w:lang w:val="sr-Cyrl-RS"/>
        </w:rPr>
        <w:t xml:space="preserve"> прекамбријума, преко палеозоика, мезозоика, кенозоика до најмлађе периоде </w:t>
      </w:r>
      <w:r w:rsidR="00231D95">
        <w:rPr>
          <w:sz w:val="22"/>
          <w:lang w:val="sr-Cyrl-RS"/>
        </w:rPr>
        <w:t>–</w:t>
      </w:r>
      <w:r w:rsidRPr="00EF2F18">
        <w:rPr>
          <w:sz w:val="22"/>
          <w:lang w:val="sr-Cyrl-RS"/>
        </w:rPr>
        <w:t xml:space="preserve"> квартара, која траје и данас. Инвентар објеката геонаслеђа Републике Србије је израђен 2005. године и обухватио је 651 геолошки, палеонтолошки, геоморфолошки, спелеолошки и неотектонски објекат, односно: 130 објеката историјско-геолошког и стратиграфског наслеђа, 58 објеката петролошког наслеђа, 192 објеката геоморфолошког наслеђа, 42 објеката неотектонске активности и геофичког наслеђа, 80 објеката спелеолошког наслеђа, 19 објеката хидрогеолошког наслеђа, 18 објеката педолошког и геоархеолошког наслеђа, 13 група објеката са климатским специфичностима, као и 99 објеката </w:t>
      </w:r>
      <w:r w:rsidRPr="00EF2F18">
        <w:rPr>
          <w:i/>
          <w:iCs/>
          <w:sz w:val="22"/>
          <w:lang w:val="sr-Cyrl-RS"/>
        </w:rPr>
        <w:t>ex-situ</w:t>
      </w:r>
      <w:r w:rsidRPr="00EF2F18">
        <w:rPr>
          <w:sz w:val="22"/>
          <w:lang w:val="sr-Cyrl-RS"/>
        </w:rPr>
        <w:t xml:space="preserve"> геонаслеђа. Поред наведеног, инвентар геонаслеђа је допуњен (2008.) прелиминарном листом са 246 објеката хидролошког наслеђа коју чине 48 извора и врела, 5 потајница, 22 термоминарална извора, 33 реке, 28 водопада и слапова, 30 понорница, 28 језера, 19 бара и мртваја, 27 тресава и </w:t>
      </w:r>
      <w:r w:rsidR="00255910" w:rsidRPr="00EF2F18">
        <w:rPr>
          <w:sz w:val="22"/>
          <w:lang w:val="sr-Cyrl-RS"/>
        </w:rPr>
        <w:t>шест</w:t>
      </w:r>
      <w:r w:rsidRPr="00EF2F18">
        <w:rPr>
          <w:sz w:val="22"/>
          <w:lang w:val="sr-Cyrl-RS"/>
        </w:rPr>
        <w:t xml:space="preserve"> хидрографских тачака. Допуном инвентара геонаслеђа Србије обухваћено је и хидрогеолошко наслеђе (2008.), у оквиру кога је издвојено 212 објеката хидрогеолошког наслеђа, односно 51 објекат у Унутрашњим Динаридима, 62 у Вардарској зони, 32 у Српско-македонској маси, 39 у Карпато-балканидима, 12 у Дакијском басену и 16 у Панонском басену. </w:t>
      </w:r>
      <w:bookmarkStart w:id="64" w:name="_Hlk159457688"/>
      <w:r w:rsidR="00F26A57" w:rsidRPr="00EF2F18">
        <w:rPr>
          <w:sz w:val="22"/>
          <w:lang w:val="sr-Cyrl-RS"/>
        </w:rPr>
        <w:t>Геопарк Ђердап (површине око 133.000 hа) је прво подручје из Србије уписано у УНЕСКО Светску листу геопаркова (</w:t>
      </w:r>
      <w:r w:rsidR="00F26A57" w:rsidRPr="00EF2F18">
        <w:rPr>
          <w:i/>
          <w:sz w:val="22"/>
          <w:lang w:val="sr-Cyrl-RS"/>
        </w:rPr>
        <w:t>Global Geoparks Netw</w:t>
      </w:r>
      <w:r w:rsidR="00F26A57" w:rsidRPr="00EF2F18">
        <w:rPr>
          <w:sz w:val="22"/>
          <w:lang w:val="sr-Cyrl-RS"/>
        </w:rPr>
        <w:t>ork) 2020. г</w:t>
      </w:r>
      <w:r w:rsidR="00DE5F3F" w:rsidRPr="00EF2F18">
        <w:rPr>
          <w:sz w:val="22"/>
          <w:lang w:val="sr-Cyrl-RS"/>
        </w:rPr>
        <w:t>o</w:t>
      </w:r>
      <w:r w:rsidR="00F26A57" w:rsidRPr="00EF2F18">
        <w:rPr>
          <w:sz w:val="22"/>
          <w:lang w:val="sr-Cyrl-RS"/>
        </w:rPr>
        <w:t>дине.</w:t>
      </w:r>
    </w:p>
    <w:p w14:paraId="4E9889B6" w14:textId="77777777" w:rsidR="00BC0F0A" w:rsidRPr="00EF2F18" w:rsidRDefault="00BC0F0A" w:rsidP="00BC0F0A">
      <w:pPr>
        <w:spacing w:after="0"/>
        <w:ind w:firstLine="720"/>
        <w:jc w:val="both"/>
        <w:rPr>
          <w:sz w:val="22"/>
          <w:lang w:val="sr-Cyrl-RS"/>
        </w:rPr>
      </w:pPr>
      <w:r w:rsidRPr="00EF2F18">
        <w:rPr>
          <w:sz w:val="22"/>
          <w:lang w:val="sr-Cyrl-RS"/>
        </w:rPr>
        <w:t>Поједини геолошки, геоморфолошки и хидрогеолошки објекти од интереса за Републику Србију проглашени су заштићеним природним вредностима, углавном као споменици природе или предели изузетних одлика, док је велики део научно и едукативно значајних објеката геонаслеђа констатован унутар просторно већих заштићених подручја (национални паркови, паркови и резервати природе).</w:t>
      </w:r>
    </w:p>
    <w:p w14:paraId="0B07DF63" w14:textId="33803EE2" w:rsidR="00D847E6" w:rsidRPr="00EF2F18" w:rsidRDefault="00D847E6" w:rsidP="00BC0F0A">
      <w:pPr>
        <w:spacing w:after="0"/>
        <w:ind w:firstLine="720"/>
        <w:jc w:val="both"/>
        <w:rPr>
          <w:sz w:val="22"/>
          <w:lang w:val="sr-Cyrl-RS"/>
        </w:rPr>
      </w:pPr>
      <w:r w:rsidRPr="00EF2F18">
        <w:rPr>
          <w:sz w:val="22"/>
          <w:lang w:val="sr-Cyrl-RS"/>
        </w:rPr>
        <w:t xml:space="preserve">Заштита геолошке разноврсности при коришћењу и уређењу простора остварује се спровођењем мера очувања разноврсних јединица и облика геолошке грађе, геолошких структура и процеса, стена и минерала различитог састава и начина постанка, као и објеката геонаслеђа у условима </w:t>
      </w:r>
      <w:r w:rsidRPr="00EF2F18">
        <w:rPr>
          <w:i/>
          <w:iCs/>
          <w:sz w:val="22"/>
          <w:lang w:val="sr-Cyrl-RS"/>
        </w:rPr>
        <w:t>in-situ</w:t>
      </w:r>
      <w:r w:rsidRPr="00EF2F18">
        <w:rPr>
          <w:sz w:val="22"/>
          <w:lang w:val="sr-Cyrl-RS"/>
        </w:rPr>
        <w:t xml:space="preserve"> и </w:t>
      </w:r>
      <w:r w:rsidRPr="00EF2F18">
        <w:rPr>
          <w:i/>
          <w:iCs/>
          <w:sz w:val="22"/>
          <w:lang w:val="sr-Cyrl-RS"/>
        </w:rPr>
        <w:t>ex-situ</w:t>
      </w:r>
      <w:r w:rsidRPr="00EF2F18">
        <w:rPr>
          <w:sz w:val="22"/>
          <w:lang w:val="sr-Cyrl-RS"/>
        </w:rPr>
        <w:t xml:space="preserve"> заштите у складу са Законом о заштити природе.</w:t>
      </w:r>
    </w:p>
    <w:bookmarkEnd w:id="64"/>
    <w:p w14:paraId="7A247A44" w14:textId="724FFC28" w:rsidR="000C4973" w:rsidRPr="00EF2F18" w:rsidRDefault="000C0E58" w:rsidP="00BC0F0A">
      <w:pPr>
        <w:spacing w:after="0"/>
        <w:ind w:firstLine="720"/>
        <w:jc w:val="both"/>
        <w:rPr>
          <w:rFonts w:cs="Times New Roman"/>
          <w:sz w:val="22"/>
          <w:lang w:val="sr-Cyrl-RS"/>
        </w:rPr>
      </w:pPr>
      <w:r w:rsidRPr="00EF2F18">
        <w:rPr>
          <w:rFonts w:cs="Times New Roman"/>
          <w:sz w:val="22"/>
          <w:lang w:val="sr-Cyrl-RS"/>
        </w:rPr>
        <w:t xml:space="preserve">Узроци који доводе до угрожености природе у </w:t>
      </w:r>
      <w:r w:rsidR="00990B31" w:rsidRPr="00EF2F18">
        <w:rPr>
          <w:rFonts w:cs="Times New Roman"/>
          <w:sz w:val="22"/>
          <w:lang w:val="sr-Cyrl-RS"/>
        </w:rPr>
        <w:t xml:space="preserve">Републици </w:t>
      </w:r>
      <w:r w:rsidRPr="00EF2F18">
        <w:rPr>
          <w:rFonts w:cs="Times New Roman"/>
          <w:sz w:val="22"/>
          <w:lang w:val="sr-Cyrl-RS"/>
        </w:rPr>
        <w:t>Србији, самим тим и био</w:t>
      </w:r>
      <w:r w:rsidR="00A512A7" w:rsidRPr="00EF2F18">
        <w:rPr>
          <w:rFonts w:cs="Times New Roman"/>
          <w:sz w:val="22"/>
          <w:lang w:val="sr-Cyrl-RS"/>
        </w:rPr>
        <w:t>диверзитета</w:t>
      </w:r>
      <w:r w:rsidRPr="00EF2F18">
        <w:rPr>
          <w:rFonts w:cs="Times New Roman"/>
          <w:sz w:val="22"/>
          <w:lang w:val="sr-Cyrl-RS"/>
        </w:rPr>
        <w:t xml:space="preserve"> и геодиверзитета</w:t>
      </w:r>
      <w:r w:rsidR="00F26A57" w:rsidRPr="00EF2F18">
        <w:rPr>
          <w:rFonts w:cs="Times New Roman"/>
          <w:sz w:val="22"/>
          <w:lang w:val="sr-Cyrl-RS"/>
        </w:rPr>
        <w:t>,</w:t>
      </w:r>
      <w:r w:rsidRPr="00EF2F18">
        <w:rPr>
          <w:rFonts w:cs="Times New Roman"/>
          <w:sz w:val="22"/>
          <w:lang w:val="sr-Cyrl-RS"/>
        </w:rPr>
        <w:t xml:space="preserve"> су углавном они који имају директан утицај на природу и све њене елементе. То су пре свега смањење биодиверзитета као последица нестајања, деградације и фрагментације станишта, смањења популација дивљих врста, угрожености очувања генетичке разноврсности аутохтоних популација биљних и животињских врста, интродукције – инвазивних и алохтоних врста и ГМО, промена климе и елементарних непогода, као и утицаја човека и негативан ефекат климатских промена. Томе свакако доприноси и неефективан систем управљања заштићеним подручјима са недовољним финансирањем, и то како у </w:t>
      </w:r>
      <w:r w:rsidR="00F26A57" w:rsidRPr="00EF2F18">
        <w:rPr>
          <w:rFonts w:cs="Times New Roman"/>
          <w:sz w:val="22"/>
          <w:lang w:val="sr-Cyrl-RS"/>
        </w:rPr>
        <w:t>с</w:t>
      </w:r>
      <w:r w:rsidRPr="00EF2F18">
        <w:rPr>
          <w:rFonts w:cs="Times New Roman"/>
          <w:sz w:val="22"/>
          <w:lang w:val="sr-Cyrl-RS"/>
        </w:rPr>
        <w:t>егменту истраживања и успостављања мониторинга, тако и у сегменту спровођења ефективних мера заштите, обнављања и унапређења стања. Са друге стране, уочљива је недовољна интегрисаност биодиверзитета у друге секторе што би у супротном значајно утицало на превазилажење супротности које често као резултат имају неадекватан став према области заштите природе. Такође, и поред изузетног научног потенцијала евидентно је неадекватно управљање знањем и информацијама о биодиверзитету, као и још увек низак ниво јавне свести о значају биодиверзитета. Свакако да треба да се истакну и неодговарајући механизми за испуњавање међународних обавеза за очување биодиверзитета који значајно успоравају напредак у овој области.</w:t>
      </w:r>
      <w:r w:rsidR="006C2E00" w:rsidRPr="00EF2F18">
        <w:rPr>
          <w:rFonts w:cs="Times New Roman"/>
          <w:sz w:val="22"/>
          <w:lang w:val="sr-Cyrl-RS"/>
        </w:rPr>
        <w:t xml:space="preserve"> </w:t>
      </w:r>
    </w:p>
    <w:p w14:paraId="01897C94" w14:textId="149A26A0" w:rsidR="00255910" w:rsidRDefault="00255910" w:rsidP="00BC0F0A">
      <w:pPr>
        <w:spacing w:after="0"/>
        <w:ind w:firstLine="720"/>
        <w:jc w:val="both"/>
        <w:rPr>
          <w:rFonts w:cs="Times New Roman"/>
          <w:sz w:val="22"/>
          <w:lang w:val="sr-Cyrl-RS"/>
        </w:rPr>
      </w:pPr>
    </w:p>
    <w:p w14:paraId="78C894C6" w14:textId="77777777" w:rsidR="00143597" w:rsidRPr="00EF2F18" w:rsidRDefault="00143597" w:rsidP="00BC0F0A">
      <w:pPr>
        <w:spacing w:after="0"/>
        <w:ind w:firstLine="720"/>
        <w:jc w:val="both"/>
        <w:rPr>
          <w:rFonts w:cs="Times New Roman"/>
          <w:sz w:val="22"/>
          <w:lang w:val="sr-Cyrl-RS"/>
        </w:rPr>
      </w:pPr>
    </w:p>
    <w:p w14:paraId="4680CFD2" w14:textId="5C2C6B0A" w:rsidR="001A23A7" w:rsidRPr="00EF2F18" w:rsidRDefault="0089035C" w:rsidP="00F106C9">
      <w:pPr>
        <w:pStyle w:val="Heading3"/>
        <w:numPr>
          <w:ilvl w:val="2"/>
          <w:numId w:val="2"/>
        </w:numPr>
        <w:tabs>
          <w:tab w:val="left" w:pos="720"/>
        </w:tabs>
        <w:jc w:val="center"/>
        <w:rPr>
          <w:rFonts w:cs="Times New Roman"/>
          <w:sz w:val="22"/>
          <w:szCs w:val="22"/>
          <w:lang w:val="sr-Cyrl-RS"/>
        </w:rPr>
      </w:pPr>
      <w:bookmarkStart w:id="65" w:name="_Toc158307712"/>
      <w:r w:rsidRPr="00EF2F18">
        <w:rPr>
          <w:rFonts w:cs="Times New Roman"/>
          <w:sz w:val="22"/>
          <w:szCs w:val="22"/>
          <w:lang w:val="sr-Cyrl-RS"/>
        </w:rPr>
        <w:lastRenderedPageBreak/>
        <w:t>Шуме</w:t>
      </w:r>
      <w:bookmarkEnd w:id="65"/>
    </w:p>
    <w:p w14:paraId="19734A14" w14:textId="186B608F" w:rsidR="00820799" w:rsidRPr="00EF2F18" w:rsidRDefault="00820799" w:rsidP="00D665A5">
      <w:pPr>
        <w:pStyle w:val="Heading3"/>
        <w:numPr>
          <w:ilvl w:val="0"/>
          <w:numId w:val="0"/>
        </w:numPr>
        <w:tabs>
          <w:tab w:val="left" w:pos="720"/>
        </w:tabs>
        <w:spacing w:before="0" w:after="0"/>
        <w:rPr>
          <w:rFonts w:eastAsiaTheme="minorHAnsi" w:cstheme="minorBidi"/>
          <w:b w:val="0"/>
          <w:color w:val="auto"/>
          <w:sz w:val="22"/>
          <w:szCs w:val="22"/>
          <w:lang w:val="sr-Cyrl-RS"/>
        </w:rPr>
      </w:pPr>
      <w:r w:rsidRPr="00EF2F18">
        <w:rPr>
          <w:rFonts w:eastAsiaTheme="minorHAnsi" w:cstheme="minorBidi"/>
          <w:b w:val="0"/>
          <w:color w:val="auto"/>
          <w:sz w:val="22"/>
          <w:szCs w:val="22"/>
          <w:lang w:val="sr-Cyrl-RS"/>
        </w:rPr>
        <w:tab/>
        <w:t xml:space="preserve">Према подацима </w:t>
      </w:r>
      <w:r w:rsidR="00A32C83" w:rsidRPr="00EF2F18">
        <w:rPr>
          <w:rFonts w:eastAsiaTheme="minorHAnsi" w:cstheme="minorBidi"/>
          <w:b w:val="0"/>
          <w:color w:val="auto"/>
          <w:sz w:val="22"/>
          <w:szCs w:val="22"/>
          <w:lang w:val="sr-Cyrl-RS"/>
        </w:rPr>
        <w:t xml:space="preserve">Друге </w:t>
      </w:r>
      <w:r w:rsidRPr="00EF2F18">
        <w:rPr>
          <w:rFonts w:eastAsiaTheme="minorHAnsi" w:cstheme="minorBidi"/>
          <w:b w:val="0"/>
          <w:color w:val="auto"/>
          <w:sz w:val="22"/>
          <w:szCs w:val="22"/>
          <w:lang w:val="sr-Cyrl-RS"/>
        </w:rPr>
        <w:t xml:space="preserve">националне инвентуре шума Републике Србије (Територија централне Србије и АП Војводине) </w:t>
      </w:r>
      <w:r w:rsidR="00A32C83" w:rsidRPr="00EF2F18">
        <w:rPr>
          <w:rFonts w:eastAsiaTheme="minorHAnsi" w:cstheme="minorBidi"/>
          <w:b w:val="0"/>
          <w:color w:val="auto"/>
          <w:sz w:val="22"/>
          <w:szCs w:val="22"/>
          <w:lang w:val="sr-Cyrl-RS"/>
        </w:rPr>
        <w:t xml:space="preserve">из 2023. године, </w:t>
      </w:r>
      <w:r w:rsidRPr="00EF2F18">
        <w:rPr>
          <w:rFonts w:eastAsiaTheme="minorHAnsi" w:cstheme="minorBidi"/>
          <w:b w:val="0"/>
          <w:color w:val="auto"/>
          <w:sz w:val="22"/>
          <w:szCs w:val="22"/>
          <w:lang w:val="sr-Cyrl-RS"/>
        </w:rPr>
        <w:t>шуме покривају 39,</w:t>
      </w:r>
      <w:r w:rsidR="00A83937" w:rsidRPr="00EF2F18">
        <w:rPr>
          <w:rFonts w:eastAsiaTheme="minorHAnsi" w:cstheme="minorBidi"/>
          <w:b w:val="0"/>
          <w:color w:val="auto"/>
          <w:sz w:val="22"/>
          <w:szCs w:val="22"/>
          <w:lang w:val="sr-Cyrl-RS"/>
        </w:rPr>
        <w:t>01</w:t>
      </w:r>
      <w:r w:rsidRPr="00EF2F18">
        <w:rPr>
          <w:rFonts w:eastAsiaTheme="minorHAnsi" w:cstheme="minorBidi"/>
          <w:b w:val="0"/>
          <w:color w:val="auto"/>
          <w:sz w:val="22"/>
          <w:szCs w:val="22"/>
          <w:lang w:val="sr-Cyrl-RS"/>
        </w:rPr>
        <w:t xml:space="preserve">% укупне површине Србије. Што се тиче власништва, подаци </w:t>
      </w:r>
      <w:r w:rsidR="00A32C83" w:rsidRPr="00EF2F18">
        <w:rPr>
          <w:rFonts w:eastAsiaTheme="minorHAnsi" w:cstheme="minorBidi"/>
          <w:b w:val="0"/>
          <w:color w:val="auto"/>
          <w:sz w:val="22"/>
          <w:szCs w:val="22"/>
          <w:lang w:val="sr-Cyrl-RS"/>
        </w:rPr>
        <w:t>Н</w:t>
      </w:r>
      <w:r w:rsidRPr="00EF2F18">
        <w:rPr>
          <w:rFonts w:eastAsiaTheme="minorHAnsi" w:cstheme="minorBidi"/>
          <w:b w:val="0"/>
          <w:color w:val="auto"/>
          <w:sz w:val="22"/>
          <w:szCs w:val="22"/>
          <w:lang w:val="sr-Cyrl-RS"/>
        </w:rPr>
        <w:t>ационалне инвентуре шума показују промену власничке структуре, и док према Првој националној инвентури према власништ</w:t>
      </w:r>
      <w:r w:rsidR="00231D95">
        <w:rPr>
          <w:rFonts w:eastAsiaTheme="minorHAnsi" w:cstheme="minorBidi"/>
          <w:b w:val="0"/>
          <w:color w:val="auto"/>
          <w:sz w:val="22"/>
          <w:szCs w:val="22"/>
          <w:lang w:val="sr-Cyrl-RS"/>
        </w:rPr>
        <w:t>в</w:t>
      </w:r>
      <w:r w:rsidRPr="00EF2F18">
        <w:rPr>
          <w:rFonts w:eastAsiaTheme="minorHAnsi" w:cstheme="minorBidi"/>
          <w:b w:val="0"/>
          <w:color w:val="auto"/>
          <w:sz w:val="22"/>
          <w:szCs w:val="22"/>
          <w:lang w:val="sr-Cyrl-RS"/>
        </w:rPr>
        <w:t>у доминирају државне шуме са 53% у поређењу са 47% шума сопственика, ситуација је сада другачија и шуме сопственика покривају површину од 5</w:t>
      </w:r>
      <w:r w:rsidR="0062793A" w:rsidRPr="00EF2F18">
        <w:rPr>
          <w:rFonts w:eastAsiaTheme="minorHAnsi" w:cstheme="minorBidi"/>
          <w:b w:val="0"/>
          <w:color w:val="auto"/>
          <w:sz w:val="22"/>
          <w:szCs w:val="22"/>
          <w:lang w:val="sr-Cyrl-RS"/>
        </w:rPr>
        <w:t>8,27</w:t>
      </w:r>
      <w:r w:rsidRPr="00EF2F18">
        <w:rPr>
          <w:rFonts w:eastAsiaTheme="minorHAnsi" w:cstheme="minorBidi"/>
          <w:b w:val="0"/>
          <w:color w:val="auto"/>
          <w:sz w:val="22"/>
          <w:szCs w:val="22"/>
          <w:lang w:val="sr-Cyrl-RS"/>
        </w:rPr>
        <w:t>%, док су државне шуме заступљене са 4</w:t>
      </w:r>
      <w:r w:rsidR="0062793A" w:rsidRPr="00EF2F18">
        <w:rPr>
          <w:rFonts w:eastAsiaTheme="minorHAnsi" w:cstheme="minorBidi"/>
          <w:b w:val="0"/>
          <w:color w:val="auto"/>
          <w:sz w:val="22"/>
          <w:szCs w:val="22"/>
          <w:lang w:val="sr-Cyrl-RS"/>
        </w:rPr>
        <w:t>1</w:t>
      </w:r>
      <w:r w:rsidR="008C60F4" w:rsidRPr="00EF2F18">
        <w:rPr>
          <w:rFonts w:eastAsiaTheme="minorHAnsi" w:cstheme="minorBidi"/>
          <w:b w:val="0"/>
          <w:color w:val="auto"/>
          <w:sz w:val="22"/>
          <w:szCs w:val="22"/>
          <w:lang w:val="sr-Cyrl-RS"/>
        </w:rPr>
        <w:t>,</w:t>
      </w:r>
      <w:r w:rsidR="0062793A" w:rsidRPr="00EF2F18">
        <w:rPr>
          <w:rFonts w:eastAsiaTheme="minorHAnsi" w:cstheme="minorBidi"/>
          <w:b w:val="0"/>
          <w:color w:val="auto"/>
          <w:sz w:val="22"/>
          <w:szCs w:val="22"/>
          <w:lang w:val="sr-Cyrl-RS"/>
        </w:rPr>
        <w:t>73</w:t>
      </w:r>
      <w:r w:rsidRPr="00EF2F18">
        <w:rPr>
          <w:rFonts w:eastAsiaTheme="minorHAnsi" w:cstheme="minorBidi"/>
          <w:b w:val="0"/>
          <w:color w:val="auto"/>
          <w:sz w:val="22"/>
          <w:szCs w:val="22"/>
          <w:lang w:val="sr-Cyrl-RS"/>
        </w:rPr>
        <w:t>%</w:t>
      </w:r>
      <w:r w:rsidR="008C60F4" w:rsidRPr="00EF2F18">
        <w:rPr>
          <w:rFonts w:eastAsiaTheme="minorHAnsi" w:cstheme="minorBidi"/>
          <w:b w:val="0"/>
          <w:color w:val="auto"/>
          <w:sz w:val="22"/>
          <w:szCs w:val="22"/>
          <w:lang w:val="sr-Cyrl-RS"/>
        </w:rPr>
        <w:t>.</w:t>
      </w:r>
      <w:r w:rsidR="00B72C7F" w:rsidRPr="00EF2F18">
        <w:rPr>
          <w:rFonts w:eastAsiaTheme="minorHAnsi" w:cstheme="minorBidi"/>
          <w:b w:val="0"/>
          <w:color w:val="auto"/>
          <w:sz w:val="22"/>
          <w:szCs w:val="22"/>
          <w:lang w:val="sr-Cyrl-RS"/>
        </w:rPr>
        <w:t xml:space="preserve"> При томе треба имати у виду да је друга национална инвентура шума базирана на актуелном стању на терену, без сагледавања намене катастарских парцела ( део ових површина према намени није више шумско земљиш</w:t>
      </w:r>
      <w:r w:rsidR="00765E78">
        <w:rPr>
          <w:rFonts w:eastAsiaTheme="minorHAnsi" w:cstheme="minorBidi"/>
          <w:b w:val="0"/>
          <w:color w:val="auto"/>
          <w:sz w:val="22"/>
          <w:szCs w:val="22"/>
          <w:lang w:val="sr-Cyrl-RS"/>
        </w:rPr>
        <w:t>т</w:t>
      </w:r>
      <w:r w:rsidR="00B72C7F" w:rsidRPr="00EF2F18">
        <w:rPr>
          <w:rFonts w:eastAsiaTheme="minorHAnsi" w:cstheme="minorBidi"/>
          <w:b w:val="0"/>
          <w:color w:val="auto"/>
          <w:sz w:val="22"/>
          <w:szCs w:val="22"/>
          <w:lang w:val="sr-Cyrl-RS"/>
        </w:rPr>
        <w:t>е нити је намењено за шумску производњу).</w:t>
      </w:r>
      <w:r w:rsidR="00313485" w:rsidRPr="00EF2F18">
        <w:rPr>
          <w:rFonts w:eastAsiaTheme="minorHAnsi" w:cstheme="minorBidi"/>
          <w:b w:val="0"/>
          <w:color w:val="auto"/>
          <w:sz w:val="22"/>
          <w:szCs w:val="22"/>
          <w:lang w:val="sr-Cyrl-RS"/>
        </w:rPr>
        <w:t xml:space="preserve"> </w:t>
      </w:r>
    </w:p>
    <w:p w14:paraId="76ED9410" w14:textId="0DB7FB26" w:rsidR="00820799" w:rsidRPr="00EF2F18" w:rsidRDefault="00820799" w:rsidP="00D665A5">
      <w:pPr>
        <w:pStyle w:val="Heading3"/>
        <w:numPr>
          <w:ilvl w:val="0"/>
          <w:numId w:val="0"/>
        </w:numPr>
        <w:tabs>
          <w:tab w:val="left" w:pos="720"/>
        </w:tabs>
        <w:spacing w:before="0" w:after="0"/>
        <w:rPr>
          <w:rFonts w:eastAsiaTheme="minorHAnsi" w:cstheme="minorBidi"/>
          <w:b w:val="0"/>
          <w:color w:val="auto"/>
          <w:sz w:val="22"/>
          <w:szCs w:val="22"/>
          <w:lang w:val="sr-Cyrl-RS"/>
        </w:rPr>
      </w:pPr>
      <w:r w:rsidRPr="00EF2F18">
        <w:rPr>
          <w:rFonts w:eastAsiaTheme="minorHAnsi" w:cstheme="minorBidi"/>
          <w:b w:val="0"/>
          <w:color w:val="auto"/>
          <w:sz w:val="22"/>
          <w:szCs w:val="22"/>
          <w:lang w:val="sr-Cyrl-RS"/>
        </w:rPr>
        <w:tab/>
        <w:t xml:space="preserve">Доминирају шуме једнаке старости, тако да је структура по структурном облику неповољна. У односу на укупну површину шума у </w:t>
      </w:r>
      <w:r w:rsidR="00990B31" w:rsidRPr="00EF2F18">
        <w:rPr>
          <w:rFonts w:eastAsiaTheme="minorHAnsi" w:cstheme="minorBidi"/>
          <w:b w:val="0"/>
          <w:color w:val="auto"/>
          <w:sz w:val="22"/>
          <w:szCs w:val="22"/>
          <w:lang w:val="sr-Cyrl-RS"/>
        </w:rPr>
        <w:t xml:space="preserve">Републици </w:t>
      </w:r>
      <w:r w:rsidRPr="00EF2F18">
        <w:rPr>
          <w:rFonts w:eastAsiaTheme="minorHAnsi" w:cstheme="minorBidi"/>
          <w:b w:val="0"/>
          <w:color w:val="auto"/>
          <w:sz w:val="22"/>
          <w:szCs w:val="22"/>
          <w:lang w:val="sr-Cyrl-RS"/>
        </w:rPr>
        <w:t xml:space="preserve">Србији састојине високог порекла покривају </w:t>
      </w:r>
      <w:r w:rsidR="00A83937" w:rsidRPr="00EF2F18">
        <w:rPr>
          <w:rFonts w:eastAsiaTheme="minorHAnsi" w:cstheme="minorBidi"/>
          <w:b w:val="0"/>
          <w:color w:val="auto"/>
          <w:sz w:val="22"/>
          <w:szCs w:val="22"/>
          <w:lang w:val="sr-Cyrl-RS"/>
        </w:rPr>
        <w:t>25,82%, састојине изданачког порекла 65,17%, вештачки подигнуте састојине 7,47%. Посматрајући индикатор мешовитости доминирају чисте састојине лишћара са 44,98%, затим мешовите састојине лишћара са 42,31%, чисте састојине четинара са 7,06%, мешовите састојине лишћара и четинара са 3,25% и мешовите састојине четинара чије је учешће скромно и износи 0,85</w:t>
      </w:r>
      <w:r w:rsidRPr="00EF2F18">
        <w:rPr>
          <w:rFonts w:eastAsiaTheme="minorHAnsi" w:cstheme="minorBidi"/>
          <w:b w:val="0"/>
          <w:color w:val="auto"/>
          <w:sz w:val="22"/>
          <w:szCs w:val="22"/>
          <w:lang w:val="sr-Cyrl-RS"/>
        </w:rPr>
        <w:t xml:space="preserve">% у укупно обраслој површини. </w:t>
      </w:r>
    </w:p>
    <w:p w14:paraId="08DFFB8D" w14:textId="2A925588" w:rsidR="00F47C32" w:rsidRPr="00EF2F18" w:rsidRDefault="00820799" w:rsidP="00820799">
      <w:pPr>
        <w:spacing w:after="0"/>
        <w:ind w:firstLine="720"/>
        <w:jc w:val="both"/>
        <w:rPr>
          <w:sz w:val="22"/>
          <w:lang w:val="sr-Cyrl-RS"/>
        </w:rPr>
      </w:pPr>
      <w:r w:rsidRPr="00EF2F18">
        <w:rPr>
          <w:sz w:val="22"/>
          <w:lang w:val="sr-Cyrl-RS"/>
        </w:rPr>
        <w:t xml:space="preserve">Националном инвентуром шума </w:t>
      </w:r>
      <w:r w:rsidR="00990B31" w:rsidRPr="00EF2F18">
        <w:rPr>
          <w:sz w:val="22"/>
          <w:lang w:val="sr-Cyrl-RS"/>
        </w:rPr>
        <w:t xml:space="preserve">Републике </w:t>
      </w:r>
      <w:r w:rsidRPr="00EF2F18">
        <w:rPr>
          <w:sz w:val="22"/>
          <w:lang w:val="sr-Cyrl-RS"/>
        </w:rPr>
        <w:t xml:space="preserve">Србије установљено је </w:t>
      </w:r>
      <w:r w:rsidR="0002587C" w:rsidRPr="00EF2F18">
        <w:rPr>
          <w:sz w:val="22"/>
          <w:lang w:val="sr-Cyrl-RS"/>
        </w:rPr>
        <w:t xml:space="preserve">да </w:t>
      </w:r>
      <w:r w:rsidRPr="00EF2F18">
        <w:rPr>
          <w:sz w:val="22"/>
          <w:lang w:val="sr-Cyrl-RS"/>
        </w:rPr>
        <w:t>доминирају лишћарске врсте у односу на четинарске</w:t>
      </w:r>
      <w:r w:rsidR="0002587C" w:rsidRPr="00EF2F18">
        <w:rPr>
          <w:sz w:val="22"/>
          <w:lang w:val="sr-Cyrl-RS"/>
        </w:rPr>
        <w:t>.</w:t>
      </w:r>
      <w:r w:rsidRPr="00EF2F18">
        <w:rPr>
          <w:sz w:val="22"/>
          <w:lang w:val="sr-Cyrl-RS"/>
        </w:rPr>
        <w:t xml:space="preserve">. При томе, може се констатовати неравномерно присуство евидентираних врста дрвећа у укупном шумском фонду. У шумама Србије доминира буква која у укупној запремини учествује са </w:t>
      </w:r>
      <w:r w:rsidR="00A83937" w:rsidRPr="00EF2F18">
        <w:rPr>
          <w:sz w:val="22"/>
          <w:lang w:val="sr-Cyrl-RS"/>
        </w:rPr>
        <w:t>38,28%, потом цер са 14,09%, китњак са 6,48%, сладун са 4,89%, граб са 3,52%, лужњак са 1</w:t>
      </w:r>
      <w:r w:rsidR="00123D92" w:rsidRPr="00EF2F18">
        <w:rPr>
          <w:sz w:val="22"/>
          <w:lang w:val="sr-Cyrl-RS"/>
        </w:rPr>
        <w:t>,</w:t>
      </w:r>
      <w:r w:rsidR="00A83937" w:rsidRPr="00EF2F18">
        <w:rPr>
          <w:sz w:val="22"/>
          <w:lang w:val="sr-Cyrl-RS"/>
        </w:rPr>
        <w:t>76% и пољски јасен са 1,49%. учешћа у запремини. Од четинарских врста најзаступљенија је смрча чије учешће у запремини износи 4,11%, црни и бели бор учествују у укупној запремини са 1,51%, док је јела присутна у запремини са 2,65%. Вештачки подигнуте састојине учествују у запремини са 8,27%</w:t>
      </w:r>
      <w:r w:rsidRPr="00EF2F18">
        <w:rPr>
          <w:sz w:val="22"/>
          <w:lang w:val="sr-Cyrl-RS"/>
        </w:rPr>
        <w:t>. Инвентуром је такође утврђено 38 реликтних, ендемичних, ретких и угрожених врста шумског дрвећа и жбуња од чега су: 12 ретке и угрожене, пет ретке, девет реликтне, шест ендемичне и шест под ризиком</w:t>
      </w:r>
      <w:r w:rsidR="00F47C32" w:rsidRPr="00EF2F18">
        <w:rPr>
          <w:sz w:val="22"/>
          <w:lang w:val="sr-Cyrl-RS"/>
        </w:rPr>
        <w:t>.</w:t>
      </w:r>
    </w:p>
    <w:p w14:paraId="3C00C3DF" w14:textId="77777777" w:rsidR="00F026F2" w:rsidRPr="00EF2F18" w:rsidRDefault="00F026F2" w:rsidP="00820799">
      <w:pPr>
        <w:spacing w:after="0"/>
        <w:ind w:firstLine="720"/>
        <w:jc w:val="both"/>
        <w:rPr>
          <w:sz w:val="22"/>
          <w:lang w:val="sr-Cyrl-RS"/>
        </w:rPr>
      </w:pPr>
    </w:p>
    <w:p w14:paraId="46ECB2FF" w14:textId="77777777" w:rsidR="00F026F2" w:rsidRPr="00EF2F18" w:rsidRDefault="00F026F2" w:rsidP="00F026F2">
      <w:pPr>
        <w:pStyle w:val="CommentText"/>
        <w:spacing w:after="0"/>
        <w:jc w:val="both"/>
        <w:rPr>
          <w:sz w:val="22"/>
          <w:szCs w:val="22"/>
          <w:lang w:val="sr-Cyrl-RS"/>
        </w:rPr>
      </w:pPr>
      <w:r w:rsidRPr="00EF2F18">
        <w:rPr>
          <w:noProof/>
          <w:lang w:val="sr-Cyrl-RS" w:eastAsia="sr-Cyrl-RS"/>
          <w14:ligatures w14:val="standardContextual"/>
        </w:rPr>
        <w:drawing>
          <wp:inline distT="0" distB="0" distL="0" distR="0" wp14:anchorId="24DCF4ED" wp14:editId="3B76CE19">
            <wp:extent cx="5753100" cy="2876550"/>
            <wp:effectExtent l="0" t="0" r="0" b="0"/>
            <wp:docPr id="522894003" name="Chart 1">
              <a:extLst xmlns:a="http://schemas.openxmlformats.org/drawingml/2006/main">
                <a:ext uri="{FF2B5EF4-FFF2-40B4-BE49-F238E27FC236}">
                  <a16:creationId xmlns:a16="http://schemas.microsoft.com/office/drawing/2014/main" id="{00000000-0008-0000-0000-000004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19BADF8" w14:textId="31C54DAD" w:rsidR="00F026F2" w:rsidRPr="00EF2F18" w:rsidRDefault="00F026F2" w:rsidP="00F026F2">
      <w:pPr>
        <w:pStyle w:val="CommentText"/>
        <w:spacing w:after="0"/>
        <w:jc w:val="both"/>
        <w:rPr>
          <w:sz w:val="22"/>
          <w:szCs w:val="22"/>
          <w:lang w:val="sr-Cyrl-RS"/>
        </w:rPr>
      </w:pPr>
      <w:r w:rsidRPr="00EF2F18">
        <w:rPr>
          <w:rFonts w:eastAsia="Times New Roman" w:cs="Times New Roman"/>
          <w:b/>
          <w:bCs/>
          <w:sz w:val="22"/>
          <w:szCs w:val="22"/>
          <w:lang w:val="sr-Cyrl-RS"/>
        </w:rPr>
        <w:t>Слика 3.</w:t>
      </w:r>
      <w:r w:rsidR="00DE003D" w:rsidRPr="00EF2F18">
        <w:rPr>
          <w:rFonts w:eastAsia="Times New Roman" w:cs="Times New Roman"/>
          <w:b/>
          <w:bCs/>
          <w:sz w:val="22"/>
          <w:szCs w:val="22"/>
          <w:lang w:val="sr-Cyrl-RS"/>
        </w:rPr>
        <w:t>31</w:t>
      </w:r>
      <w:r w:rsidR="00831C3D" w:rsidRPr="00EF2F18">
        <w:rPr>
          <w:rFonts w:eastAsia="Times New Roman" w:cs="Times New Roman"/>
          <w:b/>
          <w:bCs/>
          <w:sz w:val="22"/>
          <w:szCs w:val="22"/>
          <w:lang w:val="sr-Cyrl-RS"/>
        </w:rPr>
        <w:t>.</w:t>
      </w:r>
      <w:r w:rsidRPr="00EF2F18">
        <w:rPr>
          <w:rFonts w:eastAsia="Times New Roman" w:cs="Times New Roman"/>
          <w:sz w:val="22"/>
          <w:szCs w:val="22"/>
          <w:lang w:val="sr-Cyrl-RS"/>
        </w:rPr>
        <w:t xml:space="preserve"> Тренд промене површине под шумом на територији Републике Србије</w:t>
      </w:r>
    </w:p>
    <w:p w14:paraId="4C6DA197" w14:textId="77777777" w:rsidR="00F026F2" w:rsidRPr="00EF2F18" w:rsidRDefault="00F026F2" w:rsidP="00F026F2">
      <w:pPr>
        <w:pStyle w:val="CommentText"/>
        <w:spacing w:after="0"/>
        <w:ind w:firstLine="720"/>
        <w:jc w:val="both"/>
        <w:rPr>
          <w:sz w:val="22"/>
          <w:szCs w:val="22"/>
          <w:lang w:val="sr-Cyrl-RS"/>
        </w:rPr>
      </w:pPr>
    </w:p>
    <w:p w14:paraId="19BCC8FC" w14:textId="071B3D8B" w:rsidR="00F026F2" w:rsidRPr="00EF2F18" w:rsidRDefault="001D0D4C" w:rsidP="00820799">
      <w:pPr>
        <w:spacing w:after="0"/>
        <w:ind w:firstLine="720"/>
        <w:jc w:val="both"/>
        <w:rPr>
          <w:sz w:val="22"/>
          <w:lang w:val="sr-Cyrl-RS"/>
        </w:rPr>
      </w:pPr>
      <w:r w:rsidRPr="00EF2F18">
        <w:rPr>
          <w:sz w:val="22"/>
          <w:lang w:val="sr-Cyrl-RS"/>
        </w:rPr>
        <w:t>У периоду од 1953-2023. године, дошло је до повећања површине под шумом за преко 1.700.000 ha што је пораст од преко 130% у односу на 1953. годину</w:t>
      </w:r>
      <w:r w:rsidR="00F026F2" w:rsidRPr="00EF2F18">
        <w:rPr>
          <w:sz w:val="22"/>
          <w:lang w:val="sr-Cyrl-RS"/>
        </w:rPr>
        <w:t xml:space="preserve">. Северни део Србије – АП Војводина је један од најмање пошумљених региона у Европи, свега </w:t>
      </w:r>
      <w:r w:rsidR="0002587C" w:rsidRPr="00EF2F18">
        <w:rPr>
          <w:sz w:val="22"/>
          <w:lang w:val="sr-Cyrl-RS"/>
        </w:rPr>
        <w:t xml:space="preserve">8,63 </w:t>
      </w:r>
      <w:r w:rsidR="00F026F2" w:rsidRPr="00EF2F18">
        <w:rPr>
          <w:sz w:val="22"/>
          <w:lang w:val="sr-Cyrl-RS"/>
        </w:rPr>
        <w:t xml:space="preserve">% у односу на оптималну која би требала да износи 14,3% што захтева подизање шума и заштитног зеленила на око 160.000 </w:t>
      </w:r>
      <w:r w:rsidR="001223D0" w:rsidRPr="00EF2F18">
        <w:rPr>
          <w:sz w:val="22"/>
          <w:lang w:val="sr-Cyrl-RS"/>
        </w:rPr>
        <w:t>ha</w:t>
      </w:r>
      <w:r w:rsidR="00F026F2" w:rsidRPr="00EF2F18">
        <w:rPr>
          <w:sz w:val="22"/>
          <w:lang w:val="sr-Cyrl-RS"/>
        </w:rPr>
        <w:t>.</w:t>
      </w:r>
    </w:p>
    <w:p w14:paraId="7464401E" w14:textId="6E1B1387" w:rsidR="00F026F2" w:rsidRPr="00EF2F18" w:rsidRDefault="00F026F2" w:rsidP="00820799">
      <w:pPr>
        <w:spacing w:after="0"/>
        <w:ind w:firstLine="720"/>
        <w:jc w:val="both"/>
        <w:rPr>
          <w:sz w:val="22"/>
          <w:lang w:val="sr-Cyrl-RS"/>
        </w:rPr>
      </w:pPr>
      <w:r w:rsidRPr="00EF2F18">
        <w:rPr>
          <w:bCs/>
          <w:sz w:val="22"/>
          <w:lang w:val="sr-Cyrl-RS"/>
        </w:rPr>
        <w:lastRenderedPageBreak/>
        <w:t xml:space="preserve">Резултати праћења и анализа стања шума </w:t>
      </w:r>
      <w:r w:rsidRPr="00EF2F18">
        <w:rPr>
          <w:sz w:val="22"/>
          <w:lang w:val="sr-Cyrl-RS"/>
        </w:rPr>
        <w:t>Републике</w:t>
      </w:r>
      <w:r w:rsidRPr="00EF2F18">
        <w:rPr>
          <w:bCs/>
          <w:sz w:val="22"/>
          <w:lang w:val="sr-Cyrl-RS"/>
        </w:rPr>
        <w:t xml:space="preserve"> Србије показују рањивост најзначајнијих шумских врста: храста лужњака (најпогођенији јер зависи и од подземних вода чији се нивои све више спуштају), букве, храста китњака, цера, јеле и смрче.</w:t>
      </w:r>
      <w:r w:rsidRPr="00EF2F18">
        <w:rPr>
          <w:sz w:val="22"/>
          <w:lang w:val="sr-Cyrl-RS"/>
        </w:rPr>
        <w:t xml:space="preserve"> Забележено је сушење и опадање виталности храстова у Војводини због дугих сушних периода, девастација шумских подручја услед ледолома у Источној Србији и сушење смрче у четинарским подручјима после изражено топлих и сувих година. Бесправне сече доводе до уништавања станишта различитих шумских врста и појаве секундарних екосистема, који се карактеришу смањеним диверзитетом, као и до фрагментације (парцелисања) шума.</w:t>
      </w:r>
    </w:p>
    <w:p w14:paraId="7D8FF2C7" w14:textId="77777777" w:rsidR="00F47C32" w:rsidRPr="00EF2F18" w:rsidRDefault="00F47C32" w:rsidP="00F47C32">
      <w:pPr>
        <w:autoSpaceDE w:val="0"/>
        <w:autoSpaceDN w:val="0"/>
        <w:adjustRightInd w:val="0"/>
        <w:spacing w:after="0"/>
        <w:ind w:firstLine="720"/>
        <w:jc w:val="both"/>
        <w:rPr>
          <w:sz w:val="22"/>
          <w:lang w:val="sr-Cyrl-RS"/>
        </w:rPr>
      </w:pPr>
      <w:r w:rsidRPr="00EF2F18">
        <w:rPr>
          <w:sz w:val="22"/>
          <w:lang w:val="sr-Cyrl-RS"/>
        </w:rPr>
        <w:t>Анализа статистичких података о шумским пожарима показује да се учесталост пожара, као и укупна опожарена површина повећава периодично из године у годину са појавом сушних периода/година, када је и реално већа опасност од настанка шумских пожара, а опада током кишних година.</w:t>
      </w:r>
    </w:p>
    <w:p w14:paraId="1346B834" w14:textId="6EFBAC3D" w:rsidR="00B80C79" w:rsidRPr="00EF2F18" w:rsidRDefault="00235BB9" w:rsidP="00A50B49">
      <w:pPr>
        <w:spacing w:after="0"/>
        <w:ind w:firstLine="720"/>
        <w:jc w:val="both"/>
        <w:rPr>
          <w:rFonts w:cs="Times New Roman"/>
          <w:sz w:val="22"/>
          <w:lang w:val="sr-Cyrl-RS"/>
        </w:rPr>
      </w:pPr>
      <w:r w:rsidRPr="00EF2F18">
        <w:rPr>
          <w:rFonts w:cs="Times New Roman"/>
          <w:sz w:val="22"/>
          <w:lang w:val="sr-Cyrl-RS"/>
        </w:rPr>
        <w:t>Планирање средстава за пошумљавање врши се на годишњем нивоу Уредбом о утврђивању годишњег програма коришћења средстава за одрживи развој и унапређење шумарства</w:t>
      </w:r>
      <w:bookmarkStart w:id="66" w:name="_Hlk158936067"/>
      <w:r w:rsidRPr="00EF2F18">
        <w:rPr>
          <w:rFonts w:cs="Times New Roman"/>
          <w:sz w:val="22"/>
          <w:lang w:val="sr-Cyrl-RS"/>
        </w:rPr>
        <w:t xml:space="preserve">. </w:t>
      </w:r>
      <w:bookmarkEnd w:id="66"/>
      <w:r w:rsidRPr="00EF2F18">
        <w:rPr>
          <w:rFonts w:cs="Times New Roman"/>
          <w:sz w:val="22"/>
          <w:lang w:val="sr-Cyrl-RS"/>
        </w:rPr>
        <w:t xml:space="preserve">Средства се додељују у складу са </w:t>
      </w:r>
      <w:r w:rsidR="00A50B49" w:rsidRPr="00EF2F18">
        <w:rPr>
          <w:rFonts w:cs="Times New Roman"/>
          <w:sz w:val="22"/>
          <w:lang w:val="sr-Cyrl-RS"/>
        </w:rPr>
        <w:t>Правилником о ближим условима, као и o начину доделе и коришћења средстава из годишњег програма коришћења средстава за одрживи развој и унапређење шумарства („</w:t>
      </w:r>
      <w:r w:rsidR="00A50B49" w:rsidRPr="00EF2F18">
        <w:rPr>
          <w:rFonts w:cs="Times New Roman"/>
          <w:sz w:val="22"/>
          <w:shd w:val="clear" w:color="auto" w:fill="FFFFFF"/>
          <w:lang w:val="sr-Cyrl-RS"/>
        </w:rPr>
        <w:t>Службени гласник РС”, бр</w:t>
      </w:r>
      <w:r w:rsidR="00F305E9" w:rsidRPr="00EF2F18">
        <w:rPr>
          <w:rFonts w:cs="Times New Roman"/>
          <w:sz w:val="22"/>
          <w:shd w:val="clear" w:color="auto" w:fill="FFFFFF"/>
          <w:lang w:val="sr-Cyrl-RS"/>
        </w:rPr>
        <w:t xml:space="preserve">ој </w:t>
      </w:r>
      <w:r w:rsidR="00A50B49" w:rsidRPr="00EF2F18">
        <w:rPr>
          <w:rFonts w:cs="Times New Roman"/>
          <w:sz w:val="22"/>
          <w:shd w:val="clear" w:color="auto" w:fill="FFFFFF"/>
          <w:lang w:val="sr-Cyrl-RS"/>
        </w:rPr>
        <w:t>23/25)</w:t>
      </w:r>
      <w:r w:rsidRPr="00EF2F18">
        <w:rPr>
          <w:rFonts w:cs="Times New Roman"/>
          <w:sz w:val="22"/>
          <w:shd w:val="clear" w:color="auto" w:fill="FFFFFF"/>
          <w:lang w:val="sr-Cyrl-RS"/>
        </w:rPr>
        <w:t xml:space="preserve">. </w:t>
      </w:r>
      <w:r w:rsidR="00B80C79" w:rsidRPr="00EF2F18">
        <w:rPr>
          <w:rFonts w:cs="Times New Roman"/>
          <w:sz w:val="22"/>
          <w:shd w:val="clear" w:color="auto" w:fill="FFFFFF"/>
          <w:lang w:val="sr-Cyrl-RS"/>
        </w:rPr>
        <w:t>Ова средства додељује Министарство пољопривреде, шумарства и водопривреде</w:t>
      </w:r>
      <w:r w:rsidR="0002587C" w:rsidRPr="00EF2F18">
        <w:rPr>
          <w:rFonts w:cs="Times New Roman"/>
          <w:sz w:val="22"/>
          <w:shd w:val="clear" w:color="auto" w:fill="FFFFFF"/>
          <w:lang w:val="sr-Cyrl-RS"/>
        </w:rPr>
        <w:t xml:space="preserve"> на подручју централне Србије, док је надлежност за додељивање средстава на нивоу АП Војвод</w:t>
      </w:r>
      <w:r w:rsidR="00CB5CE8" w:rsidRPr="00EF2F18">
        <w:rPr>
          <w:rFonts w:cs="Times New Roman"/>
          <w:sz w:val="22"/>
          <w:shd w:val="clear" w:color="auto" w:fill="FFFFFF"/>
          <w:lang w:val="sr-Cyrl-RS"/>
        </w:rPr>
        <w:t>и</w:t>
      </w:r>
      <w:r w:rsidR="0002587C" w:rsidRPr="00EF2F18">
        <w:rPr>
          <w:rFonts w:cs="Times New Roman"/>
          <w:sz w:val="22"/>
          <w:shd w:val="clear" w:color="auto" w:fill="FFFFFF"/>
          <w:lang w:val="sr-Cyrl-RS"/>
        </w:rPr>
        <w:t>на на покрајинским органима</w:t>
      </w:r>
      <w:r w:rsidR="00B80C79" w:rsidRPr="00EF2F18">
        <w:rPr>
          <w:rFonts w:cs="Times New Roman"/>
          <w:sz w:val="22"/>
          <w:shd w:val="clear" w:color="auto" w:fill="FFFFFF"/>
          <w:lang w:val="sr-Cyrl-RS"/>
        </w:rPr>
        <w:t>.</w:t>
      </w:r>
    </w:p>
    <w:p w14:paraId="797C98BD" w14:textId="0CA82C35" w:rsidR="00235BB9" w:rsidRPr="00EF2F18" w:rsidRDefault="00235BB9" w:rsidP="00235BB9">
      <w:pPr>
        <w:spacing w:after="0"/>
        <w:ind w:firstLine="720"/>
        <w:jc w:val="both"/>
        <w:rPr>
          <w:rFonts w:cs="Times New Roman"/>
          <w:sz w:val="22"/>
          <w:shd w:val="clear" w:color="auto" w:fill="FFFFFF"/>
          <w:lang w:val="sr-Cyrl-RS"/>
        </w:rPr>
      </w:pPr>
      <w:r w:rsidRPr="00EF2F18">
        <w:rPr>
          <w:rFonts w:cs="Times New Roman"/>
          <w:sz w:val="22"/>
          <w:shd w:val="clear" w:color="auto" w:fill="FFFFFF"/>
          <w:lang w:val="sr-Cyrl-RS"/>
        </w:rPr>
        <w:t>Од 2021. године Министарство заштите животне средине сваке године објављује јавни конкурс за локалне самоуправе за доделу средстава за пошумљавање у циљу заштите и очувања предеоног диверзитета</w:t>
      </w:r>
      <w:r w:rsidR="00A50B49" w:rsidRPr="00EF2F18">
        <w:rPr>
          <w:rFonts w:cs="Times New Roman"/>
          <w:sz w:val="22"/>
          <w:shd w:val="clear" w:color="auto" w:fill="FFFFFF"/>
          <w:lang w:val="sr-Cyrl-RS"/>
        </w:rPr>
        <w:t>, на земљишту које по намени није шумско</w:t>
      </w:r>
      <w:r w:rsidRPr="00EF2F18">
        <w:rPr>
          <w:rFonts w:cs="Times New Roman"/>
          <w:sz w:val="22"/>
          <w:shd w:val="clear" w:color="auto" w:fill="FFFFFF"/>
          <w:lang w:val="sr-Cyrl-RS"/>
        </w:rPr>
        <w:t>.</w:t>
      </w:r>
    </w:p>
    <w:p w14:paraId="4E1E54B0" w14:textId="4CBFE256" w:rsidR="00F47C32" w:rsidRPr="00EF2F18" w:rsidRDefault="00F47C32" w:rsidP="00F47C32">
      <w:pPr>
        <w:spacing w:after="0"/>
        <w:ind w:firstLine="720"/>
        <w:jc w:val="both"/>
        <w:rPr>
          <w:rFonts w:cs="Times New Roman"/>
          <w:sz w:val="22"/>
          <w:lang w:val="sr-Cyrl-RS"/>
        </w:rPr>
      </w:pPr>
      <w:r w:rsidRPr="00EF2F18">
        <w:rPr>
          <w:rFonts w:cs="Times New Roman"/>
          <w:sz w:val="22"/>
          <w:lang w:val="sr-Cyrl-RS"/>
        </w:rPr>
        <w:t xml:space="preserve">Законодавни оквир шумарске политике у Републици Србији чине, пре свега, Закон о шумама </w:t>
      </w:r>
      <w:bookmarkStart w:id="67" w:name="_Hlk158935954"/>
      <w:r w:rsidRPr="00EF2F18">
        <w:rPr>
          <w:rFonts w:cs="Times New Roman"/>
          <w:sz w:val="22"/>
          <w:lang w:val="sr-Cyrl-RS"/>
        </w:rPr>
        <w:t>(„Службени гласник РС”, бр. 30/10, 93/12, 89/15 и 95/18</w:t>
      </w:r>
      <w:r w:rsidR="00255910" w:rsidRPr="00EF2F18">
        <w:rPr>
          <w:rFonts w:cs="Times New Roman"/>
          <w:sz w:val="22"/>
          <w:lang w:val="sr-Cyrl-RS"/>
        </w:rPr>
        <w:t xml:space="preserve"> – </w:t>
      </w:r>
      <w:r w:rsidR="00A50B49" w:rsidRPr="00EF2F18">
        <w:rPr>
          <w:rFonts w:cs="Times New Roman"/>
          <w:sz w:val="22"/>
          <w:lang w:val="sr-Cyrl-RS"/>
        </w:rPr>
        <w:t>др. закон</w:t>
      </w:r>
      <w:r w:rsidRPr="00EF2F18">
        <w:rPr>
          <w:rFonts w:cs="Times New Roman"/>
          <w:sz w:val="22"/>
          <w:lang w:val="sr-Cyrl-RS"/>
        </w:rPr>
        <w:t>)</w:t>
      </w:r>
      <w:bookmarkEnd w:id="67"/>
      <w:r w:rsidRPr="00EF2F18">
        <w:rPr>
          <w:rFonts w:cs="Times New Roman"/>
          <w:sz w:val="22"/>
          <w:lang w:val="sr-Cyrl-RS"/>
        </w:rPr>
        <w:t>, Закон о репродуктивном материјалу шумског дрвећа („Службени гласник РС”, бр. 135/04, 8/05</w:t>
      </w:r>
      <w:r w:rsidR="00A50B49" w:rsidRPr="00EF2F18">
        <w:rPr>
          <w:rFonts w:cs="Times New Roman"/>
          <w:sz w:val="22"/>
          <w:lang w:val="sr-Cyrl-RS"/>
        </w:rPr>
        <w:t>,</w:t>
      </w:r>
      <w:r w:rsidRPr="00EF2F18">
        <w:rPr>
          <w:rFonts w:cs="Times New Roman"/>
          <w:sz w:val="22"/>
          <w:lang w:val="sr-Cyrl-RS"/>
        </w:rPr>
        <w:t>41/09</w:t>
      </w:r>
      <w:r w:rsidR="00A50B49" w:rsidRPr="00EF2F18">
        <w:rPr>
          <w:rFonts w:cs="Times New Roman"/>
          <w:sz w:val="22"/>
          <w:lang w:val="sr-Cyrl-RS"/>
        </w:rPr>
        <w:t xml:space="preserve"> и 19/25</w:t>
      </w:r>
      <w:r w:rsidRPr="00EF2F18">
        <w:rPr>
          <w:rFonts w:cs="Times New Roman"/>
          <w:sz w:val="22"/>
          <w:lang w:val="sr-Cyrl-RS"/>
        </w:rPr>
        <w:t>).</w:t>
      </w:r>
    </w:p>
    <w:p w14:paraId="62DC3831" w14:textId="77777777" w:rsidR="00AB4CDA" w:rsidRPr="00EF2F18" w:rsidRDefault="00AB4CDA" w:rsidP="00985E96">
      <w:pPr>
        <w:spacing w:after="0"/>
        <w:ind w:firstLine="720"/>
        <w:jc w:val="both"/>
        <w:rPr>
          <w:rFonts w:cs="Times New Roman"/>
          <w:sz w:val="22"/>
          <w:lang w:val="sr-Cyrl-RS"/>
        </w:rPr>
      </w:pPr>
    </w:p>
    <w:p w14:paraId="6926912D" w14:textId="77777777" w:rsidR="00B35169" w:rsidRPr="00EF2F18" w:rsidRDefault="00B35169" w:rsidP="00F106C9">
      <w:pPr>
        <w:pStyle w:val="Heading3"/>
        <w:numPr>
          <w:ilvl w:val="2"/>
          <w:numId w:val="2"/>
        </w:numPr>
        <w:jc w:val="center"/>
        <w:rPr>
          <w:rFonts w:cs="Times New Roman"/>
          <w:sz w:val="22"/>
          <w:szCs w:val="22"/>
          <w:lang w:val="sr-Cyrl-RS"/>
        </w:rPr>
      </w:pPr>
      <w:bookmarkStart w:id="68" w:name="_Toc158307713"/>
      <w:r w:rsidRPr="00EF2F18">
        <w:rPr>
          <w:rFonts w:cs="Times New Roman"/>
          <w:sz w:val="22"/>
          <w:szCs w:val="22"/>
          <w:lang w:val="sr-Cyrl-RS"/>
        </w:rPr>
        <w:t>Шумарство, ловство, рибарство</w:t>
      </w:r>
      <w:bookmarkEnd w:id="68"/>
    </w:p>
    <w:p w14:paraId="753879DC" w14:textId="5CAB2769" w:rsidR="00F00EDB" w:rsidRPr="00EF2F18" w:rsidRDefault="00F00EDB" w:rsidP="00F106C9">
      <w:pPr>
        <w:autoSpaceDE w:val="0"/>
        <w:autoSpaceDN w:val="0"/>
        <w:adjustRightInd w:val="0"/>
        <w:spacing w:after="0"/>
        <w:ind w:firstLine="720"/>
        <w:jc w:val="both"/>
        <w:rPr>
          <w:rFonts w:cs="Times New Roman"/>
          <w:b/>
          <w:bCs/>
          <w:i/>
          <w:iCs/>
          <w:sz w:val="22"/>
          <w:lang w:val="sr-Cyrl-RS"/>
        </w:rPr>
      </w:pPr>
      <w:r w:rsidRPr="00EF2F18">
        <w:rPr>
          <w:rFonts w:cs="Times New Roman"/>
          <w:b/>
          <w:bCs/>
          <w:i/>
          <w:iCs/>
          <w:sz w:val="22"/>
          <w:lang w:val="sr-Cyrl-RS"/>
        </w:rPr>
        <w:t>Шумарство</w:t>
      </w:r>
    </w:p>
    <w:p w14:paraId="552F3C33" w14:textId="45E670E1" w:rsidR="00313318" w:rsidRPr="00EF2F18" w:rsidRDefault="00BC0F0A" w:rsidP="00313318">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Шуме у државном власништву </w:t>
      </w:r>
      <w:r w:rsidR="00313302" w:rsidRPr="00EF2F18">
        <w:rPr>
          <w:rFonts w:cs="Times New Roman"/>
          <w:sz w:val="22"/>
          <w:lang w:val="sr-Cyrl-RS"/>
        </w:rPr>
        <w:t xml:space="preserve">заступљене су са </w:t>
      </w:r>
      <w:r w:rsidRPr="00EF2F18">
        <w:rPr>
          <w:rFonts w:cs="Times New Roman"/>
          <w:sz w:val="22"/>
          <w:lang w:val="sr-Cyrl-RS"/>
        </w:rPr>
        <w:t>41</w:t>
      </w:r>
      <w:r w:rsidR="00D9615A" w:rsidRPr="00EF2F18">
        <w:rPr>
          <w:rFonts w:cs="Times New Roman"/>
          <w:sz w:val="22"/>
          <w:lang w:val="sr-Cyrl-RS"/>
        </w:rPr>
        <w:t>,</w:t>
      </w:r>
      <w:r w:rsidRPr="00EF2F18">
        <w:rPr>
          <w:rFonts w:cs="Times New Roman"/>
          <w:sz w:val="22"/>
          <w:lang w:val="sr-Cyrl-RS"/>
        </w:rPr>
        <w:t>73%, а шуме сопственика 58,27%</w:t>
      </w:r>
      <w:r w:rsidR="006C2E00" w:rsidRPr="00EF2F18">
        <w:rPr>
          <w:rFonts w:cs="Times New Roman"/>
          <w:sz w:val="22"/>
          <w:lang w:val="sr-Cyrl-RS"/>
        </w:rPr>
        <w:t xml:space="preserve"> </w:t>
      </w:r>
      <w:r w:rsidR="00313302" w:rsidRPr="00EF2F18">
        <w:rPr>
          <w:rFonts w:cs="Times New Roman"/>
          <w:sz w:val="22"/>
          <w:lang w:val="sr-Cyrl-RS"/>
        </w:rPr>
        <w:t xml:space="preserve">у односу на укупну површину шума у Републици Србији </w:t>
      </w:r>
      <w:r w:rsidRPr="00EF2F18">
        <w:rPr>
          <w:rFonts w:cs="Times New Roman"/>
          <w:sz w:val="22"/>
          <w:lang w:val="sr-Cyrl-RS"/>
        </w:rPr>
        <w:t>(</w:t>
      </w:r>
      <w:hyperlink r:id="rId50" w:history="1">
        <w:r w:rsidR="00866ADB" w:rsidRPr="00EF2F18">
          <w:rPr>
            <w:rStyle w:val="Hyperlink"/>
            <w:rFonts w:cs="Times New Roman"/>
            <w:sz w:val="22"/>
            <w:lang w:val="sr-Cyrl-RS"/>
          </w:rPr>
          <w:t>https://www.upravazasume.gov.rs</w:t>
        </w:r>
      </w:hyperlink>
      <w:r w:rsidR="00866ADB" w:rsidRPr="00EF2F18">
        <w:rPr>
          <w:rFonts w:cs="Times New Roman"/>
          <w:sz w:val="22"/>
          <w:lang w:val="sr-Cyrl-RS"/>
        </w:rPr>
        <w:t xml:space="preserve"> </w:t>
      </w:r>
      <w:r w:rsidRPr="00EF2F18">
        <w:rPr>
          <w:rFonts w:cs="Times New Roman"/>
          <w:sz w:val="22"/>
          <w:lang w:val="sr-Cyrl-RS"/>
        </w:rPr>
        <w:t xml:space="preserve">- Резултати националне инвентуре шума). Законом о шумама дефинисано је газдовање и државним и шумама сопственика. </w:t>
      </w:r>
      <w:r w:rsidR="006704B4" w:rsidRPr="00EF2F18">
        <w:rPr>
          <w:rFonts w:cs="Times New Roman"/>
          <w:sz w:val="22"/>
          <w:lang w:val="sr-Cyrl-RS"/>
        </w:rPr>
        <w:t>Г</w:t>
      </w:r>
      <w:r w:rsidRPr="00EF2F18">
        <w:rPr>
          <w:rFonts w:cs="Times New Roman"/>
          <w:sz w:val="22"/>
          <w:lang w:val="sr-Cyrl-RS"/>
        </w:rPr>
        <w:t xml:space="preserve">аздовање шумама у државним шумама организованије </w:t>
      </w:r>
      <w:r w:rsidR="006704B4" w:rsidRPr="00EF2F18">
        <w:rPr>
          <w:rFonts w:cs="Times New Roman"/>
          <w:sz w:val="22"/>
          <w:lang w:val="sr-Cyrl-RS"/>
        </w:rPr>
        <w:t xml:space="preserve">је </w:t>
      </w:r>
      <w:r w:rsidRPr="00EF2F18">
        <w:rPr>
          <w:rFonts w:cs="Times New Roman"/>
          <w:sz w:val="22"/>
          <w:lang w:val="sr-Cyrl-RS"/>
        </w:rPr>
        <w:t>у односу на шуме сопственика, чији су власници физичка лица. Разлог за то је што су шуме сопственика малих-уситњених поседа, што има велики број власника и отежава организовано газдовање шумама</w:t>
      </w:r>
      <w:r w:rsidR="00313318" w:rsidRPr="00EF2F18">
        <w:rPr>
          <w:rFonts w:cs="Times New Roman"/>
          <w:sz w:val="22"/>
          <w:lang w:val="sr-Cyrl-RS"/>
        </w:rPr>
        <w:t>.</w:t>
      </w:r>
      <w:r w:rsidR="0002587C" w:rsidRPr="00EF2F18">
        <w:rPr>
          <w:rFonts w:cs="Times New Roman"/>
          <w:sz w:val="22"/>
          <w:lang w:val="sr-Cyrl-RS"/>
        </w:rPr>
        <w:t xml:space="preserve"> Газдовање шумама у својини правних лица врши се на идентичан начин као у државним шумама.</w:t>
      </w:r>
    </w:p>
    <w:p w14:paraId="7149CE78" w14:textId="44A0D114" w:rsidR="001D0D4C" w:rsidRPr="00EF2F18" w:rsidRDefault="005125AA" w:rsidP="001D0D4C">
      <w:pPr>
        <w:autoSpaceDE w:val="0"/>
        <w:autoSpaceDN w:val="0"/>
        <w:adjustRightInd w:val="0"/>
        <w:spacing w:after="0"/>
        <w:ind w:firstLine="720"/>
        <w:jc w:val="both"/>
        <w:rPr>
          <w:sz w:val="22"/>
          <w:lang w:val="sr-Cyrl-RS"/>
        </w:rPr>
      </w:pPr>
      <w:r w:rsidRPr="00EF2F18">
        <w:rPr>
          <w:sz w:val="22"/>
          <w:lang w:val="sr-Cyrl-RS"/>
        </w:rPr>
        <w:t>Републички завод за статистику</w:t>
      </w:r>
      <w:r w:rsidR="001D0D4C" w:rsidRPr="00EF2F18">
        <w:rPr>
          <w:sz w:val="22"/>
          <w:lang w:val="sr-Cyrl-RS"/>
        </w:rPr>
        <w:t xml:space="preserve"> </w:t>
      </w:r>
      <w:r w:rsidR="00A53016" w:rsidRPr="00EF2F18">
        <w:rPr>
          <w:rFonts w:cs="Times New Roman"/>
          <w:bCs/>
          <w:sz w:val="22"/>
          <w:lang w:val="sr-Cyrl-RS"/>
        </w:rPr>
        <w:t>Србије</w:t>
      </w:r>
      <w:r w:rsidR="00A53016" w:rsidRPr="00EF2F18">
        <w:rPr>
          <w:sz w:val="22"/>
          <w:lang w:val="sr-Cyrl-RS"/>
        </w:rPr>
        <w:t xml:space="preserve"> </w:t>
      </w:r>
      <w:r w:rsidR="001D0D4C" w:rsidRPr="00EF2F18">
        <w:rPr>
          <w:sz w:val="22"/>
          <w:lang w:val="sr-Cyrl-RS"/>
        </w:rPr>
        <w:t xml:space="preserve">прати економски допринос шумарства обједињено са пољопривредом и ловством, али према проценама директан економски допринос шумарства БДП-у 2015. године је износио 0,24%, односно 2,6% заједно са доприносом </w:t>
      </w:r>
      <w:r w:rsidR="006704B4" w:rsidRPr="00EF2F18">
        <w:rPr>
          <w:sz w:val="22"/>
          <w:lang w:val="sr-Cyrl-RS"/>
        </w:rPr>
        <w:t xml:space="preserve">дрвне </w:t>
      </w:r>
      <w:r w:rsidR="001D0D4C" w:rsidRPr="00EF2F18">
        <w:rPr>
          <w:sz w:val="22"/>
          <w:lang w:val="sr-Cyrl-RS"/>
        </w:rPr>
        <w:t>индустрије. Ова процена не узима у обзир кључну улогу шума за очување земљишта, снабдевање водом, складиштење угљеника, станиште дивљих животиња и одржавање изузетног биодиверзитета земље, нити за блиску сарадњу шумарства с другим секторима као што су пољопривреда и туризам.</w:t>
      </w:r>
    </w:p>
    <w:p w14:paraId="3782CE33" w14:textId="476302F1" w:rsidR="001D0D4C" w:rsidRPr="00EF2F18" w:rsidRDefault="001D0D4C" w:rsidP="001D0D4C">
      <w:pPr>
        <w:autoSpaceDE w:val="0"/>
        <w:autoSpaceDN w:val="0"/>
        <w:adjustRightInd w:val="0"/>
        <w:spacing w:after="0"/>
        <w:ind w:firstLine="720"/>
        <w:jc w:val="both"/>
        <w:rPr>
          <w:sz w:val="22"/>
          <w:lang w:val="sr-Cyrl-RS"/>
        </w:rPr>
      </w:pPr>
      <w:r w:rsidRPr="00EF2F18">
        <w:rPr>
          <w:sz w:val="22"/>
          <w:lang w:val="sr-Cyrl-RS"/>
        </w:rPr>
        <w:t xml:space="preserve">Шумарство је поред пољопривреде један од најугроженијих сектора услед климатских промена, док је са друге стране шумарство један од природних ресурса који складишти угљен-диоксид из атмосфере. У претходном периоду утицај угрожавања шума од фактора биотичког порекла (болести и штеточине) и абиотичког порекла (шумски пожари, загађеност шума и земљишта, промене нивоа подземних вода, сушење шума) се повећао. Током </w:t>
      </w:r>
      <w:r w:rsidR="00FE408D" w:rsidRPr="00EF2F18">
        <w:rPr>
          <w:sz w:val="22"/>
          <w:lang w:val="sr-Cyrl-RS"/>
        </w:rPr>
        <w:t>2023</w:t>
      </w:r>
      <w:r w:rsidRPr="00EF2F18">
        <w:rPr>
          <w:sz w:val="22"/>
          <w:lang w:val="sr-Cyrl-RS"/>
        </w:rPr>
        <w:t xml:space="preserve">. године повећан је интензитет штете од елементарних непогода у државним шумама за око </w:t>
      </w:r>
      <w:r w:rsidR="00FE408D" w:rsidRPr="00EF2F18">
        <w:rPr>
          <w:sz w:val="22"/>
          <w:lang w:val="sr-Cyrl-RS"/>
        </w:rPr>
        <w:t>100</w:t>
      </w:r>
      <w:r w:rsidRPr="00EF2F18">
        <w:rPr>
          <w:sz w:val="22"/>
          <w:lang w:val="sr-Cyrl-RS"/>
        </w:rPr>
        <w:t xml:space="preserve">% у односу на претходну годину. Око </w:t>
      </w:r>
      <w:r w:rsidR="00FE408D" w:rsidRPr="00EF2F18">
        <w:rPr>
          <w:sz w:val="22"/>
          <w:lang w:val="sr-Cyrl-RS"/>
        </w:rPr>
        <w:t>24</w:t>
      </w:r>
      <w:r w:rsidRPr="00EF2F18">
        <w:rPr>
          <w:sz w:val="22"/>
          <w:lang w:val="sr-Cyrl-RS"/>
        </w:rPr>
        <w:t xml:space="preserve">.000 </w:t>
      </w:r>
      <w:r w:rsidR="00866ADB" w:rsidRPr="00EF2F18">
        <w:rPr>
          <w:sz w:val="22"/>
          <w:lang w:val="sr-Cyrl-RS"/>
        </w:rPr>
        <w:t>m</w:t>
      </w:r>
      <w:r w:rsidR="00866ADB" w:rsidRPr="00EF2F18">
        <w:rPr>
          <w:sz w:val="22"/>
          <w:vertAlign w:val="superscript"/>
          <w:lang w:val="sr-Cyrl-RS"/>
        </w:rPr>
        <w:t>3</w:t>
      </w:r>
      <w:r w:rsidRPr="00EF2F18">
        <w:rPr>
          <w:sz w:val="22"/>
          <w:lang w:val="sr-Cyrl-RS"/>
        </w:rPr>
        <w:t xml:space="preserve"> дрвета је бесправно посечено из државних шума</w:t>
      </w:r>
      <w:r w:rsidR="00313302" w:rsidRPr="00EF2F18">
        <w:rPr>
          <w:sz w:val="22"/>
          <w:lang w:val="sr-Cyrl-RS"/>
        </w:rPr>
        <w:t xml:space="preserve"> (</w:t>
      </w:r>
      <w:r w:rsidR="00931290" w:rsidRPr="00EF2F18">
        <w:rPr>
          <w:sz w:val="22"/>
          <w:lang w:val="sr-Cyrl-RS"/>
        </w:rPr>
        <w:t>Извештају о стању животне средине у Републици Србији за 2024.</w:t>
      </w:r>
      <w:r w:rsidR="008403D2" w:rsidRPr="00EF2F18">
        <w:rPr>
          <w:sz w:val="22"/>
          <w:lang w:val="sr-Cyrl-RS"/>
        </w:rPr>
        <w:t xml:space="preserve">, </w:t>
      </w:r>
      <w:r w:rsidR="00313302" w:rsidRPr="00EF2F18">
        <w:rPr>
          <w:iCs/>
          <w:sz w:val="22"/>
          <w:lang w:val="sr-Cyrl-RS"/>
        </w:rPr>
        <w:t>Агенција за заштиту животне средине, 202</w:t>
      </w:r>
      <w:r w:rsidR="00931290" w:rsidRPr="00EF2F18">
        <w:rPr>
          <w:iCs/>
          <w:sz w:val="22"/>
          <w:lang w:val="sr-Cyrl-RS"/>
        </w:rPr>
        <w:t>5</w:t>
      </w:r>
      <w:r w:rsidR="00313302" w:rsidRPr="00EF2F18">
        <w:rPr>
          <w:iCs/>
          <w:sz w:val="22"/>
          <w:lang w:val="sr-Cyrl-RS"/>
        </w:rPr>
        <w:t>.)</w:t>
      </w:r>
      <w:r w:rsidRPr="00EF2F18">
        <w:rPr>
          <w:iCs/>
          <w:sz w:val="22"/>
          <w:lang w:val="sr-Cyrl-RS"/>
        </w:rPr>
        <w:t>.</w:t>
      </w:r>
      <w:r w:rsidR="007E648C" w:rsidRPr="00EF2F18">
        <w:rPr>
          <w:sz w:val="22"/>
          <w:lang w:val="sr-Cyrl-RS"/>
        </w:rPr>
        <w:t xml:space="preserve"> </w:t>
      </w:r>
      <w:r w:rsidRPr="00EF2F18">
        <w:rPr>
          <w:sz w:val="22"/>
          <w:lang w:val="sr-Cyrl-RS"/>
        </w:rPr>
        <w:t xml:space="preserve">Штета изазвана инсектима </w:t>
      </w:r>
      <w:r w:rsidR="00FE408D" w:rsidRPr="00EF2F18">
        <w:rPr>
          <w:sz w:val="22"/>
          <w:lang w:val="sr-Cyrl-RS"/>
        </w:rPr>
        <w:t>незнатно је смањена</w:t>
      </w:r>
      <w:r w:rsidRPr="00EF2F18">
        <w:rPr>
          <w:sz w:val="22"/>
          <w:lang w:val="sr-Cyrl-RS"/>
        </w:rPr>
        <w:t xml:space="preserve">. Присутна је све више </w:t>
      </w:r>
      <w:r w:rsidRPr="00EF2F18">
        <w:rPr>
          <w:sz w:val="22"/>
          <w:lang w:val="sr-Cyrl-RS"/>
        </w:rPr>
        <w:lastRenderedPageBreak/>
        <w:t>пренамена шумског земљишта, уз крчење шума за потребе развоја туризма, посебно у планинским туристичким центрима, што је довело до значајних фрагментација екосистема и последично до умањења генетичке разноврсности услед смањене размене гена, док се са друге стране у руралним деловима Србије шумовитост повећава услед миграције становништва и напуштања екстензивне пољопривредне производње.</w:t>
      </w:r>
      <w:r w:rsidR="00B72C7F" w:rsidRPr="00EF2F18">
        <w:rPr>
          <w:sz w:val="22"/>
          <w:lang w:val="sr-Cyrl-RS"/>
        </w:rPr>
        <w:t xml:space="preserve"> Са друге стране значајне</w:t>
      </w:r>
      <w:r w:rsidR="00765E78">
        <w:rPr>
          <w:sz w:val="22"/>
          <w:lang w:val="sr-Cyrl-RS"/>
        </w:rPr>
        <w:t xml:space="preserve"> површине, које се у смислу члана</w:t>
      </w:r>
      <w:r w:rsidR="00B72C7F" w:rsidRPr="00EF2F18">
        <w:rPr>
          <w:sz w:val="22"/>
          <w:lang w:val="sr-Cyrl-RS"/>
        </w:rPr>
        <w:t xml:space="preserve"> 5. Закона о шумама </w:t>
      </w:r>
      <w:r w:rsidR="00765E78">
        <w:rPr>
          <w:bCs/>
          <w:noProof/>
          <w:color w:val="000000"/>
          <w:sz w:val="22"/>
          <w:lang w:val="ru-RU"/>
        </w:rPr>
        <w:t>(„Службени гласник PC”,</w:t>
      </w:r>
      <w:r w:rsidR="00765E78">
        <w:rPr>
          <w:sz w:val="22"/>
          <w:lang w:val="sr-Cyrl-RS"/>
        </w:rPr>
        <w:t xml:space="preserve"> бр. 30/10, 93/12, 89/15 и 95/</w:t>
      </w:r>
      <w:r w:rsidR="00B72C7F" w:rsidRPr="00EF2F18">
        <w:rPr>
          <w:sz w:val="22"/>
          <w:lang w:val="sr-Cyrl-RS"/>
        </w:rPr>
        <w:t>18 – др</w:t>
      </w:r>
      <w:r w:rsidR="00765E78">
        <w:rPr>
          <w:sz w:val="22"/>
          <w:lang w:val="sr-Cyrl-RS"/>
        </w:rPr>
        <w:t>.</w:t>
      </w:r>
      <w:r w:rsidR="00B72C7F" w:rsidRPr="00EF2F18">
        <w:rPr>
          <w:sz w:val="22"/>
          <w:lang w:val="sr-Cyrl-RS"/>
        </w:rPr>
        <w:t xml:space="preserve"> закон), још увек сматрају шумом, п</w:t>
      </w:r>
      <w:r w:rsidR="00765E78">
        <w:rPr>
          <w:sz w:val="22"/>
          <w:lang w:val="sr-Cyrl-RS"/>
        </w:rPr>
        <w:t>редстављају „привремене шуме</w:t>
      </w:r>
      <w:r w:rsidR="00765E78" w:rsidRPr="00765E78">
        <w:rPr>
          <w:bCs/>
          <w:sz w:val="22"/>
          <w:lang w:val="sr-Cyrl-CS"/>
        </w:rPr>
        <w:t>”</w:t>
      </w:r>
      <w:r w:rsidR="00765E78">
        <w:rPr>
          <w:sz w:val="22"/>
          <w:lang w:val="sr-Cyrl-RS"/>
        </w:rPr>
        <w:t xml:space="preserve"> т</w:t>
      </w:r>
      <w:r w:rsidR="00B72C7F" w:rsidRPr="00EF2F18">
        <w:rPr>
          <w:sz w:val="22"/>
          <w:lang w:val="sr-Cyrl-RS"/>
        </w:rPr>
        <w:t>ј. само до привођења намени у складу са чл</w:t>
      </w:r>
      <w:r w:rsidR="00765E78">
        <w:rPr>
          <w:sz w:val="22"/>
          <w:lang w:val="sr-Cyrl-RS"/>
        </w:rPr>
        <w:t>аном</w:t>
      </w:r>
      <w:r w:rsidR="00B72C7F" w:rsidRPr="00EF2F18">
        <w:rPr>
          <w:sz w:val="22"/>
          <w:lang w:val="sr-Cyrl-RS"/>
        </w:rPr>
        <w:t xml:space="preserve"> 10. Зако</w:t>
      </w:r>
      <w:r w:rsidR="00E07C37" w:rsidRPr="00EF2F18">
        <w:rPr>
          <w:sz w:val="22"/>
          <w:lang w:val="sr-Cyrl-RS"/>
        </w:rPr>
        <w:t>на о шумама.</w:t>
      </w:r>
      <w:r w:rsidR="00FE408D" w:rsidRPr="00EF2F18">
        <w:rPr>
          <w:sz w:val="22"/>
          <w:lang w:val="sr-Cyrl-RS"/>
        </w:rPr>
        <w:t xml:space="preserve"> </w:t>
      </w:r>
      <w:r w:rsidRPr="00EF2F18">
        <w:rPr>
          <w:sz w:val="22"/>
          <w:lang w:val="sr-Cyrl-RS"/>
        </w:rPr>
        <w:t>Смањење и испрекиданост природних популација доводи и до поремећаја унутар самог екосистема, као и односа између врста.</w:t>
      </w:r>
    </w:p>
    <w:p w14:paraId="5671E72A" w14:textId="77777777" w:rsidR="001D0D4C" w:rsidRPr="00EF2F18" w:rsidRDefault="001D0D4C" w:rsidP="001D0D4C">
      <w:pPr>
        <w:autoSpaceDE w:val="0"/>
        <w:autoSpaceDN w:val="0"/>
        <w:adjustRightInd w:val="0"/>
        <w:spacing w:after="0"/>
        <w:ind w:firstLine="720"/>
        <w:jc w:val="both"/>
        <w:rPr>
          <w:sz w:val="22"/>
          <w:lang w:val="sr-Cyrl-RS"/>
        </w:rPr>
      </w:pPr>
    </w:p>
    <w:p w14:paraId="6ABE14BD" w14:textId="52815DE4" w:rsidR="001D0D4C" w:rsidRPr="00EF2F18" w:rsidRDefault="00FE408D" w:rsidP="001D0D4C">
      <w:pPr>
        <w:autoSpaceDE w:val="0"/>
        <w:autoSpaceDN w:val="0"/>
        <w:adjustRightInd w:val="0"/>
        <w:spacing w:after="0"/>
        <w:jc w:val="center"/>
        <w:rPr>
          <w:sz w:val="22"/>
          <w:lang w:val="sr-Cyrl-RS"/>
        </w:rPr>
      </w:pPr>
      <w:r w:rsidRPr="00EF2F18">
        <w:rPr>
          <w:noProof/>
          <w:lang w:val="sr-Cyrl-RS" w:eastAsia="sr-Cyrl-RS"/>
        </w:rPr>
        <w:drawing>
          <wp:inline distT="0" distB="0" distL="0" distR="0" wp14:anchorId="4CA33266" wp14:editId="71285490">
            <wp:extent cx="4486275" cy="2131178"/>
            <wp:effectExtent l="0" t="0" r="0" b="2540"/>
            <wp:docPr id="2069457419" name="Picture 1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57419" name="Picture 17" descr="A graph with numbers and lines&#10;&#10;AI-generated content may b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93441" cy="2134582"/>
                    </a:xfrm>
                    <a:prstGeom prst="rect">
                      <a:avLst/>
                    </a:prstGeom>
                    <a:noFill/>
                    <a:ln>
                      <a:noFill/>
                    </a:ln>
                  </pic:spPr>
                </pic:pic>
              </a:graphicData>
            </a:graphic>
          </wp:inline>
        </w:drawing>
      </w:r>
    </w:p>
    <w:p w14:paraId="192E98BD" w14:textId="6580E7AC" w:rsidR="001D0D4C" w:rsidRPr="00EF2F18" w:rsidRDefault="001D0D4C" w:rsidP="001D0D4C">
      <w:pPr>
        <w:autoSpaceDE w:val="0"/>
        <w:autoSpaceDN w:val="0"/>
        <w:adjustRightInd w:val="0"/>
        <w:spacing w:after="0"/>
        <w:jc w:val="both"/>
        <w:rPr>
          <w:sz w:val="22"/>
          <w:lang w:val="sr-Cyrl-RS"/>
        </w:rPr>
      </w:pPr>
      <w:r w:rsidRPr="00EF2F18">
        <w:rPr>
          <w:b/>
          <w:bCs/>
          <w:sz w:val="22"/>
          <w:lang w:val="sr-Cyrl-RS"/>
        </w:rPr>
        <w:t>Слика 3.</w:t>
      </w:r>
      <w:r w:rsidR="00DE003D" w:rsidRPr="00EF2F18">
        <w:rPr>
          <w:b/>
          <w:bCs/>
          <w:sz w:val="22"/>
          <w:lang w:val="sr-Cyrl-RS"/>
        </w:rPr>
        <w:t>32</w:t>
      </w:r>
      <w:r w:rsidRPr="00EF2F18">
        <w:rPr>
          <w:b/>
          <w:bCs/>
          <w:sz w:val="22"/>
          <w:lang w:val="sr-Cyrl-RS"/>
        </w:rPr>
        <w:t>.</w:t>
      </w:r>
      <w:r w:rsidRPr="00EF2F18">
        <w:rPr>
          <w:sz w:val="22"/>
          <w:lang w:val="sr-Cyrl-RS"/>
        </w:rPr>
        <w:t xml:space="preserve"> Штета у државним шумама према агенсима</w:t>
      </w:r>
    </w:p>
    <w:p w14:paraId="2BA64ABA" w14:textId="1D449331" w:rsidR="001D0D4C" w:rsidRPr="00EF2F18" w:rsidRDefault="001D0D4C" w:rsidP="001D0D4C">
      <w:pPr>
        <w:autoSpaceDE w:val="0"/>
        <w:autoSpaceDN w:val="0"/>
        <w:adjustRightInd w:val="0"/>
        <w:spacing w:after="0"/>
        <w:jc w:val="both"/>
        <w:rPr>
          <w:sz w:val="22"/>
          <w:lang w:val="sr-Cyrl-RS"/>
        </w:rPr>
      </w:pPr>
      <w:r w:rsidRPr="00EF2F18">
        <w:rPr>
          <w:i/>
          <w:sz w:val="22"/>
          <w:lang w:val="sr-Cyrl-RS"/>
        </w:rPr>
        <w:t xml:space="preserve">Извор: Агенција за заштиту животне средине, </w:t>
      </w:r>
      <w:r w:rsidR="00FE408D" w:rsidRPr="00EF2F18">
        <w:rPr>
          <w:i/>
          <w:sz w:val="22"/>
          <w:lang w:val="sr-Cyrl-RS"/>
        </w:rPr>
        <w:t>2024</w:t>
      </w:r>
      <w:r w:rsidRPr="00EF2F18">
        <w:rPr>
          <w:i/>
          <w:sz w:val="22"/>
          <w:lang w:val="sr-Cyrl-RS"/>
        </w:rPr>
        <w:t>.</w:t>
      </w:r>
    </w:p>
    <w:p w14:paraId="258D80A9" w14:textId="77777777" w:rsidR="001D0D4C" w:rsidRPr="00EF2F18" w:rsidRDefault="001D0D4C" w:rsidP="001D0D4C">
      <w:pPr>
        <w:autoSpaceDE w:val="0"/>
        <w:autoSpaceDN w:val="0"/>
        <w:adjustRightInd w:val="0"/>
        <w:spacing w:after="0"/>
        <w:jc w:val="both"/>
        <w:rPr>
          <w:b/>
          <w:bCs/>
          <w:sz w:val="22"/>
          <w:lang w:val="sr-Cyrl-RS"/>
        </w:rPr>
      </w:pPr>
    </w:p>
    <w:p w14:paraId="408DAAFC" w14:textId="77777777" w:rsidR="001D0D4C" w:rsidRPr="00EF2F18" w:rsidRDefault="001D0D4C" w:rsidP="001D0D4C">
      <w:pPr>
        <w:autoSpaceDE w:val="0"/>
        <w:autoSpaceDN w:val="0"/>
        <w:adjustRightInd w:val="0"/>
        <w:spacing w:after="0"/>
        <w:ind w:firstLine="720"/>
        <w:jc w:val="both"/>
        <w:rPr>
          <w:sz w:val="22"/>
          <w:lang w:val="sr-Cyrl-RS"/>
        </w:rPr>
      </w:pPr>
      <w:r w:rsidRPr="00EF2F18">
        <w:rPr>
          <w:sz w:val="22"/>
          <w:lang w:val="sr-Cyrl-RS"/>
        </w:rPr>
        <w:t>Анализа статистичких података о шумским пожарима показује да се учесталост пожара, као и укупна опожарена површина повећава периодично из године у годину са појавом сушних периода/година, када је и реално већа опасност од настанка шумских пожара, а опада током кишних година.</w:t>
      </w:r>
    </w:p>
    <w:p w14:paraId="6256C5DD" w14:textId="77777777" w:rsidR="005125AA" w:rsidRPr="00EF2F18" w:rsidRDefault="005125AA" w:rsidP="001D0D4C">
      <w:pPr>
        <w:autoSpaceDE w:val="0"/>
        <w:autoSpaceDN w:val="0"/>
        <w:adjustRightInd w:val="0"/>
        <w:spacing w:after="0"/>
        <w:ind w:firstLine="720"/>
        <w:jc w:val="both"/>
        <w:rPr>
          <w:sz w:val="22"/>
          <w:lang w:val="sr-Cyrl-RS"/>
        </w:rPr>
      </w:pPr>
    </w:p>
    <w:p w14:paraId="5D70E131" w14:textId="77777777" w:rsidR="005125AA" w:rsidRPr="00EF2F18" w:rsidRDefault="005125AA" w:rsidP="005125AA">
      <w:pPr>
        <w:autoSpaceDE w:val="0"/>
        <w:autoSpaceDN w:val="0"/>
        <w:adjustRightInd w:val="0"/>
        <w:spacing w:after="0"/>
        <w:jc w:val="center"/>
        <w:rPr>
          <w:rFonts w:cs="Times New Roman"/>
          <w:b/>
          <w:bCs/>
          <w:sz w:val="22"/>
          <w:lang w:val="sr-Cyrl-RS"/>
        </w:rPr>
      </w:pPr>
      <w:r w:rsidRPr="00EF2F18">
        <w:rPr>
          <w:noProof/>
          <w:sz w:val="22"/>
          <w:lang w:val="sr-Cyrl-RS" w:eastAsia="sr-Cyrl-RS"/>
        </w:rPr>
        <w:drawing>
          <wp:inline distT="0" distB="0" distL="0" distR="0" wp14:anchorId="1A7F0D87" wp14:editId="1736C412">
            <wp:extent cx="3752850" cy="1809750"/>
            <wp:effectExtent l="0" t="0" r="0" b="0"/>
            <wp:docPr id="68112520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E7C0604" w14:textId="18600BA0" w:rsidR="005125AA" w:rsidRPr="00EF2F18" w:rsidRDefault="005125AA" w:rsidP="005125AA">
      <w:pPr>
        <w:autoSpaceDE w:val="0"/>
        <w:autoSpaceDN w:val="0"/>
        <w:adjustRightInd w:val="0"/>
        <w:spacing w:after="0"/>
        <w:jc w:val="both"/>
        <w:rPr>
          <w:rFonts w:cs="Times New Roman"/>
          <w:sz w:val="22"/>
          <w:lang w:val="sr-Cyrl-RS"/>
        </w:rPr>
      </w:pPr>
      <w:r w:rsidRPr="00EF2F18">
        <w:rPr>
          <w:rFonts w:cs="Times New Roman"/>
          <w:b/>
          <w:bCs/>
          <w:sz w:val="22"/>
          <w:lang w:val="sr-Cyrl-RS"/>
        </w:rPr>
        <w:t>Слика 3.</w:t>
      </w:r>
      <w:r w:rsidR="00DE003D" w:rsidRPr="00EF2F18">
        <w:rPr>
          <w:rFonts w:cs="Times New Roman"/>
          <w:b/>
          <w:bCs/>
          <w:sz w:val="22"/>
          <w:lang w:val="sr-Cyrl-RS"/>
        </w:rPr>
        <w:t>33</w:t>
      </w:r>
      <w:r w:rsidRPr="00EF2F18">
        <w:rPr>
          <w:rFonts w:cs="Times New Roman"/>
          <w:b/>
          <w:bCs/>
          <w:sz w:val="22"/>
          <w:lang w:val="sr-Cyrl-RS"/>
        </w:rPr>
        <w:t>.</w:t>
      </w:r>
      <w:r w:rsidRPr="00EF2F18">
        <w:rPr>
          <w:rFonts w:cs="Times New Roman"/>
          <w:sz w:val="22"/>
          <w:lang w:val="sr-Cyrl-RS"/>
        </w:rPr>
        <w:t xml:space="preserve"> Величина опожарене површине шума у периоду 2015</w:t>
      </w:r>
      <w:r w:rsidR="00043708">
        <w:rPr>
          <w:rFonts w:cs="Times New Roman"/>
          <w:sz w:val="22"/>
          <w:lang w:val="sr-Cyrl-RS"/>
        </w:rPr>
        <w:t xml:space="preserve"> </w:t>
      </w:r>
      <w:r w:rsidRPr="00EF2F18">
        <w:rPr>
          <w:rFonts w:cs="Times New Roman"/>
          <w:sz w:val="22"/>
          <w:lang w:val="sr-Cyrl-RS"/>
        </w:rPr>
        <w:t>-</w:t>
      </w:r>
      <w:r w:rsidR="00043708">
        <w:rPr>
          <w:rFonts w:cs="Times New Roman"/>
          <w:sz w:val="22"/>
          <w:lang w:val="sr-Cyrl-RS"/>
        </w:rPr>
        <w:t xml:space="preserve"> </w:t>
      </w:r>
      <w:r w:rsidRPr="00EF2F18">
        <w:rPr>
          <w:rFonts w:cs="Times New Roman"/>
          <w:sz w:val="22"/>
          <w:lang w:val="sr-Cyrl-RS"/>
        </w:rPr>
        <w:t>2023. годин</w:t>
      </w:r>
      <w:r w:rsidR="00043708">
        <w:rPr>
          <w:rFonts w:cs="Times New Roman"/>
          <w:sz w:val="22"/>
          <w:lang w:val="sr-Cyrl-RS"/>
        </w:rPr>
        <w:t>е</w:t>
      </w:r>
    </w:p>
    <w:p w14:paraId="06FFB2E7" w14:textId="77777777" w:rsidR="005125AA" w:rsidRPr="00EF2F18" w:rsidRDefault="005125AA" w:rsidP="005125AA">
      <w:pPr>
        <w:autoSpaceDE w:val="0"/>
        <w:autoSpaceDN w:val="0"/>
        <w:adjustRightInd w:val="0"/>
        <w:spacing w:after="0"/>
        <w:rPr>
          <w:rFonts w:cs="Times New Roman"/>
          <w:i/>
          <w:sz w:val="22"/>
          <w:lang w:val="sr-Cyrl-RS"/>
        </w:rPr>
      </w:pPr>
      <w:r w:rsidRPr="00EF2F18">
        <w:rPr>
          <w:rFonts w:cs="Times New Roman"/>
          <w:i/>
          <w:sz w:val="22"/>
          <w:lang w:val="sr-Cyrl-RS"/>
        </w:rPr>
        <w:t>Извор: Управа за шуме, 2023.</w:t>
      </w:r>
    </w:p>
    <w:p w14:paraId="6E605DAA" w14:textId="77777777" w:rsidR="005125AA" w:rsidRPr="00EF2F18" w:rsidRDefault="005125AA" w:rsidP="001D0D4C">
      <w:pPr>
        <w:autoSpaceDE w:val="0"/>
        <w:autoSpaceDN w:val="0"/>
        <w:adjustRightInd w:val="0"/>
        <w:spacing w:after="0"/>
        <w:ind w:firstLine="720"/>
        <w:jc w:val="both"/>
        <w:rPr>
          <w:sz w:val="22"/>
          <w:lang w:val="sr-Cyrl-RS"/>
        </w:rPr>
      </w:pPr>
    </w:p>
    <w:p w14:paraId="71FA56EA" w14:textId="2D3687F2" w:rsidR="005125AA" w:rsidRPr="00EF2F18" w:rsidRDefault="005125AA" w:rsidP="005125AA">
      <w:pPr>
        <w:spacing w:after="0"/>
        <w:ind w:firstLine="720"/>
        <w:jc w:val="both"/>
        <w:rPr>
          <w:sz w:val="22"/>
          <w:lang w:val="sr-Cyrl-RS"/>
        </w:rPr>
      </w:pPr>
      <w:r w:rsidRPr="00EF2F18">
        <w:rPr>
          <w:sz w:val="22"/>
          <w:lang w:val="sr-Cyrl-RS"/>
        </w:rPr>
        <w:t xml:space="preserve">Број пожара и укупна опожарена површина у директној су вези са сушним годинама. Највећа опожарена површина у шумама је забележена током 2019. године и износила је око 10.000 </w:t>
      </w:r>
      <w:r w:rsidR="001223D0" w:rsidRPr="00EF2F18">
        <w:rPr>
          <w:sz w:val="22"/>
          <w:lang w:val="sr-Cyrl-RS"/>
        </w:rPr>
        <w:t>ha</w:t>
      </w:r>
      <w:r w:rsidRPr="00EF2F18">
        <w:rPr>
          <w:sz w:val="22"/>
          <w:lang w:val="sr-Cyrl-RS"/>
        </w:rPr>
        <w:t xml:space="preserve">, док је најмања површина захваћена пожаром била 2022. године и износила је око 630 </w:t>
      </w:r>
      <w:r w:rsidR="001223D0" w:rsidRPr="00EF2F18">
        <w:rPr>
          <w:sz w:val="22"/>
          <w:lang w:val="sr-Cyrl-RS"/>
        </w:rPr>
        <w:t>ha</w:t>
      </w:r>
      <w:r w:rsidRPr="00EF2F18">
        <w:rPr>
          <w:sz w:val="22"/>
          <w:lang w:val="sr-Cyrl-RS"/>
        </w:rPr>
        <w:t>.</w:t>
      </w:r>
    </w:p>
    <w:p w14:paraId="7AB07071" w14:textId="4C71026E" w:rsidR="00A476E0" w:rsidRPr="00EF2F18" w:rsidRDefault="005125AA" w:rsidP="005125AA">
      <w:pPr>
        <w:autoSpaceDE w:val="0"/>
        <w:autoSpaceDN w:val="0"/>
        <w:adjustRightInd w:val="0"/>
        <w:spacing w:after="0"/>
        <w:ind w:firstLine="720"/>
        <w:jc w:val="both"/>
        <w:rPr>
          <w:sz w:val="22"/>
          <w:lang w:val="sr-Cyrl-RS"/>
        </w:rPr>
      </w:pPr>
      <w:r w:rsidRPr="00EF2F18">
        <w:rPr>
          <w:sz w:val="22"/>
          <w:lang w:val="sr-Cyrl-RS"/>
        </w:rPr>
        <w:t xml:space="preserve">У току </w:t>
      </w:r>
      <w:r w:rsidR="00A476E0" w:rsidRPr="00EF2F18">
        <w:rPr>
          <w:sz w:val="22"/>
          <w:lang w:val="sr-Cyrl-RS"/>
        </w:rPr>
        <w:t>2023</w:t>
      </w:r>
      <w:r w:rsidRPr="00EF2F18">
        <w:rPr>
          <w:sz w:val="22"/>
          <w:lang w:val="sr-Cyrl-RS"/>
        </w:rPr>
        <w:t>. године у шумама Републике Србије посечено је око 3.</w:t>
      </w:r>
      <w:r w:rsidR="00A476E0" w:rsidRPr="00EF2F18">
        <w:rPr>
          <w:sz w:val="22"/>
          <w:lang w:val="sr-Cyrl-RS"/>
        </w:rPr>
        <w:t>343</w:t>
      </w:r>
      <w:r w:rsidRPr="00EF2F18">
        <w:rPr>
          <w:sz w:val="22"/>
          <w:lang w:val="sr-Cyrl-RS"/>
        </w:rPr>
        <w:t>.000 m</w:t>
      </w:r>
      <w:r w:rsidRPr="00EF2F18">
        <w:rPr>
          <w:sz w:val="22"/>
          <w:vertAlign w:val="superscript"/>
          <w:lang w:val="sr-Cyrl-RS"/>
        </w:rPr>
        <w:t>3</w:t>
      </w:r>
      <w:r w:rsidRPr="00EF2F18">
        <w:rPr>
          <w:sz w:val="22"/>
          <w:lang w:val="sr-Cyrl-RS"/>
        </w:rPr>
        <w:t xml:space="preserve"> дрвета. У односу на </w:t>
      </w:r>
      <w:r w:rsidR="00A476E0" w:rsidRPr="00EF2F18">
        <w:rPr>
          <w:sz w:val="22"/>
          <w:lang w:val="sr-Cyrl-RS"/>
        </w:rPr>
        <w:t>2022</w:t>
      </w:r>
      <w:r w:rsidRPr="00EF2F18">
        <w:rPr>
          <w:sz w:val="22"/>
          <w:lang w:val="sr-Cyrl-RS"/>
        </w:rPr>
        <w:t xml:space="preserve">. годину сеча је </w:t>
      </w:r>
      <w:r w:rsidR="00A476E0" w:rsidRPr="00EF2F18">
        <w:rPr>
          <w:sz w:val="22"/>
          <w:lang w:val="sr-Cyrl-RS"/>
        </w:rPr>
        <w:t xml:space="preserve">смањена </w:t>
      </w:r>
      <w:r w:rsidRPr="00EF2F18">
        <w:rPr>
          <w:sz w:val="22"/>
          <w:lang w:val="sr-Cyrl-RS"/>
        </w:rPr>
        <w:t xml:space="preserve">за око </w:t>
      </w:r>
      <w:r w:rsidR="00A476E0" w:rsidRPr="00EF2F18">
        <w:rPr>
          <w:sz w:val="22"/>
          <w:lang w:val="sr-Cyrl-RS"/>
        </w:rPr>
        <w:t>10</w:t>
      </w:r>
      <w:r w:rsidRPr="00EF2F18">
        <w:rPr>
          <w:sz w:val="22"/>
          <w:lang w:val="sr-Cyrl-RS"/>
        </w:rPr>
        <w:t>%.</w:t>
      </w:r>
    </w:p>
    <w:p w14:paraId="7C466F11" w14:textId="77777777" w:rsidR="00A476E0" w:rsidRPr="00EF2F18" w:rsidRDefault="00A476E0" w:rsidP="005125AA">
      <w:pPr>
        <w:autoSpaceDE w:val="0"/>
        <w:autoSpaceDN w:val="0"/>
        <w:adjustRightInd w:val="0"/>
        <w:spacing w:after="0"/>
        <w:ind w:firstLine="720"/>
        <w:jc w:val="both"/>
        <w:rPr>
          <w:sz w:val="22"/>
          <w:lang w:val="sr-Cyrl-RS"/>
        </w:rPr>
      </w:pPr>
    </w:p>
    <w:p w14:paraId="168A02E3" w14:textId="5E8A4CC8" w:rsidR="005125AA" w:rsidRPr="00EF2F18" w:rsidRDefault="00A476E0" w:rsidP="000F3016">
      <w:pPr>
        <w:autoSpaceDE w:val="0"/>
        <w:autoSpaceDN w:val="0"/>
        <w:adjustRightInd w:val="0"/>
        <w:spacing w:after="0"/>
        <w:jc w:val="center"/>
        <w:rPr>
          <w:sz w:val="22"/>
          <w:lang w:val="sr-Cyrl-RS"/>
        </w:rPr>
      </w:pPr>
      <w:r w:rsidRPr="00EF2F18">
        <w:rPr>
          <w:noProof/>
          <w:lang w:val="sr-Cyrl-RS" w:eastAsia="sr-Cyrl-RS"/>
        </w:rPr>
        <w:lastRenderedPageBreak/>
        <w:drawing>
          <wp:inline distT="0" distB="0" distL="0" distR="0" wp14:anchorId="14871D15" wp14:editId="17DE4759">
            <wp:extent cx="4524375" cy="2232867"/>
            <wp:effectExtent l="0" t="0" r="0" b="0"/>
            <wp:docPr id="1564914445" name="Picture 13" descr="A graph with a line and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14445" name="Picture 13" descr="A graph with a line and a line graph&#10;&#10;AI-generated content may b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31395" cy="2236331"/>
                    </a:xfrm>
                    <a:prstGeom prst="rect">
                      <a:avLst/>
                    </a:prstGeom>
                    <a:noFill/>
                    <a:ln>
                      <a:noFill/>
                    </a:ln>
                  </pic:spPr>
                </pic:pic>
              </a:graphicData>
            </a:graphic>
          </wp:inline>
        </w:drawing>
      </w:r>
    </w:p>
    <w:p w14:paraId="423B5803" w14:textId="2200F92B" w:rsidR="00313318" w:rsidRPr="00EF2F18" w:rsidRDefault="00313318" w:rsidP="000F3016">
      <w:pPr>
        <w:autoSpaceDE w:val="0"/>
        <w:autoSpaceDN w:val="0"/>
        <w:adjustRightInd w:val="0"/>
        <w:spacing w:after="0"/>
        <w:rPr>
          <w:rFonts w:cs="Times New Roman"/>
          <w:sz w:val="22"/>
          <w:lang w:val="sr-Cyrl-RS"/>
        </w:rPr>
      </w:pPr>
      <w:r w:rsidRPr="00EF2F18">
        <w:rPr>
          <w:rFonts w:cs="Times New Roman"/>
          <w:b/>
          <w:bCs/>
          <w:sz w:val="22"/>
          <w:lang w:val="sr-Cyrl-RS"/>
        </w:rPr>
        <w:t>Слика 3.</w:t>
      </w:r>
      <w:r w:rsidR="00DE003D" w:rsidRPr="00EF2F18">
        <w:rPr>
          <w:rFonts w:cs="Times New Roman"/>
          <w:b/>
          <w:bCs/>
          <w:sz w:val="22"/>
          <w:lang w:val="sr-Cyrl-RS"/>
        </w:rPr>
        <w:t>34</w:t>
      </w:r>
      <w:r w:rsidRPr="00EF2F18">
        <w:rPr>
          <w:rFonts w:cs="Times New Roman"/>
          <w:sz w:val="22"/>
          <w:lang w:val="sr-Cyrl-RS"/>
        </w:rPr>
        <w:t>. Прираст и сеча у шумама у Републици Србији</w:t>
      </w:r>
    </w:p>
    <w:p w14:paraId="79AC4FB7" w14:textId="1A639B99" w:rsidR="00313318" w:rsidRPr="00EF2F18" w:rsidRDefault="00313318" w:rsidP="00313318">
      <w:pPr>
        <w:autoSpaceDE w:val="0"/>
        <w:autoSpaceDN w:val="0"/>
        <w:adjustRightInd w:val="0"/>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A476E0" w:rsidRPr="00EF2F18">
        <w:rPr>
          <w:rFonts w:cs="Times New Roman"/>
          <w:i/>
          <w:sz w:val="22"/>
          <w:lang w:val="sr-Cyrl-RS"/>
        </w:rPr>
        <w:t>2024</w:t>
      </w:r>
      <w:r w:rsidRPr="00EF2F18">
        <w:rPr>
          <w:rFonts w:cs="Times New Roman"/>
          <w:i/>
          <w:sz w:val="22"/>
          <w:lang w:val="sr-Cyrl-RS"/>
        </w:rPr>
        <w:t>.</w:t>
      </w:r>
    </w:p>
    <w:p w14:paraId="77829057" w14:textId="77777777" w:rsidR="00F15588" w:rsidRPr="00EF2F18" w:rsidRDefault="00F15588" w:rsidP="00BF78D1">
      <w:pPr>
        <w:autoSpaceDE w:val="0"/>
        <w:autoSpaceDN w:val="0"/>
        <w:adjustRightInd w:val="0"/>
        <w:spacing w:after="0"/>
        <w:ind w:firstLine="720"/>
        <w:jc w:val="both"/>
        <w:rPr>
          <w:rFonts w:cs="Times New Roman"/>
          <w:sz w:val="22"/>
          <w:lang w:val="sr-Cyrl-RS"/>
        </w:rPr>
      </w:pPr>
    </w:p>
    <w:p w14:paraId="3A00384F" w14:textId="240DEB09" w:rsidR="004A1215" w:rsidRPr="00EF2F18" w:rsidRDefault="00F47C32" w:rsidP="00F47C32">
      <w:pPr>
        <w:spacing w:after="0"/>
        <w:ind w:firstLine="720"/>
        <w:jc w:val="both"/>
        <w:rPr>
          <w:rFonts w:cs="Times New Roman"/>
          <w:sz w:val="22"/>
          <w:lang w:val="sr-Cyrl-RS"/>
        </w:rPr>
      </w:pPr>
      <w:r w:rsidRPr="00EF2F18">
        <w:rPr>
          <w:rFonts w:cs="Times New Roman"/>
          <w:sz w:val="22"/>
          <w:lang w:val="sr-Cyrl-RS"/>
        </w:rPr>
        <w:t>Шумама у државној својини у Републици Србији газдуј</w:t>
      </w:r>
      <w:r w:rsidR="00A22B88" w:rsidRPr="00EF2F18">
        <w:rPr>
          <w:rFonts w:cs="Times New Roman"/>
          <w:sz w:val="22"/>
          <w:lang w:val="sr-Cyrl-RS"/>
        </w:rPr>
        <w:t>у</w:t>
      </w:r>
      <w:r w:rsidRPr="00EF2F18">
        <w:rPr>
          <w:rFonts w:cs="Times New Roman"/>
          <w:sz w:val="22"/>
          <w:lang w:val="sr-Cyrl-RS"/>
        </w:rPr>
        <w:t xml:space="preserve"> јавн</w:t>
      </w:r>
      <w:r w:rsidR="00A22B88" w:rsidRPr="00EF2F18">
        <w:rPr>
          <w:rFonts w:cs="Times New Roman"/>
          <w:sz w:val="22"/>
          <w:lang w:val="sr-Cyrl-RS"/>
        </w:rPr>
        <w:t>а</w:t>
      </w:r>
      <w:r w:rsidRPr="00EF2F18">
        <w:rPr>
          <w:rFonts w:cs="Times New Roman"/>
          <w:sz w:val="22"/>
          <w:lang w:val="sr-Cyrl-RS"/>
        </w:rPr>
        <w:t xml:space="preserve"> предузећа (</w:t>
      </w:r>
      <w:r w:rsidR="00D47354" w:rsidRPr="00EF2F18">
        <w:rPr>
          <w:rFonts w:cs="Times New Roman"/>
          <w:sz w:val="22"/>
          <w:lang w:val="sr-Cyrl-RS"/>
        </w:rPr>
        <w:t>ПД „Србијашуме</w:t>
      </w:r>
      <w:r w:rsidR="00255910" w:rsidRPr="00EF2F18">
        <w:rPr>
          <w:rFonts w:cs="Times New Roman"/>
          <w:bCs/>
          <w:sz w:val="22"/>
          <w:lang w:val="sr-Cyrl-RS"/>
        </w:rPr>
        <w:t>”</w:t>
      </w:r>
      <w:r w:rsidR="00D47354" w:rsidRPr="00EF2F18">
        <w:rPr>
          <w:rFonts w:cs="Times New Roman"/>
          <w:sz w:val="22"/>
          <w:lang w:val="sr-Cyrl-RS"/>
        </w:rPr>
        <w:t xml:space="preserve"> д.о.о. Београд</w:t>
      </w:r>
      <w:r w:rsidRPr="00EF2F18">
        <w:rPr>
          <w:rFonts w:cs="Times New Roman"/>
          <w:sz w:val="22"/>
          <w:lang w:val="sr-Cyrl-RS"/>
        </w:rPr>
        <w:t xml:space="preserve">, ЈП „Војводинашуме”, </w:t>
      </w:r>
      <w:r w:rsidR="005C21EC" w:rsidRPr="00EF2F18">
        <w:rPr>
          <w:rFonts w:cs="Times New Roman"/>
          <w:sz w:val="22"/>
          <w:lang w:val="sr-Cyrl-RS"/>
        </w:rPr>
        <w:t>Друштво с ограниченом  одговорношћу</w:t>
      </w:r>
      <w:r w:rsidRPr="00EF2F18">
        <w:rPr>
          <w:rFonts w:cs="Times New Roman"/>
          <w:sz w:val="22"/>
          <w:lang w:val="sr-Cyrl-RS"/>
        </w:rPr>
        <w:t xml:space="preserve"> </w:t>
      </w:r>
      <w:r w:rsidR="00A01530" w:rsidRPr="00EF2F18">
        <w:rPr>
          <w:rFonts w:cs="Times New Roman"/>
          <w:sz w:val="22"/>
          <w:lang w:val="sr-Cyrl-RS"/>
        </w:rPr>
        <w:t>„Национални парк Тара</w:t>
      </w:r>
      <w:r w:rsidR="00A64280" w:rsidRPr="00EF2F18">
        <w:rPr>
          <w:rFonts w:cs="Times New Roman"/>
          <w:sz w:val="22"/>
          <w:lang w:val="sr-Cyrl-RS"/>
        </w:rPr>
        <w:t>”</w:t>
      </w:r>
      <w:r w:rsidR="00A01530" w:rsidRPr="00EF2F18">
        <w:rPr>
          <w:rFonts w:cs="Times New Roman"/>
          <w:sz w:val="22"/>
          <w:lang w:val="sr-Cyrl-RS"/>
        </w:rPr>
        <w:t xml:space="preserve">, </w:t>
      </w:r>
      <w:r w:rsidR="005C21EC" w:rsidRPr="00EF2F18">
        <w:rPr>
          <w:rFonts w:cs="Times New Roman"/>
          <w:sz w:val="22"/>
          <w:lang w:val="sr-Cyrl-RS"/>
        </w:rPr>
        <w:t xml:space="preserve">Друштво с ограниченом  одговорношћу </w:t>
      </w:r>
      <w:r w:rsidR="00A01530" w:rsidRPr="00EF2F18">
        <w:rPr>
          <w:rFonts w:cs="Times New Roman"/>
          <w:sz w:val="22"/>
          <w:lang w:val="sr-Cyrl-RS"/>
        </w:rPr>
        <w:t>„Национални парк Ђердап</w:t>
      </w:r>
      <w:r w:rsidR="00A64280" w:rsidRPr="00EF2F18">
        <w:rPr>
          <w:rFonts w:cs="Times New Roman"/>
          <w:sz w:val="22"/>
          <w:lang w:val="sr-Cyrl-RS"/>
        </w:rPr>
        <w:t>”</w:t>
      </w:r>
      <w:r w:rsidR="00A01530" w:rsidRPr="00EF2F18">
        <w:rPr>
          <w:rFonts w:cs="Times New Roman"/>
          <w:sz w:val="22"/>
          <w:lang w:val="sr-Cyrl-RS"/>
        </w:rPr>
        <w:t>, ЈП „Национални парк Фрушка Гора</w:t>
      </w:r>
      <w:r w:rsidR="00A64280" w:rsidRPr="00EF2F18">
        <w:rPr>
          <w:rFonts w:cs="Times New Roman"/>
          <w:sz w:val="22"/>
          <w:lang w:val="sr-Cyrl-RS"/>
        </w:rPr>
        <w:t>”</w:t>
      </w:r>
      <w:r w:rsidR="00A01530" w:rsidRPr="00EF2F18">
        <w:rPr>
          <w:rFonts w:cs="Times New Roman"/>
          <w:sz w:val="22"/>
          <w:lang w:val="sr-Cyrl-RS"/>
        </w:rPr>
        <w:t>, ЈП „Национални парк Копаоник</w:t>
      </w:r>
      <w:r w:rsidR="00A64280" w:rsidRPr="00EF2F18">
        <w:rPr>
          <w:rFonts w:cs="Times New Roman"/>
          <w:sz w:val="22"/>
          <w:lang w:val="sr-Cyrl-RS"/>
        </w:rPr>
        <w:t>”</w:t>
      </w:r>
      <w:r w:rsidR="00A01530" w:rsidRPr="00EF2F18">
        <w:rPr>
          <w:rFonts w:cs="Times New Roman"/>
          <w:sz w:val="22"/>
          <w:lang w:val="sr-Cyrl-RS"/>
        </w:rPr>
        <w:t xml:space="preserve"> </w:t>
      </w:r>
      <w:r w:rsidRPr="00EF2F18">
        <w:rPr>
          <w:rFonts w:cs="Times New Roman"/>
          <w:sz w:val="22"/>
          <w:lang w:val="sr-Cyrl-RS"/>
        </w:rPr>
        <w:t>и ЈП „Шуме-Гоч</w:t>
      </w:r>
      <w:r w:rsidR="00F83BE5" w:rsidRPr="00EF2F18">
        <w:rPr>
          <w:rFonts w:cs="Times New Roman"/>
          <w:sz w:val="22"/>
          <w:lang w:val="sr-Cyrl-RS"/>
        </w:rPr>
        <w:t>”</w:t>
      </w:r>
      <w:r w:rsidRPr="00EF2F18">
        <w:rPr>
          <w:rFonts w:cs="Times New Roman"/>
          <w:sz w:val="22"/>
          <w:lang w:val="sr-Cyrl-RS"/>
        </w:rPr>
        <w:t xml:space="preserve"> Врњачка Бања). Малим процентом државних шума газдују</w:t>
      </w:r>
      <w:r w:rsidR="004A1215" w:rsidRPr="00EF2F18">
        <w:rPr>
          <w:rFonts w:cs="Times New Roman"/>
          <w:sz w:val="22"/>
          <w:lang w:val="sr-Cyrl-RS"/>
        </w:rPr>
        <w:t xml:space="preserve"> </w:t>
      </w:r>
      <w:r w:rsidRPr="00EF2F18">
        <w:rPr>
          <w:rFonts w:cs="Times New Roman"/>
          <w:sz w:val="22"/>
          <w:lang w:val="sr-Cyrl-RS"/>
        </w:rPr>
        <w:t xml:space="preserve">водопривредна јавна предузећа, јавна предузећа чији су оснивачи јединице локалних самоуправа, као и научно-образовне установе (Шумарски факултет у Београду, Институт за низијско шумарство и животну средину у Новом Саду). Одговорности јавних предузећа за </w:t>
      </w:r>
      <w:r w:rsidR="00835725" w:rsidRPr="00EF2F18">
        <w:rPr>
          <w:rFonts w:cs="Times New Roman"/>
          <w:sz w:val="22"/>
          <w:lang w:val="sr-Cyrl-RS"/>
        </w:rPr>
        <w:t xml:space="preserve">газдовање </w:t>
      </w:r>
      <w:r w:rsidRPr="00EF2F18">
        <w:rPr>
          <w:rFonts w:cs="Times New Roman"/>
          <w:sz w:val="22"/>
          <w:lang w:val="sr-Cyrl-RS"/>
        </w:rPr>
        <w:t xml:space="preserve">шумама </w:t>
      </w:r>
      <w:r w:rsidR="00835725" w:rsidRPr="00EF2F18">
        <w:rPr>
          <w:rFonts w:cs="Times New Roman"/>
          <w:sz w:val="22"/>
          <w:lang w:val="sr-Cyrl-RS"/>
        </w:rPr>
        <w:t xml:space="preserve">укључује </w:t>
      </w:r>
      <w:r w:rsidRPr="00EF2F18">
        <w:rPr>
          <w:rFonts w:cs="Times New Roman"/>
          <w:sz w:val="22"/>
          <w:lang w:val="sr-Cyrl-RS"/>
        </w:rPr>
        <w:t xml:space="preserve">гајење, заштиту, очување и коришћење шума; производњу шумског репродуктивног материјала; </w:t>
      </w:r>
      <w:r w:rsidR="004724C6" w:rsidRPr="00EF2F18">
        <w:rPr>
          <w:rFonts w:eastAsia="Verdana" w:cs="Times New Roman"/>
          <w:sz w:val="22"/>
          <w:lang w:val="sr-Cyrl-RS"/>
        </w:rPr>
        <w:t>коришћење, управљање, заштиту и унапређивање популација</w:t>
      </w:r>
      <w:r w:rsidR="00FA7222" w:rsidRPr="00EF2F18">
        <w:rPr>
          <w:rFonts w:eastAsia="Verdana" w:cs="Times New Roman"/>
          <w:sz w:val="22"/>
          <w:lang w:val="sr-Cyrl-RS"/>
        </w:rPr>
        <w:t xml:space="preserve"> </w:t>
      </w:r>
      <w:r w:rsidR="004724C6" w:rsidRPr="00EF2F18">
        <w:rPr>
          <w:rFonts w:eastAsia="Verdana" w:cs="Times New Roman"/>
          <w:sz w:val="22"/>
          <w:lang w:val="sr-Cyrl-RS"/>
        </w:rPr>
        <w:t>дивљачи и њихових станишта</w:t>
      </w:r>
      <w:r w:rsidRPr="00EF2F18">
        <w:rPr>
          <w:rFonts w:cs="Times New Roman"/>
          <w:sz w:val="22"/>
          <w:lang w:val="sr-Cyrl-RS"/>
        </w:rPr>
        <w:t xml:space="preserve">; пројектовање, изградњу и одржавање шумских путева; припрему програма и планова управљања; стручно-саветодавне послове у приватним шумама; унапређивање и коришћење општекорисних функција шума; и трговину на велико и мало шумским производима. Стручно-саветодавни послови у шумама </w:t>
      </w:r>
      <w:r w:rsidR="00313318" w:rsidRPr="00EF2F18">
        <w:rPr>
          <w:rFonts w:cs="Times New Roman"/>
          <w:sz w:val="22"/>
          <w:lang w:val="sr-Cyrl-RS"/>
        </w:rPr>
        <w:t xml:space="preserve">сопственика </w:t>
      </w:r>
      <w:r w:rsidRPr="00EF2F18">
        <w:rPr>
          <w:rFonts w:cs="Times New Roman"/>
          <w:sz w:val="22"/>
          <w:lang w:val="sr-Cyrl-RS"/>
        </w:rPr>
        <w:t>финансирају се из државног буџета, како јавним предузећима, тако и</w:t>
      </w:r>
      <w:r w:rsidR="002103C0" w:rsidRPr="00EF2F18">
        <w:rPr>
          <w:rFonts w:cs="Times New Roman"/>
          <w:sz w:val="22"/>
          <w:lang w:val="sr-Cyrl-RS"/>
        </w:rPr>
        <w:t xml:space="preserve"> појединим</w:t>
      </w:r>
      <w:r w:rsidRPr="00EF2F18">
        <w:rPr>
          <w:rFonts w:cs="Times New Roman"/>
          <w:sz w:val="22"/>
          <w:lang w:val="sr-Cyrl-RS"/>
        </w:rPr>
        <w:t xml:space="preserve"> удружењима шумовласника која сама газдују шумама чланова удружења. </w:t>
      </w:r>
    </w:p>
    <w:p w14:paraId="40EA2EFC" w14:textId="7A4EB281" w:rsidR="00F00EDB" w:rsidRPr="00EF2F18" w:rsidRDefault="00F47C32" w:rsidP="00F47C32">
      <w:pPr>
        <w:spacing w:after="0"/>
        <w:ind w:firstLine="720"/>
        <w:jc w:val="both"/>
        <w:rPr>
          <w:rFonts w:cs="Times New Roman"/>
          <w:sz w:val="22"/>
          <w:lang w:val="sr-Cyrl-RS"/>
        </w:rPr>
      </w:pPr>
      <w:r w:rsidRPr="00EF2F18">
        <w:rPr>
          <w:rFonts w:cs="Times New Roman"/>
          <w:sz w:val="22"/>
          <w:lang w:val="sr-Cyrl-RS"/>
        </w:rPr>
        <w:t>Стратегија развоја шумарства Републике Србије</w:t>
      </w:r>
      <w:r w:rsidRPr="00EF2F18">
        <w:rPr>
          <w:rStyle w:val="A3"/>
          <w:rFonts w:cs="Times New Roman"/>
          <w:sz w:val="22"/>
          <w:szCs w:val="22"/>
          <w:lang w:val="sr-Cyrl-RS"/>
        </w:rPr>
        <w:t xml:space="preserve"> </w:t>
      </w:r>
      <w:r w:rsidRPr="00EF2F18">
        <w:rPr>
          <w:rFonts w:cs="Times New Roman"/>
          <w:sz w:val="22"/>
          <w:lang w:val="sr-Cyrl-RS"/>
        </w:rPr>
        <w:t xml:space="preserve">је </w:t>
      </w:r>
      <w:r w:rsidR="002103C0" w:rsidRPr="00EF2F18">
        <w:rPr>
          <w:rFonts w:cs="Times New Roman"/>
          <w:sz w:val="22"/>
          <w:lang w:val="sr-Cyrl-RS"/>
        </w:rPr>
        <w:t xml:space="preserve">донета </w:t>
      </w:r>
      <w:r w:rsidRPr="00EF2F18">
        <w:rPr>
          <w:rFonts w:cs="Times New Roman"/>
          <w:sz w:val="22"/>
          <w:lang w:val="sr-Cyrl-RS"/>
        </w:rPr>
        <w:t xml:space="preserve">2006. године, </w:t>
      </w:r>
      <w:r w:rsidR="002103C0" w:rsidRPr="00EF2F18">
        <w:rPr>
          <w:rFonts w:cs="Times New Roman"/>
          <w:sz w:val="22"/>
          <w:lang w:val="sr-Cyrl-RS"/>
        </w:rPr>
        <w:t>и од тада</w:t>
      </w:r>
      <w:r w:rsidRPr="00EF2F18">
        <w:rPr>
          <w:rFonts w:cs="Times New Roman"/>
          <w:sz w:val="22"/>
          <w:lang w:val="sr-Cyrl-RS"/>
        </w:rPr>
        <w:t xml:space="preserve"> није ревидирана.</w:t>
      </w:r>
    </w:p>
    <w:p w14:paraId="2CA0FA26" w14:textId="77777777" w:rsidR="00F00EDB" w:rsidRPr="00EF2F18" w:rsidRDefault="00F00EDB" w:rsidP="00F00EDB">
      <w:pPr>
        <w:autoSpaceDE w:val="0"/>
        <w:autoSpaceDN w:val="0"/>
        <w:adjustRightInd w:val="0"/>
        <w:spacing w:after="0"/>
        <w:jc w:val="both"/>
        <w:rPr>
          <w:rFonts w:cs="Times New Roman"/>
          <w:sz w:val="22"/>
          <w:lang w:val="sr-Cyrl-RS"/>
        </w:rPr>
      </w:pPr>
    </w:p>
    <w:p w14:paraId="371F814A" w14:textId="77777777" w:rsidR="00B35169" w:rsidRPr="00EF2F18" w:rsidRDefault="00B35169" w:rsidP="00F106C9">
      <w:pPr>
        <w:autoSpaceDE w:val="0"/>
        <w:autoSpaceDN w:val="0"/>
        <w:adjustRightInd w:val="0"/>
        <w:spacing w:after="0"/>
        <w:ind w:firstLine="720"/>
        <w:jc w:val="both"/>
        <w:rPr>
          <w:rFonts w:cs="Times New Roman"/>
          <w:b/>
          <w:bCs/>
          <w:i/>
          <w:iCs/>
          <w:sz w:val="22"/>
          <w:lang w:val="sr-Cyrl-RS"/>
        </w:rPr>
      </w:pPr>
      <w:r w:rsidRPr="00EF2F18">
        <w:rPr>
          <w:rFonts w:cs="Times New Roman"/>
          <w:b/>
          <w:bCs/>
          <w:i/>
          <w:iCs/>
          <w:sz w:val="22"/>
          <w:lang w:val="sr-Cyrl-RS"/>
        </w:rPr>
        <w:t>Ловство</w:t>
      </w:r>
    </w:p>
    <w:p w14:paraId="7E590C46" w14:textId="6DA11DD4" w:rsidR="00830EB6" w:rsidRPr="00EF2F18" w:rsidRDefault="00830EB6" w:rsidP="00830EB6">
      <w:pPr>
        <w:autoSpaceDE w:val="0"/>
        <w:autoSpaceDN w:val="0"/>
        <w:adjustRightInd w:val="0"/>
        <w:spacing w:after="0"/>
        <w:ind w:firstLine="720"/>
        <w:jc w:val="both"/>
        <w:rPr>
          <w:sz w:val="22"/>
          <w:lang w:val="sr-Cyrl-RS"/>
        </w:rPr>
      </w:pPr>
      <w:r w:rsidRPr="00EF2F18">
        <w:rPr>
          <w:rFonts w:cs="Times New Roman"/>
          <w:sz w:val="22"/>
          <w:lang w:val="sr-Cyrl-RS"/>
        </w:rPr>
        <w:t xml:space="preserve">На подручју Републике Србије установљена су 362 ловишта и то 204 на територији </w:t>
      </w:r>
      <w:r w:rsidR="008E7B8F" w:rsidRPr="00EF2F18">
        <w:rPr>
          <w:rFonts w:cs="Times New Roman"/>
          <w:sz w:val="22"/>
          <w:lang w:val="sr-Cyrl-RS"/>
        </w:rPr>
        <w:t>ц</w:t>
      </w:r>
      <w:r w:rsidRPr="00EF2F18">
        <w:rPr>
          <w:rFonts w:cs="Times New Roman"/>
          <w:sz w:val="22"/>
          <w:lang w:val="sr-Cyrl-RS"/>
        </w:rPr>
        <w:t xml:space="preserve">ентралне Србије и 158 на територији </w:t>
      </w:r>
      <w:r w:rsidR="008E7B8F" w:rsidRPr="00EF2F18">
        <w:rPr>
          <w:rFonts w:cs="Times New Roman"/>
          <w:sz w:val="22"/>
          <w:lang w:val="sr-Cyrl-RS"/>
        </w:rPr>
        <w:t>АП</w:t>
      </w:r>
      <w:r w:rsidRPr="00EF2F18">
        <w:rPr>
          <w:rFonts w:cs="Times New Roman"/>
          <w:sz w:val="22"/>
          <w:lang w:val="sr-Cyrl-RS"/>
        </w:rPr>
        <w:t xml:space="preserve"> Војводина. За ловостајем заштићене врсте дивљачи проглашене су 22 врсте сисара (</w:t>
      </w:r>
      <w:r w:rsidR="00255910" w:rsidRPr="00EF2F18">
        <w:rPr>
          <w:rFonts w:eastAsia="Calibri" w:cs="Times New Roman"/>
          <w:sz w:val="22"/>
          <w:lang w:val="sr-Cyrl-RS"/>
        </w:rPr>
        <w:t>седам</w:t>
      </w:r>
      <w:r w:rsidRPr="00EF2F18">
        <w:rPr>
          <w:rFonts w:eastAsia="Calibri" w:cs="Times New Roman"/>
          <w:sz w:val="22"/>
          <w:lang w:val="sr-Cyrl-RS"/>
        </w:rPr>
        <w:t xml:space="preserve"> врста крупних сисара </w:t>
      </w:r>
      <w:r w:rsidR="006C2846" w:rsidRPr="00EF2F18">
        <w:rPr>
          <w:rFonts w:ascii="Courier New" w:eastAsia="Calibri" w:hAnsi="Courier New" w:cs="Courier New"/>
          <w:sz w:val="22"/>
          <w:lang w:val="sr-Cyrl-RS"/>
        </w:rPr>
        <w:t>-</w:t>
      </w:r>
      <w:r w:rsidR="00433643" w:rsidRPr="00EF2F18">
        <w:rPr>
          <w:rFonts w:ascii="Courier New" w:eastAsia="Calibri" w:hAnsi="Courier New" w:cs="Courier New"/>
          <w:sz w:val="22"/>
          <w:lang w:val="sr-Cyrl-RS"/>
        </w:rPr>
        <w:t xml:space="preserve"> </w:t>
      </w:r>
      <w:r w:rsidRPr="00EF2F18">
        <w:rPr>
          <w:rFonts w:eastAsia="Calibri" w:cs="Times New Roman"/>
          <w:sz w:val="22"/>
          <w:lang w:val="sr-Cyrl-RS"/>
        </w:rPr>
        <w:t>папкара и 15 врста ситне длакаве дивљачи)</w:t>
      </w:r>
      <w:r w:rsidRPr="00EF2F18">
        <w:rPr>
          <w:rFonts w:cs="Times New Roman"/>
          <w:sz w:val="22"/>
          <w:lang w:val="sr-Cyrl-RS"/>
        </w:rPr>
        <w:t xml:space="preserve">, и 23 врсте птица од регистрованих око 360 за подручје Републике Србије, </w:t>
      </w:r>
      <w:r w:rsidRPr="00EF2F18">
        <w:rPr>
          <w:sz w:val="22"/>
          <w:lang w:val="sr-Cyrl-RS"/>
        </w:rPr>
        <w:t xml:space="preserve">а за трајно заштићене врсте дивљачи проглашено је седам врста длакаве и 10 врста пернате дивљачи. </w:t>
      </w:r>
    </w:p>
    <w:p w14:paraId="032D2857" w14:textId="458EED0D" w:rsidR="0038751E" w:rsidRPr="00EF2F18" w:rsidRDefault="0038751E" w:rsidP="00830EB6">
      <w:pPr>
        <w:autoSpaceDE w:val="0"/>
        <w:autoSpaceDN w:val="0"/>
        <w:adjustRightInd w:val="0"/>
        <w:spacing w:after="0"/>
        <w:ind w:firstLine="720"/>
        <w:jc w:val="both"/>
        <w:rPr>
          <w:sz w:val="22"/>
          <w:lang w:val="sr-Cyrl-RS"/>
        </w:rPr>
      </w:pPr>
      <w:r w:rsidRPr="00EF2F18">
        <w:rPr>
          <w:sz w:val="22"/>
          <w:lang w:val="sr-Cyrl-RS"/>
        </w:rPr>
        <w:t xml:space="preserve">Број издатих ловних </w:t>
      </w:r>
      <w:r w:rsidR="008A539E" w:rsidRPr="00EF2F18">
        <w:rPr>
          <w:sz w:val="22"/>
          <w:lang w:val="sr-Cyrl-RS"/>
        </w:rPr>
        <w:t xml:space="preserve">карата </w:t>
      </w:r>
      <w:r w:rsidRPr="00EF2F18">
        <w:rPr>
          <w:sz w:val="22"/>
          <w:lang w:val="sr-Cyrl-RS"/>
        </w:rPr>
        <w:t>у 2022</w:t>
      </w:r>
      <w:r w:rsidR="008A539E" w:rsidRPr="00EF2F18">
        <w:rPr>
          <w:sz w:val="22"/>
          <w:lang w:val="sr-Cyrl-RS"/>
        </w:rPr>
        <w:t>/23</w:t>
      </w:r>
      <w:r w:rsidRPr="00EF2F18">
        <w:rPr>
          <w:sz w:val="22"/>
          <w:lang w:val="sr-Cyrl-RS"/>
        </w:rPr>
        <w:t xml:space="preserve">. години био је </w:t>
      </w:r>
      <w:r w:rsidR="00F305E9" w:rsidRPr="00EF2F18">
        <w:rPr>
          <w:sz w:val="22"/>
          <w:lang w:val="sr-Cyrl-RS"/>
        </w:rPr>
        <w:t>82</w:t>
      </w:r>
      <w:r w:rsidR="008A539E" w:rsidRPr="00EF2F18">
        <w:rPr>
          <w:sz w:val="22"/>
          <w:lang w:val="sr-Cyrl-RS"/>
        </w:rPr>
        <w:t>.</w:t>
      </w:r>
      <w:r w:rsidR="00F305E9" w:rsidRPr="00EF2F18">
        <w:rPr>
          <w:sz w:val="22"/>
          <w:lang w:val="sr-Cyrl-RS"/>
        </w:rPr>
        <w:t>598</w:t>
      </w:r>
      <w:r w:rsidR="008A539E" w:rsidRPr="00EF2F18">
        <w:rPr>
          <w:sz w:val="22"/>
          <w:lang w:val="sr-Cyrl-RS"/>
        </w:rPr>
        <w:t>, а за ловну 2023/24. годину, број издатих ловних карата се повећао на 88.</w:t>
      </w:r>
      <w:r w:rsidR="00F305E9" w:rsidRPr="00EF2F18">
        <w:rPr>
          <w:sz w:val="22"/>
          <w:lang w:val="sr-Cyrl-RS"/>
        </w:rPr>
        <w:t>713, док је у ловној 2024/25. години број издатих ловних карата био 87.063</w:t>
      </w:r>
      <w:r w:rsidR="00E77C1E" w:rsidRPr="00EF2F18">
        <w:rPr>
          <w:sz w:val="22"/>
          <w:lang w:val="sr-Cyrl-RS"/>
        </w:rPr>
        <w:t xml:space="preserve"> на основу података Ловачког информационог система, који води Управа за шуме.</w:t>
      </w:r>
      <w:r w:rsidR="00F305E9" w:rsidRPr="00EF2F18">
        <w:rPr>
          <w:sz w:val="22"/>
          <w:lang w:val="sr-Cyrl-RS"/>
        </w:rPr>
        <w:t xml:space="preserve"> </w:t>
      </w:r>
      <w:r w:rsidR="00E77C1E" w:rsidRPr="00EF2F18">
        <w:rPr>
          <w:sz w:val="22"/>
          <w:lang w:val="sr-Cyrl-RS"/>
        </w:rPr>
        <w:t>Л</w:t>
      </w:r>
      <w:r w:rsidR="00F305E9" w:rsidRPr="00EF2F18">
        <w:rPr>
          <w:sz w:val="22"/>
          <w:lang w:val="sr-Cyrl-RS"/>
        </w:rPr>
        <w:t>овн</w:t>
      </w:r>
      <w:r w:rsidR="00E77C1E" w:rsidRPr="00EF2F18">
        <w:rPr>
          <w:sz w:val="22"/>
          <w:lang w:val="sr-Cyrl-RS"/>
        </w:rPr>
        <w:t>а</w:t>
      </w:r>
      <w:r w:rsidR="00F305E9" w:rsidRPr="00EF2F18">
        <w:rPr>
          <w:sz w:val="22"/>
          <w:lang w:val="sr-Cyrl-RS"/>
        </w:rPr>
        <w:t xml:space="preserve"> година</w:t>
      </w:r>
      <w:r w:rsidR="00E77C1E" w:rsidRPr="00EF2F18">
        <w:rPr>
          <w:sz w:val="22"/>
          <w:lang w:val="sr-Cyrl-RS"/>
        </w:rPr>
        <w:t xml:space="preserve"> обухвата</w:t>
      </w:r>
      <w:r w:rsidR="00F305E9" w:rsidRPr="00EF2F18">
        <w:rPr>
          <w:sz w:val="22"/>
          <w:lang w:val="sr-Cyrl-RS"/>
        </w:rPr>
        <w:t xml:space="preserve"> период од 1. априла текуће</w:t>
      </w:r>
      <w:r w:rsidR="00E77C1E" w:rsidRPr="00EF2F18">
        <w:rPr>
          <w:sz w:val="22"/>
          <w:lang w:val="sr-Cyrl-RS"/>
        </w:rPr>
        <w:t xml:space="preserve"> године</w:t>
      </w:r>
      <w:r w:rsidR="00F305E9" w:rsidRPr="00EF2F18">
        <w:rPr>
          <w:sz w:val="22"/>
          <w:lang w:val="sr-Cyrl-RS"/>
        </w:rPr>
        <w:t xml:space="preserve"> до 31. марта наредне године. </w:t>
      </w:r>
      <w:r w:rsidR="00FA4A67" w:rsidRPr="00EF2F18">
        <w:rPr>
          <w:sz w:val="22"/>
          <w:lang w:val="sr-Cyrl-RS"/>
        </w:rPr>
        <w:t>Излов свих ловних врста благо је повећан током ловне 2023</w:t>
      </w:r>
      <w:r w:rsidR="00E0506A">
        <w:rPr>
          <w:sz w:val="22"/>
          <w:lang w:val="sr-Cyrl-RS"/>
        </w:rPr>
        <w:t>/</w:t>
      </w:r>
      <w:r w:rsidR="00FA4A67" w:rsidRPr="00EF2F18">
        <w:rPr>
          <w:sz w:val="22"/>
          <w:lang w:val="sr-Cyrl-RS"/>
        </w:rPr>
        <w:t>24. године.</w:t>
      </w:r>
    </w:p>
    <w:p w14:paraId="30FE3697" w14:textId="77777777" w:rsidR="00C611F4" w:rsidRPr="00EF2F18" w:rsidRDefault="00830EB6" w:rsidP="00830EB6">
      <w:pPr>
        <w:autoSpaceDE w:val="0"/>
        <w:autoSpaceDN w:val="0"/>
        <w:adjustRightInd w:val="0"/>
        <w:spacing w:after="0"/>
        <w:ind w:firstLine="720"/>
        <w:jc w:val="both"/>
        <w:rPr>
          <w:rFonts w:cs="Times New Roman"/>
          <w:sz w:val="22"/>
          <w:lang w:val="sr-Cyrl-RS"/>
        </w:rPr>
      </w:pPr>
      <w:r w:rsidRPr="00EF2F18">
        <w:rPr>
          <w:sz w:val="22"/>
          <w:lang w:val="sr-Cyrl-RS"/>
        </w:rPr>
        <w:t>Тренутно стање популација гајених врста ситне и крупне дивљачи у Републици Србији није на задовољавајућем нивоу у погледу бројности, узрасне и полне структуре, просторног распореда, густине и трофејне вредности. Ипак, бројност популација најзначајнијих ловних врста је у стабилном порасту последњих година</w:t>
      </w:r>
      <w:r w:rsidRPr="00EF2F18">
        <w:rPr>
          <w:rFonts w:cs="Times New Roman"/>
          <w:sz w:val="22"/>
          <w:lang w:val="sr-Cyrl-RS"/>
        </w:rPr>
        <w:t xml:space="preserve">. Тренд популације дивљих свиња је стабилан и благо растући на површинама ловишта која се налазе у умереној зони ризика од заразне болести Афричка куга свиња, док је у зони високог ризика (зони интензивног одстрела дивљих свиња) и зараженом подручју приметно смањење бројности дивљих свиња, али и повећање бројности предатора (пре свих: вука, шакала и лисице). </w:t>
      </w:r>
    </w:p>
    <w:p w14:paraId="145DC897" w14:textId="659C1C80" w:rsidR="00BF78D1" w:rsidRPr="00EF2F18" w:rsidRDefault="00830EB6" w:rsidP="00830EB6">
      <w:pPr>
        <w:autoSpaceDE w:val="0"/>
        <w:autoSpaceDN w:val="0"/>
        <w:adjustRightInd w:val="0"/>
        <w:spacing w:after="0"/>
        <w:ind w:firstLine="720"/>
        <w:jc w:val="both"/>
        <w:rPr>
          <w:rFonts w:cs="Times New Roman"/>
          <w:sz w:val="22"/>
          <w:lang w:val="sr-Cyrl-RS"/>
        </w:rPr>
      </w:pPr>
      <w:r w:rsidRPr="00EF2F18">
        <w:rPr>
          <w:rFonts w:cs="Times New Roman"/>
          <w:sz w:val="22"/>
          <w:lang w:val="sr-Cyrl-RS"/>
        </w:rPr>
        <w:lastRenderedPageBreak/>
        <w:t>Ради заштите и регулисања бројности популације пољске јаребице (</w:t>
      </w:r>
      <w:r w:rsidRPr="00EF2F18">
        <w:rPr>
          <w:rFonts w:cs="Times New Roman"/>
          <w:i/>
          <w:sz w:val="22"/>
          <w:lang w:val="sr-Cyrl-RS"/>
        </w:rPr>
        <w:t>Perdix perdix</w:t>
      </w:r>
      <w:r w:rsidRPr="00EF2F18">
        <w:rPr>
          <w:rFonts w:cs="Times New Roman"/>
          <w:sz w:val="22"/>
          <w:lang w:val="sr-Cyrl-RS"/>
        </w:rPr>
        <w:t>, L), грлице (</w:t>
      </w:r>
      <w:r w:rsidRPr="00EF2F18">
        <w:rPr>
          <w:rFonts w:cs="Times New Roman"/>
          <w:i/>
          <w:sz w:val="22"/>
          <w:lang w:val="sr-Cyrl-RS"/>
        </w:rPr>
        <w:t>Strеptоpеliа turtur</w:t>
      </w:r>
      <w:r w:rsidRPr="00EF2F18">
        <w:rPr>
          <w:rFonts w:cs="Times New Roman"/>
          <w:sz w:val="22"/>
          <w:lang w:val="sr-Cyrl-RS"/>
        </w:rPr>
        <w:t>, L), препелице (</w:t>
      </w:r>
      <w:r w:rsidRPr="00EF2F18">
        <w:rPr>
          <w:rFonts w:cs="Times New Roman"/>
          <w:i/>
          <w:sz w:val="22"/>
          <w:lang w:val="sr-Cyrl-RS"/>
        </w:rPr>
        <w:t>Coturnix coturnix,</w:t>
      </w:r>
      <w:r w:rsidRPr="00EF2F18">
        <w:rPr>
          <w:rFonts w:cs="Times New Roman"/>
          <w:sz w:val="22"/>
          <w:lang w:val="sr-Cyrl-RS"/>
        </w:rPr>
        <w:t xml:space="preserve"> L) и зеца (</w:t>
      </w:r>
      <w:r w:rsidRPr="00EF2F18">
        <w:rPr>
          <w:rFonts w:cs="Times New Roman"/>
          <w:i/>
          <w:sz w:val="22"/>
          <w:lang w:val="sr-Cyrl-RS"/>
        </w:rPr>
        <w:t>Lepus europaeus</w:t>
      </w:r>
      <w:r w:rsidRPr="00EF2F18">
        <w:rPr>
          <w:rFonts w:cs="Times New Roman"/>
          <w:sz w:val="22"/>
          <w:lang w:val="sr-Cyrl-RS"/>
        </w:rPr>
        <w:t>, Pall) и других врста за чије стање постоји одређена брига, периодично се доносе посебне мере заштите, управљања и коришћења</w:t>
      </w:r>
      <w:r w:rsidR="00BF78D1" w:rsidRPr="00EF2F18">
        <w:rPr>
          <w:rFonts w:cs="Times New Roman"/>
          <w:sz w:val="22"/>
          <w:lang w:val="sr-Cyrl-RS"/>
        </w:rPr>
        <w:t>.</w:t>
      </w:r>
    </w:p>
    <w:p w14:paraId="4446D269" w14:textId="1046F9B2" w:rsidR="002E52B3" w:rsidRPr="00EF2F18" w:rsidRDefault="002E52B3" w:rsidP="00830EB6">
      <w:pPr>
        <w:autoSpaceDE w:val="0"/>
        <w:autoSpaceDN w:val="0"/>
        <w:adjustRightInd w:val="0"/>
        <w:spacing w:after="0"/>
        <w:ind w:firstLine="720"/>
        <w:jc w:val="both"/>
        <w:rPr>
          <w:rFonts w:cs="Times New Roman"/>
          <w:sz w:val="22"/>
          <w:lang w:val="sr-Cyrl-RS"/>
        </w:rPr>
      </w:pPr>
      <w:r w:rsidRPr="00EF2F18">
        <w:rPr>
          <w:noProof/>
          <w:lang w:val="sr-Cyrl-RS" w:eastAsia="sr-Cyrl-RS"/>
        </w:rPr>
        <w:drawing>
          <wp:inline distT="0" distB="0" distL="0" distR="0" wp14:anchorId="545276F9" wp14:editId="62806271">
            <wp:extent cx="5070933" cy="2179674"/>
            <wp:effectExtent l="0" t="0" r="0" b="0"/>
            <wp:docPr id="818238080" name="Picture 5" descr="A graph of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38080" name="Picture 5" descr="A graph of a number of years&#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75656" cy="2181704"/>
                    </a:xfrm>
                    <a:prstGeom prst="rect">
                      <a:avLst/>
                    </a:prstGeom>
                    <a:noFill/>
                    <a:ln>
                      <a:noFill/>
                    </a:ln>
                  </pic:spPr>
                </pic:pic>
              </a:graphicData>
            </a:graphic>
          </wp:inline>
        </w:drawing>
      </w:r>
    </w:p>
    <w:p w14:paraId="72785184" w14:textId="0377787D" w:rsidR="00BC2FBE" w:rsidRPr="00EF2F18" w:rsidRDefault="00BC2FBE" w:rsidP="000F3016">
      <w:pPr>
        <w:spacing w:after="0"/>
        <w:rPr>
          <w:rFonts w:cs="Times New Roman"/>
          <w:sz w:val="22"/>
          <w:lang w:val="sr-Cyrl-RS"/>
        </w:rPr>
      </w:pPr>
      <w:r w:rsidRPr="00EF2F18">
        <w:rPr>
          <w:rFonts w:cs="Times New Roman"/>
          <w:b/>
          <w:bCs/>
          <w:sz w:val="22"/>
          <w:lang w:val="sr-Cyrl-RS"/>
        </w:rPr>
        <w:t>Слика 3</w:t>
      </w:r>
      <w:r w:rsidR="002E52B3" w:rsidRPr="00EF2F18">
        <w:rPr>
          <w:rFonts w:cs="Times New Roman"/>
          <w:b/>
          <w:bCs/>
          <w:sz w:val="22"/>
          <w:lang w:val="sr-Cyrl-RS"/>
        </w:rPr>
        <w:t>.</w:t>
      </w:r>
      <w:r w:rsidR="00FA4A67" w:rsidRPr="00EF2F18">
        <w:rPr>
          <w:rFonts w:cs="Times New Roman"/>
          <w:b/>
          <w:bCs/>
          <w:sz w:val="22"/>
          <w:lang w:val="sr-Cyrl-RS"/>
        </w:rPr>
        <w:t>35.</w:t>
      </w:r>
      <w:r w:rsidR="002E52B3" w:rsidRPr="00EF2F18">
        <w:rPr>
          <w:rFonts w:cs="Times New Roman"/>
          <w:sz w:val="22"/>
          <w:lang w:val="sr-Cyrl-RS"/>
        </w:rPr>
        <w:t xml:space="preserve"> Тренд бројности популација одабраних </w:t>
      </w:r>
      <w:r w:rsidR="00FA4A67" w:rsidRPr="00EF2F18">
        <w:rPr>
          <w:rFonts w:cs="Times New Roman"/>
          <w:sz w:val="22"/>
          <w:lang w:val="sr-Cyrl-RS"/>
        </w:rPr>
        <w:t xml:space="preserve">ловних </w:t>
      </w:r>
      <w:r w:rsidR="002E52B3" w:rsidRPr="00EF2F18">
        <w:rPr>
          <w:rFonts w:cs="Times New Roman"/>
          <w:sz w:val="22"/>
          <w:lang w:val="sr-Cyrl-RS"/>
        </w:rPr>
        <w:t>врста дивљачи</w:t>
      </w:r>
    </w:p>
    <w:p w14:paraId="4AA2C5AD" w14:textId="3793E479" w:rsidR="00BC2FBE" w:rsidRPr="00EF2F18" w:rsidRDefault="00BC2FBE" w:rsidP="00D13AA8">
      <w:pPr>
        <w:spacing w:after="0"/>
        <w:jc w:val="both"/>
        <w:rPr>
          <w:rFonts w:cs="Times New Roman"/>
          <w:i/>
          <w:iCs/>
          <w:sz w:val="22"/>
          <w:lang w:val="sr-Cyrl-RS"/>
        </w:rPr>
      </w:pPr>
      <w:r w:rsidRPr="00EF2F18">
        <w:rPr>
          <w:rFonts w:cs="Times New Roman"/>
          <w:i/>
          <w:iCs/>
          <w:sz w:val="22"/>
          <w:lang w:val="sr-Cyrl-RS"/>
        </w:rPr>
        <w:t>Извор: Агенција за заштиту животне средине, 202</w:t>
      </w:r>
      <w:r w:rsidR="00DF2CCC" w:rsidRPr="00EF2F18">
        <w:rPr>
          <w:rFonts w:cs="Times New Roman"/>
          <w:i/>
          <w:iCs/>
          <w:sz w:val="22"/>
          <w:lang w:val="sr-Cyrl-RS"/>
        </w:rPr>
        <w:t>4</w:t>
      </w:r>
      <w:r w:rsidR="00EC240C" w:rsidRPr="00EF2F18">
        <w:rPr>
          <w:rFonts w:cs="Times New Roman"/>
          <w:i/>
          <w:iCs/>
          <w:sz w:val="22"/>
          <w:lang w:val="sr-Cyrl-RS"/>
        </w:rPr>
        <w:t>.</w:t>
      </w:r>
    </w:p>
    <w:p w14:paraId="4710322E" w14:textId="77777777" w:rsidR="00BC2FBE" w:rsidRPr="00EF2F18" w:rsidRDefault="00BC2FBE" w:rsidP="00F15588">
      <w:pPr>
        <w:spacing w:after="0"/>
        <w:jc w:val="center"/>
        <w:rPr>
          <w:rFonts w:cs="Times New Roman"/>
          <w:sz w:val="22"/>
          <w:lang w:val="sr-Cyrl-RS"/>
        </w:rPr>
      </w:pPr>
    </w:p>
    <w:p w14:paraId="290EE484" w14:textId="40B04CA0" w:rsidR="00812E0B" w:rsidRPr="00EF2F18" w:rsidRDefault="006C1A98" w:rsidP="00812E0B">
      <w:pPr>
        <w:spacing w:after="0"/>
        <w:jc w:val="both"/>
        <w:rPr>
          <w:rFonts w:cs="Times New Roman"/>
          <w:sz w:val="22"/>
          <w:lang w:val="sr-Cyrl-RS"/>
        </w:rPr>
      </w:pPr>
      <w:r w:rsidRPr="00EF2F18">
        <w:rPr>
          <w:rFonts w:cs="Times New Roman"/>
          <w:b/>
          <w:bCs/>
          <w:sz w:val="22"/>
          <w:lang w:val="sr-Cyrl-RS"/>
        </w:rPr>
        <w:t xml:space="preserve">Табела </w:t>
      </w:r>
      <w:r w:rsidR="00C0735C" w:rsidRPr="00EF2F18">
        <w:rPr>
          <w:rFonts w:cs="Times New Roman"/>
          <w:b/>
          <w:bCs/>
          <w:sz w:val="22"/>
          <w:lang w:val="sr-Cyrl-RS"/>
        </w:rPr>
        <w:t>3</w:t>
      </w:r>
      <w:r w:rsidR="00F36CC7" w:rsidRPr="00EF2F18">
        <w:rPr>
          <w:rFonts w:cs="Times New Roman"/>
          <w:b/>
          <w:bCs/>
          <w:sz w:val="22"/>
          <w:lang w:val="sr-Cyrl-RS"/>
        </w:rPr>
        <w:t>.3.</w:t>
      </w:r>
      <w:r w:rsidR="00812E0B" w:rsidRPr="00EF2F18">
        <w:rPr>
          <w:rFonts w:cs="Times New Roman"/>
          <w:sz w:val="22"/>
          <w:lang w:val="sr-Cyrl-RS"/>
        </w:rPr>
        <w:t xml:space="preserve"> </w:t>
      </w:r>
      <w:r w:rsidR="002E52B3" w:rsidRPr="00EF2F18">
        <w:rPr>
          <w:rFonts w:cs="Times New Roman"/>
          <w:sz w:val="22"/>
          <w:lang w:val="sr-Cyrl-RS"/>
        </w:rPr>
        <w:t>Б</w:t>
      </w:r>
      <w:r w:rsidR="00812E0B" w:rsidRPr="00EF2F18">
        <w:rPr>
          <w:rFonts w:cs="Times New Roman"/>
          <w:sz w:val="22"/>
          <w:lang w:val="sr-Cyrl-RS"/>
        </w:rPr>
        <w:t xml:space="preserve">ројност популација одабраних </w:t>
      </w:r>
      <w:r w:rsidR="004724C6" w:rsidRPr="00EF2F18">
        <w:rPr>
          <w:rFonts w:cs="Times New Roman"/>
          <w:sz w:val="22"/>
          <w:lang w:val="sr-Cyrl-RS"/>
        </w:rPr>
        <w:t xml:space="preserve">ловних </w:t>
      </w:r>
      <w:r w:rsidR="00812E0B" w:rsidRPr="00EF2F18">
        <w:rPr>
          <w:rFonts w:cs="Times New Roman"/>
          <w:sz w:val="22"/>
          <w:lang w:val="sr-Cyrl-RS"/>
        </w:rPr>
        <w:t>врста дивљачи</w:t>
      </w:r>
    </w:p>
    <w:tbl>
      <w:tblPr>
        <w:tblStyle w:val="TableGrid"/>
        <w:tblW w:w="0" w:type="auto"/>
        <w:tblLook w:val="04A0" w:firstRow="1" w:lastRow="0" w:firstColumn="1" w:lastColumn="0" w:noHBand="0" w:noVBand="1"/>
      </w:tblPr>
      <w:tblGrid>
        <w:gridCol w:w="3005"/>
        <w:gridCol w:w="3006"/>
        <w:gridCol w:w="3006"/>
      </w:tblGrid>
      <w:tr w:rsidR="006C1A98" w:rsidRPr="00EF2F18" w14:paraId="5F5820EB" w14:textId="77777777" w:rsidTr="00D13AA8">
        <w:tc>
          <w:tcPr>
            <w:tcW w:w="3005" w:type="dxa"/>
            <w:shd w:val="clear" w:color="auto" w:fill="FFFFCC"/>
          </w:tcPr>
          <w:p w14:paraId="338E7DF1" w14:textId="77777777" w:rsidR="006C1A98" w:rsidRPr="00EF2F18" w:rsidRDefault="006C1A98" w:rsidP="00812E0B">
            <w:pPr>
              <w:spacing w:after="0"/>
              <w:jc w:val="both"/>
              <w:rPr>
                <w:rFonts w:cs="Times New Roman"/>
                <w:b/>
                <w:bCs/>
                <w:sz w:val="22"/>
                <w:lang w:val="sr-Cyrl-RS"/>
              </w:rPr>
            </w:pPr>
          </w:p>
        </w:tc>
        <w:tc>
          <w:tcPr>
            <w:tcW w:w="3006" w:type="dxa"/>
            <w:shd w:val="clear" w:color="auto" w:fill="FFFFCC"/>
          </w:tcPr>
          <w:p w14:paraId="7C8260C3" w14:textId="0DC3EA93" w:rsidR="006C1A98" w:rsidRPr="00EF2F18" w:rsidRDefault="006C1A98" w:rsidP="00D13AA8">
            <w:pPr>
              <w:spacing w:after="0"/>
              <w:jc w:val="center"/>
              <w:rPr>
                <w:rFonts w:cs="Times New Roman"/>
                <w:b/>
                <w:bCs/>
                <w:sz w:val="20"/>
                <w:szCs w:val="20"/>
                <w:lang w:val="sr-Cyrl-RS"/>
              </w:rPr>
            </w:pPr>
            <w:r w:rsidRPr="00EF2F18">
              <w:rPr>
                <w:rFonts w:cs="Times New Roman"/>
                <w:b/>
                <w:bCs/>
                <w:sz w:val="20"/>
                <w:szCs w:val="20"/>
                <w:lang w:val="sr-Cyrl-RS"/>
              </w:rPr>
              <w:t>Матични фонд</w:t>
            </w:r>
          </w:p>
        </w:tc>
        <w:tc>
          <w:tcPr>
            <w:tcW w:w="3006" w:type="dxa"/>
            <w:shd w:val="clear" w:color="auto" w:fill="FFFFCC"/>
          </w:tcPr>
          <w:p w14:paraId="30C70D5B" w14:textId="2523BCF4" w:rsidR="006C1A98" w:rsidRPr="00EF2F18" w:rsidRDefault="003E5E7D" w:rsidP="00D13AA8">
            <w:pPr>
              <w:spacing w:after="0"/>
              <w:jc w:val="center"/>
              <w:rPr>
                <w:rFonts w:cs="Times New Roman"/>
                <w:b/>
                <w:bCs/>
                <w:sz w:val="20"/>
                <w:szCs w:val="20"/>
                <w:lang w:val="sr-Cyrl-RS"/>
              </w:rPr>
            </w:pPr>
            <w:r w:rsidRPr="00EF2F18">
              <w:rPr>
                <w:rFonts w:cs="Times New Roman"/>
                <w:b/>
                <w:bCs/>
                <w:sz w:val="20"/>
                <w:szCs w:val="20"/>
                <w:lang w:val="sr-Cyrl-RS"/>
              </w:rPr>
              <w:t>Излов</w:t>
            </w:r>
          </w:p>
        </w:tc>
      </w:tr>
      <w:tr w:rsidR="00307989" w:rsidRPr="00EF2F18" w14:paraId="74DC4A26" w14:textId="77777777" w:rsidTr="00752CA0">
        <w:tc>
          <w:tcPr>
            <w:tcW w:w="9017" w:type="dxa"/>
            <w:gridSpan w:val="3"/>
          </w:tcPr>
          <w:p w14:paraId="361C4052" w14:textId="564A1406" w:rsidR="00307989" w:rsidRPr="00EF2F18" w:rsidRDefault="00307989" w:rsidP="00D13AA8">
            <w:pPr>
              <w:spacing w:after="0"/>
              <w:rPr>
                <w:rFonts w:cs="Times New Roman"/>
                <w:sz w:val="20"/>
                <w:szCs w:val="20"/>
                <w:lang w:val="sr-Cyrl-RS"/>
              </w:rPr>
            </w:pPr>
            <w:r w:rsidRPr="00EF2F18">
              <w:rPr>
                <w:rFonts w:cs="Times New Roman"/>
                <w:b/>
                <w:bCs/>
                <w:sz w:val="22"/>
                <w:lang w:val="sr-Cyrl-RS"/>
              </w:rPr>
              <w:t>2022/2023.</w:t>
            </w:r>
          </w:p>
        </w:tc>
      </w:tr>
      <w:tr w:rsidR="00307989" w:rsidRPr="00EF2F18" w14:paraId="1FE63677" w14:textId="77777777">
        <w:tc>
          <w:tcPr>
            <w:tcW w:w="3005" w:type="dxa"/>
          </w:tcPr>
          <w:p w14:paraId="42159522" w14:textId="5B7DFEC2" w:rsidR="00307989" w:rsidRPr="00EF2F18" w:rsidRDefault="00307989" w:rsidP="00307989">
            <w:pPr>
              <w:spacing w:after="0"/>
              <w:jc w:val="both"/>
              <w:rPr>
                <w:rFonts w:cs="Times New Roman"/>
                <w:sz w:val="22"/>
                <w:lang w:val="sr-Cyrl-RS"/>
              </w:rPr>
            </w:pPr>
            <w:r w:rsidRPr="00EF2F18">
              <w:rPr>
                <w:rFonts w:cs="Times New Roman"/>
                <w:sz w:val="22"/>
                <w:lang w:val="sr-Cyrl-RS"/>
              </w:rPr>
              <w:t>Дивља свиња</w:t>
            </w:r>
          </w:p>
        </w:tc>
        <w:tc>
          <w:tcPr>
            <w:tcW w:w="3006" w:type="dxa"/>
          </w:tcPr>
          <w:p w14:paraId="5107009C" w14:textId="5AA9188D"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28.497</w:t>
            </w:r>
          </w:p>
        </w:tc>
        <w:tc>
          <w:tcPr>
            <w:tcW w:w="3006" w:type="dxa"/>
          </w:tcPr>
          <w:p w14:paraId="14AF308C" w14:textId="72055D88"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8.548</w:t>
            </w:r>
          </w:p>
        </w:tc>
      </w:tr>
      <w:tr w:rsidR="00307989" w:rsidRPr="00EF2F18" w14:paraId="1D7691BA" w14:textId="77777777">
        <w:tc>
          <w:tcPr>
            <w:tcW w:w="3005" w:type="dxa"/>
          </w:tcPr>
          <w:p w14:paraId="5DC43145" w14:textId="1C783BD0" w:rsidR="00307989" w:rsidRPr="00EF2F18" w:rsidRDefault="00307989" w:rsidP="00307989">
            <w:pPr>
              <w:spacing w:after="0"/>
              <w:jc w:val="both"/>
              <w:rPr>
                <w:rFonts w:cs="Times New Roman"/>
                <w:sz w:val="22"/>
                <w:lang w:val="sr-Cyrl-RS"/>
              </w:rPr>
            </w:pPr>
            <w:r w:rsidRPr="00EF2F18">
              <w:rPr>
                <w:rFonts w:cs="Times New Roman"/>
                <w:sz w:val="22"/>
                <w:lang w:val="sr-Cyrl-RS"/>
              </w:rPr>
              <w:t>Срна</w:t>
            </w:r>
          </w:p>
        </w:tc>
        <w:tc>
          <w:tcPr>
            <w:tcW w:w="3006" w:type="dxa"/>
          </w:tcPr>
          <w:p w14:paraId="4AA30D31" w14:textId="7304F1DD"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138.828</w:t>
            </w:r>
          </w:p>
        </w:tc>
        <w:tc>
          <w:tcPr>
            <w:tcW w:w="3006" w:type="dxa"/>
          </w:tcPr>
          <w:p w14:paraId="6C3DE491" w14:textId="210E609A"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7.887</w:t>
            </w:r>
          </w:p>
        </w:tc>
      </w:tr>
      <w:tr w:rsidR="00307989" w:rsidRPr="00EF2F18" w14:paraId="4567C39D" w14:textId="77777777">
        <w:tc>
          <w:tcPr>
            <w:tcW w:w="3005" w:type="dxa"/>
          </w:tcPr>
          <w:p w14:paraId="68C15A92" w14:textId="21A55490" w:rsidR="00307989" w:rsidRPr="00EF2F18" w:rsidRDefault="00307989" w:rsidP="00307989">
            <w:pPr>
              <w:spacing w:after="0"/>
              <w:jc w:val="both"/>
              <w:rPr>
                <w:rFonts w:cs="Times New Roman"/>
                <w:sz w:val="22"/>
                <w:lang w:val="sr-Cyrl-RS"/>
              </w:rPr>
            </w:pPr>
            <w:r w:rsidRPr="00EF2F18">
              <w:rPr>
                <w:rFonts w:cs="Times New Roman"/>
                <w:sz w:val="22"/>
                <w:lang w:val="sr-Cyrl-RS"/>
              </w:rPr>
              <w:t>Зец</w:t>
            </w:r>
          </w:p>
        </w:tc>
        <w:tc>
          <w:tcPr>
            <w:tcW w:w="3006" w:type="dxa"/>
          </w:tcPr>
          <w:p w14:paraId="5CBC7040" w14:textId="3808ECCE"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387.383</w:t>
            </w:r>
          </w:p>
        </w:tc>
        <w:tc>
          <w:tcPr>
            <w:tcW w:w="3006" w:type="dxa"/>
          </w:tcPr>
          <w:p w14:paraId="442B1F97" w14:textId="09AF4F45"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17.274</w:t>
            </w:r>
          </w:p>
        </w:tc>
      </w:tr>
      <w:tr w:rsidR="00307989" w:rsidRPr="00EF2F18" w14:paraId="495035FC" w14:textId="77777777">
        <w:tc>
          <w:tcPr>
            <w:tcW w:w="3005" w:type="dxa"/>
          </w:tcPr>
          <w:p w14:paraId="70E034E6" w14:textId="730BA1BB" w:rsidR="00307989" w:rsidRPr="00EF2F18" w:rsidRDefault="00307989" w:rsidP="00307989">
            <w:pPr>
              <w:spacing w:after="0"/>
              <w:jc w:val="both"/>
              <w:rPr>
                <w:rFonts w:cs="Times New Roman"/>
                <w:sz w:val="22"/>
                <w:lang w:val="sr-Cyrl-RS"/>
              </w:rPr>
            </w:pPr>
            <w:r w:rsidRPr="00EF2F18">
              <w:rPr>
                <w:rFonts w:cs="Times New Roman"/>
                <w:sz w:val="22"/>
                <w:lang w:val="sr-Cyrl-RS"/>
              </w:rPr>
              <w:t>Препелица</w:t>
            </w:r>
          </w:p>
        </w:tc>
        <w:tc>
          <w:tcPr>
            <w:tcW w:w="3006" w:type="dxa"/>
          </w:tcPr>
          <w:p w14:paraId="645A6293" w14:textId="49717952"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471.930</w:t>
            </w:r>
          </w:p>
        </w:tc>
        <w:tc>
          <w:tcPr>
            <w:tcW w:w="3006" w:type="dxa"/>
          </w:tcPr>
          <w:p w14:paraId="7A848787" w14:textId="11248A18" w:rsidR="00307989"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15.714</w:t>
            </w:r>
          </w:p>
        </w:tc>
      </w:tr>
      <w:tr w:rsidR="006C1A98" w:rsidRPr="00EF2F18" w14:paraId="173C38EC" w14:textId="77777777">
        <w:tc>
          <w:tcPr>
            <w:tcW w:w="3005" w:type="dxa"/>
          </w:tcPr>
          <w:p w14:paraId="7D8F8B57" w14:textId="77777777" w:rsidR="006C1A98" w:rsidRPr="00EF2F18" w:rsidRDefault="006C1A98" w:rsidP="00812E0B">
            <w:pPr>
              <w:spacing w:after="0"/>
              <w:jc w:val="both"/>
              <w:rPr>
                <w:rFonts w:cs="Times New Roman"/>
                <w:sz w:val="22"/>
                <w:lang w:val="sr-Cyrl-RS"/>
              </w:rPr>
            </w:pPr>
          </w:p>
        </w:tc>
        <w:tc>
          <w:tcPr>
            <w:tcW w:w="3006" w:type="dxa"/>
          </w:tcPr>
          <w:p w14:paraId="06E190AE" w14:textId="77777777" w:rsidR="006C1A98" w:rsidRPr="00EF2F18" w:rsidRDefault="006C1A98" w:rsidP="00D13AA8">
            <w:pPr>
              <w:spacing w:after="0"/>
              <w:jc w:val="center"/>
              <w:rPr>
                <w:rFonts w:cs="Times New Roman"/>
                <w:sz w:val="20"/>
                <w:szCs w:val="20"/>
                <w:lang w:val="sr-Cyrl-RS"/>
              </w:rPr>
            </w:pPr>
          </w:p>
        </w:tc>
        <w:tc>
          <w:tcPr>
            <w:tcW w:w="3006" w:type="dxa"/>
          </w:tcPr>
          <w:p w14:paraId="1678114B" w14:textId="77777777" w:rsidR="006C1A98" w:rsidRPr="00EF2F18" w:rsidRDefault="006C1A98" w:rsidP="00D13AA8">
            <w:pPr>
              <w:spacing w:after="0"/>
              <w:jc w:val="center"/>
              <w:rPr>
                <w:rFonts w:cs="Times New Roman"/>
                <w:sz w:val="20"/>
                <w:szCs w:val="20"/>
                <w:lang w:val="sr-Cyrl-RS"/>
              </w:rPr>
            </w:pPr>
          </w:p>
        </w:tc>
      </w:tr>
      <w:tr w:rsidR="00307989" w:rsidRPr="00EF2F18" w14:paraId="6667FCC2" w14:textId="77777777" w:rsidTr="00752CA0">
        <w:tc>
          <w:tcPr>
            <w:tcW w:w="9017" w:type="dxa"/>
            <w:gridSpan w:val="3"/>
          </w:tcPr>
          <w:p w14:paraId="1BD21B24" w14:textId="388161B4" w:rsidR="00307989" w:rsidRPr="00EF2F18" w:rsidRDefault="00307989" w:rsidP="00D13AA8">
            <w:pPr>
              <w:spacing w:after="0"/>
              <w:rPr>
                <w:rFonts w:cs="Times New Roman"/>
                <w:sz w:val="20"/>
                <w:szCs w:val="20"/>
                <w:lang w:val="sr-Cyrl-RS"/>
              </w:rPr>
            </w:pPr>
            <w:r w:rsidRPr="00EF2F18">
              <w:rPr>
                <w:rFonts w:cs="Times New Roman"/>
                <w:b/>
                <w:bCs/>
                <w:sz w:val="22"/>
                <w:lang w:val="sr-Cyrl-RS"/>
              </w:rPr>
              <w:t>2023/2024.</w:t>
            </w:r>
          </w:p>
        </w:tc>
      </w:tr>
      <w:tr w:rsidR="006C1A98" w:rsidRPr="00EF2F18" w14:paraId="16C65EF1" w14:textId="77777777">
        <w:tc>
          <w:tcPr>
            <w:tcW w:w="3005" w:type="dxa"/>
          </w:tcPr>
          <w:p w14:paraId="0BF7AD94" w14:textId="13FCFADA" w:rsidR="006C1A98" w:rsidRPr="00EF2F18" w:rsidRDefault="006C1A98" w:rsidP="006C1A98">
            <w:pPr>
              <w:spacing w:after="0"/>
              <w:jc w:val="both"/>
              <w:rPr>
                <w:rFonts w:cs="Times New Roman"/>
                <w:sz w:val="22"/>
                <w:lang w:val="sr-Cyrl-RS"/>
              </w:rPr>
            </w:pPr>
            <w:r w:rsidRPr="00EF2F18">
              <w:rPr>
                <w:rFonts w:cs="Times New Roman"/>
                <w:sz w:val="22"/>
                <w:lang w:val="sr-Cyrl-RS"/>
              </w:rPr>
              <w:t>Дивља свиња</w:t>
            </w:r>
          </w:p>
        </w:tc>
        <w:tc>
          <w:tcPr>
            <w:tcW w:w="3006" w:type="dxa"/>
          </w:tcPr>
          <w:p w14:paraId="37CACF39" w14:textId="6F6C6DF3"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29.242</w:t>
            </w:r>
          </w:p>
        </w:tc>
        <w:tc>
          <w:tcPr>
            <w:tcW w:w="3006" w:type="dxa"/>
          </w:tcPr>
          <w:p w14:paraId="7A7C89FB" w14:textId="128BB82D"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8.597</w:t>
            </w:r>
          </w:p>
        </w:tc>
      </w:tr>
      <w:tr w:rsidR="006C1A98" w:rsidRPr="00EF2F18" w14:paraId="794C151C" w14:textId="77777777">
        <w:tc>
          <w:tcPr>
            <w:tcW w:w="3005" w:type="dxa"/>
          </w:tcPr>
          <w:p w14:paraId="70F4F317" w14:textId="6B3026C7" w:rsidR="006C1A98" w:rsidRPr="00EF2F18" w:rsidRDefault="006C1A98" w:rsidP="006C1A98">
            <w:pPr>
              <w:spacing w:after="0"/>
              <w:jc w:val="both"/>
              <w:rPr>
                <w:rFonts w:cs="Times New Roman"/>
                <w:sz w:val="22"/>
                <w:lang w:val="sr-Cyrl-RS"/>
              </w:rPr>
            </w:pPr>
            <w:r w:rsidRPr="00EF2F18">
              <w:rPr>
                <w:rFonts w:cs="Times New Roman"/>
                <w:sz w:val="22"/>
                <w:lang w:val="sr-Cyrl-RS"/>
              </w:rPr>
              <w:t>Срна</w:t>
            </w:r>
          </w:p>
        </w:tc>
        <w:tc>
          <w:tcPr>
            <w:tcW w:w="3006" w:type="dxa"/>
          </w:tcPr>
          <w:p w14:paraId="001EB404" w14:textId="675F0663"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144.920</w:t>
            </w:r>
          </w:p>
        </w:tc>
        <w:tc>
          <w:tcPr>
            <w:tcW w:w="3006" w:type="dxa"/>
          </w:tcPr>
          <w:p w14:paraId="34ECBE44" w14:textId="6117AB35"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7.281</w:t>
            </w:r>
          </w:p>
        </w:tc>
      </w:tr>
      <w:tr w:rsidR="006C1A98" w:rsidRPr="00EF2F18" w14:paraId="5CA04FEC" w14:textId="77777777">
        <w:tc>
          <w:tcPr>
            <w:tcW w:w="3005" w:type="dxa"/>
          </w:tcPr>
          <w:p w14:paraId="6DF2F6C1" w14:textId="314C993A" w:rsidR="006C1A98" w:rsidRPr="00EF2F18" w:rsidRDefault="006C1A98" w:rsidP="006C1A98">
            <w:pPr>
              <w:spacing w:after="0"/>
              <w:jc w:val="both"/>
              <w:rPr>
                <w:rFonts w:cs="Times New Roman"/>
                <w:sz w:val="22"/>
                <w:lang w:val="sr-Cyrl-RS"/>
              </w:rPr>
            </w:pPr>
            <w:r w:rsidRPr="00EF2F18">
              <w:rPr>
                <w:rFonts w:cs="Times New Roman"/>
                <w:sz w:val="22"/>
                <w:lang w:val="sr-Cyrl-RS"/>
              </w:rPr>
              <w:t>Зец</w:t>
            </w:r>
          </w:p>
        </w:tc>
        <w:tc>
          <w:tcPr>
            <w:tcW w:w="3006" w:type="dxa"/>
          </w:tcPr>
          <w:p w14:paraId="1CF133FD" w14:textId="1E19EA9E"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424.420</w:t>
            </w:r>
          </w:p>
        </w:tc>
        <w:tc>
          <w:tcPr>
            <w:tcW w:w="3006" w:type="dxa"/>
          </w:tcPr>
          <w:p w14:paraId="6C643DB6" w14:textId="3C9B5DF2"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14.551</w:t>
            </w:r>
          </w:p>
        </w:tc>
      </w:tr>
      <w:tr w:rsidR="006C1A98" w:rsidRPr="00EF2F18" w14:paraId="66176AEF" w14:textId="77777777">
        <w:tc>
          <w:tcPr>
            <w:tcW w:w="3005" w:type="dxa"/>
          </w:tcPr>
          <w:p w14:paraId="1F43583C" w14:textId="629F2680" w:rsidR="006C1A98" w:rsidRPr="00EF2F18" w:rsidRDefault="006C1A98" w:rsidP="006C1A98">
            <w:pPr>
              <w:spacing w:after="0"/>
              <w:jc w:val="both"/>
              <w:rPr>
                <w:rFonts w:cs="Times New Roman"/>
                <w:sz w:val="22"/>
                <w:lang w:val="sr-Cyrl-RS"/>
              </w:rPr>
            </w:pPr>
            <w:r w:rsidRPr="00EF2F18">
              <w:rPr>
                <w:rFonts w:cs="Times New Roman"/>
                <w:sz w:val="22"/>
                <w:lang w:val="sr-Cyrl-RS"/>
              </w:rPr>
              <w:t>Препелица</w:t>
            </w:r>
          </w:p>
        </w:tc>
        <w:tc>
          <w:tcPr>
            <w:tcW w:w="3006" w:type="dxa"/>
          </w:tcPr>
          <w:p w14:paraId="759CB6E8" w14:textId="31FD239A"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513.547</w:t>
            </w:r>
          </w:p>
        </w:tc>
        <w:tc>
          <w:tcPr>
            <w:tcW w:w="3006" w:type="dxa"/>
          </w:tcPr>
          <w:p w14:paraId="1821DC91" w14:textId="25473CF3"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15.443</w:t>
            </w:r>
          </w:p>
        </w:tc>
      </w:tr>
      <w:tr w:rsidR="006C1A98" w:rsidRPr="00EF2F18" w14:paraId="5F896C43" w14:textId="77777777">
        <w:tc>
          <w:tcPr>
            <w:tcW w:w="3005" w:type="dxa"/>
          </w:tcPr>
          <w:p w14:paraId="2111B107" w14:textId="77777777" w:rsidR="006C1A98" w:rsidRPr="00EF2F18" w:rsidRDefault="006C1A98" w:rsidP="006C1A98">
            <w:pPr>
              <w:spacing w:after="0"/>
              <w:jc w:val="both"/>
              <w:rPr>
                <w:rFonts w:cs="Times New Roman"/>
                <w:sz w:val="22"/>
                <w:lang w:val="sr-Cyrl-RS"/>
              </w:rPr>
            </w:pPr>
          </w:p>
        </w:tc>
        <w:tc>
          <w:tcPr>
            <w:tcW w:w="3006" w:type="dxa"/>
          </w:tcPr>
          <w:p w14:paraId="3EC12093" w14:textId="77777777" w:rsidR="006C1A98" w:rsidRPr="00EF2F18" w:rsidRDefault="006C1A98" w:rsidP="00D13AA8">
            <w:pPr>
              <w:spacing w:after="0"/>
              <w:jc w:val="center"/>
              <w:rPr>
                <w:rFonts w:cs="Times New Roman"/>
                <w:sz w:val="20"/>
                <w:szCs w:val="20"/>
                <w:lang w:val="sr-Cyrl-RS"/>
              </w:rPr>
            </w:pPr>
          </w:p>
        </w:tc>
        <w:tc>
          <w:tcPr>
            <w:tcW w:w="3006" w:type="dxa"/>
          </w:tcPr>
          <w:p w14:paraId="120B88BD" w14:textId="77777777" w:rsidR="006C1A98" w:rsidRPr="00EF2F18" w:rsidRDefault="006C1A98" w:rsidP="00D13AA8">
            <w:pPr>
              <w:spacing w:after="0"/>
              <w:jc w:val="center"/>
              <w:rPr>
                <w:rFonts w:cs="Times New Roman"/>
                <w:sz w:val="20"/>
                <w:szCs w:val="20"/>
                <w:lang w:val="sr-Cyrl-RS"/>
              </w:rPr>
            </w:pPr>
          </w:p>
        </w:tc>
      </w:tr>
      <w:tr w:rsidR="00307989" w:rsidRPr="00EF2F18" w14:paraId="51D724E6" w14:textId="77777777" w:rsidTr="00752CA0">
        <w:tc>
          <w:tcPr>
            <w:tcW w:w="9017" w:type="dxa"/>
            <w:gridSpan w:val="3"/>
          </w:tcPr>
          <w:p w14:paraId="19EDC624" w14:textId="19E50608" w:rsidR="00307989" w:rsidRPr="00EF2F18" w:rsidRDefault="00307989" w:rsidP="00D13AA8">
            <w:pPr>
              <w:spacing w:after="0"/>
              <w:rPr>
                <w:rFonts w:cs="Times New Roman"/>
                <w:sz w:val="20"/>
                <w:szCs w:val="20"/>
                <w:lang w:val="sr-Cyrl-RS"/>
              </w:rPr>
            </w:pPr>
            <w:r w:rsidRPr="00EF2F18">
              <w:rPr>
                <w:rFonts w:cs="Times New Roman"/>
                <w:b/>
                <w:bCs/>
                <w:sz w:val="22"/>
                <w:lang w:val="sr-Cyrl-RS"/>
              </w:rPr>
              <w:t>2024/2025</w:t>
            </w:r>
            <w:r w:rsidRPr="00EF2F18">
              <w:rPr>
                <w:rFonts w:cs="Times New Roman"/>
                <w:sz w:val="22"/>
                <w:lang w:val="sr-Cyrl-RS"/>
              </w:rPr>
              <w:t>.*</w:t>
            </w:r>
          </w:p>
        </w:tc>
      </w:tr>
      <w:tr w:rsidR="006C1A98" w:rsidRPr="00EF2F18" w14:paraId="16D474A3" w14:textId="77777777">
        <w:tc>
          <w:tcPr>
            <w:tcW w:w="3005" w:type="dxa"/>
          </w:tcPr>
          <w:p w14:paraId="6C5A23FC" w14:textId="173DE433" w:rsidR="006C1A98" w:rsidRPr="00EF2F18" w:rsidRDefault="006C1A98" w:rsidP="006C1A98">
            <w:pPr>
              <w:spacing w:after="0"/>
              <w:jc w:val="both"/>
              <w:rPr>
                <w:rFonts w:cs="Times New Roman"/>
                <w:sz w:val="22"/>
                <w:lang w:val="sr-Cyrl-RS"/>
              </w:rPr>
            </w:pPr>
            <w:r w:rsidRPr="00EF2F18">
              <w:rPr>
                <w:rFonts w:cs="Times New Roman"/>
                <w:sz w:val="22"/>
                <w:lang w:val="sr-Cyrl-RS"/>
              </w:rPr>
              <w:t>Дивља свиња</w:t>
            </w:r>
          </w:p>
        </w:tc>
        <w:tc>
          <w:tcPr>
            <w:tcW w:w="3006" w:type="dxa"/>
          </w:tcPr>
          <w:p w14:paraId="592371D5" w14:textId="7E20E15A"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24.320</w:t>
            </w:r>
          </w:p>
        </w:tc>
        <w:tc>
          <w:tcPr>
            <w:tcW w:w="3006" w:type="dxa"/>
          </w:tcPr>
          <w:p w14:paraId="3FD2D8D0" w14:textId="415F46A0"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4.273</w:t>
            </w:r>
          </w:p>
        </w:tc>
      </w:tr>
      <w:tr w:rsidR="006C1A98" w:rsidRPr="00EF2F18" w14:paraId="37550ECB" w14:textId="77777777">
        <w:tc>
          <w:tcPr>
            <w:tcW w:w="3005" w:type="dxa"/>
          </w:tcPr>
          <w:p w14:paraId="69B480F4" w14:textId="3C6844CE" w:rsidR="006C1A98" w:rsidRPr="00EF2F18" w:rsidRDefault="006C1A98" w:rsidP="006C1A98">
            <w:pPr>
              <w:spacing w:after="0"/>
              <w:jc w:val="both"/>
              <w:rPr>
                <w:rFonts w:cs="Times New Roman"/>
                <w:sz w:val="22"/>
                <w:lang w:val="sr-Cyrl-RS"/>
              </w:rPr>
            </w:pPr>
            <w:r w:rsidRPr="00EF2F18">
              <w:rPr>
                <w:rFonts w:cs="Times New Roman"/>
                <w:sz w:val="22"/>
                <w:lang w:val="sr-Cyrl-RS"/>
              </w:rPr>
              <w:t>Срна</w:t>
            </w:r>
          </w:p>
        </w:tc>
        <w:tc>
          <w:tcPr>
            <w:tcW w:w="3006" w:type="dxa"/>
          </w:tcPr>
          <w:p w14:paraId="4CC40707" w14:textId="60E05EBE"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120.586</w:t>
            </w:r>
          </w:p>
        </w:tc>
        <w:tc>
          <w:tcPr>
            <w:tcW w:w="3006" w:type="dxa"/>
          </w:tcPr>
          <w:p w14:paraId="174E7116" w14:textId="7765FE0A"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4.493</w:t>
            </w:r>
          </w:p>
        </w:tc>
      </w:tr>
      <w:tr w:rsidR="006C1A98" w:rsidRPr="00EF2F18" w14:paraId="22B220F5" w14:textId="77777777">
        <w:tc>
          <w:tcPr>
            <w:tcW w:w="3005" w:type="dxa"/>
          </w:tcPr>
          <w:p w14:paraId="0352F05C" w14:textId="0724693B" w:rsidR="006C1A98" w:rsidRPr="00EF2F18" w:rsidRDefault="006C1A98" w:rsidP="006C1A98">
            <w:pPr>
              <w:spacing w:after="0"/>
              <w:jc w:val="both"/>
              <w:rPr>
                <w:rFonts w:cs="Times New Roman"/>
                <w:sz w:val="22"/>
                <w:lang w:val="sr-Cyrl-RS"/>
              </w:rPr>
            </w:pPr>
            <w:r w:rsidRPr="00EF2F18">
              <w:rPr>
                <w:rFonts w:cs="Times New Roman"/>
                <w:sz w:val="22"/>
                <w:lang w:val="sr-Cyrl-RS"/>
              </w:rPr>
              <w:t>Зец</w:t>
            </w:r>
          </w:p>
        </w:tc>
        <w:tc>
          <w:tcPr>
            <w:tcW w:w="3006" w:type="dxa"/>
          </w:tcPr>
          <w:p w14:paraId="1FDBBD02" w14:textId="59C10104"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450.292</w:t>
            </w:r>
          </w:p>
        </w:tc>
        <w:tc>
          <w:tcPr>
            <w:tcW w:w="3006" w:type="dxa"/>
          </w:tcPr>
          <w:p w14:paraId="4BEEC96C" w14:textId="1449C1BD"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9.429</w:t>
            </w:r>
          </w:p>
        </w:tc>
      </w:tr>
      <w:tr w:rsidR="006C1A98" w:rsidRPr="00EF2F18" w14:paraId="523B413E" w14:textId="77777777">
        <w:tc>
          <w:tcPr>
            <w:tcW w:w="3005" w:type="dxa"/>
          </w:tcPr>
          <w:p w14:paraId="38C83D1F" w14:textId="1AE5C079" w:rsidR="006C1A98" w:rsidRPr="00EF2F18" w:rsidRDefault="006C1A98" w:rsidP="006C1A98">
            <w:pPr>
              <w:spacing w:after="0"/>
              <w:jc w:val="both"/>
              <w:rPr>
                <w:rFonts w:cs="Times New Roman"/>
                <w:sz w:val="22"/>
                <w:lang w:val="sr-Cyrl-RS"/>
              </w:rPr>
            </w:pPr>
            <w:r w:rsidRPr="00EF2F18">
              <w:rPr>
                <w:rFonts w:cs="Times New Roman"/>
                <w:sz w:val="22"/>
                <w:lang w:val="sr-Cyrl-RS"/>
              </w:rPr>
              <w:t>Препелица</w:t>
            </w:r>
          </w:p>
        </w:tc>
        <w:tc>
          <w:tcPr>
            <w:tcW w:w="3006" w:type="dxa"/>
          </w:tcPr>
          <w:p w14:paraId="74DD94FE" w14:textId="2A011572"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599.243</w:t>
            </w:r>
          </w:p>
        </w:tc>
        <w:tc>
          <w:tcPr>
            <w:tcW w:w="3006" w:type="dxa"/>
          </w:tcPr>
          <w:p w14:paraId="73A9C018" w14:textId="0E928CE3" w:rsidR="006C1A98" w:rsidRPr="00EF2F18" w:rsidRDefault="00307989" w:rsidP="00D13AA8">
            <w:pPr>
              <w:spacing w:after="0"/>
              <w:jc w:val="center"/>
              <w:rPr>
                <w:rFonts w:cs="Times New Roman"/>
                <w:sz w:val="20"/>
                <w:szCs w:val="20"/>
                <w:lang w:val="sr-Cyrl-RS"/>
              </w:rPr>
            </w:pPr>
            <w:r w:rsidRPr="00EF2F18">
              <w:rPr>
                <w:rFonts w:cs="Times New Roman"/>
                <w:sz w:val="20"/>
                <w:szCs w:val="20"/>
                <w:lang w:val="sr-Cyrl-RS"/>
              </w:rPr>
              <w:t>10.992</w:t>
            </w:r>
          </w:p>
        </w:tc>
      </w:tr>
    </w:tbl>
    <w:p w14:paraId="691E6B57" w14:textId="4A36DB1C" w:rsidR="006C1A98" w:rsidRPr="00EF2F18" w:rsidRDefault="00307989" w:rsidP="00812E0B">
      <w:pPr>
        <w:spacing w:after="0"/>
        <w:jc w:val="both"/>
        <w:rPr>
          <w:rFonts w:cs="Times New Roman"/>
          <w:sz w:val="22"/>
          <w:lang w:val="sr-Cyrl-RS"/>
        </w:rPr>
      </w:pPr>
      <w:r w:rsidRPr="00EF2F18">
        <w:rPr>
          <w:rFonts w:cs="Times New Roman"/>
          <w:sz w:val="22"/>
          <w:lang w:val="sr-Cyrl-RS"/>
        </w:rPr>
        <w:t>*</w:t>
      </w:r>
      <w:r w:rsidRPr="00EF2F18">
        <w:rPr>
          <w:rFonts w:cs="Times New Roman"/>
          <w:sz w:val="20"/>
          <w:szCs w:val="20"/>
          <w:lang w:val="sr-Cyrl-RS"/>
        </w:rPr>
        <w:t>за ловну 2024/2025. годину још увек нису ажурирани сви подаци о ловним врстама дивљачи (одстрел, губици и сл), јер се ловна година завршава 31. марта 2025.</w:t>
      </w:r>
    </w:p>
    <w:p w14:paraId="3B6171F9" w14:textId="71950B05" w:rsidR="00812E0B" w:rsidRPr="00EF2F18" w:rsidRDefault="00A634C6" w:rsidP="00812E0B">
      <w:pPr>
        <w:spacing w:after="0"/>
        <w:jc w:val="both"/>
        <w:rPr>
          <w:rFonts w:cs="Times New Roman"/>
          <w:sz w:val="22"/>
          <w:lang w:val="sr-Cyrl-RS"/>
        </w:rPr>
      </w:pPr>
      <w:r w:rsidRPr="00EF2F18">
        <w:rPr>
          <w:rFonts w:cs="Times New Roman"/>
          <w:i/>
          <w:sz w:val="22"/>
          <w:lang w:val="sr-Cyrl-RS"/>
        </w:rPr>
        <w:t xml:space="preserve">Извор: </w:t>
      </w:r>
      <w:r w:rsidR="006C1A98" w:rsidRPr="00EF2F18">
        <w:rPr>
          <w:rFonts w:cs="Times New Roman"/>
          <w:i/>
          <w:sz w:val="22"/>
          <w:lang w:val="sr-Cyrl-RS"/>
        </w:rPr>
        <w:t>Ловачки савез Србије</w:t>
      </w:r>
      <w:r w:rsidRPr="00EF2F18">
        <w:rPr>
          <w:rFonts w:cs="Times New Roman"/>
          <w:i/>
          <w:sz w:val="22"/>
          <w:lang w:val="sr-Cyrl-RS"/>
        </w:rPr>
        <w:t xml:space="preserve">, </w:t>
      </w:r>
      <w:r w:rsidR="00307989" w:rsidRPr="00EF2F18">
        <w:rPr>
          <w:rFonts w:cs="Times New Roman"/>
          <w:i/>
          <w:sz w:val="22"/>
          <w:lang w:val="sr-Cyrl-RS"/>
        </w:rPr>
        <w:t>2025</w:t>
      </w:r>
      <w:r w:rsidRPr="00EF2F18">
        <w:rPr>
          <w:rFonts w:cs="Times New Roman"/>
          <w:i/>
          <w:sz w:val="22"/>
          <w:lang w:val="sr-Cyrl-RS"/>
        </w:rPr>
        <w:t>.</w:t>
      </w:r>
    </w:p>
    <w:p w14:paraId="19613132" w14:textId="77777777" w:rsidR="00812E0B" w:rsidRPr="00EF2F18" w:rsidRDefault="00812E0B" w:rsidP="00812E0B">
      <w:pPr>
        <w:spacing w:after="0"/>
        <w:jc w:val="both"/>
        <w:rPr>
          <w:rFonts w:cs="Times New Roman"/>
          <w:sz w:val="22"/>
          <w:lang w:val="sr-Cyrl-RS"/>
        </w:rPr>
      </w:pPr>
    </w:p>
    <w:p w14:paraId="79DF2555" w14:textId="7FC72EC1" w:rsidR="00830EB6" w:rsidRPr="00EF2F18" w:rsidRDefault="00830EB6" w:rsidP="002A6208">
      <w:pPr>
        <w:spacing w:after="0"/>
        <w:ind w:firstLine="720"/>
        <w:jc w:val="both"/>
        <w:rPr>
          <w:rFonts w:eastAsia="Calibri" w:cs="Times New Roman"/>
          <w:spacing w:val="-4"/>
          <w:sz w:val="22"/>
          <w:lang w:val="sr-Cyrl-RS"/>
        </w:rPr>
      </w:pPr>
      <w:r w:rsidRPr="00EF2F18">
        <w:rPr>
          <w:rFonts w:cs="Times New Roman"/>
          <w:sz w:val="22"/>
          <w:lang w:val="sr-Cyrl-RS"/>
        </w:rPr>
        <w:t xml:space="preserve">Основни законски акт у области ловства је </w:t>
      </w:r>
      <w:r w:rsidRPr="00EF2F18">
        <w:rPr>
          <w:rFonts w:cs="Times New Roman"/>
          <w:bCs/>
          <w:sz w:val="22"/>
          <w:lang w:val="sr-Cyrl-RS"/>
        </w:rPr>
        <w:t xml:space="preserve">Закон о дивљачи и ловству </w:t>
      </w:r>
      <w:r w:rsidRPr="00EF2F18">
        <w:rPr>
          <w:rFonts w:eastAsia="Calibri" w:cs="Times New Roman"/>
          <w:bCs/>
          <w:iCs/>
          <w:sz w:val="22"/>
          <w:lang w:val="sr-Cyrl-RS" w:eastAsia="zh-CN"/>
        </w:rPr>
        <w:t>(„Службени гласник РС</w:t>
      </w:r>
      <w:r w:rsidRPr="00EF2F18">
        <w:rPr>
          <w:rFonts w:eastAsia="Calibri" w:cs="Times New Roman"/>
          <w:sz w:val="22"/>
          <w:lang w:val="sr-Cyrl-RS"/>
        </w:rPr>
        <w:t>”</w:t>
      </w:r>
      <w:r w:rsidRPr="00EF2F18">
        <w:rPr>
          <w:rFonts w:eastAsia="Calibri" w:cs="Times New Roman"/>
          <w:bCs/>
          <w:iCs/>
          <w:sz w:val="22"/>
          <w:lang w:val="sr-Cyrl-RS" w:eastAsia="zh-CN"/>
        </w:rPr>
        <w:t>, бр. 18/10</w:t>
      </w:r>
      <w:r w:rsidR="00BD3DD6" w:rsidRPr="00EF2F18">
        <w:rPr>
          <w:rFonts w:eastAsia="Calibri" w:cs="Times New Roman"/>
          <w:bCs/>
          <w:iCs/>
          <w:sz w:val="22"/>
          <w:lang w:val="sr-Cyrl-RS" w:eastAsia="zh-CN"/>
        </w:rPr>
        <w:t>,</w:t>
      </w:r>
      <w:r w:rsidRPr="00EF2F18">
        <w:rPr>
          <w:rFonts w:eastAsia="Calibri" w:cs="Times New Roman"/>
          <w:bCs/>
          <w:iCs/>
          <w:sz w:val="22"/>
          <w:lang w:val="sr-Cyrl-RS" w:eastAsia="zh-CN"/>
        </w:rPr>
        <w:t xml:space="preserve"> 95/18 – др. </w:t>
      </w:r>
      <w:r w:rsidR="00BD3DD6" w:rsidRPr="00EF2F18">
        <w:rPr>
          <w:rFonts w:eastAsia="Calibri" w:cs="Times New Roman"/>
          <w:bCs/>
          <w:iCs/>
          <w:sz w:val="22"/>
          <w:lang w:val="sr-Cyrl-RS" w:eastAsia="zh-CN"/>
        </w:rPr>
        <w:t>закон и 92/23 – др. закон</w:t>
      </w:r>
      <w:r w:rsidRPr="00EF2F18">
        <w:rPr>
          <w:rFonts w:eastAsia="Calibri" w:cs="Times New Roman"/>
          <w:bCs/>
          <w:iCs/>
          <w:sz w:val="22"/>
          <w:lang w:val="sr-Cyrl-RS" w:eastAsia="zh-CN"/>
        </w:rPr>
        <w:t>)</w:t>
      </w:r>
      <w:r w:rsidRPr="00EF2F18">
        <w:rPr>
          <w:rFonts w:cs="Times New Roman"/>
          <w:bCs/>
          <w:sz w:val="22"/>
          <w:lang w:val="sr-Cyrl-RS"/>
        </w:rPr>
        <w:t xml:space="preserve"> којим се директно прописује</w:t>
      </w:r>
      <w:r w:rsidRPr="00EF2F18">
        <w:rPr>
          <w:rFonts w:cs="Times New Roman"/>
          <w:sz w:val="22"/>
          <w:lang w:val="sr-Cyrl-RS"/>
        </w:rPr>
        <w:t xml:space="preserve"> заштита, уређивање и одржавање ловишта, заштита, очување и унапређивање станишта дивљачи и пре свега заштита, управљање, лов, коришћење и унапређивање популација дивљачи у ловишту.</w:t>
      </w:r>
      <w:r w:rsidR="00C611F4" w:rsidRPr="00EF2F18">
        <w:rPr>
          <w:rFonts w:cs="Times New Roman"/>
          <w:sz w:val="22"/>
          <w:lang w:val="sr-Cyrl-RS"/>
        </w:rPr>
        <w:t xml:space="preserve"> </w:t>
      </w:r>
      <w:r w:rsidRPr="00EF2F18">
        <w:rPr>
          <w:rFonts w:eastAsia="Calibri" w:cs="Times New Roman"/>
          <w:spacing w:val="-4"/>
          <w:sz w:val="22"/>
          <w:lang w:val="sr-Cyrl-RS"/>
        </w:rPr>
        <w:t xml:space="preserve">На основу овог </w:t>
      </w:r>
      <w:r w:rsidR="00CA7067" w:rsidRPr="00EF2F18">
        <w:rPr>
          <w:rFonts w:eastAsia="Calibri" w:cs="Times New Roman"/>
          <w:spacing w:val="-4"/>
          <w:sz w:val="22"/>
          <w:lang w:val="sr-Cyrl-RS"/>
        </w:rPr>
        <w:t>з</w:t>
      </w:r>
      <w:r w:rsidRPr="00EF2F18">
        <w:rPr>
          <w:rFonts w:eastAsia="Calibri" w:cs="Times New Roman"/>
          <w:spacing w:val="-4"/>
          <w:sz w:val="22"/>
          <w:lang w:val="sr-Cyrl-RS"/>
        </w:rPr>
        <w:t xml:space="preserve">акона дивљач је природно богатство и државна је имовина, чије се управљање, заштита, унапређивање и коришћење спроводи под условима и на начин предвиђен </w:t>
      </w:r>
      <w:r w:rsidR="00C611F4" w:rsidRPr="00EF2F18">
        <w:rPr>
          <w:rFonts w:eastAsia="Calibri" w:cs="Times New Roman"/>
          <w:spacing w:val="-4"/>
          <w:sz w:val="22"/>
          <w:lang w:val="sr-Cyrl-RS"/>
        </w:rPr>
        <w:t>законом</w:t>
      </w:r>
      <w:r w:rsidRPr="00EF2F18">
        <w:rPr>
          <w:rFonts w:eastAsia="Calibri" w:cs="Times New Roman"/>
          <w:bCs/>
          <w:iCs/>
          <w:sz w:val="22"/>
          <w:lang w:val="sr-Cyrl-RS" w:eastAsia="zh-CN"/>
        </w:rPr>
        <w:t>.</w:t>
      </w:r>
      <w:r w:rsidRPr="00EF2F18">
        <w:rPr>
          <w:rFonts w:eastAsia="Calibri" w:cs="Times New Roman"/>
          <w:spacing w:val="-4"/>
          <w:sz w:val="22"/>
          <w:lang w:val="sr-Cyrl-RS"/>
        </w:rPr>
        <w:t xml:space="preserve"> </w:t>
      </w:r>
    </w:p>
    <w:p w14:paraId="00A81F40" w14:textId="77777777" w:rsidR="00830EB6" w:rsidRPr="00EF2F18" w:rsidRDefault="00830EB6" w:rsidP="00830EB6">
      <w:pPr>
        <w:spacing w:after="0"/>
        <w:ind w:firstLine="567"/>
        <w:jc w:val="both"/>
        <w:rPr>
          <w:rFonts w:eastAsia="Calibri" w:cs="Times New Roman"/>
          <w:sz w:val="22"/>
          <w:lang w:val="sr-Cyrl-RS"/>
        </w:rPr>
      </w:pPr>
      <w:r w:rsidRPr="00EF2F18">
        <w:rPr>
          <w:rFonts w:eastAsia="Calibri" w:cs="Times New Roman"/>
          <w:sz w:val="22"/>
          <w:lang w:val="sr-Cyrl-RS"/>
        </w:rPr>
        <w:t xml:space="preserve">Статус корисника ловишта стичу одређена правна лица која су испунила законске услове за добијање права на газдовање ловиштима, потписивањем уговора о газдовању ловиштем. Корисник ловишта може да буде правно лице основано као јавно предузеће, привредно друштво, </w:t>
      </w:r>
      <w:r w:rsidRPr="00EF2F18">
        <w:rPr>
          <w:rFonts w:eastAsia="Calibri" w:cs="Times New Roman"/>
          <w:sz w:val="22"/>
          <w:lang w:val="sr-Cyrl-RS"/>
        </w:rPr>
        <w:lastRenderedPageBreak/>
        <w:t>други облик предузећа, као и ловачка удружења и друга удружења која су основана и делују у складу са законом.</w:t>
      </w:r>
    </w:p>
    <w:p w14:paraId="039DC310" w14:textId="709FAA2E" w:rsidR="00F00EDB" w:rsidRPr="00EF2F18" w:rsidRDefault="00830EB6" w:rsidP="00F00EDB">
      <w:pPr>
        <w:spacing w:after="0"/>
        <w:ind w:firstLine="720"/>
        <w:jc w:val="both"/>
        <w:rPr>
          <w:rFonts w:cs="Times New Roman"/>
          <w:sz w:val="22"/>
          <w:lang w:val="sr-Cyrl-RS"/>
        </w:rPr>
      </w:pPr>
      <w:r w:rsidRPr="00EF2F18">
        <w:rPr>
          <w:rFonts w:eastAsia="Calibri" w:cs="Times New Roman"/>
          <w:sz w:val="22"/>
          <w:lang w:val="sr-Cyrl-RS"/>
        </w:rPr>
        <w:t xml:space="preserve">Заштита и гајење дивљачи, уређивање и одржавање ловишта, лов и коришћење уловљене дивљачи и њених делова у ловишту и друга питања од значаја за планирање у ловству, врше се на основу планских докумената у ловству, прописаних </w:t>
      </w:r>
      <w:r w:rsidR="00AB4CDA" w:rsidRPr="00EF2F18">
        <w:rPr>
          <w:rFonts w:eastAsia="Calibri" w:cs="Times New Roman"/>
          <w:sz w:val="22"/>
          <w:lang w:val="sr-Cyrl-RS"/>
        </w:rPr>
        <w:t>з</w:t>
      </w:r>
      <w:r w:rsidRPr="00EF2F18">
        <w:rPr>
          <w:rFonts w:eastAsia="Calibri" w:cs="Times New Roman"/>
          <w:sz w:val="22"/>
          <w:lang w:val="sr-Cyrl-RS"/>
        </w:rPr>
        <w:t>аконом</w:t>
      </w:r>
      <w:r w:rsidR="00F00EDB" w:rsidRPr="00EF2F18">
        <w:rPr>
          <w:rFonts w:cs="Times New Roman"/>
          <w:sz w:val="22"/>
          <w:lang w:val="sr-Cyrl-RS"/>
        </w:rPr>
        <w:t>.</w:t>
      </w:r>
    </w:p>
    <w:p w14:paraId="477E468F" w14:textId="77777777" w:rsidR="00DF6676" w:rsidRPr="00EF2F18" w:rsidRDefault="00DF6676" w:rsidP="00F00EDB">
      <w:pPr>
        <w:spacing w:after="0"/>
        <w:jc w:val="both"/>
        <w:rPr>
          <w:rFonts w:cs="Times New Roman"/>
          <w:b/>
          <w:bCs/>
          <w:i/>
          <w:iCs/>
          <w:sz w:val="22"/>
          <w:lang w:val="sr-Cyrl-RS"/>
        </w:rPr>
      </w:pPr>
    </w:p>
    <w:p w14:paraId="1DCD6556" w14:textId="77777777" w:rsidR="00B35169" w:rsidRPr="00EF2F18" w:rsidRDefault="00B35169" w:rsidP="00F106C9">
      <w:pPr>
        <w:spacing w:after="0"/>
        <w:ind w:firstLine="720"/>
        <w:jc w:val="both"/>
        <w:rPr>
          <w:rFonts w:cs="Times New Roman"/>
          <w:b/>
          <w:bCs/>
          <w:i/>
          <w:iCs/>
          <w:sz w:val="22"/>
          <w:lang w:val="sr-Cyrl-RS"/>
        </w:rPr>
      </w:pPr>
      <w:r w:rsidRPr="00EF2F18">
        <w:rPr>
          <w:rFonts w:cs="Times New Roman"/>
          <w:b/>
          <w:bCs/>
          <w:i/>
          <w:iCs/>
          <w:sz w:val="22"/>
          <w:lang w:val="sr-Cyrl-RS"/>
        </w:rPr>
        <w:t>Рибарство</w:t>
      </w:r>
    </w:p>
    <w:p w14:paraId="0CD6819A" w14:textId="26C4AEDB" w:rsidR="00AE6112" w:rsidRPr="00EF2F18" w:rsidRDefault="00E60ED8" w:rsidP="008C1873">
      <w:pPr>
        <w:spacing w:after="0"/>
        <w:ind w:firstLine="720"/>
        <w:jc w:val="both"/>
        <w:rPr>
          <w:rFonts w:cs="Times New Roman"/>
          <w:sz w:val="22"/>
          <w:lang w:val="sr-Cyrl-RS"/>
        </w:rPr>
      </w:pPr>
      <w:r w:rsidRPr="00EF2F18">
        <w:rPr>
          <w:rFonts w:cs="Times New Roman"/>
          <w:sz w:val="22"/>
          <w:lang w:val="sr-Cyrl-RS"/>
        </w:rPr>
        <w:t>Ихтиофауна Републике Србије обухвата 5</w:t>
      </w:r>
      <w:r w:rsidR="00A07B04" w:rsidRPr="00EF2F18">
        <w:rPr>
          <w:rFonts w:cs="Times New Roman"/>
          <w:sz w:val="22"/>
          <w:lang w:val="sr-Cyrl-RS"/>
        </w:rPr>
        <w:t>1</w:t>
      </w:r>
      <w:r w:rsidRPr="00EF2F18">
        <w:rPr>
          <w:rFonts w:cs="Times New Roman"/>
          <w:sz w:val="22"/>
          <w:lang w:val="sr-Cyrl-RS"/>
        </w:rPr>
        <w:t>%</w:t>
      </w:r>
      <w:r w:rsidR="00A07B04" w:rsidRPr="00EF2F18">
        <w:rPr>
          <w:rFonts w:cs="Times New Roman"/>
          <w:sz w:val="22"/>
          <w:lang w:val="sr-Cyrl-RS"/>
        </w:rPr>
        <w:t xml:space="preserve"> слатководне</w:t>
      </w:r>
      <w:r w:rsidRPr="00EF2F18">
        <w:rPr>
          <w:rFonts w:cs="Times New Roman"/>
          <w:sz w:val="22"/>
          <w:lang w:val="sr-Cyrl-RS"/>
        </w:rPr>
        <w:t xml:space="preserve"> ихтиофауне Европе, те је разумљиво да Република Србија спада у земље богате рибљим фондом. </w:t>
      </w:r>
      <w:r w:rsidR="00AE6112" w:rsidRPr="00EF2F18">
        <w:rPr>
          <w:rFonts w:cs="Times New Roman"/>
          <w:sz w:val="22"/>
          <w:lang w:val="sr-Cyrl-RS"/>
        </w:rPr>
        <w:t>Привредних рибара у 2022. години било је 393, а исте године било је 94.568 издатих дозвола за рекреативни риболов.</w:t>
      </w:r>
      <w:r w:rsidR="00027F05" w:rsidRPr="00EF2F18">
        <w:rPr>
          <w:rFonts w:cs="Times New Roman"/>
          <w:sz w:val="22"/>
          <w:lang w:val="sr-Cyrl-RS"/>
        </w:rPr>
        <w:t xml:space="preserve"> </w:t>
      </w:r>
      <w:r w:rsidRPr="00EF2F18">
        <w:rPr>
          <w:rFonts w:cs="Times New Roman"/>
          <w:sz w:val="22"/>
          <w:lang w:val="sr-Cyrl-RS"/>
        </w:rPr>
        <w:t xml:space="preserve">Најчешћи угрожавајући фактор рибљег фонда представља загађење вода и деградација природних станишта, као и криволов. </w:t>
      </w:r>
      <w:r w:rsidR="00AE6112" w:rsidRPr="00EF2F18">
        <w:rPr>
          <w:rFonts w:cs="Times New Roman"/>
          <w:sz w:val="22"/>
          <w:lang w:val="sr-Cyrl-RS"/>
        </w:rPr>
        <w:t>Направљени су напори у увођењу ловостаја на неке врсте риба</w:t>
      </w:r>
      <w:r w:rsidR="009E7C30" w:rsidRPr="00EF2F18">
        <w:rPr>
          <w:rFonts w:cs="Times New Roman"/>
          <w:sz w:val="22"/>
          <w:lang w:val="sr-Cyrl-RS"/>
        </w:rPr>
        <w:t xml:space="preserve"> у периоду мрешћења</w:t>
      </w:r>
      <w:r w:rsidR="00AE6112" w:rsidRPr="00EF2F18">
        <w:rPr>
          <w:rFonts w:cs="Times New Roman"/>
          <w:sz w:val="22"/>
          <w:lang w:val="sr-Cyrl-RS"/>
        </w:rPr>
        <w:t xml:space="preserve">. За </w:t>
      </w:r>
      <w:r w:rsidR="00027F05" w:rsidRPr="00EF2F18">
        <w:rPr>
          <w:sz w:val="22"/>
          <w:lang w:val="sr-Cyrl-RS"/>
        </w:rPr>
        <w:t>дунавске јесетарске врсте (руска јесетра (</w:t>
      </w:r>
      <w:r w:rsidR="00027F05" w:rsidRPr="00EF2F18">
        <w:rPr>
          <w:i/>
          <w:iCs/>
          <w:sz w:val="22"/>
          <w:lang w:val="sr-Cyrl-RS"/>
        </w:rPr>
        <w:t>Acipenser gueldenstaedtii</w:t>
      </w:r>
      <w:r w:rsidR="00027F05" w:rsidRPr="00EF2F18">
        <w:rPr>
          <w:sz w:val="22"/>
          <w:lang w:val="sr-Cyrl-RS"/>
        </w:rPr>
        <w:t>), сим (</w:t>
      </w:r>
      <w:r w:rsidR="00027F05" w:rsidRPr="00EF2F18">
        <w:rPr>
          <w:i/>
          <w:iCs/>
          <w:sz w:val="22"/>
          <w:lang w:val="sr-Cyrl-RS"/>
        </w:rPr>
        <w:t>Acipenser nudiventris</w:t>
      </w:r>
      <w:r w:rsidR="00027F05" w:rsidRPr="00EF2F18">
        <w:rPr>
          <w:sz w:val="22"/>
          <w:lang w:val="sr-Cyrl-RS"/>
        </w:rPr>
        <w:t>), кечига (</w:t>
      </w:r>
      <w:r w:rsidR="00027F05" w:rsidRPr="00EF2F18">
        <w:rPr>
          <w:i/>
          <w:iCs/>
          <w:sz w:val="22"/>
          <w:lang w:val="sr-Cyrl-RS"/>
        </w:rPr>
        <w:t>Acipenser ruthenus</w:t>
      </w:r>
      <w:r w:rsidR="00027F05" w:rsidRPr="00EF2F18">
        <w:rPr>
          <w:sz w:val="22"/>
          <w:lang w:val="sr-Cyrl-RS"/>
        </w:rPr>
        <w:t>), паструга (</w:t>
      </w:r>
      <w:r w:rsidR="00027F05" w:rsidRPr="00EF2F18">
        <w:rPr>
          <w:i/>
          <w:iCs/>
          <w:sz w:val="22"/>
          <w:lang w:val="sr-Cyrl-RS"/>
        </w:rPr>
        <w:t>Acipenser stellatus</w:t>
      </w:r>
      <w:r w:rsidR="00027F05" w:rsidRPr="00EF2F18">
        <w:rPr>
          <w:sz w:val="22"/>
          <w:lang w:val="sr-Cyrl-RS"/>
        </w:rPr>
        <w:t>) и моруна (</w:t>
      </w:r>
      <w:r w:rsidR="00027F05" w:rsidRPr="00EF2F18">
        <w:rPr>
          <w:i/>
          <w:iCs/>
          <w:sz w:val="22"/>
          <w:lang w:val="sr-Cyrl-RS"/>
        </w:rPr>
        <w:t>Huso huso</w:t>
      </w:r>
      <w:r w:rsidR="00027F05" w:rsidRPr="00EF2F18">
        <w:rPr>
          <w:sz w:val="22"/>
          <w:lang w:val="sr-Cyrl-RS"/>
        </w:rPr>
        <w:t>))</w:t>
      </w:r>
      <w:r w:rsidR="009E7C30" w:rsidRPr="00EF2F18">
        <w:rPr>
          <w:rFonts w:cs="Times New Roman"/>
          <w:sz w:val="22"/>
          <w:lang w:val="sr-Cyrl-RS"/>
        </w:rPr>
        <w:t xml:space="preserve"> и још </w:t>
      </w:r>
      <w:r w:rsidR="00027F05" w:rsidRPr="00EF2F18">
        <w:rPr>
          <w:rFonts w:cs="Times New Roman"/>
          <w:sz w:val="22"/>
          <w:lang w:val="sr-Cyrl-RS"/>
        </w:rPr>
        <w:t>25</w:t>
      </w:r>
      <w:r w:rsidR="009E7C30" w:rsidRPr="00EF2F18">
        <w:rPr>
          <w:rFonts w:cs="Times New Roman"/>
          <w:sz w:val="22"/>
          <w:lang w:val="sr-Cyrl-RS"/>
        </w:rPr>
        <w:t xml:space="preserve"> врста риба </w:t>
      </w:r>
      <w:r w:rsidR="00AE6112" w:rsidRPr="00EF2F18">
        <w:rPr>
          <w:rFonts w:cs="Times New Roman"/>
          <w:sz w:val="22"/>
          <w:lang w:val="sr-Cyrl-RS"/>
        </w:rPr>
        <w:t>важи трајна забрана</w:t>
      </w:r>
      <w:r w:rsidR="009E7C30" w:rsidRPr="00EF2F18">
        <w:rPr>
          <w:rFonts w:cs="Times New Roman"/>
          <w:sz w:val="22"/>
          <w:lang w:val="sr-Cyrl-RS"/>
        </w:rPr>
        <w:t xml:space="preserve"> риболова према Наредби о мерама за заштиту и очување рибљег фонда („Службени гласник РС</w:t>
      </w:r>
      <w:r w:rsidR="00A64280" w:rsidRPr="00EF2F18">
        <w:rPr>
          <w:rFonts w:cs="Times New Roman"/>
          <w:sz w:val="22"/>
          <w:lang w:val="sr-Cyrl-RS"/>
        </w:rPr>
        <w:t>”</w:t>
      </w:r>
      <w:r w:rsidR="009E7C30" w:rsidRPr="00EF2F18">
        <w:rPr>
          <w:rFonts w:cs="Times New Roman"/>
          <w:sz w:val="22"/>
          <w:lang w:val="sr-Cyrl-RS"/>
        </w:rPr>
        <w:t xml:space="preserve">, бр. 56/15 и 94/18). </w:t>
      </w:r>
      <w:r w:rsidR="001B16D8" w:rsidRPr="00EF2F18">
        <w:rPr>
          <w:rFonts w:cs="Times New Roman"/>
          <w:sz w:val="22"/>
          <w:lang w:val="sr-Cyrl-RS"/>
        </w:rPr>
        <w:t>Препознат је и изражени утицај климатск</w:t>
      </w:r>
      <w:r w:rsidR="0091182D">
        <w:rPr>
          <w:rFonts w:cs="Times New Roman"/>
          <w:sz w:val="22"/>
          <w:lang w:val="sr-Cyrl-RS"/>
        </w:rPr>
        <w:t>и</w:t>
      </w:r>
      <w:r w:rsidR="001B16D8" w:rsidRPr="00EF2F18">
        <w:rPr>
          <w:rFonts w:cs="Times New Roman"/>
          <w:sz w:val="22"/>
          <w:lang w:val="sr-Cyrl-RS"/>
        </w:rPr>
        <w:t>х промена на рибљи фонд, променом температуре воде, протока воде и деградацијом природних станишта риба.</w:t>
      </w:r>
    </w:p>
    <w:p w14:paraId="39E04F7A" w14:textId="7EF75A47" w:rsidR="00F00EDB" w:rsidRPr="00EF2F18" w:rsidRDefault="00E60ED8" w:rsidP="008C1873">
      <w:pPr>
        <w:spacing w:after="0"/>
        <w:ind w:firstLine="720"/>
        <w:jc w:val="both"/>
        <w:rPr>
          <w:rFonts w:cs="Times New Roman"/>
          <w:color w:val="333333"/>
          <w:sz w:val="22"/>
          <w:lang w:val="sr-Cyrl-RS"/>
        </w:rPr>
      </w:pPr>
      <w:r w:rsidRPr="00EF2F18">
        <w:rPr>
          <w:rFonts w:cs="Times New Roman"/>
          <w:sz w:val="22"/>
          <w:lang w:val="sr-Cyrl-RS"/>
        </w:rPr>
        <w:t>Заштита и одрживо коришћење рибљег фонда у Републици Србији регулисано је Законом о заштити и одрживом коришћењу рибљег фонда („Службени гласник РС”, бр. 128/14 и 95/18</w:t>
      </w:r>
      <w:r w:rsidR="00AA4F95">
        <w:rPr>
          <w:rFonts w:cs="Times New Roman"/>
          <w:sz w:val="22"/>
          <w:lang w:val="sr-Cyrl-RS"/>
        </w:rPr>
        <w:t xml:space="preserve"> –</w:t>
      </w:r>
      <w:r w:rsidRPr="00EF2F18">
        <w:rPr>
          <w:rFonts w:cs="Times New Roman"/>
          <w:sz w:val="22"/>
          <w:lang w:val="sr-Cyrl-RS"/>
        </w:rPr>
        <w:t xml:space="preserve"> др. закон), а одвија се на 17 рибарских подручја и </w:t>
      </w:r>
      <w:r w:rsidR="00A07B04" w:rsidRPr="00EF2F18">
        <w:rPr>
          <w:rFonts w:cs="Times New Roman"/>
          <w:sz w:val="22"/>
          <w:lang w:val="sr-Cyrl-RS"/>
        </w:rPr>
        <w:t xml:space="preserve">40 </w:t>
      </w:r>
      <w:r w:rsidRPr="00EF2F18">
        <w:rPr>
          <w:rFonts w:cs="Times New Roman"/>
          <w:sz w:val="22"/>
          <w:lang w:val="sr-Cyrl-RS"/>
        </w:rPr>
        <w:t>рибарских подручја у заштићеним подручјима. За свако рибарско подручје одређује се корисник рибарског подручја (</w:t>
      </w:r>
      <w:r w:rsidRPr="00EF2F18">
        <w:rPr>
          <w:rFonts w:cs="Times New Roman"/>
          <w:color w:val="333333"/>
          <w:sz w:val="22"/>
          <w:shd w:val="clear" w:color="auto" w:fill="FFFFFF"/>
          <w:lang w:val="sr-Cyrl-RS"/>
        </w:rPr>
        <w:t xml:space="preserve">привредно друштво, јавно предузеће или друго правно лице, које испуњава услове прописане Законом о заштити и одрживом коришћењу рибљег фонда), јавним конкурсом на период од </w:t>
      </w:r>
      <w:r w:rsidR="00255910" w:rsidRPr="00EF2F18">
        <w:rPr>
          <w:rFonts w:cs="Times New Roman"/>
          <w:color w:val="333333"/>
          <w:sz w:val="22"/>
          <w:shd w:val="clear" w:color="auto" w:fill="FFFFFF"/>
          <w:lang w:val="sr-Cyrl-RS"/>
        </w:rPr>
        <w:t xml:space="preserve">десет </w:t>
      </w:r>
      <w:r w:rsidRPr="00EF2F18">
        <w:rPr>
          <w:rFonts w:cs="Times New Roman"/>
          <w:color w:val="333333"/>
          <w:sz w:val="22"/>
          <w:shd w:val="clear" w:color="auto" w:fill="FFFFFF"/>
          <w:lang w:val="sr-Cyrl-RS"/>
        </w:rPr>
        <w:t xml:space="preserve">година. Рибарско подручје у заштићеном подручју проглашава и користи управљач заштићеног подручја, по претходно прибављеној сагласности министра. </w:t>
      </w:r>
      <w:r w:rsidRPr="00EF2F18">
        <w:rPr>
          <w:rFonts w:cs="Times New Roman"/>
          <w:color w:val="333333"/>
          <w:sz w:val="22"/>
          <w:lang w:val="sr-Cyrl-RS"/>
        </w:rPr>
        <w:t>Корисник рибарског подручја доноси Програм управљања рибарског подручја,</w:t>
      </w:r>
      <w:r w:rsidRPr="00EF2F18">
        <w:rPr>
          <w:rFonts w:cs="Times New Roman"/>
          <w:color w:val="7030A0"/>
          <w:sz w:val="22"/>
          <w:lang w:val="sr-Cyrl-RS"/>
        </w:rPr>
        <w:t xml:space="preserve"> </w:t>
      </w:r>
      <w:r w:rsidRPr="00EF2F18">
        <w:rPr>
          <w:rFonts w:cs="Times New Roman"/>
          <w:sz w:val="22"/>
          <w:lang w:val="sr-Cyrl-RS"/>
        </w:rPr>
        <w:t>који садржи: основне карактеристике вода рибарског подручја, податке o рибљим врстама у водама рибарског подручја, процену њихове биомасе и годишње продукције, дозвољене технике риболова, просторни распоред посебних станишта риба, програм порибљавања, дозвољени излов рибе по врстама, организацију рибочуварске службе као и друге мере за заштиту и одрживо коришћење рибљег фонда. Корисник рибарског подручја је дужан да, сваке треће године коришћења рибарског подручја, спроводи мониторинг о квалитативног и квантитативног састава и узрасне структуре рибљег фонда, биомасе, продукције и риболовног притиска на рибљи фонд.</w:t>
      </w:r>
      <w:r w:rsidRPr="00EF2F18">
        <w:rPr>
          <w:rFonts w:cs="Times New Roman"/>
          <w:color w:val="333333"/>
          <w:sz w:val="22"/>
          <w:lang w:val="sr-Cyrl-RS"/>
        </w:rPr>
        <w:t xml:space="preserve"> Сва рибарска подручја су донела програме управљања рибарским подручјем, на које је Министа</w:t>
      </w:r>
      <w:r w:rsidR="00AF3A41">
        <w:rPr>
          <w:rFonts w:cs="Times New Roman"/>
          <w:color w:val="333333"/>
          <w:sz w:val="22"/>
          <w:lang w:val="sr-Cyrl-RS"/>
        </w:rPr>
        <w:t>р</w:t>
      </w:r>
      <w:r w:rsidRPr="00EF2F18">
        <w:rPr>
          <w:rFonts w:cs="Times New Roman"/>
          <w:color w:val="333333"/>
          <w:sz w:val="22"/>
          <w:lang w:val="sr-Cyrl-RS"/>
        </w:rPr>
        <w:t>ство заштите животне средине дало сагласност</w:t>
      </w:r>
      <w:bookmarkStart w:id="69" w:name="_Toc522617342"/>
      <w:bookmarkStart w:id="70" w:name="_Toc521405917"/>
      <w:bookmarkStart w:id="71" w:name="_Toc28293639"/>
      <w:bookmarkStart w:id="72" w:name="_Toc31646865"/>
      <w:bookmarkStart w:id="73" w:name="_Toc39595553"/>
      <w:r w:rsidR="00F00EDB" w:rsidRPr="00EF2F18">
        <w:rPr>
          <w:rFonts w:cs="Times New Roman"/>
          <w:color w:val="333333"/>
          <w:sz w:val="22"/>
          <w:lang w:val="sr-Cyrl-RS"/>
        </w:rPr>
        <w:t>.</w:t>
      </w:r>
    </w:p>
    <w:p w14:paraId="3CA0BD76" w14:textId="77777777" w:rsidR="008F5583" w:rsidRPr="00EF2F18" w:rsidRDefault="008F5583" w:rsidP="008C1873">
      <w:pPr>
        <w:spacing w:after="0"/>
        <w:ind w:firstLine="720"/>
        <w:jc w:val="both"/>
        <w:rPr>
          <w:rFonts w:cs="Times New Roman"/>
          <w:color w:val="333333"/>
          <w:sz w:val="22"/>
          <w:lang w:val="sr-Cyrl-RS"/>
        </w:rPr>
      </w:pPr>
    </w:p>
    <w:p w14:paraId="167C2E99" w14:textId="77777777" w:rsidR="00741BFA" w:rsidRPr="00EF2F18" w:rsidRDefault="00741BFA" w:rsidP="00F00EDB">
      <w:pPr>
        <w:spacing w:after="0"/>
        <w:ind w:firstLine="720"/>
        <w:jc w:val="both"/>
        <w:rPr>
          <w:rFonts w:cs="Times New Roman"/>
          <w:color w:val="333333"/>
          <w:sz w:val="22"/>
          <w:lang w:val="sr-Cyrl-RS"/>
        </w:rPr>
      </w:pPr>
    </w:p>
    <w:p w14:paraId="204D12CA" w14:textId="2336BE3C" w:rsidR="007F6FF0" w:rsidRPr="00EF2F18" w:rsidRDefault="00D93B63" w:rsidP="00F106C9">
      <w:pPr>
        <w:pStyle w:val="Heading2"/>
        <w:numPr>
          <w:ilvl w:val="1"/>
          <w:numId w:val="2"/>
        </w:numPr>
        <w:ind w:hanging="360"/>
        <w:jc w:val="center"/>
        <w:rPr>
          <w:rFonts w:cs="Times New Roman"/>
          <w:sz w:val="22"/>
          <w:szCs w:val="22"/>
          <w:lang w:val="sr-Cyrl-RS"/>
        </w:rPr>
      </w:pPr>
      <w:bookmarkStart w:id="74" w:name="_Toc158307714"/>
      <w:bookmarkEnd w:id="69"/>
      <w:bookmarkEnd w:id="70"/>
      <w:bookmarkEnd w:id="71"/>
      <w:bookmarkEnd w:id="72"/>
      <w:bookmarkEnd w:id="73"/>
      <w:r w:rsidRPr="00EF2F18">
        <w:rPr>
          <w:rFonts w:cs="Times New Roman"/>
          <w:sz w:val="22"/>
          <w:szCs w:val="22"/>
          <w:lang w:val="sr-Cyrl-RS"/>
        </w:rPr>
        <w:t>Пољопривреда</w:t>
      </w:r>
      <w:r w:rsidR="00A75287" w:rsidRPr="00EF2F18">
        <w:rPr>
          <w:rFonts w:cs="Times New Roman"/>
          <w:sz w:val="22"/>
          <w:szCs w:val="22"/>
          <w:lang w:val="sr-Cyrl-RS"/>
        </w:rPr>
        <w:t xml:space="preserve"> и рурални развој</w:t>
      </w:r>
      <w:bookmarkEnd w:id="74"/>
    </w:p>
    <w:p w14:paraId="7F3AAC17" w14:textId="6F90BD0C" w:rsidR="00827A94" w:rsidRPr="00EF2F18" w:rsidRDefault="00915AFA" w:rsidP="00F106C9">
      <w:pPr>
        <w:pStyle w:val="Heading3"/>
        <w:numPr>
          <w:ilvl w:val="2"/>
          <w:numId w:val="2"/>
        </w:numPr>
        <w:jc w:val="center"/>
        <w:rPr>
          <w:rFonts w:cs="Times New Roman"/>
          <w:sz w:val="22"/>
          <w:szCs w:val="22"/>
          <w:lang w:val="sr-Cyrl-RS"/>
        </w:rPr>
      </w:pPr>
      <w:bookmarkStart w:id="75" w:name="_Toc158307715"/>
      <w:r w:rsidRPr="00EF2F18">
        <w:rPr>
          <w:rFonts w:cs="Times New Roman"/>
          <w:sz w:val="22"/>
          <w:szCs w:val="22"/>
          <w:lang w:val="sr-Cyrl-RS"/>
        </w:rPr>
        <w:t>У</w:t>
      </w:r>
      <w:r w:rsidR="00827A94" w:rsidRPr="00EF2F18">
        <w:rPr>
          <w:rFonts w:cs="Times New Roman"/>
          <w:sz w:val="22"/>
          <w:szCs w:val="22"/>
          <w:lang w:val="sr-Cyrl-RS"/>
        </w:rPr>
        <w:t>прављање пољопривредним ресурсима</w:t>
      </w:r>
      <w:bookmarkEnd w:id="75"/>
    </w:p>
    <w:p w14:paraId="5442C3FF" w14:textId="77777777" w:rsidR="0057558F" w:rsidRPr="00EF2F18" w:rsidRDefault="0057558F" w:rsidP="00DA06CF">
      <w:pPr>
        <w:autoSpaceDE w:val="0"/>
        <w:autoSpaceDN w:val="0"/>
        <w:adjustRightInd w:val="0"/>
        <w:spacing w:after="0"/>
        <w:ind w:firstLine="720"/>
        <w:jc w:val="both"/>
        <w:rPr>
          <w:rFonts w:cs="Times New Roman"/>
          <w:sz w:val="22"/>
          <w:lang w:val="sr-Cyrl-RS"/>
        </w:rPr>
      </w:pPr>
    </w:p>
    <w:p w14:paraId="0C7DE5ED" w14:textId="6266BA87" w:rsidR="008C1873" w:rsidRPr="00EF2F18" w:rsidRDefault="008C1873" w:rsidP="008C1873">
      <w:pPr>
        <w:autoSpaceDE w:val="0"/>
        <w:autoSpaceDN w:val="0"/>
        <w:adjustRightInd w:val="0"/>
        <w:spacing w:after="0"/>
        <w:ind w:firstLine="720"/>
        <w:jc w:val="both"/>
        <w:rPr>
          <w:sz w:val="22"/>
          <w:lang w:val="sr-Cyrl-RS"/>
        </w:rPr>
      </w:pPr>
      <w:r w:rsidRPr="00EF2F18">
        <w:rPr>
          <w:sz w:val="22"/>
          <w:lang w:val="sr-Cyrl-RS"/>
        </w:rPr>
        <w:t>Република Србија има бројне конкурентске предности за динамичан развој пољопривредно-прехрамбеног сектора, које се огледају у богатим земљишним ресурсима (како у смислу обима тако и њихове разноврсности), разноврсном биодиверзитету, квалификованом и искусном радном снагом, преференцијалном статусу на бројним тржиштима, као и приступ инвестиционој подршци за пољопривреду из ЕУ фондова.</w:t>
      </w:r>
    </w:p>
    <w:p w14:paraId="165A22E7" w14:textId="08A2EAEE" w:rsidR="0057558F" w:rsidRPr="00EF2F18" w:rsidRDefault="008C1873" w:rsidP="008C1873">
      <w:pPr>
        <w:spacing w:after="0"/>
        <w:ind w:firstLine="720"/>
        <w:jc w:val="both"/>
        <w:rPr>
          <w:sz w:val="22"/>
          <w:lang w:val="sr-Cyrl-RS"/>
        </w:rPr>
      </w:pPr>
      <w:r w:rsidRPr="00EF2F18">
        <w:rPr>
          <w:sz w:val="22"/>
          <w:lang w:val="sr-Cyrl-RS"/>
        </w:rPr>
        <w:t>Разноврсност терена, типова земљишта и климатских услова, резултирала је богатом разно</w:t>
      </w:r>
      <w:r w:rsidR="00A07B04" w:rsidRPr="00EF2F18">
        <w:rPr>
          <w:sz w:val="22"/>
          <w:lang w:val="sr-Cyrl-RS"/>
        </w:rPr>
        <w:t>врсношћ</w:t>
      </w:r>
      <w:r w:rsidRPr="00EF2F18">
        <w:rPr>
          <w:sz w:val="22"/>
          <w:lang w:val="sr-Cyrl-RS"/>
        </w:rPr>
        <w:t xml:space="preserve">у биодиверзитета и руралних пејзажа у </w:t>
      </w:r>
      <w:r w:rsidR="00FD3551">
        <w:rPr>
          <w:sz w:val="22"/>
          <w:lang w:val="sr-Cyrl-RS"/>
        </w:rPr>
        <w:t>Републици</w:t>
      </w:r>
      <w:r w:rsidR="00ED1026" w:rsidRPr="00EF2F18">
        <w:rPr>
          <w:sz w:val="22"/>
          <w:lang w:val="sr-Cyrl-RS"/>
        </w:rPr>
        <w:t xml:space="preserve"> </w:t>
      </w:r>
      <w:r w:rsidRPr="00EF2F18">
        <w:rPr>
          <w:sz w:val="22"/>
          <w:lang w:val="sr-Cyrl-RS"/>
        </w:rPr>
        <w:t>Србији. Међутим, они су у значајној мери рањиви на климатске промене и еколошке промене у природним системима, што представља претњу одрживом развоју сектора и његовој трансформацији у складу са циљевима Зеленог договора ЕУ.</w:t>
      </w:r>
    </w:p>
    <w:p w14:paraId="7DA7BD4B" w14:textId="2E552E33" w:rsidR="00DA06CF" w:rsidRPr="00EF2F18" w:rsidRDefault="00DA06CF" w:rsidP="00DA06CF">
      <w:pPr>
        <w:autoSpaceDE w:val="0"/>
        <w:autoSpaceDN w:val="0"/>
        <w:adjustRightInd w:val="0"/>
        <w:spacing w:after="0"/>
        <w:ind w:firstLine="720"/>
        <w:jc w:val="both"/>
        <w:rPr>
          <w:rFonts w:cs="Times New Roman"/>
          <w:color w:val="222222"/>
          <w:sz w:val="22"/>
          <w:shd w:val="clear" w:color="auto" w:fill="FCFDFD"/>
          <w:lang w:val="sr-Cyrl-RS"/>
        </w:rPr>
      </w:pPr>
      <w:r w:rsidRPr="00EF2F18">
        <w:rPr>
          <w:rFonts w:cs="Times New Roman"/>
          <w:color w:val="000000"/>
          <w:sz w:val="22"/>
          <w:shd w:val="clear" w:color="auto" w:fill="FFFFFF"/>
          <w:lang w:val="sr-Cyrl-RS"/>
        </w:rPr>
        <w:t xml:space="preserve">Губитак органске материје у земљишту изазван интензификацијом пољопривредне производње, агротехничком праксом и изостанком примене органских </w:t>
      </w:r>
      <w:r w:rsidR="00B63039" w:rsidRPr="00EF2F18">
        <w:rPr>
          <w:rFonts w:cs="Times New Roman"/>
          <w:color w:val="000000"/>
          <w:sz w:val="22"/>
          <w:shd w:val="clear" w:color="auto" w:fill="FFFFFF"/>
          <w:lang w:val="sr-Cyrl-RS"/>
        </w:rPr>
        <w:t xml:space="preserve">средстава за исхрану </w:t>
      </w:r>
      <w:r w:rsidR="00B63039" w:rsidRPr="00EF2F18">
        <w:rPr>
          <w:rFonts w:cs="Times New Roman"/>
          <w:color w:val="000000"/>
          <w:sz w:val="22"/>
          <w:shd w:val="clear" w:color="auto" w:fill="FFFFFF"/>
          <w:lang w:val="sr-Cyrl-RS"/>
        </w:rPr>
        <w:lastRenderedPageBreak/>
        <w:t>биља</w:t>
      </w:r>
      <w:r w:rsidR="00D3651F" w:rsidRPr="00EF2F18">
        <w:rPr>
          <w:rFonts w:cs="Times New Roman"/>
          <w:color w:val="000000"/>
          <w:sz w:val="22"/>
          <w:shd w:val="clear" w:color="auto" w:fill="FFFFFF"/>
          <w:lang w:val="sr-Cyrl-RS"/>
        </w:rPr>
        <w:t>,</w:t>
      </w:r>
      <w:r w:rsidRPr="00EF2F18">
        <w:rPr>
          <w:rFonts w:cs="Times New Roman"/>
          <w:color w:val="000000"/>
          <w:sz w:val="22"/>
          <w:shd w:val="clear" w:color="auto" w:fill="FFFFFF"/>
          <w:lang w:val="sr-Cyrl-RS"/>
        </w:rPr>
        <w:t xml:space="preserve"> још увек је присутан као облик његове деградације. Тренд губитка органске материје и даље је у порасту. Девастација сточарске производње утицала је у претходном периоду на недостатак ђубрења стајњаком. </w:t>
      </w:r>
    </w:p>
    <w:p w14:paraId="2715E660" w14:textId="751AFCF6" w:rsidR="00DA06CF" w:rsidRPr="00EF2F18" w:rsidRDefault="00DA06CF" w:rsidP="00DA06CF">
      <w:pPr>
        <w:autoSpaceDE w:val="0"/>
        <w:autoSpaceDN w:val="0"/>
        <w:adjustRightInd w:val="0"/>
        <w:spacing w:after="0"/>
        <w:ind w:firstLine="720"/>
        <w:jc w:val="both"/>
        <w:rPr>
          <w:rFonts w:cs="Times New Roman"/>
          <w:color w:val="FF0000"/>
          <w:sz w:val="22"/>
          <w:lang w:val="sr-Cyrl-RS"/>
        </w:rPr>
      </w:pPr>
      <w:r w:rsidRPr="00EF2F18">
        <w:rPr>
          <w:rFonts w:cs="Times New Roman"/>
          <w:color w:val="222222"/>
          <w:sz w:val="22"/>
          <w:shd w:val="clear" w:color="auto" w:fill="FCFDFD"/>
          <w:lang w:val="sr-Cyrl-RS"/>
        </w:rPr>
        <w:t>У оквиру националне листе индикатора развијен је индикатор „Садржај органског угљеника у земљишту</w:t>
      </w:r>
      <w:r w:rsidR="00CF307C" w:rsidRPr="00EF2F18">
        <w:rPr>
          <w:rFonts w:cs="Times New Roman"/>
          <w:color w:val="222222"/>
          <w:sz w:val="22"/>
          <w:shd w:val="clear" w:color="auto" w:fill="FCFDFD"/>
          <w:lang w:val="sr-Cyrl-RS"/>
        </w:rPr>
        <w:t>”</w:t>
      </w:r>
      <w:r w:rsidRPr="00EF2F18">
        <w:rPr>
          <w:rFonts w:cs="Times New Roman"/>
          <w:color w:val="222222"/>
          <w:sz w:val="22"/>
          <w:shd w:val="clear" w:color="auto" w:fill="FCFDFD"/>
          <w:lang w:val="sr-Cyrl-RS"/>
        </w:rPr>
        <w:t>. Подаци се прикупљају у оквиру програма контроле плодности обрадивог пољопривредног земљишта, програма системског праћења квалитета земљишта, у оквиру педолошких истраживања и других пројеката којима се утврђује квалитет и деградација земљишта. На основу података садржаја хумуса из контроле плодности пољопривредних површина у 2021. години у пољопривредном земљишту на подручју централне Србије</w:t>
      </w:r>
      <w:r w:rsidR="00D3651F" w:rsidRPr="00EF2F18">
        <w:rPr>
          <w:rFonts w:cs="Times New Roman"/>
          <w:color w:val="222222"/>
          <w:sz w:val="22"/>
          <w:shd w:val="clear" w:color="auto" w:fill="FCFDFD"/>
          <w:lang w:val="sr-Cyrl-RS"/>
        </w:rPr>
        <w:t>,</w:t>
      </w:r>
      <w:r w:rsidRPr="00EF2F18">
        <w:rPr>
          <w:rFonts w:cs="Times New Roman"/>
          <w:color w:val="222222"/>
          <w:sz w:val="22"/>
          <w:shd w:val="clear" w:color="auto" w:fill="FCFDFD"/>
          <w:lang w:val="sr-Cyrl-RS"/>
        </w:rPr>
        <w:t xml:space="preserve"> измерен</w:t>
      </w:r>
      <w:r w:rsidR="00D3651F" w:rsidRPr="00EF2F18">
        <w:rPr>
          <w:rFonts w:cs="Times New Roman"/>
          <w:color w:val="222222"/>
          <w:sz w:val="22"/>
          <w:shd w:val="clear" w:color="auto" w:fill="FCFDFD"/>
          <w:lang w:val="sr-Cyrl-RS"/>
        </w:rPr>
        <w:t>и</w:t>
      </w:r>
      <w:r w:rsidRPr="00EF2F18">
        <w:rPr>
          <w:rFonts w:cs="Times New Roman"/>
          <w:color w:val="222222"/>
          <w:sz w:val="22"/>
          <w:shd w:val="clear" w:color="auto" w:fill="FCFDFD"/>
          <w:lang w:val="sr-Cyrl-RS"/>
        </w:rPr>
        <w:t xml:space="preserve"> просечан садржај органског угљеника у пољопривредном земљишту на дубини 0-30 cm износи 2% и припада категорији ниског до средњег садржаја. Оранице и баште, као и виногради и воћњаци, доминантно се налазе у категорији ниског садржаја органског угљеника. </w:t>
      </w:r>
    </w:p>
    <w:p w14:paraId="0E33BBBB" w14:textId="343F03B3" w:rsidR="00DA06CF" w:rsidRPr="00EF2F18" w:rsidRDefault="000D3ABB" w:rsidP="00DA06CF">
      <w:pPr>
        <w:autoSpaceDE w:val="0"/>
        <w:autoSpaceDN w:val="0"/>
        <w:adjustRightInd w:val="0"/>
        <w:spacing w:after="0"/>
        <w:ind w:firstLine="720"/>
        <w:jc w:val="both"/>
        <w:rPr>
          <w:rFonts w:cs="Times New Roman"/>
          <w:color w:val="000000" w:themeColor="text1"/>
          <w:sz w:val="22"/>
          <w:lang w:val="sr-Cyrl-RS"/>
        </w:rPr>
      </w:pPr>
      <w:r w:rsidRPr="00EF2F18">
        <w:rPr>
          <w:rFonts w:cs="Times New Roman"/>
          <w:color w:val="000000" w:themeColor="text1"/>
          <w:sz w:val="22"/>
          <w:lang w:val="sr-Cyrl-RS"/>
        </w:rPr>
        <w:t xml:space="preserve">Мапирање пољопривредног земљишта високе природне вредности је </w:t>
      </w:r>
      <w:r w:rsidR="00DA06CF" w:rsidRPr="00EF2F18">
        <w:rPr>
          <w:rFonts w:cs="Times New Roman"/>
          <w:color w:val="000000" w:themeColor="text1"/>
          <w:sz w:val="22"/>
          <w:lang w:val="sr-Cyrl-RS"/>
        </w:rPr>
        <w:t xml:space="preserve">спроведено у оквиру Агенције за заштиту животне средине коришћењем ботаничких (фитосоциолошких) записа травњачких заједница са појединачних локалитета и локалитета који се налазе у оквиру ширих географских целина, као што су планине, низије, пескови, висоравни, кањони и клисуре и др. Релевантне класе из CORINE инвентара земљишног покривача су одабране и подељене у две групе на основу доступних ботаничких података (прва група која обухвата станишта и биљне заједнице пашњака (231), природних травњака (321) и слатина (411); друга група пољопривредног земљишта </w:t>
      </w:r>
      <w:r w:rsidR="00DA06CF" w:rsidRPr="00EF2F18">
        <w:rPr>
          <w:rFonts w:cs="Times New Roman"/>
          <w:sz w:val="22"/>
          <w:lang w:val="sr-Cyrl-RS"/>
        </w:rPr>
        <w:t xml:space="preserve">високе природне вредности, за које не постоје детаљни ботанички подаци). Подаци о земљишном покривачу CORINE, </w:t>
      </w:r>
      <w:r w:rsidR="00123D92" w:rsidRPr="00EF2F18">
        <w:rPr>
          <w:rFonts w:cs="Times New Roman"/>
          <w:sz w:val="22"/>
          <w:lang w:val="sr-Cyrl-RS"/>
        </w:rPr>
        <w:t>информације о еколошки значајним подручјима од националног и међународног значаја за очување типова станишта и станишта врста и њихових станишта</w:t>
      </w:r>
      <w:r w:rsidR="00DA06CF" w:rsidRPr="00EF2F18">
        <w:rPr>
          <w:rFonts w:cs="Times New Roman"/>
          <w:sz w:val="22"/>
          <w:lang w:val="sr-Cyrl-RS"/>
        </w:rPr>
        <w:t xml:space="preserve"> и заштићеним подручјима (ПА) трансформисани су у национални координатни систем како би се ови подаци могли анализирати и представити просторно. Мапирана је локација и дистрибуција </w:t>
      </w:r>
      <w:r w:rsidR="00123D92" w:rsidRPr="00EF2F18">
        <w:rPr>
          <w:rFonts w:cs="Times New Roman"/>
          <w:color w:val="000000" w:themeColor="text1"/>
          <w:sz w:val="22"/>
          <w:lang w:val="sr-Cyrl-RS"/>
        </w:rPr>
        <w:t xml:space="preserve">подручја еколошке мреже </w:t>
      </w:r>
      <w:r w:rsidR="00DA06CF" w:rsidRPr="00EF2F18">
        <w:rPr>
          <w:rFonts w:cs="Times New Roman"/>
          <w:color w:val="000000" w:themeColor="text1"/>
          <w:sz w:val="22"/>
          <w:lang w:val="sr-Cyrl-RS"/>
        </w:rPr>
        <w:t xml:space="preserve">и заштићених подручја у </w:t>
      </w:r>
      <w:r w:rsidR="0084504E" w:rsidRPr="00EF2F18">
        <w:rPr>
          <w:rFonts w:cs="Times New Roman"/>
          <w:sz w:val="22"/>
          <w:lang w:val="sr-Cyrl-RS"/>
        </w:rPr>
        <w:t xml:space="preserve">Републици </w:t>
      </w:r>
      <w:r w:rsidR="00DA06CF" w:rsidRPr="00EF2F18">
        <w:rPr>
          <w:rFonts w:cs="Times New Roman"/>
          <w:color w:val="000000" w:themeColor="text1"/>
          <w:sz w:val="22"/>
          <w:lang w:val="sr-Cyrl-RS"/>
        </w:rPr>
        <w:t xml:space="preserve">Србији, укључујући националне паркове, паркове природе, пределе изузетних карактеристика и резервате природе (где су подаци доступни). </w:t>
      </w:r>
    </w:p>
    <w:p w14:paraId="71B5BA04" w14:textId="7E8FAC14" w:rsidR="00DA06CF" w:rsidRPr="00EF2F18" w:rsidRDefault="00DA06CF" w:rsidP="00DA06CF">
      <w:pPr>
        <w:autoSpaceDE w:val="0"/>
        <w:autoSpaceDN w:val="0"/>
        <w:adjustRightInd w:val="0"/>
        <w:spacing w:after="0"/>
        <w:ind w:firstLine="720"/>
        <w:jc w:val="both"/>
        <w:rPr>
          <w:rFonts w:cs="Times New Roman"/>
          <w:sz w:val="22"/>
          <w:lang w:val="sr-Cyrl-RS"/>
        </w:rPr>
      </w:pPr>
      <w:r w:rsidRPr="00EF2F18">
        <w:rPr>
          <w:rFonts w:cs="Times New Roman"/>
          <w:sz w:val="22"/>
          <w:shd w:val="clear" w:color="auto" w:fill="FFFFFF"/>
          <w:lang w:val="sr-Cyrl-RS"/>
        </w:rPr>
        <w:t>Промена намене пољопривредног земљишта је још увек присутна, како у виду претварања пашњака у обрадиве површине, тако и као промена обрадивог земљишта у грађевинско. Услед девастације сточарске производње и великих потреба за обрадивим земљиштима бележи се тренд преоравања пашњака, што као последицу има повећану ерозију земљишта, као и губитак биодиверзитета. Пашњаци, као и мешовита пољопривредна подручја</w:t>
      </w:r>
      <w:r w:rsidR="00D3651F" w:rsidRPr="00EF2F18">
        <w:rPr>
          <w:rFonts w:cs="Times New Roman"/>
          <w:sz w:val="22"/>
          <w:shd w:val="clear" w:color="auto" w:fill="FFFFFF"/>
          <w:lang w:val="sr-Cyrl-RS"/>
        </w:rPr>
        <w:t>,</w:t>
      </w:r>
      <w:r w:rsidRPr="00EF2F18">
        <w:rPr>
          <w:rFonts w:cs="Times New Roman"/>
          <w:sz w:val="22"/>
          <w:shd w:val="clear" w:color="auto" w:fill="FFFFFF"/>
          <w:lang w:val="sr-Cyrl-RS"/>
        </w:rPr>
        <w:t xml:space="preserve"> заузимају се и услед урбаног развоја. Промена намене пољопривредног земљишта регулисана је Законом о пољопривредног земљишту (чл</w:t>
      </w:r>
      <w:r w:rsidR="00255910" w:rsidRPr="00EF2F18">
        <w:rPr>
          <w:rFonts w:cs="Times New Roman"/>
          <w:sz w:val="22"/>
          <w:shd w:val="clear" w:color="auto" w:fill="FFFFFF"/>
          <w:lang w:val="sr-Cyrl-RS"/>
        </w:rPr>
        <w:t>.</w:t>
      </w:r>
      <w:r w:rsidRPr="00EF2F18">
        <w:rPr>
          <w:rFonts w:cs="Times New Roman"/>
          <w:sz w:val="22"/>
          <w:shd w:val="clear" w:color="auto" w:fill="FFFFFF"/>
          <w:lang w:val="sr-Cyrl-RS"/>
        </w:rPr>
        <w:t xml:space="preserve"> 22. и 23. који су важни за поступање у смислу забране и могућности коришћења обрадивог пољопривредног земљишта у непољопривредне сврхе)</w:t>
      </w:r>
      <w:r w:rsidR="005045A1" w:rsidRPr="00EF2F18">
        <w:rPr>
          <w:rFonts w:cs="Times New Roman"/>
          <w:sz w:val="22"/>
          <w:shd w:val="clear" w:color="auto" w:fill="FFFFFF"/>
          <w:lang w:val="sr-Cyrl-RS"/>
        </w:rPr>
        <w:t>,</w:t>
      </w:r>
      <w:r w:rsidRPr="00EF2F18">
        <w:rPr>
          <w:rFonts w:cs="Times New Roman"/>
          <w:sz w:val="22"/>
          <w:shd w:val="clear" w:color="auto" w:fill="FFFFFF"/>
          <w:lang w:val="sr-Cyrl-RS"/>
        </w:rPr>
        <w:t xml:space="preserve"> Законом о накнадама за коришћење јавних</w:t>
      </w:r>
      <w:r w:rsidR="00B25B92" w:rsidRPr="00EF2F18">
        <w:rPr>
          <w:rFonts w:cs="Times New Roman"/>
          <w:sz w:val="22"/>
          <w:shd w:val="clear" w:color="auto" w:fill="FFFFFF"/>
          <w:lang w:val="sr-Cyrl-RS"/>
        </w:rPr>
        <w:t xml:space="preserve"> добара</w:t>
      </w:r>
      <w:r w:rsidR="005045A1" w:rsidRPr="00EF2F18">
        <w:rPr>
          <w:rFonts w:cs="Times New Roman"/>
          <w:sz w:val="22"/>
          <w:shd w:val="clear" w:color="auto" w:fill="FFFFFF"/>
          <w:lang w:val="sr-Cyrl-RS"/>
        </w:rPr>
        <w:t xml:space="preserve"> и Законом о планирању и изградњи</w:t>
      </w:r>
      <w:r w:rsidRPr="00EF2F18">
        <w:rPr>
          <w:rFonts w:cs="Times New Roman"/>
          <w:sz w:val="22"/>
          <w:shd w:val="clear" w:color="auto" w:fill="FFFFFF"/>
          <w:lang w:val="sr-Cyrl-RS"/>
        </w:rPr>
        <w:t xml:space="preserve">. </w:t>
      </w:r>
      <w:r w:rsidRPr="00EF2F18">
        <w:rPr>
          <w:rFonts w:cs="Times New Roman"/>
          <w:sz w:val="22"/>
          <w:lang w:val="sr-Cyrl-RS"/>
        </w:rPr>
        <w:t>За промену намене обрадивог пољопривредног земљишта уведено је плаћање одговарајуће накнаде. Наведеним прописима није извршено ограничавање пренамене земљишта високе плодности</w:t>
      </w:r>
      <w:r w:rsidR="00E466E0" w:rsidRPr="00EF2F18">
        <w:rPr>
          <w:rFonts w:cs="Times New Roman"/>
          <w:sz w:val="22"/>
          <w:lang w:val="sr-Cyrl-RS"/>
        </w:rPr>
        <w:t xml:space="preserve"> </w:t>
      </w:r>
      <w:r w:rsidR="00E466E0" w:rsidRPr="00EF2F18">
        <w:rPr>
          <w:iCs/>
          <w:sz w:val="22"/>
          <w:lang w:val="sr-Cyrl-RS"/>
        </w:rPr>
        <w:t>ни земљишта унутар подручја од значаја за очување биодиверзитета, као што су приоритетни типови станишта и станишта строго заштићених и заштићених дивљих врста.</w:t>
      </w:r>
    </w:p>
    <w:p w14:paraId="63AE176C" w14:textId="0B426CA0" w:rsidR="00DA06CF" w:rsidRPr="00EF2F18" w:rsidRDefault="00DA06CF" w:rsidP="00DA06CF">
      <w:pPr>
        <w:autoSpaceDE w:val="0"/>
        <w:autoSpaceDN w:val="0"/>
        <w:adjustRightInd w:val="0"/>
        <w:spacing w:after="0"/>
        <w:ind w:firstLine="720"/>
        <w:jc w:val="both"/>
        <w:rPr>
          <w:rFonts w:cs="Times New Roman"/>
          <w:color w:val="000000"/>
          <w:sz w:val="22"/>
          <w:lang w:val="sr-Cyrl-RS"/>
        </w:rPr>
      </w:pPr>
      <w:r w:rsidRPr="00EF2F18">
        <w:rPr>
          <w:rFonts w:cs="Times New Roman"/>
          <w:color w:val="000000"/>
          <w:sz w:val="22"/>
          <w:lang w:val="sr-Cyrl-RS"/>
        </w:rPr>
        <w:t>Евиденција врста и количина употребљених ђубрива и средстава за заштиту биља није потпуна</w:t>
      </w:r>
      <w:r w:rsidR="00383194" w:rsidRPr="00EF2F18">
        <w:rPr>
          <w:rFonts w:cs="Times New Roman"/>
          <w:color w:val="000000"/>
          <w:sz w:val="22"/>
          <w:lang w:val="sr-Cyrl-RS"/>
        </w:rPr>
        <w:t>.</w:t>
      </w:r>
      <w:r w:rsidRPr="00EF2F18">
        <w:rPr>
          <w:rFonts w:cs="Times New Roman"/>
          <w:color w:val="000000"/>
          <w:sz w:val="22"/>
          <w:lang w:val="sr-Cyrl-RS"/>
        </w:rPr>
        <w:t xml:space="preserve"> </w:t>
      </w:r>
    </w:p>
    <w:p w14:paraId="28C580B3" w14:textId="006B578D" w:rsidR="00DA06CF" w:rsidRPr="00EF2F18" w:rsidRDefault="00DA06CF" w:rsidP="00DA06CF">
      <w:pPr>
        <w:spacing w:after="0"/>
        <w:ind w:firstLine="720"/>
        <w:jc w:val="both"/>
        <w:rPr>
          <w:rFonts w:cs="Times New Roman"/>
          <w:sz w:val="22"/>
          <w:lang w:val="sr-Cyrl-RS"/>
        </w:rPr>
      </w:pPr>
      <w:r w:rsidRPr="00EF2F18">
        <w:rPr>
          <w:rFonts w:cs="Times New Roman"/>
          <w:sz w:val="22"/>
          <w:lang w:val="sr-Cyrl-RS"/>
        </w:rPr>
        <w:t xml:space="preserve">Ефекти ерозије на деградацију земљишта су израженији, као и утицаји екстремних временских појава – најзаступљенији су ерозија повећањем интензитета падавина и ерозија ветром на изложеним подручјима. Активности на подизању ветрозаштитних појасева у Војводини, које су у надлежности локалних самоуправа, одвијале су се у претходном периоду углавном кроз пројекте финансиране од стране донаторских организација и, после 2020. године, Министарства заштите животне средине. Бројне </w:t>
      </w:r>
      <w:r w:rsidR="00E52612" w:rsidRPr="00EF2F18">
        <w:rPr>
          <w:rFonts w:cs="Times New Roman"/>
          <w:sz w:val="22"/>
          <w:lang w:val="sr-Cyrl-RS"/>
        </w:rPr>
        <w:t xml:space="preserve">јединице </w:t>
      </w:r>
      <w:r w:rsidRPr="00EF2F18">
        <w:rPr>
          <w:rFonts w:cs="Times New Roman"/>
          <w:sz w:val="22"/>
          <w:lang w:val="sr-Cyrl-RS"/>
        </w:rPr>
        <w:t>локалне самоуправе, посебно на територији АП Војводине, имају израђену техничку документацију (пројекте) за ветрозаштитне појасеве која није могла бити реализована управо због нерешених власничких односа</w:t>
      </w:r>
      <w:r w:rsidR="00E466E0" w:rsidRPr="00EF2F18">
        <w:rPr>
          <w:rFonts w:cs="Times New Roman"/>
          <w:sz w:val="22"/>
          <w:lang w:val="sr-Cyrl-RS"/>
        </w:rPr>
        <w:t xml:space="preserve">, </w:t>
      </w:r>
      <w:r w:rsidR="00E466E0" w:rsidRPr="00EF2F18">
        <w:rPr>
          <w:iCs/>
          <w:sz w:val="22"/>
          <w:lang w:val="sr-Cyrl-RS"/>
        </w:rPr>
        <w:t>односно недостатка потребних површина за подизање заштитног зеленила. Осим наведеног, предвиђен је само један тип заштитног зеленила (ветрозаштитни појасеви), а потребно је предвидети обавезу успостављања и других типова зелених појасева (међе, живице, приобално зеленило и сл), који би истовремено имало улогу очувања агробиодиверзитета, повољних микроклиматских услова, заштите од ерозије, дифузног загађења и др</w:t>
      </w:r>
      <w:r w:rsidRPr="00EF2F18">
        <w:rPr>
          <w:rFonts w:cs="Times New Roman"/>
          <w:sz w:val="22"/>
          <w:lang w:val="sr-Cyrl-RS"/>
        </w:rPr>
        <w:t>.</w:t>
      </w:r>
    </w:p>
    <w:p w14:paraId="3BE70D2C" w14:textId="77777777" w:rsidR="00DA06CF" w:rsidRPr="00EF2F18" w:rsidRDefault="00DA06CF" w:rsidP="00DA06CF">
      <w:pPr>
        <w:autoSpaceDE w:val="0"/>
        <w:autoSpaceDN w:val="0"/>
        <w:adjustRightInd w:val="0"/>
        <w:spacing w:after="0"/>
        <w:ind w:firstLine="720"/>
        <w:jc w:val="both"/>
        <w:rPr>
          <w:rFonts w:cs="Times New Roman"/>
          <w:sz w:val="22"/>
          <w:lang w:val="sr-Cyrl-RS"/>
        </w:rPr>
      </w:pPr>
      <w:r w:rsidRPr="00EF2F18">
        <w:rPr>
          <w:rFonts w:cs="Times New Roman"/>
          <w:sz w:val="22"/>
          <w:lang w:val="sr-Cyrl-RS"/>
        </w:rPr>
        <w:lastRenderedPageBreak/>
        <w:t>Не постоје организоване иницијативе на истраживању могућности коришћења природних геолошких сировина за смањење киселости земљишта, мада се у литератури могу наћи примери оваквих истраживања.</w:t>
      </w:r>
    </w:p>
    <w:p w14:paraId="29F12907" w14:textId="41674488" w:rsidR="00DA06CF" w:rsidRPr="00EF2F18" w:rsidRDefault="00DA06CF" w:rsidP="00DA06CF">
      <w:pPr>
        <w:pStyle w:val="odluka-zakon"/>
        <w:shd w:val="clear" w:color="auto" w:fill="FFFFFF"/>
        <w:spacing w:before="0" w:beforeAutospacing="0" w:after="0" w:afterAutospacing="0"/>
        <w:ind w:firstLine="720"/>
        <w:jc w:val="both"/>
        <w:rPr>
          <w:sz w:val="22"/>
          <w:szCs w:val="22"/>
          <w:lang w:val="sr-Cyrl-RS"/>
        </w:rPr>
      </w:pPr>
      <w:r w:rsidRPr="00EF2F18">
        <w:rPr>
          <w:sz w:val="22"/>
          <w:szCs w:val="22"/>
          <w:lang w:val="sr-Cyrl-RS"/>
        </w:rPr>
        <w:t>Правилником о условима за разврставање и утврђивање квалитета средстава за исхрану биља, одступањима садржаја хранљивих материја и минималним и максималним вредностима дозвољеног одступања садржаја хранљивих материја и о садржини декларације и начину обележавања средстава за исхрану биља („Службени гласник РС</w:t>
      </w:r>
      <w:r w:rsidR="00CF307C" w:rsidRPr="00EF2F18">
        <w:rPr>
          <w:sz w:val="22"/>
          <w:szCs w:val="22"/>
          <w:lang w:val="sr-Cyrl-RS"/>
        </w:rPr>
        <w:t>”</w:t>
      </w:r>
      <w:r w:rsidRPr="00EF2F18">
        <w:rPr>
          <w:sz w:val="22"/>
          <w:szCs w:val="22"/>
          <w:lang w:val="sr-Cyrl-RS"/>
        </w:rPr>
        <w:t>, бр. 30/17</w:t>
      </w:r>
      <w:r w:rsidR="00CE4CA1" w:rsidRPr="00EF2F18">
        <w:rPr>
          <w:sz w:val="22"/>
          <w:szCs w:val="22"/>
          <w:lang w:val="sr-Cyrl-RS"/>
        </w:rPr>
        <w:t xml:space="preserve"> и </w:t>
      </w:r>
      <w:r w:rsidRPr="00EF2F18">
        <w:rPr>
          <w:sz w:val="22"/>
          <w:szCs w:val="22"/>
          <w:lang w:val="sr-Cyrl-RS"/>
        </w:rPr>
        <w:t xml:space="preserve">31/18) одређена је максимална оптерећеност земљишта тешким металима, као и </w:t>
      </w:r>
      <w:r w:rsidRPr="00EF2F18">
        <w:rPr>
          <w:sz w:val="22"/>
          <w:szCs w:val="22"/>
          <w:shd w:val="clear" w:color="auto" w:fill="FFFFFF"/>
          <w:lang w:val="sr-Cyrl-RS"/>
        </w:rPr>
        <w:t>дозвољени садржај тешких метала у средствима за исхрану биља и оплемењивачима земљишта</w:t>
      </w:r>
      <w:r w:rsidR="00D3651F" w:rsidRPr="00EF2F18">
        <w:rPr>
          <w:sz w:val="22"/>
          <w:szCs w:val="22"/>
          <w:shd w:val="clear" w:color="auto" w:fill="FFFFFF"/>
          <w:lang w:val="sr-Cyrl-RS"/>
        </w:rPr>
        <w:t>,</w:t>
      </w:r>
      <w:r w:rsidRPr="00EF2F18">
        <w:rPr>
          <w:sz w:val="22"/>
          <w:szCs w:val="22"/>
          <w:shd w:val="clear" w:color="auto" w:fill="FFFFFF"/>
          <w:lang w:val="sr-Cyrl-RS"/>
        </w:rPr>
        <w:t xml:space="preserve"> и максималне количине тешких метала које се могу унети у земљиште са средствима за исхрану биља и оплемењивачима земљишта у временском периоду од две године. </w:t>
      </w:r>
    </w:p>
    <w:p w14:paraId="0E508C2D" w14:textId="1FBD8EE3" w:rsidR="00DA06CF" w:rsidRPr="00EF2F18" w:rsidRDefault="00DA06CF" w:rsidP="00B66F1B">
      <w:pPr>
        <w:autoSpaceDE w:val="0"/>
        <w:autoSpaceDN w:val="0"/>
        <w:adjustRightInd w:val="0"/>
        <w:spacing w:after="0"/>
        <w:ind w:firstLine="720"/>
        <w:jc w:val="both"/>
        <w:rPr>
          <w:rFonts w:cs="Times New Roman"/>
          <w:sz w:val="22"/>
          <w:lang w:val="sr-Cyrl-RS"/>
        </w:rPr>
      </w:pPr>
      <w:r w:rsidRPr="00EF2F18">
        <w:rPr>
          <w:rFonts w:cs="Times New Roman"/>
          <w:sz w:val="22"/>
          <w:lang w:val="sr-Cyrl-RS"/>
        </w:rPr>
        <w:t>Примарно законодавство у области органске производње је припремљено у складу са правним тековинама ЕУ, али се још чека на његово усвајање.</w:t>
      </w:r>
      <w:r w:rsidR="00B66F1B" w:rsidRPr="00EF2F18">
        <w:rPr>
          <w:rFonts w:cs="Times New Roman"/>
          <w:sz w:val="22"/>
          <w:lang w:val="sr-Cyrl-RS"/>
        </w:rPr>
        <w:t xml:space="preserve"> </w:t>
      </w:r>
      <w:r w:rsidRPr="00EF2F18">
        <w:rPr>
          <w:rFonts w:cs="Times New Roman"/>
          <w:sz w:val="22"/>
          <w:lang w:val="sr-Cyrl-RS"/>
        </w:rPr>
        <w:t>Површине са органском производњом настављају да се увећавају, при чему је најзначајнији пораст забележен у области производње воћа. Министарство пољопривреде, шумарства и водопривреде успоставило је евиденцију површина на којима се обавља органска пољопривреда по групама производа, биљним врстама и регионима.</w:t>
      </w:r>
    </w:p>
    <w:p w14:paraId="45067FA3" w14:textId="77777777" w:rsidR="00BF78D1" w:rsidRPr="00EF2F18" w:rsidRDefault="00BF78D1" w:rsidP="00827A94">
      <w:pPr>
        <w:spacing w:after="0"/>
        <w:rPr>
          <w:rFonts w:cs="Times New Roman"/>
          <w:i/>
          <w:iCs/>
          <w:sz w:val="22"/>
          <w:lang w:val="sr-Cyrl-RS"/>
        </w:rPr>
      </w:pPr>
    </w:p>
    <w:p w14:paraId="6BF7CB8D" w14:textId="0C416D30" w:rsidR="00827A94" w:rsidRPr="00EF2F18" w:rsidRDefault="00827A94" w:rsidP="00F106C9">
      <w:pPr>
        <w:spacing w:after="0"/>
        <w:ind w:firstLine="720"/>
        <w:rPr>
          <w:rFonts w:cs="Times New Roman"/>
          <w:b/>
          <w:sz w:val="22"/>
          <w:lang w:val="sr-Cyrl-RS"/>
        </w:rPr>
      </w:pPr>
      <w:r w:rsidRPr="00EF2F18">
        <w:rPr>
          <w:rFonts w:cs="Times New Roman"/>
          <w:b/>
          <w:i/>
          <w:iCs/>
          <w:sz w:val="22"/>
          <w:lang w:val="sr-Cyrl-RS"/>
        </w:rPr>
        <w:t>Пољопривредно земљиште</w:t>
      </w:r>
    </w:p>
    <w:p w14:paraId="7249713C" w14:textId="74BE67DA" w:rsidR="00B774AB" w:rsidRPr="00EF2F18" w:rsidRDefault="00B774AB" w:rsidP="00827A94">
      <w:pPr>
        <w:spacing w:after="0"/>
        <w:ind w:firstLine="720"/>
        <w:jc w:val="both"/>
        <w:rPr>
          <w:rFonts w:cs="Times New Roman"/>
          <w:sz w:val="22"/>
          <w:lang w:val="sr-Cyrl-RS"/>
        </w:rPr>
      </w:pPr>
      <w:r w:rsidRPr="00EF2F18">
        <w:rPr>
          <w:rFonts w:cs="Times New Roman"/>
          <w:sz w:val="22"/>
          <w:lang w:val="sr-Cyrl-RS"/>
        </w:rPr>
        <w:t xml:space="preserve">Република Србија располаже са 5,2 милиона </w:t>
      </w:r>
      <w:r w:rsidR="001223D0" w:rsidRPr="00EF2F18">
        <w:rPr>
          <w:rFonts w:cs="Times New Roman"/>
          <w:sz w:val="22"/>
          <w:lang w:val="sr-Cyrl-RS"/>
        </w:rPr>
        <w:t>ha</w:t>
      </w:r>
      <w:r w:rsidRPr="00EF2F18">
        <w:rPr>
          <w:rFonts w:cs="Times New Roman"/>
          <w:sz w:val="22"/>
          <w:lang w:val="sr-Cyrl-RS"/>
        </w:rPr>
        <w:t xml:space="preserve"> пољопривредног земљишта, од чега највећи део чини коришћено пољопривредно земљиште (67,12%). Процењује се да око 60% пољопривредног земљишта чини земљиште класе I до IV, док је остало у класи IV до VIII, и због ниског квалитета није погодно за интензивну обраду. Пољопривреду Републике Србије карактерише дуална структура пољопривредног сектора, са израженом поларизацијом на велика и добро опремљена газдинства на северу земље, и великим бројем газдинстава мале и средње величине мешовитог типа производње, са уситњеним</w:t>
      </w:r>
      <w:r w:rsidR="00C31366">
        <w:rPr>
          <w:rFonts w:cs="Times New Roman"/>
          <w:sz w:val="22"/>
          <w:lang w:val="sr-Cyrl-RS"/>
        </w:rPr>
        <w:t xml:space="preserve"> парцелама и скромном механизаци</w:t>
      </w:r>
      <w:r w:rsidRPr="00EF2F18">
        <w:rPr>
          <w:rFonts w:cs="Times New Roman"/>
          <w:sz w:val="22"/>
          <w:lang w:val="sr-Cyrl-RS"/>
        </w:rPr>
        <w:t>јом, која преовлађују у це</w:t>
      </w:r>
      <w:r w:rsidR="00B30581">
        <w:rPr>
          <w:rFonts w:cs="Times New Roman"/>
          <w:sz w:val="22"/>
          <w:lang w:val="sr-Cyrl-RS"/>
        </w:rPr>
        <w:t>н</w:t>
      </w:r>
      <w:r w:rsidRPr="00EF2F18">
        <w:rPr>
          <w:rFonts w:cs="Times New Roman"/>
          <w:sz w:val="22"/>
          <w:lang w:val="sr-Cyrl-RS"/>
        </w:rPr>
        <w:t>тралној и јужној Србији. Ова хетерогеност газдинстава, типова производње и примењиваних пракси, сугерише да су ризици и претње по животну средину од сектора пољопривреде сложени, регионално специфични и зависни од типа газдинства, односно производног усмерења (воћарство, ратарство, сточарство, повртарство).</w:t>
      </w:r>
    </w:p>
    <w:p w14:paraId="1C48DB42" w14:textId="1D4913C5" w:rsidR="00827A94" w:rsidRPr="00EF2F18" w:rsidRDefault="00827A94" w:rsidP="00866ADB">
      <w:pPr>
        <w:spacing w:after="0"/>
        <w:ind w:firstLine="720"/>
        <w:jc w:val="both"/>
        <w:rPr>
          <w:rFonts w:cs="Times New Roman"/>
          <w:sz w:val="22"/>
          <w:lang w:val="sr-Cyrl-RS"/>
        </w:rPr>
      </w:pPr>
      <w:r w:rsidRPr="00EF2F18">
        <w:rPr>
          <w:rFonts w:cs="Times New Roman"/>
          <w:bCs/>
          <w:sz w:val="22"/>
          <w:lang w:val="sr-Cyrl-RS"/>
        </w:rPr>
        <w:t xml:space="preserve">Узроци губитака и </w:t>
      </w:r>
      <w:r w:rsidR="00B35169" w:rsidRPr="00EF2F18">
        <w:rPr>
          <w:rFonts w:cs="Times New Roman"/>
          <w:bCs/>
          <w:sz w:val="22"/>
          <w:lang w:val="sr-Cyrl-RS"/>
        </w:rPr>
        <w:t xml:space="preserve">деградације пољопривредног земљишта </w:t>
      </w:r>
      <w:r w:rsidRPr="00EF2F18">
        <w:rPr>
          <w:rFonts w:cs="Times New Roman"/>
          <w:bCs/>
          <w:sz w:val="22"/>
          <w:lang w:val="sr-Cyrl-RS"/>
        </w:rPr>
        <w:t xml:space="preserve">су вишеструки. У </w:t>
      </w:r>
      <w:r w:rsidRPr="00EF2F18">
        <w:rPr>
          <w:rFonts w:cs="Times New Roman"/>
          <w:sz w:val="22"/>
          <w:lang w:val="sr-Cyrl-RS"/>
        </w:rPr>
        <w:t>објективне факторе спадају климатске промене, демографско пражњење села и осир</w:t>
      </w:r>
      <w:r w:rsidR="00D3651F" w:rsidRPr="00EF2F18">
        <w:rPr>
          <w:rFonts w:cs="Times New Roman"/>
          <w:sz w:val="22"/>
          <w:lang w:val="sr-Cyrl-RS"/>
        </w:rPr>
        <w:t>о</w:t>
      </w:r>
      <w:r w:rsidRPr="00EF2F18">
        <w:rPr>
          <w:rFonts w:cs="Times New Roman"/>
          <w:sz w:val="22"/>
          <w:lang w:val="sr-Cyrl-RS"/>
        </w:rPr>
        <w:t xml:space="preserve">машење сектора радном снагом, као и ниска профитабилност пољопривредне производње која за последицу има ниска улагања великог броја газдинстава мале и средње величине у агротехничке мере и технолошке процесе који доприносе очувању животне средине. На другој страни, одсуство системског, интегралног управљања земљиштем, ниска улагања у земљишну инфраструктуру, али и одсуство системских решења којима би се подстакла примена пољопривредних пракси повољних по животну средину, спадају у основна институционална ограничења. </w:t>
      </w:r>
    </w:p>
    <w:p w14:paraId="32103058" w14:textId="43E7C6F0" w:rsidR="00827A94" w:rsidRPr="00EF2F18" w:rsidRDefault="00827A94" w:rsidP="00866ADB">
      <w:pPr>
        <w:pStyle w:val="ListParagraph"/>
        <w:spacing w:after="0"/>
        <w:ind w:left="0" w:firstLine="720"/>
        <w:contextualSpacing w:val="0"/>
        <w:jc w:val="both"/>
        <w:rPr>
          <w:rFonts w:cs="Times New Roman"/>
          <w:sz w:val="22"/>
          <w:lang w:val="sr-Cyrl-RS"/>
        </w:rPr>
      </w:pPr>
      <w:r w:rsidRPr="00EF2F18">
        <w:rPr>
          <w:rFonts w:cs="Times New Roman"/>
          <w:sz w:val="22"/>
          <w:lang w:val="sr-Cyrl-RS"/>
        </w:rPr>
        <w:t>Поред трајног губитка услед</w:t>
      </w:r>
      <w:r w:rsidR="002717AA" w:rsidRPr="00EF2F18">
        <w:rPr>
          <w:rFonts w:cs="Times New Roman"/>
          <w:sz w:val="22"/>
          <w:lang w:val="sr-Cyrl-RS"/>
        </w:rPr>
        <w:t xml:space="preserve"> </w:t>
      </w:r>
      <w:r w:rsidRPr="00EF2F18">
        <w:rPr>
          <w:rFonts w:cs="Times New Roman"/>
          <w:sz w:val="22"/>
          <w:lang w:val="sr-Cyrl-RS"/>
        </w:rPr>
        <w:t xml:space="preserve">урбанизације и развоја инфраструктуре, пољопривредно земљиште је због нерационалног и неадекватног коришћења за пољопривредну производњу изложено закисељавању, заслањивању, ерозији, збијању, смањењу органске материје, испошћавању и другим негативним утицајима. Повишену потенцијалну киселост има 1,2 милиона ha (43% површина), посебно на подручју </w:t>
      </w:r>
      <w:r w:rsidR="009D701D" w:rsidRPr="00EF2F18">
        <w:rPr>
          <w:rFonts w:cs="Times New Roman"/>
          <w:sz w:val="22"/>
          <w:lang w:val="sr-Cyrl-RS"/>
        </w:rPr>
        <w:t>ц</w:t>
      </w:r>
      <w:r w:rsidRPr="00EF2F18">
        <w:rPr>
          <w:rFonts w:cs="Times New Roman"/>
          <w:sz w:val="22"/>
          <w:lang w:val="sr-Cyrl-RS"/>
        </w:rPr>
        <w:t>ентралне Србије. Процесу закисељавања земљишта током протеклих деценија допринео је и смањени унос органских материја, као резултат смањења броја стоке и, самим тим, стајског ђубрива. У Војводини је 233.000 ha заслањено и алкализовано, што доприноси његовој смањеној продуктивности</w:t>
      </w:r>
      <w:r w:rsidR="00E466E0" w:rsidRPr="00EF2F18">
        <w:rPr>
          <w:rFonts w:cs="Times New Roman"/>
          <w:sz w:val="22"/>
          <w:lang w:val="sr-Cyrl-RS"/>
        </w:rPr>
        <w:t xml:space="preserve"> </w:t>
      </w:r>
      <w:r w:rsidR="00E466E0" w:rsidRPr="00EF2F18">
        <w:rPr>
          <w:iCs/>
          <w:sz w:val="22"/>
          <w:lang w:val="sr-Cyrl-RS"/>
        </w:rPr>
        <w:t>са аспекта ратарства, али су изузетно продуктивна са аспекта сточарства, те су из тог разлога вековима уназад коришћена као пашњаци. Такође, део пашњака припада станишним типовима „Панонске слане степе и слане мочваре</w:t>
      </w:r>
      <w:r w:rsidR="00A64280" w:rsidRPr="00EF2F18">
        <w:rPr>
          <w:iCs/>
          <w:sz w:val="22"/>
          <w:lang w:val="sr-Cyrl-RS"/>
        </w:rPr>
        <w:t>”</w:t>
      </w:r>
      <w:r w:rsidR="00E466E0" w:rsidRPr="00EF2F18">
        <w:rPr>
          <w:iCs/>
          <w:sz w:val="22"/>
          <w:lang w:val="sr-Cyrl-RS"/>
        </w:rPr>
        <w:t xml:space="preserve"> који представљају приоритетна станишта за заштиту на националном нивоу и у међународним оквирима</w:t>
      </w:r>
      <w:r w:rsidRPr="00EF2F18">
        <w:rPr>
          <w:rFonts w:cs="Times New Roman"/>
          <w:sz w:val="22"/>
          <w:lang w:val="sr-Cyrl-RS"/>
        </w:rPr>
        <w:t>. Узрок заслањивања је повећан унос соли наводњавањем, као и подземним водама код</w:t>
      </w:r>
      <w:r w:rsidR="002717AA" w:rsidRPr="00EF2F18">
        <w:rPr>
          <w:rFonts w:cs="Times New Roman"/>
          <w:sz w:val="22"/>
          <w:lang w:val="sr-Cyrl-RS"/>
        </w:rPr>
        <w:t xml:space="preserve"> </w:t>
      </w:r>
      <w:r w:rsidRPr="00EF2F18">
        <w:rPr>
          <w:rFonts w:cs="Times New Roman"/>
          <w:sz w:val="22"/>
          <w:lang w:val="sr-Cyrl-RS"/>
        </w:rPr>
        <w:t xml:space="preserve">хидроморфних земљишта. Садржај органског угљеника је низак на подручју централне Србије. Примена лоших пракси управљања земљиштем (спаљивање жетвених остатака, мали проценат површина под зимским заштитним усевима и зеленим угаром и слично) и смањење броја стоке, доводе до тога да земљишта губе органску материју и ослобађају гасове са ефектом стаклене баште. </w:t>
      </w:r>
    </w:p>
    <w:p w14:paraId="321B70BE" w14:textId="355801D0" w:rsidR="00827A94" w:rsidRPr="00EF2F18" w:rsidRDefault="00827A94" w:rsidP="00866ADB">
      <w:pPr>
        <w:spacing w:after="0"/>
        <w:ind w:firstLine="720"/>
        <w:jc w:val="both"/>
        <w:rPr>
          <w:rFonts w:cs="Times New Roman"/>
          <w:sz w:val="22"/>
          <w:lang w:val="sr-Cyrl-RS"/>
        </w:rPr>
      </w:pPr>
      <w:r w:rsidRPr="00EF2F18">
        <w:rPr>
          <w:rFonts w:cs="Times New Roman"/>
          <w:sz w:val="22"/>
          <w:lang w:val="sr-Cyrl-RS"/>
        </w:rPr>
        <w:lastRenderedPageBreak/>
        <w:t>Процењује се да ерозија земљишта различитог степена захвата око 80% пољопривредног земљишта, а годишње губитак земљишта због тог деловања је око 30 милиона m</w:t>
      </w:r>
      <w:r w:rsidRPr="00EF2F18">
        <w:rPr>
          <w:rFonts w:cs="Times New Roman"/>
          <w:sz w:val="22"/>
          <w:vertAlign w:val="superscript"/>
          <w:lang w:val="sr-Cyrl-RS"/>
        </w:rPr>
        <w:t>3</w:t>
      </w:r>
      <w:r w:rsidRPr="00EF2F18">
        <w:rPr>
          <w:rFonts w:cs="Times New Roman"/>
          <w:sz w:val="22"/>
          <w:lang w:val="sr-Cyrl-RS"/>
        </w:rPr>
        <w:t xml:space="preserve">, од чега еолска ерозија однесе око </w:t>
      </w:r>
      <w:r w:rsidR="00F106C9" w:rsidRPr="00EF2F18">
        <w:rPr>
          <w:rFonts w:cs="Times New Roman"/>
          <w:sz w:val="22"/>
          <w:lang w:val="sr-Cyrl-RS"/>
        </w:rPr>
        <w:t>осам</w:t>
      </w:r>
      <w:r w:rsidRPr="00EF2F18">
        <w:rPr>
          <w:rFonts w:cs="Times New Roman"/>
          <w:sz w:val="22"/>
          <w:lang w:val="sr-Cyrl-RS"/>
        </w:rPr>
        <w:t xml:space="preserve"> милиона m</w:t>
      </w:r>
      <w:r w:rsidRPr="00EF2F18">
        <w:rPr>
          <w:rFonts w:cs="Times New Roman"/>
          <w:sz w:val="22"/>
          <w:vertAlign w:val="superscript"/>
          <w:lang w:val="sr-Cyrl-RS"/>
        </w:rPr>
        <w:t>3</w:t>
      </w:r>
      <w:r w:rsidRPr="00EF2F18">
        <w:rPr>
          <w:rFonts w:cs="Times New Roman"/>
          <w:sz w:val="22"/>
          <w:lang w:val="sr-Cyrl-RS"/>
        </w:rPr>
        <w:t xml:space="preserve">. У централним и брдско-планинским пределима преовлађује водна ерозија, док је еолска ерозија присутна је на простору Војводине и у речним долинама </w:t>
      </w:r>
      <w:r w:rsidR="009D701D" w:rsidRPr="00EF2F18">
        <w:rPr>
          <w:rFonts w:cs="Times New Roman"/>
          <w:sz w:val="22"/>
          <w:lang w:val="sr-Cyrl-RS"/>
        </w:rPr>
        <w:t>ц</w:t>
      </w:r>
      <w:r w:rsidRPr="00EF2F18">
        <w:rPr>
          <w:rFonts w:cs="Times New Roman"/>
          <w:sz w:val="22"/>
          <w:lang w:val="sr-Cyrl-RS"/>
        </w:rPr>
        <w:t>ентралне Србије. Најугроженија су подручја југоисточног Баната и северне Бачке (Делиблатска и Суботичко-хоргошка пешчара), као и простор десне обале Дунава.</w:t>
      </w:r>
      <w:r w:rsidR="00654CD9" w:rsidRPr="00EF2F18">
        <w:rPr>
          <w:rFonts w:cs="Times New Roman"/>
          <w:sz w:val="22"/>
          <w:lang w:val="sr-Cyrl-RS"/>
        </w:rPr>
        <w:t xml:space="preserve"> Уништавање ветрозаштитних појасева и узурпација земљишта на којима су они подизани, допринели су и значајном губитку биодиверзитета. Програмом заштите, уређења и коришћења пољопривредног земљишта, који се спроводи новцем од закупа државног земљишта, предвиђена је обавезна мера подизања пољозаштитних појасева, међутим, општине и градови који управљају овим земљиштем, углавном не улажу средства за ове намене.</w:t>
      </w:r>
    </w:p>
    <w:p w14:paraId="61C0FB85" w14:textId="43142FA9" w:rsidR="00827A94" w:rsidRPr="00EF2F18" w:rsidRDefault="00827A94" w:rsidP="00866ADB">
      <w:pPr>
        <w:pStyle w:val="ListParagraph"/>
        <w:spacing w:after="0"/>
        <w:ind w:left="0" w:firstLine="720"/>
        <w:contextualSpacing w:val="0"/>
        <w:jc w:val="both"/>
        <w:rPr>
          <w:rFonts w:cs="Times New Roman"/>
          <w:sz w:val="22"/>
          <w:lang w:val="sr-Cyrl-RS"/>
        </w:rPr>
      </w:pPr>
      <w:r w:rsidRPr="00EF2F18">
        <w:rPr>
          <w:rFonts w:cs="Times New Roman"/>
          <w:sz w:val="22"/>
          <w:lang w:val="sr-Cyrl-RS"/>
        </w:rPr>
        <w:t xml:space="preserve">Системима за одводњавање у 2017. години било је </w:t>
      </w:r>
      <w:r w:rsidR="007332E3" w:rsidRPr="00EF2F18">
        <w:rPr>
          <w:rFonts w:cs="Times New Roman"/>
          <w:sz w:val="22"/>
          <w:lang w:val="sr-Cyrl-RS"/>
        </w:rPr>
        <w:t xml:space="preserve">обухваћено </w:t>
      </w:r>
      <w:r w:rsidRPr="00EF2F18">
        <w:rPr>
          <w:rFonts w:cs="Times New Roman"/>
          <w:sz w:val="22"/>
          <w:lang w:val="sr-Cyrl-RS"/>
        </w:rPr>
        <w:t xml:space="preserve">55% коришћеног пољопривредног земљишта (1,9 милиона ha). Дренажни канали и припадајуће структуре су угрожени замуљивањем, закоровљавањем, док су неке пумпне станице неактивне. У основи, цео систем је неефикасан и нефункционалан због лошег одржавања, кварова и проблема у оперативном управљању. </w:t>
      </w:r>
      <w:r w:rsidR="00E466E0" w:rsidRPr="00EF2F18">
        <w:rPr>
          <w:sz w:val="22"/>
          <w:lang w:val="sr-Cyrl-RS"/>
        </w:rPr>
        <w:t xml:space="preserve">Међутим, узевши у обзир да је у разматрање укључена само једна (сушна) година, на основу наведеног није могуће донети адекватан закључак у вези ефикасности одржавања каналске мреже. </w:t>
      </w:r>
      <w:r w:rsidR="00E466E0" w:rsidRPr="00EF2F18">
        <w:rPr>
          <w:iCs/>
          <w:sz w:val="22"/>
          <w:lang w:val="sr-Cyrl-RS"/>
        </w:rPr>
        <w:t xml:space="preserve">Са друге стране, активности на одржавању канала неретко не интегришу потребе свих корисника (нпр. измуљивање у циљу одводњавања ораница и третирање приобаља канала хербицидима </w:t>
      </w:r>
      <w:r w:rsidR="00866ADB" w:rsidRPr="00EF2F18">
        <w:rPr>
          <w:iCs/>
          <w:sz w:val="22"/>
          <w:lang w:val="sr-Cyrl-RS"/>
        </w:rPr>
        <w:t>(</w:t>
      </w:r>
      <w:r w:rsidR="00E466E0" w:rsidRPr="00EF2F18">
        <w:rPr>
          <w:iCs/>
          <w:sz w:val="22"/>
          <w:lang w:val="sr-Cyrl-RS"/>
        </w:rPr>
        <w:t xml:space="preserve">нпр. </w:t>
      </w:r>
      <w:r w:rsidR="00E466E0" w:rsidRPr="00EF2F18">
        <w:rPr>
          <w:i/>
          <w:sz w:val="22"/>
          <w:lang w:val="sr-Cyrl-RS"/>
        </w:rPr>
        <w:t>Glifosat</w:t>
      </w:r>
      <w:r w:rsidR="00E466E0" w:rsidRPr="00EF2F18">
        <w:rPr>
          <w:iCs/>
          <w:sz w:val="22"/>
          <w:lang w:val="sr-Cyrl-RS"/>
        </w:rPr>
        <w:t xml:space="preserve"> и </w:t>
      </w:r>
      <w:r w:rsidR="00E466E0" w:rsidRPr="00EF2F18">
        <w:rPr>
          <w:i/>
          <w:sz w:val="22"/>
          <w:lang w:val="sr-Cyrl-RS"/>
        </w:rPr>
        <w:t>Triklopir</w:t>
      </w:r>
      <w:r w:rsidR="00866ADB" w:rsidRPr="00EF2F18">
        <w:rPr>
          <w:iCs/>
          <w:sz w:val="22"/>
          <w:lang w:val="sr-Cyrl-RS"/>
        </w:rPr>
        <w:t>)</w:t>
      </w:r>
      <w:r w:rsidR="00E466E0" w:rsidRPr="00EF2F18">
        <w:rPr>
          <w:iCs/>
          <w:sz w:val="22"/>
          <w:lang w:val="sr-Cyrl-RS"/>
        </w:rPr>
        <w:t xml:space="preserve"> често има негативан утицај на квалитет суседних пашњака и/или са којима постоји хидролошка повезаност), а такође се занемарују обавезе у заштити природе (у случају одржавања канала који су елементи еколошке мреже</w:t>
      </w:r>
      <w:r w:rsidR="00866ADB" w:rsidRPr="00EF2F18">
        <w:rPr>
          <w:iCs/>
          <w:sz w:val="22"/>
          <w:lang w:val="sr-Cyrl-RS"/>
        </w:rPr>
        <w:t>)</w:t>
      </w:r>
      <w:r w:rsidR="00E466E0" w:rsidRPr="00EF2F18">
        <w:rPr>
          <w:iCs/>
          <w:sz w:val="22"/>
          <w:lang w:val="sr-Cyrl-RS"/>
        </w:rPr>
        <w:t>.</w:t>
      </w:r>
    </w:p>
    <w:p w14:paraId="437DF6A2" w14:textId="22547CF8" w:rsidR="00827A94" w:rsidRPr="00EF2F18" w:rsidRDefault="00827A94" w:rsidP="00866ADB">
      <w:pPr>
        <w:spacing w:after="0"/>
        <w:ind w:firstLine="720"/>
        <w:jc w:val="both"/>
        <w:rPr>
          <w:rFonts w:cs="Times New Roman"/>
          <w:sz w:val="22"/>
          <w:lang w:val="sr-Cyrl-RS"/>
        </w:rPr>
      </w:pPr>
      <w:r w:rsidRPr="00EF2F18">
        <w:rPr>
          <w:rFonts w:cs="Times New Roman"/>
          <w:sz w:val="22"/>
          <w:lang w:val="sr-Cyrl-RS"/>
        </w:rPr>
        <w:t>Као последица потребе за ширењем поседа и повећања обрадивих површина од стране великих и добро опремљених газдинст</w:t>
      </w:r>
      <w:r w:rsidR="007332E3" w:rsidRPr="00EF2F18">
        <w:rPr>
          <w:rFonts w:cs="Times New Roman"/>
          <w:sz w:val="22"/>
          <w:lang w:val="sr-Cyrl-RS"/>
        </w:rPr>
        <w:t>а</w:t>
      </w:r>
      <w:r w:rsidRPr="00EF2F18">
        <w:rPr>
          <w:rFonts w:cs="Times New Roman"/>
          <w:sz w:val="22"/>
          <w:lang w:val="sr-Cyrl-RS"/>
        </w:rPr>
        <w:t>ва</w:t>
      </w:r>
      <w:r w:rsidR="007332E3" w:rsidRPr="00EF2F18">
        <w:rPr>
          <w:rFonts w:cs="Times New Roman"/>
          <w:sz w:val="22"/>
          <w:lang w:val="sr-Cyrl-RS"/>
        </w:rPr>
        <w:t>,</w:t>
      </w:r>
      <w:r w:rsidRPr="00EF2F18">
        <w:rPr>
          <w:rFonts w:cs="Times New Roman"/>
          <w:sz w:val="22"/>
          <w:lang w:val="sr-Cyrl-RS"/>
        </w:rPr>
        <w:t xml:space="preserve"> све је чешћа промена намене ливада и пашњака и полуприродне вегетације у обрадиво земљиште. Ово је изражено на подручју </w:t>
      </w:r>
      <w:r w:rsidR="007332E3" w:rsidRPr="00EF2F18">
        <w:rPr>
          <w:rFonts w:cs="Times New Roman"/>
          <w:sz w:val="22"/>
          <w:lang w:val="sr-Cyrl-RS"/>
        </w:rPr>
        <w:t xml:space="preserve">АП </w:t>
      </w:r>
      <w:r w:rsidRPr="00EF2F18">
        <w:rPr>
          <w:rFonts w:cs="Times New Roman"/>
          <w:sz w:val="22"/>
          <w:lang w:val="sr-Cyrl-RS"/>
        </w:rPr>
        <w:t xml:space="preserve">Војводине, на површинама које припадају државном пољопривредном земљишту. </w:t>
      </w:r>
    </w:p>
    <w:p w14:paraId="526B6C1C" w14:textId="36EE11A5" w:rsidR="00827A94" w:rsidRPr="00EF2F18" w:rsidRDefault="00827A94" w:rsidP="00866ADB">
      <w:pPr>
        <w:spacing w:after="0"/>
        <w:ind w:firstLine="720"/>
        <w:jc w:val="both"/>
        <w:rPr>
          <w:rFonts w:cs="Times New Roman"/>
          <w:sz w:val="22"/>
          <w:lang w:val="sr-Cyrl-RS"/>
        </w:rPr>
      </w:pPr>
      <w:r w:rsidRPr="00EF2F18">
        <w:rPr>
          <w:rFonts w:cs="Times New Roman"/>
          <w:sz w:val="22"/>
          <w:lang w:val="sr-Cyrl-RS"/>
        </w:rPr>
        <w:t>Неадекватне праксе обраде земљишта, пре свега употреба тешке механизације, доводе до његовог сабијања, чиме се нарушава водно</w:t>
      </w:r>
      <w:r w:rsidR="005843EC" w:rsidRPr="00EF2F18">
        <w:rPr>
          <w:rFonts w:cs="Times New Roman"/>
          <w:sz w:val="22"/>
          <w:lang w:val="sr-Cyrl-RS"/>
        </w:rPr>
        <w:t>-</w:t>
      </w:r>
      <w:r w:rsidRPr="00EF2F18">
        <w:rPr>
          <w:rFonts w:cs="Times New Roman"/>
          <w:sz w:val="22"/>
          <w:lang w:val="sr-Cyrl-RS"/>
        </w:rPr>
        <w:t>ваздушни режим и смањује укупна плодност. Оваква земљишта су мање способна да а</w:t>
      </w:r>
      <w:r w:rsidR="007332E3" w:rsidRPr="00EF2F18">
        <w:rPr>
          <w:rFonts w:cs="Times New Roman"/>
          <w:sz w:val="22"/>
          <w:lang w:val="sr-Cyrl-RS"/>
        </w:rPr>
        <w:t>п</w:t>
      </w:r>
      <w:r w:rsidRPr="00EF2F18">
        <w:rPr>
          <w:rFonts w:cs="Times New Roman"/>
          <w:sz w:val="22"/>
          <w:lang w:val="sr-Cyrl-RS"/>
        </w:rPr>
        <w:t>сорбују влагу, што узрокује веће површинско испирање и ерозију, активност живих организама се смањује, а због недостатка кисеоника смањује се и број микроорганизама, па самим тим и биогеност земљишта.</w:t>
      </w:r>
    </w:p>
    <w:p w14:paraId="7E1F3E0B" w14:textId="00F24266" w:rsidR="00827A94" w:rsidRPr="00EF2F18" w:rsidRDefault="00827A94" w:rsidP="00827A94">
      <w:pPr>
        <w:pStyle w:val="Normal1"/>
        <w:shd w:val="clear" w:color="auto" w:fill="FFFFFF"/>
        <w:spacing w:after="0"/>
        <w:ind w:firstLine="720"/>
        <w:jc w:val="both"/>
        <w:rPr>
          <w:rFonts w:ascii="Times New Roman" w:hAnsi="Times New Roman" w:cs="Times New Roman"/>
          <w:b/>
          <w:bCs/>
          <w:lang w:val="sr-Cyrl-RS"/>
        </w:rPr>
      </w:pPr>
      <w:r w:rsidRPr="00EF2F18">
        <w:rPr>
          <w:rFonts w:ascii="Times New Roman" w:eastAsiaTheme="minorHAnsi" w:hAnsi="Times New Roman" w:cs="Times New Roman"/>
          <w:lang w:val="sr-Cyrl-RS"/>
        </w:rPr>
        <w:t xml:space="preserve">Законом о пољопривредном земљишту предвиђено је да се ради заштите и очувања хемијских и биолошких својстава пољопривредног земљишта врши контрола плодности обрадивог пољопривредног земљишта и евиденција количине </w:t>
      </w:r>
      <w:r w:rsidR="00BF1F91" w:rsidRPr="00EF2F18">
        <w:rPr>
          <w:rFonts w:ascii="Times New Roman" w:eastAsiaTheme="minorHAnsi" w:hAnsi="Times New Roman" w:cs="Times New Roman"/>
          <w:lang w:val="sr-Cyrl-RS"/>
        </w:rPr>
        <w:t xml:space="preserve">унетих средстава за исхрану биља </w:t>
      </w:r>
      <w:r w:rsidRPr="00EF2F18">
        <w:rPr>
          <w:rFonts w:ascii="Times New Roman" w:eastAsiaTheme="minorHAnsi" w:hAnsi="Times New Roman" w:cs="Times New Roman"/>
          <w:lang w:val="sr-Cyrl-RS"/>
        </w:rPr>
        <w:t xml:space="preserve">и </w:t>
      </w:r>
      <w:r w:rsidR="00960CF4" w:rsidRPr="00EF2F18">
        <w:rPr>
          <w:rFonts w:ascii="Times New Roman" w:eastAsiaTheme="minorHAnsi" w:hAnsi="Times New Roman" w:cs="Times New Roman"/>
          <w:lang w:val="sr-Cyrl-RS"/>
        </w:rPr>
        <w:t>средстава за заштиту биља</w:t>
      </w:r>
      <w:r w:rsidRPr="00EF2F18">
        <w:rPr>
          <w:rFonts w:ascii="Times New Roman" w:eastAsiaTheme="minorHAnsi" w:hAnsi="Times New Roman" w:cs="Times New Roman"/>
          <w:lang w:val="sr-Cyrl-RS"/>
        </w:rPr>
        <w:t xml:space="preserve">. Надлежно Министарство </w:t>
      </w:r>
      <w:r w:rsidR="000D3ABB" w:rsidRPr="00EF2F18">
        <w:rPr>
          <w:rFonts w:ascii="Times New Roman" w:eastAsiaTheme="minorHAnsi" w:hAnsi="Times New Roman" w:cs="Times New Roman"/>
          <w:lang w:val="sr-Cyrl-RS"/>
        </w:rPr>
        <w:t xml:space="preserve">недавно је усвојило </w:t>
      </w:r>
      <w:r w:rsidRPr="00EF2F18">
        <w:rPr>
          <w:rFonts w:ascii="Times New Roman" w:hAnsi="Times New Roman" w:cs="Times New Roman"/>
          <w:lang w:val="sr-Cyrl-RS"/>
        </w:rPr>
        <w:t>Правилник о условима за испитивање опасних и штетних материја у пољопривредном земљишту и води за наводњавање</w:t>
      </w:r>
      <w:r w:rsidR="000D3ABB" w:rsidRPr="00EF2F18">
        <w:rPr>
          <w:rFonts w:ascii="Times New Roman" w:hAnsi="Times New Roman" w:cs="Times New Roman"/>
          <w:lang w:val="sr-Cyrl-RS"/>
        </w:rPr>
        <w:t xml:space="preserve"> („Службени гласник РС</w:t>
      </w:r>
      <w:r w:rsidR="00A64280" w:rsidRPr="00EF2F18">
        <w:rPr>
          <w:rFonts w:ascii="Times New Roman" w:hAnsi="Times New Roman" w:cs="Times New Roman"/>
          <w:lang w:val="sr-Cyrl-RS"/>
        </w:rPr>
        <w:t>”</w:t>
      </w:r>
      <w:r w:rsidR="000D3ABB" w:rsidRPr="00EF2F18">
        <w:rPr>
          <w:rFonts w:ascii="Times New Roman" w:hAnsi="Times New Roman" w:cs="Times New Roman"/>
          <w:lang w:val="sr-Cyrl-RS"/>
        </w:rPr>
        <w:t>, број 20/23)</w:t>
      </w:r>
      <w:r w:rsidRPr="00EF2F18">
        <w:rPr>
          <w:rFonts w:ascii="Times New Roman" w:hAnsi="Times New Roman" w:cs="Times New Roman"/>
          <w:lang w:val="sr-Cyrl-RS"/>
        </w:rPr>
        <w:t xml:space="preserve">, који ће додатно регулисати ову материју. </w:t>
      </w:r>
      <w:r w:rsidRPr="00EF2F18">
        <w:rPr>
          <w:rFonts w:ascii="Times New Roman" w:eastAsiaTheme="minorHAnsi" w:hAnsi="Times New Roman" w:cs="Times New Roman"/>
          <w:lang w:val="sr-Cyrl-RS"/>
        </w:rPr>
        <w:t>Контрола се врши по потреби, а најмање сваке пете године. Закон такође предвиђа да се у циљу заштите пољопривредног земљишта од штетног дејства ерозије и бујица на ерозионом подручју предузимају противерозионе мере</w:t>
      </w:r>
      <w:r w:rsidRPr="00EF2F18">
        <w:rPr>
          <w:rFonts w:ascii="Times New Roman" w:hAnsi="Times New Roman" w:cs="Times New Roman"/>
          <w:lang w:val="sr-Cyrl-RS"/>
        </w:rPr>
        <w:t xml:space="preserve">. </w:t>
      </w:r>
      <w:r w:rsidRPr="00EF2F18">
        <w:rPr>
          <w:rFonts w:ascii="Times New Roman" w:eastAsiaTheme="minorHAnsi" w:hAnsi="Times New Roman" w:cs="Times New Roman"/>
          <w:lang w:val="sr-Cyrl-RS"/>
        </w:rPr>
        <w:t>Ипак, примена ових</w:t>
      </w:r>
      <w:r w:rsidRPr="00EF2F18">
        <w:rPr>
          <w:rFonts w:ascii="Times New Roman" w:hAnsi="Times New Roman" w:cs="Times New Roman"/>
          <w:lang w:val="sr-Cyrl-RS"/>
        </w:rPr>
        <w:t xml:space="preserve"> </w:t>
      </w:r>
      <w:r w:rsidRPr="00EF2F18">
        <w:rPr>
          <w:rFonts w:ascii="Times New Roman" w:eastAsiaTheme="minorHAnsi" w:hAnsi="Times New Roman" w:cs="Times New Roman"/>
          <w:lang w:val="sr-Cyrl-RS"/>
        </w:rPr>
        <w:t>мера и активности у овом моменту је обавезујућа само за кориснике државног пољопривредног земљишта датог у закуп, будући да због мањка ресурса пољопривредна инспекција није у могућности да спроводи свеобухватну контролу.</w:t>
      </w:r>
      <w:r w:rsidRPr="00EF2F18">
        <w:rPr>
          <w:rFonts w:ascii="Times New Roman" w:hAnsi="Times New Roman" w:cs="Times New Roman"/>
          <w:bCs/>
          <w:lang w:val="sr-Cyrl-RS"/>
        </w:rPr>
        <w:t xml:space="preserve"> </w:t>
      </w:r>
    </w:p>
    <w:p w14:paraId="0F9C1DF7" w14:textId="11BC6E6E" w:rsidR="00827A94" w:rsidRPr="00EF2F18" w:rsidRDefault="00827A94" w:rsidP="00827A94">
      <w:pPr>
        <w:spacing w:after="0"/>
        <w:ind w:firstLine="720"/>
        <w:jc w:val="both"/>
        <w:rPr>
          <w:rFonts w:cs="Times New Roman"/>
          <w:sz w:val="22"/>
          <w:lang w:val="sr-Cyrl-RS"/>
        </w:rPr>
      </w:pPr>
      <w:r w:rsidRPr="00EF2F18">
        <w:rPr>
          <w:rFonts w:cs="Times New Roman"/>
          <w:sz w:val="22"/>
          <w:lang w:val="sr-Cyrl-RS"/>
        </w:rPr>
        <w:t xml:space="preserve">Субвенције у пољопривреди, односно директна плаћања </w:t>
      </w:r>
      <w:r w:rsidR="00BF78D1" w:rsidRPr="00EF2F18">
        <w:rPr>
          <w:rFonts w:cs="Times New Roman"/>
          <w:sz w:val="22"/>
          <w:lang w:val="sr-Cyrl-RS"/>
        </w:rPr>
        <w:t xml:space="preserve">пољопривредним </w:t>
      </w:r>
      <w:r w:rsidRPr="00EF2F18">
        <w:rPr>
          <w:rFonts w:cs="Times New Roman"/>
          <w:sz w:val="22"/>
          <w:lang w:val="sr-Cyrl-RS"/>
        </w:rPr>
        <w:t>произвођачима</w:t>
      </w:r>
      <w:r w:rsidR="00BF78D1" w:rsidRPr="00EF2F18">
        <w:rPr>
          <w:rFonts w:cs="Times New Roman"/>
          <w:sz w:val="22"/>
          <w:lang w:val="sr-Cyrl-RS"/>
        </w:rPr>
        <w:t xml:space="preserve"> у Републици Србији</w:t>
      </w:r>
      <w:r w:rsidRPr="00EF2F18">
        <w:rPr>
          <w:rFonts w:cs="Times New Roman"/>
          <w:sz w:val="22"/>
          <w:lang w:val="sr-Cyrl-RS"/>
        </w:rPr>
        <w:t>, још нису условљени поштовањем стандарда и пракси који допринесе унапређењу животне</w:t>
      </w:r>
      <w:r w:rsidR="00A46181" w:rsidRPr="00EF2F18">
        <w:rPr>
          <w:rFonts w:cs="Times New Roman"/>
          <w:sz w:val="22"/>
          <w:lang w:val="sr-Cyrl-RS"/>
        </w:rPr>
        <w:t xml:space="preserve"> средине</w:t>
      </w:r>
      <w:r w:rsidRPr="00EF2F18">
        <w:rPr>
          <w:rFonts w:cs="Times New Roman"/>
          <w:sz w:val="22"/>
          <w:lang w:val="sr-Cyrl-RS"/>
        </w:rPr>
        <w:t>, јавног здравља, здравља животиња и биља и заштити и добробити животиња, а који су</w:t>
      </w:r>
      <w:r w:rsidR="00BF78D1" w:rsidRPr="00EF2F18">
        <w:rPr>
          <w:rFonts w:cs="Times New Roman"/>
          <w:sz w:val="22"/>
          <w:lang w:val="sr-Cyrl-RS"/>
        </w:rPr>
        <w:t xml:space="preserve"> у ЕУ</w:t>
      </w:r>
      <w:r w:rsidRPr="00EF2F18">
        <w:rPr>
          <w:rFonts w:cs="Times New Roman"/>
          <w:sz w:val="22"/>
          <w:lang w:val="sr-Cyrl-RS"/>
        </w:rPr>
        <w:t xml:space="preserve"> прописани Обавезним условима управљања (</w:t>
      </w:r>
      <w:r w:rsidRPr="00EF2F18">
        <w:rPr>
          <w:rFonts w:cs="Times New Roman"/>
          <w:i/>
          <w:sz w:val="22"/>
          <w:lang w:val="sr-Cyrl-RS"/>
        </w:rPr>
        <w:t xml:space="preserve">Statutory Management Requirements </w:t>
      </w:r>
      <w:r w:rsidR="00215845">
        <w:rPr>
          <w:rFonts w:cs="Times New Roman"/>
          <w:i/>
          <w:sz w:val="22"/>
          <w:lang w:val="sr-Cyrl-RS"/>
        </w:rPr>
        <w:t>–</w:t>
      </w:r>
      <w:r w:rsidRPr="00EF2F18">
        <w:rPr>
          <w:rFonts w:cs="Times New Roman"/>
          <w:i/>
          <w:sz w:val="22"/>
          <w:lang w:val="sr-Cyrl-RS"/>
        </w:rPr>
        <w:t xml:space="preserve"> SMR</w:t>
      </w:r>
      <w:r w:rsidRPr="00EF2F18">
        <w:rPr>
          <w:rFonts w:cs="Times New Roman"/>
          <w:sz w:val="22"/>
          <w:lang w:val="sr-Cyrl-RS"/>
        </w:rPr>
        <w:t>), и Добрим пољопривредним и еколошким условима (</w:t>
      </w:r>
      <w:r w:rsidRPr="00EF2F18">
        <w:rPr>
          <w:rFonts w:cs="Times New Roman"/>
          <w:i/>
          <w:sz w:val="22"/>
          <w:lang w:val="sr-Cyrl-RS"/>
        </w:rPr>
        <w:t xml:space="preserve">Good Agricultural and Environmental Conditions </w:t>
      </w:r>
      <w:r w:rsidR="00CF1802">
        <w:rPr>
          <w:rFonts w:cs="Times New Roman"/>
          <w:i/>
          <w:sz w:val="22"/>
          <w:lang w:val="sr-Cyrl-RS"/>
        </w:rPr>
        <w:t>–</w:t>
      </w:r>
      <w:r w:rsidRPr="00EF2F18">
        <w:rPr>
          <w:rFonts w:cs="Times New Roman"/>
          <w:i/>
          <w:sz w:val="22"/>
          <w:lang w:val="sr-Cyrl-RS"/>
        </w:rPr>
        <w:t xml:space="preserve"> GAEC</w:t>
      </w:r>
      <w:r w:rsidRPr="00EF2F18">
        <w:rPr>
          <w:rFonts w:cs="Times New Roman"/>
          <w:sz w:val="22"/>
          <w:lang w:val="sr-Cyrl-RS"/>
        </w:rPr>
        <w:t xml:space="preserve">). </w:t>
      </w:r>
      <w:r w:rsidR="00BF78D1" w:rsidRPr="00EF2F18">
        <w:rPr>
          <w:rFonts w:cs="Times New Roman"/>
          <w:sz w:val="22"/>
          <w:lang w:val="sr-Cyrl-RS"/>
        </w:rPr>
        <w:t>Ипак</w:t>
      </w:r>
      <w:r w:rsidRPr="00EF2F18">
        <w:rPr>
          <w:rFonts w:cs="Times New Roman"/>
          <w:sz w:val="22"/>
          <w:lang w:val="sr-Cyrl-RS"/>
        </w:rPr>
        <w:t>, правни оквир</w:t>
      </w:r>
      <w:r w:rsidR="009D701D" w:rsidRPr="00EF2F18">
        <w:rPr>
          <w:rFonts w:cs="Times New Roman"/>
          <w:sz w:val="22"/>
          <w:lang w:val="sr-Cyrl-RS"/>
        </w:rPr>
        <w:t xml:space="preserve"> Републике</w:t>
      </w:r>
      <w:r w:rsidRPr="00EF2F18">
        <w:rPr>
          <w:rFonts w:cs="Times New Roman"/>
          <w:sz w:val="22"/>
          <w:lang w:val="sr-Cyrl-RS"/>
        </w:rPr>
        <w:t xml:space="preserve"> Србије садржи </w:t>
      </w:r>
      <w:r w:rsidR="002351AE" w:rsidRPr="00EF2F18">
        <w:rPr>
          <w:rFonts w:cs="Times New Roman"/>
          <w:sz w:val="22"/>
          <w:lang w:val="sr-Cyrl-RS"/>
        </w:rPr>
        <w:t>одредбе</w:t>
      </w:r>
      <w:r w:rsidRPr="00EF2F18">
        <w:rPr>
          <w:rFonts w:cs="Times New Roman"/>
          <w:sz w:val="22"/>
          <w:lang w:val="sr-Cyrl-RS"/>
        </w:rPr>
        <w:t xml:space="preserve"> кој</w:t>
      </w:r>
      <w:r w:rsidR="002351AE" w:rsidRPr="00EF2F18">
        <w:rPr>
          <w:rFonts w:cs="Times New Roman"/>
          <w:sz w:val="22"/>
          <w:lang w:val="sr-Cyrl-RS"/>
        </w:rPr>
        <w:t>е</w:t>
      </w:r>
      <w:r w:rsidRPr="00EF2F18">
        <w:rPr>
          <w:rFonts w:cs="Times New Roman"/>
          <w:sz w:val="22"/>
          <w:lang w:val="sr-Cyrl-RS"/>
        </w:rPr>
        <w:t xml:space="preserve"> се односе на земљиште, воду, управљање биодиверзитетом и пејзажом, као и средств</w:t>
      </w:r>
      <w:r w:rsidR="00960CF4" w:rsidRPr="00EF2F18">
        <w:rPr>
          <w:rFonts w:cs="Times New Roman"/>
          <w:sz w:val="22"/>
          <w:lang w:val="sr-Cyrl-RS"/>
        </w:rPr>
        <w:t>им</w:t>
      </w:r>
      <w:r w:rsidRPr="00EF2F18">
        <w:rPr>
          <w:rFonts w:cs="Times New Roman"/>
          <w:sz w:val="22"/>
          <w:lang w:val="sr-Cyrl-RS"/>
        </w:rPr>
        <w:t>а за заштиту биља</w:t>
      </w:r>
      <w:r w:rsidR="00960CF4" w:rsidRPr="00EF2F18">
        <w:rPr>
          <w:rFonts w:cs="Times New Roman"/>
          <w:sz w:val="22"/>
          <w:lang w:val="sr-Cyrl-RS"/>
        </w:rPr>
        <w:t xml:space="preserve"> и средствима за исхрану биља</w:t>
      </w:r>
      <w:r w:rsidRPr="00EF2F18">
        <w:rPr>
          <w:rFonts w:cs="Times New Roman"/>
          <w:sz w:val="22"/>
          <w:lang w:val="sr-Cyrl-RS"/>
        </w:rPr>
        <w:t>, који се у различитим степенима могу сматрати еквивалентним релевантним обавезним стандардима и условима ЕУ</w:t>
      </w:r>
      <w:r w:rsidR="002351AE" w:rsidRPr="00EF2F18">
        <w:rPr>
          <w:rFonts w:cs="Times New Roman"/>
          <w:sz w:val="22"/>
          <w:lang w:val="sr-Cyrl-RS"/>
        </w:rPr>
        <w:t>, изузев што не представљају услов за плаћања у Републици Србији</w:t>
      </w:r>
      <w:r w:rsidRPr="00EF2F18">
        <w:rPr>
          <w:rFonts w:cs="Times New Roman"/>
          <w:sz w:val="22"/>
          <w:lang w:val="sr-Cyrl-RS"/>
        </w:rPr>
        <w:t xml:space="preserve">. ИПАРД </w:t>
      </w:r>
      <w:r w:rsidR="00654CD9" w:rsidRPr="00EF2F18">
        <w:rPr>
          <w:rFonts w:cs="Times New Roman"/>
          <w:sz w:val="22"/>
          <w:lang w:val="sr-Cyrl-RS"/>
        </w:rPr>
        <w:t xml:space="preserve">III </w:t>
      </w:r>
      <w:r w:rsidRPr="00EF2F18">
        <w:rPr>
          <w:rFonts w:cs="Times New Roman"/>
          <w:sz w:val="22"/>
          <w:lang w:val="sr-Cyrl-RS"/>
        </w:rPr>
        <w:t>програмом за период 2021</w:t>
      </w:r>
      <w:r w:rsidR="00143597">
        <w:rPr>
          <w:rFonts w:cs="Times New Roman"/>
          <w:sz w:val="22"/>
          <w:lang w:val="sr-Cyrl-RS"/>
        </w:rPr>
        <w:t xml:space="preserve"> –</w:t>
      </w:r>
      <w:r w:rsidRPr="00EF2F18">
        <w:rPr>
          <w:rFonts w:cs="Times New Roman"/>
          <w:sz w:val="22"/>
          <w:lang w:val="sr-Cyrl-RS"/>
        </w:rPr>
        <w:t>2027</w:t>
      </w:r>
      <w:r w:rsidR="009D701D" w:rsidRPr="00EF2F18">
        <w:rPr>
          <w:rFonts w:cs="Times New Roman"/>
          <w:sz w:val="22"/>
          <w:lang w:val="sr-Cyrl-RS"/>
        </w:rPr>
        <w:t>.</w:t>
      </w:r>
      <w:r w:rsidRPr="00EF2F18">
        <w:rPr>
          <w:rFonts w:cs="Times New Roman"/>
          <w:sz w:val="22"/>
          <w:lang w:val="sr-Cyrl-RS"/>
        </w:rPr>
        <w:t xml:space="preserve"> </w:t>
      </w:r>
      <w:r w:rsidR="00654CD9" w:rsidRPr="00EF2F18">
        <w:rPr>
          <w:rFonts w:cs="Times New Roman"/>
          <w:sz w:val="22"/>
          <w:lang w:val="sr-Cyrl-RS"/>
        </w:rPr>
        <w:t xml:space="preserve">година </w:t>
      </w:r>
      <w:r w:rsidRPr="00EF2F18">
        <w:rPr>
          <w:rFonts w:cs="Times New Roman"/>
          <w:sz w:val="22"/>
          <w:lang w:val="sr-Cyrl-RS"/>
        </w:rPr>
        <w:t>је предвиђ</w:t>
      </w:r>
      <w:r w:rsidR="00D3651F" w:rsidRPr="00EF2F18">
        <w:rPr>
          <w:rFonts w:cs="Times New Roman"/>
          <w:sz w:val="22"/>
          <w:lang w:val="sr-Cyrl-RS"/>
        </w:rPr>
        <w:t>е</w:t>
      </w:r>
      <w:r w:rsidRPr="00EF2F18">
        <w:rPr>
          <w:rFonts w:cs="Times New Roman"/>
          <w:sz w:val="22"/>
          <w:lang w:val="sr-Cyrl-RS"/>
        </w:rPr>
        <w:t>на примен</w:t>
      </w:r>
      <w:r w:rsidR="00D3651F" w:rsidRPr="00EF2F18">
        <w:rPr>
          <w:rFonts w:cs="Times New Roman"/>
          <w:sz w:val="22"/>
          <w:lang w:val="sr-Cyrl-RS"/>
        </w:rPr>
        <w:t>а</w:t>
      </w:r>
      <w:r w:rsidRPr="00EF2F18">
        <w:rPr>
          <w:rFonts w:cs="Times New Roman"/>
          <w:sz w:val="22"/>
          <w:lang w:val="sr-Cyrl-RS"/>
        </w:rPr>
        <w:t xml:space="preserve"> Мере 4</w:t>
      </w:r>
      <w:r w:rsidR="00BF78D1" w:rsidRPr="00EF2F18">
        <w:rPr>
          <w:rFonts w:cs="Times New Roman"/>
          <w:sz w:val="22"/>
          <w:lang w:val="sr-Cyrl-RS"/>
        </w:rPr>
        <w:t xml:space="preserve"> </w:t>
      </w:r>
      <w:r w:rsidR="00255910" w:rsidRPr="00EF2F18">
        <w:rPr>
          <w:rFonts w:cs="Times New Roman"/>
          <w:sz w:val="22"/>
          <w:lang w:val="sr-Cyrl-RS"/>
        </w:rPr>
        <w:t>–</w:t>
      </w:r>
      <w:r w:rsidRPr="00EF2F18">
        <w:rPr>
          <w:rFonts w:cs="Times New Roman"/>
          <w:sz w:val="22"/>
          <w:lang w:val="sr-Cyrl-RS"/>
        </w:rPr>
        <w:t xml:space="preserve"> Агро-еколошко-климатска и мера органске </w:t>
      </w:r>
      <w:r w:rsidRPr="00EF2F18">
        <w:rPr>
          <w:rFonts w:cs="Times New Roman"/>
          <w:sz w:val="22"/>
          <w:lang w:val="sr-Cyrl-RS"/>
        </w:rPr>
        <w:lastRenderedPageBreak/>
        <w:t>пољопривреде, која је осмишљена да подстакне пољопривреднике да заштите и унапреде животну средину на земљишту којим управљају. Овом мером би се обез</w:t>
      </w:r>
      <w:r w:rsidR="00D3651F" w:rsidRPr="00EF2F18">
        <w:rPr>
          <w:rFonts w:cs="Times New Roman"/>
          <w:sz w:val="22"/>
          <w:lang w:val="sr-Cyrl-RS"/>
        </w:rPr>
        <w:t>бе</w:t>
      </w:r>
      <w:r w:rsidRPr="00EF2F18">
        <w:rPr>
          <w:rFonts w:cs="Times New Roman"/>
          <w:sz w:val="22"/>
          <w:lang w:val="sr-Cyrl-RS"/>
        </w:rPr>
        <w:t>дила плаћања пољопривредницима као компензација за вишегодишњу обавезу да се придржавају сета прописаних</w:t>
      </w:r>
      <w:r w:rsidR="002717AA" w:rsidRPr="00EF2F18">
        <w:rPr>
          <w:rFonts w:cs="Times New Roman"/>
          <w:sz w:val="22"/>
          <w:lang w:val="sr-Cyrl-RS"/>
        </w:rPr>
        <w:t xml:space="preserve"> </w:t>
      </w:r>
      <w:r w:rsidRPr="00EF2F18">
        <w:rPr>
          <w:rFonts w:cs="Times New Roman"/>
          <w:sz w:val="22"/>
          <w:lang w:val="sr-Cyrl-RS"/>
        </w:rPr>
        <w:t xml:space="preserve">агроеколошких пракси у периоду од минимално </w:t>
      </w:r>
      <w:r w:rsidR="00255910" w:rsidRPr="00EF2F18">
        <w:rPr>
          <w:rFonts w:cs="Times New Roman"/>
          <w:sz w:val="22"/>
          <w:lang w:val="sr-Cyrl-RS"/>
        </w:rPr>
        <w:t>пет</w:t>
      </w:r>
      <w:r w:rsidRPr="00EF2F18">
        <w:rPr>
          <w:rFonts w:cs="Times New Roman"/>
          <w:sz w:val="22"/>
          <w:lang w:val="sr-Cyrl-RS"/>
        </w:rPr>
        <w:t xml:space="preserve"> година.</w:t>
      </w:r>
    </w:p>
    <w:p w14:paraId="797D03EE" w14:textId="77777777" w:rsidR="00827A94" w:rsidRPr="00EF2F18" w:rsidRDefault="00827A94" w:rsidP="00827A94">
      <w:pPr>
        <w:spacing w:after="0"/>
        <w:rPr>
          <w:rFonts w:cs="Times New Roman"/>
          <w:i/>
          <w:iCs/>
          <w:sz w:val="22"/>
          <w:lang w:val="sr-Cyrl-RS"/>
        </w:rPr>
      </w:pPr>
    </w:p>
    <w:p w14:paraId="73364AD8" w14:textId="717A3CD7" w:rsidR="00827A94" w:rsidRPr="00EF2F18" w:rsidRDefault="00827A94" w:rsidP="00F106C9">
      <w:pPr>
        <w:spacing w:after="0"/>
        <w:ind w:firstLine="720"/>
        <w:rPr>
          <w:rFonts w:cs="Times New Roman"/>
          <w:b/>
          <w:i/>
          <w:iCs/>
          <w:sz w:val="22"/>
          <w:lang w:val="sr-Cyrl-RS"/>
        </w:rPr>
      </w:pPr>
      <w:r w:rsidRPr="00EF2F18">
        <w:rPr>
          <w:rFonts w:cs="Times New Roman"/>
          <w:b/>
          <w:i/>
          <w:iCs/>
          <w:sz w:val="22"/>
          <w:lang w:val="sr-Cyrl-RS"/>
        </w:rPr>
        <w:t>Наводњавање</w:t>
      </w:r>
    </w:p>
    <w:p w14:paraId="04E23091" w14:textId="67627693" w:rsidR="00827A94" w:rsidRPr="00EF2F18" w:rsidRDefault="00827A94" w:rsidP="00827A94">
      <w:pPr>
        <w:pStyle w:val="NormalWeb"/>
        <w:shd w:val="clear" w:color="auto" w:fill="FFFFFF"/>
        <w:spacing w:before="0" w:beforeAutospacing="0" w:after="0" w:afterAutospacing="0"/>
        <w:ind w:firstLine="720"/>
        <w:jc w:val="both"/>
        <w:textAlignment w:val="baseline"/>
        <w:rPr>
          <w:rFonts w:eastAsiaTheme="minorHAnsi"/>
          <w:sz w:val="22"/>
          <w:szCs w:val="22"/>
          <w:lang w:val="sr-Cyrl-RS"/>
        </w:rPr>
      </w:pPr>
      <w:r w:rsidRPr="00EF2F18">
        <w:rPr>
          <w:rFonts w:eastAsiaTheme="minorHAnsi"/>
          <w:sz w:val="22"/>
          <w:szCs w:val="22"/>
          <w:lang w:val="sr-Cyrl-RS"/>
        </w:rPr>
        <w:t>Хидросистеми за наводњавање у јавној својини изграђени су на површини од око 105.500 ha, што је мање од 6% земљишта које има повољне карактеристике за наводњавање. Међутим, због неадекватног одржавања, лошег</w:t>
      </w:r>
      <w:r w:rsidRPr="00EF2F18">
        <w:rPr>
          <w:sz w:val="22"/>
          <w:szCs w:val="22"/>
          <w:lang w:val="sr-Cyrl-RS"/>
        </w:rPr>
        <w:t xml:space="preserve"> </w:t>
      </w:r>
      <w:r w:rsidRPr="00EF2F18">
        <w:rPr>
          <w:rFonts w:eastAsiaTheme="minorHAnsi"/>
          <w:sz w:val="22"/>
          <w:szCs w:val="22"/>
          <w:lang w:val="sr-Cyrl-RS"/>
        </w:rPr>
        <w:t>управљања и неиспуњености пројектом утврђених перформанси, системи који су у функцији обухватају знатно</w:t>
      </w:r>
      <w:r w:rsidRPr="00EF2F18">
        <w:rPr>
          <w:sz w:val="22"/>
          <w:szCs w:val="22"/>
          <w:lang w:val="sr-Cyrl-RS"/>
        </w:rPr>
        <w:t xml:space="preserve"> </w:t>
      </w:r>
      <w:r w:rsidRPr="00EF2F18">
        <w:rPr>
          <w:rFonts w:eastAsiaTheme="minorHAnsi"/>
          <w:sz w:val="22"/>
          <w:szCs w:val="22"/>
          <w:lang w:val="sr-Cyrl-RS"/>
        </w:rPr>
        <w:t>мањи део површина. Према подацима дистрибутера опремe за наводњавање, поред наведених површина, наводњава се још 45.000 ha индивидуалним системима у приватном власништву, применом тифона и система кап по кап. На огледним добрима у пољопривредним школама под технички заокруженим системима налази се око 2.000 ha, док локално, око окућница, има на око 10.000 hа технички незаокружених система, тако да се под изграђеним системима у јавном и приватном власништву налази око 145.000 hа, док је неким обликом наводњавања обухваћено укупно око 100.000 ha пољопривредних површина. Највише воде црпи се из водотокова (око 90%), док се преостале количине захватају из подземних вода, језера, акумулација и из водоводне мреже. Осим што су наводњава</w:t>
      </w:r>
      <w:r w:rsidR="00D3651F" w:rsidRPr="00EF2F18">
        <w:rPr>
          <w:rFonts w:eastAsiaTheme="minorHAnsi"/>
          <w:sz w:val="22"/>
          <w:szCs w:val="22"/>
          <w:lang w:val="sr-Cyrl-RS"/>
        </w:rPr>
        <w:t>н</w:t>
      </w:r>
      <w:r w:rsidRPr="00EF2F18">
        <w:rPr>
          <w:rFonts w:eastAsiaTheme="minorHAnsi"/>
          <w:sz w:val="22"/>
          <w:szCs w:val="22"/>
          <w:lang w:val="sr-Cyrl-RS"/>
        </w:rPr>
        <w:t xml:space="preserve">е површине мале, проблем је и одсуство контроле над квалитетом воде која се користи за наводњавање. </w:t>
      </w:r>
      <w:r w:rsidR="00B25B92" w:rsidRPr="00EF2F18">
        <w:rPr>
          <w:rFonts w:eastAsiaTheme="minorHAnsi"/>
          <w:sz w:val="22"/>
          <w:szCs w:val="22"/>
          <w:lang w:val="sr-Cyrl-RS"/>
        </w:rPr>
        <w:t>Питање контроле квалитета воде за наводњавање није системски решено, што практично значи да се ова вода не контролише.</w:t>
      </w:r>
    </w:p>
    <w:p w14:paraId="4136A10A" w14:textId="59A4254C" w:rsidR="00B25B92" w:rsidRPr="00EF2F18" w:rsidRDefault="00B25B92" w:rsidP="00B25B92">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У односу на укупно коришћену пољопривредну површину у </w:t>
      </w:r>
      <w:r w:rsidR="00182AFC" w:rsidRPr="00EF2F18">
        <w:rPr>
          <w:rFonts w:cs="Times New Roman"/>
          <w:sz w:val="22"/>
          <w:lang w:val="sr-Cyrl-RS"/>
        </w:rPr>
        <w:t>2023</w:t>
      </w:r>
      <w:r w:rsidRPr="00EF2F18">
        <w:rPr>
          <w:rFonts w:cs="Times New Roman"/>
          <w:sz w:val="22"/>
          <w:lang w:val="sr-Cyrl-RS"/>
        </w:rPr>
        <w:t>. години наводњавало се 1,</w:t>
      </w:r>
      <w:r w:rsidR="00182AFC" w:rsidRPr="00EF2F18">
        <w:rPr>
          <w:rFonts w:cs="Times New Roman"/>
          <w:sz w:val="22"/>
          <w:lang w:val="sr-Cyrl-RS"/>
        </w:rPr>
        <w:t>4</w:t>
      </w:r>
      <w:r w:rsidRPr="00EF2F18">
        <w:rPr>
          <w:rFonts w:cs="Times New Roman"/>
          <w:sz w:val="22"/>
          <w:lang w:val="sr-Cyrl-RS"/>
        </w:rPr>
        <w:t xml:space="preserve">% површина. За наводњавање је у </w:t>
      </w:r>
      <w:r w:rsidR="00182AFC" w:rsidRPr="00EF2F18">
        <w:rPr>
          <w:rFonts w:cs="Times New Roman"/>
          <w:sz w:val="22"/>
          <w:lang w:val="sr-Cyrl-RS"/>
        </w:rPr>
        <w:t>2023</w:t>
      </w:r>
      <w:r w:rsidRPr="00EF2F18">
        <w:rPr>
          <w:rFonts w:cs="Times New Roman"/>
          <w:sz w:val="22"/>
          <w:lang w:val="sr-Cyrl-RS"/>
        </w:rPr>
        <w:t xml:space="preserve">. години укупно захваћено </w:t>
      </w:r>
      <w:r w:rsidR="00182AFC" w:rsidRPr="00EF2F18">
        <w:rPr>
          <w:rFonts w:cs="Times New Roman"/>
          <w:sz w:val="22"/>
          <w:lang w:val="sr-Cyrl-RS"/>
        </w:rPr>
        <w:t>70</w:t>
      </w:r>
      <w:r w:rsidRPr="00EF2F18">
        <w:rPr>
          <w:rFonts w:cs="Times New Roman"/>
          <w:sz w:val="22"/>
          <w:lang w:val="sr-Cyrl-RS"/>
        </w:rPr>
        <w:t>.</w:t>
      </w:r>
      <w:r w:rsidR="00182AFC" w:rsidRPr="00EF2F18">
        <w:rPr>
          <w:rFonts w:cs="Times New Roman"/>
          <w:sz w:val="22"/>
          <w:lang w:val="sr-Cyrl-RS"/>
        </w:rPr>
        <w:t xml:space="preserve">429 </w:t>
      </w:r>
      <w:r w:rsidRPr="00EF2F18">
        <w:rPr>
          <w:rFonts w:cs="Times New Roman"/>
          <w:sz w:val="22"/>
          <w:lang w:val="sr-Cyrl-RS"/>
        </w:rPr>
        <w:t xml:space="preserve">хиљада m³ воде, што је за </w:t>
      </w:r>
      <w:r w:rsidR="00182AFC" w:rsidRPr="00EF2F18">
        <w:rPr>
          <w:rFonts w:cs="Times New Roman"/>
          <w:sz w:val="22"/>
          <w:lang w:val="sr-Cyrl-RS"/>
        </w:rPr>
        <w:t>29,1</w:t>
      </w:r>
      <w:r w:rsidRPr="00EF2F18">
        <w:rPr>
          <w:rFonts w:cs="Times New Roman"/>
          <w:sz w:val="22"/>
          <w:lang w:val="sr-Cyrl-RS"/>
        </w:rPr>
        <w:t xml:space="preserve">% </w:t>
      </w:r>
      <w:r w:rsidR="00182AFC" w:rsidRPr="00EF2F18">
        <w:rPr>
          <w:rFonts w:cs="Times New Roman"/>
          <w:sz w:val="22"/>
          <w:lang w:val="sr-Cyrl-RS"/>
        </w:rPr>
        <w:t xml:space="preserve">мање </w:t>
      </w:r>
      <w:r w:rsidRPr="00EF2F18">
        <w:rPr>
          <w:rFonts w:cs="Times New Roman"/>
          <w:sz w:val="22"/>
          <w:lang w:val="sr-Cyrl-RS"/>
        </w:rPr>
        <w:t xml:space="preserve">него у претходној години. Највише воде црпело се из водотокова </w:t>
      </w:r>
      <w:r w:rsidR="00D3651F" w:rsidRPr="00EF2F18">
        <w:rPr>
          <w:rFonts w:cs="Times New Roman"/>
          <w:sz w:val="22"/>
          <w:lang w:val="sr-Cyrl-RS"/>
        </w:rPr>
        <w:t>(</w:t>
      </w:r>
      <w:r w:rsidR="00182AFC" w:rsidRPr="00EF2F18">
        <w:rPr>
          <w:rFonts w:cs="Times New Roman"/>
          <w:sz w:val="22"/>
          <w:lang w:val="sr-Cyrl-RS"/>
        </w:rPr>
        <w:t>93,5</w:t>
      </w:r>
      <w:r w:rsidRPr="00EF2F18">
        <w:rPr>
          <w:rFonts w:cs="Times New Roman"/>
          <w:sz w:val="22"/>
          <w:lang w:val="sr-Cyrl-RS"/>
        </w:rPr>
        <w:t>%</w:t>
      </w:r>
      <w:r w:rsidR="00D3651F" w:rsidRPr="00EF2F18">
        <w:rPr>
          <w:rFonts w:cs="Times New Roman"/>
          <w:sz w:val="22"/>
          <w:lang w:val="sr-Cyrl-RS"/>
        </w:rPr>
        <w:t>)</w:t>
      </w:r>
      <w:r w:rsidRPr="00EF2F18">
        <w:rPr>
          <w:rFonts w:cs="Times New Roman"/>
          <w:sz w:val="22"/>
          <w:lang w:val="sr-Cyrl-RS"/>
        </w:rPr>
        <w:t xml:space="preserve">, док су преостале количине захваћене из подземних вода, језера, акумулација и из водоводне мреже. Током </w:t>
      </w:r>
      <w:r w:rsidR="00182AFC" w:rsidRPr="00EF2F18">
        <w:rPr>
          <w:rFonts w:cs="Times New Roman"/>
          <w:sz w:val="22"/>
          <w:lang w:val="sr-Cyrl-RS"/>
        </w:rPr>
        <w:t>2023</w:t>
      </w:r>
      <w:r w:rsidRPr="00EF2F18">
        <w:rPr>
          <w:rFonts w:cs="Times New Roman"/>
          <w:sz w:val="22"/>
          <w:lang w:val="sr-Cyrl-RS"/>
        </w:rPr>
        <w:t xml:space="preserve">. године у Републици Србији наводњавано је </w:t>
      </w:r>
      <w:r w:rsidR="00182AFC" w:rsidRPr="00EF2F18">
        <w:rPr>
          <w:rFonts w:cs="Times New Roman"/>
          <w:sz w:val="22"/>
          <w:lang w:val="sr-Cyrl-RS"/>
        </w:rPr>
        <w:t>47</w:t>
      </w:r>
      <w:r w:rsidRPr="00EF2F18">
        <w:rPr>
          <w:rFonts w:cs="Times New Roman"/>
          <w:sz w:val="22"/>
          <w:lang w:val="sr-Cyrl-RS"/>
        </w:rPr>
        <w:t>.</w:t>
      </w:r>
      <w:r w:rsidR="00182AFC" w:rsidRPr="00EF2F18">
        <w:rPr>
          <w:rFonts w:cs="Times New Roman"/>
          <w:sz w:val="22"/>
          <w:lang w:val="sr-Cyrl-RS"/>
        </w:rPr>
        <w:t xml:space="preserve">579 </w:t>
      </w:r>
      <w:r w:rsidRPr="00EF2F18">
        <w:rPr>
          <w:rFonts w:cs="Times New Roman"/>
          <w:sz w:val="22"/>
          <w:lang w:val="sr-Cyrl-RS"/>
        </w:rPr>
        <w:t xml:space="preserve">ha пољопривредних површина, што је за </w:t>
      </w:r>
      <w:r w:rsidR="00182AFC" w:rsidRPr="00EF2F18">
        <w:rPr>
          <w:rFonts w:cs="Times New Roman"/>
          <w:sz w:val="22"/>
          <w:lang w:val="sr-Cyrl-RS"/>
        </w:rPr>
        <w:t>12,9</w:t>
      </w:r>
      <w:r w:rsidRPr="00EF2F18">
        <w:rPr>
          <w:rFonts w:cs="Times New Roman"/>
          <w:sz w:val="22"/>
          <w:lang w:val="sr-Cyrl-RS"/>
        </w:rPr>
        <w:t xml:space="preserve">% </w:t>
      </w:r>
      <w:r w:rsidR="00182AFC" w:rsidRPr="00EF2F18">
        <w:rPr>
          <w:rFonts w:cs="Times New Roman"/>
          <w:sz w:val="22"/>
          <w:lang w:val="sr-Cyrl-RS"/>
        </w:rPr>
        <w:t xml:space="preserve">мање </w:t>
      </w:r>
      <w:r w:rsidRPr="00EF2F18">
        <w:rPr>
          <w:rFonts w:cs="Times New Roman"/>
          <w:sz w:val="22"/>
          <w:lang w:val="sr-Cyrl-RS"/>
        </w:rPr>
        <w:t xml:space="preserve">него у претходној години. Оранице и баште (са 93,4%) имају највећи удео у укупно наводњаваним површинама, а потом следе воћњаци са </w:t>
      </w:r>
      <w:r w:rsidR="00182AFC" w:rsidRPr="00EF2F18">
        <w:rPr>
          <w:rFonts w:cs="Times New Roman"/>
          <w:sz w:val="22"/>
          <w:lang w:val="sr-Cyrl-RS"/>
        </w:rPr>
        <w:t>6</w:t>
      </w:r>
      <w:r w:rsidRPr="00EF2F18">
        <w:rPr>
          <w:rFonts w:cs="Times New Roman"/>
          <w:sz w:val="22"/>
          <w:lang w:val="sr-Cyrl-RS"/>
        </w:rPr>
        <w:t>,</w:t>
      </w:r>
      <w:r w:rsidR="00182AFC" w:rsidRPr="00EF2F18">
        <w:rPr>
          <w:rFonts w:cs="Times New Roman"/>
          <w:sz w:val="22"/>
          <w:lang w:val="sr-Cyrl-RS"/>
        </w:rPr>
        <w:t>0</w:t>
      </w:r>
      <w:r w:rsidRPr="00EF2F18">
        <w:rPr>
          <w:rFonts w:cs="Times New Roman"/>
          <w:sz w:val="22"/>
          <w:lang w:val="sr-Cyrl-RS"/>
        </w:rPr>
        <w:t xml:space="preserve">%. Највише наводњаваних површина је у </w:t>
      </w:r>
      <w:r w:rsidR="00D3651F" w:rsidRPr="00EF2F18">
        <w:rPr>
          <w:rFonts w:cs="Times New Roman"/>
          <w:sz w:val="22"/>
          <w:lang w:val="sr-Cyrl-RS"/>
        </w:rPr>
        <w:t>р</w:t>
      </w:r>
      <w:r w:rsidRPr="00EF2F18">
        <w:rPr>
          <w:rFonts w:cs="Times New Roman"/>
          <w:sz w:val="22"/>
          <w:lang w:val="sr-Cyrl-RS"/>
        </w:rPr>
        <w:t>егиону</w:t>
      </w:r>
      <w:r w:rsidR="00182AFC" w:rsidRPr="00EF2F18">
        <w:rPr>
          <w:rFonts w:cs="Times New Roman"/>
          <w:sz w:val="22"/>
          <w:lang w:val="sr-Cyrl-RS"/>
        </w:rPr>
        <w:t xml:space="preserve"> АП</w:t>
      </w:r>
      <w:r w:rsidRPr="00EF2F18">
        <w:rPr>
          <w:rFonts w:cs="Times New Roman"/>
          <w:sz w:val="22"/>
          <w:lang w:val="sr-Cyrl-RS"/>
        </w:rPr>
        <w:t xml:space="preserve"> Војводине </w:t>
      </w:r>
      <w:r w:rsidR="00D3651F" w:rsidRPr="00EF2F18">
        <w:rPr>
          <w:rFonts w:cs="Times New Roman"/>
          <w:sz w:val="22"/>
          <w:lang w:val="sr-Cyrl-RS"/>
        </w:rPr>
        <w:t>(</w:t>
      </w:r>
      <w:r w:rsidR="00182AFC" w:rsidRPr="00EF2F18">
        <w:rPr>
          <w:rFonts w:cs="Times New Roman"/>
          <w:sz w:val="22"/>
          <w:lang w:val="sr-Cyrl-RS"/>
        </w:rPr>
        <w:t>79</w:t>
      </w:r>
      <w:r w:rsidRPr="00EF2F18">
        <w:rPr>
          <w:rFonts w:cs="Times New Roman"/>
          <w:sz w:val="22"/>
          <w:lang w:val="sr-Cyrl-RS"/>
        </w:rPr>
        <w:t>,</w:t>
      </w:r>
      <w:r w:rsidR="00182AFC" w:rsidRPr="00EF2F18">
        <w:rPr>
          <w:rFonts w:cs="Times New Roman"/>
          <w:sz w:val="22"/>
          <w:lang w:val="sr-Cyrl-RS"/>
        </w:rPr>
        <w:t>6</w:t>
      </w:r>
      <w:r w:rsidRPr="00EF2F18">
        <w:rPr>
          <w:rFonts w:cs="Times New Roman"/>
          <w:sz w:val="22"/>
          <w:lang w:val="sr-Cyrl-RS"/>
        </w:rPr>
        <w:t>%</w:t>
      </w:r>
      <w:r w:rsidR="00D3651F" w:rsidRPr="00EF2F18">
        <w:rPr>
          <w:rFonts w:cs="Times New Roman"/>
          <w:sz w:val="22"/>
          <w:lang w:val="sr-Cyrl-RS"/>
        </w:rPr>
        <w:t>).</w:t>
      </w:r>
    </w:p>
    <w:p w14:paraId="469867B9" w14:textId="23D3A04A" w:rsidR="00FF25E2" w:rsidRPr="00EF2F18" w:rsidRDefault="00FF25E2" w:rsidP="00FF25E2">
      <w:pPr>
        <w:pStyle w:val="ListParagraph"/>
        <w:spacing w:after="60"/>
        <w:ind w:left="0" w:firstLine="720"/>
        <w:jc w:val="both"/>
        <w:rPr>
          <w:sz w:val="22"/>
          <w:lang w:val="sr-Cyrl-RS"/>
        </w:rPr>
      </w:pPr>
      <w:r w:rsidRPr="00EF2F18">
        <w:rPr>
          <w:sz w:val="22"/>
          <w:lang w:val="sr-Cyrl-RS"/>
        </w:rPr>
        <w:t>У претходном периоду није рађен водни биланс и водни режим (квалитет и квантитет) површинских вода који је потребно успоставити и ускладити са потребама свих корисника. Све веће потребе за наводњавањем пољопривредног земљишта изазване, између осталог, климатским екстремима, за последицу имају коришћење воде из дубоких подземних издани која је неопходна за снабдевање пијаћом водом, што је посебно присутно у Војводини. Такође, тренутна ситуација у вези одводњавања и наводњавања, као и пројектовани системи, негативно утичу на заштићена подручја и станишта строго заштићених и заштићених врста.</w:t>
      </w:r>
    </w:p>
    <w:p w14:paraId="3BD09335" w14:textId="77777777" w:rsidR="00182AFC" w:rsidRPr="00EF2F18" w:rsidRDefault="00182AFC" w:rsidP="00FF25E2">
      <w:pPr>
        <w:pStyle w:val="ListParagraph"/>
        <w:spacing w:after="60"/>
        <w:ind w:left="0" w:firstLine="720"/>
        <w:jc w:val="both"/>
        <w:rPr>
          <w:rFonts w:cs="Times New Roman"/>
          <w:sz w:val="22"/>
          <w:lang w:val="sr-Cyrl-RS"/>
        </w:rPr>
      </w:pPr>
    </w:p>
    <w:p w14:paraId="6C89960A" w14:textId="53EFFDE0" w:rsidR="00B25B92" w:rsidRPr="00EF2F18" w:rsidRDefault="00182AFC" w:rsidP="00F15588">
      <w:pPr>
        <w:autoSpaceDE w:val="0"/>
        <w:autoSpaceDN w:val="0"/>
        <w:adjustRightInd w:val="0"/>
        <w:spacing w:after="0"/>
        <w:jc w:val="center"/>
        <w:rPr>
          <w:rFonts w:cs="Times New Roman"/>
          <w:sz w:val="22"/>
          <w:lang w:val="sr-Cyrl-RS"/>
        </w:rPr>
      </w:pPr>
      <w:r w:rsidRPr="00EF2F18">
        <w:rPr>
          <w:noProof/>
          <w:lang w:val="sr-Cyrl-RS" w:eastAsia="sr-Cyrl-RS"/>
        </w:rPr>
        <w:drawing>
          <wp:inline distT="0" distB="0" distL="0" distR="0" wp14:anchorId="167C0B0A" wp14:editId="3123196D">
            <wp:extent cx="3762375" cy="1649626"/>
            <wp:effectExtent l="0" t="0" r="0" b="8255"/>
            <wp:docPr id="367161527" name="Picture 9"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61527" name="Picture 9" descr="A graph with a line and a line&#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77574" cy="1656290"/>
                    </a:xfrm>
                    <a:prstGeom prst="rect">
                      <a:avLst/>
                    </a:prstGeom>
                    <a:noFill/>
                    <a:ln>
                      <a:noFill/>
                    </a:ln>
                  </pic:spPr>
                </pic:pic>
              </a:graphicData>
            </a:graphic>
          </wp:inline>
        </w:drawing>
      </w:r>
    </w:p>
    <w:p w14:paraId="369D8507" w14:textId="2AE1E9F8" w:rsidR="00B25B92" w:rsidRPr="00EF2F18" w:rsidRDefault="00B25B92" w:rsidP="00B25B92">
      <w:pPr>
        <w:autoSpaceDE w:val="0"/>
        <w:autoSpaceDN w:val="0"/>
        <w:adjustRightInd w:val="0"/>
        <w:spacing w:after="0"/>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7E2A58" w:rsidRPr="00EF2F18">
        <w:rPr>
          <w:rFonts w:cs="Times New Roman"/>
          <w:b/>
          <w:bCs/>
          <w:sz w:val="22"/>
          <w:lang w:val="sr-Cyrl-RS"/>
        </w:rPr>
        <w:t>.</w:t>
      </w:r>
      <w:r w:rsidR="006C1A98" w:rsidRPr="00EF2F18">
        <w:rPr>
          <w:rFonts w:cs="Times New Roman"/>
          <w:b/>
          <w:bCs/>
          <w:sz w:val="22"/>
          <w:lang w:val="sr-Cyrl-RS"/>
        </w:rPr>
        <w:t>3</w:t>
      </w:r>
      <w:r w:rsidR="00FA4A67" w:rsidRPr="00EF2F18">
        <w:rPr>
          <w:rFonts w:cs="Times New Roman"/>
          <w:b/>
          <w:bCs/>
          <w:sz w:val="22"/>
          <w:lang w:val="sr-Cyrl-RS"/>
        </w:rPr>
        <w:t>6</w:t>
      </w:r>
      <w:r w:rsidR="007E2A58" w:rsidRPr="00EF2F18">
        <w:rPr>
          <w:rFonts w:cs="Times New Roman"/>
          <w:b/>
          <w:bCs/>
          <w:sz w:val="22"/>
          <w:lang w:val="sr-Cyrl-RS"/>
        </w:rPr>
        <w:t>.</w:t>
      </w:r>
      <w:r w:rsidRPr="00EF2F18">
        <w:rPr>
          <w:rFonts w:cs="Times New Roman"/>
          <w:sz w:val="22"/>
          <w:lang w:val="sr-Cyrl-RS"/>
        </w:rPr>
        <w:t xml:space="preserve"> Тренд наводњавања пољопривредних површина у Републици Србији у периоду 2013-</w:t>
      </w:r>
      <w:r w:rsidR="00182AFC" w:rsidRPr="00EF2F18">
        <w:rPr>
          <w:rFonts w:cs="Times New Roman"/>
          <w:sz w:val="22"/>
          <w:lang w:val="sr-Cyrl-RS"/>
        </w:rPr>
        <w:t>2023</w:t>
      </w:r>
      <w:r w:rsidRPr="00EF2F18">
        <w:rPr>
          <w:rFonts w:cs="Times New Roman"/>
          <w:sz w:val="22"/>
          <w:lang w:val="sr-Cyrl-RS"/>
        </w:rPr>
        <w:t>. године</w:t>
      </w:r>
    </w:p>
    <w:p w14:paraId="77656CD3" w14:textId="37D99873" w:rsidR="00B25B92" w:rsidRPr="00EF2F18" w:rsidRDefault="00A634C6" w:rsidP="00B25B92">
      <w:pPr>
        <w:pStyle w:val="NormalWeb"/>
        <w:shd w:val="clear" w:color="auto" w:fill="FFFFFF"/>
        <w:spacing w:before="0" w:beforeAutospacing="0" w:after="0" w:afterAutospacing="0"/>
        <w:jc w:val="both"/>
        <w:textAlignment w:val="baseline"/>
        <w:rPr>
          <w:sz w:val="22"/>
          <w:szCs w:val="22"/>
          <w:lang w:val="sr-Cyrl-RS"/>
        </w:rPr>
      </w:pPr>
      <w:r w:rsidRPr="00EF2F18">
        <w:rPr>
          <w:i/>
          <w:sz w:val="22"/>
          <w:szCs w:val="22"/>
          <w:lang w:val="sr-Cyrl-RS"/>
        </w:rPr>
        <w:t xml:space="preserve">Извор: Агенција за заштиту животне средине, </w:t>
      </w:r>
      <w:r w:rsidR="00182AFC" w:rsidRPr="00EF2F18">
        <w:rPr>
          <w:i/>
          <w:sz w:val="22"/>
          <w:szCs w:val="22"/>
          <w:lang w:val="sr-Cyrl-RS"/>
        </w:rPr>
        <w:t>2024</w:t>
      </w:r>
      <w:r w:rsidRPr="00EF2F18">
        <w:rPr>
          <w:i/>
          <w:sz w:val="22"/>
          <w:szCs w:val="22"/>
          <w:lang w:val="sr-Cyrl-RS"/>
        </w:rPr>
        <w:t>.</w:t>
      </w:r>
    </w:p>
    <w:p w14:paraId="090CDE74" w14:textId="77777777" w:rsidR="00B25B92" w:rsidRPr="00EF2F18" w:rsidRDefault="00B25B92" w:rsidP="00B25B92">
      <w:pPr>
        <w:pStyle w:val="NormalWeb"/>
        <w:shd w:val="clear" w:color="auto" w:fill="FFFFFF"/>
        <w:spacing w:before="0" w:beforeAutospacing="0" w:after="0" w:afterAutospacing="0"/>
        <w:jc w:val="both"/>
        <w:textAlignment w:val="baseline"/>
        <w:rPr>
          <w:rFonts w:eastAsiaTheme="minorHAnsi"/>
          <w:sz w:val="22"/>
          <w:szCs w:val="22"/>
          <w:lang w:val="sr-Cyrl-RS"/>
        </w:rPr>
      </w:pPr>
    </w:p>
    <w:p w14:paraId="746DD3F5" w14:textId="6E47B50D" w:rsidR="00827A94" w:rsidRPr="00EF2F18" w:rsidRDefault="00827A94" w:rsidP="00827A94">
      <w:pPr>
        <w:pStyle w:val="NormalWeb"/>
        <w:shd w:val="clear" w:color="auto" w:fill="FFFFFF"/>
        <w:spacing w:before="0" w:beforeAutospacing="0" w:after="0" w:afterAutospacing="0"/>
        <w:ind w:firstLine="720"/>
        <w:jc w:val="both"/>
        <w:textAlignment w:val="baseline"/>
        <w:rPr>
          <w:rFonts w:eastAsiaTheme="minorHAnsi"/>
          <w:sz w:val="22"/>
          <w:szCs w:val="22"/>
          <w:lang w:val="sr-Cyrl-RS"/>
        </w:rPr>
      </w:pPr>
      <w:r w:rsidRPr="00EF2F18">
        <w:rPr>
          <w:rFonts w:eastAsiaTheme="minorHAnsi"/>
          <w:sz w:val="22"/>
          <w:szCs w:val="22"/>
          <w:lang w:val="sr-Cyrl-RS"/>
        </w:rPr>
        <w:t>Подстицаји за инвестиције за набавку нових машина и опреме за наводњавање биљних култура, у износу 50-65% од вредности укупне инвестиције, доступни су на територији целе Србије, као и из буџета АП Војводине и локалних самоуправа.</w:t>
      </w:r>
      <w:r w:rsidRPr="00EF2F18">
        <w:rPr>
          <w:rFonts w:eastAsiaTheme="minorHAnsi"/>
          <w:color w:val="FF0000"/>
          <w:sz w:val="22"/>
          <w:szCs w:val="22"/>
          <w:lang w:val="sr-Cyrl-RS"/>
        </w:rPr>
        <w:t xml:space="preserve"> </w:t>
      </w:r>
      <w:r w:rsidRPr="00EF2F18">
        <w:rPr>
          <w:rFonts w:eastAsiaTheme="minorHAnsi"/>
          <w:sz w:val="22"/>
          <w:szCs w:val="22"/>
          <w:lang w:val="sr-Cyrl-RS"/>
        </w:rPr>
        <w:t xml:space="preserve">Осим тога, Управа за </w:t>
      </w:r>
      <w:r w:rsidRPr="00EF2F18">
        <w:rPr>
          <w:rFonts w:eastAsiaTheme="minorHAnsi"/>
          <w:sz w:val="22"/>
          <w:szCs w:val="22"/>
          <w:lang w:val="sr-Cyrl-RS"/>
        </w:rPr>
        <w:lastRenderedPageBreak/>
        <w:t xml:space="preserve">пољопривредно земљиште </w:t>
      </w:r>
      <w:r w:rsidR="00B63039" w:rsidRPr="00EF2F18">
        <w:rPr>
          <w:rFonts w:eastAsiaTheme="minorHAnsi"/>
          <w:sz w:val="22"/>
          <w:szCs w:val="22"/>
          <w:lang w:val="sr-Cyrl-RS"/>
        </w:rPr>
        <w:t xml:space="preserve">је до 2025. године </w:t>
      </w:r>
      <w:r w:rsidRPr="00EF2F18">
        <w:rPr>
          <w:rFonts w:eastAsiaTheme="minorHAnsi"/>
          <w:sz w:val="22"/>
          <w:szCs w:val="22"/>
          <w:lang w:val="sr-Cyrl-RS"/>
        </w:rPr>
        <w:t>финансира</w:t>
      </w:r>
      <w:r w:rsidR="00B63039" w:rsidRPr="00EF2F18">
        <w:rPr>
          <w:rFonts w:eastAsiaTheme="minorHAnsi"/>
          <w:sz w:val="22"/>
          <w:szCs w:val="22"/>
          <w:lang w:val="sr-Cyrl-RS"/>
        </w:rPr>
        <w:t>ла</w:t>
      </w:r>
      <w:r w:rsidRPr="00EF2F18">
        <w:rPr>
          <w:rFonts w:eastAsiaTheme="minorHAnsi"/>
          <w:sz w:val="22"/>
          <w:szCs w:val="22"/>
          <w:lang w:val="sr-Cyrl-RS"/>
        </w:rPr>
        <w:t xml:space="preserve"> инвестиције за набавку опреме за наводњавање </w:t>
      </w:r>
      <w:r w:rsidR="00B63039" w:rsidRPr="00EF2F18">
        <w:rPr>
          <w:rFonts w:eastAsiaTheme="minorHAnsi"/>
          <w:sz w:val="22"/>
          <w:szCs w:val="22"/>
          <w:lang w:val="sr-Cyrl-RS"/>
        </w:rPr>
        <w:t xml:space="preserve">у висини учешћа до </w:t>
      </w:r>
      <w:r w:rsidRPr="00EF2F18">
        <w:rPr>
          <w:rFonts w:eastAsiaTheme="minorHAnsi"/>
          <w:sz w:val="22"/>
          <w:szCs w:val="22"/>
          <w:lang w:val="sr-Cyrl-RS"/>
        </w:rPr>
        <w:t>60% вредности инвестиције</w:t>
      </w:r>
      <w:r w:rsidR="00B63039" w:rsidRPr="00EF2F18">
        <w:rPr>
          <w:rFonts w:eastAsiaTheme="minorHAnsi"/>
          <w:sz w:val="22"/>
          <w:szCs w:val="22"/>
          <w:lang w:val="sr-Cyrl-RS"/>
        </w:rPr>
        <w:t xml:space="preserve"> без урачунатог пореза на додату вредност, односно до 70% без урачунатог пореза на додату вредност за физичка лица која су према месту њиховог пребивалишта и месту катастарских парцела на којима се поставља опрема за наводњавање постављали опрему за наводњавање на подручјима са отежаним условима рада у пољопривреди. Ископ бунара Управа за пољопривредно земљиште финансирала је закључно са 2022. годином</w:t>
      </w:r>
      <w:r w:rsidRPr="00EF2F18">
        <w:rPr>
          <w:rFonts w:eastAsiaTheme="minorHAnsi"/>
          <w:sz w:val="22"/>
          <w:szCs w:val="22"/>
          <w:lang w:val="sr-Cyrl-RS"/>
        </w:rPr>
        <w:t>.</w:t>
      </w:r>
    </w:p>
    <w:p w14:paraId="6D59A9D1" w14:textId="31BA46F3" w:rsidR="00AC779A" w:rsidRPr="00EF2F18" w:rsidRDefault="00AC779A" w:rsidP="00827A94">
      <w:pPr>
        <w:pStyle w:val="NormalWeb"/>
        <w:shd w:val="clear" w:color="auto" w:fill="FFFFFF"/>
        <w:spacing w:before="0" w:beforeAutospacing="0" w:after="0" w:afterAutospacing="0"/>
        <w:ind w:firstLine="720"/>
        <w:jc w:val="both"/>
        <w:textAlignment w:val="baseline"/>
        <w:rPr>
          <w:rFonts w:eastAsiaTheme="minorHAnsi"/>
          <w:sz w:val="22"/>
          <w:szCs w:val="22"/>
          <w:lang w:val="sr-Cyrl-RS"/>
        </w:rPr>
      </w:pPr>
      <w:r w:rsidRPr="00EF2F18">
        <w:rPr>
          <w:rFonts w:eastAsiaTheme="minorHAnsi"/>
          <w:sz w:val="22"/>
          <w:szCs w:val="22"/>
          <w:lang w:val="sr-Cyrl-RS"/>
        </w:rPr>
        <w:t xml:space="preserve">Министарство пољопривреде, шумарства и водопривреде, у сарадњи са Европском банком за обнову и развој (ЕБРД) и Организацијом за храну и пољопривреду Уједињених нација (УН ФАО) израђује </w:t>
      </w:r>
      <w:r w:rsidR="00A64280" w:rsidRPr="00EF2F18">
        <w:rPr>
          <w:rFonts w:eastAsiaTheme="minorHAnsi"/>
          <w:sz w:val="22"/>
          <w:szCs w:val="22"/>
          <w:lang w:val="sr-Cyrl-RS"/>
        </w:rPr>
        <w:t>„</w:t>
      </w:r>
      <w:r w:rsidRPr="00EF2F18">
        <w:rPr>
          <w:rFonts w:eastAsiaTheme="minorHAnsi"/>
          <w:sz w:val="22"/>
          <w:szCs w:val="22"/>
          <w:lang w:val="sr-Cyrl-RS"/>
        </w:rPr>
        <w:t>Програм наводњавања и одводњавања у Републици Србији до 2032. године”. Основни циљ израде овог документа је подршка развоју пољопривредне производње повећањем капацитета за наводњавање, идентификацијом и мапирањем приоритетних инвестиција у наредних десет година. Овај програм обезбедиће смернице за јавна улагања у наводњавање и одводњавање и адекватно управљање и финансирање система у јавној својини. Такође, Програмом се успоставља одговарајући правни и институционални оквир за наводњавање и промовишу ефикасне и профитабилне праксе наводњавања на пољопривредним газдинствима и обезбеђује да јавна улагања, политике и прописи адекватно узимају у обзир климатске промене.</w:t>
      </w:r>
    </w:p>
    <w:p w14:paraId="02E306AD" w14:textId="4EB78E2B" w:rsidR="00E466E0" w:rsidRPr="00EF2F18" w:rsidRDefault="00E466E0" w:rsidP="00827A94">
      <w:pPr>
        <w:pStyle w:val="NormalWeb"/>
        <w:shd w:val="clear" w:color="auto" w:fill="FFFFFF"/>
        <w:spacing w:before="0" w:beforeAutospacing="0" w:after="0" w:afterAutospacing="0"/>
        <w:ind w:firstLine="720"/>
        <w:jc w:val="both"/>
        <w:textAlignment w:val="baseline"/>
        <w:rPr>
          <w:iCs/>
          <w:sz w:val="22"/>
          <w:szCs w:val="22"/>
          <w:lang w:val="sr-Cyrl-RS"/>
        </w:rPr>
      </w:pPr>
      <w:r w:rsidRPr="00EF2F18">
        <w:rPr>
          <w:iCs/>
          <w:sz w:val="22"/>
          <w:szCs w:val="22"/>
          <w:lang w:val="sr-Cyrl-RS"/>
        </w:rPr>
        <w:t>Не постоје планови и/или програми који се односе на уређење водног режима у складу са потребама очувања влажних станишта, као природних целина са посебним статусом заштите у националним и међународним оквирима према Рамсарској конвенцији (</w:t>
      </w:r>
      <w:r w:rsidRPr="00EF2F18">
        <w:rPr>
          <w:i/>
          <w:sz w:val="22"/>
          <w:szCs w:val="22"/>
          <w:lang w:val="sr-Cyrl-RS"/>
        </w:rPr>
        <w:t>The Convention on Wetlands</w:t>
      </w:r>
      <w:r w:rsidRPr="00EF2F18">
        <w:rPr>
          <w:iCs/>
          <w:sz w:val="22"/>
          <w:szCs w:val="22"/>
          <w:lang w:val="sr-Cyrl-RS"/>
        </w:rPr>
        <w:t>, 1971).</w:t>
      </w:r>
    </w:p>
    <w:p w14:paraId="3469616E" w14:textId="3FC475B3" w:rsidR="00827A94" w:rsidRPr="00EF2F18" w:rsidRDefault="00827A94" w:rsidP="00827A94">
      <w:pPr>
        <w:pStyle w:val="NormalWeb"/>
        <w:shd w:val="clear" w:color="auto" w:fill="FFFFFF"/>
        <w:spacing w:before="0" w:beforeAutospacing="0" w:after="0" w:afterAutospacing="0"/>
        <w:ind w:firstLine="720"/>
        <w:jc w:val="both"/>
        <w:textAlignment w:val="baseline"/>
        <w:rPr>
          <w:rFonts w:eastAsiaTheme="minorHAnsi"/>
          <w:sz w:val="22"/>
          <w:szCs w:val="22"/>
          <w:lang w:val="sr-Cyrl-RS"/>
        </w:rPr>
      </w:pPr>
    </w:p>
    <w:p w14:paraId="49CB8384" w14:textId="14D053AA" w:rsidR="00827A94" w:rsidRPr="00EF2F18" w:rsidRDefault="00827A94" w:rsidP="00F34D8C">
      <w:pPr>
        <w:spacing w:after="0"/>
        <w:ind w:firstLine="709"/>
        <w:rPr>
          <w:rFonts w:cs="Times New Roman"/>
          <w:b/>
          <w:i/>
          <w:iCs/>
          <w:sz w:val="22"/>
          <w:lang w:val="sr-Cyrl-RS"/>
        </w:rPr>
      </w:pPr>
      <w:r w:rsidRPr="00EF2F18">
        <w:rPr>
          <w:rFonts w:cs="Times New Roman"/>
          <w:b/>
          <w:i/>
          <w:iCs/>
          <w:sz w:val="22"/>
          <w:lang w:val="sr-Cyrl-RS"/>
        </w:rPr>
        <w:t>Управљање специфичним хемикалијама (</w:t>
      </w:r>
      <w:r w:rsidR="00BF1F91" w:rsidRPr="00EF2F18">
        <w:rPr>
          <w:rFonts w:cs="Times New Roman"/>
          <w:b/>
          <w:i/>
          <w:iCs/>
          <w:sz w:val="22"/>
          <w:lang w:val="sr-Cyrl-RS"/>
        </w:rPr>
        <w:t xml:space="preserve">средства за исхрану биља </w:t>
      </w:r>
      <w:r w:rsidRPr="00EF2F18">
        <w:rPr>
          <w:rFonts w:cs="Times New Roman"/>
          <w:b/>
          <w:i/>
          <w:iCs/>
          <w:sz w:val="22"/>
          <w:lang w:val="sr-Cyrl-RS"/>
        </w:rPr>
        <w:t xml:space="preserve">и </w:t>
      </w:r>
      <w:r w:rsidR="00BF1F91" w:rsidRPr="00EF2F18">
        <w:rPr>
          <w:rFonts w:cs="Times New Roman"/>
          <w:b/>
          <w:i/>
          <w:iCs/>
          <w:sz w:val="22"/>
          <w:lang w:val="sr-Cyrl-RS"/>
        </w:rPr>
        <w:t>средства за заштиту биља</w:t>
      </w:r>
      <w:r w:rsidRPr="00EF2F18">
        <w:rPr>
          <w:rFonts w:cs="Times New Roman"/>
          <w:b/>
          <w:i/>
          <w:iCs/>
          <w:sz w:val="22"/>
          <w:lang w:val="sr-Cyrl-RS"/>
        </w:rPr>
        <w:t>)</w:t>
      </w:r>
    </w:p>
    <w:p w14:paraId="192F8573" w14:textId="41507CD4" w:rsidR="00BF78D1" w:rsidRPr="00EF2F18" w:rsidRDefault="00827A94" w:rsidP="00BF78D1">
      <w:pPr>
        <w:tabs>
          <w:tab w:val="left" w:pos="197"/>
        </w:tabs>
        <w:spacing w:after="0"/>
        <w:ind w:right="6" w:firstLine="709"/>
        <w:jc w:val="both"/>
        <w:rPr>
          <w:rFonts w:cs="Times New Roman"/>
          <w:bCs/>
          <w:sz w:val="22"/>
          <w:lang w:val="sr-Cyrl-RS"/>
        </w:rPr>
      </w:pPr>
      <w:r w:rsidRPr="00EF2F18">
        <w:rPr>
          <w:rFonts w:cs="Times New Roman"/>
          <w:bCs/>
          <w:sz w:val="22"/>
          <w:lang w:val="sr-Cyrl-RS"/>
        </w:rPr>
        <w:tab/>
      </w:r>
      <w:r w:rsidR="00BF78D1" w:rsidRPr="00EF2F18">
        <w:rPr>
          <w:rFonts w:cs="Times New Roman"/>
          <w:bCs/>
          <w:sz w:val="22"/>
          <w:lang w:val="sr-Cyrl-RS"/>
        </w:rPr>
        <w:t>Систем управљања средствима за заштиту биља делимично је хармонизован са Уредбом (Е</w:t>
      </w:r>
      <w:r w:rsidR="00DA264D" w:rsidRPr="00EF2F18">
        <w:rPr>
          <w:rFonts w:cs="Times New Roman"/>
          <w:bCs/>
          <w:sz w:val="22"/>
          <w:lang w:val="sr-Cyrl-RS"/>
        </w:rPr>
        <w:t>У</w:t>
      </w:r>
      <w:r w:rsidR="00BF78D1" w:rsidRPr="00EF2F18">
        <w:rPr>
          <w:rFonts w:cs="Times New Roman"/>
          <w:bCs/>
          <w:sz w:val="22"/>
          <w:lang w:val="sr-Cyrl-RS"/>
        </w:rPr>
        <w:t>) 1107/2009 о стављању на тржиште средстава за заштиту биља, и то доношењем Закона о средствима за заштит</w:t>
      </w:r>
      <w:r w:rsidR="007332E3" w:rsidRPr="00EF2F18">
        <w:rPr>
          <w:rFonts w:cs="Times New Roman"/>
          <w:bCs/>
          <w:sz w:val="22"/>
          <w:lang w:val="sr-Cyrl-RS"/>
        </w:rPr>
        <w:t>у</w:t>
      </w:r>
      <w:r w:rsidR="00BF78D1" w:rsidRPr="00EF2F18">
        <w:rPr>
          <w:rFonts w:cs="Times New Roman"/>
          <w:bCs/>
          <w:sz w:val="22"/>
          <w:lang w:val="sr-Cyrl-RS"/>
        </w:rPr>
        <w:t xml:space="preserve"> биља</w:t>
      </w:r>
      <w:r w:rsidR="00BF78D1" w:rsidRPr="00EF2F18">
        <w:rPr>
          <w:rFonts w:eastAsia="Times New Roman" w:cs="Times New Roman"/>
          <w:sz w:val="22"/>
          <w:lang w:val="sr-Cyrl-RS"/>
        </w:rPr>
        <w:t xml:space="preserve">, </w:t>
      </w:r>
      <w:r w:rsidR="00BF78D1" w:rsidRPr="00EF2F18">
        <w:rPr>
          <w:rFonts w:cs="Times New Roman"/>
          <w:bCs/>
          <w:sz w:val="22"/>
          <w:lang w:val="sr-Cyrl-RS"/>
        </w:rPr>
        <w:t xml:space="preserve">као и пратећих подзаконских аката. </w:t>
      </w:r>
    </w:p>
    <w:p w14:paraId="1F812E87" w14:textId="6716334B" w:rsidR="00827A94" w:rsidRPr="00EF2F18" w:rsidRDefault="00BF78D1" w:rsidP="00BF78D1">
      <w:pPr>
        <w:tabs>
          <w:tab w:val="left" w:pos="197"/>
        </w:tabs>
        <w:spacing w:after="0"/>
        <w:ind w:right="6"/>
        <w:jc w:val="both"/>
        <w:rPr>
          <w:rFonts w:cs="Times New Roman"/>
          <w:bCs/>
          <w:sz w:val="22"/>
          <w:lang w:val="sr-Cyrl-RS"/>
        </w:rPr>
      </w:pPr>
      <w:r w:rsidRPr="00EF2F18">
        <w:rPr>
          <w:rFonts w:cs="Times New Roman"/>
          <w:bCs/>
          <w:sz w:val="22"/>
          <w:lang w:val="sr-Cyrl-RS"/>
        </w:rPr>
        <w:tab/>
      </w:r>
      <w:r w:rsidRPr="00EF2F18">
        <w:rPr>
          <w:rFonts w:cs="Times New Roman"/>
          <w:bCs/>
          <w:sz w:val="22"/>
          <w:lang w:val="sr-Cyrl-RS"/>
        </w:rPr>
        <w:tab/>
      </w:r>
      <w:r w:rsidR="00827A94" w:rsidRPr="00EF2F18">
        <w:rPr>
          <w:rFonts w:cs="Times New Roman"/>
          <w:bCs/>
          <w:sz w:val="22"/>
          <w:lang w:val="sr-Cyrl-RS"/>
        </w:rPr>
        <w:t>Према подацима из Листе регистрованих средстава за заштиту биља</w:t>
      </w:r>
      <w:r w:rsidR="00827A94" w:rsidRPr="00EF2F18">
        <w:rPr>
          <w:rFonts w:eastAsia="Times New Roman" w:cs="Times New Roman"/>
          <w:sz w:val="22"/>
          <w:lang w:val="sr-Cyrl-RS"/>
        </w:rPr>
        <w:t xml:space="preserve"> </w:t>
      </w:r>
      <w:r w:rsidR="00827A94" w:rsidRPr="00EF2F18">
        <w:rPr>
          <w:rFonts w:cs="Times New Roman"/>
          <w:bCs/>
          <w:sz w:val="22"/>
          <w:lang w:val="sr-Cyrl-RS"/>
        </w:rPr>
        <w:t xml:space="preserve">Управе за заштиту биља Министарства пољопривреде, шумарства и водопривреде, скоро половину препарата на тржишту Републике Србије чине средства за заштиту биља из групе хербицида (око 46%), па потом фунгициди (око 32%) и инсектициди (око 14%), док осталих 8% </w:t>
      </w:r>
      <w:r w:rsidR="005843EC" w:rsidRPr="00EF2F18">
        <w:rPr>
          <w:rFonts w:cs="Times New Roman"/>
          <w:bCs/>
          <w:sz w:val="22"/>
          <w:lang w:val="sr-Cyrl-RS"/>
        </w:rPr>
        <w:t xml:space="preserve">чине акарициди, нематоциди, регулатори раста и лимациди. </w:t>
      </w:r>
      <w:r w:rsidR="00236929" w:rsidRPr="00EF2F18">
        <w:rPr>
          <w:rFonts w:cs="Times New Roman"/>
          <w:bCs/>
          <w:sz w:val="22"/>
          <w:lang w:val="sr-Cyrl-RS"/>
        </w:rPr>
        <w:t>Поред средстава за заштиту биља, израз пестициди обухвата и биоцидне производе који се користе за дезинфекцију површина, воде, здраве коже људи и за одржавање хигијене животиња, за сузбијање инсеката и глодара, за заштиту готових производа док су у оригиналној амбалажи, за заштиту дрвета, коже, гуме, папира, текстила, течности у расхладним и процесним системима. Чињење доступним на тржишту и коришћење оваквих производа уређено је Законом о биоцидним производима</w:t>
      </w:r>
      <w:r w:rsidR="00654CD9" w:rsidRPr="00EF2F18">
        <w:rPr>
          <w:rFonts w:cs="Times New Roman"/>
          <w:bCs/>
          <w:sz w:val="22"/>
          <w:lang w:val="sr-Cyrl-RS"/>
        </w:rPr>
        <w:t>.</w:t>
      </w:r>
    </w:p>
    <w:p w14:paraId="39E2C723" w14:textId="5C5D24ED" w:rsidR="00827A94" w:rsidRPr="00EF2F18" w:rsidRDefault="00827A94" w:rsidP="00827A94">
      <w:pPr>
        <w:tabs>
          <w:tab w:val="left" w:pos="197"/>
        </w:tabs>
        <w:spacing w:after="0"/>
        <w:ind w:right="6"/>
        <w:jc w:val="both"/>
        <w:rPr>
          <w:rFonts w:cs="Times New Roman"/>
          <w:bCs/>
          <w:sz w:val="22"/>
          <w:lang w:val="sr-Cyrl-RS"/>
        </w:rPr>
      </w:pPr>
      <w:r w:rsidRPr="00EF2F18">
        <w:rPr>
          <w:rFonts w:cs="Times New Roman"/>
          <w:bCs/>
          <w:sz w:val="22"/>
          <w:lang w:val="sr-Cyrl-RS"/>
        </w:rPr>
        <w:tab/>
      </w:r>
      <w:r w:rsidRPr="00EF2F18">
        <w:rPr>
          <w:rFonts w:cs="Times New Roman"/>
          <w:bCs/>
          <w:sz w:val="22"/>
          <w:lang w:val="sr-Cyrl-RS"/>
        </w:rPr>
        <w:tab/>
        <w:t>Закон о средствима за заштит</w:t>
      </w:r>
      <w:r w:rsidR="00CF307C" w:rsidRPr="00EF2F18">
        <w:rPr>
          <w:rFonts w:cs="Times New Roman"/>
          <w:bCs/>
          <w:sz w:val="22"/>
          <w:lang w:val="sr-Cyrl-RS"/>
        </w:rPr>
        <w:t>у</w:t>
      </w:r>
      <w:r w:rsidRPr="00EF2F18">
        <w:rPr>
          <w:rFonts w:cs="Times New Roman"/>
          <w:bCs/>
          <w:sz w:val="22"/>
          <w:lang w:val="sr-Cyrl-RS"/>
        </w:rPr>
        <w:t xml:space="preserve"> биља прописује да се средства за заштиту биља, као и активне супстанце које су стављене у промет супротно његовим одредбама, сматрају отпадом. С</w:t>
      </w:r>
      <w:r w:rsidR="005843EC" w:rsidRPr="00EF2F18">
        <w:rPr>
          <w:rFonts w:cs="Times New Roman"/>
          <w:bCs/>
          <w:sz w:val="22"/>
          <w:lang w:val="sr-Cyrl-RS"/>
        </w:rPr>
        <w:t xml:space="preserve"> тим увези</w:t>
      </w:r>
      <w:r w:rsidRPr="00EF2F18">
        <w:rPr>
          <w:rFonts w:cs="Times New Roman"/>
          <w:bCs/>
          <w:sz w:val="22"/>
          <w:lang w:val="sr-Cyrl-RS"/>
        </w:rPr>
        <w:t>, са средствима за заштиту биља за које не постоји важеће решење о регистрацији, као и за активне супстанце које нису наведене у Листи одоб</w:t>
      </w:r>
      <w:r w:rsidR="00D3651F" w:rsidRPr="00EF2F18">
        <w:rPr>
          <w:rFonts w:cs="Times New Roman"/>
          <w:bCs/>
          <w:sz w:val="22"/>
          <w:lang w:val="sr-Cyrl-RS"/>
        </w:rPr>
        <w:t>р</w:t>
      </w:r>
      <w:r w:rsidRPr="00EF2F18">
        <w:rPr>
          <w:rFonts w:cs="Times New Roman"/>
          <w:bCs/>
          <w:sz w:val="22"/>
          <w:lang w:val="sr-Cyrl-RS"/>
        </w:rPr>
        <w:t>ених супстанци, поступа се у складу са прописима о управљању отпадом.</w:t>
      </w:r>
    </w:p>
    <w:p w14:paraId="4BFE583D" w14:textId="17264DA5" w:rsidR="00827A94" w:rsidRPr="00EF2F18" w:rsidRDefault="00827A94" w:rsidP="00827A94">
      <w:pPr>
        <w:tabs>
          <w:tab w:val="left" w:pos="197"/>
        </w:tabs>
        <w:spacing w:after="0"/>
        <w:ind w:right="6"/>
        <w:jc w:val="both"/>
        <w:rPr>
          <w:rFonts w:cs="Times New Roman"/>
          <w:bCs/>
          <w:color w:val="7030A0"/>
          <w:sz w:val="22"/>
          <w:lang w:val="sr-Cyrl-RS"/>
        </w:rPr>
      </w:pPr>
      <w:r w:rsidRPr="00EF2F18">
        <w:rPr>
          <w:rFonts w:cs="Times New Roman"/>
          <w:bCs/>
          <w:sz w:val="22"/>
          <w:lang w:val="sr-Cyrl-RS"/>
        </w:rPr>
        <w:tab/>
      </w:r>
      <w:r w:rsidRPr="00EF2F18">
        <w:rPr>
          <w:rFonts w:cs="Times New Roman"/>
          <w:bCs/>
          <w:sz w:val="22"/>
          <w:lang w:val="sr-Cyrl-RS"/>
        </w:rPr>
        <w:tab/>
        <w:t>Законом је предвиђено да ће само пољопривредници који стекну одговарајући сертификат моћи да купују средств</w:t>
      </w:r>
      <w:r w:rsidR="00BF78D1" w:rsidRPr="00EF2F18">
        <w:rPr>
          <w:rFonts w:cs="Times New Roman"/>
          <w:bCs/>
          <w:sz w:val="22"/>
          <w:lang w:val="sr-Cyrl-RS"/>
        </w:rPr>
        <w:t>а</w:t>
      </w:r>
      <w:r w:rsidRPr="00EF2F18">
        <w:rPr>
          <w:rFonts w:cs="Times New Roman"/>
          <w:bCs/>
          <w:sz w:val="22"/>
          <w:lang w:val="sr-Cyrl-RS"/>
        </w:rPr>
        <w:t xml:space="preserve"> за заштиту биља која су намењена за професионално коришћење. Од </w:t>
      </w:r>
      <w:r w:rsidR="00BF1F91" w:rsidRPr="00EF2F18">
        <w:rPr>
          <w:rFonts w:cs="Times New Roman"/>
          <w:bCs/>
          <w:sz w:val="22"/>
          <w:lang w:val="sr-Cyrl-RS"/>
        </w:rPr>
        <w:t>2025</w:t>
      </w:r>
      <w:r w:rsidRPr="00EF2F18">
        <w:rPr>
          <w:rFonts w:cs="Times New Roman"/>
          <w:bCs/>
          <w:sz w:val="22"/>
          <w:lang w:val="sr-Cyrl-RS"/>
        </w:rPr>
        <w:t xml:space="preserve">. године започето је са спровођењем обука и издавањем сертификата пољопривредницима, које су обавезне за све професионалне кориснике средстава за заштиту биља. </w:t>
      </w:r>
    </w:p>
    <w:p w14:paraId="36A97AE8" w14:textId="77777777" w:rsidR="00827A94" w:rsidRPr="00EF2F18" w:rsidRDefault="00827A94" w:rsidP="00827A94">
      <w:pPr>
        <w:spacing w:after="0"/>
        <w:rPr>
          <w:rFonts w:cs="Times New Roman"/>
          <w:i/>
          <w:iCs/>
          <w:sz w:val="22"/>
          <w:lang w:val="sr-Cyrl-RS"/>
        </w:rPr>
      </w:pPr>
    </w:p>
    <w:p w14:paraId="778C03C8" w14:textId="0B7F88A3" w:rsidR="00827A94" w:rsidRPr="00EF2F18" w:rsidRDefault="00827A94" w:rsidP="00F34D8C">
      <w:pPr>
        <w:spacing w:after="0"/>
        <w:ind w:firstLine="720"/>
        <w:rPr>
          <w:rFonts w:cs="Times New Roman"/>
          <w:b/>
          <w:i/>
          <w:iCs/>
          <w:sz w:val="22"/>
          <w:lang w:val="sr-Cyrl-RS"/>
        </w:rPr>
      </w:pPr>
      <w:r w:rsidRPr="00EF2F18">
        <w:rPr>
          <w:rFonts w:cs="Times New Roman"/>
          <w:b/>
          <w:i/>
          <w:iCs/>
          <w:sz w:val="22"/>
          <w:lang w:val="sr-Cyrl-RS"/>
        </w:rPr>
        <w:t>Органска пољопривреда</w:t>
      </w:r>
    </w:p>
    <w:p w14:paraId="517A17E0" w14:textId="5A88F4A7" w:rsidR="00827A94" w:rsidRPr="00EF2F18" w:rsidRDefault="00827A94" w:rsidP="00827A94">
      <w:pPr>
        <w:spacing w:after="0"/>
        <w:ind w:firstLine="720"/>
        <w:jc w:val="both"/>
        <w:rPr>
          <w:rFonts w:cs="Times New Roman"/>
          <w:sz w:val="22"/>
          <w:lang w:val="sr-Cyrl-RS"/>
        </w:rPr>
      </w:pPr>
      <w:r w:rsidRPr="00EF2F18">
        <w:rPr>
          <w:rFonts w:cs="Times New Roman"/>
          <w:sz w:val="22"/>
          <w:lang w:val="sr-Cyrl-RS"/>
        </w:rPr>
        <w:t xml:space="preserve">Органска производња у </w:t>
      </w:r>
      <w:r w:rsidR="009D701D" w:rsidRPr="00EF2F18">
        <w:rPr>
          <w:rFonts w:cs="Times New Roman"/>
          <w:sz w:val="22"/>
          <w:lang w:val="sr-Cyrl-RS"/>
        </w:rPr>
        <w:t xml:space="preserve">Републици </w:t>
      </w:r>
      <w:r w:rsidRPr="00EF2F18">
        <w:rPr>
          <w:rFonts w:cs="Times New Roman"/>
          <w:sz w:val="22"/>
          <w:lang w:val="sr-Cyrl-RS"/>
        </w:rPr>
        <w:t>Србији у 202</w:t>
      </w:r>
      <w:r w:rsidR="002351AE" w:rsidRPr="00EF2F18">
        <w:rPr>
          <w:rFonts w:cs="Times New Roman"/>
          <w:sz w:val="22"/>
          <w:lang w:val="sr-Cyrl-RS"/>
        </w:rPr>
        <w:t>3</w:t>
      </w:r>
      <w:r w:rsidRPr="00EF2F18">
        <w:rPr>
          <w:rFonts w:cs="Times New Roman"/>
          <w:sz w:val="22"/>
          <w:lang w:val="sr-Cyrl-RS"/>
        </w:rPr>
        <w:t xml:space="preserve">. години одвијала </w:t>
      </w:r>
      <w:r w:rsidR="00A634C6" w:rsidRPr="00EF2F18">
        <w:rPr>
          <w:rFonts w:cs="Times New Roman"/>
          <w:sz w:val="22"/>
          <w:lang w:val="sr-Cyrl-RS"/>
        </w:rPr>
        <w:t xml:space="preserve">се на укупној површини од </w:t>
      </w:r>
      <w:r w:rsidR="002351AE" w:rsidRPr="00EF2F18">
        <w:rPr>
          <w:rFonts w:cs="Times New Roman"/>
          <w:sz w:val="22"/>
          <w:lang w:val="sr-Cyrl-RS"/>
        </w:rPr>
        <w:t>29</w:t>
      </w:r>
      <w:r w:rsidR="00A634C6" w:rsidRPr="00EF2F18">
        <w:rPr>
          <w:rFonts w:cs="Times New Roman"/>
          <w:sz w:val="22"/>
          <w:lang w:val="sr-Cyrl-RS"/>
        </w:rPr>
        <w:t>.</w:t>
      </w:r>
      <w:r w:rsidR="002351AE" w:rsidRPr="00EF2F18">
        <w:rPr>
          <w:rFonts w:cs="Times New Roman"/>
          <w:sz w:val="22"/>
          <w:lang w:val="sr-Cyrl-RS"/>
        </w:rPr>
        <w:t xml:space="preserve">002 </w:t>
      </w:r>
      <w:r w:rsidRPr="00EF2F18">
        <w:rPr>
          <w:rFonts w:cs="Times New Roman"/>
          <w:sz w:val="22"/>
          <w:lang w:val="sr-Cyrl-RS"/>
        </w:rPr>
        <w:t xml:space="preserve">hа, што је за </w:t>
      </w:r>
      <w:r w:rsidR="002351AE" w:rsidRPr="00EF2F18">
        <w:rPr>
          <w:rFonts w:cs="Times New Roman"/>
          <w:sz w:val="22"/>
          <w:lang w:val="sr-Cyrl-RS"/>
        </w:rPr>
        <w:t>16</w:t>
      </w:r>
      <w:r w:rsidRPr="00EF2F18">
        <w:rPr>
          <w:rFonts w:cs="Times New Roman"/>
          <w:sz w:val="22"/>
          <w:lang w:val="sr-Cyrl-RS"/>
        </w:rPr>
        <w:t xml:space="preserve">% више у односу на површину у </w:t>
      </w:r>
      <w:r w:rsidR="002351AE" w:rsidRPr="00EF2F18">
        <w:rPr>
          <w:rFonts w:cs="Times New Roman"/>
          <w:sz w:val="22"/>
          <w:lang w:val="sr-Cyrl-RS"/>
        </w:rPr>
        <w:t>2022</w:t>
      </w:r>
      <w:r w:rsidRPr="00EF2F18">
        <w:rPr>
          <w:rFonts w:cs="Times New Roman"/>
          <w:sz w:val="22"/>
          <w:lang w:val="sr-Cyrl-RS"/>
        </w:rPr>
        <w:t xml:space="preserve">. години. Од тога, обрадива површина износила је </w:t>
      </w:r>
      <w:r w:rsidR="002351AE" w:rsidRPr="00EF2F18">
        <w:rPr>
          <w:rFonts w:cs="Times New Roman"/>
          <w:sz w:val="22"/>
          <w:lang w:val="sr-Cyrl-RS"/>
        </w:rPr>
        <w:t>17</w:t>
      </w:r>
      <w:r w:rsidRPr="00EF2F18">
        <w:rPr>
          <w:rFonts w:cs="Times New Roman"/>
          <w:sz w:val="22"/>
          <w:lang w:val="sr-Cyrl-RS"/>
        </w:rPr>
        <w:t>.</w:t>
      </w:r>
      <w:r w:rsidR="002351AE" w:rsidRPr="00EF2F18">
        <w:rPr>
          <w:rFonts w:cs="Times New Roman"/>
          <w:sz w:val="22"/>
          <w:lang w:val="sr-Cyrl-RS"/>
        </w:rPr>
        <w:t xml:space="preserve">565 </w:t>
      </w:r>
      <w:r w:rsidRPr="00EF2F18">
        <w:rPr>
          <w:rFonts w:cs="Times New Roman"/>
          <w:sz w:val="22"/>
          <w:lang w:val="sr-Cyrl-RS"/>
        </w:rPr>
        <w:t xml:space="preserve">hа укључујући ливаде и пашњаке на површини од </w:t>
      </w:r>
      <w:r w:rsidR="002351AE" w:rsidRPr="00EF2F18">
        <w:rPr>
          <w:rFonts w:cs="Times New Roman"/>
          <w:sz w:val="22"/>
          <w:lang w:val="sr-Cyrl-RS"/>
        </w:rPr>
        <w:t>11</w:t>
      </w:r>
      <w:r w:rsidRPr="00EF2F18">
        <w:rPr>
          <w:rFonts w:cs="Times New Roman"/>
          <w:sz w:val="22"/>
          <w:lang w:val="sr-Cyrl-RS"/>
        </w:rPr>
        <w:t>.</w:t>
      </w:r>
      <w:r w:rsidR="002351AE" w:rsidRPr="00EF2F18">
        <w:rPr>
          <w:rFonts w:cs="Times New Roman"/>
          <w:sz w:val="22"/>
          <w:lang w:val="sr-Cyrl-RS"/>
        </w:rPr>
        <w:t xml:space="preserve">437 </w:t>
      </w:r>
      <w:r w:rsidRPr="00EF2F18">
        <w:rPr>
          <w:rFonts w:cs="Times New Roman"/>
          <w:sz w:val="22"/>
          <w:lang w:val="sr-Cyrl-RS"/>
        </w:rPr>
        <w:t>hа. Од укупне површине под органском производњом, 10.</w:t>
      </w:r>
      <w:r w:rsidR="002351AE" w:rsidRPr="00EF2F18">
        <w:rPr>
          <w:rFonts w:cs="Times New Roman"/>
          <w:sz w:val="22"/>
          <w:lang w:val="sr-Cyrl-RS"/>
        </w:rPr>
        <w:t xml:space="preserve">916 </w:t>
      </w:r>
      <w:r w:rsidRPr="00EF2F18">
        <w:rPr>
          <w:rFonts w:cs="Times New Roman"/>
          <w:sz w:val="22"/>
          <w:lang w:val="sr-Cyrl-RS"/>
        </w:rPr>
        <w:t xml:space="preserve">hа је било у периоду конверзије, док је површина у органском статусу износила </w:t>
      </w:r>
      <w:r w:rsidR="002351AE" w:rsidRPr="00EF2F18">
        <w:rPr>
          <w:rFonts w:cs="Times New Roman"/>
          <w:sz w:val="22"/>
          <w:lang w:val="sr-Cyrl-RS"/>
        </w:rPr>
        <w:t>18</w:t>
      </w:r>
      <w:r w:rsidRPr="00EF2F18">
        <w:rPr>
          <w:rFonts w:cs="Times New Roman"/>
          <w:sz w:val="22"/>
          <w:lang w:val="sr-Cyrl-RS"/>
        </w:rPr>
        <w:t>.</w:t>
      </w:r>
      <w:r w:rsidR="002351AE" w:rsidRPr="00EF2F18">
        <w:rPr>
          <w:rFonts w:cs="Times New Roman"/>
          <w:sz w:val="22"/>
          <w:lang w:val="sr-Cyrl-RS"/>
        </w:rPr>
        <w:t xml:space="preserve">086 </w:t>
      </w:r>
      <w:r w:rsidRPr="00EF2F18">
        <w:rPr>
          <w:rFonts w:cs="Times New Roman"/>
          <w:sz w:val="22"/>
          <w:lang w:val="sr-Cyrl-RS"/>
        </w:rPr>
        <w:t xml:space="preserve">hа. У периоду од 2018. до </w:t>
      </w:r>
      <w:r w:rsidR="002351AE" w:rsidRPr="00EF2F18">
        <w:rPr>
          <w:rFonts w:cs="Times New Roman"/>
          <w:sz w:val="22"/>
          <w:lang w:val="sr-Cyrl-RS"/>
        </w:rPr>
        <w:t>2023</w:t>
      </w:r>
      <w:r w:rsidRPr="00EF2F18">
        <w:rPr>
          <w:rFonts w:cs="Times New Roman"/>
          <w:sz w:val="22"/>
          <w:lang w:val="sr-Cyrl-RS"/>
        </w:rPr>
        <w:t xml:space="preserve">. године </w:t>
      </w:r>
      <w:r w:rsidRPr="00EF2F18">
        <w:rPr>
          <w:rFonts w:cs="Times New Roman"/>
          <w:sz w:val="22"/>
          <w:lang w:val="sr-Cyrl-RS"/>
        </w:rPr>
        <w:lastRenderedPageBreak/>
        <w:t>може се уочити и значајније повећање површина под ливадама и пашњацима услед развоја органске сточарске производње. Мада органске површине и површине у конверзији имају последњих година тенденцију раста, заступљеност ове производње је далеко испод просека ЕУ (</w:t>
      </w:r>
      <w:r w:rsidR="002351AE" w:rsidRPr="00EF2F18">
        <w:rPr>
          <w:rFonts w:cs="Times New Roman"/>
          <w:sz w:val="22"/>
          <w:lang w:val="sr-Cyrl-RS"/>
        </w:rPr>
        <w:t>9</w:t>
      </w:r>
      <w:r w:rsidRPr="00EF2F18">
        <w:rPr>
          <w:rFonts w:cs="Times New Roman"/>
          <w:sz w:val="22"/>
          <w:lang w:val="sr-Cyrl-RS"/>
        </w:rPr>
        <w:t>,</w:t>
      </w:r>
      <w:r w:rsidR="002351AE" w:rsidRPr="00EF2F18">
        <w:rPr>
          <w:rFonts w:cs="Times New Roman"/>
          <w:sz w:val="22"/>
          <w:lang w:val="sr-Cyrl-RS"/>
        </w:rPr>
        <w:t xml:space="preserve">6 </w:t>
      </w:r>
      <w:r w:rsidRPr="00EF2F18">
        <w:rPr>
          <w:rFonts w:cs="Times New Roman"/>
          <w:sz w:val="22"/>
          <w:lang w:val="sr-Cyrl-RS"/>
        </w:rPr>
        <w:t>%) и сусед</w:t>
      </w:r>
      <w:r w:rsidR="002351AE" w:rsidRPr="00EF2F18">
        <w:rPr>
          <w:rFonts w:cs="Times New Roman"/>
          <w:sz w:val="22"/>
          <w:lang w:val="sr-Cyrl-RS"/>
        </w:rPr>
        <w:t>н</w:t>
      </w:r>
      <w:r w:rsidRPr="00EF2F18">
        <w:rPr>
          <w:rFonts w:cs="Times New Roman"/>
          <w:sz w:val="22"/>
          <w:lang w:val="sr-Cyrl-RS"/>
        </w:rPr>
        <w:t xml:space="preserve">их земаља (Хрватска </w:t>
      </w:r>
      <w:r w:rsidR="002351AE" w:rsidRPr="00EF2F18">
        <w:rPr>
          <w:rFonts w:cs="Times New Roman"/>
          <w:sz w:val="22"/>
          <w:lang w:val="sr-Cyrl-RS"/>
        </w:rPr>
        <w:t>–</w:t>
      </w:r>
      <w:r w:rsidRPr="00EF2F18">
        <w:rPr>
          <w:rFonts w:cs="Times New Roman"/>
          <w:sz w:val="22"/>
          <w:lang w:val="sr-Cyrl-RS"/>
        </w:rPr>
        <w:t xml:space="preserve"> </w:t>
      </w:r>
      <w:r w:rsidR="002351AE" w:rsidRPr="00EF2F18">
        <w:rPr>
          <w:rFonts w:cs="Times New Roman"/>
          <w:sz w:val="22"/>
          <w:lang w:val="sr-Cyrl-RS"/>
        </w:rPr>
        <w:t>8,1</w:t>
      </w:r>
      <w:r w:rsidRPr="00EF2F18">
        <w:rPr>
          <w:rFonts w:cs="Times New Roman"/>
          <w:sz w:val="22"/>
          <w:lang w:val="sr-Cyrl-RS"/>
        </w:rPr>
        <w:t xml:space="preserve">%, </w:t>
      </w:r>
      <w:r w:rsidR="002351AE" w:rsidRPr="00EF2F18">
        <w:rPr>
          <w:rFonts w:cs="Times New Roman"/>
          <w:sz w:val="22"/>
          <w:lang w:val="sr-Cyrl-RS"/>
        </w:rPr>
        <w:t xml:space="preserve">Румунија – 4,3%, </w:t>
      </w:r>
      <w:r w:rsidRPr="00EF2F18">
        <w:rPr>
          <w:rFonts w:cs="Times New Roman"/>
          <w:sz w:val="22"/>
          <w:lang w:val="sr-Cyrl-RS"/>
        </w:rPr>
        <w:t xml:space="preserve">Бугарска - </w:t>
      </w:r>
      <w:r w:rsidR="002351AE" w:rsidRPr="00EF2F18">
        <w:rPr>
          <w:rFonts w:cs="Times New Roman"/>
          <w:sz w:val="22"/>
          <w:lang w:val="sr-Cyrl-RS"/>
        </w:rPr>
        <w:t>1</w:t>
      </w:r>
      <w:r w:rsidRPr="00EF2F18">
        <w:rPr>
          <w:rFonts w:cs="Times New Roman"/>
          <w:sz w:val="22"/>
          <w:lang w:val="sr-Cyrl-RS"/>
        </w:rPr>
        <w:t>,</w:t>
      </w:r>
      <w:r w:rsidR="002351AE" w:rsidRPr="00EF2F18">
        <w:rPr>
          <w:rFonts w:cs="Times New Roman"/>
          <w:sz w:val="22"/>
          <w:lang w:val="sr-Cyrl-RS"/>
        </w:rPr>
        <w:t>7</w:t>
      </w:r>
      <w:r w:rsidRPr="00EF2F18">
        <w:rPr>
          <w:rFonts w:cs="Times New Roman"/>
          <w:sz w:val="22"/>
          <w:lang w:val="sr-Cyrl-RS"/>
        </w:rPr>
        <w:t>%).</w:t>
      </w:r>
    </w:p>
    <w:p w14:paraId="4E6172F6" w14:textId="77777777" w:rsidR="00647E28" w:rsidRPr="00EF2F18" w:rsidRDefault="00647E28" w:rsidP="00827A94">
      <w:pPr>
        <w:spacing w:after="0"/>
        <w:ind w:firstLine="720"/>
        <w:jc w:val="both"/>
        <w:rPr>
          <w:rFonts w:cs="Times New Roman"/>
          <w:sz w:val="22"/>
          <w:lang w:val="sr-Cyrl-RS"/>
        </w:rPr>
      </w:pPr>
    </w:p>
    <w:p w14:paraId="3CF1098B" w14:textId="5B0DD13D" w:rsidR="00647E28" w:rsidRPr="00EF2F18" w:rsidRDefault="00647E28" w:rsidP="00647E28">
      <w:pPr>
        <w:autoSpaceDE w:val="0"/>
        <w:autoSpaceDN w:val="0"/>
        <w:adjustRightInd w:val="0"/>
        <w:spacing w:after="0"/>
        <w:rPr>
          <w:rFonts w:cs="Times New Roman"/>
          <w:sz w:val="22"/>
          <w:lang w:val="sr-Cyrl-RS"/>
        </w:rPr>
      </w:pPr>
      <w:r w:rsidRPr="00EF2F18">
        <w:rPr>
          <w:rFonts w:cs="Times New Roman"/>
          <w:b/>
          <w:bCs/>
          <w:sz w:val="22"/>
          <w:lang w:val="sr-Cyrl-RS"/>
        </w:rPr>
        <w:t>Табела 3.</w:t>
      </w:r>
      <w:r w:rsidR="006C1A98" w:rsidRPr="00EF2F18">
        <w:rPr>
          <w:rFonts w:cs="Times New Roman"/>
          <w:b/>
          <w:bCs/>
          <w:sz w:val="22"/>
          <w:lang w:val="sr-Cyrl-RS"/>
        </w:rPr>
        <w:t>4</w:t>
      </w:r>
      <w:r w:rsidRPr="00EF2F18">
        <w:rPr>
          <w:rFonts w:cs="Times New Roman"/>
          <w:sz w:val="22"/>
          <w:lang w:val="sr-Cyrl-RS"/>
        </w:rPr>
        <w:t xml:space="preserve">. Површине на којима су примењене методе органске пољопривреде у периоду од 2014-2023. године </w:t>
      </w:r>
    </w:p>
    <w:tbl>
      <w:tblPr>
        <w:tblStyle w:val="TableGrid"/>
        <w:tblW w:w="0" w:type="auto"/>
        <w:tblLook w:val="04A0" w:firstRow="1" w:lastRow="0" w:firstColumn="1" w:lastColumn="0" w:noHBand="0" w:noVBand="1"/>
      </w:tblPr>
      <w:tblGrid>
        <w:gridCol w:w="1676"/>
        <w:gridCol w:w="734"/>
        <w:gridCol w:w="734"/>
        <w:gridCol w:w="734"/>
        <w:gridCol w:w="734"/>
        <w:gridCol w:w="734"/>
        <w:gridCol w:w="734"/>
        <w:gridCol w:w="734"/>
        <w:gridCol w:w="734"/>
        <w:gridCol w:w="734"/>
        <w:gridCol w:w="735"/>
      </w:tblGrid>
      <w:tr w:rsidR="00307989" w:rsidRPr="00EF2F18" w14:paraId="29216AF9" w14:textId="77777777" w:rsidTr="006C1A98">
        <w:trPr>
          <w:trHeight w:val="357"/>
        </w:trPr>
        <w:tc>
          <w:tcPr>
            <w:tcW w:w="1676" w:type="dxa"/>
            <w:shd w:val="clear" w:color="auto" w:fill="FFFFCC"/>
          </w:tcPr>
          <w:p w14:paraId="49D6604E" w14:textId="266A3561"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Година</w:t>
            </w:r>
          </w:p>
        </w:tc>
        <w:tc>
          <w:tcPr>
            <w:tcW w:w="734" w:type="dxa"/>
            <w:shd w:val="clear" w:color="auto" w:fill="FFFFCC"/>
          </w:tcPr>
          <w:p w14:paraId="48ABA263" w14:textId="3551437B"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2014.</w:t>
            </w:r>
          </w:p>
        </w:tc>
        <w:tc>
          <w:tcPr>
            <w:tcW w:w="734" w:type="dxa"/>
            <w:shd w:val="clear" w:color="auto" w:fill="FFFFCC"/>
          </w:tcPr>
          <w:p w14:paraId="21B3140C" w14:textId="67CE5A69"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2015.</w:t>
            </w:r>
          </w:p>
        </w:tc>
        <w:tc>
          <w:tcPr>
            <w:tcW w:w="734" w:type="dxa"/>
            <w:shd w:val="clear" w:color="auto" w:fill="FFFFCC"/>
          </w:tcPr>
          <w:p w14:paraId="7E5AAC2C" w14:textId="467493C4"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2016.</w:t>
            </w:r>
          </w:p>
        </w:tc>
        <w:tc>
          <w:tcPr>
            <w:tcW w:w="734" w:type="dxa"/>
            <w:shd w:val="clear" w:color="auto" w:fill="FFFFCC"/>
          </w:tcPr>
          <w:p w14:paraId="510A05B3" w14:textId="54E662AC"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2017.</w:t>
            </w:r>
          </w:p>
        </w:tc>
        <w:tc>
          <w:tcPr>
            <w:tcW w:w="734" w:type="dxa"/>
            <w:shd w:val="clear" w:color="auto" w:fill="FFFFCC"/>
          </w:tcPr>
          <w:p w14:paraId="403973D7" w14:textId="3EE6EA32"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2018.</w:t>
            </w:r>
          </w:p>
        </w:tc>
        <w:tc>
          <w:tcPr>
            <w:tcW w:w="734" w:type="dxa"/>
            <w:shd w:val="clear" w:color="auto" w:fill="FFFFCC"/>
          </w:tcPr>
          <w:p w14:paraId="771DE155" w14:textId="2BA8F632"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2019.</w:t>
            </w:r>
          </w:p>
        </w:tc>
        <w:tc>
          <w:tcPr>
            <w:tcW w:w="734" w:type="dxa"/>
            <w:shd w:val="clear" w:color="auto" w:fill="FFFFCC"/>
          </w:tcPr>
          <w:p w14:paraId="505A7F1A" w14:textId="1DDA0B20"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2020.</w:t>
            </w:r>
          </w:p>
        </w:tc>
        <w:tc>
          <w:tcPr>
            <w:tcW w:w="734" w:type="dxa"/>
            <w:shd w:val="clear" w:color="auto" w:fill="FFFFCC"/>
          </w:tcPr>
          <w:p w14:paraId="3ACAE0C9" w14:textId="7FEA1BFC"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2021.</w:t>
            </w:r>
          </w:p>
        </w:tc>
        <w:tc>
          <w:tcPr>
            <w:tcW w:w="734" w:type="dxa"/>
            <w:shd w:val="clear" w:color="auto" w:fill="FFFFCC"/>
          </w:tcPr>
          <w:p w14:paraId="141E5EC8" w14:textId="0C928A81"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2022.</w:t>
            </w:r>
          </w:p>
        </w:tc>
        <w:tc>
          <w:tcPr>
            <w:tcW w:w="735" w:type="dxa"/>
            <w:shd w:val="clear" w:color="auto" w:fill="FFFFCC"/>
          </w:tcPr>
          <w:p w14:paraId="6C26D760" w14:textId="6654F388"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2023.</w:t>
            </w:r>
          </w:p>
        </w:tc>
      </w:tr>
      <w:tr w:rsidR="006C1A98" w:rsidRPr="00EF2F18" w14:paraId="7DC94ED6" w14:textId="77777777" w:rsidTr="00647E28">
        <w:tc>
          <w:tcPr>
            <w:tcW w:w="1676" w:type="dxa"/>
          </w:tcPr>
          <w:p w14:paraId="021197EB" w14:textId="067F7021" w:rsidR="00647E28" w:rsidRPr="00EF2F18" w:rsidRDefault="00647E28" w:rsidP="00F15588">
            <w:pPr>
              <w:spacing w:after="0"/>
              <w:jc w:val="center"/>
              <w:rPr>
                <w:rFonts w:cs="Times New Roman"/>
                <w:b/>
                <w:bCs/>
                <w:sz w:val="18"/>
                <w:szCs w:val="18"/>
                <w:lang w:val="sr-Cyrl-RS"/>
              </w:rPr>
            </w:pPr>
            <w:r w:rsidRPr="00EF2F18">
              <w:rPr>
                <w:rFonts w:cs="Times New Roman"/>
                <w:b/>
                <w:bCs/>
                <w:sz w:val="18"/>
                <w:szCs w:val="18"/>
                <w:lang w:val="sr-Cyrl-RS"/>
              </w:rPr>
              <w:t>Површина под органском пољопривредом (ha)</w:t>
            </w:r>
          </w:p>
        </w:tc>
        <w:tc>
          <w:tcPr>
            <w:tcW w:w="734" w:type="dxa"/>
          </w:tcPr>
          <w:p w14:paraId="33233A6C" w14:textId="2156BCB9"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9.548</w:t>
            </w:r>
          </w:p>
        </w:tc>
        <w:tc>
          <w:tcPr>
            <w:tcW w:w="734" w:type="dxa"/>
          </w:tcPr>
          <w:p w14:paraId="3169CF38" w14:textId="7A58D8E3"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15.298</w:t>
            </w:r>
          </w:p>
        </w:tc>
        <w:tc>
          <w:tcPr>
            <w:tcW w:w="734" w:type="dxa"/>
          </w:tcPr>
          <w:p w14:paraId="52EF72C5" w14:textId="26806F35"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14.358</w:t>
            </w:r>
          </w:p>
        </w:tc>
        <w:tc>
          <w:tcPr>
            <w:tcW w:w="734" w:type="dxa"/>
          </w:tcPr>
          <w:p w14:paraId="20468173" w14:textId="59B53918"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13.423</w:t>
            </w:r>
          </w:p>
        </w:tc>
        <w:tc>
          <w:tcPr>
            <w:tcW w:w="734" w:type="dxa"/>
          </w:tcPr>
          <w:p w14:paraId="77FDD474" w14:textId="4CE31A8D"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19.254</w:t>
            </w:r>
          </w:p>
        </w:tc>
        <w:tc>
          <w:tcPr>
            <w:tcW w:w="734" w:type="dxa"/>
          </w:tcPr>
          <w:p w14:paraId="5FCC6E49" w14:textId="10F2E3C9"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21.265</w:t>
            </w:r>
          </w:p>
        </w:tc>
        <w:tc>
          <w:tcPr>
            <w:tcW w:w="734" w:type="dxa"/>
          </w:tcPr>
          <w:p w14:paraId="40AFD8EF" w14:textId="10BB6C39"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20.971</w:t>
            </w:r>
          </w:p>
        </w:tc>
        <w:tc>
          <w:tcPr>
            <w:tcW w:w="734" w:type="dxa"/>
          </w:tcPr>
          <w:p w14:paraId="352230AD" w14:textId="5A010E71"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23.527</w:t>
            </w:r>
          </w:p>
        </w:tc>
        <w:tc>
          <w:tcPr>
            <w:tcW w:w="734" w:type="dxa"/>
          </w:tcPr>
          <w:p w14:paraId="7BB22D3E" w14:textId="68431267"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25.035</w:t>
            </w:r>
          </w:p>
        </w:tc>
        <w:tc>
          <w:tcPr>
            <w:tcW w:w="735" w:type="dxa"/>
          </w:tcPr>
          <w:p w14:paraId="7D7E9FE7" w14:textId="3CDCCF2E" w:rsidR="00647E28" w:rsidRPr="00EF2F18" w:rsidRDefault="00647E28" w:rsidP="00F15588">
            <w:pPr>
              <w:spacing w:after="0"/>
              <w:jc w:val="center"/>
              <w:rPr>
                <w:rFonts w:cs="Times New Roman"/>
                <w:sz w:val="18"/>
                <w:szCs w:val="18"/>
                <w:lang w:val="sr-Cyrl-RS"/>
              </w:rPr>
            </w:pPr>
            <w:r w:rsidRPr="00EF2F18">
              <w:rPr>
                <w:rFonts w:cs="Times New Roman"/>
                <w:sz w:val="18"/>
                <w:szCs w:val="18"/>
                <w:lang w:val="sr-Cyrl-RS"/>
              </w:rPr>
              <w:t>29.002</w:t>
            </w:r>
          </w:p>
        </w:tc>
      </w:tr>
    </w:tbl>
    <w:p w14:paraId="7444E6D2" w14:textId="6C1D322E" w:rsidR="00A634C6" w:rsidRPr="00EF2F18" w:rsidRDefault="00A634C6" w:rsidP="00A634C6">
      <w:pPr>
        <w:spacing w:after="0"/>
        <w:jc w:val="both"/>
        <w:rPr>
          <w:rFonts w:cs="Times New Roman"/>
          <w:sz w:val="22"/>
          <w:lang w:val="sr-Cyrl-RS"/>
        </w:rPr>
      </w:pPr>
      <w:r w:rsidRPr="00EF2F18">
        <w:rPr>
          <w:rFonts w:cs="Times New Roman"/>
          <w:i/>
          <w:sz w:val="22"/>
          <w:lang w:val="sr-Cyrl-RS"/>
        </w:rPr>
        <w:t xml:space="preserve">Извор: </w:t>
      </w:r>
      <w:r w:rsidR="002351AE" w:rsidRPr="00EF2F18">
        <w:rPr>
          <w:rFonts w:cs="Times New Roman"/>
          <w:i/>
          <w:sz w:val="22"/>
          <w:lang w:val="sr-Cyrl-RS"/>
        </w:rPr>
        <w:t xml:space="preserve">Министарство пољопривреде, шумарства и </w:t>
      </w:r>
      <w:r w:rsidR="009A48FA" w:rsidRPr="00EF2F18">
        <w:rPr>
          <w:rFonts w:cs="Times New Roman"/>
          <w:i/>
          <w:sz w:val="22"/>
          <w:lang w:val="sr-Cyrl-RS"/>
        </w:rPr>
        <w:t>в</w:t>
      </w:r>
      <w:r w:rsidR="002351AE" w:rsidRPr="00EF2F18">
        <w:rPr>
          <w:rFonts w:cs="Times New Roman"/>
          <w:i/>
          <w:sz w:val="22"/>
          <w:lang w:val="sr-Cyrl-RS"/>
        </w:rPr>
        <w:t xml:space="preserve">одопривреде, </w:t>
      </w:r>
      <w:r w:rsidRPr="00EF2F18">
        <w:rPr>
          <w:rFonts w:cs="Times New Roman"/>
          <w:i/>
          <w:sz w:val="22"/>
          <w:lang w:val="sr-Cyrl-RS"/>
        </w:rPr>
        <w:t>202</w:t>
      </w:r>
      <w:r w:rsidR="00E472A9" w:rsidRPr="00EF2F18">
        <w:rPr>
          <w:rFonts w:cs="Times New Roman"/>
          <w:i/>
          <w:sz w:val="22"/>
          <w:lang w:val="sr-Cyrl-RS"/>
        </w:rPr>
        <w:t>4</w:t>
      </w:r>
      <w:r w:rsidRPr="00EF2F18">
        <w:rPr>
          <w:rFonts w:cs="Times New Roman"/>
          <w:i/>
          <w:sz w:val="22"/>
          <w:lang w:val="sr-Cyrl-RS"/>
        </w:rPr>
        <w:t>.</w:t>
      </w:r>
    </w:p>
    <w:p w14:paraId="1257F4D0" w14:textId="77777777" w:rsidR="00A634C6" w:rsidRPr="00EF2F18" w:rsidRDefault="00A634C6" w:rsidP="00A634C6">
      <w:pPr>
        <w:spacing w:after="0"/>
        <w:jc w:val="both"/>
        <w:rPr>
          <w:rFonts w:cs="Times New Roman"/>
          <w:sz w:val="22"/>
          <w:lang w:val="sr-Cyrl-RS"/>
        </w:rPr>
      </w:pPr>
    </w:p>
    <w:p w14:paraId="44CE510B" w14:textId="57B70B8F" w:rsidR="00647E28" w:rsidRPr="00EF2F18" w:rsidRDefault="00827A94" w:rsidP="00827A94">
      <w:pPr>
        <w:spacing w:after="0"/>
        <w:ind w:firstLine="720"/>
        <w:jc w:val="both"/>
        <w:rPr>
          <w:rFonts w:cs="Times New Roman"/>
          <w:sz w:val="22"/>
          <w:lang w:val="sr-Cyrl-RS"/>
        </w:rPr>
      </w:pPr>
      <w:r w:rsidRPr="00EF2F18">
        <w:rPr>
          <w:rFonts w:cs="Times New Roman"/>
          <w:sz w:val="22"/>
          <w:lang w:val="sr-Cyrl-RS"/>
        </w:rPr>
        <w:t xml:space="preserve">Од укупне обрадиве површине у </w:t>
      </w:r>
      <w:r w:rsidR="00647E28" w:rsidRPr="00EF2F18">
        <w:rPr>
          <w:rFonts w:cs="Times New Roman"/>
          <w:sz w:val="22"/>
          <w:lang w:val="sr-Cyrl-RS"/>
        </w:rPr>
        <w:t>2023</w:t>
      </w:r>
      <w:r w:rsidRPr="00EF2F18">
        <w:rPr>
          <w:rFonts w:cs="Times New Roman"/>
          <w:sz w:val="22"/>
          <w:lang w:val="sr-Cyrl-RS"/>
        </w:rPr>
        <w:t>. години, воћарска производња је била најзаступљенија са 33</w:t>
      </w:r>
      <w:r w:rsidR="00647E28" w:rsidRPr="00EF2F18">
        <w:rPr>
          <w:rFonts w:cs="Times New Roman"/>
          <w:sz w:val="22"/>
          <w:lang w:val="sr-Cyrl-RS"/>
        </w:rPr>
        <w:t>,4</w:t>
      </w:r>
      <w:r w:rsidRPr="00EF2F18">
        <w:rPr>
          <w:rFonts w:cs="Times New Roman"/>
          <w:sz w:val="22"/>
          <w:lang w:val="sr-Cyrl-RS"/>
        </w:rPr>
        <w:t xml:space="preserve">%, </w:t>
      </w:r>
      <w:r w:rsidR="00647E28" w:rsidRPr="00EF2F18">
        <w:rPr>
          <w:rFonts w:cs="Times New Roman"/>
          <w:sz w:val="22"/>
          <w:lang w:val="sr-Cyrl-RS"/>
        </w:rPr>
        <w:t xml:space="preserve">следи </w:t>
      </w:r>
      <w:r w:rsidRPr="00EF2F18">
        <w:rPr>
          <w:rFonts w:cs="Times New Roman"/>
          <w:sz w:val="22"/>
          <w:lang w:val="sr-Cyrl-RS"/>
        </w:rPr>
        <w:t xml:space="preserve">производња житарица </w:t>
      </w:r>
      <w:r w:rsidR="00647E28" w:rsidRPr="00EF2F18">
        <w:rPr>
          <w:rFonts w:cs="Times New Roman"/>
          <w:sz w:val="22"/>
          <w:lang w:val="sr-Cyrl-RS"/>
        </w:rPr>
        <w:t>са</w:t>
      </w:r>
      <w:r w:rsidRPr="00EF2F18">
        <w:rPr>
          <w:rFonts w:cs="Times New Roman"/>
          <w:sz w:val="22"/>
          <w:lang w:val="sr-Cyrl-RS"/>
        </w:rPr>
        <w:t xml:space="preserve"> </w:t>
      </w:r>
      <w:r w:rsidR="00647E28" w:rsidRPr="00EF2F18">
        <w:rPr>
          <w:rFonts w:cs="Times New Roman"/>
          <w:sz w:val="22"/>
          <w:lang w:val="sr-Cyrl-RS"/>
        </w:rPr>
        <w:t>30,5</w:t>
      </w:r>
      <w:r w:rsidRPr="00EF2F18">
        <w:rPr>
          <w:rFonts w:cs="Times New Roman"/>
          <w:sz w:val="22"/>
          <w:lang w:val="sr-Cyrl-RS"/>
        </w:rPr>
        <w:t xml:space="preserve">%, </w:t>
      </w:r>
      <w:r w:rsidR="00647E28" w:rsidRPr="00EF2F18">
        <w:rPr>
          <w:rFonts w:cs="Times New Roman"/>
          <w:sz w:val="22"/>
          <w:lang w:val="sr-Cyrl-RS"/>
        </w:rPr>
        <w:t xml:space="preserve">затим </w:t>
      </w:r>
      <w:r w:rsidRPr="00EF2F18">
        <w:rPr>
          <w:rFonts w:cs="Times New Roman"/>
          <w:sz w:val="22"/>
          <w:lang w:val="sr-Cyrl-RS"/>
        </w:rPr>
        <w:t xml:space="preserve">производња крмног биља </w:t>
      </w:r>
      <w:r w:rsidR="00647E28" w:rsidRPr="00EF2F18">
        <w:rPr>
          <w:rFonts w:cs="Times New Roman"/>
          <w:sz w:val="22"/>
          <w:lang w:val="sr-Cyrl-RS"/>
        </w:rPr>
        <w:t>са 17</w:t>
      </w:r>
      <w:r w:rsidRPr="00EF2F18">
        <w:rPr>
          <w:rFonts w:cs="Times New Roman"/>
          <w:sz w:val="22"/>
          <w:lang w:val="sr-Cyrl-RS"/>
        </w:rPr>
        <w:t>%</w:t>
      </w:r>
      <w:r w:rsidR="00647E28" w:rsidRPr="00EF2F18">
        <w:rPr>
          <w:rFonts w:cs="Times New Roman"/>
          <w:sz w:val="22"/>
          <w:lang w:val="sr-Cyrl-RS"/>
        </w:rPr>
        <w:t xml:space="preserve"> и</w:t>
      </w:r>
      <w:r w:rsidRPr="00EF2F18">
        <w:rPr>
          <w:rFonts w:cs="Times New Roman"/>
          <w:sz w:val="22"/>
          <w:lang w:val="sr-Cyrl-RS"/>
        </w:rPr>
        <w:t xml:space="preserve"> индустријског биља </w:t>
      </w:r>
      <w:r w:rsidR="00647E28" w:rsidRPr="00EF2F18">
        <w:rPr>
          <w:rFonts w:cs="Times New Roman"/>
          <w:sz w:val="22"/>
          <w:lang w:val="sr-Cyrl-RS"/>
        </w:rPr>
        <w:t xml:space="preserve">са </w:t>
      </w:r>
      <w:r w:rsidRPr="00EF2F18">
        <w:rPr>
          <w:rFonts w:cs="Times New Roman"/>
          <w:sz w:val="22"/>
          <w:lang w:val="sr-Cyrl-RS"/>
        </w:rPr>
        <w:t>1</w:t>
      </w:r>
      <w:r w:rsidR="00647E28" w:rsidRPr="00EF2F18">
        <w:rPr>
          <w:rFonts w:cs="Times New Roman"/>
          <w:sz w:val="22"/>
          <w:lang w:val="sr-Cyrl-RS"/>
        </w:rPr>
        <w:t>3</w:t>
      </w:r>
      <w:r w:rsidRPr="00EF2F18">
        <w:rPr>
          <w:rFonts w:cs="Times New Roman"/>
          <w:sz w:val="22"/>
          <w:lang w:val="sr-Cyrl-RS"/>
        </w:rPr>
        <w:t>%. Производња лековитог и ароматичног биља је била заступљена са само 2%, поврћа са 1</w:t>
      </w:r>
      <w:r w:rsidR="00647E28" w:rsidRPr="00EF2F18">
        <w:rPr>
          <w:rFonts w:cs="Times New Roman"/>
          <w:sz w:val="22"/>
          <w:lang w:val="sr-Cyrl-RS"/>
        </w:rPr>
        <w:t>,5</w:t>
      </w:r>
      <w:r w:rsidRPr="00EF2F18">
        <w:rPr>
          <w:rFonts w:cs="Times New Roman"/>
          <w:sz w:val="22"/>
          <w:lang w:val="sr-Cyrl-RS"/>
        </w:rPr>
        <w:t xml:space="preserve">%, док су површине под категоријом остало, које обухватају површине без усева, изолационе појасеве, парлог и друге разне културе биле заступљене са </w:t>
      </w:r>
      <w:r w:rsidR="00647E28" w:rsidRPr="00EF2F18">
        <w:rPr>
          <w:rFonts w:cs="Times New Roman"/>
          <w:sz w:val="22"/>
          <w:lang w:val="sr-Cyrl-RS"/>
        </w:rPr>
        <w:t>2</w:t>
      </w:r>
      <w:r w:rsidRPr="00EF2F18">
        <w:rPr>
          <w:rFonts w:cs="Times New Roman"/>
          <w:sz w:val="22"/>
          <w:lang w:val="sr-Cyrl-RS"/>
        </w:rPr>
        <w:t>,</w:t>
      </w:r>
      <w:r w:rsidR="00647E28" w:rsidRPr="00EF2F18">
        <w:rPr>
          <w:rFonts w:cs="Times New Roman"/>
          <w:sz w:val="22"/>
          <w:lang w:val="sr-Cyrl-RS"/>
        </w:rPr>
        <w:t>6</w:t>
      </w:r>
      <w:r w:rsidRPr="00EF2F18">
        <w:rPr>
          <w:rFonts w:cs="Times New Roman"/>
          <w:sz w:val="22"/>
          <w:lang w:val="sr-Cyrl-RS"/>
        </w:rPr>
        <w:t>%.</w:t>
      </w:r>
      <w:r w:rsidR="00E93C33">
        <w:rPr>
          <w:rFonts w:cs="Times New Roman"/>
          <w:sz w:val="22"/>
          <w:lang w:val="sr-Cyrl-RS"/>
        </w:rPr>
        <w:t xml:space="preserve"> </w:t>
      </w:r>
      <w:r w:rsidR="00E93C33" w:rsidRPr="00EF2F18">
        <w:rPr>
          <w:rFonts w:cs="Times New Roman"/>
          <w:sz w:val="22"/>
          <w:lang w:val="sr-Cyrl-RS"/>
        </w:rPr>
        <w:t xml:space="preserve">Посебно </w:t>
      </w:r>
      <w:r w:rsidR="00647E28" w:rsidRPr="00EF2F18">
        <w:rPr>
          <w:rFonts w:cs="Times New Roman"/>
          <w:sz w:val="22"/>
          <w:lang w:val="sr-Cyrl-RS"/>
        </w:rPr>
        <w:t>се бележи раст површина под ливадама и пашњацима 37%, што је условљено повећањем броја грла у органској сточарској производњи.</w:t>
      </w:r>
      <w:r w:rsidRPr="00EF2F18">
        <w:rPr>
          <w:rFonts w:cs="Times New Roman"/>
          <w:sz w:val="22"/>
          <w:lang w:val="sr-Cyrl-RS"/>
        </w:rPr>
        <w:t xml:space="preserve"> </w:t>
      </w:r>
    </w:p>
    <w:p w14:paraId="53F2CEE8" w14:textId="61BE897E" w:rsidR="00827A94" w:rsidRPr="00EF2F18" w:rsidRDefault="00827A94" w:rsidP="00827A94">
      <w:pPr>
        <w:spacing w:after="0"/>
        <w:ind w:firstLine="720"/>
        <w:jc w:val="both"/>
        <w:rPr>
          <w:rFonts w:cs="Times New Roman"/>
          <w:sz w:val="22"/>
          <w:lang w:val="sr-Cyrl-RS"/>
        </w:rPr>
      </w:pPr>
      <w:r w:rsidRPr="00EF2F18">
        <w:rPr>
          <w:rFonts w:cs="Times New Roman"/>
          <w:sz w:val="22"/>
          <w:lang w:val="sr-Cyrl-RS" w:eastAsia="de-AT"/>
        </w:rPr>
        <w:t xml:space="preserve">Наведене површине не укључују оне које се користе за сакупљање органског шумског воћа, гљива и лековитог биља, с обзиром да не постоји званична методологија на основу које се могу добити подаци о укупној површини органског самониклог биља </w:t>
      </w:r>
      <w:r w:rsidR="009A48FA" w:rsidRPr="00EF2F18">
        <w:rPr>
          <w:rFonts w:cs="Times New Roman"/>
          <w:sz w:val="22"/>
          <w:lang w:val="sr-Cyrl-RS" w:eastAsia="de-AT"/>
        </w:rPr>
        <w:t xml:space="preserve">из </w:t>
      </w:r>
      <w:r w:rsidRPr="00EF2F18">
        <w:rPr>
          <w:rFonts w:cs="Times New Roman"/>
          <w:sz w:val="22"/>
          <w:lang w:val="sr-Cyrl-RS" w:eastAsia="de-AT"/>
        </w:rPr>
        <w:t xml:space="preserve">природних станишта. </w:t>
      </w:r>
      <w:r w:rsidRPr="00EF2F18">
        <w:rPr>
          <w:rFonts w:cs="Times New Roman"/>
          <w:sz w:val="22"/>
          <w:lang w:val="sr-Cyrl-RS"/>
        </w:rPr>
        <w:t xml:space="preserve">Регионални размештај површина под органском производњом указује на подједнаку заступљеност површина на подручју </w:t>
      </w:r>
      <w:r w:rsidR="009A48FA" w:rsidRPr="00EF2F18">
        <w:rPr>
          <w:rFonts w:cs="Times New Roman"/>
          <w:sz w:val="22"/>
          <w:lang w:val="sr-Cyrl-RS"/>
        </w:rPr>
        <w:t xml:space="preserve">Шумадије и Западне Србије (37,2%), </w:t>
      </w:r>
      <w:r w:rsidRPr="00EF2F18">
        <w:rPr>
          <w:rFonts w:cs="Times New Roman"/>
          <w:sz w:val="22"/>
          <w:lang w:val="sr-Cyrl-RS"/>
        </w:rPr>
        <w:t>Војводине (</w:t>
      </w:r>
      <w:r w:rsidR="009A48FA" w:rsidRPr="00EF2F18">
        <w:rPr>
          <w:rFonts w:cs="Times New Roman"/>
          <w:sz w:val="22"/>
          <w:lang w:val="sr-Cyrl-RS"/>
        </w:rPr>
        <w:t>31</w:t>
      </w:r>
      <w:r w:rsidRPr="00EF2F18">
        <w:rPr>
          <w:rFonts w:cs="Times New Roman"/>
          <w:sz w:val="22"/>
          <w:lang w:val="sr-Cyrl-RS"/>
        </w:rPr>
        <w:t xml:space="preserve">,8%) и </w:t>
      </w:r>
      <w:r w:rsidR="00BF78D1" w:rsidRPr="00EF2F18">
        <w:rPr>
          <w:rFonts w:cs="Times New Roman"/>
          <w:sz w:val="22"/>
          <w:lang w:val="sr-Cyrl-RS"/>
        </w:rPr>
        <w:t>Ј</w:t>
      </w:r>
      <w:r w:rsidRPr="00EF2F18">
        <w:rPr>
          <w:rFonts w:cs="Times New Roman"/>
          <w:sz w:val="22"/>
          <w:lang w:val="sr-Cyrl-RS"/>
        </w:rPr>
        <w:t xml:space="preserve">ужне и </w:t>
      </w:r>
      <w:r w:rsidR="00BF78D1" w:rsidRPr="00EF2F18">
        <w:rPr>
          <w:rFonts w:cs="Times New Roman"/>
          <w:sz w:val="22"/>
          <w:lang w:val="sr-Cyrl-RS"/>
        </w:rPr>
        <w:t>И</w:t>
      </w:r>
      <w:r w:rsidRPr="00EF2F18">
        <w:rPr>
          <w:rFonts w:cs="Times New Roman"/>
          <w:sz w:val="22"/>
          <w:lang w:val="sr-Cyrl-RS"/>
        </w:rPr>
        <w:t>сточне Србије (</w:t>
      </w:r>
      <w:r w:rsidR="009A48FA" w:rsidRPr="00EF2F18">
        <w:rPr>
          <w:rFonts w:cs="Times New Roman"/>
          <w:sz w:val="22"/>
          <w:lang w:val="sr-Cyrl-RS"/>
        </w:rPr>
        <w:t>30</w:t>
      </w:r>
      <w:r w:rsidRPr="00EF2F18">
        <w:rPr>
          <w:rFonts w:cs="Times New Roman"/>
          <w:sz w:val="22"/>
          <w:lang w:val="sr-Cyrl-RS"/>
        </w:rPr>
        <w:t xml:space="preserve">,7%), иза чега следи регион </w:t>
      </w:r>
      <w:r w:rsidR="00BF78D1" w:rsidRPr="00EF2F18">
        <w:rPr>
          <w:rFonts w:cs="Times New Roman"/>
          <w:sz w:val="22"/>
          <w:lang w:val="sr-Cyrl-RS"/>
        </w:rPr>
        <w:t>р</w:t>
      </w:r>
      <w:r w:rsidRPr="00EF2F18">
        <w:rPr>
          <w:rFonts w:cs="Times New Roman"/>
          <w:sz w:val="22"/>
          <w:lang w:val="sr-Cyrl-RS"/>
        </w:rPr>
        <w:t>егион Београда (0,</w:t>
      </w:r>
      <w:r w:rsidR="009A48FA" w:rsidRPr="00EF2F18">
        <w:rPr>
          <w:rFonts w:cs="Times New Roman"/>
          <w:sz w:val="22"/>
          <w:lang w:val="sr-Cyrl-RS"/>
        </w:rPr>
        <w:t>35</w:t>
      </w:r>
      <w:r w:rsidRPr="00EF2F18">
        <w:rPr>
          <w:rFonts w:cs="Times New Roman"/>
          <w:sz w:val="22"/>
          <w:lang w:val="sr-Cyrl-RS"/>
        </w:rPr>
        <w:t xml:space="preserve">%). Удео површине под органском производњом у односу коришћено пољопривредно земљиште у </w:t>
      </w:r>
      <w:r w:rsidR="009A48FA" w:rsidRPr="00EF2F18">
        <w:rPr>
          <w:rFonts w:cs="Times New Roman"/>
          <w:sz w:val="22"/>
          <w:lang w:val="sr-Cyrl-RS"/>
        </w:rPr>
        <w:t>2023</w:t>
      </w:r>
      <w:r w:rsidRPr="00EF2F18">
        <w:rPr>
          <w:rFonts w:cs="Times New Roman"/>
          <w:sz w:val="22"/>
          <w:lang w:val="sr-Cyrl-RS"/>
        </w:rPr>
        <w:t>. години износи 0,</w:t>
      </w:r>
      <w:r w:rsidR="009A48FA" w:rsidRPr="00EF2F18">
        <w:rPr>
          <w:rFonts w:cs="Times New Roman"/>
          <w:sz w:val="22"/>
          <w:lang w:val="sr-Cyrl-RS"/>
        </w:rPr>
        <w:t>85</w:t>
      </w:r>
      <w:r w:rsidRPr="00EF2F18">
        <w:rPr>
          <w:rFonts w:cs="Times New Roman"/>
          <w:sz w:val="22"/>
          <w:lang w:val="sr-Cyrl-RS"/>
        </w:rPr>
        <w:t>%.</w:t>
      </w:r>
    </w:p>
    <w:p w14:paraId="60632F75" w14:textId="77777777" w:rsidR="00383194" w:rsidRPr="00EF2F18" w:rsidRDefault="00383194" w:rsidP="00827A94">
      <w:pPr>
        <w:spacing w:after="0"/>
        <w:ind w:firstLine="720"/>
        <w:jc w:val="both"/>
        <w:rPr>
          <w:rFonts w:cs="Times New Roman"/>
          <w:sz w:val="22"/>
          <w:lang w:val="sr-Cyrl-RS"/>
        </w:rPr>
      </w:pPr>
    </w:p>
    <w:p w14:paraId="5B0D16B7" w14:textId="4FC5B981" w:rsidR="00A634C6" w:rsidRPr="00EF2F18" w:rsidRDefault="00647E28" w:rsidP="00A634C6">
      <w:pPr>
        <w:spacing w:after="0"/>
        <w:jc w:val="both"/>
        <w:rPr>
          <w:rFonts w:cs="Times New Roman"/>
          <w:sz w:val="22"/>
          <w:lang w:val="sr-Cyrl-RS"/>
        </w:rPr>
      </w:pPr>
      <w:r w:rsidRPr="00EF2F18">
        <w:rPr>
          <w:rFonts w:cs="Times New Roman"/>
          <w:b/>
          <w:bCs/>
          <w:sz w:val="22"/>
          <w:lang w:val="sr-Cyrl-RS"/>
        </w:rPr>
        <w:t xml:space="preserve">Табела </w:t>
      </w:r>
      <w:r w:rsidR="00C0735C" w:rsidRPr="00EF2F18">
        <w:rPr>
          <w:rFonts w:cs="Times New Roman"/>
          <w:b/>
          <w:bCs/>
          <w:sz w:val="22"/>
          <w:lang w:val="sr-Cyrl-RS"/>
        </w:rPr>
        <w:t>3</w:t>
      </w:r>
      <w:r w:rsidR="007E2A58" w:rsidRPr="00EF2F18">
        <w:rPr>
          <w:rFonts w:cs="Times New Roman"/>
          <w:b/>
          <w:bCs/>
          <w:sz w:val="22"/>
          <w:lang w:val="sr-Cyrl-RS"/>
        </w:rPr>
        <w:t>.</w:t>
      </w:r>
      <w:r w:rsidR="006C1A98" w:rsidRPr="00EF2F18">
        <w:rPr>
          <w:rFonts w:cs="Times New Roman"/>
          <w:b/>
          <w:bCs/>
          <w:sz w:val="22"/>
          <w:lang w:val="sr-Cyrl-RS"/>
        </w:rPr>
        <w:t>5</w:t>
      </w:r>
      <w:r w:rsidR="007E2A58" w:rsidRPr="00EF2F18">
        <w:rPr>
          <w:rFonts w:cs="Times New Roman"/>
          <w:b/>
          <w:bCs/>
          <w:sz w:val="22"/>
          <w:lang w:val="sr-Cyrl-RS"/>
        </w:rPr>
        <w:t>.</w:t>
      </w:r>
      <w:r w:rsidR="00A634C6" w:rsidRPr="00EF2F18">
        <w:rPr>
          <w:rFonts w:cs="Times New Roman"/>
          <w:sz w:val="22"/>
          <w:lang w:val="sr-Cyrl-RS"/>
        </w:rPr>
        <w:t xml:space="preserve"> Органска биљна производња по врсти производње (</w:t>
      </w:r>
      <w:r w:rsidR="009A48FA" w:rsidRPr="00EF2F18">
        <w:rPr>
          <w:rFonts w:cs="Times New Roman"/>
          <w:sz w:val="22"/>
          <w:lang w:val="sr-Cyrl-RS"/>
        </w:rPr>
        <w:t>2014</w:t>
      </w:r>
      <w:r w:rsidR="00A634C6" w:rsidRPr="00EF2F18">
        <w:rPr>
          <w:rFonts w:cs="Times New Roman"/>
          <w:sz w:val="22"/>
          <w:lang w:val="sr-Cyrl-RS"/>
        </w:rPr>
        <w:t>-</w:t>
      </w:r>
      <w:r w:rsidR="009A48FA" w:rsidRPr="00EF2F18">
        <w:rPr>
          <w:rFonts w:cs="Times New Roman"/>
          <w:sz w:val="22"/>
          <w:lang w:val="sr-Cyrl-RS"/>
        </w:rPr>
        <w:t>2023</w:t>
      </w:r>
      <w:r w:rsidR="00A634C6" w:rsidRPr="00EF2F18">
        <w:rPr>
          <w:rFonts w:cs="Times New Roman"/>
          <w:sz w:val="22"/>
          <w:lang w:val="sr-Cyrl-RS"/>
        </w:rPr>
        <w:t>. године)</w:t>
      </w:r>
    </w:p>
    <w:tbl>
      <w:tblPr>
        <w:tblStyle w:val="TableGrid"/>
        <w:tblW w:w="0" w:type="auto"/>
        <w:tblLook w:val="04A0" w:firstRow="1" w:lastRow="0" w:firstColumn="1" w:lastColumn="0" w:noHBand="0" w:noVBand="1"/>
      </w:tblPr>
      <w:tblGrid>
        <w:gridCol w:w="1676"/>
        <w:gridCol w:w="734"/>
        <w:gridCol w:w="734"/>
        <w:gridCol w:w="734"/>
        <w:gridCol w:w="734"/>
        <w:gridCol w:w="734"/>
        <w:gridCol w:w="734"/>
        <w:gridCol w:w="734"/>
        <w:gridCol w:w="734"/>
        <w:gridCol w:w="734"/>
        <w:gridCol w:w="735"/>
      </w:tblGrid>
      <w:tr w:rsidR="00307989" w:rsidRPr="00EF2F18" w14:paraId="19E65939" w14:textId="77777777" w:rsidTr="006C1A98">
        <w:tc>
          <w:tcPr>
            <w:tcW w:w="1676" w:type="dxa"/>
            <w:shd w:val="clear" w:color="auto" w:fill="FFFFCC"/>
          </w:tcPr>
          <w:p w14:paraId="3EEF94EA" w14:textId="10B6412B"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Врста производње (ha)</w:t>
            </w:r>
          </w:p>
        </w:tc>
        <w:tc>
          <w:tcPr>
            <w:tcW w:w="734" w:type="dxa"/>
            <w:shd w:val="clear" w:color="auto" w:fill="FFFFCC"/>
          </w:tcPr>
          <w:p w14:paraId="0830B3A5"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2014.</w:t>
            </w:r>
          </w:p>
        </w:tc>
        <w:tc>
          <w:tcPr>
            <w:tcW w:w="734" w:type="dxa"/>
            <w:shd w:val="clear" w:color="auto" w:fill="FFFFCC"/>
          </w:tcPr>
          <w:p w14:paraId="4F68843A"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2015.</w:t>
            </w:r>
          </w:p>
        </w:tc>
        <w:tc>
          <w:tcPr>
            <w:tcW w:w="734" w:type="dxa"/>
            <w:shd w:val="clear" w:color="auto" w:fill="FFFFCC"/>
          </w:tcPr>
          <w:p w14:paraId="77A58341"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2016.</w:t>
            </w:r>
          </w:p>
        </w:tc>
        <w:tc>
          <w:tcPr>
            <w:tcW w:w="734" w:type="dxa"/>
            <w:shd w:val="clear" w:color="auto" w:fill="FFFFCC"/>
          </w:tcPr>
          <w:p w14:paraId="23A93AD1"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2017.</w:t>
            </w:r>
          </w:p>
        </w:tc>
        <w:tc>
          <w:tcPr>
            <w:tcW w:w="734" w:type="dxa"/>
            <w:shd w:val="clear" w:color="auto" w:fill="FFFFCC"/>
          </w:tcPr>
          <w:p w14:paraId="2E42347A"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2018.</w:t>
            </w:r>
          </w:p>
        </w:tc>
        <w:tc>
          <w:tcPr>
            <w:tcW w:w="734" w:type="dxa"/>
            <w:shd w:val="clear" w:color="auto" w:fill="FFFFCC"/>
          </w:tcPr>
          <w:p w14:paraId="3CE3E9E9"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2019.</w:t>
            </w:r>
          </w:p>
        </w:tc>
        <w:tc>
          <w:tcPr>
            <w:tcW w:w="734" w:type="dxa"/>
            <w:shd w:val="clear" w:color="auto" w:fill="FFFFCC"/>
          </w:tcPr>
          <w:p w14:paraId="0E917553"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2020.</w:t>
            </w:r>
          </w:p>
        </w:tc>
        <w:tc>
          <w:tcPr>
            <w:tcW w:w="734" w:type="dxa"/>
            <w:shd w:val="clear" w:color="auto" w:fill="FFFFCC"/>
          </w:tcPr>
          <w:p w14:paraId="7D4EB748"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2021.</w:t>
            </w:r>
          </w:p>
        </w:tc>
        <w:tc>
          <w:tcPr>
            <w:tcW w:w="734" w:type="dxa"/>
            <w:shd w:val="clear" w:color="auto" w:fill="FFFFCC"/>
          </w:tcPr>
          <w:p w14:paraId="4FDA45F5"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2022.</w:t>
            </w:r>
          </w:p>
        </w:tc>
        <w:tc>
          <w:tcPr>
            <w:tcW w:w="735" w:type="dxa"/>
            <w:shd w:val="clear" w:color="auto" w:fill="FFFFCC"/>
          </w:tcPr>
          <w:p w14:paraId="03BAAB23" w14:textId="77777777" w:rsidR="009A48FA" w:rsidRPr="00EF2F18" w:rsidRDefault="009A48FA" w:rsidP="004C6E25">
            <w:pPr>
              <w:spacing w:before="60" w:after="60"/>
              <w:jc w:val="center"/>
              <w:rPr>
                <w:rFonts w:cs="Times New Roman"/>
                <w:b/>
                <w:bCs/>
                <w:sz w:val="18"/>
                <w:szCs w:val="18"/>
                <w:lang w:val="sr-Cyrl-RS"/>
              </w:rPr>
            </w:pPr>
            <w:r w:rsidRPr="00EF2F18">
              <w:rPr>
                <w:rFonts w:cs="Times New Roman"/>
                <w:b/>
                <w:bCs/>
                <w:sz w:val="18"/>
                <w:szCs w:val="18"/>
                <w:lang w:val="sr-Cyrl-RS"/>
              </w:rPr>
              <w:t>2023.</w:t>
            </w:r>
          </w:p>
        </w:tc>
      </w:tr>
      <w:tr w:rsidR="009A48FA" w:rsidRPr="00EF2F18" w14:paraId="1915844F" w14:textId="77777777" w:rsidTr="00752CA0">
        <w:tc>
          <w:tcPr>
            <w:tcW w:w="1676" w:type="dxa"/>
          </w:tcPr>
          <w:p w14:paraId="7D13F725" w14:textId="57E7685B"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Житарице</w:t>
            </w:r>
          </w:p>
        </w:tc>
        <w:tc>
          <w:tcPr>
            <w:tcW w:w="734" w:type="dxa"/>
          </w:tcPr>
          <w:p w14:paraId="01FD430D" w14:textId="166EB563"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2.829</w:t>
            </w:r>
          </w:p>
        </w:tc>
        <w:tc>
          <w:tcPr>
            <w:tcW w:w="734" w:type="dxa"/>
          </w:tcPr>
          <w:p w14:paraId="6C01FFE5" w14:textId="5F2930BF"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4.252</w:t>
            </w:r>
          </w:p>
        </w:tc>
        <w:tc>
          <w:tcPr>
            <w:tcW w:w="734" w:type="dxa"/>
          </w:tcPr>
          <w:p w14:paraId="23C2DA8C" w14:textId="30216752"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4.607</w:t>
            </w:r>
          </w:p>
        </w:tc>
        <w:tc>
          <w:tcPr>
            <w:tcW w:w="734" w:type="dxa"/>
          </w:tcPr>
          <w:p w14:paraId="0546FC10" w14:textId="60D93F38"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3.662</w:t>
            </w:r>
          </w:p>
        </w:tc>
        <w:tc>
          <w:tcPr>
            <w:tcW w:w="734" w:type="dxa"/>
          </w:tcPr>
          <w:p w14:paraId="0F40A511" w14:textId="5E909C22"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3.614</w:t>
            </w:r>
          </w:p>
        </w:tc>
        <w:tc>
          <w:tcPr>
            <w:tcW w:w="734" w:type="dxa"/>
          </w:tcPr>
          <w:p w14:paraId="3E0939F1" w14:textId="4C93C942"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4.788</w:t>
            </w:r>
          </w:p>
        </w:tc>
        <w:tc>
          <w:tcPr>
            <w:tcW w:w="734" w:type="dxa"/>
          </w:tcPr>
          <w:p w14:paraId="0300B84F" w14:textId="772EC14B"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3.623</w:t>
            </w:r>
          </w:p>
        </w:tc>
        <w:tc>
          <w:tcPr>
            <w:tcW w:w="734" w:type="dxa"/>
          </w:tcPr>
          <w:p w14:paraId="4DAB5570" w14:textId="349AF166"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4.459</w:t>
            </w:r>
          </w:p>
        </w:tc>
        <w:tc>
          <w:tcPr>
            <w:tcW w:w="734" w:type="dxa"/>
          </w:tcPr>
          <w:p w14:paraId="40F98002" w14:textId="1E961A26"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3.838</w:t>
            </w:r>
          </w:p>
        </w:tc>
        <w:tc>
          <w:tcPr>
            <w:tcW w:w="735" w:type="dxa"/>
          </w:tcPr>
          <w:p w14:paraId="3EB0A0CC" w14:textId="1CD71A5F"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5.372</w:t>
            </w:r>
          </w:p>
        </w:tc>
      </w:tr>
      <w:tr w:rsidR="009A48FA" w:rsidRPr="00EF2F18" w14:paraId="773EB7AB" w14:textId="77777777" w:rsidTr="00752CA0">
        <w:tc>
          <w:tcPr>
            <w:tcW w:w="1676" w:type="dxa"/>
          </w:tcPr>
          <w:p w14:paraId="13179F66" w14:textId="625A4446"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Индустријско биље</w:t>
            </w:r>
          </w:p>
        </w:tc>
        <w:tc>
          <w:tcPr>
            <w:tcW w:w="734" w:type="dxa"/>
          </w:tcPr>
          <w:p w14:paraId="0C4AD351" w14:textId="0BF69BEE"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1.228</w:t>
            </w:r>
          </w:p>
        </w:tc>
        <w:tc>
          <w:tcPr>
            <w:tcW w:w="734" w:type="dxa"/>
          </w:tcPr>
          <w:p w14:paraId="2D9973F0" w14:textId="153307C7"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2.674</w:t>
            </w:r>
          </w:p>
        </w:tc>
        <w:tc>
          <w:tcPr>
            <w:tcW w:w="734" w:type="dxa"/>
          </w:tcPr>
          <w:p w14:paraId="730189CA" w14:textId="13869BD8"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2.918</w:t>
            </w:r>
          </w:p>
        </w:tc>
        <w:tc>
          <w:tcPr>
            <w:tcW w:w="734" w:type="dxa"/>
          </w:tcPr>
          <w:p w14:paraId="1D0FEECA" w14:textId="1A84AC51"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2.291</w:t>
            </w:r>
          </w:p>
        </w:tc>
        <w:tc>
          <w:tcPr>
            <w:tcW w:w="734" w:type="dxa"/>
          </w:tcPr>
          <w:p w14:paraId="07487E26" w14:textId="4AE77DDF"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1.962</w:t>
            </w:r>
          </w:p>
        </w:tc>
        <w:tc>
          <w:tcPr>
            <w:tcW w:w="734" w:type="dxa"/>
          </w:tcPr>
          <w:p w14:paraId="031C2537" w14:textId="79CCD1AB"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2.226</w:t>
            </w:r>
          </w:p>
        </w:tc>
        <w:tc>
          <w:tcPr>
            <w:tcW w:w="734" w:type="dxa"/>
          </w:tcPr>
          <w:p w14:paraId="69CC654D" w14:textId="7E0A1A68"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1.294</w:t>
            </w:r>
          </w:p>
        </w:tc>
        <w:tc>
          <w:tcPr>
            <w:tcW w:w="734" w:type="dxa"/>
          </w:tcPr>
          <w:p w14:paraId="61572F43" w14:textId="15D1BFC1"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2.122</w:t>
            </w:r>
          </w:p>
        </w:tc>
        <w:tc>
          <w:tcPr>
            <w:tcW w:w="734" w:type="dxa"/>
          </w:tcPr>
          <w:p w14:paraId="68BD0A95" w14:textId="570A1790"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2.076</w:t>
            </w:r>
          </w:p>
        </w:tc>
        <w:tc>
          <w:tcPr>
            <w:tcW w:w="735" w:type="dxa"/>
          </w:tcPr>
          <w:p w14:paraId="374BEFE3" w14:textId="29DE4B2C"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2.286</w:t>
            </w:r>
          </w:p>
        </w:tc>
      </w:tr>
      <w:tr w:rsidR="009A48FA" w:rsidRPr="00EF2F18" w14:paraId="7327B981" w14:textId="77777777" w:rsidTr="00752CA0">
        <w:tc>
          <w:tcPr>
            <w:tcW w:w="1676" w:type="dxa"/>
          </w:tcPr>
          <w:p w14:paraId="2C0CE95C" w14:textId="0ADE9C4C"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Поврће</w:t>
            </w:r>
          </w:p>
        </w:tc>
        <w:tc>
          <w:tcPr>
            <w:tcW w:w="734" w:type="dxa"/>
          </w:tcPr>
          <w:p w14:paraId="06612A12" w14:textId="101485A9"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154</w:t>
            </w:r>
          </w:p>
        </w:tc>
        <w:tc>
          <w:tcPr>
            <w:tcW w:w="734" w:type="dxa"/>
          </w:tcPr>
          <w:p w14:paraId="58979821" w14:textId="584F9414"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171</w:t>
            </w:r>
          </w:p>
        </w:tc>
        <w:tc>
          <w:tcPr>
            <w:tcW w:w="734" w:type="dxa"/>
          </w:tcPr>
          <w:p w14:paraId="4AB40E8B" w14:textId="2400693E"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184</w:t>
            </w:r>
          </w:p>
        </w:tc>
        <w:tc>
          <w:tcPr>
            <w:tcW w:w="734" w:type="dxa"/>
          </w:tcPr>
          <w:p w14:paraId="789EBB31" w14:textId="5BD36732"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230</w:t>
            </w:r>
          </w:p>
        </w:tc>
        <w:tc>
          <w:tcPr>
            <w:tcW w:w="734" w:type="dxa"/>
          </w:tcPr>
          <w:p w14:paraId="7C8038B0" w14:textId="7EC26BC6"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199</w:t>
            </w:r>
          </w:p>
        </w:tc>
        <w:tc>
          <w:tcPr>
            <w:tcW w:w="734" w:type="dxa"/>
          </w:tcPr>
          <w:p w14:paraId="5E0BBBBC" w14:textId="27FD3B93"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184</w:t>
            </w:r>
          </w:p>
        </w:tc>
        <w:tc>
          <w:tcPr>
            <w:tcW w:w="734" w:type="dxa"/>
          </w:tcPr>
          <w:p w14:paraId="032E089F" w14:textId="5FCB36E6"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122</w:t>
            </w:r>
          </w:p>
        </w:tc>
        <w:tc>
          <w:tcPr>
            <w:tcW w:w="734" w:type="dxa"/>
          </w:tcPr>
          <w:p w14:paraId="180D6FC4" w14:textId="3FC5C97B"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170</w:t>
            </w:r>
          </w:p>
        </w:tc>
        <w:tc>
          <w:tcPr>
            <w:tcW w:w="734" w:type="dxa"/>
          </w:tcPr>
          <w:p w14:paraId="568567EE" w14:textId="36E28E94"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286</w:t>
            </w:r>
          </w:p>
        </w:tc>
        <w:tc>
          <w:tcPr>
            <w:tcW w:w="735" w:type="dxa"/>
          </w:tcPr>
          <w:p w14:paraId="56F0E901" w14:textId="19788331"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224</w:t>
            </w:r>
          </w:p>
        </w:tc>
      </w:tr>
      <w:tr w:rsidR="009A48FA" w:rsidRPr="00EF2F18" w14:paraId="13B5E07F" w14:textId="77777777" w:rsidTr="00752CA0">
        <w:tc>
          <w:tcPr>
            <w:tcW w:w="1676" w:type="dxa"/>
          </w:tcPr>
          <w:p w14:paraId="1E9F8563" w14:textId="27B98911"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Крмно биље</w:t>
            </w:r>
          </w:p>
        </w:tc>
        <w:tc>
          <w:tcPr>
            <w:tcW w:w="734" w:type="dxa"/>
          </w:tcPr>
          <w:p w14:paraId="68CCEBBF" w14:textId="6C3E48D3"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1.204</w:t>
            </w:r>
          </w:p>
        </w:tc>
        <w:tc>
          <w:tcPr>
            <w:tcW w:w="734" w:type="dxa"/>
          </w:tcPr>
          <w:p w14:paraId="187CF4DA" w14:textId="47386628"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1.440</w:t>
            </w:r>
          </w:p>
        </w:tc>
        <w:tc>
          <w:tcPr>
            <w:tcW w:w="734" w:type="dxa"/>
          </w:tcPr>
          <w:p w14:paraId="0CCA0958" w14:textId="0C166486"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1.349</w:t>
            </w:r>
          </w:p>
        </w:tc>
        <w:tc>
          <w:tcPr>
            <w:tcW w:w="734" w:type="dxa"/>
          </w:tcPr>
          <w:p w14:paraId="3DD526A6" w14:textId="7F6F9EE8"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1.211</w:t>
            </w:r>
          </w:p>
        </w:tc>
        <w:tc>
          <w:tcPr>
            <w:tcW w:w="734" w:type="dxa"/>
          </w:tcPr>
          <w:p w14:paraId="35387231" w14:textId="157A8DFC"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1.336</w:t>
            </w:r>
          </w:p>
        </w:tc>
        <w:tc>
          <w:tcPr>
            <w:tcW w:w="734" w:type="dxa"/>
          </w:tcPr>
          <w:p w14:paraId="51818B01" w14:textId="34EBF72B"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1.797</w:t>
            </w:r>
          </w:p>
        </w:tc>
        <w:tc>
          <w:tcPr>
            <w:tcW w:w="734" w:type="dxa"/>
          </w:tcPr>
          <w:p w14:paraId="71BE90F5" w14:textId="5CA89E4E"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3.873</w:t>
            </w:r>
          </w:p>
        </w:tc>
        <w:tc>
          <w:tcPr>
            <w:tcW w:w="734" w:type="dxa"/>
          </w:tcPr>
          <w:p w14:paraId="36CC00EA" w14:textId="59D5EB37"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3.054</w:t>
            </w:r>
          </w:p>
        </w:tc>
        <w:tc>
          <w:tcPr>
            <w:tcW w:w="734" w:type="dxa"/>
          </w:tcPr>
          <w:p w14:paraId="4B4BD8DD" w14:textId="08C392C0"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2.262</w:t>
            </w:r>
          </w:p>
        </w:tc>
        <w:tc>
          <w:tcPr>
            <w:tcW w:w="735" w:type="dxa"/>
          </w:tcPr>
          <w:p w14:paraId="37CB778B" w14:textId="18F40707"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3.007</w:t>
            </w:r>
          </w:p>
        </w:tc>
      </w:tr>
      <w:tr w:rsidR="009A48FA" w:rsidRPr="00EF2F18" w14:paraId="7C4D0A2B" w14:textId="77777777" w:rsidTr="00752CA0">
        <w:tc>
          <w:tcPr>
            <w:tcW w:w="1676" w:type="dxa"/>
          </w:tcPr>
          <w:p w14:paraId="7C72F96E" w14:textId="11BD7089"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Воће</w:t>
            </w:r>
          </w:p>
        </w:tc>
        <w:tc>
          <w:tcPr>
            <w:tcW w:w="734" w:type="dxa"/>
          </w:tcPr>
          <w:p w14:paraId="61D7E6E5" w14:textId="1E03FE8E"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2.208</w:t>
            </w:r>
          </w:p>
        </w:tc>
        <w:tc>
          <w:tcPr>
            <w:tcW w:w="734" w:type="dxa"/>
          </w:tcPr>
          <w:p w14:paraId="32C1DBCC" w14:textId="5C3F3851"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2.895</w:t>
            </w:r>
          </w:p>
        </w:tc>
        <w:tc>
          <w:tcPr>
            <w:tcW w:w="734" w:type="dxa"/>
          </w:tcPr>
          <w:p w14:paraId="5219FD92" w14:textId="38DF7079"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3.531</w:t>
            </w:r>
          </w:p>
        </w:tc>
        <w:tc>
          <w:tcPr>
            <w:tcW w:w="734" w:type="dxa"/>
          </w:tcPr>
          <w:p w14:paraId="4A21A96C" w14:textId="7EE19891"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4.056</w:t>
            </w:r>
          </w:p>
        </w:tc>
        <w:tc>
          <w:tcPr>
            <w:tcW w:w="734" w:type="dxa"/>
          </w:tcPr>
          <w:p w14:paraId="086D76D8" w14:textId="5542AB86"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5.883</w:t>
            </w:r>
          </w:p>
        </w:tc>
        <w:tc>
          <w:tcPr>
            <w:tcW w:w="734" w:type="dxa"/>
          </w:tcPr>
          <w:p w14:paraId="6A74F171" w14:textId="75EA6A95"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5.324</w:t>
            </w:r>
          </w:p>
        </w:tc>
        <w:tc>
          <w:tcPr>
            <w:tcW w:w="734" w:type="dxa"/>
          </w:tcPr>
          <w:p w14:paraId="235F6600" w14:textId="2F8D253E"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5.295</w:t>
            </w:r>
          </w:p>
        </w:tc>
        <w:tc>
          <w:tcPr>
            <w:tcW w:w="734" w:type="dxa"/>
          </w:tcPr>
          <w:p w14:paraId="1DD8E1B3" w14:textId="4B355152"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5.615</w:t>
            </w:r>
          </w:p>
        </w:tc>
        <w:tc>
          <w:tcPr>
            <w:tcW w:w="734" w:type="dxa"/>
          </w:tcPr>
          <w:p w14:paraId="24573F62" w14:textId="74050084"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5.703</w:t>
            </w:r>
          </w:p>
        </w:tc>
        <w:tc>
          <w:tcPr>
            <w:tcW w:w="735" w:type="dxa"/>
          </w:tcPr>
          <w:p w14:paraId="422764A6" w14:textId="4D70FE54" w:rsidR="009A48FA" w:rsidRPr="00EF2F18" w:rsidRDefault="004C6E25" w:rsidP="004C6E25">
            <w:pPr>
              <w:spacing w:before="60" w:after="60"/>
              <w:jc w:val="center"/>
              <w:rPr>
                <w:rFonts w:cs="Times New Roman"/>
                <w:sz w:val="18"/>
                <w:szCs w:val="18"/>
                <w:lang w:val="sr-Cyrl-RS"/>
              </w:rPr>
            </w:pPr>
            <w:r w:rsidRPr="00EF2F18">
              <w:rPr>
                <w:rFonts w:cs="Times New Roman"/>
                <w:sz w:val="18"/>
                <w:szCs w:val="18"/>
                <w:lang w:val="sr-Cyrl-RS"/>
              </w:rPr>
              <w:t>5.894</w:t>
            </w:r>
          </w:p>
        </w:tc>
      </w:tr>
      <w:tr w:rsidR="009A48FA" w:rsidRPr="00EF2F18" w14:paraId="35D60D72" w14:textId="77777777" w:rsidTr="00752CA0">
        <w:tc>
          <w:tcPr>
            <w:tcW w:w="1676" w:type="dxa"/>
          </w:tcPr>
          <w:p w14:paraId="5860F5BE" w14:textId="1E30E960"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Лековито и ароматично биље</w:t>
            </w:r>
          </w:p>
        </w:tc>
        <w:tc>
          <w:tcPr>
            <w:tcW w:w="734" w:type="dxa"/>
          </w:tcPr>
          <w:p w14:paraId="1AC05FA1" w14:textId="1E3129C8"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61</w:t>
            </w:r>
          </w:p>
        </w:tc>
        <w:tc>
          <w:tcPr>
            <w:tcW w:w="734" w:type="dxa"/>
          </w:tcPr>
          <w:p w14:paraId="612162A7" w14:textId="5D4DB445"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71</w:t>
            </w:r>
          </w:p>
        </w:tc>
        <w:tc>
          <w:tcPr>
            <w:tcW w:w="734" w:type="dxa"/>
          </w:tcPr>
          <w:p w14:paraId="58D27F3A" w14:textId="0CD3921B"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113</w:t>
            </w:r>
          </w:p>
        </w:tc>
        <w:tc>
          <w:tcPr>
            <w:tcW w:w="734" w:type="dxa"/>
          </w:tcPr>
          <w:p w14:paraId="1E67B6C1" w14:textId="648045B3"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115</w:t>
            </w:r>
          </w:p>
        </w:tc>
        <w:tc>
          <w:tcPr>
            <w:tcW w:w="734" w:type="dxa"/>
          </w:tcPr>
          <w:p w14:paraId="0BDAC60F" w14:textId="1B1187E9"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193</w:t>
            </w:r>
          </w:p>
        </w:tc>
        <w:tc>
          <w:tcPr>
            <w:tcW w:w="734" w:type="dxa"/>
          </w:tcPr>
          <w:p w14:paraId="62ECECE9" w14:textId="399A5420"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261</w:t>
            </w:r>
          </w:p>
        </w:tc>
        <w:tc>
          <w:tcPr>
            <w:tcW w:w="734" w:type="dxa"/>
          </w:tcPr>
          <w:p w14:paraId="3649A114" w14:textId="0F410EC4"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391</w:t>
            </w:r>
          </w:p>
        </w:tc>
        <w:tc>
          <w:tcPr>
            <w:tcW w:w="734" w:type="dxa"/>
          </w:tcPr>
          <w:p w14:paraId="41B54E76" w14:textId="18CE3CC0"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367</w:t>
            </w:r>
          </w:p>
        </w:tc>
        <w:tc>
          <w:tcPr>
            <w:tcW w:w="734" w:type="dxa"/>
          </w:tcPr>
          <w:p w14:paraId="638FE8AB" w14:textId="5A8FA493"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375</w:t>
            </w:r>
          </w:p>
        </w:tc>
        <w:tc>
          <w:tcPr>
            <w:tcW w:w="735" w:type="dxa"/>
          </w:tcPr>
          <w:p w14:paraId="22DDE63A" w14:textId="5B7AD394"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352</w:t>
            </w:r>
          </w:p>
        </w:tc>
      </w:tr>
      <w:tr w:rsidR="009A48FA" w:rsidRPr="00EF2F18" w14:paraId="015F3E5A" w14:textId="77777777" w:rsidTr="00752CA0">
        <w:tc>
          <w:tcPr>
            <w:tcW w:w="1676" w:type="dxa"/>
          </w:tcPr>
          <w:p w14:paraId="6698A51E" w14:textId="67E9C761"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Остало</w:t>
            </w:r>
          </w:p>
        </w:tc>
        <w:tc>
          <w:tcPr>
            <w:tcW w:w="734" w:type="dxa"/>
          </w:tcPr>
          <w:p w14:paraId="09036038" w14:textId="505FFE0A"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316</w:t>
            </w:r>
          </w:p>
        </w:tc>
        <w:tc>
          <w:tcPr>
            <w:tcW w:w="734" w:type="dxa"/>
          </w:tcPr>
          <w:p w14:paraId="618F0288" w14:textId="73AF2269"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1.895</w:t>
            </w:r>
          </w:p>
        </w:tc>
        <w:tc>
          <w:tcPr>
            <w:tcW w:w="734" w:type="dxa"/>
          </w:tcPr>
          <w:p w14:paraId="46611278" w14:textId="03104910"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227</w:t>
            </w:r>
          </w:p>
        </w:tc>
        <w:tc>
          <w:tcPr>
            <w:tcW w:w="734" w:type="dxa"/>
          </w:tcPr>
          <w:p w14:paraId="150E5120" w14:textId="53A59500"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312</w:t>
            </w:r>
          </w:p>
        </w:tc>
        <w:tc>
          <w:tcPr>
            <w:tcW w:w="734" w:type="dxa"/>
          </w:tcPr>
          <w:p w14:paraId="614AEFB2" w14:textId="668E4FF5"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536</w:t>
            </w:r>
          </w:p>
        </w:tc>
        <w:tc>
          <w:tcPr>
            <w:tcW w:w="734" w:type="dxa"/>
          </w:tcPr>
          <w:p w14:paraId="12DA6CEA" w14:textId="4775C499"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1.332</w:t>
            </w:r>
          </w:p>
        </w:tc>
        <w:tc>
          <w:tcPr>
            <w:tcW w:w="734" w:type="dxa"/>
          </w:tcPr>
          <w:p w14:paraId="6090FA0A" w14:textId="77704CE1"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2.856</w:t>
            </w:r>
          </w:p>
        </w:tc>
        <w:tc>
          <w:tcPr>
            <w:tcW w:w="734" w:type="dxa"/>
          </w:tcPr>
          <w:p w14:paraId="34D531D7" w14:textId="205AC36C"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1.216</w:t>
            </w:r>
          </w:p>
        </w:tc>
        <w:tc>
          <w:tcPr>
            <w:tcW w:w="734" w:type="dxa"/>
          </w:tcPr>
          <w:p w14:paraId="71E5E7A2" w14:textId="124FA8FC"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2.172</w:t>
            </w:r>
          </w:p>
        </w:tc>
        <w:tc>
          <w:tcPr>
            <w:tcW w:w="735" w:type="dxa"/>
          </w:tcPr>
          <w:p w14:paraId="1BF42C96" w14:textId="526F8964"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430</w:t>
            </w:r>
          </w:p>
        </w:tc>
      </w:tr>
      <w:tr w:rsidR="009A48FA" w:rsidRPr="00EF2F18" w14:paraId="7CBDABD2" w14:textId="77777777" w:rsidTr="00752CA0">
        <w:tc>
          <w:tcPr>
            <w:tcW w:w="1676" w:type="dxa"/>
          </w:tcPr>
          <w:p w14:paraId="1C167BC9" w14:textId="796816CC" w:rsidR="009A48FA" w:rsidRPr="00EF2F18" w:rsidRDefault="00E93C33" w:rsidP="004C6E25">
            <w:pPr>
              <w:spacing w:before="60" w:after="60"/>
              <w:rPr>
                <w:rFonts w:cs="Times New Roman"/>
                <w:sz w:val="18"/>
                <w:szCs w:val="18"/>
                <w:lang w:val="sr-Cyrl-RS"/>
              </w:rPr>
            </w:pPr>
            <w:r>
              <w:rPr>
                <w:rFonts w:cs="Times New Roman"/>
                <w:sz w:val="18"/>
                <w:szCs w:val="18"/>
                <w:lang w:val="sr-Cyrl-RS"/>
              </w:rPr>
              <w:t>Укупна обрадива површи</w:t>
            </w:r>
            <w:r w:rsidR="009A48FA" w:rsidRPr="00EF2F18">
              <w:rPr>
                <w:rFonts w:cs="Times New Roman"/>
                <w:sz w:val="18"/>
                <w:szCs w:val="18"/>
                <w:lang w:val="sr-Cyrl-RS"/>
              </w:rPr>
              <w:t>на</w:t>
            </w:r>
          </w:p>
        </w:tc>
        <w:tc>
          <w:tcPr>
            <w:tcW w:w="734" w:type="dxa"/>
          </w:tcPr>
          <w:p w14:paraId="25979534" w14:textId="6DEE42DD"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7.999</w:t>
            </w:r>
          </w:p>
        </w:tc>
        <w:tc>
          <w:tcPr>
            <w:tcW w:w="734" w:type="dxa"/>
          </w:tcPr>
          <w:p w14:paraId="4343B4CC" w14:textId="48FC32AD"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13.398</w:t>
            </w:r>
          </w:p>
        </w:tc>
        <w:tc>
          <w:tcPr>
            <w:tcW w:w="734" w:type="dxa"/>
          </w:tcPr>
          <w:p w14:paraId="177BC5D6" w14:textId="26F3900A"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12.929</w:t>
            </w:r>
          </w:p>
        </w:tc>
        <w:tc>
          <w:tcPr>
            <w:tcW w:w="734" w:type="dxa"/>
          </w:tcPr>
          <w:p w14:paraId="0261606A" w14:textId="6E7ED6F9"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11.874</w:t>
            </w:r>
          </w:p>
        </w:tc>
        <w:tc>
          <w:tcPr>
            <w:tcW w:w="734" w:type="dxa"/>
          </w:tcPr>
          <w:p w14:paraId="6CBC626D" w14:textId="73206AFD"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13.723</w:t>
            </w:r>
          </w:p>
        </w:tc>
        <w:tc>
          <w:tcPr>
            <w:tcW w:w="734" w:type="dxa"/>
          </w:tcPr>
          <w:p w14:paraId="1218D7FA" w14:textId="4C7B31EE"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15.915</w:t>
            </w:r>
          </w:p>
        </w:tc>
        <w:tc>
          <w:tcPr>
            <w:tcW w:w="734" w:type="dxa"/>
          </w:tcPr>
          <w:p w14:paraId="5E225D46" w14:textId="4D1BFFB2"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17.454</w:t>
            </w:r>
          </w:p>
        </w:tc>
        <w:tc>
          <w:tcPr>
            <w:tcW w:w="734" w:type="dxa"/>
          </w:tcPr>
          <w:p w14:paraId="67611CE5" w14:textId="5204235D"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17.003</w:t>
            </w:r>
          </w:p>
        </w:tc>
        <w:tc>
          <w:tcPr>
            <w:tcW w:w="734" w:type="dxa"/>
          </w:tcPr>
          <w:p w14:paraId="139E6E90" w14:textId="702467E2"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16.712</w:t>
            </w:r>
          </w:p>
        </w:tc>
        <w:tc>
          <w:tcPr>
            <w:tcW w:w="735" w:type="dxa"/>
          </w:tcPr>
          <w:p w14:paraId="400436F8" w14:textId="38F57B53"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17.565</w:t>
            </w:r>
          </w:p>
        </w:tc>
      </w:tr>
      <w:tr w:rsidR="009A48FA" w:rsidRPr="00EF2F18" w14:paraId="55E9E3D0" w14:textId="77777777" w:rsidTr="00752CA0">
        <w:tc>
          <w:tcPr>
            <w:tcW w:w="1676" w:type="dxa"/>
          </w:tcPr>
          <w:p w14:paraId="6F1D61E8" w14:textId="50ADA574" w:rsidR="009A48FA" w:rsidRPr="00EF2F18" w:rsidRDefault="009A48FA" w:rsidP="004C6E25">
            <w:pPr>
              <w:spacing w:before="60" w:after="60"/>
              <w:rPr>
                <w:rFonts w:cs="Times New Roman"/>
                <w:sz w:val="18"/>
                <w:szCs w:val="18"/>
                <w:lang w:val="sr-Cyrl-RS"/>
              </w:rPr>
            </w:pPr>
            <w:r w:rsidRPr="00EF2F18">
              <w:rPr>
                <w:rFonts w:cs="Times New Roman"/>
                <w:sz w:val="18"/>
                <w:szCs w:val="18"/>
                <w:lang w:val="sr-Cyrl-RS"/>
              </w:rPr>
              <w:t>Ливаде/пашњаци</w:t>
            </w:r>
          </w:p>
        </w:tc>
        <w:tc>
          <w:tcPr>
            <w:tcW w:w="734" w:type="dxa"/>
          </w:tcPr>
          <w:p w14:paraId="5541FDF6" w14:textId="45EAF6A7"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1.549</w:t>
            </w:r>
          </w:p>
        </w:tc>
        <w:tc>
          <w:tcPr>
            <w:tcW w:w="734" w:type="dxa"/>
          </w:tcPr>
          <w:p w14:paraId="5FB8A9CC" w14:textId="5F0FB282"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1.900</w:t>
            </w:r>
          </w:p>
        </w:tc>
        <w:tc>
          <w:tcPr>
            <w:tcW w:w="734" w:type="dxa"/>
          </w:tcPr>
          <w:p w14:paraId="4A56D25F" w14:textId="38549D7F"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1.429</w:t>
            </w:r>
          </w:p>
        </w:tc>
        <w:tc>
          <w:tcPr>
            <w:tcW w:w="734" w:type="dxa"/>
          </w:tcPr>
          <w:p w14:paraId="7FD1697D" w14:textId="21C3EA17"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1.548</w:t>
            </w:r>
          </w:p>
        </w:tc>
        <w:tc>
          <w:tcPr>
            <w:tcW w:w="734" w:type="dxa"/>
          </w:tcPr>
          <w:p w14:paraId="1FC8DE97" w14:textId="39B47C8F"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5.530</w:t>
            </w:r>
          </w:p>
        </w:tc>
        <w:tc>
          <w:tcPr>
            <w:tcW w:w="734" w:type="dxa"/>
          </w:tcPr>
          <w:p w14:paraId="78101C32" w14:textId="70922B8D"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5.349</w:t>
            </w:r>
          </w:p>
        </w:tc>
        <w:tc>
          <w:tcPr>
            <w:tcW w:w="734" w:type="dxa"/>
          </w:tcPr>
          <w:p w14:paraId="1D16A619" w14:textId="69906F02"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3.517</w:t>
            </w:r>
          </w:p>
        </w:tc>
        <w:tc>
          <w:tcPr>
            <w:tcW w:w="734" w:type="dxa"/>
          </w:tcPr>
          <w:p w14:paraId="08EED158" w14:textId="4CF3F8AF"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6.524</w:t>
            </w:r>
          </w:p>
        </w:tc>
        <w:tc>
          <w:tcPr>
            <w:tcW w:w="734" w:type="dxa"/>
          </w:tcPr>
          <w:p w14:paraId="4CE1E2A7" w14:textId="022C2DF0"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8.323</w:t>
            </w:r>
          </w:p>
        </w:tc>
        <w:tc>
          <w:tcPr>
            <w:tcW w:w="735" w:type="dxa"/>
          </w:tcPr>
          <w:p w14:paraId="10C0F7AA" w14:textId="483BD50A" w:rsidR="009A48FA" w:rsidRPr="00EF2F18" w:rsidRDefault="009A48FA" w:rsidP="004C6E25">
            <w:pPr>
              <w:spacing w:before="60" w:after="60"/>
              <w:jc w:val="center"/>
              <w:rPr>
                <w:rFonts w:cs="Times New Roman"/>
                <w:sz w:val="18"/>
                <w:szCs w:val="18"/>
                <w:lang w:val="sr-Cyrl-RS"/>
              </w:rPr>
            </w:pPr>
            <w:r w:rsidRPr="00EF2F18">
              <w:rPr>
                <w:rFonts w:cs="Times New Roman"/>
                <w:sz w:val="18"/>
                <w:szCs w:val="18"/>
                <w:lang w:val="sr-Cyrl-RS"/>
              </w:rPr>
              <w:t>11.437</w:t>
            </w:r>
          </w:p>
        </w:tc>
      </w:tr>
    </w:tbl>
    <w:p w14:paraId="6C536D3F" w14:textId="20701992" w:rsidR="00A634C6" w:rsidRPr="00EF2F18" w:rsidRDefault="00A634C6" w:rsidP="00A634C6">
      <w:pPr>
        <w:spacing w:after="0"/>
        <w:jc w:val="both"/>
        <w:rPr>
          <w:rFonts w:cs="Times New Roman"/>
          <w:sz w:val="22"/>
          <w:lang w:val="sr-Cyrl-RS" w:eastAsia="de-AT"/>
        </w:rPr>
      </w:pPr>
      <w:r w:rsidRPr="00EF2F18">
        <w:rPr>
          <w:rFonts w:cs="Times New Roman"/>
          <w:i/>
          <w:sz w:val="22"/>
          <w:lang w:val="sr-Cyrl-RS"/>
        </w:rPr>
        <w:t xml:space="preserve">Извор: </w:t>
      </w:r>
      <w:r w:rsidR="009A48FA" w:rsidRPr="00EF2F18">
        <w:rPr>
          <w:rFonts w:cs="Times New Roman"/>
          <w:i/>
          <w:sz w:val="22"/>
          <w:lang w:val="sr-Cyrl-RS"/>
        </w:rPr>
        <w:t xml:space="preserve">Министарство пољопривреде, шумарства и </w:t>
      </w:r>
      <w:r w:rsidR="00DE0AD6">
        <w:rPr>
          <w:rFonts w:cs="Times New Roman"/>
          <w:i/>
          <w:sz w:val="22"/>
          <w:lang w:val="sr-Cyrl-RS"/>
        </w:rPr>
        <w:t>в</w:t>
      </w:r>
      <w:r w:rsidR="009A48FA" w:rsidRPr="00EF2F18">
        <w:rPr>
          <w:rFonts w:cs="Times New Roman"/>
          <w:i/>
          <w:sz w:val="22"/>
          <w:lang w:val="sr-Cyrl-RS"/>
        </w:rPr>
        <w:t>одопривреде</w:t>
      </w:r>
      <w:r w:rsidRPr="00EF2F18">
        <w:rPr>
          <w:rFonts w:cs="Times New Roman"/>
          <w:i/>
          <w:sz w:val="22"/>
          <w:lang w:val="sr-Cyrl-RS"/>
        </w:rPr>
        <w:t xml:space="preserve">, </w:t>
      </w:r>
      <w:r w:rsidR="00E472A9" w:rsidRPr="00EF2F18">
        <w:rPr>
          <w:rFonts w:cs="Times New Roman"/>
          <w:i/>
          <w:sz w:val="22"/>
          <w:lang w:val="sr-Cyrl-RS"/>
        </w:rPr>
        <w:t>2024</w:t>
      </w:r>
      <w:r w:rsidRPr="00EF2F18">
        <w:rPr>
          <w:rFonts w:cs="Times New Roman"/>
          <w:i/>
          <w:sz w:val="22"/>
          <w:lang w:val="sr-Cyrl-RS"/>
        </w:rPr>
        <w:t>.</w:t>
      </w:r>
    </w:p>
    <w:p w14:paraId="67FD2E29" w14:textId="77777777" w:rsidR="00A634C6" w:rsidRPr="00EF2F18" w:rsidRDefault="00A634C6" w:rsidP="00827A94">
      <w:pPr>
        <w:spacing w:after="0"/>
        <w:ind w:firstLine="720"/>
        <w:jc w:val="both"/>
        <w:rPr>
          <w:rFonts w:cs="Times New Roman"/>
          <w:sz w:val="22"/>
          <w:lang w:val="sr-Cyrl-RS" w:eastAsia="de-AT"/>
        </w:rPr>
      </w:pPr>
    </w:p>
    <w:p w14:paraId="0D76E5E8" w14:textId="68A12ADE" w:rsidR="004C6E25" w:rsidRPr="00EF2F18" w:rsidRDefault="00827A94" w:rsidP="00827A94">
      <w:pPr>
        <w:spacing w:after="0"/>
        <w:ind w:firstLine="720"/>
        <w:jc w:val="both"/>
        <w:rPr>
          <w:rFonts w:cs="Times New Roman"/>
          <w:sz w:val="22"/>
          <w:lang w:val="sr-Cyrl-RS" w:eastAsia="de-AT"/>
        </w:rPr>
      </w:pPr>
      <w:r w:rsidRPr="00EF2F18">
        <w:rPr>
          <w:rFonts w:cs="Times New Roman"/>
          <w:sz w:val="22"/>
          <w:lang w:val="sr-Cyrl-RS" w:eastAsia="de-AT"/>
        </w:rPr>
        <w:t xml:space="preserve">Органска сточарска производња обухвата преко </w:t>
      </w:r>
      <w:r w:rsidR="009A48FA" w:rsidRPr="00EF2F18">
        <w:rPr>
          <w:rFonts w:cs="Times New Roman"/>
          <w:sz w:val="22"/>
          <w:lang w:val="sr-Cyrl-RS" w:eastAsia="de-AT"/>
        </w:rPr>
        <w:t xml:space="preserve">15 </w:t>
      </w:r>
      <w:r w:rsidRPr="00EF2F18">
        <w:rPr>
          <w:rFonts w:cs="Times New Roman"/>
          <w:sz w:val="22"/>
          <w:lang w:val="sr-Cyrl-RS" w:eastAsia="de-AT"/>
        </w:rPr>
        <w:t xml:space="preserve">хиљада грла оваца, </w:t>
      </w:r>
      <w:r w:rsidR="009A48FA" w:rsidRPr="00EF2F18">
        <w:rPr>
          <w:rFonts w:cs="Times New Roman"/>
          <w:sz w:val="22"/>
          <w:lang w:val="sr-Cyrl-RS" w:eastAsia="de-AT"/>
        </w:rPr>
        <w:t>8</w:t>
      </w:r>
      <w:r w:rsidRPr="00EF2F18">
        <w:rPr>
          <w:rFonts w:cs="Times New Roman"/>
          <w:sz w:val="22"/>
          <w:lang w:val="sr-Cyrl-RS" w:eastAsia="de-AT"/>
        </w:rPr>
        <w:t>,</w:t>
      </w:r>
      <w:r w:rsidR="009A48FA" w:rsidRPr="00EF2F18">
        <w:rPr>
          <w:rFonts w:cs="Times New Roman"/>
          <w:sz w:val="22"/>
          <w:lang w:val="sr-Cyrl-RS" w:eastAsia="de-AT"/>
        </w:rPr>
        <w:t xml:space="preserve">7 </w:t>
      </w:r>
      <w:r w:rsidRPr="00EF2F18">
        <w:rPr>
          <w:rFonts w:cs="Times New Roman"/>
          <w:sz w:val="22"/>
          <w:lang w:val="sr-Cyrl-RS" w:eastAsia="de-AT"/>
        </w:rPr>
        <w:t xml:space="preserve">хиљаде грла говеда, </w:t>
      </w:r>
      <w:r w:rsidR="009A48FA" w:rsidRPr="00EF2F18">
        <w:rPr>
          <w:rFonts w:cs="Times New Roman"/>
          <w:sz w:val="22"/>
          <w:lang w:val="sr-Cyrl-RS" w:eastAsia="de-AT"/>
        </w:rPr>
        <w:t xml:space="preserve">36 </w:t>
      </w:r>
      <w:r w:rsidRPr="00EF2F18">
        <w:rPr>
          <w:rFonts w:cs="Times New Roman"/>
          <w:sz w:val="22"/>
          <w:lang w:val="sr-Cyrl-RS" w:eastAsia="de-AT"/>
        </w:rPr>
        <w:t xml:space="preserve">хиљада </w:t>
      </w:r>
      <w:r w:rsidR="009A48FA" w:rsidRPr="00EF2F18">
        <w:rPr>
          <w:rFonts w:cs="Times New Roman"/>
          <w:sz w:val="22"/>
          <w:lang w:val="sr-Cyrl-RS" w:eastAsia="de-AT"/>
        </w:rPr>
        <w:t xml:space="preserve">јединки </w:t>
      </w:r>
      <w:r w:rsidRPr="00EF2F18">
        <w:rPr>
          <w:rFonts w:cs="Times New Roman"/>
          <w:sz w:val="22"/>
          <w:lang w:val="sr-Cyrl-RS" w:eastAsia="de-AT"/>
        </w:rPr>
        <w:t xml:space="preserve">живине и око </w:t>
      </w:r>
      <w:r w:rsidR="009A48FA" w:rsidRPr="00EF2F18">
        <w:rPr>
          <w:rFonts w:cs="Times New Roman"/>
          <w:sz w:val="22"/>
          <w:lang w:val="sr-Cyrl-RS" w:eastAsia="de-AT"/>
        </w:rPr>
        <w:t xml:space="preserve">12 </w:t>
      </w:r>
      <w:r w:rsidRPr="00EF2F18">
        <w:rPr>
          <w:rFonts w:cs="Times New Roman"/>
          <w:sz w:val="22"/>
          <w:lang w:val="sr-Cyrl-RS" w:eastAsia="de-AT"/>
        </w:rPr>
        <w:t xml:space="preserve">хиљада кошница. Број грла свиња и коза у систему органске производње је занемарљив и износи </w:t>
      </w:r>
      <w:r w:rsidR="004C6E25" w:rsidRPr="00EF2F18">
        <w:rPr>
          <w:rFonts w:cs="Times New Roman"/>
          <w:sz w:val="22"/>
          <w:lang w:val="sr-Cyrl-RS" w:eastAsia="de-AT"/>
        </w:rPr>
        <w:t>190</w:t>
      </w:r>
      <w:r w:rsidRPr="00EF2F18">
        <w:rPr>
          <w:rFonts w:cs="Times New Roman"/>
          <w:sz w:val="22"/>
          <w:lang w:val="sr-Cyrl-RS" w:eastAsia="de-AT"/>
        </w:rPr>
        <w:t xml:space="preserve">, односно </w:t>
      </w:r>
      <w:r w:rsidR="004C6E25" w:rsidRPr="00EF2F18">
        <w:rPr>
          <w:rFonts w:cs="Times New Roman"/>
          <w:sz w:val="22"/>
          <w:lang w:val="sr-Cyrl-RS" w:eastAsia="de-AT"/>
        </w:rPr>
        <w:t>535</w:t>
      </w:r>
      <w:r w:rsidRPr="00EF2F18">
        <w:rPr>
          <w:rFonts w:cs="Times New Roman"/>
          <w:sz w:val="22"/>
          <w:lang w:val="sr-Cyrl-RS" w:eastAsia="de-AT"/>
        </w:rPr>
        <w:t xml:space="preserve">. </w:t>
      </w:r>
      <w:r w:rsidR="004C6E25" w:rsidRPr="00EF2F18">
        <w:rPr>
          <w:rFonts w:cs="Times New Roman"/>
          <w:sz w:val="22"/>
          <w:lang w:val="sr-Cyrl-RS" w:eastAsia="de-AT"/>
        </w:rPr>
        <w:t xml:space="preserve">Органском сточарском производњом се бави </w:t>
      </w:r>
      <w:r w:rsidRPr="00EF2F18">
        <w:rPr>
          <w:rFonts w:cs="Times New Roman"/>
          <w:sz w:val="22"/>
          <w:lang w:val="sr-Cyrl-RS" w:eastAsia="de-AT"/>
        </w:rPr>
        <w:t xml:space="preserve">мањи број произвођача, што се може објаснити чињеницом да је органска </w:t>
      </w:r>
      <w:r w:rsidRPr="00EF2F18">
        <w:rPr>
          <w:rFonts w:cs="Times New Roman"/>
          <w:sz w:val="22"/>
          <w:lang w:val="sr-Cyrl-RS" w:eastAsia="de-AT"/>
        </w:rPr>
        <w:lastRenderedPageBreak/>
        <w:t xml:space="preserve">сточарска производња захтевнија у погледу испуњења додатних захтева везаних за објекте за држање животиња, набавку животиња са других газдинстава и исхрану и лечења животиња. </w:t>
      </w:r>
    </w:p>
    <w:p w14:paraId="69B9C45F" w14:textId="193216B0" w:rsidR="00827A94" w:rsidRPr="00EF2F18" w:rsidRDefault="00827A94" w:rsidP="00827A94">
      <w:pPr>
        <w:spacing w:after="0"/>
        <w:ind w:firstLine="720"/>
        <w:jc w:val="both"/>
        <w:rPr>
          <w:rFonts w:cs="Times New Roman"/>
          <w:sz w:val="22"/>
          <w:lang w:val="sr-Cyrl-RS" w:eastAsia="de-AT"/>
        </w:rPr>
      </w:pPr>
      <w:r w:rsidRPr="00EF2F18">
        <w:rPr>
          <w:rFonts w:cs="Times New Roman"/>
          <w:sz w:val="22"/>
          <w:lang w:val="sr-Cyrl-RS" w:eastAsia="de-AT"/>
        </w:rPr>
        <w:t xml:space="preserve">Током </w:t>
      </w:r>
      <w:r w:rsidR="004C6E25" w:rsidRPr="00EF2F18">
        <w:rPr>
          <w:rFonts w:cs="Times New Roman"/>
          <w:sz w:val="22"/>
          <w:lang w:val="sr-Cyrl-RS" w:eastAsia="de-AT"/>
        </w:rPr>
        <w:t>2023</w:t>
      </w:r>
      <w:r w:rsidRPr="00EF2F18">
        <w:rPr>
          <w:rFonts w:cs="Times New Roman"/>
          <w:sz w:val="22"/>
          <w:lang w:val="sr-Cyrl-RS" w:eastAsia="de-AT"/>
        </w:rPr>
        <w:t xml:space="preserve">. </w:t>
      </w:r>
      <w:r w:rsidR="004C6E25" w:rsidRPr="00EF2F18">
        <w:rPr>
          <w:rFonts w:cs="Times New Roman"/>
          <w:sz w:val="22"/>
          <w:lang w:val="sr-Cyrl-RS" w:eastAsia="de-AT"/>
        </w:rPr>
        <w:t>Г</w:t>
      </w:r>
      <w:r w:rsidRPr="00EF2F18">
        <w:rPr>
          <w:rFonts w:cs="Times New Roman"/>
          <w:sz w:val="22"/>
          <w:lang w:val="sr-Cyrl-RS" w:eastAsia="de-AT"/>
        </w:rPr>
        <w:t>одине</w:t>
      </w:r>
      <w:r w:rsidR="004C6E25" w:rsidRPr="00EF2F18">
        <w:rPr>
          <w:rFonts w:cs="Times New Roman"/>
          <w:sz w:val="22"/>
          <w:lang w:val="sr-Cyrl-RS" w:eastAsia="de-AT"/>
        </w:rPr>
        <w:t>,</w:t>
      </w:r>
      <w:r w:rsidRPr="00EF2F18">
        <w:rPr>
          <w:rFonts w:cs="Times New Roman"/>
          <w:sz w:val="22"/>
          <w:lang w:val="sr-Cyrl-RS" w:eastAsia="de-AT"/>
        </w:rPr>
        <w:t xml:space="preserve"> укупан број произвођача укључених у органску производњу </w:t>
      </w:r>
      <w:r w:rsidR="004C6E25" w:rsidRPr="00EF2F18">
        <w:rPr>
          <w:rFonts w:cs="Times New Roman"/>
          <w:sz w:val="22"/>
          <w:lang w:val="sr-Cyrl-RS" w:eastAsia="de-AT"/>
        </w:rPr>
        <w:t xml:space="preserve">био је </w:t>
      </w:r>
      <w:r w:rsidRPr="00EF2F18">
        <w:rPr>
          <w:rFonts w:cs="Times New Roman"/>
          <w:sz w:val="22"/>
          <w:lang w:val="sr-Cyrl-RS" w:eastAsia="de-AT"/>
        </w:rPr>
        <w:t>6.</w:t>
      </w:r>
      <w:r w:rsidR="004C6E25" w:rsidRPr="00EF2F18">
        <w:rPr>
          <w:rFonts w:cs="Times New Roman"/>
          <w:sz w:val="22"/>
          <w:lang w:val="sr-Cyrl-RS" w:eastAsia="de-AT"/>
        </w:rPr>
        <w:t xml:space="preserve">542. </w:t>
      </w:r>
      <w:r w:rsidRPr="00EF2F18">
        <w:rPr>
          <w:rFonts w:cs="Times New Roman"/>
          <w:sz w:val="22"/>
          <w:lang w:val="sr-Cyrl-RS" w:eastAsia="de-AT"/>
        </w:rPr>
        <w:t xml:space="preserve">Од тог броја, </w:t>
      </w:r>
      <w:r w:rsidR="004C6E25" w:rsidRPr="00EF2F18">
        <w:rPr>
          <w:rFonts w:cs="Times New Roman"/>
          <w:sz w:val="22"/>
          <w:lang w:val="sr-Cyrl-RS" w:eastAsia="de-AT"/>
        </w:rPr>
        <w:t xml:space="preserve">677 су били </w:t>
      </w:r>
      <w:r w:rsidRPr="00EF2F18">
        <w:rPr>
          <w:rFonts w:cs="Times New Roman"/>
          <w:sz w:val="22"/>
          <w:lang w:val="sr-Cyrl-RS" w:eastAsia="de-AT"/>
        </w:rPr>
        <w:t>носи</w:t>
      </w:r>
      <w:r w:rsidR="004C6E25" w:rsidRPr="00EF2F18">
        <w:rPr>
          <w:rFonts w:cs="Times New Roman"/>
          <w:sz w:val="22"/>
          <w:lang w:val="sr-Cyrl-RS" w:eastAsia="de-AT"/>
        </w:rPr>
        <w:t>оци</w:t>
      </w:r>
      <w:r w:rsidRPr="00EF2F18">
        <w:rPr>
          <w:rFonts w:cs="Times New Roman"/>
          <w:sz w:val="22"/>
          <w:lang w:val="sr-Cyrl-RS" w:eastAsia="de-AT"/>
        </w:rPr>
        <w:t xml:space="preserve"> сертификата, док </w:t>
      </w:r>
      <w:r w:rsidR="004C6E25" w:rsidRPr="00EF2F18">
        <w:rPr>
          <w:rFonts w:cs="Times New Roman"/>
          <w:sz w:val="22"/>
          <w:lang w:val="sr-Cyrl-RS" w:eastAsia="de-AT"/>
        </w:rPr>
        <w:t xml:space="preserve">су осталих 5.865 били произвођачи </w:t>
      </w:r>
      <w:r w:rsidRPr="00EF2F18">
        <w:rPr>
          <w:rFonts w:cs="Times New Roman"/>
          <w:sz w:val="22"/>
          <w:lang w:val="sr-Cyrl-RS" w:eastAsia="de-AT"/>
        </w:rPr>
        <w:t>кооперан</w:t>
      </w:r>
      <w:r w:rsidR="004C6E25" w:rsidRPr="00EF2F18">
        <w:rPr>
          <w:rFonts w:cs="Times New Roman"/>
          <w:sz w:val="22"/>
          <w:lang w:val="sr-Cyrl-RS" w:eastAsia="de-AT"/>
        </w:rPr>
        <w:t>ти у оквиру групне производње</w:t>
      </w:r>
      <w:r w:rsidRPr="00EF2F18">
        <w:rPr>
          <w:rFonts w:cs="Times New Roman"/>
          <w:sz w:val="22"/>
          <w:lang w:val="sr-Cyrl-RS" w:eastAsia="de-AT"/>
        </w:rPr>
        <w:t xml:space="preserve">. </w:t>
      </w:r>
      <w:r w:rsidR="004C6E25" w:rsidRPr="00EF2F18">
        <w:rPr>
          <w:rFonts w:cs="Times New Roman"/>
          <w:sz w:val="22"/>
          <w:lang w:val="sr-Cyrl-RS" w:eastAsia="de-AT"/>
        </w:rPr>
        <w:t>Евидентан је мали број произвођача који имају</w:t>
      </w:r>
      <w:r w:rsidR="001069CB">
        <w:rPr>
          <w:rFonts w:cs="Times New Roman"/>
          <w:sz w:val="22"/>
          <w:lang w:val="sr-Cyrl-RS" w:eastAsia="de-AT"/>
        </w:rPr>
        <w:t xml:space="preserve"> директно склопљен уговор са овл</w:t>
      </w:r>
      <w:r w:rsidR="004C6E25" w:rsidRPr="00EF2F18">
        <w:rPr>
          <w:rFonts w:cs="Times New Roman"/>
          <w:sz w:val="22"/>
          <w:lang w:val="sr-Cyrl-RS" w:eastAsia="de-AT"/>
        </w:rPr>
        <w:t xml:space="preserve">ашћеним контролним организацијама (носиоци сертификата), насупрот броју произвођача који се као кооперанти налазе у оквиру групне производње. </w:t>
      </w:r>
    </w:p>
    <w:p w14:paraId="6F3E0FB2" w14:textId="4210E708" w:rsidR="00531016" w:rsidRPr="00EF2F18" w:rsidRDefault="00827A94" w:rsidP="00531016">
      <w:pPr>
        <w:spacing w:after="0"/>
        <w:ind w:firstLine="720"/>
        <w:jc w:val="both"/>
        <w:rPr>
          <w:rFonts w:cs="Times New Roman"/>
          <w:sz w:val="22"/>
          <w:lang w:val="sr-Cyrl-RS" w:eastAsia="de-AT"/>
        </w:rPr>
      </w:pPr>
      <w:r w:rsidRPr="00EF2F18">
        <w:rPr>
          <w:rFonts w:cs="Times New Roman"/>
          <w:sz w:val="22"/>
          <w:lang w:val="sr-Cyrl-RS" w:eastAsia="de-AT"/>
        </w:rPr>
        <w:t>Највећи део органске производње</w:t>
      </w:r>
      <w:r w:rsidR="00531016" w:rsidRPr="00EF2F18">
        <w:rPr>
          <w:rFonts w:cs="Times New Roman"/>
          <w:sz w:val="22"/>
          <w:lang w:val="sr-Cyrl-RS" w:eastAsia="de-AT"/>
        </w:rPr>
        <w:t xml:space="preserve"> у Републици Србији</w:t>
      </w:r>
      <w:r w:rsidRPr="00EF2F18">
        <w:rPr>
          <w:rFonts w:cs="Times New Roman"/>
          <w:sz w:val="22"/>
          <w:lang w:val="sr-Cyrl-RS" w:eastAsia="de-AT"/>
        </w:rPr>
        <w:t xml:space="preserve"> намењен је извозу. </w:t>
      </w:r>
      <w:r w:rsidR="00531016" w:rsidRPr="00EF2F18">
        <w:rPr>
          <w:rFonts w:cs="Times New Roman"/>
          <w:sz w:val="22"/>
          <w:lang w:val="sr-Cyrl-RS" w:eastAsia="de-AT"/>
        </w:rPr>
        <w:t>П</w:t>
      </w:r>
      <w:r w:rsidR="0031073D" w:rsidRPr="00EF2F18">
        <w:rPr>
          <w:rFonts w:cs="Times New Roman"/>
          <w:sz w:val="22"/>
          <w:lang w:val="sr-Cyrl-RS" w:eastAsia="de-AT"/>
        </w:rPr>
        <w:t>о</w:t>
      </w:r>
      <w:r w:rsidR="00531016" w:rsidRPr="00EF2F18">
        <w:rPr>
          <w:rFonts w:cs="Times New Roman"/>
          <w:sz w:val="22"/>
          <w:lang w:val="sr-Cyrl-RS" w:eastAsia="de-AT"/>
        </w:rPr>
        <w:t xml:space="preserve">чев од 2012. године, подаци о извозу органских производа постали су део информационог система Управе царина. На основу ових података могуће је пратити податке о врсти, количини и вредности извезених органских производа са територије Републике Србије. По врсти производа, највећа вредност остварује се извозом органских воћних производа: смрзнутих и сушених (малине, вишње и купине). У складу са Законом о органској производњи </w:t>
      </w:r>
      <w:r w:rsidR="00531016" w:rsidRPr="00EF2F18">
        <w:rPr>
          <w:rFonts w:cs="Times New Roman"/>
          <w:sz w:val="22"/>
          <w:lang w:val="sr-Cyrl-RS"/>
        </w:rPr>
        <w:t>(„Службени гласник РС</w:t>
      </w:r>
      <w:r w:rsidR="00A64280" w:rsidRPr="00EF2F18">
        <w:rPr>
          <w:rFonts w:cs="Times New Roman"/>
          <w:sz w:val="22"/>
          <w:lang w:val="sr-Cyrl-RS"/>
        </w:rPr>
        <w:t>”</w:t>
      </w:r>
      <w:r w:rsidR="00531016" w:rsidRPr="00EF2F18">
        <w:rPr>
          <w:rFonts w:cs="Times New Roman"/>
          <w:sz w:val="22"/>
          <w:lang w:val="sr-Cyrl-RS"/>
        </w:rPr>
        <w:t>, бр. 30/10 и 17/19</w:t>
      </w:r>
      <w:r w:rsidR="002C7E34">
        <w:rPr>
          <w:rFonts w:cs="Times New Roman"/>
          <w:sz w:val="22"/>
          <w:lang w:val="sr-Cyrl-RS"/>
        </w:rPr>
        <w:t xml:space="preserve"> – </w:t>
      </w:r>
      <w:r w:rsidR="00531016" w:rsidRPr="00EF2F18">
        <w:rPr>
          <w:rFonts w:cs="Times New Roman"/>
          <w:sz w:val="22"/>
          <w:lang w:val="sr-Cyrl-RS"/>
        </w:rPr>
        <w:t>др. закон), Министарство пољопривреде, шумарства и водопривреде за послове контроле и сертификације у орган</w:t>
      </w:r>
      <w:r w:rsidR="007611B1">
        <w:rPr>
          <w:rFonts w:cs="Times New Roman"/>
          <w:sz w:val="22"/>
          <w:lang w:val="sr-Cyrl-RS"/>
        </w:rPr>
        <w:t>ској производњи сваке године овл</w:t>
      </w:r>
      <w:r w:rsidR="00531016" w:rsidRPr="00EF2F18">
        <w:rPr>
          <w:rFonts w:cs="Times New Roman"/>
          <w:sz w:val="22"/>
          <w:lang w:val="sr-Cyrl-RS"/>
        </w:rPr>
        <w:t xml:space="preserve">ашћује контролне организације, које су испуниле прописане услове. За 2025. годину </w:t>
      </w:r>
      <w:r w:rsidR="002C7E34" w:rsidRPr="002C7E34">
        <w:rPr>
          <w:rFonts w:cs="Times New Roman"/>
          <w:sz w:val="22"/>
          <w:lang w:val="sr-Cyrl-RS"/>
        </w:rPr>
        <w:t xml:space="preserve">Министарство пољопривреде, шумарства и водопривреде </w:t>
      </w:r>
      <w:r w:rsidR="00531016" w:rsidRPr="00EF2F18">
        <w:rPr>
          <w:rFonts w:cs="Times New Roman"/>
          <w:sz w:val="22"/>
          <w:lang w:val="sr-Cyrl-RS"/>
        </w:rPr>
        <w:t xml:space="preserve">је овластило девет </w:t>
      </w:r>
      <w:r w:rsidRPr="00EF2F18">
        <w:rPr>
          <w:rFonts w:cs="Times New Roman"/>
          <w:sz w:val="22"/>
          <w:lang w:val="sr-Cyrl-RS" w:eastAsia="de-AT"/>
        </w:rPr>
        <w:t>контролн</w:t>
      </w:r>
      <w:r w:rsidR="00531016" w:rsidRPr="00EF2F18">
        <w:rPr>
          <w:rFonts w:cs="Times New Roman"/>
          <w:sz w:val="22"/>
          <w:lang w:val="sr-Cyrl-RS" w:eastAsia="de-AT"/>
        </w:rPr>
        <w:t>их</w:t>
      </w:r>
      <w:r w:rsidRPr="00EF2F18">
        <w:rPr>
          <w:rFonts w:cs="Times New Roman"/>
          <w:sz w:val="22"/>
          <w:lang w:val="sr-Cyrl-RS" w:eastAsia="de-AT"/>
        </w:rPr>
        <w:t xml:space="preserve"> </w:t>
      </w:r>
      <w:r w:rsidR="00531016" w:rsidRPr="00EF2F18">
        <w:rPr>
          <w:rFonts w:cs="Times New Roman"/>
          <w:sz w:val="22"/>
          <w:lang w:val="sr-Cyrl-RS" w:eastAsia="de-AT"/>
        </w:rPr>
        <w:t xml:space="preserve">организација. За спровођење контроле и сертификације органске производње за потребе извоза, у складу са новим режимом за органску производњу у ЕУ, контролна тела у земљама које нису чланице ЕУ, од. 1 јануара 2025. </w:t>
      </w:r>
      <w:r w:rsidR="00E472A9" w:rsidRPr="00EF2F18">
        <w:rPr>
          <w:rFonts w:cs="Times New Roman"/>
          <w:sz w:val="22"/>
          <w:lang w:val="sr-Cyrl-RS" w:eastAsia="de-AT"/>
        </w:rPr>
        <w:t>г</w:t>
      </w:r>
      <w:r w:rsidR="00531016" w:rsidRPr="00EF2F18">
        <w:rPr>
          <w:rFonts w:cs="Times New Roman"/>
          <w:sz w:val="22"/>
          <w:lang w:val="sr-Cyrl-RS" w:eastAsia="de-AT"/>
        </w:rPr>
        <w:t>одине морају бити призната од стране Европске комисије. До сада су призната два контролна тела из Републике Србије.</w:t>
      </w:r>
    </w:p>
    <w:p w14:paraId="5C1A0D7C" w14:textId="64FE2BCC" w:rsidR="006822E8" w:rsidRPr="00EF2F18" w:rsidRDefault="00827A94" w:rsidP="00827A94">
      <w:pPr>
        <w:spacing w:after="0"/>
        <w:ind w:firstLine="720"/>
        <w:jc w:val="both"/>
        <w:rPr>
          <w:rFonts w:cs="Times New Roman"/>
          <w:sz w:val="22"/>
          <w:lang w:val="sr-Cyrl-RS"/>
        </w:rPr>
      </w:pPr>
      <w:r w:rsidRPr="00EF2F18">
        <w:rPr>
          <w:rFonts w:cs="Times New Roman"/>
          <w:sz w:val="22"/>
          <w:lang w:val="sr-Cyrl-RS"/>
        </w:rPr>
        <w:t xml:space="preserve">Законом о подстицајима пољопривреди и руралном развоју </w:t>
      </w:r>
      <w:r w:rsidR="000054A7" w:rsidRPr="00EF2F18">
        <w:rPr>
          <w:rFonts w:cs="Times New Roman"/>
          <w:sz w:val="22"/>
          <w:lang w:val="sr-Cyrl-RS"/>
        </w:rPr>
        <w:t>(„Службени гласник РС</w:t>
      </w:r>
      <w:r w:rsidR="00A64280" w:rsidRPr="00EF2F18">
        <w:rPr>
          <w:rFonts w:cs="Times New Roman"/>
          <w:sz w:val="22"/>
          <w:lang w:val="sr-Cyrl-RS"/>
        </w:rPr>
        <w:t>”</w:t>
      </w:r>
      <w:r w:rsidR="000054A7" w:rsidRPr="00EF2F18">
        <w:rPr>
          <w:rFonts w:cs="Times New Roman"/>
          <w:sz w:val="22"/>
          <w:lang w:val="sr-Cyrl-RS"/>
        </w:rPr>
        <w:t xml:space="preserve">, бр. </w:t>
      </w:r>
      <w:r w:rsidR="00531016" w:rsidRPr="00EF2F18">
        <w:rPr>
          <w:rFonts w:cs="Times New Roman"/>
          <w:sz w:val="22"/>
          <w:lang w:val="sr-Cyrl-RS"/>
        </w:rPr>
        <w:t>10</w:t>
      </w:r>
      <w:r w:rsidR="000054A7" w:rsidRPr="00EF2F18">
        <w:rPr>
          <w:rFonts w:cs="Times New Roman"/>
          <w:sz w:val="22"/>
          <w:lang w:val="sr-Cyrl-RS"/>
        </w:rPr>
        <w:t>/</w:t>
      </w:r>
      <w:r w:rsidR="00531016" w:rsidRPr="00EF2F18">
        <w:rPr>
          <w:rFonts w:cs="Times New Roman"/>
          <w:sz w:val="22"/>
          <w:lang w:val="sr-Cyrl-RS"/>
        </w:rPr>
        <w:t>13</w:t>
      </w:r>
      <w:r w:rsidR="000054A7" w:rsidRPr="00EF2F18">
        <w:rPr>
          <w:rFonts w:cs="Times New Roman"/>
          <w:sz w:val="22"/>
          <w:lang w:val="sr-Cyrl-RS"/>
        </w:rPr>
        <w:t xml:space="preserve">, </w:t>
      </w:r>
      <w:r w:rsidR="00531016" w:rsidRPr="00EF2F18">
        <w:rPr>
          <w:rFonts w:cs="Times New Roman"/>
          <w:sz w:val="22"/>
          <w:lang w:val="sr-Cyrl-RS"/>
        </w:rPr>
        <w:t>142</w:t>
      </w:r>
      <w:r w:rsidR="000054A7" w:rsidRPr="00EF2F18">
        <w:rPr>
          <w:rFonts w:cs="Times New Roman"/>
          <w:sz w:val="22"/>
          <w:lang w:val="sr-Cyrl-RS"/>
        </w:rPr>
        <w:t>/</w:t>
      </w:r>
      <w:r w:rsidR="00531016" w:rsidRPr="00EF2F18">
        <w:rPr>
          <w:rFonts w:cs="Times New Roman"/>
          <w:sz w:val="22"/>
          <w:lang w:val="sr-Cyrl-RS"/>
        </w:rPr>
        <w:t>14</w:t>
      </w:r>
      <w:r w:rsidR="000054A7" w:rsidRPr="00EF2F18">
        <w:rPr>
          <w:rFonts w:cs="Times New Roman"/>
          <w:sz w:val="22"/>
          <w:lang w:val="sr-Cyrl-RS"/>
        </w:rPr>
        <w:t xml:space="preserve">, </w:t>
      </w:r>
      <w:r w:rsidR="00531016" w:rsidRPr="00EF2F18">
        <w:rPr>
          <w:rFonts w:cs="Times New Roman"/>
          <w:sz w:val="22"/>
          <w:lang w:val="sr-Cyrl-RS"/>
        </w:rPr>
        <w:t>103</w:t>
      </w:r>
      <w:r w:rsidR="000054A7" w:rsidRPr="00EF2F18">
        <w:rPr>
          <w:rFonts w:cs="Times New Roman"/>
          <w:sz w:val="22"/>
          <w:lang w:val="sr-Cyrl-RS"/>
        </w:rPr>
        <w:t>/</w:t>
      </w:r>
      <w:r w:rsidR="00531016" w:rsidRPr="00EF2F18">
        <w:rPr>
          <w:rFonts w:cs="Times New Roman"/>
          <w:sz w:val="22"/>
          <w:lang w:val="sr-Cyrl-RS"/>
        </w:rPr>
        <w:t>15</w:t>
      </w:r>
      <w:r w:rsidR="000054A7" w:rsidRPr="00EF2F18">
        <w:rPr>
          <w:rFonts w:cs="Times New Roman"/>
          <w:sz w:val="22"/>
          <w:lang w:val="sr-Cyrl-RS"/>
        </w:rPr>
        <w:t xml:space="preserve">, </w:t>
      </w:r>
      <w:r w:rsidR="00531016" w:rsidRPr="00EF2F18">
        <w:rPr>
          <w:rFonts w:cs="Times New Roman"/>
          <w:sz w:val="22"/>
          <w:lang w:val="sr-Cyrl-RS"/>
        </w:rPr>
        <w:t>101</w:t>
      </w:r>
      <w:r w:rsidR="000054A7" w:rsidRPr="00EF2F18">
        <w:rPr>
          <w:rFonts w:cs="Times New Roman"/>
          <w:sz w:val="22"/>
          <w:lang w:val="sr-Cyrl-RS"/>
        </w:rPr>
        <w:t>/</w:t>
      </w:r>
      <w:r w:rsidR="00531016" w:rsidRPr="00EF2F18">
        <w:rPr>
          <w:rFonts w:cs="Times New Roman"/>
          <w:sz w:val="22"/>
          <w:lang w:val="sr-Cyrl-RS"/>
        </w:rPr>
        <w:t>16</w:t>
      </w:r>
      <w:r w:rsidR="000054A7" w:rsidRPr="00EF2F18">
        <w:rPr>
          <w:rFonts w:cs="Times New Roman"/>
          <w:sz w:val="22"/>
          <w:lang w:val="sr-Cyrl-RS"/>
        </w:rPr>
        <w:t xml:space="preserve">, </w:t>
      </w:r>
      <w:r w:rsidR="00531016" w:rsidRPr="00EF2F18">
        <w:rPr>
          <w:rFonts w:cs="Times New Roman"/>
          <w:sz w:val="22"/>
          <w:lang w:val="sr-Cyrl-RS"/>
        </w:rPr>
        <w:t>35</w:t>
      </w:r>
      <w:r w:rsidR="000054A7" w:rsidRPr="00EF2F18">
        <w:rPr>
          <w:rFonts w:cs="Times New Roman"/>
          <w:sz w:val="22"/>
          <w:lang w:val="sr-Cyrl-RS"/>
        </w:rPr>
        <w:t>/</w:t>
      </w:r>
      <w:r w:rsidR="00531016" w:rsidRPr="00EF2F18">
        <w:rPr>
          <w:rFonts w:cs="Times New Roman"/>
          <w:sz w:val="22"/>
          <w:lang w:val="sr-Cyrl-RS"/>
        </w:rPr>
        <w:t xml:space="preserve">23 </w:t>
      </w:r>
      <w:r w:rsidR="000054A7" w:rsidRPr="00EF2F18">
        <w:rPr>
          <w:rFonts w:cs="Times New Roman"/>
          <w:sz w:val="22"/>
          <w:lang w:val="sr-Cyrl-RS"/>
        </w:rPr>
        <w:t xml:space="preserve">и </w:t>
      </w:r>
      <w:r w:rsidR="00531016" w:rsidRPr="00EF2F18">
        <w:rPr>
          <w:rFonts w:cs="Times New Roman"/>
          <w:sz w:val="22"/>
          <w:lang w:val="sr-Cyrl-RS"/>
        </w:rPr>
        <w:t>94</w:t>
      </w:r>
      <w:r w:rsidR="000054A7" w:rsidRPr="00EF2F18">
        <w:rPr>
          <w:rFonts w:cs="Times New Roman"/>
          <w:sz w:val="22"/>
          <w:lang w:val="sr-Cyrl-RS"/>
        </w:rPr>
        <w:t>/</w:t>
      </w:r>
      <w:r w:rsidR="00531016" w:rsidRPr="00EF2F18">
        <w:rPr>
          <w:rFonts w:cs="Times New Roman"/>
          <w:sz w:val="22"/>
          <w:lang w:val="sr-Cyrl-RS"/>
        </w:rPr>
        <w:t>24</w:t>
      </w:r>
      <w:r w:rsidR="000054A7" w:rsidRPr="00EF2F18">
        <w:rPr>
          <w:rFonts w:cs="Times New Roman"/>
          <w:sz w:val="22"/>
          <w:lang w:val="sr-Cyrl-RS"/>
        </w:rPr>
        <w:t xml:space="preserve">) </w:t>
      </w:r>
      <w:r w:rsidR="00531016" w:rsidRPr="00EF2F18">
        <w:rPr>
          <w:rFonts w:cs="Times New Roman"/>
          <w:sz w:val="22"/>
          <w:lang w:val="sr-Cyrl-RS"/>
        </w:rPr>
        <w:t xml:space="preserve">прописан </w:t>
      </w:r>
      <w:r w:rsidRPr="00EF2F18">
        <w:rPr>
          <w:rFonts w:cs="Times New Roman"/>
          <w:sz w:val="22"/>
          <w:lang w:val="sr-Cyrl-RS"/>
        </w:rPr>
        <w:t>је систем подстицаја за органску производњу</w:t>
      </w:r>
      <w:r w:rsidR="006822E8" w:rsidRPr="00EF2F18">
        <w:rPr>
          <w:rFonts w:cs="Times New Roman"/>
          <w:sz w:val="22"/>
          <w:lang w:val="sr-Cyrl-RS"/>
        </w:rPr>
        <w:t>, тако да се подстицаји за органску биљну и сточарску производњу увећавају за минимално 40% у односу на подстицаје у производњи која није органска. У 2025. години подстицаји за органску биљну производњу су увећани за 250%, а подстицаји за органску сточарску производњу за 40%</w:t>
      </w:r>
    </w:p>
    <w:p w14:paraId="712B7AAD" w14:textId="3B841089" w:rsidR="006822E8" w:rsidRPr="00EF2F18" w:rsidRDefault="006822E8" w:rsidP="00827A94">
      <w:pPr>
        <w:spacing w:after="0"/>
        <w:ind w:firstLine="720"/>
        <w:jc w:val="both"/>
        <w:rPr>
          <w:rFonts w:cs="Times New Roman"/>
          <w:sz w:val="22"/>
          <w:lang w:val="sr-Cyrl-RS"/>
        </w:rPr>
      </w:pPr>
      <w:r w:rsidRPr="00EF2F18">
        <w:rPr>
          <w:rFonts w:cs="Times New Roman"/>
          <w:sz w:val="22"/>
          <w:lang w:val="sr-Cyrl-RS"/>
        </w:rPr>
        <w:t>Важећи Закон о органској производњи („Службени гласник РС</w:t>
      </w:r>
      <w:r w:rsidR="00A64280" w:rsidRPr="00EF2F18">
        <w:rPr>
          <w:rFonts w:cs="Times New Roman"/>
          <w:sz w:val="22"/>
          <w:lang w:val="sr-Cyrl-RS"/>
        </w:rPr>
        <w:t>”</w:t>
      </w:r>
      <w:r w:rsidRPr="00EF2F18">
        <w:rPr>
          <w:rFonts w:cs="Times New Roman"/>
          <w:sz w:val="22"/>
          <w:lang w:val="sr-Cyrl-RS"/>
        </w:rPr>
        <w:t>, бр. 30/10 и 17/19-др. закон) је усвојен 2010. године, с тим да је његова примена поче</w:t>
      </w:r>
      <w:r w:rsidR="0031073D" w:rsidRPr="00EF2F18">
        <w:rPr>
          <w:rFonts w:cs="Times New Roman"/>
          <w:sz w:val="22"/>
          <w:lang w:val="sr-Cyrl-RS"/>
        </w:rPr>
        <w:t>л</w:t>
      </w:r>
      <w:r w:rsidRPr="00EF2F18">
        <w:rPr>
          <w:rFonts w:cs="Times New Roman"/>
          <w:sz w:val="22"/>
          <w:lang w:val="sr-Cyrl-RS"/>
        </w:rPr>
        <w:t xml:space="preserve">а 2011. године. Овај закон је припреман у складу са </w:t>
      </w:r>
      <w:r w:rsidR="00827A94" w:rsidRPr="00EF2F18">
        <w:rPr>
          <w:rFonts w:cs="Times New Roman"/>
          <w:sz w:val="22"/>
          <w:lang w:val="sr-Cyrl-RS"/>
        </w:rPr>
        <w:t>Уредбом</w:t>
      </w:r>
      <w:r w:rsidRPr="00EF2F18">
        <w:rPr>
          <w:rFonts w:cs="Times New Roman"/>
          <w:sz w:val="22"/>
          <w:lang w:val="sr-Cyrl-RS"/>
        </w:rPr>
        <w:t xml:space="preserve"> Савета</w:t>
      </w:r>
      <w:r w:rsidR="00827A94" w:rsidRPr="00EF2F18">
        <w:rPr>
          <w:rFonts w:cs="Times New Roman"/>
          <w:sz w:val="22"/>
          <w:lang w:val="sr-Cyrl-RS"/>
        </w:rPr>
        <w:t xml:space="preserve"> </w:t>
      </w:r>
      <w:r w:rsidR="00DA264D" w:rsidRPr="00EF2F18">
        <w:rPr>
          <w:rFonts w:cs="Times New Roman"/>
          <w:sz w:val="22"/>
          <w:lang w:val="sr-Cyrl-RS"/>
        </w:rPr>
        <w:t>(</w:t>
      </w:r>
      <w:r w:rsidRPr="00EF2F18">
        <w:rPr>
          <w:rFonts w:cs="Times New Roman"/>
          <w:sz w:val="22"/>
          <w:lang w:val="sr-Cyrl-RS"/>
        </w:rPr>
        <w:t>ЕЗ</w:t>
      </w:r>
      <w:r w:rsidR="00827A94" w:rsidRPr="00EF2F18">
        <w:rPr>
          <w:rFonts w:cs="Times New Roman"/>
          <w:sz w:val="22"/>
          <w:lang w:val="sr-Cyrl-RS"/>
        </w:rPr>
        <w:t xml:space="preserve">) </w:t>
      </w:r>
      <w:r w:rsidRPr="00EF2F18">
        <w:rPr>
          <w:rFonts w:cs="Times New Roman"/>
          <w:sz w:val="22"/>
          <w:lang w:val="sr-Cyrl-RS"/>
        </w:rPr>
        <w:t xml:space="preserve">бр. </w:t>
      </w:r>
      <w:r w:rsidR="00827A94" w:rsidRPr="00EF2F18">
        <w:rPr>
          <w:rFonts w:cs="Times New Roman"/>
          <w:sz w:val="22"/>
          <w:lang w:val="sr-Cyrl-RS"/>
        </w:rPr>
        <w:t>834/2007</w:t>
      </w:r>
      <w:r w:rsidR="000054A7" w:rsidRPr="00EF2F18">
        <w:rPr>
          <w:rFonts w:cs="Times New Roman"/>
          <w:sz w:val="22"/>
          <w:lang w:val="sr-Cyrl-RS"/>
        </w:rPr>
        <w:t xml:space="preserve"> о</w:t>
      </w:r>
      <w:r w:rsidR="00827A94" w:rsidRPr="00EF2F18">
        <w:rPr>
          <w:rFonts w:cs="Times New Roman"/>
          <w:sz w:val="22"/>
          <w:lang w:val="sr-Cyrl-RS"/>
        </w:rPr>
        <w:t xml:space="preserve"> </w:t>
      </w:r>
      <w:r w:rsidRPr="00EF2F18">
        <w:rPr>
          <w:rFonts w:cs="Times New Roman"/>
          <w:sz w:val="22"/>
          <w:lang w:val="sr-Cyrl-RS"/>
        </w:rPr>
        <w:t xml:space="preserve">органској </w:t>
      </w:r>
      <w:r w:rsidR="000054A7" w:rsidRPr="00EF2F18">
        <w:rPr>
          <w:rFonts w:cs="Times New Roman"/>
          <w:sz w:val="22"/>
          <w:lang w:val="sr-Cyrl-RS"/>
        </w:rPr>
        <w:t xml:space="preserve">производњи и обележавању </w:t>
      </w:r>
      <w:r w:rsidRPr="00EF2F18">
        <w:rPr>
          <w:rFonts w:cs="Times New Roman"/>
          <w:sz w:val="22"/>
          <w:lang w:val="sr-Cyrl-RS"/>
        </w:rPr>
        <w:t xml:space="preserve">органских </w:t>
      </w:r>
      <w:r w:rsidR="000054A7" w:rsidRPr="00EF2F18">
        <w:rPr>
          <w:rFonts w:cs="Times New Roman"/>
          <w:sz w:val="22"/>
          <w:lang w:val="sr-Cyrl-RS"/>
        </w:rPr>
        <w:t>производа</w:t>
      </w:r>
      <w:r w:rsidRPr="00EF2F18">
        <w:rPr>
          <w:rFonts w:cs="Times New Roman"/>
          <w:sz w:val="22"/>
          <w:lang w:val="sr-Cyrl-RS"/>
        </w:rPr>
        <w:t>, која замењује Уредбу (ЕЕЗ) бр. 2092/91. Након доношења нових прописа ЕУ за органску производњу и ступања на снагу Уредбе (ЕУ) 2018/848 о органској производњи и означавању органских производа, као и стављања ван снаге Уредб</w:t>
      </w:r>
      <w:r w:rsidR="0031073D" w:rsidRPr="00EF2F18">
        <w:rPr>
          <w:rFonts w:cs="Times New Roman"/>
          <w:sz w:val="22"/>
          <w:lang w:val="sr-Cyrl-RS"/>
        </w:rPr>
        <w:t>е</w:t>
      </w:r>
      <w:r w:rsidRPr="00EF2F18">
        <w:rPr>
          <w:rFonts w:cs="Times New Roman"/>
          <w:sz w:val="22"/>
          <w:lang w:val="sr-Cyrl-RS"/>
        </w:rPr>
        <w:t xml:space="preserve"> (ЕЗ) бр. 834/2007, појавила се потреба да се национално законодавство у овој области потпуно усагласи са правним тековинама ЕУ, у циљу даљег развоја овог сектора, као и обезбеђивања несметаног извоза органских производа.</w:t>
      </w:r>
      <w:r w:rsidR="00B63039" w:rsidRPr="00EF2F18">
        <w:rPr>
          <w:rFonts w:cs="Times New Roman"/>
          <w:sz w:val="22"/>
          <w:lang w:val="sr-Cyrl-RS"/>
        </w:rPr>
        <w:t xml:space="preserve"> У вези са тим, усвојен је нови Закон о органској производњи („Службени гласник РС“, број 109/25), чија ће примена почети 1. јуна 2026. године.</w:t>
      </w:r>
    </w:p>
    <w:p w14:paraId="34ECBD11" w14:textId="77777777" w:rsidR="006822E8" w:rsidRPr="00EF2F18" w:rsidRDefault="006822E8" w:rsidP="00827A94">
      <w:pPr>
        <w:spacing w:after="0"/>
        <w:ind w:firstLine="720"/>
        <w:jc w:val="both"/>
        <w:rPr>
          <w:rFonts w:cs="Times New Roman"/>
          <w:sz w:val="22"/>
          <w:lang w:val="sr-Cyrl-RS"/>
        </w:rPr>
      </w:pPr>
    </w:p>
    <w:p w14:paraId="338F2589" w14:textId="4C46083B" w:rsidR="00827A94" w:rsidRPr="00EF2F18" w:rsidRDefault="00827A94" w:rsidP="00F34D8C">
      <w:pPr>
        <w:pStyle w:val="Heading3"/>
        <w:numPr>
          <w:ilvl w:val="2"/>
          <w:numId w:val="2"/>
        </w:numPr>
        <w:jc w:val="center"/>
        <w:rPr>
          <w:rFonts w:cs="Times New Roman"/>
          <w:sz w:val="22"/>
          <w:szCs w:val="22"/>
          <w:lang w:val="sr-Cyrl-RS"/>
        </w:rPr>
      </w:pPr>
      <w:bookmarkStart w:id="76" w:name="_Toc158307716"/>
      <w:r w:rsidRPr="00EF2F18">
        <w:rPr>
          <w:rFonts w:cs="Times New Roman"/>
          <w:sz w:val="22"/>
          <w:szCs w:val="22"/>
          <w:lang w:val="sr-Cyrl-RS"/>
        </w:rPr>
        <w:t>Агробиодиверзитет</w:t>
      </w:r>
      <w:bookmarkEnd w:id="76"/>
    </w:p>
    <w:p w14:paraId="159FC400" w14:textId="77777777" w:rsidR="00827A94" w:rsidRPr="00EF2F18" w:rsidRDefault="00827A94" w:rsidP="00F34D8C">
      <w:pPr>
        <w:spacing w:after="0"/>
        <w:ind w:firstLine="720"/>
        <w:rPr>
          <w:rFonts w:cs="Times New Roman"/>
          <w:b/>
          <w:i/>
          <w:iCs/>
          <w:sz w:val="22"/>
          <w:lang w:val="sr-Cyrl-RS"/>
        </w:rPr>
      </w:pPr>
      <w:r w:rsidRPr="00EF2F18">
        <w:rPr>
          <w:rFonts w:cs="Times New Roman"/>
          <w:b/>
          <w:i/>
          <w:iCs/>
          <w:sz w:val="22"/>
          <w:lang w:val="sr-Cyrl-RS"/>
        </w:rPr>
        <w:t>Биљни и животињски генетички ресурси</w:t>
      </w:r>
    </w:p>
    <w:p w14:paraId="0D394A50" w14:textId="692F40ED" w:rsidR="0019385A" w:rsidRPr="00EF2F18" w:rsidRDefault="00827A94" w:rsidP="00F15588">
      <w:pPr>
        <w:spacing w:after="0"/>
        <w:ind w:firstLine="720"/>
        <w:jc w:val="both"/>
        <w:rPr>
          <w:rFonts w:cs="Times New Roman"/>
          <w:sz w:val="22"/>
          <w:lang w:val="sr-Cyrl-RS"/>
        </w:rPr>
      </w:pPr>
      <w:r w:rsidRPr="00EF2F18">
        <w:rPr>
          <w:rFonts w:cs="Times New Roman"/>
          <w:sz w:val="22"/>
          <w:lang w:val="sr-Cyrl-RS" w:eastAsia="de-AT"/>
        </w:rPr>
        <w:t xml:space="preserve">У </w:t>
      </w:r>
      <w:r w:rsidR="00AA135E" w:rsidRPr="00EF2F18">
        <w:rPr>
          <w:rFonts w:cs="Times New Roman"/>
          <w:sz w:val="22"/>
          <w:lang w:val="sr-Cyrl-RS" w:eastAsia="de-AT"/>
        </w:rPr>
        <w:t xml:space="preserve">Републици </w:t>
      </w:r>
      <w:r w:rsidRPr="00EF2F18">
        <w:rPr>
          <w:rFonts w:cs="Times New Roman"/>
          <w:sz w:val="22"/>
          <w:lang w:val="sr-Cyrl-RS" w:eastAsia="de-AT"/>
        </w:rPr>
        <w:t xml:space="preserve">Србији постоји преко 40 аутохтоних раса домаћих животиња. </w:t>
      </w:r>
      <w:r w:rsidRPr="00EF2F18">
        <w:rPr>
          <w:rFonts w:cs="Times New Roman"/>
          <w:sz w:val="22"/>
          <w:lang w:val="sr-Cyrl-RS"/>
        </w:rPr>
        <w:t xml:space="preserve">Листа генетских резерви домаћих животиња и њихов начин очувања, као и листа аутохтоних раса домаћих животиња и угрожених аутохтоних раса и критеријуми за утврђивање угрожености расе дефинисани су Правилником о листи генетских резерви домаћих животиња, начину очувања генетских резерви домаћих животиња као и о листи аутохтоних раса домаћих животиња и угрожених аутохтоних раса </w:t>
      </w:r>
      <w:r w:rsidR="00EB4316" w:rsidRPr="00EF2F18">
        <w:rPr>
          <w:rFonts w:cs="Times New Roman"/>
          <w:sz w:val="22"/>
          <w:lang w:val="sr-Cyrl-RS"/>
        </w:rPr>
        <w:t>(„Службени гласник РС</w:t>
      </w:r>
      <w:r w:rsidR="00A64280" w:rsidRPr="00EF2F18">
        <w:rPr>
          <w:rFonts w:cs="Times New Roman"/>
          <w:sz w:val="22"/>
          <w:lang w:val="sr-Cyrl-RS"/>
        </w:rPr>
        <w:t>”</w:t>
      </w:r>
      <w:r w:rsidR="00EB4316" w:rsidRPr="00EF2F18">
        <w:rPr>
          <w:rFonts w:cs="Times New Roman"/>
          <w:sz w:val="22"/>
          <w:lang w:val="sr-Cyrl-RS"/>
        </w:rPr>
        <w:t>, бр. 33/17 и</w:t>
      </w:r>
      <w:r w:rsidR="006C2E00" w:rsidRPr="00EF2F18">
        <w:rPr>
          <w:rFonts w:cs="Times New Roman"/>
          <w:sz w:val="22"/>
          <w:lang w:val="sr-Cyrl-RS"/>
        </w:rPr>
        <w:t xml:space="preserve"> </w:t>
      </w:r>
      <w:r w:rsidR="00EB4316" w:rsidRPr="00EF2F18">
        <w:rPr>
          <w:rFonts w:cs="Times New Roman"/>
          <w:sz w:val="22"/>
          <w:lang w:val="sr-Cyrl-RS"/>
        </w:rPr>
        <w:t>30/22)</w:t>
      </w:r>
      <w:r w:rsidRPr="00EF2F18">
        <w:rPr>
          <w:rFonts w:cs="Times New Roman"/>
          <w:sz w:val="22"/>
          <w:lang w:val="sr-Cyrl-RS"/>
        </w:rPr>
        <w:t>. Листа генетских резерви домаћих животиња представља минималан број домаћих животиња</w:t>
      </w:r>
      <w:r w:rsidR="00EB4316" w:rsidRPr="00EF2F18">
        <w:rPr>
          <w:rFonts w:cs="Times New Roman"/>
          <w:sz w:val="22"/>
          <w:lang w:val="sr-Cyrl-RS"/>
        </w:rPr>
        <w:t xml:space="preserve"> (приплодних </w:t>
      </w:r>
      <w:r w:rsidRPr="00EF2F18">
        <w:rPr>
          <w:rFonts w:cs="Times New Roman"/>
          <w:sz w:val="22"/>
          <w:lang w:val="sr-Cyrl-RS"/>
        </w:rPr>
        <w:t>грла) поједине врсте, односно расе домаћих животиња, потребан за гајење и очување њихове генетске разноврсности.</w:t>
      </w:r>
      <w:r w:rsidRPr="00EF2F18">
        <w:rPr>
          <w:rFonts w:cs="Times New Roman"/>
          <w:sz w:val="22"/>
          <w:shd w:val="clear" w:color="auto" w:fill="FFFFFF"/>
          <w:lang w:val="sr-Cyrl-RS"/>
        </w:rPr>
        <w:t xml:space="preserve"> </w:t>
      </w:r>
      <w:r w:rsidRPr="00EF2F18">
        <w:rPr>
          <w:rFonts w:cs="Times New Roman"/>
          <w:sz w:val="22"/>
          <w:lang w:val="sr-Cyrl-RS"/>
        </w:rPr>
        <w:t xml:space="preserve">Расе код којих је укупан број женских приплодних грла мањи од дефинисаног (нпр. за говеда 7.500 грла, за коње 5.000 грла, за свиње 15.000 грла, за овце и козе 10.000, за живину 25.000 грла) има статус угрожености. </w:t>
      </w:r>
      <w:r w:rsidRPr="00EF2F18">
        <w:rPr>
          <w:rFonts w:cs="Times New Roman"/>
          <w:sz w:val="22"/>
          <w:lang w:val="sr-Cyrl-RS" w:eastAsia="de-AT"/>
        </w:rPr>
        <w:t>Број</w:t>
      </w:r>
      <w:r w:rsidR="002717AA" w:rsidRPr="00EF2F18">
        <w:rPr>
          <w:rFonts w:cs="Times New Roman"/>
          <w:sz w:val="22"/>
          <w:lang w:val="sr-Cyrl-RS" w:eastAsia="de-AT"/>
        </w:rPr>
        <w:t xml:space="preserve"> </w:t>
      </w:r>
      <w:r w:rsidRPr="00EF2F18">
        <w:rPr>
          <w:rFonts w:cs="Times New Roman"/>
          <w:sz w:val="22"/>
          <w:lang w:val="sr-Cyrl-RS" w:eastAsia="de-AT"/>
        </w:rPr>
        <w:t xml:space="preserve">грла одређених аутохтоних раса и сојева домаћих животиња растао је у периоду од 2003. до 2019. године, као и број локација на којима се врши узгој аутохтоних раса и сојева домаћих животиња, што </w:t>
      </w:r>
      <w:r w:rsidR="005843EC" w:rsidRPr="00EF2F18">
        <w:rPr>
          <w:rFonts w:cs="Times New Roman"/>
          <w:sz w:val="22"/>
          <w:lang w:val="sr-Cyrl-RS" w:eastAsia="de-AT"/>
        </w:rPr>
        <w:t xml:space="preserve">је допринело </w:t>
      </w:r>
      <w:r w:rsidRPr="00EF2F18">
        <w:rPr>
          <w:rFonts w:cs="Times New Roman"/>
          <w:sz w:val="22"/>
          <w:lang w:val="sr-Cyrl-RS" w:eastAsia="de-AT"/>
        </w:rPr>
        <w:t>спровођењ</w:t>
      </w:r>
      <w:r w:rsidR="005843EC" w:rsidRPr="00EF2F18">
        <w:rPr>
          <w:rFonts w:cs="Times New Roman"/>
          <w:sz w:val="22"/>
          <w:lang w:val="sr-Cyrl-RS" w:eastAsia="de-AT"/>
        </w:rPr>
        <w:t>у</w:t>
      </w:r>
      <w:r w:rsidRPr="00EF2F18">
        <w:rPr>
          <w:rFonts w:cs="Times New Roman"/>
          <w:sz w:val="22"/>
          <w:lang w:val="sr-Cyrl-RS" w:eastAsia="de-AT"/>
        </w:rPr>
        <w:t xml:space="preserve"> </w:t>
      </w:r>
      <w:r w:rsidRPr="00EF2F18">
        <w:rPr>
          <w:rFonts w:cs="Times New Roman"/>
          <w:sz w:val="22"/>
          <w:lang w:val="sr-Cyrl-RS" w:eastAsia="de-AT"/>
        </w:rPr>
        <w:lastRenderedPageBreak/>
        <w:t xml:space="preserve">програма очувања животињских генетичких ресурса у Републици Србији. </w:t>
      </w:r>
      <w:r w:rsidRPr="00EF2F18">
        <w:rPr>
          <w:rFonts w:cs="Times New Roman"/>
          <w:sz w:val="22"/>
          <w:lang w:val="sr-Cyrl-RS"/>
        </w:rPr>
        <w:t xml:space="preserve">Правилником о подстицајима за очување животињских генетичких ресурса </w:t>
      </w:r>
      <w:r w:rsidR="00356BB4" w:rsidRPr="00EF2F18">
        <w:rPr>
          <w:rFonts w:cs="Times New Roman"/>
          <w:sz w:val="22"/>
          <w:lang w:val="sr-Cyrl-RS"/>
        </w:rPr>
        <w:t>(„Службени гласник РС</w:t>
      </w:r>
      <w:r w:rsidR="00A64280" w:rsidRPr="00EF2F18">
        <w:rPr>
          <w:rFonts w:cs="Times New Roman"/>
          <w:sz w:val="22"/>
          <w:lang w:val="sr-Cyrl-RS"/>
        </w:rPr>
        <w:t>”</w:t>
      </w:r>
      <w:r w:rsidR="00356BB4" w:rsidRPr="00EF2F18">
        <w:rPr>
          <w:rFonts w:cs="Times New Roman"/>
          <w:sz w:val="22"/>
          <w:lang w:val="sr-Cyrl-RS"/>
        </w:rPr>
        <w:t>, бр.</w:t>
      </w:r>
      <w:r w:rsidR="00A64280" w:rsidRPr="00EF2F18">
        <w:rPr>
          <w:rFonts w:cs="Times New Roman"/>
          <w:sz w:val="22"/>
          <w:lang w:val="sr-Cyrl-RS"/>
        </w:rPr>
        <w:t xml:space="preserve"> </w:t>
      </w:r>
      <w:r w:rsidR="00356BB4" w:rsidRPr="00EF2F18">
        <w:rPr>
          <w:rFonts w:cs="Times New Roman"/>
          <w:sz w:val="22"/>
          <w:lang w:val="sr-Cyrl-RS"/>
        </w:rPr>
        <w:t xml:space="preserve">83/13, 35/15, 28/16, 44/18 </w:t>
      </w:r>
      <w:r w:rsidR="00F34D8C" w:rsidRPr="00EF2F18">
        <w:rPr>
          <w:rFonts w:cs="Times New Roman"/>
          <w:sz w:val="22"/>
          <w:lang w:val="sr-Cyrl-RS"/>
        </w:rPr>
        <w:t>–</w:t>
      </w:r>
      <w:r w:rsidR="00356BB4" w:rsidRPr="00EF2F18">
        <w:rPr>
          <w:rFonts w:cs="Times New Roman"/>
          <w:sz w:val="22"/>
          <w:lang w:val="sr-Cyrl-RS"/>
        </w:rPr>
        <w:t xml:space="preserve"> др. закон, 104/18, 16/21 и 30/22)</w:t>
      </w:r>
      <w:r w:rsidR="00BD3DD6" w:rsidRPr="00EF2F18">
        <w:rPr>
          <w:rFonts w:cs="Times New Roman"/>
          <w:sz w:val="22"/>
          <w:lang w:val="sr-Cyrl-RS"/>
        </w:rPr>
        <w:t xml:space="preserve"> предвиђени су подстицаји за очување биљних и животињских генетичких ресурса</w:t>
      </w:r>
      <w:r w:rsidRPr="00EF2F18">
        <w:rPr>
          <w:rFonts w:cs="Times New Roman"/>
          <w:sz w:val="22"/>
          <w:lang w:val="sr-Cyrl-RS"/>
        </w:rPr>
        <w:t xml:space="preserve">, и то за: </w:t>
      </w:r>
      <w:r w:rsidRPr="00EF2F18">
        <w:rPr>
          <w:rFonts w:cs="Times New Roman"/>
          <w:i/>
          <w:iCs/>
          <w:sz w:val="22"/>
          <w:lang w:val="sr-Cyrl-RS"/>
        </w:rPr>
        <w:t>ex situ</w:t>
      </w:r>
      <w:r w:rsidRPr="00EF2F18">
        <w:rPr>
          <w:rFonts w:cs="Times New Roman"/>
          <w:sz w:val="22"/>
          <w:lang w:val="sr-Cyrl-RS"/>
        </w:rPr>
        <w:t xml:space="preserve"> и</w:t>
      </w:r>
      <w:r w:rsidR="002717AA" w:rsidRPr="00EF2F18">
        <w:rPr>
          <w:rFonts w:cs="Times New Roman"/>
          <w:sz w:val="22"/>
          <w:lang w:val="sr-Cyrl-RS"/>
        </w:rPr>
        <w:t xml:space="preserve"> </w:t>
      </w:r>
      <w:r w:rsidRPr="00EF2F18">
        <w:rPr>
          <w:rFonts w:cs="Times New Roman"/>
          <w:i/>
          <w:iCs/>
          <w:sz w:val="22"/>
          <w:lang w:val="sr-Cyrl-RS"/>
        </w:rPr>
        <w:t>in situ/on farm</w:t>
      </w:r>
      <w:r w:rsidRPr="00EF2F18">
        <w:rPr>
          <w:rFonts w:cs="Times New Roman"/>
          <w:iCs/>
          <w:sz w:val="22"/>
          <w:lang w:val="sr-Cyrl-RS"/>
        </w:rPr>
        <w:t xml:space="preserve"> </w:t>
      </w:r>
      <w:r w:rsidRPr="00EF2F18">
        <w:rPr>
          <w:rFonts w:cs="Times New Roman"/>
          <w:sz w:val="22"/>
          <w:lang w:val="sr-Cyrl-RS"/>
        </w:rPr>
        <w:t>очување на пољопривредним газдинствима. Ова мера доприноси употреби и одржавању пашњачких подручја, спречава девастацију и сукцесију станишта (биотопа), укључивању у програме органске производње и развоју производње традиционалних производа.</w:t>
      </w:r>
    </w:p>
    <w:p w14:paraId="4522247B" w14:textId="77777777" w:rsidR="00FB1686" w:rsidRPr="00EF2F18" w:rsidRDefault="00FB1686" w:rsidP="00F15588">
      <w:pPr>
        <w:spacing w:after="0"/>
        <w:ind w:firstLine="720"/>
        <w:jc w:val="both"/>
        <w:rPr>
          <w:rFonts w:cs="Times New Roman"/>
          <w:sz w:val="22"/>
          <w:lang w:val="sr-Cyrl-RS"/>
        </w:rPr>
      </w:pPr>
    </w:p>
    <w:p w14:paraId="69E48965" w14:textId="7D421128" w:rsidR="0019385A" w:rsidRPr="00EF2F18" w:rsidRDefault="00182AFC" w:rsidP="00F15588">
      <w:pPr>
        <w:spacing w:after="0"/>
        <w:jc w:val="center"/>
        <w:rPr>
          <w:rFonts w:cs="Times New Roman"/>
          <w:sz w:val="22"/>
          <w:lang w:val="sr-Cyrl-RS" w:eastAsia="de-AT"/>
        </w:rPr>
      </w:pPr>
      <w:r w:rsidRPr="00EF2F18">
        <w:rPr>
          <w:noProof/>
          <w:lang w:val="sr-Cyrl-RS" w:eastAsia="sr-Cyrl-RS"/>
        </w:rPr>
        <w:drawing>
          <wp:inline distT="0" distB="0" distL="0" distR="0" wp14:anchorId="09A44193" wp14:editId="0D29279C">
            <wp:extent cx="4924425" cy="2095441"/>
            <wp:effectExtent l="0" t="0" r="0" b="635"/>
            <wp:docPr id="585170807" name="Picture 5" descr="A graph of a number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170807" name="Picture 5" descr="A graph of a number of different colored lines&#10;&#10;AI-generated content may b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35934" cy="2100338"/>
                    </a:xfrm>
                    <a:prstGeom prst="rect">
                      <a:avLst/>
                    </a:prstGeom>
                    <a:noFill/>
                    <a:ln>
                      <a:noFill/>
                    </a:ln>
                  </pic:spPr>
                </pic:pic>
              </a:graphicData>
            </a:graphic>
          </wp:inline>
        </w:drawing>
      </w:r>
    </w:p>
    <w:p w14:paraId="4BF6AEB1" w14:textId="1A1F4595" w:rsidR="0019385A" w:rsidRPr="00EF2F18" w:rsidRDefault="0019385A" w:rsidP="0019385A">
      <w:pPr>
        <w:autoSpaceDE w:val="0"/>
        <w:autoSpaceDN w:val="0"/>
        <w:adjustRightInd w:val="0"/>
        <w:spacing w:after="0"/>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007E2A58" w:rsidRPr="00EF2F18">
        <w:rPr>
          <w:rFonts w:cs="Times New Roman"/>
          <w:b/>
          <w:bCs/>
          <w:sz w:val="22"/>
          <w:lang w:val="sr-Cyrl-RS"/>
        </w:rPr>
        <w:t>.</w:t>
      </w:r>
      <w:r w:rsidR="00647E28" w:rsidRPr="00EF2F18">
        <w:rPr>
          <w:rFonts w:cs="Times New Roman"/>
          <w:b/>
          <w:bCs/>
          <w:sz w:val="22"/>
          <w:lang w:val="sr-Cyrl-RS"/>
        </w:rPr>
        <w:t>3</w:t>
      </w:r>
      <w:r w:rsidR="00FA4A67" w:rsidRPr="00EF2F18">
        <w:rPr>
          <w:rFonts w:cs="Times New Roman"/>
          <w:b/>
          <w:bCs/>
          <w:sz w:val="22"/>
          <w:lang w:val="sr-Cyrl-RS"/>
        </w:rPr>
        <w:t>7</w:t>
      </w:r>
      <w:r w:rsidR="007E2A58" w:rsidRPr="00EF2F18">
        <w:rPr>
          <w:rFonts w:cs="Times New Roman"/>
          <w:b/>
          <w:bCs/>
          <w:sz w:val="22"/>
          <w:lang w:val="sr-Cyrl-RS"/>
        </w:rPr>
        <w:t>.</w:t>
      </w:r>
      <w:r w:rsidRPr="00EF2F18">
        <w:rPr>
          <w:rFonts w:cs="Times New Roman"/>
          <w:sz w:val="22"/>
          <w:lang w:val="sr-Cyrl-RS"/>
        </w:rPr>
        <w:t xml:space="preserve"> Приказ броја грла одређених аутохтоних раса домаћих животиња у периоду 2013</w:t>
      </w:r>
      <w:r w:rsidR="00F34D8C" w:rsidRPr="00EF2F18">
        <w:rPr>
          <w:rFonts w:cs="Times New Roman"/>
          <w:sz w:val="22"/>
          <w:lang w:val="sr-Cyrl-RS"/>
        </w:rPr>
        <w:t xml:space="preserve"> –</w:t>
      </w:r>
      <w:r w:rsidR="00182AFC" w:rsidRPr="00EF2F18">
        <w:rPr>
          <w:rFonts w:cs="Times New Roman"/>
          <w:sz w:val="22"/>
          <w:lang w:val="sr-Cyrl-RS"/>
        </w:rPr>
        <w:t>2023</w:t>
      </w:r>
      <w:r w:rsidRPr="00EF2F18">
        <w:rPr>
          <w:rFonts w:cs="Times New Roman"/>
          <w:sz w:val="22"/>
          <w:lang w:val="sr-Cyrl-RS"/>
        </w:rPr>
        <w:t>. године</w:t>
      </w:r>
    </w:p>
    <w:p w14:paraId="6ACE38EB" w14:textId="4155F442" w:rsidR="0019385A" w:rsidRPr="00EF2F18" w:rsidRDefault="00A634C6" w:rsidP="0019385A">
      <w:pPr>
        <w:autoSpaceDE w:val="0"/>
        <w:autoSpaceDN w:val="0"/>
        <w:adjustRightInd w:val="0"/>
        <w:spacing w:after="0"/>
        <w:rPr>
          <w:rFonts w:cs="Times New Roman"/>
          <w:i/>
          <w:sz w:val="22"/>
          <w:lang w:val="sr-Cyrl-RS"/>
        </w:rPr>
      </w:pPr>
      <w:r w:rsidRPr="00EF2F18">
        <w:rPr>
          <w:rFonts w:cs="Times New Roman"/>
          <w:i/>
          <w:sz w:val="22"/>
          <w:lang w:val="sr-Cyrl-RS"/>
        </w:rPr>
        <w:t xml:space="preserve">Извор: Агенција за заштиту животне средине, </w:t>
      </w:r>
      <w:r w:rsidR="00182AFC" w:rsidRPr="00EF2F18">
        <w:rPr>
          <w:rFonts w:cs="Times New Roman"/>
          <w:i/>
          <w:sz w:val="22"/>
          <w:lang w:val="sr-Cyrl-RS"/>
        </w:rPr>
        <w:t>2024</w:t>
      </w:r>
      <w:r w:rsidRPr="00EF2F18">
        <w:rPr>
          <w:rFonts w:cs="Times New Roman"/>
          <w:i/>
          <w:sz w:val="22"/>
          <w:lang w:val="sr-Cyrl-RS"/>
        </w:rPr>
        <w:t>.</w:t>
      </w:r>
      <w:r w:rsidR="0019385A" w:rsidRPr="00EF2F18">
        <w:rPr>
          <w:rFonts w:cs="Times New Roman"/>
          <w:i/>
          <w:sz w:val="22"/>
          <w:lang w:val="sr-Cyrl-RS"/>
        </w:rPr>
        <w:t xml:space="preserve"> </w:t>
      </w:r>
    </w:p>
    <w:p w14:paraId="046A6C83" w14:textId="77777777" w:rsidR="0019385A" w:rsidRPr="00EF2F18" w:rsidRDefault="0019385A" w:rsidP="0019385A">
      <w:pPr>
        <w:autoSpaceDE w:val="0"/>
        <w:autoSpaceDN w:val="0"/>
        <w:adjustRightInd w:val="0"/>
        <w:spacing w:after="0"/>
        <w:rPr>
          <w:rFonts w:cs="Times New Roman"/>
          <w:sz w:val="22"/>
          <w:lang w:val="sr-Cyrl-RS" w:eastAsia="de-AT"/>
        </w:rPr>
      </w:pPr>
    </w:p>
    <w:p w14:paraId="7D8F6CAD" w14:textId="74645E89" w:rsidR="00827A94" w:rsidRPr="00EF2F18" w:rsidRDefault="0019385A" w:rsidP="0019385A">
      <w:pPr>
        <w:autoSpaceDE w:val="0"/>
        <w:autoSpaceDN w:val="0"/>
        <w:adjustRightInd w:val="0"/>
        <w:spacing w:after="0"/>
        <w:ind w:firstLine="720"/>
        <w:jc w:val="both"/>
        <w:rPr>
          <w:rFonts w:cs="Times New Roman"/>
          <w:sz w:val="22"/>
          <w:lang w:val="sr-Cyrl-RS" w:eastAsia="de-AT"/>
        </w:rPr>
      </w:pPr>
      <w:r w:rsidRPr="00EF2F18">
        <w:rPr>
          <w:rFonts w:cs="Times New Roman"/>
          <w:sz w:val="22"/>
          <w:lang w:val="sr-Cyrl-RS"/>
        </w:rPr>
        <w:t>Анализа података за период 2013</w:t>
      </w:r>
      <w:r w:rsidR="00F34D8C" w:rsidRPr="00EF2F18">
        <w:rPr>
          <w:rFonts w:cs="Times New Roman"/>
          <w:sz w:val="22"/>
          <w:lang w:val="sr-Cyrl-RS"/>
        </w:rPr>
        <w:t xml:space="preserve"> – </w:t>
      </w:r>
      <w:r w:rsidR="00182AFC" w:rsidRPr="00EF2F18">
        <w:rPr>
          <w:rFonts w:cs="Times New Roman"/>
          <w:sz w:val="22"/>
          <w:lang w:val="sr-Cyrl-RS"/>
        </w:rPr>
        <w:t>2023</w:t>
      </w:r>
      <w:r w:rsidRPr="00EF2F18">
        <w:rPr>
          <w:rFonts w:cs="Times New Roman"/>
          <w:sz w:val="22"/>
          <w:lang w:val="sr-Cyrl-RS"/>
        </w:rPr>
        <w:t>. године показује повећање бројности популације највећег броја аутохтоних раса и сојева домаћих животиња, што је директни резултат спровођења програма очувања животињских генетичких ресурса у Републици Србији. Подаци приказују само грла која су пријављена у матичној евиденцији Министарства пољопривреде, шумарства и водопривреде.</w:t>
      </w:r>
      <w:r w:rsidR="003864D1" w:rsidRPr="00EF2F18">
        <w:rPr>
          <w:rFonts w:cs="Times New Roman"/>
          <w:sz w:val="22"/>
          <w:lang w:val="sr-Cyrl-RS"/>
        </w:rPr>
        <w:t xml:space="preserve"> </w:t>
      </w:r>
      <w:r w:rsidR="00827A94" w:rsidRPr="00EF2F18">
        <w:rPr>
          <w:rFonts w:cs="Times New Roman"/>
          <w:sz w:val="22"/>
          <w:lang w:val="sr-Cyrl-RS" w:eastAsia="de-AT"/>
        </w:rPr>
        <w:t xml:space="preserve">Очување животињских генетичких ресурса одвија се на ограниченом броју локација и газдинстава, </w:t>
      </w:r>
      <w:r w:rsidR="005843EC" w:rsidRPr="00EF2F18">
        <w:rPr>
          <w:rFonts w:cs="Times New Roman"/>
          <w:sz w:val="22"/>
          <w:lang w:val="sr-Cyrl-RS" w:eastAsia="de-AT"/>
        </w:rPr>
        <w:t>што повећава ризике</w:t>
      </w:r>
      <w:r w:rsidR="00827A94" w:rsidRPr="00EF2F18">
        <w:rPr>
          <w:rFonts w:cs="Times New Roman"/>
          <w:sz w:val="22"/>
          <w:lang w:val="sr-Cyrl-RS" w:eastAsia="de-AT"/>
        </w:rPr>
        <w:t xml:space="preserve"> од болести, климатских промена и загађења. Поред тога, ветеринарска служба и</w:t>
      </w:r>
      <w:r w:rsidR="002717AA" w:rsidRPr="00EF2F18">
        <w:rPr>
          <w:rFonts w:cs="Times New Roman"/>
          <w:sz w:val="22"/>
          <w:lang w:val="sr-Cyrl-RS" w:eastAsia="de-AT"/>
        </w:rPr>
        <w:t xml:space="preserve"> </w:t>
      </w:r>
      <w:r w:rsidR="00827A94" w:rsidRPr="00EF2F18">
        <w:rPr>
          <w:rFonts w:cs="Times New Roman"/>
          <w:sz w:val="22"/>
          <w:lang w:val="sr-Cyrl-RS" w:eastAsia="de-AT"/>
        </w:rPr>
        <w:t>саветодавне услуге су недовољно доступни и немају капацитет да у потпуности одговоре на специфичне потребе газдинстава која се баве овом производњом. Важну улогу у</w:t>
      </w:r>
      <w:r w:rsidR="002717AA" w:rsidRPr="00EF2F18">
        <w:rPr>
          <w:rFonts w:cs="Times New Roman"/>
          <w:sz w:val="22"/>
          <w:lang w:val="sr-Cyrl-RS" w:eastAsia="de-AT"/>
        </w:rPr>
        <w:t xml:space="preserve"> </w:t>
      </w:r>
      <w:r w:rsidR="00827A94" w:rsidRPr="00EF2F18">
        <w:rPr>
          <w:rFonts w:cs="Times New Roman"/>
          <w:sz w:val="22"/>
          <w:lang w:val="sr-Cyrl-RS" w:eastAsia="de-AT"/>
        </w:rPr>
        <w:t xml:space="preserve">очувању угрожених животиња имају пољопривредна газдинства, предузетници и невладине организације, који су у оквиру различитих пројеката радили на рехабилитацији традиционалних ланаца вредности и њиховом интегрисању у сектор туризма. </w:t>
      </w:r>
    </w:p>
    <w:p w14:paraId="0249211D" w14:textId="269085CE" w:rsidR="00827A94" w:rsidRPr="00EF2F18" w:rsidRDefault="00827A94" w:rsidP="00827A94">
      <w:pPr>
        <w:spacing w:after="0"/>
        <w:ind w:firstLine="720"/>
        <w:jc w:val="both"/>
        <w:rPr>
          <w:rFonts w:cs="Times New Roman"/>
          <w:sz w:val="22"/>
          <w:lang w:val="sr-Cyrl-RS"/>
        </w:rPr>
      </w:pPr>
      <w:r w:rsidRPr="00EF2F18">
        <w:rPr>
          <w:rFonts w:cs="Times New Roman"/>
          <w:sz w:val="22"/>
          <w:lang w:val="sr-Cyrl-RS"/>
        </w:rPr>
        <w:t>Очување биљних генетичких ресурса врши</w:t>
      </w:r>
      <w:r w:rsidR="003864D1" w:rsidRPr="00EF2F18">
        <w:rPr>
          <w:rFonts w:cs="Times New Roman"/>
          <w:sz w:val="22"/>
          <w:lang w:val="sr-Cyrl-RS"/>
        </w:rPr>
        <w:t xml:space="preserve"> се</w:t>
      </w:r>
      <w:r w:rsidRPr="00EF2F18">
        <w:rPr>
          <w:rFonts w:cs="Times New Roman"/>
          <w:sz w:val="22"/>
          <w:lang w:val="sr-Cyrl-RS"/>
        </w:rPr>
        <w:t xml:space="preserve"> на два начина: </w:t>
      </w:r>
      <w:r w:rsidRPr="00EF2F18">
        <w:rPr>
          <w:rFonts w:cs="Times New Roman"/>
          <w:i/>
          <w:iCs/>
          <w:sz w:val="22"/>
          <w:lang w:val="sr-Cyrl-RS"/>
        </w:rPr>
        <w:t>in-situ</w:t>
      </w:r>
      <w:r w:rsidRPr="00EF2F18">
        <w:rPr>
          <w:rFonts w:cs="Times New Roman"/>
          <w:sz w:val="22"/>
          <w:lang w:val="sr-Cyrl-RS"/>
        </w:rPr>
        <w:t xml:space="preserve"> i </w:t>
      </w:r>
      <w:r w:rsidRPr="00EF2F18">
        <w:rPr>
          <w:rFonts w:cs="Times New Roman"/>
          <w:i/>
          <w:iCs/>
          <w:sz w:val="22"/>
          <w:lang w:val="sr-Cyrl-RS"/>
        </w:rPr>
        <w:t>ex-situ</w:t>
      </w:r>
      <w:r w:rsidRPr="00EF2F18">
        <w:rPr>
          <w:rFonts w:cs="Times New Roman"/>
          <w:sz w:val="22"/>
          <w:lang w:val="sr-Cyrl-RS"/>
        </w:rPr>
        <w:t xml:space="preserve">. Генетички ресурси воћака и винове лозе одржавају се </w:t>
      </w:r>
      <w:r w:rsidRPr="00EF2F18">
        <w:rPr>
          <w:rFonts w:cs="Times New Roman"/>
          <w:i/>
          <w:iCs/>
          <w:sz w:val="22"/>
          <w:lang w:val="sr-Cyrl-RS"/>
        </w:rPr>
        <w:t>in-situ</w:t>
      </w:r>
      <w:r w:rsidRPr="00EF2F18">
        <w:rPr>
          <w:rFonts w:cs="Times New Roman"/>
          <w:sz w:val="22"/>
          <w:lang w:val="sr-Cyrl-RS"/>
        </w:rPr>
        <w:t xml:space="preserve"> на приватним имањима и у сарадњи са државним институцијама (огледна добра пољопривредних факултета у Београду и Новом Саду, Институт за воћарство у Чачку и Институт за виноградараство и винарство у Нишу). Већина генетичких ресурса је тренутно заштићена </w:t>
      </w:r>
      <w:r w:rsidRPr="00EF2F18">
        <w:rPr>
          <w:rFonts w:cs="Times New Roman"/>
          <w:i/>
          <w:iCs/>
          <w:sz w:val="22"/>
          <w:lang w:val="sr-Cyrl-RS"/>
        </w:rPr>
        <w:t>ex-situ</w:t>
      </w:r>
      <w:r w:rsidRPr="00EF2F18">
        <w:rPr>
          <w:rFonts w:cs="Times New Roman"/>
          <w:sz w:val="22"/>
          <w:lang w:val="sr-Cyrl-RS"/>
        </w:rPr>
        <w:t>, односно изван њихових природних станишта, у Банци биљних гена у оквиру Националне референтне лабораторије, као и у колекцијама оплемењивачких института. Број узорака који се и налазе у Националној колекцији биљних генетичких ресурса која се чува у Банци биљних гена је око 4.240 од 249 биљних врста. Један од највећих изазова за очувања генетичких ресурса је њихова евиденција</w:t>
      </w:r>
      <w:r w:rsidR="002717AA" w:rsidRPr="00EF2F18">
        <w:rPr>
          <w:rFonts w:cs="Times New Roman"/>
          <w:sz w:val="22"/>
          <w:lang w:val="sr-Cyrl-RS"/>
        </w:rPr>
        <w:t xml:space="preserve"> </w:t>
      </w:r>
      <w:r w:rsidR="005843EC" w:rsidRPr="00EF2F18">
        <w:rPr>
          <w:rFonts w:ascii="Courier New" w:hAnsi="Courier New" w:cs="Courier New"/>
          <w:sz w:val="22"/>
          <w:lang w:val="sr-Cyrl-RS"/>
        </w:rPr>
        <w:t>-</w:t>
      </w:r>
      <w:r w:rsidRPr="00EF2F18">
        <w:rPr>
          <w:rFonts w:cs="Times New Roman"/>
          <w:sz w:val="22"/>
          <w:lang w:val="sr-Cyrl-RS"/>
        </w:rPr>
        <w:t xml:space="preserve"> попис, сакупљање, карактеризација, евалуација, документација и одрживо коришћење. На основу Закона о признавању сорти пољопривредног биља </w:t>
      </w:r>
      <w:r w:rsidR="00356BB4" w:rsidRPr="00EF2F18">
        <w:rPr>
          <w:rFonts w:cs="Times New Roman"/>
          <w:sz w:val="22"/>
          <w:lang w:val="sr-Cyrl-RS"/>
        </w:rPr>
        <w:t>(„Службени гласник РС</w:t>
      </w:r>
      <w:r w:rsidR="00A64280" w:rsidRPr="00EF2F18">
        <w:rPr>
          <w:rFonts w:cs="Times New Roman"/>
          <w:sz w:val="22"/>
          <w:lang w:val="sr-Cyrl-RS"/>
        </w:rPr>
        <w:t>”</w:t>
      </w:r>
      <w:r w:rsidR="00356BB4" w:rsidRPr="00EF2F18">
        <w:rPr>
          <w:rFonts w:cs="Times New Roman"/>
          <w:sz w:val="22"/>
          <w:lang w:val="sr-Cyrl-RS"/>
        </w:rPr>
        <w:t>, бр</w:t>
      </w:r>
      <w:r w:rsidR="009924F2" w:rsidRPr="00EF2F18">
        <w:rPr>
          <w:rFonts w:cs="Times New Roman"/>
          <w:sz w:val="22"/>
          <w:lang w:val="sr-Cyrl-RS"/>
        </w:rPr>
        <w:t>.</w:t>
      </w:r>
      <w:r w:rsidR="00356BB4" w:rsidRPr="00EF2F18">
        <w:rPr>
          <w:rFonts w:cs="Times New Roman"/>
          <w:sz w:val="22"/>
          <w:lang w:val="sr-Cyrl-RS"/>
        </w:rPr>
        <w:t xml:space="preserve"> 30/10</w:t>
      </w:r>
      <w:r w:rsidR="009924F2" w:rsidRPr="00EF2F18">
        <w:rPr>
          <w:rFonts w:cs="Times New Roman"/>
          <w:sz w:val="22"/>
          <w:lang w:val="sr-Cyrl-RS"/>
        </w:rPr>
        <w:t xml:space="preserve"> и 9/25</w:t>
      </w:r>
      <w:r w:rsidR="00356BB4" w:rsidRPr="00EF2F18">
        <w:rPr>
          <w:rFonts w:cs="Times New Roman"/>
          <w:sz w:val="22"/>
          <w:lang w:val="sr-Cyrl-RS"/>
        </w:rPr>
        <w:t xml:space="preserve">) </w:t>
      </w:r>
      <w:r w:rsidRPr="00EF2F18">
        <w:rPr>
          <w:rFonts w:cs="Times New Roman"/>
          <w:sz w:val="22"/>
          <w:lang w:val="sr-Cyrl-RS"/>
        </w:rPr>
        <w:t>и Закон</w:t>
      </w:r>
      <w:r w:rsidR="00122234" w:rsidRPr="00EF2F18">
        <w:rPr>
          <w:rFonts w:cs="Times New Roman"/>
          <w:sz w:val="22"/>
          <w:lang w:val="sr-Cyrl-RS"/>
        </w:rPr>
        <w:t>а</w:t>
      </w:r>
      <w:r w:rsidRPr="00EF2F18">
        <w:rPr>
          <w:rFonts w:cs="Times New Roman"/>
          <w:sz w:val="22"/>
          <w:lang w:val="sr-Cyrl-RS"/>
        </w:rPr>
        <w:t xml:space="preserve"> о заштити права оплемењивача биљних сорти </w:t>
      </w:r>
      <w:r w:rsidR="00356BB4" w:rsidRPr="00EF2F18">
        <w:rPr>
          <w:rFonts w:cs="Times New Roman"/>
          <w:sz w:val="22"/>
          <w:lang w:val="sr-Cyrl-RS"/>
        </w:rPr>
        <w:t>(„Службени гласник РС</w:t>
      </w:r>
      <w:r w:rsidR="00E472A9" w:rsidRPr="00EF2F18">
        <w:rPr>
          <w:rFonts w:cs="Times New Roman"/>
          <w:sz w:val="22"/>
          <w:lang w:val="sr-Cyrl-RS"/>
        </w:rPr>
        <w:t>”</w:t>
      </w:r>
      <w:r w:rsidR="00356BB4" w:rsidRPr="00EF2F18">
        <w:rPr>
          <w:rFonts w:cs="Times New Roman"/>
          <w:sz w:val="22"/>
          <w:lang w:val="sr-Cyrl-RS"/>
        </w:rPr>
        <w:t xml:space="preserve">, бр. 41/09 и 88/11). </w:t>
      </w:r>
      <w:r w:rsidRPr="00EF2F18">
        <w:rPr>
          <w:rFonts w:cs="Times New Roman"/>
          <w:sz w:val="22"/>
          <w:lang w:val="sr-Cyrl-RS"/>
        </w:rPr>
        <w:t>Министарство надлежно за послове пољопривреде води евиденцију о признатим сортама и регистар заштићених биљних сорти.</w:t>
      </w:r>
      <w:r w:rsidR="002717AA" w:rsidRPr="00EF2F18">
        <w:rPr>
          <w:rFonts w:cs="Times New Roman"/>
          <w:sz w:val="22"/>
          <w:lang w:val="sr-Cyrl-RS"/>
        </w:rPr>
        <w:t xml:space="preserve"> </w:t>
      </w:r>
    </w:p>
    <w:p w14:paraId="4A87F72D" w14:textId="77777777" w:rsidR="00827A94" w:rsidRPr="00EF2F18" w:rsidRDefault="00827A94" w:rsidP="00827A94">
      <w:pPr>
        <w:spacing w:after="0"/>
        <w:ind w:firstLine="720"/>
        <w:jc w:val="both"/>
        <w:rPr>
          <w:rFonts w:cs="Times New Roman"/>
          <w:sz w:val="22"/>
          <w:lang w:val="sr-Cyrl-RS"/>
        </w:rPr>
      </w:pPr>
      <w:r w:rsidRPr="00EF2F18">
        <w:rPr>
          <w:rFonts w:cs="Times New Roman"/>
          <w:sz w:val="22"/>
          <w:lang w:val="sr-Cyrl-RS"/>
        </w:rPr>
        <w:t xml:space="preserve">Независно од гајених биљака, укупном агробиодиверзитету Републике Србије значајно доприносе и самоникле врсте биљака од значаја за производњу хране и пољопривреду (крмне биљке, лековите и ароматичне биљке, украсне биљке, медоносне и дивље воћне врсте, микроорганизми и гљиве), али и ливаде, пашњаци, ивична и рудерална станишта, укључујући </w:t>
      </w:r>
      <w:r w:rsidRPr="00EF2F18">
        <w:rPr>
          <w:rFonts w:cs="Times New Roman"/>
          <w:sz w:val="22"/>
          <w:lang w:val="sr-Cyrl-RS"/>
        </w:rPr>
        <w:lastRenderedPageBreak/>
        <w:t>коровску флору и вегетацију. Укупан број лековитих и ароматичних биљних врста у нашој флори је око 700, од којих je 420 званично регистровано, а у промету се налази око 280. Медоносне биљне врсте су, пре свега, компоненте ливадских, шумских и агроекосистема, а њихов број у Републици Србији процењује се на око 1.800. Досадашња проучавања диверзитета коровске флоре у Републици Србији показала су да број коровских врста схваћених у најширем смислу чини око 28% од укупне флоре.</w:t>
      </w:r>
    </w:p>
    <w:p w14:paraId="39C1524F" w14:textId="77777777" w:rsidR="00827A94" w:rsidRPr="00EF2F18" w:rsidRDefault="00827A94" w:rsidP="00827A94">
      <w:pPr>
        <w:spacing w:after="0"/>
        <w:rPr>
          <w:rFonts w:cs="Times New Roman"/>
          <w:i/>
          <w:iCs/>
          <w:sz w:val="22"/>
          <w:lang w:val="sr-Cyrl-RS"/>
        </w:rPr>
      </w:pPr>
    </w:p>
    <w:p w14:paraId="5D22688B" w14:textId="2378EE08" w:rsidR="00827A94" w:rsidRPr="00EF2F18" w:rsidRDefault="00827A94" w:rsidP="00827A94">
      <w:pPr>
        <w:spacing w:after="0"/>
        <w:rPr>
          <w:rFonts w:cs="Times New Roman"/>
          <w:b/>
          <w:i/>
          <w:iCs/>
          <w:sz w:val="22"/>
          <w:lang w:val="sr-Cyrl-RS"/>
        </w:rPr>
      </w:pPr>
      <w:r w:rsidRPr="00EF2F18">
        <w:rPr>
          <w:rFonts w:cs="Times New Roman"/>
          <w:b/>
          <w:i/>
          <w:iCs/>
          <w:sz w:val="22"/>
          <w:lang w:val="sr-Cyrl-RS"/>
        </w:rPr>
        <w:t xml:space="preserve">Пољопривредна подручја високе природне вредности (High Nature Value Farmland </w:t>
      </w:r>
      <w:r w:rsidR="00F34D8C" w:rsidRPr="00EF2F18">
        <w:rPr>
          <w:rFonts w:cs="Times New Roman"/>
          <w:b/>
          <w:i/>
          <w:iCs/>
          <w:sz w:val="22"/>
          <w:lang w:val="sr-Cyrl-RS"/>
        </w:rPr>
        <w:t>–</w:t>
      </w:r>
      <w:r w:rsidRPr="00EF2F18">
        <w:rPr>
          <w:rFonts w:cs="Times New Roman"/>
          <w:b/>
          <w:i/>
          <w:iCs/>
          <w:sz w:val="22"/>
          <w:lang w:val="sr-Cyrl-RS"/>
        </w:rPr>
        <w:t xml:space="preserve"> HNVF)</w:t>
      </w:r>
    </w:p>
    <w:p w14:paraId="15D8A8B3" w14:textId="0CBCFB6A" w:rsidR="00827A94" w:rsidRPr="00EF2F18" w:rsidRDefault="00827A94" w:rsidP="00827A94">
      <w:pPr>
        <w:spacing w:after="0"/>
        <w:ind w:firstLine="720"/>
        <w:jc w:val="both"/>
        <w:rPr>
          <w:rFonts w:cs="Times New Roman"/>
          <w:sz w:val="22"/>
          <w:lang w:val="sr-Cyrl-RS" w:eastAsia="de-AT"/>
        </w:rPr>
      </w:pPr>
      <w:r w:rsidRPr="00EF2F18">
        <w:rPr>
          <w:rFonts w:cs="Times New Roman"/>
          <w:sz w:val="22"/>
          <w:lang w:val="sr-Cyrl-RS" w:eastAsia="de-AT"/>
        </w:rPr>
        <w:t>Пољопривредна подручја високе природне вредности (</w:t>
      </w:r>
      <w:r w:rsidRPr="00EF2F18">
        <w:rPr>
          <w:rFonts w:cs="Times New Roman"/>
          <w:i/>
          <w:iCs/>
          <w:color w:val="000000"/>
          <w:sz w:val="22"/>
          <w:lang w:val="sr-Cyrl-RS"/>
        </w:rPr>
        <w:t xml:space="preserve">High Nature Value Farmland </w:t>
      </w:r>
      <w:r w:rsidR="00F34D8C" w:rsidRPr="00EF2F18">
        <w:rPr>
          <w:rFonts w:cs="Times New Roman"/>
          <w:b/>
          <w:i/>
          <w:iCs/>
          <w:sz w:val="22"/>
          <w:lang w:val="sr-Cyrl-RS"/>
        </w:rPr>
        <w:t>–</w:t>
      </w:r>
      <w:r w:rsidRPr="00EF2F18">
        <w:rPr>
          <w:rFonts w:cs="Times New Roman"/>
          <w:i/>
          <w:iCs/>
          <w:color w:val="000000"/>
          <w:sz w:val="22"/>
          <w:lang w:val="sr-Cyrl-RS"/>
        </w:rPr>
        <w:t xml:space="preserve"> HNVF</w:t>
      </w:r>
      <w:r w:rsidRPr="00EF2F18">
        <w:rPr>
          <w:rFonts w:cs="Times New Roman"/>
          <w:sz w:val="22"/>
          <w:lang w:val="sr-Cyrl-RS" w:eastAsia="de-AT"/>
        </w:rPr>
        <w:t>) у</w:t>
      </w:r>
      <w:r w:rsidR="009D701D" w:rsidRPr="00EF2F18">
        <w:rPr>
          <w:rFonts w:cs="Times New Roman"/>
          <w:sz w:val="22"/>
          <w:lang w:val="sr-Cyrl-RS" w:eastAsia="de-AT"/>
        </w:rPr>
        <w:t xml:space="preserve"> Републици</w:t>
      </w:r>
      <w:r w:rsidRPr="00EF2F18">
        <w:rPr>
          <w:rFonts w:cs="Times New Roman"/>
          <w:sz w:val="22"/>
          <w:lang w:val="sr-Cyrl-RS" w:eastAsia="de-AT"/>
        </w:rPr>
        <w:t xml:space="preserve"> Србији још нису законски одређена као таква. Према подацима Агенције за заштиту животне средине, пољопривредна подручја високе природне вредности у </w:t>
      </w:r>
      <w:r w:rsidR="00ED1026" w:rsidRPr="00EF2F18">
        <w:rPr>
          <w:rFonts w:cs="Times New Roman"/>
          <w:sz w:val="22"/>
          <w:lang w:val="sr-Cyrl-RS" w:eastAsia="de-AT"/>
        </w:rPr>
        <w:t xml:space="preserve">Републици </w:t>
      </w:r>
      <w:r w:rsidRPr="00EF2F18">
        <w:rPr>
          <w:rFonts w:cs="Times New Roman"/>
          <w:sz w:val="22"/>
          <w:lang w:val="sr-Cyrl-RS" w:eastAsia="de-AT"/>
        </w:rPr>
        <w:t xml:space="preserve">Србији покривају </w:t>
      </w:r>
      <w:r w:rsidRPr="00EF2F18">
        <w:rPr>
          <w:rFonts w:cs="Times New Roman"/>
          <w:iCs/>
          <w:sz w:val="22"/>
          <w:lang w:val="sr-Cyrl-RS" w:eastAsia="de-AT"/>
        </w:rPr>
        <w:t>11.872 km</w:t>
      </w:r>
      <w:r w:rsidRPr="00EF2F18">
        <w:rPr>
          <w:rFonts w:cs="Times New Roman"/>
          <w:iCs/>
          <w:sz w:val="22"/>
          <w:vertAlign w:val="superscript"/>
          <w:lang w:val="sr-Cyrl-RS" w:eastAsia="de-AT"/>
        </w:rPr>
        <w:t>2</w:t>
      </w:r>
      <w:r w:rsidRPr="00EF2F18">
        <w:rPr>
          <w:rFonts w:cs="Times New Roman"/>
          <w:i/>
          <w:iCs/>
          <w:sz w:val="22"/>
          <w:lang w:val="sr-Cyrl-RS" w:eastAsia="de-AT"/>
        </w:rPr>
        <w:t xml:space="preserve"> </w:t>
      </w:r>
      <w:r w:rsidRPr="00EF2F18">
        <w:rPr>
          <w:rFonts w:cs="Times New Roman"/>
          <w:iCs/>
          <w:sz w:val="22"/>
          <w:lang w:val="sr-Cyrl-RS" w:eastAsia="de-AT"/>
        </w:rPr>
        <w:t>пољопривредног земљишта</w:t>
      </w:r>
      <w:r w:rsidRPr="00EF2F18">
        <w:rPr>
          <w:rFonts w:cs="Times New Roman"/>
          <w:sz w:val="22"/>
          <w:lang w:val="sr-Cyrl-RS" w:eastAsia="de-AT"/>
        </w:rPr>
        <w:t xml:space="preserve"> (19% пољопривредних површина, односно 13% укупне територије). Доминантни тип пољопривредног земљишта високе природне вредности су травњаци (око милион </w:t>
      </w:r>
      <w:r w:rsidR="001223D0" w:rsidRPr="00EF2F18">
        <w:rPr>
          <w:rFonts w:cs="Times New Roman"/>
          <w:sz w:val="22"/>
          <w:lang w:val="sr-Cyrl-RS" w:eastAsia="de-AT"/>
        </w:rPr>
        <w:t>ha</w:t>
      </w:r>
      <w:r w:rsidRPr="00EF2F18">
        <w:rPr>
          <w:rFonts w:cs="Times New Roman"/>
          <w:sz w:val="22"/>
          <w:lang w:val="sr-Cyrl-RS" w:eastAsia="de-AT"/>
        </w:rPr>
        <w:t xml:space="preserve">). Већина травњака класификованих као </w:t>
      </w:r>
      <w:r w:rsidRPr="00EF2F18">
        <w:rPr>
          <w:rFonts w:cs="Times New Roman"/>
          <w:i/>
          <w:iCs/>
          <w:color w:val="000000"/>
          <w:sz w:val="22"/>
          <w:lang w:val="sr-Cyrl-RS"/>
        </w:rPr>
        <w:t>HNVF</w:t>
      </w:r>
      <w:r w:rsidRPr="00EF2F18">
        <w:rPr>
          <w:rFonts w:cs="Times New Roman"/>
          <w:sz w:val="22"/>
          <w:lang w:val="sr-Cyrl-RS" w:eastAsia="de-AT"/>
        </w:rPr>
        <w:t xml:space="preserve"> су полуприродни, настали у шумској зони као резултат сече дрвета. </w:t>
      </w:r>
      <w:r w:rsidR="005843EC" w:rsidRPr="00EF2F18">
        <w:rPr>
          <w:rFonts w:cs="Times New Roman"/>
          <w:sz w:val="22"/>
          <w:lang w:val="sr-Cyrl-RS" w:eastAsia="de-AT"/>
        </w:rPr>
        <w:t>Ова процена је базирана на примењеном приступу заснованом на идентификацији</w:t>
      </w:r>
      <w:r w:rsidR="000A64D8" w:rsidRPr="00EF2F18">
        <w:rPr>
          <w:rFonts w:cs="Times New Roman"/>
          <w:sz w:val="22"/>
          <w:lang w:val="sr-Cyrl-RS" w:eastAsia="de-AT"/>
        </w:rPr>
        <w:t xml:space="preserve"> Типа</w:t>
      </w:r>
      <w:r w:rsidR="005843EC" w:rsidRPr="00EF2F18">
        <w:rPr>
          <w:rFonts w:cs="Times New Roman"/>
          <w:sz w:val="22"/>
          <w:lang w:val="sr-Cyrl-RS" w:eastAsia="de-AT"/>
        </w:rPr>
        <w:t xml:space="preserve"> </w:t>
      </w:r>
      <w:r w:rsidRPr="00EF2F18">
        <w:rPr>
          <w:rFonts w:cs="Times New Roman"/>
          <w:sz w:val="22"/>
          <w:lang w:val="sr-Cyrl-RS" w:eastAsia="de-AT"/>
        </w:rPr>
        <w:t>1</w:t>
      </w:r>
      <w:r w:rsidR="002717AA" w:rsidRPr="00EF2F18">
        <w:rPr>
          <w:rFonts w:cs="Times New Roman"/>
          <w:sz w:val="22"/>
          <w:lang w:val="sr-Cyrl-RS" w:eastAsia="de-AT"/>
        </w:rPr>
        <w:t xml:space="preserve"> </w:t>
      </w:r>
      <w:r w:rsidRPr="00EF2F18">
        <w:rPr>
          <w:rFonts w:cs="Times New Roman"/>
          <w:sz w:val="22"/>
          <w:lang w:val="sr-Cyrl-RS" w:eastAsia="de-AT"/>
        </w:rPr>
        <w:t>пољопривредног земљишта високе природне вредности (пољопривредно земљиште са високим уделом полуприродне вегетације)</w:t>
      </w:r>
      <w:r w:rsidR="000A64D8" w:rsidRPr="00EF2F18">
        <w:rPr>
          <w:rFonts w:cs="Times New Roman"/>
          <w:sz w:val="22"/>
          <w:lang w:val="sr-Cyrl-RS" w:eastAsia="de-AT"/>
        </w:rPr>
        <w:t xml:space="preserve"> и</w:t>
      </w:r>
      <w:r w:rsidRPr="00EF2F18">
        <w:rPr>
          <w:rFonts w:cs="Times New Roman"/>
          <w:sz w:val="22"/>
          <w:lang w:val="sr-Cyrl-RS" w:eastAsia="de-AT"/>
        </w:rPr>
        <w:t xml:space="preserve"> не обухвата у потпуности типове 2 и 3 (пољопривредно земљиште са мозаиком пољопривреде ниског интензитета и природним и структурним елементима</w:t>
      </w:r>
      <w:r w:rsidR="00122234" w:rsidRPr="00EF2F18">
        <w:rPr>
          <w:rFonts w:cs="Times New Roman"/>
          <w:sz w:val="22"/>
          <w:lang w:val="sr-Cyrl-RS" w:eastAsia="de-AT"/>
        </w:rPr>
        <w:t>,</w:t>
      </w:r>
      <w:r w:rsidRPr="00EF2F18">
        <w:rPr>
          <w:rFonts w:cs="Times New Roman"/>
          <w:sz w:val="22"/>
          <w:lang w:val="sr-Cyrl-RS" w:eastAsia="de-AT"/>
        </w:rPr>
        <w:t xml:space="preserve"> или оно које подржава ретке врсте или висок удео европске или светске популације). </w:t>
      </w:r>
      <w:r w:rsidR="000A64D8" w:rsidRPr="00EF2F18">
        <w:rPr>
          <w:rFonts w:cs="Times New Roman"/>
          <w:sz w:val="22"/>
          <w:lang w:val="sr-Cyrl-RS" w:eastAsia="de-AT"/>
        </w:rPr>
        <w:t>С тим у вези, може се закључити да површина пољопривредног земљишта високе природне вредности вероватно знатно већа.</w:t>
      </w:r>
    </w:p>
    <w:p w14:paraId="2ACA88A1" w14:textId="07E47C2D" w:rsidR="00E466E0" w:rsidRPr="00EF2F18" w:rsidRDefault="00E466E0" w:rsidP="00E466E0">
      <w:pPr>
        <w:spacing w:after="0"/>
        <w:ind w:firstLine="720"/>
        <w:jc w:val="both"/>
        <w:rPr>
          <w:rFonts w:cs="Times New Roman"/>
          <w:sz w:val="22"/>
          <w:lang w:val="sr-Cyrl-RS" w:eastAsia="de-AT"/>
        </w:rPr>
      </w:pPr>
      <w:r w:rsidRPr="00EF2F18">
        <w:rPr>
          <w:iCs/>
          <w:sz w:val="22"/>
          <w:lang w:val="sr-Cyrl-RS"/>
        </w:rPr>
        <w:t>Остаци степских и слатинских станишта у Војводини, који припадају станишним типовима приоритетним за заштиту у Србији и у ЕУ, такође представљају пољопривредна подручја високе природне вредности.</w:t>
      </w:r>
    </w:p>
    <w:p w14:paraId="46E387B5" w14:textId="17813124" w:rsidR="00E466E0" w:rsidRPr="00EF2F18" w:rsidRDefault="00E466E0" w:rsidP="00827A94">
      <w:pPr>
        <w:spacing w:after="0"/>
        <w:ind w:firstLine="720"/>
        <w:jc w:val="both"/>
        <w:rPr>
          <w:iCs/>
          <w:sz w:val="22"/>
          <w:lang w:val="sr-Cyrl-RS"/>
        </w:rPr>
      </w:pPr>
      <w:r w:rsidRPr="00EF2F18">
        <w:rPr>
          <w:iCs/>
          <w:sz w:val="22"/>
          <w:lang w:val="sr-Cyrl-RS"/>
        </w:rPr>
        <w:t xml:space="preserve">Предеони елементи значајни за агробиодиверзитет омогућавају опстанак дивљих врста (опрашивачи, </w:t>
      </w:r>
      <w:r w:rsidR="004724C6" w:rsidRPr="00EF2F18">
        <w:rPr>
          <w:iCs/>
          <w:sz w:val="22"/>
          <w:lang w:val="sr-Cyrl-RS"/>
        </w:rPr>
        <w:t xml:space="preserve">ловне врсте </w:t>
      </w:r>
      <w:r w:rsidRPr="00EF2F18">
        <w:rPr>
          <w:iCs/>
          <w:sz w:val="22"/>
          <w:lang w:val="sr-Cyrl-RS"/>
        </w:rPr>
        <w:t>дивљач</w:t>
      </w:r>
      <w:r w:rsidR="004724C6" w:rsidRPr="00EF2F18">
        <w:rPr>
          <w:iCs/>
          <w:sz w:val="22"/>
          <w:lang w:val="sr-Cyrl-RS"/>
        </w:rPr>
        <w:t>и</w:t>
      </w:r>
      <w:r w:rsidRPr="00EF2F18">
        <w:rPr>
          <w:iCs/>
          <w:sz w:val="22"/>
          <w:lang w:val="sr-Cyrl-RS"/>
        </w:rPr>
        <w:t>, птице грабљивице итд.) аграрних подручја. Поред остатака природних станишта овој групи припадају и антропогене структуре као што су дрвореди, живице, међе и сл. Наведени предеони елементи, као и зеленило приобаља, постепено нестају због све интензивнијег начина пољопривредне производње, због чега су посебно угрожени на подручју Војводине. У новије време се у нашој држави као агроеколошка мера планира и формирање и зелених појасева намењених за опрашиваче.</w:t>
      </w:r>
    </w:p>
    <w:p w14:paraId="33CCA1C3" w14:textId="16100AFF" w:rsidR="00827A94" w:rsidRPr="00EF2F18" w:rsidRDefault="00827A94" w:rsidP="00F34D8C">
      <w:pPr>
        <w:pStyle w:val="Heading3"/>
        <w:numPr>
          <w:ilvl w:val="2"/>
          <w:numId w:val="2"/>
        </w:numPr>
        <w:jc w:val="center"/>
        <w:rPr>
          <w:rFonts w:cs="Times New Roman"/>
          <w:sz w:val="22"/>
          <w:szCs w:val="22"/>
          <w:lang w:val="sr-Cyrl-RS"/>
        </w:rPr>
      </w:pPr>
      <w:bookmarkStart w:id="77" w:name="_Toc158307717"/>
      <w:r w:rsidRPr="00EF2F18">
        <w:rPr>
          <w:rFonts w:cs="Times New Roman"/>
          <w:sz w:val="22"/>
          <w:szCs w:val="22"/>
          <w:lang w:val="sr-Cyrl-RS"/>
        </w:rPr>
        <w:t>Руралнa подручја</w:t>
      </w:r>
      <w:bookmarkEnd w:id="77"/>
    </w:p>
    <w:p w14:paraId="4C667B4C" w14:textId="2AA38C3F" w:rsidR="00827A94" w:rsidRPr="00EF2F18" w:rsidRDefault="00827A94" w:rsidP="00827A94">
      <w:pPr>
        <w:spacing w:after="0"/>
        <w:ind w:firstLine="720"/>
        <w:jc w:val="both"/>
        <w:rPr>
          <w:rFonts w:cs="Times New Roman"/>
          <w:color w:val="7030A0"/>
          <w:sz w:val="22"/>
          <w:lang w:val="sr-Cyrl-RS"/>
        </w:rPr>
      </w:pPr>
      <w:r w:rsidRPr="00EF2F18">
        <w:rPr>
          <w:rFonts w:cs="Times New Roman"/>
          <w:sz w:val="22"/>
          <w:lang w:val="sr-Cyrl-RS"/>
        </w:rPr>
        <w:t>Према подацима Пописа становништва из 20</w:t>
      </w:r>
      <w:r w:rsidR="00210874" w:rsidRPr="00EF2F18">
        <w:rPr>
          <w:rFonts w:cs="Times New Roman"/>
          <w:sz w:val="22"/>
          <w:lang w:val="sr-Cyrl-RS"/>
        </w:rPr>
        <w:t>22</w:t>
      </w:r>
      <w:r w:rsidRPr="00EF2F18">
        <w:rPr>
          <w:rFonts w:cs="Times New Roman"/>
          <w:sz w:val="22"/>
          <w:lang w:val="sr-Cyrl-RS"/>
        </w:rPr>
        <w:t xml:space="preserve">. године, највећи број становника руралних подручја у </w:t>
      </w:r>
      <w:r w:rsidR="009D701D" w:rsidRPr="00EF2F18">
        <w:rPr>
          <w:rFonts w:cs="Times New Roman"/>
          <w:sz w:val="22"/>
          <w:lang w:val="sr-Cyrl-RS"/>
        </w:rPr>
        <w:t xml:space="preserve">Републици </w:t>
      </w:r>
      <w:r w:rsidRPr="00EF2F18">
        <w:rPr>
          <w:rFonts w:cs="Times New Roman"/>
          <w:sz w:val="22"/>
          <w:lang w:val="sr-Cyrl-RS"/>
        </w:rPr>
        <w:t>Србији живи у насељима која имају испод 2.500 становника, док петина насеља има мање од 100 становника. Изражени трендови депопулације највише погађају управо рурална насеља, чиме се смањује ниво економских активности у њима, а самим тим повећава површина необрађеног мање продуктивног пољопривредног земљишта, неконтролисано ширење шума, недовољна искоришћеност природних травњака, као и примена по животну средину неповољних пољопривредних пракси. Еколошке и климатске претње</w:t>
      </w:r>
      <w:r w:rsidR="002717AA" w:rsidRPr="00EF2F18">
        <w:rPr>
          <w:rFonts w:cs="Times New Roman"/>
          <w:sz w:val="22"/>
          <w:lang w:val="sr-Cyrl-RS"/>
        </w:rPr>
        <w:t xml:space="preserve"> </w:t>
      </w:r>
      <w:r w:rsidRPr="00EF2F18">
        <w:rPr>
          <w:rFonts w:cs="Times New Roman"/>
          <w:sz w:val="22"/>
          <w:lang w:val="sr-Cyrl-RS"/>
        </w:rPr>
        <w:t>утичу на руралне екосистеме, њихову економију и добробит руралног становништва, излажући их додатним ризицима по приходе, имовину и здравље.</w:t>
      </w:r>
      <w:r w:rsidRPr="00EF2F18">
        <w:rPr>
          <w:rFonts w:cs="Times New Roman"/>
          <w:color w:val="7030A0"/>
          <w:sz w:val="22"/>
          <w:lang w:val="sr-Cyrl-RS"/>
        </w:rPr>
        <w:t xml:space="preserve"> </w:t>
      </w:r>
      <w:r w:rsidR="000F1FB2" w:rsidRPr="00EF2F18">
        <w:rPr>
          <w:rFonts w:cs="Times New Roman"/>
          <w:sz w:val="22"/>
          <w:lang w:val="sr-Cyrl-RS"/>
        </w:rPr>
        <w:t>П</w:t>
      </w:r>
      <w:r w:rsidRPr="00EF2F18">
        <w:rPr>
          <w:rFonts w:cs="Times New Roman"/>
          <w:sz w:val="22"/>
          <w:lang w:val="sr-Cyrl-RS"/>
        </w:rPr>
        <w:t>ољопривреда и шумарство, као основне делатности руралне економије, рањивије</w:t>
      </w:r>
      <w:r w:rsidR="00122234" w:rsidRPr="00EF2F18">
        <w:rPr>
          <w:rFonts w:cs="Times New Roman"/>
          <w:sz w:val="22"/>
          <w:lang w:val="sr-Cyrl-RS"/>
        </w:rPr>
        <w:t xml:space="preserve"> су</w:t>
      </w:r>
      <w:r w:rsidRPr="00EF2F18">
        <w:rPr>
          <w:rFonts w:cs="Times New Roman"/>
          <w:sz w:val="22"/>
          <w:lang w:val="sr-Cyrl-RS"/>
        </w:rPr>
        <w:t xml:space="preserve"> на све облике деградације природних ресурса и екстремне временске непогоде у поређењу са урбаним секторима.</w:t>
      </w:r>
    </w:p>
    <w:p w14:paraId="29E65501" w14:textId="4A8E684C" w:rsidR="005045A1" w:rsidRPr="00EF2F18" w:rsidRDefault="00827A94" w:rsidP="002A6208">
      <w:pPr>
        <w:spacing w:after="0"/>
        <w:ind w:firstLine="720"/>
        <w:jc w:val="both"/>
        <w:rPr>
          <w:rFonts w:ascii="Arial" w:hAnsi="Arial" w:cs="Arial"/>
          <w:sz w:val="20"/>
          <w:szCs w:val="20"/>
          <w:lang w:val="sr-Cyrl-RS"/>
        </w:rPr>
      </w:pPr>
      <w:r w:rsidRPr="00EF2F18">
        <w:rPr>
          <w:rFonts w:cs="Times New Roman"/>
          <w:sz w:val="22"/>
          <w:lang w:val="sr-Cyrl-RS"/>
        </w:rPr>
        <w:t>Рурална насеља суочавају се са великим проблемима везаним за недостатак или лоше функционисање комуналне инфраструктуре, што је посебно изражено у насељима у брдско</w:t>
      </w:r>
      <w:r w:rsidR="000A64D8" w:rsidRPr="00EF2F18">
        <w:rPr>
          <w:rFonts w:cs="Times New Roman"/>
          <w:sz w:val="22"/>
          <w:lang w:val="sr-Cyrl-RS"/>
        </w:rPr>
        <w:t>-</w:t>
      </w:r>
      <w:r w:rsidRPr="00EF2F18">
        <w:rPr>
          <w:rFonts w:cs="Times New Roman"/>
          <w:sz w:val="22"/>
          <w:lang w:val="sr-Cyrl-RS"/>
        </w:rPr>
        <w:t>планинским подручјима, насељима уд</w:t>
      </w:r>
      <w:r w:rsidR="002568D5" w:rsidRPr="00EF2F18">
        <w:rPr>
          <w:rFonts w:cs="Times New Roman"/>
          <w:sz w:val="22"/>
          <w:lang w:val="sr-Cyrl-RS"/>
        </w:rPr>
        <w:t>а</w:t>
      </w:r>
      <w:r w:rsidRPr="00EF2F18">
        <w:rPr>
          <w:rFonts w:cs="Times New Roman"/>
          <w:sz w:val="22"/>
          <w:lang w:val="sr-Cyrl-RS"/>
        </w:rPr>
        <w:t xml:space="preserve">љенијим од општинских центара и насељима у пограничним подручјима. Сеоски водоводи често не испуњавају стандарде квалитета воде за пиће, а њихово интегрисање у општински систем водоснабдевања захтева значајне инвестиције. </w:t>
      </w:r>
      <w:r w:rsidR="00654CD9" w:rsidRPr="00EF2F18">
        <w:rPr>
          <w:rFonts w:cs="Times New Roman"/>
          <w:sz w:val="22"/>
          <w:lang w:val="sr-Cyrl-RS"/>
        </w:rPr>
        <w:t>Према подацима Фискалног савета</w:t>
      </w:r>
      <w:r w:rsidR="00C40871" w:rsidRPr="00EF2F18">
        <w:rPr>
          <w:rStyle w:val="FootnoteReference"/>
          <w:rFonts w:cs="Times New Roman"/>
          <w:sz w:val="22"/>
          <w:lang w:val="sr-Cyrl-RS"/>
        </w:rPr>
        <w:footnoteReference w:id="14"/>
      </w:r>
      <w:r w:rsidR="00654CD9" w:rsidRPr="00EF2F18">
        <w:rPr>
          <w:rFonts w:cs="Times New Roman"/>
          <w:sz w:val="22"/>
          <w:lang w:val="sr-Cyrl-RS"/>
        </w:rPr>
        <w:t>, з</w:t>
      </w:r>
      <w:r w:rsidRPr="00EF2F18">
        <w:rPr>
          <w:rFonts w:cs="Times New Roman"/>
          <w:sz w:val="22"/>
          <w:lang w:val="sr-Cyrl-RS"/>
        </w:rPr>
        <w:t xml:space="preserve">а 88% сеоских водовода не зна се тачан власник, у 66% случајева водоводи су под управом неквалификованог особља, 55% не задовољава техничке </w:t>
      </w:r>
      <w:r w:rsidRPr="00EF2F18">
        <w:rPr>
          <w:rFonts w:cs="Times New Roman"/>
          <w:sz w:val="22"/>
          <w:lang w:val="sr-Cyrl-RS"/>
        </w:rPr>
        <w:lastRenderedPageBreak/>
        <w:t>услове, 73% има неограђено извориште и могућност контаминације од стране животиња, 64% је потенцијално угрожено фекалним отпадним водама, или загађењем од саобраћаја и индустрије. Само 13% сеоских домаћинстава</w:t>
      </w:r>
      <w:r w:rsidR="00383194" w:rsidRPr="00EF2F18">
        <w:rPr>
          <w:rFonts w:cs="Times New Roman"/>
          <w:sz w:val="22"/>
          <w:lang w:val="sr-Cyrl-RS"/>
        </w:rPr>
        <w:t xml:space="preserve"> </w:t>
      </w:r>
      <w:r w:rsidRPr="00EF2F18">
        <w:rPr>
          <w:rFonts w:cs="Times New Roman"/>
          <w:sz w:val="22"/>
          <w:lang w:val="sr-Cyrl-RS"/>
        </w:rPr>
        <w:t>је прикључено на јавне канализационе системе, док остали користе септичке јаме. Организовано сакупљање отпада не постоји, или је недовољно да би се задовољиле потребе услед неодговарајуће инфраструктурне опремљености, доступности и организације. Јединице локалне самоуправе, у чијој је надлежности комунална инфраструктура у руралним подручјима, у највећем броју случајева</w:t>
      </w:r>
      <w:r w:rsidR="00F1262B" w:rsidRPr="00EF2F18">
        <w:rPr>
          <w:rFonts w:cs="Times New Roman"/>
          <w:sz w:val="22"/>
          <w:lang w:val="sr-Cyrl-RS"/>
        </w:rPr>
        <w:t xml:space="preserve"> </w:t>
      </w:r>
      <w:r w:rsidRPr="00EF2F18">
        <w:rPr>
          <w:rFonts w:cs="Times New Roman"/>
          <w:sz w:val="22"/>
          <w:lang w:val="sr-Cyrl-RS"/>
        </w:rPr>
        <w:t xml:space="preserve">немају довољно средстава </w:t>
      </w:r>
      <w:r w:rsidR="00F1262B" w:rsidRPr="00EF2F18">
        <w:rPr>
          <w:rStyle w:val="cf01"/>
          <w:rFonts w:ascii="Times New Roman" w:hAnsi="Times New Roman" w:cs="Times New Roman"/>
          <w:sz w:val="22"/>
          <w:szCs w:val="22"/>
          <w:lang w:val="sr-Cyrl-RS"/>
        </w:rPr>
        <w:t>за финансирање припреме пројектно-техничке документације</w:t>
      </w:r>
      <w:r w:rsidR="00F1262B" w:rsidRPr="00EF2F18">
        <w:rPr>
          <w:rFonts w:cs="Times New Roman"/>
          <w:sz w:val="22"/>
          <w:lang w:val="sr-Cyrl-RS"/>
        </w:rPr>
        <w:t xml:space="preserve"> </w:t>
      </w:r>
      <w:r w:rsidRPr="00EF2F18">
        <w:rPr>
          <w:rFonts w:cs="Times New Roman"/>
          <w:sz w:val="22"/>
          <w:lang w:val="sr-Cyrl-RS"/>
        </w:rPr>
        <w:t>и унутрашњих капацитета да раде на побољшању услова у руралним срединама</w:t>
      </w:r>
      <w:r w:rsidR="00F1262B" w:rsidRPr="00EF2F18">
        <w:rPr>
          <w:rFonts w:cs="Times New Roman"/>
          <w:sz w:val="22"/>
          <w:lang w:val="sr-Cyrl-RS"/>
        </w:rPr>
        <w:t xml:space="preserve">. Приоритетне области за интервенцију су: водоснабдевање, заштита вода од загађивања, путеви и управљање комуналним отпадом. </w:t>
      </w:r>
    </w:p>
    <w:p w14:paraId="7870503A" w14:textId="0C84A670" w:rsidR="00827A94" w:rsidRPr="00EF2F18" w:rsidRDefault="00827A94" w:rsidP="00827A94">
      <w:pPr>
        <w:spacing w:after="0"/>
        <w:ind w:firstLine="720"/>
        <w:jc w:val="both"/>
        <w:rPr>
          <w:rFonts w:cs="Times New Roman"/>
          <w:sz w:val="22"/>
          <w:lang w:val="sr-Cyrl-RS"/>
        </w:rPr>
      </w:pPr>
      <w:r w:rsidRPr="00EF2F18">
        <w:rPr>
          <w:rFonts w:cs="Times New Roman"/>
          <w:bCs/>
          <w:sz w:val="22"/>
          <w:lang w:val="sr-Cyrl-RS"/>
        </w:rPr>
        <w:t xml:space="preserve">Законом о подстицајима </w:t>
      </w:r>
      <w:r w:rsidR="00BD3DD6" w:rsidRPr="00EF2F18">
        <w:rPr>
          <w:rFonts w:cs="Times New Roman"/>
          <w:bCs/>
          <w:sz w:val="22"/>
          <w:lang w:val="sr-Cyrl-RS"/>
        </w:rPr>
        <w:t xml:space="preserve">у </w:t>
      </w:r>
      <w:r w:rsidRPr="00EF2F18">
        <w:rPr>
          <w:rFonts w:cs="Times New Roman"/>
          <w:bCs/>
          <w:sz w:val="22"/>
          <w:lang w:val="sr-Cyrl-RS"/>
        </w:rPr>
        <w:t>пољопривреди и руралном развоју</w:t>
      </w:r>
      <w:r w:rsidR="00356BB4" w:rsidRPr="00EF2F18">
        <w:rPr>
          <w:rFonts w:cs="Times New Roman"/>
          <w:bCs/>
          <w:sz w:val="22"/>
          <w:lang w:val="sr-Cyrl-RS"/>
        </w:rPr>
        <w:t xml:space="preserve"> („Службени гласник РС</w:t>
      </w:r>
      <w:r w:rsidR="00E472A9" w:rsidRPr="00EF2F18">
        <w:rPr>
          <w:rFonts w:cs="Times New Roman"/>
          <w:bCs/>
          <w:sz w:val="22"/>
          <w:lang w:val="sr-Cyrl-RS"/>
        </w:rPr>
        <w:t xml:space="preserve">”, </w:t>
      </w:r>
      <w:r w:rsidR="0052507A">
        <w:rPr>
          <w:rFonts w:cs="Times New Roman"/>
          <w:bCs/>
          <w:sz w:val="22"/>
          <w:lang w:val="sr-Cyrl-RS"/>
        </w:rPr>
        <w:t>бр. 10/13, 142/14, 103/15, 10</w:t>
      </w:r>
      <w:r w:rsidR="00356BB4" w:rsidRPr="00EF2F18">
        <w:rPr>
          <w:rFonts w:cs="Times New Roman"/>
          <w:bCs/>
          <w:sz w:val="22"/>
          <w:lang w:val="sr-Cyrl-RS"/>
        </w:rPr>
        <w:t>1/16, 35/23</w:t>
      </w:r>
      <w:r w:rsidR="00BD3DD6" w:rsidRPr="00EF2F18">
        <w:rPr>
          <w:rFonts w:cs="Times New Roman"/>
          <w:bCs/>
          <w:sz w:val="22"/>
          <w:lang w:val="sr-Cyrl-RS"/>
        </w:rPr>
        <w:t>,</w:t>
      </w:r>
      <w:r w:rsidR="00356BB4" w:rsidRPr="00EF2F18">
        <w:rPr>
          <w:rFonts w:cs="Times New Roman"/>
          <w:bCs/>
          <w:sz w:val="22"/>
          <w:lang w:val="sr-Cyrl-RS"/>
        </w:rPr>
        <w:t xml:space="preserve"> 92/23</w:t>
      </w:r>
      <w:r w:rsidR="00BD3DD6" w:rsidRPr="00EF2F18">
        <w:rPr>
          <w:rFonts w:cs="Times New Roman"/>
          <w:bCs/>
          <w:sz w:val="22"/>
          <w:lang w:val="sr-Cyrl-RS"/>
        </w:rPr>
        <w:t xml:space="preserve"> и 94/24</w:t>
      </w:r>
      <w:r w:rsidR="00356BB4" w:rsidRPr="00EF2F18">
        <w:rPr>
          <w:rFonts w:cs="Times New Roman"/>
          <w:bCs/>
          <w:sz w:val="22"/>
          <w:lang w:val="sr-Cyrl-RS"/>
        </w:rPr>
        <w:t>)</w:t>
      </w:r>
      <w:r w:rsidRPr="00EF2F18">
        <w:rPr>
          <w:rFonts w:cs="Times New Roman"/>
          <w:bCs/>
          <w:sz w:val="22"/>
          <w:lang w:val="sr-Cyrl-RS"/>
        </w:rPr>
        <w:t xml:space="preserve"> предвиђено је да се из средстава аграрног буџета финансирају подстицаји за подршку програмима развоја руралне инфраструктуре. Ова мера подстиц</w:t>
      </w:r>
      <w:r w:rsidR="00122234" w:rsidRPr="00EF2F18">
        <w:rPr>
          <w:rFonts w:cs="Times New Roman"/>
          <w:bCs/>
          <w:sz w:val="22"/>
          <w:lang w:val="sr-Cyrl-RS"/>
        </w:rPr>
        <w:t>а</w:t>
      </w:r>
      <w:r w:rsidRPr="00EF2F18">
        <w:rPr>
          <w:rFonts w:cs="Times New Roman"/>
          <w:bCs/>
          <w:sz w:val="22"/>
          <w:lang w:val="sr-Cyrl-RS"/>
        </w:rPr>
        <w:t>ја спорадично је била доступна претходних година, а опредељена буџетска средства су скромна.</w:t>
      </w:r>
    </w:p>
    <w:p w14:paraId="684F1176" w14:textId="4DDF69FE" w:rsidR="00B3652C" w:rsidRPr="00EF2F18" w:rsidRDefault="00B3652C" w:rsidP="00B3652C">
      <w:pPr>
        <w:ind w:firstLine="720"/>
        <w:jc w:val="both"/>
        <w:rPr>
          <w:rFonts w:cs="Times New Roman"/>
          <w:bCs/>
          <w:sz w:val="22"/>
          <w:lang w:val="sr-Cyrl-RS"/>
        </w:rPr>
      </w:pPr>
      <w:r w:rsidRPr="00EF2F18">
        <w:rPr>
          <w:rFonts w:cs="Times New Roman"/>
          <w:bCs/>
          <w:sz w:val="22"/>
          <w:lang w:val="sr-Cyrl-RS"/>
        </w:rPr>
        <w:t xml:space="preserve">ИПАРД </w:t>
      </w:r>
      <w:r w:rsidR="00F470DF" w:rsidRPr="00EF2F18">
        <w:rPr>
          <w:rFonts w:cs="Times New Roman"/>
          <w:bCs/>
          <w:sz w:val="22"/>
          <w:lang w:val="sr-Cyrl-RS"/>
        </w:rPr>
        <w:t xml:space="preserve">III </w:t>
      </w:r>
      <w:r w:rsidRPr="00EF2F18">
        <w:rPr>
          <w:rFonts w:cs="Times New Roman"/>
          <w:bCs/>
          <w:sz w:val="22"/>
          <w:lang w:val="sr-Cyrl-RS"/>
        </w:rPr>
        <w:t xml:space="preserve">програмом је предвиђено да се кроз меру подршке инвестицијама у руралну јавну инфраструктуру до 2027. </w:t>
      </w:r>
      <w:r w:rsidR="000A64D8" w:rsidRPr="00EF2F18">
        <w:rPr>
          <w:rFonts w:cs="Times New Roman"/>
          <w:bCs/>
          <w:sz w:val="22"/>
          <w:lang w:val="sr-Cyrl-RS"/>
        </w:rPr>
        <w:t xml:space="preserve">године, </w:t>
      </w:r>
      <w:r w:rsidRPr="00EF2F18">
        <w:rPr>
          <w:rFonts w:cs="Times New Roman"/>
          <w:bCs/>
          <w:sz w:val="22"/>
          <w:lang w:val="sr-Cyrl-RS"/>
        </w:rPr>
        <w:t>подрже пројекти који се односе на: управљање водама, системе за сакупљање и третман отпадних вода, управљање отпадом, путеве у руралним подручјима и снабдевање енергијом</w:t>
      </w:r>
      <w:r w:rsidR="00122234" w:rsidRPr="00EF2F18">
        <w:rPr>
          <w:rFonts w:cs="Times New Roman"/>
          <w:bCs/>
          <w:sz w:val="22"/>
          <w:lang w:val="sr-Cyrl-RS"/>
        </w:rPr>
        <w:t>,</w:t>
      </w:r>
      <w:r w:rsidRPr="00EF2F18">
        <w:rPr>
          <w:rFonts w:cs="Times New Roman"/>
          <w:bCs/>
          <w:sz w:val="22"/>
          <w:lang w:val="sr-Cyrl-RS"/>
        </w:rPr>
        <w:t xml:space="preserve"> и изградња обновљивих извора енергије/топлана и инсталација. </w:t>
      </w:r>
    </w:p>
    <w:p w14:paraId="19692C4D" w14:textId="7F6654D5" w:rsidR="0089035C" w:rsidRPr="00EF2F18" w:rsidRDefault="0089035C" w:rsidP="0089035C">
      <w:pPr>
        <w:rPr>
          <w:rFonts w:cs="Times New Roman"/>
          <w:sz w:val="22"/>
          <w:lang w:val="sr-Cyrl-RS"/>
        </w:rPr>
      </w:pPr>
    </w:p>
    <w:p w14:paraId="62D5149A" w14:textId="4071DC00" w:rsidR="00E347E6" w:rsidRPr="00EF2F18" w:rsidRDefault="00E347E6" w:rsidP="00F34D8C">
      <w:pPr>
        <w:pStyle w:val="Heading2"/>
        <w:numPr>
          <w:ilvl w:val="1"/>
          <w:numId w:val="2"/>
        </w:numPr>
        <w:jc w:val="center"/>
        <w:rPr>
          <w:rFonts w:cs="Times New Roman"/>
          <w:sz w:val="22"/>
          <w:szCs w:val="22"/>
          <w:lang w:val="sr-Cyrl-RS"/>
        </w:rPr>
      </w:pPr>
      <w:bookmarkStart w:id="78" w:name="_Toc158307718"/>
      <w:r w:rsidRPr="00EF2F18">
        <w:rPr>
          <w:rFonts w:cs="Times New Roman"/>
          <w:sz w:val="22"/>
          <w:szCs w:val="22"/>
          <w:lang w:val="sr-Cyrl-RS"/>
        </w:rPr>
        <w:t>Анализа стања</w:t>
      </w:r>
      <w:r w:rsidR="00927861" w:rsidRPr="00EF2F18">
        <w:rPr>
          <w:rFonts w:cs="Times New Roman"/>
          <w:sz w:val="22"/>
          <w:szCs w:val="22"/>
          <w:lang w:val="sr-Cyrl-RS"/>
        </w:rPr>
        <w:t xml:space="preserve"> институционалних</w:t>
      </w:r>
      <w:r w:rsidRPr="00EF2F18">
        <w:rPr>
          <w:rFonts w:cs="Times New Roman"/>
          <w:sz w:val="22"/>
          <w:szCs w:val="22"/>
          <w:lang w:val="sr-Cyrl-RS"/>
        </w:rPr>
        <w:t xml:space="preserve"> </w:t>
      </w:r>
      <w:r w:rsidR="00927861" w:rsidRPr="00EF2F18">
        <w:rPr>
          <w:rFonts w:cs="Times New Roman"/>
          <w:sz w:val="22"/>
          <w:szCs w:val="22"/>
          <w:lang w:val="sr-Cyrl-RS"/>
        </w:rPr>
        <w:t>капацитета за послове заштите животне средине</w:t>
      </w:r>
      <w:bookmarkEnd w:id="78"/>
    </w:p>
    <w:p w14:paraId="7DB2FB3D" w14:textId="77777777" w:rsidR="00D43BE6" w:rsidRPr="00EF2F18" w:rsidRDefault="00D43BE6" w:rsidP="000C62EC">
      <w:pPr>
        <w:pStyle w:val="Normal1"/>
        <w:pBdr>
          <w:top w:val="nil"/>
          <w:left w:val="nil"/>
          <w:bottom w:val="nil"/>
          <w:right w:val="nil"/>
          <w:between w:val="nil"/>
        </w:pBdr>
        <w:spacing w:after="0"/>
        <w:ind w:firstLine="720"/>
        <w:jc w:val="both"/>
        <w:rPr>
          <w:rFonts w:ascii="Times New Roman" w:hAnsi="Times New Roman" w:cs="Times New Roman"/>
          <w:lang w:val="sr-Cyrl-RS"/>
        </w:rPr>
      </w:pPr>
    </w:p>
    <w:p w14:paraId="7C5B58ED" w14:textId="0F439FC7" w:rsidR="0003265A" w:rsidRPr="00EF2F18" w:rsidRDefault="00F34D8C" w:rsidP="00A17060">
      <w:pPr>
        <w:pStyle w:val="Normal1"/>
        <w:tabs>
          <w:tab w:val="left" w:pos="284"/>
          <w:tab w:val="left" w:pos="720"/>
        </w:tabs>
        <w:spacing w:after="0"/>
        <w:ind w:right="-173"/>
        <w:jc w:val="both"/>
        <w:rPr>
          <w:rFonts w:ascii="Times New Roman" w:hAnsi="Times New Roman" w:cs="Times New Roman"/>
          <w:b/>
          <w:bCs/>
          <w:i/>
          <w:iCs/>
          <w:lang w:val="sr-Cyrl-RS"/>
        </w:rPr>
      </w:pPr>
      <w:r w:rsidRPr="00EF2F18">
        <w:rPr>
          <w:rFonts w:ascii="Times New Roman" w:hAnsi="Times New Roman" w:cs="Times New Roman"/>
          <w:b/>
          <w:bCs/>
          <w:i/>
          <w:iCs/>
          <w:lang w:val="sr-Cyrl-RS"/>
        </w:rPr>
        <w:tab/>
      </w:r>
      <w:r w:rsidRPr="00EF2F18">
        <w:rPr>
          <w:rFonts w:ascii="Times New Roman" w:hAnsi="Times New Roman" w:cs="Times New Roman"/>
          <w:b/>
          <w:bCs/>
          <w:i/>
          <w:iCs/>
          <w:lang w:val="sr-Cyrl-RS"/>
        </w:rPr>
        <w:tab/>
      </w:r>
      <w:r w:rsidR="0003265A" w:rsidRPr="00EF2F18">
        <w:rPr>
          <w:rFonts w:ascii="Times New Roman" w:hAnsi="Times New Roman" w:cs="Times New Roman"/>
          <w:b/>
          <w:bCs/>
          <w:i/>
          <w:iCs/>
          <w:lang w:val="sr-Cyrl-RS"/>
        </w:rPr>
        <w:t>Институционални капацитети</w:t>
      </w:r>
    </w:p>
    <w:p w14:paraId="0329B6A0" w14:textId="23EB7B1B" w:rsidR="00D43BE6" w:rsidRPr="00EF2F18" w:rsidRDefault="0003265A" w:rsidP="00A17060">
      <w:pPr>
        <w:pStyle w:val="Normal1"/>
        <w:tabs>
          <w:tab w:val="left" w:pos="284"/>
          <w:tab w:val="left" w:pos="720"/>
        </w:tabs>
        <w:spacing w:after="0"/>
        <w:ind w:right="-173"/>
        <w:jc w:val="both"/>
        <w:rPr>
          <w:rFonts w:ascii="Times New Roman" w:hAnsi="Times New Roman" w:cs="Times New Roman"/>
          <w:lang w:val="sr-Cyrl-RS"/>
        </w:rPr>
      </w:pPr>
      <w:r w:rsidRPr="00EF2F18">
        <w:rPr>
          <w:rFonts w:ascii="Times New Roman" w:hAnsi="Times New Roman" w:cs="Times New Roman"/>
          <w:lang w:val="sr-Cyrl-RS"/>
        </w:rPr>
        <w:tab/>
      </w:r>
      <w:r w:rsidRPr="00EF2F18">
        <w:rPr>
          <w:rFonts w:ascii="Times New Roman" w:hAnsi="Times New Roman" w:cs="Times New Roman"/>
          <w:lang w:val="sr-Cyrl-RS"/>
        </w:rPr>
        <w:tab/>
      </w:r>
      <w:r w:rsidR="00D43BE6" w:rsidRPr="00EF2F18">
        <w:rPr>
          <w:rFonts w:ascii="Times New Roman" w:hAnsi="Times New Roman" w:cs="Times New Roman"/>
          <w:lang w:val="sr-Cyrl-RS"/>
        </w:rPr>
        <w:t xml:space="preserve">Велики је број институција укључен у сектор заштите животне средине и климатских промена на националном, покрајинском и локалном нивоу. </w:t>
      </w:r>
      <w:r w:rsidR="00B87DCE" w:rsidRPr="00EF2F18">
        <w:rPr>
          <w:rFonts w:ascii="Times New Roman" w:hAnsi="Times New Roman" w:cs="Times New Roman"/>
          <w:lang w:val="sr-Cyrl-RS"/>
        </w:rPr>
        <w:t xml:space="preserve">У великом броју области, надлежности за заштиту животне средине су подељене. </w:t>
      </w:r>
      <w:r w:rsidR="002D6372" w:rsidRPr="00EF2F18">
        <w:rPr>
          <w:rFonts w:ascii="Times New Roman" w:hAnsi="Times New Roman" w:cs="Times New Roman"/>
          <w:lang w:val="sr-Cyrl-RS"/>
        </w:rPr>
        <w:t>Кључни</w:t>
      </w:r>
      <w:r w:rsidR="00D43BE6" w:rsidRPr="00EF2F18">
        <w:rPr>
          <w:rFonts w:ascii="Times New Roman" w:hAnsi="Times New Roman" w:cs="Times New Roman"/>
          <w:lang w:val="sr-Cyrl-RS"/>
        </w:rPr>
        <w:t xml:space="preserve"> актери су: </w:t>
      </w:r>
    </w:p>
    <w:p w14:paraId="724FCBBF"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заштите животне средине (МЗЖС); </w:t>
      </w:r>
    </w:p>
    <w:p w14:paraId="7A48645C"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пољопривреде, шумарства и водопривреде; </w:t>
      </w:r>
    </w:p>
    <w:p w14:paraId="463F05A6"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здравља; </w:t>
      </w:r>
    </w:p>
    <w:p w14:paraId="7AC87E41"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грађевинарства, саобраћаја и инфраструктуре; </w:t>
      </w:r>
    </w:p>
    <w:p w14:paraId="78A0725B"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Министарство рударства и енергетике; </w:t>
      </w:r>
    </w:p>
    <w:p w14:paraId="3E4FF8E1"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 xml:space="preserve">Покрајински секретаријат за урбанизам и заштиту животне средине; </w:t>
      </w:r>
    </w:p>
    <w:p w14:paraId="1D0BB844" w14:textId="7A068653"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Јединице локалне самоуправе</w:t>
      </w:r>
      <w:r w:rsidR="00F037F4" w:rsidRPr="00EF2F18">
        <w:rPr>
          <w:rFonts w:ascii="Times New Roman" w:hAnsi="Times New Roman" w:cs="Times New Roman"/>
          <w:lang w:val="sr-Cyrl-RS"/>
        </w:rPr>
        <w:t>;</w:t>
      </w:r>
    </w:p>
    <w:p w14:paraId="65A8CB16" w14:textId="77777777" w:rsidR="00D43BE6" w:rsidRPr="00EF2F18" w:rsidRDefault="00D43BE6" w:rsidP="00313E8E">
      <w:pPr>
        <w:pStyle w:val="Normal1"/>
        <w:numPr>
          <w:ilvl w:val="0"/>
          <w:numId w:val="28"/>
        </w:numPr>
        <w:pBdr>
          <w:top w:val="nil"/>
          <w:left w:val="nil"/>
          <w:bottom w:val="nil"/>
          <w:right w:val="nil"/>
          <w:between w:val="nil"/>
        </w:pBdr>
        <w:tabs>
          <w:tab w:val="left" w:pos="142"/>
          <w:tab w:val="left" w:pos="426"/>
        </w:tabs>
        <w:spacing w:after="0"/>
        <w:ind w:right="-173"/>
        <w:jc w:val="both"/>
        <w:rPr>
          <w:rFonts w:ascii="Times New Roman" w:hAnsi="Times New Roman" w:cs="Times New Roman"/>
          <w:lang w:val="sr-Cyrl-RS"/>
        </w:rPr>
      </w:pPr>
      <w:r w:rsidRPr="00EF2F18">
        <w:rPr>
          <w:rFonts w:ascii="Times New Roman" w:hAnsi="Times New Roman" w:cs="Times New Roman"/>
          <w:lang w:val="sr-Cyrl-RS"/>
        </w:rPr>
        <w:t>Јавна комунална предузећа.</w:t>
      </w:r>
    </w:p>
    <w:p w14:paraId="178408A6" w14:textId="3309E04D" w:rsidR="00D43BE6" w:rsidRPr="00EF2F18" w:rsidRDefault="00D43BE6" w:rsidP="00A17060">
      <w:pPr>
        <w:pStyle w:val="Normal1"/>
        <w:spacing w:after="0"/>
        <w:ind w:right="-173" w:firstLine="720"/>
        <w:jc w:val="both"/>
        <w:rPr>
          <w:rFonts w:ascii="Times New Roman" w:hAnsi="Times New Roman" w:cs="Times New Roman"/>
          <w:lang w:val="sr-Cyrl-RS"/>
        </w:rPr>
      </w:pPr>
      <w:r w:rsidRPr="00EF2F18">
        <w:rPr>
          <w:rFonts w:ascii="Times New Roman" w:hAnsi="Times New Roman" w:cs="Times New Roman"/>
          <w:lang w:val="sr-Cyrl-RS"/>
        </w:rPr>
        <w:t>Од посебног значаја је надзор за које су одговорне различите инспекцијске службе.</w:t>
      </w:r>
    </w:p>
    <w:p w14:paraId="6CFBEA93" w14:textId="3D76CEA3" w:rsidR="00F01208" w:rsidRPr="00EF2F18" w:rsidRDefault="00C67875" w:rsidP="006B4DF8">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Организациона структура МЗЖС прати функционални (класични) модел који подразумева груписање активности или поделу на организационе јединице по функцијама. </w:t>
      </w:r>
      <w:r w:rsidR="00392358" w:rsidRPr="00EF2F18">
        <w:rPr>
          <w:rFonts w:ascii="Times New Roman" w:hAnsi="Times New Roman" w:cs="Times New Roman"/>
          <w:lang w:val="sr-Cyrl-RS"/>
        </w:rPr>
        <w:t xml:space="preserve">Као орган управе у саставу МЗЖС образована је Агенција за заштиту животне средине (АЗЖС), са својством правног лица. </w:t>
      </w:r>
      <w:r w:rsidR="009C2073" w:rsidRPr="00EF2F18">
        <w:rPr>
          <w:rFonts w:ascii="Times New Roman" w:hAnsi="Times New Roman" w:cs="Times New Roman"/>
          <w:lang w:val="sr-Cyrl-RS"/>
        </w:rPr>
        <w:t>О</w:t>
      </w:r>
      <w:r w:rsidR="00F01208" w:rsidRPr="00EF2F18">
        <w:rPr>
          <w:rFonts w:ascii="Times New Roman" w:hAnsi="Times New Roman" w:cs="Times New Roman"/>
          <w:lang w:val="sr-Cyrl-RS"/>
        </w:rPr>
        <w:t>сновни институционални о</w:t>
      </w:r>
      <w:r w:rsidR="009C2073" w:rsidRPr="00EF2F18">
        <w:rPr>
          <w:rFonts w:ascii="Times New Roman" w:hAnsi="Times New Roman" w:cs="Times New Roman"/>
          <w:lang w:val="sr-Cyrl-RS"/>
        </w:rPr>
        <w:t xml:space="preserve">квир за </w:t>
      </w:r>
      <w:r w:rsidR="005242D7" w:rsidRPr="00EF2F18">
        <w:rPr>
          <w:rFonts w:ascii="Times New Roman" w:hAnsi="Times New Roman" w:cs="Times New Roman"/>
          <w:lang w:val="sr-Cyrl-RS"/>
        </w:rPr>
        <w:t>имплементацију правних тековина ЕУ у области животне средине у значајној мери</w:t>
      </w:r>
      <w:r w:rsidR="009C2073" w:rsidRPr="00EF2F18">
        <w:rPr>
          <w:rFonts w:ascii="Times New Roman" w:hAnsi="Times New Roman" w:cs="Times New Roman"/>
          <w:lang w:val="sr-Cyrl-RS"/>
        </w:rPr>
        <w:t xml:space="preserve"> је</w:t>
      </w:r>
      <w:r w:rsidR="005242D7" w:rsidRPr="00EF2F18">
        <w:rPr>
          <w:rFonts w:ascii="Times New Roman" w:hAnsi="Times New Roman" w:cs="Times New Roman"/>
          <w:lang w:val="sr-Cyrl-RS"/>
        </w:rPr>
        <w:t xml:space="preserve"> успостављен. </w:t>
      </w:r>
    </w:p>
    <w:p w14:paraId="17630137" w14:textId="66413C1D" w:rsidR="00F01208" w:rsidRPr="00EF2F18" w:rsidRDefault="00F01208" w:rsidP="000C62EC">
      <w:pPr>
        <w:spacing w:after="0"/>
        <w:ind w:firstLine="720"/>
        <w:jc w:val="both"/>
        <w:rPr>
          <w:rFonts w:cs="Times New Roman"/>
          <w:sz w:val="22"/>
          <w:lang w:val="sr-Cyrl-RS"/>
        </w:rPr>
      </w:pPr>
      <w:r w:rsidRPr="00EF2F18">
        <w:rPr>
          <w:rFonts w:cs="Times New Roman"/>
          <w:sz w:val="22"/>
          <w:lang w:val="sr-Cyrl-RS"/>
        </w:rPr>
        <w:t xml:space="preserve">Институцијама које су задужене за заштиту животне средине и имплементацију правних тековина ЕУ у области животне средине, </w:t>
      </w:r>
      <w:r w:rsidR="002D6372" w:rsidRPr="00EF2F18">
        <w:rPr>
          <w:rFonts w:cs="Times New Roman"/>
          <w:bCs/>
          <w:sz w:val="22"/>
          <w:lang w:val="sr-Cyrl-RS"/>
        </w:rPr>
        <w:t>план</w:t>
      </w:r>
      <w:r w:rsidR="00BE0C4F" w:rsidRPr="00EF2F18">
        <w:rPr>
          <w:rFonts w:cs="Times New Roman"/>
          <w:bCs/>
          <w:sz w:val="22"/>
          <w:lang w:val="sr-Cyrl-RS"/>
        </w:rPr>
        <w:t>и</w:t>
      </w:r>
      <w:r w:rsidR="002D6372" w:rsidRPr="00EF2F18">
        <w:rPr>
          <w:rFonts w:cs="Times New Roman"/>
          <w:bCs/>
          <w:sz w:val="22"/>
          <w:lang w:val="sr-Cyrl-RS"/>
        </w:rPr>
        <w:t>рано</w:t>
      </w:r>
      <w:r w:rsidRPr="00EF2F18">
        <w:rPr>
          <w:rFonts w:cs="Times New Roman"/>
          <w:bCs/>
          <w:sz w:val="22"/>
          <w:lang w:val="sr-Cyrl-RS"/>
        </w:rPr>
        <w:t xml:space="preserve"> је додатно </w:t>
      </w:r>
      <w:r w:rsidR="002D6372" w:rsidRPr="00EF2F18">
        <w:rPr>
          <w:rFonts w:cs="Times New Roman"/>
          <w:bCs/>
          <w:sz w:val="22"/>
          <w:lang w:val="sr-Cyrl-RS"/>
        </w:rPr>
        <w:t xml:space="preserve">запошљавање и стручно оспособљавање за скоро све институције. </w:t>
      </w:r>
      <w:r w:rsidRPr="00EF2F18">
        <w:rPr>
          <w:rFonts w:cs="Times New Roman"/>
          <w:sz w:val="22"/>
          <w:lang w:val="sr-Cyrl-RS"/>
        </w:rPr>
        <w:t>Ово се односи на регулаторне надлежности, као и на одговорности извршења.</w:t>
      </w:r>
      <w:r w:rsidR="00D43BE6" w:rsidRPr="00EF2F18">
        <w:rPr>
          <w:rFonts w:cs="Times New Roman"/>
          <w:sz w:val="22"/>
          <w:lang w:val="sr-Cyrl-RS"/>
        </w:rPr>
        <w:t xml:space="preserve"> </w:t>
      </w:r>
      <w:r w:rsidR="004B04B6" w:rsidRPr="00EF2F18">
        <w:rPr>
          <w:rFonts w:cs="Times New Roman"/>
          <w:sz w:val="22"/>
          <w:lang w:val="sr-Cyrl-RS"/>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w:t>
      </w:r>
      <w:r w:rsidR="00C1286C" w:rsidRPr="00EF2F18">
        <w:rPr>
          <w:rFonts w:cs="Times New Roman"/>
          <w:sz w:val="22"/>
          <w:lang w:val="sr-Cyrl-RS"/>
        </w:rPr>
        <w:t>к</w:t>
      </w:r>
      <w:r w:rsidR="004B04B6" w:rsidRPr="00EF2F18">
        <w:rPr>
          <w:rFonts w:cs="Times New Roman"/>
          <w:sz w:val="22"/>
          <w:lang w:val="sr-Cyrl-RS"/>
        </w:rPr>
        <w:t>их средстава.</w:t>
      </w:r>
    </w:p>
    <w:p w14:paraId="03532A0D" w14:textId="5F2EE73A" w:rsidR="005242D7" w:rsidRPr="00EF2F18" w:rsidRDefault="005242D7" w:rsidP="00CC4BD6">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Институционални оквир у области животне средине у </w:t>
      </w:r>
      <w:r w:rsidR="009C2073" w:rsidRPr="00EF2F18">
        <w:rPr>
          <w:rFonts w:ascii="Times New Roman" w:hAnsi="Times New Roman" w:cs="Times New Roman"/>
          <w:lang w:val="sr-Cyrl-RS"/>
        </w:rPr>
        <w:t xml:space="preserve">Републици </w:t>
      </w:r>
      <w:r w:rsidRPr="00EF2F18">
        <w:rPr>
          <w:rFonts w:ascii="Times New Roman" w:hAnsi="Times New Roman" w:cs="Times New Roman"/>
          <w:lang w:val="sr-Cyrl-RS"/>
        </w:rPr>
        <w:t>Србији</w:t>
      </w:r>
      <w:r w:rsidR="00F01208" w:rsidRPr="00EF2F18">
        <w:rPr>
          <w:rFonts w:ascii="Times New Roman" w:hAnsi="Times New Roman" w:cs="Times New Roman"/>
          <w:lang w:val="sr-Cyrl-RS"/>
        </w:rPr>
        <w:t xml:space="preserve"> </w:t>
      </w:r>
      <w:r w:rsidRPr="00EF2F18">
        <w:rPr>
          <w:rFonts w:ascii="Times New Roman" w:hAnsi="Times New Roman" w:cs="Times New Roman"/>
          <w:lang w:val="sr-Cyrl-RS"/>
        </w:rPr>
        <w:t>је диференциран</w:t>
      </w:r>
      <w:r w:rsidR="002D6372" w:rsidRPr="00EF2F18">
        <w:rPr>
          <w:rFonts w:ascii="Times New Roman" w:hAnsi="Times New Roman" w:cs="Times New Roman"/>
          <w:lang w:val="sr-Cyrl-RS"/>
        </w:rPr>
        <w:t>:</w:t>
      </w:r>
      <w:r w:rsidRPr="00EF2F18">
        <w:rPr>
          <w:rFonts w:ascii="Times New Roman" w:hAnsi="Times New Roman" w:cs="Times New Roman"/>
          <w:lang w:val="sr-Cyrl-RS"/>
        </w:rPr>
        <w:t xml:space="preserve"> много институција на свим нивоима власти испуњавају задатке заштите животне средине, специфичне институције и јединице за заштиту животне средине, као и секторске институције и јединице које имају и одговорности за заштиту животне средине. </w:t>
      </w:r>
      <w:r w:rsidR="002D6372" w:rsidRPr="00EF2F18">
        <w:rPr>
          <w:rFonts w:ascii="Times New Roman" w:hAnsi="Times New Roman" w:cs="Times New Roman"/>
          <w:lang w:val="sr-Cyrl-RS"/>
        </w:rPr>
        <w:t>Нису успостављени</w:t>
      </w:r>
      <w:r w:rsidR="00F01208" w:rsidRPr="00EF2F18">
        <w:rPr>
          <w:rFonts w:ascii="Times New Roman" w:hAnsi="Times New Roman" w:cs="Times New Roman"/>
          <w:lang w:val="sr-Cyrl-RS"/>
        </w:rPr>
        <w:t xml:space="preserve"> функционалн</w:t>
      </w:r>
      <w:r w:rsidR="00D43BE6" w:rsidRPr="00EF2F18">
        <w:rPr>
          <w:rFonts w:ascii="Times New Roman" w:hAnsi="Times New Roman" w:cs="Times New Roman"/>
          <w:lang w:val="sr-Cyrl-RS"/>
        </w:rPr>
        <w:t>и</w:t>
      </w:r>
      <w:r w:rsidR="00F01208" w:rsidRPr="00EF2F18">
        <w:rPr>
          <w:rFonts w:ascii="Times New Roman" w:hAnsi="Times New Roman" w:cs="Times New Roman"/>
          <w:lang w:val="sr-Cyrl-RS"/>
        </w:rPr>
        <w:t xml:space="preserve"> механизм</w:t>
      </w:r>
      <w:r w:rsidR="002D6372" w:rsidRPr="00EF2F18">
        <w:rPr>
          <w:rFonts w:ascii="Times New Roman" w:hAnsi="Times New Roman" w:cs="Times New Roman"/>
          <w:lang w:val="sr-Cyrl-RS"/>
        </w:rPr>
        <w:t>и</w:t>
      </w:r>
      <w:r w:rsidRPr="00EF2F18">
        <w:rPr>
          <w:rFonts w:ascii="Times New Roman" w:hAnsi="Times New Roman" w:cs="Times New Roman"/>
          <w:lang w:val="sr-Cyrl-RS"/>
        </w:rPr>
        <w:t xml:space="preserve"> </w:t>
      </w:r>
      <w:r w:rsidR="00F01208" w:rsidRPr="00EF2F18">
        <w:rPr>
          <w:rFonts w:ascii="Times New Roman" w:hAnsi="Times New Roman" w:cs="Times New Roman"/>
          <w:lang w:val="sr-Cyrl-RS"/>
        </w:rPr>
        <w:t>за</w:t>
      </w:r>
      <w:r w:rsidRPr="00EF2F18">
        <w:rPr>
          <w:rFonts w:ascii="Times New Roman" w:hAnsi="Times New Roman" w:cs="Times New Roman"/>
          <w:lang w:val="sr-Cyrl-RS"/>
        </w:rPr>
        <w:t xml:space="preserve"> </w:t>
      </w:r>
      <w:r w:rsidR="00D43BE6" w:rsidRPr="00EF2F18">
        <w:rPr>
          <w:rFonts w:ascii="Times New Roman" w:hAnsi="Times New Roman" w:cs="Times New Roman"/>
          <w:lang w:val="sr-Cyrl-RS"/>
        </w:rPr>
        <w:t xml:space="preserve">сарадњу </w:t>
      </w:r>
      <w:r w:rsidR="002D6372" w:rsidRPr="00EF2F18">
        <w:rPr>
          <w:rFonts w:ascii="Times New Roman" w:hAnsi="Times New Roman" w:cs="Times New Roman"/>
          <w:lang w:val="sr-Cyrl-RS"/>
        </w:rPr>
        <w:t>и</w:t>
      </w:r>
      <w:r w:rsidR="00D43BE6" w:rsidRPr="00EF2F18">
        <w:rPr>
          <w:rFonts w:ascii="Times New Roman" w:hAnsi="Times New Roman" w:cs="Times New Roman"/>
          <w:lang w:val="sr-Cyrl-RS"/>
        </w:rPr>
        <w:t xml:space="preserve"> </w:t>
      </w:r>
      <w:r w:rsidRPr="00EF2F18">
        <w:rPr>
          <w:rFonts w:ascii="Times New Roman" w:hAnsi="Times New Roman" w:cs="Times New Roman"/>
          <w:lang w:val="sr-Cyrl-RS"/>
        </w:rPr>
        <w:t>координациј</w:t>
      </w:r>
      <w:r w:rsidR="00D43BE6" w:rsidRPr="00EF2F18">
        <w:rPr>
          <w:rFonts w:ascii="Times New Roman" w:hAnsi="Times New Roman" w:cs="Times New Roman"/>
          <w:lang w:val="sr-Cyrl-RS"/>
        </w:rPr>
        <w:t>у</w:t>
      </w:r>
      <w:r w:rsidRPr="00EF2F18">
        <w:rPr>
          <w:rFonts w:ascii="Times New Roman" w:hAnsi="Times New Roman" w:cs="Times New Roman"/>
          <w:lang w:val="sr-Cyrl-RS"/>
        </w:rPr>
        <w:t xml:space="preserve"> различитих актера. </w:t>
      </w:r>
      <w:r w:rsidR="009C2073" w:rsidRPr="00EF2F18">
        <w:rPr>
          <w:rFonts w:ascii="Times New Roman" w:hAnsi="Times New Roman" w:cs="Times New Roman"/>
          <w:lang w:val="sr-Cyrl-RS"/>
        </w:rPr>
        <w:t xml:space="preserve">МЗЖС </w:t>
      </w:r>
      <w:r w:rsidR="009C2073" w:rsidRPr="00EF2F18">
        <w:rPr>
          <w:rFonts w:ascii="Times New Roman" w:hAnsi="Times New Roman" w:cs="Times New Roman"/>
          <w:lang w:val="sr-Cyrl-RS"/>
        </w:rPr>
        <w:lastRenderedPageBreak/>
        <w:t>врши координацију на централном нивоу и институција/јединица на покрајинском и локалном нивоу.</w:t>
      </w:r>
      <w:r w:rsidRPr="00EF2F18">
        <w:rPr>
          <w:rFonts w:ascii="Times New Roman" w:hAnsi="Times New Roman" w:cs="Times New Roman"/>
          <w:lang w:val="sr-Cyrl-RS"/>
        </w:rPr>
        <w:t xml:space="preserve"> Координациона улога специјализованих институција за заштиту животне средине је препозната, али се мора континуирано </w:t>
      </w:r>
      <w:r w:rsidR="009C2073" w:rsidRPr="00EF2F18">
        <w:rPr>
          <w:rFonts w:ascii="Times New Roman" w:hAnsi="Times New Roman" w:cs="Times New Roman"/>
          <w:lang w:val="sr-Cyrl-RS"/>
        </w:rPr>
        <w:t>унапређивати</w:t>
      </w:r>
      <w:r w:rsidRPr="00EF2F18">
        <w:rPr>
          <w:rFonts w:ascii="Times New Roman" w:hAnsi="Times New Roman" w:cs="Times New Roman"/>
          <w:lang w:val="sr-Cyrl-RS"/>
        </w:rPr>
        <w:t xml:space="preserve">. Интегрисање заштите животне средине у све релевантне секторе који управљају низом људских активности са утицајем на животну средину </w:t>
      </w:r>
      <w:r w:rsidR="002D6372" w:rsidRPr="00EF2F18">
        <w:rPr>
          <w:rFonts w:ascii="Times New Roman" w:hAnsi="Times New Roman" w:cs="Times New Roman"/>
          <w:lang w:val="sr-Cyrl-RS"/>
        </w:rPr>
        <w:t>још увек није постигнуто</w:t>
      </w:r>
      <w:r w:rsidRPr="00EF2F18">
        <w:rPr>
          <w:rFonts w:ascii="Times New Roman" w:hAnsi="Times New Roman" w:cs="Times New Roman"/>
          <w:lang w:val="sr-Cyrl-RS"/>
        </w:rPr>
        <w:t xml:space="preserve">. </w:t>
      </w:r>
    </w:p>
    <w:p w14:paraId="113C8511" w14:textId="0A2276E3" w:rsidR="005242D7" w:rsidRPr="00EF2F18" w:rsidRDefault="002D6372" w:rsidP="00CC4BD6">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Подељене на</w:t>
      </w:r>
      <w:r w:rsidR="00D43BE6" w:rsidRPr="00EF2F18">
        <w:rPr>
          <w:rFonts w:ascii="Times New Roman" w:hAnsi="Times New Roman" w:cs="Times New Roman"/>
          <w:lang w:val="sr-Cyrl-RS"/>
        </w:rPr>
        <w:t xml:space="preserve">длежности </w:t>
      </w:r>
      <w:r w:rsidRPr="00EF2F18">
        <w:rPr>
          <w:rFonts w:ascii="Times New Roman" w:hAnsi="Times New Roman" w:cs="Times New Roman"/>
          <w:lang w:val="sr-Cyrl-RS"/>
        </w:rPr>
        <w:t>су</w:t>
      </w:r>
      <w:r w:rsidR="00D43BE6" w:rsidRPr="00EF2F18">
        <w:rPr>
          <w:rFonts w:ascii="Times New Roman" w:hAnsi="Times New Roman" w:cs="Times New Roman"/>
          <w:lang w:val="sr-Cyrl-RS"/>
        </w:rPr>
        <w:t xml:space="preserve"> нејасно дефинисане </w:t>
      </w:r>
      <w:r w:rsidRPr="00EF2F18">
        <w:rPr>
          <w:rFonts w:ascii="Times New Roman" w:hAnsi="Times New Roman" w:cs="Times New Roman"/>
          <w:lang w:val="sr-Cyrl-RS"/>
        </w:rPr>
        <w:t xml:space="preserve">и у неким случајевима се преклапају </w:t>
      </w:r>
      <w:r w:rsidR="00D43BE6" w:rsidRPr="00EF2F18">
        <w:rPr>
          <w:rFonts w:ascii="Times New Roman" w:hAnsi="Times New Roman" w:cs="Times New Roman"/>
          <w:lang w:val="sr-Cyrl-RS"/>
        </w:rPr>
        <w:t xml:space="preserve">у областима које покривају министарства, посебно министарства задужена за животну средину, управљање водама, инфраструктуру, </w:t>
      </w:r>
      <w:r w:rsidR="00CC4BD6" w:rsidRPr="00EF2F18">
        <w:rPr>
          <w:rFonts w:ascii="Times New Roman" w:hAnsi="Times New Roman" w:cs="Times New Roman"/>
          <w:lang w:val="sr-Cyrl-RS"/>
        </w:rPr>
        <w:t>привреду</w:t>
      </w:r>
      <w:r w:rsidR="00D43BE6" w:rsidRPr="00EF2F18">
        <w:rPr>
          <w:rFonts w:ascii="Times New Roman" w:hAnsi="Times New Roman" w:cs="Times New Roman"/>
          <w:lang w:val="sr-Cyrl-RS"/>
        </w:rPr>
        <w:t>, локалну самоуправу и просторно планирање.</w:t>
      </w:r>
    </w:p>
    <w:p w14:paraId="32A34DC8" w14:textId="321D6264" w:rsidR="005242D7" w:rsidRPr="00EF2F18" w:rsidRDefault="005242D7" w:rsidP="00CC4BD6">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Инспекцијске службе </w:t>
      </w:r>
      <w:r w:rsidR="00B05144" w:rsidRPr="00EF2F18">
        <w:rPr>
          <w:rFonts w:ascii="Times New Roman" w:hAnsi="Times New Roman" w:cs="Times New Roman"/>
          <w:lang w:val="sr-Cyrl-RS"/>
        </w:rPr>
        <w:t>се организационо налазе</w:t>
      </w:r>
      <w:r w:rsidRPr="00EF2F18">
        <w:rPr>
          <w:rFonts w:ascii="Times New Roman" w:hAnsi="Times New Roman" w:cs="Times New Roman"/>
          <w:lang w:val="sr-Cyrl-RS"/>
        </w:rPr>
        <w:t xml:space="preserve"> у оквиру Сектора за </w:t>
      </w:r>
      <w:r w:rsidR="00B05144" w:rsidRPr="00EF2F18">
        <w:rPr>
          <w:rFonts w:ascii="Times New Roman" w:hAnsi="Times New Roman" w:cs="Times New Roman"/>
          <w:lang w:val="sr-Cyrl-RS"/>
        </w:rPr>
        <w:t>надзор и превентивно деловање у животној средини</w:t>
      </w:r>
      <w:r w:rsidRPr="00EF2F18">
        <w:rPr>
          <w:rFonts w:ascii="Times New Roman" w:hAnsi="Times New Roman" w:cs="Times New Roman"/>
          <w:lang w:val="sr-Cyrl-RS"/>
        </w:rPr>
        <w:t>. Описи послова нису</w:t>
      </w:r>
      <w:r w:rsidR="00B05144" w:rsidRPr="00EF2F18">
        <w:rPr>
          <w:rFonts w:ascii="Times New Roman" w:hAnsi="Times New Roman" w:cs="Times New Roman"/>
          <w:lang w:val="sr-Cyrl-RS"/>
        </w:rPr>
        <w:t xml:space="preserve"> увек</w:t>
      </w:r>
      <w:r w:rsidRPr="00EF2F18">
        <w:rPr>
          <w:rFonts w:ascii="Times New Roman" w:hAnsi="Times New Roman" w:cs="Times New Roman"/>
          <w:lang w:val="sr-Cyrl-RS"/>
        </w:rPr>
        <w:t xml:space="preserve"> јасно повезани са актима ЕУ и одговорностима у транспозицији, имплементацији, праћењу или извештавању у вези са актима ЕУ или процесом приступања. </w:t>
      </w:r>
    </w:p>
    <w:p w14:paraId="7A706239" w14:textId="77777777" w:rsidR="00A46D52" w:rsidRPr="00EF2F18" w:rsidRDefault="00A46D52" w:rsidP="00F37C43">
      <w:pPr>
        <w:pStyle w:val="Normal1"/>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Процес децентрализације је донео читав спектар нових надлежности за животну средину локалној управи, а очекује се да ће се овај процес наставити. Идентификован је недостатак запослених, јер врло често процес децентрализације није био праћен адекватном доделом кадровских ресурса и опреме. Процена показује да радна места на локалном нивоу нису посебно дефинисана. Особље које ради на питањима правних тековинама ЕУ у области заштите животне средине раде и на низу других еколошких задатака, понекад и на задацима који нису везани за животну средину. Радна места која се односе на имплементацију су понекад повезана и са задацима спровођења закона што је само по себи понекад неизбежно, посебно у малим општинама. Постоји значајан недостатак капацитета у областима управљања отпадом и управљања водним ресурсима на локалном нивоу. Недостаје институционално јачање, као и јачање нижег нивоа власти за ефикасно спровођење заштите животне средине, а такође и добра вертикална и хоризонтална координација одговорних институција на свим нивоима. </w:t>
      </w:r>
    </w:p>
    <w:p w14:paraId="20FF9FB1" w14:textId="280771BB" w:rsidR="0003265A" w:rsidRPr="00EF2F18" w:rsidRDefault="0003265A" w:rsidP="00964CA6">
      <w:pPr>
        <w:pStyle w:val="Normal1"/>
        <w:spacing w:after="0"/>
        <w:ind w:right="-179" w:firstLine="720"/>
        <w:jc w:val="both"/>
        <w:rPr>
          <w:rFonts w:ascii="Times New Roman" w:hAnsi="Times New Roman" w:cs="Times New Roman"/>
          <w:lang w:val="sr-Cyrl-RS"/>
        </w:rPr>
      </w:pPr>
    </w:p>
    <w:p w14:paraId="0DB7C74E" w14:textId="527CC568" w:rsidR="0003265A" w:rsidRPr="00EF2F18" w:rsidRDefault="0003265A" w:rsidP="00F34D8C">
      <w:pPr>
        <w:pStyle w:val="Normal1"/>
        <w:spacing w:after="0"/>
        <w:ind w:right="-179" w:firstLine="720"/>
        <w:jc w:val="both"/>
        <w:rPr>
          <w:rFonts w:ascii="Times New Roman" w:hAnsi="Times New Roman" w:cs="Times New Roman"/>
          <w:b/>
          <w:bCs/>
          <w:i/>
          <w:iCs/>
          <w:lang w:val="sr-Cyrl-RS"/>
        </w:rPr>
      </w:pPr>
      <w:r w:rsidRPr="00EF2F18">
        <w:rPr>
          <w:rFonts w:ascii="Times New Roman" w:hAnsi="Times New Roman" w:cs="Times New Roman"/>
          <w:b/>
          <w:bCs/>
          <w:i/>
          <w:iCs/>
          <w:lang w:val="sr-Cyrl-RS"/>
        </w:rPr>
        <w:t>Спровођење Архуске конвенције</w:t>
      </w:r>
    </w:p>
    <w:p w14:paraId="5E46AC55" w14:textId="5DF736E2" w:rsidR="00A46D52" w:rsidRPr="00EF2F18" w:rsidRDefault="00FC6EDB" w:rsidP="008F5583">
      <w:pPr>
        <w:spacing w:after="0"/>
        <w:ind w:firstLine="720"/>
        <w:jc w:val="both"/>
        <w:rPr>
          <w:sz w:val="22"/>
          <w:lang w:val="sr-Cyrl-RS"/>
        </w:rPr>
      </w:pPr>
      <w:r w:rsidRPr="00EF2F18">
        <w:rPr>
          <w:sz w:val="22"/>
          <w:lang w:val="sr-Cyrl-RS"/>
        </w:rPr>
        <w:t xml:space="preserve">У погледу </w:t>
      </w:r>
      <w:r w:rsidRPr="00EF2F18">
        <w:rPr>
          <w:rFonts w:cs="Times New Roman"/>
          <w:sz w:val="22"/>
          <w:lang w:val="sr-Cyrl-RS"/>
        </w:rPr>
        <w:t>сп</w:t>
      </w:r>
      <w:r w:rsidR="0095402E" w:rsidRPr="00EF2F18">
        <w:rPr>
          <w:rFonts w:cs="Times New Roman"/>
          <w:sz w:val="22"/>
          <w:lang w:val="sr-Cyrl-RS"/>
        </w:rPr>
        <w:t>р</w:t>
      </w:r>
      <w:r w:rsidRPr="00EF2F18">
        <w:rPr>
          <w:rFonts w:cs="Times New Roman"/>
          <w:sz w:val="22"/>
          <w:lang w:val="sr-Cyrl-RS"/>
        </w:rPr>
        <w:t xml:space="preserve">овођења </w:t>
      </w:r>
      <w:r w:rsidR="00356BB4" w:rsidRPr="00EF2F18">
        <w:rPr>
          <w:rFonts w:cs="Times New Roman"/>
          <w:sz w:val="22"/>
          <w:lang w:val="sr-Cyrl-RS"/>
        </w:rPr>
        <w:t>Закона о ратификацији Конвенције о доступности информација, учешћу јавности у доношењу одлука и право на правну заштиту у питањима заштите животне средине</w:t>
      </w:r>
      <w:r w:rsidR="008F051F" w:rsidRPr="00EF2F18">
        <w:rPr>
          <w:rFonts w:cs="Times New Roman"/>
          <w:sz w:val="22"/>
          <w:lang w:val="sr-Cyrl-RS"/>
        </w:rPr>
        <w:t xml:space="preserve"> </w:t>
      </w:r>
      <w:r w:rsidR="00255910" w:rsidRPr="00EF2F18">
        <w:rPr>
          <w:rFonts w:cs="Times New Roman"/>
          <w:sz w:val="22"/>
          <w:lang w:val="sr-Cyrl-RS"/>
        </w:rPr>
        <w:t xml:space="preserve">– </w:t>
      </w:r>
      <w:r w:rsidR="008F051F" w:rsidRPr="00EF2F18">
        <w:rPr>
          <w:rFonts w:cs="Times New Roman"/>
          <w:sz w:val="22"/>
          <w:lang w:val="sr-Cyrl-RS"/>
        </w:rPr>
        <w:t>Архуска конвенција</w:t>
      </w:r>
      <w:r w:rsidR="00356BB4" w:rsidRPr="00EF2F18">
        <w:rPr>
          <w:rFonts w:cs="Times New Roman"/>
          <w:sz w:val="22"/>
          <w:lang w:val="sr-Cyrl-RS"/>
        </w:rPr>
        <w:t xml:space="preserve"> („Службени гласник РС</w:t>
      </w:r>
      <w:r w:rsidR="008F051F" w:rsidRPr="00EF2F18">
        <w:rPr>
          <w:rFonts w:eastAsia="Times New Roman" w:cs="Times New Roman"/>
          <w:sz w:val="22"/>
          <w:lang w:val="sr-Cyrl-RS"/>
        </w:rPr>
        <w:t xml:space="preserve"> </w:t>
      </w:r>
      <w:r w:rsidR="00255910" w:rsidRPr="00EF2F18">
        <w:rPr>
          <w:rFonts w:cs="Times New Roman"/>
          <w:sz w:val="22"/>
          <w:lang w:val="sr-Cyrl-RS"/>
        </w:rPr>
        <w:t>–</w:t>
      </w:r>
      <w:r w:rsidR="008F051F" w:rsidRPr="00EF2F18">
        <w:rPr>
          <w:rFonts w:eastAsia="Times New Roman" w:cs="Times New Roman"/>
          <w:sz w:val="22"/>
          <w:lang w:val="sr-Cyrl-RS"/>
        </w:rPr>
        <w:t xml:space="preserve"> Међународни уговори</w:t>
      </w:r>
      <w:r w:rsidR="00E472A9" w:rsidRPr="00EF2F18">
        <w:rPr>
          <w:rFonts w:eastAsia="Times New Roman" w:cs="Times New Roman"/>
          <w:sz w:val="22"/>
          <w:lang w:val="sr-Cyrl-RS"/>
        </w:rPr>
        <w:t xml:space="preserve">”, </w:t>
      </w:r>
      <w:r w:rsidR="008F051F" w:rsidRPr="00EF2F18">
        <w:rPr>
          <w:rFonts w:eastAsia="Times New Roman" w:cs="Times New Roman"/>
          <w:sz w:val="22"/>
          <w:lang w:val="sr-Cyrl-RS"/>
        </w:rPr>
        <w:t>број 38/09)</w:t>
      </w:r>
      <w:r w:rsidR="00A00EB4" w:rsidRPr="00EF2F18">
        <w:rPr>
          <w:rFonts w:eastAsia="Times New Roman" w:cs="Times New Roman"/>
          <w:sz w:val="22"/>
          <w:lang w:val="sr-Cyrl-RS"/>
        </w:rPr>
        <w:t>,</w:t>
      </w:r>
      <w:r w:rsidRPr="00EF2F18">
        <w:rPr>
          <w:rFonts w:cs="Times New Roman"/>
          <w:sz w:val="22"/>
          <w:lang w:val="sr-Cyrl-RS"/>
        </w:rPr>
        <w:t xml:space="preserve"> још увек постоји недовољно висок општи ниво друштвене свести о потреби заштите животне средине, као и државних органа о потреби и неопходности партнерства са цивилним сектором у развијању еколошке</w:t>
      </w:r>
      <w:r w:rsidRPr="00EF2F18">
        <w:rPr>
          <w:sz w:val="22"/>
          <w:lang w:val="sr-Cyrl-RS"/>
        </w:rPr>
        <w:t xml:space="preserve"> свести и решавању еколошких проблема. </w:t>
      </w:r>
    </w:p>
    <w:p w14:paraId="5DC248A1" w14:textId="07BBCE8F" w:rsidR="00A46D52" w:rsidRPr="00EF2F18" w:rsidRDefault="00FC6EDB" w:rsidP="008F5583">
      <w:pPr>
        <w:spacing w:after="0"/>
        <w:ind w:firstLine="720"/>
        <w:jc w:val="both"/>
        <w:rPr>
          <w:sz w:val="22"/>
          <w:lang w:val="sr-Cyrl-RS"/>
        </w:rPr>
      </w:pPr>
      <w:r w:rsidRPr="00EF2F18">
        <w:rPr>
          <w:sz w:val="22"/>
          <w:lang w:val="sr-Cyrl-RS"/>
        </w:rPr>
        <w:t xml:space="preserve">У примени првог стуба Архуске конвенције (пасивно ширење информација) уочено је да органи јавне власти омогућавају приступ информацијама које се тичу заштите животне средине. Капацитети надлежних органа за спровођење Архуске конвенције су недовољни. Увођење </w:t>
      </w:r>
      <w:r w:rsidR="008C511F" w:rsidRPr="00EF2F18">
        <w:rPr>
          <w:sz w:val="22"/>
          <w:lang w:val="sr-Cyrl-RS"/>
        </w:rPr>
        <w:t xml:space="preserve">механизма (једног или више) овлашћеног лица у органима јавне власти за поступање по захтевима за слободан приступ информацијама </w:t>
      </w:r>
      <w:r w:rsidRPr="00EF2F18">
        <w:rPr>
          <w:sz w:val="22"/>
          <w:lang w:val="sr-Cyrl-RS"/>
        </w:rPr>
        <w:t xml:space="preserve">од јавног значаја значајно је побољшало комуникацију, потпуну ажурност поступања по свим захтевима, и знатно бољи проток информација према свим групама становништва. Посебан значај ових мера огледа се у побољшаним могућностима да заинтересована јавност може ефикасније утицати на процес доношења одлука, прописа и других релевантних стратешких аката и мера. </w:t>
      </w:r>
    </w:p>
    <w:p w14:paraId="3D813235" w14:textId="77777777" w:rsidR="00A46D52" w:rsidRPr="00EF2F18" w:rsidRDefault="00FC6EDB" w:rsidP="006F10E5">
      <w:pPr>
        <w:spacing w:after="0"/>
        <w:ind w:firstLine="720"/>
        <w:jc w:val="both"/>
        <w:rPr>
          <w:sz w:val="22"/>
          <w:lang w:val="sr-Cyrl-RS"/>
        </w:rPr>
      </w:pPr>
      <w:r w:rsidRPr="00EF2F18">
        <w:rPr>
          <w:sz w:val="22"/>
          <w:lang w:val="sr-Cyrl-RS"/>
        </w:rPr>
        <w:t>У примени првог стуба Архуске конвенције (активно ширење информација) констатова</w:t>
      </w:r>
      <w:r w:rsidR="00A00EB4" w:rsidRPr="00EF2F18">
        <w:rPr>
          <w:sz w:val="22"/>
          <w:lang w:val="sr-Cyrl-RS"/>
        </w:rPr>
        <w:t>но је</w:t>
      </w:r>
      <w:r w:rsidRPr="00EF2F18">
        <w:rPr>
          <w:sz w:val="22"/>
          <w:lang w:val="sr-Cyrl-RS"/>
        </w:rPr>
        <w:t xml:space="preserve"> да мониторинг у Републици Србији не покрива све приоритетне области (нпр. рибљи фонд, бука). Неусклађена законска регулатива је разлог за ограниченост сопственог мониторинга загађивача. Законску регулативу која се односи на праћење стања земљишта и вода је неопходно унапредити. </w:t>
      </w:r>
    </w:p>
    <w:p w14:paraId="02E0CDEF" w14:textId="3F9F7196" w:rsidR="00A46D52" w:rsidRPr="00EF2F18" w:rsidRDefault="00FC6EDB" w:rsidP="006F10E5">
      <w:pPr>
        <w:spacing w:after="0"/>
        <w:ind w:firstLine="720"/>
        <w:jc w:val="both"/>
        <w:rPr>
          <w:sz w:val="22"/>
          <w:lang w:val="sr-Cyrl-RS"/>
        </w:rPr>
      </w:pPr>
      <w:r w:rsidRPr="00EF2F18">
        <w:rPr>
          <w:sz w:val="22"/>
          <w:lang w:val="sr-Cyrl-RS"/>
        </w:rPr>
        <w:t>У примени другог стуба Архуске конвенције (уче</w:t>
      </w:r>
      <w:r w:rsidR="00B04DEE" w:rsidRPr="00EF2F18">
        <w:rPr>
          <w:sz w:val="22"/>
          <w:lang w:val="sr-Cyrl-RS"/>
        </w:rPr>
        <w:t>ш</w:t>
      </w:r>
      <w:r w:rsidRPr="00EF2F18">
        <w:rPr>
          <w:sz w:val="22"/>
          <w:lang w:val="sr-Cyrl-RS"/>
        </w:rPr>
        <w:t xml:space="preserve">ће јавности у доношењу одлука) неодговарајући институционални и други капацитети Министарства и надлежних органа </w:t>
      </w:r>
      <w:r w:rsidR="00E52612" w:rsidRPr="00EF2F18">
        <w:rPr>
          <w:sz w:val="22"/>
          <w:lang w:val="sr-Cyrl-RS"/>
        </w:rPr>
        <w:t xml:space="preserve">јединица </w:t>
      </w:r>
      <w:r w:rsidRPr="00EF2F18">
        <w:rPr>
          <w:sz w:val="22"/>
          <w:lang w:val="sr-Cyrl-RS"/>
        </w:rPr>
        <w:t>локалне самоуправе представљају велику препреку. Релативно је слабо обавештавање грађана у поступку процене утицаја на животну средину и слабо учешће заинтересованих органа и организација. У погледу стратешког планирања уочено је да „постоји неусаглашеност секторских прописа на основу којих се планови и програми доносе са законом којим се уређује стратешка про</w:t>
      </w:r>
      <w:r w:rsidR="00255910" w:rsidRPr="00EF2F18">
        <w:rPr>
          <w:sz w:val="22"/>
          <w:lang w:val="sr-Cyrl-RS"/>
        </w:rPr>
        <w:t>цена утицаја на животну средину”.</w:t>
      </w:r>
    </w:p>
    <w:p w14:paraId="285070E4" w14:textId="61666096" w:rsidR="00E347E6" w:rsidRPr="00EF2F18" w:rsidRDefault="00FC6EDB" w:rsidP="006F10E5">
      <w:pPr>
        <w:spacing w:after="0"/>
        <w:ind w:firstLine="720"/>
        <w:jc w:val="both"/>
        <w:rPr>
          <w:sz w:val="22"/>
          <w:lang w:val="sr-Cyrl-RS"/>
        </w:rPr>
      </w:pPr>
      <w:r w:rsidRPr="00EF2F18">
        <w:rPr>
          <w:sz w:val="22"/>
          <w:lang w:val="sr-Cyrl-RS"/>
        </w:rPr>
        <w:t xml:space="preserve">У примени трећег стуба Архуске конвенције (право на правну заштиту) препреку представља непостојање „система аутоматизованог вођења предмета у свим судовима, односно </w:t>
      </w:r>
      <w:r w:rsidRPr="00EF2F18">
        <w:rPr>
          <w:sz w:val="22"/>
          <w:lang w:val="sr-Cyrl-RS"/>
        </w:rPr>
        <w:lastRenderedPageBreak/>
        <w:t>слободно</w:t>
      </w:r>
      <w:r w:rsidR="00255910" w:rsidRPr="00EF2F18">
        <w:rPr>
          <w:sz w:val="22"/>
          <w:lang w:val="sr-Cyrl-RS"/>
        </w:rPr>
        <w:t>г приступа подацима из предмета</w:t>
      </w:r>
      <w:r w:rsidRPr="00EF2F18">
        <w:rPr>
          <w:sz w:val="22"/>
          <w:lang w:val="sr-Cyrl-RS"/>
        </w:rPr>
        <w:t>”</w:t>
      </w:r>
      <w:r w:rsidR="00255910" w:rsidRPr="00EF2F18">
        <w:rPr>
          <w:sz w:val="22"/>
          <w:lang w:val="sr-Cyrl-RS"/>
        </w:rPr>
        <w:t>.</w:t>
      </w:r>
      <w:r w:rsidRPr="00EF2F18">
        <w:rPr>
          <w:sz w:val="22"/>
          <w:lang w:val="sr-Cyrl-RS"/>
        </w:rPr>
        <w:t xml:space="preserve"> У судовима нема одељења специјализованих за предмете из области заштите животне средине, недовољна је обука судија и тужилаца за поступање у предметима заштите животне средине.</w:t>
      </w:r>
    </w:p>
    <w:p w14:paraId="0840F21C" w14:textId="77777777" w:rsidR="0003265A" w:rsidRPr="00EF2F18" w:rsidRDefault="0003265A" w:rsidP="00A00EB4">
      <w:pPr>
        <w:spacing w:after="0"/>
        <w:ind w:firstLine="720"/>
        <w:jc w:val="both"/>
        <w:outlineLvl w:val="0"/>
        <w:rPr>
          <w:sz w:val="22"/>
          <w:lang w:val="sr-Cyrl-RS"/>
        </w:rPr>
      </w:pPr>
    </w:p>
    <w:p w14:paraId="0AEC4786" w14:textId="77777777" w:rsidR="00392358" w:rsidRPr="00EF2F18" w:rsidRDefault="00392358" w:rsidP="00F34D8C">
      <w:pPr>
        <w:pStyle w:val="Normal1"/>
        <w:spacing w:after="0"/>
        <w:ind w:firstLine="720"/>
        <w:jc w:val="both"/>
        <w:rPr>
          <w:rFonts w:ascii="Times New Roman" w:hAnsi="Times New Roman" w:cs="Times New Roman"/>
          <w:b/>
          <w:bCs/>
          <w:i/>
          <w:iCs/>
          <w:lang w:val="sr-Cyrl-RS"/>
        </w:rPr>
      </w:pPr>
      <w:r w:rsidRPr="00EF2F18">
        <w:rPr>
          <w:rFonts w:ascii="Times New Roman" w:hAnsi="Times New Roman" w:cs="Times New Roman"/>
          <w:b/>
          <w:bCs/>
          <w:i/>
          <w:iCs/>
          <w:lang w:val="sr-Cyrl-RS"/>
        </w:rPr>
        <w:t>Мониторинг и извештавање</w:t>
      </w:r>
    </w:p>
    <w:p w14:paraId="7A831873" w14:textId="77777777" w:rsidR="007D6925" w:rsidRPr="00EF2F18" w:rsidRDefault="007D6925" w:rsidP="00392358">
      <w:pPr>
        <w:pStyle w:val="Normal1"/>
        <w:spacing w:after="0"/>
        <w:jc w:val="both"/>
        <w:rPr>
          <w:rFonts w:ascii="Times New Roman" w:hAnsi="Times New Roman" w:cs="Times New Roman"/>
          <w:b/>
          <w:bCs/>
          <w:i/>
          <w:iCs/>
          <w:lang w:val="sr-Cyrl-RS"/>
        </w:rPr>
      </w:pPr>
    </w:p>
    <w:p w14:paraId="3E59C2F8" w14:textId="37084BC2" w:rsidR="009049F2" w:rsidRPr="00EF2F18" w:rsidRDefault="009049F2" w:rsidP="009049F2">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Обавеза успостављања систематског мониторинга земљишта на простору Републике Србије дефинисана је Законом о заштити животне средине </w:t>
      </w:r>
      <w:r w:rsidR="00255910" w:rsidRPr="00EF2F18">
        <w:rPr>
          <w:rFonts w:ascii="Times New Roman" w:hAnsi="Times New Roman"/>
          <w:lang w:val="sr-Cyrl-RS"/>
        </w:rPr>
        <w:t>(,,Службени гласник РС”, бр. 135/04, 36/09, 36/09 – др. закон, 72/09 – др. закон, 43/11 – УС, 14/16, 76/18, 95/18 – др. закон, 95/18 – др. закон и 94/24 – др. закон)</w:t>
      </w:r>
      <w:r w:rsidRPr="00EF2F18">
        <w:rPr>
          <w:rFonts w:ascii="Times New Roman" w:hAnsi="Times New Roman" w:cs="Times New Roman"/>
          <w:lang w:val="sr-Cyrl-RS"/>
        </w:rPr>
        <w:t>.</w:t>
      </w:r>
      <w:r w:rsidR="00903C90" w:rsidRPr="00EF2F18">
        <w:rPr>
          <w:rFonts w:ascii="Times New Roman" w:hAnsi="Times New Roman" w:cs="Times New Roman"/>
          <w:lang w:val="sr-Cyrl-RS"/>
        </w:rPr>
        <w:t xml:space="preserve"> </w:t>
      </w:r>
      <w:r w:rsidRPr="00EF2F18">
        <w:rPr>
          <w:rFonts w:ascii="Times New Roman" w:hAnsi="Times New Roman" w:cs="Times New Roman"/>
          <w:lang w:val="sr-Cyrl-RS"/>
        </w:rPr>
        <w:t xml:space="preserve">У складу са чланом 69. </w:t>
      </w:r>
      <w:r w:rsidR="00255910" w:rsidRPr="00EF2F18">
        <w:rPr>
          <w:rFonts w:ascii="Times New Roman" w:hAnsi="Times New Roman" w:cs="Times New Roman"/>
          <w:lang w:val="sr-Cyrl-RS"/>
        </w:rPr>
        <w:t xml:space="preserve">овог </w:t>
      </w:r>
      <w:r w:rsidRPr="00EF2F18">
        <w:rPr>
          <w:rFonts w:ascii="Times New Roman" w:hAnsi="Times New Roman" w:cs="Times New Roman"/>
          <w:lang w:val="sr-Cyrl-RS"/>
        </w:rPr>
        <w:t>Закона, Република Србија, аутономна покрајина и јединица локалне самоуправе, у оквиру својих надлежности утврђених законом, обезбеђују континуирану контролу и праћење стања животне средине (мониторинг). Мониторинг је саставни део информационог система животне средине, а финансијска средства за његову реализацију обезбеђују Република Србија, аутономна покрајина и јединица локалне самоуправе.</w:t>
      </w:r>
    </w:p>
    <w:p w14:paraId="3EA28A75" w14:textId="1489ED60" w:rsidR="009049F2" w:rsidRPr="00EF2F18" w:rsidRDefault="009049F2" w:rsidP="009049F2">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Чланом 70. овог </w:t>
      </w:r>
      <w:r w:rsidR="00255910" w:rsidRPr="00EF2F18">
        <w:rPr>
          <w:rFonts w:ascii="Times New Roman" w:hAnsi="Times New Roman" w:cs="Times New Roman"/>
          <w:lang w:val="sr-Cyrl-RS"/>
        </w:rPr>
        <w:t xml:space="preserve">закона </w:t>
      </w:r>
      <w:r w:rsidRPr="00EF2F18">
        <w:rPr>
          <w:rFonts w:ascii="Times New Roman" w:hAnsi="Times New Roman" w:cs="Times New Roman"/>
          <w:lang w:val="sr-Cyrl-RS"/>
        </w:rPr>
        <w:t>дефинисана је садржина и начин вршења мониторинга. Мониторинг се врши систематским праћењем вредности индикатора, односно праћењем негативних утицаја на животну средину, стања животне средине, мера и активности које се предузимају у циљу смањења негативних утицаја и подизања нивоа квалитета животне средине.</w:t>
      </w:r>
    </w:p>
    <w:p w14:paraId="0B67B34C" w14:textId="71D62050" w:rsidR="006D1EFA" w:rsidRPr="00EF2F18" w:rsidRDefault="00392358" w:rsidP="00392358">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Институције за мониторинг и извештавање су АЗЖС, као део МЗЖС, Републички хидрометеоролошки завод, као и Републички геодетски завод који такође обезбеђује важне информационе алате. </w:t>
      </w:r>
    </w:p>
    <w:p w14:paraId="2580A165" w14:textId="50B2C245" w:rsidR="00392358" w:rsidRPr="00EF2F18" w:rsidRDefault="00392358" w:rsidP="00392358">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Ове и бројне друге специјализоване владине агенције, институти или канцеларије су важни стубови институционалног устројства (Завод за заштиту природе</w:t>
      </w:r>
      <w:r w:rsidR="00044077" w:rsidRPr="00EF2F18">
        <w:rPr>
          <w:rFonts w:ascii="Times New Roman" w:hAnsi="Times New Roman" w:cs="Times New Roman"/>
          <w:lang w:val="sr-Cyrl-RS"/>
        </w:rPr>
        <w:t xml:space="preserve"> Србије</w:t>
      </w:r>
      <w:r w:rsidRPr="00EF2F18">
        <w:rPr>
          <w:rFonts w:ascii="Times New Roman" w:hAnsi="Times New Roman" w:cs="Times New Roman"/>
          <w:lang w:val="sr-Cyrl-RS"/>
        </w:rPr>
        <w:t>, Републички завод за статистику</w:t>
      </w:r>
      <w:r w:rsidR="00255910" w:rsidRPr="00EF2F18">
        <w:rPr>
          <w:rFonts w:ascii="Times New Roman" w:hAnsi="Times New Roman" w:cs="Times New Roman"/>
          <w:lang w:val="sr-Cyrl-RS"/>
        </w:rPr>
        <w:t>, Институт за стандардизацију Србије,</w:t>
      </w:r>
      <w:r w:rsidRPr="00EF2F18">
        <w:rPr>
          <w:rFonts w:ascii="Times New Roman" w:hAnsi="Times New Roman" w:cs="Times New Roman"/>
          <w:lang w:val="sr-Cyrl-RS"/>
        </w:rPr>
        <w:t xml:space="preserve"> Привредна комора Србије, Агенција за безбедност саобраћаја, Директорат цивилног ваздухопловства Републике Србије).</w:t>
      </w:r>
    </w:p>
    <w:p w14:paraId="783B3094" w14:textId="0AF6E652" w:rsidR="00D9405A" w:rsidRPr="00EF2F18" w:rsidRDefault="006D1EFA" w:rsidP="00BE0067">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У Републици Србији је у складу са Законом о заштити животне средине успостављен информациони систем заштите животне средине ради ефикасног идентификовања, класификовања, обраде, праћења и евиденције природних вредности и управљања животном средином. Информациони систем води АЗЖС. Овим информационим системом обезбеђује се формирање, класификовање, обрада, одржавање, презентација и дистрибуција нумеричких, описних и просторних база података о квалитету медијума животне средине, праћењу стања и заштити животне средине, научно-техничким информацијама о планским мерама превенције и размени информација са другим информационим системима. Информациони систем заштите животне средине је на националном нивоу кључна мрежа знања у подршци Зеленој агенди и убрзању имплементације Стратегије Европске агенције за животну средину (ЕЕА) – Европске мреже за информације и посматрање животне средине (ЕIONET) 2021-2030. АЗЖС је ангажована и на јачању мреже кроз активније ангажовање у заједничком раду са </w:t>
      </w:r>
      <w:r w:rsidR="00590A6B" w:rsidRPr="00EF2F18">
        <w:rPr>
          <w:rFonts w:ascii="Times New Roman" w:hAnsi="Times New Roman" w:cs="Times New Roman"/>
          <w:lang w:val="sr-Cyrl-RS"/>
        </w:rPr>
        <w:t xml:space="preserve">Министарством унутрашњих послова – </w:t>
      </w:r>
      <w:r w:rsidRPr="00EF2F18">
        <w:rPr>
          <w:rFonts w:ascii="Times New Roman" w:hAnsi="Times New Roman" w:cs="Times New Roman"/>
          <w:lang w:val="sr-Cyrl-RS"/>
        </w:rPr>
        <w:t>Сектором за ванредне ситуације и Републичким геодетским заводом.</w:t>
      </w:r>
    </w:p>
    <w:p w14:paraId="541EA593" w14:textId="77777777" w:rsidR="00BE0067" w:rsidRPr="00EF2F18" w:rsidRDefault="00BE0067" w:rsidP="00994601">
      <w:pPr>
        <w:pStyle w:val="Normal1"/>
        <w:pBdr>
          <w:top w:val="nil"/>
          <w:left w:val="nil"/>
          <w:bottom w:val="nil"/>
          <w:right w:val="nil"/>
          <w:between w:val="nil"/>
        </w:pBdr>
        <w:spacing w:after="0"/>
        <w:ind w:firstLine="720"/>
        <w:jc w:val="both"/>
        <w:rPr>
          <w:rFonts w:ascii="Times New Roman" w:hAnsi="Times New Roman" w:cs="Times New Roman"/>
          <w:lang w:val="sr-Cyrl-RS"/>
        </w:rPr>
      </w:pPr>
    </w:p>
    <w:p w14:paraId="7B14E790" w14:textId="77777777" w:rsidR="00D9405A" w:rsidRPr="00EF2F18" w:rsidRDefault="00D9405A" w:rsidP="00F34D8C">
      <w:pPr>
        <w:pStyle w:val="Normal1"/>
        <w:spacing w:after="0"/>
        <w:ind w:firstLine="720"/>
        <w:jc w:val="both"/>
        <w:rPr>
          <w:rFonts w:cs="Times New Roman"/>
          <w:b/>
          <w:bCs/>
          <w:i/>
          <w:iCs/>
          <w:lang w:val="sr-Cyrl-RS"/>
        </w:rPr>
      </w:pPr>
      <w:r w:rsidRPr="00EF2F18">
        <w:rPr>
          <w:rFonts w:ascii="Times New Roman" w:hAnsi="Times New Roman" w:cs="Times New Roman"/>
          <w:b/>
          <w:bCs/>
          <w:i/>
          <w:iCs/>
          <w:lang w:val="sr-Cyrl-RS"/>
        </w:rPr>
        <w:t>Родна равноправности и оснаживања улоге осетљивих друштвених група у области заштите животне средине</w:t>
      </w:r>
    </w:p>
    <w:p w14:paraId="056B87CF" w14:textId="24DE3E80" w:rsidR="00D9405A" w:rsidRPr="00EF2F18" w:rsidRDefault="00D9405A" w:rsidP="008F5583">
      <w:pPr>
        <w:spacing w:after="0"/>
        <w:ind w:firstLine="720"/>
        <w:jc w:val="both"/>
        <w:rPr>
          <w:sz w:val="22"/>
          <w:lang w:val="sr-Cyrl-RS"/>
        </w:rPr>
      </w:pPr>
      <w:r w:rsidRPr="00EF2F18">
        <w:rPr>
          <w:sz w:val="22"/>
          <w:lang w:val="sr-Cyrl-RS"/>
        </w:rPr>
        <w:t>Анализе које су спровед</w:t>
      </w:r>
      <w:r w:rsidR="00184444">
        <w:rPr>
          <w:sz w:val="22"/>
          <w:lang w:val="sr-Cyrl-RS"/>
        </w:rPr>
        <w:t>е</w:t>
      </w:r>
      <w:r w:rsidR="00496A40">
        <w:rPr>
          <w:sz w:val="22"/>
          <w:lang w:val="sr-Cyrl-RS"/>
        </w:rPr>
        <w:t>не на глобалном ни</w:t>
      </w:r>
      <w:r w:rsidRPr="00EF2F18">
        <w:rPr>
          <w:sz w:val="22"/>
          <w:lang w:val="sr-Cyrl-RS"/>
        </w:rPr>
        <w:t>в</w:t>
      </w:r>
      <w:r w:rsidR="00496A40">
        <w:rPr>
          <w:sz w:val="22"/>
          <w:lang w:val="sr-Cyrl-RS"/>
        </w:rPr>
        <w:t>о</w:t>
      </w:r>
      <w:r w:rsidRPr="00EF2F18">
        <w:rPr>
          <w:sz w:val="22"/>
          <w:lang w:val="sr-Cyrl-RS"/>
        </w:rPr>
        <w:t>у показују да је положај жена неповољнији у односу на мушкарце када су у питању: климатске промене, крчење шума, деградација земљишта, растућа несташица воде и неадекватни сан</w:t>
      </w:r>
      <w:r w:rsidR="00D867FF">
        <w:rPr>
          <w:sz w:val="22"/>
          <w:lang w:val="sr-Cyrl-RS"/>
        </w:rPr>
        <w:t>итарни услови. Посебно су пого</w:t>
      </w:r>
      <w:r w:rsidRPr="00EF2F18">
        <w:rPr>
          <w:sz w:val="22"/>
          <w:lang w:val="sr-Cyrl-RS"/>
        </w:rPr>
        <w:t>ђене жене у руралним заједницама. Такође, препознато је да жене и мушкарци на различите начине осећају ефекте штете по животну средину, због различитих физичких и биолошких карактеристика и различитих улога у друштву, било да је у питању енергетика, вода, саобраћај, урбанизам, пољопривреда и сл. Установљено је да су д</w:t>
      </w:r>
      <w:r w:rsidRPr="00EF2F18">
        <w:rPr>
          <w:rFonts w:cs="Times New Roman"/>
          <w:sz w:val="22"/>
          <w:lang w:val="sr-Cyrl-RS"/>
        </w:rPr>
        <w:t>еца посебно подложна негативном ефектима климатских промена и деградације животне средине, с обзиром да још увек расту и развијају се, због чега су подложнија болестима или неадекватној исхрани као последицама поремећаја у животној средини.</w:t>
      </w:r>
    </w:p>
    <w:p w14:paraId="0945B7FD" w14:textId="6862C45B" w:rsidR="00D9405A" w:rsidRPr="00EF2F18" w:rsidRDefault="00D9405A" w:rsidP="00D9405A">
      <w:pPr>
        <w:spacing w:after="0"/>
        <w:ind w:firstLine="720"/>
        <w:jc w:val="both"/>
        <w:rPr>
          <w:rFonts w:cs="Times New Roman"/>
          <w:sz w:val="22"/>
          <w:lang w:val="sr-Cyrl-RS"/>
        </w:rPr>
      </w:pPr>
      <w:r w:rsidRPr="00EF2F18">
        <w:rPr>
          <w:rFonts w:cs="Times New Roman"/>
          <w:sz w:val="22"/>
          <w:lang w:val="sr-Cyrl-RS"/>
        </w:rPr>
        <w:t>Родна равноправност и оснаживање жена један је од циљева одрживог развоја и у вези са применом принципа родне равноправн</w:t>
      </w:r>
      <w:r w:rsidR="00E542DF">
        <w:rPr>
          <w:rFonts w:cs="Times New Roman"/>
          <w:sz w:val="22"/>
          <w:lang w:val="sr-Cyrl-RS"/>
        </w:rPr>
        <w:t>о</w:t>
      </w:r>
      <w:r w:rsidRPr="00EF2F18">
        <w:rPr>
          <w:rFonts w:cs="Times New Roman"/>
          <w:sz w:val="22"/>
          <w:lang w:val="sr-Cyrl-RS"/>
        </w:rPr>
        <w:t>сти приликом планирања јавних политика и доношење прописа у области заштите животне средине примењује се Закон о планском систему</w:t>
      </w:r>
      <w:r w:rsidR="00590A6B" w:rsidRPr="00EF2F18">
        <w:rPr>
          <w:rFonts w:cs="Times New Roman"/>
          <w:sz w:val="22"/>
          <w:lang w:val="sr-Cyrl-RS"/>
        </w:rPr>
        <w:t xml:space="preserve"> </w:t>
      </w:r>
      <w:r w:rsidR="00590A6B" w:rsidRPr="00EF2F18">
        <w:rPr>
          <w:rFonts w:cs="Times New Roman"/>
          <w:bCs/>
          <w:sz w:val="22"/>
          <w:lang w:val="sr-Cyrl-RS"/>
        </w:rPr>
        <w:lastRenderedPageBreak/>
        <w:t>Републике Србије</w:t>
      </w:r>
      <w:r w:rsidRPr="00EF2F18">
        <w:rPr>
          <w:rFonts w:cs="Times New Roman"/>
          <w:sz w:val="22"/>
          <w:lang w:val="sr-Cyrl-RS"/>
        </w:rPr>
        <w:t xml:space="preserve"> и пратећа </w:t>
      </w:r>
      <w:r w:rsidR="00590A6B" w:rsidRPr="00EF2F18">
        <w:rPr>
          <w:rFonts w:cs="Times New Roman"/>
          <w:bCs/>
          <w:color w:val="000000"/>
          <w:sz w:val="22"/>
          <w:lang w:val="sr-Cyrl-RS"/>
        </w:rPr>
        <w:t>Уредб</w:t>
      </w:r>
      <w:r w:rsidR="00E542DF">
        <w:rPr>
          <w:rFonts w:cs="Times New Roman"/>
          <w:bCs/>
          <w:color w:val="000000"/>
          <w:sz w:val="22"/>
          <w:lang w:val="sr-Cyrl-RS"/>
        </w:rPr>
        <w:t>а</w:t>
      </w:r>
      <w:r w:rsidR="00590A6B" w:rsidRPr="00EF2F18">
        <w:rPr>
          <w:rFonts w:cs="Times New Roman"/>
          <w:bCs/>
          <w:color w:val="000000"/>
          <w:sz w:val="22"/>
          <w:lang w:val="sr-Cyrl-RS"/>
        </w:rPr>
        <w:t xml:space="preserve"> о методологији израде докумената јавних политика („Службени гласник РС”, бр. 20/25, 27/26 и 30/26)</w:t>
      </w:r>
      <w:r w:rsidRPr="00EF2F18">
        <w:rPr>
          <w:rFonts w:cs="Times New Roman"/>
          <w:sz w:val="22"/>
          <w:lang w:val="sr-Cyrl-RS"/>
        </w:rPr>
        <w:t>, према којој се обавезно спроводи анализа ефеката, која укључује и анализу утицаја утврђених мера јавних политика, односно прописа на родну равноправност (</w:t>
      </w:r>
      <w:r w:rsidRPr="00EF2F18">
        <w:rPr>
          <w:rFonts w:cs="Times New Roman"/>
          <w:i/>
          <w:iCs/>
          <w:sz w:val="22"/>
          <w:lang w:val="sr-Cyrl-RS"/>
        </w:rPr>
        <w:t>ex-ante</w:t>
      </w:r>
      <w:r w:rsidRPr="00EF2F18">
        <w:rPr>
          <w:rFonts w:cs="Times New Roman"/>
          <w:sz w:val="22"/>
          <w:lang w:val="sr-Cyrl-RS"/>
        </w:rPr>
        <w:t xml:space="preserve"> анализа ефеката). Такође, та анализа треба обавезно да садржи и процену утицаја на интересе и положај припадника група које су у ризику од дискриминације. Оба</w:t>
      </w:r>
      <w:r w:rsidR="002C3D3C">
        <w:rPr>
          <w:rFonts w:cs="Times New Roman"/>
          <w:sz w:val="22"/>
          <w:lang w:val="sr-Cyrl-RS"/>
        </w:rPr>
        <w:t>веза праћења ефекта приликом сп</w:t>
      </w:r>
      <w:r w:rsidRPr="00EF2F18">
        <w:rPr>
          <w:rFonts w:cs="Times New Roman"/>
          <w:sz w:val="22"/>
          <w:lang w:val="sr-Cyrl-RS"/>
        </w:rPr>
        <w:t xml:space="preserve">ровђења докуменат јавних политика и примене прописа, такође је прописана и спроводи се путем </w:t>
      </w:r>
      <w:r w:rsidRPr="00EF2F18">
        <w:rPr>
          <w:rFonts w:cs="Times New Roman"/>
          <w:i/>
          <w:iCs/>
          <w:sz w:val="22"/>
          <w:lang w:val="sr-Cyrl-RS"/>
        </w:rPr>
        <w:t>ex-post</w:t>
      </w:r>
      <w:r w:rsidRPr="00EF2F18">
        <w:rPr>
          <w:rFonts w:cs="Times New Roman"/>
          <w:sz w:val="22"/>
          <w:lang w:val="sr-Cyrl-RS"/>
        </w:rPr>
        <w:t xml:space="preserve"> анализе ефеката. Наведене обавезе омогућавају примену основног принципа Агенде 2030 „да нико не буде изостављен”. </w:t>
      </w:r>
    </w:p>
    <w:p w14:paraId="52B029B2" w14:textId="4278280A" w:rsidR="00D9405A" w:rsidRPr="00EF2F18" w:rsidRDefault="00D9405A" w:rsidP="00D9405A">
      <w:pPr>
        <w:spacing w:after="0"/>
        <w:ind w:firstLine="720"/>
        <w:jc w:val="both"/>
        <w:rPr>
          <w:sz w:val="22"/>
          <w:lang w:val="sr-Cyrl-RS"/>
        </w:rPr>
      </w:pPr>
      <w:r w:rsidRPr="00EF2F18">
        <w:rPr>
          <w:rFonts w:cs="Times New Roman"/>
          <w:sz w:val="22"/>
          <w:lang w:val="sr-Cyrl-RS"/>
        </w:rPr>
        <w:t>Стратегијом за родну равноправност за период 2021</w:t>
      </w:r>
      <w:r w:rsidR="00E542DF">
        <w:rPr>
          <w:rFonts w:cs="Times New Roman"/>
          <w:sz w:val="22"/>
          <w:lang w:val="sr-Cyrl-RS"/>
        </w:rPr>
        <w:t xml:space="preserve"> – </w:t>
      </w:r>
      <w:r w:rsidRPr="00EF2F18">
        <w:rPr>
          <w:rFonts w:cs="Times New Roman"/>
          <w:sz w:val="22"/>
          <w:lang w:val="sr-Cyrl-RS"/>
        </w:rPr>
        <w:t>2030. године, предвиђено је обезбеђивање равноправног укључивања жена и мушкараца у развојне правце за зелену и циркуларну економију, једнак приступ знањима, информацијама и ресурсима како би имали и једнаке шансе услед промена у економији, начину функционисања привреде, као и шансе за нова радна места, предузетништво и социјално предузетништво. Та с</w:t>
      </w:r>
      <w:r w:rsidRPr="00EF2F18">
        <w:rPr>
          <w:sz w:val="22"/>
          <w:lang w:val="sr-Cyrl-RS"/>
        </w:rPr>
        <w:t>тратегија наводи и очекиване велике промене као резултат започетих процеса декарбонизације</w:t>
      </w:r>
      <w:r w:rsidRPr="00EF2F18">
        <w:rPr>
          <w:sz w:val="22"/>
          <w:vertAlign w:val="superscript"/>
          <w:lang w:val="sr-Cyrl-RS"/>
        </w:rPr>
        <w:t xml:space="preserve"> </w:t>
      </w:r>
      <w:r w:rsidRPr="00EF2F18">
        <w:rPr>
          <w:sz w:val="22"/>
          <w:lang w:val="sr-Cyrl-RS"/>
        </w:rPr>
        <w:t>економије у Европи, а који се односе на готово све секторе укључујући и секторе у којима су жене мање заступљене попут енергетике, или попут заштите животне средине, као што је управљање отпадом и отпадним водама, као и управљања природним ресурсима. Наглашен је велики значај да се од почетка осигура равноправно укључивање жена и мушкараца у те процесе, једнак приступ знањима, информацијама и ресурсима како би имали и једнаке шансе услед пред</w:t>
      </w:r>
      <w:r w:rsidR="00E542DF">
        <w:rPr>
          <w:sz w:val="22"/>
          <w:lang w:val="sr-Cyrl-RS"/>
        </w:rPr>
        <w:t>с</w:t>
      </w:r>
      <w:r w:rsidRPr="00EF2F18">
        <w:rPr>
          <w:sz w:val="22"/>
          <w:lang w:val="sr-Cyrl-RS"/>
        </w:rPr>
        <w:t xml:space="preserve">тојећих промена у економији. </w:t>
      </w:r>
    </w:p>
    <w:p w14:paraId="4B3C61C3" w14:textId="4A5518C0" w:rsidR="00D9405A" w:rsidRPr="00EF2F18" w:rsidRDefault="00D9405A" w:rsidP="00D9405A">
      <w:pPr>
        <w:spacing w:after="0"/>
        <w:ind w:firstLine="720"/>
        <w:jc w:val="both"/>
        <w:rPr>
          <w:rFonts w:cs="Times New Roman"/>
          <w:sz w:val="22"/>
          <w:lang w:val="sr-Cyrl-RS"/>
        </w:rPr>
      </w:pPr>
      <w:r w:rsidRPr="00EF2F18">
        <w:rPr>
          <w:rFonts w:cs="Times New Roman"/>
          <w:sz w:val="22"/>
          <w:lang w:val="sr-Cyrl-RS"/>
        </w:rPr>
        <w:t>Стратегија превенције и заштите од дискриминације за период од 2022. до 2030. године, препознаје потребу превенције дискриминације, као и отклањање структуралне дискриминације којој су изложени припадници појединих група,</w:t>
      </w:r>
      <w:r w:rsidR="00E542DF">
        <w:rPr>
          <w:rFonts w:cs="Times New Roman"/>
          <w:sz w:val="22"/>
          <w:lang w:val="sr-Cyrl-RS"/>
        </w:rPr>
        <w:t xml:space="preserve"> при чему нису конкретно идентиф</w:t>
      </w:r>
      <w:r w:rsidRPr="00EF2F18">
        <w:rPr>
          <w:rFonts w:cs="Times New Roman"/>
          <w:sz w:val="22"/>
          <w:lang w:val="sr-Cyrl-RS"/>
        </w:rPr>
        <w:t>иковане такве појаве у области заштите животне средине. С друге стране, у</w:t>
      </w:r>
      <w:r w:rsidRPr="00EF2F18">
        <w:rPr>
          <w:sz w:val="22"/>
          <w:lang w:val="sr-Cyrl-RS"/>
        </w:rPr>
        <w:t xml:space="preserve"> </w:t>
      </w:r>
      <w:r w:rsidRPr="00EF2F18">
        <w:rPr>
          <w:rFonts w:cs="Times New Roman"/>
          <w:sz w:val="22"/>
          <w:lang w:val="sr-Cyrl-RS"/>
        </w:rPr>
        <w:t xml:space="preserve">Акционом плану за спровођење Зелене агенде за Западни Балкан указано је да </w:t>
      </w:r>
      <w:r w:rsidRPr="00EF2F18">
        <w:rPr>
          <w:sz w:val="22"/>
          <w:lang w:val="sr-Cyrl-RS"/>
        </w:rPr>
        <w:t xml:space="preserve">Роми представљају велики потенцијал за економије на Западном Балкану, мада се њихова способност да активно доприносе у великој мери расипа услед њихове маргинализације. </w:t>
      </w:r>
    </w:p>
    <w:p w14:paraId="667F5658" w14:textId="4A1B8F67" w:rsidR="00D9405A" w:rsidRPr="00EF2F18" w:rsidRDefault="00D9405A" w:rsidP="00D9405A">
      <w:pPr>
        <w:spacing w:after="0"/>
        <w:ind w:firstLine="720"/>
        <w:jc w:val="both"/>
        <w:rPr>
          <w:rFonts w:cs="Times New Roman"/>
          <w:sz w:val="22"/>
          <w:lang w:val="sr-Cyrl-RS"/>
        </w:rPr>
      </w:pPr>
      <w:r w:rsidRPr="00EF2F18">
        <w:rPr>
          <w:rFonts w:cs="Times New Roman"/>
          <w:sz w:val="22"/>
          <w:lang w:val="sr-Cyrl-RS"/>
        </w:rPr>
        <w:t>Једна од друштвених група чија улога је пр</w:t>
      </w:r>
      <w:r w:rsidR="00491EC3">
        <w:rPr>
          <w:rFonts w:cs="Times New Roman"/>
          <w:sz w:val="22"/>
          <w:lang w:val="sr-Cyrl-RS"/>
        </w:rPr>
        <w:t>е</w:t>
      </w:r>
      <w:r w:rsidRPr="00EF2F18">
        <w:rPr>
          <w:rFonts w:cs="Times New Roman"/>
          <w:sz w:val="22"/>
          <w:lang w:val="sr-Cyrl-RS"/>
        </w:rPr>
        <w:t>позната као значајна за спровођење Зелен</w:t>
      </w:r>
      <w:r w:rsidR="008F051F" w:rsidRPr="00EF2F18">
        <w:rPr>
          <w:rFonts w:cs="Times New Roman"/>
          <w:sz w:val="22"/>
          <w:lang w:val="sr-Cyrl-RS"/>
        </w:rPr>
        <w:t>е</w:t>
      </w:r>
      <w:r w:rsidRPr="00EF2F18">
        <w:rPr>
          <w:rFonts w:cs="Times New Roman"/>
          <w:sz w:val="22"/>
          <w:lang w:val="sr-Cyrl-RS"/>
        </w:rPr>
        <w:t xml:space="preserve"> агенде, су млади. Стратегијом за младе у Републици Србији за период од 2023. до 2030. године </w:t>
      </w:r>
      <w:r w:rsidRPr="00EF2F18">
        <w:rPr>
          <w:rFonts w:eastAsia="Times New Roman" w:cs="Times New Roman"/>
          <w:sz w:val="22"/>
          <w:lang w:val="sr-Cyrl-RS"/>
        </w:rPr>
        <w:t>предвиђене су бројне активности које се односе на жи</w:t>
      </w:r>
      <w:r w:rsidR="00491EC3">
        <w:rPr>
          <w:rFonts w:eastAsia="Times New Roman" w:cs="Times New Roman"/>
          <w:sz w:val="22"/>
          <w:lang w:val="sr-Cyrl-RS"/>
        </w:rPr>
        <w:t>в</w:t>
      </w:r>
      <w:r w:rsidRPr="00EF2F18">
        <w:rPr>
          <w:rFonts w:eastAsia="Times New Roman" w:cs="Times New Roman"/>
          <w:sz w:val="22"/>
          <w:lang w:val="sr-Cyrl-RS"/>
        </w:rPr>
        <w:t xml:space="preserve">отну средину, </w:t>
      </w:r>
      <w:r w:rsidRPr="00EF2F18">
        <w:rPr>
          <w:rFonts w:cs="Times New Roman"/>
          <w:sz w:val="22"/>
          <w:lang w:val="sr-Cyrl-RS"/>
        </w:rPr>
        <w:t>укључујући спровођење консултативних и партиципативних процеса са младима, израду материјала за информисање и укључивање младих у спровођење циљева одрживог развоја на локалном нивоу,</w:t>
      </w:r>
      <w:r w:rsidRPr="00EF2F18">
        <w:rPr>
          <w:rFonts w:eastAsia="Times New Roman" w:cs="Times New Roman"/>
          <w:sz w:val="22"/>
          <w:lang w:val="sr-Cyrl-RS"/>
        </w:rPr>
        <w:t xml:space="preserve"> као и финансијску подршку удружењима која спроводе </w:t>
      </w:r>
      <w:r w:rsidRPr="00EF2F18">
        <w:rPr>
          <w:rFonts w:cs="Times New Roman"/>
          <w:sz w:val="22"/>
          <w:lang w:val="sr-Cyrl-RS"/>
        </w:rPr>
        <w:t>омладинске активности у области промоције и спровођења циљева одрживог развоја и УН Агенде 2030.</w:t>
      </w:r>
    </w:p>
    <w:p w14:paraId="304BCC9E" w14:textId="77777777" w:rsidR="00392358" w:rsidRPr="00EF2F18" w:rsidRDefault="00392358" w:rsidP="0003265A">
      <w:pPr>
        <w:spacing w:after="0"/>
        <w:jc w:val="both"/>
        <w:outlineLvl w:val="0"/>
        <w:rPr>
          <w:b/>
          <w:bCs/>
          <w:i/>
          <w:iCs/>
          <w:sz w:val="22"/>
          <w:lang w:val="sr-Cyrl-RS"/>
        </w:rPr>
      </w:pPr>
    </w:p>
    <w:p w14:paraId="79251B71" w14:textId="77777777" w:rsidR="00474A92" w:rsidRPr="00EF2F18" w:rsidRDefault="00474A92" w:rsidP="0089035C">
      <w:pPr>
        <w:rPr>
          <w:rFonts w:cs="Times New Roman"/>
          <w:sz w:val="22"/>
          <w:lang w:val="sr-Cyrl-RS"/>
        </w:rPr>
      </w:pPr>
    </w:p>
    <w:p w14:paraId="13D16984" w14:textId="3BFB3C2D" w:rsidR="00EB0ADF" w:rsidRPr="00EF2F18" w:rsidRDefault="00EB0ADF" w:rsidP="00F34D8C">
      <w:pPr>
        <w:pStyle w:val="Heading2"/>
        <w:numPr>
          <w:ilvl w:val="1"/>
          <w:numId w:val="2"/>
        </w:numPr>
        <w:jc w:val="center"/>
        <w:rPr>
          <w:rFonts w:cs="Times New Roman"/>
          <w:sz w:val="22"/>
          <w:szCs w:val="22"/>
          <w:lang w:val="sr-Cyrl-RS"/>
        </w:rPr>
      </w:pPr>
      <w:bookmarkStart w:id="79" w:name="_Toc158307719"/>
      <w:r w:rsidRPr="00EF2F18">
        <w:rPr>
          <w:rFonts w:cs="Times New Roman"/>
          <w:sz w:val="22"/>
          <w:szCs w:val="22"/>
          <w:lang w:val="sr-Cyrl-RS"/>
        </w:rPr>
        <w:t>Финансирање у области животне средине</w:t>
      </w:r>
      <w:r w:rsidR="00DB0359" w:rsidRPr="00EF2F18">
        <w:rPr>
          <w:rFonts w:cs="Times New Roman"/>
          <w:sz w:val="22"/>
          <w:szCs w:val="22"/>
          <w:lang w:val="sr-Cyrl-RS"/>
        </w:rPr>
        <w:t xml:space="preserve"> – </w:t>
      </w:r>
      <w:r w:rsidR="0080484A" w:rsidRPr="00EF2F18">
        <w:rPr>
          <w:rFonts w:cs="Times New Roman"/>
          <w:sz w:val="22"/>
          <w:szCs w:val="22"/>
          <w:lang w:val="sr-Cyrl-RS"/>
        </w:rPr>
        <w:t>постојеће</w:t>
      </w:r>
      <w:r w:rsidR="00DB0359" w:rsidRPr="00EF2F18">
        <w:rPr>
          <w:rFonts w:cs="Times New Roman"/>
          <w:sz w:val="22"/>
          <w:szCs w:val="22"/>
          <w:lang w:val="sr-Cyrl-RS"/>
        </w:rPr>
        <w:t xml:space="preserve"> стањ</w:t>
      </w:r>
      <w:r w:rsidR="0080484A" w:rsidRPr="00EF2F18">
        <w:rPr>
          <w:rFonts w:cs="Times New Roman"/>
          <w:sz w:val="22"/>
          <w:szCs w:val="22"/>
          <w:lang w:val="sr-Cyrl-RS"/>
        </w:rPr>
        <w:t>е</w:t>
      </w:r>
      <w:bookmarkEnd w:id="79"/>
    </w:p>
    <w:p w14:paraId="52EC58F9" w14:textId="7E9C2D20" w:rsidR="00D02671" w:rsidRPr="00EF2F18" w:rsidRDefault="00D02671" w:rsidP="00926E55">
      <w:pPr>
        <w:pStyle w:val="Default"/>
        <w:rPr>
          <w:rFonts w:ascii="Times New Roman" w:hAnsi="Times New Roman" w:cs="Times New Roman"/>
          <w:sz w:val="22"/>
          <w:szCs w:val="22"/>
          <w:lang w:val="sr-Cyrl-RS"/>
        </w:rPr>
      </w:pPr>
    </w:p>
    <w:p w14:paraId="72CDCF77" w14:textId="60FF794A" w:rsidR="00C071E5" w:rsidRPr="00EF2F18" w:rsidRDefault="00C071E5" w:rsidP="00C071E5">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Подаци које објављује Републички завод за статистику </w:t>
      </w:r>
      <w:r w:rsidR="00A53016" w:rsidRPr="00EF2F18">
        <w:rPr>
          <w:rFonts w:ascii="Times New Roman" w:hAnsi="Times New Roman" w:cs="Times New Roman"/>
          <w:sz w:val="22"/>
          <w:szCs w:val="22"/>
          <w:lang w:val="sr-Cyrl-RS"/>
        </w:rPr>
        <w:t xml:space="preserve">Србије </w:t>
      </w:r>
      <w:r w:rsidRPr="00EF2F18">
        <w:rPr>
          <w:rFonts w:ascii="Times New Roman" w:hAnsi="Times New Roman" w:cs="Times New Roman"/>
          <w:sz w:val="22"/>
          <w:szCs w:val="22"/>
          <w:lang w:val="sr-Cyrl-RS"/>
        </w:rPr>
        <w:t xml:space="preserve">се односе на издатке у области животне средине по следећим областима: заштита ваздуха, управљање отпадним водама, управљање отпадом, остало (заштита и санација </w:t>
      </w:r>
      <w:r w:rsidRPr="00EF2F18">
        <w:rPr>
          <w:rFonts w:ascii="Times New Roman" w:hAnsi="Times New Roman" w:cs="Times New Roman"/>
          <w:color w:val="auto"/>
          <w:sz w:val="22"/>
          <w:szCs w:val="22"/>
          <w:lang w:val="sr-Cyrl-RS"/>
        </w:rPr>
        <w:t>земљишта, подземних и површинских вода, заштита од буке и вибрације, заштита природе</w:t>
      </w:r>
      <w:r w:rsidR="00123D92" w:rsidRPr="00EF2F18">
        <w:rPr>
          <w:rFonts w:ascii="Times New Roman" w:hAnsi="Times New Roman" w:cs="Times New Roman"/>
          <w:color w:val="auto"/>
          <w:sz w:val="22"/>
          <w:szCs w:val="22"/>
          <w:lang w:val="sr-Cyrl-RS"/>
        </w:rPr>
        <w:t xml:space="preserve"> и очување биодиверзитета</w:t>
      </w:r>
      <w:r w:rsidRPr="00EF2F18">
        <w:rPr>
          <w:rFonts w:ascii="Times New Roman" w:hAnsi="Times New Roman" w:cs="Times New Roman"/>
          <w:color w:val="auto"/>
          <w:sz w:val="22"/>
          <w:szCs w:val="22"/>
          <w:lang w:val="sr-Cyrl-RS"/>
        </w:rPr>
        <w:t xml:space="preserve">, остале активности у вези са заштитом животне средине). Подаци о издацима у области заштите животне средине су подељени на инвестиције и текуће издатке. Међутим, из буџета Републике Србије и </w:t>
      </w:r>
      <w:r w:rsidRPr="00EF2F18">
        <w:rPr>
          <w:rFonts w:ascii="Times New Roman" w:hAnsi="Times New Roman" w:cs="Times New Roman"/>
          <w:sz w:val="22"/>
          <w:szCs w:val="22"/>
          <w:lang w:val="sr-Cyrl-RS"/>
        </w:rPr>
        <w:t>података које објављује РЗС се не могу извући посебни подаци који се директно односе на области (стубове) који су предвиђени овом Стратегијом (односно Зеленом агендом).</w:t>
      </w:r>
    </w:p>
    <w:p w14:paraId="552A7063" w14:textId="77777777" w:rsidR="00D83673" w:rsidRPr="00EF2F18" w:rsidRDefault="00D83673" w:rsidP="00C071E5">
      <w:pPr>
        <w:pStyle w:val="Default"/>
        <w:ind w:firstLine="720"/>
        <w:jc w:val="both"/>
        <w:rPr>
          <w:rFonts w:ascii="Times New Roman" w:hAnsi="Times New Roman" w:cs="Times New Roman"/>
          <w:sz w:val="22"/>
          <w:szCs w:val="22"/>
          <w:lang w:val="sr-Cyrl-RS"/>
        </w:rPr>
      </w:pPr>
    </w:p>
    <w:p w14:paraId="5C9D0309" w14:textId="20776D6E" w:rsidR="00C071E5" w:rsidRPr="00EF2F18" w:rsidRDefault="00C071E5" w:rsidP="00C071E5">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 табели</w:t>
      </w:r>
      <w:r w:rsidR="007D22CA" w:rsidRPr="00EF2F18">
        <w:rPr>
          <w:rFonts w:ascii="Times New Roman" w:hAnsi="Times New Roman" w:cs="Times New Roman"/>
          <w:sz w:val="22"/>
          <w:szCs w:val="22"/>
          <w:lang w:val="sr-Cyrl-RS"/>
        </w:rPr>
        <w:t xml:space="preserve"> 3.</w:t>
      </w:r>
      <w:r w:rsidR="00E472A9" w:rsidRPr="00EF2F18">
        <w:rPr>
          <w:rFonts w:ascii="Times New Roman" w:hAnsi="Times New Roman" w:cs="Times New Roman"/>
          <w:sz w:val="22"/>
          <w:szCs w:val="22"/>
          <w:lang w:val="sr-Cyrl-RS"/>
        </w:rPr>
        <w:t>6</w:t>
      </w:r>
      <w:r w:rsidR="007D22CA"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је представљена подела укупних трошкова према активностима заштите животне средине.</w:t>
      </w:r>
    </w:p>
    <w:p w14:paraId="4190BE0A" w14:textId="77777777" w:rsidR="00C071E5" w:rsidRPr="00EF2F18" w:rsidRDefault="00C071E5" w:rsidP="00C071E5">
      <w:pPr>
        <w:pStyle w:val="Default"/>
        <w:ind w:firstLine="720"/>
        <w:jc w:val="both"/>
        <w:rPr>
          <w:rFonts w:ascii="Times New Roman" w:hAnsi="Times New Roman" w:cs="Times New Roman"/>
          <w:sz w:val="22"/>
          <w:szCs w:val="22"/>
          <w:lang w:val="sr-Cyrl-RS"/>
        </w:rPr>
      </w:pPr>
    </w:p>
    <w:p w14:paraId="11B6D835" w14:textId="77777777" w:rsidR="00D83673" w:rsidRPr="00EF2F18" w:rsidRDefault="00D83673" w:rsidP="00C071E5">
      <w:pPr>
        <w:pStyle w:val="Default"/>
        <w:ind w:firstLine="720"/>
        <w:jc w:val="both"/>
        <w:rPr>
          <w:rFonts w:ascii="Times New Roman" w:hAnsi="Times New Roman" w:cs="Times New Roman"/>
          <w:sz w:val="22"/>
          <w:szCs w:val="22"/>
          <w:lang w:val="sr-Cyrl-RS"/>
        </w:rPr>
      </w:pPr>
    </w:p>
    <w:p w14:paraId="1191D1E4" w14:textId="77777777" w:rsidR="00D83673" w:rsidRPr="00EF2F18" w:rsidRDefault="00D83673" w:rsidP="00C071E5">
      <w:pPr>
        <w:pStyle w:val="Default"/>
        <w:ind w:firstLine="720"/>
        <w:jc w:val="both"/>
        <w:rPr>
          <w:rFonts w:ascii="Times New Roman" w:hAnsi="Times New Roman" w:cs="Times New Roman"/>
          <w:sz w:val="22"/>
          <w:szCs w:val="22"/>
          <w:lang w:val="sr-Cyrl-RS"/>
        </w:rPr>
      </w:pPr>
    </w:p>
    <w:p w14:paraId="536CCF08" w14:textId="77777777" w:rsidR="00D83673" w:rsidRPr="00EF2F18" w:rsidRDefault="00D83673" w:rsidP="00C071E5">
      <w:pPr>
        <w:pStyle w:val="Default"/>
        <w:ind w:firstLine="720"/>
        <w:jc w:val="both"/>
        <w:rPr>
          <w:rFonts w:ascii="Times New Roman" w:hAnsi="Times New Roman" w:cs="Times New Roman"/>
          <w:sz w:val="22"/>
          <w:szCs w:val="22"/>
          <w:lang w:val="sr-Cyrl-RS"/>
        </w:rPr>
      </w:pPr>
    </w:p>
    <w:p w14:paraId="51EBA261" w14:textId="77777777" w:rsidR="00D83673" w:rsidRPr="00EF2F18" w:rsidRDefault="00D83673" w:rsidP="00C071E5">
      <w:pPr>
        <w:spacing w:after="0"/>
        <w:jc w:val="both"/>
        <w:rPr>
          <w:rFonts w:cs="Times New Roman"/>
          <w:b/>
          <w:bCs/>
          <w:sz w:val="22"/>
          <w:lang w:val="sr-Cyrl-RS"/>
        </w:rPr>
      </w:pPr>
    </w:p>
    <w:p w14:paraId="0E8A6563" w14:textId="58265730" w:rsidR="00C071E5" w:rsidRPr="00EF2F18" w:rsidRDefault="00C071E5" w:rsidP="00C071E5">
      <w:pPr>
        <w:spacing w:after="0"/>
        <w:jc w:val="both"/>
        <w:rPr>
          <w:rFonts w:cs="Times New Roman"/>
          <w:sz w:val="22"/>
          <w:lang w:val="sr-Cyrl-RS"/>
        </w:rPr>
      </w:pPr>
      <w:r w:rsidRPr="00EF2F18">
        <w:rPr>
          <w:rFonts w:cs="Times New Roman"/>
          <w:b/>
          <w:bCs/>
          <w:sz w:val="22"/>
          <w:lang w:val="sr-Cyrl-RS"/>
        </w:rPr>
        <w:lastRenderedPageBreak/>
        <w:t xml:space="preserve">Табела </w:t>
      </w:r>
      <w:r w:rsidR="00C0735C" w:rsidRPr="00EF2F18">
        <w:rPr>
          <w:rFonts w:cs="Times New Roman"/>
          <w:b/>
          <w:bCs/>
          <w:sz w:val="22"/>
          <w:lang w:val="sr-Cyrl-RS"/>
        </w:rPr>
        <w:t>3</w:t>
      </w:r>
      <w:r w:rsidRPr="00EF2F18">
        <w:rPr>
          <w:rFonts w:cs="Times New Roman"/>
          <w:b/>
          <w:bCs/>
          <w:sz w:val="22"/>
          <w:lang w:val="sr-Cyrl-RS"/>
        </w:rPr>
        <w:t>.</w:t>
      </w:r>
      <w:r w:rsidR="006C1A98" w:rsidRPr="00EF2F18">
        <w:rPr>
          <w:rFonts w:cs="Times New Roman"/>
          <w:b/>
          <w:bCs/>
          <w:sz w:val="22"/>
          <w:lang w:val="sr-Cyrl-RS"/>
        </w:rPr>
        <w:t>6</w:t>
      </w:r>
      <w:r w:rsidRPr="00EF2F18">
        <w:rPr>
          <w:rFonts w:cs="Times New Roman"/>
          <w:b/>
          <w:bCs/>
          <w:sz w:val="22"/>
          <w:lang w:val="sr-Cyrl-RS"/>
        </w:rPr>
        <w:t xml:space="preserve">. </w:t>
      </w:r>
      <w:r w:rsidR="00DD53CA" w:rsidRPr="00EF2F18">
        <w:rPr>
          <w:rFonts w:cs="Times New Roman"/>
          <w:sz w:val="22"/>
          <w:lang w:val="sr-Cyrl-RS"/>
        </w:rPr>
        <w:t>Трошкови према активностима заштите животне средине у Републици Србији</w:t>
      </w:r>
      <w:r w:rsidR="006C2E00" w:rsidRPr="00EF2F18">
        <w:rPr>
          <w:rFonts w:cs="Times New Roman"/>
          <w:sz w:val="22"/>
          <w:lang w:val="sr-Cyrl-RS"/>
        </w:rPr>
        <w:t xml:space="preserve"> </w:t>
      </w:r>
      <w:r w:rsidRPr="00EF2F18">
        <w:rPr>
          <w:rFonts w:cs="Times New Roman"/>
          <w:sz w:val="22"/>
          <w:lang w:val="sr-Cyrl-RS"/>
        </w:rPr>
        <w:t>(202</w:t>
      </w:r>
      <w:r w:rsidR="008D0E8B" w:rsidRPr="00EF2F18">
        <w:rPr>
          <w:rFonts w:cs="Times New Roman"/>
          <w:sz w:val="22"/>
          <w:lang w:val="sr-Cyrl-RS"/>
        </w:rPr>
        <w:t>1</w:t>
      </w:r>
      <w:r w:rsidRPr="00EF2F18">
        <w:rPr>
          <w:rFonts w:cs="Times New Roman"/>
          <w:sz w:val="22"/>
          <w:lang w:val="sr-Cyrl-RS"/>
        </w:rPr>
        <w:t xml:space="preserve">, </w:t>
      </w:r>
      <w:r w:rsidR="00760938" w:rsidRPr="00EF2F18">
        <w:rPr>
          <w:rFonts w:cs="Times New Roman"/>
          <w:sz w:val="22"/>
          <w:lang w:val="sr-Cyrl-RS"/>
        </w:rPr>
        <w:t>202</w:t>
      </w:r>
      <w:r w:rsidR="008D0E8B" w:rsidRPr="00EF2F18">
        <w:rPr>
          <w:rFonts w:cs="Times New Roman"/>
          <w:sz w:val="22"/>
          <w:lang w:val="sr-Cyrl-RS"/>
        </w:rPr>
        <w:t>2</w:t>
      </w:r>
      <w:r w:rsidR="00760938" w:rsidRPr="00EF2F18">
        <w:rPr>
          <w:rFonts w:cs="Times New Roman"/>
          <w:sz w:val="22"/>
          <w:lang w:val="sr-Cyrl-RS"/>
        </w:rPr>
        <w:t>.)</w:t>
      </w:r>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85"/>
        <w:gridCol w:w="1170"/>
        <w:gridCol w:w="1080"/>
        <w:gridCol w:w="900"/>
        <w:gridCol w:w="1080"/>
        <w:gridCol w:w="1786"/>
      </w:tblGrid>
      <w:tr w:rsidR="00C071E5" w:rsidRPr="00EF2F18" w14:paraId="065DF8C1" w14:textId="77777777" w:rsidTr="006A67B5">
        <w:trPr>
          <w:trHeight w:val="23"/>
          <w:jc w:val="center"/>
        </w:trPr>
        <w:tc>
          <w:tcPr>
            <w:tcW w:w="2785" w:type="dxa"/>
            <w:vMerge w:val="restart"/>
            <w:shd w:val="clear" w:color="auto" w:fill="FFFFCC"/>
          </w:tcPr>
          <w:p w14:paraId="6E6036C4" w14:textId="77777777" w:rsidR="00C071E5" w:rsidRPr="00EF2F18" w:rsidRDefault="00C071E5" w:rsidP="006F12D4">
            <w:pPr>
              <w:spacing w:after="0"/>
              <w:jc w:val="center"/>
              <w:rPr>
                <w:rFonts w:cs="Times New Roman"/>
                <w:sz w:val="20"/>
                <w:szCs w:val="20"/>
                <w:lang w:val="sr-Cyrl-RS"/>
              </w:rPr>
            </w:pPr>
          </w:p>
          <w:p w14:paraId="7C21F90E" w14:textId="77777777" w:rsidR="00C071E5" w:rsidRPr="00EF2F18" w:rsidRDefault="00C071E5" w:rsidP="006F12D4">
            <w:pPr>
              <w:spacing w:after="0"/>
              <w:jc w:val="center"/>
              <w:rPr>
                <w:rFonts w:cs="Times New Roman"/>
                <w:b/>
                <w:bCs/>
                <w:sz w:val="20"/>
                <w:szCs w:val="20"/>
                <w:lang w:val="sr-Cyrl-RS"/>
              </w:rPr>
            </w:pPr>
            <w:r w:rsidRPr="00EF2F18">
              <w:rPr>
                <w:rFonts w:cs="Times New Roman"/>
                <w:b/>
                <w:bCs/>
                <w:sz w:val="20"/>
                <w:szCs w:val="20"/>
                <w:lang w:val="sr-Cyrl-RS"/>
              </w:rPr>
              <w:t>Активности</w:t>
            </w:r>
          </w:p>
          <w:p w14:paraId="3E5C9808" w14:textId="77777777" w:rsidR="00C071E5" w:rsidRPr="00EF2F18" w:rsidRDefault="00C071E5" w:rsidP="006F12D4">
            <w:pPr>
              <w:spacing w:after="0"/>
              <w:jc w:val="center"/>
              <w:rPr>
                <w:rFonts w:cs="Times New Roman"/>
                <w:sz w:val="20"/>
                <w:szCs w:val="20"/>
                <w:lang w:val="sr-Cyrl-RS"/>
              </w:rPr>
            </w:pPr>
          </w:p>
        </w:tc>
        <w:tc>
          <w:tcPr>
            <w:tcW w:w="2250" w:type="dxa"/>
            <w:gridSpan w:val="2"/>
            <w:shd w:val="clear" w:color="auto" w:fill="FFFFCC"/>
            <w:vAlign w:val="center"/>
          </w:tcPr>
          <w:p w14:paraId="01412DD2" w14:textId="77777777" w:rsidR="00C071E5" w:rsidRPr="00EF2F18" w:rsidRDefault="00C071E5" w:rsidP="006F12D4">
            <w:pPr>
              <w:spacing w:after="0"/>
              <w:jc w:val="center"/>
              <w:rPr>
                <w:rFonts w:cs="Times New Roman"/>
                <w:b/>
                <w:bCs/>
                <w:sz w:val="20"/>
                <w:szCs w:val="20"/>
                <w:lang w:val="sr-Cyrl-RS"/>
              </w:rPr>
            </w:pPr>
            <w:r w:rsidRPr="00EF2F18">
              <w:rPr>
                <w:rFonts w:cs="Times New Roman"/>
                <w:b/>
                <w:bCs/>
                <w:sz w:val="20"/>
                <w:szCs w:val="20"/>
                <w:lang w:val="sr-Cyrl-RS"/>
              </w:rPr>
              <w:t>Укупно, мил. дин.</w:t>
            </w:r>
          </w:p>
        </w:tc>
        <w:tc>
          <w:tcPr>
            <w:tcW w:w="1980" w:type="dxa"/>
            <w:gridSpan w:val="2"/>
            <w:shd w:val="clear" w:color="auto" w:fill="FFFFCC"/>
            <w:vAlign w:val="center"/>
          </w:tcPr>
          <w:p w14:paraId="3C878CA2" w14:textId="77777777" w:rsidR="00C071E5" w:rsidRPr="00EF2F18" w:rsidRDefault="00C071E5" w:rsidP="006F12D4">
            <w:pPr>
              <w:spacing w:after="0"/>
              <w:jc w:val="center"/>
              <w:rPr>
                <w:rFonts w:cs="Times New Roman"/>
                <w:b/>
                <w:bCs/>
                <w:sz w:val="20"/>
                <w:szCs w:val="20"/>
                <w:lang w:val="sr-Cyrl-RS"/>
              </w:rPr>
            </w:pPr>
            <w:r w:rsidRPr="00EF2F18">
              <w:rPr>
                <w:rFonts w:cs="Times New Roman"/>
                <w:b/>
                <w:bCs/>
                <w:sz w:val="20"/>
                <w:szCs w:val="20"/>
                <w:lang w:val="sr-Cyrl-RS"/>
              </w:rPr>
              <w:t>Учешће, %</w:t>
            </w:r>
          </w:p>
        </w:tc>
        <w:tc>
          <w:tcPr>
            <w:tcW w:w="1786" w:type="dxa"/>
            <w:shd w:val="clear" w:color="auto" w:fill="FFFFCC"/>
          </w:tcPr>
          <w:p w14:paraId="372AF74C" w14:textId="77777777" w:rsidR="00C071E5" w:rsidRPr="00EF2F18" w:rsidRDefault="00C071E5" w:rsidP="006F12D4">
            <w:pPr>
              <w:spacing w:after="0"/>
              <w:jc w:val="center"/>
              <w:rPr>
                <w:rFonts w:cs="Times New Roman"/>
                <w:b/>
                <w:bCs/>
                <w:sz w:val="20"/>
                <w:szCs w:val="20"/>
                <w:lang w:val="sr-Cyrl-RS"/>
              </w:rPr>
            </w:pPr>
            <w:r w:rsidRPr="00EF2F18">
              <w:rPr>
                <w:rFonts w:cs="Times New Roman"/>
                <w:b/>
                <w:bCs/>
                <w:sz w:val="20"/>
                <w:szCs w:val="20"/>
                <w:lang w:val="sr-Cyrl-RS"/>
              </w:rPr>
              <w:t>Промене у односу на претходну годину</w:t>
            </w:r>
          </w:p>
        </w:tc>
      </w:tr>
      <w:tr w:rsidR="00C716E3" w:rsidRPr="00EF2F18" w14:paraId="300FBF9C" w14:textId="77777777" w:rsidTr="006A67B5">
        <w:trPr>
          <w:trHeight w:val="23"/>
          <w:jc w:val="center"/>
        </w:trPr>
        <w:tc>
          <w:tcPr>
            <w:tcW w:w="2785" w:type="dxa"/>
            <w:vMerge/>
            <w:shd w:val="clear" w:color="auto" w:fill="FFFFCC"/>
          </w:tcPr>
          <w:p w14:paraId="5E1CA4EE" w14:textId="77777777" w:rsidR="00C716E3" w:rsidRPr="00EF2F18" w:rsidRDefault="00C716E3" w:rsidP="00C716E3">
            <w:pPr>
              <w:spacing w:after="0"/>
              <w:jc w:val="center"/>
              <w:rPr>
                <w:rFonts w:cs="Times New Roman"/>
                <w:sz w:val="20"/>
                <w:szCs w:val="20"/>
                <w:lang w:val="sr-Cyrl-RS"/>
              </w:rPr>
            </w:pPr>
          </w:p>
        </w:tc>
        <w:tc>
          <w:tcPr>
            <w:tcW w:w="1170" w:type="dxa"/>
            <w:shd w:val="clear" w:color="auto" w:fill="FFFFCC"/>
            <w:vAlign w:val="center"/>
          </w:tcPr>
          <w:p w14:paraId="0BF02DBC" w14:textId="113C6FD6" w:rsidR="00C716E3" w:rsidRPr="00EF2F18" w:rsidRDefault="00C716E3" w:rsidP="00C716E3">
            <w:pPr>
              <w:spacing w:after="0"/>
              <w:jc w:val="center"/>
              <w:rPr>
                <w:rFonts w:cs="Times New Roman"/>
                <w:b/>
                <w:bCs/>
                <w:sz w:val="20"/>
                <w:szCs w:val="20"/>
                <w:lang w:val="sr-Cyrl-RS"/>
              </w:rPr>
            </w:pPr>
            <w:r w:rsidRPr="00EF2F18">
              <w:rPr>
                <w:rFonts w:cs="Times New Roman"/>
                <w:b/>
                <w:bCs/>
                <w:sz w:val="20"/>
                <w:szCs w:val="20"/>
                <w:lang w:val="sr-Cyrl-RS"/>
              </w:rPr>
              <w:t>2021.</w:t>
            </w:r>
          </w:p>
        </w:tc>
        <w:tc>
          <w:tcPr>
            <w:tcW w:w="1080" w:type="dxa"/>
            <w:shd w:val="clear" w:color="auto" w:fill="FFFFCC"/>
            <w:vAlign w:val="center"/>
          </w:tcPr>
          <w:p w14:paraId="18172EA9" w14:textId="569B209C" w:rsidR="00C716E3" w:rsidRPr="00EF2F18" w:rsidRDefault="00C716E3" w:rsidP="00C716E3">
            <w:pPr>
              <w:spacing w:after="0"/>
              <w:jc w:val="center"/>
              <w:rPr>
                <w:rFonts w:cs="Times New Roman"/>
                <w:b/>
                <w:bCs/>
                <w:sz w:val="20"/>
                <w:szCs w:val="20"/>
                <w:lang w:val="sr-Cyrl-RS"/>
              </w:rPr>
            </w:pPr>
            <w:r w:rsidRPr="00EF2F18">
              <w:rPr>
                <w:rFonts w:cs="Times New Roman"/>
                <w:b/>
                <w:bCs/>
                <w:sz w:val="20"/>
                <w:szCs w:val="20"/>
                <w:lang w:val="sr-Cyrl-RS"/>
              </w:rPr>
              <w:t>2022.</w:t>
            </w:r>
          </w:p>
        </w:tc>
        <w:tc>
          <w:tcPr>
            <w:tcW w:w="900" w:type="dxa"/>
            <w:shd w:val="clear" w:color="auto" w:fill="FFFFCC"/>
            <w:vAlign w:val="center"/>
          </w:tcPr>
          <w:p w14:paraId="4C65C70F" w14:textId="183EDF89" w:rsidR="00C716E3" w:rsidRPr="00EF2F18" w:rsidRDefault="00C716E3" w:rsidP="00C716E3">
            <w:pPr>
              <w:spacing w:after="0"/>
              <w:jc w:val="center"/>
              <w:rPr>
                <w:rFonts w:cs="Times New Roman"/>
                <w:b/>
                <w:bCs/>
                <w:sz w:val="20"/>
                <w:szCs w:val="20"/>
                <w:lang w:val="sr-Cyrl-RS"/>
              </w:rPr>
            </w:pPr>
            <w:r w:rsidRPr="00EF2F18">
              <w:rPr>
                <w:rFonts w:cs="Times New Roman"/>
                <w:b/>
                <w:bCs/>
                <w:sz w:val="20"/>
                <w:szCs w:val="20"/>
                <w:lang w:val="sr-Cyrl-RS"/>
              </w:rPr>
              <w:t>2022.</w:t>
            </w:r>
          </w:p>
        </w:tc>
        <w:tc>
          <w:tcPr>
            <w:tcW w:w="1080" w:type="dxa"/>
            <w:shd w:val="clear" w:color="auto" w:fill="FFFFCC"/>
            <w:vAlign w:val="center"/>
          </w:tcPr>
          <w:p w14:paraId="77927718" w14:textId="77777777" w:rsidR="00C716E3" w:rsidRPr="00EF2F18" w:rsidRDefault="00C716E3" w:rsidP="00C716E3">
            <w:pPr>
              <w:spacing w:after="0"/>
              <w:jc w:val="center"/>
              <w:rPr>
                <w:rFonts w:cs="Times New Roman"/>
                <w:b/>
                <w:bCs/>
                <w:sz w:val="20"/>
                <w:szCs w:val="20"/>
                <w:lang w:val="sr-Cyrl-RS"/>
              </w:rPr>
            </w:pPr>
            <w:r w:rsidRPr="00EF2F18">
              <w:rPr>
                <w:rFonts w:cs="Times New Roman"/>
                <w:b/>
                <w:bCs/>
                <w:sz w:val="20"/>
                <w:szCs w:val="20"/>
                <w:lang w:val="sr-Cyrl-RS"/>
              </w:rPr>
              <w:t>разлика, мил. дин.</w:t>
            </w:r>
          </w:p>
        </w:tc>
        <w:tc>
          <w:tcPr>
            <w:tcW w:w="1786" w:type="dxa"/>
            <w:shd w:val="clear" w:color="auto" w:fill="FFFFCC"/>
            <w:vAlign w:val="center"/>
          </w:tcPr>
          <w:p w14:paraId="48EFBC18" w14:textId="77777777" w:rsidR="00C716E3" w:rsidRPr="00EF2F18" w:rsidRDefault="00C716E3" w:rsidP="00C716E3">
            <w:pPr>
              <w:spacing w:after="0"/>
              <w:jc w:val="center"/>
              <w:rPr>
                <w:rFonts w:cs="Times New Roman"/>
                <w:b/>
                <w:bCs/>
                <w:sz w:val="20"/>
                <w:szCs w:val="20"/>
                <w:lang w:val="sr-Cyrl-RS"/>
              </w:rPr>
            </w:pPr>
            <w:r w:rsidRPr="00EF2F18">
              <w:rPr>
                <w:rFonts w:cs="Times New Roman"/>
                <w:b/>
                <w:bCs/>
                <w:sz w:val="20"/>
                <w:szCs w:val="20"/>
                <w:lang w:val="sr-Cyrl-RS"/>
              </w:rPr>
              <w:t>стопа раста, %</w:t>
            </w:r>
          </w:p>
        </w:tc>
      </w:tr>
      <w:tr w:rsidR="007D22CA" w:rsidRPr="00EF2F18" w14:paraId="7064650F" w14:textId="77777777" w:rsidTr="006A67B5">
        <w:trPr>
          <w:trHeight w:val="23"/>
          <w:jc w:val="center"/>
        </w:trPr>
        <w:tc>
          <w:tcPr>
            <w:tcW w:w="2785" w:type="dxa"/>
            <w:vAlign w:val="bottom"/>
          </w:tcPr>
          <w:p w14:paraId="673683CF" w14:textId="77777777" w:rsidR="007D22CA" w:rsidRPr="00EF2F18" w:rsidRDefault="007D22CA" w:rsidP="007D22CA">
            <w:pPr>
              <w:spacing w:after="0"/>
              <w:rPr>
                <w:rFonts w:cs="Times New Roman"/>
                <w:b/>
                <w:sz w:val="20"/>
                <w:szCs w:val="20"/>
                <w:lang w:val="sr-Cyrl-RS"/>
              </w:rPr>
            </w:pPr>
            <w:r w:rsidRPr="00EF2F18">
              <w:rPr>
                <w:rFonts w:cs="Times New Roman"/>
                <w:b/>
                <w:sz w:val="20"/>
                <w:szCs w:val="20"/>
                <w:lang w:val="sr-Cyrl-RS"/>
              </w:rPr>
              <w:t>Трошкови за заштиту животне средине (а+б)</w:t>
            </w:r>
          </w:p>
        </w:tc>
        <w:tc>
          <w:tcPr>
            <w:tcW w:w="1170" w:type="dxa"/>
            <w:vAlign w:val="center"/>
          </w:tcPr>
          <w:p w14:paraId="316B889F" w14:textId="20FE25C0"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b/>
                <w:bCs/>
                <w:sz w:val="20"/>
                <w:szCs w:val="20"/>
                <w:lang w:val="sr-Cyrl-RS"/>
              </w:rPr>
              <w:t>68.676,3</w:t>
            </w:r>
          </w:p>
        </w:tc>
        <w:tc>
          <w:tcPr>
            <w:tcW w:w="1080" w:type="dxa"/>
            <w:vAlign w:val="center"/>
          </w:tcPr>
          <w:p w14:paraId="05650F3C" w14:textId="4787E741"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b/>
                <w:bCs/>
                <w:sz w:val="20"/>
                <w:szCs w:val="20"/>
                <w:lang w:val="sr-Cyrl-RS"/>
              </w:rPr>
              <w:t>69.251,2</w:t>
            </w:r>
          </w:p>
        </w:tc>
        <w:tc>
          <w:tcPr>
            <w:tcW w:w="900" w:type="dxa"/>
            <w:vAlign w:val="center"/>
          </w:tcPr>
          <w:p w14:paraId="1106319D" w14:textId="27D68CF7"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b/>
                <w:bCs/>
                <w:sz w:val="20"/>
                <w:szCs w:val="20"/>
                <w:lang w:val="sr-Cyrl-RS"/>
              </w:rPr>
              <w:t>100,0</w:t>
            </w:r>
          </w:p>
        </w:tc>
        <w:tc>
          <w:tcPr>
            <w:tcW w:w="1080" w:type="dxa"/>
            <w:vAlign w:val="center"/>
          </w:tcPr>
          <w:p w14:paraId="35AA0C15" w14:textId="0228FB5F"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b/>
                <w:bCs/>
                <w:sz w:val="20"/>
                <w:szCs w:val="20"/>
                <w:lang w:val="sr-Cyrl-RS"/>
              </w:rPr>
              <w:t>574,8</w:t>
            </w:r>
          </w:p>
        </w:tc>
        <w:tc>
          <w:tcPr>
            <w:tcW w:w="1786" w:type="dxa"/>
            <w:vAlign w:val="center"/>
          </w:tcPr>
          <w:p w14:paraId="579E565F" w14:textId="2DC90C60"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b/>
                <w:bCs/>
                <w:sz w:val="20"/>
                <w:szCs w:val="20"/>
                <w:lang w:val="sr-Cyrl-RS"/>
              </w:rPr>
              <w:t>0,8</w:t>
            </w:r>
          </w:p>
        </w:tc>
      </w:tr>
      <w:tr w:rsidR="007D22CA" w:rsidRPr="00EF2F18" w14:paraId="4A40C38C" w14:textId="77777777" w:rsidTr="006A67B5">
        <w:trPr>
          <w:trHeight w:val="23"/>
          <w:jc w:val="center"/>
        </w:trPr>
        <w:tc>
          <w:tcPr>
            <w:tcW w:w="2785" w:type="dxa"/>
            <w:vAlign w:val="bottom"/>
          </w:tcPr>
          <w:p w14:paraId="5685D587" w14:textId="77777777" w:rsidR="007D22CA" w:rsidRPr="00EF2F18" w:rsidRDefault="007D22CA" w:rsidP="007D22CA">
            <w:pPr>
              <w:spacing w:after="0"/>
              <w:rPr>
                <w:rFonts w:cs="Times New Roman"/>
                <w:sz w:val="20"/>
                <w:szCs w:val="20"/>
                <w:lang w:val="sr-Cyrl-RS"/>
              </w:rPr>
            </w:pPr>
            <w:r w:rsidRPr="00EF2F18">
              <w:rPr>
                <w:rFonts w:cs="Times New Roman"/>
                <w:sz w:val="20"/>
                <w:szCs w:val="20"/>
                <w:lang w:val="sr-Cyrl-RS"/>
              </w:rPr>
              <w:t>Заштита ваздуха</w:t>
            </w:r>
          </w:p>
        </w:tc>
        <w:tc>
          <w:tcPr>
            <w:tcW w:w="1170" w:type="dxa"/>
            <w:vAlign w:val="center"/>
          </w:tcPr>
          <w:p w14:paraId="675D773B" w14:textId="538337F6"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13.707,0</w:t>
            </w:r>
          </w:p>
        </w:tc>
        <w:tc>
          <w:tcPr>
            <w:tcW w:w="1080" w:type="dxa"/>
            <w:vAlign w:val="center"/>
          </w:tcPr>
          <w:p w14:paraId="07B3EE73" w14:textId="5AC3CC56"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17.077,1</w:t>
            </w:r>
          </w:p>
        </w:tc>
        <w:tc>
          <w:tcPr>
            <w:tcW w:w="900" w:type="dxa"/>
            <w:vAlign w:val="center"/>
          </w:tcPr>
          <w:p w14:paraId="1CCF675B" w14:textId="4A5BD179"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24,7</w:t>
            </w:r>
          </w:p>
        </w:tc>
        <w:tc>
          <w:tcPr>
            <w:tcW w:w="1080" w:type="dxa"/>
            <w:vAlign w:val="center"/>
          </w:tcPr>
          <w:p w14:paraId="5BBCBCAA" w14:textId="2AB658E7"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3.370,2</w:t>
            </w:r>
          </w:p>
        </w:tc>
        <w:tc>
          <w:tcPr>
            <w:tcW w:w="1786" w:type="dxa"/>
            <w:vAlign w:val="center"/>
          </w:tcPr>
          <w:p w14:paraId="729E9ED8" w14:textId="5335E530"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24,6</w:t>
            </w:r>
          </w:p>
        </w:tc>
      </w:tr>
      <w:tr w:rsidR="007D22CA" w:rsidRPr="00EF2F18" w14:paraId="6A092189" w14:textId="77777777" w:rsidTr="006A67B5">
        <w:trPr>
          <w:trHeight w:val="23"/>
          <w:jc w:val="center"/>
        </w:trPr>
        <w:tc>
          <w:tcPr>
            <w:tcW w:w="2785" w:type="dxa"/>
            <w:vAlign w:val="bottom"/>
          </w:tcPr>
          <w:p w14:paraId="319AAE19" w14:textId="77777777" w:rsidR="007D22CA" w:rsidRPr="00EF2F18" w:rsidRDefault="007D22CA" w:rsidP="007D22CA">
            <w:pPr>
              <w:spacing w:after="0"/>
              <w:rPr>
                <w:rFonts w:cs="Times New Roman"/>
                <w:sz w:val="20"/>
                <w:szCs w:val="20"/>
                <w:lang w:val="sr-Cyrl-RS"/>
              </w:rPr>
            </w:pPr>
            <w:r w:rsidRPr="00EF2F18">
              <w:rPr>
                <w:rFonts w:cs="Times New Roman"/>
                <w:sz w:val="20"/>
                <w:szCs w:val="20"/>
                <w:lang w:val="sr-Cyrl-RS"/>
              </w:rPr>
              <w:t>Управљање отпадним водама</w:t>
            </w:r>
          </w:p>
        </w:tc>
        <w:tc>
          <w:tcPr>
            <w:tcW w:w="1170" w:type="dxa"/>
            <w:vAlign w:val="center"/>
          </w:tcPr>
          <w:p w14:paraId="1615BF90" w14:textId="66B67234"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5.889,1</w:t>
            </w:r>
          </w:p>
        </w:tc>
        <w:tc>
          <w:tcPr>
            <w:tcW w:w="1080" w:type="dxa"/>
            <w:vAlign w:val="center"/>
          </w:tcPr>
          <w:p w14:paraId="5B62BFEB" w14:textId="6935D8E9"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5.721,3</w:t>
            </w:r>
          </w:p>
        </w:tc>
        <w:tc>
          <w:tcPr>
            <w:tcW w:w="900" w:type="dxa"/>
            <w:vAlign w:val="center"/>
          </w:tcPr>
          <w:p w14:paraId="76697495" w14:textId="1AEACC15"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8,3</w:t>
            </w:r>
          </w:p>
        </w:tc>
        <w:tc>
          <w:tcPr>
            <w:tcW w:w="1080" w:type="dxa"/>
            <w:vAlign w:val="center"/>
          </w:tcPr>
          <w:p w14:paraId="46AA6CA4" w14:textId="7DB62829"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-167,8</w:t>
            </w:r>
          </w:p>
        </w:tc>
        <w:tc>
          <w:tcPr>
            <w:tcW w:w="1786" w:type="dxa"/>
            <w:vAlign w:val="center"/>
          </w:tcPr>
          <w:p w14:paraId="1316BACE" w14:textId="4F52B25D"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-2,8</w:t>
            </w:r>
          </w:p>
        </w:tc>
      </w:tr>
      <w:tr w:rsidR="007D22CA" w:rsidRPr="00EF2F18" w14:paraId="7DA0D9CF" w14:textId="77777777" w:rsidTr="006A67B5">
        <w:trPr>
          <w:trHeight w:val="23"/>
          <w:jc w:val="center"/>
        </w:trPr>
        <w:tc>
          <w:tcPr>
            <w:tcW w:w="2785" w:type="dxa"/>
            <w:vAlign w:val="bottom"/>
          </w:tcPr>
          <w:p w14:paraId="7B588784" w14:textId="77777777" w:rsidR="007D22CA" w:rsidRPr="00EF2F18" w:rsidRDefault="007D22CA" w:rsidP="007D22CA">
            <w:pPr>
              <w:spacing w:after="0"/>
              <w:rPr>
                <w:rFonts w:cs="Times New Roman"/>
                <w:sz w:val="20"/>
                <w:szCs w:val="20"/>
                <w:lang w:val="sr-Cyrl-RS"/>
              </w:rPr>
            </w:pPr>
            <w:r w:rsidRPr="00EF2F18">
              <w:rPr>
                <w:rFonts w:cs="Times New Roman"/>
                <w:sz w:val="20"/>
                <w:szCs w:val="20"/>
                <w:lang w:val="sr-Cyrl-RS"/>
              </w:rPr>
              <w:t>Управљање отпадом</w:t>
            </w:r>
          </w:p>
        </w:tc>
        <w:tc>
          <w:tcPr>
            <w:tcW w:w="1170" w:type="dxa"/>
            <w:vAlign w:val="center"/>
          </w:tcPr>
          <w:p w14:paraId="0E53D1BC" w14:textId="128BE199"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42.851,5</w:t>
            </w:r>
          </w:p>
        </w:tc>
        <w:tc>
          <w:tcPr>
            <w:tcW w:w="1080" w:type="dxa"/>
            <w:vAlign w:val="center"/>
          </w:tcPr>
          <w:p w14:paraId="40A1D9A9" w14:textId="78DF28B1"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38.193,8</w:t>
            </w:r>
          </w:p>
        </w:tc>
        <w:tc>
          <w:tcPr>
            <w:tcW w:w="900" w:type="dxa"/>
            <w:vAlign w:val="center"/>
          </w:tcPr>
          <w:p w14:paraId="1C28035C" w14:textId="52CE42AF"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55,2</w:t>
            </w:r>
          </w:p>
        </w:tc>
        <w:tc>
          <w:tcPr>
            <w:tcW w:w="1080" w:type="dxa"/>
            <w:vAlign w:val="center"/>
          </w:tcPr>
          <w:p w14:paraId="4615A787" w14:textId="51B1E04E"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-4.657,7</w:t>
            </w:r>
          </w:p>
        </w:tc>
        <w:tc>
          <w:tcPr>
            <w:tcW w:w="1786" w:type="dxa"/>
            <w:vAlign w:val="center"/>
          </w:tcPr>
          <w:p w14:paraId="47C8CE58" w14:textId="2CDC0508"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-10,9</w:t>
            </w:r>
          </w:p>
        </w:tc>
      </w:tr>
      <w:tr w:rsidR="007D22CA" w:rsidRPr="00EF2F18" w14:paraId="7799E659" w14:textId="77777777" w:rsidTr="006A67B5">
        <w:trPr>
          <w:trHeight w:val="23"/>
          <w:jc w:val="center"/>
        </w:trPr>
        <w:tc>
          <w:tcPr>
            <w:tcW w:w="2785" w:type="dxa"/>
            <w:vAlign w:val="bottom"/>
          </w:tcPr>
          <w:p w14:paraId="1ED0E438" w14:textId="77777777" w:rsidR="007D22CA" w:rsidRPr="00EF2F18" w:rsidRDefault="007D22CA" w:rsidP="007D22CA">
            <w:pPr>
              <w:spacing w:after="0"/>
              <w:rPr>
                <w:rFonts w:cs="Times New Roman"/>
                <w:sz w:val="20"/>
                <w:szCs w:val="20"/>
                <w:lang w:val="sr-Cyrl-RS"/>
              </w:rPr>
            </w:pPr>
            <w:r w:rsidRPr="00EF2F18">
              <w:rPr>
                <w:rFonts w:cs="Times New Roman"/>
                <w:sz w:val="20"/>
                <w:szCs w:val="20"/>
                <w:lang w:val="sr-Cyrl-RS"/>
              </w:rPr>
              <w:t>Остало</w:t>
            </w:r>
            <w:r w:rsidRPr="00EF2F18">
              <w:rPr>
                <w:rFonts w:cs="Times New Roman"/>
                <w:sz w:val="20"/>
                <w:szCs w:val="20"/>
                <w:vertAlign w:val="superscript"/>
                <w:lang w:val="sr-Cyrl-RS"/>
              </w:rPr>
              <w:t>*)</w:t>
            </w:r>
          </w:p>
        </w:tc>
        <w:tc>
          <w:tcPr>
            <w:tcW w:w="1170" w:type="dxa"/>
            <w:vAlign w:val="center"/>
          </w:tcPr>
          <w:p w14:paraId="4ED0024C" w14:textId="6737E8AC"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6.228,8</w:t>
            </w:r>
          </w:p>
        </w:tc>
        <w:tc>
          <w:tcPr>
            <w:tcW w:w="1080" w:type="dxa"/>
            <w:vAlign w:val="center"/>
          </w:tcPr>
          <w:p w14:paraId="1CF5022A" w14:textId="1DC9616C"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8.259,0</w:t>
            </w:r>
          </w:p>
        </w:tc>
        <w:tc>
          <w:tcPr>
            <w:tcW w:w="900" w:type="dxa"/>
            <w:vAlign w:val="center"/>
          </w:tcPr>
          <w:p w14:paraId="7E60D5F4" w14:textId="2CF4FA67"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11,9</w:t>
            </w:r>
          </w:p>
        </w:tc>
        <w:tc>
          <w:tcPr>
            <w:tcW w:w="1080" w:type="dxa"/>
            <w:vAlign w:val="center"/>
          </w:tcPr>
          <w:p w14:paraId="63FCE388" w14:textId="5431FAC3"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2.030,1</w:t>
            </w:r>
          </w:p>
        </w:tc>
        <w:tc>
          <w:tcPr>
            <w:tcW w:w="1786" w:type="dxa"/>
            <w:vAlign w:val="center"/>
          </w:tcPr>
          <w:p w14:paraId="77B1B5D7" w14:textId="40F8C137"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32,6</w:t>
            </w:r>
          </w:p>
        </w:tc>
      </w:tr>
      <w:tr w:rsidR="007D22CA" w:rsidRPr="00EF2F18" w14:paraId="12AB7FF7" w14:textId="77777777" w:rsidTr="006A67B5">
        <w:trPr>
          <w:trHeight w:val="23"/>
          <w:jc w:val="center"/>
        </w:trPr>
        <w:tc>
          <w:tcPr>
            <w:tcW w:w="2785" w:type="dxa"/>
            <w:vAlign w:val="bottom"/>
          </w:tcPr>
          <w:p w14:paraId="6626DE3D" w14:textId="1829B1A5" w:rsidR="007D22CA" w:rsidRPr="00EF2F18" w:rsidRDefault="007D22CA" w:rsidP="007D22CA">
            <w:pPr>
              <w:spacing w:after="0"/>
              <w:rPr>
                <w:rFonts w:cs="Times New Roman"/>
                <w:sz w:val="20"/>
                <w:szCs w:val="20"/>
                <w:lang w:val="sr-Cyrl-RS"/>
              </w:rPr>
            </w:pPr>
            <w:r w:rsidRPr="00EF2F18">
              <w:rPr>
                <w:rFonts w:cs="Times New Roman"/>
                <w:b/>
                <w:sz w:val="20"/>
                <w:szCs w:val="20"/>
                <w:lang w:val="sr-Cyrl-RS"/>
              </w:rPr>
              <w:t xml:space="preserve"> а) Инвестиције за заштиту животне средине</w:t>
            </w:r>
          </w:p>
        </w:tc>
        <w:tc>
          <w:tcPr>
            <w:tcW w:w="1170" w:type="dxa"/>
            <w:vAlign w:val="center"/>
          </w:tcPr>
          <w:p w14:paraId="7C28B860" w14:textId="3DE6B12C" w:rsidR="007D22CA" w:rsidRPr="00EF2F18" w:rsidRDefault="007D22CA" w:rsidP="007D22CA">
            <w:pPr>
              <w:spacing w:after="0"/>
              <w:ind w:right="85"/>
              <w:jc w:val="right"/>
              <w:rPr>
                <w:rFonts w:cs="Times New Roman"/>
                <w:color w:val="000000"/>
                <w:sz w:val="20"/>
                <w:szCs w:val="20"/>
                <w:lang w:val="sr-Cyrl-RS"/>
              </w:rPr>
            </w:pPr>
            <w:r w:rsidRPr="00EF2F18">
              <w:rPr>
                <w:rFonts w:cs="Times New Roman"/>
                <w:b/>
                <w:bCs/>
                <w:sz w:val="20"/>
                <w:szCs w:val="20"/>
                <w:lang w:val="sr-Cyrl-RS"/>
              </w:rPr>
              <w:t>29.803,3</w:t>
            </w:r>
          </w:p>
        </w:tc>
        <w:tc>
          <w:tcPr>
            <w:tcW w:w="1080" w:type="dxa"/>
            <w:vAlign w:val="center"/>
          </w:tcPr>
          <w:p w14:paraId="4136427F" w14:textId="4C12EA5F" w:rsidR="007D22CA" w:rsidRPr="00EF2F18" w:rsidRDefault="007D22CA" w:rsidP="007D22CA">
            <w:pPr>
              <w:spacing w:after="0"/>
              <w:ind w:right="85"/>
              <w:jc w:val="right"/>
              <w:rPr>
                <w:rFonts w:cs="Times New Roman"/>
                <w:color w:val="000000"/>
                <w:sz w:val="20"/>
                <w:szCs w:val="20"/>
                <w:lang w:val="sr-Cyrl-RS"/>
              </w:rPr>
            </w:pPr>
            <w:r w:rsidRPr="00EF2F18">
              <w:rPr>
                <w:rFonts w:cs="Times New Roman"/>
                <w:b/>
                <w:bCs/>
                <w:sz w:val="20"/>
                <w:szCs w:val="20"/>
                <w:lang w:val="sr-Cyrl-RS"/>
              </w:rPr>
              <w:t>27.231,8</w:t>
            </w:r>
          </w:p>
        </w:tc>
        <w:tc>
          <w:tcPr>
            <w:tcW w:w="900" w:type="dxa"/>
            <w:vAlign w:val="center"/>
          </w:tcPr>
          <w:p w14:paraId="59A1D348" w14:textId="3EBD3E4B" w:rsidR="007D22CA" w:rsidRPr="00EF2F18" w:rsidRDefault="007D22CA" w:rsidP="007D22CA">
            <w:pPr>
              <w:spacing w:after="0"/>
              <w:ind w:right="85"/>
              <w:jc w:val="right"/>
              <w:rPr>
                <w:rFonts w:cs="Times New Roman"/>
                <w:color w:val="000000"/>
                <w:sz w:val="20"/>
                <w:szCs w:val="20"/>
                <w:lang w:val="sr-Cyrl-RS"/>
              </w:rPr>
            </w:pPr>
            <w:r w:rsidRPr="00EF2F18">
              <w:rPr>
                <w:rFonts w:cs="Times New Roman"/>
                <w:b/>
                <w:bCs/>
                <w:sz w:val="20"/>
                <w:szCs w:val="20"/>
                <w:lang w:val="sr-Cyrl-RS"/>
              </w:rPr>
              <w:t>100,0</w:t>
            </w:r>
          </w:p>
        </w:tc>
        <w:tc>
          <w:tcPr>
            <w:tcW w:w="1080" w:type="dxa"/>
            <w:vAlign w:val="center"/>
          </w:tcPr>
          <w:p w14:paraId="3033667F" w14:textId="40CA0FD9"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b/>
                <w:bCs/>
                <w:sz w:val="20"/>
                <w:szCs w:val="20"/>
                <w:lang w:val="sr-Cyrl-RS"/>
              </w:rPr>
              <w:t>-2.571,5</w:t>
            </w:r>
          </w:p>
        </w:tc>
        <w:tc>
          <w:tcPr>
            <w:tcW w:w="1786" w:type="dxa"/>
            <w:vAlign w:val="center"/>
          </w:tcPr>
          <w:p w14:paraId="3EEFDAD9" w14:textId="711B1E80"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b/>
                <w:bCs/>
                <w:sz w:val="20"/>
                <w:szCs w:val="20"/>
                <w:lang w:val="sr-Cyrl-RS"/>
              </w:rPr>
              <w:t>-8,6</w:t>
            </w:r>
          </w:p>
        </w:tc>
      </w:tr>
      <w:tr w:rsidR="007D22CA" w:rsidRPr="00EF2F18" w14:paraId="53007DAA" w14:textId="77777777" w:rsidTr="006A67B5">
        <w:trPr>
          <w:trHeight w:val="23"/>
          <w:jc w:val="center"/>
        </w:trPr>
        <w:tc>
          <w:tcPr>
            <w:tcW w:w="2785" w:type="dxa"/>
            <w:vAlign w:val="bottom"/>
          </w:tcPr>
          <w:p w14:paraId="5858E4FF" w14:textId="1290CF66" w:rsidR="007D22CA" w:rsidRPr="00EF2F18" w:rsidRDefault="007D22CA" w:rsidP="007D22CA">
            <w:pPr>
              <w:spacing w:after="0"/>
              <w:ind w:left="243" w:hanging="243"/>
              <w:rPr>
                <w:rFonts w:cs="Times New Roman"/>
                <w:b/>
                <w:sz w:val="20"/>
                <w:szCs w:val="20"/>
                <w:lang w:val="sr-Cyrl-RS"/>
              </w:rPr>
            </w:pPr>
            <w:r w:rsidRPr="00EF2F18">
              <w:rPr>
                <w:rFonts w:cs="Times New Roman"/>
                <w:sz w:val="20"/>
                <w:szCs w:val="20"/>
                <w:lang w:val="sr-Cyrl-RS"/>
              </w:rPr>
              <w:t xml:space="preserve"> Заштита ваздуха</w:t>
            </w:r>
          </w:p>
        </w:tc>
        <w:tc>
          <w:tcPr>
            <w:tcW w:w="1170" w:type="dxa"/>
            <w:vAlign w:val="center"/>
          </w:tcPr>
          <w:p w14:paraId="6555E24D" w14:textId="725C4C4A"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12.536,2</w:t>
            </w:r>
          </w:p>
        </w:tc>
        <w:tc>
          <w:tcPr>
            <w:tcW w:w="1080" w:type="dxa"/>
            <w:vAlign w:val="center"/>
          </w:tcPr>
          <w:p w14:paraId="2AD791BF" w14:textId="27B19178"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15.548,1</w:t>
            </w:r>
          </w:p>
        </w:tc>
        <w:tc>
          <w:tcPr>
            <w:tcW w:w="900" w:type="dxa"/>
            <w:vAlign w:val="center"/>
          </w:tcPr>
          <w:p w14:paraId="2AFF03D6" w14:textId="783BE6F4"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57,1</w:t>
            </w:r>
          </w:p>
        </w:tc>
        <w:tc>
          <w:tcPr>
            <w:tcW w:w="1080" w:type="dxa"/>
            <w:vAlign w:val="center"/>
          </w:tcPr>
          <w:p w14:paraId="1442EC1B" w14:textId="0FC908A3"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3.011,9</w:t>
            </w:r>
          </w:p>
        </w:tc>
        <w:tc>
          <w:tcPr>
            <w:tcW w:w="1786" w:type="dxa"/>
            <w:vAlign w:val="center"/>
          </w:tcPr>
          <w:p w14:paraId="66688699" w14:textId="4425C8D3"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24,0</w:t>
            </w:r>
          </w:p>
        </w:tc>
      </w:tr>
      <w:tr w:rsidR="007D22CA" w:rsidRPr="00EF2F18" w14:paraId="1690D0F5" w14:textId="77777777" w:rsidTr="006A67B5">
        <w:trPr>
          <w:trHeight w:val="23"/>
          <w:jc w:val="center"/>
        </w:trPr>
        <w:tc>
          <w:tcPr>
            <w:tcW w:w="2785" w:type="dxa"/>
            <w:vAlign w:val="bottom"/>
          </w:tcPr>
          <w:p w14:paraId="54E1B3AE" w14:textId="58714855" w:rsidR="007D22CA" w:rsidRPr="00EF2F18" w:rsidRDefault="007D22CA" w:rsidP="007D22CA">
            <w:pPr>
              <w:spacing w:after="0"/>
              <w:rPr>
                <w:rFonts w:cs="Times New Roman"/>
                <w:sz w:val="20"/>
                <w:szCs w:val="20"/>
                <w:lang w:val="sr-Cyrl-RS"/>
              </w:rPr>
            </w:pPr>
            <w:r w:rsidRPr="00EF2F18">
              <w:rPr>
                <w:rFonts w:cs="Times New Roman"/>
                <w:sz w:val="20"/>
                <w:szCs w:val="20"/>
                <w:lang w:val="sr-Cyrl-RS"/>
              </w:rPr>
              <w:t xml:space="preserve"> Управљање отпадним водама</w:t>
            </w:r>
          </w:p>
        </w:tc>
        <w:tc>
          <w:tcPr>
            <w:tcW w:w="1170" w:type="dxa"/>
            <w:vAlign w:val="center"/>
          </w:tcPr>
          <w:p w14:paraId="71B6FAA4" w14:textId="3107C35B"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1945,4</w:t>
            </w:r>
          </w:p>
        </w:tc>
        <w:tc>
          <w:tcPr>
            <w:tcW w:w="1080" w:type="dxa"/>
            <w:vAlign w:val="center"/>
          </w:tcPr>
          <w:p w14:paraId="13BA5D04" w14:textId="14B0A4FF"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972,4</w:t>
            </w:r>
          </w:p>
        </w:tc>
        <w:tc>
          <w:tcPr>
            <w:tcW w:w="900" w:type="dxa"/>
            <w:vAlign w:val="center"/>
          </w:tcPr>
          <w:p w14:paraId="6F8F2A9B" w14:textId="0E02BC5E"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3,6</w:t>
            </w:r>
          </w:p>
        </w:tc>
        <w:tc>
          <w:tcPr>
            <w:tcW w:w="1080" w:type="dxa"/>
            <w:vAlign w:val="center"/>
          </w:tcPr>
          <w:p w14:paraId="62627970" w14:textId="3725E71B"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-973,0</w:t>
            </w:r>
          </w:p>
        </w:tc>
        <w:tc>
          <w:tcPr>
            <w:tcW w:w="1786" w:type="dxa"/>
            <w:vAlign w:val="center"/>
          </w:tcPr>
          <w:p w14:paraId="76D9A4B6" w14:textId="151570A6"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-50,0</w:t>
            </w:r>
          </w:p>
        </w:tc>
      </w:tr>
      <w:tr w:rsidR="007D22CA" w:rsidRPr="00EF2F18" w14:paraId="01B3750F" w14:textId="77777777" w:rsidTr="006A67B5">
        <w:trPr>
          <w:trHeight w:val="23"/>
          <w:jc w:val="center"/>
        </w:trPr>
        <w:tc>
          <w:tcPr>
            <w:tcW w:w="2785" w:type="dxa"/>
            <w:vAlign w:val="bottom"/>
          </w:tcPr>
          <w:p w14:paraId="4CACFDC7" w14:textId="0CF0BB46" w:rsidR="007D22CA" w:rsidRPr="00EF2F18" w:rsidRDefault="007D22CA" w:rsidP="007D22CA">
            <w:pPr>
              <w:spacing w:after="0"/>
              <w:rPr>
                <w:rFonts w:cs="Times New Roman"/>
                <w:sz w:val="20"/>
                <w:szCs w:val="20"/>
                <w:lang w:val="sr-Cyrl-RS"/>
              </w:rPr>
            </w:pPr>
            <w:r w:rsidRPr="00EF2F18">
              <w:rPr>
                <w:rFonts w:cs="Times New Roman"/>
                <w:sz w:val="20"/>
                <w:szCs w:val="20"/>
                <w:lang w:val="sr-Cyrl-RS"/>
              </w:rPr>
              <w:t xml:space="preserve"> Управљање отпадом</w:t>
            </w:r>
          </w:p>
        </w:tc>
        <w:tc>
          <w:tcPr>
            <w:tcW w:w="1170" w:type="dxa"/>
            <w:vAlign w:val="center"/>
          </w:tcPr>
          <w:p w14:paraId="23908CAB" w14:textId="0091FA04"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13.690,8</w:t>
            </w:r>
          </w:p>
        </w:tc>
        <w:tc>
          <w:tcPr>
            <w:tcW w:w="1080" w:type="dxa"/>
            <w:vAlign w:val="center"/>
          </w:tcPr>
          <w:p w14:paraId="7B7139A2" w14:textId="286ACBE4"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7.711,0</w:t>
            </w:r>
          </w:p>
        </w:tc>
        <w:tc>
          <w:tcPr>
            <w:tcW w:w="900" w:type="dxa"/>
            <w:vAlign w:val="center"/>
          </w:tcPr>
          <w:p w14:paraId="41BD00ED" w14:textId="7D775534"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28,3</w:t>
            </w:r>
          </w:p>
        </w:tc>
        <w:tc>
          <w:tcPr>
            <w:tcW w:w="1080" w:type="dxa"/>
            <w:vAlign w:val="center"/>
          </w:tcPr>
          <w:p w14:paraId="0AD94E5B" w14:textId="10ED928D"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-5.979,8</w:t>
            </w:r>
          </w:p>
        </w:tc>
        <w:tc>
          <w:tcPr>
            <w:tcW w:w="1786" w:type="dxa"/>
            <w:vAlign w:val="center"/>
          </w:tcPr>
          <w:p w14:paraId="4D9FACC2" w14:textId="1CD60130"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-43,7</w:t>
            </w:r>
          </w:p>
        </w:tc>
      </w:tr>
      <w:tr w:rsidR="007D22CA" w:rsidRPr="00EF2F18" w14:paraId="47A3D669" w14:textId="77777777" w:rsidTr="006A67B5">
        <w:trPr>
          <w:trHeight w:val="23"/>
          <w:jc w:val="center"/>
        </w:trPr>
        <w:tc>
          <w:tcPr>
            <w:tcW w:w="2785" w:type="dxa"/>
            <w:vAlign w:val="bottom"/>
          </w:tcPr>
          <w:p w14:paraId="5C9E671C" w14:textId="0A4D3078" w:rsidR="007D22CA" w:rsidRPr="00EF2F18" w:rsidRDefault="007D22CA" w:rsidP="007D22CA">
            <w:pPr>
              <w:spacing w:after="0"/>
              <w:rPr>
                <w:rFonts w:cs="Times New Roman"/>
                <w:sz w:val="20"/>
                <w:szCs w:val="20"/>
                <w:lang w:val="sr-Cyrl-RS"/>
              </w:rPr>
            </w:pPr>
            <w:r w:rsidRPr="00EF2F18">
              <w:rPr>
                <w:rFonts w:cs="Times New Roman"/>
                <w:sz w:val="20"/>
                <w:szCs w:val="20"/>
                <w:lang w:val="sr-Cyrl-RS"/>
              </w:rPr>
              <w:t xml:space="preserve"> Остало</w:t>
            </w:r>
            <w:r w:rsidRPr="00EF2F18">
              <w:rPr>
                <w:rFonts w:cs="Times New Roman"/>
                <w:sz w:val="20"/>
                <w:szCs w:val="20"/>
                <w:vertAlign w:val="superscript"/>
                <w:lang w:val="sr-Cyrl-RS"/>
              </w:rPr>
              <w:t>*)</w:t>
            </w:r>
          </w:p>
        </w:tc>
        <w:tc>
          <w:tcPr>
            <w:tcW w:w="1170" w:type="dxa"/>
            <w:vAlign w:val="center"/>
          </w:tcPr>
          <w:p w14:paraId="43E692E3" w14:textId="49EDFE2F"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1.630,8</w:t>
            </w:r>
          </w:p>
        </w:tc>
        <w:tc>
          <w:tcPr>
            <w:tcW w:w="1080" w:type="dxa"/>
            <w:vAlign w:val="center"/>
          </w:tcPr>
          <w:p w14:paraId="7F9DE6A7" w14:textId="289879B0"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3.000,3</w:t>
            </w:r>
          </w:p>
        </w:tc>
        <w:tc>
          <w:tcPr>
            <w:tcW w:w="900" w:type="dxa"/>
            <w:vAlign w:val="center"/>
          </w:tcPr>
          <w:p w14:paraId="67A68CDA" w14:textId="021A8369"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11,0</w:t>
            </w:r>
          </w:p>
        </w:tc>
        <w:tc>
          <w:tcPr>
            <w:tcW w:w="1080" w:type="dxa"/>
            <w:vAlign w:val="center"/>
          </w:tcPr>
          <w:p w14:paraId="7B766E85" w14:textId="22839E8F"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1.369,5</w:t>
            </w:r>
          </w:p>
        </w:tc>
        <w:tc>
          <w:tcPr>
            <w:tcW w:w="1786" w:type="dxa"/>
            <w:vAlign w:val="center"/>
          </w:tcPr>
          <w:p w14:paraId="097AD0AB" w14:textId="33261B91"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84,0</w:t>
            </w:r>
          </w:p>
        </w:tc>
      </w:tr>
      <w:tr w:rsidR="007D22CA" w:rsidRPr="00EF2F18" w14:paraId="06F804DD" w14:textId="77777777" w:rsidTr="006A67B5">
        <w:trPr>
          <w:trHeight w:val="23"/>
          <w:jc w:val="center"/>
        </w:trPr>
        <w:tc>
          <w:tcPr>
            <w:tcW w:w="2785" w:type="dxa"/>
            <w:vAlign w:val="bottom"/>
          </w:tcPr>
          <w:p w14:paraId="73654D03" w14:textId="4E491C5F" w:rsidR="007D22CA" w:rsidRPr="00EF2F18" w:rsidRDefault="007D22CA" w:rsidP="007D22CA">
            <w:pPr>
              <w:spacing w:after="0"/>
              <w:rPr>
                <w:rFonts w:cs="Times New Roman"/>
                <w:sz w:val="20"/>
                <w:szCs w:val="20"/>
                <w:lang w:val="sr-Cyrl-RS"/>
              </w:rPr>
            </w:pPr>
            <w:r w:rsidRPr="00EF2F18">
              <w:rPr>
                <w:rFonts w:cs="Times New Roman"/>
                <w:b/>
                <w:sz w:val="20"/>
                <w:szCs w:val="20"/>
                <w:lang w:val="sr-Cyrl-RS"/>
              </w:rPr>
              <w:t xml:space="preserve"> б) Текући издаци за заштиту животне средине</w:t>
            </w:r>
          </w:p>
        </w:tc>
        <w:tc>
          <w:tcPr>
            <w:tcW w:w="1170" w:type="dxa"/>
            <w:vAlign w:val="center"/>
          </w:tcPr>
          <w:p w14:paraId="10486840" w14:textId="05EA8E81" w:rsidR="007D22CA" w:rsidRPr="00EF2F18" w:rsidRDefault="007D22CA" w:rsidP="007D22CA">
            <w:pPr>
              <w:spacing w:after="0"/>
              <w:ind w:right="85"/>
              <w:jc w:val="right"/>
              <w:rPr>
                <w:rFonts w:cs="Times New Roman"/>
                <w:color w:val="000000"/>
                <w:sz w:val="20"/>
                <w:szCs w:val="20"/>
                <w:lang w:val="sr-Cyrl-RS"/>
              </w:rPr>
            </w:pPr>
            <w:r w:rsidRPr="00EF2F18">
              <w:rPr>
                <w:rFonts w:cs="Times New Roman"/>
                <w:b/>
                <w:bCs/>
                <w:sz w:val="20"/>
                <w:szCs w:val="20"/>
                <w:lang w:val="sr-Cyrl-RS"/>
              </w:rPr>
              <w:t>38.873,1</w:t>
            </w:r>
          </w:p>
        </w:tc>
        <w:tc>
          <w:tcPr>
            <w:tcW w:w="1080" w:type="dxa"/>
            <w:vAlign w:val="center"/>
          </w:tcPr>
          <w:p w14:paraId="44D411FA" w14:textId="77C9EE56" w:rsidR="007D22CA" w:rsidRPr="00EF2F18" w:rsidRDefault="007D22CA" w:rsidP="007D22CA">
            <w:pPr>
              <w:spacing w:after="0"/>
              <w:ind w:right="85"/>
              <w:jc w:val="right"/>
              <w:rPr>
                <w:rFonts w:cs="Times New Roman"/>
                <w:color w:val="000000"/>
                <w:sz w:val="20"/>
                <w:szCs w:val="20"/>
                <w:lang w:val="sr-Cyrl-RS"/>
              </w:rPr>
            </w:pPr>
            <w:r w:rsidRPr="00EF2F18">
              <w:rPr>
                <w:rFonts w:cs="Times New Roman"/>
                <w:b/>
                <w:bCs/>
                <w:sz w:val="20"/>
                <w:szCs w:val="20"/>
                <w:lang w:val="sr-Cyrl-RS"/>
              </w:rPr>
              <w:t>42.019,4</w:t>
            </w:r>
          </w:p>
        </w:tc>
        <w:tc>
          <w:tcPr>
            <w:tcW w:w="900" w:type="dxa"/>
            <w:vAlign w:val="center"/>
          </w:tcPr>
          <w:p w14:paraId="16C27C8A" w14:textId="7E8AA6D1" w:rsidR="007D22CA" w:rsidRPr="00EF2F18" w:rsidRDefault="007D22CA" w:rsidP="007D22CA">
            <w:pPr>
              <w:spacing w:after="0"/>
              <w:ind w:right="85"/>
              <w:jc w:val="right"/>
              <w:rPr>
                <w:rFonts w:cs="Times New Roman"/>
                <w:color w:val="000000"/>
                <w:sz w:val="20"/>
                <w:szCs w:val="20"/>
                <w:lang w:val="sr-Cyrl-RS"/>
              </w:rPr>
            </w:pPr>
            <w:r w:rsidRPr="00EF2F18">
              <w:rPr>
                <w:rFonts w:cs="Times New Roman"/>
                <w:b/>
                <w:bCs/>
                <w:sz w:val="20"/>
                <w:szCs w:val="20"/>
                <w:lang w:val="sr-Cyrl-RS"/>
              </w:rPr>
              <w:t>100,0</w:t>
            </w:r>
          </w:p>
        </w:tc>
        <w:tc>
          <w:tcPr>
            <w:tcW w:w="1080" w:type="dxa"/>
            <w:vAlign w:val="center"/>
          </w:tcPr>
          <w:p w14:paraId="3E307002" w14:textId="1F350A26"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b/>
                <w:bCs/>
                <w:sz w:val="20"/>
                <w:szCs w:val="20"/>
                <w:lang w:val="sr-Cyrl-RS"/>
              </w:rPr>
              <w:t>3.146,3</w:t>
            </w:r>
          </w:p>
        </w:tc>
        <w:tc>
          <w:tcPr>
            <w:tcW w:w="1786" w:type="dxa"/>
            <w:vAlign w:val="center"/>
          </w:tcPr>
          <w:p w14:paraId="6345C734" w14:textId="4E549E17"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b/>
                <w:bCs/>
                <w:sz w:val="20"/>
                <w:szCs w:val="20"/>
                <w:lang w:val="sr-Cyrl-RS"/>
              </w:rPr>
              <w:t>8,1</w:t>
            </w:r>
          </w:p>
        </w:tc>
      </w:tr>
      <w:tr w:rsidR="007D22CA" w:rsidRPr="00EF2F18" w14:paraId="75A6E06D" w14:textId="77777777" w:rsidTr="006A67B5">
        <w:trPr>
          <w:trHeight w:val="23"/>
          <w:jc w:val="center"/>
        </w:trPr>
        <w:tc>
          <w:tcPr>
            <w:tcW w:w="2785" w:type="dxa"/>
            <w:vAlign w:val="bottom"/>
          </w:tcPr>
          <w:p w14:paraId="73DF4622" w14:textId="65D24BDD" w:rsidR="007D22CA" w:rsidRPr="00EF2F18" w:rsidRDefault="007D22CA" w:rsidP="007D22CA">
            <w:pPr>
              <w:spacing w:after="0"/>
              <w:ind w:left="240" w:hanging="240"/>
              <w:rPr>
                <w:rFonts w:cs="Times New Roman"/>
                <w:b/>
                <w:sz w:val="20"/>
                <w:szCs w:val="20"/>
                <w:lang w:val="sr-Cyrl-RS"/>
              </w:rPr>
            </w:pPr>
            <w:r w:rsidRPr="00EF2F18">
              <w:rPr>
                <w:rFonts w:cs="Times New Roman"/>
                <w:sz w:val="20"/>
                <w:szCs w:val="20"/>
                <w:lang w:val="sr-Cyrl-RS"/>
              </w:rPr>
              <w:t xml:space="preserve"> Заштита ваздуха</w:t>
            </w:r>
          </w:p>
        </w:tc>
        <w:tc>
          <w:tcPr>
            <w:tcW w:w="1170" w:type="dxa"/>
            <w:vAlign w:val="center"/>
          </w:tcPr>
          <w:p w14:paraId="57927ADD" w14:textId="373B4FE1"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1.170,7</w:t>
            </w:r>
          </w:p>
        </w:tc>
        <w:tc>
          <w:tcPr>
            <w:tcW w:w="1080" w:type="dxa"/>
            <w:vAlign w:val="center"/>
          </w:tcPr>
          <w:p w14:paraId="29805B82" w14:textId="7AD6E630"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1.529,0</w:t>
            </w:r>
          </w:p>
        </w:tc>
        <w:tc>
          <w:tcPr>
            <w:tcW w:w="900" w:type="dxa"/>
            <w:vAlign w:val="center"/>
          </w:tcPr>
          <w:p w14:paraId="3C43614B" w14:textId="22CBA50A"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3,6</w:t>
            </w:r>
          </w:p>
        </w:tc>
        <w:tc>
          <w:tcPr>
            <w:tcW w:w="1080" w:type="dxa"/>
            <w:vAlign w:val="center"/>
          </w:tcPr>
          <w:p w14:paraId="7FF856A1" w14:textId="509AF6AE"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358,3</w:t>
            </w:r>
          </w:p>
        </w:tc>
        <w:tc>
          <w:tcPr>
            <w:tcW w:w="1786" w:type="dxa"/>
            <w:vAlign w:val="center"/>
          </w:tcPr>
          <w:p w14:paraId="75205D44" w14:textId="7ACC81D7" w:rsidR="007D22CA" w:rsidRPr="00EF2F18" w:rsidRDefault="007D22CA" w:rsidP="007D22CA">
            <w:pPr>
              <w:spacing w:after="0"/>
              <w:ind w:right="85"/>
              <w:jc w:val="right"/>
              <w:rPr>
                <w:rFonts w:cs="Times New Roman"/>
                <w:b/>
                <w:bCs/>
                <w:color w:val="000000"/>
                <w:sz w:val="20"/>
                <w:szCs w:val="20"/>
                <w:lang w:val="sr-Cyrl-RS"/>
              </w:rPr>
            </w:pPr>
            <w:r w:rsidRPr="00EF2F18">
              <w:rPr>
                <w:rFonts w:cs="Times New Roman"/>
                <w:sz w:val="20"/>
                <w:szCs w:val="20"/>
                <w:lang w:val="sr-Cyrl-RS"/>
              </w:rPr>
              <w:t>30,6</w:t>
            </w:r>
          </w:p>
        </w:tc>
      </w:tr>
      <w:tr w:rsidR="007D22CA" w:rsidRPr="00EF2F18" w14:paraId="74DE7AF2" w14:textId="77777777" w:rsidTr="006A67B5">
        <w:trPr>
          <w:trHeight w:val="23"/>
          <w:jc w:val="center"/>
        </w:trPr>
        <w:tc>
          <w:tcPr>
            <w:tcW w:w="2785" w:type="dxa"/>
            <w:vAlign w:val="bottom"/>
          </w:tcPr>
          <w:p w14:paraId="1DFCB700" w14:textId="4FB557F1" w:rsidR="007D22CA" w:rsidRPr="00EF2F18" w:rsidRDefault="007D22CA" w:rsidP="007D22CA">
            <w:pPr>
              <w:spacing w:after="0"/>
              <w:rPr>
                <w:rFonts w:cs="Times New Roman"/>
                <w:sz w:val="20"/>
                <w:szCs w:val="20"/>
                <w:lang w:val="sr-Cyrl-RS"/>
              </w:rPr>
            </w:pPr>
            <w:r w:rsidRPr="00EF2F18">
              <w:rPr>
                <w:rFonts w:cs="Times New Roman"/>
                <w:sz w:val="20"/>
                <w:szCs w:val="20"/>
                <w:lang w:val="sr-Cyrl-RS"/>
              </w:rPr>
              <w:t xml:space="preserve"> Управљање отпадним водама</w:t>
            </w:r>
          </w:p>
        </w:tc>
        <w:tc>
          <w:tcPr>
            <w:tcW w:w="1170" w:type="dxa"/>
            <w:vAlign w:val="center"/>
          </w:tcPr>
          <w:p w14:paraId="03054927" w14:textId="53E99D5C"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3.943,7</w:t>
            </w:r>
          </w:p>
        </w:tc>
        <w:tc>
          <w:tcPr>
            <w:tcW w:w="1080" w:type="dxa"/>
            <w:vAlign w:val="center"/>
          </w:tcPr>
          <w:p w14:paraId="7CD421F3" w14:textId="6A6488CE"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4.748,9</w:t>
            </w:r>
          </w:p>
        </w:tc>
        <w:tc>
          <w:tcPr>
            <w:tcW w:w="900" w:type="dxa"/>
            <w:vAlign w:val="center"/>
          </w:tcPr>
          <w:p w14:paraId="71275DBD" w14:textId="352A4AEB"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11,3</w:t>
            </w:r>
          </w:p>
        </w:tc>
        <w:tc>
          <w:tcPr>
            <w:tcW w:w="1080" w:type="dxa"/>
            <w:vAlign w:val="center"/>
          </w:tcPr>
          <w:p w14:paraId="0E44132D" w14:textId="4BA207E2"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805,2</w:t>
            </w:r>
          </w:p>
        </w:tc>
        <w:tc>
          <w:tcPr>
            <w:tcW w:w="1786" w:type="dxa"/>
            <w:vAlign w:val="center"/>
          </w:tcPr>
          <w:p w14:paraId="64A04E08" w14:textId="24BE88D6"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20,4</w:t>
            </w:r>
          </w:p>
        </w:tc>
      </w:tr>
      <w:tr w:rsidR="007D22CA" w:rsidRPr="00EF2F18" w14:paraId="045A68E3" w14:textId="77777777" w:rsidTr="006A67B5">
        <w:trPr>
          <w:trHeight w:val="23"/>
          <w:jc w:val="center"/>
        </w:trPr>
        <w:tc>
          <w:tcPr>
            <w:tcW w:w="2785" w:type="dxa"/>
            <w:vAlign w:val="bottom"/>
          </w:tcPr>
          <w:p w14:paraId="161F814A" w14:textId="7AFB9FA6" w:rsidR="007D22CA" w:rsidRPr="00EF2F18" w:rsidRDefault="007D22CA" w:rsidP="007D22CA">
            <w:pPr>
              <w:spacing w:after="0"/>
              <w:rPr>
                <w:rFonts w:cs="Times New Roman"/>
                <w:sz w:val="20"/>
                <w:szCs w:val="20"/>
                <w:lang w:val="sr-Cyrl-RS"/>
              </w:rPr>
            </w:pPr>
            <w:r w:rsidRPr="00EF2F18">
              <w:rPr>
                <w:rFonts w:cs="Times New Roman"/>
                <w:sz w:val="20"/>
                <w:szCs w:val="20"/>
                <w:lang w:val="sr-Cyrl-RS"/>
              </w:rPr>
              <w:t xml:space="preserve"> Управљање отпадом</w:t>
            </w:r>
          </w:p>
        </w:tc>
        <w:tc>
          <w:tcPr>
            <w:tcW w:w="1170" w:type="dxa"/>
            <w:vAlign w:val="center"/>
          </w:tcPr>
          <w:p w14:paraId="51AFB299" w14:textId="1F6BC2EB"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29.160,6</w:t>
            </w:r>
          </w:p>
        </w:tc>
        <w:tc>
          <w:tcPr>
            <w:tcW w:w="1080" w:type="dxa"/>
            <w:vAlign w:val="center"/>
          </w:tcPr>
          <w:p w14:paraId="5C6372B2" w14:textId="1234B2D7"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30.482,8</w:t>
            </w:r>
          </w:p>
        </w:tc>
        <w:tc>
          <w:tcPr>
            <w:tcW w:w="900" w:type="dxa"/>
            <w:vAlign w:val="center"/>
          </w:tcPr>
          <w:p w14:paraId="6E33EBB5" w14:textId="280610F2"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72,5</w:t>
            </w:r>
          </w:p>
        </w:tc>
        <w:tc>
          <w:tcPr>
            <w:tcW w:w="1080" w:type="dxa"/>
            <w:vAlign w:val="center"/>
          </w:tcPr>
          <w:p w14:paraId="58E65ED0" w14:textId="1BED81C8"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1.322,1</w:t>
            </w:r>
          </w:p>
        </w:tc>
        <w:tc>
          <w:tcPr>
            <w:tcW w:w="1786" w:type="dxa"/>
            <w:vAlign w:val="center"/>
          </w:tcPr>
          <w:p w14:paraId="18D0264F" w14:textId="54810722"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4,5</w:t>
            </w:r>
          </w:p>
        </w:tc>
      </w:tr>
      <w:tr w:rsidR="007D22CA" w:rsidRPr="00EF2F18" w14:paraId="44B6EDF3" w14:textId="77777777" w:rsidTr="006A67B5">
        <w:trPr>
          <w:trHeight w:val="23"/>
          <w:jc w:val="center"/>
        </w:trPr>
        <w:tc>
          <w:tcPr>
            <w:tcW w:w="2785" w:type="dxa"/>
            <w:vAlign w:val="bottom"/>
          </w:tcPr>
          <w:p w14:paraId="1B768B2F" w14:textId="2228A11D" w:rsidR="007D22CA" w:rsidRPr="00EF2F18" w:rsidRDefault="007D22CA" w:rsidP="007D22CA">
            <w:pPr>
              <w:spacing w:after="0"/>
              <w:rPr>
                <w:rFonts w:cs="Times New Roman"/>
                <w:sz w:val="20"/>
                <w:szCs w:val="20"/>
                <w:lang w:val="sr-Cyrl-RS"/>
              </w:rPr>
            </w:pPr>
            <w:r w:rsidRPr="00EF2F18">
              <w:rPr>
                <w:rFonts w:cs="Times New Roman"/>
                <w:sz w:val="20"/>
                <w:szCs w:val="20"/>
                <w:lang w:val="sr-Cyrl-RS"/>
              </w:rPr>
              <w:t xml:space="preserve"> Остало</w:t>
            </w:r>
            <w:r w:rsidRPr="00EF2F18">
              <w:rPr>
                <w:rFonts w:cs="Times New Roman"/>
                <w:sz w:val="20"/>
                <w:szCs w:val="20"/>
                <w:vertAlign w:val="superscript"/>
                <w:lang w:val="sr-Cyrl-RS"/>
              </w:rPr>
              <w:t>*)</w:t>
            </w:r>
          </w:p>
        </w:tc>
        <w:tc>
          <w:tcPr>
            <w:tcW w:w="1170" w:type="dxa"/>
            <w:vAlign w:val="center"/>
          </w:tcPr>
          <w:p w14:paraId="2DC63ED3" w14:textId="717FA118"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4.598,0</w:t>
            </w:r>
          </w:p>
        </w:tc>
        <w:tc>
          <w:tcPr>
            <w:tcW w:w="1080" w:type="dxa"/>
            <w:vAlign w:val="center"/>
          </w:tcPr>
          <w:p w14:paraId="2964F9B3" w14:textId="5BDCDBDC"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5.258,6</w:t>
            </w:r>
          </w:p>
        </w:tc>
        <w:tc>
          <w:tcPr>
            <w:tcW w:w="900" w:type="dxa"/>
            <w:vAlign w:val="center"/>
          </w:tcPr>
          <w:p w14:paraId="21CC01B9" w14:textId="5E80E141" w:rsidR="007D22CA" w:rsidRPr="00EF2F18" w:rsidRDefault="007D22CA" w:rsidP="007D22CA">
            <w:pPr>
              <w:spacing w:after="0"/>
              <w:ind w:right="85"/>
              <w:jc w:val="right"/>
              <w:rPr>
                <w:rFonts w:cs="Times New Roman"/>
                <w:color w:val="000000"/>
                <w:sz w:val="20"/>
                <w:szCs w:val="20"/>
                <w:lang w:val="sr-Cyrl-RS"/>
              </w:rPr>
            </w:pPr>
            <w:r w:rsidRPr="00EF2F18">
              <w:rPr>
                <w:rFonts w:cs="Times New Roman"/>
                <w:sz w:val="20"/>
                <w:szCs w:val="20"/>
                <w:lang w:val="sr-Cyrl-RS"/>
              </w:rPr>
              <w:t>12,5</w:t>
            </w:r>
          </w:p>
        </w:tc>
        <w:tc>
          <w:tcPr>
            <w:tcW w:w="1080" w:type="dxa"/>
            <w:vAlign w:val="center"/>
          </w:tcPr>
          <w:p w14:paraId="2A6AEACD" w14:textId="092F6818"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660,6</w:t>
            </w:r>
          </w:p>
        </w:tc>
        <w:tc>
          <w:tcPr>
            <w:tcW w:w="1786" w:type="dxa"/>
            <w:vAlign w:val="center"/>
          </w:tcPr>
          <w:p w14:paraId="62BE9715" w14:textId="2B4B1CB0" w:rsidR="007D22CA" w:rsidRPr="00EF2F18" w:rsidRDefault="007D22CA" w:rsidP="007D22CA">
            <w:pPr>
              <w:spacing w:after="0"/>
              <w:ind w:right="85"/>
              <w:jc w:val="right"/>
              <w:rPr>
                <w:rFonts w:cs="Times New Roman"/>
                <w:bCs/>
                <w:color w:val="000000"/>
                <w:sz w:val="20"/>
                <w:szCs w:val="20"/>
                <w:lang w:val="sr-Cyrl-RS"/>
              </w:rPr>
            </w:pPr>
            <w:r w:rsidRPr="00EF2F18">
              <w:rPr>
                <w:rFonts w:cs="Times New Roman"/>
                <w:sz w:val="20"/>
                <w:szCs w:val="20"/>
                <w:lang w:val="sr-Cyrl-RS"/>
              </w:rPr>
              <w:t>14,4</w:t>
            </w:r>
          </w:p>
        </w:tc>
      </w:tr>
      <w:tr w:rsidR="008D0E8B" w:rsidRPr="00EF2F18" w14:paraId="2D81ECE1" w14:textId="77777777" w:rsidTr="006F12D4">
        <w:trPr>
          <w:trHeight w:val="23"/>
          <w:jc w:val="center"/>
        </w:trPr>
        <w:tc>
          <w:tcPr>
            <w:tcW w:w="8801" w:type="dxa"/>
            <w:gridSpan w:val="6"/>
            <w:vAlign w:val="bottom"/>
          </w:tcPr>
          <w:p w14:paraId="2770CD55" w14:textId="77777777" w:rsidR="008D0E8B" w:rsidRPr="00EF2F18" w:rsidRDefault="008D0E8B" w:rsidP="008D0E8B">
            <w:pPr>
              <w:spacing w:after="0"/>
              <w:ind w:right="284"/>
              <w:rPr>
                <w:rFonts w:cs="Times New Roman"/>
                <w:bCs/>
                <w:color w:val="000000"/>
                <w:sz w:val="20"/>
                <w:szCs w:val="20"/>
                <w:lang w:val="sr-Cyrl-RS"/>
              </w:rPr>
            </w:pPr>
            <w:r w:rsidRPr="00EF2F18">
              <w:rPr>
                <w:rFonts w:cs="Times New Roman"/>
                <w:sz w:val="20"/>
                <w:szCs w:val="20"/>
                <w:lang w:val="sr-Cyrl-RS"/>
              </w:rPr>
              <w:t>*) Заштита и санација земљишта, подземних и површинских вода, Заштита од буке и вибрације; Заштита природе; Остале активности у вези са заштитом животне средине.</w:t>
            </w:r>
          </w:p>
        </w:tc>
      </w:tr>
    </w:tbl>
    <w:p w14:paraId="6C6933A6" w14:textId="6959D168" w:rsidR="00C071E5" w:rsidRPr="00EF2F18" w:rsidRDefault="00E554F1" w:rsidP="00F37C43">
      <w:pPr>
        <w:pStyle w:val="Default"/>
        <w:spacing w:after="120"/>
        <w:jc w:val="both"/>
        <w:rPr>
          <w:rFonts w:ascii="Times New Roman" w:hAnsi="Times New Roman" w:cs="Times New Roman"/>
          <w:sz w:val="22"/>
          <w:szCs w:val="22"/>
          <w:lang w:val="sr-Cyrl-RS"/>
        </w:rPr>
      </w:pPr>
      <w:r w:rsidRPr="00EF2F18">
        <w:rPr>
          <w:rFonts w:ascii="Times New Roman" w:hAnsi="Times New Roman" w:cs="Times New Roman"/>
          <w:sz w:val="20"/>
          <w:szCs w:val="20"/>
          <w:lang w:val="sr-Cyrl-RS"/>
        </w:rPr>
        <w:t xml:space="preserve">Извор: </w:t>
      </w:r>
      <w:r w:rsidRPr="00EF2F18">
        <w:rPr>
          <w:rFonts w:ascii="Times New Roman" w:hAnsi="Times New Roman" w:cs="Times New Roman"/>
          <w:i/>
          <w:iCs/>
          <w:sz w:val="20"/>
          <w:szCs w:val="20"/>
          <w:lang w:val="sr-Cyrl-RS"/>
        </w:rPr>
        <w:t>Републички завод за статист</w:t>
      </w:r>
      <w:r w:rsidR="00B21CA1">
        <w:rPr>
          <w:rFonts w:ascii="Times New Roman" w:hAnsi="Times New Roman" w:cs="Times New Roman"/>
          <w:i/>
          <w:iCs/>
          <w:sz w:val="20"/>
          <w:szCs w:val="20"/>
          <w:lang w:val="sr-Cyrl-RS"/>
        </w:rPr>
        <w:t>и</w:t>
      </w:r>
      <w:r w:rsidRPr="00EF2F18">
        <w:rPr>
          <w:rFonts w:ascii="Times New Roman" w:hAnsi="Times New Roman" w:cs="Times New Roman"/>
          <w:i/>
          <w:iCs/>
          <w:sz w:val="20"/>
          <w:szCs w:val="20"/>
          <w:lang w:val="sr-Cyrl-RS"/>
        </w:rPr>
        <w:t>ку, https://www.stat.gov.rs/sr-latn/oblasti/zivotna-sredina/monetrani-racuni-zivotne-sredine/</w:t>
      </w:r>
    </w:p>
    <w:p w14:paraId="52023BDB" w14:textId="7902B358" w:rsidR="00BE38A0" w:rsidRPr="00EF2F18" w:rsidRDefault="00BE38A0" w:rsidP="00F82AB7">
      <w:pPr>
        <w:spacing w:after="0"/>
        <w:ind w:firstLine="720"/>
        <w:jc w:val="both"/>
        <w:rPr>
          <w:rFonts w:cs="Times New Roman"/>
          <w:sz w:val="22"/>
          <w:lang w:val="sr-Cyrl-RS"/>
        </w:rPr>
      </w:pPr>
      <w:r w:rsidRPr="00EF2F18">
        <w:rPr>
          <w:rFonts w:cs="Times New Roman"/>
          <w:sz w:val="22"/>
          <w:lang w:val="sr-Cyrl-RS"/>
        </w:rPr>
        <w:t>Средства утрошена у 2023. години за заштићена подручја</w:t>
      </w:r>
      <w:r w:rsidR="00FA7222" w:rsidRPr="00EF2F18">
        <w:rPr>
          <w:rFonts w:cs="Times New Roman"/>
          <w:sz w:val="22"/>
          <w:lang w:val="sr-Cyrl-RS"/>
        </w:rPr>
        <w:t xml:space="preserve"> </w:t>
      </w:r>
      <w:r w:rsidRPr="00EF2F18">
        <w:rPr>
          <w:rFonts w:cs="Times New Roman"/>
          <w:sz w:val="22"/>
          <w:lang w:val="sr-Cyrl-RS"/>
        </w:rPr>
        <w:t>износ</w:t>
      </w:r>
      <w:r w:rsidR="00D04141" w:rsidRPr="00EF2F18">
        <w:rPr>
          <w:rFonts w:cs="Times New Roman"/>
          <w:sz w:val="22"/>
          <w:lang w:val="sr-Cyrl-RS"/>
        </w:rPr>
        <w:t>ила су</w:t>
      </w:r>
      <w:r w:rsidRPr="00EF2F18">
        <w:rPr>
          <w:rFonts w:cs="Times New Roman"/>
          <w:sz w:val="22"/>
          <w:lang w:val="sr-Cyrl-RS"/>
        </w:rPr>
        <w:t xml:space="preserve"> 1.845 милиона динара. Извори ових средстава су: накнада за коришћење заштићеног подручја, чију висину утврђује и наплату врши управљач заштићеног подручја, буџет Републике</w:t>
      </w:r>
      <w:r w:rsidR="00D04141" w:rsidRPr="00EF2F18">
        <w:rPr>
          <w:rFonts w:cs="Times New Roman"/>
          <w:sz w:val="22"/>
          <w:lang w:val="sr-Cyrl-RS"/>
        </w:rPr>
        <w:t xml:space="preserve"> Србије</w:t>
      </w:r>
      <w:r w:rsidRPr="00EF2F18">
        <w:rPr>
          <w:rFonts w:cs="Times New Roman"/>
          <w:sz w:val="22"/>
          <w:lang w:val="sr-Cyrl-RS"/>
        </w:rPr>
        <w:t>, односно аутономне покрајине и јединице локалне самоуправе, приход из делатности управљача (сопствени приходи) и донације.</w:t>
      </w:r>
    </w:p>
    <w:p w14:paraId="1AEF6530" w14:textId="62A0D9EF" w:rsidR="00C071E5" w:rsidRPr="00EF2F18" w:rsidRDefault="00C071E5" w:rsidP="00C071E5">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 основу података</w:t>
      </w:r>
      <w:r w:rsidR="00473A30" w:rsidRPr="00EF2F18">
        <w:rPr>
          <w:rFonts w:ascii="Times New Roman" w:hAnsi="Times New Roman" w:cs="Times New Roman"/>
          <w:sz w:val="22"/>
          <w:szCs w:val="22"/>
          <w:lang w:val="sr-Cyrl-RS"/>
        </w:rPr>
        <w:t xml:space="preserve"> </w:t>
      </w:r>
      <w:r w:rsidR="00BF2024" w:rsidRPr="00EF2F18">
        <w:rPr>
          <w:rFonts w:ascii="Times New Roman" w:hAnsi="Times New Roman" w:cs="Times New Roman"/>
          <w:bCs/>
          <w:sz w:val="22"/>
          <w:szCs w:val="22"/>
          <w:lang w:val="sr-Cyrl-RS"/>
        </w:rPr>
        <w:t>Републичког завода за статистику</w:t>
      </w:r>
      <w:r w:rsidRPr="00EF2F18">
        <w:rPr>
          <w:rFonts w:ascii="Times New Roman" w:hAnsi="Times New Roman" w:cs="Times New Roman"/>
          <w:sz w:val="22"/>
          <w:szCs w:val="22"/>
          <w:lang w:val="sr-Cyrl-RS"/>
        </w:rPr>
        <w:t>, у периоду 2015</w:t>
      </w:r>
      <w:r w:rsidR="008F5499">
        <w:rPr>
          <w:rFonts w:ascii="Times New Roman" w:hAnsi="Times New Roman" w:cs="Times New Roman"/>
          <w:sz w:val="22"/>
          <w:szCs w:val="22"/>
          <w:lang w:val="sr-Cyrl-RS"/>
        </w:rPr>
        <w:t xml:space="preserve"> – </w:t>
      </w:r>
      <w:r w:rsidRPr="00EF2F18">
        <w:rPr>
          <w:rFonts w:ascii="Times New Roman" w:hAnsi="Times New Roman" w:cs="Times New Roman"/>
          <w:sz w:val="22"/>
          <w:szCs w:val="22"/>
          <w:lang w:val="sr-Cyrl-RS"/>
        </w:rPr>
        <w:t>2018. годин</w:t>
      </w:r>
      <w:r w:rsidR="007234A9" w:rsidRPr="00EF2F18">
        <w:rPr>
          <w:rFonts w:ascii="Times New Roman" w:hAnsi="Times New Roman" w:cs="Times New Roman"/>
          <w:sz w:val="22"/>
          <w:szCs w:val="22"/>
          <w:lang w:val="sr-Cyrl-RS"/>
        </w:rPr>
        <w:t>е</w:t>
      </w:r>
      <w:r w:rsidRPr="00EF2F18">
        <w:rPr>
          <w:rFonts w:ascii="Times New Roman" w:hAnsi="Times New Roman" w:cs="Times New Roman"/>
          <w:sz w:val="22"/>
          <w:szCs w:val="22"/>
          <w:lang w:val="sr-Cyrl-RS"/>
        </w:rPr>
        <w:t xml:space="preserve"> улагања у </w:t>
      </w:r>
      <w:r w:rsidR="00473A30" w:rsidRPr="00EF2F18">
        <w:rPr>
          <w:rFonts w:ascii="Times New Roman" w:hAnsi="Times New Roman" w:cs="Times New Roman"/>
          <w:sz w:val="22"/>
          <w:szCs w:val="22"/>
          <w:lang w:val="sr-Cyrl-RS"/>
        </w:rPr>
        <w:t xml:space="preserve">сектор </w:t>
      </w:r>
      <w:r w:rsidRPr="00EF2F18">
        <w:rPr>
          <w:rFonts w:ascii="Times New Roman" w:hAnsi="Times New Roman" w:cs="Times New Roman"/>
          <w:sz w:val="22"/>
          <w:szCs w:val="22"/>
          <w:lang w:val="sr-Cyrl-RS"/>
        </w:rPr>
        <w:t xml:space="preserve">животне средине стагнирају. </w:t>
      </w:r>
      <w:r w:rsidR="006C7980" w:rsidRPr="00EF2F18">
        <w:rPr>
          <w:rFonts w:ascii="Times New Roman" w:hAnsi="Times New Roman" w:cs="Times New Roman"/>
          <w:sz w:val="22"/>
          <w:szCs w:val="22"/>
          <w:lang w:val="sr-Cyrl-RS"/>
        </w:rPr>
        <w:t xml:space="preserve">Новчана </w:t>
      </w:r>
      <w:r w:rsidRPr="00EF2F18">
        <w:rPr>
          <w:rFonts w:ascii="Times New Roman" w:hAnsi="Times New Roman" w:cs="Times New Roman"/>
          <w:sz w:val="22"/>
          <w:szCs w:val="22"/>
          <w:lang w:val="sr-Cyrl-RS"/>
        </w:rPr>
        <w:t>средства намењена за животну средину се само у малом делу користе за инвестиционе пројекте</w:t>
      </w:r>
      <w:r w:rsidR="00122234"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док се у много већој мери користе за администрирање текућих издатака. </w:t>
      </w:r>
      <w:r w:rsidR="00D475FB" w:rsidRPr="00EF2F18">
        <w:rPr>
          <w:rFonts w:ascii="Times New Roman" w:hAnsi="Times New Roman" w:cs="Times New Roman"/>
          <w:sz w:val="22"/>
          <w:szCs w:val="22"/>
          <w:lang w:val="sr-Cyrl-RS"/>
        </w:rPr>
        <w:t xml:space="preserve">После 2019. године долази до повећања издвајања </w:t>
      </w:r>
      <w:r w:rsidR="00473A30" w:rsidRPr="00EF2F18">
        <w:rPr>
          <w:rFonts w:ascii="Times New Roman" w:hAnsi="Times New Roman" w:cs="Times New Roman"/>
          <w:sz w:val="22"/>
          <w:szCs w:val="22"/>
          <w:lang w:val="sr-Cyrl-RS"/>
        </w:rPr>
        <w:t xml:space="preserve">из буџета </w:t>
      </w:r>
      <w:r w:rsidR="00BF2024" w:rsidRPr="00EF2F18">
        <w:rPr>
          <w:rFonts w:ascii="Times New Roman" w:hAnsi="Times New Roman" w:cs="Times New Roman"/>
          <w:bCs/>
          <w:sz w:val="22"/>
          <w:szCs w:val="22"/>
          <w:lang w:val="sr-Cyrl-RS"/>
        </w:rPr>
        <w:t>Републике Србије</w:t>
      </w:r>
      <w:r w:rsidR="00473A30" w:rsidRPr="00EF2F18">
        <w:rPr>
          <w:rFonts w:ascii="Times New Roman" w:hAnsi="Times New Roman" w:cs="Times New Roman"/>
          <w:sz w:val="22"/>
          <w:szCs w:val="22"/>
          <w:lang w:val="sr-Cyrl-RS"/>
        </w:rPr>
        <w:t xml:space="preserve"> </w:t>
      </w:r>
      <w:r w:rsidR="00D475FB" w:rsidRPr="00EF2F18">
        <w:rPr>
          <w:rFonts w:ascii="Times New Roman" w:hAnsi="Times New Roman" w:cs="Times New Roman"/>
          <w:sz w:val="22"/>
          <w:szCs w:val="22"/>
          <w:lang w:val="sr-Cyrl-RS"/>
        </w:rPr>
        <w:t>за животну средину и повећавања удела инвестиција у укупним издацима.</w:t>
      </w:r>
    </w:p>
    <w:p w14:paraId="58815BE2" w14:textId="77777777" w:rsidR="00C716E3" w:rsidRPr="00EF2F18" w:rsidRDefault="00C716E3" w:rsidP="00C071E5">
      <w:pPr>
        <w:pStyle w:val="Default"/>
        <w:ind w:firstLine="720"/>
        <w:jc w:val="both"/>
        <w:rPr>
          <w:rFonts w:ascii="Times New Roman" w:hAnsi="Times New Roman" w:cs="Times New Roman"/>
          <w:sz w:val="22"/>
          <w:szCs w:val="22"/>
          <w:lang w:val="sr-Cyrl-RS"/>
        </w:rPr>
      </w:pPr>
    </w:p>
    <w:p w14:paraId="4DA576A0" w14:textId="0E355EB6" w:rsidR="00C716E3" w:rsidRPr="00EF2F18" w:rsidRDefault="00C716E3" w:rsidP="00C071E5">
      <w:pPr>
        <w:pStyle w:val="Default"/>
        <w:ind w:firstLine="720"/>
        <w:jc w:val="both"/>
        <w:rPr>
          <w:rFonts w:ascii="Times New Roman" w:hAnsi="Times New Roman" w:cs="Times New Roman"/>
          <w:sz w:val="22"/>
          <w:szCs w:val="22"/>
          <w:lang w:val="sr-Cyrl-RS"/>
        </w:rPr>
      </w:pPr>
      <w:r w:rsidRPr="00EF2F18">
        <w:rPr>
          <w:noProof/>
          <w:lang w:val="sr-Cyrl-RS" w:eastAsia="sr-Cyrl-RS"/>
        </w:rPr>
        <w:drawing>
          <wp:inline distT="0" distB="0" distL="0" distR="0" wp14:anchorId="753697FC" wp14:editId="1D316765">
            <wp:extent cx="5008880" cy="2209800"/>
            <wp:effectExtent l="0" t="0" r="0" b="0"/>
            <wp:docPr id="13290537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08880" cy="2209800"/>
                    </a:xfrm>
                    <a:prstGeom prst="rect">
                      <a:avLst/>
                    </a:prstGeom>
                    <a:noFill/>
                    <a:ln>
                      <a:noFill/>
                    </a:ln>
                  </pic:spPr>
                </pic:pic>
              </a:graphicData>
            </a:graphic>
          </wp:inline>
        </w:drawing>
      </w:r>
    </w:p>
    <w:p w14:paraId="5EF6D3DD" w14:textId="784A3D4B" w:rsidR="00C071E5" w:rsidRPr="00EF2F18" w:rsidRDefault="00C071E5" w:rsidP="00C071E5">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Pr="00EF2F18">
        <w:rPr>
          <w:rFonts w:cs="Times New Roman"/>
          <w:b/>
          <w:bCs/>
          <w:sz w:val="22"/>
          <w:lang w:val="sr-Cyrl-RS"/>
        </w:rPr>
        <w:t>.</w:t>
      </w:r>
      <w:r w:rsidR="00647E28" w:rsidRPr="00EF2F18">
        <w:rPr>
          <w:rFonts w:cs="Times New Roman"/>
          <w:b/>
          <w:bCs/>
          <w:sz w:val="22"/>
          <w:lang w:val="sr-Cyrl-RS"/>
        </w:rPr>
        <w:t>3</w:t>
      </w:r>
      <w:r w:rsidR="00FA4A67" w:rsidRPr="00EF2F18">
        <w:rPr>
          <w:rFonts w:cs="Times New Roman"/>
          <w:b/>
          <w:bCs/>
          <w:sz w:val="22"/>
          <w:lang w:val="sr-Cyrl-RS"/>
        </w:rPr>
        <w:t>8</w:t>
      </w:r>
      <w:r w:rsidRPr="00EF2F18">
        <w:rPr>
          <w:rFonts w:cs="Times New Roman"/>
          <w:b/>
          <w:bCs/>
          <w:sz w:val="22"/>
          <w:lang w:val="sr-Cyrl-RS"/>
        </w:rPr>
        <w:t xml:space="preserve">. </w:t>
      </w:r>
      <w:r w:rsidR="007E2A58" w:rsidRPr="00EF2F18">
        <w:rPr>
          <w:rFonts w:cs="Times New Roman"/>
          <w:sz w:val="22"/>
          <w:lang w:val="sr-Cyrl-RS"/>
        </w:rPr>
        <w:t>Инвестиције</w:t>
      </w:r>
      <w:r w:rsidRPr="00EF2F18">
        <w:rPr>
          <w:rFonts w:cs="Times New Roman"/>
          <w:sz w:val="22"/>
          <w:lang w:val="sr-Cyrl-RS"/>
        </w:rPr>
        <w:t xml:space="preserve"> </w:t>
      </w:r>
      <w:r w:rsidR="007E2A58" w:rsidRPr="00EF2F18">
        <w:rPr>
          <w:rFonts w:cs="Times New Roman"/>
          <w:sz w:val="22"/>
          <w:lang w:val="sr-Cyrl-RS"/>
        </w:rPr>
        <w:t xml:space="preserve">и издаци </w:t>
      </w:r>
      <w:r w:rsidRPr="00EF2F18">
        <w:rPr>
          <w:rFonts w:cs="Times New Roman"/>
          <w:sz w:val="22"/>
          <w:lang w:val="sr-Cyrl-RS"/>
        </w:rPr>
        <w:t>за заштиту животне средине у Републици Србији (2015-202</w:t>
      </w:r>
      <w:r w:rsidR="004200D1" w:rsidRPr="00EF2F18">
        <w:rPr>
          <w:rFonts w:cs="Times New Roman"/>
          <w:sz w:val="22"/>
          <w:lang w:val="sr-Cyrl-RS"/>
        </w:rPr>
        <w:t>2</w:t>
      </w:r>
      <w:r w:rsidRPr="00EF2F18">
        <w:rPr>
          <w:rFonts w:cs="Times New Roman"/>
          <w:sz w:val="22"/>
          <w:lang w:val="sr-Cyrl-RS"/>
        </w:rPr>
        <w:t>.)</w:t>
      </w:r>
    </w:p>
    <w:p w14:paraId="6259F073" w14:textId="77777777" w:rsidR="00C071E5" w:rsidRPr="00EF2F18" w:rsidRDefault="00C071E5" w:rsidP="00C071E5">
      <w:pPr>
        <w:spacing w:after="0"/>
        <w:jc w:val="both"/>
        <w:rPr>
          <w:rFonts w:cs="Times New Roman"/>
          <w:sz w:val="22"/>
          <w:lang w:val="sr-Cyrl-RS"/>
        </w:rPr>
      </w:pPr>
    </w:p>
    <w:p w14:paraId="4365AEF5" w14:textId="28A62C71" w:rsidR="004200D1" w:rsidRPr="00EF2F18" w:rsidRDefault="00C071E5" w:rsidP="004200D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lastRenderedPageBreak/>
        <w:t>У периоду до 2020. године удео издатака за животну средину у БДП се смањује</w:t>
      </w:r>
      <w:r w:rsidR="0080484A"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 xml:space="preserve">Почев од 2021. године долази до значајног пораста улагања у заштиту животне </w:t>
      </w:r>
      <w:r w:rsidR="00DD53CA" w:rsidRPr="00EF2F18">
        <w:rPr>
          <w:rFonts w:ascii="Times New Roman" w:hAnsi="Times New Roman" w:cs="Times New Roman"/>
          <w:sz w:val="22"/>
          <w:szCs w:val="22"/>
          <w:lang w:val="sr-Cyrl-RS"/>
        </w:rPr>
        <w:t>средине</w:t>
      </w:r>
      <w:r w:rsidR="004200D1" w:rsidRPr="00EF2F18">
        <w:rPr>
          <w:rFonts w:ascii="Times New Roman" w:hAnsi="Times New Roman" w:cs="Times New Roman"/>
          <w:sz w:val="22"/>
          <w:szCs w:val="22"/>
          <w:lang w:val="sr-Cyrl-RS"/>
        </w:rPr>
        <w:t xml:space="preserve">. Укупни трошкови за заштиту животне средине у </w:t>
      </w:r>
      <w:r w:rsidR="00B060F9" w:rsidRPr="00EF2F18">
        <w:rPr>
          <w:rFonts w:ascii="Times New Roman" w:hAnsi="Times New Roman" w:cs="Times New Roman"/>
          <w:sz w:val="22"/>
          <w:szCs w:val="22"/>
          <w:lang w:val="sr-Cyrl-RS"/>
        </w:rPr>
        <w:t>2022</w:t>
      </w:r>
      <w:r w:rsidR="004200D1" w:rsidRPr="00EF2F18">
        <w:rPr>
          <w:rFonts w:ascii="Times New Roman" w:hAnsi="Times New Roman" w:cs="Times New Roman"/>
          <w:sz w:val="22"/>
          <w:szCs w:val="22"/>
          <w:lang w:val="sr-Cyrl-RS"/>
        </w:rPr>
        <w:t>. години износили су 69</w:t>
      </w:r>
      <w:r w:rsidR="00B060F9" w:rsidRPr="00EF2F18">
        <w:rPr>
          <w:rFonts w:ascii="Times New Roman" w:hAnsi="Times New Roman" w:cs="Times New Roman"/>
          <w:sz w:val="22"/>
          <w:szCs w:val="22"/>
          <w:lang w:val="sr-Cyrl-RS"/>
        </w:rPr>
        <w:t>,</w:t>
      </w:r>
      <w:r w:rsidR="004200D1" w:rsidRPr="00EF2F18">
        <w:rPr>
          <w:rFonts w:ascii="Times New Roman" w:hAnsi="Times New Roman" w:cs="Times New Roman"/>
          <w:sz w:val="22"/>
          <w:szCs w:val="22"/>
          <w:lang w:val="sr-Cyrl-RS"/>
        </w:rPr>
        <w:t>25</w:t>
      </w:r>
      <w:r w:rsidR="00B060F9" w:rsidRPr="00EF2F18">
        <w:rPr>
          <w:rFonts w:ascii="Times New Roman" w:hAnsi="Times New Roman" w:cs="Times New Roman"/>
          <w:sz w:val="22"/>
          <w:szCs w:val="22"/>
          <w:lang w:val="sr-Cyrl-RS"/>
        </w:rPr>
        <w:t xml:space="preserve"> </w:t>
      </w:r>
      <w:r w:rsidR="004200D1" w:rsidRPr="00EF2F18">
        <w:rPr>
          <w:rFonts w:ascii="Times New Roman" w:hAnsi="Times New Roman" w:cs="Times New Roman"/>
          <w:sz w:val="22"/>
          <w:szCs w:val="22"/>
          <w:lang w:val="sr-Cyrl-RS"/>
        </w:rPr>
        <w:t>мил</w:t>
      </w:r>
      <w:r w:rsidR="00B060F9" w:rsidRPr="00EF2F18">
        <w:rPr>
          <w:rFonts w:ascii="Times New Roman" w:hAnsi="Times New Roman" w:cs="Times New Roman"/>
          <w:sz w:val="22"/>
          <w:szCs w:val="22"/>
          <w:lang w:val="sr-Cyrl-RS"/>
        </w:rPr>
        <w:t>ијарди</w:t>
      </w:r>
      <w:r w:rsidR="004200D1" w:rsidRPr="00EF2F18">
        <w:rPr>
          <w:rFonts w:ascii="Times New Roman" w:hAnsi="Times New Roman" w:cs="Times New Roman"/>
          <w:sz w:val="22"/>
          <w:szCs w:val="22"/>
          <w:lang w:val="sr-Cyrl-RS"/>
        </w:rPr>
        <w:t xml:space="preserve"> РСД, што је за 0,8% више него претходне године. У структури укупних трошкова за заштиту животне средине, учешће инвестиција за заштиту животне средине износило је 39,3%, док су текући издаци имали учешће од 60,7%.</w:t>
      </w:r>
    </w:p>
    <w:p w14:paraId="2EF5CB1D" w14:textId="77777777" w:rsidR="004200D1" w:rsidRPr="00EF2F18" w:rsidRDefault="004200D1" w:rsidP="004200D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Инвестиције за заштиту животне средине у 2022. години износиле су 27.231,8 мил. РСД, што је 2.571,5 мил. РСД мање него у претходној години. Највећи удео у структури инвестиција за заштиту животне средине у 2022. години био је за заштиту ваздуха и износио je 57,1% (15.548,1 мил. РСД).</w:t>
      </w:r>
    </w:p>
    <w:p w14:paraId="267DF6C5" w14:textId="77777777" w:rsidR="004200D1" w:rsidRPr="00EF2F18" w:rsidRDefault="004200D1" w:rsidP="004200D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Текући издаци за заштиту животне средине у 2022. години износили су 42.019,4 мил. РСД, односно 3.146,3 мил. РСД више него у претходној години. Највећи удео у структури текућих издатака за заштиту животне средине у 2022. години био је за управљање отпадом 72,5% (30482,8 мил. РСД).</w:t>
      </w:r>
    </w:p>
    <w:p w14:paraId="72807350" w14:textId="11291556" w:rsidR="004200D1" w:rsidRPr="00EF2F18" w:rsidRDefault="004200D1" w:rsidP="004200D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 структури инвестиција за заштиту животне средине у секторима индустрије, удео за превенцију загађења животне средине износио је 25,6% (4997,9 мил. РСД), док су инвестиције за третман насталог загађења износиле 74,4% (14</w:t>
      </w:r>
      <w:r w:rsidR="009E47D7"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532,1</w:t>
      </w:r>
      <w:r w:rsidR="006C2E00"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мил. РСД). У 2022. години, учешће укупних трошкова за заштиту животне средине у БДП-у износило је 1,0%.</w:t>
      </w:r>
      <w:r w:rsidRPr="00EF2F18">
        <w:rPr>
          <w:rStyle w:val="FootnoteReference"/>
          <w:rFonts w:cs="Times New Roman"/>
          <w:sz w:val="22"/>
          <w:szCs w:val="22"/>
          <w:lang w:val="sr-Cyrl-RS"/>
        </w:rPr>
        <w:footnoteReference w:id="15"/>
      </w:r>
      <w:r w:rsidRPr="00EF2F18" w:rsidDel="0035544B">
        <w:rPr>
          <w:rFonts w:ascii="Times New Roman" w:hAnsi="Times New Roman" w:cs="Times New Roman"/>
          <w:sz w:val="22"/>
          <w:szCs w:val="22"/>
          <w:lang w:val="sr-Cyrl-RS"/>
        </w:rPr>
        <w:t xml:space="preserve"> </w:t>
      </w:r>
    </w:p>
    <w:p w14:paraId="44D4B7E7" w14:textId="77777777" w:rsidR="004200D1" w:rsidRPr="00EF2F18" w:rsidRDefault="004200D1" w:rsidP="004200D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 основу последњих расположивих података Министарства финансија, према функционалној класификацији расхода на нивоу сектора државе (република, локални ниво власти и ванбуџетски фондови) у 2022. години за заштиту животне средине, издвојено је око 0,49% БДП-а, што је благо повећање улагања у односу на претходну годину, када је било издвојено 0,46%.</w:t>
      </w:r>
      <w:r w:rsidRPr="00EF2F18">
        <w:rPr>
          <w:rStyle w:val="FootnoteReference"/>
          <w:rFonts w:cs="Times New Roman"/>
          <w:sz w:val="22"/>
          <w:szCs w:val="22"/>
          <w:lang w:val="sr-Cyrl-RS"/>
        </w:rPr>
        <w:footnoteReference w:id="16"/>
      </w:r>
    </w:p>
    <w:p w14:paraId="586CD6D3" w14:textId="4696916E" w:rsidR="00DD53CA" w:rsidRPr="00EF2F18" w:rsidRDefault="00DD53CA" w:rsidP="004200D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w:t>
      </w:r>
    </w:p>
    <w:p w14:paraId="2375ABD6" w14:textId="77777777" w:rsidR="00484EAA" w:rsidRPr="00EF2F18" w:rsidRDefault="00484EAA" w:rsidP="00484EAA">
      <w:pPr>
        <w:pStyle w:val="Default"/>
        <w:jc w:val="center"/>
        <w:rPr>
          <w:rFonts w:ascii="Times New Roman" w:hAnsi="Times New Roman" w:cs="Times New Roman"/>
          <w:sz w:val="22"/>
          <w:szCs w:val="22"/>
          <w:lang w:val="sr-Cyrl-RS"/>
        </w:rPr>
      </w:pPr>
      <w:r w:rsidRPr="00EF2F18">
        <w:rPr>
          <w:rFonts w:ascii="Times New Roman" w:hAnsi="Times New Roman" w:cs="Times New Roman"/>
          <w:sz w:val="22"/>
          <w:szCs w:val="22"/>
          <w:lang w:val="sr-Cyrl-RS"/>
        </w:rPr>
        <w:tab/>
      </w:r>
      <w:r w:rsidRPr="00EF2F18">
        <w:rPr>
          <w:noProof/>
          <w:lang w:val="sr-Cyrl-RS" w:eastAsia="sr-Cyrl-RS"/>
        </w:rPr>
        <w:drawing>
          <wp:inline distT="0" distB="0" distL="0" distR="0" wp14:anchorId="6B9DA57D" wp14:editId="50CB0AA7">
            <wp:extent cx="4546600" cy="2377440"/>
            <wp:effectExtent l="0" t="0" r="6350" b="3810"/>
            <wp:docPr id="627293591" name="Chart 1">
              <a:extLst xmlns:a="http://schemas.openxmlformats.org/drawingml/2006/main">
                <a:ext uri="{FF2B5EF4-FFF2-40B4-BE49-F238E27FC236}">
                  <a16:creationId xmlns:a16="http://schemas.microsoft.com/office/drawing/2014/main" id="{FFDFB467-9B5D-9CBC-A278-D4FD163455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232778D" w14:textId="744DE6D6" w:rsidR="00C071E5" w:rsidRPr="00EF2F18" w:rsidRDefault="00C071E5" w:rsidP="00DC6CB5">
      <w:pPr>
        <w:pStyle w:val="Default"/>
        <w:jc w:val="both"/>
        <w:rPr>
          <w:rFonts w:ascii="Times New Roman" w:hAnsi="Times New Roman" w:cs="Times New Roman"/>
          <w:sz w:val="22"/>
          <w:szCs w:val="22"/>
          <w:lang w:val="sr-Cyrl-RS"/>
        </w:rPr>
      </w:pPr>
    </w:p>
    <w:p w14:paraId="4369D907" w14:textId="49162502" w:rsidR="00C071E5" w:rsidRPr="00EF2F18" w:rsidRDefault="00C071E5" w:rsidP="00C071E5">
      <w:pPr>
        <w:spacing w:after="0"/>
        <w:jc w:val="both"/>
        <w:rPr>
          <w:rFonts w:cs="Times New Roman"/>
          <w:sz w:val="22"/>
          <w:lang w:val="sr-Cyrl-RS"/>
        </w:rPr>
      </w:pPr>
      <w:r w:rsidRPr="00EF2F18">
        <w:rPr>
          <w:rFonts w:cs="Times New Roman"/>
          <w:b/>
          <w:bCs/>
          <w:sz w:val="22"/>
          <w:lang w:val="sr-Cyrl-RS"/>
        </w:rPr>
        <w:t xml:space="preserve">Слика </w:t>
      </w:r>
      <w:r w:rsidR="00C0735C" w:rsidRPr="00EF2F18">
        <w:rPr>
          <w:rFonts w:cs="Times New Roman"/>
          <w:b/>
          <w:bCs/>
          <w:sz w:val="22"/>
          <w:lang w:val="sr-Cyrl-RS"/>
        </w:rPr>
        <w:t>3</w:t>
      </w:r>
      <w:r w:rsidRPr="00EF2F18">
        <w:rPr>
          <w:rFonts w:cs="Times New Roman"/>
          <w:b/>
          <w:bCs/>
          <w:sz w:val="22"/>
          <w:lang w:val="sr-Cyrl-RS"/>
        </w:rPr>
        <w:t>.</w:t>
      </w:r>
      <w:r w:rsidR="006C1A98" w:rsidRPr="00EF2F18">
        <w:rPr>
          <w:rFonts w:cs="Times New Roman"/>
          <w:b/>
          <w:bCs/>
          <w:sz w:val="22"/>
          <w:lang w:val="sr-Cyrl-RS"/>
        </w:rPr>
        <w:t>3</w:t>
      </w:r>
      <w:r w:rsidR="00FA4A67" w:rsidRPr="00EF2F18">
        <w:rPr>
          <w:rFonts w:cs="Times New Roman"/>
          <w:b/>
          <w:bCs/>
          <w:sz w:val="22"/>
          <w:lang w:val="sr-Cyrl-RS"/>
        </w:rPr>
        <w:t>9</w:t>
      </w:r>
      <w:r w:rsidRPr="00EF2F18">
        <w:rPr>
          <w:rFonts w:cs="Times New Roman"/>
          <w:b/>
          <w:bCs/>
          <w:sz w:val="22"/>
          <w:lang w:val="sr-Cyrl-RS"/>
        </w:rPr>
        <w:t xml:space="preserve">. </w:t>
      </w:r>
      <w:r w:rsidRPr="00EF2F18">
        <w:rPr>
          <w:rFonts w:cs="Times New Roman"/>
          <w:sz w:val="22"/>
          <w:lang w:val="sr-Cyrl-RS"/>
        </w:rPr>
        <w:t>Издаци за заштиту животне средине у Републици Србији (% БДП-а, 2015-202</w:t>
      </w:r>
      <w:r w:rsidR="00484EAA" w:rsidRPr="00EF2F18">
        <w:rPr>
          <w:rFonts w:cs="Times New Roman"/>
          <w:sz w:val="22"/>
          <w:lang w:val="sr-Cyrl-RS"/>
        </w:rPr>
        <w:t>2</w:t>
      </w:r>
      <w:r w:rsidRPr="00EF2F18">
        <w:rPr>
          <w:rFonts w:cs="Times New Roman"/>
          <w:sz w:val="22"/>
          <w:lang w:val="sr-Cyrl-RS"/>
        </w:rPr>
        <w:t>.)</w:t>
      </w:r>
    </w:p>
    <w:p w14:paraId="610BFF7A" w14:textId="77777777" w:rsidR="00C071E5" w:rsidRPr="00EF2F18" w:rsidRDefault="00C071E5" w:rsidP="00C071E5">
      <w:pPr>
        <w:pStyle w:val="Default"/>
        <w:rPr>
          <w:rFonts w:ascii="Times New Roman" w:hAnsi="Times New Roman" w:cs="Times New Roman"/>
          <w:sz w:val="22"/>
          <w:szCs w:val="22"/>
          <w:lang w:val="sr-Cyrl-RS"/>
        </w:rPr>
      </w:pPr>
    </w:p>
    <w:p w14:paraId="2454E77A" w14:textId="40A3EC16" w:rsidR="00C071E5" w:rsidRPr="00EF2F18" w:rsidRDefault="00C071E5" w:rsidP="00C071E5">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 периоду 2015-202</w:t>
      </w:r>
      <w:r w:rsidR="009E47D7" w:rsidRPr="00EF2F18">
        <w:rPr>
          <w:rFonts w:ascii="Times New Roman" w:hAnsi="Times New Roman" w:cs="Times New Roman"/>
          <w:sz w:val="22"/>
          <w:szCs w:val="22"/>
          <w:lang w:val="sr-Cyrl-RS"/>
        </w:rPr>
        <w:t>2</w:t>
      </w:r>
      <w:r w:rsidRPr="00EF2F18">
        <w:rPr>
          <w:rFonts w:ascii="Times New Roman" w:hAnsi="Times New Roman" w:cs="Times New Roman"/>
          <w:sz w:val="22"/>
          <w:szCs w:val="22"/>
          <w:lang w:val="sr-Cyrl-RS"/>
        </w:rPr>
        <w:t xml:space="preserve">. највише средстава је инвестирано у област (пројекте) управљања отпадом, а најмање у оне области које су директно у вези са климатским променама (на пример, у оне пројекте који доприносе смањењу емисија гасова са ефектом стаклене баште). </w:t>
      </w:r>
    </w:p>
    <w:p w14:paraId="0D51E07A" w14:textId="77777777" w:rsidR="00D83673" w:rsidRPr="00EF2F18" w:rsidRDefault="00D83673" w:rsidP="00D8367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Осим пројеката које спроводи МЗЖС, овде треба укључити и пројекте које финансирају и друга министарства која имају утицај на области Зелене агенде (у 2019. години 52 милиона ЕУР). Инвестиције у инфраструктурне пројекте, које поред МЗЖС финансирају министарства надлежна за саобраћај, грађевинарство, рударство и енергетику, имају највеће позитивне ефекте на области Зелене агенде.</w:t>
      </w:r>
    </w:p>
    <w:p w14:paraId="3EB3A872" w14:textId="77777777" w:rsidR="00D83673" w:rsidRPr="00EF2F18" w:rsidRDefault="00D83673" w:rsidP="00C071E5">
      <w:pPr>
        <w:pStyle w:val="Default"/>
        <w:ind w:firstLine="720"/>
        <w:jc w:val="both"/>
        <w:rPr>
          <w:rFonts w:ascii="Times New Roman" w:hAnsi="Times New Roman" w:cs="Times New Roman"/>
          <w:sz w:val="22"/>
          <w:szCs w:val="22"/>
          <w:lang w:val="sr-Cyrl-RS"/>
        </w:rPr>
      </w:pPr>
    </w:p>
    <w:p w14:paraId="68410C55" w14:textId="77777777" w:rsidR="00C071E5" w:rsidRPr="00EF2F18" w:rsidRDefault="00C071E5" w:rsidP="00C071E5">
      <w:pPr>
        <w:pStyle w:val="Default"/>
        <w:ind w:firstLine="720"/>
        <w:jc w:val="both"/>
        <w:rPr>
          <w:rFonts w:ascii="Times New Roman" w:hAnsi="Times New Roman" w:cs="Times New Roman"/>
          <w:sz w:val="22"/>
          <w:szCs w:val="22"/>
          <w:lang w:val="sr-Cyrl-RS"/>
        </w:rPr>
      </w:pPr>
    </w:p>
    <w:p w14:paraId="192F9A45" w14:textId="77777777" w:rsidR="00C071E5" w:rsidRPr="00EF2F18" w:rsidRDefault="00C071E5" w:rsidP="00C071E5">
      <w:pPr>
        <w:pStyle w:val="Default"/>
        <w:jc w:val="center"/>
        <w:rPr>
          <w:rFonts w:ascii="Times New Roman" w:hAnsi="Times New Roman" w:cs="Times New Roman"/>
          <w:sz w:val="22"/>
          <w:szCs w:val="22"/>
          <w:lang w:val="sr-Cyrl-RS"/>
        </w:rPr>
      </w:pPr>
      <w:r w:rsidRPr="00EF2F18">
        <w:rPr>
          <w:rFonts w:ascii="Times New Roman" w:hAnsi="Times New Roman" w:cs="Times New Roman"/>
          <w:noProof/>
          <w:sz w:val="22"/>
          <w:szCs w:val="22"/>
          <w:lang w:val="sr-Cyrl-RS" w:eastAsia="sr-Cyrl-RS"/>
        </w:rPr>
        <w:lastRenderedPageBreak/>
        <w:drawing>
          <wp:inline distT="0" distB="0" distL="0" distR="0" wp14:anchorId="291B2FB1" wp14:editId="63CE9BAB">
            <wp:extent cx="4840941" cy="2512679"/>
            <wp:effectExtent l="0" t="0" r="17145" b="2540"/>
            <wp:docPr id="1417204489" name="Chart 1">
              <a:extLst xmlns:a="http://schemas.openxmlformats.org/drawingml/2006/main">
                <a:ext uri="{FF2B5EF4-FFF2-40B4-BE49-F238E27FC236}">
                  <a16:creationId xmlns:a16="http://schemas.microsoft.com/office/drawing/2014/main" id="{1D9EB769-DB06-41A9-86FE-F1FC745369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23E132B" w14:textId="36F701BB" w:rsidR="00C071E5" w:rsidRPr="00EF2F18" w:rsidRDefault="00C071E5" w:rsidP="00C071E5">
      <w:pPr>
        <w:pStyle w:val="Default"/>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 xml:space="preserve">Слика </w:t>
      </w:r>
      <w:r w:rsidR="00C0735C" w:rsidRPr="00EF2F18">
        <w:rPr>
          <w:rFonts w:ascii="Times New Roman" w:hAnsi="Times New Roman" w:cs="Times New Roman"/>
          <w:b/>
          <w:bCs/>
          <w:sz w:val="22"/>
          <w:szCs w:val="22"/>
          <w:lang w:val="sr-Cyrl-RS"/>
        </w:rPr>
        <w:t>3</w:t>
      </w:r>
      <w:r w:rsidRPr="00EF2F18">
        <w:rPr>
          <w:rFonts w:ascii="Times New Roman" w:hAnsi="Times New Roman" w:cs="Times New Roman"/>
          <w:b/>
          <w:bCs/>
          <w:sz w:val="22"/>
          <w:szCs w:val="22"/>
          <w:lang w:val="sr-Cyrl-RS"/>
        </w:rPr>
        <w:t>.</w:t>
      </w:r>
      <w:r w:rsidR="00FA4A67" w:rsidRPr="00EF2F18">
        <w:rPr>
          <w:rFonts w:ascii="Times New Roman" w:hAnsi="Times New Roman" w:cs="Times New Roman"/>
          <w:b/>
          <w:bCs/>
          <w:sz w:val="22"/>
          <w:szCs w:val="22"/>
          <w:lang w:val="sr-Cyrl-RS"/>
        </w:rPr>
        <w:t>40</w:t>
      </w:r>
      <w:r w:rsidRPr="00EF2F18">
        <w:rPr>
          <w:rFonts w:ascii="Times New Roman" w:hAnsi="Times New Roman" w:cs="Times New Roman"/>
          <w:b/>
          <w:bCs/>
          <w:sz w:val="22"/>
          <w:szCs w:val="22"/>
          <w:lang w:val="sr-Cyrl-RS"/>
        </w:rPr>
        <w:t>.</w:t>
      </w:r>
      <w:r w:rsidRPr="00EF2F18">
        <w:rPr>
          <w:rFonts w:ascii="Times New Roman" w:hAnsi="Times New Roman" w:cs="Times New Roman"/>
          <w:sz w:val="22"/>
          <w:szCs w:val="22"/>
          <w:lang w:val="sr-Cyrl-RS"/>
        </w:rPr>
        <w:t xml:space="preserve"> Издаци за заштиту животне средине по тематским подручјима у Републици Србији (% укупних издатака, 2015-202</w:t>
      </w:r>
      <w:r w:rsidR="00484EAA" w:rsidRPr="00EF2F18">
        <w:rPr>
          <w:rFonts w:ascii="Times New Roman" w:hAnsi="Times New Roman" w:cs="Times New Roman"/>
          <w:sz w:val="22"/>
          <w:szCs w:val="22"/>
          <w:lang w:val="sr-Cyrl-RS"/>
        </w:rPr>
        <w:t>2</w:t>
      </w:r>
      <w:r w:rsidRPr="00EF2F18">
        <w:rPr>
          <w:rFonts w:ascii="Times New Roman" w:hAnsi="Times New Roman" w:cs="Times New Roman"/>
          <w:sz w:val="22"/>
          <w:szCs w:val="22"/>
          <w:lang w:val="sr-Cyrl-RS"/>
        </w:rPr>
        <w:t>.)</w:t>
      </w:r>
    </w:p>
    <w:p w14:paraId="0F796181" w14:textId="77777777" w:rsidR="00C071E5" w:rsidRPr="00EF2F18" w:rsidRDefault="00C071E5" w:rsidP="00C071E5">
      <w:pPr>
        <w:pStyle w:val="Default"/>
        <w:rPr>
          <w:rFonts w:ascii="Times New Roman" w:hAnsi="Times New Roman" w:cs="Times New Roman"/>
          <w:sz w:val="22"/>
          <w:szCs w:val="22"/>
          <w:lang w:val="sr-Cyrl-RS"/>
        </w:rPr>
      </w:pPr>
    </w:p>
    <w:p w14:paraId="29836C4C" w14:textId="3A2DD02B" w:rsidR="00481BCE" w:rsidRPr="00EF2F18" w:rsidRDefault="00E554F1" w:rsidP="00F37C4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 основу</w:t>
      </w:r>
      <w:r w:rsidR="00481BCE" w:rsidRPr="00EF2F18">
        <w:rPr>
          <w:rFonts w:ascii="Times New Roman" w:hAnsi="Times New Roman" w:cs="Times New Roman"/>
          <w:sz w:val="22"/>
          <w:szCs w:val="22"/>
          <w:lang w:val="sr-Cyrl-RS"/>
        </w:rPr>
        <w:t xml:space="preserve"> података Министарства финансија, процењене</w:t>
      </w:r>
      <w:r w:rsidR="00146EA9" w:rsidRPr="00EF2F18">
        <w:rPr>
          <w:rFonts w:ascii="Times New Roman" w:hAnsi="Times New Roman" w:cs="Times New Roman"/>
          <w:sz w:val="22"/>
          <w:lang w:val="sr-Cyrl-RS"/>
        </w:rPr>
        <w:t xml:space="preserve"> </w:t>
      </w:r>
      <w:r w:rsidRPr="00EF2F18">
        <w:rPr>
          <w:rFonts w:ascii="Times New Roman" w:hAnsi="Times New Roman" w:cs="Times New Roman"/>
          <w:sz w:val="22"/>
          <w:lang w:val="sr-Cyrl-RS"/>
        </w:rPr>
        <w:t xml:space="preserve">су </w:t>
      </w:r>
      <w:r w:rsidR="00481BCE" w:rsidRPr="00EF2F18">
        <w:rPr>
          <w:rFonts w:ascii="Times New Roman" w:hAnsi="Times New Roman" w:cs="Times New Roman"/>
          <w:sz w:val="22"/>
          <w:szCs w:val="22"/>
          <w:lang w:val="sr-Cyrl-RS"/>
        </w:rPr>
        <w:t xml:space="preserve">вредности укупне међународне </w:t>
      </w:r>
      <w:r w:rsidR="00051065" w:rsidRPr="00EF2F18">
        <w:rPr>
          <w:rFonts w:ascii="Times New Roman" w:hAnsi="Times New Roman" w:cs="Times New Roman"/>
          <w:sz w:val="22"/>
          <w:szCs w:val="22"/>
          <w:lang w:val="sr-Cyrl-RS"/>
        </w:rPr>
        <w:t xml:space="preserve">финансијске помоћи </w:t>
      </w:r>
      <w:r w:rsidR="00481BCE" w:rsidRPr="00EF2F18">
        <w:rPr>
          <w:rFonts w:ascii="Times New Roman" w:hAnsi="Times New Roman" w:cs="Times New Roman"/>
          <w:sz w:val="22"/>
          <w:szCs w:val="22"/>
          <w:lang w:val="sr-Cyrl-RS"/>
        </w:rPr>
        <w:t xml:space="preserve">за секторе „Заштита животне средине” и „Водоснабдевање и санацију отпада” у </w:t>
      </w:r>
      <w:r w:rsidR="00DA5686" w:rsidRPr="00EF2F18">
        <w:rPr>
          <w:rFonts w:ascii="Times New Roman" w:hAnsi="Times New Roman" w:cs="Times New Roman"/>
          <w:sz w:val="22"/>
          <w:szCs w:val="22"/>
          <w:lang w:val="sr-Cyrl-RS"/>
        </w:rPr>
        <w:t>2023</w:t>
      </w:r>
      <w:r w:rsidR="00481BCE" w:rsidRPr="00EF2F18">
        <w:rPr>
          <w:rFonts w:ascii="Times New Roman" w:hAnsi="Times New Roman" w:cs="Times New Roman"/>
          <w:sz w:val="22"/>
          <w:szCs w:val="22"/>
          <w:lang w:val="sr-Cyrl-RS"/>
        </w:rPr>
        <w:t xml:space="preserve">. години су </w:t>
      </w:r>
      <w:r w:rsidR="00DA5686" w:rsidRPr="00EF2F18">
        <w:rPr>
          <w:rFonts w:ascii="Times New Roman" w:hAnsi="Times New Roman" w:cs="Times New Roman"/>
          <w:sz w:val="22"/>
          <w:szCs w:val="22"/>
          <w:lang w:val="sr-Cyrl-RS"/>
        </w:rPr>
        <w:t>8</w:t>
      </w:r>
      <w:r w:rsidR="00481BCE" w:rsidRPr="00EF2F18">
        <w:rPr>
          <w:rFonts w:ascii="Times New Roman" w:hAnsi="Times New Roman" w:cs="Times New Roman"/>
          <w:sz w:val="22"/>
          <w:szCs w:val="22"/>
          <w:lang w:val="sr-Cyrl-RS"/>
        </w:rPr>
        <w:t>,</w:t>
      </w:r>
      <w:r w:rsidR="00DA5686" w:rsidRPr="00EF2F18">
        <w:rPr>
          <w:rFonts w:ascii="Times New Roman" w:hAnsi="Times New Roman" w:cs="Times New Roman"/>
          <w:sz w:val="22"/>
          <w:szCs w:val="22"/>
          <w:lang w:val="sr-Cyrl-RS"/>
        </w:rPr>
        <w:t xml:space="preserve">48 </w:t>
      </w:r>
      <w:r w:rsidR="00481BCE" w:rsidRPr="00EF2F18">
        <w:rPr>
          <w:rFonts w:ascii="Times New Roman" w:hAnsi="Times New Roman" w:cs="Times New Roman"/>
          <w:sz w:val="22"/>
          <w:szCs w:val="22"/>
          <w:lang w:val="sr-Cyrl-RS"/>
        </w:rPr>
        <w:t>милијарди динара, а изражено кроз бруто домаћи производ, износе 0,</w:t>
      </w:r>
      <w:r w:rsidR="00DA5686" w:rsidRPr="00EF2F18">
        <w:rPr>
          <w:rFonts w:ascii="Times New Roman" w:hAnsi="Times New Roman" w:cs="Times New Roman"/>
          <w:sz w:val="22"/>
          <w:szCs w:val="22"/>
          <w:lang w:val="sr-Cyrl-RS"/>
        </w:rPr>
        <w:t>11</w:t>
      </w:r>
      <w:r w:rsidR="00481BCE" w:rsidRPr="00EF2F18">
        <w:rPr>
          <w:rFonts w:ascii="Times New Roman" w:hAnsi="Times New Roman" w:cs="Times New Roman"/>
          <w:sz w:val="22"/>
          <w:szCs w:val="22"/>
          <w:lang w:val="sr-Cyrl-RS"/>
        </w:rPr>
        <w:t>% БДП</w:t>
      </w:r>
      <w:r w:rsidR="00F40E8B" w:rsidRPr="00EF2F18">
        <w:rPr>
          <w:rFonts w:ascii="Times New Roman" w:hAnsi="Times New Roman" w:cs="Times New Roman"/>
          <w:sz w:val="22"/>
          <w:szCs w:val="22"/>
          <w:lang w:val="sr-Cyrl-RS"/>
        </w:rPr>
        <w:t xml:space="preserve">. </w:t>
      </w:r>
      <w:r w:rsidR="00481BCE" w:rsidRPr="00EF2F18">
        <w:rPr>
          <w:rFonts w:ascii="Times New Roman" w:hAnsi="Times New Roman" w:cs="Times New Roman"/>
          <w:sz w:val="22"/>
          <w:szCs w:val="22"/>
          <w:lang w:val="sr-Cyrl-RS"/>
        </w:rPr>
        <w:t xml:space="preserve">Ова средства су значајно </w:t>
      </w:r>
      <w:r w:rsidR="00DA5686" w:rsidRPr="00EF2F18">
        <w:rPr>
          <w:rFonts w:ascii="Times New Roman" w:hAnsi="Times New Roman" w:cs="Times New Roman"/>
          <w:sz w:val="22"/>
          <w:szCs w:val="22"/>
          <w:lang w:val="sr-Cyrl-RS"/>
        </w:rPr>
        <w:t xml:space="preserve">виша </w:t>
      </w:r>
      <w:r w:rsidR="00481BCE" w:rsidRPr="00EF2F18">
        <w:rPr>
          <w:rFonts w:ascii="Times New Roman" w:hAnsi="Times New Roman" w:cs="Times New Roman"/>
          <w:sz w:val="22"/>
          <w:szCs w:val="22"/>
          <w:lang w:val="sr-Cyrl-RS"/>
        </w:rPr>
        <w:t xml:space="preserve">у односу на претходну годину када су износила </w:t>
      </w:r>
      <w:r w:rsidR="00DA5686" w:rsidRPr="00EF2F18">
        <w:rPr>
          <w:rFonts w:ascii="Times New Roman" w:hAnsi="Times New Roman" w:cs="Times New Roman"/>
          <w:sz w:val="22"/>
          <w:szCs w:val="22"/>
          <w:lang w:val="sr-Cyrl-RS"/>
        </w:rPr>
        <w:t>5</w:t>
      </w:r>
      <w:r w:rsidR="00481BCE" w:rsidRPr="00EF2F18">
        <w:rPr>
          <w:rFonts w:ascii="Times New Roman" w:hAnsi="Times New Roman" w:cs="Times New Roman"/>
          <w:sz w:val="22"/>
          <w:szCs w:val="22"/>
          <w:lang w:val="sr-Cyrl-RS"/>
        </w:rPr>
        <w:t>,</w:t>
      </w:r>
      <w:r w:rsidR="00DA5686" w:rsidRPr="00EF2F18">
        <w:rPr>
          <w:rFonts w:ascii="Times New Roman" w:hAnsi="Times New Roman" w:cs="Times New Roman"/>
          <w:sz w:val="22"/>
          <w:szCs w:val="22"/>
          <w:lang w:val="sr-Cyrl-RS"/>
        </w:rPr>
        <w:t xml:space="preserve">23 </w:t>
      </w:r>
      <w:r w:rsidR="005B1DF2" w:rsidRPr="00EF2F18">
        <w:rPr>
          <w:rFonts w:ascii="Times New Roman" w:hAnsi="Times New Roman" w:cs="Times New Roman"/>
          <w:sz w:val="22"/>
          <w:szCs w:val="22"/>
          <w:lang w:val="sr-Cyrl-RS"/>
        </w:rPr>
        <w:t xml:space="preserve">милијарди </w:t>
      </w:r>
      <w:r w:rsidR="00481BCE" w:rsidRPr="00EF2F18">
        <w:rPr>
          <w:rFonts w:ascii="Times New Roman" w:hAnsi="Times New Roman" w:cs="Times New Roman"/>
          <w:sz w:val="22"/>
          <w:szCs w:val="22"/>
          <w:lang w:val="sr-Cyrl-RS"/>
        </w:rPr>
        <w:t>динара.</w:t>
      </w:r>
    </w:p>
    <w:p w14:paraId="4D15DB29" w14:textId="0A97D758" w:rsidR="00BA101C" w:rsidRPr="00EF2F18" w:rsidRDefault="00BA101C" w:rsidP="00BA101C">
      <w:pPr>
        <w:pStyle w:val="Default"/>
        <w:jc w:val="center"/>
        <w:rPr>
          <w:rFonts w:ascii="Times New Roman" w:hAnsi="Times New Roman" w:cs="Times New Roman"/>
          <w:sz w:val="22"/>
          <w:szCs w:val="22"/>
          <w:lang w:val="sr-Cyrl-RS"/>
        </w:rPr>
      </w:pPr>
    </w:p>
    <w:p w14:paraId="2C5EC3F0" w14:textId="3BBDC2F2" w:rsidR="00DA5686" w:rsidRPr="00EF2F18" w:rsidRDefault="00DA5686" w:rsidP="00BA101C">
      <w:pPr>
        <w:pStyle w:val="Default"/>
        <w:jc w:val="center"/>
        <w:rPr>
          <w:rFonts w:ascii="Times New Roman" w:hAnsi="Times New Roman" w:cs="Times New Roman"/>
          <w:sz w:val="22"/>
          <w:szCs w:val="22"/>
          <w:lang w:val="sr-Cyrl-RS"/>
        </w:rPr>
      </w:pPr>
      <w:r w:rsidRPr="00EF2F18">
        <w:rPr>
          <w:noProof/>
          <w:lang w:val="sr-Cyrl-RS" w:eastAsia="sr-Cyrl-RS"/>
        </w:rPr>
        <w:drawing>
          <wp:inline distT="0" distB="0" distL="0" distR="0" wp14:anchorId="79EC9D85" wp14:editId="5DA50540">
            <wp:extent cx="4539746" cy="2371725"/>
            <wp:effectExtent l="0" t="0" r="0" b="0"/>
            <wp:docPr id="1138519858" name="Picture 2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19858" name="Picture 21" descr="A graph with different colored lines&#10;&#10;AI-generated content may b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46791" cy="2375406"/>
                    </a:xfrm>
                    <a:prstGeom prst="rect">
                      <a:avLst/>
                    </a:prstGeom>
                    <a:noFill/>
                    <a:ln>
                      <a:noFill/>
                    </a:ln>
                  </pic:spPr>
                </pic:pic>
              </a:graphicData>
            </a:graphic>
          </wp:inline>
        </w:drawing>
      </w:r>
    </w:p>
    <w:p w14:paraId="3B53EB93" w14:textId="76CF7AF1" w:rsidR="00481BCE" w:rsidRPr="00EF2F18" w:rsidRDefault="00481BCE" w:rsidP="00481BCE">
      <w:pPr>
        <w:pStyle w:val="Default"/>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Слика 3.</w:t>
      </w:r>
      <w:r w:rsidR="00647E28" w:rsidRPr="00EF2F18">
        <w:rPr>
          <w:rFonts w:ascii="Times New Roman" w:hAnsi="Times New Roman" w:cs="Times New Roman"/>
          <w:b/>
          <w:bCs/>
          <w:sz w:val="22"/>
          <w:szCs w:val="22"/>
          <w:lang w:val="sr-Cyrl-RS"/>
        </w:rPr>
        <w:t>4</w:t>
      </w:r>
      <w:r w:rsidR="00FA4A67" w:rsidRPr="00EF2F18">
        <w:rPr>
          <w:rFonts w:ascii="Times New Roman" w:hAnsi="Times New Roman" w:cs="Times New Roman"/>
          <w:b/>
          <w:bCs/>
          <w:sz w:val="22"/>
          <w:szCs w:val="22"/>
          <w:lang w:val="sr-Cyrl-RS"/>
        </w:rPr>
        <w:t>1</w:t>
      </w:r>
      <w:r w:rsidRPr="00EF2F18">
        <w:rPr>
          <w:rFonts w:ascii="Times New Roman" w:hAnsi="Times New Roman" w:cs="Times New Roman"/>
          <w:b/>
          <w:bCs/>
          <w:sz w:val="22"/>
          <w:szCs w:val="22"/>
          <w:lang w:val="sr-Cyrl-RS"/>
        </w:rPr>
        <w:t>.</w:t>
      </w:r>
      <w:r w:rsidRPr="00EF2F18">
        <w:rPr>
          <w:rFonts w:ascii="Times New Roman" w:hAnsi="Times New Roman" w:cs="Times New Roman"/>
          <w:sz w:val="22"/>
          <w:szCs w:val="22"/>
          <w:lang w:val="sr-Cyrl-RS"/>
        </w:rPr>
        <w:t xml:space="preserve"> Међународне финансијске помоћи - донације и кредити</w:t>
      </w:r>
    </w:p>
    <w:p w14:paraId="442CE714" w14:textId="5401D4C9" w:rsidR="00E554F1" w:rsidRPr="00EF2F18" w:rsidRDefault="008F5499" w:rsidP="00E554F1">
      <w:pPr>
        <w:pStyle w:val="Default"/>
        <w:jc w:val="both"/>
        <w:rPr>
          <w:rFonts w:ascii="Times New Roman" w:hAnsi="Times New Roman" w:cs="Times New Roman"/>
          <w:i/>
          <w:iCs/>
          <w:sz w:val="20"/>
          <w:szCs w:val="20"/>
          <w:lang w:val="sr-Cyrl-RS"/>
        </w:rPr>
      </w:pPr>
      <w:r>
        <w:rPr>
          <w:rFonts w:ascii="Times New Roman" w:hAnsi="Times New Roman" w:cs="Times New Roman"/>
          <w:i/>
          <w:iCs/>
          <w:sz w:val="20"/>
          <w:szCs w:val="20"/>
          <w:lang w:val="sr-Cyrl-RS"/>
        </w:rPr>
        <w:t>Извор: Агенција за заштиту жово</w:t>
      </w:r>
      <w:r w:rsidR="00E554F1" w:rsidRPr="00EF2F18">
        <w:rPr>
          <w:rFonts w:ascii="Times New Roman" w:hAnsi="Times New Roman" w:cs="Times New Roman"/>
          <w:i/>
          <w:iCs/>
          <w:sz w:val="20"/>
          <w:szCs w:val="20"/>
          <w:lang w:val="sr-Cyrl-RS"/>
        </w:rPr>
        <w:t>тне средине, 202</w:t>
      </w:r>
      <w:r w:rsidR="00DA5686" w:rsidRPr="00EF2F18">
        <w:rPr>
          <w:rFonts w:ascii="Times New Roman" w:hAnsi="Times New Roman" w:cs="Times New Roman"/>
          <w:i/>
          <w:iCs/>
          <w:sz w:val="20"/>
          <w:szCs w:val="20"/>
          <w:lang w:val="sr-Cyrl-RS"/>
        </w:rPr>
        <w:t>4</w:t>
      </w:r>
      <w:r w:rsidR="00E554F1" w:rsidRPr="00EF2F18">
        <w:rPr>
          <w:rFonts w:ascii="Times New Roman" w:hAnsi="Times New Roman" w:cs="Times New Roman"/>
          <w:i/>
          <w:iCs/>
          <w:sz w:val="20"/>
          <w:szCs w:val="20"/>
          <w:lang w:val="sr-Cyrl-RS"/>
        </w:rPr>
        <w:t>.</w:t>
      </w:r>
    </w:p>
    <w:p w14:paraId="09A9C89B" w14:textId="77777777" w:rsidR="00E554F1" w:rsidRPr="00EF2F18" w:rsidRDefault="00E554F1" w:rsidP="00E554F1">
      <w:pPr>
        <w:pStyle w:val="Default"/>
        <w:jc w:val="both"/>
        <w:rPr>
          <w:rFonts w:ascii="Times New Roman" w:hAnsi="Times New Roman" w:cs="Times New Roman"/>
          <w:sz w:val="22"/>
          <w:szCs w:val="22"/>
          <w:lang w:val="sr-Cyrl-RS"/>
        </w:rPr>
      </w:pPr>
    </w:p>
    <w:p w14:paraId="518189B8" w14:textId="6A9FB046" w:rsidR="00E554F1" w:rsidRPr="00EF2F18" w:rsidRDefault="00E554F1" w:rsidP="00E554F1">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У </w:t>
      </w:r>
      <w:r w:rsidR="00DA5686" w:rsidRPr="00EF2F18">
        <w:rPr>
          <w:rFonts w:ascii="Times New Roman" w:hAnsi="Times New Roman" w:cs="Times New Roman"/>
          <w:sz w:val="22"/>
          <w:szCs w:val="22"/>
          <w:lang w:val="sr-Cyrl-RS"/>
        </w:rPr>
        <w:t>2023</w:t>
      </w:r>
      <w:r w:rsidRPr="00EF2F18">
        <w:rPr>
          <w:rFonts w:ascii="Times New Roman" w:hAnsi="Times New Roman" w:cs="Times New Roman"/>
          <w:sz w:val="22"/>
          <w:szCs w:val="22"/>
          <w:lang w:val="sr-Cyrl-RS"/>
        </w:rPr>
        <w:t xml:space="preserve">. години највећи донатори за сектор „Заштита животне средине” </w:t>
      </w:r>
      <w:r w:rsidR="00DA5686" w:rsidRPr="00EF2F18">
        <w:rPr>
          <w:rFonts w:ascii="Times New Roman" w:hAnsi="Times New Roman" w:cs="Times New Roman"/>
          <w:sz w:val="22"/>
          <w:szCs w:val="22"/>
          <w:lang w:val="sr-Cyrl-RS"/>
        </w:rPr>
        <w:t xml:space="preserve">били </w:t>
      </w:r>
      <w:r w:rsidRPr="00EF2F18">
        <w:rPr>
          <w:rFonts w:ascii="Times New Roman" w:hAnsi="Times New Roman" w:cs="Times New Roman"/>
          <w:sz w:val="22"/>
          <w:szCs w:val="22"/>
          <w:lang w:val="sr-Cyrl-RS"/>
        </w:rPr>
        <w:t>су</w:t>
      </w:r>
      <w:r w:rsidR="00DA5686" w:rsidRPr="00EF2F18">
        <w:rPr>
          <w:rFonts w:ascii="Times New Roman" w:hAnsi="Times New Roman" w:cs="Times New Roman"/>
          <w:sz w:val="22"/>
          <w:szCs w:val="22"/>
          <w:lang w:val="sr-Cyrl-RS"/>
        </w:rPr>
        <w:t>, као и претходне године,</w:t>
      </w:r>
      <w:r w:rsidRPr="00EF2F18">
        <w:rPr>
          <w:rFonts w:ascii="Times New Roman" w:hAnsi="Times New Roman" w:cs="Times New Roman"/>
          <w:sz w:val="22"/>
          <w:szCs w:val="22"/>
          <w:lang w:val="sr-Cyrl-RS"/>
        </w:rPr>
        <w:t xml:space="preserve"> Европска унија са </w:t>
      </w:r>
      <w:r w:rsidR="00DA5686" w:rsidRPr="00EF2F18">
        <w:rPr>
          <w:rFonts w:ascii="Times New Roman" w:hAnsi="Times New Roman" w:cs="Times New Roman"/>
          <w:sz w:val="22"/>
          <w:szCs w:val="22"/>
          <w:lang w:val="sr-Cyrl-RS"/>
        </w:rPr>
        <w:t>965</w:t>
      </w:r>
      <w:r w:rsidRPr="00EF2F18">
        <w:rPr>
          <w:rFonts w:ascii="Times New Roman" w:hAnsi="Times New Roman" w:cs="Times New Roman"/>
          <w:sz w:val="22"/>
          <w:szCs w:val="22"/>
          <w:lang w:val="sr-Cyrl-RS"/>
        </w:rPr>
        <w:t xml:space="preserve"> </w:t>
      </w:r>
      <w:r w:rsidR="00DA5686" w:rsidRPr="00EF2F18">
        <w:rPr>
          <w:rFonts w:ascii="Times New Roman" w:hAnsi="Times New Roman" w:cs="Times New Roman"/>
          <w:sz w:val="22"/>
          <w:szCs w:val="22"/>
          <w:lang w:val="sr-Cyrl-RS"/>
        </w:rPr>
        <w:t xml:space="preserve">милиона </w:t>
      </w:r>
      <w:r w:rsidRPr="00EF2F18">
        <w:rPr>
          <w:rFonts w:ascii="Times New Roman" w:hAnsi="Times New Roman" w:cs="Times New Roman"/>
          <w:sz w:val="22"/>
          <w:szCs w:val="22"/>
          <w:lang w:val="sr-Cyrl-RS"/>
        </w:rPr>
        <w:t xml:space="preserve">динара, а следе Савезна Република Немачка са 298 милиона динара и Краљевина Шведска са </w:t>
      </w:r>
      <w:r w:rsidR="00DA5686" w:rsidRPr="00EF2F18">
        <w:rPr>
          <w:rFonts w:ascii="Times New Roman" w:hAnsi="Times New Roman" w:cs="Times New Roman"/>
          <w:sz w:val="22"/>
          <w:szCs w:val="22"/>
          <w:lang w:val="sr-Cyrl-RS"/>
        </w:rPr>
        <w:t xml:space="preserve">40 </w:t>
      </w:r>
      <w:r w:rsidRPr="00EF2F18">
        <w:rPr>
          <w:rFonts w:ascii="Times New Roman" w:hAnsi="Times New Roman" w:cs="Times New Roman"/>
          <w:sz w:val="22"/>
          <w:szCs w:val="22"/>
          <w:lang w:val="sr-Cyrl-RS"/>
        </w:rPr>
        <w:t>милиона динара. За сектор „Водоснабдевање и санација отпада” није било донација</w:t>
      </w:r>
      <w:r w:rsidR="00300C9C" w:rsidRPr="00EF2F18">
        <w:rPr>
          <w:rFonts w:ascii="Times New Roman" w:hAnsi="Times New Roman" w:cs="Times New Roman"/>
          <w:sz w:val="22"/>
          <w:szCs w:val="22"/>
          <w:lang w:val="sr-Cyrl-RS"/>
        </w:rPr>
        <w:t>, као ни 2022. године</w:t>
      </w:r>
      <w:r w:rsidRPr="00EF2F18">
        <w:rPr>
          <w:rFonts w:ascii="Times New Roman" w:hAnsi="Times New Roman" w:cs="Times New Roman"/>
          <w:sz w:val="22"/>
          <w:szCs w:val="22"/>
          <w:lang w:val="sr-Cyrl-RS"/>
        </w:rPr>
        <w:t>.</w:t>
      </w:r>
    </w:p>
    <w:p w14:paraId="1FBFB8C8" w14:textId="19C7DEF5" w:rsidR="00146EA9" w:rsidRPr="00EF2F18" w:rsidRDefault="00146EA9" w:rsidP="00791FA3">
      <w:pPr>
        <w:pStyle w:val="Default"/>
        <w:ind w:firstLine="720"/>
        <w:jc w:val="both"/>
        <w:rPr>
          <w:rFonts w:ascii="Times New Roman" w:hAnsi="Times New Roman" w:cs="Times New Roman"/>
          <w:sz w:val="22"/>
          <w:szCs w:val="22"/>
          <w:lang w:val="sr-Cyrl-RS"/>
        </w:rPr>
      </w:pPr>
    </w:p>
    <w:p w14:paraId="47FFD281" w14:textId="40C76C2A" w:rsidR="009B1591" w:rsidRPr="00EF2F18" w:rsidRDefault="00300C9C" w:rsidP="000F3016">
      <w:pPr>
        <w:pStyle w:val="Default"/>
        <w:jc w:val="center"/>
        <w:rPr>
          <w:rFonts w:ascii="Times New Roman" w:hAnsi="Times New Roman" w:cs="Times New Roman"/>
          <w:b/>
          <w:bCs/>
          <w:sz w:val="22"/>
          <w:szCs w:val="22"/>
          <w:lang w:val="sr-Cyrl-RS"/>
        </w:rPr>
      </w:pPr>
      <w:r w:rsidRPr="00EF2F18">
        <w:rPr>
          <w:noProof/>
          <w:lang w:val="sr-Cyrl-RS" w:eastAsia="sr-Cyrl-RS"/>
        </w:rPr>
        <w:lastRenderedPageBreak/>
        <w:drawing>
          <wp:inline distT="0" distB="0" distL="0" distR="0" wp14:anchorId="3D8D6465" wp14:editId="2584ED99">
            <wp:extent cx="4457700" cy="2837982"/>
            <wp:effectExtent l="0" t="0" r="0" b="635"/>
            <wp:docPr id="1014914279" name="Picture 25"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14279" name="Picture 25" descr="A graph with different colored lines&#10;&#10;AI-generated content may b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58847" cy="2838712"/>
                    </a:xfrm>
                    <a:prstGeom prst="rect">
                      <a:avLst/>
                    </a:prstGeom>
                    <a:noFill/>
                    <a:ln>
                      <a:noFill/>
                    </a:ln>
                  </pic:spPr>
                </pic:pic>
              </a:graphicData>
            </a:graphic>
          </wp:inline>
        </w:drawing>
      </w:r>
    </w:p>
    <w:p w14:paraId="2632A35C" w14:textId="1418332D" w:rsidR="00481BCE" w:rsidRPr="00EF2F18" w:rsidRDefault="00481BCE" w:rsidP="00481BCE">
      <w:pPr>
        <w:pStyle w:val="Default"/>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Слика 3.</w:t>
      </w:r>
      <w:r w:rsidR="00647E28" w:rsidRPr="00EF2F18">
        <w:rPr>
          <w:rFonts w:ascii="Times New Roman" w:hAnsi="Times New Roman" w:cs="Times New Roman"/>
          <w:b/>
          <w:bCs/>
          <w:sz w:val="22"/>
          <w:szCs w:val="22"/>
          <w:lang w:val="sr-Cyrl-RS"/>
        </w:rPr>
        <w:t>4</w:t>
      </w:r>
      <w:r w:rsidR="00FA4A67" w:rsidRPr="00EF2F18">
        <w:rPr>
          <w:rFonts w:ascii="Times New Roman" w:hAnsi="Times New Roman" w:cs="Times New Roman"/>
          <w:b/>
          <w:bCs/>
          <w:sz w:val="22"/>
          <w:szCs w:val="22"/>
          <w:lang w:val="sr-Cyrl-RS"/>
        </w:rPr>
        <w:t>2</w:t>
      </w:r>
      <w:r w:rsidRPr="00EF2F18">
        <w:rPr>
          <w:rFonts w:ascii="Times New Roman" w:hAnsi="Times New Roman" w:cs="Times New Roman"/>
          <w:b/>
          <w:bCs/>
          <w:sz w:val="22"/>
          <w:szCs w:val="22"/>
          <w:lang w:val="sr-Cyrl-RS"/>
        </w:rPr>
        <w:t>.</w:t>
      </w:r>
      <w:r w:rsidRPr="00EF2F18">
        <w:rPr>
          <w:rFonts w:ascii="Times New Roman" w:hAnsi="Times New Roman" w:cs="Times New Roman"/>
          <w:sz w:val="22"/>
          <w:szCs w:val="22"/>
          <w:lang w:val="sr-Cyrl-RS"/>
        </w:rPr>
        <w:t xml:space="preserve"> Највећи донатори за секторе „Заштита животне средине” и „Водоснабдевање и санација отпада”</w:t>
      </w:r>
    </w:p>
    <w:p w14:paraId="0A675111" w14:textId="1AAB93C5" w:rsidR="003A3A78" w:rsidRPr="00EF2F18" w:rsidRDefault="008F0F07" w:rsidP="0057659D">
      <w:pPr>
        <w:pStyle w:val="Default"/>
        <w:jc w:val="both"/>
        <w:rPr>
          <w:rFonts w:ascii="Times New Roman" w:hAnsi="Times New Roman" w:cs="Times New Roman"/>
          <w:sz w:val="22"/>
          <w:szCs w:val="22"/>
          <w:lang w:val="sr-Cyrl-RS"/>
        </w:rPr>
      </w:pPr>
      <w:r>
        <w:rPr>
          <w:rFonts w:ascii="Times New Roman" w:hAnsi="Times New Roman" w:cs="Times New Roman"/>
          <w:i/>
          <w:iCs/>
          <w:sz w:val="20"/>
          <w:szCs w:val="20"/>
          <w:lang w:val="sr-Cyrl-RS"/>
        </w:rPr>
        <w:t>Извор: Агенција за заштиту жово</w:t>
      </w:r>
      <w:r w:rsidR="00E554F1" w:rsidRPr="00EF2F18">
        <w:rPr>
          <w:rFonts w:ascii="Times New Roman" w:hAnsi="Times New Roman" w:cs="Times New Roman"/>
          <w:i/>
          <w:iCs/>
          <w:sz w:val="20"/>
          <w:szCs w:val="20"/>
          <w:lang w:val="sr-Cyrl-RS"/>
        </w:rPr>
        <w:t>тне средине</w:t>
      </w:r>
      <w:r w:rsidR="00E472A9" w:rsidRPr="00EF2F18">
        <w:rPr>
          <w:rFonts w:ascii="Times New Roman" w:hAnsi="Times New Roman" w:cs="Times New Roman"/>
          <w:i/>
          <w:iCs/>
          <w:sz w:val="20"/>
          <w:szCs w:val="20"/>
          <w:lang w:val="sr-Cyrl-RS"/>
        </w:rPr>
        <w:t>,</w:t>
      </w:r>
      <w:r w:rsidR="00E554F1" w:rsidRPr="00EF2F18">
        <w:rPr>
          <w:rFonts w:ascii="Times New Roman" w:hAnsi="Times New Roman" w:cs="Times New Roman"/>
          <w:i/>
          <w:iCs/>
          <w:sz w:val="20"/>
          <w:szCs w:val="20"/>
          <w:lang w:val="sr-Cyrl-RS"/>
        </w:rPr>
        <w:t xml:space="preserve"> </w:t>
      </w:r>
      <w:r w:rsidR="00E472A9" w:rsidRPr="00EF2F18">
        <w:rPr>
          <w:rFonts w:ascii="Times New Roman" w:hAnsi="Times New Roman" w:cs="Times New Roman"/>
          <w:i/>
          <w:iCs/>
          <w:sz w:val="20"/>
          <w:szCs w:val="20"/>
          <w:lang w:val="sr-Cyrl-RS"/>
        </w:rPr>
        <w:t>202</w:t>
      </w:r>
      <w:r w:rsidR="00DA5686" w:rsidRPr="00EF2F18">
        <w:rPr>
          <w:rFonts w:ascii="Times New Roman" w:hAnsi="Times New Roman" w:cs="Times New Roman"/>
          <w:i/>
          <w:iCs/>
          <w:sz w:val="20"/>
          <w:szCs w:val="20"/>
          <w:lang w:val="sr-Cyrl-RS"/>
        </w:rPr>
        <w:t>4</w:t>
      </w:r>
      <w:r w:rsidR="00E554F1" w:rsidRPr="00EF2F18">
        <w:rPr>
          <w:rFonts w:ascii="Times New Roman" w:hAnsi="Times New Roman" w:cs="Times New Roman"/>
          <w:sz w:val="20"/>
          <w:szCs w:val="20"/>
          <w:lang w:val="sr-Cyrl-RS"/>
        </w:rPr>
        <w:t>.</w:t>
      </w:r>
    </w:p>
    <w:p w14:paraId="24F4D7C0" w14:textId="77777777" w:rsidR="003A3A78" w:rsidRPr="00EF2F18" w:rsidRDefault="003A3A78" w:rsidP="002A6208">
      <w:pPr>
        <w:pStyle w:val="Default"/>
        <w:jc w:val="both"/>
        <w:rPr>
          <w:rFonts w:ascii="Times New Roman" w:hAnsi="Times New Roman" w:cs="Times New Roman"/>
          <w:color w:val="auto"/>
          <w:sz w:val="22"/>
          <w:szCs w:val="22"/>
          <w:lang w:val="sr-Cyrl-RS"/>
        </w:rPr>
      </w:pPr>
    </w:p>
    <w:p w14:paraId="7C4E7E57" w14:textId="26154FDC" w:rsidR="003A3A78" w:rsidRPr="00EF2F18" w:rsidRDefault="003A3A78" w:rsidP="00F34D8C">
      <w:pPr>
        <w:pStyle w:val="Heading3"/>
        <w:numPr>
          <w:ilvl w:val="2"/>
          <w:numId w:val="2"/>
        </w:numPr>
        <w:jc w:val="center"/>
        <w:rPr>
          <w:sz w:val="22"/>
          <w:szCs w:val="22"/>
          <w:lang w:val="sr-Cyrl-RS"/>
        </w:rPr>
      </w:pPr>
      <w:bookmarkStart w:id="80" w:name="_Toc158307720"/>
      <w:r w:rsidRPr="00EF2F18">
        <w:rPr>
          <w:sz w:val="22"/>
          <w:szCs w:val="22"/>
          <w:lang w:val="sr-Cyrl-RS"/>
        </w:rPr>
        <w:t>Финансирање Зелене агенде</w:t>
      </w:r>
      <w:bookmarkEnd w:id="80"/>
    </w:p>
    <w:p w14:paraId="08F05F33" w14:textId="59A2F51C" w:rsidR="00231BAB" w:rsidRPr="00EF2F18" w:rsidRDefault="000F5DAD" w:rsidP="00231BAB">
      <w:pPr>
        <w:pStyle w:val="Default"/>
        <w:jc w:val="both"/>
        <w:rPr>
          <w:rFonts w:ascii="Times New Roman" w:hAnsi="Times New Roman" w:cs="Times New Roman"/>
          <w:sz w:val="22"/>
          <w:szCs w:val="22"/>
          <w:lang w:val="sr-Cyrl-RS"/>
        </w:rPr>
      </w:pPr>
      <w:r w:rsidRPr="00EF2F18">
        <w:rPr>
          <w:rFonts w:cs="Times New Roman"/>
          <w:sz w:val="20"/>
          <w:szCs w:val="20"/>
          <w:lang w:val="sr-Cyrl-RS"/>
        </w:rPr>
        <w:tab/>
      </w:r>
      <w:r w:rsidR="00C071E5" w:rsidRPr="00EF2F18">
        <w:rPr>
          <w:rFonts w:ascii="Times New Roman" w:hAnsi="Times New Roman" w:cs="Times New Roman"/>
          <w:sz w:val="22"/>
          <w:szCs w:val="22"/>
          <w:lang w:val="sr-Cyrl-RS"/>
        </w:rPr>
        <w:t xml:space="preserve">У наредним табелама је приказан, на основу </w:t>
      </w:r>
      <w:r w:rsidR="00051065" w:rsidRPr="00EF2F18">
        <w:rPr>
          <w:rFonts w:ascii="Times New Roman" w:hAnsi="Times New Roman" w:cs="Times New Roman"/>
          <w:sz w:val="22"/>
          <w:szCs w:val="22"/>
          <w:lang w:val="sr-Cyrl-RS"/>
        </w:rPr>
        <w:t xml:space="preserve">расположивих података </w:t>
      </w:r>
      <w:r w:rsidR="005B1DF2" w:rsidRPr="00EF2F18">
        <w:rPr>
          <w:rFonts w:ascii="Times New Roman" w:hAnsi="Times New Roman" w:cs="Times New Roman"/>
          <w:sz w:val="22"/>
          <w:szCs w:val="22"/>
          <w:lang w:val="sr-Cyrl-RS"/>
        </w:rPr>
        <w:t>Министарства финансија</w:t>
      </w:r>
      <w:r w:rsidR="00C071E5" w:rsidRPr="00EF2F18">
        <w:rPr>
          <w:rFonts w:ascii="Times New Roman" w:hAnsi="Times New Roman" w:cs="Times New Roman"/>
          <w:sz w:val="22"/>
          <w:szCs w:val="22"/>
          <w:lang w:val="sr-Cyrl-RS"/>
        </w:rPr>
        <w:t>, преглед</w:t>
      </w:r>
      <w:r w:rsidR="005E42D2" w:rsidRPr="00EF2F18">
        <w:rPr>
          <w:rFonts w:ascii="Times New Roman" w:hAnsi="Times New Roman" w:cs="Times New Roman"/>
          <w:sz w:val="22"/>
          <w:szCs w:val="22"/>
          <w:lang w:val="sr-Cyrl-RS"/>
        </w:rPr>
        <w:t xml:space="preserve"> </w:t>
      </w:r>
      <w:r w:rsidR="00C071E5" w:rsidRPr="00EF2F18">
        <w:rPr>
          <w:rFonts w:ascii="Times New Roman" w:hAnsi="Times New Roman" w:cs="Times New Roman"/>
          <w:sz w:val="22"/>
          <w:szCs w:val="22"/>
          <w:lang w:val="sr-Cyrl-RS"/>
        </w:rPr>
        <w:t xml:space="preserve">укупних </w:t>
      </w:r>
      <w:r w:rsidR="003A3A78" w:rsidRPr="00EF2F18">
        <w:rPr>
          <w:rFonts w:ascii="Times New Roman" w:hAnsi="Times New Roman" w:cs="Times New Roman"/>
          <w:sz w:val="22"/>
          <w:szCs w:val="22"/>
          <w:lang w:val="sr-Cyrl-RS"/>
        </w:rPr>
        <w:t xml:space="preserve">инвестиција и издатака </w:t>
      </w:r>
      <w:r w:rsidR="00C071E5" w:rsidRPr="00EF2F18">
        <w:rPr>
          <w:rFonts w:ascii="Times New Roman" w:hAnsi="Times New Roman" w:cs="Times New Roman"/>
          <w:sz w:val="22"/>
          <w:szCs w:val="22"/>
          <w:lang w:val="sr-Cyrl-RS"/>
        </w:rPr>
        <w:t xml:space="preserve">по стубовима Зелене агенде у 2020, 2021. и 2022. </w:t>
      </w:r>
      <w:r w:rsidR="00231BAB" w:rsidRPr="00EF2F18">
        <w:rPr>
          <w:rFonts w:ascii="Times New Roman" w:hAnsi="Times New Roman" w:cs="Times New Roman"/>
          <w:sz w:val="22"/>
          <w:szCs w:val="22"/>
          <w:lang w:val="sr-Cyrl-RS"/>
        </w:rPr>
        <w:t>години.</w:t>
      </w:r>
    </w:p>
    <w:p w14:paraId="6D475F8C" w14:textId="77777777" w:rsidR="00C071E5" w:rsidRPr="00EF2F18" w:rsidRDefault="00C071E5" w:rsidP="00C071E5">
      <w:pPr>
        <w:pStyle w:val="Default"/>
        <w:ind w:firstLine="720"/>
        <w:jc w:val="both"/>
        <w:rPr>
          <w:rFonts w:ascii="Times New Roman" w:hAnsi="Times New Roman" w:cs="Times New Roman"/>
          <w:sz w:val="22"/>
          <w:szCs w:val="22"/>
          <w:lang w:val="sr-Cyrl-RS"/>
        </w:rPr>
      </w:pPr>
    </w:p>
    <w:p w14:paraId="5E6EEEB5" w14:textId="37C9DB84" w:rsidR="00C071E5" w:rsidRPr="00EF2F18" w:rsidRDefault="00C071E5" w:rsidP="00C071E5">
      <w:pPr>
        <w:spacing w:after="0"/>
        <w:jc w:val="both"/>
        <w:rPr>
          <w:rFonts w:cs="Times New Roman"/>
          <w:sz w:val="22"/>
          <w:lang w:val="sr-Cyrl-RS"/>
        </w:rPr>
      </w:pPr>
      <w:r w:rsidRPr="00EF2F18">
        <w:rPr>
          <w:rFonts w:cs="Times New Roman"/>
          <w:b/>
          <w:bCs/>
          <w:sz w:val="22"/>
          <w:lang w:val="sr-Cyrl-RS"/>
        </w:rPr>
        <w:t xml:space="preserve">Табела </w:t>
      </w:r>
      <w:r w:rsidR="00C0735C" w:rsidRPr="00EF2F18">
        <w:rPr>
          <w:rFonts w:cs="Times New Roman"/>
          <w:b/>
          <w:bCs/>
          <w:sz w:val="22"/>
          <w:lang w:val="sr-Cyrl-RS"/>
        </w:rPr>
        <w:t>3</w:t>
      </w:r>
      <w:r w:rsidRPr="00EF2F18">
        <w:rPr>
          <w:rFonts w:cs="Times New Roman"/>
          <w:b/>
          <w:bCs/>
          <w:sz w:val="22"/>
          <w:lang w:val="sr-Cyrl-RS"/>
        </w:rPr>
        <w:t>.</w:t>
      </w:r>
      <w:r w:rsidR="006C1A98" w:rsidRPr="00EF2F18">
        <w:rPr>
          <w:rFonts w:cs="Times New Roman"/>
          <w:b/>
          <w:bCs/>
          <w:sz w:val="22"/>
          <w:lang w:val="sr-Cyrl-RS"/>
        </w:rPr>
        <w:t>7</w:t>
      </w:r>
      <w:r w:rsidRPr="00EF2F18">
        <w:rPr>
          <w:rFonts w:cs="Times New Roman"/>
          <w:b/>
          <w:bCs/>
          <w:sz w:val="22"/>
          <w:lang w:val="sr-Cyrl-RS"/>
        </w:rPr>
        <w:t xml:space="preserve">. </w:t>
      </w:r>
      <w:r w:rsidRPr="00EF2F18">
        <w:rPr>
          <w:rFonts w:cs="Times New Roman"/>
          <w:sz w:val="22"/>
          <w:lang w:val="sr-Cyrl-RS"/>
        </w:rPr>
        <w:t>Укупне инвестиције у оквиру пет стубова Зелене агенде (</w:t>
      </w:r>
      <w:r w:rsidR="00590EF5" w:rsidRPr="00EF2F18">
        <w:rPr>
          <w:rFonts w:cs="Times New Roman"/>
          <w:sz w:val="22"/>
          <w:lang w:val="sr-Cyrl-RS"/>
        </w:rPr>
        <w:t>ЕУР</w:t>
      </w:r>
      <w:r w:rsidRPr="00EF2F18">
        <w:rPr>
          <w:rFonts w:cs="Times New Roman"/>
          <w:sz w:val="22"/>
          <w:lang w:val="sr-Cyrl-RS"/>
        </w:rPr>
        <w:t>, 2020-2022.)</w:t>
      </w:r>
    </w:p>
    <w:tbl>
      <w:tblPr>
        <w:tblStyle w:val="TableGrid2"/>
        <w:tblW w:w="9046" w:type="dxa"/>
        <w:tblLook w:val="0600" w:firstRow="0" w:lastRow="0" w:firstColumn="0" w:lastColumn="0" w:noHBand="1" w:noVBand="1"/>
      </w:tblPr>
      <w:tblGrid>
        <w:gridCol w:w="2489"/>
        <w:gridCol w:w="1154"/>
        <w:gridCol w:w="1248"/>
        <w:gridCol w:w="1249"/>
        <w:gridCol w:w="968"/>
        <w:gridCol w:w="968"/>
        <w:gridCol w:w="970"/>
      </w:tblGrid>
      <w:tr w:rsidR="00C071E5" w:rsidRPr="00EF2F18" w14:paraId="0846522A" w14:textId="77777777" w:rsidTr="00C071E5">
        <w:trPr>
          <w:trHeight w:val="229"/>
        </w:trPr>
        <w:tc>
          <w:tcPr>
            <w:tcW w:w="2489" w:type="dxa"/>
            <w:vMerge w:val="restart"/>
            <w:shd w:val="clear" w:color="auto" w:fill="FFFFCC"/>
            <w:vAlign w:val="center"/>
            <w:hideMark/>
          </w:tcPr>
          <w:p w14:paraId="60C88A6A" w14:textId="4D81C303"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Стубови Зелене агенде</w:t>
            </w:r>
          </w:p>
        </w:tc>
        <w:tc>
          <w:tcPr>
            <w:tcW w:w="3651" w:type="dxa"/>
            <w:gridSpan w:val="3"/>
            <w:shd w:val="clear" w:color="auto" w:fill="FFFFCC"/>
            <w:vAlign w:val="center"/>
            <w:hideMark/>
          </w:tcPr>
          <w:p w14:paraId="0872FD98" w14:textId="2B1394DF" w:rsidR="00C071E5" w:rsidRPr="00EF2F18" w:rsidRDefault="00590EF5" w:rsidP="006F12D4">
            <w:pPr>
              <w:pStyle w:val="Default"/>
              <w:jc w:val="center"/>
              <w:rPr>
                <w:rFonts w:ascii="Times New Roman" w:hAnsi="Times New Roman" w:cs="Times New Roman"/>
                <w:b/>
                <w:bCs/>
                <w:sz w:val="20"/>
                <w:szCs w:val="20"/>
                <w:lang w:val="sr-Cyrl-RS"/>
              </w:rPr>
            </w:pPr>
            <w:r w:rsidRPr="00EF2F18">
              <w:rPr>
                <w:rFonts w:ascii="Times New Roman" w:hAnsi="Times New Roman" w:cs="Times New Roman"/>
                <w:b/>
                <w:bCs/>
                <w:sz w:val="20"/>
                <w:szCs w:val="20"/>
                <w:lang w:val="sr-Cyrl-RS"/>
              </w:rPr>
              <w:t>У ЕУР</w:t>
            </w:r>
          </w:p>
        </w:tc>
        <w:tc>
          <w:tcPr>
            <w:tcW w:w="2906" w:type="dxa"/>
            <w:gridSpan w:val="3"/>
            <w:shd w:val="clear" w:color="auto" w:fill="FFFFCC"/>
            <w:vAlign w:val="center"/>
            <w:hideMark/>
          </w:tcPr>
          <w:p w14:paraId="3E777813" w14:textId="3A0EA64F" w:rsidR="00C071E5" w:rsidRPr="00EF2F18" w:rsidRDefault="00484EAA"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Учешће у укупним ин</w:t>
            </w:r>
            <w:r w:rsidR="00BE10CA" w:rsidRPr="00EF2F18">
              <w:rPr>
                <w:rFonts w:ascii="Times New Roman" w:hAnsi="Times New Roman" w:cs="Times New Roman"/>
                <w:b/>
                <w:bCs/>
                <w:sz w:val="20"/>
                <w:szCs w:val="20"/>
                <w:lang w:val="sr-Cyrl-RS"/>
              </w:rPr>
              <w:t>в</w:t>
            </w:r>
            <w:r w:rsidRPr="00EF2F18">
              <w:rPr>
                <w:rFonts w:ascii="Times New Roman" w:hAnsi="Times New Roman" w:cs="Times New Roman"/>
                <w:b/>
                <w:bCs/>
                <w:sz w:val="20"/>
                <w:szCs w:val="20"/>
                <w:lang w:val="sr-Cyrl-RS"/>
              </w:rPr>
              <w:t>естицијама (</w:t>
            </w:r>
            <w:r w:rsidR="00C071E5" w:rsidRPr="00EF2F18">
              <w:rPr>
                <w:rFonts w:ascii="Times New Roman" w:hAnsi="Times New Roman" w:cs="Times New Roman"/>
                <w:b/>
                <w:bCs/>
                <w:sz w:val="20"/>
                <w:szCs w:val="20"/>
                <w:lang w:val="sr-Cyrl-RS"/>
              </w:rPr>
              <w:t>%</w:t>
            </w:r>
            <w:r w:rsidRPr="00EF2F18">
              <w:rPr>
                <w:rFonts w:ascii="Times New Roman" w:hAnsi="Times New Roman" w:cs="Times New Roman"/>
                <w:b/>
                <w:bCs/>
                <w:sz w:val="20"/>
                <w:szCs w:val="20"/>
                <w:lang w:val="sr-Cyrl-RS"/>
              </w:rPr>
              <w:t>)</w:t>
            </w:r>
          </w:p>
        </w:tc>
      </w:tr>
      <w:tr w:rsidR="00C071E5" w:rsidRPr="00EF2F18" w14:paraId="5B4AF3FA" w14:textId="77777777" w:rsidTr="00C071E5">
        <w:trPr>
          <w:trHeight w:val="277"/>
        </w:trPr>
        <w:tc>
          <w:tcPr>
            <w:tcW w:w="2489" w:type="dxa"/>
            <w:vMerge/>
            <w:shd w:val="clear" w:color="auto" w:fill="FFFFCC"/>
            <w:vAlign w:val="center"/>
            <w:hideMark/>
          </w:tcPr>
          <w:p w14:paraId="0CCABFE5" w14:textId="77777777" w:rsidR="00C071E5" w:rsidRPr="00EF2F18" w:rsidRDefault="00C071E5" w:rsidP="006F12D4">
            <w:pPr>
              <w:pStyle w:val="Default"/>
              <w:jc w:val="center"/>
              <w:rPr>
                <w:rFonts w:ascii="Times New Roman" w:hAnsi="Times New Roman" w:cs="Times New Roman"/>
                <w:sz w:val="20"/>
                <w:szCs w:val="20"/>
                <w:lang w:val="sr-Cyrl-RS"/>
              </w:rPr>
            </w:pPr>
          </w:p>
        </w:tc>
        <w:tc>
          <w:tcPr>
            <w:tcW w:w="1154" w:type="dxa"/>
            <w:shd w:val="clear" w:color="auto" w:fill="FFFFCC"/>
            <w:vAlign w:val="center"/>
            <w:hideMark/>
          </w:tcPr>
          <w:p w14:paraId="5930753A" w14:textId="292CEDEE"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2020.</w:t>
            </w:r>
          </w:p>
        </w:tc>
        <w:tc>
          <w:tcPr>
            <w:tcW w:w="1248" w:type="dxa"/>
            <w:shd w:val="clear" w:color="auto" w:fill="FFFFCC"/>
            <w:vAlign w:val="center"/>
            <w:hideMark/>
          </w:tcPr>
          <w:p w14:paraId="330E2563" w14:textId="3BB08074"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2021.</w:t>
            </w:r>
          </w:p>
        </w:tc>
        <w:tc>
          <w:tcPr>
            <w:tcW w:w="1249" w:type="dxa"/>
            <w:shd w:val="clear" w:color="auto" w:fill="FFFFCC"/>
            <w:vAlign w:val="center"/>
            <w:hideMark/>
          </w:tcPr>
          <w:p w14:paraId="40BD0F59" w14:textId="7D3CB66E"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2022.</w:t>
            </w:r>
          </w:p>
        </w:tc>
        <w:tc>
          <w:tcPr>
            <w:tcW w:w="968" w:type="dxa"/>
            <w:shd w:val="clear" w:color="auto" w:fill="FFFFCC"/>
            <w:vAlign w:val="center"/>
            <w:hideMark/>
          </w:tcPr>
          <w:p w14:paraId="30028EA4" w14:textId="1D2FA76E"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2020.</w:t>
            </w:r>
          </w:p>
        </w:tc>
        <w:tc>
          <w:tcPr>
            <w:tcW w:w="968" w:type="dxa"/>
            <w:shd w:val="clear" w:color="auto" w:fill="FFFFCC"/>
            <w:vAlign w:val="center"/>
            <w:hideMark/>
          </w:tcPr>
          <w:p w14:paraId="6D270417" w14:textId="4836D80A"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2021.</w:t>
            </w:r>
          </w:p>
        </w:tc>
        <w:tc>
          <w:tcPr>
            <w:tcW w:w="970" w:type="dxa"/>
            <w:shd w:val="clear" w:color="auto" w:fill="FFFFCC"/>
            <w:vAlign w:val="center"/>
            <w:hideMark/>
          </w:tcPr>
          <w:p w14:paraId="0CD4D062" w14:textId="7B0AD07F"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2022.</w:t>
            </w:r>
          </w:p>
        </w:tc>
      </w:tr>
      <w:tr w:rsidR="006557A1" w:rsidRPr="00EF2F18" w14:paraId="04221D83" w14:textId="77777777" w:rsidTr="006F12D4">
        <w:trPr>
          <w:trHeight w:val="460"/>
        </w:trPr>
        <w:tc>
          <w:tcPr>
            <w:tcW w:w="2489" w:type="dxa"/>
            <w:vAlign w:val="center"/>
            <w:hideMark/>
          </w:tcPr>
          <w:p w14:paraId="657E9662" w14:textId="12A17337"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1 – Декарбонизација и климатске промене</w:t>
            </w:r>
          </w:p>
        </w:tc>
        <w:tc>
          <w:tcPr>
            <w:tcW w:w="1154" w:type="dxa"/>
            <w:vAlign w:val="center"/>
            <w:hideMark/>
          </w:tcPr>
          <w:p w14:paraId="445C2244" w14:textId="527CBB55"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3.566.902</w:t>
            </w:r>
          </w:p>
        </w:tc>
        <w:tc>
          <w:tcPr>
            <w:tcW w:w="1248" w:type="dxa"/>
            <w:vAlign w:val="center"/>
            <w:hideMark/>
          </w:tcPr>
          <w:p w14:paraId="1D9B5D6D" w14:textId="22A3C841"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13.064.519</w:t>
            </w:r>
          </w:p>
        </w:tc>
        <w:tc>
          <w:tcPr>
            <w:tcW w:w="1249" w:type="dxa"/>
            <w:vAlign w:val="center"/>
            <w:hideMark/>
          </w:tcPr>
          <w:p w14:paraId="6C5BE674" w14:textId="1E7C3F2A"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12.791.447</w:t>
            </w:r>
          </w:p>
        </w:tc>
        <w:tc>
          <w:tcPr>
            <w:tcW w:w="968" w:type="dxa"/>
            <w:vAlign w:val="center"/>
            <w:hideMark/>
          </w:tcPr>
          <w:p w14:paraId="1CA4D166" w14:textId="369BCE94"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23</w:t>
            </w:r>
          </w:p>
        </w:tc>
        <w:tc>
          <w:tcPr>
            <w:tcW w:w="968" w:type="dxa"/>
            <w:vAlign w:val="center"/>
            <w:hideMark/>
          </w:tcPr>
          <w:p w14:paraId="7A020733" w14:textId="0DE905E0"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9</w:t>
            </w:r>
          </w:p>
        </w:tc>
        <w:tc>
          <w:tcPr>
            <w:tcW w:w="970" w:type="dxa"/>
            <w:vAlign w:val="center"/>
            <w:hideMark/>
          </w:tcPr>
          <w:p w14:paraId="3ADB24DE" w14:textId="0D3A27E0"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7</w:t>
            </w:r>
          </w:p>
        </w:tc>
      </w:tr>
      <w:tr w:rsidR="006557A1" w:rsidRPr="00EF2F18" w14:paraId="704BF5D8" w14:textId="77777777" w:rsidTr="00BA101C">
        <w:trPr>
          <w:trHeight w:val="386"/>
        </w:trPr>
        <w:tc>
          <w:tcPr>
            <w:tcW w:w="2489" w:type="dxa"/>
            <w:vAlign w:val="center"/>
            <w:hideMark/>
          </w:tcPr>
          <w:p w14:paraId="2BD2DB4B" w14:textId="77777777"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2 - Циркуларна економија</w:t>
            </w:r>
          </w:p>
        </w:tc>
        <w:tc>
          <w:tcPr>
            <w:tcW w:w="1154" w:type="dxa"/>
            <w:vAlign w:val="center"/>
            <w:hideMark/>
          </w:tcPr>
          <w:p w14:paraId="5333A8A2" w14:textId="4D63F103"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510.638</w:t>
            </w:r>
          </w:p>
        </w:tc>
        <w:tc>
          <w:tcPr>
            <w:tcW w:w="1248" w:type="dxa"/>
            <w:vAlign w:val="center"/>
            <w:hideMark/>
          </w:tcPr>
          <w:p w14:paraId="7FD92743" w14:textId="45C05977"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3.974.468</w:t>
            </w:r>
          </w:p>
        </w:tc>
        <w:tc>
          <w:tcPr>
            <w:tcW w:w="1249" w:type="dxa"/>
            <w:vAlign w:val="center"/>
            <w:hideMark/>
          </w:tcPr>
          <w:p w14:paraId="48C4426E" w14:textId="31CFC25B"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4.255.319</w:t>
            </w:r>
          </w:p>
        </w:tc>
        <w:tc>
          <w:tcPr>
            <w:tcW w:w="968" w:type="dxa"/>
            <w:vAlign w:val="center"/>
            <w:hideMark/>
          </w:tcPr>
          <w:p w14:paraId="2C355100" w14:textId="0FD807BC"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3</w:t>
            </w:r>
          </w:p>
        </w:tc>
        <w:tc>
          <w:tcPr>
            <w:tcW w:w="968" w:type="dxa"/>
            <w:vAlign w:val="center"/>
            <w:hideMark/>
          </w:tcPr>
          <w:p w14:paraId="14713B14" w14:textId="01ED850F"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3</w:t>
            </w:r>
          </w:p>
        </w:tc>
        <w:tc>
          <w:tcPr>
            <w:tcW w:w="970" w:type="dxa"/>
            <w:vAlign w:val="center"/>
            <w:hideMark/>
          </w:tcPr>
          <w:p w14:paraId="56F42C15" w14:textId="3C53CF2D"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2</w:t>
            </w:r>
          </w:p>
        </w:tc>
      </w:tr>
      <w:tr w:rsidR="006557A1" w:rsidRPr="00EF2F18" w14:paraId="76969835" w14:textId="77777777" w:rsidTr="00BA101C">
        <w:trPr>
          <w:trHeight w:val="350"/>
        </w:trPr>
        <w:tc>
          <w:tcPr>
            <w:tcW w:w="2489" w:type="dxa"/>
            <w:vAlign w:val="center"/>
            <w:hideMark/>
          </w:tcPr>
          <w:p w14:paraId="2D2365F7" w14:textId="77777777"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3 - Смањење загађења</w:t>
            </w:r>
          </w:p>
        </w:tc>
        <w:tc>
          <w:tcPr>
            <w:tcW w:w="1154" w:type="dxa"/>
            <w:vAlign w:val="center"/>
            <w:hideMark/>
          </w:tcPr>
          <w:p w14:paraId="420B905E" w14:textId="78DBAABB"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3.012.766</w:t>
            </w:r>
          </w:p>
        </w:tc>
        <w:tc>
          <w:tcPr>
            <w:tcW w:w="1248" w:type="dxa"/>
            <w:vAlign w:val="center"/>
            <w:hideMark/>
          </w:tcPr>
          <w:p w14:paraId="50AE459B" w14:textId="73D55B1E"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104.964.264</w:t>
            </w:r>
          </w:p>
        </w:tc>
        <w:tc>
          <w:tcPr>
            <w:tcW w:w="1249" w:type="dxa"/>
            <w:vAlign w:val="center"/>
            <w:hideMark/>
          </w:tcPr>
          <w:p w14:paraId="48B134E2" w14:textId="64BCEFFB"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119.744.681</w:t>
            </w:r>
          </w:p>
        </w:tc>
        <w:tc>
          <w:tcPr>
            <w:tcW w:w="968" w:type="dxa"/>
            <w:vAlign w:val="center"/>
            <w:hideMark/>
          </w:tcPr>
          <w:p w14:paraId="51469951" w14:textId="77533C12"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19</w:t>
            </w:r>
          </w:p>
        </w:tc>
        <w:tc>
          <w:tcPr>
            <w:tcW w:w="968" w:type="dxa"/>
            <w:vAlign w:val="center"/>
            <w:hideMark/>
          </w:tcPr>
          <w:p w14:paraId="1C74A2C0" w14:textId="22AC455F"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71</w:t>
            </w:r>
          </w:p>
        </w:tc>
        <w:tc>
          <w:tcPr>
            <w:tcW w:w="970" w:type="dxa"/>
            <w:vAlign w:val="center"/>
            <w:hideMark/>
          </w:tcPr>
          <w:p w14:paraId="41946FEC" w14:textId="44BA7D01"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66</w:t>
            </w:r>
          </w:p>
        </w:tc>
      </w:tr>
      <w:tr w:rsidR="006557A1" w:rsidRPr="00EF2F18" w14:paraId="03FAC1A5" w14:textId="77777777" w:rsidTr="00BA101C">
        <w:trPr>
          <w:trHeight w:val="341"/>
        </w:trPr>
        <w:tc>
          <w:tcPr>
            <w:tcW w:w="2489" w:type="dxa"/>
            <w:vAlign w:val="center"/>
            <w:hideMark/>
          </w:tcPr>
          <w:p w14:paraId="23471ED6" w14:textId="42902714"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4 - Биодиверзитет</w:t>
            </w:r>
          </w:p>
        </w:tc>
        <w:tc>
          <w:tcPr>
            <w:tcW w:w="1154" w:type="dxa"/>
            <w:vAlign w:val="center"/>
            <w:hideMark/>
          </w:tcPr>
          <w:p w14:paraId="7A76BB40" w14:textId="2C542CFC"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4.652.409</w:t>
            </w:r>
          </w:p>
        </w:tc>
        <w:tc>
          <w:tcPr>
            <w:tcW w:w="1248" w:type="dxa"/>
            <w:vAlign w:val="center"/>
            <w:hideMark/>
          </w:tcPr>
          <w:p w14:paraId="37FA7957" w14:textId="44907175"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16.249.174</w:t>
            </w:r>
          </w:p>
        </w:tc>
        <w:tc>
          <w:tcPr>
            <w:tcW w:w="1249" w:type="dxa"/>
            <w:vAlign w:val="center"/>
            <w:hideMark/>
          </w:tcPr>
          <w:p w14:paraId="1F0DD872" w14:textId="412621E3"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15.128.272</w:t>
            </w:r>
          </w:p>
        </w:tc>
        <w:tc>
          <w:tcPr>
            <w:tcW w:w="968" w:type="dxa"/>
            <w:vAlign w:val="center"/>
            <w:hideMark/>
          </w:tcPr>
          <w:p w14:paraId="71355F15" w14:textId="1C35EFB4"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30</w:t>
            </w:r>
          </w:p>
        </w:tc>
        <w:tc>
          <w:tcPr>
            <w:tcW w:w="968" w:type="dxa"/>
            <w:vAlign w:val="center"/>
            <w:hideMark/>
          </w:tcPr>
          <w:p w14:paraId="278DA862" w14:textId="6D95A82E"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11</w:t>
            </w:r>
          </w:p>
        </w:tc>
        <w:tc>
          <w:tcPr>
            <w:tcW w:w="970" w:type="dxa"/>
            <w:vAlign w:val="center"/>
            <w:hideMark/>
          </w:tcPr>
          <w:p w14:paraId="008185E8" w14:textId="46948352"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8</w:t>
            </w:r>
          </w:p>
        </w:tc>
      </w:tr>
      <w:tr w:rsidR="006557A1" w:rsidRPr="00EF2F18" w14:paraId="53CA5214" w14:textId="77777777" w:rsidTr="006F12D4">
        <w:trPr>
          <w:trHeight w:val="460"/>
        </w:trPr>
        <w:tc>
          <w:tcPr>
            <w:tcW w:w="2489" w:type="dxa"/>
            <w:vAlign w:val="center"/>
            <w:hideMark/>
          </w:tcPr>
          <w:p w14:paraId="0A5A238A" w14:textId="0462C7B3"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5 - Одржива пољопривреда</w:t>
            </w:r>
          </w:p>
        </w:tc>
        <w:tc>
          <w:tcPr>
            <w:tcW w:w="1154" w:type="dxa"/>
            <w:vAlign w:val="center"/>
            <w:hideMark/>
          </w:tcPr>
          <w:p w14:paraId="3F122965" w14:textId="07FCF652"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3.948.238</w:t>
            </w:r>
          </w:p>
        </w:tc>
        <w:tc>
          <w:tcPr>
            <w:tcW w:w="1248" w:type="dxa"/>
            <w:vAlign w:val="center"/>
            <w:hideMark/>
          </w:tcPr>
          <w:p w14:paraId="36CACD60" w14:textId="37F46865"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8.607.660</w:t>
            </w:r>
          </w:p>
        </w:tc>
        <w:tc>
          <w:tcPr>
            <w:tcW w:w="1249" w:type="dxa"/>
            <w:vAlign w:val="center"/>
            <w:hideMark/>
          </w:tcPr>
          <w:p w14:paraId="1D35B2DF" w14:textId="14025FD7"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28.683.711</w:t>
            </w:r>
          </w:p>
        </w:tc>
        <w:tc>
          <w:tcPr>
            <w:tcW w:w="968" w:type="dxa"/>
            <w:vAlign w:val="center"/>
            <w:hideMark/>
          </w:tcPr>
          <w:p w14:paraId="301BC411" w14:textId="73744A69"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25</w:t>
            </w:r>
          </w:p>
        </w:tc>
        <w:tc>
          <w:tcPr>
            <w:tcW w:w="968" w:type="dxa"/>
            <w:vAlign w:val="center"/>
            <w:hideMark/>
          </w:tcPr>
          <w:p w14:paraId="343D9CB7" w14:textId="070A8B9C"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6</w:t>
            </w:r>
          </w:p>
        </w:tc>
        <w:tc>
          <w:tcPr>
            <w:tcW w:w="970" w:type="dxa"/>
            <w:vAlign w:val="center"/>
            <w:hideMark/>
          </w:tcPr>
          <w:p w14:paraId="3AB1D878" w14:textId="1D524C07"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16</w:t>
            </w:r>
          </w:p>
        </w:tc>
      </w:tr>
      <w:tr w:rsidR="006557A1" w:rsidRPr="00EF2F18" w14:paraId="5E82E0AA" w14:textId="77777777" w:rsidTr="006F12D4">
        <w:trPr>
          <w:trHeight w:val="460"/>
        </w:trPr>
        <w:tc>
          <w:tcPr>
            <w:tcW w:w="2489" w:type="dxa"/>
            <w:vAlign w:val="center"/>
            <w:hideMark/>
          </w:tcPr>
          <w:p w14:paraId="0320915B" w14:textId="77777777"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Укупно</w:t>
            </w:r>
          </w:p>
        </w:tc>
        <w:tc>
          <w:tcPr>
            <w:tcW w:w="1154" w:type="dxa"/>
            <w:vAlign w:val="center"/>
            <w:hideMark/>
          </w:tcPr>
          <w:p w14:paraId="1374F8BF" w14:textId="213D9D14"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15.690.953</w:t>
            </w:r>
          </w:p>
        </w:tc>
        <w:tc>
          <w:tcPr>
            <w:tcW w:w="1248" w:type="dxa"/>
            <w:vAlign w:val="center"/>
            <w:hideMark/>
          </w:tcPr>
          <w:p w14:paraId="09778312" w14:textId="7D4A5CED"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146.860.085</w:t>
            </w:r>
          </w:p>
        </w:tc>
        <w:tc>
          <w:tcPr>
            <w:tcW w:w="1249" w:type="dxa"/>
            <w:vAlign w:val="center"/>
            <w:hideMark/>
          </w:tcPr>
          <w:p w14:paraId="48EBFF30" w14:textId="16BE813F"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180.603.430</w:t>
            </w:r>
          </w:p>
        </w:tc>
        <w:tc>
          <w:tcPr>
            <w:tcW w:w="968" w:type="dxa"/>
            <w:vAlign w:val="center"/>
            <w:hideMark/>
          </w:tcPr>
          <w:p w14:paraId="20A9B060" w14:textId="00EAE18F"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100</w:t>
            </w:r>
          </w:p>
        </w:tc>
        <w:tc>
          <w:tcPr>
            <w:tcW w:w="968" w:type="dxa"/>
            <w:vAlign w:val="center"/>
            <w:hideMark/>
          </w:tcPr>
          <w:p w14:paraId="28E027D8" w14:textId="66A71ECD"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100</w:t>
            </w:r>
          </w:p>
        </w:tc>
        <w:tc>
          <w:tcPr>
            <w:tcW w:w="970" w:type="dxa"/>
            <w:vAlign w:val="center"/>
            <w:hideMark/>
          </w:tcPr>
          <w:p w14:paraId="3A65628F" w14:textId="25C54C8D" w:rsidR="006557A1" w:rsidRPr="00EF2F18" w:rsidRDefault="006557A1" w:rsidP="006557A1">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100</w:t>
            </w:r>
          </w:p>
        </w:tc>
      </w:tr>
      <w:tr w:rsidR="006557A1" w:rsidRPr="00EF2F18" w14:paraId="54AB7D3D" w14:textId="77777777" w:rsidTr="006F12D4">
        <w:trPr>
          <w:trHeight w:val="460"/>
        </w:trPr>
        <w:tc>
          <w:tcPr>
            <w:tcW w:w="2489" w:type="dxa"/>
            <w:vAlign w:val="center"/>
            <w:hideMark/>
          </w:tcPr>
          <w:p w14:paraId="5DF1B5FE" w14:textId="17858D8F" w:rsidR="006557A1" w:rsidRPr="00EF2F18" w:rsidRDefault="006557A1" w:rsidP="006557A1">
            <w:pPr>
              <w:pStyle w:val="Defaul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Удео у БДП-у (%)</w:t>
            </w:r>
          </w:p>
        </w:tc>
        <w:tc>
          <w:tcPr>
            <w:tcW w:w="1154" w:type="dxa"/>
            <w:vAlign w:val="center"/>
            <w:hideMark/>
          </w:tcPr>
          <w:p w14:paraId="1CDFC21E" w14:textId="05DCFEE2"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0,03</w:t>
            </w:r>
          </w:p>
        </w:tc>
        <w:tc>
          <w:tcPr>
            <w:tcW w:w="1248" w:type="dxa"/>
            <w:vAlign w:val="center"/>
            <w:hideMark/>
          </w:tcPr>
          <w:p w14:paraId="4F26C181" w14:textId="2A15A97F"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0,28</w:t>
            </w:r>
          </w:p>
        </w:tc>
        <w:tc>
          <w:tcPr>
            <w:tcW w:w="1249" w:type="dxa"/>
            <w:vAlign w:val="center"/>
            <w:hideMark/>
          </w:tcPr>
          <w:p w14:paraId="1CDA4C14" w14:textId="50781C0D" w:rsidR="006557A1" w:rsidRPr="00EF2F18" w:rsidRDefault="006557A1" w:rsidP="006557A1">
            <w:pPr>
              <w:pStyle w:val="Default"/>
              <w:jc w:val="righ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0,30</w:t>
            </w:r>
          </w:p>
        </w:tc>
        <w:tc>
          <w:tcPr>
            <w:tcW w:w="968" w:type="dxa"/>
            <w:vAlign w:val="center"/>
            <w:hideMark/>
          </w:tcPr>
          <w:p w14:paraId="7DA5696A" w14:textId="77777777" w:rsidR="006557A1" w:rsidRPr="00EF2F18" w:rsidRDefault="006557A1" w:rsidP="006557A1">
            <w:pPr>
              <w:pStyle w:val="Default"/>
              <w:ind w:firstLine="720"/>
              <w:jc w:val="right"/>
              <w:rPr>
                <w:rFonts w:ascii="Times New Roman" w:hAnsi="Times New Roman" w:cs="Times New Roman"/>
                <w:sz w:val="20"/>
                <w:szCs w:val="20"/>
                <w:lang w:val="sr-Cyrl-RS"/>
              </w:rPr>
            </w:pPr>
          </w:p>
        </w:tc>
        <w:tc>
          <w:tcPr>
            <w:tcW w:w="968" w:type="dxa"/>
            <w:vAlign w:val="center"/>
            <w:hideMark/>
          </w:tcPr>
          <w:p w14:paraId="4DC9F2A8" w14:textId="77777777" w:rsidR="006557A1" w:rsidRPr="00EF2F18" w:rsidRDefault="006557A1" w:rsidP="006557A1">
            <w:pPr>
              <w:pStyle w:val="Default"/>
              <w:ind w:firstLine="720"/>
              <w:jc w:val="right"/>
              <w:rPr>
                <w:rFonts w:ascii="Times New Roman" w:hAnsi="Times New Roman" w:cs="Times New Roman"/>
                <w:sz w:val="20"/>
                <w:szCs w:val="20"/>
                <w:lang w:val="sr-Cyrl-RS"/>
              </w:rPr>
            </w:pPr>
          </w:p>
        </w:tc>
        <w:tc>
          <w:tcPr>
            <w:tcW w:w="970" w:type="dxa"/>
            <w:vAlign w:val="center"/>
            <w:hideMark/>
          </w:tcPr>
          <w:p w14:paraId="576EE747" w14:textId="77777777" w:rsidR="006557A1" w:rsidRPr="00EF2F18" w:rsidRDefault="006557A1" w:rsidP="006557A1">
            <w:pPr>
              <w:pStyle w:val="Default"/>
              <w:ind w:firstLine="720"/>
              <w:jc w:val="right"/>
              <w:rPr>
                <w:rFonts w:ascii="Times New Roman" w:hAnsi="Times New Roman" w:cs="Times New Roman"/>
                <w:sz w:val="20"/>
                <w:szCs w:val="20"/>
                <w:lang w:val="sr-Cyrl-RS"/>
              </w:rPr>
            </w:pPr>
          </w:p>
        </w:tc>
      </w:tr>
    </w:tbl>
    <w:p w14:paraId="736250B0" w14:textId="77777777" w:rsidR="00172209" w:rsidRPr="00EF2F18" w:rsidRDefault="00172209" w:rsidP="00172209">
      <w:pPr>
        <w:pStyle w:val="Default"/>
        <w:rPr>
          <w:rFonts w:ascii="Times New Roman" w:hAnsi="Times New Roman" w:cs="Times New Roman"/>
          <w:i/>
          <w:iCs/>
          <w:sz w:val="20"/>
          <w:szCs w:val="20"/>
          <w:lang w:val="sr-Cyrl-RS"/>
        </w:rPr>
      </w:pPr>
      <w:r w:rsidRPr="00EF2F18">
        <w:rPr>
          <w:rFonts w:ascii="Times New Roman" w:hAnsi="Times New Roman" w:cs="Times New Roman"/>
          <w:i/>
          <w:iCs/>
          <w:sz w:val="20"/>
          <w:szCs w:val="20"/>
          <w:lang w:val="sr-Cyrl-RS"/>
        </w:rPr>
        <w:t>Извор: Израчунато на основу података Министарства финансија</w:t>
      </w:r>
    </w:p>
    <w:p w14:paraId="51F05CF5" w14:textId="77777777" w:rsidR="00C071E5" w:rsidRPr="00EF2F18" w:rsidRDefault="00C071E5" w:rsidP="00F37C43">
      <w:pPr>
        <w:pStyle w:val="Default"/>
        <w:jc w:val="both"/>
        <w:rPr>
          <w:rFonts w:ascii="Times New Roman" w:hAnsi="Times New Roman" w:cs="Times New Roman"/>
          <w:sz w:val="20"/>
          <w:szCs w:val="20"/>
          <w:lang w:val="sr-Cyrl-RS"/>
        </w:rPr>
      </w:pPr>
      <w:r w:rsidRPr="00EF2F18">
        <w:rPr>
          <w:rFonts w:ascii="Times New Roman" w:hAnsi="Times New Roman" w:cs="Times New Roman"/>
          <w:sz w:val="20"/>
          <w:szCs w:val="20"/>
          <w:lang w:val="sr-Cyrl-RS"/>
        </w:rPr>
        <w:t xml:space="preserve"> </w:t>
      </w:r>
    </w:p>
    <w:p w14:paraId="47C4FE86" w14:textId="55F7276D" w:rsidR="00C071E5" w:rsidRPr="00EF2F18" w:rsidRDefault="00C071E5" w:rsidP="00C071E5">
      <w:pPr>
        <w:spacing w:after="0"/>
        <w:jc w:val="both"/>
        <w:rPr>
          <w:rFonts w:cs="Times New Roman"/>
          <w:sz w:val="22"/>
          <w:lang w:val="sr-Cyrl-RS"/>
        </w:rPr>
      </w:pPr>
      <w:r w:rsidRPr="00EF2F18">
        <w:rPr>
          <w:rFonts w:cs="Times New Roman"/>
          <w:b/>
          <w:bCs/>
          <w:sz w:val="22"/>
          <w:lang w:val="sr-Cyrl-RS"/>
        </w:rPr>
        <w:t xml:space="preserve">Табела </w:t>
      </w:r>
      <w:r w:rsidR="00C0735C" w:rsidRPr="00EF2F18">
        <w:rPr>
          <w:rFonts w:cs="Times New Roman"/>
          <w:b/>
          <w:bCs/>
          <w:sz w:val="22"/>
          <w:lang w:val="sr-Cyrl-RS"/>
        </w:rPr>
        <w:t>3</w:t>
      </w:r>
      <w:r w:rsidRPr="00EF2F18">
        <w:rPr>
          <w:rFonts w:cs="Times New Roman"/>
          <w:b/>
          <w:bCs/>
          <w:sz w:val="22"/>
          <w:lang w:val="sr-Cyrl-RS"/>
        </w:rPr>
        <w:t>.</w:t>
      </w:r>
      <w:r w:rsidR="006C1A98" w:rsidRPr="00EF2F18">
        <w:rPr>
          <w:rFonts w:cs="Times New Roman"/>
          <w:b/>
          <w:bCs/>
          <w:sz w:val="22"/>
          <w:lang w:val="sr-Cyrl-RS"/>
        </w:rPr>
        <w:t>8</w:t>
      </w:r>
      <w:r w:rsidRPr="00EF2F18">
        <w:rPr>
          <w:rFonts w:cs="Times New Roman"/>
          <w:b/>
          <w:bCs/>
          <w:sz w:val="22"/>
          <w:lang w:val="sr-Cyrl-RS"/>
        </w:rPr>
        <w:t xml:space="preserve">. </w:t>
      </w:r>
      <w:r w:rsidRPr="00EF2F18">
        <w:rPr>
          <w:rFonts w:cs="Times New Roman"/>
          <w:sz w:val="22"/>
          <w:lang w:val="sr-Cyrl-RS"/>
        </w:rPr>
        <w:t>Укупни издаци у оквиру пет стубова Зелене агенде (</w:t>
      </w:r>
      <w:r w:rsidR="00590EF5" w:rsidRPr="00EF2F18">
        <w:rPr>
          <w:rFonts w:cs="Times New Roman"/>
          <w:sz w:val="22"/>
          <w:lang w:val="sr-Cyrl-RS"/>
        </w:rPr>
        <w:t>ЕУР</w:t>
      </w:r>
      <w:r w:rsidRPr="00EF2F18">
        <w:rPr>
          <w:rFonts w:cs="Times New Roman"/>
          <w:sz w:val="22"/>
          <w:lang w:val="sr-Cyrl-RS"/>
        </w:rPr>
        <w:t>, 2020-2022.)</w:t>
      </w:r>
    </w:p>
    <w:tbl>
      <w:tblPr>
        <w:tblStyle w:val="TableGrid2"/>
        <w:tblW w:w="9046" w:type="dxa"/>
        <w:tblLook w:val="0600" w:firstRow="0" w:lastRow="0" w:firstColumn="0" w:lastColumn="0" w:noHBand="1" w:noVBand="1"/>
      </w:tblPr>
      <w:tblGrid>
        <w:gridCol w:w="2461"/>
        <w:gridCol w:w="1220"/>
        <w:gridCol w:w="1417"/>
        <w:gridCol w:w="1309"/>
        <w:gridCol w:w="879"/>
        <w:gridCol w:w="879"/>
        <w:gridCol w:w="881"/>
      </w:tblGrid>
      <w:tr w:rsidR="00C071E5" w:rsidRPr="00EF2F18" w14:paraId="1623626C" w14:textId="77777777" w:rsidTr="00C071E5">
        <w:trPr>
          <w:trHeight w:val="229"/>
        </w:trPr>
        <w:tc>
          <w:tcPr>
            <w:tcW w:w="2461" w:type="dxa"/>
            <w:vMerge w:val="restart"/>
            <w:shd w:val="clear" w:color="auto" w:fill="FFFFCC"/>
            <w:vAlign w:val="center"/>
            <w:hideMark/>
          </w:tcPr>
          <w:p w14:paraId="6B65436D" w14:textId="449B0DD6"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Стубови Зелене агенде</w:t>
            </w:r>
          </w:p>
        </w:tc>
        <w:tc>
          <w:tcPr>
            <w:tcW w:w="3946" w:type="dxa"/>
            <w:gridSpan w:val="3"/>
            <w:shd w:val="clear" w:color="auto" w:fill="FFFFCC"/>
            <w:vAlign w:val="center"/>
            <w:hideMark/>
          </w:tcPr>
          <w:p w14:paraId="26D8AA41" w14:textId="012ABC6D"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 xml:space="preserve">У </w:t>
            </w:r>
            <w:r w:rsidR="00590EF5" w:rsidRPr="00EF2F18">
              <w:rPr>
                <w:rFonts w:ascii="Times New Roman" w:hAnsi="Times New Roman" w:cs="Times New Roman"/>
                <w:b/>
                <w:bCs/>
                <w:sz w:val="20"/>
                <w:szCs w:val="20"/>
                <w:lang w:val="sr-Cyrl-RS"/>
              </w:rPr>
              <w:t>ЕУР</w:t>
            </w:r>
          </w:p>
        </w:tc>
        <w:tc>
          <w:tcPr>
            <w:tcW w:w="2639" w:type="dxa"/>
            <w:gridSpan w:val="3"/>
            <w:shd w:val="clear" w:color="auto" w:fill="FFFFCC"/>
            <w:vAlign w:val="center"/>
            <w:hideMark/>
          </w:tcPr>
          <w:p w14:paraId="61084A9D" w14:textId="473510B4" w:rsidR="00C071E5" w:rsidRPr="00EF2F18" w:rsidRDefault="00113216"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Учешће у укупним ин</w:t>
            </w:r>
            <w:r w:rsidR="00BE10CA" w:rsidRPr="00EF2F18">
              <w:rPr>
                <w:rFonts w:ascii="Times New Roman" w:hAnsi="Times New Roman" w:cs="Times New Roman"/>
                <w:b/>
                <w:bCs/>
                <w:sz w:val="20"/>
                <w:szCs w:val="20"/>
                <w:lang w:val="sr-Cyrl-RS"/>
              </w:rPr>
              <w:t>в</w:t>
            </w:r>
            <w:r w:rsidRPr="00EF2F18">
              <w:rPr>
                <w:rFonts w:ascii="Times New Roman" w:hAnsi="Times New Roman" w:cs="Times New Roman"/>
                <w:b/>
                <w:bCs/>
                <w:sz w:val="20"/>
                <w:szCs w:val="20"/>
                <w:lang w:val="sr-Cyrl-RS"/>
              </w:rPr>
              <w:t>естицијама (</w:t>
            </w:r>
            <w:r w:rsidR="00C071E5" w:rsidRPr="00EF2F18">
              <w:rPr>
                <w:rFonts w:ascii="Times New Roman" w:hAnsi="Times New Roman" w:cs="Times New Roman"/>
                <w:b/>
                <w:bCs/>
                <w:sz w:val="20"/>
                <w:szCs w:val="20"/>
                <w:lang w:val="sr-Cyrl-RS"/>
              </w:rPr>
              <w:t>%</w:t>
            </w:r>
            <w:r w:rsidRPr="00EF2F18">
              <w:rPr>
                <w:rFonts w:ascii="Times New Roman" w:hAnsi="Times New Roman" w:cs="Times New Roman"/>
                <w:b/>
                <w:bCs/>
                <w:sz w:val="20"/>
                <w:szCs w:val="20"/>
                <w:lang w:val="sr-Cyrl-RS"/>
              </w:rPr>
              <w:t>)</w:t>
            </w:r>
          </w:p>
        </w:tc>
      </w:tr>
      <w:tr w:rsidR="00C071E5" w:rsidRPr="00EF2F18" w14:paraId="0B4ABC30" w14:textId="77777777" w:rsidTr="00C071E5">
        <w:trPr>
          <w:trHeight w:val="277"/>
        </w:trPr>
        <w:tc>
          <w:tcPr>
            <w:tcW w:w="2461" w:type="dxa"/>
            <w:vMerge/>
            <w:shd w:val="clear" w:color="auto" w:fill="FFFFCC"/>
            <w:vAlign w:val="center"/>
            <w:hideMark/>
          </w:tcPr>
          <w:p w14:paraId="66838699" w14:textId="77777777" w:rsidR="00C071E5" w:rsidRPr="00EF2F18" w:rsidRDefault="00C071E5" w:rsidP="006F12D4">
            <w:pPr>
              <w:pStyle w:val="Default"/>
              <w:jc w:val="center"/>
              <w:rPr>
                <w:rFonts w:ascii="Times New Roman" w:hAnsi="Times New Roman" w:cs="Times New Roman"/>
                <w:sz w:val="20"/>
                <w:szCs w:val="20"/>
                <w:lang w:val="sr-Cyrl-RS"/>
              </w:rPr>
            </w:pPr>
          </w:p>
        </w:tc>
        <w:tc>
          <w:tcPr>
            <w:tcW w:w="1220" w:type="dxa"/>
            <w:shd w:val="clear" w:color="auto" w:fill="FFFFCC"/>
            <w:vAlign w:val="center"/>
            <w:hideMark/>
          </w:tcPr>
          <w:p w14:paraId="5ECF92B7" w14:textId="7BCCDEC8"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2020.</w:t>
            </w:r>
          </w:p>
        </w:tc>
        <w:tc>
          <w:tcPr>
            <w:tcW w:w="1417" w:type="dxa"/>
            <w:shd w:val="clear" w:color="auto" w:fill="FFFFCC"/>
            <w:vAlign w:val="center"/>
            <w:hideMark/>
          </w:tcPr>
          <w:p w14:paraId="5C3C6F57" w14:textId="7D8BA3F3"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2021.</w:t>
            </w:r>
          </w:p>
        </w:tc>
        <w:tc>
          <w:tcPr>
            <w:tcW w:w="1309" w:type="dxa"/>
            <w:shd w:val="clear" w:color="auto" w:fill="FFFFCC"/>
            <w:vAlign w:val="center"/>
            <w:hideMark/>
          </w:tcPr>
          <w:p w14:paraId="158835EC" w14:textId="711DA6DF"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2022.</w:t>
            </w:r>
          </w:p>
        </w:tc>
        <w:tc>
          <w:tcPr>
            <w:tcW w:w="879" w:type="dxa"/>
            <w:shd w:val="clear" w:color="auto" w:fill="FFFFCC"/>
            <w:vAlign w:val="center"/>
            <w:hideMark/>
          </w:tcPr>
          <w:p w14:paraId="258965FE" w14:textId="1997B41F"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2020.</w:t>
            </w:r>
          </w:p>
        </w:tc>
        <w:tc>
          <w:tcPr>
            <w:tcW w:w="879" w:type="dxa"/>
            <w:shd w:val="clear" w:color="auto" w:fill="FFFFCC"/>
            <w:vAlign w:val="center"/>
            <w:hideMark/>
          </w:tcPr>
          <w:p w14:paraId="231A9126" w14:textId="6BE5CD85"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2021.</w:t>
            </w:r>
          </w:p>
        </w:tc>
        <w:tc>
          <w:tcPr>
            <w:tcW w:w="881" w:type="dxa"/>
            <w:shd w:val="clear" w:color="auto" w:fill="FFFFCC"/>
            <w:vAlign w:val="center"/>
            <w:hideMark/>
          </w:tcPr>
          <w:p w14:paraId="4D3F2A68" w14:textId="6A0A535C" w:rsidR="00C071E5" w:rsidRPr="00EF2F18" w:rsidRDefault="00C071E5" w:rsidP="006F12D4">
            <w:pPr>
              <w:pStyle w:val="Default"/>
              <w:jc w:val="center"/>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2022.</w:t>
            </w:r>
          </w:p>
        </w:tc>
      </w:tr>
      <w:tr w:rsidR="00FE15B5" w:rsidRPr="00EF2F18" w14:paraId="689A9CCE" w14:textId="77777777" w:rsidTr="00C071E5">
        <w:trPr>
          <w:trHeight w:val="460"/>
        </w:trPr>
        <w:tc>
          <w:tcPr>
            <w:tcW w:w="2461" w:type="dxa"/>
            <w:vAlign w:val="center"/>
            <w:hideMark/>
          </w:tcPr>
          <w:p w14:paraId="4D224033" w14:textId="615790E6"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1 - Декарбонизација и климатске промене</w:t>
            </w:r>
          </w:p>
        </w:tc>
        <w:tc>
          <w:tcPr>
            <w:tcW w:w="1220" w:type="dxa"/>
            <w:vAlign w:val="center"/>
            <w:hideMark/>
          </w:tcPr>
          <w:p w14:paraId="3605B84C" w14:textId="06092652"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6.516.979</w:t>
            </w:r>
          </w:p>
        </w:tc>
        <w:tc>
          <w:tcPr>
            <w:tcW w:w="1417" w:type="dxa"/>
            <w:vAlign w:val="center"/>
            <w:hideMark/>
          </w:tcPr>
          <w:p w14:paraId="147C184C" w14:textId="0396631E"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23.120.596</w:t>
            </w:r>
          </w:p>
        </w:tc>
        <w:tc>
          <w:tcPr>
            <w:tcW w:w="1309" w:type="dxa"/>
            <w:vAlign w:val="center"/>
            <w:hideMark/>
          </w:tcPr>
          <w:p w14:paraId="77BCE988" w14:textId="3216A360"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17.969.370</w:t>
            </w:r>
          </w:p>
        </w:tc>
        <w:tc>
          <w:tcPr>
            <w:tcW w:w="879" w:type="dxa"/>
            <w:vAlign w:val="center"/>
            <w:hideMark/>
          </w:tcPr>
          <w:p w14:paraId="25580304" w14:textId="68B2DDBE"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32</w:t>
            </w:r>
          </w:p>
        </w:tc>
        <w:tc>
          <w:tcPr>
            <w:tcW w:w="879" w:type="dxa"/>
            <w:vAlign w:val="center"/>
            <w:hideMark/>
          </w:tcPr>
          <w:p w14:paraId="3C7866A0" w14:textId="663CA1A5"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11</w:t>
            </w:r>
          </w:p>
        </w:tc>
        <w:tc>
          <w:tcPr>
            <w:tcW w:w="881" w:type="dxa"/>
            <w:vAlign w:val="center"/>
            <w:hideMark/>
          </w:tcPr>
          <w:p w14:paraId="7205EE79" w14:textId="3A47933D"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8</w:t>
            </w:r>
          </w:p>
        </w:tc>
      </w:tr>
      <w:tr w:rsidR="00FE15B5" w:rsidRPr="00EF2F18" w14:paraId="36776299" w14:textId="77777777" w:rsidTr="00BA101C">
        <w:trPr>
          <w:trHeight w:val="332"/>
        </w:trPr>
        <w:tc>
          <w:tcPr>
            <w:tcW w:w="2461" w:type="dxa"/>
            <w:vAlign w:val="center"/>
            <w:hideMark/>
          </w:tcPr>
          <w:p w14:paraId="0E7E66A0" w14:textId="77777777"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2 - Циркуларна економија</w:t>
            </w:r>
          </w:p>
        </w:tc>
        <w:tc>
          <w:tcPr>
            <w:tcW w:w="1220" w:type="dxa"/>
            <w:vAlign w:val="center"/>
            <w:hideMark/>
          </w:tcPr>
          <w:p w14:paraId="2233CF29" w14:textId="48F3D46B"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1.361.702</w:t>
            </w:r>
          </w:p>
        </w:tc>
        <w:tc>
          <w:tcPr>
            <w:tcW w:w="1417" w:type="dxa"/>
            <w:vAlign w:val="center"/>
            <w:hideMark/>
          </w:tcPr>
          <w:p w14:paraId="389F12DD" w14:textId="378ECA1D"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51.846.689</w:t>
            </w:r>
          </w:p>
        </w:tc>
        <w:tc>
          <w:tcPr>
            <w:tcW w:w="1309" w:type="dxa"/>
            <w:vAlign w:val="center"/>
            <w:hideMark/>
          </w:tcPr>
          <w:p w14:paraId="49A38040" w14:textId="3E04F88C"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36.268.528</w:t>
            </w:r>
          </w:p>
        </w:tc>
        <w:tc>
          <w:tcPr>
            <w:tcW w:w="879" w:type="dxa"/>
            <w:vAlign w:val="center"/>
            <w:hideMark/>
          </w:tcPr>
          <w:p w14:paraId="207BFA88" w14:textId="3823A7CE"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7</w:t>
            </w:r>
          </w:p>
        </w:tc>
        <w:tc>
          <w:tcPr>
            <w:tcW w:w="879" w:type="dxa"/>
            <w:vAlign w:val="center"/>
            <w:hideMark/>
          </w:tcPr>
          <w:p w14:paraId="4F4700BB" w14:textId="2A59501E"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24</w:t>
            </w:r>
          </w:p>
        </w:tc>
        <w:tc>
          <w:tcPr>
            <w:tcW w:w="881" w:type="dxa"/>
            <w:vAlign w:val="center"/>
            <w:hideMark/>
          </w:tcPr>
          <w:p w14:paraId="71F3F127" w14:textId="7A5E7876"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15</w:t>
            </w:r>
          </w:p>
        </w:tc>
      </w:tr>
      <w:tr w:rsidR="00FE15B5" w:rsidRPr="00EF2F18" w14:paraId="2AA93A64" w14:textId="77777777" w:rsidTr="00BA101C">
        <w:trPr>
          <w:trHeight w:val="341"/>
        </w:trPr>
        <w:tc>
          <w:tcPr>
            <w:tcW w:w="2461" w:type="dxa"/>
            <w:vAlign w:val="center"/>
            <w:hideMark/>
          </w:tcPr>
          <w:p w14:paraId="1D0E641F" w14:textId="77777777"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3 - Смањење загађења</w:t>
            </w:r>
          </w:p>
        </w:tc>
        <w:tc>
          <w:tcPr>
            <w:tcW w:w="1220" w:type="dxa"/>
            <w:vAlign w:val="center"/>
            <w:hideMark/>
          </w:tcPr>
          <w:p w14:paraId="4C23B940" w14:textId="46FB2166"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3.012.766</w:t>
            </w:r>
          </w:p>
        </w:tc>
        <w:tc>
          <w:tcPr>
            <w:tcW w:w="1417" w:type="dxa"/>
            <w:vAlign w:val="center"/>
            <w:hideMark/>
          </w:tcPr>
          <w:p w14:paraId="1186AABD" w14:textId="60E0FE2D"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112.325.115</w:t>
            </w:r>
          </w:p>
        </w:tc>
        <w:tc>
          <w:tcPr>
            <w:tcW w:w="1309" w:type="dxa"/>
            <w:vAlign w:val="center"/>
            <w:hideMark/>
          </w:tcPr>
          <w:p w14:paraId="7650CA02" w14:textId="08FDDCF5"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128.680.851</w:t>
            </w:r>
          </w:p>
        </w:tc>
        <w:tc>
          <w:tcPr>
            <w:tcW w:w="879" w:type="dxa"/>
            <w:vAlign w:val="center"/>
            <w:hideMark/>
          </w:tcPr>
          <w:p w14:paraId="14629528" w14:textId="28972178"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15</w:t>
            </w:r>
          </w:p>
        </w:tc>
        <w:tc>
          <w:tcPr>
            <w:tcW w:w="879" w:type="dxa"/>
            <w:vAlign w:val="center"/>
            <w:hideMark/>
          </w:tcPr>
          <w:p w14:paraId="2500DEB3" w14:textId="42E9038E"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51</w:t>
            </w:r>
          </w:p>
        </w:tc>
        <w:tc>
          <w:tcPr>
            <w:tcW w:w="881" w:type="dxa"/>
            <w:vAlign w:val="center"/>
            <w:hideMark/>
          </w:tcPr>
          <w:p w14:paraId="2D6C313A" w14:textId="6A4126D1"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55</w:t>
            </w:r>
          </w:p>
        </w:tc>
      </w:tr>
      <w:tr w:rsidR="00FE15B5" w:rsidRPr="00EF2F18" w14:paraId="10AB020C" w14:textId="77777777" w:rsidTr="00BA101C">
        <w:trPr>
          <w:trHeight w:val="350"/>
        </w:trPr>
        <w:tc>
          <w:tcPr>
            <w:tcW w:w="2461" w:type="dxa"/>
            <w:vAlign w:val="center"/>
            <w:hideMark/>
          </w:tcPr>
          <w:p w14:paraId="2870CFD9" w14:textId="6A3D9899"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lastRenderedPageBreak/>
              <w:t>4 - Биодиверзитет</w:t>
            </w:r>
          </w:p>
        </w:tc>
        <w:tc>
          <w:tcPr>
            <w:tcW w:w="1220" w:type="dxa"/>
            <w:vAlign w:val="center"/>
            <w:hideMark/>
          </w:tcPr>
          <w:p w14:paraId="0AE291AD" w14:textId="35D43E52"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4.652.409</w:t>
            </w:r>
          </w:p>
        </w:tc>
        <w:tc>
          <w:tcPr>
            <w:tcW w:w="1417" w:type="dxa"/>
            <w:vAlign w:val="center"/>
            <w:hideMark/>
          </w:tcPr>
          <w:p w14:paraId="30FB4528" w14:textId="66844FEA"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16.249.174</w:t>
            </w:r>
          </w:p>
        </w:tc>
        <w:tc>
          <w:tcPr>
            <w:tcW w:w="1309" w:type="dxa"/>
            <w:vAlign w:val="center"/>
            <w:hideMark/>
          </w:tcPr>
          <w:p w14:paraId="3298E8EC" w14:textId="3B1DDF1A"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15.128.272</w:t>
            </w:r>
          </w:p>
        </w:tc>
        <w:tc>
          <w:tcPr>
            <w:tcW w:w="879" w:type="dxa"/>
            <w:vAlign w:val="center"/>
            <w:hideMark/>
          </w:tcPr>
          <w:p w14:paraId="2F2C73F6" w14:textId="7427C000"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23</w:t>
            </w:r>
          </w:p>
        </w:tc>
        <w:tc>
          <w:tcPr>
            <w:tcW w:w="879" w:type="dxa"/>
            <w:vAlign w:val="center"/>
            <w:hideMark/>
          </w:tcPr>
          <w:p w14:paraId="5769701E" w14:textId="687EFAC6"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7</w:t>
            </w:r>
          </w:p>
        </w:tc>
        <w:tc>
          <w:tcPr>
            <w:tcW w:w="881" w:type="dxa"/>
            <w:vAlign w:val="center"/>
            <w:hideMark/>
          </w:tcPr>
          <w:p w14:paraId="02FF213E" w14:textId="5BE72656" w:rsidR="00FE15B5" w:rsidRPr="00EF2F18" w:rsidRDefault="00FE15B5" w:rsidP="00FE15B5">
            <w:pPr>
              <w:pStyle w:val="Default"/>
              <w:jc w:val="center"/>
              <w:rPr>
                <w:rFonts w:ascii="Times New Roman" w:hAnsi="Times New Roman" w:cs="Times New Roman"/>
                <w:sz w:val="20"/>
                <w:szCs w:val="20"/>
                <w:lang w:val="sr-Cyrl-RS"/>
              </w:rPr>
            </w:pPr>
          </w:p>
        </w:tc>
      </w:tr>
      <w:tr w:rsidR="00FE15B5" w:rsidRPr="00EF2F18" w14:paraId="6CBEF99D" w14:textId="77777777" w:rsidTr="00C071E5">
        <w:trPr>
          <w:trHeight w:val="460"/>
        </w:trPr>
        <w:tc>
          <w:tcPr>
            <w:tcW w:w="2461" w:type="dxa"/>
            <w:vAlign w:val="center"/>
            <w:hideMark/>
          </w:tcPr>
          <w:p w14:paraId="3931CA46" w14:textId="14684AD2"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sz w:val="20"/>
                <w:szCs w:val="20"/>
                <w:lang w:val="sr-Cyrl-RS"/>
              </w:rPr>
              <w:t>5 - Одржива пољопривреда</w:t>
            </w:r>
          </w:p>
        </w:tc>
        <w:tc>
          <w:tcPr>
            <w:tcW w:w="1220" w:type="dxa"/>
            <w:vAlign w:val="center"/>
            <w:hideMark/>
          </w:tcPr>
          <w:p w14:paraId="46299EE5" w14:textId="3FDD0463"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4.999.889</w:t>
            </w:r>
          </w:p>
        </w:tc>
        <w:tc>
          <w:tcPr>
            <w:tcW w:w="1417" w:type="dxa"/>
            <w:vAlign w:val="center"/>
            <w:hideMark/>
          </w:tcPr>
          <w:p w14:paraId="45C18B43" w14:textId="5D73DEB6"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16.513.813</w:t>
            </w:r>
          </w:p>
        </w:tc>
        <w:tc>
          <w:tcPr>
            <w:tcW w:w="1309" w:type="dxa"/>
            <w:vAlign w:val="center"/>
            <w:hideMark/>
          </w:tcPr>
          <w:p w14:paraId="2D085B8A" w14:textId="7E2C2C69" w:rsidR="00FE15B5" w:rsidRPr="00EF2F18" w:rsidRDefault="00FE15B5" w:rsidP="00FE15B5">
            <w:pPr>
              <w:pStyle w:val="Default"/>
              <w:jc w:val="right"/>
              <w:rPr>
                <w:rFonts w:ascii="Times New Roman" w:hAnsi="Times New Roman" w:cs="Times New Roman"/>
                <w:sz w:val="20"/>
                <w:szCs w:val="20"/>
                <w:lang w:val="sr-Cyrl-RS"/>
              </w:rPr>
            </w:pPr>
            <w:r w:rsidRPr="00EF2F18">
              <w:rPr>
                <w:rFonts w:ascii="Times New Roman" w:hAnsi="Times New Roman" w:cs="Times New Roman"/>
                <w:sz w:val="20"/>
                <w:szCs w:val="20"/>
                <w:lang w:val="sr-Cyrl-RS"/>
              </w:rPr>
              <w:t>36.111.966</w:t>
            </w:r>
          </w:p>
        </w:tc>
        <w:tc>
          <w:tcPr>
            <w:tcW w:w="879" w:type="dxa"/>
            <w:vAlign w:val="center"/>
            <w:hideMark/>
          </w:tcPr>
          <w:p w14:paraId="34AC7A93" w14:textId="77368286"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24</w:t>
            </w:r>
          </w:p>
        </w:tc>
        <w:tc>
          <w:tcPr>
            <w:tcW w:w="879" w:type="dxa"/>
            <w:vAlign w:val="center"/>
            <w:hideMark/>
          </w:tcPr>
          <w:p w14:paraId="57E73124" w14:textId="4902A5E7"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8</w:t>
            </w:r>
          </w:p>
        </w:tc>
        <w:tc>
          <w:tcPr>
            <w:tcW w:w="881" w:type="dxa"/>
            <w:vAlign w:val="center"/>
            <w:hideMark/>
          </w:tcPr>
          <w:p w14:paraId="5B5526D1" w14:textId="5372A9AB" w:rsidR="00FE15B5" w:rsidRPr="00EF2F18" w:rsidRDefault="00FE15B5" w:rsidP="00FE15B5">
            <w:pPr>
              <w:pStyle w:val="Default"/>
              <w:jc w:val="center"/>
              <w:rPr>
                <w:rFonts w:ascii="Times New Roman" w:hAnsi="Times New Roman" w:cs="Times New Roman"/>
                <w:sz w:val="20"/>
                <w:szCs w:val="20"/>
                <w:lang w:val="sr-Cyrl-RS"/>
              </w:rPr>
            </w:pPr>
            <w:r w:rsidRPr="00EF2F18">
              <w:rPr>
                <w:rFonts w:ascii="Times New Roman" w:hAnsi="Times New Roman" w:cs="Times New Roman"/>
                <w:sz w:val="20"/>
                <w:szCs w:val="20"/>
                <w:lang w:val="sr-Cyrl-RS"/>
              </w:rPr>
              <w:t>15</w:t>
            </w:r>
          </w:p>
        </w:tc>
      </w:tr>
      <w:tr w:rsidR="00FE15B5" w:rsidRPr="00EF2F18" w14:paraId="252872D8" w14:textId="77777777" w:rsidTr="00C071E5">
        <w:trPr>
          <w:trHeight w:val="460"/>
        </w:trPr>
        <w:tc>
          <w:tcPr>
            <w:tcW w:w="2461" w:type="dxa"/>
            <w:vAlign w:val="center"/>
            <w:hideMark/>
          </w:tcPr>
          <w:p w14:paraId="1176B088" w14:textId="77777777"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Укупно</w:t>
            </w:r>
          </w:p>
        </w:tc>
        <w:tc>
          <w:tcPr>
            <w:tcW w:w="1220" w:type="dxa"/>
            <w:vAlign w:val="center"/>
            <w:hideMark/>
          </w:tcPr>
          <w:p w14:paraId="115F0CE7" w14:textId="0712110F" w:rsidR="00FE15B5" w:rsidRPr="00EF2F18" w:rsidRDefault="00FE15B5" w:rsidP="00FE15B5">
            <w:pPr>
              <w:pStyle w:val="Default"/>
              <w:jc w:val="right"/>
              <w:rPr>
                <w:rFonts w:ascii="Times New Roman" w:hAnsi="Times New Roman" w:cs="Times New Roman"/>
                <w:b/>
                <w:bCs/>
                <w:sz w:val="20"/>
                <w:szCs w:val="20"/>
                <w:lang w:val="sr-Cyrl-RS"/>
              </w:rPr>
            </w:pPr>
            <w:r w:rsidRPr="00EF2F18">
              <w:rPr>
                <w:rFonts w:ascii="Times New Roman" w:hAnsi="Times New Roman" w:cs="Times New Roman"/>
                <w:sz w:val="20"/>
                <w:szCs w:val="20"/>
                <w:lang w:val="sr-Cyrl-RS"/>
              </w:rPr>
              <w:t>20.543.745</w:t>
            </w:r>
          </w:p>
        </w:tc>
        <w:tc>
          <w:tcPr>
            <w:tcW w:w="1417" w:type="dxa"/>
            <w:vAlign w:val="center"/>
            <w:hideMark/>
          </w:tcPr>
          <w:p w14:paraId="067EB5F0" w14:textId="3B68EBB5" w:rsidR="00FE15B5" w:rsidRPr="00EF2F18" w:rsidRDefault="00FE15B5" w:rsidP="00FE15B5">
            <w:pPr>
              <w:pStyle w:val="Default"/>
              <w:jc w:val="right"/>
              <w:rPr>
                <w:rFonts w:ascii="Times New Roman" w:hAnsi="Times New Roman" w:cs="Times New Roman"/>
                <w:b/>
                <w:bCs/>
                <w:sz w:val="20"/>
                <w:szCs w:val="20"/>
                <w:lang w:val="sr-Cyrl-RS"/>
              </w:rPr>
            </w:pPr>
            <w:r w:rsidRPr="00EF2F18">
              <w:rPr>
                <w:rFonts w:ascii="Times New Roman" w:hAnsi="Times New Roman" w:cs="Times New Roman"/>
                <w:sz w:val="20"/>
                <w:szCs w:val="20"/>
                <w:lang w:val="sr-Cyrl-RS"/>
              </w:rPr>
              <w:t>220.055.387</w:t>
            </w:r>
          </w:p>
        </w:tc>
        <w:tc>
          <w:tcPr>
            <w:tcW w:w="1309" w:type="dxa"/>
            <w:vAlign w:val="center"/>
            <w:hideMark/>
          </w:tcPr>
          <w:p w14:paraId="46167E9F" w14:textId="584AA7B5" w:rsidR="00FE15B5" w:rsidRPr="00EF2F18" w:rsidRDefault="00FE15B5" w:rsidP="00FE15B5">
            <w:pPr>
              <w:pStyle w:val="Default"/>
              <w:jc w:val="right"/>
              <w:rPr>
                <w:rFonts w:ascii="Times New Roman" w:hAnsi="Times New Roman" w:cs="Times New Roman"/>
                <w:b/>
                <w:bCs/>
                <w:sz w:val="20"/>
                <w:szCs w:val="20"/>
                <w:lang w:val="sr-Cyrl-RS"/>
              </w:rPr>
            </w:pPr>
            <w:r w:rsidRPr="00EF2F18">
              <w:rPr>
                <w:rFonts w:ascii="Times New Roman" w:hAnsi="Times New Roman" w:cs="Times New Roman"/>
                <w:sz w:val="20"/>
                <w:szCs w:val="20"/>
                <w:lang w:val="sr-Cyrl-RS"/>
              </w:rPr>
              <w:t>234.158.987</w:t>
            </w:r>
          </w:p>
        </w:tc>
        <w:tc>
          <w:tcPr>
            <w:tcW w:w="879" w:type="dxa"/>
            <w:vAlign w:val="center"/>
            <w:hideMark/>
          </w:tcPr>
          <w:p w14:paraId="680469B5" w14:textId="14D30538" w:rsidR="00FE15B5" w:rsidRPr="00EF2F18" w:rsidRDefault="00FE15B5" w:rsidP="00FE15B5">
            <w:pPr>
              <w:pStyle w:val="Default"/>
              <w:jc w:val="center"/>
              <w:rPr>
                <w:rFonts w:ascii="Times New Roman" w:hAnsi="Times New Roman" w:cs="Times New Roman"/>
                <w:b/>
                <w:bCs/>
                <w:sz w:val="20"/>
                <w:szCs w:val="20"/>
                <w:lang w:val="sr-Cyrl-RS"/>
              </w:rPr>
            </w:pPr>
            <w:r w:rsidRPr="00EF2F18">
              <w:rPr>
                <w:rFonts w:ascii="Times New Roman" w:hAnsi="Times New Roman" w:cs="Times New Roman"/>
                <w:sz w:val="20"/>
                <w:szCs w:val="20"/>
                <w:lang w:val="sr-Cyrl-RS"/>
              </w:rPr>
              <w:t>100</w:t>
            </w:r>
          </w:p>
        </w:tc>
        <w:tc>
          <w:tcPr>
            <w:tcW w:w="879" w:type="dxa"/>
            <w:vAlign w:val="center"/>
            <w:hideMark/>
          </w:tcPr>
          <w:p w14:paraId="0C583DB1" w14:textId="106346BF" w:rsidR="00FE15B5" w:rsidRPr="00EF2F18" w:rsidRDefault="00FE15B5" w:rsidP="00FE15B5">
            <w:pPr>
              <w:pStyle w:val="Default"/>
              <w:jc w:val="center"/>
              <w:rPr>
                <w:rFonts w:ascii="Times New Roman" w:hAnsi="Times New Roman" w:cs="Times New Roman"/>
                <w:b/>
                <w:bCs/>
                <w:sz w:val="20"/>
                <w:szCs w:val="20"/>
                <w:lang w:val="sr-Cyrl-RS"/>
              </w:rPr>
            </w:pPr>
            <w:r w:rsidRPr="00EF2F18">
              <w:rPr>
                <w:rFonts w:ascii="Times New Roman" w:hAnsi="Times New Roman" w:cs="Times New Roman"/>
                <w:sz w:val="20"/>
                <w:szCs w:val="20"/>
                <w:lang w:val="sr-Cyrl-RS"/>
              </w:rPr>
              <w:t>100</w:t>
            </w:r>
          </w:p>
        </w:tc>
        <w:tc>
          <w:tcPr>
            <w:tcW w:w="881" w:type="dxa"/>
            <w:vAlign w:val="center"/>
            <w:hideMark/>
          </w:tcPr>
          <w:p w14:paraId="30436939" w14:textId="37DD64EB" w:rsidR="00FE15B5" w:rsidRPr="00EF2F18" w:rsidRDefault="00FE15B5" w:rsidP="00FE15B5">
            <w:pPr>
              <w:pStyle w:val="Default"/>
              <w:jc w:val="center"/>
              <w:rPr>
                <w:rFonts w:ascii="Times New Roman" w:hAnsi="Times New Roman" w:cs="Times New Roman"/>
                <w:b/>
                <w:bCs/>
                <w:sz w:val="20"/>
                <w:szCs w:val="20"/>
                <w:lang w:val="sr-Cyrl-RS"/>
              </w:rPr>
            </w:pPr>
            <w:r w:rsidRPr="00EF2F18">
              <w:rPr>
                <w:rFonts w:ascii="Times New Roman" w:hAnsi="Times New Roman" w:cs="Times New Roman"/>
                <w:sz w:val="20"/>
                <w:szCs w:val="20"/>
                <w:lang w:val="sr-Cyrl-RS"/>
              </w:rPr>
              <w:t>100</w:t>
            </w:r>
          </w:p>
        </w:tc>
      </w:tr>
      <w:tr w:rsidR="00FE15B5" w:rsidRPr="00EF2F18" w14:paraId="704F68BA" w14:textId="77777777" w:rsidTr="00C071E5">
        <w:trPr>
          <w:trHeight w:val="460"/>
        </w:trPr>
        <w:tc>
          <w:tcPr>
            <w:tcW w:w="2461" w:type="dxa"/>
            <w:vAlign w:val="center"/>
            <w:hideMark/>
          </w:tcPr>
          <w:p w14:paraId="1BCA98B8" w14:textId="79DCBE94" w:rsidR="00FE15B5" w:rsidRPr="00EF2F18" w:rsidRDefault="00FE15B5" w:rsidP="00FE15B5">
            <w:pPr>
              <w:pStyle w:val="Default"/>
              <w:rPr>
                <w:rFonts w:ascii="Times New Roman" w:hAnsi="Times New Roman" w:cs="Times New Roman"/>
                <w:sz w:val="20"/>
                <w:szCs w:val="20"/>
                <w:lang w:val="sr-Cyrl-RS"/>
              </w:rPr>
            </w:pPr>
            <w:r w:rsidRPr="00EF2F18">
              <w:rPr>
                <w:rFonts w:ascii="Times New Roman" w:hAnsi="Times New Roman" w:cs="Times New Roman"/>
                <w:b/>
                <w:bCs/>
                <w:sz w:val="20"/>
                <w:szCs w:val="20"/>
                <w:lang w:val="sr-Cyrl-RS"/>
              </w:rPr>
              <w:t>Удео у БДП-у (%)</w:t>
            </w:r>
          </w:p>
        </w:tc>
        <w:tc>
          <w:tcPr>
            <w:tcW w:w="1220" w:type="dxa"/>
            <w:vAlign w:val="center"/>
            <w:hideMark/>
          </w:tcPr>
          <w:p w14:paraId="465192ED" w14:textId="6CB11B41" w:rsidR="00FE15B5" w:rsidRPr="00EF2F18" w:rsidRDefault="00FE15B5" w:rsidP="00FE15B5">
            <w:pPr>
              <w:pStyle w:val="Default"/>
              <w:jc w:val="right"/>
              <w:rPr>
                <w:rFonts w:ascii="Times New Roman" w:hAnsi="Times New Roman" w:cs="Times New Roman"/>
                <w:b/>
                <w:bCs/>
                <w:sz w:val="20"/>
                <w:szCs w:val="20"/>
                <w:lang w:val="sr-Cyrl-RS"/>
              </w:rPr>
            </w:pPr>
            <w:r w:rsidRPr="00EF2F18">
              <w:rPr>
                <w:rFonts w:ascii="Times New Roman" w:hAnsi="Times New Roman" w:cs="Times New Roman"/>
                <w:b/>
                <w:bCs/>
                <w:sz w:val="20"/>
                <w:szCs w:val="20"/>
                <w:lang w:val="sr-Cyrl-RS"/>
              </w:rPr>
              <w:t>0,04</w:t>
            </w:r>
          </w:p>
        </w:tc>
        <w:tc>
          <w:tcPr>
            <w:tcW w:w="1417" w:type="dxa"/>
            <w:vAlign w:val="center"/>
            <w:hideMark/>
          </w:tcPr>
          <w:p w14:paraId="427E5DE5" w14:textId="0ECD876F" w:rsidR="00FE15B5" w:rsidRPr="00EF2F18" w:rsidRDefault="00FE15B5" w:rsidP="00FE15B5">
            <w:pPr>
              <w:pStyle w:val="Default"/>
              <w:jc w:val="right"/>
              <w:rPr>
                <w:rFonts w:ascii="Times New Roman" w:hAnsi="Times New Roman" w:cs="Times New Roman"/>
                <w:b/>
                <w:bCs/>
                <w:sz w:val="20"/>
                <w:szCs w:val="20"/>
                <w:lang w:val="sr-Cyrl-RS"/>
              </w:rPr>
            </w:pPr>
            <w:r w:rsidRPr="00EF2F18">
              <w:rPr>
                <w:rFonts w:ascii="Times New Roman" w:hAnsi="Times New Roman" w:cs="Times New Roman"/>
                <w:b/>
                <w:bCs/>
                <w:sz w:val="20"/>
                <w:szCs w:val="20"/>
                <w:lang w:val="sr-Cyrl-RS"/>
              </w:rPr>
              <w:t>0,41</w:t>
            </w:r>
          </w:p>
        </w:tc>
        <w:tc>
          <w:tcPr>
            <w:tcW w:w="1309" w:type="dxa"/>
            <w:vAlign w:val="center"/>
            <w:hideMark/>
          </w:tcPr>
          <w:p w14:paraId="04E50531" w14:textId="6804E168" w:rsidR="00FE15B5" w:rsidRPr="00EF2F18" w:rsidRDefault="00FE15B5" w:rsidP="00FE15B5">
            <w:pPr>
              <w:pStyle w:val="Default"/>
              <w:jc w:val="right"/>
              <w:rPr>
                <w:rFonts w:ascii="Times New Roman" w:hAnsi="Times New Roman" w:cs="Times New Roman"/>
                <w:b/>
                <w:bCs/>
                <w:sz w:val="20"/>
                <w:szCs w:val="20"/>
                <w:lang w:val="sr-Cyrl-RS"/>
              </w:rPr>
            </w:pPr>
            <w:r w:rsidRPr="00EF2F18">
              <w:rPr>
                <w:rFonts w:ascii="Times New Roman" w:hAnsi="Times New Roman" w:cs="Times New Roman"/>
                <w:b/>
                <w:bCs/>
                <w:sz w:val="20"/>
                <w:szCs w:val="20"/>
                <w:lang w:val="sr-Cyrl-RS"/>
              </w:rPr>
              <w:t>0,39</w:t>
            </w:r>
          </w:p>
        </w:tc>
        <w:tc>
          <w:tcPr>
            <w:tcW w:w="879" w:type="dxa"/>
            <w:vAlign w:val="center"/>
            <w:hideMark/>
          </w:tcPr>
          <w:p w14:paraId="6104EAF6" w14:textId="77777777" w:rsidR="00FE15B5" w:rsidRPr="00EF2F18" w:rsidRDefault="00FE15B5" w:rsidP="00FE15B5">
            <w:pPr>
              <w:pStyle w:val="Default"/>
              <w:ind w:firstLine="720"/>
              <w:jc w:val="right"/>
              <w:rPr>
                <w:rFonts w:ascii="Times New Roman" w:hAnsi="Times New Roman" w:cs="Times New Roman"/>
                <w:b/>
                <w:bCs/>
                <w:sz w:val="20"/>
                <w:szCs w:val="20"/>
                <w:lang w:val="sr-Cyrl-RS"/>
              </w:rPr>
            </w:pPr>
          </w:p>
        </w:tc>
        <w:tc>
          <w:tcPr>
            <w:tcW w:w="879" w:type="dxa"/>
            <w:vAlign w:val="center"/>
            <w:hideMark/>
          </w:tcPr>
          <w:p w14:paraId="14B6C81F" w14:textId="77777777" w:rsidR="00FE15B5" w:rsidRPr="00EF2F18" w:rsidRDefault="00FE15B5" w:rsidP="00FE15B5">
            <w:pPr>
              <w:pStyle w:val="Default"/>
              <w:ind w:firstLine="720"/>
              <w:jc w:val="right"/>
              <w:rPr>
                <w:rFonts w:ascii="Times New Roman" w:hAnsi="Times New Roman" w:cs="Times New Roman"/>
                <w:b/>
                <w:bCs/>
                <w:sz w:val="20"/>
                <w:szCs w:val="20"/>
                <w:lang w:val="sr-Cyrl-RS"/>
              </w:rPr>
            </w:pPr>
          </w:p>
        </w:tc>
        <w:tc>
          <w:tcPr>
            <w:tcW w:w="881" w:type="dxa"/>
            <w:vAlign w:val="center"/>
            <w:hideMark/>
          </w:tcPr>
          <w:p w14:paraId="4327FE31" w14:textId="77777777" w:rsidR="00FE15B5" w:rsidRPr="00EF2F18" w:rsidRDefault="00FE15B5" w:rsidP="00FE15B5">
            <w:pPr>
              <w:pStyle w:val="Default"/>
              <w:ind w:firstLine="720"/>
              <w:jc w:val="right"/>
              <w:rPr>
                <w:rFonts w:ascii="Times New Roman" w:hAnsi="Times New Roman" w:cs="Times New Roman"/>
                <w:b/>
                <w:bCs/>
                <w:sz w:val="20"/>
                <w:szCs w:val="20"/>
                <w:lang w:val="sr-Cyrl-RS"/>
              </w:rPr>
            </w:pPr>
          </w:p>
        </w:tc>
      </w:tr>
    </w:tbl>
    <w:p w14:paraId="317199FD" w14:textId="343A23EB" w:rsidR="00C071E5" w:rsidRPr="00EF2F18" w:rsidRDefault="00C42C4E" w:rsidP="00C071E5">
      <w:pPr>
        <w:pStyle w:val="Default"/>
        <w:rPr>
          <w:rFonts w:ascii="Times New Roman" w:hAnsi="Times New Roman" w:cs="Times New Roman"/>
          <w:i/>
          <w:iCs/>
          <w:sz w:val="20"/>
          <w:szCs w:val="20"/>
          <w:lang w:val="sr-Cyrl-RS"/>
        </w:rPr>
      </w:pPr>
      <w:r w:rsidRPr="00EF2F18">
        <w:rPr>
          <w:rFonts w:ascii="Times New Roman" w:hAnsi="Times New Roman" w:cs="Times New Roman"/>
          <w:i/>
          <w:iCs/>
          <w:sz w:val="20"/>
          <w:szCs w:val="20"/>
          <w:lang w:val="sr-Cyrl-RS"/>
        </w:rPr>
        <w:t>Извор:</w:t>
      </w:r>
      <w:r w:rsidR="00172209" w:rsidRPr="00EF2F18">
        <w:rPr>
          <w:rFonts w:ascii="Times New Roman" w:hAnsi="Times New Roman" w:cs="Times New Roman"/>
          <w:i/>
          <w:iCs/>
          <w:sz w:val="20"/>
          <w:szCs w:val="20"/>
          <w:lang w:val="sr-Cyrl-RS"/>
        </w:rPr>
        <w:t xml:space="preserve"> Израчунато на основу података Министарства финансија</w:t>
      </w:r>
    </w:p>
    <w:p w14:paraId="624114ED" w14:textId="77777777" w:rsidR="00387C7F" w:rsidRPr="00EF2F18" w:rsidRDefault="00387C7F" w:rsidP="00C071E5">
      <w:pPr>
        <w:pStyle w:val="Default"/>
        <w:rPr>
          <w:rFonts w:ascii="Times New Roman" w:hAnsi="Times New Roman" w:cs="Times New Roman"/>
          <w:sz w:val="20"/>
          <w:szCs w:val="20"/>
          <w:lang w:val="sr-Cyrl-RS"/>
        </w:rPr>
      </w:pPr>
    </w:p>
    <w:p w14:paraId="3156930A" w14:textId="2651CEE9" w:rsidR="00B73E48" w:rsidRPr="00EF2F18" w:rsidRDefault="00B73E48" w:rsidP="00F23129">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У периоду након 2021. године у Србији забележен је значајан пораст укупних издатака за финансирање активности у оквиру пет стубова које обухвата Зелена агенда. У 2021. години укупни издаци су порасли за око 200 милиона евра, што је више од </w:t>
      </w:r>
      <w:r w:rsidR="002E1CC0">
        <w:rPr>
          <w:rFonts w:ascii="Times New Roman" w:hAnsi="Times New Roman" w:cs="Times New Roman"/>
          <w:sz w:val="22"/>
          <w:szCs w:val="22"/>
          <w:lang w:val="sr-Cyrl-RS"/>
        </w:rPr>
        <w:t>десет</w:t>
      </w:r>
      <w:r w:rsidRPr="00EF2F18">
        <w:rPr>
          <w:rFonts w:ascii="Times New Roman" w:hAnsi="Times New Roman" w:cs="Times New Roman"/>
          <w:sz w:val="22"/>
          <w:szCs w:val="22"/>
          <w:lang w:val="sr-Cyrl-RS"/>
        </w:rPr>
        <w:t xml:space="preserve"> пута већи износ у односу на 2020. годину. Такође, у 2022. години укупни издаци су се повећали за додатних 6%. У укупној структури издатака посматрано по стубовима у 2022. години укупни издаци за смањење загађења и одрживу пољопривреду су повећани, док су незнатно смањени издаци за декарбонизацију и биодиверзитет. Више од половине укупних издатака је издвојено за смањење загађења, а посебно позитивна чињеница је што 15% укупних издатака се односи на област циркуларне економије. Позитивна чињеница јесте и пораст учешћа инвестиција у БДП у области које покрива Зелена агенда на 0,3% у 2022. години. Инвестиције у свим стубовима су значајно повећане у 2022. години у односу на 2020. годину. Две трећине укупних инвестиција у 2022. години је усмерено на смањење загађења.</w:t>
      </w:r>
    </w:p>
    <w:p w14:paraId="074C0EAF" w14:textId="77777777" w:rsidR="00B73E48" w:rsidRPr="00EF2F18" w:rsidRDefault="00B73E48" w:rsidP="00C071E5">
      <w:pPr>
        <w:pStyle w:val="Default"/>
        <w:rPr>
          <w:rFonts w:ascii="Times New Roman" w:hAnsi="Times New Roman" w:cs="Times New Roman"/>
          <w:sz w:val="20"/>
          <w:szCs w:val="20"/>
          <w:lang w:val="sr-Cyrl-RS"/>
        </w:rPr>
      </w:pPr>
    </w:p>
    <w:p w14:paraId="41A31D0A" w14:textId="219C9A80" w:rsidR="003A3A78" w:rsidRPr="00EF2F18" w:rsidRDefault="003A3A78" w:rsidP="00F34D8C">
      <w:pPr>
        <w:pStyle w:val="Heading3"/>
        <w:numPr>
          <w:ilvl w:val="2"/>
          <w:numId w:val="2"/>
        </w:numPr>
        <w:jc w:val="center"/>
        <w:rPr>
          <w:rFonts w:cs="Times New Roman"/>
          <w:sz w:val="22"/>
          <w:szCs w:val="22"/>
          <w:lang w:val="sr-Cyrl-RS"/>
        </w:rPr>
      </w:pPr>
      <w:bookmarkStart w:id="81" w:name="_Toc158307721"/>
      <w:r w:rsidRPr="00EF2F18">
        <w:rPr>
          <w:rFonts w:cs="Times New Roman"/>
          <w:sz w:val="22"/>
          <w:szCs w:val="22"/>
          <w:lang w:val="sr-Cyrl-RS"/>
        </w:rPr>
        <w:t>Накнада у области животне средине</w:t>
      </w:r>
      <w:bookmarkEnd w:id="81"/>
    </w:p>
    <w:p w14:paraId="299DF282" w14:textId="03D86F07" w:rsidR="003A3A78" w:rsidRPr="00EF2F18" w:rsidRDefault="00DD53CA" w:rsidP="003A3A78">
      <w:pPr>
        <w:spacing w:after="0"/>
        <w:ind w:firstLine="720"/>
        <w:jc w:val="both"/>
        <w:rPr>
          <w:rFonts w:cs="Times New Roman"/>
          <w:sz w:val="22"/>
          <w:lang w:val="sr-Cyrl-RS"/>
        </w:rPr>
      </w:pPr>
      <w:r w:rsidRPr="00EF2F18">
        <w:rPr>
          <w:rFonts w:cs="Times New Roman"/>
          <w:sz w:val="22"/>
          <w:lang w:val="sr-Cyrl-RS"/>
        </w:rPr>
        <w:t>Према последњим расположивим подацима Републичког завода за статистику (РЗС), у 202</w:t>
      </w:r>
      <w:r w:rsidR="00113216" w:rsidRPr="00EF2F18">
        <w:rPr>
          <w:rFonts w:cs="Times New Roman"/>
          <w:sz w:val="22"/>
          <w:lang w:val="sr-Cyrl-RS"/>
        </w:rPr>
        <w:t>2</w:t>
      </w:r>
      <w:r w:rsidRPr="00EF2F18">
        <w:rPr>
          <w:rFonts w:cs="Times New Roman"/>
          <w:sz w:val="22"/>
          <w:lang w:val="sr-Cyrl-RS"/>
        </w:rPr>
        <w:t>. години, укупни приходи од накнада у области животне средине износили су 24</w:t>
      </w:r>
      <w:r w:rsidR="00113216" w:rsidRPr="00EF2F18">
        <w:rPr>
          <w:rFonts w:cs="Times New Roman"/>
          <w:sz w:val="22"/>
          <w:lang w:val="sr-Cyrl-RS"/>
        </w:rPr>
        <w:t>1</w:t>
      </w:r>
      <w:r w:rsidRPr="00EF2F18">
        <w:rPr>
          <w:rFonts w:cs="Times New Roman"/>
          <w:sz w:val="22"/>
          <w:lang w:val="sr-Cyrl-RS"/>
        </w:rPr>
        <w:t>.</w:t>
      </w:r>
      <w:r w:rsidR="00113216" w:rsidRPr="00EF2F18">
        <w:rPr>
          <w:rFonts w:cs="Times New Roman"/>
          <w:sz w:val="22"/>
          <w:lang w:val="sr-Cyrl-RS"/>
        </w:rPr>
        <w:t>663</w:t>
      </w:r>
      <w:r w:rsidRPr="00EF2F18">
        <w:rPr>
          <w:rFonts w:cs="Times New Roman"/>
          <w:sz w:val="22"/>
          <w:lang w:val="sr-Cyrl-RS"/>
        </w:rPr>
        <w:t>,</w:t>
      </w:r>
      <w:r w:rsidR="00113216" w:rsidRPr="00EF2F18">
        <w:rPr>
          <w:rFonts w:cs="Times New Roman"/>
          <w:sz w:val="22"/>
          <w:lang w:val="sr-Cyrl-RS"/>
        </w:rPr>
        <w:t xml:space="preserve">3 </w:t>
      </w:r>
      <w:r w:rsidRPr="00EF2F18">
        <w:rPr>
          <w:rFonts w:cs="Times New Roman"/>
          <w:sz w:val="22"/>
          <w:lang w:val="sr-Cyrl-RS"/>
        </w:rPr>
        <w:t xml:space="preserve">мил. РСД, што је за 1% </w:t>
      </w:r>
      <w:r w:rsidR="00113216" w:rsidRPr="00EF2F18">
        <w:rPr>
          <w:rFonts w:cs="Times New Roman"/>
          <w:sz w:val="22"/>
          <w:lang w:val="sr-Cyrl-RS"/>
        </w:rPr>
        <w:t xml:space="preserve">мање </w:t>
      </w:r>
      <w:r w:rsidRPr="00EF2F18">
        <w:rPr>
          <w:rFonts w:cs="Times New Roman"/>
          <w:sz w:val="22"/>
          <w:lang w:val="sr-Cyrl-RS"/>
        </w:rPr>
        <w:t>него претходне године.</w:t>
      </w:r>
      <w:r w:rsidR="006C2E00" w:rsidRPr="00EF2F18">
        <w:rPr>
          <w:rFonts w:cs="Times New Roman"/>
          <w:sz w:val="22"/>
          <w:lang w:val="sr-Cyrl-RS"/>
        </w:rPr>
        <w:t xml:space="preserve"> </w:t>
      </w:r>
      <w:r w:rsidR="003A3A78" w:rsidRPr="00EF2F18">
        <w:rPr>
          <w:rFonts w:cs="Times New Roman"/>
          <w:sz w:val="22"/>
          <w:lang w:val="sr-Cyrl-RS"/>
        </w:rPr>
        <w:t xml:space="preserve">Републички завод за статистику приказује, према методологији </w:t>
      </w:r>
      <w:r w:rsidR="00796B63" w:rsidRPr="00EF2F18">
        <w:rPr>
          <w:rFonts w:cs="Times New Roman"/>
          <w:sz w:val="22"/>
          <w:lang w:val="sr-Cyrl-RS"/>
        </w:rPr>
        <w:t>Еуростата</w:t>
      </w:r>
      <w:r w:rsidR="003A3A78" w:rsidRPr="00EF2F18">
        <w:rPr>
          <w:rFonts w:cs="Times New Roman"/>
          <w:sz w:val="22"/>
          <w:lang w:val="sr-Cyrl-RS"/>
        </w:rPr>
        <w:t>, укупне приходе од накнада у области животне средине, које обухватају четири врсте накнада: енергетске накнаде, накнаде у области саобраћаја, накнаде за загађење и накнаде за коришћење ресурса. Највеће учешће у структури прихода имале су категорије енергетскe накнаде 87,</w:t>
      </w:r>
      <w:r w:rsidR="00113216" w:rsidRPr="00EF2F18">
        <w:rPr>
          <w:rFonts w:cs="Times New Roman"/>
          <w:sz w:val="22"/>
          <w:lang w:val="sr-Cyrl-RS"/>
        </w:rPr>
        <w:t>2</w:t>
      </w:r>
      <w:r w:rsidR="003A3A78" w:rsidRPr="00EF2F18">
        <w:rPr>
          <w:rFonts w:cs="Times New Roman"/>
          <w:sz w:val="22"/>
          <w:lang w:val="sr-Cyrl-RS"/>
        </w:rPr>
        <w:t xml:space="preserve">% и накнаде у области саобраћаја </w:t>
      </w:r>
      <w:r w:rsidR="00113216" w:rsidRPr="00EF2F18">
        <w:rPr>
          <w:rFonts w:cs="Times New Roman"/>
          <w:sz w:val="22"/>
          <w:lang w:val="sr-Cyrl-RS"/>
        </w:rPr>
        <w:t>7,2</w:t>
      </w:r>
      <w:r w:rsidR="003A3A78" w:rsidRPr="00EF2F18">
        <w:rPr>
          <w:rFonts w:cs="Times New Roman"/>
          <w:sz w:val="22"/>
          <w:lang w:val="sr-Cyrl-RS"/>
        </w:rPr>
        <w:t xml:space="preserve">%, док су накнаде за загађење и накнаде за коришћење ресурса учествовале са </w:t>
      </w:r>
      <w:r w:rsidR="00113216" w:rsidRPr="00EF2F18">
        <w:rPr>
          <w:rFonts w:cs="Times New Roman"/>
          <w:sz w:val="22"/>
          <w:lang w:val="sr-Cyrl-RS"/>
        </w:rPr>
        <w:t>3,8</w:t>
      </w:r>
      <w:r w:rsidR="003A3A78" w:rsidRPr="00EF2F18">
        <w:rPr>
          <w:rFonts w:cs="Times New Roman"/>
          <w:sz w:val="22"/>
          <w:lang w:val="sr-Cyrl-RS"/>
        </w:rPr>
        <w:t>% односно са 1,</w:t>
      </w:r>
      <w:r w:rsidR="00113216" w:rsidRPr="00EF2F18">
        <w:rPr>
          <w:rFonts w:cs="Times New Roman"/>
          <w:sz w:val="22"/>
          <w:lang w:val="sr-Cyrl-RS"/>
        </w:rPr>
        <w:t>7</w:t>
      </w:r>
      <w:r w:rsidR="003A3A78" w:rsidRPr="00EF2F18">
        <w:rPr>
          <w:rFonts w:cs="Times New Roman"/>
          <w:sz w:val="22"/>
          <w:lang w:val="sr-Cyrl-RS"/>
        </w:rPr>
        <w:t>%, респективно.</w:t>
      </w:r>
    </w:p>
    <w:p w14:paraId="27639F21" w14:textId="77777777" w:rsidR="00A13032" w:rsidRPr="00EF2F18" w:rsidRDefault="00A13032" w:rsidP="003A3A78">
      <w:pPr>
        <w:spacing w:after="0"/>
        <w:jc w:val="both"/>
        <w:rPr>
          <w:rFonts w:cs="Times New Roman"/>
          <w:sz w:val="22"/>
          <w:lang w:val="sr-Cyrl-RS"/>
        </w:rPr>
      </w:pPr>
    </w:p>
    <w:p w14:paraId="7CE182FD" w14:textId="05B05D96" w:rsidR="00387C7F" w:rsidRPr="00EF2F18" w:rsidRDefault="00387C7F" w:rsidP="00387C7F">
      <w:pPr>
        <w:pStyle w:val="Caption"/>
        <w:spacing w:after="0" w:line="240" w:lineRule="auto"/>
        <w:rPr>
          <w:rFonts w:ascii="Times New Roman" w:hAnsi="Times New Roman"/>
          <w:sz w:val="22"/>
          <w:szCs w:val="22"/>
          <w:lang w:val="sr-Cyrl-RS"/>
        </w:rPr>
      </w:pPr>
      <w:r w:rsidRPr="00EF2F18">
        <w:rPr>
          <w:rFonts w:ascii="Times New Roman" w:hAnsi="Times New Roman"/>
          <w:sz w:val="22"/>
          <w:szCs w:val="22"/>
          <w:lang w:val="sr-Cyrl-RS"/>
        </w:rPr>
        <w:t xml:space="preserve">Табела </w:t>
      </w:r>
      <w:r w:rsidR="00172209" w:rsidRPr="00EF2F18">
        <w:rPr>
          <w:rFonts w:ascii="Times New Roman" w:hAnsi="Times New Roman"/>
          <w:sz w:val="22"/>
          <w:szCs w:val="22"/>
          <w:lang w:val="sr-Cyrl-RS"/>
        </w:rPr>
        <w:t>3.</w:t>
      </w:r>
      <w:r w:rsidR="006C1A98" w:rsidRPr="00EF2F18">
        <w:rPr>
          <w:rFonts w:ascii="Times New Roman" w:hAnsi="Times New Roman"/>
          <w:sz w:val="22"/>
          <w:szCs w:val="22"/>
          <w:lang w:val="sr-Cyrl-RS"/>
        </w:rPr>
        <w:t>9</w:t>
      </w:r>
      <w:r w:rsidR="00172209" w:rsidRPr="00EF2F18">
        <w:rPr>
          <w:rFonts w:ascii="Times New Roman" w:hAnsi="Times New Roman"/>
          <w:sz w:val="22"/>
          <w:szCs w:val="22"/>
          <w:lang w:val="sr-Cyrl-RS"/>
        </w:rPr>
        <w:t>.</w:t>
      </w:r>
      <w:r w:rsidRPr="00EF2F18">
        <w:rPr>
          <w:rFonts w:ascii="Times New Roman" w:hAnsi="Times New Roman"/>
          <w:sz w:val="22"/>
          <w:szCs w:val="22"/>
          <w:lang w:val="sr-Cyrl-RS"/>
        </w:rPr>
        <w:t xml:space="preserve"> </w:t>
      </w:r>
      <w:r w:rsidRPr="00EF2F18">
        <w:rPr>
          <w:rFonts w:ascii="Times New Roman" w:hAnsi="Times New Roman"/>
          <w:b w:val="0"/>
          <w:bCs w:val="0"/>
          <w:sz w:val="22"/>
          <w:szCs w:val="22"/>
          <w:lang w:val="sr-Cyrl-RS"/>
        </w:rPr>
        <w:t>Приходи од накнада у области животне средине, по врстама накнада у милионима РСД</w:t>
      </w:r>
    </w:p>
    <w:tbl>
      <w:tblPr>
        <w:tblStyle w:val="TableGrid"/>
        <w:tblW w:w="4941" w:type="pct"/>
        <w:tblLook w:val="04A0" w:firstRow="1" w:lastRow="0" w:firstColumn="1" w:lastColumn="0" w:noHBand="0" w:noVBand="1"/>
      </w:tblPr>
      <w:tblGrid>
        <w:gridCol w:w="1181"/>
        <w:gridCol w:w="1360"/>
        <w:gridCol w:w="1665"/>
        <w:gridCol w:w="1606"/>
        <w:gridCol w:w="1381"/>
        <w:gridCol w:w="1718"/>
      </w:tblGrid>
      <w:tr w:rsidR="002D52EC" w:rsidRPr="00EF2F18" w14:paraId="6B150A66" w14:textId="77777777" w:rsidTr="00443FDD">
        <w:trPr>
          <w:trHeight w:val="283"/>
        </w:trPr>
        <w:tc>
          <w:tcPr>
            <w:tcW w:w="663" w:type="pct"/>
            <w:shd w:val="clear" w:color="auto" w:fill="FFFFCC"/>
            <w:vAlign w:val="center"/>
            <w:hideMark/>
          </w:tcPr>
          <w:p w14:paraId="726B0D55"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Период</w:t>
            </w:r>
          </w:p>
        </w:tc>
        <w:tc>
          <w:tcPr>
            <w:tcW w:w="763" w:type="pct"/>
            <w:shd w:val="clear" w:color="auto" w:fill="FFFFCC"/>
            <w:vAlign w:val="center"/>
            <w:hideMark/>
          </w:tcPr>
          <w:p w14:paraId="0FEB659A"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Укупно</w:t>
            </w:r>
          </w:p>
        </w:tc>
        <w:tc>
          <w:tcPr>
            <w:tcW w:w="934" w:type="pct"/>
            <w:shd w:val="clear" w:color="auto" w:fill="FFFFCC"/>
            <w:vAlign w:val="center"/>
            <w:hideMark/>
          </w:tcPr>
          <w:p w14:paraId="54A571D4"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Енергетске накнаде</w:t>
            </w:r>
          </w:p>
        </w:tc>
        <w:tc>
          <w:tcPr>
            <w:tcW w:w="901" w:type="pct"/>
            <w:shd w:val="clear" w:color="auto" w:fill="FFFFCC"/>
            <w:vAlign w:val="center"/>
            <w:hideMark/>
          </w:tcPr>
          <w:p w14:paraId="6A0CA449"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Накнаде у области саобраћаја</w:t>
            </w:r>
          </w:p>
        </w:tc>
        <w:tc>
          <w:tcPr>
            <w:tcW w:w="775" w:type="pct"/>
            <w:shd w:val="clear" w:color="auto" w:fill="FFFFCC"/>
            <w:vAlign w:val="center"/>
            <w:hideMark/>
          </w:tcPr>
          <w:p w14:paraId="02076F4C"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Накнаде за загађење</w:t>
            </w:r>
          </w:p>
        </w:tc>
        <w:tc>
          <w:tcPr>
            <w:tcW w:w="964" w:type="pct"/>
            <w:shd w:val="clear" w:color="auto" w:fill="FFFFCC"/>
            <w:vAlign w:val="center"/>
            <w:hideMark/>
          </w:tcPr>
          <w:p w14:paraId="724563DD"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Накнаде за коришћење ресурса</w:t>
            </w:r>
          </w:p>
        </w:tc>
      </w:tr>
      <w:tr w:rsidR="00397A21" w:rsidRPr="00EF2F18" w14:paraId="65053D70" w14:textId="77777777" w:rsidTr="00443FDD">
        <w:trPr>
          <w:trHeight w:val="283"/>
        </w:trPr>
        <w:tc>
          <w:tcPr>
            <w:tcW w:w="663" w:type="pct"/>
            <w:hideMark/>
          </w:tcPr>
          <w:p w14:paraId="213CD83A"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2012.</w:t>
            </w:r>
          </w:p>
        </w:tc>
        <w:tc>
          <w:tcPr>
            <w:tcW w:w="763" w:type="pct"/>
            <w:hideMark/>
          </w:tcPr>
          <w:p w14:paraId="363FF59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111.146,3</w:t>
            </w:r>
          </w:p>
        </w:tc>
        <w:tc>
          <w:tcPr>
            <w:tcW w:w="934" w:type="pct"/>
            <w:hideMark/>
          </w:tcPr>
          <w:p w14:paraId="4EBCCD56"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91.719,7</w:t>
            </w:r>
          </w:p>
        </w:tc>
        <w:tc>
          <w:tcPr>
            <w:tcW w:w="901" w:type="pct"/>
            <w:hideMark/>
          </w:tcPr>
          <w:p w14:paraId="3C1E3A47"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11.504,0</w:t>
            </w:r>
          </w:p>
        </w:tc>
        <w:tc>
          <w:tcPr>
            <w:tcW w:w="775" w:type="pct"/>
            <w:hideMark/>
          </w:tcPr>
          <w:p w14:paraId="6EAE8E0E"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5.727,4</w:t>
            </w:r>
          </w:p>
        </w:tc>
        <w:tc>
          <w:tcPr>
            <w:tcW w:w="964" w:type="pct"/>
            <w:hideMark/>
          </w:tcPr>
          <w:p w14:paraId="398CAE3D"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2.195,1</w:t>
            </w:r>
          </w:p>
        </w:tc>
      </w:tr>
      <w:tr w:rsidR="00397A21" w:rsidRPr="00EF2F18" w14:paraId="30208DB8" w14:textId="77777777" w:rsidTr="00443FDD">
        <w:trPr>
          <w:trHeight w:val="283"/>
        </w:trPr>
        <w:tc>
          <w:tcPr>
            <w:tcW w:w="663" w:type="pct"/>
            <w:hideMark/>
          </w:tcPr>
          <w:p w14:paraId="1512E561"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2013.</w:t>
            </w:r>
          </w:p>
        </w:tc>
        <w:tc>
          <w:tcPr>
            <w:tcW w:w="763" w:type="pct"/>
            <w:hideMark/>
          </w:tcPr>
          <w:p w14:paraId="10F67F1A"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129.772,9</w:t>
            </w:r>
          </w:p>
        </w:tc>
        <w:tc>
          <w:tcPr>
            <w:tcW w:w="934" w:type="pct"/>
            <w:hideMark/>
          </w:tcPr>
          <w:p w14:paraId="5B76B926"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109.690,8</w:t>
            </w:r>
          </w:p>
        </w:tc>
        <w:tc>
          <w:tcPr>
            <w:tcW w:w="901" w:type="pct"/>
            <w:hideMark/>
          </w:tcPr>
          <w:p w14:paraId="74A9C330"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10.619,9</w:t>
            </w:r>
          </w:p>
        </w:tc>
        <w:tc>
          <w:tcPr>
            <w:tcW w:w="775" w:type="pct"/>
            <w:hideMark/>
          </w:tcPr>
          <w:p w14:paraId="2FB20738"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6.459,0</w:t>
            </w:r>
          </w:p>
        </w:tc>
        <w:tc>
          <w:tcPr>
            <w:tcW w:w="964" w:type="pct"/>
            <w:hideMark/>
          </w:tcPr>
          <w:p w14:paraId="5BCBAFB5"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3.003,2</w:t>
            </w:r>
          </w:p>
        </w:tc>
      </w:tr>
      <w:tr w:rsidR="00397A21" w:rsidRPr="00EF2F18" w14:paraId="65360FEC" w14:textId="77777777" w:rsidTr="00443FDD">
        <w:trPr>
          <w:trHeight w:val="283"/>
        </w:trPr>
        <w:tc>
          <w:tcPr>
            <w:tcW w:w="663" w:type="pct"/>
            <w:hideMark/>
          </w:tcPr>
          <w:p w14:paraId="6BE992F3"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2014.</w:t>
            </w:r>
          </w:p>
        </w:tc>
        <w:tc>
          <w:tcPr>
            <w:tcW w:w="763" w:type="pct"/>
            <w:hideMark/>
          </w:tcPr>
          <w:p w14:paraId="7AB75C9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152.867,0</w:t>
            </w:r>
          </w:p>
        </w:tc>
        <w:tc>
          <w:tcPr>
            <w:tcW w:w="934" w:type="pct"/>
            <w:hideMark/>
          </w:tcPr>
          <w:p w14:paraId="67676D9C"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128.563,0</w:t>
            </w:r>
          </w:p>
        </w:tc>
        <w:tc>
          <w:tcPr>
            <w:tcW w:w="901" w:type="pct"/>
            <w:hideMark/>
          </w:tcPr>
          <w:p w14:paraId="05E4DD68"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11.045,7</w:t>
            </w:r>
          </w:p>
        </w:tc>
        <w:tc>
          <w:tcPr>
            <w:tcW w:w="775" w:type="pct"/>
            <w:hideMark/>
          </w:tcPr>
          <w:p w14:paraId="380E8931"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9.844,6</w:t>
            </w:r>
          </w:p>
        </w:tc>
        <w:tc>
          <w:tcPr>
            <w:tcW w:w="964" w:type="pct"/>
            <w:hideMark/>
          </w:tcPr>
          <w:p w14:paraId="20B1EF4D"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3.413,7</w:t>
            </w:r>
          </w:p>
        </w:tc>
      </w:tr>
      <w:tr w:rsidR="00397A21" w:rsidRPr="00EF2F18" w14:paraId="6D854960" w14:textId="77777777" w:rsidTr="00443FDD">
        <w:trPr>
          <w:trHeight w:val="283"/>
        </w:trPr>
        <w:tc>
          <w:tcPr>
            <w:tcW w:w="663" w:type="pct"/>
            <w:hideMark/>
          </w:tcPr>
          <w:p w14:paraId="660DBE5A"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2015.</w:t>
            </w:r>
          </w:p>
        </w:tc>
        <w:tc>
          <w:tcPr>
            <w:tcW w:w="763" w:type="pct"/>
            <w:hideMark/>
          </w:tcPr>
          <w:p w14:paraId="384C78EF"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167.198,7</w:t>
            </w:r>
          </w:p>
        </w:tc>
        <w:tc>
          <w:tcPr>
            <w:tcW w:w="934" w:type="pct"/>
            <w:hideMark/>
          </w:tcPr>
          <w:p w14:paraId="68C8346D"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144.900,1</w:t>
            </w:r>
          </w:p>
        </w:tc>
        <w:tc>
          <w:tcPr>
            <w:tcW w:w="901" w:type="pct"/>
            <w:hideMark/>
          </w:tcPr>
          <w:p w14:paraId="63901E00"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11.782,7</w:t>
            </w:r>
          </w:p>
        </w:tc>
        <w:tc>
          <w:tcPr>
            <w:tcW w:w="775" w:type="pct"/>
            <w:hideMark/>
          </w:tcPr>
          <w:p w14:paraId="2ADBCF20"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6.992,9</w:t>
            </w:r>
          </w:p>
        </w:tc>
        <w:tc>
          <w:tcPr>
            <w:tcW w:w="964" w:type="pct"/>
            <w:hideMark/>
          </w:tcPr>
          <w:p w14:paraId="4DA5D265"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3.522,9</w:t>
            </w:r>
          </w:p>
        </w:tc>
      </w:tr>
      <w:tr w:rsidR="00397A21" w:rsidRPr="00EF2F18" w14:paraId="26F699A4" w14:textId="77777777" w:rsidTr="00443FDD">
        <w:trPr>
          <w:trHeight w:val="283"/>
        </w:trPr>
        <w:tc>
          <w:tcPr>
            <w:tcW w:w="663" w:type="pct"/>
            <w:hideMark/>
          </w:tcPr>
          <w:p w14:paraId="2D5CDC2A"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2016.</w:t>
            </w:r>
          </w:p>
        </w:tc>
        <w:tc>
          <w:tcPr>
            <w:tcW w:w="763" w:type="pct"/>
            <w:hideMark/>
          </w:tcPr>
          <w:p w14:paraId="5E770D80"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186.653,4</w:t>
            </w:r>
          </w:p>
        </w:tc>
        <w:tc>
          <w:tcPr>
            <w:tcW w:w="934" w:type="pct"/>
            <w:hideMark/>
          </w:tcPr>
          <w:p w14:paraId="184DC3F7"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161.796,2</w:t>
            </w:r>
          </w:p>
        </w:tc>
        <w:tc>
          <w:tcPr>
            <w:tcW w:w="901" w:type="pct"/>
            <w:hideMark/>
          </w:tcPr>
          <w:p w14:paraId="7A6393BF"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12.600,1</w:t>
            </w:r>
          </w:p>
        </w:tc>
        <w:tc>
          <w:tcPr>
            <w:tcW w:w="775" w:type="pct"/>
            <w:hideMark/>
          </w:tcPr>
          <w:p w14:paraId="59280F5B"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9.136,2</w:t>
            </w:r>
          </w:p>
        </w:tc>
        <w:tc>
          <w:tcPr>
            <w:tcW w:w="964" w:type="pct"/>
            <w:hideMark/>
          </w:tcPr>
          <w:p w14:paraId="70E1F165"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3.120,9</w:t>
            </w:r>
          </w:p>
        </w:tc>
      </w:tr>
      <w:tr w:rsidR="00397A21" w:rsidRPr="00EF2F18" w14:paraId="2CF10836" w14:textId="77777777" w:rsidTr="00443FDD">
        <w:trPr>
          <w:trHeight w:val="283"/>
        </w:trPr>
        <w:tc>
          <w:tcPr>
            <w:tcW w:w="663" w:type="pct"/>
            <w:hideMark/>
          </w:tcPr>
          <w:p w14:paraId="5D70FC6C"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2017.</w:t>
            </w:r>
          </w:p>
        </w:tc>
        <w:tc>
          <w:tcPr>
            <w:tcW w:w="763" w:type="pct"/>
            <w:hideMark/>
          </w:tcPr>
          <w:p w14:paraId="52909EE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195.906,2</w:t>
            </w:r>
          </w:p>
        </w:tc>
        <w:tc>
          <w:tcPr>
            <w:tcW w:w="934" w:type="pct"/>
            <w:hideMark/>
          </w:tcPr>
          <w:p w14:paraId="112C5AA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167.779,2</w:t>
            </w:r>
          </w:p>
        </w:tc>
        <w:tc>
          <w:tcPr>
            <w:tcW w:w="901" w:type="pct"/>
            <w:hideMark/>
          </w:tcPr>
          <w:p w14:paraId="6D9DCF77"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13.817,4</w:t>
            </w:r>
          </w:p>
        </w:tc>
        <w:tc>
          <w:tcPr>
            <w:tcW w:w="775" w:type="pct"/>
            <w:hideMark/>
          </w:tcPr>
          <w:p w14:paraId="5A2D0788"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11.071,6</w:t>
            </w:r>
          </w:p>
        </w:tc>
        <w:tc>
          <w:tcPr>
            <w:tcW w:w="964" w:type="pct"/>
            <w:hideMark/>
          </w:tcPr>
          <w:p w14:paraId="0C86DDA0"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3.238,0</w:t>
            </w:r>
          </w:p>
        </w:tc>
      </w:tr>
      <w:tr w:rsidR="00397A21" w:rsidRPr="00EF2F18" w14:paraId="20BE7EC0" w14:textId="77777777" w:rsidTr="00443FDD">
        <w:trPr>
          <w:trHeight w:val="283"/>
        </w:trPr>
        <w:tc>
          <w:tcPr>
            <w:tcW w:w="663" w:type="pct"/>
            <w:hideMark/>
          </w:tcPr>
          <w:p w14:paraId="35D4C53A"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2018.</w:t>
            </w:r>
          </w:p>
        </w:tc>
        <w:tc>
          <w:tcPr>
            <w:tcW w:w="763" w:type="pct"/>
            <w:hideMark/>
          </w:tcPr>
          <w:p w14:paraId="3E9F1218"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211.825,5</w:t>
            </w:r>
          </w:p>
        </w:tc>
        <w:tc>
          <w:tcPr>
            <w:tcW w:w="934" w:type="pct"/>
            <w:hideMark/>
          </w:tcPr>
          <w:p w14:paraId="7785FC41"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182.389,8</w:t>
            </w:r>
          </w:p>
        </w:tc>
        <w:tc>
          <w:tcPr>
            <w:tcW w:w="901" w:type="pct"/>
            <w:hideMark/>
          </w:tcPr>
          <w:p w14:paraId="6A2B4C2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14.769,6</w:t>
            </w:r>
          </w:p>
        </w:tc>
        <w:tc>
          <w:tcPr>
            <w:tcW w:w="775" w:type="pct"/>
            <w:hideMark/>
          </w:tcPr>
          <w:p w14:paraId="1A14C4BE"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11.612,4</w:t>
            </w:r>
          </w:p>
        </w:tc>
        <w:tc>
          <w:tcPr>
            <w:tcW w:w="964" w:type="pct"/>
            <w:hideMark/>
          </w:tcPr>
          <w:p w14:paraId="29CC615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3.053,7</w:t>
            </w:r>
          </w:p>
        </w:tc>
      </w:tr>
      <w:tr w:rsidR="00397A21" w:rsidRPr="00EF2F18" w14:paraId="5ABBDD34" w14:textId="77777777" w:rsidTr="00443FDD">
        <w:trPr>
          <w:trHeight w:val="283"/>
        </w:trPr>
        <w:tc>
          <w:tcPr>
            <w:tcW w:w="663" w:type="pct"/>
            <w:hideMark/>
          </w:tcPr>
          <w:p w14:paraId="47115E2C"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2019.</w:t>
            </w:r>
          </w:p>
        </w:tc>
        <w:tc>
          <w:tcPr>
            <w:tcW w:w="763" w:type="pct"/>
            <w:hideMark/>
          </w:tcPr>
          <w:p w14:paraId="00569056"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223.716,2</w:t>
            </w:r>
          </w:p>
        </w:tc>
        <w:tc>
          <w:tcPr>
            <w:tcW w:w="934" w:type="pct"/>
            <w:hideMark/>
          </w:tcPr>
          <w:p w14:paraId="13EBD84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192.180,2</w:t>
            </w:r>
          </w:p>
        </w:tc>
        <w:tc>
          <w:tcPr>
            <w:tcW w:w="901" w:type="pct"/>
            <w:hideMark/>
          </w:tcPr>
          <w:p w14:paraId="59D42B7A"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15.788,9</w:t>
            </w:r>
          </w:p>
        </w:tc>
        <w:tc>
          <w:tcPr>
            <w:tcW w:w="775" w:type="pct"/>
            <w:hideMark/>
          </w:tcPr>
          <w:p w14:paraId="3B94C4D0"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12.457,3</w:t>
            </w:r>
          </w:p>
        </w:tc>
        <w:tc>
          <w:tcPr>
            <w:tcW w:w="964" w:type="pct"/>
            <w:hideMark/>
          </w:tcPr>
          <w:p w14:paraId="554F3548"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3.289,7</w:t>
            </w:r>
          </w:p>
        </w:tc>
      </w:tr>
      <w:tr w:rsidR="00397A21" w:rsidRPr="00EF2F18" w14:paraId="25C73EB1" w14:textId="77777777" w:rsidTr="00443FDD">
        <w:trPr>
          <w:trHeight w:val="283"/>
        </w:trPr>
        <w:tc>
          <w:tcPr>
            <w:tcW w:w="663" w:type="pct"/>
            <w:hideMark/>
          </w:tcPr>
          <w:p w14:paraId="7421E9C1" w14:textId="77777777" w:rsidR="00387C7F" w:rsidRPr="00EF2F18" w:rsidRDefault="00387C7F" w:rsidP="00443FDD">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2020.</w:t>
            </w:r>
          </w:p>
        </w:tc>
        <w:tc>
          <w:tcPr>
            <w:tcW w:w="763" w:type="pct"/>
            <w:hideMark/>
          </w:tcPr>
          <w:p w14:paraId="54119775"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217.890,6</w:t>
            </w:r>
          </w:p>
        </w:tc>
        <w:tc>
          <w:tcPr>
            <w:tcW w:w="934" w:type="pct"/>
            <w:hideMark/>
          </w:tcPr>
          <w:p w14:paraId="41EC5791"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189.557,9</w:t>
            </w:r>
          </w:p>
        </w:tc>
        <w:tc>
          <w:tcPr>
            <w:tcW w:w="901" w:type="pct"/>
            <w:hideMark/>
          </w:tcPr>
          <w:p w14:paraId="22E83D61"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16.275,1</w:t>
            </w:r>
          </w:p>
        </w:tc>
        <w:tc>
          <w:tcPr>
            <w:tcW w:w="775" w:type="pct"/>
            <w:hideMark/>
          </w:tcPr>
          <w:p w14:paraId="428774B3"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9.069,1</w:t>
            </w:r>
          </w:p>
        </w:tc>
        <w:tc>
          <w:tcPr>
            <w:tcW w:w="964" w:type="pct"/>
            <w:hideMark/>
          </w:tcPr>
          <w:p w14:paraId="6194D549" w14:textId="77777777" w:rsidR="00387C7F" w:rsidRPr="00EF2F18" w:rsidRDefault="00387C7F" w:rsidP="00443FDD">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2.988,5</w:t>
            </w:r>
          </w:p>
        </w:tc>
      </w:tr>
      <w:tr w:rsidR="00397A21" w:rsidRPr="00EF2F18" w14:paraId="177C4D11" w14:textId="77777777" w:rsidTr="00AF36A7">
        <w:trPr>
          <w:trHeight w:val="283"/>
        </w:trPr>
        <w:tc>
          <w:tcPr>
            <w:tcW w:w="663" w:type="pct"/>
            <w:hideMark/>
          </w:tcPr>
          <w:p w14:paraId="35B3D499" w14:textId="77777777" w:rsidR="00DD53CA" w:rsidRPr="00EF2F18" w:rsidRDefault="00DD53CA" w:rsidP="00AF36A7">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2021.</w:t>
            </w:r>
          </w:p>
        </w:tc>
        <w:tc>
          <w:tcPr>
            <w:tcW w:w="763" w:type="pct"/>
            <w:hideMark/>
          </w:tcPr>
          <w:p w14:paraId="4EEFC461" w14:textId="77777777" w:rsidR="00DD53CA" w:rsidRPr="00EF2F18" w:rsidRDefault="00DD53CA" w:rsidP="00AF36A7">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243.932,6</w:t>
            </w:r>
          </w:p>
        </w:tc>
        <w:tc>
          <w:tcPr>
            <w:tcW w:w="934" w:type="pct"/>
            <w:hideMark/>
          </w:tcPr>
          <w:p w14:paraId="5F4DA310" w14:textId="77777777" w:rsidR="00DD53CA" w:rsidRPr="00EF2F18" w:rsidRDefault="00DD53CA" w:rsidP="00AF36A7">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213.208,8</w:t>
            </w:r>
          </w:p>
        </w:tc>
        <w:tc>
          <w:tcPr>
            <w:tcW w:w="901" w:type="pct"/>
            <w:hideMark/>
          </w:tcPr>
          <w:p w14:paraId="4075973F" w14:textId="77777777" w:rsidR="00DD53CA" w:rsidRPr="00EF2F18" w:rsidRDefault="00DD53CA" w:rsidP="00AF36A7">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16.898,1</w:t>
            </w:r>
          </w:p>
        </w:tc>
        <w:tc>
          <w:tcPr>
            <w:tcW w:w="775" w:type="pct"/>
            <w:hideMark/>
          </w:tcPr>
          <w:p w14:paraId="7A381E14" w14:textId="77777777" w:rsidR="00DD53CA" w:rsidRPr="00EF2F18" w:rsidRDefault="00DD53CA" w:rsidP="00AF36A7">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10.171,0</w:t>
            </w:r>
          </w:p>
        </w:tc>
        <w:tc>
          <w:tcPr>
            <w:tcW w:w="964" w:type="pct"/>
            <w:hideMark/>
          </w:tcPr>
          <w:p w14:paraId="55E6EF6F" w14:textId="77777777" w:rsidR="00DD53CA" w:rsidRPr="00EF2F18" w:rsidRDefault="00DD53CA" w:rsidP="00AF36A7">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3.654,7</w:t>
            </w:r>
          </w:p>
        </w:tc>
      </w:tr>
      <w:tr w:rsidR="00A35911" w:rsidRPr="00EF2F18" w14:paraId="2D98FDC1" w14:textId="77777777" w:rsidTr="00AF36A7">
        <w:trPr>
          <w:trHeight w:val="283"/>
        </w:trPr>
        <w:tc>
          <w:tcPr>
            <w:tcW w:w="663" w:type="pct"/>
          </w:tcPr>
          <w:p w14:paraId="2744AEE2" w14:textId="14DB1B36" w:rsidR="00113216" w:rsidRPr="00EF2F18" w:rsidRDefault="00113216" w:rsidP="00113216">
            <w:pPr>
              <w:spacing w:after="0"/>
              <w:jc w:val="center"/>
              <w:rPr>
                <w:rFonts w:eastAsia="Times New Roman" w:cs="Times New Roman"/>
                <w:b/>
                <w:bCs/>
                <w:color w:val="000000"/>
                <w:sz w:val="22"/>
                <w:lang w:val="sr-Cyrl-RS" w:eastAsia="sr-Cyrl-RS"/>
              </w:rPr>
            </w:pPr>
            <w:r w:rsidRPr="00EF2F18">
              <w:rPr>
                <w:rFonts w:eastAsia="Times New Roman" w:cs="Times New Roman"/>
                <w:b/>
                <w:bCs/>
                <w:color w:val="000000"/>
                <w:sz w:val="22"/>
                <w:lang w:val="sr-Cyrl-RS" w:eastAsia="sr-Cyrl-RS"/>
              </w:rPr>
              <w:t>2022.</w:t>
            </w:r>
          </w:p>
        </w:tc>
        <w:tc>
          <w:tcPr>
            <w:tcW w:w="763" w:type="pct"/>
          </w:tcPr>
          <w:p w14:paraId="10F5CB07" w14:textId="5A617A3E" w:rsidR="00113216" w:rsidRPr="00EF2F18" w:rsidRDefault="00113216" w:rsidP="00113216">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241.663,3</w:t>
            </w:r>
          </w:p>
        </w:tc>
        <w:tc>
          <w:tcPr>
            <w:tcW w:w="934" w:type="pct"/>
          </w:tcPr>
          <w:p w14:paraId="407A847D" w14:textId="689B84AC" w:rsidR="00113216" w:rsidRPr="00EF2F18" w:rsidRDefault="00113216" w:rsidP="00113216">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210.765,1</w:t>
            </w:r>
          </w:p>
        </w:tc>
        <w:tc>
          <w:tcPr>
            <w:tcW w:w="901" w:type="pct"/>
          </w:tcPr>
          <w:p w14:paraId="37398B0C" w14:textId="313DA6C2" w:rsidR="00113216" w:rsidRPr="00EF2F18" w:rsidRDefault="00113216" w:rsidP="00113216">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17.445,2</w:t>
            </w:r>
          </w:p>
        </w:tc>
        <w:tc>
          <w:tcPr>
            <w:tcW w:w="775" w:type="pct"/>
          </w:tcPr>
          <w:p w14:paraId="35982AD2" w14:textId="25332603" w:rsidR="00113216" w:rsidRPr="00EF2F18" w:rsidRDefault="00113216" w:rsidP="00113216">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9.246,4</w:t>
            </w:r>
          </w:p>
        </w:tc>
        <w:tc>
          <w:tcPr>
            <w:tcW w:w="964" w:type="pct"/>
          </w:tcPr>
          <w:p w14:paraId="29AF7D80" w14:textId="36460A25" w:rsidR="00113216" w:rsidRPr="00EF2F18" w:rsidRDefault="00113216" w:rsidP="00113216">
            <w:pPr>
              <w:spacing w:after="0"/>
              <w:jc w:val="right"/>
              <w:rPr>
                <w:rFonts w:eastAsia="Times New Roman" w:cs="Times New Roman"/>
                <w:color w:val="000000"/>
                <w:sz w:val="22"/>
                <w:lang w:val="sr-Cyrl-RS" w:eastAsia="sr-Cyrl-RS"/>
              </w:rPr>
            </w:pPr>
            <w:r w:rsidRPr="00EF2F18">
              <w:rPr>
                <w:rFonts w:eastAsia="Times New Roman" w:cs="Times New Roman"/>
                <w:color w:val="000000"/>
                <w:sz w:val="22"/>
                <w:lang w:val="sr-Cyrl-RS" w:eastAsia="sr-Cyrl-RS"/>
              </w:rPr>
              <w:t>4.176,6</w:t>
            </w:r>
          </w:p>
        </w:tc>
      </w:tr>
    </w:tbl>
    <w:p w14:paraId="04F0B96D" w14:textId="34239B6B" w:rsidR="00387C7F" w:rsidRPr="00EF2F18" w:rsidRDefault="00387C7F" w:rsidP="00387C7F">
      <w:pPr>
        <w:spacing w:after="0"/>
        <w:rPr>
          <w:rFonts w:cs="Times New Roman"/>
          <w:i/>
          <w:iCs/>
          <w:sz w:val="22"/>
          <w:lang w:val="sr-Cyrl-RS"/>
        </w:rPr>
      </w:pPr>
      <w:r w:rsidRPr="00EF2F18">
        <w:rPr>
          <w:rFonts w:cs="Times New Roman"/>
          <w:i/>
          <w:iCs/>
          <w:sz w:val="22"/>
          <w:lang w:val="sr-Cyrl-RS"/>
        </w:rPr>
        <w:t xml:space="preserve">Извор: РЗС, </w:t>
      </w:r>
      <w:r w:rsidR="00113216" w:rsidRPr="00EF2F18">
        <w:rPr>
          <w:rFonts w:cs="Times New Roman"/>
          <w:i/>
          <w:iCs/>
          <w:sz w:val="22"/>
          <w:lang w:val="sr-Cyrl-RS"/>
        </w:rPr>
        <w:t>2024</w:t>
      </w:r>
      <w:r w:rsidRPr="00EF2F18">
        <w:rPr>
          <w:rFonts w:cs="Times New Roman"/>
          <w:i/>
          <w:iCs/>
          <w:sz w:val="22"/>
          <w:lang w:val="sr-Cyrl-RS"/>
        </w:rPr>
        <w:t xml:space="preserve">. Рачун накнада у области животне средине, </w:t>
      </w:r>
      <w:r w:rsidR="00113216" w:rsidRPr="00EF2F18">
        <w:rPr>
          <w:rFonts w:cs="Times New Roman"/>
          <w:i/>
          <w:iCs/>
          <w:sz w:val="22"/>
          <w:lang w:val="sr-Cyrl-RS"/>
        </w:rPr>
        <w:t>2022</w:t>
      </w:r>
      <w:r w:rsidRPr="00EF2F18">
        <w:rPr>
          <w:rFonts w:cs="Times New Roman"/>
          <w:i/>
          <w:iCs/>
          <w:sz w:val="22"/>
          <w:lang w:val="sr-Cyrl-RS"/>
        </w:rPr>
        <w:t>.</w:t>
      </w:r>
    </w:p>
    <w:p w14:paraId="22062FB0" w14:textId="2DDDA961" w:rsidR="00387C7F" w:rsidRPr="00EF2F18" w:rsidRDefault="00057416" w:rsidP="00387C7F">
      <w:pPr>
        <w:spacing w:after="0"/>
        <w:ind w:firstLine="720"/>
        <w:jc w:val="both"/>
        <w:rPr>
          <w:rFonts w:cs="Times New Roman"/>
          <w:sz w:val="22"/>
          <w:lang w:val="sr-Cyrl-RS"/>
        </w:rPr>
      </w:pPr>
      <w:r w:rsidRPr="00EF2F18">
        <w:rPr>
          <w:noProof/>
          <w:lang w:val="sr-Cyrl-RS" w:eastAsia="sr-Cyrl-RS"/>
        </w:rPr>
        <w:lastRenderedPageBreak/>
        <w:drawing>
          <wp:inline distT="0" distB="0" distL="0" distR="0" wp14:anchorId="3D686ADD" wp14:editId="479E7847">
            <wp:extent cx="4886325" cy="2450468"/>
            <wp:effectExtent l="0" t="0" r="0" b="6985"/>
            <wp:docPr id="239694360" name="Picture 9" descr="A graph with numbers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94360" name="Picture 9" descr="A graph with numbers and a red line&#10;&#10;AI-generated content may b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90774" cy="2452699"/>
                    </a:xfrm>
                    <a:prstGeom prst="rect">
                      <a:avLst/>
                    </a:prstGeom>
                    <a:noFill/>
                    <a:ln>
                      <a:noFill/>
                    </a:ln>
                  </pic:spPr>
                </pic:pic>
              </a:graphicData>
            </a:graphic>
          </wp:inline>
        </w:drawing>
      </w:r>
    </w:p>
    <w:p w14:paraId="7AB4DD67" w14:textId="0FF2BFBB" w:rsidR="003A3A78" w:rsidRPr="00EF2F18" w:rsidRDefault="003A3A78" w:rsidP="003A3A78">
      <w:pPr>
        <w:spacing w:after="0"/>
        <w:jc w:val="both"/>
        <w:rPr>
          <w:rFonts w:cs="Times New Roman"/>
          <w:i/>
          <w:iCs/>
          <w:sz w:val="22"/>
          <w:lang w:val="sr-Cyrl-RS"/>
        </w:rPr>
      </w:pPr>
      <w:r w:rsidRPr="00EF2F18">
        <w:rPr>
          <w:rFonts w:cs="Times New Roman"/>
          <w:b/>
          <w:bCs/>
          <w:sz w:val="22"/>
          <w:lang w:val="sr-Cyrl-RS"/>
        </w:rPr>
        <w:t>Слика 3.</w:t>
      </w:r>
      <w:r w:rsidR="00647E28" w:rsidRPr="00EF2F18">
        <w:rPr>
          <w:rFonts w:cs="Times New Roman"/>
          <w:b/>
          <w:bCs/>
          <w:sz w:val="22"/>
          <w:lang w:val="sr-Cyrl-RS"/>
        </w:rPr>
        <w:t>4</w:t>
      </w:r>
      <w:r w:rsidR="00FA4A67" w:rsidRPr="00EF2F18">
        <w:rPr>
          <w:rFonts w:cs="Times New Roman"/>
          <w:b/>
          <w:bCs/>
          <w:sz w:val="22"/>
          <w:lang w:val="sr-Cyrl-RS"/>
        </w:rPr>
        <w:t>3</w:t>
      </w:r>
      <w:r w:rsidRPr="00EF2F18">
        <w:rPr>
          <w:rFonts w:cs="Times New Roman"/>
          <w:b/>
          <w:bCs/>
          <w:sz w:val="22"/>
          <w:lang w:val="sr-Cyrl-RS"/>
        </w:rPr>
        <w:t>.</w:t>
      </w:r>
      <w:r w:rsidRPr="00EF2F18">
        <w:rPr>
          <w:rFonts w:cs="Times New Roman"/>
          <w:sz w:val="22"/>
          <w:lang w:val="sr-Cyrl-RS"/>
        </w:rPr>
        <w:t xml:space="preserve"> Укупни приходи и учешће прихода од накнада у области животне средине у БДП-у</w:t>
      </w:r>
      <w:r w:rsidRPr="00EF2F18">
        <w:rPr>
          <w:rFonts w:cs="Times New Roman"/>
          <w:i/>
          <w:iCs/>
          <w:sz w:val="22"/>
          <w:lang w:val="sr-Cyrl-RS"/>
        </w:rPr>
        <w:t xml:space="preserve"> </w:t>
      </w:r>
    </w:p>
    <w:p w14:paraId="079EA465" w14:textId="4129671A" w:rsidR="003A3A78" w:rsidRPr="00EF2F18" w:rsidRDefault="00796B63" w:rsidP="003A3A78">
      <w:pPr>
        <w:spacing w:after="0"/>
        <w:jc w:val="both"/>
        <w:rPr>
          <w:rFonts w:cs="Times New Roman"/>
          <w:i/>
          <w:iCs/>
          <w:sz w:val="22"/>
          <w:lang w:val="sr-Cyrl-RS"/>
        </w:rPr>
      </w:pPr>
      <w:r>
        <w:rPr>
          <w:rFonts w:cs="Times New Roman"/>
          <w:i/>
          <w:iCs/>
          <w:sz w:val="22"/>
          <w:lang w:val="sr-Cyrl-RS"/>
        </w:rPr>
        <w:t>Извор: Агенција за заштиту жово</w:t>
      </w:r>
      <w:r w:rsidR="003A3A78" w:rsidRPr="00EF2F18">
        <w:rPr>
          <w:rFonts w:cs="Times New Roman"/>
          <w:i/>
          <w:iCs/>
          <w:sz w:val="22"/>
          <w:lang w:val="sr-Cyrl-RS"/>
        </w:rPr>
        <w:t xml:space="preserve">тне средине, </w:t>
      </w:r>
      <w:r w:rsidR="00057416" w:rsidRPr="00EF2F18">
        <w:rPr>
          <w:rFonts w:cs="Times New Roman"/>
          <w:i/>
          <w:iCs/>
          <w:sz w:val="22"/>
          <w:lang w:val="sr-Cyrl-RS"/>
        </w:rPr>
        <w:t>2024</w:t>
      </w:r>
      <w:r w:rsidR="003A3A78" w:rsidRPr="00EF2F18">
        <w:rPr>
          <w:rFonts w:cs="Times New Roman"/>
          <w:i/>
          <w:iCs/>
          <w:sz w:val="22"/>
          <w:lang w:val="sr-Cyrl-RS"/>
        </w:rPr>
        <w:t xml:space="preserve">. </w:t>
      </w:r>
    </w:p>
    <w:p w14:paraId="6C15606D" w14:textId="77777777" w:rsidR="003A3A78" w:rsidRPr="00EF2F18" w:rsidRDefault="003A3A78" w:rsidP="003A3A78">
      <w:pPr>
        <w:spacing w:after="0"/>
        <w:ind w:firstLine="720"/>
        <w:jc w:val="both"/>
        <w:rPr>
          <w:rFonts w:cs="Times New Roman"/>
          <w:sz w:val="22"/>
          <w:lang w:val="sr-Cyrl-RS"/>
        </w:rPr>
      </w:pPr>
    </w:p>
    <w:p w14:paraId="0B21161C" w14:textId="77777777" w:rsidR="003A3A78" w:rsidRPr="00EF2F18" w:rsidRDefault="003A3A78" w:rsidP="003A3A78">
      <w:pPr>
        <w:spacing w:after="0"/>
        <w:jc w:val="center"/>
        <w:rPr>
          <w:rFonts w:cs="Times New Roman"/>
          <w:sz w:val="22"/>
          <w:lang w:val="sr-Cyrl-RS"/>
        </w:rPr>
      </w:pPr>
      <w:r w:rsidRPr="00EF2F18">
        <w:rPr>
          <w:rFonts w:cs="Times New Roman"/>
          <w:noProof/>
          <w:sz w:val="22"/>
          <w:lang w:val="sr-Cyrl-RS" w:eastAsia="sr-Cyrl-RS"/>
        </w:rPr>
        <w:drawing>
          <wp:inline distT="0" distB="0" distL="0" distR="0" wp14:anchorId="0BFAC25F" wp14:editId="332D2390">
            <wp:extent cx="4716780" cy="2066925"/>
            <wp:effectExtent l="0" t="0" r="7620" b="0"/>
            <wp:docPr id="6" name="Chart 6">
              <a:extLst xmlns:a="http://schemas.openxmlformats.org/drawingml/2006/main">
                <a:ext uri="{FF2B5EF4-FFF2-40B4-BE49-F238E27FC236}">
                  <a16:creationId xmlns:a16="http://schemas.microsoft.com/office/drawing/2014/main" id="{D63ECA75-86F8-434E-966F-321DEA475B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F59E1DA" w14:textId="117EBD89" w:rsidR="003A3A78" w:rsidRPr="00EF2F18" w:rsidRDefault="003A3A78" w:rsidP="003A3A78">
      <w:pPr>
        <w:pStyle w:val="Caption"/>
        <w:spacing w:after="0" w:line="240" w:lineRule="auto"/>
        <w:rPr>
          <w:rFonts w:ascii="Times New Roman" w:hAnsi="Times New Roman"/>
          <w:sz w:val="22"/>
          <w:szCs w:val="22"/>
          <w:lang w:val="sr-Cyrl-RS"/>
        </w:rPr>
      </w:pPr>
      <w:r w:rsidRPr="00EF2F18">
        <w:rPr>
          <w:rFonts w:ascii="Times New Roman" w:hAnsi="Times New Roman"/>
          <w:sz w:val="22"/>
          <w:szCs w:val="22"/>
          <w:lang w:val="sr-Cyrl-RS"/>
        </w:rPr>
        <w:t>Слика 3.</w:t>
      </w:r>
      <w:r w:rsidR="00647E28" w:rsidRPr="00EF2F18">
        <w:rPr>
          <w:rFonts w:ascii="Times New Roman" w:hAnsi="Times New Roman"/>
          <w:sz w:val="22"/>
          <w:szCs w:val="22"/>
          <w:lang w:val="sr-Cyrl-RS"/>
        </w:rPr>
        <w:t>4</w:t>
      </w:r>
      <w:r w:rsidR="00FA4A67" w:rsidRPr="00EF2F18">
        <w:rPr>
          <w:rFonts w:ascii="Times New Roman" w:hAnsi="Times New Roman"/>
          <w:sz w:val="22"/>
          <w:szCs w:val="22"/>
          <w:lang w:val="sr-Cyrl-RS"/>
        </w:rPr>
        <w:t>4</w:t>
      </w:r>
      <w:r w:rsidRPr="00EF2F18">
        <w:rPr>
          <w:rFonts w:ascii="Times New Roman" w:hAnsi="Times New Roman"/>
          <w:sz w:val="22"/>
          <w:szCs w:val="22"/>
          <w:lang w:val="sr-Cyrl-RS"/>
        </w:rPr>
        <w:t xml:space="preserve">. </w:t>
      </w:r>
      <w:r w:rsidRPr="00EF2F18">
        <w:rPr>
          <w:rFonts w:ascii="Times New Roman" w:hAnsi="Times New Roman"/>
          <w:b w:val="0"/>
          <w:bCs w:val="0"/>
          <w:sz w:val="22"/>
          <w:szCs w:val="22"/>
          <w:lang w:val="sr-Cyrl-RS"/>
        </w:rPr>
        <w:t>Учешће прихода од накнада у области животне средине у укупним порезима и социјалним доприносима</w:t>
      </w:r>
    </w:p>
    <w:p w14:paraId="063A2C16" w14:textId="4639E5AB" w:rsidR="003A3A78" w:rsidRPr="00EF2F18" w:rsidRDefault="003A3A78" w:rsidP="003A3A78">
      <w:pPr>
        <w:spacing w:after="0"/>
        <w:jc w:val="both"/>
        <w:rPr>
          <w:rFonts w:cs="Times New Roman"/>
          <w:i/>
          <w:iCs/>
          <w:sz w:val="22"/>
          <w:lang w:val="sr-Cyrl-RS"/>
        </w:rPr>
      </w:pPr>
      <w:r w:rsidRPr="00EF2F18">
        <w:rPr>
          <w:rFonts w:cs="Times New Roman"/>
          <w:i/>
          <w:iCs/>
          <w:sz w:val="22"/>
          <w:lang w:val="sr-Cyrl-RS"/>
        </w:rPr>
        <w:t>Извор: РЗС, Животна средина - Монетарни рачуни животне средине - Учешће прихода од накнада у области животне средине у укупним порезима и социјалним доприносима</w:t>
      </w:r>
      <w:r w:rsidR="00E472A9" w:rsidRPr="00EF2F18">
        <w:rPr>
          <w:rFonts w:cs="Times New Roman"/>
          <w:i/>
          <w:iCs/>
          <w:sz w:val="22"/>
          <w:lang w:val="sr-Cyrl-RS"/>
        </w:rPr>
        <w:t>, 2023.</w:t>
      </w:r>
    </w:p>
    <w:p w14:paraId="0A5F0FAF" w14:textId="77777777" w:rsidR="003A3A78" w:rsidRPr="00EF2F18" w:rsidRDefault="003A3A78" w:rsidP="00387C7F">
      <w:pPr>
        <w:spacing w:after="0"/>
        <w:ind w:firstLine="720"/>
        <w:jc w:val="both"/>
        <w:rPr>
          <w:rFonts w:cs="Times New Roman"/>
          <w:sz w:val="22"/>
          <w:lang w:val="sr-Cyrl-RS"/>
        </w:rPr>
      </w:pPr>
    </w:p>
    <w:p w14:paraId="3454660A" w14:textId="77777777" w:rsidR="003A3A78" w:rsidRPr="00EF2F18" w:rsidRDefault="003A3A78" w:rsidP="00387C7F">
      <w:pPr>
        <w:spacing w:after="0"/>
        <w:ind w:firstLine="720"/>
        <w:jc w:val="both"/>
        <w:rPr>
          <w:rFonts w:cs="Times New Roman"/>
          <w:sz w:val="22"/>
          <w:lang w:val="sr-Cyrl-RS"/>
        </w:rPr>
      </w:pPr>
    </w:p>
    <w:p w14:paraId="62604967" w14:textId="362CB41A" w:rsidR="00387C7F" w:rsidRPr="00EF2F18" w:rsidRDefault="00387C7F" w:rsidP="00387C7F">
      <w:pPr>
        <w:spacing w:after="0"/>
        <w:ind w:firstLine="720"/>
        <w:jc w:val="both"/>
        <w:rPr>
          <w:rFonts w:cs="Times New Roman"/>
          <w:sz w:val="22"/>
          <w:lang w:val="sr-Cyrl-RS"/>
        </w:rPr>
      </w:pPr>
      <w:r w:rsidRPr="00EF2F18">
        <w:rPr>
          <w:rFonts w:cs="Times New Roman"/>
          <w:sz w:val="22"/>
          <w:lang w:val="sr-Cyrl-RS"/>
        </w:rPr>
        <w:t xml:space="preserve">Са становишта врста институционалних јединица које плаћају накнаде, највећи део накнада у </w:t>
      </w:r>
      <w:r w:rsidR="00057416" w:rsidRPr="00EF2F18">
        <w:rPr>
          <w:rFonts w:cs="Times New Roman"/>
          <w:sz w:val="22"/>
          <w:lang w:val="sr-Cyrl-RS"/>
        </w:rPr>
        <w:t>2022</w:t>
      </w:r>
      <w:r w:rsidRPr="00EF2F18">
        <w:rPr>
          <w:rFonts w:cs="Times New Roman"/>
          <w:sz w:val="22"/>
          <w:lang w:val="sr-Cyrl-RS"/>
        </w:rPr>
        <w:t>. години платиле су произвођачке јединице, 61,1%, док је учешће домаћинстава, као потрошача, у укупним приходима износило 38,8%.</w:t>
      </w:r>
    </w:p>
    <w:p w14:paraId="1A560D4D" w14:textId="65FE5E6B" w:rsidR="003A3A78" w:rsidRPr="00EF2F18" w:rsidRDefault="003A3A78" w:rsidP="003A3A78">
      <w:pPr>
        <w:spacing w:after="0"/>
        <w:ind w:firstLine="720"/>
        <w:jc w:val="both"/>
        <w:rPr>
          <w:rFonts w:cs="Times New Roman"/>
          <w:sz w:val="22"/>
          <w:lang w:val="sr-Cyrl-RS"/>
        </w:rPr>
      </w:pPr>
      <w:r w:rsidRPr="00EF2F18">
        <w:rPr>
          <w:rFonts w:cs="Times New Roman"/>
          <w:sz w:val="22"/>
          <w:lang w:val="sr-Cyrl-RS"/>
        </w:rPr>
        <w:t xml:space="preserve">У </w:t>
      </w:r>
      <w:r w:rsidR="00057416" w:rsidRPr="00EF2F18">
        <w:rPr>
          <w:rFonts w:cs="Times New Roman"/>
          <w:sz w:val="22"/>
          <w:lang w:val="sr-Cyrl-RS"/>
        </w:rPr>
        <w:t>2022</w:t>
      </w:r>
      <w:r w:rsidRPr="00EF2F18">
        <w:rPr>
          <w:rFonts w:cs="Times New Roman"/>
          <w:sz w:val="22"/>
          <w:lang w:val="sr-Cyrl-RS"/>
        </w:rPr>
        <w:t>. години, учешће прихода од укупних накнада у области животне средине у БДП износило је 3,</w:t>
      </w:r>
      <w:r w:rsidR="00057416" w:rsidRPr="00EF2F18">
        <w:rPr>
          <w:rFonts w:cs="Times New Roman"/>
          <w:sz w:val="22"/>
          <w:lang w:val="sr-Cyrl-RS"/>
        </w:rPr>
        <w:t>4</w:t>
      </w:r>
      <w:r w:rsidRPr="00EF2F18">
        <w:rPr>
          <w:rFonts w:cs="Times New Roman"/>
          <w:sz w:val="22"/>
          <w:lang w:val="sr-Cyrl-RS"/>
        </w:rPr>
        <w:t xml:space="preserve">%, док је то учешће у укупним приходима од пореза и социјалних доприноса износило </w:t>
      </w:r>
      <w:r w:rsidR="00057416" w:rsidRPr="00EF2F18">
        <w:rPr>
          <w:rFonts w:cs="Times New Roman"/>
          <w:sz w:val="22"/>
          <w:lang w:val="sr-Cyrl-RS"/>
        </w:rPr>
        <w:t>8</w:t>
      </w:r>
      <w:r w:rsidRPr="00EF2F18">
        <w:rPr>
          <w:rFonts w:cs="Times New Roman"/>
          <w:sz w:val="22"/>
          <w:lang w:val="sr-Cyrl-RS"/>
        </w:rPr>
        <w:t>,</w:t>
      </w:r>
      <w:r w:rsidR="00057416" w:rsidRPr="00EF2F18">
        <w:rPr>
          <w:rFonts w:cs="Times New Roman"/>
          <w:sz w:val="22"/>
          <w:lang w:val="sr-Cyrl-RS"/>
        </w:rPr>
        <w:t>5</w:t>
      </w:r>
      <w:r w:rsidRPr="00EF2F18">
        <w:rPr>
          <w:rFonts w:cs="Times New Roman"/>
          <w:sz w:val="22"/>
          <w:lang w:val="sr-Cyrl-RS"/>
        </w:rPr>
        <w:t>%.</w:t>
      </w:r>
    </w:p>
    <w:p w14:paraId="22ECE5C9" w14:textId="7DC3B343" w:rsidR="00387C7F" w:rsidRPr="00EF2F18" w:rsidRDefault="00387C7F" w:rsidP="00387C7F">
      <w:pPr>
        <w:spacing w:after="0"/>
        <w:ind w:firstLine="720"/>
        <w:jc w:val="both"/>
        <w:rPr>
          <w:rFonts w:cs="Times New Roman"/>
          <w:sz w:val="22"/>
          <w:lang w:val="sr-Cyrl-RS"/>
        </w:rPr>
      </w:pPr>
      <w:r w:rsidRPr="00EF2F18">
        <w:rPr>
          <w:rFonts w:cs="Times New Roman"/>
          <w:sz w:val="22"/>
          <w:lang w:val="sr-Cyrl-RS"/>
        </w:rPr>
        <w:t xml:space="preserve">Према подацима Управе за трезор и Министарства заштите животне средине, у </w:t>
      </w:r>
      <w:r w:rsidR="00057416" w:rsidRPr="00EF2F18">
        <w:rPr>
          <w:rFonts w:cs="Times New Roman"/>
          <w:sz w:val="22"/>
          <w:lang w:val="sr-Cyrl-RS"/>
        </w:rPr>
        <w:t>2023</w:t>
      </w:r>
      <w:r w:rsidRPr="00EF2F18">
        <w:rPr>
          <w:rFonts w:cs="Times New Roman"/>
          <w:sz w:val="22"/>
          <w:lang w:val="sr-Cyrl-RS"/>
        </w:rPr>
        <w:t xml:space="preserve">. години приходи од накнада </w:t>
      </w:r>
      <w:r w:rsidR="00113216" w:rsidRPr="00EF2F18">
        <w:rPr>
          <w:rFonts w:cs="Times New Roman"/>
          <w:sz w:val="22"/>
          <w:lang w:val="sr-Cyrl-RS"/>
        </w:rPr>
        <w:t xml:space="preserve">за загађење и коришћење ресурса </w:t>
      </w:r>
      <w:r w:rsidRPr="00EF2F18">
        <w:rPr>
          <w:rFonts w:cs="Times New Roman"/>
          <w:sz w:val="22"/>
          <w:lang w:val="sr-Cyrl-RS"/>
        </w:rPr>
        <w:t>износе 13,74 милијарди динара (0,19% БДП)</w:t>
      </w:r>
      <w:r w:rsidR="00113216" w:rsidRPr="00EF2F18">
        <w:rPr>
          <w:rStyle w:val="FootnoteReference"/>
          <w:rFonts w:cs="Times New Roman"/>
          <w:sz w:val="22"/>
          <w:lang w:val="sr-Cyrl-RS"/>
        </w:rPr>
        <w:footnoteReference w:id="17"/>
      </w:r>
      <w:r w:rsidRPr="00EF2F18">
        <w:rPr>
          <w:rFonts w:cs="Times New Roman"/>
          <w:sz w:val="22"/>
          <w:lang w:val="sr-Cyrl-RS"/>
        </w:rPr>
        <w:t>. Ови приходи су распоређени буџету Републике</w:t>
      </w:r>
      <w:r w:rsidR="00BF2024" w:rsidRPr="00EF2F18">
        <w:rPr>
          <w:rFonts w:cs="Times New Roman"/>
          <w:sz w:val="22"/>
          <w:lang w:val="sr-Cyrl-RS"/>
        </w:rPr>
        <w:t xml:space="preserve"> Србије</w:t>
      </w:r>
      <w:r w:rsidRPr="00EF2F18">
        <w:rPr>
          <w:rFonts w:cs="Times New Roman"/>
          <w:sz w:val="22"/>
          <w:lang w:val="sr-Cyrl-RS"/>
        </w:rPr>
        <w:t xml:space="preserve"> у износу од 8,67 милијарди динара, буџету АП Војводине 0,12 милијарди динара и буџетима градова и општина 4,95 милијарди динара.</w:t>
      </w:r>
    </w:p>
    <w:p w14:paraId="3D52205F" w14:textId="77777777" w:rsidR="00057416" w:rsidRPr="00EF2F18" w:rsidRDefault="00057416" w:rsidP="00387C7F">
      <w:pPr>
        <w:spacing w:after="0"/>
        <w:ind w:firstLine="720"/>
        <w:jc w:val="both"/>
        <w:rPr>
          <w:rFonts w:cs="Times New Roman"/>
          <w:sz w:val="22"/>
          <w:lang w:val="sr-Cyrl-RS"/>
        </w:rPr>
      </w:pPr>
    </w:p>
    <w:p w14:paraId="7538230A" w14:textId="5209E609" w:rsidR="00387C7F" w:rsidRPr="00EF2F18" w:rsidRDefault="00057416" w:rsidP="00387C7F">
      <w:pPr>
        <w:spacing w:after="0"/>
        <w:ind w:firstLine="720"/>
        <w:jc w:val="both"/>
        <w:rPr>
          <w:rFonts w:cs="Times New Roman"/>
          <w:sz w:val="22"/>
          <w:lang w:val="sr-Cyrl-RS"/>
        </w:rPr>
      </w:pPr>
      <w:r w:rsidRPr="00EF2F18">
        <w:rPr>
          <w:noProof/>
          <w:lang w:val="sr-Cyrl-RS" w:eastAsia="sr-Cyrl-RS"/>
        </w:rPr>
        <w:lastRenderedPageBreak/>
        <w:drawing>
          <wp:inline distT="0" distB="0" distL="0" distR="0" wp14:anchorId="3A6609C3" wp14:editId="4034450F">
            <wp:extent cx="4705350" cy="2050336"/>
            <wp:effectExtent l="0" t="0" r="0" b="7620"/>
            <wp:docPr id="1702602489" name="Picture 5" descr="A graph with green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02489" name="Picture 5" descr="A graph with green and red lines&#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20322" cy="2056860"/>
                    </a:xfrm>
                    <a:prstGeom prst="rect">
                      <a:avLst/>
                    </a:prstGeom>
                    <a:noFill/>
                    <a:ln>
                      <a:noFill/>
                    </a:ln>
                  </pic:spPr>
                </pic:pic>
              </a:graphicData>
            </a:graphic>
          </wp:inline>
        </w:drawing>
      </w:r>
    </w:p>
    <w:p w14:paraId="29F132A2" w14:textId="5301EDE3" w:rsidR="00387C7F" w:rsidRPr="00EF2F18" w:rsidRDefault="00387C7F" w:rsidP="00387C7F">
      <w:pPr>
        <w:spacing w:after="0"/>
        <w:jc w:val="both"/>
        <w:rPr>
          <w:rFonts w:cs="Times New Roman"/>
          <w:sz w:val="22"/>
          <w:lang w:val="sr-Cyrl-RS"/>
        </w:rPr>
      </w:pPr>
      <w:r w:rsidRPr="00EF2F18">
        <w:rPr>
          <w:rFonts w:cs="Times New Roman"/>
          <w:b/>
          <w:bCs/>
          <w:sz w:val="22"/>
          <w:lang w:val="sr-Cyrl-RS"/>
        </w:rPr>
        <w:t xml:space="preserve">Слика </w:t>
      </w:r>
      <w:r w:rsidR="00172209" w:rsidRPr="00EF2F18">
        <w:rPr>
          <w:rFonts w:cs="Times New Roman"/>
          <w:b/>
          <w:bCs/>
          <w:sz w:val="22"/>
          <w:lang w:val="sr-Cyrl-RS"/>
        </w:rPr>
        <w:t>3</w:t>
      </w:r>
      <w:r w:rsidRPr="00EF2F18">
        <w:rPr>
          <w:rFonts w:cs="Times New Roman"/>
          <w:b/>
          <w:bCs/>
          <w:sz w:val="22"/>
          <w:lang w:val="sr-Cyrl-RS"/>
        </w:rPr>
        <w:t>.</w:t>
      </w:r>
      <w:r w:rsidR="00647E28" w:rsidRPr="00EF2F18">
        <w:rPr>
          <w:rFonts w:cs="Times New Roman"/>
          <w:b/>
          <w:bCs/>
          <w:sz w:val="22"/>
          <w:lang w:val="sr-Cyrl-RS"/>
        </w:rPr>
        <w:t>4</w:t>
      </w:r>
      <w:r w:rsidR="00FA4A67" w:rsidRPr="00EF2F18">
        <w:rPr>
          <w:rFonts w:cs="Times New Roman"/>
          <w:b/>
          <w:bCs/>
          <w:sz w:val="22"/>
          <w:lang w:val="sr-Cyrl-RS"/>
        </w:rPr>
        <w:t>5</w:t>
      </w:r>
      <w:r w:rsidRPr="00EF2F18">
        <w:rPr>
          <w:rFonts w:cs="Times New Roman"/>
          <w:b/>
          <w:bCs/>
          <w:sz w:val="22"/>
          <w:lang w:val="sr-Cyrl-RS"/>
        </w:rPr>
        <w:t>.</w:t>
      </w:r>
      <w:r w:rsidRPr="00EF2F18">
        <w:rPr>
          <w:rFonts w:cs="Times New Roman"/>
          <w:sz w:val="22"/>
          <w:lang w:val="sr-Cyrl-RS"/>
        </w:rPr>
        <w:t xml:space="preserve"> Приходи од накнада за заштиту и унапређивање животне средине</w:t>
      </w:r>
    </w:p>
    <w:p w14:paraId="25304A51" w14:textId="0C1002EC" w:rsidR="00387C7F" w:rsidRPr="00EF2F18" w:rsidRDefault="00387C7F" w:rsidP="00387C7F">
      <w:pPr>
        <w:autoSpaceDE w:val="0"/>
        <w:autoSpaceDN w:val="0"/>
        <w:adjustRightInd w:val="0"/>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057416" w:rsidRPr="00EF2F18">
        <w:rPr>
          <w:rFonts w:cs="Times New Roman"/>
          <w:i/>
          <w:sz w:val="22"/>
          <w:lang w:val="sr-Cyrl-RS"/>
        </w:rPr>
        <w:t>2024</w:t>
      </w:r>
      <w:r w:rsidRPr="00EF2F18">
        <w:rPr>
          <w:rFonts w:cs="Times New Roman"/>
          <w:i/>
          <w:sz w:val="22"/>
          <w:lang w:val="sr-Cyrl-RS"/>
        </w:rPr>
        <w:t>.</w:t>
      </w:r>
    </w:p>
    <w:p w14:paraId="489FDA9E" w14:textId="77777777" w:rsidR="00387C7F" w:rsidRPr="00EF2F18" w:rsidRDefault="00387C7F" w:rsidP="00387C7F">
      <w:pPr>
        <w:spacing w:after="0"/>
        <w:jc w:val="both"/>
        <w:rPr>
          <w:rFonts w:cs="Times New Roman"/>
          <w:sz w:val="22"/>
          <w:lang w:val="sr-Cyrl-RS"/>
        </w:rPr>
      </w:pPr>
    </w:p>
    <w:p w14:paraId="509C855E" w14:textId="37C0C086" w:rsidR="0059022C" w:rsidRPr="00EF2F18" w:rsidRDefault="0059022C" w:rsidP="00D475FB">
      <w:pPr>
        <w:pStyle w:val="Heading3"/>
        <w:numPr>
          <w:ilvl w:val="2"/>
          <w:numId w:val="2"/>
        </w:numPr>
        <w:rPr>
          <w:rFonts w:cs="Times New Roman"/>
          <w:sz w:val="22"/>
          <w:szCs w:val="22"/>
          <w:lang w:val="sr-Cyrl-RS"/>
        </w:rPr>
      </w:pPr>
      <w:bookmarkStart w:id="82" w:name="_Toc158307722"/>
      <w:r w:rsidRPr="00EF2F18">
        <w:rPr>
          <w:rFonts w:cs="Times New Roman"/>
          <w:sz w:val="22"/>
          <w:szCs w:val="22"/>
          <w:lang w:val="sr-Cyrl-RS"/>
        </w:rPr>
        <w:t xml:space="preserve">Средства за субвенције, дотације и </w:t>
      </w:r>
      <w:r w:rsidR="00D475FB" w:rsidRPr="00EF2F18">
        <w:rPr>
          <w:bCs/>
          <w:sz w:val="22"/>
          <w:szCs w:val="22"/>
          <w:lang w:val="sr-Cyrl-RS"/>
        </w:rPr>
        <w:t>друге подстицајне мере</w:t>
      </w:r>
      <w:bookmarkEnd w:id="82"/>
    </w:p>
    <w:p w14:paraId="1FB54629" w14:textId="08308F8E" w:rsidR="0059022C" w:rsidRPr="00EF2F18" w:rsidRDefault="0059022C" w:rsidP="0059022C">
      <w:pPr>
        <w:spacing w:after="0"/>
        <w:ind w:firstLine="720"/>
        <w:jc w:val="both"/>
        <w:rPr>
          <w:sz w:val="22"/>
          <w:lang w:val="sr-Cyrl-RS"/>
        </w:rPr>
      </w:pPr>
      <w:r w:rsidRPr="00EF2F18">
        <w:rPr>
          <w:sz w:val="22"/>
          <w:lang w:val="sr-Cyrl-RS"/>
        </w:rPr>
        <w:t xml:space="preserve">Према расположивим подацима у </w:t>
      </w:r>
      <w:r w:rsidR="00057416" w:rsidRPr="00EF2F18">
        <w:rPr>
          <w:sz w:val="22"/>
          <w:lang w:val="sr-Cyrl-RS"/>
        </w:rPr>
        <w:t>2023</w:t>
      </w:r>
      <w:r w:rsidRPr="00EF2F18">
        <w:rPr>
          <w:sz w:val="22"/>
          <w:lang w:val="sr-Cyrl-RS"/>
        </w:rPr>
        <w:t xml:space="preserve">. години Министарство заштите животне средине и Покрајински секретаријат за урбанизам и заштиту животне средине АП Војводине доделили су укупно </w:t>
      </w:r>
      <w:r w:rsidR="00057416" w:rsidRPr="00EF2F18">
        <w:rPr>
          <w:sz w:val="22"/>
          <w:lang w:val="sr-Cyrl-RS"/>
        </w:rPr>
        <w:t>5</w:t>
      </w:r>
      <w:r w:rsidRPr="00EF2F18">
        <w:rPr>
          <w:sz w:val="22"/>
          <w:lang w:val="sr-Cyrl-RS"/>
        </w:rPr>
        <w:t>,</w:t>
      </w:r>
      <w:r w:rsidR="00057416" w:rsidRPr="00EF2F18">
        <w:rPr>
          <w:sz w:val="22"/>
          <w:lang w:val="sr-Cyrl-RS"/>
        </w:rPr>
        <w:t xml:space="preserve">62 </w:t>
      </w:r>
      <w:r w:rsidRPr="00EF2F18">
        <w:rPr>
          <w:sz w:val="22"/>
          <w:lang w:val="sr-Cyrl-RS"/>
        </w:rPr>
        <w:t>милијарди динара</w:t>
      </w:r>
      <w:r w:rsidR="00A13032" w:rsidRPr="00EF2F18">
        <w:rPr>
          <w:sz w:val="22"/>
          <w:lang w:val="sr-Cyrl-RS"/>
        </w:rPr>
        <w:t xml:space="preserve"> подстицајних средстава, субвенција и дотација за заштиту животне средине</w:t>
      </w:r>
      <w:r w:rsidRPr="00EF2F18">
        <w:rPr>
          <w:sz w:val="22"/>
          <w:lang w:val="sr-Cyrl-RS"/>
        </w:rPr>
        <w:t>, што износи 0,07% БДП. Подстицајна средства за заштиту животне средине која су доделила друга министарства нису овде приказана.</w:t>
      </w:r>
    </w:p>
    <w:p w14:paraId="074FAEBE" w14:textId="77777777" w:rsidR="00DA5686" w:rsidRPr="00EF2F18" w:rsidRDefault="00DA5686" w:rsidP="0059022C">
      <w:pPr>
        <w:spacing w:after="0"/>
        <w:ind w:firstLine="720"/>
        <w:jc w:val="both"/>
        <w:rPr>
          <w:sz w:val="22"/>
          <w:lang w:val="sr-Cyrl-RS"/>
        </w:rPr>
      </w:pPr>
    </w:p>
    <w:p w14:paraId="5AB163E2" w14:textId="27403D90" w:rsidR="00387C7F" w:rsidRPr="00EF2F18" w:rsidRDefault="00DA5686" w:rsidP="00387C7F">
      <w:pPr>
        <w:spacing w:after="0"/>
        <w:ind w:firstLine="720"/>
        <w:jc w:val="both"/>
        <w:rPr>
          <w:sz w:val="22"/>
          <w:lang w:val="sr-Cyrl-RS"/>
        </w:rPr>
      </w:pPr>
      <w:r w:rsidRPr="00EF2F18">
        <w:rPr>
          <w:noProof/>
          <w:lang w:val="sr-Cyrl-RS" w:eastAsia="sr-Cyrl-RS"/>
        </w:rPr>
        <w:drawing>
          <wp:inline distT="0" distB="0" distL="0" distR="0" wp14:anchorId="57237390" wp14:editId="7078D109">
            <wp:extent cx="4924425" cy="1671638"/>
            <wp:effectExtent l="0" t="0" r="0" b="5080"/>
            <wp:docPr id="1932573582" name="Picture 13" descr="A graph with a red line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73582" name="Picture 13" descr="A graph with a red line and blue bars&#10;&#10;AI-generated content may be incorrec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32024" cy="1674217"/>
                    </a:xfrm>
                    <a:prstGeom prst="rect">
                      <a:avLst/>
                    </a:prstGeom>
                    <a:noFill/>
                    <a:ln>
                      <a:noFill/>
                    </a:ln>
                  </pic:spPr>
                </pic:pic>
              </a:graphicData>
            </a:graphic>
          </wp:inline>
        </w:drawing>
      </w:r>
    </w:p>
    <w:p w14:paraId="752C68A4" w14:textId="2BC229F3" w:rsidR="00387C7F" w:rsidRPr="00EF2F18" w:rsidRDefault="00387C7F" w:rsidP="00387C7F">
      <w:pPr>
        <w:spacing w:after="0"/>
        <w:jc w:val="both"/>
        <w:rPr>
          <w:rFonts w:cs="Times New Roman"/>
          <w:sz w:val="22"/>
          <w:lang w:val="sr-Cyrl-RS"/>
        </w:rPr>
      </w:pPr>
      <w:r w:rsidRPr="00EF2F18">
        <w:rPr>
          <w:rFonts w:cs="Times New Roman"/>
          <w:b/>
          <w:bCs/>
          <w:sz w:val="22"/>
          <w:lang w:val="sr-Cyrl-RS"/>
        </w:rPr>
        <w:t xml:space="preserve">Слика </w:t>
      </w:r>
      <w:r w:rsidR="00172209" w:rsidRPr="00EF2F18">
        <w:rPr>
          <w:rFonts w:cs="Times New Roman"/>
          <w:b/>
          <w:bCs/>
          <w:sz w:val="22"/>
          <w:lang w:val="sr-Cyrl-RS"/>
        </w:rPr>
        <w:t>3</w:t>
      </w:r>
      <w:r w:rsidRPr="00EF2F18">
        <w:rPr>
          <w:rFonts w:cs="Times New Roman"/>
          <w:b/>
          <w:bCs/>
          <w:sz w:val="22"/>
          <w:lang w:val="sr-Cyrl-RS"/>
        </w:rPr>
        <w:t>.</w:t>
      </w:r>
      <w:r w:rsidR="00647E28" w:rsidRPr="00EF2F18">
        <w:rPr>
          <w:rFonts w:cs="Times New Roman"/>
          <w:b/>
          <w:bCs/>
          <w:sz w:val="22"/>
          <w:lang w:val="sr-Cyrl-RS"/>
        </w:rPr>
        <w:t>4</w:t>
      </w:r>
      <w:r w:rsidR="00FA4A67" w:rsidRPr="00EF2F18">
        <w:rPr>
          <w:rFonts w:cs="Times New Roman"/>
          <w:b/>
          <w:bCs/>
          <w:sz w:val="22"/>
          <w:lang w:val="sr-Cyrl-RS"/>
        </w:rPr>
        <w:t>6</w:t>
      </w:r>
      <w:r w:rsidRPr="00EF2F18">
        <w:rPr>
          <w:rFonts w:cs="Times New Roman"/>
          <w:b/>
          <w:bCs/>
          <w:sz w:val="22"/>
          <w:lang w:val="sr-Cyrl-RS"/>
        </w:rPr>
        <w:t>.</w:t>
      </w:r>
      <w:r w:rsidRPr="00EF2F18">
        <w:rPr>
          <w:rFonts w:cs="Times New Roman"/>
          <w:sz w:val="22"/>
          <w:lang w:val="sr-Cyrl-RS"/>
        </w:rPr>
        <w:t xml:space="preserve"> Средства за субвенције</w:t>
      </w:r>
    </w:p>
    <w:p w14:paraId="43B73EEF" w14:textId="52D00FA4" w:rsidR="00387C7F" w:rsidRPr="00EF2F18" w:rsidRDefault="00387C7F" w:rsidP="00387C7F">
      <w:pPr>
        <w:autoSpaceDE w:val="0"/>
        <w:autoSpaceDN w:val="0"/>
        <w:adjustRightInd w:val="0"/>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DA5686" w:rsidRPr="00EF2F18">
        <w:rPr>
          <w:rFonts w:cs="Times New Roman"/>
          <w:i/>
          <w:sz w:val="22"/>
          <w:lang w:val="sr-Cyrl-RS"/>
        </w:rPr>
        <w:t>2024</w:t>
      </w:r>
      <w:r w:rsidRPr="00EF2F18">
        <w:rPr>
          <w:rFonts w:cs="Times New Roman"/>
          <w:i/>
          <w:sz w:val="22"/>
          <w:lang w:val="sr-Cyrl-RS"/>
        </w:rPr>
        <w:t>.</w:t>
      </w:r>
    </w:p>
    <w:p w14:paraId="67F62B44" w14:textId="77777777" w:rsidR="00387C7F" w:rsidRPr="00EF2F18" w:rsidRDefault="00387C7F" w:rsidP="00387C7F">
      <w:pPr>
        <w:spacing w:after="0"/>
        <w:rPr>
          <w:sz w:val="22"/>
          <w:lang w:val="sr-Cyrl-RS"/>
        </w:rPr>
      </w:pPr>
    </w:p>
    <w:p w14:paraId="69E6C4BD" w14:textId="7EBCF43E" w:rsidR="00387C7F" w:rsidRPr="00EF2F18" w:rsidRDefault="00387C7F" w:rsidP="00387C7F">
      <w:pPr>
        <w:spacing w:after="0"/>
        <w:ind w:firstLine="720"/>
        <w:jc w:val="both"/>
        <w:rPr>
          <w:sz w:val="22"/>
          <w:lang w:val="sr-Cyrl-RS"/>
        </w:rPr>
      </w:pPr>
      <w:r w:rsidRPr="00EF2F18">
        <w:rPr>
          <w:sz w:val="22"/>
          <w:lang w:val="sr-Cyrl-RS"/>
        </w:rPr>
        <w:t xml:space="preserve">Највећа подстицајна средства доделило је Министарство заштите животне средине за поновну употребу и искоришћење отпада (рециклажној индустрији) у износу од </w:t>
      </w:r>
      <w:r w:rsidR="00DA5686" w:rsidRPr="00EF2F18">
        <w:rPr>
          <w:sz w:val="22"/>
          <w:lang w:val="sr-Cyrl-RS"/>
        </w:rPr>
        <w:t>4</w:t>
      </w:r>
      <w:r w:rsidRPr="00EF2F18">
        <w:rPr>
          <w:sz w:val="22"/>
          <w:lang w:val="sr-Cyrl-RS"/>
        </w:rPr>
        <w:t>,</w:t>
      </w:r>
      <w:r w:rsidR="00DA5686" w:rsidRPr="00EF2F18">
        <w:rPr>
          <w:sz w:val="22"/>
          <w:lang w:val="sr-Cyrl-RS"/>
        </w:rPr>
        <w:t xml:space="preserve">07 милијарди </w:t>
      </w:r>
      <w:r w:rsidRPr="00EF2F18">
        <w:rPr>
          <w:sz w:val="22"/>
          <w:lang w:val="sr-Cyrl-RS"/>
        </w:rPr>
        <w:t>динара.</w:t>
      </w:r>
    </w:p>
    <w:p w14:paraId="6CD01A5C" w14:textId="77777777" w:rsidR="00DA5686" w:rsidRPr="00EF2F18" w:rsidRDefault="00DA5686" w:rsidP="00387C7F">
      <w:pPr>
        <w:spacing w:after="0"/>
        <w:ind w:firstLine="720"/>
        <w:jc w:val="both"/>
        <w:rPr>
          <w:sz w:val="22"/>
          <w:lang w:val="sr-Cyrl-RS"/>
        </w:rPr>
      </w:pPr>
    </w:p>
    <w:p w14:paraId="55167C39" w14:textId="31F2E8BC" w:rsidR="00387C7F" w:rsidRPr="00EF2F18" w:rsidRDefault="00DA5686" w:rsidP="00387C7F">
      <w:pPr>
        <w:spacing w:after="0"/>
        <w:jc w:val="center"/>
        <w:rPr>
          <w:sz w:val="22"/>
          <w:lang w:val="sr-Cyrl-RS"/>
        </w:rPr>
      </w:pPr>
      <w:r w:rsidRPr="00EF2F18">
        <w:rPr>
          <w:noProof/>
          <w:lang w:val="sr-Cyrl-RS" w:eastAsia="sr-Cyrl-RS"/>
        </w:rPr>
        <w:drawing>
          <wp:inline distT="0" distB="0" distL="0" distR="0" wp14:anchorId="6B12FE42" wp14:editId="20818BAB">
            <wp:extent cx="3914775" cy="1552031"/>
            <wp:effectExtent l="0" t="0" r="0" b="0"/>
            <wp:docPr id="1272069188" name="Picture 17"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69188" name="Picture 17" descr="A pie chart with numbers and text&#10;&#10;AI-generated content may be incorrec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21624" cy="1554746"/>
                    </a:xfrm>
                    <a:prstGeom prst="rect">
                      <a:avLst/>
                    </a:prstGeom>
                    <a:noFill/>
                    <a:ln>
                      <a:noFill/>
                    </a:ln>
                  </pic:spPr>
                </pic:pic>
              </a:graphicData>
            </a:graphic>
          </wp:inline>
        </w:drawing>
      </w:r>
    </w:p>
    <w:p w14:paraId="0AE9DCEC" w14:textId="5E874863" w:rsidR="00387C7F" w:rsidRPr="00EF2F18" w:rsidRDefault="00387C7F" w:rsidP="00387C7F">
      <w:pPr>
        <w:spacing w:after="0"/>
        <w:rPr>
          <w:rFonts w:cs="Times New Roman"/>
          <w:sz w:val="22"/>
          <w:lang w:val="sr-Cyrl-RS"/>
        </w:rPr>
      </w:pPr>
      <w:r w:rsidRPr="00EF2F18">
        <w:rPr>
          <w:rFonts w:cs="Times New Roman"/>
          <w:b/>
          <w:bCs/>
          <w:sz w:val="22"/>
          <w:lang w:val="sr-Cyrl-RS"/>
        </w:rPr>
        <w:t xml:space="preserve">Слика </w:t>
      </w:r>
      <w:r w:rsidR="00172209" w:rsidRPr="00EF2F18">
        <w:rPr>
          <w:rFonts w:cs="Times New Roman"/>
          <w:b/>
          <w:bCs/>
          <w:sz w:val="22"/>
          <w:lang w:val="sr-Cyrl-RS"/>
        </w:rPr>
        <w:t>3</w:t>
      </w:r>
      <w:r w:rsidRPr="00EF2F18">
        <w:rPr>
          <w:rFonts w:cs="Times New Roman"/>
          <w:b/>
          <w:bCs/>
          <w:sz w:val="22"/>
          <w:lang w:val="sr-Cyrl-RS"/>
        </w:rPr>
        <w:t>.</w:t>
      </w:r>
      <w:r w:rsidR="00647E28" w:rsidRPr="00EF2F18">
        <w:rPr>
          <w:rFonts w:cs="Times New Roman"/>
          <w:b/>
          <w:bCs/>
          <w:sz w:val="22"/>
          <w:lang w:val="sr-Cyrl-RS"/>
        </w:rPr>
        <w:t>4</w:t>
      </w:r>
      <w:r w:rsidR="00FA4A67" w:rsidRPr="00EF2F18">
        <w:rPr>
          <w:rFonts w:cs="Times New Roman"/>
          <w:b/>
          <w:bCs/>
          <w:sz w:val="22"/>
          <w:lang w:val="sr-Cyrl-RS"/>
        </w:rPr>
        <w:t>7</w:t>
      </w:r>
      <w:r w:rsidRPr="00EF2F18">
        <w:rPr>
          <w:rFonts w:cs="Times New Roman"/>
          <w:b/>
          <w:bCs/>
          <w:sz w:val="22"/>
          <w:lang w:val="sr-Cyrl-RS"/>
        </w:rPr>
        <w:t>.</w:t>
      </w:r>
      <w:r w:rsidRPr="00EF2F18">
        <w:rPr>
          <w:rFonts w:cs="Times New Roman"/>
          <w:sz w:val="22"/>
          <w:lang w:val="sr-Cyrl-RS"/>
        </w:rPr>
        <w:t xml:space="preserve"> Структура додељених субвенција</w:t>
      </w:r>
    </w:p>
    <w:p w14:paraId="48CD0920" w14:textId="06F0E871" w:rsidR="00387C7F" w:rsidRPr="00EF2F18" w:rsidRDefault="00387C7F" w:rsidP="00387C7F">
      <w:pPr>
        <w:autoSpaceDE w:val="0"/>
        <w:autoSpaceDN w:val="0"/>
        <w:adjustRightInd w:val="0"/>
        <w:spacing w:after="0"/>
        <w:jc w:val="both"/>
        <w:rPr>
          <w:rFonts w:cs="Times New Roman"/>
          <w:sz w:val="22"/>
          <w:lang w:val="sr-Cyrl-RS"/>
        </w:rPr>
      </w:pPr>
      <w:r w:rsidRPr="00EF2F18">
        <w:rPr>
          <w:rFonts w:cs="Times New Roman"/>
          <w:i/>
          <w:sz w:val="22"/>
          <w:lang w:val="sr-Cyrl-RS"/>
        </w:rPr>
        <w:t xml:space="preserve">Извор: Агенција за заштиту животне средине, </w:t>
      </w:r>
      <w:r w:rsidR="00DA5686" w:rsidRPr="00EF2F18">
        <w:rPr>
          <w:rFonts w:cs="Times New Roman"/>
          <w:i/>
          <w:sz w:val="22"/>
          <w:lang w:val="sr-Cyrl-RS"/>
        </w:rPr>
        <w:t>2024</w:t>
      </w:r>
      <w:r w:rsidRPr="00EF2F18">
        <w:rPr>
          <w:rFonts w:cs="Times New Roman"/>
          <w:i/>
          <w:sz w:val="22"/>
          <w:lang w:val="sr-Cyrl-RS"/>
        </w:rPr>
        <w:t>.</w:t>
      </w:r>
    </w:p>
    <w:p w14:paraId="491442F3" w14:textId="77777777" w:rsidR="00387C7F" w:rsidRPr="00EF2F18" w:rsidRDefault="00387C7F" w:rsidP="00C071E5">
      <w:pPr>
        <w:pStyle w:val="Default"/>
        <w:rPr>
          <w:rFonts w:ascii="Times New Roman" w:hAnsi="Times New Roman" w:cs="Times New Roman"/>
          <w:sz w:val="20"/>
          <w:szCs w:val="20"/>
          <w:lang w:val="sr-Cyrl-RS"/>
        </w:rPr>
      </w:pPr>
    </w:p>
    <w:p w14:paraId="487C1E02" w14:textId="77777777" w:rsidR="0056149F" w:rsidRPr="00EF2F18" w:rsidRDefault="0056149F" w:rsidP="007E2A58">
      <w:pPr>
        <w:pStyle w:val="Default"/>
        <w:jc w:val="both"/>
        <w:rPr>
          <w:rFonts w:ascii="Times New Roman" w:hAnsi="Times New Roman" w:cs="Times New Roman"/>
          <w:sz w:val="20"/>
          <w:szCs w:val="20"/>
          <w:lang w:val="sr-Cyrl-RS"/>
        </w:rPr>
      </w:pPr>
    </w:p>
    <w:p w14:paraId="68AAA3A5" w14:textId="06867DD0" w:rsidR="00444167" w:rsidRPr="00EF2F18" w:rsidRDefault="000F1FB2" w:rsidP="00F34D8C">
      <w:pPr>
        <w:pStyle w:val="Heading2"/>
        <w:numPr>
          <w:ilvl w:val="1"/>
          <w:numId w:val="2"/>
        </w:numPr>
        <w:ind w:hanging="360"/>
        <w:jc w:val="center"/>
        <w:rPr>
          <w:rFonts w:cs="Times New Roman"/>
          <w:sz w:val="22"/>
          <w:szCs w:val="22"/>
          <w:lang w:val="sr-Cyrl-RS"/>
        </w:rPr>
      </w:pPr>
      <w:bookmarkStart w:id="83" w:name="_Toc158307723"/>
      <w:r w:rsidRPr="00EF2F18">
        <w:rPr>
          <w:rFonts w:cs="Times New Roman"/>
          <w:sz w:val="22"/>
          <w:szCs w:val="22"/>
          <w:lang w:val="sr-Cyrl-RS"/>
        </w:rPr>
        <w:lastRenderedPageBreak/>
        <w:t>Идентификовани</w:t>
      </w:r>
      <w:r w:rsidR="00762FC5" w:rsidRPr="00EF2F18">
        <w:rPr>
          <w:rFonts w:cs="Times New Roman"/>
          <w:sz w:val="22"/>
          <w:szCs w:val="22"/>
          <w:lang w:val="sr-Cyrl-RS"/>
        </w:rPr>
        <w:t xml:space="preserve"> проблем</w:t>
      </w:r>
      <w:r w:rsidRPr="00EF2F18">
        <w:rPr>
          <w:rFonts w:cs="Times New Roman"/>
          <w:sz w:val="22"/>
          <w:szCs w:val="22"/>
          <w:lang w:val="sr-Cyrl-RS"/>
        </w:rPr>
        <w:t>и</w:t>
      </w:r>
      <w:bookmarkEnd w:id="83"/>
    </w:p>
    <w:p w14:paraId="3A3DA3B6" w14:textId="77777777" w:rsidR="00444167" w:rsidRPr="00EF2F18" w:rsidRDefault="00444167" w:rsidP="00444167">
      <w:pPr>
        <w:pStyle w:val="Heading2"/>
        <w:rPr>
          <w:rFonts w:cs="Times New Roman"/>
          <w:sz w:val="22"/>
          <w:szCs w:val="22"/>
          <w:lang w:val="sr-Cyrl-RS"/>
        </w:rPr>
      </w:pPr>
    </w:p>
    <w:p w14:paraId="137A2687" w14:textId="2527AEED" w:rsidR="00961D42" w:rsidRPr="00EF2F18" w:rsidRDefault="00177014" w:rsidP="000D440B">
      <w:pPr>
        <w:pStyle w:val="Normal1"/>
        <w:pBdr>
          <w:top w:val="nil"/>
          <w:left w:val="nil"/>
          <w:bottom w:val="nil"/>
          <w:right w:val="nil"/>
          <w:between w:val="nil"/>
        </w:pBdr>
        <w:spacing w:after="0"/>
        <w:ind w:firstLine="720"/>
        <w:jc w:val="both"/>
        <w:rPr>
          <w:rFonts w:ascii="Times New Roman" w:hAnsi="Times New Roman" w:cs="Times New Roman"/>
          <w:lang w:val="sr-Cyrl-RS"/>
        </w:rPr>
      </w:pPr>
      <w:bookmarkStart w:id="84" w:name="_Hlk143582798"/>
      <w:r w:rsidRPr="00EF2F18">
        <w:rPr>
          <w:rFonts w:ascii="Times New Roman" w:hAnsi="Times New Roman" w:cs="Times New Roman"/>
          <w:lang w:val="sr-Cyrl-RS"/>
        </w:rPr>
        <w:t>На основу анализе стања, препознати</w:t>
      </w:r>
      <w:r w:rsidR="002D68F4" w:rsidRPr="00EF2F18">
        <w:rPr>
          <w:rFonts w:ascii="Times New Roman" w:hAnsi="Times New Roman" w:cs="Times New Roman"/>
          <w:lang w:val="sr-Cyrl-RS"/>
        </w:rPr>
        <w:t xml:space="preserve"> су</w:t>
      </w:r>
      <w:r w:rsidR="00961D42" w:rsidRPr="00EF2F18">
        <w:rPr>
          <w:rFonts w:ascii="Times New Roman" w:hAnsi="Times New Roman" w:cs="Times New Roman"/>
          <w:lang w:val="sr-Cyrl-RS"/>
        </w:rPr>
        <w:t xml:space="preserve"> </w:t>
      </w:r>
      <w:r w:rsidR="002D68F4" w:rsidRPr="00EF2F18">
        <w:rPr>
          <w:rFonts w:ascii="Times New Roman" w:hAnsi="Times New Roman" w:cs="Times New Roman"/>
          <w:lang w:val="sr-Cyrl-RS"/>
        </w:rPr>
        <w:t xml:space="preserve">кључни </w:t>
      </w:r>
      <w:r w:rsidR="00961D42" w:rsidRPr="00EF2F18">
        <w:rPr>
          <w:rFonts w:ascii="Times New Roman" w:hAnsi="Times New Roman" w:cs="Times New Roman"/>
          <w:lang w:val="sr-Cyrl-RS"/>
        </w:rPr>
        <w:t>проблеми и изазови у Републици Србији</w:t>
      </w:r>
      <w:r w:rsidR="002D68F4" w:rsidRPr="00EF2F18">
        <w:rPr>
          <w:rFonts w:ascii="Times New Roman" w:hAnsi="Times New Roman" w:cs="Times New Roman"/>
          <w:lang w:val="sr-Cyrl-RS"/>
        </w:rPr>
        <w:t>.</w:t>
      </w:r>
      <w:r w:rsidR="00961D42" w:rsidRPr="00EF2F18">
        <w:rPr>
          <w:rFonts w:ascii="Times New Roman" w:hAnsi="Times New Roman" w:cs="Times New Roman"/>
          <w:lang w:val="sr-Cyrl-RS"/>
        </w:rPr>
        <w:t xml:space="preserve"> </w:t>
      </w:r>
    </w:p>
    <w:p w14:paraId="64FFB86F" w14:textId="1D17ED22" w:rsidR="000F030F" w:rsidRPr="00EF2F18" w:rsidRDefault="009B2082" w:rsidP="000F030F">
      <w:pPr>
        <w:spacing w:after="0"/>
        <w:ind w:firstLine="720"/>
        <w:jc w:val="both"/>
        <w:rPr>
          <w:rFonts w:cs="Times New Roman"/>
          <w:sz w:val="22"/>
          <w:lang w:val="sr-Cyrl-RS"/>
        </w:rPr>
      </w:pPr>
      <w:r w:rsidRPr="00EF2F18">
        <w:rPr>
          <w:rFonts w:cs="Times New Roman"/>
          <w:sz w:val="22"/>
          <w:lang w:val="sr-Cyrl-RS"/>
        </w:rPr>
        <w:t xml:space="preserve">У складу са међународним обавезама, регулативом ЕУ и Акционим планом за Зелену </w:t>
      </w:r>
      <w:r w:rsidR="00185A75" w:rsidRPr="00EF2F18">
        <w:rPr>
          <w:rFonts w:cs="Times New Roman"/>
          <w:sz w:val="22"/>
          <w:lang w:val="sr-Cyrl-RS"/>
        </w:rPr>
        <w:t xml:space="preserve">агенду </w:t>
      </w:r>
      <w:r w:rsidRPr="00EF2F18">
        <w:rPr>
          <w:rFonts w:cs="Times New Roman"/>
          <w:sz w:val="22"/>
          <w:lang w:val="sr-Cyrl-RS"/>
        </w:rPr>
        <w:t xml:space="preserve">за Западни Балкан, Министарство заштите животне средине и остала министарства морају константно да прате испуњење мера дефинисаних </w:t>
      </w:r>
      <w:r w:rsidR="00044077" w:rsidRPr="00EF2F18">
        <w:rPr>
          <w:rFonts w:cs="Times New Roman"/>
          <w:sz w:val="22"/>
          <w:lang w:val="sr-Cyrl-RS"/>
        </w:rPr>
        <w:t>планским</w:t>
      </w:r>
      <w:r w:rsidRPr="00EF2F18">
        <w:rPr>
          <w:rFonts w:cs="Times New Roman"/>
          <w:sz w:val="22"/>
          <w:lang w:val="sr-Cyrl-RS"/>
        </w:rPr>
        <w:t xml:space="preserve"> документима</w:t>
      </w:r>
      <w:r w:rsidR="00044077" w:rsidRPr="00EF2F18">
        <w:rPr>
          <w:rFonts w:cs="Times New Roman"/>
          <w:sz w:val="22"/>
          <w:lang w:val="sr-Cyrl-RS"/>
        </w:rPr>
        <w:t xml:space="preserve">, </w:t>
      </w:r>
      <w:r w:rsidRPr="00EF2F18">
        <w:rPr>
          <w:rFonts w:cs="Times New Roman"/>
          <w:sz w:val="22"/>
          <w:lang w:val="sr-Cyrl-RS"/>
        </w:rPr>
        <w:t>али и да правовремено врше измене, допуне и доносе нове прописе.</w:t>
      </w:r>
      <w:r w:rsidR="000F030F" w:rsidRPr="00EF2F18">
        <w:rPr>
          <w:rFonts w:cs="Times New Roman"/>
          <w:sz w:val="22"/>
          <w:lang w:val="sr-Cyrl-RS"/>
        </w:rPr>
        <w:t xml:space="preserve"> Република Србија, кроз политике и мере које су у складу са привредним и финансијским могућностима развоја државе, тежи да повећа своју климатску амбицију у складу са Законом о клими ЕУ. </w:t>
      </w:r>
    </w:p>
    <w:p w14:paraId="41535EF4" w14:textId="48948F14" w:rsidR="000F030F" w:rsidRPr="00EF2F18" w:rsidRDefault="000F030F" w:rsidP="000F030F">
      <w:pPr>
        <w:spacing w:after="0"/>
        <w:ind w:firstLine="720"/>
        <w:jc w:val="both"/>
        <w:rPr>
          <w:rFonts w:cs="Times New Roman"/>
          <w:sz w:val="22"/>
          <w:lang w:val="sr-Cyrl-RS"/>
        </w:rPr>
      </w:pPr>
      <w:r w:rsidRPr="00EF2F18">
        <w:rPr>
          <w:rFonts w:cs="Times New Roman"/>
          <w:sz w:val="22"/>
          <w:lang w:val="sr-Cyrl-RS"/>
        </w:rPr>
        <w:t xml:space="preserve">Иако је систем прикупљања податка успостављен и Агенција за заштиту животне средине прати и извештава о емисијама </w:t>
      </w:r>
      <w:r w:rsidRPr="00EF2F18">
        <w:rPr>
          <w:rFonts w:cs="Times New Roman"/>
          <w:i/>
          <w:iCs/>
          <w:sz w:val="22"/>
          <w:lang w:val="sr-Cyrl-RS"/>
        </w:rPr>
        <w:t>GHG</w:t>
      </w:r>
      <w:r w:rsidRPr="00EF2F18">
        <w:rPr>
          <w:rFonts w:cs="Times New Roman"/>
          <w:sz w:val="22"/>
          <w:lang w:val="sr-Cyrl-RS"/>
        </w:rPr>
        <w:t>, уочени су одређени недостаци који се пре свега односе на</w:t>
      </w:r>
      <w:r w:rsidR="00B73387" w:rsidRPr="00EF2F18">
        <w:rPr>
          <w:rFonts w:cs="Times New Roman"/>
          <w:sz w:val="22"/>
          <w:lang w:val="sr-Cyrl-RS"/>
        </w:rPr>
        <w:t xml:space="preserve"> </w:t>
      </w:r>
      <w:r w:rsidRPr="00EF2F18">
        <w:rPr>
          <w:rFonts w:cs="Times New Roman"/>
          <w:sz w:val="22"/>
          <w:lang w:val="sr-Cyrl-RS"/>
        </w:rPr>
        <w:t>квалитет</w:t>
      </w:r>
      <w:r w:rsidR="00D767F9" w:rsidRPr="00EF2F18">
        <w:rPr>
          <w:rFonts w:cs="Times New Roman"/>
          <w:sz w:val="22"/>
          <w:lang w:val="sr-Cyrl-RS"/>
        </w:rPr>
        <w:t>,</w:t>
      </w:r>
      <w:r w:rsidRPr="00EF2F18">
        <w:rPr>
          <w:rFonts w:cs="Times New Roman"/>
          <w:sz w:val="22"/>
          <w:lang w:val="sr-Cyrl-RS"/>
        </w:rPr>
        <w:t xml:space="preserve"> али и недостатак достављених података потребних за прорачунавање емисија у одређеним областима. Такође, систем прикупљања и извештавања захтева</w:t>
      </w:r>
      <w:r w:rsidR="00B73387" w:rsidRPr="00EF2F18">
        <w:rPr>
          <w:rFonts w:cs="Times New Roman"/>
          <w:sz w:val="22"/>
          <w:lang w:val="sr-Cyrl-RS"/>
        </w:rPr>
        <w:t xml:space="preserve"> </w:t>
      </w:r>
      <w:r w:rsidRPr="00EF2F18">
        <w:rPr>
          <w:rFonts w:cs="Times New Roman"/>
          <w:sz w:val="22"/>
          <w:lang w:val="sr-Cyrl-RS"/>
        </w:rPr>
        <w:t xml:space="preserve">спровођење обука и унапређење административних капацитета у свим секторима који прате и извештавају о емисијама </w:t>
      </w:r>
      <w:r w:rsidRPr="00EF2F18">
        <w:rPr>
          <w:rFonts w:cs="Times New Roman"/>
          <w:i/>
          <w:iCs/>
          <w:sz w:val="22"/>
          <w:lang w:val="sr-Cyrl-RS"/>
        </w:rPr>
        <w:t>GHG</w:t>
      </w:r>
      <w:r w:rsidRPr="00EF2F18">
        <w:rPr>
          <w:rFonts w:cs="Times New Roman"/>
          <w:sz w:val="22"/>
          <w:lang w:val="sr-Cyrl-RS"/>
        </w:rPr>
        <w:t>.</w:t>
      </w:r>
    </w:p>
    <w:p w14:paraId="1887C4A7" w14:textId="6311EECC" w:rsidR="009B2082" w:rsidRPr="00EF2F18" w:rsidRDefault="009B2082" w:rsidP="009B2082">
      <w:pPr>
        <w:spacing w:after="0"/>
        <w:ind w:firstLine="720"/>
        <w:jc w:val="both"/>
        <w:rPr>
          <w:rFonts w:cs="Times New Roman"/>
          <w:sz w:val="22"/>
          <w:lang w:val="sr-Cyrl-RS"/>
        </w:rPr>
      </w:pPr>
      <w:r w:rsidRPr="00EF2F18">
        <w:rPr>
          <w:rFonts w:cs="Times New Roman"/>
          <w:sz w:val="22"/>
          <w:lang w:val="sr-Cyrl-RS"/>
        </w:rPr>
        <w:t>Постојећа секторск</w:t>
      </w:r>
      <w:r w:rsidR="00044077" w:rsidRPr="00EF2F18">
        <w:rPr>
          <w:rFonts w:cs="Times New Roman"/>
          <w:sz w:val="22"/>
          <w:lang w:val="sr-Cyrl-RS"/>
        </w:rPr>
        <w:t>а планска д</w:t>
      </w:r>
      <w:r w:rsidRPr="00EF2F18">
        <w:rPr>
          <w:rFonts w:cs="Times New Roman"/>
          <w:sz w:val="22"/>
          <w:lang w:val="sr-Cyrl-RS"/>
        </w:rPr>
        <w:t xml:space="preserve">окумента и </w:t>
      </w:r>
      <w:r w:rsidR="00044077" w:rsidRPr="00EF2F18">
        <w:rPr>
          <w:rFonts w:cs="Times New Roman"/>
          <w:sz w:val="22"/>
          <w:lang w:val="sr-Cyrl-RS"/>
        </w:rPr>
        <w:t>регулатива</w:t>
      </w:r>
      <w:r w:rsidR="000F030F" w:rsidRPr="00EF2F18">
        <w:rPr>
          <w:rFonts w:cs="Times New Roman"/>
          <w:sz w:val="22"/>
          <w:lang w:val="sr-Cyrl-RS"/>
        </w:rPr>
        <w:t>, али и документа јавне политике,</w:t>
      </w:r>
      <w:r w:rsidR="00044077" w:rsidRPr="00EF2F18">
        <w:rPr>
          <w:rFonts w:cs="Times New Roman"/>
          <w:sz w:val="22"/>
          <w:lang w:val="sr-Cyrl-RS"/>
        </w:rPr>
        <w:t xml:space="preserve"> </w:t>
      </w:r>
      <w:r w:rsidRPr="00EF2F18">
        <w:rPr>
          <w:rFonts w:cs="Times New Roman"/>
          <w:sz w:val="22"/>
          <w:lang w:val="sr-Cyrl-RS"/>
        </w:rPr>
        <w:t>недовољно укључују мере ублажавања климатских промена и прилагођавања на измењене климатске услове. У документима и политикама</w:t>
      </w:r>
      <w:r w:rsidR="00044077" w:rsidRPr="00EF2F18">
        <w:rPr>
          <w:rFonts w:cs="Times New Roman"/>
          <w:sz w:val="22"/>
          <w:lang w:val="sr-Cyrl-RS"/>
        </w:rPr>
        <w:t>,</w:t>
      </w:r>
      <w:r w:rsidRPr="00EF2F18">
        <w:rPr>
          <w:rFonts w:cs="Times New Roman"/>
          <w:sz w:val="22"/>
          <w:lang w:val="sr-Cyrl-RS"/>
        </w:rPr>
        <w:t xml:space="preserve"> које и укључују ове мере недостају нала</w:t>
      </w:r>
      <w:r w:rsidR="00044077" w:rsidRPr="00EF2F18">
        <w:rPr>
          <w:rFonts w:cs="Times New Roman"/>
          <w:sz w:val="22"/>
          <w:lang w:val="sr-Cyrl-RS"/>
        </w:rPr>
        <w:t>зи</w:t>
      </w:r>
      <w:r w:rsidRPr="00EF2F18">
        <w:rPr>
          <w:rFonts w:cs="Times New Roman"/>
          <w:sz w:val="22"/>
          <w:lang w:val="sr-Cyrl-RS"/>
        </w:rPr>
        <w:t xml:space="preserve"> друштвених и економских аспеката декарбонизације. Управо </w:t>
      </w:r>
      <w:r w:rsidR="008F051F" w:rsidRPr="00EF2F18">
        <w:rPr>
          <w:rStyle w:val="cf01"/>
          <w:rFonts w:ascii="Times New Roman" w:hAnsi="Times New Roman" w:cs="Times New Roman"/>
          <w:sz w:val="22"/>
          <w:szCs w:val="22"/>
          <w:lang w:val="sr-Cyrl-RS"/>
        </w:rPr>
        <w:t>Уредба ЕУ 2021/1119 о успостављању оквира за постизање климатске неутралности („Европски закон о клими</w:t>
      </w:r>
      <w:r w:rsidR="00A64280" w:rsidRPr="00EF2F18">
        <w:rPr>
          <w:rStyle w:val="cf01"/>
          <w:rFonts w:ascii="Times New Roman" w:hAnsi="Times New Roman" w:cs="Times New Roman"/>
          <w:sz w:val="22"/>
          <w:szCs w:val="22"/>
          <w:lang w:val="sr-Cyrl-RS"/>
        </w:rPr>
        <w:t>”</w:t>
      </w:r>
      <w:r w:rsidR="008F051F" w:rsidRPr="00EF2F18">
        <w:rPr>
          <w:rStyle w:val="cf01"/>
          <w:rFonts w:ascii="Times New Roman" w:hAnsi="Times New Roman" w:cs="Times New Roman"/>
          <w:sz w:val="22"/>
          <w:szCs w:val="22"/>
          <w:lang w:val="sr-Cyrl-RS"/>
        </w:rPr>
        <w:t xml:space="preserve">) </w:t>
      </w:r>
      <w:r w:rsidRPr="00EF2F18">
        <w:rPr>
          <w:rFonts w:cs="Times New Roman"/>
          <w:sz w:val="22"/>
          <w:lang w:val="sr-Cyrl-RS"/>
        </w:rPr>
        <w:t xml:space="preserve">прописује потребу да свака држава припреми секторске мапе пута до 2025. године како би се остварила климатска неутралност у свим секторима, као што су угљенично интензивни сектори (енергетика и саобраћај) и сви видови превоза, зградарство, пољопривреда, индустрије и сектор отпада. </w:t>
      </w:r>
    </w:p>
    <w:p w14:paraId="2B8FF530" w14:textId="5AF75872" w:rsidR="009B2082" w:rsidRPr="00EF2F18" w:rsidRDefault="000F030F" w:rsidP="009B2082">
      <w:pPr>
        <w:spacing w:after="0"/>
        <w:ind w:firstLine="720"/>
        <w:jc w:val="both"/>
        <w:rPr>
          <w:rFonts w:cs="Times New Roman"/>
          <w:sz w:val="22"/>
          <w:lang w:val="sr-Cyrl-RS"/>
        </w:rPr>
      </w:pPr>
      <w:r w:rsidRPr="00EF2F18">
        <w:rPr>
          <w:rFonts w:cs="Times New Roman"/>
          <w:sz w:val="22"/>
          <w:lang w:val="sr-Cyrl-RS"/>
        </w:rPr>
        <w:t xml:space="preserve">Тренутне привредне активности, односно емисије </w:t>
      </w:r>
      <w:r w:rsidRPr="00EF2F18">
        <w:rPr>
          <w:rFonts w:cs="Times New Roman"/>
          <w:i/>
          <w:iCs/>
          <w:sz w:val="22"/>
          <w:lang w:val="sr-Cyrl-RS"/>
        </w:rPr>
        <w:t>GHG</w:t>
      </w:r>
      <w:r w:rsidRPr="00EF2F18">
        <w:rPr>
          <w:rFonts w:cs="Times New Roman"/>
          <w:sz w:val="22"/>
          <w:lang w:val="sr-Cyrl-RS"/>
        </w:rPr>
        <w:t xml:space="preserve"> из свих сектора, а на основу постојећих инвентара, </w:t>
      </w:r>
      <w:r w:rsidR="008C0DDE" w:rsidRPr="00EF2F18">
        <w:rPr>
          <w:rFonts w:cs="Times New Roman"/>
          <w:sz w:val="22"/>
          <w:lang w:val="sr-Cyrl-RS"/>
        </w:rPr>
        <w:t xml:space="preserve">указују да дефинисани национално одређени доприноси могу бити постигнути до 2030. године. Иако </w:t>
      </w:r>
      <w:r w:rsidR="009B2082" w:rsidRPr="00EF2F18">
        <w:rPr>
          <w:rFonts w:cs="Times New Roman"/>
          <w:sz w:val="22"/>
          <w:lang w:val="sr-Cyrl-RS"/>
        </w:rPr>
        <w:t xml:space="preserve">се у протеклом периоду повећао удео обновљивих извора енергије потребно је повећати напоре. Нерационално коришћење енергије и енергетска и ресурсна ефикасност у индустријском сектору која је и даље ниска због застарелости технологија и опреме је последица недовољне примене најбољих доступних техника и технологија. </w:t>
      </w:r>
    </w:p>
    <w:p w14:paraId="1E1C9CEC" w14:textId="0C6B5DC0" w:rsidR="00DF17B2" w:rsidRPr="00EF2F18" w:rsidRDefault="00DF17B2" w:rsidP="00DF17B2">
      <w:pPr>
        <w:spacing w:after="0"/>
        <w:ind w:firstLine="720"/>
        <w:jc w:val="both"/>
        <w:rPr>
          <w:rFonts w:cs="Times New Roman"/>
          <w:sz w:val="22"/>
          <w:lang w:val="sr-Cyrl-RS"/>
        </w:rPr>
      </w:pPr>
      <w:r w:rsidRPr="00EF2F18">
        <w:rPr>
          <w:rFonts w:cs="Times New Roman"/>
          <w:sz w:val="22"/>
          <w:lang w:val="sr-Cyrl-RS"/>
        </w:rPr>
        <w:t>Проблем претеране изградње у већ густо изграђеним урбаним подручјима, смањење површина под зеленилом (зелене инфраструктура) као и смањење порозних површина за последицу има изражен ефекат урбаног топлотног острва и ствара проблеме у површинском отицају приликом екстремних падавина. Урбанистички планови и пројекти у недовољној мери узимају у обзир будуће пројекције климе и често стварају могућност за пренамену зелених површина у друге намене, чиме се смањује проценат озелењености градова и порозних површина, што за последицу има погоршање услова живота и здравља становништва на најгушће насељеним локацијама. Такође, не постоји довољно података о проценту смањења/повећања зелене инфраструктуре у процесу имплементације урбанистичких планова.</w:t>
      </w:r>
    </w:p>
    <w:p w14:paraId="36FD3AD4" w14:textId="21ABED14" w:rsidR="00981FA2" w:rsidRPr="00EF2F18" w:rsidRDefault="00981FA2" w:rsidP="00981FA2">
      <w:pPr>
        <w:spacing w:after="0"/>
        <w:ind w:firstLine="720"/>
        <w:jc w:val="both"/>
        <w:rPr>
          <w:rFonts w:cs="Times New Roman"/>
          <w:sz w:val="22"/>
          <w:lang w:val="sr-Cyrl-RS"/>
        </w:rPr>
      </w:pPr>
      <w:r w:rsidRPr="00EF2F18">
        <w:rPr>
          <w:rFonts w:cs="Times New Roman"/>
          <w:sz w:val="22"/>
          <w:lang w:val="sr-Cyrl-RS"/>
        </w:rPr>
        <w:t xml:space="preserve">Отпорност сектора водних ресурса, пољопривреде, шумарства и биодиверзитета, као и друштва, на негативне утицаје климатских промена је недовољно обрађена у секторским јавним политикама. Такође, у постојећим документима и јавним политикама и законској регулативи постоји недовољна усклађеност са ревидираном </w:t>
      </w:r>
      <w:r w:rsidR="008C0DDE" w:rsidRPr="00EF2F18">
        <w:rPr>
          <w:rFonts w:cs="Times New Roman"/>
          <w:sz w:val="22"/>
          <w:lang w:val="sr-Cyrl-RS"/>
        </w:rPr>
        <w:t xml:space="preserve">Уредбом о укључењу емисија </w:t>
      </w:r>
      <w:r w:rsidR="008C0DDE" w:rsidRPr="00EF2F18">
        <w:rPr>
          <w:rFonts w:cs="Times New Roman"/>
          <w:i/>
          <w:iCs/>
          <w:sz w:val="22"/>
          <w:lang w:val="sr-Cyrl-RS"/>
        </w:rPr>
        <w:t>GHG</w:t>
      </w:r>
      <w:r w:rsidR="008C0DDE" w:rsidRPr="00EF2F18">
        <w:rPr>
          <w:rFonts w:cs="Times New Roman"/>
          <w:sz w:val="22"/>
          <w:lang w:val="sr-Cyrl-RS"/>
        </w:rPr>
        <w:t xml:space="preserve"> и уклањањима из коришћења земљишта, промене намене замљишта и шумарства (</w:t>
      </w:r>
      <w:r w:rsidR="008C0DDE" w:rsidRPr="00EF2F18">
        <w:rPr>
          <w:rFonts w:cs="Times New Roman"/>
          <w:i/>
          <w:iCs/>
          <w:sz w:val="22"/>
          <w:lang w:val="sr-Cyrl-RS"/>
        </w:rPr>
        <w:t>LULUCF</w:t>
      </w:r>
      <w:r w:rsidR="008C0DDE" w:rsidRPr="00EF2F18">
        <w:rPr>
          <w:rFonts w:cs="Times New Roman"/>
          <w:sz w:val="22"/>
          <w:lang w:val="sr-Cyrl-RS"/>
        </w:rPr>
        <w:t xml:space="preserve">). </w:t>
      </w:r>
      <w:r w:rsidRPr="00EF2F18">
        <w:rPr>
          <w:rFonts w:cs="Times New Roman"/>
          <w:sz w:val="22"/>
          <w:lang w:val="sr-Cyrl-RS"/>
        </w:rPr>
        <w:t xml:space="preserve">Такође, недостаје интегрисани приступ климатској акцији и већи допринос сектора земљишта, укључујући и планирање и оптимизацију намене земљишта, промоцију секвестрације угљеника у земљиште, протоколи, алати и механизми за систематско праћење, извештавање и верификацију секвестрације угљеника. </w:t>
      </w:r>
    </w:p>
    <w:p w14:paraId="7223D57C" w14:textId="6A7805EF" w:rsidR="004A4B0E" w:rsidRPr="00EF2F18" w:rsidRDefault="009B2082" w:rsidP="00981FA2">
      <w:pPr>
        <w:spacing w:after="0"/>
        <w:ind w:firstLine="720"/>
        <w:jc w:val="both"/>
        <w:rPr>
          <w:rFonts w:cs="Times New Roman"/>
          <w:sz w:val="22"/>
          <w:lang w:val="sr-Cyrl-RS"/>
        </w:rPr>
      </w:pPr>
      <w:r w:rsidRPr="00EF2F18">
        <w:rPr>
          <w:rFonts w:cs="Times New Roman"/>
          <w:sz w:val="22"/>
          <w:lang w:val="sr-Cyrl-RS"/>
        </w:rPr>
        <w:t>У сектору саобраћаја недо</w:t>
      </w:r>
      <w:r w:rsidR="004A4B0E" w:rsidRPr="00EF2F18">
        <w:rPr>
          <w:rFonts w:cs="Times New Roman"/>
          <w:sz w:val="22"/>
          <w:lang w:val="sr-Cyrl-RS"/>
        </w:rPr>
        <w:t>вољна је употреба алтернативних горива (пре свега биогорива и електричне енергије), што се огледа у недовољном броју електричних возила, као и одговарајуће инфраструктуре за пуњење електричних возила. Недовољна је примена паметне мобилности и недовољна је отпорности сектора саобраћаја на климатске промене.</w:t>
      </w:r>
    </w:p>
    <w:p w14:paraId="13E3D0A8" w14:textId="3B4DBAE6" w:rsidR="00EE7A3F" w:rsidRPr="00EF2F18" w:rsidRDefault="001D526D" w:rsidP="000D440B">
      <w:pPr>
        <w:spacing w:after="0"/>
        <w:ind w:firstLine="720"/>
        <w:jc w:val="both"/>
        <w:rPr>
          <w:rFonts w:cs="Times New Roman"/>
          <w:sz w:val="22"/>
          <w:lang w:val="sr-Cyrl-RS"/>
        </w:rPr>
      </w:pPr>
      <w:r w:rsidRPr="00EF2F18">
        <w:rPr>
          <w:rFonts w:cs="Times New Roman"/>
          <w:sz w:val="22"/>
          <w:lang w:val="sr-Cyrl-RS"/>
        </w:rPr>
        <w:lastRenderedPageBreak/>
        <w:t>Управљање отпадом је недовољно развијено у контексту циркуларне економије</w:t>
      </w:r>
      <w:r w:rsidR="00177014" w:rsidRPr="00EF2F18">
        <w:rPr>
          <w:rFonts w:cs="Times New Roman"/>
          <w:sz w:val="22"/>
          <w:lang w:val="sr-Cyrl-RS"/>
        </w:rPr>
        <w:t xml:space="preserve">. </w:t>
      </w:r>
      <w:r w:rsidRPr="00EF2F18">
        <w:rPr>
          <w:rFonts w:cs="Times New Roman"/>
          <w:sz w:val="22"/>
          <w:lang w:val="sr-Cyrl-RS"/>
        </w:rPr>
        <w:t>П</w:t>
      </w:r>
      <w:r w:rsidR="00177014" w:rsidRPr="00EF2F18">
        <w:rPr>
          <w:rFonts w:cs="Times New Roman"/>
          <w:sz w:val="22"/>
          <w:lang w:val="sr-Cyrl-RS"/>
        </w:rPr>
        <w:t>остоје п</w:t>
      </w:r>
      <w:r w:rsidRPr="00EF2F18">
        <w:rPr>
          <w:rFonts w:cs="Times New Roman"/>
          <w:sz w:val="22"/>
          <w:lang w:val="sr-Cyrl-RS"/>
        </w:rPr>
        <w:t>отенцијали за унапређење пословних модела,</w:t>
      </w:r>
      <w:r w:rsidR="002717AA" w:rsidRPr="00EF2F18">
        <w:rPr>
          <w:rFonts w:cs="Times New Roman"/>
          <w:sz w:val="22"/>
          <w:lang w:val="sr-Cyrl-RS"/>
        </w:rPr>
        <w:t xml:space="preserve"> </w:t>
      </w:r>
      <w:r w:rsidRPr="00EF2F18">
        <w:rPr>
          <w:rFonts w:cs="Times New Roman"/>
          <w:sz w:val="22"/>
          <w:lang w:val="sr-Cyrl-RS"/>
        </w:rPr>
        <w:t xml:space="preserve">индустријске симбиозе и иновација којима се омогућава развој </w:t>
      </w:r>
      <w:r w:rsidR="00920D0B" w:rsidRPr="00EF2F18">
        <w:rPr>
          <w:rFonts w:cs="Times New Roman"/>
          <w:sz w:val="22"/>
          <w:lang w:val="sr-Cyrl-RS"/>
        </w:rPr>
        <w:t>циркуларне економије</w:t>
      </w:r>
      <w:r w:rsidR="00177014" w:rsidRPr="00EF2F18">
        <w:rPr>
          <w:rFonts w:cs="Times New Roman"/>
          <w:sz w:val="22"/>
          <w:lang w:val="sr-Cyrl-RS"/>
        </w:rPr>
        <w:t>, али</w:t>
      </w:r>
      <w:r w:rsidRPr="00EF2F18">
        <w:rPr>
          <w:rFonts w:cs="Times New Roman"/>
          <w:sz w:val="22"/>
          <w:lang w:val="sr-Cyrl-RS"/>
        </w:rPr>
        <w:t xml:space="preserve"> нису довољно искоришћени</w:t>
      </w:r>
      <w:r w:rsidR="00177014" w:rsidRPr="00EF2F18">
        <w:rPr>
          <w:rFonts w:cs="Times New Roman"/>
          <w:sz w:val="22"/>
          <w:lang w:val="sr-Cyrl-RS"/>
        </w:rPr>
        <w:t>. Адекватан систем управљања и ефикаснијег коришћења опасног отпада и посебних токова отпада још н</w:t>
      </w:r>
      <w:r w:rsidR="00EE7A3F" w:rsidRPr="00EF2F18">
        <w:rPr>
          <w:rFonts w:cs="Times New Roman"/>
          <w:sz w:val="22"/>
          <w:lang w:val="sr-Cyrl-RS"/>
        </w:rPr>
        <w:t>ије успостављен</w:t>
      </w:r>
      <w:r w:rsidR="00177014" w:rsidRPr="00EF2F18">
        <w:rPr>
          <w:rFonts w:cs="Times New Roman"/>
          <w:sz w:val="22"/>
          <w:lang w:val="sr-Cyrl-RS"/>
        </w:rPr>
        <w:t>. З</w:t>
      </w:r>
      <w:r w:rsidR="00EE7A3F" w:rsidRPr="00EF2F18">
        <w:rPr>
          <w:rFonts w:cs="Times New Roman"/>
          <w:sz w:val="22"/>
          <w:lang w:val="sr-Cyrl-RS"/>
        </w:rPr>
        <w:t>елене јавне набавке и добровољни инструменти од значаја за циркуларну економију</w:t>
      </w:r>
      <w:r w:rsidR="00177014" w:rsidRPr="00EF2F18">
        <w:rPr>
          <w:rFonts w:cs="Times New Roman"/>
          <w:sz w:val="22"/>
          <w:lang w:val="sr-Cyrl-RS"/>
        </w:rPr>
        <w:t xml:space="preserve"> су недовољно развијени. Такође, н</w:t>
      </w:r>
      <w:r w:rsidR="00EE7A3F" w:rsidRPr="00EF2F18">
        <w:rPr>
          <w:rFonts w:cs="Times New Roman"/>
          <w:sz w:val="22"/>
          <w:lang w:val="sr-Cyrl-RS"/>
        </w:rPr>
        <w:t>едовољно</w:t>
      </w:r>
      <w:r w:rsidR="00177014" w:rsidRPr="00EF2F18">
        <w:rPr>
          <w:rFonts w:cs="Times New Roman"/>
          <w:sz w:val="22"/>
          <w:lang w:val="sr-Cyrl-RS"/>
        </w:rPr>
        <w:t xml:space="preserve"> је</w:t>
      </w:r>
      <w:r w:rsidR="00EE7A3F" w:rsidRPr="00EF2F18">
        <w:rPr>
          <w:rFonts w:cs="Times New Roman"/>
          <w:sz w:val="22"/>
          <w:lang w:val="sr-Cyrl-RS"/>
        </w:rPr>
        <w:t xml:space="preserve"> развијена сарадња између привреде и научно-истраживачких организација на пољу иновација и унапређења производње у области циркуларне економије</w:t>
      </w:r>
      <w:r w:rsidR="001470D0" w:rsidRPr="00EF2F18">
        <w:rPr>
          <w:rFonts w:cs="Times New Roman"/>
          <w:sz w:val="22"/>
          <w:lang w:val="sr-Cyrl-RS"/>
        </w:rPr>
        <w:t>, истраживачки потенцијали научне заједнице у Републици Србији се не користе у довољној мери за допринос развоја индустрије и привреде.</w:t>
      </w:r>
    </w:p>
    <w:bookmarkEnd w:id="84"/>
    <w:p w14:paraId="5776C08F" w14:textId="326C22F6" w:rsidR="004952CA" w:rsidRPr="00EF2F18" w:rsidRDefault="004952CA" w:rsidP="000D440B">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Квалитет амбијенталног ваздуха </w:t>
      </w:r>
      <w:r w:rsidR="00177014" w:rsidRPr="00EF2F18">
        <w:rPr>
          <w:rFonts w:ascii="Times New Roman" w:hAnsi="Times New Roman" w:cs="Times New Roman"/>
          <w:lang w:val="sr-Cyrl-RS"/>
        </w:rPr>
        <w:t>није задовољавајући и в</w:t>
      </w:r>
      <w:r w:rsidRPr="00EF2F18">
        <w:rPr>
          <w:rFonts w:ascii="Times New Roman" w:hAnsi="Times New Roman" w:cs="Times New Roman"/>
          <w:lang w:val="sr-Cyrl-RS"/>
        </w:rPr>
        <w:t>елики број становника</w:t>
      </w:r>
      <w:r w:rsidR="00177014" w:rsidRPr="00EF2F18">
        <w:rPr>
          <w:rFonts w:ascii="Times New Roman" w:hAnsi="Times New Roman" w:cs="Times New Roman"/>
          <w:lang w:val="sr-Cyrl-RS"/>
        </w:rPr>
        <w:t xml:space="preserve"> је</w:t>
      </w:r>
      <w:r w:rsidRPr="00EF2F18">
        <w:rPr>
          <w:rFonts w:ascii="Times New Roman" w:hAnsi="Times New Roman" w:cs="Times New Roman"/>
          <w:lang w:val="sr-Cyrl-RS"/>
        </w:rPr>
        <w:t xml:space="preserve"> изложен ваздуху </w:t>
      </w:r>
      <w:r w:rsidR="0080484A" w:rsidRPr="00EF2F18">
        <w:rPr>
          <w:rFonts w:ascii="Times New Roman" w:hAnsi="Times New Roman" w:cs="Times New Roman"/>
          <w:lang w:val="sr-Cyrl-RS"/>
        </w:rPr>
        <w:t>лошег</w:t>
      </w:r>
      <w:r w:rsidRPr="00EF2F18">
        <w:rPr>
          <w:rFonts w:ascii="Times New Roman" w:hAnsi="Times New Roman" w:cs="Times New Roman"/>
          <w:lang w:val="sr-Cyrl-RS"/>
        </w:rPr>
        <w:t xml:space="preserve"> квалитета, што може негативно утицати на здравље.</w:t>
      </w:r>
      <w:r w:rsidR="00177014" w:rsidRPr="00EF2F18">
        <w:rPr>
          <w:rFonts w:ascii="Times New Roman" w:hAnsi="Times New Roman" w:cs="Times New Roman"/>
          <w:lang w:val="sr-Cyrl-RS"/>
        </w:rPr>
        <w:t xml:space="preserve"> Емисије из сектора енергетике, саобраћаја, индустрије и пољопривреде доприносе загађењу ваздуха. </w:t>
      </w:r>
      <w:r w:rsidR="0059022C" w:rsidRPr="00EF2F18">
        <w:rPr>
          <w:rFonts w:ascii="Times New Roman" w:hAnsi="Times New Roman" w:cs="Times New Roman"/>
          <w:lang w:val="sr-Cyrl-RS"/>
        </w:rPr>
        <w:t>Локални мониторинг квалитета ваздуха захтева унапређење.</w:t>
      </w:r>
    </w:p>
    <w:p w14:paraId="706D335E" w14:textId="21D3E96C" w:rsidR="00B2745E" w:rsidRPr="00EF2F18" w:rsidRDefault="0056404B" w:rsidP="000D440B">
      <w:pPr>
        <w:spacing w:after="0"/>
        <w:ind w:firstLine="720"/>
        <w:jc w:val="both"/>
        <w:rPr>
          <w:rFonts w:cs="Times New Roman"/>
          <w:sz w:val="22"/>
          <w:lang w:val="sr-Cyrl-RS"/>
        </w:rPr>
      </w:pPr>
      <w:bookmarkStart w:id="85" w:name="_Hlk126014954"/>
      <w:r w:rsidRPr="00EF2F18">
        <w:rPr>
          <w:rFonts w:cs="Times New Roman"/>
          <w:sz w:val="22"/>
          <w:lang w:val="sr-Cyrl-RS"/>
        </w:rPr>
        <w:t xml:space="preserve">Око 25% водних тела површинских вода у </w:t>
      </w:r>
      <w:r w:rsidR="0084504E" w:rsidRPr="00EF2F18">
        <w:rPr>
          <w:rFonts w:cs="Times New Roman"/>
          <w:sz w:val="22"/>
          <w:lang w:val="sr-Cyrl-RS"/>
        </w:rPr>
        <w:t xml:space="preserve">Републици </w:t>
      </w:r>
      <w:r w:rsidRPr="00EF2F18">
        <w:rPr>
          <w:rFonts w:cs="Times New Roman"/>
          <w:sz w:val="22"/>
          <w:lang w:val="sr-Cyrl-RS"/>
        </w:rPr>
        <w:t>Србији има слаб или лош еколошки статус</w:t>
      </w:r>
      <w:r w:rsidR="00177014" w:rsidRPr="00EF2F18">
        <w:rPr>
          <w:rFonts w:cs="Times New Roman"/>
          <w:sz w:val="22"/>
          <w:lang w:val="sr-Cyrl-RS"/>
        </w:rPr>
        <w:t xml:space="preserve">. Не постоји довољно </w:t>
      </w:r>
      <w:bookmarkStart w:id="86" w:name="_Hlk126014971"/>
      <w:bookmarkEnd w:id="85"/>
      <w:r w:rsidRPr="00EF2F18">
        <w:rPr>
          <w:rFonts w:cs="Times New Roman"/>
          <w:sz w:val="22"/>
          <w:lang w:val="sr-Cyrl-RS"/>
        </w:rPr>
        <w:t>података о билансним резервама подземних вода</w:t>
      </w:r>
      <w:r w:rsidR="00177014" w:rsidRPr="00EF2F18">
        <w:rPr>
          <w:rFonts w:cs="Times New Roman"/>
          <w:sz w:val="22"/>
          <w:lang w:val="sr-Cyrl-RS"/>
        </w:rPr>
        <w:t xml:space="preserve">: </w:t>
      </w:r>
      <w:r w:rsidRPr="00EF2F18">
        <w:rPr>
          <w:rFonts w:cs="Times New Roman"/>
          <w:sz w:val="22"/>
          <w:lang w:val="sr-Cyrl-RS"/>
        </w:rPr>
        <w:t>процењено је да је 12% подземних вода у лошем квантитативном статусу због прекомерне експлоатације за јавно снабдевање</w:t>
      </w:r>
      <w:bookmarkEnd w:id="86"/>
      <w:r w:rsidR="00177014" w:rsidRPr="00EF2F18">
        <w:rPr>
          <w:rFonts w:cs="Times New Roman"/>
          <w:sz w:val="22"/>
          <w:lang w:val="sr-Cyrl-RS"/>
        </w:rPr>
        <w:t xml:space="preserve">. </w:t>
      </w:r>
      <w:r w:rsidRPr="00EF2F18">
        <w:rPr>
          <w:rFonts w:cs="Times New Roman"/>
          <w:sz w:val="22"/>
          <w:lang w:val="sr-Cyrl-RS"/>
        </w:rPr>
        <w:t xml:space="preserve">Недовољан </w:t>
      </w:r>
      <w:r w:rsidR="00177014" w:rsidRPr="00EF2F18">
        <w:rPr>
          <w:rFonts w:cs="Times New Roman"/>
          <w:sz w:val="22"/>
          <w:lang w:val="sr-Cyrl-RS"/>
        </w:rPr>
        <w:t xml:space="preserve">је </w:t>
      </w:r>
      <w:r w:rsidRPr="00EF2F18">
        <w:rPr>
          <w:rFonts w:cs="Times New Roman"/>
          <w:sz w:val="22"/>
          <w:lang w:val="sr-Cyrl-RS"/>
        </w:rPr>
        <w:t>мониторинг квалитета површинских и подземних вода</w:t>
      </w:r>
      <w:r w:rsidR="00177014" w:rsidRPr="00EF2F18">
        <w:rPr>
          <w:rFonts w:cs="Times New Roman"/>
          <w:sz w:val="22"/>
          <w:lang w:val="sr-Cyrl-RS"/>
        </w:rPr>
        <w:t xml:space="preserve">. </w:t>
      </w:r>
      <w:r w:rsidRPr="00EF2F18">
        <w:rPr>
          <w:rFonts w:cs="Times New Roman"/>
          <w:sz w:val="22"/>
          <w:lang w:val="sr-Cyrl-RS"/>
        </w:rPr>
        <w:t xml:space="preserve">Мање од 15% прикупљених отпадних вода </w:t>
      </w:r>
      <w:r w:rsidR="00177014" w:rsidRPr="00EF2F18">
        <w:rPr>
          <w:rFonts w:cs="Times New Roman"/>
          <w:sz w:val="22"/>
          <w:lang w:val="sr-Cyrl-RS"/>
        </w:rPr>
        <w:t xml:space="preserve">се </w:t>
      </w:r>
      <w:r w:rsidRPr="00EF2F18">
        <w:rPr>
          <w:rFonts w:cs="Times New Roman"/>
          <w:sz w:val="22"/>
          <w:lang w:val="sr-Cyrl-RS"/>
        </w:rPr>
        <w:t>третира, док се 85% комуналних отпадних вода испушта у површинске токове без претходног третмана</w:t>
      </w:r>
      <w:r w:rsidR="00177014" w:rsidRPr="00EF2F18">
        <w:rPr>
          <w:rFonts w:cs="Times New Roman"/>
          <w:sz w:val="22"/>
          <w:lang w:val="sr-Cyrl-RS"/>
        </w:rPr>
        <w:t>. Још увек м</w:t>
      </w:r>
      <w:r w:rsidRPr="00EF2F18">
        <w:rPr>
          <w:rFonts w:cs="Times New Roman"/>
          <w:sz w:val="22"/>
          <w:lang w:val="sr-Cyrl-RS"/>
        </w:rPr>
        <w:t>али број индустријских постројења врши предтретман технолошких отпадних вода пре упуштања у канализационе мреже или друге реципијенте</w:t>
      </w:r>
      <w:r w:rsidR="00177014" w:rsidRPr="00EF2F18">
        <w:rPr>
          <w:rFonts w:cs="Times New Roman"/>
          <w:sz w:val="22"/>
          <w:lang w:val="sr-Cyrl-RS"/>
        </w:rPr>
        <w:t>.</w:t>
      </w:r>
      <w:r w:rsidR="00B2745E" w:rsidRPr="00EF2F18">
        <w:rPr>
          <w:rFonts w:cs="Times New Roman"/>
          <w:sz w:val="22"/>
          <w:lang w:val="sr-Cyrl-RS"/>
        </w:rPr>
        <w:t xml:space="preserve"> У вези </w:t>
      </w:r>
      <w:r w:rsidR="00122234" w:rsidRPr="00EF2F18">
        <w:rPr>
          <w:rFonts w:cs="Times New Roman"/>
          <w:sz w:val="22"/>
          <w:lang w:val="sr-Cyrl-RS"/>
        </w:rPr>
        <w:t xml:space="preserve">са </w:t>
      </w:r>
      <w:r w:rsidR="00B2745E" w:rsidRPr="00EF2F18">
        <w:rPr>
          <w:rFonts w:cs="Times New Roman"/>
          <w:sz w:val="22"/>
          <w:lang w:val="sr-Cyrl-RS"/>
        </w:rPr>
        <w:t>вод</w:t>
      </w:r>
      <w:r w:rsidR="00122234" w:rsidRPr="00EF2F18">
        <w:rPr>
          <w:rFonts w:cs="Times New Roman"/>
          <w:sz w:val="22"/>
          <w:lang w:val="sr-Cyrl-RS"/>
        </w:rPr>
        <w:t>ом</w:t>
      </w:r>
      <w:r w:rsidR="00B2745E" w:rsidRPr="00EF2F18">
        <w:rPr>
          <w:rFonts w:cs="Times New Roman"/>
          <w:sz w:val="22"/>
          <w:lang w:val="sr-Cyrl-RS"/>
        </w:rPr>
        <w:t xml:space="preserve"> за пиће, евидентне су разлике у квалитету воде за пиће на територији</w:t>
      </w:r>
      <w:r w:rsidR="0084504E" w:rsidRPr="00EF2F18">
        <w:rPr>
          <w:rFonts w:cs="Times New Roman"/>
          <w:sz w:val="22"/>
          <w:lang w:val="sr-Cyrl-RS"/>
        </w:rPr>
        <w:t xml:space="preserve"> Републике</w:t>
      </w:r>
      <w:r w:rsidR="00B2745E" w:rsidRPr="00EF2F18">
        <w:rPr>
          <w:rFonts w:cs="Times New Roman"/>
          <w:sz w:val="22"/>
          <w:lang w:val="sr-Cyrl-RS"/>
        </w:rPr>
        <w:t xml:space="preserve"> Србије (неодговарајући квалитет у делу АП Војводине, Поморавља, деловима Шумадије). Постоје велики губици у дистрибуцији воде у већини водоводних система и недовољна је заштићеност изворишта водоснабдевања.</w:t>
      </w:r>
    </w:p>
    <w:p w14:paraId="4643BB60" w14:textId="50DFF2A4" w:rsidR="004952CA" w:rsidRPr="00EF2F18" w:rsidRDefault="0056404B" w:rsidP="000D440B">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Н</w:t>
      </w:r>
      <w:r w:rsidR="004952CA" w:rsidRPr="00EF2F18">
        <w:rPr>
          <w:rFonts w:ascii="Times New Roman" w:hAnsi="Times New Roman" w:cs="Times New Roman"/>
          <w:lang w:val="sr-Cyrl-RS"/>
        </w:rPr>
        <w:t>еадекватно управљ</w:t>
      </w:r>
      <w:r w:rsidRPr="00EF2F18">
        <w:rPr>
          <w:rFonts w:ascii="Times New Roman" w:hAnsi="Times New Roman" w:cs="Times New Roman"/>
          <w:lang w:val="sr-Cyrl-RS"/>
        </w:rPr>
        <w:t>ање</w:t>
      </w:r>
      <w:r w:rsidR="004952CA" w:rsidRPr="00EF2F18">
        <w:rPr>
          <w:rFonts w:ascii="Times New Roman" w:hAnsi="Times New Roman" w:cs="Times New Roman"/>
          <w:lang w:val="sr-Cyrl-RS"/>
        </w:rPr>
        <w:t xml:space="preserve"> комуналним отпадом и индустријск</w:t>
      </w:r>
      <w:r w:rsidRPr="00EF2F18">
        <w:rPr>
          <w:rFonts w:ascii="Times New Roman" w:hAnsi="Times New Roman" w:cs="Times New Roman"/>
          <w:lang w:val="sr-Cyrl-RS"/>
        </w:rPr>
        <w:t>о</w:t>
      </w:r>
      <w:r w:rsidR="004952CA" w:rsidRPr="00EF2F18">
        <w:rPr>
          <w:rFonts w:ascii="Times New Roman" w:hAnsi="Times New Roman" w:cs="Times New Roman"/>
          <w:lang w:val="sr-Cyrl-RS"/>
        </w:rPr>
        <w:t xml:space="preserve"> загађење</w:t>
      </w:r>
      <w:r w:rsidRPr="00EF2F18">
        <w:rPr>
          <w:rFonts w:ascii="Times New Roman" w:hAnsi="Times New Roman" w:cs="Times New Roman"/>
          <w:lang w:val="sr-Cyrl-RS"/>
        </w:rPr>
        <w:t xml:space="preserve"> су претња загађењу земљишта, а </w:t>
      </w:r>
      <w:r w:rsidR="00177014" w:rsidRPr="00EF2F18">
        <w:rPr>
          <w:rFonts w:ascii="Times New Roman" w:hAnsi="Times New Roman" w:cs="Times New Roman"/>
          <w:lang w:val="sr-Cyrl-RS"/>
        </w:rPr>
        <w:t xml:space="preserve">ни </w:t>
      </w:r>
      <w:r w:rsidRPr="00EF2F18">
        <w:rPr>
          <w:rFonts w:ascii="Times New Roman" w:hAnsi="Times New Roman" w:cs="Times New Roman"/>
          <w:lang w:val="sr-Cyrl-RS"/>
        </w:rPr>
        <w:t>м</w:t>
      </w:r>
      <w:r w:rsidR="004952CA" w:rsidRPr="00EF2F18">
        <w:rPr>
          <w:rFonts w:ascii="Times New Roman" w:hAnsi="Times New Roman" w:cs="Times New Roman"/>
          <w:lang w:val="sr-Cyrl-RS"/>
        </w:rPr>
        <w:t xml:space="preserve">ониторинг земљишта </w:t>
      </w:r>
      <w:r w:rsidRPr="00EF2F18">
        <w:rPr>
          <w:rFonts w:ascii="Times New Roman" w:hAnsi="Times New Roman" w:cs="Times New Roman"/>
          <w:lang w:val="sr-Cyrl-RS"/>
        </w:rPr>
        <w:t>ниј</w:t>
      </w:r>
      <w:r w:rsidR="004952CA" w:rsidRPr="00EF2F18">
        <w:rPr>
          <w:rFonts w:ascii="Times New Roman" w:hAnsi="Times New Roman" w:cs="Times New Roman"/>
          <w:lang w:val="sr-Cyrl-RS"/>
        </w:rPr>
        <w:t>е адекватан.</w:t>
      </w:r>
      <w:r w:rsidRPr="00EF2F18">
        <w:rPr>
          <w:rFonts w:ascii="Times New Roman" w:hAnsi="Times New Roman" w:cs="Times New Roman"/>
          <w:lang w:val="sr-Cyrl-RS"/>
        </w:rPr>
        <w:t xml:space="preserve"> </w:t>
      </w:r>
      <w:r w:rsidR="004952CA" w:rsidRPr="00EF2F18">
        <w:rPr>
          <w:rFonts w:ascii="Times New Roman" w:hAnsi="Times New Roman" w:cs="Times New Roman"/>
          <w:lang w:val="sr-Cyrl-RS"/>
        </w:rPr>
        <w:t>Постоји повећана деградација и губитак земљишта ус</w:t>
      </w:r>
      <w:r w:rsidRPr="00EF2F18">
        <w:rPr>
          <w:rFonts w:ascii="Times New Roman" w:hAnsi="Times New Roman" w:cs="Times New Roman"/>
          <w:lang w:val="sr-Cyrl-RS"/>
        </w:rPr>
        <w:t>л</w:t>
      </w:r>
      <w:r w:rsidR="004952CA" w:rsidRPr="00EF2F18">
        <w:rPr>
          <w:rFonts w:ascii="Times New Roman" w:hAnsi="Times New Roman" w:cs="Times New Roman"/>
          <w:lang w:val="sr-Cyrl-RS"/>
        </w:rPr>
        <w:t>ед ерозије, поплава, суша и климатских промена.</w:t>
      </w:r>
    </w:p>
    <w:p w14:paraId="42CD496A" w14:textId="79485620" w:rsidR="004952CA" w:rsidRPr="00EF2F18" w:rsidRDefault="00AB0C3F" w:rsidP="000D440B">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Емисије из индустрије су и даље високе јер </w:t>
      </w:r>
      <w:r w:rsidR="00177014" w:rsidRPr="00EF2F18">
        <w:rPr>
          <w:rFonts w:ascii="Times New Roman" w:hAnsi="Times New Roman" w:cs="Times New Roman"/>
          <w:lang w:val="sr-Cyrl-RS"/>
        </w:rPr>
        <w:t>постоји н</w:t>
      </w:r>
      <w:r w:rsidR="004952CA" w:rsidRPr="00EF2F18">
        <w:rPr>
          <w:rFonts w:ascii="Times New Roman" w:hAnsi="Times New Roman" w:cs="Times New Roman"/>
          <w:lang w:val="sr-Cyrl-RS"/>
        </w:rPr>
        <w:t xml:space="preserve">еусаглашеност са већином директива ЕУ, укључујући Директиву </w:t>
      </w:r>
      <w:r w:rsidR="002643A9" w:rsidRPr="00EF2F18">
        <w:rPr>
          <w:rFonts w:ascii="Times New Roman" w:hAnsi="Times New Roman" w:cs="Times New Roman"/>
          <w:lang w:val="sr-Cyrl-RS"/>
        </w:rPr>
        <w:t xml:space="preserve">ЕУ </w:t>
      </w:r>
      <w:r w:rsidR="004952CA" w:rsidRPr="00EF2F18">
        <w:rPr>
          <w:rFonts w:ascii="Times New Roman" w:hAnsi="Times New Roman" w:cs="Times New Roman"/>
          <w:lang w:val="sr-Cyrl-RS"/>
        </w:rPr>
        <w:t>о индустријским емисијама (</w:t>
      </w:r>
      <w:r w:rsidR="004952CA" w:rsidRPr="00EF2F18">
        <w:rPr>
          <w:rFonts w:ascii="Times New Roman" w:hAnsi="Times New Roman" w:cs="Times New Roman"/>
          <w:i/>
          <w:iCs/>
          <w:lang w:val="sr-Cyrl-RS"/>
        </w:rPr>
        <w:t>IED</w:t>
      </w:r>
      <w:r w:rsidR="004952CA" w:rsidRPr="00EF2F18">
        <w:rPr>
          <w:rFonts w:ascii="Times New Roman" w:hAnsi="Times New Roman" w:cs="Times New Roman"/>
          <w:lang w:val="sr-Cyrl-RS"/>
        </w:rPr>
        <w:t>).</w:t>
      </w:r>
      <w:r w:rsidR="00177014" w:rsidRPr="00EF2F18">
        <w:rPr>
          <w:rFonts w:ascii="Times New Roman" w:hAnsi="Times New Roman" w:cs="Times New Roman"/>
          <w:lang w:val="sr-Cyrl-RS"/>
        </w:rPr>
        <w:t xml:space="preserve"> Још увек је недовољна</w:t>
      </w:r>
      <w:r w:rsidR="004952CA" w:rsidRPr="00EF2F18">
        <w:rPr>
          <w:rFonts w:ascii="Times New Roman" w:hAnsi="Times New Roman" w:cs="Times New Roman"/>
          <w:lang w:val="sr-Cyrl-RS"/>
        </w:rPr>
        <w:t xml:space="preserve"> примена одсумпоравања за смањење емисија сумпор-диоксида и честица</w:t>
      </w:r>
      <w:r w:rsidR="00D04141" w:rsidRPr="00EF2F18">
        <w:rPr>
          <w:rFonts w:ascii="Times New Roman" w:hAnsi="Times New Roman" w:cs="Times New Roman"/>
          <w:lang w:val="sr-Cyrl-RS"/>
        </w:rPr>
        <w:t xml:space="preserve"> у термоенергетским постројењима</w:t>
      </w:r>
      <w:r w:rsidR="004952CA" w:rsidRPr="00EF2F18">
        <w:rPr>
          <w:rFonts w:ascii="Times New Roman" w:hAnsi="Times New Roman" w:cs="Times New Roman"/>
          <w:lang w:val="sr-Cyrl-RS"/>
        </w:rPr>
        <w:t>.</w:t>
      </w:r>
      <w:r w:rsidR="00177014" w:rsidRPr="00EF2F18">
        <w:rPr>
          <w:rFonts w:ascii="Times New Roman" w:hAnsi="Times New Roman" w:cs="Times New Roman"/>
          <w:lang w:val="sr-Cyrl-RS"/>
        </w:rPr>
        <w:t xml:space="preserve"> </w:t>
      </w:r>
      <w:r w:rsidR="004952CA" w:rsidRPr="00EF2F18">
        <w:rPr>
          <w:rFonts w:ascii="Times New Roman" w:hAnsi="Times New Roman" w:cs="Times New Roman"/>
          <w:lang w:val="sr-Cyrl-RS"/>
        </w:rPr>
        <w:t>Мали број индустријских постројења има интегрисану дозволу</w:t>
      </w:r>
      <w:r w:rsidR="0038751E" w:rsidRPr="00EF2F18">
        <w:rPr>
          <w:rFonts w:ascii="Times New Roman" w:hAnsi="Times New Roman" w:cs="Times New Roman"/>
          <w:lang w:val="sr-Cyrl-RS"/>
        </w:rPr>
        <w:t>, иако је Закон о интегрисаном спречавању и контроли загађивања донет 2004. године.</w:t>
      </w:r>
      <w:r w:rsidR="002D094E" w:rsidRPr="00EF2F18">
        <w:rPr>
          <w:lang w:val="sr-Cyrl-RS"/>
        </w:rPr>
        <w:t xml:space="preserve"> </w:t>
      </w:r>
      <w:r w:rsidR="002D094E" w:rsidRPr="00EF2F18">
        <w:rPr>
          <w:rFonts w:ascii="Times New Roman" w:hAnsi="Times New Roman" w:cs="Times New Roman"/>
          <w:lang w:val="sr-Cyrl-RS"/>
        </w:rPr>
        <w:t xml:space="preserve">Недостатак документације из претходних поступака и недостатак капацитета код оператера, као и административних капацитета на свим нивоима надлежности идентификовани су узроци малог броја издатих дозвола. </w:t>
      </w:r>
    </w:p>
    <w:p w14:paraId="3D150C5F" w14:textId="715C5A47" w:rsidR="004952CA" w:rsidRPr="00EF2F18" w:rsidRDefault="00B2745E" w:rsidP="000D440B">
      <w:pPr>
        <w:pStyle w:val="Normal1"/>
        <w:pBdr>
          <w:top w:val="nil"/>
          <w:left w:val="nil"/>
          <w:bottom w:val="nil"/>
          <w:right w:val="nil"/>
          <w:between w:val="nil"/>
        </w:pBdr>
        <w:spacing w:after="0"/>
        <w:ind w:firstLine="720"/>
        <w:jc w:val="both"/>
        <w:rPr>
          <w:rFonts w:ascii="Times New Roman" w:hAnsi="Times New Roman" w:cs="Times New Roman"/>
          <w:lang w:val="sr-Cyrl-RS"/>
        </w:rPr>
      </w:pPr>
      <w:bookmarkStart w:id="87" w:name="_Hlk176204508"/>
      <w:r w:rsidRPr="00EF2F18">
        <w:rPr>
          <w:rFonts w:ascii="Times New Roman" w:hAnsi="Times New Roman" w:cs="Times New Roman"/>
          <w:lang w:val="sr-Cyrl-RS"/>
        </w:rPr>
        <w:t>П</w:t>
      </w:r>
      <w:r w:rsidR="004952CA" w:rsidRPr="00EF2F18">
        <w:rPr>
          <w:rFonts w:ascii="Times New Roman" w:hAnsi="Times New Roman" w:cs="Times New Roman"/>
          <w:lang w:val="sr-Cyrl-RS"/>
        </w:rPr>
        <w:t>лански документи за интегрисано управљање хемикалијама</w:t>
      </w:r>
      <w:r w:rsidRPr="00EF2F18">
        <w:rPr>
          <w:rFonts w:ascii="Times New Roman" w:hAnsi="Times New Roman" w:cs="Times New Roman"/>
          <w:lang w:val="sr-Cyrl-RS"/>
        </w:rPr>
        <w:t xml:space="preserve"> нису ажурирани, </w:t>
      </w:r>
      <w:r w:rsidR="00AB0C3F" w:rsidRPr="00EF2F18">
        <w:rPr>
          <w:rFonts w:ascii="Times New Roman" w:hAnsi="Times New Roman" w:cs="Times New Roman"/>
          <w:lang w:val="sr-Cyrl-RS"/>
        </w:rPr>
        <w:t xml:space="preserve">што </w:t>
      </w:r>
      <w:r w:rsidR="004952CA" w:rsidRPr="00EF2F18">
        <w:rPr>
          <w:rFonts w:ascii="Times New Roman" w:hAnsi="Times New Roman" w:cs="Times New Roman"/>
          <w:lang w:val="sr-Cyrl-RS"/>
        </w:rPr>
        <w:t xml:space="preserve">ограничава </w:t>
      </w:r>
      <w:r w:rsidRPr="00EF2F18">
        <w:rPr>
          <w:rFonts w:ascii="Times New Roman" w:hAnsi="Times New Roman" w:cs="Times New Roman"/>
          <w:lang w:val="sr-Cyrl-RS"/>
        </w:rPr>
        <w:t>приступ</w:t>
      </w:r>
      <w:r w:rsidR="004952CA" w:rsidRPr="00EF2F18">
        <w:rPr>
          <w:rFonts w:ascii="Times New Roman" w:hAnsi="Times New Roman" w:cs="Times New Roman"/>
          <w:lang w:val="sr-Cyrl-RS"/>
        </w:rPr>
        <w:t xml:space="preserve"> до међународних донаторских фондова за решавање проблема са живом.</w:t>
      </w:r>
      <w:r w:rsidRPr="00EF2F18">
        <w:rPr>
          <w:rFonts w:ascii="Times New Roman" w:hAnsi="Times New Roman" w:cs="Times New Roman"/>
          <w:lang w:val="sr-Cyrl-RS"/>
        </w:rPr>
        <w:t xml:space="preserve"> Недовољна је промоција безбеднијих алтернатива и замена штетних супстанци. Препознат је и н</w:t>
      </w:r>
      <w:r w:rsidR="004952CA" w:rsidRPr="00EF2F18">
        <w:rPr>
          <w:rFonts w:ascii="Times New Roman" w:hAnsi="Times New Roman" w:cs="Times New Roman"/>
          <w:lang w:val="sr-Cyrl-RS"/>
        </w:rPr>
        <w:t>едостатак административних капацитета за имплементацију регулат</w:t>
      </w:r>
      <w:r w:rsidR="005C73D1" w:rsidRPr="00EF2F18">
        <w:rPr>
          <w:rFonts w:ascii="Times New Roman" w:hAnsi="Times New Roman" w:cs="Times New Roman"/>
          <w:lang w:val="sr-Cyrl-RS"/>
        </w:rPr>
        <w:t>ор</w:t>
      </w:r>
      <w:r w:rsidR="004952CA" w:rsidRPr="00EF2F18">
        <w:rPr>
          <w:rFonts w:ascii="Times New Roman" w:hAnsi="Times New Roman" w:cs="Times New Roman"/>
          <w:lang w:val="sr-Cyrl-RS"/>
        </w:rPr>
        <w:t>ног оквира и инспекцијских органа за управљање хемикалијама.</w:t>
      </w:r>
      <w:r w:rsidRPr="00EF2F18">
        <w:rPr>
          <w:rFonts w:ascii="Times New Roman" w:hAnsi="Times New Roman" w:cs="Times New Roman"/>
          <w:lang w:val="sr-Cyrl-RS"/>
        </w:rPr>
        <w:t xml:space="preserve"> </w:t>
      </w:r>
      <w:r w:rsidR="00B448CC" w:rsidRPr="00EF2F18">
        <w:rPr>
          <w:rFonts w:ascii="Times New Roman" w:hAnsi="Times New Roman" w:cs="Times New Roman"/>
          <w:lang w:val="sr-Cyrl-RS"/>
        </w:rPr>
        <w:t xml:space="preserve">Такође, у оквиру Акционог плана Европске агенције за хемикалије за процену националних капацитета и спремности за спровођење и надзор </w:t>
      </w:r>
      <w:r w:rsidR="00B448CC" w:rsidRPr="00EF2F18">
        <w:rPr>
          <w:rFonts w:ascii="Times New Roman" w:hAnsi="Times New Roman" w:cs="Times New Roman"/>
          <w:i/>
          <w:iCs/>
          <w:lang w:val="sr-Cyrl-RS"/>
        </w:rPr>
        <w:t>REACH, CLP, BPR</w:t>
      </w:r>
      <w:r w:rsidR="00B448CC" w:rsidRPr="00EF2F18">
        <w:rPr>
          <w:rFonts w:ascii="Times New Roman" w:hAnsi="Times New Roman" w:cs="Times New Roman"/>
          <w:lang w:val="sr-Cyrl-RS"/>
        </w:rPr>
        <w:t xml:space="preserve"> и </w:t>
      </w:r>
      <w:r w:rsidR="00B448CC" w:rsidRPr="00EF2F18">
        <w:rPr>
          <w:rFonts w:ascii="Times New Roman" w:hAnsi="Times New Roman" w:cs="Times New Roman"/>
          <w:i/>
          <w:iCs/>
          <w:lang w:val="sr-Cyrl-RS"/>
        </w:rPr>
        <w:t>PIC</w:t>
      </w:r>
      <w:r w:rsidR="00B448CC" w:rsidRPr="00EF2F18">
        <w:rPr>
          <w:rFonts w:ascii="Times New Roman" w:hAnsi="Times New Roman" w:cs="Times New Roman"/>
          <w:lang w:val="sr-Cyrl-RS"/>
        </w:rPr>
        <w:t xml:space="preserve"> уредби ЕУ у </w:t>
      </w:r>
      <w:r w:rsidR="004A231C" w:rsidRPr="00EF2F18">
        <w:rPr>
          <w:rFonts w:ascii="Times New Roman" w:hAnsi="Times New Roman" w:cs="Times New Roman"/>
          <w:lang w:val="sr-Cyrl-RS"/>
        </w:rPr>
        <w:t xml:space="preserve">Републици </w:t>
      </w:r>
      <w:r w:rsidR="00B448CC" w:rsidRPr="00EF2F18">
        <w:rPr>
          <w:rFonts w:ascii="Times New Roman" w:hAnsi="Times New Roman" w:cs="Times New Roman"/>
          <w:lang w:val="sr-Cyrl-RS"/>
        </w:rPr>
        <w:t>Србији</w:t>
      </w:r>
      <w:r w:rsidR="00ED1026" w:rsidRPr="00EF2F18">
        <w:rPr>
          <w:rStyle w:val="FootnoteReference"/>
          <w:rFonts w:cs="Times New Roman"/>
          <w:lang w:val="sr-Cyrl-RS"/>
        </w:rPr>
        <w:footnoteReference w:id="18"/>
      </w:r>
      <w:r w:rsidR="00B448CC" w:rsidRPr="00EF2F18">
        <w:rPr>
          <w:rFonts w:ascii="Times New Roman" w:hAnsi="Times New Roman" w:cs="Times New Roman"/>
          <w:lang w:val="sr-Cyrl-RS"/>
        </w:rPr>
        <w:t xml:space="preserve"> идентификован је као недостатак и непостојање Меморандума о разумевању између надлежног органа за управљање хемикалијама (Министарства заштите животне средине) и научно-истраживачких организација и спољних сарадника у области процене ризика и евалуације супстанци у складу са захтевима ЕУ легислативе из области управљања хемикалијама и биоцидним производима.</w:t>
      </w:r>
    </w:p>
    <w:bookmarkEnd w:id="87"/>
    <w:p w14:paraId="0F967028" w14:textId="718852C8" w:rsidR="000A64D8" w:rsidRPr="00EF2F18" w:rsidRDefault="000A64D8" w:rsidP="000A64D8">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Недостају одговарајући подзаконски прописи за примену </w:t>
      </w:r>
      <w:r w:rsidR="00A758CE" w:rsidRPr="00EF2F18">
        <w:rPr>
          <w:rFonts w:ascii="Times New Roman" w:hAnsi="Times New Roman" w:cs="Times New Roman"/>
          <w:lang w:val="sr-Cyrl-RS"/>
        </w:rPr>
        <w:t>З</w:t>
      </w:r>
      <w:r w:rsidRPr="00EF2F18">
        <w:rPr>
          <w:rFonts w:ascii="Times New Roman" w:hAnsi="Times New Roman" w:cs="Times New Roman"/>
          <w:lang w:val="sr-Cyrl-RS"/>
        </w:rPr>
        <w:t xml:space="preserve">акона о заштити од буке у животној средини и транспозиција Директиве </w:t>
      </w:r>
      <w:r w:rsidR="008C0DDE" w:rsidRPr="00EF2F18">
        <w:rPr>
          <w:rFonts w:ascii="Times New Roman" w:hAnsi="Times New Roman" w:cs="Times New Roman"/>
          <w:lang w:val="sr-Cyrl-RS"/>
        </w:rPr>
        <w:t xml:space="preserve">ЕУ </w:t>
      </w:r>
      <w:r w:rsidRPr="00EF2F18">
        <w:rPr>
          <w:rFonts w:ascii="Times New Roman" w:hAnsi="Times New Roman" w:cs="Times New Roman"/>
          <w:lang w:val="sr-Cyrl-RS"/>
        </w:rPr>
        <w:t>2002/49/EC</w:t>
      </w:r>
      <w:r w:rsidR="008C0DDE" w:rsidRPr="00EF2F18">
        <w:rPr>
          <w:rFonts w:ascii="Times New Roman" w:hAnsi="Times New Roman" w:cs="Times New Roman"/>
          <w:lang w:val="sr-Cyrl-RS"/>
        </w:rPr>
        <w:t xml:space="preserve"> о процени и управљању буком из животне средине</w:t>
      </w:r>
      <w:r w:rsidRPr="00EF2F18">
        <w:rPr>
          <w:rFonts w:ascii="Times New Roman" w:hAnsi="Times New Roman" w:cs="Times New Roman"/>
          <w:lang w:val="sr-Cyrl-RS"/>
        </w:rPr>
        <w:t xml:space="preserve">. Такође недостају стратешке карте буке и акциони планови у складу са Директивом </w:t>
      </w:r>
      <w:r w:rsidR="008C0DDE" w:rsidRPr="00EF2F18">
        <w:rPr>
          <w:rFonts w:ascii="Times New Roman" w:hAnsi="Times New Roman" w:cs="Times New Roman"/>
          <w:lang w:val="sr-Cyrl-RS"/>
        </w:rPr>
        <w:t xml:space="preserve">ЕУ </w:t>
      </w:r>
      <w:r w:rsidRPr="00EF2F18">
        <w:rPr>
          <w:rFonts w:ascii="Times New Roman" w:hAnsi="Times New Roman" w:cs="Times New Roman"/>
          <w:lang w:val="sr-Cyrl-RS"/>
        </w:rPr>
        <w:t>2002/49/EC.</w:t>
      </w:r>
    </w:p>
    <w:p w14:paraId="19597A70" w14:textId="0099A4F7" w:rsidR="000A64D8" w:rsidRPr="00EF2F18" w:rsidRDefault="000A64D8" w:rsidP="000A64D8">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У области нејонизујућег зрачења, </w:t>
      </w:r>
      <w:r w:rsidR="008C511F" w:rsidRPr="00EF2F18">
        <w:rPr>
          <w:rFonts w:ascii="Times New Roman" w:hAnsi="Times New Roman" w:cs="Times New Roman"/>
          <w:lang w:val="sr-Cyrl-RS"/>
        </w:rPr>
        <w:t xml:space="preserve">потребно је побољшати законску регулативу и ажурирати је у складу са најновијим препорукама и техничким стандардима Међународне </w:t>
      </w:r>
      <w:r w:rsidR="008C511F" w:rsidRPr="00EF2F18">
        <w:rPr>
          <w:rFonts w:ascii="Times New Roman" w:hAnsi="Times New Roman" w:cs="Times New Roman"/>
          <w:lang w:val="sr-Cyrl-RS"/>
        </w:rPr>
        <w:lastRenderedPageBreak/>
        <w:t xml:space="preserve">комисије за заштиту од </w:t>
      </w:r>
      <w:r w:rsidR="009B2082" w:rsidRPr="00EF2F18">
        <w:rPr>
          <w:rFonts w:ascii="Times New Roman" w:hAnsi="Times New Roman" w:cs="Times New Roman"/>
          <w:lang w:val="sr-Cyrl-RS"/>
        </w:rPr>
        <w:t>нејонизујућег зрачења</w:t>
      </w:r>
      <w:r w:rsidR="008C511F" w:rsidRPr="00EF2F18">
        <w:rPr>
          <w:rFonts w:ascii="Times New Roman" w:hAnsi="Times New Roman" w:cs="Times New Roman"/>
          <w:lang w:val="sr-Cyrl-RS"/>
        </w:rPr>
        <w:t xml:space="preserve"> и Савета Европе</w:t>
      </w:r>
      <w:r w:rsidRPr="00EF2F18">
        <w:rPr>
          <w:rFonts w:ascii="Times New Roman" w:hAnsi="Times New Roman" w:cs="Times New Roman"/>
          <w:lang w:val="sr-Cyrl-RS"/>
        </w:rPr>
        <w:t>, a у области јонизујућег зрачења уочен је недостатак планских докумената за радијациону и нуклеарну сигурност и безбедност.</w:t>
      </w:r>
    </w:p>
    <w:p w14:paraId="28476E33" w14:textId="7D5B7F1F" w:rsidR="00D7741A" w:rsidRPr="00EF2F18" w:rsidRDefault="00D7741A" w:rsidP="00F37C43">
      <w:pPr>
        <w:spacing w:after="0"/>
        <w:ind w:firstLine="720"/>
        <w:jc w:val="both"/>
        <w:rPr>
          <w:rFonts w:cs="Times New Roman"/>
          <w:lang w:val="sr-Cyrl-RS"/>
        </w:rPr>
      </w:pPr>
      <w:r w:rsidRPr="00EF2F18">
        <w:rPr>
          <w:sz w:val="22"/>
          <w:lang w:val="sr-Cyrl-RS"/>
        </w:rPr>
        <w:t xml:space="preserve">Узроци који доводе до угрожености природе (биодиверзитета, геодиверзитета и предеоног диверзитета) у Републици Србији, у највећем проценту су последица људских активности које покрећу све ове узроке. Смањење биодиверзитета у Републици Србији настаје као последица нестајања, деградације и фрагментације станишта, смањења популација дивљих врста, угрожености очувања генетичке разноврсности аутохтоних популација биљних и животињских врста, интродукције – инвазивних и алохтоних врста и ГМО, промена климе и елементарних непогода и утицаја човека. Конверзија природних или полуприродних станишта за потребе производних сектора, потребе становања, развоја инфраструктуре и комерцијалне употребе, а чија је последица нестанак, фрагментација и деградација станишта, најзначајнији је појединачни фактор одговоран за угрожавање врста у Републици Србији. Промена намене земљишта укључује исушивање влажних станишта, крчење шума, проширење стамбених или комерцијалних садржаја изван грађевинских зона; развој туристичких центара, претварања ливада и пашњака у њиве и др. </w:t>
      </w:r>
      <w:r w:rsidR="009B2082" w:rsidRPr="00EF2F18">
        <w:rPr>
          <w:sz w:val="22"/>
          <w:lang w:val="sr-Cyrl-RS"/>
        </w:rPr>
        <w:t>У Републици</w:t>
      </w:r>
      <w:r w:rsidRPr="00EF2F18">
        <w:rPr>
          <w:sz w:val="22"/>
          <w:lang w:val="sr-Cyrl-RS"/>
        </w:rPr>
        <w:t xml:space="preserve"> Србији није развијен систем праћења ових појава те је немогуће у целини сагледати укупне последице ових проблема. </w:t>
      </w:r>
      <w:r w:rsidRPr="00EF2F18">
        <w:rPr>
          <w:rFonts w:cs="Times New Roman"/>
          <w:sz w:val="22"/>
          <w:lang w:val="sr-Cyrl-RS"/>
        </w:rPr>
        <w:t xml:space="preserve">Капацитети за управљање заштићеним подручјима, упркос сталним напорима за њихово јачање, још увек нису довољни. Због неактивности надлежних субјеката и слабе сарадње међу њима, све је више примера ширења бесправне градње у националним парковима. </w:t>
      </w:r>
      <w:r w:rsidR="00044077" w:rsidRPr="00EF2F18">
        <w:rPr>
          <w:rFonts w:cs="Times New Roman"/>
          <w:sz w:val="22"/>
          <w:lang w:val="sr-Cyrl-RS"/>
        </w:rPr>
        <w:t xml:space="preserve">Поступак проглашења заштићених подручја је спор и неефикасан и траје у просеку око пет и по година. </w:t>
      </w:r>
      <w:r w:rsidR="00044077" w:rsidRPr="00EF2F18">
        <w:rPr>
          <w:sz w:val="22"/>
          <w:lang w:val="sr-Cyrl-RS"/>
        </w:rPr>
        <w:t xml:space="preserve">Уредбом о еколошкој мрежи </w:t>
      </w:r>
      <w:r w:rsidR="008C0DDE" w:rsidRPr="00EF2F18">
        <w:rPr>
          <w:sz w:val="22"/>
          <w:lang w:val="sr-Cyrl-RS"/>
        </w:rPr>
        <w:t>(„Службени гласник РС</w:t>
      </w:r>
      <w:r w:rsidR="00865FD0" w:rsidRPr="00EF2F18">
        <w:rPr>
          <w:sz w:val="22"/>
          <w:lang w:val="sr-Cyrl-RS"/>
        </w:rPr>
        <w:t>”</w:t>
      </w:r>
      <w:r w:rsidR="008C0DDE" w:rsidRPr="00EF2F18">
        <w:rPr>
          <w:sz w:val="22"/>
          <w:lang w:val="sr-Cyrl-RS"/>
        </w:rPr>
        <w:t xml:space="preserve">, број 102/10) </w:t>
      </w:r>
      <w:r w:rsidR="00044077" w:rsidRPr="00EF2F18">
        <w:rPr>
          <w:sz w:val="22"/>
          <w:lang w:val="sr-Cyrl-RS"/>
        </w:rPr>
        <w:t>утврђена је еколошка мрежа</w:t>
      </w:r>
      <w:r w:rsidR="00044077" w:rsidRPr="00EF2F18">
        <w:rPr>
          <w:bCs/>
          <w:sz w:val="22"/>
          <w:lang w:val="sr-Cyrl-RS"/>
        </w:rPr>
        <w:t xml:space="preserve">, дефинисане мере заштите, начин управљања, финансирање и мониторинг, али еколошка мрежа још увек није функционално успостављена, услед многих фактора и с тим у вези, неопходне су измене и допуне Уредбе о еколошкој мрежи у складу са изменама и допунама Закона о заштити природе. </w:t>
      </w:r>
      <w:r w:rsidR="00044077" w:rsidRPr="00EF2F18">
        <w:rPr>
          <w:sz w:val="22"/>
          <w:lang w:val="sr-Cyrl-RS"/>
        </w:rPr>
        <w:t>Истраживања и вредновања екосистемских услуга у Републици Србији нису довољно развијена</w:t>
      </w:r>
      <w:r w:rsidRPr="00EF2F18">
        <w:rPr>
          <w:sz w:val="22"/>
          <w:lang w:val="sr-Cyrl-RS"/>
        </w:rPr>
        <w:t xml:space="preserve">. </w:t>
      </w:r>
    </w:p>
    <w:p w14:paraId="514AC370" w14:textId="4540CB7C" w:rsidR="004952CA" w:rsidRPr="00EF2F18" w:rsidRDefault="000A64D8" w:rsidP="000A64D8">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 xml:space="preserve">Неповезане су и неажуриране базе података о резултатима контроле квалитета пољопривредног земљишта, коришћењу средстава за заштиту биља и </w:t>
      </w:r>
      <w:r w:rsidR="006E3CFD" w:rsidRPr="00EF2F18">
        <w:rPr>
          <w:rFonts w:ascii="Times New Roman" w:hAnsi="Times New Roman" w:cs="Times New Roman"/>
          <w:bCs/>
          <w:lang w:val="sr-Cyrl-RS"/>
        </w:rPr>
        <w:t>средстава за исхрану биља</w:t>
      </w:r>
      <w:r w:rsidRPr="00EF2F18">
        <w:rPr>
          <w:rFonts w:ascii="Times New Roman" w:hAnsi="Times New Roman" w:cs="Times New Roman"/>
          <w:bCs/>
          <w:lang w:val="sr-Cyrl-RS"/>
        </w:rPr>
        <w:t>,</w:t>
      </w:r>
      <w:r w:rsidRPr="00EF2F18">
        <w:rPr>
          <w:rFonts w:ascii="Times New Roman" w:hAnsi="Times New Roman" w:cs="Times New Roman"/>
          <w:lang w:val="sr-Cyrl-RS"/>
        </w:rPr>
        <w:t xml:space="preserve"> отпаду и нивоу емисија гасова са ефектом стаклене баште из пољопривреде. Недовољно је одржавање системa за наводњавање, недовољна контрола квалитета воде за наводњавање. Систем подстицаја пољопривреди није прилагођен ЕУ моделу у погледу условљености</w:t>
      </w:r>
      <w:r w:rsidR="007C7D58" w:rsidRPr="00EF2F18">
        <w:rPr>
          <w:rFonts w:ascii="Times New Roman" w:hAnsi="Times New Roman" w:cs="Times New Roman"/>
          <w:lang w:val="sr-Cyrl-RS"/>
        </w:rPr>
        <w:t xml:space="preserve"> код</w:t>
      </w:r>
      <w:r w:rsidRPr="00EF2F18">
        <w:rPr>
          <w:rFonts w:ascii="Times New Roman" w:hAnsi="Times New Roman" w:cs="Times New Roman"/>
          <w:lang w:val="sr-Cyrl-RS"/>
        </w:rPr>
        <w:t xml:space="preserve"> плаћања. Недовољна је примена иновативних технологија и метода пољопривредне производње погодних за животну средину. Идентификована је неусклађеност законодавства са прописима ЕУ о генетичким ресурсима и неадекватна инвентаризација подручја високе природне вредности. Иако су позитивни трендови у производњи, органска пољопривреда је ипак јако зависна од система подстицаја. Постоји проблем промета и употребе забрањених пестицида који су и даље присутни на тржишту. Низак ниво свести пољопривредних произвођача о правилној и безбедној употреби средстава за заштиту биља. Недовољни су капацитети институција за примену прописа у области заштите животне средине у пољопривредно</w:t>
      </w:r>
      <w:r w:rsidR="003C62A6" w:rsidRPr="00EF2F18">
        <w:rPr>
          <w:rFonts w:ascii="Times New Roman" w:hAnsi="Times New Roman" w:cs="Times New Roman"/>
          <w:lang w:val="sr-Cyrl-RS"/>
        </w:rPr>
        <w:t>-</w:t>
      </w:r>
      <w:r w:rsidRPr="00EF2F18">
        <w:rPr>
          <w:rFonts w:ascii="Times New Roman" w:hAnsi="Times New Roman" w:cs="Times New Roman"/>
          <w:lang w:val="sr-Cyrl-RS"/>
        </w:rPr>
        <w:t xml:space="preserve">прехрамбеном сектору. Инфраструктура у руралним подручјима је неразвијена, са малим капацитетима за примену иновативних технологија, заштиту животне средине и очување руралних предела. Такође, недовољни су капацитети </w:t>
      </w:r>
      <w:r w:rsidR="003F6687" w:rsidRPr="00EF2F18">
        <w:rPr>
          <w:rFonts w:ascii="Times New Roman" w:hAnsi="Times New Roman" w:cs="Times New Roman"/>
          <w:lang w:val="sr-Cyrl-RS"/>
        </w:rPr>
        <w:t xml:space="preserve">јединица локалне самоуправе </w:t>
      </w:r>
      <w:r w:rsidRPr="00EF2F18">
        <w:rPr>
          <w:rFonts w:ascii="Times New Roman" w:hAnsi="Times New Roman" w:cs="Times New Roman"/>
          <w:lang w:val="sr-Cyrl-RS"/>
        </w:rPr>
        <w:t>да креирају, финансирају и спроводе мере за рурална подручја са циљем унапређења заштите животне средине и смањење негативних утицаја климатских промена</w:t>
      </w:r>
      <w:r w:rsidR="004952CA" w:rsidRPr="00EF2F18">
        <w:rPr>
          <w:rFonts w:ascii="Times New Roman" w:hAnsi="Times New Roman" w:cs="Times New Roman"/>
          <w:lang w:val="sr-Cyrl-RS"/>
        </w:rPr>
        <w:t>.</w:t>
      </w:r>
    </w:p>
    <w:p w14:paraId="4E7D7FF4" w14:textId="39715A25" w:rsidR="000F3B07" w:rsidRPr="00EF2F18" w:rsidRDefault="000F3B07" w:rsidP="000F3B07">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Развој административних капацитета се суочава са посебним изазовима. Иако је основна администрација за заштиту животне средине успостављена, недостаје значајно јачање капацитета, не само кроз повећање броја запослених и њихових компетенција, већ и кроз циљану реорганизацију и реструктурирање: концентрисање и интегрисање капацитета за заштиту животне средине, укидањ</w:t>
      </w:r>
      <w:r w:rsidR="00C57688" w:rsidRPr="00EF2F18">
        <w:rPr>
          <w:rFonts w:ascii="Times New Roman" w:hAnsi="Times New Roman" w:cs="Times New Roman"/>
          <w:lang w:val="sr-Cyrl-RS"/>
        </w:rPr>
        <w:t>е</w:t>
      </w:r>
      <w:r w:rsidRPr="00EF2F18">
        <w:rPr>
          <w:rFonts w:ascii="Times New Roman" w:hAnsi="Times New Roman" w:cs="Times New Roman"/>
          <w:lang w:val="sr-Cyrl-RS"/>
        </w:rPr>
        <w:t xml:space="preserve"> преклапања надлежности, успостављањ</w:t>
      </w:r>
      <w:r w:rsidR="00C57688" w:rsidRPr="00EF2F18">
        <w:rPr>
          <w:rFonts w:ascii="Times New Roman" w:hAnsi="Times New Roman" w:cs="Times New Roman"/>
          <w:lang w:val="sr-Cyrl-RS"/>
        </w:rPr>
        <w:t>е</w:t>
      </w:r>
      <w:r w:rsidRPr="00EF2F18">
        <w:rPr>
          <w:rFonts w:ascii="Times New Roman" w:hAnsi="Times New Roman" w:cs="Times New Roman"/>
          <w:lang w:val="sr-Cyrl-RS"/>
        </w:rPr>
        <w:t xml:space="preserve"> механизама сарадње у областима у којима су заједничке надлежности и одговорности неизбежне, </w:t>
      </w:r>
      <w:r w:rsidR="003C62A6" w:rsidRPr="00EF2F18">
        <w:rPr>
          <w:rFonts w:ascii="Times New Roman" w:hAnsi="Times New Roman" w:cs="Times New Roman"/>
          <w:lang w:val="sr-Cyrl-RS"/>
        </w:rPr>
        <w:t xml:space="preserve">као и </w:t>
      </w:r>
      <w:r w:rsidRPr="00EF2F18">
        <w:rPr>
          <w:rFonts w:ascii="Times New Roman" w:hAnsi="Times New Roman" w:cs="Times New Roman"/>
          <w:lang w:val="sr-Cyrl-RS"/>
        </w:rPr>
        <w:t>креирање или поновно успостављање додатних институција. Велики изазов се налази у нејасним и понекад неусаглашеним прописима о заштити животне средине и секторским прописима који захтевају ревизију.</w:t>
      </w:r>
      <w:r w:rsidR="00490EB8" w:rsidRPr="00EF2F18">
        <w:rPr>
          <w:rFonts w:ascii="Times New Roman" w:hAnsi="Times New Roman" w:cs="Times New Roman"/>
          <w:lang w:val="sr-Cyrl-RS"/>
        </w:rPr>
        <w:t xml:space="preserve"> Иако постоје бројни механизми и извори података, постоје и потребе и за унапређењем система мониторинга и извештавања.</w:t>
      </w:r>
    </w:p>
    <w:p w14:paraId="7E94AD66" w14:textId="68510EB9" w:rsidR="00FB1686" w:rsidRPr="00EF2F18" w:rsidRDefault="00FB1686" w:rsidP="00FB1686">
      <w:pPr>
        <w:spacing w:after="0"/>
        <w:ind w:firstLine="709"/>
        <w:jc w:val="both"/>
        <w:rPr>
          <w:sz w:val="22"/>
          <w:lang w:val="sr-Cyrl-RS"/>
        </w:rPr>
      </w:pPr>
      <w:r w:rsidRPr="00EF2F18">
        <w:rPr>
          <w:rFonts w:cs="Times New Roman"/>
          <w:sz w:val="22"/>
          <w:lang w:val="sr-Cyrl-RS"/>
        </w:rPr>
        <w:lastRenderedPageBreak/>
        <w:t xml:space="preserve">Још нису довољно развијени механизми за спровођење Архуске конвенције у Републици Србији, у погледу </w:t>
      </w:r>
      <w:r w:rsidRPr="00EF2F18">
        <w:rPr>
          <w:sz w:val="22"/>
          <w:lang w:val="sr-Cyrl-RS"/>
        </w:rPr>
        <w:t xml:space="preserve">учешћа јавности, приступа информацијама, приступа правди у области заштите животне средине и извештавању о животној средини. </w:t>
      </w:r>
    </w:p>
    <w:p w14:paraId="0AB15557" w14:textId="6B32CE52" w:rsidR="00752667" w:rsidRPr="00EF2F18" w:rsidRDefault="0059022C" w:rsidP="00231BAB">
      <w:pPr>
        <w:pStyle w:val="Normal1"/>
        <w:pBdr>
          <w:top w:val="nil"/>
          <w:left w:val="nil"/>
          <w:bottom w:val="nil"/>
          <w:right w:val="nil"/>
          <w:between w:val="nil"/>
        </w:pBdr>
        <w:spacing w:after="0"/>
        <w:ind w:firstLine="720"/>
        <w:jc w:val="both"/>
        <w:rPr>
          <w:rFonts w:ascii="Times New Roman" w:hAnsi="Times New Roman" w:cs="Times New Roman"/>
          <w:lang w:val="sr-Cyrl-RS"/>
        </w:rPr>
      </w:pPr>
      <w:r w:rsidRPr="00EF2F18">
        <w:rPr>
          <w:rFonts w:ascii="Times New Roman" w:hAnsi="Times New Roman" w:cs="Times New Roman"/>
          <w:lang w:val="sr-Cyrl-RS"/>
        </w:rPr>
        <w:t>Иако су знатно повећане инвестиције у заштиту животне средине, још увек нема делотворне институционалне структуре и транспарентност</w:t>
      </w:r>
      <w:r w:rsidR="00490EB8" w:rsidRPr="00EF2F18">
        <w:rPr>
          <w:rFonts w:ascii="Times New Roman" w:hAnsi="Times New Roman" w:cs="Times New Roman"/>
          <w:lang w:val="sr-Cyrl-RS"/>
        </w:rPr>
        <w:t>и</w:t>
      </w:r>
      <w:r w:rsidRPr="00EF2F18">
        <w:rPr>
          <w:rFonts w:ascii="Times New Roman" w:hAnsi="Times New Roman" w:cs="Times New Roman"/>
          <w:lang w:val="sr-Cyrl-RS"/>
        </w:rPr>
        <w:t xml:space="preserve"> поступака. Сав приход остварен од накнада за заштиту и унапређивање животне средине треба да буде намењен за животну средину.</w:t>
      </w:r>
      <w:r w:rsidRPr="00EF2F18">
        <w:rPr>
          <w:rFonts w:ascii="Times New Roman" w:hAnsi="Times New Roman" w:cs="Times New Roman"/>
          <w:b/>
          <w:lang w:val="sr-Cyrl-RS"/>
        </w:rPr>
        <w:t xml:space="preserve"> </w:t>
      </w:r>
      <w:r w:rsidRPr="00EF2F18">
        <w:rPr>
          <w:rFonts w:ascii="Times New Roman" w:hAnsi="Times New Roman" w:cs="Times New Roman"/>
          <w:lang w:val="sr-Cyrl-RS"/>
        </w:rPr>
        <w:t xml:space="preserve">Потребно је делотворно институционално уређење да би побољшала стратешко планирање, суфинансирање и управљање инвестицијама у животну средину. Такође, треба нарочито да се побољшају ефикасност и квалитет припреме, спровођења и контроле квалитета инвестиција, као и даљег унапређења стратешког планирања инвестиција и управљања њима, укључујући транспарентност поступака. Потребна је унапредити примену начела „загађивач плаћа” </w:t>
      </w:r>
      <w:r w:rsidR="00EC2893" w:rsidRPr="00EF2F18">
        <w:rPr>
          <w:rFonts w:ascii="Times New Roman" w:hAnsi="Times New Roman" w:cs="Times New Roman"/>
          <w:lang w:val="sr-Cyrl-RS"/>
        </w:rPr>
        <w:t xml:space="preserve">и „корисник плаћа” </w:t>
      </w:r>
      <w:r w:rsidRPr="00EF2F18">
        <w:rPr>
          <w:rFonts w:ascii="Times New Roman" w:hAnsi="Times New Roman" w:cs="Times New Roman"/>
          <w:lang w:val="sr-Cyrl-RS"/>
        </w:rPr>
        <w:t>како би се подстакла индустрија да инвестира у зелена решења.</w:t>
      </w:r>
      <w:r w:rsidR="00752667" w:rsidRPr="00EF2F18">
        <w:rPr>
          <w:rFonts w:ascii="Times New Roman" w:hAnsi="Times New Roman" w:cs="Times New Roman"/>
          <w:lang w:val="sr-Cyrl-RS"/>
        </w:rPr>
        <w:t xml:space="preserve"> Имплементација инфраструктурних пројеката често се суочава са изазовима због недовољних капацитета и људских ресурса у надлежним институцијама. Да би се побољшала ефикасност у спровођењу ових пројеката, </w:t>
      </w:r>
      <w:r w:rsidR="0044514A" w:rsidRPr="00EF2F18">
        <w:rPr>
          <w:rFonts w:ascii="Times New Roman" w:hAnsi="Times New Roman" w:cs="Times New Roman"/>
          <w:lang w:val="sr-Cyrl-RS"/>
        </w:rPr>
        <w:t>недовољно је</w:t>
      </w:r>
      <w:r w:rsidR="00752667" w:rsidRPr="00EF2F18">
        <w:rPr>
          <w:rFonts w:ascii="Times New Roman" w:hAnsi="Times New Roman" w:cs="Times New Roman"/>
          <w:lang w:val="sr-Cyrl-RS"/>
        </w:rPr>
        <w:t xml:space="preserve"> </w:t>
      </w:r>
      <w:r w:rsidR="0044514A" w:rsidRPr="00EF2F18">
        <w:rPr>
          <w:rFonts w:ascii="Times New Roman" w:hAnsi="Times New Roman" w:cs="Times New Roman"/>
          <w:lang w:val="sr-Cyrl-RS"/>
        </w:rPr>
        <w:t>јачање</w:t>
      </w:r>
      <w:r w:rsidR="00752667" w:rsidRPr="00EF2F18">
        <w:rPr>
          <w:rFonts w:ascii="Times New Roman" w:hAnsi="Times New Roman" w:cs="Times New Roman"/>
          <w:lang w:val="sr-Cyrl-RS"/>
        </w:rPr>
        <w:t xml:space="preserve"> капацитет</w:t>
      </w:r>
      <w:r w:rsidR="0044514A" w:rsidRPr="00EF2F18">
        <w:rPr>
          <w:rFonts w:ascii="Times New Roman" w:hAnsi="Times New Roman" w:cs="Times New Roman"/>
          <w:lang w:val="sr-Cyrl-RS"/>
        </w:rPr>
        <w:t>а</w:t>
      </w:r>
      <w:r w:rsidR="00752667" w:rsidRPr="00EF2F18">
        <w:rPr>
          <w:rFonts w:ascii="Times New Roman" w:hAnsi="Times New Roman" w:cs="Times New Roman"/>
          <w:lang w:val="sr-Cyrl-RS"/>
        </w:rPr>
        <w:t xml:space="preserve"> институција кроз континуирану едукацију и техничку подршку. Такође, институционално груписање релевантних сектора и њихова боља координација доприноси ефективнијем управљању пројектима, што може значајно убрзати имплементацију и повећати успешност у реализацији инфраструктурних иницијатива.</w:t>
      </w:r>
    </w:p>
    <w:p w14:paraId="7C6EA61B" w14:textId="4D835345" w:rsidR="00D9405A" w:rsidRPr="00EF2F18" w:rsidRDefault="00D9405A" w:rsidP="00D9405A">
      <w:pPr>
        <w:spacing w:after="0"/>
        <w:ind w:firstLine="720"/>
        <w:jc w:val="both"/>
        <w:rPr>
          <w:rFonts w:cs="Times New Roman"/>
          <w:sz w:val="22"/>
          <w:lang w:val="sr-Cyrl-RS"/>
        </w:rPr>
      </w:pPr>
      <w:r w:rsidRPr="00EF2F18">
        <w:rPr>
          <w:rFonts w:cs="Times New Roman"/>
          <w:sz w:val="22"/>
          <w:lang w:val="sr-Cyrl-RS"/>
        </w:rPr>
        <w:t>Примена принципа родне равноправности приликом планирања и спровођења докумената јавних политика, планова и пројеката у области заштите животне средине, још увек није довољно заступљена, јер не постоји довољан ниво знања на свим нивоима планирања о начину на који тај принцип треба применити. Не постоје ни јасне смернице како се тај принцип примењује, а ни подаци се не прикупљају на начин да буду родно осетљиви. Такође, у консу</w:t>
      </w:r>
      <w:r w:rsidR="00D04141" w:rsidRPr="00EF2F18">
        <w:rPr>
          <w:rFonts w:cs="Times New Roman"/>
          <w:sz w:val="22"/>
          <w:lang w:val="sr-Cyrl-RS"/>
        </w:rPr>
        <w:t>л</w:t>
      </w:r>
      <w:r w:rsidRPr="00EF2F18">
        <w:rPr>
          <w:rFonts w:cs="Times New Roman"/>
          <w:sz w:val="22"/>
          <w:lang w:val="sr-Cyrl-RS"/>
        </w:rPr>
        <w:t>тативним процесима се недовољно јасно прати учешће жена и мушкар</w:t>
      </w:r>
      <w:r w:rsidR="00D04141" w:rsidRPr="00EF2F18">
        <w:rPr>
          <w:rFonts w:cs="Times New Roman"/>
          <w:sz w:val="22"/>
          <w:lang w:val="sr-Cyrl-RS"/>
        </w:rPr>
        <w:t>а</w:t>
      </w:r>
      <w:r w:rsidRPr="00EF2F18">
        <w:rPr>
          <w:rFonts w:cs="Times New Roman"/>
          <w:sz w:val="22"/>
          <w:lang w:val="sr-Cyrl-RS"/>
        </w:rPr>
        <w:t>ца и представни</w:t>
      </w:r>
      <w:r w:rsidR="002F7ED7" w:rsidRPr="00EF2F18">
        <w:rPr>
          <w:rFonts w:cs="Times New Roman"/>
          <w:sz w:val="22"/>
          <w:lang w:val="sr-Cyrl-RS"/>
        </w:rPr>
        <w:t>к</w:t>
      </w:r>
      <w:r w:rsidRPr="00EF2F18">
        <w:rPr>
          <w:rFonts w:cs="Times New Roman"/>
          <w:sz w:val="22"/>
          <w:lang w:val="sr-Cyrl-RS"/>
        </w:rPr>
        <w:t>а осетљивих друштвених група, па се не може ни процењивати да ли је њихово укључивање у процесе доношења одлука о питањима управљања животном средином и одрживог развоја било адекватно.</w:t>
      </w:r>
    </w:p>
    <w:p w14:paraId="3A6ED194" w14:textId="77777777" w:rsidR="00F477E0" w:rsidRPr="00EF2F18" w:rsidRDefault="00F477E0" w:rsidP="00F477E0">
      <w:pPr>
        <w:jc w:val="both"/>
        <w:rPr>
          <w:rFonts w:cs="Times New Roman"/>
          <w:sz w:val="22"/>
          <w:highlight w:val="cyan"/>
          <w:lang w:val="sr-Cyrl-RS"/>
        </w:rPr>
      </w:pPr>
    </w:p>
    <w:p w14:paraId="04BECFF1" w14:textId="77777777" w:rsidR="00444167" w:rsidRPr="00EF2F18" w:rsidRDefault="00FB7412" w:rsidP="00F34D8C">
      <w:pPr>
        <w:pStyle w:val="Heading1"/>
        <w:numPr>
          <w:ilvl w:val="0"/>
          <w:numId w:val="2"/>
        </w:numPr>
        <w:ind w:firstLine="0"/>
        <w:jc w:val="center"/>
        <w:rPr>
          <w:rFonts w:cs="Times New Roman"/>
          <w:sz w:val="22"/>
          <w:szCs w:val="22"/>
          <w:lang w:val="sr-Cyrl-RS"/>
        </w:rPr>
      </w:pPr>
      <w:bookmarkStart w:id="88" w:name="_Toc158307724"/>
      <w:r w:rsidRPr="00EF2F18">
        <w:rPr>
          <w:rFonts w:cs="Times New Roman"/>
          <w:sz w:val="22"/>
          <w:szCs w:val="22"/>
          <w:lang w:val="sr-Cyrl-RS"/>
        </w:rPr>
        <w:t>ВИЗИЈА</w:t>
      </w:r>
      <w:bookmarkEnd w:id="88"/>
    </w:p>
    <w:p w14:paraId="391EE73E" w14:textId="77777777" w:rsidR="00444167" w:rsidRPr="00EF2F18" w:rsidRDefault="00444167" w:rsidP="00444167">
      <w:pPr>
        <w:rPr>
          <w:rFonts w:cs="Times New Roman"/>
          <w:sz w:val="22"/>
          <w:highlight w:val="yellow"/>
          <w:lang w:val="sr-Cyrl-RS"/>
        </w:rPr>
      </w:pPr>
    </w:p>
    <w:p w14:paraId="5DFC8FF0" w14:textId="2AE5AA25" w:rsidR="00772919" w:rsidRPr="00EF2F18" w:rsidRDefault="00772919" w:rsidP="006F65C1">
      <w:pPr>
        <w:spacing w:after="0"/>
        <w:ind w:firstLine="720"/>
        <w:jc w:val="both"/>
        <w:rPr>
          <w:rFonts w:cs="Times New Roman"/>
          <w:sz w:val="22"/>
          <w:lang w:val="sr-Cyrl-RS"/>
        </w:rPr>
      </w:pPr>
      <w:r w:rsidRPr="00EF2F18">
        <w:rPr>
          <w:rFonts w:cs="Times New Roman"/>
          <w:sz w:val="22"/>
          <w:lang w:val="sr-Cyrl-RS"/>
        </w:rPr>
        <w:t>Република Србија се развија у правцу нискоугљеничног друштва са конкурентном и ресурсно ефикасном економијом, која обезбеђује висок ниво заштите животне средине и климатске одрживости</w:t>
      </w:r>
      <w:r w:rsidR="00313318" w:rsidRPr="00EF2F18">
        <w:rPr>
          <w:rFonts w:cs="Times New Roman"/>
          <w:sz w:val="22"/>
          <w:lang w:val="sr-Cyrl-RS"/>
        </w:rPr>
        <w:t xml:space="preserve"> и</w:t>
      </w:r>
      <w:r w:rsidRPr="00EF2F18">
        <w:rPr>
          <w:rFonts w:cs="Times New Roman"/>
          <w:sz w:val="22"/>
          <w:lang w:val="sr-Cyrl-RS"/>
        </w:rPr>
        <w:t xml:space="preserve"> унапређује квалитет живота грађана</w:t>
      </w:r>
      <w:r w:rsidR="006F65C1" w:rsidRPr="00EF2F18">
        <w:rPr>
          <w:rFonts w:cs="Times New Roman"/>
          <w:sz w:val="22"/>
          <w:lang w:val="sr-Cyrl-RS"/>
        </w:rPr>
        <w:t xml:space="preserve">. </w:t>
      </w:r>
    </w:p>
    <w:p w14:paraId="1B520083" w14:textId="3D771602" w:rsidR="006F65C1" w:rsidRPr="00EF2F18" w:rsidRDefault="006F65C1" w:rsidP="006F65C1">
      <w:pPr>
        <w:spacing w:after="0"/>
        <w:ind w:firstLine="720"/>
        <w:jc w:val="both"/>
        <w:rPr>
          <w:rFonts w:cs="Times New Roman"/>
          <w:sz w:val="22"/>
          <w:lang w:val="sr-Cyrl-RS"/>
        </w:rPr>
      </w:pPr>
      <w:r w:rsidRPr="00EF2F18">
        <w:rPr>
          <w:rFonts w:cs="Times New Roman"/>
          <w:sz w:val="22"/>
          <w:lang w:val="sr-Cyrl-RS"/>
        </w:rPr>
        <w:t xml:space="preserve">У том смислу, </w:t>
      </w:r>
      <w:r w:rsidR="00FF009A" w:rsidRPr="00EF2F18">
        <w:rPr>
          <w:rFonts w:cs="Times New Roman"/>
          <w:sz w:val="22"/>
          <w:lang w:val="sr-Cyrl-RS"/>
        </w:rPr>
        <w:t xml:space="preserve">примена Зелене агенде обезбеђује смањење </w:t>
      </w:r>
      <w:r w:rsidRPr="00EF2F18">
        <w:rPr>
          <w:rFonts w:cs="Times New Roman"/>
          <w:sz w:val="22"/>
          <w:lang w:val="sr-Cyrl-RS"/>
        </w:rPr>
        <w:t xml:space="preserve">емисије гасова са ефектом стаклене баште, повећање енергетске ефикасности, унапређење </w:t>
      </w:r>
      <w:r w:rsidR="00CE7C07" w:rsidRPr="00EF2F18">
        <w:rPr>
          <w:rFonts w:cs="Times New Roman"/>
          <w:sz w:val="22"/>
          <w:lang w:val="sr-Cyrl-RS"/>
        </w:rPr>
        <w:t xml:space="preserve">циркуларне економије и </w:t>
      </w:r>
      <w:r w:rsidRPr="00EF2F18">
        <w:rPr>
          <w:rFonts w:cs="Times New Roman"/>
          <w:sz w:val="22"/>
          <w:lang w:val="sr-Cyrl-RS"/>
        </w:rPr>
        <w:t>управљања отпадом, очување природних ресурса и биодиверзитета, као и подстицање одрживог коришћења</w:t>
      </w:r>
      <w:r w:rsidR="00D7741A" w:rsidRPr="00EF2F18">
        <w:rPr>
          <w:rFonts w:cs="Times New Roman"/>
          <w:sz w:val="22"/>
          <w:lang w:val="sr-Cyrl-RS"/>
        </w:rPr>
        <w:t xml:space="preserve"> природних</w:t>
      </w:r>
      <w:r w:rsidRPr="00EF2F18">
        <w:rPr>
          <w:rFonts w:cs="Times New Roman"/>
          <w:sz w:val="22"/>
          <w:lang w:val="sr-Cyrl-RS"/>
        </w:rPr>
        <w:t xml:space="preserve"> </w:t>
      </w:r>
      <w:r w:rsidR="00E65D1C" w:rsidRPr="00EF2F18">
        <w:rPr>
          <w:rFonts w:cs="Times New Roman"/>
          <w:sz w:val="22"/>
          <w:lang w:val="sr-Cyrl-RS"/>
        </w:rPr>
        <w:t xml:space="preserve">и културних </w:t>
      </w:r>
      <w:r w:rsidRPr="00EF2F18">
        <w:rPr>
          <w:rFonts w:cs="Times New Roman"/>
          <w:sz w:val="22"/>
          <w:lang w:val="sr-Cyrl-RS"/>
        </w:rPr>
        <w:t>ресурса у привреди и друштву у целини.</w:t>
      </w:r>
      <w:r w:rsidR="00702C51" w:rsidRPr="00EF2F18">
        <w:rPr>
          <w:rFonts w:cs="Times New Roman"/>
          <w:sz w:val="22"/>
          <w:lang w:val="sr-Cyrl-RS"/>
        </w:rPr>
        <w:t xml:space="preserve"> </w:t>
      </w:r>
    </w:p>
    <w:p w14:paraId="2203003B" w14:textId="17A83753" w:rsidR="006F65C1" w:rsidRPr="00EF2F18" w:rsidRDefault="006F65C1" w:rsidP="006F65C1">
      <w:pPr>
        <w:spacing w:after="0"/>
        <w:ind w:firstLine="720"/>
        <w:jc w:val="both"/>
        <w:rPr>
          <w:rFonts w:cs="Times New Roman"/>
          <w:sz w:val="22"/>
          <w:lang w:val="sr-Cyrl-RS"/>
        </w:rPr>
      </w:pPr>
      <w:r w:rsidRPr="00EF2F18">
        <w:rPr>
          <w:rFonts w:cs="Times New Roman"/>
          <w:sz w:val="22"/>
          <w:lang w:val="sr-Cyrl-RS"/>
        </w:rPr>
        <w:t xml:space="preserve">У складу са овом визијом, Република Србија ће примењивати бројне политике и мере, укључујући енергетску транзицију, повећање употребе обновљивих извора енергије, смањење коришћења </w:t>
      </w:r>
      <w:r w:rsidR="00173289" w:rsidRPr="00EF2F18">
        <w:rPr>
          <w:rFonts w:cs="Times New Roman"/>
          <w:sz w:val="22"/>
          <w:lang w:val="sr-Cyrl-RS"/>
        </w:rPr>
        <w:t xml:space="preserve">опасних </w:t>
      </w:r>
      <w:r w:rsidRPr="00EF2F18">
        <w:rPr>
          <w:rFonts w:cs="Times New Roman"/>
          <w:sz w:val="22"/>
          <w:lang w:val="sr-Cyrl-RS"/>
        </w:rPr>
        <w:t>хемикалија, унапређење управљања водама</w:t>
      </w:r>
      <w:r w:rsidR="00D475FB" w:rsidRPr="00EF2F18">
        <w:rPr>
          <w:rFonts w:cs="Times New Roman"/>
          <w:sz w:val="22"/>
          <w:lang w:val="sr-Cyrl-RS"/>
        </w:rPr>
        <w:t xml:space="preserve">, </w:t>
      </w:r>
      <w:r w:rsidRPr="00EF2F18">
        <w:rPr>
          <w:rFonts w:cs="Times New Roman"/>
          <w:sz w:val="22"/>
          <w:lang w:val="sr-Cyrl-RS"/>
        </w:rPr>
        <w:t>шумама</w:t>
      </w:r>
      <w:r w:rsidR="00D475FB" w:rsidRPr="00EF2F18">
        <w:rPr>
          <w:rFonts w:cs="Times New Roman"/>
          <w:sz w:val="22"/>
          <w:lang w:val="sr-Cyrl-RS"/>
        </w:rPr>
        <w:t xml:space="preserve"> и</w:t>
      </w:r>
      <w:r w:rsidR="00110FD0" w:rsidRPr="00EF2F18">
        <w:rPr>
          <w:rFonts w:cs="Times New Roman"/>
          <w:sz w:val="22"/>
          <w:lang w:val="sr-Cyrl-RS"/>
        </w:rPr>
        <w:t xml:space="preserve"> земљиштем,</w:t>
      </w:r>
      <w:r w:rsidRPr="00EF2F18">
        <w:rPr>
          <w:rFonts w:cs="Times New Roman"/>
          <w:sz w:val="22"/>
          <w:lang w:val="sr-Cyrl-RS"/>
        </w:rPr>
        <w:t xml:space="preserve"> </w:t>
      </w:r>
      <w:r w:rsidR="00D475FB" w:rsidRPr="00EF2F18">
        <w:rPr>
          <w:rFonts w:cs="Times New Roman"/>
          <w:sz w:val="22"/>
          <w:lang w:val="sr-Cyrl-RS"/>
        </w:rPr>
        <w:t xml:space="preserve">заштите природе и биодиверзитета, </w:t>
      </w:r>
      <w:r w:rsidRPr="00EF2F18">
        <w:rPr>
          <w:rFonts w:cs="Times New Roman"/>
          <w:sz w:val="22"/>
          <w:lang w:val="sr-Cyrl-RS"/>
        </w:rPr>
        <w:t xml:space="preserve">подршку еколошки одрживој пољопривреди и рибарству, </w:t>
      </w:r>
      <w:r w:rsidR="003B0FA3" w:rsidRPr="00EF2F18">
        <w:rPr>
          <w:rFonts w:cs="Times New Roman"/>
          <w:sz w:val="22"/>
          <w:lang w:val="sr-Cyrl-RS"/>
        </w:rPr>
        <w:t>подршку руралном развоју и дивер</w:t>
      </w:r>
      <w:r w:rsidR="00091836">
        <w:rPr>
          <w:rFonts w:cs="Times New Roman"/>
          <w:sz w:val="22"/>
          <w:lang w:val="sr-Cyrl-RS"/>
        </w:rPr>
        <w:t>с</w:t>
      </w:r>
      <w:r w:rsidR="003B0FA3" w:rsidRPr="00EF2F18">
        <w:rPr>
          <w:rFonts w:cs="Times New Roman"/>
          <w:sz w:val="22"/>
          <w:lang w:val="sr-Cyrl-RS"/>
        </w:rPr>
        <w:t xml:space="preserve">ификацији руралне економије, </w:t>
      </w:r>
      <w:r w:rsidRPr="00EF2F18">
        <w:rPr>
          <w:rFonts w:cs="Times New Roman"/>
          <w:sz w:val="22"/>
          <w:lang w:val="sr-Cyrl-RS"/>
        </w:rPr>
        <w:t>подстицање одрживе</w:t>
      </w:r>
      <w:r w:rsidR="00313318" w:rsidRPr="00EF2F18">
        <w:rPr>
          <w:rFonts w:cs="Times New Roman"/>
          <w:sz w:val="22"/>
          <w:lang w:val="sr-Cyrl-RS"/>
        </w:rPr>
        <w:t xml:space="preserve"> урбане</w:t>
      </w:r>
      <w:r w:rsidRPr="00EF2F18">
        <w:rPr>
          <w:rFonts w:cs="Times New Roman"/>
          <w:sz w:val="22"/>
          <w:lang w:val="sr-Cyrl-RS"/>
        </w:rPr>
        <w:t xml:space="preserve"> мобилности</w:t>
      </w:r>
      <w:r w:rsidR="00D64834" w:rsidRPr="00EF2F18">
        <w:rPr>
          <w:rFonts w:cs="Times New Roman"/>
          <w:sz w:val="22"/>
          <w:lang w:val="sr-Cyrl-RS"/>
        </w:rPr>
        <w:t>,</w:t>
      </w:r>
      <w:r w:rsidRPr="00EF2F18">
        <w:rPr>
          <w:rFonts w:cs="Times New Roman"/>
          <w:sz w:val="22"/>
          <w:lang w:val="sr-Cyrl-RS"/>
        </w:rPr>
        <w:t xml:space="preserve"> градњу зграда са високим енергетским стандардима</w:t>
      </w:r>
      <w:r w:rsidR="00D64834" w:rsidRPr="00EF2F18">
        <w:rPr>
          <w:rFonts w:cs="Times New Roman"/>
          <w:sz w:val="22"/>
          <w:lang w:val="sr-Cyrl-RS"/>
        </w:rPr>
        <w:t xml:space="preserve"> и дигитализацију</w:t>
      </w:r>
      <w:r w:rsidRPr="00EF2F18">
        <w:rPr>
          <w:rFonts w:cs="Times New Roman"/>
          <w:sz w:val="22"/>
          <w:lang w:val="sr-Cyrl-RS"/>
        </w:rPr>
        <w:t>. Циљ је да се у наредним годинама постепено смањи</w:t>
      </w:r>
      <w:r w:rsidR="008C511F" w:rsidRPr="00EF2F18">
        <w:rPr>
          <w:rFonts w:cs="Times New Roman"/>
          <w:sz w:val="22"/>
          <w:lang w:val="sr-Cyrl-RS"/>
        </w:rPr>
        <w:t xml:space="preserve"> негативан</w:t>
      </w:r>
      <w:r w:rsidRPr="00EF2F18">
        <w:rPr>
          <w:rFonts w:cs="Times New Roman"/>
          <w:sz w:val="22"/>
          <w:lang w:val="sr-Cyrl-RS"/>
        </w:rPr>
        <w:t xml:space="preserve"> утицај људских активности на животну средину и да се </w:t>
      </w:r>
      <w:r w:rsidR="000C6ED9" w:rsidRPr="00EF2F18">
        <w:rPr>
          <w:rFonts w:cs="Times New Roman"/>
          <w:sz w:val="22"/>
          <w:lang w:val="sr-Cyrl-RS"/>
        </w:rPr>
        <w:t>унапреде</w:t>
      </w:r>
      <w:r w:rsidRPr="00EF2F18">
        <w:rPr>
          <w:rFonts w:cs="Times New Roman"/>
          <w:sz w:val="22"/>
          <w:lang w:val="sr-Cyrl-RS"/>
        </w:rPr>
        <w:t xml:space="preserve"> услови за одрживи развој.</w:t>
      </w:r>
    </w:p>
    <w:p w14:paraId="71F5CE98" w14:textId="77777777" w:rsidR="00581461" w:rsidRPr="00EF2F18" w:rsidRDefault="00581461" w:rsidP="007C0ADB">
      <w:pPr>
        <w:spacing w:after="0"/>
        <w:jc w:val="both"/>
        <w:rPr>
          <w:rFonts w:cs="Times New Roman"/>
          <w:sz w:val="22"/>
          <w:lang w:val="sr-Cyrl-RS"/>
        </w:rPr>
      </w:pPr>
    </w:p>
    <w:p w14:paraId="41FF9D86" w14:textId="3E9C8F26" w:rsidR="00FB7412" w:rsidRPr="00EF2F18" w:rsidRDefault="00565B37" w:rsidP="00F34D8C">
      <w:pPr>
        <w:pStyle w:val="Heading1"/>
        <w:numPr>
          <w:ilvl w:val="0"/>
          <w:numId w:val="2"/>
        </w:numPr>
        <w:ind w:firstLine="0"/>
        <w:jc w:val="center"/>
        <w:rPr>
          <w:rFonts w:cs="Times New Roman"/>
          <w:sz w:val="22"/>
          <w:szCs w:val="22"/>
          <w:lang w:val="sr-Cyrl-RS"/>
        </w:rPr>
      </w:pPr>
      <w:bookmarkStart w:id="89" w:name="_Toc158307725"/>
      <w:bookmarkStart w:id="90" w:name="_Hlk143582829"/>
      <w:r w:rsidRPr="00EF2F18">
        <w:rPr>
          <w:rFonts w:cs="Times New Roman"/>
          <w:sz w:val="22"/>
          <w:szCs w:val="22"/>
          <w:lang w:val="sr-Cyrl-RS"/>
        </w:rPr>
        <w:t xml:space="preserve">ОПШТИ </w:t>
      </w:r>
      <w:r w:rsidR="00A040B1" w:rsidRPr="00EF2F18">
        <w:rPr>
          <w:rFonts w:cs="Times New Roman"/>
          <w:sz w:val="22"/>
          <w:szCs w:val="22"/>
          <w:lang w:val="sr-Cyrl-RS"/>
        </w:rPr>
        <w:t xml:space="preserve">И ПОСЕБНИ </w:t>
      </w:r>
      <w:r w:rsidRPr="00EF2F18">
        <w:rPr>
          <w:rFonts w:cs="Times New Roman"/>
          <w:sz w:val="22"/>
          <w:szCs w:val="22"/>
          <w:lang w:val="sr-Cyrl-RS"/>
        </w:rPr>
        <w:t>ЦИЉ</w:t>
      </w:r>
      <w:r w:rsidR="00A040B1" w:rsidRPr="00EF2F18">
        <w:rPr>
          <w:rFonts w:cs="Times New Roman"/>
          <w:sz w:val="22"/>
          <w:szCs w:val="22"/>
          <w:lang w:val="sr-Cyrl-RS"/>
        </w:rPr>
        <w:t>ЕВИ</w:t>
      </w:r>
      <w:bookmarkEnd w:id="89"/>
    </w:p>
    <w:p w14:paraId="22766740" w14:textId="5BD417F4" w:rsidR="00A040B1" w:rsidRPr="00EF2F18" w:rsidRDefault="00A040B1" w:rsidP="00F34D8C">
      <w:pPr>
        <w:pStyle w:val="Heading2"/>
        <w:numPr>
          <w:ilvl w:val="1"/>
          <w:numId w:val="2"/>
        </w:numPr>
        <w:ind w:hanging="360"/>
        <w:jc w:val="center"/>
        <w:rPr>
          <w:rFonts w:cs="Times New Roman"/>
          <w:sz w:val="22"/>
          <w:szCs w:val="22"/>
          <w:lang w:val="sr-Cyrl-RS"/>
        </w:rPr>
      </w:pPr>
      <w:bookmarkStart w:id="91" w:name="_Toc158307726"/>
      <w:bookmarkStart w:id="92" w:name="_Hlk88513612"/>
      <w:r w:rsidRPr="00EF2F18">
        <w:rPr>
          <w:rFonts w:cs="Times New Roman"/>
          <w:sz w:val="22"/>
          <w:szCs w:val="22"/>
          <w:lang w:val="sr-Cyrl-RS"/>
        </w:rPr>
        <w:t>Општи циљ</w:t>
      </w:r>
      <w:r w:rsidR="00C122FB" w:rsidRPr="00EF2F18">
        <w:rPr>
          <w:rFonts w:cs="Times New Roman"/>
          <w:sz w:val="22"/>
          <w:szCs w:val="22"/>
          <w:lang w:val="sr-Cyrl-RS"/>
        </w:rPr>
        <w:t>еви</w:t>
      </w:r>
      <w:bookmarkEnd w:id="91"/>
    </w:p>
    <w:bookmarkEnd w:id="90"/>
    <w:p w14:paraId="2DAC8F77" w14:textId="5008A13F" w:rsidR="00EC03D1" w:rsidRPr="00EF2F18" w:rsidRDefault="00EC03D1" w:rsidP="00EC03D1">
      <w:pPr>
        <w:rPr>
          <w:rFonts w:cs="Times New Roman"/>
          <w:sz w:val="22"/>
          <w:lang w:val="sr-Cyrl-RS"/>
        </w:rPr>
      </w:pPr>
    </w:p>
    <w:p w14:paraId="761EBFA1" w14:textId="4E70EA06" w:rsidR="00EC03D1" w:rsidRPr="00EF2F18" w:rsidRDefault="000F1FB2" w:rsidP="00F34D8C">
      <w:pPr>
        <w:spacing w:after="0"/>
        <w:ind w:firstLine="720"/>
        <w:jc w:val="both"/>
        <w:rPr>
          <w:rFonts w:cs="Times New Roman"/>
          <w:sz w:val="22"/>
          <w:lang w:val="sr-Cyrl-RS"/>
        </w:rPr>
      </w:pPr>
      <w:bookmarkStart w:id="93" w:name="_Hlk143582840"/>
      <w:r w:rsidRPr="00EF2F18">
        <w:rPr>
          <w:rFonts w:cs="Times New Roman"/>
          <w:sz w:val="22"/>
          <w:lang w:val="sr-Cyrl-RS"/>
        </w:rPr>
        <w:t>Општи циљеви Стратегије су:</w:t>
      </w:r>
    </w:p>
    <w:p w14:paraId="576DDBE7" w14:textId="0BB46C93" w:rsidR="00C122FB" w:rsidRPr="00EF2F18" w:rsidRDefault="00C122FB" w:rsidP="007E2A58">
      <w:pPr>
        <w:spacing w:after="0"/>
        <w:ind w:firstLine="720"/>
        <w:jc w:val="both"/>
        <w:rPr>
          <w:rFonts w:cs="Times New Roman"/>
          <w:sz w:val="22"/>
          <w:lang w:val="sr-Cyrl-RS"/>
        </w:rPr>
      </w:pPr>
      <w:r w:rsidRPr="00EF2F18">
        <w:rPr>
          <w:rFonts w:cs="Times New Roman"/>
          <w:b/>
          <w:bCs/>
          <w:sz w:val="22"/>
          <w:lang w:val="sr-Cyrl-RS"/>
        </w:rPr>
        <w:t>Општи циљ 1:</w:t>
      </w:r>
      <w:r w:rsidR="00961D42" w:rsidRPr="00EF2F18">
        <w:rPr>
          <w:rFonts w:cs="Times New Roman"/>
          <w:b/>
          <w:bCs/>
          <w:sz w:val="22"/>
          <w:lang w:val="sr-Cyrl-RS"/>
        </w:rPr>
        <w:t xml:space="preserve"> </w:t>
      </w:r>
      <w:bookmarkStart w:id="94" w:name="_Hlk159776365"/>
      <w:r w:rsidRPr="00EF2F18">
        <w:rPr>
          <w:rFonts w:cs="Times New Roman"/>
          <w:sz w:val="22"/>
          <w:lang w:val="sr-Cyrl-RS"/>
        </w:rPr>
        <w:t xml:space="preserve">Допринос угљеничној неутралности и повећање отпорности на климатске </w:t>
      </w:r>
      <w:r w:rsidR="00291415" w:rsidRPr="00EF2F18">
        <w:rPr>
          <w:rFonts w:cs="Times New Roman"/>
          <w:sz w:val="22"/>
          <w:lang w:val="sr-Cyrl-RS"/>
        </w:rPr>
        <w:t>промене</w:t>
      </w:r>
      <w:r w:rsidRPr="00EF2F18">
        <w:rPr>
          <w:rFonts w:cs="Times New Roman"/>
          <w:sz w:val="22"/>
          <w:lang w:val="sr-Cyrl-RS"/>
        </w:rPr>
        <w:t xml:space="preserve"> у складу са Зеленом агендом</w:t>
      </w:r>
      <w:bookmarkEnd w:id="94"/>
    </w:p>
    <w:p w14:paraId="589CF659" w14:textId="64F53941" w:rsidR="00961D42" w:rsidRPr="00EF2F18" w:rsidRDefault="0076348C" w:rsidP="007E2A58">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lastRenderedPageBreak/>
        <w:t>Н</w:t>
      </w:r>
      <w:r w:rsidR="00961D42" w:rsidRPr="00EF2F18">
        <w:rPr>
          <w:rFonts w:ascii="Times New Roman" w:hAnsi="Times New Roman" w:cs="Times New Roman"/>
          <w:sz w:val="22"/>
          <w:szCs w:val="22"/>
          <w:lang w:val="sr-Cyrl-RS"/>
        </w:rPr>
        <w:t>апредак у погледу остваривања општег циља пратиће се кроз следеће показатеље:</w:t>
      </w:r>
    </w:p>
    <w:p w14:paraId="625ECCC4" w14:textId="24B8B32E" w:rsidR="006C4D0E" w:rsidRPr="00EF2F18" w:rsidRDefault="00224D1E" w:rsidP="007E2A58">
      <w:pPr>
        <w:pStyle w:val="Default"/>
        <w:numPr>
          <w:ilvl w:val="0"/>
          <w:numId w:val="11"/>
        </w:numPr>
        <w:jc w:val="both"/>
        <w:rPr>
          <w:rFonts w:ascii="Times New Roman" w:hAnsi="Times New Roman" w:cs="Times New Roman"/>
          <w:sz w:val="22"/>
          <w:szCs w:val="22"/>
          <w:lang w:val="sr-Cyrl-RS"/>
        </w:rPr>
      </w:pPr>
      <w:bookmarkStart w:id="95" w:name="_Hlk89357108"/>
      <w:r w:rsidRPr="00EF2F18">
        <w:rPr>
          <w:rFonts w:ascii="Times New Roman" w:hAnsi="Times New Roman" w:cs="Times New Roman"/>
          <w:sz w:val="22"/>
          <w:szCs w:val="22"/>
          <w:lang w:val="sr-Cyrl-RS"/>
        </w:rPr>
        <w:t xml:space="preserve">Проценат смањења емисије </w:t>
      </w:r>
      <w:r w:rsidRPr="00EF2F18">
        <w:rPr>
          <w:rFonts w:ascii="Times New Roman" w:hAnsi="Times New Roman" w:cs="Times New Roman"/>
          <w:i/>
          <w:iCs/>
          <w:sz w:val="22"/>
          <w:szCs w:val="22"/>
          <w:lang w:val="sr-Cyrl-RS"/>
        </w:rPr>
        <w:t>GHG</w:t>
      </w:r>
      <w:r w:rsidRPr="00EF2F18">
        <w:rPr>
          <w:rFonts w:ascii="Times New Roman" w:hAnsi="Times New Roman" w:cs="Times New Roman"/>
          <w:sz w:val="22"/>
          <w:szCs w:val="22"/>
          <w:lang w:val="sr-Cyrl-RS"/>
        </w:rPr>
        <w:t xml:space="preserve"> у односу на 1990. </w:t>
      </w:r>
      <w:r w:rsidR="00002B55" w:rsidRPr="00EF2F18">
        <w:rPr>
          <w:rFonts w:ascii="Times New Roman" w:hAnsi="Times New Roman" w:cs="Times New Roman"/>
          <w:sz w:val="22"/>
          <w:szCs w:val="22"/>
          <w:lang w:val="sr-Cyrl-RS"/>
        </w:rPr>
        <w:t>без понора (</w:t>
      </w:r>
      <w:r w:rsidR="00002B55" w:rsidRPr="00EF2F18">
        <w:rPr>
          <w:rFonts w:ascii="Times New Roman" w:hAnsi="Times New Roman" w:cs="Times New Roman"/>
          <w:i/>
          <w:iCs/>
          <w:sz w:val="22"/>
          <w:szCs w:val="22"/>
          <w:lang w:val="sr-Cyrl-RS"/>
        </w:rPr>
        <w:t>LULUCF</w:t>
      </w:r>
      <w:r w:rsidR="00002B55"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w:t>
      </w:r>
      <w:r w:rsidR="00185A75" w:rsidRPr="00EF2F18">
        <w:rPr>
          <w:rFonts w:ascii="Times New Roman" w:hAnsi="Times New Roman" w:cs="Times New Roman"/>
          <w:sz w:val="22"/>
          <w:szCs w:val="22"/>
          <w:lang w:val="sr-Cyrl-RS"/>
        </w:rPr>
        <w:t>;</w:t>
      </w:r>
      <w:r w:rsidR="006C4D0E" w:rsidRPr="00EF2F18">
        <w:rPr>
          <w:rFonts w:ascii="Times New Roman" w:hAnsi="Times New Roman" w:cs="Times New Roman"/>
          <w:sz w:val="22"/>
          <w:szCs w:val="22"/>
          <w:lang w:val="sr-Cyrl-RS"/>
        </w:rPr>
        <w:t xml:space="preserve"> </w:t>
      </w:r>
    </w:p>
    <w:p w14:paraId="585B490B" w14:textId="64B8CEF7" w:rsidR="00002B55" w:rsidRPr="00EF2F18" w:rsidRDefault="00002B55" w:rsidP="007E2A58">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Проценат смањења емисије </w:t>
      </w:r>
      <w:r w:rsidRPr="00EF2F18">
        <w:rPr>
          <w:rFonts w:ascii="Times New Roman" w:hAnsi="Times New Roman" w:cs="Times New Roman"/>
          <w:i/>
          <w:iCs/>
          <w:sz w:val="22"/>
          <w:szCs w:val="22"/>
          <w:lang w:val="sr-Cyrl-RS"/>
        </w:rPr>
        <w:t>GHG</w:t>
      </w:r>
      <w:r w:rsidRPr="00EF2F18">
        <w:rPr>
          <w:rFonts w:ascii="Times New Roman" w:hAnsi="Times New Roman" w:cs="Times New Roman"/>
          <w:sz w:val="22"/>
          <w:szCs w:val="22"/>
          <w:lang w:val="sr-Cyrl-RS"/>
        </w:rPr>
        <w:t xml:space="preserve"> у односу на 1990. са понором (</w:t>
      </w:r>
      <w:r w:rsidRPr="00EF2F18">
        <w:rPr>
          <w:rFonts w:ascii="Times New Roman" w:hAnsi="Times New Roman" w:cs="Times New Roman"/>
          <w:i/>
          <w:iCs/>
          <w:sz w:val="22"/>
          <w:szCs w:val="22"/>
          <w:lang w:val="sr-Cyrl-RS"/>
        </w:rPr>
        <w:t>LULUCF</w:t>
      </w:r>
      <w:r w:rsidRPr="00EF2F18">
        <w:rPr>
          <w:rFonts w:ascii="Times New Roman" w:hAnsi="Times New Roman" w:cs="Times New Roman"/>
          <w:sz w:val="22"/>
          <w:szCs w:val="22"/>
          <w:lang w:val="sr-Cyrl-RS"/>
        </w:rPr>
        <w:t>) (%)</w:t>
      </w:r>
      <w:r w:rsidR="00185A75" w:rsidRPr="00EF2F18">
        <w:rPr>
          <w:rFonts w:ascii="Times New Roman" w:hAnsi="Times New Roman" w:cs="Times New Roman"/>
          <w:sz w:val="22"/>
          <w:szCs w:val="22"/>
          <w:lang w:val="sr-Cyrl-RS"/>
        </w:rPr>
        <w:t>;</w:t>
      </w:r>
    </w:p>
    <w:p w14:paraId="517529D6" w14:textId="63FC3502" w:rsidR="006C4D0E" w:rsidRPr="00EF2F18" w:rsidRDefault="005723F9" w:rsidP="00EF3800">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Удео усвојених докумената јавних политика и планских докумената, при чијој изради су узете у обзир потребе ублажавања климатских промена и прилагођавања на измењене климатске услове</w:t>
      </w:r>
      <w:r w:rsidR="00002B55" w:rsidRPr="00EF2F18">
        <w:rPr>
          <w:rFonts w:ascii="Times New Roman" w:hAnsi="Times New Roman" w:cs="Times New Roman"/>
          <w:sz w:val="22"/>
          <w:szCs w:val="22"/>
          <w:lang w:val="sr-Cyrl-RS"/>
        </w:rPr>
        <w:t>, укупно</w:t>
      </w:r>
      <w:r w:rsidRPr="00EF2F18">
        <w:rPr>
          <w:rFonts w:ascii="Times New Roman" w:hAnsi="Times New Roman" w:cs="Times New Roman"/>
          <w:sz w:val="22"/>
          <w:szCs w:val="22"/>
          <w:lang w:val="sr-Cyrl-RS"/>
        </w:rPr>
        <w:t xml:space="preserve"> </w:t>
      </w:r>
      <w:r w:rsidR="00D767F9" w:rsidRPr="00EF2F18">
        <w:rPr>
          <w:rFonts w:ascii="Times New Roman" w:hAnsi="Times New Roman" w:cs="Times New Roman"/>
          <w:sz w:val="22"/>
          <w:szCs w:val="22"/>
          <w:lang w:val="sr-Cyrl-RS"/>
        </w:rPr>
        <w:t>(%)</w:t>
      </w:r>
      <w:r w:rsidR="00EF3800" w:rsidRPr="00EF2F18">
        <w:rPr>
          <w:rFonts w:ascii="Times New Roman" w:hAnsi="Times New Roman" w:cs="Times New Roman"/>
          <w:sz w:val="22"/>
          <w:szCs w:val="22"/>
          <w:lang w:val="sr-Cyrl-RS"/>
        </w:rPr>
        <w:t>.</w:t>
      </w:r>
    </w:p>
    <w:p w14:paraId="24429CA9" w14:textId="305CAE72" w:rsidR="00C122FB" w:rsidRPr="00EF2F18" w:rsidRDefault="00C122FB" w:rsidP="007E2A58">
      <w:pPr>
        <w:spacing w:after="0"/>
        <w:ind w:firstLine="720"/>
        <w:jc w:val="both"/>
        <w:rPr>
          <w:rFonts w:cs="Times New Roman"/>
          <w:sz w:val="22"/>
          <w:lang w:val="sr-Cyrl-RS"/>
        </w:rPr>
      </w:pPr>
      <w:bookmarkStart w:id="96" w:name="_Hlk143582850"/>
      <w:bookmarkEnd w:id="93"/>
      <w:bookmarkEnd w:id="95"/>
      <w:r w:rsidRPr="00EF2F18">
        <w:rPr>
          <w:rFonts w:cs="Times New Roman"/>
          <w:b/>
          <w:bCs/>
          <w:sz w:val="22"/>
          <w:lang w:val="sr-Cyrl-RS"/>
        </w:rPr>
        <w:t>Општи циљ 2:</w:t>
      </w:r>
      <w:r w:rsidR="00961D42" w:rsidRPr="00EF2F18">
        <w:rPr>
          <w:rFonts w:cs="Times New Roman"/>
          <w:b/>
          <w:bCs/>
          <w:sz w:val="22"/>
          <w:lang w:val="sr-Cyrl-RS"/>
        </w:rPr>
        <w:t xml:space="preserve"> </w:t>
      </w:r>
      <w:r w:rsidRPr="00EF2F18">
        <w:rPr>
          <w:rFonts w:cs="Times New Roman"/>
          <w:sz w:val="22"/>
          <w:lang w:val="sr-Cyrl-RS"/>
        </w:rPr>
        <w:t>Примена принципа циркуларне економије ради унапређења заштите животне срединe и ресурсне ефикасности</w:t>
      </w:r>
    </w:p>
    <w:p w14:paraId="193D363A" w14:textId="7A7E93B3" w:rsidR="00961D42" w:rsidRPr="00EF2F18" w:rsidRDefault="003A7E2C" w:rsidP="007E2A58">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Напредак у погледу остваривања општег циља пратиће се кроз следеће показатеље</w:t>
      </w:r>
      <w:r w:rsidR="00961D42" w:rsidRPr="00EF2F18">
        <w:rPr>
          <w:rFonts w:ascii="Times New Roman" w:hAnsi="Times New Roman" w:cs="Times New Roman"/>
          <w:sz w:val="22"/>
          <w:szCs w:val="22"/>
          <w:lang w:val="sr-Cyrl-RS"/>
        </w:rPr>
        <w:t>:</w:t>
      </w:r>
    </w:p>
    <w:p w14:paraId="2C1FEBD3" w14:textId="77777777" w:rsidR="001122DD" w:rsidRPr="00EF2F18" w:rsidRDefault="001122DD" w:rsidP="001122DD">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Стопа кружне употребе материјала (%).</w:t>
      </w:r>
    </w:p>
    <w:p w14:paraId="5FA6D877" w14:textId="77777777" w:rsidR="001122DD" w:rsidRPr="00EF2F18" w:rsidRDefault="001122DD" w:rsidP="001122DD">
      <w:pPr>
        <w:spacing w:after="0"/>
        <w:ind w:firstLine="720"/>
        <w:jc w:val="both"/>
        <w:rPr>
          <w:rFonts w:cs="Times New Roman"/>
          <w:sz w:val="22"/>
          <w:lang w:val="sr-Cyrl-RS"/>
        </w:rPr>
      </w:pPr>
      <w:bookmarkStart w:id="97" w:name="_Hlk175520433"/>
      <w:r w:rsidRPr="00EF2F18">
        <w:rPr>
          <w:rFonts w:cs="Times New Roman"/>
          <w:b/>
          <w:bCs/>
          <w:sz w:val="22"/>
          <w:lang w:val="sr-Cyrl-RS"/>
        </w:rPr>
        <w:t xml:space="preserve">Општи циљ 3: </w:t>
      </w:r>
      <w:r w:rsidRPr="00EF2F18">
        <w:rPr>
          <w:rFonts w:cs="Times New Roman"/>
          <w:sz w:val="22"/>
          <w:lang w:val="sr-Cyrl-RS"/>
        </w:rPr>
        <w:t>Унапређење квалитета животне средине смањењем загађења</w:t>
      </w:r>
    </w:p>
    <w:p w14:paraId="1ECB2CC4" w14:textId="77777777" w:rsidR="001122DD" w:rsidRPr="00EF2F18" w:rsidRDefault="001122DD" w:rsidP="001122DD">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Напредак у погледу остваривања општег циља пратиће се кроз следеће показатеље:</w:t>
      </w:r>
    </w:p>
    <w:p w14:paraId="73812561" w14:textId="3E68FFA7" w:rsidR="001122DD" w:rsidRPr="00EF2F18" w:rsidRDefault="001122DD" w:rsidP="001122DD">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Удео мерних станица за праћење квалитета ваздуха на којима је више од 35 пута у једној календарској години прекорачена дневна гранична вредност од 50 μg/m</w:t>
      </w:r>
      <w:r w:rsidRPr="00EF2F18">
        <w:rPr>
          <w:rFonts w:ascii="Times New Roman" w:hAnsi="Times New Roman" w:cs="Times New Roman"/>
          <w:sz w:val="22"/>
          <w:szCs w:val="22"/>
          <w:vertAlign w:val="superscript"/>
          <w:lang w:val="sr-Cyrl-RS"/>
        </w:rPr>
        <w:t>3</w:t>
      </w:r>
      <w:r w:rsidRPr="00EF2F18">
        <w:rPr>
          <w:rFonts w:ascii="Times New Roman" w:hAnsi="Times New Roman" w:cs="Times New Roman"/>
          <w:sz w:val="22"/>
          <w:szCs w:val="22"/>
          <w:lang w:val="sr-Cyrl-RS"/>
        </w:rPr>
        <w:t xml:space="preserve"> за РМ10 (%)</w:t>
      </w:r>
      <w:r w:rsidR="00185A75" w:rsidRPr="00EF2F18">
        <w:rPr>
          <w:rFonts w:ascii="Times New Roman" w:hAnsi="Times New Roman" w:cs="Times New Roman"/>
          <w:sz w:val="22"/>
          <w:szCs w:val="22"/>
          <w:lang w:val="sr-Cyrl-RS"/>
        </w:rPr>
        <w:t>;</w:t>
      </w:r>
    </w:p>
    <w:p w14:paraId="3C83F3B3" w14:textId="5CAFCDD9" w:rsidR="001122DD" w:rsidRPr="00EF2F18" w:rsidRDefault="001122DD" w:rsidP="001122DD">
      <w:pPr>
        <w:pStyle w:val="Default"/>
        <w:numPr>
          <w:ilvl w:val="0"/>
          <w:numId w:val="11"/>
        </w:numPr>
        <w:jc w:val="both"/>
        <w:rPr>
          <w:rStyle w:val="Strong"/>
          <w:rFonts w:ascii="Times New Roman" w:hAnsi="Times New Roman" w:cs="Times New Roman"/>
          <w:b w:val="0"/>
          <w:bCs w:val="0"/>
          <w:color w:val="auto"/>
          <w:sz w:val="22"/>
          <w:szCs w:val="22"/>
          <w:lang w:val="sr-Cyrl-RS"/>
        </w:rPr>
      </w:pPr>
      <w:r w:rsidRPr="00EF2F18">
        <w:rPr>
          <w:rStyle w:val="Strong"/>
          <w:rFonts w:ascii="Times New Roman" w:hAnsi="Times New Roman" w:cs="Times New Roman"/>
          <w:b w:val="0"/>
          <w:bCs w:val="0"/>
          <w:sz w:val="22"/>
          <w:szCs w:val="22"/>
          <w:shd w:val="clear" w:color="auto" w:fill="FFFFFF"/>
          <w:lang w:val="sr-Cyrl-RS"/>
        </w:rPr>
        <w:t xml:space="preserve">Удео водних тела површинских вода под ризиком од непостизања доброг статуса, </w:t>
      </w:r>
      <w:r w:rsidRPr="00EF2F18">
        <w:rPr>
          <w:rFonts w:ascii="Times New Roman" w:hAnsi="Times New Roman" w:cs="Times New Roman"/>
          <w:sz w:val="22"/>
          <w:szCs w:val="22"/>
          <w:lang w:val="sr-Cyrl-RS"/>
        </w:rPr>
        <w:t>у односу на укупна водна тела</w:t>
      </w:r>
      <w:r w:rsidR="00E472A9" w:rsidRPr="00EF2F18">
        <w:rPr>
          <w:rFonts w:ascii="Times New Roman" w:hAnsi="Times New Roman" w:cs="Times New Roman"/>
          <w:sz w:val="22"/>
          <w:szCs w:val="22"/>
          <w:lang w:val="sr-Cyrl-RS"/>
        </w:rPr>
        <w:t xml:space="preserve"> </w:t>
      </w:r>
      <w:r w:rsidRPr="00EF2F18">
        <w:rPr>
          <w:rStyle w:val="Strong"/>
          <w:rFonts w:ascii="Times New Roman" w:hAnsi="Times New Roman" w:cs="Times New Roman"/>
          <w:b w:val="0"/>
          <w:bCs w:val="0"/>
          <w:sz w:val="22"/>
          <w:szCs w:val="22"/>
          <w:shd w:val="clear" w:color="auto" w:fill="FFFFFF"/>
          <w:lang w:val="sr-Cyrl-RS"/>
        </w:rPr>
        <w:t>(%)</w:t>
      </w:r>
      <w:r w:rsidR="00185A75" w:rsidRPr="00EF2F18">
        <w:rPr>
          <w:rFonts w:ascii="Times New Roman" w:hAnsi="Times New Roman" w:cs="Times New Roman"/>
          <w:sz w:val="22"/>
          <w:szCs w:val="22"/>
          <w:lang w:val="sr-Cyrl-RS"/>
        </w:rPr>
        <w:t>;</w:t>
      </w:r>
      <w:r w:rsidRPr="00EF2F18">
        <w:rPr>
          <w:rStyle w:val="Strong"/>
          <w:rFonts w:ascii="Times New Roman" w:hAnsi="Times New Roman" w:cs="Times New Roman"/>
          <w:b w:val="0"/>
          <w:bCs w:val="0"/>
          <w:sz w:val="22"/>
          <w:szCs w:val="22"/>
          <w:shd w:val="clear" w:color="auto" w:fill="FFFFFF"/>
          <w:lang w:val="sr-Cyrl-RS"/>
        </w:rPr>
        <w:t xml:space="preserve"> </w:t>
      </w:r>
    </w:p>
    <w:p w14:paraId="467C24DB" w14:textId="77777777" w:rsidR="001122DD" w:rsidRPr="00EF2F18" w:rsidRDefault="001122DD" w:rsidP="001122DD">
      <w:pPr>
        <w:pStyle w:val="Default"/>
        <w:numPr>
          <w:ilvl w:val="0"/>
          <w:numId w:val="11"/>
        </w:numPr>
        <w:jc w:val="both"/>
        <w:rPr>
          <w:rFonts w:ascii="Times New Roman" w:hAnsi="Times New Roman" w:cs="Times New Roman"/>
          <w:color w:val="auto"/>
          <w:sz w:val="22"/>
          <w:szCs w:val="22"/>
          <w:lang w:val="sr-Cyrl-RS"/>
        </w:rPr>
      </w:pPr>
      <w:r w:rsidRPr="00EF2F18">
        <w:rPr>
          <w:rFonts w:ascii="Times New Roman" w:hAnsi="Times New Roman" w:cs="Times New Roman"/>
          <w:sz w:val="22"/>
          <w:szCs w:val="22"/>
          <w:lang w:val="sr-Cyrl-RS"/>
        </w:rPr>
        <w:t>Удео површине деградираног земљишта у односу на укупну површину земљишта (%).</w:t>
      </w:r>
    </w:p>
    <w:bookmarkEnd w:id="96"/>
    <w:bookmarkEnd w:id="97"/>
    <w:p w14:paraId="1422893D" w14:textId="68813BBB" w:rsidR="001D526D" w:rsidRPr="00EF2F18" w:rsidRDefault="00C122FB" w:rsidP="007E2A58">
      <w:pPr>
        <w:spacing w:after="0"/>
        <w:ind w:firstLine="720"/>
        <w:jc w:val="both"/>
        <w:rPr>
          <w:rFonts w:cs="Times New Roman"/>
          <w:sz w:val="22"/>
          <w:lang w:val="sr-Cyrl-RS"/>
        </w:rPr>
      </w:pPr>
      <w:r w:rsidRPr="00EF2F18">
        <w:rPr>
          <w:rFonts w:cs="Times New Roman"/>
          <w:b/>
          <w:bCs/>
          <w:sz w:val="22"/>
          <w:lang w:val="sr-Cyrl-RS"/>
        </w:rPr>
        <w:t xml:space="preserve">Општи циљ 4: </w:t>
      </w:r>
      <w:r w:rsidR="001D526D" w:rsidRPr="00EF2F18">
        <w:rPr>
          <w:rFonts w:cs="Times New Roman"/>
          <w:sz w:val="22"/>
          <w:lang w:val="sr-Cyrl-RS"/>
        </w:rPr>
        <w:t>Унапређење заштите природе</w:t>
      </w:r>
      <w:r w:rsidR="000C4456" w:rsidRPr="00EF2F18">
        <w:rPr>
          <w:rFonts w:cs="Times New Roman"/>
          <w:sz w:val="22"/>
          <w:lang w:val="sr-Cyrl-RS"/>
        </w:rPr>
        <w:t>, очувања биодиверзитета</w:t>
      </w:r>
      <w:r w:rsidR="001D526D" w:rsidRPr="00EF2F18">
        <w:rPr>
          <w:rFonts w:cs="Times New Roman"/>
          <w:sz w:val="22"/>
          <w:lang w:val="sr-Cyrl-RS"/>
        </w:rPr>
        <w:t xml:space="preserve"> и </w:t>
      </w:r>
      <w:r w:rsidR="00313F6D" w:rsidRPr="00EF2F18">
        <w:rPr>
          <w:rFonts w:cs="Times New Roman"/>
          <w:sz w:val="22"/>
          <w:lang w:val="sr-Cyrl-RS"/>
        </w:rPr>
        <w:t xml:space="preserve">одрживо коришћење природних </w:t>
      </w:r>
      <w:r w:rsidR="000C4456" w:rsidRPr="00EF2F18">
        <w:rPr>
          <w:rFonts w:cs="Times New Roman"/>
          <w:sz w:val="22"/>
          <w:lang w:val="sr-Cyrl-RS"/>
        </w:rPr>
        <w:t>ресурса</w:t>
      </w:r>
      <w:r w:rsidR="001D526D" w:rsidRPr="00EF2F18">
        <w:rPr>
          <w:rFonts w:cs="Times New Roman"/>
          <w:sz w:val="22"/>
          <w:lang w:val="sr-Cyrl-RS"/>
        </w:rPr>
        <w:t xml:space="preserve"> </w:t>
      </w:r>
    </w:p>
    <w:p w14:paraId="275386A0" w14:textId="743F30DA" w:rsidR="00961D42" w:rsidRPr="00EF2F18" w:rsidRDefault="003A7E2C" w:rsidP="007E2A58">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Напредак у погледу остваривања општег циља пратиће се кроз следеће показатеље</w:t>
      </w:r>
      <w:r w:rsidR="00961D42" w:rsidRPr="00EF2F18">
        <w:rPr>
          <w:rFonts w:ascii="Times New Roman" w:hAnsi="Times New Roman" w:cs="Times New Roman"/>
          <w:sz w:val="22"/>
          <w:szCs w:val="22"/>
          <w:lang w:val="sr-Cyrl-RS"/>
        </w:rPr>
        <w:t>:</w:t>
      </w:r>
    </w:p>
    <w:p w14:paraId="71DA34C3" w14:textId="43CC7E9E" w:rsidR="00664C07" w:rsidRPr="00EF2F18" w:rsidRDefault="00664C07" w:rsidP="00F905E3">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Удео територије под заштитом приказан у односу на површину Републике Србије (%)</w:t>
      </w:r>
      <w:r w:rsidR="00BC2369" w:rsidRPr="00EF2F18">
        <w:rPr>
          <w:rFonts w:ascii="Times New Roman" w:hAnsi="Times New Roman" w:cs="Times New Roman"/>
          <w:sz w:val="22"/>
          <w:szCs w:val="22"/>
          <w:lang w:val="sr-Cyrl-RS"/>
        </w:rPr>
        <w:t>.</w:t>
      </w:r>
    </w:p>
    <w:p w14:paraId="28A9B90E" w14:textId="735BB6EC" w:rsidR="00BF78D1" w:rsidRPr="00EF2F18" w:rsidRDefault="00C122FB" w:rsidP="007E2A58">
      <w:pPr>
        <w:spacing w:after="0"/>
        <w:ind w:firstLine="720"/>
        <w:jc w:val="both"/>
        <w:rPr>
          <w:rFonts w:cs="Times New Roman"/>
          <w:sz w:val="22"/>
          <w:lang w:val="sr-Cyrl-RS"/>
        </w:rPr>
      </w:pPr>
      <w:r w:rsidRPr="00EF2F18">
        <w:rPr>
          <w:rFonts w:cs="Times New Roman"/>
          <w:b/>
          <w:bCs/>
          <w:sz w:val="22"/>
          <w:lang w:val="sr-Cyrl-RS"/>
        </w:rPr>
        <w:t>Општи циљ 5:</w:t>
      </w:r>
      <w:r w:rsidR="00961D42" w:rsidRPr="00EF2F18">
        <w:rPr>
          <w:rFonts w:cs="Times New Roman"/>
          <w:b/>
          <w:bCs/>
          <w:sz w:val="22"/>
          <w:lang w:val="sr-Cyrl-RS"/>
        </w:rPr>
        <w:t xml:space="preserve"> </w:t>
      </w:r>
      <w:r w:rsidR="00BF78D1" w:rsidRPr="00EF2F18">
        <w:rPr>
          <w:rFonts w:cs="Times New Roman"/>
          <w:sz w:val="22"/>
          <w:lang w:val="sr-Cyrl-RS"/>
        </w:rPr>
        <w:t>Раст доприноса пољопривредно-прехрамбеног сектора очувању животне средине и повећању отпорности на измењене климатске услове</w:t>
      </w:r>
    </w:p>
    <w:p w14:paraId="4797F1A6" w14:textId="10966220" w:rsidR="00664C07" w:rsidRPr="00EF2F18" w:rsidRDefault="003A7E2C" w:rsidP="007E2A58">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Напредак у погледу остваривања општег циља пратиће се кроз следеће показатеље</w:t>
      </w:r>
      <w:r w:rsidR="00961D42" w:rsidRPr="00EF2F18">
        <w:rPr>
          <w:rFonts w:ascii="Times New Roman" w:hAnsi="Times New Roman" w:cs="Times New Roman"/>
          <w:sz w:val="22"/>
          <w:szCs w:val="22"/>
          <w:lang w:val="sr-Cyrl-RS"/>
        </w:rPr>
        <w:t>:</w:t>
      </w:r>
      <w:r w:rsidR="00664C07" w:rsidRPr="00EF2F18">
        <w:rPr>
          <w:rFonts w:ascii="Times New Roman" w:hAnsi="Times New Roman" w:cs="Times New Roman"/>
          <w:sz w:val="22"/>
          <w:szCs w:val="22"/>
          <w:lang w:val="sr-Cyrl-RS"/>
        </w:rPr>
        <w:t xml:space="preserve"> </w:t>
      </w:r>
    </w:p>
    <w:p w14:paraId="7B610C74" w14:textId="0FC26665" w:rsidR="00961D42" w:rsidRPr="00EF2F18" w:rsidRDefault="00664C07" w:rsidP="00313E8E">
      <w:pPr>
        <w:pStyle w:val="Default"/>
        <w:numPr>
          <w:ilvl w:val="0"/>
          <w:numId w:val="13"/>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Садржај органског угљеника у пољопривредном земљишту (%)</w:t>
      </w:r>
      <w:r w:rsidR="00185A75" w:rsidRPr="00EF2F18">
        <w:rPr>
          <w:rFonts w:ascii="Times New Roman" w:hAnsi="Times New Roman" w:cs="Times New Roman"/>
          <w:sz w:val="22"/>
          <w:szCs w:val="22"/>
          <w:lang w:val="sr-Cyrl-RS"/>
        </w:rPr>
        <w:t>;</w:t>
      </w:r>
    </w:p>
    <w:p w14:paraId="6F8D5F8F" w14:textId="443E1898" w:rsidR="00664C07" w:rsidRPr="00EF2F18" w:rsidRDefault="00002B55" w:rsidP="00313E8E">
      <w:pPr>
        <w:pStyle w:val="Default"/>
        <w:numPr>
          <w:ilvl w:val="0"/>
          <w:numId w:val="13"/>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Реализована подршка инвестицијама у физичке ресурсе газдинстава и праксе повољне по животну средину </w:t>
      </w:r>
      <w:r w:rsidR="00DB0ADF" w:rsidRPr="00EF2F18">
        <w:rPr>
          <w:rFonts w:ascii="Times New Roman" w:hAnsi="Times New Roman" w:cs="Times New Roman"/>
          <w:sz w:val="22"/>
          <w:szCs w:val="22"/>
          <w:lang w:val="sr-Cyrl-RS"/>
        </w:rPr>
        <w:t>(мил. ЕУР годишње)</w:t>
      </w:r>
      <w:r w:rsidR="00BC2369" w:rsidRPr="00EF2F18">
        <w:rPr>
          <w:rFonts w:ascii="Times New Roman" w:hAnsi="Times New Roman" w:cs="Times New Roman"/>
          <w:sz w:val="22"/>
          <w:szCs w:val="22"/>
          <w:lang w:val="sr-Cyrl-RS"/>
        </w:rPr>
        <w:t>.</w:t>
      </w:r>
    </w:p>
    <w:p w14:paraId="53EF25EA" w14:textId="2E5A2F17" w:rsidR="00476817" w:rsidRPr="00EF2F18" w:rsidRDefault="00B56CB4" w:rsidP="007E2A58">
      <w:pPr>
        <w:spacing w:after="0"/>
        <w:ind w:firstLine="720"/>
        <w:jc w:val="both"/>
        <w:rPr>
          <w:rFonts w:cs="Times New Roman"/>
          <w:color w:val="000000" w:themeColor="text1"/>
          <w:sz w:val="22"/>
          <w:shd w:val="clear" w:color="auto" w:fill="FFFFFF" w:themeFill="background1"/>
          <w:lang w:val="sr-Cyrl-RS"/>
        </w:rPr>
      </w:pPr>
      <w:r w:rsidRPr="00EF2F18">
        <w:rPr>
          <w:rFonts w:cs="Times New Roman"/>
          <w:b/>
          <w:bCs/>
          <w:sz w:val="22"/>
          <w:lang w:val="sr-Cyrl-RS"/>
        </w:rPr>
        <w:t>Општи циљ 6:</w:t>
      </w:r>
      <w:r w:rsidR="00476817" w:rsidRPr="00EF2F18">
        <w:rPr>
          <w:rFonts w:cs="Times New Roman"/>
          <w:b/>
          <w:bCs/>
          <w:sz w:val="22"/>
          <w:lang w:val="sr-Cyrl-RS"/>
        </w:rPr>
        <w:t xml:space="preserve"> </w:t>
      </w:r>
      <w:r w:rsidR="00476817" w:rsidRPr="00EF2F18">
        <w:rPr>
          <w:rFonts w:cs="Times New Roman"/>
          <w:color w:val="000000" w:themeColor="text1"/>
          <w:sz w:val="22"/>
          <w:shd w:val="clear" w:color="auto" w:fill="FFFFFF" w:themeFill="background1"/>
          <w:lang w:val="sr-Cyrl-RS"/>
        </w:rPr>
        <w:t xml:space="preserve">Унапређење интегрисаног приступа </w:t>
      </w:r>
      <w:r w:rsidR="007E2A58" w:rsidRPr="00EF2F18">
        <w:rPr>
          <w:rFonts w:cs="Times New Roman"/>
          <w:color w:val="000000" w:themeColor="text1"/>
          <w:sz w:val="22"/>
          <w:shd w:val="clear" w:color="auto" w:fill="FFFFFF" w:themeFill="background1"/>
          <w:lang w:val="sr-Cyrl-RS"/>
        </w:rPr>
        <w:t xml:space="preserve">заштити и управљању </w:t>
      </w:r>
      <w:r w:rsidR="00476817" w:rsidRPr="00EF2F18">
        <w:rPr>
          <w:rFonts w:cs="Times New Roman"/>
          <w:color w:val="000000" w:themeColor="text1"/>
          <w:sz w:val="22"/>
          <w:shd w:val="clear" w:color="auto" w:fill="FFFFFF" w:themeFill="background1"/>
          <w:lang w:val="sr-Cyrl-RS"/>
        </w:rPr>
        <w:t>животном средином у складу са</w:t>
      </w:r>
      <w:r w:rsidR="00476817" w:rsidRPr="00EF2F18">
        <w:rPr>
          <w:rFonts w:cs="Times New Roman"/>
          <w:color w:val="000000" w:themeColor="text1"/>
          <w:sz w:val="22"/>
          <w:shd w:val="clear" w:color="auto" w:fill="F7F7F8"/>
          <w:lang w:val="sr-Cyrl-RS"/>
        </w:rPr>
        <w:t xml:space="preserve"> </w:t>
      </w:r>
      <w:r w:rsidR="00C41462" w:rsidRPr="00EF2F18">
        <w:rPr>
          <w:rFonts w:cs="Times New Roman"/>
          <w:color w:val="000000" w:themeColor="text1"/>
          <w:sz w:val="22"/>
          <w:shd w:val="clear" w:color="auto" w:fill="FFFFFF" w:themeFill="background1"/>
          <w:lang w:val="sr-Cyrl-RS"/>
        </w:rPr>
        <w:t>међународним и ЕУ стандардима</w:t>
      </w:r>
    </w:p>
    <w:p w14:paraId="10FC877D" w14:textId="5A588295" w:rsidR="00961D42" w:rsidRPr="00EF2F18" w:rsidRDefault="003A7E2C" w:rsidP="007E2A58">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Напредак у погледу остваривања општег циља пратиће се кроз следеће показатеље</w:t>
      </w:r>
      <w:r w:rsidR="00961D42" w:rsidRPr="00EF2F18">
        <w:rPr>
          <w:rFonts w:ascii="Times New Roman" w:hAnsi="Times New Roman" w:cs="Times New Roman"/>
          <w:sz w:val="22"/>
          <w:szCs w:val="22"/>
          <w:lang w:val="sr-Cyrl-RS"/>
        </w:rPr>
        <w:t>:</w:t>
      </w:r>
    </w:p>
    <w:p w14:paraId="17F8B98D" w14:textId="08E79CD9" w:rsidR="001770F9" w:rsidRPr="00EF2F18" w:rsidRDefault="00E436F7" w:rsidP="007E2A58">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У потпуности примењено </w:t>
      </w:r>
      <w:r w:rsidR="00C41462" w:rsidRPr="00EF2F18">
        <w:rPr>
          <w:rFonts w:ascii="Times New Roman" w:hAnsi="Times New Roman" w:cs="Times New Roman"/>
          <w:sz w:val="22"/>
          <w:szCs w:val="22"/>
          <w:lang w:val="sr-Cyrl-RS"/>
        </w:rPr>
        <w:t xml:space="preserve">хоризонтално </w:t>
      </w:r>
      <w:r w:rsidRPr="00EF2F18">
        <w:rPr>
          <w:rFonts w:ascii="Times New Roman" w:hAnsi="Times New Roman" w:cs="Times New Roman"/>
          <w:sz w:val="22"/>
          <w:szCs w:val="22"/>
          <w:lang w:val="sr-Cyrl-RS"/>
        </w:rPr>
        <w:t>законодавство ЕУ (да/делимично/не)</w:t>
      </w:r>
      <w:r w:rsidR="00185A75" w:rsidRPr="00EF2F18">
        <w:rPr>
          <w:rFonts w:ascii="Times New Roman" w:hAnsi="Times New Roman" w:cs="Times New Roman"/>
          <w:sz w:val="22"/>
          <w:szCs w:val="22"/>
          <w:lang w:val="sr-Cyrl-RS"/>
        </w:rPr>
        <w:t>;</w:t>
      </w:r>
    </w:p>
    <w:p w14:paraId="63B34B30" w14:textId="382E0F03" w:rsidR="00905963" w:rsidRPr="00EF2F18" w:rsidRDefault="00905963" w:rsidP="007E2A58">
      <w:pPr>
        <w:pStyle w:val="Default"/>
        <w:numPr>
          <w:ilvl w:val="0"/>
          <w:numId w:val="11"/>
        </w:numPr>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Учешће трошкова за заштиту животне средине у бруто домаћем производу (%)</w:t>
      </w:r>
      <w:r w:rsidR="00122234" w:rsidRPr="00EF2F18">
        <w:rPr>
          <w:rFonts w:ascii="Times New Roman" w:hAnsi="Times New Roman" w:cs="Times New Roman"/>
          <w:sz w:val="22"/>
          <w:szCs w:val="22"/>
          <w:lang w:val="sr-Cyrl-RS"/>
        </w:rPr>
        <w:t>.</w:t>
      </w:r>
    </w:p>
    <w:p w14:paraId="38940AFD" w14:textId="77777777" w:rsidR="00A040B1" w:rsidRPr="00EF2F18" w:rsidRDefault="00A040B1" w:rsidP="00B56CB4">
      <w:pPr>
        <w:jc w:val="both"/>
        <w:rPr>
          <w:rFonts w:cs="Times New Roman"/>
          <w:sz w:val="22"/>
          <w:lang w:val="sr-Cyrl-RS"/>
        </w:rPr>
      </w:pPr>
    </w:p>
    <w:p w14:paraId="4D6A555D" w14:textId="2D0B1E62" w:rsidR="00A040B1" w:rsidRPr="00EF2F18" w:rsidRDefault="00A040B1" w:rsidP="00F34D8C">
      <w:pPr>
        <w:pStyle w:val="Heading2"/>
        <w:numPr>
          <w:ilvl w:val="1"/>
          <w:numId w:val="2"/>
        </w:numPr>
        <w:ind w:hanging="360"/>
        <w:jc w:val="center"/>
        <w:rPr>
          <w:rFonts w:cs="Times New Roman"/>
          <w:sz w:val="22"/>
          <w:szCs w:val="22"/>
          <w:lang w:val="sr-Cyrl-RS"/>
        </w:rPr>
      </w:pPr>
      <w:bookmarkStart w:id="98" w:name="_Toc158307727"/>
      <w:bookmarkStart w:id="99" w:name="_Hlk143582883"/>
      <w:bookmarkEnd w:id="92"/>
      <w:r w:rsidRPr="00EF2F18">
        <w:rPr>
          <w:rFonts w:cs="Times New Roman"/>
          <w:sz w:val="22"/>
          <w:szCs w:val="22"/>
          <w:lang w:val="sr-Cyrl-RS"/>
        </w:rPr>
        <w:t>Посебни циљеви</w:t>
      </w:r>
      <w:bookmarkEnd w:id="98"/>
      <w:bookmarkEnd w:id="99"/>
    </w:p>
    <w:p w14:paraId="46C32BA1" w14:textId="1DE12830" w:rsidR="00EC03D1" w:rsidRPr="00EF2F18" w:rsidRDefault="00EC03D1" w:rsidP="00EC03D1">
      <w:pPr>
        <w:rPr>
          <w:rFonts w:cs="Times New Roman"/>
          <w:sz w:val="22"/>
          <w:lang w:val="sr-Cyrl-RS"/>
        </w:rPr>
      </w:pPr>
    </w:p>
    <w:p w14:paraId="2D5F36D3" w14:textId="77777777" w:rsidR="0076348C" w:rsidRPr="00EF2F18" w:rsidRDefault="0076348C" w:rsidP="0076348C">
      <w:pPr>
        <w:spacing w:after="0"/>
        <w:ind w:firstLine="720"/>
        <w:jc w:val="both"/>
        <w:rPr>
          <w:rFonts w:cs="Times New Roman"/>
          <w:sz w:val="22"/>
          <w:lang w:val="sr-Cyrl-RS"/>
        </w:rPr>
      </w:pPr>
      <w:bookmarkStart w:id="100" w:name="_Hlk143582899"/>
      <w:r w:rsidRPr="00EF2F18">
        <w:rPr>
          <w:rFonts w:cs="Times New Roman"/>
          <w:sz w:val="22"/>
          <w:lang w:val="sr-Cyrl-RS"/>
        </w:rPr>
        <w:t xml:space="preserve">За остваривање општих циљева Стратегије утврђују се следећи посебни циљеви: </w:t>
      </w:r>
    </w:p>
    <w:p w14:paraId="4FF01501" w14:textId="77777777" w:rsidR="003C62A6" w:rsidRPr="00EF2F18" w:rsidRDefault="003C62A6" w:rsidP="0076348C">
      <w:pPr>
        <w:spacing w:after="0"/>
        <w:ind w:firstLine="720"/>
        <w:jc w:val="both"/>
        <w:rPr>
          <w:rFonts w:cs="Times New Roman"/>
          <w:sz w:val="22"/>
          <w:lang w:val="sr-Cyrl-RS"/>
        </w:rPr>
      </w:pPr>
    </w:p>
    <w:p w14:paraId="1BBF31C1" w14:textId="73404D07" w:rsidR="003C62A6" w:rsidRPr="00EF2F18" w:rsidRDefault="00DC59A1" w:rsidP="006B4DF8">
      <w:pPr>
        <w:spacing w:after="0"/>
        <w:jc w:val="both"/>
        <w:rPr>
          <w:rFonts w:cs="Times New Roman"/>
          <w:sz w:val="22"/>
          <w:lang w:val="sr-Cyrl-RS"/>
        </w:rPr>
      </w:pPr>
      <w:r w:rsidRPr="00EF2F18">
        <w:rPr>
          <w:rFonts w:cs="Times New Roman"/>
          <w:b/>
          <w:bCs/>
          <w:sz w:val="22"/>
          <w:lang w:val="sr-Cyrl-RS"/>
        </w:rPr>
        <w:t>Табела 5.1.</w:t>
      </w:r>
      <w:r w:rsidRPr="00EF2F18">
        <w:rPr>
          <w:rFonts w:cs="Times New Roman"/>
          <w:sz w:val="22"/>
          <w:lang w:val="sr-Cyrl-RS"/>
        </w:rPr>
        <w:t xml:space="preserve"> Општи и посебни циљеви</w:t>
      </w:r>
    </w:p>
    <w:tbl>
      <w:tblPr>
        <w:tblStyle w:val="TableGrid"/>
        <w:tblW w:w="9085" w:type="dxa"/>
        <w:tblLook w:val="04A0" w:firstRow="1" w:lastRow="0" w:firstColumn="1" w:lastColumn="0" w:noHBand="0" w:noVBand="1"/>
      </w:tblPr>
      <w:tblGrid>
        <w:gridCol w:w="3325"/>
        <w:gridCol w:w="5760"/>
      </w:tblGrid>
      <w:tr w:rsidR="00DC59A1" w:rsidRPr="00EF2F18" w14:paraId="0CF3A867" w14:textId="77777777" w:rsidTr="006B4DF8">
        <w:trPr>
          <w:trHeight w:val="305"/>
        </w:trPr>
        <w:tc>
          <w:tcPr>
            <w:tcW w:w="3325" w:type="dxa"/>
            <w:shd w:val="clear" w:color="auto" w:fill="FFFFCC"/>
          </w:tcPr>
          <w:p w14:paraId="5BE838AA" w14:textId="77777777" w:rsidR="00DC59A1" w:rsidRPr="00EF2F18" w:rsidRDefault="00DC59A1" w:rsidP="00E151A2">
            <w:pPr>
              <w:spacing w:after="0"/>
              <w:rPr>
                <w:rFonts w:cs="Times New Roman"/>
                <w:b/>
                <w:bCs/>
                <w:sz w:val="22"/>
                <w:lang w:val="sr-Cyrl-RS"/>
              </w:rPr>
            </w:pPr>
            <w:r w:rsidRPr="00EF2F18">
              <w:rPr>
                <w:rFonts w:cs="Times New Roman"/>
                <w:b/>
                <w:bCs/>
                <w:sz w:val="22"/>
                <w:lang w:val="sr-Cyrl-RS"/>
              </w:rPr>
              <w:t>Општи циљ</w:t>
            </w:r>
          </w:p>
        </w:tc>
        <w:tc>
          <w:tcPr>
            <w:tcW w:w="5760" w:type="dxa"/>
            <w:shd w:val="clear" w:color="auto" w:fill="FFFFCC"/>
          </w:tcPr>
          <w:p w14:paraId="76D2B842" w14:textId="77777777" w:rsidR="00DC59A1" w:rsidRPr="00EF2F18" w:rsidRDefault="00DC59A1" w:rsidP="00E151A2">
            <w:pPr>
              <w:spacing w:after="0"/>
              <w:rPr>
                <w:rFonts w:cs="Times New Roman"/>
                <w:b/>
                <w:bCs/>
                <w:sz w:val="22"/>
                <w:lang w:val="sr-Cyrl-RS"/>
              </w:rPr>
            </w:pPr>
            <w:r w:rsidRPr="00EF2F18">
              <w:rPr>
                <w:rFonts w:cs="Times New Roman"/>
                <w:b/>
                <w:bCs/>
                <w:sz w:val="22"/>
                <w:lang w:val="sr-Cyrl-RS"/>
              </w:rPr>
              <w:t>Посебни циљ</w:t>
            </w:r>
          </w:p>
        </w:tc>
      </w:tr>
      <w:tr w:rsidR="00DC59A1" w:rsidRPr="00EF2F18" w14:paraId="5E3B68C8" w14:textId="77777777" w:rsidTr="006B4DF8">
        <w:tc>
          <w:tcPr>
            <w:tcW w:w="3325" w:type="dxa"/>
            <w:vMerge w:val="restart"/>
          </w:tcPr>
          <w:p w14:paraId="06D8EFBB" w14:textId="46AD6244" w:rsidR="00DC59A1" w:rsidRPr="00EF2F18" w:rsidRDefault="00DC59A1" w:rsidP="00E151A2">
            <w:pPr>
              <w:spacing w:after="0"/>
              <w:rPr>
                <w:rFonts w:cs="Times New Roman"/>
                <w:sz w:val="22"/>
                <w:lang w:val="sr-Cyrl-RS"/>
              </w:rPr>
            </w:pPr>
            <w:r w:rsidRPr="00EF2F18">
              <w:rPr>
                <w:rFonts w:cs="Times New Roman"/>
                <w:b/>
                <w:bCs/>
                <w:sz w:val="22"/>
                <w:lang w:val="sr-Cyrl-RS"/>
              </w:rPr>
              <w:t xml:space="preserve">Општи циљ 1: </w:t>
            </w:r>
            <w:r w:rsidRPr="00EF2F18">
              <w:rPr>
                <w:rFonts w:cs="Times New Roman"/>
                <w:sz w:val="22"/>
                <w:lang w:val="sr-Cyrl-RS"/>
              </w:rPr>
              <w:t xml:space="preserve">Допринос угљеничној неутралности и повећање отпорности на климатске </w:t>
            </w:r>
            <w:r w:rsidR="00291415" w:rsidRPr="00EF2F18">
              <w:rPr>
                <w:rFonts w:cs="Times New Roman"/>
                <w:sz w:val="22"/>
                <w:lang w:val="sr-Cyrl-RS"/>
              </w:rPr>
              <w:t>промене</w:t>
            </w:r>
            <w:r w:rsidRPr="00EF2F18">
              <w:rPr>
                <w:rFonts w:cs="Times New Roman"/>
                <w:sz w:val="22"/>
                <w:lang w:val="sr-Cyrl-RS"/>
              </w:rPr>
              <w:t xml:space="preserve"> у складу са Зеленом агендом</w:t>
            </w:r>
          </w:p>
        </w:tc>
        <w:tc>
          <w:tcPr>
            <w:tcW w:w="5760" w:type="dxa"/>
          </w:tcPr>
          <w:p w14:paraId="4B718D02" w14:textId="086D9BA3" w:rsidR="00DC59A1" w:rsidRPr="00EF2F18" w:rsidRDefault="00DC59A1" w:rsidP="00E151A2">
            <w:pPr>
              <w:spacing w:after="0"/>
              <w:rPr>
                <w:rFonts w:cs="Times New Roman"/>
                <w:sz w:val="22"/>
                <w:lang w:val="sr-Cyrl-RS"/>
              </w:rPr>
            </w:pPr>
            <w:r w:rsidRPr="00EF2F18">
              <w:rPr>
                <w:rFonts w:cs="Times New Roman"/>
                <w:sz w:val="22"/>
                <w:lang w:val="sr-Cyrl-RS"/>
              </w:rPr>
              <w:t xml:space="preserve">Посебан циљ 1.1: Смањење емисија </w:t>
            </w:r>
            <w:r w:rsidRPr="00EF2F18">
              <w:rPr>
                <w:rFonts w:cs="Times New Roman"/>
                <w:i/>
                <w:iCs/>
                <w:sz w:val="22"/>
                <w:lang w:val="sr-Cyrl-RS"/>
              </w:rPr>
              <w:t>GHG</w:t>
            </w:r>
          </w:p>
        </w:tc>
      </w:tr>
      <w:tr w:rsidR="00DC59A1" w:rsidRPr="00EF2F18" w14:paraId="4C0E09C3" w14:textId="77777777" w:rsidTr="006B4DF8">
        <w:tc>
          <w:tcPr>
            <w:tcW w:w="3325" w:type="dxa"/>
            <w:vMerge/>
          </w:tcPr>
          <w:p w14:paraId="32683F82" w14:textId="77777777" w:rsidR="00DC59A1" w:rsidRPr="00EF2F18" w:rsidRDefault="00DC59A1" w:rsidP="00AA710F">
            <w:pPr>
              <w:spacing w:after="0"/>
              <w:rPr>
                <w:rFonts w:cs="Times New Roman"/>
                <w:sz w:val="22"/>
                <w:lang w:val="sr-Cyrl-RS"/>
              </w:rPr>
            </w:pPr>
          </w:p>
        </w:tc>
        <w:tc>
          <w:tcPr>
            <w:tcW w:w="5760" w:type="dxa"/>
          </w:tcPr>
          <w:p w14:paraId="64592C86" w14:textId="5B296FF3"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1.2: </w:t>
            </w:r>
            <w:bookmarkStart w:id="101" w:name="_Hlk171632096"/>
            <w:r w:rsidR="00A727FC" w:rsidRPr="00EF2F18">
              <w:rPr>
                <w:rFonts w:cs="Times New Roman"/>
                <w:sz w:val="22"/>
                <w:lang w:val="sr-Cyrl-RS"/>
              </w:rPr>
              <w:t>Повећање отпорности на климатске промене</w:t>
            </w:r>
            <w:bookmarkEnd w:id="101"/>
          </w:p>
        </w:tc>
      </w:tr>
      <w:tr w:rsidR="00DC59A1" w:rsidRPr="00EF2F18" w14:paraId="26ACE549" w14:textId="77777777" w:rsidTr="006B4DF8">
        <w:tc>
          <w:tcPr>
            <w:tcW w:w="3325" w:type="dxa"/>
            <w:vMerge w:val="restart"/>
          </w:tcPr>
          <w:p w14:paraId="0134EB58" w14:textId="35C128A3" w:rsidR="00DC59A1" w:rsidRPr="00EF2F18" w:rsidRDefault="00DC59A1" w:rsidP="00E151A2">
            <w:pPr>
              <w:spacing w:after="0"/>
              <w:rPr>
                <w:rFonts w:cs="Times New Roman"/>
                <w:sz w:val="22"/>
                <w:lang w:val="sr-Cyrl-RS"/>
              </w:rPr>
            </w:pPr>
            <w:r w:rsidRPr="00EF2F18">
              <w:rPr>
                <w:rFonts w:cs="Times New Roman"/>
                <w:b/>
                <w:bCs/>
                <w:sz w:val="22"/>
                <w:lang w:val="sr-Cyrl-RS"/>
              </w:rPr>
              <w:t xml:space="preserve">Општи циљ 2: </w:t>
            </w:r>
            <w:r w:rsidRPr="00EF2F18">
              <w:rPr>
                <w:rFonts w:cs="Times New Roman"/>
                <w:sz w:val="22"/>
                <w:lang w:val="sr-Cyrl-RS"/>
              </w:rPr>
              <w:t>Примена принципа циркуларне економије ради унапређења заштите животне срединe и ресурсне ефикасности</w:t>
            </w:r>
          </w:p>
        </w:tc>
        <w:tc>
          <w:tcPr>
            <w:tcW w:w="5760" w:type="dxa"/>
          </w:tcPr>
          <w:p w14:paraId="6635528D" w14:textId="6D0F1168" w:rsidR="00DC59A1" w:rsidRPr="00EF2F18" w:rsidRDefault="00DC59A1" w:rsidP="00E151A2">
            <w:pPr>
              <w:spacing w:after="0"/>
              <w:rPr>
                <w:rFonts w:cs="Times New Roman"/>
                <w:sz w:val="22"/>
                <w:lang w:val="sr-Cyrl-RS"/>
              </w:rPr>
            </w:pPr>
            <w:r w:rsidRPr="00EF2F18">
              <w:rPr>
                <w:rFonts w:cs="Times New Roman"/>
                <w:sz w:val="22"/>
                <w:lang w:val="sr-Cyrl-RS"/>
              </w:rPr>
              <w:t>Посебан циљ 2.1: Унапређење одрживог система управљања отпадом кроз ефикасније коришћење отпада у складу са ЕУ прописима</w:t>
            </w:r>
          </w:p>
        </w:tc>
      </w:tr>
      <w:tr w:rsidR="00DC59A1" w:rsidRPr="00EF2F18" w14:paraId="18192D06" w14:textId="77777777" w:rsidTr="006B4DF8">
        <w:tc>
          <w:tcPr>
            <w:tcW w:w="3325" w:type="dxa"/>
            <w:vMerge/>
          </w:tcPr>
          <w:p w14:paraId="5812C8C9" w14:textId="77777777" w:rsidR="00DC59A1" w:rsidRPr="00EF2F18" w:rsidRDefault="00DC59A1" w:rsidP="00AA710F">
            <w:pPr>
              <w:spacing w:after="0"/>
              <w:rPr>
                <w:rFonts w:cs="Times New Roman"/>
                <w:sz w:val="22"/>
                <w:lang w:val="sr-Cyrl-RS"/>
              </w:rPr>
            </w:pPr>
          </w:p>
        </w:tc>
        <w:tc>
          <w:tcPr>
            <w:tcW w:w="5760" w:type="dxa"/>
          </w:tcPr>
          <w:p w14:paraId="63ADA82A" w14:textId="6A141448"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2.2: Развијање циркуларне економије на бази индустријске симбиозе и повећања ресурсне ефикасности </w:t>
            </w:r>
          </w:p>
        </w:tc>
      </w:tr>
      <w:tr w:rsidR="00DC59A1" w:rsidRPr="00EF2F18" w14:paraId="5AF5706C" w14:textId="77777777" w:rsidTr="006B4DF8">
        <w:tc>
          <w:tcPr>
            <w:tcW w:w="3325" w:type="dxa"/>
            <w:vMerge w:val="restart"/>
          </w:tcPr>
          <w:p w14:paraId="54B2AF01" w14:textId="617A0B52" w:rsidR="00DC59A1" w:rsidRPr="00EF2F18" w:rsidRDefault="00DC59A1" w:rsidP="00E151A2">
            <w:pPr>
              <w:spacing w:after="0"/>
              <w:rPr>
                <w:rFonts w:cs="Times New Roman"/>
                <w:sz w:val="22"/>
                <w:lang w:val="sr-Cyrl-RS"/>
              </w:rPr>
            </w:pPr>
            <w:r w:rsidRPr="00EF2F18">
              <w:rPr>
                <w:rFonts w:cs="Times New Roman"/>
                <w:b/>
                <w:bCs/>
                <w:sz w:val="22"/>
                <w:lang w:val="sr-Cyrl-RS"/>
              </w:rPr>
              <w:lastRenderedPageBreak/>
              <w:t xml:space="preserve">Општи циљ 3: </w:t>
            </w:r>
            <w:r w:rsidRPr="00EF2F18">
              <w:rPr>
                <w:rFonts w:cs="Times New Roman"/>
                <w:sz w:val="22"/>
                <w:lang w:val="sr-Cyrl-RS"/>
              </w:rPr>
              <w:t>Унапређење квалитета животне средине смањењем загађења</w:t>
            </w:r>
          </w:p>
        </w:tc>
        <w:tc>
          <w:tcPr>
            <w:tcW w:w="5760" w:type="dxa"/>
          </w:tcPr>
          <w:p w14:paraId="65F09E4A" w14:textId="461598B7" w:rsidR="00DC59A1" w:rsidRPr="00EF2F18" w:rsidRDefault="00DC59A1" w:rsidP="00E151A2">
            <w:pPr>
              <w:spacing w:after="0"/>
              <w:rPr>
                <w:rFonts w:cs="Times New Roman"/>
                <w:sz w:val="22"/>
                <w:lang w:val="sr-Cyrl-RS"/>
              </w:rPr>
            </w:pPr>
            <w:r w:rsidRPr="00EF2F18">
              <w:rPr>
                <w:rFonts w:cs="Times New Roman"/>
                <w:sz w:val="22"/>
                <w:lang w:val="sr-Cyrl-RS"/>
              </w:rPr>
              <w:t xml:space="preserve">Посебан циљ 3.1: Побољшање квалитета ваздуха </w:t>
            </w:r>
          </w:p>
        </w:tc>
      </w:tr>
      <w:tr w:rsidR="00DC59A1" w:rsidRPr="00EF2F18" w14:paraId="076F9D32" w14:textId="77777777" w:rsidTr="006B4DF8">
        <w:tc>
          <w:tcPr>
            <w:tcW w:w="3325" w:type="dxa"/>
            <w:vMerge/>
          </w:tcPr>
          <w:p w14:paraId="3D395F97" w14:textId="77777777" w:rsidR="00DC59A1" w:rsidRPr="00EF2F18" w:rsidRDefault="00DC59A1" w:rsidP="00AA710F">
            <w:pPr>
              <w:spacing w:after="0"/>
              <w:rPr>
                <w:rFonts w:cs="Times New Roman"/>
                <w:sz w:val="22"/>
                <w:lang w:val="sr-Cyrl-RS"/>
              </w:rPr>
            </w:pPr>
          </w:p>
        </w:tc>
        <w:tc>
          <w:tcPr>
            <w:tcW w:w="5760" w:type="dxa"/>
          </w:tcPr>
          <w:p w14:paraId="5D14F108" w14:textId="6F1E1568"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3.2: Унапређење квалитета вода кроз интегрално управљање водама уз ефективну контролу загађења </w:t>
            </w:r>
          </w:p>
        </w:tc>
      </w:tr>
      <w:tr w:rsidR="00DC59A1" w:rsidRPr="00EF2F18" w14:paraId="4B0BA075" w14:textId="77777777" w:rsidTr="006B4DF8">
        <w:tc>
          <w:tcPr>
            <w:tcW w:w="3325" w:type="dxa"/>
            <w:vMerge/>
          </w:tcPr>
          <w:p w14:paraId="39F09708" w14:textId="77777777" w:rsidR="00DC59A1" w:rsidRPr="00EF2F18" w:rsidRDefault="00DC59A1" w:rsidP="00AA710F">
            <w:pPr>
              <w:spacing w:after="0"/>
              <w:rPr>
                <w:rFonts w:cs="Times New Roman"/>
                <w:sz w:val="22"/>
                <w:lang w:val="sr-Cyrl-RS"/>
              </w:rPr>
            </w:pPr>
          </w:p>
        </w:tc>
        <w:tc>
          <w:tcPr>
            <w:tcW w:w="5760" w:type="dxa"/>
          </w:tcPr>
          <w:p w14:paraId="5DDEE532" w14:textId="7AF78813"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3.3: Унапређење продуктивности, стања и квалитета земљишта, спречавање деградације и контаминације земљишта </w:t>
            </w:r>
          </w:p>
        </w:tc>
      </w:tr>
      <w:tr w:rsidR="00DC59A1" w:rsidRPr="00EF2F18" w14:paraId="1388C4A5" w14:textId="77777777" w:rsidTr="006B4DF8">
        <w:tc>
          <w:tcPr>
            <w:tcW w:w="3325" w:type="dxa"/>
            <w:vMerge/>
          </w:tcPr>
          <w:p w14:paraId="2FA96F98" w14:textId="77777777" w:rsidR="00DC59A1" w:rsidRPr="00EF2F18" w:rsidRDefault="00DC59A1" w:rsidP="00AA710F">
            <w:pPr>
              <w:spacing w:after="0"/>
              <w:rPr>
                <w:rFonts w:cs="Times New Roman"/>
                <w:sz w:val="22"/>
                <w:lang w:val="sr-Cyrl-RS"/>
              </w:rPr>
            </w:pPr>
          </w:p>
        </w:tc>
        <w:tc>
          <w:tcPr>
            <w:tcW w:w="5760" w:type="dxa"/>
          </w:tcPr>
          <w:p w14:paraId="122AEB12" w14:textId="2E316F95"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3.4: Превенција и контрола загађења из индустрије, интегрисано управљање хемикалијама и </w:t>
            </w:r>
            <w:r w:rsidR="0085334E" w:rsidRPr="00EF2F18">
              <w:rPr>
                <w:rFonts w:cs="Times New Roman"/>
                <w:sz w:val="22"/>
                <w:lang w:val="sr-Cyrl-RS"/>
              </w:rPr>
              <w:t xml:space="preserve">управљање ризиком </w:t>
            </w:r>
            <w:r w:rsidRPr="00EF2F18">
              <w:rPr>
                <w:rFonts w:cs="Times New Roman"/>
                <w:sz w:val="22"/>
                <w:lang w:val="sr-Cyrl-RS"/>
              </w:rPr>
              <w:t xml:space="preserve">од великих удеса који укључују опасне супстанце </w:t>
            </w:r>
          </w:p>
        </w:tc>
      </w:tr>
      <w:tr w:rsidR="00DC59A1" w:rsidRPr="00EF2F18" w14:paraId="1EA331AF" w14:textId="77777777" w:rsidTr="006B4DF8">
        <w:tc>
          <w:tcPr>
            <w:tcW w:w="3325" w:type="dxa"/>
            <w:vMerge/>
          </w:tcPr>
          <w:p w14:paraId="4B2F788D" w14:textId="77777777" w:rsidR="00DC59A1" w:rsidRPr="00EF2F18" w:rsidRDefault="00DC59A1" w:rsidP="00AA710F">
            <w:pPr>
              <w:spacing w:after="0"/>
              <w:rPr>
                <w:rFonts w:cs="Times New Roman"/>
                <w:sz w:val="22"/>
                <w:lang w:val="sr-Cyrl-RS"/>
              </w:rPr>
            </w:pPr>
          </w:p>
        </w:tc>
        <w:tc>
          <w:tcPr>
            <w:tcW w:w="5760" w:type="dxa"/>
          </w:tcPr>
          <w:p w14:paraId="77309A7A" w14:textId="30567409"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3.5: Смањење нивоа буке и заштита од нејонизујућег и јонизујућег зрачења </w:t>
            </w:r>
          </w:p>
        </w:tc>
      </w:tr>
      <w:tr w:rsidR="00DC59A1" w:rsidRPr="00EF2F18" w14:paraId="5A92C5D7" w14:textId="77777777" w:rsidTr="006B4DF8">
        <w:tc>
          <w:tcPr>
            <w:tcW w:w="3325" w:type="dxa"/>
            <w:vMerge w:val="restart"/>
          </w:tcPr>
          <w:p w14:paraId="56D345AA" w14:textId="77777777" w:rsidR="00DC59A1" w:rsidRPr="00EF2F18" w:rsidRDefault="00DC59A1" w:rsidP="00E151A2">
            <w:pPr>
              <w:spacing w:after="0"/>
              <w:rPr>
                <w:rFonts w:cs="Times New Roman"/>
                <w:sz w:val="22"/>
                <w:lang w:val="sr-Cyrl-RS"/>
              </w:rPr>
            </w:pPr>
            <w:r w:rsidRPr="00EF2F18">
              <w:rPr>
                <w:rFonts w:cs="Times New Roman"/>
                <w:b/>
                <w:bCs/>
                <w:sz w:val="22"/>
                <w:lang w:val="sr-Cyrl-RS"/>
              </w:rPr>
              <w:t xml:space="preserve">Општи циљ 4: </w:t>
            </w:r>
            <w:r w:rsidRPr="00EF2F18">
              <w:rPr>
                <w:rFonts w:cs="Times New Roman"/>
                <w:sz w:val="22"/>
                <w:lang w:val="sr-Cyrl-RS"/>
              </w:rPr>
              <w:t xml:space="preserve">Унапређење заштите природе, очувања биодиверзитета и одрживо коришћење природних ресурса </w:t>
            </w:r>
          </w:p>
          <w:p w14:paraId="29C8E788" w14:textId="77777777" w:rsidR="00DC59A1" w:rsidRPr="00EF2F18" w:rsidRDefault="00DC59A1" w:rsidP="00E151A2">
            <w:pPr>
              <w:spacing w:after="0"/>
              <w:rPr>
                <w:rFonts w:cs="Times New Roman"/>
                <w:sz w:val="22"/>
                <w:lang w:val="sr-Cyrl-RS"/>
              </w:rPr>
            </w:pPr>
          </w:p>
        </w:tc>
        <w:tc>
          <w:tcPr>
            <w:tcW w:w="5760" w:type="dxa"/>
          </w:tcPr>
          <w:p w14:paraId="1B670761" w14:textId="21E9E3A8" w:rsidR="00DC59A1" w:rsidRPr="00EF2F18" w:rsidRDefault="00DC59A1" w:rsidP="00E151A2">
            <w:pPr>
              <w:spacing w:after="0"/>
              <w:rPr>
                <w:rFonts w:cs="Times New Roman"/>
                <w:sz w:val="22"/>
                <w:lang w:val="sr-Cyrl-RS"/>
              </w:rPr>
            </w:pPr>
            <w:r w:rsidRPr="00EF2F18">
              <w:rPr>
                <w:rFonts w:cs="Times New Roman"/>
                <w:sz w:val="22"/>
                <w:lang w:val="sr-Cyrl-RS"/>
              </w:rPr>
              <w:t xml:space="preserve">Посебан циљ 4.1: Развијање ефикасног система заштите и управљања врстама, типовима станишта, заштићеним подручјима и еколошком мрежом укључујући и </w:t>
            </w:r>
            <w:r w:rsidR="006E13D4" w:rsidRPr="00EF2F18">
              <w:rPr>
                <w:sz w:val="22"/>
                <w:lang w:val="sr-Cyrl-RS"/>
              </w:rPr>
              <w:t xml:space="preserve">НАТУРА </w:t>
            </w:r>
            <w:r w:rsidRPr="00EF2F18">
              <w:rPr>
                <w:rFonts w:cs="Times New Roman"/>
                <w:sz w:val="22"/>
                <w:lang w:val="sr-Cyrl-RS"/>
              </w:rPr>
              <w:t>2000 и праћење стања кључних екосистемских услуга</w:t>
            </w:r>
          </w:p>
        </w:tc>
      </w:tr>
      <w:tr w:rsidR="00DC59A1" w:rsidRPr="00EF2F18" w14:paraId="223DFC1C" w14:textId="77777777" w:rsidTr="006B4DF8">
        <w:tc>
          <w:tcPr>
            <w:tcW w:w="3325" w:type="dxa"/>
            <w:vMerge/>
          </w:tcPr>
          <w:p w14:paraId="35316F79" w14:textId="77777777" w:rsidR="00DC59A1" w:rsidRPr="00EF2F18" w:rsidRDefault="00DC59A1" w:rsidP="00AA710F">
            <w:pPr>
              <w:spacing w:after="0"/>
              <w:rPr>
                <w:rFonts w:cs="Times New Roman"/>
                <w:sz w:val="22"/>
                <w:lang w:val="sr-Cyrl-RS"/>
              </w:rPr>
            </w:pPr>
          </w:p>
        </w:tc>
        <w:tc>
          <w:tcPr>
            <w:tcW w:w="5760" w:type="dxa"/>
          </w:tcPr>
          <w:p w14:paraId="448E4D73" w14:textId="428F0936" w:rsidR="00DC59A1" w:rsidRPr="00EF2F18" w:rsidRDefault="00DC59A1" w:rsidP="00AA710F">
            <w:pPr>
              <w:spacing w:after="0"/>
              <w:rPr>
                <w:rFonts w:cs="Times New Roman"/>
                <w:sz w:val="22"/>
                <w:lang w:val="sr-Cyrl-RS"/>
              </w:rPr>
            </w:pPr>
            <w:r w:rsidRPr="00EF2F18">
              <w:rPr>
                <w:rFonts w:cs="Times New Roman"/>
                <w:sz w:val="22"/>
                <w:lang w:val="sr-Cyrl-RS"/>
              </w:rPr>
              <w:t>Посебан циљ 4.2: Одрживо управљање шумама, дивљачи и рибљим фондом</w:t>
            </w:r>
          </w:p>
        </w:tc>
      </w:tr>
      <w:tr w:rsidR="00DC59A1" w:rsidRPr="00EF2F18" w14:paraId="4A287F3A" w14:textId="77777777" w:rsidTr="006B4DF8">
        <w:tc>
          <w:tcPr>
            <w:tcW w:w="3325" w:type="dxa"/>
            <w:vMerge w:val="restart"/>
          </w:tcPr>
          <w:p w14:paraId="6DD99327" w14:textId="07286A45" w:rsidR="00DC59A1" w:rsidRPr="00EF2F18" w:rsidRDefault="00DC59A1" w:rsidP="00E151A2">
            <w:pPr>
              <w:spacing w:after="0"/>
              <w:rPr>
                <w:rFonts w:cs="Times New Roman"/>
                <w:sz w:val="22"/>
                <w:lang w:val="sr-Cyrl-RS"/>
              </w:rPr>
            </w:pPr>
            <w:r w:rsidRPr="00EF2F18">
              <w:rPr>
                <w:rFonts w:cs="Times New Roman"/>
                <w:b/>
                <w:bCs/>
                <w:sz w:val="22"/>
                <w:lang w:val="sr-Cyrl-RS"/>
              </w:rPr>
              <w:t xml:space="preserve">Општи циљ 5: </w:t>
            </w:r>
            <w:r w:rsidRPr="00EF2F18">
              <w:rPr>
                <w:rFonts w:cs="Times New Roman"/>
                <w:sz w:val="22"/>
                <w:lang w:val="sr-Cyrl-RS"/>
              </w:rPr>
              <w:t>Раст доприноса пољопривредно-прехрамбеног сектора очувању животне средине и повећању отпорности на измењене климатске услове</w:t>
            </w:r>
          </w:p>
        </w:tc>
        <w:tc>
          <w:tcPr>
            <w:tcW w:w="5760" w:type="dxa"/>
          </w:tcPr>
          <w:p w14:paraId="4EEF3747" w14:textId="20A5A812" w:rsidR="00DC59A1" w:rsidRPr="00EF2F18" w:rsidRDefault="00DC59A1" w:rsidP="00E151A2">
            <w:pPr>
              <w:spacing w:after="0"/>
              <w:rPr>
                <w:rFonts w:cs="Times New Roman"/>
                <w:sz w:val="22"/>
                <w:lang w:val="sr-Cyrl-RS"/>
              </w:rPr>
            </w:pPr>
            <w:r w:rsidRPr="00EF2F18">
              <w:rPr>
                <w:rFonts w:cs="Times New Roman"/>
                <w:sz w:val="22"/>
                <w:lang w:val="sr-Cyrl-RS"/>
              </w:rPr>
              <w:t xml:space="preserve">Посебан циљ 5.1: Одржива примарна производња и безбедност хране применом технологија и пракси </w:t>
            </w:r>
            <w:r w:rsidRPr="00EF2F18">
              <w:rPr>
                <w:rFonts w:cs="Times New Roman"/>
                <w:color w:val="000000" w:themeColor="text1"/>
                <w:sz w:val="22"/>
                <w:lang w:val="sr-Cyrl-RS"/>
              </w:rPr>
              <w:t>погодних за животну средину</w:t>
            </w:r>
          </w:p>
        </w:tc>
      </w:tr>
      <w:tr w:rsidR="00DC59A1" w:rsidRPr="00EF2F18" w14:paraId="062BB302" w14:textId="77777777" w:rsidTr="006B4DF8">
        <w:tc>
          <w:tcPr>
            <w:tcW w:w="3325" w:type="dxa"/>
            <w:vMerge/>
          </w:tcPr>
          <w:p w14:paraId="3CEA48FD" w14:textId="77777777" w:rsidR="00DC59A1" w:rsidRPr="00EF2F18" w:rsidRDefault="00DC59A1" w:rsidP="00AA710F">
            <w:pPr>
              <w:spacing w:after="0"/>
              <w:rPr>
                <w:rFonts w:cs="Times New Roman"/>
                <w:sz w:val="22"/>
                <w:lang w:val="sr-Cyrl-RS"/>
              </w:rPr>
            </w:pPr>
          </w:p>
        </w:tc>
        <w:tc>
          <w:tcPr>
            <w:tcW w:w="5760" w:type="dxa"/>
          </w:tcPr>
          <w:p w14:paraId="02FEDB32" w14:textId="31A50899" w:rsidR="00DC59A1" w:rsidRPr="00EF2F18" w:rsidRDefault="00DC59A1" w:rsidP="00AA710F">
            <w:pPr>
              <w:spacing w:after="0"/>
              <w:rPr>
                <w:rFonts w:cs="Times New Roman"/>
                <w:color w:val="000000" w:themeColor="text1"/>
                <w:sz w:val="22"/>
                <w:lang w:val="sr-Cyrl-RS"/>
              </w:rPr>
            </w:pPr>
            <w:r w:rsidRPr="00EF2F18">
              <w:rPr>
                <w:rFonts w:cs="Times New Roman"/>
                <w:color w:val="000000" w:themeColor="text1"/>
                <w:sz w:val="22"/>
                <w:lang w:val="sr-Cyrl-RS"/>
              </w:rPr>
              <w:t xml:space="preserve">Посебан циљ 5.2: </w:t>
            </w:r>
            <w:r w:rsidR="00F470DF" w:rsidRPr="00EF2F18">
              <w:rPr>
                <w:rFonts w:cs="Times New Roman"/>
                <w:color w:val="000000" w:themeColor="text1"/>
                <w:sz w:val="22"/>
                <w:lang w:val="sr-Cyrl-RS"/>
              </w:rPr>
              <w:t>Унапређење одрживо</w:t>
            </w:r>
            <w:r w:rsidR="004016D5">
              <w:rPr>
                <w:rFonts w:cs="Times New Roman"/>
                <w:color w:val="000000" w:themeColor="text1"/>
                <w:sz w:val="22"/>
                <w:lang w:val="sr-Cyrl-RS"/>
              </w:rPr>
              <w:t>сти руралних средина кроз диверс</w:t>
            </w:r>
            <w:r w:rsidR="00F470DF" w:rsidRPr="00EF2F18">
              <w:rPr>
                <w:rFonts w:cs="Times New Roman"/>
                <w:color w:val="000000" w:themeColor="text1"/>
                <w:sz w:val="22"/>
                <w:lang w:val="sr-Cyrl-RS"/>
              </w:rPr>
              <w:t>ификацију руралне економије, изградњу руралне инфраструктуре и заштиту животне средине и очување руралних предела</w:t>
            </w:r>
          </w:p>
        </w:tc>
      </w:tr>
      <w:tr w:rsidR="00DC59A1" w:rsidRPr="00EF2F18" w14:paraId="6F48BB60" w14:textId="77777777" w:rsidTr="006B4DF8">
        <w:tc>
          <w:tcPr>
            <w:tcW w:w="3325" w:type="dxa"/>
            <w:vMerge w:val="restart"/>
          </w:tcPr>
          <w:p w14:paraId="66FEF2DC" w14:textId="6A5D29C0" w:rsidR="00DC59A1" w:rsidRPr="00EF2F18" w:rsidRDefault="00DC59A1" w:rsidP="00E151A2">
            <w:pPr>
              <w:spacing w:after="0"/>
              <w:rPr>
                <w:rFonts w:cs="Times New Roman"/>
                <w:sz w:val="22"/>
                <w:lang w:val="sr-Cyrl-RS"/>
              </w:rPr>
            </w:pPr>
            <w:r w:rsidRPr="00EF2F18">
              <w:rPr>
                <w:rFonts w:cs="Times New Roman"/>
                <w:b/>
                <w:bCs/>
                <w:sz w:val="22"/>
                <w:lang w:val="sr-Cyrl-RS"/>
              </w:rPr>
              <w:t xml:space="preserve">Општи циљ 6: </w:t>
            </w:r>
            <w:r w:rsidRPr="00EF2F18">
              <w:rPr>
                <w:rFonts w:cs="Times New Roman"/>
                <w:color w:val="000000" w:themeColor="text1"/>
                <w:sz w:val="22"/>
                <w:shd w:val="clear" w:color="auto" w:fill="FFFFFF" w:themeFill="background1"/>
                <w:lang w:val="sr-Cyrl-RS"/>
              </w:rPr>
              <w:t>Унапређење интегрисаног приступа заштити и управљању животном средином у складу са</w:t>
            </w:r>
            <w:r w:rsidRPr="00EF2F18">
              <w:rPr>
                <w:rFonts w:cs="Times New Roman"/>
                <w:color w:val="000000" w:themeColor="text1"/>
                <w:sz w:val="22"/>
                <w:shd w:val="clear" w:color="auto" w:fill="F7F7F8"/>
                <w:lang w:val="sr-Cyrl-RS"/>
              </w:rPr>
              <w:t xml:space="preserve"> </w:t>
            </w:r>
            <w:r w:rsidR="00C41462" w:rsidRPr="00EF2F18">
              <w:rPr>
                <w:rFonts w:cs="Times New Roman"/>
                <w:color w:val="000000" w:themeColor="text1"/>
                <w:sz w:val="22"/>
                <w:shd w:val="clear" w:color="auto" w:fill="FFFFFF" w:themeFill="background1"/>
                <w:lang w:val="sr-Cyrl-RS"/>
              </w:rPr>
              <w:t>међународним и ЕУ стандардима</w:t>
            </w:r>
          </w:p>
        </w:tc>
        <w:tc>
          <w:tcPr>
            <w:tcW w:w="5760" w:type="dxa"/>
          </w:tcPr>
          <w:p w14:paraId="5DB7CD38" w14:textId="4A56E35F" w:rsidR="00DC59A1" w:rsidRPr="00EF2F18" w:rsidRDefault="00DC59A1" w:rsidP="00E151A2">
            <w:pPr>
              <w:spacing w:after="0"/>
              <w:rPr>
                <w:rFonts w:cs="Times New Roman"/>
                <w:color w:val="000000" w:themeColor="text1"/>
                <w:sz w:val="22"/>
                <w:lang w:val="sr-Cyrl-RS"/>
              </w:rPr>
            </w:pPr>
            <w:r w:rsidRPr="00EF2F18">
              <w:rPr>
                <w:rFonts w:cs="Times New Roman"/>
                <w:color w:val="000000" w:themeColor="text1"/>
                <w:sz w:val="22"/>
                <w:lang w:val="sr-Cyrl-RS"/>
              </w:rPr>
              <w:t xml:space="preserve">Посебан циљ 6.1: Подизање капацитета и нивоа знања за примену </w:t>
            </w:r>
            <w:r w:rsidR="008D76F6" w:rsidRPr="00EF2F18">
              <w:rPr>
                <w:rFonts w:cs="Times New Roman"/>
                <w:color w:val="000000" w:themeColor="text1"/>
                <w:sz w:val="22"/>
                <w:lang w:val="sr-Cyrl-RS"/>
              </w:rPr>
              <w:t xml:space="preserve">ЕУ стандарда и </w:t>
            </w:r>
            <w:r w:rsidRPr="00EF2F18">
              <w:rPr>
                <w:rFonts w:cs="Times New Roman"/>
                <w:color w:val="000000" w:themeColor="text1"/>
                <w:sz w:val="22"/>
                <w:lang w:val="sr-Cyrl-RS"/>
              </w:rPr>
              <w:t>Зелене агенде на свим нивоима</w:t>
            </w:r>
          </w:p>
        </w:tc>
      </w:tr>
      <w:tr w:rsidR="00DC59A1" w:rsidRPr="00EF2F18" w14:paraId="102315F3" w14:textId="77777777" w:rsidTr="006B4DF8">
        <w:tc>
          <w:tcPr>
            <w:tcW w:w="3325" w:type="dxa"/>
            <w:vMerge/>
          </w:tcPr>
          <w:p w14:paraId="7095D6E0" w14:textId="77777777" w:rsidR="00DC59A1" w:rsidRPr="00EF2F18" w:rsidRDefault="00DC59A1" w:rsidP="00AA710F">
            <w:pPr>
              <w:spacing w:after="0"/>
              <w:rPr>
                <w:rFonts w:cs="Times New Roman"/>
                <w:sz w:val="22"/>
                <w:lang w:val="sr-Cyrl-RS"/>
              </w:rPr>
            </w:pPr>
          </w:p>
        </w:tc>
        <w:tc>
          <w:tcPr>
            <w:tcW w:w="5760" w:type="dxa"/>
          </w:tcPr>
          <w:p w14:paraId="3F613B0C" w14:textId="17165B5F" w:rsidR="00DC59A1" w:rsidRPr="00EF2F18" w:rsidRDefault="00DC59A1" w:rsidP="00AA710F">
            <w:pPr>
              <w:spacing w:after="0"/>
              <w:rPr>
                <w:rFonts w:cs="Times New Roman"/>
                <w:sz w:val="22"/>
                <w:lang w:val="sr-Cyrl-RS"/>
              </w:rPr>
            </w:pPr>
            <w:r w:rsidRPr="00EF2F18">
              <w:rPr>
                <w:rFonts w:cs="Times New Roman"/>
                <w:sz w:val="22"/>
                <w:lang w:val="sr-Cyrl-RS"/>
              </w:rPr>
              <w:t>Посебан циљ 6.2: Обезбеђивање заштите права на здраву и очувану животну средину, приступa информацијама, учешћа јавности у доношењу одлука и правнe заштитe у питањима у вези са животн</w:t>
            </w:r>
            <w:r w:rsidR="00C41462" w:rsidRPr="00EF2F18">
              <w:rPr>
                <w:rFonts w:cs="Times New Roman"/>
                <w:sz w:val="22"/>
                <w:lang w:val="sr-Cyrl-RS"/>
              </w:rPr>
              <w:t>ом</w:t>
            </w:r>
            <w:r w:rsidRPr="00EF2F18">
              <w:rPr>
                <w:rFonts w:cs="Times New Roman"/>
                <w:sz w:val="22"/>
                <w:lang w:val="sr-Cyrl-RS"/>
              </w:rPr>
              <w:t xml:space="preserve"> средин</w:t>
            </w:r>
            <w:r w:rsidR="00C41462" w:rsidRPr="00EF2F18">
              <w:rPr>
                <w:rFonts w:cs="Times New Roman"/>
                <w:sz w:val="22"/>
                <w:lang w:val="sr-Cyrl-RS"/>
              </w:rPr>
              <w:t>ом</w:t>
            </w:r>
          </w:p>
        </w:tc>
      </w:tr>
      <w:tr w:rsidR="00DC59A1" w:rsidRPr="00EF2F18" w14:paraId="34CC236F" w14:textId="77777777" w:rsidTr="006B4DF8">
        <w:tc>
          <w:tcPr>
            <w:tcW w:w="3325" w:type="dxa"/>
            <w:vMerge/>
          </w:tcPr>
          <w:p w14:paraId="005901A3" w14:textId="77777777" w:rsidR="00DC59A1" w:rsidRPr="00EF2F18" w:rsidRDefault="00DC59A1" w:rsidP="00AA710F">
            <w:pPr>
              <w:spacing w:after="0"/>
              <w:rPr>
                <w:rFonts w:cs="Times New Roman"/>
                <w:sz w:val="22"/>
                <w:lang w:val="sr-Cyrl-RS"/>
              </w:rPr>
            </w:pPr>
          </w:p>
        </w:tc>
        <w:tc>
          <w:tcPr>
            <w:tcW w:w="5760" w:type="dxa"/>
          </w:tcPr>
          <w:p w14:paraId="71A07C44" w14:textId="7A3D8110" w:rsidR="00DC59A1" w:rsidRPr="00EF2F18" w:rsidRDefault="00DC59A1" w:rsidP="00AA710F">
            <w:pPr>
              <w:spacing w:after="0"/>
              <w:rPr>
                <w:rFonts w:cs="Times New Roman"/>
                <w:sz w:val="22"/>
                <w:lang w:val="sr-Cyrl-RS"/>
              </w:rPr>
            </w:pPr>
            <w:r w:rsidRPr="00EF2F18">
              <w:rPr>
                <w:rFonts w:cs="Times New Roman"/>
                <w:sz w:val="22"/>
                <w:lang w:val="sr-Cyrl-RS"/>
              </w:rPr>
              <w:t xml:space="preserve">Посебан циљ 6.3: </w:t>
            </w:r>
            <w:r w:rsidR="00C41462" w:rsidRPr="00EF2F18">
              <w:rPr>
                <w:rFonts w:cs="Times New Roman"/>
                <w:sz w:val="22"/>
                <w:lang w:val="sr-Cyrl-RS"/>
              </w:rPr>
              <w:t>Даљи ра</w:t>
            </w:r>
            <w:r w:rsidRPr="00EF2F18">
              <w:rPr>
                <w:rFonts w:cs="Times New Roman"/>
                <w:sz w:val="22"/>
                <w:lang w:val="sr-Cyrl-RS"/>
              </w:rPr>
              <w:t>звој система за праћење квалитета чинилаца животне средине и утицаја климатских промена</w:t>
            </w:r>
          </w:p>
        </w:tc>
      </w:tr>
      <w:tr w:rsidR="00DC59A1" w:rsidRPr="00EF2F18" w14:paraId="25BDDBAF" w14:textId="77777777" w:rsidTr="006B4DF8">
        <w:tc>
          <w:tcPr>
            <w:tcW w:w="3325" w:type="dxa"/>
            <w:vMerge/>
          </w:tcPr>
          <w:p w14:paraId="2FF3B814" w14:textId="77777777" w:rsidR="00DC59A1" w:rsidRPr="00EF2F18" w:rsidRDefault="00DC59A1" w:rsidP="00AA710F">
            <w:pPr>
              <w:spacing w:after="0"/>
              <w:rPr>
                <w:rFonts w:cs="Times New Roman"/>
                <w:sz w:val="22"/>
                <w:lang w:val="sr-Cyrl-RS"/>
              </w:rPr>
            </w:pPr>
          </w:p>
        </w:tc>
        <w:tc>
          <w:tcPr>
            <w:tcW w:w="5760" w:type="dxa"/>
          </w:tcPr>
          <w:p w14:paraId="33E9A724" w14:textId="2FB3CAE7" w:rsidR="00DC59A1" w:rsidRPr="00EF2F18" w:rsidRDefault="00DC59A1" w:rsidP="00AA710F">
            <w:pPr>
              <w:spacing w:after="0"/>
              <w:rPr>
                <w:rFonts w:cs="Times New Roman"/>
                <w:sz w:val="22"/>
                <w:lang w:val="sr-Cyrl-RS"/>
              </w:rPr>
            </w:pPr>
            <w:r w:rsidRPr="00EF2F18">
              <w:rPr>
                <w:rFonts w:cs="Times New Roman"/>
                <w:sz w:val="22"/>
                <w:lang w:val="sr-Cyrl-RS"/>
              </w:rPr>
              <w:t>Посебан циљ 6.4: Унапређење система финансирања заштите животне средине</w:t>
            </w:r>
          </w:p>
        </w:tc>
      </w:tr>
    </w:tbl>
    <w:p w14:paraId="7F99AFFF" w14:textId="77777777" w:rsidR="003C62A6" w:rsidRPr="00EF2F18" w:rsidRDefault="003C62A6" w:rsidP="0076348C">
      <w:pPr>
        <w:spacing w:after="0"/>
        <w:ind w:firstLine="720"/>
        <w:jc w:val="both"/>
        <w:rPr>
          <w:rFonts w:cs="Times New Roman"/>
          <w:sz w:val="22"/>
          <w:lang w:val="sr-Cyrl-RS"/>
        </w:rPr>
      </w:pPr>
    </w:p>
    <w:p w14:paraId="26723661" w14:textId="77777777" w:rsidR="00E3725E" w:rsidRPr="00EF2F18" w:rsidRDefault="00E3725E" w:rsidP="0076348C">
      <w:pPr>
        <w:spacing w:after="0"/>
        <w:ind w:firstLine="720"/>
        <w:jc w:val="both"/>
        <w:rPr>
          <w:rFonts w:cs="Times New Roman"/>
          <w:sz w:val="22"/>
          <w:lang w:val="sr-Cyrl-RS"/>
        </w:rPr>
      </w:pPr>
    </w:p>
    <w:p w14:paraId="5DA482E8" w14:textId="77777777" w:rsidR="00E3725E" w:rsidRPr="00EF2F18" w:rsidRDefault="00E3725E" w:rsidP="0076348C">
      <w:pPr>
        <w:spacing w:after="0"/>
        <w:ind w:firstLine="720"/>
        <w:jc w:val="both"/>
        <w:rPr>
          <w:rFonts w:cs="Times New Roman"/>
          <w:sz w:val="22"/>
          <w:lang w:val="sr-Cyrl-RS"/>
        </w:rPr>
      </w:pPr>
    </w:p>
    <w:p w14:paraId="488B168A" w14:textId="77777777" w:rsidR="00E3725E" w:rsidRPr="00EF2F18" w:rsidRDefault="00E3725E" w:rsidP="0076348C">
      <w:pPr>
        <w:spacing w:after="0"/>
        <w:ind w:firstLine="720"/>
        <w:jc w:val="both"/>
        <w:rPr>
          <w:rFonts w:cs="Times New Roman"/>
          <w:sz w:val="22"/>
          <w:lang w:val="sr-Cyrl-RS"/>
        </w:rPr>
      </w:pPr>
    </w:p>
    <w:p w14:paraId="14C90EB8" w14:textId="77777777" w:rsidR="00E3725E" w:rsidRPr="00EF2F18" w:rsidRDefault="00E3725E" w:rsidP="0076348C">
      <w:pPr>
        <w:spacing w:after="0"/>
        <w:ind w:firstLine="720"/>
        <w:jc w:val="both"/>
        <w:rPr>
          <w:rFonts w:cs="Times New Roman"/>
          <w:sz w:val="22"/>
          <w:lang w:val="sr-Cyrl-RS"/>
        </w:rPr>
      </w:pPr>
    </w:p>
    <w:p w14:paraId="709160AE" w14:textId="77777777" w:rsidR="00E3725E" w:rsidRPr="00EF2F18" w:rsidRDefault="00E3725E" w:rsidP="0076348C">
      <w:pPr>
        <w:spacing w:after="0"/>
        <w:ind w:firstLine="720"/>
        <w:jc w:val="both"/>
        <w:rPr>
          <w:rFonts w:cs="Times New Roman"/>
          <w:sz w:val="22"/>
          <w:lang w:val="sr-Cyrl-RS"/>
        </w:rPr>
      </w:pPr>
    </w:p>
    <w:p w14:paraId="02CDA253" w14:textId="77777777" w:rsidR="00E3725E" w:rsidRPr="00EF2F18" w:rsidRDefault="00E3725E" w:rsidP="0076348C">
      <w:pPr>
        <w:spacing w:after="0"/>
        <w:ind w:firstLine="720"/>
        <w:jc w:val="both"/>
        <w:rPr>
          <w:rFonts w:cs="Times New Roman"/>
          <w:sz w:val="22"/>
          <w:lang w:val="sr-Cyrl-RS"/>
        </w:rPr>
      </w:pPr>
    </w:p>
    <w:p w14:paraId="5977AB33" w14:textId="77777777" w:rsidR="00E3725E" w:rsidRPr="00EF2F18" w:rsidRDefault="00E3725E" w:rsidP="0076348C">
      <w:pPr>
        <w:spacing w:after="0"/>
        <w:ind w:firstLine="720"/>
        <w:jc w:val="both"/>
        <w:rPr>
          <w:rFonts w:cs="Times New Roman"/>
          <w:sz w:val="22"/>
          <w:lang w:val="sr-Cyrl-RS"/>
        </w:rPr>
      </w:pPr>
    </w:p>
    <w:p w14:paraId="17A080BD" w14:textId="77777777" w:rsidR="00E3725E" w:rsidRPr="00EF2F18" w:rsidRDefault="00E3725E" w:rsidP="0076348C">
      <w:pPr>
        <w:spacing w:after="0"/>
        <w:ind w:firstLine="720"/>
        <w:jc w:val="both"/>
        <w:rPr>
          <w:rFonts w:cs="Times New Roman"/>
          <w:sz w:val="22"/>
          <w:lang w:val="sr-Cyrl-RS"/>
        </w:rPr>
      </w:pPr>
    </w:p>
    <w:p w14:paraId="65B82520" w14:textId="77777777" w:rsidR="00E3725E" w:rsidRPr="00EF2F18" w:rsidRDefault="00E3725E" w:rsidP="0076348C">
      <w:pPr>
        <w:spacing w:after="0"/>
        <w:ind w:firstLine="720"/>
        <w:jc w:val="both"/>
        <w:rPr>
          <w:rFonts w:cs="Times New Roman"/>
          <w:sz w:val="22"/>
          <w:lang w:val="sr-Cyrl-RS"/>
        </w:rPr>
      </w:pPr>
    </w:p>
    <w:p w14:paraId="5B186200" w14:textId="77777777" w:rsidR="00E3725E" w:rsidRPr="00EF2F18" w:rsidRDefault="00E3725E" w:rsidP="0076348C">
      <w:pPr>
        <w:spacing w:after="0"/>
        <w:ind w:firstLine="720"/>
        <w:jc w:val="both"/>
        <w:rPr>
          <w:rFonts w:cs="Times New Roman"/>
          <w:sz w:val="22"/>
          <w:lang w:val="sr-Cyrl-RS"/>
        </w:rPr>
      </w:pPr>
    </w:p>
    <w:p w14:paraId="17836B5A" w14:textId="77777777" w:rsidR="00E3725E" w:rsidRPr="00EF2F18" w:rsidRDefault="00E3725E" w:rsidP="0076348C">
      <w:pPr>
        <w:spacing w:after="0"/>
        <w:ind w:firstLine="720"/>
        <w:jc w:val="both"/>
        <w:rPr>
          <w:rFonts w:cs="Times New Roman"/>
          <w:sz w:val="22"/>
          <w:lang w:val="sr-Cyrl-RS"/>
        </w:rPr>
      </w:pPr>
    </w:p>
    <w:p w14:paraId="2FF1DF67" w14:textId="77777777" w:rsidR="00E3725E" w:rsidRPr="00EF2F18" w:rsidRDefault="00E3725E" w:rsidP="0076348C">
      <w:pPr>
        <w:spacing w:after="0"/>
        <w:ind w:firstLine="720"/>
        <w:jc w:val="both"/>
        <w:rPr>
          <w:rFonts w:cs="Times New Roman"/>
          <w:sz w:val="22"/>
          <w:lang w:val="sr-Cyrl-RS"/>
        </w:rPr>
      </w:pPr>
    </w:p>
    <w:p w14:paraId="45357DF5" w14:textId="77777777" w:rsidR="00E3725E" w:rsidRPr="00EF2F18" w:rsidRDefault="00E3725E" w:rsidP="0076348C">
      <w:pPr>
        <w:spacing w:after="0"/>
        <w:ind w:firstLine="720"/>
        <w:jc w:val="both"/>
        <w:rPr>
          <w:rFonts w:cs="Times New Roman"/>
          <w:sz w:val="22"/>
          <w:lang w:val="sr-Cyrl-RS"/>
        </w:rPr>
      </w:pPr>
    </w:p>
    <w:p w14:paraId="61739C53" w14:textId="3483C66C" w:rsidR="00E3725E" w:rsidRPr="00EF2F18" w:rsidRDefault="00E3725E">
      <w:pPr>
        <w:spacing w:after="160" w:line="259" w:lineRule="auto"/>
        <w:rPr>
          <w:rFonts w:cs="Times New Roman"/>
          <w:sz w:val="22"/>
          <w:lang w:val="sr-Cyrl-RS"/>
        </w:rPr>
      </w:pPr>
      <w:r w:rsidRPr="00EF2F18">
        <w:rPr>
          <w:rFonts w:cs="Times New Roman"/>
          <w:sz w:val="22"/>
          <w:lang w:val="sr-Cyrl-RS"/>
        </w:rPr>
        <w:br w:type="page"/>
      </w:r>
    </w:p>
    <w:p w14:paraId="3C99357B" w14:textId="77777777" w:rsidR="00D83673" w:rsidRPr="00EF2F18" w:rsidRDefault="00D83673" w:rsidP="00E3725E">
      <w:pPr>
        <w:spacing w:after="0"/>
        <w:ind w:firstLine="720"/>
        <w:jc w:val="center"/>
        <w:rPr>
          <w:rFonts w:cs="Times New Roman"/>
          <w:sz w:val="22"/>
          <w:lang w:val="sr-Cyrl-RS"/>
        </w:rPr>
      </w:pPr>
    </w:p>
    <w:p w14:paraId="550881EB" w14:textId="77777777" w:rsidR="00D83673" w:rsidRPr="00EF2F18" w:rsidRDefault="00D83673" w:rsidP="00E3725E">
      <w:pPr>
        <w:spacing w:after="0"/>
        <w:ind w:firstLine="720"/>
        <w:jc w:val="center"/>
        <w:rPr>
          <w:rFonts w:cs="Times New Roman"/>
          <w:sz w:val="22"/>
          <w:lang w:val="sr-Cyrl-RS"/>
        </w:rPr>
      </w:pPr>
    </w:p>
    <w:p w14:paraId="6AE0FDEC" w14:textId="77777777" w:rsidR="00D83673" w:rsidRPr="00EF2F18" w:rsidRDefault="00D83673" w:rsidP="00E3725E">
      <w:pPr>
        <w:spacing w:after="0"/>
        <w:ind w:firstLine="720"/>
        <w:jc w:val="center"/>
        <w:rPr>
          <w:rFonts w:cs="Times New Roman"/>
          <w:sz w:val="22"/>
          <w:lang w:val="sr-Cyrl-RS"/>
        </w:rPr>
      </w:pPr>
    </w:p>
    <w:p w14:paraId="6DD2E70B" w14:textId="77777777" w:rsidR="00D83673" w:rsidRPr="00EF2F18" w:rsidRDefault="00D83673" w:rsidP="00E3725E">
      <w:pPr>
        <w:spacing w:after="0"/>
        <w:ind w:firstLine="720"/>
        <w:jc w:val="center"/>
        <w:rPr>
          <w:rFonts w:cs="Times New Roman"/>
          <w:sz w:val="22"/>
          <w:lang w:val="sr-Cyrl-RS"/>
        </w:rPr>
      </w:pPr>
    </w:p>
    <w:p w14:paraId="5F2DFCE6" w14:textId="77777777" w:rsidR="00D83673" w:rsidRPr="00EF2F18" w:rsidRDefault="00D83673" w:rsidP="00E3725E">
      <w:pPr>
        <w:spacing w:after="0"/>
        <w:ind w:firstLine="720"/>
        <w:jc w:val="center"/>
        <w:rPr>
          <w:rFonts w:cs="Times New Roman"/>
          <w:sz w:val="22"/>
          <w:lang w:val="sr-Cyrl-RS"/>
        </w:rPr>
      </w:pPr>
    </w:p>
    <w:p w14:paraId="345C5326" w14:textId="77777777" w:rsidR="00D83673" w:rsidRPr="00EF2F18" w:rsidRDefault="00D83673" w:rsidP="00E3725E">
      <w:pPr>
        <w:spacing w:after="0"/>
        <w:ind w:firstLine="720"/>
        <w:jc w:val="center"/>
        <w:rPr>
          <w:rFonts w:cs="Times New Roman"/>
          <w:sz w:val="22"/>
          <w:lang w:val="sr-Cyrl-RS"/>
        </w:rPr>
      </w:pPr>
    </w:p>
    <w:p w14:paraId="5D618F9B" w14:textId="024BE351" w:rsidR="00E3725E" w:rsidRPr="00EF2F18" w:rsidRDefault="00E3725E" w:rsidP="00E3725E">
      <w:pPr>
        <w:spacing w:after="0"/>
        <w:ind w:firstLine="720"/>
        <w:jc w:val="center"/>
        <w:rPr>
          <w:rFonts w:cs="Times New Roman"/>
          <w:sz w:val="22"/>
          <w:lang w:val="sr-Cyrl-RS"/>
        </w:rPr>
      </w:pPr>
      <w:r w:rsidRPr="00EF2F18">
        <w:rPr>
          <w:rFonts w:cs="Times New Roman"/>
          <w:sz w:val="22"/>
          <w:lang w:val="sr-Cyrl-RS"/>
        </w:rPr>
        <w:t>Приказ односа Стратегије и других докумената јавне политике дат је на слици 5.1.</w:t>
      </w:r>
    </w:p>
    <w:bookmarkEnd w:id="100"/>
    <w:p w14:paraId="792707FB" w14:textId="636297D2" w:rsidR="00E3725E" w:rsidRPr="00EF2F18" w:rsidRDefault="00D83673" w:rsidP="002E435E">
      <w:pPr>
        <w:rPr>
          <w:rFonts w:cs="Times New Roman"/>
          <w:b/>
          <w:bCs/>
          <w:sz w:val="22"/>
          <w:lang w:val="sr-Cyrl-RS"/>
        </w:rPr>
      </w:pPr>
      <w:r w:rsidRPr="00EF2F18">
        <w:rPr>
          <w:noProof/>
          <w:lang w:val="sr-Cyrl-RS" w:eastAsia="sr-Cyrl-RS"/>
        </w:rPr>
        <w:drawing>
          <wp:anchor distT="0" distB="0" distL="114300" distR="114300" simplePos="0" relativeHeight="251722752" behindDoc="0" locked="0" layoutInCell="1" allowOverlap="1" wp14:anchorId="023A11ED" wp14:editId="1A1DDCBC">
            <wp:simplePos x="0" y="0"/>
            <wp:positionH relativeFrom="column">
              <wp:posOffset>-762000</wp:posOffset>
            </wp:positionH>
            <wp:positionV relativeFrom="paragraph">
              <wp:posOffset>266065</wp:posOffset>
            </wp:positionV>
            <wp:extent cx="7183120" cy="3743960"/>
            <wp:effectExtent l="0" t="0" r="0" b="8890"/>
            <wp:wrapTopAndBottom/>
            <wp:docPr id="334252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520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83120" cy="3743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FE02E" w14:textId="5A35F771" w:rsidR="007234A9" w:rsidRPr="00EF2F18" w:rsidRDefault="007234A9" w:rsidP="002E435E">
      <w:pPr>
        <w:rPr>
          <w:rFonts w:cs="Times New Roman"/>
          <w:b/>
          <w:bCs/>
          <w:sz w:val="22"/>
          <w:lang w:val="sr-Cyrl-RS"/>
        </w:rPr>
      </w:pPr>
    </w:p>
    <w:p w14:paraId="00F5BCC5" w14:textId="76E8FE47" w:rsidR="00EF1686" w:rsidRPr="00EF2F18" w:rsidRDefault="00EF1686" w:rsidP="0076348C">
      <w:pPr>
        <w:ind w:firstLine="720"/>
        <w:rPr>
          <w:rFonts w:cs="Times New Roman"/>
          <w:sz w:val="22"/>
          <w:lang w:val="sr-Cyrl-RS"/>
        </w:rPr>
        <w:sectPr w:rsidR="00EF1686" w:rsidRPr="00EF2F18" w:rsidSect="001F4FCB">
          <w:headerReference w:type="default" r:id="rId68"/>
          <w:footerReference w:type="default" r:id="rId69"/>
          <w:pgSz w:w="11907" w:h="16840" w:code="9"/>
          <w:pgMar w:top="1440" w:right="1440" w:bottom="1440" w:left="1440" w:header="720" w:footer="720" w:gutter="0"/>
          <w:cols w:space="720"/>
          <w:titlePg/>
          <w:docGrid w:linePitch="360"/>
        </w:sectPr>
      </w:pPr>
      <w:r w:rsidRPr="00EF2F18">
        <w:rPr>
          <w:rFonts w:cs="Times New Roman"/>
          <w:b/>
          <w:bCs/>
          <w:sz w:val="22"/>
          <w:lang w:val="sr-Cyrl-RS"/>
        </w:rPr>
        <w:t>Слика 5.1.</w:t>
      </w:r>
      <w:r w:rsidRPr="00EF2F18">
        <w:rPr>
          <w:rFonts w:cs="Times New Roman"/>
          <w:sz w:val="22"/>
          <w:lang w:val="sr-Cyrl-RS"/>
        </w:rPr>
        <w:t xml:space="preserve"> Стратегија заштите животне средине – Зелена агенда за Србију и релације са </w:t>
      </w:r>
      <w:r w:rsidR="00B26F3E" w:rsidRPr="00EF2F18">
        <w:rPr>
          <w:rFonts w:cs="Times New Roman"/>
          <w:sz w:val="22"/>
          <w:lang w:val="sr-Cyrl-RS"/>
        </w:rPr>
        <w:t xml:space="preserve">другим </w:t>
      </w:r>
      <w:r w:rsidRPr="00EF2F18">
        <w:rPr>
          <w:rFonts w:cs="Times New Roman"/>
          <w:sz w:val="22"/>
          <w:lang w:val="sr-Cyrl-RS"/>
        </w:rPr>
        <w:t>планским документима</w:t>
      </w:r>
    </w:p>
    <w:p w14:paraId="455E251E" w14:textId="2F9EB3A1" w:rsidR="00565B37" w:rsidRPr="00EF2F18" w:rsidRDefault="00772919" w:rsidP="00F34D8C">
      <w:pPr>
        <w:pStyle w:val="Heading1"/>
        <w:numPr>
          <w:ilvl w:val="0"/>
          <w:numId w:val="2"/>
        </w:numPr>
        <w:ind w:left="1170" w:hanging="450"/>
        <w:jc w:val="center"/>
        <w:rPr>
          <w:rFonts w:cs="Times New Roman"/>
          <w:sz w:val="22"/>
          <w:szCs w:val="22"/>
          <w:lang w:val="sr-Cyrl-RS"/>
        </w:rPr>
      </w:pPr>
      <w:bookmarkStart w:id="102" w:name="_Toc158307728"/>
      <w:r w:rsidRPr="00EF2F18">
        <w:rPr>
          <w:rFonts w:cs="Times New Roman"/>
          <w:sz w:val="22"/>
          <w:szCs w:val="22"/>
          <w:lang w:val="sr-Cyrl-RS"/>
        </w:rPr>
        <w:lastRenderedPageBreak/>
        <w:t>КОНЦЕПЦИЈА СПРОВОЂЕЊА</w:t>
      </w:r>
      <w:r w:rsidR="00281C40" w:rsidRPr="00EF2F18">
        <w:rPr>
          <w:rFonts w:cs="Times New Roman"/>
          <w:sz w:val="22"/>
          <w:szCs w:val="22"/>
          <w:lang w:val="sr-Cyrl-RS"/>
        </w:rPr>
        <w:t xml:space="preserve"> ЗЕЛЕНЕ АГЕНДЕ </w:t>
      </w:r>
      <w:r w:rsidR="003C154D" w:rsidRPr="00EF2F18">
        <w:rPr>
          <w:rFonts w:cs="Times New Roman"/>
          <w:sz w:val="22"/>
          <w:szCs w:val="22"/>
          <w:lang w:val="sr-Cyrl-RS"/>
        </w:rPr>
        <w:t>ЗА</w:t>
      </w:r>
      <w:r w:rsidR="00281C40" w:rsidRPr="00EF2F18">
        <w:rPr>
          <w:rFonts w:cs="Times New Roman"/>
          <w:sz w:val="22"/>
          <w:szCs w:val="22"/>
          <w:lang w:val="sr-Cyrl-RS"/>
        </w:rPr>
        <w:t xml:space="preserve"> </w:t>
      </w:r>
      <w:r w:rsidR="00035948" w:rsidRPr="00EF2F18">
        <w:rPr>
          <w:rFonts w:cs="Times New Roman"/>
          <w:sz w:val="22"/>
          <w:szCs w:val="22"/>
          <w:lang w:val="sr-Cyrl-RS"/>
        </w:rPr>
        <w:t xml:space="preserve">РЕПУБЛИКУ </w:t>
      </w:r>
      <w:r w:rsidR="00281C40" w:rsidRPr="00EF2F18">
        <w:rPr>
          <w:rFonts w:cs="Times New Roman"/>
          <w:sz w:val="22"/>
          <w:szCs w:val="22"/>
          <w:lang w:val="sr-Cyrl-RS"/>
        </w:rPr>
        <w:t>СРБИЈ</w:t>
      </w:r>
      <w:r w:rsidR="003C154D" w:rsidRPr="00EF2F18">
        <w:rPr>
          <w:rFonts w:cs="Times New Roman"/>
          <w:sz w:val="22"/>
          <w:szCs w:val="22"/>
          <w:lang w:val="sr-Cyrl-RS"/>
        </w:rPr>
        <w:t>У</w:t>
      </w:r>
      <w:bookmarkEnd w:id="102"/>
    </w:p>
    <w:p w14:paraId="16D46443" w14:textId="305ACF24" w:rsidR="002606B0" w:rsidRPr="00EF2F18" w:rsidRDefault="002606B0" w:rsidP="00565B37">
      <w:pPr>
        <w:rPr>
          <w:rFonts w:cs="Times New Roman"/>
          <w:sz w:val="22"/>
          <w:lang w:val="sr-Cyrl-RS"/>
        </w:rPr>
      </w:pPr>
    </w:p>
    <w:p w14:paraId="6398C6D7" w14:textId="7518AD4B" w:rsidR="00035948" w:rsidRPr="00EF2F18" w:rsidRDefault="00035948" w:rsidP="00035948">
      <w:pPr>
        <w:spacing w:after="0"/>
        <w:ind w:firstLine="720"/>
        <w:jc w:val="both"/>
        <w:rPr>
          <w:rFonts w:cs="Times New Roman"/>
          <w:sz w:val="22"/>
          <w:lang w:val="sr-Cyrl-RS"/>
        </w:rPr>
      </w:pPr>
      <w:bookmarkStart w:id="103" w:name="_Toc40985914"/>
      <w:r w:rsidRPr="00EF2F18">
        <w:rPr>
          <w:rFonts w:cs="Times New Roman"/>
          <w:sz w:val="22"/>
          <w:lang w:val="sr-Cyrl-RS"/>
        </w:rPr>
        <w:t xml:space="preserve">Потписивањем Софијске декларације о Зеленој агенди за </w:t>
      </w:r>
      <w:r w:rsidR="00051065" w:rsidRPr="00EF2F18">
        <w:rPr>
          <w:rFonts w:cs="Times New Roman"/>
          <w:sz w:val="22"/>
          <w:lang w:val="sr-Cyrl-RS"/>
        </w:rPr>
        <w:t xml:space="preserve">економије </w:t>
      </w:r>
      <w:r w:rsidRPr="00EF2F18">
        <w:rPr>
          <w:rFonts w:cs="Times New Roman"/>
          <w:sz w:val="22"/>
          <w:lang w:val="sr-Cyrl-RS"/>
        </w:rPr>
        <w:t xml:space="preserve">Западног Балкана, на Самиту у оквиру иницијативе Берлинског процеса, 10. новембра 2020. године, </w:t>
      </w:r>
      <w:r w:rsidR="00051065" w:rsidRPr="00EF2F18">
        <w:rPr>
          <w:rFonts w:cs="Times New Roman"/>
          <w:sz w:val="22"/>
          <w:lang w:val="sr-Cyrl-RS"/>
        </w:rPr>
        <w:t xml:space="preserve">економије </w:t>
      </w:r>
      <w:r w:rsidRPr="00EF2F18">
        <w:rPr>
          <w:rFonts w:cs="Times New Roman"/>
          <w:sz w:val="22"/>
          <w:lang w:val="sr-Cyrl-RS"/>
        </w:rPr>
        <w:t xml:space="preserve">региона су прихватиле Европски зелени договор као нову стратегију раста Европске уније у циљу модерне, климатски неутралне и конкурентне економије </w:t>
      </w:r>
      <w:r w:rsidR="00EF47CA" w:rsidRPr="00EF2F18">
        <w:rPr>
          <w:rFonts w:cs="Times New Roman"/>
          <w:sz w:val="22"/>
          <w:lang w:val="sr-Cyrl-RS"/>
        </w:rPr>
        <w:t>која ефикасно користи ресурсе</w:t>
      </w:r>
      <w:r w:rsidRPr="00EF2F18">
        <w:rPr>
          <w:rFonts w:cs="Times New Roman"/>
          <w:sz w:val="22"/>
          <w:lang w:val="sr-Cyrl-RS"/>
        </w:rPr>
        <w:t xml:space="preserve">. Тиме се Република Србија као једна од потписница Декларације сагласила да елементи Европског зеленог договора буду пренети у све међусобно повезане приоритетне секторе. </w:t>
      </w:r>
    </w:p>
    <w:p w14:paraId="77110C28" w14:textId="10A761E5" w:rsidR="00035948" w:rsidRPr="00EF2F18" w:rsidRDefault="00035948" w:rsidP="00035948">
      <w:pPr>
        <w:spacing w:after="0"/>
        <w:ind w:firstLine="720"/>
        <w:jc w:val="both"/>
        <w:rPr>
          <w:rFonts w:cs="Times New Roman"/>
          <w:sz w:val="22"/>
          <w:lang w:val="sr-Cyrl-RS"/>
        </w:rPr>
      </w:pPr>
      <w:r w:rsidRPr="00EF2F18">
        <w:rPr>
          <w:rFonts w:cs="Times New Roman"/>
          <w:sz w:val="22"/>
          <w:lang w:val="sr-Cyrl-RS"/>
        </w:rPr>
        <w:t>Зеленом агендом се планирају и усклађују мере и активности са стандардима ЕУ у вези</w:t>
      </w:r>
      <w:r w:rsidR="00CA584D" w:rsidRPr="00EF2F18">
        <w:rPr>
          <w:rFonts w:cs="Times New Roman"/>
          <w:sz w:val="22"/>
          <w:lang w:val="sr-Cyrl-RS"/>
        </w:rPr>
        <w:t xml:space="preserve"> са</w:t>
      </w:r>
      <w:r w:rsidRPr="00EF2F18">
        <w:rPr>
          <w:rFonts w:cs="Times New Roman"/>
          <w:sz w:val="22"/>
          <w:lang w:val="sr-Cyrl-RS"/>
        </w:rPr>
        <w:t xml:space="preserve"> заштит</w:t>
      </w:r>
      <w:r w:rsidR="00CA584D" w:rsidRPr="00EF2F18">
        <w:rPr>
          <w:rFonts w:cs="Times New Roman"/>
          <w:sz w:val="22"/>
          <w:lang w:val="sr-Cyrl-RS"/>
        </w:rPr>
        <w:t>ом</w:t>
      </w:r>
      <w:r w:rsidRPr="00EF2F18">
        <w:rPr>
          <w:rFonts w:cs="Times New Roman"/>
          <w:sz w:val="22"/>
          <w:lang w:val="sr-Cyrl-RS"/>
        </w:rPr>
        <w:t xml:space="preserve"> животне средине и приоритетима предвиђеним у З</w:t>
      </w:r>
      <w:r w:rsidR="004016D5">
        <w:rPr>
          <w:rFonts w:cs="Times New Roman"/>
          <w:sz w:val="22"/>
          <w:lang w:val="sr-Cyrl-RS"/>
        </w:rPr>
        <w:t>еленом договору ЕУ. Такође, обав</w:t>
      </w:r>
      <w:r w:rsidRPr="00EF2F18">
        <w:rPr>
          <w:rFonts w:cs="Times New Roman"/>
          <w:sz w:val="22"/>
          <w:lang w:val="sr-Cyrl-RS"/>
        </w:rPr>
        <w:t xml:space="preserve">езе које </w:t>
      </w:r>
      <w:r w:rsidR="00D6219E" w:rsidRPr="00EF2F18">
        <w:rPr>
          <w:rFonts w:cs="Times New Roman"/>
          <w:sz w:val="22"/>
          <w:lang w:val="sr-Cyrl-RS"/>
        </w:rPr>
        <w:t xml:space="preserve">проистичу </w:t>
      </w:r>
      <w:r w:rsidRPr="00EF2F18">
        <w:rPr>
          <w:rFonts w:cs="Times New Roman"/>
          <w:sz w:val="22"/>
          <w:lang w:val="sr-Cyrl-RS"/>
        </w:rPr>
        <w:t>из Зелене агенде, представљају и обавезе које треба да буду испуњене и према постојећ</w:t>
      </w:r>
      <w:r w:rsidR="00D6219E" w:rsidRPr="00EF2F18">
        <w:rPr>
          <w:rFonts w:cs="Times New Roman"/>
          <w:sz w:val="22"/>
          <w:lang w:val="sr-Cyrl-RS"/>
        </w:rPr>
        <w:t>е</w:t>
      </w:r>
      <w:r w:rsidRPr="00EF2F18">
        <w:rPr>
          <w:rFonts w:cs="Times New Roman"/>
          <w:sz w:val="22"/>
          <w:lang w:val="sr-Cyrl-RS"/>
        </w:rPr>
        <w:t xml:space="preserve">м </w:t>
      </w:r>
      <w:r w:rsidR="00D6219E" w:rsidRPr="00EF2F18">
        <w:rPr>
          <w:rFonts w:cs="Times New Roman"/>
          <w:sz w:val="22"/>
          <w:lang w:val="sr-Cyrl-RS"/>
        </w:rPr>
        <w:t>С</w:t>
      </w:r>
      <w:r w:rsidRPr="00EF2F18">
        <w:rPr>
          <w:rFonts w:cs="Times New Roman"/>
          <w:sz w:val="22"/>
          <w:lang w:val="sr-Cyrl-RS"/>
        </w:rPr>
        <w:t>поразум</w:t>
      </w:r>
      <w:r w:rsidR="00D6219E" w:rsidRPr="00EF2F18">
        <w:rPr>
          <w:rFonts w:cs="Times New Roman"/>
          <w:sz w:val="22"/>
          <w:lang w:val="sr-Cyrl-RS"/>
        </w:rPr>
        <w:t>у</w:t>
      </w:r>
      <w:r w:rsidRPr="00EF2F18">
        <w:rPr>
          <w:rFonts w:cs="Times New Roman"/>
          <w:sz w:val="22"/>
          <w:lang w:val="sr-Cyrl-RS"/>
        </w:rPr>
        <w:t xml:space="preserve"> о стабилизацији и придруживању, у оквиру преговарачких поглавља за приступање ЕУ и програмима економске сарадње у следећим стубовима: (1) декарбонизације унутар климе, енергетике и мобилности и повећања отпорности на измењене климатске услове, (2) циркуларне економије са посебним акцентом на отпад, рециклирање, одрживу производњу и ефикасно коришћење ресурса, (3) борбе против загађења ваздуха, воде и земљишта</w:t>
      </w:r>
      <w:r w:rsidR="00CA584D" w:rsidRPr="00EF2F18">
        <w:rPr>
          <w:rFonts w:cs="Times New Roman"/>
          <w:sz w:val="22"/>
          <w:lang w:val="sr-Cyrl-RS"/>
        </w:rPr>
        <w:t>,</w:t>
      </w:r>
      <w:r w:rsidRPr="00EF2F18">
        <w:rPr>
          <w:rFonts w:cs="Times New Roman"/>
          <w:sz w:val="22"/>
          <w:lang w:val="sr-Cyrl-RS"/>
        </w:rPr>
        <w:t xml:space="preserve"> (4) заштите и обнове биодиверзитета</w:t>
      </w:r>
      <w:r w:rsidR="00CA584D" w:rsidRPr="00EF2F18">
        <w:rPr>
          <w:rFonts w:cs="Times New Roman"/>
          <w:sz w:val="22"/>
          <w:lang w:val="sr-Cyrl-RS"/>
        </w:rPr>
        <w:t>,</w:t>
      </w:r>
      <w:r w:rsidRPr="00EF2F18">
        <w:rPr>
          <w:rFonts w:cs="Times New Roman"/>
          <w:sz w:val="22"/>
          <w:lang w:val="sr-Cyrl-RS"/>
        </w:rPr>
        <w:t xml:space="preserve"> и (5) одрживе пољопривреде, прехрамбене производње и руралних области.</w:t>
      </w:r>
    </w:p>
    <w:p w14:paraId="640C4381" w14:textId="4455AB14" w:rsidR="00035948" w:rsidRPr="00EF2F18" w:rsidRDefault="00035948" w:rsidP="00035948">
      <w:pPr>
        <w:autoSpaceDE w:val="0"/>
        <w:autoSpaceDN w:val="0"/>
        <w:adjustRightInd w:val="0"/>
        <w:spacing w:after="0"/>
        <w:ind w:firstLine="720"/>
        <w:jc w:val="both"/>
        <w:rPr>
          <w:rFonts w:cs="Times New Roman"/>
          <w:sz w:val="22"/>
          <w:lang w:val="sr-Cyrl-RS"/>
        </w:rPr>
      </w:pPr>
      <w:r w:rsidRPr="00EF2F18">
        <w:rPr>
          <w:rFonts w:cs="Times New Roman"/>
          <w:sz w:val="22"/>
          <w:lang w:val="sr-Cyrl-RS"/>
        </w:rPr>
        <w:t>Поред ових пет стубова,</w:t>
      </w:r>
      <w:r w:rsidR="005E42D2" w:rsidRPr="00EF2F18">
        <w:rPr>
          <w:rFonts w:cs="Times New Roman"/>
          <w:sz w:val="22"/>
          <w:lang w:val="sr-Cyrl-RS"/>
        </w:rPr>
        <w:t xml:space="preserve"> </w:t>
      </w:r>
      <w:r w:rsidRPr="00EF2F18">
        <w:rPr>
          <w:rFonts w:cs="Times New Roman"/>
          <w:sz w:val="22"/>
          <w:lang w:val="sr-Cyrl-RS"/>
        </w:rPr>
        <w:t xml:space="preserve">Република Србија треба да јача своје институционалне капацитете </w:t>
      </w:r>
      <w:r w:rsidR="00D6219E" w:rsidRPr="00EF2F18">
        <w:rPr>
          <w:rFonts w:cs="Times New Roman"/>
          <w:sz w:val="22"/>
          <w:lang w:val="sr-Cyrl-RS"/>
        </w:rPr>
        <w:t xml:space="preserve">на централном и локалном нивоу </w:t>
      </w:r>
      <w:r w:rsidRPr="00EF2F18">
        <w:rPr>
          <w:rFonts w:cs="Times New Roman"/>
          <w:sz w:val="22"/>
          <w:lang w:val="sr-Cyrl-RS"/>
        </w:rPr>
        <w:t xml:space="preserve">у области животне средине како би могла ефикасно да спроводи и прати реализацију Зелене агенде. У свим областима неопходно је повећати свест и едукацију грађана, привреде и друштва о значају заштите животне средине, ефикасне употребе ресурса и одговорног </w:t>
      </w:r>
      <w:r w:rsidR="00D6219E" w:rsidRPr="00EF2F18">
        <w:rPr>
          <w:rFonts w:cs="Times New Roman"/>
          <w:sz w:val="22"/>
          <w:lang w:val="sr-Cyrl-RS"/>
        </w:rPr>
        <w:t xml:space="preserve">поступања </w:t>
      </w:r>
      <w:r w:rsidRPr="00EF2F18">
        <w:rPr>
          <w:rFonts w:cs="Times New Roman"/>
          <w:sz w:val="22"/>
          <w:lang w:val="sr-Cyrl-RS"/>
        </w:rPr>
        <w:t>према природи. Спровођење Зелене агенде захтева и активну улогу у међународној сарадњи и партнерству, ради спр</w:t>
      </w:r>
      <w:r w:rsidR="009F1B47" w:rsidRPr="00EF2F18">
        <w:rPr>
          <w:rFonts w:cs="Times New Roman"/>
          <w:sz w:val="22"/>
          <w:lang w:val="sr-Cyrl-RS"/>
        </w:rPr>
        <w:t>о</w:t>
      </w:r>
      <w:r w:rsidRPr="00EF2F18">
        <w:rPr>
          <w:rFonts w:cs="Times New Roman"/>
          <w:sz w:val="22"/>
          <w:lang w:val="sr-Cyrl-RS"/>
        </w:rPr>
        <w:t>в</w:t>
      </w:r>
      <w:r w:rsidR="009F1B47" w:rsidRPr="00EF2F18">
        <w:rPr>
          <w:rFonts w:cs="Times New Roman"/>
          <w:sz w:val="22"/>
          <w:lang w:val="sr-Cyrl-RS"/>
        </w:rPr>
        <w:t>о</w:t>
      </w:r>
      <w:r w:rsidRPr="00EF2F18">
        <w:rPr>
          <w:rFonts w:cs="Times New Roman"/>
          <w:sz w:val="22"/>
          <w:lang w:val="sr-Cyrl-RS"/>
        </w:rPr>
        <w:t>ђења об</w:t>
      </w:r>
      <w:r w:rsidR="00D6219E" w:rsidRPr="00EF2F18">
        <w:rPr>
          <w:rFonts w:cs="Times New Roman"/>
          <w:sz w:val="22"/>
          <w:lang w:val="sr-Cyrl-RS"/>
        </w:rPr>
        <w:t>а</w:t>
      </w:r>
      <w:r w:rsidRPr="00EF2F18">
        <w:rPr>
          <w:rFonts w:cs="Times New Roman"/>
          <w:sz w:val="22"/>
          <w:lang w:val="sr-Cyrl-RS"/>
        </w:rPr>
        <w:t>веза које проистичу и из мултилатералних уговора у свим областима Зелене агенде</w:t>
      </w:r>
      <w:r w:rsidR="00D6219E" w:rsidRPr="00EF2F18">
        <w:rPr>
          <w:rFonts w:cs="Times New Roman"/>
          <w:sz w:val="22"/>
          <w:lang w:val="sr-Cyrl-RS"/>
        </w:rPr>
        <w:t>.</w:t>
      </w:r>
      <w:r w:rsidRPr="00EF2F18">
        <w:rPr>
          <w:rFonts w:cs="Times New Roman"/>
          <w:sz w:val="22"/>
          <w:lang w:val="sr-Cyrl-RS"/>
        </w:rPr>
        <w:t xml:space="preserve"> Република Србија треба даље да развија и јача партнерства са другим земљама, међународним организацијама и невладиним организацијама које имају исте циљеве у области заштите животне средине. Заједничко деловање, размена знања и искуства, као и заједнички пројекти и иницијативе, могу значајно унапредити спровођење Зелене агенде у Србији. </w:t>
      </w:r>
    </w:p>
    <w:p w14:paraId="45869822" w14:textId="52F9C240" w:rsidR="00035948" w:rsidRPr="00EF2F18" w:rsidRDefault="004016D5" w:rsidP="00035948">
      <w:pPr>
        <w:spacing w:after="0"/>
        <w:ind w:firstLine="720"/>
        <w:jc w:val="both"/>
        <w:rPr>
          <w:rFonts w:cs="Times New Roman"/>
          <w:sz w:val="22"/>
          <w:lang w:val="sr-Cyrl-RS"/>
        </w:rPr>
      </w:pPr>
      <w:r>
        <w:rPr>
          <w:rFonts w:cs="Times New Roman"/>
          <w:sz w:val="22"/>
          <w:lang w:val="sr-Cyrl-RS"/>
        </w:rPr>
        <w:t>К</w:t>
      </w:r>
      <w:r w:rsidR="00035948" w:rsidRPr="00EF2F18">
        <w:rPr>
          <w:rFonts w:cs="Times New Roman"/>
          <w:sz w:val="22"/>
          <w:lang w:val="sr-Cyrl-RS"/>
        </w:rPr>
        <w:t>онцепција је развијена у складу са спроведеним анализама стања у наведеним областима и идентификованој потреби да се настави са спровођењем већ започетих мера утврђених у важећим релевантним документима јавних политика, а које су утврђене на основу разматраних различитих сценарија, док је ј</w:t>
      </w:r>
      <w:r w:rsidR="00CD2F41" w:rsidRPr="00EF2F18">
        <w:rPr>
          <w:rFonts w:cs="Times New Roman"/>
          <w:sz w:val="22"/>
          <w:lang w:val="sr-Cyrl-RS"/>
        </w:rPr>
        <w:t>е</w:t>
      </w:r>
      <w:r w:rsidR="00035948" w:rsidRPr="00EF2F18">
        <w:rPr>
          <w:rFonts w:cs="Times New Roman"/>
          <w:sz w:val="22"/>
          <w:lang w:val="sr-Cyrl-RS"/>
        </w:rPr>
        <w:t>дан број мера идентификован на основу обавеза које пр</w:t>
      </w:r>
      <w:r>
        <w:rPr>
          <w:rFonts w:cs="Times New Roman"/>
          <w:sz w:val="22"/>
          <w:lang w:val="sr-Cyrl-RS"/>
        </w:rPr>
        <w:t>о</w:t>
      </w:r>
      <w:r w:rsidR="00035948" w:rsidRPr="00EF2F18">
        <w:rPr>
          <w:rFonts w:cs="Times New Roman"/>
          <w:sz w:val="22"/>
          <w:lang w:val="sr-Cyrl-RS"/>
        </w:rPr>
        <w:t>истичу из докумен</w:t>
      </w:r>
      <w:r w:rsidR="007E6FB9" w:rsidRPr="00EF2F18">
        <w:rPr>
          <w:rFonts w:cs="Times New Roman"/>
          <w:sz w:val="22"/>
          <w:lang w:val="sr-Cyrl-RS"/>
        </w:rPr>
        <w:t>а</w:t>
      </w:r>
      <w:r w:rsidR="00035948" w:rsidRPr="00EF2F18">
        <w:rPr>
          <w:rFonts w:cs="Times New Roman"/>
          <w:sz w:val="22"/>
          <w:lang w:val="sr-Cyrl-RS"/>
        </w:rPr>
        <w:t>та усвојених у процесу приступања ЕУ, као и мултилатералних уговора</w:t>
      </w:r>
      <w:r w:rsidR="007E6FB9" w:rsidRPr="00EF2F18">
        <w:rPr>
          <w:rFonts w:cs="Times New Roman"/>
          <w:sz w:val="22"/>
          <w:lang w:val="sr-Cyrl-RS"/>
        </w:rPr>
        <w:t>, укључујући и договорени регионални Акциони план за спровођење Софијске декларације о Зеленој агенди за Западни Балкан 2021</w:t>
      </w:r>
      <w:r w:rsidR="004D677C" w:rsidRPr="00EF2F18">
        <w:rPr>
          <w:rFonts w:cs="Times New Roman"/>
          <w:sz w:val="22"/>
          <w:lang w:val="sr-Cyrl-RS"/>
        </w:rPr>
        <w:t xml:space="preserve"> – </w:t>
      </w:r>
      <w:r w:rsidR="007E6FB9" w:rsidRPr="00EF2F18">
        <w:rPr>
          <w:rFonts w:cs="Times New Roman"/>
          <w:sz w:val="22"/>
          <w:lang w:val="sr-Cyrl-RS"/>
        </w:rPr>
        <w:t>2030.</w:t>
      </w:r>
      <w:r w:rsidR="004D677C" w:rsidRPr="00EF2F18">
        <w:rPr>
          <w:iCs/>
          <w:sz w:val="22"/>
          <w:lang w:val="sr-Cyrl-RS"/>
        </w:rPr>
        <w:t xml:space="preserve"> године.</w:t>
      </w:r>
    </w:p>
    <w:p w14:paraId="705562AF" w14:textId="58E7EF08" w:rsidR="00CD2F41" w:rsidRPr="00EF2F18" w:rsidRDefault="00CD2F41" w:rsidP="00CD2F41">
      <w:pPr>
        <w:pStyle w:val="ListParagraph"/>
        <w:spacing w:after="0"/>
        <w:ind w:left="0" w:firstLine="720"/>
        <w:jc w:val="both"/>
        <w:rPr>
          <w:sz w:val="22"/>
          <w:lang w:val="sr-Cyrl-RS"/>
        </w:rPr>
      </w:pPr>
      <w:r w:rsidRPr="00EF2F18">
        <w:rPr>
          <w:sz w:val="22"/>
          <w:lang w:val="sr-Cyrl-RS"/>
        </w:rPr>
        <w:t xml:space="preserve">Остали елементи Зелене агенде који нису обухваћени овом </w:t>
      </w:r>
      <w:r w:rsidR="007A2E9F" w:rsidRPr="00EF2F18">
        <w:rPr>
          <w:sz w:val="22"/>
          <w:lang w:val="sr-Cyrl-RS"/>
        </w:rPr>
        <w:t>стратегијом</w:t>
      </w:r>
      <w:r w:rsidRPr="00EF2F18">
        <w:rPr>
          <w:sz w:val="22"/>
          <w:lang w:val="sr-Cyrl-RS"/>
        </w:rPr>
        <w:t>, биће развијени у секторским планским документима, пре свега, област железничког и друмског транспорта, безбедности саобраћаја на путевима и спровођење техничких стандарда ЕУ и дигитализације свих видова транспорта.</w:t>
      </w:r>
    </w:p>
    <w:p w14:paraId="3E532A05" w14:textId="4CB18A23" w:rsidR="00CD2F41" w:rsidRPr="00EF2F18" w:rsidRDefault="00CD2F41" w:rsidP="00CD2F41">
      <w:pPr>
        <w:spacing w:after="0"/>
        <w:ind w:firstLine="720"/>
        <w:jc w:val="both"/>
        <w:rPr>
          <w:rFonts w:cs="Times New Roman"/>
          <w:sz w:val="22"/>
          <w:lang w:val="sr-Cyrl-RS"/>
        </w:rPr>
      </w:pPr>
      <w:r w:rsidRPr="00EF2F18">
        <w:rPr>
          <w:rFonts w:cs="Times New Roman"/>
          <w:sz w:val="22"/>
          <w:lang w:val="sr-Cyrl-RS"/>
        </w:rPr>
        <w:t>У складу са регулативом и стандард</w:t>
      </w:r>
      <w:r w:rsidR="00D0710A">
        <w:rPr>
          <w:rFonts w:cs="Times New Roman"/>
          <w:sz w:val="22"/>
          <w:lang w:val="sr-Cyrl-RS"/>
        </w:rPr>
        <w:t>има ЕУ и документима јавних пол</w:t>
      </w:r>
      <w:r w:rsidRPr="00EF2F18">
        <w:rPr>
          <w:rFonts w:cs="Times New Roman"/>
          <w:sz w:val="22"/>
          <w:lang w:val="sr-Cyrl-RS"/>
        </w:rPr>
        <w:t xml:space="preserve">итика, која су </w:t>
      </w:r>
      <w:r w:rsidR="005E501E">
        <w:rPr>
          <w:rFonts w:cs="Times New Roman"/>
          <w:sz w:val="22"/>
          <w:lang w:val="sr-Cyrl-RS"/>
        </w:rPr>
        <w:t xml:space="preserve">се </w:t>
      </w:r>
      <w:r w:rsidRPr="00EF2F18">
        <w:rPr>
          <w:rFonts w:cs="Times New Roman"/>
          <w:sz w:val="22"/>
          <w:lang w:val="sr-Cyrl-RS"/>
        </w:rPr>
        <w:t>спроводила у претходном периоду, као и важећим документима јавних политика у припреми Стратегије примењена су и следећа начела:</w:t>
      </w:r>
    </w:p>
    <w:p w14:paraId="177FE600" w14:textId="341C7631"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одрживог развоја</w:t>
      </w:r>
      <w:r w:rsidR="007A2E9F" w:rsidRPr="00EF2F18">
        <w:rPr>
          <w:rFonts w:cs="Times New Roman"/>
          <w:sz w:val="22"/>
          <w:lang w:val="sr-Cyrl-RS"/>
        </w:rPr>
        <w:t>;</w:t>
      </w:r>
    </w:p>
    <w:p w14:paraId="20A73BDC" w14:textId="4A7AB1CF" w:rsidR="00CD2F41" w:rsidRPr="00EF2F18" w:rsidRDefault="00CD2F41" w:rsidP="00313E8E">
      <w:pPr>
        <w:pStyle w:val="ListParagraph"/>
        <w:numPr>
          <w:ilvl w:val="0"/>
          <w:numId w:val="16"/>
        </w:numPr>
        <w:autoSpaceDE w:val="0"/>
        <w:autoSpaceDN w:val="0"/>
        <w:adjustRightInd w:val="0"/>
        <w:spacing w:after="0"/>
        <w:rPr>
          <w:rFonts w:cs="Times New Roman"/>
          <w:sz w:val="22"/>
          <w:lang w:val="sr-Cyrl-RS"/>
        </w:rPr>
      </w:pPr>
      <w:r w:rsidRPr="00EF2F18">
        <w:rPr>
          <w:rFonts w:cs="Times New Roman"/>
          <w:sz w:val="22"/>
          <w:lang w:val="sr-Cyrl-RS"/>
        </w:rPr>
        <w:t>Начело очувања природних вредности</w:t>
      </w:r>
      <w:r w:rsidR="007A2E9F" w:rsidRPr="00EF2F18">
        <w:rPr>
          <w:rFonts w:cs="Times New Roman"/>
          <w:sz w:val="22"/>
          <w:lang w:val="sr-Cyrl-RS"/>
        </w:rPr>
        <w:t>;</w:t>
      </w:r>
      <w:r w:rsidRPr="00EF2F18">
        <w:rPr>
          <w:rFonts w:cs="Times New Roman"/>
          <w:sz w:val="22"/>
          <w:lang w:val="sr-Cyrl-RS"/>
        </w:rPr>
        <w:t xml:space="preserve"> </w:t>
      </w:r>
    </w:p>
    <w:p w14:paraId="4AB020B1" w14:textId="49997CC5" w:rsidR="00CD2F41" w:rsidRPr="00EF2F18" w:rsidRDefault="00CD2F41" w:rsidP="00313E8E">
      <w:pPr>
        <w:pStyle w:val="ListParagraph"/>
        <w:numPr>
          <w:ilvl w:val="0"/>
          <w:numId w:val="16"/>
        </w:numPr>
        <w:autoSpaceDE w:val="0"/>
        <w:autoSpaceDN w:val="0"/>
        <w:adjustRightInd w:val="0"/>
        <w:spacing w:after="0"/>
        <w:rPr>
          <w:rFonts w:cs="Times New Roman"/>
          <w:sz w:val="22"/>
          <w:lang w:val="sr-Cyrl-RS"/>
        </w:rPr>
      </w:pPr>
      <w:r w:rsidRPr="00EF2F18">
        <w:rPr>
          <w:rFonts w:cs="Times New Roman"/>
          <w:sz w:val="22"/>
          <w:lang w:val="sr-Cyrl-RS"/>
        </w:rPr>
        <w:t>Начело компензације</w:t>
      </w:r>
      <w:r w:rsidR="007A2E9F" w:rsidRPr="00EF2F18">
        <w:rPr>
          <w:rFonts w:cs="Times New Roman"/>
          <w:sz w:val="22"/>
          <w:lang w:val="sr-Cyrl-RS"/>
        </w:rPr>
        <w:t>;</w:t>
      </w:r>
      <w:r w:rsidRPr="00EF2F18">
        <w:rPr>
          <w:rFonts w:cs="Times New Roman"/>
          <w:sz w:val="22"/>
          <w:lang w:val="sr-Cyrl-RS"/>
        </w:rPr>
        <w:t xml:space="preserve"> </w:t>
      </w:r>
    </w:p>
    <w:p w14:paraId="61E301DD" w14:textId="7E760D24"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„загађивач/корисник плаћа”</w:t>
      </w:r>
      <w:r w:rsidR="007A2E9F" w:rsidRPr="00EF2F18">
        <w:rPr>
          <w:rFonts w:cs="Times New Roman"/>
          <w:sz w:val="22"/>
          <w:lang w:val="sr-Cyrl-RS"/>
        </w:rPr>
        <w:t>;</w:t>
      </w:r>
    </w:p>
    <w:p w14:paraId="5CCB53C6" w14:textId="2D31616C"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примене подстицајних мера</w:t>
      </w:r>
      <w:r w:rsidR="007A2E9F" w:rsidRPr="00EF2F18">
        <w:rPr>
          <w:rFonts w:cs="Times New Roman"/>
          <w:sz w:val="22"/>
          <w:lang w:val="sr-Cyrl-RS"/>
        </w:rPr>
        <w:t>;</w:t>
      </w:r>
    </w:p>
    <w:p w14:paraId="7F59C09F" w14:textId="16B829D0"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супсидијарности</w:t>
      </w:r>
      <w:r w:rsidR="007A2E9F" w:rsidRPr="00EF2F18">
        <w:rPr>
          <w:rFonts w:cs="Times New Roman"/>
          <w:sz w:val="22"/>
          <w:lang w:val="sr-Cyrl-RS"/>
        </w:rPr>
        <w:t>;</w:t>
      </w:r>
    </w:p>
    <w:p w14:paraId="313F90F8" w14:textId="667DC254"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превенције и предострожности</w:t>
      </w:r>
      <w:r w:rsidR="007A2E9F" w:rsidRPr="00EF2F18">
        <w:rPr>
          <w:rFonts w:cs="Times New Roman"/>
          <w:sz w:val="22"/>
          <w:lang w:val="sr-Cyrl-RS"/>
        </w:rPr>
        <w:t>;</w:t>
      </w:r>
    </w:p>
    <w:p w14:paraId="15135238" w14:textId="069E57DC" w:rsidR="00D475FB" w:rsidRPr="00EF2F18" w:rsidRDefault="00D475FB"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прилагодљивости и адаптивног управљања</w:t>
      </w:r>
      <w:r w:rsidR="007A2E9F" w:rsidRPr="00EF2F18">
        <w:rPr>
          <w:rFonts w:cs="Times New Roman"/>
          <w:sz w:val="22"/>
          <w:lang w:val="sr-Cyrl-RS"/>
        </w:rPr>
        <w:t>;</w:t>
      </w:r>
    </w:p>
    <w:p w14:paraId="6EA941A6" w14:textId="26071305"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подизања нивоа свести о значају заштите животне средине</w:t>
      </w:r>
      <w:r w:rsidR="007A2E9F" w:rsidRPr="00EF2F18">
        <w:rPr>
          <w:rFonts w:cs="Times New Roman"/>
          <w:sz w:val="22"/>
          <w:lang w:val="sr-Cyrl-RS"/>
        </w:rPr>
        <w:t>;</w:t>
      </w:r>
    </w:p>
    <w:p w14:paraId="6E48690D" w14:textId="4FC76C50" w:rsidR="00CD2F41" w:rsidRPr="00EF2F18" w:rsidRDefault="00CD2F41" w:rsidP="00313E8E">
      <w:pPr>
        <w:pStyle w:val="ListParagraph"/>
        <w:numPr>
          <w:ilvl w:val="0"/>
          <w:numId w:val="16"/>
        </w:numPr>
        <w:spacing w:after="0"/>
        <w:jc w:val="both"/>
        <w:rPr>
          <w:rFonts w:cs="Times New Roman"/>
          <w:sz w:val="22"/>
          <w:lang w:val="sr-Cyrl-RS"/>
        </w:rPr>
      </w:pPr>
      <w:r w:rsidRPr="00EF2F18">
        <w:rPr>
          <w:rFonts w:cs="Times New Roman"/>
          <w:sz w:val="22"/>
          <w:lang w:val="sr-Cyrl-RS"/>
        </w:rPr>
        <w:lastRenderedPageBreak/>
        <w:t>Начело информисања и учешћа јавности и приступа правосуђу</w:t>
      </w:r>
      <w:r w:rsidR="007A2E9F" w:rsidRPr="00EF2F18">
        <w:rPr>
          <w:rFonts w:cs="Times New Roman"/>
          <w:sz w:val="22"/>
          <w:lang w:val="sr-Cyrl-RS"/>
        </w:rPr>
        <w:t>;</w:t>
      </w:r>
    </w:p>
    <w:p w14:paraId="0F6A5EE6" w14:textId="409C7FEC" w:rsidR="00F51729" w:rsidRPr="00EF2F18" w:rsidRDefault="00F51729"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одговорности загађивача и његовог правног следбеника</w:t>
      </w:r>
      <w:r w:rsidR="007A2E9F" w:rsidRPr="00EF2F18">
        <w:rPr>
          <w:rFonts w:cs="Times New Roman"/>
          <w:sz w:val="22"/>
          <w:lang w:val="sr-Cyrl-RS"/>
        </w:rPr>
        <w:t>;</w:t>
      </w:r>
    </w:p>
    <w:p w14:paraId="743CB32E" w14:textId="1F2AC244" w:rsidR="00F51729" w:rsidRPr="00EF2F18" w:rsidRDefault="00F51729" w:rsidP="00313E8E">
      <w:pPr>
        <w:pStyle w:val="ListParagraph"/>
        <w:numPr>
          <w:ilvl w:val="0"/>
          <w:numId w:val="16"/>
        </w:numPr>
        <w:spacing w:after="0"/>
        <w:jc w:val="both"/>
        <w:rPr>
          <w:rFonts w:cs="Times New Roman"/>
          <w:sz w:val="22"/>
          <w:lang w:val="sr-Cyrl-RS"/>
        </w:rPr>
      </w:pPr>
      <w:r w:rsidRPr="00EF2F18">
        <w:rPr>
          <w:rFonts w:cs="Times New Roman"/>
          <w:sz w:val="22"/>
          <w:lang w:val="sr-Cyrl-RS"/>
        </w:rPr>
        <w:t>Начело равноправности и недискриминације.</w:t>
      </w:r>
    </w:p>
    <w:p w14:paraId="2205641C" w14:textId="77777777" w:rsidR="00F51729" w:rsidRPr="00EF2F18" w:rsidRDefault="00F51729" w:rsidP="00CD2F41">
      <w:pPr>
        <w:spacing w:after="0"/>
        <w:ind w:firstLine="720"/>
        <w:jc w:val="both"/>
        <w:rPr>
          <w:rFonts w:cs="Times New Roman"/>
          <w:sz w:val="22"/>
          <w:lang w:val="sr-Cyrl-RS"/>
        </w:rPr>
      </w:pPr>
    </w:p>
    <w:p w14:paraId="5CE36733" w14:textId="77777777" w:rsidR="00CD2F41" w:rsidRPr="00EF2F18" w:rsidRDefault="00CD2F41" w:rsidP="00F37C43">
      <w:pPr>
        <w:spacing w:after="0"/>
        <w:jc w:val="both"/>
        <w:rPr>
          <w:rFonts w:cs="Times New Roman"/>
          <w:sz w:val="22"/>
          <w:lang w:val="sr-Cyrl-RS"/>
        </w:rPr>
      </w:pPr>
    </w:p>
    <w:p w14:paraId="434DE63D" w14:textId="1A110C2E" w:rsidR="004E2BBD" w:rsidRPr="00EF2F18" w:rsidRDefault="004E2BBD" w:rsidP="00F34D8C">
      <w:pPr>
        <w:pStyle w:val="Heading2"/>
        <w:numPr>
          <w:ilvl w:val="1"/>
          <w:numId w:val="2"/>
        </w:numPr>
        <w:ind w:hanging="371"/>
        <w:jc w:val="center"/>
        <w:rPr>
          <w:rFonts w:cs="Times New Roman"/>
          <w:sz w:val="22"/>
          <w:szCs w:val="22"/>
          <w:lang w:val="sr-Cyrl-RS"/>
        </w:rPr>
      </w:pPr>
      <w:bookmarkStart w:id="104" w:name="_Toc158307729"/>
      <w:r w:rsidRPr="00EF2F18">
        <w:rPr>
          <w:rFonts w:cs="Times New Roman"/>
          <w:sz w:val="22"/>
          <w:szCs w:val="22"/>
          <w:lang w:val="sr-Cyrl-RS"/>
        </w:rPr>
        <w:t>Декарбонизација и климатске промене</w:t>
      </w:r>
      <w:bookmarkEnd w:id="104"/>
    </w:p>
    <w:p w14:paraId="2B6DA566" w14:textId="77777777" w:rsidR="004E2BBD" w:rsidRPr="00EF2F18" w:rsidRDefault="004E2BBD" w:rsidP="004E2BBD">
      <w:pPr>
        <w:spacing w:after="0"/>
        <w:jc w:val="both"/>
        <w:rPr>
          <w:rFonts w:cs="Times New Roman"/>
          <w:sz w:val="22"/>
          <w:lang w:val="sr-Cyrl-RS"/>
        </w:rPr>
      </w:pPr>
    </w:p>
    <w:p w14:paraId="0DDB401E" w14:textId="4748C5AE" w:rsidR="00BB2E4A" w:rsidRPr="00EF2F18" w:rsidRDefault="00BB2E4A" w:rsidP="004E2BBD">
      <w:pPr>
        <w:spacing w:after="0"/>
        <w:ind w:firstLine="720"/>
        <w:jc w:val="both"/>
        <w:rPr>
          <w:rFonts w:cs="Times New Roman"/>
          <w:sz w:val="22"/>
          <w:lang w:val="sr-Cyrl-RS"/>
        </w:rPr>
      </w:pPr>
      <w:r w:rsidRPr="00EF2F18">
        <w:rPr>
          <w:sz w:val="22"/>
          <w:lang w:val="sr-Cyrl-RS"/>
        </w:rPr>
        <w:t>Овај стуб Зелене агенде подразумева обавезу да се заједно са ЕУ иде ка циљу постизања угљеничнe неутралнoсти континента до 2050. године увођењем строге климатске политике и реформом енергетског и транспортног сектора.</w:t>
      </w:r>
      <w:r w:rsidRPr="00EF2F18">
        <w:rPr>
          <w:rFonts w:cs="Times New Roman"/>
          <w:sz w:val="22"/>
          <w:lang w:val="sr-Cyrl-RS"/>
        </w:rPr>
        <w:t xml:space="preserve"> </w:t>
      </w:r>
    </w:p>
    <w:p w14:paraId="6BBE0657" w14:textId="37327E17" w:rsidR="00035948" w:rsidRPr="00EF2F18" w:rsidRDefault="00363A67" w:rsidP="00035948">
      <w:pPr>
        <w:spacing w:after="0"/>
        <w:ind w:firstLine="720"/>
        <w:jc w:val="both"/>
        <w:rPr>
          <w:rFonts w:cs="Times New Roman"/>
          <w:sz w:val="22"/>
          <w:lang w:val="sr-Cyrl-RS"/>
        </w:rPr>
      </w:pPr>
      <w:r w:rsidRPr="00EF2F18">
        <w:rPr>
          <w:rFonts w:cs="Times New Roman"/>
          <w:sz w:val="22"/>
          <w:lang w:val="sr-Cyrl-RS"/>
        </w:rPr>
        <w:t>Циљеви д</w:t>
      </w:r>
      <w:r w:rsidR="00035948" w:rsidRPr="00EF2F18">
        <w:rPr>
          <w:rFonts w:cs="Times New Roman"/>
          <w:sz w:val="22"/>
          <w:lang w:val="sr-Cyrl-RS"/>
        </w:rPr>
        <w:t>екарбонизациј</w:t>
      </w:r>
      <w:r w:rsidRPr="00EF2F18">
        <w:rPr>
          <w:rFonts w:cs="Times New Roman"/>
          <w:sz w:val="22"/>
          <w:lang w:val="sr-Cyrl-RS"/>
        </w:rPr>
        <w:t>е</w:t>
      </w:r>
      <w:r w:rsidR="00035948" w:rsidRPr="00EF2F18">
        <w:rPr>
          <w:rFonts w:cs="Times New Roman"/>
          <w:sz w:val="22"/>
          <w:lang w:val="sr-Cyrl-RS"/>
        </w:rPr>
        <w:t xml:space="preserve"> у Републици Србији </w:t>
      </w:r>
      <w:r w:rsidR="00A806EA" w:rsidRPr="00EF2F18">
        <w:rPr>
          <w:rFonts w:cs="Times New Roman"/>
          <w:sz w:val="22"/>
          <w:lang w:val="sr-Cyrl-RS"/>
        </w:rPr>
        <w:t>утврђени су</w:t>
      </w:r>
      <w:r w:rsidR="00720526" w:rsidRPr="00EF2F18">
        <w:rPr>
          <w:rFonts w:cs="Times New Roman"/>
          <w:sz w:val="22"/>
          <w:lang w:val="sr-Cyrl-RS"/>
        </w:rPr>
        <w:t xml:space="preserve"> Стратегијом </w:t>
      </w:r>
      <w:r w:rsidR="00A806EA" w:rsidRPr="00EF2F18">
        <w:rPr>
          <w:rFonts w:cs="Times New Roman"/>
          <w:sz w:val="22"/>
          <w:lang w:val="sr-Cyrl-RS"/>
        </w:rPr>
        <w:t>нискоугљеничног развоја за период од 2023. до 2030. године са пројекцијама до 2050. године</w:t>
      </w:r>
      <w:r w:rsidR="00FA7222" w:rsidRPr="00EF2F18">
        <w:rPr>
          <w:rFonts w:cs="Times New Roman"/>
          <w:sz w:val="22"/>
          <w:lang w:val="sr-Cyrl-RS"/>
        </w:rPr>
        <w:t xml:space="preserve"> </w:t>
      </w:r>
      <w:r w:rsidR="00E326A5" w:rsidRPr="00EF2F18">
        <w:rPr>
          <w:rFonts w:cs="Times New Roman"/>
          <w:sz w:val="22"/>
          <w:lang w:val="sr-Cyrl-RS"/>
        </w:rPr>
        <w:t>и</w:t>
      </w:r>
      <w:r w:rsidR="00FA7222" w:rsidRPr="00EF2F18">
        <w:rPr>
          <w:rFonts w:cs="Times New Roman"/>
          <w:sz w:val="22"/>
          <w:lang w:val="sr-Cyrl-RS"/>
        </w:rPr>
        <w:t xml:space="preserve"> </w:t>
      </w:r>
      <w:r w:rsidR="00400F9C" w:rsidRPr="00EF2F18">
        <w:rPr>
          <w:rFonts w:cs="Times New Roman"/>
          <w:sz w:val="22"/>
          <w:lang w:val="sr-Cyrl-RS"/>
        </w:rPr>
        <w:t>Интегрисаним национ</w:t>
      </w:r>
      <w:r w:rsidR="005A74F1" w:rsidRPr="00EF2F18">
        <w:rPr>
          <w:rFonts w:cs="Times New Roman"/>
          <w:sz w:val="22"/>
          <w:lang w:val="sr-Cyrl-RS"/>
        </w:rPr>
        <w:t>a</w:t>
      </w:r>
      <w:r w:rsidR="00400F9C" w:rsidRPr="00EF2F18">
        <w:rPr>
          <w:rFonts w:cs="Times New Roman"/>
          <w:sz w:val="22"/>
          <w:lang w:val="sr-Cyrl-RS"/>
        </w:rPr>
        <w:t>лним енергетским и климатским планом за период од 2030. године са визијом до 2050. године</w:t>
      </w:r>
      <w:r w:rsidR="00A806EA" w:rsidRPr="00EF2F18">
        <w:rPr>
          <w:rFonts w:cs="Times New Roman"/>
          <w:sz w:val="22"/>
          <w:lang w:val="sr-Cyrl-RS"/>
        </w:rPr>
        <w:t xml:space="preserve">. </w:t>
      </w:r>
      <w:r w:rsidR="00701468">
        <w:rPr>
          <w:rFonts w:cs="Times New Roman"/>
          <w:sz w:val="22"/>
          <w:lang w:val="sr-Cyrl-RS"/>
        </w:rPr>
        <w:t>Такођ</w:t>
      </w:r>
      <w:r w:rsidR="0096385A" w:rsidRPr="00EF2F18">
        <w:rPr>
          <w:rFonts w:cs="Times New Roman"/>
          <w:sz w:val="22"/>
          <w:lang w:val="sr-Cyrl-RS"/>
        </w:rPr>
        <w:t xml:space="preserve">е, </w:t>
      </w:r>
      <w:r w:rsidR="00A806EA" w:rsidRPr="00EF2F18">
        <w:rPr>
          <w:rFonts w:cs="Times New Roman"/>
          <w:sz w:val="22"/>
          <w:lang w:val="sr-Cyrl-RS"/>
        </w:rPr>
        <w:t xml:space="preserve">област отпорности и прилагођавања климатским променама </w:t>
      </w:r>
      <w:r w:rsidR="00965718" w:rsidRPr="00EF2F18">
        <w:rPr>
          <w:rFonts w:cs="Times New Roman"/>
          <w:sz w:val="22"/>
          <w:lang w:val="sr-Cyrl-RS"/>
        </w:rPr>
        <w:t>је</w:t>
      </w:r>
      <w:r w:rsidR="0096385A" w:rsidRPr="00EF2F18">
        <w:rPr>
          <w:rFonts w:cs="Times New Roman"/>
          <w:sz w:val="22"/>
          <w:lang w:val="sr-Cyrl-RS"/>
        </w:rPr>
        <w:t xml:space="preserve"> детаљно разрађена </w:t>
      </w:r>
      <w:r w:rsidR="00A806EA" w:rsidRPr="00EF2F18">
        <w:rPr>
          <w:rFonts w:cs="Times New Roman"/>
          <w:sz w:val="22"/>
          <w:lang w:val="sr-Cyrl-RS"/>
        </w:rPr>
        <w:t xml:space="preserve">у </w:t>
      </w:r>
      <w:r w:rsidR="00035948" w:rsidRPr="00EF2F18">
        <w:rPr>
          <w:rFonts w:cs="Times New Roman"/>
          <w:sz w:val="22"/>
          <w:lang w:val="sr-Cyrl-RS"/>
        </w:rPr>
        <w:t>Програм</w:t>
      </w:r>
      <w:r w:rsidR="00586980" w:rsidRPr="00EF2F18">
        <w:rPr>
          <w:rFonts w:cs="Times New Roman"/>
          <w:sz w:val="22"/>
          <w:lang w:val="sr-Cyrl-RS"/>
        </w:rPr>
        <w:t>у</w:t>
      </w:r>
      <w:r w:rsidR="00035948" w:rsidRPr="00EF2F18">
        <w:rPr>
          <w:rFonts w:cs="Times New Roman"/>
          <w:sz w:val="22"/>
          <w:lang w:val="sr-Cyrl-RS"/>
        </w:rPr>
        <w:t xml:space="preserve"> прилагођавања на измењене климатске услове </w:t>
      </w:r>
      <w:r w:rsidR="009E57E9" w:rsidRPr="00EF2F18">
        <w:rPr>
          <w:rFonts w:cs="Times New Roman"/>
          <w:sz w:val="22"/>
          <w:lang w:val="sr-Cyrl-RS"/>
        </w:rPr>
        <w:t>за период од 2023. до 2030. године</w:t>
      </w:r>
      <w:r w:rsidR="00035948" w:rsidRPr="00EF2F18">
        <w:rPr>
          <w:rFonts w:cs="Times New Roman"/>
          <w:sz w:val="22"/>
          <w:lang w:val="sr-Cyrl-RS"/>
        </w:rPr>
        <w:t>.</w:t>
      </w:r>
    </w:p>
    <w:p w14:paraId="74062526" w14:textId="6CC4042B" w:rsidR="00035948" w:rsidRPr="00EF2F18" w:rsidRDefault="00035948" w:rsidP="00035948">
      <w:pPr>
        <w:spacing w:after="0"/>
        <w:ind w:firstLine="720"/>
        <w:jc w:val="both"/>
        <w:rPr>
          <w:rFonts w:cs="Times New Roman"/>
          <w:sz w:val="22"/>
          <w:lang w:val="sr-Cyrl-RS"/>
        </w:rPr>
      </w:pPr>
      <w:r w:rsidRPr="00EF2F18">
        <w:rPr>
          <w:rFonts w:cs="Times New Roman"/>
          <w:sz w:val="22"/>
          <w:lang w:val="sr-Cyrl-RS"/>
        </w:rPr>
        <w:t>Како би се смањиле емисије гасова са ефектом стаклене баште и увећао удео енергије из обновљивих извора, потребно је обезбедити услове за прелазак на зелену енергију и смањити зависност од фосилних горива. То се обезбеђује инвестицијама у</w:t>
      </w:r>
      <w:r w:rsidR="009F1B47" w:rsidRPr="00EF2F18">
        <w:rPr>
          <w:rFonts w:cs="Times New Roman"/>
          <w:sz w:val="22"/>
          <w:lang w:val="sr-Cyrl-RS"/>
        </w:rPr>
        <w:t xml:space="preserve"> </w:t>
      </w:r>
      <w:r w:rsidRPr="00EF2F18">
        <w:rPr>
          <w:rFonts w:cs="Times New Roman"/>
          <w:sz w:val="22"/>
          <w:lang w:val="sr-Cyrl-RS"/>
        </w:rPr>
        <w:t>развој</w:t>
      </w:r>
      <w:r w:rsidR="00B961EB" w:rsidRPr="00EF2F18">
        <w:rPr>
          <w:rFonts w:cs="Times New Roman"/>
          <w:sz w:val="22"/>
          <w:lang w:val="sr-Cyrl-RS"/>
        </w:rPr>
        <w:t xml:space="preserve"> производних капацитета</w:t>
      </w:r>
      <w:r w:rsidRPr="00EF2F18">
        <w:rPr>
          <w:rFonts w:cs="Times New Roman"/>
          <w:sz w:val="22"/>
          <w:lang w:val="sr-Cyrl-RS"/>
        </w:rPr>
        <w:t xml:space="preserve"> и промоцију</w:t>
      </w:r>
      <w:r w:rsidR="00F8463D" w:rsidRPr="00EF2F18">
        <w:rPr>
          <w:rFonts w:cs="Times New Roman"/>
          <w:sz w:val="22"/>
          <w:lang w:val="sr-Cyrl-RS"/>
        </w:rPr>
        <w:t xml:space="preserve"> </w:t>
      </w:r>
      <w:r w:rsidRPr="00EF2F18">
        <w:rPr>
          <w:rFonts w:cs="Times New Roman"/>
          <w:sz w:val="22"/>
          <w:lang w:val="sr-Cyrl-RS"/>
        </w:rPr>
        <w:t xml:space="preserve">употребе обновљивих извора енергије и интеграцију у енергетски систем. То подразумева изградњу нових објеката за производњу </w:t>
      </w:r>
      <w:r w:rsidR="004E54F9" w:rsidRPr="00EF2F18">
        <w:rPr>
          <w:rFonts w:cs="Times New Roman"/>
          <w:sz w:val="22"/>
          <w:lang w:val="sr-Cyrl-RS"/>
        </w:rPr>
        <w:t>енергије из обновљивих извора</w:t>
      </w:r>
      <w:r w:rsidRPr="00EF2F18">
        <w:rPr>
          <w:rFonts w:cs="Times New Roman"/>
          <w:sz w:val="22"/>
          <w:lang w:val="sr-Cyrl-RS"/>
        </w:rPr>
        <w:t xml:space="preserve">, модернизацију постојећих енергетских постројења и стимулисање инвестиција у ту област. </w:t>
      </w:r>
      <w:r w:rsidR="004E54F9" w:rsidRPr="00EF2F18">
        <w:rPr>
          <w:rFonts w:cs="Times New Roman"/>
          <w:sz w:val="22"/>
          <w:lang w:val="sr-Cyrl-RS"/>
        </w:rPr>
        <w:t>У циљу декарбонизације у енергетском сектору и у циљу приближавања шеми ЕУ за трговину емисијама, од 1. јануара 2026. године ступио је на снагу Закон о порезу на емисије гасова са ефектом стаклене баште</w:t>
      </w:r>
      <w:r w:rsidR="00B566B1" w:rsidRPr="00EF2F18">
        <w:rPr>
          <w:rFonts w:cs="Times New Roman"/>
          <w:sz w:val="22"/>
          <w:lang w:val="sr-Cyrl-RS"/>
        </w:rPr>
        <w:t>. Поред сектора енергетике, декарбонизацију је потребно интензивирати посебно у секторима индустрије, пољопривреде, саобраћаја и управљању отпадом</w:t>
      </w:r>
      <w:r w:rsidRPr="00EF2F18">
        <w:rPr>
          <w:rFonts w:cs="Times New Roman"/>
          <w:sz w:val="22"/>
          <w:lang w:val="sr-Cyrl-RS"/>
        </w:rPr>
        <w:t>.</w:t>
      </w:r>
    </w:p>
    <w:p w14:paraId="2ACC123A" w14:textId="6AF68E67" w:rsidR="00035948" w:rsidRPr="00EF2F18" w:rsidRDefault="00035948" w:rsidP="00035948">
      <w:pPr>
        <w:autoSpaceDE w:val="0"/>
        <w:autoSpaceDN w:val="0"/>
        <w:adjustRightInd w:val="0"/>
        <w:spacing w:after="0"/>
        <w:ind w:firstLine="720"/>
        <w:jc w:val="both"/>
        <w:rPr>
          <w:rFonts w:cs="Times New Roman"/>
          <w:sz w:val="22"/>
          <w:lang w:val="sr-Cyrl-RS"/>
        </w:rPr>
      </w:pPr>
      <w:r w:rsidRPr="00EF2F18">
        <w:rPr>
          <w:rFonts w:cs="Times New Roman"/>
          <w:sz w:val="22"/>
          <w:lang w:val="sr-Cyrl-RS"/>
        </w:rPr>
        <w:t>Енергетска ефикасност је предуслов за постизање декарбонизације уз најниже могуће трошкове. Енергетску ефикасност у Републици Србији неопходно је побољшати и унапредити како у систему даљинског грејања и хлађења, у сектору индустрије, тако и у сектору домаћинстава. То се</w:t>
      </w:r>
      <w:r w:rsidR="005E42D2" w:rsidRPr="00EF2F18">
        <w:rPr>
          <w:rFonts w:cs="Times New Roman"/>
          <w:sz w:val="22"/>
          <w:lang w:val="sr-Cyrl-RS"/>
        </w:rPr>
        <w:t xml:space="preserve"> </w:t>
      </w:r>
      <w:r w:rsidRPr="00EF2F18">
        <w:rPr>
          <w:rFonts w:cs="Times New Roman"/>
          <w:sz w:val="22"/>
          <w:lang w:val="sr-Cyrl-RS"/>
        </w:rPr>
        <w:t>постиже модернизацијом и применом најбољ</w:t>
      </w:r>
      <w:r w:rsidR="00CA584D" w:rsidRPr="00EF2F18">
        <w:rPr>
          <w:rFonts w:cs="Times New Roman"/>
          <w:sz w:val="22"/>
          <w:lang w:val="sr-Cyrl-RS"/>
        </w:rPr>
        <w:t>их</w:t>
      </w:r>
      <w:r w:rsidRPr="00EF2F18">
        <w:rPr>
          <w:rFonts w:cs="Times New Roman"/>
          <w:sz w:val="22"/>
          <w:lang w:val="sr-Cyrl-RS"/>
        </w:rPr>
        <w:t xml:space="preserve"> доступних технологија и повећање ефикасности материјала у производним процесима, пре свега у индустрији цемента, гвожђа и челика, производњи азотне киселине, петрохемијске киселине и др. У сектору домаћинства, неопходно је омогућити и подстаћи примену савремених технологија обновљивих извора енергије у области грејања и хлађења.</w:t>
      </w:r>
    </w:p>
    <w:p w14:paraId="3207776B" w14:textId="699A2674" w:rsidR="00AB0C3F" w:rsidRPr="00EF2F18" w:rsidRDefault="00AB0C3F" w:rsidP="00AB0C3F">
      <w:pPr>
        <w:spacing w:after="0"/>
        <w:ind w:firstLine="720"/>
        <w:jc w:val="both"/>
        <w:rPr>
          <w:rFonts w:cs="Times New Roman"/>
          <w:sz w:val="22"/>
          <w:lang w:val="sr-Cyrl-RS"/>
        </w:rPr>
      </w:pPr>
      <w:r w:rsidRPr="00EF2F18">
        <w:rPr>
          <w:rFonts w:cs="Times New Roman"/>
          <w:sz w:val="22"/>
          <w:lang w:val="sr-Cyrl-RS"/>
        </w:rPr>
        <w:t xml:space="preserve">У сектору саобраћаја </w:t>
      </w:r>
      <w:r w:rsidR="00035948" w:rsidRPr="00EF2F18">
        <w:rPr>
          <w:rFonts w:cs="Times New Roman"/>
          <w:sz w:val="22"/>
          <w:lang w:val="sr-Cyrl-RS"/>
        </w:rPr>
        <w:t>потребно</w:t>
      </w:r>
      <w:r w:rsidRPr="00EF2F18">
        <w:rPr>
          <w:rFonts w:cs="Times New Roman"/>
          <w:sz w:val="22"/>
          <w:lang w:val="sr-Cyrl-RS"/>
        </w:rPr>
        <w:t xml:space="preserve"> је</w:t>
      </w:r>
      <w:r w:rsidR="00035948" w:rsidRPr="00EF2F18">
        <w:rPr>
          <w:rFonts w:cs="Times New Roman"/>
          <w:sz w:val="22"/>
          <w:lang w:val="sr-Cyrl-RS"/>
        </w:rPr>
        <w:t xml:space="preserve"> промовисати </w:t>
      </w:r>
      <w:r w:rsidR="00720526" w:rsidRPr="00EF2F18">
        <w:rPr>
          <w:rFonts w:cs="Times New Roman"/>
          <w:sz w:val="22"/>
          <w:lang w:val="sr-Cyrl-RS"/>
        </w:rPr>
        <w:t xml:space="preserve">коришћење напредних </w:t>
      </w:r>
      <w:r w:rsidR="00035948" w:rsidRPr="00EF2F18">
        <w:rPr>
          <w:rFonts w:cs="Times New Roman"/>
          <w:sz w:val="22"/>
          <w:lang w:val="sr-Cyrl-RS"/>
        </w:rPr>
        <w:t>биогорива</w:t>
      </w:r>
      <w:r w:rsidR="00720526" w:rsidRPr="00EF2F18">
        <w:rPr>
          <w:rFonts w:cs="Times New Roman"/>
          <w:sz w:val="22"/>
          <w:lang w:val="sr-Cyrl-RS"/>
        </w:rPr>
        <w:t xml:space="preserve"> у складу са финансијским и технолошким могућностима</w:t>
      </w:r>
      <w:r w:rsidR="00035948" w:rsidRPr="00EF2F18">
        <w:rPr>
          <w:rFonts w:cs="Times New Roman"/>
          <w:sz w:val="22"/>
          <w:lang w:val="sr-Cyrl-RS"/>
        </w:rPr>
        <w:t>, као и зелене и одрживе транспортне мреже</w:t>
      </w:r>
      <w:r w:rsidR="00CA584D" w:rsidRPr="00EF2F18">
        <w:rPr>
          <w:rFonts w:cs="Times New Roman"/>
          <w:sz w:val="22"/>
          <w:lang w:val="sr-Cyrl-RS"/>
        </w:rPr>
        <w:t>,</w:t>
      </w:r>
      <w:r w:rsidR="00035948" w:rsidRPr="00EF2F18">
        <w:rPr>
          <w:rFonts w:cs="Times New Roman"/>
          <w:sz w:val="22"/>
          <w:lang w:val="sr-Cyrl-RS"/>
        </w:rPr>
        <w:t xml:space="preserve"> и подстаћи прелазак са друмског на железнички транспорт и транспорт унутрашњим воденим путевима уз неопходно побољшање инфраструктуре и повезивање лука са железничким мрежама</w:t>
      </w:r>
      <w:r w:rsidRPr="00EF2F18">
        <w:rPr>
          <w:rFonts w:cs="Times New Roman"/>
          <w:sz w:val="22"/>
          <w:lang w:val="sr-Cyrl-RS"/>
        </w:rPr>
        <w:t>, што представља стуб паметне и одрживе мобилност</w:t>
      </w:r>
      <w:r w:rsidR="009F1B47" w:rsidRPr="00EF2F18">
        <w:rPr>
          <w:rFonts w:cs="Times New Roman"/>
          <w:sz w:val="22"/>
          <w:lang w:val="sr-Cyrl-RS"/>
        </w:rPr>
        <w:t>и</w:t>
      </w:r>
      <w:r w:rsidRPr="00EF2F18">
        <w:rPr>
          <w:rFonts w:cs="Times New Roman"/>
          <w:sz w:val="22"/>
          <w:lang w:val="sr-Cyrl-RS"/>
        </w:rPr>
        <w:t xml:space="preserve"> у оквиру Зелене агенде, који се односи на транспорт, транспортне мреже, промене начина превоза ради смањења емисије угљендиоксида и употребу алтернативних горива. </w:t>
      </w:r>
      <w:bookmarkStart w:id="105" w:name="_Hlk148272291"/>
      <w:r w:rsidRPr="00EF2F18">
        <w:rPr>
          <w:rFonts w:cs="Times New Roman"/>
          <w:sz w:val="22"/>
          <w:lang w:val="sr-Cyrl-RS"/>
        </w:rPr>
        <w:t>За спровођење тог стуба Зелене агенде, биће израђени посебни плански документи, у складу са Законом о планском систему.</w:t>
      </w:r>
    </w:p>
    <w:bookmarkEnd w:id="105"/>
    <w:p w14:paraId="50D8BBCE" w14:textId="2486D79E" w:rsidR="00035948" w:rsidRPr="00EF2F18" w:rsidRDefault="00035948" w:rsidP="00035948">
      <w:pPr>
        <w:spacing w:after="0"/>
        <w:ind w:firstLine="720"/>
        <w:jc w:val="both"/>
        <w:rPr>
          <w:rFonts w:cs="Times New Roman"/>
          <w:sz w:val="22"/>
          <w:lang w:val="sr-Cyrl-RS"/>
        </w:rPr>
      </w:pPr>
      <w:r w:rsidRPr="00EF2F18">
        <w:rPr>
          <w:rFonts w:cs="Times New Roman"/>
          <w:sz w:val="22"/>
          <w:lang w:val="sr-Cyrl-RS"/>
        </w:rPr>
        <w:t xml:space="preserve">У Зеленој агенди потребно је створити основ за унапређење отпорности, односно </w:t>
      </w:r>
      <w:r w:rsidR="001F3FA9" w:rsidRPr="00EF2F18">
        <w:rPr>
          <w:rFonts w:cs="Times New Roman"/>
          <w:sz w:val="22"/>
          <w:lang w:val="sr-Cyrl-RS"/>
        </w:rPr>
        <w:t xml:space="preserve">смањење </w:t>
      </w:r>
      <w:r w:rsidRPr="00EF2F18">
        <w:rPr>
          <w:rFonts w:cs="Times New Roman"/>
          <w:sz w:val="22"/>
          <w:lang w:val="sr-Cyrl-RS"/>
        </w:rPr>
        <w:t>рањивости услед неизбежних утицаја климатских промена. За то је потребно да</w:t>
      </w:r>
      <w:r w:rsidR="005E42D2" w:rsidRPr="00EF2F18">
        <w:rPr>
          <w:rFonts w:cs="Times New Roman"/>
          <w:sz w:val="22"/>
          <w:lang w:val="sr-Cyrl-RS"/>
        </w:rPr>
        <w:t xml:space="preserve"> </w:t>
      </w:r>
      <w:r w:rsidRPr="00EF2F18">
        <w:rPr>
          <w:rFonts w:cs="Times New Roman"/>
          <w:sz w:val="22"/>
          <w:lang w:val="sr-Cyrl-RS"/>
        </w:rPr>
        <w:t xml:space="preserve">се у свим секторским политикама </w:t>
      </w:r>
      <w:r w:rsidR="003C7462" w:rsidRPr="00EF2F18">
        <w:rPr>
          <w:rFonts w:eastAsia="Calibri" w:cstheme="minorHAnsi"/>
          <w:sz w:val="22"/>
          <w:lang w:val="sr-Cyrl-RS"/>
        </w:rPr>
        <w:t>на националном и локалном нивоу</w:t>
      </w:r>
      <w:r w:rsidR="003C7462" w:rsidRPr="00EF2F18">
        <w:rPr>
          <w:rFonts w:cs="Times New Roman"/>
          <w:sz w:val="22"/>
          <w:lang w:val="sr-Cyrl-RS"/>
        </w:rPr>
        <w:t xml:space="preserve"> </w:t>
      </w:r>
      <w:r w:rsidRPr="00EF2F18">
        <w:rPr>
          <w:rFonts w:cs="Times New Roman"/>
          <w:sz w:val="22"/>
          <w:lang w:val="sr-Cyrl-RS"/>
        </w:rPr>
        <w:t>планирају мере за остваривање циљеви у области отпорности на измењене климатске услове (пољопривреда и производња хране, шумарство, водопривреда, енергетика, саобраћај и изградња инфраструктуре, јавно здравље). То подразумева јачање капацитета како републичких органа</w:t>
      </w:r>
      <w:r w:rsidR="003C7462" w:rsidRPr="00EF2F18">
        <w:rPr>
          <w:rFonts w:cs="Times New Roman"/>
          <w:sz w:val="22"/>
          <w:lang w:val="sr-Cyrl-RS"/>
        </w:rPr>
        <w:t>,</w:t>
      </w:r>
      <w:r w:rsidRPr="00EF2F18">
        <w:rPr>
          <w:rFonts w:cs="Times New Roman"/>
          <w:sz w:val="22"/>
          <w:lang w:val="sr-Cyrl-RS"/>
        </w:rPr>
        <w:t xml:space="preserve"> тако и </w:t>
      </w:r>
      <w:r w:rsidR="00DC59A1" w:rsidRPr="00EF2F18">
        <w:rPr>
          <w:rFonts w:cs="Times New Roman"/>
          <w:sz w:val="22"/>
          <w:lang w:val="sr-Cyrl-RS"/>
        </w:rPr>
        <w:t>јединица локалне самоуправе</w:t>
      </w:r>
      <w:r w:rsidRPr="00EF2F18">
        <w:rPr>
          <w:rFonts w:cs="Times New Roman"/>
          <w:sz w:val="22"/>
          <w:lang w:val="sr-Cyrl-RS"/>
        </w:rPr>
        <w:t xml:space="preserve"> за спровођење прилагођавања на климатске промене, као и повећање зелене инфраструктуре у градовима која је неопходна за ублажавање климатских опасности, унапређењ</w:t>
      </w:r>
      <w:r w:rsidR="00CA584D" w:rsidRPr="00EF2F18">
        <w:rPr>
          <w:rFonts w:cs="Times New Roman"/>
          <w:sz w:val="22"/>
          <w:lang w:val="sr-Cyrl-RS"/>
        </w:rPr>
        <w:t>у</w:t>
      </w:r>
      <w:r w:rsidRPr="00EF2F18">
        <w:rPr>
          <w:rFonts w:cs="Times New Roman"/>
          <w:sz w:val="22"/>
          <w:lang w:val="sr-Cyrl-RS"/>
        </w:rPr>
        <w:t xml:space="preserve"> животне средине и здравља и квалитета живота људи у урбаним срединама.</w:t>
      </w:r>
      <w:r w:rsidR="003C7462" w:rsidRPr="00EF2F18">
        <w:rPr>
          <w:rFonts w:cs="Times New Roman"/>
          <w:sz w:val="22"/>
          <w:lang w:val="sr-Cyrl-RS"/>
        </w:rPr>
        <w:t xml:space="preserve"> </w:t>
      </w:r>
    </w:p>
    <w:p w14:paraId="1A9221D5" w14:textId="0A09A3EA" w:rsidR="004E2BBD" w:rsidRPr="00EF2F18" w:rsidRDefault="00035948" w:rsidP="00185A75">
      <w:pPr>
        <w:autoSpaceDE w:val="0"/>
        <w:autoSpaceDN w:val="0"/>
        <w:adjustRightInd w:val="0"/>
        <w:spacing w:after="0"/>
        <w:ind w:firstLine="720"/>
        <w:jc w:val="both"/>
        <w:rPr>
          <w:rFonts w:cs="Times New Roman"/>
          <w:sz w:val="22"/>
          <w:lang w:val="sr-Cyrl-RS"/>
        </w:rPr>
      </w:pPr>
      <w:r w:rsidRPr="00EF2F18">
        <w:rPr>
          <w:rFonts w:cs="Times New Roman"/>
          <w:sz w:val="22"/>
          <w:lang w:val="sr-Cyrl-RS"/>
        </w:rPr>
        <w:t>Такође, неопходно је повећати свест и ниво знања грађана, привреде и друштва о значају заштите животне средине и климатским променама, као и о ефикасној употреби ресурса и одговорном односу према природи и потреби за прилагођавањем на измењене климатске услове</w:t>
      </w:r>
      <w:r w:rsidR="004E2BBD" w:rsidRPr="00EF2F18">
        <w:rPr>
          <w:rFonts w:cs="Times New Roman"/>
          <w:sz w:val="22"/>
          <w:lang w:val="sr-Cyrl-RS"/>
        </w:rPr>
        <w:t>.</w:t>
      </w:r>
    </w:p>
    <w:p w14:paraId="0E90A07F" w14:textId="4E98CC5D" w:rsidR="004E2BBD" w:rsidRPr="00EF2F18" w:rsidRDefault="004E2BBD" w:rsidP="00F34D8C">
      <w:pPr>
        <w:pStyle w:val="Heading2"/>
        <w:numPr>
          <w:ilvl w:val="1"/>
          <w:numId w:val="2"/>
        </w:numPr>
        <w:ind w:hanging="371"/>
        <w:jc w:val="center"/>
        <w:rPr>
          <w:rFonts w:cs="Times New Roman"/>
          <w:sz w:val="22"/>
          <w:szCs w:val="22"/>
          <w:lang w:val="sr-Cyrl-RS"/>
        </w:rPr>
      </w:pPr>
      <w:bookmarkStart w:id="106" w:name="_Toc158307730"/>
      <w:r w:rsidRPr="00EF2F18">
        <w:rPr>
          <w:rFonts w:cs="Times New Roman"/>
          <w:sz w:val="22"/>
          <w:szCs w:val="22"/>
          <w:lang w:val="sr-Cyrl-RS"/>
        </w:rPr>
        <w:lastRenderedPageBreak/>
        <w:t>Циркуларна економија</w:t>
      </w:r>
      <w:bookmarkEnd w:id="106"/>
    </w:p>
    <w:p w14:paraId="5D69DB3D" w14:textId="77777777" w:rsidR="004E2BBD" w:rsidRPr="00EF2F18" w:rsidRDefault="004E2BBD" w:rsidP="004E2BBD">
      <w:pPr>
        <w:spacing w:after="0"/>
        <w:jc w:val="both"/>
        <w:rPr>
          <w:rFonts w:cs="Times New Roman"/>
          <w:sz w:val="22"/>
          <w:lang w:val="sr-Cyrl-RS"/>
        </w:rPr>
      </w:pPr>
    </w:p>
    <w:p w14:paraId="48F3E9C9" w14:textId="2CE0DB92" w:rsidR="00BF575B" w:rsidRPr="00EF2F18" w:rsidRDefault="00BF575B" w:rsidP="00BF575B">
      <w:pPr>
        <w:spacing w:after="0"/>
        <w:ind w:firstLine="709"/>
        <w:jc w:val="both"/>
        <w:rPr>
          <w:rFonts w:cs="Times New Roman"/>
          <w:sz w:val="22"/>
          <w:lang w:val="sr-Cyrl-RS"/>
        </w:rPr>
      </w:pPr>
      <w:r w:rsidRPr="00EF2F18">
        <w:rPr>
          <w:sz w:val="22"/>
          <w:lang w:val="sr-Cyrl-RS"/>
        </w:rPr>
        <w:t>Други стуб Зелене агенде подржава прелазак са линеарне на циркуларну економију, уз уважавање потребе за истраживањем и иновационим системом који ће подржати ову транзицију.</w:t>
      </w:r>
    </w:p>
    <w:p w14:paraId="3CCEE342" w14:textId="31D125BA" w:rsidR="00EC5250" w:rsidRPr="00EF2F18" w:rsidRDefault="00EC5250" w:rsidP="00EC5250">
      <w:pPr>
        <w:spacing w:after="0"/>
        <w:ind w:firstLine="709"/>
        <w:jc w:val="both"/>
        <w:rPr>
          <w:rFonts w:cs="Times New Roman"/>
          <w:sz w:val="22"/>
          <w:lang w:val="sr-Cyrl-RS"/>
        </w:rPr>
      </w:pPr>
      <w:r w:rsidRPr="00EF2F18">
        <w:rPr>
          <w:rFonts w:cs="Times New Roman"/>
          <w:sz w:val="22"/>
          <w:lang w:val="sr-Cyrl-RS"/>
        </w:rPr>
        <w:t xml:space="preserve">У </w:t>
      </w:r>
      <w:r w:rsidR="00EF47CA" w:rsidRPr="00EF2F18">
        <w:rPr>
          <w:rFonts w:cs="Times New Roman"/>
          <w:sz w:val="22"/>
          <w:lang w:val="sr-Cyrl-RS"/>
        </w:rPr>
        <w:t>Програму развоја циркуларне економије за период 20</w:t>
      </w:r>
      <w:r w:rsidR="000D5AD5" w:rsidRPr="00EF2F18">
        <w:rPr>
          <w:rFonts w:cs="Times New Roman"/>
          <w:sz w:val="22"/>
          <w:lang w:val="sr-Cyrl-RS"/>
        </w:rPr>
        <w:t>26</w:t>
      </w:r>
      <w:r w:rsidR="00EF47CA" w:rsidRPr="00EF2F18">
        <w:rPr>
          <w:rFonts w:cs="Times New Roman"/>
          <w:sz w:val="22"/>
          <w:lang w:val="sr-Cyrl-RS"/>
        </w:rPr>
        <w:t>-20</w:t>
      </w:r>
      <w:r w:rsidR="000D5AD5" w:rsidRPr="00EF2F18">
        <w:rPr>
          <w:rFonts w:cs="Times New Roman"/>
          <w:sz w:val="22"/>
          <w:lang w:val="sr-Cyrl-RS"/>
        </w:rPr>
        <w:t>30</w:t>
      </w:r>
      <w:r w:rsidR="00EF47CA" w:rsidRPr="00EF2F18">
        <w:rPr>
          <w:rFonts w:cs="Times New Roman"/>
          <w:sz w:val="22"/>
          <w:lang w:val="sr-Cyrl-RS"/>
        </w:rPr>
        <w:t>. године („Службени гласник РС</w:t>
      </w:r>
      <w:r w:rsidR="004A231C" w:rsidRPr="00EF2F18">
        <w:rPr>
          <w:rFonts w:cs="Times New Roman"/>
          <w:sz w:val="22"/>
          <w:lang w:val="sr-Cyrl-RS"/>
        </w:rPr>
        <w:t>”</w:t>
      </w:r>
      <w:r w:rsidR="00EF47CA" w:rsidRPr="00EF2F18">
        <w:rPr>
          <w:rFonts w:cs="Times New Roman"/>
          <w:sz w:val="22"/>
          <w:lang w:val="sr-Cyrl-RS"/>
        </w:rPr>
        <w:t xml:space="preserve">, број </w:t>
      </w:r>
      <w:r w:rsidR="000D5AD5" w:rsidRPr="00EF2F18">
        <w:rPr>
          <w:rFonts w:cs="Times New Roman"/>
          <w:sz w:val="22"/>
          <w:lang w:val="sr-Cyrl-RS"/>
        </w:rPr>
        <w:t>41</w:t>
      </w:r>
      <w:r w:rsidR="004E7BE1">
        <w:rPr>
          <w:rFonts w:cs="Times New Roman"/>
          <w:sz w:val="22"/>
          <w:lang w:val="sr-Cyrl-RS"/>
        </w:rPr>
        <w:t>/</w:t>
      </w:r>
      <w:r w:rsidR="000D5AD5" w:rsidRPr="00EF2F18">
        <w:rPr>
          <w:rFonts w:cs="Times New Roman"/>
          <w:sz w:val="22"/>
          <w:lang w:val="sr-Cyrl-RS"/>
        </w:rPr>
        <w:t>26</w:t>
      </w:r>
      <w:r w:rsidR="00EF47CA" w:rsidRPr="00EF2F18">
        <w:rPr>
          <w:rFonts w:cs="Times New Roman"/>
          <w:sz w:val="22"/>
          <w:lang w:val="sr-Cyrl-RS"/>
        </w:rPr>
        <w:t>)</w:t>
      </w:r>
      <w:r w:rsidRPr="00EF2F18">
        <w:rPr>
          <w:rFonts w:cs="Times New Roman"/>
          <w:sz w:val="22"/>
          <w:lang w:val="sr-Cyrl-RS"/>
        </w:rPr>
        <w:t>, Република Србија је поставила основе за примену модела циркуларне економије у складу са стратегијом и акционим планом ЕУ за циркуларну економију. Наставак спровођења започетих мера и проширивање обухвата уче</w:t>
      </w:r>
      <w:r w:rsidR="009F1B47" w:rsidRPr="00EF2F18">
        <w:rPr>
          <w:rFonts w:cs="Times New Roman"/>
          <w:sz w:val="22"/>
          <w:lang w:val="sr-Cyrl-RS"/>
        </w:rPr>
        <w:t>ш</w:t>
      </w:r>
      <w:r w:rsidRPr="00EF2F18">
        <w:rPr>
          <w:rFonts w:cs="Times New Roman"/>
          <w:sz w:val="22"/>
          <w:lang w:val="sr-Cyrl-RS"/>
        </w:rPr>
        <w:t>ћа привреде у транзицији ка циркуларној економије омогућава додатно приближавање јединственом тржишту ЕУ и интеграцији у ланце индустријског снабдевања ЕУ.</w:t>
      </w:r>
    </w:p>
    <w:p w14:paraId="67F137A4" w14:textId="5615AC70" w:rsidR="00EC5250" w:rsidRPr="00EF2F18" w:rsidRDefault="00EC5250" w:rsidP="00EC5250">
      <w:pPr>
        <w:pStyle w:val="Default"/>
        <w:ind w:firstLine="709"/>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Прелазак на циркуларни модел економије, подразумева сагледавање целог животног циклуса производа, превенцију отпада, поновну употреб</w:t>
      </w:r>
      <w:r w:rsidR="00CA584D" w:rsidRPr="00EF2F18">
        <w:rPr>
          <w:rFonts w:ascii="Times New Roman" w:hAnsi="Times New Roman" w:cs="Times New Roman"/>
          <w:sz w:val="22"/>
          <w:szCs w:val="22"/>
          <w:lang w:val="sr-Cyrl-RS"/>
        </w:rPr>
        <w:t>у</w:t>
      </w:r>
      <w:r w:rsidRPr="00EF2F18">
        <w:rPr>
          <w:rFonts w:ascii="Times New Roman" w:hAnsi="Times New Roman" w:cs="Times New Roman"/>
          <w:sz w:val="22"/>
          <w:szCs w:val="22"/>
          <w:lang w:val="sr-Cyrl-RS"/>
        </w:rPr>
        <w:t xml:space="preserve"> и поправке производа, враћање нуспроизвода у производне процесе, савремено управљање и рециклажу отпада. Такође, потребно је обезбедити подршку привредном сектору за примену модела циркуларне економије и унапређењ</w:t>
      </w:r>
      <w:r w:rsidR="00CA584D" w:rsidRPr="00EF2F18">
        <w:rPr>
          <w:rFonts w:ascii="Times New Roman" w:hAnsi="Times New Roman" w:cs="Times New Roman"/>
          <w:sz w:val="22"/>
          <w:szCs w:val="22"/>
          <w:lang w:val="sr-Cyrl-RS"/>
        </w:rPr>
        <w:t>е</w:t>
      </w:r>
      <w:r w:rsidRPr="00EF2F18">
        <w:rPr>
          <w:rFonts w:ascii="Times New Roman" w:hAnsi="Times New Roman" w:cs="Times New Roman"/>
          <w:sz w:val="22"/>
          <w:szCs w:val="22"/>
          <w:lang w:val="sr-Cyrl-RS"/>
        </w:rPr>
        <w:t xml:space="preserve"> њихове конкурентности, тако што ће бити подстицана сарадња између привреде и научно-истраживачких организација,</w:t>
      </w:r>
      <w:r w:rsidR="00E65D1C" w:rsidRPr="00EF2F18">
        <w:rPr>
          <w:rFonts w:ascii="Times New Roman" w:hAnsi="Times New Roman" w:cs="Times New Roman"/>
          <w:sz w:val="22"/>
          <w:szCs w:val="22"/>
          <w:lang w:val="sr-Cyrl-RS"/>
        </w:rPr>
        <w:t xml:space="preserve"> као и међусекторска и међуресорна сарадња,</w:t>
      </w:r>
      <w:r w:rsidRPr="00EF2F18">
        <w:rPr>
          <w:rFonts w:ascii="Times New Roman" w:hAnsi="Times New Roman" w:cs="Times New Roman"/>
          <w:sz w:val="22"/>
          <w:szCs w:val="22"/>
          <w:lang w:val="sr-Cyrl-RS"/>
        </w:rPr>
        <w:t xml:space="preserve"> како би се применила иновативна решења и обезбедио одржив и балансиран економски развој. Та сарадња треба да буде подстакнута путем промовисања и подршке развоју иновација у области животне средине и производњи и коришћењу енергије да би и привреда била мотивисана да више улаже у истраживање и развој нових технологија, развој паметне инфраструктуре и</w:t>
      </w:r>
      <w:r w:rsidR="00CA584D"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примену научних решења базираних на иновацијама.</w:t>
      </w:r>
    </w:p>
    <w:p w14:paraId="46072750" w14:textId="5DF456CF" w:rsidR="00EC5250" w:rsidRPr="00EF2F18" w:rsidRDefault="00EC5250" w:rsidP="00EC5250">
      <w:pPr>
        <w:pStyle w:val="Default"/>
        <w:ind w:firstLine="709"/>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За веће искоришћење комуналног отпада, степена рециклаже рециклабилног отпада и степена искоришћења биоразградивог комуналног отпада, утврђене су мере у Програму управљања отпадом за период 2022</w:t>
      </w:r>
      <w:r w:rsidR="00B55373">
        <w:rPr>
          <w:rFonts w:ascii="Times New Roman" w:hAnsi="Times New Roman" w:cs="Times New Roman"/>
          <w:sz w:val="22"/>
          <w:szCs w:val="22"/>
          <w:lang w:val="sr-Cyrl-RS"/>
        </w:rPr>
        <w:t xml:space="preserve"> – </w:t>
      </w:r>
      <w:r w:rsidRPr="00EF2F18">
        <w:rPr>
          <w:rFonts w:ascii="Times New Roman" w:hAnsi="Times New Roman" w:cs="Times New Roman"/>
          <w:sz w:val="22"/>
          <w:szCs w:val="22"/>
          <w:lang w:val="sr-Cyrl-RS"/>
        </w:rPr>
        <w:t>2031.</w:t>
      </w:r>
      <w:r w:rsidR="00CA584D"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године</w:t>
      </w:r>
      <w:r w:rsidR="00EF47CA" w:rsidRPr="00EF2F18">
        <w:rPr>
          <w:rFonts w:ascii="Times New Roman" w:hAnsi="Times New Roman" w:cs="Times New Roman"/>
          <w:sz w:val="22"/>
          <w:szCs w:val="22"/>
          <w:lang w:val="sr-Cyrl-RS"/>
        </w:rPr>
        <w:t xml:space="preserve"> („Службени гласник РС</w:t>
      </w:r>
      <w:r w:rsidR="004A231C" w:rsidRPr="00EF2F18">
        <w:rPr>
          <w:rFonts w:ascii="Times New Roman" w:hAnsi="Times New Roman" w:cs="Times New Roman"/>
          <w:sz w:val="22"/>
          <w:szCs w:val="22"/>
          <w:lang w:val="sr-Cyrl-RS"/>
        </w:rPr>
        <w:t>”</w:t>
      </w:r>
      <w:r w:rsidR="00EF47CA" w:rsidRPr="00EF2F18">
        <w:rPr>
          <w:rFonts w:ascii="Times New Roman" w:hAnsi="Times New Roman" w:cs="Times New Roman"/>
          <w:sz w:val="22"/>
          <w:szCs w:val="22"/>
          <w:lang w:val="sr-Cyrl-RS"/>
        </w:rPr>
        <w:t>, број 12/22)</w:t>
      </w:r>
      <w:r w:rsidRPr="00EF2F18">
        <w:rPr>
          <w:rFonts w:ascii="Times New Roman" w:hAnsi="Times New Roman" w:cs="Times New Roman"/>
          <w:sz w:val="22"/>
          <w:szCs w:val="22"/>
          <w:lang w:val="sr-Cyrl-RS"/>
        </w:rPr>
        <w:t>. Такође, утврђене су и мере за повећање степена искоришћења отпада као горива и решавање проблема несанитарних депонија и сметлишта.</w:t>
      </w:r>
      <w:r w:rsidR="005E42D2" w:rsidRPr="00EF2F18">
        <w:rPr>
          <w:rFonts w:ascii="Times New Roman" w:hAnsi="Times New Roman" w:cs="Times New Roman"/>
          <w:sz w:val="22"/>
          <w:szCs w:val="22"/>
          <w:lang w:val="sr-Cyrl-RS"/>
        </w:rPr>
        <w:t xml:space="preserve"> </w:t>
      </w:r>
      <w:r w:rsidRPr="00EF2F18">
        <w:rPr>
          <w:rFonts w:ascii="Times New Roman" w:hAnsi="Times New Roman" w:cs="Times New Roman"/>
          <w:sz w:val="22"/>
          <w:szCs w:val="22"/>
          <w:lang w:val="sr-Cyrl-RS"/>
        </w:rPr>
        <w:t>Додатно, наведеним програмом су утвр</w:t>
      </w:r>
      <w:r w:rsidR="00CF45B9" w:rsidRPr="00EF2F18">
        <w:rPr>
          <w:rFonts w:ascii="Times New Roman" w:hAnsi="Times New Roman" w:cs="Times New Roman"/>
          <w:sz w:val="22"/>
          <w:szCs w:val="22"/>
          <w:lang w:val="sr-Cyrl-RS"/>
        </w:rPr>
        <w:t>ђ</w:t>
      </w:r>
      <w:r w:rsidRPr="00EF2F18">
        <w:rPr>
          <w:rFonts w:ascii="Times New Roman" w:hAnsi="Times New Roman" w:cs="Times New Roman"/>
          <w:sz w:val="22"/>
          <w:szCs w:val="22"/>
          <w:lang w:val="sr-Cyrl-RS"/>
        </w:rPr>
        <w:t>ене мере за обезбеђ</w:t>
      </w:r>
      <w:r w:rsidR="00CF45B9" w:rsidRPr="00EF2F18">
        <w:rPr>
          <w:rFonts w:ascii="Times New Roman" w:hAnsi="Times New Roman" w:cs="Times New Roman"/>
          <w:sz w:val="22"/>
          <w:szCs w:val="22"/>
          <w:lang w:val="sr-Cyrl-RS"/>
        </w:rPr>
        <w:t>и</w:t>
      </w:r>
      <w:r w:rsidRPr="00EF2F18">
        <w:rPr>
          <w:rFonts w:ascii="Times New Roman" w:hAnsi="Times New Roman" w:cs="Times New Roman"/>
          <w:sz w:val="22"/>
          <w:szCs w:val="22"/>
          <w:lang w:val="sr-Cyrl-RS"/>
        </w:rPr>
        <w:t>вање потребних капацитета за третман опасног отпада кроз увећање инвестиционог улагања у управљање опасним отпадом.</w:t>
      </w:r>
      <w:r w:rsidR="003C7462" w:rsidRPr="00EF2F18">
        <w:rPr>
          <w:rFonts w:ascii="Times New Roman" w:hAnsi="Times New Roman" w:cs="Times New Roman"/>
          <w:sz w:val="22"/>
          <w:szCs w:val="22"/>
          <w:lang w:val="sr-Cyrl-RS"/>
        </w:rPr>
        <w:t xml:space="preserve"> У циљу постизања ресурсне ефикасности и доприноса декарбонизацији сектора зградарства</w:t>
      </w:r>
      <w:r w:rsidR="00BA1EAD" w:rsidRPr="00EF2F18">
        <w:rPr>
          <w:rFonts w:ascii="Times New Roman" w:hAnsi="Times New Roman" w:cs="Times New Roman"/>
          <w:sz w:val="22"/>
          <w:szCs w:val="22"/>
          <w:lang w:val="sr-Cyrl-RS"/>
        </w:rPr>
        <w:t xml:space="preserve"> потребно је</w:t>
      </w:r>
      <w:r w:rsidR="003C7462" w:rsidRPr="00EF2F18">
        <w:rPr>
          <w:rFonts w:ascii="Times New Roman" w:hAnsi="Times New Roman" w:cs="Times New Roman"/>
          <w:sz w:val="22"/>
          <w:szCs w:val="22"/>
          <w:lang w:val="sr-Cyrl-RS"/>
        </w:rPr>
        <w:t xml:space="preserve"> </w:t>
      </w:r>
      <w:r w:rsidR="00BA1EAD" w:rsidRPr="00EF2F18">
        <w:rPr>
          <w:rFonts w:ascii="Times New Roman" w:hAnsi="Times New Roman" w:cs="Times New Roman"/>
          <w:sz w:val="22"/>
          <w:szCs w:val="22"/>
          <w:lang w:val="sr-Cyrl-RS"/>
        </w:rPr>
        <w:t>унапредити</w:t>
      </w:r>
      <w:r w:rsidR="003C7462" w:rsidRPr="00EF2F18">
        <w:rPr>
          <w:rFonts w:ascii="Times New Roman" w:hAnsi="Times New Roman" w:cs="Times New Roman"/>
          <w:sz w:val="22"/>
          <w:szCs w:val="22"/>
          <w:lang w:val="sr-Cyrl-RS"/>
        </w:rPr>
        <w:t xml:space="preserve"> поновн</w:t>
      </w:r>
      <w:r w:rsidR="00BA1EAD" w:rsidRPr="00EF2F18">
        <w:rPr>
          <w:rFonts w:ascii="Times New Roman" w:hAnsi="Times New Roman" w:cs="Times New Roman"/>
          <w:sz w:val="22"/>
          <w:szCs w:val="22"/>
          <w:lang w:val="sr-Cyrl-RS"/>
        </w:rPr>
        <w:t>у</w:t>
      </w:r>
      <w:r w:rsidR="003C7462" w:rsidRPr="00EF2F18">
        <w:rPr>
          <w:rFonts w:ascii="Times New Roman" w:hAnsi="Times New Roman" w:cs="Times New Roman"/>
          <w:sz w:val="22"/>
          <w:szCs w:val="22"/>
          <w:lang w:val="sr-Cyrl-RS"/>
        </w:rPr>
        <w:t xml:space="preserve"> употреб</w:t>
      </w:r>
      <w:r w:rsidR="00BA1EAD" w:rsidRPr="00EF2F18">
        <w:rPr>
          <w:rFonts w:ascii="Times New Roman" w:hAnsi="Times New Roman" w:cs="Times New Roman"/>
          <w:sz w:val="22"/>
          <w:szCs w:val="22"/>
          <w:lang w:val="sr-Cyrl-RS"/>
        </w:rPr>
        <w:t>у</w:t>
      </w:r>
      <w:r w:rsidR="003C7462" w:rsidRPr="00EF2F18">
        <w:rPr>
          <w:rFonts w:ascii="Times New Roman" w:hAnsi="Times New Roman" w:cs="Times New Roman"/>
          <w:sz w:val="22"/>
          <w:szCs w:val="22"/>
          <w:lang w:val="sr-Cyrl-RS"/>
        </w:rPr>
        <w:t xml:space="preserve"> и рециклаж</w:t>
      </w:r>
      <w:r w:rsidR="00BA1EAD" w:rsidRPr="00EF2F18">
        <w:rPr>
          <w:rFonts w:ascii="Times New Roman" w:hAnsi="Times New Roman" w:cs="Times New Roman"/>
          <w:sz w:val="22"/>
          <w:szCs w:val="22"/>
          <w:lang w:val="sr-Cyrl-RS"/>
        </w:rPr>
        <w:t>у</w:t>
      </w:r>
      <w:r w:rsidR="003C7462" w:rsidRPr="00EF2F18">
        <w:rPr>
          <w:rFonts w:ascii="Times New Roman" w:hAnsi="Times New Roman" w:cs="Times New Roman"/>
          <w:sz w:val="22"/>
          <w:szCs w:val="22"/>
          <w:lang w:val="sr-Cyrl-RS"/>
        </w:rPr>
        <w:t xml:space="preserve"> грађевинског отпада.</w:t>
      </w:r>
    </w:p>
    <w:p w14:paraId="1B7BF9D0" w14:textId="0F1F5F68" w:rsidR="00EC5250" w:rsidRPr="00EF2F18" w:rsidRDefault="00EC5250" w:rsidP="00EC5250">
      <w:pPr>
        <w:tabs>
          <w:tab w:val="num" w:pos="720"/>
        </w:tabs>
        <w:spacing w:after="0"/>
        <w:jc w:val="both"/>
        <w:rPr>
          <w:rFonts w:cs="Times New Roman"/>
          <w:sz w:val="22"/>
          <w:lang w:val="sr-Cyrl-RS"/>
        </w:rPr>
      </w:pPr>
      <w:r w:rsidRPr="00EF2F18">
        <w:rPr>
          <w:rFonts w:cs="Times New Roman"/>
          <w:sz w:val="22"/>
          <w:lang w:val="sr-Cyrl-RS"/>
        </w:rPr>
        <w:tab/>
        <w:t>Усклађивање динамике подизања капацитета постројења за третман отпадних вода и адекватног третмана муља одржава уравнотежени баланс у оквиру управљања отпадом и спречава потенцијалн</w:t>
      </w:r>
      <w:r w:rsidR="00CF45B9" w:rsidRPr="00EF2F18">
        <w:rPr>
          <w:rFonts w:cs="Times New Roman"/>
          <w:sz w:val="22"/>
          <w:lang w:val="sr-Cyrl-RS"/>
        </w:rPr>
        <w:t>е</w:t>
      </w:r>
      <w:r w:rsidRPr="00EF2F18">
        <w:rPr>
          <w:rFonts w:cs="Times New Roman"/>
          <w:sz w:val="22"/>
          <w:lang w:val="sr-Cyrl-RS"/>
        </w:rPr>
        <w:t xml:space="preserve"> негативн</w:t>
      </w:r>
      <w:r w:rsidR="00CF45B9" w:rsidRPr="00EF2F18">
        <w:rPr>
          <w:rFonts w:cs="Times New Roman"/>
          <w:sz w:val="22"/>
          <w:lang w:val="sr-Cyrl-RS"/>
        </w:rPr>
        <w:t>е</w:t>
      </w:r>
      <w:r w:rsidRPr="00EF2F18">
        <w:rPr>
          <w:rFonts w:cs="Times New Roman"/>
          <w:sz w:val="22"/>
          <w:lang w:val="sr-Cyrl-RS"/>
        </w:rPr>
        <w:t xml:space="preserve"> последиц</w:t>
      </w:r>
      <w:r w:rsidR="00CF45B9" w:rsidRPr="00EF2F18">
        <w:rPr>
          <w:rFonts w:cs="Times New Roman"/>
          <w:sz w:val="22"/>
          <w:lang w:val="sr-Cyrl-RS"/>
        </w:rPr>
        <w:t>е</w:t>
      </w:r>
      <w:r w:rsidRPr="00EF2F18">
        <w:rPr>
          <w:rFonts w:cs="Times New Roman"/>
          <w:sz w:val="22"/>
          <w:lang w:val="sr-Cyrl-RS"/>
        </w:rPr>
        <w:t xml:space="preserve"> за животну средину и водне ресурсе. Синхронизација инфраструктурн</w:t>
      </w:r>
      <w:r w:rsidR="00DC04FB" w:rsidRPr="00EF2F18">
        <w:rPr>
          <w:rFonts w:cs="Times New Roman"/>
          <w:sz w:val="22"/>
          <w:lang w:val="sr-Cyrl-RS"/>
        </w:rPr>
        <w:t>их</w:t>
      </w:r>
      <w:r w:rsidRPr="00EF2F18">
        <w:rPr>
          <w:rFonts w:cs="Times New Roman"/>
          <w:sz w:val="22"/>
          <w:lang w:val="sr-Cyrl-RS"/>
        </w:rPr>
        <w:t xml:space="preserve"> пројек</w:t>
      </w:r>
      <w:r w:rsidR="00DC04FB" w:rsidRPr="00EF2F18">
        <w:rPr>
          <w:rFonts w:cs="Times New Roman"/>
          <w:sz w:val="22"/>
          <w:lang w:val="sr-Cyrl-RS"/>
        </w:rPr>
        <w:t>а</w:t>
      </w:r>
      <w:r w:rsidRPr="00EF2F18">
        <w:rPr>
          <w:rFonts w:cs="Times New Roman"/>
          <w:sz w:val="22"/>
          <w:lang w:val="sr-Cyrl-RS"/>
        </w:rPr>
        <w:t>т</w:t>
      </w:r>
      <w:r w:rsidR="00DC04FB" w:rsidRPr="00EF2F18">
        <w:rPr>
          <w:rFonts w:cs="Times New Roman"/>
          <w:sz w:val="22"/>
          <w:lang w:val="sr-Cyrl-RS"/>
        </w:rPr>
        <w:t>а</w:t>
      </w:r>
      <w:r w:rsidRPr="00EF2F18">
        <w:rPr>
          <w:rFonts w:cs="Times New Roman"/>
          <w:sz w:val="22"/>
          <w:lang w:val="sr-Cyrl-RS"/>
        </w:rPr>
        <w:t xml:space="preserve">, који </w:t>
      </w:r>
      <w:r w:rsidR="00DC04FB" w:rsidRPr="00EF2F18">
        <w:rPr>
          <w:rFonts w:cs="Times New Roman"/>
          <w:sz w:val="22"/>
          <w:lang w:val="sr-Cyrl-RS"/>
        </w:rPr>
        <w:t xml:space="preserve">се </w:t>
      </w:r>
      <w:r w:rsidRPr="00EF2F18">
        <w:rPr>
          <w:rFonts w:cs="Times New Roman"/>
          <w:sz w:val="22"/>
          <w:lang w:val="sr-Cyrl-RS"/>
        </w:rPr>
        <w:t>односе на изградњу пост</w:t>
      </w:r>
      <w:r w:rsidR="004E7BE1">
        <w:rPr>
          <w:rFonts w:cs="Times New Roman"/>
          <w:sz w:val="22"/>
          <w:lang w:val="sr-Cyrl-RS"/>
        </w:rPr>
        <w:t>р</w:t>
      </w:r>
      <w:r w:rsidRPr="00EF2F18">
        <w:rPr>
          <w:rFonts w:cs="Times New Roman"/>
          <w:sz w:val="22"/>
          <w:lang w:val="sr-Cyrl-RS"/>
        </w:rPr>
        <w:t xml:space="preserve">ојења за третман отпадних вода и третман муља, планирана је </w:t>
      </w:r>
      <w:r w:rsidR="00DC04FB" w:rsidRPr="00EF2F18">
        <w:rPr>
          <w:rFonts w:cs="Times New Roman"/>
          <w:sz w:val="22"/>
          <w:lang w:val="sr-Cyrl-RS"/>
        </w:rPr>
        <w:t>у Програму управљања муљем у Републици Србији за период 2023</w:t>
      </w:r>
      <w:r w:rsidR="004E7BE1">
        <w:rPr>
          <w:rFonts w:cs="Times New Roman"/>
          <w:sz w:val="22"/>
          <w:lang w:val="sr-Cyrl-RS"/>
        </w:rPr>
        <w:t xml:space="preserve"> – </w:t>
      </w:r>
      <w:r w:rsidR="00DC04FB" w:rsidRPr="00EF2F18">
        <w:rPr>
          <w:rFonts w:cs="Times New Roman"/>
          <w:sz w:val="22"/>
          <w:lang w:val="sr-Cyrl-RS"/>
        </w:rPr>
        <w:t>2032. године</w:t>
      </w:r>
      <w:r w:rsidR="003459DD" w:rsidRPr="00EF2F18">
        <w:rPr>
          <w:rFonts w:cs="Times New Roman"/>
          <w:sz w:val="22"/>
          <w:lang w:val="sr-Cyrl-RS"/>
        </w:rPr>
        <w:t xml:space="preserve"> („Службени гласник РС</w:t>
      </w:r>
      <w:r w:rsidR="004A231C" w:rsidRPr="00EF2F18">
        <w:rPr>
          <w:rFonts w:cs="Times New Roman"/>
          <w:sz w:val="22"/>
          <w:lang w:val="sr-Cyrl-RS"/>
        </w:rPr>
        <w:t>”,</w:t>
      </w:r>
      <w:r w:rsidR="003459DD" w:rsidRPr="00EF2F18">
        <w:rPr>
          <w:rFonts w:cs="Times New Roman"/>
          <w:sz w:val="22"/>
          <w:lang w:val="sr-Cyrl-RS"/>
        </w:rPr>
        <w:t xml:space="preserve"> број 84/23)</w:t>
      </w:r>
      <w:r w:rsidR="00DC04FB" w:rsidRPr="00EF2F18">
        <w:rPr>
          <w:rFonts w:cs="Times New Roman"/>
          <w:sz w:val="22"/>
          <w:lang w:val="sr-Cyrl-RS"/>
        </w:rPr>
        <w:t>,</w:t>
      </w:r>
      <w:r w:rsidR="006C2E00" w:rsidRPr="00EF2F18">
        <w:rPr>
          <w:rFonts w:cs="Times New Roman"/>
          <w:sz w:val="22"/>
          <w:lang w:val="sr-Cyrl-RS"/>
        </w:rPr>
        <w:t xml:space="preserve"> </w:t>
      </w:r>
      <w:r w:rsidR="00DC04FB" w:rsidRPr="00EF2F18">
        <w:rPr>
          <w:rFonts w:cs="Times New Roman"/>
          <w:sz w:val="22"/>
          <w:lang w:val="sr-Cyrl-RS"/>
        </w:rPr>
        <w:t>посебном документу јавне политике</w:t>
      </w:r>
      <w:r w:rsidR="006C2E00" w:rsidRPr="00EF2F18">
        <w:rPr>
          <w:rFonts w:cs="Times New Roman"/>
          <w:sz w:val="22"/>
          <w:lang w:val="sr-Cyrl-RS"/>
        </w:rPr>
        <w:t xml:space="preserve"> </w:t>
      </w:r>
      <w:r w:rsidR="00DC04FB" w:rsidRPr="00EF2F18">
        <w:rPr>
          <w:rFonts w:cs="Times New Roman"/>
          <w:sz w:val="22"/>
          <w:lang w:val="sr-Cyrl-RS"/>
        </w:rPr>
        <w:t>којим се утврђују мере за адекватно управљање муљем до 2032. године. У оквиру питања управљања муљем, треба ускладити прописе са правним тековинама ЕУ у области управљања муљем из постројења за пречишћавање отпадних вода. Такође, потребно је повећати инвестициона улагања којима се омогућава адекватно повећање степена искоришћења отпадног муља и ојачати институционалне и управљачке капацитете у овој области</w:t>
      </w:r>
      <w:r w:rsidRPr="00EF2F18">
        <w:rPr>
          <w:rFonts w:cs="Times New Roman"/>
          <w:sz w:val="22"/>
          <w:lang w:val="sr-Cyrl-RS"/>
        </w:rPr>
        <w:t>.</w:t>
      </w:r>
    </w:p>
    <w:p w14:paraId="184902AF" w14:textId="7F23EEC6" w:rsidR="004E2BBD" w:rsidRPr="00EF2F18" w:rsidRDefault="00EC5250" w:rsidP="00EC5250">
      <w:pPr>
        <w:tabs>
          <w:tab w:val="num" w:pos="720"/>
        </w:tabs>
        <w:spacing w:after="0"/>
        <w:jc w:val="both"/>
        <w:rPr>
          <w:rFonts w:cs="Times New Roman"/>
          <w:sz w:val="22"/>
          <w:lang w:val="sr-Cyrl-RS"/>
        </w:rPr>
      </w:pPr>
      <w:r w:rsidRPr="00EF2F18">
        <w:rPr>
          <w:rFonts w:cs="Times New Roman"/>
          <w:sz w:val="22"/>
          <w:lang w:val="sr-Cyrl-RS"/>
        </w:rPr>
        <w:tab/>
        <w:t>У области управљања хемикалијама (производа и рециклата) потребно је интензивирати активности којима се смањује ризик по животну средину и здравље људи и усагласити начин поступања са важећим прописима и међународним споразумима у области управљања хемикалијама</w:t>
      </w:r>
      <w:r w:rsidR="004E2BBD" w:rsidRPr="00EF2F18">
        <w:rPr>
          <w:rFonts w:cs="Times New Roman"/>
          <w:sz w:val="22"/>
          <w:lang w:val="sr-Cyrl-RS"/>
        </w:rPr>
        <w:t>.</w:t>
      </w:r>
    </w:p>
    <w:p w14:paraId="43F8AA7F" w14:textId="77777777" w:rsidR="004E2BBD" w:rsidRPr="00EF2F18" w:rsidRDefault="004E2BBD" w:rsidP="004E2BBD">
      <w:pPr>
        <w:spacing w:after="0"/>
        <w:jc w:val="both"/>
        <w:rPr>
          <w:rFonts w:cs="Times New Roman"/>
          <w:sz w:val="22"/>
          <w:lang w:val="sr-Cyrl-RS"/>
        </w:rPr>
      </w:pPr>
    </w:p>
    <w:p w14:paraId="35B1A972" w14:textId="05CC4332" w:rsidR="004E2BBD" w:rsidRPr="00EF2F18" w:rsidRDefault="0014322E" w:rsidP="00F34D8C">
      <w:pPr>
        <w:pStyle w:val="Heading2"/>
        <w:numPr>
          <w:ilvl w:val="1"/>
          <w:numId w:val="2"/>
        </w:numPr>
        <w:ind w:hanging="371"/>
        <w:jc w:val="center"/>
        <w:rPr>
          <w:rFonts w:cs="Times New Roman"/>
          <w:sz w:val="22"/>
          <w:szCs w:val="22"/>
          <w:lang w:val="sr-Cyrl-RS"/>
        </w:rPr>
      </w:pPr>
      <w:bookmarkStart w:id="107" w:name="_Toc158307731"/>
      <w:r w:rsidRPr="00EF2F18">
        <w:rPr>
          <w:rFonts w:cs="Times New Roman"/>
          <w:sz w:val="22"/>
          <w:szCs w:val="22"/>
          <w:lang w:val="sr-Cyrl-RS"/>
        </w:rPr>
        <w:t>Смањење загађења</w:t>
      </w:r>
      <w:r w:rsidR="004E2BBD" w:rsidRPr="00EF2F18">
        <w:rPr>
          <w:rFonts w:cs="Times New Roman"/>
          <w:sz w:val="22"/>
          <w:szCs w:val="22"/>
          <w:lang w:val="sr-Cyrl-RS"/>
        </w:rPr>
        <w:t xml:space="preserve"> животне средине</w:t>
      </w:r>
      <w:bookmarkEnd w:id="107"/>
    </w:p>
    <w:p w14:paraId="7BBE560C" w14:textId="77777777" w:rsidR="004E2BBD" w:rsidRPr="00EF2F18" w:rsidRDefault="004E2BBD" w:rsidP="004E2BBD">
      <w:pPr>
        <w:spacing w:after="0"/>
        <w:jc w:val="both"/>
        <w:rPr>
          <w:rFonts w:cs="Times New Roman"/>
          <w:sz w:val="22"/>
          <w:lang w:val="sr-Cyrl-RS"/>
        </w:rPr>
      </w:pPr>
    </w:p>
    <w:p w14:paraId="3DA97873" w14:textId="524F82FF" w:rsidR="00BF575B" w:rsidRPr="00EF2F18" w:rsidRDefault="00C73403" w:rsidP="00C73403">
      <w:pPr>
        <w:spacing w:after="0"/>
        <w:ind w:firstLine="709"/>
        <w:jc w:val="both"/>
        <w:rPr>
          <w:rFonts w:cs="Times New Roman"/>
          <w:sz w:val="22"/>
          <w:lang w:val="sr-Cyrl-RS"/>
        </w:rPr>
      </w:pPr>
      <w:r w:rsidRPr="00EF2F18">
        <w:rPr>
          <w:rFonts w:cs="Times New Roman"/>
          <w:sz w:val="22"/>
          <w:lang w:val="sr-Cyrl-RS"/>
        </w:rPr>
        <w:t xml:space="preserve">Овај </w:t>
      </w:r>
      <w:r w:rsidR="00BF575B" w:rsidRPr="00EF2F18">
        <w:rPr>
          <w:rFonts w:cs="Times New Roman"/>
          <w:sz w:val="22"/>
          <w:lang w:val="sr-Cyrl-RS"/>
        </w:rPr>
        <w:t xml:space="preserve">стуб Зелене агенде </w:t>
      </w:r>
      <w:r w:rsidRPr="00EF2F18">
        <w:rPr>
          <w:rFonts w:cs="Times New Roman"/>
          <w:sz w:val="22"/>
          <w:lang w:val="sr-Cyrl-RS"/>
        </w:rPr>
        <w:t>обухвата питања која се тичу смањењ</w:t>
      </w:r>
      <w:r w:rsidR="00CF45B9" w:rsidRPr="00EF2F18">
        <w:rPr>
          <w:rFonts w:cs="Times New Roman"/>
          <w:sz w:val="22"/>
          <w:lang w:val="sr-Cyrl-RS"/>
        </w:rPr>
        <w:t>а</w:t>
      </w:r>
      <w:r w:rsidRPr="00EF2F18">
        <w:rPr>
          <w:rFonts w:cs="Times New Roman"/>
          <w:sz w:val="22"/>
          <w:lang w:val="sr-Cyrl-RS"/>
        </w:rPr>
        <w:t xml:space="preserve"> загађења ваздуха, воде и земљишта</w:t>
      </w:r>
      <w:r w:rsidR="00BF575B" w:rsidRPr="00EF2F18">
        <w:rPr>
          <w:rFonts w:cs="Times New Roman"/>
          <w:sz w:val="22"/>
          <w:lang w:val="sr-Cyrl-RS"/>
        </w:rPr>
        <w:t xml:space="preserve"> </w:t>
      </w:r>
      <w:r w:rsidRPr="00EF2F18">
        <w:rPr>
          <w:rFonts w:cs="Times New Roman"/>
          <w:sz w:val="22"/>
          <w:lang w:val="sr-Cyrl-RS"/>
        </w:rPr>
        <w:t xml:space="preserve">која су од виталног значаја за здравље људи. </w:t>
      </w:r>
    </w:p>
    <w:p w14:paraId="55FAA509" w14:textId="3E7DC724" w:rsidR="00D967C1" w:rsidRPr="00EF2F18" w:rsidRDefault="00D967C1" w:rsidP="00D967C1">
      <w:pPr>
        <w:spacing w:after="0"/>
        <w:ind w:firstLine="709"/>
        <w:jc w:val="both"/>
        <w:rPr>
          <w:rFonts w:cs="Times New Roman"/>
          <w:sz w:val="22"/>
          <w:lang w:val="sr-Cyrl-RS"/>
        </w:rPr>
      </w:pPr>
      <w:r w:rsidRPr="00EF2F18">
        <w:rPr>
          <w:rFonts w:cs="Times New Roman"/>
          <w:sz w:val="22"/>
          <w:lang w:val="sr-Cyrl-RS"/>
        </w:rPr>
        <w:t>Република Србија, у складу са стандардима ЕУ, треба да</w:t>
      </w:r>
      <w:r w:rsidR="00CF45B9" w:rsidRPr="00EF2F18">
        <w:rPr>
          <w:rFonts w:cs="Times New Roman"/>
          <w:sz w:val="22"/>
          <w:lang w:val="sr-Cyrl-RS"/>
        </w:rPr>
        <w:t xml:space="preserve"> </w:t>
      </w:r>
      <w:r w:rsidRPr="00EF2F18">
        <w:rPr>
          <w:rFonts w:cs="Times New Roman"/>
          <w:sz w:val="22"/>
          <w:lang w:val="sr-Cyrl-RS"/>
        </w:rPr>
        <w:t xml:space="preserve">примени мере за смањење емисија штетних гасова, пречишћавање отпадних вода и управљање отпадом на еколошки одржив начин, на принципима циркуларне економије, </w:t>
      </w:r>
      <w:r w:rsidR="00CF45B9" w:rsidRPr="00EF2F18">
        <w:rPr>
          <w:rFonts w:cs="Times New Roman"/>
          <w:sz w:val="22"/>
          <w:lang w:val="sr-Cyrl-RS"/>
        </w:rPr>
        <w:t>и</w:t>
      </w:r>
      <w:r w:rsidRPr="00EF2F18">
        <w:rPr>
          <w:rFonts w:cs="Times New Roman"/>
          <w:sz w:val="22"/>
          <w:lang w:val="sr-Cyrl-RS"/>
        </w:rPr>
        <w:t xml:space="preserve"> да настави спровођење пројеката за изградњу и одржавање потребне инфраструктуре за пречишћавање отпадних вода за градове и регионе. </w:t>
      </w:r>
    </w:p>
    <w:p w14:paraId="04092245" w14:textId="2AF6DFC8" w:rsidR="00CC4BD6" w:rsidRPr="00EF2F18" w:rsidRDefault="00D967C1" w:rsidP="00D967C1">
      <w:pPr>
        <w:spacing w:after="0"/>
        <w:ind w:firstLine="709"/>
        <w:jc w:val="both"/>
        <w:rPr>
          <w:rFonts w:cs="Times New Roman"/>
          <w:sz w:val="22"/>
          <w:lang w:val="sr-Cyrl-RS"/>
        </w:rPr>
      </w:pPr>
      <w:r w:rsidRPr="00EF2F18">
        <w:rPr>
          <w:rFonts w:cs="Times New Roman"/>
          <w:sz w:val="22"/>
          <w:lang w:val="sr-Cyrl-RS"/>
        </w:rPr>
        <w:lastRenderedPageBreak/>
        <w:t>За смањење емисија загађујућих материја у ваздух, нарочито PM10 и PM2.5, које су</w:t>
      </w:r>
      <w:r w:rsidR="005E42D2" w:rsidRPr="00EF2F18">
        <w:rPr>
          <w:rFonts w:cs="Times New Roman"/>
          <w:sz w:val="22"/>
          <w:lang w:val="sr-Cyrl-RS"/>
        </w:rPr>
        <w:t xml:space="preserve"> </w:t>
      </w:r>
      <w:r w:rsidRPr="00EF2F18">
        <w:rPr>
          <w:rFonts w:cs="Times New Roman"/>
          <w:sz w:val="22"/>
          <w:lang w:val="sr-Cyrl-RS"/>
        </w:rPr>
        <w:t xml:space="preserve">последица загађења прашкастим материјама пореклом из индустријских постројења (термоелектране на угаљ), </w:t>
      </w:r>
      <w:r w:rsidR="0059022C" w:rsidRPr="00EF2F18">
        <w:rPr>
          <w:rFonts w:cs="Times New Roman"/>
          <w:sz w:val="22"/>
          <w:lang w:val="sr-Cyrl-RS"/>
        </w:rPr>
        <w:t>кућног грејања (пећи и котлови на дрва и угаљ, као и сагоревања отпада у домаћинствима) и саобраћаја (стара возила), потребно је спровести замену постојећих ложишта или њихову модернизацију, омогућити јавну финансијску подршку и подстаћи домаћинства да врше замену, обезбедити примену законских норми о квалитету ваздуха</w:t>
      </w:r>
      <w:r w:rsidR="00934B7E" w:rsidRPr="00EF2F18">
        <w:rPr>
          <w:rFonts w:cs="Times New Roman"/>
          <w:sz w:val="22"/>
          <w:lang w:val="sr-Cyrl-RS"/>
        </w:rPr>
        <w:t>.</w:t>
      </w:r>
      <w:r w:rsidR="006C2E00" w:rsidRPr="00EF2F18">
        <w:rPr>
          <w:rFonts w:cs="Times New Roman"/>
          <w:sz w:val="22"/>
          <w:lang w:val="sr-Cyrl-RS"/>
        </w:rPr>
        <w:t xml:space="preserve"> </w:t>
      </w:r>
      <w:r w:rsidR="00971A6B" w:rsidRPr="00EF2F18">
        <w:rPr>
          <w:rFonts w:cs="Times New Roman"/>
          <w:sz w:val="22"/>
          <w:lang w:val="sr-Cyrl-RS"/>
        </w:rPr>
        <w:t>Уз примену мера енергетске ефикасности, обзиром да до најзначајнијег смањења количине горива за загревање објеката долази са побољшањем изолације објеката (чак 20-30%), допринеће се смањењу утрошка електричне енергије односно енергената, а самим тим и емисија загађујућих материја. Унапређење система за праћење квалитета ваздуха, као и успостављање и извештавање о регистрима емисија и пројекцијама емисија доприноси процени ефикасности мера које се примењују у циљу смањења загађења</w:t>
      </w:r>
      <w:r w:rsidR="00934B7E" w:rsidRPr="00EF2F18">
        <w:rPr>
          <w:rFonts w:cs="Times New Roman"/>
          <w:sz w:val="22"/>
          <w:lang w:val="sr-Cyrl-RS"/>
        </w:rPr>
        <w:t>.</w:t>
      </w:r>
      <w:r w:rsidRPr="00EF2F18">
        <w:rPr>
          <w:rFonts w:cs="Times New Roman"/>
          <w:sz w:val="22"/>
          <w:lang w:val="sr-Cyrl-RS"/>
        </w:rPr>
        <w:t xml:space="preserve"> Смањење емисија пореклом из саобраћаја – азотни оксиди (NOx), угљен моноксид (CO), угљоводоници (HC), суспендоване честице (PM) – чађ, постиже се усвајањем ЕУРО 5 и ЕУРО 6 стандарда. Реконструкцијом индустријских постројења која потпадају под Директиву о индустријским емисијама, постиже се смањење емисија </w:t>
      </w:r>
      <w:r w:rsidR="00D96163" w:rsidRPr="00EF2F18">
        <w:rPr>
          <w:rFonts w:cs="Times New Roman"/>
          <w:sz w:val="22"/>
          <w:lang w:val="sr-Cyrl-RS"/>
        </w:rPr>
        <w:t>загађујућих материја</w:t>
      </w:r>
      <w:r w:rsidRPr="00EF2F18">
        <w:rPr>
          <w:rFonts w:cs="Times New Roman"/>
          <w:sz w:val="22"/>
          <w:lang w:val="sr-Cyrl-RS"/>
        </w:rPr>
        <w:t xml:space="preserve"> пореклом из тих постројења. За </w:t>
      </w:r>
      <w:r w:rsidR="00CF45B9" w:rsidRPr="00EF2F18">
        <w:rPr>
          <w:rFonts w:cs="Times New Roman"/>
          <w:sz w:val="22"/>
          <w:lang w:val="sr-Cyrl-RS"/>
        </w:rPr>
        <w:t>с</w:t>
      </w:r>
      <w:r w:rsidRPr="00EF2F18">
        <w:rPr>
          <w:rFonts w:cs="Times New Roman"/>
          <w:sz w:val="22"/>
          <w:lang w:val="sr-Cyrl-RS"/>
        </w:rPr>
        <w:t xml:space="preserve">мањење емисија амонијака, који се формира у реакцији </w:t>
      </w:r>
      <w:r w:rsidR="006E3CFD" w:rsidRPr="00EF2F18">
        <w:rPr>
          <w:rFonts w:cs="Times New Roman"/>
          <w:sz w:val="22"/>
          <w:lang w:val="sr-Cyrl-RS"/>
        </w:rPr>
        <w:t xml:space="preserve">неорганских </w:t>
      </w:r>
      <w:r w:rsidRPr="00EF2F18">
        <w:rPr>
          <w:rFonts w:cs="Times New Roman"/>
          <w:sz w:val="22"/>
          <w:lang w:val="sr-Cyrl-RS"/>
        </w:rPr>
        <w:t>ђубрива на бази урее са водом и ензимима, треба наставити са едукацијом пољопривредника и стварањем подстицаја за замену</w:t>
      </w:r>
      <w:r w:rsidR="006E3CFD" w:rsidRPr="00EF2F18">
        <w:rPr>
          <w:rFonts w:cs="Times New Roman"/>
          <w:sz w:val="22"/>
          <w:lang w:val="sr-Cyrl-RS"/>
        </w:rPr>
        <w:t xml:space="preserve"> неорганских</w:t>
      </w:r>
      <w:r w:rsidRPr="00EF2F18">
        <w:rPr>
          <w:rFonts w:cs="Times New Roman"/>
          <w:sz w:val="22"/>
          <w:lang w:val="sr-Cyrl-RS"/>
        </w:rPr>
        <w:t xml:space="preserve"> ђубрива на бази урее са </w:t>
      </w:r>
      <w:r w:rsidR="006E3CFD" w:rsidRPr="00EF2F18">
        <w:rPr>
          <w:rFonts w:cs="Times New Roman"/>
          <w:sz w:val="22"/>
          <w:lang w:val="sr-Cyrl-RS"/>
        </w:rPr>
        <w:t xml:space="preserve">неорганским </w:t>
      </w:r>
      <w:r w:rsidRPr="00EF2F18">
        <w:rPr>
          <w:rFonts w:cs="Times New Roman"/>
          <w:sz w:val="22"/>
          <w:lang w:val="sr-Cyrl-RS"/>
        </w:rPr>
        <w:t>ђубривима на бази амонијум-нитрата. Наведене мере су идентификоване у Програму заштите ваздуха за период 2022-2030. године</w:t>
      </w:r>
      <w:r w:rsidR="003459DD" w:rsidRPr="00EF2F18">
        <w:rPr>
          <w:rFonts w:cs="Times New Roman"/>
          <w:sz w:val="22"/>
          <w:lang w:val="sr-Cyrl-RS"/>
        </w:rPr>
        <w:t xml:space="preserve"> са Акционим планом („Службени гласник РС</w:t>
      </w:r>
      <w:r w:rsidR="004A231C" w:rsidRPr="00EF2F18">
        <w:rPr>
          <w:rFonts w:cs="Times New Roman"/>
          <w:sz w:val="22"/>
          <w:lang w:val="sr-Cyrl-RS"/>
        </w:rPr>
        <w:t>”,</w:t>
      </w:r>
      <w:r w:rsidR="003459DD" w:rsidRPr="00EF2F18">
        <w:rPr>
          <w:rFonts w:cs="Times New Roman"/>
          <w:sz w:val="22"/>
          <w:lang w:val="sr-Cyrl-RS"/>
        </w:rPr>
        <w:t xml:space="preserve"> број 140/22)</w:t>
      </w:r>
      <w:r w:rsidRPr="00EF2F18">
        <w:rPr>
          <w:rFonts w:cs="Times New Roman"/>
          <w:sz w:val="22"/>
          <w:lang w:val="sr-Cyrl-RS"/>
        </w:rPr>
        <w:t>.</w:t>
      </w:r>
      <w:r w:rsidR="00CF45B9" w:rsidRPr="00EF2F18">
        <w:rPr>
          <w:rFonts w:cs="Times New Roman"/>
          <w:sz w:val="22"/>
          <w:lang w:val="sr-Cyrl-RS"/>
        </w:rPr>
        <w:t xml:space="preserve"> </w:t>
      </w:r>
    </w:p>
    <w:p w14:paraId="34EF0642" w14:textId="548759C2" w:rsidR="00D967C1" w:rsidRPr="00EF2F18" w:rsidRDefault="00CC001E" w:rsidP="00D967C1">
      <w:pPr>
        <w:spacing w:after="0"/>
        <w:ind w:firstLine="709"/>
        <w:jc w:val="both"/>
        <w:rPr>
          <w:rFonts w:cs="Times New Roman"/>
          <w:sz w:val="22"/>
          <w:lang w:val="sr-Cyrl-RS"/>
        </w:rPr>
      </w:pPr>
      <w:r w:rsidRPr="00EF2F18">
        <w:rPr>
          <w:rFonts w:cs="Times New Roman"/>
          <w:sz w:val="22"/>
          <w:lang w:val="sr-Cyrl-RS"/>
        </w:rPr>
        <w:t xml:space="preserve">Посебни изазови у заштити вода представљају притисци на количину воде која се црпи за потребе индустрије, пољопривреде и јавног водоснабдевања, повећање хидроенергетског капацитета са негативним утицајем на животну средину и испуштање непречишћених отпадних вода. Њихово превазилажење </w:t>
      </w:r>
      <w:r w:rsidR="00D967C1" w:rsidRPr="00EF2F18">
        <w:rPr>
          <w:rFonts w:cs="Times New Roman"/>
          <w:sz w:val="22"/>
          <w:lang w:val="sr-Cyrl-RS"/>
        </w:rPr>
        <w:t>се постиже унапређењем и осавремењивањем постојеће, као и изградњом нове инфраструктуре за третман отпадних вода за градове и регионе, а такође и изградњом нове и заменом дотрајале водоводне мреже ради унапређења контроле хигијенске исправности воде. Наведене мере за смањење загађења вода су усклађ</w:t>
      </w:r>
      <w:r w:rsidR="00CF45B9" w:rsidRPr="00EF2F18">
        <w:rPr>
          <w:rFonts w:cs="Times New Roman"/>
          <w:sz w:val="22"/>
          <w:lang w:val="sr-Cyrl-RS"/>
        </w:rPr>
        <w:t>ене</w:t>
      </w:r>
      <w:r w:rsidR="00D967C1" w:rsidRPr="00EF2F18">
        <w:rPr>
          <w:rFonts w:cs="Times New Roman"/>
          <w:sz w:val="22"/>
          <w:lang w:val="sr-Cyrl-RS"/>
        </w:rPr>
        <w:t xml:space="preserve"> са Стратегијом управљања водама на територији</w:t>
      </w:r>
      <w:r w:rsidR="00CF45B9" w:rsidRPr="00EF2F18">
        <w:rPr>
          <w:rFonts w:cs="Times New Roman"/>
          <w:sz w:val="22"/>
          <w:lang w:val="sr-Cyrl-RS"/>
        </w:rPr>
        <w:t xml:space="preserve"> Републике Србије</w:t>
      </w:r>
      <w:r w:rsidR="00D967C1" w:rsidRPr="00EF2F18">
        <w:rPr>
          <w:rFonts w:cs="Times New Roman"/>
          <w:sz w:val="22"/>
          <w:lang w:val="sr-Cyrl-RS"/>
        </w:rPr>
        <w:t xml:space="preserve"> за период до 2034. године и Планом управљања водама</w:t>
      </w:r>
      <w:r w:rsidR="00FA7222" w:rsidRPr="00EF2F18">
        <w:rPr>
          <w:rFonts w:cs="Times New Roman"/>
          <w:sz w:val="22"/>
          <w:lang w:val="sr-Cyrl-RS"/>
        </w:rPr>
        <w:t xml:space="preserve"> </w:t>
      </w:r>
      <w:r w:rsidR="00D967C1" w:rsidRPr="00EF2F18">
        <w:rPr>
          <w:rFonts w:cs="Times New Roman"/>
          <w:sz w:val="22"/>
          <w:lang w:val="sr-Cyrl-RS"/>
        </w:rPr>
        <w:t>до 2027. године</w:t>
      </w:r>
      <w:r w:rsidR="003459DD" w:rsidRPr="00EF2F18">
        <w:rPr>
          <w:rFonts w:cs="Times New Roman"/>
          <w:sz w:val="22"/>
          <w:lang w:val="sr-Cyrl-RS"/>
        </w:rPr>
        <w:t xml:space="preserve"> („Службени гласник РС</w:t>
      </w:r>
      <w:r w:rsidR="00865FD0" w:rsidRPr="00EF2F18">
        <w:rPr>
          <w:rFonts w:cs="Times New Roman"/>
          <w:sz w:val="22"/>
          <w:lang w:val="sr-Cyrl-RS"/>
        </w:rPr>
        <w:t>”,</w:t>
      </w:r>
      <w:r w:rsidR="003459DD" w:rsidRPr="00EF2F18">
        <w:rPr>
          <w:rFonts w:cs="Times New Roman"/>
          <w:sz w:val="22"/>
          <w:lang w:val="sr-Cyrl-RS"/>
        </w:rPr>
        <w:t xml:space="preserve"> број 33/23)</w:t>
      </w:r>
      <w:r w:rsidR="00187D5B" w:rsidRPr="00EF2F18">
        <w:rPr>
          <w:rFonts w:cs="Times New Roman"/>
          <w:sz w:val="22"/>
          <w:lang w:val="sr-Cyrl-RS"/>
        </w:rPr>
        <w:t>.</w:t>
      </w:r>
    </w:p>
    <w:p w14:paraId="76DE438C" w14:textId="604C5A92" w:rsidR="004E2BBD" w:rsidRPr="00EF2F18" w:rsidRDefault="00D967C1" w:rsidP="00BA1EAD">
      <w:pPr>
        <w:spacing w:after="0"/>
        <w:ind w:firstLine="709"/>
        <w:jc w:val="both"/>
        <w:rPr>
          <w:rFonts w:cs="Times New Roman"/>
          <w:sz w:val="22"/>
          <w:lang w:val="sr-Cyrl-RS"/>
        </w:rPr>
      </w:pPr>
      <w:r w:rsidRPr="00EF2F18">
        <w:rPr>
          <w:rFonts w:cs="Times New Roman"/>
          <w:sz w:val="22"/>
          <w:lang w:val="sr-Cyrl-RS"/>
        </w:rPr>
        <w:t>Заштита земљишта подразумева</w:t>
      </w:r>
      <w:r w:rsidR="00CF45B9" w:rsidRPr="00EF2F18">
        <w:rPr>
          <w:rFonts w:cs="Times New Roman"/>
          <w:sz w:val="22"/>
          <w:lang w:val="sr-Cyrl-RS"/>
        </w:rPr>
        <w:t xml:space="preserve"> </w:t>
      </w:r>
      <w:r w:rsidRPr="00EF2F18">
        <w:rPr>
          <w:rFonts w:cs="Times New Roman"/>
          <w:sz w:val="22"/>
          <w:lang w:val="sr-Cyrl-RS"/>
        </w:rPr>
        <w:t>мере против деградације земљишта и обнављање деградираног земљишта, кој</w:t>
      </w:r>
      <w:r w:rsidR="00CF45B9" w:rsidRPr="00EF2F18">
        <w:rPr>
          <w:rFonts w:cs="Times New Roman"/>
          <w:sz w:val="22"/>
          <w:lang w:val="sr-Cyrl-RS"/>
        </w:rPr>
        <w:t>е</w:t>
      </w:r>
      <w:r w:rsidRPr="00EF2F18">
        <w:rPr>
          <w:rFonts w:cs="Times New Roman"/>
          <w:sz w:val="22"/>
          <w:lang w:val="sr-Cyrl-RS"/>
        </w:rPr>
        <w:t xml:space="preserve"> укључује мере за одрживу производњу хране, одрживо управљање шумама, управљање органским угљеником у земљишту, очување екосистема и смањењ</w:t>
      </w:r>
      <w:r w:rsidR="007E47A0">
        <w:rPr>
          <w:rFonts w:cs="Times New Roman"/>
          <w:sz w:val="22"/>
          <w:lang w:val="sr-Cyrl-RS"/>
        </w:rPr>
        <w:t>е крчења шума, у складу са стан</w:t>
      </w:r>
      <w:r w:rsidRPr="00EF2F18">
        <w:rPr>
          <w:rFonts w:cs="Times New Roman"/>
          <w:sz w:val="22"/>
          <w:lang w:val="sr-Cyrl-RS"/>
        </w:rPr>
        <w:t xml:space="preserve">дардима ЕУ. </w:t>
      </w:r>
      <w:r w:rsidR="001B559F" w:rsidRPr="00EF2F18">
        <w:rPr>
          <w:rFonts w:cs="Times New Roman"/>
          <w:sz w:val="22"/>
          <w:lang w:val="sr-Cyrl-RS"/>
        </w:rPr>
        <w:t>Смањење з</w:t>
      </w:r>
      <w:r w:rsidRPr="00EF2F18">
        <w:rPr>
          <w:rFonts w:cs="Times New Roman"/>
          <w:sz w:val="22"/>
          <w:lang w:val="sr-Cyrl-RS"/>
        </w:rPr>
        <w:t>агађењ</w:t>
      </w:r>
      <w:r w:rsidR="001B559F" w:rsidRPr="00EF2F18">
        <w:rPr>
          <w:rFonts w:cs="Times New Roman"/>
          <w:sz w:val="22"/>
          <w:lang w:val="sr-Cyrl-RS"/>
        </w:rPr>
        <w:t>а</w:t>
      </w:r>
      <w:r w:rsidRPr="00EF2F18">
        <w:rPr>
          <w:rFonts w:cs="Times New Roman"/>
          <w:sz w:val="22"/>
          <w:lang w:val="sr-Cyrl-RS"/>
        </w:rPr>
        <w:t xml:space="preserve"> земљишта на контаминираним локацијама се постиже њиховом рекултивацијом. Посебно је потребно унапредити и управљање </w:t>
      </w:r>
      <w:r w:rsidR="001B559F" w:rsidRPr="00EF2F18">
        <w:rPr>
          <w:rFonts w:cs="Times New Roman"/>
          <w:sz w:val="22"/>
          <w:lang w:val="sr-Cyrl-RS"/>
        </w:rPr>
        <w:t>к</w:t>
      </w:r>
      <w:r w:rsidRPr="00EF2F18">
        <w:rPr>
          <w:rFonts w:cs="Times New Roman"/>
          <w:sz w:val="22"/>
          <w:lang w:val="sr-Cyrl-RS"/>
        </w:rPr>
        <w:t>онтаминиран</w:t>
      </w:r>
      <w:r w:rsidR="001B559F" w:rsidRPr="00EF2F18">
        <w:rPr>
          <w:rFonts w:cs="Times New Roman"/>
          <w:sz w:val="22"/>
          <w:lang w:val="sr-Cyrl-RS"/>
        </w:rPr>
        <w:t>им</w:t>
      </w:r>
      <w:r w:rsidRPr="00EF2F18">
        <w:rPr>
          <w:rFonts w:cs="Times New Roman"/>
          <w:sz w:val="22"/>
          <w:lang w:val="sr-Cyrl-RS"/>
        </w:rPr>
        <w:t xml:space="preserve"> локациј</w:t>
      </w:r>
      <w:r w:rsidR="001B559F" w:rsidRPr="00EF2F18">
        <w:rPr>
          <w:rFonts w:cs="Times New Roman"/>
          <w:sz w:val="22"/>
          <w:lang w:val="sr-Cyrl-RS"/>
        </w:rPr>
        <w:t xml:space="preserve">ама. </w:t>
      </w:r>
      <w:r w:rsidRPr="00EF2F18">
        <w:rPr>
          <w:rFonts w:cs="Times New Roman"/>
          <w:sz w:val="22"/>
          <w:lang w:val="sr-Cyrl-RS"/>
        </w:rPr>
        <w:t>Како је обавезу заштите земљишта неопходно интегрисати у друге релевантне области, односно јавне политике</w:t>
      </w:r>
      <w:r w:rsidR="00CF45B9" w:rsidRPr="00EF2F18">
        <w:rPr>
          <w:rFonts w:cs="Times New Roman"/>
          <w:sz w:val="22"/>
          <w:lang w:val="sr-Cyrl-RS"/>
        </w:rPr>
        <w:t>,</w:t>
      </w:r>
      <w:r w:rsidRPr="00EF2F18">
        <w:rPr>
          <w:rFonts w:cs="Times New Roman"/>
          <w:sz w:val="22"/>
          <w:lang w:val="sr-Cyrl-RS"/>
        </w:rPr>
        <w:t xml:space="preserve"> потребно је наставити са</w:t>
      </w:r>
      <w:r w:rsidR="005E42D2" w:rsidRPr="00EF2F18">
        <w:rPr>
          <w:rFonts w:cs="Times New Roman"/>
          <w:sz w:val="22"/>
          <w:lang w:val="sr-Cyrl-RS"/>
        </w:rPr>
        <w:t xml:space="preserve"> </w:t>
      </w:r>
      <w:r w:rsidRPr="00EF2F18">
        <w:rPr>
          <w:rFonts w:cs="Times New Roman"/>
          <w:sz w:val="22"/>
          <w:lang w:val="sr-Cyrl-RS"/>
        </w:rPr>
        <w:t>активности</w:t>
      </w:r>
      <w:r w:rsidR="00CF45B9" w:rsidRPr="00EF2F18">
        <w:rPr>
          <w:rFonts w:cs="Times New Roman"/>
          <w:sz w:val="22"/>
          <w:lang w:val="sr-Cyrl-RS"/>
        </w:rPr>
        <w:t>ма</w:t>
      </w:r>
      <w:r w:rsidRPr="00EF2F18">
        <w:rPr>
          <w:rFonts w:cs="Times New Roman"/>
          <w:sz w:val="22"/>
          <w:lang w:val="sr-Cyrl-RS"/>
        </w:rPr>
        <w:t xml:space="preserve"> на размени знања и утврдити и применити примере најбоље праксе за заштиту земљишта од загађења и деградације</w:t>
      </w:r>
      <w:r w:rsidR="004E2BBD" w:rsidRPr="00EF2F18">
        <w:rPr>
          <w:rFonts w:cs="Times New Roman"/>
          <w:sz w:val="22"/>
          <w:lang w:val="sr-Cyrl-RS"/>
        </w:rPr>
        <w:t>.</w:t>
      </w:r>
      <w:r w:rsidR="00BA1EAD" w:rsidRPr="00EF2F18">
        <w:rPr>
          <w:rFonts w:cs="Times New Roman"/>
          <w:sz w:val="22"/>
          <w:lang w:val="sr-Cyrl-RS"/>
        </w:rPr>
        <w:t xml:space="preserve"> Потребно је унапредити заштиту ерозионих подручја комбинациј</w:t>
      </w:r>
      <w:r w:rsidR="00DA5555">
        <w:rPr>
          <w:rFonts w:cs="Times New Roman"/>
          <w:sz w:val="22"/>
          <w:lang w:val="sr-Cyrl-RS"/>
        </w:rPr>
        <w:t>ом ограничења у коришћењу и био</w:t>
      </w:r>
      <w:r w:rsidR="00BA1EAD" w:rsidRPr="00EF2F18">
        <w:rPr>
          <w:rFonts w:cs="Times New Roman"/>
          <w:sz w:val="22"/>
          <w:lang w:val="sr-Cyrl-RS"/>
        </w:rPr>
        <w:t>техничких радова уз уважавање решења заснованих на природи.</w:t>
      </w:r>
      <w:r w:rsidR="0023535B" w:rsidRPr="00EF2F18">
        <w:rPr>
          <w:rFonts w:cs="Times New Roman"/>
          <w:sz w:val="22"/>
          <w:lang w:val="sr-Cyrl-RS"/>
        </w:rPr>
        <w:t xml:space="preserve"> Како би се зауставила даља деградација пољопривредног земљишта потребно је активно промовисати и кроз документе јавних политика подржати праксе регенеративне пољопривреде, које директно доприносе повећању органске материје у земљишту.</w:t>
      </w:r>
    </w:p>
    <w:p w14:paraId="75C4577E" w14:textId="77777777" w:rsidR="00CF7FF5" w:rsidRPr="00EF2F18" w:rsidRDefault="00CF7FF5" w:rsidP="00CF7FF5">
      <w:pPr>
        <w:spacing w:after="0"/>
        <w:ind w:firstLine="709"/>
        <w:jc w:val="both"/>
        <w:rPr>
          <w:rFonts w:cs="Times New Roman"/>
          <w:sz w:val="22"/>
          <w:lang w:val="sr-Cyrl-RS"/>
        </w:rPr>
      </w:pPr>
    </w:p>
    <w:p w14:paraId="6B6398F8" w14:textId="63EBD542" w:rsidR="004E2BBD" w:rsidRPr="00EF2F18" w:rsidRDefault="004E2BBD" w:rsidP="00F34D8C">
      <w:pPr>
        <w:pStyle w:val="Heading2"/>
        <w:numPr>
          <w:ilvl w:val="1"/>
          <w:numId w:val="2"/>
        </w:numPr>
        <w:ind w:hanging="371"/>
        <w:jc w:val="center"/>
        <w:rPr>
          <w:rFonts w:cs="Times New Roman"/>
          <w:sz w:val="22"/>
          <w:szCs w:val="22"/>
          <w:lang w:val="sr-Cyrl-RS"/>
        </w:rPr>
      </w:pPr>
      <w:bookmarkStart w:id="108" w:name="_Toc158307732"/>
      <w:r w:rsidRPr="00EF2F18">
        <w:rPr>
          <w:rFonts w:cs="Times New Roman"/>
          <w:sz w:val="22"/>
          <w:szCs w:val="22"/>
          <w:lang w:val="sr-Cyrl-RS"/>
        </w:rPr>
        <w:t>Биодиверзитет и екосистеми</w:t>
      </w:r>
      <w:bookmarkEnd w:id="108"/>
    </w:p>
    <w:p w14:paraId="66F041DA" w14:textId="77777777" w:rsidR="004E2BBD" w:rsidRPr="00EF2F18" w:rsidRDefault="004E2BBD" w:rsidP="004E2BBD">
      <w:pPr>
        <w:spacing w:after="0"/>
        <w:jc w:val="both"/>
        <w:rPr>
          <w:rFonts w:cs="Times New Roman"/>
          <w:sz w:val="22"/>
          <w:lang w:val="sr-Cyrl-RS"/>
        </w:rPr>
      </w:pPr>
    </w:p>
    <w:p w14:paraId="37280E72" w14:textId="42ECB8AF" w:rsidR="00BF575B" w:rsidRPr="00EF2F18" w:rsidRDefault="00C73403" w:rsidP="00C73403">
      <w:pPr>
        <w:autoSpaceDE w:val="0"/>
        <w:autoSpaceDN w:val="0"/>
        <w:adjustRightInd w:val="0"/>
        <w:spacing w:after="0"/>
        <w:ind w:firstLine="709"/>
        <w:jc w:val="both"/>
        <w:rPr>
          <w:rFonts w:cs="Times New Roman"/>
          <w:sz w:val="22"/>
          <w:lang w:val="sr-Cyrl-RS"/>
        </w:rPr>
      </w:pPr>
      <w:r w:rsidRPr="00EF2F18">
        <w:rPr>
          <w:rFonts w:cs="Times New Roman"/>
          <w:sz w:val="22"/>
          <w:lang w:val="sr-Cyrl-RS"/>
        </w:rPr>
        <w:t xml:space="preserve">У оквиру овог </w:t>
      </w:r>
      <w:r w:rsidR="00BF575B" w:rsidRPr="00EF2F18">
        <w:rPr>
          <w:rFonts w:cs="Times New Roman"/>
          <w:sz w:val="22"/>
          <w:lang w:val="sr-Cyrl-RS"/>
        </w:rPr>
        <w:t xml:space="preserve">стуба Зелене агенде </w:t>
      </w:r>
      <w:r w:rsidR="00AB0C3F" w:rsidRPr="00EF2F18">
        <w:rPr>
          <w:sz w:val="22"/>
          <w:lang w:val="sr-Cyrl-RS"/>
        </w:rPr>
        <w:t>наставља се дугорочни</w:t>
      </w:r>
      <w:r w:rsidR="00BF575B" w:rsidRPr="00EF2F18">
        <w:rPr>
          <w:sz w:val="22"/>
          <w:lang w:val="sr-Cyrl-RS"/>
        </w:rPr>
        <w:t xml:space="preserve"> рад на заустављањ</w:t>
      </w:r>
      <w:r w:rsidR="00AB0C3F" w:rsidRPr="00EF2F18">
        <w:rPr>
          <w:sz w:val="22"/>
          <w:lang w:val="sr-Cyrl-RS"/>
        </w:rPr>
        <w:t>у</w:t>
      </w:r>
      <w:r w:rsidR="00BF575B" w:rsidRPr="00EF2F18">
        <w:rPr>
          <w:sz w:val="22"/>
          <w:lang w:val="sr-Cyrl-RS"/>
        </w:rPr>
        <w:t xml:space="preserve"> губитка биодиверзитета</w:t>
      </w:r>
      <w:r w:rsidR="00AB0C3F" w:rsidRPr="00EF2F18">
        <w:rPr>
          <w:sz w:val="22"/>
          <w:lang w:val="sr-Cyrl-RS"/>
        </w:rPr>
        <w:t xml:space="preserve"> и</w:t>
      </w:r>
      <w:r w:rsidR="00BF575B" w:rsidRPr="00EF2F18">
        <w:rPr>
          <w:sz w:val="22"/>
          <w:lang w:val="sr-Cyrl-RS"/>
        </w:rPr>
        <w:t xml:space="preserve"> заштит</w:t>
      </w:r>
      <w:r w:rsidR="00AB0C3F" w:rsidRPr="00EF2F18">
        <w:rPr>
          <w:sz w:val="22"/>
          <w:lang w:val="sr-Cyrl-RS"/>
        </w:rPr>
        <w:t>и</w:t>
      </w:r>
      <w:r w:rsidR="00BF575B" w:rsidRPr="00EF2F18">
        <w:rPr>
          <w:sz w:val="22"/>
          <w:lang w:val="sr-Cyrl-RS"/>
        </w:rPr>
        <w:t xml:space="preserve"> и </w:t>
      </w:r>
      <w:r w:rsidR="009F1B47" w:rsidRPr="00EF2F18">
        <w:rPr>
          <w:sz w:val="22"/>
          <w:lang w:val="sr-Cyrl-RS"/>
        </w:rPr>
        <w:t xml:space="preserve">обнављању </w:t>
      </w:r>
      <w:r w:rsidR="00BF575B" w:rsidRPr="00EF2F18">
        <w:rPr>
          <w:sz w:val="22"/>
          <w:lang w:val="sr-Cyrl-RS"/>
        </w:rPr>
        <w:t>екосистема.</w:t>
      </w:r>
    </w:p>
    <w:p w14:paraId="6D8B1673" w14:textId="7107C848" w:rsidR="00D967C1" w:rsidRPr="00EF2F18" w:rsidRDefault="00D967C1" w:rsidP="00D475FB">
      <w:pPr>
        <w:autoSpaceDE w:val="0"/>
        <w:autoSpaceDN w:val="0"/>
        <w:adjustRightInd w:val="0"/>
        <w:spacing w:after="0"/>
        <w:ind w:firstLine="709"/>
        <w:jc w:val="both"/>
        <w:rPr>
          <w:rFonts w:cs="Times New Roman"/>
          <w:sz w:val="22"/>
          <w:lang w:val="sr-Cyrl-RS"/>
        </w:rPr>
      </w:pPr>
      <w:r w:rsidRPr="00EF2F18">
        <w:rPr>
          <w:rFonts w:cs="Times New Roman"/>
          <w:sz w:val="22"/>
          <w:lang w:val="sr-Cyrl-RS"/>
        </w:rPr>
        <w:t>Република Србија треба да посвети посебну пажњу заштити биодиверзитета и проблему опстанка екосистема. Очување шума, водних ресурса, заштићених подручја и заштита биолошке разноврсности су од кључног значаја за заштиту животне средине и одрживи развој. To подразумева развијање ефикасног система управљања врстама, типовима станишта, заштићеним подручјима и еколошком мрежом. С тим у вези, треба наставити успостављање интегрисаног информационог система и обезбе</w:t>
      </w:r>
      <w:r w:rsidR="001B559F" w:rsidRPr="00EF2F18">
        <w:rPr>
          <w:rFonts w:cs="Times New Roman"/>
          <w:sz w:val="22"/>
          <w:lang w:val="sr-Cyrl-RS"/>
        </w:rPr>
        <w:t>ђивања</w:t>
      </w:r>
      <w:r w:rsidRPr="00EF2F18">
        <w:rPr>
          <w:rFonts w:cs="Times New Roman"/>
          <w:sz w:val="22"/>
          <w:lang w:val="sr-Cyrl-RS"/>
        </w:rPr>
        <w:t xml:space="preserve"> континуираног праћења, као и измене прописа у области управљања заштићеним подручјима и инвазивним врстама. За боље планирање, </w:t>
      </w:r>
      <w:r w:rsidRPr="00EF2F18">
        <w:rPr>
          <w:rFonts w:cs="Times New Roman"/>
          <w:sz w:val="22"/>
          <w:lang w:val="sr-Cyrl-RS"/>
        </w:rPr>
        <w:lastRenderedPageBreak/>
        <w:t xml:space="preserve">праћење напретка и ефикасније коришћење ресурса неопходно је обезбедити правовремено прибављање информација о стању одабраних група организама као реакцију на промене стања животне средине. Такође, Република Србија треба да заврши мапирање заштићених врста и станишта еколошке мреже (у складу са мрежом </w:t>
      </w:r>
      <w:r w:rsidR="00A552A9" w:rsidRPr="00EF2F18">
        <w:rPr>
          <w:rFonts w:cs="Times New Roman"/>
          <w:sz w:val="22"/>
          <w:lang w:val="sr-Cyrl-RS"/>
        </w:rPr>
        <w:t>НАТУРА</w:t>
      </w:r>
      <w:r w:rsidRPr="00EF2F18">
        <w:rPr>
          <w:rFonts w:cs="Times New Roman"/>
          <w:sz w:val="22"/>
          <w:lang w:val="sr-Cyrl-RS"/>
        </w:rPr>
        <w:t xml:space="preserve"> 2000), што омогућава укључивање Републике Србије са одређеним листама станишта, ретких и заштићених биолошких врста у наведену мрежу.</w:t>
      </w:r>
      <w:r w:rsidR="003566D1" w:rsidRPr="00EF2F18">
        <w:rPr>
          <w:rFonts w:cs="Times New Roman"/>
          <w:iCs/>
          <w:sz w:val="22"/>
          <w:lang w:val="sr-Cyrl-RS"/>
        </w:rPr>
        <w:t xml:space="preserve"> Издвајањем и заштитом еколошких коридора омогућити миграције дивљих врста, са посебним освртом на миграције које наступају услед измењених климатских услова.</w:t>
      </w:r>
    </w:p>
    <w:p w14:paraId="0BE925D4" w14:textId="5F858082" w:rsidR="00D967C1" w:rsidRPr="00EF2F18" w:rsidRDefault="00D967C1" w:rsidP="00D967C1">
      <w:pPr>
        <w:autoSpaceDE w:val="0"/>
        <w:autoSpaceDN w:val="0"/>
        <w:adjustRightInd w:val="0"/>
        <w:spacing w:after="0"/>
        <w:ind w:firstLine="709"/>
        <w:jc w:val="both"/>
        <w:rPr>
          <w:rFonts w:cs="Times New Roman"/>
          <w:sz w:val="22"/>
          <w:lang w:val="sr-Cyrl-RS"/>
        </w:rPr>
      </w:pPr>
      <w:r w:rsidRPr="00EF2F18">
        <w:rPr>
          <w:rFonts w:cs="Times New Roman"/>
          <w:sz w:val="22"/>
          <w:lang w:val="sr-Cyrl-RS"/>
        </w:rPr>
        <w:t>Додатно, треба наставити активности на подизању степена заштите за одређене угрожене врсте, као и спровођење ревизија заштићених врста, како би се обезбедило правовремено спасавање врста које су у опасности. Такође, треба наставити са спровођењем образовних кампања како би се јавност информисала о значају заштите биодиверзитета и спречило случајно или намерно нарушавање природе и биодиверзитета, с обзиром на још увек недовољно знањ</w:t>
      </w:r>
      <w:r w:rsidR="001B559F" w:rsidRPr="00EF2F18">
        <w:rPr>
          <w:rFonts w:cs="Times New Roman"/>
          <w:sz w:val="22"/>
          <w:lang w:val="sr-Cyrl-RS"/>
        </w:rPr>
        <w:t>е</w:t>
      </w:r>
      <w:r w:rsidRPr="00EF2F18">
        <w:rPr>
          <w:rFonts w:cs="Times New Roman"/>
          <w:sz w:val="22"/>
          <w:lang w:val="sr-Cyrl-RS"/>
        </w:rPr>
        <w:t xml:space="preserve"> о биодиверзитету, његовом мониторингу и очувању основних елемената заштите у другим секторима. </w:t>
      </w:r>
    </w:p>
    <w:p w14:paraId="530495D8" w14:textId="7B622C0A" w:rsidR="003C2627" w:rsidRPr="00EF2F18" w:rsidRDefault="00D967C1" w:rsidP="00D967C1">
      <w:pPr>
        <w:spacing w:after="0"/>
        <w:ind w:firstLine="709"/>
        <w:jc w:val="both"/>
        <w:rPr>
          <w:rFonts w:cs="Times New Roman"/>
          <w:sz w:val="22"/>
          <w:lang w:val="sr-Cyrl-RS"/>
        </w:rPr>
      </w:pPr>
      <w:r w:rsidRPr="00EF2F18">
        <w:rPr>
          <w:rFonts w:cs="Times New Roman"/>
          <w:sz w:val="22"/>
          <w:lang w:val="sr-Cyrl-RS"/>
        </w:rPr>
        <w:t>Негативни утицаји измењених климатских услова у будућности ће се интензивирати услед дужих и учесталијих сушних периода, као и других екстремних временских догађаја, што је идентификовано у Стратегиј</w:t>
      </w:r>
      <w:r w:rsidR="001B559F" w:rsidRPr="00EF2F18">
        <w:rPr>
          <w:rFonts w:cs="Times New Roman"/>
          <w:sz w:val="22"/>
          <w:lang w:val="sr-Cyrl-RS"/>
        </w:rPr>
        <w:t>и</w:t>
      </w:r>
      <w:r w:rsidRPr="00EF2F18">
        <w:rPr>
          <w:rFonts w:cs="Times New Roman"/>
          <w:sz w:val="22"/>
          <w:lang w:val="sr-Cyrl-RS"/>
        </w:rPr>
        <w:t xml:space="preserve"> нискоугљеничног развоја Републике Србије за период од 2023-203</w:t>
      </w:r>
      <w:r w:rsidR="001B559F" w:rsidRPr="00EF2F18">
        <w:rPr>
          <w:rFonts w:cs="Times New Roman"/>
          <w:sz w:val="22"/>
          <w:lang w:val="sr-Cyrl-RS"/>
        </w:rPr>
        <w:t>0</w:t>
      </w:r>
      <w:r w:rsidRPr="00EF2F18">
        <w:rPr>
          <w:rFonts w:cs="Times New Roman"/>
          <w:sz w:val="22"/>
          <w:lang w:val="sr-Cyrl-RS"/>
        </w:rPr>
        <w:t>. године са пројекцијама до 2050. године</w:t>
      </w:r>
      <w:r w:rsidR="00E472A9" w:rsidRPr="00EF2F18">
        <w:rPr>
          <w:rFonts w:cs="Times New Roman"/>
          <w:sz w:val="22"/>
          <w:lang w:val="sr-Cyrl-RS"/>
        </w:rPr>
        <w:t>.</w:t>
      </w:r>
      <w:r w:rsidRPr="00EF2F18">
        <w:rPr>
          <w:rFonts w:cs="Times New Roman"/>
          <w:sz w:val="22"/>
          <w:lang w:val="sr-Cyrl-RS"/>
        </w:rPr>
        <w:t xml:space="preserve"> Ради спречавања негативних утицаја и на сектор шумарства и повезане привредне гране и делатности, као и на економске прилике у руралним срединама</w:t>
      </w:r>
      <w:r w:rsidR="001B559F" w:rsidRPr="00EF2F18">
        <w:rPr>
          <w:rFonts w:cs="Times New Roman"/>
          <w:sz w:val="22"/>
          <w:lang w:val="sr-Cyrl-RS"/>
        </w:rPr>
        <w:t>,</w:t>
      </w:r>
      <w:r w:rsidRPr="00EF2F18">
        <w:rPr>
          <w:rFonts w:cs="Times New Roman"/>
          <w:sz w:val="22"/>
          <w:lang w:val="sr-Cyrl-RS"/>
        </w:rPr>
        <w:t xml:space="preserve"> које се неретко ослањају на шумарство, потребно је спречити даље деструктивне промене шумског фонда због утицаја климатских промена и анропогеног фактора, као и повећати проценат покривености шумом</w:t>
      </w:r>
      <w:r w:rsidR="009F1B47" w:rsidRPr="00EF2F18">
        <w:rPr>
          <w:rFonts w:cs="Times New Roman"/>
          <w:sz w:val="22"/>
          <w:lang w:val="sr-Cyrl-RS"/>
        </w:rPr>
        <w:t xml:space="preserve"> до планиране оптималне шумовитости</w:t>
      </w:r>
      <w:r w:rsidR="003D35F1" w:rsidRPr="00EF2F18">
        <w:rPr>
          <w:rFonts w:cs="Times New Roman"/>
          <w:sz w:val="22"/>
          <w:lang w:val="sr-Cyrl-RS"/>
        </w:rPr>
        <w:t>, у оним деловима земље где је шумовитост ниска</w:t>
      </w:r>
      <w:r w:rsidRPr="00EF2F18">
        <w:rPr>
          <w:rFonts w:cs="Times New Roman"/>
          <w:sz w:val="22"/>
          <w:lang w:val="sr-Cyrl-RS"/>
        </w:rPr>
        <w:t>. Посебну пажњу потребно је посветити подручјима у којима се очекују најизраженији утицаји климатских промена и кој</w:t>
      </w:r>
      <w:r w:rsidR="001B559F" w:rsidRPr="00EF2F18">
        <w:rPr>
          <w:rFonts w:cs="Times New Roman"/>
          <w:sz w:val="22"/>
          <w:lang w:val="sr-Cyrl-RS"/>
        </w:rPr>
        <w:t>а</w:t>
      </w:r>
      <w:r w:rsidRPr="00EF2F18">
        <w:rPr>
          <w:rFonts w:cs="Times New Roman"/>
          <w:sz w:val="22"/>
          <w:lang w:val="sr-Cyrl-RS"/>
        </w:rPr>
        <w:t xml:space="preserve"> су већ угрожена са аспекта </w:t>
      </w:r>
      <w:r w:rsidR="002103C0" w:rsidRPr="00EF2F18">
        <w:rPr>
          <w:rFonts w:cs="Times New Roman"/>
          <w:sz w:val="22"/>
          <w:lang w:val="sr-Cyrl-RS"/>
        </w:rPr>
        <w:t xml:space="preserve">шумовитости </w:t>
      </w:r>
      <w:r w:rsidRPr="00EF2F18">
        <w:rPr>
          <w:rFonts w:cs="Times New Roman"/>
          <w:sz w:val="22"/>
          <w:lang w:val="sr-Cyrl-RS"/>
        </w:rPr>
        <w:t xml:space="preserve">и остваривања добробити од екосистемских услуга (нпр. производња дрвета, превенција ерозије земљишта, заштита од ветра, недрвни шумски производи, итд.) које шуме могу да пруже. </w:t>
      </w:r>
    </w:p>
    <w:p w14:paraId="7689DD74" w14:textId="68112AC0" w:rsidR="006A000C" w:rsidRPr="00EF2F18" w:rsidRDefault="003C2627" w:rsidP="00D967C1">
      <w:pPr>
        <w:spacing w:after="0"/>
        <w:ind w:firstLine="709"/>
        <w:jc w:val="both"/>
        <w:rPr>
          <w:rFonts w:cs="Times New Roman"/>
          <w:sz w:val="22"/>
          <w:lang w:val="sr-Cyrl-RS"/>
        </w:rPr>
      </w:pPr>
      <w:r w:rsidRPr="00EF2F18">
        <w:rPr>
          <w:rFonts w:cs="Times New Roman"/>
          <w:sz w:val="22"/>
          <w:lang w:val="sr-Cyrl-RS"/>
        </w:rPr>
        <w:t xml:space="preserve">Потребно је донети нови Програм заштите природе </w:t>
      </w:r>
      <w:r w:rsidR="0064007B" w:rsidRPr="00EF2F18">
        <w:rPr>
          <w:rFonts w:cs="Times New Roman"/>
          <w:sz w:val="22"/>
          <w:lang w:val="sr-Cyrl-RS"/>
        </w:rPr>
        <w:t xml:space="preserve">Републике Србије </w:t>
      </w:r>
      <w:r w:rsidR="00F872C8" w:rsidRPr="00EF2F18">
        <w:rPr>
          <w:rFonts w:cs="Times New Roman"/>
          <w:sz w:val="22"/>
          <w:lang w:val="sr-Cyrl-RS"/>
        </w:rPr>
        <w:t>и п</w:t>
      </w:r>
      <w:r w:rsidRPr="00EF2F18">
        <w:rPr>
          <w:rFonts w:cs="Times New Roman"/>
          <w:sz w:val="22"/>
          <w:lang w:val="sr-Cyrl-RS"/>
        </w:rPr>
        <w:t>осебно наставити и убрзати покренуте процесе заштите нових простора очуване природе</w:t>
      </w:r>
      <w:r w:rsidR="006A000C" w:rsidRPr="00EF2F18">
        <w:rPr>
          <w:rFonts w:cs="Times New Roman"/>
          <w:sz w:val="22"/>
          <w:lang w:val="sr-Cyrl-RS"/>
        </w:rPr>
        <w:t>.</w:t>
      </w:r>
    </w:p>
    <w:p w14:paraId="2CC3EA41" w14:textId="77777777" w:rsidR="00A44D09" w:rsidRPr="00EF2F18" w:rsidRDefault="00A44D09" w:rsidP="004E2BBD">
      <w:pPr>
        <w:spacing w:after="0"/>
        <w:jc w:val="both"/>
        <w:rPr>
          <w:rFonts w:cs="Times New Roman"/>
          <w:sz w:val="22"/>
          <w:lang w:val="sr-Cyrl-RS"/>
        </w:rPr>
      </w:pPr>
    </w:p>
    <w:p w14:paraId="2A1B276E" w14:textId="732D7A97" w:rsidR="004E2BBD" w:rsidRPr="00EF2F18" w:rsidRDefault="004E2BBD" w:rsidP="00F34D8C">
      <w:pPr>
        <w:pStyle w:val="Heading2"/>
        <w:numPr>
          <w:ilvl w:val="1"/>
          <w:numId w:val="2"/>
        </w:numPr>
        <w:ind w:hanging="371"/>
        <w:jc w:val="center"/>
        <w:rPr>
          <w:rFonts w:cs="Times New Roman"/>
          <w:sz w:val="22"/>
          <w:szCs w:val="22"/>
          <w:lang w:val="sr-Cyrl-RS"/>
        </w:rPr>
      </w:pPr>
      <w:bookmarkStart w:id="109" w:name="_Toc158307733"/>
      <w:r w:rsidRPr="00EF2F18">
        <w:rPr>
          <w:rFonts w:cs="Times New Roman"/>
          <w:sz w:val="22"/>
          <w:szCs w:val="22"/>
          <w:lang w:val="sr-Cyrl-RS"/>
        </w:rPr>
        <w:t>Одржива пољопривреда</w:t>
      </w:r>
      <w:bookmarkEnd w:id="109"/>
    </w:p>
    <w:p w14:paraId="6EC47BA1" w14:textId="77777777" w:rsidR="004E2BBD" w:rsidRPr="00EF2F18" w:rsidRDefault="004E2BBD" w:rsidP="004E2BBD">
      <w:pPr>
        <w:pStyle w:val="Default"/>
        <w:jc w:val="both"/>
        <w:rPr>
          <w:rFonts w:ascii="Times New Roman" w:hAnsi="Times New Roman" w:cs="Times New Roman"/>
          <w:color w:val="auto"/>
          <w:sz w:val="22"/>
          <w:szCs w:val="22"/>
          <w:lang w:val="sr-Cyrl-RS"/>
        </w:rPr>
      </w:pPr>
    </w:p>
    <w:p w14:paraId="0EC7F13C" w14:textId="4C7906DD" w:rsidR="00D96A67" w:rsidRPr="00EF2F18" w:rsidRDefault="004E2BBD" w:rsidP="002E5EFA">
      <w:pPr>
        <w:pStyle w:val="Default"/>
        <w:ind w:firstLine="709"/>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Одржива пољопривредна и прехрамбена производња, представља четврти </w:t>
      </w:r>
      <w:r w:rsidR="00D96A67" w:rsidRPr="00EF2F18">
        <w:rPr>
          <w:rFonts w:ascii="Times New Roman" w:hAnsi="Times New Roman" w:cs="Times New Roman"/>
          <w:sz w:val="22"/>
          <w:szCs w:val="22"/>
          <w:lang w:val="sr-Cyrl-RS"/>
        </w:rPr>
        <w:t>стуб Зелене агенде кроз активности којима се обезбеђује трансформација пољопривредног сектора, минимизирање његовог негативног утицаја на животну средину и климу и заштита приступачне и здраве хране за грађане и извозна тржишта</w:t>
      </w:r>
      <w:r w:rsidRPr="00EF2F18">
        <w:rPr>
          <w:rFonts w:ascii="Times New Roman" w:hAnsi="Times New Roman" w:cs="Times New Roman"/>
          <w:sz w:val="22"/>
          <w:szCs w:val="22"/>
          <w:lang w:val="sr-Cyrl-RS"/>
        </w:rPr>
        <w:t xml:space="preserve">. </w:t>
      </w:r>
    </w:p>
    <w:p w14:paraId="3D73707D" w14:textId="3A427B5F" w:rsidR="00F470DF" w:rsidRPr="00EF2F18" w:rsidRDefault="00F470DF" w:rsidP="00F470DF">
      <w:pPr>
        <w:pStyle w:val="Default"/>
        <w:ind w:firstLine="709"/>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 xml:space="preserve">У циљу достизања ЕУ стандарда здравствене безбедности хране, приступачне за </w:t>
      </w:r>
      <w:r w:rsidR="0023535B" w:rsidRPr="00EF2F18">
        <w:rPr>
          <w:rFonts w:ascii="Times New Roman" w:hAnsi="Times New Roman" w:cs="Times New Roman"/>
          <w:color w:val="auto"/>
          <w:sz w:val="22"/>
          <w:szCs w:val="22"/>
          <w:lang w:val="sr-Cyrl-RS"/>
        </w:rPr>
        <w:t>домаће потрошаче и извозна тржишта, и произведене на начин који доприноси очувању животне средине, Република Србија, треба да промовише праксе пољопривредне производње које су погодне за животну средину, као што су органска, интегрална и регенеративна</w:t>
      </w:r>
      <w:r w:rsidR="006C2E00" w:rsidRPr="00EF2F18">
        <w:rPr>
          <w:rFonts w:ascii="Times New Roman" w:hAnsi="Times New Roman" w:cs="Times New Roman"/>
          <w:color w:val="auto"/>
          <w:sz w:val="22"/>
          <w:szCs w:val="22"/>
          <w:lang w:val="sr-Cyrl-RS"/>
        </w:rPr>
        <w:t xml:space="preserve"> </w:t>
      </w:r>
      <w:r w:rsidR="0023535B" w:rsidRPr="00EF2F18">
        <w:rPr>
          <w:rFonts w:ascii="Times New Roman" w:hAnsi="Times New Roman" w:cs="Times New Roman"/>
          <w:color w:val="auto"/>
          <w:sz w:val="22"/>
          <w:szCs w:val="22"/>
          <w:lang w:val="sr-Cyrl-RS"/>
        </w:rPr>
        <w:t>пољопривредна производња</w:t>
      </w:r>
      <w:r w:rsidRPr="00EF2F18">
        <w:rPr>
          <w:rFonts w:ascii="Times New Roman" w:hAnsi="Times New Roman" w:cs="Times New Roman"/>
          <w:color w:val="auto"/>
          <w:sz w:val="22"/>
          <w:szCs w:val="22"/>
          <w:lang w:val="sr-Cyrl-RS"/>
        </w:rPr>
        <w:t xml:space="preserve"> и смањење употребе </w:t>
      </w:r>
      <w:r w:rsidR="006E3CFD" w:rsidRPr="00EF2F18">
        <w:rPr>
          <w:rFonts w:ascii="Times New Roman" w:hAnsi="Times New Roman" w:cs="Times New Roman"/>
          <w:color w:val="auto"/>
          <w:sz w:val="22"/>
          <w:szCs w:val="22"/>
          <w:lang w:val="sr-Cyrl-RS"/>
        </w:rPr>
        <w:t>средстава за исхрану биља и средстава за заштиту биља</w:t>
      </w:r>
      <w:r w:rsidRPr="00EF2F18">
        <w:rPr>
          <w:rFonts w:ascii="Times New Roman" w:hAnsi="Times New Roman" w:cs="Times New Roman"/>
          <w:color w:val="auto"/>
          <w:sz w:val="22"/>
          <w:szCs w:val="22"/>
          <w:lang w:val="sr-Cyrl-RS"/>
        </w:rPr>
        <w:t>, као и да интензивира напоре за одрживи развој руралних области.</w:t>
      </w:r>
    </w:p>
    <w:p w14:paraId="10AF3AB0" w14:textId="0E963DA2" w:rsidR="00F470DF" w:rsidRPr="00EF2F18" w:rsidRDefault="00F470DF" w:rsidP="00F470DF">
      <w:pPr>
        <w:pStyle w:val="Default"/>
        <w:ind w:firstLine="709"/>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 xml:space="preserve"> То подразумева усклађивање постојећих прописа и усвајање нових у складу са ЕУ законодавством (органска производња</w:t>
      </w:r>
      <w:r w:rsidR="007C7D58" w:rsidRPr="00EF2F18">
        <w:rPr>
          <w:rFonts w:ascii="Times New Roman" w:hAnsi="Times New Roman" w:cs="Times New Roman"/>
          <w:color w:val="auto"/>
          <w:sz w:val="22"/>
          <w:szCs w:val="22"/>
          <w:lang w:val="sr-Cyrl-RS"/>
        </w:rPr>
        <w:t xml:space="preserve"> и сл.</w:t>
      </w:r>
      <w:r w:rsidRPr="00EF2F18">
        <w:rPr>
          <w:rFonts w:ascii="Times New Roman" w:hAnsi="Times New Roman" w:cs="Times New Roman"/>
          <w:color w:val="auto"/>
          <w:sz w:val="22"/>
          <w:szCs w:val="22"/>
          <w:lang w:val="sr-Cyrl-RS"/>
        </w:rPr>
        <w:t>), као и успостављање система подстицаја у пољопривреди и руралном развоју који је прилагођен ЕУ моделу и који доприноси заштити животне средине (</w:t>
      </w:r>
      <w:r w:rsidR="007C7D58" w:rsidRPr="00EF2F18">
        <w:rPr>
          <w:rFonts w:ascii="Times New Roman" w:hAnsi="Times New Roman" w:cs="Times New Roman"/>
          <w:color w:val="auto"/>
          <w:sz w:val="22"/>
          <w:szCs w:val="22"/>
          <w:lang w:val="sr-Cyrl-RS"/>
        </w:rPr>
        <w:t xml:space="preserve">увођење правила Доброг пољопривредног и еколошког стања – </w:t>
      </w:r>
      <w:r w:rsidR="007C7D58" w:rsidRPr="00EF2F18">
        <w:rPr>
          <w:rFonts w:ascii="Times New Roman" w:hAnsi="Times New Roman" w:cs="Times New Roman"/>
          <w:i/>
          <w:iCs/>
          <w:color w:val="auto"/>
          <w:sz w:val="22"/>
          <w:szCs w:val="22"/>
          <w:lang w:val="sr-Cyrl-RS"/>
        </w:rPr>
        <w:t xml:space="preserve">GAEC </w:t>
      </w:r>
      <w:r w:rsidR="007C7D58" w:rsidRPr="00EF2F18">
        <w:rPr>
          <w:rFonts w:ascii="Times New Roman" w:hAnsi="Times New Roman" w:cs="Times New Roman"/>
          <w:color w:val="auto"/>
          <w:sz w:val="22"/>
          <w:szCs w:val="22"/>
          <w:lang w:val="sr-Cyrl-RS"/>
        </w:rPr>
        <w:t>и</w:t>
      </w:r>
      <w:r w:rsidR="007C7D58" w:rsidRPr="00EF2F18">
        <w:rPr>
          <w:rFonts w:ascii="Times New Roman" w:hAnsi="Times New Roman" w:cs="Times New Roman"/>
          <w:i/>
          <w:iCs/>
          <w:color w:val="auto"/>
          <w:sz w:val="22"/>
          <w:szCs w:val="22"/>
          <w:lang w:val="sr-Cyrl-RS"/>
        </w:rPr>
        <w:t xml:space="preserve"> </w:t>
      </w:r>
      <w:r w:rsidR="007C7D58" w:rsidRPr="00EF2F18">
        <w:rPr>
          <w:rFonts w:ascii="Times New Roman" w:hAnsi="Times New Roman" w:cs="Times New Roman"/>
          <w:color w:val="auto"/>
          <w:sz w:val="22"/>
          <w:szCs w:val="22"/>
          <w:lang w:val="sr-Cyrl-RS"/>
        </w:rPr>
        <w:t>Обавезних</w:t>
      </w:r>
      <w:r w:rsidR="007C7D58" w:rsidRPr="00EF2F18">
        <w:rPr>
          <w:rFonts w:ascii="Times New Roman" w:hAnsi="Times New Roman" w:cs="Times New Roman"/>
          <w:i/>
          <w:iCs/>
          <w:color w:val="auto"/>
          <w:sz w:val="22"/>
          <w:szCs w:val="22"/>
          <w:lang w:val="sr-Cyrl-RS"/>
        </w:rPr>
        <w:t xml:space="preserve"> </w:t>
      </w:r>
      <w:r w:rsidR="007C7D58" w:rsidRPr="00EF2F18">
        <w:rPr>
          <w:rFonts w:ascii="Times New Roman" w:hAnsi="Times New Roman" w:cs="Times New Roman"/>
          <w:color w:val="auto"/>
          <w:sz w:val="22"/>
          <w:szCs w:val="22"/>
          <w:lang w:val="sr-Cyrl-RS"/>
        </w:rPr>
        <w:t>захтева управљања -</w:t>
      </w:r>
      <w:r w:rsidR="007C7D58" w:rsidRPr="00EF2F18">
        <w:rPr>
          <w:rFonts w:ascii="Times New Roman" w:hAnsi="Times New Roman" w:cs="Times New Roman"/>
          <w:i/>
          <w:iCs/>
          <w:color w:val="auto"/>
          <w:sz w:val="22"/>
          <w:szCs w:val="22"/>
          <w:lang w:val="sr-Cyrl-RS"/>
        </w:rPr>
        <w:t xml:space="preserve"> </w:t>
      </w:r>
      <w:r w:rsidRPr="00EF2F18">
        <w:rPr>
          <w:rFonts w:ascii="Times New Roman" w:hAnsi="Times New Roman" w:cs="Times New Roman"/>
          <w:i/>
          <w:iCs/>
          <w:color w:val="auto"/>
          <w:sz w:val="22"/>
          <w:szCs w:val="22"/>
          <w:lang w:val="sr-Cyrl-RS"/>
        </w:rPr>
        <w:t>SMR</w:t>
      </w:r>
      <w:r w:rsidRPr="00EF2F18">
        <w:rPr>
          <w:rFonts w:ascii="Times New Roman" w:hAnsi="Times New Roman" w:cs="Times New Roman"/>
          <w:color w:val="auto"/>
          <w:sz w:val="22"/>
          <w:szCs w:val="22"/>
          <w:lang w:val="sr-Cyrl-RS"/>
        </w:rPr>
        <w:t>, еколошке шеме у оквиру директних плаћања, руралне агроеколошке мере и др).</w:t>
      </w:r>
    </w:p>
    <w:p w14:paraId="2D6B2C29" w14:textId="6764880A" w:rsidR="00F470DF" w:rsidRPr="00EF2F18" w:rsidRDefault="00F470DF" w:rsidP="00F470DF">
      <w:pPr>
        <w:pStyle w:val="Default"/>
        <w:ind w:firstLine="709"/>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Поред тога, за смањење синтетичких хемијских производа који се користе у производњи хране потребно је наставити спровођење мера за промовисање органске и интегралне пољопривреде, као и примене нових технологија у пољопривредној производњи.</w:t>
      </w:r>
      <w:r w:rsidR="001E586F" w:rsidRPr="00EF2F18">
        <w:rPr>
          <w:rFonts w:ascii="Times New Roman" w:hAnsi="Times New Roman" w:cs="Times New Roman"/>
          <w:color w:val="auto"/>
          <w:sz w:val="22"/>
          <w:szCs w:val="22"/>
          <w:lang w:val="sr-Cyrl-RS"/>
        </w:rPr>
        <w:t xml:space="preserve"> У том смислу, ЕУ уводи дефиницију биодистрикта, као географског подручја у којима пољопривредници, грађани, туристички оператери, удружења и јавне власти склапају споразум о одрживом управљању локалним ресурсима, заснованом на принципима и пракси органске производње.</w:t>
      </w:r>
    </w:p>
    <w:p w14:paraId="0389D98B" w14:textId="77777777" w:rsidR="00F470DF" w:rsidRPr="00EF2F18" w:rsidRDefault="00F470DF" w:rsidP="00F470DF">
      <w:pPr>
        <w:pStyle w:val="Default"/>
        <w:ind w:firstLine="709"/>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lastRenderedPageBreak/>
        <w:t>Како би се унапредила безбедност хране и успоставио одрживији пољопривредно- прехрамбени систем, треба наставити са јачањем инспекцијског надзора и санитарном контролом у целом ланцу производње хране ради побољшања система следљивости и обележавања прехрамбених производа.</w:t>
      </w:r>
    </w:p>
    <w:p w14:paraId="5A6B6942" w14:textId="77777777" w:rsidR="00F470DF" w:rsidRPr="00EF2F18" w:rsidRDefault="00F470DF" w:rsidP="00F470DF">
      <w:pPr>
        <w:pStyle w:val="Default"/>
        <w:ind w:firstLine="709"/>
        <w:jc w:val="both"/>
        <w:rPr>
          <w:rFonts w:ascii="Times New Roman" w:hAnsi="Times New Roman" w:cs="Times New Roman"/>
          <w:color w:val="auto"/>
          <w:sz w:val="22"/>
          <w:szCs w:val="22"/>
          <w:lang w:val="sr-Cyrl-RS"/>
        </w:rPr>
      </w:pPr>
      <w:r w:rsidRPr="00EF2F18">
        <w:rPr>
          <w:rFonts w:ascii="Times New Roman" w:hAnsi="Times New Roman" w:cs="Times New Roman"/>
          <w:color w:val="auto"/>
          <w:sz w:val="22"/>
          <w:szCs w:val="22"/>
          <w:lang w:val="sr-Cyrl-RS"/>
        </w:rPr>
        <w:t>Неопходно је сарађивати са научним, образовним и пословним субјектима и пољопривредним газдинствима како би олакшао прелазак на иновативне технологије и методе пољопривредне производње погодне за животну средину. То подразумева и креирање и трансфер знања и информација у области заштите животне средине и климатских промена.</w:t>
      </w:r>
    </w:p>
    <w:p w14:paraId="02307BDB" w14:textId="28C4ED03" w:rsidR="00D967C1" w:rsidRPr="00EF2F18" w:rsidRDefault="00F470DF" w:rsidP="00D967C1">
      <w:pPr>
        <w:autoSpaceDE w:val="0"/>
        <w:autoSpaceDN w:val="0"/>
        <w:adjustRightInd w:val="0"/>
        <w:spacing w:after="0"/>
        <w:ind w:firstLine="709"/>
        <w:jc w:val="both"/>
        <w:rPr>
          <w:rFonts w:cs="Times New Roman"/>
          <w:color w:val="000000"/>
          <w:sz w:val="22"/>
          <w:lang w:val="sr-Cyrl-RS"/>
        </w:rPr>
      </w:pPr>
      <w:r w:rsidRPr="00EF2F18">
        <w:rPr>
          <w:rFonts w:cs="Times New Roman"/>
          <w:sz w:val="22"/>
          <w:lang w:val="sr-Cyrl-RS"/>
        </w:rPr>
        <w:t>За унапређење и постизање одрживости пољопривредног сектора, неопходна је подршка инвестицијама у модерниз</w:t>
      </w:r>
      <w:r w:rsidR="00DA5555">
        <w:rPr>
          <w:rFonts w:cs="Times New Roman"/>
          <w:sz w:val="22"/>
          <w:lang w:val="sr-Cyrl-RS"/>
        </w:rPr>
        <w:t>овању</w:t>
      </w:r>
      <w:r w:rsidRPr="00EF2F18">
        <w:rPr>
          <w:rFonts w:cs="Times New Roman"/>
          <w:sz w:val="22"/>
          <w:lang w:val="sr-Cyrl-RS"/>
        </w:rPr>
        <w:t xml:space="preserve"> физичке имовине пољопривредних газдинстава, укључујући</w:t>
      </w:r>
      <w:r w:rsidR="006C2E00" w:rsidRPr="00EF2F18">
        <w:rPr>
          <w:rFonts w:cs="Times New Roman"/>
          <w:sz w:val="22"/>
          <w:lang w:val="sr-Cyrl-RS"/>
        </w:rPr>
        <w:t xml:space="preserve"> </w:t>
      </w:r>
      <w:r w:rsidRPr="00EF2F18">
        <w:rPr>
          <w:rFonts w:cs="Times New Roman"/>
          <w:sz w:val="22"/>
          <w:lang w:val="sr-Cyrl-RS"/>
        </w:rPr>
        <w:t>у производњи енергије из обновљивих извора у пољопривреди</w:t>
      </w:r>
      <w:r w:rsidR="00D967C1" w:rsidRPr="00EF2F18">
        <w:rPr>
          <w:rFonts w:cs="Times New Roman"/>
          <w:color w:val="000000"/>
          <w:sz w:val="22"/>
          <w:lang w:val="sr-Cyrl-RS"/>
        </w:rPr>
        <w:t>, што омогућава смањење оперативних трошкова, заштиту животне средине и растерећење енергетског система.</w:t>
      </w:r>
    </w:p>
    <w:p w14:paraId="560217F5" w14:textId="1035CA4A" w:rsidR="004E2BBD" w:rsidRPr="00EF2F18" w:rsidRDefault="00D967C1" w:rsidP="00D967C1">
      <w:pPr>
        <w:pStyle w:val="Default"/>
        <w:ind w:firstLine="709"/>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У области руралног развоја, неопходно је подстаћи улагања у руралну инфраструктуру како би се омогућио одрживи рурални развој</w:t>
      </w:r>
      <w:r w:rsidR="0028189F"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и осмислити деловања за смањивање отпада у руралним областима (дуж путева, у сеоским рекама). </w:t>
      </w:r>
      <w:r w:rsidR="00F470DF" w:rsidRPr="00EF2F18">
        <w:rPr>
          <w:rFonts w:ascii="Times New Roman" w:hAnsi="Times New Roman" w:cs="Times New Roman"/>
          <w:w w:val="105"/>
          <w:sz w:val="22"/>
          <w:szCs w:val="22"/>
          <w:lang w:val="sr-Cyrl-RS"/>
        </w:rPr>
        <w:t>То подразумева примену и LEADER</w:t>
      </w:r>
      <w:r w:rsidR="006C2E00" w:rsidRPr="00EF2F18">
        <w:rPr>
          <w:rFonts w:ascii="Times New Roman" w:hAnsi="Times New Roman" w:cs="Times New Roman"/>
          <w:w w:val="105"/>
          <w:sz w:val="22"/>
          <w:szCs w:val="22"/>
          <w:lang w:val="sr-Cyrl-RS"/>
        </w:rPr>
        <w:t xml:space="preserve"> </w:t>
      </w:r>
      <w:r w:rsidR="00F470DF" w:rsidRPr="00EF2F18">
        <w:rPr>
          <w:rFonts w:ascii="Times New Roman" w:hAnsi="Times New Roman" w:cs="Times New Roman"/>
          <w:w w:val="105"/>
          <w:sz w:val="22"/>
          <w:szCs w:val="22"/>
          <w:lang w:val="sr-Cyrl-RS"/>
        </w:rPr>
        <w:t>подршке, подршке за економск</w:t>
      </w:r>
      <w:r w:rsidR="00F470DF" w:rsidRPr="00EF2F18">
        <w:rPr>
          <w:rFonts w:ascii="Times New Roman" w:hAnsi="Times New Roman" w:cs="Times New Roman"/>
          <w:color w:val="5C2D91"/>
          <w:w w:val="105"/>
          <w:sz w:val="22"/>
          <w:szCs w:val="22"/>
          <w:lang w:val="sr-Cyrl-RS"/>
        </w:rPr>
        <w:t xml:space="preserve">у </w:t>
      </w:r>
      <w:r w:rsidR="00BD20C7">
        <w:rPr>
          <w:rFonts w:ascii="Times New Roman" w:hAnsi="Times New Roman" w:cs="Times New Roman"/>
          <w:w w:val="105"/>
          <w:sz w:val="22"/>
          <w:szCs w:val="22"/>
          <w:lang w:val="sr-Cyrl-RS"/>
        </w:rPr>
        <w:t>диверс</w:t>
      </w:r>
      <w:r w:rsidR="00F470DF" w:rsidRPr="00EF2F18">
        <w:rPr>
          <w:rFonts w:ascii="Times New Roman" w:hAnsi="Times New Roman" w:cs="Times New Roman"/>
          <w:w w:val="105"/>
          <w:sz w:val="22"/>
          <w:szCs w:val="22"/>
          <w:lang w:val="sr-Cyrl-RS"/>
        </w:rPr>
        <w:t>ификациј</w:t>
      </w:r>
      <w:r w:rsidR="00F470DF" w:rsidRPr="00EF2F18">
        <w:rPr>
          <w:rFonts w:ascii="Times New Roman" w:hAnsi="Times New Roman" w:cs="Times New Roman"/>
          <w:color w:val="5C2D91"/>
          <w:w w:val="105"/>
          <w:sz w:val="22"/>
          <w:szCs w:val="22"/>
          <w:lang w:val="sr-Cyrl-RS"/>
        </w:rPr>
        <w:t xml:space="preserve">у </w:t>
      </w:r>
      <w:r w:rsidR="00F470DF" w:rsidRPr="00EF2F18">
        <w:rPr>
          <w:rFonts w:ascii="Times New Roman" w:hAnsi="Times New Roman" w:cs="Times New Roman"/>
          <w:w w:val="105"/>
          <w:sz w:val="22"/>
          <w:szCs w:val="22"/>
          <w:lang w:val="sr-Cyrl-RS"/>
        </w:rPr>
        <w:t xml:space="preserve">и </w:t>
      </w:r>
      <w:r w:rsidR="00F470DF" w:rsidRPr="00BD20C7">
        <w:rPr>
          <w:rFonts w:ascii="Times New Roman" w:hAnsi="Times New Roman" w:cs="Times New Roman"/>
          <w:color w:val="auto"/>
          <w:w w:val="105"/>
          <w:sz w:val="22"/>
          <w:szCs w:val="22"/>
          <w:lang w:val="sr-Cyrl-RS"/>
        </w:rPr>
        <w:t xml:space="preserve">меру подршке </w:t>
      </w:r>
      <w:r w:rsidR="00F470DF" w:rsidRPr="00EF2F18">
        <w:rPr>
          <w:rFonts w:ascii="Times New Roman" w:hAnsi="Times New Roman" w:cs="Times New Roman"/>
          <w:w w:val="105"/>
          <w:sz w:val="22"/>
          <w:szCs w:val="22"/>
          <w:lang w:val="sr-Cyrl-RS"/>
        </w:rPr>
        <w:t xml:space="preserve">развоју руралне инфраструктуре </w:t>
      </w:r>
      <w:r w:rsidR="00FB2E43" w:rsidRPr="00EF2F18">
        <w:rPr>
          <w:rFonts w:ascii="Times New Roman" w:hAnsi="Times New Roman" w:cs="Times New Roman"/>
          <w:w w:val="105"/>
          <w:sz w:val="22"/>
          <w:szCs w:val="22"/>
          <w:lang w:val="sr-Cyrl-RS"/>
        </w:rPr>
        <w:t xml:space="preserve">и развоју сеоског туризма, </w:t>
      </w:r>
      <w:r w:rsidR="00F470DF" w:rsidRPr="00EF2F18">
        <w:rPr>
          <w:rFonts w:ascii="Times New Roman" w:hAnsi="Times New Roman" w:cs="Times New Roman"/>
          <w:w w:val="105"/>
          <w:sz w:val="22"/>
          <w:szCs w:val="22"/>
          <w:lang w:val="sr-Cyrl-RS"/>
        </w:rPr>
        <w:t>у оквиру ИПАРД III програма</w:t>
      </w:r>
      <w:r w:rsidR="004E2BBD" w:rsidRPr="00EF2F18">
        <w:rPr>
          <w:rFonts w:ascii="Times New Roman" w:hAnsi="Times New Roman" w:cs="Times New Roman"/>
          <w:sz w:val="22"/>
          <w:szCs w:val="22"/>
          <w:lang w:val="sr-Cyrl-RS"/>
        </w:rPr>
        <w:t xml:space="preserve">. </w:t>
      </w:r>
    </w:p>
    <w:p w14:paraId="5E9D397F" w14:textId="77777777" w:rsidR="000F3B07" w:rsidRPr="00EF2F18" w:rsidRDefault="000F3B07" w:rsidP="00C73403">
      <w:pPr>
        <w:pStyle w:val="Default"/>
        <w:ind w:firstLine="709"/>
        <w:jc w:val="both"/>
        <w:rPr>
          <w:rFonts w:ascii="Times New Roman" w:hAnsi="Times New Roman" w:cs="Times New Roman"/>
          <w:sz w:val="22"/>
          <w:szCs w:val="22"/>
          <w:lang w:val="sr-Cyrl-RS"/>
        </w:rPr>
      </w:pPr>
    </w:p>
    <w:p w14:paraId="0E43A59A" w14:textId="3548E985" w:rsidR="000F3B07" w:rsidRPr="00EF2F18" w:rsidRDefault="000F3B07" w:rsidP="00BD20C7">
      <w:pPr>
        <w:pStyle w:val="Heading2"/>
        <w:numPr>
          <w:ilvl w:val="1"/>
          <w:numId w:val="2"/>
        </w:numPr>
        <w:ind w:hanging="371"/>
        <w:jc w:val="center"/>
        <w:rPr>
          <w:rFonts w:cs="Times New Roman"/>
          <w:sz w:val="22"/>
          <w:szCs w:val="22"/>
          <w:lang w:val="sr-Cyrl-RS"/>
        </w:rPr>
      </w:pPr>
      <w:bookmarkStart w:id="110" w:name="_Toc158307734"/>
      <w:r w:rsidRPr="00EF2F18">
        <w:rPr>
          <w:rFonts w:cs="Times New Roman"/>
          <w:sz w:val="22"/>
          <w:szCs w:val="22"/>
          <w:lang w:val="sr-Cyrl-RS"/>
        </w:rPr>
        <w:t>Хоризонтална питања</w:t>
      </w:r>
      <w:bookmarkEnd w:id="110"/>
    </w:p>
    <w:p w14:paraId="18263ECB" w14:textId="77777777" w:rsidR="000F3B07" w:rsidRPr="00EF2F18" w:rsidRDefault="000F3B07" w:rsidP="00C73403">
      <w:pPr>
        <w:pStyle w:val="Default"/>
        <w:ind w:firstLine="709"/>
        <w:jc w:val="both"/>
        <w:rPr>
          <w:rFonts w:ascii="Times New Roman" w:hAnsi="Times New Roman" w:cs="Times New Roman"/>
          <w:sz w:val="22"/>
          <w:szCs w:val="22"/>
          <w:lang w:val="sr-Cyrl-RS"/>
        </w:rPr>
      </w:pPr>
    </w:p>
    <w:p w14:paraId="1A226DA3" w14:textId="13CF7541" w:rsidR="001447C8" w:rsidRPr="00EF2F18" w:rsidRDefault="001447C8" w:rsidP="001447C8">
      <w:pPr>
        <w:spacing w:after="0"/>
        <w:ind w:firstLine="709"/>
        <w:jc w:val="both"/>
        <w:rPr>
          <w:sz w:val="22"/>
          <w:lang w:val="sr-Cyrl-RS"/>
        </w:rPr>
      </w:pPr>
      <w:r w:rsidRPr="00EF2F18">
        <w:rPr>
          <w:sz w:val="22"/>
          <w:lang w:val="sr-Cyrl-RS"/>
        </w:rPr>
        <w:t>Спровођење Зелене агенде ће се постићи</w:t>
      </w:r>
      <w:r w:rsidR="00B67718" w:rsidRPr="00EF2F18">
        <w:rPr>
          <w:sz w:val="22"/>
          <w:lang w:val="sr-Cyrl-RS"/>
        </w:rPr>
        <w:t>, између осталог</w:t>
      </w:r>
      <w:r w:rsidRPr="00EF2F18">
        <w:rPr>
          <w:sz w:val="22"/>
          <w:lang w:val="sr-Cyrl-RS"/>
        </w:rPr>
        <w:t>,</w:t>
      </w:r>
      <w:r w:rsidR="00B67718" w:rsidRPr="00EF2F18">
        <w:rPr>
          <w:sz w:val="22"/>
          <w:lang w:val="sr-Cyrl-RS"/>
        </w:rPr>
        <w:t xml:space="preserve"> реформом јавне управе, управљањем јавним финансијама, програмом економске реформе и мобилизацијом сопствених ресурса</w:t>
      </w:r>
      <w:r w:rsidRPr="00EF2F18">
        <w:rPr>
          <w:sz w:val="22"/>
          <w:lang w:val="sr-Cyrl-RS"/>
        </w:rPr>
        <w:t xml:space="preserve">. </w:t>
      </w:r>
    </w:p>
    <w:p w14:paraId="453446DB" w14:textId="0222A19B" w:rsidR="0095402E" w:rsidRPr="00EF2F18" w:rsidRDefault="003804FC" w:rsidP="003804FC">
      <w:pPr>
        <w:spacing w:after="0"/>
        <w:ind w:firstLine="709"/>
        <w:jc w:val="both"/>
        <w:rPr>
          <w:sz w:val="22"/>
          <w:lang w:val="sr-Cyrl-RS"/>
        </w:rPr>
      </w:pPr>
      <w:r w:rsidRPr="00EF2F18">
        <w:rPr>
          <w:sz w:val="22"/>
          <w:lang w:val="sr-Cyrl-RS"/>
        </w:rPr>
        <w:t xml:space="preserve">То подразумева израду </w:t>
      </w:r>
      <w:r w:rsidR="00B67718" w:rsidRPr="00EF2F18">
        <w:rPr>
          <w:sz w:val="22"/>
          <w:lang w:val="sr-Cyrl-RS"/>
        </w:rPr>
        <w:t>програм</w:t>
      </w:r>
      <w:r w:rsidRPr="00EF2F18">
        <w:rPr>
          <w:sz w:val="22"/>
          <w:lang w:val="sr-Cyrl-RS"/>
        </w:rPr>
        <w:t>а</w:t>
      </w:r>
      <w:r w:rsidR="00A46D52" w:rsidRPr="00EF2F18">
        <w:rPr>
          <w:sz w:val="22"/>
          <w:lang w:val="sr-Cyrl-RS"/>
        </w:rPr>
        <w:t xml:space="preserve"> обука</w:t>
      </w:r>
      <w:r w:rsidR="00B67718" w:rsidRPr="00EF2F18">
        <w:rPr>
          <w:sz w:val="22"/>
          <w:lang w:val="sr-Cyrl-RS"/>
        </w:rPr>
        <w:t xml:space="preserve"> и предуз</w:t>
      </w:r>
      <w:r w:rsidRPr="00EF2F18">
        <w:rPr>
          <w:sz w:val="22"/>
          <w:lang w:val="sr-Cyrl-RS"/>
        </w:rPr>
        <w:t>имање</w:t>
      </w:r>
      <w:r w:rsidR="00B67718" w:rsidRPr="00EF2F18">
        <w:rPr>
          <w:sz w:val="22"/>
          <w:lang w:val="sr-Cyrl-RS"/>
        </w:rPr>
        <w:t xml:space="preserve"> неопходн</w:t>
      </w:r>
      <w:r w:rsidRPr="00EF2F18">
        <w:rPr>
          <w:sz w:val="22"/>
          <w:lang w:val="sr-Cyrl-RS"/>
        </w:rPr>
        <w:t xml:space="preserve">их активности за </w:t>
      </w:r>
      <w:r w:rsidR="00B67718" w:rsidRPr="00EF2F18">
        <w:rPr>
          <w:sz w:val="22"/>
          <w:lang w:val="sr-Cyrl-RS"/>
        </w:rPr>
        <w:t>повећање административних капацитета за спровођење Зелене агенде за праћење, унапређење и извршење усклађивања са обавезама у области заштите животне средине</w:t>
      </w:r>
      <w:r w:rsidR="0095402E" w:rsidRPr="00EF2F18">
        <w:rPr>
          <w:sz w:val="22"/>
          <w:lang w:val="sr-Cyrl-RS"/>
        </w:rPr>
        <w:t>. Спровођење Директива ЕУ 2007/2/ЕС</w:t>
      </w:r>
      <w:r w:rsidR="003524F1" w:rsidRPr="00EF2F18">
        <w:rPr>
          <w:sz w:val="22"/>
          <w:lang w:val="sr-Cyrl-RS"/>
        </w:rPr>
        <w:t xml:space="preserve"> о успостављању инфраструктуре за просторне информације у Европској заједници</w:t>
      </w:r>
      <w:r w:rsidR="0095402E" w:rsidRPr="00EF2F18">
        <w:rPr>
          <w:sz w:val="22"/>
          <w:lang w:val="sr-Cyrl-RS"/>
        </w:rPr>
        <w:t xml:space="preserve"> </w:t>
      </w:r>
      <w:r w:rsidR="003524F1" w:rsidRPr="00EF2F18">
        <w:rPr>
          <w:sz w:val="22"/>
          <w:lang w:val="sr-Cyrl-RS"/>
        </w:rPr>
        <w:t>(</w:t>
      </w:r>
      <w:r w:rsidR="0095402E" w:rsidRPr="00EF2F18">
        <w:rPr>
          <w:sz w:val="22"/>
          <w:lang w:val="sr-Cyrl-RS"/>
        </w:rPr>
        <w:t>INSPIRE</w:t>
      </w:r>
      <w:r w:rsidR="003524F1" w:rsidRPr="00EF2F18">
        <w:rPr>
          <w:sz w:val="22"/>
          <w:lang w:val="sr-Cyrl-RS"/>
        </w:rPr>
        <w:t>)</w:t>
      </w:r>
      <w:r w:rsidR="0095402E" w:rsidRPr="00EF2F18">
        <w:rPr>
          <w:sz w:val="22"/>
          <w:lang w:val="sr-Cyrl-RS"/>
        </w:rPr>
        <w:t>, којом се успоставља инфраструктура за просторне информације и већа заступљеност електронске управе захваљујући примени Заједничког информационог система о животној средини</w:t>
      </w:r>
      <w:r w:rsidR="005E3133" w:rsidRPr="00EF2F18">
        <w:rPr>
          <w:sz w:val="22"/>
          <w:lang w:val="sr-Cyrl-RS"/>
        </w:rPr>
        <w:t xml:space="preserve"> </w:t>
      </w:r>
      <w:r w:rsidR="0095402E" w:rsidRPr="00EF2F18">
        <w:rPr>
          <w:sz w:val="22"/>
          <w:lang w:val="sr-Cyrl-RS"/>
        </w:rPr>
        <w:t xml:space="preserve">биће успостављен систем информисања заснован на најновијој информационој и комуникационој технологији, што ће омогућити доносиоцима одлука лак приступ информацијама о животној средини у реалном времену. </w:t>
      </w:r>
    </w:p>
    <w:p w14:paraId="2B2CECA3" w14:textId="6D7C7FFA" w:rsidR="00F656F2" w:rsidRPr="00EF2F18" w:rsidRDefault="00EA64D2" w:rsidP="003804FC">
      <w:pPr>
        <w:spacing w:after="0"/>
        <w:ind w:firstLine="709"/>
        <w:jc w:val="both"/>
        <w:rPr>
          <w:sz w:val="22"/>
          <w:lang w:val="sr-Cyrl-RS"/>
        </w:rPr>
      </w:pPr>
      <w:r w:rsidRPr="00EF2F18">
        <w:rPr>
          <w:sz w:val="22"/>
          <w:lang w:val="sr-Cyrl-RS"/>
        </w:rPr>
        <w:t>Темељна анализа кадровских капацитета у области животне средине, са прегледом стања по нивоима власти (укључујући комунална предузећа) и типовима послова (администрација, инспекцијски послови, инжењерски послови и др.), указала је на потребу јачања институционалних и стручних капацитета ради ефикасне реализације активности и усклађивања са европским регулативама.</w:t>
      </w:r>
      <w:r w:rsidR="005C237C">
        <w:rPr>
          <w:sz w:val="22"/>
          <w:lang w:val="sr-Cyrl-RS"/>
        </w:rPr>
        <w:t xml:space="preserve"> </w:t>
      </w:r>
      <w:r w:rsidR="00DC59A1" w:rsidRPr="00EF2F18">
        <w:rPr>
          <w:sz w:val="22"/>
          <w:lang w:val="sr-Cyrl-RS"/>
        </w:rPr>
        <w:t>Неопходно је и успостављање јасног и функционалног механизма координације између различитих министарстава, јавних и државних предузећа и локалних самоуправа</w:t>
      </w:r>
      <w:r w:rsidR="00F656F2" w:rsidRPr="00EF2F18">
        <w:rPr>
          <w:sz w:val="22"/>
          <w:lang w:val="sr-Cyrl-RS"/>
        </w:rPr>
        <w:t>.</w:t>
      </w:r>
    </w:p>
    <w:p w14:paraId="70DF306D" w14:textId="05986196" w:rsidR="00713B63" w:rsidRPr="00EF2F18" w:rsidRDefault="00713B63" w:rsidP="00713B63">
      <w:pPr>
        <w:spacing w:after="0"/>
        <w:ind w:firstLine="709"/>
        <w:jc w:val="both"/>
        <w:rPr>
          <w:sz w:val="22"/>
          <w:lang w:val="sr-Cyrl-RS"/>
        </w:rPr>
      </w:pPr>
      <w:r w:rsidRPr="00EF2F18">
        <w:rPr>
          <w:sz w:val="22"/>
          <w:lang w:val="sr-Cyrl-RS"/>
        </w:rPr>
        <w:t xml:space="preserve">У складу са </w:t>
      </w:r>
      <w:r w:rsidRPr="00EF2F18">
        <w:rPr>
          <w:i/>
          <w:iCs/>
          <w:sz w:val="22"/>
          <w:lang w:val="sr-Cyrl-RS"/>
        </w:rPr>
        <w:t>ex post</w:t>
      </w:r>
      <w:r w:rsidRPr="00EF2F18">
        <w:rPr>
          <w:sz w:val="22"/>
          <w:lang w:val="sr-Cyrl-RS"/>
        </w:rPr>
        <w:t xml:space="preserve"> анализом о спровођењу Архуске конвенције, потребно је наставити са обезбеђивањем ефективних механизама за учешће јавности, приступ информацијама, </w:t>
      </w:r>
      <w:r w:rsidR="002F7ED7" w:rsidRPr="00EF2F18">
        <w:rPr>
          <w:sz w:val="22"/>
          <w:lang w:val="sr-Cyrl-RS"/>
        </w:rPr>
        <w:t>правну заштиту</w:t>
      </w:r>
      <w:r w:rsidRPr="00EF2F18">
        <w:rPr>
          <w:sz w:val="22"/>
          <w:lang w:val="sr-Cyrl-RS"/>
        </w:rPr>
        <w:t xml:space="preserve"> у области заштите животне средине и извештавање о животној средини. </w:t>
      </w:r>
    </w:p>
    <w:p w14:paraId="7A08016A" w14:textId="557A6A13" w:rsidR="005A50AF" w:rsidRPr="00EF2F18" w:rsidRDefault="00713B63" w:rsidP="005A50AF">
      <w:pPr>
        <w:spacing w:after="0"/>
        <w:ind w:firstLine="709"/>
        <w:jc w:val="both"/>
        <w:rPr>
          <w:sz w:val="22"/>
          <w:lang w:val="sr-Cyrl-RS"/>
        </w:rPr>
      </w:pPr>
      <w:r w:rsidRPr="00EF2F18">
        <w:rPr>
          <w:sz w:val="22"/>
          <w:lang w:val="sr-Cyrl-RS"/>
        </w:rPr>
        <w:t xml:space="preserve">Подизање свести грађана о значају Зелене агенде је неопходно, укључујући одражавање Зелене агенде у реформама система образовања. </w:t>
      </w:r>
    </w:p>
    <w:p w14:paraId="7A43EBF7" w14:textId="634308A8" w:rsidR="005A50AF" w:rsidRPr="00EF2F18" w:rsidRDefault="005A50AF" w:rsidP="005A50AF">
      <w:pPr>
        <w:spacing w:after="0"/>
        <w:ind w:firstLine="709"/>
        <w:jc w:val="both"/>
        <w:rPr>
          <w:sz w:val="22"/>
          <w:lang w:val="sr-Cyrl-RS"/>
        </w:rPr>
      </w:pPr>
      <w:r w:rsidRPr="00EF2F18">
        <w:rPr>
          <w:sz w:val="22"/>
          <w:lang w:val="sr-Cyrl-RS"/>
        </w:rPr>
        <w:t>Постојећи систем мониторинга квалитета чинилаца животне средине, потребно је унапредити, како у обухвату, тако и у броју параметара који се прате, с обзиром да је за адекватно управљање животном средином и усмеравање јавних политика потребно располагати ширим скупом информација и показатеља. За потпуни обухват, потребно је успоставити и оспособити си</w:t>
      </w:r>
      <w:r w:rsidR="005C237C">
        <w:rPr>
          <w:sz w:val="22"/>
          <w:lang w:val="sr-Cyrl-RS"/>
        </w:rPr>
        <w:t>стем мониторинга на локалном ни</w:t>
      </w:r>
      <w:r w:rsidRPr="00EF2F18">
        <w:rPr>
          <w:sz w:val="22"/>
          <w:lang w:val="sr-Cyrl-RS"/>
        </w:rPr>
        <w:t>в</w:t>
      </w:r>
      <w:r w:rsidR="005C237C">
        <w:rPr>
          <w:sz w:val="22"/>
          <w:lang w:val="sr-Cyrl-RS"/>
        </w:rPr>
        <w:t>о</w:t>
      </w:r>
      <w:r w:rsidRPr="00EF2F18">
        <w:rPr>
          <w:sz w:val="22"/>
          <w:lang w:val="sr-Cyrl-RS"/>
        </w:rPr>
        <w:t>у, чија би мрежа употпуњавала централизовани републички систем.</w:t>
      </w:r>
    </w:p>
    <w:p w14:paraId="75331004" w14:textId="77777777" w:rsidR="00934B7E" w:rsidRPr="00EF2F18" w:rsidRDefault="00934B7E" w:rsidP="00934B7E">
      <w:pPr>
        <w:autoSpaceDE w:val="0"/>
        <w:autoSpaceDN w:val="0"/>
        <w:adjustRightInd w:val="0"/>
        <w:spacing w:after="0"/>
        <w:ind w:firstLine="720"/>
        <w:jc w:val="both"/>
        <w:rPr>
          <w:rFonts w:cs="Times New Roman"/>
          <w:sz w:val="22"/>
          <w:lang w:val="sr-Cyrl-RS"/>
        </w:rPr>
      </w:pPr>
      <w:r w:rsidRPr="00EF2F18">
        <w:rPr>
          <w:rFonts w:cs="Times New Roman"/>
          <w:sz w:val="22"/>
          <w:lang w:val="sr-Cyrl-RS"/>
        </w:rPr>
        <w:t xml:space="preserve">За инвестирање у области заштите животне средине и развој економије засноване на ниским емисијама угљен-диоксида, обновљиве изворе енергије, ефикасно коришћење ресурса, развој зелене инфраструктуре и заштиту биодиверзитета, Републици Србији је потребан одржив модел финансирања, који укључује обезбеђивање и наменско и транспарентно трошење сопствених средстава и финансијску подршку међународних организација и финансијских </w:t>
      </w:r>
      <w:r w:rsidRPr="00EF2F18">
        <w:rPr>
          <w:rFonts w:cs="Times New Roman"/>
          <w:sz w:val="22"/>
          <w:lang w:val="sr-Cyrl-RS"/>
        </w:rPr>
        <w:lastRenderedPageBreak/>
        <w:t xml:space="preserve">институција, Европске уније и других. Финансирање </w:t>
      </w:r>
      <w:r w:rsidRPr="00EF2F18">
        <w:rPr>
          <w:rFonts w:eastAsia="Calibri" w:cs="Times New Roman"/>
          <w:sz w:val="22"/>
          <w:lang w:val="sr-Cyrl-RS"/>
        </w:rPr>
        <w:t>и инвестирање у животну средину</w:t>
      </w:r>
      <w:r w:rsidRPr="00EF2F18">
        <w:rPr>
          <w:rFonts w:cs="Times New Roman"/>
          <w:sz w:val="22"/>
          <w:lang w:val="sr-Cyrl-RS"/>
        </w:rPr>
        <w:t xml:space="preserve"> је првенствено усмерено на побољшање ефикасности и квалитета припреме, спровођења и контроле квалитета инвестиција, као и даљег унапређења стратешког планирања инвестиција и управљања њима, укључујући транспарентност инвестиција и њихових утицаја на животну средину. Приоритети су изградња нове, али и модернизација постојеће инфраструктуре, увођење нових технологија и стимулисање иновација у секторима који највише доприносе загађењу животне средине.</w:t>
      </w:r>
    </w:p>
    <w:p w14:paraId="42FA7066" w14:textId="737D8A2B" w:rsidR="00934B7E" w:rsidRPr="00EF2F18" w:rsidRDefault="00934B7E" w:rsidP="00934B7E">
      <w:pPr>
        <w:spacing w:after="0"/>
        <w:ind w:firstLine="709"/>
        <w:jc w:val="both"/>
        <w:rPr>
          <w:sz w:val="22"/>
          <w:lang w:val="sr-Cyrl-RS"/>
        </w:rPr>
      </w:pPr>
      <w:r w:rsidRPr="00EF2F18">
        <w:rPr>
          <w:sz w:val="22"/>
          <w:lang w:val="sr-Cyrl-RS"/>
        </w:rPr>
        <w:t>Повећање улагања државе у заштити животне средине у наредним годинама, поред тога што је потребно због грађана Републике Србије, то је и обавеза Републике Србије у процесу приступања ЕУ. Заштита животне средине једна је од основних тековина ЕУ – па је у процесу приступања Република Србија у обавези да значајно повећа инвестиције у ову област. Повећање издвајања у заштиту животне средине позитивно утиче на структуру буџета (веће јавне инвестиције) и позитивно би деловало на привредни раст у кратком року. Такође, сав приход остварен од накнада за заштиту и унапређивање животне средине треба да буде намењен за животну средину.</w:t>
      </w:r>
    </w:p>
    <w:p w14:paraId="137D0E4F" w14:textId="15849130" w:rsidR="002841EB" w:rsidRPr="00EF2F18" w:rsidRDefault="00713B63" w:rsidP="006B4DF8">
      <w:pPr>
        <w:spacing w:after="0"/>
        <w:ind w:firstLine="709"/>
        <w:jc w:val="both"/>
        <w:rPr>
          <w:sz w:val="22"/>
          <w:lang w:val="sr-Cyrl-RS"/>
        </w:rPr>
      </w:pPr>
      <w:r w:rsidRPr="00EF2F18">
        <w:rPr>
          <w:sz w:val="22"/>
          <w:lang w:val="sr-Cyrl-RS"/>
        </w:rPr>
        <w:t>Повећање улагања у заштиту животне средине делом ће се финансирати и из фондова ЕУ. Инвестициони пројекти у заштиту животне средине висок</w:t>
      </w:r>
      <w:r w:rsidR="00EB721F" w:rsidRPr="00EF2F18">
        <w:rPr>
          <w:sz w:val="22"/>
          <w:lang w:val="sr-Cyrl-RS"/>
        </w:rPr>
        <w:t>о</w:t>
      </w:r>
      <w:r w:rsidRPr="00EF2F18">
        <w:rPr>
          <w:sz w:val="22"/>
          <w:lang w:val="sr-Cyrl-RS"/>
        </w:rPr>
        <w:t xml:space="preserve"> су на листи приоритета земаља ЕУ и Република Србија је у могућности да за многе од ових пројеката користи фондове ЕУ, пре свега, бесповратна средства из ИПА фондова из којих је могуће суфинансирати знатан број инвестиција у заштиту животне средине. Такође, Републици Србији су за ове намене на располагању и кредитна средства међународних финансијских институција, која се одобравају под знатно повољни</w:t>
      </w:r>
      <w:r w:rsidR="00EB721F" w:rsidRPr="00EF2F18">
        <w:rPr>
          <w:sz w:val="22"/>
          <w:lang w:val="sr-Cyrl-RS"/>
        </w:rPr>
        <w:t>ји</w:t>
      </w:r>
      <w:r w:rsidRPr="00EF2F18">
        <w:rPr>
          <w:sz w:val="22"/>
          <w:lang w:val="sr-Cyrl-RS"/>
        </w:rPr>
        <w:t>м условима од тржишних (нижа каматна стопа, дужи период отплате). За коришћење ових средстава кључно је повећати апсорпционе капацитете Републике Србије, што би значило решавање бројних системских проблема у управљању инвестицијама у заштиту животне средине – неопходних за координацију различитих надлежних институција и нивоа власти, припрему квалитетне техничке документације пројеката неопходне за приступ овим средствима и друго. Уопште, за повећање улагања у заштиту животне средине, један од предуслова је и унапређење системског оквира у ком се оне спроводе</w:t>
      </w:r>
      <w:r w:rsidR="002D2B47" w:rsidRPr="00EF2F18">
        <w:rPr>
          <w:sz w:val="22"/>
          <w:lang w:val="sr-Cyrl-RS"/>
        </w:rPr>
        <w:t>, односно</w:t>
      </w:r>
      <w:r w:rsidR="0027538F" w:rsidRPr="00EF2F18">
        <w:rPr>
          <w:rFonts w:cs="Times New Roman"/>
          <w:sz w:val="22"/>
          <w:lang w:val="sr-Cyrl-RS"/>
        </w:rPr>
        <w:t xml:space="preserve"> увођење „зеленог” буџетирања израдом и применом обавезујуће методологије </w:t>
      </w:r>
      <w:r w:rsidR="0027538F" w:rsidRPr="00EF2F18">
        <w:rPr>
          <w:rFonts w:eastAsia="Times New Roman" w:cs="Times New Roman"/>
          <w:sz w:val="22"/>
          <w:lang w:val="sr-Cyrl-RS"/>
        </w:rPr>
        <w:t>за обележавање зелених расхода</w:t>
      </w:r>
      <w:r w:rsidR="002841EB" w:rsidRPr="00EF2F18">
        <w:rPr>
          <w:rFonts w:eastAsia="Times New Roman" w:cs="Times New Roman"/>
          <w:sz w:val="22"/>
          <w:lang w:val="sr-Cyrl-RS"/>
        </w:rPr>
        <w:t>.</w:t>
      </w:r>
    </w:p>
    <w:p w14:paraId="32C2EC67" w14:textId="4921B376" w:rsidR="002D2B47" w:rsidRPr="00EF2F18" w:rsidRDefault="00D9405A" w:rsidP="00D651A2">
      <w:pPr>
        <w:spacing w:after="0"/>
        <w:ind w:firstLine="706"/>
        <w:jc w:val="both"/>
        <w:rPr>
          <w:rFonts w:cs="Times New Roman"/>
          <w:sz w:val="22"/>
          <w:lang w:val="sr-Cyrl-RS"/>
        </w:rPr>
      </w:pPr>
      <w:r w:rsidRPr="00EF2F18">
        <w:rPr>
          <w:sz w:val="22"/>
          <w:lang w:val="sr-Cyrl-RS"/>
        </w:rPr>
        <w:t>У вези са укључивање</w:t>
      </w:r>
      <w:r w:rsidR="009F1B47" w:rsidRPr="00EF2F18">
        <w:rPr>
          <w:sz w:val="22"/>
          <w:lang w:val="sr-Cyrl-RS"/>
        </w:rPr>
        <w:t>м</w:t>
      </w:r>
      <w:r w:rsidRPr="00EF2F18">
        <w:rPr>
          <w:sz w:val="22"/>
          <w:lang w:val="sr-Cyrl-RS"/>
        </w:rPr>
        <w:t xml:space="preserve"> принципа родне равноправнoсти, превенције дискриминације и прим</w:t>
      </w:r>
      <w:r w:rsidR="009F1B47" w:rsidRPr="00EF2F18">
        <w:rPr>
          <w:sz w:val="22"/>
          <w:lang w:val="sr-Cyrl-RS"/>
        </w:rPr>
        <w:t>е</w:t>
      </w:r>
      <w:r w:rsidRPr="00EF2F18">
        <w:rPr>
          <w:sz w:val="22"/>
          <w:lang w:val="sr-Cyrl-RS"/>
        </w:rPr>
        <w:t>не принципа „да нико не буде изостављен</w:t>
      </w:r>
      <w:r w:rsidRPr="00EF2F18">
        <w:rPr>
          <w:rFonts w:cs="Times New Roman"/>
          <w:sz w:val="22"/>
          <w:lang w:val="sr-Cyrl-RS"/>
        </w:rPr>
        <w:t>”</w:t>
      </w:r>
      <w:r w:rsidRPr="00EF2F18">
        <w:rPr>
          <w:sz w:val="22"/>
          <w:lang w:val="sr-Cyrl-RS"/>
        </w:rPr>
        <w:t>, приликом кр</w:t>
      </w:r>
      <w:r w:rsidR="009115E4" w:rsidRPr="00EF2F18">
        <w:rPr>
          <w:sz w:val="22"/>
          <w:lang w:val="sr-Cyrl-RS"/>
        </w:rPr>
        <w:t>е</w:t>
      </w:r>
      <w:r w:rsidRPr="00EF2F18">
        <w:rPr>
          <w:sz w:val="22"/>
          <w:lang w:val="sr-Cyrl-RS"/>
        </w:rPr>
        <w:t>ирања</w:t>
      </w:r>
      <w:r w:rsidRPr="00EF2F18">
        <w:rPr>
          <w:rFonts w:cs="Times New Roman"/>
          <w:sz w:val="22"/>
          <w:lang w:val="sr-Cyrl-RS"/>
        </w:rPr>
        <w:t xml:space="preserve"> јавних политика, планова и пр</w:t>
      </w:r>
      <w:r w:rsidR="009115E4" w:rsidRPr="00EF2F18">
        <w:rPr>
          <w:rFonts w:cs="Times New Roman"/>
          <w:sz w:val="22"/>
          <w:lang w:val="sr-Cyrl-RS"/>
        </w:rPr>
        <w:t>о</w:t>
      </w:r>
      <w:r w:rsidRPr="00EF2F18">
        <w:rPr>
          <w:rFonts w:cs="Times New Roman"/>
          <w:sz w:val="22"/>
          <w:lang w:val="sr-Cyrl-RS"/>
        </w:rPr>
        <w:t xml:space="preserve">јеката у области заштите животне средине, </w:t>
      </w:r>
      <w:r w:rsidRPr="00EF2F18">
        <w:rPr>
          <w:sz w:val="22"/>
          <w:lang w:val="sr-Cyrl-RS"/>
        </w:rPr>
        <w:t>потребно је припремити јасне смернице и организовати обу</w:t>
      </w:r>
      <w:r w:rsidR="00FD2A3B">
        <w:rPr>
          <w:sz w:val="22"/>
          <w:lang w:val="sr-Cyrl-RS"/>
        </w:rPr>
        <w:t>ке за њихову примену на свим ни</w:t>
      </w:r>
      <w:r w:rsidRPr="00EF2F18">
        <w:rPr>
          <w:sz w:val="22"/>
          <w:lang w:val="sr-Cyrl-RS"/>
        </w:rPr>
        <w:t>в</w:t>
      </w:r>
      <w:r w:rsidR="00FD2A3B">
        <w:rPr>
          <w:sz w:val="22"/>
          <w:lang w:val="sr-Cyrl-RS"/>
        </w:rPr>
        <w:t>о</w:t>
      </w:r>
      <w:r w:rsidRPr="00EF2F18">
        <w:rPr>
          <w:sz w:val="22"/>
          <w:lang w:val="sr-Cyrl-RS"/>
        </w:rPr>
        <w:t xml:space="preserve">има планирања. Такође, јачање организација цивилног друштва за учешће у доношењу одлука у питањима од значаја за заштиту животне средине представља </w:t>
      </w:r>
      <w:r w:rsidRPr="00EF2F18">
        <w:rPr>
          <w:rFonts w:cs="Times New Roman"/>
          <w:sz w:val="22"/>
          <w:lang w:val="sr-Cyrl-RS"/>
        </w:rPr>
        <w:t xml:space="preserve">кључни елеменат </w:t>
      </w:r>
      <w:r w:rsidRPr="00EF2F18">
        <w:rPr>
          <w:rFonts w:cs="Times New Roman"/>
          <w:iCs/>
          <w:sz w:val="22"/>
          <w:lang w:val="sr-Cyrl-RS"/>
        </w:rPr>
        <w:t>доброг управљања</w:t>
      </w:r>
      <w:r w:rsidRPr="00EF2F18">
        <w:rPr>
          <w:rFonts w:cs="Times New Roman"/>
          <w:sz w:val="22"/>
          <w:lang w:val="sr-Cyrl-RS"/>
        </w:rPr>
        <w:t>: транспарентности, партиципацији, односно учешћу грађана и остваривању њихових потреба, делотворности, једнакости, одговорности и владавини права. Анга</w:t>
      </w:r>
      <w:r w:rsidR="002E4F8B">
        <w:rPr>
          <w:rFonts w:cs="Times New Roman"/>
          <w:sz w:val="22"/>
          <w:lang w:val="sr-Cyrl-RS"/>
        </w:rPr>
        <w:t>жовањем организација цивилног д</w:t>
      </w:r>
      <w:r w:rsidRPr="00EF2F18">
        <w:rPr>
          <w:rFonts w:cs="Times New Roman"/>
          <w:sz w:val="22"/>
          <w:lang w:val="sr-Cyrl-RS"/>
        </w:rPr>
        <w:t>р</w:t>
      </w:r>
      <w:r w:rsidR="002E4F8B">
        <w:rPr>
          <w:rFonts w:cs="Times New Roman"/>
          <w:sz w:val="22"/>
          <w:lang w:val="sr-Cyrl-RS"/>
        </w:rPr>
        <w:t>у</w:t>
      </w:r>
      <w:r w:rsidRPr="00EF2F18">
        <w:rPr>
          <w:rFonts w:cs="Times New Roman"/>
          <w:sz w:val="22"/>
          <w:lang w:val="sr-Cyrl-RS"/>
        </w:rPr>
        <w:t xml:space="preserve">штва, </w:t>
      </w:r>
      <w:r w:rsidRPr="00EF2F18">
        <w:rPr>
          <w:sz w:val="22"/>
          <w:lang w:val="sr-Cyrl-RS"/>
        </w:rPr>
        <w:t>у значајној мери може да се унапред</w:t>
      </w:r>
      <w:r w:rsidR="002F7ED7" w:rsidRPr="00EF2F18">
        <w:rPr>
          <w:sz w:val="22"/>
          <w:lang w:val="sr-Cyrl-RS"/>
        </w:rPr>
        <w:t>и</w:t>
      </w:r>
      <w:r w:rsidRPr="00EF2F18">
        <w:rPr>
          <w:sz w:val="22"/>
          <w:lang w:val="sr-Cyrl-RS"/>
        </w:rPr>
        <w:t xml:space="preserve"> укључивање осетљивих друштвених група у консултативне процесе. Како би се омогућило родно осетљиво планирање, одно</w:t>
      </w:r>
      <w:r w:rsidR="0002735B">
        <w:rPr>
          <w:sz w:val="22"/>
          <w:lang w:val="sr-Cyrl-RS"/>
        </w:rPr>
        <w:t>сно равноправан третман мушкара</w:t>
      </w:r>
      <w:r w:rsidRPr="00EF2F18">
        <w:rPr>
          <w:sz w:val="22"/>
          <w:lang w:val="sr-Cyrl-RS"/>
        </w:rPr>
        <w:t>ца и жена, као и планирање уз уважавање принципа „да нико не буде изостављен</w:t>
      </w:r>
      <w:r w:rsidRPr="00EF2F18">
        <w:rPr>
          <w:rFonts w:cs="Times New Roman"/>
          <w:sz w:val="22"/>
          <w:lang w:val="sr-Cyrl-RS"/>
        </w:rPr>
        <w:t xml:space="preserve">”, </w:t>
      </w:r>
      <w:r w:rsidRPr="00EF2F18">
        <w:rPr>
          <w:sz w:val="22"/>
          <w:lang w:val="sr-Cyrl-RS"/>
        </w:rPr>
        <w:t xml:space="preserve">потребно је успоставити прикупљање и приказивање података </w:t>
      </w:r>
      <w:r w:rsidRPr="00EF2F18">
        <w:rPr>
          <w:rFonts w:cs="Times New Roman"/>
          <w:sz w:val="22"/>
          <w:lang w:val="sr-Cyrl-RS"/>
        </w:rPr>
        <w:t>ра</w:t>
      </w:r>
      <w:r w:rsidR="0002735B">
        <w:rPr>
          <w:rFonts w:cs="Times New Roman"/>
          <w:sz w:val="22"/>
          <w:lang w:val="sr-Cyrl-RS"/>
        </w:rPr>
        <w:t>з</w:t>
      </w:r>
      <w:r w:rsidRPr="00EF2F18">
        <w:rPr>
          <w:rFonts w:cs="Times New Roman"/>
          <w:sz w:val="22"/>
          <w:lang w:val="sr-Cyrl-RS"/>
        </w:rPr>
        <w:t>врстаних по полу, старосном добу и другим личним својствима.</w:t>
      </w:r>
    </w:p>
    <w:p w14:paraId="74DF813F" w14:textId="2B54BA01" w:rsidR="00D651A2" w:rsidRPr="00EF2F18" w:rsidRDefault="00D651A2" w:rsidP="00D651A2">
      <w:pPr>
        <w:spacing w:after="0"/>
        <w:ind w:firstLine="706"/>
        <w:jc w:val="both"/>
        <w:rPr>
          <w:rFonts w:cs="Times New Roman"/>
          <w:sz w:val="22"/>
          <w:lang w:val="sr-Cyrl-RS"/>
        </w:rPr>
      </w:pPr>
      <w:r w:rsidRPr="00EF2F18">
        <w:rPr>
          <w:rFonts w:cs="Times New Roman"/>
          <w:sz w:val="22"/>
          <w:lang w:val="sr-Cyrl-RS"/>
        </w:rPr>
        <w:t xml:space="preserve">Рањиве категорије становништва у Републици Србији, на које утичу чиниоци животне средине, укључују децу (посебно децу до пет година старости), жене, труднице, лица са стеченим хроничним обољењима и особе старије од 65 година. Њихова осетљивост је појачана утицајем загађења ваздуха, воде и земљишта, као и последицама климатских промена, које могу имати озбиљан утицај на њихово здравље и добробит. Посебну пажњу треба посветити деци, која су најосетљивија група становништва, као што је препознато у Смерницама Комитета Уједињених нација за права детета, у којима се посебно наглашава важност заштите дечјих права у контексту животне средине и климатских промена. Ове смернице препоручују да државе предузму законодавне и административне мере за ублажавање штетних ефеката деградације животне средине и климатских промена на права деце. Смернице такође позивају државе да обезбеде одговарајуће мере које ће гарантовати чист, здрав и одржив свет за садашње и будуће генерације. У складу с тим, ова стратегија ће укључити додатне мере за подршку рањивим </w:t>
      </w:r>
      <w:r w:rsidRPr="00EF2F18">
        <w:rPr>
          <w:rFonts w:cs="Times New Roman"/>
          <w:sz w:val="22"/>
          <w:lang w:val="sr-Cyrl-RS"/>
        </w:rPr>
        <w:lastRenderedPageBreak/>
        <w:t>категоријама становништва у оквиру политика заштите животне средине и ублажавања климатских промена. Акценат ће бити стављен на заштиту здравља деце и других осетљивих група, кроз мере које укључују мониторинг квалитета ваздуха и воде, смањење изложености опасним хемикалијама и стварање сигурног окружења за све становнике Републике Србије.</w:t>
      </w:r>
    </w:p>
    <w:p w14:paraId="3EC5E822" w14:textId="77777777" w:rsidR="00AB7D19" w:rsidRPr="00EF2F18" w:rsidRDefault="00AB7D19" w:rsidP="006B4DF8">
      <w:pPr>
        <w:jc w:val="both"/>
        <w:rPr>
          <w:rFonts w:cs="Times New Roman"/>
          <w:sz w:val="22"/>
          <w:lang w:val="sr-Cyrl-RS"/>
        </w:rPr>
      </w:pPr>
    </w:p>
    <w:p w14:paraId="4A7DB3FF" w14:textId="7A236787" w:rsidR="00FB7412" w:rsidRPr="00EF2F18" w:rsidRDefault="00FB7412" w:rsidP="00F34D8C">
      <w:pPr>
        <w:pStyle w:val="Heading1"/>
        <w:numPr>
          <w:ilvl w:val="0"/>
          <w:numId w:val="2"/>
        </w:numPr>
        <w:ind w:left="1170" w:hanging="450"/>
        <w:jc w:val="center"/>
        <w:rPr>
          <w:rFonts w:cs="Times New Roman"/>
          <w:sz w:val="22"/>
          <w:szCs w:val="22"/>
          <w:lang w:val="sr-Cyrl-RS"/>
        </w:rPr>
      </w:pPr>
      <w:bookmarkStart w:id="111" w:name="_Toc158307735"/>
      <w:bookmarkEnd w:id="103"/>
      <w:r w:rsidRPr="00EF2F18">
        <w:rPr>
          <w:rFonts w:cs="Times New Roman"/>
          <w:sz w:val="22"/>
          <w:szCs w:val="22"/>
          <w:lang w:val="sr-Cyrl-RS"/>
        </w:rPr>
        <w:t>МЕРЕ</w:t>
      </w:r>
      <w:r w:rsidR="00565B37" w:rsidRPr="00EF2F18">
        <w:rPr>
          <w:rFonts w:cs="Times New Roman"/>
          <w:sz w:val="22"/>
          <w:szCs w:val="22"/>
          <w:lang w:val="sr-Cyrl-RS"/>
        </w:rPr>
        <w:t xml:space="preserve"> ЗА ОСТВАРИВАЊЕ ЦИЉЕВА</w:t>
      </w:r>
      <w:r w:rsidRPr="00EF2F18">
        <w:rPr>
          <w:rFonts w:cs="Times New Roman"/>
          <w:sz w:val="22"/>
          <w:szCs w:val="22"/>
          <w:lang w:val="sr-Cyrl-RS"/>
        </w:rPr>
        <w:t xml:space="preserve"> И ЊИХОВ УТИЦАЈ НА ЖИВОТНУ СРЕДИНУ</w:t>
      </w:r>
      <w:bookmarkEnd w:id="111"/>
    </w:p>
    <w:p w14:paraId="65803089" w14:textId="14B3A2BC" w:rsidR="00FB7412" w:rsidRPr="00EF2F18" w:rsidRDefault="00FB7412" w:rsidP="00F34D8C">
      <w:pPr>
        <w:pStyle w:val="Heading2"/>
        <w:numPr>
          <w:ilvl w:val="1"/>
          <w:numId w:val="2"/>
        </w:numPr>
        <w:ind w:left="1350" w:hanging="630"/>
        <w:jc w:val="center"/>
        <w:rPr>
          <w:rFonts w:cs="Times New Roman"/>
          <w:sz w:val="22"/>
          <w:szCs w:val="22"/>
          <w:lang w:val="sr-Cyrl-RS"/>
        </w:rPr>
      </w:pPr>
      <w:bookmarkStart w:id="112" w:name="_Toc158307736"/>
      <w:r w:rsidRPr="00EF2F18">
        <w:rPr>
          <w:rFonts w:cs="Times New Roman"/>
          <w:sz w:val="22"/>
          <w:szCs w:val="22"/>
          <w:lang w:val="sr-Cyrl-RS"/>
        </w:rPr>
        <w:t xml:space="preserve">Мере </w:t>
      </w:r>
      <w:r w:rsidR="00077A3C" w:rsidRPr="00EF2F18">
        <w:rPr>
          <w:rFonts w:cs="Times New Roman"/>
          <w:sz w:val="22"/>
          <w:szCs w:val="22"/>
          <w:lang w:val="sr-Cyrl-RS"/>
        </w:rPr>
        <w:t>за остваривање посебних циљева</w:t>
      </w:r>
      <w:bookmarkEnd w:id="112"/>
    </w:p>
    <w:p w14:paraId="691A480E" w14:textId="70AF2974" w:rsidR="0024502E" w:rsidRPr="00EF2F18" w:rsidRDefault="0024502E" w:rsidP="0024502E">
      <w:pPr>
        <w:rPr>
          <w:rFonts w:cs="Times New Roman"/>
          <w:sz w:val="22"/>
          <w:lang w:val="sr-Cyrl-RS"/>
        </w:rPr>
      </w:pPr>
    </w:p>
    <w:p w14:paraId="0CE0A07B" w14:textId="4E209F42" w:rsidR="00C73403" w:rsidRPr="00EF2F18" w:rsidRDefault="00C73403" w:rsidP="00C7340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Мере за остваривање посебних циљева Стратегије, утврђене</w:t>
      </w:r>
      <w:r w:rsidR="0028189F" w:rsidRPr="00EF2F18">
        <w:rPr>
          <w:rFonts w:ascii="Times New Roman" w:hAnsi="Times New Roman" w:cs="Times New Roman"/>
          <w:sz w:val="22"/>
          <w:szCs w:val="22"/>
          <w:lang w:val="sr-Cyrl-RS"/>
        </w:rPr>
        <w:t xml:space="preserve"> су</w:t>
      </w:r>
      <w:r w:rsidRPr="00EF2F18">
        <w:rPr>
          <w:rFonts w:ascii="Times New Roman" w:hAnsi="Times New Roman" w:cs="Times New Roman"/>
          <w:sz w:val="22"/>
          <w:szCs w:val="22"/>
          <w:lang w:val="sr-Cyrl-RS"/>
        </w:rPr>
        <w:t xml:space="preserve"> на основу докумената јавних политика који су у директној вези са Стратегијом и то на начин да су идентификоване приоритетне мере које ће највише допринети остваривању постављених циљева Стратегије. Веза са одређеним документом јавне политике је наведена за сваку такву меру. Мере које су утврђене овом стратегијом, а нису преузете из повезаних важећих докумената јавних политика, утврђене су на основу концепције приказане у поглављу 6. Концепција спровођења Зелене агенде за Србију, која је базирана на Зеленој агенди ЕУ. У складу с тим, приоритетне мере се односе на: смањење емисија </w:t>
      </w:r>
      <w:r w:rsidRPr="00EF2F18">
        <w:rPr>
          <w:rFonts w:ascii="Times New Roman" w:hAnsi="Times New Roman" w:cs="Times New Roman"/>
          <w:i/>
          <w:iCs/>
          <w:sz w:val="22"/>
          <w:szCs w:val="22"/>
          <w:lang w:val="sr-Cyrl-RS"/>
        </w:rPr>
        <w:t>GHG</w:t>
      </w:r>
      <w:r w:rsidRPr="00EF2F18">
        <w:rPr>
          <w:rFonts w:ascii="Times New Roman" w:hAnsi="Times New Roman" w:cs="Times New Roman"/>
          <w:sz w:val="22"/>
          <w:szCs w:val="22"/>
          <w:lang w:val="sr-Cyrl-RS"/>
        </w:rPr>
        <w:t xml:space="preserve"> и промовисање обновљивих извора енергије, унапређење енергетске ефикасности, заштиту водних ресурса, очување биодиверзитета и заштиту екосистема, изградњу инфраструктуре за управљање отпадом, циркуларну економију, промовисање одрживог управљања шумама и руралним подручјима, као и примену еколошких стандарда и принципа и испуњавање преузетих обавеза у приступању ЕУ. </w:t>
      </w:r>
    </w:p>
    <w:p w14:paraId="4CE7C804" w14:textId="433504EA" w:rsidR="00961D42" w:rsidRPr="00EF2F18" w:rsidRDefault="00C73403" w:rsidP="00C73403">
      <w:pPr>
        <w:pStyle w:val="Defaul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Период трајања за највећи број мера превазилази период важења Стратегије, с тим што су показатељи учинка утврђени за последњу годину трајања Стратегије. Одређени број мера има краћи период трајања, што је посебно назначено</w:t>
      </w:r>
      <w:r w:rsidR="00961D42" w:rsidRPr="00EF2F18">
        <w:rPr>
          <w:rFonts w:ascii="Times New Roman" w:hAnsi="Times New Roman" w:cs="Times New Roman"/>
          <w:sz w:val="22"/>
          <w:szCs w:val="22"/>
          <w:lang w:val="sr-Cyrl-RS"/>
        </w:rPr>
        <w:t>.</w:t>
      </w:r>
    </w:p>
    <w:p w14:paraId="5FA0052E" w14:textId="1F365C90" w:rsidR="0024502E" w:rsidRPr="00EF2F18" w:rsidRDefault="0024502E" w:rsidP="00F34D8C">
      <w:pPr>
        <w:pStyle w:val="Heading3"/>
        <w:numPr>
          <w:ilvl w:val="2"/>
          <w:numId w:val="2"/>
        </w:numPr>
        <w:jc w:val="center"/>
        <w:rPr>
          <w:rFonts w:cs="Times New Roman"/>
          <w:sz w:val="22"/>
          <w:szCs w:val="22"/>
          <w:lang w:val="sr-Cyrl-RS"/>
        </w:rPr>
      </w:pPr>
      <w:bookmarkStart w:id="113" w:name="_Toc158307737"/>
      <w:r w:rsidRPr="00EF2F18">
        <w:rPr>
          <w:rFonts w:cs="Times New Roman"/>
          <w:sz w:val="22"/>
          <w:szCs w:val="22"/>
          <w:lang w:val="sr-Cyrl-RS"/>
        </w:rPr>
        <w:t xml:space="preserve">Декарбонизација, </w:t>
      </w:r>
      <w:r w:rsidR="00B81A01" w:rsidRPr="00EF2F18">
        <w:rPr>
          <w:rFonts w:cs="Times New Roman"/>
          <w:sz w:val="22"/>
          <w:szCs w:val="22"/>
          <w:lang w:val="sr-Cyrl-RS"/>
        </w:rPr>
        <w:t>клима, енергетика и мобилност</w:t>
      </w:r>
      <w:bookmarkEnd w:id="113"/>
    </w:p>
    <w:p w14:paraId="03979003" w14:textId="77777777" w:rsidR="00F45912" w:rsidRPr="00EF2F18" w:rsidRDefault="00F45912" w:rsidP="00F45912">
      <w:pPr>
        <w:spacing w:after="0"/>
        <w:rPr>
          <w:sz w:val="22"/>
          <w:lang w:val="sr-Cyrl-RS"/>
        </w:rPr>
      </w:pPr>
    </w:p>
    <w:p w14:paraId="29676A0A" w14:textId="7A3E1659" w:rsidR="0069618C" w:rsidRPr="00EF2F18" w:rsidRDefault="0069618C" w:rsidP="0069618C">
      <w:pPr>
        <w:pBdr>
          <w:top w:val="single" w:sz="4" w:space="1" w:color="auto"/>
          <w:left w:val="single" w:sz="4" w:space="4" w:color="auto"/>
          <w:bottom w:val="single" w:sz="4" w:space="1" w:color="auto"/>
          <w:right w:val="single" w:sz="4" w:space="4" w:color="auto"/>
        </w:pBdr>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1.1: </w:t>
      </w:r>
      <w:r w:rsidR="007C436D" w:rsidRPr="00EF2F18">
        <w:rPr>
          <w:rFonts w:cs="Times New Roman"/>
          <w:b/>
          <w:bCs/>
          <w:color w:val="2E74B5" w:themeColor="accent1" w:themeShade="BF"/>
          <w:sz w:val="22"/>
          <w:lang w:val="sr-Cyrl-RS"/>
        </w:rPr>
        <w:t xml:space="preserve">Смањење емисија </w:t>
      </w:r>
      <w:r w:rsidR="007C436D" w:rsidRPr="00EF2F18">
        <w:rPr>
          <w:rFonts w:cs="Times New Roman"/>
          <w:b/>
          <w:bCs/>
          <w:i/>
          <w:iCs/>
          <w:color w:val="2E74B5" w:themeColor="accent1" w:themeShade="BF"/>
          <w:sz w:val="22"/>
          <w:lang w:val="sr-Cyrl-RS"/>
        </w:rPr>
        <w:t>GHG</w:t>
      </w:r>
      <w:r w:rsidR="007C436D" w:rsidRPr="00EF2F18">
        <w:rPr>
          <w:rFonts w:cs="Times New Roman"/>
          <w:b/>
          <w:bCs/>
          <w:color w:val="2E74B5" w:themeColor="accent1" w:themeShade="BF"/>
          <w:sz w:val="22"/>
          <w:lang w:val="sr-Cyrl-RS"/>
        </w:rPr>
        <w:t xml:space="preserve"> </w:t>
      </w:r>
    </w:p>
    <w:p w14:paraId="726636A1" w14:textId="4A808C4B" w:rsidR="00520BE5" w:rsidRPr="00EF2F18" w:rsidRDefault="008E2E06" w:rsidP="00520BE5">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w:t>
      </w:r>
      <w:r w:rsidR="0081734D" w:rsidRPr="00EF2F18">
        <w:rPr>
          <w:rFonts w:cs="Times New Roman"/>
          <w:sz w:val="22"/>
          <w:lang w:val="sr-Cyrl-RS"/>
        </w:rPr>
        <w:t xml:space="preserve">захтевима Споразума из Париза у погледу смањења </w:t>
      </w:r>
      <w:bookmarkStart w:id="114" w:name="_Hlk142458536"/>
      <w:r w:rsidR="0081734D" w:rsidRPr="00EF2F18">
        <w:rPr>
          <w:rFonts w:cs="Times New Roman"/>
          <w:sz w:val="22"/>
          <w:lang w:val="sr-Cyrl-RS"/>
        </w:rPr>
        <w:t xml:space="preserve">емисија </w:t>
      </w:r>
      <w:r w:rsidR="0081734D" w:rsidRPr="00EF2F18">
        <w:rPr>
          <w:rFonts w:cs="Times New Roman"/>
          <w:i/>
          <w:iCs/>
          <w:sz w:val="22"/>
          <w:lang w:val="sr-Cyrl-RS"/>
        </w:rPr>
        <w:t>GHG</w:t>
      </w:r>
      <w:bookmarkEnd w:id="114"/>
      <w:r w:rsidR="0081734D" w:rsidRPr="00EF2F18">
        <w:rPr>
          <w:rFonts w:cs="Times New Roman"/>
          <w:sz w:val="22"/>
          <w:lang w:val="sr-Cyrl-RS"/>
        </w:rPr>
        <w:t xml:space="preserve">, а дугорочно и уравнотежењу глобалних емисија и понора </w:t>
      </w:r>
      <w:r w:rsidR="00C41F7C" w:rsidRPr="00EF2F18">
        <w:rPr>
          <w:rFonts w:cs="Times New Roman"/>
          <w:i/>
          <w:iCs/>
          <w:sz w:val="22"/>
          <w:lang w:val="sr-Cyrl-RS"/>
        </w:rPr>
        <w:t>GHG</w:t>
      </w:r>
      <w:r w:rsidR="0081734D" w:rsidRPr="00EF2F18">
        <w:rPr>
          <w:rFonts w:cs="Times New Roman"/>
          <w:sz w:val="22"/>
          <w:lang w:val="sr-Cyrl-RS"/>
        </w:rPr>
        <w:t xml:space="preserve">, као и у складу са процесом приступања ЕУ. Смањење емисија </w:t>
      </w:r>
      <w:r w:rsidR="00C41F7C" w:rsidRPr="00EF2F18">
        <w:rPr>
          <w:rFonts w:cs="Times New Roman"/>
          <w:i/>
          <w:iCs/>
          <w:sz w:val="22"/>
          <w:lang w:val="sr-Cyrl-RS"/>
        </w:rPr>
        <w:t>GHG</w:t>
      </w:r>
      <w:r w:rsidR="00C41F7C" w:rsidRPr="00EF2F18">
        <w:rPr>
          <w:rFonts w:cs="Times New Roman"/>
          <w:sz w:val="22"/>
          <w:lang w:val="sr-Cyrl-RS"/>
        </w:rPr>
        <w:t xml:space="preserve"> </w:t>
      </w:r>
      <w:r w:rsidR="0081734D" w:rsidRPr="00EF2F18">
        <w:rPr>
          <w:rFonts w:cs="Times New Roman"/>
          <w:sz w:val="22"/>
          <w:lang w:val="sr-Cyrl-RS"/>
        </w:rPr>
        <w:t>је утврђено Стратегијом нискоугљеничног развоја Републике Србије</w:t>
      </w:r>
      <w:r w:rsidR="003524F1" w:rsidRPr="00EF2F18">
        <w:rPr>
          <w:rFonts w:cs="Times New Roman"/>
          <w:sz w:val="22"/>
          <w:lang w:val="sr-Cyrl-RS"/>
        </w:rPr>
        <w:t xml:space="preserve"> и Интегрисан</w:t>
      </w:r>
      <w:r w:rsidR="00C315EE" w:rsidRPr="00EF2F18">
        <w:rPr>
          <w:rFonts w:cs="Times New Roman"/>
          <w:sz w:val="22"/>
          <w:lang w:val="sr-Cyrl-RS"/>
        </w:rPr>
        <w:t>им</w:t>
      </w:r>
      <w:r w:rsidR="003524F1" w:rsidRPr="00EF2F18">
        <w:rPr>
          <w:rFonts w:cs="Times New Roman"/>
          <w:sz w:val="22"/>
          <w:lang w:val="sr-Cyrl-RS"/>
        </w:rPr>
        <w:t xml:space="preserve"> националн</w:t>
      </w:r>
      <w:r w:rsidR="00C315EE" w:rsidRPr="00EF2F18">
        <w:rPr>
          <w:rFonts w:cs="Times New Roman"/>
          <w:sz w:val="22"/>
          <w:lang w:val="sr-Cyrl-RS"/>
        </w:rPr>
        <w:t>им енергетским и климатским планом</w:t>
      </w:r>
      <w:r w:rsidR="0081734D" w:rsidRPr="00EF2F18">
        <w:rPr>
          <w:rFonts w:cs="Times New Roman"/>
          <w:sz w:val="22"/>
          <w:lang w:val="sr-Cyrl-RS"/>
        </w:rPr>
        <w:t xml:space="preserve">, са циљем да се постигне имплементација целокупног законодавства ЕУ, у потпуности транспонованог и спроведеног, чиме се постиже </w:t>
      </w:r>
      <w:r w:rsidR="00520BE5" w:rsidRPr="00EF2F18">
        <w:rPr>
          <w:rFonts w:cs="Times New Roman"/>
          <w:sz w:val="22"/>
          <w:lang w:val="sr-Cyrl-RS"/>
        </w:rPr>
        <w:t xml:space="preserve">смањење емисија </w:t>
      </w:r>
      <w:r w:rsidR="00520BE5" w:rsidRPr="00EF2F18">
        <w:rPr>
          <w:rFonts w:cs="Times New Roman"/>
          <w:i/>
          <w:iCs/>
          <w:sz w:val="22"/>
          <w:lang w:val="sr-Cyrl-RS"/>
        </w:rPr>
        <w:t>GHG</w:t>
      </w:r>
      <w:r w:rsidR="00520BE5" w:rsidRPr="00EF2F18">
        <w:rPr>
          <w:rFonts w:cs="Times New Roman"/>
          <w:sz w:val="22"/>
          <w:lang w:val="sr-Cyrl-RS"/>
        </w:rPr>
        <w:t xml:space="preserve"> од 33,3% у поређењу са 1990. годином.</w:t>
      </w:r>
    </w:p>
    <w:p w14:paraId="5378D4C1" w14:textId="38F6106E" w:rsidR="00D45E19" w:rsidRPr="00EF2F18" w:rsidRDefault="00D45E19" w:rsidP="00D45E19">
      <w:pPr>
        <w:spacing w:after="0"/>
        <w:ind w:firstLine="720"/>
        <w:jc w:val="both"/>
        <w:rPr>
          <w:sz w:val="22"/>
          <w:lang w:val="sr-Cyrl-RS"/>
        </w:rPr>
      </w:pPr>
      <w:r w:rsidRPr="00EF2F18">
        <w:rPr>
          <w:rFonts w:cs="Times New Roman"/>
          <w:sz w:val="22"/>
          <w:lang w:val="sr-Cyrl-RS"/>
        </w:rPr>
        <w:t xml:space="preserve">Овај посебан циљ </w:t>
      </w:r>
      <w:r w:rsidRPr="00EF2F18">
        <w:rPr>
          <w:rFonts w:eastAsia="Calibri" w:cs="Times New Roman"/>
          <w:sz w:val="22"/>
          <w:lang w:val="sr-Cyrl-RS"/>
        </w:rPr>
        <w:t>доприноси реализацији</w:t>
      </w:r>
      <w:r w:rsidR="006F42F8" w:rsidRPr="00EF2F18">
        <w:rPr>
          <w:rFonts w:eastAsia="Calibri" w:cs="Times New Roman"/>
          <w:sz w:val="22"/>
          <w:lang w:val="sr-Cyrl-RS"/>
        </w:rPr>
        <w:t xml:space="preserve"> циља одрживог развоја </w:t>
      </w:r>
      <w:r w:rsidRPr="00EF2F18">
        <w:rPr>
          <w:rFonts w:eastAsia="Calibri" w:cs="Times New Roman"/>
          <w:sz w:val="22"/>
          <w:lang w:val="sr-Cyrl-RS"/>
        </w:rPr>
        <w:t>ЦОР 13</w:t>
      </w:r>
      <w:r w:rsidR="00520BE5" w:rsidRPr="00EF2F18">
        <w:rPr>
          <w:rFonts w:eastAsia="Calibri" w:cs="Times New Roman"/>
          <w:sz w:val="22"/>
          <w:lang w:val="sr-Cyrl-RS"/>
        </w:rPr>
        <w:t xml:space="preserve"> (имајући у виду да су ови циљеви постављени </w:t>
      </w:r>
      <w:r w:rsidR="00313324" w:rsidRPr="00EF2F18">
        <w:rPr>
          <w:rFonts w:eastAsia="Calibri" w:cs="Times New Roman"/>
          <w:sz w:val="22"/>
          <w:lang w:val="sr-Cyrl-RS"/>
        </w:rPr>
        <w:t>Р</w:t>
      </w:r>
      <w:r w:rsidR="00520BE5" w:rsidRPr="00EF2F18">
        <w:rPr>
          <w:rFonts w:eastAsia="Calibri" w:cs="Times New Roman"/>
          <w:sz w:val="22"/>
          <w:lang w:val="sr-Cyrl-RS"/>
        </w:rPr>
        <w:t xml:space="preserve">езолуцијом Уједињених нација из 2015. године </w:t>
      </w:r>
      <w:r w:rsidR="00F34D8C" w:rsidRPr="00EF2F18">
        <w:rPr>
          <w:rFonts w:eastAsia="Calibri" w:cs="Times New Roman"/>
          <w:sz w:val="22"/>
          <w:lang w:val="sr-Cyrl-RS"/>
        </w:rPr>
        <w:t>–</w:t>
      </w:r>
      <w:r w:rsidR="00520BE5" w:rsidRPr="00EF2F18">
        <w:rPr>
          <w:rFonts w:eastAsia="Calibri" w:cs="Times New Roman"/>
          <w:sz w:val="22"/>
          <w:lang w:val="sr-Cyrl-RS"/>
        </w:rPr>
        <w:t xml:space="preserve"> Агенда за одрживи развој 2030.)</w:t>
      </w:r>
      <w:r w:rsidRPr="00EF2F18">
        <w:rPr>
          <w:rFonts w:eastAsia="Calibri" w:cs="Times New Roman"/>
          <w:sz w:val="22"/>
          <w:lang w:val="sr-Cyrl-RS"/>
        </w:rPr>
        <w:t xml:space="preserve"> који</w:t>
      </w:r>
      <w:r w:rsidRPr="00EF2F18">
        <w:rPr>
          <w:sz w:val="22"/>
          <w:lang w:val="sr-Cyrl-RS"/>
        </w:rPr>
        <w:t xml:space="preserve"> налаже да се предузме хитна акција у борби против климатских промена и њихових последица. Такође</w:t>
      </w:r>
      <w:r w:rsidR="0028189F" w:rsidRPr="00EF2F18">
        <w:rPr>
          <w:sz w:val="22"/>
          <w:lang w:val="sr-Cyrl-RS"/>
        </w:rPr>
        <w:t>,</w:t>
      </w:r>
      <w:r w:rsidRPr="00EF2F18">
        <w:rPr>
          <w:sz w:val="22"/>
          <w:lang w:val="sr-Cyrl-RS"/>
        </w:rPr>
        <w:t xml:space="preserve"> доприноси реализацији ЦОР 7 </w:t>
      </w:r>
      <w:r w:rsidR="006F42F8" w:rsidRPr="00EF2F18">
        <w:rPr>
          <w:sz w:val="22"/>
          <w:lang w:val="sr-Cyrl-RS"/>
        </w:rPr>
        <w:t>који</w:t>
      </w:r>
      <w:r w:rsidRPr="00EF2F18">
        <w:rPr>
          <w:sz w:val="22"/>
          <w:lang w:val="sr-Cyrl-RS"/>
        </w:rPr>
        <w:t xml:space="preserve"> предвиђа обезбеђивање приступа доступној, поузданој, одрживој и модерној енергији за све кроз потциљеве 7.2</w:t>
      </w:r>
      <w:r w:rsidR="0028189F" w:rsidRPr="00EF2F18">
        <w:rPr>
          <w:sz w:val="22"/>
          <w:lang w:val="sr-Cyrl-RS"/>
        </w:rPr>
        <w:t>,</w:t>
      </w:r>
      <w:r w:rsidRPr="00EF2F18">
        <w:rPr>
          <w:sz w:val="22"/>
          <w:lang w:val="sr-Cyrl-RS"/>
        </w:rPr>
        <w:t xml:space="preserve"> којим се предвиђа повећање удела обновљиве енергије у глобалном енергетском миксу</w:t>
      </w:r>
      <w:r w:rsidR="0028189F" w:rsidRPr="00EF2F18">
        <w:rPr>
          <w:sz w:val="22"/>
          <w:lang w:val="sr-Cyrl-RS"/>
        </w:rPr>
        <w:t>,</w:t>
      </w:r>
      <w:r w:rsidRPr="00EF2F18">
        <w:rPr>
          <w:sz w:val="22"/>
          <w:lang w:val="sr-Cyrl-RS"/>
        </w:rPr>
        <w:t xml:space="preserve"> и 7.3</w:t>
      </w:r>
      <w:r w:rsidR="0028189F" w:rsidRPr="00EF2F18">
        <w:rPr>
          <w:sz w:val="22"/>
          <w:lang w:val="sr-Cyrl-RS"/>
        </w:rPr>
        <w:t>,</w:t>
      </w:r>
      <w:r w:rsidRPr="00EF2F18">
        <w:rPr>
          <w:sz w:val="22"/>
          <w:lang w:val="sr-Cyrl-RS"/>
        </w:rPr>
        <w:t xml:space="preserve"> којим се налаже да се до 2030. године удвостручи глобална стопа побољшања енергетске ефикасности.</w:t>
      </w:r>
    </w:p>
    <w:p w14:paraId="214F5D2F" w14:textId="56D482F1" w:rsidR="001F3FA9" w:rsidRPr="00EF2F18" w:rsidRDefault="001F3FA9" w:rsidP="001F3FA9">
      <w:pPr>
        <w:spacing w:after="0"/>
        <w:jc w:val="both"/>
        <w:rPr>
          <w:sz w:val="22"/>
          <w:lang w:val="sr-Cyrl-RS"/>
        </w:rPr>
      </w:pPr>
      <w:bookmarkStart w:id="115" w:name="_Hlk150160385"/>
    </w:p>
    <w:p w14:paraId="6E54F57B" w14:textId="5D2BDF79" w:rsidR="001F3FA9" w:rsidRPr="00EF2F18" w:rsidRDefault="001F3FA9" w:rsidP="001F3FA9">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1.1.1. </w:t>
      </w:r>
      <w:r w:rsidR="0081734D" w:rsidRPr="00EF2F18">
        <w:rPr>
          <w:rFonts w:cs="Times New Roman"/>
          <w:b/>
          <w:bCs/>
          <w:sz w:val="22"/>
          <w:lang w:val="sr-Cyrl-RS"/>
        </w:rPr>
        <w:t xml:space="preserve">Усклађивање </w:t>
      </w:r>
      <w:r w:rsidR="00F916BD" w:rsidRPr="00EF2F18">
        <w:rPr>
          <w:rFonts w:cs="Times New Roman"/>
          <w:b/>
          <w:bCs/>
          <w:sz w:val="22"/>
          <w:lang w:val="sr-Cyrl-RS"/>
        </w:rPr>
        <w:t>планског</w:t>
      </w:r>
      <w:r w:rsidR="006044B4" w:rsidRPr="00EF2F18">
        <w:rPr>
          <w:rFonts w:cs="Times New Roman"/>
          <w:b/>
          <w:bCs/>
          <w:sz w:val="22"/>
          <w:lang w:val="sr-Cyrl-RS"/>
        </w:rPr>
        <w:t>,</w:t>
      </w:r>
      <w:r w:rsidR="00F916BD" w:rsidRPr="00EF2F18">
        <w:rPr>
          <w:rFonts w:cs="Times New Roman"/>
          <w:b/>
          <w:bCs/>
          <w:sz w:val="22"/>
          <w:lang w:val="sr-Cyrl-RS"/>
        </w:rPr>
        <w:t xml:space="preserve"> </w:t>
      </w:r>
      <w:r w:rsidR="003D2534" w:rsidRPr="00EF2F18">
        <w:rPr>
          <w:rFonts w:cs="Times New Roman"/>
          <w:b/>
          <w:bCs/>
          <w:sz w:val="22"/>
          <w:lang w:val="sr-Cyrl-RS"/>
        </w:rPr>
        <w:t xml:space="preserve">институционалног и регулаторног оквира са Законом о клими ЕУ и визијом </w:t>
      </w:r>
      <w:r w:rsidR="00B56295" w:rsidRPr="00EF2F18">
        <w:rPr>
          <w:rFonts w:cs="Times New Roman"/>
          <w:b/>
          <w:bCs/>
          <w:sz w:val="22"/>
          <w:lang w:val="sr-Cyrl-RS"/>
        </w:rPr>
        <w:t>доприноса</w:t>
      </w:r>
      <w:r w:rsidR="003D2534" w:rsidRPr="00EF2F18">
        <w:rPr>
          <w:rFonts w:cs="Times New Roman"/>
          <w:b/>
          <w:bCs/>
          <w:sz w:val="22"/>
          <w:lang w:val="sr-Cyrl-RS"/>
        </w:rPr>
        <w:t xml:space="preserve"> климатск</w:t>
      </w:r>
      <w:r w:rsidR="00B56295" w:rsidRPr="00EF2F18">
        <w:rPr>
          <w:rFonts w:cs="Times New Roman"/>
          <w:b/>
          <w:bCs/>
          <w:sz w:val="22"/>
          <w:lang w:val="sr-Cyrl-RS"/>
        </w:rPr>
        <w:t>ој</w:t>
      </w:r>
      <w:r w:rsidR="003D2534" w:rsidRPr="00EF2F18">
        <w:rPr>
          <w:rFonts w:cs="Times New Roman"/>
          <w:b/>
          <w:bCs/>
          <w:sz w:val="22"/>
          <w:lang w:val="sr-Cyrl-RS"/>
        </w:rPr>
        <w:t xml:space="preserve"> неутралности </w:t>
      </w:r>
    </w:p>
    <w:p w14:paraId="616B4D98" w14:textId="77777777" w:rsidR="00D83673" w:rsidRPr="00EF2F18" w:rsidRDefault="00D83673" w:rsidP="00DF2340">
      <w:pPr>
        <w:spacing w:after="0"/>
        <w:ind w:firstLine="720"/>
        <w:jc w:val="both"/>
        <w:rPr>
          <w:rFonts w:cs="Times New Roman"/>
          <w:sz w:val="22"/>
          <w:lang w:val="sr-Cyrl-RS"/>
        </w:rPr>
      </w:pPr>
    </w:p>
    <w:p w14:paraId="778C5A0D" w14:textId="76A2A2F6"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Мера подразумева ревизију Закона о климатским променама и доношење подзаконских аката, измене и допуне политика и стратешких докумената у погледу климатских промена, у складу са смерницама из Климатског пакета 55% и Законом о клими ЕУ у делу ублажавања климатских промена, али и како би се спровеле мере из Акционог плана за имплементацију Софијске декларације о Зеленој </w:t>
      </w:r>
      <w:r w:rsidR="001E7A5F" w:rsidRPr="00EF2F18">
        <w:rPr>
          <w:rFonts w:cs="Times New Roman"/>
          <w:sz w:val="22"/>
          <w:lang w:val="sr-Cyrl-RS"/>
        </w:rPr>
        <w:t xml:space="preserve">агенди </w:t>
      </w:r>
      <w:r w:rsidRPr="00EF2F18">
        <w:rPr>
          <w:rFonts w:cs="Times New Roman"/>
          <w:sz w:val="22"/>
          <w:lang w:val="sr-Cyrl-RS"/>
        </w:rPr>
        <w:t xml:space="preserve">за Западни Балкан, и међународне обавезе, чиме би се </w:t>
      </w:r>
      <w:r w:rsidRPr="00EF2F18">
        <w:rPr>
          <w:rFonts w:cs="Times New Roman"/>
          <w:sz w:val="22"/>
          <w:lang w:val="sr-Cyrl-RS"/>
        </w:rPr>
        <w:lastRenderedPageBreak/>
        <w:t>осигурала брза трансформација свих привредних сектора са фокусом на оне који су угљенично инте</w:t>
      </w:r>
      <w:r w:rsidR="00986951">
        <w:rPr>
          <w:rFonts w:cs="Times New Roman"/>
          <w:sz w:val="22"/>
          <w:lang w:val="sr-Cyrl-RS"/>
        </w:rPr>
        <w:t>н</w:t>
      </w:r>
      <w:r w:rsidRPr="00EF2F18">
        <w:rPr>
          <w:rFonts w:cs="Times New Roman"/>
          <w:sz w:val="22"/>
          <w:lang w:val="sr-Cyrl-RS"/>
        </w:rPr>
        <w:t xml:space="preserve">зивни. </w:t>
      </w:r>
    </w:p>
    <w:p w14:paraId="5E6790D8" w14:textId="1CB23124" w:rsidR="00DF2340" w:rsidRPr="00EF2F18" w:rsidRDefault="00DF2340" w:rsidP="00DF2340">
      <w:pPr>
        <w:spacing w:after="0"/>
        <w:ind w:firstLine="720"/>
        <w:jc w:val="both"/>
        <w:rPr>
          <w:lang w:val="sr-Cyrl-RS"/>
        </w:rPr>
      </w:pPr>
      <w:r w:rsidRPr="00EF2F18">
        <w:rPr>
          <w:rFonts w:cs="Times New Roman"/>
          <w:sz w:val="22"/>
          <w:lang w:val="sr-Cyrl-RS"/>
        </w:rPr>
        <w:t xml:space="preserve">У оквиру ове мере припремиће се и усвојити измене и допуне Закона о климатским променама, али и израдити подзаконски акти у складу са изменама и допунама Закона о климатским променама који ће омогућити операционализацију </w:t>
      </w:r>
      <w:r w:rsidR="00986951">
        <w:rPr>
          <w:rFonts w:cs="Times New Roman"/>
          <w:sz w:val="22"/>
          <w:lang w:val="sr-Cyrl-RS"/>
        </w:rPr>
        <w:t xml:space="preserve">тог </w:t>
      </w:r>
      <w:r w:rsidR="00986951" w:rsidRPr="00EF2F18">
        <w:rPr>
          <w:rFonts w:cs="Times New Roman"/>
          <w:sz w:val="22"/>
          <w:lang w:val="sr-Cyrl-RS"/>
        </w:rPr>
        <w:t>закона</w:t>
      </w:r>
      <w:r w:rsidRPr="00EF2F18">
        <w:rPr>
          <w:rFonts w:cs="Times New Roman"/>
          <w:sz w:val="22"/>
          <w:lang w:val="sr-Cyrl-RS"/>
        </w:rPr>
        <w:t>.</w:t>
      </w:r>
      <w:r w:rsidR="00FA7222" w:rsidRPr="00EF2F18">
        <w:rPr>
          <w:rFonts w:cs="Times New Roman"/>
          <w:sz w:val="22"/>
          <w:lang w:val="sr-Cyrl-RS"/>
        </w:rPr>
        <w:t xml:space="preserve"> </w:t>
      </w:r>
    </w:p>
    <w:p w14:paraId="462C8C81" w14:textId="20D3F1B4"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Такође, биће урађена ревизија Национално утврђеног доприноса за смањење емисија </w:t>
      </w:r>
      <w:r w:rsidRPr="00EF2F18">
        <w:rPr>
          <w:rFonts w:cs="Times New Roman"/>
          <w:i/>
          <w:iCs/>
          <w:sz w:val="22"/>
          <w:lang w:val="sr-Cyrl-RS"/>
        </w:rPr>
        <w:t>GHG</w:t>
      </w:r>
      <w:r w:rsidRPr="00EF2F18">
        <w:rPr>
          <w:rFonts w:cs="Times New Roman"/>
          <w:sz w:val="22"/>
          <w:lang w:val="sr-Cyrl-RS"/>
        </w:rPr>
        <w:t xml:space="preserve"> до 2035. године. Ревизија Национално утврђеног доприноса је обавеза Републике Србије према Споразуму из Париза а представља механизам да се на националном нивоу редовно прати и извештава о учињеном прогресу у спровођењу мера</w:t>
      </w:r>
      <w:r w:rsidR="00872506" w:rsidRPr="00EF2F18">
        <w:rPr>
          <w:rFonts w:cs="Times New Roman"/>
          <w:sz w:val="22"/>
          <w:lang w:val="sr-Cyrl-RS"/>
        </w:rPr>
        <w:t>,</w:t>
      </w:r>
      <w:r w:rsidRPr="00EF2F18">
        <w:rPr>
          <w:rFonts w:cs="Times New Roman"/>
          <w:sz w:val="22"/>
          <w:lang w:val="sr-Cyrl-RS"/>
        </w:rPr>
        <w:t xml:space="preserve"> али и да се стално постављају нови циљеви за смањење емисија </w:t>
      </w:r>
      <w:r w:rsidRPr="00EF2F18">
        <w:rPr>
          <w:rFonts w:cs="Times New Roman"/>
          <w:i/>
          <w:iCs/>
          <w:sz w:val="22"/>
          <w:lang w:val="sr-Cyrl-RS"/>
        </w:rPr>
        <w:t>GHG</w:t>
      </w:r>
      <w:r w:rsidRPr="00EF2F18">
        <w:rPr>
          <w:rFonts w:cs="Times New Roman"/>
          <w:sz w:val="22"/>
          <w:lang w:val="sr-Cyrl-RS"/>
        </w:rPr>
        <w:t xml:space="preserve">. </w:t>
      </w:r>
    </w:p>
    <w:p w14:paraId="36170921" w14:textId="77777777"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Ова мера подразумева и израду Анализе националних капацитета за успостављање одрживог система за пројекције о емисијама GHG, како би се успоставио одрживи систем за одређивање усклађености за постојећим законодавством али и проценили ефекти спровођења стратегија и дефинисале нове мере за смањење емисија </w:t>
      </w:r>
      <w:r w:rsidRPr="00EF2F18">
        <w:rPr>
          <w:rFonts w:cs="Times New Roman"/>
          <w:i/>
          <w:iCs/>
          <w:sz w:val="22"/>
          <w:lang w:val="sr-Cyrl-RS"/>
        </w:rPr>
        <w:t>GHG</w:t>
      </w:r>
      <w:r w:rsidRPr="00EF2F18">
        <w:rPr>
          <w:rFonts w:cs="Times New Roman"/>
          <w:sz w:val="22"/>
          <w:lang w:val="sr-Cyrl-RS"/>
        </w:rPr>
        <w:t xml:space="preserve"> у будућности. </w:t>
      </w:r>
    </w:p>
    <w:p w14:paraId="2CC60FC8" w14:textId="4D75089C" w:rsidR="00DF2340" w:rsidRPr="00EF2F18" w:rsidRDefault="00DF2340" w:rsidP="00DF2340">
      <w:pPr>
        <w:spacing w:after="0"/>
        <w:ind w:firstLine="720"/>
        <w:jc w:val="both"/>
        <w:rPr>
          <w:sz w:val="22"/>
          <w:lang w:val="sr-Cyrl-RS"/>
        </w:rPr>
      </w:pPr>
      <w:r w:rsidRPr="00EF2F18">
        <w:rPr>
          <w:sz w:val="22"/>
          <w:lang w:val="sr-Cyrl-RS"/>
        </w:rPr>
        <w:t>Министарство заштите животне средине ће припремити и усвојити План за</w:t>
      </w:r>
      <w:r w:rsidR="006C2E00" w:rsidRPr="00EF2F18">
        <w:rPr>
          <w:sz w:val="22"/>
          <w:lang w:val="sr-Cyrl-RS"/>
        </w:rPr>
        <w:t xml:space="preserve"> </w:t>
      </w:r>
      <w:r w:rsidRPr="00EF2F18">
        <w:rPr>
          <w:sz w:val="22"/>
          <w:lang w:val="sr-Cyrl-RS"/>
        </w:rPr>
        <w:t xml:space="preserve">смањење емисије метана у складу са </w:t>
      </w:r>
      <w:r w:rsidRPr="00EF2F18">
        <w:rPr>
          <w:i/>
          <w:iCs/>
          <w:sz w:val="22"/>
          <w:lang w:val="sr-Cyrl-RS"/>
        </w:rPr>
        <w:t>Global Methane Pledge</w:t>
      </w:r>
      <w:r w:rsidRPr="00EF2F18">
        <w:rPr>
          <w:sz w:val="22"/>
          <w:lang w:val="sr-Cyrl-RS"/>
        </w:rPr>
        <w:t xml:space="preserve"> (Глобално обећање смањења емисија метана за 30% до краја ове деценије у односу на ниво емисије у 2020. години). </w:t>
      </w:r>
    </w:p>
    <w:p w14:paraId="0284A842" w14:textId="245CA15B" w:rsidR="0081734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3637A692" w14:textId="2C7DE88D" w:rsidR="0081734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Министарство рударства и енергетике, Министарство пољопривреде, шумарства и водопривреде, Министарство грађевинарства, саобраћаја и инфраструктуре, Министарство привреде, Министарство финансија, Министарство за европске интеграције, Министарство науке, технолошког развоја и иновација, Министарство за јавна улагања, Агенција за заштиту животне средине</w:t>
      </w:r>
      <w:r w:rsidR="00185A75" w:rsidRPr="00EF2F18">
        <w:rPr>
          <w:rFonts w:cs="Times New Roman"/>
          <w:sz w:val="22"/>
          <w:lang w:val="sr-Cyrl-RS" w:eastAsia="en-GB"/>
        </w:rPr>
        <w:t>.</w:t>
      </w:r>
      <w:r w:rsidRPr="00EF2F18">
        <w:rPr>
          <w:rFonts w:cs="Times New Roman"/>
          <w:sz w:val="22"/>
          <w:lang w:val="sr-Cyrl-RS" w:eastAsia="en-GB"/>
        </w:rPr>
        <w:t xml:space="preserve"> </w:t>
      </w:r>
    </w:p>
    <w:p w14:paraId="6CCB2479" w14:textId="3FCACD4F" w:rsidR="0081734D" w:rsidRPr="00EF2F18" w:rsidRDefault="0081734D" w:rsidP="006B4DF8">
      <w:pPr>
        <w:spacing w:after="0"/>
        <w:ind w:firstLine="720"/>
        <w:jc w:val="both"/>
        <w:rPr>
          <w:lang w:val="sr-Cyrl-RS"/>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185A75" w:rsidRPr="00EF2F18">
        <w:rPr>
          <w:rFonts w:cs="Times New Roman"/>
          <w:sz w:val="22"/>
          <w:lang w:val="sr-Cyrl-RS" w:eastAsia="en-GB"/>
        </w:rPr>
        <w:t>.</w:t>
      </w:r>
    </w:p>
    <w:bookmarkEnd w:id="115"/>
    <w:p w14:paraId="51C442CF" w14:textId="77777777" w:rsidR="0081734D" w:rsidRPr="00EF2F18" w:rsidRDefault="0081734D" w:rsidP="006B4DF8">
      <w:pPr>
        <w:spacing w:after="0"/>
        <w:ind w:firstLine="720"/>
        <w:jc w:val="both"/>
        <w:rPr>
          <w:lang w:val="sr-Cyrl-RS"/>
        </w:rPr>
      </w:pPr>
    </w:p>
    <w:p w14:paraId="687F482D" w14:textId="26A7ABD3" w:rsidR="003D2534" w:rsidRPr="00EF2F18" w:rsidRDefault="003D2534" w:rsidP="003D2534">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Мера 1.1.2. Инте</w:t>
      </w:r>
      <w:r w:rsidRPr="00EF2F18">
        <w:rPr>
          <w:rFonts w:cs="Times New Roman"/>
          <w:b/>
          <w:bCs/>
          <w:sz w:val="22"/>
          <w:lang w:val="sr-Cyrl-RS"/>
        </w:rPr>
        <w:t>грација климатских промена у друге секторске политике ради доприноса климатској неутралности</w:t>
      </w:r>
    </w:p>
    <w:p w14:paraId="69D3B98C" w14:textId="77777777" w:rsidR="00D83673" w:rsidRPr="00EF2F18" w:rsidRDefault="00D83673" w:rsidP="00371D33">
      <w:pPr>
        <w:spacing w:after="0"/>
        <w:ind w:firstLine="720"/>
        <w:jc w:val="both"/>
        <w:rPr>
          <w:rFonts w:cs="Times New Roman"/>
          <w:sz w:val="22"/>
          <w:lang w:val="sr-Cyrl-RS"/>
        </w:rPr>
      </w:pPr>
    </w:p>
    <w:p w14:paraId="339E2257" w14:textId="6C8C9F9A" w:rsidR="00DF2340" w:rsidRPr="00EF2F18" w:rsidRDefault="00371D33" w:rsidP="00371D33">
      <w:pPr>
        <w:spacing w:after="0"/>
        <w:ind w:firstLine="720"/>
        <w:jc w:val="both"/>
        <w:rPr>
          <w:rFonts w:cs="Times New Roman"/>
          <w:sz w:val="22"/>
          <w:shd w:val="clear" w:color="auto" w:fill="FFFFFF"/>
          <w:lang w:val="sr-Cyrl-RS"/>
        </w:rPr>
      </w:pPr>
      <w:r w:rsidRPr="00EF2F18">
        <w:rPr>
          <w:rFonts w:cs="Times New Roman"/>
          <w:sz w:val="22"/>
          <w:lang w:val="sr-Cyrl-RS"/>
        </w:rPr>
        <w:t>Министарство заштите животне средине, као кровна институција за креирање политика у области климатских промена, а у циљу веће интеграције климатских промена у секторске политике изврши</w:t>
      </w:r>
      <w:r w:rsidR="00C359B3" w:rsidRPr="00EF2F18">
        <w:rPr>
          <w:rFonts w:cs="Times New Roman"/>
          <w:sz w:val="22"/>
          <w:lang w:val="sr-Cyrl-RS"/>
        </w:rPr>
        <w:t>ло је</w:t>
      </w:r>
      <w:r w:rsidRPr="00EF2F18">
        <w:rPr>
          <w:rFonts w:cs="Times New Roman"/>
          <w:sz w:val="22"/>
          <w:lang w:val="sr-Cyrl-RS"/>
        </w:rPr>
        <w:t xml:space="preserve"> ревизију прописа о стрaтешкој процени утицаја на животну средину и процени утицаја на животну средину</w:t>
      </w:r>
      <w:r w:rsidR="00EF4661" w:rsidRPr="00EF2F18">
        <w:rPr>
          <w:rFonts w:cs="Times New Roman"/>
          <w:sz w:val="22"/>
          <w:lang w:val="sr-Cyrl-RS"/>
        </w:rPr>
        <w:t>.</w:t>
      </w:r>
      <w:r w:rsidR="00FA7222" w:rsidRPr="00EF2F18">
        <w:rPr>
          <w:rFonts w:cs="Times New Roman"/>
          <w:sz w:val="22"/>
          <w:lang w:val="sr-Cyrl-RS"/>
        </w:rPr>
        <w:t xml:space="preserve"> </w:t>
      </w:r>
    </w:p>
    <w:p w14:paraId="7E8F8630" w14:textId="18525A59" w:rsidR="00371D33" w:rsidRPr="00EF2F18" w:rsidRDefault="00DF2340" w:rsidP="00371D33">
      <w:pPr>
        <w:spacing w:after="0"/>
        <w:ind w:firstLine="720"/>
        <w:jc w:val="both"/>
        <w:rPr>
          <w:rFonts w:ascii="Fira Sans" w:hAnsi="Fira Sans"/>
          <w:sz w:val="27"/>
          <w:szCs w:val="27"/>
          <w:shd w:val="clear" w:color="auto" w:fill="FFFFFF"/>
          <w:lang w:val="sr-Cyrl-RS"/>
        </w:rPr>
      </w:pPr>
      <w:r w:rsidRPr="00EF2F18">
        <w:rPr>
          <w:rFonts w:cs="Times New Roman"/>
          <w:sz w:val="22"/>
          <w:lang w:val="sr-Cyrl-RS"/>
        </w:rPr>
        <w:t xml:space="preserve">Потребно је </w:t>
      </w:r>
      <w:r w:rsidR="00C359B3" w:rsidRPr="00EF2F18">
        <w:rPr>
          <w:rFonts w:cs="Times New Roman"/>
          <w:sz w:val="22"/>
          <w:lang w:val="sr-Cyrl-RS"/>
        </w:rPr>
        <w:t xml:space="preserve">даље </w:t>
      </w:r>
      <w:r w:rsidRPr="00EF2F18">
        <w:rPr>
          <w:rFonts w:cs="Times New Roman"/>
          <w:sz w:val="22"/>
          <w:lang w:val="sr-Cyrl-RS"/>
        </w:rPr>
        <w:t xml:space="preserve">усаглашавање постојећих секторских докумената јавних политика и законске регулативе са ревидираном Уредбом ЕУ о укључењу емисија </w:t>
      </w:r>
      <w:r w:rsidRPr="00EF2F18">
        <w:rPr>
          <w:rFonts w:cs="Times New Roman"/>
          <w:i/>
          <w:iCs/>
          <w:sz w:val="22"/>
          <w:lang w:val="sr-Cyrl-RS"/>
        </w:rPr>
        <w:t>GHG</w:t>
      </w:r>
      <w:r w:rsidRPr="00EF2F18">
        <w:rPr>
          <w:rFonts w:cs="Times New Roman"/>
          <w:sz w:val="22"/>
          <w:lang w:val="sr-Cyrl-RS"/>
        </w:rPr>
        <w:t xml:space="preserve"> и уклањањима из коришћења земљишта, промене намене земљишта и шумарства (</w:t>
      </w:r>
      <w:r w:rsidRPr="00EF2F18">
        <w:rPr>
          <w:rFonts w:cs="Times New Roman"/>
          <w:i/>
          <w:iCs/>
          <w:sz w:val="22"/>
          <w:lang w:val="sr-Cyrl-RS"/>
        </w:rPr>
        <w:t>LULUCF</w:t>
      </w:r>
      <w:r w:rsidRPr="00EF2F18">
        <w:rPr>
          <w:rFonts w:cs="Times New Roman"/>
          <w:sz w:val="22"/>
          <w:lang w:val="sr-Cyrl-RS"/>
        </w:rPr>
        <w:t>). То укључује и интегрисани приступ климатској акцији и већи допринос сектора земљишта, планирање и оптимизацију намене земљишта и промоцију секвестрације угљеника у земљиште. Потребан је адекватан оквир за повећање секвестрације угљеника и израда одговарајућих протокола, средстава и механизама за праћење реализације, извештавање и верификацију секвестрације угљеника.</w:t>
      </w:r>
      <w:r w:rsidR="00FA7222" w:rsidRPr="00EF2F18">
        <w:rPr>
          <w:rFonts w:ascii="Fira Sans" w:hAnsi="Fira Sans"/>
          <w:sz w:val="27"/>
          <w:szCs w:val="27"/>
          <w:shd w:val="clear" w:color="auto" w:fill="FFFFFF"/>
          <w:lang w:val="sr-Cyrl-RS"/>
        </w:rPr>
        <w:t xml:space="preserve"> </w:t>
      </w:r>
    </w:p>
    <w:p w14:paraId="6D1D4ECA" w14:textId="58593F97" w:rsidR="003D2534" w:rsidRPr="00EF2F18" w:rsidRDefault="003D2534" w:rsidP="003D2534">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18649BAA" w14:textId="2D10C463" w:rsidR="003D2534" w:rsidRPr="00EF2F18" w:rsidRDefault="003D2534" w:rsidP="003D2534">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Министарство рударства и енергетике, Министарство пољопривреде, шумарства и водопривреде, Министарство грађевинарства, саобраћаја и инфраструктуре, Аген</w:t>
      </w:r>
      <w:r w:rsidR="00185A75" w:rsidRPr="00EF2F18">
        <w:rPr>
          <w:rFonts w:cs="Times New Roman"/>
          <w:sz w:val="22"/>
          <w:lang w:val="sr-Cyrl-RS" w:eastAsia="en-GB"/>
        </w:rPr>
        <w:t>ција за заштиту животне средине.</w:t>
      </w:r>
    </w:p>
    <w:p w14:paraId="66B47B08" w14:textId="47FE75F3" w:rsidR="003D2534" w:rsidRPr="00EF2F18" w:rsidRDefault="003D2534" w:rsidP="003D2534">
      <w:pPr>
        <w:spacing w:after="0"/>
        <w:ind w:firstLine="720"/>
        <w:jc w:val="both"/>
        <w:rPr>
          <w:lang w:val="sr-Cyrl-RS"/>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185A75" w:rsidRPr="00EF2F18">
        <w:rPr>
          <w:rFonts w:cs="Times New Roman"/>
          <w:sz w:val="22"/>
          <w:lang w:val="sr-Cyrl-RS" w:eastAsia="en-GB"/>
        </w:rPr>
        <w:t>.</w:t>
      </w:r>
    </w:p>
    <w:p w14:paraId="03CCF27D" w14:textId="77777777" w:rsidR="003D2534" w:rsidRPr="00EF2F18" w:rsidRDefault="003D2534" w:rsidP="006B4DF8">
      <w:pPr>
        <w:spacing w:after="0"/>
        <w:ind w:firstLine="720"/>
        <w:jc w:val="both"/>
        <w:rPr>
          <w:lang w:val="sr-Cyrl-RS"/>
        </w:rPr>
      </w:pPr>
    </w:p>
    <w:p w14:paraId="52D0C725" w14:textId="319FC5BC" w:rsidR="00CB0391" w:rsidRPr="00EF2F18" w:rsidRDefault="00CB0391" w:rsidP="00CB0391">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Мера 1.1.</w:t>
      </w:r>
      <w:r w:rsidR="003D2534" w:rsidRPr="00EF2F18">
        <w:rPr>
          <w:rFonts w:cs="Times New Roman"/>
          <w:b/>
          <w:bCs/>
          <w:sz w:val="22"/>
          <w:lang w:val="sr-Cyrl-RS" w:eastAsia="en-GB"/>
        </w:rPr>
        <w:t>3</w:t>
      </w:r>
      <w:r w:rsidRPr="00EF2F18">
        <w:rPr>
          <w:rFonts w:cs="Times New Roman"/>
          <w:b/>
          <w:bCs/>
          <w:sz w:val="22"/>
          <w:lang w:val="sr-Cyrl-RS" w:eastAsia="en-GB"/>
        </w:rPr>
        <w:t xml:space="preserve">. </w:t>
      </w:r>
      <w:r w:rsidRPr="00EF2F18">
        <w:rPr>
          <w:b/>
          <w:bCs/>
          <w:sz w:val="22"/>
          <w:lang w:val="sr-Cyrl-RS"/>
        </w:rPr>
        <w:t>У</w:t>
      </w:r>
      <w:r w:rsidR="009C7F51" w:rsidRPr="00EF2F18">
        <w:rPr>
          <w:b/>
          <w:bCs/>
          <w:sz w:val="22"/>
          <w:lang w:val="sr-Cyrl-RS"/>
        </w:rPr>
        <w:t>напређење</w:t>
      </w:r>
      <w:r w:rsidRPr="00EF2F18">
        <w:rPr>
          <w:b/>
          <w:bCs/>
          <w:sz w:val="22"/>
          <w:lang w:val="sr-Cyrl-RS"/>
        </w:rPr>
        <w:t xml:space="preserve"> </w:t>
      </w:r>
      <w:r w:rsidR="00AF5C59" w:rsidRPr="00EF2F18">
        <w:rPr>
          <w:b/>
          <w:bCs/>
          <w:sz w:val="22"/>
          <w:lang w:val="sr-Cyrl-RS"/>
        </w:rPr>
        <w:t xml:space="preserve">националног </w:t>
      </w:r>
      <w:r w:rsidR="00F64C9D" w:rsidRPr="00EF2F18">
        <w:rPr>
          <w:b/>
          <w:bCs/>
          <w:sz w:val="22"/>
          <w:lang w:val="sr-Cyrl-RS"/>
        </w:rPr>
        <w:t xml:space="preserve">система за израду </w:t>
      </w:r>
      <w:r w:rsidRPr="00EF2F18">
        <w:rPr>
          <w:b/>
          <w:bCs/>
          <w:sz w:val="22"/>
          <w:lang w:val="sr-Cyrl-RS"/>
        </w:rPr>
        <w:t xml:space="preserve">инвентара емисија </w:t>
      </w:r>
      <w:r w:rsidRPr="00EF2F18">
        <w:rPr>
          <w:b/>
          <w:bCs/>
          <w:i/>
          <w:iCs/>
          <w:sz w:val="22"/>
          <w:lang w:val="sr-Cyrl-RS"/>
        </w:rPr>
        <w:t>GHG</w:t>
      </w:r>
      <w:r w:rsidR="005A7C45" w:rsidRPr="00EF2F18">
        <w:rPr>
          <w:b/>
          <w:bCs/>
          <w:sz w:val="22"/>
          <w:lang w:val="sr-Cyrl-RS"/>
        </w:rPr>
        <w:t xml:space="preserve"> </w:t>
      </w:r>
    </w:p>
    <w:p w14:paraId="6FB424E5" w14:textId="77777777" w:rsidR="00D83673" w:rsidRPr="00EF2F18" w:rsidRDefault="00D83673" w:rsidP="009C7F51">
      <w:pPr>
        <w:spacing w:after="0"/>
        <w:ind w:firstLine="720"/>
        <w:jc w:val="both"/>
        <w:rPr>
          <w:rFonts w:cs="Times New Roman"/>
          <w:sz w:val="22"/>
          <w:lang w:val="sr-Cyrl-RS"/>
        </w:rPr>
      </w:pPr>
    </w:p>
    <w:p w14:paraId="63DE0C49" w14:textId="7A82318F"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 xml:space="preserve">Мера подразумева унапређење постојећег </w:t>
      </w:r>
      <w:r w:rsidR="00FB3D25" w:rsidRPr="00EF2F18">
        <w:rPr>
          <w:rFonts w:cs="Times New Roman"/>
          <w:sz w:val="22"/>
          <w:lang w:val="sr-Cyrl-RS"/>
        </w:rPr>
        <w:t xml:space="preserve">националног </w:t>
      </w:r>
      <w:r w:rsidRPr="00EF2F18">
        <w:rPr>
          <w:rFonts w:cs="Times New Roman"/>
          <w:sz w:val="22"/>
          <w:lang w:val="sr-Cyrl-RS"/>
        </w:rPr>
        <w:t xml:space="preserve">система за израду инвентара </w:t>
      </w:r>
      <w:r w:rsidRPr="00EF2F18">
        <w:rPr>
          <w:rFonts w:cs="Times New Roman"/>
          <w:i/>
          <w:iCs/>
          <w:sz w:val="22"/>
          <w:lang w:val="sr-Cyrl-RS"/>
        </w:rPr>
        <w:t>GHG</w:t>
      </w:r>
      <w:r w:rsidRPr="00EF2F18">
        <w:rPr>
          <w:rFonts w:cs="Times New Roman"/>
          <w:sz w:val="22"/>
          <w:lang w:val="sr-Cyrl-RS"/>
        </w:rPr>
        <w:t xml:space="preserve">, и то: </w:t>
      </w:r>
    </w:p>
    <w:p w14:paraId="026192D3" w14:textId="76A62B67" w:rsidR="00CF7088" w:rsidRPr="00EF2F18" w:rsidRDefault="00CF7088" w:rsidP="00313E8E">
      <w:pPr>
        <w:pStyle w:val="ListParagraph"/>
        <w:numPr>
          <w:ilvl w:val="0"/>
          <w:numId w:val="54"/>
        </w:numPr>
        <w:spacing w:after="0"/>
        <w:jc w:val="both"/>
        <w:rPr>
          <w:rFonts w:cs="Times New Roman"/>
          <w:sz w:val="22"/>
          <w:lang w:val="sr-Cyrl-RS"/>
        </w:rPr>
      </w:pPr>
      <w:r w:rsidRPr="00EF2F18">
        <w:rPr>
          <w:rFonts w:cs="Times New Roman"/>
          <w:sz w:val="22"/>
          <w:lang w:val="sr-Cyrl-RS"/>
        </w:rPr>
        <w:t xml:space="preserve">комплетност и конзистентност података потребних за израду инвентара </w:t>
      </w:r>
      <w:r w:rsidRPr="00EF2F18">
        <w:rPr>
          <w:rFonts w:cs="Times New Roman"/>
          <w:i/>
          <w:iCs/>
          <w:sz w:val="22"/>
          <w:lang w:val="sr-Cyrl-RS"/>
        </w:rPr>
        <w:t>GHG</w:t>
      </w:r>
      <w:r w:rsidR="008C1C01" w:rsidRPr="00EF2F18">
        <w:rPr>
          <w:rFonts w:cs="Times New Roman"/>
          <w:sz w:val="22"/>
          <w:lang w:val="sr-Cyrl-RS"/>
        </w:rPr>
        <w:t>;</w:t>
      </w:r>
      <w:r w:rsidRPr="00EF2F18">
        <w:rPr>
          <w:rFonts w:cs="Times New Roman"/>
          <w:sz w:val="22"/>
          <w:lang w:val="sr-Cyrl-RS"/>
        </w:rPr>
        <w:t xml:space="preserve"> </w:t>
      </w:r>
    </w:p>
    <w:p w14:paraId="744A6424" w14:textId="77777777" w:rsidR="00CF7088" w:rsidRPr="00EF2F18" w:rsidRDefault="00CF7088" w:rsidP="00313E8E">
      <w:pPr>
        <w:pStyle w:val="ListParagraph"/>
        <w:numPr>
          <w:ilvl w:val="0"/>
          <w:numId w:val="54"/>
        </w:numPr>
        <w:spacing w:after="0"/>
        <w:jc w:val="both"/>
        <w:rPr>
          <w:rFonts w:cs="Times New Roman"/>
          <w:sz w:val="22"/>
          <w:lang w:val="sr-Cyrl-RS"/>
        </w:rPr>
      </w:pPr>
      <w:r w:rsidRPr="00EF2F18">
        <w:rPr>
          <w:rFonts w:cs="Times New Roman"/>
          <w:sz w:val="22"/>
          <w:lang w:val="sr-Cyrl-RS"/>
        </w:rPr>
        <w:t xml:space="preserve">сарадњу са органима и организацијама надлежним за њихово достављање у складу са роковима за достављање тих података; </w:t>
      </w:r>
    </w:p>
    <w:p w14:paraId="4ABF0A42" w14:textId="64F0C1D3" w:rsidR="009C7F51" w:rsidRPr="00EF2F18" w:rsidRDefault="00CF7088" w:rsidP="00313E8E">
      <w:pPr>
        <w:pStyle w:val="ListParagraph"/>
        <w:numPr>
          <w:ilvl w:val="0"/>
          <w:numId w:val="54"/>
        </w:numPr>
        <w:spacing w:after="0"/>
        <w:jc w:val="both"/>
        <w:rPr>
          <w:rFonts w:cs="Times New Roman"/>
          <w:sz w:val="22"/>
          <w:lang w:val="sr-Cyrl-RS"/>
        </w:rPr>
      </w:pPr>
      <w:r w:rsidRPr="00EF2F18">
        <w:rPr>
          <w:rFonts w:cs="Times New Roman"/>
          <w:sz w:val="22"/>
          <w:lang w:val="sr-Cyrl-RS"/>
        </w:rPr>
        <w:t>обавезу осигурања квалитета података и контрола квалитета података</w:t>
      </w:r>
      <w:r w:rsidR="009C7F51" w:rsidRPr="00EF2F18">
        <w:rPr>
          <w:rFonts w:cs="Times New Roman"/>
          <w:sz w:val="22"/>
          <w:lang w:val="sr-Cyrl-RS"/>
        </w:rPr>
        <w:t>.</w:t>
      </w:r>
    </w:p>
    <w:p w14:paraId="5D094858" w14:textId="77777777" w:rsidR="00E855F7" w:rsidRPr="00EF2F18" w:rsidRDefault="006338E7" w:rsidP="009C7F51">
      <w:pPr>
        <w:spacing w:after="0"/>
        <w:ind w:firstLine="720"/>
        <w:jc w:val="both"/>
        <w:rPr>
          <w:rFonts w:cs="Times New Roman"/>
          <w:sz w:val="22"/>
          <w:lang w:val="sr-Cyrl-RS"/>
        </w:rPr>
      </w:pPr>
      <w:r w:rsidRPr="00EF2F18">
        <w:rPr>
          <w:rFonts w:cs="Times New Roman"/>
          <w:sz w:val="22"/>
          <w:lang w:val="sr-Cyrl-RS"/>
        </w:rPr>
        <w:lastRenderedPageBreak/>
        <w:t xml:space="preserve">Потребно је унапређење инвентара гасова стаклене баште, као и израда рачунских планова за шумарство (са предложеним референтним нивоом шума, у складу са Уредбом </w:t>
      </w:r>
      <w:r w:rsidRPr="00EF2F18">
        <w:rPr>
          <w:rFonts w:cs="Times New Roman"/>
          <w:i/>
          <w:iCs/>
          <w:sz w:val="22"/>
          <w:lang w:val="sr-Cyrl-RS"/>
        </w:rPr>
        <w:t>LULUCF</w:t>
      </w:r>
      <w:r w:rsidRPr="00EF2F18">
        <w:rPr>
          <w:rFonts w:cs="Times New Roman"/>
          <w:sz w:val="22"/>
          <w:lang w:val="sr-Cyrl-RS"/>
        </w:rPr>
        <w:t xml:space="preserve">), додавање нових категорија производа за складиштење угљеника, укључујући и дрвне производе. </w:t>
      </w:r>
    </w:p>
    <w:p w14:paraId="015C77EE" w14:textId="6E1C1994"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 xml:space="preserve">Ова мера је кључна за извештавање према Оквирној конвенцији УН о промени климе, Споразуму из Париза и извештавању према другим Конвенцијама и </w:t>
      </w:r>
      <w:r w:rsidR="00CF7088" w:rsidRPr="00EF2F18">
        <w:rPr>
          <w:rFonts w:cs="Times New Roman"/>
          <w:sz w:val="22"/>
          <w:lang w:val="sr-Cyrl-RS"/>
        </w:rPr>
        <w:t xml:space="preserve">законским </w:t>
      </w:r>
      <w:r w:rsidRPr="00EF2F18">
        <w:rPr>
          <w:rFonts w:cs="Times New Roman"/>
          <w:sz w:val="22"/>
          <w:lang w:val="sr-Cyrl-RS"/>
        </w:rPr>
        <w:t xml:space="preserve">актима. </w:t>
      </w:r>
    </w:p>
    <w:p w14:paraId="5371A79F" w14:textId="437AF7DF"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 xml:space="preserve">Агенција за заштиту животне средине (АЗЖС) је одговорна за припрему и одржавање националног система инвентара гасова са ефектом стаклене баште. </w:t>
      </w:r>
    </w:p>
    <w:p w14:paraId="4A386783" w14:textId="30042DED" w:rsidR="009C7F51" w:rsidRPr="00EF2F18" w:rsidRDefault="008533B8" w:rsidP="009C7F51">
      <w:pPr>
        <w:spacing w:after="0"/>
        <w:ind w:firstLine="720"/>
        <w:jc w:val="both"/>
        <w:rPr>
          <w:rFonts w:cs="Times New Roman"/>
          <w:sz w:val="22"/>
          <w:lang w:val="sr-Cyrl-RS"/>
        </w:rPr>
      </w:pPr>
      <w:r w:rsidRPr="00EF2F18">
        <w:rPr>
          <w:rFonts w:cs="Times New Roman"/>
          <w:sz w:val="22"/>
          <w:lang w:val="sr-Cyrl-RS"/>
        </w:rPr>
        <w:t xml:space="preserve">Ова мера треба да допринесе бољој доступности података националног система инвентара гасова са ефектом стаклене баште свим заинтересованим органима и организацијама, привреди, научној заједници и др. </w:t>
      </w:r>
      <w:r w:rsidR="009C7F51" w:rsidRPr="00EF2F18">
        <w:rPr>
          <w:rFonts w:cs="Times New Roman"/>
          <w:sz w:val="22"/>
          <w:lang w:val="sr-Cyrl-RS"/>
        </w:rPr>
        <w:t xml:space="preserve">Релевантна секторска министарства су одговорна за праћење и извештавање о </w:t>
      </w:r>
      <w:r w:rsidR="00CF7088" w:rsidRPr="00EF2F18">
        <w:rPr>
          <w:rFonts w:cs="Times New Roman"/>
          <w:sz w:val="22"/>
          <w:lang w:val="sr-Cyrl-RS"/>
        </w:rPr>
        <w:t xml:space="preserve">јавним </w:t>
      </w:r>
      <w:r w:rsidR="009C7F51" w:rsidRPr="00EF2F18">
        <w:rPr>
          <w:rFonts w:cs="Times New Roman"/>
          <w:sz w:val="22"/>
          <w:lang w:val="sr-Cyrl-RS"/>
        </w:rPr>
        <w:t>политикама.</w:t>
      </w:r>
    </w:p>
    <w:p w14:paraId="0B3D495C" w14:textId="4D33FFB5" w:rsidR="0081734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4933FDC7" w14:textId="1947331A" w:rsidR="0081734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Агенција за заштиту животне средине, </w:t>
      </w:r>
      <w:r w:rsidR="004F18B0" w:rsidRPr="00EF2F18">
        <w:rPr>
          <w:rFonts w:cs="Times New Roman"/>
          <w:sz w:val="22"/>
          <w:lang w:val="sr-Cyrl-RS" w:eastAsia="en-GB"/>
        </w:rPr>
        <w:t>министарст</w:t>
      </w:r>
      <w:r w:rsidR="00C53005">
        <w:rPr>
          <w:rFonts w:cs="Times New Roman"/>
          <w:sz w:val="22"/>
          <w:lang w:val="sr-Cyrl-RS" w:eastAsia="en-GB"/>
        </w:rPr>
        <w:t>в</w:t>
      </w:r>
      <w:r w:rsidR="004F18B0" w:rsidRPr="00EF2F18">
        <w:rPr>
          <w:rFonts w:cs="Times New Roman"/>
          <w:sz w:val="22"/>
          <w:lang w:val="sr-Cyrl-RS" w:eastAsia="en-GB"/>
        </w:rPr>
        <w:t xml:space="preserve">а </w:t>
      </w:r>
      <w:r w:rsidR="006766C9">
        <w:rPr>
          <w:rFonts w:cs="Times New Roman"/>
          <w:sz w:val="22"/>
          <w:lang w:val="sr-Cyrl-RS" w:eastAsia="en-GB"/>
        </w:rPr>
        <w:t>од</w:t>
      </w:r>
      <w:r w:rsidRPr="00EF2F18">
        <w:rPr>
          <w:rFonts w:cs="Times New Roman"/>
          <w:sz w:val="22"/>
          <w:lang w:val="sr-Cyrl-RS" w:eastAsia="en-GB"/>
        </w:rPr>
        <w:t>говорна за праћење и извештавање о политикама релевантним за климатске промене</w:t>
      </w:r>
      <w:r w:rsidR="004F18B0" w:rsidRPr="00EF2F18">
        <w:rPr>
          <w:rFonts w:cs="Times New Roman"/>
          <w:sz w:val="22"/>
          <w:lang w:val="sr-Cyrl-RS" w:eastAsia="en-GB"/>
        </w:rPr>
        <w:t>, јединице локалне самоуправе</w:t>
      </w:r>
      <w:r w:rsidR="00185A75" w:rsidRPr="00EF2F18">
        <w:rPr>
          <w:rFonts w:cs="Times New Roman"/>
          <w:sz w:val="22"/>
          <w:lang w:val="sr-Cyrl-RS" w:eastAsia="en-GB"/>
        </w:rPr>
        <w:t>.</w:t>
      </w:r>
    </w:p>
    <w:p w14:paraId="1055CB50" w14:textId="3EAA9543" w:rsidR="00F64C9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0576BF" w:rsidRPr="00EF2F18">
        <w:rPr>
          <w:rFonts w:cs="Times New Roman"/>
          <w:sz w:val="22"/>
          <w:lang w:val="sr-Cyrl-RS" w:eastAsia="en-GB"/>
        </w:rPr>
        <w:t>организационо-управљачка-инс</w:t>
      </w:r>
      <w:r w:rsidR="00831C3D" w:rsidRPr="00EF2F18">
        <w:rPr>
          <w:rFonts w:cs="Times New Roman"/>
          <w:sz w:val="22"/>
          <w:lang w:val="sr-Cyrl-RS" w:eastAsia="en-GB"/>
        </w:rPr>
        <w:t>т</w:t>
      </w:r>
      <w:r w:rsidR="000576BF" w:rsidRPr="00EF2F18">
        <w:rPr>
          <w:rFonts w:cs="Times New Roman"/>
          <w:sz w:val="22"/>
          <w:lang w:val="sr-Cyrl-RS" w:eastAsia="en-GB"/>
        </w:rPr>
        <w:t>итуционална</w:t>
      </w:r>
      <w:r w:rsidR="00185A75" w:rsidRPr="00EF2F18">
        <w:rPr>
          <w:rFonts w:cs="Times New Roman"/>
          <w:sz w:val="22"/>
          <w:lang w:val="sr-Cyrl-RS" w:eastAsia="en-GB"/>
        </w:rPr>
        <w:t>.</w:t>
      </w:r>
      <w:r w:rsidRPr="00EF2F18">
        <w:rPr>
          <w:rFonts w:cs="Times New Roman"/>
          <w:sz w:val="22"/>
          <w:lang w:val="sr-Cyrl-RS" w:eastAsia="en-GB"/>
        </w:rPr>
        <w:t xml:space="preserve"> </w:t>
      </w:r>
    </w:p>
    <w:p w14:paraId="59913BE6" w14:textId="77777777" w:rsidR="0081734D" w:rsidRPr="00EF2F18" w:rsidRDefault="0081734D" w:rsidP="0081734D">
      <w:pPr>
        <w:spacing w:after="0"/>
        <w:ind w:firstLine="720"/>
        <w:jc w:val="both"/>
        <w:rPr>
          <w:sz w:val="22"/>
          <w:lang w:val="sr-Cyrl-RS"/>
        </w:rPr>
      </w:pPr>
    </w:p>
    <w:p w14:paraId="6C34FA4A" w14:textId="731C69C7" w:rsidR="00CB0391" w:rsidRPr="00EF2F18" w:rsidRDefault="00CB0391" w:rsidP="00CB0391">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1.1.</w:t>
      </w:r>
      <w:r w:rsidR="003D2534" w:rsidRPr="00EF2F18">
        <w:rPr>
          <w:rFonts w:cs="Times New Roman"/>
          <w:b/>
          <w:bCs/>
          <w:sz w:val="22"/>
          <w:lang w:val="sr-Cyrl-RS" w:eastAsia="en-GB"/>
        </w:rPr>
        <w:t>4</w:t>
      </w:r>
      <w:r w:rsidRPr="00EF2F18">
        <w:rPr>
          <w:rFonts w:cs="Times New Roman"/>
          <w:b/>
          <w:bCs/>
          <w:sz w:val="22"/>
          <w:lang w:val="sr-Cyrl-RS" w:eastAsia="en-GB"/>
        </w:rPr>
        <w:t xml:space="preserve">. </w:t>
      </w:r>
      <w:r w:rsidR="00CF7088" w:rsidRPr="00EF2F18">
        <w:rPr>
          <w:rFonts w:cs="Times New Roman"/>
          <w:b/>
          <w:bCs/>
          <w:sz w:val="22"/>
          <w:lang w:val="sr-Cyrl-RS" w:eastAsia="en-GB"/>
        </w:rPr>
        <w:t xml:space="preserve">Обезбеђивање и </w:t>
      </w:r>
      <w:r w:rsidR="00CF7088" w:rsidRPr="00EF2F18">
        <w:rPr>
          <w:rFonts w:cs="Times New Roman"/>
          <w:b/>
          <w:bCs/>
          <w:sz w:val="22"/>
          <w:lang w:val="sr-Cyrl-RS"/>
        </w:rPr>
        <w:t>јачање постојећих капацитета</w:t>
      </w:r>
      <w:r w:rsidR="00B73387" w:rsidRPr="00EF2F18">
        <w:rPr>
          <w:rFonts w:cs="Times New Roman"/>
          <w:b/>
          <w:bCs/>
          <w:sz w:val="22"/>
          <w:lang w:val="sr-Cyrl-RS"/>
        </w:rPr>
        <w:t xml:space="preserve"> </w:t>
      </w:r>
      <w:r w:rsidR="00CF7088" w:rsidRPr="00EF2F18">
        <w:rPr>
          <w:rFonts w:cs="Times New Roman"/>
          <w:b/>
          <w:bCs/>
          <w:sz w:val="22"/>
          <w:lang w:val="sr-Cyrl-RS"/>
        </w:rPr>
        <w:t>за подстицање нискоугљеничног развоја</w:t>
      </w:r>
      <w:r w:rsidRPr="00EF2F18">
        <w:rPr>
          <w:b/>
          <w:bCs/>
          <w:sz w:val="22"/>
          <w:lang w:val="sr-Cyrl-RS"/>
        </w:rPr>
        <w:t xml:space="preserve"> </w:t>
      </w:r>
    </w:p>
    <w:p w14:paraId="0F70AFCA" w14:textId="77777777" w:rsidR="00D83673" w:rsidRPr="00EF2F18" w:rsidRDefault="00D83673" w:rsidP="00CF7088">
      <w:pPr>
        <w:spacing w:after="0"/>
        <w:ind w:firstLine="720"/>
        <w:jc w:val="both"/>
        <w:rPr>
          <w:rFonts w:cs="Times New Roman"/>
          <w:sz w:val="22"/>
          <w:lang w:val="sr-Cyrl-RS"/>
        </w:rPr>
      </w:pPr>
    </w:p>
    <w:p w14:paraId="093215DB" w14:textId="6CF85F66" w:rsidR="006C7FA6" w:rsidRPr="00EF2F18" w:rsidRDefault="00CF7088" w:rsidP="00CF7088">
      <w:pPr>
        <w:spacing w:after="0"/>
        <w:ind w:firstLine="720"/>
        <w:jc w:val="both"/>
        <w:rPr>
          <w:rFonts w:cs="Times New Roman"/>
          <w:sz w:val="22"/>
          <w:lang w:val="sr-Cyrl-RS"/>
        </w:rPr>
      </w:pPr>
      <w:r w:rsidRPr="00EF2F18">
        <w:rPr>
          <w:rFonts w:cs="Times New Roman"/>
          <w:sz w:val="22"/>
          <w:lang w:val="sr-Cyrl-RS"/>
        </w:rPr>
        <w:t xml:space="preserve">Ова </w:t>
      </w:r>
      <w:r w:rsidR="006C7FA6" w:rsidRPr="00EF2F18">
        <w:rPr>
          <w:rFonts w:cs="Times New Roman"/>
          <w:sz w:val="22"/>
          <w:lang w:val="sr-Cyrl-RS"/>
        </w:rPr>
        <w:t xml:space="preserve">мера подразумева јачање капацитета надлежних органа и организација на свим нивоима за неопходно ублажавање последица климатских промена и декарбонизацију. </w:t>
      </w:r>
    </w:p>
    <w:p w14:paraId="76DB7292" w14:textId="059DF861" w:rsidR="00CF7088" w:rsidRPr="00EF2F18" w:rsidRDefault="006C7FA6" w:rsidP="00CF7088">
      <w:pPr>
        <w:spacing w:after="0"/>
        <w:ind w:firstLine="720"/>
        <w:jc w:val="both"/>
        <w:rPr>
          <w:rFonts w:cs="Times New Roman"/>
          <w:sz w:val="22"/>
          <w:lang w:val="sr-Cyrl-RS"/>
        </w:rPr>
      </w:pPr>
      <w:r w:rsidRPr="00EF2F18">
        <w:rPr>
          <w:rFonts w:cs="Times New Roman"/>
          <w:sz w:val="22"/>
          <w:lang w:val="sr-Cyrl-RS"/>
        </w:rPr>
        <w:t>М</w:t>
      </w:r>
      <w:r w:rsidR="00CF7088" w:rsidRPr="00EF2F18">
        <w:rPr>
          <w:rFonts w:cs="Times New Roman"/>
          <w:sz w:val="22"/>
          <w:lang w:val="sr-Cyrl-RS"/>
        </w:rPr>
        <w:t>ера подразумева јачање административних и стручних капацитета Министарства заштите животне средине,</w:t>
      </w:r>
      <w:r w:rsidR="004540E6" w:rsidRPr="00EF2F18">
        <w:rPr>
          <w:rFonts w:cs="Times New Roman"/>
          <w:sz w:val="22"/>
          <w:lang w:val="sr-Cyrl-RS"/>
        </w:rPr>
        <w:t xml:space="preserve"> Министарства рударства и енергетике,</w:t>
      </w:r>
      <w:r w:rsidR="00CF7088" w:rsidRPr="00EF2F18">
        <w:rPr>
          <w:rFonts w:cs="Times New Roman"/>
          <w:sz w:val="22"/>
          <w:lang w:val="sr-Cyrl-RS"/>
        </w:rPr>
        <w:t xml:space="preserve"> осталих министарстава надлежних за секторске политике, Агенције за заштиту животне средине</w:t>
      </w:r>
      <w:r w:rsidR="00FC210A" w:rsidRPr="00EF2F18">
        <w:rPr>
          <w:rFonts w:cs="Times New Roman"/>
          <w:sz w:val="22"/>
          <w:lang w:val="sr-Cyrl-RS"/>
        </w:rPr>
        <w:t xml:space="preserve"> </w:t>
      </w:r>
      <w:r w:rsidR="00CF7088" w:rsidRPr="00EF2F18">
        <w:rPr>
          <w:rFonts w:cs="Times New Roman"/>
          <w:sz w:val="22"/>
          <w:lang w:val="sr-Cyrl-RS"/>
        </w:rPr>
        <w:t>и локалних органа власти пре свега кроз повећање броја кадрова и стручно усавршавање, унапређење система за електронску размену података и извештавање.</w:t>
      </w:r>
    </w:p>
    <w:p w14:paraId="57E7083B" w14:textId="6E7C5DFE" w:rsidR="000576BF" w:rsidRPr="00EF2F18" w:rsidRDefault="000576BF" w:rsidP="00CF7088">
      <w:pPr>
        <w:spacing w:after="0"/>
        <w:ind w:firstLine="720"/>
        <w:jc w:val="both"/>
        <w:rPr>
          <w:rFonts w:cs="Times New Roman"/>
          <w:sz w:val="22"/>
          <w:lang w:val="sr-Cyrl-RS"/>
        </w:rPr>
      </w:pPr>
      <w:r w:rsidRPr="00EF2F18">
        <w:rPr>
          <w:rFonts w:cs="Times New Roman"/>
          <w:sz w:val="22"/>
          <w:lang w:val="sr-Cyrl-RS"/>
        </w:rPr>
        <w:t>У оквиру ове мере предвиђена је припрема програма и спровођење обука запослених у органима и организацијама на свим нивоима за неопходно ублажавање последица климатских промена и декарбонизацију.</w:t>
      </w:r>
    </w:p>
    <w:p w14:paraId="5BC73C5E" w14:textId="31A1BD19" w:rsidR="00CF7088" w:rsidRPr="00EF2F18" w:rsidRDefault="00CF7088" w:rsidP="00CF7088">
      <w:pPr>
        <w:spacing w:after="0"/>
        <w:ind w:firstLine="720"/>
        <w:jc w:val="both"/>
        <w:rPr>
          <w:rFonts w:cs="Times New Roman"/>
          <w:sz w:val="22"/>
          <w:lang w:val="sr-Cyrl-RS"/>
        </w:rPr>
      </w:pPr>
      <w:r w:rsidRPr="00EF2F18">
        <w:rPr>
          <w:rFonts w:cs="Times New Roman"/>
          <w:sz w:val="22"/>
          <w:lang w:val="sr-Cyrl-RS"/>
        </w:rPr>
        <w:t xml:space="preserve">Повећање људских ресурса, обука и унапређење капацитета неопходно је у свим секторима који треба да прате и извештавају о емисијама </w:t>
      </w:r>
      <w:r w:rsidRPr="00EF2F18">
        <w:rPr>
          <w:rFonts w:cs="Times New Roman"/>
          <w:i/>
          <w:iCs/>
          <w:sz w:val="22"/>
          <w:lang w:val="sr-Cyrl-RS"/>
        </w:rPr>
        <w:t>GHG</w:t>
      </w:r>
      <w:r w:rsidRPr="00EF2F18">
        <w:rPr>
          <w:rFonts w:cs="Times New Roman"/>
          <w:sz w:val="22"/>
          <w:lang w:val="sr-Cyrl-RS"/>
        </w:rPr>
        <w:t xml:space="preserve">. Неопходне обуке </w:t>
      </w:r>
      <w:r w:rsidRPr="00EF2F18">
        <w:rPr>
          <w:sz w:val="22"/>
          <w:lang w:val="sr-Cyrl-RS"/>
        </w:rPr>
        <w:t>треба повезати са Програмом обука које спроводи Национална академија за јавну управу.</w:t>
      </w:r>
    </w:p>
    <w:p w14:paraId="6FE10B82" w14:textId="77777777" w:rsidR="009D628D" w:rsidRPr="00EF2F18" w:rsidRDefault="00CF7088" w:rsidP="00CF7088">
      <w:pPr>
        <w:spacing w:after="0"/>
        <w:ind w:firstLine="720"/>
        <w:jc w:val="both"/>
        <w:rPr>
          <w:rFonts w:cs="Times New Roman"/>
          <w:sz w:val="22"/>
          <w:lang w:val="sr-Cyrl-RS"/>
        </w:rPr>
      </w:pPr>
      <w:r w:rsidRPr="00EF2F18">
        <w:rPr>
          <w:rFonts w:cs="Times New Roman"/>
          <w:sz w:val="22"/>
          <w:lang w:val="sr-Cyrl-RS"/>
        </w:rPr>
        <w:t>Повећање људских ресурса, обука и унапређење капацитета неопходно је како за потребе А</w:t>
      </w:r>
      <w:r w:rsidR="000C273B" w:rsidRPr="00EF2F18">
        <w:rPr>
          <w:rFonts w:cs="Times New Roman"/>
          <w:sz w:val="22"/>
          <w:lang w:val="sr-Cyrl-RS"/>
        </w:rPr>
        <w:t>З</w:t>
      </w:r>
      <w:r w:rsidR="00A2765A" w:rsidRPr="00EF2F18">
        <w:rPr>
          <w:rFonts w:cs="Times New Roman"/>
          <w:sz w:val="22"/>
          <w:lang w:val="sr-Cyrl-RS"/>
        </w:rPr>
        <w:t>Ж</w:t>
      </w:r>
      <w:r w:rsidR="000C273B" w:rsidRPr="00EF2F18">
        <w:rPr>
          <w:rFonts w:cs="Times New Roman"/>
          <w:sz w:val="22"/>
          <w:lang w:val="sr-Cyrl-RS"/>
        </w:rPr>
        <w:t>С,</w:t>
      </w:r>
      <w:r w:rsidRPr="00EF2F18">
        <w:rPr>
          <w:rFonts w:cs="Times New Roman"/>
          <w:sz w:val="22"/>
          <w:lang w:val="sr-Cyrl-RS"/>
        </w:rPr>
        <w:t xml:space="preserve"> тако и у свим секторима који треба да прикупљају и достављају релевантне податке.</w:t>
      </w:r>
    </w:p>
    <w:p w14:paraId="4483CA04" w14:textId="17FA62BD" w:rsidR="009D628D" w:rsidRPr="00EF2F18" w:rsidRDefault="0081734D" w:rsidP="009D628D">
      <w:pPr>
        <w:spacing w:after="0"/>
        <w:ind w:firstLine="720"/>
        <w:jc w:val="both"/>
        <w:rPr>
          <w:rFonts w:cs="Times New Roman"/>
          <w:sz w:val="22"/>
          <w:lang w:val="sr-Cyrl-RS"/>
        </w:rPr>
      </w:pPr>
      <w:r w:rsidRPr="00EF2F18">
        <w:rPr>
          <w:sz w:val="22"/>
          <w:lang w:val="sr-Cyrl-RS"/>
        </w:rPr>
        <w:t xml:space="preserve"> </w:t>
      </w:r>
      <w:r w:rsidR="009D628D" w:rsidRPr="00EF2F18">
        <w:rPr>
          <w:rFonts w:cs="Times New Roman"/>
          <w:sz w:val="22"/>
          <w:lang w:val="sr-Cyrl-RS"/>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5CF56565" w14:textId="4229BCF7" w:rsidR="0081734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4D3FC8E1" w14:textId="60AE0DDF" w:rsidR="0081734D"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Агенција за заштиту животне средине, Министарст</w:t>
      </w:r>
      <w:r w:rsidR="004540E6" w:rsidRPr="00EF2F18">
        <w:rPr>
          <w:rFonts w:cs="Times New Roman"/>
          <w:sz w:val="22"/>
          <w:lang w:val="sr-Cyrl-RS" w:eastAsia="en-GB"/>
        </w:rPr>
        <w:t>в</w:t>
      </w:r>
      <w:r w:rsidR="006766C9">
        <w:rPr>
          <w:rFonts w:cs="Times New Roman"/>
          <w:sz w:val="22"/>
          <w:lang w:val="sr-Cyrl-RS" w:eastAsia="en-GB"/>
        </w:rPr>
        <w:t>а од</w:t>
      </w:r>
      <w:r w:rsidRPr="00EF2F18">
        <w:rPr>
          <w:rFonts w:cs="Times New Roman"/>
          <w:sz w:val="22"/>
          <w:lang w:val="sr-Cyrl-RS" w:eastAsia="en-GB"/>
        </w:rPr>
        <w:t>говорна за праћење и извештавање о политикама релевантним за климатске промене, Национална академија за јавну управу</w:t>
      </w:r>
      <w:r w:rsidR="004F18B0" w:rsidRPr="00EF2F18">
        <w:rPr>
          <w:rFonts w:cs="Times New Roman"/>
          <w:sz w:val="22"/>
          <w:lang w:val="sr-Cyrl-RS" w:eastAsia="en-GB"/>
        </w:rPr>
        <w:t>, јединице локалне самоуправе</w:t>
      </w:r>
      <w:r w:rsidR="00185A75" w:rsidRPr="00EF2F18">
        <w:rPr>
          <w:rFonts w:cs="Times New Roman"/>
          <w:sz w:val="22"/>
          <w:lang w:val="sr-Cyrl-RS" w:eastAsia="en-GB"/>
        </w:rPr>
        <w:t>.</w:t>
      </w:r>
    </w:p>
    <w:p w14:paraId="7D013AC5" w14:textId="64ADFA6B" w:rsidR="00BB41AC" w:rsidRPr="00EF2F18" w:rsidRDefault="0081734D" w:rsidP="0081734D">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CF7088" w:rsidRPr="00EF2F18">
        <w:rPr>
          <w:rFonts w:cs="Times New Roman"/>
          <w:sz w:val="22"/>
          <w:lang w:val="sr-Cyrl-RS" w:eastAsia="en-GB"/>
        </w:rPr>
        <w:t>информативно-едукативна</w:t>
      </w:r>
      <w:r w:rsidR="00185A75" w:rsidRPr="00EF2F18">
        <w:rPr>
          <w:rFonts w:cs="Times New Roman"/>
          <w:sz w:val="22"/>
          <w:lang w:val="sr-Cyrl-RS" w:eastAsia="en-GB"/>
        </w:rPr>
        <w:t>.</w:t>
      </w:r>
    </w:p>
    <w:p w14:paraId="00F8634B" w14:textId="77777777" w:rsidR="00BB41AC" w:rsidRPr="00EF2F18" w:rsidRDefault="00BB41AC" w:rsidP="0081734D">
      <w:pPr>
        <w:spacing w:after="0"/>
        <w:ind w:firstLine="720"/>
        <w:jc w:val="both"/>
        <w:rPr>
          <w:sz w:val="22"/>
          <w:lang w:val="sr-Cyrl-RS"/>
        </w:rPr>
      </w:pPr>
    </w:p>
    <w:p w14:paraId="453EBDF2" w14:textId="3B3C8320" w:rsidR="00E06835" w:rsidRPr="00EF2F18" w:rsidRDefault="0069618C"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bookmarkStart w:id="116" w:name="_Hlk204039456"/>
      <w:r w:rsidRPr="00EF2F18">
        <w:rPr>
          <w:rFonts w:cs="Times New Roman"/>
          <w:b/>
          <w:bCs/>
          <w:sz w:val="22"/>
          <w:lang w:val="sr-Cyrl-RS" w:eastAsia="en-GB"/>
        </w:rPr>
        <w:t>Мера 1.1.</w:t>
      </w:r>
      <w:r w:rsidR="003D2534" w:rsidRPr="00EF2F18">
        <w:rPr>
          <w:rFonts w:cs="Times New Roman"/>
          <w:b/>
          <w:bCs/>
          <w:sz w:val="22"/>
          <w:lang w:val="sr-Cyrl-RS" w:eastAsia="en-GB"/>
        </w:rPr>
        <w:t>5</w:t>
      </w:r>
      <w:r w:rsidRPr="00EF2F18">
        <w:rPr>
          <w:rFonts w:cs="Times New Roman"/>
          <w:b/>
          <w:bCs/>
          <w:sz w:val="22"/>
          <w:lang w:val="sr-Cyrl-RS" w:eastAsia="en-GB"/>
        </w:rPr>
        <w:t xml:space="preserve">. </w:t>
      </w:r>
      <w:r w:rsidR="007C436D" w:rsidRPr="00EF2F18">
        <w:rPr>
          <w:rFonts w:cs="Times New Roman"/>
          <w:b/>
          <w:bCs/>
          <w:sz w:val="22"/>
          <w:lang w:val="sr-Cyrl-RS" w:eastAsia="en-GB"/>
        </w:rPr>
        <w:t xml:space="preserve">Примена механизама за усклађивање са системом трговине </w:t>
      </w:r>
      <w:bookmarkStart w:id="117" w:name="_Hlk140183288"/>
      <w:r w:rsidR="007C436D" w:rsidRPr="00EF2F18">
        <w:rPr>
          <w:rFonts w:cs="Times New Roman"/>
          <w:b/>
          <w:bCs/>
          <w:i/>
          <w:iCs/>
          <w:sz w:val="22"/>
          <w:lang w:val="sr-Cyrl-RS" w:eastAsia="en-GB"/>
        </w:rPr>
        <w:t>GHG</w:t>
      </w:r>
      <w:r w:rsidR="006766C9">
        <w:rPr>
          <w:rFonts w:cs="Times New Roman"/>
          <w:b/>
          <w:bCs/>
          <w:sz w:val="22"/>
          <w:lang w:val="sr-Cyrl-RS" w:eastAsia="en-GB"/>
        </w:rPr>
        <w:t xml:space="preserve"> емисија</w:t>
      </w:r>
      <w:r w:rsidR="007C436D" w:rsidRPr="00EF2F18">
        <w:rPr>
          <w:rFonts w:cs="Times New Roman"/>
          <w:b/>
          <w:bCs/>
          <w:sz w:val="22"/>
          <w:lang w:val="sr-Cyrl-RS" w:eastAsia="en-GB"/>
        </w:rPr>
        <w:t>ма</w:t>
      </w:r>
      <w:bookmarkEnd w:id="117"/>
      <w:r w:rsidR="007C436D" w:rsidRPr="00EF2F18">
        <w:rPr>
          <w:rFonts w:cs="Times New Roman"/>
          <w:b/>
          <w:bCs/>
          <w:sz w:val="22"/>
          <w:lang w:val="sr-Cyrl-RS" w:eastAsia="en-GB"/>
        </w:rPr>
        <w:t xml:space="preserve"> ЕУ и/или увођење других инструмената за одређивање цена угљеника</w:t>
      </w:r>
    </w:p>
    <w:bookmarkEnd w:id="116"/>
    <w:p w14:paraId="3AED581D" w14:textId="77777777" w:rsidR="00D83673" w:rsidRPr="00EF2F18" w:rsidRDefault="00D83673" w:rsidP="00E06835">
      <w:pPr>
        <w:spacing w:after="0"/>
        <w:ind w:firstLine="720"/>
        <w:jc w:val="both"/>
        <w:rPr>
          <w:rFonts w:cs="Times New Roman"/>
          <w:sz w:val="22"/>
          <w:lang w:val="sr-Cyrl-RS"/>
        </w:rPr>
      </w:pPr>
    </w:p>
    <w:p w14:paraId="2168BBAA" w14:textId="6F9FC123" w:rsidR="008533B8" w:rsidRPr="00EF2F18" w:rsidRDefault="008533B8" w:rsidP="00E06835">
      <w:pPr>
        <w:spacing w:after="0"/>
        <w:ind w:firstLine="720"/>
        <w:jc w:val="both"/>
        <w:rPr>
          <w:rFonts w:cs="Times New Roman"/>
          <w:sz w:val="22"/>
          <w:lang w:val="sr-Cyrl-RS"/>
        </w:rPr>
      </w:pPr>
      <w:r w:rsidRPr="00EF2F18">
        <w:rPr>
          <w:rFonts w:cs="Times New Roman"/>
          <w:sz w:val="22"/>
          <w:lang w:val="sr-Cyrl-RS"/>
        </w:rPr>
        <w:t xml:space="preserve">Ова мера треба да омогући смањење емисија гасова са ефектом стаклене баште разматрањем и применом различитих механизама и то: применом трговине </w:t>
      </w:r>
      <w:r w:rsidRPr="00EF2F18">
        <w:rPr>
          <w:rFonts w:cs="Times New Roman"/>
          <w:i/>
          <w:iCs/>
          <w:sz w:val="22"/>
          <w:lang w:val="sr-Cyrl-RS"/>
        </w:rPr>
        <w:t>GHG</w:t>
      </w:r>
      <w:r w:rsidR="006766C9">
        <w:rPr>
          <w:rFonts w:cs="Times New Roman"/>
          <w:sz w:val="22"/>
          <w:lang w:val="sr-Cyrl-RS"/>
        </w:rPr>
        <w:t xml:space="preserve"> емисија</w:t>
      </w:r>
      <w:r w:rsidRPr="00EF2F18">
        <w:rPr>
          <w:rFonts w:cs="Times New Roman"/>
          <w:sz w:val="22"/>
          <w:lang w:val="sr-Cyrl-RS"/>
        </w:rPr>
        <w:t>ма у складу са принципима ЕУ или увођењем других механизама који узимају у обзир цену угљеника</w:t>
      </w:r>
      <w:r w:rsidR="0040708C" w:rsidRPr="00EF2F18">
        <w:rPr>
          <w:rFonts w:cs="Times New Roman"/>
          <w:sz w:val="22"/>
          <w:lang w:val="sr-Cyrl-RS"/>
        </w:rPr>
        <w:t>.</w:t>
      </w:r>
      <w:r w:rsidRPr="00EF2F18">
        <w:rPr>
          <w:rFonts w:cs="Times New Roman"/>
          <w:sz w:val="22"/>
          <w:lang w:val="sr-Cyrl-RS"/>
        </w:rPr>
        <w:t xml:space="preserve"> </w:t>
      </w:r>
    </w:p>
    <w:p w14:paraId="1A35E6A0" w14:textId="1E916AA9" w:rsidR="00DF2340" w:rsidRPr="00EF2F18" w:rsidRDefault="004E54F9" w:rsidP="00DF2340">
      <w:pPr>
        <w:spacing w:after="0"/>
        <w:ind w:firstLine="720"/>
        <w:jc w:val="both"/>
        <w:rPr>
          <w:rFonts w:cs="Times New Roman"/>
          <w:sz w:val="22"/>
          <w:lang w:val="sr-Cyrl-RS"/>
        </w:rPr>
      </w:pPr>
      <w:r w:rsidRPr="00EF2F18">
        <w:rPr>
          <w:rFonts w:cs="Times New Roman"/>
          <w:sz w:val="22"/>
          <w:lang w:val="sr-Cyrl-RS"/>
        </w:rPr>
        <w:t>У Републици Србији је од 1. јануара 2026. године ступио на снагу Закон о порезу на емисије гасова са ефектом стаклене баште и Закон о порезу на увоз угљенично интензивних производа</w:t>
      </w:r>
      <w:r w:rsidR="00DF2340" w:rsidRPr="00EF2F18">
        <w:rPr>
          <w:rFonts w:cs="Times New Roman"/>
          <w:sz w:val="22"/>
          <w:lang w:val="sr-Cyrl-RS"/>
        </w:rPr>
        <w:t xml:space="preserve">. На основу анализа које се врше у оквиру пројеката чија је реализација у току, </w:t>
      </w:r>
      <w:r w:rsidR="00C40588" w:rsidRPr="00EF2F18">
        <w:rPr>
          <w:rFonts w:cs="Times New Roman"/>
          <w:sz w:val="22"/>
          <w:lang w:val="sr-Cyrl-RS"/>
        </w:rPr>
        <w:t>биће</w:t>
      </w:r>
      <w:r w:rsidR="00DF2340" w:rsidRPr="00EF2F18">
        <w:rPr>
          <w:rFonts w:cs="Times New Roman"/>
          <w:sz w:val="22"/>
          <w:lang w:val="sr-Cyrl-RS"/>
        </w:rPr>
        <w:t xml:space="preserve"> </w:t>
      </w:r>
      <w:r w:rsidR="00DF2340" w:rsidRPr="00EF2F18">
        <w:rPr>
          <w:rFonts w:cs="Times New Roman"/>
          <w:sz w:val="22"/>
          <w:lang w:val="sr-Cyrl-RS"/>
        </w:rPr>
        <w:lastRenderedPageBreak/>
        <w:t>прецизно дефинисан</w:t>
      </w:r>
      <w:r w:rsidR="00C40588" w:rsidRPr="00EF2F18">
        <w:rPr>
          <w:rFonts w:cs="Times New Roman"/>
          <w:sz w:val="22"/>
          <w:lang w:val="sr-Cyrl-RS"/>
        </w:rPr>
        <w:t xml:space="preserve"> обим и</w:t>
      </w:r>
      <w:r w:rsidR="00DF2340" w:rsidRPr="00EF2F18">
        <w:rPr>
          <w:rFonts w:cs="Times New Roman"/>
          <w:sz w:val="22"/>
          <w:lang w:val="sr-Cyrl-RS"/>
        </w:rPr>
        <w:t xml:space="preserve"> начин усклађивања који подразумева </w:t>
      </w:r>
      <w:r w:rsidR="0014432C" w:rsidRPr="00EF2F18">
        <w:rPr>
          <w:rFonts w:cs="Times New Roman"/>
          <w:sz w:val="22"/>
          <w:lang w:val="sr-Cyrl-RS"/>
        </w:rPr>
        <w:t xml:space="preserve">измене и допуне постојећих </w:t>
      </w:r>
      <w:r w:rsidR="00DF2340" w:rsidRPr="00EF2F18">
        <w:rPr>
          <w:rFonts w:cs="Times New Roman"/>
          <w:sz w:val="22"/>
          <w:lang w:val="sr-Cyrl-RS"/>
        </w:rPr>
        <w:t xml:space="preserve">и припрему и усвајање </w:t>
      </w:r>
      <w:r w:rsidR="0014432C" w:rsidRPr="00EF2F18">
        <w:rPr>
          <w:rFonts w:cs="Times New Roman"/>
          <w:sz w:val="22"/>
          <w:lang w:val="sr-Cyrl-RS"/>
        </w:rPr>
        <w:t xml:space="preserve">нових </w:t>
      </w:r>
      <w:r w:rsidR="00DF2340" w:rsidRPr="00EF2F18">
        <w:rPr>
          <w:rFonts w:cs="Times New Roman"/>
          <w:sz w:val="22"/>
          <w:lang w:val="sr-Cyrl-RS"/>
        </w:rPr>
        <w:t>прописа</w:t>
      </w:r>
      <w:r w:rsidR="00C40588" w:rsidRPr="00EF2F18">
        <w:rPr>
          <w:rFonts w:cs="Times New Roman"/>
          <w:sz w:val="22"/>
          <w:lang w:val="sr-Cyrl-RS"/>
        </w:rPr>
        <w:t xml:space="preserve"> који подржавају декарбонизацију</w:t>
      </w:r>
      <w:r w:rsidR="00DF2340" w:rsidRPr="00EF2F18">
        <w:rPr>
          <w:rFonts w:cs="Times New Roman"/>
          <w:sz w:val="22"/>
          <w:lang w:val="sr-Cyrl-RS"/>
        </w:rPr>
        <w:t>. По придруживању ЕУ, очекује се да ће се Србија придружити EU</w:t>
      </w:r>
      <w:r w:rsidR="00865FD0" w:rsidRPr="00EF2F18">
        <w:rPr>
          <w:rFonts w:cs="Times New Roman"/>
          <w:sz w:val="22"/>
          <w:lang w:val="sr-Cyrl-RS"/>
        </w:rPr>
        <w:t xml:space="preserve"> </w:t>
      </w:r>
      <w:r w:rsidR="00DF2340" w:rsidRPr="00EF2F18">
        <w:rPr>
          <w:rFonts w:cs="Times New Roman"/>
          <w:sz w:val="22"/>
          <w:lang w:val="sr-Cyrl-RS"/>
        </w:rPr>
        <w:t>ETS-у, тј. систему који функционише по принципу „ограничи и тргуј</w:t>
      </w:r>
      <w:r w:rsidR="00A64280" w:rsidRPr="00EF2F18">
        <w:rPr>
          <w:rFonts w:cs="Times New Roman"/>
          <w:sz w:val="22"/>
          <w:lang w:val="sr-Cyrl-RS"/>
        </w:rPr>
        <w:t>”</w:t>
      </w:r>
      <w:r w:rsidR="00DF2340" w:rsidRPr="00EF2F18">
        <w:rPr>
          <w:rFonts w:cs="Times New Roman"/>
          <w:sz w:val="22"/>
          <w:lang w:val="sr-Cyrl-RS"/>
        </w:rPr>
        <w:t xml:space="preserve">. Укупна количина одређених гасова са ефектом стаклене баште које могу емитовати постројења обухваћена овим системом је ограничена. </w:t>
      </w:r>
    </w:p>
    <w:p w14:paraId="3CA4FD48" w14:textId="77777777" w:rsidR="00D06B6B" w:rsidRPr="00EF2F18" w:rsidRDefault="00D06B6B" w:rsidP="00D06B6B">
      <w:pPr>
        <w:spacing w:after="0"/>
        <w:ind w:firstLine="720"/>
        <w:jc w:val="both"/>
        <w:rPr>
          <w:rFonts w:cs="Times New Roman"/>
          <w:sz w:val="22"/>
          <w:lang w:val="sr-Cyrl-RS"/>
        </w:rPr>
      </w:pPr>
      <w:r w:rsidRPr="00EF2F18">
        <w:rPr>
          <w:rFonts w:cs="Times New Roman"/>
          <w:sz w:val="22"/>
          <w:lang w:val="sr-Cyrl-RS"/>
        </w:rPr>
        <w:t>Спровођење мониторинга, извештавања, верификације и акредитације (</w:t>
      </w:r>
      <w:r w:rsidRPr="00EF2F18">
        <w:rPr>
          <w:rFonts w:cs="Times New Roman"/>
          <w:i/>
          <w:iCs/>
          <w:sz w:val="22"/>
          <w:lang w:val="sr-Cyrl-RS"/>
        </w:rPr>
        <w:t>Monitoring, reporting, verification and acreditation – MRVA</w:t>
      </w:r>
      <w:r w:rsidRPr="00EF2F18">
        <w:rPr>
          <w:rFonts w:cs="Times New Roman"/>
          <w:sz w:val="22"/>
          <w:lang w:val="sr-Cyrl-RS"/>
        </w:rPr>
        <w:t xml:space="preserve">) под EU ETS, уређених релевантним одредбама Закона о климатским променама, започело је 2024. године, што ће омогућити увођење потенцијалних еквивалентних мера. Еквивалентне мере су једино примењиве на постројења која поседују дозволе за емитовање </w:t>
      </w:r>
      <w:r w:rsidRPr="00EF2F18">
        <w:rPr>
          <w:rFonts w:cs="Times New Roman"/>
          <w:i/>
          <w:iCs/>
          <w:sz w:val="22"/>
          <w:lang w:val="sr-Cyrl-RS"/>
        </w:rPr>
        <w:t>GHG</w:t>
      </w:r>
      <w:r w:rsidRPr="00EF2F18">
        <w:rPr>
          <w:rFonts w:cs="Times New Roman"/>
          <w:sz w:val="22"/>
          <w:lang w:val="sr-Cyrl-RS"/>
        </w:rPr>
        <w:t xml:space="preserve"> у складу са Законом о климатским променама („Службени гласник РС”, број 26/21).</w:t>
      </w:r>
    </w:p>
    <w:p w14:paraId="66D91FDA" w14:textId="280D1CDE" w:rsidR="00DF2340" w:rsidRPr="00EF2F18" w:rsidRDefault="004E7C7D" w:rsidP="00D06B6B">
      <w:pPr>
        <w:spacing w:after="0"/>
        <w:jc w:val="both"/>
        <w:rPr>
          <w:rFonts w:cs="Times New Roman"/>
          <w:sz w:val="22"/>
          <w:lang w:val="sr-Cyrl-RS"/>
        </w:rPr>
      </w:pPr>
      <w:r w:rsidRPr="00EF2F18">
        <w:rPr>
          <w:rFonts w:cs="Times New Roman"/>
          <w:sz w:val="22"/>
          <w:lang w:val="sr-Cyrl-RS"/>
        </w:rPr>
        <w:t xml:space="preserve">              </w:t>
      </w:r>
      <w:r w:rsidR="00DF2340" w:rsidRPr="00EF2F18">
        <w:rPr>
          <w:rFonts w:cs="Times New Roman"/>
          <w:sz w:val="22"/>
          <w:lang w:val="sr-Cyrl-RS"/>
        </w:rPr>
        <w:t>У ци</w:t>
      </w:r>
      <w:r w:rsidR="0014432C" w:rsidRPr="00EF2F18">
        <w:rPr>
          <w:rFonts w:cs="Times New Roman"/>
          <w:sz w:val="22"/>
          <w:lang w:val="sr-Cyrl-RS"/>
        </w:rPr>
        <w:t>љ</w:t>
      </w:r>
      <w:r w:rsidR="00DF2340" w:rsidRPr="00EF2F18">
        <w:rPr>
          <w:rFonts w:cs="Times New Roman"/>
          <w:sz w:val="22"/>
          <w:lang w:val="sr-Cyrl-RS"/>
        </w:rPr>
        <w:t>у ефикасног спровођења система трговине емисијама гасова са ефектом стаклене баште ЕУ и/или увођења других инструмената за наплату угљеника</w:t>
      </w:r>
      <w:r w:rsidR="0014432C" w:rsidRPr="00EF2F18">
        <w:rPr>
          <w:rFonts w:cs="Times New Roman"/>
          <w:sz w:val="22"/>
          <w:lang w:val="sr-Cyrl-RS"/>
        </w:rPr>
        <w:t>, почев</w:t>
      </w:r>
      <w:r w:rsidR="00CD2495" w:rsidRPr="00EF2F18">
        <w:rPr>
          <w:rFonts w:cs="Times New Roman"/>
          <w:sz w:val="22"/>
          <w:lang w:val="sr-Cyrl-RS"/>
        </w:rPr>
        <w:t xml:space="preserve"> најраније</w:t>
      </w:r>
      <w:r w:rsidR="0014432C" w:rsidRPr="00EF2F18">
        <w:rPr>
          <w:rFonts w:cs="Times New Roman"/>
          <w:sz w:val="22"/>
          <w:lang w:val="sr-Cyrl-RS"/>
        </w:rPr>
        <w:t xml:space="preserve"> од 2026.године,</w:t>
      </w:r>
      <w:r w:rsidR="006C2E00" w:rsidRPr="00EF2F18">
        <w:rPr>
          <w:rFonts w:cs="Times New Roman"/>
          <w:sz w:val="22"/>
          <w:lang w:val="sr-Cyrl-RS"/>
        </w:rPr>
        <w:t xml:space="preserve"> </w:t>
      </w:r>
      <w:r w:rsidR="00DF2340" w:rsidRPr="00EF2F18">
        <w:rPr>
          <w:rFonts w:cs="Times New Roman"/>
          <w:sz w:val="22"/>
          <w:lang w:val="sr-Cyrl-RS"/>
        </w:rPr>
        <w:t xml:space="preserve">потребно је организовати обуке запослених у надлежном националном телу али и другим релевантним органима, организацијама и оператерима постројења за систем трговине емисијама </w:t>
      </w:r>
      <w:r w:rsidR="00DF2340" w:rsidRPr="00EF2F18">
        <w:rPr>
          <w:rFonts w:cs="Times New Roman"/>
          <w:i/>
          <w:iCs/>
          <w:sz w:val="22"/>
          <w:lang w:val="sr-Cyrl-RS"/>
        </w:rPr>
        <w:t>GHG</w:t>
      </w:r>
      <w:r w:rsidR="00DF2340" w:rsidRPr="00EF2F18">
        <w:rPr>
          <w:rFonts w:cs="Times New Roman"/>
          <w:sz w:val="22"/>
          <w:lang w:val="sr-Cyrl-RS"/>
        </w:rPr>
        <w:t xml:space="preserve"> ЕУ и/или другим инструментом за наплату угљеника. </w:t>
      </w:r>
    </w:p>
    <w:p w14:paraId="3F41509D" w14:textId="5580F286" w:rsidR="00C40588" w:rsidRPr="00EF2F18" w:rsidRDefault="004E54F9" w:rsidP="00DF2340">
      <w:pPr>
        <w:spacing w:after="0"/>
        <w:ind w:firstLine="720"/>
        <w:jc w:val="both"/>
        <w:rPr>
          <w:rFonts w:cs="Times New Roman"/>
          <w:sz w:val="22"/>
          <w:lang w:val="sr-Cyrl-RS"/>
        </w:rPr>
      </w:pPr>
      <w:r w:rsidRPr="00EF2F18">
        <w:rPr>
          <w:rFonts w:cs="Times New Roman"/>
          <w:sz w:val="22"/>
          <w:lang w:val="sr-Cyrl-RS"/>
        </w:rPr>
        <w:t>Увођење механизма наплате емисија у енергетски систем Републике Србије, помогло је да се проблему емисије гасова са ефектом стаклене баште приступи консистентно, да би се одржала одржива декарбонизација економије у целини</w:t>
      </w:r>
      <w:r w:rsidR="00C40588" w:rsidRPr="00EF2F18">
        <w:rPr>
          <w:rFonts w:cs="Times New Roman"/>
          <w:sz w:val="22"/>
          <w:lang w:val="sr-Cyrl-RS"/>
        </w:rPr>
        <w:t xml:space="preserve">. </w:t>
      </w:r>
      <w:r w:rsidR="00DF6E37" w:rsidRPr="00EF2F18">
        <w:rPr>
          <w:rFonts w:cs="Times New Roman"/>
          <w:sz w:val="22"/>
          <w:lang w:val="sr-Cyrl-RS"/>
        </w:rPr>
        <w:t xml:space="preserve">Промена цена угљеника мора </w:t>
      </w:r>
      <w:r w:rsidR="006C5609" w:rsidRPr="00EF2F18">
        <w:rPr>
          <w:rFonts w:cs="Times New Roman"/>
          <w:sz w:val="22"/>
          <w:lang w:val="sr-Cyrl-RS"/>
        </w:rPr>
        <w:t xml:space="preserve">бити таква да ће </w:t>
      </w:r>
      <w:r w:rsidR="00DF6E37" w:rsidRPr="00EF2F18">
        <w:rPr>
          <w:rFonts w:cs="Times New Roman"/>
          <w:sz w:val="22"/>
          <w:lang w:val="sr-Cyrl-RS"/>
        </w:rPr>
        <w:t xml:space="preserve">обезбедити доступност енергије грађанима и конкурентност </w:t>
      </w:r>
      <w:r w:rsidR="006C5609" w:rsidRPr="00EF2F18">
        <w:rPr>
          <w:rFonts w:cs="Times New Roman"/>
          <w:sz w:val="22"/>
          <w:lang w:val="sr-Cyrl-RS"/>
        </w:rPr>
        <w:t>привреде и сигурност снабдевања енергијом.</w:t>
      </w:r>
      <w:r w:rsidR="00DF7ECF" w:rsidRPr="00EF2F18">
        <w:rPr>
          <w:rFonts w:cs="Times New Roman"/>
          <w:sz w:val="22"/>
          <w:lang w:val="sr-Cyrl-RS"/>
        </w:rPr>
        <w:t xml:space="preserve"> Бржа декарбонизација је могућа само уз финансијску подршку ЕУ.</w:t>
      </w:r>
      <w:r w:rsidR="006C5609" w:rsidRPr="00EF2F18">
        <w:rPr>
          <w:rFonts w:cs="Times New Roman"/>
          <w:sz w:val="22"/>
          <w:lang w:val="sr-Cyrl-RS"/>
        </w:rPr>
        <w:t xml:space="preserve"> </w:t>
      </w:r>
      <w:r w:rsidR="00C40588" w:rsidRPr="00EF2F18">
        <w:rPr>
          <w:rFonts w:cs="Times New Roman"/>
          <w:sz w:val="22"/>
          <w:lang w:val="sr-Cyrl-RS"/>
        </w:rPr>
        <w:t xml:space="preserve">Ово ће омогућити </w:t>
      </w:r>
      <w:r w:rsidR="002558B0" w:rsidRPr="00EF2F18">
        <w:rPr>
          <w:rFonts w:cs="Times New Roman"/>
          <w:sz w:val="22"/>
          <w:lang w:val="sr-Cyrl-RS"/>
        </w:rPr>
        <w:t xml:space="preserve">постепено усклађивање услова пословања </w:t>
      </w:r>
      <w:r w:rsidR="00C40588" w:rsidRPr="00EF2F18">
        <w:rPr>
          <w:rFonts w:cs="Times New Roman"/>
          <w:sz w:val="22"/>
          <w:lang w:val="sr-Cyrl-RS"/>
        </w:rPr>
        <w:t xml:space="preserve">српске привреде </w:t>
      </w:r>
      <w:r w:rsidR="002558B0" w:rsidRPr="00EF2F18">
        <w:rPr>
          <w:rFonts w:cs="Times New Roman"/>
          <w:sz w:val="22"/>
          <w:lang w:val="sr-Cyrl-RS"/>
        </w:rPr>
        <w:t xml:space="preserve">са условима </w:t>
      </w:r>
      <w:r w:rsidR="00C40588" w:rsidRPr="00EF2F18">
        <w:rPr>
          <w:rFonts w:cs="Times New Roman"/>
          <w:sz w:val="22"/>
          <w:lang w:val="sr-Cyrl-RS"/>
        </w:rPr>
        <w:t>на тржишту ЕУ</w:t>
      </w:r>
      <w:r w:rsidR="002558B0" w:rsidRPr="00EF2F18">
        <w:rPr>
          <w:rFonts w:cs="Times New Roman"/>
          <w:sz w:val="22"/>
          <w:lang w:val="sr-Cyrl-RS"/>
        </w:rPr>
        <w:t xml:space="preserve"> и допринети испуњавању услова за</w:t>
      </w:r>
      <w:r w:rsidR="00FA7222" w:rsidRPr="00EF2F18">
        <w:rPr>
          <w:rFonts w:cs="Times New Roman"/>
          <w:sz w:val="22"/>
          <w:lang w:val="sr-Cyrl-RS"/>
        </w:rPr>
        <w:t xml:space="preserve"> </w:t>
      </w:r>
      <w:r w:rsidR="00C40588" w:rsidRPr="00EF2F18">
        <w:rPr>
          <w:rFonts w:cs="Times New Roman"/>
          <w:sz w:val="22"/>
          <w:lang w:val="sr-Cyrl-RS"/>
        </w:rPr>
        <w:t>за чланство Србије у ЕУ.</w:t>
      </w:r>
    </w:p>
    <w:p w14:paraId="32A7CE2E" w14:textId="55FEAFB1"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Осим тога, увођење цене на угљеник и одговарајућих нивоа акциза омогућава примену принципа „загађивач плаћа” у секторима и активностима који нису покривени мерама за усклађивање са системом за трговање емисијама ЕУ и/или увођење других инструмената одређивања цена угљеника. Сврха овог циља је да фосилна горива постану мање конкурентна за употребу крајњим потрошачима, у поређењу са</w:t>
      </w:r>
      <w:r w:rsidR="00667FBF" w:rsidRPr="00EF2F18">
        <w:rPr>
          <w:rFonts w:cs="Times New Roman"/>
          <w:sz w:val="22"/>
          <w:lang w:val="sr-Cyrl-RS"/>
        </w:rPr>
        <w:t xml:space="preserve"> производњом из обновљивих извора енергије и других</w:t>
      </w:r>
      <w:r w:rsidRPr="00EF2F18">
        <w:rPr>
          <w:rFonts w:cs="Times New Roman"/>
          <w:sz w:val="22"/>
          <w:lang w:val="sr-Cyrl-RS"/>
        </w:rPr>
        <w:t xml:space="preserve"> </w:t>
      </w:r>
      <w:r w:rsidR="00667FBF" w:rsidRPr="00EF2F18">
        <w:rPr>
          <w:rFonts w:cs="Times New Roman"/>
          <w:sz w:val="22"/>
          <w:lang w:val="sr-Cyrl-RS"/>
        </w:rPr>
        <w:t>нискоугљеничних технологија</w:t>
      </w:r>
      <w:r w:rsidRPr="00EF2F18">
        <w:rPr>
          <w:rFonts w:cs="Times New Roman"/>
          <w:sz w:val="22"/>
          <w:lang w:val="sr-Cyrl-RS"/>
        </w:rPr>
        <w:t>. Одговарајућа цена на угљеник треба да буде покретачко средство за</w:t>
      </w:r>
      <w:r w:rsidR="00FA7222" w:rsidRPr="00EF2F18">
        <w:rPr>
          <w:rFonts w:cs="Times New Roman"/>
          <w:sz w:val="22"/>
          <w:lang w:val="sr-Cyrl-RS"/>
        </w:rPr>
        <w:t xml:space="preserve"> </w:t>
      </w:r>
      <w:r w:rsidRPr="00EF2F18">
        <w:rPr>
          <w:rFonts w:cs="Times New Roman"/>
          <w:sz w:val="22"/>
          <w:lang w:val="sr-Cyrl-RS"/>
        </w:rPr>
        <w:t>да преусмере улагања на технологије које користе енергију са ниским или без садржаја угљеника, и у енергетску ефикасност.</w:t>
      </w:r>
    </w:p>
    <w:p w14:paraId="6A9D8856" w14:textId="35A3AB80"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Сва прикупљена средства користиће се за пројекте у области климатских промена, као и за подршку примени мера за смањење емисије </w:t>
      </w:r>
      <w:r w:rsidRPr="00EF2F18">
        <w:rPr>
          <w:rFonts w:cs="Times New Roman"/>
          <w:i/>
          <w:iCs/>
          <w:sz w:val="22"/>
          <w:lang w:val="sr-Cyrl-RS"/>
        </w:rPr>
        <w:t>GHG</w:t>
      </w:r>
      <w:r w:rsidRPr="00EF2F18">
        <w:rPr>
          <w:rFonts w:cs="Times New Roman"/>
          <w:sz w:val="22"/>
          <w:lang w:val="sr-Cyrl-RS"/>
        </w:rPr>
        <w:t xml:space="preserve"> код крајњих потрошача, као што су домаћинства, комерцијални сектор и индустрија. То подразумева успостављање механизама за управљање приходима од увођења цене на угљеник, како би се осигурала ефикасна подршка спровођењу мера за достизање нискоугљеничног развоја. Примена механизама мора бити подржана одговарајућом институционалном организацијом која обезбеђује највише стандарде и могућност обраде очекиваног обима захтева за подршку имплементацији мера (веза са мером 1, посебног циља 1. и мером 4, посебног циља 2. Стратегије нискоугљеничног развоја Републике Србије за период од 2023. до 2030. године са пројекцијама до 2050.; веза са мером М</w:t>
      </w:r>
      <w:r w:rsidR="00DF17B2" w:rsidRPr="00EF2F18">
        <w:rPr>
          <w:rFonts w:cs="Times New Roman"/>
          <w:sz w:val="22"/>
          <w:lang w:val="sr-Cyrl-RS"/>
        </w:rPr>
        <w:t>П</w:t>
      </w:r>
      <w:r w:rsidRPr="00EF2F18">
        <w:rPr>
          <w:rFonts w:cs="Times New Roman"/>
          <w:sz w:val="22"/>
          <w:lang w:val="sr-Cyrl-RS"/>
        </w:rPr>
        <w:t>_Д1 Интегрисаног националног енергетског и климатског плана Републике Србије за период до 2030. са визијом до 2050. године).</w:t>
      </w:r>
    </w:p>
    <w:p w14:paraId="34892AD4" w14:textId="6BEC9587" w:rsidR="007A0D35" w:rsidRPr="00EF2F18" w:rsidRDefault="007A0D35" w:rsidP="007A0D35">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финансија</w:t>
      </w:r>
      <w:r w:rsidR="00185A75" w:rsidRPr="00EF2F18">
        <w:rPr>
          <w:rFonts w:cs="Times New Roman"/>
          <w:sz w:val="22"/>
          <w:lang w:val="sr-Cyrl-RS" w:eastAsia="en-GB"/>
        </w:rPr>
        <w:t>.</w:t>
      </w:r>
    </w:p>
    <w:p w14:paraId="0D3CD579" w14:textId="1594E96E" w:rsidR="007A0D35" w:rsidRPr="00EF2F18" w:rsidRDefault="007A0D35" w:rsidP="007A0D35">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875A2E" w:rsidRPr="00EF2F18">
        <w:rPr>
          <w:rFonts w:cs="Times New Roman"/>
          <w:sz w:val="22"/>
          <w:lang w:val="sr-Cyrl-RS" w:eastAsia="en-GB"/>
        </w:rPr>
        <w:t xml:space="preserve">Министарство заштите животне средине, </w:t>
      </w:r>
      <w:r w:rsidRPr="00EF2F18">
        <w:rPr>
          <w:rFonts w:cs="Times New Roman"/>
          <w:sz w:val="22"/>
          <w:lang w:val="sr-Cyrl-RS" w:eastAsia="en-GB"/>
        </w:rPr>
        <w:t>Министарство рударства и енергетике</w:t>
      </w:r>
      <w:r w:rsidR="00AA14FA" w:rsidRPr="00EF2F18">
        <w:rPr>
          <w:rFonts w:cs="Times New Roman"/>
          <w:sz w:val="22"/>
          <w:lang w:val="sr-Cyrl-RS" w:eastAsia="en-GB"/>
        </w:rPr>
        <w:t xml:space="preserve">, </w:t>
      </w:r>
      <w:r w:rsidR="00DD53CA" w:rsidRPr="00EF2F18">
        <w:rPr>
          <w:rFonts w:cs="Times New Roman"/>
          <w:sz w:val="22"/>
          <w:lang w:val="sr-Cyrl-RS" w:eastAsia="en-GB"/>
        </w:rPr>
        <w:t xml:space="preserve">Привредна комора Србије, </w:t>
      </w:r>
      <w:r w:rsidR="00AA14FA" w:rsidRPr="00EF2F18">
        <w:rPr>
          <w:rFonts w:cs="Times New Roman"/>
          <w:sz w:val="22"/>
          <w:lang w:val="sr-Cyrl-RS" w:eastAsia="en-GB"/>
        </w:rPr>
        <w:t xml:space="preserve">Акредитационо тело </w:t>
      </w:r>
      <w:r w:rsidR="007A2E9F" w:rsidRPr="00EF2F18">
        <w:rPr>
          <w:rFonts w:cs="Times New Roman"/>
          <w:bCs/>
          <w:sz w:val="22"/>
          <w:lang w:val="sr-Cyrl-RS" w:eastAsia="en-GB"/>
        </w:rPr>
        <w:t>Србије</w:t>
      </w:r>
      <w:r w:rsidR="00185A75" w:rsidRPr="00EF2F18">
        <w:rPr>
          <w:rFonts w:cs="Times New Roman"/>
          <w:bCs/>
          <w:sz w:val="22"/>
          <w:lang w:val="sr-Cyrl-RS" w:eastAsia="en-GB"/>
        </w:rPr>
        <w:t>.</w:t>
      </w:r>
    </w:p>
    <w:p w14:paraId="71D62DE3" w14:textId="46423AF8" w:rsidR="007A0D35" w:rsidRPr="00EF2F18" w:rsidRDefault="007A0D35" w:rsidP="007A0D35">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185A75" w:rsidRPr="00EF2F18">
        <w:rPr>
          <w:rFonts w:cs="Times New Roman"/>
          <w:sz w:val="22"/>
          <w:lang w:val="sr-Cyrl-RS" w:eastAsia="en-GB"/>
        </w:rPr>
        <w:t>.</w:t>
      </w:r>
    </w:p>
    <w:p w14:paraId="157AA2BB" w14:textId="17F8D1C1" w:rsidR="00D83673" w:rsidRPr="00EF2F18" w:rsidRDefault="00D83673" w:rsidP="00185A75">
      <w:pPr>
        <w:spacing w:after="0"/>
        <w:jc w:val="both"/>
        <w:rPr>
          <w:rFonts w:cs="Times New Roman"/>
          <w:sz w:val="22"/>
          <w:lang w:val="sr-Cyrl-RS"/>
        </w:rPr>
      </w:pPr>
    </w:p>
    <w:p w14:paraId="36A2DEE8" w14:textId="19F9FD2E" w:rsidR="007C436D" w:rsidRPr="00EF2F18" w:rsidRDefault="007C436D" w:rsidP="00CB08A1">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bookmarkStart w:id="118" w:name="_Hlk160712659"/>
      <w:bookmarkStart w:id="119" w:name="_Hlk139788558"/>
      <w:r w:rsidRPr="00EF2F18">
        <w:rPr>
          <w:rFonts w:cs="Times New Roman"/>
          <w:b/>
          <w:bCs/>
          <w:sz w:val="22"/>
          <w:lang w:val="sr-Cyrl-RS" w:eastAsia="en-GB"/>
        </w:rPr>
        <w:t>Мера 1.1.</w:t>
      </w:r>
      <w:r w:rsidR="003D2534" w:rsidRPr="00EF2F18">
        <w:rPr>
          <w:rFonts w:cs="Times New Roman"/>
          <w:b/>
          <w:bCs/>
          <w:sz w:val="22"/>
          <w:lang w:val="sr-Cyrl-RS" w:eastAsia="en-GB"/>
        </w:rPr>
        <w:t>6</w:t>
      </w:r>
      <w:r w:rsidRPr="00EF2F18">
        <w:rPr>
          <w:rFonts w:cs="Times New Roman"/>
          <w:b/>
          <w:bCs/>
          <w:sz w:val="22"/>
          <w:lang w:val="sr-Cyrl-RS" w:eastAsia="en-GB"/>
        </w:rPr>
        <w:t xml:space="preserve">. Подстицање изградње капацитета ОИЕ у производњи </w:t>
      </w:r>
      <w:r w:rsidR="00985E96" w:rsidRPr="00EF2F18">
        <w:rPr>
          <w:rFonts w:cs="Times New Roman"/>
          <w:b/>
          <w:bCs/>
          <w:sz w:val="22"/>
          <w:lang w:val="sr-Cyrl-RS" w:eastAsia="en-GB"/>
        </w:rPr>
        <w:t xml:space="preserve">топлотне и </w:t>
      </w:r>
      <w:r w:rsidRPr="00EF2F18">
        <w:rPr>
          <w:rFonts w:cs="Times New Roman"/>
          <w:b/>
          <w:bCs/>
          <w:sz w:val="22"/>
          <w:lang w:val="sr-Cyrl-RS" w:eastAsia="en-GB"/>
        </w:rPr>
        <w:t>електричне енергије</w:t>
      </w:r>
    </w:p>
    <w:p w14:paraId="236BFE4F" w14:textId="77777777" w:rsidR="00D83673" w:rsidRPr="00EF2F18" w:rsidRDefault="00D83673" w:rsidP="00425FCC">
      <w:pPr>
        <w:spacing w:after="0"/>
        <w:ind w:firstLine="720"/>
        <w:jc w:val="both"/>
        <w:rPr>
          <w:rFonts w:cs="Times New Roman"/>
          <w:sz w:val="22"/>
          <w:lang w:val="sr-Cyrl-RS"/>
        </w:rPr>
      </w:pPr>
    </w:p>
    <w:p w14:paraId="6A65535C" w14:textId="3E5A25E1" w:rsidR="008343A2" w:rsidRPr="00EF2F18" w:rsidRDefault="00855C56" w:rsidP="00425FCC">
      <w:pPr>
        <w:spacing w:after="0"/>
        <w:ind w:firstLine="720"/>
        <w:jc w:val="both"/>
        <w:rPr>
          <w:rFonts w:cs="Times New Roman"/>
          <w:sz w:val="22"/>
          <w:lang w:val="sr-Cyrl-RS"/>
        </w:rPr>
      </w:pPr>
      <w:r w:rsidRPr="00EF2F18">
        <w:rPr>
          <w:rFonts w:cs="Times New Roman"/>
          <w:sz w:val="22"/>
          <w:lang w:val="sr-Cyrl-RS"/>
        </w:rPr>
        <w:t>ИНЕКП дефинише циљ ОИЕ у производњи електричне и топлотне енергије за 2030. годину</w:t>
      </w:r>
      <w:r w:rsidR="00BE41E2" w:rsidRPr="00EF2F18">
        <w:rPr>
          <w:rFonts w:cs="Times New Roman"/>
          <w:sz w:val="22"/>
          <w:lang w:val="sr-Cyrl-RS"/>
        </w:rPr>
        <w:t xml:space="preserve">. </w:t>
      </w:r>
      <w:r w:rsidR="00C105A9" w:rsidRPr="00EF2F18">
        <w:rPr>
          <w:rFonts w:cs="Times New Roman"/>
          <w:sz w:val="22"/>
          <w:lang w:val="sr-Cyrl-RS"/>
        </w:rPr>
        <w:t xml:space="preserve">Подстицање изградње нових капацитета из ОИЕ треба да се оствари кроз </w:t>
      </w:r>
      <w:r w:rsidRPr="00EF2F18">
        <w:rPr>
          <w:rFonts w:cs="Times New Roman"/>
          <w:sz w:val="22"/>
          <w:lang w:val="sr-Cyrl-RS"/>
        </w:rPr>
        <w:t xml:space="preserve">мере политике дефинисане у ИНЕКП у оквиру димензије Декарбонизација, </w:t>
      </w:r>
      <w:r w:rsidR="00C105A9" w:rsidRPr="00EF2F18">
        <w:rPr>
          <w:rFonts w:cs="Times New Roman"/>
          <w:sz w:val="22"/>
          <w:lang w:val="sr-Cyrl-RS"/>
        </w:rPr>
        <w:t xml:space="preserve">шеме подршке </w:t>
      </w:r>
      <w:r w:rsidR="00F80826" w:rsidRPr="00EF2F18">
        <w:rPr>
          <w:rFonts w:cs="Times New Roman"/>
          <w:sz w:val="22"/>
          <w:lang w:val="sr-Cyrl-RS"/>
        </w:rPr>
        <w:t>у складу са Законом о коришћењу обновљивих извора енергије</w:t>
      </w:r>
      <w:r w:rsidRPr="00EF2F18">
        <w:rPr>
          <w:rFonts w:cs="Times New Roman"/>
          <w:sz w:val="22"/>
          <w:lang w:val="sr-Cyrl-RS"/>
        </w:rPr>
        <w:t>,</w:t>
      </w:r>
      <w:r w:rsidR="00F80826" w:rsidRPr="00EF2F18">
        <w:rPr>
          <w:lang w:val="sr-Cyrl-RS"/>
        </w:rPr>
        <w:t xml:space="preserve"> </w:t>
      </w:r>
      <w:r w:rsidR="00F80826" w:rsidRPr="00EF2F18">
        <w:rPr>
          <w:rFonts w:cs="Times New Roman"/>
          <w:sz w:val="22"/>
          <w:lang w:val="sr-Cyrl-RS"/>
        </w:rPr>
        <w:t xml:space="preserve">како би се подржала производња електричне енергије </w:t>
      </w:r>
      <w:r w:rsidR="00F80826" w:rsidRPr="00EF2F18">
        <w:rPr>
          <w:rFonts w:cs="Times New Roman"/>
          <w:sz w:val="22"/>
          <w:lang w:val="sr-Cyrl-RS"/>
        </w:rPr>
        <w:lastRenderedPageBreak/>
        <w:t>применом савремених и ефикасних технологија. Шеме подршке реализоваће се у виду тржишне премије кој</w:t>
      </w:r>
      <w:r w:rsidR="004C048F" w:rsidRPr="00EF2F18">
        <w:rPr>
          <w:rFonts w:cs="Times New Roman"/>
          <w:sz w:val="22"/>
          <w:lang w:val="sr-Cyrl-RS"/>
        </w:rPr>
        <w:t>а</w:t>
      </w:r>
      <w:r w:rsidR="00F80826" w:rsidRPr="00EF2F18">
        <w:rPr>
          <w:rFonts w:cs="Times New Roman"/>
          <w:sz w:val="22"/>
          <w:lang w:val="sr-Cyrl-RS"/>
        </w:rPr>
        <w:t xml:space="preserve"> се стиче у поступку аукције </w:t>
      </w:r>
      <w:r w:rsidR="000576BF" w:rsidRPr="00EF2F18">
        <w:rPr>
          <w:rFonts w:cs="Times New Roman"/>
          <w:sz w:val="22"/>
          <w:lang w:val="sr-Cyrl-RS"/>
        </w:rPr>
        <w:t>и стратешк</w:t>
      </w:r>
      <w:r w:rsidR="004C048F" w:rsidRPr="00EF2F18">
        <w:rPr>
          <w:rFonts w:cs="Times New Roman"/>
          <w:sz w:val="22"/>
          <w:lang w:val="sr-Cyrl-RS"/>
        </w:rPr>
        <w:t>их</w:t>
      </w:r>
      <w:r w:rsidR="000576BF" w:rsidRPr="00EF2F18">
        <w:rPr>
          <w:rFonts w:cs="Times New Roman"/>
          <w:sz w:val="22"/>
          <w:lang w:val="sr-Cyrl-RS"/>
        </w:rPr>
        <w:t xml:space="preserve"> партнерст</w:t>
      </w:r>
      <w:r w:rsidR="004C048F" w:rsidRPr="00EF2F18">
        <w:rPr>
          <w:rFonts w:cs="Times New Roman"/>
          <w:sz w:val="22"/>
          <w:lang w:val="sr-Cyrl-RS"/>
        </w:rPr>
        <w:t>а</w:t>
      </w:r>
      <w:r w:rsidR="000576BF" w:rsidRPr="00EF2F18">
        <w:rPr>
          <w:rFonts w:cs="Times New Roman"/>
          <w:sz w:val="22"/>
          <w:lang w:val="sr-Cyrl-RS"/>
        </w:rPr>
        <w:t>ва у складу са Законом о коришћењу обновљивих извора енергије</w:t>
      </w:r>
      <w:r w:rsidR="007C436D" w:rsidRPr="00EF2F18">
        <w:rPr>
          <w:rFonts w:cs="Times New Roman"/>
          <w:sz w:val="22"/>
          <w:lang w:val="sr-Cyrl-RS"/>
        </w:rPr>
        <w:t>. Спровођење аукција треба да обезбеди да се оперативна помоћ додељује на отворен, транспарентан, конкурентан, недискриминаторан и економичан начин, како би се избегли непотребни поремећаји на тржишту електричне енергије, уз узимање у обзир могућих трошкова интеграције у систем и потребну стабилност мреж</w:t>
      </w:r>
      <w:r w:rsidR="001A5E8E" w:rsidRPr="00EF2F18">
        <w:rPr>
          <w:rFonts w:cs="Times New Roman"/>
          <w:sz w:val="22"/>
          <w:lang w:val="sr-Cyrl-RS"/>
        </w:rPr>
        <w:t>е</w:t>
      </w:r>
      <w:r w:rsidR="008343A2" w:rsidRPr="00EF2F18">
        <w:rPr>
          <w:rFonts w:cs="Times New Roman"/>
          <w:sz w:val="22"/>
          <w:lang w:val="sr-Cyrl-RS"/>
        </w:rPr>
        <w:t>.</w:t>
      </w:r>
    </w:p>
    <w:p w14:paraId="36863CD4" w14:textId="7AFF8274" w:rsidR="00F80826" w:rsidRPr="00EF2F18" w:rsidRDefault="00F80826" w:rsidP="00425FCC">
      <w:pPr>
        <w:spacing w:after="0"/>
        <w:ind w:firstLine="720"/>
        <w:jc w:val="both"/>
        <w:rPr>
          <w:rFonts w:cs="Times New Roman"/>
          <w:sz w:val="22"/>
          <w:lang w:val="sr-Cyrl-RS"/>
        </w:rPr>
      </w:pPr>
      <w:r w:rsidRPr="00EF2F18">
        <w:rPr>
          <w:rFonts w:cs="Times New Roman"/>
          <w:sz w:val="22"/>
          <w:lang w:val="sr-Cyrl-RS"/>
        </w:rPr>
        <w:t>За технологије обновљивих извора енергије које неће учествовати на аукцијама (мали, децентрализованим системи ОИЕ) шеме подршке ће бити различите за сваки обновљиви извор енергије посебно, у складу са њиховим оперативним карактеристикама, како би се обезбедили праведни и транспарентни услови у погледу исплативости за инвеститоре.</w:t>
      </w:r>
    </w:p>
    <w:p w14:paraId="4D66F376" w14:textId="77777777" w:rsidR="00985E96" w:rsidRPr="00EF2F18" w:rsidRDefault="00985E96" w:rsidP="00985E96">
      <w:pPr>
        <w:spacing w:after="0"/>
        <w:ind w:firstLine="720"/>
        <w:jc w:val="both"/>
        <w:rPr>
          <w:rFonts w:cs="Times New Roman"/>
          <w:sz w:val="22"/>
          <w:lang w:val="sr-Cyrl-RS" w:eastAsia="en-GB"/>
        </w:rPr>
      </w:pPr>
      <w:r w:rsidRPr="00EF2F18">
        <w:rPr>
          <w:rFonts w:cs="Times New Roman"/>
          <w:sz w:val="22"/>
          <w:lang w:val="sr-Cyrl-RS" w:eastAsia="en-GB"/>
        </w:rPr>
        <w:t xml:space="preserve">Ова мера треба да обезбеди повећање коришћења обновљивих извора енергије у производњи топлотне енергије применом одговарајућих подстицаја. У оквиру ове мере предвиђена је припрема програма подстицаја, узимајући у обзир расположиви технички и економски потенцијал. За примену мера подстицаја биће омогућена активна улога јединица локалне самоуправе, које су такође надлежне за њихову примену. </w:t>
      </w:r>
    </w:p>
    <w:p w14:paraId="12F8B943" w14:textId="18B676D3" w:rsidR="00985E96" w:rsidRPr="00EF2F18" w:rsidRDefault="00F80826" w:rsidP="00985E96">
      <w:pPr>
        <w:spacing w:after="0"/>
        <w:ind w:firstLine="720"/>
        <w:jc w:val="both"/>
        <w:rPr>
          <w:rFonts w:cs="Times New Roman"/>
          <w:sz w:val="22"/>
          <w:lang w:val="sr-Cyrl-RS" w:eastAsia="en-GB"/>
        </w:rPr>
      </w:pPr>
      <w:r w:rsidRPr="00EF2F18">
        <w:rPr>
          <w:rFonts w:cs="Times New Roman"/>
          <w:sz w:val="22"/>
          <w:lang w:val="sr-Cyrl-RS"/>
        </w:rPr>
        <w:t>Ова мера је</w:t>
      </w:r>
      <w:r w:rsidR="00855C56" w:rsidRPr="00EF2F18">
        <w:rPr>
          <w:rFonts w:cs="Times New Roman"/>
          <w:sz w:val="22"/>
          <w:lang w:val="sr-Cyrl-RS"/>
        </w:rPr>
        <w:t xml:space="preserve"> </w:t>
      </w:r>
      <w:r w:rsidRPr="00EF2F18">
        <w:rPr>
          <w:rFonts w:cs="Times New Roman"/>
          <w:sz w:val="22"/>
          <w:lang w:val="sr-Cyrl-RS"/>
        </w:rPr>
        <w:t xml:space="preserve">у складу са </w:t>
      </w:r>
      <w:r w:rsidR="001A5E8E" w:rsidRPr="00EF2F18">
        <w:rPr>
          <w:rFonts w:eastAsia="Calibri" w:cs="Times New Roman"/>
          <w:sz w:val="22"/>
          <w:lang w:val="sr-Cyrl-RS"/>
        </w:rPr>
        <w:t>мером 2, посебног циља 1. Стратегије нискоугљеничног развоја Републике Србије за период од 2023. до 2030. године са пројекцијама до 2050.</w:t>
      </w:r>
      <w:r w:rsidR="006F484A" w:rsidRPr="00EF2F18">
        <w:rPr>
          <w:rFonts w:eastAsia="Calibri" w:cs="Times New Roman"/>
          <w:sz w:val="22"/>
          <w:lang w:val="sr-Cyrl-RS"/>
        </w:rPr>
        <w:t xml:space="preserve"> </w:t>
      </w:r>
      <w:r w:rsidRPr="00EF2F18">
        <w:rPr>
          <w:rFonts w:eastAsia="Calibri" w:cs="Times New Roman"/>
          <w:sz w:val="22"/>
          <w:lang w:val="sr-Cyrl-RS"/>
        </w:rPr>
        <w:t>и</w:t>
      </w:r>
      <w:r w:rsidR="005E49E8" w:rsidRPr="00EF2F18">
        <w:rPr>
          <w:rFonts w:eastAsia="Calibri" w:cs="Times New Roman"/>
          <w:sz w:val="22"/>
          <w:lang w:val="sr-Cyrl-RS"/>
        </w:rPr>
        <w:t xml:space="preserve"> базирана је на</w:t>
      </w:r>
      <w:r w:rsidRPr="00EF2F18">
        <w:rPr>
          <w:rFonts w:eastAsia="Calibri" w:cs="Times New Roman"/>
          <w:sz w:val="22"/>
          <w:lang w:val="sr-Cyrl-RS"/>
        </w:rPr>
        <w:t xml:space="preserve"> мерама </w:t>
      </w:r>
      <w:r w:rsidR="00DF17B2" w:rsidRPr="00EF2F18">
        <w:rPr>
          <w:rFonts w:eastAsia="Calibri" w:cs="Times New Roman"/>
          <w:sz w:val="22"/>
          <w:lang w:val="sr-Cyrl-RS"/>
        </w:rPr>
        <w:t>МП</w:t>
      </w:r>
      <w:r w:rsidR="00D31D69" w:rsidRPr="00EF2F18">
        <w:rPr>
          <w:rFonts w:eastAsia="Calibri" w:cs="Times New Roman"/>
          <w:sz w:val="22"/>
          <w:lang w:val="sr-Cyrl-RS"/>
        </w:rPr>
        <w:t>_</w:t>
      </w:r>
      <w:r w:rsidRPr="00EF2F18">
        <w:rPr>
          <w:rFonts w:eastAsia="Calibri" w:cs="Times New Roman"/>
          <w:sz w:val="22"/>
          <w:lang w:val="sr-Cyrl-RS"/>
        </w:rPr>
        <w:t>Д</w:t>
      </w:r>
      <w:r w:rsidR="00D31D69" w:rsidRPr="00EF2F18">
        <w:rPr>
          <w:rFonts w:eastAsia="Calibri" w:cs="Times New Roman"/>
          <w:sz w:val="22"/>
          <w:lang w:val="sr-Cyrl-RS"/>
        </w:rPr>
        <w:t xml:space="preserve">19 и </w:t>
      </w:r>
      <w:r w:rsidR="00DF17B2" w:rsidRPr="00EF2F18">
        <w:rPr>
          <w:rFonts w:eastAsia="Calibri" w:cs="Times New Roman"/>
          <w:sz w:val="22"/>
          <w:lang w:val="sr-Cyrl-RS"/>
        </w:rPr>
        <w:t>МП</w:t>
      </w:r>
      <w:r w:rsidR="00D31D69" w:rsidRPr="00EF2F18">
        <w:rPr>
          <w:rFonts w:eastAsia="Calibri" w:cs="Times New Roman"/>
          <w:sz w:val="22"/>
          <w:lang w:val="sr-Cyrl-RS"/>
        </w:rPr>
        <w:t>_</w:t>
      </w:r>
      <w:r w:rsidRPr="00EF2F18">
        <w:rPr>
          <w:rFonts w:eastAsia="Calibri" w:cs="Times New Roman"/>
          <w:sz w:val="22"/>
          <w:lang w:val="sr-Cyrl-RS"/>
        </w:rPr>
        <w:t>Д</w:t>
      </w:r>
      <w:r w:rsidR="00D31D69" w:rsidRPr="00EF2F18">
        <w:rPr>
          <w:rFonts w:eastAsia="Calibri" w:cs="Times New Roman"/>
          <w:sz w:val="22"/>
          <w:lang w:val="sr-Cyrl-RS"/>
        </w:rPr>
        <w:t>21</w:t>
      </w:r>
      <w:r w:rsidR="008343A2" w:rsidRPr="00EF2F18">
        <w:rPr>
          <w:rFonts w:eastAsia="Calibri" w:cs="Times New Roman"/>
          <w:sz w:val="22"/>
          <w:lang w:val="sr-Cyrl-RS"/>
        </w:rPr>
        <w:t xml:space="preserve"> </w:t>
      </w:r>
      <w:r w:rsidR="00C105A9" w:rsidRPr="00EF2F18">
        <w:rPr>
          <w:rFonts w:eastAsia="Calibri" w:cs="Times New Roman"/>
          <w:sz w:val="22"/>
          <w:lang w:val="sr-Cyrl-RS"/>
        </w:rPr>
        <w:t>Интегрисаног националног енергетског и климатског плана</w:t>
      </w:r>
      <w:r w:rsidR="005C3863" w:rsidRPr="00EF2F18">
        <w:rPr>
          <w:rFonts w:eastAsia="Calibri" w:cs="Times New Roman"/>
          <w:sz w:val="22"/>
          <w:lang w:val="sr-Cyrl-RS"/>
        </w:rPr>
        <w:t xml:space="preserve"> </w:t>
      </w:r>
      <w:r w:rsidR="005C3863" w:rsidRPr="00EF2F18">
        <w:rPr>
          <w:rFonts w:cs="Times New Roman"/>
          <w:sz w:val="22"/>
          <w:lang w:val="sr-Cyrl-RS"/>
        </w:rPr>
        <w:t>Републике Србије за период до 2030. са визијом до 2050. године</w:t>
      </w:r>
      <w:r w:rsidR="007C436D" w:rsidRPr="00EF2F18">
        <w:rPr>
          <w:rFonts w:cs="Times New Roman"/>
          <w:sz w:val="22"/>
          <w:lang w:val="sr-Cyrl-RS"/>
        </w:rPr>
        <w:t xml:space="preserve">. </w:t>
      </w:r>
      <w:r w:rsidR="00985E96" w:rsidRPr="00EF2F18">
        <w:rPr>
          <w:rFonts w:cs="Times New Roman"/>
          <w:sz w:val="22"/>
          <w:lang w:val="sr-Cyrl-RS" w:eastAsia="en-GB"/>
        </w:rPr>
        <w:t>Ова мера је</w:t>
      </w:r>
      <w:r w:rsidR="005E49E8" w:rsidRPr="00EF2F18">
        <w:rPr>
          <w:rFonts w:cs="Times New Roman"/>
          <w:sz w:val="22"/>
          <w:lang w:val="sr-Cyrl-RS" w:eastAsia="en-GB"/>
        </w:rPr>
        <w:t>,</w:t>
      </w:r>
      <w:r w:rsidR="00985E96" w:rsidRPr="00EF2F18">
        <w:rPr>
          <w:rFonts w:cs="Times New Roman"/>
          <w:sz w:val="22"/>
          <w:lang w:val="sr-Cyrl-RS" w:eastAsia="en-GB"/>
        </w:rPr>
        <w:t xml:space="preserve"> </w:t>
      </w:r>
      <w:r w:rsidR="005E49E8" w:rsidRPr="00EF2F18">
        <w:rPr>
          <w:rFonts w:cs="Times New Roman"/>
          <w:sz w:val="22"/>
          <w:lang w:val="sr-Cyrl-RS" w:eastAsia="en-GB"/>
        </w:rPr>
        <w:t xml:space="preserve">такође, </w:t>
      </w:r>
      <w:r w:rsidR="00985E96" w:rsidRPr="00EF2F18">
        <w:rPr>
          <w:rFonts w:cs="Times New Roman"/>
          <w:sz w:val="22"/>
          <w:lang w:val="sr-Cyrl-RS" w:eastAsia="en-GB"/>
        </w:rPr>
        <w:t xml:space="preserve">у </w:t>
      </w:r>
      <w:r w:rsidR="00985E96" w:rsidRPr="00EF2F18">
        <w:rPr>
          <w:rFonts w:eastAsia="Calibri" w:cs="Times New Roman"/>
          <w:sz w:val="22"/>
          <w:lang w:val="sr-Cyrl-RS"/>
        </w:rPr>
        <w:t xml:space="preserve">вези са мером 3, посебног циља 1. и мером 8. посебног циља 2. Стратегије нискоугљеничног развоја Републике Србије за период од 2023. до 2030. године са пројекцијама до 2050.; </w:t>
      </w:r>
      <w:r w:rsidR="005E49E8" w:rsidRPr="00EF2F18">
        <w:rPr>
          <w:rFonts w:eastAsia="Calibri" w:cs="Times New Roman"/>
          <w:sz w:val="22"/>
          <w:lang w:val="sr-Cyrl-RS"/>
        </w:rPr>
        <w:t>мера је базирана на</w:t>
      </w:r>
      <w:r w:rsidR="00985E96" w:rsidRPr="00EF2F18">
        <w:rPr>
          <w:rFonts w:eastAsia="Calibri" w:cs="Times New Roman"/>
          <w:sz w:val="22"/>
          <w:lang w:val="sr-Cyrl-RS"/>
        </w:rPr>
        <w:t xml:space="preserve"> </w:t>
      </w:r>
      <w:r w:rsidR="00DF17B2" w:rsidRPr="00EF2F18">
        <w:rPr>
          <w:rFonts w:eastAsia="Calibri" w:cs="Times New Roman"/>
          <w:sz w:val="22"/>
          <w:lang w:val="sr-Cyrl-RS"/>
        </w:rPr>
        <w:t>МП</w:t>
      </w:r>
      <w:r w:rsidR="00985E96" w:rsidRPr="00EF2F18">
        <w:rPr>
          <w:rFonts w:eastAsia="Calibri" w:cs="Times New Roman"/>
          <w:sz w:val="22"/>
          <w:lang w:val="sr-Cyrl-RS"/>
        </w:rPr>
        <w:t xml:space="preserve">_Д30 Интегрисаног националног енергетског и климатског плана </w:t>
      </w:r>
      <w:r w:rsidR="00985E96" w:rsidRPr="00EF2F18">
        <w:rPr>
          <w:rFonts w:cs="Times New Roman"/>
          <w:sz w:val="22"/>
          <w:lang w:val="sr-Cyrl-RS"/>
        </w:rPr>
        <w:t>Републике Србије за период до 2030. са визијом до 2050. године</w:t>
      </w:r>
      <w:r w:rsidR="00985E96" w:rsidRPr="00EF2F18">
        <w:rPr>
          <w:rFonts w:cs="Times New Roman"/>
          <w:sz w:val="22"/>
          <w:lang w:val="sr-Cyrl-RS" w:eastAsia="en-GB"/>
        </w:rPr>
        <w:t xml:space="preserve">. </w:t>
      </w:r>
    </w:p>
    <w:bookmarkEnd w:id="118"/>
    <w:p w14:paraId="516D3862" w14:textId="3475EFD4"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рударства и енергетике</w:t>
      </w:r>
      <w:r w:rsidR="00185A75" w:rsidRPr="00EF2F18">
        <w:rPr>
          <w:rFonts w:cs="Times New Roman"/>
          <w:sz w:val="22"/>
          <w:lang w:val="sr-Cyrl-RS" w:eastAsia="en-GB"/>
        </w:rPr>
        <w:t>.</w:t>
      </w:r>
    </w:p>
    <w:p w14:paraId="6618E795" w14:textId="6BEE7F22"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1A5E8E" w:rsidRPr="00EF2F18">
        <w:rPr>
          <w:rFonts w:cs="Times New Roman"/>
          <w:sz w:val="22"/>
          <w:lang w:val="sr-Cyrl-RS" w:eastAsia="en-GB"/>
        </w:rPr>
        <w:t xml:space="preserve">Министарство заштите животне средине, </w:t>
      </w:r>
      <w:r w:rsidR="003D2534" w:rsidRPr="00EF2F18">
        <w:rPr>
          <w:rFonts w:cs="Times New Roman"/>
          <w:sz w:val="22"/>
          <w:lang w:val="sr-Cyrl-RS" w:eastAsia="en-GB"/>
        </w:rPr>
        <w:t xml:space="preserve">Министарство грађевинарства, саобраћаја и инфраструктуре, </w:t>
      </w:r>
      <w:r w:rsidR="004F18B0" w:rsidRPr="00EF2F18">
        <w:rPr>
          <w:rFonts w:cs="Times New Roman"/>
          <w:sz w:val="22"/>
          <w:lang w:val="sr-Cyrl-RS" w:eastAsia="en-GB"/>
        </w:rPr>
        <w:t>Агенција за енергетику Републике Србије</w:t>
      </w:r>
      <w:r w:rsidR="00185A75" w:rsidRPr="00EF2F18">
        <w:rPr>
          <w:rFonts w:cs="Times New Roman"/>
          <w:sz w:val="22"/>
          <w:lang w:val="sr-Cyrl-RS" w:eastAsia="en-GB"/>
        </w:rPr>
        <w:t>.</w:t>
      </w:r>
      <w:r w:rsidR="004F18B0" w:rsidRPr="00EF2F18">
        <w:rPr>
          <w:rFonts w:cs="Times New Roman"/>
          <w:sz w:val="22"/>
          <w:lang w:val="sr-Cyrl-RS" w:eastAsia="en-GB"/>
        </w:rPr>
        <w:t xml:space="preserve"> </w:t>
      </w:r>
    </w:p>
    <w:p w14:paraId="6479331E" w14:textId="78ECAC62"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C73403" w:rsidRPr="00EF2F18">
        <w:rPr>
          <w:rFonts w:cs="Times New Roman"/>
          <w:sz w:val="22"/>
          <w:lang w:val="sr-Cyrl-RS" w:eastAsia="en-GB"/>
        </w:rPr>
        <w:t>п</w:t>
      </w:r>
      <w:r w:rsidRPr="00EF2F18">
        <w:rPr>
          <w:rFonts w:cs="Times New Roman"/>
          <w:sz w:val="22"/>
          <w:lang w:val="sr-Cyrl-RS" w:eastAsia="en-GB"/>
        </w:rPr>
        <w:t>одстицајна</w:t>
      </w:r>
      <w:r w:rsidR="00185A75" w:rsidRPr="00EF2F18">
        <w:rPr>
          <w:rFonts w:cs="Times New Roman"/>
          <w:sz w:val="22"/>
          <w:lang w:val="sr-Cyrl-RS" w:eastAsia="en-GB"/>
        </w:rPr>
        <w:t>.</w:t>
      </w:r>
    </w:p>
    <w:bookmarkEnd w:id="119"/>
    <w:p w14:paraId="420D347D" w14:textId="77777777" w:rsidR="007C436D" w:rsidRPr="00EF2F18" w:rsidRDefault="007C436D" w:rsidP="00425FCC">
      <w:pPr>
        <w:spacing w:after="0"/>
        <w:ind w:firstLine="720"/>
        <w:jc w:val="both"/>
        <w:rPr>
          <w:rFonts w:cs="Times New Roman"/>
          <w:sz w:val="22"/>
          <w:highlight w:val="yellow"/>
          <w:lang w:val="sr-Cyrl-RS" w:eastAsia="en-GB"/>
        </w:rPr>
      </w:pPr>
    </w:p>
    <w:p w14:paraId="0FA36F10" w14:textId="7535F22D" w:rsidR="007C436D" w:rsidRPr="00EF2F18" w:rsidRDefault="007C436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bookmarkStart w:id="120" w:name="_Hlk204039262"/>
      <w:r w:rsidRPr="00EF2F18">
        <w:rPr>
          <w:rFonts w:cs="Times New Roman"/>
          <w:b/>
          <w:bCs/>
          <w:sz w:val="22"/>
          <w:lang w:val="sr-Cyrl-RS" w:eastAsia="en-GB"/>
        </w:rPr>
        <w:t>Мера 1.1.</w:t>
      </w:r>
      <w:r w:rsidR="00CA56BD" w:rsidRPr="00EF2F18">
        <w:rPr>
          <w:rFonts w:cs="Times New Roman"/>
          <w:b/>
          <w:bCs/>
          <w:sz w:val="22"/>
          <w:lang w:val="sr-Cyrl-RS" w:eastAsia="en-GB"/>
        </w:rPr>
        <w:t>7</w:t>
      </w:r>
      <w:r w:rsidRPr="00EF2F18">
        <w:rPr>
          <w:rFonts w:cs="Times New Roman"/>
          <w:b/>
          <w:bCs/>
          <w:sz w:val="22"/>
          <w:lang w:val="sr-Cyrl-RS" w:eastAsia="en-GB"/>
        </w:rPr>
        <w:t>. Подстицање унапређења енергетске ефикасности и повећање коришћења ОИЕ у индустрији</w:t>
      </w:r>
      <w:r w:rsidR="00C4267A" w:rsidRPr="00EF2F18">
        <w:rPr>
          <w:rFonts w:cs="Times New Roman"/>
          <w:b/>
          <w:bCs/>
          <w:sz w:val="22"/>
          <w:lang w:val="sr-Cyrl-RS" w:eastAsia="en-GB"/>
        </w:rPr>
        <w:t xml:space="preserve"> </w:t>
      </w:r>
    </w:p>
    <w:bookmarkEnd w:id="120"/>
    <w:p w14:paraId="4977A7B1" w14:textId="77777777" w:rsidR="00D83673" w:rsidRPr="00EF2F18" w:rsidRDefault="00D83673" w:rsidP="00425FCC">
      <w:pPr>
        <w:spacing w:after="0"/>
        <w:ind w:firstLine="720"/>
        <w:jc w:val="both"/>
        <w:rPr>
          <w:rFonts w:cs="Times New Roman"/>
          <w:sz w:val="22"/>
          <w:lang w:val="sr-Cyrl-RS"/>
        </w:rPr>
      </w:pPr>
    </w:p>
    <w:p w14:paraId="0BE86F83" w14:textId="362F23A8" w:rsidR="007C436D" w:rsidRPr="00EF2F18" w:rsidRDefault="007C436D" w:rsidP="00425FCC">
      <w:pPr>
        <w:spacing w:after="0"/>
        <w:ind w:firstLine="720"/>
        <w:jc w:val="both"/>
        <w:rPr>
          <w:rFonts w:cs="Times New Roman"/>
          <w:sz w:val="22"/>
          <w:lang w:val="sr-Cyrl-RS"/>
        </w:rPr>
      </w:pPr>
      <w:r w:rsidRPr="00EF2F18">
        <w:rPr>
          <w:rFonts w:cs="Times New Roman"/>
          <w:sz w:val="22"/>
          <w:lang w:val="sr-Cyrl-RS"/>
        </w:rPr>
        <w:t xml:space="preserve">У сектору индустрије, ова мера треба </w:t>
      </w:r>
      <w:r w:rsidR="00AD1CC3" w:rsidRPr="00EF2F18">
        <w:rPr>
          <w:rFonts w:cs="Times New Roman"/>
          <w:sz w:val="22"/>
          <w:lang w:val="sr-Cyrl-RS"/>
        </w:rPr>
        <w:t xml:space="preserve">да </w:t>
      </w:r>
      <w:r w:rsidRPr="00EF2F18">
        <w:rPr>
          <w:rFonts w:cs="Times New Roman"/>
          <w:sz w:val="22"/>
          <w:lang w:val="sr-Cyrl-RS"/>
        </w:rPr>
        <w:t>подстакне модернизацију технологија у</w:t>
      </w:r>
      <w:r w:rsidR="00B9180A" w:rsidRPr="00EF2F18">
        <w:rPr>
          <w:rFonts w:cs="Times New Roman"/>
          <w:sz w:val="22"/>
          <w:lang w:val="sr-Cyrl-RS"/>
        </w:rPr>
        <w:t xml:space="preserve"> </w:t>
      </w:r>
      <w:r w:rsidRPr="00EF2F18">
        <w:rPr>
          <w:rFonts w:cs="Times New Roman"/>
          <w:sz w:val="22"/>
          <w:lang w:val="sr-Cyrl-RS"/>
        </w:rPr>
        <w:t xml:space="preserve">индустријским процесима и повећање ефикасности материјала у производном процесу у индустрији цемента, гвожђа и челика, производњи азотне киселине, петрохемијске киселине и чађи. </w:t>
      </w:r>
      <w:r w:rsidR="00D64B3E" w:rsidRPr="00EF2F18">
        <w:rPr>
          <w:rFonts w:cs="Times New Roman"/>
          <w:sz w:val="22"/>
          <w:lang w:val="sr-Cyrl-RS"/>
        </w:rPr>
        <w:t>Индустријски сектор ће морати да промовише и примењује пројекте енергетске ефикасности и користи најбоље доступне технике (</w:t>
      </w:r>
      <w:r w:rsidR="00D64B3E" w:rsidRPr="00EF2F18">
        <w:rPr>
          <w:rFonts w:cs="Times New Roman"/>
          <w:i/>
          <w:iCs/>
          <w:sz w:val="22"/>
          <w:lang w:val="sr-Cyrl-RS"/>
        </w:rPr>
        <w:t>BAT</w:t>
      </w:r>
      <w:r w:rsidR="00D64B3E" w:rsidRPr="00EF2F18">
        <w:rPr>
          <w:rFonts w:cs="Times New Roman"/>
          <w:sz w:val="22"/>
          <w:lang w:val="sr-Cyrl-RS"/>
        </w:rPr>
        <w:t xml:space="preserve">) да би остао конкурентан. За индустрију која је у ЕУ обухваћена </w:t>
      </w:r>
      <w:r w:rsidR="00D64B3E" w:rsidRPr="00EF2F18">
        <w:rPr>
          <w:rFonts w:cs="Times New Roman"/>
          <w:i/>
          <w:iCs/>
          <w:sz w:val="22"/>
          <w:lang w:val="sr-Cyrl-RS"/>
        </w:rPr>
        <w:t>ЕТS</w:t>
      </w:r>
      <w:r w:rsidR="00D64B3E" w:rsidRPr="00EF2F18">
        <w:rPr>
          <w:rFonts w:cs="Times New Roman"/>
          <w:sz w:val="22"/>
          <w:lang w:val="sr-Cyrl-RS"/>
        </w:rPr>
        <w:t xml:space="preserve">-ом и друге индустрије, </w:t>
      </w:r>
      <w:r w:rsidRPr="00EF2F18">
        <w:rPr>
          <w:rFonts w:cs="Times New Roman"/>
          <w:sz w:val="22"/>
          <w:lang w:val="sr-Cyrl-RS"/>
        </w:rPr>
        <w:t>адекватно високе цене емисија СО</w:t>
      </w:r>
      <w:r w:rsidRPr="00EF2F18">
        <w:rPr>
          <w:rFonts w:cs="Times New Roman"/>
          <w:sz w:val="22"/>
          <w:vertAlign w:val="subscript"/>
          <w:lang w:val="sr-Cyrl-RS"/>
        </w:rPr>
        <w:t>2</w:t>
      </w:r>
      <w:r w:rsidRPr="00EF2F18">
        <w:rPr>
          <w:rFonts w:cs="Times New Roman"/>
          <w:sz w:val="22"/>
          <w:lang w:val="sr-Cyrl-RS"/>
        </w:rPr>
        <w:t xml:space="preserve"> биће важан покретач за прелазак са фосилних горива на ОИЕ</w:t>
      </w:r>
      <w:r w:rsidR="00C40588" w:rsidRPr="00EF2F18">
        <w:rPr>
          <w:rFonts w:cs="Times New Roman"/>
          <w:sz w:val="22"/>
          <w:lang w:val="sr-Cyrl-RS"/>
        </w:rPr>
        <w:t xml:space="preserve">, </w:t>
      </w:r>
      <w:r w:rsidR="00E20D9C" w:rsidRPr="00EF2F18">
        <w:rPr>
          <w:rFonts w:cs="Times New Roman"/>
          <w:sz w:val="22"/>
          <w:lang w:val="sr-Cyrl-RS"/>
        </w:rPr>
        <w:t>као и подстицање</w:t>
      </w:r>
      <w:r w:rsidR="00C40588" w:rsidRPr="00EF2F18">
        <w:rPr>
          <w:rFonts w:cs="Times New Roman"/>
          <w:sz w:val="22"/>
          <w:lang w:val="sr-Cyrl-RS"/>
        </w:rPr>
        <w:t xml:space="preserve"> развој</w:t>
      </w:r>
      <w:r w:rsidR="00E20D9C" w:rsidRPr="00EF2F18">
        <w:rPr>
          <w:rFonts w:cs="Times New Roman"/>
          <w:sz w:val="22"/>
          <w:lang w:val="sr-Cyrl-RS"/>
        </w:rPr>
        <w:t>а</w:t>
      </w:r>
      <w:r w:rsidR="00C40588" w:rsidRPr="00EF2F18">
        <w:rPr>
          <w:rFonts w:cs="Times New Roman"/>
          <w:sz w:val="22"/>
          <w:lang w:val="sr-Cyrl-RS"/>
        </w:rPr>
        <w:t xml:space="preserve"> и примен</w:t>
      </w:r>
      <w:r w:rsidR="00E20D9C" w:rsidRPr="00EF2F18">
        <w:rPr>
          <w:rFonts w:cs="Times New Roman"/>
          <w:sz w:val="22"/>
          <w:lang w:val="sr-Cyrl-RS"/>
        </w:rPr>
        <w:t>е</w:t>
      </w:r>
      <w:r w:rsidR="00C40588" w:rsidRPr="00EF2F18">
        <w:rPr>
          <w:rFonts w:cs="Times New Roman"/>
          <w:sz w:val="22"/>
          <w:lang w:val="sr-Cyrl-RS"/>
        </w:rPr>
        <w:t xml:space="preserve"> технологија за сакупљање и складиштење угљеника</w:t>
      </w:r>
      <w:r w:rsidRPr="00EF2F18">
        <w:rPr>
          <w:rFonts w:cs="Times New Roman"/>
          <w:sz w:val="22"/>
          <w:lang w:val="sr-Cyrl-RS"/>
        </w:rPr>
        <w:t xml:space="preserve">. </w:t>
      </w:r>
      <w:r w:rsidR="009853F1" w:rsidRPr="00EF2F18">
        <w:rPr>
          <w:rFonts w:cs="Times New Roman"/>
          <w:sz w:val="22"/>
          <w:lang w:val="sr-Cyrl-RS"/>
        </w:rPr>
        <w:t>Ипак, при одређивању трошкова потребно је водити рачуна о очувању конкурентности привреде на трећим тржиштима.</w:t>
      </w:r>
      <w:r w:rsidR="0040708C" w:rsidRPr="00EF2F18">
        <w:rPr>
          <w:rFonts w:cs="Times New Roman"/>
          <w:sz w:val="22"/>
          <w:lang w:val="sr-Cyrl-RS"/>
        </w:rPr>
        <w:t xml:space="preserve"> </w:t>
      </w:r>
      <w:r w:rsidR="00024A7F" w:rsidRPr="00EF2F18">
        <w:rPr>
          <w:rFonts w:cs="Times New Roman"/>
          <w:sz w:val="22"/>
          <w:lang w:val="sr-Cyrl-RS"/>
        </w:rPr>
        <w:t>При преласку са фосилних горива на ОИЕ треба узети у обзир и потенцијале комуналног отпада и другог обновљивог отпада из пољопривреде и индустријске производње</w:t>
      </w:r>
      <w:r w:rsidR="00C40588" w:rsidRPr="00EF2F18">
        <w:rPr>
          <w:rFonts w:cs="Times New Roman"/>
          <w:sz w:val="22"/>
          <w:lang w:val="sr-Cyrl-RS"/>
        </w:rPr>
        <w:t xml:space="preserve"> који поред енергетског значаја, имају велики значај и са аспекта решавања проблема заштите животне средине</w:t>
      </w:r>
      <w:r w:rsidR="00024A7F" w:rsidRPr="00EF2F18">
        <w:rPr>
          <w:rFonts w:cs="Times New Roman"/>
          <w:sz w:val="22"/>
          <w:lang w:val="sr-Cyrl-RS"/>
        </w:rPr>
        <w:t xml:space="preserve">. </w:t>
      </w:r>
      <w:r w:rsidRPr="00EF2F18">
        <w:rPr>
          <w:rFonts w:cs="Times New Roman"/>
          <w:sz w:val="22"/>
          <w:lang w:val="sr-Cyrl-RS"/>
        </w:rPr>
        <w:t xml:space="preserve">За индустрије која не подлеже </w:t>
      </w:r>
      <w:r w:rsidRPr="00EF2F18">
        <w:rPr>
          <w:rFonts w:cs="Times New Roman"/>
          <w:i/>
          <w:iCs/>
          <w:sz w:val="22"/>
          <w:lang w:val="sr-Cyrl-RS"/>
        </w:rPr>
        <w:t>ЕТS</w:t>
      </w:r>
      <w:r w:rsidRPr="00EF2F18">
        <w:rPr>
          <w:rFonts w:cs="Times New Roman"/>
          <w:sz w:val="22"/>
          <w:lang w:val="sr-Cyrl-RS"/>
        </w:rPr>
        <w:t>-у, ову улогу ће играти увођење цене на угљеник</w:t>
      </w:r>
      <w:r w:rsidR="0040708C" w:rsidRPr="00EF2F18">
        <w:rPr>
          <w:rFonts w:cs="Times New Roman"/>
          <w:sz w:val="22"/>
          <w:lang w:val="sr-Cyrl-RS"/>
        </w:rPr>
        <w:t xml:space="preserve"> (опорезивање угљеника)</w:t>
      </w:r>
      <w:r w:rsidRPr="00EF2F18">
        <w:rPr>
          <w:rFonts w:cs="Times New Roman"/>
          <w:sz w:val="22"/>
          <w:lang w:val="sr-Cyrl-RS"/>
        </w:rPr>
        <w:t xml:space="preserve">. </w:t>
      </w:r>
      <w:r w:rsidR="004E54F9" w:rsidRPr="00EF2F18">
        <w:rPr>
          <w:rFonts w:cs="Times New Roman"/>
          <w:sz w:val="22"/>
          <w:lang w:val="sr-Cyrl-RS"/>
        </w:rPr>
        <w:t>Међутим, потребне су додатне мере у виду субвенција за нове котлове на биомасу, употребу отпадне топлотне енергије, топлотне пумпе итд.</w:t>
      </w:r>
    </w:p>
    <w:p w14:paraId="5640F2A8" w14:textId="0C8FE98D" w:rsidR="00DB27A4" w:rsidRPr="00EF2F18" w:rsidRDefault="00DB27A4" w:rsidP="00425FCC">
      <w:pPr>
        <w:spacing w:after="0"/>
        <w:ind w:firstLine="720"/>
        <w:jc w:val="both"/>
        <w:rPr>
          <w:rFonts w:cs="Times New Roman"/>
          <w:sz w:val="22"/>
          <w:lang w:val="sr-Cyrl-RS"/>
        </w:rPr>
      </w:pPr>
      <w:r w:rsidRPr="00EF2F18">
        <w:rPr>
          <w:rFonts w:cs="Times New Roman"/>
          <w:sz w:val="22"/>
          <w:lang w:val="sr-Cyrl-RS"/>
        </w:rPr>
        <w:t>У оквиру ове мере биће израђени и усвојени подзаконски акти који ће омогућити примену захтева еко-дизајна, чиме ће се осигурати примена енергетски ефикасних технологија и опреме у сектору индуст</w:t>
      </w:r>
      <w:r w:rsidR="006473E9">
        <w:rPr>
          <w:rFonts w:cs="Times New Roman"/>
          <w:sz w:val="22"/>
          <w:lang w:val="sr-Cyrl-RS"/>
        </w:rPr>
        <w:t>р</w:t>
      </w:r>
      <w:r w:rsidRPr="00EF2F18">
        <w:rPr>
          <w:rFonts w:cs="Times New Roman"/>
          <w:sz w:val="22"/>
          <w:lang w:val="sr-Cyrl-RS"/>
        </w:rPr>
        <w:t>ије.</w:t>
      </w:r>
    </w:p>
    <w:p w14:paraId="79596158" w14:textId="4ECE649E" w:rsidR="00FE5E0A" w:rsidRPr="00EF2F18" w:rsidRDefault="007C436D" w:rsidP="00425FCC">
      <w:pPr>
        <w:spacing w:after="0"/>
        <w:ind w:firstLine="720"/>
        <w:jc w:val="both"/>
        <w:rPr>
          <w:rFonts w:eastAsia="Calibri" w:cs="Times New Roman"/>
          <w:sz w:val="22"/>
          <w:lang w:val="sr-Cyrl-RS"/>
        </w:rPr>
      </w:pPr>
      <w:r w:rsidRPr="00EF2F18">
        <w:rPr>
          <w:rFonts w:cs="Times New Roman"/>
          <w:sz w:val="22"/>
          <w:lang w:val="sr-Cyrl-RS"/>
        </w:rPr>
        <w:t xml:space="preserve">Модернизација технологија у индустријским процесима и повећање ефикасности материјала у производном процесу обезбедиће унапређење енергетске ефикасности и </w:t>
      </w:r>
      <w:r w:rsidR="00DB27A4" w:rsidRPr="00EF2F18">
        <w:rPr>
          <w:rFonts w:cs="Times New Roman"/>
          <w:sz w:val="22"/>
          <w:lang w:val="sr-Cyrl-RS"/>
        </w:rPr>
        <w:t xml:space="preserve">примену еко-дизајн принципа </w:t>
      </w:r>
      <w:r w:rsidR="00B450EE" w:rsidRPr="00EF2F18">
        <w:rPr>
          <w:rFonts w:cs="Times New Roman"/>
          <w:sz w:val="22"/>
          <w:lang w:val="sr-Cyrl-RS"/>
        </w:rPr>
        <w:t>(</w:t>
      </w:r>
      <w:r w:rsidR="00B450EE" w:rsidRPr="00EF2F18">
        <w:rPr>
          <w:rFonts w:eastAsia="Calibri" w:cs="Times New Roman"/>
          <w:sz w:val="22"/>
          <w:lang w:val="sr-Cyrl-RS"/>
        </w:rPr>
        <w:t>веза са мер</w:t>
      </w:r>
      <w:r w:rsidR="007A2E9F" w:rsidRPr="00EF2F18">
        <w:rPr>
          <w:rFonts w:eastAsia="Calibri" w:cs="Times New Roman"/>
          <w:sz w:val="22"/>
          <w:lang w:val="sr-Cyrl-RS"/>
        </w:rPr>
        <w:t>ама 5. и 6.</w:t>
      </w:r>
      <w:r w:rsidR="00B450EE" w:rsidRPr="00EF2F18">
        <w:rPr>
          <w:rFonts w:eastAsia="Calibri" w:cs="Times New Roman"/>
          <w:sz w:val="22"/>
          <w:lang w:val="sr-Cyrl-RS"/>
        </w:rPr>
        <w:t xml:space="preserve"> посебног циља 2. Стратегије нискоугљеничног развоја Републике Србије за период од 2023. до 2030. године са пројекцијама до 2050.</w:t>
      </w:r>
      <w:r w:rsidR="00072D5E" w:rsidRPr="00EF2F18">
        <w:rPr>
          <w:rFonts w:eastAsia="Calibri" w:cs="Times New Roman"/>
          <w:sz w:val="22"/>
          <w:lang w:val="sr-Cyrl-RS"/>
        </w:rPr>
        <w:t xml:space="preserve"> године</w:t>
      </w:r>
      <w:r w:rsidR="00FE5E0A" w:rsidRPr="00EF2F18">
        <w:rPr>
          <w:rFonts w:eastAsia="Calibri" w:cs="Times New Roman"/>
          <w:sz w:val="22"/>
          <w:lang w:val="sr-Cyrl-RS"/>
        </w:rPr>
        <w:t>; мера је базирана на</w:t>
      </w:r>
      <w:r w:rsidR="00FE5E0A" w:rsidRPr="00EF2F18">
        <w:rPr>
          <w:rFonts w:cs="Times New Roman"/>
          <w:sz w:val="22"/>
          <w:lang w:val="sr-Cyrl-RS"/>
        </w:rPr>
        <w:t xml:space="preserve"> мерама </w:t>
      </w:r>
      <w:r w:rsidR="00DF17B2" w:rsidRPr="00EF2F18">
        <w:rPr>
          <w:rFonts w:eastAsia="Calibri" w:cs="Times New Roman"/>
          <w:sz w:val="22"/>
          <w:lang w:val="sr-Cyrl-RS"/>
        </w:rPr>
        <w:t>МП</w:t>
      </w:r>
      <w:r w:rsidR="00837DDB" w:rsidRPr="00EF2F18">
        <w:rPr>
          <w:rFonts w:eastAsia="Calibri" w:cs="Times New Roman"/>
          <w:sz w:val="22"/>
          <w:lang w:val="sr-Cyrl-RS"/>
        </w:rPr>
        <w:t>_EE21</w:t>
      </w:r>
      <w:r w:rsidR="00FE5E0A" w:rsidRPr="00EF2F18">
        <w:rPr>
          <w:rFonts w:eastAsia="Calibri" w:cs="Times New Roman"/>
          <w:sz w:val="22"/>
          <w:lang w:val="sr-Cyrl-RS"/>
        </w:rPr>
        <w:t>-23</w:t>
      </w:r>
      <w:r w:rsidR="00837DDB" w:rsidRPr="00EF2F18">
        <w:rPr>
          <w:rFonts w:eastAsia="Calibri" w:cs="Times New Roman"/>
          <w:sz w:val="22"/>
          <w:lang w:val="sr-Cyrl-RS"/>
        </w:rPr>
        <w:t xml:space="preserve"> </w:t>
      </w:r>
      <w:r w:rsidR="007A0D35" w:rsidRPr="00EF2F18">
        <w:rPr>
          <w:rFonts w:eastAsia="Calibri" w:cs="Times New Roman"/>
          <w:sz w:val="22"/>
          <w:lang w:val="sr-Cyrl-RS"/>
        </w:rPr>
        <w:t xml:space="preserve">и </w:t>
      </w:r>
      <w:r w:rsidR="00DF17B2" w:rsidRPr="00EF2F18">
        <w:rPr>
          <w:rFonts w:eastAsia="Calibri" w:cs="Times New Roman"/>
          <w:sz w:val="22"/>
          <w:lang w:val="sr-Cyrl-RS"/>
        </w:rPr>
        <w:t>МП</w:t>
      </w:r>
      <w:r w:rsidR="007A0D35" w:rsidRPr="00EF2F18">
        <w:rPr>
          <w:rFonts w:eastAsia="Calibri" w:cs="Times New Roman"/>
          <w:sz w:val="22"/>
          <w:lang w:val="sr-Cyrl-RS"/>
        </w:rPr>
        <w:t>_</w:t>
      </w:r>
      <w:r w:rsidR="00FE5E0A" w:rsidRPr="00EF2F18">
        <w:rPr>
          <w:rFonts w:eastAsia="Calibri" w:cs="Times New Roman"/>
          <w:sz w:val="22"/>
          <w:lang w:val="sr-Cyrl-RS"/>
        </w:rPr>
        <w:t xml:space="preserve">Д42 </w:t>
      </w:r>
      <w:r w:rsidR="00C32091" w:rsidRPr="00EF2F18">
        <w:rPr>
          <w:rFonts w:eastAsia="Calibri" w:cs="Times New Roman"/>
          <w:sz w:val="22"/>
          <w:lang w:val="sr-Cyrl-RS"/>
        </w:rPr>
        <w:t xml:space="preserve">Интегрисаног националног енергетског и </w:t>
      </w:r>
      <w:r w:rsidR="00C32091" w:rsidRPr="00EF2F18">
        <w:rPr>
          <w:rFonts w:eastAsia="Calibri" w:cs="Times New Roman"/>
          <w:sz w:val="22"/>
          <w:lang w:val="sr-Cyrl-RS"/>
        </w:rPr>
        <w:lastRenderedPageBreak/>
        <w:t>климатског плана</w:t>
      </w:r>
      <w:r w:rsidR="005C3863" w:rsidRPr="00EF2F18">
        <w:rPr>
          <w:rFonts w:eastAsia="Calibri" w:cs="Times New Roman"/>
          <w:sz w:val="22"/>
          <w:lang w:val="sr-Cyrl-RS"/>
        </w:rPr>
        <w:t xml:space="preserve"> </w:t>
      </w:r>
      <w:r w:rsidR="005C3863" w:rsidRPr="00EF2F18">
        <w:rPr>
          <w:rFonts w:cs="Times New Roman"/>
          <w:sz w:val="22"/>
          <w:lang w:val="sr-Cyrl-RS"/>
        </w:rPr>
        <w:t>Републике Србије за период до 2030. са визијом до 2050. године</w:t>
      </w:r>
      <w:r w:rsidR="00FE5E0A" w:rsidRPr="00EF2F18">
        <w:rPr>
          <w:rFonts w:eastAsia="Calibri" w:cs="Times New Roman"/>
          <w:sz w:val="22"/>
          <w:lang w:val="sr-Cyrl-RS"/>
        </w:rPr>
        <w:t xml:space="preserve">, </w:t>
      </w:r>
      <w:r w:rsidR="00FE5E0A" w:rsidRPr="00EF2F18">
        <w:rPr>
          <w:rFonts w:cs="Times New Roman"/>
          <w:sz w:val="22"/>
          <w:lang w:val="sr-Cyrl-RS"/>
        </w:rPr>
        <w:t>а које се односе на ун</w:t>
      </w:r>
      <w:r w:rsidR="009C210E">
        <w:rPr>
          <w:rFonts w:cs="Times New Roman"/>
          <w:sz w:val="22"/>
          <w:lang w:val="sr-Cyrl-RS"/>
        </w:rPr>
        <w:t>а</w:t>
      </w:r>
      <w:r w:rsidR="00FE5E0A" w:rsidRPr="00EF2F18">
        <w:rPr>
          <w:rFonts w:cs="Times New Roman"/>
          <w:sz w:val="22"/>
          <w:lang w:val="sr-Cyrl-RS"/>
        </w:rPr>
        <w:t>пређење енергетске ефикасности и повећања коришћења ОИЕ у индустрији.</w:t>
      </w:r>
    </w:p>
    <w:p w14:paraId="3369C3A2" w14:textId="0A3B5F89" w:rsidR="00C40588" w:rsidRPr="00EF2F18" w:rsidRDefault="00B63498" w:rsidP="00425FCC">
      <w:pPr>
        <w:spacing w:after="0"/>
        <w:ind w:firstLine="720"/>
        <w:jc w:val="both"/>
        <w:rPr>
          <w:rFonts w:cs="Times New Roman"/>
          <w:sz w:val="22"/>
          <w:lang w:val="sr-Cyrl-RS"/>
        </w:rPr>
      </w:pPr>
      <w:r w:rsidRPr="00EF2F18">
        <w:rPr>
          <w:rFonts w:cs="Times New Roman"/>
          <w:sz w:val="22"/>
          <w:lang w:val="sr-Cyrl-RS"/>
        </w:rPr>
        <w:t>Потребно је</w:t>
      </w:r>
      <w:r w:rsidR="00C40588" w:rsidRPr="00EF2F18">
        <w:rPr>
          <w:rFonts w:cs="Times New Roman"/>
          <w:sz w:val="22"/>
          <w:lang w:val="sr-Cyrl-RS"/>
        </w:rPr>
        <w:t xml:space="preserve"> размотрити </w:t>
      </w:r>
      <w:r w:rsidRPr="00EF2F18">
        <w:rPr>
          <w:rFonts w:cs="Times New Roman"/>
          <w:sz w:val="22"/>
          <w:lang w:val="sr-Cyrl-RS"/>
        </w:rPr>
        <w:t xml:space="preserve">и </w:t>
      </w:r>
      <w:r w:rsidR="00C40588" w:rsidRPr="00EF2F18">
        <w:rPr>
          <w:rFonts w:cs="Times New Roman"/>
          <w:sz w:val="22"/>
          <w:lang w:val="sr-Cyrl-RS"/>
        </w:rPr>
        <w:t>могућност примене технологија прикупљања и складиштења угљендиоксида из процеса сагоревања, имајући у виду процес развоја ових технологија и њихов допринос одрживости рада енергетски интензивне индустрије.</w:t>
      </w:r>
    </w:p>
    <w:p w14:paraId="0A4DFE47" w14:textId="3A743AAA"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B450EE" w:rsidRPr="00EF2F18">
        <w:rPr>
          <w:rFonts w:cs="Times New Roman"/>
          <w:sz w:val="22"/>
          <w:lang w:val="sr-Cyrl-RS" w:eastAsia="en-GB"/>
        </w:rPr>
        <w:t>Министарство рударства и енергетике</w:t>
      </w:r>
      <w:r w:rsidR="00185A75" w:rsidRPr="00EF2F18">
        <w:rPr>
          <w:rFonts w:cs="Times New Roman"/>
          <w:sz w:val="22"/>
          <w:lang w:val="sr-Cyrl-RS" w:eastAsia="en-GB"/>
        </w:rPr>
        <w:t>.</w:t>
      </w:r>
    </w:p>
    <w:p w14:paraId="6D20A1C3" w14:textId="5285F598"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B450EE" w:rsidRPr="00EF2F18">
        <w:rPr>
          <w:rFonts w:cs="Times New Roman"/>
          <w:sz w:val="22"/>
          <w:lang w:val="sr-Cyrl-RS" w:eastAsia="en-GB"/>
        </w:rPr>
        <w:t xml:space="preserve">Министарство привреде, </w:t>
      </w:r>
      <w:r w:rsidR="004F18B0" w:rsidRPr="00EF2F18">
        <w:rPr>
          <w:rFonts w:cs="Times New Roman"/>
          <w:sz w:val="22"/>
          <w:lang w:val="sr-Cyrl-RS" w:eastAsia="en-GB"/>
        </w:rPr>
        <w:t xml:space="preserve">Министарство заштите животне средине, </w:t>
      </w:r>
      <w:r w:rsidR="00B450EE" w:rsidRPr="00EF2F18">
        <w:rPr>
          <w:rFonts w:cs="Times New Roman"/>
          <w:sz w:val="22"/>
          <w:lang w:val="sr-Cyrl-RS" w:eastAsia="en-GB"/>
        </w:rPr>
        <w:t>Привредна комора Србије</w:t>
      </w:r>
      <w:r w:rsidR="00185A75" w:rsidRPr="00EF2F18">
        <w:rPr>
          <w:rFonts w:cs="Times New Roman"/>
          <w:sz w:val="22"/>
          <w:lang w:val="sr-Cyrl-RS" w:eastAsia="en-GB"/>
        </w:rPr>
        <w:t>.</w:t>
      </w:r>
    </w:p>
    <w:p w14:paraId="17EAA9FB" w14:textId="55D1D1A3"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394868" w:rsidRPr="00EF2F18">
        <w:rPr>
          <w:rFonts w:cs="Times New Roman"/>
          <w:sz w:val="22"/>
          <w:lang w:val="sr-Cyrl-RS" w:eastAsia="en-GB"/>
        </w:rPr>
        <w:t>п</w:t>
      </w:r>
      <w:r w:rsidRPr="00EF2F18">
        <w:rPr>
          <w:rFonts w:cs="Times New Roman"/>
          <w:sz w:val="22"/>
          <w:lang w:val="sr-Cyrl-RS" w:eastAsia="en-GB"/>
        </w:rPr>
        <w:t>одстицајн</w:t>
      </w:r>
      <w:r w:rsidR="00C73403" w:rsidRPr="00EF2F18">
        <w:rPr>
          <w:rFonts w:cs="Times New Roman"/>
          <w:sz w:val="22"/>
          <w:lang w:val="sr-Cyrl-RS" w:eastAsia="en-GB"/>
        </w:rPr>
        <w:t>а</w:t>
      </w:r>
      <w:r w:rsidR="00DB27A4" w:rsidRPr="00EF2F18">
        <w:rPr>
          <w:rFonts w:cs="Times New Roman"/>
          <w:sz w:val="22"/>
          <w:lang w:val="sr-Cyrl-RS" w:eastAsia="en-GB"/>
        </w:rPr>
        <w:t>.</w:t>
      </w:r>
    </w:p>
    <w:p w14:paraId="2087CAA4" w14:textId="77777777" w:rsidR="007C436D" w:rsidRPr="00EF2F18" w:rsidRDefault="007C436D" w:rsidP="00425FCC">
      <w:pPr>
        <w:spacing w:after="0"/>
        <w:ind w:firstLine="720"/>
        <w:jc w:val="both"/>
        <w:rPr>
          <w:rFonts w:cs="Times New Roman"/>
          <w:sz w:val="22"/>
          <w:lang w:val="sr-Cyrl-RS" w:eastAsia="en-GB"/>
        </w:rPr>
      </w:pPr>
    </w:p>
    <w:p w14:paraId="1475C1DC" w14:textId="26728DC6" w:rsidR="007C436D" w:rsidRPr="00EF2F18" w:rsidRDefault="007C436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1.1.</w:t>
      </w:r>
      <w:r w:rsidR="00CA56BD" w:rsidRPr="00EF2F18">
        <w:rPr>
          <w:rFonts w:cs="Times New Roman"/>
          <w:b/>
          <w:bCs/>
          <w:sz w:val="22"/>
          <w:lang w:val="sr-Cyrl-RS" w:eastAsia="en-GB"/>
        </w:rPr>
        <w:t>8</w:t>
      </w:r>
      <w:r w:rsidRPr="00EF2F18">
        <w:rPr>
          <w:rFonts w:cs="Times New Roman"/>
          <w:b/>
          <w:bCs/>
          <w:sz w:val="22"/>
          <w:lang w:val="sr-Cyrl-RS" w:eastAsia="en-GB"/>
        </w:rPr>
        <w:t xml:space="preserve">. Подстицање унапређења енергетске ефикасности и коришћења ОИЕ </w:t>
      </w:r>
      <w:r w:rsidR="00CA56BD" w:rsidRPr="00EF2F18">
        <w:rPr>
          <w:rFonts w:cs="Times New Roman"/>
          <w:b/>
          <w:bCs/>
          <w:sz w:val="22"/>
          <w:lang w:val="sr-Cyrl-RS" w:eastAsia="en-GB"/>
        </w:rPr>
        <w:t xml:space="preserve">кроз програм реновирања приватних и јавних зграда </w:t>
      </w:r>
    </w:p>
    <w:p w14:paraId="6EFCD453" w14:textId="77777777" w:rsidR="00D83673" w:rsidRPr="00EF2F18" w:rsidRDefault="00D83673" w:rsidP="00DB27A4">
      <w:pPr>
        <w:spacing w:after="0"/>
        <w:ind w:firstLine="720"/>
        <w:jc w:val="both"/>
        <w:rPr>
          <w:rFonts w:cs="Times New Roman"/>
          <w:sz w:val="22"/>
          <w:lang w:val="sr-Cyrl-RS"/>
        </w:rPr>
      </w:pPr>
      <w:bookmarkStart w:id="121" w:name="_Hlk147790478"/>
    </w:p>
    <w:p w14:paraId="736597A5" w14:textId="0E690BF8" w:rsidR="00DB27A4" w:rsidRPr="00EF2F18" w:rsidRDefault="00DB27A4" w:rsidP="00DB27A4">
      <w:pPr>
        <w:spacing w:after="0"/>
        <w:ind w:firstLine="720"/>
        <w:jc w:val="both"/>
        <w:rPr>
          <w:rFonts w:cs="Times New Roman"/>
          <w:sz w:val="22"/>
          <w:lang w:val="sr-Cyrl-RS"/>
        </w:rPr>
      </w:pPr>
      <w:r w:rsidRPr="00EF2F18">
        <w:rPr>
          <w:rFonts w:cs="Times New Roman"/>
          <w:sz w:val="22"/>
          <w:lang w:val="sr-Cyrl-RS"/>
        </w:rPr>
        <w:t>Ова мера је у складу Дугорочном стратегијом за подстицање улагања у обнову националног фонда зграда Републике Србије до 2050. године. Стратегијом је предвиђено спровођење финансијских, фискалних и регулаторних мера које ће се примењивати на стамбене и нестамбене зграде, како јавним тако и приватним.</w:t>
      </w:r>
    </w:p>
    <w:p w14:paraId="7D470365" w14:textId="3C3A0ACB" w:rsidR="00F92891" w:rsidRPr="00EF2F18" w:rsidRDefault="00DB27A4" w:rsidP="00DB27A4">
      <w:pPr>
        <w:spacing w:after="0"/>
        <w:ind w:firstLine="720"/>
        <w:jc w:val="both"/>
        <w:rPr>
          <w:rFonts w:cs="Times New Roman"/>
          <w:sz w:val="22"/>
          <w:lang w:val="sr-Cyrl-RS"/>
        </w:rPr>
      </w:pPr>
      <w:r w:rsidRPr="00EF2F18">
        <w:rPr>
          <w:rFonts w:cs="Times New Roman"/>
          <w:sz w:val="22"/>
          <w:lang w:val="sr-Cyrl-RS"/>
        </w:rPr>
        <w:t>Предвиђена је измена Правилника о условима, садржини и начину издавања сертификата о енергетским својствима зграда у складу са</w:t>
      </w:r>
      <w:r w:rsidRPr="00EF2F18">
        <w:rPr>
          <w:lang w:val="sr-Cyrl-RS"/>
        </w:rPr>
        <w:t xml:space="preserve"> </w:t>
      </w:r>
      <w:r w:rsidRPr="00EF2F18">
        <w:rPr>
          <w:rFonts w:cs="Times New Roman"/>
          <w:sz w:val="22"/>
          <w:lang w:val="sr-Cyrl-RS"/>
        </w:rPr>
        <w:t>одредбама Директиве 2018/844/ЕУ</w:t>
      </w:r>
      <w:r w:rsidR="00F92891" w:rsidRPr="00EF2F18">
        <w:rPr>
          <w:rFonts w:cs="Times New Roman"/>
          <w:sz w:val="22"/>
          <w:lang w:val="sr-Cyrl-RS"/>
        </w:rPr>
        <w:t xml:space="preserve"> о измени Директиве 2010/31/EU о енергетским својствима зграда </w:t>
      </w:r>
      <w:r w:rsidR="004C048F" w:rsidRPr="00EF2F18">
        <w:rPr>
          <w:rFonts w:cs="Times New Roman"/>
          <w:sz w:val="22"/>
          <w:lang w:val="sr-Cyrl-RS"/>
        </w:rPr>
        <w:t>и</w:t>
      </w:r>
      <w:r w:rsidR="00F92891" w:rsidRPr="00EF2F18">
        <w:rPr>
          <w:rFonts w:cs="Times New Roman"/>
          <w:sz w:val="22"/>
          <w:lang w:val="sr-Cyrl-RS"/>
        </w:rPr>
        <w:t xml:space="preserve"> Директиве 2012/27/EU о енергетској ефикасности.</w:t>
      </w:r>
    </w:p>
    <w:p w14:paraId="5ABFCE7B" w14:textId="1831F126" w:rsidR="00DB27A4" w:rsidRPr="00EF2F18" w:rsidRDefault="00DB27A4" w:rsidP="00DB27A4">
      <w:pPr>
        <w:spacing w:after="0"/>
        <w:ind w:firstLine="720"/>
        <w:jc w:val="both"/>
        <w:rPr>
          <w:rFonts w:cs="Times New Roman"/>
          <w:sz w:val="22"/>
          <w:lang w:val="sr-Cyrl-RS"/>
        </w:rPr>
      </w:pPr>
      <w:r w:rsidRPr="00EF2F18">
        <w:rPr>
          <w:rFonts w:cs="Times New Roman"/>
          <w:sz w:val="22"/>
          <w:lang w:val="sr-Cyrl-RS"/>
        </w:rPr>
        <w:t>У оквиру ове мере биће разр</w:t>
      </w:r>
      <w:r w:rsidR="00A30CDA">
        <w:rPr>
          <w:rFonts w:cs="Times New Roman"/>
          <w:sz w:val="22"/>
          <w:lang w:val="sr-Cyrl-RS"/>
        </w:rPr>
        <w:t>а</w:t>
      </w:r>
      <w:r w:rsidRPr="00EF2F18">
        <w:rPr>
          <w:rFonts w:cs="Times New Roman"/>
          <w:sz w:val="22"/>
          <w:lang w:val="sr-Cyrl-RS"/>
        </w:rPr>
        <w:t>ђени модели за обезбеђивање финансијске подршке за енергетску санацију постојећих приватних и јавних зграда. Израда и додела наменских финансијских подстицаја ће омогућити обимну енергетску санацију приватних и јавних зграда кроз унапређење енергетског омотача зграда и техничких система при чему ће се постићи оптимални однос трошкова и користи. Успешно спровођење ове мере биће употпуњено и кроз различите видове стручног усавршавања инжењера, архитеката, урбаниста и просторних планера у области енергетске ефикасности зграда у складу са савременим методама које се примењују у свету.</w:t>
      </w:r>
    </w:p>
    <w:p w14:paraId="1CF531B4" w14:textId="5637ED99" w:rsidR="00BA1EAD" w:rsidRPr="00EF2F18" w:rsidRDefault="00DB27A4" w:rsidP="00DB27A4">
      <w:pPr>
        <w:spacing w:after="0"/>
        <w:ind w:firstLine="720"/>
        <w:jc w:val="both"/>
        <w:rPr>
          <w:rFonts w:eastAsia="Calibri" w:cs="Times New Roman"/>
          <w:sz w:val="22"/>
          <w:lang w:val="sr-Cyrl-RS"/>
        </w:rPr>
      </w:pPr>
      <w:r w:rsidRPr="00EF2F18">
        <w:rPr>
          <w:rFonts w:cs="Times New Roman"/>
          <w:sz w:val="22"/>
          <w:lang w:val="sr-Cyrl-RS"/>
        </w:rPr>
        <w:t xml:space="preserve">Ова мера је у вези </w:t>
      </w:r>
      <w:r w:rsidR="009C7F51" w:rsidRPr="00EF2F18">
        <w:rPr>
          <w:rFonts w:eastAsia="Calibri" w:cs="Times New Roman"/>
          <w:sz w:val="22"/>
          <w:lang w:val="sr-Cyrl-RS"/>
        </w:rPr>
        <w:t xml:space="preserve">са мером </w:t>
      </w:r>
      <w:r w:rsidRPr="00EF2F18">
        <w:rPr>
          <w:rFonts w:eastAsia="Calibri" w:cs="Times New Roman"/>
          <w:sz w:val="22"/>
          <w:lang w:val="sr-Cyrl-RS"/>
        </w:rPr>
        <w:t>10</w:t>
      </w:r>
      <w:r w:rsidR="007A2E9F" w:rsidRPr="00EF2F18">
        <w:rPr>
          <w:rFonts w:eastAsia="Calibri" w:cs="Times New Roman"/>
          <w:sz w:val="22"/>
          <w:lang w:val="sr-Cyrl-RS"/>
        </w:rPr>
        <w:t>.</w:t>
      </w:r>
      <w:r w:rsidR="009C7F51" w:rsidRPr="00EF2F18">
        <w:rPr>
          <w:rFonts w:eastAsia="Calibri" w:cs="Times New Roman"/>
          <w:sz w:val="22"/>
          <w:lang w:val="sr-Cyrl-RS"/>
        </w:rPr>
        <w:t xml:space="preserve"> посебног циља 2. Стратегије нискоугљеничног развоја Републике Србије за период од 2023. до 2030. године са пројекцијама до 2050.</w:t>
      </w:r>
      <w:r w:rsidR="00FE5E0A" w:rsidRPr="00EF2F18">
        <w:rPr>
          <w:rFonts w:eastAsia="Calibri" w:cs="Times New Roman"/>
          <w:sz w:val="22"/>
          <w:lang w:val="sr-Cyrl-RS"/>
        </w:rPr>
        <w:t xml:space="preserve"> године; </w:t>
      </w:r>
      <w:r w:rsidR="00C32091" w:rsidRPr="00EF2F18">
        <w:rPr>
          <w:rFonts w:eastAsia="Calibri" w:cs="Times New Roman"/>
          <w:sz w:val="22"/>
          <w:lang w:val="sr-Cyrl-RS"/>
        </w:rPr>
        <w:t>мер</w:t>
      </w:r>
      <w:r w:rsidR="00495472" w:rsidRPr="00EF2F18">
        <w:rPr>
          <w:rFonts w:eastAsia="Calibri" w:cs="Times New Roman"/>
          <w:sz w:val="22"/>
          <w:lang w:val="sr-Cyrl-RS"/>
        </w:rPr>
        <w:t>а</w:t>
      </w:r>
      <w:r w:rsidR="0092798D" w:rsidRPr="00EF2F18">
        <w:rPr>
          <w:rFonts w:eastAsia="Calibri" w:cs="Times New Roman"/>
          <w:sz w:val="22"/>
          <w:lang w:val="sr-Cyrl-RS"/>
        </w:rPr>
        <w:t xml:space="preserve"> </w:t>
      </w:r>
      <w:r w:rsidR="00FE5E0A" w:rsidRPr="00EF2F18">
        <w:rPr>
          <w:rFonts w:eastAsia="Calibri" w:cs="Times New Roman"/>
          <w:sz w:val="22"/>
          <w:lang w:val="sr-Cyrl-RS"/>
        </w:rPr>
        <w:t xml:space="preserve">је базирана на </w:t>
      </w:r>
      <w:r w:rsidR="00DF17B2" w:rsidRPr="00EF2F18">
        <w:rPr>
          <w:rFonts w:eastAsia="Calibri" w:cs="Times New Roman"/>
          <w:sz w:val="22"/>
          <w:lang w:val="sr-Cyrl-RS"/>
        </w:rPr>
        <w:t>МП</w:t>
      </w:r>
      <w:r w:rsidR="0092798D" w:rsidRPr="00EF2F18">
        <w:rPr>
          <w:rFonts w:eastAsia="Calibri" w:cs="Times New Roman"/>
          <w:sz w:val="22"/>
          <w:lang w:val="sr-Cyrl-RS"/>
        </w:rPr>
        <w:t>_EE1 и</w:t>
      </w:r>
      <w:r w:rsidR="00C32091" w:rsidRPr="00EF2F18">
        <w:rPr>
          <w:rFonts w:eastAsia="Calibri" w:cs="Times New Roman"/>
          <w:sz w:val="22"/>
          <w:lang w:val="sr-Cyrl-RS"/>
        </w:rPr>
        <w:t xml:space="preserve"> </w:t>
      </w:r>
      <w:r w:rsidR="00DF17B2" w:rsidRPr="00EF2F18">
        <w:rPr>
          <w:rFonts w:eastAsia="Calibri" w:cs="Times New Roman"/>
          <w:sz w:val="22"/>
          <w:lang w:val="sr-Cyrl-RS"/>
        </w:rPr>
        <w:t>МП</w:t>
      </w:r>
      <w:r w:rsidR="009A07A1" w:rsidRPr="00EF2F18">
        <w:rPr>
          <w:rFonts w:eastAsia="Calibri" w:cs="Times New Roman"/>
          <w:sz w:val="22"/>
          <w:lang w:val="sr-Cyrl-RS"/>
        </w:rPr>
        <w:t xml:space="preserve">_EE2 </w:t>
      </w:r>
      <w:r w:rsidR="00C32091" w:rsidRPr="00EF2F18">
        <w:rPr>
          <w:rFonts w:eastAsia="Calibri" w:cs="Times New Roman"/>
          <w:sz w:val="22"/>
          <w:lang w:val="sr-Cyrl-RS"/>
        </w:rPr>
        <w:t>Интегрисаног националног енергетског и климатског плана</w:t>
      </w:r>
      <w:r w:rsidR="005C3863" w:rsidRPr="00EF2F18">
        <w:rPr>
          <w:rFonts w:eastAsia="Calibri" w:cs="Times New Roman"/>
          <w:sz w:val="22"/>
          <w:lang w:val="sr-Cyrl-RS"/>
        </w:rPr>
        <w:t xml:space="preserve"> </w:t>
      </w:r>
      <w:r w:rsidR="005C3863" w:rsidRPr="00EF2F18">
        <w:rPr>
          <w:rFonts w:cs="Times New Roman"/>
          <w:sz w:val="22"/>
          <w:lang w:val="sr-Cyrl-RS"/>
        </w:rPr>
        <w:t>Републике Србије за период до 2030. са визијом до 2050. године</w:t>
      </w:r>
      <w:r w:rsidR="009C7F51" w:rsidRPr="00EF2F18">
        <w:rPr>
          <w:rFonts w:eastAsia="Calibri" w:cs="Times New Roman"/>
          <w:sz w:val="22"/>
          <w:lang w:val="sr-Cyrl-RS"/>
        </w:rPr>
        <w:t>.</w:t>
      </w:r>
      <w:r w:rsidR="006C2E00" w:rsidRPr="00EF2F18">
        <w:rPr>
          <w:rFonts w:eastAsia="Calibri" w:cs="Times New Roman"/>
          <w:sz w:val="22"/>
          <w:lang w:val="sr-Cyrl-RS"/>
        </w:rPr>
        <w:t xml:space="preserve"> </w:t>
      </w:r>
      <w:bookmarkEnd w:id="121"/>
    </w:p>
    <w:p w14:paraId="439E215D" w14:textId="52E5A61D" w:rsidR="009C7F51"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0576BF" w:rsidRPr="00EF2F18">
        <w:rPr>
          <w:rFonts w:cs="Times New Roman"/>
          <w:sz w:val="22"/>
          <w:lang w:val="sr-Cyrl-RS" w:eastAsia="en-GB"/>
        </w:rPr>
        <w:t>Министарство грађевинарства, саобраћаја и инфраструктуре</w:t>
      </w:r>
      <w:r w:rsidR="0098156E" w:rsidRPr="00EF2F18">
        <w:rPr>
          <w:rFonts w:cs="Times New Roman"/>
          <w:sz w:val="22"/>
          <w:lang w:val="sr-Cyrl-RS" w:eastAsia="en-GB"/>
        </w:rPr>
        <w:t xml:space="preserve"> (правни оквир)</w:t>
      </w:r>
      <w:r w:rsidR="000576BF" w:rsidRPr="00EF2F18">
        <w:rPr>
          <w:rFonts w:cs="Times New Roman"/>
          <w:sz w:val="22"/>
          <w:lang w:val="sr-Cyrl-RS" w:eastAsia="en-GB"/>
        </w:rPr>
        <w:t xml:space="preserve">, </w:t>
      </w:r>
      <w:r w:rsidR="0098156E" w:rsidRPr="00EF2F18">
        <w:rPr>
          <w:rFonts w:cs="Times New Roman"/>
          <w:sz w:val="22"/>
          <w:lang w:val="sr-Cyrl-RS" w:eastAsia="en-GB"/>
        </w:rPr>
        <w:t>Министарство рударства и енергетике (финансијски подстицаји)</w:t>
      </w:r>
      <w:r w:rsidR="00BC74CF">
        <w:rPr>
          <w:rFonts w:cs="Times New Roman"/>
          <w:sz w:val="22"/>
          <w:lang w:val="sr-Cyrl-RS" w:eastAsia="en-GB"/>
        </w:rPr>
        <w:t>.</w:t>
      </w:r>
    </w:p>
    <w:p w14:paraId="2472B312" w14:textId="641C3BDB" w:rsidR="009C7F51"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Министарство заштите животне средине</w:t>
      </w:r>
      <w:r w:rsidR="00BC74CF">
        <w:rPr>
          <w:rFonts w:cs="Times New Roman"/>
          <w:sz w:val="22"/>
          <w:lang w:val="sr-Cyrl-RS" w:eastAsia="en-GB"/>
        </w:rPr>
        <w:t>.</w:t>
      </w:r>
    </w:p>
    <w:p w14:paraId="482C40FF" w14:textId="15133C06" w:rsidR="007C436D"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подстицајна</w:t>
      </w:r>
      <w:r w:rsidR="00BC74CF">
        <w:rPr>
          <w:rFonts w:cs="Times New Roman"/>
          <w:sz w:val="22"/>
          <w:lang w:val="sr-Cyrl-RS" w:eastAsia="en-GB"/>
        </w:rPr>
        <w:t>.</w:t>
      </w:r>
    </w:p>
    <w:p w14:paraId="64C65DBC" w14:textId="77777777" w:rsidR="007C436D" w:rsidRPr="00EF2F18" w:rsidRDefault="007C436D" w:rsidP="00425FCC">
      <w:pPr>
        <w:spacing w:after="0"/>
        <w:ind w:firstLine="720"/>
        <w:jc w:val="both"/>
        <w:rPr>
          <w:rFonts w:cs="Times New Roman"/>
          <w:sz w:val="22"/>
          <w:lang w:val="sr-Cyrl-RS" w:eastAsia="en-GB"/>
        </w:rPr>
      </w:pPr>
    </w:p>
    <w:p w14:paraId="2906F31A" w14:textId="0A761CBD" w:rsidR="007C436D" w:rsidRPr="00EF2F18" w:rsidRDefault="007C436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1.1.</w:t>
      </w:r>
      <w:r w:rsidR="00CA56BD" w:rsidRPr="00EF2F18">
        <w:rPr>
          <w:rFonts w:cs="Times New Roman"/>
          <w:b/>
          <w:bCs/>
          <w:sz w:val="22"/>
          <w:lang w:val="sr-Cyrl-RS" w:eastAsia="en-GB"/>
        </w:rPr>
        <w:t>9</w:t>
      </w:r>
      <w:r w:rsidRPr="00EF2F18">
        <w:rPr>
          <w:rFonts w:cs="Times New Roman"/>
          <w:b/>
          <w:bCs/>
          <w:sz w:val="22"/>
          <w:lang w:val="sr-Cyrl-RS" w:eastAsia="en-GB"/>
        </w:rPr>
        <w:t xml:space="preserve">. Подстицање употребе алтернативних горива и енергетске ефикасности </w:t>
      </w:r>
      <w:r w:rsidR="00CA56BD" w:rsidRPr="00EF2F18">
        <w:rPr>
          <w:rFonts w:cs="Times New Roman"/>
          <w:b/>
          <w:bCs/>
          <w:sz w:val="22"/>
          <w:lang w:val="sr-Cyrl-RS" w:eastAsia="en-GB"/>
        </w:rPr>
        <w:t>и промоција одрживог</w:t>
      </w:r>
      <w:r w:rsidRPr="00EF2F18">
        <w:rPr>
          <w:rFonts w:cs="Times New Roman"/>
          <w:b/>
          <w:bCs/>
          <w:sz w:val="22"/>
          <w:lang w:val="sr-Cyrl-RS" w:eastAsia="en-GB"/>
        </w:rPr>
        <w:t xml:space="preserve"> </w:t>
      </w:r>
      <w:r w:rsidR="00CA56BD" w:rsidRPr="00EF2F18">
        <w:rPr>
          <w:rFonts w:cs="Times New Roman"/>
          <w:b/>
          <w:bCs/>
          <w:sz w:val="22"/>
          <w:lang w:val="sr-Cyrl-RS" w:eastAsia="en-GB"/>
        </w:rPr>
        <w:t>друмског саобраћаја</w:t>
      </w:r>
    </w:p>
    <w:p w14:paraId="31E20589" w14:textId="77777777" w:rsidR="00D83673" w:rsidRPr="00EF2F18" w:rsidRDefault="00D83673" w:rsidP="006F091C">
      <w:pPr>
        <w:spacing w:after="0"/>
        <w:ind w:firstLine="720"/>
        <w:jc w:val="both"/>
        <w:rPr>
          <w:rFonts w:cs="Times New Roman"/>
          <w:sz w:val="22"/>
          <w:lang w:val="sr-Cyrl-RS"/>
        </w:rPr>
      </w:pPr>
      <w:bookmarkStart w:id="122" w:name="_Hlk147790618"/>
    </w:p>
    <w:p w14:paraId="4DC1E5FA" w14:textId="746A6CEF" w:rsidR="009C7F51" w:rsidRPr="00EF2F18" w:rsidRDefault="009C7F51" w:rsidP="006F091C">
      <w:pPr>
        <w:spacing w:after="0"/>
        <w:ind w:firstLine="720"/>
        <w:jc w:val="both"/>
        <w:rPr>
          <w:rFonts w:cs="Times New Roman"/>
          <w:sz w:val="22"/>
          <w:lang w:val="sr-Cyrl-RS"/>
        </w:rPr>
      </w:pPr>
      <w:r w:rsidRPr="00EF2F18">
        <w:rPr>
          <w:rFonts w:cs="Times New Roman"/>
          <w:sz w:val="22"/>
          <w:lang w:val="sr-Cyrl-RS"/>
        </w:rPr>
        <w:t>Ова мера треба да омогући већу употребу алтернативних горива (пре свега биогорива и електричне енергије) у сектору саобраћаја, кроз подстицање производње домаћих биогорива (углавном напредних) пружањем субвенција и фискалних подстицаја, подстицање додатне потрошње биогорива увођењем обавезних квота за снабдеваче и прагова намешавања у случају биодизела и биобензина, узимајући у обзир минимална техничка ограничења која се могу сматрати прихватљивим за тренутни број возила, као и доношење законодавног оквира за промовисање електромобилности (</w:t>
      </w:r>
      <w:r w:rsidRPr="00EF2F18">
        <w:rPr>
          <w:rFonts w:eastAsia="Calibri" w:cs="Times New Roman"/>
          <w:sz w:val="22"/>
          <w:lang w:val="sr-Cyrl-RS"/>
        </w:rPr>
        <w:t>веза са мером 13, посебног циља 2. Стратегије нискоугљеничног развоја Републике Србије за период од 2023. до 2030. године са пројекцијама до 2050.</w:t>
      </w:r>
      <w:r w:rsidR="00FE5E0A" w:rsidRPr="00EF2F18">
        <w:rPr>
          <w:rFonts w:eastAsia="Calibri" w:cs="Times New Roman"/>
          <w:sz w:val="22"/>
          <w:lang w:val="sr-Cyrl-RS"/>
        </w:rPr>
        <w:t xml:space="preserve">; </w:t>
      </w:r>
      <w:r w:rsidR="00FE5E0A" w:rsidRPr="00EF2F18">
        <w:rPr>
          <w:rFonts w:cs="Times New Roman"/>
          <w:sz w:val="22"/>
          <w:lang w:val="sr-Cyrl-RS"/>
        </w:rPr>
        <w:t xml:space="preserve">мера је базирана на мери </w:t>
      </w:r>
      <w:r w:rsidR="00DF17B2" w:rsidRPr="00EF2F18">
        <w:rPr>
          <w:rFonts w:eastAsia="Calibri" w:cs="Times New Roman"/>
          <w:sz w:val="22"/>
          <w:lang w:val="sr-Cyrl-RS"/>
        </w:rPr>
        <w:t>МП</w:t>
      </w:r>
      <w:r w:rsidR="00837DDB" w:rsidRPr="00EF2F18">
        <w:rPr>
          <w:rFonts w:eastAsia="Calibri" w:cs="Times New Roman"/>
          <w:sz w:val="22"/>
          <w:lang w:val="sr-Cyrl-RS"/>
        </w:rPr>
        <w:t>_EE</w:t>
      </w:r>
      <w:r w:rsidR="0092798D" w:rsidRPr="00EF2F18">
        <w:rPr>
          <w:rFonts w:eastAsia="Calibri" w:cs="Times New Roman"/>
          <w:sz w:val="22"/>
          <w:lang w:val="sr-Cyrl-RS"/>
        </w:rPr>
        <w:t>10-13</w:t>
      </w:r>
      <w:r w:rsidR="00C32091" w:rsidRPr="00EF2F18">
        <w:rPr>
          <w:rFonts w:eastAsia="Calibri" w:cs="Times New Roman"/>
          <w:sz w:val="22"/>
          <w:lang w:val="sr-Cyrl-RS"/>
        </w:rPr>
        <w:t xml:space="preserve"> </w:t>
      </w:r>
      <w:r w:rsidR="00495472" w:rsidRPr="00EF2F18">
        <w:rPr>
          <w:rFonts w:eastAsia="Calibri" w:cs="Times New Roman"/>
          <w:sz w:val="22"/>
          <w:lang w:val="sr-Cyrl-RS"/>
        </w:rPr>
        <w:t xml:space="preserve">Интегрисаног националног енергетског и климатског плана </w:t>
      </w:r>
      <w:r w:rsidR="005C3863" w:rsidRPr="00EF2F18">
        <w:rPr>
          <w:rFonts w:cs="Times New Roman"/>
          <w:sz w:val="22"/>
          <w:lang w:val="sr-Cyrl-RS"/>
        </w:rPr>
        <w:t>Републике Србије за период до 2030. са визијом до 2050. године</w:t>
      </w:r>
      <w:r w:rsidR="00FE5E0A" w:rsidRPr="00EF2F18">
        <w:rPr>
          <w:rFonts w:cs="Times New Roman"/>
          <w:sz w:val="22"/>
          <w:lang w:val="sr-Cyrl-RS"/>
        </w:rPr>
        <w:t>, који прописује циљ коришћења ОИЕ у сектору саобраћаја</w:t>
      </w:r>
      <w:r w:rsidRPr="00EF2F18">
        <w:rPr>
          <w:rFonts w:eastAsia="Calibri" w:cs="Times New Roman"/>
          <w:sz w:val="22"/>
          <w:lang w:val="sr-Cyrl-RS"/>
        </w:rPr>
        <w:t>).</w:t>
      </w:r>
    </w:p>
    <w:p w14:paraId="05737AE2" w14:textId="39DD9252" w:rsidR="00DF2340" w:rsidRPr="00EF2F18" w:rsidRDefault="00DF2340" w:rsidP="00994601">
      <w:pPr>
        <w:spacing w:after="0"/>
        <w:ind w:firstLine="720"/>
        <w:jc w:val="both"/>
        <w:rPr>
          <w:rFonts w:cs="Times New Roman"/>
          <w:sz w:val="20"/>
          <w:szCs w:val="20"/>
          <w:lang w:val="sr-Cyrl-RS"/>
        </w:rPr>
      </w:pPr>
      <w:r w:rsidRPr="00EF2F18">
        <w:rPr>
          <w:rFonts w:cs="Times New Roman"/>
          <w:sz w:val="22"/>
          <w:lang w:val="sr-Cyrl-RS"/>
        </w:rPr>
        <w:t>Поред тога, ова мера треба да обезбеди економску подршку за дизајн и инсталацију потребне инфраструктуре за пуњење електричних возила</w:t>
      </w:r>
      <w:r w:rsidR="00B011E9" w:rsidRPr="00EF2F18">
        <w:rPr>
          <w:rFonts w:cs="Times New Roman"/>
          <w:sz w:val="22"/>
          <w:lang w:val="sr-Cyrl-RS"/>
        </w:rPr>
        <w:t>.</w:t>
      </w:r>
      <w:r w:rsidRPr="00EF2F18">
        <w:rPr>
          <w:rFonts w:cs="Times New Roman"/>
          <w:sz w:val="22"/>
          <w:lang w:val="sr-Cyrl-RS"/>
        </w:rPr>
        <w:t xml:space="preserve"> и субвенциј</w:t>
      </w:r>
      <w:r w:rsidR="006265DD" w:rsidRPr="00EF2F18">
        <w:rPr>
          <w:rFonts w:cs="Times New Roman"/>
          <w:sz w:val="22"/>
          <w:lang w:val="sr-Cyrl-RS"/>
        </w:rPr>
        <w:t xml:space="preserve">а </w:t>
      </w:r>
      <w:r w:rsidRPr="00EF2F18">
        <w:rPr>
          <w:rFonts w:cs="Times New Roman"/>
          <w:sz w:val="22"/>
          <w:lang w:val="sr-Cyrl-RS"/>
        </w:rPr>
        <w:t xml:space="preserve">за додатну употребу </w:t>
      </w:r>
      <w:r w:rsidRPr="00EF2F18">
        <w:rPr>
          <w:rFonts w:cs="Times New Roman"/>
          <w:sz w:val="22"/>
          <w:lang w:val="sr-Cyrl-RS"/>
        </w:rPr>
        <w:lastRenderedPageBreak/>
        <w:t xml:space="preserve">електричних возила фокусирајући се на енергетски интензивне категорије, као што су такси возила, </w:t>
      </w:r>
      <w:r w:rsidR="0014138F" w:rsidRPr="00EF2F18">
        <w:rPr>
          <w:rFonts w:cs="Times New Roman"/>
          <w:sz w:val="22"/>
          <w:lang w:val="sr-Cyrl-RS"/>
        </w:rPr>
        <w:t>теретна возила највеће дозвољене масе до 3,5 t</w:t>
      </w:r>
      <w:r w:rsidRPr="00EF2F18">
        <w:rPr>
          <w:rFonts w:cs="Times New Roman"/>
          <w:sz w:val="22"/>
          <w:lang w:val="sr-Cyrl-RS"/>
        </w:rPr>
        <w:t xml:space="preserve"> итд. </w:t>
      </w:r>
      <w:r w:rsidR="004A0789" w:rsidRPr="00EF2F18">
        <w:rPr>
          <w:sz w:val="22"/>
          <w:lang w:val="sr-Cyrl-RS"/>
        </w:rPr>
        <w:t xml:space="preserve">Постојеће субвенције ће бити унапређене тако да ефикасно доприносе постизању циљева </w:t>
      </w:r>
      <w:r w:rsidR="004A0789" w:rsidRPr="00EF2F18">
        <w:rPr>
          <w:rFonts w:eastAsia="Calibri" w:cs="Times New Roman"/>
          <w:sz w:val="22"/>
          <w:lang w:val="sr-Cyrl-RS"/>
        </w:rPr>
        <w:t>(</w:t>
      </w:r>
      <w:r w:rsidR="00FE5E0A" w:rsidRPr="00EF2F18">
        <w:rPr>
          <w:rFonts w:cs="Times New Roman"/>
          <w:sz w:val="22"/>
          <w:lang w:val="sr-Cyrl-RS"/>
        </w:rPr>
        <w:t xml:space="preserve">мера је базирана на мери </w:t>
      </w:r>
      <w:r w:rsidR="00DF17B2" w:rsidRPr="00EF2F18">
        <w:rPr>
          <w:rFonts w:eastAsia="Calibri" w:cs="Times New Roman"/>
          <w:sz w:val="22"/>
          <w:lang w:val="sr-Cyrl-RS"/>
        </w:rPr>
        <w:t>МП</w:t>
      </w:r>
      <w:r w:rsidR="004A0789" w:rsidRPr="00EF2F18">
        <w:rPr>
          <w:rFonts w:eastAsia="Calibri" w:cs="Times New Roman"/>
          <w:sz w:val="22"/>
          <w:lang w:val="sr-Cyrl-RS"/>
        </w:rPr>
        <w:t>_</w:t>
      </w:r>
      <w:r w:rsidR="00303D27" w:rsidRPr="00EF2F18">
        <w:rPr>
          <w:rFonts w:eastAsia="Calibri" w:cs="Times New Roman"/>
          <w:sz w:val="22"/>
          <w:lang w:val="sr-Cyrl-RS"/>
        </w:rPr>
        <w:t>Д</w:t>
      </w:r>
      <w:r w:rsidR="004A0789" w:rsidRPr="00EF2F18">
        <w:rPr>
          <w:rFonts w:eastAsia="Calibri" w:cs="Times New Roman"/>
          <w:sz w:val="22"/>
          <w:lang w:val="sr-Cyrl-RS"/>
        </w:rPr>
        <w:t xml:space="preserve">35 Интегрисаног националног енергетског и климатског плана </w:t>
      </w:r>
      <w:r w:rsidR="004A0789" w:rsidRPr="00EF2F18">
        <w:rPr>
          <w:rFonts w:cs="Times New Roman"/>
          <w:sz w:val="22"/>
          <w:lang w:val="sr-Cyrl-RS"/>
        </w:rPr>
        <w:t>Републике Србије за период до 2030. са визијом до 2050. године</w:t>
      </w:r>
      <w:r w:rsidR="004A0789" w:rsidRPr="00EF2F18">
        <w:rPr>
          <w:rFonts w:eastAsia="Calibri" w:cs="Times New Roman"/>
          <w:sz w:val="22"/>
          <w:lang w:val="sr-Cyrl-RS"/>
        </w:rPr>
        <w:t xml:space="preserve">). </w:t>
      </w:r>
      <w:r w:rsidRPr="00EF2F18">
        <w:rPr>
          <w:rFonts w:cs="Times New Roman"/>
          <w:sz w:val="22"/>
          <w:lang w:val="sr-Cyrl-RS"/>
        </w:rPr>
        <w:t xml:space="preserve">Такође, ова мера подразумева и увођење </w:t>
      </w:r>
      <w:r w:rsidR="00AE6585" w:rsidRPr="00EF2F18">
        <w:rPr>
          <w:rFonts w:cs="Times New Roman"/>
          <w:sz w:val="22"/>
          <w:lang w:val="sr-Cyrl-RS"/>
        </w:rPr>
        <w:t>накнаде</w:t>
      </w:r>
      <w:r w:rsidR="009428D4" w:rsidRPr="00EF2F18">
        <w:rPr>
          <w:rFonts w:cs="Times New Roman"/>
          <w:sz w:val="22"/>
          <w:lang w:val="sr-Cyrl-RS"/>
        </w:rPr>
        <w:t>,</w:t>
      </w:r>
      <w:r w:rsidR="00AE6585" w:rsidRPr="00EF2F18">
        <w:rPr>
          <w:rFonts w:cs="Times New Roman"/>
          <w:sz w:val="22"/>
          <w:lang w:val="sr-Cyrl-RS"/>
        </w:rPr>
        <w:t xml:space="preserve"> </w:t>
      </w:r>
      <w:r w:rsidR="009428D4" w:rsidRPr="00EF2F18">
        <w:rPr>
          <w:sz w:val="22"/>
          <w:lang w:val="sr-Cyrl-RS"/>
        </w:rPr>
        <w:t>која ће се утврдити прописима из области заштите животне средине,</w:t>
      </w:r>
      <w:r w:rsidR="009428D4" w:rsidRPr="00EF2F18">
        <w:rPr>
          <w:rFonts w:cs="Times New Roman"/>
          <w:sz w:val="22"/>
          <w:lang w:val="sr-Cyrl-RS"/>
        </w:rPr>
        <w:t xml:space="preserve"> </w:t>
      </w:r>
      <w:r w:rsidRPr="00EF2F18">
        <w:rPr>
          <w:rFonts w:cs="Times New Roman"/>
          <w:sz w:val="22"/>
          <w:lang w:val="sr-Cyrl-RS"/>
        </w:rPr>
        <w:t>на путничк</w:t>
      </w:r>
      <w:r w:rsidR="00FF6F3F" w:rsidRPr="00EF2F18">
        <w:rPr>
          <w:rFonts w:cs="Times New Roman"/>
          <w:sz w:val="22"/>
          <w:lang w:val="sr-Cyrl-RS"/>
        </w:rPr>
        <w:t>а возила</w:t>
      </w:r>
      <w:r w:rsidRPr="00EF2F18">
        <w:rPr>
          <w:rFonts w:cs="Times New Roman"/>
          <w:sz w:val="22"/>
          <w:lang w:val="sr-Cyrl-RS"/>
        </w:rPr>
        <w:t xml:space="preserve"> за св</w:t>
      </w:r>
      <w:r w:rsidR="00FF6F3F" w:rsidRPr="00EF2F18">
        <w:rPr>
          <w:rFonts w:cs="Times New Roman"/>
          <w:sz w:val="22"/>
          <w:lang w:val="sr-Cyrl-RS"/>
        </w:rPr>
        <w:t>а</w:t>
      </w:r>
      <w:r w:rsidRPr="00EF2F18">
        <w:rPr>
          <w:rFonts w:cs="Times New Roman"/>
          <w:sz w:val="22"/>
          <w:lang w:val="sr-Cyrl-RS"/>
        </w:rPr>
        <w:t xml:space="preserve"> </w:t>
      </w:r>
      <w:r w:rsidR="00FF6F3F" w:rsidRPr="00EF2F18">
        <w:rPr>
          <w:rFonts w:cs="Times New Roman"/>
          <w:sz w:val="22"/>
          <w:lang w:val="sr-Cyrl-RS"/>
        </w:rPr>
        <w:t xml:space="preserve">возила </w:t>
      </w:r>
      <w:r w:rsidRPr="00EF2F18">
        <w:rPr>
          <w:rFonts w:cs="Times New Roman"/>
          <w:sz w:val="22"/>
          <w:lang w:val="sr-Cyrl-RS"/>
        </w:rPr>
        <w:t>који су први пут регистровани у Републици Срби</w:t>
      </w:r>
      <w:r w:rsidR="009428D4" w:rsidRPr="00EF2F18">
        <w:rPr>
          <w:rFonts w:cs="Times New Roman"/>
          <w:sz w:val="22"/>
          <w:lang w:val="sr-Cyrl-RS"/>
        </w:rPr>
        <w:t>j</w:t>
      </w:r>
      <w:r w:rsidRPr="00EF2F18">
        <w:rPr>
          <w:rFonts w:cs="Times New Roman"/>
          <w:sz w:val="22"/>
          <w:lang w:val="sr-Cyrl-RS"/>
        </w:rPr>
        <w:t>и на основу перформанси у погледу емисије CО</w:t>
      </w:r>
      <w:r w:rsidRPr="00EF2F18">
        <w:rPr>
          <w:rFonts w:cs="Times New Roman"/>
          <w:sz w:val="22"/>
          <w:vertAlign w:val="subscript"/>
          <w:lang w:val="sr-Cyrl-RS"/>
        </w:rPr>
        <w:t>2</w:t>
      </w:r>
      <w:r w:rsidR="004A0789" w:rsidRPr="00EF2F18">
        <w:rPr>
          <w:rFonts w:eastAsia="Calibri" w:cs="Times New Roman"/>
          <w:sz w:val="22"/>
          <w:lang w:val="sr-Cyrl-RS"/>
        </w:rPr>
        <w:t xml:space="preserve"> (</w:t>
      </w:r>
      <w:r w:rsidR="00FE5E0A" w:rsidRPr="00EF2F18">
        <w:rPr>
          <w:rFonts w:cs="Times New Roman"/>
          <w:sz w:val="22"/>
          <w:lang w:val="sr-Cyrl-RS"/>
        </w:rPr>
        <w:t xml:space="preserve">мера је базирана на мери </w:t>
      </w:r>
      <w:r w:rsidR="00DF17B2" w:rsidRPr="00EF2F18">
        <w:rPr>
          <w:rFonts w:eastAsia="Calibri" w:cs="Times New Roman"/>
          <w:sz w:val="22"/>
          <w:lang w:val="sr-Cyrl-RS"/>
        </w:rPr>
        <w:t>МП</w:t>
      </w:r>
      <w:r w:rsidR="004A0789" w:rsidRPr="00EF2F18">
        <w:rPr>
          <w:rFonts w:eastAsia="Calibri" w:cs="Times New Roman"/>
          <w:sz w:val="22"/>
          <w:lang w:val="sr-Cyrl-RS"/>
        </w:rPr>
        <w:t xml:space="preserve">_ЕЕ10 Интегрисаног националног енергетског и климатског плана </w:t>
      </w:r>
      <w:r w:rsidR="004A0789" w:rsidRPr="00EF2F18">
        <w:rPr>
          <w:rFonts w:cs="Times New Roman"/>
          <w:sz w:val="22"/>
          <w:lang w:val="sr-Cyrl-RS"/>
        </w:rPr>
        <w:t>Републике Србије за период до 2030. са визијом до 2050. године</w:t>
      </w:r>
      <w:r w:rsidR="004A0789" w:rsidRPr="00EF2F18">
        <w:rPr>
          <w:rFonts w:eastAsia="Calibri" w:cs="Times New Roman"/>
          <w:sz w:val="22"/>
          <w:lang w:val="sr-Cyrl-RS"/>
        </w:rPr>
        <w:t>).</w:t>
      </w:r>
    </w:p>
    <w:p w14:paraId="3A3DD604" w14:textId="77777777" w:rsidR="00DF2340" w:rsidRPr="00EF2F18" w:rsidRDefault="00DF2340" w:rsidP="00C359B3">
      <w:pPr>
        <w:spacing w:after="0"/>
        <w:ind w:firstLine="720"/>
        <w:jc w:val="both"/>
        <w:rPr>
          <w:rFonts w:cs="Times New Roman"/>
          <w:sz w:val="22"/>
          <w:lang w:val="sr-Cyrl-RS"/>
        </w:rPr>
      </w:pPr>
      <w:r w:rsidRPr="00EF2F18">
        <w:rPr>
          <w:rFonts w:cs="Times New Roman"/>
          <w:sz w:val="22"/>
          <w:lang w:val="sr-Cyrl-RS"/>
        </w:rPr>
        <w:t xml:space="preserve">У циљу успостављања одрживог друмског саобраћаја мера подразумева и примену механизма за подршку пројектима паметне саобраћајне инфраструктуре. </w:t>
      </w:r>
    </w:p>
    <w:bookmarkEnd w:id="122"/>
    <w:p w14:paraId="01EE89D4" w14:textId="5696B616" w:rsidR="009C7F51"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FE5E0A" w:rsidRPr="00EF2F18">
        <w:rPr>
          <w:rFonts w:cs="Times New Roman"/>
          <w:sz w:val="22"/>
          <w:lang w:val="sr-Cyrl-RS" w:eastAsia="en-GB"/>
        </w:rPr>
        <w:t>Министарство рударства и енергетике</w:t>
      </w:r>
      <w:r w:rsidR="00185A75" w:rsidRPr="00EF2F18">
        <w:rPr>
          <w:rFonts w:cs="Times New Roman"/>
          <w:sz w:val="22"/>
          <w:lang w:val="sr-Cyrl-RS" w:eastAsia="en-GB"/>
        </w:rPr>
        <w:t>.</w:t>
      </w:r>
      <w:r w:rsidR="00FE5E0A" w:rsidRPr="00EF2F18">
        <w:rPr>
          <w:rFonts w:cs="Times New Roman"/>
          <w:sz w:val="22"/>
          <w:highlight w:val="yellow"/>
          <w:lang w:val="sr-Cyrl-RS" w:eastAsia="en-GB"/>
        </w:rPr>
        <w:t xml:space="preserve"> </w:t>
      </w:r>
    </w:p>
    <w:p w14:paraId="372A4E20" w14:textId="74399C59" w:rsidR="009C7F51"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E5E0A" w:rsidRPr="00EF2F18">
        <w:rPr>
          <w:rFonts w:cs="Times New Roman"/>
          <w:sz w:val="22"/>
          <w:lang w:val="sr-Cyrl-RS" w:eastAsia="en-GB"/>
        </w:rPr>
        <w:t xml:space="preserve">Министарство грађевинарства, саобраћаја и инфраструктуре, </w:t>
      </w:r>
      <w:r w:rsidR="004F18B0" w:rsidRPr="00EF2F18">
        <w:rPr>
          <w:rFonts w:cs="Times New Roman"/>
          <w:sz w:val="22"/>
          <w:lang w:val="sr-Cyrl-RS" w:eastAsia="en-GB"/>
        </w:rPr>
        <w:t>Министарство финансија</w:t>
      </w:r>
      <w:r w:rsidR="00185A75" w:rsidRPr="00EF2F18">
        <w:rPr>
          <w:rFonts w:cs="Times New Roman"/>
          <w:sz w:val="22"/>
          <w:lang w:val="sr-Cyrl-RS" w:eastAsia="en-GB"/>
        </w:rPr>
        <w:t>.</w:t>
      </w:r>
    </w:p>
    <w:p w14:paraId="3B2AD120" w14:textId="5C3F6B07" w:rsidR="0069618C"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подстицајна</w:t>
      </w:r>
      <w:r w:rsidR="00185A75" w:rsidRPr="00EF2F18">
        <w:rPr>
          <w:rFonts w:cs="Times New Roman"/>
          <w:sz w:val="22"/>
          <w:lang w:val="sr-Cyrl-RS" w:eastAsia="en-GB"/>
        </w:rPr>
        <w:t>.</w:t>
      </w:r>
    </w:p>
    <w:p w14:paraId="149A19F7" w14:textId="45D3C409" w:rsidR="00CA56BD" w:rsidRPr="00EF2F18" w:rsidRDefault="00CA56BD" w:rsidP="00425FCC">
      <w:pPr>
        <w:spacing w:after="0"/>
        <w:ind w:firstLine="720"/>
        <w:jc w:val="both"/>
        <w:rPr>
          <w:rFonts w:cs="Times New Roman"/>
          <w:sz w:val="22"/>
          <w:highlight w:val="yellow"/>
          <w:lang w:val="sr-Cyrl-RS" w:eastAsia="en-GB"/>
        </w:rPr>
      </w:pPr>
    </w:p>
    <w:p w14:paraId="6F190B6D" w14:textId="732BBEAD" w:rsidR="00B4499B" w:rsidRPr="00EF2F18" w:rsidRDefault="00B4499B" w:rsidP="00B4499B">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Мера 1.1.10. Повећање понора угљеника ради ублажавања климатских промена</w:t>
      </w:r>
    </w:p>
    <w:p w14:paraId="2BA9752D" w14:textId="77777777" w:rsidR="00D83673" w:rsidRPr="00EF2F18" w:rsidRDefault="00D83673" w:rsidP="00DF2340">
      <w:pPr>
        <w:spacing w:after="0"/>
        <w:ind w:firstLine="720"/>
        <w:jc w:val="both"/>
        <w:rPr>
          <w:rFonts w:cs="Times New Roman"/>
          <w:sz w:val="22"/>
          <w:lang w:val="sr-Cyrl-RS" w:eastAsia="en-GB"/>
        </w:rPr>
      </w:pPr>
    </w:p>
    <w:p w14:paraId="661F2BF7" w14:textId="46FB2439" w:rsidR="00DF2340" w:rsidRPr="00EF2F18" w:rsidRDefault="00DF2340" w:rsidP="00DF2340">
      <w:pPr>
        <w:spacing w:after="0"/>
        <w:ind w:firstLine="720"/>
        <w:jc w:val="both"/>
        <w:rPr>
          <w:rFonts w:cs="Times New Roman"/>
          <w:sz w:val="22"/>
          <w:lang w:val="sr-Cyrl-RS" w:eastAsia="en-GB"/>
        </w:rPr>
      </w:pPr>
      <w:r w:rsidRPr="00EF2F18">
        <w:rPr>
          <w:rFonts w:cs="Times New Roman"/>
          <w:sz w:val="22"/>
          <w:lang w:val="sr-Cyrl-RS" w:eastAsia="en-GB"/>
        </w:rPr>
        <w:t>Ова мера подразумева израду а</w:t>
      </w:r>
      <w:r w:rsidRPr="00EF2F18">
        <w:rPr>
          <w:rFonts w:cs="Times New Roman"/>
          <w:sz w:val="22"/>
          <w:lang w:val="sr-Cyrl-RS"/>
        </w:rPr>
        <w:t>нализе потенцијала за повећање понора угљеника ради ублажавања климатских промена у складу са LULUCF регулативом ЕУ, која подразумева унапређене методологије и детаљнији мониторинг. У складу са политикама ЕУ потребно је на поноре угљеника гледати у ширем еколошком</w:t>
      </w:r>
      <w:r w:rsidR="006C2E00" w:rsidRPr="00EF2F18">
        <w:rPr>
          <w:rFonts w:cs="Times New Roman"/>
          <w:sz w:val="22"/>
          <w:lang w:val="sr-Cyrl-RS"/>
        </w:rPr>
        <w:t xml:space="preserve"> </w:t>
      </w:r>
      <w:r w:rsidRPr="00EF2F18">
        <w:rPr>
          <w:rFonts w:cs="Times New Roman"/>
          <w:sz w:val="22"/>
          <w:lang w:val="sr-Cyrl-RS"/>
        </w:rPr>
        <w:t xml:space="preserve">и економском контексту. </w:t>
      </w:r>
    </w:p>
    <w:p w14:paraId="54E6A119" w14:textId="041999D0"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Пошумљавање је једна од основних активности како би се повећао понор угљеника ради ублажавања климатских промена. Ова мера прописује пошумљавање од 3</w:t>
      </w:r>
      <w:r w:rsidR="004F18B0" w:rsidRPr="00EF2F18">
        <w:rPr>
          <w:rFonts w:cs="Times New Roman"/>
          <w:sz w:val="22"/>
          <w:lang w:val="sr-Cyrl-RS"/>
        </w:rPr>
        <w:t>.</w:t>
      </w:r>
      <w:r w:rsidRPr="00EF2F18">
        <w:rPr>
          <w:rFonts w:cs="Times New Roman"/>
          <w:sz w:val="22"/>
          <w:lang w:val="sr-Cyrl-RS"/>
        </w:rPr>
        <w:t>770 ha до 2026. године, у складу са Акционим планом за спровођење Програма Владе за период 2023 – 2026.</w:t>
      </w:r>
      <w:r w:rsidR="00497B88" w:rsidRPr="00497B88">
        <w:rPr>
          <w:rFonts w:cs="Times New Roman"/>
          <w:sz w:val="22"/>
          <w:lang w:val="sr-Cyrl-RS"/>
        </w:rPr>
        <w:t xml:space="preserve"> </w:t>
      </w:r>
      <w:r w:rsidR="00497B88" w:rsidRPr="00EF2F18">
        <w:rPr>
          <w:rFonts w:cs="Times New Roman"/>
          <w:sz w:val="22"/>
          <w:lang w:val="sr-Cyrl-RS"/>
        </w:rPr>
        <w:t>године</w:t>
      </w:r>
      <w:r w:rsidRPr="00EF2F18">
        <w:rPr>
          <w:rFonts w:cs="Times New Roman"/>
          <w:sz w:val="22"/>
          <w:lang w:val="sr-Cyrl-RS"/>
        </w:rPr>
        <w:t xml:space="preserve"> као и наставак пошумљавања у периоду</w:t>
      </w:r>
      <w:r w:rsidR="00497B88">
        <w:rPr>
          <w:rFonts w:cs="Times New Roman"/>
          <w:sz w:val="22"/>
          <w:lang w:val="sr-Cyrl-RS"/>
        </w:rPr>
        <w:t xml:space="preserve"> од</w:t>
      </w:r>
      <w:r w:rsidRPr="00EF2F18">
        <w:rPr>
          <w:rFonts w:cs="Times New Roman"/>
          <w:sz w:val="22"/>
          <w:lang w:val="sr-Cyrl-RS"/>
        </w:rPr>
        <w:t xml:space="preserve"> 2026. до 2030. године (наставиће се до 2050. године), у складу са документима у области шумарства и Просторним планом Републике Србије.</w:t>
      </w:r>
      <w:r w:rsidR="006C2E00" w:rsidRPr="00EF2F18">
        <w:rPr>
          <w:rFonts w:cs="Times New Roman"/>
          <w:sz w:val="22"/>
          <w:lang w:val="sr-Cyrl-RS"/>
        </w:rPr>
        <w:t xml:space="preserve"> </w:t>
      </w:r>
    </w:p>
    <w:p w14:paraId="2EBF0FB4" w14:textId="74284F13"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Мера такође подразумева конверзију </w:t>
      </w:r>
      <w:r w:rsidR="002103C0" w:rsidRPr="00EF2F18">
        <w:rPr>
          <w:rFonts w:cs="Times New Roman"/>
          <w:sz w:val="22"/>
          <w:lang w:val="sr-Cyrl-RS"/>
        </w:rPr>
        <w:t xml:space="preserve">подобних </w:t>
      </w:r>
      <w:r w:rsidR="007702B2">
        <w:rPr>
          <w:rFonts w:cs="Times New Roman"/>
          <w:sz w:val="22"/>
          <w:lang w:val="sr-Cyrl-RS"/>
        </w:rPr>
        <w:t>издана</w:t>
      </w:r>
      <w:r w:rsidRPr="00EF2F18">
        <w:rPr>
          <w:rFonts w:cs="Times New Roman"/>
          <w:sz w:val="22"/>
          <w:lang w:val="sr-Cyrl-RS"/>
        </w:rPr>
        <w:t>чких у високе шуме, односно превођење шума из нижег у виши узгојни облик гајења. Конверзија мора да се дешава плански, односно потребно је одредити конверзионо раздобље за које ће се извршити конверзија свих очуваних и разређених изданичких састојина сваке газдинске јединице у високи узгојни облик. Конерзионо раздобље за изданачке састојине које се оплодним сечама могу превести у високи узгојни облик износи 20 – 70 година. Издан</w:t>
      </w:r>
      <w:r w:rsidR="002103C0" w:rsidRPr="00EF2F18">
        <w:rPr>
          <w:rFonts w:cs="Times New Roman"/>
          <w:sz w:val="22"/>
          <w:lang w:val="sr-Cyrl-RS"/>
        </w:rPr>
        <w:t>а</w:t>
      </w:r>
      <w:r w:rsidRPr="00EF2F18">
        <w:rPr>
          <w:rFonts w:cs="Times New Roman"/>
          <w:sz w:val="22"/>
          <w:lang w:val="sr-Cyrl-RS"/>
        </w:rPr>
        <w:t xml:space="preserve">чке састојине се проредним сечама у смислу конверзије могу преводити у високи узгојни облик, односно селективним проредима би се вршила позитивна селекција како би се састојина на време припремила за конверзију. </w:t>
      </w:r>
      <w:r w:rsidR="002103C0" w:rsidRPr="00EF2F18">
        <w:rPr>
          <w:rFonts w:cs="Times New Roman"/>
          <w:sz w:val="22"/>
          <w:lang w:val="sr-Cyrl-RS"/>
        </w:rPr>
        <w:t>Осим индиректне, постоји и директна конверзија.</w:t>
      </w:r>
    </w:p>
    <w:p w14:paraId="57122B6E" w14:textId="2214262F" w:rsidR="00B4499B" w:rsidRPr="00EF2F18" w:rsidRDefault="00DF2340" w:rsidP="00DF2340">
      <w:pPr>
        <w:spacing w:after="0"/>
        <w:ind w:firstLine="720"/>
        <w:jc w:val="both"/>
        <w:rPr>
          <w:rFonts w:cs="Times New Roman"/>
          <w:sz w:val="22"/>
          <w:highlight w:val="yellow"/>
          <w:lang w:val="sr-Cyrl-RS" w:eastAsia="en-GB"/>
        </w:rPr>
      </w:pPr>
      <w:r w:rsidRPr="00EF2F18">
        <w:rPr>
          <w:rFonts w:cs="Times New Roman"/>
          <w:sz w:val="22"/>
          <w:lang w:val="sr-Cyrl-RS"/>
        </w:rPr>
        <w:t>За спровођење ове мере треба користити читав пакет инструмената, где су најважнији финансијски, регулаторни и информативно/образовни</w:t>
      </w:r>
      <w:r w:rsidR="0094473D" w:rsidRPr="00EF2F18">
        <w:rPr>
          <w:rFonts w:cs="Times New Roman"/>
          <w:sz w:val="22"/>
          <w:lang w:val="sr-Cyrl-RS"/>
        </w:rPr>
        <w:t>.</w:t>
      </w:r>
    </w:p>
    <w:p w14:paraId="46FD30BA" w14:textId="3FEF6995" w:rsidR="00B4499B" w:rsidRPr="00EF2F18" w:rsidRDefault="00B4499B" w:rsidP="00B4499B">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w:t>
      </w:r>
      <w:r w:rsidR="00DF2340" w:rsidRPr="00EF2F18">
        <w:rPr>
          <w:rFonts w:cs="Times New Roman"/>
          <w:sz w:val="22"/>
          <w:lang w:val="sr-Cyrl-RS" w:eastAsia="en-GB"/>
        </w:rPr>
        <w:t>пољопривреде, шумарства и водопривреде</w:t>
      </w:r>
      <w:r w:rsidR="00185A75" w:rsidRPr="00EF2F18">
        <w:rPr>
          <w:rFonts w:cs="Times New Roman"/>
          <w:sz w:val="22"/>
          <w:lang w:val="sr-Cyrl-RS" w:eastAsia="en-GB"/>
        </w:rPr>
        <w:t>.</w:t>
      </w:r>
      <w:r w:rsidRPr="00EF2F18">
        <w:rPr>
          <w:rFonts w:cs="Times New Roman"/>
          <w:sz w:val="22"/>
          <w:lang w:val="sr-Cyrl-RS" w:eastAsia="en-GB"/>
        </w:rPr>
        <w:t xml:space="preserve"> </w:t>
      </w:r>
    </w:p>
    <w:p w14:paraId="020E768B" w14:textId="4AD02518" w:rsidR="00DF2340" w:rsidRPr="00EF2F18" w:rsidRDefault="00B4499B" w:rsidP="00DF2340">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497B88" w:rsidRPr="00497B88">
        <w:rPr>
          <w:rFonts w:cs="Times New Roman"/>
          <w:sz w:val="22"/>
          <w:lang w:val="sr-Cyrl-RS" w:eastAsia="en-GB"/>
        </w:rPr>
        <w:t>Министарств</w:t>
      </w:r>
      <w:r w:rsidR="00497B88">
        <w:rPr>
          <w:rFonts w:cs="Times New Roman"/>
          <w:sz w:val="22"/>
          <w:lang w:val="sr-Cyrl-RS" w:eastAsia="en-GB"/>
        </w:rPr>
        <w:t>о</w:t>
      </w:r>
      <w:r w:rsidR="00497B88" w:rsidRPr="00497B88">
        <w:rPr>
          <w:rFonts w:cs="Times New Roman"/>
          <w:sz w:val="22"/>
          <w:lang w:val="sr-Cyrl-RS" w:eastAsia="en-GB"/>
        </w:rPr>
        <w:t xml:space="preserve"> заштите животне средине</w:t>
      </w:r>
      <w:r w:rsidRPr="00EF2F18">
        <w:rPr>
          <w:rFonts w:cs="Times New Roman"/>
          <w:sz w:val="22"/>
          <w:lang w:val="sr-Cyrl-RS" w:eastAsia="en-GB"/>
        </w:rPr>
        <w:t>, НИО, ЈП, ЈЛС, ЗЗПС, ПЗЗП</w:t>
      </w:r>
      <w:r w:rsidR="00DF2340" w:rsidRPr="00EF2F18">
        <w:rPr>
          <w:rFonts w:cs="Times New Roman"/>
          <w:sz w:val="22"/>
          <w:lang w:val="sr-Cyrl-RS" w:eastAsia="en-GB"/>
        </w:rPr>
        <w:t>,</w:t>
      </w:r>
      <w:r w:rsidR="004F18B0" w:rsidRPr="00EF2F18">
        <w:rPr>
          <w:rFonts w:cs="Times New Roman"/>
          <w:sz w:val="22"/>
          <w:lang w:val="sr-Cyrl-RS" w:eastAsia="en-GB"/>
        </w:rPr>
        <w:t xml:space="preserve"> Управа за пољопривредно земљиште,</w:t>
      </w:r>
      <w:r w:rsidR="00DF2340" w:rsidRPr="00EF2F18">
        <w:rPr>
          <w:rFonts w:cs="Times New Roman"/>
          <w:sz w:val="22"/>
          <w:lang w:val="sr-Cyrl-RS" w:eastAsia="en-GB"/>
        </w:rPr>
        <w:t xml:space="preserve"> организације одговорне за управљање шумама, власници приватних шума</w:t>
      </w:r>
      <w:r w:rsidR="00185A75" w:rsidRPr="00EF2F18">
        <w:rPr>
          <w:rFonts w:cs="Times New Roman"/>
          <w:sz w:val="22"/>
          <w:lang w:val="sr-Cyrl-RS" w:eastAsia="en-GB"/>
        </w:rPr>
        <w:t>.</w:t>
      </w:r>
    </w:p>
    <w:p w14:paraId="05F6F1B8" w14:textId="7CF3A6DE" w:rsidR="00D83673" w:rsidRDefault="00B4499B" w:rsidP="00971CF1">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DF2340" w:rsidRPr="00EF2F18">
        <w:rPr>
          <w:rFonts w:cs="Times New Roman"/>
          <w:sz w:val="22"/>
          <w:lang w:val="sr-Cyrl-RS" w:eastAsia="en-GB"/>
        </w:rPr>
        <w:t>подстицајна</w:t>
      </w:r>
      <w:r w:rsidR="00185A75" w:rsidRPr="00EF2F18">
        <w:rPr>
          <w:rFonts w:cs="Times New Roman"/>
          <w:sz w:val="22"/>
          <w:lang w:val="sr-Cyrl-RS" w:eastAsia="en-GB"/>
        </w:rPr>
        <w:t>.</w:t>
      </w:r>
    </w:p>
    <w:p w14:paraId="2A557D33" w14:textId="50039889" w:rsidR="00971CF1" w:rsidRDefault="00971CF1" w:rsidP="00971CF1">
      <w:pPr>
        <w:spacing w:after="0"/>
        <w:ind w:firstLine="720"/>
        <w:jc w:val="both"/>
        <w:rPr>
          <w:rFonts w:cs="Times New Roman"/>
          <w:sz w:val="22"/>
          <w:lang w:val="sr-Cyrl-RS" w:eastAsia="en-GB"/>
        </w:rPr>
      </w:pPr>
    </w:p>
    <w:p w14:paraId="34FF9E8E" w14:textId="77777777" w:rsidR="00971CF1" w:rsidRPr="00971CF1" w:rsidRDefault="00971CF1" w:rsidP="00971CF1">
      <w:pPr>
        <w:spacing w:after="0"/>
        <w:ind w:firstLine="720"/>
        <w:jc w:val="both"/>
        <w:rPr>
          <w:rFonts w:cs="Times New Roman"/>
          <w:sz w:val="22"/>
          <w:lang w:val="sr-Cyrl-RS" w:eastAsia="en-GB"/>
        </w:rPr>
      </w:pPr>
    </w:p>
    <w:p w14:paraId="6325CBF6" w14:textId="77777777" w:rsidR="00D83673" w:rsidRPr="00EF2F18" w:rsidRDefault="00D83673" w:rsidP="00425FCC">
      <w:pPr>
        <w:spacing w:after="0"/>
        <w:ind w:firstLine="720"/>
        <w:jc w:val="both"/>
        <w:rPr>
          <w:rFonts w:cs="Times New Roman"/>
          <w:sz w:val="22"/>
          <w:highlight w:val="yellow"/>
          <w:lang w:val="sr-Cyrl-RS" w:eastAsia="en-GB"/>
        </w:rPr>
      </w:pPr>
    </w:p>
    <w:p w14:paraId="4041D178" w14:textId="02AB7004" w:rsidR="006D0D74" w:rsidRPr="00EF2F18" w:rsidRDefault="006D0D74" w:rsidP="006D0D74">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Мера 1.1.</w:t>
      </w:r>
      <w:r w:rsidR="00240DC9" w:rsidRPr="00EF2F18">
        <w:rPr>
          <w:rFonts w:cs="Times New Roman"/>
          <w:b/>
          <w:bCs/>
          <w:sz w:val="22"/>
          <w:lang w:val="sr-Cyrl-RS" w:eastAsia="en-GB"/>
        </w:rPr>
        <w:t>1</w:t>
      </w:r>
      <w:r w:rsidR="00F257A5" w:rsidRPr="00EF2F18">
        <w:rPr>
          <w:rFonts w:cs="Times New Roman"/>
          <w:b/>
          <w:bCs/>
          <w:sz w:val="22"/>
          <w:lang w:val="sr-Cyrl-RS" w:eastAsia="en-GB"/>
        </w:rPr>
        <w:t>1</w:t>
      </w:r>
      <w:r w:rsidRPr="00EF2F18">
        <w:rPr>
          <w:rFonts w:cs="Times New Roman"/>
          <w:b/>
          <w:bCs/>
          <w:sz w:val="22"/>
          <w:lang w:val="sr-Cyrl-RS" w:eastAsia="en-GB"/>
        </w:rPr>
        <w:t xml:space="preserve">. </w:t>
      </w:r>
      <w:r w:rsidR="009C7A96" w:rsidRPr="00EF2F18">
        <w:rPr>
          <w:rFonts w:cs="Times New Roman"/>
          <w:b/>
          <w:sz w:val="22"/>
          <w:lang w:val="sr-Cyrl-RS"/>
        </w:rPr>
        <w:t>Подршка и промоција примене концепта</w:t>
      </w:r>
      <w:r w:rsidR="006C2E00" w:rsidRPr="00EF2F18">
        <w:rPr>
          <w:rFonts w:cs="Times New Roman"/>
          <w:b/>
          <w:sz w:val="22"/>
          <w:lang w:val="sr-Cyrl-RS"/>
        </w:rPr>
        <w:t xml:space="preserve"> </w:t>
      </w:r>
      <w:r w:rsidR="009C7A96" w:rsidRPr="00EF2F18">
        <w:rPr>
          <w:rFonts w:cs="Times New Roman"/>
          <w:b/>
          <w:sz w:val="22"/>
          <w:lang w:val="sr-Cyrl-RS"/>
        </w:rPr>
        <w:t>решења заснованих на природи ради ублажавања климатск</w:t>
      </w:r>
      <w:r w:rsidR="00FA366A" w:rsidRPr="00EF2F18">
        <w:rPr>
          <w:rFonts w:cs="Times New Roman"/>
          <w:b/>
          <w:sz w:val="22"/>
          <w:lang w:val="sr-Cyrl-RS"/>
        </w:rPr>
        <w:t>их</w:t>
      </w:r>
      <w:r w:rsidR="009C7A96" w:rsidRPr="00EF2F18">
        <w:rPr>
          <w:rFonts w:cs="Times New Roman"/>
          <w:b/>
          <w:sz w:val="22"/>
          <w:lang w:val="sr-Cyrl-RS"/>
        </w:rPr>
        <w:t xml:space="preserve"> промен</w:t>
      </w:r>
      <w:r w:rsidR="00FA366A" w:rsidRPr="00EF2F18">
        <w:rPr>
          <w:rFonts w:cs="Times New Roman"/>
          <w:b/>
          <w:sz w:val="22"/>
          <w:lang w:val="sr-Cyrl-RS"/>
        </w:rPr>
        <w:t>а</w:t>
      </w:r>
    </w:p>
    <w:p w14:paraId="16EFC658" w14:textId="77777777" w:rsidR="00D83673" w:rsidRPr="00EF2F18" w:rsidRDefault="00D83673" w:rsidP="009C7A96">
      <w:pPr>
        <w:spacing w:after="0"/>
        <w:ind w:firstLine="720"/>
        <w:jc w:val="both"/>
        <w:rPr>
          <w:rFonts w:cs="Times New Roman"/>
          <w:sz w:val="22"/>
          <w:lang w:val="sr-Cyrl-RS"/>
        </w:rPr>
      </w:pPr>
    </w:p>
    <w:p w14:paraId="4B640849" w14:textId="3C0E9826" w:rsidR="009C7A96" w:rsidRPr="00EF2F18" w:rsidRDefault="009C7A96" w:rsidP="009C7A96">
      <w:pPr>
        <w:spacing w:after="0"/>
        <w:ind w:firstLine="720"/>
        <w:jc w:val="both"/>
        <w:rPr>
          <w:rFonts w:cs="Times New Roman"/>
          <w:sz w:val="22"/>
          <w:lang w:val="sr-Cyrl-RS"/>
        </w:rPr>
      </w:pPr>
      <w:r w:rsidRPr="00EF2F18">
        <w:rPr>
          <w:rFonts w:cs="Times New Roman"/>
          <w:sz w:val="22"/>
          <w:lang w:val="sr-Cyrl-RS"/>
        </w:rPr>
        <w:t>Ова мера подразумева подршку и промоцију</w:t>
      </w:r>
      <w:r w:rsidR="006C2E00" w:rsidRPr="00EF2F18">
        <w:rPr>
          <w:rFonts w:cs="Times New Roman"/>
          <w:sz w:val="22"/>
          <w:lang w:val="sr-Cyrl-RS"/>
        </w:rPr>
        <w:t xml:space="preserve"> </w:t>
      </w:r>
      <w:r w:rsidRPr="00EF2F18">
        <w:rPr>
          <w:rFonts w:cs="Times New Roman"/>
          <w:sz w:val="22"/>
          <w:lang w:val="sr-Cyrl-RS"/>
        </w:rPr>
        <w:t>примене концепта решења заснованих на природи</w:t>
      </w:r>
      <w:r w:rsidR="006C2E00" w:rsidRPr="00EF2F18">
        <w:rPr>
          <w:rFonts w:cs="Times New Roman"/>
          <w:sz w:val="22"/>
          <w:lang w:val="sr-Cyrl-RS"/>
        </w:rPr>
        <w:t xml:space="preserve"> </w:t>
      </w:r>
      <w:r w:rsidRPr="00EF2F18">
        <w:rPr>
          <w:rFonts w:cs="Times New Roman"/>
          <w:sz w:val="22"/>
          <w:lang w:val="sr-Cyrl-RS"/>
        </w:rPr>
        <w:t>као исплативог, ефикасног</w:t>
      </w:r>
      <w:r w:rsidR="006C2E00" w:rsidRPr="00EF2F18">
        <w:rPr>
          <w:rFonts w:cs="Times New Roman"/>
          <w:sz w:val="22"/>
          <w:lang w:val="sr-Cyrl-RS"/>
        </w:rPr>
        <w:t xml:space="preserve"> </w:t>
      </w:r>
      <w:r w:rsidRPr="00EF2F18">
        <w:rPr>
          <w:rFonts w:cs="Times New Roman"/>
          <w:sz w:val="22"/>
          <w:lang w:val="sr-Cyrl-RS"/>
        </w:rPr>
        <w:t>и одрживог решења за климатске промене, имајући у виду да истовремено доприноси ублажавању климатски</w:t>
      </w:r>
      <w:r w:rsidR="00F257A5" w:rsidRPr="00EF2F18">
        <w:rPr>
          <w:rFonts w:cs="Times New Roman"/>
          <w:sz w:val="22"/>
          <w:lang w:val="sr-Cyrl-RS"/>
        </w:rPr>
        <w:t>х</w:t>
      </w:r>
      <w:r w:rsidRPr="00EF2F18">
        <w:rPr>
          <w:rFonts w:cs="Times New Roman"/>
          <w:sz w:val="22"/>
          <w:lang w:val="sr-Cyrl-RS"/>
        </w:rPr>
        <w:t xml:space="preserve"> промена и </w:t>
      </w:r>
      <w:r w:rsidR="00F257A5" w:rsidRPr="00EF2F18">
        <w:rPr>
          <w:rFonts w:cs="Times New Roman"/>
          <w:sz w:val="22"/>
          <w:lang w:val="sr-Cyrl-RS"/>
        </w:rPr>
        <w:t>прилагођавању</w:t>
      </w:r>
      <w:r w:rsidRPr="00EF2F18">
        <w:rPr>
          <w:rFonts w:cs="Times New Roman"/>
          <w:sz w:val="22"/>
          <w:lang w:val="sr-Cyrl-RS"/>
        </w:rPr>
        <w:t xml:space="preserve"> на измењене климатске услове. </w:t>
      </w:r>
    </w:p>
    <w:p w14:paraId="579EA95E" w14:textId="56F3AE9E" w:rsidR="009C7A96" w:rsidRPr="00EF2F18" w:rsidRDefault="009C7A96" w:rsidP="009C7A96">
      <w:pPr>
        <w:spacing w:after="0"/>
        <w:ind w:firstLine="720"/>
        <w:jc w:val="both"/>
        <w:rPr>
          <w:rFonts w:cs="Times New Roman"/>
          <w:sz w:val="22"/>
          <w:lang w:val="sr-Cyrl-RS"/>
        </w:rPr>
      </w:pPr>
      <w:r w:rsidRPr="00EF2F18">
        <w:rPr>
          <w:rFonts w:cs="Times New Roman"/>
          <w:sz w:val="22"/>
          <w:lang w:val="sr-Cyrl-RS"/>
        </w:rPr>
        <w:lastRenderedPageBreak/>
        <w:t xml:space="preserve">У складу са стратешким и планским документима потребно је применити решења заснована на природи којима ће се смањити емисија </w:t>
      </w:r>
      <w:r w:rsidRPr="00EF2F18">
        <w:rPr>
          <w:rFonts w:cs="Times New Roman"/>
          <w:i/>
          <w:iCs/>
          <w:sz w:val="22"/>
          <w:lang w:val="sr-Cyrl-RS"/>
        </w:rPr>
        <w:t>GHG</w:t>
      </w:r>
      <w:r w:rsidRPr="00EF2F18">
        <w:rPr>
          <w:rFonts w:cs="Times New Roman"/>
          <w:sz w:val="22"/>
          <w:lang w:val="sr-Cyrl-RS"/>
        </w:rPr>
        <w:t xml:space="preserve"> и истовремено обезбедити вишеструка корист у области прилагођавања у различитим секторима као што су шумарство, управљање водама односно поплавама, управљање мочварним подручјима и пољопривреда, као и инфраструктуре.</w:t>
      </w:r>
    </w:p>
    <w:p w14:paraId="7CD4549C" w14:textId="7FC001F9" w:rsidR="009C7A96" w:rsidRPr="00EF2F18" w:rsidRDefault="009C7A96" w:rsidP="009C7A96">
      <w:pPr>
        <w:spacing w:after="0"/>
        <w:ind w:firstLine="720"/>
        <w:jc w:val="both"/>
        <w:rPr>
          <w:rFonts w:cs="Times New Roman"/>
          <w:sz w:val="22"/>
          <w:lang w:val="sr-Cyrl-RS"/>
        </w:rPr>
      </w:pPr>
      <w:r w:rsidRPr="00EF2F18">
        <w:rPr>
          <w:rFonts w:cs="Times New Roman"/>
          <w:sz w:val="22"/>
          <w:lang w:val="sr-Cyrl-RS"/>
        </w:rPr>
        <w:t>У циљу што боље имплементације решења заснованих на природи, потребно је размотрити потенцијал на различитим ра</w:t>
      </w:r>
      <w:r w:rsidR="00240DC9" w:rsidRPr="00EF2F18">
        <w:rPr>
          <w:rFonts w:cs="Times New Roman"/>
          <w:sz w:val="22"/>
          <w:lang w:val="sr-Cyrl-RS"/>
        </w:rPr>
        <w:t>з</w:t>
      </w:r>
      <w:r w:rsidRPr="00EF2F18">
        <w:rPr>
          <w:rFonts w:cs="Times New Roman"/>
          <w:sz w:val="22"/>
          <w:lang w:val="sr-Cyrl-RS"/>
        </w:rPr>
        <w:t>мерама, односно прилагодити мере у складу са</w:t>
      </w:r>
      <w:r w:rsidR="006C2E00" w:rsidRPr="00EF2F18">
        <w:rPr>
          <w:rFonts w:cs="Times New Roman"/>
          <w:sz w:val="22"/>
          <w:lang w:val="sr-Cyrl-RS"/>
        </w:rPr>
        <w:t xml:space="preserve"> </w:t>
      </w:r>
      <w:r w:rsidRPr="00EF2F18">
        <w:rPr>
          <w:rFonts w:cs="Times New Roman"/>
          <w:i/>
          <w:sz w:val="22"/>
          <w:lang w:val="sr-Cyrl-RS"/>
        </w:rPr>
        <w:t>Решењима заснованим на природи великих размера/</w:t>
      </w:r>
      <w:r w:rsidRPr="00EF2F18">
        <w:rPr>
          <w:rFonts w:cs="Times New Roman"/>
          <w:sz w:val="22"/>
          <w:lang w:val="sr-Cyrl-RS"/>
        </w:rPr>
        <w:t xml:space="preserve"> „Large scale NBS</w:t>
      </w:r>
      <w:r w:rsidR="00865FD0" w:rsidRPr="00EF2F18">
        <w:rPr>
          <w:rFonts w:cs="Times New Roman"/>
          <w:sz w:val="22"/>
          <w:lang w:val="sr-Cyrl-RS"/>
        </w:rPr>
        <w:t>”</w:t>
      </w:r>
      <w:r w:rsidRPr="00EF2F18">
        <w:rPr>
          <w:rFonts w:cs="Times New Roman"/>
          <w:sz w:val="22"/>
          <w:lang w:val="sr-Cyrl-RS"/>
        </w:rPr>
        <w:t xml:space="preserve"> и </w:t>
      </w:r>
      <w:r w:rsidRPr="00EF2F18">
        <w:rPr>
          <w:rFonts w:cs="Times New Roman"/>
          <w:i/>
          <w:sz w:val="22"/>
          <w:lang w:val="sr-Cyrl-RS"/>
        </w:rPr>
        <w:t>Решења заснованих на природи малих размера</w:t>
      </w:r>
      <w:r w:rsidRPr="00EF2F18">
        <w:rPr>
          <w:rFonts w:cs="Times New Roman"/>
          <w:sz w:val="22"/>
          <w:lang w:val="sr-Cyrl-RS"/>
        </w:rPr>
        <w:t xml:space="preserve"> „Small scale NBS</w:t>
      </w:r>
      <w:r w:rsidR="00865FD0" w:rsidRPr="00EF2F18">
        <w:rPr>
          <w:rFonts w:cs="Times New Roman"/>
          <w:sz w:val="22"/>
          <w:lang w:val="sr-Cyrl-RS"/>
        </w:rPr>
        <w:t>”</w:t>
      </w:r>
      <w:r w:rsidRPr="00EF2F18">
        <w:rPr>
          <w:rFonts w:cs="Times New Roman"/>
          <w:sz w:val="22"/>
          <w:lang w:val="sr-Cyrl-RS"/>
        </w:rPr>
        <w:t xml:space="preserve">, a у складу са еколошким, друштвеним и економским користима за друштво и заједницу. </w:t>
      </w:r>
    </w:p>
    <w:p w14:paraId="78BEE03A" w14:textId="77777777" w:rsidR="009C7A96" w:rsidRPr="00EF2F18" w:rsidRDefault="009C7A96" w:rsidP="009C7A96">
      <w:pPr>
        <w:spacing w:after="0"/>
        <w:ind w:firstLine="720"/>
        <w:jc w:val="both"/>
        <w:rPr>
          <w:rFonts w:cs="Times New Roman"/>
          <w:sz w:val="22"/>
          <w:lang w:val="sr-Cyrl-RS"/>
        </w:rPr>
      </w:pPr>
      <w:r w:rsidRPr="00EF2F18">
        <w:rPr>
          <w:rFonts w:cs="Times New Roman"/>
          <w:sz w:val="22"/>
          <w:lang w:val="sr-Cyrl-RS"/>
        </w:rPr>
        <w:t xml:space="preserve">Решења заснована на природи су акције за заштиту, одрживо управљање и обнављање природних или модификованих екосистема које одговарају на делотворан и адаптиван начин на друштвене изазове, а истовремено обезбеђују користи за добробит људи и биодиверзитета. Ова мера подразумева едукацију и пружање смерница како би интервенције које су засноване на природи допринеле ублажавању климатских промена. Такође, треба имати у виду да решења заснована на природи треба да буду економски изводљива, односно економски исплатива и привлачна као најбољи избор за постизање климатске неутралности којим бидоверзитет неће бити угрожена а од којих локалне заједнице имају корист. </w:t>
      </w:r>
    </w:p>
    <w:p w14:paraId="4DACFF24" w14:textId="310B0FE7" w:rsidR="009C7A96" w:rsidRPr="00EF2F18" w:rsidRDefault="009C7A96" w:rsidP="009C7A96">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r w:rsidRPr="00EF2F18">
        <w:rPr>
          <w:rFonts w:cs="Times New Roman"/>
          <w:sz w:val="22"/>
          <w:lang w:val="sr-Cyrl-RS" w:eastAsia="en-GB"/>
        </w:rPr>
        <w:t xml:space="preserve"> </w:t>
      </w:r>
    </w:p>
    <w:p w14:paraId="00C4DB7A" w14:textId="62B10875" w:rsidR="009C7A96" w:rsidRPr="00EF2F18" w:rsidRDefault="009C7A96" w:rsidP="009C7A96">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пољопривреде, шумарства и водопривреде, Министарство грађевинарства, саобраћаја и инфраструктуре, научно-истраживачке </w:t>
      </w:r>
      <w:r w:rsidR="00685595" w:rsidRPr="00EF2F18">
        <w:rPr>
          <w:rFonts w:cs="Times New Roman"/>
          <w:sz w:val="22"/>
          <w:lang w:val="sr-Cyrl-RS" w:eastAsia="en-GB"/>
        </w:rPr>
        <w:t>организације</w:t>
      </w:r>
      <w:r w:rsidRPr="00EF2F18">
        <w:rPr>
          <w:rFonts w:cs="Times New Roman"/>
          <w:sz w:val="22"/>
          <w:lang w:val="sr-Cyrl-RS" w:eastAsia="en-GB"/>
        </w:rPr>
        <w:t>, јавна предузећа за управљање шумама, јавна предузећа за управљање водама, приватни власници шума, јединице локалне самоуправе</w:t>
      </w:r>
      <w:r w:rsidR="000F65B5" w:rsidRPr="00EF2F18">
        <w:rPr>
          <w:rFonts w:cs="Times New Roman"/>
          <w:sz w:val="22"/>
          <w:lang w:val="sr-Cyrl-RS" w:eastAsia="en-GB"/>
        </w:rPr>
        <w:t xml:space="preserve">, </w:t>
      </w:r>
      <w:r w:rsidR="000F65B5" w:rsidRPr="00EF2F18">
        <w:rPr>
          <w:bCs/>
          <w:color w:val="000000"/>
          <w:sz w:val="23"/>
          <w:szCs w:val="23"/>
          <w:lang w:val="sr-Cyrl-RS"/>
        </w:rPr>
        <w:t>ЗЗПС, ПЗЗП</w:t>
      </w:r>
      <w:r w:rsidR="00185A75" w:rsidRPr="00EF2F18">
        <w:rPr>
          <w:bCs/>
          <w:color w:val="000000"/>
          <w:sz w:val="23"/>
          <w:szCs w:val="23"/>
          <w:lang w:val="sr-Cyrl-RS"/>
        </w:rPr>
        <w:t>.</w:t>
      </w:r>
    </w:p>
    <w:p w14:paraId="1B24912B" w14:textId="10ACC2ED" w:rsidR="009C7A96" w:rsidRPr="00EF2F18" w:rsidRDefault="009C7A96" w:rsidP="009C7A96">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007A2E9F" w:rsidRPr="00EF2F18">
        <w:rPr>
          <w:rFonts w:cs="Times New Roman"/>
          <w:sz w:val="22"/>
          <w:lang w:val="sr-Cyrl-RS" w:eastAsia="en-GB"/>
        </w:rPr>
        <w:t>: информативно-едукативна</w:t>
      </w:r>
      <w:r w:rsidR="00185A75" w:rsidRPr="00EF2F18">
        <w:rPr>
          <w:rFonts w:cs="Times New Roman"/>
          <w:sz w:val="22"/>
          <w:lang w:val="sr-Cyrl-RS" w:eastAsia="en-GB"/>
        </w:rPr>
        <w:t>.</w:t>
      </w:r>
    </w:p>
    <w:p w14:paraId="1D60E2F7" w14:textId="77777777" w:rsidR="009C7F51" w:rsidRPr="00EF2F18" w:rsidRDefault="009C7F51" w:rsidP="009C7F51">
      <w:pPr>
        <w:spacing w:after="0"/>
        <w:ind w:firstLine="720"/>
        <w:jc w:val="both"/>
        <w:rPr>
          <w:rFonts w:cs="Times New Roman"/>
          <w:sz w:val="22"/>
          <w:highlight w:val="yellow"/>
          <w:lang w:val="sr-Cyrl-RS" w:eastAsia="en-GB"/>
        </w:rPr>
      </w:pPr>
    </w:p>
    <w:p w14:paraId="0EFB2E04" w14:textId="688416FB" w:rsidR="006D0D74" w:rsidRPr="00EF2F18" w:rsidRDefault="006D0D74" w:rsidP="006D0D74">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Мера 1.1.1</w:t>
      </w:r>
      <w:r w:rsidR="00B4499B" w:rsidRPr="00EF2F18">
        <w:rPr>
          <w:rFonts w:cs="Times New Roman"/>
          <w:b/>
          <w:bCs/>
          <w:sz w:val="22"/>
          <w:lang w:val="sr-Cyrl-RS" w:eastAsia="en-GB"/>
        </w:rPr>
        <w:t>2</w:t>
      </w:r>
      <w:r w:rsidRPr="00EF2F18">
        <w:rPr>
          <w:rFonts w:cs="Times New Roman"/>
          <w:b/>
          <w:bCs/>
          <w:sz w:val="22"/>
          <w:lang w:val="sr-Cyrl-RS" w:eastAsia="en-GB"/>
        </w:rPr>
        <w:t>.</w:t>
      </w:r>
      <w:r w:rsidR="003830B1" w:rsidRPr="00EF2F18">
        <w:rPr>
          <w:rFonts w:cs="Times New Roman"/>
          <w:b/>
          <w:bCs/>
          <w:sz w:val="22"/>
          <w:lang w:val="sr-Cyrl-RS" w:eastAsia="en-GB"/>
        </w:rPr>
        <w:t xml:space="preserve"> </w:t>
      </w:r>
      <w:r w:rsidR="00C7266D" w:rsidRPr="00EF2F18">
        <w:rPr>
          <w:rFonts w:cs="Times New Roman"/>
          <w:b/>
          <w:bCs/>
          <w:sz w:val="22"/>
          <w:lang w:val="sr-Cyrl-RS" w:eastAsia="en-GB"/>
        </w:rPr>
        <w:t>Ограничавање потрошње</w:t>
      </w:r>
      <w:r w:rsidR="00E02E0B" w:rsidRPr="00EF2F18">
        <w:rPr>
          <w:rFonts w:cs="Times New Roman"/>
          <w:b/>
          <w:bCs/>
          <w:sz w:val="22"/>
          <w:lang w:val="sr-Cyrl-RS" w:eastAsia="en-GB"/>
        </w:rPr>
        <w:t xml:space="preserve"> </w:t>
      </w:r>
      <w:r w:rsidR="00C7266D" w:rsidRPr="00EF2F18">
        <w:rPr>
          <w:rFonts w:cs="Times New Roman"/>
          <w:b/>
          <w:bCs/>
          <w:sz w:val="22"/>
          <w:lang w:val="sr-Cyrl-RS" w:eastAsia="en-GB"/>
        </w:rPr>
        <w:t xml:space="preserve">флуорованих </w:t>
      </w:r>
      <w:r w:rsidR="007F1184" w:rsidRPr="00EF2F18">
        <w:rPr>
          <w:rFonts w:cs="Times New Roman"/>
          <w:b/>
          <w:bCs/>
          <w:sz w:val="22"/>
          <w:lang w:val="sr-Cyrl-RS" w:eastAsia="en-GB"/>
        </w:rPr>
        <w:t>гасова са ефектом стаклене баште</w:t>
      </w:r>
    </w:p>
    <w:p w14:paraId="0E87DE7E" w14:textId="77777777" w:rsidR="00D83673" w:rsidRPr="00EF2F18" w:rsidRDefault="00D83673" w:rsidP="009C7F51">
      <w:pPr>
        <w:spacing w:after="0"/>
        <w:ind w:firstLine="720"/>
        <w:jc w:val="both"/>
        <w:rPr>
          <w:rFonts w:cs="Times New Roman"/>
          <w:sz w:val="22"/>
          <w:lang w:val="sr-Cyrl-RS"/>
        </w:rPr>
      </w:pPr>
    </w:p>
    <w:p w14:paraId="2782515F" w14:textId="262DE06C"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Ова мера се односи на усклађивање постојеће Уредбе о поступању са флуорованим гасовима са ефектом стаклене баште</w:t>
      </w:r>
      <w:r w:rsidR="00954A8A" w:rsidRPr="00EF2F18">
        <w:rPr>
          <w:rFonts w:cs="Times New Roman"/>
          <w:sz w:val="22"/>
          <w:lang w:val="sr-Cyrl-RS"/>
        </w:rPr>
        <w:t xml:space="preserve">, као и дозволама за увоз и извоз тих гасова </w:t>
      </w:r>
      <w:r w:rsidR="00E97FBA" w:rsidRPr="00EF2F18">
        <w:rPr>
          <w:rFonts w:cs="Times New Roman"/>
          <w:sz w:val="22"/>
          <w:lang w:val="sr-Cyrl-RS"/>
        </w:rPr>
        <w:t>(„Службени гласник РС</w:t>
      </w:r>
      <w:r w:rsidR="00865FD0" w:rsidRPr="00EF2F18">
        <w:rPr>
          <w:rFonts w:cs="Times New Roman"/>
          <w:sz w:val="22"/>
          <w:lang w:val="sr-Cyrl-RS"/>
        </w:rPr>
        <w:t>”</w:t>
      </w:r>
      <w:r w:rsidR="00E97FBA" w:rsidRPr="00EF2F18">
        <w:rPr>
          <w:rFonts w:cs="Times New Roman"/>
          <w:sz w:val="22"/>
          <w:lang w:val="sr-Cyrl-RS"/>
        </w:rPr>
        <w:t>, бр. 120/13 и 44/18</w:t>
      </w:r>
      <w:r w:rsidR="005C3863" w:rsidRPr="00EF2F18">
        <w:rPr>
          <w:rFonts w:cs="Times New Roman"/>
          <w:sz w:val="22"/>
          <w:lang w:val="sr-Cyrl-RS"/>
        </w:rPr>
        <w:t xml:space="preserve"> </w:t>
      </w:r>
      <w:r w:rsidR="00D52ED8">
        <w:rPr>
          <w:rFonts w:cs="Times New Roman"/>
          <w:sz w:val="22"/>
          <w:lang w:val="sr-Cyrl-RS"/>
        </w:rPr>
        <w:t>–</w:t>
      </w:r>
      <w:r w:rsidR="005C3863" w:rsidRPr="00EF2F18">
        <w:rPr>
          <w:rFonts w:cs="Times New Roman"/>
          <w:sz w:val="22"/>
          <w:lang w:val="sr-Cyrl-RS"/>
        </w:rPr>
        <w:t xml:space="preserve"> </w:t>
      </w:r>
      <w:r w:rsidR="00E97FBA" w:rsidRPr="00EF2F18">
        <w:rPr>
          <w:rFonts w:cs="Times New Roman"/>
          <w:sz w:val="22"/>
          <w:lang w:val="sr-Cyrl-RS"/>
        </w:rPr>
        <w:t>др. закон)</w:t>
      </w:r>
      <w:r w:rsidRPr="00EF2F18">
        <w:rPr>
          <w:rFonts w:cs="Times New Roman"/>
          <w:sz w:val="22"/>
          <w:lang w:val="sr-Cyrl-RS"/>
        </w:rPr>
        <w:t>, као и условима за издавање дозвола за увоз и извоз тих гасова са Кигали амандманом</w:t>
      </w:r>
      <w:r w:rsidR="00E97FBA" w:rsidRPr="00EF2F18">
        <w:rPr>
          <w:rFonts w:cs="Times New Roman"/>
          <w:sz w:val="22"/>
          <w:lang w:val="sr-Cyrl-RS"/>
        </w:rPr>
        <w:t xml:space="preserve"> (V</w:t>
      </w:r>
      <w:r w:rsidR="006C2E00" w:rsidRPr="00EF2F18">
        <w:rPr>
          <w:rFonts w:cs="Times New Roman"/>
          <w:sz w:val="22"/>
          <w:lang w:val="sr-Cyrl-RS"/>
        </w:rPr>
        <w:t xml:space="preserve"> </w:t>
      </w:r>
      <w:r w:rsidR="00E97FBA" w:rsidRPr="00EF2F18">
        <w:rPr>
          <w:rFonts w:cs="Times New Roman"/>
          <w:sz w:val="22"/>
          <w:lang w:val="sr-Cyrl-RS"/>
        </w:rPr>
        <w:t>Амандман на Монтреалски протокол о супстанцама које оштећују озонски омотач)</w:t>
      </w:r>
      <w:r w:rsidRPr="00EF2F18">
        <w:rPr>
          <w:rFonts w:cs="Times New Roman"/>
          <w:sz w:val="22"/>
          <w:lang w:val="sr-Cyrl-RS"/>
        </w:rPr>
        <w:t xml:space="preserve"> којим је Република Србија је преузела обавезе по питању смањења потрошње флуорованих гасова са ефектом стаклене баште (</w:t>
      </w:r>
      <w:r w:rsidRPr="00EF2F18">
        <w:rPr>
          <w:rFonts w:cs="Times New Roman"/>
          <w:i/>
          <w:iCs/>
          <w:sz w:val="22"/>
          <w:lang w:val="sr-Cyrl-RS"/>
        </w:rPr>
        <w:t>HFC</w:t>
      </w:r>
      <w:r w:rsidRPr="00EF2F18">
        <w:rPr>
          <w:rFonts w:cs="Times New Roman"/>
          <w:sz w:val="22"/>
          <w:lang w:val="sr-Cyrl-RS"/>
        </w:rPr>
        <w:t xml:space="preserve">) и то по јасно утврђеној динамици. Прва контролна мера је утврђивање базног нивоа и замрзавање потрошње </w:t>
      </w:r>
      <w:r w:rsidRPr="00EF2F18">
        <w:rPr>
          <w:rFonts w:cs="Times New Roman"/>
          <w:i/>
          <w:iCs/>
          <w:sz w:val="22"/>
          <w:lang w:val="sr-Cyrl-RS"/>
        </w:rPr>
        <w:t>HFC</w:t>
      </w:r>
      <w:r w:rsidRPr="00EF2F18">
        <w:rPr>
          <w:rFonts w:cs="Times New Roman"/>
          <w:sz w:val="22"/>
          <w:lang w:val="sr-Cyrl-RS"/>
        </w:rPr>
        <w:t xml:space="preserve"> супстанци 2024. године, а затим поступно смањивање</w:t>
      </w:r>
      <w:r w:rsidR="00E02E0B" w:rsidRPr="00EF2F18">
        <w:rPr>
          <w:rFonts w:cs="Times New Roman"/>
          <w:sz w:val="22"/>
          <w:lang w:val="sr-Cyrl-RS"/>
        </w:rPr>
        <w:t xml:space="preserve"> (</w:t>
      </w:r>
      <w:r w:rsidR="00FE5E0A" w:rsidRPr="00EF2F18">
        <w:rPr>
          <w:rFonts w:cs="Times New Roman"/>
          <w:sz w:val="22"/>
          <w:lang w:val="sr-Cyrl-RS"/>
        </w:rPr>
        <w:t xml:space="preserve">мера је базирана на мери </w:t>
      </w:r>
      <w:r w:rsidR="00AC0590" w:rsidRPr="00EF2F18">
        <w:rPr>
          <w:rFonts w:eastAsia="Calibri" w:cs="Times New Roman"/>
          <w:sz w:val="22"/>
          <w:lang w:val="sr-Cyrl-RS"/>
        </w:rPr>
        <w:t>МП</w:t>
      </w:r>
      <w:r w:rsidR="00E02E0B" w:rsidRPr="00EF2F18">
        <w:rPr>
          <w:rFonts w:eastAsia="Calibri" w:cs="Times New Roman"/>
          <w:sz w:val="22"/>
          <w:lang w:val="sr-Cyrl-RS"/>
        </w:rPr>
        <w:t>_</w:t>
      </w:r>
      <w:r w:rsidR="00AC0590" w:rsidRPr="00EF2F18">
        <w:rPr>
          <w:rFonts w:eastAsia="Calibri" w:cs="Times New Roman"/>
          <w:sz w:val="22"/>
          <w:lang w:val="sr-Cyrl-RS"/>
        </w:rPr>
        <w:t>Д5</w:t>
      </w:r>
      <w:r w:rsidR="00E02E0B" w:rsidRPr="00EF2F18">
        <w:rPr>
          <w:rFonts w:eastAsia="Calibri" w:cs="Times New Roman"/>
          <w:sz w:val="22"/>
          <w:lang w:val="sr-Cyrl-RS"/>
        </w:rPr>
        <w:t xml:space="preserve">.1 Интегрисаног националног енергетског и климатског плана </w:t>
      </w:r>
      <w:r w:rsidR="00E02E0B" w:rsidRPr="00EF2F18">
        <w:rPr>
          <w:rFonts w:cs="Times New Roman"/>
          <w:sz w:val="22"/>
          <w:lang w:val="sr-Cyrl-RS"/>
        </w:rPr>
        <w:t>Републике Србије за период до 2030.</w:t>
      </w:r>
      <w:r w:rsidR="00E97AA4">
        <w:rPr>
          <w:rFonts w:cs="Times New Roman"/>
          <w:sz w:val="22"/>
          <w:lang w:val="sr-Cyrl-RS"/>
        </w:rPr>
        <w:t xml:space="preserve"> године</w:t>
      </w:r>
      <w:r w:rsidR="00E02E0B" w:rsidRPr="00EF2F18">
        <w:rPr>
          <w:rFonts w:cs="Times New Roman"/>
          <w:sz w:val="22"/>
          <w:lang w:val="sr-Cyrl-RS"/>
        </w:rPr>
        <w:t xml:space="preserve"> са визијом до 2050. године)</w:t>
      </w:r>
      <w:r w:rsidRPr="00EF2F18">
        <w:rPr>
          <w:rFonts w:cs="Times New Roman"/>
          <w:sz w:val="22"/>
          <w:lang w:val="sr-Cyrl-RS"/>
        </w:rPr>
        <w:t xml:space="preserve">. </w:t>
      </w:r>
    </w:p>
    <w:p w14:paraId="4D7878DC" w14:textId="77777777"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У складу са Уредбом о сертификацији лица која обављају одређене делатности у вези са супстанцама које оштећују озонски омотач и одређеним флуорованим гасовима са ефектом стаклене баште, ова мера се односи на наставак обука за сертификована лица.</w:t>
      </w:r>
    </w:p>
    <w:p w14:paraId="21C1777A" w14:textId="4CFC1AA1" w:rsidR="009C7F51"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161137D9" w14:textId="59AE6FFE" w:rsidR="009C7F51"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865FD0" w:rsidRPr="00EF2F18">
        <w:rPr>
          <w:rFonts w:cs="Times New Roman"/>
          <w:sz w:val="22"/>
          <w:lang w:val="sr-Cyrl-RS" w:eastAsia="en-GB"/>
        </w:rPr>
        <w:t>Агенција за заштиту животне средине</w:t>
      </w:r>
      <w:r w:rsidR="00185A75" w:rsidRPr="00EF2F18">
        <w:rPr>
          <w:rFonts w:cs="Times New Roman"/>
          <w:sz w:val="22"/>
          <w:lang w:val="sr-Cyrl-RS" w:eastAsia="en-GB"/>
        </w:rPr>
        <w:t>.</w:t>
      </w:r>
      <w:r w:rsidRPr="00EF2F18">
        <w:rPr>
          <w:rFonts w:cs="Times New Roman"/>
          <w:sz w:val="22"/>
          <w:lang w:val="sr-Cyrl-RS" w:eastAsia="en-GB"/>
        </w:rPr>
        <w:t xml:space="preserve"> </w:t>
      </w:r>
    </w:p>
    <w:p w14:paraId="6E036F8A" w14:textId="31F64B18" w:rsidR="007C436D" w:rsidRPr="00EF2F18" w:rsidRDefault="009C7F51" w:rsidP="009C7F51">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информативно-едукативна</w:t>
      </w:r>
      <w:r w:rsidR="00185A75" w:rsidRPr="00EF2F18">
        <w:rPr>
          <w:rFonts w:cs="Times New Roman"/>
          <w:sz w:val="22"/>
          <w:lang w:val="sr-Cyrl-RS" w:eastAsia="en-GB"/>
        </w:rPr>
        <w:t>.</w:t>
      </w:r>
    </w:p>
    <w:p w14:paraId="35D7304A" w14:textId="3C6A7A64" w:rsidR="00CB12C0" w:rsidRPr="00EF2F18" w:rsidRDefault="00CB12C0" w:rsidP="00185A75">
      <w:pPr>
        <w:spacing w:after="0"/>
        <w:jc w:val="both"/>
        <w:rPr>
          <w:rFonts w:cs="Times New Roman"/>
          <w:sz w:val="22"/>
          <w:highlight w:val="yellow"/>
          <w:lang w:val="sr-Cyrl-RS" w:eastAsia="en-GB"/>
        </w:rPr>
      </w:pPr>
    </w:p>
    <w:p w14:paraId="1CD6B766" w14:textId="49F4034B" w:rsidR="007C436D" w:rsidRPr="00EF2F18" w:rsidRDefault="007C436D"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1.2: </w:t>
      </w:r>
      <w:r w:rsidR="00A727FC" w:rsidRPr="00EF2F18">
        <w:rPr>
          <w:rFonts w:cs="Times New Roman"/>
          <w:b/>
          <w:bCs/>
          <w:color w:val="2E74B5" w:themeColor="accent1" w:themeShade="BF"/>
          <w:sz w:val="22"/>
          <w:lang w:val="sr-Cyrl-RS"/>
        </w:rPr>
        <w:t>Повећање отпорности на климатске промене</w:t>
      </w:r>
    </w:p>
    <w:p w14:paraId="4AFA7F89" w14:textId="77777777" w:rsidR="00971CF1" w:rsidRDefault="00971CF1" w:rsidP="009C7F51">
      <w:pPr>
        <w:spacing w:after="0"/>
        <w:ind w:firstLine="720"/>
        <w:jc w:val="both"/>
        <w:rPr>
          <w:rFonts w:cs="Times New Roman"/>
          <w:sz w:val="22"/>
          <w:lang w:val="sr-Cyrl-RS"/>
        </w:rPr>
      </w:pPr>
    </w:p>
    <w:p w14:paraId="31C63F66" w14:textId="339DE22C"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 xml:space="preserve">Спровођење овог циља у складу је са </w:t>
      </w:r>
      <w:r w:rsidR="009F1B47" w:rsidRPr="00EF2F18">
        <w:rPr>
          <w:rFonts w:cs="Times New Roman"/>
          <w:sz w:val="22"/>
          <w:lang w:val="sr-Cyrl-RS"/>
        </w:rPr>
        <w:t xml:space="preserve">међународним </w:t>
      </w:r>
      <w:r w:rsidRPr="00EF2F18">
        <w:rPr>
          <w:rFonts w:cs="Times New Roman"/>
          <w:sz w:val="22"/>
          <w:lang w:val="sr-Cyrl-RS"/>
        </w:rPr>
        <w:t>и ЕУ смерницама</w:t>
      </w:r>
      <w:r w:rsidR="006C2E00" w:rsidRPr="00EF2F18">
        <w:rPr>
          <w:rFonts w:cs="Times New Roman"/>
          <w:sz w:val="22"/>
          <w:lang w:val="sr-Cyrl-RS"/>
        </w:rPr>
        <w:t xml:space="preserve"> </w:t>
      </w:r>
      <w:r w:rsidRPr="00EF2F18">
        <w:rPr>
          <w:rFonts w:cs="Times New Roman"/>
          <w:sz w:val="22"/>
          <w:lang w:val="sr-Cyrl-RS"/>
        </w:rPr>
        <w:t xml:space="preserve">које се заснивају на успостављању ефикасног система мониторинга, извештавања и евалуације, приоритизујући мониторинг и извештавање у циљу повећања отпорности на измењене климатске услове и природне катастрофе како би се прилагођавање учинило паметнијим, бржим и системским. </w:t>
      </w:r>
    </w:p>
    <w:p w14:paraId="2E0EDB55" w14:textId="1CBD1D87" w:rsidR="00D45E19" w:rsidRPr="00EF2F18" w:rsidRDefault="009C7F51" w:rsidP="009C7F51">
      <w:pPr>
        <w:spacing w:after="0"/>
        <w:ind w:firstLine="720"/>
        <w:jc w:val="both"/>
        <w:rPr>
          <w:sz w:val="22"/>
          <w:lang w:val="sr-Cyrl-RS"/>
        </w:rPr>
      </w:pPr>
      <w:r w:rsidRPr="00EF2F18">
        <w:rPr>
          <w:rFonts w:cs="Times New Roman"/>
          <w:sz w:val="22"/>
          <w:lang w:val="sr-Cyrl-RS"/>
        </w:rPr>
        <w:t>Овај циљ доприноси реализацији ЦОР 13, који налаже да се предузме хитна акција у борби против климатских промена и њихових последица.</w:t>
      </w:r>
    </w:p>
    <w:p w14:paraId="3E1406AA" w14:textId="77777777" w:rsidR="0093359E" w:rsidRPr="00EF2F18" w:rsidRDefault="0093359E" w:rsidP="009C7F51">
      <w:pPr>
        <w:spacing w:after="0"/>
        <w:ind w:firstLine="720"/>
        <w:jc w:val="both"/>
        <w:rPr>
          <w:sz w:val="22"/>
          <w:lang w:val="sr-Cyrl-RS"/>
        </w:rPr>
      </w:pPr>
    </w:p>
    <w:p w14:paraId="2A211612" w14:textId="459311E7" w:rsidR="008C4982" w:rsidRPr="00EF2F18" w:rsidRDefault="008C4982" w:rsidP="008C4982">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lastRenderedPageBreak/>
        <w:t xml:space="preserve">Мера 1.2.1. </w:t>
      </w:r>
      <w:r w:rsidR="00C7266D" w:rsidRPr="00EF2F18">
        <w:rPr>
          <w:rFonts w:cs="Times New Roman"/>
          <w:b/>
          <w:bCs/>
          <w:sz w:val="22"/>
          <w:lang w:val="sr-Cyrl-RS"/>
        </w:rPr>
        <w:t xml:space="preserve">Унапређење регулаторног оквира </w:t>
      </w:r>
      <w:r w:rsidR="00FC210A" w:rsidRPr="00EF2F18">
        <w:rPr>
          <w:rFonts w:cs="Times New Roman"/>
          <w:b/>
          <w:bCs/>
          <w:sz w:val="22"/>
          <w:lang w:val="sr-Cyrl-RS"/>
        </w:rPr>
        <w:t>прилагођавања на измењене климатске услове</w:t>
      </w:r>
    </w:p>
    <w:p w14:paraId="70E22BB2" w14:textId="77777777" w:rsidR="00D83673" w:rsidRPr="00EF2F18" w:rsidRDefault="00D83673" w:rsidP="00DF2340">
      <w:pPr>
        <w:spacing w:after="0"/>
        <w:ind w:firstLine="720"/>
        <w:jc w:val="both"/>
        <w:rPr>
          <w:rFonts w:cs="Times New Roman"/>
          <w:sz w:val="22"/>
          <w:lang w:val="sr-Cyrl-RS"/>
        </w:rPr>
      </w:pPr>
    </w:p>
    <w:p w14:paraId="28F40ADD" w14:textId="06B535EB"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Мера подразумева ревизију Закона о климатским променама и доношење подзаконских аката, измене и допуне политика и стратешких докумената у погледу климатских промена, у складу са смерницама из Законa о клими ЕУ у делу прилагођавања на измењене климатске услове, али и како би се спровеле мере из Акционог плана за имплементацију Софијске декларације о Зеленој </w:t>
      </w:r>
      <w:r w:rsidR="00576976" w:rsidRPr="00EF2F18">
        <w:rPr>
          <w:rFonts w:cs="Times New Roman"/>
          <w:sz w:val="22"/>
          <w:lang w:val="sr-Cyrl-RS"/>
        </w:rPr>
        <w:t xml:space="preserve">агенди </w:t>
      </w:r>
      <w:r w:rsidRPr="00EF2F18">
        <w:rPr>
          <w:rFonts w:cs="Times New Roman"/>
          <w:sz w:val="22"/>
          <w:lang w:val="sr-Cyrl-RS"/>
        </w:rPr>
        <w:t xml:space="preserve">за Западни Балкан, и међународне обавезе, чиме би се осигурала спремност државе и изградили капацитети за ефикасан одговор институција на промену климе уз заштиту грађана, њихове имовине и живота. </w:t>
      </w:r>
    </w:p>
    <w:p w14:paraId="75CA7F72" w14:textId="77777777"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У оквиру ове мере припремиће се и усвојити измене и допуне Закона о климатским променама, али и израдити подзаконски акти у складу са изменама и допунама Закона о климатским променама који ће омогућити операционализацију Закона у делу који се односи на прилагођавање на измењене климатске услове.</w:t>
      </w:r>
    </w:p>
    <w:p w14:paraId="3EBA9090" w14:textId="64740F4B" w:rsidR="008C4982" w:rsidRPr="00EF2F18" w:rsidRDefault="008C4982" w:rsidP="00DF2340">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1648C80C" w14:textId="4EA9312C"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D37220" w:rsidRPr="00EF2F18">
        <w:rPr>
          <w:rFonts w:cs="Times New Roman"/>
          <w:sz w:val="22"/>
          <w:lang w:val="sr-Cyrl-RS" w:eastAsia="en-GB"/>
        </w:rPr>
        <w:t xml:space="preserve"> Министарство пољопривреде, шумарства и водопривреде, Министарство унутрашњих послова, Министарство финансија, Министарство привреде, Министарство грађевинарства, саобраћаја и инфраструктуре</w:t>
      </w:r>
      <w:r w:rsidRPr="00EF2F18">
        <w:rPr>
          <w:rFonts w:cs="Times New Roman"/>
          <w:sz w:val="22"/>
          <w:lang w:val="sr-Cyrl-RS" w:eastAsia="en-GB"/>
        </w:rPr>
        <w:t>, Министарство за јавна улагања</w:t>
      </w:r>
      <w:r w:rsidR="00AC211D" w:rsidRPr="00EF2F18">
        <w:rPr>
          <w:rFonts w:cs="Times New Roman"/>
          <w:sz w:val="22"/>
          <w:lang w:val="sr-Cyrl-RS" w:eastAsia="en-GB"/>
        </w:rPr>
        <w:t>, Министарство за европске интеграције, Министарство науке, технолошког развоја и иновација</w:t>
      </w:r>
      <w:r w:rsidR="00185A75" w:rsidRPr="00EF2F18">
        <w:rPr>
          <w:rFonts w:cs="Times New Roman"/>
          <w:sz w:val="22"/>
          <w:lang w:val="sr-Cyrl-RS" w:eastAsia="en-GB"/>
        </w:rPr>
        <w:t>.</w:t>
      </w:r>
    </w:p>
    <w:p w14:paraId="012F1EC6" w14:textId="1D18D4EC" w:rsidR="008C4982" w:rsidRPr="00EF2F18" w:rsidRDefault="008C4982" w:rsidP="008C4982">
      <w:pPr>
        <w:spacing w:after="0"/>
        <w:ind w:firstLine="720"/>
        <w:jc w:val="both"/>
        <w:rPr>
          <w:lang w:val="sr-Cyrl-RS"/>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185A75" w:rsidRPr="00EF2F18">
        <w:rPr>
          <w:rFonts w:cs="Times New Roman"/>
          <w:sz w:val="22"/>
          <w:lang w:val="sr-Cyrl-RS" w:eastAsia="en-GB"/>
        </w:rPr>
        <w:t>.</w:t>
      </w:r>
    </w:p>
    <w:p w14:paraId="27944740" w14:textId="77777777" w:rsidR="0093359E" w:rsidRPr="00EF2F18" w:rsidRDefault="0093359E" w:rsidP="009C7F51">
      <w:pPr>
        <w:spacing w:after="0"/>
        <w:ind w:firstLine="720"/>
        <w:jc w:val="both"/>
        <w:rPr>
          <w:sz w:val="22"/>
          <w:lang w:val="sr-Cyrl-RS"/>
        </w:rPr>
      </w:pPr>
    </w:p>
    <w:p w14:paraId="03C31EAF" w14:textId="774D04C1" w:rsidR="003D2534" w:rsidRPr="00EF2F18" w:rsidRDefault="003D2534" w:rsidP="003D2534">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1.2.2. </w:t>
      </w:r>
      <w:r w:rsidRPr="00EF2F18">
        <w:rPr>
          <w:rFonts w:cs="Times New Roman"/>
          <w:b/>
          <w:bCs/>
          <w:sz w:val="22"/>
          <w:lang w:val="sr-Cyrl-RS"/>
        </w:rPr>
        <w:t>Унапређење процеса извештавања у области прилагођавања на измењене климатске услове</w:t>
      </w:r>
    </w:p>
    <w:p w14:paraId="09225B7A" w14:textId="77777777" w:rsidR="00D83673" w:rsidRPr="00EF2F18" w:rsidRDefault="00D83673" w:rsidP="00DF2340">
      <w:pPr>
        <w:spacing w:after="0"/>
        <w:ind w:firstLine="720"/>
        <w:jc w:val="both"/>
        <w:rPr>
          <w:rFonts w:cs="Times New Roman"/>
          <w:sz w:val="22"/>
          <w:lang w:val="sr-Cyrl-RS"/>
        </w:rPr>
      </w:pPr>
    </w:p>
    <w:p w14:paraId="06212928" w14:textId="7629C742"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Мера подразумева усвајање подзаконског акта о извештавању о реализацији програма прилагођавања на измењене климатске</w:t>
      </w:r>
      <w:r w:rsidR="00971CF1">
        <w:rPr>
          <w:rFonts w:cs="Times New Roman"/>
          <w:sz w:val="22"/>
          <w:lang w:val="sr-Cyrl-RS"/>
        </w:rPr>
        <w:t xml:space="preserve"> услове у складу са чланом</w:t>
      </w:r>
      <w:r w:rsidRPr="00EF2F18">
        <w:rPr>
          <w:rFonts w:cs="Times New Roman"/>
          <w:sz w:val="22"/>
          <w:lang w:val="sr-Cyrl-RS"/>
        </w:rPr>
        <w:t xml:space="preserve"> 15. Закона о климатским променама. </w:t>
      </w:r>
    </w:p>
    <w:p w14:paraId="1BD0DF89" w14:textId="77777777"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Ова мера подразумева и обуке ЈЛС за припрему акта о извештавању о реализацији Програма прилагођавања на измењене климатске услове. </w:t>
      </w:r>
    </w:p>
    <w:p w14:paraId="233CEDE9" w14:textId="0BDD7BAA" w:rsidR="003D2534" w:rsidRPr="00EF2F18" w:rsidRDefault="003D2534" w:rsidP="003D2534">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737FD11E" w14:textId="1FD292ED" w:rsidR="003D2534" w:rsidRPr="00EF2F18" w:rsidRDefault="003D2534" w:rsidP="003D2534">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1B6C03" w:rsidRPr="00EF2F18">
        <w:rPr>
          <w:rFonts w:cs="Times New Roman"/>
          <w:sz w:val="22"/>
          <w:lang w:val="sr-Cyrl-RS" w:eastAsia="en-GB"/>
        </w:rPr>
        <w:t xml:space="preserve"> </w:t>
      </w:r>
      <w:r w:rsidRPr="00EF2F18">
        <w:rPr>
          <w:rFonts w:cs="Times New Roman"/>
          <w:sz w:val="22"/>
          <w:lang w:val="sr-Cyrl-RS" w:eastAsia="en-GB"/>
        </w:rPr>
        <w:t>Министарство пољопривреде, шумарства и водопривреде, Министарство унутрашњих послова, Министарство финансија, Министарство привреде, Министарство грађевинарства, саобраћаја и инфраструктуре, Министарство за јавна улагања</w:t>
      </w:r>
      <w:r w:rsidR="00185A75" w:rsidRPr="00EF2F18">
        <w:rPr>
          <w:rFonts w:cs="Times New Roman"/>
          <w:sz w:val="22"/>
          <w:lang w:val="sr-Cyrl-RS" w:eastAsia="en-GB"/>
        </w:rPr>
        <w:t>.</w:t>
      </w:r>
    </w:p>
    <w:p w14:paraId="09866510" w14:textId="10B5E049" w:rsidR="003D2534" w:rsidRPr="00EF2F18" w:rsidRDefault="003D2534" w:rsidP="003D2534">
      <w:pPr>
        <w:spacing w:after="0"/>
        <w:ind w:firstLine="720"/>
        <w:jc w:val="both"/>
        <w:rPr>
          <w:lang w:val="sr-Cyrl-RS"/>
        </w:rPr>
      </w:pPr>
      <w:r w:rsidRPr="00EF2F18">
        <w:rPr>
          <w:rFonts w:cs="Times New Roman"/>
          <w:b/>
          <w:bCs/>
          <w:sz w:val="22"/>
          <w:lang w:val="sr-Cyrl-RS" w:eastAsia="en-GB"/>
        </w:rPr>
        <w:t>Врста мере</w:t>
      </w:r>
      <w:r w:rsidR="007A2E9F" w:rsidRPr="00EF2F18">
        <w:rPr>
          <w:rFonts w:cs="Times New Roman"/>
          <w:sz w:val="22"/>
          <w:lang w:val="sr-Cyrl-RS" w:eastAsia="en-GB"/>
        </w:rPr>
        <w:t>: регулаторна</w:t>
      </w:r>
      <w:r w:rsidR="00185A75" w:rsidRPr="00EF2F18">
        <w:rPr>
          <w:rFonts w:cs="Times New Roman"/>
          <w:sz w:val="22"/>
          <w:lang w:val="sr-Cyrl-RS" w:eastAsia="en-GB"/>
        </w:rPr>
        <w:t>.</w:t>
      </w:r>
    </w:p>
    <w:p w14:paraId="6FD8C2C9" w14:textId="77777777" w:rsidR="003D2534" w:rsidRPr="00EF2F18" w:rsidRDefault="003D2534" w:rsidP="009C7F51">
      <w:pPr>
        <w:spacing w:after="0"/>
        <w:ind w:firstLine="720"/>
        <w:jc w:val="both"/>
        <w:rPr>
          <w:sz w:val="22"/>
          <w:highlight w:val="yellow"/>
          <w:lang w:val="sr-Cyrl-RS"/>
        </w:rPr>
      </w:pPr>
    </w:p>
    <w:p w14:paraId="09A4D707" w14:textId="01BE8885" w:rsidR="008C4982" w:rsidRPr="00EF2F18" w:rsidRDefault="008C4982" w:rsidP="008C4982">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1.2.</w:t>
      </w:r>
      <w:r w:rsidR="001B6C03" w:rsidRPr="00EF2F18">
        <w:rPr>
          <w:rFonts w:cs="Times New Roman"/>
          <w:b/>
          <w:bCs/>
          <w:sz w:val="22"/>
          <w:lang w:val="sr-Cyrl-RS" w:eastAsia="en-GB"/>
        </w:rPr>
        <w:t>3</w:t>
      </w:r>
      <w:r w:rsidRPr="00EF2F18">
        <w:rPr>
          <w:rFonts w:cs="Times New Roman"/>
          <w:b/>
          <w:bCs/>
          <w:sz w:val="22"/>
          <w:lang w:val="sr-Cyrl-RS" w:eastAsia="en-GB"/>
        </w:rPr>
        <w:t xml:space="preserve">. Обезбеђивање и </w:t>
      </w:r>
      <w:r w:rsidRPr="00EF2F18">
        <w:rPr>
          <w:rFonts w:cs="Times New Roman"/>
          <w:b/>
          <w:bCs/>
          <w:sz w:val="22"/>
          <w:lang w:val="sr-Cyrl-RS"/>
        </w:rPr>
        <w:t xml:space="preserve">јачање постојећих капацитета за </w:t>
      </w:r>
      <w:r w:rsidR="00D37220" w:rsidRPr="00EF2F18">
        <w:rPr>
          <w:rFonts w:cs="Times New Roman"/>
          <w:b/>
          <w:bCs/>
          <w:sz w:val="22"/>
          <w:lang w:val="sr-Cyrl-RS"/>
        </w:rPr>
        <w:t>прилагођавањ</w:t>
      </w:r>
      <w:r w:rsidR="001B6C03" w:rsidRPr="00EF2F18">
        <w:rPr>
          <w:rFonts w:cs="Times New Roman"/>
          <w:b/>
          <w:bCs/>
          <w:sz w:val="22"/>
          <w:lang w:val="sr-Cyrl-RS"/>
        </w:rPr>
        <w:t>е</w:t>
      </w:r>
      <w:r w:rsidR="00D37220" w:rsidRPr="00EF2F18">
        <w:rPr>
          <w:rFonts w:cs="Times New Roman"/>
          <w:b/>
          <w:bCs/>
          <w:sz w:val="22"/>
          <w:lang w:val="sr-Cyrl-RS"/>
        </w:rPr>
        <w:t xml:space="preserve"> на измењене климатске услове</w:t>
      </w:r>
      <w:r w:rsidR="006C2E00" w:rsidRPr="00EF2F18">
        <w:rPr>
          <w:rFonts w:cs="Times New Roman"/>
          <w:b/>
          <w:bCs/>
          <w:sz w:val="22"/>
          <w:lang w:val="sr-Cyrl-RS"/>
        </w:rPr>
        <w:t xml:space="preserve"> </w:t>
      </w:r>
    </w:p>
    <w:p w14:paraId="7AFCBB1E" w14:textId="77777777" w:rsidR="00D83673" w:rsidRPr="00EF2F18" w:rsidRDefault="00D83673" w:rsidP="006C7FA6">
      <w:pPr>
        <w:spacing w:after="0"/>
        <w:ind w:firstLine="720"/>
        <w:jc w:val="both"/>
        <w:rPr>
          <w:rFonts w:cs="Times New Roman"/>
          <w:sz w:val="22"/>
          <w:lang w:val="sr-Cyrl-RS"/>
        </w:rPr>
      </w:pPr>
    </w:p>
    <w:p w14:paraId="7558260C" w14:textId="401FA2C6" w:rsidR="006C7FA6" w:rsidRPr="00EF2F18" w:rsidRDefault="00D37220" w:rsidP="006C7FA6">
      <w:pPr>
        <w:spacing w:after="0"/>
        <w:ind w:firstLine="720"/>
        <w:jc w:val="both"/>
        <w:rPr>
          <w:rFonts w:cs="Times New Roman"/>
          <w:sz w:val="22"/>
          <w:lang w:val="sr-Cyrl-RS"/>
        </w:rPr>
      </w:pPr>
      <w:r w:rsidRPr="00EF2F18">
        <w:rPr>
          <w:rFonts w:cs="Times New Roman"/>
          <w:sz w:val="22"/>
          <w:lang w:val="sr-Cyrl-RS"/>
        </w:rPr>
        <w:t xml:space="preserve">Ова мера подразумева јачање административних и стручних капацитета Министарства заштите животне средине, осталих министарстава надлежних за секторске политике, </w:t>
      </w:r>
      <w:r w:rsidR="00971CF1" w:rsidRPr="00971CF1">
        <w:rPr>
          <w:rFonts w:cs="Times New Roman"/>
          <w:bCs/>
          <w:sz w:val="22"/>
          <w:lang w:val="sr-Cyrl-RS"/>
        </w:rPr>
        <w:t>Републичког хидрометеоролошког завода</w:t>
      </w:r>
      <w:r w:rsidRPr="00EF2F18">
        <w:rPr>
          <w:rFonts w:cs="Times New Roman"/>
          <w:sz w:val="22"/>
          <w:lang w:val="sr-Cyrl-RS"/>
        </w:rPr>
        <w:t xml:space="preserve"> и локалних органа власти</w:t>
      </w:r>
      <w:r w:rsidR="00522296" w:rsidRPr="00EF2F18">
        <w:rPr>
          <w:rFonts w:cs="Times New Roman"/>
          <w:sz w:val="22"/>
          <w:lang w:val="sr-Cyrl-RS"/>
        </w:rPr>
        <w:t>,</w:t>
      </w:r>
      <w:r w:rsidRPr="00EF2F18">
        <w:rPr>
          <w:rFonts w:cs="Times New Roman"/>
          <w:sz w:val="22"/>
          <w:lang w:val="sr-Cyrl-RS"/>
        </w:rPr>
        <w:t xml:space="preserve"> пре свега кроз повећање броја кадрова и стручно усавршавање и унапређење система извештавањ</w:t>
      </w:r>
      <w:r w:rsidR="00522296" w:rsidRPr="00EF2F18">
        <w:rPr>
          <w:rFonts w:cs="Times New Roman"/>
          <w:sz w:val="22"/>
          <w:lang w:val="sr-Cyrl-RS"/>
        </w:rPr>
        <w:t>а</w:t>
      </w:r>
      <w:r w:rsidR="006C7FA6" w:rsidRPr="00EF2F18">
        <w:rPr>
          <w:rFonts w:cs="Times New Roman"/>
          <w:sz w:val="22"/>
          <w:lang w:val="sr-Cyrl-RS"/>
        </w:rPr>
        <w:t xml:space="preserve">, </w:t>
      </w:r>
      <w:r w:rsidR="00CB5D2D" w:rsidRPr="00EF2F18">
        <w:rPr>
          <w:rFonts w:cs="Times New Roman"/>
          <w:sz w:val="22"/>
          <w:lang w:val="sr-Cyrl-RS"/>
        </w:rPr>
        <w:t xml:space="preserve">прилагођавање на измењене климатске услове </w:t>
      </w:r>
      <w:r w:rsidR="006C7FA6" w:rsidRPr="00EF2F18">
        <w:rPr>
          <w:rFonts w:cs="Times New Roman"/>
          <w:sz w:val="22"/>
          <w:lang w:val="sr-Cyrl-RS"/>
        </w:rPr>
        <w:t>и смањење ризика од катастрофа</w:t>
      </w:r>
      <w:r w:rsidR="006C7FA6" w:rsidRPr="00EF2F18">
        <w:rPr>
          <w:lang w:val="sr-Cyrl-RS"/>
        </w:rPr>
        <w:t>.</w:t>
      </w:r>
    </w:p>
    <w:p w14:paraId="50B2A1FD" w14:textId="77777777" w:rsidR="00DF2340" w:rsidRPr="00EF2F18" w:rsidRDefault="00DF2340" w:rsidP="00D37220">
      <w:pPr>
        <w:spacing w:after="0"/>
        <w:ind w:firstLine="720"/>
        <w:jc w:val="both"/>
        <w:rPr>
          <w:sz w:val="22"/>
          <w:lang w:val="sr-Cyrl-RS"/>
        </w:rPr>
      </w:pPr>
      <w:r w:rsidRPr="00EF2F18">
        <w:rPr>
          <w:rFonts w:cs="Times New Roman"/>
          <w:sz w:val="22"/>
          <w:lang w:val="sr-Cyrl-RS"/>
        </w:rPr>
        <w:t xml:space="preserve">Повећање људских ресурса, обуке и унапређење капацитета неопходни су у свим секторима који треба да укључе зелене аспекте у документа јавних политика и спроводе прилагођавање на измењене климатске услове. Неопходне обуке </w:t>
      </w:r>
      <w:r w:rsidRPr="00EF2F18">
        <w:rPr>
          <w:sz w:val="22"/>
          <w:lang w:val="sr-Cyrl-RS"/>
        </w:rPr>
        <w:t xml:space="preserve">треба повезати са Програмом обука које спроводи Национална академија за јавну управу. Ове обуке ће бити прилагођене свим нивоима а укључиваће и примену Дигиталног атласа климе посебно за потребе планирања и израде стратешких докумената. </w:t>
      </w:r>
    </w:p>
    <w:p w14:paraId="5666223B" w14:textId="6A5D845E" w:rsidR="008C4982" w:rsidRPr="00EF2F18" w:rsidRDefault="00D37220" w:rsidP="00D37220">
      <w:pPr>
        <w:spacing w:after="0"/>
        <w:ind w:firstLine="720"/>
        <w:jc w:val="both"/>
        <w:rPr>
          <w:sz w:val="22"/>
          <w:lang w:val="sr-Cyrl-RS"/>
        </w:rPr>
      </w:pPr>
      <w:r w:rsidRPr="00EF2F18">
        <w:rPr>
          <w:rFonts w:cs="Times New Roman"/>
          <w:sz w:val="22"/>
          <w:lang w:val="sr-Cyrl-RS"/>
        </w:rPr>
        <w:t xml:space="preserve">Повећање људских ресурса, обука и унапређење капацитета неопходно је како за потребе </w:t>
      </w:r>
      <w:r w:rsidR="00971CF1" w:rsidRPr="00971CF1">
        <w:rPr>
          <w:rFonts w:cs="Times New Roman"/>
          <w:bCs/>
          <w:sz w:val="22"/>
          <w:lang w:val="sr-Cyrl-RS"/>
        </w:rPr>
        <w:t>Републичког хидрометеоролошког завода</w:t>
      </w:r>
      <w:r w:rsidRPr="00EF2F18">
        <w:rPr>
          <w:rFonts w:cs="Times New Roman"/>
          <w:sz w:val="22"/>
          <w:lang w:val="sr-Cyrl-RS"/>
        </w:rPr>
        <w:t xml:space="preserve"> тако и у свим секторима који треба да прикупљају и достављају релевантне податке</w:t>
      </w:r>
      <w:r w:rsidRPr="00EF2F18">
        <w:rPr>
          <w:sz w:val="22"/>
          <w:lang w:val="sr-Cyrl-RS"/>
        </w:rPr>
        <w:t xml:space="preserve"> укључујући локалне самоуправе</w:t>
      </w:r>
      <w:r w:rsidR="008C4982" w:rsidRPr="00EF2F18">
        <w:rPr>
          <w:rFonts w:cs="Times New Roman"/>
          <w:sz w:val="22"/>
          <w:lang w:val="sr-Cyrl-RS"/>
        </w:rPr>
        <w:t>.</w:t>
      </w:r>
      <w:r w:rsidR="008C4982" w:rsidRPr="00EF2F18">
        <w:rPr>
          <w:sz w:val="22"/>
          <w:lang w:val="sr-Cyrl-RS"/>
        </w:rPr>
        <w:t xml:space="preserve"> </w:t>
      </w:r>
    </w:p>
    <w:p w14:paraId="2323CC18" w14:textId="1F74BB05" w:rsidR="009D628D" w:rsidRPr="00EF2F18" w:rsidRDefault="009D628D" w:rsidP="00D37220">
      <w:pPr>
        <w:spacing w:after="0"/>
        <w:ind w:firstLine="720"/>
        <w:jc w:val="both"/>
        <w:rPr>
          <w:rFonts w:cs="Times New Roman"/>
          <w:sz w:val="22"/>
          <w:lang w:val="sr-Cyrl-RS"/>
        </w:rPr>
      </w:pPr>
      <w:r w:rsidRPr="00EF2F18">
        <w:rPr>
          <w:rFonts w:cs="Times New Roman"/>
          <w:sz w:val="22"/>
          <w:lang w:val="sr-Cyrl-RS"/>
        </w:rPr>
        <w:lastRenderedPageBreak/>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r w:rsidR="00BB3175" w:rsidRPr="00EF2F18">
        <w:rPr>
          <w:rFonts w:cs="Times New Roman"/>
          <w:sz w:val="22"/>
          <w:lang w:val="sr-Cyrl-RS"/>
        </w:rPr>
        <w:t>.</w:t>
      </w:r>
    </w:p>
    <w:p w14:paraId="273C02F5" w14:textId="1EEA7BE2"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444A3C75" w14:textId="05C71FC0"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7A2E9F" w:rsidRPr="00EF2F18">
        <w:rPr>
          <w:rFonts w:cs="Times New Roman"/>
          <w:bCs/>
          <w:sz w:val="22"/>
          <w:lang w:val="sr-Cyrl-RS" w:eastAsia="en-GB"/>
        </w:rPr>
        <w:t>Републички хидрометеоролошки завод</w:t>
      </w:r>
      <w:r w:rsidRPr="00EF2F18">
        <w:rPr>
          <w:rFonts w:cs="Times New Roman"/>
          <w:sz w:val="22"/>
          <w:lang w:val="sr-Cyrl-RS" w:eastAsia="en-GB"/>
        </w:rPr>
        <w:t xml:space="preserve">, </w:t>
      </w:r>
      <w:r w:rsidR="00D37220" w:rsidRPr="00EF2F18">
        <w:rPr>
          <w:rFonts w:cs="Times New Roman"/>
          <w:sz w:val="22"/>
          <w:lang w:val="sr-Cyrl-RS" w:eastAsia="en-GB"/>
        </w:rPr>
        <w:t>м</w:t>
      </w:r>
      <w:r w:rsidRPr="00EF2F18">
        <w:rPr>
          <w:rFonts w:cs="Times New Roman"/>
          <w:sz w:val="22"/>
          <w:lang w:val="sr-Cyrl-RS" w:eastAsia="en-GB"/>
        </w:rPr>
        <w:t>инистарст</w:t>
      </w:r>
      <w:r w:rsidR="00D37220" w:rsidRPr="00EF2F18">
        <w:rPr>
          <w:rFonts w:cs="Times New Roman"/>
          <w:sz w:val="22"/>
          <w:lang w:val="sr-Cyrl-RS" w:eastAsia="en-GB"/>
        </w:rPr>
        <w:t>в</w:t>
      </w:r>
      <w:r w:rsidR="00D52ED8">
        <w:rPr>
          <w:rFonts w:cs="Times New Roman"/>
          <w:sz w:val="22"/>
          <w:lang w:val="sr-Cyrl-RS" w:eastAsia="en-GB"/>
        </w:rPr>
        <w:t>а од</w:t>
      </w:r>
      <w:r w:rsidRPr="00EF2F18">
        <w:rPr>
          <w:rFonts w:cs="Times New Roman"/>
          <w:sz w:val="22"/>
          <w:lang w:val="sr-Cyrl-RS" w:eastAsia="en-GB"/>
        </w:rPr>
        <w:t xml:space="preserve">говорна за праћење и извештавање о политикама релевантним за </w:t>
      </w:r>
      <w:r w:rsidR="00D37220" w:rsidRPr="00EF2F18">
        <w:rPr>
          <w:rFonts w:cs="Times New Roman"/>
          <w:sz w:val="22"/>
          <w:lang w:val="sr-Cyrl-RS" w:eastAsia="en-GB"/>
        </w:rPr>
        <w:t xml:space="preserve">прилагођавање на измењене климатске услове, </w:t>
      </w:r>
      <w:r w:rsidR="00AC211D" w:rsidRPr="00EF2F18">
        <w:rPr>
          <w:rFonts w:cs="Times New Roman"/>
          <w:sz w:val="22"/>
          <w:lang w:val="sr-Cyrl-RS" w:eastAsia="en-GB"/>
        </w:rPr>
        <w:t xml:space="preserve">јединице </w:t>
      </w:r>
      <w:r w:rsidR="00D37220" w:rsidRPr="00EF2F18">
        <w:rPr>
          <w:rFonts w:cs="Times New Roman"/>
          <w:sz w:val="22"/>
          <w:lang w:val="sr-Cyrl-RS" w:eastAsia="en-GB"/>
        </w:rPr>
        <w:t>локалне самоуправе</w:t>
      </w:r>
      <w:r w:rsidRPr="00EF2F18">
        <w:rPr>
          <w:rFonts w:cs="Times New Roman"/>
          <w:sz w:val="22"/>
          <w:lang w:val="sr-Cyrl-RS" w:eastAsia="en-GB"/>
        </w:rPr>
        <w:t>, Национална академија за јавну управу</w:t>
      </w:r>
      <w:r w:rsidR="00185A75" w:rsidRPr="00EF2F18">
        <w:rPr>
          <w:rFonts w:cs="Times New Roman"/>
          <w:sz w:val="22"/>
          <w:lang w:val="sr-Cyrl-RS" w:eastAsia="en-GB"/>
        </w:rPr>
        <w:t>.</w:t>
      </w:r>
    </w:p>
    <w:p w14:paraId="6EFE2AF8" w14:textId="628D1261"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информативно-едукативна</w:t>
      </w:r>
      <w:r w:rsidR="00185A75" w:rsidRPr="00EF2F18">
        <w:rPr>
          <w:rFonts w:cs="Times New Roman"/>
          <w:sz w:val="22"/>
          <w:lang w:val="sr-Cyrl-RS" w:eastAsia="en-GB"/>
        </w:rPr>
        <w:t>.</w:t>
      </w:r>
    </w:p>
    <w:p w14:paraId="46C3AA5A" w14:textId="77777777" w:rsidR="0093359E" w:rsidRPr="00EF2F18" w:rsidRDefault="0093359E" w:rsidP="008C4982">
      <w:pPr>
        <w:tabs>
          <w:tab w:val="left" w:pos="1080"/>
        </w:tabs>
        <w:spacing w:after="0"/>
        <w:ind w:firstLine="720"/>
        <w:jc w:val="both"/>
        <w:rPr>
          <w:sz w:val="22"/>
          <w:highlight w:val="yellow"/>
          <w:lang w:val="sr-Cyrl-RS"/>
        </w:rPr>
      </w:pPr>
    </w:p>
    <w:p w14:paraId="775A590A" w14:textId="4CD8BA58" w:rsidR="008C4982" w:rsidRPr="00EF2F18" w:rsidRDefault="008C4982" w:rsidP="00DC6CB5">
      <w:pPr>
        <w:pBdr>
          <w:top w:val="single" w:sz="4" w:space="1" w:color="auto"/>
          <w:left w:val="single" w:sz="4" w:space="4" w:color="auto"/>
          <w:bottom w:val="single" w:sz="4" w:space="10" w:color="auto"/>
          <w:right w:val="single" w:sz="4" w:space="4" w:color="auto"/>
        </w:pBdr>
        <w:spacing w:after="0"/>
        <w:jc w:val="both"/>
        <w:rPr>
          <w:rFonts w:cs="Times New Roman"/>
          <w:sz w:val="22"/>
          <w:lang w:val="sr-Cyrl-RS"/>
        </w:rPr>
      </w:pPr>
      <w:r w:rsidRPr="00EF2F18">
        <w:rPr>
          <w:rFonts w:cs="Times New Roman"/>
          <w:b/>
          <w:bCs/>
          <w:sz w:val="22"/>
          <w:lang w:val="sr-Cyrl-RS" w:eastAsia="en-GB"/>
        </w:rPr>
        <w:t>Мера 1.2.</w:t>
      </w:r>
      <w:r w:rsidR="001B6C03" w:rsidRPr="00EF2F18">
        <w:rPr>
          <w:rFonts w:cs="Times New Roman"/>
          <w:b/>
          <w:bCs/>
          <w:sz w:val="22"/>
          <w:lang w:val="sr-Cyrl-RS" w:eastAsia="en-GB"/>
        </w:rPr>
        <w:t>4</w:t>
      </w:r>
      <w:r w:rsidRPr="00EF2F18">
        <w:rPr>
          <w:rFonts w:cs="Times New Roman"/>
          <w:b/>
          <w:bCs/>
          <w:sz w:val="22"/>
          <w:lang w:val="sr-Cyrl-RS" w:eastAsia="en-GB"/>
        </w:rPr>
        <w:t xml:space="preserve">. </w:t>
      </w:r>
      <w:r w:rsidR="005B2462" w:rsidRPr="00EF2F18">
        <w:rPr>
          <w:rFonts w:cs="Times New Roman"/>
          <w:b/>
          <w:sz w:val="22"/>
          <w:lang w:val="sr-Cyrl-RS"/>
        </w:rPr>
        <w:t>Повећање отпорности градова на климатске промене</w:t>
      </w:r>
      <w:r w:rsidR="006C2E00" w:rsidRPr="00EF2F18">
        <w:rPr>
          <w:rFonts w:cs="Times New Roman"/>
          <w:b/>
          <w:sz w:val="22"/>
          <w:lang w:val="sr-Cyrl-RS"/>
        </w:rPr>
        <w:t xml:space="preserve"> </w:t>
      </w:r>
    </w:p>
    <w:p w14:paraId="331D2021" w14:textId="77777777" w:rsidR="00D83673" w:rsidRPr="00EF2F18" w:rsidRDefault="00D83673" w:rsidP="00AD087D">
      <w:pPr>
        <w:spacing w:after="0"/>
        <w:ind w:firstLine="720"/>
        <w:jc w:val="both"/>
        <w:rPr>
          <w:rFonts w:cs="Times New Roman"/>
          <w:sz w:val="22"/>
          <w:lang w:val="sr-Cyrl-RS"/>
        </w:rPr>
      </w:pPr>
    </w:p>
    <w:p w14:paraId="1D120173" w14:textId="4CA36316" w:rsidR="00AD087D" w:rsidRPr="00EF2F18" w:rsidRDefault="00AD087D" w:rsidP="00AD087D">
      <w:pPr>
        <w:spacing w:after="0"/>
        <w:ind w:firstLine="720"/>
        <w:jc w:val="both"/>
        <w:rPr>
          <w:rFonts w:cs="Times New Roman"/>
          <w:sz w:val="22"/>
          <w:lang w:val="sr-Cyrl-RS"/>
        </w:rPr>
      </w:pPr>
      <w:r w:rsidRPr="00EF2F18">
        <w:rPr>
          <w:rFonts w:cs="Times New Roman"/>
          <w:sz w:val="22"/>
          <w:lang w:val="sr-Cyrl-RS"/>
        </w:rPr>
        <w:t>Као мултифункционално и одрживо решење са користима у повећању отпорности на климатске промене и прилагођавању на измењене климатске услове у урбаним срединама препознато је кроз имплементацију зелене инфраструктуре, а према концепту Решења заснованих на природи. Имплементација зелене инфраструктуре пружа вишеструке користи, како у ублажавању климатских опасности, тако и у унапређењу животне средине и здравља и квалитета живота људи у урбаним срединама.</w:t>
      </w:r>
    </w:p>
    <w:p w14:paraId="56CE686D" w14:textId="1A22604D" w:rsidR="00AD087D" w:rsidRPr="00EF2F18" w:rsidRDefault="00AD087D" w:rsidP="00AD087D">
      <w:pPr>
        <w:spacing w:after="0"/>
        <w:ind w:firstLine="720"/>
        <w:jc w:val="both"/>
        <w:rPr>
          <w:rFonts w:cs="Times New Roman"/>
          <w:sz w:val="22"/>
          <w:lang w:val="sr-Cyrl-RS"/>
        </w:rPr>
      </w:pPr>
      <w:r w:rsidRPr="00EF2F18">
        <w:rPr>
          <w:rFonts w:cs="Times New Roman"/>
          <w:sz w:val="22"/>
          <w:lang w:val="sr-Cyrl-RS"/>
        </w:rPr>
        <w:t>Мера има за циљ да потпомогне имплементацију зелене инфраструктуре у урбаним срединама Републике Србије изменом како регулаторног оквира, тако и успостављањем и применом стандарда, норматива и ур</w:t>
      </w:r>
      <w:r w:rsidR="00F4310A" w:rsidRPr="00EF2F18">
        <w:rPr>
          <w:rFonts w:cs="Times New Roman"/>
          <w:sz w:val="22"/>
          <w:lang w:val="sr-Cyrl-RS"/>
        </w:rPr>
        <w:t>бан</w:t>
      </w:r>
      <w:r w:rsidRPr="00EF2F18">
        <w:rPr>
          <w:rFonts w:cs="Times New Roman"/>
          <w:sz w:val="22"/>
          <w:lang w:val="sr-Cyrl-RS"/>
        </w:rPr>
        <w:t>истичких параметара на националном и локалном нивоу</w:t>
      </w:r>
      <w:r w:rsidR="00F4310A" w:rsidRPr="00EF2F18">
        <w:rPr>
          <w:rFonts w:cs="Times New Roman"/>
          <w:sz w:val="22"/>
          <w:lang w:val="sr-Cyrl-RS"/>
        </w:rPr>
        <w:t xml:space="preserve"> (мера је у складу и са мерама</w:t>
      </w:r>
      <w:r w:rsidR="00072D5E" w:rsidRPr="00EF2F18">
        <w:rPr>
          <w:rFonts w:cs="Times New Roman"/>
          <w:sz w:val="22"/>
          <w:lang w:val="sr-Cyrl-RS"/>
        </w:rPr>
        <w:t xml:space="preserve"> МП_ЕЕ41</w:t>
      </w:r>
      <w:r w:rsidR="007E27BA" w:rsidRPr="00EF2F18">
        <w:rPr>
          <w:rFonts w:cs="Times New Roman"/>
          <w:sz w:val="22"/>
          <w:lang w:val="sr-Cyrl-RS"/>
        </w:rPr>
        <w:t>, МП_ЕС</w:t>
      </w:r>
      <w:r w:rsidR="00F4310A" w:rsidRPr="00EF2F18">
        <w:rPr>
          <w:rFonts w:cs="Times New Roman"/>
          <w:sz w:val="22"/>
          <w:lang w:val="sr-Cyrl-RS"/>
        </w:rPr>
        <w:t xml:space="preserve"> </w:t>
      </w:r>
      <w:r w:rsidR="00F4310A" w:rsidRPr="00EF2F18">
        <w:rPr>
          <w:rFonts w:eastAsia="Calibri" w:cs="Times New Roman"/>
          <w:sz w:val="22"/>
          <w:lang w:val="sr-Cyrl-RS"/>
        </w:rPr>
        <w:t xml:space="preserve">Интегрисаног националног енергетског и климатског плана </w:t>
      </w:r>
      <w:r w:rsidR="00F4310A" w:rsidRPr="00EF2F18">
        <w:rPr>
          <w:rFonts w:cs="Times New Roman"/>
          <w:sz w:val="22"/>
          <w:lang w:val="sr-Cyrl-RS"/>
        </w:rPr>
        <w:t xml:space="preserve">Републике Србије за период до 2030. </w:t>
      </w:r>
      <w:r w:rsidR="00E97AA4">
        <w:rPr>
          <w:rFonts w:cs="Times New Roman"/>
          <w:sz w:val="22"/>
          <w:lang w:val="sr-Cyrl-RS"/>
        </w:rPr>
        <w:t xml:space="preserve">године </w:t>
      </w:r>
      <w:r w:rsidR="00F4310A" w:rsidRPr="00EF2F18">
        <w:rPr>
          <w:rFonts w:cs="Times New Roman"/>
          <w:sz w:val="22"/>
          <w:lang w:val="sr-Cyrl-RS"/>
        </w:rPr>
        <w:t>са визијом до 2050. године, који има за циљ повећање отпорности инфраструктуре у урбаним срединама и градовима на климатске промене).</w:t>
      </w:r>
    </w:p>
    <w:p w14:paraId="7C4B0981" w14:textId="223ECF61" w:rsidR="00AD087D" w:rsidRPr="00EF2F18" w:rsidRDefault="00AD087D" w:rsidP="00AD087D">
      <w:pPr>
        <w:spacing w:after="0"/>
        <w:ind w:firstLine="720"/>
        <w:jc w:val="both"/>
        <w:rPr>
          <w:rFonts w:cs="Times New Roman"/>
          <w:sz w:val="22"/>
          <w:lang w:val="sr-Cyrl-RS"/>
        </w:rPr>
      </w:pPr>
      <w:r w:rsidRPr="00EF2F18">
        <w:rPr>
          <w:rFonts w:cs="Times New Roman"/>
          <w:sz w:val="22"/>
          <w:lang w:val="sr-Cyrl-RS"/>
        </w:rPr>
        <w:t>Ова мера укључује измену регулаторног оквира у циљу имплементације концепта зелене инфраструктуре, успостављање и примену стандарда, норматива и урбанистич</w:t>
      </w:r>
      <w:r w:rsidR="0060022F">
        <w:rPr>
          <w:rFonts w:cs="Times New Roman"/>
          <w:sz w:val="22"/>
          <w:lang w:val="sr-Cyrl-RS"/>
        </w:rPr>
        <w:t>к</w:t>
      </w:r>
      <w:r w:rsidRPr="00EF2F18">
        <w:rPr>
          <w:rFonts w:cs="Times New Roman"/>
          <w:sz w:val="22"/>
          <w:lang w:val="sr-Cyrl-RS"/>
        </w:rPr>
        <w:t>их параметара (еколошки индекс) приликом планирања и пројектовања зелене инфраструктуре и израду смерница за унапређено планирање, управљање и изградњу урбаних зелених површина узимајући у обзир измењене климатске услове.</w:t>
      </w:r>
    </w:p>
    <w:p w14:paraId="288BCFA1" w14:textId="743BDEF1"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r w:rsidRPr="00EF2F18">
        <w:rPr>
          <w:rFonts w:cs="Times New Roman"/>
          <w:sz w:val="22"/>
          <w:lang w:val="sr-Cyrl-RS" w:eastAsia="en-GB"/>
        </w:rPr>
        <w:t xml:space="preserve"> </w:t>
      </w:r>
    </w:p>
    <w:p w14:paraId="16A92DEE" w14:textId="026AA376"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Мин</w:t>
      </w:r>
      <w:r w:rsidR="00A507D5" w:rsidRPr="00EF2F18">
        <w:rPr>
          <w:rFonts w:cs="Times New Roman"/>
          <w:sz w:val="22"/>
          <w:lang w:val="sr-Cyrl-RS" w:eastAsia="en-GB"/>
        </w:rPr>
        <w:t>и</w:t>
      </w:r>
      <w:r w:rsidRPr="00EF2F18">
        <w:rPr>
          <w:rFonts w:cs="Times New Roman"/>
          <w:sz w:val="22"/>
          <w:lang w:val="sr-Cyrl-RS" w:eastAsia="en-GB"/>
        </w:rPr>
        <w:t xml:space="preserve">старство пољопривреде, шумарства и водопривреде, </w:t>
      </w:r>
      <w:r w:rsidR="0066095B" w:rsidRPr="00EF2F18">
        <w:rPr>
          <w:rFonts w:cs="Times New Roman"/>
          <w:sz w:val="22"/>
          <w:lang w:val="sr-Cyrl-RS" w:eastAsia="en-GB"/>
        </w:rPr>
        <w:t xml:space="preserve">Министарство грађевинарства, саобраћаја и инфраструктуре, </w:t>
      </w:r>
      <w:r w:rsidRPr="00EF2F18">
        <w:rPr>
          <w:rFonts w:cs="Times New Roman"/>
          <w:sz w:val="22"/>
          <w:lang w:val="sr-Cyrl-RS" w:eastAsia="en-GB"/>
        </w:rPr>
        <w:t>јединице локалне самоуправе</w:t>
      </w:r>
      <w:r w:rsidR="000F65B5" w:rsidRPr="00EF2F18">
        <w:rPr>
          <w:rFonts w:cs="Times New Roman"/>
          <w:sz w:val="22"/>
          <w:lang w:val="sr-Cyrl-RS" w:eastAsia="en-GB"/>
        </w:rPr>
        <w:t xml:space="preserve">, </w:t>
      </w:r>
      <w:r w:rsidR="000F65B5" w:rsidRPr="00EF2F18">
        <w:rPr>
          <w:bCs/>
          <w:color w:val="000000"/>
          <w:sz w:val="23"/>
          <w:szCs w:val="23"/>
          <w:lang w:val="sr-Cyrl-RS"/>
        </w:rPr>
        <w:t>ЗЗПС, ПЗЗП</w:t>
      </w:r>
      <w:r w:rsidR="00185A75" w:rsidRPr="00EF2F18">
        <w:rPr>
          <w:bCs/>
          <w:color w:val="000000"/>
          <w:sz w:val="23"/>
          <w:szCs w:val="23"/>
          <w:lang w:val="sr-Cyrl-RS"/>
        </w:rPr>
        <w:t>.</w:t>
      </w:r>
      <w:r w:rsidRPr="00EF2F18">
        <w:rPr>
          <w:rFonts w:cs="Times New Roman"/>
          <w:sz w:val="22"/>
          <w:lang w:val="sr-Cyrl-RS" w:eastAsia="en-GB"/>
        </w:rPr>
        <w:t xml:space="preserve"> </w:t>
      </w:r>
    </w:p>
    <w:p w14:paraId="7353C026" w14:textId="01F748B5" w:rsidR="008C4982" w:rsidRPr="00EF2F18" w:rsidRDefault="008C4982" w:rsidP="008C4982">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B2462" w:rsidRPr="00EF2F18">
        <w:rPr>
          <w:rFonts w:cs="Times New Roman"/>
          <w:sz w:val="22"/>
          <w:lang w:val="sr-Cyrl-RS" w:eastAsia="en-GB"/>
        </w:rPr>
        <w:t>регулаторна</w:t>
      </w:r>
      <w:r w:rsidR="00185A75" w:rsidRPr="00EF2F18">
        <w:rPr>
          <w:rFonts w:cs="Times New Roman"/>
          <w:sz w:val="22"/>
          <w:lang w:val="sr-Cyrl-RS" w:eastAsia="en-GB"/>
        </w:rPr>
        <w:t>.</w:t>
      </w:r>
    </w:p>
    <w:p w14:paraId="667F1733" w14:textId="77777777" w:rsidR="00084CC1" w:rsidRPr="00EF2F18" w:rsidRDefault="00084CC1" w:rsidP="0055030E">
      <w:pPr>
        <w:spacing w:after="0"/>
        <w:ind w:firstLine="720"/>
        <w:jc w:val="both"/>
        <w:rPr>
          <w:rFonts w:cs="Times New Roman"/>
          <w:sz w:val="22"/>
          <w:lang w:val="sr-Cyrl-RS"/>
        </w:rPr>
      </w:pPr>
    </w:p>
    <w:p w14:paraId="442A95A2" w14:textId="1D6FD1FB" w:rsidR="007C436D" w:rsidRPr="00EF2F18" w:rsidRDefault="007C436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1.2.</w:t>
      </w:r>
      <w:r w:rsidR="001B6C03" w:rsidRPr="00EF2F18">
        <w:rPr>
          <w:rFonts w:cs="Times New Roman"/>
          <w:b/>
          <w:bCs/>
          <w:sz w:val="22"/>
          <w:lang w:val="sr-Cyrl-RS" w:eastAsia="en-GB"/>
        </w:rPr>
        <w:t>5</w:t>
      </w:r>
      <w:r w:rsidRPr="00EF2F18">
        <w:rPr>
          <w:rFonts w:cs="Times New Roman"/>
          <w:b/>
          <w:bCs/>
          <w:sz w:val="22"/>
          <w:lang w:val="sr-Cyrl-RS" w:eastAsia="en-GB"/>
        </w:rPr>
        <w:t xml:space="preserve">. Унапређење </w:t>
      </w:r>
      <w:r w:rsidR="001B6C03" w:rsidRPr="00EF2F18">
        <w:rPr>
          <w:rFonts w:cs="Times New Roman"/>
          <w:b/>
          <w:bCs/>
          <w:sz w:val="22"/>
          <w:lang w:val="sr-Cyrl-RS" w:eastAsia="en-GB"/>
        </w:rPr>
        <w:t>система за праћење утицаја</w:t>
      </w:r>
      <w:r w:rsidRPr="00EF2F18">
        <w:rPr>
          <w:rFonts w:cs="Times New Roman"/>
          <w:b/>
          <w:bCs/>
          <w:sz w:val="22"/>
          <w:lang w:val="sr-Cyrl-RS" w:eastAsia="en-GB"/>
        </w:rPr>
        <w:t xml:space="preserve"> климатски</w:t>
      </w:r>
      <w:r w:rsidR="001B6C03" w:rsidRPr="00EF2F18">
        <w:rPr>
          <w:rFonts w:cs="Times New Roman"/>
          <w:b/>
          <w:bCs/>
          <w:sz w:val="22"/>
          <w:lang w:val="sr-Cyrl-RS" w:eastAsia="en-GB"/>
        </w:rPr>
        <w:t>х</w:t>
      </w:r>
      <w:r w:rsidRPr="00EF2F18">
        <w:rPr>
          <w:rFonts w:cs="Times New Roman"/>
          <w:b/>
          <w:bCs/>
          <w:sz w:val="22"/>
          <w:lang w:val="sr-Cyrl-RS" w:eastAsia="en-GB"/>
        </w:rPr>
        <w:t xml:space="preserve"> промена</w:t>
      </w:r>
      <w:r w:rsidR="001B6C03" w:rsidRPr="00EF2F18">
        <w:rPr>
          <w:rFonts w:cs="Times New Roman"/>
          <w:b/>
          <w:bCs/>
          <w:sz w:val="22"/>
          <w:lang w:val="sr-Cyrl-RS" w:eastAsia="en-GB"/>
        </w:rPr>
        <w:t xml:space="preserve"> и смањење ризика</w:t>
      </w:r>
    </w:p>
    <w:p w14:paraId="15FEA44E" w14:textId="77777777" w:rsidR="00D83673" w:rsidRPr="00EF2F18" w:rsidRDefault="00D83673" w:rsidP="00D029A3">
      <w:pPr>
        <w:spacing w:after="0"/>
        <w:ind w:firstLine="720"/>
        <w:jc w:val="both"/>
        <w:rPr>
          <w:rFonts w:cs="Times New Roman"/>
          <w:sz w:val="22"/>
          <w:lang w:val="sr-Cyrl-RS"/>
        </w:rPr>
      </w:pPr>
    </w:p>
    <w:p w14:paraId="01241845" w14:textId="7F66635B" w:rsidR="00D029A3" w:rsidRPr="00EF2F18" w:rsidRDefault="00D029A3" w:rsidP="00D029A3">
      <w:pPr>
        <w:spacing w:after="0"/>
        <w:ind w:firstLine="720"/>
        <w:jc w:val="both"/>
        <w:rPr>
          <w:rFonts w:cs="Times New Roman"/>
          <w:sz w:val="22"/>
          <w:lang w:val="sr-Cyrl-RS"/>
        </w:rPr>
      </w:pPr>
      <w:r w:rsidRPr="00EF2F18">
        <w:rPr>
          <w:rFonts w:cs="Times New Roman"/>
          <w:sz w:val="22"/>
          <w:lang w:val="sr-Cyrl-RS"/>
        </w:rPr>
        <w:t xml:space="preserve">Ова мера треба да обезбеди праћење утицаја климатских промена, укључујући праћење губитака и штета према методологији која треба да буде израђена (веза са мером 3, посебног циља 1. Програма прилагођавања на измењене климатске услове за период од 2023 до 2030. године). </w:t>
      </w:r>
    </w:p>
    <w:p w14:paraId="517E1AFF" w14:textId="2FE84E50" w:rsidR="00D029A3" w:rsidRPr="00EF2F18" w:rsidRDefault="00D029A3" w:rsidP="00D029A3">
      <w:pPr>
        <w:spacing w:after="0"/>
        <w:ind w:firstLine="720"/>
        <w:jc w:val="both"/>
        <w:rPr>
          <w:rFonts w:cs="Times New Roman"/>
          <w:sz w:val="22"/>
          <w:lang w:val="sr-Cyrl-RS"/>
        </w:rPr>
      </w:pPr>
      <w:r w:rsidRPr="00EF2F18">
        <w:rPr>
          <w:rFonts w:cs="Times New Roman"/>
          <w:sz w:val="22"/>
          <w:lang w:val="sr-Cyrl-RS"/>
        </w:rPr>
        <w:t xml:space="preserve"> Ова мера такође треба да обезбеди измену и допуну Упутства о методологији израде и садржају процене ризика од катастрофа и плана заштите и спасавања („Службени гласник РС</w:t>
      </w:r>
      <w:r w:rsidR="00A64280" w:rsidRPr="00EF2F18">
        <w:rPr>
          <w:rFonts w:cs="Times New Roman"/>
          <w:sz w:val="22"/>
          <w:lang w:val="sr-Cyrl-RS"/>
        </w:rPr>
        <w:t>”</w:t>
      </w:r>
      <w:r w:rsidRPr="00EF2F18">
        <w:rPr>
          <w:rFonts w:cs="Times New Roman"/>
          <w:sz w:val="22"/>
          <w:lang w:val="sr-Cyrl-RS"/>
        </w:rPr>
        <w:t xml:space="preserve">, број 80/19) ради укључивања информација о климатским променама које утичу на процену ризика од климатских опасности и њихових узрока </w:t>
      </w:r>
      <w:r w:rsidR="001D3DF9" w:rsidRPr="00EF2F18">
        <w:rPr>
          <w:rFonts w:cs="Times New Roman"/>
          <w:sz w:val="22"/>
          <w:lang w:val="sr-Cyrl-RS"/>
        </w:rPr>
        <w:t>(</w:t>
      </w:r>
      <w:r w:rsidR="007A2E9F" w:rsidRPr="00EF2F18">
        <w:rPr>
          <w:rFonts w:cs="Times New Roman"/>
          <w:sz w:val="22"/>
          <w:lang w:val="sr-Cyrl-RS"/>
        </w:rPr>
        <w:t>веза са мером 5.</w:t>
      </w:r>
      <w:r w:rsidRPr="00EF2F18">
        <w:rPr>
          <w:rFonts w:cs="Times New Roman"/>
          <w:sz w:val="22"/>
          <w:lang w:val="sr-Cyrl-RS"/>
        </w:rPr>
        <w:t xml:space="preserve"> посебног циља 2. Програма прилагођавања на измењене кли</w:t>
      </w:r>
      <w:r w:rsidR="0060022F">
        <w:rPr>
          <w:rFonts w:cs="Times New Roman"/>
          <w:sz w:val="22"/>
          <w:lang w:val="sr-Cyrl-RS"/>
        </w:rPr>
        <w:t xml:space="preserve">матске услове за период од 2023. </w:t>
      </w:r>
      <w:r w:rsidRPr="00EF2F18">
        <w:rPr>
          <w:rFonts w:cs="Times New Roman"/>
          <w:sz w:val="22"/>
          <w:lang w:val="sr-Cyrl-RS"/>
        </w:rPr>
        <w:t>до 2030. године).</w:t>
      </w:r>
    </w:p>
    <w:p w14:paraId="6DDE8219" w14:textId="77777777" w:rsidR="00D029A3" w:rsidRPr="00EF2F18" w:rsidRDefault="00D029A3" w:rsidP="00D029A3">
      <w:pPr>
        <w:spacing w:after="0"/>
        <w:ind w:firstLine="720"/>
        <w:jc w:val="both"/>
        <w:rPr>
          <w:rFonts w:cs="Times New Roman"/>
          <w:sz w:val="22"/>
          <w:lang w:val="sr-Cyrl-RS"/>
        </w:rPr>
      </w:pPr>
      <w:r w:rsidRPr="00EF2F18">
        <w:rPr>
          <w:rFonts w:cs="Times New Roman"/>
          <w:sz w:val="22"/>
          <w:lang w:val="sr-Cyrl-RS"/>
        </w:rPr>
        <w:t>Такође, потребно је урадити анализу и предложити методологију за праћење суше као мултидимензионалне климатске опасности.</w:t>
      </w:r>
    </w:p>
    <w:p w14:paraId="49980240" w14:textId="12F3EC8A" w:rsidR="00DF2340" w:rsidRPr="00EF2F18" w:rsidRDefault="00D029A3" w:rsidP="00DF2340">
      <w:pPr>
        <w:spacing w:after="0"/>
        <w:ind w:firstLine="720"/>
        <w:jc w:val="both"/>
        <w:rPr>
          <w:rFonts w:cs="Times New Roman"/>
          <w:sz w:val="22"/>
          <w:lang w:val="sr-Cyrl-RS"/>
        </w:rPr>
      </w:pPr>
      <w:r w:rsidRPr="00EF2F18">
        <w:rPr>
          <w:rFonts w:cs="Times New Roman"/>
          <w:sz w:val="22"/>
          <w:lang w:val="sr-Cyrl-RS"/>
        </w:rPr>
        <w:t>Мера подразумева и израду процена рањивости на климатске промене у сектору туризма</w:t>
      </w:r>
      <w:r w:rsidR="00F8674E" w:rsidRPr="00EF2F18">
        <w:rPr>
          <w:rFonts w:cs="Times New Roman"/>
          <w:sz w:val="22"/>
          <w:lang w:val="sr-Cyrl-RS"/>
        </w:rPr>
        <w:t xml:space="preserve">, </w:t>
      </w:r>
      <w:r w:rsidR="004605CD" w:rsidRPr="00EF2F18">
        <w:rPr>
          <w:rFonts w:cs="Times New Roman"/>
          <w:sz w:val="22"/>
          <w:lang w:val="sr-Cyrl-RS"/>
        </w:rPr>
        <w:t>к</w:t>
      </w:r>
      <w:r w:rsidR="0060022F">
        <w:rPr>
          <w:rFonts w:cs="Times New Roman"/>
          <w:sz w:val="22"/>
          <w:lang w:val="sr-Cyrl-RS"/>
        </w:rPr>
        <w:t>оје ће се вршити уз експертизу кроз међу</w:t>
      </w:r>
      <w:r w:rsidR="00F8674E" w:rsidRPr="00EF2F18">
        <w:rPr>
          <w:rFonts w:cs="Times New Roman"/>
          <w:sz w:val="22"/>
          <w:lang w:val="sr-Cyrl-RS"/>
        </w:rPr>
        <w:t>ресорну сарадњу са надлежним инс</w:t>
      </w:r>
      <w:r w:rsidR="0060022F">
        <w:rPr>
          <w:rFonts w:cs="Times New Roman"/>
          <w:sz w:val="22"/>
          <w:lang w:val="sr-Cyrl-RS"/>
        </w:rPr>
        <w:t>т</w:t>
      </w:r>
      <w:r w:rsidR="00F8674E" w:rsidRPr="00EF2F18">
        <w:rPr>
          <w:rFonts w:cs="Times New Roman"/>
          <w:sz w:val="22"/>
          <w:lang w:val="sr-Cyrl-RS"/>
        </w:rPr>
        <w:t>итуцијама и организацијама</w:t>
      </w:r>
      <w:r w:rsidRPr="00EF2F18">
        <w:rPr>
          <w:rFonts w:cs="Times New Roman"/>
          <w:sz w:val="22"/>
          <w:lang w:val="sr-Cyrl-RS"/>
        </w:rPr>
        <w:t xml:space="preserve">. Имајући у виду да удео сектора туризма бележи константни раст у БДП-у потребно је извршити анализу на који начин ће климатске промене утицати на сектор туризма у </w:t>
      </w:r>
      <w:r w:rsidRPr="00EF2F18">
        <w:rPr>
          <w:rFonts w:cs="Times New Roman"/>
          <w:sz w:val="22"/>
          <w:lang w:val="sr-Cyrl-RS"/>
        </w:rPr>
        <w:lastRenderedPageBreak/>
        <w:t>Републици Србији како и предложити мере којима би се обезбедио даљи раст сектора туризма у новим климатским условима</w:t>
      </w:r>
      <w:r w:rsidR="00DF2340" w:rsidRPr="00EF2F18">
        <w:rPr>
          <w:rFonts w:cs="Times New Roman"/>
          <w:sz w:val="22"/>
          <w:lang w:val="sr-Cyrl-RS"/>
        </w:rPr>
        <w:t>.</w:t>
      </w:r>
    </w:p>
    <w:p w14:paraId="679B2684" w14:textId="5DEFCC4F"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Такође, ова мера подразумева и процену рањивости на климатске промене у сектору инфраструктуре. Наиме, инфраструктура се и пројектује на начин који претпоставља будућу климу која је приближно иста данашњој</w:t>
      </w:r>
      <w:r w:rsidR="004605CD" w:rsidRPr="00EF2F18">
        <w:rPr>
          <w:rFonts w:cs="Times New Roman"/>
          <w:sz w:val="22"/>
          <w:lang w:val="sr-Cyrl-RS"/>
        </w:rPr>
        <w:t>.</w:t>
      </w:r>
      <w:r w:rsidRPr="00EF2F18">
        <w:rPr>
          <w:rFonts w:cs="Times New Roman"/>
          <w:sz w:val="22"/>
          <w:lang w:val="sr-Cyrl-RS"/>
        </w:rPr>
        <w:t xml:space="preserve"> Међутим, климатски екстреми који су се десили у протеклих 10 година показали су да постојећа инфраструктура мора да се прилагоди климатским променама у дизајну, изградњи и одржавању инфраструктурних добара</w:t>
      </w:r>
      <w:r w:rsidR="00F4310A" w:rsidRPr="00EF2F18">
        <w:rPr>
          <w:rFonts w:cs="Times New Roman"/>
          <w:sz w:val="22"/>
          <w:lang w:val="sr-Cyrl-RS"/>
        </w:rPr>
        <w:t xml:space="preserve"> (мера је у складу и са мерама МП_ЕЕ39 и МП_ЕС6 </w:t>
      </w:r>
      <w:r w:rsidR="00F4310A" w:rsidRPr="00EF2F18">
        <w:rPr>
          <w:rFonts w:eastAsia="Calibri" w:cs="Times New Roman"/>
          <w:sz w:val="22"/>
          <w:lang w:val="sr-Cyrl-RS"/>
        </w:rPr>
        <w:t xml:space="preserve">Интегрисаног националног енергетског и климатског плана </w:t>
      </w:r>
      <w:r w:rsidR="00F4310A" w:rsidRPr="00EF2F18">
        <w:rPr>
          <w:rFonts w:cs="Times New Roman"/>
          <w:sz w:val="22"/>
          <w:lang w:val="sr-Cyrl-RS"/>
        </w:rPr>
        <w:t>Републике Србије за период до 2030.</w:t>
      </w:r>
      <w:r w:rsidR="00745740">
        <w:rPr>
          <w:rFonts w:cs="Times New Roman"/>
          <w:sz w:val="22"/>
          <w:lang w:val="sr-Cyrl-RS"/>
        </w:rPr>
        <w:t xml:space="preserve"> године</w:t>
      </w:r>
      <w:r w:rsidR="00F4310A" w:rsidRPr="00EF2F18">
        <w:rPr>
          <w:rFonts w:cs="Times New Roman"/>
          <w:sz w:val="22"/>
          <w:lang w:val="sr-Cyrl-RS"/>
        </w:rPr>
        <w:t xml:space="preserve"> са визијом до 2050. године).</w:t>
      </w:r>
    </w:p>
    <w:p w14:paraId="5456B315" w14:textId="0978A963"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1B6C03" w:rsidRPr="00EF2F18">
        <w:rPr>
          <w:rFonts w:cs="Times New Roman"/>
          <w:sz w:val="22"/>
          <w:lang w:val="sr-Cyrl-RS" w:eastAsia="en-GB"/>
        </w:rPr>
        <w:t>Министарство заштите животне средине</w:t>
      </w:r>
      <w:r w:rsidR="00185A75" w:rsidRPr="00EF2F18">
        <w:rPr>
          <w:rFonts w:cs="Times New Roman"/>
          <w:sz w:val="22"/>
          <w:lang w:val="sr-Cyrl-RS" w:eastAsia="en-GB"/>
        </w:rPr>
        <w:t>.</w:t>
      </w:r>
    </w:p>
    <w:p w14:paraId="1D20FD7B" w14:textId="1DB51E7C"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8674E" w:rsidRPr="00EF2F18">
        <w:rPr>
          <w:rFonts w:cs="Times New Roman"/>
          <w:sz w:val="22"/>
          <w:lang w:val="sr-Cyrl-RS" w:eastAsia="en-GB"/>
        </w:rPr>
        <w:t xml:space="preserve">Министарство за јавна улагања, </w:t>
      </w:r>
      <w:r w:rsidR="00A2305D" w:rsidRPr="00EF2F18">
        <w:rPr>
          <w:rFonts w:cs="Times New Roman"/>
          <w:sz w:val="22"/>
          <w:lang w:val="sr-Cyrl-RS" w:eastAsia="en-GB"/>
        </w:rPr>
        <w:t xml:space="preserve">Министарство унутрашњих послова, Министарство пољопривреде, шумарства и водопривреде, </w:t>
      </w:r>
      <w:r w:rsidR="00AC211D" w:rsidRPr="00EF2F18">
        <w:rPr>
          <w:rFonts w:cs="Times New Roman"/>
          <w:sz w:val="22"/>
          <w:lang w:val="sr-Cyrl-RS" w:eastAsia="en-GB"/>
        </w:rPr>
        <w:t xml:space="preserve">Министарство грађевинарства, саобраћаја и инфраструктуре, Министарство привреде, </w:t>
      </w:r>
      <w:r w:rsidR="00A2305D" w:rsidRPr="00EF2F18">
        <w:rPr>
          <w:rFonts w:cs="Times New Roman"/>
          <w:sz w:val="22"/>
          <w:lang w:val="sr-Cyrl-RS" w:eastAsia="en-GB"/>
        </w:rPr>
        <w:t>Министарство омладине и туризма</w:t>
      </w:r>
      <w:r w:rsidR="00185A75" w:rsidRPr="00EF2F18">
        <w:rPr>
          <w:rFonts w:cs="Times New Roman"/>
          <w:sz w:val="22"/>
          <w:lang w:val="sr-Cyrl-RS" w:eastAsia="en-GB"/>
        </w:rPr>
        <w:t>.</w:t>
      </w:r>
    </w:p>
    <w:p w14:paraId="15A90ACA" w14:textId="4BDB3922"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w:t>
      </w:r>
      <w:r w:rsidR="00CB5259" w:rsidRPr="00EF2F18">
        <w:rPr>
          <w:rFonts w:cs="Times New Roman"/>
          <w:sz w:val="22"/>
          <w:lang w:val="sr-Cyrl-RS" w:eastAsia="en-GB"/>
        </w:rPr>
        <w:t xml:space="preserve"> регулаторна</w:t>
      </w:r>
      <w:r w:rsidR="00185A75" w:rsidRPr="00EF2F18">
        <w:rPr>
          <w:rFonts w:cs="Times New Roman"/>
          <w:sz w:val="22"/>
          <w:lang w:val="sr-Cyrl-RS" w:eastAsia="en-GB"/>
        </w:rPr>
        <w:t>.</w:t>
      </w:r>
    </w:p>
    <w:p w14:paraId="110F9637" w14:textId="77777777" w:rsidR="007C436D" w:rsidRPr="00EF2F18" w:rsidRDefault="007C436D" w:rsidP="00425FCC">
      <w:pPr>
        <w:spacing w:after="0"/>
        <w:ind w:firstLine="720"/>
        <w:jc w:val="both"/>
        <w:rPr>
          <w:rFonts w:cs="Times New Roman"/>
          <w:sz w:val="22"/>
          <w:lang w:val="sr-Cyrl-RS" w:eastAsia="en-GB"/>
        </w:rPr>
      </w:pPr>
    </w:p>
    <w:p w14:paraId="3109BBEB" w14:textId="245601B0" w:rsidR="007C436D" w:rsidRPr="00EF2F18" w:rsidRDefault="007C436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1.2.</w:t>
      </w:r>
      <w:r w:rsidR="00652D24" w:rsidRPr="00EF2F18">
        <w:rPr>
          <w:rFonts w:cs="Times New Roman"/>
          <w:b/>
          <w:bCs/>
          <w:sz w:val="22"/>
          <w:lang w:val="sr-Cyrl-RS" w:eastAsia="en-GB"/>
        </w:rPr>
        <w:t>6</w:t>
      </w:r>
      <w:r w:rsidRPr="00EF2F18">
        <w:rPr>
          <w:rFonts w:cs="Times New Roman"/>
          <w:b/>
          <w:bCs/>
          <w:sz w:val="22"/>
          <w:lang w:val="sr-Cyrl-RS" w:eastAsia="en-GB"/>
        </w:rPr>
        <w:t xml:space="preserve">. </w:t>
      </w:r>
      <w:r w:rsidR="001B6C03" w:rsidRPr="00EF2F18">
        <w:rPr>
          <w:rFonts w:cs="Times New Roman"/>
          <w:b/>
          <w:bCs/>
          <w:sz w:val="22"/>
          <w:lang w:val="sr-Cyrl-RS" w:eastAsia="en-GB"/>
        </w:rPr>
        <w:t>Унапређење алата (продуката) РХМЗ ради побољшања спремности грађана и привреде Републике Србије на временске и климатске екстреме</w:t>
      </w:r>
      <w:r w:rsidRPr="00EF2F18">
        <w:rPr>
          <w:rFonts w:cs="Times New Roman"/>
          <w:sz w:val="22"/>
          <w:lang w:val="sr-Cyrl-RS" w:eastAsia="en-GB"/>
        </w:rPr>
        <w:t xml:space="preserve"> </w:t>
      </w:r>
    </w:p>
    <w:p w14:paraId="327A6FB3" w14:textId="77777777" w:rsidR="00D83673" w:rsidRPr="00EF2F18" w:rsidRDefault="00D83673" w:rsidP="009C7F51">
      <w:pPr>
        <w:spacing w:after="0"/>
        <w:ind w:firstLine="720"/>
        <w:jc w:val="both"/>
        <w:rPr>
          <w:rFonts w:cs="Times New Roman"/>
          <w:sz w:val="22"/>
          <w:lang w:val="sr-Cyrl-RS"/>
        </w:rPr>
      </w:pPr>
    </w:p>
    <w:p w14:paraId="368366FF" w14:textId="64F1FCC1"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 xml:space="preserve">Ова мера треба да обезбеди </w:t>
      </w:r>
      <w:r w:rsidR="00D029A3" w:rsidRPr="00EF2F18">
        <w:rPr>
          <w:rFonts w:cs="Times New Roman"/>
          <w:sz w:val="22"/>
          <w:lang w:val="sr-Cyrl-RS"/>
        </w:rPr>
        <w:t xml:space="preserve">јавну </w:t>
      </w:r>
      <w:r w:rsidRPr="00EF2F18">
        <w:rPr>
          <w:rFonts w:cs="Times New Roman"/>
          <w:sz w:val="22"/>
          <w:lang w:val="sr-Cyrl-RS"/>
        </w:rPr>
        <w:t>видљивост система информисања грађана и привреде о екстремним климатским условима и дисеминацију унапређених оперативних продуката, информација, прогноза и упозорења.</w:t>
      </w:r>
    </w:p>
    <w:p w14:paraId="6FF0EB50" w14:textId="77777777" w:rsidR="005F317C" w:rsidRPr="00EF2F18" w:rsidRDefault="009C7F51" w:rsidP="009C7F51">
      <w:pPr>
        <w:spacing w:after="0"/>
        <w:ind w:firstLine="720"/>
        <w:jc w:val="both"/>
        <w:rPr>
          <w:rFonts w:cs="Times New Roman"/>
          <w:sz w:val="22"/>
          <w:lang w:val="sr-Cyrl-RS"/>
        </w:rPr>
      </w:pPr>
      <w:bookmarkStart w:id="123" w:name="_Hlk147791412"/>
      <w:r w:rsidRPr="00EF2F18">
        <w:rPr>
          <w:rFonts w:cs="Times New Roman"/>
          <w:sz w:val="22"/>
          <w:lang w:val="sr-Cyrl-RS"/>
        </w:rPr>
        <w:t xml:space="preserve">Ова мера се односи на унапређење продуката Републичког хидрометеоролошког завода и начина ширења информација, што омогућава да грађани, привреда, укључујући приватни сектор, буду правовремено обавештени о наступајућим временским условима и потенцијалним последицама, различитих временских размера (од дугорочних до краткорочних прогноза), и са потребним просторним разлагањем (прогнозе високе резолуције), како би ублажили или спречили негативне утицаје и искористили потенцијалне користи. </w:t>
      </w:r>
    </w:p>
    <w:p w14:paraId="6A1319E7" w14:textId="5D1E56B3" w:rsidR="009C7F51" w:rsidRPr="00EF2F18" w:rsidRDefault="009C7F51" w:rsidP="009C7F51">
      <w:pPr>
        <w:spacing w:after="0"/>
        <w:ind w:firstLine="720"/>
        <w:jc w:val="both"/>
        <w:rPr>
          <w:rFonts w:cs="Times New Roman"/>
          <w:sz w:val="22"/>
          <w:lang w:val="sr-Cyrl-RS"/>
        </w:rPr>
      </w:pPr>
      <w:r w:rsidRPr="00EF2F18">
        <w:rPr>
          <w:rFonts w:cs="Times New Roman"/>
          <w:sz w:val="22"/>
          <w:lang w:val="sr-Cyrl-RS"/>
        </w:rPr>
        <w:t>Ова мера подразумева унапређење израда прогноза и њених продуката са високим просторним разлагањем, и унапређење алата за правовремено ширење информација.</w:t>
      </w:r>
    </w:p>
    <w:p w14:paraId="08974AA2" w14:textId="1F2ED00B" w:rsidR="00DA1CAE" w:rsidRPr="00EF2F18" w:rsidRDefault="009C7F51" w:rsidP="009C7F51">
      <w:pPr>
        <w:spacing w:after="0"/>
        <w:ind w:firstLine="720"/>
        <w:jc w:val="both"/>
        <w:rPr>
          <w:rFonts w:cs="Times New Roman"/>
          <w:sz w:val="22"/>
          <w:lang w:val="sr-Cyrl-RS"/>
        </w:rPr>
      </w:pPr>
      <w:r w:rsidRPr="00EF2F18">
        <w:rPr>
          <w:rFonts w:cs="Times New Roman"/>
          <w:sz w:val="22"/>
          <w:lang w:val="sr-Cyrl-RS"/>
        </w:rPr>
        <w:t xml:space="preserve">Дисеминација унапређених оперативних продуката, информација, прогноза и упозорења треба да се обезбеди израдом нове интернет презентације </w:t>
      </w:r>
      <w:r w:rsidR="007A2E9F" w:rsidRPr="00EF2F18">
        <w:rPr>
          <w:rFonts w:cs="Times New Roman"/>
          <w:bCs/>
          <w:sz w:val="22"/>
          <w:lang w:val="sr-Cyrl-RS"/>
        </w:rPr>
        <w:t>Републичког хидрометеоролошког завода</w:t>
      </w:r>
      <w:r w:rsidRPr="00EF2F18">
        <w:rPr>
          <w:rFonts w:cs="Times New Roman"/>
          <w:sz w:val="22"/>
          <w:lang w:val="sr-Cyrl-RS"/>
        </w:rPr>
        <w:t>, коришћењем нових алата и других метода савремених информационих технологија што ће обезбедити стабилно и поуздано функционисање нове интернет презентације</w:t>
      </w:r>
      <w:bookmarkEnd w:id="123"/>
      <w:r w:rsidR="00E97AA4">
        <w:rPr>
          <w:rFonts w:cs="Times New Roman"/>
          <w:sz w:val="22"/>
          <w:lang w:val="sr-Cyrl-RS"/>
        </w:rPr>
        <w:t xml:space="preserve"> (веза са мером 8.</w:t>
      </w:r>
      <w:r w:rsidR="00F614F3" w:rsidRPr="00EF2F18">
        <w:rPr>
          <w:rFonts w:cs="Times New Roman"/>
          <w:sz w:val="22"/>
          <w:lang w:val="sr-Cyrl-RS"/>
        </w:rPr>
        <w:t xml:space="preserve"> посебног циља 1. Програма прилагођавања на измењене климатске услове за период од 2023</w:t>
      </w:r>
      <w:r w:rsidR="00E97AA4">
        <w:rPr>
          <w:rFonts w:cs="Times New Roman"/>
          <w:sz w:val="22"/>
          <w:lang w:val="sr-Cyrl-RS"/>
        </w:rPr>
        <w:t>.</w:t>
      </w:r>
      <w:r w:rsidR="00F614F3" w:rsidRPr="00EF2F18">
        <w:rPr>
          <w:rFonts w:cs="Times New Roman"/>
          <w:sz w:val="22"/>
          <w:lang w:val="sr-Cyrl-RS"/>
        </w:rPr>
        <w:t xml:space="preserve"> до 2030. године).</w:t>
      </w:r>
    </w:p>
    <w:p w14:paraId="5061A7A1" w14:textId="77777777" w:rsidR="00DF2340" w:rsidRPr="00EF2F18" w:rsidRDefault="00DF2340" w:rsidP="00DF2340">
      <w:pPr>
        <w:spacing w:after="0"/>
        <w:ind w:firstLine="720"/>
        <w:jc w:val="both"/>
        <w:rPr>
          <w:rFonts w:cs="Times New Roman"/>
          <w:sz w:val="22"/>
          <w:lang w:val="sr-Cyrl-RS"/>
        </w:rPr>
      </w:pPr>
      <w:r w:rsidRPr="00EF2F18">
        <w:rPr>
          <w:rFonts w:cs="Times New Roman"/>
          <w:sz w:val="22"/>
          <w:lang w:val="sr-Cyrl-RS"/>
        </w:rPr>
        <w:t xml:space="preserve">Такође је потребно јачање јавне свести о утицају климатских промена на здравље и припрема протокола о реаговању у случају топлотних таласа и других ситуација као последица измењених климатских услова. У складу са тим потребно је припремити и спровести обуке за медије ради правовременог и редовног извештавања о климатским опасностима али и спровести активности на јачању јавне свести о утицају климатских промена на здравље. </w:t>
      </w:r>
    </w:p>
    <w:p w14:paraId="0A35868A" w14:textId="46FED7D1"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7A2E9F" w:rsidRPr="00EF2F18">
        <w:rPr>
          <w:rFonts w:cs="Times New Roman"/>
          <w:bCs/>
          <w:sz w:val="22"/>
          <w:lang w:val="sr-Cyrl-RS" w:eastAsia="en-GB"/>
        </w:rPr>
        <w:t>Републичког хидрометеоролошког завода</w:t>
      </w:r>
      <w:r w:rsidR="00185A75" w:rsidRPr="00EF2F18">
        <w:rPr>
          <w:rFonts w:cs="Times New Roman"/>
          <w:bCs/>
          <w:sz w:val="22"/>
          <w:lang w:val="sr-Cyrl-RS" w:eastAsia="en-GB"/>
        </w:rPr>
        <w:t>.</w:t>
      </w:r>
      <w:r w:rsidR="00D029A3" w:rsidRPr="00EF2F18">
        <w:rPr>
          <w:rFonts w:cs="Times New Roman"/>
          <w:sz w:val="22"/>
          <w:lang w:val="sr-Cyrl-RS" w:eastAsia="en-GB"/>
        </w:rPr>
        <w:t xml:space="preserve"> </w:t>
      </w:r>
    </w:p>
    <w:p w14:paraId="42770B6A" w14:textId="3E83B655"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D029A3" w:rsidRPr="00EF2F18">
        <w:rPr>
          <w:rFonts w:cs="Times New Roman"/>
          <w:sz w:val="22"/>
          <w:lang w:val="sr-Cyrl-RS" w:eastAsia="en-GB"/>
        </w:rPr>
        <w:t xml:space="preserve"> Министарство заштите животне средине, </w:t>
      </w:r>
      <w:r w:rsidR="00685595" w:rsidRPr="00EF2F18">
        <w:rPr>
          <w:rFonts w:cs="Times New Roman"/>
          <w:sz w:val="22"/>
          <w:lang w:val="sr-Cyrl-RS" w:eastAsia="en-GB"/>
        </w:rPr>
        <w:t>факултети</w:t>
      </w:r>
      <w:r w:rsidR="006A4369" w:rsidRPr="00EF2F18">
        <w:rPr>
          <w:rFonts w:cs="Times New Roman"/>
          <w:sz w:val="22"/>
          <w:lang w:val="sr-Cyrl-RS" w:eastAsia="en-GB"/>
        </w:rPr>
        <w:t>, научно-истраживачке организације</w:t>
      </w:r>
      <w:r w:rsidR="00E94E13" w:rsidRPr="00EF2F18">
        <w:rPr>
          <w:rFonts w:cs="Times New Roman"/>
          <w:sz w:val="22"/>
          <w:lang w:val="sr-Cyrl-RS" w:eastAsia="en-GB"/>
        </w:rPr>
        <w:t>,</w:t>
      </w:r>
      <w:r w:rsidR="001B6C03" w:rsidRPr="00EF2F18">
        <w:rPr>
          <w:rFonts w:cs="Times New Roman"/>
          <w:sz w:val="22"/>
          <w:lang w:val="sr-Cyrl-RS" w:eastAsia="en-GB"/>
        </w:rPr>
        <w:t xml:space="preserve"> Министарство здравља, заводи за јавно здравље</w:t>
      </w:r>
      <w:r w:rsidR="00185A75" w:rsidRPr="00EF2F18">
        <w:rPr>
          <w:rFonts w:cs="Times New Roman"/>
          <w:sz w:val="22"/>
          <w:lang w:val="sr-Cyrl-RS" w:eastAsia="en-GB"/>
        </w:rPr>
        <w:t>.</w:t>
      </w:r>
    </w:p>
    <w:p w14:paraId="6BFDAC95" w14:textId="52CC135A" w:rsidR="007C436D" w:rsidRPr="00EF2F18" w:rsidRDefault="007C436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D6A2C" w:rsidRPr="00EF2F18">
        <w:rPr>
          <w:rFonts w:cs="Times New Roman"/>
          <w:sz w:val="22"/>
          <w:lang w:val="sr-Cyrl-RS" w:eastAsia="en-GB"/>
        </w:rPr>
        <w:t>информативно-</w:t>
      </w:r>
      <w:r w:rsidR="00CB5259" w:rsidRPr="00EF2F18">
        <w:rPr>
          <w:rFonts w:cs="Times New Roman"/>
          <w:sz w:val="22"/>
          <w:lang w:val="sr-Cyrl-RS" w:eastAsia="en-GB"/>
        </w:rPr>
        <w:t>едукативна</w:t>
      </w:r>
      <w:r w:rsidR="00185A75" w:rsidRPr="00EF2F18">
        <w:rPr>
          <w:rFonts w:cs="Times New Roman"/>
          <w:sz w:val="22"/>
          <w:lang w:val="sr-Cyrl-RS" w:eastAsia="en-GB"/>
        </w:rPr>
        <w:t>.</w:t>
      </w:r>
    </w:p>
    <w:p w14:paraId="6D186064" w14:textId="215B195B" w:rsidR="00D83673" w:rsidRPr="00753384" w:rsidRDefault="00D83673" w:rsidP="00185A75">
      <w:pPr>
        <w:spacing w:after="0"/>
        <w:rPr>
          <w:rFonts w:cs="Times New Roman"/>
          <w:sz w:val="12"/>
          <w:szCs w:val="12"/>
          <w:lang w:val="sr-Cyrl-RS"/>
        </w:rPr>
      </w:pPr>
    </w:p>
    <w:p w14:paraId="18F39625" w14:textId="4B6967FD" w:rsidR="0024502E" w:rsidRPr="00EF2F18" w:rsidRDefault="0024502E" w:rsidP="00780F42">
      <w:pPr>
        <w:pStyle w:val="Heading3"/>
        <w:numPr>
          <w:ilvl w:val="2"/>
          <w:numId w:val="2"/>
        </w:numPr>
        <w:spacing w:before="0" w:after="0"/>
        <w:ind w:left="709" w:firstLine="0"/>
        <w:jc w:val="center"/>
        <w:rPr>
          <w:rFonts w:cs="Times New Roman"/>
          <w:sz w:val="22"/>
          <w:szCs w:val="22"/>
          <w:lang w:val="sr-Cyrl-RS"/>
        </w:rPr>
      </w:pPr>
      <w:bookmarkStart w:id="124" w:name="_Toc158307738"/>
      <w:r w:rsidRPr="00EF2F18">
        <w:rPr>
          <w:rFonts w:cs="Times New Roman"/>
          <w:sz w:val="22"/>
          <w:szCs w:val="22"/>
          <w:lang w:val="sr-Cyrl-RS"/>
        </w:rPr>
        <w:t>Циркуларна економија</w:t>
      </w:r>
      <w:bookmarkEnd w:id="124"/>
    </w:p>
    <w:p w14:paraId="2F915027" w14:textId="77777777" w:rsidR="00F45912" w:rsidRPr="00753384" w:rsidRDefault="00F45912" w:rsidP="00F45912">
      <w:pPr>
        <w:rPr>
          <w:sz w:val="12"/>
          <w:szCs w:val="12"/>
          <w:lang w:val="sr-Cyrl-RS"/>
        </w:rPr>
      </w:pPr>
    </w:p>
    <w:p w14:paraId="1BBDEF16" w14:textId="761BA8E8" w:rsidR="00C408FC" w:rsidRPr="00EF2F18" w:rsidRDefault="00C408FC"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Посебан циљ 2.1: Унапређење одрживог система управљања отпадом кроз ефикасније коришћење отпада у складу са ЕУ прописима</w:t>
      </w:r>
    </w:p>
    <w:p w14:paraId="30F3D951" w14:textId="77777777" w:rsidR="00753384" w:rsidRDefault="00753384" w:rsidP="00425FCC">
      <w:pPr>
        <w:spacing w:after="0"/>
        <w:ind w:firstLine="720"/>
        <w:jc w:val="both"/>
        <w:rPr>
          <w:rFonts w:cs="Times New Roman"/>
          <w:sz w:val="22"/>
          <w:lang w:val="sr-Cyrl-RS"/>
        </w:rPr>
      </w:pPr>
    </w:p>
    <w:p w14:paraId="6089E161" w14:textId="0B32A515"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одредбама из ЕУ директива о управљању отпадом (Пакетом ЕУ за циркуларну економију): Директиве 2018/851 ЕУ о изменама директиве 2008/98/ЕС о отпаду; Директиве 2018/852 ЕУ о изменама директиве 94/62/ЕС о амбалажи и амбалажном отпаду; Директиве ЕУ 2018/850 о изменама директиве 1993/31/ЕС о депонијама; </w:t>
      </w:r>
      <w:r w:rsidRPr="00EF2F18">
        <w:rPr>
          <w:rFonts w:cs="Times New Roman"/>
          <w:sz w:val="22"/>
          <w:lang w:val="sr-Cyrl-RS"/>
        </w:rPr>
        <w:lastRenderedPageBreak/>
        <w:t>Директиве ЕУ 2018/849 о изменама директива 2000/53/ЕC о отпадним возилима, 2006/66/ЕC о батеријама и акумулаторима и отпадним батеријама и акумулаторима и Директиве 2012/19</w:t>
      </w:r>
      <w:r w:rsidR="009719F8" w:rsidRPr="00EF2F18">
        <w:rPr>
          <w:rFonts w:cs="Times New Roman"/>
          <w:sz w:val="22"/>
          <w:lang w:val="sr-Cyrl-RS"/>
        </w:rPr>
        <w:t>/EU</w:t>
      </w:r>
      <w:r w:rsidRPr="00EF2F18">
        <w:rPr>
          <w:rFonts w:cs="Times New Roman"/>
          <w:sz w:val="22"/>
          <w:lang w:val="sr-Cyrl-RS"/>
        </w:rPr>
        <w:t xml:space="preserve"> о отпадној електричној и електронској опреми</w:t>
      </w:r>
      <w:r w:rsidR="002279EB" w:rsidRPr="00EF2F18">
        <w:rPr>
          <w:rFonts w:cs="Times New Roman"/>
          <w:sz w:val="22"/>
          <w:lang w:val="sr-Cyrl-RS"/>
        </w:rPr>
        <w:t>.</w:t>
      </w:r>
    </w:p>
    <w:p w14:paraId="49EAFC16" w14:textId="788EA0D1" w:rsidR="00D055D4" w:rsidRPr="00EF2F18" w:rsidRDefault="008E331B" w:rsidP="00425FCC">
      <w:pPr>
        <w:spacing w:after="0"/>
        <w:ind w:firstLine="720"/>
        <w:jc w:val="both"/>
        <w:rPr>
          <w:rFonts w:eastAsia="Calibri" w:cs="Times New Roman"/>
          <w:sz w:val="22"/>
          <w:lang w:val="sr-Cyrl-RS"/>
        </w:rPr>
      </w:pPr>
      <w:r w:rsidRPr="00EF2F18">
        <w:rPr>
          <w:rFonts w:eastAsia="Calibri" w:cs="Times New Roman"/>
          <w:sz w:val="22"/>
          <w:lang w:val="sr-Cyrl-RS"/>
        </w:rPr>
        <w:t>Прегледом стања у привредном сектору, систему управљања отпадом, примени зелених јавних набавки и добровољних инструмената, образовању и науци, локалним самоуправама и степену јавне свести о темама као што су одрживи развој, циркуларна економија и заштита животне средине, долази се до закључка да је потребно додатно радити на унапређењу наведених области.</w:t>
      </w:r>
    </w:p>
    <w:p w14:paraId="01E5FBFC" w14:textId="10F99DCB" w:rsidR="00EF02F9" w:rsidRPr="00EF2F18" w:rsidRDefault="00EF02F9" w:rsidP="00425FCC">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w:t>
      </w:r>
      <w:r w:rsidR="00356FAB" w:rsidRPr="00EF2F18">
        <w:rPr>
          <w:rFonts w:eastAsia="Calibri" w:cs="Times New Roman"/>
          <w:sz w:val="22"/>
          <w:lang w:val="sr-Cyrl-RS"/>
        </w:rPr>
        <w:t>ЦОР</w:t>
      </w:r>
      <w:r w:rsidRPr="00EF2F18">
        <w:rPr>
          <w:rFonts w:eastAsia="Calibri" w:cs="Times New Roman"/>
          <w:sz w:val="22"/>
          <w:lang w:val="sr-Cyrl-RS"/>
        </w:rPr>
        <w:t xml:space="preserve"> </w:t>
      </w:r>
      <w:r w:rsidR="00356FAB" w:rsidRPr="00EF2F18">
        <w:rPr>
          <w:rFonts w:eastAsia="Calibri" w:cs="Times New Roman"/>
          <w:sz w:val="22"/>
          <w:lang w:val="sr-Cyrl-RS"/>
        </w:rPr>
        <w:t xml:space="preserve">12 који </w:t>
      </w:r>
      <w:r w:rsidR="00356FAB" w:rsidRPr="00EF2F18">
        <w:rPr>
          <w:sz w:val="22"/>
          <w:lang w:val="sr-Cyrl-RS"/>
        </w:rPr>
        <w:t>предвиђа успостављање одрживих образаца потрошње и производње</w:t>
      </w:r>
      <w:r w:rsidR="003F215B" w:rsidRPr="00EF2F18">
        <w:rPr>
          <w:sz w:val="22"/>
          <w:lang w:val="sr-Cyrl-RS"/>
        </w:rPr>
        <w:t>, нарочито</w:t>
      </w:r>
      <w:r w:rsidR="006F42F8" w:rsidRPr="00EF2F18">
        <w:rPr>
          <w:sz w:val="22"/>
          <w:lang w:val="sr-Cyrl-RS"/>
        </w:rPr>
        <w:t xml:space="preserve"> реализацији</w:t>
      </w:r>
      <w:r w:rsidR="003F215B" w:rsidRPr="00EF2F18">
        <w:rPr>
          <w:sz w:val="22"/>
          <w:lang w:val="sr-Cyrl-RS"/>
        </w:rPr>
        <w:t xml:space="preserve"> потциља 12.5. </w:t>
      </w:r>
      <w:r w:rsidR="00356FAB" w:rsidRPr="00EF2F18">
        <w:rPr>
          <w:sz w:val="22"/>
          <w:lang w:val="sr-Cyrl-RS"/>
        </w:rPr>
        <w:t>којим се предвиђа значајно смањење производње отпада кроз превенцију, редукцију, рециклирање и поновно коришћење</w:t>
      </w:r>
      <w:r w:rsidR="003F215B" w:rsidRPr="00EF2F18">
        <w:rPr>
          <w:sz w:val="22"/>
          <w:lang w:val="sr-Cyrl-RS"/>
        </w:rPr>
        <w:t>.</w:t>
      </w:r>
    </w:p>
    <w:p w14:paraId="24981D88" w14:textId="77777777" w:rsidR="00C408FC" w:rsidRPr="00753384" w:rsidRDefault="00C408FC" w:rsidP="00425FCC">
      <w:pPr>
        <w:spacing w:after="0"/>
        <w:ind w:firstLine="720"/>
        <w:rPr>
          <w:rFonts w:cs="Times New Roman"/>
          <w:sz w:val="12"/>
          <w:szCs w:val="12"/>
          <w:lang w:val="sr-Cyrl-RS"/>
        </w:rPr>
      </w:pPr>
    </w:p>
    <w:p w14:paraId="7AB1B555" w14:textId="77777777" w:rsidR="00C408FC" w:rsidRPr="00EF2F18" w:rsidRDefault="00C408FC"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2.1.1. Развој система управљања комуналним отпадом кроз ефикасније искоришћење отпада</w:t>
      </w:r>
      <w:r w:rsidRPr="00EF2F18">
        <w:rPr>
          <w:rFonts w:cs="Times New Roman"/>
          <w:sz w:val="22"/>
          <w:lang w:val="sr-Cyrl-RS" w:eastAsia="en-GB"/>
        </w:rPr>
        <w:t xml:space="preserve"> </w:t>
      </w:r>
    </w:p>
    <w:p w14:paraId="760AD85A" w14:textId="77777777" w:rsidR="00D83673" w:rsidRPr="00753384" w:rsidRDefault="00D83673" w:rsidP="00425FCC">
      <w:pPr>
        <w:spacing w:after="0"/>
        <w:ind w:firstLine="720"/>
        <w:jc w:val="both"/>
        <w:rPr>
          <w:rFonts w:cs="Times New Roman"/>
          <w:sz w:val="12"/>
          <w:szCs w:val="12"/>
          <w:lang w:val="sr-Cyrl-RS"/>
        </w:rPr>
      </w:pPr>
    </w:p>
    <w:p w14:paraId="0E86704C" w14:textId="15A50057"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 xml:space="preserve">Ова мера </w:t>
      </w:r>
      <w:r w:rsidR="00297BC9" w:rsidRPr="00EF2F18">
        <w:rPr>
          <w:rFonts w:cs="Times New Roman"/>
          <w:sz w:val="22"/>
          <w:lang w:val="sr-Cyrl-RS"/>
        </w:rPr>
        <w:t>подразумева</w:t>
      </w:r>
      <w:r w:rsidRPr="00EF2F18">
        <w:rPr>
          <w:rFonts w:cs="Times New Roman"/>
          <w:sz w:val="22"/>
          <w:lang w:val="sr-Cyrl-RS"/>
        </w:rPr>
        <w:t xml:space="preserve"> унапређење система за поновно искоришћење комуналног отпада у складу са принципима циркуларне економије кроз: одвојено сакупљање и рециклажу комуналног отпада који подразумева развој система одвојеног сакупљања папира, метала, пластике, стакла и текстила у вези са једним од кључних захтева Директива 2018/851 ЕУ о изменама </w:t>
      </w:r>
      <w:r w:rsidR="006911C0" w:rsidRPr="00EF2F18">
        <w:rPr>
          <w:rFonts w:cs="Times New Roman"/>
          <w:sz w:val="22"/>
          <w:lang w:val="sr-Cyrl-RS"/>
        </w:rPr>
        <w:t xml:space="preserve">Оквирне </w:t>
      </w:r>
      <w:r w:rsidRPr="00EF2F18">
        <w:rPr>
          <w:rFonts w:cs="Times New Roman"/>
          <w:sz w:val="22"/>
          <w:lang w:val="sr-Cyrl-RS"/>
        </w:rPr>
        <w:t>директиве 2008/98/ЕС о отпаду као и кућно компостирање у свим јединицама локалне самоуправе. Мером се успоставља адекватан систем примарне сепарације комуналног отпада</w:t>
      </w:r>
      <w:r w:rsidR="00B8325C" w:rsidRPr="00EF2F18">
        <w:rPr>
          <w:rFonts w:cs="Times New Roman"/>
          <w:sz w:val="22"/>
          <w:lang w:val="sr-Cyrl-RS"/>
        </w:rPr>
        <w:t>,</w:t>
      </w:r>
      <w:r w:rsidRPr="00EF2F18">
        <w:rPr>
          <w:rFonts w:cs="Times New Roman"/>
          <w:sz w:val="22"/>
          <w:lang w:val="sr-Cyrl-RS"/>
        </w:rPr>
        <w:t xml:space="preserve"> али додатно ова мера обухвата и унапређење секундарног одвајања рециклабилних материјала кроз изградњу одговарајућих линија за секундарну сепарацију, како би се издвојене фракције рециклабилног отпада упутиле на даљу прераду, односно рециклажу. Након припреме рециклабилне фракције из комуналног отпада</w:t>
      </w:r>
      <w:r w:rsidR="00B8325C" w:rsidRPr="00EF2F18">
        <w:rPr>
          <w:rFonts w:cs="Times New Roman"/>
          <w:sz w:val="22"/>
          <w:lang w:val="sr-Cyrl-RS"/>
        </w:rPr>
        <w:t>,</w:t>
      </w:r>
      <w:r w:rsidRPr="00EF2F18">
        <w:rPr>
          <w:rFonts w:cs="Times New Roman"/>
          <w:sz w:val="22"/>
          <w:lang w:val="sr-Cyrl-RS"/>
        </w:rPr>
        <w:t xml:space="preserve"> а у циљу повећања степена поновног искоришћења комуналног отпада планирана је изградња адекватног броја постројења за искоришћење отпада као горива (RDF)</w:t>
      </w:r>
      <w:r w:rsidR="00F1144F" w:rsidRPr="00EF2F18">
        <w:rPr>
          <w:rFonts w:cs="Times New Roman"/>
          <w:sz w:val="22"/>
          <w:lang w:val="sr-Cyrl-RS"/>
        </w:rPr>
        <w:t xml:space="preserve"> и/или биолошког третмана отпада (МБТ)</w:t>
      </w:r>
      <w:r w:rsidRPr="00EF2F18">
        <w:rPr>
          <w:rFonts w:cs="Times New Roman"/>
          <w:sz w:val="22"/>
          <w:lang w:val="sr-Cyrl-RS"/>
        </w:rPr>
        <w:t>.</w:t>
      </w:r>
    </w:p>
    <w:p w14:paraId="568ED52C" w14:textId="50880B01"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Поред кућног компостирања, потребно је до краја успоставити ефикасан систем у погледу искоришћења биоразградиве фракције комуналног отпада, тако да је овом мером</w:t>
      </w:r>
      <w:r w:rsidR="00B8325C" w:rsidRPr="00EF2F18">
        <w:rPr>
          <w:rFonts w:cs="Times New Roman"/>
          <w:sz w:val="22"/>
          <w:lang w:val="sr-Cyrl-RS"/>
        </w:rPr>
        <w:t xml:space="preserve"> </w:t>
      </w:r>
      <w:r w:rsidRPr="00EF2F18">
        <w:rPr>
          <w:rFonts w:cs="Times New Roman"/>
          <w:sz w:val="22"/>
          <w:lang w:val="sr-Cyrl-RS"/>
        </w:rPr>
        <w:t>такође планирано увођење система третмана ове врсте отпада у свим јединицама локалне самоуправе као и изградња и пуштање у рад постројења за биолошки третман у оквиру одређених регионалних центара за управљање отпадом. На овај начин се доприноси</w:t>
      </w:r>
      <w:r w:rsidR="00B9180A" w:rsidRPr="00EF2F18">
        <w:rPr>
          <w:rFonts w:cs="Times New Roman"/>
          <w:sz w:val="22"/>
          <w:lang w:val="sr-Cyrl-RS"/>
        </w:rPr>
        <w:t xml:space="preserve"> </w:t>
      </w:r>
      <w:r w:rsidRPr="00EF2F18">
        <w:rPr>
          <w:rFonts w:cs="Times New Roman"/>
          <w:sz w:val="22"/>
          <w:lang w:val="sr-Cyrl-RS"/>
        </w:rPr>
        <w:t>смањењу количине биоразградивог отпада који се одлаже на депоније али и</w:t>
      </w:r>
      <w:r w:rsidR="00B9180A" w:rsidRPr="00EF2F18">
        <w:rPr>
          <w:rFonts w:cs="Times New Roman"/>
          <w:sz w:val="22"/>
          <w:lang w:val="sr-Cyrl-RS"/>
        </w:rPr>
        <w:t xml:space="preserve"> </w:t>
      </w:r>
      <w:r w:rsidRPr="00EF2F18">
        <w:rPr>
          <w:rFonts w:cs="Times New Roman"/>
          <w:sz w:val="22"/>
          <w:lang w:val="sr-Cyrl-RS"/>
        </w:rPr>
        <w:t>испуњењу захтева</w:t>
      </w:r>
      <w:r w:rsidR="00B8325C" w:rsidRPr="00EF2F18">
        <w:rPr>
          <w:rFonts w:cs="Times New Roman"/>
          <w:sz w:val="22"/>
          <w:lang w:val="sr-Cyrl-RS"/>
        </w:rPr>
        <w:t>,</w:t>
      </w:r>
      <w:r w:rsidRPr="00EF2F18">
        <w:rPr>
          <w:rFonts w:cs="Times New Roman"/>
          <w:sz w:val="22"/>
          <w:lang w:val="sr-Cyrl-RS"/>
        </w:rPr>
        <w:t xml:space="preserve"> односно прописаних циљева из Оквирне директиве о отпаду, јер се комунални биоотпад који улази у аеробни или анаеробни третман од 1. јануара 2027. године може рачунати као рециклиран само ако је одвојено сакупљен или одвојен на месту настанка</w:t>
      </w:r>
      <w:r w:rsidR="00E73A94" w:rsidRPr="00EF2F18">
        <w:rPr>
          <w:rFonts w:cs="Times New Roman"/>
          <w:sz w:val="22"/>
          <w:lang w:val="sr-Cyrl-RS"/>
        </w:rPr>
        <w:t xml:space="preserve"> (веза са мерaма 1.2</w:t>
      </w:r>
      <w:r w:rsidR="00A02AC6">
        <w:rPr>
          <w:rFonts w:cs="Times New Roman"/>
          <w:sz w:val="22"/>
          <w:lang w:val="sr-Cyrl-RS"/>
        </w:rPr>
        <w:t>, 1.3. и 1.5.</w:t>
      </w:r>
      <w:r w:rsidR="00E73A94" w:rsidRPr="00EF2F18">
        <w:rPr>
          <w:rFonts w:cs="Times New Roman"/>
          <w:sz w:val="22"/>
          <w:lang w:val="sr-Cyrl-RS"/>
        </w:rPr>
        <w:t xml:space="preserve"> посеб</w:t>
      </w:r>
      <w:r w:rsidR="00451EAC" w:rsidRPr="00EF2F18">
        <w:rPr>
          <w:rFonts w:cs="Times New Roman"/>
          <w:sz w:val="22"/>
          <w:lang w:val="sr-Cyrl-RS"/>
        </w:rPr>
        <w:t>ног</w:t>
      </w:r>
      <w:r w:rsidR="00E73A94" w:rsidRPr="00EF2F18">
        <w:rPr>
          <w:rFonts w:cs="Times New Roman"/>
          <w:sz w:val="22"/>
          <w:lang w:val="sr-Cyrl-RS"/>
        </w:rPr>
        <w:t xml:space="preserve"> циљ</w:t>
      </w:r>
      <w:r w:rsidR="00451EAC" w:rsidRPr="00EF2F18">
        <w:rPr>
          <w:rFonts w:cs="Times New Roman"/>
          <w:sz w:val="22"/>
          <w:lang w:val="sr-Cyrl-RS"/>
        </w:rPr>
        <w:t>а</w:t>
      </w:r>
      <w:r w:rsidR="00E73A94" w:rsidRPr="00EF2F18">
        <w:rPr>
          <w:rFonts w:cs="Times New Roman"/>
          <w:sz w:val="22"/>
          <w:lang w:val="sr-Cyrl-RS"/>
        </w:rPr>
        <w:t xml:space="preserve"> 1. из Програма управљања отпадом у Републици Србији за период од 2022. до 2031. године</w:t>
      </w:r>
      <w:r w:rsidR="00F4310A" w:rsidRPr="00EF2F18">
        <w:rPr>
          <w:rFonts w:cs="Times New Roman"/>
          <w:sz w:val="22"/>
          <w:lang w:val="sr-Cyrl-RS"/>
        </w:rPr>
        <w:t xml:space="preserve"> и са мерама </w:t>
      </w:r>
      <w:r w:rsidR="00951005" w:rsidRPr="00EF2F18">
        <w:rPr>
          <w:rFonts w:cs="Times New Roman"/>
          <w:sz w:val="22"/>
          <w:lang w:val="sr-Cyrl-RS"/>
        </w:rPr>
        <w:t>МП_Д14</w:t>
      </w:r>
      <w:r w:rsidR="00F4310A" w:rsidRPr="00EF2F18">
        <w:rPr>
          <w:rFonts w:cs="Times New Roman"/>
          <w:sz w:val="22"/>
          <w:lang w:val="sr-Cyrl-RS"/>
        </w:rPr>
        <w:t>-</w:t>
      </w:r>
      <w:r w:rsidR="00951005" w:rsidRPr="00EF2F18">
        <w:rPr>
          <w:rFonts w:cs="Times New Roman"/>
          <w:sz w:val="22"/>
          <w:lang w:val="sr-Cyrl-RS"/>
        </w:rPr>
        <w:t xml:space="preserve">18 Интегрисаног националног енергетског и климатског плана Републике Србије за период до 2030. године са </w:t>
      </w:r>
      <w:r w:rsidR="00902EDC" w:rsidRPr="00EF2F18">
        <w:rPr>
          <w:rStyle w:val="cf01"/>
          <w:rFonts w:ascii="Times New Roman" w:hAnsi="Times New Roman" w:cs="Times New Roman"/>
          <w:sz w:val="22"/>
          <w:lang w:val="sr-Cyrl-RS"/>
        </w:rPr>
        <w:t xml:space="preserve">визијом </w:t>
      </w:r>
      <w:r w:rsidR="00951005" w:rsidRPr="00EF2F18">
        <w:rPr>
          <w:rFonts w:cs="Times New Roman"/>
          <w:sz w:val="22"/>
          <w:lang w:val="sr-Cyrl-RS"/>
        </w:rPr>
        <w:t>до 2050. године</w:t>
      </w:r>
      <w:r w:rsidR="00E73A94" w:rsidRPr="00EF2F18">
        <w:rPr>
          <w:rFonts w:cs="Times New Roman"/>
          <w:sz w:val="22"/>
          <w:lang w:val="sr-Cyrl-RS"/>
        </w:rPr>
        <w:t>).</w:t>
      </w:r>
    </w:p>
    <w:p w14:paraId="4094D05A" w14:textId="3C0FCEF3"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За успостављање ефикасног система управљања комуналним отпадом потребно је реализовати реформу тарифног система и увести принципе плати колико бациш и повраћаја трошкова, узимајући у обзир ценовну приступачност. Знатан део укупне накнаде ће бити усмерен на количину насталог отпада како би се подстакла превенција и поновно искоришћење отпада. Накнаде за услугу управљања отпадом морају се реструктурирати тако да се заснивају на броју контејнера и пражњења, уместо паушала (број особа или квадратних метара стамбеног простора). Ниже тарифе треба увести за одвојено прикупљене рециклабилних компоненти како би обезбедио подстицај грађанима да одвајају отпад на месту настанка</w:t>
      </w:r>
      <w:r w:rsidR="00ED0623" w:rsidRPr="00EF2F18">
        <w:rPr>
          <w:rFonts w:cs="Times New Roman"/>
          <w:sz w:val="22"/>
          <w:lang w:val="sr-Cyrl-RS"/>
        </w:rPr>
        <w:t xml:space="preserve"> (веза</w:t>
      </w:r>
      <w:r w:rsidR="0047611C" w:rsidRPr="00EF2F18">
        <w:rPr>
          <w:rFonts w:cs="Times New Roman"/>
          <w:sz w:val="22"/>
          <w:lang w:val="sr-Cyrl-RS"/>
        </w:rPr>
        <w:t xml:space="preserve"> са </w:t>
      </w:r>
      <w:r w:rsidR="002A4D43" w:rsidRPr="00EF2F18">
        <w:rPr>
          <w:rFonts w:cs="Times New Roman"/>
          <w:sz w:val="22"/>
          <w:lang w:val="sr-Cyrl-RS"/>
        </w:rPr>
        <w:t>м</w:t>
      </w:r>
      <w:r w:rsidR="0047611C" w:rsidRPr="00EF2F18">
        <w:rPr>
          <w:rFonts w:cs="Times New Roman"/>
          <w:sz w:val="22"/>
          <w:lang w:val="sr-Cyrl-RS"/>
        </w:rPr>
        <w:t xml:space="preserve">ером </w:t>
      </w:r>
      <w:r w:rsidR="00322072" w:rsidRPr="00EF2F18">
        <w:rPr>
          <w:rFonts w:cs="Times New Roman"/>
          <w:sz w:val="22"/>
          <w:lang w:val="sr-Cyrl-RS"/>
        </w:rPr>
        <w:t>6</w:t>
      </w:r>
      <w:r w:rsidR="0047611C" w:rsidRPr="00EF2F18">
        <w:rPr>
          <w:rFonts w:cs="Times New Roman"/>
          <w:sz w:val="22"/>
          <w:lang w:val="sr-Cyrl-RS"/>
        </w:rPr>
        <w:t>.</w:t>
      </w:r>
      <w:r w:rsidR="00322072" w:rsidRPr="00EF2F18">
        <w:rPr>
          <w:rFonts w:cs="Times New Roman"/>
          <w:sz w:val="22"/>
          <w:lang w:val="sr-Cyrl-RS"/>
        </w:rPr>
        <w:t>4</w:t>
      </w:r>
      <w:r w:rsidR="0047611C" w:rsidRPr="00EF2F18">
        <w:rPr>
          <w:rFonts w:cs="Times New Roman"/>
          <w:sz w:val="22"/>
          <w:lang w:val="sr-Cyrl-RS"/>
        </w:rPr>
        <w:t>.1. ове Стратегије</w:t>
      </w:r>
      <w:r w:rsidR="00ED0623" w:rsidRPr="00EF2F18">
        <w:rPr>
          <w:rFonts w:cs="Times New Roman"/>
          <w:sz w:val="22"/>
          <w:lang w:val="sr-Cyrl-RS"/>
        </w:rPr>
        <w:t>)</w:t>
      </w:r>
      <w:r w:rsidR="0047611C" w:rsidRPr="00EF2F18">
        <w:rPr>
          <w:rFonts w:cs="Times New Roman"/>
          <w:sz w:val="22"/>
          <w:lang w:val="sr-Cyrl-RS"/>
        </w:rPr>
        <w:t>.</w:t>
      </w:r>
    </w:p>
    <w:p w14:paraId="5BED47E7" w14:textId="330DC718" w:rsidR="00753384" w:rsidRPr="00EF2F18" w:rsidRDefault="00C408FC" w:rsidP="00753384">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2420CA" w:rsidRPr="00EF2F18">
        <w:rPr>
          <w:rFonts w:cs="Times New Roman"/>
          <w:sz w:val="22"/>
          <w:lang w:val="sr-Cyrl-RS" w:eastAsia="en-GB"/>
        </w:rPr>
        <w:t>Минис</w:t>
      </w:r>
      <w:r w:rsidR="00185A75" w:rsidRPr="00EF2F18">
        <w:rPr>
          <w:rFonts w:cs="Times New Roman"/>
          <w:sz w:val="22"/>
          <w:lang w:val="sr-Cyrl-RS" w:eastAsia="en-GB"/>
        </w:rPr>
        <w:t>тарство заштите животне средине.</w:t>
      </w:r>
    </w:p>
    <w:p w14:paraId="18DCDB08" w14:textId="69ACD778"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A319B" w:rsidRPr="00EF2F18">
        <w:rPr>
          <w:rFonts w:cs="Times New Roman"/>
          <w:sz w:val="22"/>
          <w:lang w:val="sr-Cyrl-RS" w:eastAsia="en-GB"/>
        </w:rPr>
        <w:t>АП Војводина</w:t>
      </w:r>
      <w:r w:rsidRPr="00EF2F18">
        <w:rPr>
          <w:rFonts w:cs="Times New Roman"/>
          <w:sz w:val="22"/>
          <w:lang w:val="sr-Cyrl-RS" w:eastAsia="en-GB"/>
        </w:rPr>
        <w:t>, Министарство грађевин</w:t>
      </w:r>
      <w:r w:rsidR="005409A2" w:rsidRPr="00EF2F18">
        <w:rPr>
          <w:rFonts w:cs="Times New Roman"/>
          <w:sz w:val="22"/>
          <w:lang w:val="sr-Cyrl-RS" w:eastAsia="en-GB"/>
        </w:rPr>
        <w:t>арства, саобраћаја и</w:t>
      </w:r>
      <w:r w:rsidRPr="00EF2F18">
        <w:rPr>
          <w:rFonts w:cs="Times New Roman"/>
          <w:sz w:val="22"/>
          <w:lang w:val="sr-Cyrl-RS" w:eastAsia="en-GB"/>
        </w:rPr>
        <w:t xml:space="preserve"> инфраструктур</w:t>
      </w:r>
      <w:r w:rsidR="005409A2" w:rsidRPr="00EF2F18">
        <w:rPr>
          <w:rFonts w:cs="Times New Roman"/>
          <w:sz w:val="22"/>
          <w:lang w:val="sr-Cyrl-RS" w:eastAsia="en-GB"/>
        </w:rPr>
        <w:t>е</w:t>
      </w:r>
      <w:r w:rsidRPr="00EF2F18">
        <w:rPr>
          <w:rFonts w:cs="Times New Roman"/>
          <w:sz w:val="22"/>
          <w:lang w:val="sr-Cyrl-RS" w:eastAsia="en-GB"/>
        </w:rPr>
        <w:t>,</w:t>
      </w:r>
      <w:r w:rsidR="008323E8" w:rsidRPr="00EF2F18">
        <w:rPr>
          <w:rFonts w:cs="Times New Roman"/>
          <w:sz w:val="22"/>
          <w:lang w:val="sr-Cyrl-RS" w:eastAsia="en-GB"/>
        </w:rPr>
        <w:t xml:space="preserve"> Министарство за европске интеграције, </w:t>
      </w:r>
      <w:r w:rsidR="00AC211D" w:rsidRPr="00EF2F18">
        <w:rPr>
          <w:rFonts w:cs="Times New Roman"/>
          <w:sz w:val="22"/>
          <w:lang w:val="sr-Cyrl-RS" w:eastAsia="en-GB"/>
        </w:rPr>
        <w:t xml:space="preserve">јединице локалне самоуправе, </w:t>
      </w:r>
      <w:r w:rsidRPr="00EF2F18">
        <w:rPr>
          <w:rFonts w:cs="Times New Roman"/>
          <w:sz w:val="22"/>
          <w:lang w:val="sr-Cyrl-RS" w:eastAsia="en-GB"/>
        </w:rPr>
        <w:t>јавна комунална предузећа, регионална комунална предузећа, приватна предузећа</w:t>
      </w:r>
      <w:r w:rsidR="002250E5" w:rsidRPr="00EF2F18">
        <w:rPr>
          <w:rFonts w:cs="Times New Roman"/>
          <w:sz w:val="22"/>
          <w:lang w:val="sr-Cyrl-RS" w:eastAsia="en-GB"/>
        </w:rPr>
        <w:t>, организације цивилног друштва</w:t>
      </w:r>
      <w:r w:rsidR="00185A75" w:rsidRPr="00EF2F18">
        <w:rPr>
          <w:rFonts w:cs="Times New Roman"/>
          <w:sz w:val="22"/>
          <w:lang w:val="sr-Cyrl-RS" w:eastAsia="en-GB"/>
        </w:rPr>
        <w:t>.</w:t>
      </w:r>
    </w:p>
    <w:p w14:paraId="7B31766E" w14:textId="157E3E27" w:rsidR="00C408FC" w:rsidRPr="00EF2F18" w:rsidRDefault="00C408FC"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w:t>
      </w:r>
      <w:r w:rsidR="0032771B" w:rsidRPr="00EF2F18">
        <w:rPr>
          <w:rFonts w:cs="Times New Roman"/>
          <w:sz w:val="22"/>
          <w:lang w:val="sr-Cyrl-RS" w:eastAsia="en-GB"/>
        </w:rPr>
        <w:t xml:space="preserve"> </w:t>
      </w:r>
      <w:r w:rsidRPr="00EF2F18">
        <w:rPr>
          <w:rFonts w:cs="Times New Roman"/>
          <w:sz w:val="22"/>
          <w:lang w:val="sr-Cyrl-RS" w:eastAsia="en-GB"/>
        </w:rPr>
        <w:t>Обезб</w:t>
      </w:r>
      <w:r w:rsidR="00185A75" w:rsidRPr="00EF2F18">
        <w:rPr>
          <w:rFonts w:cs="Times New Roman"/>
          <w:sz w:val="22"/>
          <w:lang w:val="sr-Cyrl-RS" w:eastAsia="en-GB"/>
        </w:rPr>
        <w:t>еђивање добара и пружање услуга.</w:t>
      </w:r>
    </w:p>
    <w:p w14:paraId="339949D4" w14:textId="295B7A73" w:rsidR="00C408FC" w:rsidRPr="00EF2F18" w:rsidRDefault="00C408FC" w:rsidP="00425FCC">
      <w:pPr>
        <w:pBdr>
          <w:top w:val="single" w:sz="4" w:space="1" w:color="auto"/>
          <w:left w:val="single" w:sz="4" w:space="4" w:color="auto"/>
          <w:bottom w:val="single" w:sz="4" w:space="1" w:color="auto"/>
          <w:right w:val="single" w:sz="4" w:space="4" w:color="auto"/>
        </w:pBdr>
        <w:spacing w:after="0"/>
        <w:ind w:firstLine="720"/>
        <w:jc w:val="both"/>
        <w:rPr>
          <w:rFonts w:cs="Times New Roman"/>
          <w:sz w:val="22"/>
          <w:lang w:val="sr-Cyrl-RS" w:eastAsia="en-GB"/>
        </w:rPr>
      </w:pPr>
      <w:r w:rsidRPr="00EF2F18">
        <w:rPr>
          <w:rFonts w:cs="Times New Roman"/>
          <w:b/>
          <w:bCs/>
          <w:sz w:val="22"/>
          <w:lang w:val="sr-Cyrl-RS" w:eastAsia="en-GB"/>
        </w:rPr>
        <w:lastRenderedPageBreak/>
        <w:t>Мера 2.1.2.</w:t>
      </w:r>
      <w:r w:rsidRPr="00EF2F18">
        <w:rPr>
          <w:rFonts w:cs="Times New Roman"/>
          <w:sz w:val="22"/>
          <w:lang w:val="sr-Cyrl-RS"/>
        </w:rPr>
        <w:t xml:space="preserve"> </w:t>
      </w:r>
      <w:r w:rsidRPr="00EF2F18">
        <w:rPr>
          <w:rFonts w:cs="Times New Roman"/>
          <w:b/>
          <w:bCs/>
          <w:sz w:val="22"/>
          <w:lang w:val="sr-Cyrl-RS" w:eastAsia="en-GB"/>
        </w:rPr>
        <w:t>Изградња капацитета за поновно искоришћење опасног отпада</w:t>
      </w:r>
      <w:r w:rsidR="00B9180A" w:rsidRPr="00EF2F18">
        <w:rPr>
          <w:rFonts w:cs="Times New Roman"/>
          <w:b/>
          <w:bCs/>
          <w:sz w:val="22"/>
          <w:lang w:val="sr-Cyrl-RS" w:eastAsia="en-GB"/>
        </w:rPr>
        <w:t xml:space="preserve"> </w:t>
      </w:r>
    </w:p>
    <w:p w14:paraId="39A513B7" w14:textId="77777777" w:rsidR="00D83673" w:rsidRPr="00EF2F18" w:rsidRDefault="00D83673" w:rsidP="00425FCC">
      <w:pPr>
        <w:spacing w:after="0"/>
        <w:ind w:firstLine="720"/>
        <w:jc w:val="both"/>
        <w:rPr>
          <w:rFonts w:cs="Times New Roman"/>
          <w:sz w:val="22"/>
          <w:lang w:val="sr-Cyrl-RS"/>
        </w:rPr>
      </w:pPr>
    </w:p>
    <w:p w14:paraId="40300D8F" w14:textId="191AF13B"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Принципи циркуларне економије се фокусирају на поновно искоришћење отпада у</w:t>
      </w:r>
      <w:r w:rsidR="00B9180A" w:rsidRPr="00EF2F18">
        <w:rPr>
          <w:rFonts w:cs="Times New Roman"/>
          <w:sz w:val="22"/>
          <w:lang w:val="sr-Cyrl-RS"/>
        </w:rPr>
        <w:t xml:space="preserve"> </w:t>
      </w:r>
      <w:r w:rsidRPr="00EF2F18">
        <w:rPr>
          <w:rFonts w:cs="Times New Roman"/>
          <w:sz w:val="22"/>
          <w:lang w:val="sr-Cyrl-RS"/>
        </w:rPr>
        <w:t>домаћим постројењима. У области управљања отпадом постоји значајан потенцијал</w:t>
      </w:r>
      <w:r w:rsidR="00B9180A" w:rsidRPr="00EF2F18">
        <w:rPr>
          <w:rFonts w:cs="Times New Roman"/>
          <w:sz w:val="22"/>
          <w:lang w:val="sr-Cyrl-RS"/>
        </w:rPr>
        <w:t xml:space="preserve"> </w:t>
      </w:r>
      <w:r w:rsidRPr="00EF2F18">
        <w:rPr>
          <w:rFonts w:cs="Times New Roman"/>
          <w:sz w:val="22"/>
          <w:lang w:val="sr-Cyrl-RS"/>
        </w:rPr>
        <w:t>генерисаног опасног отпада за који је потребно обезбедити одговарајући третман односно успоставити адекватну инфраструктуру</w:t>
      </w:r>
      <w:r w:rsidR="00B9180A" w:rsidRPr="00EF2F18">
        <w:rPr>
          <w:rFonts w:cs="Times New Roman"/>
          <w:sz w:val="22"/>
          <w:lang w:val="sr-Cyrl-RS"/>
        </w:rPr>
        <w:t xml:space="preserve"> </w:t>
      </w:r>
      <w:r w:rsidRPr="00EF2F18">
        <w:rPr>
          <w:rFonts w:cs="Times New Roman"/>
          <w:sz w:val="22"/>
          <w:lang w:val="sr-Cyrl-RS"/>
        </w:rPr>
        <w:t>у којој се поједини токови отпадних материјала могу ефикасно искористити у различитим производним процесима или за добијање енергије. Ова мера је планирана на основу анализе о процењеним количинама отпада за период 2021-2031. године и тренутно доступне инфраструктуре, по којој с</w:t>
      </w:r>
      <w:r w:rsidR="00B8325C" w:rsidRPr="00EF2F18">
        <w:rPr>
          <w:rFonts w:cs="Times New Roman"/>
          <w:sz w:val="22"/>
          <w:lang w:val="sr-Cyrl-RS"/>
        </w:rPr>
        <w:t>у</w:t>
      </w:r>
      <w:r w:rsidRPr="00EF2F18">
        <w:rPr>
          <w:rFonts w:cs="Times New Roman"/>
          <w:sz w:val="22"/>
          <w:lang w:val="sr-Cyrl-RS"/>
        </w:rPr>
        <w:t xml:space="preserve"> највеће потребе у погледу поновног искоришћења опасног отпада у вези са физичко-хемијским третманом неорганског и органског опасног отпада и муља као и</w:t>
      </w:r>
      <w:r w:rsidR="00B9180A" w:rsidRPr="00EF2F18">
        <w:rPr>
          <w:rFonts w:cs="Times New Roman"/>
          <w:sz w:val="22"/>
          <w:lang w:val="sr-Cyrl-RS"/>
        </w:rPr>
        <w:t xml:space="preserve"> </w:t>
      </w:r>
      <w:r w:rsidRPr="00EF2F18">
        <w:rPr>
          <w:rFonts w:cs="Times New Roman"/>
          <w:sz w:val="22"/>
          <w:lang w:val="sr-Cyrl-RS"/>
        </w:rPr>
        <w:t>инсинерацијом опасног</w:t>
      </w:r>
      <w:r w:rsidR="00B9180A" w:rsidRPr="00EF2F18">
        <w:rPr>
          <w:rFonts w:cs="Times New Roman"/>
          <w:sz w:val="22"/>
          <w:lang w:val="sr-Cyrl-RS"/>
        </w:rPr>
        <w:t xml:space="preserve"> </w:t>
      </w:r>
      <w:r w:rsidRPr="00EF2F18">
        <w:rPr>
          <w:rFonts w:cs="Times New Roman"/>
          <w:sz w:val="22"/>
          <w:lang w:val="sr-Cyrl-RS"/>
        </w:rPr>
        <w:t>и медицинског отпада.</w:t>
      </w:r>
    </w:p>
    <w:p w14:paraId="190C13A0" w14:textId="5642C15A" w:rsidR="00E73A94" w:rsidRPr="00EF2F18" w:rsidRDefault="00C408FC" w:rsidP="00E73A94">
      <w:pPr>
        <w:spacing w:after="0"/>
        <w:ind w:firstLine="720"/>
        <w:jc w:val="both"/>
        <w:rPr>
          <w:rFonts w:cs="Times New Roman"/>
          <w:sz w:val="22"/>
          <w:lang w:val="sr-Cyrl-RS"/>
        </w:rPr>
      </w:pPr>
      <w:r w:rsidRPr="00EF2F18">
        <w:rPr>
          <w:rFonts w:cs="Times New Roman"/>
          <w:sz w:val="22"/>
          <w:lang w:val="sr-Cyrl-RS"/>
        </w:rPr>
        <w:t>Овом мером се планира изградња потребне инфраструктуре за управљање опасним отпадом како би се решили вишедеценијски проблеми у вези са адекватним системом у управљању опасним отпадом у нашој земљи,</w:t>
      </w:r>
      <w:r w:rsidR="00B9180A" w:rsidRPr="00EF2F18">
        <w:rPr>
          <w:rFonts w:cs="Times New Roman"/>
          <w:sz w:val="22"/>
          <w:lang w:val="sr-Cyrl-RS"/>
        </w:rPr>
        <w:t xml:space="preserve"> </w:t>
      </w:r>
      <w:r w:rsidRPr="00EF2F18">
        <w:rPr>
          <w:rFonts w:cs="Times New Roman"/>
          <w:sz w:val="22"/>
          <w:lang w:val="sr-Cyrl-RS"/>
        </w:rPr>
        <w:t>кроз повећање инвестиционих улагања у овој области углавном од стране приватног сектора. Сва постројења за третман опасног отпада морају бити изграђена у складу са најбољим доступним техникама (</w:t>
      </w:r>
      <w:r w:rsidRPr="00EF2F18">
        <w:rPr>
          <w:rFonts w:cs="Times New Roman"/>
          <w:i/>
          <w:iCs/>
          <w:sz w:val="22"/>
          <w:lang w:val="sr-Cyrl-RS"/>
        </w:rPr>
        <w:t>BAT</w:t>
      </w:r>
      <w:r w:rsidRPr="00EF2F18">
        <w:rPr>
          <w:rFonts w:cs="Times New Roman"/>
          <w:sz w:val="22"/>
          <w:lang w:val="sr-Cyrl-RS"/>
        </w:rPr>
        <w:t>) и међународним стандардима. Ове инвестиције ће бити извршене у складу са принципом „загађивач плаћа”</w:t>
      </w:r>
      <w:r w:rsidR="007A2E9F" w:rsidRPr="00EF2F18">
        <w:rPr>
          <w:rFonts w:cs="Times New Roman"/>
          <w:sz w:val="22"/>
          <w:lang w:val="sr-Cyrl-RS"/>
        </w:rPr>
        <w:t xml:space="preserve"> (веза са мером 2.2.</w:t>
      </w:r>
      <w:r w:rsidR="00E73A94" w:rsidRPr="00EF2F18">
        <w:rPr>
          <w:rFonts w:cs="Times New Roman"/>
          <w:sz w:val="22"/>
          <w:lang w:val="sr-Cyrl-RS"/>
        </w:rPr>
        <w:t xml:space="preserve"> </w:t>
      </w:r>
      <w:r w:rsidR="00766BEA" w:rsidRPr="00EF2F18">
        <w:rPr>
          <w:rFonts w:cs="Times New Roman"/>
          <w:sz w:val="22"/>
          <w:lang w:val="sr-Cyrl-RS"/>
        </w:rPr>
        <w:t xml:space="preserve">посебног циља </w:t>
      </w:r>
      <w:r w:rsidR="00E73A94" w:rsidRPr="00EF2F18">
        <w:rPr>
          <w:rFonts w:cs="Times New Roman"/>
          <w:sz w:val="22"/>
          <w:lang w:val="sr-Cyrl-RS"/>
        </w:rPr>
        <w:t xml:space="preserve">2. и мером 3.3., </w:t>
      </w:r>
      <w:r w:rsidR="00451EAC" w:rsidRPr="00EF2F18">
        <w:rPr>
          <w:rFonts w:cs="Times New Roman"/>
          <w:sz w:val="22"/>
          <w:lang w:val="sr-Cyrl-RS"/>
        </w:rPr>
        <w:t>посебног</w:t>
      </w:r>
      <w:r w:rsidR="00E73A94" w:rsidRPr="00EF2F18">
        <w:rPr>
          <w:rFonts w:cs="Times New Roman"/>
          <w:sz w:val="22"/>
          <w:lang w:val="sr-Cyrl-RS"/>
        </w:rPr>
        <w:t xml:space="preserve"> циљ</w:t>
      </w:r>
      <w:r w:rsidR="00451EAC" w:rsidRPr="00EF2F18">
        <w:rPr>
          <w:rFonts w:cs="Times New Roman"/>
          <w:sz w:val="22"/>
          <w:lang w:val="sr-Cyrl-RS"/>
        </w:rPr>
        <w:t>а</w:t>
      </w:r>
      <w:r w:rsidR="00E73A94" w:rsidRPr="00EF2F18">
        <w:rPr>
          <w:rFonts w:cs="Times New Roman"/>
          <w:sz w:val="22"/>
          <w:lang w:val="sr-Cyrl-RS"/>
        </w:rPr>
        <w:t xml:space="preserve"> 3. из Програма управљања отпадом у Републици Србији за период од 2022. до 2031. године).</w:t>
      </w:r>
    </w:p>
    <w:p w14:paraId="12A323A8" w14:textId="52746C30"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185A75" w:rsidRPr="00EF2F18">
        <w:rPr>
          <w:rFonts w:cs="Times New Roman"/>
          <w:sz w:val="22"/>
          <w:lang w:val="sr-Cyrl-RS" w:eastAsia="en-GB"/>
        </w:rPr>
        <w:t>.</w:t>
      </w:r>
    </w:p>
    <w:p w14:paraId="179B9796" w14:textId="366908B5"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8323E8" w:rsidRPr="00EF2F18">
        <w:rPr>
          <w:rFonts w:cs="Times New Roman"/>
          <w:sz w:val="22"/>
          <w:lang w:val="sr-Cyrl-RS" w:eastAsia="en-GB"/>
        </w:rPr>
        <w:t xml:space="preserve">јединице локалне самоуправе, </w:t>
      </w:r>
      <w:r w:rsidRPr="00EF2F18">
        <w:rPr>
          <w:rFonts w:cs="Times New Roman"/>
          <w:sz w:val="22"/>
          <w:lang w:val="sr-Cyrl-RS" w:eastAsia="en-GB"/>
        </w:rPr>
        <w:t>Привредна комора Србије, приватни партнери, оператери у управљању опасним отпадом</w:t>
      </w:r>
      <w:r w:rsidR="00185A75" w:rsidRPr="00EF2F18">
        <w:rPr>
          <w:rFonts w:cs="Times New Roman"/>
          <w:sz w:val="22"/>
          <w:lang w:val="sr-Cyrl-RS" w:eastAsia="en-GB"/>
        </w:rPr>
        <w:t>.</w:t>
      </w:r>
    </w:p>
    <w:p w14:paraId="471307C5" w14:textId="62955BFE"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7659D" w:rsidRPr="00EF2F18">
        <w:rPr>
          <w:rFonts w:cs="Times New Roman"/>
          <w:sz w:val="22"/>
          <w:lang w:val="sr-Cyrl-RS" w:eastAsia="en-GB"/>
        </w:rPr>
        <w:t>о</w:t>
      </w:r>
      <w:r w:rsidRPr="00EF2F18">
        <w:rPr>
          <w:rFonts w:cs="Times New Roman"/>
          <w:sz w:val="22"/>
          <w:lang w:val="sr-Cyrl-RS" w:eastAsia="en-GB"/>
        </w:rPr>
        <w:t>безбеђивање добара и пружање услуга</w:t>
      </w:r>
      <w:r w:rsidR="00185A75" w:rsidRPr="00EF2F18">
        <w:rPr>
          <w:rFonts w:cs="Times New Roman"/>
          <w:sz w:val="22"/>
          <w:lang w:val="sr-Cyrl-RS" w:eastAsia="en-GB"/>
        </w:rPr>
        <w:t>.</w:t>
      </w:r>
      <w:r w:rsidRPr="00EF2F18">
        <w:rPr>
          <w:rFonts w:cs="Times New Roman"/>
          <w:sz w:val="22"/>
          <w:lang w:val="sr-Cyrl-RS" w:eastAsia="en-GB"/>
        </w:rPr>
        <w:t xml:space="preserve"> </w:t>
      </w:r>
    </w:p>
    <w:p w14:paraId="401DE5D6" w14:textId="77777777" w:rsidR="00C408FC" w:rsidRPr="00EF2F18" w:rsidRDefault="00C408FC" w:rsidP="00425FCC">
      <w:pPr>
        <w:spacing w:after="0"/>
        <w:ind w:firstLine="720"/>
        <w:rPr>
          <w:rFonts w:cs="Times New Roman"/>
          <w:sz w:val="22"/>
          <w:lang w:val="sr-Cyrl-RS"/>
        </w:rPr>
      </w:pPr>
    </w:p>
    <w:p w14:paraId="56071157" w14:textId="30B784EE" w:rsidR="00C408FC" w:rsidRPr="00EF2F18" w:rsidRDefault="00C408FC"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Посебан циљ 2.2: Развијање циркуларне економије на бази индустријске симбиозе и повећања ресурсне ефикасности</w:t>
      </w:r>
    </w:p>
    <w:p w14:paraId="20568630" w14:textId="77777777" w:rsidR="00753384" w:rsidRDefault="00753384" w:rsidP="00425FCC">
      <w:pPr>
        <w:spacing w:after="0"/>
        <w:ind w:firstLine="720"/>
        <w:jc w:val="both"/>
        <w:rPr>
          <w:rFonts w:cs="Times New Roman"/>
          <w:sz w:val="22"/>
          <w:lang w:val="sr-Cyrl-RS"/>
        </w:rPr>
      </w:pPr>
    </w:p>
    <w:p w14:paraId="68312533" w14:textId="0F8299E4"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одредбама Директиве </w:t>
      </w:r>
      <w:r w:rsidR="00E6676B" w:rsidRPr="00EF2F18">
        <w:rPr>
          <w:rFonts w:cs="Times New Roman"/>
          <w:sz w:val="22"/>
          <w:lang w:val="sr-Cyrl-RS"/>
        </w:rPr>
        <w:t xml:space="preserve">ЕУ </w:t>
      </w:r>
      <w:r w:rsidRPr="00EF2F18">
        <w:rPr>
          <w:rFonts w:cs="Times New Roman"/>
          <w:sz w:val="22"/>
          <w:lang w:val="sr-Cyrl-RS"/>
        </w:rPr>
        <w:t>2018/851 о изменама директиве 2008/98/ЕС о отпаду</w:t>
      </w:r>
      <w:r w:rsidR="00E6676B" w:rsidRPr="00EF2F18">
        <w:rPr>
          <w:rFonts w:cs="Times New Roman"/>
          <w:sz w:val="22"/>
          <w:lang w:val="sr-Cyrl-RS"/>
        </w:rPr>
        <w:t>.</w:t>
      </w:r>
    </w:p>
    <w:p w14:paraId="1819A5EE" w14:textId="21118C6F" w:rsidR="008E331B" w:rsidRPr="00EF2F18" w:rsidRDefault="008E331B" w:rsidP="008E331B">
      <w:pPr>
        <w:spacing w:after="0"/>
        <w:ind w:firstLine="720"/>
        <w:jc w:val="both"/>
        <w:rPr>
          <w:rFonts w:eastAsia="Calibri" w:cs="Times New Roman"/>
          <w:sz w:val="22"/>
          <w:lang w:val="sr-Cyrl-RS"/>
        </w:rPr>
      </w:pPr>
      <w:r w:rsidRPr="00EF2F18">
        <w:rPr>
          <w:rFonts w:eastAsia="Calibri" w:cs="Times New Roman"/>
          <w:sz w:val="22"/>
          <w:lang w:val="sr-Cyrl-RS"/>
        </w:rPr>
        <w:t>Иновације су веома значајне за развој циркуларне економије. Истраживачки потенцијали научне заједнице у Републици Србији се не користе у довољној мери за допринос развоја индустрије и привреде. Иако је привреда препознала значај улагања у истраживање и развој као и иновативност, то је још увек далеко испод европског просека. У том смислу, унапређење сарадње научно-истр</w:t>
      </w:r>
      <w:r w:rsidR="00B8325C" w:rsidRPr="00EF2F18">
        <w:rPr>
          <w:rFonts w:eastAsia="Calibri" w:cs="Times New Roman"/>
          <w:sz w:val="22"/>
          <w:lang w:val="sr-Cyrl-RS"/>
        </w:rPr>
        <w:t>а</w:t>
      </w:r>
      <w:r w:rsidRPr="00EF2F18">
        <w:rPr>
          <w:rFonts w:eastAsia="Calibri" w:cs="Times New Roman"/>
          <w:sz w:val="22"/>
          <w:lang w:val="sr-Cyrl-RS"/>
        </w:rPr>
        <w:t>живачког сектора и привреде представља основ за развој циркуларности.</w:t>
      </w:r>
    </w:p>
    <w:p w14:paraId="2AFF4CFD" w14:textId="777F6B10" w:rsidR="008E331B" w:rsidRPr="00EF2F18" w:rsidRDefault="008E331B" w:rsidP="008E331B">
      <w:pPr>
        <w:spacing w:after="0"/>
        <w:ind w:firstLine="720"/>
        <w:jc w:val="both"/>
        <w:rPr>
          <w:rFonts w:cs="Times New Roman"/>
          <w:sz w:val="22"/>
          <w:lang w:val="sr-Cyrl-RS"/>
        </w:rPr>
      </w:pPr>
      <w:r w:rsidRPr="00EF2F18">
        <w:rPr>
          <w:rFonts w:cs="Times New Roman"/>
          <w:sz w:val="22"/>
          <w:lang w:val="sr-Cyrl-RS"/>
        </w:rPr>
        <w:t>Поједине врсте отпада имају велики потенцијал за циркуларну економију и стога је неопходно да се ураде анализе и дају смернице како да се што боље управља овим врстама отпада. Отпад од хране, отпад од грађења и рушења су велики потенцијал за даљи развој циркуларне економије</w:t>
      </w:r>
      <w:r w:rsidR="007D4774" w:rsidRPr="00EF2F18">
        <w:rPr>
          <w:rFonts w:cs="Times New Roman"/>
          <w:sz w:val="22"/>
          <w:lang w:val="sr-Cyrl-RS"/>
        </w:rPr>
        <w:t xml:space="preserve"> (веза са мерама МП_Д3</w:t>
      </w:r>
      <w:r w:rsidR="00F4310A" w:rsidRPr="00EF2F18">
        <w:rPr>
          <w:rFonts w:cs="Times New Roman"/>
          <w:sz w:val="22"/>
          <w:lang w:val="sr-Cyrl-RS"/>
        </w:rPr>
        <w:t xml:space="preserve"> и </w:t>
      </w:r>
      <w:r w:rsidR="007D4774" w:rsidRPr="00EF2F18">
        <w:rPr>
          <w:rFonts w:cs="Times New Roman"/>
          <w:sz w:val="22"/>
          <w:lang w:val="sr-Cyrl-RS"/>
        </w:rPr>
        <w:t xml:space="preserve">МП_ИИК20 Интегрисаног националног енергетског и климатског плана Републике Србије за период до 2030. године са </w:t>
      </w:r>
      <w:r w:rsidR="00902EDC" w:rsidRPr="00EF2F18">
        <w:rPr>
          <w:rStyle w:val="cf01"/>
          <w:rFonts w:ascii="Times New Roman" w:hAnsi="Times New Roman" w:cs="Times New Roman"/>
          <w:sz w:val="22"/>
          <w:lang w:val="sr-Cyrl-RS"/>
        </w:rPr>
        <w:t xml:space="preserve">визијом </w:t>
      </w:r>
      <w:r w:rsidR="007D4774" w:rsidRPr="00EF2F18">
        <w:rPr>
          <w:rFonts w:cs="Times New Roman"/>
          <w:sz w:val="22"/>
          <w:lang w:val="sr-Cyrl-RS"/>
        </w:rPr>
        <w:t>до 2050. године)</w:t>
      </w:r>
      <w:r w:rsidRPr="00EF2F18">
        <w:rPr>
          <w:rFonts w:cs="Times New Roman"/>
          <w:sz w:val="22"/>
          <w:lang w:val="sr-Cyrl-RS"/>
        </w:rPr>
        <w:t>.</w:t>
      </w:r>
    </w:p>
    <w:p w14:paraId="20BD2C66" w14:textId="7923D3A4" w:rsidR="008E331B" w:rsidRPr="00EF2F18" w:rsidRDefault="008E331B" w:rsidP="008E331B">
      <w:pPr>
        <w:spacing w:after="0"/>
        <w:ind w:firstLine="720"/>
        <w:jc w:val="both"/>
        <w:rPr>
          <w:rFonts w:cs="Times New Roman"/>
          <w:sz w:val="22"/>
          <w:shd w:val="clear" w:color="auto" w:fill="FFFFFF"/>
          <w:lang w:val="sr-Cyrl-RS"/>
        </w:rPr>
      </w:pPr>
      <w:r w:rsidRPr="00EF2F18">
        <w:rPr>
          <w:rFonts w:cs="Times New Roman"/>
          <w:sz w:val="22"/>
          <w:shd w:val="clear" w:color="auto" w:fill="FFFFFF"/>
          <w:lang w:val="sr-Cyrl-RS"/>
        </w:rPr>
        <w:t>Република Србија се у оквиру усклађивања са правним тековинама ЕУ, обавезала да у оквиру Поглавља 5 које се тиче јавних набавки промовише и зелене јавне набавке. Зелене јавне набавке имају своју значајну улогу у постизању циљева одрживог развоја</w:t>
      </w:r>
      <w:r w:rsidR="00B8325C" w:rsidRPr="00EF2F18">
        <w:rPr>
          <w:rFonts w:cs="Times New Roman"/>
          <w:sz w:val="22"/>
          <w:shd w:val="clear" w:color="auto" w:fill="FFFFFF"/>
          <w:lang w:val="sr-Cyrl-RS"/>
        </w:rPr>
        <w:t>.</w:t>
      </w:r>
      <w:r w:rsidRPr="00EF2F18">
        <w:rPr>
          <w:rFonts w:cs="Times New Roman"/>
          <w:sz w:val="22"/>
          <w:shd w:val="clear" w:color="auto" w:fill="FFFFFF"/>
          <w:lang w:val="sr-Cyrl-RS"/>
        </w:rPr>
        <w:t xml:space="preserve"> Такође, зелене јавне набавке су препознате као једна од приоритетних области и у стратешким документима ЕУ за циркуларну економију. У оквиру ЕУ Зеленог договора указује се на план Европске комисије да у наредном периоду предложи минимум обавезних критеријума за зелене јавне набавке и циљеве у секторском законодавству, као и постепено обавезно извештавање у вези са зеленим јавним набавкама. Кроз овај програм подржаће се развој зелених јавних набавки и примен</w:t>
      </w:r>
      <w:r w:rsidR="00B8325C" w:rsidRPr="00EF2F18">
        <w:rPr>
          <w:rFonts w:cs="Times New Roman"/>
          <w:sz w:val="22"/>
          <w:shd w:val="clear" w:color="auto" w:fill="FFFFFF"/>
          <w:lang w:val="sr-Cyrl-RS"/>
        </w:rPr>
        <w:t>а</w:t>
      </w:r>
      <w:r w:rsidRPr="00EF2F18">
        <w:rPr>
          <w:rFonts w:cs="Times New Roman"/>
          <w:sz w:val="22"/>
          <w:shd w:val="clear" w:color="auto" w:fill="FFFFFF"/>
          <w:lang w:val="sr-Cyrl-RS"/>
        </w:rPr>
        <w:t xml:space="preserve"> добровољних инструмената у области заштите животне средине (</w:t>
      </w:r>
      <w:r w:rsidR="00760B40" w:rsidRPr="00EF2F18">
        <w:rPr>
          <w:rFonts w:cs="Times New Roman"/>
          <w:i/>
          <w:iCs/>
          <w:sz w:val="22"/>
          <w:shd w:val="clear" w:color="auto" w:fill="FFFFFF"/>
          <w:lang w:val="sr-Cyrl-RS"/>
        </w:rPr>
        <w:t>EMAS</w:t>
      </w:r>
      <w:r w:rsidRPr="00EF2F18">
        <w:rPr>
          <w:rFonts w:cs="Times New Roman"/>
          <w:sz w:val="22"/>
          <w:shd w:val="clear" w:color="auto" w:fill="FFFFFF"/>
          <w:lang w:val="sr-Cyrl-RS"/>
        </w:rPr>
        <w:t>, Еко-знак</w:t>
      </w:r>
      <w:r w:rsidR="00DD53CA" w:rsidRPr="00EF2F18">
        <w:rPr>
          <w:rFonts w:cs="Times New Roman"/>
          <w:sz w:val="22"/>
          <w:shd w:val="clear" w:color="auto" w:fill="FFFFFF"/>
          <w:lang w:val="sr-Cyrl-RS"/>
        </w:rPr>
        <w:t xml:space="preserve"> и ISO и EN стандарди</w:t>
      </w:r>
      <w:r w:rsidRPr="00EF2F18">
        <w:rPr>
          <w:rFonts w:cs="Times New Roman"/>
          <w:sz w:val="22"/>
          <w:shd w:val="clear" w:color="auto" w:fill="FFFFFF"/>
          <w:lang w:val="sr-Cyrl-RS"/>
        </w:rPr>
        <w:t>).</w:t>
      </w:r>
    </w:p>
    <w:p w14:paraId="67A4EF62" w14:textId="3821B769" w:rsidR="001470D0" w:rsidRPr="00EF2F18" w:rsidRDefault="001470D0" w:rsidP="00F37C43">
      <w:pPr>
        <w:spacing w:after="0"/>
        <w:ind w:firstLine="720"/>
        <w:jc w:val="both"/>
        <w:rPr>
          <w:rFonts w:cs="Times New Roman"/>
          <w:sz w:val="22"/>
          <w:lang w:val="sr-Cyrl-RS"/>
        </w:rPr>
      </w:pPr>
      <w:r w:rsidRPr="00EF2F18">
        <w:rPr>
          <w:rFonts w:cs="Times New Roman"/>
          <w:bCs/>
          <w:sz w:val="22"/>
          <w:lang w:val="sr-Cyrl-RS"/>
        </w:rPr>
        <w:t xml:space="preserve">Додатно, Република Србија чини све да максимизује корист од дигитализације укључујући и улогу дигитализације у транзицији ка циркуларној економији. У том циљу треба пажљиво пратити дешавања у Европској унији и настојати да се примењују правила ЕУ у складу са домаћим потребама и специфичностима. То је важно, како због целокупног процеса </w:t>
      </w:r>
      <w:r w:rsidRPr="00EF2F18">
        <w:rPr>
          <w:rFonts w:cs="Times New Roman"/>
          <w:bCs/>
          <w:sz w:val="22"/>
          <w:lang w:val="sr-Cyrl-RS"/>
        </w:rPr>
        <w:lastRenderedPageBreak/>
        <w:t>приступања ЕУ, тако и због успешне трговинске размене и повећања учинка домаћих предузећа приликом пословања на јединственом европском тржишту.</w:t>
      </w:r>
    </w:p>
    <w:p w14:paraId="486DD5B2" w14:textId="77777777" w:rsidR="001470D0" w:rsidRPr="00EF2F18" w:rsidRDefault="001470D0" w:rsidP="001470D0">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12 који </w:t>
      </w:r>
      <w:r w:rsidRPr="00EF2F18">
        <w:rPr>
          <w:sz w:val="22"/>
          <w:lang w:val="sr-Cyrl-RS"/>
        </w:rPr>
        <w:t>предвиђа успостављање одрживих образаца потрошње и производње, нарочито реализацији потциља 12.2. којим се предвиђа одрживо управљање и ефикасно коришћење природних ресурса.</w:t>
      </w:r>
    </w:p>
    <w:p w14:paraId="38ABF6A4" w14:textId="77777777" w:rsidR="001470D0" w:rsidRPr="00EF2F18" w:rsidRDefault="001470D0" w:rsidP="001470D0">
      <w:pPr>
        <w:spacing w:after="0"/>
        <w:ind w:firstLine="720"/>
        <w:rPr>
          <w:rFonts w:cs="Times New Roman"/>
          <w:sz w:val="22"/>
          <w:lang w:val="sr-Cyrl-RS"/>
        </w:rPr>
      </w:pPr>
    </w:p>
    <w:p w14:paraId="2EBD3419" w14:textId="77777777" w:rsidR="00C408FC" w:rsidRPr="00EF2F18" w:rsidRDefault="00C408FC"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2.2.1. Подршка привредном сектору у оптимизацији коришћења циркуларних ресурса</w:t>
      </w:r>
      <w:r w:rsidRPr="00EF2F18">
        <w:rPr>
          <w:rFonts w:cs="Times New Roman"/>
          <w:sz w:val="22"/>
          <w:lang w:val="sr-Cyrl-RS" w:eastAsia="en-GB"/>
        </w:rPr>
        <w:t xml:space="preserve"> </w:t>
      </w:r>
    </w:p>
    <w:p w14:paraId="63B00328" w14:textId="77777777" w:rsidR="00D83673" w:rsidRPr="00EF2F18" w:rsidRDefault="00D83673" w:rsidP="00425FCC">
      <w:pPr>
        <w:spacing w:after="0"/>
        <w:ind w:firstLine="720"/>
        <w:jc w:val="both"/>
        <w:rPr>
          <w:rFonts w:cs="Times New Roman"/>
          <w:sz w:val="22"/>
          <w:lang w:val="sr-Cyrl-RS"/>
        </w:rPr>
      </w:pPr>
    </w:p>
    <w:p w14:paraId="2B8465FF" w14:textId="79F5BF12"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Ова мера обухвата сет планираних активности којима се</w:t>
      </w:r>
      <w:r w:rsidR="00B9180A" w:rsidRPr="00EF2F18">
        <w:rPr>
          <w:rFonts w:cs="Times New Roman"/>
          <w:sz w:val="22"/>
          <w:lang w:val="sr-Cyrl-RS"/>
        </w:rPr>
        <w:t xml:space="preserve"> </w:t>
      </w:r>
      <w:r w:rsidRPr="00EF2F18">
        <w:rPr>
          <w:rFonts w:cs="Times New Roman"/>
          <w:sz w:val="22"/>
          <w:lang w:val="sr-Cyrl-RS"/>
        </w:rPr>
        <w:t xml:space="preserve">пружа подршка привреди за трансформацију на циркуларни модел пословања. </w:t>
      </w:r>
    </w:p>
    <w:p w14:paraId="674DB9A1" w14:textId="77777777" w:rsidR="001470D0" w:rsidRPr="00EF2F18" w:rsidRDefault="001470D0" w:rsidP="001470D0">
      <w:pPr>
        <w:spacing w:after="0"/>
        <w:ind w:firstLine="720"/>
        <w:jc w:val="both"/>
        <w:rPr>
          <w:rFonts w:cs="Times New Roman"/>
          <w:sz w:val="22"/>
          <w:lang w:val="sr-Cyrl-RS"/>
        </w:rPr>
      </w:pPr>
      <w:r w:rsidRPr="00EF2F18">
        <w:rPr>
          <w:rFonts w:cs="Times New Roman"/>
          <w:bCs/>
          <w:sz w:val="22"/>
          <w:lang w:val="sr-Cyrl-RS"/>
        </w:rPr>
        <w:t xml:space="preserve">Имајући у виду да транзиција ка циркуларној економији захтева корените промене, не само у привреди већ и у потрошачким навикама, развој циркуларне свести у јавности могао би подстаћи овај процес. </w:t>
      </w:r>
      <w:r w:rsidRPr="00EF2F18">
        <w:rPr>
          <w:rFonts w:cs="Times New Roman"/>
          <w:sz w:val="22"/>
          <w:lang w:val="sr-Cyrl-RS"/>
        </w:rPr>
        <w:t>Препознат је и значај укључивања образовног сектора у примену концепта циркуларне економије, зато што би се институционализацијом концепта и његовим увођењем у активности предвиђене наставним плановима помогло дефинисању нових образовних профила са неопходним знањима, вештинама и квалификацијама.</w:t>
      </w:r>
    </w:p>
    <w:p w14:paraId="50FE4BA1" w14:textId="09D3C937"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Мером је предвиђено успостављање дигиталних база/дигиталних интерактивних платформи привредних субјеката која ће допринети бољем међусобном повезивању и размени информација, како у погледу расположивих остатака из производних процеса, тако и у погледу потражње остатака који се могу користити код истих или других привредних субјеката као ресурс у производним циклусима. Овај потенцијал се може у још већој мери унапредити уколико се омогући и боља размена података између привредних субјеката о расположивим производним остацима који се могу потенцијал</w:t>
      </w:r>
      <w:r w:rsidR="00662FBF">
        <w:rPr>
          <w:rFonts w:cs="Times New Roman"/>
          <w:sz w:val="22"/>
          <w:lang w:val="sr-Cyrl-RS"/>
        </w:rPr>
        <w:t>но пласирати на тржиште као нус</w:t>
      </w:r>
      <w:r w:rsidRPr="00EF2F18">
        <w:rPr>
          <w:rFonts w:cs="Times New Roman"/>
          <w:sz w:val="22"/>
          <w:lang w:val="sr-Cyrl-RS"/>
        </w:rPr>
        <w:t>производ или као материјал којем је престао статус отпада. С тим у вези</w:t>
      </w:r>
      <w:r w:rsidR="00B8325C" w:rsidRPr="00EF2F18">
        <w:rPr>
          <w:rFonts w:cs="Times New Roman"/>
          <w:sz w:val="22"/>
          <w:lang w:val="sr-Cyrl-RS"/>
        </w:rPr>
        <w:t>,</w:t>
      </w:r>
      <w:r w:rsidRPr="00EF2F18">
        <w:rPr>
          <w:rFonts w:cs="Times New Roman"/>
          <w:sz w:val="22"/>
          <w:lang w:val="sr-Cyrl-RS"/>
        </w:rPr>
        <w:t xml:space="preserve"> неопходно је предузети одређене измене подзаконских аката </w:t>
      </w:r>
      <w:r w:rsidR="00662FBF">
        <w:rPr>
          <w:rFonts w:cs="Times New Roman"/>
          <w:sz w:val="22"/>
          <w:lang w:val="sr-Cyrl-RS"/>
        </w:rPr>
        <w:t>–</w:t>
      </w:r>
      <w:r w:rsidRPr="00EF2F18">
        <w:rPr>
          <w:rFonts w:cs="Times New Roman"/>
          <w:sz w:val="22"/>
          <w:lang w:val="sr-Cyrl-RS"/>
        </w:rPr>
        <w:t xml:space="preserve"> правилника који се односе на нуспроизводе и престанак статуса отпада да би се читав поступак уписивања у регистре учинио ефикаснијим. </w:t>
      </w:r>
      <w:r w:rsidR="00DD53CA" w:rsidRPr="00EF2F18">
        <w:rPr>
          <w:rFonts w:cs="Times New Roman"/>
          <w:sz w:val="22"/>
          <w:lang w:val="sr-Cyrl-RS"/>
        </w:rPr>
        <w:t>Такође је од великог значаја да се унапреде прописи који се односе на примену добровољних инструмената из области заштите животне средине</w:t>
      </w:r>
      <w:r w:rsidR="00DF6AE6" w:rsidRPr="00EF2F18">
        <w:rPr>
          <w:rFonts w:cs="Times New Roman"/>
          <w:sz w:val="22"/>
          <w:lang w:val="sr-Cyrl-RS"/>
        </w:rPr>
        <w:t xml:space="preserve">, а посебно међународних стандарда за циркуларну економију, као и да се </w:t>
      </w:r>
      <w:r w:rsidR="00DD53CA" w:rsidRPr="00EF2F18">
        <w:rPr>
          <w:rFonts w:cs="Times New Roman"/>
          <w:sz w:val="22"/>
          <w:lang w:val="sr-Cyrl-RS"/>
        </w:rPr>
        <w:t xml:space="preserve">кроз национални пропис о </w:t>
      </w:r>
      <w:r w:rsidR="00DD53CA" w:rsidRPr="00EF2F18">
        <w:rPr>
          <w:rFonts w:cs="Times New Roman"/>
          <w:i/>
          <w:iCs/>
          <w:sz w:val="22"/>
          <w:lang w:val="sr-Cyrl-RS"/>
        </w:rPr>
        <w:t>ЕMAS</w:t>
      </w:r>
      <w:r w:rsidR="00DD53CA" w:rsidRPr="00EF2F18">
        <w:rPr>
          <w:rFonts w:cs="Times New Roman"/>
          <w:sz w:val="22"/>
          <w:lang w:val="sr-Cyrl-RS"/>
        </w:rPr>
        <w:t>-у пружи додатн</w:t>
      </w:r>
      <w:r w:rsidR="00DF6AE6" w:rsidRPr="00EF2F18">
        <w:rPr>
          <w:rFonts w:cs="Times New Roman"/>
          <w:sz w:val="22"/>
          <w:lang w:val="sr-Cyrl-RS"/>
        </w:rPr>
        <w:t>а</w:t>
      </w:r>
      <w:r w:rsidR="00DD53CA" w:rsidRPr="00EF2F18">
        <w:rPr>
          <w:rFonts w:cs="Times New Roman"/>
          <w:sz w:val="22"/>
          <w:lang w:val="sr-Cyrl-RS"/>
        </w:rPr>
        <w:t xml:space="preserve"> помоћ организацијама из Републике Србије да остваре регистрацију у </w:t>
      </w:r>
      <w:r w:rsidR="00DD53CA" w:rsidRPr="00EF2F18">
        <w:rPr>
          <w:rFonts w:cs="Times New Roman"/>
          <w:i/>
          <w:iCs/>
          <w:sz w:val="22"/>
          <w:lang w:val="sr-Cyrl-RS"/>
        </w:rPr>
        <w:t>ЕMAS</w:t>
      </w:r>
      <w:r w:rsidR="00DD53CA" w:rsidRPr="00EF2F18">
        <w:rPr>
          <w:rFonts w:cs="Times New Roman"/>
          <w:sz w:val="22"/>
          <w:lang w:val="sr-Cyrl-RS"/>
        </w:rPr>
        <w:t xml:space="preserve"> регистар у оквиру ЕУ</w:t>
      </w:r>
      <w:r w:rsidR="00DF6AE6" w:rsidRPr="00EF2F18">
        <w:rPr>
          <w:rFonts w:cs="Times New Roman"/>
          <w:sz w:val="22"/>
          <w:lang w:val="sr-Cyrl-RS"/>
        </w:rPr>
        <w:t>. И</w:t>
      </w:r>
      <w:r w:rsidR="00DD53CA" w:rsidRPr="00EF2F18">
        <w:rPr>
          <w:rFonts w:cs="Times New Roman"/>
          <w:sz w:val="22"/>
          <w:lang w:val="sr-Cyrl-RS"/>
        </w:rPr>
        <w:t xml:space="preserve">зменом Правилника о Еко знаку </w:t>
      </w:r>
      <w:r w:rsidR="00DF6AE6" w:rsidRPr="00EF2F18">
        <w:rPr>
          <w:rFonts w:cs="Times New Roman"/>
          <w:sz w:val="22"/>
          <w:lang w:val="sr-Cyrl-RS"/>
        </w:rPr>
        <w:t>допринеће се</w:t>
      </w:r>
      <w:r w:rsidR="00DD53CA" w:rsidRPr="00EF2F18">
        <w:rPr>
          <w:rFonts w:cs="Times New Roman"/>
          <w:sz w:val="22"/>
          <w:lang w:val="sr-Cyrl-RS"/>
        </w:rPr>
        <w:t xml:space="preserve"> даље</w:t>
      </w:r>
      <w:r w:rsidR="00DF6AE6" w:rsidRPr="00EF2F18">
        <w:rPr>
          <w:rFonts w:cs="Times New Roman"/>
          <w:sz w:val="22"/>
          <w:lang w:val="sr-Cyrl-RS"/>
        </w:rPr>
        <w:t>м</w:t>
      </w:r>
      <w:r w:rsidR="00DD53CA" w:rsidRPr="00EF2F18">
        <w:rPr>
          <w:rFonts w:cs="Times New Roman"/>
          <w:sz w:val="22"/>
          <w:lang w:val="sr-Cyrl-RS"/>
        </w:rPr>
        <w:t xml:space="preserve"> усаглашавањ</w:t>
      </w:r>
      <w:r w:rsidR="00DF6AE6" w:rsidRPr="00EF2F18">
        <w:rPr>
          <w:rFonts w:cs="Times New Roman"/>
          <w:sz w:val="22"/>
          <w:lang w:val="sr-Cyrl-RS"/>
        </w:rPr>
        <w:t>у</w:t>
      </w:r>
      <w:r w:rsidR="00DD53CA" w:rsidRPr="00EF2F18">
        <w:rPr>
          <w:rFonts w:cs="Times New Roman"/>
          <w:sz w:val="22"/>
          <w:lang w:val="sr-Cyrl-RS"/>
        </w:rPr>
        <w:t xml:space="preserve"> критеријума за национални Еко знак са важећим критеријумима за ЕУ Еко знак, као и да се покрију додатне групе производа и услуга за зелене јавне набавке. </w:t>
      </w:r>
      <w:r w:rsidR="00A0393D" w:rsidRPr="00EF2F18">
        <w:rPr>
          <w:sz w:val="22"/>
          <w:lang w:val="sr-Cyrl-RS"/>
        </w:rPr>
        <w:t xml:space="preserve">Такође је потребно организовати обуке за примену </w:t>
      </w:r>
      <w:r w:rsidR="00A0393D" w:rsidRPr="00EF2F18">
        <w:rPr>
          <w:i/>
          <w:iCs/>
          <w:sz w:val="22"/>
          <w:lang w:val="sr-Cyrl-RS"/>
        </w:rPr>
        <w:t>ESG</w:t>
      </w:r>
      <w:r w:rsidR="00A0393D" w:rsidRPr="00EF2F18">
        <w:rPr>
          <w:sz w:val="22"/>
          <w:lang w:val="sr-Cyrl-RS"/>
        </w:rPr>
        <w:t xml:space="preserve"> стандарда у циљу промоције и унапређења извештавања у областима животне средине, друштвене одговорности и корпоративног управљања. </w:t>
      </w:r>
      <w:r w:rsidRPr="00EF2F18">
        <w:rPr>
          <w:rFonts w:cs="Times New Roman"/>
          <w:sz w:val="22"/>
          <w:lang w:val="sr-Cyrl-RS"/>
        </w:rPr>
        <w:t>У оквиру ове мере, отпад од грађења и рушења је издвојен као посебан јер има</w:t>
      </w:r>
      <w:r w:rsidR="00B9180A" w:rsidRPr="00EF2F18">
        <w:rPr>
          <w:rFonts w:cs="Times New Roman"/>
          <w:sz w:val="22"/>
          <w:lang w:val="sr-Cyrl-RS"/>
        </w:rPr>
        <w:t xml:space="preserve"> </w:t>
      </w:r>
      <w:r w:rsidRPr="00EF2F18">
        <w:rPr>
          <w:rFonts w:cs="Times New Roman"/>
          <w:sz w:val="22"/>
          <w:lang w:val="sr-Cyrl-RS"/>
        </w:rPr>
        <w:t>највећи потенцијал за развој циркуларне економије, а планирано успостављање мреже мобилних постројења и изградње постројења за третман ове врсте отпада</w:t>
      </w:r>
      <w:r w:rsidR="00B9180A" w:rsidRPr="00EF2F18">
        <w:rPr>
          <w:rFonts w:cs="Times New Roman"/>
          <w:sz w:val="22"/>
          <w:lang w:val="sr-Cyrl-RS"/>
        </w:rPr>
        <w:t xml:space="preserve"> </w:t>
      </w:r>
      <w:r w:rsidRPr="00EF2F18">
        <w:rPr>
          <w:rFonts w:cs="Times New Roman"/>
          <w:sz w:val="22"/>
          <w:lang w:val="sr-Cyrl-RS"/>
        </w:rPr>
        <w:t>унапредиће</w:t>
      </w:r>
      <w:r w:rsidR="00B9180A" w:rsidRPr="00EF2F18">
        <w:rPr>
          <w:rFonts w:cs="Times New Roman"/>
          <w:sz w:val="22"/>
          <w:lang w:val="sr-Cyrl-RS"/>
        </w:rPr>
        <w:t xml:space="preserve"> </w:t>
      </w:r>
      <w:r w:rsidRPr="00EF2F18">
        <w:rPr>
          <w:rFonts w:cs="Times New Roman"/>
          <w:sz w:val="22"/>
          <w:lang w:val="sr-Cyrl-RS"/>
        </w:rPr>
        <w:t xml:space="preserve">управљање овом врстом отпада, које је практично тек у зачетку. Реализација ове активности у директној је вези </w:t>
      </w:r>
      <w:r w:rsidR="00B8325C" w:rsidRPr="00EF2F18">
        <w:rPr>
          <w:rFonts w:cs="Times New Roman"/>
          <w:sz w:val="22"/>
          <w:lang w:val="sr-Cyrl-RS"/>
        </w:rPr>
        <w:t>с</w:t>
      </w:r>
      <w:r w:rsidRPr="00EF2F18">
        <w:rPr>
          <w:rFonts w:cs="Times New Roman"/>
          <w:sz w:val="22"/>
          <w:lang w:val="sr-Cyrl-RS"/>
        </w:rPr>
        <w:t>а циљем од</w:t>
      </w:r>
      <w:r w:rsidR="00B9180A" w:rsidRPr="00EF2F18">
        <w:rPr>
          <w:rFonts w:cs="Times New Roman"/>
          <w:sz w:val="22"/>
          <w:lang w:val="sr-Cyrl-RS"/>
        </w:rPr>
        <w:t xml:space="preserve"> </w:t>
      </w:r>
      <w:r w:rsidRPr="00EF2F18">
        <w:rPr>
          <w:rFonts w:cs="Times New Roman"/>
          <w:sz w:val="22"/>
          <w:lang w:val="sr-Cyrl-RS"/>
        </w:rPr>
        <w:t>70% за степен припреме за поновну употребу, рециклажу и другу поновну употребу материјала, укључујући и поступке насипања неопасног грађевинског отпада које треба достићи до краја 2034. године.</w:t>
      </w:r>
    </w:p>
    <w:p w14:paraId="46A82E2A" w14:textId="3D1D6A77" w:rsidR="00C408FC" w:rsidRPr="00EF2F18" w:rsidRDefault="00542484" w:rsidP="00425FCC">
      <w:pPr>
        <w:spacing w:after="0"/>
        <w:ind w:firstLine="720"/>
        <w:jc w:val="both"/>
        <w:rPr>
          <w:rFonts w:cs="Times New Roman"/>
          <w:sz w:val="22"/>
          <w:lang w:val="sr-Cyrl-RS"/>
        </w:rPr>
      </w:pPr>
      <w:r w:rsidRPr="00EF2F18">
        <w:rPr>
          <w:rFonts w:cs="Times New Roman"/>
          <w:sz w:val="22"/>
          <w:lang w:val="sr-Cyrl-RS"/>
        </w:rPr>
        <w:t>Р</w:t>
      </w:r>
      <w:r w:rsidR="00C408FC" w:rsidRPr="00EF2F18">
        <w:rPr>
          <w:rFonts w:cs="Times New Roman"/>
          <w:sz w:val="22"/>
          <w:lang w:val="sr-Cyrl-RS"/>
        </w:rPr>
        <w:t>еализацијом едукативно-промотивних активности о одрживом управљању вишковима хране и смањењу отпада од хране (</w:t>
      </w:r>
      <w:r w:rsidR="006022B8" w:rsidRPr="00EF2F18">
        <w:rPr>
          <w:rFonts w:cs="Times New Roman"/>
          <w:i/>
          <w:iCs/>
          <w:sz w:val="22"/>
          <w:lang w:val="sr-Cyrl-RS"/>
        </w:rPr>
        <w:t>HORECA</w:t>
      </w:r>
      <w:r w:rsidR="00C408FC" w:rsidRPr="00EF2F18">
        <w:rPr>
          <w:rFonts w:cs="Times New Roman"/>
          <w:sz w:val="22"/>
          <w:lang w:val="sr-Cyrl-RS"/>
        </w:rPr>
        <w:t xml:space="preserve"> сектор, трговачки ланци и потрошачи) обезбедиће се да се вишкови хране на одговарајући начин искористе и смањи количина отпада који се одлаже на депоније, а повећа искоришћење отпада од хране у погледу производње компоста или енергије.</w:t>
      </w:r>
    </w:p>
    <w:p w14:paraId="768D2397" w14:textId="34929E67" w:rsidR="00E73A94" w:rsidRPr="00EF2F18" w:rsidRDefault="00C408FC" w:rsidP="001470D0">
      <w:pPr>
        <w:spacing w:after="0"/>
        <w:ind w:firstLine="720"/>
        <w:jc w:val="both"/>
        <w:rPr>
          <w:rFonts w:cs="Times New Roman"/>
          <w:sz w:val="22"/>
          <w:lang w:val="sr-Cyrl-RS"/>
        </w:rPr>
      </w:pPr>
      <w:r w:rsidRPr="00EF2F18">
        <w:rPr>
          <w:rFonts w:cs="Times New Roman"/>
          <w:sz w:val="22"/>
          <w:lang w:val="sr-Cyrl-RS"/>
        </w:rPr>
        <w:t>Иновације су саставни део транзиције ка циркуларној економији. Иновативна решења</w:t>
      </w:r>
      <w:r w:rsidR="00B9180A" w:rsidRPr="00EF2F18">
        <w:rPr>
          <w:rFonts w:cs="Times New Roman"/>
          <w:sz w:val="22"/>
          <w:lang w:val="sr-Cyrl-RS"/>
        </w:rPr>
        <w:t xml:space="preserve"> </w:t>
      </w:r>
      <w:r w:rsidRPr="00EF2F18">
        <w:rPr>
          <w:rFonts w:cs="Times New Roman"/>
          <w:sz w:val="22"/>
          <w:lang w:val="sr-Cyrl-RS"/>
        </w:rPr>
        <w:t>представљају значајан изазов за привредне субјекте у Републици Србији, које већином чине микро, мала и средња предузећа са ограниченим капацитетима за истраживање и развој</w:t>
      </w:r>
      <w:r w:rsidR="00E73A94" w:rsidRPr="00EF2F18">
        <w:rPr>
          <w:rFonts w:cs="Times New Roman"/>
          <w:sz w:val="22"/>
          <w:lang w:val="sr-Cyrl-RS"/>
        </w:rPr>
        <w:t xml:space="preserve"> (веза са мером 1.4., </w:t>
      </w:r>
      <w:r w:rsidR="00766BEA" w:rsidRPr="00EF2F18">
        <w:rPr>
          <w:rFonts w:cs="Times New Roman"/>
          <w:sz w:val="22"/>
          <w:lang w:val="sr-Cyrl-RS"/>
        </w:rPr>
        <w:t xml:space="preserve">посебног циља </w:t>
      </w:r>
      <w:r w:rsidR="00E73A94" w:rsidRPr="00EF2F18">
        <w:rPr>
          <w:rFonts w:cs="Times New Roman"/>
          <w:sz w:val="22"/>
          <w:lang w:val="sr-Cyrl-RS"/>
        </w:rPr>
        <w:t xml:space="preserve">1., мерама 3.3. и </w:t>
      </w:r>
      <w:r w:rsidR="00753384">
        <w:rPr>
          <w:rFonts w:cs="Times New Roman"/>
          <w:sz w:val="22"/>
          <w:lang w:val="sr-Cyrl-RS"/>
        </w:rPr>
        <w:t>3.5.</w:t>
      </w:r>
      <w:r w:rsidR="00E73A94" w:rsidRPr="00EF2F18">
        <w:rPr>
          <w:rFonts w:cs="Times New Roman"/>
          <w:sz w:val="22"/>
          <w:lang w:val="sr-Cyrl-RS"/>
        </w:rPr>
        <w:t xml:space="preserve"> </w:t>
      </w:r>
      <w:r w:rsidR="00766BEA" w:rsidRPr="00EF2F18">
        <w:rPr>
          <w:rFonts w:cs="Times New Roman"/>
          <w:sz w:val="22"/>
          <w:lang w:val="sr-Cyrl-RS"/>
        </w:rPr>
        <w:t xml:space="preserve">посебног циља </w:t>
      </w:r>
      <w:r w:rsidR="00753384">
        <w:rPr>
          <w:rFonts w:cs="Times New Roman"/>
          <w:sz w:val="22"/>
          <w:lang w:val="sr-Cyrl-RS"/>
        </w:rPr>
        <w:t>3, као и мером 4.4.</w:t>
      </w:r>
      <w:r w:rsidR="00E73A94" w:rsidRPr="00EF2F18">
        <w:rPr>
          <w:rFonts w:cs="Times New Roman"/>
          <w:sz w:val="22"/>
          <w:lang w:val="sr-Cyrl-RS"/>
        </w:rPr>
        <w:t xml:space="preserve"> </w:t>
      </w:r>
      <w:r w:rsidR="00451EAC" w:rsidRPr="00EF2F18">
        <w:rPr>
          <w:rFonts w:cs="Times New Roman"/>
          <w:sz w:val="22"/>
          <w:lang w:val="sr-Cyrl-RS"/>
        </w:rPr>
        <w:t>посебног</w:t>
      </w:r>
      <w:r w:rsidR="00E73A94" w:rsidRPr="00EF2F18">
        <w:rPr>
          <w:rFonts w:cs="Times New Roman"/>
          <w:sz w:val="22"/>
          <w:lang w:val="sr-Cyrl-RS"/>
        </w:rPr>
        <w:t xml:space="preserve"> циљ</w:t>
      </w:r>
      <w:r w:rsidR="00451EAC" w:rsidRPr="00EF2F18">
        <w:rPr>
          <w:rFonts w:cs="Times New Roman"/>
          <w:sz w:val="22"/>
          <w:lang w:val="sr-Cyrl-RS"/>
        </w:rPr>
        <w:t>а</w:t>
      </w:r>
      <w:r w:rsidR="00E73A94" w:rsidRPr="00EF2F18">
        <w:rPr>
          <w:rFonts w:cs="Times New Roman"/>
          <w:sz w:val="22"/>
          <w:lang w:val="sr-Cyrl-RS"/>
        </w:rPr>
        <w:t xml:space="preserve"> 4. из Програма развоја циркуларне економије у Републици Србији за период 202</w:t>
      </w:r>
      <w:r w:rsidR="000D5AD5" w:rsidRPr="00EF2F18">
        <w:rPr>
          <w:rFonts w:cs="Times New Roman"/>
          <w:sz w:val="22"/>
          <w:lang w:val="sr-Cyrl-RS"/>
        </w:rPr>
        <w:t>6</w:t>
      </w:r>
      <w:r w:rsidR="00753384">
        <w:rPr>
          <w:rFonts w:cs="Times New Roman"/>
          <w:sz w:val="22"/>
          <w:lang w:val="sr-Cyrl-RS"/>
        </w:rPr>
        <w:t xml:space="preserve"> – </w:t>
      </w:r>
      <w:r w:rsidR="00E73A94" w:rsidRPr="00EF2F18">
        <w:rPr>
          <w:rFonts w:cs="Times New Roman"/>
          <w:sz w:val="22"/>
          <w:lang w:val="sr-Cyrl-RS"/>
        </w:rPr>
        <w:t>20</w:t>
      </w:r>
      <w:r w:rsidR="000D5AD5" w:rsidRPr="00EF2F18">
        <w:rPr>
          <w:rFonts w:cs="Times New Roman"/>
          <w:sz w:val="22"/>
          <w:lang w:val="sr-Cyrl-RS"/>
        </w:rPr>
        <w:t>30</w:t>
      </w:r>
      <w:r w:rsidR="00E73A94" w:rsidRPr="00EF2F18">
        <w:rPr>
          <w:rFonts w:cs="Times New Roman"/>
          <w:sz w:val="22"/>
          <w:lang w:val="sr-Cyrl-RS"/>
        </w:rPr>
        <w:t>. године).</w:t>
      </w:r>
    </w:p>
    <w:p w14:paraId="1A441292" w14:textId="48CC8FB2" w:rsidR="00E73A94" w:rsidRPr="00EF2F18" w:rsidRDefault="00C408FC" w:rsidP="00E73A94">
      <w:pPr>
        <w:spacing w:after="0"/>
        <w:ind w:firstLine="720"/>
        <w:jc w:val="both"/>
        <w:rPr>
          <w:rFonts w:cs="Times New Roman"/>
          <w:sz w:val="22"/>
          <w:lang w:val="sr-Cyrl-RS"/>
        </w:rPr>
      </w:pPr>
      <w:r w:rsidRPr="00EF2F18">
        <w:rPr>
          <w:rFonts w:cs="Times New Roman"/>
          <w:sz w:val="22"/>
          <w:lang w:val="sr-Cyrl-RS"/>
        </w:rPr>
        <w:lastRenderedPageBreak/>
        <w:t>Постојећи истраживачки капацитети у научн</w:t>
      </w:r>
      <w:r w:rsidR="00685595" w:rsidRPr="00EF2F18">
        <w:rPr>
          <w:rFonts w:cs="Times New Roman"/>
          <w:sz w:val="22"/>
          <w:lang w:val="sr-Cyrl-RS"/>
        </w:rPr>
        <w:t>о-истраживачким</w:t>
      </w:r>
      <w:r w:rsidRPr="00EF2F18">
        <w:rPr>
          <w:rFonts w:cs="Times New Roman"/>
          <w:sz w:val="22"/>
          <w:lang w:val="sr-Cyrl-RS"/>
        </w:rPr>
        <w:t xml:space="preserve"> организацијама биће ефикасније и потпуније искоришћени кроз реализацију програма за доделу иновативних ваучера у циљу примене модела </w:t>
      </w:r>
      <w:r w:rsidR="00FA04F8" w:rsidRPr="00EF2F18">
        <w:rPr>
          <w:rFonts w:cs="Times New Roman"/>
          <w:sz w:val="22"/>
          <w:lang w:val="sr-Cyrl-RS"/>
        </w:rPr>
        <w:t>циркуларне економије</w:t>
      </w:r>
      <w:r w:rsidR="00B8325C" w:rsidRPr="00EF2F18">
        <w:rPr>
          <w:rFonts w:cs="Times New Roman"/>
          <w:sz w:val="22"/>
          <w:lang w:val="sr-Cyrl-RS"/>
        </w:rPr>
        <w:t>,</w:t>
      </w:r>
      <w:r w:rsidRPr="00EF2F18">
        <w:rPr>
          <w:rFonts w:cs="Times New Roman"/>
          <w:sz w:val="22"/>
          <w:lang w:val="sr-Cyrl-RS"/>
        </w:rPr>
        <w:t xml:space="preserve"> чиме се истовремено подстиче сарадња између привреде и научно-истраживачких организација</w:t>
      </w:r>
      <w:r w:rsidR="00E73A94" w:rsidRPr="00EF2F18">
        <w:rPr>
          <w:rFonts w:cs="Times New Roman"/>
          <w:sz w:val="22"/>
          <w:lang w:val="sr-Cyrl-RS"/>
        </w:rPr>
        <w:t xml:space="preserve"> (веза са мерама 3.2</w:t>
      </w:r>
      <w:r w:rsidR="00185A75" w:rsidRPr="00EF2F18">
        <w:rPr>
          <w:rFonts w:cs="Times New Roman"/>
          <w:sz w:val="22"/>
          <w:lang w:val="sr-Cyrl-RS"/>
        </w:rPr>
        <w:t>. и 3.3.</w:t>
      </w:r>
      <w:r w:rsidR="00E73A94" w:rsidRPr="00EF2F18">
        <w:rPr>
          <w:rFonts w:cs="Times New Roman"/>
          <w:sz w:val="22"/>
          <w:lang w:val="sr-Cyrl-RS"/>
        </w:rPr>
        <w:t xml:space="preserve"> </w:t>
      </w:r>
      <w:r w:rsidR="00766BEA" w:rsidRPr="00EF2F18">
        <w:rPr>
          <w:rFonts w:cs="Times New Roman"/>
          <w:sz w:val="22"/>
          <w:lang w:val="sr-Cyrl-RS"/>
        </w:rPr>
        <w:t xml:space="preserve">посебног циља </w:t>
      </w:r>
      <w:r w:rsidR="00185A75" w:rsidRPr="00EF2F18">
        <w:rPr>
          <w:rFonts w:cs="Times New Roman"/>
          <w:sz w:val="22"/>
          <w:lang w:val="sr-Cyrl-RS"/>
        </w:rPr>
        <w:t>3. и мером 4.1.</w:t>
      </w:r>
      <w:r w:rsidR="00E73A94" w:rsidRPr="00EF2F18">
        <w:rPr>
          <w:rFonts w:cs="Times New Roman"/>
          <w:sz w:val="22"/>
          <w:lang w:val="sr-Cyrl-RS"/>
        </w:rPr>
        <w:t xml:space="preserve"> </w:t>
      </w:r>
      <w:r w:rsidR="00451EAC" w:rsidRPr="00EF2F18">
        <w:rPr>
          <w:rFonts w:cs="Times New Roman"/>
          <w:sz w:val="22"/>
          <w:lang w:val="sr-Cyrl-RS"/>
        </w:rPr>
        <w:t xml:space="preserve">посебног циља </w:t>
      </w:r>
      <w:r w:rsidR="00E73A94" w:rsidRPr="00EF2F18">
        <w:rPr>
          <w:rFonts w:cs="Times New Roman"/>
          <w:sz w:val="22"/>
          <w:lang w:val="sr-Cyrl-RS"/>
        </w:rPr>
        <w:t>4. из Програма управљања отпадом у Републици Србији за период од 2022. до 2031. године).</w:t>
      </w:r>
    </w:p>
    <w:p w14:paraId="69114C07" w14:textId="2497B615"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w:t>
      </w:r>
      <w:r w:rsidR="002420CA" w:rsidRPr="00EF2F18">
        <w:rPr>
          <w:rFonts w:cs="Times New Roman"/>
          <w:sz w:val="22"/>
          <w:lang w:val="sr-Cyrl-RS" w:eastAsia="en-GB"/>
        </w:rPr>
        <w:t>заштите</w:t>
      </w:r>
      <w:r w:rsidRPr="00EF2F18">
        <w:rPr>
          <w:rFonts w:cs="Times New Roman"/>
          <w:sz w:val="22"/>
          <w:lang w:val="sr-Cyrl-RS" w:eastAsia="en-GB"/>
        </w:rPr>
        <w:t xml:space="preserve"> животне средине</w:t>
      </w:r>
      <w:r w:rsidR="00185A75" w:rsidRPr="00EF2F18">
        <w:rPr>
          <w:rFonts w:cs="Times New Roman"/>
          <w:sz w:val="22"/>
          <w:lang w:val="sr-Cyrl-RS" w:eastAsia="en-GB"/>
        </w:rPr>
        <w:t>.</w:t>
      </w:r>
    </w:p>
    <w:p w14:paraId="579E8E4B" w14:textId="54E4584D"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Аутономна покрајина</w:t>
      </w:r>
      <w:r w:rsidR="008323E8" w:rsidRPr="00EF2F18">
        <w:rPr>
          <w:rFonts w:cs="Times New Roman"/>
          <w:sz w:val="22"/>
          <w:lang w:val="sr-Cyrl-RS" w:eastAsia="en-GB"/>
        </w:rPr>
        <w:t xml:space="preserve"> Војводина</w:t>
      </w:r>
      <w:r w:rsidRPr="00EF2F18">
        <w:rPr>
          <w:rFonts w:cs="Times New Roman"/>
          <w:sz w:val="22"/>
          <w:lang w:val="sr-Cyrl-RS" w:eastAsia="en-GB"/>
        </w:rPr>
        <w:t xml:space="preserve">, Министарство </w:t>
      </w:r>
      <w:r w:rsidR="005409A2" w:rsidRPr="00EF2F18">
        <w:rPr>
          <w:rFonts w:cs="Times New Roman"/>
          <w:sz w:val="22"/>
          <w:lang w:val="sr-Cyrl-RS" w:eastAsia="en-GB"/>
        </w:rPr>
        <w:t>грађевинарства, саобраћаја и инфра</w:t>
      </w:r>
      <w:r w:rsidRPr="00EF2F18">
        <w:rPr>
          <w:rFonts w:cs="Times New Roman"/>
          <w:sz w:val="22"/>
          <w:lang w:val="sr-Cyrl-RS" w:eastAsia="en-GB"/>
        </w:rPr>
        <w:t>структур</w:t>
      </w:r>
      <w:r w:rsidR="005409A2" w:rsidRPr="00EF2F18">
        <w:rPr>
          <w:rFonts w:cs="Times New Roman"/>
          <w:sz w:val="22"/>
          <w:lang w:val="sr-Cyrl-RS" w:eastAsia="en-GB"/>
        </w:rPr>
        <w:t>е</w:t>
      </w:r>
      <w:r w:rsidRPr="00EF2F18">
        <w:rPr>
          <w:rFonts w:cs="Times New Roman"/>
          <w:sz w:val="22"/>
          <w:lang w:val="sr-Cyrl-RS" w:eastAsia="en-GB"/>
        </w:rPr>
        <w:t xml:space="preserve">, </w:t>
      </w:r>
      <w:r w:rsidR="008323E8" w:rsidRPr="00EF2F18">
        <w:rPr>
          <w:rFonts w:cs="Times New Roman"/>
          <w:sz w:val="22"/>
          <w:lang w:val="sr-Cyrl-RS" w:eastAsia="en-GB"/>
        </w:rPr>
        <w:t xml:space="preserve">Министарство финансија, </w:t>
      </w:r>
      <w:r w:rsidRPr="00EF2F18">
        <w:rPr>
          <w:rFonts w:cs="Times New Roman"/>
          <w:sz w:val="22"/>
          <w:lang w:val="sr-Cyrl-RS" w:eastAsia="en-GB"/>
        </w:rPr>
        <w:t>Министарство привред</w:t>
      </w:r>
      <w:r w:rsidR="005409A2" w:rsidRPr="00EF2F18">
        <w:rPr>
          <w:rFonts w:cs="Times New Roman"/>
          <w:sz w:val="22"/>
          <w:lang w:val="sr-Cyrl-RS" w:eastAsia="en-GB"/>
        </w:rPr>
        <w:t>е</w:t>
      </w:r>
      <w:r w:rsidRPr="00EF2F18">
        <w:rPr>
          <w:rFonts w:cs="Times New Roman"/>
          <w:sz w:val="22"/>
          <w:lang w:val="sr-Cyrl-RS" w:eastAsia="en-GB"/>
        </w:rPr>
        <w:t>, научно-</w:t>
      </w:r>
      <w:r w:rsidR="00685595" w:rsidRPr="00EF2F18">
        <w:rPr>
          <w:rFonts w:cs="Times New Roman"/>
          <w:sz w:val="22"/>
          <w:lang w:val="sr-Cyrl-RS" w:eastAsia="en-GB"/>
        </w:rPr>
        <w:t>истраживачке организације и факултети</w:t>
      </w:r>
      <w:r w:rsidRPr="00EF2F18">
        <w:rPr>
          <w:rFonts w:cs="Times New Roman"/>
          <w:sz w:val="22"/>
          <w:lang w:val="sr-Cyrl-RS" w:eastAsia="en-GB"/>
        </w:rPr>
        <w:t>, Привредна комора Србије, донаторски партнери, приватна предузећа</w:t>
      </w:r>
      <w:r w:rsidR="002250E5" w:rsidRPr="00EF2F18">
        <w:rPr>
          <w:rFonts w:cs="Times New Roman"/>
          <w:sz w:val="22"/>
          <w:lang w:val="sr-Cyrl-RS" w:eastAsia="en-GB"/>
        </w:rPr>
        <w:t>, организације цивилног друштва</w:t>
      </w:r>
      <w:r w:rsidR="00185A75" w:rsidRPr="00EF2F18">
        <w:rPr>
          <w:rFonts w:cs="Times New Roman"/>
          <w:sz w:val="22"/>
          <w:lang w:val="sr-Cyrl-RS" w:eastAsia="en-GB"/>
        </w:rPr>
        <w:t>.</w:t>
      </w:r>
    </w:p>
    <w:p w14:paraId="78C5C6B5" w14:textId="67509593"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CB5259" w:rsidRPr="00EF2F18">
        <w:rPr>
          <w:rFonts w:cs="Times New Roman"/>
          <w:sz w:val="22"/>
          <w:lang w:val="sr-Cyrl-RS" w:eastAsia="en-GB"/>
        </w:rPr>
        <w:t>по</w:t>
      </w:r>
      <w:r w:rsidR="00FB6C58" w:rsidRPr="00EF2F18">
        <w:rPr>
          <w:rFonts w:cs="Times New Roman"/>
          <w:sz w:val="22"/>
          <w:lang w:val="sr-Cyrl-RS" w:eastAsia="en-GB"/>
        </w:rPr>
        <w:t>д</w:t>
      </w:r>
      <w:r w:rsidR="00CB5259" w:rsidRPr="00EF2F18">
        <w:rPr>
          <w:rFonts w:cs="Times New Roman"/>
          <w:sz w:val="22"/>
          <w:lang w:val="sr-Cyrl-RS" w:eastAsia="en-GB"/>
        </w:rPr>
        <w:t>стицајна</w:t>
      </w:r>
      <w:r w:rsidR="00185A75" w:rsidRPr="00EF2F18">
        <w:rPr>
          <w:rFonts w:cs="Times New Roman"/>
          <w:sz w:val="22"/>
          <w:lang w:val="sr-Cyrl-RS" w:eastAsia="en-GB"/>
        </w:rPr>
        <w:t>.</w:t>
      </w:r>
    </w:p>
    <w:p w14:paraId="56650A6F" w14:textId="77777777" w:rsidR="00C408FC" w:rsidRPr="00EF2F18" w:rsidRDefault="00C408FC" w:rsidP="00425FCC">
      <w:pPr>
        <w:spacing w:after="0"/>
        <w:ind w:firstLine="720"/>
        <w:jc w:val="both"/>
        <w:rPr>
          <w:rFonts w:cs="Times New Roman"/>
          <w:sz w:val="22"/>
          <w:lang w:val="sr-Cyrl-RS" w:eastAsia="en-GB"/>
        </w:rPr>
      </w:pPr>
    </w:p>
    <w:p w14:paraId="7D4E27C0" w14:textId="1BB327EA" w:rsidR="00C408FC" w:rsidRPr="00EF2F18" w:rsidRDefault="00C408FC"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2.2.2. Интегрисање безбедног управљања хемик</w:t>
      </w:r>
      <w:r w:rsidR="00AD3749" w:rsidRPr="00EF2F18">
        <w:rPr>
          <w:rFonts w:cs="Times New Roman"/>
          <w:b/>
          <w:bCs/>
          <w:sz w:val="22"/>
          <w:lang w:val="sr-Cyrl-RS" w:eastAsia="en-GB"/>
        </w:rPr>
        <w:t>а</w:t>
      </w:r>
      <w:r w:rsidRPr="00EF2F18">
        <w:rPr>
          <w:rFonts w:cs="Times New Roman"/>
          <w:b/>
          <w:bCs/>
          <w:sz w:val="22"/>
          <w:lang w:val="sr-Cyrl-RS" w:eastAsia="en-GB"/>
        </w:rPr>
        <w:t>лијама у концепт развоја циркуларне економије</w:t>
      </w:r>
      <w:r w:rsidRPr="00EF2F18">
        <w:rPr>
          <w:rFonts w:cs="Times New Roman"/>
          <w:sz w:val="22"/>
          <w:lang w:val="sr-Cyrl-RS" w:eastAsia="en-GB"/>
        </w:rPr>
        <w:t xml:space="preserve"> </w:t>
      </w:r>
    </w:p>
    <w:p w14:paraId="35B1300A" w14:textId="77777777" w:rsidR="00D83673" w:rsidRPr="00EF2F18" w:rsidRDefault="00D83673" w:rsidP="00E73A94">
      <w:pPr>
        <w:spacing w:after="0"/>
        <w:ind w:firstLine="720"/>
        <w:jc w:val="both"/>
        <w:rPr>
          <w:rFonts w:cs="Times New Roman"/>
          <w:sz w:val="22"/>
          <w:lang w:val="sr-Cyrl-RS"/>
        </w:rPr>
      </w:pPr>
    </w:p>
    <w:p w14:paraId="6EFBA2E3" w14:textId="17EFE1BE" w:rsidR="00E73A94" w:rsidRPr="00EF2F18" w:rsidRDefault="00C408FC" w:rsidP="00E73A94">
      <w:pPr>
        <w:spacing w:after="0"/>
        <w:ind w:firstLine="720"/>
        <w:jc w:val="both"/>
        <w:rPr>
          <w:rFonts w:cs="Times New Roman"/>
          <w:sz w:val="22"/>
          <w:lang w:val="sr-Cyrl-RS"/>
        </w:rPr>
      </w:pPr>
      <w:r w:rsidRPr="00EF2F18">
        <w:rPr>
          <w:rFonts w:cs="Times New Roman"/>
          <w:sz w:val="22"/>
          <w:lang w:val="sr-Cyrl-RS"/>
        </w:rPr>
        <w:t>У циркуларном току материјала неопходно је безбедно управљање хемикалијама у складу са прописима који регулишу ову област. Безбедно управљање хемикалијама у циркуларном току материјала је подршка политици развоја за постизање нетоксичне животне средине са аспекта циркуларне економије. У оквиру ове мере биће израђена Мапа пута о управ</w:t>
      </w:r>
      <w:r w:rsidR="00B8325C" w:rsidRPr="00EF2F18">
        <w:rPr>
          <w:rFonts w:cs="Times New Roman"/>
          <w:sz w:val="22"/>
          <w:lang w:val="sr-Cyrl-RS"/>
        </w:rPr>
        <w:t>љ</w:t>
      </w:r>
      <w:r w:rsidRPr="00EF2F18">
        <w:rPr>
          <w:rFonts w:cs="Times New Roman"/>
          <w:sz w:val="22"/>
          <w:lang w:val="sr-Cyrl-RS"/>
        </w:rPr>
        <w:t xml:space="preserve">ању хемикалијама у концепту развоја циркуларне економије, као и реализација обука индустрије и рециклера. Планирана мапа пута обухватиће: </w:t>
      </w:r>
      <w:r w:rsidR="00B8325C" w:rsidRPr="00EF2F18">
        <w:rPr>
          <w:rFonts w:cs="Times New Roman"/>
          <w:sz w:val="22"/>
          <w:lang w:val="sr-Cyrl-RS"/>
        </w:rPr>
        <w:t>п</w:t>
      </w:r>
      <w:r w:rsidRPr="00EF2F18">
        <w:rPr>
          <w:rFonts w:cs="Times New Roman"/>
          <w:sz w:val="22"/>
          <w:lang w:val="sr-Cyrl-RS"/>
        </w:rPr>
        <w:t>реглед тренутне ситуације и националне политике за управљање ризиком од хемикалија у циркула</w:t>
      </w:r>
      <w:r w:rsidR="004A57A0">
        <w:rPr>
          <w:rFonts w:cs="Times New Roman"/>
          <w:sz w:val="22"/>
          <w:lang w:val="sr-Cyrl-RS"/>
        </w:rPr>
        <w:t>рном току материјала, као и нус</w:t>
      </w:r>
      <w:r w:rsidRPr="00EF2F18">
        <w:rPr>
          <w:rFonts w:cs="Times New Roman"/>
          <w:sz w:val="22"/>
          <w:lang w:val="sr-Cyrl-RS"/>
        </w:rPr>
        <w:t>производи и статус престанка отпада као хемикалије у циљу поновне употребне вредности и повећање робних ресурса;</w:t>
      </w:r>
      <w:r w:rsidR="00B9180A" w:rsidRPr="00EF2F18">
        <w:rPr>
          <w:rFonts w:cs="Times New Roman"/>
          <w:sz w:val="22"/>
          <w:lang w:val="sr-Cyrl-RS"/>
        </w:rPr>
        <w:t xml:space="preserve"> </w:t>
      </w:r>
      <w:r w:rsidR="00B8325C" w:rsidRPr="00EF2F18">
        <w:rPr>
          <w:rFonts w:cs="Times New Roman"/>
          <w:sz w:val="22"/>
          <w:lang w:val="sr-Cyrl-RS"/>
        </w:rPr>
        <w:t>и</w:t>
      </w:r>
      <w:r w:rsidRPr="00EF2F18">
        <w:rPr>
          <w:rFonts w:cs="Times New Roman"/>
          <w:sz w:val="22"/>
          <w:lang w:val="sr-Cyrl-RS"/>
        </w:rPr>
        <w:t>дентификацију приоритета и извора поновне употребне вредности; преглед регулаторног, институционалног и стратешког оквира у складу са политиком управљања хемикалијама и отпадом на УН, ЕУ и националном нивоу; дефинисање општег и специфичних циљева мапе пута и израда плана имплементације и мониторинг имплементације мапе пута; примен</w:t>
      </w:r>
      <w:r w:rsidR="00880E07" w:rsidRPr="00EF2F18">
        <w:rPr>
          <w:rFonts w:cs="Times New Roman"/>
          <w:sz w:val="22"/>
          <w:lang w:val="sr-Cyrl-RS"/>
        </w:rPr>
        <w:t>у</w:t>
      </w:r>
      <w:r w:rsidRPr="00EF2F18">
        <w:rPr>
          <w:rFonts w:cs="Times New Roman"/>
          <w:sz w:val="22"/>
          <w:lang w:val="sr-Cyrl-RS"/>
        </w:rPr>
        <w:t xml:space="preserve"> принципа хемијског лизинга, зелене хемије и зелених јавних набавки; подизање свести и едукација хемијске и рециклажне индустрије о примени циркуларне економије са аспекта управљања ризиком од хемикалија и поновна употребна вредност идентификованих ресурса, као и свих заинтересованих страна; идентификацију националних капацитета за анализу опасних хемикалија и ендокриних диструп</w:t>
      </w:r>
      <w:r w:rsidR="00880E07" w:rsidRPr="00EF2F18">
        <w:rPr>
          <w:rFonts w:cs="Times New Roman"/>
          <w:sz w:val="22"/>
          <w:lang w:val="sr-Cyrl-RS"/>
        </w:rPr>
        <w:t>т</w:t>
      </w:r>
      <w:r w:rsidRPr="00EF2F18">
        <w:rPr>
          <w:rFonts w:cs="Times New Roman"/>
          <w:sz w:val="22"/>
          <w:lang w:val="sr-Cyrl-RS"/>
        </w:rPr>
        <w:t>ора у рециклираном материјалу са аспекта хемијске безбедности; израд</w:t>
      </w:r>
      <w:r w:rsidR="00880E07" w:rsidRPr="00EF2F18">
        <w:rPr>
          <w:rFonts w:cs="Times New Roman"/>
          <w:sz w:val="22"/>
          <w:lang w:val="sr-Cyrl-RS"/>
        </w:rPr>
        <w:t>у</w:t>
      </w:r>
      <w:r w:rsidRPr="00EF2F18">
        <w:rPr>
          <w:rFonts w:cs="Times New Roman"/>
          <w:sz w:val="22"/>
          <w:lang w:val="sr-Cyrl-RS"/>
        </w:rPr>
        <w:t xml:space="preserve"> едукативног и промотивног материјала намењеног свим циљним групама; израд</w:t>
      </w:r>
      <w:r w:rsidR="00880E07" w:rsidRPr="00EF2F18">
        <w:rPr>
          <w:rFonts w:cs="Times New Roman"/>
          <w:sz w:val="22"/>
          <w:lang w:val="sr-Cyrl-RS"/>
        </w:rPr>
        <w:t>у</w:t>
      </w:r>
      <w:r w:rsidRPr="00EF2F18">
        <w:rPr>
          <w:rFonts w:cs="Times New Roman"/>
          <w:sz w:val="22"/>
          <w:lang w:val="sr-Cyrl-RS"/>
        </w:rPr>
        <w:t xml:space="preserve"> родне анализе и</w:t>
      </w:r>
      <w:r w:rsidR="00B9180A" w:rsidRPr="00EF2F18">
        <w:rPr>
          <w:rFonts w:cs="Times New Roman"/>
          <w:sz w:val="22"/>
          <w:lang w:val="sr-Cyrl-RS"/>
        </w:rPr>
        <w:t xml:space="preserve"> </w:t>
      </w:r>
      <w:r w:rsidRPr="00EF2F18">
        <w:rPr>
          <w:rFonts w:cs="Times New Roman"/>
          <w:sz w:val="22"/>
          <w:lang w:val="sr-Cyrl-RS"/>
        </w:rPr>
        <w:t>укључивање родно осетљивих група са посебним аспектом на младе и децу</w:t>
      </w:r>
      <w:r w:rsidR="00ED0623" w:rsidRPr="00EF2F18">
        <w:rPr>
          <w:rFonts w:cs="Times New Roman"/>
          <w:sz w:val="22"/>
          <w:lang w:val="sr-Cyrl-RS"/>
        </w:rPr>
        <w:t xml:space="preserve"> (</w:t>
      </w:r>
      <w:r w:rsidR="00322072" w:rsidRPr="00EF2F18">
        <w:rPr>
          <w:rFonts w:cs="Times New Roman"/>
          <w:sz w:val="22"/>
          <w:lang w:val="sr-Cyrl-RS"/>
        </w:rPr>
        <w:t xml:space="preserve">веза са </w:t>
      </w:r>
      <w:r w:rsidR="002A4D43" w:rsidRPr="00EF2F18">
        <w:rPr>
          <w:rFonts w:cs="Times New Roman"/>
          <w:sz w:val="22"/>
          <w:lang w:val="sr-Cyrl-RS"/>
        </w:rPr>
        <w:t>м</w:t>
      </w:r>
      <w:r w:rsidR="00322072" w:rsidRPr="00EF2F18">
        <w:rPr>
          <w:rFonts w:cs="Times New Roman"/>
          <w:sz w:val="22"/>
          <w:lang w:val="sr-Cyrl-RS"/>
        </w:rPr>
        <w:t>ером 6.1.6.</w:t>
      </w:r>
      <w:r w:rsidR="004A57A0">
        <w:rPr>
          <w:rFonts w:cs="Times New Roman"/>
          <w:sz w:val="22"/>
          <w:lang w:val="sr-Cyrl-RS"/>
        </w:rPr>
        <w:t>.</w:t>
      </w:r>
      <w:r w:rsidR="00322072" w:rsidRPr="00EF2F18">
        <w:rPr>
          <w:rFonts w:cs="Times New Roman"/>
          <w:sz w:val="22"/>
          <w:lang w:val="sr-Cyrl-RS"/>
        </w:rPr>
        <w:t xml:space="preserve"> ове </w:t>
      </w:r>
      <w:r w:rsidR="004A57A0" w:rsidRPr="00EF2F18">
        <w:rPr>
          <w:rFonts w:cs="Times New Roman"/>
          <w:sz w:val="22"/>
          <w:lang w:val="sr-Cyrl-RS"/>
        </w:rPr>
        <w:t>стратегије</w:t>
      </w:r>
      <w:r w:rsidR="00ED0623" w:rsidRPr="00EF2F18">
        <w:rPr>
          <w:rFonts w:cs="Times New Roman"/>
          <w:sz w:val="22"/>
          <w:lang w:val="sr-Cyrl-RS"/>
        </w:rPr>
        <w:t>)</w:t>
      </w:r>
      <w:r w:rsidR="004A57A0">
        <w:rPr>
          <w:rFonts w:cs="Times New Roman"/>
          <w:sz w:val="22"/>
          <w:lang w:val="sr-Cyrl-RS"/>
        </w:rPr>
        <w:t xml:space="preserve"> (веза са мером 3.4.</w:t>
      </w:r>
      <w:r w:rsidR="00E73A94" w:rsidRPr="00EF2F18">
        <w:rPr>
          <w:rFonts w:cs="Times New Roman"/>
          <w:sz w:val="22"/>
          <w:lang w:val="sr-Cyrl-RS"/>
        </w:rPr>
        <w:t xml:space="preserve"> </w:t>
      </w:r>
      <w:r w:rsidR="00451EAC" w:rsidRPr="00EF2F18">
        <w:rPr>
          <w:rFonts w:cs="Times New Roman"/>
          <w:sz w:val="22"/>
          <w:lang w:val="sr-Cyrl-RS"/>
        </w:rPr>
        <w:t xml:space="preserve">посебног циља </w:t>
      </w:r>
      <w:r w:rsidR="00E73A94" w:rsidRPr="00EF2F18">
        <w:rPr>
          <w:rFonts w:cs="Times New Roman"/>
          <w:sz w:val="22"/>
          <w:lang w:val="sr-Cyrl-RS"/>
        </w:rPr>
        <w:t>3. из Програма развоја циркуларне економије у Републици Србији за период 202</w:t>
      </w:r>
      <w:r w:rsidR="000D5AD5" w:rsidRPr="00EF2F18">
        <w:rPr>
          <w:rFonts w:cs="Times New Roman"/>
          <w:sz w:val="22"/>
          <w:lang w:val="sr-Cyrl-RS"/>
        </w:rPr>
        <w:t>6</w:t>
      </w:r>
      <w:r w:rsidR="004A57A0">
        <w:rPr>
          <w:rFonts w:cs="Times New Roman"/>
          <w:sz w:val="22"/>
          <w:lang w:val="sr-Cyrl-RS"/>
        </w:rPr>
        <w:t xml:space="preserve"> – </w:t>
      </w:r>
      <w:r w:rsidR="00E73A94" w:rsidRPr="00EF2F18">
        <w:rPr>
          <w:rFonts w:cs="Times New Roman"/>
          <w:sz w:val="22"/>
          <w:lang w:val="sr-Cyrl-RS"/>
        </w:rPr>
        <w:t>20</w:t>
      </w:r>
      <w:r w:rsidR="000D5AD5" w:rsidRPr="00EF2F18">
        <w:rPr>
          <w:rFonts w:cs="Times New Roman"/>
          <w:sz w:val="22"/>
          <w:lang w:val="sr-Cyrl-RS"/>
        </w:rPr>
        <w:t>30</w:t>
      </w:r>
      <w:r w:rsidR="00E73A94" w:rsidRPr="00EF2F18">
        <w:rPr>
          <w:rFonts w:cs="Times New Roman"/>
          <w:sz w:val="22"/>
          <w:lang w:val="sr-Cyrl-RS"/>
        </w:rPr>
        <w:t>. године).</w:t>
      </w:r>
    </w:p>
    <w:p w14:paraId="5AFA3001" w14:textId="4A9140E8"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rPr>
        <w:t xml:space="preserve"> </w:t>
      </w:r>
      <w:r w:rsidRPr="00EF2F18">
        <w:rPr>
          <w:rFonts w:cs="Times New Roman"/>
          <w:bCs/>
          <w:sz w:val="22"/>
          <w:lang w:val="sr-Cyrl-RS" w:eastAsia="en-GB"/>
        </w:rPr>
        <w:t>Министарство заштит</w:t>
      </w:r>
      <w:r w:rsidR="002420CA" w:rsidRPr="00EF2F18">
        <w:rPr>
          <w:rFonts w:cs="Times New Roman"/>
          <w:bCs/>
          <w:sz w:val="22"/>
          <w:lang w:val="sr-Cyrl-RS" w:eastAsia="en-GB"/>
        </w:rPr>
        <w:t>е</w:t>
      </w:r>
      <w:r w:rsidRPr="00EF2F18">
        <w:rPr>
          <w:rFonts w:cs="Times New Roman"/>
          <w:bCs/>
          <w:sz w:val="22"/>
          <w:lang w:val="sr-Cyrl-RS" w:eastAsia="en-GB"/>
        </w:rPr>
        <w:t xml:space="preserve"> животне средине</w:t>
      </w:r>
      <w:r w:rsidR="00185A75" w:rsidRPr="00EF2F18">
        <w:rPr>
          <w:rFonts w:cs="Times New Roman"/>
          <w:bCs/>
          <w:sz w:val="22"/>
          <w:lang w:val="sr-Cyrl-RS" w:eastAsia="en-GB"/>
        </w:rPr>
        <w:t>.</w:t>
      </w:r>
      <w:r w:rsidRPr="00EF2F18">
        <w:rPr>
          <w:rFonts w:cs="Times New Roman"/>
          <w:sz w:val="22"/>
          <w:lang w:val="sr-Cyrl-RS" w:eastAsia="en-GB"/>
        </w:rPr>
        <w:t xml:space="preserve"> </w:t>
      </w:r>
    </w:p>
    <w:p w14:paraId="4B107C1E" w14:textId="2D9E1C66"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1144F" w:rsidRPr="00EF2F18">
        <w:rPr>
          <w:rFonts w:cs="Times New Roman"/>
          <w:sz w:val="22"/>
          <w:lang w:val="sr-Cyrl-RS" w:eastAsia="en-GB"/>
        </w:rPr>
        <w:t xml:space="preserve">Министарство за рад, запошљавање, борачка и социјална питања, </w:t>
      </w:r>
      <w:r w:rsidRPr="00EF2F18">
        <w:rPr>
          <w:rFonts w:cs="Times New Roman"/>
          <w:sz w:val="22"/>
          <w:lang w:val="sr-Cyrl-RS" w:eastAsia="en-GB"/>
        </w:rPr>
        <w:t xml:space="preserve">Привредна </w:t>
      </w:r>
      <w:r w:rsidR="006022B8" w:rsidRPr="00EF2F18">
        <w:rPr>
          <w:rFonts w:cs="Times New Roman"/>
          <w:sz w:val="22"/>
          <w:lang w:val="sr-Cyrl-RS" w:eastAsia="en-GB"/>
        </w:rPr>
        <w:t>к</w:t>
      </w:r>
      <w:r w:rsidRPr="00EF2F18">
        <w:rPr>
          <w:rFonts w:cs="Times New Roman"/>
          <w:sz w:val="22"/>
          <w:lang w:val="sr-Cyrl-RS" w:eastAsia="en-GB"/>
        </w:rPr>
        <w:t>омора Србије, хемијска индустрија, рециклажна индустрија</w:t>
      </w:r>
      <w:r w:rsidR="00C66CBB" w:rsidRPr="00EF2F18">
        <w:rPr>
          <w:rFonts w:cs="Times New Roman"/>
          <w:sz w:val="22"/>
          <w:lang w:val="sr-Cyrl-RS" w:eastAsia="en-GB"/>
        </w:rPr>
        <w:t xml:space="preserve">, </w:t>
      </w:r>
      <w:r w:rsidR="00643D36" w:rsidRPr="00EF2F18">
        <w:rPr>
          <w:rFonts w:cs="Times New Roman"/>
          <w:sz w:val="22"/>
          <w:lang w:val="sr-Cyrl-RS" w:eastAsia="en-GB"/>
        </w:rPr>
        <w:t>o</w:t>
      </w:r>
      <w:r w:rsidR="00C66CBB" w:rsidRPr="00EF2F18">
        <w:rPr>
          <w:rFonts w:cs="Times New Roman"/>
          <w:sz w:val="22"/>
          <w:lang w:val="sr-Cyrl-RS" w:eastAsia="en-GB"/>
        </w:rPr>
        <w:t>рганизације цивилног друштва</w:t>
      </w:r>
      <w:r w:rsidR="00185A75" w:rsidRPr="00EF2F18">
        <w:rPr>
          <w:rFonts w:cs="Times New Roman"/>
          <w:sz w:val="22"/>
          <w:lang w:val="sr-Cyrl-RS" w:eastAsia="en-GB"/>
        </w:rPr>
        <w:t>.</w:t>
      </w:r>
    </w:p>
    <w:p w14:paraId="52765800" w14:textId="6A51BE47"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CB5259" w:rsidRPr="00EF2F18">
        <w:rPr>
          <w:rFonts w:cs="Times New Roman"/>
          <w:sz w:val="22"/>
          <w:lang w:val="sr-Cyrl-RS" w:eastAsia="en-GB"/>
        </w:rPr>
        <w:t>и</w:t>
      </w:r>
      <w:r w:rsidRPr="00EF2F18">
        <w:rPr>
          <w:rFonts w:cs="Times New Roman"/>
          <w:sz w:val="22"/>
          <w:lang w:val="sr-Cyrl-RS" w:eastAsia="en-GB"/>
        </w:rPr>
        <w:t>нформативно едукативна</w:t>
      </w:r>
      <w:r w:rsidR="00185A75" w:rsidRPr="00EF2F18">
        <w:rPr>
          <w:rFonts w:cs="Times New Roman"/>
          <w:sz w:val="22"/>
          <w:lang w:val="sr-Cyrl-RS" w:eastAsia="en-GB"/>
        </w:rPr>
        <w:t>.</w:t>
      </w:r>
    </w:p>
    <w:p w14:paraId="5A16ED3F" w14:textId="59A504F7" w:rsidR="00D83673" w:rsidRPr="00EF2F18" w:rsidRDefault="00D83673" w:rsidP="00753384">
      <w:pPr>
        <w:spacing w:after="0"/>
        <w:jc w:val="both"/>
        <w:rPr>
          <w:rFonts w:cs="Times New Roman"/>
          <w:sz w:val="22"/>
          <w:lang w:val="sr-Cyrl-RS" w:eastAsia="en-GB"/>
        </w:rPr>
      </w:pPr>
    </w:p>
    <w:p w14:paraId="211ACE52" w14:textId="77777777" w:rsidR="00C408FC" w:rsidRPr="00EF2F18" w:rsidRDefault="00C408FC"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2.2.3. Подршка изградњи капацитета за искоришћење отпадног муља из постројења за пречишћавање отпадних вода</w:t>
      </w:r>
    </w:p>
    <w:p w14:paraId="3048D693" w14:textId="77777777" w:rsidR="00D83673" w:rsidRPr="00EF2F18" w:rsidRDefault="00D83673" w:rsidP="00425FCC">
      <w:pPr>
        <w:spacing w:after="0"/>
        <w:ind w:firstLine="720"/>
        <w:jc w:val="both"/>
        <w:rPr>
          <w:rFonts w:cs="Times New Roman"/>
          <w:sz w:val="22"/>
          <w:lang w:val="sr-Cyrl-RS" w:eastAsia="en-GB"/>
        </w:rPr>
      </w:pPr>
    </w:p>
    <w:p w14:paraId="1C69DCDC" w14:textId="70600FBE" w:rsidR="00C408FC" w:rsidRPr="00EF2F18" w:rsidRDefault="00C408FC" w:rsidP="00425FCC">
      <w:pPr>
        <w:spacing w:after="0"/>
        <w:ind w:firstLine="720"/>
        <w:jc w:val="both"/>
        <w:rPr>
          <w:rFonts w:cs="Times New Roman"/>
          <w:sz w:val="22"/>
          <w:lang w:val="sr-Cyrl-RS" w:eastAsia="en-GB"/>
        </w:rPr>
      </w:pPr>
      <w:r w:rsidRPr="00EF2F18">
        <w:rPr>
          <w:rFonts w:cs="Times New Roman"/>
          <w:sz w:val="22"/>
          <w:lang w:val="sr-Cyrl-RS" w:eastAsia="en-GB"/>
        </w:rPr>
        <w:t xml:space="preserve">Приликом планирања дугорочних улагања у инфраструктуру за управљање муљем од пречишћавања комуналних отпадних вода, треба имати у виду да ЕУ даје предност искоришћењу материјала који се налази у муљу. Нашу земљу, у наредном периоду очекују велики изазови у области управљања муљем и веома је важно ускладити динамику инвестирања у изградњу постројења за пречишћавање отпадних вода са динамиком изградње потребних капацитета за оптимално искоришћење муља. Нарочито из разлога што процене указују да ће очекиване количине генерисаног муља срачунате на суву материју бити, готово десет пута веће </w:t>
      </w:r>
      <w:r w:rsidRPr="00EF2F18">
        <w:rPr>
          <w:rFonts w:cs="Times New Roman"/>
          <w:sz w:val="22"/>
          <w:lang w:val="sr-Cyrl-RS" w:eastAsia="en-GB"/>
        </w:rPr>
        <w:lastRenderedPageBreak/>
        <w:t>на годишњем нивоу до краја 2041. године. Ова мера се реализује са циљем повећања степена искоришћеног муља у односу на генерисани.</w:t>
      </w:r>
      <w:r w:rsidR="00B9180A" w:rsidRPr="00EF2F18">
        <w:rPr>
          <w:rFonts w:cs="Times New Roman"/>
          <w:sz w:val="22"/>
          <w:lang w:val="sr-Cyrl-RS" w:eastAsia="en-GB"/>
        </w:rPr>
        <w:t xml:space="preserve"> </w:t>
      </w:r>
    </w:p>
    <w:p w14:paraId="244A98D3" w14:textId="484E4A26" w:rsidR="00C408FC" w:rsidRPr="00EF2F18" w:rsidRDefault="00C408FC" w:rsidP="00425FCC">
      <w:pPr>
        <w:spacing w:after="0"/>
        <w:ind w:firstLine="720"/>
        <w:jc w:val="both"/>
        <w:rPr>
          <w:rFonts w:cs="Times New Roman"/>
          <w:sz w:val="22"/>
          <w:lang w:val="sr-Cyrl-RS" w:eastAsia="en-GB"/>
        </w:rPr>
      </w:pPr>
      <w:r w:rsidRPr="00EF2F18">
        <w:rPr>
          <w:rFonts w:cs="Times New Roman"/>
          <w:sz w:val="22"/>
          <w:lang w:val="sr-Cyrl-RS" w:eastAsia="en-GB"/>
        </w:rPr>
        <w:t>Приоритетна активност у вези са мером односи се</w:t>
      </w:r>
      <w:r w:rsidR="00ED0623" w:rsidRPr="00EF2F18">
        <w:rPr>
          <w:rFonts w:cs="Times New Roman"/>
          <w:sz w:val="22"/>
          <w:lang w:val="sr-Cyrl-RS" w:eastAsia="en-GB"/>
        </w:rPr>
        <w:t>,</w:t>
      </w:r>
      <w:r w:rsidRPr="00EF2F18">
        <w:rPr>
          <w:rFonts w:cs="Times New Roman"/>
          <w:sz w:val="22"/>
          <w:lang w:val="sr-Cyrl-RS" w:eastAsia="en-GB"/>
        </w:rPr>
        <w:t xml:space="preserve"> пре свега, на израду и доношење</w:t>
      </w:r>
      <w:r w:rsidR="00B9180A" w:rsidRPr="00EF2F18">
        <w:rPr>
          <w:rFonts w:cs="Times New Roman"/>
          <w:sz w:val="22"/>
          <w:lang w:val="sr-Cyrl-RS" w:eastAsia="en-GB"/>
        </w:rPr>
        <w:t xml:space="preserve"> </w:t>
      </w:r>
      <w:r w:rsidRPr="00EF2F18">
        <w:rPr>
          <w:rFonts w:cs="Times New Roman"/>
          <w:sz w:val="22"/>
          <w:lang w:val="sr-Cyrl-RS" w:eastAsia="en-GB"/>
        </w:rPr>
        <w:t>подзаконских прописа којима се дефинишу стандарди квалитета муља и критеријуми за доношење одлуке о начину коришћења муља из постројења за пречишћавање отпадних вода. Правни основ за доношење наведених прописа биће обезбеђен изменама и допунама Закона о управљању отпадом, у који је потребно унети одредбе о управљању муљем из постројења за пречишћавање отпадних вода.</w:t>
      </w:r>
    </w:p>
    <w:p w14:paraId="5CD59345" w14:textId="47B3D624" w:rsidR="00C408FC" w:rsidRPr="00EF2F18" w:rsidRDefault="00C408FC" w:rsidP="00425FCC">
      <w:pPr>
        <w:spacing w:after="0"/>
        <w:ind w:firstLine="720"/>
        <w:jc w:val="both"/>
        <w:rPr>
          <w:rFonts w:cs="Times New Roman"/>
          <w:sz w:val="22"/>
          <w:lang w:val="sr-Cyrl-RS" w:eastAsia="en-GB"/>
        </w:rPr>
      </w:pPr>
      <w:r w:rsidRPr="00EF2F18">
        <w:rPr>
          <w:rFonts w:cs="Times New Roman"/>
          <w:sz w:val="22"/>
          <w:lang w:val="sr-Cyrl-RS" w:eastAsia="en-GB"/>
        </w:rPr>
        <w:t>Како је у фокусу ове мере поновно искоришћење муља потребно је извршити</w:t>
      </w:r>
      <w:r w:rsidR="00B9180A" w:rsidRPr="00EF2F18">
        <w:rPr>
          <w:rFonts w:cs="Times New Roman"/>
          <w:sz w:val="22"/>
          <w:lang w:val="sr-Cyrl-RS" w:eastAsia="en-GB"/>
        </w:rPr>
        <w:t xml:space="preserve"> </w:t>
      </w:r>
      <w:r w:rsidRPr="00EF2F18">
        <w:rPr>
          <w:rFonts w:cs="Times New Roman"/>
          <w:sz w:val="22"/>
          <w:lang w:val="sr-Cyrl-RS" w:eastAsia="en-GB"/>
        </w:rPr>
        <w:t>надоградњу постојећих постројења за пречишћавање отпадних вода ради термичког сушења муља</w:t>
      </w:r>
      <w:r w:rsidR="00880E07" w:rsidRPr="00EF2F18">
        <w:rPr>
          <w:rFonts w:cs="Times New Roman"/>
          <w:sz w:val="22"/>
          <w:lang w:val="sr-Cyrl-RS" w:eastAsia="en-GB"/>
        </w:rPr>
        <w:t xml:space="preserve"> </w:t>
      </w:r>
      <w:r w:rsidR="007A2E9F" w:rsidRPr="00EF2F18">
        <w:rPr>
          <w:rFonts w:cs="Times New Roman"/>
          <w:sz w:val="22"/>
          <w:lang w:val="sr-Cyrl-RS" w:eastAsia="en-GB"/>
        </w:rPr>
        <w:t>–</w:t>
      </w:r>
      <w:r w:rsidRPr="00EF2F18">
        <w:rPr>
          <w:rFonts w:cs="Times New Roman"/>
          <w:sz w:val="22"/>
          <w:lang w:val="sr-Cyrl-RS" w:eastAsia="en-GB"/>
        </w:rPr>
        <w:t xml:space="preserve"> припреме за</w:t>
      </w:r>
      <w:r w:rsidR="00B9180A" w:rsidRPr="00EF2F18">
        <w:rPr>
          <w:rFonts w:cs="Times New Roman"/>
          <w:sz w:val="22"/>
          <w:lang w:val="sr-Cyrl-RS" w:eastAsia="en-GB"/>
        </w:rPr>
        <w:t xml:space="preserve"> </w:t>
      </w:r>
      <w:r w:rsidRPr="00EF2F18">
        <w:rPr>
          <w:rFonts w:cs="Times New Roman"/>
          <w:sz w:val="22"/>
          <w:lang w:val="sr-Cyrl-RS" w:eastAsia="en-GB"/>
        </w:rPr>
        <w:t>коинсинерацију у цементарама којом</w:t>
      </w:r>
      <w:r w:rsidR="00B9180A" w:rsidRPr="00EF2F18">
        <w:rPr>
          <w:rFonts w:cs="Times New Roman"/>
          <w:sz w:val="22"/>
          <w:lang w:val="sr-Cyrl-RS" w:eastAsia="en-GB"/>
        </w:rPr>
        <w:t xml:space="preserve"> </w:t>
      </w:r>
      <w:r w:rsidRPr="00EF2F18">
        <w:rPr>
          <w:rFonts w:cs="Times New Roman"/>
          <w:sz w:val="22"/>
          <w:lang w:val="sr-Cyrl-RS" w:eastAsia="en-GB"/>
        </w:rPr>
        <w:t>оператери постројења за пречишћавање отпадн</w:t>
      </w:r>
      <w:r w:rsidR="00F23E09">
        <w:rPr>
          <w:rFonts w:cs="Times New Roman"/>
          <w:sz w:val="22"/>
          <w:lang w:val="sr-Cyrl-RS" w:eastAsia="en-GB"/>
        </w:rPr>
        <w:t>их вода треба да обезбеде одгова</w:t>
      </w:r>
      <w:r w:rsidRPr="00EF2F18">
        <w:rPr>
          <w:rFonts w:cs="Times New Roman"/>
          <w:sz w:val="22"/>
          <w:lang w:val="sr-Cyrl-RS" w:eastAsia="en-GB"/>
        </w:rPr>
        <w:t>рајућу припрему, односно интензивно сушење муља да би се постигла захтевана топлотна вредност за његов термички третман.</w:t>
      </w:r>
    </w:p>
    <w:p w14:paraId="087F95E3" w14:textId="31B0A459" w:rsidR="00C408FC" w:rsidRPr="00EF2F18" w:rsidRDefault="00C408FC" w:rsidP="00425FCC">
      <w:pPr>
        <w:spacing w:after="0"/>
        <w:ind w:firstLine="720"/>
        <w:jc w:val="both"/>
        <w:rPr>
          <w:rFonts w:cs="Times New Roman"/>
          <w:sz w:val="22"/>
          <w:lang w:val="sr-Cyrl-RS" w:eastAsia="en-GB"/>
        </w:rPr>
      </w:pPr>
      <w:r w:rsidRPr="00EF2F18">
        <w:rPr>
          <w:rFonts w:cs="Times New Roman"/>
          <w:sz w:val="22"/>
          <w:lang w:val="sr-Cyrl-RS" w:eastAsia="en-GB"/>
        </w:rPr>
        <w:t>За успостављање дугорочног система управљања муљем из постројења за пречишћавање отпадних вода потребна је и изградња посебне инфраструктуре за управљање муљем.</w:t>
      </w:r>
      <w:r w:rsidRPr="00EF2F18">
        <w:rPr>
          <w:rFonts w:cs="Times New Roman"/>
          <w:sz w:val="22"/>
          <w:lang w:val="sr-Cyrl-RS"/>
        </w:rPr>
        <w:t xml:space="preserve"> Изградња постројења за моноинсинерацију </w:t>
      </w:r>
      <w:r w:rsidRPr="00EF2F18">
        <w:rPr>
          <w:rFonts w:cs="Times New Roman"/>
          <w:sz w:val="22"/>
          <w:lang w:val="sr-Cyrl-RS" w:eastAsia="en-GB"/>
        </w:rPr>
        <w:t>муља ко</w:t>
      </w:r>
      <w:r w:rsidR="00880E07" w:rsidRPr="00EF2F18">
        <w:rPr>
          <w:rFonts w:cs="Times New Roman"/>
          <w:sz w:val="22"/>
          <w:lang w:val="sr-Cyrl-RS" w:eastAsia="en-GB"/>
        </w:rPr>
        <w:t>ја</w:t>
      </w:r>
      <w:r w:rsidRPr="00EF2F18">
        <w:rPr>
          <w:rFonts w:cs="Times New Roman"/>
          <w:sz w:val="22"/>
          <w:lang w:val="sr-Cyrl-RS" w:eastAsia="en-GB"/>
        </w:rPr>
        <w:t xml:space="preserve"> је планирана овом мером (без мешања са другим отпадом) је </w:t>
      </w:r>
      <w:r w:rsidR="00CC4BD6" w:rsidRPr="00EF2F18">
        <w:rPr>
          <w:rFonts w:cs="Times New Roman"/>
          <w:sz w:val="22"/>
          <w:lang w:val="sr-Cyrl-RS" w:eastAsia="en-GB"/>
        </w:rPr>
        <w:t xml:space="preserve">једно од могућих решења </w:t>
      </w:r>
      <w:r w:rsidRPr="00EF2F18">
        <w:rPr>
          <w:rFonts w:cs="Times New Roman"/>
          <w:sz w:val="22"/>
          <w:lang w:val="sr-Cyrl-RS" w:eastAsia="en-GB"/>
        </w:rPr>
        <w:t>за поновно искоришћење ове врсте отпада у енергетске сврхе.</w:t>
      </w:r>
    </w:p>
    <w:p w14:paraId="21A5D472" w14:textId="6BEF3CB4" w:rsidR="00C408FC" w:rsidRPr="00EF2F18" w:rsidRDefault="00C408FC" w:rsidP="00425FCC">
      <w:pPr>
        <w:spacing w:after="0"/>
        <w:ind w:firstLine="720"/>
        <w:rPr>
          <w:rFonts w:cs="Times New Roman"/>
          <w:sz w:val="22"/>
          <w:lang w:val="sr-Cyrl-RS"/>
        </w:rPr>
      </w:pPr>
      <w:r w:rsidRPr="00EF2F18">
        <w:rPr>
          <w:rFonts w:cs="Times New Roman"/>
          <w:b/>
          <w:bCs/>
          <w:sz w:val="22"/>
          <w:lang w:val="sr-Cyrl-RS"/>
        </w:rPr>
        <w:t>Надлежна институција:</w:t>
      </w:r>
      <w:r w:rsidRPr="00EF2F18">
        <w:rPr>
          <w:rFonts w:cs="Times New Roman"/>
          <w:sz w:val="22"/>
          <w:lang w:val="sr-Cyrl-RS"/>
        </w:rPr>
        <w:t xml:space="preserve"> </w:t>
      </w:r>
      <w:r w:rsidRPr="00EF2F18">
        <w:rPr>
          <w:rFonts w:cs="Times New Roman"/>
          <w:bCs/>
          <w:sz w:val="22"/>
          <w:lang w:val="sr-Cyrl-RS"/>
        </w:rPr>
        <w:t>Министарство заштит</w:t>
      </w:r>
      <w:r w:rsidR="002420CA" w:rsidRPr="00EF2F18">
        <w:rPr>
          <w:rFonts w:cs="Times New Roman"/>
          <w:bCs/>
          <w:sz w:val="22"/>
          <w:lang w:val="sr-Cyrl-RS"/>
        </w:rPr>
        <w:t>е</w:t>
      </w:r>
      <w:r w:rsidRPr="00EF2F18">
        <w:rPr>
          <w:rFonts w:cs="Times New Roman"/>
          <w:bCs/>
          <w:sz w:val="22"/>
          <w:lang w:val="sr-Cyrl-RS"/>
        </w:rPr>
        <w:t xml:space="preserve"> животне средине</w:t>
      </w:r>
      <w:r w:rsidR="00185A75" w:rsidRPr="00EF2F18">
        <w:rPr>
          <w:rFonts w:cs="Times New Roman"/>
          <w:bCs/>
          <w:sz w:val="22"/>
          <w:lang w:val="sr-Cyrl-RS"/>
        </w:rPr>
        <w:t>.</w:t>
      </w:r>
      <w:r w:rsidRPr="00EF2F18">
        <w:rPr>
          <w:rFonts w:cs="Times New Roman"/>
          <w:sz w:val="22"/>
          <w:lang w:val="sr-Cyrl-RS"/>
        </w:rPr>
        <w:t xml:space="preserve"> </w:t>
      </w:r>
    </w:p>
    <w:p w14:paraId="71D3EEFB" w14:textId="0FDE3168" w:rsidR="00C408FC" w:rsidRPr="00EF2F18" w:rsidRDefault="00C408FC" w:rsidP="00425FCC">
      <w:pPr>
        <w:spacing w:after="0"/>
        <w:ind w:firstLine="720"/>
        <w:rPr>
          <w:rFonts w:cs="Times New Roman"/>
          <w:sz w:val="22"/>
          <w:lang w:val="sr-Cyrl-RS"/>
        </w:rPr>
      </w:pPr>
      <w:r w:rsidRPr="00EF2F18">
        <w:rPr>
          <w:rFonts w:cs="Times New Roman"/>
          <w:b/>
          <w:bCs/>
          <w:sz w:val="22"/>
          <w:lang w:val="sr-Cyrl-RS"/>
        </w:rPr>
        <w:t>Партнери</w:t>
      </w:r>
      <w:r w:rsidRPr="00EF2F18">
        <w:rPr>
          <w:rFonts w:cs="Times New Roman"/>
          <w:sz w:val="22"/>
          <w:lang w:val="sr-Cyrl-RS"/>
        </w:rPr>
        <w:t xml:space="preserve"> </w:t>
      </w:r>
      <w:r w:rsidRPr="00EF2F18">
        <w:rPr>
          <w:rFonts w:cs="Times New Roman"/>
          <w:b/>
          <w:bCs/>
          <w:sz w:val="22"/>
          <w:lang w:val="sr-Cyrl-RS"/>
        </w:rPr>
        <w:t>у спровођењу</w:t>
      </w:r>
      <w:r w:rsidRPr="00EF2F18">
        <w:rPr>
          <w:rFonts w:cs="Times New Roman"/>
          <w:sz w:val="22"/>
          <w:lang w:val="sr-Cyrl-RS"/>
        </w:rPr>
        <w:t>: Министарство грађевин</w:t>
      </w:r>
      <w:r w:rsidR="005409A2" w:rsidRPr="00EF2F18">
        <w:rPr>
          <w:rFonts w:cs="Times New Roman"/>
          <w:sz w:val="22"/>
          <w:lang w:val="sr-Cyrl-RS"/>
        </w:rPr>
        <w:t>арства, саобраћаја и</w:t>
      </w:r>
      <w:r w:rsidRPr="00EF2F18">
        <w:rPr>
          <w:rFonts w:cs="Times New Roman"/>
          <w:sz w:val="22"/>
          <w:lang w:val="sr-Cyrl-RS"/>
        </w:rPr>
        <w:t xml:space="preserve"> инфраструктур</w:t>
      </w:r>
      <w:r w:rsidR="005409A2" w:rsidRPr="00EF2F18">
        <w:rPr>
          <w:rFonts w:cs="Times New Roman"/>
          <w:sz w:val="22"/>
          <w:lang w:val="sr-Cyrl-RS"/>
        </w:rPr>
        <w:t>е</w:t>
      </w:r>
      <w:r w:rsidRPr="00EF2F18">
        <w:rPr>
          <w:rFonts w:cs="Times New Roman"/>
          <w:sz w:val="22"/>
          <w:lang w:val="sr-Cyrl-RS"/>
        </w:rPr>
        <w:t xml:space="preserve">, Министарство </w:t>
      </w:r>
      <w:r w:rsidR="005409A2" w:rsidRPr="00EF2F18">
        <w:rPr>
          <w:rFonts w:cs="Times New Roman"/>
          <w:sz w:val="22"/>
          <w:lang w:val="sr-Cyrl-RS"/>
        </w:rPr>
        <w:t xml:space="preserve">пољопривреде, шумарства и </w:t>
      </w:r>
      <w:r w:rsidRPr="00EF2F18">
        <w:rPr>
          <w:rFonts w:cs="Times New Roman"/>
          <w:sz w:val="22"/>
          <w:lang w:val="sr-Cyrl-RS"/>
        </w:rPr>
        <w:t>водопривред</w:t>
      </w:r>
      <w:r w:rsidR="005409A2" w:rsidRPr="00EF2F18">
        <w:rPr>
          <w:rFonts w:cs="Times New Roman"/>
          <w:sz w:val="22"/>
          <w:lang w:val="sr-Cyrl-RS"/>
        </w:rPr>
        <w:t>е</w:t>
      </w:r>
      <w:r w:rsidRPr="00EF2F18">
        <w:rPr>
          <w:rFonts w:cs="Times New Roman"/>
          <w:sz w:val="22"/>
          <w:lang w:val="sr-Cyrl-RS"/>
        </w:rPr>
        <w:t>, јединице локалне самоуправе, јавна комунална предузећа</w:t>
      </w:r>
      <w:r w:rsidR="00185A75" w:rsidRPr="00EF2F18">
        <w:rPr>
          <w:rFonts w:cs="Times New Roman"/>
          <w:sz w:val="22"/>
          <w:lang w:val="sr-Cyrl-RS"/>
        </w:rPr>
        <w:t>.</w:t>
      </w:r>
    </w:p>
    <w:p w14:paraId="0518D168" w14:textId="0E1B35AC" w:rsidR="007C0ADB" w:rsidRPr="00EF2F18" w:rsidRDefault="00C408FC" w:rsidP="00D83673">
      <w:pPr>
        <w:spacing w:after="0"/>
        <w:ind w:firstLine="720"/>
        <w:rPr>
          <w:rFonts w:cs="Times New Roman"/>
          <w:sz w:val="22"/>
          <w:lang w:val="sr-Cyrl-RS"/>
        </w:rPr>
      </w:pPr>
      <w:r w:rsidRPr="00EF2F18">
        <w:rPr>
          <w:rFonts w:cs="Times New Roman"/>
          <w:b/>
          <w:bCs/>
          <w:sz w:val="22"/>
          <w:lang w:val="sr-Cyrl-RS"/>
        </w:rPr>
        <w:t>Врста мере</w:t>
      </w:r>
      <w:r w:rsidRPr="00EF2F18">
        <w:rPr>
          <w:rFonts w:cs="Times New Roman"/>
          <w:sz w:val="22"/>
          <w:lang w:val="sr-Cyrl-RS"/>
        </w:rPr>
        <w:t xml:space="preserve">: </w:t>
      </w:r>
      <w:r w:rsidR="00BE2BE0" w:rsidRPr="00EF2F18">
        <w:rPr>
          <w:rFonts w:cs="Times New Roman"/>
          <w:sz w:val="22"/>
          <w:lang w:val="sr-Cyrl-RS"/>
        </w:rPr>
        <w:t>о</w:t>
      </w:r>
      <w:r w:rsidRPr="00EF2F18">
        <w:rPr>
          <w:rFonts w:cs="Times New Roman"/>
          <w:sz w:val="22"/>
          <w:lang w:val="sr-Cyrl-RS"/>
        </w:rPr>
        <w:t>безбеђивање добара и пружање услуга</w:t>
      </w:r>
      <w:r w:rsidR="00185A75" w:rsidRPr="00EF2F18">
        <w:rPr>
          <w:rFonts w:cs="Times New Roman"/>
          <w:sz w:val="22"/>
          <w:lang w:val="sr-Cyrl-RS"/>
        </w:rPr>
        <w:t>.</w:t>
      </w:r>
    </w:p>
    <w:p w14:paraId="4EB4161E" w14:textId="77777777" w:rsidR="00BE2BE0" w:rsidRPr="00EF2F18" w:rsidRDefault="00BE2BE0" w:rsidP="00425FCC">
      <w:pPr>
        <w:spacing w:after="0"/>
        <w:ind w:firstLine="720"/>
        <w:rPr>
          <w:rFonts w:cs="Times New Roman"/>
          <w:sz w:val="22"/>
          <w:lang w:val="sr-Cyrl-RS"/>
        </w:rPr>
      </w:pPr>
    </w:p>
    <w:p w14:paraId="53D3DA83" w14:textId="187D847E" w:rsidR="0024502E" w:rsidRPr="00EF2F18" w:rsidRDefault="00491EBE" w:rsidP="0008422B">
      <w:pPr>
        <w:pStyle w:val="Heading3"/>
        <w:numPr>
          <w:ilvl w:val="2"/>
          <w:numId w:val="2"/>
        </w:numPr>
        <w:spacing w:before="0" w:after="0"/>
        <w:ind w:hanging="731"/>
        <w:rPr>
          <w:rFonts w:cs="Times New Roman"/>
          <w:sz w:val="22"/>
          <w:szCs w:val="22"/>
          <w:lang w:val="sr-Cyrl-RS"/>
        </w:rPr>
      </w:pPr>
      <w:bookmarkStart w:id="125" w:name="_Toc158307739"/>
      <w:bookmarkStart w:id="126" w:name="_Hlk141036248"/>
      <w:r w:rsidRPr="00EF2F18">
        <w:rPr>
          <w:rFonts w:cs="Times New Roman"/>
          <w:sz w:val="22"/>
          <w:szCs w:val="22"/>
          <w:lang w:val="sr-Cyrl-RS"/>
        </w:rPr>
        <w:t>Смањење загађења животне средине са фокусом на квалитет ваздуха</w:t>
      </w:r>
      <w:bookmarkEnd w:id="125"/>
    </w:p>
    <w:p w14:paraId="7ED3855F" w14:textId="13B08999" w:rsidR="00EC03D1" w:rsidRPr="00EF2F18" w:rsidRDefault="00EC03D1" w:rsidP="00425FCC">
      <w:pPr>
        <w:spacing w:after="0"/>
        <w:ind w:firstLine="720"/>
        <w:rPr>
          <w:rFonts w:cs="Times New Roman"/>
          <w:sz w:val="22"/>
          <w:lang w:val="sr-Cyrl-RS"/>
        </w:rPr>
      </w:pPr>
    </w:p>
    <w:p w14:paraId="0A0410D8" w14:textId="68BDDF53"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3.1: </w:t>
      </w:r>
      <w:r w:rsidR="00FA04F8" w:rsidRPr="00EF2F18">
        <w:rPr>
          <w:rFonts w:cs="Times New Roman"/>
          <w:b/>
          <w:bCs/>
          <w:color w:val="2E74B5" w:themeColor="accent1" w:themeShade="BF"/>
          <w:sz w:val="22"/>
          <w:lang w:val="sr-Cyrl-RS"/>
        </w:rPr>
        <w:t>Побољшање квалитета ваздуха</w:t>
      </w:r>
    </w:p>
    <w:p w14:paraId="29C0DAD5" w14:textId="77777777" w:rsidR="00753384" w:rsidRDefault="00753384" w:rsidP="007C23EE">
      <w:pPr>
        <w:tabs>
          <w:tab w:val="left" w:pos="709"/>
        </w:tabs>
        <w:spacing w:after="0"/>
        <w:ind w:firstLine="720"/>
        <w:jc w:val="both"/>
        <w:rPr>
          <w:rFonts w:cs="Times New Roman"/>
          <w:sz w:val="22"/>
          <w:lang w:val="sr-Cyrl-RS"/>
        </w:rPr>
      </w:pPr>
    </w:p>
    <w:p w14:paraId="327657B5" w14:textId="73CD65A2" w:rsidR="007C23EE" w:rsidRPr="00EF2F18" w:rsidRDefault="007C23EE" w:rsidP="007C23EE">
      <w:pPr>
        <w:tabs>
          <w:tab w:val="left" w:pos="709"/>
        </w:tabs>
        <w:spacing w:after="0"/>
        <w:ind w:firstLine="720"/>
        <w:jc w:val="both"/>
        <w:rPr>
          <w:rFonts w:cs="Times New Roman"/>
          <w:sz w:val="22"/>
          <w:lang w:val="sr-Cyrl-RS"/>
        </w:rPr>
      </w:pPr>
      <w:r w:rsidRPr="00EF2F18">
        <w:rPr>
          <w:rFonts w:cs="Times New Roman"/>
          <w:sz w:val="22"/>
          <w:lang w:val="sr-Cyrl-RS"/>
        </w:rPr>
        <w:t>У циљу смањења штетних утицаја на здравље услед излагања ваздуху лошег квалитета,</w:t>
      </w:r>
      <w:r w:rsidR="006C2E00" w:rsidRPr="00EF2F18">
        <w:rPr>
          <w:rFonts w:cs="Times New Roman"/>
          <w:sz w:val="22"/>
          <w:lang w:val="sr-Cyrl-RS"/>
        </w:rPr>
        <w:t xml:space="preserve"> </w:t>
      </w:r>
      <w:r w:rsidRPr="00EF2F18">
        <w:rPr>
          <w:rFonts w:cs="Times New Roman"/>
          <w:sz w:val="22"/>
          <w:lang w:val="sr-Cyrl-RS"/>
        </w:rPr>
        <w:t>смањењем излагања загађењу ваздуха, усклађивањем са регулаторним ограничењима прописаним у ЕУ за загађење ваздуха, и ограничавањем штетних утицаја на екосистеме, Република Србија треба значајно да смањи емисије SO</w:t>
      </w:r>
      <w:r w:rsidRPr="00EF2F18">
        <w:rPr>
          <w:rFonts w:cs="Times New Roman"/>
          <w:sz w:val="22"/>
          <w:vertAlign w:val="subscript"/>
          <w:lang w:val="sr-Cyrl-RS"/>
        </w:rPr>
        <w:t>2</w:t>
      </w:r>
      <w:r w:rsidRPr="00EF2F18">
        <w:rPr>
          <w:rFonts w:cs="Times New Roman"/>
          <w:sz w:val="22"/>
          <w:lang w:val="sr-Cyrl-RS"/>
        </w:rPr>
        <w:t>, NOx, PM10 и PM2.5</w:t>
      </w:r>
      <w:r w:rsidRPr="00EF2F18">
        <w:rPr>
          <w:rStyle w:val="FootnoteReference"/>
          <w:rFonts w:cs="Times New Roman"/>
          <w:sz w:val="22"/>
          <w:lang w:val="sr-Cyrl-RS"/>
        </w:rPr>
        <w:footnoteReference w:id="19"/>
      </w:r>
      <w:r w:rsidRPr="00EF2F18">
        <w:rPr>
          <w:rFonts w:cs="Times New Roman"/>
          <w:sz w:val="22"/>
          <w:lang w:val="sr-Cyrl-RS"/>
        </w:rPr>
        <w:t xml:space="preserve">. </w:t>
      </w:r>
    </w:p>
    <w:p w14:paraId="490DE860" w14:textId="33B97792" w:rsidR="007C23EE" w:rsidRPr="00EF2F18" w:rsidRDefault="007C23EE" w:rsidP="007C23EE">
      <w:pPr>
        <w:tabs>
          <w:tab w:val="left" w:pos="709"/>
        </w:tabs>
        <w:spacing w:after="0"/>
        <w:ind w:firstLine="720"/>
        <w:jc w:val="both"/>
        <w:rPr>
          <w:rFonts w:cs="Times New Roman"/>
          <w:sz w:val="22"/>
          <w:lang w:val="sr-Cyrl-RS" w:eastAsia="en-GB"/>
        </w:rPr>
      </w:pPr>
      <w:r w:rsidRPr="00EF2F18">
        <w:rPr>
          <w:rFonts w:cs="Times New Roman"/>
          <w:sz w:val="22"/>
          <w:lang w:val="sr-Cyrl-RS"/>
        </w:rPr>
        <w:t>Спровођење овог циља базирано је на одредбама</w:t>
      </w:r>
      <w:r w:rsidRPr="00EF2F18">
        <w:rPr>
          <w:rFonts w:eastAsia="Calibri" w:cs="Times New Roman"/>
          <w:sz w:val="22"/>
          <w:lang w:val="sr-Cyrl-RS"/>
        </w:rPr>
        <w:t xml:space="preserve"> Директиве о еко-дизајну и две сродне Уредбе: Уредбe (ЕУ) 2015/1185 којом се имплементира Директива 2009/125/ЕС о захтевима еко-дизајна за локалне грејаче простора на чврсто гориво и Уредбе (ЕУ) 2015/1189 којом се имплементира Директива 2009/125/ЕС о захтевима еко-дизајна за котлове на чврсто гориво, као и </w:t>
      </w:r>
      <w:r w:rsidRPr="00EF2F18">
        <w:rPr>
          <w:rFonts w:cs="Times New Roman"/>
          <w:sz w:val="22"/>
          <w:lang w:val="sr-Cyrl-RS" w:eastAsia="en-GB"/>
        </w:rPr>
        <w:t>Директиве 2010/75/EУ о индустријским емисијама, односно Поглавља II за велика индустријска постројења.</w:t>
      </w:r>
    </w:p>
    <w:p w14:paraId="35987AD3" w14:textId="77777777" w:rsidR="007C23EE" w:rsidRPr="00EF2F18" w:rsidRDefault="007C23EE" w:rsidP="007C23EE">
      <w:pPr>
        <w:spacing w:after="0"/>
        <w:ind w:firstLine="720"/>
        <w:jc w:val="both"/>
        <w:rPr>
          <w:sz w:val="22"/>
          <w:lang w:val="sr-Cyrl-RS"/>
        </w:rPr>
      </w:pPr>
      <w:r w:rsidRPr="00EF2F18">
        <w:rPr>
          <w:rFonts w:eastAsia="Calibri" w:cs="Times New Roman"/>
          <w:sz w:val="22"/>
          <w:lang w:val="sr-Cyrl-RS"/>
        </w:rPr>
        <w:t xml:space="preserve">Овај посебан циљ доприноси реализацији ЦОР 11 који </w:t>
      </w:r>
      <w:r w:rsidRPr="00EF2F18">
        <w:rPr>
          <w:sz w:val="22"/>
          <w:lang w:val="sr-Cyrl-RS"/>
        </w:rPr>
        <w:t>дефинише потребне кораке како би се градови и људска насеља учинили инклузивним, безбедним, отпорним и одрживим, нарочито реализацији потциља 11.6. којим се налаже смањивање негативног утицаја градова на животну средину.</w:t>
      </w:r>
    </w:p>
    <w:p w14:paraId="35ACC339" w14:textId="0BF3FD52" w:rsidR="007C23EE" w:rsidRPr="00EF2F18" w:rsidRDefault="007C23EE" w:rsidP="007C23EE">
      <w:pPr>
        <w:spacing w:after="0"/>
        <w:ind w:firstLine="720"/>
        <w:jc w:val="both"/>
        <w:rPr>
          <w:rFonts w:cs="Times New Roman"/>
          <w:sz w:val="22"/>
          <w:lang w:val="sr-Cyrl-RS"/>
        </w:rPr>
      </w:pPr>
      <w:r w:rsidRPr="00EF2F18">
        <w:rPr>
          <w:rFonts w:cs="Times New Roman"/>
          <w:sz w:val="22"/>
          <w:lang w:val="sr-Cyrl-RS"/>
        </w:rPr>
        <w:t xml:space="preserve">Обзиром да је смањење загађења базирано и на побољшању енергетске ефикасности кроз побољшање изолације објеката у приватном и јавном сектору, и да су одговарајуће мере већ прописане политиком енергетске ефикасности Министарства заштите животне средине и Министарства рударства и енергетике, потребно је ове мере додатно промовисати, а посебно у градовима који имају трећу категорију квалитета ваздуха. </w:t>
      </w:r>
    </w:p>
    <w:p w14:paraId="3FCA41FD" w14:textId="77777777" w:rsidR="007C23EE" w:rsidRPr="00EF2F18" w:rsidRDefault="007C23EE" w:rsidP="007C23EE">
      <w:pPr>
        <w:tabs>
          <w:tab w:val="left" w:pos="709"/>
        </w:tabs>
        <w:spacing w:after="0"/>
        <w:ind w:firstLine="720"/>
        <w:jc w:val="both"/>
        <w:rPr>
          <w:rFonts w:eastAsia="Calibri" w:cs="Times New Roman"/>
          <w:sz w:val="22"/>
          <w:lang w:val="sr-Cyrl-RS"/>
        </w:rPr>
      </w:pPr>
      <w:r w:rsidRPr="00EF2F18">
        <w:rPr>
          <w:rFonts w:eastAsia="Calibri" w:cs="Times New Roman"/>
          <w:sz w:val="22"/>
          <w:lang w:val="sr-Cyrl-RS"/>
        </w:rPr>
        <w:t>Даље, у циљу смањења емисија загађујућих материја из друмског саобраћаја (највише NOx и PM) кроз побољшање карактеристика возног парка, спровођење посебног циља подразумева усаглашавање са Директивом ЕУ 2284/2016.</w:t>
      </w:r>
    </w:p>
    <w:p w14:paraId="0C4AF4CC" w14:textId="258961E1" w:rsidR="00897E93" w:rsidRPr="00EF2F18" w:rsidRDefault="007C23EE" w:rsidP="00897E93">
      <w:pPr>
        <w:spacing w:after="0"/>
        <w:ind w:firstLine="720"/>
        <w:jc w:val="both"/>
        <w:rPr>
          <w:rFonts w:cs="Times New Roman"/>
          <w:sz w:val="22"/>
          <w:lang w:val="sr-Cyrl-RS"/>
        </w:rPr>
      </w:pPr>
      <w:r w:rsidRPr="00EF2F18">
        <w:rPr>
          <w:rFonts w:eastAsia="Calibri" w:cs="Times New Roman"/>
          <w:sz w:val="22"/>
          <w:lang w:val="sr-Cyrl-RS"/>
        </w:rPr>
        <w:lastRenderedPageBreak/>
        <w:t>Овим посебним циљем обухваћене су и активности усклађивања националног законодавства са Директивом (ЕУ) 2015/2193 о ограничавању емисија одређених загађујућих материја из средњих постројења за сагоревање, топлотног капацитета 1 до 50 MW, и спровођења одговарајућих мера у циљу увођења техника смањења емисија SO</w:t>
      </w:r>
      <w:r w:rsidRPr="00EF2F18">
        <w:rPr>
          <w:rFonts w:eastAsia="Calibri" w:cs="Times New Roman"/>
          <w:sz w:val="22"/>
          <w:vertAlign w:val="subscript"/>
          <w:lang w:val="sr-Cyrl-RS"/>
        </w:rPr>
        <w:t>2</w:t>
      </w:r>
      <w:r w:rsidRPr="00EF2F18">
        <w:rPr>
          <w:rFonts w:eastAsia="Calibri" w:cs="Times New Roman"/>
          <w:sz w:val="22"/>
          <w:lang w:val="sr-Cyrl-RS"/>
        </w:rPr>
        <w:t>, NОx и PM како би се ова постројења довела у граничне вредности емисије из Директиве</w:t>
      </w:r>
      <w:r w:rsidR="00897E93" w:rsidRPr="00EF2F18">
        <w:rPr>
          <w:sz w:val="22"/>
          <w:lang w:val="sr-Cyrl-RS"/>
        </w:rPr>
        <w:t>.</w:t>
      </w:r>
    </w:p>
    <w:p w14:paraId="70085FAA" w14:textId="77777777" w:rsidR="00897E93" w:rsidRPr="00EF2F18" w:rsidRDefault="00897E93" w:rsidP="002279EB">
      <w:pPr>
        <w:tabs>
          <w:tab w:val="left" w:pos="709"/>
        </w:tabs>
        <w:spacing w:after="0"/>
        <w:ind w:firstLine="720"/>
        <w:jc w:val="both"/>
        <w:rPr>
          <w:rFonts w:eastAsia="Calibri" w:cs="Times New Roman"/>
          <w:sz w:val="22"/>
          <w:lang w:val="sr-Cyrl-RS"/>
        </w:rPr>
      </w:pPr>
    </w:p>
    <w:p w14:paraId="3FE7ABD3" w14:textId="227CC19E"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3.1.1. </w:t>
      </w:r>
      <w:r w:rsidR="00843A89" w:rsidRPr="00EF2F18">
        <w:rPr>
          <w:rFonts w:cs="Times New Roman"/>
          <w:b/>
          <w:bCs/>
          <w:sz w:val="22"/>
          <w:lang w:val="sr-Cyrl-RS" w:eastAsia="en-GB"/>
        </w:rPr>
        <w:t xml:space="preserve">Бржа замена постојећих уређаја за грејање у домаћинствима новим уређајима који испуњавају захтеве Директиве о еко-дизајну уз финансијске подстицаје </w:t>
      </w:r>
    </w:p>
    <w:p w14:paraId="4F5B7210" w14:textId="77777777" w:rsidR="00D83673" w:rsidRPr="00EF2F18" w:rsidRDefault="00D83673" w:rsidP="00F4310A">
      <w:pPr>
        <w:tabs>
          <w:tab w:val="left" w:pos="709"/>
        </w:tabs>
        <w:spacing w:after="0"/>
        <w:ind w:firstLine="720"/>
        <w:jc w:val="both"/>
        <w:rPr>
          <w:rFonts w:eastAsia="Calibri" w:cs="Times New Roman"/>
          <w:sz w:val="22"/>
          <w:lang w:val="sr-Cyrl-RS"/>
        </w:rPr>
      </w:pPr>
    </w:p>
    <w:p w14:paraId="28095298" w14:textId="794B0DC0" w:rsidR="00F4310A" w:rsidRPr="00EF2F18" w:rsidRDefault="00843A89" w:rsidP="00F4310A">
      <w:pPr>
        <w:tabs>
          <w:tab w:val="left" w:pos="709"/>
        </w:tabs>
        <w:spacing w:after="0"/>
        <w:ind w:firstLine="720"/>
        <w:jc w:val="both"/>
        <w:rPr>
          <w:rFonts w:eastAsia="Calibri" w:cs="Times New Roman"/>
          <w:sz w:val="22"/>
          <w:lang w:val="sr-Cyrl-RS"/>
        </w:rPr>
      </w:pPr>
      <w:r w:rsidRPr="00EF2F18">
        <w:rPr>
          <w:rFonts w:eastAsia="Calibri" w:cs="Times New Roman"/>
          <w:sz w:val="22"/>
          <w:lang w:val="sr-Cyrl-RS"/>
        </w:rPr>
        <w:t xml:space="preserve">Нови уређаји који се стављају на тржиште морају да испуњавају </w:t>
      </w:r>
      <w:r w:rsidR="00D96163" w:rsidRPr="00EF2F18">
        <w:rPr>
          <w:rFonts w:eastAsia="Calibri" w:cs="Times New Roman"/>
          <w:sz w:val="22"/>
          <w:lang w:val="sr-Cyrl-RS"/>
        </w:rPr>
        <w:t xml:space="preserve">захтеве </w:t>
      </w:r>
      <w:r w:rsidR="00A00FDD" w:rsidRPr="00EF2F18">
        <w:rPr>
          <w:rFonts w:eastAsia="Calibri" w:cs="Times New Roman"/>
          <w:sz w:val="22"/>
          <w:lang w:val="sr-Cyrl-RS"/>
        </w:rPr>
        <w:t xml:space="preserve">Уредбe (ЕУ) 2015/1185 и Уредбе (ЕУ) 2015/1189 </w:t>
      </w:r>
      <w:r w:rsidRPr="00EF2F18">
        <w:rPr>
          <w:rFonts w:eastAsia="Calibri" w:cs="Times New Roman"/>
          <w:sz w:val="22"/>
          <w:lang w:val="sr-Cyrl-RS"/>
        </w:rPr>
        <w:t xml:space="preserve">којима се имплементирају граничне вредности емисије за неколико загађујућих материја (PM, NOx, VOC) и параметре енергетске ефикасности за нове уређаје. Дакле, нови уређаји који се произведу или увезу у </w:t>
      </w:r>
      <w:r w:rsidR="0084504E" w:rsidRPr="00EF2F18">
        <w:rPr>
          <w:rFonts w:cs="Times New Roman"/>
          <w:sz w:val="22"/>
          <w:lang w:val="sr-Cyrl-RS"/>
        </w:rPr>
        <w:t xml:space="preserve">Републику </w:t>
      </w:r>
      <w:r w:rsidRPr="00EF2F18">
        <w:rPr>
          <w:rFonts w:eastAsia="Calibri" w:cs="Times New Roman"/>
          <w:sz w:val="22"/>
          <w:lang w:val="sr-Cyrl-RS"/>
        </w:rPr>
        <w:t>Србију морају</w:t>
      </w:r>
      <w:r w:rsidR="00880E07" w:rsidRPr="00EF2F18">
        <w:rPr>
          <w:rFonts w:eastAsia="Calibri" w:cs="Times New Roman"/>
          <w:sz w:val="22"/>
          <w:lang w:val="sr-Cyrl-RS"/>
        </w:rPr>
        <w:t>,</w:t>
      </w:r>
      <w:r w:rsidRPr="00EF2F18">
        <w:rPr>
          <w:rFonts w:eastAsia="Calibri" w:cs="Times New Roman"/>
          <w:sz w:val="22"/>
          <w:lang w:val="sr-Cyrl-RS"/>
        </w:rPr>
        <w:t xml:space="preserve"> најмање</w:t>
      </w:r>
      <w:r w:rsidR="00880E07" w:rsidRPr="00EF2F18">
        <w:rPr>
          <w:rFonts w:eastAsia="Calibri" w:cs="Times New Roman"/>
          <w:sz w:val="22"/>
          <w:lang w:val="sr-Cyrl-RS"/>
        </w:rPr>
        <w:t>,</w:t>
      </w:r>
      <w:r w:rsidRPr="00EF2F18">
        <w:rPr>
          <w:rFonts w:eastAsia="Calibri" w:cs="Times New Roman"/>
          <w:sz w:val="22"/>
          <w:lang w:val="sr-Cyrl-RS"/>
        </w:rPr>
        <w:t xml:space="preserve"> бити у складу са новим граничним вредностима емисије. Ове граничне вредности контролишу се на нивоу производног процеса, не на локацијама на којима се користе</w:t>
      </w:r>
      <w:r w:rsidR="00F4310A" w:rsidRPr="00EF2F18">
        <w:rPr>
          <w:rFonts w:eastAsia="Calibri" w:cs="Times New Roman"/>
          <w:sz w:val="22"/>
          <w:lang w:val="sr-Cyrl-RS"/>
        </w:rPr>
        <w:t xml:space="preserve"> (мера је базирана на мерама МП_Д29-31, МП_ЕЕ3 </w:t>
      </w:r>
      <w:r w:rsidR="00F4310A" w:rsidRPr="00EF2F18">
        <w:rPr>
          <w:rFonts w:cs="Times New Roman"/>
          <w:sz w:val="22"/>
          <w:lang w:val="sr-Cyrl-RS"/>
        </w:rPr>
        <w:t xml:space="preserve">Интегрисаног националног енергетског и климатског плана Републике Србије за период до 2030. године са </w:t>
      </w:r>
      <w:r w:rsidR="00F4310A" w:rsidRPr="00EF2F18">
        <w:rPr>
          <w:rStyle w:val="cf01"/>
          <w:rFonts w:ascii="Times New Roman" w:hAnsi="Times New Roman" w:cs="Times New Roman"/>
          <w:sz w:val="22"/>
          <w:lang w:val="sr-Cyrl-RS"/>
        </w:rPr>
        <w:t xml:space="preserve">визијом </w:t>
      </w:r>
      <w:r w:rsidR="00F4310A" w:rsidRPr="00EF2F18">
        <w:rPr>
          <w:rFonts w:cs="Times New Roman"/>
          <w:sz w:val="22"/>
          <w:lang w:val="sr-Cyrl-RS"/>
        </w:rPr>
        <w:t xml:space="preserve">до 2050. године, </w:t>
      </w:r>
      <w:r w:rsidR="00F4310A" w:rsidRPr="00EF2F18">
        <w:rPr>
          <w:rFonts w:eastAsia="Calibri" w:cs="Times New Roman"/>
          <w:sz w:val="22"/>
          <w:lang w:val="sr-Cyrl-RS"/>
        </w:rPr>
        <w:t>који дефинише мере политике у области грејања и хлађења.</w:t>
      </w:r>
    </w:p>
    <w:p w14:paraId="35B7880F" w14:textId="5236EE85" w:rsidR="00491EBE" w:rsidRPr="00EF2F18" w:rsidRDefault="00843A89" w:rsidP="004837E7">
      <w:pPr>
        <w:tabs>
          <w:tab w:val="left" w:pos="709"/>
        </w:tabs>
        <w:spacing w:after="0"/>
        <w:ind w:firstLine="720"/>
        <w:jc w:val="both"/>
        <w:rPr>
          <w:rFonts w:eastAsia="Calibri" w:cs="Times New Roman"/>
          <w:sz w:val="22"/>
          <w:lang w:val="sr-Cyrl-RS"/>
        </w:rPr>
      </w:pPr>
      <w:r w:rsidRPr="00EF2F18">
        <w:rPr>
          <w:rFonts w:eastAsia="Calibri" w:cs="Times New Roman"/>
          <w:sz w:val="22"/>
          <w:lang w:val="sr-Cyrl-RS"/>
        </w:rPr>
        <w:t xml:space="preserve">Јавна финансијска подршка је развијена ради обезбеђивања брже замене старих уређаја у </w:t>
      </w:r>
      <w:r w:rsidR="00C507C1" w:rsidRPr="00EF2F18">
        <w:rPr>
          <w:rFonts w:eastAsia="Calibri" w:cs="Times New Roman"/>
          <w:sz w:val="22"/>
          <w:lang w:val="sr-Cyrl-RS"/>
        </w:rPr>
        <w:t>Републици</w:t>
      </w:r>
      <w:r w:rsidRPr="00EF2F18">
        <w:rPr>
          <w:rFonts w:eastAsia="Calibri" w:cs="Times New Roman"/>
          <w:sz w:val="22"/>
          <w:lang w:val="sr-Cyrl-RS"/>
        </w:rPr>
        <w:t xml:space="preserve"> Србији. </w:t>
      </w:r>
      <w:r w:rsidR="004837E7" w:rsidRPr="00EF2F18">
        <w:rPr>
          <w:rFonts w:eastAsia="Calibri" w:cs="Times New Roman"/>
          <w:sz w:val="22"/>
          <w:lang w:val="sr-Cyrl-RS"/>
        </w:rPr>
        <w:t>У поређењу са природном стопом замене од 5% годишње, ова стопа се најмање удвостручава финансијским подстицајима од 2026. године. Приоритет</w:t>
      </w:r>
      <w:r w:rsidRPr="00EF2F18">
        <w:rPr>
          <w:rFonts w:eastAsia="Calibri" w:cs="Times New Roman"/>
          <w:sz w:val="22"/>
          <w:lang w:val="sr-Cyrl-RS"/>
        </w:rPr>
        <w:t xml:space="preserve"> је стављен на пет градова у којима је потребно брже извршити замену у поређењу са оста</w:t>
      </w:r>
      <w:r w:rsidR="004837E7" w:rsidRPr="00EF2F18">
        <w:rPr>
          <w:rFonts w:eastAsia="Calibri" w:cs="Times New Roman"/>
          <w:sz w:val="22"/>
          <w:lang w:val="sr-Cyrl-RS"/>
        </w:rPr>
        <w:t>лим локалним самоуправама</w:t>
      </w:r>
      <w:r w:rsidRPr="00EF2F18">
        <w:rPr>
          <w:rFonts w:eastAsia="Calibri" w:cs="Times New Roman"/>
          <w:sz w:val="22"/>
          <w:lang w:val="sr-Cyrl-RS"/>
        </w:rPr>
        <w:t>, а с циљем обезбеђивања усаглашености са граничним вредностима емисија PM10 и PM2.5 и постизањ</w:t>
      </w:r>
      <w:r w:rsidR="00880E07" w:rsidRPr="00EF2F18">
        <w:rPr>
          <w:rFonts w:eastAsia="Calibri" w:cs="Times New Roman"/>
          <w:sz w:val="22"/>
          <w:lang w:val="sr-Cyrl-RS"/>
        </w:rPr>
        <w:t>а</w:t>
      </w:r>
      <w:r w:rsidRPr="00EF2F18">
        <w:rPr>
          <w:rFonts w:eastAsia="Calibri" w:cs="Times New Roman"/>
          <w:sz w:val="22"/>
          <w:lang w:val="sr-Cyrl-RS"/>
        </w:rPr>
        <w:t xml:space="preserve"> одговарајућег квалитета ваздуха 2030. године. Степен смањења емисија суспендованих честица у овим градовима мора бити већи него у осталим деловима Републике Србије. Смањења емисија суспендованих честица потребна за осигурање усаглашености са граничним вредностима емисије за квалитет ваздуха су, у поређењу са 2015. годином, следећа: Београд: -56%; Крагујевац: -54%; Ниш: -73%; Ваљево: -73%; Ужице: -81%; остали део Републике Србије: -46%.</w:t>
      </w:r>
    </w:p>
    <w:p w14:paraId="50304F38" w14:textId="5FD87F17" w:rsidR="00E278A5" w:rsidRPr="00EF2F18" w:rsidRDefault="00E278A5" w:rsidP="004837E7">
      <w:pPr>
        <w:tabs>
          <w:tab w:val="left" w:pos="709"/>
        </w:tabs>
        <w:spacing w:after="0"/>
        <w:ind w:firstLine="720"/>
        <w:jc w:val="both"/>
        <w:rPr>
          <w:rFonts w:eastAsia="Calibri" w:cs="Times New Roman"/>
          <w:sz w:val="22"/>
          <w:lang w:val="sr-Cyrl-RS"/>
        </w:rPr>
      </w:pPr>
      <w:r w:rsidRPr="00EF2F18">
        <w:rPr>
          <w:rFonts w:eastAsia="Calibri" w:cs="Times New Roman"/>
          <w:sz w:val="22"/>
          <w:lang w:val="sr-Cyrl-RS"/>
        </w:rPr>
        <w:t>Ради праћења утицаја загађе</w:t>
      </w:r>
      <w:r w:rsidR="00F42484" w:rsidRPr="00EF2F18">
        <w:rPr>
          <w:rFonts w:eastAsia="Calibri" w:cs="Times New Roman"/>
          <w:sz w:val="22"/>
          <w:lang w:val="sr-Cyrl-RS"/>
        </w:rPr>
        <w:t>ног</w:t>
      </w:r>
      <w:r w:rsidRPr="00EF2F18">
        <w:rPr>
          <w:rFonts w:eastAsia="Calibri" w:cs="Times New Roman"/>
          <w:sz w:val="22"/>
          <w:lang w:val="sr-Cyrl-RS"/>
        </w:rPr>
        <w:t xml:space="preserve"> ваздуха на здравље, у оквиру ове мере потребно је успостављање система за праћење респираторних и других болести узрокованих аерозагађењем код деце и одраслих и формирање базе података.</w:t>
      </w:r>
      <w:r w:rsidR="00F42484" w:rsidRPr="00EF2F18">
        <w:rPr>
          <w:rFonts w:eastAsia="Calibri" w:cs="Times New Roman"/>
          <w:sz w:val="22"/>
          <w:lang w:val="sr-Cyrl-RS"/>
        </w:rPr>
        <w:t xml:space="preserve"> Такође је значајна и едукација о заштити и квалитету ваздуха, </w:t>
      </w:r>
      <w:r w:rsidR="0012718E" w:rsidRPr="00EF2F18">
        <w:rPr>
          <w:rFonts w:eastAsia="Calibri" w:cs="Times New Roman"/>
          <w:sz w:val="22"/>
          <w:lang w:val="sr-Cyrl-RS"/>
        </w:rPr>
        <w:t>информисања</w:t>
      </w:r>
      <w:r w:rsidR="00F42484" w:rsidRPr="00EF2F18">
        <w:rPr>
          <w:rFonts w:eastAsia="Calibri" w:cs="Times New Roman"/>
          <w:sz w:val="22"/>
          <w:lang w:val="sr-Cyrl-RS"/>
        </w:rPr>
        <w:t xml:space="preserve"> за подизање свести </w:t>
      </w:r>
      <w:r w:rsidR="0012718E" w:rsidRPr="00EF2F18">
        <w:rPr>
          <w:rFonts w:eastAsia="Calibri" w:cs="Times New Roman"/>
          <w:sz w:val="22"/>
          <w:lang w:val="sr-Cyrl-RS"/>
        </w:rPr>
        <w:t xml:space="preserve">јавности </w:t>
      </w:r>
      <w:r w:rsidR="00F42484" w:rsidRPr="00EF2F18">
        <w:rPr>
          <w:rFonts w:eastAsia="Calibri" w:cs="Times New Roman"/>
          <w:sz w:val="22"/>
          <w:lang w:val="sr-Cyrl-RS"/>
        </w:rPr>
        <w:t xml:space="preserve">о значају квалитета ваздуха отвореног и затвореног простора и припрема </w:t>
      </w:r>
      <w:r w:rsidR="0012718E" w:rsidRPr="00EF2F18">
        <w:rPr>
          <w:rFonts w:eastAsia="Calibri" w:cs="Times New Roman"/>
          <w:sz w:val="22"/>
          <w:lang w:val="sr-Cyrl-RS"/>
        </w:rPr>
        <w:t>брошура</w:t>
      </w:r>
      <w:r w:rsidR="00F42484" w:rsidRPr="00EF2F18">
        <w:rPr>
          <w:rFonts w:eastAsia="Calibri" w:cs="Times New Roman"/>
          <w:sz w:val="22"/>
          <w:lang w:val="sr-Cyrl-RS"/>
        </w:rPr>
        <w:t xml:space="preserve"> о утицајима загађеног ваздуха на здравље</w:t>
      </w:r>
      <w:r w:rsidR="0012718E" w:rsidRPr="00EF2F18">
        <w:rPr>
          <w:rFonts w:eastAsia="Calibri" w:cs="Times New Roman"/>
          <w:sz w:val="22"/>
          <w:lang w:val="sr-Cyrl-RS"/>
        </w:rPr>
        <w:t xml:space="preserve"> и препорука за поступање. </w:t>
      </w:r>
    </w:p>
    <w:p w14:paraId="1069061B" w14:textId="25243132"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рударства и енергетике</w:t>
      </w:r>
      <w:r w:rsidR="008323E8"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281BE69E" w14:textId="7AB2C18D"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финансија, </w:t>
      </w:r>
      <w:r w:rsidR="00E278A5" w:rsidRPr="00EF2F18">
        <w:rPr>
          <w:rFonts w:cs="Times New Roman"/>
          <w:sz w:val="22"/>
          <w:lang w:val="sr-Cyrl-RS" w:eastAsia="en-GB"/>
        </w:rPr>
        <w:t>Министарство здравља, заводи за јавно здравље,</w:t>
      </w:r>
      <w:r w:rsidRPr="00EF2F18">
        <w:rPr>
          <w:rFonts w:cs="Times New Roman"/>
          <w:sz w:val="22"/>
          <w:lang w:val="sr-Cyrl-RS" w:eastAsia="en-GB"/>
        </w:rPr>
        <w:t xml:space="preserve"> </w:t>
      </w:r>
      <w:r w:rsidR="008323E8" w:rsidRPr="00EF2F18">
        <w:rPr>
          <w:rFonts w:cs="Times New Roman"/>
          <w:sz w:val="22"/>
          <w:lang w:val="sr-Cyrl-RS" w:eastAsia="en-GB"/>
        </w:rPr>
        <w:t>Агенција за заштиту животне средине, јединице локалне самоуправе</w:t>
      </w:r>
      <w:r w:rsidR="00880E07" w:rsidRPr="00EF2F18">
        <w:rPr>
          <w:rFonts w:cs="Times New Roman"/>
          <w:sz w:val="22"/>
          <w:lang w:val="sr-Cyrl-RS" w:eastAsia="en-GB"/>
        </w:rPr>
        <w:t>,</w:t>
      </w:r>
      <w:r w:rsidRPr="00EF2F18">
        <w:rPr>
          <w:rFonts w:cs="Times New Roman"/>
          <w:sz w:val="22"/>
          <w:lang w:val="sr-Cyrl-RS" w:eastAsia="en-GB"/>
        </w:rPr>
        <w:t xml:space="preserve"> и Тела за процену усаглашености</w:t>
      </w:r>
      <w:r w:rsidR="00891D8A" w:rsidRPr="00EF2F18">
        <w:rPr>
          <w:rFonts w:cs="Times New Roman"/>
          <w:sz w:val="22"/>
          <w:lang w:val="sr-Cyrl-RS" w:eastAsia="en-GB"/>
        </w:rPr>
        <w:t>.</w:t>
      </w:r>
    </w:p>
    <w:p w14:paraId="516B06B3" w14:textId="443D12A9"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CB5259" w:rsidRPr="00EF2F18">
        <w:rPr>
          <w:rFonts w:cs="Times New Roman"/>
          <w:sz w:val="22"/>
          <w:lang w:val="sr-Cyrl-RS" w:eastAsia="en-GB"/>
        </w:rPr>
        <w:t>подстицајна</w:t>
      </w:r>
      <w:r w:rsidR="00891D8A" w:rsidRPr="00EF2F18">
        <w:rPr>
          <w:rFonts w:cs="Times New Roman"/>
          <w:sz w:val="22"/>
          <w:lang w:val="sr-Cyrl-RS" w:eastAsia="en-GB"/>
        </w:rPr>
        <w:t>.</w:t>
      </w:r>
    </w:p>
    <w:p w14:paraId="01D6D3A5" w14:textId="6D320AC2" w:rsidR="00D83673" w:rsidRPr="00EF2F18" w:rsidRDefault="00D83673" w:rsidP="00425FCC">
      <w:pPr>
        <w:spacing w:after="0"/>
        <w:ind w:firstLine="720"/>
        <w:jc w:val="both"/>
        <w:rPr>
          <w:rFonts w:cs="Times New Roman"/>
          <w:sz w:val="22"/>
          <w:lang w:val="sr-Cyrl-RS" w:eastAsia="en-GB"/>
        </w:rPr>
      </w:pPr>
    </w:p>
    <w:p w14:paraId="7C92D2D9" w14:textId="77777777" w:rsidR="00D83673" w:rsidRPr="00EF2F18" w:rsidRDefault="00D83673" w:rsidP="00425FCC">
      <w:pPr>
        <w:spacing w:after="0"/>
        <w:ind w:firstLine="720"/>
        <w:jc w:val="both"/>
        <w:rPr>
          <w:rFonts w:cs="Times New Roman"/>
          <w:sz w:val="22"/>
          <w:lang w:val="sr-Cyrl-RS" w:eastAsia="en-GB"/>
        </w:rPr>
      </w:pPr>
    </w:p>
    <w:p w14:paraId="1EEDE601" w14:textId="4E345515"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3.1.2. </w:t>
      </w:r>
      <w:r w:rsidR="00843A89" w:rsidRPr="00EF2F18">
        <w:rPr>
          <w:rFonts w:cs="Times New Roman"/>
          <w:b/>
          <w:bCs/>
          <w:sz w:val="22"/>
          <w:lang w:val="sr-Cyrl-RS" w:eastAsia="en-GB"/>
        </w:rPr>
        <w:t xml:space="preserve">Спровођење најмање </w:t>
      </w:r>
      <w:r w:rsidR="00BF7D0B" w:rsidRPr="00EF2F18">
        <w:rPr>
          <w:rFonts w:cs="Times New Roman"/>
          <w:b/>
          <w:bCs/>
          <w:sz w:val="22"/>
          <w:lang w:val="sr-Cyrl-RS" w:eastAsia="en-GB"/>
        </w:rPr>
        <w:t xml:space="preserve">ЕУРО </w:t>
      </w:r>
      <w:r w:rsidR="00843A89" w:rsidRPr="00EF2F18">
        <w:rPr>
          <w:rFonts w:cs="Times New Roman"/>
          <w:b/>
          <w:bCs/>
          <w:sz w:val="22"/>
          <w:lang w:val="sr-Cyrl-RS" w:eastAsia="en-GB"/>
        </w:rPr>
        <w:t xml:space="preserve">стандарда за половна увезена возила: </w:t>
      </w:r>
      <w:r w:rsidR="00BF7D0B" w:rsidRPr="00EF2F18">
        <w:rPr>
          <w:rFonts w:cs="Times New Roman"/>
          <w:b/>
          <w:bCs/>
          <w:sz w:val="22"/>
          <w:lang w:val="sr-Cyrl-RS"/>
        </w:rPr>
        <w:t xml:space="preserve">ЕУРО </w:t>
      </w:r>
      <w:r w:rsidR="00843A89" w:rsidRPr="00EF2F18">
        <w:rPr>
          <w:rFonts w:cs="Times New Roman"/>
          <w:b/>
          <w:bCs/>
          <w:sz w:val="22"/>
          <w:lang w:val="sr-Cyrl-RS" w:eastAsia="en-GB"/>
        </w:rPr>
        <w:t xml:space="preserve">5/V од 1. јануара 2024. и </w:t>
      </w:r>
      <w:r w:rsidR="00BF7D0B" w:rsidRPr="00EF2F18">
        <w:rPr>
          <w:rFonts w:cs="Times New Roman"/>
          <w:b/>
          <w:bCs/>
          <w:sz w:val="22"/>
          <w:lang w:val="sr-Cyrl-RS"/>
        </w:rPr>
        <w:t xml:space="preserve">ЕУРО </w:t>
      </w:r>
      <w:r w:rsidR="00843A89" w:rsidRPr="00EF2F18">
        <w:rPr>
          <w:rFonts w:cs="Times New Roman"/>
          <w:b/>
          <w:bCs/>
          <w:sz w:val="22"/>
          <w:lang w:val="sr-Cyrl-RS" w:eastAsia="en-GB"/>
        </w:rPr>
        <w:t>6/VI од 1. јануара 2025. године</w:t>
      </w:r>
    </w:p>
    <w:p w14:paraId="1B81823B" w14:textId="77777777" w:rsidR="00D83673" w:rsidRPr="00EF2F18" w:rsidRDefault="00D83673" w:rsidP="00425FCC">
      <w:pPr>
        <w:tabs>
          <w:tab w:val="left" w:pos="709"/>
        </w:tabs>
        <w:spacing w:after="0"/>
        <w:ind w:firstLine="720"/>
        <w:jc w:val="both"/>
        <w:rPr>
          <w:rFonts w:eastAsia="Calibri" w:cs="Times New Roman"/>
          <w:sz w:val="22"/>
          <w:lang w:val="sr-Cyrl-RS"/>
        </w:rPr>
      </w:pPr>
    </w:p>
    <w:p w14:paraId="2ACE2A88" w14:textId="27AFBA0E" w:rsidR="00843A89" w:rsidRPr="00EF2F18" w:rsidRDefault="00843A89" w:rsidP="00425FCC">
      <w:pPr>
        <w:tabs>
          <w:tab w:val="left" w:pos="709"/>
        </w:tabs>
        <w:spacing w:after="0"/>
        <w:ind w:firstLine="720"/>
        <w:jc w:val="both"/>
        <w:rPr>
          <w:rFonts w:eastAsia="Calibri" w:cs="Times New Roman"/>
          <w:sz w:val="22"/>
          <w:lang w:val="sr-Cyrl-RS"/>
        </w:rPr>
      </w:pPr>
      <w:r w:rsidRPr="00EF2F18">
        <w:rPr>
          <w:rFonts w:eastAsia="Calibri" w:cs="Times New Roman"/>
          <w:sz w:val="22"/>
          <w:lang w:val="sr-Cyrl-RS"/>
        </w:rPr>
        <w:t xml:space="preserve">Ова мера подразумева измену Уредбе о увозу моторних возила („Службени гласник РС”, бр. 23/10 и 5/18) у циљу смањења емисија загађујућих материја из друмског саобраћаја (највише NOx и PM) кроз побољшање карактеристика возног парка. Као минимални стандарди за увоз половних возила, примењују се следећи стандарди: </w:t>
      </w:r>
    </w:p>
    <w:p w14:paraId="42C4C10F" w14:textId="77777777" w:rsidR="007C23EE" w:rsidRPr="00EF2F18" w:rsidRDefault="007C23EE" w:rsidP="00313E8E">
      <w:pPr>
        <w:pStyle w:val="ListParagraph"/>
        <w:numPr>
          <w:ilvl w:val="0"/>
          <w:numId w:val="24"/>
        </w:numPr>
        <w:tabs>
          <w:tab w:val="left" w:pos="1080"/>
        </w:tabs>
        <w:spacing w:after="0"/>
        <w:jc w:val="both"/>
        <w:rPr>
          <w:rFonts w:eastAsia="Calibri" w:cs="Times New Roman"/>
          <w:sz w:val="22"/>
          <w:lang w:val="sr-Cyrl-RS"/>
        </w:rPr>
      </w:pPr>
      <w:r w:rsidRPr="00EF2F18">
        <w:rPr>
          <w:rFonts w:cs="Times New Roman"/>
          <w:sz w:val="22"/>
          <w:lang w:val="sr-Cyrl-RS"/>
        </w:rPr>
        <w:t xml:space="preserve">ЕУРО </w:t>
      </w:r>
      <w:r w:rsidRPr="00EF2F18">
        <w:rPr>
          <w:rFonts w:eastAsia="Calibri" w:cs="Times New Roman"/>
          <w:sz w:val="22"/>
          <w:lang w:val="sr-Cyrl-RS"/>
        </w:rPr>
        <w:t xml:space="preserve">5 за путничка возила и теретна возила (изузев N3), односно </w:t>
      </w:r>
      <w:r w:rsidRPr="00EF2F18">
        <w:rPr>
          <w:rFonts w:cs="Times New Roman"/>
          <w:sz w:val="22"/>
          <w:lang w:val="sr-Cyrl-RS"/>
        </w:rPr>
        <w:t xml:space="preserve">ЕУРО </w:t>
      </w:r>
      <w:r w:rsidRPr="00EF2F18">
        <w:rPr>
          <w:rFonts w:eastAsia="Calibri" w:cs="Times New Roman"/>
          <w:sz w:val="22"/>
          <w:lang w:val="sr-Cyrl-RS"/>
        </w:rPr>
        <w:t xml:space="preserve">V од 1. јануара 2024. године, </w:t>
      </w:r>
    </w:p>
    <w:p w14:paraId="17D67921" w14:textId="112F377E" w:rsidR="008A5BFD" w:rsidRPr="00EF2F18" w:rsidRDefault="007C23EE" w:rsidP="00313E8E">
      <w:pPr>
        <w:pStyle w:val="ListParagraph"/>
        <w:numPr>
          <w:ilvl w:val="0"/>
          <w:numId w:val="24"/>
        </w:numPr>
        <w:tabs>
          <w:tab w:val="left" w:pos="1080"/>
        </w:tabs>
        <w:spacing w:after="0"/>
        <w:jc w:val="both"/>
        <w:rPr>
          <w:rFonts w:eastAsia="Calibri" w:cs="Times New Roman"/>
          <w:sz w:val="22"/>
          <w:lang w:val="sr-Cyrl-RS"/>
        </w:rPr>
      </w:pPr>
      <w:r w:rsidRPr="00EF2F18">
        <w:rPr>
          <w:rFonts w:cs="Times New Roman"/>
          <w:sz w:val="22"/>
          <w:lang w:val="sr-Cyrl-RS"/>
        </w:rPr>
        <w:t xml:space="preserve">ЕУРО </w:t>
      </w:r>
      <w:r w:rsidRPr="00EF2F18">
        <w:rPr>
          <w:rFonts w:eastAsia="Calibri" w:cs="Times New Roman"/>
          <w:sz w:val="22"/>
          <w:lang w:val="sr-Cyrl-RS"/>
        </w:rPr>
        <w:t xml:space="preserve">6 за путничка возила и теретна возила (изузев N3), односно </w:t>
      </w:r>
      <w:r w:rsidRPr="00EF2F18">
        <w:rPr>
          <w:rFonts w:cs="Times New Roman"/>
          <w:sz w:val="22"/>
          <w:lang w:val="sr-Cyrl-RS"/>
        </w:rPr>
        <w:t xml:space="preserve">ЕУРО </w:t>
      </w:r>
      <w:r w:rsidRPr="00EF2F18">
        <w:rPr>
          <w:rFonts w:eastAsia="Calibri" w:cs="Times New Roman"/>
          <w:sz w:val="22"/>
          <w:lang w:val="sr-Cyrl-RS"/>
        </w:rPr>
        <w:t>VI од 1. јануара 2025. године</w:t>
      </w:r>
      <w:r w:rsidR="008A5BFD" w:rsidRPr="00EF2F18">
        <w:rPr>
          <w:rFonts w:eastAsia="Calibri" w:cs="Times New Roman"/>
          <w:sz w:val="22"/>
          <w:lang w:val="sr-Cyrl-RS"/>
        </w:rPr>
        <w:t>.</w:t>
      </w:r>
    </w:p>
    <w:p w14:paraId="59369F6F" w14:textId="72D1BDDF" w:rsidR="00843A89" w:rsidRPr="00EF2F18" w:rsidRDefault="00843A89" w:rsidP="00425FCC">
      <w:pPr>
        <w:tabs>
          <w:tab w:val="left" w:pos="900"/>
        </w:tabs>
        <w:spacing w:after="0"/>
        <w:ind w:firstLine="720"/>
        <w:jc w:val="both"/>
        <w:rPr>
          <w:rFonts w:eastAsia="Calibri" w:cs="Times New Roman"/>
          <w:sz w:val="22"/>
          <w:lang w:val="sr-Cyrl-RS"/>
        </w:rPr>
      </w:pPr>
      <w:r w:rsidRPr="00EF2F18">
        <w:rPr>
          <w:rFonts w:eastAsia="Calibri" w:cs="Times New Roman"/>
          <w:sz w:val="22"/>
          <w:lang w:val="sr-Cyrl-RS"/>
        </w:rPr>
        <w:lastRenderedPageBreak/>
        <w:t>Мера</w:t>
      </w:r>
      <w:r w:rsidR="00880E07" w:rsidRPr="00EF2F18">
        <w:rPr>
          <w:rFonts w:eastAsia="Calibri" w:cs="Times New Roman"/>
          <w:sz w:val="22"/>
          <w:lang w:val="sr-Cyrl-RS"/>
        </w:rPr>
        <w:t>,</w:t>
      </w:r>
      <w:r w:rsidRPr="00EF2F18">
        <w:rPr>
          <w:rFonts w:eastAsia="Calibri" w:cs="Times New Roman"/>
          <w:sz w:val="22"/>
          <w:lang w:val="sr-Cyrl-RS"/>
        </w:rPr>
        <w:t xml:space="preserve"> такође</w:t>
      </w:r>
      <w:r w:rsidR="00880E07" w:rsidRPr="00EF2F18">
        <w:rPr>
          <w:rFonts w:eastAsia="Calibri" w:cs="Times New Roman"/>
          <w:sz w:val="22"/>
          <w:lang w:val="sr-Cyrl-RS"/>
        </w:rPr>
        <w:t>,</w:t>
      </w:r>
      <w:r w:rsidRPr="00EF2F18">
        <w:rPr>
          <w:rFonts w:eastAsia="Calibri" w:cs="Times New Roman"/>
          <w:sz w:val="22"/>
          <w:lang w:val="sr-Cyrl-RS"/>
        </w:rPr>
        <w:t xml:space="preserve"> подразумева да ће се</w:t>
      </w:r>
      <w:r w:rsidRPr="00EF2F18">
        <w:rPr>
          <w:rFonts w:cs="Times New Roman"/>
          <w:sz w:val="22"/>
          <w:lang w:val="sr-Cyrl-RS"/>
        </w:rPr>
        <w:t xml:space="preserve"> </w:t>
      </w:r>
      <w:r w:rsidRPr="00EF2F18">
        <w:rPr>
          <w:rFonts w:eastAsia="Calibri" w:cs="Times New Roman"/>
          <w:sz w:val="22"/>
          <w:lang w:val="sr-Cyrl-RS"/>
        </w:rPr>
        <w:t>финансијским подсти</w:t>
      </w:r>
      <w:r w:rsidR="00F23E09">
        <w:rPr>
          <w:rFonts w:eastAsia="Calibri" w:cs="Times New Roman"/>
          <w:sz w:val="22"/>
          <w:lang w:val="sr-Cyrl-RS"/>
        </w:rPr>
        <w:t>цајима омогућити дерегистрација/</w:t>
      </w:r>
      <w:r w:rsidRPr="00EF2F18">
        <w:rPr>
          <w:rFonts w:eastAsia="Calibri" w:cs="Times New Roman"/>
          <w:sz w:val="22"/>
          <w:lang w:val="sr-Cyrl-RS"/>
        </w:rPr>
        <w:t>отпремање најстаријих возила из возног парка у рециклажне центре</w:t>
      </w:r>
      <w:r w:rsidR="00CB0D18" w:rsidRPr="00EF2F18">
        <w:rPr>
          <w:rFonts w:eastAsia="Calibri" w:cs="Times New Roman"/>
          <w:sz w:val="22"/>
          <w:lang w:val="sr-Cyrl-RS"/>
        </w:rPr>
        <w:t xml:space="preserve"> (веза са м</w:t>
      </w:r>
      <w:r w:rsidR="005409A2" w:rsidRPr="00EF2F18">
        <w:rPr>
          <w:rFonts w:eastAsia="Calibri" w:cs="Times New Roman"/>
          <w:sz w:val="22"/>
          <w:lang w:val="sr-Cyrl-RS"/>
        </w:rPr>
        <w:t xml:space="preserve">ерама </w:t>
      </w:r>
      <w:r w:rsidR="00254AF9" w:rsidRPr="00EF2F18">
        <w:rPr>
          <w:rFonts w:eastAsia="Calibri" w:cs="Times New Roman"/>
          <w:sz w:val="22"/>
          <w:lang w:val="sr-Cyrl-RS"/>
        </w:rPr>
        <w:t>4. и 5. посебног циља 1.</w:t>
      </w:r>
      <w:r w:rsidR="005409A2" w:rsidRPr="00EF2F18">
        <w:rPr>
          <w:rFonts w:eastAsia="Calibri" w:cs="Times New Roman"/>
          <w:sz w:val="22"/>
          <w:lang w:val="sr-Cyrl-RS"/>
        </w:rPr>
        <w:t xml:space="preserve"> </w:t>
      </w:r>
      <w:r w:rsidR="00451EAC" w:rsidRPr="00EF2F18">
        <w:rPr>
          <w:rFonts w:eastAsia="Calibri" w:cs="Times New Roman"/>
          <w:sz w:val="22"/>
          <w:lang w:val="sr-Cyrl-RS"/>
        </w:rPr>
        <w:t xml:space="preserve">из </w:t>
      </w:r>
      <w:r w:rsidRPr="00EF2F18">
        <w:rPr>
          <w:rFonts w:eastAsia="Calibri" w:cs="Times New Roman"/>
          <w:sz w:val="22"/>
          <w:lang w:val="sr-Cyrl-RS"/>
        </w:rPr>
        <w:t>Програм</w:t>
      </w:r>
      <w:r w:rsidR="00A04FD4" w:rsidRPr="00EF2F18">
        <w:rPr>
          <w:rFonts w:eastAsia="Calibri" w:cs="Times New Roman"/>
          <w:sz w:val="22"/>
          <w:lang w:val="sr-Cyrl-RS"/>
        </w:rPr>
        <w:t>а</w:t>
      </w:r>
      <w:r w:rsidRPr="00EF2F18">
        <w:rPr>
          <w:rFonts w:eastAsia="Calibri" w:cs="Times New Roman"/>
          <w:sz w:val="22"/>
          <w:lang w:val="sr-Cyrl-RS"/>
        </w:rPr>
        <w:t xml:space="preserve"> заштите ваздуха у Републици Србији за период од 2022. до 2030. године са акционим планом</w:t>
      </w:r>
      <w:r w:rsidR="00CB0D18" w:rsidRPr="00EF2F18">
        <w:rPr>
          <w:rFonts w:eastAsia="Calibri" w:cs="Times New Roman"/>
          <w:sz w:val="22"/>
          <w:lang w:val="sr-Cyrl-RS"/>
        </w:rPr>
        <w:t>)</w:t>
      </w:r>
      <w:r w:rsidRPr="00EF2F18">
        <w:rPr>
          <w:rFonts w:eastAsia="Calibri" w:cs="Times New Roman"/>
          <w:sz w:val="22"/>
          <w:lang w:val="sr-Cyrl-RS"/>
        </w:rPr>
        <w:t xml:space="preserve">. </w:t>
      </w:r>
    </w:p>
    <w:p w14:paraId="1F8F54BF" w14:textId="4D3DDCCE"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унутрашње и спољне трговине</w:t>
      </w:r>
      <w:r w:rsidR="00891D8A" w:rsidRPr="00EF2F18">
        <w:rPr>
          <w:rFonts w:cs="Times New Roman"/>
          <w:sz w:val="22"/>
          <w:lang w:val="sr-Cyrl-RS" w:eastAsia="en-GB"/>
        </w:rPr>
        <w:t>.</w:t>
      </w:r>
    </w:p>
    <w:p w14:paraId="58B2DAAF" w14:textId="659F4B1B"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CB0D18" w:rsidRPr="00EF2F18">
        <w:rPr>
          <w:rFonts w:eastAsia="Calibri" w:cs="Times New Roman"/>
          <w:sz w:val="22"/>
          <w:lang w:val="sr-Cyrl-RS"/>
        </w:rPr>
        <w:t xml:space="preserve">Министарство финансија, </w:t>
      </w:r>
      <w:r w:rsidRPr="00EF2F18">
        <w:rPr>
          <w:rFonts w:cs="Times New Roman"/>
          <w:sz w:val="22"/>
          <w:lang w:val="sr-Cyrl-RS" w:eastAsia="en-GB"/>
        </w:rPr>
        <w:t>Министарство грађевинарства, саобраћаја и инфраструктуре, Агенција за безбедност саобраћаја, Министарство заштите животне средине</w:t>
      </w:r>
      <w:r w:rsidR="00891D8A" w:rsidRPr="00EF2F18">
        <w:rPr>
          <w:rFonts w:cs="Times New Roman"/>
          <w:sz w:val="22"/>
          <w:lang w:val="sr-Cyrl-RS" w:eastAsia="en-GB"/>
        </w:rPr>
        <w:t>.</w:t>
      </w:r>
    </w:p>
    <w:p w14:paraId="03D36712" w14:textId="6AE33620" w:rsidR="00491EBE"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891D8A" w:rsidRPr="00EF2F18">
        <w:rPr>
          <w:rFonts w:cs="Times New Roman"/>
          <w:sz w:val="22"/>
          <w:lang w:val="sr-Cyrl-RS" w:eastAsia="en-GB"/>
        </w:rPr>
        <w:t>.</w:t>
      </w:r>
    </w:p>
    <w:p w14:paraId="6D56D828" w14:textId="77777777" w:rsidR="00FA04F8" w:rsidRPr="00EF2F18" w:rsidRDefault="00FA04F8" w:rsidP="00425FCC">
      <w:pPr>
        <w:spacing w:after="0"/>
        <w:ind w:firstLine="720"/>
        <w:jc w:val="both"/>
        <w:rPr>
          <w:rFonts w:cs="Times New Roman"/>
          <w:sz w:val="22"/>
          <w:lang w:val="sr-Cyrl-RS" w:eastAsia="en-GB"/>
        </w:rPr>
      </w:pPr>
    </w:p>
    <w:p w14:paraId="7CDA6852" w14:textId="0A7D6D3D" w:rsidR="001442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3.1.3. </w:t>
      </w:r>
      <w:r w:rsidR="007C23EE" w:rsidRPr="00EF2F18">
        <w:rPr>
          <w:rFonts w:cs="Times New Roman"/>
          <w:b/>
          <w:bCs/>
          <w:sz w:val="22"/>
          <w:lang w:val="sr-Cyrl-RS" w:eastAsia="en-GB"/>
        </w:rPr>
        <w:t xml:space="preserve">Примена </w:t>
      </w:r>
      <w:r w:rsidR="009C7115" w:rsidRPr="00EF2F18">
        <w:rPr>
          <w:rFonts w:cs="Times New Roman"/>
          <w:b/>
          <w:bCs/>
          <w:sz w:val="22"/>
          <w:lang w:val="sr-Cyrl-RS" w:eastAsia="en-GB"/>
        </w:rPr>
        <w:t xml:space="preserve">граничних вредности емисија одређених загађујућих материја у ваздух из средњих постројења за сагоревање у складу са Директивом ЕУ </w:t>
      </w:r>
      <w:r w:rsidR="008A5BFD" w:rsidRPr="00EF2F18">
        <w:rPr>
          <w:rFonts w:cs="Times New Roman"/>
          <w:b/>
          <w:bCs/>
          <w:sz w:val="22"/>
          <w:lang w:val="sr-Cyrl-RS" w:eastAsia="en-GB"/>
        </w:rPr>
        <w:t>2015/2193</w:t>
      </w:r>
    </w:p>
    <w:p w14:paraId="5994FFE4" w14:textId="77777777" w:rsidR="00D83673" w:rsidRPr="00EF2F18" w:rsidRDefault="00D83673" w:rsidP="001C1A64">
      <w:pPr>
        <w:spacing w:after="0"/>
        <w:ind w:firstLine="720"/>
        <w:jc w:val="both"/>
        <w:rPr>
          <w:rFonts w:cs="Times New Roman"/>
          <w:sz w:val="22"/>
          <w:lang w:val="sr-Cyrl-RS" w:eastAsia="en-GB"/>
        </w:rPr>
      </w:pPr>
    </w:p>
    <w:p w14:paraId="3D1FBF8B" w14:textId="417BC2C1" w:rsidR="001C1A64" w:rsidRPr="00EF2F18" w:rsidRDefault="001C1A64" w:rsidP="001C1A64">
      <w:pPr>
        <w:spacing w:after="0"/>
        <w:ind w:firstLine="720"/>
        <w:jc w:val="both"/>
        <w:rPr>
          <w:rFonts w:cs="Times New Roman"/>
          <w:sz w:val="22"/>
          <w:lang w:val="sr-Cyrl-RS" w:eastAsia="en-GB"/>
        </w:rPr>
      </w:pPr>
      <w:r w:rsidRPr="00EF2F18">
        <w:rPr>
          <w:rFonts w:cs="Times New Roman"/>
          <w:sz w:val="22"/>
          <w:lang w:val="sr-Cyrl-RS" w:eastAsia="en-GB"/>
        </w:rPr>
        <w:t>Ова мера подразумева спровођење</w:t>
      </w:r>
      <w:r w:rsidR="003830B1" w:rsidRPr="00EF2F18">
        <w:rPr>
          <w:rFonts w:cs="Times New Roman"/>
          <w:sz w:val="22"/>
          <w:lang w:val="sr-Cyrl-RS" w:eastAsia="en-GB"/>
        </w:rPr>
        <w:t xml:space="preserve"> </w:t>
      </w:r>
      <w:r w:rsidRPr="00EF2F18">
        <w:rPr>
          <w:rFonts w:cs="Times New Roman"/>
          <w:sz w:val="22"/>
          <w:lang w:val="sr-Cyrl-RS" w:eastAsia="en-GB"/>
        </w:rPr>
        <w:t>Директиве ЕУ 2015/2193 о ограничењу емисија одређених загађујућих материја у ваздух из средњих постро</w:t>
      </w:r>
      <w:r w:rsidR="00F23E09">
        <w:rPr>
          <w:rFonts w:cs="Times New Roman"/>
          <w:sz w:val="22"/>
          <w:lang w:val="sr-Cyrl-RS" w:eastAsia="en-GB"/>
        </w:rPr>
        <w:t>јења за сагоревање кроз доношењ</w:t>
      </w:r>
      <w:r w:rsidRPr="00EF2F18">
        <w:rPr>
          <w:rFonts w:cs="Times New Roman"/>
          <w:sz w:val="22"/>
          <w:lang w:val="sr-Cyrl-RS" w:eastAsia="en-GB"/>
        </w:rPr>
        <w:t>е Уредбе о граничним вредностима емисија загађујућих материја у ваздух из средњих постројења за сагоревање. Ова уредба ће морати да обједини захтеве Директиве и домаће Уредбе о граничним вредностима емисије загађујућих материја у ваздуху из постројења за сагоревање</w:t>
      </w:r>
      <w:r w:rsidR="00D763AB" w:rsidRPr="00EF2F18">
        <w:rPr>
          <w:rFonts w:cs="Times New Roman"/>
          <w:sz w:val="22"/>
          <w:lang w:val="sr-Cyrl-RS" w:eastAsia="en-GB"/>
        </w:rPr>
        <w:t xml:space="preserve"> („Службени гласник РС</w:t>
      </w:r>
      <w:r w:rsidR="00A64280" w:rsidRPr="00EF2F18">
        <w:rPr>
          <w:rFonts w:cs="Times New Roman"/>
          <w:sz w:val="22"/>
          <w:lang w:val="sr-Cyrl-RS" w:eastAsia="en-GB"/>
        </w:rPr>
        <w:t>”</w:t>
      </w:r>
      <w:r w:rsidR="00D763AB" w:rsidRPr="00EF2F18">
        <w:rPr>
          <w:rFonts w:cs="Times New Roman"/>
          <w:sz w:val="22"/>
          <w:lang w:val="sr-Cyrl-RS" w:eastAsia="en-GB"/>
        </w:rPr>
        <w:t>, бр</w:t>
      </w:r>
      <w:r w:rsidR="00831C3D" w:rsidRPr="00EF2F18">
        <w:rPr>
          <w:rFonts w:cs="Times New Roman"/>
          <w:sz w:val="22"/>
          <w:lang w:val="sr-Cyrl-RS" w:eastAsia="en-GB"/>
        </w:rPr>
        <w:t>.</w:t>
      </w:r>
      <w:r w:rsidR="00D763AB" w:rsidRPr="00EF2F18">
        <w:rPr>
          <w:rFonts w:cs="Times New Roman"/>
          <w:sz w:val="22"/>
          <w:lang w:val="sr-Cyrl-RS" w:eastAsia="en-GB"/>
        </w:rPr>
        <w:t xml:space="preserve"> 6/16 и 67/21)</w:t>
      </w:r>
      <w:r w:rsidRPr="00EF2F18">
        <w:rPr>
          <w:rFonts w:cs="Times New Roman"/>
          <w:sz w:val="22"/>
          <w:lang w:val="sr-Cyrl-RS" w:eastAsia="en-GB"/>
        </w:rPr>
        <w:t>. Строже граничне вредности из Директиве морају бити транспоноване, као и сви остали строж</w:t>
      </w:r>
      <w:r w:rsidR="00063965">
        <w:rPr>
          <w:rFonts w:cs="Times New Roman"/>
          <w:sz w:val="22"/>
          <w:lang w:val="sr-Cyrl-RS" w:eastAsia="en-GB"/>
        </w:rPr>
        <w:t>и</w:t>
      </w:r>
      <w:r w:rsidRPr="00EF2F18">
        <w:rPr>
          <w:rFonts w:cs="Times New Roman"/>
          <w:sz w:val="22"/>
          <w:lang w:val="sr-Cyrl-RS" w:eastAsia="en-GB"/>
        </w:rPr>
        <w:t xml:space="preserve"> захтеви. </w:t>
      </w:r>
    </w:p>
    <w:p w14:paraId="060412FD" w14:textId="21D1D1B6" w:rsidR="001C1A64" w:rsidRPr="00EF2F18" w:rsidRDefault="001C1A64" w:rsidP="001C1A64">
      <w:pPr>
        <w:spacing w:after="0"/>
        <w:ind w:firstLine="720"/>
        <w:jc w:val="both"/>
        <w:rPr>
          <w:rFonts w:cs="Times New Roman"/>
          <w:sz w:val="22"/>
          <w:lang w:val="sr-Cyrl-RS" w:eastAsia="en-GB"/>
        </w:rPr>
      </w:pPr>
      <w:r w:rsidRPr="00EF2F18">
        <w:rPr>
          <w:rFonts w:cs="Times New Roman"/>
          <w:sz w:val="22"/>
          <w:lang w:val="sr-Cyrl-RS" w:eastAsia="en-GB"/>
        </w:rPr>
        <w:t>Како би се осигурало спровођење захтева из Директиве</w:t>
      </w:r>
      <w:r w:rsidR="003830B1" w:rsidRPr="00EF2F18">
        <w:rPr>
          <w:rFonts w:cs="Times New Roman"/>
          <w:sz w:val="22"/>
          <w:lang w:val="sr-Cyrl-RS" w:eastAsia="en-GB"/>
        </w:rPr>
        <w:t xml:space="preserve"> </w:t>
      </w:r>
      <w:r w:rsidRPr="00EF2F18">
        <w:rPr>
          <w:rFonts w:cs="Times New Roman"/>
          <w:sz w:val="22"/>
          <w:lang w:val="sr-Cyrl-RS" w:eastAsia="en-GB"/>
        </w:rPr>
        <w:t>о средњим постројењима за сагоревање, треба обезбедити:</w:t>
      </w:r>
    </w:p>
    <w:p w14:paraId="65591F11" w14:textId="0253781C" w:rsidR="001C1A64" w:rsidRPr="00EF2F18" w:rsidRDefault="007A2E9F" w:rsidP="001C1A64">
      <w:pPr>
        <w:spacing w:after="0"/>
        <w:ind w:firstLine="720"/>
        <w:jc w:val="both"/>
        <w:rPr>
          <w:rFonts w:cs="Times New Roman"/>
          <w:sz w:val="22"/>
          <w:lang w:val="sr-Cyrl-RS" w:eastAsia="en-GB"/>
        </w:rPr>
      </w:pPr>
      <w:r w:rsidRPr="00EF2F18">
        <w:rPr>
          <w:rFonts w:cs="Times New Roman"/>
          <w:sz w:val="22"/>
          <w:lang w:val="sr-Cyrl-RS" w:eastAsia="en-GB"/>
        </w:rPr>
        <w:t>–</w:t>
      </w:r>
      <w:r w:rsidR="001C1A64" w:rsidRPr="00EF2F18">
        <w:rPr>
          <w:rFonts w:cs="Times New Roman"/>
          <w:sz w:val="22"/>
          <w:lang w:val="sr-Cyrl-RS" w:eastAsia="en-GB"/>
        </w:rPr>
        <w:t xml:space="preserve"> наставак анализе тренутно доступних података о средњим постројењима за сагоревање;</w:t>
      </w:r>
    </w:p>
    <w:p w14:paraId="2709C0FE" w14:textId="0F63FBBA" w:rsidR="001C1A64" w:rsidRPr="00EF2F18" w:rsidRDefault="007A2E9F" w:rsidP="001C1A64">
      <w:pPr>
        <w:spacing w:after="0"/>
        <w:ind w:firstLine="720"/>
        <w:jc w:val="both"/>
        <w:rPr>
          <w:rFonts w:cs="Times New Roman"/>
          <w:sz w:val="22"/>
          <w:lang w:val="sr-Cyrl-RS" w:eastAsia="en-GB"/>
        </w:rPr>
      </w:pPr>
      <w:r w:rsidRPr="00EF2F18">
        <w:rPr>
          <w:rFonts w:cs="Times New Roman"/>
          <w:sz w:val="22"/>
          <w:lang w:val="sr-Cyrl-RS" w:eastAsia="en-GB"/>
        </w:rPr>
        <w:t>–</w:t>
      </w:r>
      <w:r w:rsidR="001C1A64" w:rsidRPr="00EF2F18">
        <w:rPr>
          <w:rFonts w:cs="Times New Roman"/>
          <w:sz w:val="22"/>
          <w:lang w:val="sr-Cyrl-RS" w:eastAsia="en-GB"/>
        </w:rPr>
        <w:t xml:space="preserve"> допуњавање базе података тако да садржи укупан број средњих постројења за сагоревање. </w:t>
      </w:r>
    </w:p>
    <w:p w14:paraId="17C70B9A" w14:textId="04500543"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p>
    <w:p w14:paraId="4A14E3F1" w14:textId="0F6EC6FB"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Покрајински секретаријат за енергетику, грађевинарство </w:t>
      </w:r>
      <w:r w:rsidR="00425FCC" w:rsidRPr="00EF2F18">
        <w:rPr>
          <w:rFonts w:cs="Times New Roman"/>
          <w:sz w:val="22"/>
          <w:lang w:val="sr-Cyrl-RS" w:eastAsia="en-GB"/>
        </w:rPr>
        <w:t>и саобраћај</w:t>
      </w:r>
      <w:r w:rsidR="00E52612" w:rsidRPr="00EF2F18">
        <w:rPr>
          <w:rFonts w:cs="Times New Roman"/>
          <w:sz w:val="22"/>
          <w:lang w:val="sr-Cyrl-RS" w:eastAsia="en-GB"/>
        </w:rPr>
        <w:t xml:space="preserve">, јединице </w:t>
      </w:r>
      <w:r w:rsidR="00425FCC" w:rsidRPr="00EF2F18">
        <w:rPr>
          <w:rFonts w:cs="Times New Roman"/>
          <w:sz w:val="22"/>
          <w:lang w:val="sr-Cyrl-RS" w:eastAsia="en-GB"/>
        </w:rPr>
        <w:t>локалне самоуправе</w:t>
      </w:r>
      <w:r w:rsidR="001442F8" w:rsidRPr="00EF2F18">
        <w:rPr>
          <w:rFonts w:cs="Times New Roman"/>
          <w:sz w:val="22"/>
          <w:lang w:val="sr-Cyrl-RS" w:eastAsia="en-GB"/>
        </w:rPr>
        <w:t>, Агенција за заштиту животне средине</w:t>
      </w:r>
      <w:r w:rsidR="00891D8A" w:rsidRPr="00EF2F18">
        <w:rPr>
          <w:rFonts w:cs="Times New Roman"/>
          <w:sz w:val="22"/>
          <w:lang w:val="sr-Cyrl-RS" w:eastAsia="en-GB"/>
        </w:rPr>
        <w:t>.</w:t>
      </w:r>
      <w:r w:rsidR="00425FCC" w:rsidRPr="00EF2F18">
        <w:rPr>
          <w:rFonts w:cs="Times New Roman"/>
          <w:sz w:val="22"/>
          <w:lang w:val="sr-Cyrl-RS" w:eastAsia="en-GB"/>
        </w:rPr>
        <w:t xml:space="preserve"> </w:t>
      </w:r>
    </w:p>
    <w:p w14:paraId="2492426E" w14:textId="59208B49" w:rsidR="00FA04F8" w:rsidRPr="00EF2F18" w:rsidRDefault="00843A89"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891D8A" w:rsidRPr="00EF2F18">
        <w:rPr>
          <w:rFonts w:cs="Times New Roman"/>
          <w:sz w:val="22"/>
          <w:lang w:val="sr-Cyrl-RS" w:eastAsia="en-GB"/>
        </w:rPr>
        <w:t>.</w:t>
      </w:r>
    </w:p>
    <w:p w14:paraId="5EB0D157" w14:textId="77777777" w:rsidR="00FA04F8" w:rsidRPr="00EF2F18" w:rsidRDefault="00FA04F8" w:rsidP="00425FCC">
      <w:pPr>
        <w:spacing w:after="0"/>
        <w:ind w:firstLine="720"/>
        <w:jc w:val="both"/>
        <w:rPr>
          <w:rFonts w:cs="Times New Roman"/>
          <w:sz w:val="22"/>
          <w:lang w:val="sr-Cyrl-RS"/>
        </w:rPr>
      </w:pPr>
    </w:p>
    <w:p w14:paraId="1D37214D" w14:textId="17E977A0"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3.2: </w:t>
      </w:r>
      <w:r w:rsidR="00FA04F8" w:rsidRPr="00EF2F18">
        <w:rPr>
          <w:rFonts w:cs="Times New Roman"/>
          <w:b/>
          <w:bCs/>
          <w:color w:val="2E74B5" w:themeColor="accent1" w:themeShade="BF"/>
          <w:sz w:val="22"/>
          <w:lang w:val="sr-Cyrl-RS"/>
        </w:rPr>
        <w:t>Унапређење квалитета вода кроз интегрално управљање водама уз ефективну контролу загађења</w:t>
      </w:r>
    </w:p>
    <w:p w14:paraId="036C4B1E" w14:textId="77777777" w:rsidR="00753384" w:rsidRPr="00753384" w:rsidRDefault="00753384" w:rsidP="00425FCC">
      <w:pPr>
        <w:autoSpaceDE w:val="0"/>
        <w:autoSpaceDN w:val="0"/>
        <w:adjustRightInd w:val="0"/>
        <w:spacing w:after="0"/>
        <w:ind w:firstLine="720"/>
        <w:jc w:val="both"/>
        <w:rPr>
          <w:rFonts w:cs="Times New Roman"/>
          <w:sz w:val="12"/>
          <w:szCs w:val="12"/>
          <w:lang w:val="sr-Cyrl-RS"/>
        </w:rPr>
      </w:pPr>
    </w:p>
    <w:p w14:paraId="1479257A" w14:textId="2A471138" w:rsidR="00843A89" w:rsidRPr="00EF2F18" w:rsidRDefault="00843A89" w:rsidP="00425FCC">
      <w:pPr>
        <w:autoSpaceDE w:val="0"/>
        <w:autoSpaceDN w:val="0"/>
        <w:adjustRightInd w:val="0"/>
        <w:spacing w:after="0"/>
        <w:ind w:firstLine="720"/>
        <w:jc w:val="both"/>
        <w:rPr>
          <w:rFonts w:cs="Times New Roman"/>
          <w:sz w:val="22"/>
          <w:lang w:val="sr-Cyrl-RS"/>
        </w:rPr>
      </w:pPr>
      <w:r w:rsidRPr="00EF2F18">
        <w:rPr>
          <w:rFonts w:cs="Times New Roman"/>
          <w:sz w:val="22"/>
          <w:lang w:val="sr-Cyrl-RS"/>
        </w:rPr>
        <w:t>Спровођење овог циља базирано је на одредбама Оквирн</w:t>
      </w:r>
      <w:r w:rsidR="006022B8" w:rsidRPr="00EF2F18">
        <w:rPr>
          <w:rFonts w:cs="Times New Roman"/>
          <w:sz w:val="22"/>
          <w:lang w:val="sr-Cyrl-RS"/>
        </w:rPr>
        <w:t>е</w:t>
      </w:r>
      <w:r w:rsidRPr="00EF2F18">
        <w:rPr>
          <w:rFonts w:cs="Times New Roman"/>
          <w:sz w:val="22"/>
          <w:lang w:val="sr-Cyrl-RS"/>
        </w:rPr>
        <w:t xml:space="preserve"> директив</w:t>
      </w:r>
      <w:r w:rsidR="006022B8" w:rsidRPr="00EF2F18">
        <w:rPr>
          <w:rFonts w:cs="Times New Roman"/>
          <w:sz w:val="22"/>
          <w:lang w:val="sr-Cyrl-RS"/>
        </w:rPr>
        <w:t>е ЕУ 2000/60/ЕС</w:t>
      </w:r>
      <w:r w:rsidRPr="00EF2F18">
        <w:rPr>
          <w:rFonts w:cs="Times New Roman"/>
          <w:sz w:val="22"/>
          <w:lang w:val="sr-Cyrl-RS"/>
        </w:rPr>
        <w:t xml:space="preserve"> о водама, која укључује и повезује друге значајне директиве које се непосредно или посредно односе на област вода, од којих су најзначајније:</w:t>
      </w:r>
    </w:p>
    <w:p w14:paraId="2F178905" w14:textId="133B3FF1"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 xml:space="preserve">Директива </w:t>
      </w:r>
      <w:r w:rsidR="006022B8" w:rsidRPr="00EF2F18">
        <w:rPr>
          <w:rFonts w:cs="Times New Roman"/>
          <w:sz w:val="22"/>
          <w:lang w:val="sr-Cyrl-RS"/>
        </w:rPr>
        <w:t xml:space="preserve">ЕУ 91/271/EEC </w:t>
      </w:r>
      <w:r w:rsidRPr="00EF2F18">
        <w:rPr>
          <w:rFonts w:cs="Times New Roman"/>
          <w:sz w:val="22"/>
          <w:lang w:val="sr-Cyrl-RS"/>
        </w:rPr>
        <w:t>о пречишћавању комуналних отпадних вода</w:t>
      </w:r>
      <w:r w:rsidR="00BB3AD6" w:rsidRPr="00EF2F18">
        <w:rPr>
          <w:rFonts w:cs="Times New Roman"/>
          <w:sz w:val="22"/>
          <w:lang w:val="sr-Cyrl-RS"/>
        </w:rPr>
        <w:t>;</w:t>
      </w:r>
    </w:p>
    <w:p w14:paraId="34F061CE" w14:textId="6310AE8E"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Директива</w:t>
      </w:r>
      <w:r w:rsidR="006022B8" w:rsidRPr="00EF2F18">
        <w:rPr>
          <w:rFonts w:cs="Times New Roman"/>
          <w:sz w:val="22"/>
          <w:lang w:val="sr-Cyrl-RS"/>
        </w:rPr>
        <w:t xml:space="preserve"> ЕУ</w:t>
      </w:r>
      <w:r w:rsidRPr="00EF2F18">
        <w:rPr>
          <w:rFonts w:cs="Times New Roman"/>
          <w:sz w:val="22"/>
          <w:lang w:val="sr-Cyrl-RS"/>
        </w:rPr>
        <w:t xml:space="preserve"> </w:t>
      </w:r>
      <w:r w:rsidR="006022B8" w:rsidRPr="00EF2F18">
        <w:rPr>
          <w:rFonts w:cs="Times New Roman"/>
          <w:sz w:val="22"/>
          <w:lang w:val="sr-Cyrl-RS"/>
        </w:rPr>
        <w:t xml:space="preserve">75/440/ECC </w:t>
      </w:r>
      <w:r w:rsidRPr="00EF2F18">
        <w:rPr>
          <w:rFonts w:cs="Times New Roman"/>
          <w:sz w:val="22"/>
          <w:lang w:val="sr-Cyrl-RS"/>
        </w:rPr>
        <w:t>о захватању воде за пиће</w:t>
      </w:r>
      <w:r w:rsidR="00BB3AD6" w:rsidRPr="00EF2F18">
        <w:rPr>
          <w:rFonts w:cs="Times New Roman"/>
          <w:sz w:val="22"/>
          <w:lang w:val="sr-Cyrl-RS"/>
        </w:rPr>
        <w:t>;</w:t>
      </w:r>
      <w:r w:rsidRPr="00EF2F18">
        <w:rPr>
          <w:rFonts w:cs="Times New Roman"/>
          <w:sz w:val="22"/>
          <w:lang w:val="sr-Cyrl-RS"/>
        </w:rPr>
        <w:t xml:space="preserve"> </w:t>
      </w:r>
    </w:p>
    <w:p w14:paraId="04E4DF46" w14:textId="3C10BAFD"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 xml:space="preserve">Директива </w:t>
      </w:r>
      <w:r w:rsidR="006022B8" w:rsidRPr="00EF2F18">
        <w:rPr>
          <w:rFonts w:cs="Times New Roman"/>
          <w:sz w:val="22"/>
          <w:lang w:val="sr-Cyrl-RS"/>
        </w:rPr>
        <w:t xml:space="preserve">ЕУ </w:t>
      </w:r>
      <w:r w:rsidR="00704D50" w:rsidRPr="00EF2F18">
        <w:rPr>
          <w:rFonts w:cs="Times New Roman"/>
          <w:sz w:val="22"/>
          <w:lang w:val="sr-Cyrl-RS"/>
        </w:rPr>
        <w:t>2020</w:t>
      </w:r>
      <w:r w:rsidR="006022B8" w:rsidRPr="00EF2F18">
        <w:rPr>
          <w:rFonts w:cs="Times New Roman"/>
          <w:sz w:val="22"/>
          <w:lang w:val="sr-Cyrl-RS"/>
        </w:rPr>
        <w:t>/</w:t>
      </w:r>
      <w:r w:rsidR="00704D50" w:rsidRPr="00EF2F18">
        <w:rPr>
          <w:rFonts w:cs="Times New Roman"/>
          <w:sz w:val="22"/>
          <w:lang w:val="sr-Cyrl-RS"/>
        </w:rPr>
        <w:t>2184</w:t>
      </w:r>
      <w:r w:rsidR="00831C3D" w:rsidRPr="00EF2F18">
        <w:rPr>
          <w:rFonts w:cs="Times New Roman"/>
          <w:sz w:val="22"/>
          <w:lang w:val="sr-Cyrl-RS"/>
        </w:rPr>
        <w:t>/EC</w:t>
      </w:r>
      <w:r w:rsidR="006022B8" w:rsidRPr="00EF2F18">
        <w:rPr>
          <w:rFonts w:cs="Times New Roman"/>
          <w:sz w:val="22"/>
          <w:lang w:val="sr-Cyrl-RS"/>
        </w:rPr>
        <w:t xml:space="preserve"> </w:t>
      </w:r>
      <w:r w:rsidRPr="00EF2F18">
        <w:rPr>
          <w:rFonts w:cs="Times New Roman"/>
          <w:sz w:val="22"/>
          <w:lang w:val="sr-Cyrl-RS"/>
        </w:rPr>
        <w:t>о квалитету воде намењене за људску употребу;</w:t>
      </w:r>
    </w:p>
    <w:p w14:paraId="5B564630" w14:textId="74FFDF59"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Директива</w:t>
      </w:r>
      <w:r w:rsidR="006022B8" w:rsidRPr="00EF2F18">
        <w:rPr>
          <w:rFonts w:cs="Times New Roman"/>
          <w:sz w:val="22"/>
          <w:lang w:val="sr-Cyrl-RS"/>
        </w:rPr>
        <w:t xml:space="preserve"> ЕУ</w:t>
      </w:r>
      <w:r w:rsidRPr="00EF2F18">
        <w:rPr>
          <w:rFonts w:cs="Times New Roman"/>
          <w:sz w:val="22"/>
          <w:lang w:val="sr-Cyrl-RS"/>
        </w:rPr>
        <w:t xml:space="preserve"> </w:t>
      </w:r>
      <w:r w:rsidR="006022B8" w:rsidRPr="00EF2F18">
        <w:rPr>
          <w:rFonts w:cs="Times New Roman"/>
          <w:sz w:val="22"/>
          <w:lang w:val="sr-Cyrl-RS"/>
        </w:rPr>
        <w:t xml:space="preserve">2006/7/EC </w:t>
      </w:r>
      <w:r w:rsidRPr="00EF2F18">
        <w:rPr>
          <w:rFonts w:cs="Times New Roman"/>
          <w:sz w:val="22"/>
          <w:lang w:val="sr-Cyrl-RS"/>
        </w:rPr>
        <w:t>о управљању квалитетом воде за купање;</w:t>
      </w:r>
    </w:p>
    <w:p w14:paraId="17CF7D66" w14:textId="172858F0"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 xml:space="preserve">Директива </w:t>
      </w:r>
      <w:r w:rsidR="00BB3AD6" w:rsidRPr="00EF2F18">
        <w:rPr>
          <w:rFonts w:cs="Times New Roman"/>
          <w:sz w:val="22"/>
          <w:lang w:val="sr-Cyrl-RS"/>
        </w:rPr>
        <w:t xml:space="preserve">ЕУ 2006/11/EC </w:t>
      </w:r>
      <w:r w:rsidRPr="00EF2F18">
        <w:rPr>
          <w:rFonts w:cs="Times New Roman"/>
          <w:sz w:val="22"/>
          <w:lang w:val="sr-Cyrl-RS"/>
        </w:rPr>
        <w:t>о загађењу узрокованом одређеним опасним супстанцама које се испуштају у акватичну животну средину;</w:t>
      </w:r>
    </w:p>
    <w:p w14:paraId="0E0A835B" w14:textId="56A38F2F"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 xml:space="preserve">Директива </w:t>
      </w:r>
      <w:r w:rsidR="00BB3AD6" w:rsidRPr="00EF2F18">
        <w:rPr>
          <w:rFonts w:cs="Times New Roman"/>
          <w:sz w:val="22"/>
          <w:lang w:val="sr-Cyrl-RS"/>
        </w:rPr>
        <w:t xml:space="preserve">ЕУ 2006/118/EC </w:t>
      </w:r>
      <w:r w:rsidRPr="00EF2F18">
        <w:rPr>
          <w:rFonts w:cs="Times New Roman"/>
          <w:sz w:val="22"/>
          <w:lang w:val="sr-Cyrl-RS"/>
        </w:rPr>
        <w:t>о заштити подземне воде од загађења и погоршавања квалитета;</w:t>
      </w:r>
    </w:p>
    <w:p w14:paraId="445DF09B" w14:textId="603132CC"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Директива</w:t>
      </w:r>
      <w:r w:rsidR="00BB3AD6" w:rsidRPr="00EF2F18">
        <w:rPr>
          <w:rFonts w:cs="Times New Roman"/>
          <w:sz w:val="22"/>
          <w:lang w:val="sr-Cyrl-RS"/>
        </w:rPr>
        <w:t xml:space="preserve"> ЕУ</w:t>
      </w:r>
      <w:r w:rsidRPr="00EF2F18">
        <w:rPr>
          <w:rFonts w:cs="Times New Roman"/>
          <w:sz w:val="22"/>
          <w:lang w:val="sr-Cyrl-RS"/>
        </w:rPr>
        <w:t xml:space="preserve"> </w:t>
      </w:r>
      <w:r w:rsidR="00BB3AD6" w:rsidRPr="00EF2F18">
        <w:rPr>
          <w:rFonts w:cs="Times New Roman"/>
          <w:sz w:val="22"/>
          <w:lang w:val="sr-Cyrl-RS"/>
        </w:rPr>
        <w:t xml:space="preserve">2010/75/EU </w:t>
      </w:r>
      <w:r w:rsidRPr="00EF2F18">
        <w:rPr>
          <w:rFonts w:cs="Times New Roman"/>
          <w:sz w:val="22"/>
          <w:lang w:val="sr-Cyrl-RS"/>
        </w:rPr>
        <w:t>о индустријским емисијама;</w:t>
      </w:r>
    </w:p>
    <w:p w14:paraId="62E44D23" w14:textId="007C53AB"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 xml:space="preserve">Директива </w:t>
      </w:r>
      <w:r w:rsidR="00BB3AD6" w:rsidRPr="00EF2F18">
        <w:rPr>
          <w:rFonts w:cs="Times New Roman"/>
          <w:sz w:val="22"/>
          <w:lang w:val="sr-Cyrl-RS"/>
        </w:rPr>
        <w:t xml:space="preserve">ЕУ 2008/105/EC </w:t>
      </w:r>
      <w:r w:rsidRPr="00EF2F18">
        <w:rPr>
          <w:rFonts w:cs="Times New Roman"/>
          <w:sz w:val="22"/>
          <w:lang w:val="sr-Cyrl-RS"/>
        </w:rPr>
        <w:t xml:space="preserve">о стандардима квалитета животне средине у области политике вода, као и Директива </w:t>
      </w:r>
      <w:r w:rsidR="00BB3AD6" w:rsidRPr="00EF2F18">
        <w:rPr>
          <w:rFonts w:cs="Times New Roman"/>
          <w:sz w:val="22"/>
          <w:lang w:val="sr-Cyrl-RS"/>
        </w:rPr>
        <w:t xml:space="preserve">ЕУ </w:t>
      </w:r>
      <w:r w:rsidRPr="00EF2F18">
        <w:rPr>
          <w:rFonts w:cs="Times New Roman"/>
          <w:sz w:val="22"/>
          <w:lang w:val="sr-Cyrl-RS"/>
        </w:rPr>
        <w:t>2013/39/Е</w:t>
      </w:r>
      <w:r w:rsidR="00E6676B" w:rsidRPr="00EF2F18">
        <w:rPr>
          <w:rFonts w:cs="Times New Roman"/>
          <w:sz w:val="22"/>
          <w:lang w:val="sr-Cyrl-RS"/>
        </w:rPr>
        <w:t>С</w:t>
      </w:r>
      <w:r w:rsidRPr="00EF2F18">
        <w:rPr>
          <w:rFonts w:cs="Times New Roman"/>
          <w:sz w:val="22"/>
          <w:lang w:val="sr-Cyrl-RS"/>
        </w:rPr>
        <w:t xml:space="preserve"> која се односи на приоритетне супстанце у области политике вода;</w:t>
      </w:r>
    </w:p>
    <w:p w14:paraId="6B7027F5" w14:textId="3EBF22D8" w:rsidR="00843A89" w:rsidRPr="00EF2F18" w:rsidRDefault="00843A89" w:rsidP="00313E8E">
      <w:pPr>
        <w:pStyle w:val="ListParagraph"/>
        <w:numPr>
          <w:ilvl w:val="0"/>
          <w:numId w:val="23"/>
        </w:numPr>
        <w:autoSpaceDE w:val="0"/>
        <w:autoSpaceDN w:val="0"/>
        <w:adjustRightInd w:val="0"/>
        <w:spacing w:after="0"/>
        <w:jc w:val="both"/>
        <w:rPr>
          <w:rFonts w:cs="Times New Roman"/>
          <w:sz w:val="22"/>
          <w:lang w:val="sr-Cyrl-RS"/>
        </w:rPr>
      </w:pPr>
      <w:r w:rsidRPr="00EF2F18">
        <w:rPr>
          <w:rFonts w:cs="Times New Roman"/>
          <w:sz w:val="22"/>
          <w:lang w:val="sr-Cyrl-RS"/>
        </w:rPr>
        <w:t xml:space="preserve">Директива </w:t>
      </w:r>
      <w:r w:rsidR="00BB3AD6" w:rsidRPr="00EF2F18">
        <w:rPr>
          <w:rFonts w:cs="Times New Roman"/>
          <w:sz w:val="22"/>
          <w:lang w:val="sr-Cyrl-RS"/>
        </w:rPr>
        <w:t xml:space="preserve">ЕУ 2009/90/EC </w:t>
      </w:r>
      <w:r w:rsidRPr="00EF2F18">
        <w:rPr>
          <w:rFonts w:cs="Times New Roman"/>
          <w:sz w:val="22"/>
          <w:lang w:val="sr-Cyrl-RS"/>
        </w:rPr>
        <w:t>која утврђује техничке спецификације за хемијске анализе и мониторинг статуса воде;</w:t>
      </w:r>
    </w:p>
    <w:p w14:paraId="670538DF" w14:textId="6E695939" w:rsidR="00491EBE" w:rsidRPr="00EF2F18" w:rsidRDefault="00843A89" w:rsidP="00313E8E">
      <w:pPr>
        <w:pStyle w:val="ListParagraph"/>
        <w:numPr>
          <w:ilvl w:val="0"/>
          <w:numId w:val="23"/>
        </w:numPr>
        <w:spacing w:after="0"/>
        <w:jc w:val="both"/>
        <w:rPr>
          <w:rFonts w:cs="Times New Roman"/>
          <w:sz w:val="22"/>
          <w:lang w:val="sr-Cyrl-RS"/>
        </w:rPr>
      </w:pPr>
      <w:r w:rsidRPr="00EF2F18">
        <w:rPr>
          <w:rFonts w:cs="Times New Roman"/>
          <w:sz w:val="22"/>
          <w:lang w:val="sr-Cyrl-RS"/>
        </w:rPr>
        <w:t>Директиве</w:t>
      </w:r>
      <w:r w:rsidR="00BB3AD6" w:rsidRPr="00EF2F18">
        <w:rPr>
          <w:rFonts w:cs="Times New Roman"/>
          <w:sz w:val="22"/>
          <w:lang w:val="sr-Cyrl-RS"/>
        </w:rPr>
        <w:t xml:space="preserve"> ЕУ</w:t>
      </w:r>
      <w:r w:rsidRPr="00EF2F18">
        <w:rPr>
          <w:rFonts w:cs="Times New Roman"/>
          <w:sz w:val="22"/>
          <w:lang w:val="sr-Cyrl-RS"/>
        </w:rPr>
        <w:t xml:space="preserve"> </w:t>
      </w:r>
      <w:r w:rsidR="00BB3AD6" w:rsidRPr="00EF2F18">
        <w:rPr>
          <w:rFonts w:cs="Times New Roman"/>
          <w:sz w:val="22"/>
          <w:lang w:val="sr-Cyrl-RS"/>
        </w:rPr>
        <w:t xml:space="preserve">2007/60/EC </w:t>
      </w:r>
      <w:r w:rsidRPr="00EF2F18">
        <w:rPr>
          <w:rFonts w:cs="Times New Roman"/>
          <w:sz w:val="22"/>
          <w:lang w:val="sr-Cyrl-RS"/>
        </w:rPr>
        <w:t>о процени и управљању ризицима од поплава.</w:t>
      </w:r>
    </w:p>
    <w:p w14:paraId="13B8BE76" w14:textId="1319D8BF" w:rsidR="00C45F38" w:rsidRPr="00EF2F18" w:rsidRDefault="00C45F38" w:rsidP="00C45F38">
      <w:pPr>
        <w:pStyle w:val="ListParagraph"/>
        <w:spacing w:after="0"/>
        <w:ind w:left="0" w:firstLine="720"/>
        <w:jc w:val="both"/>
        <w:rPr>
          <w:rFonts w:cs="Times New Roman"/>
          <w:sz w:val="22"/>
          <w:lang w:val="sr-Cyrl-RS"/>
        </w:rPr>
      </w:pPr>
      <w:r w:rsidRPr="00EF2F18">
        <w:rPr>
          <w:rFonts w:eastAsia="Calibri" w:cs="Times New Roman"/>
          <w:sz w:val="22"/>
          <w:lang w:val="sr-Cyrl-RS"/>
        </w:rPr>
        <w:lastRenderedPageBreak/>
        <w:t xml:space="preserve">Овај посебан циљ доприноси реализацији ЦОР 6 који </w:t>
      </w:r>
      <w:r w:rsidRPr="00EF2F18">
        <w:rPr>
          <w:sz w:val="22"/>
          <w:lang w:val="sr-Cyrl-RS"/>
        </w:rPr>
        <w:t>налаже да се обезбеди доступност и одрживо управљање вод</w:t>
      </w:r>
      <w:r w:rsidR="00A2305D" w:rsidRPr="00EF2F18">
        <w:rPr>
          <w:sz w:val="22"/>
          <w:lang w:val="sr-Cyrl-RS"/>
        </w:rPr>
        <w:t>ама</w:t>
      </w:r>
      <w:r w:rsidRPr="00EF2F18">
        <w:rPr>
          <w:sz w:val="22"/>
          <w:lang w:val="sr-Cyrl-RS"/>
        </w:rPr>
        <w:t xml:space="preserve"> и санитацијама за целокупно становништво, нарочито </w:t>
      </w:r>
      <w:r w:rsidR="00136871" w:rsidRPr="00EF2F18">
        <w:rPr>
          <w:sz w:val="22"/>
          <w:lang w:val="sr-Cyrl-RS"/>
        </w:rPr>
        <w:t xml:space="preserve">реализацији </w:t>
      </w:r>
      <w:r w:rsidRPr="00EF2F18">
        <w:rPr>
          <w:sz w:val="22"/>
          <w:lang w:val="sr-Cyrl-RS"/>
        </w:rPr>
        <w:t>следећих потциљева: 6.1</w:t>
      </w:r>
      <w:r w:rsidR="00753384">
        <w:rPr>
          <w:sz w:val="22"/>
          <w:lang w:val="sr-Cyrl-RS"/>
        </w:rPr>
        <w:t>.</w:t>
      </w:r>
      <w:r w:rsidRPr="00EF2F18">
        <w:rPr>
          <w:sz w:val="22"/>
          <w:lang w:val="sr-Cyrl-RS"/>
        </w:rPr>
        <w:t xml:space="preserve"> којим се предвиђа универзалан и једнак приступ безбедној и приуштивој пијаћој води за све; 6.2</w:t>
      </w:r>
      <w:r w:rsidR="00891D8A" w:rsidRPr="00EF2F18">
        <w:rPr>
          <w:sz w:val="22"/>
          <w:lang w:val="sr-Cyrl-RS"/>
        </w:rPr>
        <w:t>.</w:t>
      </w:r>
      <w:r w:rsidRPr="00EF2F18">
        <w:rPr>
          <w:sz w:val="22"/>
          <w:lang w:val="sr-Cyrl-RS"/>
        </w:rPr>
        <w:t xml:space="preserve"> којим се предвиђа постизање адекватног и једнаког приступа санитарним и хигијенским условима за све; 6.3</w:t>
      </w:r>
      <w:r w:rsidR="00891D8A" w:rsidRPr="00EF2F18">
        <w:rPr>
          <w:sz w:val="22"/>
          <w:lang w:val="sr-Cyrl-RS"/>
        </w:rPr>
        <w:t>.</w:t>
      </w:r>
      <w:r w:rsidRPr="00EF2F18">
        <w:rPr>
          <w:sz w:val="22"/>
          <w:lang w:val="sr-Cyrl-RS"/>
        </w:rPr>
        <w:t xml:space="preserve"> којим се предвиђа унапређење квалитета воде смањењем загађења.</w:t>
      </w:r>
    </w:p>
    <w:p w14:paraId="4EB9955A" w14:textId="77777777" w:rsidR="00C45F38" w:rsidRPr="00EF2F18" w:rsidRDefault="00C45F38" w:rsidP="00425FCC">
      <w:pPr>
        <w:spacing w:after="0"/>
        <w:ind w:firstLine="720"/>
        <w:rPr>
          <w:rFonts w:cs="Times New Roman"/>
          <w:sz w:val="22"/>
          <w:lang w:val="sr-Cyrl-RS"/>
        </w:rPr>
      </w:pPr>
    </w:p>
    <w:p w14:paraId="641CA876" w14:textId="37076D79"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3.2.1. </w:t>
      </w:r>
      <w:r w:rsidR="00FA04F8" w:rsidRPr="00EF2F18">
        <w:rPr>
          <w:rFonts w:cs="Times New Roman"/>
          <w:b/>
          <w:bCs/>
          <w:sz w:val="22"/>
          <w:lang w:val="sr-Cyrl-RS" w:eastAsia="en-GB"/>
        </w:rPr>
        <w:t>Изградња објеката за обезбеђење довољних количина воде одговарајућег квалитета за различите категорије корисника, пре свега за снабдевање водом становништва</w:t>
      </w:r>
    </w:p>
    <w:p w14:paraId="33AF8DD5" w14:textId="77777777" w:rsidR="00D83673" w:rsidRPr="00EF2F18" w:rsidRDefault="00D83673" w:rsidP="00425FCC">
      <w:pPr>
        <w:spacing w:after="0"/>
        <w:ind w:firstLine="720"/>
        <w:jc w:val="both"/>
        <w:rPr>
          <w:rFonts w:cs="Times New Roman"/>
          <w:sz w:val="22"/>
          <w:lang w:val="sr-Cyrl-RS"/>
        </w:rPr>
      </w:pPr>
    </w:p>
    <w:p w14:paraId="382F96B0" w14:textId="2D3495F0" w:rsidR="00FA04F8" w:rsidRPr="00EF2F18" w:rsidRDefault="00FA04F8" w:rsidP="00425FCC">
      <w:pPr>
        <w:spacing w:after="0"/>
        <w:ind w:firstLine="720"/>
        <w:jc w:val="both"/>
        <w:rPr>
          <w:rFonts w:cs="Times New Roman"/>
          <w:sz w:val="22"/>
          <w:lang w:val="sr-Cyrl-RS"/>
        </w:rPr>
      </w:pPr>
      <w:r w:rsidRPr="00EF2F18">
        <w:rPr>
          <w:rFonts w:cs="Times New Roman"/>
          <w:sz w:val="22"/>
          <w:lang w:val="sr-Cyrl-RS"/>
        </w:rPr>
        <w:t xml:space="preserve">Ова мера подразумева изградњу објеката у циљу комплетирања постојеће мреже за јавно водоснабдевање у насељима, уз њено проширење и на приградска подручја, изградњу водоводне мреже и остале потребне инфраструктуре у насељима без јавног водоснабдевања и обезбеђивање квалитета воде намењене за људску потрошњу до прописаних националних стандарда </w:t>
      </w:r>
      <w:r w:rsidR="00A04FD4" w:rsidRPr="00EF2F18">
        <w:rPr>
          <w:rFonts w:cs="Times New Roman"/>
          <w:sz w:val="22"/>
          <w:lang w:val="sr-Cyrl-RS"/>
        </w:rPr>
        <w:t>(</w:t>
      </w:r>
      <w:r w:rsidR="00A04FD4" w:rsidRPr="00EF2F18">
        <w:rPr>
          <w:rFonts w:eastAsia="Calibri" w:cs="Times New Roman"/>
          <w:sz w:val="22"/>
          <w:lang w:val="sr-Cyrl-RS"/>
        </w:rPr>
        <w:t xml:space="preserve">веза са </w:t>
      </w:r>
      <w:r w:rsidR="002A4D43" w:rsidRPr="00EF2F18">
        <w:rPr>
          <w:rFonts w:eastAsia="Calibri" w:cs="Times New Roman"/>
          <w:sz w:val="22"/>
          <w:lang w:val="sr-Cyrl-RS"/>
        </w:rPr>
        <w:t>м</w:t>
      </w:r>
      <w:r w:rsidR="00A04FD4" w:rsidRPr="00EF2F18">
        <w:rPr>
          <w:rFonts w:eastAsia="Calibri" w:cs="Times New Roman"/>
          <w:sz w:val="22"/>
          <w:lang w:val="sr-Cyrl-RS"/>
        </w:rPr>
        <w:t>ером</w:t>
      </w:r>
      <w:r w:rsidR="00A04FD4" w:rsidRPr="00EF2F18">
        <w:rPr>
          <w:rFonts w:eastAsia="Calibri" w:cs="Times New Roman"/>
          <w:i/>
          <w:iCs/>
          <w:sz w:val="22"/>
          <w:lang w:val="sr-Cyrl-RS"/>
        </w:rPr>
        <w:t xml:space="preserve"> </w:t>
      </w:r>
      <w:r w:rsidR="00A04FD4" w:rsidRPr="00EF2F18">
        <w:rPr>
          <w:rFonts w:cs="Times New Roman"/>
          <w:sz w:val="22"/>
          <w:lang w:val="sr-Cyrl-RS"/>
        </w:rPr>
        <w:t>1.1.3</w:t>
      </w:r>
      <w:r w:rsidR="007A2E9F" w:rsidRPr="00EF2F18">
        <w:rPr>
          <w:rFonts w:cs="Times New Roman"/>
          <w:sz w:val="22"/>
          <w:lang w:val="sr-Cyrl-RS"/>
        </w:rPr>
        <w:t>.</w:t>
      </w:r>
      <w:r w:rsidR="00A04FD4" w:rsidRPr="00EF2F18">
        <w:rPr>
          <w:rFonts w:cs="Times New Roman"/>
          <w:sz w:val="22"/>
          <w:lang w:val="sr-Cyrl-RS"/>
        </w:rPr>
        <w:t xml:space="preserve"> из </w:t>
      </w:r>
      <w:r w:rsidRPr="00EF2F18">
        <w:rPr>
          <w:rFonts w:cs="Times New Roman"/>
          <w:sz w:val="22"/>
          <w:lang w:val="sr-Cyrl-RS"/>
        </w:rPr>
        <w:t>Акцион</w:t>
      </w:r>
      <w:r w:rsidR="00A04FD4" w:rsidRPr="00EF2F18">
        <w:rPr>
          <w:rFonts w:cs="Times New Roman"/>
          <w:sz w:val="22"/>
          <w:lang w:val="sr-Cyrl-RS"/>
        </w:rPr>
        <w:t>ог плана</w:t>
      </w:r>
      <w:r w:rsidRPr="00EF2F18">
        <w:rPr>
          <w:rFonts w:cs="Times New Roman"/>
          <w:sz w:val="22"/>
          <w:lang w:val="sr-Cyrl-RS"/>
        </w:rPr>
        <w:t xml:space="preserve"> за спровођење Стратегије управљања водама на територији Републике Србије за период од 2021. до 2023. године). </w:t>
      </w:r>
    </w:p>
    <w:p w14:paraId="1ACBA0D7" w14:textId="368E5A70"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FA04F8" w:rsidRPr="00EF2F18">
        <w:rPr>
          <w:rFonts w:cs="Times New Roman"/>
          <w:sz w:val="22"/>
          <w:lang w:val="sr-Cyrl-RS" w:eastAsia="en-GB"/>
        </w:rPr>
        <w:t>Министарство грађевинарства, саобраћаја и инфраструктуре</w:t>
      </w:r>
      <w:r w:rsidR="00891D8A" w:rsidRPr="00EF2F18">
        <w:rPr>
          <w:rFonts w:cs="Times New Roman"/>
          <w:sz w:val="22"/>
          <w:lang w:val="sr-Cyrl-RS" w:eastAsia="en-GB"/>
        </w:rPr>
        <w:t>.</w:t>
      </w:r>
    </w:p>
    <w:p w14:paraId="09BAFCEC" w14:textId="0B2E9661"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рударства и енергетике, </w:t>
      </w:r>
      <w:r w:rsidR="00A82B16" w:rsidRPr="00EF2F18">
        <w:rPr>
          <w:rFonts w:cs="Times New Roman"/>
          <w:sz w:val="22"/>
          <w:lang w:val="sr-Cyrl-RS" w:eastAsia="en-GB"/>
        </w:rPr>
        <w:t xml:space="preserve">Министарство пољопривреде, шумарства и водопривреде, Министарство здравља, </w:t>
      </w:r>
      <w:r w:rsidRPr="00EF2F18">
        <w:rPr>
          <w:rFonts w:cs="Times New Roman"/>
          <w:sz w:val="22"/>
          <w:lang w:val="sr-Cyrl-RS" w:eastAsia="en-GB"/>
        </w:rPr>
        <w:t>јединице локалне самоуправе, јавна предузећа која обављају послове снабдевања водом за пиће</w:t>
      </w:r>
      <w:r w:rsidR="00A82B16" w:rsidRPr="00EF2F18">
        <w:rPr>
          <w:rFonts w:cs="Times New Roman"/>
          <w:sz w:val="22"/>
          <w:lang w:val="sr-Cyrl-RS" w:eastAsia="en-GB"/>
        </w:rPr>
        <w:t>, заводи за јавно здравље</w:t>
      </w:r>
      <w:r w:rsidR="00EC7C9B" w:rsidRPr="00EF2F18">
        <w:rPr>
          <w:rFonts w:cs="Times New Roman"/>
          <w:sz w:val="22"/>
          <w:lang w:val="sr-Cyrl-RS" w:eastAsia="en-GB"/>
        </w:rPr>
        <w:t>, Привредна комора Србије</w:t>
      </w:r>
      <w:r w:rsidR="00891D8A" w:rsidRPr="00EF2F18">
        <w:rPr>
          <w:rFonts w:cs="Times New Roman"/>
          <w:sz w:val="22"/>
          <w:lang w:val="sr-Cyrl-RS" w:eastAsia="en-GB"/>
        </w:rPr>
        <w:t>.</w:t>
      </w:r>
    </w:p>
    <w:p w14:paraId="63DE6A3B" w14:textId="7CD76914" w:rsidR="00491EBE"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обезбеђење добара и пружање услуга од стране учесника у планском систем</w:t>
      </w:r>
      <w:r w:rsidR="007C4DA2" w:rsidRPr="00EF2F18">
        <w:rPr>
          <w:rFonts w:cs="Times New Roman"/>
          <w:sz w:val="22"/>
          <w:lang w:val="sr-Cyrl-RS" w:eastAsia="en-GB"/>
        </w:rPr>
        <w:t>.</w:t>
      </w:r>
    </w:p>
    <w:p w14:paraId="669E4674" w14:textId="77777777" w:rsidR="00491EBE" w:rsidRPr="00EF2F18" w:rsidRDefault="00491EBE" w:rsidP="00425FCC">
      <w:pPr>
        <w:spacing w:after="0"/>
        <w:ind w:firstLine="720"/>
        <w:jc w:val="both"/>
        <w:rPr>
          <w:rFonts w:cs="Times New Roman"/>
          <w:sz w:val="22"/>
          <w:lang w:val="sr-Cyrl-RS" w:eastAsia="en-GB"/>
        </w:rPr>
      </w:pPr>
    </w:p>
    <w:p w14:paraId="6101B4FE" w14:textId="52F54AD9"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3.2.2. </w:t>
      </w:r>
      <w:r w:rsidR="00CC4BD6" w:rsidRPr="00EF2F18">
        <w:rPr>
          <w:rFonts w:cs="Times New Roman"/>
          <w:b/>
          <w:bCs/>
          <w:sz w:val="22"/>
          <w:lang w:val="sr-Cyrl-RS" w:eastAsia="en-GB"/>
        </w:rPr>
        <w:t xml:space="preserve">Развој </w:t>
      </w:r>
      <w:r w:rsidR="00FA04F8" w:rsidRPr="00EF2F18">
        <w:rPr>
          <w:rFonts w:cs="Times New Roman"/>
          <w:b/>
          <w:bCs/>
          <w:sz w:val="22"/>
          <w:lang w:val="sr-Cyrl-RS" w:eastAsia="en-GB"/>
        </w:rPr>
        <w:t xml:space="preserve">система за </w:t>
      </w:r>
      <w:r w:rsidR="00D21E05" w:rsidRPr="00EF2F18">
        <w:rPr>
          <w:rFonts w:cs="Times New Roman"/>
          <w:b/>
          <w:bCs/>
          <w:sz w:val="22"/>
          <w:lang w:val="sr-Cyrl-RS" w:eastAsia="en-GB"/>
        </w:rPr>
        <w:t>п</w:t>
      </w:r>
      <w:r w:rsidR="00CC4BD6" w:rsidRPr="00EF2F18">
        <w:rPr>
          <w:rFonts w:cs="Times New Roman"/>
          <w:b/>
          <w:bCs/>
          <w:sz w:val="22"/>
          <w:lang w:val="sr-Cyrl-RS" w:eastAsia="en-GB"/>
        </w:rPr>
        <w:t xml:space="preserve">рикупљање и </w:t>
      </w:r>
      <w:r w:rsidR="00FA04F8" w:rsidRPr="00EF2F18">
        <w:rPr>
          <w:rFonts w:cs="Times New Roman"/>
          <w:b/>
          <w:bCs/>
          <w:sz w:val="22"/>
          <w:lang w:val="sr-Cyrl-RS" w:eastAsia="en-GB"/>
        </w:rPr>
        <w:t xml:space="preserve">пречишћавање отпадних </w:t>
      </w:r>
      <w:r w:rsidR="00843A89" w:rsidRPr="00EF2F18">
        <w:rPr>
          <w:rFonts w:cs="Times New Roman"/>
          <w:b/>
          <w:bCs/>
          <w:sz w:val="22"/>
          <w:lang w:val="sr-Cyrl-RS" w:eastAsia="en-GB"/>
        </w:rPr>
        <w:t>вода</w:t>
      </w:r>
    </w:p>
    <w:p w14:paraId="4A98D776" w14:textId="77777777" w:rsidR="00957690" w:rsidRPr="00EF2F18" w:rsidRDefault="00957690"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p>
    <w:p w14:paraId="7EFC04C0" w14:textId="77777777" w:rsidR="00D83673" w:rsidRPr="00EF2F18" w:rsidRDefault="00D83673" w:rsidP="00CC4BD6">
      <w:pPr>
        <w:tabs>
          <w:tab w:val="left" w:pos="900"/>
        </w:tabs>
        <w:spacing w:after="0"/>
        <w:ind w:firstLine="720"/>
        <w:jc w:val="both"/>
        <w:rPr>
          <w:rFonts w:eastAsia="Calibri" w:cs="Times New Roman"/>
          <w:sz w:val="22"/>
          <w:lang w:val="sr-Cyrl-RS"/>
        </w:rPr>
      </w:pPr>
    </w:p>
    <w:p w14:paraId="2AA31598" w14:textId="254F335C" w:rsidR="00957690" w:rsidRPr="00EF2F18" w:rsidRDefault="00CC4BD6" w:rsidP="00D83673">
      <w:pPr>
        <w:tabs>
          <w:tab w:val="left" w:pos="900"/>
        </w:tabs>
        <w:spacing w:after="0"/>
        <w:ind w:firstLine="720"/>
        <w:jc w:val="both"/>
        <w:rPr>
          <w:rFonts w:eastAsia="Calibri" w:cs="Times New Roman"/>
          <w:sz w:val="22"/>
          <w:lang w:val="sr-Cyrl-RS"/>
        </w:rPr>
      </w:pPr>
      <w:r w:rsidRPr="00EF2F18">
        <w:rPr>
          <w:rFonts w:eastAsia="Calibri" w:cs="Times New Roman"/>
          <w:sz w:val="22"/>
          <w:lang w:val="sr-Cyrl-RS"/>
        </w:rPr>
        <w:t>Мера подразумева реконструкцију и изградњу канализационих система одговарајућег капацитета, као</w:t>
      </w:r>
      <w:r w:rsidR="005E5FF9" w:rsidRPr="00EF2F18">
        <w:rPr>
          <w:rFonts w:eastAsia="Calibri" w:cs="Times New Roman"/>
          <w:sz w:val="22"/>
          <w:lang w:val="sr-Cyrl-RS"/>
        </w:rPr>
        <w:t xml:space="preserve"> </w:t>
      </w:r>
      <w:r w:rsidRPr="00EF2F18">
        <w:rPr>
          <w:rFonts w:eastAsia="Calibri" w:cs="Times New Roman"/>
          <w:sz w:val="22"/>
          <w:lang w:val="sr-Cyrl-RS"/>
        </w:rPr>
        <w:t xml:space="preserve">и постројења за пречишћавање отпадних вода, </w:t>
      </w:r>
      <w:r w:rsidR="009C7115" w:rsidRPr="00EF2F18">
        <w:rPr>
          <w:rFonts w:eastAsia="Calibri" w:cs="Times New Roman"/>
          <w:sz w:val="22"/>
          <w:lang w:val="sr-Cyrl-RS"/>
        </w:rPr>
        <w:t>у складу са</w:t>
      </w:r>
      <w:r w:rsidRPr="00EF2F18">
        <w:rPr>
          <w:rFonts w:eastAsia="Calibri" w:cs="Times New Roman"/>
          <w:sz w:val="22"/>
          <w:lang w:val="sr-Cyrl-RS"/>
        </w:rPr>
        <w:t xml:space="preserve"> стандарди</w:t>
      </w:r>
      <w:r w:rsidR="009C7115" w:rsidRPr="00EF2F18">
        <w:rPr>
          <w:rFonts w:eastAsia="Calibri" w:cs="Times New Roman"/>
          <w:sz w:val="22"/>
          <w:lang w:val="sr-Cyrl-RS"/>
        </w:rPr>
        <w:t>ма</w:t>
      </w:r>
      <w:r w:rsidRPr="00EF2F18">
        <w:rPr>
          <w:rFonts w:eastAsia="Calibri" w:cs="Times New Roman"/>
          <w:sz w:val="22"/>
          <w:lang w:val="sr-Cyrl-RS"/>
        </w:rPr>
        <w:t xml:space="preserve"> квалитета животне средине</w:t>
      </w:r>
      <w:r w:rsidRPr="00EF2F18">
        <w:rPr>
          <w:rFonts w:cs="Times New Roman"/>
          <w:sz w:val="22"/>
          <w:lang w:val="sr-Cyrl-RS"/>
        </w:rPr>
        <w:t>.</w:t>
      </w:r>
      <w:r w:rsidRPr="00EF2F18">
        <w:rPr>
          <w:rFonts w:eastAsia="Calibri" w:cs="Times New Roman"/>
          <w:sz w:val="22"/>
          <w:lang w:val="sr-Cyrl-RS"/>
        </w:rPr>
        <w:t xml:space="preserve"> Потребно је развијати сепаратни систем прикупљања отпадних вода.</w:t>
      </w:r>
    </w:p>
    <w:p w14:paraId="346240B2" w14:textId="1729E4F7" w:rsidR="00CC4BD6" w:rsidRPr="00EF2F18" w:rsidRDefault="00CC4BD6" w:rsidP="00CC4BD6">
      <w:pPr>
        <w:spacing w:after="0"/>
        <w:ind w:firstLine="720"/>
        <w:jc w:val="both"/>
        <w:rPr>
          <w:rFonts w:cs="Times New Roman"/>
          <w:sz w:val="22"/>
          <w:highlight w:val="cyan"/>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r w:rsidRPr="00EF2F18">
        <w:rPr>
          <w:rFonts w:cs="Times New Roman"/>
          <w:sz w:val="22"/>
          <w:highlight w:val="cyan"/>
          <w:lang w:val="sr-Cyrl-RS" w:eastAsia="en-GB"/>
        </w:rPr>
        <w:t xml:space="preserve"> </w:t>
      </w:r>
    </w:p>
    <w:p w14:paraId="3AADB1FA" w14:textId="7045C530" w:rsidR="00843A89" w:rsidRPr="00EF2F18" w:rsidRDefault="00CC4BD6" w:rsidP="00CC4BD6">
      <w:pPr>
        <w:tabs>
          <w:tab w:val="left" w:pos="900"/>
        </w:tabs>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пољопривреде, шумарства и водопривреде – Републичка дирекција за воде, Министарство грађевинарства, саобраћаја и инфраструктуре, </w:t>
      </w:r>
      <w:r w:rsidR="00843A89" w:rsidRPr="00EF2F18">
        <w:rPr>
          <w:rFonts w:cs="Times New Roman"/>
          <w:sz w:val="22"/>
          <w:lang w:val="sr-Cyrl-RS" w:eastAsia="en-GB"/>
        </w:rPr>
        <w:t>јединице локалне самоуправе, јавна предузећа која обављају послове сакупљања, одвођења и пречишћавања комуналних отпадних вода</w:t>
      </w:r>
      <w:r w:rsidR="00891D8A" w:rsidRPr="00EF2F18">
        <w:rPr>
          <w:rFonts w:cs="Times New Roman"/>
          <w:sz w:val="22"/>
          <w:lang w:val="sr-Cyrl-RS" w:eastAsia="en-GB"/>
        </w:rPr>
        <w:t>.</w:t>
      </w:r>
    </w:p>
    <w:p w14:paraId="6566361F" w14:textId="1D4E3E24" w:rsidR="00491EBE" w:rsidRPr="00EF2F18" w:rsidRDefault="00843A89"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обезбеђење добара и пружање услуга од стране учесника у планском систему</w:t>
      </w:r>
      <w:r w:rsidR="007C4DA2" w:rsidRPr="00EF2F18">
        <w:rPr>
          <w:rFonts w:cs="Times New Roman"/>
          <w:sz w:val="22"/>
          <w:lang w:val="sr-Cyrl-RS" w:eastAsia="en-GB"/>
        </w:rPr>
        <w:t>.</w:t>
      </w:r>
    </w:p>
    <w:p w14:paraId="02A5DE1D" w14:textId="77777777" w:rsidR="00CB12C0" w:rsidRPr="00EF2F18" w:rsidRDefault="00CB12C0" w:rsidP="00425FCC">
      <w:pPr>
        <w:spacing w:after="0"/>
        <w:ind w:firstLine="720"/>
        <w:rPr>
          <w:rFonts w:cs="Times New Roman"/>
          <w:sz w:val="22"/>
          <w:lang w:val="sr-Cyrl-RS"/>
        </w:rPr>
      </w:pPr>
    </w:p>
    <w:p w14:paraId="2250E16B" w14:textId="49A126E2"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3.3: </w:t>
      </w:r>
      <w:r w:rsidR="009F32DA" w:rsidRPr="00EF2F18">
        <w:rPr>
          <w:rFonts w:cs="Times New Roman"/>
          <w:b/>
          <w:bCs/>
          <w:color w:val="2E74B5" w:themeColor="accent1" w:themeShade="BF"/>
          <w:sz w:val="22"/>
          <w:lang w:val="sr-Cyrl-RS"/>
        </w:rPr>
        <w:t>Унапређење продуктивности, стања и квалитета земљишта, спречавање деградације и контаминације земљишта</w:t>
      </w:r>
    </w:p>
    <w:p w14:paraId="5D513321" w14:textId="77777777" w:rsidR="00753384" w:rsidRDefault="00753384" w:rsidP="00425FCC">
      <w:pPr>
        <w:spacing w:after="0"/>
        <w:ind w:firstLine="720"/>
        <w:jc w:val="both"/>
        <w:rPr>
          <w:rFonts w:cs="Times New Roman"/>
          <w:sz w:val="22"/>
          <w:lang w:val="sr-Cyrl-RS"/>
        </w:rPr>
      </w:pPr>
    </w:p>
    <w:p w14:paraId="13E48A22" w14:textId="57546FC8" w:rsidR="00491EBE" w:rsidRPr="00EF2F18" w:rsidRDefault="00843A89" w:rsidP="00425FCC">
      <w:pPr>
        <w:spacing w:after="0"/>
        <w:ind w:firstLine="720"/>
        <w:jc w:val="both"/>
        <w:rPr>
          <w:rFonts w:cs="Times New Roman"/>
          <w:sz w:val="22"/>
          <w:lang w:val="sr-Cyrl-RS"/>
        </w:rPr>
      </w:pPr>
      <w:r w:rsidRPr="00EF2F18">
        <w:rPr>
          <w:rFonts w:cs="Times New Roman"/>
          <w:sz w:val="22"/>
          <w:lang w:val="sr-Cyrl-RS"/>
        </w:rPr>
        <w:t>Спровођење овог циља базирано је на одредбама Стратегије Европске уније о земљишту до 2030. године</w:t>
      </w:r>
      <w:r w:rsidR="00491EBE" w:rsidRPr="00EF2F18">
        <w:rPr>
          <w:rFonts w:cs="Times New Roman"/>
          <w:sz w:val="22"/>
          <w:lang w:val="sr-Cyrl-RS"/>
        </w:rPr>
        <w:t>.</w:t>
      </w:r>
    </w:p>
    <w:p w14:paraId="41940009" w14:textId="1BF7ED71" w:rsidR="00491EBE" w:rsidRPr="00EF2F18" w:rsidRDefault="00C45F38" w:rsidP="00753384">
      <w:pPr>
        <w:pStyle w:val="ListParagraph"/>
        <w:spacing w:after="0"/>
        <w:ind w:left="0"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w:t>
      </w:r>
      <w:r w:rsidR="00585DF5" w:rsidRPr="00EF2F18">
        <w:rPr>
          <w:rFonts w:eastAsia="Calibri" w:cs="Times New Roman"/>
          <w:sz w:val="22"/>
          <w:lang w:val="sr-Cyrl-RS"/>
        </w:rPr>
        <w:t>15</w:t>
      </w:r>
      <w:r w:rsidRPr="00EF2F18">
        <w:rPr>
          <w:rFonts w:eastAsia="Calibri" w:cs="Times New Roman"/>
          <w:sz w:val="22"/>
          <w:lang w:val="sr-Cyrl-RS"/>
        </w:rPr>
        <w:t xml:space="preserve"> </w:t>
      </w:r>
      <w:r w:rsidR="00585DF5" w:rsidRPr="00EF2F18">
        <w:rPr>
          <w:rFonts w:eastAsia="Calibri" w:cs="Times New Roman"/>
          <w:sz w:val="22"/>
          <w:lang w:val="sr-Cyrl-RS"/>
        </w:rPr>
        <w:t xml:space="preserve">који </w:t>
      </w:r>
      <w:r w:rsidR="00585DF5" w:rsidRPr="00EF2F18">
        <w:rPr>
          <w:sz w:val="22"/>
          <w:lang w:val="sr-Cyrl-RS"/>
        </w:rPr>
        <w:t>предвиђа заштиту копнених екосистема</w:t>
      </w:r>
      <w:r w:rsidRPr="00EF2F18">
        <w:rPr>
          <w:sz w:val="22"/>
          <w:lang w:val="sr-Cyrl-RS"/>
        </w:rPr>
        <w:t xml:space="preserve">, </w:t>
      </w:r>
      <w:r w:rsidR="00136871" w:rsidRPr="00EF2F18">
        <w:rPr>
          <w:sz w:val="22"/>
          <w:lang w:val="sr-Cyrl-RS"/>
        </w:rPr>
        <w:t>посебно реализацији</w:t>
      </w:r>
      <w:r w:rsidRPr="00EF2F18">
        <w:rPr>
          <w:sz w:val="22"/>
          <w:lang w:val="sr-Cyrl-RS"/>
        </w:rPr>
        <w:t xml:space="preserve"> потциља</w:t>
      </w:r>
      <w:r w:rsidR="00585DF5" w:rsidRPr="00EF2F18">
        <w:rPr>
          <w:sz w:val="22"/>
          <w:lang w:val="sr-Cyrl-RS"/>
        </w:rPr>
        <w:t xml:space="preserve"> 15.3.</w:t>
      </w:r>
      <w:r w:rsidRPr="00EF2F18">
        <w:rPr>
          <w:sz w:val="22"/>
          <w:lang w:val="sr-Cyrl-RS"/>
        </w:rPr>
        <w:t xml:space="preserve"> </w:t>
      </w:r>
      <w:r w:rsidR="005F103F" w:rsidRPr="00EF2F18">
        <w:rPr>
          <w:sz w:val="22"/>
          <w:lang w:val="sr-Cyrl-RS"/>
        </w:rPr>
        <w:t>којим налаже борбу</w:t>
      </w:r>
      <w:r w:rsidR="00585DF5" w:rsidRPr="00EF2F18">
        <w:rPr>
          <w:sz w:val="22"/>
          <w:lang w:val="sr-Cyrl-RS"/>
        </w:rPr>
        <w:t xml:space="preserve"> против дезертификације, обнавља</w:t>
      </w:r>
      <w:r w:rsidR="005F103F" w:rsidRPr="00EF2F18">
        <w:rPr>
          <w:sz w:val="22"/>
          <w:lang w:val="sr-Cyrl-RS"/>
        </w:rPr>
        <w:t>ње</w:t>
      </w:r>
      <w:r w:rsidR="00585DF5" w:rsidRPr="00EF2F18">
        <w:rPr>
          <w:sz w:val="22"/>
          <w:lang w:val="sr-Cyrl-RS"/>
        </w:rPr>
        <w:t xml:space="preserve"> деградирано</w:t>
      </w:r>
      <w:r w:rsidR="005F103F" w:rsidRPr="00EF2F18">
        <w:rPr>
          <w:sz w:val="22"/>
          <w:lang w:val="sr-Cyrl-RS"/>
        </w:rPr>
        <w:t>г</w:t>
      </w:r>
      <w:r w:rsidR="00585DF5" w:rsidRPr="00EF2F18">
        <w:rPr>
          <w:sz w:val="22"/>
          <w:lang w:val="sr-Cyrl-RS"/>
        </w:rPr>
        <w:t xml:space="preserve"> земљишт</w:t>
      </w:r>
      <w:r w:rsidR="005F103F" w:rsidRPr="00EF2F18">
        <w:rPr>
          <w:sz w:val="22"/>
          <w:lang w:val="sr-Cyrl-RS"/>
        </w:rPr>
        <w:t>а</w:t>
      </w:r>
      <w:r w:rsidR="00585DF5" w:rsidRPr="00EF2F18">
        <w:rPr>
          <w:sz w:val="22"/>
          <w:lang w:val="sr-Cyrl-RS"/>
        </w:rPr>
        <w:t xml:space="preserve"> и тл</w:t>
      </w:r>
      <w:r w:rsidR="005F103F" w:rsidRPr="00EF2F18">
        <w:rPr>
          <w:sz w:val="22"/>
          <w:lang w:val="sr-Cyrl-RS"/>
        </w:rPr>
        <w:t>а</w:t>
      </w:r>
      <w:r w:rsidR="00585DF5" w:rsidRPr="00EF2F18">
        <w:rPr>
          <w:sz w:val="22"/>
          <w:lang w:val="sr-Cyrl-RS"/>
        </w:rPr>
        <w:t>, укључујући земљиште под утицајем дезертификације, суша и поплава, и теж</w:t>
      </w:r>
      <w:r w:rsidR="005F103F" w:rsidRPr="00EF2F18">
        <w:rPr>
          <w:sz w:val="22"/>
          <w:lang w:val="sr-Cyrl-RS"/>
        </w:rPr>
        <w:t>њу</w:t>
      </w:r>
      <w:r w:rsidR="00585DF5" w:rsidRPr="00EF2F18">
        <w:rPr>
          <w:sz w:val="22"/>
          <w:lang w:val="sr-Cyrl-RS"/>
        </w:rPr>
        <w:t xml:space="preserve"> да се у свету неутрализује деградација земљишта</w:t>
      </w:r>
      <w:r w:rsidRPr="00EF2F18">
        <w:rPr>
          <w:sz w:val="22"/>
          <w:lang w:val="sr-Cyrl-RS"/>
        </w:rPr>
        <w:t>.</w:t>
      </w:r>
    </w:p>
    <w:p w14:paraId="4C88360D" w14:textId="77777777" w:rsidR="00891D8A" w:rsidRPr="00EF2F18" w:rsidRDefault="00891D8A" w:rsidP="00425FCC">
      <w:pPr>
        <w:spacing w:after="0"/>
        <w:ind w:firstLine="720"/>
        <w:rPr>
          <w:rFonts w:cs="Times New Roman"/>
          <w:sz w:val="22"/>
          <w:lang w:val="sr-Cyrl-RS"/>
        </w:rPr>
      </w:pPr>
    </w:p>
    <w:p w14:paraId="65D23042" w14:textId="6DA27FB3"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3.3.1. </w:t>
      </w:r>
      <w:r w:rsidR="00CB5259" w:rsidRPr="00EF2F18">
        <w:rPr>
          <w:rFonts w:cs="Times New Roman"/>
          <w:b/>
          <w:bCs/>
          <w:sz w:val="22"/>
          <w:lang w:val="sr-Cyrl-RS" w:eastAsia="en-GB"/>
        </w:rPr>
        <w:t>Успост</w:t>
      </w:r>
      <w:r w:rsidR="003659A7">
        <w:rPr>
          <w:rFonts w:cs="Times New Roman"/>
          <w:b/>
          <w:bCs/>
          <w:sz w:val="22"/>
          <w:lang w:val="sr-Cyrl-RS" w:eastAsia="en-GB"/>
        </w:rPr>
        <w:t>ав</w:t>
      </w:r>
      <w:r w:rsidR="00CB5259" w:rsidRPr="00EF2F18">
        <w:rPr>
          <w:rFonts w:cs="Times New Roman"/>
          <w:b/>
          <w:bCs/>
          <w:sz w:val="22"/>
          <w:lang w:val="sr-Cyrl-RS" w:eastAsia="en-GB"/>
        </w:rPr>
        <w:t>љање планског оквира за заштиту земљишта на свим нивоима</w:t>
      </w:r>
    </w:p>
    <w:p w14:paraId="37ACAAF2" w14:textId="77777777" w:rsidR="00D83673" w:rsidRPr="00EF2F18" w:rsidRDefault="00843A89" w:rsidP="00425FCC">
      <w:pPr>
        <w:tabs>
          <w:tab w:val="left" w:pos="900"/>
        </w:tabs>
        <w:spacing w:after="0"/>
        <w:ind w:firstLine="720"/>
        <w:jc w:val="both"/>
        <w:rPr>
          <w:rFonts w:eastAsia="Calibri" w:cs="Times New Roman"/>
          <w:sz w:val="22"/>
          <w:lang w:val="sr-Cyrl-RS"/>
        </w:rPr>
      </w:pPr>
      <w:r w:rsidRPr="00EF2F18">
        <w:rPr>
          <w:rFonts w:eastAsia="Calibri" w:cs="Times New Roman"/>
          <w:sz w:val="22"/>
          <w:lang w:val="sr-Cyrl-RS"/>
        </w:rPr>
        <w:tab/>
      </w:r>
    </w:p>
    <w:p w14:paraId="47E7AF97" w14:textId="641E48A6" w:rsidR="00843A89" w:rsidRPr="00EF2F18" w:rsidRDefault="00843A89" w:rsidP="00425FCC">
      <w:pPr>
        <w:tabs>
          <w:tab w:val="left" w:pos="900"/>
        </w:tabs>
        <w:spacing w:after="0"/>
        <w:ind w:firstLine="720"/>
        <w:jc w:val="both"/>
        <w:rPr>
          <w:rFonts w:eastAsia="Calibri" w:cs="Times New Roman"/>
          <w:sz w:val="22"/>
          <w:lang w:val="sr-Cyrl-RS"/>
        </w:rPr>
      </w:pPr>
      <w:r w:rsidRPr="00EF2F18">
        <w:rPr>
          <w:rFonts w:eastAsia="Calibri" w:cs="Times New Roman"/>
          <w:sz w:val="22"/>
          <w:lang w:val="sr-Cyrl-RS"/>
        </w:rPr>
        <w:t xml:space="preserve">Мера предвиђа израду, усвајање и спровођење </w:t>
      </w:r>
      <w:r w:rsidR="001E4FD2" w:rsidRPr="00EF2F18">
        <w:rPr>
          <w:rFonts w:eastAsia="Calibri" w:cs="Times New Roman"/>
          <w:sz w:val="22"/>
          <w:lang w:val="sr-Cyrl-RS"/>
        </w:rPr>
        <w:t>програма</w:t>
      </w:r>
      <w:r w:rsidRPr="00EF2F18">
        <w:rPr>
          <w:rFonts w:eastAsia="Calibri" w:cs="Times New Roman"/>
          <w:sz w:val="22"/>
          <w:lang w:val="sr-Cyrl-RS"/>
        </w:rPr>
        <w:t xml:space="preserve"> заштите земљишта, у складу са чланом </w:t>
      </w:r>
      <w:r w:rsidR="00F9265D" w:rsidRPr="00EF2F18">
        <w:rPr>
          <w:rFonts w:eastAsia="Calibri" w:cs="Times New Roman"/>
          <w:sz w:val="22"/>
          <w:lang w:val="sr-Cyrl-RS"/>
        </w:rPr>
        <w:t>15</w:t>
      </w:r>
      <w:r w:rsidR="005968B3" w:rsidRPr="00EF2F18">
        <w:rPr>
          <w:rFonts w:eastAsia="Calibri" w:cs="Times New Roman"/>
          <w:sz w:val="22"/>
          <w:lang w:val="sr-Cyrl-RS"/>
        </w:rPr>
        <w:t>.</w:t>
      </w:r>
      <w:r w:rsidRPr="00EF2F18">
        <w:rPr>
          <w:rFonts w:eastAsia="Calibri" w:cs="Times New Roman"/>
          <w:sz w:val="22"/>
          <w:lang w:val="sr-Cyrl-RS"/>
        </w:rPr>
        <w:t xml:space="preserve"> Закона о заштити земљишта („Сл</w:t>
      </w:r>
      <w:r w:rsidR="00CF307C" w:rsidRPr="00EF2F18">
        <w:rPr>
          <w:rFonts w:eastAsia="Calibri" w:cs="Times New Roman"/>
          <w:sz w:val="22"/>
          <w:lang w:val="sr-Cyrl-RS"/>
        </w:rPr>
        <w:t>ужбени</w:t>
      </w:r>
      <w:r w:rsidRPr="00EF2F18">
        <w:rPr>
          <w:rFonts w:eastAsia="Calibri" w:cs="Times New Roman"/>
          <w:sz w:val="22"/>
          <w:lang w:val="sr-Cyrl-RS"/>
        </w:rPr>
        <w:t xml:space="preserve"> гласник РС</w:t>
      </w:r>
      <w:r w:rsidR="00CF307C" w:rsidRPr="00EF2F18">
        <w:rPr>
          <w:rFonts w:eastAsia="Calibri" w:cs="Times New Roman"/>
          <w:sz w:val="22"/>
          <w:lang w:val="sr-Cyrl-RS"/>
        </w:rPr>
        <w:t>”</w:t>
      </w:r>
      <w:r w:rsidRPr="00EF2F18">
        <w:rPr>
          <w:rFonts w:eastAsia="Calibri" w:cs="Times New Roman"/>
          <w:sz w:val="22"/>
          <w:lang w:val="sr-Cyrl-RS"/>
        </w:rPr>
        <w:t>, бр</w:t>
      </w:r>
      <w:r w:rsidR="00CF307C" w:rsidRPr="00EF2F18">
        <w:rPr>
          <w:rFonts w:eastAsia="Calibri" w:cs="Times New Roman"/>
          <w:sz w:val="22"/>
          <w:lang w:val="sr-Cyrl-RS"/>
        </w:rPr>
        <w:t>ој</w:t>
      </w:r>
      <w:r w:rsidRPr="00EF2F18">
        <w:rPr>
          <w:rFonts w:eastAsia="Calibri" w:cs="Times New Roman"/>
          <w:sz w:val="22"/>
          <w:lang w:val="sr-Cyrl-RS"/>
        </w:rPr>
        <w:t xml:space="preserve"> 112/15)</w:t>
      </w:r>
      <w:r w:rsidR="001E4FD2" w:rsidRPr="00EF2F18">
        <w:rPr>
          <w:rFonts w:eastAsia="Calibri" w:cs="Times New Roman"/>
          <w:sz w:val="22"/>
          <w:lang w:val="sr-Cyrl-RS"/>
        </w:rPr>
        <w:t xml:space="preserve"> и Законом о планском систему </w:t>
      </w:r>
      <w:r w:rsidR="00891D8A" w:rsidRPr="00EF2F18">
        <w:rPr>
          <w:rFonts w:eastAsia="Calibri" w:cs="Times New Roman"/>
          <w:bCs/>
          <w:sz w:val="22"/>
          <w:lang w:val="sr-Cyrl-RS"/>
        </w:rPr>
        <w:t>Републике Србије</w:t>
      </w:r>
      <w:r w:rsidR="00891D8A" w:rsidRPr="00EF2F18">
        <w:rPr>
          <w:rFonts w:eastAsia="Calibri" w:cs="Times New Roman"/>
          <w:sz w:val="22"/>
          <w:lang w:val="sr-Cyrl-RS"/>
        </w:rPr>
        <w:t xml:space="preserve"> </w:t>
      </w:r>
      <w:r w:rsidR="001E4FD2" w:rsidRPr="00EF2F18">
        <w:rPr>
          <w:rFonts w:eastAsia="Calibri" w:cs="Times New Roman"/>
          <w:sz w:val="22"/>
          <w:lang w:val="sr-Cyrl-RS"/>
        </w:rPr>
        <w:t>(„Службени гласник РС”, број 30/18)</w:t>
      </w:r>
      <w:r w:rsidRPr="00EF2F18">
        <w:rPr>
          <w:rFonts w:eastAsia="Calibri" w:cs="Times New Roman"/>
          <w:sz w:val="22"/>
          <w:lang w:val="sr-Cyrl-RS"/>
        </w:rPr>
        <w:t xml:space="preserve">. </w:t>
      </w:r>
      <w:r w:rsidR="001E4FD2" w:rsidRPr="00EF2F18">
        <w:rPr>
          <w:rFonts w:eastAsia="Calibri" w:cs="Times New Roman"/>
          <w:sz w:val="22"/>
          <w:lang w:val="sr-Cyrl-RS"/>
        </w:rPr>
        <w:t>Програм</w:t>
      </w:r>
      <w:r w:rsidRPr="00EF2F18">
        <w:rPr>
          <w:rFonts w:eastAsia="Calibri" w:cs="Times New Roman"/>
          <w:sz w:val="22"/>
          <w:lang w:val="sr-Cyrl-RS"/>
        </w:rPr>
        <w:t xml:space="preserve"> заштите </w:t>
      </w:r>
      <w:r w:rsidRPr="00EF2F18">
        <w:rPr>
          <w:rFonts w:eastAsia="Calibri" w:cs="Times New Roman"/>
          <w:sz w:val="22"/>
          <w:lang w:val="sr-Cyrl-RS"/>
        </w:rPr>
        <w:lastRenderedPageBreak/>
        <w:t>земљишта</w:t>
      </w:r>
      <w:r w:rsidR="005968B3" w:rsidRPr="00EF2F18">
        <w:rPr>
          <w:rFonts w:eastAsia="Calibri" w:cs="Times New Roman"/>
          <w:sz w:val="22"/>
          <w:lang w:val="sr-Cyrl-RS"/>
        </w:rPr>
        <w:t xml:space="preserve">, </w:t>
      </w:r>
      <w:r w:rsidRPr="00EF2F18">
        <w:rPr>
          <w:rFonts w:eastAsia="Calibri" w:cs="Times New Roman"/>
          <w:sz w:val="22"/>
          <w:lang w:val="sr-Cyrl-RS"/>
        </w:rPr>
        <w:t xml:space="preserve">за период од седам година, садржи: оцену постојећег стања; циљеве за остваривање заштите земљишта; смернице за заштиту земљишта од загађивања и деградације; мере заштите земљишта; мере за побољшање квалитета земљишта; активности за остваривање мера заштите и мера побољшања квалитета земљишта; субјекте одговорне за спровођење мера и активности; средства потребна за реализацију плана и начин њиховог обезбеђивања и коришћења. </w:t>
      </w:r>
      <w:r w:rsidR="00977527" w:rsidRPr="00EF2F18">
        <w:rPr>
          <w:rFonts w:eastAsia="Calibri" w:cs="Times New Roman"/>
          <w:sz w:val="22"/>
          <w:lang w:val="sr-Cyrl-RS"/>
        </w:rPr>
        <w:t xml:space="preserve">Програм </w:t>
      </w:r>
      <w:r w:rsidR="00A26BEE" w:rsidRPr="00EF2F18">
        <w:rPr>
          <w:rFonts w:eastAsia="Calibri" w:cs="Times New Roman"/>
          <w:sz w:val="22"/>
          <w:lang w:val="sr-Cyrl-RS"/>
        </w:rPr>
        <w:t xml:space="preserve">заштите земљишта спроводи се Годишњим програмом заштите земљишта који доноси јединица локалне самоуправе. Овај програм </w:t>
      </w:r>
      <w:r w:rsidR="00530E03" w:rsidRPr="00EF2F18">
        <w:rPr>
          <w:rFonts w:eastAsia="Calibri" w:cs="Times New Roman"/>
          <w:sz w:val="22"/>
          <w:lang w:val="sr-Cyrl-RS"/>
        </w:rPr>
        <w:t>обухвата</w:t>
      </w:r>
      <w:r w:rsidRPr="00EF2F18">
        <w:rPr>
          <w:rFonts w:eastAsia="Calibri" w:cs="Times New Roman"/>
          <w:sz w:val="22"/>
          <w:lang w:val="sr-Cyrl-RS"/>
        </w:rPr>
        <w:t xml:space="preserve"> мере заштите и мере за побољшање квалитета земљишта, активности и рокове за њихово спровођење, средства потребна за спровођење програма и начин њиховог обезбеђивања и коришћења и друге податке и документацију.</w:t>
      </w:r>
    </w:p>
    <w:p w14:paraId="1E47FDF6" w14:textId="68409709"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p>
    <w:p w14:paraId="4AE6927E" w14:textId="5AE7692F"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A26BEE" w:rsidRPr="00EF2F18">
        <w:rPr>
          <w:rFonts w:cs="Times New Roman"/>
          <w:sz w:val="22"/>
          <w:lang w:val="sr-Cyrl-RS" w:eastAsia="en-GB"/>
        </w:rPr>
        <w:t xml:space="preserve">Министарство финансија, </w:t>
      </w:r>
      <w:r w:rsidR="00530E03" w:rsidRPr="00EF2F18">
        <w:rPr>
          <w:rFonts w:cs="Times New Roman"/>
          <w:sz w:val="22"/>
          <w:lang w:val="sr-Cyrl-RS" w:eastAsia="en-GB"/>
        </w:rPr>
        <w:t>Министарство пољопривреде, шумарства и водопривреде, Министарство грађевинарства, саобр</w:t>
      </w:r>
      <w:r w:rsidR="0086059C" w:rsidRPr="00EF2F18">
        <w:rPr>
          <w:rFonts w:cs="Times New Roman"/>
          <w:sz w:val="22"/>
          <w:lang w:val="sr-Cyrl-RS" w:eastAsia="en-GB"/>
        </w:rPr>
        <w:t>а</w:t>
      </w:r>
      <w:r w:rsidR="00530E03" w:rsidRPr="00EF2F18">
        <w:rPr>
          <w:rFonts w:cs="Times New Roman"/>
          <w:sz w:val="22"/>
          <w:lang w:val="sr-Cyrl-RS" w:eastAsia="en-GB"/>
        </w:rPr>
        <w:t xml:space="preserve">ћаја и инфраструктуре, Министарство </w:t>
      </w:r>
      <w:r w:rsidR="007C23EE" w:rsidRPr="00EF2F18">
        <w:rPr>
          <w:rFonts w:cs="Times New Roman"/>
          <w:sz w:val="22"/>
          <w:lang w:val="sr-Cyrl-RS" w:eastAsia="en-GB"/>
        </w:rPr>
        <w:t>рударства и енергетике, Покрајински секретаријат за урбанизам и заштиту животне среди</w:t>
      </w:r>
      <w:r w:rsidR="007A2E9F" w:rsidRPr="00EF2F18">
        <w:rPr>
          <w:rFonts w:cs="Times New Roman"/>
          <w:sz w:val="22"/>
          <w:lang w:val="sr-Cyrl-RS" w:eastAsia="en-GB"/>
        </w:rPr>
        <w:t>не, јединице локалне самоуправе</w:t>
      </w:r>
      <w:r w:rsidR="00891D8A" w:rsidRPr="00EF2F18">
        <w:rPr>
          <w:rFonts w:cs="Times New Roman"/>
          <w:sz w:val="22"/>
          <w:lang w:val="sr-Cyrl-RS" w:eastAsia="en-GB"/>
        </w:rPr>
        <w:t>.</w:t>
      </w:r>
    </w:p>
    <w:p w14:paraId="69205488" w14:textId="6A405710" w:rsidR="00491EBE"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891D8A" w:rsidRPr="00EF2F18">
        <w:rPr>
          <w:rFonts w:cs="Times New Roman"/>
          <w:sz w:val="22"/>
          <w:lang w:val="sr-Cyrl-RS" w:eastAsia="en-GB"/>
        </w:rPr>
        <w:t>.</w:t>
      </w:r>
    </w:p>
    <w:p w14:paraId="1857E78F" w14:textId="77777777" w:rsidR="00491EBE" w:rsidRPr="00EF2F18" w:rsidRDefault="00491EBE" w:rsidP="00425FCC">
      <w:pPr>
        <w:spacing w:after="0"/>
        <w:ind w:firstLine="720"/>
        <w:jc w:val="both"/>
        <w:rPr>
          <w:rFonts w:cs="Times New Roman"/>
          <w:sz w:val="22"/>
          <w:lang w:val="sr-Cyrl-RS" w:eastAsia="en-GB"/>
        </w:rPr>
      </w:pPr>
    </w:p>
    <w:p w14:paraId="7F5B1FFA" w14:textId="244DFDF7" w:rsidR="00491EBE" w:rsidRPr="00EF2F18" w:rsidRDefault="00491EBE" w:rsidP="00F37C43">
      <w:pPr>
        <w:pBdr>
          <w:top w:val="single" w:sz="4" w:space="0"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3.3.2. </w:t>
      </w:r>
      <w:r w:rsidR="00934B7E" w:rsidRPr="00EF2F18">
        <w:rPr>
          <w:rFonts w:cs="Times New Roman"/>
          <w:b/>
          <w:bCs/>
          <w:sz w:val="22"/>
          <w:lang w:val="sr-Cyrl-RS" w:eastAsia="en-GB"/>
        </w:rPr>
        <w:t>Успостављање и с</w:t>
      </w:r>
      <w:r w:rsidR="00FA04F8" w:rsidRPr="00EF2F18">
        <w:rPr>
          <w:rFonts w:cs="Times New Roman"/>
          <w:b/>
          <w:bCs/>
          <w:sz w:val="22"/>
          <w:lang w:val="sr-Cyrl-RS" w:eastAsia="en-GB"/>
        </w:rPr>
        <w:t>провођење систематског праћења стања и квалитета земљишта</w:t>
      </w:r>
    </w:p>
    <w:p w14:paraId="4AD612A2" w14:textId="77777777" w:rsidR="00D83673" w:rsidRPr="00EF2F18" w:rsidRDefault="00D83673" w:rsidP="00425FCC">
      <w:pPr>
        <w:spacing w:after="0"/>
        <w:ind w:firstLine="720"/>
        <w:jc w:val="both"/>
        <w:rPr>
          <w:rFonts w:cs="Times New Roman"/>
          <w:sz w:val="22"/>
          <w:lang w:val="sr-Cyrl-RS"/>
        </w:rPr>
      </w:pPr>
    </w:p>
    <w:p w14:paraId="588B3F39" w14:textId="5DAC64F5" w:rsidR="00FA04F8" w:rsidRPr="00EF2F18" w:rsidRDefault="00FA04F8" w:rsidP="00425FCC">
      <w:pPr>
        <w:spacing w:after="0"/>
        <w:ind w:firstLine="720"/>
        <w:jc w:val="both"/>
        <w:rPr>
          <w:rFonts w:cs="Times New Roman"/>
          <w:sz w:val="22"/>
          <w:lang w:val="sr-Cyrl-RS"/>
        </w:rPr>
      </w:pPr>
      <w:r w:rsidRPr="00EF2F18">
        <w:rPr>
          <w:rFonts w:cs="Times New Roman"/>
          <w:sz w:val="22"/>
          <w:lang w:val="sr-Cyrl-RS"/>
        </w:rPr>
        <w:t xml:space="preserve">Тренутно, систематско праћење стања и квалитета земљишта у РС се још увек не спроводи на државном нивоу, док </w:t>
      </w:r>
      <w:r w:rsidR="00E52612" w:rsidRPr="00EF2F18">
        <w:rPr>
          <w:rFonts w:cs="Times New Roman"/>
          <w:sz w:val="22"/>
          <w:lang w:val="sr-Cyrl-RS"/>
        </w:rPr>
        <w:t xml:space="preserve">јединице </w:t>
      </w:r>
      <w:r w:rsidRPr="00EF2F18">
        <w:rPr>
          <w:rFonts w:cs="Times New Roman"/>
          <w:sz w:val="22"/>
          <w:lang w:val="sr-Cyrl-RS"/>
        </w:rPr>
        <w:t xml:space="preserve">локалне самоуправе и надлежни орган АП Војводине врше мониторинг земљишта, </w:t>
      </w:r>
      <w:r w:rsidR="00A26BEE" w:rsidRPr="00EF2F18">
        <w:rPr>
          <w:rFonts w:cs="Times New Roman"/>
          <w:sz w:val="22"/>
          <w:lang w:val="sr-Cyrl-RS"/>
        </w:rPr>
        <w:t>који</w:t>
      </w:r>
      <w:r w:rsidR="00880E07" w:rsidRPr="00EF2F18">
        <w:rPr>
          <w:rFonts w:cs="Times New Roman"/>
          <w:sz w:val="22"/>
          <w:lang w:val="sr-Cyrl-RS"/>
        </w:rPr>
        <w:t xml:space="preserve"> </w:t>
      </w:r>
      <w:r w:rsidRPr="00EF2F18">
        <w:rPr>
          <w:rFonts w:cs="Times New Roman"/>
          <w:sz w:val="22"/>
          <w:lang w:val="sr-Cyrl-RS"/>
        </w:rPr>
        <w:t>још увек није у потпуности усклађен са Законом. Ова мера обухвата спровођење систематског праћења стања и квалитета земљишта на државном и локалном нивоу, као што је прописано чл</w:t>
      </w:r>
      <w:r w:rsidR="00F9265D" w:rsidRPr="00EF2F18">
        <w:rPr>
          <w:rFonts w:cs="Times New Roman"/>
          <w:sz w:val="22"/>
          <w:lang w:val="sr-Cyrl-RS"/>
        </w:rPr>
        <w:t>.</w:t>
      </w:r>
      <w:r w:rsidRPr="00EF2F18">
        <w:rPr>
          <w:rFonts w:cs="Times New Roman"/>
          <w:sz w:val="22"/>
          <w:lang w:val="sr-Cyrl-RS"/>
        </w:rPr>
        <w:t xml:space="preserve"> 28</w:t>
      </w:r>
      <w:r w:rsidR="00CF307C" w:rsidRPr="00EF2F18">
        <w:rPr>
          <w:rFonts w:cs="Times New Roman"/>
          <w:sz w:val="22"/>
          <w:lang w:val="sr-Cyrl-RS"/>
        </w:rPr>
        <w:t>.</w:t>
      </w:r>
      <w:r w:rsidRPr="00EF2F18">
        <w:rPr>
          <w:rFonts w:cs="Times New Roman"/>
          <w:sz w:val="22"/>
          <w:lang w:val="sr-Cyrl-RS"/>
        </w:rPr>
        <w:t xml:space="preserve"> и 29</w:t>
      </w:r>
      <w:r w:rsidR="00CF307C" w:rsidRPr="00EF2F18">
        <w:rPr>
          <w:rFonts w:cs="Times New Roman"/>
          <w:sz w:val="22"/>
          <w:lang w:val="sr-Cyrl-RS"/>
        </w:rPr>
        <w:t xml:space="preserve">. </w:t>
      </w:r>
      <w:r w:rsidRPr="00EF2F18">
        <w:rPr>
          <w:rFonts w:cs="Times New Roman"/>
          <w:sz w:val="22"/>
          <w:lang w:val="sr-Cyrl-RS"/>
        </w:rPr>
        <w:t>Закона о заштити земљишта и Уредбом о систематском праћењу стања и квалитета земљишта (</w:t>
      </w:r>
      <w:r w:rsidR="00CF307C" w:rsidRPr="00EF2F18">
        <w:rPr>
          <w:rFonts w:cs="Times New Roman"/>
          <w:sz w:val="22"/>
          <w:lang w:val="sr-Cyrl-RS"/>
        </w:rPr>
        <w:t>„</w:t>
      </w:r>
      <w:r w:rsidRPr="00EF2F18">
        <w:rPr>
          <w:rFonts w:cs="Times New Roman"/>
          <w:sz w:val="22"/>
          <w:lang w:val="sr-Cyrl-RS"/>
        </w:rPr>
        <w:t>Сл</w:t>
      </w:r>
      <w:r w:rsidR="00CF307C" w:rsidRPr="00EF2F18">
        <w:rPr>
          <w:rFonts w:cs="Times New Roman"/>
          <w:sz w:val="22"/>
          <w:lang w:val="sr-Cyrl-RS"/>
        </w:rPr>
        <w:t>ужбени</w:t>
      </w:r>
      <w:r w:rsidRPr="00EF2F18">
        <w:rPr>
          <w:rFonts w:cs="Times New Roman"/>
          <w:sz w:val="22"/>
          <w:lang w:val="sr-Cyrl-RS"/>
        </w:rPr>
        <w:t xml:space="preserve"> гласник РС</w:t>
      </w:r>
      <w:r w:rsidR="00CF307C" w:rsidRPr="00EF2F18">
        <w:rPr>
          <w:rFonts w:cs="Times New Roman"/>
          <w:sz w:val="22"/>
          <w:lang w:val="sr-Cyrl-RS"/>
        </w:rPr>
        <w:t>”</w:t>
      </w:r>
      <w:r w:rsidRPr="00EF2F18">
        <w:rPr>
          <w:rFonts w:cs="Times New Roman"/>
          <w:sz w:val="22"/>
          <w:lang w:val="sr-Cyrl-RS"/>
        </w:rPr>
        <w:t>, бр</w:t>
      </w:r>
      <w:r w:rsidR="00CF307C" w:rsidRPr="00EF2F18">
        <w:rPr>
          <w:rFonts w:cs="Times New Roman"/>
          <w:sz w:val="22"/>
          <w:lang w:val="sr-Cyrl-RS"/>
        </w:rPr>
        <w:t>ој</w:t>
      </w:r>
      <w:r w:rsidRPr="00EF2F18">
        <w:rPr>
          <w:rFonts w:cs="Times New Roman"/>
          <w:sz w:val="22"/>
          <w:lang w:val="sr-Cyrl-RS"/>
        </w:rPr>
        <w:t xml:space="preserve"> 88/20), у складу са Програмом мониторинга земљишта на нивоу државне мреже који доноси Влада, на предлог Министарства, за период од две године, односно Програмом мониторинга земљишта на нивоу локалне мреже, који мора бити усклађен са Програмом мониторинга земљишта на нивоу државне мреже, који доноси надлежни орган аутономне покрајине и јединице локалне самоуправе</w:t>
      </w:r>
      <w:r w:rsidR="004D2CB7" w:rsidRPr="00EF2F18">
        <w:rPr>
          <w:rFonts w:cs="Times New Roman"/>
          <w:sz w:val="22"/>
          <w:lang w:val="sr-Cyrl-RS"/>
        </w:rPr>
        <w:t xml:space="preserve"> (веза са</w:t>
      </w:r>
      <w:r w:rsidR="005968B3" w:rsidRPr="00EF2F18">
        <w:rPr>
          <w:rFonts w:cs="Times New Roman"/>
          <w:sz w:val="22"/>
          <w:lang w:val="sr-Cyrl-RS"/>
        </w:rPr>
        <w:t xml:space="preserve"> </w:t>
      </w:r>
      <w:r w:rsidR="00EF02F9" w:rsidRPr="00EF2F18">
        <w:rPr>
          <w:rFonts w:cs="Times New Roman"/>
          <w:sz w:val="22"/>
          <w:lang w:val="sr-Cyrl-RS"/>
        </w:rPr>
        <w:t>м</w:t>
      </w:r>
      <w:r w:rsidR="005968B3" w:rsidRPr="00EF2F18">
        <w:rPr>
          <w:rFonts w:cs="Times New Roman"/>
          <w:sz w:val="22"/>
          <w:lang w:val="sr-Cyrl-RS"/>
        </w:rPr>
        <w:t xml:space="preserve">ерама 6.3.1. и 6.3.2. ове </w:t>
      </w:r>
      <w:r w:rsidR="007A2E9F" w:rsidRPr="00EF2F18">
        <w:rPr>
          <w:rFonts w:cs="Times New Roman"/>
          <w:sz w:val="22"/>
          <w:lang w:val="sr-Cyrl-RS"/>
        </w:rPr>
        <w:t>стратегије</w:t>
      </w:r>
      <w:r w:rsidR="004D2CB7" w:rsidRPr="00EF2F18">
        <w:rPr>
          <w:rFonts w:cs="Times New Roman"/>
          <w:sz w:val="22"/>
          <w:lang w:val="sr-Cyrl-RS"/>
        </w:rPr>
        <w:t>)</w:t>
      </w:r>
      <w:r w:rsidR="005968B3" w:rsidRPr="00EF2F18">
        <w:rPr>
          <w:rFonts w:cs="Times New Roman"/>
          <w:sz w:val="22"/>
          <w:lang w:val="sr-Cyrl-RS"/>
        </w:rPr>
        <w:t>.</w:t>
      </w:r>
    </w:p>
    <w:p w14:paraId="66246D7A" w14:textId="78AE8BBA" w:rsidR="00A26BEE" w:rsidRPr="00EF2F18" w:rsidRDefault="00843A89" w:rsidP="00A26BEE">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r w:rsidR="00A26BEE" w:rsidRPr="00EF2F18">
        <w:rPr>
          <w:rFonts w:cs="Times New Roman"/>
          <w:sz w:val="22"/>
          <w:lang w:val="sr-Cyrl-RS" w:eastAsia="en-GB"/>
        </w:rPr>
        <w:t xml:space="preserve"> </w:t>
      </w:r>
    </w:p>
    <w:p w14:paraId="48C79811" w14:textId="5EC0E0C3"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финансија, </w:t>
      </w:r>
      <w:r w:rsidR="007C23EE" w:rsidRPr="00EF2F18">
        <w:rPr>
          <w:rFonts w:cs="Times New Roman"/>
          <w:sz w:val="22"/>
          <w:lang w:val="sr-Cyrl-RS" w:eastAsia="en-GB"/>
        </w:rPr>
        <w:t xml:space="preserve">Покрајински секретаријат за урбанизам и заштиту животне средине, </w:t>
      </w:r>
      <w:r w:rsidRPr="00EF2F18">
        <w:rPr>
          <w:rFonts w:cs="Times New Roman"/>
          <w:sz w:val="22"/>
          <w:lang w:val="sr-Cyrl-RS" w:eastAsia="en-GB"/>
        </w:rPr>
        <w:t xml:space="preserve">Агенција за заштиту животне средине, јединице локалне самоуправе и </w:t>
      </w:r>
      <w:r w:rsidR="00A26BEE" w:rsidRPr="00EF2F18">
        <w:rPr>
          <w:rFonts w:cs="Times New Roman"/>
          <w:sz w:val="22"/>
          <w:lang w:val="sr-Cyrl-RS" w:eastAsia="en-GB"/>
        </w:rPr>
        <w:t>правна лица овлашћена за мониторинг земљишта</w:t>
      </w:r>
      <w:r w:rsidR="00891D8A" w:rsidRPr="00EF2F18">
        <w:rPr>
          <w:rFonts w:cs="Times New Roman"/>
          <w:sz w:val="22"/>
          <w:lang w:val="sr-Cyrl-RS" w:eastAsia="en-GB"/>
        </w:rPr>
        <w:t>.</w:t>
      </w:r>
    </w:p>
    <w:p w14:paraId="34AE2664" w14:textId="4686D7AC" w:rsidR="00D83673" w:rsidRPr="00EF2F18" w:rsidRDefault="00843A89"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30E03" w:rsidRPr="00EF2F18">
        <w:rPr>
          <w:rFonts w:cs="Times New Roman"/>
          <w:sz w:val="22"/>
          <w:lang w:val="sr-Cyrl-RS" w:eastAsia="en-GB"/>
        </w:rPr>
        <w:t>обезбеђивање добара и пружање услуга у од стране учесника у планском систему</w:t>
      </w:r>
      <w:r w:rsidR="00891D8A" w:rsidRPr="00EF2F18">
        <w:rPr>
          <w:rFonts w:cs="Times New Roman"/>
          <w:sz w:val="22"/>
          <w:lang w:val="sr-Cyrl-RS" w:eastAsia="en-GB"/>
        </w:rPr>
        <w:t>.</w:t>
      </w:r>
    </w:p>
    <w:p w14:paraId="5D39DFD9" w14:textId="405B31B7" w:rsidR="00D83673" w:rsidRPr="00EF2F18" w:rsidRDefault="00D83673" w:rsidP="00753384">
      <w:pPr>
        <w:spacing w:after="0"/>
        <w:jc w:val="both"/>
        <w:rPr>
          <w:rFonts w:cs="Times New Roman"/>
          <w:sz w:val="22"/>
          <w:lang w:val="sr-Cyrl-RS" w:eastAsia="en-GB"/>
        </w:rPr>
      </w:pPr>
    </w:p>
    <w:p w14:paraId="33D10BD1" w14:textId="5A1C5F9E"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3.3.3. Спровођење посебних програма испитивања стања и квалитета земљишта</w:t>
      </w:r>
    </w:p>
    <w:p w14:paraId="7912B7DD" w14:textId="77777777" w:rsidR="00D83673" w:rsidRPr="00EF2F18" w:rsidRDefault="00D83673" w:rsidP="00922619">
      <w:pPr>
        <w:spacing w:after="0"/>
        <w:ind w:firstLine="720"/>
        <w:jc w:val="both"/>
        <w:rPr>
          <w:rFonts w:cs="Times New Roman"/>
          <w:sz w:val="22"/>
          <w:lang w:val="sr-Cyrl-RS"/>
        </w:rPr>
      </w:pPr>
    </w:p>
    <w:p w14:paraId="195EC7AC" w14:textId="45701CEE" w:rsidR="00922619" w:rsidRPr="00EF2F18" w:rsidRDefault="00922619" w:rsidP="00922619">
      <w:pPr>
        <w:spacing w:after="0"/>
        <w:ind w:firstLine="720"/>
        <w:jc w:val="both"/>
        <w:rPr>
          <w:rFonts w:cs="Times New Roman"/>
          <w:sz w:val="22"/>
          <w:lang w:val="sr-Cyrl-RS"/>
        </w:rPr>
      </w:pPr>
      <w:r w:rsidRPr="00EF2F18">
        <w:rPr>
          <w:rFonts w:cs="Times New Roman"/>
          <w:sz w:val="22"/>
          <w:lang w:val="sr-Cyrl-RS"/>
        </w:rPr>
        <w:t xml:space="preserve">Ова мера подразумева спровођење посебних програма испитивања стања и квалитета земљишта на локацијама од посебног интереса за Републику Србију. </w:t>
      </w:r>
    </w:p>
    <w:p w14:paraId="6AD192C5" w14:textId="7B301B95"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w:t>
      </w:r>
      <w:r w:rsidR="00D02F27" w:rsidRPr="00EF2F18">
        <w:rPr>
          <w:rFonts w:cs="Times New Roman"/>
          <w:sz w:val="22"/>
          <w:lang w:val="sr-Cyrl-RS" w:eastAsia="en-GB"/>
        </w:rPr>
        <w:t>средине</w:t>
      </w:r>
      <w:r w:rsidR="00891D8A" w:rsidRPr="00EF2F18">
        <w:rPr>
          <w:rFonts w:cs="Times New Roman"/>
          <w:sz w:val="22"/>
          <w:lang w:val="sr-Cyrl-RS" w:eastAsia="en-GB"/>
        </w:rPr>
        <w:t xml:space="preserve"> – </w:t>
      </w:r>
      <w:r w:rsidR="001A4E19" w:rsidRPr="00EF2F18">
        <w:rPr>
          <w:rFonts w:cs="Times New Roman"/>
          <w:sz w:val="22"/>
          <w:lang w:val="sr-Cyrl-RS" w:eastAsia="en-GB"/>
        </w:rPr>
        <w:t>Агенција за заштиту животне средине</w:t>
      </w:r>
      <w:r w:rsidR="00891D8A" w:rsidRPr="00EF2F18">
        <w:rPr>
          <w:rFonts w:cs="Times New Roman"/>
          <w:sz w:val="22"/>
          <w:lang w:val="sr-Cyrl-RS" w:eastAsia="en-GB"/>
        </w:rPr>
        <w:t>.</w:t>
      </w:r>
    </w:p>
    <w:p w14:paraId="04F88129" w14:textId="4ED87635"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финансија, </w:t>
      </w:r>
      <w:r w:rsidR="00A26BEE" w:rsidRPr="00EF2F18">
        <w:rPr>
          <w:rFonts w:cs="Times New Roman"/>
          <w:sz w:val="22"/>
          <w:lang w:val="sr-Cyrl-RS" w:eastAsia="en-GB"/>
        </w:rPr>
        <w:t>Покрајински секретаријат за урбанизам и заштиту животне средине,</w:t>
      </w:r>
      <w:r w:rsidR="005E5FF9" w:rsidRPr="00EF2F18">
        <w:rPr>
          <w:rFonts w:cs="Times New Roman"/>
          <w:sz w:val="22"/>
          <w:lang w:val="sr-Cyrl-RS" w:eastAsia="en-GB"/>
        </w:rPr>
        <w:t xml:space="preserve"> </w:t>
      </w:r>
      <w:r w:rsidR="00A26BEE" w:rsidRPr="00EF2F18">
        <w:rPr>
          <w:rFonts w:cs="Times New Roman"/>
          <w:sz w:val="22"/>
          <w:lang w:val="sr-Cyrl-RS" w:eastAsia="en-GB"/>
        </w:rPr>
        <w:t>јединице локалне самоуправе, научно-истраживачке организације и акредитоване лабораторије</w:t>
      </w:r>
    </w:p>
    <w:p w14:paraId="35D8BE5F" w14:textId="1C56C3FF" w:rsidR="00FA04F8"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30E03" w:rsidRPr="00EF2F18">
        <w:rPr>
          <w:rFonts w:cs="Times New Roman"/>
          <w:sz w:val="22"/>
          <w:lang w:val="sr-Cyrl-RS" w:eastAsia="en-GB"/>
        </w:rPr>
        <w:t>обезбеђивање добара и пружање услуга од стране учесник</w:t>
      </w:r>
      <w:r w:rsidR="006C2E00" w:rsidRPr="00EF2F18">
        <w:rPr>
          <w:rFonts w:cs="Times New Roman"/>
          <w:sz w:val="22"/>
          <w:lang w:val="sr-Cyrl-RS" w:eastAsia="en-GB"/>
        </w:rPr>
        <w:t>а</w:t>
      </w:r>
      <w:r w:rsidR="00530E03" w:rsidRPr="00EF2F18">
        <w:rPr>
          <w:rFonts w:cs="Times New Roman"/>
          <w:sz w:val="22"/>
          <w:lang w:val="sr-Cyrl-RS" w:eastAsia="en-GB"/>
        </w:rPr>
        <w:t xml:space="preserve"> у планском систему</w:t>
      </w:r>
      <w:r w:rsidR="00891D8A" w:rsidRPr="00EF2F18">
        <w:rPr>
          <w:rFonts w:cs="Times New Roman"/>
          <w:sz w:val="22"/>
          <w:lang w:val="sr-Cyrl-RS" w:eastAsia="en-GB"/>
        </w:rPr>
        <w:t>.</w:t>
      </w:r>
    </w:p>
    <w:p w14:paraId="79EDD353" w14:textId="77777777" w:rsidR="00FA04F8" w:rsidRPr="00EF2F18" w:rsidRDefault="00FA04F8" w:rsidP="00425FCC">
      <w:pPr>
        <w:spacing w:after="0"/>
        <w:ind w:firstLine="720"/>
        <w:jc w:val="both"/>
        <w:rPr>
          <w:rFonts w:cs="Times New Roman"/>
          <w:sz w:val="22"/>
          <w:lang w:val="sr-Cyrl-RS" w:eastAsia="en-GB"/>
        </w:rPr>
      </w:pPr>
    </w:p>
    <w:p w14:paraId="3472E6DE" w14:textId="590FF501"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3.3.4. Унапређење управљања контаминираним локацијама</w:t>
      </w:r>
    </w:p>
    <w:p w14:paraId="0688B40D" w14:textId="77777777" w:rsidR="00D83673" w:rsidRPr="00EF2F18" w:rsidRDefault="00D83673" w:rsidP="00425FCC">
      <w:pPr>
        <w:spacing w:after="0"/>
        <w:ind w:firstLine="720"/>
        <w:jc w:val="both"/>
        <w:rPr>
          <w:rFonts w:cs="Times New Roman"/>
          <w:sz w:val="22"/>
          <w:lang w:val="sr-Cyrl-RS"/>
        </w:rPr>
      </w:pPr>
    </w:p>
    <w:p w14:paraId="015A0D59" w14:textId="2B62F9AA" w:rsidR="001C1A64" w:rsidRPr="00EF2F18" w:rsidRDefault="00FA04F8" w:rsidP="00425FCC">
      <w:pPr>
        <w:spacing w:after="0"/>
        <w:ind w:firstLine="720"/>
        <w:jc w:val="both"/>
        <w:rPr>
          <w:rFonts w:cs="Times New Roman"/>
          <w:sz w:val="22"/>
          <w:lang w:val="sr-Cyrl-RS"/>
        </w:rPr>
      </w:pPr>
      <w:r w:rsidRPr="00EF2F18">
        <w:rPr>
          <w:rFonts w:cs="Times New Roman"/>
          <w:sz w:val="22"/>
          <w:lang w:val="sr-Cyrl-RS"/>
        </w:rPr>
        <w:t xml:space="preserve">Ова мера има за циљ побољшање процеса идентификације, процене, санације и праћења контаминираних локација ради заштите здравља људи и животне средине. </w:t>
      </w:r>
      <w:r w:rsidR="001C1A64" w:rsidRPr="00EF2F18">
        <w:rPr>
          <w:rFonts w:cs="Times New Roman"/>
          <w:sz w:val="22"/>
          <w:lang w:val="sr-Cyrl-RS"/>
        </w:rPr>
        <w:t>Закон о заштити земљишта („Службени гласник РС", број 112/15) и Правилник о садржини и начи</w:t>
      </w:r>
      <w:r w:rsidR="00E65D1C" w:rsidRPr="00EF2F18">
        <w:rPr>
          <w:rFonts w:cs="Times New Roman"/>
          <w:sz w:val="22"/>
          <w:lang w:val="sr-Cyrl-RS"/>
        </w:rPr>
        <w:t>н</w:t>
      </w:r>
      <w:r w:rsidR="001C1A64" w:rsidRPr="00EF2F18">
        <w:rPr>
          <w:rFonts w:cs="Times New Roman"/>
          <w:sz w:val="22"/>
          <w:lang w:val="sr-Cyrl-RS"/>
        </w:rPr>
        <w:t xml:space="preserve">у вођења </w:t>
      </w:r>
      <w:r w:rsidR="001C1A64" w:rsidRPr="00EF2F18">
        <w:rPr>
          <w:rFonts w:cs="Times New Roman"/>
          <w:sz w:val="22"/>
          <w:lang w:val="sr-Cyrl-RS"/>
        </w:rPr>
        <w:lastRenderedPageBreak/>
        <w:t>катастра контаминираних локација, врсти, садржини, обрасцима, начину и роковима достављања података („Службени гласник РС", број 58/19) су ближе дефинисали начине идентификације, граничне вредности загађујућих материја у земљишт</w:t>
      </w:r>
      <w:r w:rsidR="00531392">
        <w:rPr>
          <w:rFonts w:cs="Times New Roman"/>
          <w:sz w:val="22"/>
          <w:lang w:val="sr-Cyrl-RS"/>
        </w:rPr>
        <w:t>у, утврђивање потенцијално конта</w:t>
      </w:r>
      <w:r w:rsidR="001C1A64" w:rsidRPr="00EF2F18">
        <w:rPr>
          <w:rFonts w:cs="Times New Roman"/>
          <w:sz w:val="22"/>
          <w:lang w:val="sr-Cyrl-RS"/>
        </w:rPr>
        <w:t>минираних локација, хитне мере, начине санације и рекултивације, као и начине извештавања.</w:t>
      </w:r>
    </w:p>
    <w:p w14:paraId="3F24969E" w14:textId="2822F6A4" w:rsidR="0079193B" w:rsidRPr="00EF2F18" w:rsidRDefault="00A72099" w:rsidP="00425FCC">
      <w:pPr>
        <w:spacing w:after="0"/>
        <w:ind w:firstLine="720"/>
        <w:jc w:val="both"/>
        <w:rPr>
          <w:rFonts w:cs="Times New Roman"/>
          <w:sz w:val="22"/>
          <w:lang w:val="sr-Cyrl-RS"/>
        </w:rPr>
      </w:pPr>
      <w:r w:rsidRPr="00EF2F18">
        <w:rPr>
          <w:rFonts w:cs="Times New Roman"/>
          <w:sz w:val="22"/>
          <w:lang w:val="sr-Cyrl-RS"/>
        </w:rPr>
        <w:t xml:space="preserve">Потребно је </w:t>
      </w:r>
      <w:r w:rsidR="0079193B" w:rsidRPr="00EF2F18">
        <w:rPr>
          <w:rFonts w:cs="Times New Roman"/>
          <w:sz w:val="22"/>
          <w:lang w:val="sr-Cyrl-RS"/>
        </w:rPr>
        <w:t>успостављ</w:t>
      </w:r>
      <w:r w:rsidRPr="00EF2F18">
        <w:rPr>
          <w:rFonts w:cs="Times New Roman"/>
          <w:sz w:val="22"/>
          <w:lang w:val="sr-Cyrl-RS"/>
        </w:rPr>
        <w:t>ање</w:t>
      </w:r>
      <w:r w:rsidR="0079193B" w:rsidRPr="00EF2F18">
        <w:rPr>
          <w:rFonts w:cs="Times New Roman"/>
          <w:sz w:val="22"/>
          <w:lang w:val="sr-Cyrl-RS"/>
        </w:rPr>
        <w:t xml:space="preserve"> јединствен</w:t>
      </w:r>
      <w:r w:rsidRPr="00EF2F18">
        <w:rPr>
          <w:rFonts w:cs="Times New Roman"/>
          <w:sz w:val="22"/>
          <w:lang w:val="sr-Cyrl-RS"/>
        </w:rPr>
        <w:t>е</w:t>
      </w:r>
      <w:r w:rsidR="0079193B" w:rsidRPr="00EF2F18">
        <w:rPr>
          <w:rFonts w:cs="Times New Roman"/>
          <w:sz w:val="22"/>
          <w:lang w:val="sr-Cyrl-RS"/>
        </w:rPr>
        <w:t xml:space="preserve"> </w:t>
      </w:r>
      <w:r w:rsidR="005723F1" w:rsidRPr="00EF2F18">
        <w:rPr>
          <w:rFonts w:cs="Times New Roman"/>
          <w:sz w:val="22"/>
          <w:lang w:val="sr-Cyrl-RS"/>
        </w:rPr>
        <w:t xml:space="preserve">базе </w:t>
      </w:r>
      <w:r w:rsidR="0079193B" w:rsidRPr="00EF2F18">
        <w:rPr>
          <w:rFonts w:cs="Times New Roman"/>
          <w:sz w:val="22"/>
          <w:lang w:val="sr-Cyrl-RS"/>
        </w:rPr>
        <w:t>података рударског отпада</w:t>
      </w:r>
      <w:r w:rsidR="00756642" w:rsidRPr="00EF2F18">
        <w:rPr>
          <w:rFonts w:cs="Times New Roman"/>
          <w:sz w:val="22"/>
          <w:lang w:val="sr-Cyrl-RS"/>
        </w:rPr>
        <w:t xml:space="preserve"> и јаловишта</w:t>
      </w:r>
      <w:r w:rsidR="0079193B" w:rsidRPr="00EF2F18">
        <w:rPr>
          <w:rFonts w:cs="Times New Roman"/>
          <w:sz w:val="22"/>
          <w:lang w:val="sr-Cyrl-RS"/>
        </w:rPr>
        <w:t>.</w:t>
      </w:r>
    </w:p>
    <w:p w14:paraId="29AD5CC1" w14:textId="7379966F"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D02F27" w:rsidRPr="00EF2F18">
        <w:rPr>
          <w:rFonts w:cs="Times New Roman"/>
          <w:sz w:val="22"/>
          <w:lang w:val="sr-Cyrl-RS" w:eastAsia="en-GB"/>
        </w:rPr>
        <w:t>, Агенција за заштиту животне средине</w:t>
      </w:r>
      <w:r w:rsidR="00891D8A" w:rsidRPr="00EF2F18">
        <w:rPr>
          <w:rFonts w:cs="Times New Roman"/>
          <w:sz w:val="22"/>
          <w:lang w:val="sr-Cyrl-RS" w:eastAsia="en-GB"/>
        </w:rPr>
        <w:t>.</w:t>
      </w:r>
    </w:p>
    <w:p w14:paraId="7ACC0FB5" w14:textId="7F88B467"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финансија, </w:t>
      </w:r>
      <w:r w:rsidR="00A82B16" w:rsidRPr="00EF2F18">
        <w:rPr>
          <w:rFonts w:cs="Times New Roman"/>
          <w:sz w:val="22"/>
          <w:lang w:val="sr-Cyrl-RS" w:eastAsia="en-GB"/>
        </w:rPr>
        <w:t>Министарство рударства и енергетике,</w:t>
      </w:r>
      <w:r w:rsidR="008400EC" w:rsidRPr="00EF2F18">
        <w:rPr>
          <w:rFonts w:cs="Times New Roman"/>
          <w:sz w:val="22"/>
          <w:lang w:val="sr-Cyrl-RS" w:eastAsia="en-GB"/>
        </w:rPr>
        <w:t xml:space="preserve"> Републички завод за статистику,</w:t>
      </w:r>
      <w:r w:rsidR="00A82B16" w:rsidRPr="00EF2F18">
        <w:rPr>
          <w:rFonts w:cs="Times New Roman"/>
          <w:sz w:val="22"/>
          <w:lang w:val="sr-Cyrl-RS" w:eastAsia="en-GB"/>
        </w:rPr>
        <w:t xml:space="preserve"> </w:t>
      </w:r>
      <w:r w:rsidRPr="00EF2F18">
        <w:rPr>
          <w:rFonts w:cs="Times New Roman"/>
          <w:sz w:val="22"/>
          <w:lang w:val="sr-Cyrl-RS" w:eastAsia="en-GB"/>
        </w:rPr>
        <w:t xml:space="preserve">јединице локалне самоуправе и </w:t>
      </w:r>
      <w:r w:rsidR="00B743F2" w:rsidRPr="00EF2F18">
        <w:rPr>
          <w:rFonts w:cs="Times New Roman"/>
          <w:sz w:val="22"/>
          <w:lang w:val="sr-Cyrl-RS" w:eastAsia="en-GB"/>
        </w:rPr>
        <w:t>акредитоване лабораторије</w:t>
      </w:r>
      <w:r w:rsidR="00891D8A" w:rsidRPr="00EF2F18">
        <w:rPr>
          <w:rFonts w:cs="Times New Roman"/>
          <w:sz w:val="22"/>
          <w:lang w:val="sr-Cyrl-RS" w:eastAsia="en-GB"/>
        </w:rPr>
        <w:t>.</w:t>
      </w:r>
    </w:p>
    <w:p w14:paraId="0269EB42" w14:textId="652AEB6A" w:rsidR="00FA04F8"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30E03" w:rsidRPr="00EF2F18">
        <w:rPr>
          <w:rFonts w:cs="Times New Roman"/>
          <w:sz w:val="22"/>
          <w:lang w:val="sr-Cyrl-RS" w:eastAsia="en-GB"/>
        </w:rPr>
        <w:t>обезбеђивање добара и пружање услуга од стране учесника у планском систему</w:t>
      </w:r>
      <w:r w:rsidR="00891D8A" w:rsidRPr="00EF2F18">
        <w:rPr>
          <w:rFonts w:cs="Times New Roman"/>
          <w:sz w:val="22"/>
          <w:lang w:val="sr-Cyrl-RS" w:eastAsia="en-GB"/>
        </w:rPr>
        <w:t>.</w:t>
      </w:r>
    </w:p>
    <w:p w14:paraId="76D3425B" w14:textId="77777777" w:rsidR="0075721F" w:rsidRPr="00EF2F18" w:rsidRDefault="0075721F" w:rsidP="00425FCC">
      <w:pPr>
        <w:spacing w:after="0"/>
        <w:ind w:firstLine="720"/>
        <w:jc w:val="both"/>
        <w:rPr>
          <w:rFonts w:cs="Times New Roman"/>
          <w:sz w:val="22"/>
          <w:lang w:val="sr-Cyrl-RS" w:eastAsia="en-GB"/>
        </w:rPr>
      </w:pPr>
    </w:p>
    <w:p w14:paraId="69398E92" w14:textId="52FA4E88"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3.4: </w:t>
      </w:r>
      <w:r w:rsidR="00FA04F8" w:rsidRPr="00EF2F18">
        <w:rPr>
          <w:rFonts w:cs="Times New Roman"/>
          <w:b/>
          <w:bCs/>
          <w:color w:val="2E74B5" w:themeColor="accent1" w:themeShade="BF"/>
          <w:sz w:val="22"/>
          <w:lang w:val="sr-Cyrl-RS"/>
        </w:rPr>
        <w:t>Превенција и контрола загађења из индустрије, интегрисано управљање хемикалијама и управљање ризиком од великих удеса који укључују опасне супстанце</w:t>
      </w:r>
    </w:p>
    <w:p w14:paraId="44E33AB8" w14:textId="77777777" w:rsidR="00753384" w:rsidRDefault="00753384" w:rsidP="0032771B">
      <w:pPr>
        <w:spacing w:after="0"/>
        <w:ind w:firstLine="720"/>
        <w:jc w:val="both"/>
        <w:rPr>
          <w:rFonts w:cs="Times New Roman"/>
          <w:sz w:val="22"/>
          <w:lang w:val="sr-Cyrl-RS"/>
        </w:rPr>
      </w:pPr>
    </w:p>
    <w:p w14:paraId="0BD98CCE" w14:textId="6B26A70B" w:rsidR="00843A89" w:rsidRPr="00EF2F18" w:rsidRDefault="00843A89" w:rsidP="0032771B">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одредбама: </w:t>
      </w:r>
    </w:p>
    <w:p w14:paraId="33FB6146" w14:textId="0579C532" w:rsidR="00843A89" w:rsidRPr="00EF2F18" w:rsidRDefault="00843A89" w:rsidP="00313E8E">
      <w:pPr>
        <w:pStyle w:val="ListParagraph"/>
        <w:numPr>
          <w:ilvl w:val="0"/>
          <w:numId w:val="17"/>
        </w:numPr>
        <w:spacing w:after="0"/>
        <w:contextualSpacing w:val="0"/>
        <w:jc w:val="both"/>
        <w:rPr>
          <w:rFonts w:cs="Times New Roman"/>
          <w:sz w:val="22"/>
          <w:lang w:val="sr-Cyrl-RS"/>
        </w:rPr>
      </w:pPr>
      <w:r w:rsidRPr="00EF2F18">
        <w:rPr>
          <w:rFonts w:cs="Times New Roman"/>
          <w:sz w:val="22"/>
          <w:lang w:val="sr-Cyrl-RS"/>
        </w:rPr>
        <w:t>Директив</w:t>
      </w:r>
      <w:r w:rsidR="00D27388" w:rsidRPr="00EF2F18">
        <w:rPr>
          <w:rFonts w:cs="Times New Roman"/>
          <w:sz w:val="22"/>
          <w:lang w:val="sr-Cyrl-RS"/>
        </w:rPr>
        <w:t>е</w:t>
      </w:r>
      <w:r w:rsidRPr="00EF2F18">
        <w:rPr>
          <w:rFonts w:cs="Times New Roman"/>
          <w:sz w:val="22"/>
          <w:lang w:val="sr-Cyrl-RS"/>
        </w:rPr>
        <w:t xml:space="preserve"> о индустријским емисијама 2010/75</w:t>
      </w:r>
      <w:r w:rsidR="009719F8" w:rsidRPr="00EF2F18">
        <w:rPr>
          <w:rFonts w:cs="Times New Roman"/>
          <w:sz w:val="22"/>
          <w:lang w:val="sr-Cyrl-RS"/>
        </w:rPr>
        <w:t>/EU</w:t>
      </w:r>
      <w:r w:rsidR="00CB0D18" w:rsidRPr="00EF2F18">
        <w:rPr>
          <w:rFonts w:cs="Times New Roman"/>
          <w:sz w:val="22"/>
          <w:lang w:val="sr-Cyrl-RS"/>
        </w:rPr>
        <w:t>;</w:t>
      </w:r>
      <w:r w:rsidRPr="00EF2F18">
        <w:rPr>
          <w:rFonts w:cs="Times New Roman"/>
          <w:sz w:val="22"/>
          <w:lang w:val="sr-Cyrl-RS"/>
        </w:rPr>
        <w:t xml:space="preserve"> </w:t>
      </w:r>
    </w:p>
    <w:p w14:paraId="7FA7490A" w14:textId="2B8EC5DD" w:rsidR="00843A89" w:rsidRPr="00EF2F18" w:rsidRDefault="00843A89" w:rsidP="00313E8E">
      <w:pPr>
        <w:pStyle w:val="ListParagraph"/>
        <w:numPr>
          <w:ilvl w:val="0"/>
          <w:numId w:val="17"/>
        </w:numPr>
        <w:spacing w:after="0"/>
        <w:contextualSpacing w:val="0"/>
        <w:jc w:val="both"/>
        <w:rPr>
          <w:rFonts w:cs="Times New Roman"/>
          <w:sz w:val="22"/>
          <w:lang w:val="sr-Cyrl-RS"/>
        </w:rPr>
      </w:pPr>
      <w:r w:rsidRPr="00EF2F18">
        <w:rPr>
          <w:rFonts w:cs="Times New Roman"/>
          <w:sz w:val="22"/>
          <w:lang w:val="sr-Cyrl-RS"/>
        </w:rPr>
        <w:t xml:space="preserve">Севесо III Директиве </w:t>
      </w:r>
      <w:r w:rsidR="00D27388" w:rsidRPr="00EF2F18">
        <w:rPr>
          <w:rFonts w:cs="Times New Roman"/>
          <w:sz w:val="22"/>
          <w:lang w:val="sr-Cyrl-RS"/>
        </w:rPr>
        <w:t>–</w:t>
      </w:r>
      <w:r w:rsidRPr="00EF2F18">
        <w:rPr>
          <w:rFonts w:cs="Times New Roman"/>
          <w:sz w:val="22"/>
          <w:lang w:val="sr-Cyrl-RS"/>
        </w:rPr>
        <w:t xml:space="preserve"> Директив</w:t>
      </w:r>
      <w:r w:rsidR="00D27388" w:rsidRPr="00EF2F18">
        <w:rPr>
          <w:rFonts w:cs="Times New Roman"/>
          <w:sz w:val="22"/>
          <w:lang w:val="sr-Cyrl-RS"/>
        </w:rPr>
        <w:t xml:space="preserve">е </w:t>
      </w:r>
      <w:r w:rsidRPr="00EF2F18">
        <w:rPr>
          <w:rFonts w:cs="Times New Roman"/>
          <w:sz w:val="22"/>
          <w:lang w:val="sr-Cyrl-RS"/>
        </w:rPr>
        <w:t>2012/18/</w:t>
      </w:r>
      <w:r w:rsidR="006248A8" w:rsidRPr="00EF2F18">
        <w:rPr>
          <w:rFonts w:cs="Times New Roman"/>
          <w:sz w:val="22"/>
          <w:lang w:val="sr-Cyrl-RS"/>
        </w:rPr>
        <w:t xml:space="preserve">EU </w:t>
      </w:r>
      <w:r w:rsidRPr="00EF2F18">
        <w:rPr>
          <w:rFonts w:cs="Times New Roman"/>
          <w:sz w:val="22"/>
          <w:lang w:val="sr-Cyrl-RS"/>
        </w:rPr>
        <w:t>о контроли опасности од великог удеса који укључује опасне супстанце</w:t>
      </w:r>
      <w:r w:rsidR="001E706C" w:rsidRPr="00EF2F18">
        <w:rPr>
          <w:rFonts w:cs="Times New Roman"/>
          <w:sz w:val="22"/>
          <w:lang w:val="sr-Cyrl-RS"/>
        </w:rPr>
        <w:t>.</w:t>
      </w:r>
      <w:r w:rsidRPr="00EF2F18">
        <w:rPr>
          <w:rFonts w:cs="Times New Roman"/>
          <w:sz w:val="22"/>
          <w:lang w:val="sr-Cyrl-RS"/>
        </w:rPr>
        <w:t xml:space="preserve"> </w:t>
      </w:r>
    </w:p>
    <w:p w14:paraId="10CA8CE4" w14:textId="749B7B0C" w:rsidR="005F103F" w:rsidRPr="00EF2F18" w:rsidRDefault="005F103F" w:rsidP="005F103F">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12 који </w:t>
      </w:r>
      <w:r w:rsidRPr="00EF2F18">
        <w:rPr>
          <w:sz w:val="22"/>
          <w:lang w:val="sr-Cyrl-RS"/>
        </w:rPr>
        <w:t xml:space="preserve">предвиђа успостављање одрживих образаца потрошње и производње, </w:t>
      </w:r>
      <w:r w:rsidR="00136871" w:rsidRPr="00EF2F18">
        <w:rPr>
          <w:sz w:val="22"/>
          <w:lang w:val="sr-Cyrl-RS"/>
        </w:rPr>
        <w:t>посебно реализацији</w:t>
      </w:r>
      <w:r w:rsidRPr="00EF2F18">
        <w:rPr>
          <w:sz w:val="22"/>
          <w:lang w:val="sr-Cyrl-RS"/>
        </w:rPr>
        <w:t xml:space="preserve"> потциља 12.4. којим се налаже еколошки исправно управљање хемикалијама и свим врстама отпада током читавог њиховог употребног циклуса, у складу са договореним међународним оквирима, и значајно смањење њиховог испуштања у ваздух, воду и земљиште како би се што више умањили њихови негативни утицаји на здравље људи и животну средину.</w:t>
      </w:r>
    </w:p>
    <w:p w14:paraId="2F79965D" w14:textId="77777777" w:rsidR="00491EBE" w:rsidRPr="00EF2F18" w:rsidRDefault="00491EBE" w:rsidP="00425FCC">
      <w:pPr>
        <w:spacing w:after="0"/>
        <w:ind w:firstLine="720"/>
        <w:rPr>
          <w:rFonts w:cs="Times New Roman"/>
          <w:sz w:val="22"/>
          <w:lang w:val="sr-Cyrl-RS"/>
        </w:rPr>
      </w:pPr>
    </w:p>
    <w:p w14:paraId="668A42E7" w14:textId="34F4B1BD"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3.4.1. </w:t>
      </w:r>
      <w:r w:rsidR="00FA04F8" w:rsidRPr="00EF2F18">
        <w:rPr>
          <w:rFonts w:cs="Times New Roman"/>
          <w:b/>
          <w:bCs/>
          <w:sz w:val="22"/>
          <w:lang w:val="sr-Cyrl-RS" w:eastAsia="en-GB"/>
        </w:rPr>
        <w:t>Усаглашавање инсталација са најбољим доступним техникама</w:t>
      </w:r>
    </w:p>
    <w:p w14:paraId="3DE4995D" w14:textId="77777777" w:rsidR="00D83673" w:rsidRPr="00EF2F18" w:rsidRDefault="00D83673" w:rsidP="00425FCC">
      <w:pPr>
        <w:spacing w:after="0"/>
        <w:ind w:firstLine="720"/>
        <w:jc w:val="both"/>
        <w:rPr>
          <w:rFonts w:cs="Times New Roman"/>
          <w:sz w:val="22"/>
          <w:lang w:val="sr-Cyrl-RS"/>
        </w:rPr>
      </w:pPr>
    </w:p>
    <w:p w14:paraId="46EC14B0" w14:textId="5E249E95" w:rsidR="0047611C" w:rsidRPr="00EF2F18" w:rsidRDefault="00843A89" w:rsidP="00425FCC">
      <w:pPr>
        <w:spacing w:after="0"/>
        <w:ind w:firstLine="720"/>
        <w:jc w:val="both"/>
        <w:rPr>
          <w:rFonts w:cs="Times New Roman"/>
          <w:sz w:val="22"/>
          <w:lang w:val="sr-Cyrl-RS"/>
        </w:rPr>
      </w:pPr>
      <w:r w:rsidRPr="00EF2F18">
        <w:rPr>
          <w:rFonts w:cs="Times New Roman"/>
          <w:sz w:val="22"/>
          <w:lang w:val="sr-Cyrl-RS"/>
        </w:rPr>
        <w:t xml:space="preserve">Ова мера подразумева спровођење Поглавља II Директиве 2010/75/EУ о индустријским емисијама, које захтева интегрисани приступ у уређивању одређених индустријских активности у односу на заштиту животне средине. То значи да се емисије у ваздух, воду (укључујући испуштање у канализацију) и земљиште, као и опсег њиховог утицаја на животну средину, морају разматрати заједно. Како би се постигао висок степен заштите животне средине у целости, утврђују се услови у дозволи који се заснивају на најбољим доступним техникама. Мера се састоји из низа активности </w:t>
      </w:r>
      <w:r w:rsidR="003401D0" w:rsidRPr="00EF2F18">
        <w:rPr>
          <w:rFonts w:cs="Times New Roman"/>
          <w:sz w:val="22"/>
          <w:lang w:val="sr-Cyrl-RS"/>
        </w:rPr>
        <w:t>за</w:t>
      </w:r>
      <w:r w:rsidRPr="00EF2F18">
        <w:rPr>
          <w:rFonts w:cs="Times New Roman"/>
          <w:sz w:val="22"/>
          <w:lang w:val="sr-Cyrl-RS"/>
        </w:rPr>
        <w:t xml:space="preserve"> усаглашавањ</w:t>
      </w:r>
      <w:r w:rsidR="003401D0" w:rsidRPr="00EF2F18">
        <w:rPr>
          <w:rFonts w:cs="Times New Roman"/>
          <w:sz w:val="22"/>
          <w:lang w:val="sr-Cyrl-RS"/>
        </w:rPr>
        <w:t>е</w:t>
      </w:r>
      <w:r w:rsidRPr="00EF2F18">
        <w:rPr>
          <w:rFonts w:cs="Times New Roman"/>
          <w:sz w:val="22"/>
          <w:lang w:val="sr-Cyrl-RS"/>
        </w:rPr>
        <w:t xml:space="preserve"> рада постројења са прописаним условима у дозволама, као и вршења одговарајућег мониторинга</w:t>
      </w:r>
      <w:r w:rsidR="002A4D43" w:rsidRPr="00EF2F18">
        <w:rPr>
          <w:rFonts w:cs="Times New Roman"/>
          <w:sz w:val="22"/>
          <w:lang w:val="sr-Cyrl-RS"/>
        </w:rPr>
        <w:t xml:space="preserve"> (веза с</w:t>
      </w:r>
      <w:r w:rsidR="0047611C" w:rsidRPr="00EF2F18">
        <w:rPr>
          <w:rFonts w:cs="Times New Roman"/>
          <w:sz w:val="22"/>
          <w:lang w:val="sr-Cyrl-RS"/>
        </w:rPr>
        <w:t xml:space="preserve">а </w:t>
      </w:r>
      <w:r w:rsidR="002A4D43" w:rsidRPr="00EF2F18">
        <w:rPr>
          <w:rFonts w:cs="Times New Roman"/>
          <w:sz w:val="22"/>
          <w:lang w:val="sr-Cyrl-RS"/>
        </w:rPr>
        <w:t>мерама</w:t>
      </w:r>
      <w:r w:rsidR="005E42D2" w:rsidRPr="00EF2F18">
        <w:rPr>
          <w:rFonts w:cs="Times New Roman"/>
          <w:sz w:val="22"/>
          <w:lang w:val="sr-Cyrl-RS"/>
        </w:rPr>
        <w:t xml:space="preserve"> </w:t>
      </w:r>
      <w:r w:rsidR="0047611C" w:rsidRPr="00EF2F18">
        <w:rPr>
          <w:rFonts w:cs="Times New Roman"/>
          <w:sz w:val="22"/>
          <w:lang w:val="sr-Cyrl-RS"/>
        </w:rPr>
        <w:t>6.3.1. и 6.3.2. ове Стратегије</w:t>
      </w:r>
      <w:r w:rsidR="002A4D43" w:rsidRPr="00EF2F18">
        <w:rPr>
          <w:rFonts w:cs="Times New Roman"/>
          <w:sz w:val="22"/>
          <w:lang w:val="sr-Cyrl-RS"/>
        </w:rPr>
        <w:t>)</w:t>
      </w:r>
      <w:r w:rsidR="0047611C" w:rsidRPr="00EF2F18">
        <w:rPr>
          <w:rFonts w:cs="Times New Roman"/>
          <w:sz w:val="22"/>
          <w:lang w:val="sr-Cyrl-RS"/>
        </w:rPr>
        <w:t>.</w:t>
      </w:r>
    </w:p>
    <w:p w14:paraId="5C0427DC" w14:textId="07CAB124"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p>
    <w:p w14:paraId="267A168A" w14:textId="18A9FCC1"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47611C" w:rsidRPr="00EF2F18">
        <w:rPr>
          <w:rFonts w:cs="Times New Roman"/>
          <w:sz w:val="22"/>
          <w:lang w:val="sr-Cyrl-RS" w:eastAsia="en-GB"/>
        </w:rPr>
        <w:t>оператери постројења</w:t>
      </w:r>
      <w:r w:rsidR="007C23EE" w:rsidRPr="00EF2F18">
        <w:rPr>
          <w:rFonts w:cs="Times New Roman"/>
          <w:sz w:val="22"/>
          <w:lang w:val="sr-Cyrl-RS" w:eastAsia="en-GB"/>
        </w:rPr>
        <w:t>, Агенција за заштиту животне средине</w:t>
      </w:r>
      <w:r w:rsidR="00891D8A" w:rsidRPr="00EF2F18">
        <w:rPr>
          <w:rFonts w:cs="Times New Roman"/>
          <w:sz w:val="22"/>
          <w:lang w:val="sr-Cyrl-RS" w:eastAsia="en-GB"/>
        </w:rPr>
        <w:t>.</w:t>
      </w:r>
    </w:p>
    <w:p w14:paraId="1C752814" w14:textId="31F47D5C" w:rsidR="00491EBE"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891D8A" w:rsidRPr="00EF2F18">
        <w:rPr>
          <w:rFonts w:cs="Times New Roman"/>
          <w:sz w:val="22"/>
          <w:lang w:val="sr-Cyrl-RS" w:eastAsia="en-GB"/>
        </w:rPr>
        <w:t>.</w:t>
      </w:r>
    </w:p>
    <w:p w14:paraId="558F4D06" w14:textId="77777777" w:rsidR="00491EBE" w:rsidRPr="00EF2F18" w:rsidRDefault="00491EBE" w:rsidP="00425FCC">
      <w:pPr>
        <w:spacing w:after="0"/>
        <w:ind w:firstLine="720"/>
        <w:jc w:val="both"/>
        <w:rPr>
          <w:rFonts w:cs="Times New Roman"/>
          <w:sz w:val="22"/>
          <w:lang w:val="sr-Cyrl-RS" w:eastAsia="en-GB"/>
        </w:rPr>
      </w:pPr>
    </w:p>
    <w:p w14:paraId="758ABD23" w14:textId="60CE3CF0"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3.4.2. </w:t>
      </w:r>
      <w:r w:rsidR="00C408FC" w:rsidRPr="00EF2F18">
        <w:rPr>
          <w:rFonts w:cs="Times New Roman"/>
          <w:b/>
          <w:bCs/>
          <w:sz w:val="22"/>
          <w:lang w:val="sr-Cyrl-RS" w:eastAsia="en-GB"/>
        </w:rPr>
        <w:t xml:space="preserve">Јачање регулаторног и </w:t>
      </w:r>
      <w:r w:rsidR="00530E03" w:rsidRPr="00EF2F18">
        <w:rPr>
          <w:rFonts w:cs="Times New Roman"/>
          <w:b/>
          <w:bCs/>
          <w:sz w:val="22"/>
          <w:lang w:val="sr-Cyrl-RS" w:eastAsia="en-GB"/>
        </w:rPr>
        <w:t>планског</w:t>
      </w:r>
      <w:r w:rsidR="00C408FC" w:rsidRPr="00EF2F18">
        <w:rPr>
          <w:rFonts w:cs="Times New Roman"/>
          <w:b/>
          <w:bCs/>
          <w:sz w:val="22"/>
          <w:lang w:val="sr-Cyrl-RS" w:eastAsia="en-GB"/>
        </w:rPr>
        <w:t xml:space="preserve"> оквира и међуресорне координације за безбедно управљање хемикалијама током читавог њиховог употребног циклуса, у складу са договореним међународним стратешким оквирима</w:t>
      </w:r>
    </w:p>
    <w:p w14:paraId="71609AB8" w14:textId="77777777" w:rsidR="00D83673" w:rsidRPr="00EF2F18" w:rsidRDefault="00D83673" w:rsidP="00425FCC">
      <w:pPr>
        <w:spacing w:after="0"/>
        <w:ind w:firstLine="720"/>
        <w:jc w:val="both"/>
        <w:rPr>
          <w:rFonts w:eastAsia="Calibri" w:cs="Times New Roman"/>
          <w:kern w:val="2"/>
          <w:sz w:val="22"/>
          <w:lang w:val="sr-Cyrl-RS"/>
          <w14:ligatures w14:val="standardContextual"/>
        </w:rPr>
      </w:pPr>
    </w:p>
    <w:p w14:paraId="7D6C3254" w14:textId="05DC5975" w:rsidR="00C408FC" w:rsidRPr="00EF2F18" w:rsidRDefault="00C408FC" w:rsidP="00425FCC">
      <w:pPr>
        <w:spacing w:after="0"/>
        <w:ind w:firstLine="720"/>
        <w:jc w:val="both"/>
        <w:rPr>
          <w:rFonts w:eastAsia="Calibri" w:cs="Times New Roman"/>
          <w:kern w:val="2"/>
          <w:sz w:val="22"/>
          <w:lang w:val="sr-Cyrl-RS"/>
          <w14:ligatures w14:val="standardContextual"/>
        </w:rPr>
      </w:pPr>
      <w:r w:rsidRPr="00EF2F18">
        <w:rPr>
          <w:rFonts w:eastAsia="Calibri" w:cs="Times New Roman"/>
          <w:kern w:val="2"/>
          <w:sz w:val="22"/>
          <w:lang w:val="sr-Cyrl-RS"/>
          <w14:ligatures w14:val="standardContextual"/>
        </w:rPr>
        <w:t>У анализи стања функционисања система управљања хемикалијама у Републици Србији констатовано је да одређени плански документи нису ажурирани, као што су Национални имплементациони план за спровођење Стокхол</w:t>
      </w:r>
      <w:r w:rsidR="003401D0" w:rsidRPr="00EF2F18">
        <w:rPr>
          <w:rFonts w:eastAsia="Calibri" w:cs="Times New Roman"/>
          <w:kern w:val="2"/>
          <w:sz w:val="22"/>
          <w:lang w:val="sr-Cyrl-RS"/>
          <w14:ligatures w14:val="standardContextual"/>
        </w:rPr>
        <w:t>м</w:t>
      </w:r>
      <w:r w:rsidRPr="00EF2F18">
        <w:rPr>
          <w:rFonts w:eastAsia="Calibri" w:cs="Times New Roman"/>
          <w:kern w:val="2"/>
          <w:sz w:val="22"/>
          <w:lang w:val="sr-Cyrl-RS"/>
          <w14:ligatures w14:val="standardContextual"/>
        </w:rPr>
        <w:t>ске конвенције</w:t>
      </w:r>
      <w:r w:rsidR="0012418F" w:rsidRPr="00EF2F18">
        <w:rPr>
          <w:rFonts w:eastAsia="Calibri" w:cs="Times New Roman"/>
          <w:kern w:val="2"/>
          <w:sz w:val="22"/>
          <w:lang w:val="sr-Cyrl-RS"/>
          <w14:ligatures w14:val="standardContextual"/>
        </w:rPr>
        <w:t xml:space="preserve"> из 20</w:t>
      </w:r>
      <w:r w:rsidR="009F5B7E" w:rsidRPr="00EF2F18">
        <w:rPr>
          <w:rFonts w:eastAsia="Calibri" w:cs="Times New Roman"/>
          <w:kern w:val="2"/>
          <w:sz w:val="22"/>
          <w:lang w:val="sr-Cyrl-RS"/>
          <w14:ligatures w14:val="standardContextual"/>
        </w:rPr>
        <w:t>15</w:t>
      </w:r>
      <w:r w:rsidR="0012418F" w:rsidRPr="00EF2F18">
        <w:rPr>
          <w:rFonts w:eastAsia="Calibri" w:cs="Times New Roman"/>
          <w:kern w:val="2"/>
          <w:sz w:val="22"/>
          <w:lang w:val="sr-Cyrl-RS"/>
          <w14:ligatures w14:val="standardContextual"/>
        </w:rPr>
        <w:t>. године</w:t>
      </w:r>
      <w:r w:rsidRPr="00EF2F18">
        <w:rPr>
          <w:rFonts w:eastAsia="Calibri" w:cs="Times New Roman"/>
          <w:kern w:val="2"/>
          <w:sz w:val="22"/>
          <w:lang w:val="sr-Cyrl-RS"/>
          <w14:ligatures w14:val="standardContextual"/>
        </w:rPr>
        <w:t xml:space="preserve"> и </w:t>
      </w:r>
      <w:r w:rsidR="003401D0" w:rsidRPr="00EF2F18">
        <w:rPr>
          <w:rFonts w:eastAsia="Calibri" w:cs="Times New Roman"/>
          <w:kern w:val="2"/>
          <w:sz w:val="22"/>
          <w:lang w:val="sr-Cyrl-RS"/>
          <w14:ligatures w14:val="standardContextual"/>
        </w:rPr>
        <w:t>Н</w:t>
      </w:r>
      <w:r w:rsidRPr="00EF2F18">
        <w:rPr>
          <w:rFonts w:eastAsia="Calibri" w:cs="Times New Roman"/>
          <w:kern w:val="2"/>
          <w:sz w:val="22"/>
          <w:lang w:val="sr-Cyrl-RS"/>
          <w14:ligatures w14:val="standardContextual"/>
        </w:rPr>
        <w:t>ационални профил управљања хемикалијама</w:t>
      </w:r>
      <w:r w:rsidR="00137042" w:rsidRPr="00EF2F18">
        <w:rPr>
          <w:rFonts w:eastAsia="Calibri" w:cs="Times New Roman"/>
          <w:kern w:val="2"/>
          <w:sz w:val="22"/>
          <w:lang w:val="sr-Cyrl-RS"/>
          <w14:ligatures w14:val="standardContextual"/>
        </w:rPr>
        <w:t xml:space="preserve"> из 2008. године</w:t>
      </w:r>
      <w:r w:rsidRPr="00EF2F18">
        <w:rPr>
          <w:rFonts w:eastAsia="Calibri" w:cs="Times New Roman"/>
          <w:kern w:val="2"/>
          <w:sz w:val="22"/>
          <w:lang w:val="sr-Cyrl-RS"/>
          <w14:ligatures w14:val="standardContextual"/>
        </w:rPr>
        <w:t xml:space="preserve">, па ће се кроз ову меру извршити њихово ажурирање, а стратешки циљеви из области управљања хемикалијама и биоцидним производима </w:t>
      </w:r>
      <w:r w:rsidRPr="00EF2F18">
        <w:rPr>
          <w:rFonts w:eastAsia="Calibri" w:cs="Times New Roman"/>
          <w:kern w:val="2"/>
          <w:sz w:val="22"/>
          <w:lang w:val="sr-Cyrl-RS"/>
          <w14:ligatures w14:val="standardContextual"/>
        </w:rPr>
        <w:lastRenderedPageBreak/>
        <w:t xml:space="preserve">ускладити са новим </w:t>
      </w:r>
      <w:r w:rsidR="00530E03" w:rsidRPr="00EF2F18">
        <w:rPr>
          <w:rFonts w:eastAsia="Calibri" w:cs="Times New Roman"/>
          <w:kern w:val="2"/>
          <w:sz w:val="22"/>
          <w:lang w:val="sr-Cyrl-RS"/>
          <w14:ligatures w14:val="standardContextual"/>
        </w:rPr>
        <w:t>планским</w:t>
      </w:r>
      <w:r w:rsidRPr="00EF2F18">
        <w:rPr>
          <w:rFonts w:eastAsia="Calibri" w:cs="Times New Roman"/>
          <w:kern w:val="2"/>
          <w:sz w:val="22"/>
          <w:lang w:val="sr-Cyrl-RS"/>
          <w14:ligatures w14:val="standardContextual"/>
        </w:rPr>
        <w:t xml:space="preserve"> документима одрживог управљања хемикалијама ЕУ, као и са релевантним одлукама и циљевима из глобалних стратегија из области интегрисаног управљања хемикалијама, као и са одлукама извршних тела међународних конвенција и мултилатералних споразума из ове области, а посебно са новом Стратегијом одрживог управљања хемикалијама ЕУ</w:t>
      </w:r>
      <w:r w:rsidR="00137042" w:rsidRPr="00EF2F18">
        <w:rPr>
          <w:rFonts w:eastAsia="Calibri" w:cs="Times New Roman"/>
          <w:kern w:val="2"/>
          <w:sz w:val="22"/>
          <w:lang w:val="sr-Cyrl-RS"/>
          <w14:ligatures w14:val="standardContextual"/>
        </w:rPr>
        <w:t xml:space="preserve"> - у сусрет животној средини без загађења, из 2020. године</w:t>
      </w:r>
      <w:r w:rsidRPr="00EF2F18">
        <w:rPr>
          <w:rFonts w:eastAsia="Calibri" w:cs="Times New Roman"/>
          <w:kern w:val="2"/>
          <w:sz w:val="22"/>
          <w:lang w:val="sr-Cyrl-RS"/>
          <w14:ligatures w14:val="standardContextual"/>
        </w:rPr>
        <w:t xml:space="preserve">. Такође, као додатни допринос остварењу ове мере, планирана је и израда посебног планског документа из области управљања хемикалија, нарочито у погледу припрема надлежних државних органа, индустрије и научно-истраживачког сектора, као и других заинтересованих страна </w:t>
      </w:r>
      <w:r w:rsidR="00173289" w:rsidRPr="00EF2F18">
        <w:rPr>
          <w:rFonts w:eastAsia="Calibri" w:cs="Times New Roman"/>
          <w:kern w:val="2"/>
          <w:sz w:val="22"/>
          <w:lang w:val="sr-Cyrl-RS"/>
          <w14:ligatures w14:val="standardContextual"/>
        </w:rPr>
        <w:t xml:space="preserve">за пуну </w:t>
      </w:r>
      <w:r w:rsidR="00293FD3" w:rsidRPr="00EF2F18">
        <w:rPr>
          <w:rFonts w:eastAsia="Calibri" w:cs="Times New Roman"/>
          <w:kern w:val="2"/>
          <w:sz w:val="22"/>
          <w:lang w:val="sr-Cyrl-RS"/>
          <w14:ligatures w14:val="standardContextual"/>
        </w:rPr>
        <w:t>примену</w:t>
      </w:r>
      <w:r w:rsidR="00173289" w:rsidRPr="00EF2F18">
        <w:rPr>
          <w:rFonts w:eastAsia="Calibri" w:cs="Times New Roman"/>
          <w:kern w:val="2"/>
          <w:sz w:val="22"/>
          <w:lang w:val="sr-Cyrl-RS"/>
          <w14:ligatures w14:val="standardContextual"/>
        </w:rPr>
        <w:t xml:space="preserve"> комплексног законодавства ЕУ из области управљања хемикалијама и биоцидним производима у претприступном периоду</w:t>
      </w:r>
      <w:r w:rsidRPr="00EF2F18">
        <w:rPr>
          <w:rFonts w:eastAsia="Calibri" w:cs="Times New Roman"/>
          <w:kern w:val="2"/>
          <w:sz w:val="22"/>
          <w:lang w:val="sr-Cyrl-RS"/>
          <w14:ligatures w14:val="standardContextual"/>
        </w:rPr>
        <w:t xml:space="preserve">, као и формирање Заједничког тела за интегрисано управљање хемикалијама. </w:t>
      </w:r>
    </w:p>
    <w:p w14:paraId="2BB1BFFD" w14:textId="198D064C" w:rsidR="00AE77C1" w:rsidRPr="00EF2F18" w:rsidRDefault="00C408FC" w:rsidP="00425FCC">
      <w:pPr>
        <w:spacing w:after="0"/>
        <w:ind w:left="720"/>
        <w:jc w:val="both"/>
        <w:rPr>
          <w:rFonts w:cs="Times New Roman"/>
          <w:bCs/>
          <w:sz w:val="22"/>
          <w:lang w:val="sr-Cyrl-RS"/>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Pr="00EF2F18">
        <w:rPr>
          <w:rFonts w:cs="Times New Roman"/>
          <w:bCs/>
          <w:sz w:val="22"/>
          <w:lang w:val="sr-Cyrl-RS"/>
        </w:rPr>
        <w:t xml:space="preserve">Министарство </w:t>
      </w:r>
      <w:r w:rsidR="00AE77C1" w:rsidRPr="00EF2F18">
        <w:rPr>
          <w:rFonts w:cs="Times New Roman"/>
          <w:sz w:val="22"/>
          <w:lang w:val="sr-Cyrl-RS" w:eastAsia="en-GB"/>
        </w:rPr>
        <w:t xml:space="preserve">заштите </w:t>
      </w:r>
      <w:r w:rsidRPr="00EF2F18">
        <w:rPr>
          <w:rFonts w:cs="Times New Roman"/>
          <w:bCs/>
          <w:sz w:val="22"/>
          <w:lang w:val="sr-Cyrl-RS"/>
        </w:rPr>
        <w:t>животне средине</w:t>
      </w:r>
      <w:r w:rsidR="00891D8A" w:rsidRPr="00EF2F18">
        <w:rPr>
          <w:rFonts w:cs="Times New Roman"/>
          <w:bCs/>
          <w:sz w:val="22"/>
          <w:lang w:val="sr-Cyrl-RS"/>
        </w:rPr>
        <w:t>.</w:t>
      </w:r>
      <w:r w:rsidRPr="00EF2F18">
        <w:rPr>
          <w:rFonts w:cs="Times New Roman"/>
          <w:bCs/>
          <w:sz w:val="22"/>
          <w:lang w:val="sr-Cyrl-RS"/>
        </w:rPr>
        <w:t xml:space="preserve"> </w:t>
      </w:r>
    </w:p>
    <w:p w14:paraId="214A3A5A" w14:textId="0316BBE4" w:rsidR="00C408FC" w:rsidRPr="00EF2F18" w:rsidRDefault="00C408FC" w:rsidP="002F7ED7">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6248A8" w:rsidRPr="00EF2F18">
        <w:rPr>
          <w:rFonts w:cs="Times New Roman"/>
          <w:sz w:val="22"/>
          <w:lang w:val="sr-Cyrl-RS" w:eastAsia="en-GB"/>
        </w:rPr>
        <w:t xml:space="preserve">Министарство здравља, </w:t>
      </w:r>
      <w:r w:rsidR="00A82B16" w:rsidRPr="00EF2F18">
        <w:rPr>
          <w:rFonts w:cs="Times New Roman"/>
          <w:sz w:val="22"/>
          <w:lang w:val="sr-Cyrl-RS" w:eastAsia="en-GB"/>
        </w:rPr>
        <w:t xml:space="preserve">Министарство пољопривреде, шумарства и водопривреде, </w:t>
      </w:r>
      <w:r w:rsidR="006248A8" w:rsidRPr="00EF2F18">
        <w:rPr>
          <w:rFonts w:cs="Times New Roman"/>
          <w:sz w:val="22"/>
          <w:lang w:val="sr-Cyrl-RS" w:eastAsia="en-GB"/>
        </w:rPr>
        <w:t>Министарство науке, технолошког развоја и иновација, Министарство привреде,</w:t>
      </w:r>
      <w:r w:rsidR="00A82B16" w:rsidRPr="00EF2F18">
        <w:rPr>
          <w:rFonts w:cs="Times New Roman"/>
          <w:sz w:val="22"/>
          <w:lang w:val="sr-Cyrl-RS" w:eastAsia="en-GB"/>
        </w:rPr>
        <w:t xml:space="preserve"> Министарство рударства и енергетике,</w:t>
      </w:r>
      <w:r w:rsidR="006248A8" w:rsidRPr="00EF2F18">
        <w:rPr>
          <w:rFonts w:cs="Times New Roman"/>
          <w:sz w:val="22"/>
          <w:lang w:val="sr-Cyrl-RS" w:eastAsia="en-GB"/>
        </w:rPr>
        <w:t xml:space="preserve"> </w:t>
      </w:r>
      <w:r w:rsidR="00530E03" w:rsidRPr="00EF2F18">
        <w:rPr>
          <w:rFonts w:cs="Times New Roman"/>
          <w:sz w:val="22"/>
          <w:lang w:val="sr-Cyrl-RS" w:eastAsia="en-GB"/>
        </w:rPr>
        <w:t>Привредна комора Србије</w:t>
      </w:r>
      <w:r w:rsidR="006248A8" w:rsidRPr="00EF2F18">
        <w:rPr>
          <w:rFonts w:cs="Times New Roman"/>
          <w:sz w:val="22"/>
          <w:lang w:val="sr-Cyrl-RS" w:eastAsia="en-GB"/>
        </w:rPr>
        <w:t>, Институт за јавно здравље Србије</w:t>
      </w:r>
      <w:r w:rsidR="00BF2024" w:rsidRPr="00EF2F18">
        <w:rPr>
          <w:rFonts w:cs="Times New Roman"/>
          <w:sz w:val="22"/>
          <w:lang w:val="sr-Cyrl-RS" w:eastAsia="en-GB"/>
        </w:rPr>
        <w:t xml:space="preserve"> </w:t>
      </w:r>
      <w:r w:rsidR="00BF2024" w:rsidRPr="00EF2F18">
        <w:rPr>
          <w:rFonts w:cs="Times New Roman"/>
          <w:bCs/>
          <w:color w:val="000000"/>
          <w:sz w:val="22"/>
          <w:lang w:val="sr-Cyrl-RS" w:eastAsia="en-GB"/>
        </w:rPr>
        <w:t>„Др Милан Јовановић Батут”</w:t>
      </w:r>
      <w:r w:rsidR="00905A29" w:rsidRPr="00EF2F18">
        <w:rPr>
          <w:rFonts w:cs="Times New Roman"/>
          <w:sz w:val="22"/>
          <w:lang w:val="sr-Cyrl-RS" w:eastAsia="en-GB"/>
        </w:rPr>
        <w:t>, научно-истраживачке организације, организације цивилног друштва</w:t>
      </w:r>
      <w:r w:rsidR="00891D8A" w:rsidRPr="00EF2F18">
        <w:rPr>
          <w:rFonts w:cs="Times New Roman"/>
          <w:sz w:val="22"/>
          <w:lang w:val="sr-Cyrl-RS" w:eastAsia="en-GB"/>
        </w:rPr>
        <w:t>.</w:t>
      </w:r>
    </w:p>
    <w:p w14:paraId="5CFB0DF7" w14:textId="39F037AE" w:rsidR="00491EBE"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30E03" w:rsidRPr="00EF2F18">
        <w:rPr>
          <w:rFonts w:cs="Times New Roman"/>
          <w:sz w:val="22"/>
          <w:lang w:val="sr-Cyrl-RS" w:eastAsia="en-GB"/>
        </w:rPr>
        <w:t>р</w:t>
      </w:r>
      <w:r w:rsidRPr="00EF2F18">
        <w:rPr>
          <w:rFonts w:cs="Times New Roman"/>
          <w:sz w:val="22"/>
          <w:lang w:val="sr-Cyrl-RS" w:eastAsia="en-GB"/>
        </w:rPr>
        <w:t>егулаторна</w:t>
      </w:r>
      <w:r w:rsidR="007C4DA2" w:rsidRPr="00EF2F18">
        <w:rPr>
          <w:rFonts w:cs="Times New Roman"/>
          <w:sz w:val="22"/>
          <w:lang w:val="sr-Cyrl-RS" w:eastAsia="en-GB"/>
        </w:rPr>
        <w:t>.</w:t>
      </w:r>
    </w:p>
    <w:p w14:paraId="26539AC4" w14:textId="77777777" w:rsidR="00491EBE" w:rsidRPr="00EF2F18" w:rsidRDefault="00491EBE" w:rsidP="00425FCC">
      <w:pPr>
        <w:spacing w:after="0"/>
        <w:ind w:firstLine="720"/>
        <w:rPr>
          <w:rFonts w:cs="Times New Roman"/>
          <w:sz w:val="22"/>
          <w:lang w:val="sr-Cyrl-RS"/>
        </w:rPr>
      </w:pPr>
    </w:p>
    <w:p w14:paraId="567FE147" w14:textId="77777777" w:rsidR="00C408FC" w:rsidRPr="00EF2F18" w:rsidRDefault="00C408FC"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Мера 3.4.3. Подизање капацитета државних органа и индустрије за избацивање из употребе опасних хемикалија (супстанци које изазивају забринутост укључујући и POPs хемикалије) и замену безбеднијим алтернативама</w:t>
      </w:r>
    </w:p>
    <w:p w14:paraId="37B676BC" w14:textId="77777777" w:rsidR="00D83673" w:rsidRPr="00EF2F18" w:rsidRDefault="00D83673" w:rsidP="00425FCC">
      <w:pPr>
        <w:spacing w:after="0"/>
        <w:ind w:firstLine="720"/>
        <w:jc w:val="both"/>
        <w:rPr>
          <w:rFonts w:cs="Times New Roman"/>
          <w:sz w:val="22"/>
          <w:lang w:val="sr-Cyrl-RS"/>
        </w:rPr>
      </w:pPr>
    </w:p>
    <w:p w14:paraId="02F23C49" w14:textId="6529F3A5" w:rsidR="00C408FC" w:rsidRPr="00EF2F18" w:rsidRDefault="00C408FC" w:rsidP="00425FCC">
      <w:pPr>
        <w:spacing w:after="0"/>
        <w:ind w:firstLine="720"/>
        <w:jc w:val="both"/>
        <w:rPr>
          <w:rFonts w:cs="Times New Roman"/>
          <w:sz w:val="22"/>
          <w:lang w:val="sr-Cyrl-RS"/>
        </w:rPr>
      </w:pPr>
      <w:r w:rsidRPr="00EF2F18">
        <w:rPr>
          <w:rFonts w:cs="Times New Roman"/>
          <w:sz w:val="22"/>
          <w:lang w:val="sr-Cyrl-RS"/>
        </w:rPr>
        <w:t>У оквиру анализе стања тржишта хемикалија коју је спровело Министарство заштите животне средине, најзаступљенија група супстанци које изазивају забринутост на домаћем тржишту су фталати који се користе као омекшивачи крутих пластичних маса,</w:t>
      </w:r>
      <w:r w:rsidR="00B9180A" w:rsidRPr="00EF2F18">
        <w:rPr>
          <w:rFonts w:cs="Times New Roman"/>
          <w:sz w:val="22"/>
          <w:lang w:val="sr-Cyrl-RS"/>
        </w:rPr>
        <w:t xml:space="preserve"> </w:t>
      </w:r>
      <w:r w:rsidRPr="00EF2F18">
        <w:rPr>
          <w:rFonts w:cs="Times New Roman"/>
          <w:sz w:val="22"/>
          <w:lang w:val="sr-Cyrl-RS"/>
        </w:rPr>
        <w:t xml:space="preserve">пре свега на бази PVC. С тим у вези, </w:t>
      </w:r>
      <w:r w:rsidR="00EF1E0D" w:rsidRPr="00EF2F18">
        <w:rPr>
          <w:rFonts w:cs="Times New Roman"/>
          <w:sz w:val="22"/>
          <w:lang w:val="sr-Cyrl-RS"/>
        </w:rPr>
        <w:t>активности у оквиру ове мере</w:t>
      </w:r>
      <w:r w:rsidRPr="00EF2F18">
        <w:rPr>
          <w:rFonts w:cs="Times New Roman"/>
          <w:sz w:val="22"/>
          <w:lang w:val="sr-Cyrl-RS"/>
        </w:rPr>
        <w:t xml:space="preserve"> усмерене</w:t>
      </w:r>
      <w:r w:rsidR="00EF1E0D" w:rsidRPr="00EF2F18">
        <w:rPr>
          <w:rFonts w:cs="Times New Roman"/>
          <w:sz w:val="22"/>
          <w:lang w:val="sr-Cyrl-RS"/>
        </w:rPr>
        <w:t xml:space="preserve"> су</w:t>
      </w:r>
      <w:r w:rsidRPr="00EF2F18">
        <w:rPr>
          <w:rFonts w:cs="Times New Roman"/>
          <w:sz w:val="22"/>
          <w:lang w:val="sr-Cyrl-RS"/>
        </w:rPr>
        <w:t xml:space="preserve"> на подизање капацитета надлежних органа и индустрије (посебно произвођача и увозни</w:t>
      </w:r>
      <w:r w:rsidR="00EF1E0D" w:rsidRPr="00EF2F18">
        <w:rPr>
          <w:rFonts w:cs="Times New Roman"/>
          <w:sz w:val="22"/>
          <w:lang w:val="sr-Cyrl-RS"/>
        </w:rPr>
        <w:t>к</w:t>
      </w:r>
      <w:r w:rsidRPr="00EF2F18">
        <w:rPr>
          <w:rFonts w:cs="Times New Roman"/>
          <w:sz w:val="22"/>
          <w:lang w:val="sr-Cyrl-RS"/>
        </w:rPr>
        <w:t>а PVC производа) о доступним безбеднијим алтернативама, укључујући и рециклере пластичног отпада код којих је потребна и едукација о сеп</w:t>
      </w:r>
      <w:r w:rsidR="00EF1E0D" w:rsidRPr="00EF2F18">
        <w:rPr>
          <w:rFonts w:cs="Times New Roman"/>
          <w:sz w:val="22"/>
          <w:lang w:val="sr-Cyrl-RS"/>
        </w:rPr>
        <w:t>а</w:t>
      </w:r>
      <w:r w:rsidRPr="00EF2F18">
        <w:rPr>
          <w:rFonts w:cs="Times New Roman"/>
          <w:sz w:val="22"/>
          <w:lang w:val="sr-Cyrl-RS"/>
        </w:rPr>
        <w:t>рацији пластичног отпада који поред фталата садржи и друге загађујуће супстанце (као што су полиборомовани дифенилетри, тешки метали и др.)</w:t>
      </w:r>
      <w:r w:rsidR="002A4D43" w:rsidRPr="00EF2F18">
        <w:rPr>
          <w:rFonts w:cs="Times New Roman"/>
          <w:sz w:val="22"/>
          <w:lang w:val="sr-Cyrl-RS"/>
        </w:rPr>
        <w:t xml:space="preserve"> (веза са м</w:t>
      </w:r>
      <w:r w:rsidR="005968B3" w:rsidRPr="00EF2F18">
        <w:rPr>
          <w:rFonts w:cs="Times New Roman"/>
          <w:sz w:val="22"/>
          <w:lang w:val="sr-Cyrl-RS"/>
        </w:rPr>
        <w:t xml:space="preserve">ером 6.1.1. ове </w:t>
      </w:r>
      <w:r w:rsidR="00BF2024" w:rsidRPr="00EF2F18">
        <w:rPr>
          <w:rFonts w:cs="Times New Roman"/>
          <w:sz w:val="22"/>
          <w:lang w:val="sr-Cyrl-RS"/>
        </w:rPr>
        <w:t>стратегије</w:t>
      </w:r>
      <w:r w:rsidR="002A4D43" w:rsidRPr="00EF2F18">
        <w:rPr>
          <w:rFonts w:cs="Times New Roman"/>
          <w:sz w:val="22"/>
          <w:lang w:val="sr-Cyrl-RS"/>
        </w:rPr>
        <w:t>)</w:t>
      </w:r>
      <w:r w:rsidR="005968B3" w:rsidRPr="00EF2F18">
        <w:rPr>
          <w:rFonts w:cs="Times New Roman"/>
          <w:sz w:val="22"/>
          <w:lang w:val="sr-Cyrl-RS"/>
        </w:rPr>
        <w:t>.</w:t>
      </w:r>
    </w:p>
    <w:p w14:paraId="6E01F15B" w14:textId="3FA7FB94"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Pr="00EF2F18">
        <w:rPr>
          <w:rFonts w:cs="Times New Roman"/>
          <w:bCs/>
          <w:sz w:val="22"/>
          <w:lang w:val="sr-Cyrl-RS"/>
        </w:rPr>
        <w:t xml:space="preserve">Министарство </w:t>
      </w:r>
      <w:r w:rsidR="00AE77C1" w:rsidRPr="00EF2F18">
        <w:rPr>
          <w:rFonts w:cs="Times New Roman"/>
          <w:sz w:val="22"/>
          <w:lang w:val="sr-Cyrl-RS" w:eastAsia="en-GB"/>
        </w:rPr>
        <w:t xml:space="preserve">заштите </w:t>
      </w:r>
      <w:r w:rsidRPr="00EF2F18">
        <w:rPr>
          <w:rFonts w:cs="Times New Roman"/>
          <w:bCs/>
          <w:sz w:val="22"/>
          <w:lang w:val="sr-Cyrl-RS"/>
        </w:rPr>
        <w:t>животне средине</w:t>
      </w:r>
      <w:r w:rsidR="00891D8A" w:rsidRPr="00EF2F18">
        <w:rPr>
          <w:rFonts w:cs="Times New Roman"/>
          <w:bCs/>
          <w:sz w:val="22"/>
          <w:lang w:val="sr-Cyrl-RS"/>
        </w:rPr>
        <w:t>.</w:t>
      </w:r>
      <w:r w:rsidRPr="00EF2F18">
        <w:rPr>
          <w:rFonts w:cs="Times New Roman"/>
          <w:bCs/>
          <w:sz w:val="22"/>
          <w:lang w:val="sr-Cyrl-RS"/>
        </w:rPr>
        <w:t xml:space="preserve"> </w:t>
      </w:r>
    </w:p>
    <w:p w14:paraId="5B9513B6" w14:textId="3678FE66" w:rsidR="00C408FC" w:rsidRPr="00EF2F18" w:rsidRDefault="00C408FC"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Привредна комора Србије</w:t>
      </w:r>
      <w:r w:rsidR="00D27388" w:rsidRPr="00EF2F18">
        <w:rPr>
          <w:rFonts w:cs="Times New Roman"/>
          <w:sz w:val="22"/>
          <w:lang w:val="sr-Cyrl-RS" w:eastAsia="en-GB"/>
        </w:rPr>
        <w:t>,</w:t>
      </w:r>
      <w:r w:rsidRPr="00EF2F18">
        <w:rPr>
          <w:rFonts w:cs="Times New Roman"/>
          <w:sz w:val="22"/>
          <w:lang w:val="sr-Cyrl-RS" w:eastAsia="en-GB"/>
        </w:rPr>
        <w:t xml:space="preserve"> научно-истраживачке организације</w:t>
      </w:r>
      <w:r w:rsidR="003D14CD" w:rsidRPr="00EF2F18">
        <w:rPr>
          <w:rFonts w:cs="Times New Roman"/>
          <w:sz w:val="22"/>
          <w:lang w:val="sr-Cyrl-RS" w:eastAsia="en-GB"/>
        </w:rPr>
        <w:t>, индустрија</w:t>
      </w:r>
      <w:r w:rsidR="00891D8A" w:rsidRPr="00EF2F18">
        <w:rPr>
          <w:rFonts w:cs="Times New Roman"/>
          <w:sz w:val="22"/>
          <w:lang w:val="sr-Cyrl-RS" w:eastAsia="en-GB"/>
        </w:rPr>
        <w:t>.</w:t>
      </w:r>
    </w:p>
    <w:p w14:paraId="51E888DF" w14:textId="424D1638" w:rsidR="00957690" w:rsidRPr="00EF2F18" w:rsidRDefault="00C408FC"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Pr="00EF2F18">
        <w:rPr>
          <w:rFonts w:cs="Times New Roman"/>
          <w:sz w:val="22"/>
          <w:lang w:val="sr-Cyrl-RS"/>
        </w:rPr>
        <w:t>информативно</w:t>
      </w:r>
      <w:r w:rsidR="00891D8A" w:rsidRPr="00EF2F18">
        <w:rPr>
          <w:rFonts w:cs="Times New Roman"/>
          <w:sz w:val="22"/>
          <w:lang w:val="sr-Cyrl-RS"/>
        </w:rPr>
        <w:t>-</w:t>
      </w:r>
      <w:r w:rsidRPr="00EF2F18">
        <w:rPr>
          <w:rFonts w:cs="Times New Roman"/>
          <w:sz w:val="22"/>
          <w:lang w:val="sr-Cyrl-RS"/>
        </w:rPr>
        <w:t>едукативна</w:t>
      </w:r>
      <w:r w:rsidR="00891D8A" w:rsidRPr="00EF2F18">
        <w:rPr>
          <w:rFonts w:cs="Times New Roman"/>
          <w:sz w:val="22"/>
          <w:lang w:val="sr-Cyrl-RS"/>
        </w:rPr>
        <w:t>.</w:t>
      </w:r>
    </w:p>
    <w:p w14:paraId="0D0D0697" w14:textId="77777777" w:rsidR="00D83673" w:rsidRPr="00EF2F18" w:rsidRDefault="00D83673" w:rsidP="00425FCC">
      <w:pPr>
        <w:spacing w:after="0"/>
        <w:ind w:firstLine="720"/>
        <w:rPr>
          <w:rFonts w:cs="Times New Roman"/>
          <w:sz w:val="22"/>
          <w:lang w:val="sr-Cyrl-RS"/>
        </w:rPr>
      </w:pPr>
    </w:p>
    <w:p w14:paraId="70B0FC2E" w14:textId="2F776DC6"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3.4.4. </w:t>
      </w:r>
      <w:r w:rsidRPr="00EF2F18">
        <w:rPr>
          <w:rFonts w:eastAsia="Calibri" w:cs="Times New Roman"/>
          <w:b/>
          <w:bCs/>
          <w:sz w:val="22"/>
          <w:lang w:val="sr-Cyrl-RS"/>
        </w:rPr>
        <w:t xml:space="preserve">Контрола опасности од великих удеса </w:t>
      </w:r>
    </w:p>
    <w:p w14:paraId="0B0094B6" w14:textId="77777777" w:rsidR="00D83673" w:rsidRPr="00EF2F18" w:rsidRDefault="00D83673" w:rsidP="00425FCC">
      <w:pPr>
        <w:spacing w:after="0"/>
        <w:ind w:firstLine="720"/>
        <w:jc w:val="both"/>
        <w:rPr>
          <w:rFonts w:cs="Times New Roman"/>
          <w:sz w:val="22"/>
          <w:lang w:val="sr-Cyrl-RS"/>
        </w:rPr>
      </w:pPr>
    </w:p>
    <w:p w14:paraId="37A6F057" w14:textId="47C27B4A" w:rsidR="00843A89" w:rsidRPr="00EF2F18" w:rsidRDefault="00843A89" w:rsidP="00425FCC">
      <w:pPr>
        <w:spacing w:after="0"/>
        <w:ind w:firstLine="720"/>
        <w:jc w:val="both"/>
        <w:rPr>
          <w:rFonts w:cs="Times New Roman"/>
          <w:sz w:val="22"/>
          <w:lang w:val="sr-Cyrl-RS"/>
        </w:rPr>
      </w:pPr>
      <w:r w:rsidRPr="00EF2F18">
        <w:rPr>
          <w:rFonts w:cs="Times New Roman"/>
          <w:sz w:val="22"/>
          <w:lang w:val="sr-Cyrl-RS"/>
        </w:rPr>
        <w:t>Мера подразумева спровођење Севесо II</w:t>
      </w:r>
      <w:r w:rsidR="00D858EB" w:rsidRPr="00EF2F18">
        <w:rPr>
          <w:rFonts w:cs="Times New Roman"/>
          <w:sz w:val="22"/>
          <w:lang w:val="sr-Cyrl-RS"/>
        </w:rPr>
        <w:t>I</w:t>
      </w:r>
      <w:r w:rsidRPr="00EF2F18">
        <w:rPr>
          <w:rFonts w:cs="Times New Roman"/>
          <w:sz w:val="22"/>
          <w:lang w:val="sr-Cyrl-RS"/>
        </w:rPr>
        <w:t xml:space="preserve"> Директив</w:t>
      </w:r>
      <w:r w:rsidR="008E4728" w:rsidRPr="00EF2F18">
        <w:rPr>
          <w:rFonts w:cs="Times New Roman"/>
          <w:sz w:val="22"/>
          <w:lang w:val="sr-Cyrl-RS"/>
        </w:rPr>
        <w:t>е</w:t>
      </w:r>
      <w:r w:rsidRPr="00EF2F18">
        <w:rPr>
          <w:rFonts w:cs="Times New Roman"/>
          <w:sz w:val="22"/>
          <w:lang w:val="sr-Cyrl-RS"/>
        </w:rPr>
        <w:t xml:space="preserve">, </w:t>
      </w:r>
      <w:r w:rsidR="002F7ED7" w:rsidRPr="00EF2F18">
        <w:rPr>
          <w:rFonts w:cs="Times New Roman"/>
          <w:sz w:val="22"/>
          <w:lang w:val="sr-Cyrl-RS"/>
        </w:rPr>
        <w:t xml:space="preserve">односно </w:t>
      </w:r>
      <w:r w:rsidR="00D858EB" w:rsidRPr="00EF2F18">
        <w:rPr>
          <w:rFonts w:cs="Times New Roman"/>
          <w:sz w:val="22"/>
          <w:lang w:val="sr-Cyrl-RS"/>
        </w:rPr>
        <w:t xml:space="preserve">Закона о контроли опасности од великих удеса који укључују опасне супстанце и </w:t>
      </w:r>
      <w:r w:rsidR="002F7ED7" w:rsidRPr="00EF2F18">
        <w:rPr>
          <w:rFonts w:cs="Times New Roman"/>
          <w:sz w:val="22"/>
          <w:lang w:val="sr-Cyrl-RS"/>
        </w:rPr>
        <w:t xml:space="preserve">прописа из области заштите од хемијског удеса, </w:t>
      </w:r>
      <w:r w:rsidRPr="00EF2F18">
        <w:rPr>
          <w:rFonts w:cs="Times New Roman"/>
          <w:sz w:val="22"/>
          <w:lang w:val="sr-Cyrl-RS"/>
        </w:rPr>
        <w:t xml:space="preserve">укључујући ажурирање регистра </w:t>
      </w:r>
      <w:r w:rsidR="008E4728" w:rsidRPr="00EF2F18">
        <w:rPr>
          <w:rFonts w:cs="Times New Roman"/>
          <w:sz w:val="22"/>
          <w:lang w:val="sr-Cyrl-RS"/>
        </w:rPr>
        <w:t>С</w:t>
      </w:r>
      <w:r w:rsidRPr="00EF2F18">
        <w:rPr>
          <w:rFonts w:cs="Times New Roman"/>
          <w:sz w:val="22"/>
          <w:lang w:val="sr-Cyrl-RS"/>
        </w:rPr>
        <w:t xml:space="preserve">евесо комплекса нижег и вишег реда </w:t>
      </w:r>
      <w:r w:rsidR="00D858EB" w:rsidRPr="00EF2F18">
        <w:rPr>
          <w:rFonts w:cs="Times New Roman"/>
          <w:sz w:val="22"/>
          <w:lang w:val="sr-Cyrl-RS"/>
        </w:rPr>
        <w:t>и</w:t>
      </w:r>
      <w:r w:rsidR="00F33BB1" w:rsidRPr="00EF2F18">
        <w:rPr>
          <w:rFonts w:cs="Times New Roman"/>
          <w:sz w:val="22"/>
          <w:lang w:val="sr-Cyrl-RS"/>
        </w:rPr>
        <w:t>, превенцију великих удеса при планирању простора</w:t>
      </w:r>
      <w:r w:rsidRPr="00EF2F18">
        <w:rPr>
          <w:rFonts w:cs="Times New Roman"/>
          <w:sz w:val="22"/>
          <w:lang w:val="sr-Cyrl-RS"/>
        </w:rPr>
        <w:t xml:space="preserve">. </w:t>
      </w:r>
    </w:p>
    <w:p w14:paraId="2D08EA10" w14:textId="728F31DA" w:rsidR="00323C75" w:rsidRPr="00EF2F18" w:rsidRDefault="00154A97" w:rsidP="00154A97">
      <w:pPr>
        <w:spacing w:after="0"/>
        <w:ind w:firstLine="720"/>
        <w:jc w:val="both"/>
        <w:rPr>
          <w:color w:val="000000"/>
          <w:sz w:val="22"/>
          <w:lang w:val="sr-Cyrl-RS"/>
        </w:rPr>
      </w:pPr>
      <w:r w:rsidRPr="00EF2F18">
        <w:rPr>
          <w:rFonts w:cs="Times New Roman"/>
          <w:sz w:val="22"/>
          <w:lang w:val="sr-Cyrl-RS"/>
        </w:rPr>
        <w:t>Такође је потребн</w:t>
      </w:r>
      <w:r w:rsidR="001D3DF9" w:rsidRPr="00EF2F18">
        <w:rPr>
          <w:rFonts w:cs="Times New Roman"/>
          <w:sz w:val="22"/>
          <w:lang w:val="sr-Cyrl-RS"/>
        </w:rPr>
        <w:t>о доношење</w:t>
      </w:r>
      <w:r w:rsidR="00323C75" w:rsidRPr="00EF2F18">
        <w:rPr>
          <w:color w:val="000000"/>
          <w:sz w:val="22"/>
          <w:lang w:val="sr-Cyrl-RS"/>
        </w:rPr>
        <w:t xml:space="preserve"> </w:t>
      </w:r>
      <w:r w:rsidR="001D3DF9" w:rsidRPr="00EF2F18">
        <w:rPr>
          <w:color w:val="000000"/>
          <w:sz w:val="22"/>
          <w:lang w:val="sr-Cyrl-RS"/>
        </w:rPr>
        <w:t>подзаконских прописа у складу са Законом о контроли опасности од великих удеса који укључују опасне супстанце.</w:t>
      </w:r>
      <w:r w:rsidR="00FA7222" w:rsidRPr="00EF2F18">
        <w:rPr>
          <w:color w:val="000000"/>
          <w:sz w:val="22"/>
          <w:lang w:val="sr-Cyrl-RS"/>
        </w:rPr>
        <w:t xml:space="preserve"> </w:t>
      </w:r>
    </w:p>
    <w:p w14:paraId="612B4E9C" w14:textId="5953796A" w:rsidR="007A6535" w:rsidRPr="00EF2F18" w:rsidRDefault="00316928" w:rsidP="00154A97">
      <w:pPr>
        <w:spacing w:after="0"/>
        <w:ind w:firstLine="720"/>
        <w:jc w:val="both"/>
        <w:rPr>
          <w:color w:val="000000"/>
          <w:sz w:val="22"/>
          <w:lang w:val="sr-Cyrl-RS"/>
        </w:rPr>
      </w:pPr>
      <w:r w:rsidRPr="00EF2F18">
        <w:rPr>
          <w:rFonts w:eastAsia="Calibri" w:cs="Times New Roman"/>
          <w:color w:val="000000" w:themeColor="text1"/>
          <w:kern w:val="24"/>
          <w:sz w:val="22"/>
          <w:lang w:val="sr-Cyrl-RS"/>
        </w:rPr>
        <w:t>Потребна је</w:t>
      </w:r>
      <w:r w:rsidR="007A6535" w:rsidRPr="00EF2F18">
        <w:rPr>
          <w:rFonts w:eastAsia="Calibri" w:cs="Times New Roman"/>
          <w:color w:val="000000" w:themeColor="text1"/>
          <w:kern w:val="24"/>
          <w:sz w:val="22"/>
          <w:lang w:val="sr-Cyrl-RS"/>
        </w:rPr>
        <w:t xml:space="preserve"> припрема и усвајање Програма за индустријску безбедност.</w:t>
      </w:r>
    </w:p>
    <w:p w14:paraId="1A5F0104" w14:textId="2B7B3410"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p>
    <w:p w14:paraId="49B6ADE6" w14:textId="7AF377F6"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Министарство унутрашњих послова </w:t>
      </w:r>
      <w:r w:rsidR="00891D8A" w:rsidRPr="00EF2F18">
        <w:rPr>
          <w:rFonts w:cs="Times New Roman"/>
          <w:sz w:val="22"/>
          <w:lang w:val="sr-Cyrl-RS" w:eastAsia="en-GB"/>
        </w:rPr>
        <w:t>–</w:t>
      </w:r>
      <w:r w:rsidRPr="00EF2F18">
        <w:rPr>
          <w:rFonts w:cs="Times New Roman"/>
          <w:sz w:val="22"/>
          <w:lang w:val="sr-Cyrl-RS" w:eastAsia="en-GB"/>
        </w:rPr>
        <w:t xml:space="preserve"> Сектор за ванредне ситуације</w:t>
      </w:r>
      <w:r w:rsidR="00107985" w:rsidRPr="00EF2F18">
        <w:rPr>
          <w:rFonts w:cs="Times New Roman"/>
          <w:sz w:val="22"/>
          <w:lang w:val="sr-Cyrl-RS" w:eastAsia="en-GB"/>
        </w:rPr>
        <w:t>, Министарство грађевинарства, саобраћаја и инфраструктуре, Министарство рударства и енергетике</w:t>
      </w:r>
      <w:r w:rsidR="00905A29" w:rsidRPr="00EF2F18">
        <w:rPr>
          <w:rFonts w:cs="Times New Roman"/>
          <w:sz w:val="22"/>
          <w:lang w:val="sr-Cyrl-RS" w:eastAsia="en-GB"/>
        </w:rPr>
        <w:t xml:space="preserve">, </w:t>
      </w:r>
      <w:r w:rsidR="00395E82" w:rsidRPr="00EF2F18">
        <w:rPr>
          <w:rFonts w:cs="Times New Roman"/>
          <w:sz w:val="22"/>
          <w:lang w:val="sr-Cyrl-RS" w:eastAsia="en-GB"/>
        </w:rPr>
        <w:t xml:space="preserve">Министарство здравља, Министарство привреде, </w:t>
      </w:r>
      <w:r w:rsidRPr="00EF2F18">
        <w:rPr>
          <w:rFonts w:cs="Times New Roman"/>
          <w:sz w:val="22"/>
          <w:lang w:val="sr-Cyrl-RS" w:eastAsia="en-GB"/>
        </w:rPr>
        <w:t>јединице локалне самоуправе</w:t>
      </w:r>
      <w:r w:rsidR="00905A29" w:rsidRPr="00EF2F18">
        <w:rPr>
          <w:rFonts w:cs="Times New Roman"/>
          <w:sz w:val="22"/>
          <w:lang w:val="sr-Cyrl-RS" w:eastAsia="en-GB"/>
        </w:rPr>
        <w:t>, Привредна комора Србије</w:t>
      </w:r>
      <w:r w:rsidRPr="00EF2F18">
        <w:rPr>
          <w:rFonts w:cs="Times New Roman"/>
          <w:sz w:val="22"/>
          <w:lang w:val="sr-Cyrl-RS" w:eastAsia="en-GB"/>
        </w:rPr>
        <w:t>.</w:t>
      </w:r>
    </w:p>
    <w:p w14:paraId="5AC7F105" w14:textId="1B4EABD3" w:rsidR="00FA04F8"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30E03" w:rsidRPr="00EF2F18">
        <w:rPr>
          <w:rFonts w:cs="Times New Roman"/>
          <w:sz w:val="22"/>
          <w:lang w:val="sr-Cyrl-RS" w:eastAsia="en-GB"/>
        </w:rPr>
        <w:t>регулаторна</w:t>
      </w:r>
      <w:r w:rsidR="00891D8A" w:rsidRPr="00EF2F18">
        <w:rPr>
          <w:rFonts w:cs="Times New Roman"/>
          <w:sz w:val="22"/>
          <w:lang w:val="sr-Cyrl-RS" w:eastAsia="en-GB"/>
        </w:rPr>
        <w:t>.</w:t>
      </w:r>
    </w:p>
    <w:p w14:paraId="29EC7E2B" w14:textId="46ACC9FE" w:rsidR="00FA04F8" w:rsidRDefault="00FA04F8" w:rsidP="00425FCC">
      <w:pPr>
        <w:spacing w:after="0"/>
        <w:ind w:firstLine="720"/>
        <w:rPr>
          <w:rFonts w:cs="Times New Roman"/>
          <w:sz w:val="22"/>
          <w:lang w:val="sr-Cyrl-RS"/>
        </w:rPr>
      </w:pPr>
    </w:p>
    <w:p w14:paraId="6DCDEB10" w14:textId="0B127F8F" w:rsidR="00753384" w:rsidRDefault="00753384" w:rsidP="00425FCC">
      <w:pPr>
        <w:spacing w:after="0"/>
        <w:ind w:firstLine="720"/>
        <w:rPr>
          <w:rFonts w:cs="Times New Roman"/>
          <w:sz w:val="22"/>
          <w:lang w:val="sr-Cyrl-RS"/>
        </w:rPr>
      </w:pPr>
    </w:p>
    <w:p w14:paraId="5FB45655" w14:textId="77777777" w:rsidR="00753384" w:rsidRPr="00EF2F18" w:rsidRDefault="00753384" w:rsidP="00425FCC">
      <w:pPr>
        <w:spacing w:after="0"/>
        <w:ind w:firstLine="720"/>
        <w:rPr>
          <w:rFonts w:cs="Times New Roman"/>
          <w:sz w:val="22"/>
          <w:lang w:val="sr-Cyrl-RS"/>
        </w:rPr>
      </w:pPr>
    </w:p>
    <w:p w14:paraId="70652977" w14:textId="7CDBB596"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lastRenderedPageBreak/>
        <w:t xml:space="preserve">Посебан циљ 3.5: </w:t>
      </w:r>
      <w:r w:rsidR="00FA04F8" w:rsidRPr="00EF2F18">
        <w:rPr>
          <w:rFonts w:cs="Times New Roman"/>
          <w:b/>
          <w:bCs/>
          <w:color w:val="2E74B5" w:themeColor="accent1" w:themeShade="BF"/>
          <w:sz w:val="22"/>
          <w:lang w:val="sr-Cyrl-RS"/>
        </w:rPr>
        <w:t xml:space="preserve">Смањење нивоа буке и </w:t>
      </w:r>
      <w:r w:rsidR="007666F9" w:rsidRPr="00EF2F18">
        <w:rPr>
          <w:rFonts w:cs="Times New Roman"/>
          <w:b/>
          <w:bCs/>
          <w:color w:val="2E74B5" w:themeColor="accent1" w:themeShade="BF"/>
          <w:sz w:val="22"/>
          <w:lang w:val="sr-Cyrl-RS"/>
        </w:rPr>
        <w:t xml:space="preserve">заштита од </w:t>
      </w:r>
      <w:r w:rsidR="00FA04F8" w:rsidRPr="00EF2F18">
        <w:rPr>
          <w:rFonts w:cs="Times New Roman"/>
          <w:b/>
          <w:bCs/>
          <w:color w:val="2E74B5" w:themeColor="accent1" w:themeShade="BF"/>
          <w:sz w:val="22"/>
          <w:lang w:val="sr-Cyrl-RS"/>
        </w:rPr>
        <w:t>нејонизујућег и јонизујућег зрачења</w:t>
      </w:r>
    </w:p>
    <w:p w14:paraId="7129C071" w14:textId="77777777" w:rsidR="00753384" w:rsidRDefault="00753384" w:rsidP="00D055D4">
      <w:pPr>
        <w:spacing w:after="0"/>
        <w:ind w:firstLine="720"/>
        <w:jc w:val="both"/>
        <w:rPr>
          <w:rFonts w:cs="Times New Roman"/>
          <w:sz w:val="22"/>
          <w:lang w:val="sr-Cyrl-RS"/>
        </w:rPr>
      </w:pPr>
    </w:p>
    <w:p w14:paraId="648A517A" w14:textId="06E74409" w:rsidR="00843A89" w:rsidRPr="00EF2F18" w:rsidRDefault="00843A89" w:rsidP="00D055D4">
      <w:pPr>
        <w:spacing w:after="0"/>
        <w:ind w:firstLine="720"/>
        <w:jc w:val="both"/>
        <w:rPr>
          <w:rFonts w:cs="Times New Roman"/>
          <w:sz w:val="22"/>
          <w:lang w:val="sr-Cyrl-RS"/>
        </w:rPr>
      </w:pPr>
      <w:r w:rsidRPr="00EF2F18">
        <w:rPr>
          <w:rFonts w:cs="Times New Roman"/>
          <w:sz w:val="22"/>
          <w:lang w:val="sr-Cyrl-RS"/>
        </w:rPr>
        <w:t>Спровођење овог циља базирано је на одредбама:</w:t>
      </w:r>
    </w:p>
    <w:p w14:paraId="2964B440" w14:textId="19C8A967" w:rsidR="00843A89" w:rsidRPr="00EF2F18" w:rsidRDefault="00137042" w:rsidP="00313E8E">
      <w:pPr>
        <w:pStyle w:val="ListParagraph"/>
        <w:numPr>
          <w:ilvl w:val="0"/>
          <w:numId w:val="25"/>
        </w:numPr>
        <w:spacing w:after="0"/>
        <w:contextualSpacing w:val="0"/>
        <w:jc w:val="both"/>
        <w:rPr>
          <w:rFonts w:cs="Times New Roman"/>
          <w:sz w:val="22"/>
          <w:lang w:val="sr-Cyrl-RS"/>
        </w:rPr>
      </w:pPr>
      <w:r w:rsidRPr="00EF2F18">
        <w:rPr>
          <w:rFonts w:cs="Times New Roman"/>
          <w:sz w:val="22"/>
          <w:lang w:val="sr-Cyrl-RS"/>
        </w:rPr>
        <w:t>Д</w:t>
      </w:r>
      <w:r w:rsidR="00843A89" w:rsidRPr="00EF2F18">
        <w:rPr>
          <w:rFonts w:cs="Times New Roman"/>
          <w:sz w:val="22"/>
          <w:lang w:val="sr-Cyrl-RS"/>
        </w:rPr>
        <w:t>иректив</w:t>
      </w:r>
      <w:r w:rsidRPr="00EF2F18">
        <w:rPr>
          <w:rFonts w:cs="Times New Roman"/>
          <w:sz w:val="22"/>
          <w:lang w:val="sr-Cyrl-RS"/>
        </w:rPr>
        <w:t>а</w:t>
      </w:r>
      <w:r w:rsidR="00843A89" w:rsidRPr="00EF2F18">
        <w:rPr>
          <w:rFonts w:cs="Times New Roman"/>
          <w:sz w:val="22"/>
          <w:lang w:val="sr-Cyrl-RS"/>
        </w:rPr>
        <w:t xml:space="preserve"> 2002/49/E</w:t>
      </w:r>
      <w:r w:rsidR="00E6676B" w:rsidRPr="00EF2F18">
        <w:rPr>
          <w:rFonts w:cs="Times New Roman"/>
          <w:sz w:val="22"/>
          <w:lang w:val="sr-Cyrl-RS"/>
        </w:rPr>
        <w:t>С</w:t>
      </w:r>
      <w:r w:rsidR="00843A89" w:rsidRPr="00EF2F18">
        <w:rPr>
          <w:rFonts w:cs="Times New Roman"/>
          <w:sz w:val="22"/>
          <w:lang w:val="sr-Cyrl-RS"/>
        </w:rPr>
        <w:t xml:space="preserve"> </w:t>
      </w:r>
      <w:r w:rsidRPr="00EF2F18">
        <w:rPr>
          <w:rFonts w:cs="Times New Roman"/>
          <w:sz w:val="22"/>
          <w:lang w:val="sr-Cyrl-RS"/>
        </w:rPr>
        <w:t>о</w:t>
      </w:r>
      <w:r w:rsidR="00843A89" w:rsidRPr="00EF2F18">
        <w:rPr>
          <w:rFonts w:cs="Times New Roman"/>
          <w:sz w:val="22"/>
          <w:lang w:val="sr-Cyrl-RS"/>
        </w:rPr>
        <w:t xml:space="preserve"> процен</w:t>
      </w:r>
      <w:r w:rsidRPr="00EF2F18">
        <w:rPr>
          <w:rFonts w:cs="Times New Roman"/>
          <w:sz w:val="22"/>
          <w:lang w:val="sr-Cyrl-RS"/>
        </w:rPr>
        <w:t>и</w:t>
      </w:r>
      <w:r w:rsidR="00843A89" w:rsidRPr="00EF2F18">
        <w:rPr>
          <w:rFonts w:cs="Times New Roman"/>
          <w:sz w:val="22"/>
          <w:lang w:val="sr-Cyrl-RS"/>
        </w:rPr>
        <w:t xml:space="preserve"> и управљањем буком у животној средини; </w:t>
      </w:r>
    </w:p>
    <w:p w14:paraId="1763C98E" w14:textId="1BDC2CD5" w:rsidR="00843A89" w:rsidRPr="00EF2F18" w:rsidRDefault="00843A89" w:rsidP="00313E8E">
      <w:pPr>
        <w:pStyle w:val="ListParagraph"/>
        <w:numPr>
          <w:ilvl w:val="0"/>
          <w:numId w:val="25"/>
        </w:numPr>
        <w:spacing w:after="0"/>
        <w:contextualSpacing w:val="0"/>
        <w:jc w:val="both"/>
        <w:rPr>
          <w:rFonts w:cs="Times New Roman"/>
          <w:sz w:val="22"/>
          <w:lang w:val="sr-Cyrl-RS"/>
        </w:rPr>
      </w:pPr>
      <w:r w:rsidRPr="00EF2F18">
        <w:rPr>
          <w:rFonts w:cs="Times New Roman"/>
          <w:sz w:val="22"/>
          <w:lang w:val="sr-Cyrl-RS"/>
        </w:rPr>
        <w:t>Директива 2013/59</w:t>
      </w:r>
      <w:r w:rsidR="009719F8" w:rsidRPr="00EF2F18">
        <w:rPr>
          <w:rFonts w:cs="Times New Roman"/>
          <w:sz w:val="22"/>
          <w:lang w:val="sr-Cyrl-RS"/>
        </w:rPr>
        <w:t>/EU</w:t>
      </w:r>
      <w:r w:rsidRPr="00EF2F18">
        <w:rPr>
          <w:rFonts w:cs="Times New Roman"/>
          <w:sz w:val="22"/>
          <w:lang w:val="sr-Cyrl-RS"/>
        </w:rPr>
        <w:t xml:space="preserve"> о утврђивању основних безбедносних стандарда за заштиту од опасности које произилазе из излагања јонизујућем зрачењу</w:t>
      </w:r>
      <w:r w:rsidR="00CB0D18" w:rsidRPr="00EF2F18">
        <w:rPr>
          <w:rFonts w:cs="Times New Roman"/>
          <w:sz w:val="22"/>
          <w:lang w:val="sr-Cyrl-RS"/>
        </w:rPr>
        <w:t>;</w:t>
      </w:r>
    </w:p>
    <w:p w14:paraId="6A37F8F1" w14:textId="68B09FCC" w:rsidR="00843A89" w:rsidRPr="00EF2F18" w:rsidRDefault="00843A89" w:rsidP="00313E8E">
      <w:pPr>
        <w:pStyle w:val="ListParagraph"/>
        <w:numPr>
          <w:ilvl w:val="0"/>
          <w:numId w:val="25"/>
        </w:numPr>
        <w:spacing w:after="0"/>
        <w:contextualSpacing w:val="0"/>
        <w:jc w:val="both"/>
        <w:rPr>
          <w:rFonts w:cs="Times New Roman"/>
          <w:sz w:val="22"/>
          <w:lang w:val="sr-Cyrl-RS"/>
        </w:rPr>
      </w:pPr>
      <w:r w:rsidRPr="00EF2F18">
        <w:rPr>
          <w:rFonts w:cs="Times New Roman"/>
          <w:sz w:val="22"/>
          <w:lang w:val="sr-Cyrl-RS"/>
        </w:rPr>
        <w:t>Препорука 1999/519/Е</w:t>
      </w:r>
      <w:r w:rsidR="00E6676B" w:rsidRPr="00EF2F18">
        <w:rPr>
          <w:rFonts w:cs="Times New Roman"/>
          <w:sz w:val="22"/>
          <w:lang w:val="sr-Cyrl-RS"/>
        </w:rPr>
        <w:t>С</w:t>
      </w:r>
      <w:r w:rsidRPr="00EF2F18">
        <w:rPr>
          <w:rFonts w:cs="Times New Roman"/>
          <w:sz w:val="22"/>
          <w:lang w:val="sr-Cyrl-RS"/>
        </w:rPr>
        <w:t xml:space="preserve"> о ограничавању изложености опште популације електромагнетским пољима (</w:t>
      </w:r>
      <w:r w:rsidR="0075721F" w:rsidRPr="00EF2F18">
        <w:rPr>
          <w:rFonts w:cs="Times New Roman"/>
          <w:sz w:val="22"/>
          <w:lang w:val="sr-Cyrl-RS"/>
        </w:rPr>
        <w:t xml:space="preserve">од </w:t>
      </w:r>
      <w:r w:rsidRPr="00EF2F18">
        <w:rPr>
          <w:rFonts w:cs="Times New Roman"/>
          <w:sz w:val="22"/>
          <w:lang w:val="sr-Cyrl-RS"/>
        </w:rPr>
        <w:t xml:space="preserve">0 Hz </w:t>
      </w:r>
      <w:r w:rsidR="0075721F" w:rsidRPr="00EF2F18">
        <w:rPr>
          <w:rFonts w:cs="Times New Roman"/>
          <w:sz w:val="22"/>
          <w:lang w:val="sr-Cyrl-RS"/>
        </w:rPr>
        <w:t xml:space="preserve">до </w:t>
      </w:r>
      <w:r w:rsidRPr="00EF2F18">
        <w:rPr>
          <w:rFonts w:cs="Times New Roman"/>
          <w:sz w:val="22"/>
          <w:lang w:val="sr-Cyrl-RS"/>
        </w:rPr>
        <w:t>300 GHz)</w:t>
      </w:r>
      <w:r w:rsidR="00D27388" w:rsidRPr="00EF2F18">
        <w:rPr>
          <w:rFonts w:cs="Times New Roman"/>
          <w:sz w:val="22"/>
          <w:lang w:val="sr-Cyrl-RS"/>
        </w:rPr>
        <w:t>.</w:t>
      </w:r>
    </w:p>
    <w:p w14:paraId="41FA2498" w14:textId="5EB4957B" w:rsidR="005F103F" w:rsidRPr="00EF2F18" w:rsidRDefault="005F103F" w:rsidP="005F103F">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w:t>
      </w:r>
      <w:r w:rsidR="00BD4FAC" w:rsidRPr="00EF2F18">
        <w:rPr>
          <w:rFonts w:eastAsia="Calibri" w:cs="Times New Roman"/>
          <w:sz w:val="22"/>
          <w:lang w:val="sr-Cyrl-RS"/>
        </w:rPr>
        <w:t xml:space="preserve">11 који </w:t>
      </w:r>
      <w:r w:rsidR="00BD4FAC" w:rsidRPr="00EF2F18">
        <w:rPr>
          <w:sz w:val="22"/>
          <w:lang w:val="sr-Cyrl-RS"/>
        </w:rPr>
        <w:t>дефинише потребне кораке како би се градови и људска насеља учинили инклузивним, безбедним, отпорним и одрживим</w:t>
      </w:r>
      <w:r w:rsidRPr="00EF2F18">
        <w:rPr>
          <w:sz w:val="22"/>
          <w:lang w:val="sr-Cyrl-RS"/>
        </w:rPr>
        <w:t>.</w:t>
      </w:r>
    </w:p>
    <w:p w14:paraId="0E78C7E3" w14:textId="77777777" w:rsidR="00491EBE" w:rsidRPr="00EF2F18" w:rsidRDefault="00491EBE" w:rsidP="00425FCC">
      <w:pPr>
        <w:spacing w:after="0"/>
        <w:ind w:firstLine="720"/>
        <w:rPr>
          <w:rFonts w:cs="Times New Roman"/>
          <w:sz w:val="22"/>
          <w:lang w:val="sr-Cyrl-RS"/>
        </w:rPr>
      </w:pPr>
    </w:p>
    <w:p w14:paraId="4A98F681" w14:textId="38E0D765"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3.5.1. </w:t>
      </w:r>
      <w:r w:rsidR="00FA04F8" w:rsidRPr="00EF2F18">
        <w:rPr>
          <w:rFonts w:cs="Times New Roman"/>
          <w:b/>
          <w:bCs/>
          <w:sz w:val="22"/>
          <w:lang w:val="sr-Cyrl-RS" w:eastAsia="en-GB"/>
        </w:rPr>
        <w:t>Израда стратешких карата буке и акционих планова</w:t>
      </w:r>
    </w:p>
    <w:p w14:paraId="64D5BC33" w14:textId="77777777" w:rsidR="00D83673" w:rsidRPr="00EF2F18" w:rsidRDefault="00D83673" w:rsidP="0075721F">
      <w:pPr>
        <w:spacing w:after="0"/>
        <w:ind w:firstLine="720"/>
        <w:jc w:val="both"/>
        <w:rPr>
          <w:rFonts w:cs="Times New Roman"/>
          <w:sz w:val="22"/>
          <w:lang w:val="sr-Cyrl-RS"/>
        </w:rPr>
      </w:pPr>
    </w:p>
    <w:p w14:paraId="69357EB0" w14:textId="2C86ED6B" w:rsidR="00491EBE" w:rsidRPr="00EF2F18" w:rsidRDefault="00843A89" w:rsidP="0075721F">
      <w:pPr>
        <w:spacing w:after="0"/>
        <w:ind w:firstLine="720"/>
        <w:jc w:val="both"/>
        <w:rPr>
          <w:rFonts w:cs="Times New Roman"/>
          <w:sz w:val="22"/>
          <w:lang w:val="sr-Cyrl-RS"/>
        </w:rPr>
      </w:pPr>
      <w:r w:rsidRPr="00EF2F18">
        <w:rPr>
          <w:rFonts w:cs="Times New Roman"/>
          <w:sz w:val="22"/>
          <w:lang w:val="sr-Cyrl-RS"/>
        </w:rPr>
        <w:t>Мера подразумева израду стратешких карата буке кој</w:t>
      </w:r>
      <w:r w:rsidR="00880E07" w:rsidRPr="00EF2F18">
        <w:rPr>
          <w:rFonts w:cs="Times New Roman"/>
          <w:sz w:val="22"/>
          <w:lang w:val="sr-Cyrl-RS"/>
        </w:rPr>
        <w:t>е</w:t>
      </w:r>
      <w:r w:rsidRPr="00EF2F18">
        <w:rPr>
          <w:rFonts w:cs="Times New Roman"/>
          <w:sz w:val="22"/>
          <w:lang w:val="sr-Cyrl-RS"/>
        </w:rPr>
        <w:t xml:space="preserve"> захтевају: дефинисање граница насеља за које се израђују карте буке, секција путева за које се раде карте, секција железничких пруга за које се раде карте; сакупљање неопходних улазних података за израду стратешких карата буке, укључујући и потребна мерења; израду модела који се користе за израду стратешких карата буке и обраду података. Израда акционих планова укључује: доношење одлуке о изради плана у зависности од резултата стратешке карте буке</w:t>
      </w:r>
      <w:r w:rsidR="00880E07" w:rsidRPr="00EF2F18">
        <w:rPr>
          <w:rFonts w:cs="Times New Roman"/>
          <w:sz w:val="22"/>
          <w:lang w:val="sr-Cyrl-RS"/>
        </w:rPr>
        <w:t>;</w:t>
      </w:r>
      <w:r w:rsidRPr="00EF2F18">
        <w:rPr>
          <w:rFonts w:cs="Times New Roman"/>
          <w:sz w:val="22"/>
          <w:lang w:val="sr-Cyrl-RS"/>
        </w:rPr>
        <w:t xml:space="preserve"> идентификацију мера које се укључују у план; процену трошкова предложених мера; утврђивање институционалних одговорности за спровођење мера; израду нацрта акционих планова и усва</w:t>
      </w:r>
      <w:r w:rsidR="00531392">
        <w:rPr>
          <w:rFonts w:cs="Times New Roman"/>
          <w:sz w:val="22"/>
          <w:lang w:val="sr-Cyrl-RS"/>
        </w:rPr>
        <w:t>ј</w:t>
      </w:r>
      <w:r w:rsidRPr="00EF2F18">
        <w:rPr>
          <w:rFonts w:cs="Times New Roman"/>
          <w:sz w:val="22"/>
          <w:lang w:val="sr-Cyrl-RS"/>
        </w:rPr>
        <w:t>ање након јавне расправе. Оба документа укључују и обуку релевантних заинтересованих страна о изради стратешких карата буке и изради акционих планова</w:t>
      </w:r>
      <w:r w:rsidR="00FA04F8" w:rsidRPr="00EF2F18">
        <w:rPr>
          <w:rFonts w:cs="Times New Roman"/>
          <w:sz w:val="22"/>
          <w:lang w:val="sr-Cyrl-RS"/>
        </w:rPr>
        <w:t>.</w:t>
      </w:r>
    </w:p>
    <w:p w14:paraId="709CC740" w14:textId="719A0735" w:rsidR="00843A89" w:rsidRPr="00EF2F18" w:rsidRDefault="00843A89" w:rsidP="0075721F">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r w:rsidRPr="00EF2F18">
        <w:rPr>
          <w:rFonts w:cs="Times New Roman"/>
          <w:sz w:val="22"/>
          <w:lang w:val="sr-Cyrl-RS" w:eastAsia="en-GB"/>
        </w:rPr>
        <w:t xml:space="preserve"> </w:t>
      </w:r>
    </w:p>
    <w:p w14:paraId="4994DB8F" w14:textId="19AA50B2"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Агенција за заштиту животне средине</w:t>
      </w:r>
      <w:r w:rsidR="00891D8A" w:rsidRPr="00EF2F18">
        <w:rPr>
          <w:rFonts w:cs="Times New Roman"/>
          <w:sz w:val="22"/>
          <w:lang w:val="sr-Cyrl-RS" w:eastAsia="en-GB"/>
        </w:rPr>
        <w:t>.</w:t>
      </w:r>
    </w:p>
    <w:p w14:paraId="39C30533" w14:textId="64281212" w:rsidR="00491EBE"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891D8A" w:rsidRPr="00EF2F18">
        <w:rPr>
          <w:rFonts w:cs="Times New Roman"/>
          <w:sz w:val="22"/>
          <w:lang w:val="sr-Cyrl-RS" w:eastAsia="en-GB"/>
        </w:rPr>
        <w:t>.</w:t>
      </w:r>
    </w:p>
    <w:p w14:paraId="09AB47A7" w14:textId="77777777" w:rsidR="00491EBE" w:rsidRPr="00EF2F18" w:rsidRDefault="00491EBE" w:rsidP="00425FCC">
      <w:pPr>
        <w:spacing w:after="0"/>
        <w:ind w:firstLine="720"/>
        <w:jc w:val="both"/>
        <w:rPr>
          <w:rFonts w:cs="Times New Roman"/>
          <w:sz w:val="22"/>
          <w:lang w:val="sr-Cyrl-RS" w:eastAsia="en-GB"/>
        </w:rPr>
      </w:pPr>
    </w:p>
    <w:p w14:paraId="0AE88825" w14:textId="295E1E9C"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3.5.2. </w:t>
      </w:r>
      <w:r w:rsidR="007C23EE" w:rsidRPr="00EF2F18">
        <w:rPr>
          <w:rFonts w:cs="Times New Roman"/>
          <w:b/>
          <w:bCs/>
          <w:sz w:val="22"/>
          <w:lang w:val="sr-Cyrl-RS" w:eastAsia="en-GB"/>
        </w:rPr>
        <w:t xml:space="preserve">Усклађивање </w:t>
      </w:r>
      <w:r w:rsidR="00FA04F8" w:rsidRPr="00EF2F18">
        <w:rPr>
          <w:rFonts w:cs="Times New Roman"/>
          <w:b/>
          <w:bCs/>
          <w:sz w:val="22"/>
          <w:lang w:val="sr-Cyrl-RS" w:eastAsia="en-GB"/>
        </w:rPr>
        <w:t>регулативе из области заштите од нејонизујућих зрачења у складу са препорукама Савета Европе и Међународне комисије за заштиту од нејонизујућег зрачења</w:t>
      </w:r>
    </w:p>
    <w:p w14:paraId="395E787E" w14:textId="77777777" w:rsidR="00D83673" w:rsidRPr="00EF2F18" w:rsidRDefault="00D83673" w:rsidP="00425FCC">
      <w:pPr>
        <w:spacing w:after="0"/>
        <w:ind w:firstLine="720"/>
        <w:jc w:val="both"/>
        <w:rPr>
          <w:rFonts w:cs="Times New Roman"/>
          <w:sz w:val="22"/>
          <w:lang w:val="sr-Cyrl-RS"/>
        </w:rPr>
      </w:pPr>
    </w:p>
    <w:p w14:paraId="15BBA8F1" w14:textId="76A1D467" w:rsidR="00491EBE" w:rsidRPr="00EF2F18" w:rsidRDefault="00137042" w:rsidP="00425FCC">
      <w:pPr>
        <w:spacing w:after="0"/>
        <w:ind w:firstLine="720"/>
        <w:jc w:val="both"/>
        <w:rPr>
          <w:rFonts w:cs="Times New Roman"/>
          <w:sz w:val="22"/>
          <w:lang w:val="sr-Cyrl-RS"/>
        </w:rPr>
      </w:pPr>
      <w:r w:rsidRPr="00EF2F18">
        <w:rPr>
          <w:rFonts w:cs="Times New Roman"/>
          <w:sz w:val="22"/>
          <w:lang w:val="sr-Cyrl-RS"/>
        </w:rPr>
        <w:t>О</w:t>
      </w:r>
      <w:r w:rsidR="00FA04F8" w:rsidRPr="00EF2F18">
        <w:rPr>
          <w:rFonts w:cs="Times New Roman"/>
          <w:sz w:val="22"/>
          <w:lang w:val="sr-Cyrl-RS"/>
        </w:rPr>
        <w:t xml:space="preserve">квир </w:t>
      </w:r>
      <w:r w:rsidRPr="00EF2F18">
        <w:rPr>
          <w:rFonts w:cs="Times New Roman"/>
          <w:sz w:val="22"/>
          <w:lang w:val="sr-Cyrl-RS"/>
        </w:rPr>
        <w:t xml:space="preserve">ЕУ </w:t>
      </w:r>
      <w:r w:rsidR="00FA04F8" w:rsidRPr="00EF2F18">
        <w:rPr>
          <w:rFonts w:cs="Times New Roman"/>
          <w:sz w:val="22"/>
          <w:lang w:val="sr-Cyrl-RS"/>
        </w:rPr>
        <w:t xml:space="preserve">у области заштите од нејонизујућег зрачења успостављен је </w:t>
      </w:r>
      <w:r w:rsidRPr="00EF2F18">
        <w:rPr>
          <w:rFonts w:cs="Times New Roman"/>
          <w:sz w:val="22"/>
          <w:lang w:val="sr-Cyrl-RS"/>
        </w:rPr>
        <w:t>Препоруком 1999/519/ЕС о ограничавању изложености опште популације електромагнетским пољима (од 0 Hz до 300 GHz)</w:t>
      </w:r>
      <w:r w:rsidR="00FA04F8" w:rsidRPr="00EF2F18">
        <w:rPr>
          <w:rFonts w:cs="Times New Roman"/>
          <w:sz w:val="22"/>
          <w:lang w:val="sr-Cyrl-RS"/>
        </w:rPr>
        <w:t xml:space="preserve">, </w:t>
      </w:r>
      <w:r w:rsidR="00B7616B" w:rsidRPr="00EF2F18">
        <w:rPr>
          <w:rFonts w:cs="Times New Roman"/>
          <w:sz w:val="22"/>
          <w:lang w:val="sr-Cyrl-RS"/>
        </w:rPr>
        <w:t>у складу са којим</w:t>
      </w:r>
      <w:r w:rsidR="00FA04F8" w:rsidRPr="00EF2F18">
        <w:rPr>
          <w:rFonts w:cs="Times New Roman"/>
          <w:sz w:val="22"/>
          <w:lang w:val="sr-Cyrl-RS"/>
        </w:rPr>
        <w:t xml:space="preserve"> су националне регулативе чланица ЕУ </w:t>
      </w:r>
      <w:r w:rsidR="00B7616B" w:rsidRPr="00EF2F18">
        <w:rPr>
          <w:rFonts w:cs="Times New Roman"/>
          <w:sz w:val="22"/>
          <w:lang w:val="sr-Cyrl-RS"/>
        </w:rPr>
        <w:t xml:space="preserve">самостално </w:t>
      </w:r>
      <w:r w:rsidR="00FA04F8" w:rsidRPr="00EF2F18">
        <w:rPr>
          <w:rFonts w:cs="Times New Roman"/>
          <w:sz w:val="22"/>
          <w:lang w:val="sr-Cyrl-RS"/>
        </w:rPr>
        <w:t xml:space="preserve">регулисале ову област. </w:t>
      </w:r>
      <w:r w:rsidR="009E7B9F" w:rsidRPr="00EF2F18">
        <w:rPr>
          <w:rFonts w:cs="Times New Roman"/>
          <w:sz w:val="22"/>
          <w:lang w:val="sr-Cyrl-RS"/>
        </w:rPr>
        <w:t xml:space="preserve">Такође, Међународна комисија за заштиту од нејонизујућег зрачења је у 2020. години објавила нову Препоруку за ограничавање излагања електромагнетским пољима (100 kHz до 300 GHz), чије ће смернице као и смернице из 1998. године  бити обухваћене приликом израде новог Закона о заштити од нејонизујућих зрачења и пратећих подзаконских аката.   </w:t>
      </w:r>
    </w:p>
    <w:p w14:paraId="7E097F50" w14:textId="50023343"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r w:rsidRPr="00EF2F18">
        <w:rPr>
          <w:rFonts w:cs="Times New Roman"/>
          <w:sz w:val="22"/>
          <w:lang w:val="sr-Cyrl-RS" w:eastAsia="en-GB"/>
        </w:rPr>
        <w:t xml:space="preserve"> </w:t>
      </w:r>
    </w:p>
    <w:p w14:paraId="4D6610AE" w14:textId="0D94CB8A"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977527" w:rsidRPr="00EF2F18">
        <w:rPr>
          <w:rFonts w:cs="Times New Roman"/>
          <w:sz w:val="22"/>
          <w:lang w:val="sr-Cyrl-RS" w:eastAsia="en-GB"/>
        </w:rPr>
        <w:t>Министарство информисања и телекомуникација</w:t>
      </w:r>
      <w:r w:rsidR="00891D8A" w:rsidRPr="00EF2F18">
        <w:rPr>
          <w:rFonts w:cs="Times New Roman"/>
          <w:sz w:val="22"/>
          <w:lang w:val="sr-Cyrl-RS" w:eastAsia="en-GB"/>
        </w:rPr>
        <w:t>.</w:t>
      </w:r>
    </w:p>
    <w:p w14:paraId="3C68FB8B" w14:textId="4FFD3799" w:rsidR="00491EBE" w:rsidRPr="00EF2F18" w:rsidRDefault="00843A89"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891D8A" w:rsidRPr="00EF2F18">
        <w:rPr>
          <w:rFonts w:cs="Times New Roman"/>
          <w:sz w:val="22"/>
          <w:lang w:val="sr-Cyrl-RS" w:eastAsia="en-GB"/>
        </w:rPr>
        <w:t>.</w:t>
      </w:r>
    </w:p>
    <w:p w14:paraId="15042F73" w14:textId="77777777" w:rsidR="00891D8A" w:rsidRPr="00EF2F18" w:rsidRDefault="00891D8A" w:rsidP="00425FCC">
      <w:pPr>
        <w:spacing w:after="0"/>
        <w:ind w:firstLine="720"/>
        <w:rPr>
          <w:rFonts w:cs="Times New Roman"/>
          <w:sz w:val="22"/>
          <w:lang w:val="sr-Cyrl-RS"/>
        </w:rPr>
      </w:pPr>
    </w:p>
    <w:p w14:paraId="2616755F" w14:textId="3F013687" w:rsidR="00C51096"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b/>
          <w:bCs/>
          <w:color w:val="FF0000"/>
          <w:sz w:val="22"/>
          <w:lang w:val="sr-Cyrl-RS" w:eastAsia="en-GB"/>
        </w:rPr>
      </w:pPr>
      <w:bookmarkStart w:id="127" w:name="_Hlk141301480"/>
      <w:r w:rsidRPr="00EF2F18">
        <w:rPr>
          <w:rFonts w:cs="Times New Roman"/>
          <w:b/>
          <w:bCs/>
          <w:sz w:val="22"/>
          <w:lang w:val="sr-Cyrl-RS" w:eastAsia="en-GB"/>
        </w:rPr>
        <w:t xml:space="preserve">Мера 3.5.3. </w:t>
      </w:r>
      <w:r w:rsidR="00C51096" w:rsidRPr="00EF2F18">
        <w:rPr>
          <w:rFonts w:cs="Times New Roman"/>
          <w:b/>
          <w:bCs/>
          <w:sz w:val="22"/>
          <w:lang w:val="sr-Cyrl-RS"/>
        </w:rPr>
        <w:t>Унапређење с</w:t>
      </w:r>
      <w:r w:rsidR="00C51096" w:rsidRPr="00EF2F18">
        <w:rPr>
          <w:b/>
          <w:bCs/>
          <w:sz w:val="22"/>
          <w:lang w:val="sr-Cyrl-RS"/>
        </w:rPr>
        <w:t>истематског праћења радиоактивности у животној средини и система правовремене најаве акцидента</w:t>
      </w:r>
    </w:p>
    <w:p w14:paraId="7ADB9A9B" w14:textId="77777777" w:rsidR="00D83673" w:rsidRPr="00EF2F18" w:rsidRDefault="00D83673" w:rsidP="0047611C">
      <w:pPr>
        <w:spacing w:after="0"/>
        <w:ind w:firstLine="720"/>
        <w:jc w:val="both"/>
        <w:rPr>
          <w:rFonts w:cs="Times New Roman"/>
          <w:sz w:val="22"/>
          <w:lang w:val="sr-Cyrl-RS"/>
        </w:rPr>
      </w:pPr>
    </w:p>
    <w:p w14:paraId="4FD40FC1" w14:textId="78414406" w:rsidR="0047611C" w:rsidRPr="00EF2F18" w:rsidRDefault="00FA04F8" w:rsidP="0047611C">
      <w:pPr>
        <w:spacing w:after="0"/>
        <w:ind w:firstLine="720"/>
        <w:jc w:val="both"/>
        <w:rPr>
          <w:rFonts w:cs="Times New Roman"/>
          <w:sz w:val="22"/>
          <w:lang w:val="sr-Cyrl-RS"/>
        </w:rPr>
      </w:pPr>
      <w:r w:rsidRPr="00EF2F18">
        <w:rPr>
          <w:rFonts w:cs="Times New Roman"/>
          <w:sz w:val="22"/>
          <w:lang w:val="sr-Cyrl-RS"/>
        </w:rPr>
        <w:t xml:space="preserve">Ова мера подразумева </w:t>
      </w:r>
      <w:r w:rsidR="004E6062" w:rsidRPr="00EF2F18">
        <w:rPr>
          <w:rFonts w:cs="Times New Roman"/>
          <w:sz w:val="22"/>
          <w:lang w:val="sr-Cyrl-RS"/>
        </w:rPr>
        <w:t>унапређење с</w:t>
      </w:r>
      <w:r w:rsidR="004E6062" w:rsidRPr="00EF2F18">
        <w:rPr>
          <w:sz w:val="22"/>
          <w:lang w:val="sr-Cyrl-RS"/>
        </w:rPr>
        <w:t>истематског праћења радиоактивности како би се проценила угроженост животне средине и омогућио правовремени одговор у случају повећања радиоактивности, као и спровођење мера радијационе сигурности и безбедности. Мониторинг се врши према Закону о радијационој и нуклеарној сигурности и безбедности („Службени гласник РС”</w:t>
      </w:r>
      <w:r w:rsidR="006C2E00" w:rsidRPr="00EF2F18">
        <w:rPr>
          <w:sz w:val="22"/>
          <w:lang w:val="sr-Cyrl-RS"/>
        </w:rPr>
        <w:t>,</w:t>
      </w:r>
      <w:r w:rsidR="004E6062" w:rsidRPr="00EF2F18">
        <w:rPr>
          <w:sz w:val="22"/>
          <w:lang w:val="sr-Cyrl-RS"/>
        </w:rPr>
        <w:t xml:space="preserve"> бр. 95/18 и 10/19), ради утврђивања присуства радионуклида у животној средини и процене нивоа излагања становништва јонизујућим зрачењима и то у редовним условима, у случају сумње на акцидент и у току акцидента</w:t>
      </w:r>
      <w:r w:rsidR="00C51096" w:rsidRPr="00EF2F18">
        <w:rPr>
          <w:sz w:val="22"/>
          <w:lang w:val="sr-Cyrl-RS"/>
        </w:rPr>
        <w:t xml:space="preserve">. </w:t>
      </w:r>
      <w:r w:rsidR="00825E8E" w:rsidRPr="00EF2F18">
        <w:rPr>
          <w:sz w:val="22"/>
          <w:lang w:val="sr-Cyrl-RS"/>
        </w:rPr>
        <w:t xml:space="preserve">Имајући у виду да земље у суседству поседују активне нуклеарне електране, инсталацијом новог система биће унапређен и систем </w:t>
      </w:r>
      <w:r w:rsidR="00825E8E" w:rsidRPr="00EF2F18">
        <w:rPr>
          <w:sz w:val="22"/>
          <w:lang w:val="sr-Cyrl-RS"/>
        </w:rPr>
        <w:lastRenderedPageBreak/>
        <w:t>обавештавања о нуклеарном или радиолошком акциденту. Ово ће побољшати механизам за правовремено доношење одговарајућих мера за заштиту становништва и животне средине од штетног утицаја јонизујућег зрачења</w:t>
      </w:r>
      <w:r w:rsidR="002A4D43" w:rsidRPr="00EF2F18">
        <w:rPr>
          <w:sz w:val="22"/>
          <w:lang w:val="sr-Cyrl-RS"/>
        </w:rPr>
        <w:t xml:space="preserve"> (</w:t>
      </w:r>
      <w:r w:rsidR="002A4D43" w:rsidRPr="00EF2F18">
        <w:rPr>
          <w:rFonts w:cs="Times New Roman"/>
          <w:sz w:val="22"/>
          <w:lang w:val="sr-Cyrl-RS"/>
        </w:rPr>
        <w:t xml:space="preserve">веза са </w:t>
      </w:r>
      <w:r w:rsidR="00ED0623" w:rsidRPr="00EF2F18">
        <w:rPr>
          <w:rFonts w:cs="Times New Roman"/>
          <w:sz w:val="22"/>
          <w:lang w:val="sr-Cyrl-RS"/>
        </w:rPr>
        <w:t>м</w:t>
      </w:r>
      <w:r w:rsidR="0047611C" w:rsidRPr="00EF2F18">
        <w:rPr>
          <w:rFonts w:cs="Times New Roman"/>
          <w:sz w:val="22"/>
          <w:lang w:val="sr-Cyrl-RS"/>
        </w:rPr>
        <w:t>ером 6.3.1. ове Стратегије</w:t>
      </w:r>
      <w:r w:rsidR="00ED0623" w:rsidRPr="00EF2F18">
        <w:rPr>
          <w:rFonts w:cs="Times New Roman"/>
          <w:sz w:val="22"/>
          <w:lang w:val="sr-Cyrl-RS"/>
        </w:rPr>
        <w:t>)</w:t>
      </w:r>
      <w:r w:rsidR="0047611C" w:rsidRPr="00EF2F18">
        <w:rPr>
          <w:rFonts w:cs="Times New Roman"/>
          <w:sz w:val="22"/>
          <w:lang w:val="sr-Cyrl-RS"/>
        </w:rPr>
        <w:t>.</w:t>
      </w:r>
    </w:p>
    <w:p w14:paraId="7AB2A0B8" w14:textId="138D5DEB" w:rsidR="00FA04F8" w:rsidRPr="00EF2F18" w:rsidRDefault="00C51096" w:rsidP="00425FCC">
      <w:pPr>
        <w:spacing w:after="0"/>
        <w:ind w:firstLine="720"/>
        <w:jc w:val="both"/>
        <w:rPr>
          <w:rFonts w:cs="Times New Roman"/>
          <w:sz w:val="22"/>
          <w:lang w:val="sr-Cyrl-RS"/>
        </w:rPr>
      </w:pPr>
      <w:r w:rsidRPr="00EF2F18">
        <w:rPr>
          <w:sz w:val="22"/>
          <w:lang w:val="sr-Cyrl-RS"/>
        </w:rPr>
        <w:t xml:space="preserve">Такође </w:t>
      </w:r>
      <w:r w:rsidR="00880E07" w:rsidRPr="00EF2F18">
        <w:rPr>
          <w:sz w:val="22"/>
          <w:lang w:val="sr-Cyrl-RS"/>
        </w:rPr>
        <w:t>је</w:t>
      </w:r>
      <w:r w:rsidRPr="00EF2F18">
        <w:rPr>
          <w:sz w:val="22"/>
          <w:lang w:val="sr-Cyrl-RS"/>
        </w:rPr>
        <w:t xml:space="preserve"> потребно дефинисати и </w:t>
      </w:r>
      <w:r w:rsidR="00EC282C" w:rsidRPr="00EF2F18">
        <w:rPr>
          <w:rFonts w:cs="Times New Roman"/>
          <w:sz w:val="22"/>
          <w:lang w:val="sr-Cyrl-RS"/>
        </w:rPr>
        <w:t>планове</w:t>
      </w:r>
      <w:r w:rsidRPr="00EF2F18">
        <w:rPr>
          <w:rFonts w:cs="Times New Roman"/>
          <w:sz w:val="22"/>
          <w:lang w:val="sr-Cyrl-RS"/>
        </w:rPr>
        <w:t xml:space="preserve"> у области радијационе и нуклеарне сигурности и безбедности и политике управљања истрошеним горивом и радиоактивним отпадом у Републици Србији. То ће </w:t>
      </w:r>
      <w:r w:rsidR="00FA04F8" w:rsidRPr="00EF2F18">
        <w:rPr>
          <w:rFonts w:cs="Times New Roman"/>
          <w:sz w:val="22"/>
          <w:lang w:val="sr-Cyrl-RS"/>
        </w:rPr>
        <w:t>дугорочно одре</w:t>
      </w:r>
      <w:r w:rsidRPr="00EF2F18">
        <w:rPr>
          <w:rFonts w:cs="Times New Roman"/>
          <w:sz w:val="22"/>
          <w:lang w:val="sr-Cyrl-RS"/>
        </w:rPr>
        <w:t>дити</w:t>
      </w:r>
      <w:r w:rsidR="00FA04F8" w:rsidRPr="00EF2F18">
        <w:rPr>
          <w:rFonts w:cs="Times New Roman"/>
          <w:sz w:val="22"/>
          <w:lang w:val="sr-Cyrl-RS"/>
        </w:rPr>
        <w:t xml:space="preserve"> и усмер</w:t>
      </w:r>
      <w:r w:rsidRPr="00EF2F18">
        <w:rPr>
          <w:rFonts w:cs="Times New Roman"/>
          <w:sz w:val="22"/>
          <w:lang w:val="sr-Cyrl-RS"/>
        </w:rPr>
        <w:t>ити</w:t>
      </w:r>
      <w:r w:rsidR="00FA04F8" w:rsidRPr="00EF2F18">
        <w:rPr>
          <w:rFonts w:cs="Times New Roman"/>
          <w:sz w:val="22"/>
          <w:lang w:val="sr-Cyrl-RS"/>
        </w:rPr>
        <w:t xml:space="preserve"> правце деловања у области радијационе и нуклеарне сигурности и безбедности, у складу са међународним стандардима и принципима у овој области као и преузетим међународним обавезама. </w:t>
      </w:r>
    </w:p>
    <w:p w14:paraId="74F22BAF" w14:textId="7D62A7FB"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Директорат за радијациону и нуклеарну сигурност и безбедност Србије</w:t>
      </w:r>
      <w:r w:rsidR="00891D8A" w:rsidRPr="00EF2F18">
        <w:rPr>
          <w:rFonts w:cs="Times New Roman"/>
          <w:sz w:val="22"/>
          <w:lang w:val="sr-Cyrl-RS" w:eastAsia="en-GB"/>
        </w:rPr>
        <w:t>.</w:t>
      </w:r>
    </w:p>
    <w:p w14:paraId="0982CC91" w14:textId="0D1C490E" w:rsidR="00843A89"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6267C5" w:rsidRPr="00EF2F18">
        <w:rPr>
          <w:rFonts w:cs="Times New Roman"/>
          <w:sz w:val="22"/>
          <w:lang w:val="sr-Cyrl-RS"/>
        </w:rPr>
        <w:t>м</w:t>
      </w:r>
      <w:r w:rsidRPr="00EF2F18">
        <w:rPr>
          <w:rFonts w:cs="Times New Roman"/>
          <w:sz w:val="22"/>
          <w:lang w:val="sr-Cyrl-RS"/>
        </w:rPr>
        <w:t xml:space="preserve">инистарствa </w:t>
      </w:r>
      <w:r w:rsidR="006267C5" w:rsidRPr="00EF2F18">
        <w:rPr>
          <w:rFonts w:cs="Times New Roman"/>
          <w:sz w:val="22"/>
          <w:lang w:val="sr-Cyrl-RS"/>
        </w:rPr>
        <w:t xml:space="preserve">надлежна за послове </w:t>
      </w:r>
      <w:r w:rsidRPr="00EF2F18">
        <w:rPr>
          <w:rFonts w:cs="Times New Roman"/>
          <w:sz w:val="22"/>
          <w:lang w:val="sr-Cyrl-RS"/>
        </w:rPr>
        <w:t>заштите животне средине, здравља, науке, одб</w:t>
      </w:r>
      <w:r w:rsidR="00EE0399" w:rsidRPr="00EF2F18">
        <w:rPr>
          <w:rFonts w:cs="Times New Roman"/>
          <w:sz w:val="22"/>
          <w:lang w:val="sr-Cyrl-RS"/>
        </w:rPr>
        <w:t>ране, ванредне ситуације и други</w:t>
      </w:r>
      <w:r w:rsidRPr="00EF2F18">
        <w:rPr>
          <w:rFonts w:cs="Times New Roman"/>
          <w:sz w:val="22"/>
          <w:lang w:val="sr-Cyrl-RS"/>
        </w:rPr>
        <w:t xml:space="preserve"> заинтересован</w:t>
      </w:r>
      <w:r w:rsidR="00EE0399" w:rsidRPr="00EF2F18">
        <w:rPr>
          <w:rFonts w:cs="Times New Roman"/>
          <w:sz w:val="22"/>
          <w:lang w:val="sr-Cyrl-RS"/>
        </w:rPr>
        <w:t>и</w:t>
      </w:r>
      <w:r w:rsidRPr="00EF2F18">
        <w:rPr>
          <w:rFonts w:cs="Times New Roman"/>
          <w:sz w:val="22"/>
          <w:lang w:val="sr-Cyrl-RS"/>
        </w:rPr>
        <w:t xml:space="preserve"> органи и организациј</w:t>
      </w:r>
      <w:r w:rsidR="00EE0399" w:rsidRPr="00EF2F18">
        <w:rPr>
          <w:rFonts w:cs="Times New Roman"/>
          <w:sz w:val="22"/>
          <w:lang w:val="sr-Cyrl-RS"/>
        </w:rPr>
        <w:t>е</w:t>
      </w:r>
      <w:r w:rsidR="00891D8A" w:rsidRPr="00EF2F18">
        <w:rPr>
          <w:rFonts w:cs="Times New Roman"/>
          <w:sz w:val="22"/>
          <w:lang w:val="sr-Cyrl-RS"/>
        </w:rPr>
        <w:t>.</w:t>
      </w:r>
    </w:p>
    <w:p w14:paraId="208230EC" w14:textId="24296E5B" w:rsidR="00FA04F8" w:rsidRPr="00EF2F18" w:rsidRDefault="00843A89"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530E03" w:rsidRPr="00EF2F18">
        <w:rPr>
          <w:rFonts w:cs="Times New Roman"/>
          <w:sz w:val="22"/>
          <w:lang w:val="sr-Cyrl-RS" w:eastAsia="en-GB"/>
        </w:rPr>
        <w:t>обезбеђивање добара и пружање услуга од стр</w:t>
      </w:r>
      <w:r w:rsidR="00BF2024" w:rsidRPr="00EF2F18">
        <w:rPr>
          <w:rFonts w:cs="Times New Roman"/>
          <w:sz w:val="22"/>
          <w:lang w:val="sr-Cyrl-RS" w:eastAsia="en-GB"/>
        </w:rPr>
        <w:t>ане учесника у планском систему</w:t>
      </w:r>
      <w:r w:rsidR="00891D8A" w:rsidRPr="00EF2F18">
        <w:rPr>
          <w:rFonts w:cs="Times New Roman"/>
          <w:sz w:val="22"/>
          <w:lang w:val="sr-Cyrl-RS" w:eastAsia="en-GB"/>
        </w:rPr>
        <w:t>.</w:t>
      </w:r>
    </w:p>
    <w:bookmarkEnd w:id="126"/>
    <w:bookmarkEnd w:id="127"/>
    <w:p w14:paraId="1DB9B541" w14:textId="77777777" w:rsidR="00FA04F8" w:rsidRPr="00EF2F18" w:rsidRDefault="00FA04F8" w:rsidP="00425FCC">
      <w:pPr>
        <w:spacing w:after="0"/>
        <w:ind w:firstLine="720"/>
        <w:rPr>
          <w:rFonts w:cs="Times New Roman"/>
          <w:sz w:val="22"/>
          <w:lang w:val="sr-Cyrl-RS"/>
        </w:rPr>
      </w:pPr>
    </w:p>
    <w:p w14:paraId="0172C1F7" w14:textId="0ACE9024" w:rsidR="0024502E" w:rsidRPr="00EF2F18" w:rsidRDefault="00491EBE" w:rsidP="00780F42">
      <w:pPr>
        <w:pStyle w:val="Heading3"/>
        <w:numPr>
          <w:ilvl w:val="2"/>
          <w:numId w:val="2"/>
        </w:numPr>
        <w:spacing w:before="0" w:after="0"/>
        <w:ind w:hanging="731"/>
        <w:jc w:val="center"/>
        <w:rPr>
          <w:rFonts w:cs="Times New Roman"/>
          <w:sz w:val="22"/>
          <w:szCs w:val="22"/>
          <w:lang w:val="sr-Cyrl-RS"/>
        </w:rPr>
      </w:pPr>
      <w:bookmarkStart w:id="128" w:name="_Toc158307740"/>
      <w:r w:rsidRPr="00EF2F18">
        <w:rPr>
          <w:rFonts w:cs="Times New Roman"/>
          <w:sz w:val="22"/>
          <w:szCs w:val="22"/>
          <w:lang w:val="sr-Cyrl-RS"/>
        </w:rPr>
        <w:t>Заштита и инвестирање у биодиверзитет и екосистеме</w:t>
      </w:r>
      <w:bookmarkEnd w:id="128"/>
    </w:p>
    <w:p w14:paraId="57D7FF59" w14:textId="146BE708" w:rsidR="00EC03D1" w:rsidRPr="00EF2F18" w:rsidRDefault="00EC03D1" w:rsidP="00425FCC">
      <w:pPr>
        <w:spacing w:after="0"/>
        <w:ind w:firstLine="720"/>
        <w:rPr>
          <w:rFonts w:cs="Times New Roman"/>
          <w:sz w:val="22"/>
          <w:lang w:val="sr-Cyrl-RS"/>
        </w:rPr>
      </w:pPr>
    </w:p>
    <w:p w14:paraId="2BCCC175" w14:textId="75E753FC"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4.1: </w:t>
      </w:r>
      <w:r w:rsidR="00616DD0" w:rsidRPr="00EF2F18">
        <w:rPr>
          <w:rFonts w:cs="Times New Roman"/>
          <w:b/>
          <w:bCs/>
          <w:color w:val="2E74B5" w:themeColor="accent1" w:themeShade="BF"/>
          <w:sz w:val="22"/>
          <w:lang w:val="sr-Cyrl-RS"/>
        </w:rPr>
        <w:t xml:space="preserve">Развијање ефикасног система </w:t>
      </w:r>
      <w:r w:rsidR="00137F89" w:rsidRPr="00EF2F18">
        <w:rPr>
          <w:rFonts w:cs="Times New Roman"/>
          <w:b/>
          <w:bCs/>
          <w:color w:val="2E74B5" w:themeColor="accent1" w:themeShade="BF"/>
          <w:sz w:val="22"/>
          <w:lang w:val="sr-Cyrl-RS"/>
        </w:rPr>
        <w:t xml:space="preserve">заштите и </w:t>
      </w:r>
      <w:r w:rsidR="00616DD0" w:rsidRPr="00EF2F18">
        <w:rPr>
          <w:rFonts w:cs="Times New Roman"/>
          <w:b/>
          <w:bCs/>
          <w:color w:val="2E74B5" w:themeColor="accent1" w:themeShade="BF"/>
          <w:sz w:val="22"/>
          <w:lang w:val="sr-Cyrl-RS"/>
        </w:rPr>
        <w:t xml:space="preserve">управљања врстама, типовима станишта, заштићеним подручјима и еколошком мрежом укључујући и </w:t>
      </w:r>
      <w:r w:rsidR="00A552A9" w:rsidRPr="00EF2F18">
        <w:rPr>
          <w:rFonts w:cs="Times New Roman"/>
          <w:b/>
          <w:bCs/>
          <w:color w:val="2E74B5" w:themeColor="accent1" w:themeShade="BF"/>
          <w:sz w:val="22"/>
          <w:lang w:val="sr-Cyrl-RS"/>
        </w:rPr>
        <w:t>НАТУРА</w:t>
      </w:r>
      <w:r w:rsidR="00616DD0" w:rsidRPr="00EF2F18">
        <w:rPr>
          <w:rFonts w:cs="Times New Roman"/>
          <w:b/>
          <w:bCs/>
          <w:color w:val="2E74B5" w:themeColor="accent1" w:themeShade="BF"/>
          <w:sz w:val="22"/>
          <w:lang w:val="sr-Cyrl-RS"/>
        </w:rPr>
        <w:t xml:space="preserve"> 2000</w:t>
      </w:r>
      <w:r w:rsidR="005E5FF9" w:rsidRPr="00EF2F18">
        <w:rPr>
          <w:rFonts w:cs="Times New Roman"/>
          <w:b/>
          <w:bCs/>
          <w:color w:val="2E74B5" w:themeColor="accent1" w:themeShade="BF"/>
          <w:sz w:val="22"/>
          <w:lang w:val="sr-Cyrl-RS"/>
        </w:rPr>
        <w:t xml:space="preserve"> </w:t>
      </w:r>
      <w:r w:rsidR="00616DD0" w:rsidRPr="00EF2F18">
        <w:rPr>
          <w:rFonts w:cs="Times New Roman"/>
          <w:b/>
          <w:bCs/>
          <w:color w:val="2E74B5" w:themeColor="accent1" w:themeShade="BF"/>
          <w:sz w:val="22"/>
          <w:lang w:val="sr-Cyrl-RS"/>
        </w:rPr>
        <w:t xml:space="preserve">и </w:t>
      </w:r>
      <w:r w:rsidR="00CF11EB" w:rsidRPr="00EF2F18">
        <w:rPr>
          <w:rFonts w:cs="Times New Roman"/>
          <w:b/>
          <w:bCs/>
          <w:color w:val="2E74B5" w:themeColor="accent1" w:themeShade="BF"/>
          <w:sz w:val="22"/>
          <w:lang w:val="sr-Cyrl-RS"/>
        </w:rPr>
        <w:t>праћење стања кључних</w:t>
      </w:r>
      <w:r w:rsidR="00616DD0" w:rsidRPr="00EF2F18">
        <w:rPr>
          <w:rFonts w:cs="Times New Roman"/>
          <w:b/>
          <w:bCs/>
          <w:color w:val="2E74B5" w:themeColor="accent1" w:themeShade="BF"/>
          <w:sz w:val="22"/>
          <w:lang w:val="sr-Cyrl-RS"/>
        </w:rPr>
        <w:t xml:space="preserve"> екосистемских услуга</w:t>
      </w:r>
    </w:p>
    <w:p w14:paraId="57FCCACC" w14:textId="24075306" w:rsidR="00137F89" w:rsidRPr="00EF2F18" w:rsidRDefault="00584EB0" w:rsidP="00137F89">
      <w:pPr>
        <w:spacing w:after="0"/>
        <w:ind w:firstLine="720"/>
        <w:jc w:val="both"/>
        <w:rPr>
          <w:rFonts w:cs="Times New Roman"/>
          <w:sz w:val="22"/>
          <w:lang w:val="sr-Cyrl-RS"/>
        </w:rPr>
      </w:pPr>
      <w:r w:rsidRPr="00EF2F18">
        <w:rPr>
          <w:rFonts w:cs="Times New Roman"/>
          <w:sz w:val="22"/>
          <w:lang w:val="sr-Cyrl-RS"/>
        </w:rPr>
        <w:t xml:space="preserve">Утврђивање овог циља је базирано на </w:t>
      </w:r>
      <w:r w:rsidR="00137F89" w:rsidRPr="00EF2F18">
        <w:rPr>
          <w:rFonts w:cs="Times New Roman"/>
          <w:sz w:val="22"/>
          <w:lang w:val="sr-Cyrl-RS"/>
        </w:rPr>
        <w:t>одредбама УН Конвенције о биодиверзитету, других глобалних и регионалних уговора у овој области, документима Међувладине научно-политичке</w:t>
      </w:r>
      <w:r w:rsidR="00137F89" w:rsidRPr="00EF2F18">
        <w:rPr>
          <w:rFonts w:eastAsia="Times New Roman" w:cs="Times New Roman"/>
          <w:szCs w:val="24"/>
          <w:lang w:val="sr-Cyrl-RS" w:eastAsia="en-GB"/>
        </w:rPr>
        <w:t xml:space="preserve"> </w:t>
      </w:r>
      <w:r w:rsidR="00137F89" w:rsidRPr="00EF2F18">
        <w:rPr>
          <w:rFonts w:cs="Times New Roman"/>
          <w:sz w:val="22"/>
          <w:lang w:val="sr-Cyrl-RS"/>
        </w:rPr>
        <w:t>платформе о биодиверзитету и услугама екосистема (</w:t>
      </w:r>
      <w:r w:rsidR="00137F89" w:rsidRPr="00EF2F18">
        <w:rPr>
          <w:rFonts w:cs="Times New Roman"/>
          <w:i/>
          <w:iCs/>
          <w:sz w:val="22"/>
          <w:lang w:val="sr-Cyrl-RS"/>
        </w:rPr>
        <w:t>Intergovernmental Sцience-Policy Platform on Biodiversity and Ecosystem Services – IPBES</w:t>
      </w:r>
      <w:r w:rsidR="00137F89" w:rsidRPr="00EF2F18">
        <w:rPr>
          <w:rFonts w:cs="Times New Roman"/>
          <w:sz w:val="22"/>
          <w:lang w:val="sr-Cyrl-RS"/>
        </w:rPr>
        <w:t>), као и Стратегије ЕУ о биодиверзитету са Акционим планом (из 2020.)</w:t>
      </w:r>
      <w:r w:rsidR="004238FA" w:rsidRPr="00EF2F18">
        <w:rPr>
          <w:rFonts w:cs="Times New Roman"/>
          <w:sz w:val="22"/>
          <w:lang w:val="sr-Cyrl-RS"/>
        </w:rPr>
        <w:t>, која је</w:t>
      </w:r>
      <w:r w:rsidR="00137F89" w:rsidRPr="00EF2F18">
        <w:rPr>
          <w:rFonts w:cs="Times New Roman"/>
          <w:sz w:val="22"/>
          <w:lang w:val="sr-Cyrl-RS"/>
        </w:rPr>
        <w:t xml:space="preserve"> са своје четири приоритетне активности представљала</w:t>
      </w:r>
      <w:r w:rsidR="00FC75B4" w:rsidRPr="00EF2F18">
        <w:rPr>
          <w:rFonts w:cs="Times New Roman"/>
          <w:sz w:val="22"/>
          <w:lang w:val="sr-Cyrl-RS"/>
        </w:rPr>
        <w:t xml:space="preserve"> </w:t>
      </w:r>
      <w:r w:rsidR="00137F89" w:rsidRPr="00EF2F18">
        <w:rPr>
          <w:rFonts w:cs="Times New Roman"/>
          <w:sz w:val="22"/>
          <w:lang w:val="sr-Cyrl-RS"/>
        </w:rPr>
        <w:t>основну позицију земаља ЕУ у преговорима о глобалном оквиру биолошке разноврсности. Циљ је, такође, у складу са Циљевима одрживог развоја УН (</w:t>
      </w:r>
      <w:r w:rsidR="00137F89" w:rsidRPr="00EF2F18">
        <w:rPr>
          <w:rFonts w:cs="Times New Roman"/>
          <w:i/>
          <w:iCs/>
          <w:sz w:val="22"/>
          <w:lang w:val="sr-Cyrl-RS"/>
        </w:rPr>
        <w:t>SDGs - Sustainable Development Goals</w:t>
      </w:r>
      <w:r w:rsidR="00137F89" w:rsidRPr="00EF2F18">
        <w:rPr>
          <w:rFonts w:cs="Times New Roman"/>
          <w:sz w:val="22"/>
          <w:lang w:val="sr-Cyrl-RS"/>
        </w:rPr>
        <w:t xml:space="preserve">) и циљевима Кунминг Монтреал </w:t>
      </w:r>
      <w:r w:rsidR="00137F89" w:rsidRPr="00EF2F18">
        <w:rPr>
          <w:rFonts w:cs="Times New Roman"/>
          <w:iCs/>
          <w:sz w:val="22"/>
          <w:lang w:val="sr-Cyrl-RS"/>
        </w:rPr>
        <w:t>глобалног</w:t>
      </w:r>
      <w:r w:rsidR="00137F89" w:rsidRPr="00EF2F18">
        <w:rPr>
          <w:rFonts w:cs="Times New Roman"/>
          <w:sz w:val="22"/>
          <w:lang w:val="sr-Cyrl-RS"/>
        </w:rPr>
        <w:t xml:space="preserve"> оквира за биодиверзитет УН Конвенције о биолошкој разноврсности.</w:t>
      </w:r>
    </w:p>
    <w:p w14:paraId="32D9D38B" w14:textId="496AD6A1" w:rsidR="00E612C2" w:rsidRPr="00EF2F18" w:rsidRDefault="00584EB0" w:rsidP="00E612C2">
      <w:pPr>
        <w:spacing w:after="0"/>
        <w:ind w:firstLine="720"/>
        <w:jc w:val="both"/>
        <w:rPr>
          <w:rFonts w:cs="Times New Roman"/>
          <w:sz w:val="22"/>
          <w:lang w:val="sr-Cyrl-RS"/>
        </w:rPr>
      </w:pPr>
      <w:r w:rsidRPr="00EF2F18">
        <w:rPr>
          <w:rFonts w:cs="Times New Roman"/>
          <w:sz w:val="22"/>
          <w:lang w:val="sr-Cyrl-RS"/>
        </w:rPr>
        <w:t xml:space="preserve">Додатно, достизање овог циља је и у вези са применом Директиве </w:t>
      </w:r>
      <w:r w:rsidR="00D26A94" w:rsidRPr="00EF2F18">
        <w:rPr>
          <w:rFonts w:cs="Times New Roman"/>
          <w:sz w:val="22"/>
          <w:lang w:val="sr-Cyrl-RS"/>
        </w:rPr>
        <w:t xml:space="preserve">92/43/ЕЕС </w:t>
      </w:r>
      <w:r w:rsidRPr="00EF2F18">
        <w:rPr>
          <w:rFonts w:cs="Times New Roman"/>
          <w:sz w:val="22"/>
          <w:lang w:val="sr-Cyrl-RS"/>
        </w:rPr>
        <w:t xml:space="preserve">о очувању природних станишта и дивље флоре и фауне, као и Директиве </w:t>
      </w:r>
      <w:r w:rsidR="00D26A94" w:rsidRPr="00EF2F18">
        <w:rPr>
          <w:rFonts w:cs="Times New Roman"/>
          <w:sz w:val="22"/>
          <w:lang w:val="sr-Cyrl-RS"/>
        </w:rPr>
        <w:t xml:space="preserve">79/409/ЕЕС </w:t>
      </w:r>
      <w:r w:rsidRPr="00EF2F18">
        <w:rPr>
          <w:rFonts w:cs="Times New Roman"/>
          <w:sz w:val="22"/>
          <w:lang w:val="sr-Cyrl-RS"/>
        </w:rPr>
        <w:t>о очувању дивљих птица</w:t>
      </w:r>
      <w:r w:rsidR="00B11432" w:rsidRPr="00EF2F18">
        <w:rPr>
          <w:rFonts w:cs="Times New Roman"/>
          <w:sz w:val="22"/>
          <w:lang w:val="sr-Cyrl-RS"/>
        </w:rPr>
        <w:t xml:space="preserve">, што </w:t>
      </w:r>
      <w:r w:rsidR="00137F89" w:rsidRPr="00EF2F18">
        <w:rPr>
          <w:rFonts w:cs="Times New Roman"/>
          <w:sz w:val="22"/>
          <w:lang w:val="sr-Cyrl-RS"/>
        </w:rPr>
        <w:t xml:space="preserve">представља и основу за успостављање Европске еколошке мреже </w:t>
      </w:r>
      <w:r w:rsidR="00A76090" w:rsidRPr="00EF2F18">
        <w:rPr>
          <w:rFonts w:cs="Times New Roman"/>
          <w:sz w:val="22"/>
          <w:lang w:val="sr-Cyrl-RS"/>
        </w:rPr>
        <w:t>НАТУРА</w:t>
      </w:r>
      <w:r w:rsidR="00137F89" w:rsidRPr="00EF2F18">
        <w:rPr>
          <w:rFonts w:cs="Times New Roman"/>
          <w:sz w:val="22"/>
          <w:lang w:val="sr-Cyrl-RS"/>
        </w:rPr>
        <w:t xml:space="preserve"> 2000</w:t>
      </w:r>
      <w:r w:rsidR="004238FA" w:rsidRPr="00EF2F18">
        <w:rPr>
          <w:rFonts w:cs="Times New Roman"/>
          <w:sz w:val="22"/>
          <w:lang w:val="sr-Cyrl-RS"/>
        </w:rPr>
        <w:t xml:space="preserve">, као и са </w:t>
      </w:r>
      <w:r w:rsidR="00137F89" w:rsidRPr="00EF2F18">
        <w:rPr>
          <w:rFonts w:cs="Times New Roman"/>
          <w:sz w:val="22"/>
          <w:lang w:val="sr-Cyrl-RS"/>
        </w:rPr>
        <w:t>Рамсарск</w:t>
      </w:r>
      <w:r w:rsidR="004238FA" w:rsidRPr="00EF2F18">
        <w:rPr>
          <w:rFonts w:cs="Times New Roman"/>
          <w:sz w:val="22"/>
          <w:lang w:val="sr-Cyrl-RS"/>
        </w:rPr>
        <w:t>ом</w:t>
      </w:r>
      <w:r w:rsidR="00137F89" w:rsidRPr="00EF2F18">
        <w:rPr>
          <w:rFonts w:cs="Times New Roman"/>
          <w:sz w:val="22"/>
          <w:lang w:val="sr-Cyrl-RS"/>
        </w:rPr>
        <w:t xml:space="preserve"> конвенциј</w:t>
      </w:r>
      <w:r w:rsidR="004238FA" w:rsidRPr="00EF2F18">
        <w:rPr>
          <w:rFonts w:cs="Times New Roman"/>
          <w:sz w:val="22"/>
          <w:lang w:val="sr-Cyrl-RS"/>
        </w:rPr>
        <w:t>ом</w:t>
      </w:r>
      <w:r w:rsidR="00137F89" w:rsidRPr="00EF2F18">
        <w:rPr>
          <w:rFonts w:cs="Times New Roman"/>
          <w:sz w:val="22"/>
          <w:lang w:val="sr-Cyrl-RS"/>
        </w:rPr>
        <w:t>, тј. Конвенциј</w:t>
      </w:r>
      <w:r w:rsidR="004238FA" w:rsidRPr="00EF2F18">
        <w:rPr>
          <w:rFonts w:cs="Times New Roman"/>
          <w:sz w:val="22"/>
          <w:lang w:val="sr-Cyrl-RS"/>
        </w:rPr>
        <w:t>ом</w:t>
      </w:r>
      <w:r w:rsidR="00137F89" w:rsidRPr="00EF2F18">
        <w:rPr>
          <w:rFonts w:cs="Times New Roman"/>
          <w:sz w:val="22"/>
          <w:lang w:val="sr-Cyrl-RS"/>
        </w:rPr>
        <w:t xml:space="preserve"> о мочварама од међународног значаја нарочито као станишта птица мочварица, Конвенциј</w:t>
      </w:r>
      <w:r w:rsidR="004238FA" w:rsidRPr="00EF2F18">
        <w:rPr>
          <w:rFonts w:cs="Times New Roman"/>
          <w:sz w:val="22"/>
          <w:lang w:val="sr-Cyrl-RS"/>
        </w:rPr>
        <w:t>ом</w:t>
      </w:r>
      <w:r w:rsidR="00137F89" w:rsidRPr="00EF2F18">
        <w:rPr>
          <w:rFonts w:cs="Times New Roman"/>
          <w:sz w:val="22"/>
          <w:lang w:val="sr-Cyrl-RS"/>
        </w:rPr>
        <w:t xml:space="preserve"> о међународној трговини угроженим врстама дивље флоре и фауне – CITES</w:t>
      </w:r>
      <w:r w:rsidR="004238FA" w:rsidRPr="00EF2F18">
        <w:rPr>
          <w:rFonts w:cs="Times New Roman"/>
          <w:sz w:val="22"/>
          <w:lang w:val="sr-Cyrl-RS"/>
        </w:rPr>
        <w:t xml:space="preserve"> </w:t>
      </w:r>
      <w:r w:rsidR="00137F89" w:rsidRPr="00EF2F18">
        <w:rPr>
          <w:rFonts w:cs="Times New Roman"/>
          <w:sz w:val="22"/>
          <w:lang w:val="sr-Cyrl-RS"/>
        </w:rPr>
        <w:t>и</w:t>
      </w:r>
      <w:r w:rsidR="00FC75B4" w:rsidRPr="00EF2F18">
        <w:rPr>
          <w:rFonts w:cs="Times New Roman"/>
          <w:sz w:val="22"/>
          <w:lang w:val="sr-Cyrl-RS"/>
        </w:rPr>
        <w:t xml:space="preserve"> </w:t>
      </w:r>
      <w:r w:rsidR="00137F89" w:rsidRPr="00EF2F18">
        <w:rPr>
          <w:rFonts w:cs="Times New Roman"/>
          <w:sz w:val="22"/>
          <w:lang w:val="sr-Cyrl-RS"/>
        </w:rPr>
        <w:t>Конвенциј</w:t>
      </w:r>
      <w:r w:rsidR="004238FA" w:rsidRPr="00EF2F18">
        <w:rPr>
          <w:rFonts w:cs="Times New Roman"/>
          <w:sz w:val="22"/>
          <w:lang w:val="sr-Cyrl-RS"/>
        </w:rPr>
        <w:t>ом</w:t>
      </w:r>
      <w:r w:rsidR="00137F89" w:rsidRPr="00EF2F18">
        <w:rPr>
          <w:rFonts w:cs="Times New Roman"/>
          <w:sz w:val="22"/>
          <w:lang w:val="sr-Cyrl-RS"/>
        </w:rPr>
        <w:t xml:space="preserve"> о очувању миграторниих врста дивљих животиња – Бонска конвенција</w:t>
      </w:r>
      <w:r w:rsidR="00E612C2" w:rsidRPr="00EF2F18">
        <w:rPr>
          <w:rFonts w:cs="Times New Roman"/>
          <w:sz w:val="22"/>
          <w:lang w:val="sr-Cyrl-RS"/>
        </w:rPr>
        <w:t>.</w:t>
      </w:r>
    </w:p>
    <w:p w14:paraId="476DE219" w14:textId="4FDF6FA7" w:rsidR="00BD4FAC" w:rsidRPr="00EF2F18" w:rsidRDefault="00BD4FAC" w:rsidP="00BD4FAC">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w:t>
      </w:r>
      <w:r w:rsidRPr="00EF2F18">
        <w:rPr>
          <w:rFonts w:cs="Times New Roman"/>
          <w:sz w:val="22"/>
          <w:lang w:val="sr-Cyrl-RS"/>
        </w:rPr>
        <w:t>15</w:t>
      </w:r>
      <w:r w:rsidR="0008252C" w:rsidRPr="00EF2F18">
        <w:rPr>
          <w:rFonts w:cs="Times New Roman"/>
          <w:sz w:val="22"/>
          <w:lang w:val="sr-Cyrl-RS"/>
        </w:rPr>
        <w:t xml:space="preserve"> који</w:t>
      </w:r>
      <w:r w:rsidRPr="00EF2F18">
        <w:rPr>
          <w:rFonts w:cs="Times New Roman"/>
          <w:sz w:val="22"/>
          <w:lang w:val="sr-Cyrl-RS"/>
        </w:rPr>
        <w:t xml:space="preserve"> предвиђа заштиту копнених екосистема, нарочито </w:t>
      </w:r>
      <w:r w:rsidR="00136871" w:rsidRPr="00EF2F18">
        <w:rPr>
          <w:rFonts w:cs="Times New Roman"/>
          <w:sz w:val="22"/>
          <w:lang w:val="sr-Cyrl-RS"/>
        </w:rPr>
        <w:t xml:space="preserve">реализацији </w:t>
      </w:r>
      <w:r w:rsidRPr="00EF2F18">
        <w:rPr>
          <w:rFonts w:cs="Times New Roman"/>
          <w:sz w:val="22"/>
          <w:lang w:val="sr-Cyrl-RS"/>
        </w:rPr>
        <w:t xml:space="preserve">потциља 15.5. који </w:t>
      </w:r>
      <w:r w:rsidR="00136871" w:rsidRPr="00EF2F18">
        <w:rPr>
          <w:rFonts w:cs="Times New Roman"/>
          <w:sz w:val="22"/>
          <w:lang w:val="sr-Cyrl-RS"/>
        </w:rPr>
        <w:t>налаже</w:t>
      </w:r>
      <w:r w:rsidRPr="00EF2F18">
        <w:rPr>
          <w:rFonts w:cs="Times New Roman"/>
          <w:sz w:val="22"/>
          <w:lang w:val="sr-Cyrl-RS"/>
        </w:rPr>
        <w:t xml:space="preserve"> предузимање</w:t>
      </w:r>
      <w:r w:rsidRPr="00EF2F18">
        <w:rPr>
          <w:rFonts w:cs="Times New Roman"/>
          <w:sz w:val="22"/>
          <w:shd w:val="clear" w:color="auto" w:fill="FFFFFF"/>
          <w:lang w:val="sr-Cyrl-RS"/>
        </w:rPr>
        <w:t xml:space="preserve"> хитних и значајних активности за смањивање деградације природних станишта, заустављање губитка биодиверзитета и заштиту угрожених врста и спречавање њиховог истребљења, потциља </w:t>
      </w:r>
      <w:r w:rsidR="0008252C" w:rsidRPr="00EF2F18">
        <w:rPr>
          <w:rFonts w:cs="Times New Roman"/>
          <w:sz w:val="22"/>
          <w:shd w:val="clear" w:color="auto" w:fill="FFFFFF"/>
          <w:lang w:val="sr-Cyrl-RS"/>
        </w:rPr>
        <w:t>15.8. који налаже мере како би се спречио улазак и значајно умањио утицај инванзивних страних врста на копнене и водне екосистеме, и контролисати или искоренити приоритетне врсте</w:t>
      </w:r>
      <w:r w:rsidR="00136871" w:rsidRPr="00EF2F18">
        <w:rPr>
          <w:rFonts w:cs="Times New Roman"/>
          <w:sz w:val="22"/>
          <w:shd w:val="clear" w:color="auto" w:fill="FFFFFF"/>
          <w:lang w:val="sr-Cyrl-RS"/>
        </w:rPr>
        <w:t>, као и</w:t>
      </w:r>
      <w:r w:rsidR="0008252C" w:rsidRPr="00EF2F18">
        <w:rPr>
          <w:rFonts w:cs="Times New Roman"/>
          <w:sz w:val="22"/>
          <w:lang w:val="sr-Cyrl-RS"/>
        </w:rPr>
        <w:t xml:space="preserve"> и потциља 15.9.</w:t>
      </w:r>
    </w:p>
    <w:p w14:paraId="6409B298" w14:textId="69C64AEF" w:rsidR="00DB0080" w:rsidRPr="00EF2F18" w:rsidRDefault="00DB0080" w:rsidP="00DB0080">
      <w:pPr>
        <w:spacing w:after="0"/>
        <w:ind w:firstLine="720"/>
        <w:jc w:val="both"/>
        <w:rPr>
          <w:rFonts w:cs="Times New Roman"/>
          <w:sz w:val="22"/>
          <w:lang w:val="sr-Cyrl-RS"/>
        </w:rPr>
      </w:pPr>
      <w:r w:rsidRPr="00EF2F18">
        <w:rPr>
          <w:rFonts w:cs="Times New Roman"/>
          <w:sz w:val="22"/>
          <w:lang w:val="sr-Cyrl-RS"/>
        </w:rPr>
        <w:t>Очување биодиверзитета је у вези и са мером 5.1.6. која је намењена заштити и очувању природних станишта биљака и животиња, односно биодиверзитета, и односи се на доделу подршке за Агро-еколошко-климатску меру и органску производњу у оквиру ИПАРД III програма. За ову намену, у периоду 2021–2027. планирано је готово 17 милиона евра. Узимајући у обзир да Европска унија обезбеђује око 65% средстава за очување биодиверзитета из Европског пољопривредног фонда за рурални развој (EAFRD), будућа улагања ће у великој мери зависити од доступности средстава за пољопривреду и рурални развој Европске уније.</w:t>
      </w:r>
    </w:p>
    <w:p w14:paraId="3623103F" w14:textId="7BA02DFA" w:rsidR="002713BC" w:rsidRPr="00EF2F18" w:rsidRDefault="00DB0080" w:rsidP="00753384">
      <w:pPr>
        <w:spacing w:after="0"/>
        <w:ind w:firstLine="720"/>
        <w:jc w:val="both"/>
        <w:rPr>
          <w:rFonts w:cs="Times New Roman"/>
          <w:sz w:val="22"/>
          <w:lang w:val="sr-Cyrl-RS"/>
        </w:rPr>
      </w:pPr>
      <w:r w:rsidRPr="00EF2F18">
        <w:rPr>
          <w:rFonts w:cs="Times New Roman"/>
          <w:sz w:val="22"/>
          <w:lang w:val="sr-Cyrl-RS"/>
        </w:rPr>
        <w:t>Такође, очувању биодиверзитета доприноси и мера 1.1.11. која подразумева подршку и промоцију примене концепта решења заснованих на природи као исплативог, ефикасног и одрживог решења за климатске промене која истовремено обезбеђују користи за добробит људи и биодиверзитета.</w:t>
      </w:r>
    </w:p>
    <w:p w14:paraId="55D9AD5E" w14:textId="3262D1D8"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lastRenderedPageBreak/>
        <w:t>Мера 4.1.</w:t>
      </w:r>
      <w:r w:rsidR="00B4087D" w:rsidRPr="00EF2F18">
        <w:rPr>
          <w:rFonts w:cs="Times New Roman"/>
          <w:b/>
          <w:bCs/>
          <w:sz w:val="22"/>
          <w:lang w:val="sr-Cyrl-RS" w:eastAsia="en-GB"/>
        </w:rPr>
        <w:t>1</w:t>
      </w:r>
      <w:r w:rsidRPr="00EF2F18">
        <w:rPr>
          <w:rFonts w:cs="Times New Roman"/>
          <w:b/>
          <w:bCs/>
          <w:sz w:val="22"/>
          <w:lang w:val="sr-Cyrl-RS" w:eastAsia="en-GB"/>
        </w:rPr>
        <w:t xml:space="preserve">. </w:t>
      </w:r>
      <w:r w:rsidR="00F905E3" w:rsidRPr="00EF2F18">
        <w:rPr>
          <w:rFonts w:cs="Times New Roman"/>
          <w:b/>
          <w:bCs/>
          <w:sz w:val="22"/>
          <w:lang w:val="sr-Cyrl-RS" w:eastAsia="en-GB"/>
        </w:rPr>
        <w:t xml:space="preserve">Смањење броја </w:t>
      </w:r>
      <w:r w:rsidR="000F65B5" w:rsidRPr="00EF2F18">
        <w:rPr>
          <w:rFonts w:cs="Times New Roman"/>
          <w:b/>
          <w:bCs/>
          <w:sz w:val="22"/>
          <w:lang w:val="sr-Cyrl-RS" w:eastAsia="en-GB"/>
        </w:rPr>
        <w:t>угрожених дивљих врста чији опстанак зависи од посебних мера заштите</w:t>
      </w:r>
    </w:p>
    <w:p w14:paraId="51321B4F" w14:textId="77777777" w:rsidR="00D83673" w:rsidRPr="00EF2F18" w:rsidRDefault="00D83673" w:rsidP="00CD231D">
      <w:pPr>
        <w:spacing w:after="0"/>
        <w:ind w:firstLine="720"/>
        <w:jc w:val="both"/>
        <w:rPr>
          <w:rFonts w:cs="Times New Roman"/>
          <w:sz w:val="22"/>
          <w:lang w:val="sr-Cyrl-RS"/>
        </w:rPr>
      </w:pPr>
    </w:p>
    <w:p w14:paraId="11BAF294" w14:textId="685BFF5C" w:rsidR="00CD231D" w:rsidRPr="00EF2F18" w:rsidRDefault="00F905E3" w:rsidP="00CD231D">
      <w:pPr>
        <w:spacing w:after="0"/>
        <w:ind w:firstLine="720"/>
        <w:jc w:val="both"/>
        <w:rPr>
          <w:rFonts w:cs="Times New Roman"/>
          <w:sz w:val="22"/>
          <w:lang w:val="sr-Cyrl-RS"/>
        </w:rPr>
      </w:pPr>
      <w:r w:rsidRPr="00EF2F18">
        <w:rPr>
          <w:rFonts w:cs="Times New Roman"/>
          <w:sz w:val="22"/>
          <w:lang w:val="sr-Cyrl-RS"/>
        </w:rPr>
        <w:t xml:space="preserve">Ова мера је део континуираних активности у области заштите природе и очувања биодиверзитета који се заснива на научним подацима и анализи примене мера </w:t>
      </w:r>
      <w:r w:rsidRPr="00EF2F18">
        <w:rPr>
          <w:rFonts w:cs="Times New Roman"/>
          <w:i/>
          <w:iCs/>
          <w:sz w:val="22"/>
          <w:lang w:val="sr-Cyrl-RS"/>
        </w:rPr>
        <w:t xml:space="preserve">in situ </w:t>
      </w:r>
      <w:r w:rsidRPr="00EF2F18">
        <w:rPr>
          <w:rFonts w:cs="Times New Roman"/>
          <w:sz w:val="22"/>
          <w:lang w:val="sr-Cyrl-RS"/>
        </w:rPr>
        <w:t>заштите. Мера омогућава континуирани процес ревизија статуса појединих врста и других таксона, ревизији ареала, укључујући идентификоване нове таксоне за Републику Србију, промени статуса станишта појединих таксона. Резултати ових анализа омогућавају да се кроз систем мониторинга уредно евидентира напредак у систему заштите таксона и да се након побољшања стања у природи, они уклањају са листа строго заштићених и заштићених т</w:t>
      </w:r>
      <w:r w:rsidR="001D7BD2">
        <w:rPr>
          <w:rFonts w:cs="Times New Roman"/>
          <w:sz w:val="22"/>
          <w:lang w:val="sr-Cyrl-RS"/>
        </w:rPr>
        <w:t>а</w:t>
      </w:r>
      <w:r w:rsidRPr="00EF2F18">
        <w:rPr>
          <w:rFonts w:cs="Times New Roman"/>
          <w:sz w:val="22"/>
          <w:lang w:val="sr-Cyrl-RS"/>
        </w:rPr>
        <w:t>ксона На основу потврђених међународних уговора и прописа Европске уније и научних истраживања биће установљене одговарајуће категорије заштите дивљих врста и станишта, у односу на степен угрожености и распрострањености и ревидирана потреба за њиховом заштитом односно очувањем</w:t>
      </w:r>
      <w:r w:rsidR="00CD231D" w:rsidRPr="00EF2F18">
        <w:rPr>
          <w:rFonts w:cs="Times New Roman"/>
          <w:sz w:val="22"/>
          <w:lang w:val="sr-Cyrl-RS"/>
        </w:rPr>
        <w:t>.</w:t>
      </w:r>
    </w:p>
    <w:p w14:paraId="4BF8CFBD" w14:textId="1D21AC4B" w:rsidR="00CD231D" w:rsidRPr="00EF2F18" w:rsidRDefault="00CD231D" w:rsidP="00CD231D">
      <w:pPr>
        <w:spacing w:after="0"/>
        <w:ind w:firstLine="720"/>
        <w:jc w:val="both"/>
        <w:rPr>
          <w:rFonts w:cs="Times New Roman"/>
          <w:sz w:val="22"/>
          <w:lang w:val="sr-Cyrl-RS"/>
        </w:rPr>
      </w:pPr>
      <w:r w:rsidRPr="00EF2F18">
        <w:rPr>
          <w:rFonts w:cs="Times New Roman"/>
          <w:sz w:val="22"/>
          <w:lang w:val="sr-Cyrl-RS"/>
        </w:rPr>
        <w:t xml:space="preserve">Такође, мера представља основу за успостављање Црвених листа угрожених врста на основу извршених научних истраживања и анализе резултата пројеката финансираних из </w:t>
      </w:r>
      <w:r w:rsidR="00BF2024" w:rsidRPr="00EF2F18">
        <w:rPr>
          <w:rFonts w:cs="Times New Roman"/>
          <w:sz w:val="22"/>
          <w:lang w:val="sr-Cyrl-RS"/>
        </w:rPr>
        <w:t xml:space="preserve">буџета </w:t>
      </w:r>
      <w:r w:rsidRPr="00EF2F18">
        <w:rPr>
          <w:rFonts w:cs="Times New Roman"/>
          <w:sz w:val="22"/>
          <w:lang w:val="sr-Cyrl-RS"/>
        </w:rPr>
        <w:t>Републике Србије, а у складу са IUCN стандардом.</w:t>
      </w:r>
    </w:p>
    <w:p w14:paraId="22178F18" w14:textId="122B3C90"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B94B21" w:rsidRPr="00EF2F18">
        <w:rPr>
          <w:rFonts w:cs="Times New Roman"/>
          <w:sz w:val="22"/>
          <w:lang w:val="sr-Cyrl-RS" w:eastAsia="en-GB"/>
        </w:rPr>
        <w:t>Министарство заштите животне средине</w:t>
      </w:r>
      <w:r w:rsidR="00BF2024" w:rsidRPr="00EF2F18">
        <w:rPr>
          <w:rFonts w:cs="Times New Roman"/>
          <w:sz w:val="22"/>
          <w:lang w:val="sr-Cyrl-RS" w:eastAsia="en-GB"/>
        </w:rPr>
        <w:t>.</w:t>
      </w:r>
    </w:p>
    <w:p w14:paraId="7CD9543F" w14:textId="5B26B83D"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C534CB" w:rsidRPr="00EF2F18">
        <w:rPr>
          <w:rFonts w:cs="Times New Roman"/>
          <w:sz w:val="22"/>
          <w:lang w:val="sr-Cyrl-RS" w:eastAsia="en-GB"/>
        </w:rPr>
        <w:t xml:space="preserve">Министарство пољопривреде, шумарства и водопривреде, </w:t>
      </w:r>
      <w:r w:rsidR="00395E82" w:rsidRPr="00EF2F18">
        <w:rPr>
          <w:rFonts w:cs="Times New Roman"/>
          <w:sz w:val="22"/>
          <w:lang w:val="sr-Cyrl-RS" w:eastAsia="en-GB"/>
        </w:rPr>
        <w:t xml:space="preserve">Управа за шуме, </w:t>
      </w:r>
      <w:r w:rsidR="00B94B21" w:rsidRPr="00EF2F18">
        <w:rPr>
          <w:rFonts w:cs="Times New Roman"/>
          <w:sz w:val="22"/>
          <w:lang w:val="sr-Cyrl-RS" w:eastAsia="en-GB"/>
        </w:rPr>
        <w:t>Завод за заштиту природе Србије, Покрајински завод за заштиту природе</w:t>
      </w:r>
      <w:r w:rsidR="00C534CB" w:rsidRPr="00EF2F18">
        <w:rPr>
          <w:rFonts w:cs="Times New Roman"/>
          <w:sz w:val="22"/>
          <w:lang w:val="sr-Cyrl-RS" w:eastAsia="en-GB"/>
        </w:rPr>
        <w:t xml:space="preserve">, </w:t>
      </w:r>
      <w:r w:rsidR="006A3170" w:rsidRPr="00EF2F18">
        <w:rPr>
          <w:rFonts w:cs="Times New Roman"/>
          <w:sz w:val="22"/>
          <w:lang w:val="sr-Cyrl-RS" w:eastAsia="en-GB"/>
        </w:rPr>
        <w:t>н</w:t>
      </w:r>
      <w:r w:rsidR="00C534CB" w:rsidRPr="00EF2F18">
        <w:rPr>
          <w:rFonts w:cs="Times New Roman"/>
          <w:sz w:val="22"/>
          <w:lang w:val="sr-Cyrl-RS" w:eastAsia="en-GB"/>
        </w:rPr>
        <w:t>аучно-истраживачке организације</w:t>
      </w:r>
      <w:r w:rsidR="00CD231D" w:rsidRPr="00EF2F18">
        <w:rPr>
          <w:rFonts w:cs="Times New Roman"/>
          <w:sz w:val="22"/>
          <w:lang w:val="sr-Cyrl-RS" w:eastAsia="en-GB"/>
        </w:rPr>
        <w:t xml:space="preserve">, </w:t>
      </w:r>
      <w:r w:rsidR="00395E82" w:rsidRPr="00EF2F18">
        <w:rPr>
          <w:rFonts w:cs="Times New Roman"/>
          <w:sz w:val="22"/>
          <w:lang w:val="sr-Cyrl-RS" w:eastAsia="en-GB"/>
        </w:rPr>
        <w:t>Агенција за заштиту животне средине</w:t>
      </w:r>
      <w:r w:rsidR="00BF2024" w:rsidRPr="00EF2F18">
        <w:rPr>
          <w:rFonts w:cs="Times New Roman"/>
          <w:sz w:val="22"/>
          <w:lang w:val="sr-Cyrl-RS" w:eastAsia="en-GB"/>
        </w:rPr>
        <w:t>.</w:t>
      </w:r>
    </w:p>
    <w:p w14:paraId="3881EE7F" w14:textId="5C29EB29"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регулаторна</w:t>
      </w:r>
      <w:r w:rsidR="007C4DA2" w:rsidRPr="00EF2F18">
        <w:rPr>
          <w:rFonts w:cs="Times New Roman"/>
          <w:sz w:val="22"/>
          <w:lang w:val="sr-Cyrl-RS" w:eastAsia="en-GB"/>
        </w:rPr>
        <w:t>.</w:t>
      </w:r>
    </w:p>
    <w:p w14:paraId="279F0CC3" w14:textId="77777777" w:rsidR="00491EBE" w:rsidRPr="00EF2F18" w:rsidRDefault="00491EBE" w:rsidP="00425FCC">
      <w:pPr>
        <w:spacing w:after="0"/>
        <w:ind w:firstLine="720"/>
        <w:rPr>
          <w:rFonts w:cs="Times New Roman"/>
          <w:sz w:val="22"/>
          <w:lang w:val="sr-Cyrl-RS"/>
        </w:rPr>
      </w:pPr>
    </w:p>
    <w:p w14:paraId="4B91F307" w14:textId="44903172" w:rsidR="00616DD0" w:rsidRPr="00EF2F18" w:rsidRDefault="00616DD0" w:rsidP="00616DD0">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4.1.</w:t>
      </w:r>
      <w:r w:rsidR="00725D02" w:rsidRPr="00EF2F18">
        <w:rPr>
          <w:rFonts w:cs="Times New Roman"/>
          <w:b/>
          <w:bCs/>
          <w:sz w:val="22"/>
          <w:lang w:val="sr-Cyrl-RS" w:eastAsia="en-GB"/>
        </w:rPr>
        <w:t>2</w:t>
      </w:r>
      <w:r w:rsidRPr="00EF2F18">
        <w:rPr>
          <w:rFonts w:cs="Times New Roman"/>
          <w:b/>
          <w:bCs/>
          <w:sz w:val="22"/>
          <w:lang w:val="sr-Cyrl-RS" w:eastAsia="en-GB"/>
        </w:rPr>
        <w:t xml:space="preserve">. </w:t>
      </w:r>
      <w:r w:rsidR="001C74EC" w:rsidRPr="00EF2F18">
        <w:rPr>
          <w:rFonts w:cs="Times New Roman"/>
          <w:b/>
          <w:bCs/>
          <w:sz w:val="22"/>
          <w:lang w:val="sr-Cyrl-RS" w:eastAsia="en-GB"/>
        </w:rPr>
        <w:t>П</w:t>
      </w:r>
      <w:r w:rsidRPr="00EF2F18">
        <w:rPr>
          <w:rFonts w:cs="Times New Roman"/>
          <w:b/>
          <w:bCs/>
          <w:sz w:val="22"/>
          <w:lang w:val="sr-Cyrl-RS" w:eastAsia="en-GB"/>
        </w:rPr>
        <w:t>овећање површине заштићених подручја</w:t>
      </w:r>
      <w:r w:rsidR="001C74EC" w:rsidRPr="00EF2F18">
        <w:rPr>
          <w:rFonts w:cs="Times New Roman"/>
          <w:b/>
          <w:bCs/>
          <w:sz w:val="22"/>
          <w:lang w:val="sr-Cyrl-RS" w:eastAsia="en-GB"/>
        </w:rPr>
        <w:t xml:space="preserve"> и унапређење управљања</w:t>
      </w:r>
    </w:p>
    <w:p w14:paraId="7EBC571B" w14:textId="77777777" w:rsidR="00D83673" w:rsidRPr="00EF2F18" w:rsidRDefault="00D83673" w:rsidP="00C534CB">
      <w:pPr>
        <w:pStyle w:val="paragraph"/>
        <w:spacing w:before="0" w:beforeAutospacing="0" w:after="0" w:afterAutospacing="0"/>
        <w:ind w:firstLine="720"/>
        <w:jc w:val="both"/>
        <w:textAlignment w:val="baseline"/>
        <w:rPr>
          <w:sz w:val="22"/>
          <w:szCs w:val="22"/>
          <w:lang w:val="sr-Cyrl-RS"/>
        </w:rPr>
      </w:pPr>
    </w:p>
    <w:p w14:paraId="2A505B15" w14:textId="0A4E73C7" w:rsidR="000D4F86" w:rsidRPr="00EF2F18" w:rsidRDefault="00C534CB" w:rsidP="00C534CB">
      <w:pPr>
        <w:pStyle w:val="paragraph"/>
        <w:spacing w:before="0" w:beforeAutospacing="0" w:after="0" w:afterAutospacing="0"/>
        <w:ind w:firstLine="720"/>
        <w:jc w:val="both"/>
        <w:textAlignment w:val="baseline"/>
        <w:rPr>
          <w:sz w:val="22"/>
          <w:szCs w:val="22"/>
          <w:lang w:val="sr-Cyrl-RS"/>
        </w:rPr>
      </w:pPr>
      <w:r w:rsidRPr="00EF2F18">
        <w:rPr>
          <w:sz w:val="22"/>
          <w:szCs w:val="22"/>
          <w:lang w:val="sr-Cyrl-RS"/>
        </w:rPr>
        <w:t xml:space="preserve">Mера </w:t>
      </w:r>
      <w:r w:rsidR="00123DCC" w:rsidRPr="00EF2F18">
        <w:rPr>
          <w:sz w:val="22"/>
          <w:szCs w:val="22"/>
          <w:lang w:val="sr-Cyrl-RS"/>
        </w:rPr>
        <w:t>подразумева</w:t>
      </w:r>
      <w:r w:rsidRPr="00EF2F18">
        <w:rPr>
          <w:sz w:val="22"/>
          <w:szCs w:val="22"/>
          <w:lang w:val="sr-Cyrl-RS"/>
        </w:rPr>
        <w:t xml:space="preserve"> континуирано унапређивање система управљања постојећим заштићеним природним добрима у неколико сегмената: јачањем капацитета, ефикаснијим моделима финансирања, развојем мониторинга унутар прирoдних добара и бољим спровођењем адекватних мера заштите, њиховим иновирањем, увођењем савременијих метода и поступака. </w:t>
      </w:r>
      <w:r w:rsidR="00123DCC" w:rsidRPr="00EF2F18">
        <w:rPr>
          <w:sz w:val="22"/>
          <w:szCs w:val="22"/>
          <w:lang w:val="sr-Cyrl-RS"/>
        </w:rPr>
        <w:t>Н</w:t>
      </w:r>
      <w:r w:rsidRPr="00EF2F18">
        <w:rPr>
          <w:sz w:val="22"/>
          <w:szCs w:val="22"/>
          <w:lang w:val="sr-Cyrl-RS"/>
        </w:rPr>
        <w:t>еопходно је извршити измене зако</w:t>
      </w:r>
      <w:r w:rsidR="00123DCC" w:rsidRPr="00EF2F18">
        <w:rPr>
          <w:sz w:val="22"/>
          <w:szCs w:val="22"/>
          <w:lang w:val="sr-Cyrl-RS"/>
        </w:rPr>
        <w:t>н</w:t>
      </w:r>
      <w:r w:rsidRPr="00EF2F18">
        <w:rPr>
          <w:sz w:val="22"/>
          <w:szCs w:val="22"/>
          <w:lang w:val="sr-Cyrl-RS"/>
        </w:rPr>
        <w:t>одавног оквира за управљање заштићени</w:t>
      </w:r>
      <w:r w:rsidR="00123DCC" w:rsidRPr="00EF2F18">
        <w:rPr>
          <w:sz w:val="22"/>
          <w:szCs w:val="22"/>
          <w:lang w:val="sr-Cyrl-RS"/>
        </w:rPr>
        <w:t>м</w:t>
      </w:r>
      <w:r w:rsidRPr="00EF2F18">
        <w:rPr>
          <w:sz w:val="22"/>
          <w:szCs w:val="22"/>
          <w:lang w:val="sr-Cyrl-RS"/>
        </w:rPr>
        <w:t xml:space="preserve"> подручјима и унапредити стандарде за израду докумената управљања заштићеним подручјима, укључујући увођење категоризације заштићених подручја и начина управљања у складу са IUCN Стандардом за категоризацију заштићених подручја.</w:t>
      </w:r>
      <w:r w:rsidR="000D4F86" w:rsidRPr="00EF2F18">
        <w:rPr>
          <w:sz w:val="22"/>
          <w:szCs w:val="22"/>
          <w:lang w:val="sr-Cyrl-RS"/>
        </w:rPr>
        <w:t xml:space="preserve"> Планира се даље проширење површина под заштитом и израда студија за нова подручја и ревизија постојећих.</w:t>
      </w:r>
    </w:p>
    <w:p w14:paraId="1C229CAD" w14:textId="541B87FF" w:rsidR="00C534CB" w:rsidRPr="00EF2F18" w:rsidRDefault="00C534CB" w:rsidP="00C534CB">
      <w:pPr>
        <w:pStyle w:val="paragraph"/>
        <w:spacing w:before="0" w:beforeAutospacing="0" w:after="0" w:afterAutospacing="0"/>
        <w:ind w:firstLine="720"/>
        <w:jc w:val="both"/>
        <w:textAlignment w:val="baseline"/>
        <w:rPr>
          <w:sz w:val="22"/>
          <w:szCs w:val="22"/>
          <w:lang w:val="sr-Cyrl-RS"/>
        </w:rPr>
      </w:pPr>
      <w:r w:rsidRPr="00EF2F18">
        <w:rPr>
          <w:sz w:val="22"/>
          <w:szCs w:val="22"/>
          <w:lang w:val="sr-Cyrl-RS"/>
        </w:rPr>
        <w:t>Такође, неопходно је увести рестаурациј</w:t>
      </w:r>
      <w:r w:rsidR="00123DCC" w:rsidRPr="00EF2F18">
        <w:rPr>
          <w:sz w:val="22"/>
          <w:szCs w:val="22"/>
          <w:lang w:val="sr-Cyrl-RS"/>
        </w:rPr>
        <w:t>у</w:t>
      </w:r>
      <w:r w:rsidRPr="00EF2F18">
        <w:rPr>
          <w:sz w:val="22"/>
          <w:szCs w:val="22"/>
          <w:lang w:val="sr-Cyrl-RS"/>
        </w:rPr>
        <w:t xml:space="preserve"> блиско природних станишта применом решења заснованих на природи</w:t>
      </w:r>
      <w:r w:rsidR="00123DCC" w:rsidRPr="00EF2F18">
        <w:rPr>
          <w:sz w:val="22"/>
          <w:szCs w:val="22"/>
          <w:lang w:val="sr-Cyrl-RS"/>
        </w:rPr>
        <w:t xml:space="preserve">, </w:t>
      </w:r>
      <w:r w:rsidRPr="00EF2F18">
        <w:rPr>
          <w:sz w:val="22"/>
          <w:szCs w:val="22"/>
          <w:lang w:val="sr-Cyrl-RS"/>
        </w:rPr>
        <w:t>уз обавезно јачање капацитета у заштићеним природним добрима.</w:t>
      </w:r>
    </w:p>
    <w:p w14:paraId="622E1B91" w14:textId="731DB94B"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297BC9" w:rsidRPr="00EF2F18">
        <w:rPr>
          <w:rFonts w:cs="Times New Roman"/>
          <w:sz w:val="22"/>
          <w:lang w:val="sr-Cyrl-RS" w:eastAsia="en-GB"/>
        </w:rPr>
        <w:t>Министарство заштите животне средине</w:t>
      </w:r>
      <w:r w:rsidR="00BF2024" w:rsidRPr="00EF2F18">
        <w:rPr>
          <w:rFonts w:cs="Times New Roman"/>
          <w:sz w:val="22"/>
          <w:lang w:val="sr-Cyrl-RS" w:eastAsia="en-GB"/>
        </w:rPr>
        <w:t>.</w:t>
      </w:r>
    </w:p>
    <w:p w14:paraId="1DE465EA" w14:textId="69C04370"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297BC9" w:rsidRPr="00EF2F18">
        <w:rPr>
          <w:rFonts w:cs="Times New Roman"/>
          <w:sz w:val="22"/>
          <w:lang w:val="sr-Cyrl-RS" w:eastAsia="en-GB"/>
        </w:rPr>
        <w:t xml:space="preserve">Завод за заштиту природе Србије, Покрајински завод за заштиту природе, </w:t>
      </w:r>
      <w:r w:rsidR="006A3170" w:rsidRPr="00EF2F18">
        <w:rPr>
          <w:rFonts w:cs="Times New Roman"/>
          <w:sz w:val="22"/>
          <w:lang w:val="sr-Cyrl-RS" w:eastAsia="en-GB"/>
        </w:rPr>
        <w:t>у</w:t>
      </w:r>
      <w:r w:rsidR="00297BC9" w:rsidRPr="00EF2F18">
        <w:rPr>
          <w:rFonts w:cs="Times New Roman"/>
          <w:sz w:val="22"/>
          <w:lang w:val="sr-Cyrl-RS" w:eastAsia="en-GB"/>
        </w:rPr>
        <w:t>прављачи заштићених природних добара</w:t>
      </w:r>
      <w:r w:rsidR="000F65B5" w:rsidRPr="00EF2F18">
        <w:rPr>
          <w:rFonts w:cs="Times New Roman"/>
          <w:sz w:val="22"/>
          <w:lang w:val="sr-Cyrl-RS" w:eastAsia="en-GB"/>
        </w:rPr>
        <w:t xml:space="preserve">, </w:t>
      </w:r>
      <w:r w:rsidR="000F65B5" w:rsidRPr="00EF2F18">
        <w:rPr>
          <w:bCs/>
          <w:sz w:val="23"/>
          <w:szCs w:val="23"/>
          <w:lang w:val="sr-Cyrl-RS"/>
        </w:rPr>
        <w:t>ПСУЗЖС, ЈЛС</w:t>
      </w:r>
      <w:r w:rsidR="00BF2024" w:rsidRPr="00EF2F18">
        <w:rPr>
          <w:bCs/>
          <w:sz w:val="23"/>
          <w:szCs w:val="23"/>
          <w:lang w:val="sr-Cyrl-RS"/>
        </w:rPr>
        <w:t>.</w:t>
      </w:r>
    </w:p>
    <w:p w14:paraId="5E268C7C" w14:textId="0747688E"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регулаторна</w:t>
      </w:r>
      <w:r w:rsidR="007C4DA2" w:rsidRPr="00EF2F18">
        <w:rPr>
          <w:rFonts w:cs="Times New Roman"/>
          <w:sz w:val="22"/>
          <w:lang w:val="sr-Cyrl-RS" w:eastAsia="en-GB"/>
        </w:rPr>
        <w:t>.</w:t>
      </w:r>
    </w:p>
    <w:p w14:paraId="07E86005" w14:textId="77777777" w:rsidR="00616DD0" w:rsidRPr="00EF2F18" w:rsidRDefault="00616DD0" w:rsidP="00616DD0">
      <w:pPr>
        <w:spacing w:after="0"/>
        <w:ind w:firstLine="720"/>
        <w:jc w:val="both"/>
        <w:rPr>
          <w:rFonts w:cs="Times New Roman"/>
          <w:sz w:val="22"/>
          <w:lang w:val="sr-Cyrl-RS" w:eastAsia="en-GB"/>
        </w:rPr>
      </w:pPr>
    </w:p>
    <w:p w14:paraId="78B853AA" w14:textId="7F67283F" w:rsidR="00616DD0" w:rsidRPr="00EF2F18" w:rsidRDefault="00616DD0" w:rsidP="00616DD0">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4.1.</w:t>
      </w:r>
      <w:r w:rsidR="00725D02" w:rsidRPr="00EF2F18">
        <w:rPr>
          <w:rFonts w:cs="Times New Roman"/>
          <w:b/>
          <w:bCs/>
          <w:sz w:val="22"/>
          <w:lang w:val="sr-Cyrl-RS" w:eastAsia="en-GB"/>
        </w:rPr>
        <w:t>3</w:t>
      </w:r>
      <w:r w:rsidRPr="00EF2F18">
        <w:rPr>
          <w:rFonts w:cs="Times New Roman"/>
          <w:b/>
          <w:bCs/>
          <w:sz w:val="22"/>
          <w:lang w:val="sr-Cyrl-RS" w:eastAsia="en-GB"/>
        </w:rPr>
        <w:t>. Унапређење функционалне еколошке мреже у Републици Србији</w:t>
      </w:r>
    </w:p>
    <w:p w14:paraId="6E4A5975" w14:textId="77777777" w:rsidR="00D83673" w:rsidRPr="00EF2F18" w:rsidRDefault="00D83673" w:rsidP="00783FBF">
      <w:pPr>
        <w:pStyle w:val="paragraph"/>
        <w:spacing w:before="0" w:beforeAutospacing="0" w:after="0" w:afterAutospacing="0"/>
        <w:ind w:firstLine="720"/>
        <w:jc w:val="both"/>
        <w:textAlignment w:val="baseline"/>
        <w:rPr>
          <w:sz w:val="22"/>
          <w:szCs w:val="22"/>
          <w:lang w:val="sr-Cyrl-RS"/>
        </w:rPr>
      </w:pPr>
    </w:p>
    <w:p w14:paraId="79E9B7B0" w14:textId="1A66A165" w:rsidR="000D4F86" w:rsidRPr="00EF2F18" w:rsidRDefault="00106F36" w:rsidP="00783FBF">
      <w:pPr>
        <w:pStyle w:val="paragraph"/>
        <w:spacing w:before="0" w:beforeAutospacing="0" w:after="0" w:afterAutospacing="0"/>
        <w:ind w:firstLine="720"/>
        <w:jc w:val="both"/>
        <w:textAlignment w:val="baseline"/>
        <w:rPr>
          <w:sz w:val="22"/>
          <w:szCs w:val="22"/>
          <w:lang w:val="sr-Cyrl-RS"/>
        </w:rPr>
      </w:pPr>
      <w:r w:rsidRPr="00EF2F18">
        <w:rPr>
          <w:sz w:val="22"/>
          <w:szCs w:val="22"/>
          <w:lang w:val="sr-Cyrl-RS"/>
        </w:rPr>
        <w:t>M</w:t>
      </w:r>
      <w:r w:rsidR="00E06468" w:rsidRPr="00EF2F18">
        <w:rPr>
          <w:sz w:val="22"/>
          <w:szCs w:val="22"/>
          <w:lang w:val="sr-Cyrl-RS"/>
        </w:rPr>
        <w:t xml:space="preserve">ера </w:t>
      </w:r>
      <w:r w:rsidRPr="00EF2F18">
        <w:rPr>
          <w:sz w:val="22"/>
          <w:szCs w:val="22"/>
          <w:lang w:val="sr-Cyrl-RS"/>
        </w:rPr>
        <w:t xml:space="preserve">je </w:t>
      </w:r>
      <w:r w:rsidR="00E06468" w:rsidRPr="00EF2F18">
        <w:rPr>
          <w:sz w:val="22"/>
          <w:szCs w:val="22"/>
          <w:lang w:val="sr-Cyrl-RS"/>
        </w:rPr>
        <w:t xml:space="preserve">усмерена на </w:t>
      </w:r>
      <w:r w:rsidRPr="00EF2F18">
        <w:rPr>
          <w:sz w:val="22"/>
          <w:szCs w:val="22"/>
          <w:lang w:val="sr-Cyrl-RS"/>
        </w:rPr>
        <w:t xml:space="preserve">активности </w:t>
      </w:r>
      <w:r w:rsidR="000D4F86" w:rsidRPr="00EF2F18">
        <w:rPr>
          <w:sz w:val="22"/>
          <w:szCs w:val="22"/>
          <w:lang w:val="sr-Cyrl-RS"/>
        </w:rPr>
        <w:t>з</w:t>
      </w:r>
      <w:r w:rsidRPr="00EF2F18">
        <w:rPr>
          <w:sz w:val="22"/>
          <w:szCs w:val="22"/>
          <w:lang w:val="sr-Cyrl-RS"/>
        </w:rPr>
        <w:t xml:space="preserve">а </w:t>
      </w:r>
      <w:r w:rsidR="00E06468" w:rsidRPr="00EF2F18">
        <w:rPr>
          <w:sz w:val="22"/>
          <w:szCs w:val="22"/>
          <w:lang w:val="sr-Cyrl-RS"/>
        </w:rPr>
        <w:t>унапре</w:t>
      </w:r>
      <w:r w:rsidRPr="00EF2F18">
        <w:rPr>
          <w:sz w:val="22"/>
          <w:szCs w:val="22"/>
          <w:lang w:val="sr-Cyrl-RS"/>
        </w:rPr>
        <w:t>ђење</w:t>
      </w:r>
      <w:r w:rsidR="00E06468" w:rsidRPr="00EF2F18">
        <w:rPr>
          <w:sz w:val="22"/>
          <w:szCs w:val="22"/>
          <w:lang w:val="sr-Cyrl-RS"/>
        </w:rPr>
        <w:t xml:space="preserve"> функционисањ</w:t>
      </w:r>
      <w:r w:rsidRPr="00EF2F18">
        <w:rPr>
          <w:sz w:val="22"/>
          <w:szCs w:val="22"/>
          <w:lang w:val="sr-Cyrl-RS"/>
        </w:rPr>
        <w:t xml:space="preserve">а </w:t>
      </w:r>
      <w:r w:rsidR="00E06468" w:rsidRPr="00EF2F18">
        <w:rPr>
          <w:sz w:val="22"/>
          <w:szCs w:val="22"/>
          <w:lang w:val="sr-Cyrl-RS"/>
        </w:rPr>
        <w:t xml:space="preserve">Еколошке мреже. </w:t>
      </w:r>
      <w:r w:rsidR="000D4F86" w:rsidRPr="00EF2F18">
        <w:rPr>
          <w:sz w:val="22"/>
          <w:szCs w:val="22"/>
          <w:lang w:val="sr-Cyrl-RS"/>
        </w:rPr>
        <w:t>Потребна је примена поступка оцене прихватљивости за Еколошку мрежу</w:t>
      </w:r>
      <w:r w:rsidR="00604229" w:rsidRPr="00EF2F18">
        <w:rPr>
          <w:sz w:val="22"/>
          <w:szCs w:val="22"/>
          <w:lang w:val="sr-Cyrl-RS"/>
        </w:rPr>
        <w:t>, који је прописан З</w:t>
      </w:r>
      <w:r w:rsidR="000D4F86" w:rsidRPr="00EF2F18">
        <w:rPr>
          <w:sz w:val="22"/>
          <w:szCs w:val="22"/>
          <w:lang w:val="sr-Cyrl-RS"/>
        </w:rPr>
        <w:t>акон</w:t>
      </w:r>
      <w:r w:rsidR="00604229" w:rsidRPr="00EF2F18">
        <w:rPr>
          <w:sz w:val="22"/>
          <w:szCs w:val="22"/>
          <w:lang w:val="sr-Cyrl-RS"/>
        </w:rPr>
        <w:t>ом</w:t>
      </w:r>
      <w:r w:rsidR="000D4F86" w:rsidRPr="00EF2F18">
        <w:rPr>
          <w:sz w:val="22"/>
          <w:szCs w:val="22"/>
          <w:lang w:val="sr-Cyrl-RS"/>
        </w:rPr>
        <w:t xml:space="preserve"> о заштити природе</w:t>
      </w:r>
      <w:r w:rsidR="00604229" w:rsidRPr="00EF2F18">
        <w:rPr>
          <w:sz w:val="22"/>
          <w:szCs w:val="22"/>
          <w:lang w:val="sr-Cyrl-RS"/>
        </w:rPr>
        <w:t>.</w:t>
      </w:r>
    </w:p>
    <w:p w14:paraId="497B5BFE" w14:textId="1E90D65A" w:rsidR="00783FBF" w:rsidRPr="00EF2F18" w:rsidRDefault="000D4F86" w:rsidP="00783FBF">
      <w:pPr>
        <w:pStyle w:val="paragraph"/>
        <w:spacing w:before="0" w:beforeAutospacing="0" w:after="0" w:afterAutospacing="0"/>
        <w:ind w:firstLine="720"/>
        <w:jc w:val="both"/>
        <w:textAlignment w:val="baseline"/>
        <w:rPr>
          <w:sz w:val="22"/>
          <w:szCs w:val="22"/>
          <w:lang w:val="sr-Cyrl-RS"/>
        </w:rPr>
      </w:pPr>
      <w:r w:rsidRPr="00EF2F18">
        <w:rPr>
          <w:sz w:val="22"/>
          <w:szCs w:val="22"/>
          <w:lang w:val="sr-Cyrl-RS"/>
        </w:rPr>
        <w:t xml:space="preserve">Потребна је </w:t>
      </w:r>
      <w:r w:rsidR="00E06468" w:rsidRPr="00EF2F18">
        <w:rPr>
          <w:sz w:val="22"/>
          <w:szCs w:val="22"/>
          <w:lang w:val="sr-Cyrl-RS"/>
        </w:rPr>
        <w:t>израд</w:t>
      </w:r>
      <w:r w:rsidR="00106F36" w:rsidRPr="00EF2F18">
        <w:rPr>
          <w:sz w:val="22"/>
          <w:szCs w:val="22"/>
          <w:lang w:val="sr-Cyrl-RS"/>
        </w:rPr>
        <w:t>а</w:t>
      </w:r>
      <w:r w:rsidR="00E06468" w:rsidRPr="00EF2F18">
        <w:rPr>
          <w:sz w:val="22"/>
          <w:szCs w:val="22"/>
          <w:lang w:val="sr-Cyrl-RS"/>
        </w:rPr>
        <w:t xml:space="preserve"> нових и ревизиј</w:t>
      </w:r>
      <w:r w:rsidR="00106F36" w:rsidRPr="00EF2F18">
        <w:rPr>
          <w:sz w:val="22"/>
          <w:szCs w:val="22"/>
          <w:lang w:val="sr-Cyrl-RS"/>
        </w:rPr>
        <w:t>а</w:t>
      </w:r>
      <w:r w:rsidR="00E06468" w:rsidRPr="00EF2F18">
        <w:rPr>
          <w:sz w:val="22"/>
          <w:szCs w:val="22"/>
          <w:lang w:val="sr-Cyrl-RS"/>
        </w:rPr>
        <w:t xml:space="preserve"> постојећих референтних листа за врсте и станишта еколошке мреже, а потом и повећање територије Еколошке мреже. Наредне активности подразумевају д</w:t>
      </w:r>
      <w:r w:rsidR="00E06468" w:rsidRPr="00EF2F18">
        <w:rPr>
          <w:rFonts w:eastAsia="+mn-ea"/>
          <w:sz w:val="22"/>
          <w:szCs w:val="22"/>
          <w:lang w:val="sr-Cyrl-RS"/>
        </w:rPr>
        <w:t xml:space="preserve">оношење </w:t>
      </w:r>
      <w:r w:rsidR="00137042" w:rsidRPr="00EF2F18">
        <w:rPr>
          <w:rFonts w:eastAsia="+mn-ea"/>
          <w:sz w:val="22"/>
          <w:szCs w:val="22"/>
          <w:lang w:val="sr-Cyrl-RS"/>
        </w:rPr>
        <w:t xml:space="preserve">нове </w:t>
      </w:r>
      <w:r w:rsidR="00E06468" w:rsidRPr="00EF2F18">
        <w:rPr>
          <w:rFonts w:eastAsia="+mn-ea"/>
          <w:sz w:val="22"/>
          <w:szCs w:val="22"/>
          <w:lang w:val="sr-Cyrl-RS"/>
        </w:rPr>
        <w:t>Уредбе о Еколошк</w:t>
      </w:r>
      <w:r w:rsidR="00106F36" w:rsidRPr="00EF2F18">
        <w:rPr>
          <w:rFonts w:eastAsia="+mn-ea"/>
          <w:sz w:val="22"/>
          <w:szCs w:val="22"/>
          <w:lang w:val="sr-Cyrl-RS"/>
        </w:rPr>
        <w:t>ој</w:t>
      </w:r>
      <w:r w:rsidR="00E06468" w:rsidRPr="00EF2F18">
        <w:rPr>
          <w:rFonts w:eastAsia="+mn-ea"/>
          <w:sz w:val="22"/>
          <w:szCs w:val="22"/>
          <w:lang w:val="sr-Cyrl-RS"/>
        </w:rPr>
        <w:t xml:space="preserve"> мреж</w:t>
      </w:r>
      <w:r w:rsidR="00106F36" w:rsidRPr="00EF2F18">
        <w:rPr>
          <w:rFonts w:eastAsia="+mn-ea"/>
          <w:sz w:val="22"/>
          <w:szCs w:val="22"/>
          <w:lang w:val="sr-Cyrl-RS"/>
        </w:rPr>
        <w:t>и</w:t>
      </w:r>
      <w:r w:rsidR="00E06468" w:rsidRPr="00EF2F18">
        <w:rPr>
          <w:rFonts w:eastAsia="+mn-ea"/>
          <w:sz w:val="22"/>
          <w:szCs w:val="22"/>
          <w:lang w:val="sr-Cyrl-RS"/>
        </w:rPr>
        <w:t xml:space="preserve"> Републике Србије укључујући потенцијална </w:t>
      </w:r>
      <w:r w:rsidR="00A76090" w:rsidRPr="00EF2F18">
        <w:rPr>
          <w:rFonts w:eastAsia="+mn-ea"/>
          <w:sz w:val="22"/>
          <w:szCs w:val="22"/>
          <w:lang w:val="sr-Cyrl-RS"/>
        </w:rPr>
        <w:t>НАТУРА</w:t>
      </w:r>
      <w:r w:rsidR="00106F36" w:rsidRPr="00EF2F18">
        <w:rPr>
          <w:rFonts w:eastAsia="+mn-ea"/>
          <w:sz w:val="22"/>
          <w:szCs w:val="22"/>
          <w:lang w:val="sr-Cyrl-RS"/>
        </w:rPr>
        <w:t xml:space="preserve"> </w:t>
      </w:r>
      <w:r w:rsidR="00E06468" w:rsidRPr="00EF2F18">
        <w:rPr>
          <w:rFonts w:eastAsia="+mn-ea"/>
          <w:sz w:val="22"/>
          <w:szCs w:val="22"/>
          <w:lang w:val="sr-Cyrl-RS"/>
        </w:rPr>
        <w:t>2000 подручја</w:t>
      </w:r>
      <w:r w:rsidR="00E06468" w:rsidRPr="00EF2F18">
        <w:rPr>
          <w:sz w:val="22"/>
          <w:szCs w:val="22"/>
          <w:lang w:val="sr-Cyrl-RS"/>
        </w:rPr>
        <w:t>, као и р</w:t>
      </w:r>
      <w:r w:rsidR="00E06468" w:rsidRPr="00EF2F18">
        <w:rPr>
          <w:rFonts w:eastAsia="+mn-ea"/>
          <w:sz w:val="22"/>
          <w:szCs w:val="22"/>
          <w:lang w:val="sr-Cyrl-RS"/>
        </w:rPr>
        <w:t>азвој планова за управљање еколошки значајни</w:t>
      </w:r>
      <w:r w:rsidR="00106F36" w:rsidRPr="00EF2F18">
        <w:rPr>
          <w:rFonts w:eastAsia="+mn-ea"/>
          <w:sz w:val="22"/>
          <w:szCs w:val="22"/>
          <w:lang w:val="sr-Cyrl-RS"/>
        </w:rPr>
        <w:t>м</w:t>
      </w:r>
      <w:r w:rsidR="00E06468" w:rsidRPr="00EF2F18">
        <w:rPr>
          <w:rFonts w:eastAsia="+mn-ea"/>
          <w:sz w:val="22"/>
          <w:szCs w:val="22"/>
          <w:lang w:val="sr-Cyrl-RS"/>
        </w:rPr>
        <w:t xml:space="preserve"> подручј</w:t>
      </w:r>
      <w:r w:rsidR="00106F36" w:rsidRPr="00EF2F18">
        <w:rPr>
          <w:rFonts w:eastAsia="+mn-ea"/>
          <w:sz w:val="22"/>
          <w:szCs w:val="22"/>
          <w:lang w:val="sr-Cyrl-RS"/>
        </w:rPr>
        <w:t>им</w:t>
      </w:r>
      <w:r w:rsidR="00E06468" w:rsidRPr="00EF2F18">
        <w:rPr>
          <w:rFonts w:eastAsia="+mn-ea"/>
          <w:sz w:val="22"/>
          <w:szCs w:val="22"/>
          <w:lang w:val="sr-Cyrl-RS"/>
        </w:rPr>
        <w:t>а и њихово интегрисање у европску еколошку мрежу</w:t>
      </w:r>
      <w:r w:rsidR="00E06468" w:rsidRPr="00EF2F18">
        <w:rPr>
          <w:sz w:val="22"/>
          <w:szCs w:val="22"/>
          <w:lang w:val="sr-Cyrl-RS"/>
        </w:rPr>
        <w:t xml:space="preserve">. </w:t>
      </w:r>
      <w:r w:rsidR="00604229" w:rsidRPr="00EF2F18">
        <w:rPr>
          <w:sz w:val="22"/>
          <w:szCs w:val="22"/>
          <w:lang w:val="sr-Cyrl-RS"/>
        </w:rPr>
        <w:t>Потребн</w:t>
      </w:r>
      <w:r w:rsidR="00E22AA9" w:rsidRPr="00EF2F18">
        <w:rPr>
          <w:sz w:val="22"/>
          <w:szCs w:val="22"/>
          <w:lang w:val="sr-Cyrl-RS"/>
        </w:rPr>
        <w:t>о</w:t>
      </w:r>
      <w:r w:rsidR="00604229" w:rsidRPr="00EF2F18">
        <w:rPr>
          <w:sz w:val="22"/>
          <w:szCs w:val="22"/>
          <w:lang w:val="sr-Cyrl-RS"/>
        </w:rPr>
        <w:t xml:space="preserve"> је</w:t>
      </w:r>
      <w:r w:rsidR="00783FBF" w:rsidRPr="00EF2F18">
        <w:rPr>
          <w:sz w:val="22"/>
          <w:szCs w:val="22"/>
          <w:lang w:val="sr-Cyrl-RS"/>
        </w:rPr>
        <w:t xml:space="preserve"> израд</w:t>
      </w:r>
      <w:r w:rsidR="00604229" w:rsidRPr="00EF2F18">
        <w:rPr>
          <w:sz w:val="22"/>
          <w:szCs w:val="22"/>
          <w:lang w:val="sr-Cyrl-RS"/>
        </w:rPr>
        <w:t>ити</w:t>
      </w:r>
      <w:r w:rsidR="00783FBF" w:rsidRPr="00EF2F18">
        <w:rPr>
          <w:sz w:val="22"/>
          <w:szCs w:val="22"/>
          <w:lang w:val="sr-Cyrl-RS"/>
        </w:rPr>
        <w:t xml:space="preserve"> </w:t>
      </w:r>
      <w:r w:rsidR="00E06468" w:rsidRPr="00EF2F18">
        <w:rPr>
          <w:sz w:val="22"/>
          <w:szCs w:val="22"/>
          <w:lang w:val="sr-Cyrl-RS"/>
        </w:rPr>
        <w:t>стандардн</w:t>
      </w:r>
      <w:r w:rsidR="00604229" w:rsidRPr="00EF2F18">
        <w:rPr>
          <w:sz w:val="22"/>
          <w:szCs w:val="22"/>
          <w:lang w:val="sr-Cyrl-RS"/>
        </w:rPr>
        <w:t>е</w:t>
      </w:r>
      <w:r w:rsidR="00E06468" w:rsidRPr="00EF2F18">
        <w:rPr>
          <w:sz w:val="22"/>
          <w:szCs w:val="22"/>
          <w:lang w:val="sr-Cyrl-RS"/>
        </w:rPr>
        <w:t xml:space="preserve"> обрасц</w:t>
      </w:r>
      <w:r w:rsidR="00604229" w:rsidRPr="00EF2F18">
        <w:rPr>
          <w:sz w:val="22"/>
          <w:szCs w:val="22"/>
          <w:lang w:val="sr-Cyrl-RS"/>
        </w:rPr>
        <w:t>е</w:t>
      </w:r>
      <w:r w:rsidR="00E06468" w:rsidRPr="00EF2F18">
        <w:rPr>
          <w:rFonts w:eastAsia="+mn-ea"/>
          <w:sz w:val="22"/>
          <w:szCs w:val="22"/>
          <w:lang w:val="sr-Cyrl-RS"/>
        </w:rPr>
        <w:t xml:space="preserve"> за еколошки значајна подручја</w:t>
      </w:r>
      <w:r w:rsidR="00604229" w:rsidRPr="00EF2F18">
        <w:rPr>
          <w:sz w:val="22"/>
          <w:szCs w:val="22"/>
          <w:lang w:val="sr-Cyrl-RS"/>
        </w:rPr>
        <w:t xml:space="preserve"> (SDF обрасци)</w:t>
      </w:r>
      <w:r w:rsidR="00E06468" w:rsidRPr="00EF2F18">
        <w:rPr>
          <w:sz w:val="22"/>
          <w:szCs w:val="22"/>
          <w:lang w:val="sr-Cyrl-RS"/>
        </w:rPr>
        <w:t>.</w:t>
      </w:r>
    </w:p>
    <w:p w14:paraId="73FC89C8" w14:textId="7D9AD0CC" w:rsidR="00783FBF" w:rsidRPr="00EF2F18" w:rsidRDefault="00783FBF" w:rsidP="00783FBF">
      <w:pPr>
        <w:pStyle w:val="paragraph"/>
        <w:spacing w:before="0" w:beforeAutospacing="0" w:after="0" w:afterAutospacing="0"/>
        <w:ind w:firstLine="720"/>
        <w:jc w:val="both"/>
        <w:textAlignment w:val="baseline"/>
        <w:rPr>
          <w:sz w:val="22"/>
          <w:szCs w:val="22"/>
          <w:lang w:val="sr-Cyrl-RS"/>
        </w:rPr>
      </w:pPr>
      <w:r w:rsidRPr="00EF2F18">
        <w:rPr>
          <w:sz w:val="22"/>
          <w:szCs w:val="22"/>
          <w:lang w:val="sr-Cyrl-RS"/>
        </w:rPr>
        <w:lastRenderedPageBreak/>
        <w:t>М</w:t>
      </w:r>
      <w:r w:rsidR="00E06468" w:rsidRPr="00EF2F18">
        <w:rPr>
          <w:sz w:val="22"/>
          <w:szCs w:val="22"/>
          <w:lang w:val="sr-Cyrl-RS"/>
        </w:rPr>
        <w:t>ера предвиђа и континуирано у</w:t>
      </w:r>
      <w:r w:rsidR="00E06468" w:rsidRPr="00EF2F18">
        <w:rPr>
          <w:rFonts w:eastAsia="+mn-ea"/>
          <w:sz w:val="22"/>
          <w:szCs w:val="22"/>
          <w:lang w:val="sr-Cyrl-RS"/>
        </w:rPr>
        <w:t>спостављање и просторн</w:t>
      </w:r>
      <w:r w:rsidR="00E06468" w:rsidRPr="00EF2F18">
        <w:rPr>
          <w:sz w:val="22"/>
          <w:szCs w:val="22"/>
          <w:lang w:val="sr-Cyrl-RS"/>
        </w:rPr>
        <w:t>у</w:t>
      </w:r>
      <w:r w:rsidR="00E06468" w:rsidRPr="00EF2F18">
        <w:rPr>
          <w:rFonts w:eastAsia="+mn-ea"/>
          <w:sz w:val="22"/>
          <w:szCs w:val="22"/>
          <w:lang w:val="sr-Cyrl-RS"/>
        </w:rPr>
        <w:t xml:space="preserve"> идентификациј</w:t>
      </w:r>
      <w:r w:rsidR="00E06468" w:rsidRPr="00EF2F18">
        <w:rPr>
          <w:sz w:val="22"/>
          <w:szCs w:val="22"/>
          <w:lang w:val="sr-Cyrl-RS"/>
        </w:rPr>
        <w:t>у еколошких коридора. За повећање функционалност</w:t>
      </w:r>
      <w:r w:rsidRPr="00EF2F18">
        <w:rPr>
          <w:sz w:val="22"/>
          <w:szCs w:val="22"/>
          <w:lang w:val="sr-Cyrl-RS"/>
        </w:rPr>
        <w:t>и</w:t>
      </w:r>
      <w:r w:rsidR="00E06468" w:rsidRPr="00EF2F18">
        <w:rPr>
          <w:sz w:val="22"/>
          <w:szCs w:val="22"/>
          <w:lang w:val="sr-Cyrl-RS"/>
        </w:rPr>
        <w:t xml:space="preserve"> Еколошке мреже од посебног значаја је </w:t>
      </w:r>
      <w:r w:rsidR="00E06468" w:rsidRPr="00EF2F18">
        <w:rPr>
          <w:rFonts w:eastAsia="+mn-ea"/>
          <w:sz w:val="22"/>
          <w:szCs w:val="22"/>
          <w:lang w:val="sr-Cyrl-RS"/>
        </w:rPr>
        <w:t>промена намене из грађевинског у ванграђевинско земљиште</w:t>
      </w:r>
      <w:r w:rsidR="00E06468" w:rsidRPr="00EF2F18">
        <w:rPr>
          <w:sz w:val="22"/>
          <w:szCs w:val="22"/>
          <w:lang w:val="sr-Cyrl-RS"/>
        </w:rPr>
        <w:t xml:space="preserve">, као и </w:t>
      </w:r>
      <w:r w:rsidR="00E06468" w:rsidRPr="00EF2F18">
        <w:rPr>
          <w:rFonts w:eastAsia="+mn-ea"/>
          <w:sz w:val="22"/>
          <w:szCs w:val="22"/>
          <w:lang w:val="sr-Cyrl-RS"/>
        </w:rPr>
        <w:t>промена културе из обрадивог у необрадиво земљиште</w:t>
      </w:r>
      <w:r w:rsidR="00E06468" w:rsidRPr="00EF2F18">
        <w:rPr>
          <w:sz w:val="22"/>
          <w:szCs w:val="22"/>
          <w:lang w:val="sr-Cyrl-RS"/>
        </w:rPr>
        <w:t xml:space="preserve"> у циљу повећања територије под заштитом у Републици Србији, а првенствено за потребе Еколошке мреже. </w:t>
      </w:r>
    </w:p>
    <w:p w14:paraId="73EF0D52" w14:textId="33FAF5BB" w:rsidR="00E06468" w:rsidRPr="00EF2F18" w:rsidRDefault="00783FBF" w:rsidP="00783FBF">
      <w:pPr>
        <w:pStyle w:val="paragraph"/>
        <w:spacing w:before="0" w:beforeAutospacing="0" w:after="0" w:afterAutospacing="0"/>
        <w:ind w:firstLine="720"/>
        <w:jc w:val="both"/>
        <w:textAlignment w:val="baseline"/>
        <w:rPr>
          <w:sz w:val="22"/>
          <w:szCs w:val="22"/>
          <w:lang w:val="sr-Cyrl-RS"/>
        </w:rPr>
      </w:pPr>
      <w:r w:rsidRPr="00EF2F18">
        <w:rPr>
          <w:sz w:val="22"/>
          <w:szCs w:val="22"/>
          <w:lang w:val="sr-Cyrl-RS"/>
        </w:rPr>
        <w:t xml:space="preserve">Неопходно је </w:t>
      </w:r>
      <w:r w:rsidR="00E06468" w:rsidRPr="00EF2F18">
        <w:rPr>
          <w:sz w:val="22"/>
          <w:szCs w:val="22"/>
          <w:lang w:val="sr-Cyrl-RS"/>
        </w:rPr>
        <w:t>формирањ</w:t>
      </w:r>
      <w:r w:rsidRPr="00EF2F18">
        <w:rPr>
          <w:sz w:val="22"/>
          <w:szCs w:val="22"/>
          <w:lang w:val="sr-Cyrl-RS"/>
        </w:rPr>
        <w:t>е</w:t>
      </w:r>
      <w:r w:rsidR="00E06468" w:rsidRPr="00EF2F18">
        <w:rPr>
          <w:sz w:val="22"/>
          <w:szCs w:val="22"/>
          <w:lang w:val="sr-Cyrl-RS"/>
        </w:rPr>
        <w:t xml:space="preserve"> нових и јачањ</w:t>
      </w:r>
      <w:r w:rsidRPr="00EF2F18">
        <w:rPr>
          <w:sz w:val="22"/>
          <w:szCs w:val="22"/>
          <w:lang w:val="sr-Cyrl-RS"/>
        </w:rPr>
        <w:t>е</w:t>
      </w:r>
      <w:r w:rsidR="00E06468" w:rsidRPr="00EF2F18">
        <w:rPr>
          <w:sz w:val="22"/>
          <w:szCs w:val="22"/>
          <w:lang w:val="sr-Cyrl-RS"/>
        </w:rPr>
        <w:t xml:space="preserve"> постојећих капацитета за управљање подручјима еколошке мреже и спровођење обука за управљање.</w:t>
      </w:r>
    </w:p>
    <w:p w14:paraId="77616349" w14:textId="7345A978"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297BC9" w:rsidRPr="00EF2F18">
        <w:rPr>
          <w:rFonts w:cs="Times New Roman"/>
          <w:sz w:val="22"/>
          <w:lang w:val="sr-Cyrl-RS" w:eastAsia="en-GB"/>
        </w:rPr>
        <w:t>Министарство заштите животне средине</w:t>
      </w:r>
      <w:r w:rsidR="00BF2024" w:rsidRPr="00EF2F18">
        <w:rPr>
          <w:rFonts w:cs="Times New Roman"/>
          <w:sz w:val="22"/>
          <w:lang w:val="sr-Cyrl-RS" w:eastAsia="en-GB"/>
        </w:rPr>
        <w:t>.</w:t>
      </w:r>
    </w:p>
    <w:p w14:paraId="2BB04C27" w14:textId="59035CEA" w:rsidR="00297BC9" w:rsidRPr="00EF2F18" w:rsidRDefault="00616DD0" w:rsidP="00297BC9">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297BC9" w:rsidRPr="00EF2F18">
        <w:rPr>
          <w:rFonts w:cs="Times New Roman"/>
          <w:sz w:val="22"/>
          <w:lang w:val="sr-Cyrl-RS" w:eastAsia="en-GB"/>
        </w:rPr>
        <w:t xml:space="preserve">Завод за заштиту природе Србије, Покрајински завод за заштиту природе, </w:t>
      </w:r>
      <w:r w:rsidR="00F94CDE" w:rsidRPr="00EF2F18">
        <w:rPr>
          <w:rFonts w:cs="Times New Roman"/>
          <w:sz w:val="22"/>
          <w:lang w:val="sr-Cyrl-RS" w:eastAsia="en-GB"/>
        </w:rPr>
        <w:t>у</w:t>
      </w:r>
      <w:r w:rsidR="00297BC9" w:rsidRPr="00EF2F18">
        <w:rPr>
          <w:rFonts w:cs="Times New Roman"/>
          <w:sz w:val="22"/>
          <w:lang w:val="sr-Cyrl-RS" w:eastAsia="en-GB"/>
        </w:rPr>
        <w:t>прављачи заштићених природних добара, Републички геодетски завод</w:t>
      </w:r>
      <w:r w:rsidR="00BF2024" w:rsidRPr="00EF2F18">
        <w:rPr>
          <w:rFonts w:cs="Times New Roman"/>
          <w:sz w:val="22"/>
          <w:lang w:val="sr-Cyrl-RS" w:eastAsia="en-GB"/>
        </w:rPr>
        <w:t>.</w:t>
      </w:r>
    </w:p>
    <w:p w14:paraId="7E9E1ACF" w14:textId="4C80ABA0" w:rsidR="00616DD0" w:rsidRPr="00EF2F18" w:rsidRDefault="00616DD0" w:rsidP="00297BC9">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регулаторна</w:t>
      </w:r>
      <w:r w:rsidR="007C4DA2" w:rsidRPr="00EF2F18">
        <w:rPr>
          <w:rFonts w:cs="Times New Roman"/>
          <w:sz w:val="22"/>
          <w:lang w:val="sr-Cyrl-RS" w:eastAsia="en-GB"/>
        </w:rPr>
        <w:t>.</w:t>
      </w:r>
    </w:p>
    <w:p w14:paraId="02A7B79E" w14:textId="77777777" w:rsidR="00616DD0" w:rsidRPr="00EF2F18" w:rsidRDefault="00616DD0" w:rsidP="00425FCC">
      <w:pPr>
        <w:spacing w:after="0"/>
        <w:ind w:firstLine="720"/>
        <w:rPr>
          <w:rFonts w:cs="Times New Roman"/>
          <w:sz w:val="22"/>
          <w:lang w:val="sr-Cyrl-RS"/>
        </w:rPr>
      </w:pPr>
    </w:p>
    <w:p w14:paraId="046DAD79" w14:textId="41AEF711" w:rsidR="00616DD0" w:rsidRPr="00EF2F18" w:rsidRDefault="00616DD0" w:rsidP="00616DD0">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4.1.</w:t>
      </w:r>
      <w:r w:rsidR="00725D02" w:rsidRPr="00EF2F18">
        <w:rPr>
          <w:rFonts w:cs="Times New Roman"/>
          <w:b/>
          <w:bCs/>
          <w:sz w:val="22"/>
          <w:lang w:val="sr-Cyrl-RS" w:eastAsia="en-GB"/>
        </w:rPr>
        <w:t>4</w:t>
      </w:r>
      <w:r w:rsidRPr="00EF2F18">
        <w:rPr>
          <w:rFonts w:cs="Times New Roman"/>
          <w:b/>
          <w:bCs/>
          <w:sz w:val="22"/>
          <w:lang w:val="sr-Cyrl-RS" w:eastAsia="en-GB"/>
        </w:rPr>
        <w:t>. Интеграција заштите природе и очувања биодиверзитета у друге секторе</w:t>
      </w:r>
    </w:p>
    <w:p w14:paraId="60C65799" w14:textId="77777777" w:rsidR="00D83673" w:rsidRPr="00EF2F18" w:rsidRDefault="00D83673" w:rsidP="00E06468">
      <w:pPr>
        <w:spacing w:after="0"/>
        <w:ind w:firstLine="720"/>
        <w:jc w:val="both"/>
        <w:rPr>
          <w:rFonts w:cs="Times New Roman"/>
          <w:sz w:val="22"/>
          <w:lang w:val="sr-Cyrl-RS"/>
        </w:rPr>
      </w:pPr>
    </w:p>
    <w:p w14:paraId="6A226F77" w14:textId="3556DF6E" w:rsidR="00E06468" w:rsidRPr="00EF2F18" w:rsidRDefault="00E06468" w:rsidP="00E06468">
      <w:pPr>
        <w:spacing w:after="0"/>
        <w:ind w:firstLine="720"/>
        <w:jc w:val="both"/>
        <w:rPr>
          <w:rFonts w:cs="Times New Roman"/>
          <w:sz w:val="22"/>
          <w:lang w:val="sr-Cyrl-RS"/>
        </w:rPr>
      </w:pPr>
      <w:r w:rsidRPr="00EF2F18">
        <w:rPr>
          <w:rFonts w:cs="Times New Roman"/>
          <w:sz w:val="22"/>
          <w:lang w:val="sr-Cyrl-RS"/>
        </w:rPr>
        <w:t>Мера обухвата интегрисање заштите приоде и очувања биодиверзитета у друге секторе на неколико начина. Пре свега</w:t>
      </w:r>
      <w:r w:rsidR="00E22AA9" w:rsidRPr="00EF2F18">
        <w:rPr>
          <w:rFonts w:cs="Times New Roman"/>
          <w:sz w:val="22"/>
          <w:lang w:val="sr-Cyrl-RS"/>
        </w:rPr>
        <w:t>,</w:t>
      </w:r>
      <w:r w:rsidRPr="00EF2F18">
        <w:rPr>
          <w:rFonts w:cs="Times New Roman"/>
          <w:sz w:val="22"/>
          <w:lang w:val="sr-Cyrl-RS"/>
        </w:rPr>
        <w:t xml:space="preserve"> то је израда смерница за интегрисање заштите природе и биодиверзитета у национално законодавство. </w:t>
      </w:r>
      <w:r w:rsidR="00045805" w:rsidRPr="00EF2F18">
        <w:rPr>
          <w:rFonts w:cs="Times New Roman"/>
          <w:sz w:val="22"/>
          <w:lang w:val="sr-Cyrl-RS"/>
        </w:rPr>
        <w:t xml:space="preserve">Активности обухватају </w:t>
      </w:r>
      <w:r w:rsidRPr="00EF2F18">
        <w:rPr>
          <w:rFonts w:cs="Times New Roman"/>
          <w:sz w:val="22"/>
          <w:lang w:val="sr-Cyrl-RS"/>
        </w:rPr>
        <w:t>и израд</w:t>
      </w:r>
      <w:r w:rsidR="00045805" w:rsidRPr="00EF2F18">
        <w:rPr>
          <w:rFonts w:cs="Times New Roman"/>
          <w:sz w:val="22"/>
          <w:lang w:val="sr-Cyrl-RS"/>
        </w:rPr>
        <w:t>у</w:t>
      </w:r>
      <w:r w:rsidRPr="00EF2F18">
        <w:rPr>
          <w:rFonts w:cs="Times New Roman"/>
          <w:sz w:val="22"/>
          <w:lang w:val="sr-Cyrl-RS"/>
        </w:rPr>
        <w:t xml:space="preserve"> препорука за укључивање обавеза заштите природе у свим секторима који су у директној корелацији са заштитом природе и очувањем биодиверзитета (просторно планирање, пољопривреда, шумарство, водопривреда, грађевинарство, енергетика и рударство, саобраћај, туризам и др</w:t>
      </w:r>
      <w:r w:rsidR="00092FAB" w:rsidRPr="00EF2F18">
        <w:rPr>
          <w:rFonts w:cs="Times New Roman"/>
          <w:sz w:val="22"/>
          <w:lang w:val="sr-Cyrl-RS"/>
        </w:rPr>
        <w:t>.</w:t>
      </w:r>
      <w:r w:rsidRPr="00EF2F18">
        <w:rPr>
          <w:rFonts w:cs="Times New Roman"/>
          <w:sz w:val="22"/>
          <w:lang w:val="sr-Cyrl-RS"/>
        </w:rPr>
        <w:t>).</w:t>
      </w:r>
      <w:r w:rsidR="00213823" w:rsidRPr="00EF2F18">
        <w:rPr>
          <w:rFonts w:cs="Times New Roman"/>
          <w:sz w:val="22"/>
          <w:lang w:val="sr-Cyrl-RS"/>
        </w:rPr>
        <w:t xml:space="preserve"> Планира се и успостављање Савета за кориснике заштићених подручја.</w:t>
      </w:r>
    </w:p>
    <w:p w14:paraId="6DEA9525" w14:textId="39B7CBED" w:rsidR="00045805" w:rsidRPr="00EF2F18" w:rsidRDefault="00213823" w:rsidP="00213823">
      <w:pPr>
        <w:spacing w:after="0"/>
        <w:ind w:firstLine="720"/>
        <w:jc w:val="both"/>
        <w:rPr>
          <w:rFonts w:cs="Times New Roman"/>
          <w:sz w:val="22"/>
          <w:lang w:val="sr-Cyrl-RS"/>
        </w:rPr>
      </w:pPr>
      <w:r w:rsidRPr="00EF2F18">
        <w:rPr>
          <w:rFonts w:cs="Times New Roman"/>
          <w:sz w:val="22"/>
          <w:lang w:val="sr-Cyrl-RS"/>
        </w:rPr>
        <w:t xml:space="preserve">У циљу јачања капацитета, неопходно је извршити и ревизију постојећих наставних планова и програма на сва три нивоа образовања у </w:t>
      </w:r>
      <w:r w:rsidR="00A9219B" w:rsidRPr="00EF2F18">
        <w:rPr>
          <w:rFonts w:cs="Times New Roman"/>
          <w:sz w:val="22"/>
          <w:lang w:val="sr-Cyrl-RS"/>
        </w:rPr>
        <w:t>области</w:t>
      </w:r>
      <w:r w:rsidRPr="00EF2F18">
        <w:rPr>
          <w:rFonts w:cs="Times New Roman"/>
          <w:sz w:val="22"/>
          <w:lang w:val="sr-Cyrl-RS"/>
        </w:rPr>
        <w:t xml:space="preserve"> заштите природе и биодиверзитета. Директна спрега науке и праксе у заштити, очувању и унапређивање стања биодиверзитета и заштите природе огледаће се у научно-истраживачки</w:t>
      </w:r>
      <w:r w:rsidR="00E22AA9" w:rsidRPr="00EF2F18">
        <w:rPr>
          <w:rFonts w:cs="Times New Roman"/>
          <w:sz w:val="22"/>
          <w:lang w:val="sr-Cyrl-RS"/>
        </w:rPr>
        <w:t>м</w:t>
      </w:r>
      <w:r w:rsidRPr="00EF2F18">
        <w:rPr>
          <w:rFonts w:cs="Times New Roman"/>
          <w:sz w:val="22"/>
          <w:lang w:val="sr-Cyrl-RS"/>
        </w:rPr>
        <w:t xml:space="preserve"> пројектима из области биодиверзитета и заштите природе</w:t>
      </w:r>
      <w:r w:rsidR="00ED0623" w:rsidRPr="00EF2F18">
        <w:rPr>
          <w:rFonts w:cs="Times New Roman"/>
          <w:sz w:val="22"/>
          <w:lang w:val="sr-Cyrl-RS"/>
        </w:rPr>
        <w:t xml:space="preserve"> (веза са м</w:t>
      </w:r>
      <w:r w:rsidR="008E4728" w:rsidRPr="00EF2F18">
        <w:rPr>
          <w:rFonts w:cs="Times New Roman"/>
          <w:sz w:val="22"/>
          <w:lang w:val="sr-Cyrl-RS"/>
        </w:rPr>
        <w:t>ером 6.1.5. ове Стратегије</w:t>
      </w:r>
      <w:r w:rsidR="00ED0623" w:rsidRPr="00EF2F18">
        <w:rPr>
          <w:rFonts w:cs="Times New Roman"/>
          <w:sz w:val="22"/>
          <w:lang w:val="sr-Cyrl-RS"/>
        </w:rPr>
        <w:t>).</w:t>
      </w:r>
    </w:p>
    <w:p w14:paraId="2926C335" w14:textId="5B170E53" w:rsidR="00045805" w:rsidRPr="00EF2F18" w:rsidRDefault="00213823" w:rsidP="00E06468">
      <w:pPr>
        <w:spacing w:after="0"/>
        <w:ind w:firstLine="720"/>
        <w:jc w:val="both"/>
        <w:rPr>
          <w:rFonts w:cs="Times New Roman"/>
          <w:sz w:val="22"/>
          <w:lang w:val="sr-Cyrl-RS"/>
        </w:rPr>
      </w:pPr>
      <w:r w:rsidRPr="00EF2F18">
        <w:rPr>
          <w:rFonts w:cs="Times New Roman"/>
          <w:sz w:val="22"/>
          <w:lang w:val="sr-Cyrl-RS"/>
        </w:rPr>
        <w:t>Такође</w:t>
      </w:r>
      <w:r w:rsidR="00E22AA9" w:rsidRPr="00EF2F18">
        <w:rPr>
          <w:rFonts w:cs="Times New Roman"/>
          <w:sz w:val="22"/>
          <w:lang w:val="sr-Cyrl-RS"/>
        </w:rPr>
        <w:t>,</w:t>
      </w:r>
      <w:r w:rsidRPr="00EF2F18">
        <w:rPr>
          <w:rFonts w:cs="Times New Roman"/>
          <w:sz w:val="22"/>
          <w:lang w:val="sr-Cyrl-RS"/>
        </w:rPr>
        <w:t xml:space="preserve"> као економски моменат, издваја се и интегрисање концепта екосистемских услуга у законски оквир за заштиту природе и других релевантних сектора.</w:t>
      </w:r>
    </w:p>
    <w:p w14:paraId="0D437B54" w14:textId="3C1E6A54"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6468" w:rsidRPr="00EF2F18">
        <w:rPr>
          <w:rFonts w:cs="Times New Roman"/>
          <w:sz w:val="22"/>
          <w:lang w:val="sr-Cyrl-RS" w:eastAsia="en-GB"/>
        </w:rPr>
        <w:t>Министарство з</w:t>
      </w:r>
      <w:r w:rsidR="00BF2024" w:rsidRPr="00EF2F18">
        <w:rPr>
          <w:rFonts w:cs="Times New Roman"/>
          <w:sz w:val="22"/>
          <w:lang w:val="sr-Cyrl-RS" w:eastAsia="en-GB"/>
        </w:rPr>
        <w:t>аштите животне средине.</w:t>
      </w:r>
    </w:p>
    <w:p w14:paraId="70DF07AD" w14:textId="549494EC"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94CDE" w:rsidRPr="00EF2F18">
        <w:rPr>
          <w:rFonts w:cs="Times New Roman"/>
          <w:sz w:val="22"/>
          <w:lang w:val="sr-Cyrl-RS" w:eastAsia="en-GB"/>
        </w:rPr>
        <w:t>р</w:t>
      </w:r>
      <w:r w:rsidR="00E06468" w:rsidRPr="00EF2F18">
        <w:rPr>
          <w:rFonts w:cs="Times New Roman"/>
          <w:sz w:val="22"/>
          <w:lang w:val="sr-Cyrl-RS" w:eastAsia="en-GB"/>
        </w:rPr>
        <w:t>есорна мин</w:t>
      </w:r>
      <w:r w:rsidR="001D7BD2">
        <w:rPr>
          <w:rFonts w:cs="Times New Roman"/>
          <w:sz w:val="22"/>
          <w:lang w:val="sr-Cyrl-RS" w:eastAsia="en-GB"/>
        </w:rPr>
        <w:t>и</w:t>
      </w:r>
      <w:r w:rsidR="00E06468" w:rsidRPr="00EF2F18">
        <w:rPr>
          <w:rFonts w:cs="Times New Roman"/>
          <w:sz w:val="22"/>
          <w:lang w:val="sr-Cyrl-RS" w:eastAsia="en-GB"/>
        </w:rPr>
        <w:t xml:space="preserve">старства </w:t>
      </w:r>
      <w:r w:rsidR="00CB4126" w:rsidRPr="00EF2F18">
        <w:rPr>
          <w:rFonts w:cs="Times New Roman"/>
          <w:sz w:val="22"/>
          <w:lang w:val="sr-Cyrl-RS" w:eastAsia="en-GB"/>
        </w:rPr>
        <w:t>надлежна за</w:t>
      </w:r>
      <w:r w:rsidR="00E06468" w:rsidRPr="00EF2F18">
        <w:rPr>
          <w:rFonts w:cs="Times New Roman"/>
          <w:sz w:val="22"/>
          <w:lang w:val="sr-Cyrl-RS" w:eastAsia="en-GB"/>
        </w:rPr>
        <w:t xml:space="preserve"> просторно планирањ</w:t>
      </w:r>
      <w:r w:rsidR="00CB4126" w:rsidRPr="00EF2F18">
        <w:rPr>
          <w:rFonts w:cs="Times New Roman"/>
          <w:sz w:val="22"/>
          <w:lang w:val="sr-Cyrl-RS" w:eastAsia="en-GB"/>
        </w:rPr>
        <w:t>е</w:t>
      </w:r>
      <w:r w:rsidR="00E06468" w:rsidRPr="00EF2F18">
        <w:rPr>
          <w:rFonts w:cs="Times New Roman"/>
          <w:sz w:val="22"/>
          <w:lang w:val="sr-Cyrl-RS" w:eastAsia="en-GB"/>
        </w:rPr>
        <w:t>, пољопривред</w:t>
      </w:r>
      <w:r w:rsidR="00CB4126" w:rsidRPr="00EF2F18">
        <w:rPr>
          <w:rFonts w:cs="Times New Roman"/>
          <w:sz w:val="22"/>
          <w:lang w:val="sr-Cyrl-RS" w:eastAsia="en-GB"/>
        </w:rPr>
        <w:t>у</w:t>
      </w:r>
      <w:r w:rsidR="00E06468" w:rsidRPr="00EF2F18">
        <w:rPr>
          <w:rFonts w:cs="Times New Roman"/>
          <w:sz w:val="22"/>
          <w:lang w:val="sr-Cyrl-RS" w:eastAsia="en-GB"/>
        </w:rPr>
        <w:t>, шумарств</w:t>
      </w:r>
      <w:r w:rsidR="00CB4126" w:rsidRPr="00EF2F18">
        <w:rPr>
          <w:rFonts w:cs="Times New Roman"/>
          <w:sz w:val="22"/>
          <w:lang w:val="sr-Cyrl-RS" w:eastAsia="en-GB"/>
        </w:rPr>
        <w:t>о</w:t>
      </w:r>
      <w:r w:rsidR="00E06468" w:rsidRPr="00EF2F18">
        <w:rPr>
          <w:rFonts w:cs="Times New Roman"/>
          <w:sz w:val="22"/>
          <w:lang w:val="sr-Cyrl-RS" w:eastAsia="en-GB"/>
        </w:rPr>
        <w:t xml:space="preserve">, </w:t>
      </w:r>
      <w:r w:rsidR="00CB4126" w:rsidRPr="00EF2F18">
        <w:rPr>
          <w:rFonts w:cs="Times New Roman"/>
          <w:sz w:val="22"/>
          <w:lang w:val="sr-Cyrl-RS" w:eastAsia="en-GB"/>
        </w:rPr>
        <w:t>водопривреду</w:t>
      </w:r>
      <w:r w:rsidR="00725B97" w:rsidRPr="00EF2F18">
        <w:rPr>
          <w:rFonts w:cs="Times New Roman"/>
          <w:sz w:val="22"/>
          <w:lang w:val="sr-Cyrl-RS" w:eastAsia="en-GB"/>
        </w:rPr>
        <w:t>,</w:t>
      </w:r>
      <w:r w:rsidR="00CB4126" w:rsidRPr="00EF2F18">
        <w:rPr>
          <w:rFonts w:cs="Times New Roman"/>
          <w:sz w:val="22"/>
          <w:lang w:val="sr-Cyrl-RS" w:eastAsia="en-GB"/>
        </w:rPr>
        <w:t xml:space="preserve"> </w:t>
      </w:r>
      <w:r w:rsidR="00E06468" w:rsidRPr="00EF2F18">
        <w:rPr>
          <w:rFonts w:cs="Times New Roman"/>
          <w:sz w:val="22"/>
          <w:lang w:val="sr-Cyrl-RS" w:eastAsia="en-GB"/>
        </w:rPr>
        <w:t>рударств</w:t>
      </w:r>
      <w:r w:rsidR="00CB4126" w:rsidRPr="00EF2F18">
        <w:rPr>
          <w:rFonts w:cs="Times New Roman"/>
          <w:sz w:val="22"/>
          <w:lang w:val="sr-Cyrl-RS" w:eastAsia="en-GB"/>
        </w:rPr>
        <w:t>о</w:t>
      </w:r>
      <w:r w:rsidR="009B172F" w:rsidRPr="00EF2F18">
        <w:rPr>
          <w:rFonts w:cs="Times New Roman"/>
          <w:sz w:val="22"/>
          <w:lang w:val="sr-Cyrl-RS" w:eastAsia="en-GB"/>
        </w:rPr>
        <w:t xml:space="preserve"> и енергетику</w:t>
      </w:r>
      <w:r w:rsidR="00E06468" w:rsidRPr="00EF2F18">
        <w:rPr>
          <w:rFonts w:cs="Times New Roman"/>
          <w:sz w:val="22"/>
          <w:lang w:val="sr-Cyrl-RS" w:eastAsia="en-GB"/>
        </w:rPr>
        <w:t>, грађевинарств</w:t>
      </w:r>
      <w:r w:rsidR="00CB4126" w:rsidRPr="00EF2F18">
        <w:rPr>
          <w:rFonts w:cs="Times New Roman"/>
          <w:sz w:val="22"/>
          <w:lang w:val="sr-Cyrl-RS" w:eastAsia="en-GB"/>
        </w:rPr>
        <w:t>о</w:t>
      </w:r>
      <w:r w:rsidR="00E06468" w:rsidRPr="00EF2F18">
        <w:rPr>
          <w:rFonts w:cs="Times New Roman"/>
          <w:sz w:val="22"/>
          <w:lang w:val="sr-Cyrl-RS" w:eastAsia="en-GB"/>
        </w:rPr>
        <w:t xml:space="preserve">, саобраћај и </w:t>
      </w:r>
      <w:r w:rsidR="009B172F" w:rsidRPr="00EF2F18">
        <w:rPr>
          <w:rFonts w:cs="Times New Roman"/>
          <w:sz w:val="22"/>
          <w:lang w:val="sr-Cyrl-RS" w:eastAsia="en-GB"/>
        </w:rPr>
        <w:t>инфраструктуру</w:t>
      </w:r>
      <w:r w:rsidR="00A933B5" w:rsidRPr="00EF2F18">
        <w:rPr>
          <w:rFonts w:cs="Times New Roman"/>
          <w:sz w:val="22"/>
          <w:lang w:val="sr-Cyrl-RS" w:eastAsia="en-GB"/>
        </w:rPr>
        <w:t>, туризам</w:t>
      </w:r>
      <w:r w:rsidR="00395E82" w:rsidRPr="00EF2F18">
        <w:rPr>
          <w:rFonts w:cs="Times New Roman"/>
          <w:sz w:val="22"/>
          <w:lang w:val="sr-Cyrl-RS" w:eastAsia="en-GB"/>
        </w:rPr>
        <w:t>, просвету</w:t>
      </w:r>
      <w:r w:rsidR="009B172F" w:rsidRPr="00EF2F18">
        <w:rPr>
          <w:rFonts w:cs="Times New Roman"/>
          <w:sz w:val="22"/>
          <w:lang w:val="sr-Cyrl-RS" w:eastAsia="en-GB"/>
        </w:rPr>
        <w:t xml:space="preserve"> </w:t>
      </w:r>
      <w:r w:rsidR="00E06468" w:rsidRPr="00EF2F18">
        <w:rPr>
          <w:rFonts w:cs="Times New Roman"/>
          <w:sz w:val="22"/>
          <w:lang w:val="sr-Cyrl-RS" w:eastAsia="en-GB"/>
        </w:rPr>
        <w:t>и надлежне државне управе</w:t>
      </w:r>
      <w:r w:rsidR="009B172F" w:rsidRPr="00EF2F18">
        <w:rPr>
          <w:rFonts w:cs="Times New Roman"/>
          <w:sz w:val="22"/>
          <w:lang w:val="sr-Cyrl-RS" w:eastAsia="en-GB"/>
        </w:rPr>
        <w:t>, Републички секретаријат за јавне политике</w:t>
      </w:r>
      <w:r w:rsidR="000F65B5" w:rsidRPr="00EF2F18">
        <w:rPr>
          <w:rFonts w:cs="Times New Roman"/>
          <w:sz w:val="22"/>
          <w:lang w:val="sr-Cyrl-RS" w:eastAsia="en-GB"/>
        </w:rPr>
        <w:t xml:space="preserve">, </w:t>
      </w:r>
      <w:r w:rsidR="000F65B5" w:rsidRPr="00EF2F18">
        <w:rPr>
          <w:bCs/>
          <w:sz w:val="23"/>
          <w:szCs w:val="23"/>
          <w:lang w:val="sr-Cyrl-RS"/>
        </w:rPr>
        <w:t>ЗЗПС, ПЗЗП</w:t>
      </w:r>
      <w:r w:rsidR="00BF2024" w:rsidRPr="00EF2F18">
        <w:rPr>
          <w:bCs/>
          <w:sz w:val="23"/>
          <w:szCs w:val="23"/>
          <w:lang w:val="sr-Cyrl-RS"/>
        </w:rPr>
        <w:t>.</w:t>
      </w:r>
    </w:p>
    <w:p w14:paraId="37366099" w14:textId="52953116"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информативно едукативна</w:t>
      </w:r>
      <w:r w:rsidR="007C4DA2" w:rsidRPr="00EF2F18">
        <w:rPr>
          <w:rFonts w:cs="Times New Roman"/>
          <w:sz w:val="22"/>
          <w:lang w:val="sr-Cyrl-RS" w:eastAsia="en-GB"/>
        </w:rPr>
        <w:t>.</w:t>
      </w:r>
      <w:r w:rsidR="009F7D64" w:rsidRPr="00EF2F18">
        <w:rPr>
          <w:rFonts w:cs="Times New Roman"/>
          <w:sz w:val="22"/>
          <w:lang w:val="sr-Cyrl-RS" w:eastAsia="en-GB"/>
        </w:rPr>
        <w:t xml:space="preserve"> </w:t>
      </w:r>
    </w:p>
    <w:p w14:paraId="6902860F" w14:textId="77777777" w:rsidR="00616DD0" w:rsidRPr="00EF2F18" w:rsidRDefault="00616DD0" w:rsidP="00616DD0">
      <w:pPr>
        <w:spacing w:after="0"/>
        <w:ind w:firstLine="720"/>
        <w:rPr>
          <w:rFonts w:cs="Times New Roman"/>
          <w:sz w:val="22"/>
          <w:lang w:val="sr-Cyrl-RS"/>
        </w:rPr>
      </w:pPr>
    </w:p>
    <w:p w14:paraId="7428DF8C" w14:textId="141909AA" w:rsidR="00616DD0" w:rsidRPr="00EF2F18" w:rsidRDefault="00616DD0" w:rsidP="00616DD0">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4.1.</w:t>
      </w:r>
      <w:r w:rsidR="00725D02" w:rsidRPr="00EF2F18">
        <w:rPr>
          <w:rFonts w:cs="Times New Roman"/>
          <w:b/>
          <w:bCs/>
          <w:sz w:val="22"/>
          <w:lang w:val="sr-Cyrl-RS" w:eastAsia="en-GB"/>
        </w:rPr>
        <w:t>5</w:t>
      </w:r>
      <w:r w:rsidRPr="00EF2F18">
        <w:rPr>
          <w:rFonts w:cs="Times New Roman"/>
          <w:b/>
          <w:bCs/>
          <w:sz w:val="22"/>
          <w:lang w:val="sr-Cyrl-RS" w:eastAsia="en-GB"/>
        </w:rPr>
        <w:t xml:space="preserve">. </w:t>
      </w:r>
      <w:r w:rsidR="000F65B5" w:rsidRPr="00EF2F18">
        <w:rPr>
          <w:rFonts w:cs="Times New Roman"/>
          <w:b/>
          <w:bCs/>
          <w:sz w:val="22"/>
          <w:lang w:val="sr-Cyrl-RS" w:eastAsia="en-GB"/>
        </w:rPr>
        <w:t>Успостављање одрживог коришћења екосистемских услуга и праћење одрживог коришћења изабраних услуга</w:t>
      </w:r>
      <w:r w:rsidR="009A378F" w:rsidRPr="00EF2F18" w:rsidDel="009A378F">
        <w:rPr>
          <w:rFonts w:cs="Times New Roman"/>
          <w:b/>
          <w:bCs/>
          <w:sz w:val="22"/>
          <w:lang w:val="sr-Cyrl-RS" w:eastAsia="en-GB"/>
        </w:rPr>
        <w:t xml:space="preserve"> </w:t>
      </w:r>
    </w:p>
    <w:p w14:paraId="1EAC0095" w14:textId="77777777" w:rsidR="00D83673" w:rsidRPr="00EF2F18" w:rsidRDefault="00D83673" w:rsidP="00CB4126">
      <w:pPr>
        <w:spacing w:after="0"/>
        <w:ind w:firstLine="720"/>
        <w:jc w:val="both"/>
        <w:rPr>
          <w:rFonts w:cs="Times New Roman"/>
          <w:sz w:val="22"/>
          <w:lang w:val="sr-Cyrl-RS"/>
        </w:rPr>
      </w:pPr>
    </w:p>
    <w:p w14:paraId="59893858" w14:textId="341B8437" w:rsidR="00CB4126" w:rsidRPr="00EF2F18" w:rsidRDefault="00CB4126" w:rsidP="00CB4126">
      <w:pPr>
        <w:spacing w:after="0"/>
        <w:ind w:firstLine="720"/>
        <w:jc w:val="both"/>
        <w:rPr>
          <w:rFonts w:cs="Times New Roman"/>
          <w:sz w:val="22"/>
          <w:lang w:val="sr-Cyrl-RS"/>
        </w:rPr>
      </w:pPr>
      <w:r w:rsidRPr="00EF2F18">
        <w:rPr>
          <w:rFonts w:cs="Times New Roman"/>
          <w:sz w:val="22"/>
          <w:lang w:val="sr-Cyrl-RS"/>
        </w:rPr>
        <w:t>Мера подразумева</w:t>
      </w:r>
      <w:r w:rsidR="00E22AA9" w:rsidRPr="00EF2F18">
        <w:rPr>
          <w:rFonts w:cs="Times New Roman"/>
          <w:sz w:val="22"/>
          <w:lang w:val="sr-Cyrl-RS"/>
        </w:rPr>
        <w:t>,</w:t>
      </w:r>
      <w:r w:rsidRPr="00EF2F18">
        <w:rPr>
          <w:rFonts w:cs="Times New Roman"/>
          <w:sz w:val="22"/>
          <w:lang w:val="sr-Cyrl-RS"/>
        </w:rPr>
        <w:t xml:space="preserve"> пре свега</w:t>
      </w:r>
      <w:r w:rsidR="00E22AA9" w:rsidRPr="00EF2F18">
        <w:rPr>
          <w:rFonts w:cs="Times New Roman"/>
          <w:sz w:val="22"/>
          <w:lang w:val="sr-Cyrl-RS"/>
        </w:rPr>
        <w:t>,</w:t>
      </w:r>
      <w:r w:rsidRPr="00EF2F18">
        <w:rPr>
          <w:rFonts w:cs="Times New Roman"/>
          <w:sz w:val="22"/>
          <w:lang w:val="sr-Cyrl-RS"/>
        </w:rPr>
        <w:t xml:space="preserve"> повећање </w:t>
      </w:r>
      <w:r w:rsidR="009A378F" w:rsidRPr="00EF2F18">
        <w:rPr>
          <w:rFonts w:cs="Times New Roman"/>
          <w:sz w:val="22"/>
          <w:lang w:val="sr-Cyrl-RS"/>
        </w:rPr>
        <w:t xml:space="preserve">сазнања </w:t>
      </w:r>
      <w:r w:rsidRPr="00EF2F18">
        <w:rPr>
          <w:rFonts w:cs="Times New Roman"/>
          <w:sz w:val="22"/>
          <w:lang w:val="sr-Cyrl-RS"/>
        </w:rPr>
        <w:t xml:space="preserve">о вредностима заштите природе. Екосистемске услуге се користе за мерење вредности и значаја природних ресурса, тако да је у наредном периоду неопходно је повећати </w:t>
      </w:r>
      <w:r w:rsidR="00E22AA9" w:rsidRPr="00EF2F18">
        <w:rPr>
          <w:rFonts w:cs="Times New Roman"/>
          <w:sz w:val="22"/>
          <w:lang w:val="sr-Cyrl-RS"/>
        </w:rPr>
        <w:t xml:space="preserve">број </w:t>
      </w:r>
      <w:r w:rsidRPr="00EF2F18">
        <w:rPr>
          <w:rFonts w:cs="Times New Roman"/>
          <w:sz w:val="22"/>
          <w:lang w:val="sr-Cyrl-RS"/>
        </w:rPr>
        <w:t xml:space="preserve">реализованих пројеката везаних за процену и праћење стања екосистемских услуга. Осим тога, с обзиром на важност екосистемских услуга за различите области, предложена мера подразумева и укључивање екосистемских услуга у </w:t>
      </w:r>
      <w:r w:rsidR="005D22BB" w:rsidRPr="00EF2F18">
        <w:rPr>
          <w:rFonts w:cs="Times New Roman"/>
          <w:sz w:val="22"/>
          <w:lang w:val="sr-Cyrl-RS"/>
        </w:rPr>
        <w:t xml:space="preserve">релевантне </w:t>
      </w:r>
      <w:r w:rsidRPr="00EF2F18">
        <w:rPr>
          <w:rFonts w:cs="Times New Roman"/>
          <w:sz w:val="22"/>
          <w:lang w:val="sr-Cyrl-RS"/>
        </w:rPr>
        <w:t>прописе, укључујући Закон о заштити природе</w:t>
      </w:r>
      <w:r w:rsidR="00E030C7" w:rsidRPr="00EF2F18">
        <w:rPr>
          <w:rFonts w:cs="Times New Roman"/>
          <w:sz w:val="22"/>
          <w:lang w:val="sr-Cyrl-RS"/>
        </w:rPr>
        <w:t xml:space="preserve"> </w:t>
      </w:r>
      <w:r w:rsidRPr="00EF2F18">
        <w:rPr>
          <w:rFonts w:cs="Times New Roman"/>
          <w:sz w:val="22"/>
          <w:lang w:val="sr-Cyrl-RS"/>
        </w:rPr>
        <w:t>и друге прописе којима се уређује употреба природних ресурса. Такође, неопходно је и дефинисање методологије за процену</w:t>
      </w:r>
      <w:r w:rsidR="00A933B5" w:rsidRPr="00EF2F18">
        <w:rPr>
          <w:rFonts w:cs="Times New Roman"/>
          <w:sz w:val="22"/>
          <w:lang w:val="sr-Cyrl-RS"/>
        </w:rPr>
        <w:t xml:space="preserve"> и праћење стања</w:t>
      </w:r>
      <w:r w:rsidRPr="00EF2F18">
        <w:rPr>
          <w:rFonts w:cs="Times New Roman"/>
          <w:sz w:val="22"/>
          <w:lang w:val="sr-Cyrl-RS"/>
        </w:rPr>
        <w:t xml:space="preserve"> екосистемских услуга.</w:t>
      </w:r>
    </w:p>
    <w:p w14:paraId="407DDEED" w14:textId="0FD1862A"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CB4126"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37DDFF84" w14:textId="1CB1E6F7"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395E82" w:rsidRPr="00EF2F18">
        <w:rPr>
          <w:rFonts w:cs="Times New Roman"/>
          <w:sz w:val="22"/>
          <w:lang w:val="sr-Cyrl-RS" w:eastAsia="en-GB"/>
        </w:rPr>
        <w:t xml:space="preserve">Управа за шуме, </w:t>
      </w:r>
      <w:r w:rsidR="00CB4126" w:rsidRPr="00EF2F18">
        <w:rPr>
          <w:rFonts w:cs="Times New Roman"/>
          <w:sz w:val="22"/>
          <w:lang w:val="sr-Cyrl-RS" w:eastAsia="en-GB"/>
        </w:rPr>
        <w:t>Завод за заштиту природе Србије, Покрајински завод за заштиту природе</w:t>
      </w:r>
      <w:r w:rsidR="00891D8A" w:rsidRPr="00EF2F18">
        <w:rPr>
          <w:rFonts w:cs="Times New Roman"/>
          <w:sz w:val="22"/>
          <w:lang w:val="sr-Cyrl-RS" w:eastAsia="en-GB"/>
        </w:rPr>
        <w:t>.</w:t>
      </w:r>
    </w:p>
    <w:p w14:paraId="5AA0477D" w14:textId="4F5FA33E" w:rsidR="00616DD0"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CB4126" w:rsidRPr="00EF2F18">
        <w:rPr>
          <w:rFonts w:cs="Times New Roman"/>
          <w:sz w:val="22"/>
          <w:lang w:val="sr-Cyrl-RS" w:eastAsia="en-GB"/>
        </w:rPr>
        <w:t>информативно едукативна</w:t>
      </w:r>
      <w:r w:rsidR="007C4DA2" w:rsidRPr="00EF2F18">
        <w:rPr>
          <w:rFonts w:cs="Times New Roman"/>
          <w:sz w:val="22"/>
          <w:lang w:val="sr-Cyrl-RS" w:eastAsia="en-GB"/>
        </w:rPr>
        <w:t>.</w:t>
      </w:r>
    </w:p>
    <w:p w14:paraId="230654EC" w14:textId="678D6EE7" w:rsidR="00753384" w:rsidRDefault="00753384" w:rsidP="00616DD0">
      <w:pPr>
        <w:spacing w:after="0"/>
        <w:ind w:firstLine="720"/>
        <w:jc w:val="both"/>
        <w:rPr>
          <w:rFonts w:cs="Times New Roman"/>
          <w:sz w:val="22"/>
          <w:lang w:val="sr-Cyrl-RS" w:eastAsia="en-GB"/>
        </w:rPr>
      </w:pPr>
    </w:p>
    <w:p w14:paraId="37E48E20" w14:textId="77777777" w:rsidR="00753384" w:rsidRPr="00EF2F18" w:rsidRDefault="00753384" w:rsidP="00616DD0">
      <w:pPr>
        <w:spacing w:after="0"/>
        <w:ind w:firstLine="720"/>
        <w:jc w:val="both"/>
        <w:rPr>
          <w:rFonts w:cs="Times New Roman"/>
          <w:sz w:val="22"/>
          <w:lang w:val="sr-Cyrl-RS" w:eastAsia="en-GB"/>
        </w:rPr>
      </w:pPr>
    </w:p>
    <w:p w14:paraId="1D4925DC" w14:textId="77777777" w:rsidR="00137F89" w:rsidRPr="00EF2F18" w:rsidRDefault="00137F89" w:rsidP="00137F89">
      <w:pPr>
        <w:pStyle w:val="PlainText"/>
        <w:rPr>
          <w:rFonts w:ascii="Times New Roman" w:hAnsi="Times New Roman" w:cs="Times New Roman"/>
          <w:b/>
          <w:bCs/>
          <w:sz w:val="22"/>
          <w:szCs w:val="22"/>
          <w:lang w:val="sr-Cyrl-RS"/>
        </w:rPr>
      </w:pPr>
    </w:p>
    <w:p w14:paraId="1A3E3CC5" w14:textId="4F0C234C" w:rsidR="00137F89" w:rsidRPr="00EF2F18" w:rsidRDefault="00137F89" w:rsidP="00137F89">
      <w:pPr>
        <w:pBdr>
          <w:top w:val="single" w:sz="4" w:space="0"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lastRenderedPageBreak/>
        <w:t>Мера 4.1.</w:t>
      </w:r>
      <w:r w:rsidR="00725D02" w:rsidRPr="00EF2F18">
        <w:rPr>
          <w:rFonts w:cs="Times New Roman"/>
          <w:b/>
          <w:bCs/>
          <w:sz w:val="22"/>
          <w:lang w:val="sr-Cyrl-RS" w:eastAsia="en-GB"/>
        </w:rPr>
        <w:t>6</w:t>
      </w:r>
      <w:r w:rsidRPr="00EF2F18">
        <w:rPr>
          <w:rFonts w:cs="Times New Roman"/>
          <w:b/>
          <w:bCs/>
          <w:sz w:val="22"/>
          <w:lang w:val="sr-Cyrl-RS" w:eastAsia="en-GB"/>
        </w:rPr>
        <w:t>.</w:t>
      </w:r>
      <w:r w:rsidRPr="00EF2F18">
        <w:rPr>
          <w:rFonts w:cs="Times New Roman"/>
          <w:b/>
          <w:bCs/>
          <w:sz w:val="22"/>
          <w:lang w:val="sr-Cyrl-RS"/>
        </w:rPr>
        <w:t xml:space="preserve"> Успостављање праћења утицаја климатских промена на биодиверзитет и утицај биодиверзитета на ублажавање ефеката климатских промена</w:t>
      </w:r>
    </w:p>
    <w:p w14:paraId="3E0FD328" w14:textId="77777777" w:rsidR="00D83673" w:rsidRPr="00EF2F18" w:rsidRDefault="00D83673" w:rsidP="00137F89">
      <w:pPr>
        <w:pStyle w:val="PlainText"/>
        <w:ind w:firstLine="708"/>
        <w:jc w:val="both"/>
        <w:rPr>
          <w:rFonts w:ascii="Times New Roman" w:hAnsi="Times New Roman" w:cs="Times New Roman"/>
          <w:sz w:val="22"/>
          <w:szCs w:val="22"/>
          <w:lang w:val="sr-Cyrl-RS"/>
        </w:rPr>
      </w:pPr>
    </w:p>
    <w:p w14:paraId="107CD7BB" w14:textId="479F1C5C" w:rsidR="00137F89" w:rsidRPr="00EF2F18" w:rsidRDefault="00137F89" w:rsidP="00137F89">
      <w:pPr>
        <w:pStyle w:val="PlainText"/>
        <w:ind w:firstLine="708"/>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 xml:space="preserve">Климатске промене и биодиверзитет су узајамно повезани. Очување природних екосистема и обнављање деградираних екосистема (укључујући и њихову генетичку разноврсност и разноврсност врста) је од суштинског значаја за циљеве УН Конвенције о биолошкој разноврсности као и Оквирне Конвенције </w:t>
      </w:r>
      <w:r w:rsidR="00293FD3" w:rsidRPr="00EF2F18">
        <w:rPr>
          <w:rFonts w:ascii="Times New Roman" w:hAnsi="Times New Roman" w:cs="Times New Roman"/>
          <w:sz w:val="22"/>
          <w:szCs w:val="22"/>
          <w:lang w:val="sr-Cyrl-RS"/>
        </w:rPr>
        <w:t>УН о</w:t>
      </w:r>
      <w:r w:rsidRPr="00EF2F18">
        <w:rPr>
          <w:rFonts w:ascii="Times New Roman" w:hAnsi="Times New Roman" w:cs="Times New Roman"/>
          <w:sz w:val="22"/>
          <w:szCs w:val="22"/>
          <w:lang w:val="sr-Cyrl-RS"/>
        </w:rPr>
        <w:t xml:space="preserve"> промени климе, јер екосистеми имају кључну улогу у глобалном циклусу угљеника и прилагођавању на климатске промене, док истовремено обезбеђују широк низ услуга екосистема које су од суштинског значаја за добробит и развој човека.</w:t>
      </w:r>
      <w:r w:rsidR="00293FD3" w:rsidRPr="00EF2F18">
        <w:rPr>
          <w:rFonts w:ascii="Times New Roman" w:hAnsi="Times New Roman" w:cs="Times New Roman"/>
          <w:sz w:val="22"/>
          <w:szCs w:val="22"/>
          <w:lang w:val="sr-Cyrl-RS"/>
        </w:rPr>
        <w:t xml:space="preserve"> О</w:t>
      </w:r>
      <w:r w:rsidRPr="00EF2F18">
        <w:rPr>
          <w:rFonts w:ascii="Times New Roman" w:hAnsi="Times New Roman" w:cs="Times New Roman"/>
          <w:sz w:val="22"/>
          <w:szCs w:val="22"/>
          <w:lang w:val="sr-Cyrl-RS"/>
        </w:rPr>
        <w:t xml:space="preserve">чување биодиверзитета може у великој мери да допринесе ублажавању негативних ефеката климатских промена. </w:t>
      </w:r>
    </w:p>
    <w:p w14:paraId="31CE61B8" w14:textId="56853479" w:rsidR="00A933B5" w:rsidRPr="00EF2F18" w:rsidRDefault="00A933B5" w:rsidP="00137F89">
      <w:pPr>
        <w:pStyle w:val="PlainText"/>
        <w:ind w:firstLine="708"/>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Потребно је дефинисање методологија и индикатора на којима се врши праћење утицаја климатских промена. Потребно је успостављање нових индикатора за осетљиве/отпорне врсте флоре и фауне на климатске промене.</w:t>
      </w:r>
    </w:p>
    <w:p w14:paraId="6600F50A" w14:textId="5B74C7A1" w:rsidR="003D012D" w:rsidRPr="00EF2F18" w:rsidRDefault="003D012D" w:rsidP="006B4DF8">
      <w:pPr>
        <w:pStyle w:val="PlainText"/>
        <w:ind w:firstLine="708"/>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Потребно је развијање специфичних мера заштита врста и станишта осетљивих на климатске промене и спровођење мера прилагођавања и ублажавања ефеката климатских промена на природне екосистеме и дивље врсте флоре и фауне. П</w:t>
      </w:r>
      <w:r w:rsidR="00293FD3" w:rsidRPr="00EF2F18">
        <w:rPr>
          <w:rFonts w:ascii="Times New Roman" w:hAnsi="Times New Roman" w:cs="Times New Roman"/>
          <w:sz w:val="22"/>
          <w:szCs w:val="22"/>
          <w:lang w:val="sr-Cyrl-RS"/>
        </w:rPr>
        <w:t>о</w:t>
      </w:r>
      <w:r w:rsidRPr="00EF2F18">
        <w:rPr>
          <w:rFonts w:ascii="Times New Roman" w:hAnsi="Times New Roman" w:cs="Times New Roman"/>
          <w:sz w:val="22"/>
          <w:szCs w:val="22"/>
          <w:lang w:val="sr-Cyrl-RS"/>
        </w:rPr>
        <w:t>требна је примена решења блиских природи (</w:t>
      </w:r>
      <w:r w:rsidRPr="00EF2F18">
        <w:rPr>
          <w:rFonts w:ascii="Times New Roman" w:hAnsi="Times New Roman" w:cs="Times New Roman"/>
          <w:i/>
          <w:iCs/>
          <w:sz w:val="22"/>
          <w:szCs w:val="22"/>
          <w:lang w:val="sr-Cyrl-RS"/>
        </w:rPr>
        <w:t>Nature based solutions</w:t>
      </w:r>
      <w:r w:rsidRPr="00EF2F18">
        <w:rPr>
          <w:rFonts w:ascii="Times New Roman" w:hAnsi="Times New Roman" w:cs="Times New Roman"/>
          <w:sz w:val="22"/>
          <w:szCs w:val="22"/>
          <w:lang w:val="sr-Cyrl-RS"/>
        </w:rPr>
        <w:t xml:space="preserve">). </w:t>
      </w:r>
    </w:p>
    <w:p w14:paraId="09A1F762" w14:textId="0D3AB03A" w:rsidR="00137F89" w:rsidRPr="00EF2F18" w:rsidRDefault="00137F89" w:rsidP="00CB74C9">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Надлежна институција</w:t>
      </w:r>
      <w:r w:rsidRPr="00EF2F18">
        <w:rPr>
          <w:rFonts w:ascii="Times New Roman" w:hAnsi="Times New Roman" w:cs="Times New Roman"/>
          <w:sz w:val="22"/>
          <w:szCs w:val="22"/>
          <w:lang w:val="sr-Cyrl-RS"/>
        </w:rPr>
        <w:t>: Министарство заштите животне средине</w:t>
      </w:r>
      <w:r w:rsidR="00891D8A" w:rsidRPr="00EF2F18">
        <w:rPr>
          <w:rFonts w:ascii="Times New Roman" w:hAnsi="Times New Roman" w:cs="Times New Roman"/>
          <w:sz w:val="22"/>
          <w:szCs w:val="22"/>
          <w:lang w:val="sr-Cyrl-RS"/>
        </w:rPr>
        <w:t>.</w:t>
      </w:r>
    </w:p>
    <w:p w14:paraId="259C0F05" w14:textId="13B72A08" w:rsidR="00137F89" w:rsidRPr="00EF2F18" w:rsidRDefault="00137F89" w:rsidP="00CB74C9">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Партнери у спровођењу</w:t>
      </w:r>
      <w:r w:rsidRPr="00EF2F18">
        <w:rPr>
          <w:rFonts w:ascii="Times New Roman" w:hAnsi="Times New Roman" w:cs="Times New Roman"/>
          <w:sz w:val="22"/>
          <w:szCs w:val="22"/>
          <w:lang w:val="sr-Cyrl-RS"/>
        </w:rPr>
        <w:t>: Министарство рударства и енергетике, Агенција за заштиту животне средине, Завод за заштиту природе Србије, Покрајински завод за заштиту природе, управљачи заштићених природних добара</w:t>
      </w:r>
      <w:r w:rsidR="00891D8A" w:rsidRPr="00EF2F18">
        <w:rPr>
          <w:rFonts w:ascii="Times New Roman" w:hAnsi="Times New Roman" w:cs="Times New Roman"/>
          <w:sz w:val="22"/>
          <w:szCs w:val="22"/>
          <w:lang w:val="sr-Cyrl-RS"/>
        </w:rPr>
        <w:t>.</w:t>
      </w:r>
    </w:p>
    <w:p w14:paraId="6EF8F0EE" w14:textId="621B7DC4" w:rsidR="00137F89" w:rsidRPr="00EF2F18" w:rsidRDefault="00137F89" w:rsidP="00CB74C9">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sz w:val="22"/>
          <w:szCs w:val="22"/>
          <w:lang w:val="sr-Cyrl-RS"/>
        </w:rPr>
        <w:t>Врста мере:</w:t>
      </w:r>
      <w:r w:rsidRPr="00EF2F18">
        <w:rPr>
          <w:rFonts w:ascii="Times New Roman" w:hAnsi="Times New Roman" w:cs="Times New Roman"/>
          <w:sz w:val="22"/>
          <w:szCs w:val="22"/>
          <w:lang w:val="sr-Cyrl-RS"/>
        </w:rPr>
        <w:t xml:space="preserve"> регулаторна</w:t>
      </w:r>
      <w:r w:rsidR="006C2E00" w:rsidRPr="00EF2F18">
        <w:rPr>
          <w:rFonts w:ascii="Times New Roman" w:hAnsi="Times New Roman" w:cs="Times New Roman"/>
          <w:sz w:val="22"/>
          <w:szCs w:val="22"/>
          <w:lang w:val="sr-Cyrl-RS"/>
        </w:rPr>
        <w:t>.</w:t>
      </w:r>
    </w:p>
    <w:p w14:paraId="2BC2C2C1" w14:textId="77777777" w:rsidR="00137F89" w:rsidRPr="00EF2F18" w:rsidRDefault="00137F89" w:rsidP="00137F89">
      <w:pPr>
        <w:pStyle w:val="PlainText"/>
        <w:jc w:val="both"/>
        <w:rPr>
          <w:rFonts w:ascii="Times New Roman" w:hAnsi="Times New Roman" w:cs="Times New Roman"/>
          <w:b/>
          <w:bCs/>
          <w:sz w:val="22"/>
          <w:szCs w:val="22"/>
          <w:highlight w:val="green"/>
          <w:lang w:val="sr-Cyrl-RS"/>
        </w:rPr>
      </w:pPr>
    </w:p>
    <w:p w14:paraId="193B971D" w14:textId="4C91CC35" w:rsidR="00137F89" w:rsidRPr="00EF2F18" w:rsidRDefault="00137F89" w:rsidP="00137F89">
      <w:pPr>
        <w:pBdr>
          <w:top w:val="single" w:sz="4" w:space="0" w:color="auto"/>
          <w:left w:val="single" w:sz="4" w:space="4" w:color="auto"/>
          <w:bottom w:val="single" w:sz="4" w:space="1" w:color="auto"/>
          <w:right w:val="single" w:sz="4" w:space="4" w:color="auto"/>
        </w:pBdr>
        <w:spacing w:after="0"/>
        <w:jc w:val="both"/>
        <w:rPr>
          <w:rFonts w:cs="Times New Roman"/>
          <w:sz w:val="22"/>
          <w:lang w:val="sr-Cyrl-RS"/>
        </w:rPr>
      </w:pPr>
      <w:r w:rsidRPr="00EF2F18">
        <w:rPr>
          <w:rFonts w:cs="Times New Roman"/>
          <w:b/>
          <w:bCs/>
          <w:sz w:val="22"/>
          <w:lang w:val="sr-Cyrl-RS" w:eastAsia="en-GB"/>
        </w:rPr>
        <w:t>Мера 4.1.</w:t>
      </w:r>
      <w:r w:rsidR="00725D02" w:rsidRPr="00EF2F18">
        <w:rPr>
          <w:rFonts w:cs="Times New Roman"/>
          <w:b/>
          <w:bCs/>
          <w:sz w:val="22"/>
          <w:lang w:val="sr-Cyrl-RS" w:eastAsia="en-GB"/>
        </w:rPr>
        <w:t>7</w:t>
      </w:r>
      <w:r w:rsidRPr="00EF2F18">
        <w:rPr>
          <w:rFonts w:cs="Times New Roman"/>
          <w:b/>
          <w:bCs/>
          <w:sz w:val="22"/>
          <w:lang w:val="sr-Cyrl-RS" w:eastAsia="en-GB"/>
        </w:rPr>
        <w:t>.</w:t>
      </w:r>
      <w:r w:rsidRPr="00EF2F18">
        <w:rPr>
          <w:rFonts w:cs="Times New Roman"/>
          <w:b/>
          <w:bCs/>
          <w:sz w:val="22"/>
          <w:lang w:val="sr-Cyrl-RS"/>
        </w:rPr>
        <w:t xml:space="preserve"> </w:t>
      </w:r>
      <w:r w:rsidR="00566B8A" w:rsidRPr="00EF2F18">
        <w:rPr>
          <w:rFonts w:cs="Times New Roman"/>
          <w:b/>
          <w:bCs/>
          <w:sz w:val="22"/>
          <w:lang w:val="sr-Cyrl-RS"/>
        </w:rPr>
        <w:t xml:space="preserve">Унапређење правног оквира усклађивањем са међународним уговорима и законодавством Европске уније у области заштите </w:t>
      </w:r>
      <w:r w:rsidR="005D22BB" w:rsidRPr="00EF2F18">
        <w:rPr>
          <w:rFonts w:cs="Times New Roman"/>
          <w:b/>
          <w:bCs/>
          <w:sz w:val="22"/>
          <w:lang w:val="sr-Cyrl-RS"/>
        </w:rPr>
        <w:t>природе</w:t>
      </w:r>
    </w:p>
    <w:p w14:paraId="148D41CC" w14:textId="77777777" w:rsidR="00D83673" w:rsidRPr="00EF2F18" w:rsidRDefault="00D83673" w:rsidP="006B4DF8">
      <w:pPr>
        <w:pStyle w:val="PlainText"/>
        <w:ind w:firstLine="720"/>
        <w:jc w:val="both"/>
        <w:rPr>
          <w:rFonts w:ascii="Times New Roman" w:hAnsi="Times New Roman" w:cs="Times New Roman"/>
          <w:sz w:val="22"/>
          <w:szCs w:val="22"/>
          <w:lang w:val="sr-Cyrl-RS"/>
        </w:rPr>
      </w:pPr>
    </w:p>
    <w:p w14:paraId="2BB9FB95" w14:textId="0024884A" w:rsidR="00137F89" w:rsidRPr="00EF2F18" w:rsidRDefault="003D012D" w:rsidP="006B4DF8">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sz w:val="22"/>
          <w:szCs w:val="22"/>
          <w:lang w:val="sr-Cyrl-RS"/>
        </w:rPr>
        <w:t>Овом мером потребно је у</w:t>
      </w:r>
      <w:r w:rsidR="00137F89" w:rsidRPr="00EF2F18">
        <w:rPr>
          <w:rFonts w:ascii="Times New Roman" w:hAnsi="Times New Roman" w:cs="Times New Roman"/>
          <w:sz w:val="22"/>
          <w:szCs w:val="22"/>
          <w:lang w:val="sr-Cyrl-RS"/>
        </w:rPr>
        <w:t>склађивање националних прописа и</w:t>
      </w:r>
      <w:r w:rsidR="005E5FF9" w:rsidRPr="00EF2F18">
        <w:rPr>
          <w:rFonts w:ascii="Times New Roman" w:hAnsi="Times New Roman" w:cs="Times New Roman"/>
          <w:sz w:val="22"/>
          <w:szCs w:val="22"/>
          <w:lang w:val="sr-Cyrl-RS"/>
        </w:rPr>
        <w:t xml:space="preserve"> </w:t>
      </w:r>
      <w:r w:rsidR="00137F89" w:rsidRPr="00EF2F18">
        <w:rPr>
          <w:rFonts w:ascii="Times New Roman" w:hAnsi="Times New Roman" w:cs="Times New Roman"/>
          <w:sz w:val="22"/>
          <w:szCs w:val="22"/>
          <w:lang w:val="sr-Cyrl-RS"/>
        </w:rPr>
        <w:t>имплементације</w:t>
      </w:r>
      <w:r w:rsidR="005E5FF9" w:rsidRPr="00EF2F18">
        <w:rPr>
          <w:rFonts w:ascii="Times New Roman" w:hAnsi="Times New Roman" w:cs="Times New Roman"/>
          <w:sz w:val="22"/>
          <w:szCs w:val="22"/>
          <w:lang w:val="sr-Cyrl-RS"/>
        </w:rPr>
        <w:t xml:space="preserve"> </w:t>
      </w:r>
      <w:r w:rsidR="00137F89" w:rsidRPr="00EF2F18">
        <w:rPr>
          <w:rFonts w:ascii="Times New Roman" w:hAnsi="Times New Roman" w:cs="Times New Roman"/>
          <w:sz w:val="22"/>
          <w:szCs w:val="22"/>
          <w:lang w:val="sr-Cyrl-RS"/>
        </w:rPr>
        <w:t>глобалних међународних уговора</w:t>
      </w:r>
      <w:r w:rsidR="005E5FF9" w:rsidRPr="00EF2F18">
        <w:rPr>
          <w:rFonts w:ascii="Times New Roman" w:hAnsi="Times New Roman" w:cs="Times New Roman"/>
          <w:sz w:val="22"/>
          <w:szCs w:val="22"/>
          <w:lang w:val="sr-Cyrl-RS"/>
        </w:rPr>
        <w:t xml:space="preserve"> </w:t>
      </w:r>
      <w:r w:rsidR="00137F89" w:rsidRPr="00EF2F18">
        <w:rPr>
          <w:rFonts w:ascii="Times New Roman" w:hAnsi="Times New Roman" w:cs="Times New Roman"/>
          <w:sz w:val="22"/>
          <w:szCs w:val="22"/>
          <w:lang w:val="sr-Cyrl-RS"/>
        </w:rPr>
        <w:t>о заштити животне средине у области биодиверзитета</w:t>
      </w:r>
      <w:r w:rsidRPr="00EF2F18">
        <w:rPr>
          <w:rFonts w:ascii="Times New Roman" w:hAnsi="Times New Roman" w:cs="Times New Roman"/>
          <w:sz w:val="22"/>
          <w:szCs w:val="22"/>
          <w:lang w:val="sr-Cyrl-RS"/>
        </w:rPr>
        <w:t>. Мера такође подразумева у</w:t>
      </w:r>
      <w:r w:rsidR="00137F89" w:rsidRPr="00EF2F18">
        <w:rPr>
          <w:rFonts w:ascii="Times New Roman" w:hAnsi="Times New Roman" w:cs="Times New Roman"/>
          <w:sz w:val="22"/>
          <w:szCs w:val="22"/>
          <w:lang w:val="sr-Cyrl-RS"/>
        </w:rPr>
        <w:t>склађивање секторских прописа са ЕУ о заштити животне средине у области заштите природе</w:t>
      </w:r>
      <w:r w:rsidRPr="00EF2F18">
        <w:rPr>
          <w:rFonts w:ascii="Times New Roman" w:hAnsi="Times New Roman" w:cs="Times New Roman"/>
          <w:sz w:val="22"/>
          <w:szCs w:val="22"/>
          <w:lang w:val="sr-Cyrl-RS"/>
        </w:rPr>
        <w:t>. Важно је п</w:t>
      </w:r>
      <w:r w:rsidR="00137F89" w:rsidRPr="00EF2F18">
        <w:rPr>
          <w:rFonts w:ascii="Times New Roman" w:hAnsi="Times New Roman" w:cs="Times New Roman"/>
          <w:sz w:val="22"/>
          <w:szCs w:val="22"/>
          <w:lang w:val="sr-Cyrl-RS"/>
        </w:rPr>
        <w:t>раћење</w:t>
      </w:r>
      <w:r w:rsidR="005E5FF9" w:rsidRPr="00EF2F18">
        <w:rPr>
          <w:rFonts w:ascii="Times New Roman" w:hAnsi="Times New Roman" w:cs="Times New Roman"/>
          <w:sz w:val="22"/>
          <w:szCs w:val="22"/>
          <w:lang w:val="sr-Cyrl-RS"/>
        </w:rPr>
        <w:t xml:space="preserve"> </w:t>
      </w:r>
      <w:r w:rsidR="00137F89" w:rsidRPr="00EF2F18">
        <w:rPr>
          <w:rFonts w:ascii="Times New Roman" w:hAnsi="Times New Roman" w:cs="Times New Roman"/>
          <w:sz w:val="22"/>
          <w:szCs w:val="22"/>
          <w:lang w:val="sr-Cyrl-RS"/>
        </w:rPr>
        <w:t>имплементације међунарoдних уговора Савета Европе</w:t>
      </w:r>
      <w:r w:rsidRPr="00EF2F18">
        <w:rPr>
          <w:rFonts w:ascii="Times New Roman" w:hAnsi="Times New Roman" w:cs="Times New Roman"/>
          <w:sz w:val="22"/>
          <w:szCs w:val="22"/>
          <w:lang w:val="sr-Cyrl-RS"/>
        </w:rPr>
        <w:t xml:space="preserve"> и у</w:t>
      </w:r>
      <w:r w:rsidR="00137F89" w:rsidRPr="00EF2F18">
        <w:rPr>
          <w:rFonts w:ascii="Times New Roman" w:hAnsi="Times New Roman" w:cs="Times New Roman"/>
          <w:sz w:val="22"/>
          <w:szCs w:val="22"/>
          <w:lang w:val="sr-Cyrl-RS"/>
        </w:rPr>
        <w:t xml:space="preserve">чешће у раду Регионалне радне групе за биодиверзитет за Југоисточну </w:t>
      </w:r>
      <w:r w:rsidRPr="00EF2F18">
        <w:rPr>
          <w:rFonts w:ascii="Times New Roman" w:hAnsi="Times New Roman" w:cs="Times New Roman"/>
          <w:sz w:val="22"/>
          <w:szCs w:val="22"/>
          <w:lang w:val="sr-Cyrl-RS"/>
        </w:rPr>
        <w:t>Е</w:t>
      </w:r>
      <w:r w:rsidR="00137F89" w:rsidRPr="00EF2F18">
        <w:rPr>
          <w:rFonts w:ascii="Times New Roman" w:hAnsi="Times New Roman" w:cs="Times New Roman"/>
          <w:sz w:val="22"/>
          <w:szCs w:val="22"/>
          <w:lang w:val="sr-Cyrl-RS"/>
        </w:rPr>
        <w:t>вропу</w:t>
      </w:r>
      <w:r w:rsidR="005E5FF9" w:rsidRPr="00EF2F18">
        <w:rPr>
          <w:rFonts w:ascii="Times New Roman" w:hAnsi="Times New Roman" w:cs="Times New Roman"/>
          <w:sz w:val="22"/>
          <w:szCs w:val="22"/>
          <w:lang w:val="sr-Cyrl-RS"/>
        </w:rPr>
        <w:t xml:space="preserve"> </w:t>
      </w:r>
      <w:r w:rsidR="00137F89" w:rsidRPr="00EF2F18">
        <w:rPr>
          <w:rFonts w:ascii="Times New Roman" w:hAnsi="Times New Roman" w:cs="Times New Roman"/>
          <w:sz w:val="22"/>
          <w:szCs w:val="22"/>
          <w:lang w:val="sr-Cyrl-RS"/>
        </w:rPr>
        <w:t>која је носилац имплементације стуба за биодиверзитет у оквиру Зелена агенда</w:t>
      </w:r>
      <w:r w:rsidR="00293FD3" w:rsidRPr="00EF2F18">
        <w:rPr>
          <w:rFonts w:ascii="Times New Roman" w:hAnsi="Times New Roman" w:cs="Times New Roman"/>
          <w:sz w:val="22"/>
          <w:szCs w:val="22"/>
          <w:lang w:val="sr-Cyrl-RS"/>
        </w:rPr>
        <w:t>.</w:t>
      </w:r>
    </w:p>
    <w:p w14:paraId="6F622EB9" w14:textId="601C631F" w:rsidR="00137F89" w:rsidRPr="00EF2F18" w:rsidRDefault="00137F89" w:rsidP="00CB74C9">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Надлежна институција</w:t>
      </w:r>
      <w:r w:rsidRPr="00EF2F18">
        <w:rPr>
          <w:rFonts w:ascii="Times New Roman" w:hAnsi="Times New Roman" w:cs="Times New Roman"/>
          <w:sz w:val="22"/>
          <w:szCs w:val="22"/>
          <w:lang w:val="sr-Cyrl-RS"/>
        </w:rPr>
        <w:t>: Министарство заштите животне средине</w:t>
      </w:r>
      <w:r w:rsidR="00891D8A" w:rsidRPr="00EF2F18">
        <w:rPr>
          <w:rFonts w:ascii="Times New Roman" w:hAnsi="Times New Roman" w:cs="Times New Roman"/>
          <w:sz w:val="22"/>
          <w:szCs w:val="22"/>
          <w:lang w:val="sr-Cyrl-RS"/>
        </w:rPr>
        <w:t>.</w:t>
      </w:r>
    </w:p>
    <w:p w14:paraId="24A7745B" w14:textId="59814719" w:rsidR="00137F89" w:rsidRPr="00EF2F18" w:rsidRDefault="00137F89" w:rsidP="00CB74C9">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Партнери у спровођењу</w:t>
      </w:r>
      <w:r w:rsidRPr="00EF2F18">
        <w:rPr>
          <w:rFonts w:ascii="Times New Roman" w:hAnsi="Times New Roman" w:cs="Times New Roman"/>
          <w:sz w:val="22"/>
          <w:szCs w:val="22"/>
          <w:lang w:val="sr-Cyrl-RS"/>
        </w:rPr>
        <w:t>: Министарство спољних послова</w:t>
      </w:r>
      <w:r w:rsidR="00395E82" w:rsidRPr="00EF2F18">
        <w:rPr>
          <w:rFonts w:ascii="Times New Roman" w:hAnsi="Times New Roman" w:cs="Times New Roman"/>
          <w:sz w:val="22"/>
          <w:szCs w:val="22"/>
          <w:lang w:val="sr-Cyrl-RS"/>
        </w:rPr>
        <w:t>,</w:t>
      </w:r>
      <w:r w:rsidRPr="00EF2F18">
        <w:rPr>
          <w:rFonts w:ascii="Times New Roman" w:hAnsi="Times New Roman" w:cs="Times New Roman"/>
          <w:sz w:val="22"/>
          <w:szCs w:val="22"/>
          <w:lang w:val="sr-Cyrl-RS"/>
        </w:rPr>
        <w:t xml:space="preserve"> Министарство </w:t>
      </w:r>
      <w:r w:rsidR="00395E82" w:rsidRPr="00EF2F18">
        <w:rPr>
          <w:rFonts w:ascii="Times New Roman" w:hAnsi="Times New Roman" w:cs="Times New Roman"/>
          <w:sz w:val="22"/>
          <w:szCs w:val="22"/>
          <w:lang w:val="sr-Cyrl-RS"/>
        </w:rPr>
        <w:t xml:space="preserve">за </w:t>
      </w:r>
      <w:r w:rsidRPr="00EF2F18">
        <w:rPr>
          <w:rFonts w:ascii="Times New Roman" w:hAnsi="Times New Roman" w:cs="Times New Roman"/>
          <w:sz w:val="22"/>
          <w:szCs w:val="22"/>
          <w:lang w:val="sr-Cyrl-RS"/>
        </w:rPr>
        <w:t>европск</w:t>
      </w:r>
      <w:r w:rsidR="00395E82" w:rsidRPr="00EF2F18">
        <w:rPr>
          <w:rFonts w:ascii="Times New Roman" w:hAnsi="Times New Roman" w:cs="Times New Roman"/>
          <w:sz w:val="22"/>
          <w:szCs w:val="22"/>
          <w:lang w:val="sr-Cyrl-RS"/>
        </w:rPr>
        <w:t>е</w:t>
      </w:r>
      <w:r w:rsidRPr="00EF2F18">
        <w:rPr>
          <w:rFonts w:ascii="Times New Roman" w:hAnsi="Times New Roman" w:cs="Times New Roman"/>
          <w:sz w:val="22"/>
          <w:szCs w:val="22"/>
          <w:lang w:val="sr-Cyrl-RS"/>
        </w:rPr>
        <w:t xml:space="preserve"> </w:t>
      </w:r>
      <w:r w:rsidR="00395E82" w:rsidRPr="00EF2F18">
        <w:rPr>
          <w:rFonts w:ascii="Times New Roman" w:hAnsi="Times New Roman" w:cs="Times New Roman"/>
          <w:sz w:val="22"/>
          <w:szCs w:val="22"/>
          <w:lang w:val="sr-Cyrl-RS"/>
        </w:rPr>
        <w:t>интеграције</w:t>
      </w:r>
      <w:r w:rsidR="00141F55">
        <w:rPr>
          <w:rFonts w:ascii="Times New Roman" w:hAnsi="Times New Roman" w:cs="Times New Roman"/>
          <w:sz w:val="22"/>
          <w:szCs w:val="22"/>
          <w:lang w:val="sr-Cyrl-RS"/>
        </w:rPr>
        <w:t>, Агенција за заштиту жи</w:t>
      </w:r>
      <w:r w:rsidRPr="00EF2F18">
        <w:rPr>
          <w:rFonts w:ascii="Times New Roman" w:hAnsi="Times New Roman" w:cs="Times New Roman"/>
          <w:sz w:val="22"/>
          <w:szCs w:val="22"/>
          <w:lang w:val="sr-Cyrl-RS"/>
        </w:rPr>
        <w:t>вотне средине, Завод за заштиту природе Србије, Покрајински завод за заштиту природе</w:t>
      </w:r>
      <w:r w:rsidR="00891D8A" w:rsidRPr="00EF2F18">
        <w:rPr>
          <w:rFonts w:ascii="Times New Roman" w:hAnsi="Times New Roman" w:cs="Times New Roman"/>
          <w:sz w:val="22"/>
          <w:szCs w:val="22"/>
          <w:lang w:val="sr-Cyrl-RS"/>
        </w:rPr>
        <w:t>.</w:t>
      </w:r>
    </w:p>
    <w:p w14:paraId="4727985B" w14:textId="53B4C110" w:rsidR="00137F89" w:rsidRPr="00EF2F18" w:rsidRDefault="00137F89" w:rsidP="00CB74C9">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bCs/>
          <w:sz w:val="22"/>
          <w:szCs w:val="22"/>
          <w:lang w:val="sr-Cyrl-RS"/>
        </w:rPr>
        <w:t>Врста мере</w:t>
      </w:r>
      <w:r w:rsidRPr="00EF2F18">
        <w:rPr>
          <w:rFonts w:ascii="Times New Roman" w:hAnsi="Times New Roman" w:cs="Times New Roman"/>
          <w:sz w:val="22"/>
          <w:szCs w:val="22"/>
          <w:lang w:val="sr-Cyrl-RS"/>
        </w:rPr>
        <w:t>: регулаторна</w:t>
      </w:r>
      <w:r w:rsidR="006C2E00" w:rsidRPr="00EF2F18">
        <w:rPr>
          <w:rFonts w:ascii="Times New Roman" w:hAnsi="Times New Roman" w:cs="Times New Roman"/>
          <w:sz w:val="22"/>
          <w:szCs w:val="22"/>
          <w:lang w:val="sr-Cyrl-RS"/>
        </w:rPr>
        <w:t>.</w:t>
      </w:r>
    </w:p>
    <w:p w14:paraId="3F088E60" w14:textId="032A88BF" w:rsidR="00D83673" w:rsidRPr="00EF2F18" w:rsidRDefault="00D83673" w:rsidP="00891D8A">
      <w:pPr>
        <w:spacing w:after="0"/>
        <w:jc w:val="both"/>
        <w:rPr>
          <w:rFonts w:cs="Times New Roman"/>
          <w:sz w:val="22"/>
          <w:lang w:val="sr-Cyrl-RS" w:eastAsia="en-GB"/>
        </w:rPr>
      </w:pPr>
    </w:p>
    <w:p w14:paraId="1BB94ACA" w14:textId="408F1740"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4.2: </w:t>
      </w:r>
      <w:r w:rsidR="00616DD0" w:rsidRPr="00EF2F18">
        <w:rPr>
          <w:rFonts w:cs="Times New Roman"/>
          <w:b/>
          <w:bCs/>
          <w:color w:val="2E74B5" w:themeColor="accent1" w:themeShade="BF"/>
          <w:sz w:val="22"/>
          <w:lang w:val="sr-Cyrl-RS"/>
        </w:rPr>
        <w:t>Одрживо управљање шумама, дивљачи и рибљим фондом</w:t>
      </w:r>
    </w:p>
    <w:p w14:paraId="663CC536" w14:textId="77777777" w:rsidR="00753384" w:rsidRDefault="00753384" w:rsidP="00137F89">
      <w:pPr>
        <w:spacing w:after="0"/>
        <w:ind w:firstLine="720"/>
        <w:jc w:val="both"/>
        <w:rPr>
          <w:rFonts w:cs="Times New Roman"/>
          <w:sz w:val="22"/>
          <w:lang w:val="sr-Cyrl-RS"/>
        </w:rPr>
      </w:pPr>
    </w:p>
    <w:p w14:paraId="1D80729A" w14:textId="69366139" w:rsidR="00137F89" w:rsidRPr="00EF2F18" w:rsidRDefault="00137F89" w:rsidP="00137F89">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w:t>
      </w:r>
      <w:r w:rsidR="00293FD3" w:rsidRPr="00EF2F18">
        <w:rPr>
          <w:rFonts w:cs="Times New Roman"/>
          <w:sz w:val="22"/>
          <w:lang w:val="sr-Cyrl-RS"/>
        </w:rPr>
        <w:t>великом броју</w:t>
      </w:r>
      <w:r w:rsidRPr="00EF2F18">
        <w:rPr>
          <w:rFonts w:cs="Times New Roman"/>
          <w:sz w:val="22"/>
          <w:lang w:val="sr-Cyrl-RS"/>
        </w:rPr>
        <w:t xml:space="preserve"> међународних докумената. То су</w:t>
      </w:r>
      <w:r w:rsidR="004724C6" w:rsidRPr="00EF2F18">
        <w:rPr>
          <w:rFonts w:cs="Times New Roman"/>
          <w:sz w:val="22"/>
          <w:lang w:val="sr-Cyrl-RS"/>
        </w:rPr>
        <w:t>:</w:t>
      </w:r>
      <w:r w:rsidRPr="00EF2F18">
        <w:rPr>
          <w:rFonts w:cs="Times New Roman"/>
          <w:sz w:val="22"/>
          <w:lang w:val="sr-Cyrl-RS"/>
        </w:rPr>
        <w:t xml:space="preserve"> Конвенција УН о биодиверзитету, Конвенција о заштити светске природне и културне баштине, Конвенција о мочварним подручјима, Конвенција о очувању европске дивље флоре и фауне и природних станишта, Конвенција о међународној трговини угроженим врстама дивље флоре и фауне, Конвенција о очувању миграторних врста дивљих животиња и др. Такође, елементи овог посебног циља усаглашени су и са Резолуцијом Министарске конференције о заштити шума у Европи</w:t>
      </w:r>
      <w:r w:rsidR="006C1A98" w:rsidRPr="00EF2F18">
        <w:rPr>
          <w:rFonts w:cs="Times New Roman"/>
          <w:sz w:val="22"/>
          <w:lang w:val="sr-Cyrl-RS"/>
        </w:rPr>
        <w:t xml:space="preserve"> из 2021. године</w:t>
      </w:r>
      <w:r w:rsidRPr="00EF2F18">
        <w:rPr>
          <w:rFonts w:cs="Times New Roman"/>
          <w:sz w:val="22"/>
          <w:lang w:val="sr-Cyrl-RS"/>
        </w:rPr>
        <w:t xml:space="preserve">, те са </w:t>
      </w:r>
      <w:r w:rsidR="00D26A94" w:rsidRPr="00EF2F18">
        <w:rPr>
          <w:rFonts w:cs="Times New Roman"/>
          <w:sz w:val="22"/>
          <w:lang w:val="sr-Cyrl-RS"/>
        </w:rPr>
        <w:t>Директивом 92/43/ЕЕС о очувању природних станишта и дивље флоре и фауне и Директивом 79/409/ЕЕС о очувању дивљих птица</w:t>
      </w:r>
      <w:r w:rsidRPr="00EF2F18">
        <w:rPr>
          <w:rFonts w:cs="Times New Roman"/>
          <w:sz w:val="22"/>
          <w:lang w:val="sr-Cyrl-RS"/>
        </w:rPr>
        <w:t>.</w:t>
      </w:r>
      <w:r w:rsidR="005E5FF9" w:rsidRPr="00EF2F18">
        <w:rPr>
          <w:rFonts w:cs="Times New Roman"/>
          <w:sz w:val="22"/>
          <w:lang w:val="sr-Cyrl-RS"/>
        </w:rPr>
        <w:t xml:space="preserve"> </w:t>
      </w:r>
      <w:r w:rsidRPr="00EF2F18">
        <w:rPr>
          <w:rFonts w:cs="Times New Roman"/>
          <w:sz w:val="22"/>
          <w:lang w:val="sr-Cyrl-RS"/>
        </w:rPr>
        <w:t>У области заштите рибљег фонда, овај циљ је заснован и на билатералним и мултилатералним споразумима и стратешким документима, као што су: Споразум о рибарству у водама Дунава (Букурешт, 1958. године) потписан између Владе ФНР Југославије, НР Бугарске, НР Румуније и СССР; Споразум о рибарству у граничним водама (Темишвар, 1961</w:t>
      </w:r>
      <w:r w:rsidR="00BE1265" w:rsidRPr="00EF2F18">
        <w:rPr>
          <w:rFonts w:cs="Times New Roman"/>
          <w:sz w:val="22"/>
          <w:lang w:val="sr-Cyrl-RS"/>
        </w:rPr>
        <w:t>.</w:t>
      </w:r>
      <w:r w:rsidRPr="00EF2F18">
        <w:rPr>
          <w:rFonts w:cs="Times New Roman"/>
          <w:sz w:val="22"/>
          <w:lang w:val="sr-Cyrl-RS"/>
        </w:rPr>
        <w:t xml:space="preserve">), потписан између Југославије и Румуније; Регионална стратегија за заштиту и одрживо управљање јесетарских популација у </w:t>
      </w:r>
      <w:r w:rsidRPr="00EF2F18">
        <w:rPr>
          <w:rFonts w:cs="Times New Roman"/>
          <w:sz w:val="22"/>
          <w:lang w:val="sr-Cyrl-RS"/>
        </w:rPr>
        <w:lastRenderedPageBreak/>
        <w:t xml:space="preserve">северозападном делу Црног мора и доњем Дунаву, у сагласности са CITES (Тулћа, Румунија, 2003.) и Паневропски акциони план за јесетарске врсте (PANEUAP) који је усвојен у оквиру Бернске конвенције 2018. године. Република Србија је 2023. године приступила Европској саветодавној комисији за риболов у копненим водама (EIFAC - </w:t>
      </w:r>
      <w:r w:rsidRPr="00EF2F18">
        <w:rPr>
          <w:rFonts w:cs="Times New Roman"/>
          <w:i/>
          <w:iCs/>
          <w:sz w:val="22"/>
          <w:lang w:val="sr-Cyrl-RS"/>
        </w:rPr>
        <w:t>European Inland Fisheries Advisory Commission</w:t>
      </w:r>
      <w:r w:rsidRPr="00EF2F18">
        <w:rPr>
          <w:rFonts w:cs="Times New Roman"/>
          <w:sz w:val="22"/>
          <w:lang w:val="sr-Cyrl-RS"/>
        </w:rPr>
        <w:t>), као 36. држава чланица.</w:t>
      </w:r>
    </w:p>
    <w:p w14:paraId="70E09F1D" w14:textId="0A8E3DB4" w:rsidR="0008252C" w:rsidRPr="00EF2F18" w:rsidRDefault="005D22BB" w:rsidP="0008252C">
      <w:pPr>
        <w:spacing w:after="0"/>
        <w:ind w:firstLine="720"/>
        <w:jc w:val="both"/>
        <w:rPr>
          <w:rFonts w:cs="Times New Roman"/>
          <w:sz w:val="22"/>
          <w:lang w:val="sr-Cyrl-RS"/>
        </w:rPr>
      </w:pPr>
      <w:r w:rsidRPr="00EF2F18">
        <w:rPr>
          <w:rFonts w:cs="Times New Roman"/>
          <w:sz w:val="22"/>
          <w:shd w:val="clear" w:color="auto" w:fill="FFFFFF"/>
          <w:lang w:val="sr-Cyrl-RS"/>
        </w:rPr>
        <w:t>Овај посебан циљ доприноси о</w:t>
      </w:r>
      <w:r w:rsidR="00137F89" w:rsidRPr="00EF2F18">
        <w:rPr>
          <w:rFonts w:cs="Times New Roman"/>
          <w:sz w:val="22"/>
          <w:shd w:val="clear" w:color="auto" w:fill="FFFFFF"/>
          <w:lang w:val="sr-Cyrl-RS"/>
        </w:rPr>
        <w:t>стваривању циља 15. Циљева одрживог развоја (ЦОР) Агенде 2030 који предвиђа заштиту</w:t>
      </w:r>
      <w:r w:rsidR="00CF0EC7" w:rsidRPr="00EF2F18">
        <w:rPr>
          <w:rFonts w:cs="Times New Roman"/>
          <w:sz w:val="22"/>
          <w:shd w:val="clear" w:color="auto" w:fill="FFFFFF"/>
          <w:lang w:val="sr-Cyrl-RS"/>
        </w:rPr>
        <w:t>,</w:t>
      </w:r>
      <w:r w:rsidR="00137F89" w:rsidRPr="00EF2F18">
        <w:rPr>
          <w:rFonts w:cs="Times New Roman"/>
          <w:sz w:val="22"/>
          <w:shd w:val="clear" w:color="auto" w:fill="FFFFFF"/>
          <w:lang w:val="sr-Cyrl-RS"/>
        </w:rPr>
        <w:t xml:space="preserve"> успостављање и промоцију одрживог коришћења копнених екосистема, одрживо управљање шумама, сузбијање дезертификације, заустављање деградације тла и спречавање уништавања биолошке разноврсности</w:t>
      </w:r>
      <w:r w:rsidR="00137F89" w:rsidRPr="00EF2F18">
        <w:rPr>
          <w:rFonts w:cs="Times New Roman"/>
          <w:sz w:val="22"/>
          <w:lang w:val="sr-Cyrl-RS"/>
        </w:rPr>
        <w:t xml:space="preserve">, нарочито реализацији потциља 15.2. који промовише </w:t>
      </w:r>
      <w:r w:rsidR="00137F89" w:rsidRPr="00EF2F18">
        <w:rPr>
          <w:rFonts w:cs="Times New Roman"/>
          <w:sz w:val="22"/>
          <w:shd w:val="clear" w:color="auto" w:fill="FFFFFF"/>
          <w:lang w:val="sr-Cyrl-RS"/>
        </w:rPr>
        <w:t>имплементацију одрживог управљања свим врстама шума, заустављање крчења шума, обнављање уништене шуме и повећање пошумљавања на глобалном нивоу и потциља 15.1. који треба да осигура очување, обнову и одрживо коришћење копнених и унутрашњих слатководних екосистема и њихових услуга, посебно шума, мочварног земљишта, планина и исушеног земљишта, у складу са обавезама према међународним споразумима</w:t>
      </w:r>
      <w:r w:rsidR="0008252C" w:rsidRPr="00EF2F18">
        <w:rPr>
          <w:rFonts w:cs="Times New Roman"/>
          <w:sz w:val="22"/>
          <w:shd w:val="clear" w:color="auto" w:fill="FFFFFF"/>
          <w:lang w:val="sr-Cyrl-RS"/>
        </w:rPr>
        <w:t>.</w:t>
      </w:r>
    </w:p>
    <w:p w14:paraId="2534C7DE" w14:textId="22DE6AD4" w:rsidR="00491EBE" w:rsidRPr="00EF2F18" w:rsidRDefault="004F1118" w:rsidP="008F5583">
      <w:pPr>
        <w:spacing w:after="0"/>
        <w:ind w:firstLine="720"/>
        <w:jc w:val="both"/>
        <w:rPr>
          <w:rFonts w:cs="Times New Roman"/>
          <w:sz w:val="22"/>
          <w:shd w:val="clear" w:color="auto" w:fill="FFFFFF"/>
          <w:lang w:val="sr-Cyrl-RS"/>
        </w:rPr>
      </w:pPr>
      <w:r w:rsidRPr="00EF2F18">
        <w:rPr>
          <w:rFonts w:cs="Times New Roman"/>
          <w:sz w:val="22"/>
          <w:shd w:val="clear" w:color="auto" w:fill="FFFFFF"/>
          <w:lang w:val="sr-Cyrl-RS"/>
        </w:rPr>
        <w:t>Посебан циљ 4.2. такође доприноси остваривању циља 14</w:t>
      </w:r>
      <w:r w:rsidR="00E306F5">
        <w:rPr>
          <w:rFonts w:cs="Times New Roman"/>
          <w:sz w:val="22"/>
          <w:shd w:val="clear" w:color="auto" w:fill="FFFFFF"/>
          <w:lang w:val="sr-Cyrl-RS"/>
        </w:rPr>
        <w:t>.</w:t>
      </w:r>
      <w:r w:rsidRPr="00EF2F18">
        <w:rPr>
          <w:rFonts w:cs="Times New Roman"/>
          <w:sz w:val="22"/>
          <w:shd w:val="clear" w:color="auto" w:fill="FFFFFF"/>
          <w:lang w:val="sr-Cyrl-RS"/>
        </w:rPr>
        <w:t xml:space="preserve"> Циљева одрживог развоја (ЦОР) Агенде 2030</w:t>
      </w:r>
      <w:r w:rsidR="00FA7222" w:rsidRPr="00EF2F18">
        <w:rPr>
          <w:rFonts w:cs="Times New Roman"/>
          <w:sz w:val="22"/>
          <w:shd w:val="clear" w:color="auto" w:fill="FFFFFF"/>
          <w:lang w:val="sr-Cyrl-RS"/>
        </w:rPr>
        <w:t xml:space="preserve"> </w:t>
      </w:r>
      <w:r w:rsidRPr="00EF2F18">
        <w:rPr>
          <w:rFonts w:cs="Times New Roman"/>
          <w:sz w:val="22"/>
          <w:shd w:val="clear" w:color="auto" w:fill="FFFFFF"/>
          <w:lang w:val="sr-Cyrl-RS"/>
        </w:rPr>
        <w:t>који се односи на очување и одрживо коришћење океана, мора и мо</w:t>
      </w:r>
      <w:r w:rsidR="00E306F5">
        <w:rPr>
          <w:rFonts w:cs="Times New Roman"/>
          <w:sz w:val="22"/>
          <w:shd w:val="clear" w:color="auto" w:fill="FFFFFF"/>
          <w:lang w:val="sr-Cyrl-RS"/>
        </w:rPr>
        <w:t>р</w:t>
      </w:r>
      <w:r w:rsidRPr="00EF2F18">
        <w:rPr>
          <w:rFonts w:cs="Times New Roman"/>
          <w:sz w:val="22"/>
          <w:shd w:val="clear" w:color="auto" w:fill="FFFFFF"/>
          <w:lang w:val="sr-Cyrl-RS"/>
        </w:rPr>
        <w:t xml:space="preserve">ских ресурса за одрживи развој, реализацији потциља 14.4. који промовише делотворно регулисање </w:t>
      </w:r>
      <w:r w:rsidR="004724C6" w:rsidRPr="00EF2F18">
        <w:rPr>
          <w:rFonts w:cs="Times New Roman"/>
          <w:sz w:val="22"/>
          <w:shd w:val="clear" w:color="auto" w:fill="FFFFFF"/>
          <w:lang w:val="sr-Cyrl-RS"/>
        </w:rPr>
        <w:t xml:space="preserve">експлоатације </w:t>
      </w:r>
      <w:r w:rsidRPr="00EF2F18">
        <w:rPr>
          <w:rFonts w:cs="Times New Roman"/>
          <w:sz w:val="22"/>
          <w:shd w:val="clear" w:color="auto" w:fill="FFFFFF"/>
          <w:lang w:val="sr-Cyrl-RS"/>
        </w:rPr>
        <w:t xml:space="preserve">рибе и окончање прекомерног риболова, као и незаконитог, непријављеног и нерегулисаног риболова, односно деструктивне рибарске праксе, и примену научно заснованих планова управљања како би се обновиле залихе риба у најкраћем могућем року. </w:t>
      </w:r>
    </w:p>
    <w:p w14:paraId="3F244437" w14:textId="77777777" w:rsidR="004F1118" w:rsidRPr="00EF2F18" w:rsidRDefault="004F1118" w:rsidP="00425FCC">
      <w:pPr>
        <w:spacing w:after="0"/>
        <w:ind w:firstLine="720"/>
        <w:rPr>
          <w:rFonts w:cs="Times New Roman"/>
          <w:sz w:val="22"/>
          <w:lang w:val="sr-Cyrl-RS"/>
        </w:rPr>
      </w:pPr>
    </w:p>
    <w:p w14:paraId="78B812E6" w14:textId="6CDE6F56" w:rsidR="00734E19" w:rsidRPr="00EF2F18" w:rsidRDefault="00491EBE" w:rsidP="00C43D62">
      <w:pPr>
        <w:pBdr>
          <w:top w:val="single" w:sz="4" w:space="1" w:color="auto"/>
          <w:left w:val="single" w:sz="4" w:space="4" w:color="auto"/>
          <w:bottom w:val="single" w:sz="4" w:space="1" w:color="auto"/>
          <w:right w:val="single" w:sz="4" w:space="4" w:color="auto"/>
        </w:pBdr>
        <w:spacing w:after="0"/>
        <w:jc w:val="both"/>
        <w:rPr>
          <w:rFonts w:cs="Times New Roman"/>
          <w:sz w:val="22"/>
          <w:lang w:val="sr-Cyrl-RS"/>
        </w:rPr>
      </w:pPr>
      <w:bookmarkStart w:id="129" w:name="_Hlk143583036"/>
      <w:r w:rsidRPr="00EF2F18">
        <w:rPr>
          <w:rFonts w:cs="Times New Roman"/>
          <w:b/>
          <w:bCs/>
          <w:sz w:val="22"/>
          <w:lang w:val="sr-Cyrl-RS" w:eastAsia="en-GB"/>
        </w:rPr>
        <w:t xml:space="preserve">Мера 4.2.1. </w:t>
      </w:r>
      <w:r w:rsidR="00C43D62" w:rsidRPr="00EF2F18">
        <w:rPr>
          <w:rFonts w:cs="Times New Roman"/>
          <w:b/>
          <w:sz w:val="22"/>
          <w:lang w:val="sr-Cyrl-RS"/>
        </w:rPr>
        <w:t xml:space="preserve">Имплементација концепта природи блиског газдовања шумама </w:t>
      </w:r>
      <w:r w:rsidR="00566B8A" w:rsidRPr="00EF2F18">
        <w:rPr>
          <w:b/>
          <w:bCs/>
          <w:sz w:val="22"/>
          <w:lang w:val="sr-Cyrl-RS"/>
        </w:rPr>
        <w:t xml:space="preserve">у сектору </w:t>
      </w:r>
      <w:r w:rsidR="008341B2" w:rsidRPr="00EF2F18">
        <w:rPr>
          <w:b/>
          <w:bCs/>
          <w:sz w:val="22"/>
          <w:lang w:val="sr-Cyrl-RS"/>
        </w:rPr>
        <w:t>шумарств</w:t>
      </w:r>
      <w:r w:rsidR="00566B8A" w:rsidRPr="00EF2F18">
        <w:rPr>
          <w:b/>
          <w:bCs/>
          <w:sz w:val="22"/>
          <w:lang w:val="sr-Cyrl-RS"/>
        </w:rPr>
        <w:t>а</w:t>
      </w:r>
    </w:p>
    <w:p w14:paraId="3D913E87" w14:textId="77777777" w:rsidR="00D83673" w:rsidRPr="00EF2F18" w:rsidRDefault="00D83673" w:rsidP="00CB4126">
      <w:pPr>
        <w:spacing w:after="0"/>
        <w:ind w:firstLine="720"/>
        <w:jc w:val="both"/>
        <w:rPr>
          <w:rFonts w:cs="Times New Roman"/>
          <w:sz w:val="22"/>
          <w:lang w:val="sr-Cyrl-RS"/>
        </w:rPr>
      </w:pPr>
    </w:p>
    <w:p w14:paraId="300FFCAA" w14:textId="79C30C70" w:rsidR="00CB4126" w:rsidRPr="00EF2F18" w:rsidRDefault="00CB4126" w:rsidP="00CB4126">
      <w:pPr>
        <w:spacing w:after="0"/>
        <w:ind w:firstLine="720"/>
        <w:jc w:val="both"/>
        <w:rPr>
          <w:rFonts w:cs="Times New Roman"/>
          <w:sz w:val="22"/>
          <w:lang w:val="sr-Cyrl-RS"/>
        </w:rPr>
      </w:pPr>
      <w:r w:rsidRPr="00EF2F18">
        <w:rPr>
          <w:rFonts w:cs="Times New Roman"/>
          <w:sz w:val="22"/>
          <w:lang w:val="sr-Cyrl-RS"/>
        </w:rPr>
        <w:t>Поред директног повећања површине под шумом, ова мера има за циљ и унапређивање стања шума у Републици Србији. Пре свега то се односи на потребу идентификације површина погодних за пошумљавање,</w:t>
      </w:r>
      <w:r w:rsidR="009A438A" w:rsidRPr="00EF2F18">
        <w:rPr>
          <w:rFonts w:cs="Times New Roman"/>
          <w:sz w:val="22"/>
          <w:lang w:val="sr-Cyrl-RS"/>
        </w:rPr>
        <w:t xml:space="preserve"> а које нису погодне за пољопривредну производњу,</w:t>
      </w:r>
      <w:r w:rsidR="00FA7222" w:rsidRPr="00EF2F18">
        <w:rPr>
          <w:rFonts w:cs="Times New Roman"/>
          <w:sz w:val="22"/>
          <w:lang w:val="sr-Cyrl-RS"/>
        </w:rPr>
        <w:t xml:space="preserve"> </w:t>
      </w:r>
      <w:r w:rsidRPr="00EF2F18">
        <w:rPr>
          <w:rFonts w:cs="Times New Roman"/>
          <w:sz w:val="22"/>
          <w:lang w:val="sr-Cyrl-RS"/>
        </w:rPr>
        <w:t>као и на одабир врста за пошумљавање у складу са типовима станишта и климатским променама. Такође</w:t>
      </w:r>
      <w:r w:rsidR="00E22AA9" w:rsidRPr="00EF2F18">
        <w:rPr>
          <w:rFonts w:cs="Times New Roman"/>
          <w:sz w:val="22"/>
          <w:lang w:val="sr-Cyrl-RS"/>
        </w:rPr>
        <w:t>,</w:t>
      </w:r>
      <w:r w:rsidRPr="00EF2F18">
        <w:rPr>
          <w:rFonts w:cs="Times New Roman"/>
          <w:sz w:val="22"/>
          <w:lang w:val="sr-Cyrl-RS"/>
        </w:rPr>
        <w:t xml:space="preserve"> у склопу унапређ</w:t>
      </w:r>
      <w:r w:rsidR="009A438A" w:rsidRPr="00EF2F18">
        <w:rPr>
          <w:rFonts w:cs="Times New Roman"/>
          <w:sz w:val="22"/>
          <w:lang w:val="sr-Cyrl-RS"/>
        </w:rPr>
        <w:t>ења</w:t>
      </w:r>
      <w:r w:rsidR="00E306F5">
        <w:rPr>
          <w:rFonts w:cs="Times New Roman"/>
          <w:sz w:val="22"/>
          <w:lang w:val="sr-Cyrl-RS"/>
        </w:rPr>
        <w:t xml:space="preserve"> </w:t>
      </w:r>
      <w:r w:rsidRPr="00EF2F18">
        <w:rPr>
          <w:rFonts w:cs="Times New Roman"/>
          <w:sz w:val="22"/>
          <w:lang w:val="sr-Cyrl-RS"/>
        </w:rPr>
        <w:t>односа према шумама</w:t>
      </w:r>
      <w:r w:rsidR="00E22AA9" w:rsidRPr="00EF2F18">
        <w:rPr>
          <w:rFonts w:cs="Times New Roman"/>
          <w:sz w:val="22"/>
          <w:lang w:val="sr-Cyrl-RS"/>
        </w:rPr>
        <w:t>,</w:t>
      </w:r>
      <w:r w:rsidRPr="00EF2F18">
        <w:rPr>
          <w:rFonts w:cs="Times New Roman"/>
          <w:sz w:val="22"/>
          <w:lang w:val="sr-Cyrl-RS"/>
        </w:rPr>
        <w:t xml:space="preserve"> неопходна</w:t>
      </w:r>
      <w:r w:rsidR="00E22AA9" w:rsidRPr="00EF2F18">
        <w:rPr>
          <w:rFonts w:cs="Times New Roman"/>
          <w:sz w:val="22"/>
          <w:lang w:val="sr-Cyrl-RS"/>
        </w:rPr>
        <w:t xml:space="preserve"> је</w:t>
      </w:r>
      <w:r w:rsidRPr="00EF2F18">
        <w:rPr>
          <w:rFonts w:cs="Times New Roman"/>
          <w:sz w:val="22"/>
          <w:lang w:val="sr-Cyrl-RS"/>
        </w:rPr>
        <w:t xml:space="preserve"> и континуирана јавна едукација </w:t>
      </w:r>
      <w:r w:rsidR="002F40F4" w:rsidRPr="00EF2F18">
        <w:rPr>
          <w:rFonts w:cs="Times New Roman"/>
          <w:sz w:val="22"/>
          <w:lang w:val="sr-Cyrl-RS"/>
        </w:rPr>
        <w:t xml:space="preserve">сопственика </w:t>
      </w:r>
      <w:r w:rsidRPr="00EF2F18">
        <w:rPr>
          <w:rFonts w:cs="Times New Roman"/>
          <w:sz w:val="22"/>
          <w:lang w:val="sr-Cyrl-RS"/>
        </w:rPr>
        <w:t>приватних шума</w:t>
      </w:r>
      <w:r w:rsidR="00E22AA9" w:rsidRPr="00EF2F18">
        <w:rPr>
          <w:rFonts w:cs="Times New Roman"/>
          <w:sz w:val="22"/>
          <w:lang w:val="sr-Cyrl-RS"/>
        </w:rPr>
        <w:t xml:space="preserve"> </w:t>
      </w:r>
      <w:r w:rsidRPr="00EF2F18">
        <w:rPr>
          <w:rFonts w:cs="Times New Roman"/>
          <w:sz w:val="22"/>
          <w:lang w:val="sr-Cyrl-RS"/>
        </w:rPr>
        <w:t>како би се сви поступци који се спроводе у циљу унапређивања стања шума или у институционалном газдовању шумама спроводиле и у приватним</w:t>
      </w:r>
      <w:r w:rsidR="006267C5" w:rsidRPr="00EF2F18">
        <w:rPr>
          <w:rFonts w:cs="Times New Roman"/>
          <w:sz w:val="22"/>
          <w:lang w:val="sr-Cyrl-RS"/>
        </w:rPr>
        <w:t xml:space="preserve"> (</w:t>
      </w:r>
      <w:r w:rsidR="006267C5" w:rsidRPr="00EF2F18">
        <w:rPr>
          <w:rFonts w:eastAsia="Calibri" w:cs="Times New Roman"/>
          <w:sz w:val="22"/>
          <w:lang w:val="sr-Cyrl-RS"/>
        </w:rPr>
        <w:t>веза са мером 20, посебног циља 3. Стратегије нискоугљеничног развоја Републике Србије за период од 2023. до 2030. године са пројекцијама до 2050.).</w:t>
      </w:r>
    </w:p>
    <w:p w14:paraId="705CC4D8" w14:textId="6946BE9C" w:rsidR="00CB4126" w:rsidRPr="00EF2F18" w:rsidRDefault="00CB4126" w:rsidP="00CB4126">
      <w:pPr>
        <w:spacing w:after="0"/>
        <w:ind w:firstLine="720"/>
        <w:jc w:val="both"/>
        <w:rPr>
          <w:rFonts w:cs="Times New Roman"/>
          <w:sz w:val="22"/>
          <w:lang w:val="sr-Cyrl-RS"/>
        </w:rPr>
      </w:pPr>
      <w:r w:rsidRPr="00EF2F18">
        <w:rPr>
          <w:rFonts w:cs="Times New Roman"/>
          <w:sz w:val="22"/>
          <w:lang w:val="sr-Cyrl-RS"/>
        </w:rPr>
        <w:t xml:space="preserve">Као опште друштвено корисна активност у оквиру предложене мере неопходно је спровођење медијских кампањи јачања јавне свести о </w:t>
      </w:r>
      <w:r w:rsidR="009A438A" w:rsidRPr="00EF2F18">
        <w:rPr>
          <w:rFonts w:cs="Times New Roman"/>
          <w:sz w:val="22"/>
          <w:lang w:val="sr-Cyrl-RS"/>
        </w:rPr>
        <w:t>значају шума за друштво.</w:t>
      </w:r>
    </w:p>
    <w:p w14:paraId="263C03E8" w14:textId="2EBBEBA9" w:rsidR="00491EBE" w:rsidRPr="00EF2F18" w:rsidRDefault="00491EBE" w:rsidP="00CB4126">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CB4126" w:rsidRPr="00EF2F18">
        <w:rPr>
          <w:rFonts w:cs="Times New Roman"/>
          <w:sz w:val="22"/>
          <w:lang w:val="sr-Cyrl-RS" w:eastAsia="en-GB"/>
        </w:rPr>
        <w:t>Мин</w:t>
      </w:r>
      <w:r w:rsidR="00CB5CE8" w:rsidRPr="00EF2F18">
        <w:rPr>
          <w:rFonts w:cs="Times New Roman"/>
          <w:sz w:val="22"/>
          <w:lang w:val="sr-Cyrl-RS" w:eastAsia="en-GB"/>
        </w:rPr>
        <w:t>и</w:t>
      </w:r>
      <w:r w:rsidR="00CB4126" w:rsidRPr="00EF2F18">
        <w:rPr>
          <w:rFonts w:cs="Times New Roman"/>
          <w:sz w:val="22"/>
          <w:lang w:val="sr-Cyrl-RS" w:eastAsia="en-GB"/>
        </w:rPr>
        <w:t>старство пољопривреде, шумарства и водопривреде</w:t>
      </w:r>
      <w:r w:rsidR="00891D8A" w:rsidRPr="00EF2F18">
        <w:rPr>
          <w:rFonts w:cs="Times New Roman"/>
          <w:sz w:val="22"/>
          <w:lang w:val="sr-Cyrl-RS" w:eastAsia="en-GB"/>
        </w:rPr>
        <w:t>.</w:t>
      </w:r>
      <w:r w:rsidR="00CB4126" w:rsidRPr="00EF2F18">
        <w:rPr>
          <w:rFonts w:cs="Times New Roman"/>
          <w:sz w:val="22"/>
          <w:lang w:val="sr-Cyrl-RS" w:eastAsia="en-GB"/>
        </w:rPr>
        <w:t xml:space="preserve"> </w:t>
      </w:r>
    </w:p>
    <w:p w14:paraId="676EAD53" w14:textId="35D85BF8" w:rsidR="00491EBE" w:rsidRPr="00EF2F18" w:rsidRDefault="00491EBE" w:rsidP="0008422B">
      <w:pPr>
        <w:pStyle w:val="PlainText"/>
        <w:ind w:firstLine="720"/>
        <w:jc w:val="both"/>
        <w:rPr>
          <w:rFonts w:ascii="Times New Roman" w:hAnsi="Times New Roman" w:cs="Times New Roman"/>
          <w:sz w:val="22"/>
          <w:szCs w:val="22"/>
          <w:lang w:val="sr-Cyrl-RS"/>
        </w:rPr>
      </w:pPr>
      <w:r w:rsidRPr="00EF2F18">
        <w:rPr>
          <w:rFonts w:ascii="Times New Roman" w:hAnsi="Times New Roman" w:cs="Times New Roman"/>
          <w:b/>
          <w:bCs/>
          <w:sz w:val="22"/>
          <w:lang w:val="sr-Cyrl-RS"/>
        </w:rPr>
        <w:t>Партнери</w:t>
      </w:r>
      <w:r w:rsidRPr="00EF2F18">
        <w:rPr>
          <w:rFonts w:ascii="Times New Roman" w:hAnsi="Times New Roman" w:cs="Times New Roman"/>
          <w:sz w:val="22"/>
          <w:lang w:val="sr-Cyrl-RS"/>
        </w:rPr>
        <w:t xml:space="preserve"> </w:t>
      </w:r>
      <w:r w:rsidRPr="00EF2F18">
        <w:rPr>
          <w:rFonts w:ascii="Times New Roman" w:hAnsi="Times New Roman" w:cs="Times New Roman"/>
          <w:b/>
          <w:bCs/>
          <w:sz w:val="22"/>
          <w:lang w:val="sr-Cyrl-RS"/>
        </w:rPr>
        <w:t>у спровођењу</w:t>
      </w:r>
      <w:r w:rsidRPr="00EF2F18">
        <w:rPr>
          <w:rFonts w:ascii="Times New Roman" w:hAnsi="Times New Roman" w:cs="Times New Roman"/>
          <w:sz w:val="22"/>
          <w:lang w:val="sr-Cyrl-RS"/>
        </w:rPr>
        <w:t xml:space="preserve">: </w:t>
      </w:r>
      <w:r w:rsidR="00576539" w:rsidRPr="00EF2F18">
        <w:rPr>
          <w:rFonts w:ascii="Times New Roman" w:hAnsi="Times New Roman" w:cs="Times New Roman"/>
          <w:sz w:val="22"/>
          <w:szCs w:val="22"/>
          <w:lang w:val="sr-Cyrl-RS"/>
        </w:rPr>
        <w:t xml:space="preserve">Министарство заштите животне средине, </w:t>
      </w:r>
      <w:r w:rsidR="006870DF" w:rsidRPr="00EF2F18">
        <w:rPr>
          <w:rFonts w:ascii="Times New Roman" w:hAnsi="Times New Roman" w:cs="Times New Roman"/>
          <w:sz w:val="22"/>
          <w:szCs w:val="22"/>
          <w:lang w:val="sr-Cyrl-RS"/>
        </w:rPr>
        <w:t>Управа за шуме, Управа за пољопривредно земљиште, Агенција за просторно планирање, удружења приватних шумовласника</w:t>
      </w:r>
      <w:r w:rsidR="000F65B5" w:rsidRPr="00EF2F18">
        <w:rPr>
          <w:rFonts w:ascii="Times New Roman" w:hAnsi="Times New Roman" w:cs="Times New Roman"/>
          <w:sz w:val="22"/>
          <w:szCs w:val="22"/>
          <w:lang w:val="sr-Cyrl-RS"/>
        </w:rPr>
        <w:t xml:space="preserve">, </w:t>
      </w:r>
      <w:r w:rsidR="00CB5CE8" w:rsidRPr="00EF2F18">
        <w:rPr>
          <w:rFonts w:ascii="Times New Roman" w:hAnsi="Times New Roman"/>
          <w:bCs/>
          <w:sz w:val="22"/>
          <w:szCs w:val="22"/>
          <w:lang w:val="sr-Cyrl-RS"/>
        </w:rPr>
        <w:t>Завод за заштиту природе Србије, Покрајински завод за заштиту природе</w:t>
      </w:r>
      <w:r w:rsidR="00891D8A" w:rsidRPr="00EF2F18">
        <w:rPr>
          <w:rFonts w:ascii="Times New Roman" w:hAnsi="Times New Roman"/>
          <w:bCs/>
          <w:sz w:val="22"/>
          <w:szCs w:val="22"/>
          <w:lang w:val="sr-Cyrl-RS"/>
        </w:rPr>
        <w:t>.</w:t>
      </w:r>
    </w:p>
    <w:p w14:paraId="1BFC4563" w14:textId="585F5C20"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6267C5" w:rsidRPr="00EF2F18">
        <w:rPr>
          <w:rFonts w:cs="Times New Roman"/>
          <w:sz w:val="22"/>
          <w:lang w:val="sr-Cyrl-RS" w:eastAsia="en-GB"/>
        </w:rPr>
        <w:t>информативно едукативна</w:t>
      </w:r>
      <w:r w:rsidR="006C2E00" w:rsidRPr="00EF2F18">
        <w:rPr>
          <w:rFonts w:cs="Times New Roman"/>
          <w:sz w:val="22"/>
          <w:lang w:val="sr-Cyrl-RS" w:eastAsia="en-GB"/>
        </w:rPr>
        <w:t>.</w:t>
      </w:r>
    </w:p>
    <w:bookmarkEnd w:id="129"/>
    <w:p w14:paraId="37FEA096" w14:textId="77777777" w:rsidR="00491EBE" w:rsidRPr="00EF2F18" w:rsidRDefault="00491EBE" w:rsidP="00425FCC">
      <w:pPr>
        <w:spacing w:after="0"/>
        <w:ind w:firstLine="720"/>
        <w:jc w:val="both"/>
        <w:rPr>
          <w:rFonts w:cs="Times New Roman"/>
          <w:sz w:val="22"/>
          <w:lang w:val="sr-Cyrl-RS" w:eastAsia="en-GB"/>
        </w:rPr>
      </w:pPr>
    </w:p>
    <w:p w14:paraId="3E63681E" w14:textId="6932FA9D"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4.2.2. </w:t>
      </w:r>
      <w:r w:rsidR="00566B8A" w:rsidRPr="00EF2F18">
        <w:rPr>
          <w:rFonts w:cs="Times New Roman"/>
          <w:b/>
          <w:bCs/>
          <w:sz w:val="22"/>
          <w:lang w:val="sr-Cyrl-RS" w:eastAsia="en-GB"/>
        </w:rPr>
        <w:t>Развој најбоље праксе одрживог управљања популацијама дивљачи у ловиштима и осталим ресурсима у ловству</w:t>
      </w:r>
    </w:p>
    <w:p w14:paraId="30851E19" w14:textId="77777777" w:rsidR="00D83673" w:rsidRPr="00EF2F18" w:rsidRDefault="00D83673" w:rsidP="00CB4126">
      <w:pPr>
        <w:spacing w:after="0"/>
        <w:ind w:firstLine="720"/>
        <w:jc w:val="both"/>
        <w:rPr>
          <w:rFonts w:cs="Times New Roman"/>
          <w:sz w:val="22"/>
          <w:lang w:val="sr-Cyrl-RS"/>
        </w:rPr>
      </w:pPr>
    </w:p>
    <w:p w14:paraId="0FFDD898" w14:textId="6BFA8911" w:rsidR="00CB4126" w:rsidRPr="00EF2F18" w:rsidRDefault="00CB4126" w:rsidP="00CB4126">
      <w:pPr>
        <w:spacing w:after="0"/>
        <w:ind w:firstLine="720"/>
        <w:jc w:val="both"/>
        <w:rPr>
          <w:rFonts w:cs="Times New Roman"/>
          <w:sz w:val="22"/>
          <w:lang w:val="sr-Cyrl-RS"/>
        </w:rPr>
      </w:pPr>
      <w:r w:rsidRPr="00EF2F18">
        <w:rPr>
          <w:rFonts w:cs="Times New Roman"/>
          <w:sz w:val="22"/>
          <w:lang w:val="sr-Cyrl-RS"/>
        </w:rPr>
        <w:t xml:space="preserve">Предложена мера има за циљ </w:t>
      </w:r>
      <w:r w:rsidR="00BE2BE0" w:rsidRPr="00EF2F18">
        <w:rPr>
          <w:rFonts w:cs="Times New Roman"/>
          <w:sz w:val="22"/>
          <w:lang w:val="sr-Cyrl-RS"/>
        </w:rPr>
        <w:t>о</w:t>
      </w:r>
      <w:r w:rsidRPr="00EF2F18">
        <w:rPr>
          <w:rFonts w:cs="Times New Roman"/>
          <w:sz w:val="22"/>
          <w:lang w:val="sr-Cyrl-RS"/>
        </w:rPr>
        <w:t>држиво управљање ловним врстама</w:t>
      </w:r>
      <w:r w:rsidR="004724C6" w:rsidRPr="00EF2F18">
        <w:rPr>
          <w:rFonts w:cs="Times New Roman"/>
          <w:sz w:val="22"/>
          <w:lang w:val="sr-Cyrl-RS"/>
        </w:rPr>
        <w:t xml:space="preserve"> дивљачи</w:t>
      </w:r>
      <w:r w:rsidRPr="00EF2F18">
        <w:rPr>
          <w:rFonts w:cs="Times New Roman"/>
          <w:sz w:val="22"/>
          <w:lang w:val="sr-Cyrl-RS"/>
        </w:rPr>
        <w:t xml:space="preserve">, јачање свести о потреби регулисања и поштовања </w:t>
      </w:r>
      <w:r w:rsidR="004724C6" w:rsidRPr="00EF2F18">
        <w:rPr>
          <w:rFonts w:cs="Times New Roman"/>
          <w:sz w:val="22"/>
          <w:lang w:val="sr-Cyrl-RS"/>
        </w:rPr>
        <w:t xml:space="preserve">законских </w:t>
      </w:r>
      <w:r w:rsidRPr="00EF2F18">
        <w:rPr>
          <w:rFonts w:cs="Times New Roman"/>
          <w:sz w:val="22"/>
          <w:lang w:val="sr-Cyrl-RS"/>
        </w:rPr>
        <w:t xml:space="preserve">одредби, као и смањење </w:t>
      </w:r>
      <w:r w:rsidR="004724C6" w:rsidRPr="00EF2F18">
        <w:rPr>
          <w:rFonts w:cs="Times New Roman"/>
          <w:sz w:val="22"/>
          <w:lang w:val="sr-Cyrl-RS"/>
        </w:rPr>
        <w:t xml:space="preserve">незаконитог </w:t>
      </w:r>
      <w:r w:rsidRPr="00EF2F18">
        <w:rPr>
          <w:rFonts w:cs="Times New Roman"/>
          <w:sz w:val="22"/>
          <w:lang w:val="sr-Cyrl-RS"/>
        </w:rPr>
        <w:t xml:space="preserve">лова (сарадња са </w:t>
      </w:r>
      <w:r w:rsidR="00E306F5" w:rsidRPr="00E306F5">
        <w:rPr>
          <w:rFonts w:cs="Times New Roman"/>
          <w:sz w:val="22"/>
          <w:lang w:val="sr-Cyrl-RS"/>
        </w:rPr>
        <w:t>Министарств</w:t>
      </w:r>
      <w:r w:rsidR="00E306F5">
        <w:rPr>
          <w:rFonts w:cs="Times New Roman"/>
          <w:sz w:val="22"/>
          <w:lang w:val="sr-Cyrl-RS"/>
        </w:rPr>
        <w:t>ом</w:t>
      </w:r>
      <w:r w:rsidR="00E306F5" w:rsidRPr="00E306F5">
        <w:rPr>
          <w:rFonts w:cs="Times New Roman"/>
          <w:sz w:val="22"/>
          <w:lang w:val="sr-Cyrl-RS"/>
        </w:rPr>
        <w:t xml:space="preserve"> унутрашњих послова</w:t>
      </w:r>
      <w:r w:rsidRPr="00EF2F18">
        <w:rPr>
          <w:rFonts w:cs="Times New Roman"/>
          <w:sz w:val="22"/>
          <w:lang w:val="sr-Cyrl-RS"/>
        </w:rPr>
        <w:t xml:space="preserve"> и надлежном инспекцијом). У том циљу</w:t>
      </w:r>
      <w:r w:rsidR="00E22AA9" w:rsidRPr="00EF2F18">
        <w:rPr>
          <w:rFonts w:cs="Times New Roman"/>
          <w:sz w:val="22"/>
          <w:lang w:val="sr-Cyrl-RS"/>
        </w:rPr>
        <w:t>,</w:t>
      </w:r>
      <w:r w:rsidRPr="00EF2F18">
        <w:rPr>
          <w:rFonts w:cs="Times New Roman"/>
          <w:sz w:val="22"/>
          <w:lang w:val="sr-Cyrl-RS"/>
        </w:rPr>
        <w:t xml:space="preserve"> пре свега</w:t>
      </w:r>
      <w:r w:rsidR="00E22AA9" w:rsidRPr="00EF2F18">
        <w:rPr>
          <w:rFonts w:cs="Times New Roman"/>
          <w:sz w:val="22"/>
          <w:lang w:val="sr-Cyrl-RS"/>
        </w:rPr>
        <w:t>,</w:t>
      </w:r>
      <w:r w:rsidRPr="00EF2F18">
        <w:rPr>
          <w:rFonts w:cs="Times New Roman"/>
          <w:sz w:val="22"/>
          <w:lang w:val="sr-Cyrl-RS"/>
        </w:rPr>
        <w:t xml:space="preserve"> неопходно </w:t>
      </w:r>
      <w:r w:rsidR="00E22AA9" w:rsidRPr="00EF2F18">
        <w:rPr>
          <w:rFonts w:cs="Times New Roman"/>
          <w:sz w:val="22"/>
          <w:lang w:val="sr-Cyrl-RS"/>
        </w:rPr>
        <w:t>је</w:t>
      </w:r>
      <w:r w:rsidR="005C568E" w:rsidRPr="00EF2F18">
        <w:rPr>
          <w:rFonts w:cs="Times New Roman"/>
          <w:sz w:val="22"/>
          <w:lang w:val="sr-Cyrl-RS"/>
        </w:rPr>
        <w:t xml:space="preserve"> </w:t>
      </w:r>
      <w:r w:rsidRPr="00EF2F18">
        <w:rPr>
          <w:rFonts w:cs="Times New Roman"/>
          <w:sz w:val="22"/>
          <w:lang w:val="sr-Cyrl-RS"/>
        </w:rPr>
        <w:t>извршити измене законског оквира који регулише ову област и хоризонталним принципом увезивања повезати је са облашћу заштите биодиверзитета и заштите природе. Измене</w:t>
      </w:r>
      <w:r w:rsidR="00E22AA9" w:rsidRPr="00EF2F18">
        <w:rPr>
          <w:rFonts w:cs="Times New Roman"/>
          <w:sz w:val="22"/>
          <w:lang w:val="sr-Cyrl-RS"/>
        </w:rPr>
        <w:t>,</w:t>
      </w:r>
      <w:r w:rsidRPr="00EF2F18">
        <w:rPr>
          <w:rFonts w:cs="Times New Roman"/>
          <w:sz w:val="22"/>
          <w:lang w:val="sr-Cyrl-RS"/>
        </w:rPr>
        <w:t xml:space="preserve"> осим регулативног карактера</w:t>
      </w:r>
      <w:r w:rsidR="00E22AA9" w:rsidRPr="00EF2F18">
        <w:rPr>
          <w:rFonts w:cs="Times New Roman"/>
          <w:sz w:val="22"/>
          <w:lang w:val="sr-Cyrl-RS"/>
        </w:rPr>
        <w:t>,</w:t>
      </w:r>
      <w:r w:rsidRPr="00EF2F18">
        <w:rPr>
          <w:rFonts w:cs="Times New Roman"/>
          <w:sz w:val="22"/>
          <w:lang w:val="sr-Cyrl-RS"/>
        </w:rPr>
        <w:t xml:space="preserve"> треба да подразумевају и доношење подзаконског акта који би ближе дефинисао монитор</w:t>
      </w:r>
      <w:r w:rsidR="00E306F5">
        <w:rPr>
          <w:rFonts w:cs="Times New Roman"/>
          <w:sz w:val="22"/>
          <w:lang w:val="sr-Cyrl-RS"/>
        </w:rPr>
        <w:t>и</w:t>
      </w:r>
      <w:r w:rsidRPr="00EF2F18">
        <w:rPr>
          <w:rFonts w:cs="Times New Roman"/>
          <w:sz w:val="22"/>
          <w:lang w:val="sr-Cyrl-RS"/>
        </w:rPr>
        <w:t xml:space="preserve">нг </w:t>
      </w:r>
      <w:r w:rsidR="004724C6" w:rsidRPr="00EF2F18">
        <w:rPr>
          <w:rFonts w:cs="Times New Roman"/>
          <w:sz w:val="22"/>
          <w:lang w:val="sr-Cyrl-RS"/>
        </w:rPr>
        <w:t xml:space="preserve">ловних врста </w:t>
      </w:r>
      <w:r w:rsidRPr="00EF2F18">
        <w:rPr>
          <w:rFonts w:cs="Times New Roman"/>
          <w:sz w:val="22"/>
          <w:lang w:val="sr-Cyrl-RS"/>
        </w:rPr>
        <w:t>дивљачи.</w:t>
      </w:r>
    </w:p>
    <w:p w14:paraId="069E27A2" w14:textId="51C6EFF5" w:rsidR="00491EBE" w:rsidRPr="00EF2F18" w:rsidRDefault="00BE2BE0" w:rsidP="00CB4126">
      <w:pPr>
        <w:spacing w:after="0"/>
        <w:ind w:firstLine="720"/>
        <w:jc w:val="both"/>
        <w:rPr>
          <w:rFonts w:cs="Times New Roman"/>
          <w:sz w:val="22"/>
          <w:lang w:val="sr-Cyrl-RS"/>
        </w:rPr>
      </w:pPr>
      <w:r w:rsidRPr="00EF2F18">
        <w:rPr>
          <w:rFonts w:cs="Times New Roman"/>
          <w:sz w:val="22"/>
          <w:lang w:val="sr-Cyrl-RS"/>
        </w:rPr>
        <w:t>М</w:t>
      </w:r>
      <w:r w:rsidR="00CB4126" w:rsidRPr="00EF2F18">
        <w:rPr>
          <w:rFonts w:cs="Times New Roman"/>
          <w:sz w:val="22"/>
          <w:lang w:val="sr-Cyrl-RS"/>
        </w:rPr>
        <w:t>ера је ор</w:t>
      </w:r>
      <w:r w:rsidR="007702B2">
        <w:rPr>
          <w:rFonts w:cs="Times New Roman"/>
          <w:sz w:val="22"/>
          <w:lang w:val="sr-Cyrl-RS"/>
        </w:rPr>
        <w:t>и</w:t>
      </w:r>
      <w:r w:rsidR="00CB4126" w:rsidRPr="00EF2F18">
        <w:rPr>
          <w:rFonts w:cs="Times New Roman"/>
          <w:sz w:val="22"/>
          <w:lang w:val="sr-Cyrl-RS"/>
        </w:rPr>
        <w:t xml:space="preserve">јентисана на јачање регулативе у сектору ловства. Самим тим има утемељење у многобројним </w:t>
      </w:r>
      <w:r w:rsidR="00E22AA9" w:rsidRPr="00EF2F18">
        <w:rPr>
          <w:rFonts w:cs="Times New Roman"/>
          <w:sz w:val="22"/>
          <w:lang w:val="sr-Cyrl-RS"/>
        </w:rPr>
        <w:t>м</w:t>
      </w:r>
      <w:r w:rsidR="00CB4126" w:rsidRPr="00EF2F18">
        <w:rPr>
          <w:rFonts w:cs="Times New Roman"/>
          <w:sz w:val="22"/>
          <w:lang w:val="sr-Cyrl-RS"/>
        </w:rPr>
        <w:t xml:space="preserve">еђународним конвенцијама, пре свега у Конвенцији о биолошкој разноврсности, </w:t>
      </w:r>
      <w:r w:rsidR="00F06405" w:rsidRPr="00EF2F18">
        <w:rPr>
          <w:rFonts w:cs="Times New Roman"/>
          <w:sz w:val="22"/>
          <w:lang w:val="sr-Cyrl-RS"/>
        </w:rPr>
        <w:t>К</w:t>
      </w:r>
      <w:r w:rsidR="00CB4126" w:rsidRPr="00EF2F18">
        <w:rPr>
          <w:rFonts w:cs="Times New Roman"/>
          <w:sz w:val="22"/>
          <w:lang w:val="sr-Cyrl-RS"/>
        </w:rPr>
        <w:t xml:space="preserve">онвенцији о заштити врста дивље флоре и фауне и њихових станишта (Бернска </w:t>
      </w:r>
      <w:r w:rsidR="00CB4126" w:rsidRPr="00EF2F18">
        <w:rPr>
          <w:rFonts w:cs="Times New Roman"/>
          <w:sz w:val="22"/>
          <w:lang w:val="sr-Cyrl-RS"/>
        </w:rPr>
        <w:lastRenderedPageBreak/>
        <w:t>конвенција), Конвенцији о међународној трговини заштићеним врстама (</w:t>
      </w:r>
      <w:r w:rsidR="00CB4126" w:rsidRPr="00EF2F18">
        <w:rPr>
          <w:rFonts w:cs="Times New Roman"/>
          <w:i/>
          <w:iCs/>
          <w:sz w:val="22"/>
          <w:lang w:val="sr-Cyrl-RS"/>
        </w:rPr>
        <w:t>CITES</w:t>
      </w:r>
      <w:r w:rsidR="00CB4126" w:rsidRPr="00EF2F18">
        <w:rPr>
          <w:rFonts w:cs="Times New Roman"/>
          <w:sz w:val="22"/>
          <w:lang w:val="sr-Cyrl-RS"/>
        </w:rPr>
        <w:t xml:space="preserve">), Директиви </w:t>
      </w:r>
      <w:r w:rsidR="00D26A94" w:rsidRPr="00EF2F18">
        <w:rPr>
          <w:rFonts w:cs="Times New Roman"/>
          <w:sz w:val="22"/>
          <w:lang w:val="sr-Cyrl-RS"/>
        </w:rPr>
        <w:t>92/43/ЕЕС</w:t>
      </w:r>
      <w:r w:rsidR="002F40F4" w:rsidRPr="00EF2F18">
        <w:rPr>
          <w:rFonts w:cs="Times New Roman"/>
          <w:sz w:val="22"/>
          <w:lang w:val="sr-Cyrl-RS"/>
        </w:rPr>
        <w:t xml:space="preserve"> </w:t>
      </w:r>
      <w:r w:rsidR="00CB4126" w:rsidRPr="00EF2F18">
        <w:rPr>
          <w:rFonts w:cs="Times New Roman"/>
          <w:sz w:val="22"/>
          <w:lang w:val="sr-Cyrl-RS"/>
        </w:rPr>
        <w:t xml:space="preserve">о </w:t>
      </w:r>
      <w:r w:rsidR="00D26A94" w:rsidRPr="00EF2F18">
        <w:rPr>
          <w:rFonts w:cs="Times New Roman"/>
          <w:sz w:val="22"/>
          <w:lang w:val="sr-Cyrl-RS"/>
        </w:rPr>
        <w:t xml:space="preserve">очувању </w:t>
      </w:r>
      <w:r w:rsidR="00CB4126" w:rsidRPr="00EF2F18">
        <w:rPr>
          <w:rFonts w:cs="Times New Roman"/>
          <w:sz w:val="22"/>
          <w:lang w:val="sr-Cyrl-RS"/>
        </w:rPr>
        <w:t>природних станишта и див</w:t>
      </w:r>
      <w:r w:rsidRPr="00EF2F18">
        <w:rPr>
          <w:rFonts w:cs="Times New Roman"/>
          <w:sz w:val="22"/>
          <w:lang w:val="sr-Cyrl-RS"/>
        </w:rPr>
        <w:t>љ</w:t>
      </w:r>
      <w:r w:rsidR="00CB4126" w:rsidRPr="00EF2F18">
        <w:rPr>
          <w:rFonts w:cs="Times New Roman"/>
          <w:sz w:val="22"/>
          <w:lang w:val="sr-Cyrl-RS"/>
        </w:rPr>
        <w:t>е фло</w:t>
      </w:r>
      <w:r w:rsidRPr="00EF2F18">
        <w:rPr>
          <w:rFonts w:cs="Times New Roman"/>
          <w:sz w:val="22"/>
          <w:lang w:val="sr-Cyrl-RS"/>
        </w:rPr>
        <w:t>р</w:t>
      </w:r>
      <w:r w:rsidR="00CB4126" w:rsidRPr="00EF2F18">
        <w:rPr>
          <w:rFonts w:cs="Times New Roman"/>
          <w:sz w:val="22"/>
          <w:lang w:val="sr-Cyrl-RS"/>
        </w:rPr>
        <w:t xml:space="preserve">е и фауне, као и Директиви </w:t>
      </w:r>
      <w:r w:rsidR="00D26A94" w:rsidRPr="00EF2F18">
        <w:rPr>
          <w:rFonts w:cs="Times New Roman"/>
          <w:sz w:val="22"/>
          <w:lang w:val="sr-Cyrl-RS"/>
        </w:rPr>
        <w:t>79/409/ЕЕС</w:t>
      </w:r>
      <w:r w:rsidR="002F40F4" w:rsidRPr="00EF2F18">
        <w:rPr>
          <w:rFonts w:cs="Times New Roman"/>
          <w:sz w:val="22"/>
          <w:lang w:val="sr-Cyrl-RS"/>
        </w:rPr>
        <w:t xml:space="preserve"> </w:t>
      </w:r>
      <w:r w:rsidR="00CB4126" w:rsidRPr="00EF2F18">
        <w:rPr>
          <w:rFonts w:cs="Times New Roman"/>
          <w:sz w:val="22"/>
          <w:lang w:val="sr-Cyrl-RS"/>
        </w:rPr>
        <w:t xml:space="preserve">о </w:t>
      </w:r>
      <w:r w:rsidR="00D26A94" w:rsidRPr="00EF2F18">
        <w:rPr>
          <w:rFonts w:cs="Times New Roman"/>
          <w:sz w:val="22"/>
          <w:lang w:val="sr-Cyrl-RS"/>
        </w:rPr>
        <w:t xml:space="preserve">очувању дивљих </w:t>
      </w:r>
      <w:r w:rsidR="00CB4126" w:rsidRPr="00EF2F18">
        <w:rPr>
          <w:rFonts w:cs="Times New Roman"/>
          <w:sz w:val="22"/>
          <w:lang w:val="sr-Cyrl-RS"/>
        </w:rPr>
        <w:t>птица.</w:t>
      </w:r>
    </w:p>
    <w:p w14:paraId="7C63386E" w14:textId="114FD036"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CB4126" w:rsidRPr="00EF2F18">
        <w:rPr>
          <w:rFonts w:cs="Times New Roman"/>
          <w:sz w:val="22"/>
          <w:lang w:val="sr-Cyrl-RS" w:eastAsia="en-GB"/>
        </w:rPr>
        <w:t>Мин</w:t>
      </w:r>
      <w:r w:rsidR="004724C6" w:rsidRPr="00EF2F18">
        <w:rPr>
          <w:rFonts w:cs="Times New Roman"/>
          <w:sz w:val="22"/>
          <w:lang w:val="sr-Cyrl-RS" w:eastAsia="en-GB"/>
        </w:rPr>
        <w:t>и</w:t>
      </w:r>
      <w:r w:rsidR="00CB4126" w:rsidRPr="00EF2F18">
        <w:rPr>
          <w:rFonts w:cs="Times New Roman"/>
          <w:sz w:val="22"/>
          <w:lang w:val="sr-Cyrl-RS" w:eastAsia="en-GB"/>
        </w:rPr>
        <w:t>старство пољопривреде, шумарства и водопривреде</w:t>
      </w:r>
      <w:r w:rsidR="00E030C7" w:rsidRPr="00EF2F18">
        <w:rPr>
          <w:rFonts w:cs="Times New Roman"/>
          <w:sz w:val="22"/>
          <w:lang w:val="sr-Cyrl-RS" w:eastAsia="en-GB"/>
        </w:rPr>
        <w:t xml:space="preserve"> </w:t>
      </w:r>
      <w:r w:rsidR="00E306F5">
        <w:rPr>
          <w:rFonts w:cs="Times New Roman"/>
          <w:sz w:val="22"/>
          <w:lang w:val="sr-Cyrl-RS" w:eastAsia="en-GB"/>
        </w:rPr>
        <w:t>–</w:t>
      </w:r>
      <w:r w:rsidR="00E030C7" w:rsidRPr="00EF2F18">
        <w:rPr>
          <w:rFonts w:cs="Times New Roman"/>
          <w:sz w:val="22"/>
          <w:lang w:val="sr-Cyrl-RS" w:eastAsia="en-GB"/>
        </w:rPr>
        <w:t>Управа за шуме</w:t>
      </w:r>
      <w:r w:rsidR="004724C6" w:rsidRPr="00EF2F18">
        <w:rPr>
          <w:rFonts w:cs="Times New Roman"/>
          <w:sz w:val="22"/>
          <w:lang w:val="sr-Cyrl-RS" w:eastAsia="en-GB"/>
        </w:rPr>
        <w:t>.</w:t>
      </w:r>
    </w:p>
    <w:p w14:paraId="0578D837" w14:textId="4B4B4221"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E030C7" w:rsidRPr="00EF2F18">
        <w:rPr>
          <w:rFonts w:cs="Times New Roman"/>
          <w:sz w:val="22"/>
          <w:lang w:val="sr-Cyrl-RS" w:eastAsia="en-GB"/>
        </w:rPr>
        <w:t xml:space="preserve"> </w:t>
      </w:r>
      <w:r w:rsidR="00576539" w:rsidRPr="00EF2F18">
        <w:rPr>
          <w:rFonts w:cs="Times New Roman"/>
          <w:sz w:val="22"/>
          <w:lang w:val="sr-Cyrl-RS" w:eastAsia="en-GB"/>
        </w:rPr>
        <w:t xml:space="preserve">Министарство заштите животне средине, </w:t>
      </w:r>
      <w:r w:rsidR="007378D5" w:rsidRPr="00EF2F18">
        <w:rPr>
          <w:rFonts w:cs="Times New Roman"/>
          <w:sz w:val="22"/>
          <w:lang w:val="sr-Cyrl-RS" w:eastAsia="en-GB"/>
        </w:rPr>
        <w:t xml:space="preserve">Министарство унутрашњих послова, </w:t>
      </w:r>
      <w:r w:rsidR="00CB4126" w:rsidRPr="00EF2F18">
        <w:rPr>
          <w:rFonts w:cs="Times New Roman"/>
          <w:sz w:val="22"/>
          <w:lang w:val="sr-Cyrl-RS" w:eastAsia="en-GB"/>
        </w:rPr>
        <w:t xml:space="preserve">Завод за заштиту природе Србије, </w:t>
      </w:r>
      <w:r w:rsidR="00576539" w:rsidRPr="00EF2F18">
        <w:rPr>
          <w:rFonts w:cs="Times New Roman"/>
          <w:sz w:val="22"/>
          <w:lang w:val="sr-Cyrl-RS" w:eastAsia="en-GB"/>
        </w:rPr>
        <w:t xml:space="preserve">Покрајински завод за заштиту природе, </w:t>
      </w:r>
      <w:r w:rsidR="00CB4126" w:rsidRPr="00EF2F18">
        <w:rPr>
          <w:rFonts w:cs="Times New Roman"/>
          <w:sz w:val="22"/>
          <w:lang w:val="sr-Cyrl-RS" w:eastAsia="en-GB"/>
        </w:rPr>
        <w:t>Ловачки савез Србије</w:t>
      </w:r>
      <w:r w:rsidR="006870DF" w:rsidRPr="00EF2F18">
        <w:rPr>
          <w:rFonts w:cs="Times New Roman"/>
          <w:sz w:val="22"/>
          <w:lang w:val="sr-Cyrl-RS" w:eastAsia="en-GB"/>
        </w:rPr>
        <w:t>, Агенција за заштиту животне средине</w:t>
      </w:r>
      <w:r w:rsidR="004724C6" w:rsidRPr="00EF2F18">
        <w:rPr>
          <w:rFonts w:cs="Times New Roman"/>
          <w:sz w:val="22"/>
          <w:lang w:val="sr-Cyrl-RS" w:eastAsia="en-GB"/>
        </w:rPr>
        <w:t>.</w:t>
      </w:r>
    </w:p>
    <w:p w14:paraId="080B5A06" w14:textId="7FC7B1C2"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регулаторна</w:t>
      </w:r>
      <w:r w:rsidR="006C2E00" w:rsidRPr="00EF2F18">
        <w:rPr>
          <w:rFonts w:cs="Times New Roman"/>
          <w:sz w:val="22"/>
          <w:lang w:val="sr-Cyrl-RS" w:eastAsia="en-GB"/>
        </w:rPr>
        <w:t>.</w:t>
      </w:r>
    </w:p>
    <w:p w14:paraId="234B3255" w14:textId="77777777" w:rsidR="00616DD0" w:rsidRPr="00EF2F18" w:rsidRDefault="00616DD0" w:rsidP="00616DD0">
      <w:pPr>
        <w:spacing w:after="0"/>
        <w:ind w:firstLine="720"/>
        <w:rPr>
          <w:rFonts w:cs="Times New Roman"/>
          <w:sz w:val="22"/>
          <w:lang w:val="sr-Cyrl-RS"/>
        </w:rPr>
      </w:pPr>
    </w:p>
    <w:p w14:paraId="16D6B0C3" w14:textId="162DF244" w:rsidR="00616DD0" w:rsidRPr="00EF2F18" w:rsidRDefault="00616DD0" w:rsidP="00616DD0">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4.2.3. Заштита и одрживо коришћење рибљег фонда</w:t>
      </w:r>
    </w:p>
    <w:p w14:paraId="25A6359C" w14:textId="77777777" w:rsidR="00D83673" w:rsidRPr="00EF2F18" w:rsidRDefault="00D83673" w:rsidP="00137F89">
      <w:pPr>
        <w:spacing w:after="0"/>
        <w:ind w:firstLine="720"/>
        <w:jc w:val="both"/>
        <w:rPr>
          <w:rFonts w:cs="Times New Roman"/>
          <w:sz w:val="22"/>
          <w:lang w:val="sr-Cyrl-RS"/>
        </w:rPr>
      </w:pPr>
    </w:p>
    <w:p w14:paraId="32D86AAE" w14:textId="31E070CA" w:rsidR="00137F89" w:rsidRPr="00EF2F18" w:rsidRDefault="00137F89" w:rsidP="00137F89">
      <w:pPr>
        <w:spacing w:after="0"/>
        <w:ind w:firstLine="720"/>
        <w:jc w:val="both"/>
        <w:rPr>
          <w:rFonts w:cs="Times New Roman"/>
          <w:sz w:val="22"/>
          <w:lang w:val="sr-Cyrl-RS"/>
        </w:rPr>
      </w:pPr>
      <w:r w:rsidRPr="00EF2F18">
        <w:rPr>
          <w:rFonts w:cs="Times New Roman"/>
          <w:sz w:val="22"/>
          <w:lang w:val="sr-Cyrl-RS"/>
        </w:rPr>
        <w:t xml:space="preserve">Мера </w:t>
      </w:r>
      <w:r w:rsidR="00293FD3" w:rsidRPr="00EF2F18">
        <w:rPr>
          <w:rFonts w:cs="Times New Roman"/>
          <w:sz w:val="22"/>
          <w:lang w:val="sr-Cyrl-RS"/>
        </w:rPr>
        <w:t>се односи на</w:t>
      </w:r>
      <w:r w:rsidRPr="00EF2F18">
        <w:rPr>
          <w:rFonts w:cs="Times New Roman"/>
          <w:sz w:val="22"/>
          <w:lang w:val="sr-Cyrl-RS"/>
        </w:rPr>
        <w:t xml:space="preserve"> одрживо коришћење рибљег фонда и његову заштиту посматрану кроз контролу излова рибе из привредног и рекреативног риболова, као и кроз број издатих дозвола за привредни и рекреативни риболов. </w:t>
      </w:r>
      <w:r w:rsidR="00293FD3" w:rsidRPr="00EF2F18">
        <w:rPr>
          <w:rFonts w:cs="Times New Roman"/>
          <w:sz w:val="22"/>
          <w:lang w:val="sr-Cyrl-RS"/>
        </w:rPr>
        <w:t>Потребна је измена</w:t>
      </w:r>
      <w:r w:rsidRPr="00EF2F18">
        <w:rPr>
          <w:rFonts w:cs="Times New Roman"/>
          <w:sz w:val="22"/>
          <w:lang w:val="sr-Cyrl-RS"/>
        </w:rPr>
        <w:t xml:space="preserve"> </w:t>
      </w:r>
      <w:r w:rsidR="002F40F4" w:rsidRPr="00EF2F18">
        <w:rPr>
          <w:rFonts w:cs="Times New Roman"/>
          <w:sz w:val="22"/>
          <w:lang w:val="sr-Cyrl-RS"/>
        </w:rPr>
        <w:t>Наредбе о марама за очување и заштиту рибљег фонда („Службени гласник РС</w:t>
      </w:r>
      <w:r w:rsidR="00A64280" w:rsidRPr="00EF2F18">
        <w:rPr>
          <w:rFonts w:cs="Times New Roman"/>
          <w:sz w:val="22"/>
          <w:lang w:val="sr-Cyrl-RS"/>
        </w:rPr>
        <w:t>”</w:t>
      </w:r>
      <w:r w:rsidR="002F40F4" w:rsidRPr="00EF2F18">
        <w:rPr>
          <w:rFonts w:cs="Times New Roman"/>
          <w:sz w:val="22"/>
          <w:lang w:val="sr-Cyrl-RS"/>
        </w:rPr>
        <w:t xml:space="preserve">, бр. 56/15 и 94/18) </w:t>
      </w:r>
      <w:r w:rsidRPr="00EF2F18">
        <w:rPr>
          <w:rFonts w:cs="Times New Roman"/>
          <w:sz w:val="22"/>
          <w:lang w:val="sr-Cyrl-RS"/>
        </w:rPr>
        <w:t>и њено усаглашавање са прописима из области заштите природе.</w:t>
      </w:r>
      <w:r w:rsidR="00293FD3" w:rsidRPr="00EF2F18">
        <w:rPr>
          <w:rFonts w:cs="Times New Roman"/>
          <w:sz w:val="22"/>
          <w:lang w:val="sr-Cyrl-RS"/>
        </w:rPr>
        <w:t xml:space="preserve"> Нео</w:t>
      </w:r>
      <w:r w:rsidRPr="00EF2F18">
        <w:rPr>
          <w:rFonts w:cs="Times New Roman"/>
          <w:sz w:val="22"/>
          <w:lang w:val="sr-Cyrl-RS"/>
        </w:rPr>
        <w:t xml:space="preserve">пходно је допунити већ установљену едукацију риболоваца облашћу заштите биодиверзитета. На такав начин осигурава се </w:t>
      </w:r>
      <w:r w:rsidR="00293FD3" w:rsidRPr="00EF2F18">
        <w:rPr>
          <w:rFonts w:cs="Times New Roman"/>
          <w:sz w:val="22"/>
          <w:lang w:val="sr-Cyrl-RS"/>
        </w:rPr>
        <w:t xml:space="preserve">да се </w:t>
      </w:r>
      <w:r w:rsidRPr="00EF2F18">
        <w:rPr>
          <w:rFonts w:cs="Times New Roman"/>
          <w:sz w:val="22"/>
          <w:lang w:val="sr-Cyrl-RS"/>
        </w:rPr>
        <w:t xml:space="preserve">велики број грађана, који су у директном контакту са природом, може укључити у активности очувања рибљег фонда, као и заштити станишта (веза са мером 6.1.6. ове </w:t>
      </w:r>
      <w:r w:rsidR="00E306F5" w:rsidRPr="00EF2F18">
        <w:rPr>
          <w:rFonts w:cs="Times New Roman"/>
          <w:sz w:val="22"/>
          <w:lang w:val="sr-Cyrl-RS"/>
        </w:rPr>
        <w:t>стратегије</w:t>
      </w:r>
      <w:r w:rsidRPr="00EF2F18">
        <w:rPr>
          <w:rFonts w:cs="Times New Roman"/>
          <w:sz w:val="22"/>
          <w:lang w:val="sr-Cyrl-RS"/>
        </w:rPr>
        <w:t xml:space="preserve">). У оквиру реализације ове мере подразумева се и интензивна сарадња са </w:t>
      </w:r>
      <w:r w:rsidR="00E306F5" w:rsidRPr="00E306F5">
        <w:rPr>
          <w:rFonts w:cs="Times New Roman"/>
          <w:sz w:val="22"/>
          <w:lang w:val="sr-Cyrl-RS"/>
        </w:rPr>
        <w:t>Министарств</w:t>
      </w:r>
      <w:r w:rsidR="00E306F5">
        <w:rPr>
          <w:rFonts w:cs="Times New Roman"/>
          <w:sz w:val="22"/>
          <w:lang w:val="sr-Cyrl-RS"/>
        </w:rPr>
        <w:t>ом</w:t>
      </w:r>
      <w:r w:rsidR="00E306F5" w:rsidRPr="00E306F5">
        <w:rPr>
          <w:rFonts w:cs="Times New Roman"/>
          <w:sz w:val="22"/>
          <w:lang w:val="sr-Cyrl-RS"/>
        </w:rPr>
        <w:t xml:space="preserve"> унутрашњих послова</w:t>
      </w:r>
      <w:r w:rsidRPr="00EF2F18">
        <w:rPr>
          <w:rFonts w:cs="Times New Roman"/>
          <w:sz w:val="22"/>
          <w:lang w:val="sr-Cyrl-RS"/>
        </w:rPr>
        <w:t xml:space="preserve"> и надлежном инспекцијом Министарства заштите животне средине и Аутономне покрајине Војводине, те је неопходна редовна процена илегалног риболова и његов утицај на стање рибљег фонда.</w:t>
      </w:r>
    </w:p>
    <w:p w14:paraId="338174AC" w14:textId="4274BBFE" w:rsidR="00137F89" w:rsidRPr="00EF2F18" w:rsidRDefault="00293FD3" w:rsidP="00137F89">
      <w:pPr>
        <w:spacing w:after="0"/>
        <w:ind w:firstLine="720"/>
        <w:jc w:val="both"/>
        <w:rPr>
          <w:rFonts w:cs="Times New Roman"/>
          <w:sz w:val="22"/>
          <w:lang w:val="sr-Cyrl-RS"/>
        </w:rPr>
      </w:pPr>
      <w:r w:rsidRPr="00EF2F18">
        <w:rPr>
          <w:rFonts w:cs="Times New Roman"/>
          <w:sz w:val="22"/>
          <w:lang w:val="sr-Cyrl-RS"/>
        </w:rPr>
        <w:t>Мера је у складу са</w:t>
      </w:r>
      <w:r w:rsidR="00137F89" w:rsidRPr="00EF2F18">
        <w:rPr>
          <w:rFonts w:cs="Times New Roman"/>
          <w:sz w:val="22"/>
          <w:lang w:val="sr-Cyrl-RS"/>
        </w:rPr>
        <w:t xml:space="preserve"> већи</w:t>
      </w:r>
      <w:r w:rsidRPr="00EF2F18">
        <w:rPr>
          <w:rFonts w:cs="Times New Roman"/>
          <w:sz w:val="22"/>
          <w:lang w:val="sr-Cyrl-RS"/>
        </w:rPr>
        <w:t>м</w:t>
      </w:r>
      <w:r w:rsidR="00137F89" w:rsidRPr="00EF2F18">
        <w:rPr>
          <w:rFonts w:cs="Times New Roman"/>
          <w:sz w:val="22"/>
          <w:lang w:val="sr-Cyrl-RS"/>
        </w:rPr>
        <w:t xml:space="preserve"> број</w:t>
      </w:r>
      <w:r w:rsidRPr="00EF2F18">
        <w:rPr>
          <w:rFonts w:cs="Times New Roman"/>
          <w:sz w:val="22"/>
          <w:lang w:val="sr-Cyrl-RS"/>
        </w:rPr>
        <w:t>ем</w:t>
      </w:r>
      <w:r w:rsidR="00137F89" w:rsidRPr="00EF2F18">
        <w:rPr>
          <w:rFonts w:cs="Times New Roman"/>
          <w:sz w:val="22"/>
          <w:lang w:val="sr-Cyrl-RS"/>
        </w:rPr>
        <w:t xml:space="preserve"> билатера</w:t>
      </w:r>
      <w:r w:rsidR="00E306F5">
        <w:rPr>
          <w:rFonts w:cs="Times New Roman"/>
          <w:sz w:val="22"/>
          <w:lang w:val="sr-Cyrl-RS"/>
        </w:rPr>
        <w:t>лних и мултилатералних споразум</w:t>
      </w:r>
      <w:r w:rsidR="00137F89" w:rsidRPr="00EF2F18">
        <w:rPr>
          <w:rFonts w:cs="Times New Roman"/>
          <w:sz w:val="22"/>
          <w:lang w:val="sr-Cyrl-RS"/>
        </w:rPr>
        <w:t>а и стратешких докумената, као што су: Конвенција о очувању европске дивље флоре и фауне и природних станишта, Конвенција о међународној трговини угроженим врстама дивље флоре и фауне , Конвенција о очувању миграторних врста дивљих животиња, Споразум о рибарству у водама Дунава (Букурешт, 1958. године),</w:t>
      </w:r>
      <w:r w:rsidR="005E5FF9" w:rsidRPr="00EF2F18">
        <w:rPr>
          <w:rFonts w:cs="Times New Roman"/>
          <w:sz w:val="22"/>
          <w:lang w:val="sr-Cyrl-RS"/>
        </w:rPr>
        <w:t xml:space="preserve"> </w:t>
      </w:r>
      <w:r w:rsidR="00137F89" w:rsidRPr="00EF2F18">
        <w:rPr>
          <w:rFonts w:cs="Times New Roman"/>
          <w:sz w:val="22"/>
          <w:lang w:val="sr-Cyrl-RS"/>
        </w:rPr>
        <w:t>Споразум о рибарству у граничним водама (Темишвар, 1961), Регионална стратегија за заштиту и одрживо управљање јесетарских популација у северозападном делу Црног мора и доњем Дунаву, у сагласности са CITES (Румунија, 2003.) и Паневропски акциони план за јесетарске врсте (PANEUAP) који је усвојен у оквиру Бернске конвенције 2018 године.</w:t>
      </w:r>
      <w:r w:rsidR="00137F89" w:rsidRPr="00EF2F18">
        <w:rPr>
          <w:lang w:val="sr-Cyrl-RS"/>
        </w:rPr>
        <w:t xml:space="preserve"> </w:t>
      </w:r>
      <w:r w:rsidR="00137F89" w:rsidRPr="00EF2F18">
        <w:rPr>
          <w:rFonts w:cs="Times New Roman"/>
          <w:sz w:val="22"/>
          <w:lang w:val="sr-Cyrl-RS"/>
        </w:rPr>
        <w:t xml:space="preserve">Република Србија је 2023. године приступила Европској саветодавној комисији за риболов у копненим водама (EIFAC - </w:t>
      </w:r>
      <w:r w:rsidR="00137F89" w:rsidRPr="00EF2F18">
        <w:rPr>
          <w:rFonts w:cs="Times New Roman"/>
          <w:i/>
          <w:iCs/>
          <w:sz w:val="22"/>
          <w:lang w:val="sr-Cyrl-RS"/>
        </w:rPr>
        <w:t>Eu</w:t>
      </w:r>
      <w:r w:rsidR="00137F89" w:rsidRPr="00EF2F18">
        <w:rPr>
          <w:rFonts w:cs="Times New Roman"/>
          <w:sz w:val="22"/>
          <w:lang w:val="sr-Cyrl-RS"/>
        </w:rPr>
        <w:t>r</w:t>
      </w:r>
      <w:r w:rsidR="00137F89" w:rsidRPr="00EF2F18">
        <w:rPr>
          <w:rFonts w:cs="Times New Roman"/>
          <w:i/>
          <w:iCs/>
          <w:sz w:val="22"/>
          <w:lang w:val="sr-Cyrl-RS"/>
        </w:rPr>
        <w:t>opean Inland Fisheries Advisory Commission</w:t>
      </w:r>
      <w:r w:rsidR="00137F89" w:rsidRPr="00EF2F18">
        <w:rPr>
          <w:rFonts w:cs="Times New Roman"/>
          <w:sz w:val="22"/>
          <w:lang w:val="sr-Cyrl-RS"/>
        </w:rPr>
        <w:t>), као 36. држава чланица.</w:t>
      </w:r>
    </w:p>
    <w:p w14:paraId="0865ADB3" w14:textId="3D6EB1F4" w:rsidR="00137F89" w:rsidRPr="00EF2F18" w:rsidRDefault="00137F89" w:rsidP="00137F89">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заштите животне средине</w:t>
      </w:r>
      <w:r w:rsidR="00891D8A" w:rsidRPr="00EF2F18">
        <w:rPr>
          <w:rFonts w:cs="Times New Roman"/>
          <w:sz w:val="22"/>
          <w:lang w:val="sr-Cyrl-RS" w:eastAsia="en-GB"/>
        </w:rPr>
        <w:t>.</w:t>
      </w:r>
    </w:p>
    <w:p w14:paraId="3FC55CE2" w14:textId="733E26DC" w:rsidR="00137F89" w:rsidRPr="00EF2F18" w:rsidRDefault="00137F89" w:rsidP="00137F89">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7378D5" w:rsidRPr="00EF2F18">
        <w:rPr>
          <w:rFonts w:cs="Times New Roman"/>
          <w:sz w:val="22"/>
          <w:lang w:val="sr-Cyrl-RS" w:eastAsia="en-GB"/>
        </w:rPr>
        <w:t xml:space="preserve">Министарство унутрашњих послова, </w:t>
      </w:r>
      <w:r w:rsidR="006870DF" w:rsidRPr="00EF2F18">
        <w:rPr>
          <w:rFonts w:cs="Times New Roman"/>
          <w:sz w:val="22"/>
          <w:lang w:val="sr-Cyrl-RS" w:eastAsia="en-GB"/>
        </w:rPr>
        <w:t xml:space="preserve">Агенција за заштиту животне средине, </w:t>
      </w:r>
      <w:r w:rsidRPr="00EF2F18">
        <w:rPr>
          <w:rFonts w:cs="Times New Roman"/>
          <w:sz w:val="22"/>
          <w:lang w:val="sr-Cyrl-RS" w:eastAsia="en-GB"/>
        </w:rPr>
        <w:t>Покрајински секретаријат за урбанизам и заштиту животне средине, Завод за заштиту природе Србије</w:t>
      </w:r>
      <w:r w:rsidR="00A07B04" w:rsidRPr="00EF2F18">
        <w:rPr>
          <w:rFonts w:cs="Times New Roman"/>
          <w:sz w:val="22"/>
          <w:lang w:val="sr-Cyrl-RS" w:eastAsia="en-GB"/>
        </w:rPr>
        <w:t>, Покрајински завод за заштиту природе</w:t>
      </w:r>
      <w:r w:rsidR="00891D8A" w:rsidRPr="00EF2F18">
        <w:rPr>
          <w:rFonts w:cs="Times New Roman"/>
          <w:sz w:val="22"/>
          <w:lang w:val="sr-Cyrl-RS" w:eastAsia="en-GB"/>
        </w:rPr>
        <w:t>.</w:t>
      </w:r>
    </w:p>
    <w:p w14:paraId="5C5E7B65" w14:textId="5D5E253E" w:rsidR="00616DD0" w:rsidRPr="00EF2F18" w:rsidRDefault="00616DD0" w:rsidP="00616DD0">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регулаторна</w:t>
      </w:r>
      <w:r w:rsidR="006C2E00" w:rsidRPr="00EF2F18">
        <w:rPr>
          <w:rFonts w:cs="Times New Roman"/>
          <w:sz w:val="22"/>
          <w:lang w:val="sr-Cyrl-RS" w:eastAsia="en-GB"/>
        </w:rPr>
        <w:t>.</w:t>
      </w:r>
    </w:p>
    <w:p w14:paraId="13722663" w14:textId="77777777" w:rsidR="00425FCC" w:rsidRPr="00EF2F18" w:rsidRDefault="00425FCC" w:rsidP="00425FCC">
      <w:pPr>
        <w:spacing w:after="0"/>
        <w:ind w:firstLine="720"/>
        <w:rPr>
          <w:rFonts w:cs="Times New Roman"/>
          <w:sz w:val="22"/>
          <w:lang w:val="sr-Cyrl-RS"/>
        </w:rPr>
      </w:pPr>
    </w:p>
    <w:p w14:paraId="2A87C333" w14:textId="3D3F7F34" w:rsidR="0024502E" w:rsidRPr="00EF2F18" w:rsidRDefault="0024502E" w:rsidP="00780F42">
      <w:pPr>
        <w:pStyle w:val="Heading3"/>
        <w:numPr>
          <w:ilvl w:val="2"/>
          <w:numId w:val="2"/>
        </w:numPr>
        <w:spacing w:before="0" w:after="0"/>
        <w:ind w:hanging="731"/>
        <w:jc w:val="center"/>
        <w:rPr>
          <w:rFonts w:cs="Times New Roman"/>
          <w:sz w:val="22"/>
          <w:szCs w:val="22"/>
          <w:lang w:val="sr-Cyrl-RS"/>
        </w:rPr>
      </w:pPr>
      <w:bookmarkStart w:id="130" w:name="_Toc158307741"/>
      <w:r w:rsidRPr="00EF2F18">
        <w:rPr>
          <w:rFonts w:cs="Times New Roman"/>
          <w:sz w:val="22"/>
          <w:szCs w:val="22"/>
          <w:lang w:val="sr-Cyrl-RS"/>
        </w:rPr>
        <w:t>Одржив</w:t>
      </w:r>
      <w:r w:rsidR="00B81A01" w:rsidRPr="00EF2F18">
        <w:rPr>
          <w:rFonts w:cs="Times New Roman"/>
          <w:sz w:val="22"/>
          <w:szCs w:val="22"/>
          <w:lang w:val="sr-Cyrl-RS"/>
        </w:rPr>
        <w:t>a пољопривреда и</w:t>
      </w:r>
      <w:r w:rsidRPr="00EF2F18">
        <w:rPr>
          <w:rFonts w:cs="Times New Roman"/>
          <w:sz w:val="22"/>
          <w:szCs w:val="22"/>
          <w:lang w:val="sr-Cyrl-RS"/>
        </w:rPr>
        <w:t xml:space="preserve"> рурални развој</w:t>
      </w:r>
      <w:bookmarkEnd w:id="130"/>
    </w:p>
    <w:p w14:paraId="1A0606F3" w14:textId="74455BF9" w:rsidR="00EC03D1" w:rsidRPr="00EF2F18" w:rsidRDefault="00EC03D1" w:rsidP="00425FCC">
      <w:pPr>
        <w:spacing w:after="0"/>
        <w:ind w:firstLine="720"/>
        <w:rPr>
          <w:rFonts w:cs="Times New Roman"/>
          <w:sz w:val="22"/>
          <w:lang w:val="sr-Cyrl-RS"/>
        </w:rPr>
      </w:pPr>
    </w:p>
    <w:p w14:paraId="581EE4A7" w14:textId="7A34CBB6"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5.1: </w:t>
      </w:r>
      <w:r w:rsidR="00FA04F8" w:rsidRPr="00EF2F18">
        <w:rPr>
          <w:rFonts w:cs="Times New Roman"/>
          <w:b/>
          <w:bCs/>
          <w:color w:val="2E74B5" w:themeColor="accent1" w:themeShade="BF"/>
          <w:sz w:val="22"/>
          <w:lang w:val="sr-Cyrl-RS"/>
        </w:rPr>
        <w:t>Одржива примарна производња и безбедност хране применом технологија и пракси погодних за животну средину</w:t>
      </w:r>
    </w:p>
    <w:p w14:paraId="1A225B19" w14:textId="77777777" w:rsidR="00753384" w:rsidRDefault="00753384" w:rsidP="00425FCC">
      <w:pPr>
        <w:spacing w:after="0"/>
        <w:ind w:firstLine="720"/>
        <w:jc w:val="both"/>
        <w:rPr>
          <w:rFonts w:cs="Times New Roman"/>
          <w:sz w:val="22"/>
          <w:lang w:val="sr-Cyrl-RS"/>
        </w:rPr>
      </w:pPr>
    </w:p>
    <w:p w14:paraId="42F33897" w14:textId="0B641911" w:rsidR="00FA04F8" w:rsidRPr="00EF2F18" w:rsidRDefault="00FA04F8" w:rsidP="00425FCC">
      <w:pPr>
        <w:spacing w:after="0"/>
        <w:ind w:firstLine="720"/>
        <w:jc w:val="both"/>
        <w:rPr>
          <w:rFonts w:cs="Times New Roman"/>
          <w:sz w:val="22"/>
          <w:lang w:val="sr-Cyrl-RS"/>
        </w:rPr>
      </w:pPr>
      <w:r w:rsidRPr="00EF2F18">
        <w:rPr>
          <w:rFonts w:cs="Times New Roman"/>
          <w:sz w:val="22"/>
          <w:lang w:val="sr-Cyrl-RS"/>
        </w:rPr>
        <w:t>Спровођење овог циља базирано је на стратешким опредељењима дефинисаним у стубу пет Зелене агенде за Западни Балкан, у којима су интегрисани еколошки и климатски циљеви три европске стратегије које се тичу животне средине и климе у области производње хране, и то: „С</w:t>
      </w:r>
      <w:r w:rsidR="00616DD0" w:rsidRPr="00EF2F18">
        <w:rPr>
          <w:rFonts w:cs="Times New Roman"/>
          <w:sz w:val="22"/>
          <w:lang w:val="sr-Cyrl-RS"/>
        </w:rPr>
        <w:t>т</w:t>
      </w:r>
      <w:r w:rsidRPr="00EF2F18">
        <w:rPr>
          <w:rFonts w:cs="Times New Roman"/>
          <w:sz w:val="22"/>
          <w:lang w:val="sr-Cyrl-RS"/>
        </w:rPr>
        <w:t>р</w:t>
      </w:r>
      <w:r w:rsidR="00616DD0" w:rsidRPr="00EF2F18">
        <w:rPr>
          <w:rFonts w:cs="Times New Roman"/>
          <w:sz w:val="22"/>
          <w:lang w:val="sr-Cyrl-RS"/>
        </w:rPr>
        <w:t>а</w:t>
      </w:r>
      <w:r w:rsidRPr="00EF2F18">
        <w:rPr>
          <w:rFonts w:cs="Times New Roman"/>
          <w:sz w:val="22"/>
          <w:lang w:val="sr-Cyrl-RS"/>
        </w:rPr>
        <w:t>тегије од њиве до трпезе</w:t>
      </w:r>
      <w:r w:rsidR="00CF307C" w:rsidRPr="00EF2F18">
        <w:rPr>
          <w:rFonts w:cs="Times New Roman"/>
          <w:sz w:val="22"/>
          <w:lang w:val="sr-Cyrl-RS"/>
        </w:rPr>
        <w:t>”</w:t>
      </w:r>
      <w:r w:rsidRPr="00EF2F18">
        <w:rPr>
          <w:rFonts w:cs="Times New Roman"/>
          <w:sz w:val="22"/>
          <w:lang w:val="sr-Cyrl-RS"/>
        </w:rPr>
        <w:t>, „Стратегије ЕУ о биодиверзитету за 2030. – Враћање природе у наше животе</w:t>
      </w:r>
      <w:r w:rsidR="00CF307C" w:rsidRPr="00EF2F18">
        <w:rPr>
          <w:rFonts w:cs="Times New Roman"/>
          <w:sz w:val="22"/>
          <w:lang w:val="sr-Cyrl-RS"/>
        </w:rPr>
        <w:t>”</w:t>
      </w:r>
      <w:r w:rsidRPr="00EF2F18">
        <w:rPr>
          <w:rFonts w:cs="Times New Roman"/>
          <w:sz w:val="22"/>
          <w:lang w:val="sr-Cyrl-RS"/>
        </w:rPr>
        <w:t xml:space="preserve"> и</w:t>
      </w:r>
      <w:r w:rsidR="00B9180A" w:rsidRPr="00EF2F18">
        <w:rPr>
          <w:rFonts w:cs="Times New Roman"/>
          <w:sz w:val="22"/>
          <w:lang w:val="sr-Cyrl-RS"/>
        </w:rPr>
        <w:t xml:space="preserve"> </w:t>
      </w:r>
      <w:r w:rsidRPr="00EF2F18">
        <w:rPr>
          <w:rFonts w:cs="Times New Roman"/>
          <w:sz w:val="22"/>
          <w:lang w:val="sr-Cyrl-RS"/>
        </w:rPr>
        <w:t>Заједничкoj пољопривреднoj политици: 2023-</w:t>
      </w:r>
      <w:r w:rsidR="00616DD0" w:rsidRPr="00EF2F18">
        <w:rPr>
          <w:rFonts w:cs="Times New Roman"/>
          <w:sz w:val="22"/>
          <w:lang w:val="sr-Cyrl-RS"/>
        </w:rPr>
        <w:t>20</w:t>
      </w:r>
      <w:r w:rsidRPr="00EF2F18">
        <w:rPr>
          <w:rFonts w:cs="Times New Roman"/>
          <w:sz w:val="22"/>
          <w:lang w:val="sr-Cyrl-RS"/>
        </w:rPr>
        <w:t>27</w:t>
      </w:r>
      <w:r w:rsidR="00BE2BE0" w:rsidRPr="00EF2F18">
        <w:rPr>
          <w:rFonts w:cs="Times New Roman"/>
          <w:sz w:val="22"/>
          <w:lang w:val="sr-Cyrl-RS"/>
        </w:rPr>
        <w:t>”</w:t>
      </w:r>
      <w:r w:rsidRPr="00EF2F18">
        <w:rPr>
          <w:rFonts w:cs="Times New Roman"/>
          <w:sz w:val="22"/>
          <w:lang w:val="sr-Cyrl-RS"/>
        </w:rPr>
        <w:t>. У формулисању овог циља узети су</w:t>
      </w:r>
      <w:r w:rsidR="00B865BB" w:rsidRPr="00EF2F18">
        <w:rPr>
          <w:rFonts w:cs="Times New Roman"/>
          <w:sz w:val="22"/>
          <w:lang w:val="sr-Cyrl-RS"/>
        </w:rPr>
        <w:t xml:space="preserve"> у</w:t>
      </w:r>
      <w:r w:rsidRPr="00EF2F18">
        <w:rPr>
          <w:rFonts w:cs="Times New Roman"/>
          <w:sz w:val="22"/>
          <w:lang w:val="sr-Cyrl-RS"/>
        </w:rPr>
        <w:t xml:space="preserve"> обзир средњорочни развојни приоритети сектора</w:t>
      </w:r>
      <w:r w:rsidR="00B865BB" w:rsidRPr="00EF2F18">
        <w:rPr>
          <w:rFonts w:cs="Times New Roman"/>
          <w:sz w:val="22"/>
          <w:lang w:val="sr-Cyrl-RS"/>
        </w:rPr>
        <w:t xml:space="preserve"> који су</w:t>
      </w:r>
      <w:r w:rsidRPr="00EF2F18">
        <w:rPr>
          <w:rFonts w:cs="Times New Roman"/>
          <w:sz w:val="22"/>
          <w:lang w:val="sr-Cyrl-RS"/>
        </w:rPr>
        <w:t xml:space="preserve"> дефинисани</w:t>
      </w:r>
      <w:r w:rsidR="00091540" w:rsidRPr="00EF2F18">
        <w:rPr>
          <w:rFonts w:cs="Times New Roman"/>
          <w:sz w:val="22"/>
          <w:lang w:val="sr-Cyrl-RS"/>
        </w:rPr>
        <w:t xml:space="preserve"> </w:t>
      </w:r>
      <w:r w:rsidRPr="00EF2F18">
        <w:rPr>
          <w:rFonts w:cs="Times New Roman"/>
          <w:sz w:val="22"/>
          <w:lang w:val="sr-Cyrl-RS"/>
        </w:rPr>
        <w:t xml:space="preserve">ИПАРД III програмом Републике Србије за период 2021-2027. године и Средњорочним програмом развоја саветодавних послова у пољопривреди за период од 2021. до 2025. године. </w:t>
      </w:r>
    </w:p>
    <w:p w14:paraId="3436C0DF" w14:textId="07CEC01E" w:rsidR="00491EBE" w:rsidRPr="00EF2F18" w:rsidRDefault="00FA04F8" w:rsidP="00425FCC">
      <w:pPr>
        <w:spacing w:after="0"/>
        <w:ind w:firstLine="720"/>
        <w:jc w:val="both"/>
        <w:rPr>
          <w:rFonts w:cs="Times New Roman"/>
          <w:sz w:val="22"/>
          <w:lang w:val="sr-Cyrl-RS"/>
        </w:rPr>
      </w:pPr>
      <w:r w:rsidRPr="00EF2F18">
        <w:rPr>
          <w:rFonts w:cs="Times New Roman"/>
          <w:sz w:val="22"/>
          <w:lang w:val="sr-Cyrl-RS"/>
        </w:rPr>
        <w:lastRenderedPageBreak/>
        <w:t>Поред тога, у обзир су узети и циљеви постављени у стратегијама и програмима других сектора, а који се тичу одрживог пољопривредно-прехрамбеног система, укључујући Стратегију паметне специјализације у Републици Србији за период 2020. до 2027. године.</w:t>
      </w:r>
    </w:p>
    <w:p w14:paraId="1D1481CF" w14:textId="2A6286B4" w:rsidR="0008252C" w:rsidRPr="00EF2F18" w:rsidRDefault="0008252C" w:rsidP="0008252C">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w:t>
      </w:r>
      <w:r w:rsidR="00BF389C" w:rsidRPr="00EF2F18">
        <w:rPr>
          <w:rFonts w:cs="Times New Roman"/>
          <w:sz w:val="22"/>
          <w:lang w:val="sr-Cyrl-RS"/>
        </w:rPr>
        <w:t xml:space="preserve">2 који </w:t>
      </w:r>
      <w:r w:rsidR="00BF389C" w:rsidRPr="00EF2F18">
        <w:rPr>
          <w:sz w:val="22"/>
          <w:lang w:val="sr-Cyrl-RS"/>
        </w:rPr>
        <w:t xml:space="preserve">предвиђа окончање глади и обезбеђивање безбедности хране, побољшану исхрану и промовисање одрживе пољопривреде која је кључна за такву исхрану, односно остваривању потциља </w:t>
      </w:r>
      <w:r w:rsidR="00BF389C" w:rsidRPr="00EF2F18">
        <w:rPr>
          <w:rFonts w:cs="Times New Roman"/>
          <w:sz w:val="22"/>
          <w:lang w:val="sr-Cyrl-RS"/>
        </w:rPr>
        <w:t>2.4. који</w:t>
      </w:r>
      <w:r w:rsidR="003F423E" w:rsidRPr="00EF2F18">
        <w:rPr>
          <w:rFonts w:cs="Times New Roman"/>
          <w:sz w:val="22"/>
          <w:lang w:val="sr-Cyrl-RS"/>
        </w:rPr>
        <w:t>м се</w:t>
      </w:r>
      <w:r w:rsidR="00BF389C" w:rsidRPr="00EF2F18">
        <w:rPr>
          <w:rFonts w:cs="Times New Roman"/>
          <w:sz w:val="22"/>
          <w:lang w:val="sr-Cyrl-RS"/>
        </w:rPr>
        <w:t xml:space="preserve"> предвиђа обезбеђивање одрживих система за производњу хране и примену отпорне пољопривредне праксе за повећање продуктивности и производње, које помажу у одржавању екосистема, јачају капацитет за прилагођавање климатским променама, и које прогресивно побољшавају квалитет земљишта и тла</w:t>
      </w:r>
      <w:r w:rsidR="003F423E" w:rsidRPr="00EF2F18">
        <w:rPr>
          <w:sz w:val="22"/>
          <w:lang w:val="sr-Cyrl-RS"/>
        </w:rPr>
        <w:t>.</w:t>
      </w:r>
    </w:p>
    <w:p w14:paraId="3391FB90" w14:textId="77777777" w:rsidR="00491EBE" w:rsidRPr="00EF2F18" w:rsidRDefault="00491EBE" w:rsidP="00425FCC">
      <w:pPr>
        <w:spacing w:after="0"/>
        <w:ind w:firstLine="720"/>
        <w:rPr>
          <w:rFonts w:cs="Times New Roman"/>
          <w:sz w:val="22"/>
          <w:lang w:val="sr-Cyrl-RS"/>
        </w:rPr>
      </w:pPr>
    </w:p>
    <w:p w14:paraId="026C80E8" w14:textId="2936D1B4"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5.1.1. </w:t>
      </w:r>
      <w:r w:rsidR="00FA04F8" w:rsidRPr="00EF2F18">
        <w:rPr>
          <w:rFonts w:cs="Times New Roman"/>
          <w:b/>
          <w:bCs/>
          <w:sz w:val="22"/>
          <w:lang w:val="sr-Cyrl-RS" w:eastAsia="en-GB"/>
        </w:rPr>
        <w:t>Унапређење правног оквира у области пољопривреде везаних за заштиту животне средине</w:t>
      </w:r>
      <w:r w:rsidR="00380F20" w:rsidRPr="00EF2F18">
        <w:rPr>
          <w:rFonts w:cs="Times New Roman"/>
          <w:b/>
          <w:bCs/>
          <w:sz w:val="22"/>
          <w:lang w:val="sr-Cyrl-RS" w:eastAsia="en-GB"/>
        </w:rPr>
        <w:t xml:space="preserve"> и климатске промене</w:t>
      </w:r>
    </w:p>
    <w:p w14:paraId="2604F398" w14:textId="77777777" w:rsidR="00D83673" w:rsidRPr="00EF2F18" w:rsidRDefault="00D83673" w:rsidP="00425FCC">
      <w:pPr>
        <w:spacing w:after="0"/>
        <w:ind w:firstLine="720"/>
        <w:jc w:val="both"/>
        <w:rPr>
          <w:rFonts w:cs="Times New Roman"/>
          <w:sz w:val="22"/>
          <w:lang w:val="sr-Cyrl-RS"/>
        </w:rPr>
      </w:pPr>
    </w:p>
    <w:p w14:paraId="179A0399" w14:textId="74637178" w:rsidR="00491EBE" w:rsidRPr="00EF2F18" w:rsidRDefault="00FA04F8" w:rsidP="00425FCC">
      <w:pPr>
        <w:spacing w:after="0"/>
        <w:ind w:firstLine="720"/>
        <w:jc w:val="both"/>
        <w:rPr>
          <w:rFonts w:cs="Times New Roman"/>
          <w:sz w:val="22"/>
          <w:lang w:val="sr-Cyrl-RS"/>
        </w:rPr>
      </w:pPr>
      <w:r w:rsidRPr="00EF2F18">
        <w:rPr>
          <w:rFonts w:cs="Times New Roman"/>
          <w:sz w:val="22"/>
          <w:lang w:val="sr-Cyrl-RS"/>
        </w:rPr>
        <w:t xml:space="preserve">Мера </w:t>
      </w:r>
      <w:r w:rsidR="0042225F" w:rsidRPr="00EF2F18">
        <w:rPr>
          <w:rFonts w:cs="Times New Roman"/>
          <w:sz w:val="22"/>
          <w:lang w:val="sr-Cyrl-RS"/>
        </w:rPr>
        <w:t>треба</w:t>
      </w:r>
      <w:r w:rsidRPr="00EF2F18">
        <w:rPr>
          <w:rFonts w:cs="Times New Roman"/>
          <w:sz w:val="22"/>
          <w:lang w:val="sr-Cyrl-RS"/>
        </w:rPr>
        <w:t xml:space="preserve"> да обезбеди усклађивање прописа и политика </w:t>
      </w:r>
      <w:r w:rsidR="0042225F" w:rsidRPr="00EF2F18">
        <w:rPr>
          <w:rFonts w:cs="Times New Roman"/>
          <w:bCs/>
          <w:sz w:val="22"/>
          <w:lang w:val="sr-Cyrl-RS" w:eastAsia="en-GB"/>
        </w:rPr>
        <w:t>у области пољопривреде везаних за заштиту животне средине</w:t>
      </w:r>
      <w:r w:rsidRPr="00EF2F18">
        <w:rPr>
          <w:rFonts w:cs="Times New Roman"/>
          <w:sz w:val="22"/>
          <w:lang w:val="sr-Cyrl-RS"/>
        </w:rPr>
        <w:t xml:space="preserve"> са обавезама које проистичу из правне тековине Европске уније, што ће се постићи транспоновањем оних европских директива које нису у потпуности транспоноване (у складу са Националним програмом за усвајање правних тековина ЕУ у области пољопривреде), као</w:t>
      </w:r>
      <w:r w:rsidR="00B9180A" w:rsidRPr="00EF2F18">
        <w:rPr>
          <w:rFonts w:cs="Times New Roman"/>
          <w:sz w:val="22"/>
          <w:lang w:val="sr-Cyrl-RS"/>
        </w:rPr>
        <w:t xml:space="preserve"> </w:t>
      </w:r>
      <w:r w:rsidRPr="00EF2F18">
        <w:rPr>
          <w:rFonts w:cs="Times New Roman"/>
          <w:sz w:val="22"/>
          <w:lang w:val="sr-Cyrl-RS"/>
        </w:rPr>
        <w:t>и и израдом нових законских и подзаконских прописа у складу са прописима Европске уније и ратификованим конвенцијама</w:t>
      </w:r>
      <w:r w:rsidR="0042225F" w:rsidRPr="00EF2F18">
        <w:rPr>
          <w:rFonts w:cs="Times New Roman"/>
          <w:sz w:val="22"/>
          <w:lang w:val="sr-Cyrl-RS"/>
        </w:rPr>
        <w:t>.</w:t>
      </w:r>
    </w:p>
    <w:p w14:paraId="0A88CAB9" w14:textId="34563C9B"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FA04F8" w:rsidRPr="00EF2F18">
        <w:rPr>
          <w:rFonts w:cs="Times New Roman"/>
          <w:sz w:val="22"/>
          <w:lang w:val="sr-Cyrl-RS" w:eastAsia="en-GB"/>
        </w:rPr>
        <w:t>Министарство пољопривреде, шумарства и водопривреде</w:t>
      </w:r>
      <w:r w:rsidR="00891D8A" w:rsidRPr="00EF2F18">
        <w:rPr>
          <w:rFonts w:cs="Times New Roman"/>
          <w:sz w:val="22"/>
          <w:lang w:val="sr-Cyrl-RS" w:eastAsia="en-GB"/>
        </w:rPr>
        <w:t>.</w:t>
      </w:r>
    </w:p>
    <w:p w14:paraId="3CD5BFEC" w14:textId="6F1E76C2"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041DB9" w:rsidRPr="00EF2F18">
        <w:rPr>
          <w:rFonts w:cs="Times New Roman"/>
          <w:sz w:val="22"/>
          <w:lang w:val="sr-Cyrl-RS" w:eastAsia="en-GB"/>
        </w:rPr>
        <w:t xml:space="preserve">надлежна министарства, АП Војводина, </w:t>
      </w:r>
      <w:r w:rsidR="000005B8" w:rsidRPr="00EF2F18">
        <w:rPr>
          <w:rFonts w:cs="Times New Roman"/>
          <w:sz w:val="22"/>
          <w:lang w:val="sr-Cyrl-RS" w:eastAsia="en-GB"/>
        </w:rPr>
        <w:t xml:space="preserve">јединице </w:t>
      </w:r>
      <w:r w:rsidR="00576539" w:rsidRPr="00EF2F18">
        <w:rPr>
          <w:rFonts w:cs="Times New Roman"/>
          <w:sz w:val="22"/>
          <w:lang w:val="sr-Cyrl-RS" w:eastAsia="en-GB"/>
        </w:rPr>
        <w:t xml:space="preserve">локалне самоуправе, </w:t>
      </w:r>
      <w:r w:rsidR="009F7D64" w:rsidRPr="00EF2F18">
        <w:rPr>
          <w:rFonts w:cs="Times New Roman"/>
          <w:sz w:val="22"/>
          <w:lang w:val="sr-Cyrl-RS" w:eastAsia="en-GB"/>
        </w:rPr>
        <w:t>удружења пољопривредника</w:t>
      </w:r>
      <w:r w:rsidR="00891D8A" w:rsidRPr="00EF2F18">
        <w:rPr>
          <w:rFonts w:cs="Times New Roman"/>
          <w:sz w:val="22"/>
          <w:lang w:val="sr-Cyrl-RS" w:eastAsia="en-GB"/>
        </w:rPr>
        <w:t>.</w:t>
      </w:r>
    </w:p>
    <w:p w14:paraId="6F309AB8" w14:textId="1B686B23"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FA04F8" w:rsidRPr="00EF2F18">
        <w:rPr>
          <w:rFonts w:cs="Times New Roman"/>
          <w:sz w:val="22"/>
          <w:lang w:val="sr-Cyrl-RS" w:eastAsia="en-GB"/>
        </w:rPr>
        <w:t>регулаторна</w:t>
      </w:r>
      <w:r w:rsidR="006C2E00" w:rsidRPr="00EF2F18">
        <w:rPr>
          <w:rFonts w:cs="Times New Roman"/>
          <w:sz w:val="22"/>
          <w:lang w:val="sr-Cyrl-RS" w:eastAsia="en-GB"/>
        </w:rPr>
        <w:t>.</w:t>
      </w:r>
      <w:r w:rsidRPr="00EF2F18">
        <w:rPr>
          <w:rFonts w:cs="Times New Roman"/>
          <w:sz w:val="22"/>
          <w:lang w:val="sr-Cyrl-RS" w:eastAsia="en-GB"/>
        </w:rPr>
        <w:t xml:space="preserve"> </w:t>
      </w:r>
    </w:p>
    <w:p w14:paraId="36AC8AD1" w14:textId="77777777" w:rsidR="00491EBE" w:rsidRPr="00EF2F18" w:rsidRDefault="00491EBE" w:rsidP="00425FCC">
      <w:pPr>
        <w:spacing w:after="0"/>
        <w:ind w:firstLine="720"/>
        <w:jc w:val="both"/>
        <w:rPr>
          <w:rFonts w:cs="Times New Roman"/>
          <w:sz w:val="22"/>
          <w:lang w:val="sr-Cyrl-RS" w:eastAsia="en-GB"/>
        </w:rPr>
      </w:pPr>
    </w:p>
    <w:p w14:paraId="14564513" w14:textId="7F9BF844"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5.1.2. </w:t>
      </w:r>
      <w:r w:rsidR="00FA04F8" w:rsidRPr="00EF2F18">
        <w:rPr>
          <w:rFonts w:cs="Times New Roman"/>
          <w:b/>
          <w:bCs/>
          <w:sz w:val="22"/>
          <w:lang w:val="sr-Cyrl-RS" w:eastAsia="en-GB"/>
        </w:rPr>
        <w:t>Јачање капацитета институција за спровођењ</w:t>
      </w:r>
      <w:r w:rsidR="00680083" w:rsidRPr="00EF2F18">
        <w:rPr>
          <w:rFonts w:cs="Times New Roman"/>
          <w:b/>
          <w:bCs/>
          <w:sz w:val="22"/>
          <w:lang w:val="sr-Cyrl-RS" w:eastAsia="en-GB"/>
        </w:rPr>
        <w:t>e</w:t>
      </w:r>
      <w:r w:rsidR="00FA04F8" w:rsidRPr="00EF2F18">
        <w:rPr>
          <w:rFonts w:cs="Times New Roman"/>
          <w:b/>
          <w:bCs/>
          <w:sz w:val="22"/>
          <w:lang w:val="sr-Cyrl-RS" w:eastAsia="en-GB"/>
        </w:rPr>
        <w:t xml:space="preserve"> прописа у области заштите животне средине у пољопривредно-прехрамбеном сектору</w:t>
      </w:r>
    </w:p>
    <w:p w14:paraId="2A933E0A" w14:textId="710A33B8" w:rsidR="00B865BB" w:rsidRPr="00EF2F18" w:rsidRDefault="00FA04F8" w:rsidP="00425FCC">
      <w:pPr>
        <w:spacing w:after="0"/>
        <w:ind w:firstLine="720"/>
        <w:jc w:val="both"/>
        <w:rPr>
          <w:w w:val="105"/>
          <w:sz w:val="22"/>
          <w:lang w:val="sr-Cyrl-RS"/>
        </w:rPr>
      </w:pPr>
      <w:r w:rsidRPr="00EF2F18">
        <w:rPr>
          <w:rFonts w:cs="Times New Roman"/>
          <w:sz w:val="22"/>
          <w:lang w:val="sr-Cyrl-RS"/>
        </w:rPr>
        <w:t xml:space="preserve">Мера </w:t>
      </w:r>
      <w:r w:rsidR="0042225F" w:rsidRPr="00EF2F18">
        <w:rPr>
          <w:rFonts w:cs="Times New Roman"/>
          <w:sz w:val="22"/>
          <w:lang w:val="sr-Cyrl-RS"/>
        </w:rPr>
        <w:t>подразумева у</w:t>
      </w:r>
      <w:r w:rsidRPr="00EF2F18">
        <w:rPr>
          <w:rFonts w:cs="Times New Roman"/>
          <w:sz w:val="22"/>
          <w:lang w:val="sr-Cyrl-RS"/>
        </w:rPr>
        <w:t>напређење капацитета ин</w:t>
      </w:r>
      <w:r w:rsidR="0042225F" w:rsidRPr="00EF2F18">
        <w:rPr>
          <w:rFonts w:cs="Times New Roman"/>
          <w:sz w:val="22"/>
          <w:lang w:val="sr-Cyrl-RS"/>
        </w:rPr>
        <w:t>спекцијских служби и институцио</w:t>
      </w:r>
      <w:r w:rsidRPr="00EF2F18">
        <w:rPr>
          <w:rFonts w:cs="Times New Roman"/>
          <w:sz w:val="22"/>
          <w:lang w:val="sr-Cyrl-RS"/>
        </w:rPr>
        <w:t xml:space="preserve">налних капацитета за </w:t>
      </w:r>
      <w:r w:rsidR="00B865BB" w:rsidRPr="00EF2F18">
        <w:rPr>
          <w:spacing w:val="-10"/>
          <w:w w:val="105"/>
          <w:sz w:val="22"/>
          <w:lang w:val="sr-Cyrl-RS"/>
        </w:rPr>
        <w:t>спровођење инспекцијског надзора</w:t>
      </w:r>
      <w:r w:rsidR="00B865BB" w:rsidRPr="00EF2F18">
        <w:rPr>
          <w:w w:val="105"/>
          <w:sz w:val="22"/>
          <w:lang w:val="sr-Cyrl-RS"/>
        </w:rPr>
        <w:t xml:space="preserve">. Мера предвиђа кадровско јачање и техничко-технолошко опремање инспекцијских служби, али и </w:t>
      </w:r>
      <w:r w:rsidR="00A81B0D" w:rsidRPr="00EF2F18">
        <w:rPr>
          <w:w w:val="105"/>
          <w:sz w:val="22"/>
          <w:lang w:val="sr-Cyrl-RS"/>
        </w:rPr>
        <w:t xml:space="preserve">подршку дефинисању </w:t>
      </w:r>
      <w:r w:rsidR="00B865BB" w:rsidRPr="00EF2F18">
        <w:rPr>
          <w:w w:val="105"/>
          <w:sz w:val="22"/>
          <w:lang w:val="sr-Cyrl-RS"/>
        </w:rPr>
        <w:t>инструкција за поступање у случајевима еколошког криминала, како би се повећала ефикасност и повећали ефекти њиховог рада.</w:t>
      </w:r>
    </w:p>
    <w:p w14:paraId="62AF844D" w14:textId="40FE40D8" w:rsidR="00BB3175" w:rsidRPr="00EF2F18" w:rsidRDefault="00BB3175" w:rsidP="00425FCC">
      <w:pPr>
        <w:spacing w:after="0"/>
        <w:ind w:firstLine="720"/>
        <w:jc w:val="both"/>
        <w:rPr>
          <w:rFonts w:cs="Times New Roman"/>
          <w:sz w:val="22"/>
          <w:lang w:val="sr-Cyrl-RS"/>
        </w:rPr>
      </w:pPr>
      <w:r w:rsidRPr="00EF2F18">
        <w:rPr>
          <w:w w:val="105"/>
          <w:sz w:val="22"/>
          <w:lang w:val="sr-Cyrl-RS"/>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7AB6F485" w14:textId="05EFF655" w:rsidR="00B865BB" w:rsidRPr="00EF2F18" w:rsidRDefault="00B865BB" w:rsidP="00B865BB">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пољопривреде, шумарства и водопривреде</w:t>
      </w:r>
      <w:r w:rsidR="00891D8A" w:rsidRPr="00EF2F18">
        <w:rPr>
          <w:rFonts w:cs="Times New Roman"/>
          <w:sz w:val="22"/>
          <w:lang w:val="sr-Cyrl-RS" w:eastAsia="en-GB"/>
        </w:rPr>
        <w:t>.</w:t>
      </w:r>
    </w:p>
    <w:p w14:paraId="57CF8A6D" w14:textId="305A357F" w:rsidR="00B865BB" w:rsidRPr="00EF2F18" w:rsidRDefault="00B865BB" w:rsidP="00B865BB">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0D14BD" w:rsidRPr="00EF2F18">
        <w:rPr>
          <w:rFonts w:cs="Times New Roman"/>
          <w:sz w:val="22"/>
          <w:lang w:val="sr-Cyrl-RS" w:eastAsia="en-GB"/>
        </w:rPr>
        <w:t xml:space="preserve"> </w:t>
      </w:r>
      <w:r w:rsidRPr="00EF2F18">
        <w:rPr>
          <w:rFonts w:cs="Times New Roman"/>
          <w:sz w:val="22"/>
          <w:lang w:val="sr-Cyrl-RS" w:eastAsia="en-GB"/>
        </w:rPr>
        <w:t>Агенција за заштиту животне средине</w:t>
      </w:r>
      <w:r w:rsidR="00891D8A" w:rsidRPr="00EF2F18">
        <w:rPr>
          <w:rFonts w:cs="Times New Roman"/>
          <w:sz w:val="22"/>
          <w:lang w:val="sr-Cyrl-RS" w:eastAsia="en-GB"/>
        </w:rPr>
        <w:t>.</w:t>
      </w:r>
      <w:r w:rsidRPr="00EF2F18">
        <w:rPr>
          <w:rFonts w:cs="Times New Roman"/>
          <w:sz w:val="22"/>
          <w:lang w:val="sr-Cyrl-RS" w:eastAsia="en-GB"/>
        </w:rPr>
        <w:t xml:space="preserve"> </w:t>
      </w:r>
    </w:p>
    <w:p w14:paraId="4FFE5808" w14:textId="362D71F1" w:rsidR="00B865BB" w:rsidRPr="00EF2F18" w:rsidRDefault="00B865BB" w:rsidP="00B865BB">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00891D8A" w:rsidRPr="00EF2F18">
        <w:rPr>
          <w:rFonts w:cs="Times New Roman"/>
          <w:sz w:val="22"/>
          <w:lang w:val="sr-Cyrl-RS" w:eastAsia="en-GB"/>
        </w:rPr>
        <w:t>: институционално-управљачко-</w:t>
      </w:r>
      <w:r w:rsidRPr="00EF2F18">
        <w:rPr>
          <w:rFonts w:cs="Times New Roman"/>
          <w:sz w:val="22"/>
          <w:lang w:val="sr-Cyrl-RS" w:eastAsia="en-GB"/>
        </w:rPr>
        <w:t>организациона</w:t>
      </w:r>
      <w:r w:rsidR="006C2E00" w:rsidRPr="00EF2F18">
        <w:rPr>
          <w:rFonts w:cs="Times New Roman"/>
          <w:sz w:val="22"/>
          <w:lang w:val="sr-Cyrl-RS" w:eastAsia="en-GB"/>
        </w:rPr>
        <w:t>.</w:t>
      </w:r>
      <w:r w:rsidRPr="00EF2F18">
        <w:rPr>
          <w:rFonts w:cs="Times New Roman"/>
          <w:sz w:val="22"/>
          <w:lang w:val="sr-Cyrl-RS" w:eastAsia="en-GB"/>
        </w:rPr>
        <w:t xml:space="preserve"> </w:t>
      </w:r>
    </w:p>
    <w:p w14:paraId="09C5426E" w14:textId="77777777" w:rsidR="00B865BB" w:rsidRPr="00EF2F18" w:rsidRDefault="00B865BB" w:rsidP="00425FCC">
      <w:pPr>
        <w:spacing w:after="0"/>
        <w:ind w:firstLine="720"/>
        <w:jc w:val="both"/>
        <w:rPr>
          <w:rFonts w:cs="Times New Roman"/>
          <w:sz w:val="22"/>
          <w:lang w:val="sr-Cyrl-RS"/>
        </w:rPr>
      </w:pPr>
    </w:p>
    <w:p w14:paraId="0BA401FE" w14:textId="77777777" w:rsidR="00D83673" w:rsidRPr="00EF2F18" w:rsidRDefault="00D83673" w:rsidP="00425FCC">
      <w:pPr>
        <w:spacing w:after="0"/>
        <w:ind w:firstLine="720"/>
        <w:jc w:val="both"/>
        <w:rPr>
          <w:rFonts w:cs="Times New Roman"/>
          <w:sz w:val="22"/>
          <w:lang w:val="sr-Cyrl-RS"/>
        </w:rPr>
      </w:pPr>
    </w:p>
    <w:p w14:paraId="10A59051" w14:textId="5842877F" w:rsidR="00B865BB" w:rsidRPr="00EF2F18" w:rsidRDefault="00B865BB" w:rsidP="0008422B">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rPr>
      </w:pPr>
      <w:r w:rsidRPr="00EF2F18">
        <w:rPr>
          <w:rFonts w:cs="Times New Roman"/>
          <w:b/>
          <w:bCs/>
          <w:sz w:val="22"/>
          <w:lang w:val="sr-Cyrl-RS"/>
        </w:rPr>
        <w:t>Мера 5.1.3. Јачање капацитета за информисано одлучивање и управљање у области заштите животне средине у пољопривредно-прехрамбеном сектору</w:t>
      </w:r>
    </w:p>
    <w:p w14:paraId="7CAC7BD1" w14:textId="77777777" w:rsidR="00D83673" w:rsidRPr="00EF2F18" w:rsidRDefault="00D83673" w:rsidP="00B865BB">
      <w:pPr>
        <w:spacing w:after="0"/>
        <w:ind w:firstLine="720"/>
        <w:jc w:val="both"/>
        <w:rPr>
          <w:rFonts w:cs="Times New Roman"/>
          <w:sz w:val="22"/>
          <w:lang w:val="sr-Cyrl-RS"/>
        </w:rPr>
      </w:pPr>
    </w:p>
    <w:p w14:paraId="6F65F92B" w14:textId="08EA92E8" w:rsidR="00B865BB" w:rsidRPr="00EF2F18" w:rsidRDefault="00B865BB" w:rsidP="00B865BB">
      <w:pPr>
        <w:spacing w:after="0"/>
        <w:ind w:firstLine="720"/>
        <w:jc w:val="both"/>
        <w:rPr>
          <w:rFonts w:cs="Times New Roman"/>
          <w:sz w:val="22"/>
          <w:lang w:val="sr-Cyrl-RS"/>
        </w:rPr>
      </w:pPr>
      <w:r w:rsidRPr="00EF2F18">
        <w:rPr>
          <w:rFonts w:cs="Times New Roman"/>
          <w:sz w:val="22"/>
          <w:lang w:val="sr-Cyrl-RS"/>
        </w:rPr>
        <w:t>Мера подразумева унапређење институционалних капацитета за креирање ефикасних политик</w:t>
      </w:r>
      <w:r w:rsidR="00E306F5">
        <w:rPr>
          <w:rFonts w:cs="Times New Roman"/>
          <w:sz w:val="22"/>
          <w:lang w:val="sr-Cyrl-RS"/>
        </w:rPr>
        <w:t>а заснованих на доказима и поуз</w:t>
      </w:r>
      <w:r w:rsidRPr="00EF2F18">
        <w:rPr>
          <w:rFonts w:cs="Times New Roman"/>
          <w:sz w:val="22"/>
          <w:lang w:val="sr-Cyrl-RS"/>
        </w:rPr>
        <w:t>д</w:t>
      </w:r>
      <w:r w:rsidR="00E306F5">
        <w:rPr>
          <w:rFonts w:cs="Times New Roman"/>
          <w:sz w:val="22"/>
          <w:lang w:val="sr-Cyrl-RS"/>
        </w:rPr>
        <w:t>а</w:t>
      </w:r>
      <w:r w:rsidRPr="00EF2F18">
        <w:rPr>
          <w:rFonts w:cs="Times New Roman"/>
          <w:sz w:val="22"/>
          <w:lang w:val="sr-Cyrl-RS"/>
        </w:rPr>
        <w:t>ним подацима, за одговорно управљање, праћење и евалуацију политика, а у циљу стварања системског оквира спремног да ефикасно и транспарентно спроводи зацртане развојне циљеве и управља јавним средствим</w:t>
      </w:r>
      <w:r w:rsidR="00891D8A" w:rsidRPr="00EF2F18">
        <w:rPr>
          <w:rFonts w:cs="Times New Roman"/>
          <w:sz w:val="22"/>
          <w:lang w:val="sr-Cyrl-RS"/>
        </w:rPr>
        <w:t>а (веза са мерама 6.1.1, 6.1.2</w:t>
      </w:r>
      <w:r w:rsidRPr="00EF2F18">
        <w:rPr>
          <w:rFonts w:cs="Times New Roman"/>
          <w:sz w:val="22"/>
          <w:lang w:val="sr-Cyrl-RS"/>
        </w:rPr>
        <w:t>,</w:t>
      </w:r>
      <w:r w:rsidR="00891D8A" w:rsidRPr="00EF2F18">
        <w:rPr>
          <w:rFonts w:cs="Times New Roman"/>
          <w:sz w:val="22"/>
          <w:lang w:val="sr-Cyrl-RS"/>
        </w:rPr>
        <w:t xml:space="preserve"> </w:t>
      </w:r>
      <w:r w:rsidRPr="00EF2F18">
        <w:rPr>
          <w:rFonts w:cs="Times New Roman"/>
          <w:sz w:val="22"/>
          <w:lang w:val="sr-Cyrl-RS"/>
        </w:rPr>
        <w:t xml:space="preserve">6.3.1. и 6.3.3. ове </w:t>
      </w:r>
      <w:r w:rsidR="00891D8A" w:rsidRPr="00EF2F18">
        <w:rPr>
          <w:rFonts w:cs="Times New Roman"/>
          <w:sz w:val="22"/>
          <w:lang w:val="sr-Cyrl-RS"/>
        </w:rPr>
        <w:t>стратегије</w:t>
      </w:r>
      <w:r w:rsidRPr="00EF2F18">
        <w:rPr>
          <w:rFonts w:cs="Times New Roman"/>
          <w:sz w:val="22"/>
          <w:lang w:val="sr-Cyrl-RS"/>
        </w:rPr>
        <w:t>).</w:t>
      </w:r>
    </w:p>
    <w:p w14:paraId="798C1764" w14:textId="3945BE2F" w:rsidR="009F7D64" w:rsidRPr="00EF2F18" w:rsidRDefault="009F7D64" w:rsidP="006660B5">
      <w:pPr>
        <w:spacing w:after="0"/>
        <w:ind w:firstLine="720"/>
        <w:jc w:val="both"/>
        <w:rPr>
          <w:rFonts w:cs="Times New Roman"/>
          <w:sz w:val="22"/>
          <w:lang w:val="sr-Cyrl-RS"/>
        </w:rPr>
      </w:pPr>
      <w:r w:rsidRPr="00EF2F18">
        <w:rPr>
          <w:rFonts w:cs="Times New Roman"/>
          <w:sz w:val="22"/>
          <w:lang w:val="sr-Cyrl-RS"/>
        </w:rPr>
        <w:t xml:space="preserve">Мера подразумева израду студија за идентификацију (мапирање) пољопривредних површина под ризиком од загађења земљишта и подземних вода прекомерном употребом </w:t>
      </w:r>
      <w:r w:rsidR="000923FE" w:rsidRPr="00EF2F18">
        <w:rPr>
          <w:rFonts w:cs="Times New Roman"/>
          <w:sz w:val="22"/>
          <w:lang w:val="sr-Cyrl-RS"/>
        </w:rPr>
        <w:t>средстава за исхрану биља и средстава за заштиту биља</w:t>
      </w:r>
      <w:r w:rsidRPr="00EF2F18">
        <w:rPr>
          <w:rFonts w:cs="Times New Roman"/>
          <w:sz w:val="22"/>
          <w:lang w:val="sr-Cyrl-RS"/>
        </w:rPr>
        <w:t>, подручја под ризиком од ерозије, смањења органске материје, заслањивања, клизишта и набијања земљишта</w:t>
      </w:r>
      <w:r w:rsidR="006660B5" w:rsidRPr="00EF2F18">
        <w:rPr>
          <w:rFonts w:cs="Times New Roman"/>
          <w:sz w:val="22"/>
          <w:lang w:val="sr-Cyrl-RS"/>
        </w:rPr>
        <w:t xml:space="preserve"> и у</w:t>
      </w:r>
      <w:r w:rsidRPr="00EF2F18">
        <w:rPr>
          <w:rFonts w:cs="Times New Roman"/>
          <w:sz w:val="22"/>
          <w:lang w:val="sr-Cyrl-RS"/>
        </w:rPr>
        <w:t xml:space="preserve">спостављање систематске контроле средстава за </w:t>
      </w:r>
      <w:r w:rsidR="000923FE" w:rsidRPr="00EF2F18">
        <w:rPr>
          <w:rFonts w:cs="Times New Roman"/>
          <w:sz w:val="22"/>
          <w:lang w:val="sr-Cyrl-RS"/>
        </w:rPr>
        <w:t xml:space="preserve">заштиту биља и средстава за </w:t>
      </w:r>
      <w:r w:rsidRPr="00EF2F18">
        <w:rPr>
          <w:rFonts w:cs="Times New Roman"/>
          <w:sz w:val="22"/>
          <w:lang w:val="sr-Cyrl-RS"/>
        </w:rPr>
        <w:t xml:space="preserve">исхрану биља </w:t>
      </w:r>
      <w:r w:rsidR="000923FE" w:rsidRPr="00EF2F18">
        <w:rPr>
          <w:rFonts w:cs="Times New Roman"/>
          <w:sz w:val="22"/>
          <w:lang w:val="sr-Cyrl-RS"/>
        </w:rPr>
        <w:t>у земљишту и води за наводњавање</w:t>
      </w:r>
      <w:r w:rsidRPr="00EF2F18">
        <w:rPr>
          <w:rFonts w:cs="Times New Roman"/>
          <w:sz w:val="22"/>
          <w:lang w:val="sr-Cyrl-RS"/>
        </w:rPr>
        <w:t xml:space="preserve"> и показатеља за праћење</w:t>
      </w:r>
      <w:r w:rsidR="006660B5" w:rsidRPr="00EF2F18">
        <w:rPr>
          <w:rFonts w:cs="Times New Roman"/>
          <w:sz w:val="22"/>
          <w:lang w:val="sr-Cyrl-RS"/>
        </w:rPr>
        <w:t>.</w:t>
      </w:r>
    </w:p>
    <w:p w14:paraId="66555472" w14:textId="1301AB23" w:rsidR="00491EBE" w:rsidRPr="00EF2F18" w:rsidRDefault="00491EBE" w:rsidP="0022610E">
      <w:pPr>
        <w:spacing w:after="0"/>
        <w:ind w:firstLine="720"/>
        <w:jc w:val="both"/>
        <w:rPr>
          <w:rFonts w:cs="Times New Roman"/>
          <w:sz w:val="22"/>
          <w:lang w:val="sr-Cyrl-RS" w:eastAsia="en-GB"/>
        </w:rPr>
      </w:pPr>
      <w:r w:rsidRPr="00EF2F18">
        <w:rPr>
          <w:rFonts w:cs="Times New Roman"/>
          <w:b/>
          <w:bCs/>
          <w:sz w:val="22"/>
          <w:lang w:val="sr-Cyrl-RS" w:eastAsia="en-GB"/>
        </w:rPr>
        <w:lastRenderedPageBreak/>
        <w:t>Надлежна институција:</w:t>
      </w:r>
      <w:r w:rsidRPr="00EF2F18">
        <w:rPr>
          <w:rFonts w:cs="Times New Roman"/>
          <w:sz w:val="22"/>
          <w:lang w:val="sr-Cyrl-RS" w:eastAsia="en-GB"/>
        </w:rPr>
        <w:t xml:space="preserve"> </w:t>
      </w:r>
      <w:r w:rsidR="00FA04F8" w:rsidRPr="00EF2F18">
        <w:rPr>
          <w:rFonts w:cs="Times New Roman"/>
          <w:sz w:val="22"/>
          <w:lang w:val="sr-Cyrl-RS" w:eastAsia="en-GB"/>
        </w:rPr>
        <w:t>Министарство пољопривреде, шумарства и водопривреде</w:t>
      </w:r>
      <w:r w:rsidR="00891D8A" w:rsidRPr="00EF2F18">
        <w:rPr>
          <w:rFonts w:cs="Times New Roman"/>
          <w:sz w:val="22"/>
          <w:lang w:val="sr-Cyrl-RS" w:eastAsia="en-GB"/>
        </w:rPr>
        <w:t>.</w:t>
      </w:r>
    </w:p>
    <w:p w14:paraId="729588E8" w14:textId="27598616"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A04F8" w:rsidRPr="00EF2F18">
        <w:rPr>
          <w:rFonts w:cs="Times New Roman"/>
          <w:sz w:val="22"/>
          <w:lang w:val="sr-Cyrl-RS" w:eastAsia="en-GB"/>
        </w:rPr>
        <w:t xml:space="preserve">Агенција за заштиту животне средине, </w:t>
      </w:r>
      <w:r w:rsidR="00A81B0D" w:rsidRPr="00EF2F18">
        <w:rPr>
          <w:rFonts w:cs="Times New Roman"/>
          <w:sz w:val="22"/>
          <w:lang w:val="sr-Cyrl-RS" w:eastAsia="en-GB"/>
        </w:rPr>
        <w:t>научно-истраживачке организације</w:t>
      </w:r>
      <w:r w:rsidR="00891D8A" w:rsidRPr="00EF2F18">
        <w:rPr>
          <w:rFonts w:cs="Times New Roman"/>
          <w:sz w:val="22"/>
          <w:lang w:val="sr-Cyrl-RS" w:eastAsia="en-GB"/>
        </w:rPr>
        <w:t>.</w:t>
      </w:r>
    </w:p>
    <w:p w14:paraId="6DB210E8" w14:textId="2FF0AF44"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F7D64" w:rsidRPr="00EF2F18">
        <w:rPr>
          <w:rFonts w:cs="Times New Roman"/>
          <w:sz w:val="22"/>
          <w:lang w:val="sr-Cyrl-RS" w:eastAsia="en-GB"/>
        </w:rPr>
        <w:t>и</w:t>
      </w:r>
      <w:r w:rsidR="00891D8A" w:rsidRPr="00EF2F18">
        <w:rPr>
          <w:rFonts w:cs="Times New Roman"/>
          <w:sz w:val="22"/>
          <w:lang w:val="sr-Cyrl-RS" w:eastAsia="en-GB"/>
        </w:rPr>
        <w:t>нституционално-управљачко-</w:t>
      </w:r>
      <w:r w:rsidR="00FA04F8" w:rsidRPr="00EF2F18">
        <w:rPr>
          <w:rFonts w:cs="Times New Roman"/>
          <w:sz w:val="22"/>
          <w:lang w:val="sr-Cyrl-RS" w:eastAsia="en-GB"/>
        </w:rPr>
        <w:t>организациона</w:t>
      </w:r>
      <w:r w:rsidR="006C2E00" w:rsidRPr="00EF2F18">
        <w:rPr>
          <w:rFonts w:cs="Times New Roman"/>
          <w:sz w:val="22"/>
          <w:lang w:val="sr-Cyrl-RS" w:eastAsia="en-GB"/>
        </w:rPr>
        <w:t>.</w:t>
      </w:r>
      <w:r w:rsidR="00FA04F8" w:rsidRPr="00EF2F18">
        <w:rPr>
          <w:rFonts w:cs="Times New Roman"/>
          <w:sz w:val="22"/>
          <w:lang w:val="sr-Cyrl-RS" w:eastAsia="en-GB"/>
        </w:rPr>
        <w:t xml:space="preserve"> </w:t>
      </w:r>
    </w:p>
    <w:p w14:paraId="0F8DA8A6" w14:textId="77777777" w:rsidR="00FA04F8" w:rsidRPr="00EF2F18" w:rsidRDefault="00FA04F8" w:rsidP="00425FCC">
      <w:pPr>
        <w:spacing w:after="0"/>
        <w:ind w:firstLine="720"/>
        <w:rPr>
          <w:rFonts w:cs="Times New Roman"/>
          <w:sz w:val="22"/>
          <w:lang w:val="sr-Cyrl-RS"/>
        </w:rPr>
      </w:pPr>
    </w:p>
    <w:p w14:paraId="488BA0F3" w14:textId="508126A3"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5.1.</w:t>
      </w:r>
      <w:r w:rsidR="00B865BB" w:rsidRPr="00EF2F18">
        <w:rPr>
          <w:rFonts w:cs="Times New Roman"/>
          <w:b/>
          <w:bCs/>
          <w:sz w:val="22"/>
          <w:lang w:val="sr-Cyrl-RS" w:eastAsia="en-GB"/>
        </w:rPr>
        <w:t>4</w:t>
      </w:r>
      <w:r w:rsidRPr="00EF2F18">
        <w:rPr>
          <w:rFonts w:cs="Times New Roman"/>
          <w:b/>
          <w:bCs/>
          <w:sz w:val="22"/>
          <w:lang w:val="sr-Cyrl-RS" w:eastAsia="en-GB"/>
        </w:rPr>
        <w:t>. Подршка примени иновативних технологија повољних за животну средину и нових метода пољопривредне производње</w:t>
      </w:r>
    </w:p>
    <w:p w14:paraId="0B823889" w14:textId="77777777" w:rsidR="00D83673" w:rsidRPr="00EF2F18" w:rsidRDefault="00D83673" w:rsidP="00425FCC">
      <w:pPr>
        <w:spacing w:after="0"/>
        <w:ind w:firstLine="720"/>
        <w:jc w:val="both"/>
        <w:rPr>
          <w:rFonts w:cs="Times New Roman"/>
          <w:sz w:val="22"/>
          <w:lang w:val="sr-Cyrl-RS"/>
        </w:rPr>
      </w:pPr>
    </w:p>
    <w:p w14:paraId="2FAA7068" w14:textId="0016F358" w:rsidR="00FA04F8" w:rsidRPr="00EF2F18" w:rsidRDefault="0042225F" w:rsidP="00425FCC">
      <w:pPr>
        <w:spacing w:after="0"/>
        <w:ind w:firstLine="720"/>
        <w:jc w:val="both"/>
        <w:rPr>
          <w:rFonts w:cs="Times New Roman"/>
          <w:sz w:val="22"/>
          <w:lang w:val="sr-Cyrl-RS"/>
        </w:rPr>
      </w:pPr>
      <w:r w:rsidRPr="00EF2F18">
        <w:rPr>
          <w:rFonts w:cs="Times New Roman"/>
          <w:sz w:val="22"/>
          <w:lang w:val="sr-Cyrl-RS"/>
        </w:rPr>
        <w:t>Мера се</w:t>
      </w:r>
      <w:r w:rsidR="00FA04F8" w:rsidRPr="00EF2F18">
        <w:rPr>
          <w:rFonts w:cs="Times New Roman"/>
          <w:sz w:val="22"/>
          <w:lang w:val="sr-Cyrl-RS"/>
        </w:rPr>
        <w:t xml:space="preserve"> односи на инвестиције у физичку имовину пољопривредних газдинстава, како би се умањиле негативне последице употребе инпута и примене агротехничких мера са неповољним утицајем на животну средину и климу, повећала енергетска ефикасност и смањили ризици од утицаја климатских промена на приносе, приходе и имовину пољопривредних газдинстава.</w:t>
      </w:r>
    </w:p>
    <w:p w14:paraId="38A70F5D" w14:textId="44853BA7"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пољопривреде, шумарства и водопривреде</w:t>
      </w:r>
      <w:r w:rsidR="00891D8A" w:rsidRPr="00EF2F18">
        <w:rPr>
          <w:rFonts w:cs="Times New Roman"/>
          <w:sz w:val="22"/>
          <w:lang w:val="sr-Cyrl-RS" w:eastAsia="en-GB"/>
        </w:rPr>
        <w:t>.</w:t>
      </w:r>
    </w:p>
    <w:p w14:paraId="7C05247E" w14:textId="3B1278FF"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7B67FE" w:rsidRPr="00EF2F18">
        <w:rPr>
          <w:rFonts w:cs="Times New Roman"/>
          <w:sz w:val="22"/>
          <w:lang w:val="sr-Cyrl-RS" w:eastAsia="en-GB"/>
        </w:rPr>
        <w:t>Покрајински секретаријат за пољопривреду, водопривреду и шумарство</w:t>
      </w:r>
      <w:r w:rsidRPr="00EF2F18">
        <w:rPr>
          <w:rFonts w:cs="Times New Roman"/>
          <w:sz w:val="22"/>
          <w:lang w:val="sr-Cyrl-RS" w:eastAsia="en-GB"/>
        </w:rPr>
        <w:t>, Минист</w:t>
      </w:r>
      <w:r w:rsidR="00425FCC" w:rsidRPr="00EF2F18">
        <w:rPr>
          <w:rFonts w:cs="Times New Roman"/>
          <w:sz w:val="22"/>
          <w:lang w:val="sr-Cyrl-RS" w:eastAsia="en-GB"/>
        </w:rPr>
        <w:t>арс</w:t>
      </w:r>
      <w:r w:rsidRPr="00EF2F18">
        <w:rPr>
          <w:rFonts w:cs="Times New Roman"/>
          <w:sz w:val="22"/>
          <w:lang w:val="sr-Cyrl-RS" w:eastAsia="en-GB"/>
        </w:rPr>
        <w:t>тво науке, технолошког развоја и иновација</w:t>
      </w:r>
      <w:r w:rsidR="000005B8" w:rsidRPr="00EF2F18">
        <w:rPr>
          <w:rFonts w:cs="Times New Roman"/>
          <w:sz w:val="22"/>
          <w:lang w:val="sr-Cyrl-RS" w:eastAsia="en-GB"/>
        </w:rPr>
        <w:t>, јединице локалне самоуправе</w:t>
      </w:r>
      <w:r w:rsidR="00891D8A" w:rsidRPr="00EF2F18">
        <w:rPr>
          <w:rFonts w:cs="Times New Roman"/>
          <w:sz w:val="22"/>
          <w:lang w:val="sr-Cyrl-RS" w:eastAsia="en-GB"/>
        </w:rPr>
        <w:t>.</w:t>
      </w:r>
    </w:p>
    <w:p w14:paraId="6C560170" w14:textId="2AFB5172"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подстицајна</w:t>
      </w:r>
      <w:r w:rsidR="006C2E00" w:rsidRPr="00EF2F18">
        <w:rPr>
          <w:rFonts w:cs="Times New Roman"/>
          <w:sz w:val="22"/>
          <w:lang w:val="sr-Cyrl-RS" w:eastAsia="en-GB"/>
        </w:rPr>
        <w:t>.</w:t>
      </w:r>
      <w:r w:rsidRPr="00EF2F18">
        <w:rPr>
          <w:rFonts w:cs="Times New Roman"/>
          <w:sz w:val="22"/>
          <w:lang w:val="sr-Cyrl-RS" w:eastAsia="en-GB"/>
        </w:rPr>
        <w:t xml:space="preserve"> </w:t>
      </w:r>
    </w:p>
    <w:p w14:paraId="633F9262" w14:textId="77777777" w:rsidR="00491EBE" w:rsidRPr="00EF2F18" w:rsidRDefault="00491EBE" w:rsidP="00425FCC">
      <w:pPr>
        <w:spacing w:after="0"/>
        <w:ind w:firstLine="720"/>
        <w:rPr>
          <w:rFonts w:cs="Times New Roman"/>
          <w:sz w:val="22"/>
          <w:lang w:val="sr-Cyrl-RS"/>
        </w:rPr>
      </w:pPr>
    </w:p>
    <w:p w14:paraId="3920D726" w14:textId="20893E6E"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5.1.</w:t>
      </w:r>
      <w:r w:rsidR="00B865BB" w:rsidRPr="00EF2F18">
        <w:rPr>
          <w:rFonts w:cs="Times New Roman"/>
          <w:b/>
          <w:bCs/>
          <w:sz w:val="22"/>
          <w:lang w:val="sr-Cyrl-RS" w:eastAsia="en-GB"/>
        </w:rPr>
        <w:t>5</w:t>
      </w:r>
      <w:r w:rsidRPr="00EF2F18">
        <w:rPr>
          <w:rFonts w:cs="Times New Roman"/>
          <w:b/>
          <w:bCs/>
          <w:sz w:val="22"/>
          <w:lang w:val="sr-Cyrl-RS" w:eastAsia="en-GB"/>
        </w:rPr>
        <w:t xml:space="preserve">. </w:t>
      </w:r>
      <w:r w:rsidR="00BE0104" w:rsidRPr="00EF2F18">
        <w:rPr>
          <w:rFonts w:cs="Times New Roman"/>
          <w:b/>
          <w:bCs/>
          <w:sz w:val="22"/>
          <w:lang w:val="sr-Cyrl-RS" w:eastAsia="en-GB"/>
        </w:rPr>
        <w:t>Подстицање</w:t>
      </w:r>
      <w:r w:rsidRPr="00EF2F18">
        <w:rPr>
          <w:rFonts w:cs="Times New Roman"/>
          <w:b/>
          <w:bCs/>
          <w:sz w:val="22"/>
          <w:lang w:val="sr-Cyrl-RS" w:eastAsia="en-GB"/>
        </w:rPr>
        <w:t xml:space="preserve"> и промоција органске производње</w:t>
      </w:r>
    </w:p>
    <w:p w14:paraId="5921DB7B" w14:textId="77777777" w:rsidR="00D83673" w:rsidRPr="00EF2F18" w:rsidRDefault="00D83673" w:rsidP="00425FCC">
      <w:pPr>
        <w:spacing w:after="0"/>
        <w:ind w:firstLine="720"/>
        <w:jc w:val="both"/>
        <w:rPr>
          <w:rFonts w:cs="Times New Roman"/>
          <w:sz w:val="22"/>
          <w:lang w:val="sr-Cyrl-RS" w:eastAsia="en-GB"/>
        </w:rPr>
      </w:pPr>
    </w:p>
    <w:p w14:paraId="3BEA9257" w14:textId="5D6CB09D" w:rsidR="00FA04F8" w:rsidRPr="00EF2F18" w:rsidRDefault="00FA04F8" w:rsidP="00425FCC">
      <w:pPr>
        <w:spacing w:after="0"/>
        <w:ind w:firstLine="720"/>
        <w:jc w:val="both"/>
        <w:rPr>
          <w:rFonts w:cs="Times New Roman"/>
          <w:sz w:val="22"/>
          <w:lang w:val="sr-Cyrl-RS"/>
        </w:rPr>
      </w:pPr>
      <w:r w:rsidRPr="00EF2F18">
        <w:rPr>
          <w:rFonts w:cs="Times New Roman"/>
          <w:sz w:val="22"/>
          <w:lang w:val="sr-Cyrl-RS" w:eastAsia="en-GB"/>
        </w:rPr>
        <w:t>Мер</w:t>
      </w:r>
      <w:r w:rsidR="009F33F9" w:rsidRPr="00EF2F18">
        <w:rPr>
          <w:rFonts w:cs="Times New Roman"/>
          <w:sz w:val="22"/>
          <w:lang w:val="sr-Cyrl-RS" w:eastAsia="en-GB"/>
        </w:rPr>
        <w:t>а</w:t>
      </w:r>
      <w:r w:rsidRPr="00EF2F18">
        <w:rPr>
          <w:rFonts w:cs="Times New Roman"/>
          <w:sz w:val="22"/>
          <w:lang w:val="sr-Cyrl-RS" w:eastAsia="en-GB"/>
        </w:rPr>
        <w:t xml:space="preserve"> предвиђа подстицање и промоцију органске производње као система производње хране који се базира на еколошкој пракси, високом степену биолошке разноврсности, очувању природних ресурса и примени високих стандарда о добробити животиња и начина производње коришћењем природних супстанци и поступака, доприносећи тако одржавању и побољ</w:t>
      </w:r>
      <w:r w:rsidR="008F2EFF">
        <w:rPr>
          <w:rFonts w:cs="Times New Roman"/>
          <w:sz w:val="22"/>
          <w:lang w:val="sr-Cyrl-RS" w:eastAsia="en-GB"/>
        </w:rPr>
        <w:t>ш</w:t>
      </w:r>
      <w:r w:rsidRPr="00EF2F18">
        <w:rPr>
          <w:rFonts w:cs="Times New Roman"/>
          <w:sz w:val="22"/>
          <w:lang w:val="sr-Cyrl-RS" w:eastAsia="en-GB"/>
        </w:rPr>
        <w:t>ању плодности и квалитета земљишта, квалитету воде и ваздуха.</w:t>
      </w:r>
    </w:p>
    <w:p w14:paraId="30FCDCA9" w14:textId="76A1B58D"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пољопривреде, шумарства и водопривреде</w:t>
      </w:r>
      <w:r w:rsidR="00891D8A" w:rsidRPr="00EF2F18">
        <w:rPr>
          <w:rFonts w:cs="Times New Roman"/>
          <w:sz w:val="22"/>
          <w:lang w:val="sr-Cyrl-RS" w:eastAsia="en-GB"/>
        </w:rPr>
        <w:t>.</w:t>
      </w:r>
    </w:p>
    <w:p w14:paraId="6FAA1D0D" w14:textId="597D8FEC"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7B67FE" w:rsidRPr="00EF2F18">
        <w:rPr>
          <w:rFonts w:cs="Times New Roman"/>
          <w:sz w:val="22"/>
          <w:lang w:val="sr-Cyrl-RS" w:eastAsia="en-GB"/>
        </w:rPr>
        <w:t>Покрајински секретаријат за пољопривреду, водопривреду и шумарство</w:t>
      </w:r>
      <w:r w:rsidRPr="00EF2F18">
        <w:rPr>
          <w:rFonts w:cs="Times New Roman"/>
          <w:sz w:val="22"/>
          <w:lang w:val="sr-Cyrl-RS" w:eastAsia="en-GB"/>
        </w:rPr>
        <w:t xml:space="preserve">, </w:t>
      </w:r>
      <w:r w:rsidR="004770E2" w:rsidRPr="00EF2F18">
        <w:rPr>
          <w:rFonts w:cs="Times New Roman"/>
          <w:sz w:val="22"/>
          <w:lang w:val="sr-Cyrl-RS" w:eastAsia="en-GB"/>
        </w:rPr>
        <w:t>ј</w:t>
      </w:r>
      <w:r w:rsidRPr="00EF2F18">
        <w:rPr>
          <w:rFonts w:cs="Times New Roman"/>
          <w:sz w:val="22"/>
          <w:lang w:val="sr-Cyrl-RS" w:eastAsia="en-GB"/>
        </w:rPr>
        <w:t>единице лок</w:t>
      </w:r>
      <w:r w:rsidR="006560EE" w:rsidRPr="00EF2F18">
        <w:rPr>
          <w:rFonts w:cs="Times New Roman"/>
          <w:sz w:val="22"/>
          <w:lang w:val="sr-Cyrl-RS" w:eastAsia="en-GB"/>
        </w:rPr>
        <w:t>а</w:t>
      </w:r>
      <w:r w:rsidRPr="00EF2F18">
        <w:rPr>
          <w:rFonts w:cs="Times New Roman"/>
          <w:sz w:val="22"/>
          <w:lang w:val="sr-Cyrl-RS" w:eastAsia="en-GB"/>
        </w:rPr>
        <w:t>лне самоуправе, донатори, асоцијације произвођача</w:t>
      </w:r>
      <w:r w:rsidR="00891D8A" w:rsidRPr="00EF2F18">
        <w:rPr>
          <w:rFonts w:cs="Times New Roman"/>
          <w:sz w:val="22"/>
          <w:lang w:val="sr-Cyrl-RS" w:eastAsia="en-GB"/>
        </w:rPr>
        <w:t>.</w:t>
      </w:r>
    </w:p>
    <w:p w14:paraId="6C297DDF" w14:textId="06704089"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подстицајна</w:t>
      </w:r>
      <w:r w:rsidR="006C2E00" w:rsidRPr="00EF2F18">
        <w:rPr>
          <w:rFonts w:cs="Times New Roman"/>
          <w:sz w:val="22"/>
          <w:lang w:val="sr-Cyrl-RS" w:eastAsia="en-GB"/>
        </w:rPr>
        <w:t>.</w:t>
      </w:r>
      <w:r w:rsidRPr="00EF2F18">
        <w:rPr>
          <w:rFonts w:cs="Times New Roman"/>
          <w:sz w:val="22"/>
          <w:lang w:val="sr-Cyrl-RS" w:eastAsia="en-GB"/>
        </w:rPr>
        <w:t xml:space="preserve"> </w:t>
      </w:r>
    </w:p>
    <w:p w14:paraId="0ACC09CB" w14:textId="77777777" w:rsidR="00FA04F8" w:rsidRPr="00EF2F18" w:rsidRDefault="00FA04F8" w:rsidP="00425FCC">
      <w:pPr>
        <w:spacing w:after="0"/>
        <w:ind w:firstLine="720"/>
        <w:rPr>
          <w:rFonts w:cs="Times New Roman"/>
          <w:sz w:val="22"/>
          <w:lang w:val="sr-Cyrl-RS"/>
        </w:rPr>
      </w:pPr>
    </w:p>
    <w:p w14:paraId="50A058AF" w14:textId="6C7E013C"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5.1.</w:t>
      </w:r>
      <w:r w:rsidR="00B865BB" w:rsidRPr="00EF2F18">
        <w:rPr>
          <w:rFonts w:cs="Times New Roman"/>
          <w:b/>
          <w:bCs/>
          <w:sz w:val="22"/>
          <w:lang w:val="sr-Cyrl-RS" w:eastAsia="en-GB"/>
        </w:rPr>
        <w:t>6</w:t>
      </w:r>
      <w:r w:rsidRPr="00EF2F18">
        <w:rPr>
          <w:rFonts w:cs="Times New Roman"/>
          <w:b/>
          <w:bCs/>
          <w:sz w:val="22"/>
          <w:lang w:val="sr-Cyrl-RS" w:eastAsia="en-GB"/>
        </w:rPr>
        <w:t xml:space="preserve">. </w:t>
      </w:r>
      <w:r w:rsidR="00BE0104" w:rsidRPr="00EF2F18">
        <w:rPr>
          <w:rFonts w:cs="Times New Roman"/>
          <w:b/>
          <w:bCs/>
          <w:sz w:val="22"/>
          <w:lang w:val="sr-Cyrl-RS" w:eastAsia="en-GB"/>
        </w:rPr>
        <w:t>Подршка о</w:t>
      </w:r>
      <w:r w:rsidRPr="00EF2F18">
        <w:rPr>
          <w:rFonts w:cs="Times New Roman"/>
          <w:b/>
          <w:bCs/>
          <w:sz w:val="22"/>
          <w:lang w:val="sr-Cyrl-RS" w:eastAsia="en-GB"/>
        </w:rPr>
        <w:t>чувањ</w:t>
      </w:r>
      <w:r w:rsidR="00BE0104" w:rsidRPr="00EF2F18">
        <w:rPr>
          <w:rFonts w:cs="Times New Roman"/>
          <w:b/>
          <w:bCs/>
          <w:sz w:val="22"/>
          <w:lang w:val="sr-Cyrl-RS" w:eastAsia="en-GB"/>
        </w:rPr>
        <w:t>у</w:t>
      </w:r>
      <w:r w:rsidRPr="00EF2F18">
        <w:rPr>
          <w:rFonts w:cs="Times New Roman"/>
          <w:b/>
          <w:bCs/>
          <w:sz w:val="22"/>
          <w:lang w:val="sr-Cyrl-RS" w:eastAsia="en-GB"/>
        </w:rPr>
        <w:t xml:space="preserve"> агробиодиверзитета</w:t>
      </w:r>
    </w:p>
    <w:p w14:paraId="7BAB27BE" w14:textId="77777777" w:rsidR="00D83673" w:rsidRPr="00EF2F18" w:rsidRDefault="00D83673" w:rsidP="00425FCC">
      <w:pPr>
        <w:spacing w:after="0"/>
        <w:ind w:firstLine="720"/>
        <w:jc w:val="both"/>
        <w:rPr>
          <w:rFonts w:cs="Times New Roman"/>
          <w:sz w:val="22"/>
          <w:lang w:val="sr-Cyrl-RS"/>
        </w:rPr>
      </w:pPr>
    </w:p>
    <w:p w14:paraId="3277044C" w14:textId="02EDE65D" w:rsidR="00FA04F8" w:rsidRPr="00EF2F18" w:rsidRDefault="00FA04F8" w:rsidP="00425FCC">
      <w:pPr>
        <w:spacing w:after="0"/>
        <w:ind w:firstLine="720"/>
        <w:jc w:val="both"/>
        <w:rPr>
          <w:rFonts w:cs="Times New Roman"/>
          <w:sz w:val="22"/>
          <w:lang w:val="sr-Cyrl-RS"/>
        </w:rPr>
      </w:pPr>
      <w:r w:rsidRPr="00EF2F18">
        <w:rPr>
          <w:rFonts w:cs="Times New Roman"/>
          <w:sz w:val="22"/>
          <w:lang w:val="sr-Cyrl-RS"/>
        </w:rPr>
        <w:t>Мера је нам</w:t>
      </w:r>
      <w:r w:rsidR="0042225F" w:rsidRPr="00EF2F18">
        <w:rPr>
          <w:rFonts w:cs="Times New Roman"/>
          <w:sz w:val="22"/>
          <w:lang w:val="sr-Cyrl-RS"/>
        </w:rPr>
        <w:t>е</w:t>
      </w:r>
      <w:r w:rsidRPr="00EF2F18">
        <w:rPr>
          <w:rFonts w:cs="Times New Roman"/>
          <w:sz w:val="22"/>
          <w:lang w:val="sr-Cyrl-RS"/>
        </w:rPr>
        <w:t>њена заштити и очувању природних станишта биљака и животиња, обогаћивању биодиверзитета, побољшању квалитета земљишта применом метода одрживе пољопривреде и алтернативних метода за сузбијање корова, као и спречавању губитка земљишта ерозијом. Осим тога, она треба да доприн</w:t>
      </w:r>
      <w:r w:rsidR="00DB4CBD" w:rsidRPr="00EF2F18">
        <w:rPr>
          <w:rFonts w:cs="Times New Roman"/>
          <w:sz w:val="22"/>
          <w:lang w:val="sr-Cyrl-RS"/>
        </w:rPr>
        <w:t>е</w:t>
      </w:r>
      <w:r w:rsidRPr="00EF2F18">
        <w:rPr>
          <w:rFonts w:cs="Times New Roman"/>
          <w:sz w:val="22"/>
          <w:lang w:val="sr-Cyrl-RS"/>
        </w:rPr>
        <w:t>се очувању генетске разноликост</w:t>
      </w:r>
      <w:r w:rsidR="00E22AA9" w:rsidRPr="00EF2F18">
        <w:rPr>
          <w:rFonts w:cs="Times New Roman"/>
          <w:sz w:val="22"/>
          <w:lang w:val="sr-Cyrl-RS"/>
        </w:rPr>
        <w:t>и</w:t>
      </w:r>
      <w:r w:rsidRPr="00EF2F18">
        <w:rPr>
          <w:rFonts w:cs="Times New Roman"/>
          <w:sz w:val="22"/>
          <w:lang w:val="sr-Cyrl-RS"/>
        </w:rPr>
        <w:t xml:space="preserve"> семена, култивисаних биљака и узгајаних и домаћих животиња, односно њихових сродних дивљих врста, преко правилно вођених и разноврсних банака семена и биљака (СДГ 2.5), што ће се примењивати кроз подршку очувању биљних и животињских генетичких ресурса у банци гена и на пољопривредним газдинствима.</w:t>
      </w:r>
    </w:p>
    <w:p w14:paraId="1AEC9F78" w14:textId="479CA3BE"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пољопривреде, шумарства и водопривреде</w:t>
      </w:r>
      <w:r w:rsidR="00891D8A" w:rsidRPr="00EF2F18">
        <w:rPr>
          <w:rFonts w:cs="Times New Roman"/>
          <w:sz w:val="22"/>
          <w:lang w:val="sr-Cyrl-RS" w:eastAsia="en-GB"/>
        </w:rPr>
        <w:t>.</w:t>
      </w:r>
    </w:p>
    <w:p w14:paraId="02AE797E" w14:textId="628CBE0D"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0005B8" w:rsidRPr="00EF2F18">
        <w:rPr>
          <w:rFonts w:cs="Times New Roman"/>
          <w:sz w:val="22"/>
          <w:lang w:val="sr-Cyrl-RS" w:eastAsia="en-GB"/>
        </w:rPr>
        <w:t>Покрајински секретаријат за пољопривреду, водопривреду и шумарство, јединице локалне самоуправе,</w:t>
      </w:r>
      <w:r w:rsidRPr="00EF2F18">
        <w:rPr>
          <w:rFonts w:cs="Times New Roman"/>
          <w:sz w:val="22"/>
          <w:lang w:val="sr-Cyrl-RS" w:eastAsia="en-GB"/>
        </w:rPr>
        <w:t xml:space="preserve"> Дирекција за националне референтне лабораторије (ДНРЛ)</w:t>
      </w:r>
      <w:r w:rsidR="00891D8A" w:rsidRPr="00EF2F18">
        <w:rPr>
          <w:rFonts w:cs="Times New Roman"/>
          <w:sz w:val="22"/>
          <w:lang w:val="sr-Cyrl-RS" w:eastAsia="en-GB"/>
        </w:rPr>
        <w:t>.</w:t>
      </w:r>
    </w:p>
    <w:p w14:paraId="7A778168" w14:textId="688265CC"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подстицајна</w:t>
      </w:r>
      <w:r w:rsidR="006C2E00" w:rsidRPr="00EF2F18">
        <w:rPr>
          <w:rFonts w:cs="Times New Roman"/>
          <w:sz w:val="22"/>
          <w:lang w:val="sr-Cyrl-RS" w:eastAsia="en-GB"/>
        </w:rPr>
        <w:t>.</w:t>
      </w:r>
      <w:r w:rsidRPr="00EF2F18">
        <w:rPr>
          <w:rFonts w:cs="Times New Roman"/>
          <w:sz w:val="22"/>
          <w:lang w:val="sr-Cyrl-RS" w:eastAsia="en-GB"/>
        </w:rPr>
        <w:t xml:space="preserve"> </w:t>
      </w:r>
    </w:p>
    <w:p w14:paraId="3D91508D" w14:textId="77777777" w:rsidR="00FA04F8" w:rsidRPr="00EF2F18" w:rsidRDefault="00FA04F8" w:rsidP="00425FCC">
      <w:pPr>
        <w:spacing w:after="0"/>
        <w:ind w:firstLine="720"/>
        <w:jc w:val="both"/>
        <w:rPr>
          <w:rFonts w:cs="Times New Roman"/>
          <w:sz w:val="22"/>
          <w:lang w:val="sr-Cyrl-RS" w:eastAsia="en-GB"/>
        </w:rPr>
      </w:pPr>
    </w:p>
    <w:p w14:paraId="3B200DBB" w14:textId="39023FBA" w:rsidR="00FA04F8" w:rsidRPr="00EF2F18" w:rsidRDefault="00FA04F8"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5.1.</w:t>
      </w:r>
      <w:r w:rsidR="00B865BB" w:rsidRPr="00EF2F18">
        <w:rPr>
          <w:rFonts w:cs="Times New Roman"/>
          <w:b/>
          <w:bCs/>
          <w:sz w:val="22"/>
          <w:lang w:val="sr-Cyrl-RS" w:eastAsia="en-GB"/>
        </w:rPr>
        <w:t>7</w:t>
      </w:r>
      <w:r w:rsidRPr="00EF2F18">
        <w:rPr>
          <w:rFonts w:cs="Times New Roman"/>
          <w:b/>
          <w:bCs/>
          <w:sz w:val="22"/>
          <w:lang w:val="sr-Cyrl-RS" w:eastAsia="en-GB"/>
        </w:rPr>
        <w:t xml:space="preserve">. </w:t>
      </w:r>
      <w:r w:rsidR="006F7923" w:rsidRPr="00EF2F18">
        <w:rPr>
          <w:rFonts w:cs="Times New Roman"/>
          <w:b/>
          <w:bCs/>
          <w:sz w:val="22"/>
          <w:lang w:val="sr-Cyrl-RS" w:eastAsia="en-GB"/>
        </w:rPr>
        <w:t>Унапређење капацитета за креирање и трансфер знања и информација у области заштите животне средине и климатских промена</w:t>
      </w:r>
    </w:p>
    <w:p w14:paraId="2DAB405F" w14:textId="77777777" w:rsidR="00D83673" w:rsidRPr="00EF2F18" w:rsidRDefault="00D83673" w:rsidP="00425FCC">
      <w:pPr>
        <w:spacing w:after="0"/>
        <w:ind w:firstLine="720"/>
        <w:jc w:val="both"/>
        <w:rPr>
          <w:rFonts w:cs="Times New Roman"/>
          <w:bCs/>
          <w:sz w:val="22"/>
          <w:lang w:val="sr-Cyrl-RS" w:eastAsia="en-GB"/>
        </w:rPr>
      </w:pPr>
    </w:p>
    <w:p w14:paraId="57BB99BF" w14:textId="57B61EFA" w:rsidR="00FA04F8" w:rsidRPr="00EF2F18" w:rsidRDefault="00FA04F8" w:rsidP="00425FCC">
      <w:pPr>
        <w:spacing w:after="0"/>
        <w:ind w:firstLine="720"/>
        <w:jc w:val="both"/>
        <w:rPr>
          <w:rFonts w:cs="Times New Roman"/>
          <w:sz w:val="22"/>
          <w:lang w:val="sr-Cyrl-RS"/>
        </w:rPr>
      </w:pPr>
      <w:r w:rsidRPr="00EF2F18">
        <w:rPr>
          <w:rFonts w:cs="Times New Roman"/>
          <w:bCs/>
          <w:sz w:val="22"/>
          <w:lang w:val="sr-Cyrl-RS" w:eastAsia="en-GB"/>
        </w:rPr>
        <w:t>Мер</w:t>
      </w:r>
      <w:r w:rsidR="0042225F" w:rsidRPr="00EF2F18">
        <w:rPr>
          <w:rFonts w:cs="Times New Roman"/>
          <w:bCs/>
          <w:sz w:val="22"/>
          <w:lang w:val="sr-Cyrl-RS" w:eastAsia="en-GB"/>
        </w:rPr>
        <w:t>ом се</w:t>
      </w:r>
      <w:r w:rsidRPr="00EF2F18">
        <w:rPr>
          <w:rFonts w:cs="Times New Roman"/>
          <w:bCs/>
          <w:sz w:val="22"/>
          <w:lang w:val="sr-Cyrl-RS" w:eastAsia="en-GB"/>
        </w:rPr>
        <w:t xml:space="preserve"> подстиче унапређење знања, едукациј</w:t>
      </w:r>
      <w:r w:rsidR="00E22AA9" w:rsidRPr="00EF2F18">
        <w:rPr>
          <w:rFonts w:cs="Times New Roman"/>
          <w:bCs/>
          <w:sz w:val="22"/>
          <w:lang w:val="sr-Cyrl-RS" w:eastAsia="en-GB"/>
        </w:rPr>
        <w:t>а</w:t>
      </w:r>
      <w:r w:rsidRPr="00EF2F18">
        <w:rPr>
          <w:rFonts w:cs="Times New Roman"/>
          <w:bCs/>
          <w:sz w:val="22"/>
          <w:lang w:val="sr-Cyrl-RS" w:eastAsia="en-GB"/>
        </w:rPr>
        <w:t xml:space="preserve"> и информативне кампање у области добре пољопривредне</w:t>
      </w:r>
      <w:r w:rsidR="00B9180A" w:rsidRPr="00EF2F18">
        <w:rPr>
          <w:rFonts w:cs="Times New Roman"/>
          <w:bCs/>
          <w:sz w:val="22"/>
          <w:lang w:val="sr-Cyrl-RS" w:eastAsia="en-GB"/>
        </w:rPr>
        <w:t xml:space="preserve"> </w:t>
      </w:r>
      <w:r w:rsidRPr="00EF2F18">
        <w:rPr>
          <w:rFonts w:cs="Times New Roman"/>
          <w:bCs/>
          <w:sz w:val="22"/>
          <w:lang w:val="sr-Cyrl-RS" w:eastAsia="en-GB"/>
        </w:rPr>
        <w:t>праксе, добробити животиња, заштити животне средине, очувањ</w:t>
      </w:r>
      <w:r w:rsidR="00E22AA9" w:rsidRPr="00EF2F18">
        <w:rPr>
          <w:rFonts w:cs="Times New Roman"/>
          <w:bCs/>
          <w:sz w:val="22"/>
          <w:lang w:val="sr-Cyrl-RS" w:eastAsia="en-GB"/>
        </w:rPr>
        <w:t>а</w:t>
      </w:r>
      <w:r w:rsidRPr="00EF2F18">
        <w:rPr>
          <w:rFonts w:cs="Times New Roman"/>
          <w:bCs/>
          <w:sz w:val="22"/>
          <w:lang w:val="sr-Cyrl-RS" w:eastAsia="en-GB"/>
        </w:rPr>
        <w:t xml:space="preserve"> здравља људи, животиња и биљака и производње безбедне хране, како би се смањио негативан утицај пољопривредних пракси на животну средину и допринело очувању природних ресурса, </w:t>
      </w:r>
      <w:r w:rsidRPr="00EF2F18">
        <w:rPr>
          <w:rFonts w:cs="Times New Roman"/>
          <w:bCs/>
          <w:sz w:val="22"/>
          <w:lang w:val="sr-Cyrl-RS" w:eastAsia="en-GB"/>
        </w:rPr>
        <w:lastRenderedPageBreak/>
        <w:t>биодиверзитета. Мером ће бити обухваћени сви учесници у ланцу производње и промета хране, укључујући и учеснике у секторима логистичке подршке, потрошаче и њихове асоцијације, образовне установе и ширу јавност</w:t>
      </w:r>
      <w:r w:rsidR="00ED0623" w:rsidRPr="00EF2F18">
        <w:rPr>
          <w:rFonts w:cs="Times New Roman"/>
          <w:bCs/>
          <w:sz w:val="22"/>
          <w:lang w:val="sr-Cyrl-RS" w:eastAsia="en-GB"/>
        </w:rPr>
        <w:t xml:space="preserve"> (веза са мерам</w:t>
      </w:r>
      <w:r w:rsidR="002A4D43" w:rsidRPr="00EF2F18">
        <w:rPr>
          <w:rFonts w:cs="Times New Roman"/>
          <w:sz w:val="22"/>
          <w:lang w:val="sr-Cyrl-RS"/>
        </w:rPr>
        <w:t xml:space="preserve">а 6.1.4. и 6.1.6. ове </w:t>
      </w:r>
      <w:r w:rsidR="00891D8A" w:rsidRPr="00EF2F18">
        <w:rPr>
          <w:rFonts w:cs="Times New Roman"/>
          <w:sz w:val="22"/>
          <w:lang w:val="sr-Cyrl-RS"/>
        </w:rPr>
        <w:t>стратегије</w:t>
      </w:r>
      <w:r w:rsidR="00ED0623" w:rsidRPr="00EF2F18">
        <w:rPr>
          <w:rFonts w:cs="Times New Roman"/>
          <w:sz w:val="22"/>
          <w:lang w:val="sr-Cyrl-RS"/>
        </w:rPr>
        <w:t>)</w:t>
      </w:r>
      <w:r w:rsidR="002A4D43" w:rsidRPr="00EF2F18">
        <w:rPr>
          <w:rFonts w:cs="Times New Roman"/>
          <w:sz w:val="22"/>
          <w:lang w:val="sr-Cyrl-RS"/>
        </w:rPr>
        <w:t>.</w:t>
      </w:r>
    </w:p>
    <w:p w14:paraId="530613EB" w14:textId="514DBB4E"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пољопривреде, шумарства и водопривреде</w:t>
      </w:r>
      <w:r w:rsidR="00891D8A" w:rsidRPr="00EF2F18">
        <w:rPr>
          <w:rFonts w:cs="Times New Roman"/>
          <w:sz w:val="22"/>
          <w:lang w:val="sr-Cyrl-RS" w:eastAsia="en-GB"/>
        </w:rPr>
        <w:t>.</w:t>
      </w:r>
    </w:p>
    <w:p w14:paraId="2B370EEA" w14:textId="601B4986"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Покрајински секретаријат за пољопривреду</w:t>
      </w:r>
      <w:r w:rsidR="007B67FE" w:rsidRPr="00EF2F18">
        <w:rPr>
          <w:rFonts w:cs="Times New Roman"/>
          <w:sz w:val="22"/>
          <w:lang w:val="sr-Cyrl-RS" w:eastAsia="en-GB"/>
        </w:rPr>
        <w:t>, водопривреду и шумарство,</w:t>
      </w:r>
      <w:r w:rsidRPr="00EF2F18">
        <w:rPr>
          <w:rFonts w:cs="Times New Roman"/>
          <w:sz w:val="22"/>
          <w:lang w:val="sr-Cyrl-RS" w:eastAsia="en-GB"/>
        </w:rPr>
        <w:t xml:space="preserve"> </w:t>
      </w:r>
      <w:r w:rsidR="004770E2" w:rsidRPr="00EF2F18">
        <w:rPr>
          <w:rFonts w:cs="Times New Roman"/>
          <w:sz w:val="22"/>
          <w:lang w:val="sr-Cyrl-RS" w:eastAsia="en-GB"/>
        </w:rPr>
        <w:t>ј</w:t>
      </w:r>
      <w:r w:rsidRPr="00EF2F18">
        <w:rPr>
          <w:rFonts w:cs="Times New Roman"/>
          <w:sz w:val="22"/>
          <w:lang w:val="sr-Cyrl-RS" w:eastAsia="en-GB"/>
        </w:rPr>
        <w:t>единице лок</w:t>
      </w:r>
      <w:r w:rsidR="0017106E">
        <w:rPr>
          <w:rFonts w:cs="Times New Roman"/>
          <w:sz w:val="22"/>
          <w:lang w:val="sr-Cyrl-RS" w:eastAsia="en-GB"/>
        </w:rPr>
        <w:t>ал</w:t>
      </w:r>
      <w:r w:rsidRPr="00EF2F18">
        <w:rPr>
          <w:rFonts w:cs="Times New Roman"/>
          <w:sz w:val="22"/>
          <w:lang w:val="sr-Cyrl-RS" w:eastAsia="en-GB"/>
        </w:rPr>
        <w:t xml:space="preserve">не самоуправе, донатори, асоцијације произвођача и потрошача, </w:t>
      </w:r>
      <w:r w:rsidR="004770E2" w:rsidRPr="00EF2F18">
        <w:rPr>
          <w:rFonts w:cs="Times New Roman"/>
          <w:sz w:val="22"/>
          <w:lang w:val="sr-Cyrl-RS" w:eastAsia="en-GB"/>
        </w:rPr>
        <w:t>п</w:t>
      </w:r>
      <w:r w:rsidRPr="00EF2F18">
        <w:rPr>
          <w:rFonts w:cs="Times New Roman"/>
          <w:sz w:val="22"/>
          <w:lang w:val="sr-Cyrl-RS" w:eastAsia="en-GB"/>
        </w:rPr>
        <w:t>ољопривредне саветодавне ст</w:t>
      </w:r>
      <w:r w:rsidR="000923FE" w:rsidRPr="00EF2F18">
        <w:rPr>
          <w:rFonts w:cs="Times New Roman"/>
          <w:sz w:val="22"/>
          <w:lang w:val="sr-Cyrl-RS" w:eastAsia="en-GB"/>
        </w:rPr>
        <w:t>р</w:t>
      </w:r>
      <w:r w:rsidRPr="00EF2F18">
        <w:rPr>
          <w:rFonts w:cs="Times New Roman"/>
          <w:sz w:val="22"/>
          <w:lang w:val="sr-Cyrl-RS" w:eastAsia="en-GB"/>
        </w:rPr>
        <w:t xml:space="preserve">учне службе, </w:t>
      </w:r>
      <w:r w:rsidR="000923FE" w:rsidRPr="00EF2F18">
        <w:rPr>
          <w:rFonts w:cs="Times New Roman"/>
          <w:sz w:val="22"/>
          <w:lang w:val="sr-Cyrl-RS" w:eastAsia="en-GB"/>
        </w:rPr>
        <w:t>научно-истраживачке организације</w:t>
      </w:r>
      <w:r w:rsidRPr="00EF2F18">
        <w:rPr>
          <w:rFonts w:cs="Times New Roman"/>
          <w:sz w:val="22"/>
          <w:lang w:val="sr-Cyrl-RS" w:eastAsia="en-GB"/>
        </w:rPr>
        <w:t>, организације цивилног друштва</w:t>
      </w:r>
      <w:r w:rsidR="00891D8A" w:rsidRPr="00EF2F18">
        <w:rPr>
          <w:rFonts w:cs="Times New Roman"/>
          <w:sz w:val="22"/>
          <w:lang w:val="sr-Cyrl-RS" w:eastAsia="en-GB"/>
        </w:rPr>
        <w:t>.</w:t>
      </w:r>
    </w:p>
    <w:p w14:paraId="7A43FA1A" w14:textId="60422689" w:rsidR="00FA04F8" w:rsidRPr="00EF2F18" w:rsidRDefault="00FA04F8"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BE0104" w:rsidRPr="00EF2F18">
        <w:rPr>
          <w:rFonts w:cs="Times New Roman"/>
          <w:sz w:val="22"/>
          <w:lang w:val="sr-Cyrl-RS" w:eastAsia="en-GB"/>
        </w:rPr>
        <w:t>и</w:t>
      </w:r>
      <w:r w:rsidR="00A652D3">
        <w:rPr>
          <w:rFonts w:cs="Times New Roman"/>
          <w:sz w:val="22"/>
          <w:lang w:val="sr-Cyrl-RS" w:eastAsia="en-GB"/>
        </w:rPr>
        <w:t>нформативно-</w:t>
      </w:r>
      <w:r w:rsidRPr="00EF2F18">
        <w:rPr>
          <w:rFonts w:cs="Times New Roman"/>
          <w:sz w:val="22"/>
          <w:lang w:val="sr-Cyrl-RS" w:eastAsia="en-GB"/>
        </w:rPr>
        <w:t>едукативна</w:t>
      </w:r>
      <w:r w:rsidR="006C2E00" w:rsidRPr="00EF2F18">
        <w:rPr>
          <w:rFonts w:cs="Times New Roman"/>
          <w:sz w:val="22"/>
          <w:lang w:val="sr-Cyrl-RS" w:eastAsia="en-GB"/>
        </w:rPr>
        <w:t>.</w:t>
      </w:r>
      <w:r w:rsidRPr="00EF2F18">
        <w:rPr>
          <w:rFonts w:cs="Times New Roman"/>
          <w:sz w:val="22"/>
          <w:lang w:val="sr-Cyrl-RS" w:eastAsia="en-GB"/>
        </w:rPr>
        <w:t xml:space="preserve"> </w:t>
      </w:r>
    </w:p>
    <w:p w14:paraId="2B878983" w14:textId="77777777" w:rsidR="00FA04F8" w:rsidRPr="00EF2F18" w:rsidRDefault="00FA04F8" w:rsidP="00425FCC">
      <w:pPr>
        <w:spacing w:after="0"/>
        <w:ind w:firstLine="720"/>
        <w:rPr>
          <w:rFonts w:cs="Times New Roman"/>
          <w:sz w:val="22"/>
          <w:lang w:val="sr-Cyrl-RS"/>
        </w:rPr>
      </w:pPr>
    </w:p>
    <w:p w14:paraId="18DFAE6B" w14:textId="4DD405A3" w:rsidR="00491EBE" w:rsidRPr="00EF2F18" w:rsidRDefault="00491EBE" w:rsidP="00425FCC">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5.2: </w:t>
      </w:r>
      <w:r w:rsidR="006B0D27" w:rsidRPr="00EF2F18">
        <w:rPr>
          <w:rFonts w:cs="Times New Roman"/>
          <w:b/>
          <w:bCs/>
          <w:color w:val="2E74B5" w:themeColor="accent1" w:themeShade="BF"/>
          <w:sz w:val="22"/>
          <w:lang w:val="sr-Cyrl-RS"/>
        </w:rPr>
        <w:t>Унапређење одрживо</w:t>
      </w:r>
      <w:r w:rsidR="005F5D26">
        <w:rPr>
          <w:rFonts w:cs="Times New Roman"/>
          <w:b/>
          <w:bCs/>
          <w:color w:val="2E74B5" w:themeColor="accent1" w:themeShade="BF"/>
          <w:sz w:val="22"/>
          <w:lang w:val="sr-Cyrl-RS"/>
        </w:rPr>
        <w:t>сти руралних средина кроз диверс</w:t>
      </w:r>
      <w:r w:rsidR="006B0D27" w:rsidRPr="00EF2F18">
        <w:rPr>
          <w:rFonts w:cs="Times New Roman"/>
          <w:b/>
          <w:bCs/>
          <w:color w:val="2E74B5" w:themeColor="accent1" w:themeShade="BF"/>
          <w:sz w:val="22"/>
          <w:lang w:val="sr-Cyrl-RS"/>
        </w:rPr>
        <w:t>ификацију руралне економије, изградњу руралне инфраструктуре и заштит</w:t>
      </w:r>
      <w:r w:rsidR="00350393" w:rsidRPr="00EF2F18">
        <w:rPr>
          <w:rFonts w:cs="Times New Roman"/>
          <w:b/>
          <w:bCs/>
          <w:color w:val="2E74B5" w:themeColor="accent1" w:themeShade="BF"/>
          <w:sz w:val="22"/>
          <w:lang w:val="sr-Cyrl-RS"/>
        </w:rPr>
        <w:t>е</w:t>
      </w:r>
      <w:r w:rsidR="006B0D27" w:rsidRPr="00EF2F18">
        <w:rPr>
          <w:rFonts w:cs="Times New Roman"/>
          <w:b/>
          <w:bCs/>
          <w:color w:val="2E74B5" w:themeColor="accent1" w:themeShade="BF"/>
          <w:sz w:val="22"/>
          <w:lang w:val="sr-Cyrl-RS"/>
        </w:rPr>
        <w:t xml:space="preserve"> животне средине и очувањ</w:t>
      </w:r>
      <w:r w:rsidR="00D11459" w:rsidRPr="00EF2F18">
        <w:rPr>
          <w:rFonts w:cs="Times New Roman"/>
          <w:b/>
          <w:bCs/>
          <w:color w:val="2E74B5" w:themeColor="accent1" w:themeShade="BF"/>
          <w:sz w:val="22"/>
          <w:lang w:val="sr-Cyrl-RS"/>
        </w:rPr>
        <w:t>е</w:t>
      </w:r>
      <w:r w:rsidR="006B0D27" w:rsidRPr="00EF2F18">
        <w:rPr>
          <w:rFonts w:cs="Times New Roman"/>
          <w:b/>
          <w:bCs/>
          <w:color w:val="2E74B5" w:themeColor="accent1" w:themeShade="BF"/>
          <w:sz w:val="22"/>
          <w:lang w:val="sr-Cyrl-RS"/>
        </w:rPr>
        <w:t xml:space="preserve"> руралних предела</w:t>
      </w:r>
    </w:p>
    <w:p w14:paraId="5464B1C8" w14:textId="77777777" w:rsidR="00753384" w:rsidRDefault="00753384" w:rsidP="00425FCC">
      <w:pPr>
        <w:spacing w:after="0"/>
        <w:ind w:firstLine="720"/>
        <w:jc w:val="both"/>
        <w:rPr>
          <w:rFonts w:cs="Times New Roman"/>
          <w:sz w:val="22"/>
          <w:lang w:val="sr-Cyrl-RS"/>
        </w:rPr>
      </w:pPr>
    </w:p>
    <w:p w14:paraId="5832F92A" w14:textId="694698E6" w:rsidR="00491EBE" w:rsidRPr="00EF2F18" w:rsidRDefault="00FA04F8" w:rsidP="00425FCC">
      <w:pPr>
        <w:spacing w:after="0"/>
        <w:ind w:firstLine="720"/>
        <w:jc w:val="both"/>
        <w:rPr>
          <w:rFonts w:cs="Times New Roman"/>
          <w:sz w:val="22"/>
          <w:lang w:val="sr-Cyrl-RS"/>
        </w:rPr>
      </w:pPr>
      <w:r w:rsidRPr="00EF2F18">
        <w:rPr>
          <w:rFonts w:cs="Times New Roman"/>
          <w:sz w:val="22"/>
          <w:lang w:val="sr-Cyrl-RS"/>
        </w:rPr>
        <w:t>Спровођење овог циља базирано је на стратешким опредељењима дефинисаним у стубу пет Зелене агенде за Западни Балкан, којима је предвиђено достизање одрживог развоја руралних области применом</w:t>
      </w:r>
      <w:r w:rsidR="00355A03" w:rsidRPr="00EF2F18">
        <w:rPr>
          <w:rFonts w:cs="Times New Roman"/>
          <w:sz w:val="22"/>
          <w:lang w:val="sr-Cyrl-RS"/>
        </w:rPr>
        <w:t xml:space="preserve"> </w:t>
      </w:r>
      <w:r w:rsidR="00914D2B" w:rsidRPr="00EF2F18">
        <w:rPr>
          <w:rFonts w:cs="Times New Roman"/>
          <w:sz w:val="22"/>
          <w:lang w:val="sr-Cyrl-RS"/>
        </w:rPr>
        <w:t>програма</w:t>
      </w:r>
      <w:r w:rsidRPr="00EF2F18">
        <w:rPr>
          <w:rFonts w:cs="Times New Roman"/>
          <w:sz w:val="22"/>
          <w:lang w:val="sr-Cyrl-RS"/>
        </w:rPr>
        <w:t xml:space="preserve"> LEADER, подршке диверсификацији економских активности, унапређењу стања руралне инфраструктуре и</w:t>
      </w:r>
      <w:r w:rsidR="00B9180A" w:rsidRPr="00EF2F18">
        <w:rPr>
          <w:rFonts w:cs="Times New Roman"/>
          <w:sz w:val="22"/>
          <w:lang w:val="sr-Cyrl-RS"/>
        </w:rPr>
        <w:t xml:space="preserve"> </w:t>
      </w:r>
      <w:r w:rsidRPr="00EF2F18">
        <w:rPr>
          <w:rFonts w:cs="Times New Roman"/>
          <w:sz w:val="22"/>
          <w:lang w:val="sr-Cyrl-RS"/>
        </w:rPr>
        <w:t xml:space="preserve">инвестицијама у производњу обновљиве енергије. У формулисању овог циља узети су </w:t>
      </w:r>
      <w:r w:rsidR="00355A03" w:rsidRPr="00EF2F18">
        <w:rPr>
          <w:rFonts w:cs="Times New Roman"/>
          <w:sz w:val="22"/>
          <w:lang w:val="sr-Cyrl-RS"/>
        </w:rPr>
        <w:t xml:space="preserve">у </w:t>
      </w:r>
      <w:r w:rsidRPr="00EF2F18">
        <w:rPr>
          <w:rFonts w:cs="Times New Roman"/>
          <w:sz w:val="22"/>
          <w:lang w:val="sr-Cyrl-RS"/>
        </w:rPr>
        <w:t>обзир средњорочни развојни приоритети сектора, који су дефинисани ИПАРД III програмом Републике Србије за период 2021-2027.</w:t>
      </w:r>
      <w:r w:rsidR="00355A03" w:rsidRPr="00EF2F18">
        <w:rPr>
          <w:rFonts w:cs="Times New Roman"/>
          <w:sz w:val="22"/>
          <w:lang w:val="sr-Cyrl-RS"/>
        </w:rPr>
        <w:t xml:space="preserve"> године.</w:t>
      </w:r>
    </w:p>
    <w:p w14:paraId="22B9D5CB" w14:textId="26D17479" w:rsidR="003F423E" w:rsidRPr="00EF2F18" w:rsidRDefault="003F423E" w:rsidP="003F423E">
      <w:pPr>
        <w:spacing w:after="0"/>
        <w:ind w:firstLine="720"/>
        <w:jc w:val="both"/>
        <w:rPr>
          <w:rFonts w:cs="Times New Roman"/>
          <w:sz w:val="22"/>
          <w:lang w:val="sr-Cyrl-RS"/>
        </w:rPr>
      </w:pPr>
      <w:r w:rsidRPr="00EF2F18">
        <w:rPr>
          <w:rFonts w:eastAsia="Calibri" w:cs="Times New Roman"/>
          <w:sz w:val="22"/>
          <w:lang w:val="sr-Cyrl-RS"/>
        </w:rPr>
        <w:t xml:space="preserve">Овај посебан циљ доприноси реализацији ЦОР </w:t>
      </w:r>
      <w:r w:rsidRPr="00EF2F18">
        <w:rPr>
          <w:rFonts w:cs="Times New Roman"/>
          <w:sz w:val="22"/>
          <w:lang w:val="sr-Cyrl-RS"/>
        </w:rPr>
        <w:t xml:space="preserve">2 који </w:t>
      </w:r>
      <w:r w:rsidRPr="00EF2F18">
        <w:rPr>
          <w:sz w:val="22"/>
          <w:lang w:val="sr-Cyrl-RS"/>
        </w:rPr>
        <w:t>предвиђа окончање глади и обезбеђивање безбедности хране, побољшану исхрану и промовисање одрживе пољопривреде која је кључна за такву исхрану, односно остваривању потциља 2.а</w:t>
      </w:r>
      <w:r w:rsidR="00136871" w:rsidRPr="00EF2F18">
        <w:rPr>
          <w:sz w:val="22"/>
          <w:lang w:val="sr-Cyrl-RS"/>
        </w:rPr>
        <w:t>,</w:t>
      </w:r>
      <w:r w:rsidRPr="00EF2F18">
        <w:rPr>
          <w:sz w:val="22"/>
          <w:lang w:val="sr-Cyrl-RS"/>
        </w:rPr>
        <w:t xml:space="preserve"> којим се предвиђа повећање инвестирања у руралну инфраструктуру, </w:t>
      </w:r>
      <w:r w:rsidR="00F8674E" w:rsidRPr="00EF2F18">
        <w:rPr>
          <w:sz w:val="22"/>
          <w:lang w:val="sr-Cyrl-RS"/>
        </w:rPr>
        <w:t xml:space="preserve">одрживи развој руралног, сеоског и агро-туризма, </w:t>
      </w:r>
      <w:r w:rsidRPr="00EF2F18">
        <w:rPr>
          <w:sz w:val="22"/>
          <w:lang w:val="sr-Cyrl-RS"/>
        </w:rPr>
        <w:t>пољопривредна истраживања, развој технологије и банака биљног и сточног генетског материјала.</w:t>
      </w:r>
    </w:p>
    <w:p w14:paraId="1C988883" w14:textId="77777777" w:rsidR="003F423E" w:rsidRPr="00753384" w:rsidRDefault="003F423E" w:rsidP="00425FCC">
      <w:pPr>
        <w:spacing w:after="0"/>
        <w:ind w:firstLine="720"/>
        <w:jc w:val="both"/>
        <w:rPr>
          <w:rFonts w:cs="Times New Roman"/>
          <w:sz w:val="12"/>
          <w:szCs w:val="12"/>
          <w:lang w:val="sr-Cyrl-RS"/>
        </w:rPr>
      </w:pPr>
    </w:p>
    <w:p w14:paraId="732F2DCD" w14:textId="656A9955"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5.2.1. </w:t>
      </w:r>
      <w:r w:rsidR="00FA04F8" w:rsidRPr="00EF2F18">
        <w:rPr>
          <w:rFonts w:cs="Times New Roman"/>
          <w:b/>
          <w:bCs/>
          <w:sz w:val="22"/>
          <w:lang w:val="sr-Cyrl-RS" w:eastAsia="en-GB"/>
        </w:rPr>
        <w:t>Подршка инвестицијама у производњу енергије из обновљивих извора</w:t>
      </w:r>
    </w:p>
    <w:p w14:paraId="712034BD" w14:textId="77777777" w:rsidR="00957690" w:rsidRPr="00EF2F18" w:rsidRDefault="00957690"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p>
    <w:p w14:paraId="7E727FD6" w14:textId="77777777" w:rsidR="00D83673" w:rsidRPr="00753384" w:rsidRDefault="00D83673" w:rsidP="00425FCC">
      <w:pPr>
        <w:spacing w:after="0"/>
        <w:ind w:firstLine="720"/>
        <w:jc w:val="both"/>
        <w:rPr>
          <w:rFonts w:cs="Times New Roman"/>
          <w:bCs/>
          <w:sz w:val="12"/>
          <w:szCs w:val="12"/>
          <w:lang w:val="sr-Cyrl-RS" w:eastAsia="en-GB"/>
        </w:rPr>
      </w:pPr>
    </w:p>
    <w:p w14:paraId="608FE99F" w14:textId="1DD13888" w:rsidR="00FA04F8" w:rsidRPr="00EF2F18" w:rsidRDefault="00FA04F8" w:rsidP="00425FCC">
      <w:pPr>
        <w:spacing w:after="0"/>
        <w:ind w:firstLine="720"/>
        <w:jc w:val="both"/>
        <w:rPr>
          <w:rFonts w:cs="Times New Roman"/>
          <w:bCs/>
          <w:sz w:val="22"/>
          <w:lang w:val="sr-Cyrl-RS" w:eastAsia="en-GB"/>
        </w:rPr>
      </w:pPr>
      <w:r w:rsidRPr="00EF2F18">
        <w:rPr>
          <w:rFonts w:cs="Times New Roman"/>
          <w:bCs/>
          <w:sz w:val="22"/>
          <w:lang w:val="sr-Cyrl-RS" w:eastAsia="en-GB"/>
        </w:rPr>
        <w:t xml:space="preserve">Мера </w:t>
      </w:r>
      <w:r w:rsidR="00A508C5" w:rsidRPr="00EF2F18">
        <w:rPr>
          <w:rFonts w:cs="Times New Roman"/>
          <w:bCs/>
          <w:sz w:val="22"/>
          <w:lang w:val="sr-Cyrl-RS" w:eastAsia="en-GB"/>
        </w:rPr>
        <w:t>треба</w:t>
      </w:r>
      <w:r w:rsidRPr="00EF2F18">
        <w:rPr>
          <w:rFonts w:cs="Times New Roman"/>
          <w:bCs/>
          <w:sz w:val="22"/>
          <w:lang w:val="sr-Cyrl-RS" w:eastAsia="en-GB"/>
        </w:rPr>
        <w:t xml:space="preserve"> да допринесе већем кориш</w:t>
      </w:r>
      <w:r w:rsidR="00A508C5" w:rsidRPr="00EF2F18">
        <w:rPr>
          <w:rFonts w:cs="Times New Roman"/>
          <w:bCs/>
          <w:sz w:val="22"/>
          <w:lang w:val="sr-Cyrl-RS" w:eastAsia="en-GB"/>
        </w:rPr>
        <w:t>ћ</w:t>
      </w:r>
      <w:r w:rsidRPr="00EF2F18">
        <w:rPr>
          <w:rFonts w:cs="Times New Roman"/>
          <w:bCs/>
          <w:sz w:val="22"/>
          <w:lang w:val="sr-Cyrl-RS" w:eastAsia="en-GB"/>
        </w:rPr>
        <w:t xml:space="preserve">ењу потенцијала за производњу енергије из пољопривреде, како кориштењем жетвених и резидбених остатака, тако и из сточарске производње. Осим тога, производња енергетских култура је сама по себи потенцијал са двоструким користима, јер осим производње енергије из обновљивих извора, доприноси и бољој искоришћености необрадивог пољопривредног земљишта. Потенцијал биомасе је доступан на целој територији </w:t>
      </w:r>
      <w:r w:rsidR="00C507C1" w:rsidRPr="00EF2F18">
        <w:rPr>
          <w:rFonts w:cs="Times New Roman"/>
          <w:bCs/>
          <w:sz w:val="22"/>
          <w:lang w:val="sr-Cyrl-RS" w:eastAsia="en-GB"/>
        </w:rPr>
        <w:t xml:space="preserve">Републике </w:t>
      </w:r>
      <w:r w:rsidRPr="00EF2F18">
        <w:rPr>
          <w:rFonts w:cs="Times New Roman"/>
          <w:bCs/>
          <w:sz w:val="22"/>
          <w:lang w:val="sr-Cyrl-RS" w:eastAsia="en-GB"/>
        </w:rPr>
        <w:t>Србије. Дрвна биомаса највише је з</w:t>
      </w:r>
      <w:r w:rsidR="00C507C1" w:rsidRPr="00EF2F18">
        <w:rPr>
          <w:rFonts w:cs="Times New Roman"/>
          <w:bCs/>
          <w:sz w:val="22"/>
          <w:lang w:val="sr-Cyrl-RS" w:eastAsia="en-GB"/>
        </w:rPr>
        <w:t>а</w:t>
      </w:r>
      <w:r w:rsidRPr="00EF2F18">
        <w:rPr>
          <w:rFonts w:cs="Times New Roman"/>
          <w:bCs/>
          <w:sz w:val="22"/>
          <w:lang w:val="sr-Cyrl-RS" w:eastAsia="en-GB"/>
        </w:rPr>
        <w:t>ступљена у централној Србији, а пољопривредна биомаса на подручју</w:t>
      </w:r>
      <w:r w:rsidR="00C507C1" w:rsidRPr="00EF2F18">
        <w:rPr>
          <w:rFonts w:cs="Times New Roman"/>
          <w:bCs/>
          <w:sz w:val="22"/>
          <w:lang w:val="sr-Cyrl-RS" w:eastAsia="en-GB"/>
        </w:rPr>
        <w:t xml:space="preserve"> АП</w:t>
      </w:r>
      <w:r w:rsidRPr="00EF2F18">
        <w:rPr>
          <w:rFonts w:cs="Times New Roman"/>
          <w:bCs/>
          <w:sz w:val="22"/>
          <w:lang w:val="sr-Cyrl-RS" w:eastAsia="en-GB"/>
        </w:rPr>
        <w:t xml:space="preserve"> Војводине. Ипак, док је степен коришћења потенцијала дрвне (шумске) биомасе релативно висок (66,7%), потенцијал пољопривредне биомасе се не користи довољно (око 2%), док се потенцијал биоразградивог комуналног отпада уопште не користи.</w:t>
      </w:r>
    </w:p>
    <w:p w14:paraId="4C3A8703" w14:textId="6491B8F9"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30C7" w:rsidRPr="00EF2F18">
        <w:rPr>
          <w:rFonts w:cs="Times New Roman"/>
          <w:sz w:val="22"/>
          <w:lang w:val="sr-Cyrl-RS" w:eastAsia="en-GB"/>
        </w:rPr>
        <w:t>Министарство рударства и енергети</w:t>
      </w:r>
      <w:r w:rsidR="00891D8A" w:rsidRPr="00EF2F18">
        <w:rPr>
          <w:rFonts w:cs="Times New Roman"/>
          <w:sz w:val="22"/>
          <w:lang w:val="sr-Cyrl-RS" w:eastAsia="en-GB"/>
        </w:rPr>
        <w:t>к</w:t>
      </w:r>
      <w:r w:rsidR="00E030C7" w:rsidRPr="00EF2F18">
        <w:rPr>
          <w:rFonts w:cs="Times New Roman"/>
          <w:sz w:val="22"/>
          <w:lang w:val="sr-Cyrl-RS" w:eastAsia="en-GB"/>
        </w:rPr>
        <w:t>е</w:t>
      </w:r>
      <w:r w:rsidR="00891D8A" w:rsidRPr="00EF2F18">
        <w:rPr>
          <w:rFonts w:cs="Times New Roman"/>
          <w:sz w:val="22"/>
          <w:lang w:val="sr-Cyrl-RS" w:eastAsia="en-GB"/>
        </w:rPr>
        <w:t>.</w:t>
      </w:r>
    </w:p>
    <w:p w14:paraId="7C5A55D4" w14:textId="2635643C"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F8674E" w:rsidRPr="00EF2F18">
        <w:rPr>
          <w:rFonts w:cs="Times New Roman"/>
          <w:sz w:val="22"/>
          <w:lang w:val="sr-Cyrl-RS" w:eastAsia="en-GB"/>
        </w:rPr>
        <w:t xml:space="preserve"> </w:t>
      </w:r>
      <w:r w:rsidR="00E030C7" w:rsidRPr="00EF2F18">
        <w:rPr>
          <w:rFonts w:cs="Times New Roman"/>
          <w:sz w:val="22"/>
          <w:lang w:val="sr-Cyrl-RS" w:eastAsia="en-GB"/>
        </w:rPr>
        <w:t xml:space="preserve">Министарство пољопривреде, шумарства и водопривреде, </w:t>
      </w:r>
      <w:r w:rsidR="00F8674E" w:rsidRPr="00EF2F18">
        <w:rPr>
          <w:rFonts w:cs="Times New Roman"/>
          <w:sz w:val="22"/>
          <w:lang w:val="sr-Cyrl-RS" w:eastAsia="en-GB"/>
        </w:rPr>
        <w:t>Министарство туризма и омладине,</w:t>
      </w:r>
      <w:r w:rsidR="00FA04F8" w:rsidRPr="00EF2F18">
        <w:rPr>
          <w:rFonts w:cs="Times New Roman"/>
          <w:sz w:val="22"/>
          <w:lang w:val="sr-Cyrl-RS" w:eastAsia="en-GB"/>
        </w:rPr>
        <w:t xml:space="preserve"> </w:t>
      </w:r>
      <w:r w:rsidR="007B67FE" w:rsidRPr="00EF2F18">
        <w:rPr>
          <w:rFonts w:cs="Times New Roman"/>
          <w:sz w:val="22"/>
          <w:lang w:val="sr-Cyrl-RS" w:eastAsia="en-GB"/>
        </w:rPr>
        <w:t>Покрајински секретаријат за пољопривреду, водопривреду и шумарство</w:t>
      </w:r>
      <w:r w:rsidR="00FA04F8" w:rsidRPr="00EF2F18">
        <w:rPr>
          <w:rFonts w:cs="Times New Roman"/>
          <w:sz w:val="22"/>
          <w:lang w:val="sr-Cyrl-RS" w:eastAsia="en-GB"/>
        </w:rPr>
        <w:t xml:space="preserve">, </w:t>
      </w:r>
      <w:r w:rsidR="004770E2" w:rsidRPr="00EF2F18">
        <w:rPr>
          <w:rFonts w:cs="Times New Roman"/>
          <w:sz w:val="22"/>
          <w:lang w:val="sr-Cyrl-RS" w:eastAsia="en-GB"/>
        </w:rPr>
        <w:t>ј</w:t>
      </w:r>
      <w:r w:rsidR="00FA04F8" w:rsidRPr="00EF2F18">
        <w:rPr>
          <w:rFonts w:cs="Times New Roman"/>
          <w:sz w:val="22"/>
          <w:lang w:val="sr-Cyrl-RS" w:eastAsia="en-GB"/>
        </w:rPr>
        <w:t>единице лок</w:t>
      </w:r>
      <w:r w:rsidR="00632817">
        <w:rPr>
          <w:rFonts w:cs="Times New Roman"/>
          <w:sz w:val="22"/>
          <w:lang w:val="sr-Cyrl-RS" w:eastAsia="en-GB"/>
        </w:rPr>
        <w:t>а</w:t>
      </w:r>
      <w:r w:rsidR="00FA04F8" w:rsidRPr="00EF2F18">
        <w:rPr>
          <w:rFonts w:cs="Times New Roman"/>
          <w:sz w:val="22"/>
          <w:lang w:val="sr-Cyrl-RS" w:eastAsia="en-GB"/>
        </w:rPr>
        <w:t xml:space="preserve">лане самоуправе, </w:t>
      </w:r>
      <w:r w:rsidR="00891D8A" w:rsidRPr="00EF2F18">
        <w:rPr>
          <w:rFonts w:cs="Times New Roman"/>
          <w:bCs/>
          <w:color w:val="000000"/>
          <w:spacing w:val="-1"/>
          <w:sz w:val="22"/>
          <w:lang w:val="sr-Cyrl-RS" w:eastAsia="en-GB"/>
        </w:rPr>
        <w:t>Привредна комора Србије</w:t>
      </w:r>
      <w:r w:rsidR="00FA04F8" w:rsidRPr="00EF2F18">
        <w:rPr>
          <w:rFonts w:cs="Times New Roman"/>
          <w:sz w:val="22"/>
          <w:lang w:val="sr-Cyrl-RS" w:eastAsia="en-GB"/>
        </w:rPr>
        <w:t>, Агенција за енергетику Републике Србије, пословни сектор</w:t>
      </w:r>
      <w:r w:rsidR="00891D8A" w:rsidRPr="00EF2F18">
        <w:rPr>
          <w:rFonts w:cs="Times New Roman"/>
          <w:sz w:val="22"/>
          <w:lang w:val="sr-Cyrl-RS" w:eastAsia="en-GB"/>
        </w:rPr>
        <w:t>.</w:t>
      </w:r>
    </w:p>
    <w:p w14:paraId="309B9AC1" w14:textId="1A77E031"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FA04F8" w:rsidRPr="00EF2F18">
        <w:rPr>
          <w:rFonts w:cs="Times New Roman"/>
          <w:sz w:val="22"/>
          <w:lang w:val="sr-Cyrl-RS" w:eastAsia="en-GB"/>
        </w:rPr>
        <w:t>подстицајна</w:t>
      </w:r>
      <w:r w:rsidR="006C2E00" w:rsidRPr="00EF2F18">
        <w:rPr>
          <w:rFonts w:cs="Times New Roman"/>
          <w:sz w:val="22"/>
          <w:lang w:val="sr-Cyrl-RS" w:eastAsia="en-GB"/>
        </w:rPr>
        <w:t>.</w:t>
      </w:r>
    </w:p>
    <w:p w14:paraId="5C8CB7F3" w14:textId="77777777" w:rsidR="00491EBE" w:rsidRPr="00753384" w:rsidRDefault="00491EBE" w:rsidP="00425FCC">
      <w:pPr>
        <w:spacing w:after="0"/>
        <w:ind w:firstLine="720"/>
        <w:jc w:val="both"/>
        <w:rPr>
          <w:rFonts w:cs="Times New Roman"/>
          <w:sz w:val="12"/>
          <w:szCs w:val="12"/>
          <w:lang w:val="sr-Cyrl-RS" w:eastAsia="en-GB"/>
        </w:rPr>
      </w:pPr>
    </w:p>
    <w:p w14:paraId="1D79DD51" w14:textId="62977E16" w:rsidR="00491EBE" w:rsidRPr="00EF2F18" w:rsidRDefault="00491EBE" w:rsidP="00425FCC">
      <w:pPr>
        <w:pBdr>
          <w:top w:val="single" w:sz="4" w:space="1" w:color="auto"/>
          <w:left w:val="single" w:sz="4" w:space="4" w:color="auto"/>
          <w:bottom w:val="single" w:sz="4" w:space="1" w:color="auto"/>
          <w:right w:val="single" w:sz="4" w:space="4" w:color="auto"/>
        </w:pBdr>
        <w:spacing w:after="0"/>
        <w:jc w:val="both"/>
        <w:rPr>
          <w:rFonts w:cs="Times New Roman"/>
          <w:b/>
          <w:bCs/>
          <w:sz w:val="22"/>
          <w:lang w:val="sr-Cyrl-RS" w:eastAsia="en-GB"/>
        </w:rPr>
      </w:pPr>
      <w:r w:rsidRPr="00EF2F18">
        <w:rPr>
          <w:rFonts w:cs="Times New Roman"/>
          <w:b/>
          <w:bCs/>
          <w:sz w:val="22"/>
          <w:lang w:val="sr-Cyrl-RS" w:eastAsia="en-GB"/>
        </w:rPr>
        <w:t xml:space="preserve">Мера 5.2.2. </w:t>
      </w:r>
      <w:r w:rsidR="00FA04F8" w:rsidRPr="00EF2F18">
        <w:rPr>
          <w:rFonts w:cs="Times New Roman"/>
          <w:b/>
          <w:bCs/>
          <w:sz w:val="22"/>
          <w:lang w:val="sr-Cyrl-RS" w:eastAsia="en-GB"/>
        </w:rPr>
        <w:t>Унапређење одрживости руралних средина кроз изградњу руралне инфраструктуре, заштиту животне средине и очувањ</w:t>
      </w:r>
      <w:r w:rsidR="00F802D2" w:rsidRPr="00EF2F18">
        <w:rPr>
          <w:rFonts w:cs="Times New Roman"/>
          <w:b/>
          <w:bCs/>
          <w:sz w:val="22"/>
          <w:lang w:val="sr-Cyrl-RS" w:eastAsia="en-GB"/>
        </w:rPr>
        <w:t>е</w:t>
      </w:r>
      <w:r w:rsidR="00FA04F8" w:rsidRPr="00EF2F18">
        <w:rPr>
          <w:rFonts w:cs="Times New Roman"/>
          <w:b/>
          <w:bCs/>
          <w:sz w:val="22"/>
          <w:lang w:val="sr-Cyrl-RS" w:eastAsia="en-GB"/>
        </w:rPr>
        <w:t xml:space="preserve"> руралних предела</w:t>
      </w:r>
    </w:p>
    <w:p w14:paraId="00994792" w14:textId="77777777" w:rsidR="00957690" w:rsidRPr="00EF2F18" w:rsidRDefault="00957690"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p>
    <w:p w14:paraId="3A438ABC" w14:textId="77777777" w:rsidR="00D83673" w:rsidRPr="00753384" w:rsidRDefault="00D83673" w:rsidP="00BE0104">
      <w:pPr>
        <w:spacing w:after="0"/>
        <w:ind w:firstLine="720"/>
        <w:jc w:val="both"/>
        <w:rPr>
          <w:rFonts w:cs="Times New Roman"/>
          <w:sz w:val="12"/>
          <w:szCs w:val="12"/>
          <w:lang w:val="sr-Cyrl-RS"/>
        </w:rPr>
      </w:pPr>
    </w:p>
    <w:p w14:paraId="3D6758E7" w14:textId="099F2B0F" w:rsidR="001650E5" w:rsidRPr="00EF2F18" w:rsidRDefault="00FA04F8" w:rsidP="00BE0104">
      <w:pPr>
        <w:spacing w:after="0"/>
        <w:ind w:firstLine="720"/>
        <w:jc w:val="both"/>
        <w:rPr>
          <w:rFonts w:cs="Times New Roman"/>
          <w:sz w:val="22"/>
          <w:lang w:val="sr-Cyrl-RS"/>
        </w:rPr>
      </w:pPr>
      <w:r w:rsidRPr="00EF2F18">
        <w:rPr>
          <w:rFonts w:cs="Times New Roman"/>
          <w:sz w:val="22"/>
          <w:lang w:val="sr-Cyrl-RS"/>
        </w:rPr>
        <w:t xml:space="preserve">Одрживи развој руралних подручја зависи од покривености, доступности и општег стања локалне инфраструктуре. Комунална инфраструктура у руралним подручјима је недовољно развијена, нефункционална и слабо одржавана, те као таква представља ограничавајући фактор за квалитет живота у руралним срединама и развој руралне економије. </w:t>
      </w:r>
    </w:p>
    <w:p w14:paraId="672C1F73" w14:textId="19A3C4AA" w:rsidR="00491EBE" w:rsidRPr="00EF2F18" w:rsidRDefault="0042225F" w:rsidP="00BE0104">
      <w:pPr>
        <w:spacing w:after="0"/>
        <w:ind w:firstLine="720"/>
        <w:jc w:val="both"/>
        <w:rPr>
          <w:rFonts w:cs="Times New Roman"/>
          <w:sz w:val="22"/>
          <w:lang w:val="sr-Cyrl-RS"/>
        </w:rPr>
      </w:pPr>
      <w:r w:rsidRPr="00EF2F18">
        <w:rPr>
          <w:rFonts w:cs="Times New Roman"/>
          <w:sz w:val="22"/>
          <w:lang w:val="sr-Cyrl-RS"/>
        </w:rPr>
        <w:lastRenderedPageBreak/>
        <w:t xml:space="preserve">Мера подразумева </w:t>
      </w:r>
      <w:r w:rsidR="00BE0104" w:rsidRPr="00EF2F18">
        <w:rPr>
          <w:rFonts w:cs="Times New Roman"/>
          <w:sz w:val="22"/>
          <w:lang w:val="sr-Cyrl-RS"/>
        </w:rPr>
        <w:t xml:space="preserve">пружање подршке за оснаживање капацитета </w:t>
      </w:r>
      <w:r w:rsidR="00E52612" w:rsidRPr="00EF2F18">
        <w:rPr>
          <w:rFonts w:cs="Times New Roman"/>
          <w:sz w:val="22"/>
          <w:lang w:val="sr-Cyrl-RS"/>
        </w:rPr>
        <w:t xml:space="preserve">јединица </w:t>
      </w:r>
      <w:r w:rsidR="00BE0104" w:rsidRPr="00EF2F18">
        <w:rPr>
          <w:rFonts w:cs="Times New Roman"/>
          <w:sz w:val="22"/>
          <w:lang w:val="sr-Cyrl-RS"/>
        </w:rPr>
        <w:t>локалне самоуправе за повлачење средстава за подстицаје развоју руралне инфраструктуре, као и подстицаје инвестицијама у руралну инфраструктуру,</w:t>
      </w:r>
      <w:r w:rsidR="00F8674E" w:rsidRPr="00EF2F18">
        <w:rPr>
          <w:rFonts w:cs="Times New Roman"/>
          <w:sz w:val="22"/>
          <w:lang w:val="sr-Cyrl-RS"/>
        </w:rPr>
        <w:t xml:space="preserve"> одрживи развој руралног, сеоског и агро</w:t>
      </w:r>
      <w:r w:rsidR="00864D48">
        <w:rPr>
          <w:rFonts w:cs="Times New Roman"/>
          <w:sz w:val="22"/>
          <w:lang w:val="sr-Cyrl-RS"/>
        </w:rPr>
        <w:t>-</w:t>
      </w:r>
      <w:r w:rsidR="00F8674E" w:rsidRPr="00EF2F18">
        <w:rPr>
          <w:rFonts w:cs="Times New Roman"/>
          <w:sz w:val="22"/>
          <w:lang w:val="sr-Cyrl-RS"/>
        </w:rPr>
        <w:t xml:space="preserve">туризма, </w:t>
      </w:r>
      <w:r w:rsidR="00BE0104" w:rsidRPr="00EF2F18">
        <w:rPr>
          <w:rFonts w:cs="Times New Roman"/>
          <w:sz w:val="22"/>
          <w:lang w:val="sr-Cyrl-RS"/>
        </w:rPr>
        <w:t xml:space="preserve">што ће резултирати </w:t>
      </w:r>
      <w:r w:rsidR="00FA04F8" w:rsidRPr="00EF2F18">
        <w:rPr>
          <w:rFonts w:cs="Times New Roman"/>
          <w:sz w:val="22"/>
          <w:lang w:val="sr-Cyrl-RS"/>
        </w:rPr>
        <w:t>одрживом економском, друштвеном и територијалном развоју руралних подручја, кроз побољшање животног стандарда становништва и очување руралних предела</w:t>
      </w:r>
      <w:r w:rsidR="00ED0623" w:rsidRPr="00EF2F18">
        <w:rPr>
          <w:rFonts w:cs="Times New Roman"/>
          <w:sz w:val="22"/>
          <w:lang w:val="sr-Cyrl-RS"/>
        </w:rPr>
        <w:t xml:space="preserve"> (веза са м</w:t>
      </w:r>
      <w:r w:rsidR="002A4D43" w:rsidRPr="00EF2F18">
        <w:rPr>
          <w:rFonts w:cs="Times New Roman"/>
          <w:sz w:val="22"/>
          <w:lang w:val="sr-Cyrl-RS"/>
        </w:rPr>
        <w:t>ером 6.1.</w:t>
      </w:r>
      <w:r w:rsidR="005C26EF" w:rsidRPr="00EF2F18">
        <w:rPr>
          <w:rFonts w:cs="Times New Roman"/>
          <w:sz w:val="22"/>
          <w:lang w:val="sr-Cyrl-RS"/>
        </w:rPr>
        <w:t>1</w:t>
      </w:r>
      <w:r w:rsidR="002A4D43" w:rsidRPr="00EF2F18">
        <w:rPr>
          <w:rFonts w:cs="Times New Roman"/>
          <w:sz w:val="22"/>
          <w:lang w:val="sr-Cyrl-RS"/>
        </w:rPr>
        <w:t>. ове Стратегије</w:t>
      </w:r>
      <w:r w:rsidR="00ED0623" w:rsidRPr="00EF2F18">
        <w:rPr>
          <w:rFonts w:cs="Times New Roman"/>
          <w:sz w:val="22"/>
          <w:lang w:val="sr-Cyrl-RS"/>
        </w:rPr>
        <w:t>)</w:t>
      </w:r>
      <w:r w:rsidR="002A4D43" w:rsidRPr="00EF2F18">
        <w:rPr>
          <w:rFonts w:cs="Times New Roman"/>
          <w:sz w:val="22"/>
          <w:lang w:val="sr-Cyrl-RS"/>
        </w:rPr>
        <w:t>.</w:t>
      </w:r>
      <w:r w:rsidR="001650E5" w:rsidRPr="00EF2F18">
        <w:rPr>
          <w:rFonts w:cs="Times New Roman"/>
          <w:sz w:val="22"/>
          <w:lang w:val="sr-Cyrl-RS"/>
        </w:rPr>
        <w:t xml:space="preserve"> Подстицаји </w:t>
      </w:r>
      <w:r w:rsidR="001650E5" w:rsidRPr="00EF2F18">
        <w:rPr>
          <w:rFonts w:eastAsia="+mn-ea" w:cs="Times New Roman"/>
          <w:color w:val="000000"/>
          <w:kern w:val="24"/>
          <w:sz w:val="22"/>
          <w:lang w:val="sr-Cyrl-RS"/>
        </w:rPr>
        <w:t xml:space="preserve">инвестицијама </w:t>
      </w:r>
      <w:r w:rsidR="001650E5" w:rsidRPr="00EF2F18">
        <w:rPr>
          <w:rFonts w:cs="Times New Roman"/>
          <w:sz w:val="22"/>
          <w:lang w:val="sr-Cyrl-RS"/>
        </w:rPr>
        <w:t xml:space="preserve">за развој </w:t>
      </w:r>
      <w:r w:rsidR="001650E5" w:rsidRPr="00EF2F18">
        <w:rPr>
          <w:rFonts w:eastAsia="+mn-ea" w:cs="Times New Roman"/>
          <w:color w:val="000000"/>
          <w:kern w:val="24"/>
          <w:sz w:val="22"/>
          <w:lang w:val="sr-Cyrl-RS"/>
        </w:rPr>
        <w:t>руралне инфраструктуре укључују односиће се на инвестиције у изградњу сеоских водовода и канализационих система, унапређење система управљања отпадом у руралним срединама, изградњу сеоских и атарских путева и пратећих садржаја и изградња постројења за добијање енергије из обновљивих извора и њено коришћење).</w:t>
      </w:r>
    </w:p>
    <w:p w14:paraId="22BF735E" w14:textId="7EC3591F"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006C2E00" w:rsidRPr="00EF2F18">
        <w:rPr>
          <w:rFonts w:cs="Times New Roman"/>
          <w:b/>
          <w:bCs/>
          <w:sz w:val="22"/>
          <w:lang w:val="sr-Cyrl-RS" w:eastAsia="en-GB"/>
        </w:rPr>
        <w:t xml:space="preserve"> </w:t>
      </w:r>
      <w:r w:rsidR="00FA04F8" w:rsidRPr="00EF2F18">
        <w:rPr>
          <w:rFonts w:cs="Times New Roman"/>
          <w:sz w:val="22"/>
          <w:lang w:val="sr-Cyrl-RS" w:eastAsia="en-GB"/>
        </w:rPr>
        <w:t>Министарство пољопривреде, шумарства и водопривреде</w:t>
      </w:r>
      <w:r w:rsidR="00891D8A" w:rsidRPr="00EF2F18">
        <w:rPr>
          <w:rFonts w:cs="Times New Roman"/>
          <w:sz w:val="22"/>
          <w:lang w:val="sr-Cyrl-RS" w:eastAsia="en-GB"/>
        </w:rPr>
        <w:t>.</w:t>
      </w:r>
    </w:p>
    <w:p w14:paraId="25B9A8E7" w14:textId="667EFB7E" w:rsidR="00491EBE" w:rsidRPr="00EF2F18" w:rsidRDefault="00491EBE"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F8674E" w:rsidRPr="00EF2F18">
        <w:rPr>
          <w:rFonts w:cs="Times New Roman"/>
          <w:sz w:val="22"/>
          <w:lang w:val="sr-Cyrl-RS" w:eastAsia="en-GB"/>
        </w:rPr>
        <w:t xml:space="preserve">Министарство туризма и омладине, </w:t>
      </w:r>
      <w:r w:rsidR="00FA04F8" w:rsidRPr="00EF2F18">
        <w:rPr>
          <w:rFonts w:cs="Times New Roman"/>
          <w:sz w:val="22"/>
          <w:lang w:val="sr-Cyrl-RS" w:eastAsia="en-GB"/>
        </w:rPr>
        <w:t>Покрајински секретаријат за пољопривреду</w:t>
      </w:r>
      <w:r w:rsidR="007B67FE" w:rsidRPr="00EF2F18">
        <w:rPr>
          <w:rFonts w:cs="Times New Roman"/>
          <w:sz w:val="22"/>
          <w:lang w:val="sr-Cyrl-RS" w:eastAsia="en-GB"/>
        </w:rPr>
        <w:t>, водопривреду и шумарство,</w:t>
      </w:r>
      <w:r w:rsidR="00FA04F8" w:rsidRPr="00EF2F18">
        <w:rPr>
          <w:rFonts w:cs="Times New Roman"/>
          <w:sz w:val="22"/>
          <w:lang w:val="sr-Cyrl-RS" w:eastAsia="en-GB"/>
        </w:rPr>
        <w:t xml:space="preserve"> </w:t>
      </w:r>
      <w:r w:rsidR="004770E2" w:rsidRPr="00EF2F18">
        <w:rPr>
          <w:rFonts w:cs="Times New Roman"/>
          <w:sz w:val="22"/>
          <w:lang w:val="sr-Cyrl-RS" w:eastAsia="en-GB"/>
        </w:rPr>
        <w:t>ј</w:t>
      </w:r>
      <w:r w:rsidR="00FA04F8" w:rsidRPr="00EF2F18">
        <w:rPr>
          <w:rFonts w:cs="Times New Roman"/>
          <w:sz w:val="22"/>
          <w:lang w:val="sr-Cyrl-RS" w:eastAsia="en-GB"/>
        </w:rPr>
        <w:t>единице лок</w:t>
      </w:r>
      <w:r w:rsidR="007B67FE" w:rsidRPr="00EF2F18">
        <w:rPr>
          <w:rFonts w:cs="Times New Roman"/>
          <w:sz w:val="22"/>
          <w:lang w:val="sr-Cyrl-RS" w:eastAsia="en-GB"/>
        </w:rPr>
        <w:t>а</w:t>
      </w:r>
      <w:r w:rsidR="00FA04F8" w:rsidRPr="00EF2F18">
        <w:rPr>
          <w:rFonts w:cs="Times New Roman"/>
          <w:sz w:val="22"/>
          <w:lang w:val="sr-Cyrl-RS" w:eastAsia="en-GB"/>
        </w:rPr>
        <w:t>лне самоуправе</w:t>
      </w:r>
      <w:r w:rsidR="00F1262B" w:rsidRPr="00EF2F18">
        <w:rPr>
          <w:rFonts w:cs="Times New Roman"/>
          <w:sz w:val="22"/>
          <w:lang w:val="sr-Cyrl-RS" w:eastAsia="en-GB"/>
        </w:rPr>
        <w:t xml:space="preserve">, </w:t>
      </w:r>
      <w:r w:rsidR="00891D8A" w:rsidRPr="00EF2F18">
        <w:rPr>
          <w:rFonts w:cs="Times New Roman"/>
          <w:sz w:val="22"/>
          <w:lang w:val="sr-Cyrl-RS" w:eastAsia="en-GB"/>
        </w:rPr>
        <w:t>Стална конференција градова и општина.</w:t>
      </w:r>
    </w:p>
    <w:p w14:paraId="5E9171E5" w14:textId="03E08043" w:rsidR="00491EBE" w:rsidRPr="00EF2F18" w:rsidRDefault="00491EBE" w:rsidP="0042225F">
      <w:pPr>
        <w:spacing w:line="264" w:lineRule="auto"/>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FA04F8" w:rsidRPr="00EF2F18">
        <w:rPr>
          <w:rFonts w:cs="Times New Roman"/>
          <w:sz w:val="22"/>
          <w:lang w:val="sr-Cyrl-RS" w:eastAsia="en-GB"/>
        </w:rPr>
        <w:t>подстицајна</w:t>
      </w:r>
      <w:r w:rsidR="006C2E00" w:rsidRPr="00EF2F18">
        <w:rPr>
          <w:rFonts w:cs="Times New Roman"/>
          <w:sz w:val="22"/>
          <w:lang w:val="sr-Cyrl-RS" w:eastAsia="en-GB"/>
        </w:rPr>
        <w:t>.</w:t>
      </w:r>
      <w:r w:rsidRPr="00EF2F18">
        <w:rPr>
          <w:rFonts w:cs="Times New Roman"/>
          <w:sz w:val="22"/>
          <w:lang w:val="sr-Cyrl-RS" w:eastAsia="en-GB"/>
        </w:rPr>
        <w:t xml:space="preserve"> </w:t>
      </w:r>
    </w:p>
    <w:p w14:paraId="484213E5" w14:textId="36F86878" w:rsidR="008116AD" w:rsidRPr="00EF2F18" w:rsidRDefault="008116AD" w:rsidP="00780F42">
      <w:pPr>
        <w:pStyle w:val="Heading3"/>
        <w:numPr>
          <w:ilvl w:val="2"/>
          <w:numId w:val="2"/>
        </w:numPr>
        <w:jc w:val="center"/>
        <w:rPr>
          <w:rFonts w:cs="Times New Roman"/>
          <w:sz w:val="22"/>
          <w:szCs w:val="22"/>
          <w:lang w:val="sr-Cyrl-RS"/>
        </w:rPr>
      </w:pPr>
      <w:bookmarkStart w:id="131" w:name="_Toc158307742"/>
      <w:r w:rsidRPr="00EF2F18">
        <w:rPr>
          <w:rFonts w:cs="Times New Roman"/>
          <w:sz w:val="22"/>
          <w:szCs w:val="22"/>
          <w:lang w:val="sr-Cyrl-RS"/>
        </w:rPr>
        <w:t>Хоризонталн</w:t>
      </w:r>
      <w:r w:rsidR="00DB4E20" w:rsidRPr="00EF2F18">
        <w:rPr>
          <w:rFonts w:cs="Times New Roman"/>
          <w:sz w:val="22"/>
          <w:szCs w:val="22"/>
          <w:lang w:val="sr-Cyrl-RS"/>
        </w:rPr>
        <w:t>а питања</w:t>
      </w:r>
      <w:bookmarkEnd w:id="131"/>
    </w:p>
    <w:p w14:paraId="70395F99" w14:textId="77777777" w:rsidR="008116AD" w:rsidRPr="00EF2F18" w:rsidRDefault="008116AD" w:rsidP="00F45912">
      <w:pPr>
        <w:pStyle w:val="ListParagraph"/>
        <w:spacing w:after="0"/>
        <w:ind w:left="1440"/>
        <w:rPr>
          <w:rFonts w:cs="Times New Roman"/>
          <w:sz w:val="22"/>
          <w:lang w:val="sr-Cyrl-RS"/>
        </w:rPr>
      </w:pPr>
    </w:p>
    <w:p w14:paraId="2A021E8C" w14:textId="37876C30" w:rsidR="008116AD" w:rsidRPr="00EF2F18" w:rsidRDefault="008116AD" w:rsidP="00CB163A">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6.1: </w:t>
      </w:r>
      <w:r w:rsidR="0015021D" w:rsidRPr="00EF2F18">
        <w:rPr>
          <w:rFonts w:cs="Times New Roman"/>
          <w:b/>
          <w:bCs/>
          <w:color w:val="2E74B5" w:themeColor="accent1" w:themeShade="BF"/>
          <w:sz w:val="22"/>
          <w:lang w:val="sr-Cyrl-RS"/>
        </w:rPr>
        <w:t xml:space="preserve">Подизање капацитета и нивоа знања за примену </w:t>
      </w:r>
      <w:r w:rsidR="00270D10" w:rsidRPr="00EF2F18">
        <w:rPr>
          <w:rFonts w:cs="Times New Roman"/>
          <w:b/>
          <w:bCs/>
          <w:color w:val="2E74B5" w:themeColor="accent1" w:themeShade="BF"/>
          <w:sz w:val="22"/>
          <w:lang w:val="sr-Cyrl-RS"/>
        </w:rPr>
        <w:t xml:space="preserve">ЕУ стандарда </w:t>
      </w:r>
      <w:r w:rsidR="002B335D" w:rsidRPr="00EF2F18">
        <w:rPr>
          <w:rFonts w:cs="Times New Roman"/>
          <w:b/>
          <w:bCs/>
          <w:color w:val="2E74B5" w:themeColor="accent1" w:themeShade="BF"/>
          <w:sz w:val="22"/>
          <w:lang w:val="sr-Cyrl-RS"/>
        </w:rPr>
        <w:t xml:space="preserve">и </w:t>
      </w:r>
      <w:r w:rsidR="0015021D" w:rsidRPr="00EF2F18">
        <w:rPr>
          <w:rFonts w:cs="Times New Roman"/>
          <w:b/>
          <w:bCs/>
          <w:color w:val="2E74B5" w:themeColor="accent1" w:themeShade="BF"/>
          <w:sz w:val="22"/>
          <w:lang w:val="sr-Cyrl-RS"/>
        </w:rPr>
        <w:t>Зелене агенде на свим нивоима</w:t>
      </w:r>
    </w:p>
    <w:p w14:paraId="53F6CB7E" w14:textId="77777777" w:rsidR="00864D48" w:rsidRDefault="00864D48" w:rsidP="00CB163A">
      <w:pPr>
        <w:spacing w:after="0"/>
        <w:ind w:firstLine="720"/>
        <w:jc w:val="both"/>
        <w:rPr>
          <w:rFonts w:cs="Times New Roman"/>
          <w:sz w:val="22"/>
          <w:lang w:val="sr-Cyrl-RS"/>
        </w:rPr>
      </w:pPr>
    </w:p>
    <w:p w14:paraId="0B5F1628" w14:textId="5E0DD6D0" w:rsidR="00DB7070" w:rsidRPr="00EF2F18" w:rsidRDefault="00DB7070" w:rsidP="00CB163A">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одредбама </w:t>
      </w:r>
      <w:r w:rsidR="00F5721D" w:rsidRPr="00EF2F18">
        <w:rPr>
          <w:rFonts w:cs="Times New Roman"/>
          <w:sz w:val="22"/>
          <w:lang w:val="sr-Cyrl-RS"/>
        </w:rPr>
        <w:t xml:space="preserve">националних прописа и </w:t>
      </w:r>
      <w:r w:rsidRPr="00EF2F18">
        <w:rPr>
          <w:rFonts w:cs="Times New Roman"/>
          <w:sz w:val="22"/>
          <w:lang w:val="sr-Cyrl-RS"/>
        </w:rPr>
        <w:t xml:space="preserve">директива ЕУ из области </w:t>
      </w:r>
      <w:r w:rsidR="002F40F4" w:rsidRPr="00EF2F18">
        <w:rPr>
          <w:rFonts w:cs="Times New Roman"/>
          <w:sz w:val="22"/>
          <w:lang w:val="sr-Cyrl-RS"/>
        </w:rPr>
        <w:t xml:space="preserve">хоризонталног </w:t>
      </w:r>
      <w:r w:rsidRPr="00EF2F18">
        <w:rPr>
          <w:rFonts w:cs="Times New Roman"/>
          <w:sz w:val="22"/>
          <w:lang w:val="sr-Cyrl-RS"/>
        </w:rPr>
        <w:t xml:space="preserve">законодавства: </w:t>
      </w:r>
      <w:r w:rsidRPr="00EF2F18">
        <w:rPr>
          <w:rFonts w:cs="Times New Roman"/>
          <w:color w:val="353535"/>
          <w:sz w:val="22"/>
          <w:shd w:val="clear" w:color="auto" w:fill="FFFFFF"/>
          <w:lang w:val="sr-Cyrl-RS"/>
        </w:rPr>
        <w:t>Директиве ЕУ 2011/92/EC о процени утицаја на животну средину</w:t>
      </w:r>
      <w:r w:rsidR="00D26A94" w:rsidRPr="00EF2F18">
        <w:rPr>
          <w:rFonts w:cs="Times New Roman"/>
          <w:color w:val="353535"/>
          <w:sz w:val="22"/>
          <w:shd w:val="clear" w:color="auto" w:fill="FFFFFF"/>
          <w:lang w:val="sr-Cyrl-RS"/>
        </w:rPr>
        <w:t xml:space="preserve"> одређених јавних и приватних пројеката допуњене Директивом</w:t>
      </w:r>
      <w:r w:rsidR="008C39A2" w:rsidRPr="00EF2F18">
        <w:rPr>
          <w:rFonts w:cs="Times New Roman"/>
          <w:color w:val="353535"/>
          <w:sz w:val="22"/>
          <w:shd w:val="clear" w:color="auto" w:fill="FFFFFF"/>
          <w:lang w:val="sr-Cyrl-RS"/>
        </w:rPr>
        <w:t xml:space="preserve"> ЕУ</w:t>
      </w:r>
      <w:r w:rsidR="00D26A94" w:rsidRPr="00EF2F18">
        <w:rPr>
          <w:rFonts w:cs="Times New Roman"/>
          <w:color w:val="353535"/>
          <w:sz w:val="22"/>
          <w:shd w:val="clear" w:color="auto" w:fill="FFFFFF"/>
          <w:lang w:val="sr-Cyrl-RS"/>
        </w:rPr>
        <w:t xml:space="preserve"> 2014/52/EC</w:t>
      </w:r>
      <w:r w:rsidRPr="00EF2F18">
        <w:rPr>
          <w:rFonts w:cs="Times New Roman"/>
          <w:sz w:val="22"/>
          <w:lang w:val="sr-Cyrl-RS"/>
        </w:rPr>
        <w:t xml:space="preserve">, Директиве ЕУ </w:t>
      </w:r>
      <w:r w:rsidRPr="00EF2F18">
        <w:rPr>
          <w:rFonts w:cs="Times New Roman"/>
          <w:color w:val="353535"/>
          <w:sz w:val="22"/>
          <w:shd w:val="clear" w:color="auto" w:fill="FFFFFF"/>
          <w:lang w:val="sr-Cyrl-RS"/>
        </w:rPr>
        <w:t>2003/35/EC</w:t>
      </w:r>
      <w:r w:rsidR="008C39A2" w:rsidRPr="00EF2F18">
        <w:rPr>
          <w:rFonts w:cs="Times New Roman"/>
          <w:color w:val="353535"/>
          <w:sz w:val="22"/>
          <w:shd w:val="clear" w:color="auto" w:fill="FFFFFF"/>
          <w:lang w:val="sr-Cyrl-RS"/>
        </w:rPr>
        <w:t xml:space="preserve"> о</w:t>
      </w:r>
      <w:r w:rsidRPr="00EF2F18">
        <w:rPr>
          <w:rFonts w:cs="Times New Roman"/>
          <w:color w:val="353535"/>
          <w:sz w:val="22"/>
          <w:shd w:val="clear" w:color="auto" w:fill="FFFFFF"/>
          <w:lang w:val="sr-Cyrl-RS"/>
        </w:rPr>
        <w:t xml:space="preserve"> </w:t>
      </w:r>
      <w:r w:rsidR="008C39A2" w:rsidRPr="00EF2F18">
        <w:rPr>
          <w:rFonts w:cs="Times New Roman"/>
          <w:color w:val="353535"/>
          <w:sz w:val="22"/>
          <w:shd w:val="clear" w:color="auto" w:fill="FFFFFF"/>
          <w:lang w:val="sr-Cyrl-RS"/>
        </w:rPr>
        <w:t xml:space="preserve">учешћу </w:t>
      </w:r>
      <w:r w:rsidRPr="00EF2F18">
        <w:rPr>
          <w:rFonts w:cs="Times New Roman"/>
          <w:color w:val="353535"/>
          <w:sz w:val="22"/>
          <w:shd w:val="clear" w:color="auto" w:fill="FFFFFF"/>
          <w:lang w:val="sr-Cyrl-RS"/>
        </w:rPr>
        <w:t>јавности у изради одређених планова и програма који се односе на животну средину</w:t>
      </w:r>
      <w:r w:rsidRPr="00EF2F18">
        <w:rPr>
          <w:rFonts w:cs="Times New Roman"/>
          <w:sz w:val="22"/>
          <w:lang w:val="sr-Cyrl-RS"/>
        </w:rPr>
        <w:t xml:space="preserve">, Директиве ЕУ </w:t>
      </w:r>
      <w:r w:rsidR="00052ADA" w:rsidRPr="00EF2F18">
        <w:rPr>
          <w:rFonts w:cs="Times New Roman"/>
          <w:sz w:val="22"/>
          <w:lang w:val="sr-Cyrl-RS"/>
        </w:rPr>
        <w:t>2024</w:t>
      </w:r>
      <w:r w:rsidRPr="00EF2F18">
        <w:rPr>
          <w:rFonts w:cs="Times New Roman"/>
          <w:sz w:val="22"/>
          <w:lang w:val="sr-Cyrl-RS"/>
        </w:rPr>
        <w:t>/</w:t>
      </w:r>
      <w:r w:rsidR="00052ADA" w:rsidRPr="00EF2F18">
        <w:rPr>
          <w:rFonts w:cs="Times New Roman"/>
          <w:sz w:val="22"/>
          <w:lang w:val="sr-Cyrl-RS"/>
        </w:rPr>
        <w:t>1203</w:t>
      </w:r>
      <w:r w:rsidRPr="00EF2F18">
        <w:rPr>
          <w:rFonts w:cs="Times New Roman"/>
          <w:sz w:val="22"/>
          <w:lang w:val="sr-Cyrl-RS"/>
        </w:rPr>
        <w:t xml:space="preserve"> о </w:t>
      </w:r>
      <w:r w:rsidR="00052ADA" w:rsidRPr="00EF2F18">
        <w:rPr>
          <w:rFonts w:cs="Times New Roman"/>
          <w:sz w:val="22"/>
          <w:lang w:val="sr-Cyrl-RS"/>
        </w:rPr>
        <w:t xml:space="preserve">заштити животне средине путем </w:t>
      </w:r>
      <w:r w:rsidR="00864D48">
        <w:rPr>
          <w:rFonts w:cs="Times New Roman"/>
          <w:sz w:val="22"/>
          <w:lang w:val="sr-Cyrl-RS"/>
        </w:rPr>
        <w:t>кривичн</w:t>
      </w:r>
      <w:r w:rsidR="00052ADA" w:rsidRPr="00EF2F18">
        <w:rPr>
          <w:rFonts w:cs="Times New Roman"/>
          <w:sz w:val="22"/>
          <w:lang w:val="sr-Cyrl-RS"/>
        </w:rPr>
        <w:t>ог права која замењује Директиву 2008/99/ЕЗ и 2009/123/ЕЗ</w:t>
      </w:r>
      <w:r w:rsidR="002F40F4" w:rsidRPr="00EF2F18">
        <w:rPr>
          <w:rFonts w:cs="Times New Roman"/>
          <w:sz w:val="22"/>
          <w:lang w:val="sr-Cyrl-RS"/>
        </w:rPr>
        <w:t xml:space="preserve"> </w:t>
      </w:r>
      <w:r w:rsidRPr="00EF2F18">
        <w:rPr>
          <w:rFonts w:cs="Times New Roman"/>
          <w:sz w:val="22"/>
          <w:lang w:val="sr-Cyrl-RS"/>
        </w:rPr>
        <w:t>и Директиве ЕУ 2004/35/ЕC о одговорности за штету према животној средини.</w:t>
      </w:r>
    </w:p>
    <w:p w14:paraId="64ABB0E5" w14:textId="65031E64" w:rsidR="008116AD" w:rsidRPr="00EF2F18" w:rsidRDefault="009758F8" w:rsidP="00CB163A">
      <w:pPr>
        <w:spacing w:after="0"/>
        <w:ind w:firstLine="720"/>
        <w:jc w:val="both"/>
        <w:rPr>
          <w:rFonts w:cs="Times New Roman"/>
          <w:sz w:val="22"/>
          <w:lang w:val="sr-Cyrl-RS"/>
        </w:rPr>
      </w:pPr>
      <w:r w:rsidRPr="00EF2F18">
        <w:rPr>
          <w:rFonts w:cs="Times New Roman"/>
          <w:sz w:val="22"/>
          <w:lang w:val="sr-Cyrl-RS"/>
        </w:rPr>
        <w:t xml:space="preserve">Институционални оквир за вођење политика животне средине у Републици Србији је децентрализован. Део својих надлежности (заједно са правом одлучивања) Република је поверила </w:t>
      </w:r>
      <w:r w:rsidR="004D78B7" w:rsidRPr="00EF2F18">
        <w:rPr>
          <w:rFonts w:cs="Times New Roman"/>
          <w:sz w:val="22"/>
          <w:lang w:val="sr-Cyrl-RS"/>
        </w:rPr>
        <w:t>АП</w:t>
      </w:r>
      <w:r w:rsidRPr="00EF2F18">
        <w:rPr>
          <w:rFonts w:cs="Times New Roman"/>
          <w:sz w:val="22"/>
          <w:lang w:val="sr-Cyrl-RS"/>
        </w:rPr>
        <w:t xml:space="preserve"> Војводина и локалним самоуправама у складу с принципима њихових аутономија. Конкретно, законодавно-стратешки послови, као и послови мониторинга и контроле добрим делом остали су на нивоу Републике и АП</w:t>
      </w:r>
      <w:r w:rsidR="004D78B7" w:rsidRPr="00EF2F18">
        <w:rPr>
          <w:rFonts w:cs="Times New Roman"/>
          <w:sz w:val="22"/>
          <w:lang w:val="sr-Cyrl-RS"/>
        </w:rPr>
        <w:t xml:space="preserve"> </w:t>
      </w:r>
      <w:r w:rsidRPr="00EF2F18">
        <w:rPr>
          <w:rFonts w:cs="Times New Roman"/>
          <w:sz w:val="22"/>
          <w:lang w:val="sr-Cyrl-RS"/>
        </w:rPr>
        <w:t>В</w:t>
      </w:r>
      <w:r w:rsidR="004D78B7" w:rsidRPr="00EF2F18">
        <w:rPr>
          <w:rFonts w:cs="Times New Roman"/>
          <w:sz w:val="22"/>
          <w:lang w:val="sr-Cyrl-RS"/>
        </w:rPr>
        <w:t>ојводине</w:t>
      </w:r>
      <w:r w:rsidRPr="00EF2F18">
        <w:rPr>
          <w:rFonts w:cs="Times New Roman"/>
          <w:sz w:val="22"/>
          <w:lang w:val="sr-Cyrl-RS"/>
        </w:rPr>
        <w:t>.</w:t>
      </w:r>
    </w:p>
    <w:p w14:paraId="74FE29AD" w14:textId="7FAF7670" w:rsidR="00961B97" w:rsidRPr="00EF2F18" w:rsidRDefault="00136871" w:rsidP="00CB163A">
      <w:pPr>
        <w:spacing w:after="0"/>
        <w:ind w:firstLine="720"/>
        <w:jc w:val="both"/>
        <w:rPr>
          <w:sz w:val="22"/>
          <w:lang w:val="sr-Cyrl-RS"/>
        </w:rPr>
      </w:pPr>
      <w:r w:rsidRPr="00EF2F18">
        <w:rPr>
          <w:rFonts w:eastAsia="Calibri" w:cs="Times New Roman"/>
          <w:sz w:val="22"/>
          <w:lang w:val="sr-Cyrl-RS"/>
        </w:rPr>
        <w:t xml:space="preserve">Овај посебан циљ доприноси реализацији ЦОР </w:t>
      </w:r>
      <w:r w:rsidR="00961B97" w:rsidRPr="00EF2F18">
        <w:rPr>
          <w:rFonts w:eastAsia="Calibri" w:cs="Times New Roman"/>
          <w:sz w:val="22"/>
          <w:lang w:val="sr-Cyrl-RS"/>
        </w:rPr>
        <w:t>16 који п</w:t>
      </w:r>
      <w:r w:rsidR="00961B97" w:rsidRPr="00EF2F18">
        <w:rPr>
          <w:sz w:val="22"/>
          <w:lang w:val="sr-Cyrl-RS"/>
        </w:rPr>
        <w:t>ромовише мирољубива и инклузивна друштва за одрживи развој, налаже да се обезбеди приступ правди за све и предвиђа да се изграде делотворне, одговорне и инклузивне институције на свим нивоима. Такође</w:t>
      </w:r>
      <w:r w:rsidR="00EB1EDE" w:rsidRPr="00EF2F18">
        <w:rPr>
          <w:sz w:val="22"/>
          <w:lang w:val="sr-Cyrl-RS"/>
        </w:rPr>
        <w:t>,</w:t>
      </w:r>
      <w:r w:rsidR="00961B97" w:rsidRPr="00EF2F18">
        <w:rPr>
          <w:sz w:val="22"/>
          <w:lang w:val="sr-Cyrl-RS"/>
        </w:rPr>
        <w:t xml:space="preserve"> доприноси реализацији ЦОР 4 који је посвећен је унапређивању образовања становништва и ЦОР 5 који је посвећен унапређивању родне равноправности и оснаживању жена и девојчица.</w:t>
      </w:r>
    </w:p>
    <w:p w14:paraId="52123E10" w14:textId="77777777" w:rsidR="00961B97" w:rsidRPr="00EF2F18" w:rsidRDefault="00961B97" w:rsidP="00CB163A">
      <w:pPr>
        <w:spacing w:after="0"/>
        <w:ind w:firstLine="720"/>
        <w:jc w:val="both"/>
        <w:rPr>
          <w:sz w:val="22"/>
          <w:lang w:val="sr-Cyrl-RS"/>
        </w:rPr>
      </w:pPr>
    </w:p>
    <w:p w14:paraId="29AE279F" w14:textId="095FB0A2" w:rsidR="008116AD" w:rsidRPr="00EF2F18" w:rsidRDefault="008116A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6.1.1. </w:t>
      </w:r>
      <w:r w:rsidR="0015021D" w:rsidRPr="00EF2F18">
        <w:rPr>
          <w:rFonts w:cs="Times New Roman"/>
          <w:b/>
          <w:bCs/>
          <w:sz w:val="22"/>
          <w:lang w:val="sr-Cyrl-RS" w:eastAsia="en-GB"/>
        </w:rPr>
        <w:t>Јачање капацитета институција на републичком</w:t>
      </w:r>
      <w:r w:rsidR="00BE2062" w:rsidRPr="00EF2F18">
        <w:rPr>
          <w:rFonts w:cs="Times New Roman"/>
          <w:b/>
          <w:bCs/>
          <w:sz w:val="22"/>
          <w:lang w:val="sr-Cyrl-RS" w:eastAsia="en-GB"/>
        </w:rPr>
        <w:t>,</w:t>
      </w:r>
      <w:r w:rsidR="0015021D" w:rsidRPr="00EF2F18">
        <w:rPr>
          <w:rFonts w:cs="Times New Roman"/>
          <w:b/>
          <w:bCs/>
          <w:sz w:val="22"/>
          <w:lang w:val="sr-Cyrl-RS" w:eastAsia="en-GB"/>
        </w:rPr>
        <w:t xml:space="preserve"> покрајинском </w:t>
      </w:r>
      <w:r w:rsidR="00BE2062" w:rsidRPr="00EF2F18">
        <w:rPr>
          <w:rFonts w:cs="Times New Roman"/>
          <w:b/>
          <w:bCs/>
          <w:sz w:val="22"/>
          <w:lang w:val="sr-Cyrl-RS" w:eastAsia="en-GB"/>
        </w:rPr>
        <w:t xml:space="preserve">и локалном </w:t>
      </w:r>
      <w:r w:rsidR="0015021D" w:rsidRPr="00EF2F18">
        <w:rPr>
          <w:rFonts w:cs="Times New Roman"/>
          <w:b/>
          <w:bCs/>
          <w:sz w:val="22"/>
          <w:lang w:val="sr-Cyrl-RS" w:eastAsia="en-GB"/>
        </w:rPr>
        <w:t>нивоу</w:t>
      </w:r>
    </w:p>
    <w:p w14:paraId="1E096374" w14:textId="77777777" w:rsidR="00D83673" w:rsidRPr="00EF2F18" w:rsidRDefault="00D83673" w:rsidP="00E27271">
      <w:pPr>
        <w:spacing w:after="0"/>
        <w:ind w:firstLine="720"/>
        <w:jc w:val="both"/>
        <w:rPr>
          <w:rFonts w:cs="Times New Roman"/>
          <w:sz w:val="22"/>
          <w:lang w:val="sr-Cyrl-RS"/>
        </w:rPr>
      </w:pPr>
    </w:p>
    <w:p w14:paraId="76DE51CB" w14:textId="4C2E0F2F" w:rsidR="00E27271" w:rsidRPr="00EF2F18" w:rsidRDefault="009758F8" w:rsidP="00E27271">
      <w:pPr>
        <w:spacing w:after="0"/>
        <w:ind w:firstLine="720"/>
        <w:jc w:val="both"/>
        <w:rPr>
          <w:rFonts w:cs="Times New Roman"/>
          <w:sz w:val="22"/>
          <w:lang w:val="sr-Cyrl-RS"/>
        </w:rPr>
      </w:pPr>
      <w:r w:rsidRPr="00EF2F18">
        <w:rPr>
          <w:rFonts w:cs="Times New Roman"/>
          <w:sz w:val="22"/>
          <w:lang w:val="sr-Cyrl-RS"/>
        </w:rPr>
        <w:t>П</w:t>
      </w:r>
      <w:r w:rsidR="000F3862" w:rsidRPr="00EF2F18">
        <w:rPr>
          <w:rFonts w:cs="Times New Roman"/>
          <w:sz w:val="22"/>
          <w:lang w:val="sr-Cyrl-RS"/>
        </w:rPr>
        <w:t xml:space="preserve">отребно је јачање </w:t>
      </w:r>
      <w:r w:rsidR="00064503" w:rsidRPr="00EF2F18">
        <w:rPr>
          <w:rFonts w:cs="Times New Roman"/>
          <w:sz w:val="22"/>
          <w:lang w:val="sr-Cyrl-RS"/>
        </w:rPr>
        <w:t>институција на републичком и покрајинском нивоу кроз израду у реализацију програма за стручно усавршавање државних службеника који ће допринети подизању нивоа знања и вештина неопходних за остваривање циљева Зелене агенде.</w:t>
      </w:r>
      <w:r w:rsidR="00E27271" w:rsidRPr="00EF2F18">
        <w:rPr>
          <w:rFonts w:cs="Times New Roman"/>
          <w:sz w:val="22"/>
          <w:lang w:val="sr-Cyrl-RS"/>
        </w:rPr>
        <w:t xml:space="preserve"> </w:t>
      </w:r>
    </w:p>
    <w:p w14:paraId="141479D3" w14:textId="39E96717" w:rsidR="00064503" w:rsidRPr="00EF2F18" w:rsidRDefault="00064503" w:rsidP="00064503">
      <w:pPr>
        <w:spacing w:after="0"/>
        <w:ind w:firstLine="720"/>
        <w:jc w:val="both"/>
        <w:rPr>
          <w:rFonts w:cs="Times New Roman"/>
          <w:sz w:val="22"/>
          <w:lang w:val="sr-Cyrl-RS"/>
        </w:rPr>
      </w:pPr>
      <w:r w:rsidRPr="00EF2F18">
        <w:rPr>
          <w:rFonts w:cs="Times New Roman"/>
          <w:sz w:val="22"/>
          <w:lang w:val="sr-Cyrl-RS"/>
        </w:rPr>
        <w:t>Значајно је развијање сталног механизма за унапређење процеса размене информација и консултација између органа државне управе који поступају по питањима заштите животне средине. Неопходна је јасна и функционална координациј</w:t>
      </w:r>
      <w:r w:rsidR="00E27271" w:rsidRPr="00EF2F18">
        <w:rPr>
          <w:rFonts w:cs="Times New Roman"/>
          <w:sz w:val="22"/>
          <w:lang w:val="sr-Cyrl-RS"/>
        </w:rPr>
        <w:t>а</w:t>
      </w:r>
      <w:r w:rsidRPr="00EF2F18">
        <w:rPr>
          <w:rFonts w:cs="Times New Roman"/>
          <w:sz w:val="22"/>
          <w:lang w:val="sr-Cyrl-RS"/>
        </w:rPr>
        <w:t xml:space="preserve"> између различитих министарстава, јавних и државних предузећа и локалних самоуправа.</w:t>
      </w:r>
    </w:p>
    <w:p w14:paraId="48231833" w14:textId="63F87B78" w:rsidR="004B695B" w:rsidRPr="00EF2F18" w:rsidRDefault="00064503" w:rsidP="00064503">
      <w:pPr>
        <w:spacing w:after="0"/>
        <w:ind w:firstLine="720"/>
        <w:jc w:val="both"/>
        <w:rPr>
          <w:rFonts w:cs="Times New Roman"/>
          <w:sz w:val="22"/>
          <w:lang w:val="sr-Cyrl-RS"/>
        </w:rPr>
      </w:pPr>
      <w:r w:rsidRPr="00EF2F18">
        <w:rPr>
          <w:rFonts w:cs="Times New Roman"/>
          <w:sz w:val="22"/>
          <w:lang w:val="sr-Cyrl-RS"/>
        </w:rPr>
        <w:t>Такође</w:t>
      </w:r>
      <w:r w:rsidR="00EB1EDE" w:rsidRPr="00EF2F18">
        <w:rPr>
          <w:rFonts w:cs="Times New Roman"/>
          <w:sz w:val="22"/>
          <w:lang w:val="sr-Cyrl-RS"/>
        </w:rPr>
        <w:t>,</w:t>
      </w:r>
      <w:r w:rsidRPr="00EF2F18">
        <w:rPr>
          <w:rFonts w:cs="Times New Roman"/>
          <w:sz w:val="22"/>
          <w:lang w:val="sr-Cyrl-RS"/>
        </w:rPr>
        <w:t xml:space="preserve"> потребно је попуњавање капацитета органа државне управе надлежних за заштиту животне средине, укључујући капацитете за утврђивање приоритета, стратешко планирање и програмирање, дељење информација и мониторинг, мерење учинка и извршење и поштовање прописа, према броју утврђеном у Националном програму за усвајање </w:t>
      </w:r>
      <w:r w:rsidR="002F40F4" w:rsidRPr="00EF2F18">
        <w:rPr>
          <w:rFonts w:cs="Times New Roman"/>
          <w:sz w:val="22"/>
          <w:lang w:val="sr-Cyrl-RS"/>
        </w:rPr>
        <w:t xml:space="preserve">правних </w:t>
      </w:r>
      <w:r w:rsidRPr="00EF2F18">
        <w:rPr>
          <w:rFonts w:cs="Times New Roman"/>
          <w:sz w:val="22"/>
          <w:lang w:val="sr-Cyrl-RS"/>
        </w:rPr>
        <w:t>тековина Европске уније 2022</w:t>
      </w:r>
      <w:r w:rsidR="004D677C" w:rsidRPr="00EF2F18">
        <w:rPr>
          <w:rFonts w:cs="Times New Roman"/>
          <w:sz w:val="22"/>
          <w:lang w:val="sr-Cyrl-RS"/>
        </w:rPr>
        <w:t xml:space="preserve"> – </w:t>
      </w:r>
      <w:r w:rsidRPr="00EF2F18">
        <w:rPr>
          <w:rFonts w:cs="Times New Roman"/>
          <w:sz w:val="22"/>
          <w:lang w:val="sr-Cyrl-RS"/>
        </w:rPr>
        <w:t>2025.</w:t>
      </w:r>
      <w:r w:rsidR="004D677C" w:rsidRPr="00EF2F18">
        <w:rPr>
          <w:rFonts w:cs="Times New Roman"/>
          <w:iCs/>
          <w:sz w:val="22"/>
          <w:lang w:val="sr-Cyrl-RS"/>
        </w:rPr>
        <w:t xml:space="preserve"> године.</w:t>
      </w:r>
      <w:r w:rsidRPr="00EF2F18">
        <w:rPr>
          <w:rFonts w:cs="Times New Roman"/>
          <w:sz w:val="22"/>
          <w:lang w:val="sr-Cyrl-RS"/>
        </w:rPr>
        <w:t xml:space="preserve"> </w:t>
      </w:r>
      <w:r w:rsidR="00E27271" w:rsidRPr="00EF2F18">
        <w:rPr>
          <w:rFonts w:cs="Times New Roman"/>
          <w:sz w:val="22"/>
          <w:lang w:val="sr-Cyrl-RS"/>
        </w:rPr>
        <w:t>Потребно је запослити кад</w:t>
      </w:r>
      <w:r w:rsidR="00D41BA6" w:rsidRPr="00EF2F18">
        <w:rPr>
          <w:rFonts w:cs="Times New Roman"/>
          <w:sz w:val="22"/>
          <w:lang w:val="sr-Cyrl-RS"/>
        </w:rPr>
        <w:t xml:space="preserve">рове са компетенцијама </w:t>
      </w:r>
      <w:r w:rsidR="00D41BA6" w:rsidRPr="00EF2F18">
        <w:rPr>
          <w:rFonts w:cs="Times New Roman"/>
          <w:sz w:val="22"/>
          <w:lang w:val="sr-Cyrl-RS"/>
        </w:rPr>
        <w:lastRenderedPageBreak/>
        <w:t>у одређеним стручним областима</w:t>
      </w:r>
      <w:r w:rsidR="00E27271" w:rsidRPr="00EF2F18">
        <w:rPr>
          <w:rFonts w:cs="Times New Roman"/>
          <w:sz w:val="22"/>
          <w:lang w:val="sr-Cyrl-RS"/>
        </w:rPr>
        <w:t xml:space="preserve"> (поготово инспекцијски и инжењерски) како би се институционални капацитети државе довели на ниво који ће омогућити ефикасну реализацију пројеката. </w:t>
      </w:r>
      <w:r w:rsidRPr="00EF2F18">
        <w:rPr>
          <w:rFonts w:cs="Times New Roman"/>
          <w:sz w:val="22"/>
          <w:lang w:val="sr-Cyrl-RS"/>
        </w:rPr>
        <w:t>Периодично треба вршити анализу потребних капацитета и њихове попуњености за примену законодавства усклађеног са ЕУ.</w:t>
      </w:r>
      <w:r w:rsidR="00CC11A6" w:rsidRPr="00EF2F18">
        <w:rPr>
          <w:rFonts w:cs="Times New Roman"/>
          <w:sz w:val="22"/>
          <w:lang w:val="sr-Cyrl-RS"/>
        </w:rPr>
        <w:t xml:space="preserve"> Такође је потребно са Националном академијом за јавну управу израдити одговарајуће програме за стручно усавршавање службеника који ће допринети подизању нивоа знања и вештина неопходних за остваривање циљева Зелене агенде и организовати акредитоване обуке на свим нивоима.</w:t>
      </w:r>
      <w:r w:rsidR="00590987" w:rsidRPr="00EF2F18">
        <w:rPr>
          <w:rFonts w:cs="Times New Roman"/>
          <w:sz w:val="22"/>
          <w:lang w:val="sr-Cyrl-RS"/>
        </w:rPr>
        <w:t xml:space="preserve"> </w:t>
      </w:r>
    </w:p>
    <w:p w14:paraId="0D0FD6DA" w14:textId="08192813" w:rsidR="00D26F39" w:rsidRPr="00EF2F18" w:rsidRDefault="00D26F39" w:rsidP="00064503">
      <w:pPr>
        <w:spacing w:after="0"/>
        <w:ind w:firstLine="720"/>
        <w:jc w:val="both"/>
        <w:rPr>
          <w:rFonts w:cs="Times New Roman"/>
          <w:sz w:val="22"/>
          <w:lang w:val="sr-Cyrl-RS"/>
        </w:rPr>
      </w:pPr>
      <w:r w:rsidRPr="00EF2F18">
        <w:rPr>
          <w:rFonts w:cs="Times New Roman"/>
          <w:sz w:val="22"/>
          <w:lang w:val="sr-Cyrl-RS"/>
        </w:rPr>
        <w:t xml:space="preserve">Ова мера обухвата и спровођење програма обука релевантних актера за јачање капацитета у контексту миграција и заштите животне средине и климатских промена, укључујући и релевантне анализе и студије </w:t>
      </w:r>
      <w:r w:rsidRPr="00EF2F18">
        <w:rPr>
          <w:rFonts w:eastAsia="Calibri" w:cs="Times New Roman"/>
          <w:bCs/>
          <w:sz w:val="22"/>
          <w:lang w:val="sr-Cyrl-RS"/>
        </w:rPr>
        <w:t>о утицају климатских промена на миграционе токове у Србији. Такође укључује и обуке з</w:t>
      </w:r>
      <w:r w:rsidRPr="00EF2F18">
        <w:rPr>
          <w:rFonts w:eastAsia="Calibri"/>
          <w:bCs/>
          <w:sz w:val="22"/>
          <w:lang w:val="sr-Cyrl-RS"/>
        </w:rPr>
        <w:t>а државне службенике о правима деце у области животне средине и обавезама државе према Конвенцији о правима детета.</w:t>
      </w:r>
    </w:p>
    <w:p w14:paraId="33427889" w14:textId="4A5FFCEF" w:rsidR="00CC11A6" w:rsidRPr="00EF2F18" w:rsidRDefault="00CC11A6" w:rsidP="00CC11A6">
      <w:pPr>
        <w:spacing w:after="0"/>
        <w:ind w:firstLine="720"/>
        <w:jc w:val="both"/>
        <w:rPr>
          <w:rFonts w:cs="Times New Roman"/>
          <w:sz w:val="22"/>
          <w:lang w:val="sr-Cyrl-RS"/>
        </w:rPr>
      </w:pPr>
      <w:r w:rsidRPr="00EF2F18">
        <w:rPr>
          <w:rFonts w:cs="Times New Roman"/>
          <w:sz w:val="22"/>
          <w:lang w:val="sr-Cyrl-RS"/>
        </w:rPr>
        <w:t>Јединице локалне самоуправе имају оперативне надлежности, а често немају довољно капацитета да се на адекватан начин носе са повереним надлежностима.</w:t>
      </w:r>
    </w:p>
    <w:p w14:paraId="1816F617" w14:textId="1BA2E48E" w:rsidR="00CC11A6" w:rsidRPr="00EF2F18" w:rsidRDefault="00CC11A6" w:rsidP="00CC11A6">
      <w:pPr>
        <w:spacing w:after="0"/>
        <w:ind w:firstLine="720"/>
        <w:jc w:val="both"/>
        <w:rPr>
          <w:rFonts w:cs="Times New Roman"/>
          <w:sz w:val="22"/>
          <w:lang w:val="sr-Cyrl-RS"/>
        </w:rPr>
      </w:pPr>
      <w:r w:rsidRPr="00EF2F18">
        <w:rPr>
          <w:rFonts w:cs="Times New Roman"/>
          <w:sz w:val="22"/>
          <w:lang w:val="sr-Cyrl-RS"/>
        </w:rPr>
        <w:t xml:space="preserve">Потребно је јачање капацитета јединица локалне самоуправе, општина и градова, како би се постигло пуно спровођење локалних услуга. Неопходна је анализа потреба и развој и спровођење програма обуке и техничке и финансијске помоћи општинама. Поред тога, потребно је јачање административних капацитета запошљавањем особља и пружањем допунске обуке кроз едукативне радионице за унапређење знања, вештина и компетенција из области Зелене агенде. Потребно је припремити радне материјале за све програме обука. </w:t>
      </w:r>
      <w:r w:rsidR="00BB3175" w:rsidRPr="00EF2F18">
        <w:rPr>
          <w:rFonts w:cs="Times New Roman"/>
          <w:sz w:val="22"/>
          <w:lang w:val="sr-Cyrl-RS"/>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43EB8D6C" w14:textId="77777777" w:rsidR="00CC11A6" w:rsidRPr="00EF2F18" w:rsidRDefault="00CC11A6" w:rsidP="00CC11A6">
      <w:pPr>
        <w:spacing w:after="0"/>
        <w:ind w:firstLine="720"/>
        <w:jc w:val="both"/>
        <w:rPr>
          <w:rFonts w:cs="Times New Roman"/>
          <w:sz w:val="22"/>
          <w:lang w:val="sr-Cyrl-RS"/>
        </w:rPr>
      </w:pPr>
      <w:r w:rsidRPr="00EF2F18">
        <w:rPr>
          <w:rFonts w:cs="Times New Roman"/>
          <w:sz w:val="22"/>
          <w:lang w:val="sr-Cyrl-RS"/>
        </w:rPr>
        <w:t>Постоји потреба за унапређивањем система информисања јединица локалне самоуправе о донетим прописима у области заштите животне средине и њиховој примени. Потребно је припремити водиче за спровођење прописа.</w:t>
      </w:r>
    </w:p>
    <w:p w14:paraId="2930EB2E" w14:textId="0DDE9385" w:rsidR="009758F8" w:rsidRPr="00EF2F18" w:rsidRDefault="00CC11A6" w:rsidP="009758F8">
      <w:pPr>
        <w:spacing w:after="0"/>
        <w:ind w:firstLine="720"/>
        <w:jc w:val="both"/>
        <w:rPr>
          <w:rFonts w:cs="Times New Roman"/>
          <w:sz w:val="22"/>
          <w:lang w:val="sr-Cyrl-RS"/>
        </w:rPr>
      </w:pPr>
      <w:r w:rsidRPr="00EF2F18">
        <w:rPr>
          <w:rFonts w:cs="Times New Roman"/>
          <w:sz w:val="22"/>
          <w:lang w:val="sr-Cyrl-RS"/>
        </w:rPr>
        <w:t xml:space="preserve">Значајно је и </w:t>
      </w:r>
      <w:r w:rsidRPr="00EF2F18">
        <w:rPr>
          <w:color w:val="000000" w:themeColor="text1"/>
          <w:kern w:val="24"/>
          <w:sz w:val="22"/>
          <w:lang w:val="sr-Cyrl-RS"/>
        </w:rPr>
        <w:t>успостављање сарадње са институцијама и организацијама регионалног и међународног карактера.</w:t>
      </w:r>
    </w:p>
    <w:p w14:paraId="4AAA2BC9" w14:textId="000CFABA"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7D5EA4D1" w14:textId="1FBBCF9D"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704D50" w:rsidRPr="00EF2F18">
        <w:rPr>
          <w:rFonts w:cs="Times New Roman"/>
          <w:sz w:val="22"/>
          <w:lang w:val="sr-Cyrl-RS" w:eastAsia="en-GB"/>
        </w:rPr>
        <w:t xml:space="preserve">Министарство финансија, </w:t>
      </w:r>
      <w:r w:rsidR="003C59BD" w:rsidRPr="00EF2F18">
        <w:rPr>
          <w:rFonts w:cs="Times New Roman"/>
          <w:sz w:val="22"/>
          <w:lang w:val="sr-Cyrl-RS" w:eastAsia="en-GB"/>
        </w:rPr>
        <w:t xml:space="preserve">Министарство за европске интеграције, </w:t>
      </w:r>
      <w:r w:rsidR="00704D50" w:rsidRPr="00EF2F18">
        <w:rPr>
          <w:rFonts w:cs="Times New Roman"/>
          <w:sz w:val="22"/>
          <w:lang w:val="sr-Cyrl-RS" w:eastAsia="en-GB"/>
        </w:rPr>
        <w:t>Национална академија за јавну управу, друга релевантна министарства</w:t>
      </w:r>
      <w:r w:rsidR="00CC11A6" w:rsidRPr="00EF2F18">
        <w:rPr>
          <w:rFonts w:cs="Times New Roman"/>
          <w:sz w:val="22"/>
          <w:lang w:val="sr-Cyrl-RS" w:eastAsia="en-GB"/>
        </w:rPr>
        <w:t xml:space="preserve">, АП Војводина, јединице локалне самоуправе, </w:t>
      </w:r>
      <w:r w:rsidR="00891D8A" w:rsidRPr="00EF2F18">
        <w:rPr>
          <w:rFonts w:cs="Times New Roman"/>
          <w:sz w:val="22"/>
          <w:lang w:val="sr-Cyrl-RS" w:eastAsia="en-GB"/>
        </w:rPr>
        <w:t>Стална конференција градова и општина</w:t>
      </w:r>
      <w:r w:rsidR="00590987" w:rsidRPr="00EF2F18">
        <w:rPr>
          <w:rFonts w:cs="Times New Roman"/>
          <w:sz w:val="22"/>
          <w:lang w:val="sr-Cyrl-RS" w:eastAsia="en-GB"/>
        </w:rPr>
        <w:t>, ИОМ, УНИЦЕФ</w:t>
      </w:r>
      <w:r w:rsidR="00891D8A" w:rsidRPr="00EF2F18">
        <w:rPr>
          <w:rFonts w:cs="Times New Roman"/>
          <w:sz w:val="22"/>
          <w:lang w:val="sr-Cyrl-RS" w:eastAsia="en-GB"/>
        </w:rPr>
        <w:t>.</w:t>
      </w:r>
    </w:p>
    <w:p w14:paraId="32E5EE39" w14:textId="478CB19A"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891D8A" w:rsidRPr="00EF2F18">
        <w:rPr>
          <w:rFonts w:cs="Times New Roman"/>
          <w:sz w:val="22"/>
          <w:lang w:val="sr-Cyrl-RS" w:eastAsia="en-GB"/>
        </w:rPr>
        <w:t>институционално-управљачко-</w:t>
      </w:r>
      <w:r w:rsidR="00BE0104" w:rsidRPr="00EF2F18">
        <w:rPr>
          <w:rFonts w:cs="Times New Roman"/>
          <w:sz w:val="22"/>
          <w:lang w:val="sr-Cyrl-RS" w:eastAsia="en-GB"/>
        </w:rPr>
        <w:t>организациона</w:t>
      </w:r>
      <w:r w:rsidR="006C2E00" w:rsidRPr="00EF2F18">
        <w:rPr>
          <w:rFonts w:cs="Times New Roman"/>
          <w:sz w:val="22"/>
          <w:lang w:val="sr-Cyrl-RS" w:eastAsia="en-GB"/>
        </w:rPr>
        <w:t>.</w:t>
      </w:r>
      <w:r w:rsidR="00BE0104" w:rsidRPr="00EF2F18">
        <w:rPr>
          <w:rFonts w:cs="Times New Roman"/>
          <w:sz w:val="22"/>
          <w:lang w:val="sr-Cyrl-RS" w:eastAsia="en-GB"/>
        </w:rPr>
        <w:t xml:space="preserve"> </w:t>
      </w:r>
    </w:p>
    <w:p w14:paraId="39F0C3C5" w14:textId="77777777" w:rsidR="008116AD" w:rsidRPr="00753384" w:rsidRDefault="008116AD" w:rsidP="00425FCC">
      <w:pPr>
        <w:spacing w:after="0"/>
        <w:ind w:firstLine="720"/>
        <w:jc w:val="both"/>
        <w:rPr>
          <w:rFonts w:cs="Times New Roman"/>
          <w:sz w:val="12"/>
          <w:szCs w:val="12"/>
          <w:lang w:val="sr-Cyrl-RS" w:eastAsia="en-GB"/>
        </w:rPr>
      </w:pPr>
    </w:p>
    <w:p w14:paraId="649325D8" w14:textId="7167C09B" w:rsidR="008116AD" w:rsidRPr="00EF2F18" w:rsidRDefault="008116A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6.1.2. </w:t>
      </w:r>
      <w:r w:rsidR="00BE2062" w:rsidRPr="00EF2F18">
        <w:rPr>
          <w:rFonts w:cs="Times New Roman"/>
          <w:b/>
          <w:bCs/>
          <w:sz w:val="22"/>
          <w:lang w:val="sr-Cyrl-RS" w:eastAsia="en-GB"/>
        </w:rPr>
        <w:t>Унапређење инспекцијског надзора</w:t>
      </w:r>
    </w:p>
    <w:p w14:paraId="510408C3" w14:textId="77777777" w:rsidR="00D83673" w:rsidRPr="00753384" w:rsidRDefault="00D83673" w:rsidP="009758F8">
      <w:pPr>
        <w:spacing w:after="0"/>
        <w:ind w:firstLine="720"/>
        <w:jc w:val="both"/>
        <w:rPr>
          <w:rFonts w:cs="Times New Roman"/>
          <w:sz w:val="12"/>
          <w:szCs w:val="12"/>
          <w:lang w:val="sr-Cyrl-RS"/>
        </w:rPr>
      </w:pPr>
    </w:p>
    <w:p w14:paraId="15ABF63E" w14:textId="693929C3" w:rsidR="00CC11A6" w:rsidRPr="00EF2F18" w:rsidRDefault="008C195A" w:rsidP="009758F8">
      <w:pPr>
        <w:spacing w:after="0"/>
        <w:ind w:firstLine="720"/>
        <w:jc w:val="both"/>
        <w:rPr>
          <w:rFonts w:cs="Times New Roman"/>
          <w:sz w:val="22"/>
          <w:lang w:val="sr-Cyrl-RS"/>
        </w:rPr>
      </w:pPr>
      <w:r w:rsidRPr="00EF2F18">
        <w:rPr>
          <w:rFonts w:cs="Times New Roman"/>
          <w:sz w:val="22"/>
          <w:lang w:val="sr-Cyrl-RS"/>
        </w:rPr>
        <w:t>Мера предвиђа</w:t>
      </w:r>
      <w:r w:rsidR="000D23A7" w:rsidRPr="00EF2F18">
        <w:rPr>
          <w:rFonts w:cs="Times New Roman"/>
          <w:sz w:val="22"/>
          <w:lang w:val="sr-Cyrl-RS"/>
        </w:rPr>
        <w:t xml:space="preserve"> </w:t>
      </w:r>
      <w:r w:rsidR="00CC11A6" w:rsidRPr="00EF2F18">
        <w:rPr>
          <w:rFonts w:cs="Times New Roman"/>
          <w:sz w:val="22"/>
          <w:lang w:val="sr-Cyrl-RS"/>
        </w:rPr>
        <w:t>анализ</w:t>
      </w:r>
      <w:r w:rsidRPr="00EF2F18">
        <w:rPr>
          <w:rFonts w:cs="Times New Roman"/>
          <w:sz w:val="22"/>
          <w:lang w:val="sr-Cyrl-RS"/>
        </w:rPr>
        <w:t>у</w:t>
      </w:r>
      <w:r w:rsidR="00CC11A6" w:rsidRPr="00EF2F18">
        <w:rPr>
          <w:rFonts w:cs="Times New Roman"/>
          <w:sz w:val="22"/>
          <w:lang w:val="sr-Cyrl-RS"/>
        </w:rPr>
        <w:t xml:space="preserve"> капацитета инспекцијских служби и јачање капацитета за спровођење инспекцијског надзора у области заштите животне средине</w:t>
      </w:r>
      <w:r w:rsidR="000508E3" w:rsidRPr="00EF2F18">
        <w:rPr>
          <w:rFonts w:cs="Times New Roman"/>
          <w:sz w:val="22"/>
          <w:lang w:val="sr-Cyrl-RS"/>
        </w:rPr>
        <w:t xml:space="preserve"> на свим нивоима</w:t>
      </w:r>
      <w:r w:rsidR="00CC11A6" w:rsidRPr="00EF2F18">
        <w:rPr>
          <w:rFonts w:cs="Times New Roman"/>
          <w:sz w:val="22"/>
          <w:lang w:val="sr-Cyrl-RS"/>
        </w:rPr>
        <w:t xml:space="preserve">, кроз њихово опремање, обуку и подстицање превентивног рада и обуку за примену прописа у области заштите животне средине. </w:t>
      </w:r>
    </w:p>
    <w:p w14:paraId="2045CA98" w14:textId="2837BB40" w:rsidR="00E40B14" w:rsidRPr="00EF2F18" w:rsidRDefault="009758F8" w:rsidP="00C45A5A">
      <w:pPr>
        <w:spacing w:after="0"/>
        <w:ind w:firstLine="720"/>
        <w:jc w:val="both"/>
        <w:rPr>
          <w:rFonts w:cs="Times New Roman"/>
          <w:sz w:val="22"/>
          <w:lang w:val="sr-Cyrl-RS"/>
        </w:rPr>
      </w:pPr>
      <w:r w:rsidRPr="00EF2F18">
        <w:rPr>
          <w:rFonts w:cs="Times New Roman"/>
          <w:sz w:val="22"/>
          <w:lang w:val="sr-Cyrl-RS"/>
        </w:rPr>
        <w:t>Такође</w:t>
      </w:r>
      <w:r w:rsidR="00EB1EDE" w:rsidRPr="00EF2F18">
        <w:rPr>
          <w:rFonts w:cs="Times New Roman"/>
          <w:sz w:val="22"/>
          <w:lang w:val="sr-Cyrl-RS"/>
        </w:rPr>
        <w:t>,</w:t>
      </w:r>
      <w:r w:rsidRPr="00EF2F18">
        <w:rPr>
          <w:rFonts w:cs="Times New Roman"/>
          <w:sz w:val="22"/>
          <w:lang w:val="sr-Cyrl-RS"/>
        </w:rPr>
        <w:t xml:space="preserve"> потребно </w:t>
      </w:r>
      <w:r w:rsidR="00EB1EDE" w:rsidRPr="00EF2F18">
        <w:rPr>
          <w:rFonts w:cs="Times New Roman"/>
          <w:sz w:val="22"/>
          <w:lang w:val="sr-Cyrl-RS"/>
        </w:rPr>
        <w:t xml:space="preserve">је </w:t>
      </w:r>
      <w:r w:rsidR="00337A25" w:rsidRPr="00EF2F18">
        <w:rPr>
          <w:rFonts w:cs="Times New Roman"/>
          <w:sz w:val="22"/>
          <w:lang w:val="sr-Cyrl-RS"/>
        </w:rPr>
        <w:t>јачање капацитета и</w:t>
      </w:r>
      <w:r w:rsidRPr="00EF2F18">
        <w:rPr>
          <w:rFonts w:cs="Times New Roman"/>
          <w:sz w:val="22"/>
          <w:lang w:val="sr-Cyrl-RS"/>
        </w:rPr>
        <w:t xml:space="preserve"> </w:t>
      </w:r>
      <w:r w:rsidR="00337A25" w:rsidRPr="00EF2F18">
        <w:rPr>
          <w:rFonts w:cs="Times New Roman"/>
          <w:sz w:val="22"/>
          <w:lang w:val="sr-Cyrl-RS"/>
        </w:rPr>
        <w:t xml:space="preserve">унапређење </w:t>
      </w:r>
      <w:r w:rsidRPr="00EF2F18">
        <w:rPr>
          <w:rFonts w:cs="Times New Roman"/>
          <w:sz w:val="22"/>
          <w:lang w:val="sr-Cyrl-RS"/>
        </w:rPr>
        <w:t>рада инспекцијских служби у ингеренцији локалне самоуправе кроз њихово опремање, обуку и подстицање превентивног рада, као и побољшање координације са централним нивоом и међусекторске координације на нивоу општина</w:t>
      </w:r>
      <w:r w:rsidR="00C45A5A" w:rsidRPr="00EF2F18">
        <w:rPr>
          <w:rFonts w:cs="Times New Roman"/>
          <w:sz w:val="22"/>
          <w:lang w:val="sr-Cyrl-RS"/>
        </w:rPr>
        <w:t xml:space="preserve">, у складу са </w:t>
      </w:r>
      <w:r w:rsidR="00E40B14" w:rsidRPr="00EF2F18">
        <w:rPr>
          <w:rFonts w:cs="Times New Roman"/>
          <w:sz w:val="22"/>
          <w:lang w:val="sr-Cyrl-RS"/>
        </w:rPr>
        <w:t xml:space="preserve">Препорукама </w:t>
      </w:r>
      <w:r w:rsidR="00E40B14" w:rsidRPr="00EF2F18">
        <w:rPr>
          <w:sz w:val="22"/>
          <w:lang w:val="sr-Cyrl-RS"/>
        </w:rPr>
        <w:t xml:space="preserve">2001/331/ЕС о минималним критеријумима за инспекцију </w:t>
      </w:r>
      <w:r w:rsidR="00E51D9F" w:rsidRPr="00EF2F18">
        <w:rPr>
          <w:sz w:val="22"/>
          <w:lang w:val="sr-Cyrl-RS"/>
        </w:rPr>
        <w:t xml:space="preserve">у области заштите </w:t>
      </w:r>
      <w:r w:rsidR="00E40B14" w:rsidRPr="00EF2F18">
        <w:rPr>
          <w:sz w:val="22"/>
          <w:lang w:val="sr-Cyrl-RS"/>
        </w:rPr>
        <w:t xml:space="preserve">животне средине. </w:t>
      </w:r>
      <w:r w:rsidR="00BB3175" w:rsidRPr="00EF2F18">
        <w:rPr>
          <w:sz w:val="22"/>
          <w:lang w:val="sr-Cyrl-RS"/>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6963A2B1" w14:textId="783A1637"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BE0104"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2E654ED2" w14:textId="60008C04"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4D677C" w:rsidRPr="00EF2F18">
        <w:rPr>
          <w:rFonts w:cs="Times New Roman"/>
          <w:sz w:val="22"/>
          <w:lang w:val="sr-Cyrl-RS"/>
        </w:rPr>
        <w:t>Министарство државне управе и локалне самоуправе</w:t>
      </w:r>
      <w:r w:rsidR="003C59BD" w:rsidRPr="00EF2F18">
        <w:rPr>
          <w:rFonts w:cs="Times New Roman"/>
          <w:sz w:val="22"/>
          <w:lang w:val="sr-Cyrl-RS"/>
        </w:rPr>
        <w:t xml:space="preserve">, </w:t>
      </w:r>
      <w:r w:rsidR="004D677C" w:rsidRPr="00EF2F18">
        <w:rPr>
          <w:rFonts w:cs="Times New Roman"/>
          <w:sz w:val="22"/>
          <w:lang w:val="sr-Cyrl-RS"/>
        </w:rPr>
        <w:t>Министарство пољопривреде, шумарства и водопривреде</w:t>
      </w:r>
      <w:r w:rsidR="003C59BD" w:rsidRPr="00EF2F18">
        <w:rPr>
          <w:rFonts w:cs="Times New Roman"/>
          <w:sz w:val="22"/>
          <w:lang w:val="sr-Cyrl-RS"/>
        </w:rPr>
        <w:t xml:space="preserve">, </w:t>
      </w:r>
      <w:r w:rsidR="004D677C" w:rsidRPr="00EF2F18">
        <w:rPr>
          <w:rFonts w:cs="Times New Roman"/>
          <w:sz w:val="22"/>
          <w:lang w:val="sr-Cyrl-RS"/>
        </w:rPr>
        <w:t>Министарство грађевинарства, саобраћаја и инфраструктуре</w:t>
      </w:r>
      <w:r w:rsidR="003C59BD" w:rsidRPr="00EF2F18">
        <w:rPr>
          <w:rFonts w:cs="Times New Roman"/>
          <w:sz w:val="22"/>
          <w:lang w:val="sr-Cyrl-RS"/>
        </w:rPr>
        <w:t xml:space="preserve">, </w:t>
      </w:r>
      <w:r w:rsidR="004D677C" w:rsidRPr="00EF2F18">
        <w:rPr>
          <w:rFonts w:cs="Times New Roman"/>
          <w:sz w:val="22"/>
          <w:lang w:val="sr-Cyrl-RS"/>
        </w:rPr>
        <w:t>Министарство рударства и енергетике</w:t>
      </w:r>
      <w:r w:rsidR="003C59BD" w:rsidRPr="00EF2F18">
        <w:rPr>
          <w:rFonts w:cs="Times New Roman"/>
          <w:sz w:val="22"/>
          <w:lang w:val="sr-Cyrl-RS"/>
        </w:rPr>
        <w:t>,</w:t>
      </w:r>
      <w:r w:rsidR="003C59BD" w:rsidRPr="00EF2F18">
        <w:rPr>
          <w:rFonts w:cs="Times New Roman"/>
          <w:sz w:val="22"/>
          <w:lang w:val="sr-Cyrl-RS" w:eastAsia="en-GB"/>
        </w:rPr>
        <w:t xml:space="preserve"> </w:t>
      </w:r>
      <w:r w:rsidR="004D677C" w:rsidRPr="00EF2F18">
        <w:rPr>
          <w:rFonts w:eastAsia="Times New Roman" w:cs="Times New Roman"/>
          <w:bCs/>
          <w:color w:val="000000"/>
          <w:spacing w:val="-1"/>
          <w:sz w:val="22"/>
          <w:szCs w:val="20"/>
          <w:lang w:val="sr-Cyrl-RS" w:eastAsia="en-GB"/>
        </w:rPr>
        <w:t>Национална академија за јавну управу</w:t>
      </w:r>
      <w:r w:rsidR="00CC11A6" w:rsidRPr="00EF2F18">
        <w:rPr>
          <w:rFonts w:cs="Times New Roman"/>
          <w:sz w:val="22"/>
          <w:lang w:val="sr-Cyrl-RS" w:eastAsia="en-GB"/>
        </w:rPr>
        <w:t xml:space="preserve">, АП Војводина, </w:t>
      </w:r>
      <w:r w:rsidR="00091540" w:rsidRPr="00EF2F18">
        <w:rPr>
          <w:rFonts w:cs="Times New Roman"/>
          <w:sz w:val="22"/>
          <w:lang w:val="sr-Cyrl-RS" w:eastAsia="en-GB"/>
        </w:rPr>
        <w:t>ј</w:t>
      </w:r>
      <w:r w:rsidR="00BE0104" w:rsidRPr="00EF2F18">
        <w:rPr>
          <w:rFonts w:cs="Times New Roman"/>
          <w:sz w:val="22"/>
          <w:lang w:val="sr-Cyrl-RS" w:eastAsia="en-GB"/>
        </w:rPr>
        <w:t xml:space="preserve">единице локалне самоуправе, </w:t>
      </w:r>
      <w:r w:rsidR="004D677C" w:rsidRPr="00EF2F18">
        <w:rPr>
          <w:rFonts w:cs="Times New Roman"/>
          <w:sz w:val="22"/>
          <w:lang w:val="sr-Cyrl-RS" w:eastAsia="en-GB"/>
        </w:rPr>
        <w:t>Стална конференција градова и општина</w:t>
      </w:r>
      <w:r w:rsidR="00891D8A" w:rsidRPr="00EF2F18">
        <w:rPr>
          <w:rFonts w:cs="Times New Roman"/>
          <w:sz w:val="22"/>
          <w:lang w:val="sr-Cyrl-RS" w:eastAsia="en-GB"/>
        </w:rPr>
        <w:t>.</w:t>
      </w:r>
    </w:p>
    <w:p w14:paraId="3B7A2AE9" w14:textId="15DAFDD7" w:rsidR="00BE0104" w:rsidRPr="00EF2F18" w:rsidRDefault="008116AD" w:rsidP="00753384">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891D8A" w:rsidRPr="00EF2F18">
        <w:rPr>
          <w:rFonts w:cs="Times New Roman"/>
          <w:sz w:val="22"/>
          <w:lang w:val="sr-Cyrl-RS" w:eastAsia="en-GB"/>
        </w:rPr>
        <w:t>информативно-</w:t>
      </w:r>
      <w:r w:rsidR="00BE0104" w:rsidRPr="00EF2F18">
        <w:rPr>
          <w:rFonts w:cs="Times New Roman"/>
          <w:sz w:val="22"/>
          <w:lang w:val="sr-Cyrl-RS" w:eastAsia="en-GB"/>
        </w:rPr>
        <w:t>едукативна</w:t>
      </w:r>
      <w:r w:rsidR="006C2E00" w:rsidRPr="00EF2F18">
        <w:rPr>
          <w:rFonts w:cs="Times New Roman"/>
          <w:sz w:val="22"/>
          <w:lang w:val="sr-Cyrl-RS" w:eastAsia="en-GB"/>
        </w:rPr>
        <w:t>.</w:t>
      </w:r>
      <w:r w:rsidR="00BE0104" w:rsidRPr="00EF2F18">
        <w:rPr>
          <w:rFonts w:cs="Times New Roman"/>
          <w:sz w:val="22"/>
          <w:lang w:val="sr-Cyrl-RS" w:eastAsia="en-GB"/>
        </w:rPr>
        <w:t xml:space="preserve"> </w:t>
      </w:r>
    </w:p>
    <w:p w14:paraId="03F1CE9D" w14:textId="755BFE6E" w:rsidR="008116AD" w:rsidRPr="00EF2F18" w:rsidRDefault="008116A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lastRenderedPageBreak/>
        <w:t xml:space="preserve">Мера 6.1.3. </w:t>
      </w:r>
      <w:r w:rsidR="0015021D" w:rsidRPr="00EF2F18">
        <w:rPr>
          <w:rFonts w:cs="Times New Roman"/>
          <w:b/>
          <w:bCs/>
          <w:sz w:val="22"/>
          <w:lang w:val="sr-Cyrl-RS" w:eastAsia="en-GB"/>
        </w:rPr>
        <w:t>Унапређење капацитета за стратешку процену</w:t>
      </w:r>
      <w:r w:rsidR="00A014F5" w:rsidRPr="00EF2F18">
        <w:rPr>
          <w:rFonts w:cs="Times New Roman"/>
          <w:b/>
          <w:bCs/>
          <w:sz w:val="22"/>
          <w:lang w:val="sr-Cyrl-RS" w:eastAsia="en-GB"/>
        </w:rPr>
        <w:t>,</w:t>
      </w:r>
      <w:r w:rsidR="0015021D" w:rsidRPr="00EF2F18">
        <w:rPr>
          <w:rFonts w:cs="Times New Roman"/>
          <w:b/>
          <w:bCs/>
          <w:sz w:val="22"/>
          <w:lang w:val="sr-Cyrl-RS" w:eastAsia="en-GB"/>
        </w:rPr>
        <w:t xml:space="preserve"> процену утицаја на животну средину</w:t>
      </w:r>
      <w:r w:rsidR="00A014F5" w:rsidRPr="00EF2F18">
        <w:rPr>
          <w:rFonts w:cs="Times New Roman"/>
          <w:b/>
          <w:bCs/>
          <w:sz w:val="22"/>
          <w:lang w:val="sr-Cyrl-RS" w:eastAsia="en-GB"/>
        </w:rPr>
        <w:t xml:space="preserve"> и оцену прихватљивости</w:t>
      </w:r>
      <w:r w:rsidR="00AA38B6" w:rsidRPr="00EF2F18">
        <w:rPr>
          <w:rFonts w:cs="Times New Roman"/>
          <w:b/>
          <w:bCs/>
          <w:sz w:val="22"/>
          <w:lang w:val="sr-Cyrl-RS" w:eastAsia="en-GB"/>
        </w:rPr>
        <w:t xml:space="preserve"> </w:t>
      </w:r>
    </w:p>
    <w:p w14:paraId="4755C990" w14:textId="77777777" w:rsidR="00D83673" w:rsidRPr="00EF2F18" w:rsidRDefault="00D83673" w:rsidP="000E1E7D">
      <w:pPr>
        <w:spacing w:after="0"/>
        <w:ind w:firstLine="720"/>
        <w:jc w:val="both"/>
        <w:rPr>
          <w:rFonts w:cs="Times New Roman"/>
          <w:sz w:val="22"/>
          <w:lang w:val="sr-Cyrl-RS"/>
        </w:rPr>
      </w:pPr>
    </w:p>
    <w:p w14:paraId="49AB319F" w14:textId="22D10266" w:rsidR="000E1E7D" w:rsidRPr="00EF2F18" w:rsidRDefault="00FC4EF0" w:rsidP="000E1E7D">
      <w:pPr>
        <w:spacing w:after="0"/>
        <w:ind w:firstLine="720"/>
        <w:jc w:val="both"/>
        <w:rPr>
          <w:rFonts w:cs="Times New Roman"/>
          <w:sz w:val="22"/>
          <w:lang w:val="sr-Cyrl-RS"/>
        </w:rPr>
      </w:pPr>
      <w:r w:rsidRPr="00EF2F18">
        <w:rPr>
          <w:rFonts w:cs="Times New Roman"/>
          <w:sz w:val="22"/>
          <w:lang w:val="sr-Cyrl-RS"/>
        </w:rPr>
        <w:t xml:space="preserve">Mера се односи на даље унапређење капацитета </w:t>
      </w:r>
      <w:r w:rsidR="000E1E7D" w:rsidRPr="00EF2F18">
        <w:rPr>
          <w:rFonts w:cs="Times New Roman"/>
          <w:sz w:val="22"/>
          <w:lang w:val="sr-Cyrl-RS"/>
        </w:rPr>
        <w:t xml:space="preserve">за стратешку процену и процену утицаја на животну средину </w:t>
      </w:r>
      <w:r w:rsidRPr="00EF2F18">
        <w:rPr>
          <w:rFonts w:cs="Times New Roman"/>
          <w:sz w:val="22"/>
          <w:lang w:val="sr-Cyrl-RS"/>
        </w:rPr>
        <w:t>као инструмената предострожности</w:t>
      </w:r>
      <w:r w:rsidR="008E4D1B" w:rsidRPr="00EF2F18">
        <w:rPr>
          <w:rFonts w:cs="Times New Roman"/>
          <w:sz w:val="22"/>
          <w:lang w:val="sr-Cyrl-RS"/>
        </w:rPr>
        <w:t xml:space="preserve"> према </w:t>
      </w:r>
      <w:r w:rsidR="00190022" w:rsidRPr="00EF2F18">
        <w:rPr>
          <w:rFonts w:cs="Times New Roman"/>
          <w:sz w:val="22"/>
          <w:lang w:val="sr-Cyrl-RS"/>
        </w:rPr>
        <w:t>важећим</w:t>
      </w:r>
      <w:r w:rsidR="008E4D1B" w:rsidRPr="00EF2F18">
        <w:rPr>
          <w:rFonts w:cs="Times New Roman"/>
          <w:sz w:val="22"/>
          <w:lang w:val="sr-Cyrl-RS"/>
        </w:rPr>
        <w:t xml:space="preserve"> законима</w:t>
      </w:r>
      <w:r w:rsidRPr="00EF2F18">
        <w:rPr>
          <w:rFonts w:cs="Times New Roman"/>
          <w:sz w:val="22"/>
          <w:lang w:val="sr-Cyrl-RS"/>
        </w:rPr>
        <w:t>. Потребна је израда</w:t>
      </w:r>
      <w:r w:rsidR="005E42D2" w:rsidRPr="00EF2F18">
        <w:rPr>
          <w:rFonts w:cs="Times New Roman"/>
          <w:sz w:val="22"/>
          <w:lang w:val="sr-Cyrl-RS"/>
        </w:rPr>
        <w:t xml:space="preserve"> </w:t>
      </w:r>
      <w:r w:rsidR="000E1E7D" w:rsidRPr="00EF2F18">
        <w:rPr>
          <w:rFonts w:cs="Times New Roman"/>
          <w:sz w:val="22"/>
          <w:lang w:val="sr-Cyrl-RS"/>
        </w:rPr>
        <w:t>централнe базе података и централног веб портала за обавештавање јавности и електронски приступ документима у области процене утицаја на животну средину и стратешке процене утицаја на животну средину и о исходима поступака</w:t>
      </w:r>
      <w:r w:rsidRPr="00EF2F18">
        <w:rPr>
          <w:rFonts w:cs="Times New Roman"/>
          <w:sz w:val="22"/>
          <w:lang w:val="sr-Cyrl-RS"/>
        </w:rPr>
        <w:t xml:space="preserve">. </w:t>
      </w:r>
      <w:r w:rsidR="00AA38B6" w:rsidRPr="00EF2F18">
        <w:rPr>
          <w:rFonts w:cs="Times New Roman"/>
          <w:sz w:val="22"/>
          <w:lang w:val="sr-Cyrl-RS"/>
        </w:rPr>
        <w:t>Ц</w:t>
      </w:r>
      <w:r w:rsidR="00413356" w:rsidRPr="00EF2F18">
        <w:rPr>
          <w:rFonts w:cs="Times New Roman"/>
          <w:sz w:val="22"/>
          <w:lang w:val="sr-Cyrl-RS"/>
        </w:rPr>
        <w:t>ентрална база података допринеће бољој контроли Министарства над повереним пословима на примени Закона о процени утицаја на животну средину у јединицама локалне самоуправе и покрајинском секретаријату за урбанизам и заштиту животне средине</w:t>
      </w:r>
      <w:r w:rsidR="002D2E6A" w:rsidRPr="00EF2F18">
        <w:rPr>
          <w:rFonts w:cs="Times New Roman"/>
          <w:sz w:val="22"/>
          <w:lang w:val="sr-Cyrl-RS"/>
        </w:rPr>
        <w:t>.</w:t>
      </w:r>
    </w:p>
    <w:p w14:paraId="148AC6BF" w14:textId="4D288722" w:rsidR="00413356" w:rsidRPr="00EF2F18" w:rsidRDefault="00413356" w:rsidP="000E1E7D">
      <w:pPr>
        <w:spacing w:after="0"/>
        <w:ind w:firstLine="720"/>
        <w:jc w:val="both"/>
        <w:rPr>
          <w:rFonts w:cs="Times New Roman"/>
          <w:sz w:val="22"/>
          <w:lang w:val="sr-Cyrl-RS"/>
        </w:rPr>
      </w:pPr>
      <w:r w:rsidRPr="00EF2F18">
        <w:rPr>
          <w:rFonts w:cs="Times New Roman"/>
          <w:sz w:val="22"/>
          <w:lang w:val="sr-Cyrl-RS"/>
        </w:rPr>
        <w:t>Применом различитих дигиталних опција (платформи) унапредиће се процес размене информација и консултација између Министарства и покрајинског и локалног нивоа у области процене утицаја на животну средину и стратешке процене утицаја на животну средину.</w:t>
      </w:r>
    </w:p>
    <w:p w14:paraId="34422608" w14:textId="35E7751C" w:rsidR="000E1E7D" w:rsidRPr="00EF2F18" w:rsidRDefault="002D2E6A" w:rsidP="000E1E7D">
      <w:pPr>
        <w:spacing w:after="0"/>
        <w:ind w:firstLine="720"/>
        <w:jc w:val="both"/>
        <w:rPr>
          <w:rFonts w:cs="Times New Roman"/>
          <w:sz w:val="22"/>
          <w:lang w:val="sr-Cyrl-RS"/>
        </w:rPr>
      </w:pPr>
      <w:r w:rsidRPr="00EF2F18">
        <w:rPr>
          <w:rFonts w:cs="Times New Roman"/>
          <w:sz w:val="22"/>
          <w:lang w:val="sr-Cyrl-RS"/>
        </w:rPr>
        <w:t>Обзиром на недостатак капацитета на локалном нивоу, неопходна је о</w:t>
      </w:r>
      <w:r w:rsidR="000E1E7D" w:rsidRPr="00EF2F18">
        <w:rPr>
          <w:rFonts w:cs="Times New Roman"/>
          <w:sz w:val="22"/>
          <w:lang w:val="sr-Cyrl-RS"/>
        </w:rPr>
        <w:t xml:space="preserve">рганизација консултативних радионица за </w:t>
      </w:r>
      <w:r w:rsidR="003F6687" w:rsidRPr="00EF2F18">
        <w:rPr>
          <w:rFonts w:cs="Times New Roman"/>
          <w:sz w:val="22"/>
          <w:lang w:val="sr-Cyrl-RS"/>
        </w:rPr>
        <w:t>јединице локалне самоуправе</w:t>
      </w:r>
      <w:r w:rsidR="003F6687" w:rsidRPr="00EF2F18">
        <w:rPr>
          <w:rFonts w:cs="Times New Roman"/>
          <w:lang w:val="sr-Cyrl-RS"/>
        </w:rPr>
        <w:t xml:space="preserve"> </w:t>
      </w:r>
      <w:r w:rsidR="000E1E7D" w:rsidRPr="00EF2F18">
        <w:rPr>
          <w:rFonts w:cs="Times New Roman"/>
          <w:sz w:val="22"/>
          <w:lang w:val="sr-Cyrl-RS"/>
        </w:rPr>
        <w:t>уз подршку Министарства ради унапређења координације у области процене утицаја на животну средину и стратешке процене утицаја на животну средину</w:t>
      </w:r>
      <w:r w:rsidRPr="00EF2F18">
        <w:rPr>
          <w:rFonts w:cs="Times New Roman"/>
          <w:sz w:val="22"/>
          <w:lang w:val="sr-Cyrl-RS"/>
        </w:rPr>
        <w:t xml:space="preserve">. </w:t>
      </w:r>
      <w:r w:rsidR="000E1E7D" w:rsidRPr="00EF2F18">
        <w:rPr>
          <w:rFonts w:cs="Times New Roman"/>
          <w:sz w:val="22"/>
          <w:lang w:val="sr-Cyrl-RS"/>
        </w:rPr>
        <w:t>П</w:t>
      </w:r>
      <w:r w:rsidRPr="00EF2F18">
        <w:rPr>
          <w:rFonts w:cs="Times New Roman"/>
          <w:sz w:val="22"/>
          <w:lang w:val="sr-Cyrl-RS"/>
        </w:rPr>
        <w:t>ланира се п</w:t>
      </w:r>
      <w:r w:rsidR="000E1E7D" w:rsidRPr="00EF2F18">
        <w:rPr>
          <w:rFonts w:cs="Times New Roman"/>
          <w:sz w:val="22"/>
          <w:lang w:val="sr-Cyrl-RS"/>
        </w:rPr>
        <w:t xml:space="preserve">овећање броја запослених који раде на пословима стратешке процене и процене утицаја на животну средину </w:t>
      </w:r>
      <w:r w:rsidRPr="00EF2F18">
        <w:rPr>
          <w:rFonts w:cs="Times New Roman"/>
          <w:sz w:val="22"/>
          <w:lang w:val="sr-Cyrl-RS"/>
        </w:rPr>
        <w:t>на свим нивоима.</w:t>
      </w:r>
      <w:r w:rsidR="00BB3175" w:rsidRPr="00EF2F18">
        <w:rPr>
          <w:rFonts w:cs="Times New Roman"/>
          <w:sz w:val="22"/>
          <w:lang w:val="sr-Cyrl-RS"/>
        </w:rPr>
        <w:t xml:space="preserve"> 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r w:rsidR="005E42D2" w:rsidRPr="00EF2F18">
        <w:rPr>
          <w:rFonts w:cs="Times New Roman"/>
          <w:sz w:val="22"/>
          <w:lang w:val="sr-Cyrl-RS"/>
        </w:rPr>
        <w:t xml:space="preserve"> </w:t>
      </w:r>
    </w:p>
    <w:p w14:paraId="39778C2F" w14:textId="325E5337" w:rsidR="000E1E7D" w:rsidRPr="00EF2F18" w:rsidRDefault="002D2E6A" w:rsidP="000E1E7D">
      <w:pPr>
        <w:spacing w:after="0"/>
        <w:ind w:firstLine="720"/>
        <w:jc w:val="both"/>
        <w:rPr>
          <w:rFonts w:cs="Times New Roman"/>
          <w:sz w:val="22"/>
          <w:lang w:val="sr-Cyrl-RS"/>
        </w:rPr>
      </w:pPr>
      <w:r w:rsidRPr="00EF2F18">
        <w:rPr>
          <w:rFonts w:cs="Times New Roman"/>
          <w:sz w:val="22"/>
          <w:lang w:val="sr-Cyrl-RS"/>
        </w:rPr>
        <w:t>Мером се планирају активности на и</w:t>
      </w:r>
      <w:r w:rsidR="000E1E7D" w:rsidRPr="00EF2F18">
        <w:rPr>
          <w:rFonts w:cs="Times New Roman"/>
          <w:sz w:val="22"/>
          <w:lang w:val="sr-Cyrl-RS"/>
        </w:rPr>
        <w:t>зрад</w:t>
      </w:r>
      <w:r w:rsidRPr="00EF2F18">
        <w:rPr>
          <w:rFonts w:cs="Times New Roman"/>
          <w:sz w:val="22"/>
          <w:lang w:val="sr-Cyrl-RS"/>
        </w:rPr>
        <w:t>и</w:t>
      </w:r>
      <w:r w:rsidR="000E1E7D" w:rsidRPr="00EF2F18">
        <w:rPr>
          <w:rFonts w:cs="Times New Roman"/>
          <w:sz w:val="22"/>
          <w:lang w:val="sr-Cyrl-RS"/>
        </w:rPr>
        <w:t xml:space="preserve"> упутстава и приручника за све фазе процеса стратешке процене и процене утицаја на животну средину</w:t>
      </w:r>
      <w:r w:rsidR="00413356" w:rsidRPr="00EF2F18">
        <w:rPr>
          <w:rFonts w:cs="Times New Roman"/>
          <w:sz w:val="22"/>
          <w:lang w:val="sr-Cyrl-RS"/>
        </w:rPr>
        <w:t xml:space="preserve"> и за појединачне секторе</w:t>
      </w:r>
      <w:r w:rsidR="000E1E7D" w:rsidRPr="00EF2F18">
        <w:rPr>
          <w:rFonts w:cs="Times New Roman"/>
          <w:sz w:val="22"/>
          <w:lang w:val="sr-Cyrl-RS"/>
        </w:rPr>
        <w:t xml:space="preserve">, укључујући и </w:t>
      </w:r>
      <w:r w:rsidR="00AA38B6" w:rsidRPr="00EF2F18">
        <w:rPr>
          <w:rFonts w:cs="Times New Roman"/>
          <w:sz w:val="22"/>
          <w:lang w:val="sr-Cyrl-RS"/>
        </w:rPr>
        <w:t>о</w:t>
      </w:r>
      <w:r w:rsidR="000E1E7D" w:rsidRPr="00EF2F18">
        <w:rPr>
          <w:rFonts w:cs="Times New Roman"/>
          <w:sz w:val="22"/>
          <w:lang w:val="sr-Cyrl-RS"/>
        </w:rPr>
        <w:t>цену прихватљивости</w:t>
      </w:r>
      <w:r w:rsidR="00AA38B6" w:rsidRPr="00EF2F18">
        <w:rPr>
          <w:rFonts w:cs="Times New Roman"/>
          <w:sz w:val="22"/>
          <w:lang w:val="sr-Cyrl-RS"/>
        </w:rPr>
        <w:t xml:space="preserve"> за еколошку мрежу</w:t>
      </w:r>
      <w:r w:rsidRPr="00EF2F18">
        <w:rPr>
          <w:rFonts w:cs="Times New Roman"/>
          <w:sz w:val="22"/>
          <w:lang w:val="sr-Cyrl-RS"/>
        </w:rPr>
        <w:t xml:space="preserve">. </w:t>
      </w:r>
    </w:p>
    <w:p w14:paraId="14802FD9" w14:textId="6E4C07E2" w:rsidR="00E40B14" w:rsidRPr="00EF2F18" w:rsidRDefault="00E40B14" w:rsidP="000E1E7D">
      <w:pPr>
        <w:spacing w:after="0"/>
        <w:ind w:firstLine="720"/>
        <w:jc w:val="both"/>
        <w:rPr>
          <w:rFonts w:cs="Times New Roman"/>
          <w:sz w:val="22"/>
          <w:lang w:val="sr-Cyrl-RS"/>
        </w:rPr>
      </w:pPr>
    </w:p>
    <w:p w14:paraId="27D36365" w14:textId="72A09875"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7398D0E9" w14:textId="04E61AB8"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3C59BD" w:rsidRPr="00EF2F18">
        <w:rPr>
          <w:rFonts w:cs="Times New Roman"/>
          <w:sz w:val="22"/>
          <w:lang w:val="sr-Cyrl-RS" w:eastAsia="en-GB"/>
        </w:rPr>
        <w:t>Министарство финансија</w:t>
      </w:r>
      <w:r w:rsidR="00CD5BBD" w:rsidRPr="00EF2F18">
        <w:rPr>
          <w:rFonts w:cs="Times New Roman"/>
          <w:sz w:val="22"/>
          <w:lang w:val="sr-Cyrl-RS" w:eastAsia="en-GB"/>
        </w:rPr>
        <w:t>, јединице локалне самоуправе</w:t>
      </w:r>
      <w:r w:rsidR="000F65B5" w:rsidRPr="00EF2F18">
        <w:rPr>
          <w:rFonts w:cs="Times New Roman"/>
          <w:sz w:val="22"/>
          <w:lang w:val="sr-Cyrl-RS" w:eastAsia="en-GB"/>
        </w:rPr>
        <w:t xml:space="preserve">, </w:t>
      </w:r>
      <w:r w:rsidR="000F65B5" w:rsidRPr="00EF2F18">
        <w:rPr>
          <w:bCs/>
          <w:sz w:val="23"/>
          <w:szCs w:val="23"/>
          <w:lang w:val="sr-Cyrl-RS"/>
        </w:rPr>
        <w:t>ЗЗПС, ПЗЗП</w:t>
      </w:r>
      <w:r w:rsidR="00891D8A" w:rsidRPr="00EF2F18">
        <w:rPr>
          <w:bCs/>
          <w:sz w:val="23"/>
          <w:szCs w:val="23"/>
          <w:lang w:val="sr-Cyrl-RS"/>
        </w:rPr>
        <w:t>.</w:t>
      </w:r>
    </w:p>
    <w:p w14:paraId="489375D4" w14:textId="4B1D5F1C"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891D8A" w:rsidRPr="00EF2F18">
        <w:rPr>
          <w:rFonts w:cs="Times New Roman"/>
          <w:sz w:val="22"/>
          <w:lang w:val="sr-Cyrl-RS" w:eastAsia="en-GB"/>
        </w:rPr>
        <w:t>информативно-</w:t>
      </w:r>
      <w:r w:rsidR="00BE0104" w:rsidRPr="00EF2F18">
        <w:rPr>
          <w:rFonts w:cs="Times New Roman"/>
          <w:sz w:val="22"/>
          <w:lang w:val="sr-Cyrl-RS" w:eastAsia="en-GB"/>
        </w:rPr>
        <w:t>едукативна</w:t>
      </w:r>
      <w:r w:rsidR="006C2E00" w:rsidRPr="00EF2F18">
        <w:rPr>
          <w:rFonts w:cs="Times New Roman"/>
          <w:sz w:val="22"/>
          <w:lang w:val="sr-Cyrl-RS" w:eastAsia="en-GB"/>
        </w:rPr>
        <w:t>.</w:t>
      </w:r>
      <w:r w:rsidR="00BE0104" w:rsidRPr="00EF2F18">
        <w:rPr>
          <w:rFonts w:cs="Times New Roman"/>
          <w:sz w:val="22"/>
          <w:lang w:val="sr-Cyrl-RS" w:eastAsia="en-GB"/>
        </w:rPr>
        <w:t xml:space="preserve"> </w:t>
      </w:r>
    </w:p>
    <w:p w14:paraId="5C1C112B" w14:textId="77777777" w:rsidR="008116AD" w:rsidRPr="00EF2F18" w:rsidRDefault="008116AD" w:rsidP="00425FCC">
      <w:pPr>
        <w:spacing w:after="0"/>
        <w:ind w:firstLine="720"/>
        <w:rPr>
          <w:rFonts w:cs="Times New Roman"/>
          <w:sz w:val="22"/>
          <w:lang w:val="sr-Cyrl-RS"/>
        </w:rPr>
      </w:pPr>
    </w:p>
    <w:p w14:paraId="3BCB7F94" w14:textId="0C246276" w:rsidR="008116AD" w:rsidRPr="00EF2F18" w:rsidRDefault="008116AD" w:rsidP="00425FCC">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6.1.4. </w:t>
      </w:r>
      <w:r w:rsidR="0015021D" w:rsidRPr="00EF2F18">
        <w:rPr>
          <w:rFonts w:cs="Times New Roman"/>
          <w:b/>
          <w:bCs/>
          <w:sz w:val="22"/>
          <w:lang w:val="sr-Cyrl-RS" w:eastAsia="en-GB"/>
        </w:rPr>
        <w:t>Подршка развоју и примени научних и иновативних пројеката за зелену транзицију</w:t>
      </w:r>
    </w:p>
    <w:p w14:paraId="613855E2" w14:textId="77777777" w:rsidR="00D83673" w:rsidRPr="00EF2F18" w:rsidRDefault="00D83673" w:rsidP="000E1E7D">
      <w:pPr>
        <w:spacing w:after="0"/>
        <w:ind w:firstLine="720"/>
        <w:jc w:val="both"/>
        <w:rPr>
          <w:rFonts w:cs="Times New Roman"/>
          <w:sz w:val="22"/>
          <w:lang w:val="sr-Cyrl-RS"/>
        </w:rPr>
      </w:pPr>
    </w:p>
    <w:p w14:paraId="430B05CD" w14:textId="4122703B" w:rsidR="000E1E7D" w:rsidRPr="00EF2F18" w:rsidRDefault="00E83664" w:rsidP="000E1E7D">
      <w:pPr>
        <w:spacing w:after="0"/>
        <w:ind w:firstLine="720"/>
        <w:jc w:val="both"/>
        <w:rPr>
          <w:rFonts w:cs="Times New Roman"/>
          <w:sz w:val="22"/>
          <w:lang w:val="sr-Cyrl-RS"/>
        </w:rPr>
      </w:pPr>
      <w:r w:rsidRPr="00EF2F18">
        <w:rPr>
          <w:rFonts w:cs="Times New Roman"/>
          <w:sz w:val="22"/>
          <w:lang w:val="sr-Cyrl-RS"/>
        </w:rPr>
        <w:t>Веома значајн</w:t>
      </w:r>
      <w:r w:rsidR="003B1E43" w:rsidRPr="00EF2F18">
        <w:rPr>
          <w:rFonts w:cs="Times New Roman"/>
          <w:sz w:val="22"/>
          <w:lang w:val="sr-Cyrl-RS"/>
        </w:rPr>
        <w:t>а</w:t>
      </w:r>
      <w:r w:rsidRPr="00EF2F18">
        <w:rPr>
          <w:rFonts w:cs="Times New Roman"/>
          <w:sz w:val="22"/>
          <w:lang w:val="sr-Cyrl-RS"/>
        </w:rPr>
        <w:t xml:space="preserve"> </w:t>
      </w:r>
      <w:r w:rsidR="00145B5E" w:rsidRPr="00EF2F18">
        <w:rPr>
          <w:rFonts w:cs="Times New Roman"/>
          <w:sz w:val="22"/>
          <w:lang w:val="sr-Cyrl-RS"/>
        </w:rPr>
        <w:t xml:space="preserve">мера </w:t>
      </w:r>
      <w:r w:rsidRPr="00EF2F18">
        <w:rPr>
          <w:rFonts w:cs="Times New Roman"/>
          <w:sz w:val="22"/>
          <w:lang w:val="sr-Cyrl-RS"/>
        </w:rPr>
        <w:t xml:space="preserve">за спровођење Зелене агенде је </w:t>
      </w:r>
      <w:r w:rsidR="003B1E43" w:rsidRPr="00EF2F18">
        <w:rPr>
          <w:rFonts w:cs="Times New Roman"/>
          <w:sz w:val="22"/>
          <w:lang w:val="sr-Cyrl-RS"/>
        </w:rPr>
        <w:t>п</w:t>
      </w:r>
      <w:r w:rsidR="000E1E7D" w:rsidRPr="00EF2F18">
        <w:rPr>
          <w:rFonts w:cs="Times New Roman"/>
          <w:sz w:val="22"/>
          <w:lang w:val="sr-Cyrl-RS"/>
        </w:rPr>
        <w:t>одршка развоју и примени научних и иновативних пројеката</w:t>
      </w:r>
      <w:r w:rsidR="003B1E43" w:rsidRPr="00EF2F18">
        <w:rPr>
          <w:rFonts w:cs="Times New Roman"/>
          <w:sz w:val="22"/>
          <w:lang w:val="sr-Cyrl-RS"/>
        </w:rPr>
        <w:t xml:space="preserve">. </w:t>
      </w:r>
    </w:p>
    <w:p w14:paraId="0510B4F2" w14:textId="0177CA94" w:rsidR="003B1E43" w:rsidRPr="00EF2F18" w:rsidRDefault="003B1E43" w:rsidP="003B1E43">
      <w:pPr>
        <w:spacing w:after="0"/>
        <w:ind w:firstLine="720"/>
        <w:jc w:val="both"/>
        <w:rPr>
          <w:rFonts w:cs="Times New Roman"/>
          <w:sz w:val="22"/>
          <w:lang w:val="sr-Cyrl-RS"/>
        </w:rPr>
      </w:pPr>
      <w:r w:rsidRPr="00EF2F18">
        <w:rPr>
          <w:rFonts w:cs="Times New Roman"/>
          <w:sz w:val="22"/>
          <w:lang w:val="sr-Cyrl-RS"/>
        </w:rPr>
        <w:t xml:space="preserve">Ова мера подразумева креирање промотивне платформе </w:t>
      </w:r>
      <w:r w:rsidR="00337A25" w:rsidRPr="00EF2F18">
        <w:rPr>
          <w:rFonts w:cs="Times New Roman"/>
          <w:sz w:val="22"/>
          <w:lang w:val="sr-Cyrl-RS"/>
        </w:rPr>
        <w:t>за организацију и спровођење обука за учешће у позивима за подршку пројеката за зелену транзицију, затим припрему и спровођење годишњих програма</w:t>
      </w:r>
      <w:r w:rsidR="00337A25" w:rsidRPr="00EF2F18" w:rsidDel="00337A25">
        <w:rPr>
          <w:rFonts w:cs="Times New Roman"/>
          <w:sz w:val="22"/>
          <w:lang w:val="sr-Cyrl-RS"/>
        </w:rPr>
        <w:t xml:space="preserve"> </w:t>
      </w:r>
      <w:r w:rsidRPr="00EF2F18">
        <w:rPr>
          <w:rFonts w:cs="Times New Roman"/>
          <w:sz w:val="22"/>
          <w:lang w:val="sr-Cyrl-RS"/>
        </w:rPr>
        <w:t xml:space="preserve">за подршку </w:t>
      </w:r>
      <w:r w:rsidR="00337A25" w:rsidRPr="00EF2F18">
        <w:rPr>
          <w:rFonts w:cs="Times New Roman"/>
          <w:sz w:val="22"/>
          <w:lang w:val="sr-Cyrl-RS"/>
        </w:rPr>
        <w:t xml:space="preserve">експерименталних </w:t>
      </w:r>
      <w:r w:rsidRPr="00EF2F18">
        <w:rPr>
          <w:rFonts w:cs="Times New Roman"/>
          <w:sz w:val="22"/>
          <w:lang w:val="sr-Cyrl-RS"/>
        </w:rPr>
        <w:t xml:space="preserve">и </w:t>
      </w:r>
      <w:r w:rsidR="00337A25" w:rsidRPr="00EF2F18">
        <w:rPr>
          <w:rFonts w:cs="Times New Roman"/>
          <w:sz w:val="22"/>
          <w:lang w:val="sr-Cyrl-RS"/>
        </w:rPr>
        <w:t xml:space="preserve">иновативних </w:t>
      </w:r>
      <w:r w:rsidRPr="00EF2F18">
        <w:rPr>
          <w:rFonts w:cs="Times New Roman"/>
          <w:sz w:val="22"/>
          <w:lang w:val="sr-Cyrl-RS"/>
        </w:rPr>
        <w:t>пројек</w:t>
      </w:r>
      <w:r w:rsidR="00337A25" w:rsidRPr="00EF2F18">
        <w:rPr>
          <w:rFonts w:cs="Times New Roman"/>
          <w:sz w:val="22"/>
          <w:lang w:val="sr-Cyrl-RS"/>
        </w:rPr>
        <w:t>а</w:t>
      </w:r>
      <w:r w:rsidRPr="00EF2F18">
        <w:rPr>
          <w:rFonts w:cs="Times New Roman"/>
          <w:sz w:val="22"/>
          <w:lang w:val="sr-Cyrl-RS"/>
        </w:rPr>
        <w:t xml:space="preserve">та за зелену транзицију и спровођење програма подршке привредним субјектима који развијају иновативна решења. </w:t>
      </w:r>
    </w:p>
    <w:p w14:paraId="1AB08B23" w14:textId="6685D009"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01D6892C" w14:textId="65AB7191"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5A7ECA" w:rsidRPr="00EF2F18">
        <w:rPr>
          <w:rFonts w:eastAsia="Times New Roman" w:cs="Times New Roman"/>
          <w:sz w:val="22"/>
          <w:lang w:val="sr-Cyrl-RS"/>
        </w:rPr>
        <w:t>Фонд за науку, Министарство науке, технолошког развоја и иновација, универзитети и друге научн</w:t>
      </w:r>
      <w:r w:rsidR="00110FD0" w:rsidRPr="00EF2F18">
        <w:rPr>
          <w:rFonts w:eastAsia="Times New Roman" w:cs="Times New Roman"/>
          <w:sz w:val="22"/>
          <w:lang w:val="sr-Cyrl-RS"/>
        </w:rPr>
        <w:t>о-истраживачке организац</w:t>
      </w:r>
      <w:r w:rsidR="005A7ECA" w:rsidRPr="00EF2F18">
        <w:rPr>
          <w:rFonts w:eastAsia="Times New Roman" w:cs="Times New Roman"/>
          <w:sz w:val="22"/>
          <w:lang w:val="sr-Cyrl-RS"/>
        </w:rPr>
        <w:t>ије</w:t>
      </w:r>
      <w:r w:rsidR="00891D8A" w:rsidRPr="00EF2F18">
        <w:rPr>
          <w:rFonts w:eastAsia="Times New Roman" w:cs="Times New Roman"/>
          <w:sz w:val="22"/>
          <w:lang w:val="sr-Cyrl-RS"/>
        </w:rPr>
        <w:t>.</w:t>
      </w:r>
    </w:p>
    <w:p w14:paraId="1E590D17" w14:textId="185B84C4" w:rsidR="008116AD" w:rsidRPr="00EF2F18" w:rsidRDefault="008116A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BE0104" w:rsidRPr="00EF2F18">
        <w:rPr>
          <w:rFonts w:cs="Times New Roman"/>
          <w:sz w:val="22"/>
          <w:lang w:val="sr-Cyrl-RS" w:eastAsia="en-GB"/>
        </w:rPr>
        <w:t>подстицајна</w:t>
      </w:r>
      <w:r w:rsidR="006C2E00" w:rsidRPr="00EF2F18">
        <w:rPr>
          <w:rFonts w:cs="Times New Roman"/>
          <w:sz w:val="22"/>
          <w:lang w:val="sr-Cyrl-RS" w:eastAsia="en-GB"/>
        </w:rPr>
        <w:t>.</w:t>
      </w:r>
    </w:p>
    <w:p w14:paraId="5957F65C" w14:textId="77777777" w:rsidR="008116AD" w:rsidRPr="00EF2F18" w:rsidRDefault="008116AD" w:rsidP="00425FCC">
      <w:pPr>
        <w:spacing w:after="0"/>
        <w:ind w:firstLine="720"/>
        <w:rPr>
          <w:rFonts w:cs="Times New Roman"/>
          <w:sz w:val="22"/>
          <w:lang w:val="sr-Cyrl-RS"/>
        </w:rPr>
      </w:pPr>
    </w:p>
    <w:p w14:paraId="2B05784B" w14:textId="3A5F6C55" w:rsidR="005D5264" w:rsidRPr="00EF2F18" w:rsidRDefault="005D5264"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6.1.5. </w:t>
      </w:r>
      <w:r w:rsidR="0015021D" w:rsidRPr="00EF2F18">
        <w:rPr>
          <w:rFonts w:cs="Times New Roman"/>
          <w:b/>
          <w:bCs/>
          <w:sz w:val="22"/>
          <w:lang w:val="sr-Cyrl-RS" w:eastAsia="en-GB"/>
        </w:rPr>
        <w:t xml:space="preserve">Подршка даљем развоју </w:t>
      </w:r>
      <w:r w:rsidR="00715DA8" w:rsidRPr="00EF2F18">
        <w:rPr>
          <w:rFonts w:cs="Times New Roman"/>
          <w:b/>
          <w:bCs/>
          <w:sz w:val="22"/>
          <w:lang w:val="sr-Cyrl-RS" w:eastAsia="en-GB"/>
        </w:rPr>
        <w:t xml:space="preserve">формалног </w:t>
      </w:r>
      <w:r w:rsidR="0015021D" w:rsidRPr="00EF2F18">
        <w:rPr>
          <w:rFonts w:cs="Times New Roman"/>
          <w:b/>
          <w:bCs/>
          <w:sz w:val="22"/>
          <w:lang w:val="sr-Cyrl-RS" w:eastAsia="en-GB"/>
        </w:rPr>
        <w:t>образовања за животну средину и одрживи развој</w:t>
      </w:r>
    </w:p>
    <w:p w14:paraId="4254BB74" w14:textId="77777777" w:rsidR="00D83673" w:rsidRPr="00EF2F18" w:rsidRDefault="00D83673" w:rsidP="00425FCC">
      <w:pPr>
        <w:spacing w:after="0"/>
        <w:ind w:firstLine="720"/>
        <w:jc w:val="both"/>
        <w:rPr>
          <w:rFonts w:cs="Times New Roman"/>
          <w:sz w:val="22"/>
          <w:shd w:val="clear" w:color="auto" w:fill="FFFFFF"/>
          <w:lang w:val="sr-Cyrl-RS"/>
        </w:rPr>
      </w:pPr>
    </w:p>
    <w:p w14:paraId="1B9811ED" w14:textId="49439FC2" w:rsidR="000E1E7D" w:rsidRPr="00EF2F18" w:rsidRDefault="004F1709" w:rsidP="00425FCC">
      <w:pPr>
        <w:spacing w:after="0"/>
        <w:ind w:firstLine="720"/>
        <w:jc w:val="both"/>
        <w:rPr>
          <w:rFonts w:cs="Times New Roman"/>
          <w:sz w:val="22"/>
          <w:shd w:val="clear" w:color="auto" w:fill="FFFFFF"/>
          <w:lang w:val="sr-Cyrl-RS"/>
        </w:rPr>
      </w:pPr>
      <w:r w:rsidRPr="00EF2F18">
        <w:rPr>
          <w:rFonts w:cs="Times New Roman"/>
          <w:sz w:val="22"/>
          <w:shd w:val="clear" w:color="auto" w:fill="FFFFFF"/>
          <w:lang w:val="sr-Cyrl-RS"/>
        </w:rPr>
        <w:t>Об</w:t>
      </w:r>
      <w:r w:rsidR="002D2E6A" w:rsidRPr="00EF2F18">
        <w:rPr>
          <w:rFonts w:cs="Times New Roman"/>
          <w:sz w:val="22"/>
          <w:shd w:val="clear" w:color="auto" w:fill="FFFFFF"/>
          <w:lang w:val="sr-Cyrl-RS"/>
        </w:rPr>
        <w:t>разовањ</w:t>
      </w:r>
      <w:r w:rsidRPr="00EF2F18">
        <w:rPr>
          <w:rFonts w:cs="Times New Roman"/>
          <w:sz w:val="22"/>
          <w:shd w:val="clear" w:color="auto" w:fill="FFFFFF"/>
          <w:lang w:val="sr-Cyrl-RS"/>
        </w:rPr>
        <w:t>е</w:t>
      </w:r>
      <w:r w:rsidR="002D2E6A" w:rsidRPr="00EF2F18">
        <w:rPr>
          <w:rFonts w:cs="Times New Roman"/>
          <w:sz w:val="22"/>
          <w:shd w:val="clear" w:color="auto" w:fill="FFFFFF"/>
          <w:lang w:val="sr-Cyrl-RS"/>
        </w:rPr>
        <w:t> за одрживи развој </w:t>
      </w:r>
      <w:r w:rsidRPr="00EF2F18">
        <w:rPr>
          <w:rFonts w:cs="Times New Roman"/>
          <w:sz w:val="22"/>
          <w:lang w:val="sr-Cyrl-RS"/>
        </w:rPr>
        <w:t>усмерено је на омогућавање значајних образовних искустава која подржавају одрживо понашање.</w:t>
      </w:r>
    </w:p>
    <w:p w14:paraId="496E16B8" w14:textId="6C76BE10" w:rsidR="007929D9" w:rsidRPr="00EF2F18" w:rsidRDefault="004F1709" w:rsidP="004F1709">
      <w:pPr>
        <w:spacing w:after="0"/>
        <w:ind w:firstLine="720"/>
        <w:jc w:val="both"/>
        <w:rPr>
          <w:rFonts w:cs="Times New Roman"/>
          <w:sz w:val="22"/>
          <w:lang w:val="sr-Cyrl-RS"/>
        </w:rPr>
      </w:pPr>
      <w:r w:rsidRPr="00EF2F18">
        <w:rPr>
          <w:rFonts w:cs="Times New Roman"/>
          <w:sz w:val="22"/>
          <w:lang w:val="sr-Cyrl-RS"/>
        </w:rPr>
        <w:t xml:space="preserve">Овом мером планира се успостављање редовних консултација </w:t>
      </w:r>
      <w:r w:rsidR="007929D9" w:rsidRPr="00EF2F18">
        <w:rPr>
          <w:rFonts w:cs="Times New Roman"/>
          <w:sz w:val="22"/>
          <w:lang w:val="sr-Cyrl-RS"/>
        </w:rPr>
        <w:t>о</w:t>
      </w:r>
      <w:r w:rsidR="00193BDE" w:rsidRPr="00EF2F18">
        <w:rPr>
          <w:rFonts w:cs="Times New Roman"/>
          <w:sz w:val="22"/>
          <w:lang w:val="sr-Cyrl-RS"/>
        </w:rPr>
        <w:t xml:space="preserve"> формалном</w:t>
      </w:r>
      <w:r w:rsidR="007929D9" w:rsidRPr="00EF2F18">
        <w:rPr>
          <w:rFonts w:cs="Times New Roman"/>
          <w:sz w:val="22"/>
          <w:lang w:val="sr-Cyrl-RS"/>
        </w:rPr>
        <w:t xml:space="preserve"> образовању за одрживи развој </w:t>
      </w:r>
      <w:r w:rsidRPr="00EF2F18">
        <w:rPr>
          <w:rFonts w:cs="Times New Roman"/>
          <w:sz w:val="22"/>
          <w:lang w:val="sr-Cyrl-RS"/>
        </w:rPr>
        <w:t xml:space="preserve">са </w:t>
      </w:r>
      <w:r w:rsidR="007929D9" w:rsidRPr="00EF2F18">
        <w:rPr>
          <w:rFonts w:cs="Times New Roman"/>
          <w:sz w:val="22"/>
          <w:lang w:val="sr-Cyrl-RS"/>
        </w:rPr>
        <w:t xml:space="preserve">циљним групама: </w:t>
      </w:r>
      <w:r w:rsidRPr="00EF2F18">
        <w:rPr>
          <w:rFonts w:cs="Times New Roman"/>
          <w:sz w:val="22"/>
          <w:lang w:val="sr-Cyrl-RS"/>
        </w:rPr>
        <w:t>универзитетима</w:t>
      </w:r>
      <w:r w:rsidR="007929D9" w:rsidRPr="00EF2F18">
        <w:rPr>
          <w:rFonts w:cs="Times New Roman"/>
          <w:sz w:val="22"/>
          <w:lang w:val="sr-Cyrl-RS"/>
        </w:rPr>
        <w:t>, привредом</w:t>
      </w:r>
      <w:r w:rsidR="00A1625F" w:rsidRPr="00EF2F18">
        <w:rPr>
          <w:rFonts w:cs="Times New Roman"/>
          <w:sz w:val="22"/>
          <w:lang w:val="sr-Cyrl-RS"/>
        </w:rPr>
        <w:t xml:space="preserve"> </w:t>
      </w:r>
      <w:r w:rsidR="007929D9" w:rsidRPr="00EF2F18">
        <w:rPr>
          <w:rFonts w:cs="Times New Roman"/>
          <w:sz w:val="22"/>
          <w:lang w:val="sr-Cyrl-RS"/>
        </w:rPr>
        <w:t xml:space="preserve">и другим </w:t>
      </w:r>
      <w:r w:rsidR="00193BDE" w:rsidRPr="00EF2F18">
        <w:rPr>
          <w:rFonts w:cs="Times New Roman"/>
          <w:sz w:val="22"/>
          <w:lang w:val="sr-Cyrl-RS"/>
        </w:rPr>
        <w:t>заинтересованим странама</w:t>
      </w:r>
      <w:r w:rsidRPr="00EF2F18">
        <w:rPr>
          <w:rFonts w:cs="Times New Roman"/>
          <w:sz w:val="22"/>
          <w:lang w:val="sr-Cyrl-RS"/>
        </w:rPr>
        <w:t xml:space="preserve">. </w:t>
      </w:r>
    </w:p>
    <w:p w14:paraId="0125756A" w14:textId="440C29EA" w:rsidR="001122DD" w:rsidRPr="00EF2F18" w:rsidRDefault="00193BDE" w:rsidP="001122DD">
      <w:pPr>
        <w:spacing w:after="0"/>
        <w:ind w:firstLine="720"/>
        <w:jc w:val="both"/>
        <w:rPr>
          <w:color w:val="000000" w:themeColor="text1"/>
          <w:kern w:val="24"/>
          <w:sz w:val="22"/>
          <w:lang w:val="sr-Cyrl-RS"/>
        </w:rPr>
      </w:pPr>
      <w:r w:rsidRPr="00EF2F18">
        <w:rPr>
          <w:color w:val="000000" w:themeColor="text1"/>
          <w:kern w:val="24"/>
          <w:sz w:val="22"/>
          <w:lang w:val="sr-Cyrl-RS"/>
        </w:rPr>
        <w:lastRenderedPageBreak/>
        <w:t>Потребн</w:t>
      </w:r>
      <w:r w:rsidR="000508E3" w:rsidRPr="00EF2F18">
        <w:rPr>
          <w:color w:val="000000" w:themeColor="text1"/>
          <w:kern w:val="24"/>
          <w:sz w:val="22"/>
          <w:lang w:val="sr-Cyrl-RS"/>
        </w:rPr>
        <w:t>о</w:t>
      </w:r>
      <w:r w:rsidRPr="00EF2F18">
        <w:rPr>
          <w:color w:val="000000" w:themeColor="text1"/>
          <w:kern w:val="24"/>
          <w:sz w:val="22"/>
          <w:lang w:val="sr-Cyrl-RS"/>
        </w:rPr>
        <w:t xml:space="preserve"> је </w:t>
      </w:r>
      <w:r w:rsidR="000508E3" w:rsidRPr="00EF2F18">
        <w:rPr>
          <w:color w:val="000000" w:themeColor="text1"/>
          <w:kern w:val="24"/>
          <w:sz w:val="22"/>
          <w:lang w:val="sr-Cyrl-RS"/>
        </w:rPr>
        <w:t>покренути иници</w:t>
      </w:r>
      <w:r w:rsidR="001122DD" w:rsidRPr="00EF2F18">
        <w:rPr>
          <w:color w:val="000000" w:themeColor="text1"/>
          <w:kern w:val="24"/>
          <w:sz w:val="22"/>
          <w:lang w:val="sr-Cyrl-RS"/>
        </w:rPr>
        <w:t>ј</w:t>
      </w:r>
      <w:r w:rsidR="000508E3" w:rsidRPr="00EF2F18">
        <w:rPr>
          <w:color w:val="000000" w:themeColor="text1"/>
          <w:kern w:val="24"/>
          <w:sz w:val="22"/>
          <w:lang w:val="sr-Cyrl-RS"/>
        </w:rPr>
        <w:t>ативе за припрему студијских програма о климатским променама, са фокусом на прилагођавање на измењене клим</w:t>
      </w:r>
      <w:r w:rsidR="00864D48">
        <w:rPr>
          <w:color w:val="000000" w:themeColor="text1"/>
          <w:kern w:val="24"/>
          <w:sz w:val="22"/>
          <w:lang w:val="sr-Cyrl-RS"/>
        </w:rPr>
        <w:t>а</w:t>
      </w:r>
      <w:r w:rsidR="000508E3" w:rsidRPr="00EF2F18">
        <w:rPr>
          <w:color w:val="000000" w:themeColor="text1"/>
          <w:kern w:val="24"/>
          <w:sz w:val="22"/>
          <w:lang w:val="sr-Cyrl-RS"/>
        </w:rPr>
        <w:t xml:space="preserve">тске услове, </w:t>
      </w:r>
      <w:r w:rsidRPr="00EF2F18">
        <w:rPr>
          <w:color w:val="000000" w:themeColor="text1"/>
          <w:kern w:val="24"/>
          <w:sz w:val="22"/>
          <w:lang w:val="sr-Cyrl-RS"/>
        </w:rPr>
        <w:t>о заштити животне средине и одржив</w:t>
      </w:r>
      <w:r w:rsidR="000508E3" w:rsidRPr="00EF2F18">
        <w:rPr>
          <w:color w:val="000000" w:themeColor="text1"/>
          <w:kern w:val="24"/>
          <w:sz w:val="22"/>
          <w:lang w:val="sr-Cyrl-RS"/>
        </w:rPr>
        <w:t>ом</w:t>
      </w:r>
      <w:r w:rsidRPr="00EF2F18">
        <w:rPr>
          <w:color w:val="000000" w:themeColor="text1"/>
          <w:kern w:val="24"/>
          <w:sz w:val="22"/>
          <w:lang w:val="sr-Cyrl-RS"/>
        </w:rPr>
        <w:t xml:space="preserve"> развој</w:t>
      </w:r>
      <w:r w:rsidR="000508E3" w:rsidRPr="00EF2F18">
        <w:rPr>
          <w:color w:val="000000" w:themeColor="text1"/>
          <w:kern w:val="24"/>
          <w:sz w:val="22"/>
          <w:lang w:val="sr-Cyrl-RS"/>
        </w:rPr>
        <w:t>у</w:t>
      </w:r>
      <w:r w:rsidRPr="00EF2F18">
        <w:rPr>
          <w:color w:val="000000" w:themeColor="text1"/>
          <w:kern w:val="24"/>
          <w:sz w:val="22"/>
          <w:lang w:val="sr-Cyrl-RS"/>
        </w:rPr>
        <w:t>.</w:t>
      </w:r>
      <w:r w:rsidR="001122DD" w:rsidRPr="00EF2F18">
        <w:rPr>
          <w:color w:val="000000" w:themeColor="text1"/>
          <w:kern w:val="24"/>
          <w:sz w:val="22"/>
          <w:lang w:val="sr-Cyrl-RS"/>
        </w:rPr>
        <w:t xml:space="preserve"> Промовисање студијских програма у области заштите животне средине и отварање нових радних места за младе стручњаке у овој области је од круцијалног значаја за напредовање сектора заштите животне средине. </w:t>
      </w:r>
    </w:p>
    <w:p w14:paraId="5F3D4F3D" w14:textId="4E27486F"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4E15CFF2" w14:textId="6270F79E"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BE0104" w:rsidRPr="00EF2F18">
        <w:rPr>
          <w:rFonts w:cs="Times New Roman"/>
          <w:sz w:val="22"/>
          <w:lang w:val="sr-Cyrl-RS" w:eastAsia="en-GB"/>
        </w:rPr>
        <w:t xml:space="preserve">Министарство </w:t>
      </w:r>
      <w:r w:rsidR="007929D9" w:rsidRPr="00EF2F18">
        <w:rPr>
          <w:rFonts w:cs="Times New Roman"/>
          <w:sz w:val="22"/>
          <w:lang w:val="sr-Cyrl-RS" w:eastAsia="en-GB"/>
        </w:rPr>
        <w:t>науке, технолошког развоја и иновација</w:t>
      </w:r>
      <w:r w:rsidR="00BE0104" w:rsidRPr="00EF2F18">
        <w:rPr>
          <w:rFonts w:cs="Times New Roman"/>
          <w:sz w:val="22"/>
          <w:lang w:val="sr-Cyrl-RS" w:eastAsia="en-GB"/>
        </w:rPr>
        <w:t>,</w:t>
      </w:r>
      <w:r w:rsidR="007929D9" w:rsidRPr="00EF2F18">
        <w:rPr>
          <w:rFonts w:cs="Times New Roman"/>
          <w:sz w:val="22"/>
          <w:lang w:val="sr-Cyrl-RS" w:eastAsia="en-GB"/>
        </w:rPr>
        <w:t xml:space="preserve"> Министарство просвете, </w:t>
      </w:r>
      <w:r w:rsidR="00BE0104" w:rsidRPr="00EF2F18">
        <w:rPr>
          <w:rFonts w:cs="Times New Roman"/>
          <w:sz w:val="22"/>
          <w:lang w:val="sr-Cyrl-RS" w:eastAsia="en-GB"/>
        </w:rPr>
        <w:t>Привредна комора Србије</w:t>
      </w:r>
      <w:r w:rsidR="00193BDE" w:rsidRPr="00EF2F18">
        <w:rPr>
          <w:rFonts w:cs="Times New Roman"/>
          <w:sz w:val="22"/>
          <w:lang w:val="sr-Cyrl-RS" w:eastAsia="en-GB"/>
        </w:rPr>
        <w:t>, универзитети и друге заинтерес</w:t>
      </w:r>
      <w:r w:rsidR="00864D48">
        <w:rPr>
          <w:rFonts w:cs="Times New Roman"/>
          <w:sz w:val="22"/>
          <w:lang w:val="sr-Cyrl-RS" w:eastAsia="en-GB"/>
        </w:rPr>
        <w:t>оване стране, Завод за унапређи</w:t>
      </w:r>
      <w:r w:rsidR="00193BDE" w:rsidRPr="00EF2F18">
        <w:rPr>
          <w:rFonts w:cs="Times New Roman"/>
          <w:sz w:val="22"/>
          <w:lang w:val="sr-Cyrl-RS" w:eastAsia="en-GB"/>
        </w:rPr>
        <w:t>в</w:t>
      </w:r>
      <w:r w:rsidR="00864D48">
        <w:rPr>
          <w:rFonts w:cs="Times New Roman"/>
          <w:sz w:val="22"/>
          <w:lang w:val="sr-Cyrl-RS" w:eastAsia="en-GB"/>
        </w:rPr>
        <w:t>а</w:t>
      </w:r>
      <w:r w:rsidR="00193BDE" w:rsidRPr="00EF2F18">
        <w:rPr>
          <w:rFonts w:cs="Times New Roman"/>
          <w:sz w:val="22"/>
          <w:lang w:val="sr-Cyrl-RS" w:eastAsia="en-GB"/>
        </w:rPr>
        <w:t xml:space="preserve">ње образовања и васпитања, </w:t>
      </w:r>
      <w:r w:rsidR="00A12DD2" w:rsidRPr="00EF2F18">
        <w:rPr>
          <w:rFonts w:cs="Times New Roman"/>
          <w:sz w:val="22"/>
          <w:lang w:val="sr-Cyrl-RS" w:eastAsia="en-GB"/>
        </w:rPr>
        <w:t>организације цивилног друштва</w:t>
      </w:r>
      <w:r w:rsidR="00891D8A" w:rsidRPr="00EF2F18">
        <w:rPr>
          <w:rFonts w:cs="Times New Roman"/>
          <w:sz w:val="22"/>
          <w:lang w:val="sr-Cyrl-RS" w:eastAsia="en-GB"/>
        </w:rPr>
        <w:t>.</w:t>
      </w:r>
    </w:p>
    <w:p w14:paraId="35D74943" w14:textId="6BCBFFAF"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891D8A" w:rsidRPr="00EF2F18">
        <w:rPr>
          <w:rFonts w:cs="Times New Roman"/>
          <w:sz w:val="22"/>
          <w:lang w:val="sr-Cyrl-RS" w:eastAsia="en-GB"/>
        </w:rPr>
        <w:t>информативно-</w:t>
      </w:r>
      <w:r w:rsidR="00BE0104" w:rsidRPr="00EF2F18">
        <w:rPr>
          <w:rFonts w:cs="Times New Roman"/>
          <w:sz w:val="22"/>
          <w:lang w:val="sr-Cyrl-RS" w:eastAsia="en-GB"/>
        </w:rPr>
        <w:t>едукативна</w:t>
      </w:r>
      <w:r w:rsidR="006C2E00" w:rsidRPr="00EF2F18">
        <w:rPr>
          <w:rFonts w:cs="Times New Roman"/>
          <w:sz w:val="22"/>
          <w:lang w:val="sr-Cyrl-RS" w:eastAsia="en-GB"/>
        </w:rPr>
        <w:t>.</w:t>
      </w:r>
      <w:r w:rsidR="00BE0104" w:rsidRPr="00EF2F18">
        <w:rPr>
          <w:rFonts w:cs="Times New Roman"/>
          <w:sz w:val="22"/>
          <w:lang w:val="sr-Cyrl-RS" w:eastAsia="en-GB"/>
        </w:rPr>
        <w:t xml:space="preserve"> </w:t>
      </w:r>
    </w:p>
    <w:p w14:paraId="1F225AB8" w14:textId="77777777" w:rsidR="005D5264" w:rsidRPr="00EF2F18" w:rsidRDefault="005D5264" w:rsidP="00425FCC">
      <w:pPr>
        <w:spacing w:after="0"/>
        <w:ind w:firstLine="720"/>
        <w:jc w:val="both"/>
        <w:rPr>
          <w:rFonts w:cs="Times New Roman"/>
          <w:sz w:val="22"/>
          <w:lang w:val="sr-Cyrl-RS" w:eastAsia="en-GB"/>
        </w:rPr>
      </w:pPr>
    </w:p>
    <w:p w14:paraId="03FF1459" w14:textId="3234AE29" w:rsidR="005D5264" w:rsidRPr="00EF2F18" w:rsidRDefault="005D5264"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6.1.6. </w:t>
      </w:r>
      <w:r w:rsidR="0015021D" w:rsidRPr="00EF2F18">
        <w:rPr>
          <w:rFonts w:cs="Times New Roman"/>
          <w:b/>
          <w:bCs/>
          <w:sz w:val="22"/>
          <w:lang w:val="sr-Cyrl-RS" w:eastAsia="en-GB"/>
        </w:rPr>
        <w:t>Подизање</w:t>
      </w:r>
      <w:r w:rsidR="00BE2062" w:rsidRPr="00EF2F18">
        <w:rPr>
          <w:rFonts w:cs="Times New Roman"/>
          <w:b/>
          <w:bCs/>
          <w:sz w:val="22"/>
          <w:lang w:val="sr-Cyrl-RS" w:eastAsia="en-GB"/>
        </w:rPr>
        <w:t xml:space="preserve"> свести и</w:t>
      </w:r>
      <w:r w:rsidR="0015021D" w:rsidRPr="00EF2F18">
        <w:rPr>
          <w:rFonts w:cs="Times New Roman"/>
          <w:b/>
          <w:bCs/>
          <w:sz w:val="22"/>
          <w:lang w:val="sr-Cyrl-RS" w:eastAsia="en-GB"/>
        </w:rPr>
        <w:t xml:space="preserve"> нивоа знања заинтересованих страна и јавности о значају </w:t>
      </w:r>
      <w:r w:rsidR="00434BFA" w:rsidRPr="00EF2F18">
        <w:rPr>
          <w:rFonts w:cs="Times New Roman"/>
          <w:b/>
          <w:bCs/>
          <w:sz w:val="22"/>
          <w:lang w:val="sr-Cyrl-RS" w:eastAsia="en-GB"/>
        </w:rPr>
        <w:t xml:space="preserve">животне средине, одрживог развоја и </w:t>
      </w:r>
      <w:r w:rsidR="00643D36" w:rsidRPr="00EF2F18">
        <w:rPr>
          <w:rFonts w:cs="Times New Roman"/>
          <w:b/>
          <w:bCs/>
          <w:sz w:val="22"/>
          <w:lang w:val="sr-Cyrl-RS" w:eastAsia="en-GB"/>
        </w:rPr>
        <w:t>климатских промена</w:t>
      </w:r>
    </w:p>
    <w:p w14:paraId="1ABF02C3" w14:textId="77777777" w:rsidR="00D83673" w:rsidRPr="00EF2F18" w:rsidRDefault="00D83673" w:rsidP="004A70C2">
      <w:pPr>
        <w:spacing w:after="0"/>
        <w:ind w:firstLine="720"/>
        <w:jc w:val="both"/>
        <w:rPr>
          <w:rFonts w:cs="Times New Roman"/>
          <w:sz w:val="22"/>
          <w:lang w:val="sr-Cyrl-RS"/>
        </w:rPr>
      </w:pPr>
    </w:p>
    <w:p w14:paraId="077BFD23" w14:textId="47A83326" w:rsidR="004A70C2" w:rsidRPr="00EF2F18" w:rsidRDefault="00405663" w:rsidP="004A70C2">
      <w:pPr>
        <w:spacing w:after="0"/>
        <w:ind w:firstLine="720"/>
        <w:jc w:val="both"/>
        <w:rPr>
          <w:rFonts w:cs="Times New Roman"/>
          <w:sz w:val="22"/>
          <w:lang w:val="sr-Cyrl-RS"/>
        </w:rPr>
      </w:pPr>
      <w:r w:rsidRPr="00EF2F18">
        <w:rPr>
          <w:rFonts w:cs="Times New Roman"/>
          <w:sz w:val="22"/>
          <w:lang w:val="sr-Cyrl-RS"/>
        </w:rPr>
        <w:t xml:space="preserve">Ова мера се односи на систематско унапређивање неформалног образовања о животној средини </w:t>
      </w:r>
      <w:r w:rsidR="00193BDE" w:rsidRPr="00EF2F18">
        <w:rPr>
          <w:rFonts w:cs="Times New Roman"/>
          <w:sz w:val="22"/>
          <w:lang w:val="sr-Cyrl-RS"/>
        </w:rPr>
        <w:t>и значају спровођења Зелене агенде</w:t>
      </w:r>
      <w:r w:rsidRPr="00EF2F18">
        <w:rPr>
          <w:rFonts w:cs="Times New Roman"/>
          <w:sz w:val="22"/>
          <w:lang w:val="sr-Cyrl-RS"/>
        </w:rPr>
        <w:t>, кроз организовање кампања за подизање нивоа свести и развијања еколошке културе</w:t>
      </w:r>
      <w:r w:rsidR="00C63BB0" w:rsidRPr="00EF2F18">
        <w:rPr>
          <w:rFonts w:cs="Times New Roman"/>
          <w:sz w:val="22"/>
          <w:lang w:val="sr-Cyrl-RS"/>
        </w:rPr>
        <w:t>,</w:t>
      </w:r>
      <w:r w:rsidRPr="00EF2F18">
        <w:rPr>
          <w:rFonts w:cs="Times New Roman"/>
          <w:sz w:val="22"/>
          <w:lang w:val="sr-Cyrl-RS"/>
        </w:rPr>
        <w:t xml:space="preserve"> </w:t>
      </w:r>
      <w:r w:rsidR="00C63BB0" w:rsidRPr="00EF2F18">
        <w:rPr>
          <w:rFonts w:cs="Times New Roman"/>
          <w:sz w:val="22"/>
          <w:shd w:val="clear" w:color="auto" w:fill="FFFFFF"/>
          <w:lang w:val="sr-Cyrl-RS"/>
        </w:rPr>
        <w:t xml:space="preserve">помоћ грађанима у процесу развоја вештина и ставова, као и у стицању знања за доношење одлука од значаја за животну средину, </w:t>
      </w:r>
      <w:r w:rsidR="00C63BB0" w:rsidRPr="00EF2F18">
        <w:rPr>
          <w:rFonts w:cs="Times New Roman"/>
          <w:sz w:val="22"/>
          <w:lang w:val="sr-Cyrl-RS"/>
        </w:rPr>
        <w:t xml:space="preserve">тиме обухватајући </w:t>
      </w:r>
      <w:r w:rsidR="008B2A85" w:rsidRPr="00EF2F18">
        <w:rPr>
          <w:rFonts w:cs="Times New Roman"/>
          <w:sz w:val="22"/>
          <w:lang w:val="sr-Cyrl-RS"/>
        </w:rPr>
        <w:t>подизање свести јавности</w:t>
      </w:r>
      <w:r w:rsidR="00C63BB0" w:rsidRPr="00EF2F18">
        <w:rPr>
          <w:rFonts w:cs="Times New Roman"/>
          <w:sz w:val="22"/>
          <w:lang w:val="sr-Cyrl-RS"/>
        </w:rPr>
        <w:t>.</w:t>
      </w:r>
      <w:r w:rsidR="004A70C2" w:rsidRPr="00EF2F18">
        <w:rPr>
          <w:color w:val="000000" w:themeColor="text1"/>
          <w:kern w:val="24"/>
          <w:sz w:val="22"/>
          <w:lang w:val="sr-Cyrl-RS"/>
        </w:rPr>
        <w:t xml:space="preserve"> Потребна је сарадња институција са организацијама цивилног друштва на развоју и спровођењу неформалног образовања за животну средину и одрживи развој</w:t>
      </w:r>
    </w:p>
    <w:p w14:paraId="67273C21" w14:textId="25D09C1A" w:rsidR="00405663" w:rsidRPr="00EF2F18" w:rsidRDefault="00405663" w:rsidP="00405663">
      <w:pPr>
        <w:spacing w:after="0"/>
        <w:ind w:firstLine="720"/>
        <w:jc w:val="both"/>
        <w:rPr>
          <w:rFonts w:cs="Times New Roman"/>
          <w:sz w:val="22"/>
          <w:lang w:val="sr-Cyrl-RS"/>
        </w:rPr>
      </w:pPr>
      <w:r w:rsidRPr="00EF2F18">
        <w:rPr>
          <w:rFonts w:cs="Times New Roman"/>
          <w:sz w:val="22"/>
          <w:lang w:val="sr-Cyrl-RS"/>
        </w:rPr>
        <w:t>П</w:t>
      </w:r>
      <w:r w:rsidR="004A70C2" w:rsidRPr="00EF2F18">
        <w:rPr>
          <w:rFonts w:cs="Times New Roman"/>
          <w:sz w:val="22"/>
          <w:lang w:val="sr-Cyrl-RS"/>
        </w:rPr>
        <w:t xml:space="preserve">ланира се </w:t>
      </w:r>
      <w:r w:rsidRPr="00EF2F18">
        <w:rPr>
          <w:rFonts w:cs="Times New Roman"/>
          <w:sz w:val="22"/>
          <w:lang w:val="sr-Cyrl-RS"/>
        </w:rPr>
        <w:t xml:space="preserve">израда програма и спровођење обука у области Зелене агенде за различите заинтересоване стране </w:t>
      </w:r>
      <w:r w:rsidR="00B7616B" w:rsidRPr="00EF2F18">
        <w:rPr>
          <w:rFonts w:cs="Times New Roman"/>
          <w:sz w:val="22"/>
          <w:lang w:val="sr-Cyrl-RS"/>
        </w:rPr>
        <w:t xml:space="preserve">и осетљиве друштвене групе </w:t>
      </w:r>
      <w:r w:rsidRPr="00EF2F18">
        <w:rPr>
          <w:rFonts w:cs="Times New Roman"/>
          <w:sz w:val="22"/>
          <w:lang w:val="sr-Cyrl-RS"/>
        </w:rPr>
        <w:t>и промоција и подршка активностима усмереним ка подизању свести о значају заштите животне средине и климатским променама (кампање, истраживање ставова јавног мњења и др.)</w:t>
      </w:r>
      <w:r w:rsidR="00100BBE" w:rsidRPr="00EF2F18">
        <w:rPr>
          <w:rFonts w:cs="Times New Roman"/>
          <w:sz w:val="22"/>
          <w:lang w:val="sr-Cyrl-RS"/>
        </w:rPr>
        <w:t xml:space="preserve"> (в</w:t>
      </w:r>
      <w:r w:rsidR="00100BBE" w:rsidRPr="00EF2F18">
        <w:rPr>
          <w:rFonts w:eastAsia="Calibri" w:cs="Times New Roman"/>
          <w:sz w:val="22"/>
          <w:lang w:val="sr-Cyrl-RS"/>
        </w:rPr>
        <w:t xml:space="preserve">еза са мером </w:t>
      </w:r>
      <w:r w:rsidR="00AC0590" w:rsidRPr="00EF2F18">
        <w:rPr>
          <w:rFonts w:eastAsia="Calibri"/>
          <w:sz w:val="22"/>
          <w:lang w:val="sr-Cyrl-RS"/>
        </w:rPr>
        <w:t>МП</w:t>
      </w:r>
      <w:r w:rsidR="00100BBE" w:rsidRPr="00EF2F18">
        <w:rPr>
          <w:rFonts w:eastAsia="Calibri"/>
          <w:sz w:val="22"/>
          <w:lang w:val="sr-Cyrl-RS"/>
        </w:rPr>
        <w:t>_</w:t>
      </w:r>
      <w:r w:rsidR="004A70C2" w:rsidRPr="00EF2F18">
        <w:rPr>
          <w:rFonts w:eastAsia="Calibri"/>
          <w:sz w:val="22"/>
          <w:lang w:val="sr-Cyrl-RS"/>
        </w:rPr>
        <w:t>Д</w:t>
      </w:r>
      <w:r w:rsidR="00100BBE" w:rsidRPr="00EF2F18">
        <w:rPr>
          <w:rFonts w:eastAsia="Calibri"/>
          <w:sz w:val="22"/>
          <w:lang w:val="sr-Cyrl-RS"/>
        </w:rPr>
        <w:t>4</w:t>
      </w:r>
      <w:r w:rsidR="00100BBE" w:rsidRPr="00EF2F18">
        <w:rPr>
          <w:rFonts w:eastAsia="Calibri" w:cs="Times New Roman"/>
          <w:sz w:val="22"/>
          <w:lang w:val="sr-Cyrl-RS"/>
        </w:rPr>
        <w:t xml:space="preserve"> Интегрисаног националног енергетског и климатског плана</w:t>
      </w:r>
      <w:r w:rsidR="00100BBE" w:rsidRPr="00EF2F18">
        <w:rPr>
          <w:rFonts w:eastAsia="Calibri"/>
          <w:sz w:val="22"/>
          <w:lang w:val="sr-Cyrl-RS"/>
        </w:rPr>
        <w:t xml:space="preserve"> </w:t>
      </w:r>
      <w:r w:rsidR="00100BBE" w:rsidRPr="00EF2F18">
        <w:rPr>
          <w:rFonts w:cs="Times New Roman"/>
          <w:sz w:val="22"/>
          <w:lang w:val="sr-Cyrl-RS"/>
        </w:rPr>
        <w:t>Републике Србије за период до 2030. са визијом до 2050. године</w:t>
      </w:r>
      <w:r w:rsidR="00100BBE" w:rsidRPr="00EF2F18">
        <w:rPr>
          <w:rFonts w:eastAsia="Calibri" w:cs="Times New Roman"/>
          <w:sz w:val="22"/>
          <w:lang w:val="sr-Cyrl-RS"/>
        </w:rPr>
        <w:t>).</w:t>
      </w:r>
    </w:p>
    <w:p w14:paraId="3066C25E" w14:textId="16219F1A"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6EE7076D" w14:textId="0C9FEF4E" w:rsidR="00483269" w:rsidRPr="00EF2F18" w:rsidRDefault="005D5264" w:rsidP="00483269">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8B2A85" w:rsidRPr="00EF2F18">
        <w:rPr>
          <w:rFonts w:cs="Times New Roman"/>
          <w:sz w:val="22"/>
          <w:lang w:val="sr-Cyrl-RS" w:eastAsia="en-GB"/>
        </w:rPr>
        <w:t xml:space="preserve"> Министарство за људска и мањинска права и друштвени дијалог</w:t>
      </w:r>
      <w:r w:rsidR="00C63BB0" w:rsidRPr="00EF2F18">
        <w:rPr>
          <w:rFonts w:cs="Times New Roman"/>
          <w:sz w:val="22"/>
          <w:lang w:val="sr-Cyrl-RS" w:eastAsia="en-GB"/>
        </w:rPr>
        <w:t>,</w:t>
      </w:r>
      <w:r w:rsidR="003016AC" w:rsidRPr="00EF2F18">
        <w:rPr>
          <w:rFonts w:cs="Times New Roman"/>
          <w:sz w:val="22"/>
          <w:lang w:val="sr-Cyrl-RS" w:eastAsia="en-GB"/>
        </w:rPr>
        <w:t xml:space="preserve"> Министарство туризма и омладине,</w:t>
      </w:r>
      <w:r w:rsidR="00C63BB0" w:rsidRPr="00EF2F18">
        <w:rPr>
          <w:rFonts w:cs="Times New Roman"/>
          <w:sz w:val="22"/>
          <w:lang w:val="sr-Cyrl-RS" w:eastAsia="en-GB"/>
        </w:rPr>
        <w:t xml:space="preserve"> </w:t>
      </w:r>
      <w:r w:rsidR="008B2A85" w:rsidRPr="00EF2F18">
        <w:rPr>
          <w:rFonts w:cs="Times New Roman"/>
          <w:sz w:val="22"/>
          <w:lang w:val="sr-Cyrl-RS" w:eastAsia="en-GB"/>
        </w:rPr>
        <w:t xml:space="preserve">јединице локалне самоуправе, </w:t>
      </w:r>
      <w:r w:rsidR="00483269" w:rsidRPr="00EF2F18">
        <w:rPr>
          <w:rFonts w:cs="Times New Roman"/>
          <w:sz w:val="22"/>
          <w:lang w:val="sr-Cyrl-RS" w:eastAsia="en-GB"/>
        </w:rPr>
        <w:t>организације цивилног друштва</w:t>
      </w:r>
      <w:r w:rsidR="008B2A85" w:rsidRPr="00EF2F18">
        <w:rPr>
          <w:rFonts w:cs="Times New Roman"/>
          <w:sz w:val="22"/>
          <w:lang w:val="sr-Cyrl-RS" w:eastAsia="en-GB"/>
        </w:rPr>
        <w:t>, медији</w:t>
      </w:r>
      <w:r w:rsidR="00891D8A" w:rsidRPr="00EF2F18">
        <w:rPr>
          <w:rFonts w:cs="Times New Roman"/>
          <w:sz w:val="22"/>
          <w:lang w:val="sr-Cyrl-RS" w:eastAsia="en-GB"/>
        </w:rPr>
        <w:t>.</w:t>
      </w:r>
    </w:p>
    <w:p w14:paraId="0BA38B86" w14:textId="1CA98D66" w:rsidR="005D5264" w:rsidRPr="00EF2F18" w:rsidRDefault="00483269" w:rsidP="00483269">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00891D8A" w:rsidRPr="00EF2F18">
        <w:rPr>
          <w:rFonts w:cs="Times New Roman"/>
          <w:sz w:val="22"/>
          <w:lang w:val="sr-Cyrl-RS" w:eastAsia="en-GB"/>
        </w:rPr>
        <w:t>: информативно-</w:t>
      </w:r>
      <w:r w:rsidRPr="00EF2F18">
        <w:rPr>
          <w:rFonts w:cs="Times New Roman"/>
          <w:sz w:val="22"/>
          <w:lang w:val="sr-Cyrl-RS" w:eastAsia="en-GB"/>
        </w:rPr>
        <w:t>едукативна</w:t>
      </w:r>
      <w:r w:rsidR="006C2E00" w:rsidRPr="00EF2F18">
        <w:rPr>
          <w:rFonts w:cs="Times New Roman"/>
          <w:sz w:val="22"/>
          <w:lang w:val="sr-Cyrl-RS" w:eastAsia="en-GB"/>
        </w:rPr>
        <w:t>.</w:t>
      </w:r>
    </w:p>
    <w:p w14:paraId="1C2C39F8" w14:textId="77777777" w:rsidR="005D5264" w:rsidRPr="00EF2F18" w:rsidRDefault="005D5264" w:rsidP="00425FCC">
      <w:pPr>
        <w:spacing w:after="0"/>
        <w:ind w:firstLine="720"/>
        <w:rPr>
          <w:rFonts w:cs="Times New Roman"/>
          <w:sz w:val="22"/>
          <w:lang w:val="sr-Cyrl-RS"/>
        </w:rPr>
      </w:pPr>
    </w:p>
    <w:p w14:paraId="67B8B1F6" w14:textId="7832E3DD" w:rsidR="005D5264" w:rsidRPr="00EF2F18" w:rsidRDefault="005D5264"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6.1.7. </w:t>
      </w:r>
      <w:r w:rsidR="0015021D" w:rsidRPr="00EF2F18">
        <w:rPr>
          <w:rFonts w:cs="Times New Roman"/>
          <w:b/>
          <w:bCs/>
          <w:sz w:val="22"/>
          <w:lang w:val="sr-Cyrl-RS" w:eastAsia="en-GB"/>
        </w:rPr>
        <w:t>Укључивање родне и антидискриминационе перспективе у јавне политике, планове и пројекте у области заштите животне средине</w:t>
      </w:r>
      <w:r w:rsidRPr="00EF2F18">
        <w:rPr>
          <w:rFonts w:cs="Times New Roman"/>
          <w:sz w:val="22"/>
          <w:lang w:val="sr-Cyrl-RS" w:eastAsia="en-GB"/>
        </w:rPr>
        <w:t xml:space="preserve"> </w:t>
      </w:r>
    </w:p>
    <w:p w14:paraId="3669509B" w14:textId="77777777" w:rsidR="00D83673" w:rsidRPr="00EF2F18" w:rsidRDefault="00D83673" w:rsidP="00731038">
      <w:pPr>
        <w:spacing w:after="0"/>
        <w:ind w:firstLine="720"/>
        <w:jc w:val="both"/>
        <w:rPr>
          <w:rFonts w:cs="Times New Roman"/>
          <w:sz w:val="22"/>
          <w:lang w:val="sr-Cyrl-RS"/>
        </w:rPr>
      </w:pPr>
    </w:p>
    <w:p w14:paraId="21AA1FBA" w14:textId="31122016" w:rsidR="0096538B" w:rsidRPr="00EF2F18" w:rsidRDefault="00292DE8" w:rsidP="00731038">
      <w:pPr>
        <w:spacing w:after="0"/>
        <w:ind w:firstLine="720"/>
        <w:jc w:val="both"/>
        <w:rPr>
          <w:rFonts w:cs="Times New Roman"/>
          <w:sz w:val="22"/>
          <w:lang w:val="sr-Cyrl-RS"/>
        </w:rPr>
      </w:pPr>
      <w:r w:rsidRPr="00EF2F18">
        <w:rPr>
          <w:rFonts w:cs="Times New Roman"/>
          <w:sz w:val="22"/>
          <w:lang w:val="sr-Cyrl-RS"/>
        </w:rPr>
        <w:t>Родна равноп</w:t>
      </w:r>
      <w:r w:rsidR="00731038" w:rsidRPr="00EF2F18">
        <w:rPr>
          <w:rFonts w:cs="Times New Roman"/>
          <w:sz w:val="22"/>
          <w:lang w:val="sr-Cyrl-RS"/>
        </w:rPr>
        <w:t>р</w:t>
      </w:r>
      <w:r w:rsidRPr="00EF2F18">
        <w:rPr>
          <w:rFonts w:cs="Times New Roman"/>
          <w:sz w:val="22"/>
          <w:lang w:val="sr-Cyrl-RS"/>
        </w:rPr>
        <w:t xml:space="preserve">авност и оснаживање жена један је од циљева одрживог развоја. </w:t>
      </w:r>
      <w:r w:rsidR="00731038" w:rsidRPr="00EF2F18">
        <w:rPr>
          <w:rFonts w:cs="Times New Roman"/>
          <w:sz w:val="22"/>
          <w:lang w:val="sr-Cyrl-RS"/>
        </w:rPr>
        <w:t>Mером се обезбеђује да приликом креирања јавних политика,</w:t>
      </w:r>
      <w:r w:rsidR="005E5FF9" w:rsidRPr="00EF2F18">
        <w:rPr>
          <w:rFonts w:cs="Times New Roman"/>
          <w:sz w:val="22"/>
          <w:lang w:val="sr-Cyrl-RS"/>
        </w:rPr>
        <w:t xml:space="preserve"> </w:t>
      </w:r>
      <w:r w:rsidR="00731038" w:rsidRPr="00EF2F18">
        <w:rPr>
          <w:rFonts w:cs="Times New Roman"/>
          <w:sz w:val="22"/>
          <w:lang w:val="sr-Cyrl-RS"/>
        </w:rPr>
        <w:t>планова и пр</w:t>
      </w:r>
      <w:r w:rsidR="0094473D" w:rsidRPr="00EF2F18">
        <w:rPr>
          <w:rFonts w:cs="Times New Roman"/>
          <w:sz w:val="22"/>
          <w:lang w:val="sr-Cyrl-RS"/>
        </w:rPr>
        <w:t>о</w:t>
      </w:r>
      <w:r w:rsidR="00731038" w:rsidRPr="00EF2F18">
        <w:rPr>
          <w:rFonts w:cs="Times New Roman"/>
          <w:sz w:val="22"/>
          <w:lang w:val="sr-Cyrl-RS"/>
        </w:rPr>
        <w:t>јеката, буду узете у обзир родне разлике, разлике по полу и различити интереси, потребе и приоритети жена и мушкараца и њихово укључивање у све фазе планирања, припреме, доношења и спровођења јавних политика. Такође, мером се обезбеђује и да се да приликом креирањ</w:t>
      </w:r>
      <w:r w:rsidR="00A75007">
        <w:rPr>
          <w:rFonts w:cs="Times New Roman"/>
          <w:sz w:val="22"/>
          <w:lang w:val="sr-Cyrl-RS"/>
        </w:rPr>
        <w:t>а јавних политика, планова и про</w:t>
      </w:r>
      <w:r w:rsidR="00731038" w:rsidRPr="00EF2F18">
        <w:rPr>
          <w:rFonts w:cs="Times New Roman"/>
          <w:sz w:val="22"/>
          <w:lang w:val="sr-Cyrl-RS"/>
        </w:rPr>
        <w:t>јеката, буду узете у обзир права и интереси припадника група које су у ризику од дискриминације и да се прате ефекти</w:t>
      </w:r>
      <w:r w:rsidR="005E5FF9" w:rsidRPr="00EF2F18">
        <w:rPr>
          <w:rFonts w:cs="Times New Roman"/>
          <w:sz w:val="22"/>
          <w:lang w:val="sr-Cyrl-RS"/>
        </w:rPr>
        <w:t xml:space="preserve"> </w:t>
      </w:r>
      <w:r w:rsidR="00731038" w:rsidRPr="00EF2F18">
        <w:rPr>
          <w:rFonts w:cs="Times New Roman"/>
          <w:sz w:val="22"/>
          <w:lang w:val="sr-Cyrl-RS"/>
        </w:rPr>
        <w:t>јавних политика, планова и пројеката. Интегрисање родне равноправности и обезбеђивање равноправног укључивања жена и мушкараца у развојне правце за зелену и циркуларну економију, једнак приступ знањима, информацијама и ресурсима како би имали и једнаке шансе услед промена у економији, начину функционисања привреде, као и шансе за нова радна места, предузетништво и социјално предузетништво представљају</w:t>
      </w:r>
      <w:r w:rsidR="005E5FF9" w:rsidRPr="00EF2F18">
        <w:rPr>
          <w:rFonts w:cs="Times New Roman"/>
          <w:sz w:val="22"/>
          <w:lang w:val="sr-Cyrl-RS"/>
        </w:rPr>
        <w:t xml:space="preserve"> </w:t>
      </w:r>
      <w:r w:rsidR="00731038" w:rsidRPr="00EF2F18">
        <w:rPr>
          <w:rFonts w:cs="Times New Roman"/>
          <w:sz w:val="22"/>
          <w:lang w:val="sr-Cyrl-RS"/>
        </w:rPr>
        <w:t>изазове су који су предвиђени и</w:t>
      </w:r>
      <w:r w:rsidR="005E5FF9" w:rsidRPr="00EF2F18">
        <w:rPr>
          <w:rFonts w:cs="Times New Roman"/>
          <w:sz w:val="22"/>
          <w:lang w:val="sr-Cyrl-RS"/>
        </w:rPr>
        <w:t xml:space="preserve"> </w:t>
      </w:r>
      <w:r w:rsidR="00731038" w:rsidRPr="00EF2F18">
        <w:rPr>
          <w:rFonts w:cs="Times New Roman"/>
          <w:sz w:val="22"/>
          <w:lang w:val="sr-Cyrl-RS"/>
        </w:rPr>
        <w:t>Стратегијом за родну равноправност за период 2021-2030. године. Такође, системско увођење антидискриминационе перспективе у креирање, спровођење и праћење јавних</w:t>
      </w:r>
      <w:r w:rsidR="007B3034">
        <w:rPr>
          <w:rFonts w:cs="Times New Roman"/>
          <w:sz w:val="22"/>
          <w:lang w:val="sr-Cyrl-RS"/>
        </w:rPr>
        <w:t xml:space="preserve"> политика је обавеза која произла</w:t>
      </w:r>
      <w:r w:rsidR="00731038" w:rsidRPr="00EF2F18">
        <w:rPr>
          <w:rFonts w:cs="Times New Roman"/>
          <w:sz w:val="22"/>
          <w:lang w:val="sr-Cyrl-RS"/>
        </w:rPr>
        <w:t xml:space="preserve">зи из Стратегије превенције и заштите од дискриминације за период од 2022. до 2030. године, чиме ће се допринети превенцији дискриминације, као и отклањању структуралне дискриминације којој су изложени припадници појединих група. </w:t>
      </w:r>
      <w:r w:rsidR="001F40E3" w:rsidRPr="00EF2F18">
        <w:rPr>
          <w:rFonts w:cs="Times New Roman"/>
          <w:sz w:val="22"/>
          <w:lang w:val="sr-Cyrl-RS"/>
        </w:rPr>
        <w:t>У том смислу п</w:t>
      </w:r>
      <w:r w:rsidR="0096538B" w:rsidRPr="00EF2F18">
        <w:rPr>
          <w:rFonts w:cs="Times New Roman"/>
          <w:sz w:val="22"/>
          <w:lang w:val="sr-Cyrl-RS"/>
        </w:rPr>
        <w:t xml:space="preserve">отребно је припремити </w:t>
      </w:r>
      <w:r w:rsidR="00EA2AED" w:rsidRPr="00EF2F18">
        <w:rPr>
          <w:rFonts w:cs="Times New Roman"/>
          <w:sz w:val="22"/>
          <w:lang w:val="sr-Cyrl-RS"/>
        </w:rPr>
        <w:t xml:space="preserve">смернице </w:t>
      </w:r>
      <w:r w:rsidR="0096538B" w:rsidRPr="00EF2F18">
        <w:rPr>
          <w:rFonts w:cs="Times New Roman"/>
          <w:sz w:val="22"/>
          <w:lang w:val="sr-Cyrl-RS"/>
        </w:rPr>
        <w:t xml:space="preserve">за родно одговорно планирање и спровођење докумената јавних политика, планова и пројеката у области заштите животне средине, као и за израду родно одговорног буџета. </w:t>
      </w:r>
    </w:p>
    <w:p w14:paraId="214DF8B5" w14:textId="2DF38AED" w:rsidR="00292DE8" w:rsidRPr="00EF2F18" w:rsidRDefault="0096538B" w:rsidP="0096538B">
      <w:pPr>
        <w:spacing w:after="0"/>
        <w:ind w:firstLine="720"/>
        <w:jc w:val="both"/>
        <w:rPr>
          <w:rFonts w:cs="Times New Roman"/>
          <w:sz w:val="22"/>
          <w:lang w:val="sr-Cyrl-RS"/>
        </w:rPr>
      </w:pPr>
      <w:r w:rsidRPr="00EF2F18">
        <w:rPr>
          <w:rFonts w:cs="Times New Roman"/>
          <w:sz w:val="22"/>
          <w:lang w:val="sr-Cyrl-RS"/>
        </w:rPr>
        <w:lastRenderedPageBreak/>
        <w:t>Мера обух</w:t>
      </w:r>
      <w:r w:rsidR="002271EE" w:rsidRPr="00EF2F18">
        <w:rPr>
          <w:rFonts w:cs="Times New Roman"/>
          <w:sz w:val="22"/>
          <w:lang w:val="sr-Cyrl-RS"/>
        </w:rPr>
        <w:t>в</w:t>
      </w:r>
      <w:r w:rsidRPr="00EF2F18">
        <w:rPr>
          <w:rFonts w:cs="Times New Roman"/>
          <w:sz w:val="22"/>
          <w:lang w:val="sr-Cyrl-RS"/>
        </w:rPr>
        <w:t>ата и п</w:t>
      </w:r>
      <w:r w:rsidR="00292DE8" w:rsidRPr="00EF2F18">
        <w:rPr>
          <w:rFonts w:cs="Times New Roman"/>
          <w:sz w:val="22"/>
          <w:lang w:val="sr-Cyrl-RS"/>
        </w:rPr>
        <w:t>рикупљање и анализ</w:t>
      </w:r>
      <w:r w:rsidRPr="00EF2F18">
        <w:rPr>
          <w:rFonts w:cs="Times New Roman"/>
          <w:sz w:val="22"/>
          <w:lang w:val="sr-Cyrl-RS"/>
        </w:rPr>
        <w:t>у</w:t>
      </w:r>
      <w:r w:rsidR="00292DE8" w:rsidRPr="00EF2F18">
        <w:rPr>
          <w:rFonts w:cs="Times New Roman"/>
          <w:sz w:val="22"/>
          <w:lang w:val="sr-Cyrl-RS"/>
        </w:rPr>
        <w:t xml:space="preserve"> </w:t>
      </w:r>
      <w:r w:rsidR="00731038" w:rsidRPr="00EF2F18">
        <w:rPr>
          <w:rFonts w:cs="Times New Roman"/>
          <w:sz w:val="22"/>
          <w:lang w:val="sr-Cyrl-RS"/>
        </w:rPr>
        <w:t xml:space="preserve">родно осетљивих </w:t>
      </w:r>
      <w:r w:rsidR="00292DE8" w:rsidRPr="00EF2F18">
        <w:rPr>
          <w:rFonts w:cs="Times New Roman"/>
          <w:sz w:val="22"/>
          <w:lang w:val="sr-Cyrl-RS"/>
        </w:rPr>
        <w:t xml:space="preserve">података </w:t>
      </w:r>
      <w:r w:rsidR="00731038" w:rsidRPr="00EF2F18">
        <w:rPr>
          <w:rFonts w:cs="Times New Roman"/>
          <w:sz w:val="22"/>
          <w:lang w:val="sr-Cyrl-RS"/>
        </w:rPr>
        <w:t>(</w:t>
      </w:r>
      <w:r w:rsidR="00292DE8" w:rsidRPr="00EF2F18">
        <w:rPr>
          <w:rFonts w:cs="Times New Roman"/>
          <w:sz w:val="22"/>
          <w:lang w:val="sr-Cyrl-RS"/>
        </w:rPr>
        <w:t>ра</w:t>
      </w:r>
      <w:r w:rsidR="002C2344">
        <w:rPr>
          <w:rFonts w:cs="Times New Roman"/>
          <w:sz w:val="22"/>
          <w:lang w:val="sr-Cyrl-RS"/>
        </w:rPr>
        <w:t>з</w:t>
      </w:r>
      <w:r w:rsidR="00292DE8" w:rsidRPr="00EF2F18">
        <w:rPr>
          <w:rFonts w:cs="Times New Roman"/>
          <w:sz w:val="22"/>
          <w:lang w:val="sr-Cyrl-RS"/>
        </w:rPr>
        <w:t>врстаних по полу</w:t>
      </w:r>
      <w:r w:rsidR="00731038" w:rsidRPr="00EF2F18">
        <w:rPr>
          <w:rFonts w:cs="Times New Roman"/>
          <w:sz w:val="22"/>
          <w:lang w:val="sr-Cyrl-RS"/>
        </w:rPr>
        <w:t>, старосном добу и другим личним својствима)</w:t>
      </w:r>
      <w:r w:rsidR="00292DE8" w:rsidRPr="00EF2F18">
        <w:rPr>
          <w:rFonts w:cs="Times New Roman"/>
          <w:sz w:val="22"/>
          <w:lang w:val="sr-Cyrl-RS"/>
        </w:rPr>
        <w:t xml:space="preserve"> у вези са питањима животне средине и у областима која су релевантна за праћење напретка у остваривању родне равноправности и отклањања дискриминације у домену заштите животне средине.</w:t>
      </w:r>
      <w:r w:rsidR="005E42D2" w:rsidRPr="00EF2F18">
        <w:rPr>
          <w:rFonts w:cs="Times New Roman"/>
          <w:sz w:val="22"/>
          <w:lang w:val="sr-Cyrl-RS"/>
        </w:rPr>
        <w:t xml:space="preserve"> </w:t>
      </w:r>
    </w:p>
    <w:p w14:paraId="7414535F" w14:textId="53E031C7" w:rsidR="00292DE8" w:rsidRPr="00EF2F18" w:rsidRDefault="00C8533D" w:rsidP="00C8533D">
      <w:pPr>
        <w:spacing w:after="0"/>
        <w:ind w:firstLine="720"/>
        <w:jc w:val="both"/>
        <w:rPr>
          <w:rFonts w:cs="Times New Roman"/>
          <w:sz w:val="22"/>
          <w:lang w:val="sr-Cyrl-RS"/>
        </w:rPr>
      </w:pPr>
      <w:r w:rsidRPr="00EF2F18">
        <w:rPr>
          <w:rFonts w:cs="Times New Roman"/>
          <w:sz w:val="22"/>
          <w:lang w:val="sr-Cyrl-RS"/>
        </w:rPr>
        <w:t>Потребно</w:t>
      </w:r>
      <w:r w:rsidR="0096538B" w:rsidRPr="00EF2F18">
        <w:rPr>
          <w:rFonts w:cs="Times New Roman"/>
          <w:sz w:val="22"/>
          <w:lang w:val="sr-Cyrl-RS"/>
        </w:rPr>
        <w:t xml:space="preserve"> је израдити </w:t>
      </w:r>
      <w:r w:rsidR="00292DE8" w:rsidRPr="00EF2F18">
        <w:rPr>
          <w:rFonts w:cs="Times New Roman"/>
          <w:sz w:val="22"/>
          <w:lang w:val="sr-Cyrl-RS"/>
        </w:rPr>
        <w:t>програм</w:t>
      </w:r>
      <w:r w:rsidR="0096538B" w:rsidRPr="00EF2F18">
        <w:rPr>
          <w:rFonts w:cs="Times New Roman"/>
          <w:sz w:val="22"/>
          <w:lang w:val="sr-Cyrl-RS"/>
        </w:rPr>
        <w:t>е и континуирано спроводити обуке</w:t>
      </w:r>
      <w:r w:rsidR="00292DE8" w:rsidRPr="00EF2F18">
        <w:rPr>
          <w:rFonts w:cs="Times New Roman"/>
          <w:sz w:val="22"/>
          <w:lang w:val="sr-Cyrl-RS"/>
        </w:rPr>
        <w:t xml:space="preserve"> за родно одговорно планирање и спровођење планских докумената и пројеката у области заштите животне средине за представнике и представнице органа јавне управе (државних органа, органа Аутономне покрајине и јединица локалне самоуправе)</w:t>
      </w:r>
      <w:r w:rsidR="0096538B" w:rsidRPr="00EF2F18">
        <w:rPr>
          <w:rFonts w:cs="Times New Roman"/>
          <w:sz w:val="22"/>
          <w:lang w:val="sr-Cyrl-RS"/>
        </w:rPr>
        <w:t xml:space="preserve">, као и за представнике и представнице организација цивилног друштва. </w:t>
      </w:r>
      <w:r w:rsidRPr="00EF2F18">
        <w:rPr>
          <w:rFonts w:cs="Times New Roman"/>
          <w:sz w:val="22"/>
          <w:lang w:val="sr-Cyrl-RS"/>
        </w:rPr>
        <w:t>Такође</w:t>
      </w:r>
      <w:r w:rsidR="00DD0ECF">
        <w:rPr>
          <w:rFonts w:cs="Times New Roman"/>
          <w:sz w:val="22"/>
          <w:lang w:val="sr-Cyrl-RS"/>
        </w:rPr>
        <w:t>,</w:t>
      </w:r>
      <w:r w:rsidRPr="00EF2F18">
        <w:rPr>
          <w:rFonts w:cs="Times New Roman"/>
          <w:sz w:val="22"/>
          <w:lang w:val="sr-Cyrl-RS"/>
        </w:rPr>
        <w:t xml:space="preserve"> потребно </w:t>
      </w:r>
      <w:r w:rsidR="00DD0ECF">
        <w:rPr>
          <w:rFonts w:cs="Times New Roman"/>
          <w:sz w:val="22"/>
          <w:lang w:val="sr-Cyrl-RS"/>
        </w:rPr>
        <w:t xml:space="preserve">је </w:t>
      </w:r>
      <w:r w:rsidRPr="00EF2F18">
        <w:rPr>
          <w:rFonts w:cs="Times New Roman"/>
          <w:sz w:val="22"/>
          <w:lang w:val="sr-Cyrl-RS"/>
        </w:rPr>
        <w:t>к</w:t>
      </w:r>
      <w:r w:rsidR="00292DE8" w:rsidRPr="00EF2F18">
        <w:rPr>
          <w:rFonts w:cs="Times New Roman"/>
          <w:sz w:val="22"/>
          <w:lang w:val="sr-Cyrl-RS"/>
        </w:rPr>
        <w:t>онтинуирано с</w:t>
      </w:r>
      <w:r w:rsidR="002271EE" w:rsidRPr="00EF2F18">
        <w:rPr>
          <w:rFonts w:cs="Times New Roman"/>
          <w:sz w:val="22"/>
          <w:lang w:val="sr-Cyrl-RS"/>
        </w:rPr>
        <w:t>п</w:t>
      </w:r>
      <w:r w:rsidR="00292DE8" w:rsidRPr="00EF2F18">
        <w:rPr>
          <w:rFonts w:cs="Times New Roman"/>
          <w:sz w:val="22"/>
          <w:lang w:val="sr-Cyrl-RS"/>
        </w:rPr>
        <w:t xml:space="preserve">ровођење едукативних, информативних и промотивних програма и кампања за подстицање равноправног учешћа жена и мушкарца и охрабривања представника и представница </w:t>
      </w:r>
      <w:r w:rsidR="00731038" w:rsidRPr="00EF2F18">
        <w:rPr>
          <w:rFonts w:cs="Times New Roman"/>
          <w:sz w:val="22"/>
          <w:lang w:val="sr-Cyrl-RS"/>
        </w:rPr>
        <w:t xml:space="preserve">осетљивих друштвених </w:t>
      </w:r>
      <w:r w:rsidR="00292DE8" w:rsidRPr="00EF2F18">
        <w:rPr>
          <w:rFonts w:cs="Times New Roman"/>
          <w:sz w:val="22"/>
          <w:lang w:val="sr-Cyrl-RS"/>
        </w:rPr>
        <w:t>група да се активно укључе у процесе доношења одлука о питањима у</w:t>
      </w:r>
      <w:r w:rsidR="0096538B" w:rsidRPr="00EF2F18">
        <w:rPr>
          <w:rFonts w:cs="Times New Roman"/>
          <w:sz w:val="22"/>
          <w:lang w:val="sr-Cyrl-RS"/>
        </w:rPr>
        <w:t>п</w:t>
      </w:r>
      <w:r w:rsidR="00292DE8" w:rsidRPr="00EF2F18">
        <w:rPr>
          <w:rFonts w:cs="Times New Roman"/>
          <w:sz w:val="22"/>
          <w:lang w:val="sr-Cyrl-RS"/>
        </w:rPr>
        <w:t>рављања животном средином и одрживог развоја.</w:t>
      </w:r>
    </w:p>
    <w:p w14:paraId="3C22BBB2" w14:textId="50604151"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bookmarkStart w:id="132" w:name="_Hlk147906326"/>
      <w:r w:rsidR="00E024CC" w:rsidRPr="00EF2F18">
        <w:rPr>
          <w:rFonts w:cs="Times New Roman"/>
          <w:sz w:val="22"/>
          <w:lang w:val="sr-Cyrl-RS" w:eastAsia="en-GB"/>
        </w:rPr>
        <w:t>Министарство заштите животне средине</w:t>
      </w:r>
      <w:bookmarkEnd w:id="132"/>
      <w:r w:rsidR="00891D8A" w:rsidRPr="00EF2F18">
        <w:rPr>
          <w:rFonts w:cs="Times New Roman"/>
          <w:sz w:val="22"/>
          <w:lang w:val="sr-Cyrl-RS" w:eastAsia="en-GB"/>
        </w:rPr>
        <w:t>.</w:t>
      </w:r>
    </w:p>
    <w:p w14:paraId="1B876D6A" w14:textId="6E5D72C5"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bookmarkStart w:id="133" w:name="_Hlk147906315"/>
      <w:r w:rsidR="00483269" w:rsidRPr="00EF2F18">
        <w:rPr>
          <w:rFonts w:cs="Times New Roman"/>
          <w:sz w:val="22"/>
          <w:lang w:val="sr-Cyrl-RS" w:eastAsia="en-GB"/>
        </w:rPr>
        <w:t>Министарство за људска и мањинска права и друштв</w:t>
      </w:r>
      <w:r w:rsidR="00DD0ECF">
        <w:rPr>
          <w:rFonts w:cs="Times New Roman"/>
          <w:sz w:val="22"/>
          <w:lang w:val="sr-Cyrl-RS" w:eastAsia="en-GB"/>
        </w:rPr>
        <w:t>ен</w:t>
      </w:r>
      <w:r w:rsidR="00483269" w:rsidRPr="00EF2F18">
        <w:rPr>
          <w:rFonts w:cs="Times New Roman"/>
          <w:sz w:val="22"/>
          <w:lang w:val="sr-Cyrl-RS" w:eastAsia="en-GB"/>
        </w:rPr>
        <w:t>и дијалог</w:t>
      </w:r>
      <w:r w:rsidR="002271EE" w:rsidRPr="00EF2F18">
        <w:rPr>
          <w:rFonts w:cs="Times New Roman"/>
          <w:sz w:val="22"/>
          <w:lang w:val="sr-Cyrl-RS" w:eastAsia="en-GB"/>
        </w:rPr>
        <w:t xml:space="preserve">, </w:t>
      </w:r>
      <w:r w:rsidR="00731038" w:rsidRPr="00EF2F18">
        <w:rPr>
          <w:rFonts w:cs="Times New Roman"/>
          <w:sz w:val="22"/>
          <w:lang w:val="sr-Cyrl-RS" w:eastAsia="en-GB"/>
        </w:rPr>
        <w:t xml:space="preserve">Министарство за бригу о породици и демографији, </w:t>
      </w:r>
      <w:r w:rsidR="00731038" w:rsidRPr="00EF2F18">
        <w:rPr>
          <w:rFonts w:cs="Times New Roman"/>
          <w:bCs/>
          <w:sz w:val="22"/>
          <w:lang w:val="sr-Cyrl-RS"/>
        </w:rPr>
        <w:t>Министарство за рад, запошљавање, борачка и социјална питања</w:t>
      </w:r>
      <w:r w:rsidR="00DD0ECF">
        <w:rPr>
          <w:rFonts w:cs="Times New Roman"/>
          <w:sz w:val="22"/>
          <w:lang w:val="sr-Cyrl-RS" w:eastAsia="en-GB"/>
        </w:rPr>
        <w:t>, Повереник за заштиту рав</w:t>
      </w:r>
      <w:r w:rsidR="00731038" w:rsidRPr="00EF2F18">
        <w:rPr>
          <w:rFonts w:cs="Times New Roman"/>
          <w:sz w:val="22"/>
          <w:lang w:val="sr-Cyrl-RS" w:eastAsia="en-GB"/>
        </w:rPr>
        <w:t xml:space="preserve">ноправности, </w:t>
      </w:r>
      <w:r w:rsidR="008B2A85" w:rsidRPr="00EF2F18">
        <w:rPr>
          <w:rFonts w:cs="Times New Roman"/>
          <w:sz w:val="22"/>
          <w:lang w:val="sr-Cyrl-RS" w:eastAsia="en-GB"/>
        </w:rPr>
        <w:t>организације цивилног друштва</w:t>
      </w:r>
      <w:r w:rsidR="00891D8A" w:rsidRPr="00EF2F18">
        <w:rPr>
          <w:rFonts w:cs="Times New Roman"/>
          <w:sz w:val="22"/>
          <w:lang w:val="sr-Cyrl-RS" w:eastAsia="en-GB"/>
        </w:rPr>
        <w:t>.</w:t>
      </w:r>
    </w:p>
    <w:bookmarkEnd w:id="133"/>
    <w:p w14:paraId="357D3581" w14:textId="60BB1B78"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891D8A" w:rsidRPr="00EF2F18">
        <w:rPr>
          <w:rFonts w:cs="Times New Roman"/>
          <w:sz w:val="22"/>
          <w:lang w:val="sr-Cyrl-RS" w:eastAsia="en-GB"/>
        </w:rPr>
        <w:t>информативно-</w:t>
      </w:r>
      <w:r w:rsidR="00C8533D" w:rsidRPr="00EF2F18">
        <w:rPr>
          <w:rFonts w:cs="Times New Roman"/>
          <w:sz w:val="22"/>
          <w:lang w:val="sr-Cyrl-RS" w:eastAsia="en-GB"/>
        </w:rPr>
        <w:t>едукативна</w:t>
      </w:r>
      <w:r w:rsidR="006C2E00" w:rsidRPr="00EF2F18">
        <w:rPr>
          <w:rFonts w:cs="Times New Roman"/>
          <w:sz w:val="22"/>
          <w:lang w:val="sr-Cyrl-RS" w:eastAsia="en-GB"/>
        </w:rPr>
        <w:t>.</w:t>
      </w:r>
      <w:r w:rsidRPr="00EF2F18">
        <w:rPr>
          <w:rFonts w:cs="Times New Roman"/>
          <w:sz w:val="22"/>
          <w:lang w:val="sr-Cyrl-RS" w:eastAsia="en-GB"/>
        </w:rPr>
        <w:t xml:space="preserve"> </w:t>
      </w:r>
    </w:p>
    <w:p w14:paraId="1F7A5FF8" w14:textId="77777777" w:rsidR="005D5264" w:rsidRPr="00EF2F18" w:rsidRDefault="005D5264" w:rsidP="00425FCC">
      <w:pPr>
        <w:spacing w:after="0"/>
        <w:ind w:firstLine="720"/>
        <w:rPr>
          <w:rFonts w:cs="Times New Roman"/>
          <w:sz w:val="22"/>
          <w:lang w:val="sr-Cyrl-RS"/>
        </w:rPr>
      </w:pPr>
    </w:p>
    <w:p w14:paraId="34C07939" w14:textId="7964FE10" w:rsidR="005D5264" w:rsidRPr="00EF2F18" w:rsidRDefault="005D5264"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6.1.8. </w:t>
      </w:r>
      <w:r w:rsidR="0015021D" w:rsidRPr="00EF2F18">
        <w:rPr>
          <w:rFonts w:cs="Times New Roman"/>
          <w:b/>
          <w:bCs/>
          <w:sz w:val="22"/>
          <w:lang w:val="sr-Cyrl-RS" w:eastAsia="en-GB"/>
        </w:rPr>
        <w:t>Усклађивање са хоризонталним законодавством ЕУ</w:t>
      </w:r>
      <w:r w:rsidRPr="00EF2F18">
        <w:rPr>
          <w:rFonts w:cs="Times New Roman"/>
          <w:sz w:val="22"/>
          <w:lang w:val="sr-Cyrl-RS" w:eastAsia="en-GB"/>
        </w:rPr>
        <w:t xml:space="preserve"> </w:t>
      </w:r>
    </w:p>
    <w:p w14:paraId="78C0902D" w14:textId="77777777" w:rsidR="00D83673" w:rsidRPr="00EF2F18" w:rsidRDefault="00D83673" w:rsidP="005F609D">
      <w:pPr>
        <w:spacing w:after="0"/>
        <w:ind w:firstLine="720"/>
        <w:jc w:val="both"/>
        <w:rPr>
          <w:rFonts w:cs="Times New Roman"/>
          <w:sz w:val="22"/>
          <w:lang w:val="sr-Cyrl-RS"/>
        </w:rPr>
      </w:pPr>
    </w:p>
    <w:p w14:paraId="2E162057" w14:textId="0EBC6BD6" w:rsidR="005F609D" w:rsidRPr="00EF2F18" w:rsidRDefault="005F609D" w:rsidP="005F609D">
      <w:pPr>
        <w:spacing w:after="0"/>
        <w:ind w:firstLine="720"/>
        <w:jc w:val="both"/>
        <w:rPr>
          <w:rFonts w:cs="Times New Roman"/>
          <w:sz w:val="22"/>
          <w:lang w:val="sr-Cyrl-RS"/>
        </w:rPr>
      </w:pPr>
      <w:r w:rsidRPr="00EF2F18">
        <w:rPr>
          <w:rFonts w:cs="Times New Roman"/>
          <w:sz w:val="22"/>
          <w:lang w:val="sr-Cyrl-RS"/>
        </w:rPr>
        <w:t>Ова мера има за циљ усклађивање и додатно прилагођавање законода</w:t>
      </w:r>
      <w:r w:rsidR="0096793E">
        <w:rPr>
          <w:rFonts w:cs="Times New Roman"/>
          <w:sz w:val="22"/>
          <w:lang w:val="sr-Cyrl-RS"/>
        </w:rPr>
        <w:t>вства Републике Србије са хориз</w:t>
      </w:r>
      <w:r w:rsidRPr="00EF2F18">
        <w:rPr>
          <w:rFonts w:cs="Times New Roman"/>
          <w:sz w:val="22"/>
          <w:lang w:val="sr-Cyrl-RS"/>
        </w:rPr>
        <w:t xml:space="preserve">онталним законодавством ЕУ. </w:t>
      </w:r>
    </w:p>
    <w:p w14:paraId="0CCE26D4" w14:textId="6D52376A" w:rsidR="0066038F" w:rsidRPr="00EF2F18" w:rsidRDefault="005F609D" w:rsidP="0066038F">
      <w:pPr>
        <w:spacing w:after="0"/>
        <w:ind w:firstLine="720"/>
        <w:jc w:val="both"/>
        <w:rPr>
          <w:rFonts w:cs="Times New Roman"/>
          <w:sz w:val="22"/>
          <w:lang w:val="sr-Cyrl-RS"/>
        </w:rPr>
      </w:pPr>
      <w:r w:rsidRPr="00EF2F18">
        <w:rPr>
          <w:rFonts w:cs="Times New Roman"/>
          <w:sz w:val="22"/>
          <w:lang w:val="sr-Cyrl-RS"/>
        </w:rPr>
        <w:t xml:space="preserve">Кључне активности односе се на усклађивање законодавства и кривичног права у области заштите животне средине (измене Кривичног законика) и спровођење Директиве ЕУ </w:t>
      </w:r>
      <w:r w:rsidR="000E1E7D" w:rsidRPr="00EF2F18">
        <w:rPr>
          <w:rFonts w:cs="Times New Roman"/>
          <w:sz w:val="22"/>
          <w:lang w:val="sr-Cyrl-RS"/>
        </w:rPr>
        <w:t>20</w:t>
      </w:r>
      <w:r w:rsidR="00BC5C85" w:rsidRPr="00EF2F18">
        <w:rPr>
          <w:rFonts w:cs="Times New Roman"/>
          <w:sz w:val="22"/>
          <w:lang w:val="sr-Cyrl-RS"/>
        </w:rPr>
        <w:t>24</w:t>
      </w:r>
      <w:r w:rsidR="000E1E7D" w:rsidRPr="00EF2F18">
        <w:rPr>
          <w:rFonts w:cs="Times New Roman"/>
          <w:sz w:val="22"/>
          <w:lang w:val="sr-Cyrl-RS"/>
        </w:rPr>
        <w:t>/</w:t>
      </w:r>
      <w:r w:rsidR="00BC5C85" w:rsidRPr="00EF2F18">
        <w:rPr>
          <w:rFonts w:cs="Times New Roman"/>
          <w:sz w:val="22"/>
          <w:lang w:val="sr-Cyrl-RS"/>
        </w:rPr>
        <w:t>1203</w:t>
      </w:r>
      <w:r w:rsidR="000E1E7D" w:rsidRPr="00EF2F18">
        <w:rPr>
          <w:rFonts w:cs="Times New Roman"/>
          <w:sz w:val="22"/>
          <w:lang w:val="sr-Cyrl-RS"/>
        </w:rPr>
        <w:t xml:space="preserve">/EЗ </w:t>
      </w:r>
      <w:r w:rsidRPr="00EF2F18">
        <w:rPr>
          <w:rFonts w:cs="Times New Roman"/>
          <w:sz w:val="22"/>
          <w:lang w:val="sr-Cyrl-RS"/>
        </w:rPr>
        <w:t xml:space="preserve">о </w:t>
      </w:r>
      <w:r w:rsidR="00BC5C85" w:rsidRPr="00EF2F18">
        <w:rPr>
          <w:rFonts w:cs="Times New Roman"/>
          <w:sz w:val="22"/>
          <w:lang w:val="sr-Cyrl-RS"/>
        </w:rPr>
        <w:t>заштити животне средине путем кривичног права</w:t>
      </w:r>
      <w:r w:rsidR="000E1E7D" w:rsidRPr="00EF2F18">
        <w:rPr>
          <w:rFonts w:cs="Times New Roman"/>
          <w:sz w:val="22"/>
          <w:lang w:val="sr-Cyrl-RS"/>
        </w:rPr>
        <w:t xml:space="preserve">, као </w:t>
      </w:r>
      <w:r w:rsidRPr="00EF2F18">
        <w:rPr>
          <w:rFonts w:cs="Times New Roman"/>
          <w:sz w:val="22"/>
          <w:lang w:val="sr-Cyrl-RS"/>
        </w:rPr>
        <w:t>и усклађивање са захтевима Директиве</w:t>
      </w:r>
      <w:r w:rsidR="000E1E7D" w:rsidRPr="00EF2F18">
        <w:rPr>
          <w:rFonts w:cs="Times New Roman"/>
          <w:sz w:val="22"/>
          <w:lang w:val="sr-Cyrl-RS"/>
        </w:rPr>
        <w:t xml:space="preserve"> ЕУ 2004/35/ЕC</w:t>
      </w:r>
      <w:r w:rsidRPr="00EF2F18">
        <w:rPr>
          <w:rFonts w:cs="Times New Roman"/>
          <w:sz w:val="22"/>
          <w:lang w:val="sr-Cyrl-RS"/>
        </w:rPr>
        <w:t xml:space="preserve"> о одговорности за штету према животној средини кроз израду и усвајање Закона о одговорности за штету према животној средини и одговарајућих подзаконских аката.</w:t>
      </w:r>
      <w:r w:rsidR="0066038F" w:rsidRPr="00EF2F18">
        <w:rPr>
          <w:rFonts w:cs="Times New Roman"/>
          <w:sz w:val="22"/>
          <w:lang w:val="sr-Cyrl-RS"/>
        </w:rPr>
        <w:t xml:space="preserve"> </w:t>
      </w:r>
    </w:p>
    <w:p w14:paraId="1A2DEC38" w14:textId="3E0FF147" w:rsidR="00C26B42" w:rsidRPr="00EF2F18" w:rsidRDefault="00C26B42" w:rsidP="00C26B42">
      <w:pPr>
        <w:spacing w:after="0"/>
        <w:ind w:firstLine="720"/>
        <w:jc w:val="both"/>
        <w:rPr>
          <w:rFonts w:cs="Times New Roman"/>
          <w:sz w:val="22"/>
          <w:lang w:val="sr-Cyrl-RS"/>
        </w:rPr>
      </w:pPr>
      <w:r w:rsidRPr="00EF2F18">
        <w:rPr>
          <w:rFonts w:cs="Times New Roman"/>
          <w:sz w:val="22"/>
          <w:lang w:val="sr-Cyrl-RS"/>
        </w:rPr>
        <w:t>У циљу веће интеграције климатских промена у секторске политике, али и поступ</w:t>
      </w:r>
      <w:r w:rsidR="004A70C2" w:rsidRPr="00EF2F18">
        <w:rPr>
          <w:rFonts w:cs="Times New Roman"/>
          <w:sz w:val="22"/>
          <w:lang w:val="sr-Cyrl-RS"/>
        </w:rPr>
        <w:t>ке</w:t>
      </w:r>
      <w:r w:rsidR="005C17D5">
        <w:rPr>
          <w:rFonts w:cs="Times New Roman"/>
          <w:sz w:val="22"/>
          <w:lang w:val="sr-Cyrl-RS"/>
        </w:rPr>
        <w:t xml:space="preserve"> јавног</w:t>
      </w:r>
      <w:r w:rsidRPr="00EF2F18">
        <w:rPr>
          <w:rFonts w:cs="Times New Roman"/>
          <w:sz w:val="22"/>
          <w:lang w:val="sr-Cyrl-RS"/>
        </w:rPr>
        <w:t xml:space="preserve"> увида, презентациј</w:t>
      </w:r>
      <w:r w:rsidR="004A70C2" w:rsidRPr="00EF2F18">
        <w:rPr>
          <w:rFonts w:cs="Times New Roman"/>
          <w:sz w:val="22"/>
          <w:lang w:val="sr-Cyrl-RS"/>
        </w:rPr>
        <w:t>е</w:t>
      </w:r>
      <w:r w:rsidRPr="00EF2F18">
        <w:rPr>
          <w:rFonts w:cs="Times New Roman"/>
          <w:sz w:val="22"/>
          <w:lang w:val="sr-Cyrl-RS"/>
        </w:rPr>
        <w:t xml:space="preserve"> и јавн</w:t>
      </w:r>
      <w:r w:rsidR="004A70C2" w:rsidRPr="00EF2F18">
        <w:rPr>
          <w:rFonts w:cs="Times New Roman"/>
          <w:sz w:val="22"/>
          <w:lang w:val="sr-Cyrl-RS"/>
        </w:rPr>
        <w:t>е</w:t>
      </w:r>
      <w:r w:rsidRPr="00EF2F18">
        <w:rPr>
          <w:rFonts w:cs="Times New Roman"/>
          <w:sz w:val="22"/>
          <w:lang w:val="sr-Cyrl-RS"/>
        </w:rPr>
        <w:t xml:space="preserve"> расправ</w:t>
      </w:r>
      <w:r w:rsidR="004A70C2" w:rsidRPr="00EF2F18">
        <w:rPr>
          <w:rFonts w:cs="Times New Roman"/>
          <w:sz w:val="22"/>
          <w:lang w:val="sr-Cyrl-RS"/>
        </w:rPr>
        <w:t>е</w:t>
      </w:r>
      <w:r w:rsidRPr="00EF2F18">
        <w:rPr>
          <w:rFonts w:cs="Times New Roman"/>
          <w:sz w:val="22"/>
          <w:lang w:val="sr-Cyrl-RS"/>
        </w:rPr>
        <w:t>,</w:t>
      </w:r>
      <w:r w:rsidR="006C2E00" w:rsidRPr="00EF2F18">
        <w:rPr>
          <w:rFonts w:cs="Times New Roman"/>
          <w:sz w:val="22"/>
          <w:lang w:val="sr-Cyrl-RS"/>
        </w:rPr>
        <w:t xml:space="preserve"> </w:t>
      </w:r>
      <w:r w:rsidR="008E4D1B" w:rsidRPr="00EF2F18">
        <w:rPr>
          <w:rFonts w:cs="Times New Roman"/>
          <w:sz w:val="22"/>
          <w:lang w:val="sr-Cyrl-RS"/>
        </w:rPr>
        <w:t>усвојени су</w:t>
      </w:r>
      <w:r w:rsidRPr="00EF2F18">
        <w:rPr>
          <w:rFonts w:cs="Times New Roman"/>
          <w:sz w:val="22"/>
          <w:lang w:val="sr-Cyrl-RS"/>
        </w:rPr>
        <w:t xml:space="preserve"> </w:t>
      </w:r>
      <w:r w:rsidR="004A70C2" w:rsidRPr="00EF2F18">
        <w:rPr>
          <w:rFonts w:cs="Times New Roman"/>
          <w:sz w:val="22"/>
          <w:lang w:val="sr-Cyrl-RS"/>
        </w:rPr>
        <w:t xml:space="preserve">нови </w:t>
      </w:r>
      <w:r w:rsidRPr="00EF2F18">
        <w:rPr>
          <w:rFonts w:cs="Times New Roman"/>
          <w:sz w:val="22"/>
          <w:lang w:val="sr-Cyrl-RS"/>
        </w:rPr>
        <w:t>Закон о стратешкој процени утицаја на животну средину и Закон о процени утицаја на животну средину</w:t>
      </w:r>
      <w:r w:rsidR="008E4D1B" w:rsidRPr="00EF2F18">
        <w:rPr>
          <w:rFonts w:cs="Times New Roman"/>
          <w:sz w:val="22"/>
          <w:lang w:val="sr-Cyrl-RS"/>
        </w:rPr>
        <w:t>, потребно је донети</w:t>
      </w:r>
      <w:r w:rsidRPr="00EF2F18">
        <w:rPr>
          <w:rFonts w:cs="Times New Roman"/>
          <w:sz w:val="22"/>
          <w:lang w:val="sr-Cyrl-RS"/>
        </w:rPr>
        <w:t xml:space="preserve">, одговарајућа подзаконска акта. </w:t>
      </w:r>
      <w:r w:rsidR="00CF17F5" w:rsidRPr="00EF2F18">
        <w:rPr>
          <w:rFonts w:cs="Times New Roman"/>
          <w:sz w:val="22"/>
          <w:lang w:val="sr-Cyrl-RS"/>
        </w:rPr>
        <w:t xml:space="preserve">Сви релевантни прописи морају бити усаглашени са чланом 6. </w:t>
      </w:r>
      <w:r w:rsidR="00CF17F5" w:rsidRPr="00EF2F18">
        <w:rPr>
          <w:rFonts w:cs="Times New Roman"/>
          <w:sz w:val="22"/>
          <w:lang w:val="sr-Cyrl-RS" w:eastAsia="cs-CZ"/>
        </w:rPr>
        <w:t>Директиве ЕУ о стаништима.</w:t>
      </w:r>
    </w:p>
    <w:p w14:paraId="6A3E0CE5" w14:textId="4D693A26" w:rsidR="00C26B42" w:rsidRPr="00EF2F18" w:rsidRDefault="000F73A9" w:rsidP="00C26B42">
      <w:pPr>
        <w:spacing w:after="0"/>
        <w:ind w:firstLine="720"/>
        <w:jc w:val="both"/>
        <w:rPr>
          <w:rFonts w:cs="Times New Roman"/>
          <w:sz w:val="22"/>
          <w:lang w:val="sr-Cyrl-RS"/>
        </w:rPr>
      </w:pPr>
      <w:r w:rsidRPr="00EF2F18">
        <w:rPr>
          <w:rFonts w:cs="Times New Roman"/>
          <w:sz w:val="22"/>
          <w:lang w:val="sr-Cyrl-RS"/>
        </w:rPr>
        <w:t xml:space="preserve">Већина одредби INSPIRE Директиве 2007/2/ЕC транспонована је у Закон о НИГП-у 2018. године, који утврђује успостављање и одржавање Националне инфраструктуре (гео)просторних података, укључујући подзаконске акте и смернице. </w:t>
      </w:r>
      <w:r w:rsidRPr="00EF2F18">
        <w:rPr>
          <w:rFonts w:cs="Times New Roman"/>
          <w:color w:val="000000" w:themeColor="text1"/>
          <w:sz w:val="22"/>
          <w:lang w:val="sr-Cyrl-RS"/>
        </w:rPr>
        <w:t xml:space="preserve">Осим званичног геопортала НИГП-а којим управља </w:t>
      </w:r>
      <w:r w:rsidRPr="00EF2F18">
        <w:rPr>
          <w:rFonts w:cs="Times New Roman"/>
          <w:sz w:val="22"/>
          <w:lang w:val="sr-Cyrl-RS" w:eastAsia="en-GB"/>
        </w:rPr>
        <w:t>Републички геодетски завод</w:t>
      </w:r>
      <w:r w:rsidRPr="00EF2F18">
        <w:rPr>
          <w:rFonts w:cs="Times New Roman"/>
          <w:color w:val="000000" w:themeColor="text1"/>
          <w:sz w:val="22"/>
          <w:lang w:val="sr-Cyrl-RS"/>
        </w:rPr>
        <w:t xml:space="preserve">, и геопортала АП Војводине којим управља Покрајински секретаријат за урбанизам и заштиту животне средине, многобројни субјекти INSPIRE основали су и управљају сопственим геопорталима како би омогућили визуализацију и приступ својим скуповима података. </w:t>
      </w:r>
      <w:r w:rsidRPr="00EF2F18">
        <w:rPr>
          <w:rFonts w:cs="Times New Roman"/>
          <w:sz w:val="22"/>
          <w:lang w:val="sr-Cyrl-RS"/>
        </w:rPr>
        <w:t>Мера обухвата спровођење захтева INSPIRE Директиве кључних за неометани увид и размену података која подразумева надоградњу и функционално унапређење националног геопортала НИГП-а (</w:t>
      </w:r>
      <w:r w:rsidRPr="00EF2F18">
        <w:rPr>
          <w:rFonts w:cs="Times New Roman"/>
          <w:sz w:val="22"/>
          <w:lang w:val="sr-Cyrl-RS" w:eastAsia="cs-CZ"/>
        </w:rPr>
        <w:t>Гео</w:t>
      </w:r>
      <w:r w:rsidR="005C17D5" w:rsidRPr="00EF2F18">
        <w:rPr>
          <w:rFonts w:cs="Times New Roman"/>
          <w:sz w:val="22"/>
          <w:lang w:val="sr-Cyrl-RS" w:eastAsia="cs-CZ"/>
        </w:rPr>
        <w:t xml:space="preserve">Србија </w:t>
      </w:r>
      <w:r w:rsidRPr="00EF2F18">
        <w:rPr>
          <w:rFonts w:cs="Times New Roman"/>
          <w:sz w:val="22"/>
          <w:lang w:val="sr-Cyrl-RS" w:eastAsia="cs-CZ"/>
        </w:rPr>
        <w:t>2.0)</w:t>
      </w:r>
      <w:r w:rsidRPr="00EF2F18">
        <w:rPr>
          <w:rFonts w:cs="Times New Roman"/>
          <w:sz w:val="22"/>
          <w:lang w:val="sr-Cyrl-RS"/>
        </w:rPr>
        <w:t>, унапређење дистрибутивног система просторних и непросторних података и сервиса, функционалну и оперативну координацију субјеката за имплементацију и извештавање о спровођењу INSPIRE директиве, односно активности НИГП-а, као и едукацију и пружање подршке субјектима за имплементацију INSPIRE директиве у своје делокруге рада у складу са активностима и правилима</w:t>
      </w:r>
      <w:r w:rsidR="00FA7222" w:rsidRPr="00EF2F18">
        <w:rPr>
          <w:rFonts w:cs="Times New Roman"/>
          <w:sz w:val="22"/>
          <w:lang w:val="sr-Cyrl-RS"/>
        </w:rPr>
        <w:t xml:space="preserve"> </w:t>
      </w:r>
      <w:r w:rsidRPr="00EF2F18">
        <w:rPr>
          <w:rFonts w:cs="Times New Roman"/>
          <w:sz w:val="22"/>
          <w:lang w:val="sr-Cyrl-RS"/>
        </w:rPr>
        <w:t>НИГП-а</w:t>
      </w:r>
      <w:r w:rsidR="00C26B42" w:rsidRPr="00EF2F18">
        <w:rPr>
          <w:rFonts w:cs="Times New Roman"/>
          <w:sz w:val="22"/>
          <w:lang w:val="sr-Cyrl-RS" w:eastAsia="cs-CZ"/>
        </w:rPr>
        <w:t>.</w:t>
      </w:r>
    </w:p>
    <w:p w14:paraId="3229F8BB" w14:textId="4B199924" w:rsidR="00C26B42" w:rsidRPr="00EF2F18" w:rsidRDefault="00C26B42" w:rsidP="00C26B42">
      <w:pPr>
        <w:spacing w:after="0"/>
        <w:ind w:firstLine="720"/>
        <w:jc w:val="both"/>
        <w:rPr>
          <w:rFonts w:cs="Times New Roman"/>
          <w:sz w:val="22"/>
          <w:lang w:val="sr-Cyrl-RS"/>
        </w:rPr>
      </w:pPr>
      <w:r w:rsidRPr="00EF2F18">
        <w:rPr>
          <w:rFonts w:cs="Times New Roman"/>
          <w:sz w:val="22"/>
          <w:lang w:val="sr-Cyrl-RS"/>
        </w:rPr>
        <w:t>У складу са могућим изменама регулативе ЕУ, биће вршено даље усклађивање прописа Републике Србије.</w:t>
      </w:r>
    </w:p>
    <w:p w14:paraId="69818EE5" w14:textId="126C5718" w:rsidR="00C26B42" w:rsidRPr="00EF2F18" w:rsidRDefault="00C26B42" w:rsidP="00C26B42">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3540B3"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2A53E200" w14:textId="79BCB725" w:rsidR="00C26B42" w:rsidRPr="00EF2F18" w:rsidRDefault="00C26B42" w:rsidP="00C26B42">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0C0104" w:rsidRPr="00EF2F18">
        <w:rPr>
          <w:rFonts w:cs="Times New Roman"/>
          <w:sz w:val="22"/>
          <w:lang w:val="sr-Cyrl-RS" w:eastAsia="en-GB"/>
        </w:rPr>
        <w:t xml:space="preserve">Министарство правде, </w:t>
      </w:r>
      <w:r w:rsidR="00855B9F" w:rsidRPr="00EF2F18">
        <w:rPr>
          <w:rFonts w:cs="Times New Roman"/>
          <w:sz w:val="22"/>
          <w:lang w:val="sr-Cyrl-RS" w:eastAsia="en-GB"/>
        </w:rPr>
        <w:t xml:space="preserve">Министарство за европске интеграције, </w:t>
      </w:r>
      <w:r w:rsidR="003540B3" w:rsidRPr="00EF2F18">
        <w:rPr>
          <w:rFonts w:cs="Times New Roman"/>
          <w:sz w:val="22"/>
          <w:lang w:val="sr-Cyrl-RS" w:eastAsia="en-GB"/>
        </w:rPr>
        <w:t xml:space="preserve">Републички геодетски завод, </w:t>
      </w:r>
      <w:r w:rsidRPr="00EF2F18">
        <w:rPr>
          <w:rFonts w:cs="Times New Roman"/>
          <w:sz w:val="22"/>
          <w:lang w:val="sr-Cyrl-RS" w:eastAsia="en-GB"/>
        </w:rPr>
        <w:t>одговорни субјекти НИГП-а</w:t>
      </w:r>
      <w:r w:rsidR="000C0104" w:rsidRPr="00EF2F18">
        <w:rPr>
          <w:rFonts w:cs="Times New Roman"/>
          <w:sz w:val="22"/>
          <w:lang w:val="sr-Cyrl-RS" w:eastAsia="en-GB"/>
        </w:rPr>
        <w:t>,</w:t>
      </w:r>
      <w:r w:rsidRPr="00EF2F18">
        <w:rPr>
          <w:rFonts w:cs="Times New Roman"/>
          <w:sz w:val="22"/>
          <w:lang w:val="sr-Cyrl-RS" w:eastAsia="en-GB"/>
        </w:rPr>
        <w:t xml:space="preserve"> организације цивилног друштва</w:t>
      </w:r>
      <w:r w:rsidR="00891D8A" w:rsidRPr="00EF2F18">
        <w:rPr>
          <w:rFonts w:cs="Times New Roman"/>
          <w:sz w:val="22"/>
          <w:lang w:val="sr-Cyrl-RS" w:eastAsia="en-GB"/>
        </w:rPr>
        <w:t>.</w:t>
      </w:r>
    </w:p>
    <w:p w14:paraId="6F11E8AC" w14:textId="081905B4" w:rsidR="00C26B42" w:rsidRPr="00EF2F18" w:rsidRDefault="00C26B42" w:rsidP="00C26B42">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6C2E00" w:rsidRPr="00EF2F18">
        <w:rPr>
          <w:rFonts w:cs="Times New Roman"/>
          <w:sz w:val="22"/>
          <w:lang w:val="sr-Cyrl-RS" w:eastAsia="en-GB"/>
        </w:rPr>
        <w:t>.</w:t>
      </w:r>
    </w:p>
    <w:p w14:paraId="1D18040D" w14:textId="77777777" w:rsidR="00C26B42" w:rsidRPr="00EF2F18" w:rsidRDefault="00C26B42" w:rsidP="00C26B42">
      <w:pPr>
        <w:spacing w:after="0"/>
        <w:ind w:firstLine="720"/>
        <w:rPr>
          <w:rFonts w:cs="Times New Roman"/>
          <w:b/>
          <w:bCs/>
          <w:sz w:val="22"/>
          <w:lang w:val="sr-Cyrl-RS"/>
        </w:rPr>
      </w:pPr>
    </w:p>
    <w:p w14:paraId="78274FB5" w14:textId="72493775" w:rsidR="00C91FE0" w:rsidRPr="00EF2F18" w:rsidRDefault="0038791D" w:rsidP="003744A8">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lastRenderedPageBreak/>
        <w:t xml:space="preserve">Посебан циљ 6.2: </w:t>
      </w:r>
      <w:r w:rsidR="00C91FE0" w:rsidRPr="00EF2F18">
        <w:rPr>
          <w:rFonts w:cs="Times New Roman"/>
          <w:b/>
          <w:bCs/>
          <w:color w:val="2E74B5" w:themeColor="accent1" w:themeShade="BF"/>
          <w:sz w:val="22"/>
          <w:lang w:val="sr-Cyrl-RS"/>
        </w:rPr>
        <w:t>Обезбеђивање заштите права на здраву и очувану животну средину, приступ</w:t>
      </w:r>
      <w:r w:rsidR="0019534E" w:rsidRPr="00EF2F18">
        <w:rPr>
          <w:rFonts w:cs="Times New Roman"/>
          <w:b/>
          <w:bCs/>
          <w:color w:val="2E74B5" w:themeColor="accent1" w:themeShade="BF"/>
          <w:sz w:val="22"/>
          <w:lang w:val="sr-Cyrl-RS"/>
        </w:rPr>
        <w:t>a</w:t>
      </w:r>
      <w:r w:rsidR="00C91FE0" w:rsidRPr="00EF2F18">
        <w:rPr>
          <w:rFonts w:cs="Times New Roman"/>
          <w:b/>
          <w:bCs/>
          <w:color w:val="2E74B5" w:themeColor="accent1" w:themeShade="BF"/>
          <w:sz w:val="22"/>
          <w:lang w:val="sr-Cyrl-RS"/>
        </w:rPr>
        <w:t xml:space="preserve"> информацијама, учешћа јавности у доношењу одлука и </w:t>
      </w:r>
      <w:r w:rsidR="0019534E" w:rsidRPr="00EF2F18">
        <w:rPr>
          <w:rFonts w:cs="Times New Roman"/>
          <w:b/>
          <w:bCs/>
          <w:color w:val="2E74B5" w:themeColor="accent1" w:themeShade="BF"/>
          <w:sz w:val="22"/>
          <w:lang w:val="sr-Cyrl-RS"/>
        </w:rPr>
        <w:t xml:space="preserve">правнe заштитe </w:t>
      </w:r>
      <w:r w:rsidR="00731038" w:rsidRPr="00EF2F18">
        <w:rPr>
          <w:rFonts w:cs="Times New Roman"/>
          <w:b/>
          <w:bCs/>
          <w:color w:val="2E74B5" w:themeColor="accent1" w:themeShade="BF"/>
          <w:sz w:val="22"/>
          <w:lang w:val="sr-Cyrl-RS"/>
        </w:rPr>
        <w:t xml:space="preserve">у </w:t>
      </w:r>
      <w:r w:rsidR="00C91FE0" w:rsidRPr="00EF2F18">
        <w:rPr>
          <w:rFonts w:cs="Times New Roman"/>
          <w:b/>
          <w:bCs/>
          <w:color w:val="2E74B5" w:themeColor="accent1" w:themeShade="BF"/>
          <w:sz w:val="22"/>
          <w:lang w:val="sr-Cyrl-RS"/>
        </w:rPr>
        <w:t>питањима у вези са животн</w:t>
      </w:r>
      <w:r w:rsidR="004B709F" w:rsidRPr="00EF2F18">
        <w:rPr>
          <w:rFonts w:cs="Times New Roman"/>
          <w:b/>
          <w:bCs/>
          <w:color w:val="2E74B5" w:themeColor="accent1" w:themeShade="BF"/>
          <w:sz w:val="22"/>
          <w:lang w:val="sr-Cyrl-RS"/>
        </w:rPr>
        <w:t>ом</w:t>
      </w:r>
      <w:r w:rsidR="00C91FE0" w:rsidRPr="00EF2F18">
        <w:rPr>
          <w:rFonts w:cs="Times New Roman"/>
          <w:b/>
          <w:bCs/>
          <w:color w:val="2E74B5" w:themeColor="accent1" w:themeShade="BF"/>
          <w:sz w:val="22"/>
          <w:lang w:val="sr-Cyrl-RS"/>
        </w:rPr>
        <w:t xml:space="preserve"> средин</w:t>
      </w:r>
      <w:r w:rsidR="004B709F" w:rsidRPr="00EF2F18">
        <w:rPr>
          <w:rFonts w:cs="Times New Roman"/>
          <w:b/>
          <w:bCs/>
          <w:color w:val="2E74B5" w:themeColor="accent1" w:themeShade="BF"/>
          <w:sz w:val="22"/>
          <w:lang w:val="sr-Cyrl-RS"/>
        </w:rPr>
        <w:t>ом</w:t>
      </w:r>
    </w:p>
    <w:p w14:paraId="5C48165D" w14:textId="77777777" w:rsidR="00957690" w:rsidRPr="00EF2F18" w:rsidRDefault="00957690" w:rsidP="003744A8">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p>
    <w:p w14:paraId="0F3F46BA" w14:textId="6B73DBD5" w:rsidR="0038791D" w:rsidRPr="00EF2F18" w:rsidRDefault="0038791D" w:rsidP="00425FCC">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одредбама из </w:t>
      </w:r>
      <w:r w:rsidR="00A664BC" w:rsidRPr="00EF2F18">
        <w:rPr>
          <w:rFonts w:cs="Times New Roman"/>
          <w:sz w:val="22"/>
          <w:lang w:val="sr-Cyrl-RS"/>
        </w:rPr>
        <w:t>Д</w:t>
      </w:r>
      <w:r w:rsidRPr="00EF2F18">
        <w:rPr>
          <w:rFonts w:cs="Times New Roman"/>
          <w:sz w:val="22"/>
          <w:lang w:val="sr-Cyrl-RS"/>
        </w:rPr>
        <w:t xml:space="preserve">ирективе </w:t>
      </w:r>
      <w:r w:rsidR="00A664BC" w:rsidRPr="00EF2F18">
        <w:rPr>
          <w:rFonts w:cs="Times New Roman"/>
          <w:sz w:val="22"/>
          <w:lang w:val="sr-Cyrl-RS"/>
        </w:rPr>
        <w:t xml:space="preserve">(ЕУ) 1367/2006 </w:t>
      </w:r>
      <w:r w:rsidRPr="00EF2F18">
        <w:rPr>
          <w:rFonts w:cs="Times New Roman"/>
          <w:sz w:val="22"/>
          <w:lang w:val="sr-Cyrl-RS"/>
        </w:rPr>
        <w:t xml:space="preserve">о </w:t>
      </w:r>
      <w:r w:rsidR="00634EEE" w:rsidRPr="00EF2F18">
        <w:rPr>
          <w:rFonts w:cs="Times New Roman"/>
          <w:color w:val="000000"/>
          <w:sz w:val="22"/>
          <w:shd w:val="clear" w:color="auto" w:fill="FFFFFF"/>
          <w:lang w:val="sr-Cyrl-RS"/>
        </w:rPr>
        <w:t>примени одредаба Архуске конвенције о доступности информација, учешћу јавности у доношењу одлука и праву на правну заштиту у питањима животне средине</w:t>
      </w:r>
      <w:r w:rsidR="0052223F" w:rsidRPr="00EF2F18">
        <w:rPr>
          <w:rFonts w:cs="Times New Roman"/>
          <w:color w:val="000000"/>
          <w:sz w:val="22"/>
          <w:shd w:val="clear" w:color="auto" w:fill="FFFFFF"/>
          <w:lang w:val="sr-Cyrl-RS"/>
        </w:rPr>
        <w:t>, као и директивама ЕУ</w:t>
      </w:r>
      <w:r w:rsidR="00A664BC" w:rsidRPr="00EF2F18">
        <w:rPr>
          <w:rFonts w:cs="Times New Roman"/>
          <w:sz w:val="22"/>
          <w:lang w:val="sr-Cyrl-RS"/>
        </w:rPr>
        <w:t xml:space="preserve"> </w:t>
      </w:r>
      <w:r w:rsidR="0052223F" w:rsidRPr="00EF2F18">
        <w:rPr>
          <w:sz w:val="22"/>
          <w:lang w:val="sr-Cyrl-RS"/>
        </w:rPr>
        <w:t xml:space="preserve">2003/4/ЕС, 2003/35/ЕС, </w:t>
      </w:r>
      <w:r w:rsidR="0052223F" w:rsidRPr="00EF2F18">
        <w:rPr>
          <w:iCs/>
          <w:sz w:val="22"/>
          <w:lang w:val="sr-Cyrl-RS"/>
        </w:rPr>
        <w:t>2019/1024</w:t>
      </w:r>
      <w:r w:rsidR="009719F8" w:rsidRPr="00EF2F18">
        <w:rPr>
          <w:iCs/>
          <w:sz w:val="22"/>
          <w:lang w:val="sr-Cyrl-RS"/>
        </w:rPr>
        <w:t>/EU</w:t>
      </w:r>
      <w:r w:rsidR="0052223F" w:rsidRPr="00EF2F18">
        <w:rPr>
          <w:iCs/>
          <w:sz w:val="22"/>
          <w:lang w:val="sr-Cyrl-RS"/>
        </w:rPr>
        <w:t xml:space="preserve"> и </w:t>
      </w:r>
      <w:r w:rsidR="0052223F" w:rsidRPr="00EF2F18">
        <w:rPr>
          <w:sz w:val="22"/>
          <w:lang w:val="sr-Cyrl-RS"/>
        </w:rPr>
        <w:t>2007/2/ЕС</w:t>
      </w:r>
      <w:r w:rsidR="0052223F" w:rsidRPr="00EF2F18">
        <w:rPr>
          <w:rFonts w:cs="Times New Roman"/>
          <w:sz w:val="22"/>
          <w:lang w:val="sr-Cyrl-RS"/>
        </w:rPr>
        <w:t>.</w:t>
      </w:r>
    </w:p>
    <w:p w14:paraId="16881AF9" w14:textId="313CD9E7" w:rsidR="00961B97" w:rsidRPr="00EF2F18" w:rsidRDefault="00961B97" w:rsidP="00961B97">
      <w:pPr>
        <w:spacing w:after="0"/>
        <w:ind w:firstLine="720"/>
        <w:jc w:val="both"/>
        <w:rPr>
          <w:sz w:val="22"/>
          <w:lang w:val="sr-Cyrl-RS"/>
        </w:rPr>
      </w:pPr>
      <w:r w:rsidRPr="00EF2F18">
        <w:rPr>
          <w:rFonts w:eastAsia="Calibri" w:cs="Times New Roman"/>
          <w:sz w:val="22"/>
          <w:lang w:val="sr-Cyrl-RS"/>
        </w:rPr>
        <w:t>И овај посебан циљ доприноси реализацији ЦОР 16 који п</w:t>
      </w:r>
      <w:r w:rsidRPr="00EF2F18">
        <w:rPr>
          <w:sz w:val="22"/>
          <w:lang w:val="sr-Cyrl-RS"/>
        </w:rPr>
        <w:t>ромовише мирољубива и инклузивна друштва за одрживи развој, налаже да се обезбеди прав</w:t>
      </w:r>
      <w:r w:rsidR="00DD651A" w:rsidRPr="00EF2F18">
        <w:rPr>
          <w:sz w:val="22"/>
          <w:lang w:val="sr-Cyrl-RS"/>
        </w:rPr>
        <w:t>на заштита</w:t>
      </w:r>
      <w:r w:rsidRPr="00EF2F18">
        <w:rPr>
          <w:sz w:val="22"/>
          <w:lang w:val="sr-Cyrl-RS"/>
        </w:rPr>
        <w:t xml:space="preserve"> за све и предвиђа да се изграде делотворне, одговорне и инклузивне институције на свим нивоима. Такође доприноси реализацији ЦОР </w:t>
      </w:r>
      <w:r w:rsidRPr="00EF2F18">
        <w:rPr>
          <w:rFonts w:cs="Times New Roman"/>
          <w:sz w:val="22"/>
          <w:lang w:val="sr-Cyrl-RS"/>
        </w:rPr>
        <w:t xml:space="preserve">17 који </w:t>
      </w:r>
      <w:r w:rsidRPr="00EF2F18">
        <w:rPr>
          <w:sz w:val="22"/>
          <w:lang w:val="sr-Cyrl-RS"/>
        </w:rPr>
        <w:t xml:space="preserve">предвиђа јачање </w:t>
      </w:r>
      <w:r w:rsidR="00EB262B" w:rsidRPr="00EF2F18">
        <w:rPr>
          <w:sz w:val="22"/>
          <w:lang w:val="sr-Cyrl-RS"/>
        </w:rPr>
        <w:t xml:space="preserve">глобалног </w:t>
      </w:r>
      <w:r w:rsidRPr="00EF2F18">
        <w:rPr>
          <w:sz w:val="22"/>
          <w:lang w:val="sr-Cyrl-RS"/>
        </w:rPr>
        <w:t>партнерстава за одрживи развој, ЦОР 4 који је посвећен је унапређивању образовања становништва и ЦОР 5 који је посвећен је унапређивању родне равноправности и оснаживању жена и девојчица.</w:t>
      </w:r>
    </w:p>
    <w:p w14:paraId="0988FA02" w14:textId="77777777" w:rsidR="0038791D" w:rsidRPr="00EF2F18" w:rsidRDefault="0038791D" w:rsidP="00425FCC">
      <w:pPr>
        <w:spacing w:after="0"/>
        <w:ind w:firstLine="720"/>
        <w:rPr>
          <w:rFonts w:cs="Times New Roman"/>
          <w:sz w:val="22"/>
          <w:lang w:val="sr-Cyrl-RS"/>
        </w:rPr>
      </w:pPr>
    </w:p>
    <w:p w14:paraId="66EBC730" w14:textId="0194BD87"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Мера 6.2.1.</w:t>
      </w:r>
      <w:r w:rsidR="0015021D" w:rsidRPr="00EF2F18">
        <w:rPr>
          <w:rFonts w:cs="Times New Roman"/>
          <w:sz w:val="22"/>
          <w:lang w:val="sr-Cyrl-RS"/>
        </w:rPr>
        <w:t xml:space="preserve"> </w:t>
      </w:r>
      <w:r w:rsidR="0015021D" w:rsidRPr="00EF2F18">
        <w:rPr>
          <w:rFonts w:cs="Times New Roman"/>
          <w:b/>
          <w:bCs/>
          <w:sz w:val="22"/>
          <w:lang w:val="sr-Cyrl-RS" w:eastAsia="en-GB"/>
        </w:rPr>
        <w:t>Јачање капацитета за примену Архуске конвенције и подизање знања и свести заинтересованих страна о значају њене примене</w:t>
      </w:r>
      <w:r w:rsidRPr="00EF2F18">
        <w:rPr>
          <w:rFonts w:cs="Times New Roman"/>
          <w:sz w:val="22"/>
          <w:lang w:val="sr-Cyrl-RS" w:eastAsia="en-GB"/>
        </w:rPr>
        <w:t xml:space="preserve"> </w:t>
      </w:r>
    </w:p>
    <w:p w14:paraId="069B1F22" w14:textId="77777777" w:rsidR="00957690" w:rsidRPr="00EF2F18" w:rsidRDefault="00957690"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p>
    <w:p w14:paraId="462BD527" w14:textId="77777777" w:rsidR="00D83673" w:rsidRPr="00EF2F18" w:rsidRDefault="00D83673" w:rsidP="00D01031">
      <w:pPr>
        <w:spacing w:after="0"/>
        <w:ind w:firstLine="720"/>
        <w:jc w:val="both"/>
        <w:rPr>
          <w:rFonts w:cs="Times New Roman"/>
          <w:sz w:val="22"/>
          <w:lang w:val="sr-Cyrl-RS"/>
        </w:rPr>
      </w:pPr>
    </w:p>
    <w:p w14:paraId="17A2B164" w14:textId="0E67FB99" w:rsidR="00613296" w:rsidRPr="00EF2F18" w:rsidRDefault="00C91FE0" w:rsidP="00D01031">
      <w:pPr>
        <w:spacing w:after="0"/>
        <w:ind w:firstLine="720"/>
        <w:jc w:val="both"/>
        <w:rPr>
          <w:rFonts w:cs="Times New Roman"/>
          <w:sz w:val="22"/>
          <w:lang w:val="sr-Cyrl-RS"/>
        </w:rPr>
      </w:pPr>
      <w:r w:rsidRPr="00EF2F18">
        <w:rPr>
          <w:rFonts w:cs="Times New Roman"/>
          <w:sz w:val="22"/>
          <w:lang w:val="sr-Cyrl-RS"/>
        </w:rPr>
        <w:t xml:space="preserve">Ова мера се односи на </w:t>
      </w:r>
      <w:r w:rsidR="00613296" w:rsidRPr="00EF2F18">
        <w:rPr>
          <w:rFonts w:cs="Times New Roman"/>
          <w:sz w:val="22"/>
          <w:lang w:val="sr-Cyrl-RS"/>
        </w:rPr>
        <w:t xml:space="preserve">јачање капацитета и подизање знања и свести заинтересованих страна о значају примене Архуске конвенције. У ту сврху планира се </w:t>
      </w:r>
      <w:r w:rsidR="00A075B1" w:rsidRPr="00EF2F18">
        <w:rPr>
          <w:rFonts w:cs="Times New Roman"/>
          <w:sz w:val="22"/>
          <w:lang w:val="sr-Cyrl-RS"/>
        </w:rPr>
        <w:t>дугорочна анализа институционалног оквира (нарочито са становишта органа и организација које непосредно примењују прописе од значаја за Архуску конвенцију; у области образовања и васпитања, усавршавања у процесу рада, јавног информисања и популаризације заштите животне средине и Архуске конвенције) и дугорочна анализа улога регионалних и локалних заједница и удружења у спровођењу Архуске конвенције</w:t>
      </w:r>
      <w:r w:rsidR="00D01031" w:rsidRPr="00EF2F18">
        <w:rPr>
          <w:rFonts w:cs="Times New Roman"/>
          <w:sz w:val="22"/>
          <w:lang w:val="sr-Cyrl-RS"/>
        </w:rPr>
        <w:t xml:space="preserve">, као и </w:t>
      </w:r>
      <w:r w:rsidR="00613296" w:rsidRPr="00EF2F18">
        <w:rPr>
          <w:rFonts w:cs="Times New Roman"/>
          <w:sz w:val="22"/>
          <w:lang w:val="sr-Cyrl-RS"/>
        </w:rPr>
        <w:t>дугорочна процена капацитета за примену Архуске конвенције.</w:t>
      </w:r>
    </w:p>
    <w:p w14:paraId="4A4AE042" w14:textId="2E593C65" w:rsidR="00613296" w:rsidRPr="00EF2F18" w:rsidRDefault="00613296" w:rsidP="00613296">
      <w:pPr>
        <w:spacing w:after="0"/>
        <w:ind w:firstLine="720"/>
        <w:jc w:val="both"/>
        <w:rPr>
          <w:rFonts w:cs="Times New Roman"/>
          <w:sz w:val="22"/>
          <w:lang w:val="sr-Cyrl-RS"/>
        </w:rPr>
      </w:pPr>
      <w:r w:rsidRPr="00EF2F18">
        <w:rPr>
          <w:rFonts w:cs="Times New Roman"/>
          <w:sz w:val="22"/>
          <w:lang w:val="sr-Cyrl-RS"/>
        </w:rPr>
        <w:t xml:space="preserve">Потребна је израда програма обуке са радним материјалом и континуирано спровођење обука за државне службенике, службенике </w:t>
      </w:r>
      <w:r w:rsidR="003F6687" w:rsidRPr="00EF2F18">
        <w:rPr>
          <w:rFonts w:cs="Times New Roman"/>
          <w:sz w:val="22"/>
          <w:lang w:val="sr-Cyrl-RS"/>
        </w:rPr>
        <w:t>јединица локалне самоуправе</w:t>
      </w:r>
      <w:r w:rsidR="003F6687" w:rsidRPr="00EF2F18">
        <w:rPr>
          <w:rFonts w:cs="Times New Roman"/>
          <w:lang w:val="sr-Cyrl-RS"/>
        </w:rPr>
        <w:t xml:space="preserve"> </w:t>
      </w:r>
      <w:r w:rsidR="00035773" w:rsidRPr="00EF2F18">
        <w:rPr>
          <w:rFonts w:cs="Times New Roman"/>
          <w:sz w:val="22"/>
          <w:lang w:val="sr-Cyrl-RS"/>
        </w:rPr>
        <w:t xml:space="preserve">и </w:t>
      </w:r>
      <w:r w:rsidRPr="00EF2F18">
        <w:rPr>
          <w:rFonts w:cs="Times New Roman"/>
          <w:sz w:val="22"/>
          <w:lang w:val="sr-Cyrl-RS"/>
        </w:rPr>
        <w:t>заинтересован</w:t>
      </w:r>
      <w:r w:rsidR="00035773" w:rsidRPr="00EF2F18">
        <w:rPr>
          <w:rFonts w:cs="Times New Roman"/>
          <w:sz w:val="22"/>
          <w:lang w:val="sr-Cyrl-RS"/>
        </w:rPr>
        <w:t>е</w:t>
      </w:r>
      <w:r w:rsidRPr="00EF2F18">
        <w:rPr>
          <w:rFonts w:cs="Times New Roman"/>
          <w:sz w:val="22"/>
          <w:lang w:val="sr-Cyrl-RS"/>
        </w:rPr>
        <w:t xml:space="preserve"> стран</w:t>
      </w:r>
      <w:r w:rsidR="00035773" w:rsidRPr="00EF2F18">
        <w:rPr>
          <w:rFonts w:cs="Times New Roman"/>
          <w:sz w:val="22"/>
          <w:lang w:val="sr-Cyrl-RS"/>
        </w:rPr>
        <w:t>е.</w:t>
      </w:r>
    </w:p>
    <w:p w14:paraId="458A2DC6" w14:textId="2D874E7B"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891D8A" w:rsidRPr="00EF2F18">
        <w:rPr>
          <w:rFonts w:cs="Times New Roman"/>
          <w:sz w:val="22"/>
          <w:lang w:val="sr-Cyrl-RS" w:eastAsia="en-GB"/>
        </w:rPr>
        <w:t>.</w:t>
      </w:r>
    </w:p>
    <w:p w14:paraId="485D1ED3" w14:textId="58F11BA7" w:rsidR="00483269" w:rsidRPr="00EF2F18" w:rsidRDefault="0038791D" w:rsidP="00483269">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483269" w:rsidRPr="00EF2F18">
        <w:rPr>
          <w:rFonts w:cs="Times New Roman"/>
          <w:sz w:val="22"/>
          <w:lang w:val="sr-Cyrl-RS" w:eastAsia="en-GB"/>
        </w:rPr>
        <w:t>организације цивилног друштва</w:t>
      </w:r>
      <w:r w:rsidR="00891D8A" w:rsidRPr="00EF2F18">
        <w:rPr>
          <w:rFonts w:cs="Times New Roman"/>
          <w:sz w:val="22"/>
          <w:lang w:val="sr-Cyrl-RS" w:eastAsia="en-GB"/>
        </w:rPr>
        <w:t>.</w:t>
      </w:r>
    </w:p>
    <w:p w14:paraId="7A97EBA6" w14:textId="2509980F" w:rsidR="0038791D" w:rsidRPr="00EF2F18" w:rsidRDefault="00483269" w:rsidP="00483269">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00891D8A" w:rsidRPr="00EF2F18">
        <w:rPr>
          <w:rFonts w:cs="Times New Roman"/>
          <w:sz w:val="22"/>
          <w:lang w:val="sr-Cyrl-RS" w:eastAsia="en-GB"/>
        </w:rPr>
        <w:t>: информативно-</w:t>
      </w:r>
      <w:r w:rsidRPr="00EF2F18">
        <w:rPr>
          <w:rFonts w:cs="Times New Roman"/>
          <w:sz w:val="22"/>
          <w:lang w:val="sr-Cyrl-RS" w:eastAsia="en-GB"/>
        </w:rPr>
        <w:t>едукативна</w:t>
      </w:r>
      <w:r w:rsidR="00891D8A" w:rsidRPr="00EF2F18">
        <w:rPr>
          <w:rFonts w:cs="Times New Roman"/>
          <w:sz w:val="22"/>
          <w:lang w:val="sr-Cyrl-RS" w:eastAsia="en-GB"/>
        </w:rPr>
        <w:t>.</w:t>
      </w:r>
    </w:p>
    <w:p w14:paraId="313827AE" w14:textId="77777777" w:rsidR="0038791D" w:rsidRPr="00EF2F18" w:rsidRDefault="0038791D" w:rsidP="00425FCC">
      <w:pPr>
        <w:spacing w:after="0"/>
        <w:ind w:firstLine="720"/>
        <w:jc w:val="both"/>
        <w:rPr>
          <w:rFonts w:cs="Times New Roman"/>
          <w:sz w:val="22"/>
          <w:lang w:val="sr-Cyrl-RS" w:eastAsia="en-GB"/>
        </w:rPr>
      </w:pPr>
    </w:p>
    <w:p w14:paraId="52571919" w14:textId="10123CC4"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6.2.2. </w:t>
      </w:r>
      <w:r w:rsidR="0015021D" w:rsidRPr="00EF2F18">
        <w:rPr>
          <w:rFonts w:cs="Times New Roman"/>
          <w:b/>
          <w:bCs/>
          <w:sz w:val="22"/>
          <w:lang w:val="sr-Cyrl-RS" w:eastAsia="en-GB"/>
        </w:rPr>
        <w:t>Обезбеђивање објављивања података и информација о животн</w:t>
      </w:r>
      <w:r w:rsidR="00434BFA" w:rsidRPr="00EF2F18">
        <w:rPr>
          <w:rFonts w:cs="Times New Roman"/>
          <w:b/>
          <w:bCs/>
          <w:sz w:val="22"/>
          <w:lang w:val="sr-Cyrl-RS" w:eastAsia="en-GB"/>
        </w:rPr>
        <w:t>о</w:t>
      </w:r>
      <w:r w:rsidR="0015021D" w:rsidRPr="00EF2F18">
        <w:rPr>
          <w:rFonts w:cs="Times New Roman"/>
          <w:b/>
          <w:bCs/>
          <w:sz w:val="22"/>
          <w:lang w:val="sr-Cyrl-RS" w:eastAsia="en-GB"/>
        </w:rPr>
        <w:t>ј средини</w:t>
      </w:r>
      <w:r w:rsidRPr="00EF2F18">
        <w:rPr>
          <w:rFonts w:cs="Times New Roman"/>
          <w:sz w:val="22"/>
          <w:lang w:val="sr-Cyrl-RS" w:eastAsia="en-GB"/>
        </w:rPr>
        <w:t xml:space="preserve"> </w:t>
      </w:r>
    </w:p>
    <w:p w14:paraId="17BB1C38" w14:textId="77777777" w:rsidR="00D83673" w:rsidRPr="00EF2F18" w:rsidRDefault="00D83673" w:rsidP="00D02F27">
      <w:pPr>
        <w:spacing w:after="0"/>
        <w:ind w:firstLine="720"/>
        <w:jc w:val="both"/>
        <w:rPr>
          <w:rFonts w:cs="Times New Roman"/>
          <w:sz w:val="22"/>
          <w:lang w:val="sr-Cyrl-RS"/>
        </w:rPr>
      </w:pPr>
    </w:p>
    <w:p w14:paraId="0E48CBB6" w14:textId="1A9D1854" w:rsidR="00D02F27" w:rsidRPr="00EF2F18" w:rsidRDefault="00D02F27" w:rsidP="00D02F27">
      <w:pPr>
        <w:spacing w:after="0"/>
        <w:ind w:firstLine="720"/>
        <w:jc w:val="both"/>
        <w:rPr>
          <w:rFonts w:cs="Times New Roman"/>
          <w:sz w:val="22"/>
          <w:lang w:val="sr-Cyrl-RS"/>
        </w:rPr>
      </w:pPr>
      <w:r w:rsidRPr="00EF2F18">
        <w:rPr>
          <w:rFonts w:cs="Times New Roman"/>
          <w:sz w:val="22"/>
          <w:lang w:val="sr-Cyrl-RS"/>
        </w:rPr>
        <w:t>У оквиру ове мере планира се унапређење националног регистра метаподатака проширењем скупа информација о типовима и обиму документације, информација и прикупљених и вођених података, институцијама у чијем поседу се налазе подаци или које су надлежне за њихово чување, линковима ка документима и подацима доступним на Интернету, као и о особама за контакт и процедурама за подношење захтева за приступ подацима који нису доступни на Интернету.</w:t>
      </w:r>
    </w:p>
    <w:p w14:paraId="19BBC290" w14:textId="77777777" w:rsidR="00D02F27" w:rsidRPr="00EF2F18" w:rsidRDefault="00D02F27" w:rsidP="00D02F27">
      <w:pPr>
        <w:spacing w:after="0"/>
        <w:ind w:firstLine="720"/>
        <w:jc w:val="both"/>
        <w:rPr>
          <w:sz w:val="22"/>
          <w:lang w:val="sr-Cyrl-RS"/>
        </w:rPr>
      </w:pPr>
      <w:r w:rsidRPr="00EF2F18">
        <w:rPr>
          <w:rFonts w:cs="Times New Roman"/>
          <w:sz w:val="22"/>
          <w:lang w:val="sr-Cyrl-RS"/>
        </w:rPr>
        <w:t xml:space="preserve">У оквиру унапређења система за извештавање о стању животне средине, комуникације и прослеђивања података ускладиће се са Стратегијом </w:t>
      </w:r>
      <w:r w:rsidRPr="00EF2F18">
        <w:rPr>
          <w:sz w:val="22"/>
          <w:lang w:val="sr-Cyrl-RS"/>
        </w:rPr>
        <w:t>Европске агенције за животну средину (ЕЕА) - Европске мреже за информације и посматрање животне средине (Еионет) 2021-2030, чији су главни циљеви:</w:t>
      </w:r>
    </w:p>
    <w:p w14:paraId="5323BFB0" w14:textId="5DD6C496" w:rsidR="00D02F27" w:rsidRPr="00EF2F18" w:rsidRDefault="00D02F27" w:rsidP="00313E8E">
      <w:pPr>
        <w:pStyle w:val="ListParagraph"/>
        <w:numPr>
          <w:ilvl w:val="0"/>
          <w:numId w:val="57"/>
        </w:numPr>
        <w:spacing w:after="160" w:line="259" w:lineRule="auto"/>
        <w:ind w:left="1080"/>
        <w:jc w:val="both"/>
        <w:rPr>
          <w:sz w:val="22"/>
          <w:lang w:val="sr-Cyrl-RS"/>
        </w:rPr>
      </w:pPr>
      <w:r w:rsidRPr="00EF2F18">
        <w:rPr>
          <w:sz w:val="22"/>
          <w:lang w:val="sr-Cyrl-RS"/>
        </w:rPr>
        <w:t xml:space="preserve">Подршка спровођењу политике и транзицијама ка одрживости </w:t>
      </w:r>
      <w:r w:rsidR="00891D8A" w:rsidRPr="00EF2F18">
        <w:rPr>
          <w:sz w:val="22"/>
          <w:lang w:val="sr-Cyrl-RS"/>
        </w:rPr>
        <w:t>–</w:t>
      </w:r>
      <w:r w:rsidRPr="00EF2F18">
        <w:rPr>
          <w:sz w:val="22"/>
          <w:lang w:val="sr-Cyrl-RS"/>
        </w:rPr>
        <w:t xml:space="preserve"> стварање знања засновано на доказима како би се подстакло спровођење политике и развој нових иницијатива за убрзану </w:t>
      </w:r>
      <w:r w:rsidR="00891D8A" w:rsidRPr="00EF2F18">
        <w:rPr>
          <w:sz w:val="22"/>
          <w:lang w:val="sr-Cyrl-RS"/>
        </w:rPr>
        <w:t>и јачу транзицију ка одрживости;</w:t>
      </w:r>
      <w:r w:rsidRPr="00EF2F18">
        <w:rPr>
          <w:sz w:val="22"/>
          <w:lang w:val="sr-Cyrl-RS"/>
        </w:rPr>
        <w:t xml:space="preserve"> </w:t>
      </w:r>
    </w:p>
    <w:p w14:paraId="1D7DB7AE" w14:textId="4F841118" w:rsidR="00D02F27" w:rsidRPr="00EF2F18" w:rsidRDefault="00D02F27" w:rsidP="00313E8E">
      <w:pPr>
        <w:pStyle w:val="ListParagraph"/>
        <w:numPr>
          <w:ilvl w:val="0"/>
          <w:numId w:val="57"/>
        </w:numPr>
        <w:spacing w:after="160" w:line="259" w:lineRule="auto"/>
        <w:ind w:left="1080"/>
        <w:jc w:val="both"/>
        <w:rPr>
          <w:sz w:val="22"/>
          <w:lang w:val="sr-Cyrl-RS"/>
        </w:rPr>
      </w:pPr>
      <w:r w:rsidRPr="00EF2F18">
        <w:rPr>
          <w:sz w:val="22"/>
          <w:lang w:val="sr-Cyrl-RS"/>
        </w:rPr>
        <w:t xml:space="preserve">Обезбеђивање правовремених улазних података за решавање изазова одрживости </w:t>
      </w:r>
      <w:r w:rsidR="00891D8A" w:rsidRPr="00EF2F18">
        <w:rPr>
          <w:sz w:val="22"/>
          <w:lang w:val="sr-Cyrl-RS"/>
        </w:rPr>
        <w:t>–</w:t>
      </w:r>
      <w:r w:rsidRPr="00EF2F18">
        <w:rPr>
          <w:sz w:val="22"/>
          <w:lang w:val="sr-Cyrl-RS"/>
        </w:rPr>
        <w:t xml:space="preserve"> израда циљних улазних података за информисање и јавне расправе, кроз организовање и преношење знања о одговорима, укључујући иновативна решења за друштвене изазове</w:t>
      </w:r>
      <w:r w:rsidR="00891D8A" w:rsidRPr="00EF2F18">
        <w:rPr>
          <w:sz w:val="22"/>
          <w:lang w:val="sr-Cyrl-RS"/>
        </w:rPr>
        <w:t>;</w:t>
      </w:r>
      <w:r w:rsidRPr="00EF2F18">
        <w:rPr>
          <w:sz w:val="22"/>
          <w:lang w:val="sr-Cyrl-RS"/>
        </w:rPr>
        <w:t xml:space="preserve"> </w:t>
      </w:r>
    </w:p>
    <w:p w14:paraId="7AFC4189" w14:textId="090A2E92" w:rsidR="00D02F27" w:rsidRPr="00EF2F18" w:rsidRDefault="00D02F27" w:rsidP="00313E8E">
      <w:pPr>
        <w:pStyle w:val="ListParagraph"/>
        <w:numPr>
          <w:ilvl w:val="0"/>
          <w:numId w:val="57"/>
        </w:numPr>
        <w:spacing w:after="160" w:line="259" w:lineRule="auto"/>
        <w:ind w:left="1080"/>
        <w:jc w:val="both"/>
        <w:rPr>
          <w:sz w:val="22"/>
          <w:lang w:val="sr-Cyrl-RS"/>
        </w:rPr>
      </w:pPr>
      <w:r w:rsidRPr="00EF2F18">
        <w:rPr>
          <w:sz w:val="22"/>
          <w:lang w:val="sr-Cyrl-RS"/>
        </w:rPr>
        <w:lastRenderedPageBreak/>
        <w:t xml:space="preserve">Изградња јачих мрежа и партнерстава </w:t>
      </w:r>
      <w:r w:rsidR="009D63A7" w:rsidRPr="00EF2F18">
        <w:rPr>
          <w:sz w:val="22"/>
          <w:lang w:val="sr-Cyrl-RS"/>
        </w:rPr>
        <w:t>–</w:t>
      </w:r>
      <w:r w:rsidRPr="00EF2F18">
        <w:rPr>
          <w:sz w:val="22"/>
          <w:lang w:val="sr-Cyrl-RS"/>
        </w:rPr>
        <w:t xml:space="preserve"> јачање мреже кроз активније ангажовање на нивоу земље како би се олакшало дељење знања и стручности</w:t>
      </w:r>
      <w:r w:rsidR="00891D8A" w:rsidRPr="00EF2F18">
        <w:rPr>
          <w:sz w:val="22"/>
          <w:lang w:val="sr-Cyrl-RS"/>
        </w:rPr>
        <w:t>;</w:t>
      </w:r>
      <w:r w:rsidRPr="00EF2F18">
        <w:rPr>
          <w:sz w:val="22"/>
          <w:lang w:val="sr-Cyrl-RS"/>
        </w:rPr>
        <w:t xml:space="preserve"> </w:t>
      </w:r>
    </w:p>
    <w:p w14:paraId="3A6B0EDE" w14:textId="6B041978" w:rsidR="00D02F27" w:rsidRPr="00EF2F18" w:rsidRDefault="00D02F27" w:rsidP="00313E8E">
      <w:pPr>
        <w:pStyle w:val="ListParagraph"/>
        <w:numPr>
          <w:ilvl w:val="0"/>
          <w:numId w:val="57"/>
        </w:numPr>
        <w:spacing w:after="160" w:line="259" w:lineRule="auto"/>
        <w:ind w:left="1080"/>
        <w:jc w:val="both"/>
        <w:rPr>
          <w:sz w:val="22"/>
          <w:lang w:val="sr-Cyrl-RS"/>
        </w:rPr>
      </w:pPr>
      <w:r w:rsidRPr="00EF2F18">
        <w:rPr>
          <w:sz w:val="22"/>
          <w:lang w:val="sr-Cyrl-RS"/>
        </w:rPr>
        <w:t xml:space="preserve">Максимално искоришћавање потенцијала података, технологије и дигитализације </w:t>
      </w:r>
      <w:r w:rsidR="00891D8A" w:rsidRPr="00EF2F18">
        <w:rPr>
          <w:sz w:val="22"/>
          <w:lang w:val="sr-Cyrl-RS"/>
        </w:rPr>
        <w:t>–</w:t>
      </w:r>
      <w:r w:rsidRPr="00EF2F18">
        <w:rPr>
          <w:sz w:val="22"/>
          <w:lang w:val="sr-Cyrl-RS"/>
        </w:rPr>
        <w:t xml:space="preserve"> ширење дигитализације, укључујући нове технологије, вештачку интелигенцију и осматрања Земље који ће допунити и потенцијално заменити успостављене изворе информација како би се пружила боља подршка процесу одлучивања</w:t>
      </w:r>
      <w:r w:rsidR="00891D8A" w:rsidRPr="00EF2F18">
        <w:rPr>
          <w:sz w:val="22"/>
          <w:lang w:val="sr-Cyrl-RS"/>
        </w:rPr>
        <w:t>;</w:t>
      </w:r>
      <w:r w:rsidRPr="00EF2F18">
        <w:rPr>
          <w:sz w:val="22"/>
          <w:lang w:val="sr-Cyrl-RS"/>
        </w:rPr>
        <w:t xml:space="preserve"> </w:t>
      </w:r>
    </w:p>
    <w:p w14:paraId="38263C48" w14:textId="0BB2426C" w:rsidR="00D02F27" w:rsidRPr="00EF2F18" w:rsidRDefault="00D02F27" w:rsidP="00313E8E">
      <w:pPr>
        <w:pStyle w:val="ListParagraph"/>
        <w:numPr>
          <w:ilvl w:val="0"/>
          <w:numId w:val="57"/>
        </w:numPr>
        <w:spacing w:after="0"/>
        <w:ind w:left="1080"/>
        <w:contextualSpacing w:val="0"/>
        <w:jc w:val="both"/>
        <w:rPr>
          <w:b/>
          <w:sz w:val="22"/>
          <w:lang w:val="sr-Cyrl-RS"/>
        </w:rPr>
      </w:pPr>
      <w:r w:rsidRPr="00EF2F18">
        <w:rPr>
          <w:sz w:val="22"/>
          <w:lang w:val="sr-Cyrl-RS"/>
        </w:rPr>
        <w:t xml:space="preserve">Стварање ресурса за заједничке амбиције </w:t>
      </w:r>
      <w:r w:rsidR="009D63A7" w:rsidRPr="00EF2F18">
        <w:rPr>
          <w:sz w:val="22"/>
          <w:lang w:val="sr-Cyrl-RS"/>
        </w:rPr>
        <w:t>–</w:t>
      </w:r>
      <w:r w:rsidRPr="00EF2F18">
        <w:rPr>
          <w:sz w:val="22"/>
          <w:lang w:val="sr-Cyrl-RS"/>
        </w:rPr>
        <w:t xml:space="preserve"> развој стручности и капацитета како би се задовољиле растуће потребе за знањем, обезбеђивање и стварање разноврсних ресурса који су потребни да би се остварила заједничка визија.</w:t>
      </w:r>
    </w:p>
    <w:p w14:paraId="434EC3C5" w14:textId="38E342A8" w:rsidR="00634EEE" w:rsidRPr="00EF2F18" w:rsidRDefault="00AD1CC3" w:rsidP="00683050">
      <w:pPr>
        <w:spacing w:after="0"/>
        <w:ind w:firstLine="720"/>
        <w:jc w:val="both"/>
        <w:rPr>
          <w:rFonts w:cs="Times New Roman"/>
          <w:sz w:val="22"/>
          <w:lang w:val="sr-Cyrl-RS"/>
        </w:rPr>
      </w:pPr>
      <w:r w:rsidRPr="00EF2F18">
        <w:rPr>
          <w:rFonts w:cs="Times New Roman"/>
          <w:sz w:val="22"/>
          <w:lang w:val="sr-Cyrl-RS"/>
        </w:rPr>
        <w:t>Потребна је даља п</w:t>
      </w:r>
      <w:r w:rsidR="00634EEE" w:rsidRPr="00EF2F18">
        <w:rPr>
          <w:rFonts w:cs="Times New Roman"/>
          <w:sz w:val="22"/>
          <w:lang w:val="sr-Cyrl-RS"/>
        </w:rPr>
        <w:t>одршка јединицама локалне самоуправе за унапређивање вођења података, извештавања и дистрибуције и објављивања информација и података</w:t>
      </w:r>
      <w:r w:rsidRPr="00EF2F18">
        <w:rPr>
          <w:rFonts w:cs="Times New Roman"/>
          <w:sz w:val="22"/>
          <w:lang w:val="sr-Cyrl-RS"/>
        </w:rPr>
        <w:t>.</w:t>
      </w:r>
    </w:p>
    <w:p w14:paraId="0384D28E" w14:textId="1EAA8B94"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BE2062" w:rsidRPr="00EF2F18">
        <w:rPr>
          <w:rFonts w:cs="Times New Roman"/>
          <w:sz w:val="22"/>
          <w:lang w:val="sr-Cyrl-RS" w:eastAsia="en-GB"/>
        </w:rPr>
        <w:t>Аген</w:t>
      </w:r>
      <w:r w:rsidR="009D63A7" w:rsidRPr="00EF2F18">
        <w:rPr>
          <w:rFonts w:cs="Times New Roman"/>
          <w:sz w:val="22"/>
          <w:lang w:val="sr-Cyrl-RS" w:eastAsia="en-GB"/>
        </w:rPr>
        <w:t>ција за заштиту животне средине.</w:t>
      </w:r>
    </w:p>
    <w:p w14:paraId="198E3EC5" w14:textId="24A50985"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BE2062" w:rsidRPr="00EF2F18">
        <w:rPr>
          <w:rFonts w:cs="Times New Roman"/>
          <w:sz w:val="22"/>
          <w:lang w:val="sr-Cyrl-RS" w:eastAsia="en-GB"/>
        </w:rPr>
        <w:t>Министарство заштите животне средине</w:t>
      </w:r>
      <w:r w:rsidR="00573C80" w:rsidRPr="00EF2F18">
        <w:rPr>
          <w:rFonts w:cs="Times New Roman"/>
          <w:sz w:val="22"/>
          <w:lang w:val="sr-Cyrl-RS" w:eastAsia="en-GB"/>
        </w:rPr>
        <w:t>, Повереник за информације од јавног значаја и заштиту података о личности</w:t>
      </w:r>
      <w:r w:rsidR="003C59BD" w:rsidRPr="00EF2F18">
        <w:rPr>
          <w:rFonts w:cs="Times New Roman"/>
          <w:sz w:val="22"/>
          <w:lang w:val="sr-Cyrl-RS" w:eastAsia="en-GB"/>
        </w:rPr>
        <w:t>,</w:t>
      </w:r>
      <w:r w:rsidR="00573C80" w:rsidRPr="00EF2F18">
        <w:rPr>
          <w:rFonts w:cs="Times New Roman"/>
          <w:sz w:val="22"/>
          <w:lang w:val="sr-Cyrl-RS" w:eastAsia="en-GB"/>
        </w:rPr>
        <w:t xml:space="preserve"> јединице локалне самоуправе.</w:t>
      </w:r>
    </w:p>
    <w:p w14:paraId="010AD35A" w14:textId="33F04207"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D63A7" w:rsidRPr="00EF2F18">
        <w:rPr>
          <w:rFonts w:cs="Times New Roman"/>
          <w:sz w:val="22"/>
          <w:lang w:val="sr-Cyrl-RS" w:eastAsia="en-GB"/>
        </w:rPr>
        <w:t>информативно-</w:t>
      </w:r>
      <w:r w:rsidR="00483269" w:rsidRPr="00EF2F18">
        <w:rPr>
          <w:rFonts w:cs="Times New Roman"/>
          <w:sz w:val="22"/>
          <w:lang w:val="sr-Cyrl-RS" w:eastAsia="en-GB"/>
        </w:rPr>
        <w:t>едукативна</w:t>
      </w:r>
      <w:r w:rsidR="009D63A7" w:rsidRPr="00EF2F18">
        <w:rPr>
          <w:rFonts w:cs="Times New Roman"/>
          <w:sz w:val="22"/>
          <w:lang w:val="sr-Cyrl-RS" w:eastAsia="en-GB"/>
        </w:rPr>
        <w:t>.</w:t>
      </w:r>
    </w:p>
    <w:p w14:paraId="175AD7A0" w14:textId="77777777" w:rsidR="0038791D" w:rsidRPr="00EF2F18" w:rsidRDefault="0038791D" w:rsidP="00425FCC">
      <w:pPr>
        <w:spacing w:after="0"/>
        <w:ind w:firstLine="720"/>
        <w:rPr>
          <w:rFonts w:cs="Times New Roman"/>
          <w:sz w:val="22"/>
          <w:lang w:val="sr-Cyrl-RS"/>
        </w:rPr>
      </w:pPr>
    </w:p>
    <w:p w14:paraId="130EC3E2" w14:textId="7D75F55A"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6.2.3. </w:t>
      </w:r>
      <w:r w:rsidR="0015021D" w:rsidRPr="00EF2F18">
        <w:rPr>
          <w:rFonts w:cs="Times New Roman"/>
          <w:b/>
          <w:bCs/>
          <w:sz w:val="22"/>
          <w:lang w:val="sr-Cyrl-RS" w:eastAsia="en-GB"/>
        </w:rPr>
        <w:t xml:space="preserve">Подизање капацитета заинтересованих страна за учешће у процесима доношења одлука о питањима </w:t>
      </w:r>
      <w:r w:rsidR="00DE02E9" w:rsidRPr="00EF2F18">
        <w:rPr>
          <w:rFonts w:cs="Times New Roman"/>
          <w:b/>
          <w:bCs/>
          <w:sz w:val="22"/>
          <w:lang w:val="sr-Cyrl-RS" w:eastAsia="en-GB"/>
        </w:rPr>
        <w:t>у вези са</w:t>
      </w:r>
      <w:r w:rsidR="0015021D" w:rsidRPr="00EF2F18">
        <w:rPr>
          <w:rFonts w:cs="Times New Roman"/>
          <w:b/>
          <w:bCs/>
          <w:sz w:val="22"/>
          <w:lang w:val="sr-Cyrl-RS" w:eastAsia="en-GB"/>
        </w:rPr>
        <w:t xml:space="preserve"> </w:t>
      </w:r>
      <w:r w:rsidR="00DE02E9" w:rsidRPr="00EF2F18">
        <w:rPr>
          <w:rFonts w:cs="Times New Roman"/>
          <w:b/>
          <w:bCs/>
          <w:sz w:val="22"/>
          <w:lang w:val="sr-Cyrl-RS" w:eastAsia="en-GB"/>
        </w:rPr>
        <w:t>животном средином</w:t>
      </w:r>
      <w:r w:rsidRPr="00EF2F18">
        <w:rPr>
          <w:rFonts w:cs="Times New Roman"/>
          <w:sz w:val="22"/>
          <w:lang w:val="sr-Cyrl-RS" w:eastAsia="en-GB"/>
        </w:rPr>
        <w:t xml:space="preserve"> </w:t>
      </w:r>
    </w:p>
    <w:p w14:paraId="6D5976D4" w14:textId="77777777" w:rsidR="00957690" w:rsidRPr="00EF2F18" w:rsidRDefault="00957690"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p>
    <w:p w14:paraId="3EE86909" w14:textId="77777777" w:rsidR="00D83673" w:rsidRPr="00EF2F18" w:rsidRDefault="00D83673" w:rsidP="00634EEE">
      <w:pPr>
        <w:spacing w:after="0"/>
        <w:ind w:firstLine="720"/>
        <w:jc w:val="both"/>
        <w:rPr>
          <w:rFonts w:cs="Times New Roman"/>
          <w:sz w:val="22"/>
          <w:lang w:val="sr-Cyrl-RS"/>
        </w:rPr>
      </w:pPr>
    </w:p>
    <w:p w14:paraId="5DFB002E" w14:textId="035C0108" w:rsidR="00634EEE" w:rsidRPr="00EF2F18" w:rsidRDefault="008C0F78" w:rsidP="00634EEE">
      <w:pPr>
        <w:spacing w:after="0"/>
        <w:ind w:firstLine="720"/>
        <w:jc w:val="both"/>
        <w:rPr>
          <w:rFonts w:cs="Times New Roman"/>
          <w:sz w:val="22"/>
          <w:lang w:val="sr-Cyrl-RS" w:eastAsia="en-GB"/>
        </w:rPr>
      </w:pPr>
      <w:r w:rsidRPr="00EF2F18">
        <w:rPr>
          <w:rFonts w:cs="Times New Roman"/>
          <w:sz w:val="22"/>
          <w:lang w:val="sr-Cyrl-RS"/>
        </w:rPr>
        <w:t xml:space="preserve">У сврху подизања </w:t>
      </w:r>
      <w:r w:rsidRPr="00EF2F18">
        <w:rPr>
          <w:rFonts w:cs="Times New Roman"/>
          <w:bCs/>
          <w:sz w:val="22"/>
          <w:lang w:val="sr-Cyrl-RS" w:eastAsia="en-GB"/>
        </w:rPr>
        <w:t xml:space="preserve">капацитета </w:t>
      </w:r>
      <w:r w:rsidR="00BF3C87" w:rsidRPr="00EF2F18">
        <w:rPr>
          <w:rFonts w:cs="Times New Roman"/>
          <w:bCs/>
          <w:sz w:val="22"/>
          <w:lang w:val="sr-Cyrl-RS" w:eastAsia="en-GB"/>
        </w:rPr>
        <w:t xml:space="preserve">за остваривање права на учешће у процесу доношења одлука </w:t>
      </w:r>
      <w:r w:rsidRPr="00EF2F18">
        <w:rPr>
          <w:rFonts w:cs="Times New Roman"/>
          <w:sz w:val="22"/>
          <w:lang w:val="sr-Cyrl-RS" w:eastAsia="en-GB"/>
        </w:rPr>
        <w:t>потребна је из</w:t>
      </w:r>
      <w:r w:rsidR="00634EEE" w:rsidRPr="00EF2F18">
        <w:rPr>
          <w:rFonts w:cs="Times New Roman"/>
          <w:sz w:val="22"/>
          <w:lang w:val="sr-Cyrl-RS" w:eastAsia="en-GB"/>
        </w:rPr>
        <w:t>рада смерница за идентификовање и рано укључивање заинтересоване јавности</w:t>
      </w:r>
      <w:r w:rsidR="00731038" w:rsidRPr="00EF2F18">
        <w:rPr>
          <w:rFonts w:cs="Times New Roman"/>
          <w:sz w:val="22"/>
          <w:lang w:val="sr-Cyrl-RS" w:eastAsia="en-GB"/>
        </w:rPr>
        <w:t xml:space="preserve"> (пос</w:t>
      </w:r>
      <w:r w:rsidR="00566F4C">
        <w:rPr>
          <w:rFonts w:cs="Times New Roman"/>
          <w:sz w:val="22"/>
          <w:lang w:val="sr-Cyrl-RS" w:eastAsia="en-GB"/>
        </w:rPr>
        <w:t>ебно организација цивилног друш</w:t>
      </w:r>
      <w:r w:rsidR="00731038" w:rsidRPr="00EF2F18">
        <w:rPr>
          <w:rFonts w:cs="Times New Roman"/>
          <w:sz w:val="22"/>
          <w:lang w:val="sr-Cyrl-RS" w:eastAsia="en-GB"/>
        </w:rPr>
        <w:t>тва и осетљивих друштвених група)</w:t>
      </w:r>
      <w:r w:rsidR="005E5FF9" w:rsidRPr="00EF2F18">
        <w:rPr>
          <w:rFonts w:cs="Times New Roman"/>
          <w:sz w:val="22"/>
          <w:lang w:val="sr-Cyrl-RS" w:eastAsia="en-GB"/>
        </w:rPr>
        <w:t xml:space="preserve"> </w:t>
      </w:r>
      <w:r w:rsidR="00634EEE" w:rsidRPr="00EF2F18">
        <w:rPr>
          <w:rFonts w:cs="Times New Roman"/>
          <w:sz w:val="22"/>
          <w:lang w:val="sr-Cyrl-RS" w:eastAsia="en-GB"/>
        </w:rPr>
        <w:t xml:space="preserve">за органе надлежне за заштиту животне средине и привреду у процесима доношења одлука о питањима </w:t>
      </w:r>
      <w:r w:rsidR="00DE02E9" w:rsidRPr="00EF2F18">
        <w:rPr>
          <w:rFonts w:cs="Times New Roman"/>
          <w:sz w:val="22"/>
          <w:lang w:val="sr-Cyrl-RS" w:eastAsia="en-GB"/>
        </w:rPr>
        <w:t>у вези са животном средином</w:t>
      </w:r>
      <w:r w:rsidRPr="00EF2F18">
        <w:rPr>
          <w:rFonts w:cs="Times New Roman"/>
          <w:sz w:val="22"/>
          <w:lang w:val="sr-Cyrl-RS" w:eastAsia="en-GB"/>
        </w:rPr>
        <w:t>.</w:t>
      </w:r>
      <w:r w:rsidR="005E42D2" w:rsidRPr="00EF2F18">
        <w:rPr>
          <w:rFonts w:cs="Times New Roman"/>
          <w:sz w:val="22"/>
          <w:lang w:val="sr-Cyrl-RS" w:eastAsia="en-GB"/>
        </w:rPr>
        <w:t xml:space="preserve"> </w:t>
      </w:r>
    </w:p>
    <w:p w14:paraId="0142DED9" w14:textId="58A7B0C3" w:rsidR="00634EEE" w:rsidRPr="00EF2F18" w:rsidRDefault="008C0F78" w:rsidP="00634EEE">
      <w:pPr>
        <w:spacing w:after="0"/>
        <w:ind w:firstLine="720"/>
        <w:jc w:val="both"/>
        <w:rPr>
          <w:rFonts w:cs="Times New Roman"/>
          <w:sz w:val="22"/>
          <w:lang w:val="sr-Cyrl-RS" w:eastAsia="en-GB"/>
        </w:rPr>
      </w:pPr>
      <w:r w:rsidRPr="00EF2F18">
        <w:rPr>
          <w:rFonts w:cs="Times New Roman"/>
          <w:sz w:val="22"/>
          <w:lang w:val="sr-Cyrl-RS" w:eastAsia="en-GB"/>
        </w:rPr>
        <w:t>Планирана је и</w:t>
      </w:r>
      <w:r w:rsidR="00634EEE" w:rsidRPr="00EF2F18">
        <w:rPr>
          <w:rFonts w:cs="Times New Roman"/>
          <w:sz w:val="22"/>
          <w:lang w:val="sr-Cyrl-RS" w:eastAsia="en-GB"/>
        </w:rPr>
        <w:t xml:space="preserve">зрада регистра заинтересоване јавности на националном нивоу и на нивоу </w:t>
      </w:r>
      <w:r w:rsidR="00E52612" w:rsidRPr="00EF2F18">
        <w:rPr>
          <w:rFonts w:cs="Times New Roman"/>
          <w:lang w:val="sr-Cyrl-RS"/>
        </w:rPr>
        <w:t>јединица локалне самоуправе</w:t>
      </w:r>
      <w:r w:rsidRPr="00EF2F18">
        <w:rPr>
          <w:rFonts w:cs="Times New Roman"/>
          <w:sz w:val="22"/>
          <w:lang w:val="sr-Cyrl-RS" w:eastAsia="en-GB"/>
        </w:rPr>
        <w:t>.</w:t>
      </w:r>
    </w:p>
    <w:p w14:paraId="7D6BE127" w14:textId="289A576F" w:rsidR="00634EEE" w:rsidRPr="00EF2F18" w:rsidRDefault="008C0F78" w:rsidP="00634EEE">
      <w:pPr>
        <w:spacing w:after="0"/>
        <w:ind w:firstLine="720"/>
        <w:jc w:val="both"/>
        <w:rPr>
          <w:rFonts w:cs="Times New Roman"/>
          <w:sz w:val="22"/>
          <w:lang w:val="sr-Cyrl-RS" w:eastAsia="en-GB"/>
        </w:rPr>
      </w:pPr>
      <w:r w:rsidRPr="00EF2F18">
        <w:rPr>
          <w:rFonts w:cs="Times New Roman"/>
          <w:sz w:val="22"/>
          <w:lang w:val="sr-Cyrl-RS" w:eastAsia="en-GB"/>
        </w:rPr>
        <w:t xml:space="preserve">Ради праћења делотворности учешћа јавности и укључивања доприноса јавности у исходе донетих одлука, вршиће се </w:t>
      </w:r>
      <w:r w:rsidR="00634EEE" w:rsidRPr="00EF2F18">
        <w:rPr>
          <w:rFonts w:cs="Times New Roman"/>
          <w:sz w:val="22"/>
          <w:lang w:val="sr-Cyrl-RS" w:eastAsia="en-GB"/>
        </w:rPr>
        <w:t>периодичн</w:t>
      </w:r>
      <w:r w:rsidRPr="00EF2F18">
        <w:rPr>
          <w:rFonts w:cs="Times New Roman"/>
          <w:sz w:val="22"/>
          <w:lang w:val="sr-Cyrl-RS" w:eastAsia="en-GB"/>
        </w:rPr>
        <w:t>а</w:t>
      </w:r>
      <w:r w:rsidR="00634EEE" w:rsidRPr="00EF2F18">
        <w:rPr>
          <w:rFonts w:cs="Times New Roman"/>
          <w:sz w:val="22"/>
          <w:lang w:val="sr-Cyrl-RS" w:eastAsia="en-GB"/>
        </w:rPr>
        <w:t xml:space="preserve"> процена ефеката учешћа јавности и квалитета процедура у примени</w:t>
      </w:r>
      <w:r w:rsidRPr="00EF2F18">
        <w:rPr>
          <w:rFonts w:cs="Times New Roman"/>
          <w:sz w:val="22"/>
          <w:lang w:val="sr-Cyrl-RS" w:eastAsia="en-GB"/>
        </w:rPr>
        <w:t>.</w:t>
      </w:r>
    </w:p>
    <w:p w14:paraId="41D4ECD3" w14:textId="2ADBDD87"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9D63A7" w:rsidRPr="00EF2F18">
        <w:rPr>
          <w:rFonts w:cs="Times New Roman"/>
          <w:sz w:val="22"/>
          <w:lang w:val="sr-Cyrl-RS" w:eastAsia="en-GB"/>
        </w:rPr>
        <w:t>.</w:t>
      </w:r>
    </w:p>
    <w:p w14:paraId="208E3804" w14:textId="415C2E06"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683050" w:rsidRPr="00EF2F18">
        <w:rPr>
          <w:rFonts w:cs="Times New Roman"/>
          <w:sz w:val="22"/>
          <w:lang w:val="sr-Cyrl-RS" w:eastAsia="en-GB"/>
        </w:rPr>
        <w:t xml:space="preserve">Министарство за људска и мањинска права и друштвени дијалог, </w:t>
      </w:r>
      <w:r w:rsidR="00483269" w:rsidRPr="00EF2F18">
        <w:rPr>
          <w:rFonts w:cs="Times New Roman"/>
          <w:sz w:val="22"/>
          <w:lang w:val="sr-Cyrl-RS" w:eastAsia="en-GB"/>
        </w:rPr>
        <w:t xml:space="preserve">организације цивилног друштва, јединице локалне самоуправе, </w:t>
      </w:r>
      <w:r w:rsidR="004D677C" w:rsidRPr="00EF2F18">
        <w:rPr>
          <w:rFonts w:cs="Times New Roman"/>
          <w:sz w:val="22"/>
          <w:lang w:val="sr-Cyrl-RS" w:eastAsia="en-GB"/>
        </w:rPr>
        <w:t>Стална конференција градова и општина</w:t>
      </w:r>
      <w:r w:rsidR="009D63A7" w:rsidRPr="00EF2F18">
        <w:rPr>
          <w:rFonts w:cs="Times New Roman"/>
          <w:sz w:val="22"/>
          <w:lang w:val="sr-Cyrl-RS" w:eastAsia="en-GB"/>
        </w:rPr>
        <w:t>.</w:t>
      </w:r>
    </w:p>
    <w:p w14:paraId="0B07B15F" w14:textId="066722FB"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483269" w:rsidRPr="00EF2F18">
        <w:rPr>
          <w:rFonts w:cs="Times New Roman"/>
          <w:sz w:val="22"/>
          <w:lang w:val="sr-Cyrl-RS" w:eastAsia="en-GB"/>
        </w:rPr>
        <w:t>информативно</w:t>
      </w:r>
      <w:r w:rsidR="009D63A7" w:rsidRPr="00EF2F18">
        <w:rPr>
          <w:rFonts w:cs="Times New Roman"/>
          <w:sz w:val="22"/>
          <w:lang w:val="sr-Cyrl-RS" w:eastAsia="en-GB"/>
        </w:rPr>
        <w:t>-</w:t>
      </w:r>
      <w:r w:rsidR="00483269" w:rsidRPr="00EF2F18">
        <w:rPr>
          <w:rFonts w:cs="Times New Roman"/>
          <w:sz w:val="22"/>
          <w:lang w:val="sr-Cyrl-RS" w:eastAsia="en-GB"/>
        </w:rPr>
        <w:t>едукативна</w:t>
      </w:r>
      <w:r w:rsidR="009D63A7" w:rsidRPr="00EF2F18">
        <w:rPr>
          <w:rFonts w:cs="Times New Roman"/>
          <w:sz w:val="22"/>
          <w:lang w:val="sr-Cyrl-RS" w:eastAsia="en-GB"/>
        </w:rPr>
        <w:t>.</w:t>
      </w:r>
    </w:p>
    <w:p w14:paraId="412C3AAA" w14:textId="77777777" w:rsidR="0038791D" w:rsidRPr="00EF2F18" w:rsidRDefault="0038791D" w:rsidP="00425FCC">
      <w:pPr>
        <w:spacing w:after="0"/>
        <w:ind w:firstLine="720"/>
        <w:rPr>
          <w:rFonts w:cs="Times New Roman"/>
          <w:sz w:val="22"/>
          <w:lang w:val="sr-Cyrl-RS"/>
        </w:rPr>
      </w:pPr>
    </w:p>
    <w:p w14:paraId="744A8FFF" w14:textId="61A2DDF3" w:rsidR="00D83673" w:rsidRPr="00EF2F18" w:rsidRDefault="00D83673" w:rsidP="009D63A7">
      <w:pPr>
        <w:spacing w:after="0"/>
        <w:rPr>
          <w:rFonts w:cs="Times New Roman"/>
          <w:sz w:val="22"/>
          <w:lang w:val="sr-Cyrl-RS"/>
        </w:rPr>
      </w:pPr>
    </w:p>
    <w:p w14:paraId="58D36B97" w14:textId="7212AD9E"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6.2.4. </w:t>
      </w:r>
      <w:r w:rsidR="0015021D" w:rsidRPr="00EF2F18">
        <w:rPr>
          <w:rFonts w:cs="Times New Roman"/>
          <w:b/>
          <w:bCs/>
          <w:sz w:val="22"/>
          <w:lang w:val="sr-Cyrl-RS" w:eastAsia="en-GB"/>
        </w:rPr>
        <w:t>Усклађивање терминологије, закона и процедура са Архуском конвенцијом и релевантним одредбама законодавства ЕУ</w:t>
      </w:r>
      <w:r w:rsidRPr="00EF2F18">
        <w:rPr>
          <w:rFonts w:cs="Times New Roman"/>
          <w:sz w:val="22"/>
          <w:lang w:val="sr-Cyrl-RS" w:eastAsia="en-GB"/>
        </w:rPr>
        <w:t xml:space="preserve"> </w:t>
      </w:r>
    </w:p>
    <w:p w14:paraId="5C74A299" w14:textId="77777777" w:rsidR="00D83673" w:rsidRPr="00EF2F18" w:rsidRDefault="00D83673" w:rsidP="00E0645D">
      <w:pPr>
        <w:spacing w:after="0"/>
        <w:ind w:firstLine="720"/>
        <w:jc w:val="both"/>
        <w:rPr>
          <w:rFonts w:cs="Times New Roman"/>
          <w:sz w:val="22"/>
          <w:lang w:val="sr-Cyrl-RS"/>
        </w:rPr>
      </w:pPr>
    </w:p>
    <w:p w14:paraId="73AE3543" w14:textId="54ACBEE7" w:rsidR="00E0645D" w:rsidRPr="00EF2F18" w:rsidRDefault="00566F4C" w:rsidP="00E0645D">
      <w:pPr>
        <w:spacing w:after="0"/>
        <w:ind w:firstLine="720"/>
        <w:jc w:val="both"/>
        <w:rPr>
          <w:rFonts w:cs="Times New Roman"/>
          <w:sz w:val="22"/>
          <w:lang w:val="sr-Cyrl-RS" w:eastAsia="en-GB"/>
        </w:rPr>
      </w:pPr>
      <w:r>
        <w:rPr>
          <w:rFonts w:cs="Times New Roman"/>
          <w:sz w:val="22"/>
          <w:lang w:val="sr-Cyrl-RS"/>
        </w:rPr>
        <w:t>Ова мера је пр</w:t>
      </w:r>
      <w:r w:rsidR="00BF3C87" w:rsidRPr="00EF2F18">
        <w:rPr>
          <w:rFonts w:cs="Times New Roman"/>
          <w:sz w:val="22"/>
          <w:lang w:val="sr-Cyrl-RS"/>
        </w:rPr>
        <w:t xml:space="preserve">венствено регулаторног карактера, тиче се унапређења правног оквира, процедура у пракси у раду органа јавних власти и других заинтересованих актера. </w:t>
      </w:r>
      <w:r w:rsidR="00D01031" w:rsidRPr="00EF2F18">
        <w:rPr>
          <w:rFonts w:cs="Times New Roman"/>
          <w:sz w:val="22"/>
          <w:lang w:val="sr-Cyrl-RS"/>
        </w:rPr>
        <w:t xml:space="preserve">У оквиру ове мере потребно </w:t>
      </w:r>
      <w:r w:rsidR="00EB1EDE" w:rsidRPr="00EF2F18">
        <w:rPr>
          <w:rFonts w:cs="Times New Roman"/>
          <w:sz w:val="22"/>
          <w:lang w:val="sr-Cyrl-RS"/>
        </w:rPr>
        <w:t xml:space="preserve">је </w:t>
      </w:r>
      <w:r w:rsidR="00D01031" w:rsidRPr="00EF2F18">
        <w:rPr>
          <w:rFonts w:cs="Times New Roman"/>
          <w:sz w:val="22"/>
          <w:lang w:val="sr-Cyrl-RS"/>
        </w:rPr>
        <w:t xml:space="preserve">обезбедити усклађивање </w:t>
      </w:r>
      <w:r w:rsidR="00E0645D" w:rsidRPr="00EF2F18">
        <w:rPr>
          <w:rFonts w:cs="Times New Roman"/>
          <w:sz w:val="22"/>
          <w:lang w:val="sr-Cyrl-RS" w:eastAsia="en-GB"/>
        </w:rPr>
        <w:t>са свим релевантним директивама Европске уније које се тичу приступа информацијама и осталим које су делом повезане са Архуском конвенцијом, као и усклађивање</w:t>
      </w:r>
      <w:r w:rsidR="00E0645D" w:rsidRPr="00EF2F18">
        <w:rPr>
          <w:rFonts w:cs="Times New Roman"/>
          <w:sz w:val="22"/>
          <w:lang w:val="sr-Cyrl-RS"/>
        </w:rPr>
        <w:t xml:space="preserve"> </w:t>
      </w:r>
      <w:r w:rsidR="00D01031" w:rsidRPr="00EF2F18">
        <w:rPr>
          <w:rFonts w:cs="Times New Roman"/>
          <w:sz w:val="22"/>
          <w:lang w:val="sr-Cyrl-RS"/>
        </w:rPr>
        <w:t>националног законодавства са одредбама Архуске конвенције</w:t>
      </w:r>
      <w:r w:rsidR="00E0645D" w:rsidRPr="00EF2F18">
        <w:rPr>
          <w:rFonts w:cs="Times New Roman"/>
          <w:sz w:val="22"/>
          <w:lang w:val="sr-Cyrl-RS"/>
        </w:rPr>
        <w:t xml:space="preserve"> </w:t>
      </w:r>
      <w:r w:rsidR="00D01031" w:rsidRPr="00EF2F18">
        <w:rPr>
          <w:rFonts w:cs="Times New Roman"/>
          <w:sz w:val="22"/>
          <w:lang w:val="sr-Cyrl-RS"/>
        </w:rPr>
        <w:t>и свих релевантних националних правних аката.</w:t>
      </w:r>
      <w:r w:rsidR="00C0025A" w:rsidRPr="00EF2F18">
        <w:rPr>
          <w:rFonts w:cs="Times New Roman"/>
          <w:sz w:val="22"/>
          <w:lang w:val="sr-Cyrl-RS"/>
        </w:rPr>
        <w:t xml:space="preserve"> Планира се покретање иницијативе за </w:t>
      </w:r>
      <w:r w:rsidR="00731038" w:rsidRPr="00EF2F18">
        <w:rPr>
          <w:rFonts w:cs="Times New Roman"/>
          <w:sz w:val="22"/>
          <w:lang w:val="sr-Cyrl-RS"/>
        </w:rPr>
        <w:t xml:space="preserve">усклађивање Закона о слободном приступу информацијама од јавног значаја са принципима који се тичу слободног приступа информацијама садржаним у Архуској конвенцији </w:t>
      </w:r>
      <w:r w:rsidR="00D01031" w:rsidRPr="00EF2F18">
        <w:rPr>
          <w:rFonts w:cs="Times New Roman"/>
          <w:sz w:val="22"/>
          <w:lang w:val="sr-Cyrl-RS"/>
        </w:rPr>
        <w:t xml:space="preserve">и сачувати достигнути ниво остваривања права на приступ информацијама. </w:t>
      </w:r>
      <w:r w:rsidR="00E0645D" w:rsidRPr="00EF2F18">
        <w:rPr>
          <w:rFonts w:cs="Times New Roman"/>
          <w:sz w:val="22"/>
          <w:lang w:val="sr-Cyrl-RS"/>
        </w:rPr>
        <w:t>Потребно је у</w:t>
      </w:r>
      <w:r w:rsidR="00E0645D" w:rsidRPr="00EF2F18">
        <w:rPr>
          <w:rFonts w:cs="Times New Roman"/>
          <w:sz w:val="22"/>
          <w:lang w:val="sr-Cyrl-RS" w:eastAsia="en-GB"/>
        </w:rPr>
        <w:t>свајање измена и допуна Закона о облигационим односима и Закона о основама својинско-правних односа како би се осигурало учешће заинтересоване јавности као странке у грађанском поступку</w:t>
      </w:r>
      <w:r w:rsidR="00EB1EDE" w:rsidRPr="00EF2F18">
        <w:rPr>
          <w:rFonts w:cs="Times New Roman"/>
          <w:sz w:val="22"/>
          <w:lang w:val="sr-Cyrl-RS" w:eastAsia="en-GB"/>
        </w:rPr>
        <w:t>;</w:t>
      </w:r>
      <w:r w:rsidR="00BF3C87" w:rsidRPr="00EF2F18">
        <w:rPr>
          <w:rFonts w:cs="Times New Roman"/>
          <w:sz w:val="22"/>
          <w:lang w:val="sr-Cyrl-RS" w:eastAsia="en-GB"/>
        </w:rPr>
        <w:t xml:space="preserve"> и и</w:t>
      </w:r>
      <w:r w:rsidR="00E0645D" w:rsidRPr="00EF2F18">
        <w:rPr>
          <w:rFonts w:cs="Times New Roman"/>
          <w:sz w:val="22"/>
          <w:lang w:val="sr-Cyrl-RS" w:eastAsia="en-GB"/>
        </w:rPr>
        <w:t>змене и пооштравање казнене политике у одговарајућим прописима по питању кршења права из области животне средине</w:t>
      </w:r>
      <w:r w:rsidR="00C0025A" w:rsidRPr="00EF2F18">
        <w:rPr>
          <w:rFonts w:cs="Times New Roman"/>
          <w:sz w:val="22"/>
          <w:lang w:val="sr-Cyrl-RS" w:eastAsia="en-GB"/>
        </w:rPr>
        <w:t xml:space="preserve"> и остваривању права на правну заштиту</w:t>
      </w:r>
      <w:r w:rsidR="00BF3C87" w:rsidRPr="00EF2F18">
        <w:rPr>
          <w:rFonts w:cs="Times New Roman"/>
          <w:sz w:val="22"/>
          <w:lang w:val="sr-Cyrl-RS" w:eastAsia="en-GB"/>
        </w:rPr>
        <w:t>.</w:t>
      </w:r>
    </w:p>
    <w:p w14:paraId="7EF926A3" w14:textId="4548A484" w:rsidR="00634EEE" w:rsidRPr="00EF2F18" w:rsidRDefault="00E0645D" w:rsidP="00634EEE">
      <w:pPr>
        <w:spacing w:after="0"/>
        <w:ind w:firstLine="720"/>
        <w:jc w:val="both"/>
        <w:rPr>
          <w:rFonts w:cs="Times New Roman"/>
          <w:sz w:val="22"/>
          <w:lang w:val="sr-Cyrl-RS" w:eastAsia="en-GB"/>
        </w:rPr>
      </w:pPr>
      <w:r w:rsidRPr="00EF2F18">
        <w:rPr>
          <w:rFonts w:cs="Times New Roman"/>
          <w:sz w:val="22"/>
          <w:lang w:val="sr-Cyrl-RS" w:eastAsia="en-GB"/>
        </w:rPr>
        <w:lastRenderedPageBreak/>
        <w:t>Такође је потребна и</w:t>
      </w:r>
      <w:r w:rsidR="00634EEE" w:rsidRPr="00EF2F18">
        <w:rPr>
          <w:rFonts w:cs="Times New Roman"/>
          <w:sz w:val="22"/>
          <w:lang w:val="sr-Cyrl-RS" w:eastAsia="en-GB"/>
        </w:rPr>
        <w:t>змена прописа којима би били успостављени одговарајући механизми који би допринели уклањању или смањењу финансијских и других баријера</w:t>
      </w:r>
      <w:r w:rsidRPr="00EF2F18">
        <w:rPr>
          <w:rFonts w:cs="Times New Roman"/>
          <w:sz w:val="22"/>
          <w:lang w:val="sr-Cyrl-RS" w:eastAsia="en-GB"/>
        </w:rPr>
        <w:t>.</w:t>
      </w:r>
    </w:p>
    <w:p w14:paraId="374C30A1" w14:textId="3E1DF476" w:rsidR="00634EEE" w:rsidRPr="00EF2F18" w:rsidRDefault="00E0645D" w:rsidP="00634EEE">
      <w:pPr>
        <w:spacing w:after="0"/>
        <w:ind w:firstLine="720"/>
        <w:jc w:val="both"/>
        <w:rPr>
          <w:rFonts w:cs="Times New Roman"/>
          <w:sz w:val="22"/>
          <w:lang w:val="sr-Cyrl-RS" w:eastAsia="en-GB"/>
        </w:rPr>
      </w:pPr>
      <w:r w:rsidRPr="00EF2F18">
        <w:rPr>
          <w:rFonts w:cs="Times New Roman"/>
          <w:sz w:val="22"/>
          <w:lang w:val="sr-Cyrl-RS" w:eastAsia="en-GB"/>
        </w:rPr>
        <w:t>О</w:t>
      </w:r>
      <w:r w:rsidR="00BF3C87" w:rsidRPr="00EF2F18">
        <w:rPr>
          <w:rFonts w:cs="Times New Roman"/>
          <w:sz w:val="22"/>
          <w:lang w:val="sr-Cyrl-RS" w:eastAsia="en-GB"/>
        </w:rPr>
        <w:t>с</w:t>
      </w:r>
      <w:r w:rsidRPr="00EF2F18">
        <w:rPr>
          <w:rFonts w:cs="Times New Roman"/>
          <w:sz w:val="22"/>
          <w:lang w:val="sr-Cyrl-RS" w:eastAsia="en-GB"/>
        </w:rPr>
        <w:t>им тога, потребно је у</w:t>
      </w:r>
      <w:r w:rsidR="00634EEE" w:rsidRPr="00EF2F18">
        <w:rPr>
          <w:rFonts w:cs="Times New Roman"/>
          <w:sz w:val="22"/>
          <w:lang w:val="sr-Cyrl-RS" w:eastAsia="en-GB"/>
        </w:rPr>
        <w:t>спостављање система за праћење усаглашености са Архуском конвенцијом</w:t>
      </w:r>
      <w:r w:rsidR="00BF3C87" w:rsidRPr="00EF2F18">
        <w:rPr>
          <w:rFonts w:cs="Times New Roman"/>
          <w:sz w:val="22"/>
          <w:lang w:val="sr-Cyrl-RS" w:eastAsia="en-GB"/>
        </w:rPr>
        <w:t>.</w:t>
      </w:r>
    </w:p>
    <w:p w14:paraId="65F95E41" w14:textId="14DB68EB"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9D63A7" w:rsidRPr="00EF2F18">
        <w:rPr>
          <w:rFonts w:cs="Times New Roman"/>
          <w:sz w:val="22"/>
          <w:lang w:val="sr-Cyrl-RS" w:eastAsia="en-GB"/>
        </w:rPr>
        <w:t>.</w:t>
      </w:r>
    </w:p>
    <w:p w14:paraId="2AA1CFD0" w14:textId="6D590075"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573C80" w:rsidRPr="00EF2F18">
        <w:rPr>
          <w:rFonts w:cs="Times New Roman"/>
          <w:sz w:val="22"/>
          <w:lang w:val="sr-Cyrl-RS" w:eastAsia="en-GB"/>
        </w:rPr>
        <w:t xml:space="preserve">Министарство правде, </w:t>
      </w:r>
      <w:r w:rsidR="00855B9F" w:rsidRPr="00EF2F18">
        <w:rPr>
          <w:rFonts w:cs="Times New Roman"/>
          <w:sz w:val="22"/>
          <w:lang w:val="sr-Cyrl-RS" w:eastAsia="en-GB"/>
        </w:rPr>
        <w:t>Министарство за европске интеграције,</w:t>
      </w:r>
      <w:r w:rsidR="006C2E00" w:rsidRPr="00EF2F18">
        <w:rPr>
          <w:rFonts w:cs="Times New Roman"/>
          <w:sz w:val="22"/>
          <w:lang w:val="sr-Cyrl-RS" w:eastAsia="en-GB"/>
        </w:rPr>
        <w:t xml:space="preserve"> </w:t>
      </w:r>
      <w:r w:rsidR="00855B9F" w:rsidRPr="00EF2F18">
        <w:rPr>
          <w:rFonts w:cs="Times New Roman"/>
          <w:sz w:val="22"/>
          <w:lang w:val="sr-Cyrl-RS" w:eastAsia="en-GB"/>
        </w:rPr>
        <w:t xml:space="preserve">Повереник за информације од јавног значаја и заштиту података о личности, </w:t>
      </w:r>
      <w:r w:rsidR="00FA6C6B" w:rsidRPr="00EF2F18">
        <w:rPr>
          <w:rFonts w:cs="Times New Roman"/>
          <w:sz w:val="22"/>
          <w:lang w:val="sr-Cyrl-RS" w:eastAsia="en-GB"/>
        </w:rPr>
        <w:t xml:space="preserve">Министарство </w:t>
      </w:r>
      <w:r w:rsidR="009D63A7" w:rsidRPr="00EF2F18">
        <w:rPr>
          <w:rFonts w:cs="Times New Roman"/>
          <w:sz w:val="22"/>
          <w:lang w:val="sr-Cyrl-RS" w:eastAsia="en-GB"/>
        </w:rPr>
        <w:t>државне управе и локалне самоуправе</w:t>
      </w:r>
      <w:r w:rsidR="00FA6C6B" w:rsidRPr="00EF2F18">
        <w:rPr>
          <w:rFonts w:cs="Times New Roman"/>
          <w:sz w:val="22"/>
          <w:lang w:val="sr-Cyrl-RS" w:eastAsia="en-GB"/>
        </w:rPr>
        <w:t xml:space="preserve">, </w:t>
      </w:r>
      <w:r w:rsidR="00573C80" w:rsidRPr="00EF2F18">
        <w:rPr>
          <w:rFonts w:cs="Times New Roman"/>
          <w:sz w:val="22"/>
          <w:lang w:val="sr-Cyrl-RS" w:eastAsia="en-GB"/>
        </w:rPr>
        <w:t>у сарадњи са другим релевантним министарствима и органима јавне власти, удружењ</w:t>
      </w:r>
      <w:r w:rsidR="00852D83" w:rsidRPr="00EF2F18">
        <w:rPr>
          <w:rFonts w:cs="Times New Roman"/>
          <w:sz w:val="22"/>
          <w:lang w:val="sr-Cyrl-RS" w:eastAsia="en-GB"/>
        </w:rPr>
        <w:t>a</w:t>
      </w:r>
      <w:r w:rsidR="00573C80" w:rsidRPr="00EF2F18">
        <w:rPr>
          <w:rFonts w:cs="Times New Roman"/>
          <w:sz w:val="22"/>
          <w:lang w:val="sr-Cyrl-RS" w:eastAsia="en-GB"/>
        </w:rPr>
        <w:t>, регионални Архус центри</w:t>
      </w:r>
      <w:r w:rsidR="009D63A7" w:rsidRPr="00EF2F18">
        <w:rPr>
          <w:rFonts w:cs="Times New Roman"/>
          <w:sz w:val="22"/>
          <w:lang w:val="sr-Cyrl-RS" w:eastAsia="en-GB"/>
        </w:rPr>
        <w:t>.</w:t>
      </w:r>
    </w:p>
    <w:p w14:paraId="1CAE1D21" w14:textId="56E5A093"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E0645D" w:rsidRPr="00EF2F18">
        <w:rPr>
          <w:rFonts w:cs="Times New Roman"/>
          <w:sz w:val="22"/>
          <w:lang w:val="sr-Cyrl-RS" w:eastAsia="en-GB"/>
        </w:rPr>
        <w:t>регулаторна</w:t>
      </w:r>
      <w:r w:rsidR="009D63A7" w:rsidRPr="00EF2F18">
        <w:rPr>
          <w:rFonts w:cs="Times New Roman"/>
          <w:sz w:val="22"/>
          <w:lang w:val="sr-Cyrl-RS" w:eastAsia="en-GB"/>
        </w:rPr>
        <w:t>.</w:t>
      </w:r>
      <w:r w:rsidR="00E0645D" w:rsidRPr="00EF2F18">
        <w:rPr>
          <w:rFonts w:cs="Times New Roman"/>
          <w:sz w:val="22"/>
          <w:lang w:val="sr-Cyrl-RS" w:eastAsia="en-GB"/>
        </w:rPr>
        <w:t xml:space="preserve"> </w:t>
      </w:r>
    </w:p>
    <w:p w14:paraId="45FD508B" w14:textId="77777777" w:rsidR="00961D42" w:rsidRPr="00EF2F18" w:rsidRDefault="00961D42" w:rsidP="00425FCC">
      <w:pPr>
        <w:spacing w:after="0"/>
        <w:ind w:firstLine="720"/>
        <w:rPr>
          <w:rFonts w:cs="Times New Roman"/>
          <w:b/>
          <w:bCs/>
          <w:sz w:val="22"/>
          <w:lang w:val="sr-Cyrl-RS"/>
        </w:rPr>
      </w:pPr>
    </w:p>
    <w:p w14:paraId="638A26B4" w14:textId="646BFB66" w:rsidR="005D5264" w:rsidRPr="00EF2F18" w:rsidRDefault="005D5264"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6.2.5. </w:t>
      </w:r>
      <w:r w:rsidR="0015021D" w:rsidRPr="00EF2F18">
        <w:rPr>
          <w:rFonts w:cs="Times New Roman"/>
          <w:b/>
          <w:bCs/>
          <w:sz w:val="22"/>
          <w:lang w:val="sr-Cyrl-RS" w:eastAsia="en-GB"/>
        </w:rPr>
        <w:t>Јачање капацитета институција за остваривање правне заштите по питањима животне средине</w:t>
      </w:r>
      <w:r w:rsidRPr="00EF2F18">
        <w:rPr>
          <w:rFonts w:cs="Times New Roman"/>
          <w:sz w:val="22"/>
          <w:lang w:val="sr-Cyrl-RS" w:eastAsia="en-GB"/>
        </w:rPr>
        <w:t xml:space="preserve"> </w:t>
      </w:r>
    </w:p>
    <w:p w14:paraId="6C3FD496" w14:textId="77777777" w:rsidR="00A51B5C" w:rsidRDefault="00A51B5C" w:rsidP="00FA6C6B">
      <w:pPr>
        <w:spacing w:after="0"/>
        <w:ind w:firstLine="720"/>
        <w:jc w:val="both"/>
        <w:rPr>
          <w:rFonts w:cs="Times New Roman"/>
          <w:sz w:val="22"/>
          <w:lang w:val="sr-Cyrl-RS" w:eastAsia="en-GB"/>
        </w:rPr>
      </w:pPr>
    </w:p>
    <w:p w14:paraId="6016153A" w14:textId="7FB56064" w:rsidR="00634EEE" w:rsidRPr="00EF2F18" w:rsidRDefault="004B772E" w:rsidP="00FA6C6B">
      <w:pPr>
        <w:spacing w:after="0"/>
        <w:ind w:firstLine="720"/>
        <w:jc w:val="both"/>
        <w:rPr>
          <w:rFonts w:cs="Times New Roman"/>
          <w:sz w:val="22"/>
          <w:lang w:val="sr-Cyrl-RS" w:eastAsia="en-GB"/>
        </w:rPr>
      </w:pPr>
      <w:r w:rsidRPr="00EF2F18">
        <w:rPr>
          <w:rFonts w:cs="Times New Roman"/>
          <w:sz w:val="22"/>
          <w:lang w:val="sr-Cyrl-RS" w:eastAsia="en-GB"/>
        </w:rPr>
        <w:t xml:space="preserve">У оквиру ове мере </w:t>
      </w:r>
      <w:r w:rsidR="00FA6C6B" w:rsidRPr="00EF2F18">
        <w:rPr>
          <w:rFonts w:cs="Times New Roman"/>
          <w:sz w:val="22"/>
          <w:lang w:val="sr-Cyrl-RS" w:eastAsia="en-GB"/>
        </w:rPr>
        <w:t>важно</w:t>
      </w:r>
      <w:r w:rsidRPr="00EF2F18">
        <w:rPr>
          <w:rFonts w:cs="Times New Roman"/>
          <w:sz w:val="22"/>
          <w:lang w:val="sr-Cyrl-RS" w:eastAsia="en-GB"/>
        </w:rPr>
        <w:t xml:space="preserve"> је у</w:t>
      </w:r>
      <w:r w:rsidR="00634EEE" w:rsidRPr="00EF2F18">
        <w:rPr>
          <w:rFonts w:cs="Times New Roman"/>
          <w:sz w:val="22"/>
          <w:lang w:val="sr-Cyrl-RS" w:eastAsia="en-GB"/>
        </w:rPr>
        <w:t>спостављање праћења примене Архуске конвенције са становишта забране дискриминације (по основу држављанства, националности или места пребивалишта)</w:t>
      </w:r>
      <w:r w:rsidRPr="00EF2F18">
        <w:rPr>
          <w:rFonts w:cs="Times New Roman"/>
          <w:sz w:val="22"/>
          <w:lang w:val="sr-Cyrl-RS" w:eastAsia="en-GB"/>
        </w:rPr>
        <w:t>.</w:t>
      </w:r>
    </w:p>
    <w:p w14:paraId="44D1A680" w14:textId="629F709D" w:rsidR="00634EEE" w:rsidRPr="00EF2F18" w:rsidRDefault="004B772E" w:rsidP="00634EEE">
      <w:pPr>
        <w:spacing w:after="0"/>
        <w:ind w:firstLine="720"/>
        <w:jc w:val="both"/>
        <w:rPr>
          <w:rFonts w:cs="Times New Roman"/>
          <w:sz w:val="22"/>
          <w:lang w:val="sr-Cyrl-RS" w:eastAsia="en-GB"/>
        </w:rPr>
      </w:pPr>
      <w:r w:rsidRPr="00EF2F18">
        <w:rPr>
          <w:rFonts w:cs="Times New Roman"/>
          <w:sz w:val="22"/>
          <w:lang w:val="sr-Cyrl-RS" w:eastAsia="en-GB"/>
        </w:rPr>
        <w:t>Потребно је у</w:t>
      </w:r>
      <w:r w:rsidR="00634EEE" w:rsidRPr="00EF2F18">
        <w:rPr>
          <w:rFonts w:cs="Times New Roman"/>
          <w:sz w:val="22"/>
          <w:lang w:val="sr-Cyrl-RS" w:eastAsia="en-GB"/>
        </w:rPr>
        <w:t>спостављање институционалних механизама помоћи</w:t>
      </w:r>
      <w:r w:rsidRPr="00EF2F18">
        <w:rPr>
          <w:rFonts w:cs="Times New Roman"/>
          <w:sz w:val="22"/>
          <w:lang w:val="sr-Cyrl-RS" w:eastAsia="en-GB"/>
        </w:rPr>
        <w:t xml:space="preserve"> и и</w:t>
      </w:r>
      <w:r w:rsidR="00634EEE" w:rsidRPr="00EF2F18">
        <w:rPr>
          <w:rFonts w:cs="Times New Roman"/>
          <w:sz w:val="22"/>
          <w:lang w:val="sr-Cyrl-RS" w:eastAsia="en-GB"/>
        </w:rPr>
        <w:t>зрада приручника о примерима добре праксе остваривања правне заштите у области животне средине</w:t>
      </w:r>
      <w:r w:rsidR="00FA6C6B" w:rsidRPr="00EF2F18">
        <w:rPr>
          <w:rFonts w:cs="Times New Roman"/>
          <w:sz w:val="22"/>
          <w:lang w:val="sr-Cyrl-RS" w:eastAsia="en-GB"/>
        </w:rPr>
        <w:t xml:space="preserve"> и </w:t>
      </w:r>
      <w:r w:rsidR="00C0025A" w:rsidRPr="00EF2F18">
        <w:rPr>
          <w:rFonts w:cs="Times New Roman"/>
          <w:sz w:val="22"/>
          <w:lang w:val="sr-Cyrl-RS" w:eastAsia="en-GB"/>
        </w:rPr>
        <w:t>и</w:t>
      </w:r>
      <w:r w:rsidR="00FA6C6B" w:rsidRPr="00EF2F18">
        <w:rPr>
          <w:rFonts w:cs="Times New Roman"/>
          <w:sz w:val="22"/>
          <w:lang w:val="sr-Cyrl-RS" w:eastAsia="en-GB"/>
        </w:rPr>
        <w:t xml:space="preserve">зрада упутстава </w:t>
      </w:r>
      <w:r w:rsidR="00D82BDA" w:rsidRPr="00EF2F18">
        <w:rPr>
          <w:rFonts w:cs="Times New Roman"/>
          <w:sz w:val="22"/>
          <w:lang w:val="sr-Cyrl-RS" w:eastAsia="en-GB"/>
        </w:rPr>
        <w:t xml:space="preserve">јавним </w:t>
      </w:r>
      <w:r w:rsidR="00FA6C6B" w:rsidRPr="00EF2F18">
        <w:rPr>
          <w:rFonts w:cs="Times New Roman"/>
          <w:sz w:val="22"/>
          <w:lang w:val="sr-Cyrl-RS" w:eastAsia="en-GB"/>
        </w:rPr>
        <w:t>тужилаштвима за сузбијање кривичних дела против животне средине</w:t>
      </w:r>
    </w:p>
    <w:p w14:paraId="26BECD21" w14:textId="28DE725C" w:rsidR="003A5AF3" w:rsidRPr="00EF2F18" w:rsidRDefault="003A5AF3" w:rsidP="003A5AF3">
      <w:pPr>
        <w:spacing w:after="0"/>
        <w:ind w:firstLine="720"/>
        <w:jc w:val="both"/>
        <w:rPr>
          <w:rFonts w:cs="Times New Roman"/>
          <w:sz w:val="22"/>
          <w:lang w:val="sr-Cyrl-RS" w:eastAsia="en-GB"/>
        </w:rPr>
      </w:pPr>
      <w:r w:rsidRPr="00EF2F18">
        <w:rPr>
          <w:rFonts w:cs="Times New Roman"/>
          <w:sz w:val="22"/>
          <w:lang w:val="sr-Cyrl-RS" w:eastAsia="en-GB"/>
        </w:rPr>
        <w:t xml:space="preserve">У судовима нису успостављена одељења специјализованих за предмете из области заштите животне средине а и недовољна је обука судија и тужилаца за поступање у предметима заштите животне средине. </w:t>
      </w:r>
    </w:p>
    <w:p w14:paraId="1C39B9E2" w14:textId="755A2DA4" w:rsidR="003A5AF3" w:rsidRPr="00EF2F18" w:rsidRDefault="003A5AF3" w:rsidP="003A5AF3">
      <w:pPr>
        <w:spacing w:after="0"/>
        <w:ind w:firstLine="720"/>
        <w:jc w:val="both"/>
        <w:rPr>
          <w:rFonts w:cs="Times New Roman"/>
          <w:sz w:val="22"/>
          <w:lang w:val="sr-Cyrl-RS" w:eastAsia="en-GB"/>
        </w:rPr>
      </w:pPr>
      <w:r w:rsidRPr="00EF2F18">
        <w:rPr>
          <w:rFonts w:cs="Times New Roman"/>
          <w:sz w:val="22"/>
          <w:lang w:val="sr-Cyrl-RS" w:eastAsia="en-GB"/>
        </w:rPr>
        <w:t>Обезбеђивање права на правну заштиту у питањима животне средине захтева</w:t>
      </w:r>
      <w:r w:rsidR="00FA7222" w:rsidRPr="00EF2F18">
        <w:rPr>
          <w:rFonts w:cs="Times New Roman"/>
          <w:sz w:val="22"/>
          <w:lang w:val="sr-Cyrl-RS" w:eastAsia="en-GB"/>
        </w:rPr>
        <w:t xml:space="preserve"> </w:t>
      </w:r>
      <w:r w:rsidRPr="00EF2F18">
        <w:rPr>
          <w:rFonts w:cs="Times New Roman"/>
          <w:sz w:val="22"/>
          <w:lang w:val="sr-Cyrl-RS" w:eastAsia="en-GB"/>
        </w:rPr>
        <w:t xml:space="preserve">успостављање специјализованих одељења у судовима </w:t>
      </w:r>
      <w:r w:rsidR="007D6439" w:rsidRPr="00EF2F18">
        <w:rPr>
          <w:rFonts w:cs="Times New Roman"/>
          <w:sz w:val="22"/>
          <w:lang w:val="sr-Cyrl-RS" w:eastAsia="en-GB"/>
        </w:rPr>
        <w:t xml:space="preserve"> и у јавним тужилаштвима </w:t>
      </w:r>
      <w:r w:rsidRPr="00EF2F18">
        <w:rPr>
          <w:rFonts w:cs="Times New Roman"/>
          <w:sz w:val="22"/>
          <w:lang w:val="sr-Cyrl-RS" w:eastAsia="en-GB"/>
        </w:rPr>
        <w:t>за предмете из области животне средине. Ова мера реализоваће се кроз спровођење одговарајућих обука и програма за судије, стручне сараднике и тужиоце усмерених на стицање знања везаних за еколошке случајеве. За реализацију успостављања специјализованих одељења у судовима за предмете из области животне средине је потребно извршити реорганизацију система</w:t>
      </w:r>
      <w:r w:rsidR="007D6439" w:rsidRPr="00EF2F18">
        <w:rPr>
          <w:rFonts w:cs="Times New Roman"/>
          <w:sz w:val="22"/>
          <w:lang w:val="sr-Cyrl-RS" w:eastAsia="en-GB"/>
        </w:rPr>
        <w:t xml:space="preserve"> </w:t>
      </w:r>
      <w:r w:rsidRPr="00EF2F18">
        <w:rPr>
          <w:rFonts w:cs="Times New Roman"/>
          <w:sz w:val="22"/>
          <w:lang w:val="sr-Cyrl-RS" w:eastAsia="en-GB"/>
        </w:rPr>
        <w:t>уређења судова</w:t>
      </w:r>
      <w:r w:rsidR="007D6439" w:rsidRPr="00EF2F18">
        <w:rPr>
          <w:rFonts w:cs="Times New Roman"/>
          <w:sz w:val="22"/>
          <w:lang w:val="sr-Cyrl-RS" w:eastAsia="en-GB"/>
        </w:rPr>
        <w:t>, као и јавним тужилаштвима</w:t>
      </w:r>
      <w:r w:rsidR="00BB3175" w:rsidRPr="00EF2F18">
        <w:rPr>
          <w:rFonts w:cs="Times New Roman"/>
          <w:sz w:val="22"/>
          <w:lang w:val="sr-Cyrl-RS" w:eastAsia="en-GB"/>
        </w:rPr>
        <w:t>.</w:t>
      </w:r>
      <w:r w:rsidR="00BB3175" w:rsidRPr="00EF2F18">
        <w:rPr>
          <w:rFonts w:cs="Times New Roman"/>
          <w:sz w:val="22"/>
          <w:lang w:val="sr-Cyrl-RS"/>
        </w:rPr>
        <w:t xml:space="preserve"> </w:t>
      </w:r>
      <w:r w:rsidR="00BB3175" w:rsidRPr="00EF2F18">
        <w:rPr>
          <w:rFonts w:cs="Times New Roman"/>
          <w:sz w:val="22"/>
          <w:lang w:val="sr-Cyrl-RS" w:eastAsia="en-GB"/>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3D1850A7" w14:textId="7CD21FD2" w:rsidR="00BC5C85"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8E4D1E" w:rsidRPr="00EF2F18">
        <w:rPr>
          <w:rFonts w:cs="Times New Roman"/>
          <w:sz w:val="22"/>
          <w:lang w:val="sr-Cyrl-RS" w:eastAsia="en-GB"/>
        </w:rPr>
        <w:t>Правосудна aкадемија</w:t>
      </w:r>
      <w:r w:rsidR="009D63A7" w:rsidRPr="00EF2F18">
        <w:rPr>
          <w:rFonts w:cs="Times New Roman"/>
          <w:sz w:val="22"/>
          <w:lang w:val="sr-Cyrl-RS" w:eastAsia="en-GB"/>
        </w:rPr>
        <w:t>.</w:t>
      </w:r>
    </w:p>
    <w:p w14:paraId="7BAD0236" w14:textId="685B750D"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8E4D1E" w:rsidRPr="00EF2F18">
        <w:rPr>
          <w:rFonts w:cs="Times New Roman"/>
          <w:sz w:val="22"/>
          <w:lang w:val="sr-Cyrl-RS" w:eastAsia="en-GB"/>
        </w:rPr>
        <w:t>Министарство заштите животне средине</w:t>
      </w:r>
      <w:r w:rsidR="004B772E" w:rsidRPr="00EF2F18">
        <w:rPr>
          <w:rFonts w:cs="Times New Roman"/>
          <w:sz w:val="22"/>
          <w:lang w:val="sr-Cyrl-RS" w:eastAsia="en-GB"/>
        </w:rPr>
        <w:t xml:space="preserve">, ВСС, </w:t>
      </w:r>
      <w:r w:rsidR="00EB1EDE" w:rsidRPr="00EF2F18">
        <w:rPr>
          <w:rFonts w:cs="Times New Roman"/>
          <w:sz w:val="22"/>
          <w:lang w:val="sr-Cyrl-RS" w:eastAsia="en-GB"/>
        </w:rPr>
        <w:t>ВС</w:t>
      </w:r>
      <w:r w:rsidR="004B772E" w:rsidRPr="00EF2F18">
        <w:rPr>
          <w:rFonts w:cs="Times New Roman"/>
          <w:sz w:val="22"/>
          <w:lang w:val="sr-Cyrl-RS" w:eastAsia="en-GB"/>
        </w:rPr>
        <w:t>Т</w:t>
      </w:r>
      <w:r w:rsidR="009D63A7" w:rsidRPr="00EF2F18">
        <w:rPr>
          <w:rFonts w:cs="Times New Roman"/>
          <w:sz w:val="22"/>
          <w:lang w:val="sr-Cyrl-RS" w:eastAsia="en-GB"/>
        </w:rPr>
        <w:t>.</w:t>
      </w:r>
    </w:p>
    <w:p w14:paraId="373AD498" w14:textId="7F3C411C" w:rsidR="005D5264" w:rsidRPr="00EF2F18" w:rsidRDefault="005D5264"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D63A7" w:rsidRPr="00EF2F18">
        <w:rPr>
          <w:rFonts w:cs="Times New Roman"/>
          <w:sz w:val="22"/>
          <w:lang w:val="sr-Cyrl-RS" w:eastAsia="en-GB"/>
        </w:rPr>
        <w:t>институционално-управљачко-</w:t>
      </w:r>
      <w:r w:rsidR="00483269" w:rsidRPr="00EF2F18">
        <w:rPr>
          <w:rFonts w:cs="Times New Roman"/>
          <w:sz w:val="22"/>
          <w:lang w:val="sr-Cyrl-RS" w:eastAsia="en-GB"/>
        </w:rPr>
        <w:t>организациона</w:t>
      </w:r>
      <w:r w:rsidR="00C96528" w:rsidRPr="00EF2F18">
        <w:rPr>
          <w:rFonts w:cs="Times New Roman"/>
          <w:sz w:val="22"/>
          <w:lang w:val="sr-Cyrl-RS" w:eastAsia="en-GB"/>
        </w:rPr>
        <w:t>.</w:t>
      </w:r>
      <w:r w:rsidR="00483269" w:rsidRPr="00EF2F18">
        <w:rPr>
          <w:rFonts w:cs="Times New Roman"/>
          <w:sz w:val="22"/>
          <w:lang w:val="sr-Cyrl-RS" w:eastAsia="en-GB"/>
        </w:rPr>
        <w:t xml:space="preserve"> </w:t>
      </w:r>
    </w:p>
    <w:p w14:paraId="1EEF917A" w14:textId="4FE06B24" w:rsidR="0038791D" w:rsidRPr="00A51B5C" w:rsidRDefault="0038791D" w:rsidP="004D677C">
      <w:pPr>
        <w:spacing w:after="0"/>
        <w:rPr>
          <w:rFonts w:cs="Times New Roman"/>
          <w:b/>
          <w:bCs/>
          <w:sz w:val="12"/>
          <w:szCs w:val="12"/>
          <w:lang w:val="sr-Cyrl-RS"/>
        </w:rPr>
      </w:pPr>
    </w:p>
    <w:p w14:paraId="67ACAE6A" w14:textId="279F281E" w:rsidR="0038791D" w:rsidRPr="00EF2F18" w:rsidRDefault="0038791D" w:rsidP="003744A8">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6.3: </w:t>
      </w:r>
      <w:bookmarkStart w:id="134" w:name="_Hlk141595963"/>
      <w:r w:rsidR="004B709F" w:rsidRPr="00EF2F18">
        <w:rPr>
          <w:rFonts w:cs="Times New Roman"/>
          <w:b/>
          <w:bCs/>
          <w:color w:val="2E74B5" w:themeColor="accent1" w:themeShade="BF"/>
          <w:sz w:val="22"/>
          <w:lang w:val="sr-Cyrl-RS"/>
        </w:rPr>
        <w:t>Даљи р</w:t>
      </w:r>
      <w:r w:rsidR="00F666C3" w:rsidRPr="00EF2F18">
        <w:rPr>
          <w:rFonts w:cs="Times New Roman"/>
          <w:b/>
          <w:bCs/>
          <w:color w:val="2E74B5" w:themeColor="accent1" w:themeShade="BF"/>
          <w:sz w:val="22"/>
          <w:lang w:val="sr-Cyrl-RS"/>
        </w:rPr>
        <w:t xml:space="preserve">азвој </w:t>
      </w:r>
      <w:r w:rsidR="00617188" w:rsidRPr="00EF2F18">
        <w:rPr>
          <w:rFonts w:cs="Times New Roman"/>
          <w:b/>
          <w:bCs/>
          <w:color w:val="2E74B5" w:themeColor="accent1" w:themeShade="BF"/>
          <w:sz w:val="22"/>
          <w:lang w:val="sr-Cyrl-RS"/>
        </w:rPr>
        <w:t>система за праћење квалитета чинилаца животне средине и утицаја климатских промена</w:t>
      </w:r>
      <w:bookmarkEnd w:id="134"/>
      <w:r w:rsidR="00F666C3" w:rsidRPr="00EF2F18">
        <w:rPr>
          <w:rFonts w:cs="Times New Roman"/>
          <w:b/>
          <w:bCs/>
          <w:color w:val="2E74B5" w:themeColor="accent1" w:themeShade="BF"/>
          <w:sz w:val="22"/>
          <w:lang w:val="sr-Cyrl-RS"/>
        </w:rPr>
        <w:t xml:space="preserve"> </w:t>
      </w:r>
    </w:p>
    <w:p w14:paraId="522F4A30" w14:textId="77777777" w:rsidR="00753384" w:rsidRPr="00A51B5C" w:rsidRDefault="00753384" w:rsidP="00425FCC">
      <w:pPr>
        <w:spacing w:after="0"/>
        <w:ind w:firstLine="720"/>
        <w:jc w:val="both"/>
        <w:rPr>
          <w:rFonts w:cs="Times New Roman"/>
          <w:sz w:val="12"/>
          <w:szCs w:val="12"/>
          <w:lang w:val="sr-Cyrl-RS"/>
        </w:rPr>
      </w:pPr>
    </w:p>
    <w:p w14:paraId="66AC0214" w14:textId="21D70D8B" w:rsidR="0038791D" w:rsidRPr="00EF2F18" w:rsidRDefault="0038791D" w:rsidP="00425FCC">
      <w:pPr>
        <w:spacing w:after="0"/>
        <w:ind w:firstLine="720"/>
        <w:jc w:val="both"/>
        <w:rPr>
          <w:rFonts w:cs="Times New Roman"/>
          <w:sz w:val="22"/>
          <w:lang w:val="sr-Cyrl-RS"/>
        </w:rPr>
      </w:pPr>
      <w:r w:rsidRPr="00EF2F18">
        <w:rPr>
          <w:rFonts w:cs="Times New Roman"/>
          <w:sz w:val="22"/>
          <w:lang w:val="sr-Cyrl-RS"/>
        </w:rPr>
        <w:t xml:space="preserve">Спровођење овог циља базирано је на </w:t>
      </w:r>
      <w:r w:rsidR="002E0CC4" w:rsidRPr="00EF2F18">
        <w:rPr>
          <w:sz w:val="22"/>
          <w:lang w:val="sr-Cyrl-RS"/>
        </w:rPr>
        <w:t xml:space="preserve">члану 74. Закона о заштити животне средине и </w:t>
      </w:r>
      <w:r w:rsidRPr="00EF2F18">
        <w:rPr>
          <w:rFonts w:cs="Times New Roman"/>
          <w:sz w:val="22"/>
          <w:lang w:val="sr-Cyrl-RS"/>
        </w:rPr>
        <w:t xml:space="preserve">одредбама из </w:t>
      </w:r>
      <w:r w:rsidR="004B3A8E" w:rsidRPr="00EF2F18">
        <w:rPr>
          <w:rFonts w:cs="Times New Roman"/>
          <w:sz w:val="22"/>
          <w:lang w:val="sr-Cyrl-RS"/>
        </w:rPr>
        <w:t xml:space="preserve">секторских </w:t>
      </w:r>
      <w:r w:rsidRPr="00EF2F18">
        <w:rPr>
          <w:rFonts w:cs="Times New Roman"/>
          <w:sz w:val="22"/>
          <w:lang w:val="sr-Cyrl-RS"/>
        </w:rPr>
        <w:t>директив</w:t>
      </w:r>
      <w:r w:rsidR="004B3A8E" w:rsidRPr="00EF2F18">
        <w:rPr>
          <w:rFonts w:cs="Times New Roman"/>
          <w:sz w:val="22"/>
          <w:lang w:val="sr-Cyrl-RS"/>
        </w:rPr>
        <w:t>а</w:t>
      </w:r>
      <w:r w:rsidRPr="00EF2F18">
        <w:rPr>
          <w:rFonts w:cs="Times New Roman"/>
          <w:sz w:val="22"/>
          <w:lang w:val="sr-Cyrl-RS"/>
        </w:rPr>
        <w:t xml:space="preserve"> </w:t>
      </w:r>
      <w:r w:rsidR="00CB69BB" w:rsidRPr="00EF2F18">
        <w:rPr>
          <w:rFonts w:cs="Times New Roman"/>
          <w:sz w:val="22"/>
          <w:lang w:val="sr-Cyrl-RS"/>
        </w:rPr>
        <w:t xml:space="preserve">ЕУ </w:t>
      </w:r>
      <w:r w:rsidR="004B3A8E" w:rsidRPr="00EF2F18">
        <w:rPr>
          <w:rFonts w:cs="Times New Roman"/>
          <w:sz w:val="22"/>
          <w:lang w:val="sr-Cyrl-RS"/>
        </w:rPr>
        <w:t>у вези мониторинга квалитета чинилаца животне средине</w:t>
      </w:r>
      <w:r w:rsidR="00F701FF" w:rsidRPr="00EF2F18">
        <w:rPr>
          <w:rFonts w:cs="Times New Roman"/>
          <w:sz w:val="22"/>
          <w:lang w:val="sr-Cyrl-RS"/>
        </w:rPr>
        <w:t>.</w:t>
      </w:r>
    </w:p>
    <w:p w14:paraId="7B9EA313" w14:textId="3BAC64E8" w:rsidR="00961B97" w:rsidRPr="00EF2F18" w:rsidRDefault="00961B97" w:rsidP="00961B97">
      <w:pPr>
        <w:spacing w:after="0"/>
        <w:ind w:firstLine="720"/>
        <w:jc w:val="both"/>
        <w:rPr>
          <w:sz w:val="22"/>
          <w:lang w:val="sr-Cyrl-RS"/>
        </w:rPr>
      </w:pPr>
      <w:r w:rsidRPr="00EF2F18">
        <w:rPr>
          <w:rFonts w:eastAsia="Calibri" w:cs="Times New Roman"/>
          <w:sz w:val="22"/>
          <w:lang w:val="sr-Cyrl-RS"/>
        </w:rPr>
        <w:t xml:space="preserve">Овај посебан циљ доприноси реализацији ЦОР </w:t>
      </w:r>
      <w:r w:rsidR="00867A68" w:rsidRPr="00EF2F18">
        <w:rPr>
          <w:rFonts w:eastAsia="Calibri" w:cs="Times New Roman"/>
          <w:sz w:val="22"/>
          <w:lang w:val="sr-Cyrl-RS"/>
        </w:rPr>
        <w:t>13 који на</w:t>
      </w:r>
      <w:r w:rsidR="00867A68" w:rsidRPr="00EF2F18">
        <w:rPr>
          <w:rFonts w:cs="Times New Roman"/>
          <w:sz w:val="22"/>
          <w:lang w:val="sr-Cyrl-RS"/>
        </w:rPr>
        <w:t>лаже да се предузме хитна акција у борби против климатских промена и њихових последиц</w:t>
      </w:r>
      <w:r w:rsidR="00F701FF" w:rsidRPr="00EF2F18">
        <w:rPr>
          <w:rFonts w:cs="Times New Roman"/>
          <w:sz w:val="22"/>
          <w:lang w:val="sr-Cyrl-RS"/>
        </w:rPr>
        <w:t>а</w:t>
      </w:r>
      <w:r w:rsidRPr="00EF2F18">
        <w:rPr>
          <w:rFonts w:cs="Times New Roman"/>
          <w:sz w:val="22"/>
          <w:lang w:val="sr-Cyrl-RS"/>
        </w:rPr>
        <w:t>. Такође доприноси реализацији</w:t>
      </w:r>
      <w:r w:rsidRPr="00EF2F18">
        <w:rPr>
          <w:sz w:val="22"/>
          <w:lang w:val="sr-Cyrl-RS"/>
        </w:rPr>
        <w:t xml:space="preserve"> ЦОР </w:t>
      </w:r>
      <w:r w:rsidRPr="00EF2F18">
        <w:rPr>
          <w:rFonts w:cs="Times New Roman"/>
          <w:sz w:val="22"/>
          <w:lang w:val="sr-Cyrl-RS"/>
        </w:rPr>
        <w:t xml:space="preserve">17 који </w:t>
      </w:r>
      <w:r w:rsidRPr="00EF2F18">
        <w:rPr>
          <w:sz w:val="22"/>
          <w:lang w:val="sr-Cyrl-RS"/>
        </w:rPr>
        <w:t>предвиђа јачање партнерстава за одрживи развој.</w:t>
      </w:r>
    </w:p>
    <w:p w14:paraId="62308D03" w14:textId="77777777" w:rsidR="00961B97" w:rsidRPr="00A51B5C" w:rsidRDefault="00961B97" w:rsidP="00425FCC">
      <w:pPr>
        <w:spacing w:after="0"/>
        <w:ind w:firstLine="720"/>
        <w:jc w:val="both"/>
        <w:rPr>
          <w:rFonts w:cs="Times New Roman"/>
          <w:sz w:val="12"/>
          <w:szCs w:val="12"/>
          <w:lang w:val="sr-Cyrl-RS"/>
        </w:rPr>
      </w:pPr>
    </w:p>
    <w:p w14:paraId="67EB66CA" w14:textId="3177945A"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6.3.1. </w:t>
      </w:r>
      <w:r w:rsidR="00EB262B" w:rsidRPr="00EF2F18">
        <w:rPr>
          <w:rFonts w:cs="Times New Roman"/>
          <w:b/>
          <w:bCs/>
          <w:sz w:val="22"/>
          <w:lang w:val="sr-Cyrl-RS" w:eastAsia="en-GB"/>
        </w:rPr>
        <w:t xml:space="preserve">Унапређење </w:t>
      </w:r>
      <w:r w:rsidR="0015021D" w:rsidRPr="00EF2F18">
        <w:rPr>
          <w:rFonts w:cs="Times New Roman"/>
          <w:b/>
          <w:bCs/>
          <w:sz w:val="22"/>
          <w:lang w:val="sr-Cyrl-RS" w:eastAsia="en-GB"/>
        </w:rPr>
        <w:t>националне мреже за мониторинг квалитета животне средине</w:t>
      </w:r>
      <w:r w:rsidRPr="00EF2F18">
        <w:rPr>
          <w:rFonts w:cs="Times New Roman"/>
          <w:sz w:val="22"/>
          <w:lang w:val="sr-Cyrl-RS" w:eastAsia="en-GB"/>
        </w:rPr>
        <w:t xml:space="preserve"> </w:t>
      </w:r>
      <w:r w:rsidR="00D00DDB" w:rsidRPr="00EF2F18">
        <w:rPr>
          <w:rFonts w:cs="Times New Roman"/>
          <w:b/>
          <w:bCs/>
          <w:sz w:val="22"/>
          <w:lang w:val="sr-Cyrl-RS" w:eastAsia="en-GB"/>
        </w:rPr>
        <w:t>и утицаја климатских промена</w:t>
      </w:r>
    </w:p>
    <w:p w14:paraId="211CD7F6" w14:textId="77777777" w:rsidR="00D83673" w:rsidRPr="00A51B5C" w:rsidRDefault="00D83673" w:rsidP="0074015C">
      <w:pPr>
        <w:spacing w:after="0"/>
        <w:ind w:firstLine="720"/>
        <w:jc w:val="both"/>
        <w:rPr>
          <w:rFonts w:cs="Times New Roman"/>
          <w:sz w:val="12"/>
          <w:szCs w:val="12"/>
          <w:lang w:val="sr-Cyrl-RS"/>
        </w:rPr>
      </w:pPr>
    </w:p>
    <w:p w14:paraId="064FD6EC" w14:textId="6B832484" w:rsidR="00D352F8" w:rsidRPr="00EF2F18" w:rsidRDefault="003F1460" w:rsidP="0074015C">
      <w:pPr>
        <w:spacing w:after="0"/>
        <w:ind w:firstLine="720"/>
        <w:jc w:val="both"/>
        <w:rPr>
          <w:sz w:val="22"/>
          <w:lang w:val="sr-Cyrl-RS"/>
        </w:rPr>
      </w:pPr>
      <w:r w:rsidRPr="00EF2F18">
        <w:rPr>
          <w:rFonts w:cs="Times New Roman"/>
          <w:sz w:val="22"/>
          <w:lang w:val="sr-Cyrl-RS"/>
        </w:rPr>
        <w:t xml:space="preserve">Потребно је </w:t>
      </w:r>
      <w:r w:rsidR="00E27271" w:rsidRPr="00EF2F18">
        <w:rPr>
          <w:rFonts w:cs="Times New Roman"/>
          <w:sz w:val="22"/>
          <w:lang w:val="sr-Cyrl-RS"/>
        </w:rPr>
        <w:t xml:space="preserve">даље </w:t>
      </w:r>
      <w:r w:rsidRPr="00EF2F18">
        <w:rPr>
          <w:rFonts w:cs="Times New Roman"/>
          <w:sz w:val="22"/>
          <w:lang w:val="sr-Cyrl-RS"/>
        </w:rPr>
        <w:t>у</w:t>
      </w:r>
      <w:r w:rsidR="000F3862" w:rsidRPr="00EF2F18">
        <w:rPr>
          <w:rFonts w:cs="Times New Roman"/>
          <w:sz w:val="22"/>
          <w:lang w:val="sr-Cyrl-RS"/>
        </w:rPr>
        <w:t>напредити систем мониторинга у области заштите животне средине.</w:t>
      </w:r>
      <w:r w:rsidR="006C2E00" w:rsidRPr="00EF2F18">
        <w:rPr>
          <w:rFonts w:cs="Times New Roman"/>
          <w:sz w:val="22"/>
          <w:lang w:val="sr-Cyrl-RS"/>
        </w:rPr>
        <w:t xml:space="preserve"> </w:t>
      </w:r>
      <w:r w:rsidR="00AC4B30" w:rsidRPr="00EF2F18">
        <w:rPr>
          <w:rFonts w:cs="Times New Roman"/>
          <w:sz w:val="22"/>
          <w:lang w:val="sr-Cyrl-RS"/>
        </w:rPr>
        <w:t>Потребно је даље проширење мреже за мониторинг квалитета</w:t>
      </w:r>
      <w:r w:rsidR="00712D92" w:rsidRPr="00EF2F18">
        <w:rPr>
          <w:rFonts w:cs="Times New Roman"/>
          <w:sz w:val="22"/>
          <w:lang w:val="sr-Cyrl-RS"/>
        </w:rPr>
        <w:t xml:space="preserve"> чинилаца</w:t>
      </w:r>
      <w:r w:rsidR="00AC4B30" w:rsidRPr="00EF2F18">
        <w:rPr>
          <w:rFonts w:cs="Times New Roman"/>
          <w:sz w:val="22"/>
          <w:lang w:val="sr-Cyrl-RS"/>
        </w:rPr>
        <w:t xml:space="preserve"> животне средине</w:t>
      </w:r>
      <w:r w:rsidR="007F220F" w:rsidRPr="00EF2F18">
        <w:rPr>
          <w:rFonts w:cs="Times New Roman"/>
          <w:sz w:val="22"/>
          <w:lang w:val="sr-Cyrl-RS"/>
        </w:rPr>
        <w:t xml:space="preserve"> и утицаја климатских промена</w:t>
      </w:r>
      <w:r w:rsidR="00AC4B30" w:rsidRPr="00EF2F18">
        <w:rPr>
          <w:rFonts w:cs="Times New Roman"/>
          <w:sz w:val="22"/>
          <w:lang w:val="sr-Cyrl-RS"/>
        </w:rPr>
        <w:t>, као и</w:t>
      </w:r>
      <w:r w:rsidR="00CC001E" w:rsidRPr="00EF2F18">
        <w:rPr>
          <w:rFonts w:cs="Times New Roman"/>
          <w:sz w:val="22"/>
          <w:lang w:val="sr-Cyrl-RS"/>
        </w:rPr>
        <w:t xml:space="preserve"> повећање</w:t>
      </w:r>
      <w:r w:rsidR="00AC4B30" w:rsidRPr="00EF2F18">
        <w:rPr>
          <w:rFonts w:cs="Times New Roman"/>
          <w:sz w:val="22"/>
          <w:lang w:val="sr-Cyrl-RS"/>
        </w:rPr>
        <w:t xml:space="preserve"> број</w:t>
      </w:r>
      <w:r w:rsidR="00970B7D" w:rsidRPr="00EF2F18">
        <w:rPr>
          <w:rFonts w:cs="Times New Roman"/>
          <w:sz w:val="22"/>
          <w:lang w:val="sr-Cyrl-RS"/>
        </w:rPr>
        <w:t>а</w:t>
      </w:r>
      <w:r w:rsidR="00AC4B30" w:rsidRPr="00EF2F18">
        <w:rPr>
          <w:rFonts w:cs="Times New Roman"/>
          <w:sz w:val="22"/>
          <w:lang w:val="sr-Cyrl-RS"/>
        </w:rPr>
        <w:t xml:space="preserve"> параметара за праћење</w:t>
      </w:r>
      <w:r w:rsidR="002E0CC4" w:rsidRPr="00EF2F18">
        <w:rPr>
          <w:rFonts w:cs="Times New Roman"/>
          <w:sz w:val="22"/>
          <w:lang w:val="sr-Cyrl-RS"/>
        </w:rPr>
        <w:t xml:space="preserve">. </w:t>
      </w:r>
    </w:p>
    <w:p w14:paraId="47BE2C14" w14:textId="10E04B29" w:rsidR="005236DF" w:rsidRPr="00EF2F18" w:rsidRDefault="005236DF" w:rsidP="005236DF">
      <w:pPr>
        <w:spacing w:after="0"/>
        <w:ind w:firstLine="720"/>
        <w:jc w:val="both"/>
        <w:rPr>
          <w:rFonts w:cs="Times New Roman"/>
          <w:sz w:val="22"/>
          <w:lang w:val="sr-Cyrl-RS"/>
        </w:rPr>
      </w:pPr>
      <w:r w:rsidRPr="00EF2F18">
        <w:rPr>
          <w:rFonts w:cs="Times New Roman"/>
          <w:sz w:val="22"/>
          <w:lang w:val="sr-Cyrl-RS"/>
        </w:rPr>
        <w:t xml:space="preserve">Потребно је успоставити ефикасан и сталан систем финансирања активности имплементације програма праћење стања вода у складу са </w:t>
      </w:r>
      <w:bookmarkStart w:id="135" w:name="_Hlk151544596"/>
      <w:r w:rsidRPr="00EF2F18">
        <w:rPr>
          <w:rFonts w:cs="Times New Roman"/>
          <w:sz w:val="22"/>
          <w:lang w:val="sr-Cyrl-RS"/>
        </w:rPr>
        <w:t>Оквирном директивом о водама</w:t>
      </w:r>
      <w:r w:rsidR="006C2E00" w:rsidRPr="00EF2F18">
        <w:rPr>
          <w:rFonts w:cs="Times New Roman"/>
          <w:sz w:val="22"/>
          <w:lang w:val="sr-Cyrl-RS"/>
        </w:rPr>
        <w:t xml:space="preserve"> </w:t>
      </w:r>
      <w:bookmarkEnd w:id="135"/>
      <w:r w:rsidRPr="00EF2F18">
        <w:rPr>
          <w:rFonts w:cs="Times New Roman"/>
          <w:sz w:val="22"/>
          <w:lang w:val="sr-Cyrl-RS"/>
        </w:rPr>
        <w:t xml:space="preserve">и повећање капацитета Агенције за заштиту животне средине у погледу кадровске и лабораторијске опреме, што ће повећати обим испитивања елемената квалитета воде (биолошки, </w:t>
      </w:r>
      <w:r w:rsidRPr="00EF2F18">
        <w:rPr>
          <w:rFonts w:cs="Times New Roman"/>
          <w:sz w:val="22"/>
          <w:lang w:val="sr-Cyrl-RS"/>
        </w:rPr>
        <w:lastRenderedPageBreak/>
        <w:t>хемијски и физичко-хемијски параметри, специфичн</w:t>
      </w:r>
      <w:r w:rsidR="003A7DC4" w:rsidRPr="00EF2F18">
        <w:rPr>
          <w:rFonts w:cs="Times New Roman"/>
          <w:sz w:val="22"/>
          <w:lang w:val="sr-Cyrl-RS"/>
        </w:rPr>
        <w:t>e</w:t>
      </w:r>
      <w:r w:rsidRPr="00EF2F18">
        <w:rPr>
          <w:rFonts w:cs="Times New Roman"/>
          <w:sz w:val="22"/>
          <w:lang w:val="sr-Cyrl-RS"/>
        </w:rPr>
        <w:t xml:space="preserve"> загађ</w:t>
      </w:r>
      <w:r w:rsidR="003A7DC4" w:rsidRPr="00EF2F18">
        <w:rPr>
          <w:rFonts w:cs="Times New Roman"/>
          <w:sz w:val="22"/>
          <w:lang w:val="sr-Cyrl-RS"/>
        </w:rPr>
        <w:t>ујуће материје,</w:t>
      </w:r>
      <w:r w:rsidRPr="00EF2F18">
        <w:rPr>
          <w:rFonts w:cs="Times New Roman"/>
          <w:sz w:val="22"/>
          <w:lang w:val="sr-Cyrl-RS"/>
        </w:rPr>
        <w:t xml:space="preserve"> приоритетне и приоритетне опасне материје). Неопходно је и кадровско јачање потенцијала за оперативно спровођење мониторинга у складу са захтевима Оквирном директивом о водама.</w:t>
      </w:r>
      <w:r w:rsidR="00EB262B" w:rsidRPr="00EF2F18">
        <w:rPr>
          <w:rFonts w:cs="Times New Roman"/>
          <w:sz w:val="22"/>
          <w:lang w:val="sr-Cyrl-RS"/>
        </w:rPr>
        <w:t xml:space="preserve"> </w:t>
      </w:r>
      <w:r w:rsidR="00930FB0" w:rsidRPr="00EF2F18">
        <w:rPr>
          <w:rFonts w:cs="Times New Roman"/>
          <w:sz w:val="22"/>
          <w:lang w:val="sr-Cyrl-RS"/>
        </w:rPr>
        <w:t xml:space="preserve">Потребно је израдити програме мониторинга. </w:t>
      </w:r>
      <w:r w:rsidR="00EB262B" w:rsidRPr="00EF2F18">
        <w:rPr>
          <w:rFonts w:cs="Times New Roman"/>
          <w:sz w:val="22"/>
          <w:lang w:val="sr-Cyrl-RS"/>
        </w:rPr>
        <w:t>Развој мониторинга квалитета површинских и подземних вода, који спроводи Агенција за заштиту животне средине, базирати на урађеном „Вишегодишњем програму мониторинга површинских и подземних вода у Републици Србији</w:t>
      </w:r>
      <w:r w:rsidR="006C2E00" w:rsidRPr="00EF2F18">
        <w:rPr>
          <w:rFonts w:cs="Times New Roman"/>
          <w:sz w:val="22"/>
          <w:lang w:val="sr-Cyrl-RS"/>
        </w:rPr>
        <w:t xml:space="preserve"> </w:t>
      </w:r>
      <w:r w:rsidR="00EB262B" w:rsidRPr="00EF2F18">
        <w:rPr>
          <w:rFonts w:cs="Times New Roman"/>
          <w:sz w:val="22"/>
          <w:lang w:val="sr-Cyrl-RS"/>
        </w:rPr>
        <w:t>до 2027. године</w:t>
      </w:r>
      <w:r w:rsidR="001947D7" w:rsidRPr="00EF2F18">
        <w:rPr>
          <w:rFonts w:cs="Times New Roman"/>
          <w:sz w:val="22"/>
          <w:lang w:val="sr-Cyrl-RS"/>
        </w:rPr>
        <w:t>”</w:t>
      </w:r>
      <w:r w:rsidR="00EB262B" w:rsidRPr="00EF2F18">
        <w:rPr>
          <w:rFonts w:cs="Times New Roman"/>
          <w:sz w:val="22"/>
          <w:lang w:val="sr-Cyrl-RS"/>
        </w:rPr>
        <w:t xml:space="preserve"> који се заснива на Стратегији управљања водама на територији Републике Србије до 2034. године и Плану управљања водама на територији Републике Србије до 2027. године.</w:t>
      </w:r>
      <w:r w:rsidR="006C2E00" w:rsidRPr="00EF2F18">
        <w:rPr>
          <w:rFonts w:cs="Times New Roman"/>
          <w:sz w:val="22"/>
          <w:lang w:val="sr-Cyrl-RS"/>
        </w:rPr>
        <w:t xml:space="preserve"> </w:t>
      </w:r>
      <w:r w:rsidR="00EB262B" w:rsidRPr="00EF2F18">
        <w:rPr>
          <w:rFonts w:cs="Times New Roman"/>
          <w:sz w:val="22"/>
          <w:lang w:val="sr-Cyrl-RS"/>
        </w:rPr>
        <w:t>Вишегодишњи програм мониторинга површинских и подземних вода обухвата потребна финансијска средства, кадрове и опрему за шестогодишњи период спровођења како предвиђа Оквирна директива о водама. Одговорна институција за реализацију је Министарство пољопривреде, шумарства и водопривреде</w:t>
      </w:r>
      <w:r w:rsidR="00C0025A" w:rsidRPr="00EF2F18">
        <w:rPr>
          <w:rFonts w:cs="Times New Roman"/>
          <w:sz w:val="22"/>
          <w:lang w:val="sr-Cyrl-RS"/>
        </w:rPr>
        <w:t xml:space="preserve"> </w:t>
      </w:r>
      <w:r w:rsidR="009D63A7" w:rsidRPr="00EF2F18">
        <w:rPr>
          <w:rFonts w:cs="Times New Roman"/>
          <w:sz w:val="22"/>
          <w:lang w:val="sr-Cyrl-RS"/>
        </w:rPr>
        <w:t>–</w:t>
      </w:r>
      <w:r w:rsidR="00EB262B" w:rsidRPr="00EF2F18">
        <w:rPr>
          <w:rFonts w:cs="Times New Roman"/>
          <w:sz w:val="22"/>
          <w:lang w:val="sr-Cyrl-RS"/>
        </w:rPr>
        <w:t xml:space="preserve"> Републичка дирекција за воде.</w:t>
      </w:r>
    </w:p>
    <w:p w14:paraId="4B1ECDB1" w14:textId="19A87B59" w:rsidR="00930FB0" w:rsidRPr="00EF2F18" w:rsidRDefault="002130D3" w:rsidP="00930FB0">
      <w:pPr>
        <w:spacing w:after="0"/>
        <w:ind w:firstLine="720"/>
        <w:jc w:val="both"/>
        <w:rPr>
          <w:rFonts w:eastAsia="Calibri" w:cs="Times New Roman"/>
          <w:sz w:val="22"/>
          <w:lang w:val="sr-Cyrl-RS"/>
        </w:rPr>
      </w:pPr>
      <w:r w:rsidRPr="00EF2F18">
        <w:rPr>
          <w:rFonts w:cs="Times New Roman"/>
          <w:sz w:val="22"/>
          <w:lang w:val="sr-Cyrl-RS"/>
        </w:rPr>
        <w:t xml:space="preserve">Потребно је повећање капацитета за мониторинг метеоролошких параметара, параметара везаних за земљиште и воде, нарочито обезбеђивање праћења утицаја климатских промена, укључујући праћење губитака и штета. Потребно је </w:t>
      </w:r>
      <w:r w:rsidRPr="00EF2F18">
        <w:rPr>
          <w:rFonts w:eastAsia="Calibri" w:cs="Times New Roman"/>
          <w:sz w:val="22"/>
          <w:lang w:val="sr-Cyrl-RS"/>
        </w:rPr>
        <w:t>унапређење мониторинга утицаја климатских промена</w:t>
      </w:r>
      <w:r w:rsidR="00D00DDB" w:rsidRPr="00EF2F18">
        <w:rPr>
          <w:rFonts w:eastAsia="Calibri" w:cs="Times New Roman"/>
          <w:sz w:val="22"/>
          <w:lang w:val="sr-Cyrl-RS"/>
        </w:rPr>
        <w:t xml:space="preserve">, односно унапређење система </w:t>
      </w:r>
      <w:r w:rsidR="009D63A7" w:rsidRPr="00EF2F18">
        <w:rPr>
          <w:rFonts w:eastAsia="Calibri" w:cs="Times New Roman"/>
          <w:bCs/>
          <w:sz w:val="22"/>
          <w:lang w:val="sr-Cyrl-RS"/>
        </w:rPr>
        <w:t>Републичког хидрометеоролошког завода</w:t>
      </w:r>
      <w:r w:rsidR="00D00DDB" w:rsidRPr="00EF2F18">
        <w:rPr>
          <w:rFonts w:eastAsia="Calibri" w:cs="Times New Roman"/>
          <w:sz w:val="22"/>
          <w:lang w:val="sr-Cyrl-RS"/>
        </w:rPr>
        <w:t xml:space="preserve"> за агрометеоролошки мониторинг повећањем броја метеоролошких, агрометеоролошких</w:t>
      </w:r>
      <w:r w:rsidR="005E42D2" w:rsidRPr="00EF2F18">
        <w:rPr>
          <w:rFonts w:eastAsia="Calibri" w:cs="Times New Roman"/>
          <w:sz w:val="22"/>
          <w:lang w:val="sr-Cyrl-RS"/>
        </w:rPr>
        <w:t xml:space="preserve"> </w:t>
      </w:r>
      <w:r w:rsidR="00D00DDB" w:rsidRPr="00EF2F18">
        <w:rPr>
          <w:rFonts w:eastAsia="Calibri" w:cs="Times New Roman"/>
          <w:sz w:val="22"/>
          <w:lang w:val="sr-Cyrl-RS"/>
        </w:rPr>
        <w:t>станица за мерење влажности земљишта, хидролошких станица површинских и подземних вода</w:t>
      </w:r>
      <w:r w:rsidRPr="00EF2F18">
        <w:rPr>
          <w:rFonts w:cs="Times New Roman"/>
          <w:sz w:val="22"/>
          <w:lang w:val="sr-Cyrl-RS"/>
        </w:rPr>
        <w:t xml:space="preserve">, чиме би се побољшао мониторинг и најава временских услова на различитим временским размерама прогноза, прилагођених потребама пољопривредних произвођача, </w:t>
      </w:r>
      <w:r w:rsidRPr="00EF2F18">
        <w:rPr>
          <w:rFonts w:eastAsia="Calibri" w:cs="Times New Roman"/>
          <w:sz w:val="22"/>
          <w:lang w:val="sr-Cyrl-RS"/>
        </w:rPr>
        <w:t>као и унапређење комуникације између пружаоца правовремених информација и корисника.</w:t>
      </w:r>
      <w:r w:rsidR="00930FB0" w:rsidRPr="00EF2F18">
        <w:rPr>
          <w:rFonts w:eastAsia="Calibri" w:cs="Times New Roman"/>
          <w:sz w:val="22"/>
          <w:lang w:val="sr-Cyrl-RS"/>
        </w:rPr>
        <w:t xml:space="preserve"> </w:t>
      </w:r>
    </w:p>
    <w:p w14:paraId="3DEFFE81" w14:textId="595888D3" w:rsidR="00930FB0" w:rsidRPr="00EF2F18" w:rsidRDefault="00930FB0" w:rsidP="00930FB0">
      <w:pPr>
        <w:spacing w:after="0"/>
        <w:ind w:firstLine="720"/>
        <w:jc w:val="both"/>
        <w:rPr>
          <w:rFonts w:cs="Times New Roman"/>
          <w:sz w:val="22"/>
          <w:lang w:val="sr-Cyrl-RS"/>
        </w:rPr>
      </w:pPr>
      <w:r w:rsidRPr="00EF2F18">
        <w:rPr>
          <w:rFonts w:cs="Times New Roman"/>
          <w:sz w:val="22"/>
          <w:lang w:val="sr-Cyrl-RS"/>
        </w:rPr>
        <w:t>Потребно је набавити додатну мерну опрему за мониторинг вода, ваздуха, земљишта, биодиверзитета и др.</w:t>
      </w:r>
      <w:r w:rsidR="001D5331" w:rsidRPr="00EF2F18">
        <w:rPr>
          <w:rFonts w:cs="Times New Roman"/>
          <w:sz w:val="22"/>
          <w:lang w:val="sr-Cyrl-RS"/>
        </w:rPr>
        <w:t xml:space="preserve"> и успоставити нове мерне станице.</w:t>
      </w:r>
      <w:r w:rsidRPr="00EF2F18">
        <w:rPr>
          <w:rFonts w:cs="Times New Roman"/>
          <w:sz w:val="22"/>
          <w:lang w:val="sr-Cyrl-RS"/>
        </w:rPr>
        <w:t xml:space="preserve"> </w:t>
      </w:r>
    </w:p>
    <w:p w14:paraId="0EA4ACB5" w14:textId="3D0C8ECA" w:rsidR="00634EEE" w:rsidRPr="00EF2F18" w:rsidRDefault="00634EEE" w:rsidP="00634EEE">
      <w:pPr>
        <w:spacing w:after="0"/>
        <w:ind w:firstLine="720"/>
        <w:jc w:val="both"/>
        <w:rPr>
          <w:rFonts w:cs="Times New Roman"/>
          <w:sz w:val="22"/>
          <w:lang w:val="sr-Cyrl-RS"/>
        </w:rPr>
      </w:pPr>
      <w:r w:rsidRPr="00EF2F18">
        <w:rPr>
          <w:rFonts w:cs="Times New Roman"/>
          <w:sz w:val="22"/>
          <w:lang w:val="sr-Cyrl-RS"/>
        </w:rPr>
        <w:t xml:space="preserve">Подизање капацитета организацијом обука и повећањем броја запослених у институцијама које се баве мониторингом </w:t>
      </w:r>
      <w:r w:rsidR="00AC4B30" w:rsidRPr="00EF2F18">
        <w:rPr>
          <w:rFonts w:cs="Times New Roman"/>
          <w:sz w:val="22"/>
          <w:lang w:val="sr-Cyrl-RS"/>
        </w:rPr>
        <w:t>је неопходно.</w:t>
      </w:r>
      <w:r w:rsidR="00BB3175" w:rsidRPr="00EF2F18">
        <w:rPr>
          <w:rFonts w:cs="Times New Roman"/>
          <w:sz w:val="22"/>
          <w:lang w:val="sr-Cyrl-RS"/>
        </w:rPr>
        <w:t xml:space="preserve"> 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60CA83B7" w14:textId="013AD624"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74015C" w:rsidRPr="00EF2F18">
        <w:rPr>
          <w:rFonts w:cs="Times New Roman"/>
          <w:sz w:val="22"/>
          <w:lang w:val="sr-Cyrl-RS" w:eastAsia="en-GB"/>
        </w:rPr>
        <w:t>Министарство заштите животне средине</w:t>
      </w:r>
      <w:r w:rsidR="00372F5E" w:rsidRPr="00EF2F18">
        <w:rPr>
          <w:rFonts w:cs="Times New Roman"/>
          <w:sz w:val="22"/>
          <w:lang w:val="sr-Cyrl-RS" w:eastAsia="en-GB"/>
        </w:rPr>
        <w:t>,</w:t>
      </w:r>
      <w:r w:rsidR="00483269" w:rsidRPr="00EF2F18">
        <w:rPr>
          <w:rFonts w:cs="Times New Roman"/>
          <w:sz w:val="22"/>
          <w:lang w:val="sr-Cyrl-RS" w:eastAsia="en-GB"/>
        </w:rPr>
        <w:t xml:space="preserve"> Агенција за заштиту животне средине</w:t>
      </w:r>
      <w:r w:rsidR="009D63A7" w:rsidRPr="00EF2F18">
        <w:rPr>
          <w:rFonts w:cs="Times New Roman"/>
          <w:sz w:val="22"/>
          <w:lang w:val="sr-Cyrl-RS" w:eastAsia="en-GB"/>
        </w:rPr>
        <w:t>.</w:t>
      </w:r>
    </w:p>
    <w:p w14:paraId="542BF9A4" w14:textId="31708A60"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w:t>
      </w:r>
      <w:r w:rsidR="00483269" w:rsidRPr="00EF2F18">
        <w:rPr>
          <w:rFonts w:cs="Times New Roman"/>
          <w:sz w:val="22"/>
          <w:lang w:val="sr-Cyrl-RS" w:eastAsia="en-GB"/>
        </w:rPr>
        <w:t xml:space="preserve"> </w:t>
      </w:r>
      <w:r w:rsidR="008A23A2" w:rsidRPr="00EF2F18">
        <w:rPr>
          <w:rFonts w:cs="Times New Roman"/>
          <w:sz w:val="22"/>
          <w:lang w:val="sr-Cyrl-RS" w:eastAsia="en-GB"/>
        </w:rPr>
        <w:t>Републички хидрометеоролошки завод</w:t>
      </w:r>
      <w:r w:rsidR="00483269" w:rsidRPr="00EF2F18">
        <w:rPr>
          <w:rFonts w:cs="Times New Roman"/>
          <w:sz w:val="22"/>
          <w:lang w:val="sr-Cyrl-RS" w:eastAsia="en-GB"/>
        </w:rPr>
        <w:t xml:space="preserve">, </w:t>
      </w:r>
      <w:r w:rsidR="003C59BD" w:rsidRPr="00EF2F18">
        <w:rPr>
          <w:rFonts w:cs="Times New Roman"/>
          <w:sz w:val="22"/>
          <w:lang w:val="sr-Cyrl-RS" w:eastAsia="en-GB"/>
        </w:rPr>
        <w:t xml:space="preserve">Министарство пољопривреде, шумарства и водопривреде </w:t>
      </w:r>
      <w:r w:rsidR="009D63A7" w:rsidRPr="00EF2F18">
        <w:rPr>
          <w:rFonts w:cs="Times New Roman"/>
          <w:sz w:val="22"/>
          <w:lang w:val="sr-Cyrl-RS" w:eastAsia="en-GB"/>
        </w:rPr>
        <w:t>–</w:t>
      </w:r>
      <w:r w:rsidR="003C59BD" w:rsidRPr="00EF2F18">
        <w:rPr>
          <w:rFonts w:cs="Times New Roman"/>
          <w:sz w:val="22"/>
          <w:lang w:val="sr-Cyrl-RS" w:eastAsia="en-GB"/>
        </w:rPr>
        <w:t xml:space="preserve"> Републичка дирекција за воде</w:t>
      </w:r>
      <w:r w:rsidR="002D6B78" w:rsidRPr="00EF2F18">
        <w:rPr>
          <w:rFonts w:cs="Times New Roman"/>
          <w:sz w:val="22"/>
          <w:lang w:val="sr-Cyrl-RS" w:eastAsia="en-GB"/>
        </w:rPr>
        <w:t>,</w:t>
      </w:r>
      <w:r w:rsidR="003C59BD" w:rsidRPr="00EF2F18">
        <w:rPr>
          <w:rFonts w:cs="Times New Roman"/>
          <w:sz w:val="22"/>
          <w:lang w:val="sr-Cyrl-RS" w:eastAsia="en-GB"/>
        </w:rPr>
        <w:t xml:space="preserve"> </w:t>
      </w:r>
      <w:r w:rsidR="00483269" w:rsidRPr="00EF2F18">
        <w:rPr>
          <w:rFonts w:cs="Times New Roman"/>
          <w:sz w:val="22"/>
          <w:lang w:val="sr-Cyrl-RS" w:eastAsia="en-GB"/>
        </w:rPr>
        <w:t>Завод за заштиту природе</w:t>
      </w:r>
      <w:r w:rsidR="00BD49B4" w:rsidRPr="00EF2F18">
        <w:rPr>
          <w:rFonts w:cs="Times New Roman"/>
          <w:sz w:val="22"/>
          <w:lang w:val="sr-Cyrl-RS" w:eastAsia="en-GB"/>
        </w:rPr>
        <w:t xml:space="preserve"> Србије</w:t>
      </w:r>
      <w:r w:rsidR="00483269" w:rsidRPr="00EF2F18">
        <w:rPr>
          <w:rFonts w:cs="Times New Roman"/>
          <w:sz w:val="22"/>
          <w:lang w:val="sr-Cyrl-RS" w:eastAsia="en-GB"/>
        </w:rPr>
        <w:t>, Институт за јавно здравље Србије</w:t>
      </w:r>
      <w:r w:rsidR="009D63A7" w:rsidRPr="00EF2F18">
        <w:rPr>
          <w:rFonts w:cs="Times New Roman"/>
          <w:sz w:val="22"/>
          <w:lang w:val="sr-Cyrl-RS" w:eastAsia="en-GB"/>
        </w:rPr>
        <w:t xml:space="preserve"> </w:t>
      </w:r>
      <w:r w:rsidR="009D63A7" w:rsidRPr="00EF2F18">
        <w:rPr>
          <w:rFonts w:cs="Times New Roman"/>
          <w:bCs/>
          <w:color w:val="000000"/>
          <w:sz w:val="22"/>
          <w:lang w:val="sr-Cyrl-RS" w:eastAsia="en-GB"/>
        </w:rPr>
        <w:t>„Др Милан Јовановић Батут”.</w:t>
      </w:r>
    </w:p>
    <w:p w14:paraId="5CD136ED" w14:textId="627B6180"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483269" w:rsidRPr="00EF2F18">
        <w:rPr>
          <w:rFonts w:cs="Times New Roman"/>
          <w:sz w:val="22"/>
          <w:lang w:val="sr-Cyrl-RS" w:eastAsia="en-GB"/>
        </w:rPr>
        <w:t>обезбеђивање добара и услуга од стране учесника у планском систему</w:t>
      </w:r>
      <w:r w:rsidR="00C96528" w:rsidRPr="00EF2F18">
        <w:rPr>
          <w:rFonts w:cs="Times New Roman"/>
          <w:sz w:val="22"/>
          <w:lang w:val="sr-Cyrl-RS" w:eastAsia="en-GB"/>
        </w:rPr>
        <w:t>.</w:t>
      </w:r>
      <w:r w:rsidR="00483269" w:rsidRPr="00EF2F18">
        <w:rPr>
          <w:rFonts w:cs="Times New Roman"/>
          <w:sz w:val="22"/>
          <w:lang w:val="sr-Cyrl-RS" w:eastAsia="en-GB"/>
        </w:rPr>
        <w:t xml:space="preserve"> </w:t>
      </w:r>
    </w:p>
    <w:p w14:paraId="4D776F3D" w14:textId="5EF11742" w:rsidR="00791FA3" w:rsidRPr="00EF2F18" w:rsidRDefault="00791FA3" w:rsidP="004D677C">
      <w:pPr>
        <w:spacing w:after="0"/>
        <w:jc w:val="both"/>
        <w:rPr>
          <w:rFonts w:cs="Times New Roman"/>
          <w:sz w:val="22"/>
          <w:lang w:val="sr-Cyrl-RS" w:eastAsia="en-GB"/>
        </w:rPr>
      </w:pPr>
    </w:p>
    <w:p w14:paraId="61350AD9" w14:textId="383D3993"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6.3.2. </w:t>
      </w:r>
      <w:r w:rsidR="0015021D" w:rsidRPr="00EF2F18">
        <w:rPr>
          <w:rFonts w:cs="Times New Roman"/>
          <w:b/>
          <w:bCs/>
          <w:sz w:val="22"/>
          <w:lang w:val="sr-Cyrl-RS" w:eastAsia="en-GB"/>
        </w:rPr>
        <w:t>Подршка развоју локалних мрежа за мониторинг квалитета животне средине</w:t>
      </w:r>
      <w:r w:rsidRPr="00EF2F18">
        <w:rPr>
          <w:rFonts w:cs="Times New Roman"/>
          <w:sz w:val="22"/>
          <w:lang w:val="sr-Cyrl-RS" w:eastAsia="en-GB"/>
        </w:rPr>
        <w:t xml:space="preserve"> </w:t>
      </w:r>
    </w:p>
    <w:p w14:paraId="2E9556E5" w14:textId="77777777" w:rsidR="00D83673" w:rsidRPr="00EF2F18" w:rsidRDefault="00D83673" w:rsidP="00425FCC">
      <w:pPr>
        <w:spacing w:after="0"/>
        <w:ind w:firstLine="720"/>
        <w:jc w:val="both"/>
        <w:rPr>
          <w:rFonts w:cs="Times New Roman"/>
          <w:sz w:val="22"/>
          <w:lang w:val="sr-Cyrl-RS"/>
        </w:rPr>
      </w:pPr>
    </w:p>
    <w:p w14:paraId="30B30A7A" w14:textId="1249A6EC" w:rsidR="00634EEE" w:rsidRPr="00EF2F18" w:rsidRDefault="00AC4B30" w:rsidP="00425FCC">
      <w:pPr>
        <w:spacing w:after="0"/>
        <w:ind w:firstLine="720"/>
        <w:jc w:val="both"/>
        <w:rPr>
          <w:rFonts w:cs="Times New Roman"/>
          <w:sz w:val="22"/>
          <w:lang w:val="sr-Cyrl-RS"/>
        </w:rPr>
      </w:pPr>
      <w:r w:rsidRPr="00EF2F18">
        <w:rPr>
          <w:rFonts w:cs="Times New Roman"/>
          <w:sz w:val="22"/>
          <w:lang w:val="sr-Cyrl-RS"/>
        </w:rPr>
        <w:t>Ова м</w:t>
      </w:r>
      <w:r w:rsidR="001E7820" w:rsidRPr="00EF2F18">
        <w:rPr>
          <w:rFonts w:cs="Times New Roman"/>
          <w:sz w:val="22"/>
          <w:lang w:val="sr-Cyrl-RS"/>
        </w:rPr>
        <w:t xml:space="preserve">ера </w:t>
      </w:r>
      <w:r w:rsidRPr="00EF2F18">
        <w:rPr>
          <w:rFonts w:cs="Times New Roman"/>
          <w:sz w:val="22"/>
          <w:lang w:val="sr-Cyrl-RS"/>
        </w:rPr>
        <w:t>односи се на п</w:t>
      </w:r>
      <w:r w:rsidR="00634EEE" w:rsidRPr="00EF2F18">
        <w:rPr>
          <w:rFonts w:cs="Times New Roman"/>
          <w:sz w:val="22"/>
          <w:lang w:val="sr-Cyrl-RS"/>
        </w:rPr>
        <w:t>одршк</w:t>
      </w:r>
      <w:r w:rsidRPr="00EF2F18">
        <w:rPr>
          <w:rFonts w:cs="Times New Roman"/>
          <w:sz w:val="22"/>
          <w:lang w:val="sr-Cyrl-RS"/>
        </w:rPr>
        <w:t>у</w:t>
      </w:r>
      <w:r w:rsidR="00634EEE" w:rsidRPr="00EF2F18">
        <w:rPr>
          <w:rFonts w:cs="Times New Roman"/>
          <w:sz w:val="22"/>
          <w:lang w:val="sr-Cyrl-RS"/>
        </w:rPr>
        <w:t xml:space="preserve"> развоју локалних мрежа за мониторинг квалитета животне средине</w:t>
      </w:r>
      <w:r w:rsidRPr="00EF2F18">
        <w:rPr>
          <w:rFonts w:cs="Times New Roman"/>
          <w:sz w:val="22"/>
          <w:lang w:val="sr-Cyrl-RS"/>
        </w:rPr>
        <w:t xml:space="preserve">, анализом </w:t>
      </w:r>
      <w:r w:rsidR="00634EEE" w:rsidRPr="00EF2F18">
        <w:rPr>
          <w:rFonts w:cs="Times New Roman"/>
          <w:sz w:val="22"/>
          <w:lang w:val="sr-Cyrl-RS"/>
        </w:rPr>
        <w:t xml:space="preserve">постојећег стања и потреба мониторинга у </w:t>
      </w:r>
      <w:r w:rsidRPr="00EF2F18">
        <w:rPr>
          <w:rFonts w:cs="Times New Roman"/>
          <w:sz w:val="22"/>
          <w:lang w:val="sr-Cyrl-RS"/>
        </w:rPr>
        <w:t xml:space="preserve">јединицама локалне самоуправе, израдом </w:t>
      </w:r>
      <w:r w:rsidR="00634EEE" w:rsidRPr="00EF2F18">
        <w:rPr>
          <w:rFonts w:cs="Times New Roman"/>
          <w:sz w:val="22"/>
          <w:lang w:val="sr-Cyrl-RS"/>
        </w:rPr>
        <w:t xml:space="preserve">плана </w:t>
      </w:r>
      <w:r w:rsidR="00AE4C32" w:rsidRPr="00EF2F18">
        <w:rPr>
          <w:rFonts w:cs="Times New Roman"/>
          <w:sz w:val="22"/>
          <w:lang w:val="sr-Cyrl-RS"/>
        </w:rPr>
        <w:t>оптимизације</w:t>
      </w:r>
      <w:r w:rsidR="0033254B" w:rsidRPr="00EF2F18">
        <w:rPr>
          <w:rFonts w:cs="Times New Roman"/>
          <w:sz w:val="22"/>
          <w:lang w:val="sr-Cyrl-RS"/>
        </w:rPr>
        <w:t xml:space="preserve">, како би мониторинг био </w:t>
      </w:r>
      <w:r w:rsidR="0033254B" w:rsidRPr="00EF2F18">
        <w:rPr>
          <w:sz w:val="22"/>
          <w:lang w:val="sr-Cyrl-RS"/>
        </w:rPr>
        <w:t xml:space="preserve">у потпуности усклађен са потребама које произилазе из законске регулативе. </w:t>
      </w:r>
      <w:r w:rsidRPr="00EF2F18">
        <w:rPr>
          <w:rFonts w:cs="Times New Roman"/>
          <w:sz w:val="22"/>
          <w:lang w:val="sr-Cyrl-RS"/>
        </w:rPr>
        <w:t>У плану је и с</w:t>
      </w:r>
      <w:r w:rsidR="00634EEE" w:rsidRPr="00EF2F18">
        <w:rPr>
          <w:rFonts w:cs="Times New Roman"/>
          <w:sz w:val="22"/>
          <w:lang w:val="sr-Cyrl-RS"/>
        </w:rPr>
        <w:t xml:space="preserve">провођење обука за запослене у </w:t>
      </w:r>
      <w:r w:rsidR="00E52612" w:rsidRPr="00EF2F18">
        <w:rPr>
          <w:rFonts w:cs="Times New Roman"/>
          <w:sz w:val="22"/>
          <w:lang w:val="sr-Cyrl-RS"/>
        </w:rPr>
        <w:t>јединицама локалне самоуправе</w:t>
      </w:r>
      <w:r w:rsidR="00E52612" w:rsidRPr="00EF2F18">
        <w:rPr>
          <w:rFonts w:cs="Times New Roman"/>
          <w:lang w:val="sr-Cyrl-RS"/>
        </w:rPr>
        <w:t xml:space="preserve"> </w:t>
      </w:r>
      <w:r w:rsidR="00634EEE" w:rsidRPr="00EF2F18">
        <w:rPr>
          <w:rFonts w:cs="Times New Roman"/>
          <w:sz w:val="22"/>
          <w:lang w:val="sr-Cyrl-RS"/>
        </w:rPr>
        <w:t>који су задужени за послове мониторинга квалитета животне средине</w:t>
      </w:r>
      <w:r w:rsidR="00AE4C32" w:rsidRPr="00EF2F18">
        <w:rPr>
          <w:rFonts w:cs="Times New Roman"/>
          <w:sz w:val="22"/>
          <w:lang w:val="sr-Cyrl-RS"/>
        </w:rPr>
        <w:t>.</w:t>
      </w:r>
      <w:r w:rsidR="00634EEE" w:rsidRPr="00EF2F18">
        <w:rPr>
          <w:rFonts w:cs="Times New Roman"/>
          <w:sz w:val="22"/>
          <w:lang w:val="sr-Cyrl-RS"/>
        </w:rPr>
        <w:t xml:space="preserve"> </w:t>
      </w:r>
    </w:p>
    <w:p w14:paraId="65941E29" w14:textId="56A20749" w:rsidR="00483269" w:rsidRPr="00EF2F18" w:rsidRDefault="0038791D" w:rsidP="00483269">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E024CC" w:rsidRPr="00EF2F18">
        <w:rPr>
          <w:rFonts w:cs="Times New Roman"/>
          <w:sz w:val="22"/>
          <w:lang w:val="sr-Cyrl-RS" w:eastAsia="en-GB"/>
        </w:rPr>
        <w:t>Министарство заштите животне средине</w:t>
      </w:r>
      <w:r w:rsidR="00F9265D" w:rsidRPr="00EF2F18">
        <w:rPr>
          <w:rFonts w:cs="Times New Roman"/>
          <w:sz w:val="22"/>
          <w:lang w:val="sr-Cyrl-RS" w:eastAsia="en-GB"/>
        </w:rPr>
        <w:t>,</w:t>
      </w:r>
      <w:r w:rsidR="00483269" w:rsidRPr="00EF2F18">
        <w:rPr>
          <w:rFonts w:cs="Times New Roman"/>
          <w:sz w:val="22"/>
          <w:lang w:val="sr-Cyrl-RS" w:eastAsia="en-GB"/>
        </w:rPr>
        <w:t xml:space="preserve"> Агенција за заштиту животне средине</w:t>
      </w:r>
      <w:r w:rsidR="009D63A7" w:rsidRPr="00EF2F18">
        <w:rPr>
          <w:rFonts w:cs="Times New Roman"/>
          <w:sz w:val="22"/>
          <w:lang w:val="sr-Cyrl-RS" w:eastAsia="en-GB"/>
        </w:rPr>
        <w:t>.</w:t>
      </w:r>
    </w:p>
    <w:p w14:paraId="182BFFA4" w14:textId="3F598D84"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CA6916" w:rsidRPr="00EF2F18">
        <w:rPr>
          <w:rFonts w:cs="Times New Roman"/>
          <w:sz w:val="22"/>
          <w:lang w:val="sr-Cyrl-RS" w:eastAsia="en-GB"/>
        </w:rPr>
        <w:t xml:space="preserve">Покрајински секретаријат за урбанизам и заштиту животне средине, </w:t>
      </w:r>
      <w:r w:rsidR="00483269" w:rsidRPr="00EF2F18">
        <w:rPr>
          <w:rFonts w:cs="Times New Roman"/>
          <w:sz w:val="22"/>
          <w:lang w:val="sr-Cyrl-RS" w:eastAsia="en-GB"/>
        </w:rPr>
        <w:t>јединице локалне самоуправе</w:t>
      </w:r>
      <w:r w:rsidR="009D63A7" w:rsidRPr="00EF2F18">
        <w:rPr>
          <w:rFonts w:cs="Times New Roman"/>
          <w:sz w:val="22"/>
          <w:lang w:val="sr-Cyrl-RS" w:eastAsia="en-GB"/>
        </w:rPr>
        <w:t>.</w:t>
      </w:r>
    </w:p>
    <w:p w14:paraId="6AFAF810" w14:textId="7DB0006A"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xml:space="preserve">: </w:t>
      </w:r>
      <w:r w:rsidR="009D63A7" w:rsidRPr="00EF2F18">
        <w:rPr>
          <w:rFonts w:cs="Times New Roman"/>
          <w:sz w:val="22"/>
          <w:lang w:val="sr-Cyrl-RS" w:eastAsia="en-GB"/>
        </w:rPr>
        <w:t>информативно-</w:t>
      </w:r>
      <w:r w:rsidR="0018412F" w:rsidRPr="00EF2F18">
        <w:rPr>
          <w:rFonts w:cs="Times New Roman"/>
          <w:sz w:val="22"/>
          <w:lang w:val="sr-Cyrl-RS" w:eastAsia="en-GB"/>
        </w:rPr>
        <w:t>едукативна</w:t>
      </w:r>
      <w:r w:rsidR="00C96528" w:rsidRPr="00EF2F18">
        <w:rPr>
          <w:rFonts w:cs="Times New Roman"/>
          <w:sz w:val="22"/>
          <w:lang w:val="sr-Cyrl-RS" w:eastAsia="en-GB"/>
        </w:rPr>
        <w:t>.</w:t>
      </w:r>
      <w:r w:rsidR="0018412F" w:rsidRPr="00EF2F18">
        <w:rPr>
          <w:rFonts w:cs="Times New Roman"/>
          <w:sz w:val="22"/>
          <w:lang w:val="sr-Cyrl-RS" w:eastAsia="en-GB"/>
        </w:rPr>
        <w:t xml:space="preserve"> </w:t>
      </w:r>
    </w:p>
    <w:p w14:paraId="390B7493" w14:textId="77777777" w:rsidR="0038791D" w:rsidRPr="00EF2F18" w:rsidRDefault="0038791D" w:rsidP="00425FCC">
      <w:pPr>
        <w:spacing w:after="0"/>
        <w:ind w:firstLine="720"/>
        <w:rPr>
          <w:rFonts w:cs="Times New Roman"/>
          <w:sz w:val="22"/>
          <w:lang w:val="sr-Cyrl-RS"/>
        </w:rPr>
      </w:pPr>
    </w:p>
    <w:p w14:paraId="07840180" w14:textId="6939A3E6"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6.3.3. </w:t>
      </w:r>
      <w:r w:rsidR="00E57360" w:rsidRPr="00EF2F18">
        <w:rPr>
          <w:rFonts w:cs="Times New Roman"/>
          <w:b/>
          <w:bCs/>
          <w:sz w:val="22"/>
          <w:lang w:val="sr-Cyrl-RS" w:eastAsia="en-GB"/>
        </w:rPr>
        <w:t>Унапређивање</w:t>
      </w:r>
      <w:r w:rsidR="002E0CC4" w:rsidRPr="00EF2F18">
        <w:rPr>
          <w:rFonts w:cs="Times New Roman"/>
          <w:b/>
          <w:bCs/>
          <w:sz w:val="22"/>
          <w:lang w:val="sr-Cyrl-RS" w:eastAsia="en-GB"/>
        </w:rPr>
        <w:t xml:space="preserve"> </w:t>
      </w:r>
      <w:r w:rsidR="00483269" w:rsidRPr="00EF2F18">
        <w:rPr>
          <w:rFonts w:cs="Times New Roman"/>
          <w:b/>
          <w:bCs/>
          <w:sz w:val="22"/>
          <w:lang w:val="sr-Cyrl-RS" w:eastAsia="en-GB"/>
        </w:rPr>
        <w:t>информ</w:t>
      </w:r>
      <w:r w:rsidR="00617188" w:rsidRPr="00EF2F18">
        <w:rPr>
          <w:rFonts w:cs="Times New Roman"/>
          <w:b/>
          <w:bCs/>
          <w:sz w:val="22"/>
          <w:lang w:val="sr-Cyrl-RS" w:eastAsia="en-GB"/>
        </w:rPr>
        <w:t>а</w:t>
      </w:r>
      <w:r w:rsidR="00483269" w:rsidRPr="00EF2F18">
        <w:rPr>
          <w:rFonts w:cs="Times New Roman"/>
          <w:b/>
          <w:bCs/>
          <w:sz w:val="22"/>
          <w:lang w:val="sr-Cyrl-RS" w:eastAsia="en-GB"/>
        </w:rPr>
        <w:t>ционог система заштит</w:t>
      </w:r>
      <w:r w:rsidR="00E57360" w:rsidRPr="00EF2F18">
        <w:rPr>
          <w:rFonts w:cs="Times New Roman"/>
          <w:b/>
          <w:bCs/>
          <w:sz w:val="22"/>
          <w:lang w:val="sr-Cyrl-RS" w:eastAsia="en-GB"/>
        </w:rPr>
        <w:t>е</w:t>
      </w:r>
      <w:r w:rsidR="00483269" w:rsidRPr="00EF2F18">
        <w:rPr>
          <w:rFonts w:cs="Times New Roman"/>
          <w:b/>
          <w:bCs/>
          <w:sz w:val="22"/>
          <w:lang w:val="sr-Cyrl-RS" w:eastAsia="en-GB"/>
        </w:rPr>
        <w:t xml:space="preserve"> животне средине Републике Србије</w:t>
      </w:r>
    </w:p>
    <w:p w14:paraId="77294268" w14:textId="77777777" w:rsidR="00D83673" w:rsidRPr="00EF2F18" w:rsidRDefault="00D83673" w:rsidP="000D6F0B">
      <w:pPr>
        <w:spacing w:after="0"/>
        <w:ind w:firstLine="720"/>
        <w:jc w:val="both"/>
        <w:rPr>
          <w:rFonts w:cs="Times New Roman"/>
          <w:sz w:val="22"/>
          <w:lang w:val="sr-Cyrl-RS"/>
        </w:rPr>
      </w:pPr>
    </w:p>
    <w:p w14:paraId="59BE246E" w14:textId="32335AA5" w:rsidR="000D6F0B" w:rsidRPr="00EF2F18" w:rsidRDefault="000D6F0B" w:rsidP="000D6F0B">
      <w:pPr>
        <w:spacing w:after="0"/>
        <w:ind w:firstLine="720"/>
        <w:jc w:val="both"/>
        <w:rPr>
          <w:rFonts w:cs="Times New Roman"/>
          <w:sz w:val="22"/>
          <w:lang w:val="sr-Cyrl-RS"/>
        </w:rPr>
      </w:pPr>
      <w:r w:rsidRPr="00EF2F18">
        <w:rPr>
          <w:rFonts w:cs="Times New Roman"/>
          <w:sz w:val="22"/>
          <w:lang w:val="sr-Cyrl-RS"/>
        </w:rPr>
        <w:t>У оквиру ове мере потребно</w:t>
      </w:r>
      <w:r w:rsidR="000F3862" w:rsidRPr="00EF2F18">
        <w:rPr>
          <w:rFonts w:cs="Times New Roman"/>
          <w:sz w:val="22"/>
          <w:lang w:val="sr-Cyrl-RS"/>
        </w:rPr>
        <w:t xml:space="preserve"> је </w:t>
      </w:r>
      <w:r w:rsidR="004F1830" w:rsidRPr="00EF2F18">
        <w:rPr>
          <w:rFonts w:cs="Times New Roman"/>
          <w:sz w:val="22"/>
          <w:lang w:val="sr-Cyrl-RS"/>
        </w:rPr>
        <w:t xml:space="preserve">унапређење информационог система </w:t>
      </w:r>
      <w:r w:rsidR="00E57360" w:rsidRPr="00EF2F18">
        <w:rPr>
          <w:rFonts w:cs="Times New Roman"/>
          <w:sz w:val="22"/>
          <w:lang w:val="sr-Cyrl-RS"/>
        </w:rPr>
        <w:t>заштите животне средине</w:t>
      </w:r>
      <w:r w:rsidRPr="00EF2F18">
        <w:rPr>
          <w:rFonts w:cs="Times New Roman"/>
          <w:sz w:val="22"/>
          <w:lang w:val="sr-Cyrl-RS"/>
        </w:rPr>
        <w:t xml:space="preserve">. </w:t>
      </w:r>
    </w:p>
    <w:p w14:paraId="656F2E9C" w14:textId="1C6CF58C" w:rsidR="00491189" w:rsidRPr="00EF2F18" w:rsidRDefault="007C0D27" w:rsidP="00C07F4B">
      <w:pPr>
        <w:spacing w:after="0"/>
        <w:ind w:firstLine="720"/>
        <w:jc w:val="both"/>
        <w:rPr>
          <w:sz w:val="22"/>
          <w:lang w:val="sr-Cyrl-RS"/>
        </w:rPr>
      </w:pPr>
      <w:r w:rsidRPr="00EF2F18">
        <w:rPr>
          <w:rFonts w:cstheme="minorHAnsi"/>
          <w:sz w:val="22"/>
          <w:shd w:val="clear" w:color="auto" w:fill="FFFFFF"/>
          <w:lang w:val="sr-Cyrl-RS"/>
        </w:rPr>
        <w:lastRenderedPageBreak/>
        <w:t>Агенција</w:t>
      </w:r>
      <w:r w:rsidR="00A51B5C">
        <w:rPr>
          <w:rFonts w:cstheme="minorHAnsi"/>
          <w:sz w:val="22"/>
          <w:shd w:val="clear" w:color="auto" w:fill="FFFFFF"/>
          <w:lang w:val="sr-Cyrl-RS"/>
        </w:rPr>
        <w:t xml:space="preserve"> за </w:t>
      </w:r>
      <w:r w:rsidR="00A51B5C">
        <w:rPr>
          <w:rFonts w:cs="Times New Roman"/>
          <w:sz w:val="22"/>
          <w:lang w:val="sr-Cyrl-RS"/>
        </w:rPr>
        <w:t>заштиту животне средине</w:t>
      </w:r>
      <w:r w:rsidRPr="00EF2F18">
        <w:rPr>
          <w:rFonts w:cstheme="minorHAnsi"/>
          <w:sz w:val="22"/>
          <w:shd w:val="clear" w:color="auto" w:fill="FFFFFF"/>
          <w:lang w:val="sr-Cyrl-RS"/>
        </w:rPr>
        <w:t xml:space="preserve"> од свог оснивања 2004. године сарађује са </w:t>
      </w:r>
      <w:r w:rsidRPr="00EF2F18">
        <w:rPr>
          <w:rFonts w:cstheme="minorHAnsi"/>
          <w:sz w:val="22"/>
          <w:lang w:val="sr-Cyrl-RS"/>
        </w:rPr>
        <w:t>Европском агенцијом за животну средину (</w:t>
      </w:r>
      <w:r w:rsidRPr="00EF2F18">
        <w:rPr>
          <w:rFonts w:cstheme="minorHAnsi"/>
          <w:i/>
          <w:iCs/>
          <w:sz w:val="22"/>
          <w:lang w:val="sr-Cyrl-RS"/>
        </w:rPr>
        <w:t>ЕЕА</w:t>
      </w:r>
      <w:r w:rsidRPr="00EF2F18">
        <w:rPr>
          <w:rFonts w:cstheme="minorHAnsi"/>
          <w:sz w:val="22"/>
          <w:lang w:val="sr-Cyrl-RS"/>
        </w:rPr>
        <w:t>) и Европском мрежом за информације и посматрање животне средине (Eionet). Оцењивање достављања података о животној средини и клими у оквиру Еионет „кључних токова података</w:t>
      </w:r>
      <w:r w:rsidRPr="00EF2F18">
        <w:rPr>
          <w:sz w:val="22"/>
          <w:lang w:val="sr-Cyrl-RS"/>
        </w:rPr>
        <w:t>”</w:t>
      </w:r>
      <w:r w:rsidRPr="00EF2F18">
        <w:rPr>
          <w:rFonts w:cstheme="minorHAnsi"/>
          <w:sz w:val="22"/>
          <w:lang w:val="sr-Cyrl-RS"/>
        </w:rPr>
        <w:t xml:space="preserve"> се објављује од 2005. године у </w:t>
      </w:r>
      <w:r w:rsidRPr="00EF2F18">
        <w:rPr>
          <w:rFonts w:cstheme="minorHAnsi"/>
          <w:i/>
          <w:iCs/>
          <w:sz w:val="22"/>
          <w:lang w:val="sr-Cyrl-RS"/>
        </w:rPr>
        <w:t>ЕЕА</w:t>
      </w:r>
      <w:r w:rsidRPr="00EF2F18">
        <w:rPr>
          <w:rFonts w:cstheme="minorHAnsi"/>
          <w:sz w:val="22"/>
          <w:lang w:val="sr-Cyrl-RS"/>
        </w:rPr>
        <w:t xml:space="preserve"> годишњим извештајима. Ово оцењивање учинка извештавања земаља на основу кључних токова података сматра се важним подстицајем који доприноси побољшању извештавања чланица </w:t>
      </w:r>
      <w:r w:rsidRPr="00EF2F18">
        <w:rPr>
          <w:rFonts w:cstheme="minorHAnsi"/>
          <w:i/>
          <w:iCs/>
          <w:sz w:val="22"/>
          <w:lang w:val="sr-Cyrl-RS"/>
        </w:rPr>
        <w:t>ЕЕА</w:t>
      </w:r>
      <w:r w:rsidRPr="00EF2F18">
        <w:rPr>
          <w:rFonts w:cstheme="minorHAnsi"/>
          <w:sz w:val="22"/>
          <w:lang w:val="sr-Cyrl-RS"/>
        </w:rPr>
        <w:t xml:space="preserve"> и придружених земаља, међу којима је и </w:t>
      </w:r>
      <w:r w:rsidRPr="00EF2F18">
        <w:rPr>
          <w:sz w:val="22"/>
          <w:lang w:val="sr-Cyrl-RS"/>
        </w:rPr>
        <w:t>Република</w:t>
      </w:r>
      <w:r w:rsidRPr="00EF2F18">
        <w:rPr>
          <w:rFonts w:cstheme="minorHAnsi"/>
          <w:sz w:val="22"/>
          <w:lang w:val="sr-Cyrl-RS"/>
        </w:rPr>
        <w:t xml:space="preserve"> Србија. </w:t>
      </w:r>
      <w:bookmarkStart w:id="136" w:name="_Hlk100126133"/>
      <w:r w:rsidRPr="00EF2F18">
        <w:rPr>
          <w:rFonts w:cstheme="minorHAnsi"/>
          <w:sz w:val="22"/>
          <w:shd w:val="clear" w:color="auto" w:fill="FFFFFF"/>
          <w:lang w:val="sr-Cyrl-RS"/>
        </w:rPr>
        <w:t xml:space="preserve">Агенција </w:t>
      </w:r>
      <w:bookmarkEnd w:id="136"/>
      <w:r w:rsidRPr="00EF2F18">
        <w:rPr>
          <w:rFonts w:cstheme="minorHAnsi"/>
          <w:sz w:val="22"/>
          <w:shd w:val="clear" w:color="auto" w:fill="FFFFFF"/>
          <w:lang w:val="sr-Cyrl-RS"/>
        </w:rPr>
        <w:t xml:space="preserve">је део </w:t>
      </w:r>
      <w:r w:rsidRPr="00EF2F18">
        <w:rPr>
          <w:rFonts w:cstheme="minorHAnsi"/>
          <w:i/>
          <w:iCs/>
          <w:sz w:val="22"/>
          <w:lang w:val="sr-Cyrl-RS"/>
        </w:rPr>
        <w:t>ЕЕА</w:t>
      </w:r>
      <w:r w:rsidRPr="00EF2F18">
        <w:rPr>
          <w:rFonts w:cstheme="minorHAnsi"/>
          <w:sz w:val="22"/>
          <w:lang w:val="sr-Cyrl-RS"/>
        </w:rPr>
        <w:t xml:space="preserve"> мреже која повезује институција из 38 земаља чланица и земаља сарадница, пружајући податке и информације о животној средини и клими. Према таквом узорном моделу,</w:t>
      </w:r>
      <w:r w:rsidRPr="00EF2F18">
        <w:rPr>
          <w:rFonts w:cstheme="minorHAnsi"/>
          <w:sz w:val="22"/>
          <w:shd w:val="clear" w:color="auto" w:fill="FFFFFF"/>
          <w:lang w:val="sr-Cyrl-RS"/>
        </w:rPr>
        <w:t xml:space="preserve"> Агенција </w:t>
      </w:r>
      <w:r w:rsidRPr="00EF2F18">
        <w:rPr>
          <w:rFonts w:cstheme="minorHAnsi"/>
          <w:sz w:val="22"/>
          <w:lang w:val="sr-Cyrl-RS"/>
        </w:rPr>
        <w:t>је проширила базу знања о жи</w:t>
      </w:r>
      <w:r w:rsidR="00566F4C">
        <w:rPr>
          <w:rFonts w:cstheme="minorHAnsi"/>
          <w:sz w:val="22"/>
          <w:lang w:val="sr-Cyrl-RS"/>
        </w:rPr>
        <w:t>вотној средини на националном ни</w:t>
      </w:r>
      <w:r w:rsidRPr="00EF2F18">
        <w:rPr>
          <w:rFonts w:cstheme="minorHAnsi"/>
          <w:sz w:val="22"/>
          <w:lang w:val="sr-Cyrl-RS"/>
        </w:rPr>
        <w:t xml:space="preserve">воу створивши Заједнички информациони систем животне средине </w:t>
      </w:r>
      <w:r w:rsidRPr="00EF2F18">
        <w:rPr>
          <w:sz w:val="22"/>
          <w:lang w:val="sr-Cyrl-RS"/>
        </w:rPr>
        <w:t>Републике</w:t>
      </w:r>
      <w:r w:rsidRPr="00EF2F18">
        <w:rPr>
          <w:rFonts w:cstheme="minorHAnsi"/>
          <w:sz w:val="22"/>
          <w:lang w:val="sr-Cyrl-RS"/>
        </w:rPr>
        <w:t xml:space="preserve"> Србије.</w:t>
      </w:r>
      <w:r w:rsidR="00C07F4B" w:rsidRPr="00EF2F18">
        <w:rPr>
          <w:sz w:val="22"/>
          <w:lang w:val="sr-Cyrl-RS"/>
        </w:rPr>
        <w:t xml:space="preserve"> </w:t>
      </w:r>
    </w:p>
    <w:p w14:paraId="4DBBE360" w14:textId="4641E10D" w:rsidR="00C07F4B" w:rsidRPr="00EF2F18" w:rsidRDefault="00C07F4B" w:rsidP="00C07F4B">
      <w:pPr>
        <w:spacing w:after="0"/>
        <w:ind w:firstLine="720"/>
        <w:jc w:val="both"/>
        <w:rPr>
          <w:rFonts w:cs="Times New Roman"/>
          <w:sz w:val="22"/>
          <w:lang w:val="sr-Cyrl-RS"/>
        </w:rPr>
      </w:pPr>
      <w:r w:rsidRPr="00EF2F18">
        <w:rPr>
          <w:sz w:val="22"/>
          <w:lang w:val="sr-Cyrl-RS"/>
        </w:rPr>
        <w:t>Потребно је даље</w:t>
      </w:r>
      <w:r w:rsidRPr="00EF2F18">
        <w:rPr>
          <w:rFonts w:cs="Times New Roman"/>
          <w:sz w:val="22"/>
          <w:lang w:val="sr-Cyrl-RS"/>
        </w:rPr>
        <w:t xml:space="preserve"> успостављање </w:t>
      </w:r>
      <w:r w:rsidR="00491189" w:rsidRPr="00EF2F18">
        <w:rPr>
          <w:rFonts w:cs="Times New Roman"/>
          <w:sz w:val="22"/>
          <w:lang w:val="sr-Cyrl-RS"/>
        </w:rPr>
        <w:t xml:space="preserve">и унапређивање </w:t>
      </w:r>
      <w:r w:rsidRPr="00EF2F18">
        <w:rPr>
          <w:rFonts w:cs="Times New Roman"/>
          <w:sz w:val="22"/>
          <w:lang w:val="sr-Cyrl-RS"/>
        </w:rPr>
        <w:t>система за испуњавање обавеза извештавања према ЕУ, као и израда индикатора према методологији ЕУ и прилагођавање одговарајуће националне методологије.</w:t>
      </w:r>
      <w:r w:rsidR="00C06805" w:rsidRPr="00EF2F18">
        <w:rPr>
          <w:rFonts w:cs="Times New Roman"/>
          <w:sz w:val="22"/>
          <w:lang w:val="sr-Cyrl-RS"/>
        </w:rPr>
        <w:t xml:space="preserve"> Ово укључује прилагођавање законских захтева, институционалне одговорности и капацитете, као и методолошке основе.</w:t>
      </w:r>
    </w:p>
    <w:p w14:paraId="752999DC" w14:textId="2ABD3B57" w:rsidR="002E0CC4" w:rsidRPr="00EF2F18" w:rsidRDefault="00EB262B" w:rsidP="007C0D27">
      <w:pPr>
        <w:spacing w:after="0"/>
        <w:ind w:firstLine="720"/>
        <w:jc w:val="both"/>
        <w:rPr>
          <w:sz w:val="22"/>
          <w:lang w:val="sr-Cyrl-RS"/>
        </w:rPr>
      </w:pPr>
      <w:r w:rsidRPr="00EF2F18">
        <w:rPr>
          <w:rFonts w:cstheme="minorHAnsi"/>
          <w:sz w:val="22"/>
          <w:lang w:val="sr-Cyrl-RS"/>
        </w:rPr>
        <w:t>И</w:t>
      </w:r>
      <w:r w:rsidR="007C0D27" w:rsidRPr="00EF2F18">
        <w:rPr>
          <w:rFonts w:cstheme="minorHAnsi"/>
          <w:sz w:val="22"/>
          <w:lang w:val="sr-Cyrl-RS"/>
        </w:rPr>
        <w:t xml:space="preserve">нформациони систем животне средине </w:t>
      </w:r>
      <w:r w:rsidR="007C0D27" w:rsidRPr="00EF2F18">
        <w:rPr>
          <w:sz w:val="22"/>
          <w:lang w:val="sr-Cyrl-RS"/>
        </w:rPr>
        <w:t>Републике</w:t>
      </w:r>
      <w:r w:rsidR="007C0D27" w:rsidRPr="00EF2F18">
        <w:rPr>
          <w:rFonts w:cstheme="minorHAnsi"/>
          <w:sz w:val="22"/>
          <w:lang w:val="sr-Cyrl-RS"/>
        </w:rPr>
        <w:t xml:space="preserve"> Србије (</w:t>
      </w:r>
      <w:r w:rsidR="007C0D27" w:rsidRPr="00EF2F18">
        <w:rPr>
          <w:rFonts w:cstheme="minorHAnsi"/>
          <w:i/>
          <w:iCs/>
          <w:sz w:val="22"/>
          <w:lang w:val="sr-Cyrl-RS"/>
        </w:rPr>
        <w:t>SSEIS</w:t>
      </w:r>
      <w:r w:rsidR="007C0D27" w:rsidRPr="00EF2F18">
        <w:rPr>
          <w:rFonts w:cstheme="minorHAnsi"/>
          <w:sz w:val="22"/>
          <w:lang w:val="sr-Cyrl-RS"/>
        </w:rPr>
        <w:t>)</w:t>
      </w:r>
      <w:r w:rsidR="007C0D27" w:rsidRPr="00EF2F18">
        <w:rPr>
          <w:sz w:val="22"/>
          <w:lang w:val="sr-Cyrl-RS"/>
        </w:rPr>
        <w:t xml:space="preserve"> је децентрализован, али интегрисан систем који побољшава квалитет, приступачност, доступност и разумевање информација о животној средини. Створена је основа информационог система о животној средини као кључног покретача раста националне базе знања која интегрише мноштво информација из националних мрежа </w:t>
      </w:r>
      <w:r w:rsidR="00D66573">
        <w:rPr>
          <w:sz w:val="22"/>
          <w:lang w:val="sr-Cyrl-RS"/>
        </w:rPr>
        <w:t>–</w:t>
      </w:r>
      <w:r w:rsidR="007C0D27" w:rsidRPr="00EF2F18">
        <w:rPr>
          <w:sz w:val="22"/>
          <w:lang w:val="sr-Cyrl-RS"/>
        </w:rPr>
        <w:t xml:space="preserve"> од државних органа, локалне самоуправе, привреде, науке, цивилног сектора, медија и јавности </w:t>
      </w:r>
      <w:r w:rsidR="00D66573">
        <w:rPr>
          <w:sz w:val="22"/>
          <w:lang w:val="sr-Cyrl-RS"/>
        </w:rPr>
        <w:t>–</w:t>
      </w:r>
      <w:r w:rsidR="007C0D27" w:rsidRPr="00EF2F18">
        <w:rPr>
          <w:sz w:val="22"/>
          <w:lang w:val="sr-Cyrl-RS"/>
        </w:rPr>
        <w:t xml:space="preserve"> обједињујући заједничку иницијативу према различитим корисницима са циљем прикупљања и дељења заједничких информација о животној средини</w:t>
      </w:r>
      <w:r w:rsidR="002E0CC4" w:rsidRPr="00EF2F18">
        <w:rPr>
          <w:sz w:val="22"/>
          <w:lang w:val="sr-Cyrl-RS"/>
        </w:rPr>
        <w:t>.</w:t>
      </w:r>
      <w:r w:rsidR="00491189" w:rsidRPr="00EF2F18">
        <w:rPr>
          <w:sz w:val="22"/>
          <w:lang w:val="sr-Cyrl-RS"/>
        </w:rPr>
        <w:t xml:space="preserve"> Потребно је даље </w:t>
      </w:r>
      <w:r w:rsidR="00491189" w:rsidRPr="00EF2F18">
        <w:rPr>
          <w:rFonts w:cs="Times New Roman"/>
          <w:sz w:val="22"/>
          <w:lang w:val="sr-Cyrl-RS"/>
        </w:rPr>
        <w:t>прилагођавање информационог система како би се задовољили сви захтеви за квалитетним информацијама обезбеђујући националне потребе и потребе извештавања према ЕУ.</w:t>
      </w:r>
    </w:p>
    <w:p w14:paraId="026F8E55" w14:textId="639EC7F9" w:rsidR="00AB59F9" w:rsidRPr="00EF2F18" w:rsidRDefault="00EB262B" w:rsidP="000D6F0B">
      <w:pPr>
        <w:spacing w:after="0"/>
        <w:ind w:firstLine="720"/>
        <w:jc w:val="both"/>
        <w:rPr>
          <w:rFonts w:cs="Times New Roman"/>
          <w:sz w:val="22"/>
          <w:lang w:val="sr-Cyrl-RS"/>
        </w:rPr>
      </w:pPr>
      <w:r w:rsidRPr="00EF2F18">
        <w:rPr>
          <w:rFonts w:cs="Times New Roman"/>
          <w:sz w:val="22"/>
          <w:lang w:val="sr-Cyrl-RS"/>
        </w:rPr>
        <w:t>Потребно је ојачати административни капацитет Агенције за заштиту животне средине обезбеђивањем довољног броја запослених и пружањем допунске обуке за креирање и развој индикатора и подршку у ажурирању портала „Национална листа индикатора заштите животне средине</w:t>
      </w:r>
      <w:r w:rsidR="001947D7" w:rsidRPr="00EF2F18">
        <w:rPr>
          <w:rFonts w:cs="Times New Roman"/>
          <w:sz w:val="22"/>
          <w:lang w:val="sr-Cyrl-RS"/>
        </w:rPr>
        <w:t>”</w:t>
      </w:r>
      <w:r w:rsidR="000D6F0B" w:rsidRPr="00EF2F18">
        <w:rPr>
          <w:rFonts w:cs="Times New Roman"/>
          <w:sz w:val="22"/>
          <w:lang w:val="sr-Cyrl-RS"/>
        </w:rPr>
        <w:t xml:space="preserve">. </w:t>
      </w:r>
      <w:r w:rsidR="00BB3175" w:rsidRPr="00EF2F18">
        <w:rPr>
          <w:rFonts w:cs="Times New Roman"/>
          <w:sz w:val="22"/>
          <w:lang w:val="sr-Cyrl-RS"/>
        </w:rPr>
        <w:t>Средства неопходна за реализацију новог запошљавања обезбедиће се у оквиру планираних буџетских средстава за предметну годину, те по том основу неће бити потребе за обезбеђивањем додатних финансијских средстава.</w:t>
      </w:r>
    </w:p>
    <w:p w14:paraId="0B251984" w14:textId="7FCD87BF" w:rsidR="004F1830" w:rsidRPr="00EF2F18" w:rsidRDefault="000D59B0" w:rsidP="004F1830">
      <w:pPr>
        <w:spacing w:after="0"/>
        <w:ind w:firstLine="720"/>
        <w:jc w:val="both"/>
        <w:rPr>
          <w:rFonts w:cs="Times New Roman"/>
          <w:sz w:val="22"/>
          <w:lang w:val="sr-Cyrl-RS"/>
        </w:rPr>
      </w:pPr>
      <w:r w:rsidRPr="00EF2F18">
        <w:rPr>
          <w:rFonts w:cs="Times New Roman"/>
          <w:sz w:val="22"/>
          <w:lang w:val="sr-Cyrl-RS"/>
        </w:rPr>
        <w:t xml:space="preserve">Неопходна је подршка успостављању локалних регистара извора загађивања животне средине, користећи већ постојећи информациони систем на коме је заснован Национални регистар извора загађивања. </w:t>
      </w:r>
      <w:r w:rsidR="00AE4C32" w:rsidRPr="00EF2F18">
        <w:rPr>
          <w:rFonts w:eastAsia="Calibri" w:cs="Times New Roman"/>
          <w:sz w:val="22"/>
          <w:lang w:val="sr-Cyrl-RS"/>
        </w:rPr>
        <w:t>То ће</w:t>
      </w:r>
      <w:r w:rsidRPr="00EF2F18">
        <w:rPr>
          <w:rFonts w:eastAsia="Calibri" w:cs="Times New Roman"/>
          <w:sz w:val="22"/>
          <w:lang w:val="sr-Cyrl-RS"/>
        </w:rPr>
        <w:t xml:space="preserve"> омогући</w:t>
      </w:r>
      <w:r w:rsidR="00AE4C32" w:rsidRPr="00EF2F18">
        <w:rPr>
          <w:rFonts w:eastAsia="Calibri" w:cs="Times New Roman"/>
          <w:sz w:val="22"/>
          <w:lang w:val="sr-Cyrl-RS"/>
        </w:rPr>
        <w:t>ти</w:t>
      </w:r>
      <w:r w:rsidRPr="00EF2F18">
        <w:rPr>
          <w:rFonts w:eastAsia="Calibri" w:cs="Times New Roman"/>
          <w:sz w:val="22"/>
          <w:lang w:val="sr-Cyrl-RS"/>
        </w:rPr>
        <w:t xml:space="preserve"> боље сагледавање загађења у </w:t>
      </w:r>
      <w:r w:rsidR="00C507C1" w:rsidRPr="00EF2F18">
        <w:rPr>
          <w:rFonts w:eastAsia="Calibri" w:cs="Times New Roman"/>
          <w:sz w:val="22"/>
          <w:lang w:val="sr-Cyrl-RS"/>
        </w:rPr>
        <w:t xml:space="preserve">Републици </w:t>
      </w:r>
      <w:r w:rsidRPr="00EF2F18">
        <w:rPr>
          <w:rFonts w:eastAsia="Calibri" w:cs="Times New Roman"/>
          <w:sz w:val="22"/>
          <w:lang w:val="sr-Cyrl-RS"/>
        </w:rPr>
        <w:t>Србији и једноставније анализе података како би се креирале ефикасне политике за заштиту животне средине на националном и на локалном нивоу.</w:t>
      </w:r>
    </w:p>
    <w:p w14:paraId="49DCC205" w14:textId="4A495A16"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w:t>
      </w:r>
      <w:r w:rsidR="000D59B0" w:rsidRPr="00EF2F18">
        <w:rPr>
          <w:rFonts w:cs="Times New Roman"/>
          <w:sz w:val="22"/>
          <w:lang w:val="sr-Cyrl-RS"/>
        </w:rPr>
        <w:t>Агенција за заштиту животне средине</w:t>
      </w:r>
      <w:r w:rsidR="004D677C" w:rsidRPr="00EF2F18">
        <w:rPr>
          <w:rFonts w:cs="Times New Roman"/>
          <w:sz w:val="22"/>
          <w:lang w:val="sr-Cyrl-RS"/>
        </w:rPr>
        <w:t>.</w:t>
      </w:r>
    </w:p>
    <w:p w14:paraId="0EF277F8" w14:textId="438E2044" w:rsidR="00AB59F9" w:rsidRPr="00EF2F18" w:rsidRDefault="0038791D" w:rsidP="00AB59F9">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EB262B" w:rsidRPr="00EF2F18">
        <w:rPr>
          <w:rFonts w:cs="Times New Roman"/>
          <w:sz w:val="22"/>
          <w:lang w:val="sr-Cyrl-RS" w:eastAsia="en-GB"/>
        </w:rPr>
        <w:t xml:space="preserve">Министарство заштите животне средине, </w:t>
      </w:r>
      <w:r w:rsidR="00617188" w:rsidRPr="00EF2F18">
        <w:rPr>
          <w:rFonts w:cs="Times New Roman"/>
          <w:sz w:val="22"/>
          <w:lang w:val="sr-Cyrl-RS" w:eastAsia="en-GB"/>
        </w:rPr>
        <w:t>јединице лок</w:t>
      </w:r>
      <w:r w:rsidR="00D66573">
        <w:rPr>
          <w:rFonts w:cs="Times New Roman"/>
          <w:sz w:val="22"/>
          <w:lang w:val="sr-Cyrl-RS" w:eastAsia="en-GB"/>
        </w:rPr>
        <w:t>алане самоуправе</w:t>
      </w:r>
      <w:r w:rsidR="004D677C" w:rsidRPr="00EF2F18">
        <w:rPr>
          <w:rFonts w:cs="Times New Roman"/>
          <w:sz w:val="22"/>
          <w:lang w:val="sr-Cyrl-RS" w:eastAsia="en-GB"/>
        </w:rPr>
        <w:t>.</w:t>
      </w:r>
    </w:p>
    <w:p w14:paraId="456BD485" w14:textId="04E58127" w:rsidR="00BE2062" w:rsidRPr="00EF2F18" w:rsidRDefault="00617188" w:rsidP="00D83673">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обезбеђивање добара и пружање услуга од стране учесник</w:t>
      </w:r>
      <w:r w:rsidR="006566AA" w:rsidRPr="00EF2F18">
        <w:rPr>
          <w:rFonts w:cs="Times New Roman"/>
          <w:sz w:val="22"/>
          <w:lang w:val="sr-Cyrl-RS" w:eastAsia="en-GB"/>
        </w:rPr>
        <w:t>а</w:t>
      </w:r>
      <w:r w:rsidRPr="00EF2F18">
        <w:rPr>
          <w:rFonts w:cs="Times New Roman"/>
          <w:sz w:val="22"/>
          <w:lang w:val="sr-Cyrl-RS" w:eastAsia="en-GB"/>
        </w:rPr>
        <w:t xml:space="preserve"> у планском систему</w:t>
      </w:r>
      <w:r w:rsidR="00C96528" w:rsidRPr="00EF2F18">
        <w:rPr>
          <w:rFonts w:cs="Times New Roman"/>
          <w:sz w:val="22"/>
          <w:lang w:val="sr-Cyrl-RS" w:eastAsia="en-GB"/>
        </w:rPr>
        <w:t>.</w:t>
      </w:r>
    </w:p>
    <w:p w14:paraId="599DA78A" w14:textId="77777777" w:rsidR="00957690" w:rsidRPr="00EF2F18" w:rsidRDefault="00957690" w:rsidP="009B2D1D">
      <w:pPr>
        <w:spacing w:after="0"/>
        <w:ind w:firstLine="720"/>
        <w:jc w:val="both"/>
        <w:rPr>
          <w:rFonts w:cs="Times New Roman"/>
          <w:sz w:val="22"/>
          <w:lang w:val="sr-Cyrl-RS"/>
        </w:rPr>
      </w:pPr>
    </w:p>
    <w:p w14:paraId="6C5C4630" w14:textId="43BD1C21" w:rsidR="0038791D" w:rsidRPr="00EF2F18" w:rsidRDefault="0038791D" w:rsidP="003744A8">
      <w:pPr>
        <w:pBdr>
          <w:top w:val="single" w:sz="4" w:space="1" w:color="auto"/>
          <w:left w:val="single" w:sz="4" w:space="4" w:color="auto"/>
          <w:bottom w:val="single" w:sz="4" w:space="1" w:color="auto"/>
          <w:right w:val="single" w:sz="4" w:space="4" w:color="auto"/>
        </w:pBdr>
        <w:spacing w:after="0"/>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Посебан циљ 6.4: </w:t>
      </w:r>
      <w:r w:rsidR="0015021D" w:rsidRPr="00EF2F18">
        <w:rPr>
          <w:rFonts w:cs="Times New Roman"/>
          <w:b/>
          <w:bCs/>
          <w:color w:val="2E74B5" w:themeColor="accent1" w:themeShade="BF"/>
          <w:sz w:val="22"/>
          <w:lang w:val="sr-Cyrl-RS"/>
        </w:rPr>
        <w:t>Унапређење система финансирања заштите животне средине</w:t>
      </w:r>
    </w:p>
    <w:p w14:paraId="004A8185" w14:textId="77777777" w:rsidR="00753384" w:rsidRDefault="00753384" w:rsidP="00867A68">
      <w:pPr>
        <w:spacing w:after="0"/>
        <w:ind w:firstLine="720"/>
        <w:jc w:val="both"/>
        <w:rPr>
          <w:rFonts w:eastAsia="Calibri" w:cs="Times New Roman"/>
          <w:sz w:val="22"/>
          <w:lang w:val="sr-Cyrl-RS"/>
        </w:rPr>
      </w:pPr>
    </w:p>
    <w:p w14:paraId="653FCA85" w14:textId="518BEE87" w:rsidR="00867A68" w:rsidRPr="00EF2F18" w:rsidRDefault="00867A68" w:rsidP="00867A68">
      <w:pPr>
        <w:spacing w:after="0"/>
        <w:ind w:firstLine="720"/>
        <w:jc w:val="both"/>
        <w:rPr>
          <w:sz w:val="22"/>
          <w:lang w:val="sr-Cyrl-RS"/>
        </w:rPr>
      </w:pPr>
      <w:r w:rsidRPr="00EF2F18">
        <w:rPr>
          <w:rFonts w:eastAsia="Calibri" w:cs="Times New Roman"/>
          <w:sz w:val="22"/>
          <w:lang w:val="sr-Cyrl-RS"/>
        </w:rPr>
        <w:t xml:space="preserve">Овај посебан циљ доприноси реализацији ЦОР </w:t>
      </w:r>
      <w:r w:rsidRPr="00EF2F18">
        <w:rPr>
          <w:rFonts w:cs="Times New Roman"/>
          <w:sz w:val="22"/>
          <w:lang w:val="sr-Cyrl-RS"/>
        </w:rPr>
        <w:t xml:space="preserve">17 који </w:t>
      </w:r>
      <w:r w:rsidRPr="00EF2F18">
        <w:rPr>
          <w:sz w:val="22"/>
          <w:lang w:val="sr-Cyrl-RS"/>
        </w:rPr>
        <w:t>предвиђа јачање партнерстава за одрживи развој</w:t>
      </w:r>
      <w:r w:rsidR="00904BD9" w:rsidRPr="00EF2F18">
        <w:rPr>
          <w:sz w:val="22"/>
          <w:lang w:val="sr-Cyrl-RS"/>
        </w:rPr>
        <w:t>, као и реализацији ЦОР 15, нарочито 15.а и 15.б</w:t>
      </w:r>
      <w:r w:rsidRPr="00EF2F18">
        <w:rPr>
          <w:sz w:val="22"/>
          <w:lang w:val="sr-Cyrl-RS"/>
        </w:rPr>
        <w:t>.</w:t>
      </w:r>
    </w:p>
    <w:p w14:paraId="39AAB71E" w14:textId="77777777" w:rsidR="00867A68" w:rsidRPr="00EF2F18" w:rsidRDefault="00867A68" w:rsidP="00425FCC">
      <w:pPr>
        <w:spacing w:after="0"/>
        <w:ind w:firstLine="720"/>
        <w:rPr>
          <w:rFonts w:cs="Times New Roman"/>
          <w:sz w:val="22"/>
          <w:lang w:val="sr-Cyrl-RS"/>
        </w:rPr>
      </w:pPr>
    </w:p>
    <w:p w14:paraId="21BE87D6" w14:textId="54502DE5" w:rsidR="0038791D" w:rsidRPr="00EF2F18" w:rsidRDefault="0038791D" w:rsidP="003744A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eastAsia="en-GB"/>
        </w:rPr>
        <w:t xml:space="preserve">Мера 6.4.1. </w:t>
      </w:r>
      <w:r w:rsidR="0015021D" w:rsidRPr="00EF2F18">
        <w:rPr>
          <w:rFonts w:cs="Times New Roman"/>
          <w:b/>
          <w:bCs/>
          <w:sz w:val="22"/>
          <w:lang w:val="sr-Cyrl-RS" w:eastAsia="en-GB"/>
        </w:rPr>
        <w:t>Реформисање инструмената финансирања заштите животне средине</w:t>
      </w:r>
      <w:r w:rsidRPr="00EF2F18">
        <w:rPr>
          <w:rFonts w:cs="Times New Roman"/>
          <w:sz w:val="22"/>
          <w:lang w:val="sr-Cyrl-RS" w:eastAsia="en-GB"/>
        </w:rPr>
        <w:t xml:space="preserve"> </w:t>
      </w:r>
    </w:p>
    <w:p w14:paraId="0745D0D9" w14:textId="77777777" w:rsidR="00F50652" w:rsidRPr="00EF2F18" w:rsidRDefault="00F50652" w:rsidP="0037078C">
      <w:pPr>
        <w:spacing w:after="0"/>
        <w:ind w:firstLine="720"/>
        <w:jc w:val="both"/>
        <w:rPr>
          <w:rFonts w:cs="Times New Roman"/>
          <w:sz w:val="22"/>
          <w:lang w:val="sr-Cyrl-RS"/>
        </w:rPr>
      </w:pPr>
    </w:p>
    <w:p w14:paraId="7C61D3A9" w14:textId="344CF453" w:rsidR="0037078C" w:rsidRPr="00EF2F18" w:rsidRDefault="000F3862" w:rsidP="0037078C">
      <w:pPr>
        <w:spacing w:after="0"/>
        <w:ind w:firstLine="720"/>
        <w:jc w:val="both"/>
        <w:rPr>
          <w:rFonts w:cs="Times New Roman"/>
          <w:sz w:val="22"/>
          <w:lang w:val="sr-Cyrl-RS"/>
        </w:rPr>
      </w:pPr>
      <w:r w:rsidRPr="00EF2F18">
        <w:rPr>
          <w:rFonts w:cs="Times New Roman"/>
          <w:sz w:val="22"/>
          <w:lang w:val="sr-Cyrl-RS"/>
        </w:rPr>
        <w:t xml:space="preserve">Постављање заштите животне средине у фокус јавних политика претпоставља промену системског оквира за планирање и реализацију инвестиција. </w:t>
      </w:r>
    </w:p>
    <w:p w14:paraId="2D5C5D7B" w14:textId="765F704A" w:rsidR="0037078C" w:rsidRPr="00EF2F18" w:rsidRDefault="00A94FBC" w:rsidP="0037078C">
      <w:pPr>
        <w:spacing w:after="0"/>
        <w:ind w:firstLine="720"/>
        <w:jc w:val="both"/>
        <w:rPr>
          <w:rFonts w:cs="Times New Roman"/>
          <w:sz w:val="22"/>
          <w:lang w:val="sr-Cyrl-RS"/>
        </w:rPr>
      </w:pPr>
      <w:r w:rsidRPr="00EF2F18">
        <w:rPr>
          <w:rFonts w:cs="Times New Roman"/>
          <w:sz w:val="22"/>
          <w:lang w:val="sr-Cyrl-RS"/>
        </w:rPr>
        <w:t>Потребн</w:t>
      </w:r>
      <w:r w:rsidR="0037078C" w:rsidRPr="00EF2F18">
        <w:rPr>
          <w:rFonts w:cs="Times New Roman"/>
          <w:sz w:val="22"/>
          <w:lang w:val="sr-Cyrl-RS"/>
        </w:rPr>
        <w:t>а</w:t>
      </w:r>
      <w:r w:rsidRPr="00EF2F18">
        <w:rPr>
          <w:rFonts w:cs="Times New Roman"/>
          <w:sz w:val="22"/>
          <w:lang w:val="sr-Cyrl-RS"/>
        </w:rPr>
        <w:t xml:space="preserve"> је </w:t>
      </w:r>
      <w:r w:rsidR="0037078C" w:rsidRPr="00EF2F18">
        <w:rPr>
          <w:rFonts w:cs="Times New Roman"/>
          <w:sz w:val="22"/>
          <w:lang w:val="sr-Cyrl-RS"/>
        </w:rPr>
        <w:t xml:space="preserve">анализа инструмената за одрживо финансирање, укључујући накнаде, у циљу ефикасне реализације програма и пројеката у области заштите животне средине и обезбеђивања дугорочног стабилног и одрживог финансирања система заштите животне </w:t>
      </w:r>
      <w:r w:rsidR="0037078C" w:rsidRPr="00EF2F18">
        <w:rPr>
          <w:rFonts w:cs="Times New Roman"/>
          <w:sz w:val="22"/>
          <w:lang w:val="sr-Cyrl-RS"/>
        </w:rPr>
        <w:lastRenderedPageBreak/>
        <w:t xml:space="preserve">средине. Мера подразумева дефинисање и успостављање институционалног, правног и организационог оквира за одрживи систем финансирања и наменско коришћење средстава </w:t>
      </w:r>
      <w:r w:rsidRPr="00EF2F18">
        <w:rPr>
          <w:rFonts w:cs="Times New Roman"/>
          <w:sz w:val="22"/>
          <w:lang w:val="sr-Cyrl-RS"/>
        </w:rPr>
        <w:t>прикупљених од такси и накнада у области заштите животне средине</w:t>
      </w:r>
      <w:r w:rsidR="0037078C" w:rsidRPr="00EF2F18">
        <w:rPr>
          <w:rFonts w:cs="Times New Roman"/>
          <w:sz w:val="22"/>
          <w:lang w:val="sr-Cyrl-RS"/>
        </w:rPr>
        <w:t>.</w:t>
      </w:r>
      <w:r w:rsidR="00DF5461" w:rsidRPr="00EF2F18">
        <w:rPr>
          <w:rFonts w:cs="Times New Roman"/>
          <w:sz w:val="22"/>
          <w:lang w:val="sr-Cyrl-RS"/>
        </w:rPr>
        <w:t xml:space="preserve"> </w:t>
      </w:r>
      <w:r w:rsidR="0037078C" w:rsidRPr="00EF2F18">
        <w:rPr>
          <w:rFonts w:cs="Times New Roman"/>
          <w:sz w:val="22"/>
          <w:lang w:val="sr-Cyrl-RS"/>
        </w:rPr>
        <w:t xml:space="preserve">Планира се успостављање пуног функционисања система за одрживо финансирање у области заштите животне средине увођењем </w:t>
      </w:r>
      <w:r w:rsidR="005A7ECA" w:rsidRPr="00EF2F18">
        <w:rPr>
          <w:rFonts w:cs="Times New Roman"/>
          <w:sz w:val="22"/>
          <w:lang w:val="sr-Cyrl-RS"/>
        </w:rPr>
        <w:t>„</w:t>
      </w:r>
      <w:r w:rsidR="0037078C" w:rsidRPr="00EF2F18">
        <w:rPr>
          <w:rFonts w:cs="Times New Roman"/>
          <w:sz w:val="22"/>
          <w:lang w:val="sr-Cyrl-RS"/>
        </w:rPr>
        <w:t>зеленог</w:t>
      </w:r>
      <w:r w:rsidR="005A7ECA" w:rsidRPr="00EF2F18">
        <w:rPr>
          <w:rFonts w:cs="Times New Roman"/>
          <w:sz w:val="22"/>
          <w:lang w:val="sr-Cyrl-RS"/>
        </w:rPr>
        <w:t>”</w:t>
      </w:r>
      <w:r w:rsidR="0037078C" w:rsidRPr="00EF2F18">
        <w:rPr>
          <w:rFonts w:cs="Times New Roman"/>
          <w:sz w:val="22"/>
          <w:lang w:val="sr-Cyrl-RS"/>
        </w:rPr>
        <w:t xml:space="preserve"> буџетирања</w:t>
      </w:r>
      <w:r w:rsidR="005A7ECA" w:rsidRPr="00EF2F18">
        <w:rPr>
          <w:rFonts w:cs="Times New Roman"/>
          <w:sz w:val="22"/>
          <w:lang w:val="sr-Cyrl-RS"/>
        </w:rPr>
        <w:t xml:space="preserve">, односно израдом и применом обавезујуће методологије </w:t>
      </w:r>
      <w:r w:rsidR="005A7ECA" w:rsidRPr="00EF2F18">
        <w:rPr>
          <w:rFonts w:eastAsia="Times New Roman" w:cs="Times New Roman"/>
          <w:sz w:val="22"/>
          <w:lang w:val="sr-Cyrl-RS"/>
        </w:rPr>
        <w:t>за обележавање зелених расхода.</w:t>
      </w:r>
    </w:p>
    <w:p w14:paraId="015E0012" w14:textId="7003C991" w:rsidR="0038791D" w:rsidRPr="00EF2F18" w:rsidRDefault="0038791D" w:rsidP="00425FCC">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005A7ECA" w:rsidRPr="00EF2F18">
        <w:rPr>
          <w:rFonts w:cs="Times New Roman"/>
          <w:sz w:val="22"/>
          <w:lang w:val="sr-Cyrl-RS" w:eastAsia="en-GB"/>
        </w:rPr>
        <w:t xml:space="preserve"> Министарство финансија</w:t>
      </w:r>
      <w:r w:rsidR="009D63A7" w:rsidRPr="00EF2F18">
        <w:rPr>
          <w:rFonts w:cs="Times New Roman"/>
          <w:sz w:val="22"/>
          <w:lang w:val="sr-Cyrl-RS" w:eastAsia="en-GB"/>
        </w:rPr>
        <w:t>.</w:t>
      </w:r>
    </w:p>
    <w:p w14:paraId="748B75AC" w14:textId="6042D302" w:rsidR="00617188" w:rsidRPr="00EF2F18" w:rsidRDefault="0038791D" w:rsidP="00617188">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617188" w:rsidRPr="00EF2F18">
        <w:rPr>
          <w:rFonts w:cs="Times New Roman"/>
          <w:sz w:val="22"/>
          <w:lang w:val="sr-Cyrl-RS" w:eastAsia="en-GB"/>
        </w:rPr>
        <w:t xml:space="preserve">Министарство заштите животне средине, Министарство пољопривреде, шумарства и водопривреде, Министарство рударства и енергетике, Министарство грађевинарства, саобраћаја и инфраструкутре, </w:t>
      </w:r>
      <w:r w:rsidR="002D6B78" w:rsidRPr="00EF2F18">
        <w:rPr>
          <w:rFonts w:cs="Times New Roman"/>
          <w:sz w:val="22"/>
          <w:lang w:val="sr-Cyrl-RS" w:eastAsia="en-GB"/>
        </w:rPr>
        <w:t xml:space="preserve">Министарство привреде, </w:t>
      </w:r>
      <w:r w:rsidR="00617188" w:rsidRPr="00EF2F18">
        <w:rPr>
          <w:rFonts w:cs="Times New Roman"/>
          <w:sz w:val="22"/>
          <w:lang w:val="sr-Cyrl-RS" w:eastAsia="en-GB"/>
        </w:rPr>
        <w:t>јединице локалне самоуправе, организације цивилног друштва</w:t>
      </w:r>
      <w:r w:rsidR="009D63A7" w:rsidRPr="00EF2F18">
        <w:rPr>
          <w:rFonts w:cs="Times New Roman"/>
          <w:sz w:val="22"/>
          <w:lang w:val="sr-Cyrl-RS" w:eastAsia="en-GB"/>
        </w:rPr>
        <w:t>.</w:t>
      </w:r>
    </w:p>
    <w:p w14:paraId="252E33FC" w14:textId="76368565" w:rsidR="00617188" w:rsidRPr="00EF2F18" w:rsidRDefault="00617188" w:rsidP="00617188">
      <w:pPr>
        <w:spacing w:after="0"/>
        <w:ind w:firstLine="720"/>
        <w:jc w:val="both"/>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регулаторна</w:t>
      </w:r>
      <w:r w:rsidR="00C96528" w:rsidRPr="00EF2F18">
        <w:rPr>
          <w:rFonts w:cs="Times New Roman"/>
          <w:sz w:val="22"/>
          <w:lang w:val="sr-Cyrl-RS" w:eastAsia="en-GB"/>
        </w:rPr>
        <w:t>.</w:t>
      </w:r>
      <w:r w:rsidRPr="00EF2F18">
        <w:rPr>
          <w:rFonts w:cs="Times New Roman"/>
          <w:sz w:val="22"/>
          <w:lang w:val="sr-Cyrl-RS" w:eastAsia="en-GB"/>
        </w:rPr>
        <w:t xml:space="preserve"> </w:t>
      </w:r>
    </w:p>
    <w:p w14:paraId="31DC7606" w14:textId="788CFE9E" w:rsidR="0038791D" w:rsidRPr="00EF2F18" w:rsidRDefault="0038791D" w:rsidP="00617188">
      <w:pPr>
        <w:spacing w:after="0"/>
        <w:ind w:firstLine="720"/>
        <w:jc w:val="both"/>
        <w:rPr>
          <w:rFonts w:cs="Times New Roman"/>
          <w:sz w:val="22"/>
          <w:lang w:val="sr-Cyrl-RS" w:eastAsia="en-GB"/>
        </w:rPr>
      </w:pPr>
    </w:p>
    <w:p w14:paraId="1FEC54DE" w14:textId="6F002B6C" w:rsidR="0038791D" w:rsidRPr="00EF2F18" w:rsidRDefault="003246E2" w:rsidP="006B4DF8">
      <w:pPr>
        <w:pBdr>
          <w:top w:val="single" w:sz="4" w:space="1" w:color="auto"/>
          <w:left w:val="single" w:sz="4" w:space="4" w:color="auto"/>
          <w:bottom w:val="single" w:sz="4" w:space="1" w:color="auto"/>
          <w:right w:val="single" w:sz="4" w:space="4" w:color="auto"/>
        </w:pBdr>
        <w:spacing w:after="0"/>
        <w:jc w:val="both"/>
        <w:rPr>
          <w:rFonts w:cs="Times New Roman"/>
          <w:sz w:val="22"/>
          <w:lang w:val="sr-Cyrl-RS" w:eastAsia="en-GB"/>
        </w:rPr>
      </w:pPr>
      <w:r w:rsidRPr="00EF2F18">
        <w:rPr>
          <w:rFonts w:cs="Times New Roman"/>
          <w:b/>
          <w:bCs/>
          <w:sz w:val="22"/>
          <w:lang w:val="sr-Cyrl-RS"/>
        </w:rPr>
        <w:t>Мера 6.4.2. Успостављање механизма за финансијску подршку климатски неутралној и зеленој трансформацији привреде и друштва</w:t>
      </w:r>
    </w:p>
    <w:p w14:paraId="21F407D6" w14:textId="77777777" w:rsidR="00F50652" w:rsidRPr="00EF2F18" w:rsidRDefault="00F50652" w:rsidP="000F0013">
      <w:pPr>
        <w:spacing w:after="0"/>
        <w:ind w:firstLine="720"/>
        <w:jc w:val="both"/>
        <w:rPr>
          <w:rFonts w:cs="Times New Roman"/>
          <w:sz w:val="22"/>
          <w:lang w:val="sr-Cyrl-RS"/>
        </w:rPr>
      </w:pPr>
    </w:p>
    <w:p w14:paraId="70BCD9A6" w14:textId="102E99C1" w:rsidR="003246E2" w:rsidRPr="00EF2F18" w:rsidRDefault="003246E2" w:rsidP="000F0013">
      <w:pPr>
        <w:spacing w:after="0"/>
        <w:ind w:firstLine="720"/>
        <w:jc w:val="both"/>
        <w:rPr>
          <w:rFonts w:cs="Times New Roman"/>
          <w:sz w:val="22"/>
          <w:lang w:val="sr-Cyrl-RS"/>
        </w:rPr>
      </w:pPr>
      <w:r w:rsidRPr="00EF2F18">
        <w:rPr>
          <w:rFonts w:cs="Times New Roman"/>
          <w:sz w:val="22"/>
          <w:lang w:val="sr-Cyrl-RS"/>
        </w:rPr>
        <w:t xml:space="preserve">Мера подразумева идентификацију модела и механизама </w:t>
      </w:r>
      <w:r w:rsidR="00DF5461" w:rsidRPr="00EF2F18">
        <w:rPr>
          <w:rFonts w:cs="Times New Roman"/>
          <w:sz w:val="22"/>
          <w:lang w:val="sr-Cyrl-RS"/>
        </w:rPr>
        <w:t xml:space="preserve">за финансијску подршку климатски неутралној и зеленој трансформацији привреде и друштва </w:t>
      </w:r>
      <w:r w:rsidRPr="00EF2F18">
        <w:rPr>
          <w:rFonts w:cs="Times New Roman"/>
          <w:sz w:val="22"/>
          <w:lang w:val="sr-Cyrl-RS"/>
        </w:rPr>
        <w:t>(субвенције, финансијске инструменте, моделе јавно-приватног партнерства), и извора финансирања (национални, билатерални, регионални, ЕУ, међународни) како би се подржала зелена трансформација српске пр</w:t>
      </w:r>
      <w:r w:rsidR="003B0AF5">
        <w:rPr>
          <w:rFonts w:cs="Times New Roman"/>
          <w:sz w:val="22"/>
          <w:lang w:val="sr-Cyrl-RS"/>
        </w:rPr>
        <w:t>ив</w:t>
      </w:r>
      <w:r w:rsidRPr="00EF2F18">
        <w:rPr>
          <w:rFonts w:cs="Times New Roman"/>
          <w:sz w:val="22"/>
          <w:lang w:val="sr-Cyrl-RS"/>
        </w:rPr>
        <w:t>реде која ће допринети ублажавању климатских промена, а у складу са могућим променама климе. Ови модели и потенцијални финансијски извори треба да буду у складу са документима јавних политика. Такође треба имати у виду да зелена транзиција доноси многе социо</w:t>
      </w:r>
      <w:r w:rsidR="00BB4B28">
        <w:rPr>
          <w:rFonts w:cs="Times New Roman"/>
          <w:sz w:val="22"/>
          <w:lang w:val="sr-Cyrl-RS"/>
        </w:rPr>
        <w:t>-</w:t>
      </w:r>
      <w:r w:rsidRPr="00EF2F18">
        <w:rPr>
          <w:rFonts w:cs="Times New Roman"/>
          <w:sz w:val="22"/>
          <w:lang w:val="sr-Cyrl-RS"/>
        </w:rPr>
        <w:t xml:space="preserve">економске и друге изазове које треба узети у обзир, као и да је потребно размотрити иновативну финансијску помоћ, као што су зелене обвезнице. </w:t>
      </w:r>
    </w:p>
    <w:p w14:paraId="1266E58F" w14:textId="7880555D" w:rsidR="00D6250D" w:rsidRPr="00EF2F18" w:rsidRDefault="00D6250D" w:rsidP="003246E2">
      <w:pPr>
        <w:spacing w:after="0"/>
        <w:ind w:firstLine="720"/>
        <w:jc w:val="both"/>
        <w:rPr>
          <w:rFonts w:cs="Times New Roman"/>
          <w:b/>
          <w:bCs/>
          <w:sz w:val="22"/>
          <w:lang w:val="sr-Cyrl-RS" w:eastAsia="en-GB"/>
        </w:rPr>
      </w:pPr>
      <w:r w:rsidRPr="00EF2F18">
        <w:rPr>
          <w:rFonts w:cs="Times New Roman"/>
          <w:sz w:val="22"/>
          <w:lang w:val="sr-Cyrl-RS"/>
        </w:rPr>
        <w:t xml:space="preserve">Предвиђено смањење емисија </w:t>
      </w:r>
      <w:r w:rsidR="00C41F7C" w:rsidRPr="00EF2F18">
        <w:rPr>
          <w:rFonts w:cs="Times New Roman"/>
          <w:i/>
          <w:iCs/>
          <w:sz w:val="22"/>
          <w:lang w:val="sr-Cyrl-RS"/>
        </w:rPr>
        <w:t>GHG</w:t>
      </w:r>
      <w:r w:rsidRPr="00EF2F18">
        <w:rPr>
          <w:rFonts w:cs="Times New Roman"/>
          <w:sz w:val="22"/>
          <w:lang w:val="sr-Cyrl-RS"/>
        </w:rPr>
        <w:t xml:space="preserve"> подразумева значајно смањење броја радних места у енергетском сектору и значајан пораст радних места у грађевинарству и шумарству и шумарском сектору. Зато треба створити финансијске и механизме јачања капацитета и едукације који ће олакшати прелазак радника из сектора за смањењем економских активности у оне код којих се очекује раст.</w:t>
      </w:r>
    </w:p>
    <w:p w14:paraId="41ED35D5" w14:textId="214B6615" w:rsidR="003246E2" w:rsidRPr="00EF2F18" w:rsidRDefault="003246E2" w:rsidP="003246E2">
      <w:pPr>
        <w:spacing w:after="0"/>
        <w:ind w:firstLine="720"/>
        <w:jc w:val="both"/>
        <w:rPr>
          <w:rFonts w:cs="Times New Roman"/>
          <w:sz w:val="22"/>
          <w:lang w:val="sr-Cyrl-RS" w:eastAsia="en-GB"/>
        </w:rPr>
      </w:pPr>
      <w:r w:rsidRPr="00EF2F18">
        <w:rPr>
          <w:rFonts w:cs="Times New Roman"/>
          <w:b/>
          <w:bCs/>
          <w:sz w:val="22"/>
          <w:lang w:val="sr-Cyrl-RS" w:eastAsia="en-GB"/>
        </w:rPr>
        <w:t>Надлежна институција:</w:t>
      </w:r>
      <w:r w:rsidRPr="00EF2F18">
        <w:rPr>
          <w:rFonts w:cs="Times New Roman"/>
          <w:sz w:val="22"/>
          <w:lang w:val="sr-Cyrl-RS" w:eastAsia="en-GB"/>
        </w:rPr>
        <w:t xml:space="preserve"> Министарство финансија</w:t>
      </w:r>
      <w:r w:rsidR="009D63A7" w:rsidRPr="00EF2F18">
        <w:rPr>
          <w:rFonts w:cs="Times New Roman"/>
          <w:sz w:val="22"/>
          <w:lang w:val="sr-Cyrl-RS" w:eastAsia="en-GB"/>
        </w:rPr>
        <w:t>.</w:t>
      </w:r>
      <w:r w:rsidRPr="00EF2F18">
        <w:rPr>
          <w:rFonts w:cs="Times New Roman"/>
          <w:sz w:val="22"/>
          <w:lang w:val="sr-Cyrl-RS" w:eastAsia="en-GB"/>
        </w:rPr>
        <w:t xml:space="preserve"> </w:t>
      </w:r>
    </w:p>
    <w:p w14:paraId="4436FB81" w14:textId="70342C8A" w:rsidR="003246E2" w:rsidRPr="00EF2F18" w:rsidRDefault="003246E2" w:rsidP="003246E2">
      <w:pPr>
        <w:spacing w:after="0"/>
        <w:ind w:firstLine="720"/>
        <w:jc w:val="both"/>
        <w:rPr>
          <w:rFonts w:cs="Times New Roman"/>
          <w:sz w:val="22"/>
          <w:lang w:val="sr-Cyrl-RS" w:eastAsia="en-GB"/>
        </w:rPr>
      </w:pPr>
      <w:r w:rsidRPr="00EF2F18">
        <w:rPr>
          <w:rFonts w:cs="Times New Roman"/>
          <w:b/>
          <w:bCs/>
          <w:sz w:val="22"/>
          <w:lang w:val="sr-Cyrl-RS" w:eastAsia="en-GB"/>
        </w:rPr>
        <w:t>Партнери</w:t>
      </w:r>
      <w:r w:rsidRPr="00EF2F18">
        <w:rPr>
          <w:rFonts w:cs="Times New Roman"/>
          <w:sz w:val="22"/>
          <w:lang w:val="sr-Cyrl-RS" w:eastAsia="en-GB"/>
        </w:rPr>
        <w:t xml:space="preserve"> </w:t>
      </w:r>
      <w:r w:rsidRPr="00EF2F18">
        <w:rPr>
          <w:rFonts w:cs="Times New Roman"/>
          <w:b/>
          <w:bCs/>
          <w:sz w:val="22"/>
          <w:lang w:val="sr-Cyrl-RS" w:eastAsia="en-GB"/>
        </w:rPr>
        <w:t>у спровођењу</w:t>
      </w:r>
      <w:r w:rsidRPr="00EF2F18">
        <w:rPr>
          <w:rFonts w:cs="Times New Roman"/>
          <w:sz w:val="22"/>
          <w:lang w:val="sr-Cyrl-RS" w:eastAsia="en-GB"/>
        </w:rPr>
        <w:t xml:space="preserve">: </w:t>
      </w:r>
      <w:r w:rsidR="00E72F2B" w:rsidRPr="00EF2F18">
        <w:rPr>
          <w:rFonts w:cs="Times New Roman"/>
          <w:sz w:val="22"/>
          <w:lang w:val="sr-Cyrl-RS" w:eastAsia="en-GB"/>
        </w:rPr>
        <w:t>Министарство заштите животне средине, Министарст</w:t>
      </w:r>
      <w:r w:rsidR="00BB4B28">
        <w:rPr>
          <w:rFonts w:cs="Times New Roman"/>
          <w:sz w:val="22"/>
          <w:lang w:val="sr-Cyrl-RS" w:eastAsia="en-GB"/>
        </w:rPr>
        <w:t>в</w:t>
      </w:r>
      <w:r w:rsidR="00E72F2B" w:rsidRPr="00EF2F18">
        <w:rPr>
          <w:rFonts w:cs="Times New Roman"/>
          <w:sz w:val="22"/>
          <w:lang w:val="sr-Cyrl-RS" w:eastAsia="en-GB"/>
        </w:rPr>
        <w:t>о рударства и енергетике, Министарство грађевинарства, саобраћаја и инфраструктуре, Министарство пољопривреде, шумарства и водопривреде</w:t>
      </w:r>
      <w:r w:rsidR="009D63A7" w:rsidRPr="00EF2F18">
        <w:rPr>
          <w:rFonts w:cs="Times New Roman"/>
          <w:sz w:val="22"/>
          <w:lang w:val="sr-Cyrl-RS" w:eastAsia="en-GB"/>
        </w:rPr>
        <w:t>.</w:t>
      </w:r>
    </w:p>
    <w:p w14:paraId="086C6C2D" w14:textId="76AF4929" w:rsidR="008044E3" w:rsidRPr="00EF2F18" w:rsidRDefault="003246E2" w:rsidP="009D63A7">
      <w:pPr>
        <w:ind w:firstLine="720"/>
        <w:rPr>
          <w:rFonts w:cs="Times New Roman"/>
          <w:sz w:val="22"/>
          <w:lang w:val="sr-Cyrl-RS" w:eastAsia="en-GB"/>
        </w:rPr>
      </w:pPr>
      <w:r w:rsidRPr="00EF2F18">
        <w:rPr>
          <w:rFonts w:cs="Times New Roman"/>
          <w:b/>
          <w:bCs/>
          <w:sz w:val="22"/>
          <w:lang w:val="sr-Cyrl-RS" w:eastAsia="en-GB"/>
        </w:rPr>
        <w:t>Врста мере</w:t>
      </w:r>
      <w:r w:rsidRPr="00EF2F18">
        <w:rPr>
          <w:rFonts w:cs="Times New Roman"/>
          <w:sz w:val="22"/>
          <w:lang w:val="sr-Cyrl-RS" w:eastAsia="en-GB"/>
        </w:rPr>
        <w:t>: подстицајна</w:t>
      </w:r>
      <w:r w:rsidR="009D63A7" w:rsidRPr="00EF2F18">
        <w:rPr>
          <w:rFonts w:cs="Times New Roman"/>
          <w:sz w:val="22"/>
          <w:lang w:val="sr-Cyrl-RS" w:eastAsia="en-GB"/>
        </w:rPr>
        <w:t>.</w:t>
      </w:r>
    </w:p>
    <w:p w14:paraId="3D96AA66" w14:textId="31334179" w:rsidR="009D63A7" w:rsidRPr="00EF2F18" w:rsidRDefault="009D63A7" w:rsidP="009D63A7">
      <w:pPr>
        <w:ind w:firstLine="720"/>
        <w:rPr>
          <w:rFonts w:cs="Times New Roman"/>
          <w:sz w:val="22"/>
          <w:lang w:val="sr-Cyrl-RS" w:eastAsia="en-GB"/>
        </w:rPr>
      </w:pPr>
    </w:p>
    <w:p w14:paraId="16639D98" w14:textId="1F539D8F" w:rsidR="009D63A7" w:rsidRPr="00EF2F18" w:rsidRDefault="009D63A7" w:rsidP="009D63A7">
      <w:pPr>
        <w:ind w:firstLine="720"/>
        <w:rPr>
          <w:rFonts w:cs="Times New Roman"/>
          <w:sz w:val="22"/>
          <w:lang w:val="sr-Cyrl-RS" w:eastAsia="en-GB"/>
        </w:rPr>
      </w:pPr>
    </w:p>
    <w:p w14:paraId="65D03151" w14:textId="53AB447F" w:rsidR="009D63A7" w:rsidRPr="00EF2F18" w:rsidRDefault="009D63A7" w:rsidP="009D63A7">
      <w:pPr>
        <w:ind w:firstLine="720"/>
        <w:rPr>
          <w:rFonts w:cs="Times New Roman"/>
          <w:sz w:val="22"/>
          <w:lang w:val="sr-Cyrl-RS" w:eastAsia="en-GB"/>
        </w:rPr>
      </w:pPr>
    </w:p>
    <w:p w14:paraId="6C6F8FD4" w14:textId="5B8E4A3F" w:rsidR="009D63A7" w:rsidRPr="00EF2F18" w:rsidRDefault="009D63A7" w:rsidP="009D63A7">
      <w:pPr>
        <w:ind w:firstLine="720"/>
        <w:rPr>
          <w:rFonts w:cs="Times New Roman"/>
          <w:sz w:val="22"/>
          <w:lang w:val="sr-Cyrl-RS" w:eastAsia="en-GB"/>
        </w:rPr>
      </w:pPr>
    </w:p>
    <w:p w14:paraId="7CC34C91" w14:textId="43FEE39E" w:rsidR="009D63A7" w:rsidRPr="00EF2F18" w:rsidRDefault="009D63A7" w:rsidP="009D63A7">
      <w:pPr>
        <w:ind w:firstLine="720"/>
        <w:rPr>
          <w:rFonts w:cs="Times New Roman"/>
          <w:sz w:val="22"/>
          <w:lang w:val="sr-Cyrl-RS" w:eastAsia="en-GB"/>
        </w:rPr>
      </w:pPr>
    </w:p>
    <w:p w14:paraId="246EFD57" w14:textId="6A70D0ED" w:rsidR="009D63A7" w:rsidRDefault="009D63A7" w:rsidP="009D63A7">
      <w:pPr>
        <w:ind w:firstLine="720"/>
        <w:rPr>
          <w:rFonts w:cs="Times New Roman"/>
          <w:sz w:val="22"/>
          <w:lang w:val="sr-Cyrl-RS" w:eastAsia="en-GB"/>
        </w:rPr>
      </w:pPr>
    </w:p>
    <w:p w14:paraId="050C04DE" w14:textId="48304D40" w:rsidR="00753384" w:rsidRDefault="00753384" w:rsidP="009D63A7">
      <w:pPr>
        <w:ind w:firstLine="720"/>
        <w:rPr>
          <w:rFonts w:cs="Times New Roman"/>
          <w:sz w:val="22"/>
          <w:lang w:val="sr-Cyrl-RS" w:eastAsia="en-GB"/>
        </w:rPr>
      </w:pPr>
    </w:p>
    <w:p w14:paraId="00107AA7" w14:textId="7426188E" w:rsidR="00753384" w:rsidRDefault="00753384" w:rsidP="009D63A7">
      <w:pPr>
        <w:ind w:firstLine="720"/>
        <w:rPr>
          <w:rFonts w:cs="Times New Roman"/>
          <w:sz w:val="22"/>
          <w:lang w:val="sr-Cyrl-RS" w:eastAsia="en-GB"/>
        </w:rPr>
      </w:pPr>
    </w:p>
    <w:p w14:paraId="7488F765" w14:textId="13B00BE4" w:rsidR="00753384" w:rsidRDefault="00753384" w:rsidP="009D63A7">
      <w:pPr>
        <w:ind w:firstLine="720"/>
        <w:rPr>
          <w:rFonts w:cs="Times New Roman"/>
          <w:sz w:val="22"/>
          <w:lang w:val="sr-Cyrl-RS" w:eastAsia="en-GB"/>
        </w:rPr>
      </w:pPr>
    </w:p>
    <w:p w14:paraId="63C4E2FF" w14:textId="26989E66" w:rsidR="00753384" w:rsidRDefault="00753384" w:rsidP="009D63A7">
      <w:pPr>
        <w:ind w:firstLine="720"/>
        <w:rPr>
          <w:rFonts w:cs="Times New Roman"/>
          <w:sz w:val="22"/>
          <w:lang w:val="sr-Cyrl-RS" w:eastAsia="en-GB"/>
        </w:rPr>
      </w:pPr>
    </w:p>
    <w:p w14:paraId="480164EE" w14:textId="160C4207" w:rsidR="00753384" w:rsidRDefault="00753384" w:rsidP="009D63A7">
      <w:pPr>
        <w:ind w:firstLine="720"/>
        <w:rPr>
          <w:rFonts w:cs="Times New Roman"/>
          <w:sz w:val="22"/>
          <w:lang w:val="sr-Cyrl-RS" w:eastAsia="en-GB"/>
        </w:rPr>
      </w:pPr>
    </w:p>
    <w:p w14:paraId="6F4DB512" w14:textId="4AF73C5A" w:rsidR="00753384" w:rsidRDefault="00753384" w:rsidP="009D63A7">
      <w:pPr>
        <w:ind w:firstLine="720"/>
        <w:rPr>
          <w:rFonts w:cs="Times New Roman"/>
          <w:sz w:val="22"/>
          <w:lang w:val="sr-Cyrl-RS" w:eastAsia="en-GB"/>
        </w:rPr>
      </w:pPr>
    </w:p>
    <w:p w14:paraId="1C12F6C4" w14:textId="346C0A69" w:rsidR="00753384" w:rsidRPr="00EF2F18" w:rsidRDefault="00753384" w:rsidP="00A51B5C">
      <w:pPr>
        <w:rPr>
          <w:rFonts w:cs="Times New Roman"/>
          <w:sz w:val="22"/>
          <w:lang w:val="sr-Cyrl-RS" w:eastAsia="en-GB"/>
        </w:rPr>
      </w:pPr>
    </w:p>
    <w:p w14:paraId="7F9A9929" w14:textId="4152DE51" w:rsidR="008044E3" w:rsidRPr="00EF2F18" w:rsidRDefault="008044E3">
      <w:pPr>
        <w:spacing w:after="0"/>
        <w:jc w:val="both"/>
        <w:rPr>
          <w:rFonts w:cs="Times New Roman"/>
          <w:sz w:val="22"/>
          <w:lang w:val="sr-Cyrl-RS"/>
        </w:rPr>
      </w:pPr>
      <w:r w:rsidRPr="00EF2F18">
        <w:rPr>
          <w:rFonts w:cs="Times New Roman"/>
          <w:b/>
          <w:bCs/>
          <w:sz w:val="22"/>
          <w:lang w:val="sr-Cyrl-RS"/>
        </w:rPr>
        <w:lastRenderedPageBreak/>
        <w:t>Табела 7.</w:t>
      </w:r>
      <w:r w:rsidR="00DE1478" w:rsidRPr="00EF2F18">
        <w:rPr>
          <w:rFonts w:cs="Times New Roman"/>
          <w:b/>
          <w:bCs/>
          <w:sz w:val="22"/>
          <w:lang w:val="sr-Cyrl-RS"/>
        </w:rPr>
        <w:t>1</w:t>
      </w:r>
      <w:r w:rsidRPr="00EF2F18">
        <w:rPr>
          <w:rFonts w:cs="Times New Roman"/>
          <w:b/>
          <w:bCs/>
          <w:sz w:val="22"/>
          <w:lang w:val="sr-Cyrl-RS"/>
        </w:rPr>
        <w:t>.</w:t>
      </w:r>
      <w:r w:rsidRPr="00EF2F18">
        <w:rPr>
          <w:rFonts w:cs="Times New Roman"/>
          <w:sz w:val="22"/>
          <w:lang w:val="sr-Cyrl-RS"/>
        </w:rPr>
        <w:t xml:space="preserve"> Преглед доприноса циљева Стратегије ци</w:t>
      </w:r>
      <w:r w:rsidR="00187200" w:rsidRPr="00EF2F18">
        <w:rPr>
          <w:rFonts w:cs="Times New Roman"/>
          <w:sz w:val="22"/>
          <w:lang w:val="sr-Cyrl-RS"/>
        </w:rPr>
        <w:t>љ</w:t>
      </w:r>
      <w:r w:rsidR="00877A7D">
        <w:rPr>
          <w:rFonts w:cs="Times New Roman"/>
          <w:sz w:val="22"/>
          <w:lang w:val="sr-Cyrl-RS"/>
        </w:rPr>
        <w:t>евима одрживог разв</w:t>
      </w:r>
      <w:r w:rsidRPr="00EF2F18">
        <w:rPr>
          <w:rFonts w:cs="Times New Roman"/>
          <w:sz w:val="22"/>
          <w:lang w:val="sr-Cyrl-RS"/>
        </w:rPr>
        <w:t>оја Агенде 2030</w:t>
      </w:r>
    </w:p>
    <w:p w14:paraId="542B4D2F" w14:textId="77777777" w:rsidR="00D25B43" w:rsidRPr="00EF2F18" w:rsidRDefault="00D25B43">
      <w:pPr>
        <w:spacing w:after="0"/>
        <w:jc w:val="both"/>
        <w:rPr>
          <w:rFonts w:cs="Times New Roman"/>
          <w:sz w:val="22"/>
          <w:lang w:val="sr-Cyrl-RS"/>
        </w:rPr>
      </w:pPr>
    </w:p>
    <w:tbl>
      <w:tblPr>
        <w:tblStyle w:val="TableGrid"/>
        <w:tblW w:w="9450" w:type="dxa"/>
        <w:tblInd w:w="-5" w:type="dxa"/>
        <w:tblLook w:val="04A0" w:firstRow="1" w:lastRow="0" w:firstColumn="1" w:lastColumn="0" w:noHBand="0" w:noVBand="1"/>
      </w:tblPr>
      <w:tblGrid>
        <w:gridCol w:w="2160"/>
        <w:gridCol w:w="3794"/>
        <w:gridCol w:w="3496"/>
      </w:tblGrid>
      <w:tr w:rsidR="00D25B43" w:rsidRPr="00EF2F18" w14:paraId="63AF6841" w14:textId="77777777" w:rsidTr="00D25B43">
        <w:trPr>
          <w:trHeight w:val="305"/>
        </w:trPr>
        <w:tc>
          <w:tcPr>
            <w:tcW w:w="2160" w:type="dxa"/>
            <w:tcBorders>
              <w:top w:val="single" w:sz="4" w:space="0" w:color="auto"/>
              <w:left w:val="single" w:sz="4" w:space="0" w:color="auto"/>
              <w:bottom w:val="single" w:sz="4" w:space="0" w:color="auto"/>
              <w:right w:val="single" w:sz="4" w:space="0" w:color="auto"/>
            </w:tcBorders>
            <w:shd w:val="clear" w:color="auto" w:fill="FFFFCC"/>
            <w:hideMark/>
          </w:tcPr>
          <w:p w14:paraId="5758129C" w14:textId="77777777" w:rsidR="00D25B43" w:rsidRPr="00EF2F18" w:rsidRDefault="00D25B43" w:rsidP="008F5583">
            <w:pPr>
              <w:spacing w:after="0"/>
              <w:rPr>
                <w:rFonts w:cs="Times New Roman"/>
                <w:b/>
                <w:bCs/>
                <w:sz w:val="22"/>
                <w:lang w:val="sr-Cyrl-RS"/>
              </w:rPr>
            </w:pPr>
            <w:r w:rsidRPr="00EF2F18">
              <w:rPr>
                <w:rFonts w:cs="Times New Roman"/>
                <w:b/>
                <w:bCs/>
                <w:sz w:val="22"/>
                <w:lang w:val="sr-Cyrl-RS"/>
              </w:rPr>
              <w:t>Општи циљ</w:t>
            </w:r>
          </w:p>
        </w:tc>
        <w:tc>
          <w:tcPr>
            <w:tcW w:w="3794" w:type="dxa"/>
            <w:tcBorders>
              <w:top w:val="single" w:sz="4" w:space="0" w:color="auto"/>
              <w:left w:val="single" w:sz="4" w:space="0" w:color="auto"/>
              <w:bottom w:val="single" w:sz="4" w:space="0" w:color="auto"/>
              <w:right w:val="single" w:sz="4" w:space="0" w:color="auto"/>
            </w:tcBorders>
            <w:shd w:val="clear" w:color="auto" w:fill="FFFFCC"/>
            <w:hideMark/>
          </w:tcPr>
          <w:p w14:paraId="68CEDAC3" w14:textId="77777777" w:rsidR="00D25B43" w:rsidRPr="00EF2F18" w:rsidRDefault="00D25B43" w:rsidP="008F5583">
            <w:pPr>
              <w:spacing w:after="0"/>
              <w:rPr>
                <w:rFonts w:cs="Times New Roman"/>
                <w:b/>
                <w:bCs/>
                <w:sz w:val="22"/>
                <w:lang w:val="sr-Cyrl-RS"/>
              </w:rPr>
            </w:pPr>
            <w:r w:rsidRPr="00EF2F18">
              <w:rPr>
                <w:rFonts w:cs="Times New Roman"/>
                <w:b/>
                <w:bCs/>
                <w:sz w:val="22"/>
                <w:lang w:val="sr-Cyrl-RS"/>
              </w:rPr>
              <w:t>Посебни циљ</w:t>
            </w:r>
          </w:p>
        </w:tc>
        <w:tc>
          <w:tcPr>
            <w:tcW w:w="3496" w:type="dxa"/>
            <w:tcBorders>
              <w:top w:val="single" w:sz="4" w:space="0" w:color="auto"/>
              <w:left w:val="single" w:sz="4" w:space="0" w:color="auto"/>
              <w:bottom w:val="single" w:sz="4" w:space="0" w:color="auto"/>
              <w:right w:val="single" w:sz="4" w:space="0" w:color="auto"/>
            </w:tcBorders>
            <w:shd w:val="clear" w:color="auto" w:fill="FFFFCC"/>
            <w:hideMark/>
          </w:tcPr>
          <w:p w14:paraId="62AB60DA" w14:textId="77777777" w:rsidR="00D25B43" w:rsidRPr="00EF2F18" w:rsidRDefault="00D25B43" w:rsidP="00D25B43">
            <w:pPr>
              <w:spacing w:after="0"/>
              <w:jc w:val="both"/>
              <w:rPr>
                <w:rFonts w:cs="Times New Roman"/>
                <w:b/>
                <w:bCs/>
                <w:sz w:val="22"/>
                <w:lang w:val="sr-Cyrl-RS"/>
              </w:rPr>
            </w:pPr>
            <w:r w:rsidRPr="00EF2F18">
              <w:rPr>
                <w:rFonts w:cs="Times New Roman"/>
                <w:b/>
                <w:bCs/>
                <w:sz w:val="22"/>
                <w:lang w:val="sr-Cyrl-RS"/>
              </w:rPr>
              <w:t>Циљеви одрживог развоја</w:t>
            </w:r>
          </w:p>
        </w:tc>
      </w:tr>
      <w:tr w:rsidR="00D25B43" w:rsidRPr="00EF2F18" w14:paraId="38A349D7" w14:textId="77777777" w:rsidTr="008F5583">
        <w:trPr>
          <w:trHeight w:val="1025"/>
        </w:trPr>
        <w:tc>
          <w:tcPr>
            <w:tcW w:w="2160" w:type="dxa"/>
            <w:vMerge w:val="restart"/>
            <w:tcBorders>
              <w:top w:val="single" w:sz="4" w:space="0" w:color="auto"/>
              <w:left w:val="single" w:sz="4" w:space="0" w:color="auto"/>
              <w:bottom w:val="single" w:sz="4" w:space="0" w:color="auto"/>
              <w:right w:val="single" w:sz="4" w:space="0" w:color="auto"/>
            </w:tcBorders>
            <w:hideMark/>
          </w:tcPr>
          <w:p w14:paraId="5B3F7661" w14:textId="77777777" w:rsidR="00D25B43" w:rsidRPr="00EF2F18" w:rsidRDefault="00D25B43" w:rsidP="008F5583">
            <w:pPr>
              <w:spacing w:after="0"/>
              <w:rPr>
                <w:rFonts w:cs="Times New Roman"/>
                <w:sz w:val="22"/>
                <w:lang w:val="sr-Cyrl-RS"/>
              </w:rPr>
            </w:pPr>
            <w:r w:rsidRPr="00EF2F18">
              <w:rPr>
                <w:rFonts w:cs="Times New Roman"/>
                <w:b/>
                <w:bCs/>
                <w:sz w:val="22"/>
                <w:lang w:val="sr-Cyrl-RS"/>
              </w:rPr>
              <w:t xml:space="preserve">Општи циљ 1: </w:t>
            </w:r>
            <w:r w:rsidRPr="00EF2F18">
              <w:rPr>
                <w:rFonts w:cs="Times New Roman"/>
                <w:sz w:val="22"/>
                <w:lang w:val="sr-Cyrl-RS"/>
              </w:rPr>
              <w:t>Допринос угљеничној неутралности и повећање отпорности на измењене климатске услове у складу са Зеленом агендом</w:t>
            </w:r>
          </w:p>
        </w:tc>
        <w:tc>
          <w:tcPr>
            <w:tcW w:w="3794" w:type="dxa"/>
            <w:tcBorders>
              <w:top w:val="single" w:sz="4" w:space="0" w:color="auto"/>
              <w:left w:val="single" w:sz="4" w:space="0" w:color="auto"/>
              <w:bottom w:val="single" w:sz="4" w:space="0" w:color="auto"/>
              <w:right w:val="single" w:sz="4" w:space="0" w:color="auto"/>
            </w:tcBorders>
            <w:hideMark/>
          </w:tcPr>
          <w:p w14:paraId="2CAD4F3E"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1.1: Смањење емисија </w:t>
            </w:r>
            <w:r w:rsidRPr="00EF2F18">
              <w:rPr>
                <w:rFonts w:cs="Times New Roman"/>
                <w:i/>
                <w:iCs/>
                <w:sz w:val="22"/>
                <w:lang w:val="sr-Cyrl-RS"/>
              </w:rPr>
              <w:t>GHG</w:t>
            </w:r>
          </w:p>
        </w:tc>
        <w:tc>
          <w:tcPr>
            <w:tcW w:w="3496" w:type="dxa"/>
            <w:tcBorders>
              <w:top w:val="single" w:sz="4" w:space="0" w:color="auto"/>
              <w:left w:val="single" w:sz="4" w:space="0" w:color="auto"/>
              <w:bottom w:val="single" w:sz="4" w:space="0" w:color="auto"/>
              <w:right w:val="single" w:sz="4" w:space="0" w:color="auto"/>
            </w:tcBorders>
          </w:tcPr>
          <w:p w14:paraId="0FC5B580" w14:textId="4E3ADC96"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64384" behindDoc="0" locked="0" layoutInCell="1" allowOverlap="1" wp14:anchorId="73BF48D8" wp14:editId="0BF4D363">
                  <wp:simplePos x="0" y="0"/>
                  <wp:positionH relativeFrom="column">
                    <wp:posOffset>1195070</wp:posOffset>
                  </wp:positionH>
                  <wp:positionV relativeFrom="paragraph">
                    <wp:posOffset>0</wp:posOffset>
                  </wp:positionV>
                  <wp:extent cx="418465" cy="402590"/>
                  <wp:effectExtent l="0" t="0" r="635" b="0"/>
                  <wp:wrapSquare wrapText="bothSides"/>
                  <wp:docPr id="1095796574" name="Picture 120" descr="A green and white sign with a globe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96574" name="Picture 120" descr="A green and white sign with a globe and a number&#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18465" cy="40259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66432" behindDoc="0" locked="0" layoutInCell="1" allowOverlap="1" wp14:anchorId="0C5A7764" wp14:editId="23F5B130">
                  <wp:simplePos x="0" y="0"/>
                  <wp:positionH relativeFrom="column">
                    <wp:posOffset>793750</wp:posOffset>
                  </wp:positionH>
                  <wp:positionV relativeFrom="paragraph">
                    <wp:posOffset>9525</wp:posOffset>
                  </wp:positionV>
                  <wp:extent cx="405130" cy="402590"/>
                  <wp:effectExtent l="0" t="0" r="0" b="0"/>
                  <wp:wrapSquare wrapText="bothSides"/>
                  <wp:docPr id="1942690405" name="Picture 119" descr="A yellow background with a sun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90405" name="Picture 119" descr="A yellow background with a sun and arrows&#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5130" cy="40259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65408" behindDoc="0" locked="0" layoutInCell="1" allowOverlap="1" wp14:anchorId="05A2E09E" wp14:editId="091C0BFF">
                  <wp:simplePos x="0" y="0"/>
                  <wp:positionH relativeFrom="column">
                    <wp:posOffset>341630</wp:posOffset>
                  </wp:positionH>
                  <wp:positionV relativeFrom="paragraph">
                    <wp:posOffset>0</wp:posOffset>
                  </wp:positionV>
                  <wp:extent cx="439420" cy="402590"/>
                  <wp:effectExtent l="0" t="0" r="0" b="0"/>
                  <wp:wrapSquare wrapText="bothSides"/>
                  <wp:docPr id="2016494519" name="Picture 118" descr="A white sun with leaves and plu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94519" name="Picture 118" descr="A white sun with leaves and plugs&#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9420" cy="40259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63360" behindDoc="0" locked="0" layoutInCell="1" allowOverlap="1" wp14:anchorId="548FC418" wp14:editId="1404FE65">
                  <wp:simplePos x="0" y="0"/>
                  <wp:positionH relativeFrom="column">
                    <wp:posOffset>-65405</wp:posOffset>
                  </wp:positionH>
                  <wp:positionV relativeFrom="paragraph">
                    <wp:posOffset>9525</wp:posOffset>
                  </wp:positionV>
                  <wp:extent cx="400050" cy="402590"/>
                  <wp:effectExtent l="0" t="0" r="0" b="0"/>
                  <wp:wrapSquare wrapText="bothSides"/>
                  <wp:docPr id="1228290940" name="Picture 117" descr="A yellow background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290940" name="Picture 117" descr="A yellow background with a logo&#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0050" cy="402590"/>
                          </a:xfrm>
                          <a:prstGeom prst="rect">
                            <a:avLst/>
                          </a:prstGeom>
                          <a:noFill/>
                        </pic:spPr>
                      </pic:pic>
                    </a:graphicData>
                  </a:graphic>
                  <wp14:sizeRelH relativeFrom="page">
                    <wp14:pctWidth>0</wp14:pctWidth>
                  </wp14:sizeRelH>
                  <wp14:sizeRelV relativeFrom="page">
                    <wp14:pctHeight>0</wp14:pctHeight>
                  </wp14:sizeRelV>
                </wp:anchor>
              </w:drawing>
            </w:r>
          </w:p>
          <w:p w14:paraId="2ED096EA" w14:textId="77777777" w:rsidR="00D25B43" w:rsidRPr="00EF2F18" w:rsidRDefault="00D25B43" w:rsidP="00D25B43">
            <w:pPr>
              <w:spacing w:after="0"/>
              <w:jc w:val="both"/>
              <w:rPr>
                <w:rFonts w:cs="Times New Roman"/>
                <w:sz w:val="22"/>
                <w:lang w:val="sr-Cyrl-RS"/>
              </w:rPr>
            </w:pPr>
          </w:p>
          <w:p w14:paraId="133A5751" w14:textId="77777777" w:rsidR="00D25B43" w:rsidRPr="00EF2F18" w:rsidRDefault="00D25B43" w:rsidP="00D25B43">
            <w:pPr>
              <w:spacing w:after="0"/>
              <w:jc w:val="both"/>
              <w:rPr>
                <w:rFonts w:cs="Times New Roman"/>
                <w:sz w:val="22"/>
                <w:lang w:val="sr-Cyrl-RS"/>
              </w:rPr>
            </w:pPr>
          </w:p>
          <w:p w14:paraId="40347CC4"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(7.2, 7.3)</w:t>
            </w:r>
          </w:p>
        </w:tc>
      </w:tr>
      <w:tr w:rsidR="00D25B43" w:rsidRPr="00EF2F18" w14:paraId="3618AB90" w14:textId="77777777" w:rsidTr="008F5583">
        <w:trPr>
          <w:trHeight w:val="2141"/>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6B548064"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23CE5A84"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1.2: Повећање отпорности на климатске промене</w:t>
            </w:r>
          </w:p>
        </w:tc>
        <w:tc>
          <w:tcPr>
            <w:tcW w:w="3496" w:type="dxa"/>
            <w:tcBorders>
              <w:top w:val="single" w:sz="4" w:space="0" w:color="auto"/>
              <w:left w:val="single" w:sz="4" w:space="0" w:color="auto"/>
              <w:bottom w:val="single" w:sz="4" w:space="0" w:color="auto"/>
              <w:right w:val="single" w:sz="4" w:space="0" w:color="auto"/>
            </w:tcBorders>
          </w:tcPr>
          <w:p w14:paraId="3E7339DE" w14:textId="47BBFF74"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16608" behindDoc="0" locked="0" layoutInCell="1" allowOverlap="1" wp14:anchorId="2A62BD7D" wp14:editId="1EA02A7B">
                  <wp:simplePos x="0" y="0"/>
                  <wp:positionH relativeFrom="column">
                    <wp:posOffset>379095</wp:posOffset>
                  </wp:positionH>
                  <wp:positionV relativeFrom="paragraph">
                    <wp:posOffset>10160</wp:posOffset>
                  </wp:positionV>
                  <wp:extent cx="457200" cy="448310"/>
                  <wp:effectExtent l="0" t="0" r="0" b="8890"/>
                  <wp:wrapSquare wrapText="bothSides"/>
                  <wp:docPr id="1258093642" name="Picture 116" descr="A red square with white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93642" name="Picture 116" descr="A red square with white icons&#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7200" cy="44831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13536" behindDoc="0" locked="0" layoutInCell="1" allowOverlap="1" wp14:anchorId="290C260D" wp14:editId="018A7699">
                  <wp:simplePos x="0" y="0"/>
                  <wp:positionH relativeFrom="column">
                    <wp:posOffset>-65405</wp:posOffset>
                  </wp:positionH>
                  <wp:positionV relativeFrom="paragraph">
                    <wp:posOffset>0</wp:posOffset>
                  </wp:positionV>
                  <wp:extent cx="439420" cy="471170"/>
                  <wp:effectExtent l="0" t="0" r="0" b="5080"/>
                  <wp:wrapSquare wrapText="bothSides"/>
                  <wp:docPr id="339074893" name="Picture 115" descr="A red sign with white figur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74893" name="Picture 115" descr="A red sign with white figures and text&#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9420" cy="47117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14560" behindDoc="0" locked="0" layoutInCell="1" allowOverlap="1" wp14:anchorId="521C78B1" wp14:editId="37F46AC1">
                  <wp:simplePos x="0" y="0"/>
                  <wp:positionH relativeFrom="column">
                    <wp:posOffset>845185</wp:posOffset>
                  </wp:positionH>
                  <wp:positionV relativeFrom="paragraph">
                    <wp:posOffset>0</wp:posOffset>
                  </wp:positionV>
                  <wp:extent cx="457200" cy="452120"/>
                  <wp:effectExtent l="0" t="0" r="0" b="5080"/>
                  <wp:wrapSquare wrapText="bothSides"/>
                  <wp:docPr id="1956154577" name="Picture 114" descr="A green square with a heart and a line of pul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54577" name="Picture 114" descr="A green square with a heart and a line of pulse&#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7200" cy="452120"/>
                          </a:xfrm>
                          <a:prstGeom prst="rect">
                            <a:avLst/>
                          </a:prstGeom>
                          <a:noFill/>
                        </pic:spPr>
                      </pic:pic>
                    </a:graphicData>
                  </a:graphic>
                  <wp14:sizeRelH relativeFrom="page">
                    <wp14:pctWidth>0</wp14:pctWidth>
                  </wp14:sizeRelH>
                  <wp14:sizeRelV relativeFrom="page">
                    <wp14:pctHeight>0</wp14:pctHeight>
                  </wp14:sizeRelV>
                </wp:anchor>
              </w:drawing>
            </w:r>
          </w:p>
          <w:p w14:paraId="657FD12A"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(1.5)</w:t>
            </w:r>
          </w:p>
          <w:p w14:paraId="73881817" w14:textId="038FC0A7"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15584" behindDoc="0" locked="0" layoutInCell="1" allowOverlap="1" wp14:anchorId="294F1271" wp14:editId="36B0372C">
                  <wp:simplePos x="0" y="0"/>
                  <wp:positionH relativeFrom="column">
                    <wp:posOffset>-64770</wp:posOffset>
                  </wp:positionH>
                  <wp:positionV relativeFrom="paragraph">
                    <wp:posOffset>170180</wp:posOffset>
                  </wp:positionV>
                  <wp:extent cx="450215" cy="403860"/>
                  <wp:effectExtent l="0" t="0" r="6985" b="0"/>
                  <wp:wrapSquare wrapText="bothSides"/>
                  <wp:docPr id="1112932508" name="Picture 113" descr="A white and orange sign with building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32508" name="Picture 113" descr="A white and orange sign with buildings and numbers&#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0215" cy="403860"/>
                          </a:xfrm>
                          <a:prstGeom prst="rect">
                            <a:avLst/>
                          </a:prstGeom>
                          <a:noFill/>
                        </pic:spPr>
                      </pic:pic>
                    </a:graphicData>
                  </a:graphic>
                  <wp14:sizeRelH relativeFrom="page">
                    <wp14:pctWidth>0</wp14:pctWidth>
                  </wp14:sizeRelH>
                  <wp14:sizeRelV relativeFrom="page">
                    <wp14:pctHeight>0</wp14:pctHeight>
                  </wp14:sizeRelV>
                </wp:anchor>
              </w:drawing>
            </w:r>
          </w:p>
          <w:p w14:paraId="47111068" w14:textId="6908EA5F"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19680" behindDoc="0" locked="0" layoutInCell="1" allowOverlap="1" wp14:anchorId="5983415B" wp14:editId="779BFF16">
                  <wp:simplePos x="0" y="0"/>
                  <wp:positionH relativeFrom="column">
                    <wp:posOffset>1311275</wp:posOffset>
                  </wp:positionH>
                  <wp:positionV relativeFrom="paragraph">
                    <wp:posOffset>27305</wp:posOffset>
                  </wp:positionV>
                  <wp:extent cx="397510" cy="403860"/>
                  <wp:effectExtent l="0" t="0" r="2540" b="0"/>
                  <wp:wrapSquare wrapText="bothSides"/>
                  <wp:docPr id="1962379869" name="Picture 112"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79869" name="Picture 112" descr="A close-up of a sign&#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7510" cy="40386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18656" behindDoc="0" locked="0" layoutInCell="1" allowOverlap="1" wp14:anchorId="1B6F24C4" wp14:editId="3695F5B7">
                  <wp:simplePos x="0" y="0"/>
                  <wp:positionH relativeFrom="column">
                    <wp:posOffset>845185</wp:posOffset>
                  </wp:positionH>
                  <wp:positionV relativeFrom="paragraph">
                    <wp:posOffset>27305</wp:posOffset>
                  </wp:positionV>
                  <wp:extent cx="447040" cy="403860"/>
                  <wp:effectExtent l="0" t="0" r="0" b="0"/>
                  <wp:wrapSquare wrapText="bothSides"/>
                  <wp:docPr id="1787321961" name="Picture 111" descr="A white icons on an orang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21961" name="Picture 111" descr="A white icons on an orange background&#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7040" cy="40386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17632" behindDoc="0" locked="0" layoutInCell="1" allowOverlap="1" wp14:anchorId="11E22B7A" wp14:editId="43F6E79F">
                  <wp:simplePos x="0" y="0"/>
                  <wp:positionH relativeFrom="column">
                    <wp:posOffset>379730</wp:posOffset>
                  </wp:positionH>
                  <wp:positionV relativeFrom="paragraph">
                    <wp:posOffset>18415</wp:posOffset>
                  </wp:positionV>
                  <wp:extent cx="448310" cy="421640"/>
                  <wp:effectExtent l="0" t="0" r="8890" b="0"/>
                  <wp:wrapSquare wrapText="bothSides"/>
                  <wp:docPr id="714923510" name="Picture 110" descr="A white silhouettes of people and trees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23510" name="Picture 110" descr="A white silhouettes of people and trees on a yellow background&#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8310" cy="421640"/>
                          </a:xfrm>
                          <a:prstGeom prst="rect">
                            <a:avLst/>
                          </a:prstGeom>
                          <a:noFill/>
                        </pic:spPr>
                      </pic:pic>
                    </a:graphicData>
                  </a:graphic>
                  <wp14:sizeRelH relativeFrom="page">
                    <wp14:pctWidth>0</wp14:pctWidth>
                  </wp14:sizeRelH>
                  <wp14:sizeRelV relativeFrom="page">
                    <wp14:pctHeight>0</wp14:pctHeight>
                  </wp14:sizeRelV>
                </wp:anchor>
              </w:drawing>
            </w:r>
          </w:p>
          <w:p w14:paraId="74AF4EE7" w14:textId="77777777" w:rsidR="00D25B43" w:rsidRPr="00EF2F18" w:rsidRDefault="00D25B43" w:rsidP="00D25B43">
            <w:pPr>
              <w:spacing w:after="0"/>
              <w:jc w:val="both"/>
              <w:rPr>
                <w:rFonts w:cs="Times New Roman"/>
                <w:sz w:val="22"/>
                <w:lang w:val="sr-Cyrl-RS"/>
              </w:rPr>
            </w:pPr>
          </w:p>
          <w:p w14:paraId="0472EE0E" w14:textId="662F5366"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20704" behindDoc="0" locked="0" layoutInCell="1" allowOverlap="1" wp14:anchorId="2CAAAA9C" wp14:editId="7220A82F">
                  <wp:simplePos x="0" y="0"/>
                  <wp:positionH relativeFrom="page">
                    <wp:posOffset>0</wp:posOffset>
                  </wp:positionH>
                  <wp:positionV relativeFrom="page">
                    <wp:posOffset>878840</wp:posOffset>
                  </wp:positionV>
                  <wp:extent cx="448310" cy="397510"/>
                  <wp:effectExtent l="0" t="0" r="8890" b="2540"/>
                  <wp:wrapSquare wrapText="bothSides"/>
                  <wp:docPr id="138312501" name="Picture 109" descr="A green and white sign with a globe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2501" name="Picture 109" descr="A green and white sign with a globe and a number&#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48310" cy="397510"/>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noProof/>
                <w:sz w:val="22"/>
                <w:lang w:val="sr-Cyrl-RS" w:eastAsia="sr-Cyrl-RS"/>
              </w:rPr>
              <w:drawing>
                <wp:anchor distT="0" distB="0" distL="114300" distR="114300" simplePos="0" relativeHeight="251721728" behindDoc="0" locked="0" layoutInCell="1" allowOverlap="1" wp14:anchorId="2A5FDA7F" wp14:editId="31859E95">
                  <wp:simplePos x="0" y="0"/>
                  <wp:positionH relativeFrom="column">
                    <wp:posOffset>370840</wp:posOffset>
                  </wp:positionH>
                  <wp:positionV relativeFrom="paragraph">
                    <wp:posOffset>148590</wp:posOffset>
                  </wp:positionV>
                  <wp:extent cx="457200" cy="397510"/>
                  <wp:effectExtent l="0" t="0" r="0" b="2540"/>
                  <wp:wrapSquare wrapText="bothSides"/>
                  <wp:docPr id="1623621417"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7200" cy="397510"/>
                          </a:xfrm>
                          <a:prstGeom prst="rect">
                            <a:avLst/>
                          </a:prstGeom>
                          <a:noFill/>
                        </pic:spPr>
                      </pic:pic>
                    </a:graphicData>
                  </a:graphic>
                  <wp14:sizeRelH relativeFrom="page">
                    <wp14:pctWidth>0</wp14:pctWidth>
                  </wp14:sizeRelH>
                  <wp14:sizeRelV relativeFrom="page">
                    <wp14:pctHeight>0</wp14:pctHeight>
                  </wp14:sizeRelV>
                </wp:anchor>
              </w:drawing>
            </w:r>
          </w:p>
          <w:p w14:paraId="4823458F"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(11.5, 11.6, 11b),</w:t>
            </w:r>
          </w:p>
          <w:p w14:paraId="0C305AD1"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(13.1)</w:t>
            </w:r>
          </w:p>
        </w:tc>
      </w:tr>
      <w:tr w:rsidR="00D25B43" w:rsidRPr="00EF2F18" w14:paraId="7241592D" w14:textId="77777777" w:rsidTr="008F5583">
        <w:tc>
          <w:tcPr>
            <w:tcW w:w="2160" w:type="dxa"/>
            <w:vMerge w:val="restart"/>
            <w:tcBorders>
              <w:top w:val="single" w:sz="4" w:space="0" w:color="auto"/>
              <w:left w:val="single" w:sz="4" w:space="0" w:color="auto"/>
              <w:bottom w:val="single" w:sz="4" w:space="0" w:color="auto"/>
              <w:right w:val="single" w:sz="4" w:space="0" w:color="auto"/>
            </w:tcBorders>
            <w:hideMark/>
          </w:tcPr>
          <w:p w14:paraId="6B7A9085" w14:textId="77777777" w:rsidR="00D25B43" w:rsidRPr="00EF2F18" w:rsidRDefault="00D25B43" w:rsidP="008F5583">
            <w:pPr>
              <w:spacing w:after="0"/>
              <w:rPr>
                <w:rFonts w:cs="Times New Roman"/>
                <w:sz w:val="22"/>
                <w:lang w:val="sr-Cyrl-RS"/>
              </w:rPr>
            </w:pPr>
            <w:r w:rsidRPr="00EF2F18">
              <w:rPr>
                <w:rFonts w:cs="Times New Roman"/>
                <w:b/>
                <w:bCs/>
                <w:sz w:val="22"/>
                <w:lang w:val="sr-Cyrl-RS"/>
              </w:rPr>
              <w:t xml:space="preserve">Општи циљ 2: </w:t>
            </w:r>
            <w:r w:rsidRPr="00EF2F18">
              <w:rPr>
                <w:rFonts w:cs="Times New Roman"/>
                <w:sz w:val="22"/>
                <w:lang w:val="sr-Cyrl-RS"/>
              </w:rPr>
              <w:t>Примена принципа циркуларне економије ради унапређења заштите животне срединe и ресурсне ефикасности</w:t>
            </w:r>
          </w:p>
        </w:tc>
        <w:tc>
          <w:tcPr>
            <w:tcW w:w="3794" w:type="dxa"/>
            <w:tcBorders>
              <w:top w:val="single" w:sz="4" w:space="0" w:color="auto"/>
              <w:left w:val="single" w:sz="4" w:space="0" w:color="auto"/>
              <w:bottom w:val="single" w:sz="4" w:space="0" w:color="auto"/>
              <w:right w:val="single" w:sz="4" w:space="0" w:color="auto"/>
            </w:tcBorders>
            <w:hideMark/>
          </w:tcPr>
          <w:p w14:paraId="58073D05"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2.1: Унапређење одрживог система управљања отпадом кроз ефикасније коришћење отпада у циркуларној економији у складу са ЕУ прописима</w:t>
            </w:r>
          </w:p>
        </w:tc>
        <w:tc>
          <w:tcPr>
            <w:tcW w:w="3496" w:type="dxa"/>
            <w:tcBorders>
              <w:top w:val="single" w:sz="4" w:space="0" w:color="auto"/>
              <w:left w:val="single" w:sz="4" w:space="0" w:color="auto"/>
              <w:bottom w:val="single" w:sz="4" w:space="0" w:color="auto"/>
              <w:right w:val="single" w:sz="4" w:space="0" w:color="auto"/>
            </w:tcBorders>
          </w:tcPr>
          <w:p w14:paraId="28BCC8A7" w14:textId="2B2D41ED" w:rsidR="00D25B43" w:rsidRPr="00EF2F18" w:rsidRDefault="00D25B43" w:rsidP="00D25B43">
            <w:pPr>
              <w:spacing w:after="0"/>
              <w:jc w:val="both"/>
              <w:rPr>
                <w:rFonts w:cs="Times New Roman"/>
                <w:bCs/>
                <w:sz w:val="22"/>
                <w:lang w:val="sr-Cyrl-RS"/>
              </w:rPr>
            </w:pPr>
            <w:r w:rsidRPr="00EF2F18">
              <w:rPr>
                <w:rFonts w:cs="Times New Roman"/>
                <w:noProof/>
                <w:sz w:val="22"/>
                <w:lang w:val="sr-Cyrl-RS" w:eastAsia="sr-Cyrl-RS"/>
              </w:rPr>
              <w:drawing>
                <wp:anchor distT="0" distB="0" distL="114300" distR="114300" simplePos="0" relativeHeight="251668480" behindDoc="0" locked="0" layoutInCell="1" allowOverlap="1" wp14:anchorId="3A4DF9FA" wp14:editId="69E102B7">
                  <wp:simplePos x="0" y="0"/>
                  <wp:positionH relativeFrom="column">
                    <wp:posOffset>356870</wp:posOffset>
                  </wp:positionH>
                  <wp:positionV relativeFrom="paragraph">
                    <wp:posOffset>5715</wp:posOffset>
                  </wp:positionV>
                  <wp:extent cx="397510" cy="381635"/>
                  <wp:effectExtent l="0" t="0" r="2540" b="0"/>
                  <wp:wrapSquare wrapText="bothSides"/>
                  <wp:docPr id="168914608" name="Picture 107" descr="A white recycle sign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4608" name="Picture 107" descr="A white recycle sign with arrows&#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7510" cy="38163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67456" behindDoc="0" locked="0" layoutInCell="1" allowOverlap="1" wp14:anchorId="5C7BBC5E" wp14:editId="78321931">
                  <wp:simplePos x="0" y="0"/>
                  <wp:positionH relativeFrom="page">
                    <wp:posOffset>635</wp:posOffset>
                  </wp:positionH>
                  <wp:positionV relativeFrom="page">
                    <wp:posOffset>5715</wp:posOffset>
                  </wp:positionV>
                  <wp:extent cx="405130" cy="381635"/>
                  <wp:effectExtent l="0" t="0" r="0" b="0"/>
                  <wp:wrapSquare wrapText="bothSides"/>
                  <wp:docPr id="431153602" name="Picture 106" descr="A white text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53602" name="Picture 106" descr="A white text on a yellow background&#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05130" cy="381635"/>
                          </a:xfrm>
                          <a:prstGeom prst="rect">
                            <a:avLst/>
                          </a:prstGeom>
                          <a:noFill/>
                        </pic:spPr>
                      </pic:pic>
                    </a:graphicData>
                  </a:graphic>
                  <wp14:sizeRelH relativeFrom="margin">
                    <wp14:pctWidth>0</wp14:pctWidth>
                  </wp14:sizeRelH>
                  <wp14:sizeRelV relativeFrom="margin">
                    <wp14:pctHeight>0</wp14:pctHeight>
                  </wp14:sizeRelV>
                </wp:anchor>
              </w:drawing>
            </w:r>
          </w:p>
          <w:p w14:paraId="6D6A6E5B"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(12.5)</w:t>
            </w:r>
          </w:p>
          <w:p w14:paraId="27188209" w14:textId="77777777" w:rsidR="00D25B43" w:rsidRPr="00EF2F18" w:rsidRDefault="00D25B43" w:rsidP="00D25B43">
            <w:pPr>
              <w:spacing w:after="0"/>
              <w:jc w:val="both"/>
              <w:rPr>
                <w:rFonts w:cs="Times New Roman"/>
                <w:sz w:val="22"/>
                <w:lang w:val="sr-Cyrl-RS"/>
              </w:rPr>
            </w:pPr>
          </w:p>
        </w:tc>
      </w:tr>
      <w:tr w:rsidR="00D25B43" w:rsidRPr="00EF2F18" w14:paraId="3AD502E4"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5006FF3E"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377ADCF1"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2.2: Развијање циркуларне економије на бази индустријске симбиозе и повећања ресурсне ефикасности </w:t>
            </w:r>
          </w:p>
        </w:tc>
        <w:tc>
          <w:tcPr>
            <w:tcW w:w="3496" w:type="dxa"/>
            <w:tcBorders>
              <w:top w:val="single" w:sz="4" w:space="0" w:color="auto"/>
              <w:left w:val="single" w:sz="4" w:space="0" w:color="auto"/>
              <w:bottom w:val="single" w:sz="4" w:space="0" w:color="auto"/>
              <w:right w:val="single" w:sz="4" w:space="0" w:color="auto"/>
            </w:tcBorders>
            <w:hideMark/>
          </w:tcPr>
          <w:p w14:paraId="7F7AE735" w14:textId="1439264E"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89984" behindDoc="0" locked="0" layoutInCell="1" allowOverlap="1" wp14:anchorId="11F6461B" wp14:editId="34FD7087">
                  <wp:simplePos x="0" y="0"/>
                  <wp:positionH relativeFrom="column">
                    <wp:posOffset>372745</wp:posOffset>
                  </wp:positionH>
                  <wp:positionV relativeFrom="paragraph">
                    <wp:posOffset>16510</wp:posOffset>
                  </wp:positionV>
                  <wp:extent cx="397510" cy="405130"/>
                  <wp:effectExtent l="0" t="0" r="2540" b="0"/>
                  <wp:wrapSquare wrapText="bothSides"/>
                  <wp:docPr id="1092121397" name="Picture 105" descr="A white recycle sign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21397" name="Picture 105" descr="A white recycle sign with arrows&#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7510" cy="40513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69504" behindDoc="0" locked="0" layoutInCell="1" allowOverlap="1" wp14:anchorId="2FEC3920" wp14:editId="79D2AB1A">
                  <wp:simplePos x="0" y="0"/>
                  <wp:positionH relativeFrom="page">
                    <wp:posOffset>635</wp:posOffset>
                  </wp:positionH>
                  <wp:positionV relativeFrom="page">
                    <wp:posOffset>16510</wp:posOffset>
                  </wp:positionV>
                  <wp:extent cx="419100" cy="405130"/>
                  <wp:effectExtent l="0" t="0" r="0" b="0"/>
                  <wp:wrapSquare wrapText="bothSides"/>
                  <wp:docPr id="1589406216" name="Picture 104" descr="A white text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06216" name="Picture 104" descr="A white text on a yellow background&#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19100" cy="405130"/>
                          </a:xfrm>
                          <a:prstGeom prst="rect">
                            <a:avLst/>
                          </a:prstGeom>
                          <a:noFill/>
                        </pic:spPr>
                      </pic:pic>
                    </a:graphicData>
                  </a:graphic>
                  <wp14:sizeRelH relativeFrom="margin">
                    <wp14:pctWidth>0</wp14:pctWidth>
                  </wp14:sizeRelH>
                  <wp14:sizeRelV relativeFrom="margin">
                    <wp14:pctHeight>0</wp14:pctHeight>
                  </wp14:sizeRelV>
                </wp:anchor>
              </w:drawing>
            </w:r>
          </w:p>
          <w:p w14:paraId="2904DE68"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(12.5)</w:t>
            </w:r>
          </w:p>
        </w:tc>
      </w:tr>
      <w:tr w:rsidR="00D25B43" w:rsidRPr="00EF2F18" w14:paraId="564B9C42" w14:textId="77777777" w:rsidTr="008F5583">
        <w:tc>
          <w:tcPr>
            <w:tcW w:w="2160" w:type="dxa"/>
            <w:vMerge w:val="restart"/>
            <w:tcBorders>
              <w:top w:val="single" w:sz="4" w:space="0" w:color="auto"/>
              <w:left w:val="single" w:sz="4" w:space="0" w:color="auto"/>
              <w:bottom w:val="single" w:sz="4" w:space="0" w:color="auto"/>
              <w:right w:val="single" w:sz="4" w:space="0" w:color="auto"/>
            </w:tcBorders>
            <w:hideMark/>
          </w:tcPr>
          <w:p w14:paraId="18DCA6C5" w14:textId="77777777" w:rsidR="00D25B43" w:rsidRPr="00EF2F18" w:rsidRDefault="00D25B43" w:rsidP="008F5583">
            <w:pPr>
              <w:spacing w:after="0"/>
              <w:rPr>
                <w:rFonts w:cs="Times New Roman"/>
                <w:sz w:val="22"/>
                <w:lang w:val="sr-Cyrl-RS"/>
              </w:rPr>
            </w:pPr>
            <w:r w:rsidRPr="00EF2F18">
              <w:rPr>
                <w:rFonts w:cs="Times New Roman"/>
                <w:b/>
                <w:bCs/>
                <w:sz w:val="22"/>
                <w:lang w:val="sr-Cyrl-RS"/>
              </w:rPr>
              <w:t xml:space="preserve">Општи циљ 3: </w:t>
            </w:r>
            <w:r w:rsidRPr="00EF2F18">
              <w:rPr>
                <w:rFonts w:cs="Times New Roman"/>
                <w:sz w:val="22"/>
                <w:lang w:val="sr-Cyrl-RS"/>
              </w:rPr>
              <w:t>Унапређење квалитета животне средине смањењем загађења</w:t>
            </w:r>
          </w:p>
        </w:tc>
        <w:tc>
          <w:tcPr>
            <w:tcW w:w="3794" w:type="dxa"/>
            <w:tcBorders>
              <w:top w:val="single" w:sz="4" w:space="0" w:color="auto"/>
              <w:left w:val="single" w:sz="4" w:space="0" w:color="auto"/>
              <w:bottom w:val="single" w:sz="4" w:space="0" w:color="auto"/>
              <w:right w:val="single" w:sz="4" w:space="0" w:color="auto"/>
            </w:tcBorders>
            <w:hideMark/>
          </w:tcPr>
          <w:p w14:paraId="63F6810C"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3.1: Побољшање квалитета ваздуха </w:t>
            </w:r>
          </w:p>
        </w:tc>
        <w:tc>
          <w:tcPr>
            <w:tcW w:w="3496" w:type="dxa"/>
            <w:tcBorders>
              <w:top w:val="single" w:sz="4" w:space="0" w:color="auto"/>
              <w:left w:val="single" w:sz="4" w:space="0" w:color="auto"/>
              <w:bottom w:val="single" w:sz="4" w:space="0" w:color="auto"/>
              <w:right w:val="single" w:sz="4" w:space="0" w:color="auto"/>
            </w:tcBorders>
            <w:hideMark/>
          </w:tcPr>
          <w:p w14:paraId="02C18D05" w14:textId="460280A9" w:rsidR="00D25B43" w:rsidRPr="00EF2F18" w:rsidRDefault="00D25B43" w:rsidP="00D25B43">
            <w:pPr>
              <w:spacing w:after="0"/>
              <w:jc w:val="both"/>
              <w:rPr>
                <w:rFonts w:cs="Times New Roman"/>
                <w:sz w:val="22"/>
                <w:lang w:val="sr-Cyrl-RS"/>
              </w:rPr>
            </w:pPr>
            <w:r w:rsidRPr="00EF2F18">
              <w:rPr>
                <w:rFonts w:cs="Times New Roman"/>
                <w:sz w:val="22"/>
                <w:lang w:val="sr-Cyrl-RS"/>
              </w:rPr>
              <w:t>(11.6)</w:t>
            </w:r>
            <w:r w:rsidRPr="00EF2F18">
              <w:rPr>
                <w:rFonts w:cs="Times New Roman"/>
                <w:noProof/>
                <w:sz w:val="22"/>
                <w:lang w:val="sr-Cyrl-RS" w:eastAsia="sr-Cyrl-RS"/>
              </w:rPr>
              <w:drawing>
                <wp:anchor distT="0" distB="0" distL="114300" distR="114300" simplePos="0" relativeHeight="251671552" behindDoc="0" locked="0" layoutInCell="1" allowOverlap="1" wp14:anchorId="145846C3" wp14:editId="21FB1044">
                  <wp:simplePos x="0" y="0"/>
                  <wp:positionH relativeFrom="column">
                    <wp:posOffset>377190</wp:posOffset>
                  </wp:positionH>
                  <wp:positionV relativeFrom="paragraph">
                    <wp:posOffset>8255</wp:posOffset>
                  </wp:positionV>
                  <wp:extent cx="429260" cy="373380"/>
                  <wp:effectExtent l="0" t="0" r="8890" b="7620"/>
                  <wp:wrapSquare wrapText="bothSides"/>
                  <wp:docPr id="1664957258" name="Picture 103" descr="A white icons on an orang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57258" name="Picture 103" descr="A white icons on an orange background&#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9260"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70528" behindDoc="0" locked="0" layoutInCell="1" allowOverlap="1" wp14:anchorId="199F5AEB" wp14:editId="37ABB215">
                  <wp:simplePos x="0" y="0"/>
                  <wp:positionH relativeFrom="column">
                    <wp:posOffset>-65405</wp:posOffset>
                  </wp:positionH>
                  <wp:positionV relativeFrom="paragraph">
                    <wp:posOffset>0</wp:posOffset>
                  </wp:positionV>
                  <wp:extent cx="429260" cy="385445"/>
                  <wp:effectExtent l="0" t="0" r="8890" b="0"/>
                  <wp:wrapSquare wrapText="bothSides"/>
                  <wp:docPr id="1588857389" name="Picture 102" descr="A white and orange sign with building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857389" name="Picture 102" descr="A white and orange sign with buildings and numbers&#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29260" cy="385445"/>
                          </a:xfrm>
                          <a:prstGeom prst="rect">
                            <a:avLst/>
                          </a:prstGeom>
                          <a:noFill/>
                        </pic:spPr>
                      </pic:pic>
                    </a:graphicData>
                  </a:graphic>
                  <wp14:sizeRelH relativeFrom="page">
                    <wp14:pctWidth>0</wp14:pctWidth>
                  </wp14:sizeRelH>
                  <wp14:sizeRelV relativeFrom="page">
                    <wp14:pctHeight>0</wp14:pctHeight>
                  </wp14:sizeRelV>
                </wp:anchor>
              </w:drawing>
            </w:r>
          </w:p>
        </w:tc>
      </w:tr>
      <w:tr w:rsidR="00D25B43" w:rsidRPr="00EF2F18" w14:paraId="045B032B" w14:textId="77777777" w:rsidTr="008F5583">
        <w:trPr>
          <w:trHeight w:val="980"/>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2DB66699"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498AC529"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3.2: Унапређење квалитета вода кроз интегрално управљање водама уз ефективну контролу загађења </w:t>
            </w:r>
          </w:p>
        </w:tc>
        <w:tc>
          <w:tcPr>
            <w:tcW w:w="3496" w:type="dxa"/>
            <w:tcBorders>
              <w:top w:val="single" w:sz="4" w:space="0" w:color="auto"/>
              <w:left w:val="single" w:sz="4" w:space="0" w:color="auto"/>
              <w:bottom w:val="single" w:sz="4" w:space="0" w:color="auto"/>
              <w:right w:val="single" w:sz="4" w:space="0" w:color="auto"/>
            </w:tcBorders>
          </w:tcPr>
          <w:p w14:paraId="6BBA9DF8" w14:textId="29BC60DA"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74624" behindDoc="0" locked="0" layoutInCell="1" allowOverlap="1" wp14:anchorId="116FA611" wp14:editId="50DB9E01">
                  <wp:simplePos x="0" y="0"/>
                  <wp:positionH relativeFrom="column">
                    <wp:posOffset>812165</wp:posOffset>
                  </wp:positionH>
                  <wp:positionV relativeFrom="paragraph">
                    <wp:posOffset>10795</wp:posOffset>
                  </wp:positionV>
                  <wp:extent cx="386715" cy="397510"/>
                  <wp:effectExtent l="0" t="0" r="0" b="2540"/>
                  <wp:wrapSquare wrapText="bothSides"/>
                  <wp:docPr id="1038945315" name="Picture 10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45315" name="Picture 101" descr="A blue and white logo&#10;&#10;Description automatically generated"/>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6715" cy="39751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73600" behindDoc="0" locked="0" layoutInCell="1" allowOverlap="1" wp14:anchorId="0342929A" wp14:editId="1449660E">
                  <wp:simplePos x="0" y="0"/>
                  <wp:positionH relativeFrom="column">
                    <wp:posOffset>380365</wp:posOffset>
                  </wp:positionH>
                  <wp:positionV relativeFrom="paragraph">
                    <wp:posOffset>8890</wp:posOffset>
                  </wp:positionV>
                  <wp:extent cx="408305" cy="389255"/>
                  <wp:effectExtent l="0" t="0" r="0" b="0"/>
                  <wp:wrapSquare wrapText="bothSides"/>
                  <wp:docPr id="1995715496" name="Picture 100" descr="A blue background with a group of people and a glass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15496" name="Picture 100" descr="A blue background with a group of people and a glass of water&#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08305" cy="38925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72576" behindDoc="0" locked="0" layoutInCell="1" allowOverlap="1" wp14:anchorId="2BFEC8CE" wp14:editId="64EE6DC3">
                  <wp:simplePos x="0" y="0"/>
                  <wp:positionH relativeFrom="column">
                    <wp:posOffset>-64770</wp:posOffset>
                  </wp:positionH>
                  <wp:positionV relativeFrom="paragraph">
                    <wp:posOffset>635</wp:posOffset>
                  </wp:positionV>
                  <wp:extent cx="429260" cy="397510"/>
                  <wp:effectExtent l="0" t="0" r="8890" b="2540"/>
                  <wp:wrapSquare wrapText="bothSides"/>
                  <wp:docPr id="1539175374"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29260" cy="397510"/>
                          </a:xfrm>
                          <a:prstGeom prst="rect">
                            <a:avLst/>
                          </a:prstGeom>
                          <a:noFill/>
                        </pic:spPr>
                      </pic:pic>
                    </a:graphicData>
                  </a:graphic>
                  <wp14:sizeRelH relativeFrom="page">
                    <wp14:pctWidth>0</wp14:pctWidth>
                  </wp14:sizeRelH>
                  <wp14:sizeRelV relativeFrom="page">
                    <wp14:pctHeight>0</wp14:pctHeight>
                  </wp14:sizeRelV>
                </wp:anchor>
              </w:drawing>
            </w:r>
          </w:p>
          <w:p w14:paraId="714B1865" w14:textId="77777777" w:rsidR="00D25B43" w:rsidRPr="00EF2F18" w:rsidRDefault="00D25B43" w:rsidP="00D25B43">
            <w:pPr>
              <w:spacing w:after="0"/>
              <w:jc w:val="both"/>
              <w:rPr>
                <w:rFonts w:cs="Times New Roman"/>
                <w:sz w:val="22"/>
                <w:lang w:val="sr-Cyrl-RS"/>
              </w:rPr>
            </w:pPr>
          </w:p>
          <w:p w14:paraId="68F3CAB5" w14:textId="77777777" w:rsidR="00D25B43" w:rsidRPr="00EF2F18" w:rsidRDefault="00D25B43" w:rsidP="00D25B43">
            <w:pPr>
              <w:spacing w:after="0"/>
              <w:jc w:val="both"/>
              <w:rPr>
                <w:rFonts w:cs="Times New Roman"/>
                <w:sz w:val="22"/>
                <w:lang w:val="sr-Cyrl-RS"/>
              </w:rPr>
            </w:pPr>
          </w:p>
          <w:p w14:paraId="6BB470DF"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(6.1, 6.3)</w:t>
            </w:r>
          </w:p>
        </w:tc>
      </w:tr>
      <w:tr w:rsidR="00D25B43" w:rsidRPr="00EF2F18" w14:paraId="091A54B2"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32952851"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1F387EE6"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3.3: Унапређење продуктивности, стања и квалитета земљишта, спречавање деградације и контаминације земљишта </w:t>
            </w:r>
          </w:p>
        </w:tc>
        <w:tc>
          <w:tcPr>
            <w:tcW w:w="3496" w:type="dxa"/>
            <w:tcBorders>
              <w:top w:val="single" w:sz="4" w:space="0" w:color="auto"/>
              <w:left w:val="single" w:sz="4" w:space="0" w:color="auto"/>
              <w:bottom w:val="single" w:sz="4" w:space="0" w:color="auto"/>
              <w:right w:val="single" w:sz="4" w:space="0" w:color="auto"/>
            </w:tcBorders>
            <w:hideMark/>
          </w:tcPr>
          <w:p w14:paraId="5568FE5E" w14:textId="75C3012E"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76672" behindDoc="0" locked="0" layoutInCell="1" allowOverlap="1" wp14:anchorId="686A5CC7" wp14:editId="216C81EC">
                  <wp:simplePos x="0" y="0"/>
                  <wp:positionH relativeFrom="page">
                    <wp:posOffset>438150</wp:posOffset>
                  </wp:positionH>
                  <wp:positionV relativeFrom="page">
                    <wp:posOffset>0</wp:posOffset>
                  </wp:positionV>
                  <wp:extent cx="452755" cy="405130"/>
                  <wp:effectExtent l="0" t="0" r="4445" b="0"/>
                  <wp:wrapSquare wrapText="bothSides"/>
                  <wp:docPr id="1159697103" name="Picture 98" descr="A green square with white animal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97103" name="Picture 98" descr="A green square with white animals and trees&#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2755" cy="405130"/>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noProof/>
                <w:sz w:val="22"/>
                <w:lang w:val="sr-Cyrl-RS" w:eastAsia="sr-Cyrl-RS"/>
              </w:rPr>
              <w:drawing>
                <wp:anchor distT="0" distB="0" distL="114300" distR="114300" simplePos="0" relativeHeight="251675648" behindDoc="0" locked="0" layoutInCell="1" allowOverlap="1" wp14:anchorId="53763C3F" wp14:editId="5AC10CC8">
                  <wp:simplePos x="0" y="0"/>
                  <wp:positionH relativeFrom="column">
                    <wp:posOffset>-64770</wp:posOffset>
                  </wp:positionH>
                  <wp:positionV relativeFrom="paragraph">
                    <wp:posOffset>0</wp:posOffset>
                  </wp:positionV>
                  <wp:extent cx="421005" cy="397510"/>
                  <wp:effectExtent l="0" t="0" r="0" b="2540"/>
                  <wp:wrapSquare wrapText="bothSides"/>
                  <wp:docPr id="1744645141" name="Picture 97" descr="A green square with white text and a tree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45141" name="Picture 97" descr="A green square with white text and a tree and birds&#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1005" cy="397510"/>
                          </a:xfrm>
                          <a:prstGeom prst="rect">
                            <a:avLst/>
                          </a:prstGeom>
                          <a:noFill/>
                        </pic:spPr>
                      </pic:pic>
                    </a:graphicData>
                  </a:graphic>
                  <wp14:sizeRelH relativeFrom="page">
                    <wp14:pctWidth>0</wp14:pctWidth>
                  </wp14:sizeRelH>
                  <wp14:sizeRelV relativeFrom="page">
                    <wp14:pctHeight>0</wp14:pctHeight>
                  </wp14:sizeRelV>
                </wp:anchor>
              </w:drawing>
            </w:r>
          </w:p>
          <w:p w14:paraId="37F33A8F"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(15.3)</w:t>
            </w:r>
          </w:p>
        </w:tc>
      </w:tr>
      <w:tr w:rsidR="00D25B43" w:rsidRPr="00EF2F18" w14:paraId="3AD3A760" w14:textId="77777777" w:rsidTr="008F5583">
        <w:trPr>
          <w:trHeight w:val="908"/>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522FF4D9"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14D10DEA"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3.4: Превенција и контрола загађења из индустрије, интегрисано управљање хемикалијама и смањење ризика од великих удеса који укључују опасне супстанце </w:t>
            </w:r>
          </w:p>
        </w:tc>
        <w:tc>
          <w:tcPr>
            <w:tcW w:w="3496" w:type="dxa"/>
            <w:tcBorders>
              <w:top w:val="single" w:sz="4" w:space="0" w:color="auto"/>
              <w:left w:val="single" w:sz="4" w:space="0" w:color="auto"/>
              <w:bottom w:val="single" w:sz="4" w:space="0" w:color="auto"/>
              <w:right w:val="single" w:sz="4" w:space="0" w:color="auto"/>
            </w:tcBorders>
            <w:hideMark/>
          </w:tcPr>
          <w:p w14:paraId="330F7EC2" w14:textId="72DDE67A" w:rsidR="00D25B43" w:rsidRPr="00EF2F18" w:rsidRDefault="00D25B43" w:rsidP="00D25B43">
            <w:pPr>
              <w:spacing w:after="0"/>
              <w:jc w:val="both"/>
              <w:rPr>
                <w:rFonts w:cs="Times New Roman"/>
                <w:bCs/>
                <w:sz w:val="22"/>
                <w:lang w:val="sr-Cyrl-RS"/>
              </w:rPr>
            </w:pPr>
            <w:r w:rsidRPr="00EF2F18">
              <w:rPr>
                <w:rFonts w:cs="Times New Roman"/>
                <w:noProof/>
                <w:sz w:val="22"/>
                <w:lang w:val="sr-Cyrl-RS" w:eastAsia="sr-Cyrl-RS"/>
              </w:rPr>
              <w:drawing>
                <wp:anchor distT="0" distB="0" distL="114300" distR="114300" simplePos="0" relativeHeight="251678720" behindDoc="0" locked="0" layoutInCell="1" allowOverlap="1" wp14:anchorId="79F223AF" wp14:editId="3B142A86">
                  <wp:simplePos x="0" y="0"/>
                  <wp:positionH relativeFrom="column">
                    <wp:posOffset>389255</wp:posOffset>
                  </wp:positionH>
                  <wp:positionV relativeFrom="page">
                    <wp:posOffset>3175</wp:posOffset>
                  </wp:positionV>
                  <wp:extent cx="449580" cy="466725"/>
                  <wp:effectExtent l="0" t="0" r="7620" b="9525"/>
                  <wp:wrapSquare wrapText="bothSides"/>
                  <wp:docPr id="55996902" name="Picture 96" descr="A recycle bin with a biohazard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6902" name="Picture 96" descr="A recycle bin with a biohazard symbol&#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9580" cy="46672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77696" behindDoc="0" locked="0" layoutInCell="1" allowOverlap="1" wp14:anchorId="594FF8DE" wp14:editId="15BB29C8">
                  <wp:simplePos x="0" y="0"/>
                  <wp:positionH relativeFrom="page">
                    <wp:posOffset>635</wp:posOffset>
                  </wp:positionH>
                  <wp:positionV relativeFrom="page">
                    <wp:posOffset>0</wp:posOffset>
                  </wp:positionV>
                  <wp:extent cx="429260" cy="452755"/>
                  <wp:effectExtent l="0" t="0" r="8890" b="4445"/>
                  <wp:wrapSquare wrapText="bothSides"/>
                  <wp:docPr id="1606451760" name="Picture 95" descr="A white text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451760" name="Picture 95" descr="A white text on a yellow background&#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9260" cy="452755"/>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bCs/>
                <w:sz w:val="22"/>
                <w:lang w:val="sr-Cyrl-RS"/>
              </w:rPr>
              <w:t xml:space="preserve"> </w:t>
            </w:r>
          </w:p>
          <w:p w14:paraId="747EAD84"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(12.4)</w:t>
            </w:r>
          </w:p>
        </w:tc>
      </w:tr>
      <w:tr w:rsidR="00D25B43" w:rsidRPr="00EF2F18" w14:paraId="72B06C62"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64C8E29E"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0CDFBA0C" w14:textId="77777777" w:rsidR="00D25B43" w:rsidRPr="00EF2F18" w:rsidRDefault="00D25B43" w:rsidP="008F5583">
            <w:pPr>
              <w:spacing w:after="0"/>
              <w:rPr>
                <w:rFonts w:cs="Times New Roman"/>
                <w:sz w:val="22"/>
                <w:lang w:val="sr-Cyrl-RS"/>
              </w:rPr>
            </w:pPr>
            <w:r w:rsidRPr="00EF2F18">
              <w:rPr>
                <w:rFonts w:cs="Times New Roman"/>
                <w:sz w:val="22"/>
                <w:lang w:val="sr-Cyrl-RS"/>
              </w:rPr>
              <w:t xml:space="preserve">Посебан циљ 3.5: Смањење нивоа буке и заштита од нејонизујућег и јонизујућег зрачења </w:t>
            </w:r>
          </w:p>
          <w:p w14:paraId="09AAB1F3" w14:textId="77777777" w:rsidR="00D25B43" w:rsidRPr="00EF2F18" w:rsidRDefault="00D25B43" w:rsidP="008F5583">
            <w:pPr>
              <w:spacing w:after="0"/>
              <w:rPr>
                <w:rFonts w:cs="Times New Roman"/>
                <w:sz w:val="22"/>
                <w:lang w:val="sr-Cyrl-RS"/>
              </w:rPr>
            </w:pPr>
          </w:p>
        </w:tc>
        <w:tc>
          <w:tcPr>
            <w:tcW w:w="3496" w:type="dxa"/>
            <w:tcBorders>
              <w:top w:val="single" w:sz="4" w:space="0" w:color="auto"/>
              <w:left w:val="single" w:sz="4" w:space="0" w:color="auto"/>
              <w:bottom w:val="single" w:sz="4" w:space="0" w:color="auto"/>
              <w:right w:val="single" w:sz="4" w:space="0" w:color="auto"/>
            </w:tcBorders>
            <w:hideMark/>
          </w:tcPr>
          <w:p w14:paraId="747975FD" w14:textId="7DEAA4D9"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79744" behindDoc="0" locked="0" layoutInCell="1" allowOverlap="1" wp14:anchorId="6C0B4612" wp14:editId="483E8B36">
                  <wp:simplePos x="0" y="0"/>
                  <wp:positionH relativeFrom="column">
                    <wp:posOffset>-57150</wp:posOffset>
                  </wp:positionH>
                  <wp:positionV relativeFrom="paragraph">
                    <wp:posOffset>635</wp:posOffset>
                  </wp:positionV>
                  <wp:extent cx="429260" cy="421005"/>
                  <wp:effectExtent l="0" t="0" r="8890" b="0"/>
                  <wp:wrapSquare wrapText="bothSides"/>
                  <wp:docPr id="1005108696" name="Picture 94" descr="A white and orange sign with building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08696" name="Picture 94" descr="A white and orange sign with buildings and numbers&#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29260" cy="421005"/>
                          </a:xfrm>
                          <a:prstGeom prst="rect">
                            <a:avLst/>
                          </a:prstGeom>
                          <a:noFill/>
                        </pic:spPr>
                      </pic:pic>
                    </a:graphicData>
                  </a:graphic>
                  <wp14:sizeRelH relativeFrom="page">
                    <wp14:pctWidth>0</wp14:pctWidth>
                  </wp14:sizeRelH>
                  <wp14:sizeRelV relativeFrom="page">
                    <wp14:pctHeight>0</wp14:pctHeight>
                  </wp14:sizeRelV>
                </wp:anchor>
              </w:drawing>
            </w:r>
          </w:p>
        </w:tc>
      </w:tr>
      <w:tr w:rsidR="00D25B43" w:rsidRPr="00EF2F18" w14:paraId="11BAB6A9" w14:textId="77777777" w:rsidTr="008F5583">
        <w:tc>
          <w:tcPr>
            <w:tcW w:w="2160" w:type="dxa"/>
            <w:vMerge w:val="restart"/>
            <w:tcBorders>
              <w:top w:val="single" w:sz="4" w:space="0" w:color="auto"/>
              <w:left w:val="single" w:sz="4" w:space="0" w:color="auto"/>
              <w:bottom w:val="single" w:sz="4" w:space="0" w:color="auto"/>
              <w:right w:val="single" w:sz="4" w:space="0" w:color="auto"/>
            </w:tcBorders>
          </w:tcPr>
          <w:p w14:paraId="753AE701" w14:textId="77777777" w:rsidR="00D25B43" w:rsidRPr="00EF2F18" w:rsidRDefault="00D25B43" w:rsidP="008F5583">
            <w:pPr>
              <w:spacing w:after="0"/>
              <w:rPr>
                <w:rFonts w:cs="Times New Roman"/>
                <w:sz w:val="22"/>
                <w:lang w:val="sr-Cyrl-RS"/>
              </w:rPr>
            </w:pPr>
            <w:r w:rsidRPr="00EF2F18">
              <w:rPr>
                <w:rFonts w:cs="Times New Roman"/>
                <w:b/>
                <w:bCs/>
                <w:sz w:val="22"/>
                <w:lang w:val="sr-Cyrl-RS"/>
              </w:rPr>
              <w:t xml:space="preserve">Општи циљ 4: </w:t>
            </w:r>
            <w:r w:rsidRPr="00EF2F18">
              <w:rPr>
                <w:rFonts w:cs="Times New Roman"/>
                <w:sz w:val="22"/>
                <w:lang w:val="sr-Cyrl-RS"/>
              </w:rPr>
              <w:t xml:space="preserve">Унапређење заштите природе, очувања биодиверзитета и одрживо коришћење природних ресурса </w:t>
            </w:r>
          </w:p>
          <w:p w14:paraId="6FBD17DB"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44492E8F"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4.1: Развијање ефикасног система заштите и управљања врстама, типовима станишта, заштићеним подручјима и еколошком мрежом укључујући и НАТУРА 2000 и праћење стања кључних екосистемских услуга</w:t>
            </w:r>
          </w:p>
        </w:tc>
        <w:tc>
          <w:tcPr>
            <w:tcW w:w="3496" w:type="dxa"/>
            <w:tcBorders>
              <w:top w:val="single" w:sz="4" w:space="0" w:color="auto"/>
              <w:left w:val="single" w:sz="4" w:space="0" w:color="auto"/>
              <w:bottom w:val="single" w:sz="4" w:space="0" w:color="auto"/>
              <w:right w:val="single" w:sz="4" w:space="0" w:color="auto"/>
            </w:tcBorders>
          </w:tcPr>
          <w:p w14:paraId="468C037C" w14:textId="36244C2C"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80768" behindDoc="0" locked="0" layoutInCell="1" allowOverlap="1" wp14:anchorId="078C1030" wp14:editId="226F813E">
                  <wp:simplePos x="0" y="0"/>
                  <wp:positionH relativeFrom="column">
                    <wp:posOffset>-64770</wp:posOffset>
                  </wp:positionH>
                  <wp:positionV relativeFrom="paragraph">
                    <wp:posOffset>0</wp:posOffset>
                  </wp:positionV>
                  <wp:extent cx="419100" cy="397510"/>
                  <wp:effectExtent l="0" t="0" r="0" b="2540"/>
                  <wp:wrapSquare wrapText="bothSides"/>
                  <wp:docPr id="1450452492" name="Picture 93" descr="A green square with white text and a tree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52492" name="Picture 93" descr="A green square with white text and a tree and birds&#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19100" cy="397510"/>
                          </a:xfrm>
                          <a:prstGeom prst="rect">
                            <a:avLst/>
                          </a:prstGeom>
                          <a:noFill/>
                        </pic:spPr>
                      </pic:pic>
                    </a:graphicData>
                  </a:graphic>
                  <wp14:sizeRelH relativeFrom="page">
                    <wp14:pctWidth>0</wp14:pctWidth>
                  </wp14:sizeRelH>
                  <wp14:sizeRelV relativeFrom="page">
                    <wp14:pctHeight>0</wp14:pctHeight>
                  </wp14:sizeRelV>
                </wp:anchor>
              </w:drawing>
            </w:r>
          </w:p>
          <w:p w14:paraId="046E763B"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(15.5, 15.8, 15.9)</w:t>
            </w:r>
          </w:p>
          <w:p w14:paraId="1CBA622B" w14:textId="11B883B7"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82816" behindDoc="0" locked="0" layoutInCell="1" allowOverlap="1" wp14:anchorId="5DC3E648" wp14:editId="665EA320">
                  <wp:simplePos x="0" y="0"/>
                  <wp:positionH relativeFrom="page">
                    <wp:posOffset>9525</wp:posOffset>
                  </wp:positionH>
                  <wp:positionV relativeFrom="page">
                    <wp:posOffset>162560</wp:posOffset>
                  </wp:positionV>
                  <wp:extent cx="405130" cy="373380"/>
                  <wp:effectExtent l="0" t="0" r="0" b="7620"/>
                  <wp:wrapSquare wrapText="bothSides"/>
                  <wp:docPr id="124778293" name="Picture 90" descr="A green square with white silhouettes of animal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8293" name="Picture 90" descr="A green square with white silhouettes of animals and trees&#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05130" cy="373380"/>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noProof/>
                <w:sz w:val="22"/>
                <w:lang w:val="sr-Cyrl-RS" w:eastAsia="sr-Cyrl-RS"/>
              </w:rPr>
              <w:drawing>
                <wp:anchor distT="0" distB="0" distL="114300" distR="114300" simplePos="0" relativeHeight="251684864" behindDoc="0" locked="0" layoutInCell="1" allowOverlap="1" wp14:anchorId="2355A76E" wp14:editId="0A9EDABA">
                  <wp:simplePos x="0" y="0"/>
                  <wp:positionH relativeFrom="column">
                    <wp:posOffset>783590</wp:posOffset>
                  </wp:positionH>
                  <wp:positionV relativeFrom="paragraph">
                    <wp:posOffset>151130</wp:posOffset>
                  </wp:positionV>
                  <wp:extent cx="413385" cy="381000"/>
                  <wp:effectExtent l="0" t="0" r="5715" b="0"/>
                  <wp:wrapSquare wrapText="bothSides"/>
                  <wp:docPr id="1954780618" name="Picture 92" descr="A green square with white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80618" name="Picture 92" descr="A green square with white icons&#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13385" cy="38100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83840" behindDoc="0" locked="0" layoutInCell="1" allowOverlap="1" wp14:anchorId="2804DDF6" wp14:editId="282CD8BA">
                  <wp:simplePos x="0" y="0"/>
                  <wp:positionH relativeFrom="column">
                    <wp:posOffset>358775</wp:posOffset>
                  </wp:positionH>
                  <wp:positionV relativeFrom="paragraph">
                    <wp:posOffset>152400</wp:posOffset>
                  </wp:positionV>
                  <wp:extent cx="396875" cy="373380"/>
                  <wp:effectExtent l="0" t="0" r="3175" b="7620"/>
                  <wp:wrapSquare wrapText="bothSides"/>
                  <wp:docPr id="624010083" name="Picture 91" descr="A white sign with a exclamation mark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10083" name="Picture 91" descr="A white sign with a exclamation mark and leaves&#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96875" cy="373380"/>
                          </a:xfrm>
                          <a:prstGeom prst="rect">
                            <a:avLst/>
                          </a:prstGeom>
                          <a:noFill/>
                        </pic:spPr>
                      </pic:pic>
                    </a:graphicData>
                  </a:graphic>
                  <wp14:sizeRelH relativeFrom="page">
                    <wp14:pctWidth>0</wp14:pctWidth>
                  </wp14:sizeRelH>
                  <wp14:sizeRelV relativeFrom="page">
                    <wp14:pctHeight>0</wp14:pctHeight>
                  </wp14:sizeRelV>
                </wp:anchor>
              </w:drawing>
            </w:r>
          </w:p>
          <w:p w14:paraId="3554CFF5" w14:textId="459C215B" w:rsidR="00D25B43" w:rsidRPr="00EF2F18" w:rsidRDefault="00D25B43" w:rsidP="00D25B43">
            <w:pPr>
              <w:spacing w:after="0"/>
              <w:jc w:val="both"/>
              <w:rPr>
                <w:rFonts w:cs="Times New Roman"/>
                <w:sz w:val="22"/>
                <w:lang w:val="sr-Cyrl-RS"/>
              </w:rPr>
            </w:pPr>
          </w:p>
        </w:tc>
      </w:tr>
      <w:tr w:rsidR="00D25B43" w:rsidRPr="00EF2F18" w14:paraId="59EB03A8"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42FE1DE7"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29CDFCB6"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4.2: Одрживо управљање шумама, дивљачи и рибљим фондом</w:t>
            </w:r>
          </w:p>
        </w:tc>
        <w:tc>
          <w:tcPr>
            <w:tcW w:w="3496" w:type="dxa"/>
            <w:tcBorders>
              <w:top w:val="single" w:sz="4" w:space="0" w:color="auto"/>
              <w:left w:val="single" w:sz="4" w:space="0" w:color="auto"/>
              <w:bottom w:val="single" w:sz="4" w:space="0" w:color="auto"/>
              <w:right w:val="single" w:sz="4" w:space="0" w:color="auto"/>
            </w:tcBorders>
          </w:tcPr>
          <w:p w14:paraId="5E64AB21" w14:textId="1BB1D35F"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91008" behindDoc="0" locked="0" layoutInCell="1" allowOverlap="1" wp14:anchorId="3F662FAC" wp14:editId="0AFC272C">
                  <wp:simplePos x="0" y="0"/>
                  <wp:positionH relativeFrom="column">
                    <wp:posOffset>-65405</wp:posOffset>
                  </wp:positionH>
                  <wp:positionV relativeFrom="paragraph">
                    <wp:posOffset>2540</wp:posOffset>
                  </wp:positionV>
                  <wp:extent cx="437515" cy="413385"/>
                  <wp:effectExtent l="0" t="0" r="635" b="5715"/>
                  <wp:wrapSquare wrapText="bothSides"/>
                  <wp:docPr id="813533578" name="Picture 89" descr="A blue square with white text and a fish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33578" name="Picture 89" descr="A blue square with white text and a fish and waves&#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7515" cy="413385"/>
                          </a:xfrm>
                          <a:prstGeom prst="rect">
                            <a:avLst/>
                          </a:prstGeom>
                          <a:noFill/>
                        </pic:spPr>
                      </pic:pic>
                    </a:graphicData>
                  </a:graphic>
                  <wp14:sizeRelH relativeFrom="page">
                    <wp14:pctWidth>0</wp14:pctWidth>
                  </wp14:sizeRelH>
                  <wp14:sizeRelV relativeFrom="page">
                    <wp14:pctHeight>0</wp14:pctHeight>
                  </wp14:sizeRelV>
                </wp:anchor>
              </w:drawing>
            </w:r>
          </w:p>
          <w:p w14:paraId="57060919"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 xml:space="preserve">(15.1, 15.2) </w:t>
            </w:r>
          </w:p>
          <w:p w14:paraId="1D97E471" w14:textId="78A84EAE"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lastRenderedPageBreak/>
              <w:drawing>
                <wp:anchor distT="0" distB="0" distL="114300" distR="114300" simplePos="0" relativeHeight="251681792" behindDoc="0" locked="0" layoutInCell="1" allowOverlap="1" wp14:anchorId="4E3FB951" wp14:editId="1D4BC48E">
                  <wp:simplePos x="0" y="0"/>
                  <wp:positionH relativeFrom="column">
                    <wp:posOffset>-55880</wp:posOffset>
                  </wp:positionH>
                  <wp:positionV relativeFrom="paragraph">
                    <wp:posOffset>142875</wp:posOffset>
                  </wp:positionV>
                  <wp:extent cx="421005" cy="415290"/>
                  <wp:effectExtent l="0" t="0" r="0" b="3810"/>
                  <wp:wrapSquare wrapText="bothSides"/>
                  <wp:docPr id="1848108278" name="Picture 88" descr="A green square with white text and a tree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8278" name="Picture 88" descr="A green square with white text and a tree and birds&#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1005" cy="41529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62336" behindDoc="0" locked="0" layoutInCell="1" allowOverlap="1" wp14:anchorId="7DB53E7A" wp14:editId="06CCF565">
                  <wp:simplePos x="0" y="0"/>
                  <wp:positionH relativeFrom="column">
                    <wp:posOffset>827405</wp:posOffset>
                  </wp:positionH>
                  <wp:positionV relativeFrom="paragraph">
                    <wp:posOffset>139700</wp:posOffset>
                  </wp:positionV>
                  <wp:extent cx="484505" cy="419735"/>
                  <wp:effectExtent l="0" t="0" r="0" b="0"/>
                  <wp:wrapSquare wrapText="bothSides"/>
                  <wp:docPr id="1580677147" name="Picture 87" descr="A green and white sign with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77147" name="Picture 87" descr="A green and white sign with trees&#10;&#10;Description automatically generated"/>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84505" cy="41973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92032" behindDoc="0" locked="0" layoutInCell="1" allowOverlap="1" wp14:anchorId="2D2AB74C" wp14:editId="07739C1C">
                  <wp:simplePos x="0" y="0"/>
                  <wp:positionH relativeFrom="column">
                    <wp:posOffset>379730</wp:posOffset>
                  </wp:positionH>
                  <wp:positionV relativeFrom="paragraph">
                    <wp:posOffset>146050</wp:posOffset>
                  </wp:positionV>
                  <wp:extent cx="438785" cy="416560"/>
                  <wp:effectExtent l="0" t="0" r="0" b="2540"/>
                  <wp:wrapSquare wrapText="bothSides"/>
                  <wp:docPr id="1429696628" name="Picture 86" descr="A green and white sign with a mountain and a couple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96628" name="Picture 86" descr="A green and white sign with a mountain and a couple of people&#10;&#10;Description automatically generat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38785" cy="416560"/>
                          </a:xfrm>
                          <a:prstGeom prst="rect">
                            <a:avLst/>
                          </a:prstGeom>
                          <a:noFill/>
                        </pic:spPr>
                      </pic:pic>
                    </a:graphicData>
                  </a:graphic>
                  <wp14:sizeRelH relativeFrom="page">
                    <wp14:pctWidth>0</wp14:pctWidth>
                  </wp14:sizeRelH>
                  <wp14:sizeRelV relativeFrom="page">
                    <wp14:pctHeight>0</wp14:pctHeight>
                  </wp14:sizeRelV>
                </wp:anchor>
              </w:drawing>
            </w:r>
          </w:p>
          <w:p w14:paraId="67238D27" w14:textId="77777777" w:rsidR="00D25B43" w:rsidRPr="00EF2F18" w:rsidRDefault="00D25B43" w:rsidP="00D25B43">
            <w:pPr>
              <w:spacing w:after="0"/>
              <w:jc w:val="both"/>
              <w:rPr>
                <w:rFonts w:cs="Times New Roman"/>
                <w:sz w:val="22"/>
                <w:lang w:val="sr-Cyrl-RS"/>
              </w:rPr>
            </w:pPr>
          </w:p>
        </w:tc>
      </w:tr>
      <w:tr w:rsidR="00D25B43" w:rsidRPr="00EF2F18" w14:paraId="6937D9F2" w14:textId="77777777" w:rsidTr="008F5583">
        <w:tc>
          <w:tcPr>
            <w:tcW w:w="2160" w:type="dxa"/>
            <w:vMerge w:val="restart"/>
            <w:tcBorders>
              <w:top w:val="single" w:sz="4" w:space="0" w:color="auto"/>
              <w:left w:val="single" w:sz="4" w:space="0" w:color="auto"/>
              <w:bottom w:val="single" w:sz="4" w:space="0" w:color="auto"/>
              <w:right w:val="single" w:sz="4" w:space="0" w:color="auto"/>
            </w:tcBorders>
            <w:hideMark/>
          </w:tcPr>
          <w:p w14:paraId="27F832DA" w14:textId="77777777" w:rsidR="00D25B43" w:rsidRPr="00EF2F18" w:rsidRDefault="00D25B43" w:rsidP="008F5583">
            <w:pPr>
              <w:spacing w:after="0"/>
              <w:rPr>
                <w:rFonts w:cs="Times New Roman"/>
                <w:sz w:val="22"/>
                <w:lang w:val="sr-Cyrl-RS"/>
              </w:rPr>
            </w:pPr>
            <w:r w:rsidRPr="00EF2F18">
              <w:rPr>
                <w:rFonts w:cs="Times New Roman"/>
                <w:b/>
                <w:bCs/>
                <w:sz w:val="22"/>
                <w:lang w:val="sr-Cyrl-RS"/>
              </w:rPr>
              <w:lastRenderedPageBreak/>
              <w:t xml:space="preserve">Општи циљ 5: </w:t>
            </w:r>
            <w:r w:rsidRPr="00EF2F18">
              <w:rPr>
                <w:rFonts w:cs="Times New Roman"/>
                <w:sz w:val="22"/>
                <w:lang w:val="sr-Cyrl-RS"/>
              </w:rPr>
              <w:t>Раст доприноса пољопривредно-прехрамбеног сектора очувању животне средине и повећању отпорности на измењене климатске услове</w:t>
            </w:r>
          </w:p>
        </w:tc>
        <w:tc>
          <w:tcPr>
            <w:tcW w:w="3794" w:type="dxa"/>
            <w:tcBorders>
              <w:top w:val="single" w:sz="4" w:space="0" w:color="auto"/>
              <w:left w:val="single" w:sz="4" w:space="0" w:color="auto"/>
              <w:bottom w:val="single" w:sz="4" w:space="0" w:color="auto"/>
              <w:right w:val="single" w:sz="4" w:space="0" w:color="auto"/>
            </w:tcBorders>
            <w:hideMark/>
          </w:tcPr>
          <w:p w14:paraId="77C3A178"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5.1: Одржива примарна производња и безбедност хране применом технологија и пракси погодних за животну средину</w:t>
            </w:r>
          </w:p>
        </w:tc>
        <w:tc>
          <w:tcPr>
            <w:tcW w:w="3496" w:type="dxa"/>
            <w:tcBorders>
              <w:top w:val="single" w:sz="4" w:space="0" w:color="auto"/>
              <w:left w:val="single" w:sz="4" w:space="0" w:color="auto"/>
              <w:bottom w:val="single" w:sz="4" w:space="0" w:color="auto"/>
              <w:right w:val="single" w:sz="4" w:space="0" w:color="auto"/>
            </w:tcBorders>
            <w:hideMark/>
          </w:tcPr>
          <w:p w14:paraId="2716755A" w14:textId="05A247EC"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86912" behindDoc="0" locked="0" layoutInCell="1" allowOverlap="1" wp14:anchorId="5AC6A484" wp14:editId="0C649555">
                  <wp:simplePos x="0" y="0"/>
                  <wp:positionH relativeFrom="column">
                    <wp:posOffset>380365</wp:posOffset>
                  </wp:positionH>
                  <wp:positionV relativeFrom="paragraph">
                    <wp:posOffset>6985</wp:posOffset>
                  </wp:positionV>
                  <wp:extent cx="397510" cy="405130"/>
                  <wp:effectExtent l="0" t="0" r="2540" b="0"/>
                  <wp:wrapSquare wrapText="bothSides"/>
                  <wp:docPr id="1729442409" name="Picture 85" descr="A group of symbols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42409" name="Picture 85" descr="A group of symbols on a yellow background&#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7510" cy="40513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85888" behindDoc="0" locked="0" layoutInCell="1" allowOverlap="1" wp14:anchorId="11A247DA" wp14:editId="0BC8BEC0">
                  <wp:simplePos x="0" y="0"/>
                  <wp:positionH relativeFrom="page">
                    <wp:posOffset>635</wp:posOffset>
                  </wp:positionH>
                  <wp:positionV relativeFrom="page">
                    <wp:posOffset>6985</wp:posOffset>
                  </wp:positionV>
                  <wp:extent cx="421005" cy="405130"/>
                  <wp:effectExtent l="0" t="0" r="0" b="0"/>
                  <wp:wrapSquare wrapText="bothSides"/>
                  <wp:docPr id="1784967665" name="Picture 84" descr="A yellow sign with a bowl of s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67665" name="Picture 84" descr="A yellow sign with a bowl of soup&#10;&#10;Description automatically genera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1005" cy="405130"/>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sz w:val="22"/>
                <w:lang w:val="sr-Cyrl-RS"/>
              </w:rPr>
              <w:t xml:space="preserve"> </w:t>
            </w:r>
          </w:p>
          <w:p w14:paraId="23A0C1CF"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(2.4)</w:t>
            </w:r>
          </w:p>
        </w:tc>
      </w:tr>
      <w:tr w:rsidR="00D25B43" w:rsidRPr="00EF2F18" w14:paraId="0E52B7D6"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1EB0F826"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062C9E7A" w14:textId="5953BABB" w:rsidR="00D25B43" w:rsidRPr="00EF2F18" w:rsidRDefault="00D25B43" w:rsidP="008F5583">
            <w:pPr>
              <w:spacing w:after="0"/>
              <w:rPr>
                <w:rFonts w:cs="Times New Roman"/>
                <w:sz w:val="22"/>
                <w:lang w:val="sr-Cyrl-RS"/>
              </w:rPr>
            </w:pPr>
            <w:r w:rsidRPr="00EF2F18">
              <w:rPr>
                <w:rFonts w:cs="Times New Roman"/>
                <w:sz w:val="22"/>
                <w:lang w:val="sr-Cyrl-RS"/>
              </w:rPr>
              <w:t>Посебан циљ 5.2: Унапређење одрживо</w:t>
            </w:r>
            <w:r w:rsidR="00877A7D">
              <w:rPr>
                <w:rFonts w:cs="Times New Roman"/>
                <w:sz w:val="22"/>
                <w:lang w:val="sr-Cyrl-RS"/>
              </w:rPr>
              <w:t>сти руралних средина кроз диверс</w:t>
            </w:r>
            <w:r w:rsidRPr="00EF2F18">
              <w:rPr>
                <w:rFonts w:cs="Times New Roman"/>
                <w:sz w:val="22"/>
                <w:lang w:val="sr-Cyrl-RS"/>
              </w:rPr>
              <w:t>ификацију руралне економије, изградњу руралне инфраструктуре и заштите животне средине и очување руралних предела</w:t>
            </w:r>
          </w:p>
        </w:tc>
        <w:tc>
          <w:tcPr>
            <w:tcW w:w="3496" w:type="dxa"/>
            <w:tcBorders>
              <w:top w:val="single" w:sz="4" w:space="0" w:color="auto"/>
              <w:left w:val="single" w:sz="4" w:space="0" w:color="auto"/>
              <w:bottom w:val="single" w:sz="4" w:space="0" w:color="auto"/>
              <w:right w:val="single" w:sz="4" w:space="0" w:color="auto"/>
            </w:tcBorders>
            <w:hideMark/>
          </w:tcPr>
          <w:p w14:paraId="78C86B89" w14:textId="04A085A1"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88960" behindDoc="0" locked="0" layoutInCell="1" allowOverlap="1" wp14:anchorId="19AB3F41" wp14:editId="47752457">
                  <wp:simplePos x="0" y="0"/>
                  <wp:positionH relativeFrom="column">
                    <wp:posOffset>370840</wp:posOffset>
                  </wp:positionH>
                  <wp:positionV relativeFrom="paragraph">
                    <wp:posOffset>34290</wp:posOffset>
                  </wp:positionV>
                  <wp:extent cx="421005" cy="412115"/>
                  <wp:effectExtent l="0" t="0" r="0" b="6985"/>
                  <wp:wrapSquare wrapText="bothSides"/>
                  <wp:docPr id="1670002458" name="Picture 83" descr="A white tractor and a dn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02458" name="Picture 83" descr="A white tractor and a dna sign&#10;&#10;Description automatically generated"/>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21005" cy="41211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87936" behindDoc="0" locked="0" layoutInCell="1" allowOverlap="1" wp14:anchorId="59A657E9" wp14:editId="07566EFB">
                  <wp:simplePos x="0" y="0"/>
                  <wp:positionH relativeFrom="page">
                    <wp:posOffset>0</wp:posOffset>
                  </wp:positionH>
                  <wp:positionV relativeFrom="page">
                    <wp:posOffset>24130</wp:posOffset>
                  </wp:positionV>
                  <wp:extent cx="413385" cy="421005"/>
                  <wp:effectExtent l="0" t="0" r="5715" b="0"/>
                  <wp:wrapSquare wrapText="bothSides"/>
                  <wp:docPr id="29395516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55169" name="Picture 8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13385" cy="421005"/>
                          </a:xfrm>
                          <a:prstGeom prst="rect">
                            <a:avLst/>
                          </a:prstGeom>
                          <a:noFill/>
                        </pic:spPr>
                      </pic:pic>
                    </a:graphicData>
                  </a:graphic>
                  <wp14:sizeRelH relativeFrom="margin">
                    <wp14:pctWidth>0</wp14:pctWidth>
                  </wp14:sizeRelH>
                  <wp14:sizeRelV relativeFrom="margin">
                    <wp14:pctHeight>0</wp14:pctHeight>
                  </wp14:sizeRelV>
                </wp:anchor>
              </w:drawing>
            </w:r>
          </w:p>
          <w:p w14:paraId="3BD24FF8"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(2a)</w:t>
            </w:r>
          </w:p>
        </w:tc>
      </w:tr>
      <w:tr w:rsidR="00D25B43" w:rsidRPr="00EF2F18" w14:paraId="68DB3E4E" w14:textId="77777777" w:rsidTr="008F5583">
        <w:tc>
          <w:tcPr>
            <w:tcW w:w="2160" w:type="dxa"/>
            <w:vMerge w:val="restart"/>
            <w:tcBorders>
              <w:top w:val="single" w:sz="4" w:space="0" w:color="auto"/>
              <w:left w:val="single" w:sz="4" w:space="0" w:color="auto"/>
              <w:bottom w:val="single" w:sz="4" w:space="0" w:color="auto"/>
              <w:right w:val="single" w:sz="4" w:space="0" w:color="auto"/>
            </w:tcBorders>
            <w:hideMark/>
          </w:tcPr>
          <w:p w14:paraId="16633EF2" w14:textId="77777777" w:rsidR="00D25B43" w:rsidRPr="00EF2F18" w:rsidRDefault="00D25B43" w:rsidP="008F5583">
            <w:pPr>
              <w:spacing w:after="0"/>
              <w:rPr>
                <w:rFonts w:cs="Times New Roman"/>
                <w:sz w:val="22"/>
                <w:lang w:val="sr-Cyrl-RS"/>
              </w:rPr>
            </w:pPr>
            <w:r w:rsidRPr="00EF2F18">
              <w:rPr>
                <w:rFonts w:cs="Times New Roman"/>
                <w:b/>
                <w:bCs/>
                <w:sz w:val="22"/>
                <w:lang w:val="sr-Cyrl-RS"/>
              </w:rPr>
              <w:t xml:space="preserve">Општи циљ 6: </w:t>
            </w:r>
            <w:r w:rsidRPr="00EF2F18">
              <w:rPr>
                <w:rFonts w:cs="Times New Roman"/>
                <w:sz w:val="22"/>
                <w:lang w:val="sr-Cyrl-RS"/>
              </w:rPr>
              <w:t>Унапређење интегрисаног приступа заштити и управљању животном средином у складу са Зеленом агендом</w:t>
            </w:r>
          </w:p>
        </w:tc>
        <w:tc>
          <w:tcPr>
            <w:tcW w:w="3794" w:type="dxa"/>
            <w:tcBorders>
              <w:top w:val="single" w:sz="4" w:space="0" w:color="auto"/>
              <w:left w:val="single" w:sz="4" w:space="0" w:color="auto"/>
              <w:bottom w:val="single" w:sz="4" w:space="0" w:color="auto"/>
              <w:right w:val="single" w:sz="4" w:space="0" w:color="auto"/>
            </w:tcBorders>
            <w:hideMark/>
          </w:tcPr>
          <w:p w14:paraId="78729836"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6.1: Подизање капацитета и нивоа знања за примену Зелене агенде на свим нивоима</w:t>
            </w:r>
          </w:p>
        </w:tc>
        <w:tc>
          <w:tcPr>
            <w:tcW w:w="3496" w:type="dxa"/>
            <w:tcBorders>
              <w:top w:val="single" w:sz="4" w:space="0" w:color="auto"/>
              <w:left w:val="single" w:sz="4" w:space="0" w:color="auto"/>
              <w:bottom w:val="single" w:sz="4" w:space="0" w:color="auto"/>
              <w:right w:val="single" w:sz="4" w:space="0" w:color="auto"/>
            </w:tcBorders>
          </w:tcPr>
          <w:p w14:paraId="5F4648B3" w14:textId="4F3CFA0A"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12512" behindDoc="0" locked="0" layoutInCell="1" allowOverlap="1" wp14:anchorId="5D87616E" wp14:editId="6646023E">
                  <wp:simplePos x="0" y="0"/>
                  <wp:positionH relativeFrom="column">
                    <wp:posOffset>318135</wp:posOffset>
                  </wp:positionH>
                  <wp:positionV relativeFrom="paragraph">
                    <wp:posOffset>6350</wp:posOffset>
                  </wp:positionV>
                  <wp:extent cx="365125" cy="351155"/>
                  <wp:effectExtent l="0" t="0" r="0" b="0"/>
                  <wp:wrapSquare wrapText="bothSides"/>
                  <wp:docPr id="173781615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16151" name="Picture 8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65125" cy="35115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11488" behindDoc="0" locked="0" layoutInCell="1" allowOverlap="1" wp14:anchorId="2DB1A65C" wp14:editId="5A61C979">
                  <wp:simplePos x="0" y="0"/>
                  <wp:positionH relativeFrom="column">
                    <wp:posOffset>708025</wp:posOffset>
                  </wp:positionH>
                  <wp:positionV relativeFrom="paragraph">
                    <wp:posOffset>0</wp:posOffset>
                  </wp:positionV>
                  <wp:extent cx="381635" cy="373380"/>
                  <wp:effectExtent l="0" t="0" r="0" b="7620"/>
                  <wp:wrapSquare wrapText="bothSides"/>
                  <wp:docPr id="55882293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22932" name="Picture 8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1635"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08416" behindDoc="0" locked="0" layoutInCell="1" allowOverlap="1" wp14:anchorId="1347D265" wp14:editId="63E24464">
                  <wp:simplePos x="0" y="0"/>
                  <wp:positionH relativeFrom="page">
                    <wp:posOffset>0</wp:posOffset>
                  </wp:positionH>
                  <wp:positionV relativeFrom="page">
                    <wp:posOffset>395605</wp:posOffset>
                  </wp:positionV>
                  <wp:extent cx="356235" cy="373380"/>
                  <wp:effectExtent l="0" t="0" r="5715" b="7620"/>
                  <wp:wrapSquare wrapText="bothSides"/>
                  <wp:docPr id="2089222635"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22635" name="Picture 7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6235" cy="373380"/>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noProof/>
                <w:sz w:val="22"/>
                <w:lang w:val="sr-Cyrl-RS" w:eastAsia="sr-Cyrl-RS"/>
              </w:rPr>
              <w:drawing>
                <wp:anchor distT="0" distB="0" distL="114300" distR="114300" simplePos="0" relativeHeight="251710464" behindDoc="0" locked="0" layoutInCell="1" allowOverlap="1" wp14:anchorId="455F1E4B" wp14:editId="10701AF0">
                  <wp:simplePos x="0" y="0"/>
                  <wp:positionH relativeFrom="column">
                    <wp:posOffset>-65405</wp:posOffset>
                  </wp:positionH>
                  <wp:positionV relativeFrom="paragraph">
                    <wp:posOffset>1905</wp:posOffset>
                  </wp:positionV>
                  <wp:extent cx="367665" cy="373380"/>
                  <wp:effectExtent l="0" t="0" r="0" b="7620"/>
                  <wp:wrapSquare wrapText="bothSides"/>
                  <wp:docPr id="410208153"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08153" name="Picture 7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7665" cy="373380"/>
                          </a:xfrm>
                          <a:prstGeom prst="rect">
                            <a:avLst/>
                          </a:prstGeom>
                          <a:noFill/>
                        </pic:spPr>
                      </pic:pic>
                    </a:graphicData>
                  </a:graphic>
                  <wp14:sizeRelH relativeFrom="page">
                    <wp14:pctWidth>0</wp14:pctWidth>
                  </wp14:sizeRelH>
                  <wp14:sizeRelV relativeFrom="page">
                    <wp14:pctHeight>0</wp14:pctHeight>
                  </wp14:sizeRelV>
                </wp:anchor>
              </w:drawing>
            </w:r>
          </w:p>
          <w:p w14:paraId="265FE940"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(4.7)</w:t>
            </w:r>
          </w:p>
          <w:p w14:paraId="4883F725" w14:textId="4BA10C8C"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09440" behindDoc="0" locked="0" layoutInCell="1" allowOverlap="1" wp14:anchorId="6D1A0686" wp14:editId="2760FA5A">
                  <wp:simplePos x="0" y="0"/>
                  <wp:positionH relativeFrom="column">
                    <wp:posOffset>306070</wp:posOffset>
                  </wp:positionH>
                  <wp:positionV relativeFrom="paragraph">
                    <wp:posOffset>97790</wp:posOffset>
                  </wp:positionV>
                  <wp:extent cx="390525" cy="373380"/>
                  <wp:effectExtent l="0" t="0" r="9525" b="7620"/>
                  <wp:wrapSquare wrapText="bothSides"/>
                  <wp:docPr id="12590391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3917" name="Picture 7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0525"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07392" behindDoc="0" locked="0" layoutInCell="1" allowOverlap="1" wp14:anchorId="1A79365F" wp14:editId="511B2234">
                  <wp:simplePos x="0" y="0"/>
                  <wp:positionH relativeFrom="column">
                    <wp:posOffset>1102360</wp:posOffset>
                  </wp:positionH>
                  <wp:positionV relativeFrom="paragraph">
                    <wp:posOffset>104140</wp:posOffset>
                  </wp:positionV>
                  <wp:extent cx="378460" cy="373380"/>
                  <wp:effectExtent l="0" t="0" r="2540" b="7620"/>
                  <wp:wrapSquare wrapText="bothSides"/>
                  <wp:docPr id="1994875399"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75399" name="Picture 7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78460"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06368" behindDoc="0" locked="0" layoutInCell="1" allowOverlap="1" wp14:anchorId="37279F5F" wp14:editId="3106BB93">
                  <wp:simplePos x="0" y="0"/>
                  <wp:positionH relativeFrom="column">
                    <wp:posOffset>710565</wp:posOffset>
                  </wp:positionH>
                  <wp:positionV relativeFrom="paragraph">
                    <wp:posOffset>97155</wp:posOffset>
                  </wp:positionV>
                  <wp:extent cx="381000" cy="373380"/>
                  <wp:effectExtent l="0" t="0" r="0" b="7620"/>
                  <wp:wrapSquare wrapText="bothSides"/>
                  <wp:docPr id="166297464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74648" name="Picture 7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1000" cy="373380"/>
                          </a:xfrm>
                          <a:prstGeom prst="rect">
                            <a:avLst/>
                          </a:prstGeom>
                          <a:noFill/>
                        </pic:spPr>
                      </pic:pic>
                    </a:graphicData>
                  </a:graphic>
                  <wp14:sizeRelH relativeFrom="page">
                    <wp14:pctWidth>0</wp14:pctWidth>
                  </wp14:sizeRelH>
                  <wp14:sizeRelV relativeFrom="page">
                    <wp14:pctHeight>0</wp14:pctHeight>
                  </wp14:sizeRelV>
                </wp:anchor>
              </w:drawing>
            </w:r>
          </w:p>
          <w:p w14:paraId="09AD1771"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(13.3)</w:t>
            </w:r>
          </w:p>
          <w:p w14:paraId="50690B16" w14:textId="77777777" w:rsidR="00D25B43" w:rsidRPr="00EF2F18" w:rsidRDefault="00D25B43" w:rsidP="00D25B43">
            <w:pPr>
              <w:spacing w:after="0"/>
              <w:jc w:val="both"/>
              <w:rPr>
                <w:rFonts w:cs="Times New Roman"/>
                <w:sz w:val="22"/>
                <w:lang w:val="sr-Cyrl-RS"/>
              </w:rPr>
            </w:pPr>
          </w:p>
        </w:tc>
      </w:tr>
      <w:tr w:rsidR="00D25B43" w:rsidRPr="00EF2F18" w14:paraId="4C9997BC"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3DF22515"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0D855BF1"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6.2: Обезбеђивање заштите права на здраву и очувану животну средину, приступa информацијама, учешћа јавности у доношењу одлука и правнe заштитe у питањима у вези са заштитом животне средине</w:t>
            </w:r>
          </w:p>
        </w:tc>
        <w:tc>
          <w:tcPr>
            <w:tcW w:w="3496" w:type="dxa"/>
            <w:tcBorders>
              <w:top w:val="single" w:sz="4" w:space="0" w:color="auto"/>
              <w:left w:val="single" w:sz="4" w:space="0" w:color="auto"/>
              <w:bottom w:val="single" w:sz="4" w:space="0" w:color="auto"/>
              <w:right w:val="single" w:sz="4" w:space="0" w:color="auto"/>
            </w:tcBorders>
            <w:hideMark/>
          </w:tcPr>
          <w:p w14:paraId="5024E0B3" w14:textId="667FA0C4"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05344" behindDoc="0" locked="0" layoutInCell="1" allowOverlap="1" wp14:anchorId="0619D695" wp14:editId="625FF39C">
                  <wp:simplePos x="0" y="0"/>
                  <wp:positionH relativeFrom="column">
                    <wp:posOffset>318135</wp:posOffset>
                  </wp:positionH>
                  <wp:positionV relativeFrom="paragraph">
                    <wp:posOffset>6350</wp:posOffset>
                  </wp:positionV>
                  <wp:extent cx="365125" cy="351155"/>
                  <wp:effectExtent l="0" t="0" r="0" b="0"/>
                  <wp:wrapSquare wrapText="bothSides"/>
                  <wp:docPr id="211460701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07014" name="Picture 7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65125" cy="35115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04320" behindDoc="0" locked="0" layoutInCell="1" allowOverlap="1" wp14:anchorId="2849C827" wp14:editId="38A8DE01">
                  <wp:simplePos x="0" y="0"/>
                  <wp:positionH relativeFrom="column">
                    <wp:posOffset>708025</wp:posOffset>
                  </wp:positionH>
                  <wp:positionV relativeFrom="paragraph">
                    <wp:posOffset>0</wp:posOffset>
                  </wp:positionV>
                  <wp:extent cx="381635" cy="373380"/>
                  <wp:effectExtent l="0" t="0" r="0" b="7620"/>
                  <wp:wrapSquare wrapText="bothSides"/>
                  <wp:docPr id="2074742702"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42702" name="Picture 7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1635"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01248" behindDoc="0" locked="0" layoutInCell="1" allowOverlap="1" wp14:anchorId="31905896" wp14:editId="0B31F56A">
                  <wp:simplePos x="0" y="0"/>
                  <wp:positionH relativeFrom="page">
                    <wp:posOffset>0</wp:posOffset>
                  </wp:positionH>
                  <wp:positionV relativeFrom="page">
                    <wp:posOffset>395605</wp:posOffset>
                  </wp:positionV>
                  <wp:extent cx="356235" cy="373380"/>
                  <wp:effectExtent l="0" t="0" r="5715" b="7620"/>
                  <wp:wrapSquare wrapText="bothSides"/>
                  <wp:docPr id="9749657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6578"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6235" cy="373380"/>
                          </a:xfrm>
                          <a:prstGeom prst="rect">
                            <a:avLst/>
                          </a:prstGeom>
                          <a:noFill/>
                        </pic:spPr>
                      </pic:pic>
                    </a:graphicData>
                  </a:graphic>
                  <wp14:sizeRelH relativeFrom="margin">
                    <wp14:pctWidth>0</wp14:pctWidth>
                  </wp14:sizeRelH>
                  <wp14:sizeRelV relativeFrom="margin">
                    <wp14:pctHeight>0</wp14:pctHeight>
                  </wp14:sizeRelV>
                </wp:anchor>
              </w:drawing>
            </w:r>
            <w:r w:rsidRPr="00EF2F18">
              <w:rPr>
                <w:rFonts w:cs="Times New Roman"/>
                <w:noProof/>
                <w:sz w:val="22"/>
                <w:lang w:val="sr-Cyrl-RS" w:eastAsia="sr-Cyrl-RS"/>
              </w:rPr>
              <w:drawing>
                <wp:anchor distT="0" distB="0" distL="114300" distR="114300" simplePos="0" relativeHeight="251703296" behindDoc="0" locked="0" layoutInCell="1" allowOverlap="1" wp14:anchorId="09A332DC" wp14:editId="2C750276">
                  <wp:simplePos x="0" y="0"/>
                  <wp:positionH relativeFrom="column">
                    <wp:posOffset>-65405</wp:posOffset>
                  </wp:positionH>
                  <wp:positionV relativeFrom="paragraph">
                    <wp:posOffset>1905</wp:posOffset>
                  </wp:positionV>
                  <wp:extent cx="367665" cy="373380"/>
                  <wp:effectExtent l="0" t="0" r="0" b="7620"/>
                  <wp:wrapSquare wrapText="bothSides"/>
                  <wp:docPr id="150975565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755656"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7665" cy="373380"/>
                          </a:xfrm>
                          <a:prstGeom prst="rect">
                            <a:avLst/>
                          </a:prstGeom>
                          <a:noFill/>
                        </pic:spPr>
                      </pic:pic>
                    </a:graphicData>
                  </a:graphic>
                  <wp14:sizeRelH relativeFrom="page">
                    <wp14:pctWidth>0</wp14:pctWidth>
                  </wp14:sizeRelH>
                  <wp14:sizeRelV relativeFrom="page">
                    <wp14:pctHeight>0</wp14:pctHeight>
                  </wp14:sizeRelV>
                </wp:anchor>
              </w:drawing>
            </w:r>
          </w:p>
          <w:p w14:paraId="31CD1D0D"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(4.7)</w:t>
            </w:r>
          </w:p>
          <w:p w14:paraId="24E05663" w14:textId="4DFA72C9"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700224" behindDoc="0" locked="0" layoutInCell="1" allowOverlap="1" wp14:anchorId="54E2D685" wp14:editId="1E2CC43B">
                  <wp:simplePos x="0" y="0"/>
                  <wp:positionH relativeFrom="column">
                    <wp:posOffset>1102360</wp:posOffset>
                  </wp:positionH>
                  <wp:positionV relativeFrom="paragraph">
                    <wp:posOffset>109855</wp:posOffset>
                  </wp:positionV>
                  <wp:extent cx="378460" cy="373380"/>
                  <wp:effectExtent l="0" t="0" r="2540" b="7620"/>
                  <wp:wrapSquare wrapText="bothSides"/>
                  <wp:docPr id="151558926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89267" name="Picture 7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78460"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99200" behindDoc="0" locked="0" layoutInCell="1" allowOverlap="1" wp14:anchorId="1D4C99CA" wp14:editId="39396869">
                  <wp:simplePos x="0" y="0"/>
                  <wp:positionH relativeFrom="column">
                    <wp:posOffset>710565</wp:posOffset>
                  </wp:positionH>
                  <wp:positionV relativeFrom="paragraph">
                    <wp:posOffset>97155</wp:posOffset>
                  </wp:positionV>
                  <wp:extent cx="381000" cy="373380"/>
                  <wp:effectExtent l="0" t="0" r="0" b="7620"/>
                  <wp:wrapSquare wrapText="bothSides"/>
                  <wp:docPr id="45084334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43342" name="Picture 6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1000" cy="37338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702272" behindDoc="0" locked="0" layoutInCell="1" allowOverlap="1" wp14:anchorId="1EB49C52" wp14:editId="7B5C9D31">
                  <wp:simplePos x="0" y="0"/>
                  <wp:positionH relativeFrom="column">
                    <wp:posOffset>308610</wp:posOffset>
                  </wp:positionH>
                  <wp:positionV relativeFrom="paragraph">
                    <wp:posOffset>98425</wp:posOffset>
                  </wp:positionV>
                  <wp:extent cx="390525" cy="365760"/>
                  <wp:effectExtent l="0" t="0" r="9525" b="0"/>
                  <wp:wrapSquare wrapText="bothSides"/>
                  <wp:docPr id="187436209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62096" name="Picture 6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0525" cy="365760"/>
                          </a:xfrm>
                          <a:prstGeom prst="rect">
                            <a:avLst/>
                          </a:prstGeom>
                          <a:noFill/>
                        </pic:spPr>
                      </pic:pic>
                    </a:graphicData>
                  </a:graphic>
                  <wp14:sizeRelH relativeFrom="page">
                    <wp14:pctWidth>0</wp14:pctWidth>
                  </wp14:sizeRelH>
                  <wp14:sizeRelV relativeFrom="page">
                    <wp14:pctHeight>0</wp14:pctHeight>
                  </wp14:sizeRelV>
                </wp:anchor>
              </w:drawing>
            </w:r>
          </w:p>
          <w:p w14:paraId="4D5EE590"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(13.3)</w:t>
            </w:r>
          </w:p>
        </w:tc>
      </w:tr>
      <w:tr w:rsidR="00D25B43" w:rsidRPr="00EF2F18" w14:paraId="2C6B1060"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3B5ED9A5"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40D05A52"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6.3: Развој заједничког система за праћење квалитета чинилаца животне средине и утицаја климатских промена</w:t>
            </w:r>
          </w:p>
        </w:tc>
        <w:tc>
          <w:tcPr>
            <w:tcW w:w="3496" w:type="dxa"/>
            <w:tcBorders>
              <w:top w:val="single" w:sz="4" w:space="0" w:color="auto"/>
              <w:left w:val="single" w:sz="4" w:space="0" w:color="auto"/>
              <w:bottom w:val="single" w:sz="4" w:space="0" w:color="auto"/>
              <w:right w:val="single" w:sz="4" w:space="0" w:color="auto"/>
            </w:tcBorders>
          </w:tcPr>
          <w:p w14:paraId="1425CB4A" w14:textId="26FFDCA7"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98176" behindDoc="0" locked="0" layoutInCell="1" allowOverlap="1" wp14:anchorId="11DDC9A3" wp14:editId="3809FE92">
                  <wp:simplePos x="0" y="0"/>
                  <wp:positionH relativeFrom="column">
                    <wp:posOffset>364490</wp:posOffset>
                  </wp:positionH>
                  <wp:positionV relativeFrom="paragraph">
                    <wp:posOffset>22860</wp:posOffset>
                  </wp:positionV>
                  <wp:extent cx="397510" cy="381635"/>
                  <wp:effectExtent l="0" t="0" r="2540" b="0"/>
                  <wp:wrapSquare wrapText="bothSides"/>
                  <wp:docPr id="57338747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87479" name="Picture 6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7510" cy="38163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97152" behindDoc="0" locked="0" layoutInCell="1" allowOverlap="1" wp14:anchorId="048D2F83" wp14:editId="7A35EEFA">
                  <wp:simplePos x="0" y="0"/>
                  <wp:positionH relativeFrom="page">
                    <wp:posOffset>16510</wp:posOffset>
                  </wp:positionH>
                  <wp:positionV relativeFrom="page">
                    <wp:posOffset>23495</wp:posOffset>
                  </wp:positionV>
                  <wp:extent cx="389255" cy="381635"/>
                  <wp:effectExtent l="0" t="0" r="0" b="0"/>
                  <wp:wrapSquare wrapText="bothSides"/>
                  <wp:docPr id="32871290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9255" cy="381635"/>
                          </a:xfrm>
                          <a:prstGeom prst="rect">
                            <a:avLst/>
                          </a:prstGeom>
                          <a:noFill/>
                        </pic:spPr>
                      </pic:pic>
                    </a:graphicData>
                  </a:graphic>
                  <wp14:sizeRelH relativeFrom="margin">
                    <wp14:pctWidth>0</wp14:pctWidth>
                  </wp14:sizeRelH>
                  <wp14:sizeRelV relativeFrom="margin">
                    <wp14:pctHeight>0</wp14:pctHeight>
                  </wp14:sizeRelV>
                </wp:anchor>
              </w:drawing>
            </w:r>
          </w:p>
          <w:p w14:paraId="08F4A503" w14:textId="77777777" w:rsidR="00D25B43" w:rsidRPr="00EF2F18" w:rsidRDefault="00D25B43" w:rsidP="00D25B43">
            <w:pPr>
              <w:spacing w:after="0"/>
              <w:jc w:val="both"/>
              <w:rPr>
                <w:rFonts w:cs="Times New Roman"/>
                <w:sz w:val="22"/>
                <w:lang w:val="sr-Cyrl-RS"/>
              </w:rPr>
            </w:pPr>
          </w:p>
        </w:tc>
      </w:tr>
      <w:tr w:rsidR="00D25B43" w:rsidRPr="00EF2F18" w14:paraId="669E02AE" w14:textId="77777777" w:rsidTr="008F5583">
        <w:tc>
          <w:tcPr>
            <w:tcW w:w="2160" w:type="dxa"/>
            <w:vMerge/>
            <w:tcBorders>
              <w:top w:val="single" w:sz="4" w:space="0" w:color="auto"/>
              <w:left w:val="single" w:sz="4" w:space="0" w:color="auto"/>
              <w:bottom w:val="single" w:sz="4" w:space="0" w:color="auto"/>
              <w:right w:val="single" w:sz="4" w:space="0" w:color="auto"/>
            </w:tcBorders>
            <w:vAlign w:val="center"/>
            <w:hideMark/>
          </w:tcPr>
          <w:p w14:paraId="225FF3C4" w14:textId="77777777" w:rsidR="00D25B43" w:rsidRPr="00EF2F18" w:rsidRDefault="00D25B43" w:rsidP="008F5583">
            <w:pPr>
              <w:spacing w:after="0"/>
              <w:rPr>
                <w:rFonts w:cs="Times New Roman"/>
                <w:sz w:val="22"/>
                <w:lang w:val="sr-Cyrl-RS"/>
              </w:rPr>
            </w:pPr>
          </w:p>
        </w:tc>
        <w:tc>
          <w:tcPr>
            <w:tcW w:w="3794" w:type="dxa"/>
            <w:tcBorders>
              <w:top w:val="single" w:sz="4" w:space="0" w:color="auto"/>
              <w:left w:val="single" w:sz="4" w:space="0" w:color="auto"/>
              <w:bottom w:val="single" w:sz="4" w:space="0" w:color="auto"/>
              <w:right w:val="single" w:sz="4" w:space="0" w:color="auto"/>
            </w:tcBorders>
            <w:hideMark/>
          </w:tcPr>
          <w:p w14:paraId="56176538" w14:textId="77777777" w:rsidR="00D25B43" w:rsidRPr="00EF2F18" w:rsidRDefault="00D25B43" w:rsidP="008F5583">
            <w:pPr>
              <w:spacing w:after="0"/>
              <w:rPr>
                <w:rFonts w:cs="Times New Roman"/>
                <w:sz w:val="22"/>
                <w:lang w:val="sr-Cyrl-RS"/>
              </w:rPr>
            </w:pPr>
            <w:r w:rsidRPr="00EF2F18">
              <w:rPr>
                <w:rFonts w:cs="Times New Roman"/>
                <w:sz w:val="22"/>
                <w:lang w:val="sr-Cyrl-RS"/>
              </w:rPr>
              <w:t>Посебан циљ 6.4: Унапређење система финансирања заштите животне средине</w:t>
            </w:r>
          </w:p>
        </w:tc>
        <w:tc>
          <w:tcPr>
            <w:tcW w:w="3496" w:type="dxa"/>
            <w:tcBorders>
              <w:top w:val="single" w:sz="4" w:space="0" w:color="auto"/>
              <w:left w:val="single" w:sz="4" w:space="0" w:color="auto"/>
              <w:bottom w:val="single" w:sz="4" w:space="0" w:color="auto"/>
              <w:right w:val="single" w:sz="4" w:space="0" w:color="auto"/>
            </w:tcBorders>
          </w:tcPr>
          <w:p w14:paraId="5A92E5F7" w14:textId="17BA8C22" w:rsidR="00D25B43" w:rsidRPr="00EF2F18" w:rsidRDefault="00D25B43" w:rsidP="00D25B43">
            <w:pPr>
              <w:spacing w:after="0"/>
              <w:jc w:val="both"/>
              <w:rPr>
                <w:rFonts w:cs="Times New Roman"/>
                <w:sz w:val="22"/>
                <w:lang w:val="sr-Cyrl-RS"/>
              </w:rPr>
            </w:pPr>
            <w:r w:rsidRPr="00EF2F18">
              <w:rPr>
                <w:rFonts w:cs="Times New Roman"/>
                <w:noProof/>
                <w:sz w:val="22"/>
                <w:lang w:val="sr-Cyrl-RS" w:eastAsia="sr-Cyrl-RS"/>
              </w:rPr>
              <w:drawing>
                <wp:anchor distT="0" distB="0" distL="114300" distR="114300" simplePos="0" relativeHeight="251696128" behindDoc="0" locked="0" layoutInCell="1" allowOverlap="1" wp14:anchorId="37645808" wp14:editId="778CFEC1">
                  <wp:simplePos x="0" y="0"/>
                  <wp:positionH relativeFrom="column">
                    <wp:posOffset>1208405</wp:posOffset>
                  </wp:positionH>
                  <wp:positionV relativeFrom="paragraph">
                    <wp:posOffset>8890</wp:posOffset>
                  </wp:positionV>
                  <wp:extent cx="421005" cy="389255"/>
                  <wp:effectExtent l="0" t="0" r="0" b="0"/>
                  <wp:wrapSquare wrapText="bothSides"/>
                  <wp:docPr id="168434141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41418"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21005" cy="38925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95104" behindDoc="0" locked="0" layoutInCell="1" allowOverlap="1" wp14:anchorId="1F920187" wp14:editId="76729B15">
                  <wp:simplePos x="0" y="0"/>
                  <wp:positionH relativeFrom="column">
                    <wp:posOffset>793115</wp:posOffset>
                  </wp:positionH>
                  <wp:positionV relativeFrom="paragraph">
                    <wp:posOffset>0</wp:posOffset>
                  </wp:positionV>
                  <wp:extent cx="421005" cy="403860"/>
                  <wp:effectExtent l="0" t="0" r="0" b="0"/>
                  <wp:wrapSquare wrapText="bothSides"/>
                  <wp:docPr id="937108428" name="Picture 64" descr="A green recycle symbol with arrow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08428" name="Picture 64" descr="A green recycle symbol with arrows and trees&#10;&#10;Description automatically generated"/>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21005" cy="403860"/>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94080" behindDoc="0" locked="0" layoutInCell="1" allowOverlap="1" wp14:anchorId="3F514A9F" wp14:editId="6B1836F0">
                  <wp:simplePos x="0" y="0"/>
                  <wp:positionH relativeFrom="column">
                    <wp:posOffset>360045</wp:posOffset>
                  </wp:positionH>
                  <wp:positionV relativeFrom="paragraph">
                    <wp:posOffset>0</wp:posOffset>
                  </wp:positionV>
                  <wp:extent cx="414020" cy="395605"/>
                  <wp:effectExtent l="0" t="0" r="5080" b="4445"/>
                  <wp:wrapSquare wrapText="bothSides"/>
                  <wp:docPr id="1897284980" name="Picture 63" descr="A green sign with white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284980" name="Picture 63" descr="A green sign with white symbols&#10;&#10;Description automatically generated"/>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14020" cy="395605"/>
                          </a:xfrm>
                          <a:prstGeom prst="rect">
                            <a:avLst/>
                          </a:prstGeom>
                          <a:noFill/>
                        </pic:spPr>
                      </pic:pic>
                    </a:graphicData>
                  </a:graphic>
                  <wp14:sizeRelH relativeFrom="page">
                    <wp14:pctWidth>0</wp14:pctWidth>
                  </wp14:sizeRelH>
                  <wp14:sizeRelV relativeFrom="page">
                    <wp14:pctHeight>0</wp14:pctHeight>
                  </wp14:sizeRelV>
                </wp:anchor>
              </w:drawing>
            </w:r>
            <w:r w:rsidRPr="00EF2F18">
              <w:rPr>
                <w:rFonts w:cs="Times New Roman"/>
                <w:noProof/>
                <w:sz w:val="22"/>
                <w:lang w:val="sr-Cyrl-RS" w:eastAsia="sr-Cyrl-RS"/>
              </w:rPr>
              <w:drawing>
                <wp:anchor distT="0" distB="0" distL="114300" distR="114300" simplePos="0" relativeHeight="251693056" behindDoc="0" locked="0" layoutInCell="1" allowOverlap="1" wp14:anchorId="2CA8808B" wp14:editId="58C4D953">
                  <wp:simplePos x="0" y="0"/>
                  <wp:positionH relativeFrom="column">
                    <wp:posOffset>-64770</wp:posOffset>
                  </wp:positionH>
                  <wp:positionV relativeFrom="paragraph">
                    <wp:posOffset>635</wp:posOffset>
                  </wp:positionV>
                  <wp:extent cx="419100" cy="397510"/>
                  <wp:effectExtent l="0" t="0" r="0" b="2540"/>
                  <wp:wrapSquare wrapText="bothSides"/>
                  <wp:docPr id="1159408751" name="Picture 62" descr="A green square with white text and a tree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08751" name="Picture 62" descr="A green square with white text and a tree and birds&#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19100" cy="397510"/>
                          </a:xfrm>
                          <a:prstGeom prst="rect">
                            <a:avLst/>
                          </a:prstGeom>
                          <a:noFill/>
                        </pic:spPr>
                      </pic:pic>
                    </a:graphicData>
                  </a:graphic>
                  <wp14:sizeRelH relativeFrom="page">
                    <wp14:pctWidth>0</wp14:pctWidth>
                  </wp14:sizeRelH>
                  <wp14:sizeRelV relativeFrom="page">
                    <wp14:pctHeight>0</wp14:pctHeight>
                  </wp14:sizeRelV>
                </wp:anchor>
              </w:drawing>
            </w:r>
          </w:p>
          <w:p w14:paraId="508D1FA7" w14:textId="77777777" w:rsidR="00D25B43" w:rsidRPr="00EF2F18" w:rsidRDefault="00D25B43" w:rsidP="00D25B43">
            <w:pPr>
              <w:spacing w:after="0"/>
              <w:jc w:val="both"/>
              <w:rPr>
                <w:rFonts w:cs="Times New Roman"/>
                <w:sz w:val="22"/>
                <w:lang w:val="sr-Cyrl-RS"/>
              </w:rPr>
            </w:pPr>
          </w:p>
          <w:p w14:paraId="51042B39" w14:textId="77777777" w:rsidR="00D25B43" w:rsidRPr="00EF2F18" w:rsidRDefault="00D25B43" w:rsidP="00D25B43">
            <w:pPr>
              <w:spacing w:after="0"/>
              <w:jc w:val="both"/>
              <w:rPr>
                <w:rFonts w:cs="Times New Roman"/>
                <w:sz w:val="22"/>
                <w:lang w:val="sr-Cyrl-RS"/>
              </w:rPr>
            </w:pPr>
          </w:p>
          <w:p w14:paraId="27FB1694" w14:textId="77777777" w:rsidR="00D25B43" w:rsidRPr="00EF2F18" w:rsidRDefault="00D25B43" w:rsidP="00D25B43">
            <w:pPr>
              <w:spacing w:after="0"/>
              <w:jc w:val="both"/>
              <w:rPr>
                <w:rFonts w:cs="Times New Roman"/>
                <w:sz w:val="22"/>
                <w:lang w:val="sr-Cyrl-RS"/>
              </w:rPr>
            </w:pPr>
            <w:r w:rsidRPr="00EF2F18">
              <w:rPr>
                <w:rFonts w:cs="Times New Roman"/>
                <w:sz w:val="22"/>
                <w:lang w:val="sr-Cyrl-RS"/>
              </w:rPr>
              <w:t>(15а, 15б)</w:t>
            </w:r>
          </w:p>
        </w:tc>
      </w:tr>
    </w:tbl>
    <w:p w14:paraId="651F7B23" w14:textId="77777777" w:rsidR="00D25B43" w:rsidRPr="00EF2F18" w:rsidRDefault="00D25B43" w:rsidP="008F5583">
      <w:pPr>
        <w:spacing w:after="0"/>
        <w:jc w:val="both"/>
        <w:rPr>
          <w:rFonts w:cs="Times New Roman"/>
          <w:sz w:val="22"/>
          <w:lang w:val="sr-Cyrl-RS"/>
        </w:rPr>
      </w:pPr>
    </w:p>
    <w:p w14:paraId="01D2F2F5" w14:textId="58E94B01" w:rsidR="00FB7412" w:rsidRPr="00EF2F18" w:rsidRDefault="00FB7412" w:rsidP="00FB7412">
      <w:pPr>
        <w:pStyle w:val="Default"/>
        <w:spacing w:after="120"/>
        <w:rPr>
          <w:rFonts w:ascii="Times New Roman" w:hAnsi="Times New Roman" w:cs="Times New Roman"/>
          <w:sz w:val="22"/>
          <w:szCs w:val="22"/>
          <w:lang w:val="sr-Cyrl-RS"/>
        </w:rPr>
      </w:pPr>
    </w:p>
    <w:p w14:paraId="14BF45CC" w14:textId="359A52AC" w:rsidR="00FB7412" w:rsidRPr="00EF2F18" w:rsidRDefault="00FB7412" w:rsidP="00780F42">
      <w:pPr>
        <w:pStyle w:val="Heading2"/>
        <w:numPr>
          <w:ilvl w:val="1"/>
          <w:numId w:val="2"/>
        </w:numPr>
        <w:ind w:left="1440"/>
        <w:jc w:val="center"/>
        <w:rPr>
          <w:rFonts w:cs="Times New Roman"/>
          <w:sz w:val="22"/>
          <w:szCs w:val="22"/>
          <w:lang w:val="sr-Cyrl-RS"/>
        </w:rPr>
      </w:pPr>
      <w:bookmarkStart w:id="137" w:name="_Toc158307743"/>
      <w:r w:rsidRPr="00EF2F18">
        <w:rPr>
          <w:rFonts w:cs="Times New Roman"/>
          <w:sz w:val="22"/>
          <w:szCs w:val="22"/>
          <w:lang w:val="sr-Cyrl-RS"/>
        </w:rPr>
        <w:t>Трошкови</w:t>
      </w:r>
      <w:r w:rsidR="009F5F53" w:rsidRPr="00EF2F18">
        <w:rPr>
          <w:rFonts w:cs="Times New Roman"/>
          <w:sz w:val="22"/>
          <w:szCs w:val="22"/>
          <w:lang w:val="sr-Cyrl-RS"/>
        </w:rPr>
        <w:t xml:space="preserve"> и</w:t>
      </w:r>
      <w:r w:rsidRPr="00EF2F18">
        <w:rPr>
          <w:rFonts w:cs="Times New Roman"/>
          <w:sz w:val="22"/>
          <w:szCs w:val="22"/>
          <w:lang w:val="sr-Cyrl-RS"/>
        </w:rPr>
        <w:t xml:space="preserve"> финансирање </w:t>
      </w:r>
      <w:r w:rsidR="00091425" w:rsidRPr="00EF2F18">
        <w:rPr>
          <w:rFonts w:cs="Times New Roman"/>
          <w:sz w:val="22"/>
          <w:szCs w:val="22"/>
          <w:lang w:val="sr-Cyrl-RS"/>
        </w:rPr>
        <w:t>Стратегије</w:t>
      </w:r>
      <w:r w:rsidR="00FD39A5" w:rsidRPr="00EF2F18">
        <w:rPr>
          <w:rFonts w:cs="Times New Roman"/>
          <w:sz w:val="22"/>
          <w:szCs w:val="22"/>
          <w:lang w:val="sr-Cyrl-RS"/>
        </w:rPr>
        <w:t xml:space="preserve"> </w:t>
      </w:r>
      <w:r w:rsidRPr="00EF2F18">
        <w:rPr>
          <w:rFonts w:cs="Times New Roman"/>
          <w:sz w:val="22"/>
          <w:szCs w:val="22"/>
          <w:lang w:val="sr-Cyrl-RS"/>
        </w:rPr>
        <w:t>до 203</w:t>
      </w:r>
      <w:r w:rsidR="00D66150" w:rsidRPr="00EF2F18">
        <w:rPr>
          <w:rFonts w:cs="Times New Roman"/>
          <w:sz w:val="22"/>
          <w:szCs w:val="22"/>
          <w:lang w:val="sr-Cyrl-RS"/>
        </w:rPr>
        <w:t>3</w:t>
      </w:r>
      <w:r w:rsidRPr="00EF2F18">
        <w:rPr>
          <w:rFonts w:cs="Times New Roman"/>
          <w:sz w:val="22"/>
          <w:szCs w:val="22"/>
          <w:lang w:val="sr-Cyrl-RS"/>
        </w:rPr>
        <w:t>. године</w:t>
      </w:r>
      <w:r w:rsidR="004A3D95" w:rsidRPr="00EF2F18">
        <w:rPr>
          <w:rFonts w:cs="Times New Roman"/>
          <w:sz w:val="22"/>
          <w:szCs w:val="22"/>
          <w:lang w:val="sr-Cyrl-RS"/>
        </w:rPr>
        <w:t xml:space="preserve"> </w:t>
      </w:r>
      <w:r w:rsidR="00FD39A5" w:rsidRPr="00EF2F18">
        <w:rPr>
          <w:rFonts w:cs="Times New Roman"/>
          <w:sz w:val="22"/>
          <w:szCs w:val="22"/>
          <w:lang w:val="sr-Cyrl-RS"/>
        </w:rPr>
        <w:t>и анализа финансијских ефеката</w:t>
      </w:r>
      <w:bookmarkEnd w:id="137"/>
    </w:p>
    <w:p w14:paraId="08E55DB6" w14:textId="55C7AC52" w:rsidR="00FB7412" w:rsidRPr="00EF2F18" w:rsidRDefault="00281C40" w:rsidP="004C1BB3">
      <w:pPr>
        <w:pStyle w:val="Heading3"/>
        <w:numPr>
          <w:ilvl w:val="2"/>
          <w:numId w:val="2"/>
        </w:numPr>
        <w:ind w:hanging="360"/>
        <w:rPr>
          <w:rFonts w:cs="Times New Roman"/>
          <w:sz w:val="22"/>
          <w:szCs w:val="22"/>
          <w:lang w:val="sr-Cyrl-RS"/>
        </w:rPr>
      </w:pPr>
      <w:bookmarkStart w:id="138" w:name="_Toc158307744"/>
      <w:r w:rsidRPr="00EF2F18">
        <w:rPr>
          <w:rFonts w:cs="Times New Roman"/>
          <w:sz w:val="22"/>
          <w:szCs w:val="22"/>
          <w:lang w:val="sr-Cyrl-RS"/>
        </w:rPr>
        <w:t>Пројекције т</w:t>
      </w:r>
      <w:r w:rsidR="00FB7412" w:rsidRPr="00EF2F18">
        <w:rPr>
          <w:rFonts w:cs="Times New Roman"/>
          <w:sz w:val="22"/>
          <w:szCs w:val="22"/>
          <w:lang w:val="sr-Cyrl-RS"/>
        </w:rPr>
        <w:t>рошков</w:t>
      </w:r>
      <w:r w:rsidRPr="00EF2F18">
        <w:rPr>
          <w:rFonts w:cs="Times New Roman"/>
          <w:sz w:val="22"/>
          <w:szCs w:val="22"/>
          <w:lang w:val="sr-Cyrl-RS"/>
        </w:rPr>
        <w:t>а</w:t>
      </w:r>
      <w:r w:rsidR="00405F5B" w:rsidRPr="00EF2F18">
        <w:rPr>
          <w:rFonts w:cs="Times New Roman"/>
          <w:sz w:val="22"/>
          <w:szCs w:val="22"/>
          <w:lang w:val="sr-Cyrl-RS"/>
        </w:rPr>
        <w:t xml:space="preserve"> за</w:t>
      </w:r>
      <w:r w:rsidR="00FB7412" w:rsidRPr="00EF2F18">
        <w:rPr>
          <w:rFonts w:cs="Times New Roman"/>
          <w:sz w:val="22"/>
          <w:szCs w:val="22"/>
          <w:lang w:val="sr-Cyrl-RS"/>
        </w:rPr>
        <w:t xml:space="preserve"> спровођењ</w:t>
      </w:r>
      <w:r w:rsidR="00405F5B" w:rsidRPr="00EF2F18">
        <w:rPr>
          <w:rFonts w:cs="Times New Roman"/>
          <w:sz w:val="22"/>
          <w:szCs w:val="22"/>
          <w:lang w:val="sr-Cyrl-RS"/>
        </w:rPr>
        <w:t>е</w:t>
      </w:r>
      <w:r w:rsidR="004A3D95" w:rsidRPr="00EF2F18">
        <w:rPr>
          <w:rFonts w:cs="Times New Roman"/>
          <w:sz w:val="22"/>
          <w:szCs w:val="22"/>
          <w:lang w:val="sr-Cyrl-RS"/>
        </w:rPr>
        <w:t xml:space="preserve"> </w:t>
      </w:r>
      <w:r w:rsidR="00091425" w:rsidRPr="00EF2F18">
        <w:rPr>
          <w:rFonts w:cs="Times New Roman"/>
          <w:sz w:val="22"/>
          <w:szCs w:val="22"/>
          <w:lang w:val="sr-Cyrl-RS"/>
        </w:rPr>
        <w:t>Стратегије</w:t>
      </w:r>
      <w:bookmarkEnd w:id="138"/>
    </w:p>
    <w:p w14:paraId="096677DA" w14:textId="0FA6DE38" w:rsidR="005F61B8" w:rsidRPr="00EF2F18" w:rsidRDefault="00474641" w:rsidP="005F61B8">
      <w:pPr>
        <w:spacing w:after="0"/>
        <w:ind w:firstLine="720"/>
        <w:jc w:val="both"/>
        <w:rPr>
          <w:rFonts w:cs="Times New Roman"/>
          <w:sz w:val="22"/>
          <w:lang w:val="sr-Cyrl-RS"/>
        </w:rPr>
      </w:pPr>
      <w:r w:rsidRPr="00EF2F18">
        <w:rPr>
          <w:rFonts w:cs="Times New Roman"/>
          <w:sz w:val="22"/>
          <w:lang w:val="sr-Cyrl-RS"/>
        </w:rPr>
        <w:t xml:space="preserve">Процењени оквирни трошкови за остваривање циљева Стратегије за период </w:t>
      </w:r>
      <w:r w:rsidR="0099367E" w:rsidRPr="00EF2F18">
        <w:rPr>
          <w:rFonts w:cs="Times New Roman"/>
          <w:sz w:val="22"/>
          <w:lang w:val="sr-Cyrl-RS"/>
        </w:rPr>
        <w:t xml:space="preserve">до </w:t>
      </w:r>
      <w:r w:rsidRPr="00EF2F18">
        <w:rPr>
          <w:rFonts w:cs="Times New Roman"/>
          <w:sz w:val="22"/>
          <w:lang w:val="sr-Cyrl-RS"/>
        </w:rPr>
        <w:t xml:space="preserve">2033. </w:t>
      </w:r>
      <w:r w:rsidR="0099367E" w:rsidRPr="00EF2F18">
        <w:rPr>
          <w:rFonts w:cs="Times New Roman"/>
          <w:sz w:val="22"/>
          <w:lang w:val="sr-Cyrl-RS"/>
        </w:rPr>
        <w:t xml:space="preserve">године </w:t>
      </w:r>
      <w:r w:rsidRPr="00EF2F18">
        <w:rPr>
          <w:rFonts w:cs="Times New Roman"/>
          <w:sz w:val="22"/>
          <w:lang w:val="sr-Cyrl-RS"/>
        </w:rPr>
        <w:t>су дати на основу већ утврђених трошкова докумената јавних политика чијим спровођењем се остварују циљеви Стратегије и трошкова за спровођење кључних мера докумената јавних политика које нису већ утврђене у тим документима јавних политика. За процену трошкова су коришћени и подаци дати у Специфичним плановима имплементације одговарајућих директива ЕУ које су релевантне за Стратегију</w:t>
      </w:r>
      <w:r w:rsidR="005F61B8" w:rsidRPr="00EF2F18">
        <w:rPr>
          <w:rFonts w:cs="Times New Roman"/>
          <w:sz w:val="22"/>
          <w:lang w:val="sr-Cyrl-RS"/>
        </w:rPr>
        <w:t>.</w:t>
      </w:r>
    </w:p>
    <w:p w14:paraId="535B5444" w14:textId="77777777" w:rsidR="00EB48B8" w:rsidRPr="00EF2F18" w:rsidRDefault="00EB48B8" w:rsidP="00EB48B8">
      <w:pPr>
        <w:spacing w:after="0"/>
        <w:ind w:firstLine="720"/>
        <w:jc w:val="both"/>
        <w:rPr>
          <w:rFonts w:cs="Times New Roman"/>
          <w:sz w:val="22"/>
          <w:lang w:val="sr-Cyrl-RS"/>
        </w:rPr>
      </w:pPr>
      <w:r w:rsidRPr="00EF2F18">
        <w:rPr>
          <w:rFonts w:cs="Times New Roman"/>
          <w:sz w:val="22"/>
          <w:lang w:val="sr-Cyrl-RS"/>
        </w:rPr>
        <w:t>Све новчане вредности које су преузете из постојећих докумената су уколико је постојала потреба кориговане у складу са променом цена (званичном стопом инфлације), тако да су износи наведени у овој стратегији дати у сталним ценама из 2024. године.</w:t>
      </w:r>
    </w:p>
    <w:p w14:paraId="76E58C0B" w14:textId="1B29FAD6" w:rsidR="00474641" w:rsidRPr="00EF2F18" w:rsidRDefault="00474641" w:rsidP="00474641">
      <w:pPr>
        <w:spacing w:after="0"/>
        <w:ind w:firstLine="720"/>
        <w:jc w:val="both"/>
        <w:rPr>
          <w:rFonts w:cs="Times New Roman"/>
          <w:sz w:val="22"/>
          <w:lang w:val="sr-Cyrl-RS" w:eastAsia="en-GB"/>
        </w:rPr>
      </w:pPr>
      <w:r w:rsidRPr="00EF2F18">
        <w:rPr>
          <w:rFonts w:cs="Times New Roman"/>
          <w:sz w:val="22"/>
          <w:lang w:val="sr-Cyrl-RS" w:eastAsia="en-GB"/>
        </w:rPr>
        <w:t>Трошкови који се односе на декарбонизацију и климатске промене су израчунати на основу података наведених у Стратегији нискоугљеничног развоја Републике Србије, Интегрисано</w:t>
      </w:r>
      <w:r w:rsidR="00311726" w:rsidRPr="00EF2F18">
        <w:rPr>
          <w:rFonts w:cs="Times New Roman"/>
          <w:sz w:val="22"/>
          <w:lang w:val="sr-Cyrl-RS" w:eastAsia="en-GB"/>
        </w:rPr>
        <w:t>м</w:t>
      </w:r>
      <w:r w:rsidRPr="00EF2F18">
        <w:rPr>
          <w:rFonts w:cs="Times New Roman"/>
          <w:sz w:val="22"/>
          <w:lang w:val="sr-Cyrl-RS" w:eastAsia="en-GB"/>
        </w:rPr>
        <w:t xml:space="preserve"> национално</w:t>
      </w:r>
      <w:r w:rsidR="00311726" w:rsidRPr="00EF2F18">
        <w:rPr>
          <w:rFonts w:cs="Times New Roman"/>
          <w:sz w:val="22"/>
          <w:lang w:val="sr-Cyrl-RS" w:eastAsia="en-GB"/>
        </w:rPr>
        <w:t>м</w:t>
      </w:r>
      <w:r w:rsidRPr="00EF2F18">
        <w:rPr>
          <w:rFonts w:cs="Times New Roman"/>
          <w:sz w:val="22"/>
          <w:lang w:val="sr-Cyrl-RS" w:eastAsia="en-GB"/>
        </w:rPr>
        <w:t xml:space="preserve"> енергетско</w:t>
      </w:r>
      <w:r w:rsidR="00311726" w:rsidRPr="00EF2F18">
        <w:rPr>
          <w:rFonts w:cs="Times New Roman"/>
          <w:sz w:val="22"/>
          <w:lang w:val="sr-Cyrl-RS" w:eastAsia="en-GB"/>
        </w:rPr>
        <w:t>м</w:t>
      </w:r>
      <w:r w:rsidRPr="00EF2F18">
        <w:rPr>
          <w:rFonts w:cs="Times New Roman"/>
          <w:sz w:val="22"/>
          <w:lang w:val="sr-Cyrl-RS" w:eastAsia="en-GB"/>
        </w:rPr>
        <w:t xml:space="preserve"> и климатско</w:t>
      </w:r>
      <w:r w:rsidR="00311726" w:rsidRPr="00EF2F18">
        <w:rPr>
          <w:rFonts w:cs="Times New Roman"/>
          <w:sz w:val="22"/>
          <w:lang w:val="sr-Cyrl-RS" w:eastAsia="en-GB"/>
        </w:rPr>
        <w:t>м</w:t>
      </w:r>
      <w:r w:rsidRPr="00EF2F18">
        <w:rPr>
          <w:rFonts w:cs="Times New Roman"/>
          <w:sz w:val="22"/>
          <w:lang w:val="sr-Cyrl-RS" w:eastAsia="en-GB"/>
        </w:rPr>
        <w:t xml:space="preserve"> план</w:t>
      </w:r>
      <w:r w:rsidR="00311726" w:rsidRPr="00EF2F18">
        <w:rPr>
          <w:rFonts w:cs="Times New Roman"/>
          <w:sz w:val="22"/>
          <w:lang w:val="sr-Cyrl-RS" w:eastAsia="en-GB"/>
        </w:rPr>
        <w:t>у</w:t>
      </w:r>
      <w:r w:rsidRPr="00EF2F18">
        <w:rPr>
          <w:rFonts w:cs="Times New Roman"/>
          <w:sz w:val="22"/>
          <w:lang w:val="sr-Cyrl-RS" w:eastAsia="en-GB"/>
        </w:rPr>
        <w:t xml:space="preserve"> Републике Србије за период до 2030. године са визијом до 2050. године</w:t>
      </w:r>
      <w:r w:rsidR="009B67FC" w:rsidRPr="00EF2F18">
        <w:rPr>
          <w:rFonts w:cs="Times New Roman"/>
          <w:sz w:val="22"/>
          <w:lang w:val="sr-Cyrl-RS" w:eastAsia="en-GB"/>
        </w:rPr>
        <w:t xml:space="preserve"> </w:t>
      </w:r>
      <w:r w:rsidR="00C650C1" w:rsidRPr="00EF2F18">
        <w:rPr>
          <w:rFonts w:cs="Times New Roman"/>
          <w:sz w:val="22"/>
          <w:lang w:val="sr-Cyrl-RS" w:eastAsia="en-GB"/>
        </w:rPr>
        <w:t>и</w:t>
      </w:r>
      <w:r w:rsidRPr="00EF2F18">
        <w:rPr>
          <w:rFonts w:cs="Times New Roman"/>
          <w:sz w:val="22"/>
          <w:lang w:val="sr-Cyrl-RS" w:eastAsia="en-GB"/>
        </w:rPr>
        <w:t xml:space="preserve"> Програм</w:t>
      </w:r>
      <w:r w:rsidR="00311726" w:rsidRPr="00EF2F18">
        <w:rPr>
          <w:rFonts w:cs="Times New Roman"/>
          <w:sz w:val="22"/>
          <w:lang w:val="sr-Cyrl-RS" w:eastAsia="en-GB"/>
        </w:rPr>
        <w:t>у</w:t>
      </w:r>
      <w:r w:rsidRPr="00EF2F18">
        <w:rPr>
          <w:rFonts w:cs="Times New Roman"/>
          <w:sz w:val="22"/>
          <w:lang w:val="sr-Cyrl-RS" w:eastAsia="en-GB"/>
        </w:rPr>
        <w:t xml:space="preserve"> прилагођавања на измењене климатске услове за период од 2023. до 2030. године</w:t>
      </w:r>
      <w:r w:rsidR="005C408A" w:rsidRPr="00EF2F18">
        <w:rPr>
          <w:rFonts w:cs="Times New Roman"/>
          <w:sz w:val="22"/>
          <w:lang w:val="sr-Cyrl-RS" w:eastAsia="en-GB"/>
        </w:rPr>
        <w:t>.</w:t>
      </w:r>
      <w:r w:rsidR="007D4774" w:rsidRPr="00EF2F18">
        <w:rPr>
          <w:rFonts w:cs="Times New Roman"/>
          <w:sz w:val="22"/>
          <w:lang w:val="sr-Cyrl-RS" w:eastAsia="en-GB"/>
        </w:rPr>
        <w:t xml:space="preserve"> </w:t>
      </w:r>
    </w:p>
    <w:p w14:paraId="08C7920E" w14:textId="4A7F9152" w:rsidR="00D35EEE" w:rsidRPr="00EF2F18" w:rsidRDefault="00474641" w:rsidP="00D35EEE">
      <w:pPr>
        <w:spacing w:after="0"/>
        <w:ind w:firstLine="720"/>
        <w:jc w:val="both"/>
        <w:rPr>
          <w:rFonts w:cs="Times New Roman"/>
          <w:sz w:val="22"/>
          <w:lang w:val="sr-Cyrl-RS" w:eastAsia="en-GB"/>
        </w:rPr>
      </w:pPr>
      <w:r w:rsidRPr="00EF2F18">
        <w:rPr>
          <w:rFonts w:cs="Times New Roman"/>
          <w:b/>
          <w:bCs/>
          <w:sz w:val="22"/>
          <w:lang w:val="sr-Cyrl-RS" w:eastAsia="en-GB"/>
        </w:rPr>
        <w:lastRenderedPageBreak/>
        <w:t>Укупни процењени оквирни трошкови у оквиру области декарбонизације, климе, енергетике и мобилности износе 19,09</w:t>
      </w:r>
      <w:r w:rsidR="005B17F5" w:rsidRPr="00EF2F18">
        <w:rPr>
          <w:rFonts w:cs="Times New Roman"/>
          <w:b/>
          <w:bCs/>
          <w:sz w:val="22"/>
          <w:lang w:val="sr-Cyrl-RS" w:eastAsia="en-GB"/>
        </w:rPr>
        <w:t>2</w:t>
      </w:r>
      <w:r w:rsidRPr="00EF2F18">
        <w:rPr>
          <w:rFonts w:cs="Times New Roman"/>
          <w:b/>
          <w:bCs/>
          <w:sz w:val="22"/>
          <w:lang w:val="sr-Cyrl-RS" w:eastAsia="en-GB"/>
        </w:rPr>
        <w:t xml:space="preserve"> милијарди </w:t>
      </w:r>
      <w:r w:rsidR="00637A2D" w:rsidRPr="00EF2F18">
        <w:rPr>
          <w:rFonts w:cs="Times New Roman"/>
          <w:b/>
          <w:bCs/>
          <w:sz w:val="22"/>
          <w:lang w:val="sr-Cyrl-RS" w:eastAsia="en-GB"/>
        </w:rPr>
        <w:t>ЕУР</w:t>
      </w:r>
      <w:r w:rsidRPr="00EF2F18">
        <w:rPr>
          <w:rFonts w:cs="Times New Roman"/>
          <w:b/>
          <w:bCs/>
          <w:sz w:val="22"/>
          <w:lang w:val="sr-Cyrl-RS" w:eastAsia="en-GB"/>
        </w:rPr>
        <w:t xml:space="preserve"> за период </w:t>
      </w:r>
      <w:r w:rsidR="0099367E" w:rsidRPr="00EF2F18">
        <w:rPr>
          <w:rFonts w:cs="Times New Roman"/>
          <w:b/>
          <w:bCs/>
          <w:sz w:val="22"/>
          <w:lang w:val="sr-Cyrl-RS" w:eastAsia="en-GB"/>
        </w:rPr>
        <w:t xml:space="preserve">до </w:t>
      </w:r>
      <w:r w:rsidRPr="00EF2F18">
        <w:rPr>
          <w:rFonts w:cs="Times New Roman"/>
          <w:b/>
          <w:bCs/>
          <w:sz w:val="22"/>
          <w:lang w:val="sr-Cyrl-RS" w:eastAsia="en-GB"/>
        </w:rPr>
        <w:t xml:space="preserve">2033. </w:t>
      </w:r>
      <w:r w:rsidR="0099367E" w:rsidRPr="00EF2F18">
        <w:rPr>
          <w:rFonts w:cs="Times New Roman"/>
          <w:b/>
          <w:bCs/>
          <w:sz w:val="22"/>
          <w:lang w:val="sr-Cyrl-RS" w:eastAsia="en-GB"/>
        </w:rPr>
        <w:t>године</w:t>
      </w:r>
      <w:r w:rsidRPr="00EF2F18">
        <w:rPr>
          <w:rStyle w:val="FootnoteReference"/>
          <w:rFonts w:ascii="Times New Roman" w:hAnsi="Times New Roman" w:cs="Times New Roman"/>
          <w:b/>
          <w:bCs/>
          <w:sz w:val="22"/>
          <w:lang w:val="sr-Cyrl-RS" w:eastAsia="en-GB"/>
        </w:rPr>
        <w:footnoteReference w:id="20"/>
      </w:r>
      <w:r w:rsidRPr="00EF2F18">
        <w:rPr>
          <w:rFonts w:cs="Times New Roman"/>
          <w:sz w:val="22"/>
          <w:lang w:val="sr-Cyrl-RS" w:eastAsia="en-GB"/>
        </w:rPr>
        <w:t xml:space="preserve">. </w:t>
      </w:r>
      <w:r w:rsidR="00EB48B8" w:rsidRPr="00EF2F18">
        <w:rPr>
          <w:rFonts w:cs="Times New Roman"/>
          <w:sz w:val="22"/>
          <w:lang w:val="sr-Cyrl-RS" w:eastAsia="en-GB"/>
        </w:rPr>
        <w:t xml:space="preserve">Од наведеног износа 13,398 милијарди ЕУР је предвиђено постојећим планским документима до 2030. године, док је преосталих 5,695 милијарди ЕУР за период 2031-2033. процењено на основу финансијских пројекција датих у Стратегији нискоугљеничног развоја Републике Србије (1,891 милијарди ЕУР годишње). </w:t>
      </w:r>
      <w:r w:rsidRPr="00EF2F18">
        <w:rPr>
          <w:rFonts w:cs="Times New Roman"/>
          <w:sz w:val="22"/>
          <w:lang w:val="sr-Cyrl-RS" w:eastAsia="en-GB"/>
        </w:rPr>
        <w:t>Предвиђено је да ће већину трошкова сносити домаћинств</w:t>
      </w:r>
      <w:r w:rsidR="007B73B7" w:rsidRPr="00EF2F18">
        <w:rPr>
          <w:rFonts w:cs="Times New Roman"/>
          <w:sz w:val="22"/>
          <w:lang w:val="sr-Cyrl-RS" w:eastAsia="en-GB"/>
        </w:rPr>
        <w:t>а</w:t>
      </w:r>
      <w:r w:rsidRPr="00EF2F18">
        <w:rPr>
          <w:rFonts w:cs="Times New Roman"/>
          <w:sz w:val="22"/>
          <w:lang w:val="sr-Cyrl-RS" w:eastAsia="en-GB"/>
        </w:rPr>
        <w:t xml:space="preserve"> и привредни субјекти као потрошачи и/или инвеститори (потрошачи 63% и инвеститори 33% до 2030. године, а 68% и 26% у периоду после 2030. године, респективно). Преосталих 4%, односно 6% трошкова улагања у периоду до и после 2030. године, предвиђено је да се финансира из буџетских средстава. Највећи додатни инвестициони трошкови повезани су са енергетским сектором. Процесом декарбонизације покренуће се низ додатних инвестиција, али посебан фокус ће бити на додатним улагањима у електроенергетску мрежу услед повећања удела ОИЕ.</w:t>
      </w:r>
      <w:r w:rsidR="00EB48B8" w:rsidRPr="00EF2F18">
        <w:rPr>
          <w:rFonts w:cs="Times New Roman"/>
          <w:sz w:val="22"/>
          <w:lang w:val="sr-Cyrl-RS" w:eastAsia="en-GB"/>
        </w:rPr>
        <w:t xml:space="preserve"> </w:t>
      </w:r>
    </w:p>
    <w:p w14:paraId="4F1E1D19" w14:textId="0DA715C4" w:rsidR="00D35EEE" w:rsidRPr="00EF2F18" w:rsidRDefault="00D35EEE" w:rsidP="00D35EEE">
      <w:pPr>
        <w:spacing w:after="0"/>
        <w:ind w:firstLine="720"/>
        <w:jc w:val="both"/>
        <w:rPr>
          <w:rFonts w:cs="Times New Roman"/>
          <w:sz w:val="22"/>
          <w:lang w:val="sr-Cyrl-RS" w:eastAsia="en-GB"/>
        </w:rPr>
      </w:pPr>
      <w:r w:rsidRPr="00EF2F18">
        <w:rPr>
          <w:rFonts w:cs="Times New Roman"/>
          <w:sz w:val="22"/>
          <w:lang w:val="sr-Cyrl-RS" w:eastAsia="en-GB"/>
        </w:rPr>
        <w:t>Инвестициони трошкови износе 19,0</w:t>
      </w:r>
      <w:r w:rsidR="00F3091C" w:rsidRPr="00EF2F18">
        <w:rPr>
          <w:rFonts w:cs="Times New Roman"/>
          <w:sz w:val="22"/>
          <w:lang w:val="sr-Cyrl-RS" w:eastAsia="en-GB"/>
        </w:rPr>
        <w:t>89</w:t>
      </w:r>
      <w:r w:rsidRPr="00EF2F18">
        <w:rPr>
          <w:rFonts w:cs="Times New Roman"/>
          <w:sz w:val="22"/>
          <w:lang w:val="sr-Cyrl-RS" w:eastAsia="en-GB"/>
        </w:rPr>
        <w:t xml:space="preserve"> милијарди ЕУР. Административни трошкови (плате и обуке запослених) износе укупно 3 милиона ЕУР током спровођења Стратегије.</w:t>
      </w:r>
      <w:r w:rsidRPr="00EF2F18">
        <w:rPr>
          <w:rStyle w:val="FootnoteReference"/>
          <w:rFonts w:ascii="Times New Roman" w:hAnsi="Times New Roman" w:cs="Times New Roman"/>
          <w:sz w:val="22"/>
          <w:lang w:val="sr-Cyrl-RS" w:eastAsia="en-GB"/>
        </w:rPr>
        <w:footnoteReference w:id="21"/>
      </w:r>
      <w:r w:rsidRPr="00EF2F18">
        <w:rPr>
          <w:rFonts w:cs="Times New Roman"/>
          <w:sz w:val="22"/>
          <w:lang w:val="sr-Cyrl-RS" w:eastAsia="en-GB"/>
        </w:rPr>
        <w:t xml:space="preserve"> </w:t>
      </w:r>
    </w:p>
    <w:p w14:paraId="514F18EE" w14:textId="4342B830" w:rsidR="00D35EEE" w:rsidRPr="00EF2F18" w:rsidRDefault="00D35EEE" w:rsidP="00D35EEE">
      <w:pPr>
        <w:spacing w:after="0"/>
        <w:ind w:firstLine="720"/>
        <w:jc w:val="both"/>
        <w:rPr>
          <w:rFonts w:cs="Times New Roman"/>
          <w:sz w:val="22"/>
          <w:lang w:val="sr-Cyrl-RS" w:eastAsia="en-GB"/>
        </w:rPr>
      </w:pPr>
      <w:r w:rsidRPr="00EF2F18">
        <w:rPr>
          <w:rFonts w:cs="Times New Roman"/>
          <w:sz w:val="22"/>
          <w:lang w:val="sr-Cyrl-RS" w:eastAsia="en-GB"/>
        </w:rPr>
        <w:t xml:space="preserve">Овде нису урачунати трошкови примене механизма за усклађивање са ЕУ системом трговине </w:t>
      </w:r>
      <w:r w:rsidRPr="00EF2F18">
        <w:rPr>
          <w:rFonts w:cs="Times New Roman"/>
          <w:i/>
          <w:iCs/>
          <w:sz w:val="22"/>
          <w:lang w:val="sr-Cyrl-RS" w:eastAsia="en-GB"/>
        </w:rPr>
        <w:t>GHG</w:t>
      </w:r>
      <w:r w:rsidR="00161767">
        <w:rPr>
          <w:rFonts w:cs="Times New Roman"/>
          <w:sz w:val="22"/>
          <w:lang w:val="sr-Cyrl-RS" w:eastAsia="en-GB"/>
        </w:rPr>
        <w:t xml:space="preserve"> емисија</w:t>
      </w:r>
      <w:r w:rsidRPr="00EF2F18">
        <w:rPr>
          <w:rFonts w:cs="Times New Roman"/>
          <w:sz w:val="22"/>
          <w:lang w:val="sr-Cyrl-RS" w:eastAsia="en-GB"/>
        </w:rPr>
        <w:t>ма (ЕU ЕТS).</w:t>
      </w:r>
    </w:p>
    <w:p w14:paraId="6AF93252" w14:textId="56FC6FC0" w:rsidR="00474641" w:rsidRPr="00EF2F18" w:rsidRDefault="00474641" w:rsidP="00474641">
      <w:pPr>
        <w:spacing w:after="0"/>
        <w:jc w:val="both"/>
        <w:rPr>
          <w:rFonts w:cs="Times New Roman"/>
          <w:sz w:val="22"/>
          <w:lang w:val="sr-Cyrl-RS" w:eastAsia="en-GB"/>
        </w:rPr>
      </w:pPr>
      <w:r w:rsidRPr="00EF2F18">
        <w:rPr>
          <w:rFonts w:cs="Times New Roman"/>
          <w:sz w:val="22"/>
          <w:lang w:val="sr-Cyrl-RS" w:eastAsia="en-GB"/>
        </w:rPr>
        <w:tab/>
        <w:t>Процена укупних трошкова који се односе на област циркуларне економије је дата на основу Програма управљања отпадом у Републици Србија за период 2022-2031. година, Програма развоја циркуларне економије у Републици Србији за период 20</w:t>
      </w:r>
      <w:r w:rsidR="000D5AD5" w:rsidRPr="00EF2F18">
        <w:rPr>
          <w:rFonts w:cs="Times New Roman"/>
          <w:sz w:val="22"/>
          <w:lang w:val="sr-Cyrl-RS" w:eastAsia="en-GB"/>
        </w:rPr>
        <w:t>26</w:t>
      </w:r>
      <w:r w:rsidRPr="00EF2F18">
        <w:rPr>
          <w:rFonts w:cs="Times New Roman"/>
          <w:sz w:val="22"/>
          <w:lang w:val="sr-Cyrl-RS" w:eastAsia="en-GB"/>
        </w:rPr>
        <w:t>-20</w:t>
      </w:r>
      <w:r w:rsidR="000D5AD5" w:rsidRPr="00EF2F18">
        <w:rPr>
          <w:rFonts w:cs="Times New Roman"/>
          <w:sz w:val="22"/>
          <w:lang w:val="sr-Cyrl-RS" w:eastAsia="en-GB"/>
        </w:rPr>
        <w:t>30</w:t>
      </w:r>
      <w:r w:rsidRPr="00EF2F18">
        <w:rPr>
          <w:rFonts w:cs="Times New Roman"/>
          <w:sz w:val="22"/>
          <w:lang w:val="sr-Cyrl-RS" w:eastAsia="en-GB"/>
        </w:rPr>
        <w:t>. годин</w:t>
      </w:r>
      <w:r w:rsidR="000D5AD5" w:rsidRPr="00EF2F18">
        <w:rPr>
          <w:rFonts w:cs="Times New Roman"/>
          <w:sz w:val="22"/>
          <w:lang w:val="sr-Cyrl-RS" w:eastAsia="en-GB"/>
        </w:rPr>
        <w:t>е</w:t>
      </w:r>
      <w:r w:rsidRPr="00EF2F18">
        <w:rPr>
          <w:rFonts w:cs="Times New Roman"/>
          <w:sz w:val="22"/>
          <w:lang w:val="sr-Cyrl-RS" w:eastAsia="en-GB"/>
        </w:rPr>
        <w:t xml:space="preserve"> и Програма управљања муљем у Републици Србији за период 2022-2031.</w:t>
      </w:r>
    </w:p>
    <w:p w14:paraId="1992C81E" w14:textId="0FEB63D4" w:rsidR="00D35EEE" w:rsidRPr="00EF2F18" w:rsidRDefault="00474641" w:rsidP="00474641">
      <w:pPr>
        <w:spacing w:after="0"/>
        <w:ind w:firstLine="708"/>
        <w:jc w:val="both"/>
        <w:rPr>
          <w:rFonts w:cs="Times New Roman"/>
          <w:sz w:val="22"/>
          <w:lang w:val="sr-Cyrl-RS" w:eastAsia="en-GB"/>
        </w:rPr>
      </w:pPr>
      <w:r w:rsidRPr="00EF2F18">
        <w:rPr>
          <w:rFonts w:cs="Times New Roman"/>
          <w:b/>
          <w:bCs/>
          <w:sz w:val="22"/>
          <w:lang w:val="sr-Cyrl-RS" w:eastAsia="en-GB"/>
        </w:rPr>
        <w:t xml:space="preserve">Укупни процењени оквирни трошкови у оквиру области циркуларне економије износе </w:t>
      </w:r>
      <w:r w:rsidRPr="00EF2F18">
        <w:rPr>
          <w:rFonts w:cs="Times New Roman"/>
          <w:b/>
          <w:bCs/>
          <w:sz w:val="22"/>
          <w:lang w:val="sr-Cyrl-RS"/>
        </w:rPr>
        <w:t>1,29</w:t>
      </w:r>
      <w:r w:rsidR="000304BC" w:rsidRPr="00EF2F18">
        <w:rPr>
          <w:rFonts w:cs="Times New Roman"/>
          <w:b/>
          <w:bCs/>
          <w:sz w:val="22"/>
          <w:lang w:val="sr-Cyrl-RS"/>
        </w:rPr>
        <w:t>9</w:t>
      </w:r>
      <w:r w:rsidRPr="00EF2F18">
        <w:rPr>
          <w:rFonts w:cs="Times New Roman"/>
          <w:b/>
          <w:bCs/>
          <w:sz w:val="22"/>
          <w:lang w:val="sr-Cyrl-RS"/>
        </w:rPr>
        <w:t xml:space="preserve"> </w:t>
      </w:r>
      <w:r w:rsidRPr="00EF2F18">
        <w:rPr>
          <w:rFonts w:cs="Times New Roman"/>
          <w:b/>
          <w:bCs/>
          <w:sz w:val="22"/>
          <w:lang w:val="sr-Cyrl-RS" w:eastAsia="en-GB"/>
        </w:rPr>
        <w:t xml:space="preserve">милијарди </w:t>
      </w:r>
      <w:r w:rsidR="00637A2D" w:rsidRPr="00EF2F18">
        <w:rPr>
          <w:rFonts w:cs="Times New Roman"/>
          <w:b/>
          <w:bCs/>
          <w:sz w:val="22"/>
          <w:lang w:val="sr-Cyrl-RS" w:eastAsia="en-GB"/>
        </w:rPr>
        <w:t>ЕУР</w:t>
      </w:r>
      <w:r w:rsidRPr="00EF2F18">
        <w:rPr>
          <w:rFonts w:cs="Times New Roman"/>
          <w:b/>
          <w:bCs/>
          <w:sz w:val="22"/>
          <w:lang w:val="sr-Cyrl-RS" w:eastAsia="en-GB"/>
        </w:rPr>
        <w:t xml:space="preserve"> за период</w:t>
      </w:r>
      <w:r w:rsidR="00FA7222" w:rsidRPr="00EF2F18">
        <w:rPr>
          <w:rFonts w:cs="Times New Roman"/>
          <w:b/>
          <w:bCs/>
          <w:sz w:val="22"/>
          <w:lang w:val="sr-Cyrl-RS" w:eastAsia="en-GB"/>
        </w:rPr>
        <w:t xml:space="preserve"> </w:t>
      </w:r>
      <w:r w:rsidR="0099367E" w:rsidRPr="00EF2F18">
        <w:rPr>
          <w:rFonts w:cs="Times New Roman"/>
          <w:b/>
          <w:bCs/>
          <w:sz w:val="22"/>
          <w:lang w:val="sr-Cyrl-RS" w:eastAsia="en-GB"/>
        </w:rPr>
        <w:t xml:space="preserve">до </w:t>
      </w:r>
      <w:r w:rsidRPr="00EF2F18">
        <w:rPr>
          <w:rFonts w:cs="Times New Roman"/>
          <w:b/>
          <w:bCs/>
          <w:sz w:val="22"/>
          <w:lang w:val="sr-Cyrl-RS" w:eastAsia="en-GB"/>
        </w:rPr>
        <w:t>2033. годин</w:t>
      </w:r>
      <w:r w:rsidR="0099367E" w:rsidRPr="00EF2F18">
        <w:rPr>
          <w:rFonts w:cs="Times New Roman"/>
          <w:b/>
          <w:bCs/>
          <w:sz w:val="22"/>
          <w:lang w:val="sr-Cyrl-RS" w:eastAsia="en-GB"/>
        </w:rPr>
        <w:t>е</w:t>
      </w:r>
      <w:r w:rsidRPr="00EF2F18">
        <w:rPr>
          <w:rFonts w:cs="Times New Roman"/>
          <w:b/>
          <w:bCs/>
          <w:sz w:val="22"/>
          <w:lang w:val="sr-Cyrl-RS" w:eastAsia="en-GB"/>
        </w:rPr>
        <w:t>.</w:t>
      </w:r>
      <w:r w:rsidRPr="00EF2F18">
        <w:rPr>
          <w:rStyle w:val="FootnoteReference"/>
          <w:rFonts w:ascii="Times New Roman" w:hAnsi="Times New Roman" w:cs="Times New Roman"/>
          <w:b/>
          <w:bCs/>
          <w:sz w:val="22"/>
          <w:lang w:val="sr-Cyrl-RS" w:eastAsia="en-GB"/>
        </w:rPr>
        <w:footnoteReference w:id="22"/>
      </w:r>
      <w:r w:rsidRPr="00EF2F18">
        <w:rPr>
          <w:rFonts w:cs="Times New Roman"/>
          <w:b/>
          <w:bCs/>
          <w:sz w:val="22"/>
          <w:lang w:val="sr-Cyrl-RS" w:eastAsia="en-GB"/>
        </w:rPr>
        <w:t xml:space="preserve"> </w:t>
      </w:r>
      <w:r w:rsidRPr="00EF2F18">
        <w:rPr>
          <w:rFonts w:cs="Times New Roman"/>
          <w:sz w:val="22"/>
          <w:lang w:val="sr-Cyrl-RS" w:eastAsia="en-GB"/>
        </w:rPr>
        <w:t xml:space="preserve">Укупни инвестициони трошкови за развој система управљања комуналним отпадом кроз ефикасније искоришћење отпада у периоду спровођења Стратегије су процењени на 823,84 милиона </w:t>
      </w:r>
      <w:r w:rsidR="00637A2D" w:rsidRPr="00EF2F18">
        <w:rPr>
          <w:rFonts w:cs="Times New Roman"/>
          <w:sz w:val="22"/>
          <w:lang w:val="sr-Cyrl-RS" w:eastAsia="en-GB"/>
        </w:rPr>
        <w:t>ЕУР</w:t>
      </w:r>
      <w:r w:rsidRPr="00EF2F18">
        <w:rPr>
          <w:rFonts w:cs="Times New Roman"/>
          <w:sz w:val="22"/>
          <w:lang w:val="sr-Cyrl-RS" w:eastAsia="en-GB"/>
        </w:rPr>
        <w:t xml:space="preserve">. Инвестициони трошкови изградње капацитета за сакупљање и третман опасног и осталих врста отпада у периоду </w:t>
      </w:r>
      <w:r w:rsidR="0095304B" w:rsidRPr="00EF2F18">
        <w:rPr>
          <w:rFonts w:cs="Times New Roman"/>
          <w:sz w:val="22"/>
          <w:lang w:val="sr-Cyrl-RS" w:eastAsia="en-GB"/>
        </w:rPr>
        <w:t xml:space="preserve">до </w:t>
      </w:r>
      <w:r w:rsidRPr="00EF2F18">
        <w:rPr>
          <w:rFonts w:cs="Times New Roman"/>
          <w:sz w:val="22"/>
          <w:lang w:val="sr-Cyrl-RS" w:eastAsia="en-GB"/>
        </w:rPr>
        <w:t xml:space="preserve">2033. </w:t>
      </w:r>
      <w:r w:rsidR="0095304B" w:rsidRPr="00EF2F18">
        <w:rPr>
          <w:rFonts w:cs="Times New Roman"/>
          <w:sz w:val="22"/>
          <w:lang w:val="sr-Cyrl-RS" w:eastAsia="en-GB"/>
        </w:rPr>
        <w:t xml:space="preserve">године </w:t>
      </w:r>
      <w:r w:rsidRPr="00EF2F18">
        <w:rPr>
          <w:rFonts w:cs="Times New Roman"/>
          <w:sz w:val="22"/>
          <w:lang w:val="sr-Cyrl-RS" w:eastAsia="en-GB"/>
        </w:rPr>
        <w:t>су процењени на 1</w:t>
      </w:r>
      <w:r w:rsidR="0044403F" w:rsidRPr="00EF2F18">
        <w:rPr>
          <w:rFonts w:cs="Times New Roman"/>
          <w:sz w:val="22"/>
          <w:lang w:val="sr-Cyrl-RS" w:eastAsia="en-GB"/>
        </w:rPr>
        <w:t>1</w:t>
      </w:r>
      <w:r w:rsidRPr="00EF2F18">
        <w:rPr>
          <w:rFonts w:cs="Times New Roman"/>
          <w:sz w:val="22"/>
          <w:lang w:val="sr-Cyrl-RS" w:eastAsia="en-GB"/>
        </w:rPr>
        <w:t xml:space="preserve">5,75 милиона </w:t>
      </w:r>
      <w:r w:rsidR="00637A2D" w:rsidRPr="00EF2F18">
        <w:rPr>
          <w:rFonts w:cs="Times New Roman"/>
          <w:sz w:val="22"/>
          <w:lang w:val="sr-Cyrl-RS" w:eastAsia="en-GB"/>
        </w:rPr>
        <w:t>ЕУР</w:t>
      </w:r>
      <w:r w:rsidRPr="00EF2F18">
        <w:rPr>
          <w:rFonts w:cs="Times New Roman"/>
          <w:sz w:val="22"/>
          <w:lang w:val="sr-Cyrl-RS" w:eastAsia="en-GB"/>
        </w:rPr>
        <w:t xml:space="preserve">. Трошкови подршке изградњи капацитета за искоришћење отпадног муља из постројења за пречишћавање отпадних вода за наведени период су процењени су на 357,08 милиона </w:t>
      </w:r>
      <w:r w:rsidR="00637A2D" w:rsidRPr="00EF2F18">
        <w:rPr>
          <w:rFonts w:cs="Times New Roman"/>
          <w:sz w:val="22"/>
          <w:lang w:val="sr-Cyrl-RS" w:eastAsia="en-GB"/>
        </w:rPr>
        <w:t>ЕУР</w:t>
      </w:r>
      <w:r w:rsidRPr="00EF2F18">
        <w:rPr>
          <w:rFonts w:cs="Times New Roman"/>
          <w:sz w:val="22"/>
          <w:lang w:val="sr-Cyrl-RS" w:eastAsia="en-GB"/>
        </w:rPr>
        <w:t xml:space="preserve">. </w:t>
      </w:r>
    </w:p>
    <w:p w14:paraId="750C5D49" w14:textId="6B195E55" w:rsidR="00474641" w:rsidRPr="00EF2F18" w:rsidRDefault="00D35EEE" w:rsidP="00474641">
      <w:pPr>
        <w:spacing w:after="0"/>
        <w:ind w:firstLine="708"/>
        <w:jc w:val="both"/>
        <w:rPr>
          <w:rFonts w:cs="Times New Roman"/>
          <w:sz w:val="22"/>
          <w:lang w:val="sr-Cyrl-RS" w:eastAsia="en-GB"/>
        </w:rPr>
      </w:pPr>
      <w:r w:rsidRPr="00EF2F18">
        <w:rPr>
          <w:rFonts w:cs="Times New Roman"/>
          <w:sz w:val="22"/>
          <w:lang w:val="sr-Cyrl-RS" w:eastAsia="en-GB"/>
        </w:rPr>
        <w:t>Поред инвестиционих, процењени су и административни и остали трошкови у износу од 2,155 милиона ЕУР. Ови трошкови обухватају административне трошкове (плате и обуке запослених), као и остале трошкове (едукацију привредних субјеката, развој додатних механизама финансијских подстицаја за привреду и пружање директне техничке помоћи одабраном броју предузећа у изради пословних акционих планова за усвајање принципа циркуларне економије, као и подстицање сарадње између научно-истраживачких организација и привредних субјеката у области иновација и оптимизације производње, као и интегрисање безбедног управљања хемикалијама у концепт развоја циркуларне економије).</w:t>
      </w:r>
    </w:p>
    <w:p w14:paraId="7663B021" w14:textId="77777777" w:rsidR="00474641" w:rsidRPr="00EF2F18" w:rsidRDefault="00474641" w:rsidP="00474641">
      <w:pPr>
        <w:spacing w:after="0"/>
        <w:jc w:val="both"/>
        <w:rPr>
          <w:rFonts w:cs="Times New Roman"/>
          <w:sz w:val="22"/>
          <w:lang w:val="sr-Cyrl-RS" w:eastAsia="en-GB"/>
        </w:rPr>
      </w:pPr>
    </w:p>
    <w:p w14:paraId="743F68BE" w14:textId="371EDFA1" w:rsidR="00474641" w:rsidRPr="00EF2F18" w:rsidRDefault="00474641" w:rsidP="00474641">
      <w:pPr>
        <w:pStyle w:val="Caption"/>
        <w:spacing w:after="0" w:line="240" w:lineRule="auto"/>
        <w:rPr>
          <w:rFonts w:ascii="Times New Roman" w:hAnsi="Times New Roman"/>
          <w:b w:val="0"/>
          <w:bCs w:val="0"/>
          <w:iCs/>
          <w:sz w:val="22"/>
          <w:szCs w:val="22"/>
          <w:lang w:val="sr-Cyrl-RS"/>
        </w:rPr>
      </w:pPr>
      <w:r w:rsidRPr="00EF2F18">
        <w:rPr>
          <w:rFonts w:ascii="Times New Roman" w:hAnsi="Times New Roman"/>
          <w:sz w:val="22"/>
          <w:szCs w:val="22"/>
          <w:lang w:val="sr-Cyrl-RS"/>
        </w:rPr>
        <w:t>Табела 7.</w:t>
      </w:r>
      <w:r w:rsidR="00DE1478" w:rsidRPr="00EF2F18">
        <w:rPr>
          <w:rFonts w:ascii="Times New Roman" w:hAnsi="Times New Roman"/>
          <w:sz w:val="22"/>
          <w:szCs w:val="22"/>
          <w:lang w:val="sr-Cyrl-RS"/>
        </w:rPr>
        <w:t>2</w:t>
      </w:r>
      <w:r w:rsidRPr="00EF2F18">
        <w:rPr>
          <w:rFonts w:ascii="Times New Roman" w:hAnsi="Times New Roman"/>
          <w:sz w:val="22"/>
          <w:szCs w:val="22"/>
          <w:lang w:val="sr-Cyrl-RS"/>
        </w:rPr>
        <w:t xml:space="preserve">. </w:t>
      </w:r>
      <w:r w:rsidRPr="00EF2F18">
        <w:rPr>
          <w:rFonts w:ascii="Times New Roman" w:hAnsi="Times New Roman"/>
          <w:b w:val="0"/>
          <w:bCs w:val="0"/>
          <w:iCs/>
          <w:sz w:val="22"/>
          <w:szCs w:val="22"/>
          <w:lang w:val="sr-Cyrl-RS"/>
        </w:rPr>
        <w:t>Укупни процењени</w:t>
      </w:r>
      <w:r w:rsidR="006C2E00" w:rsidRPr="00EF2F18">
        <w:rPr>
          <w:rFonts w:ascii="Times New Roman" w:hAnsi="Times New Roman"/>
          <w:b w:val="0"/>
          <w:bCs w:val="0"/>
          <w:iCs/>
          <w:sz w:val="22"/>
          <w:szCs w:val="22"/>
          <w:lang w:val="sr-Cyrl-RS"/>
        </w:rPr>
        <w:t xml:space="preserve"> </w:t>
      </w:r>
      <w:r w:rsidRPr="00EF2F18">
        <w:rPr>
          <w:rFonts w:ascii="Times New Roman" w:hAnsi="Times New Roman"/>
          <w:b w:val="0"/>
          <w:bCs w:val="0"/>
          <w:iCs/>
          <w:sz w:val="22"/>
          <w:szCs w:val="22"/>
          <w:lang w:val="sr-Cyrl-RS"/>
        </w:rPr>
        <w:t>оквирни трошкови у области циркуларне економије (</w:t>
      </w:r>
      <w:r w:rsidR="007149D3" w:rsidRPr="00EF2F18">
        <w:rPr>
          <w:rFonts w:ascii="Times New Roman" w:hAnsi="Times New Roman"/>
          <w:b w:val="0"/>
          <w:bCs w:val="0"/>
          <w:iCs/>
          <w:sz w:val="22"/>
          <w:szCs w:val="22"/>
          <w:lang w:val="sr-Cyrl-RS"/>
        </w:rPr>
        <w:t xml:space="preserve">у хиљадама </w:t>
      </w:r>
      <w:r w:rsidR="00637A2D" w:rsidRPr="00EF2F18">
        <w:rPr>
          <w:rFonts w:ascii="Times New Roman" w:hAnsi="Times New Roman"/>
          <w:b w:val="0"/>
          <w:bCs w:val="0"/>
          <w:iCs/>
          <w:sz w:val="22"/>
          <w:szCs w:val="22"/>
          <w:lang w:val="sr-Cyrl-RS"/>
        </w:rPr>
        <w:t>ЕУР</w:t>
      </w:r>
      <w:r w:rsidRPr="00EF2F18">
        <w:rPr>
          <w:rFonts w:ascii="Times New Roman" w:hAnsi="Times New Roman"/>
          <w:b w:val="0"/>
          <w:bCs w:val="0"/>
          <w:iCs/>
          <w:sz w:val="22"/>
          <w:szCs w:val="22"/>
          <w:lang w:val="sr-Cyrl-RS"/>
        </w:rPr>
        <w:t>, константне цене из 2024.)</w:t>
      </w:r>
    </w:p>
    <w:tbl>
      <w:tblPr>
        <w:tblStyle w:val="TableGrid2"/>
        <w:tblW w:w="4961" w:type="pct"/>
        <w:tblLayout w:type="fixed"/>
        <w:tblLook w:val="0000" w:firstRow="0" w:lastRow="0" w:firstColumn="0" w:lastColumn="0" w:noHBand="0" w:noVBand="0"/>
      </w:tblPr>
      <w:tblGrid>
        <w:gridCol w:w="7365"/>
        <w:gridCol w:w="1582"/>
      </w:tblGrid>
      <w:tr w:rsidR="00474641" w:rsidRPr="00EF2F18" w14:paraId="16316DA3" w14:textId="77777777" w:rsidTr="00AF36A7">
        <w:trPr>
          <w:trHeight w:val="172"/>
        </w:trPr>
        <w:tc>
          <w:tcPr>
            <w:tcW w:w="4116" w:type="pct"/>
            <w:tcBorders>
              <w:top w:val="single" w:sz="4" w:space="0" w:color="auto"/>
              <w:bottom w:val="single" w:sz="4" w:space="0" w:color="auto"/>
            </w:tcBorders>
            <w:shd w:val="clear" w:color="auto" w:fill="FFFFCC"/>
            <w:vAlign w:val="center"/>
          </w:tcPr>
          <w:p w14:paraId="3FA23490" w14:textId="77777777" w:rsidR="00474641" w:rsidRPr="00EF2F18" w:rsidRDefault="00474641" w:rsidP="00AF36A7">
            <w:pPr>
              <w:spacing w:after="0"/>
              <w:jc w:val="center"/>
              <w:rPr>
                <w:b/>
                <w:bCs/>
                <w:color w:val="000000"/>
                <w:sz w:val="22"/>
                <w:lang w:val="sr-Cyrl-RS"/>
              </w:rPr>
            </w:pPr>
            <w:r w:rsidRPr="00EF2F18">
              <w:rPr>
                <w:b/>
                <w:bCs/>
                <w:color w:val="000000"/>
                <w:sz w:val="22"/>
                <w:lang w:val="sr-Cyrl-RS"/>
              </w:rPr>
              <w:t>Област</w:t>
            </w:r>
          </w:p>
        </w:tc>
        <w:tc>
          <w:tcPr>
            <w:tcW w:w="884" w:type="pct"/>
            <w:tcBorders>
              <w:top w:val="single" w:sz="4" w:space="0" w:color="auto"/>
              <w:bottom w:val="single" w:sz="4" w:space="0" w:color="auto"/>
            </w:tcBorders>
            <w:shd w:val="clear" w:color="auto" w:fill="FFFFCC"/>
          </w:tcPr>
          <w:p w14:paraId="4CC755BF" w14:textId="5B4084D1" w:rsidR="00474641" w:rsidRPr="00EF2F18" w:rsidRDefault="00C650C1" w:rsidP="00AF36A7">
            <w:pPr>
              <w:spacing w:after="0"/>
              <w:jc w:val="center"/>
              <w:rPr>
                <w:b/>
                <w:bCs/>
                <w:color w:val="000000"/>
                <w:sz w:val="22"/>
                <w:lang w:val="sr-Cyrl-RS"/>
              </w:rPr>
            </w:pPr>
            <w:r w:rsidRPr="00EF2F18">
              <w:rPr>
                <w:b/>
                <w:bCs/>
                <w:color w:val="000000"/>
                <w:sz w:val="22"/>
                <w:lang w:val="sr-Cyrl-RS"/>
              </w:rPr>
              <w:t xml:space="preserve">до </w:t>
            </w:r>
            <w:r w:rsidR="00474641" w:rsidRPr="00EF2F18">
              <w:rPr>
                <w:b/>
                <w:bCs/>
                <w:color w:val="000000"/>
                <w:sz w:val="22"/>
                <w:lang w:val="sr-Cyrl-RS"/>
              </w:rPr>
              <w:t>2033.</w:t>
            </w:r>
          </w:p>
        </w:tc>
      </w:tr>
      <w:tr w:rsidR="00474641" w:rsidRPr="00EF2F18" w14:paraId="3FA47340" w14:textId="77777777" w:rsidTr="00AF36A7">
        <w:trPr>
          <w:trHeight w:val="230"/>
        </w:trPr>
        <w:tc>
          <w:tcPr>
            <w:tcW w:w="4116" w:type="pct"/>
            <w:tcBorders>
              <w:top w:val="single" w:sz="4" w:space="0" w:color="auto"/>
            </w:tcBorders>
            <w:vAlign w:val="center"/>
          </w:tcPr>
          <w:p w14:paraId="0147B340" w14:textId="77777777" w:rsidR="00474641" w:rsidRPr="00EF2F18" w:rsidRDefault="00474641" w:rsidP="00AF36A7">
            <w:pPr>
              <w:spacing w:after="0"/>
              <w:rPr>
                <w:sz w:val="22"/>
                <w:lang w:val="sr-Cyrl-RS"/>
              </w:rPr>
            </w:pPr>
            <w:r w:rsidRPr="00EF2F18">
              <w:rPr>
                <w:sz w:val="22"/>
                <w:lang w:val="sr-Cyrl-RS"/>
              </w:rPr>
              <w:t>Развој система управљања комуналним отпадом кроз ефикасније искоришћење отпада</w:t>
            </w:r>
          </w:p>
        </w:tc>
        <w:tc>
          <w:tcPr>
            <w:tcW w:w="884" w:type="pct"/>
            <w:tcBorders>
              <w:top w:val="single" w:sz="4" w:space="0" w:color="auto"/>
            </w:tcBorders>
            <w:vAlign w:val="center"/>
          </w:tcPr>
          <w:p w14:paraId="36B45818" w14:textId="1799A040" w:rsidR="00474641" w:rsidRPr="00EF2F18" w:rsidRDefault="00474641" w:rsidP="00AF36A7">
            <w:pPr>
              <w:spacing w:after="0"/>
              <w:jc w:val="right"/>
              <w:rPr>
                <w:sz w:val="22"/>
                <w:lang w:val="sr-Cyrl-RS"/>
              </w:rPr>
            </w:pPr>
            <w:r w:rsidRPr="00EF2F18">
              <w:rPr>
                <w:sz w:val="22"/>
                <w:lang w:val="sr-Cyrl-RS"/>
              </w:rPr>
              <w:t>823</w:t>
            </w:r>
            <w:r w:rsidR="007149D3" w:rsidRPr="00EF2F18">
              <w:rPr>
                <w:sz w:val="22"/>
                <w:lang w:val="sr-Cyrl-RS"/>
              </w:rPr>
              <w:t>.</w:t>
            </w:r>
            <w:r w:rsidRPr="00EF2F18">
              <w:rPr>
                <w:sz w:val="22"/>
                <w:lang w:val="sr-Cyrl-RS"/>
              </w:rPr>
              <w:t>856</w:t>
            </w:r>
          </w:p>
        </w:tc>
      </w:tr>
      <w:tr w:rsidR="00474641" w:rsidRPr="00EF2F18" w14:paraId="7629A92F" w14:textId="77777777" w:rsidTr="00AF36A7">
        <w:trPr>
          <w:trHeight w:val="300"/>
        </w:trPr>
        <w:tc>
          <w:tcPr>
            <w:tcW w:w="4116" w:type="pct"/>
            <w:vAlign w:val="center"/>
          </w:tcPr>
          <w:p w14:paraId="22E63E16" w14:textId="77777777" w:rsidR="00474641" w:rsidRPr="00EF2F18" w:rsidRDefault="00474641" w:rsidP="00AF36A7">
            <w:pPr>
              <w:spacing w:after="0"/>
              <w:rPr>
                <w:sz w:val="22"/>
                <w:lang w:val="sr-Cyrl-RS"/>
              </w:rPr>
            </w:pPr>
            <w:r w:rsidRPr="00EF2F18">
              <w:rPr>
                <w:sz w:val="22"/>
                <w:lang w:val="sr-Cyrl-RS"/>
              </w:rPr>
              <w:t>Изградња капацитета за сакупљање и третман опасног отпада</w:t>
            </w:r>
          </w:p>
        </w:tc>
        <w:tc>
          <w:tcPr>
            <w:tcW w:w="884" w:type="pct"/>
            <w:vAlign w:val="center"/>
          </w:tcPr>
          <w:p w14:paraId="75E891AE" w14:textId="7BA577FC" w:rsidR="00474641" w:rsidRPr="00EF2F18" w:rsidRDefault="00474641" w:rsidP="00AF36A7">
            <w:pPr>
              <w:spacing w:after="0"/>
              <w:jc w:val="right"/>
              <w:rPr>
                <w:sz w:val="22"/>
                <w:lang w:val="sr-Cyrl-RS"/>
              </w:rPr>
            </w:pPr>
            <w:r w:rsidRPr="00EF2F18">
              <w:rPr>
                <w:sz w:val="22"/>
                <w:lang w:val="sr-Cyrl-RS"/>
              </w:rPr>
              <w:t>115</w:t>
            </w:r>
            <w:r w:rsidR="007149D3" w:rsidRPr="00EF2F18">
              <w:rPr>
                <w:sz w:val="22"/>
                <w:lang w:val="sr-Cyrl-RS"/>
              </w:rPr>
              <w:t>.</w:t>
            </w:r>
            <w:r w:rsidRPr="00EF2F18">
              <w:rPr>
                <w:sz w:val="22"/>
                <w:lang w:val="sr-Cyrl-RS"/>
              </w:rPr>
              <w:t>750</w:t>
            </w:r>
          </w:p>
        </w:tc>
      </w:tr>
      <w:tr w:rsidR="00474641" w:rsidRPr="00EF2F18" w14:paraId="428EF893" w14:textId="77777777" w:rsidTr="00AF36A7">
        <w:trPr>
          <w:trHeight w:val="247"/>
        </w:trPr>
        <w:tc>
          <w:tcPr>
            <w:tcW w:w="4116" w:type="pct"/>
            <w:vAlign w:val="center"/>
          </w:tcPr>
          <w:p w14:paraId="374C5C59" w14:textId="77777777" w:rsidR="00474641" w:rsidRPr="00EF2F18" w:rsidRDefault="00474641" w:rsidP="00AF36A7">
            <w:pPr>
              <w:spacing w:after="0"/>
              <w:rPr>
                <w:sz w:val="22"/>
                <w:lang w:val="sr-Cyrl-RS"/>
              </w:rPr>
            </w:pPr>
            <w:r w:rsidRPr="00EF2F18">
              <w:rPr>
                <w:sz w:val="22"/>
                <w:lang w:val="sr-Cyrl-RS"/>
              </w:rPr>
              <w:t>Изградња капацитета за искоришћење отпадног муља из постројења за пречишћавање отпадних вода</w:t>
            </w:r>
          </w:p>
        </w:tc>
        <w:tc>
          <w:tcPr>
            <w:tcW w:w="884" w:type="pct"/>
            <w:vAlign w:val="center"/>
          </w:tcPr>
          <w:p w14:paraId="077F87F2" w14:textId="72DDF4FE" w:rsidR="00474641" w:rsidRPr="00EF2F18" w:rsidRDefault="00305B8A" w:rsidP="00AF36A7">
            <w:pPr>
              <w:spacing w:after="0"/>
              <w:jc w:val="right"/>
              <w:rPr>
                <w:sz w:val="22"/>
                <w:lang w:val="sr-Cyrl-RS"/>
              </w:rPr>
            </w:pPr>
            <w:r w:rsidRPr="00EF2F18">
              <w:rPr>
                <w:sz w:val="22"/>
                <w:lang w:val="sr-Cyrl-RS"/>
              </w:rPr>
              <w:t>357.080</w:t>
            </w:r>
          </w:p>
        </w:tc>
      </w:tr>
      <w:tr w:rsidR="00474641" w:rsidRPr="00EF2F18" w14:paraId="55355CFE" w14:textId="77777777" w:rsidTr="00AF36A7">
        <w:trPr>
          <w:trHeight w:val="247"/>
        </w:trPr>
        <w:tc>
          <w:tcPr>
            <w:tcW w:w="4116" w:type="pct"/>
            <w:vAlign w:val="center"/>
          </w:tcPr>
          <w:p w14:paraId="01E2F8F2" w14:textId="77777777" w:rsidR="00474641" w:rsidRPr="00EF2F18" w:rsidRDefault="00474641" w:rsidP="00AF36A7">
            <w:pPr>
              <w:spacing w:after="0"/>
              <w:rPr>
                <w:b/>
                <w:bCs/>
                <w:sz w:val="22"/>
                <w:lang w:val="sr-Cyrl-RS"/>
              </w:rPr>
            </w:pPr>
            <w:r w:rsidRPr="00EF2F18">
              <w:rPr>
                <w:b/>
                <w:bCs/>
                <w:sz w:val="22"/>
                <w:lang w:val="sr-Cyrl-RS"/>
              </w:rPr>
              <w:t>Инвестициони трошкови</w:t>
            </w:r>
          </w:p>
        </w:tc>
        <w:tc>
          <w:tcPr>
            <w:tcW w:w="884" w:type="pct"/>
            <w:vAlign w:val="center"/>
          </w:tcPr>
          <w:p w14:paraId="7B7511B6" w14:textId="480C98C1" w:rsidR="00474641" w:rsidRPr="00EF2F18" w:rsidRDefault="00474641" w:rsidP="00AF36A7">
            <w:pPr>
              <w:spacing w:after="0"/>
              <w:jc w:val="right"/>
              <w:rPr>
                <w:b/>
                <w:bCs/>
                <w:sz w:val="22"/>
                <w:lang w:val="sr-Cyrl-RS"/>
              </w:rPr>
            </w:pPr>
            <w:r w:rsidRPr="00EF2F18">
              <w:rPr>
                <w:b/>
                <w:bCs/>
                <w:sz w:val="22"/>
                <w:lang w:val="sr-Cyrl-RS"/>
              </w:rPr>
              <w:t>1.296</w:t>
            </w:r>
            <w:r w:rsidR="007149D3" w:rsidRPr="00EF2F18">
              <w:rPr>
                <w:b/>
                <w:bCs/>
                <w:sz w:val="22"/>
                <w:lang w:val="sr-Cyrl-RS"/>
              </w:rPr>
              <w:t>.</w:t>
            </w:r>
            <w:r w:rsidRPr="00EF2F18">
              <w:rPr>
                <w:b/>
                <w:bCs/>
                <w:sz w:val="22"/>
                <w:lang w:val="sr-Cyrl-RS"/>
              </w:rPr>
              <w:t>686</w:t>
            </w:r>
          </w:p>
        </w:tc>
      </w:tr>
      <w:tr w:rsidR="00474641" w:rsidRPr="00EF2F18" w14:paraId="0E822C5D" w14:textId="77777777" w:rsidTr="00AF36A7">
        <w:trPr>
          <w:trHeight w:val="222"/>
        </w:trPr>
        <w:tc>
          <w:tcPr>
            <w:tcW w:w="4116" w:type="pct"/>
            <w:vAlign w:val="center"/>
          </w:tcPr>
          <w:p w14:paraId="7B3D6000" w14:textId="77777777" w:rsidR="00474641" w:rsidRPr="00EF2F18" w:rsidRDefault="00474641" w:rsidP="00AF36A7">
            <w:pPr>
              <w:spacing w:after="0"/>
              <w:rPr>
                <w:sz w:val="22"/>
                <w:lang w:val="sr-Cyrl-RS"/>
              </w:rPr>
            </w:pPr>
            <w:r w:rsidRPr="00EF2F18">
              <w:rPr>
                <w:sz w:val="22"/>
                <w:lang w:val="sr-Cyrl-RS"/>
              </w:rPr>
              <w:lastRenderedPageBreak/>
              <w:t>Интегрисање безбедног управљања хемикалијама у концепт развоја циркуларне економије</w:t>
            </w:r>
          </w:p>
        </w:tc>
        <w:tc>
          <w:tcPr>
            <w:tcW w:w="884" w:type="pct"/>
            <w:vAlign w:val="center"/>
          </w:tcPr>
          <w:p w14:paraId="7C98D722" w14:textId="264CEDEB" w:rsidR="00474641" w:rsidRPr="00EF2F18" w:rsidRDefault="00474641" w:rsidP="00AF36A7">
            <w:pPr>
              <w:spacing w:after="0"/>
              <w:jc w:val="right"/>
              <w:rPr>
                <w:sz w:val="22"/>
                <w:lang w:val="sr-Cyrl-RS"/>
              </w:rPr>
            </w:pPr>
            <w:r w:rsidRPr="00EF2F18">
              <w:rPr>
                <w:sz w:val="22"/>
                <w:lang w:val="sr-Cyrl-RS"/>
              </w:rPr>
              <w:t>47</w:t>
            </w:r>
          </w:p>
        </w:tc>
      </w:tr>
      <w:tr w:rsidR="00474641" w:rsidRPr="00EF2F18" w14:paraId="2EB183CD" w14:textId="77777777" w:rsidTr="00AF36A7">
        <w:trPr>
          <w:trHeight w:val="222"/>
        </w:trPr>
        <w:tc>
          <w:tcPr>
            <w:tcW w:w="4116" w:type="pct"/>
            <w:vAlign w:val="center"/>
          </w:tcPr>
          <w:p w14:paraId="32ECACC0" w14:textId="705026FC" w:rsidR="00474641" w:rsidRPr="00EF2F18" w:rsidRDefault="00474641" w:rsidP="00AF36A7">
            <w:pPr>
              <w:spacing w:after="0"/>
              <w:rPr>
                <w:sz w:val="22"/>
                <w:lang w:val="sr-Cyrl-RS"/>
              </w:rPr>
            </w:pPr>
            <w:r w:rsidRPr="00EF2F18">
              <w:rPr>
                <w:sz w:val="22"/>
                <w:lang w:val="sr-Cyrl-RS"/>
              </w:rPr>
              <w:t xml:space="preserve">Остали трошкови подршке развоју циркуларне економије </w:t>
            </w:r>
          </w:p>
        </w:tc>
        <w:tc>
          <w:tcPr>
            <w:tcW w:w="884" w:type="pct"/>
            <w:vAlign w:val="center"/>
          </w:tcPr>
          <w:p w14:paraId="3CAC07BC" w14:textId="4DF490D9" w:rsidR="00474641" w:rsidRPr="00EF2F18" w:rsidRDefault="00474641" w:rsidP="00AF36A7">
            <w:pPr>
              <w:spacing w:after="0"/>
              <w:jc w:val="right"/>
              <w:rPr>
                <w:sz w:val="22"/>
                <w:lang w:val="sr-Cyrl-RS"/>
              </w:rPr>
            </w:pPr>
            <w:r w:rsidRPr="00EF2F18">
              <w:rPr>
                <w:sz w:val="22"/>
                <w:lang w:val="sr-Cyrl-RS"/>
              </w:rPr>
              <w:t>2</w:t>
            </w:r>
            <w:r w:rsidR="007149D3" w:rsidRPr="00EF2F18">
              <w:rPr>
                <w:sz w:val="22"/>
                <w:lang w:val="sr-Cyrl-RS"/>
              </w:rPr>
              <w:t>.</w:t>
            </w:r>
            <w:r w:rsidRPr="00EF2F18">
              <w:rPr>
                <w:sz w:val="22"/>
                <w:lang w:val="sr-Cyrl-RS"/>
              </w:rPr>
              <w:t>061</w:t>
            </w:r>
          </w:p>
        </w:tc>
      </w:tr>
      <w:tr w:rsidR="00474641" w:rsidRPr="00EF2F18" w14:paraId="71D1A543" w14:textId="77777777" w:rsidTr="00AF36A7">
        <w:trPr>
          <w:trHeight w:val="222"/>
        </w:trPr>
        <w:tc>
          <w:tcPr>
            <w:tcW w:w="4116" w:type="pct"/>
            <w:tcBorders>
              <w:bottom w:val="single" w:sz="8" w:space="0" w:color="auto"/>
            </w:tcBorders>
            <w:vAlign w:val="center"/>
          </w:tcPr>
          <w:p w14:paraId="6B1A1468" w14:textId="3A65C60D" w:rsidR="00474641" w:rsidRPr="00EF2F18" w:rsidRDefault="00474641" w:rsidP="00AF36A7">
            <w:pPr>
              <w:spacing w:after="0"/>
              <w:rPr>
                <w:b/>
                <w:bCs/>
                <w:sz w:val="22"/>
                <w:lang w:val="sr-Cyrl-RS"/>
              </w:rPr>
            </w:pPr>
            <w:r w:rsidRPr="00EF2F18">
              <w:rPr>
                <w:b/>
                <w:bCs/>
                <w:sz w:val="22"/>
                <w:lang w:val="sr-Cyrl-RS"/>
              </w:rPr>
              <w:t xml:space="preserve">Административни </w:t>
            </w:r>
            <w:r w:rsidR="00B31BB6" w:rsidRPr="00EF2F18">
              <w:rPr>
                <w:b/>
                <w:bCs/>
                <w:sz w:val="22"/>
                <w:lang w:val="sr-Cyrl-RS"/>
              </w:rPr>
              <w:t xml:space="preserve">и остали </w:t>
            </w:r>
            <w:r w:rsidR="00305B8A" w:rsidRPr="00EF2F18">
              <w:rPr>
                <w:b/>
                <w:bCs/>
                <w:sz w:val="22"/>
                <w:lang w:val="sr-Cyrl-RS"/>
              </w:rPr>
              <w:t>трошкови</w:t>
            </w:r>
          </w:p>
        </w:tc>
        <w:tc>
          <w:tcPr>
            <w:tcW w:w="884" w:type="pct"/>
            <w:tcBorders>
              <w:bottom w:val="single" w:sz="8" w:space="0" w:color="auto"/>
            </w:tcBorders>
            <w:vAlign w:val="center"/>
          </w:tcPr>
          <w:p w14:paraId="628DB7D1" w14:textId="6D6BA5CE" w:rsidR="00474641" w:rsidRPr="00EF2F18" w:rsidRDefault="00474641" w:rsidP="00AF36A7">
            <w:pPr>
              <w:spacing w:after="0"/>
              <w:jc w:val="right"/>
              <w:rPr>
                <w:b/>
                <w:bCs/>
                <w:sz w:val="22"/>
                <w:lang w:val="sr-Cyrl-RS"/>
              </w:rPr>
            </w:pPr>
            <w:r w:rsidRPr="00EF2F18">
              <w:rPr>
                <w:b/>
                <w:bCs/>
                <w:sz w:val="22"/>
                <w:lang w:val="sr-Cyrl-RS"/>
              </w:rPr>
              <w:t>2</w:t>
            </w:r>
            <w:r w:rsidR="007149D3" w:rsidRPr="00EF2F18">
              <w:rPr>
                <w:b/>
                <w:bCs/>
                <w:sz w:val="22"/>
                <w:lang w:val="sr-Cyrl-RS"/>
              </w:rPr>
              <w:t>.</w:t>
            </w:r>
            <w:r w:rsidRPr="00EF2F18">
              <w:rPr>
                <w:b/>
                <w:bCs/>
                <w:sz w:val="22"/>
                <w:lang w:val="sr-Cyrl-RS"/>
              </w:rPr>
              <w:t>155</w:t>
            </w:r>
          </w:p>
        </w:tc>
      </w:tr>
      <w:tr w:rsidR="00474641" w:rsidRPr="00EF2F18" w14:paraId="3B2A191D" w14:textId="77777777" w:rsidTr="00AF36A7">
        <w:trPr>
          <w:trHeight w:val="288"/>
        </w:trPr>
        <w:tc>
          <w:tcPr>
            <w:tcW w:w="4116" w:type="pct"/>
            <w:tcBorders>
              <w:top w:val="single" w:sz="8" w:space="0" w:color="auto"/>
              <w:left w:val="single" w:sz="2" w:space="0" w:color="auto"/>
              <w:bottom w:val="single" w:sz="8" w:space="0" w:color="auto"/>
              <w:right w:val="single" w:sz="2" w:space="0" w:color="auto"/>
            </w:tcBorders>
            <w:vAlign w:val="center"/>
          </w:tcPr>
          <w:p w14:paraId="12BE0177" w14:textId="77777777" w:rsidR="00474641" w:rsidRPr="00EF2F18" w:rsidRDefault="00474641" w:rsidP="00AF36A7">
            <w:pPr>
              <w:spacing w:after="0"/>
              <w:rPr>
                <w:b/>
                <w:bCs/>
                <w:color w:val="000000"/>
                <w:sz w:val="22"/>
                <w:lang w:val="sr-Cyrl-RS"/>
              </w:rPr>
            </w:pPr>
            <w:r w:rsidRPr="00EF2F18">
              <w:rPr>
                <w:b/>
                <w:bCs/>
                <w:color w:val="000000"/>
                <w:sz w:val="22"/>
                <w:lang w:val="sr-Cyrl-RS"/>
              </w:rPr>
              <w:t>Укупни трошкови</w:t>
            </w:r>
          </w:p>
        </w:tc>
        <w:tc>
          <w:tcPr>
            <w:tcW w:w="884" w:type="pct"/>
            <w:tcBorders>
              <w:top w:val="single" w:sz="8" w:space="0" w:color="auto"/>
              <w:left w:val="single" w:sz="2" w:space="0" w:color="auto"/>
              <w:bottom w:val="single" w:sz="8" w:space="0" w:color="auto"/>
              <w:right w:val="single" w:sz="2" w:space="0" w:color="auto"/>
            </w:tcBorders>
            <w:vAlign w:val="center"/>
          </w:tcPr>
          <w:p w14:paraId="1E4AEB1A" w14:textId="55C4BBCE" w:rsidR="00474641" w:rsidRPr="00EF2F18" w:rsidRDefault="00474641" w:rsidP="00AF36A7">
            <w:pPr>
              <w:spacing w:after="0"/>
              <w:jc w:val="right"/>
              <w:rPr>
                <w:b/>
                <w:bCs/>
                <w:sz w:val="22"/>
                <w:lang w:val="sr-Cyrl-RS"/>
              </w:rPr>
            </w:pPr>
            <w:r w:rsidRPr="00EF2F18">
              <w:rPr>
                <w:b/>
                <w:bCs/>
                <w:sz w:val="22"/>
                <w:lang w:val="sr-Cyrl-RS"/>
              </w:rPr>
              <w:t>1.298</w:t>
            </w:r>
            <w:r w:rsidR="007149D3" w:rsidRPr="00EF2F18">
              <w:rPr>
                <w:b/>
                <w:bCs/>
                <w:sz w:val="22"/>
                <w:lang w:val="sr-Cyrl-RS"/>
              </w:rPr>
              <w:t>.</w:t>
            </w:r>
            <w:r w:rsidRPr="00EF2F18">
              <w:rPr>
                <w:b/>
                <w:bCs/>
                <w:sz w:val="22"/>
                <w:lang w:val="sr-Cyrl-RS"/>
              </w:rPr>
              <w:t>841</w:t>
            </w:r>
          </w:p>
        </w:tc>
      </w:tr>
    </w:tbl>
    <w:p w14:paraId="5912511D" w14:textId="77777777" w:rsidR="00474641" w:rsidRPr="00EF2F18" w:rsidRDefault="00474641" w:rsidP="00474641">
      <w:pPr>
        <w:spacing w:after="0"/>
        <w:ind w:firstLine="720"/>
        <w:jc w:val="both"/>
        <w:rPr>
          <w:rFonts w:cs="Times New Roman"/>
          <w:sz w:val="22"/>
          <w:lang w:val="sr-Cyrl-RS" w:eastAsia="en-GB"/>
        </w:rPr>
      </w:pPr>
    </w:p>
    <w:p w14:paraId="2EBEAEBC" w14:textId="340F4F67" w:rsidR="00474641" w:rsidRPr="00EF2F18" w:rsidRDefault="00474641" w:rsidP="00474641">
      <w:pPr>
        <w:spacing w:after="0"/>
        <w:ind w:firstLine="720"/>
        <w:jc w:val="both"/>
        <w:rPr>
          <w:rFonts w:cs="Times New Roman"/>
          <w:sz w:val="22"/>
          <w:lang w:val="sr-Cyrl-RS" w:eastAsia="en-GB"/>
        </w:rPr>
      </w:pPr>
      <w:r w:rsidRPr="00EF2F18">
        <w:rPr>
          <w:rFonts w:cs="Times New Roman"/>
          <w:sz w:val="22"/>
          <w:lang w:val="sr-Cyrl-RS" w:eastAsia="en-GB"/>
        </w:rPr>
        <w:t>Процена укупних трошкова у области смањења загађења је дата на основу Програма заштите ваздуха у Републици Србији за период од 2022. до 2030. год</w:t>
      </w:r>
      <w:r w:rsidR="00161767">
        <w:rPr>
          <w:rFonts w:cs="Times New Roman"/>
          <w:sz w:val="22"/>
          <w:lang w:val="sr-Cyrl-RS" w:eastAsia="en-GB"/>
        </w:rPr>
        <w:t>ине са А</w:t>
      </w:r>
      <w:r w:rsidRPr="00EF2F18">
        <w:rPr>
          <w:rFonts w:cs="Times New Roman"/>
          <w:sz w:val="22"/>
          <w:lang w:val="sr-Cyrl-RS" w:eastAsia="en-GB"/>
        </w:rPr>
        <w:t xml:space="preserve">кционим планом, Стратегије управљања водама на територији Републике Србије до 2034. године, Плана управљања водама на територији Републике Србије до 2027. године и Специфичних планова имплементације за сваку од одговарајућих директива </w:t>
      </w:r>
      <w:r w:rsidR="00CB08D3" w:rsidRPr="00EF2F18">
        <w:rPr>
          <w:rFonts w:cs="Times New Roman"/>
          <w:sz w:val="22"/>
          <w:lang w:val="sr-Cyrl-RS" w:eastAsia="en-GB"/>
        </w:rPr>
        <w:t>ЕУ</w:t>
      </w:r>
      <w:r w:rsidRPr="00EF2F18">
        <w:rPr>
          <w:rFonts w:cs="Times New Roman"/>
          <w:sz w:val="22"/>
          <w:lang w:val="sr-Cyrl-RS" w:eastAsia="en-GB"/>
        </w:rPr>
        <w:t xml:space="preserve"> у области управљања водама и индустријским емисијама.</w:t>
      </w:r>
    </w:p>
    <w:p w14:paraId="64423D08" w14:textId="538556B6" w:rsidR="00474641" w:rsidRPr="00EF2F18" w:rsidRDefault="00474641" w:rsidP="00474641">
      <w:pPr>
        <w:spacing w:after="0"/>
        <w:ind w:firstLine="720"/>
        <w:jc w:val="both"/>
        <w:rPr>
          <w:rFonts w:cs="Times New Roman"/>
          <w:sz w:val="22"/>
          <w:lang w:val="sr-Cyrl-RS" w:eastAsia="en-GB"/>
        </w:rPr>
      </w:pPr>
      <w:r w:rsidRPr="00EF2F18">
        <w:rPr>
          <w:rFonts w:cs="Times New Roman"/>
          <w:b/>
          <w:bCs/>
          <w:sz w:val="22"/>
          <w:lang w:val="sr-Cyrl-RS" w:eastAsia="en-GB"/>
        </w:rPr>
        <w:t>Укупни процењени оквирни трошкови у оквиру области смањењ</w:t>
      </w:r>
      <w:r w:rsidR="00FD5116" w:rsidRPr="00EF2F18">
        <w:rPr>
          <w:rFonts w:cs="Times New Roman"/>
          <w:b/>
          <w:bCs/>
          <w:sz w:val="22"/>
          <w:lang w:val="sr-Cyrl-RS" w:eastAsia="en-GB"/>
        </w:rPr>
        <w:t>а</w:t>
      </w:r>
      <w:r w:rsidRPr="00EF2F18">
        <w:rPr>
          <w:rFonts w:cs="Times New Roman"/>
          <w:b/>
          <w:bCs/>
          <w:sz w:val="22"/>
          <w:lang w:val="sr-Cyrl-RS" w:eastAsia="en-GB"/>
        </w:rPr>
        <w:t xml:space="preserve"> загађења у периоду </w:t>
      </w:r>
      <w:r w:rsidR="0099367E" w:rsidRPr="00EF2F18">
        <w:rPr>
          <w:rFonts w:cs="Times New Roman"/>
          <w:b/>
          <w:bCs/>
          <w:sz w:val="22"/>
          <w:lang w:val="sr-Cyrl-RS" w:eastAsia="en-GB"/>
        </w:rPr>
        <w:t xml:space="preserve">до </w:t>
      </w:r>
      <w:r w:rsidRPr="00EF2F18">
        <w:rPr>
          <w:rFonts w:cs="Times New Roman"/>
          <w:b/>
          <w:bCs/>
          <w:sz w:val="22"/>
          <w:lang w:val="sr-Cyrl-RS" w:eastAsia="en-GB"/>
        </w:rPr>
        <w:t xml:space="preserve">2033. </w:t>
      </w:r>
      <w:r w:rsidR="0099367E" w:rsidRPr="00EF2F18">
        <w:rPr>
          <w:rFonts w:cs="Times New Roman"/>
          <w:b/>
          <w:bCs/>
          <w:sz w:val="22"/>
          <w:lang w:val="sr-Cyrl-RS" w:eastAsia="en-GB"/>
        </w:rPr>
        <w:t xml:space="preserve">године </w:t>
      </w:r>
      <w:r w:rsidRPr="00EF2F18">
        <w:rPr>
          <w:rFonts w:cs="Times New Roman"/>
          <w:b/>
          <w:bCs/>
          <w:sz w:val="22"/>
          <w:lang w:val="sr-Cyrl-RS" w:eastAsia="en-GB"/>
        </w:rPr>
        <w:t>износе око 5,6</w:t>
      </w:r>
      <w:r w:rsidR="00950CCB" w:rsidRPr="00EF2F18">
        <w:rPr>
          <w:rFonts w:cs="Times New Roman"/>
          <w:b/>
          <w:bCs/>
          <w:sz w:val="22"/>
          <w:lang w:val="sr-Cyrl-RS" w:eastAsia="en-GB"/>
        </w:rPr>
        <w:t>75</w:t>
      </w:r>
      <w:r w:rsidRPr="00EF2F18">
        <w:rPr>
          <w:rFonts w:cs="Times New Roman"/>
          <w:b/>
          <w:bCs/>
          <w:sz w:val="22"/>
          <w:lang w:val="sr-Cyrl-RS" w:eastAsia="en-GB"/>
        </w:rPr>
        <w:t xml:space="preserve"> милијарди </w:t>
      </w:r>
      <w:r w:rsidR="00637A2D" w:rsidRPr="00EF2F18">
        <w:rPr>
          <w:rFonts w:cs="Times New Roman"/>
          <w:b/>
          <w:bCs/>
          <w:sz w:val="22"/>
          <w:lang w:val="sr-Cyrl-RS" w:eastAsia="en-GB"/>
        </w:rPr>
        <w:t>ЕУР</w:t>
      </w:r>
      <w:r w:rsidRPr="00EF2F18">
        <w:rPr>
          <w:rFonts w:cs="Times New Roman"/>
          <w:b/>
          <w:bCs/>
          <w:sz w:val="22"/>
          <w:lang w:val="sr-Cyrl-RS" w:eastAsia="en-GB"/>
        </w:rPr>
        <w:t>.</w:t>
      </w:r>
      <w:r w:rsidRPr="00EF2F18">
        <w:rPr>
          <w:rStyle w:val="FootnoteReference"/>
          <w:rFonts w:ascii="Times New Roman" w:hAnsi="Times New Roman" w:cs="Times New Roman"/>
          <w:b/>
          <w:bCs/>
          <w:sz w:val="22"/>
          <w:lang w:val="sr-Cyrl-RS" w:eastAsia="en-GB"/>
        </w:rPr>
        <w:footnoteReference w:id="23"/>
      </w:r>
      <w:r w:rsidRPr="00EF2F18">
        <w:rPr>
          <w:rFonts w:cs="Times New Roman"/>
          <w:b/>
          <w:bCs/>
          <w:sz w:val="22"/>
          <w:lang w:val="sr-Cyrl-RS" w:eastAsia="en-GB"/>
        </w:rPr>
        <w:t xml:space="preserve"> </w:t>
      </w:r>
      <w:r w:rsidRPr="00EF2F18">
        <w:rPr>
          <w:rFonts w:cs="Times New Roman"/>
          <w:sz w:val="22"/>
          <w:lang w:val="sr-Cyrl-RS" w:eastAsia="en-GB"/>
        </w:rPr>
        <w:t>Укупан износ инвестиционих трошкова неопходних за смањење загађења у Републици Србији до 2033. године износи 5,</w:t>
      </w:r>
      <w:r w:rsidR="00950CCB" w:rsidRPr="00EF2F18">
        <w:rPr>
          <w:rFonts w:cs="Times New Roman"/>
          <w:sz w:val="22"/>
          <w:lang w:val="sr-Cyrl-RS" w:eastAsia="en-GB"/>
        </w:rPr>
        <w:t>599</w:t>
      </w:r>
      <w:r w:rsidR="00EB48B8" w:rsidRPr="00EF2F18">
        <w:rPr>
          <w:rFonts w:cs="Times New Roman"/>
          <w:sz w:val="22"/>
          <w:lang w:val="sr-Cyrl-RS" w:eastAsia="en-GB"/>
        </w:rPr>
        <w:t xml:space="preserve"> милијарди </w:t>
      </w:r>
      <w:r w:rsidR="00DD0F76" w:rsidRPr="00EF2F18">
        <w:rPr>
          <w:rFonts w:cs="Times New Roman"/>
          <w:sz w:val="22"/>
          <w:lang w:val="sr-Cyrl-RS" w:eastAsia="en-GB"/>
        </w:rPr>
        <w:t>ЕУР</w:t>
      </w:r>
      <w:r w:rsidR="00EB48B8" w:rsidRPr="00EF2F18">
        <w:rPr>
          <w:rFonts w:cs="Times New Roman"/>
          <w:sz w:val="22"/>
          <w:lang w:val="sr-Cyrl-RS" w:eastAsia="en-GB"/>
        </w:rPr>
        <w:t>,</w:t>
      </w:r>
      <w:r w:rsidR="009D0298" w:rsidRPr="00EF2F18">
        <w:rPr>
          <w:rFonts w:cs="Times New Roman"/>
          <w:sz w:val="22"/>
          <w:lang w:val="sr-Cyrl-RS" w:eastAsia="en-GB"/>
        </w:rPr>
        <w:t xml:space="preserve"> </w:t>
      </w:r>
      <w:r w:rsidR="007470CD" w:rsidRPr="00EF2F18">
        <w:rPr>
          <w:rFonts w:cs="Times New Roman"/>
          <w:sz w:val="22"/>
          <w:lang w:val="sr-Cyrl-RS" w:eastAsia="en-GB"/>
        </w:rPr>
        <w:t xml:space="preserve">укључујући и финансијске подстицаје. Административни (плате и обуке запослених) </w:t>
      </w:r>
      <w:r w:rsidR="007470CD" w:rsidRPr="00EF2F18">
        <w:rPr>
          <w:rFonts w:eastAsia="Times New Roman" w:cs="Times New Roman"/>
          <w:color w:val="000000"/>
          <w:sz w:val="22"/>
          <w:lang w:val="sr-Cyrl-RS" w:eastAsia="sr-Latn-RS"/>
        </w:rPr>
        <w:t xml:space="preserve">и остали </w:t>
      </w:r>
      <w:r w:rsidR="007470CD" w:rsidRPr="00EF2F18">
        <w:rPr>
          <w:rFonts w:cs="Times New Roman"/>
          <w:sz w:val="22"/>
          <w:lang w:val="sr-Cyrl-RS" w:eastAsia="en-GB"/>
        </w:rPr>
        <w:t>трошкови (који се односе на увођење одређених процедура, израду стратешких докумената – планова и студија, израду техничке документације, спровођење мониторинга и слично) износе 0,0</w:t>
      </w:r>
      <w:r w:rsidR="00097F1A" w:rsidRPr="00EF2F18">
        <w:rPr>
          <w:rFonts w:cs="Times New Roman"/>
          <w:sz w:val="22"/>
          <w:lang w:val="sr-Cyrl-RS" w:eastAsia="en-GB"/>
        </w:rPr>
        <w:t>75</w:t>
      </w:r>
      <w:r w:rsidR="007470CD" w:rsidRPr="00EF2F18">
        <w:rPr>
          <w:rFonts w:cs="Times New Roman"/>
          <w:sz w:val="22"/>
          <w:lang w:val="sr-Cyrl-RS" w:eastAsia="en-GB"/>
        </w:rPr>
        <w:t xml:space="preserve"> милијарди </w:t>
      </w:r>
      <w:r w:rsidR="00DD0F76" w:rsidRPr="00EF2F18">
        <w:rPr>
          <w:rFonts w:cs="Times New Roman"/>
          <w:sz w:val="22"/>
          <w:lang w:val="sr-Cyrl-RS" w:eastAsia="en-GB"/>
        </w:rPr>
        <w:t>ЕУР</w:t>
      </w:r>
      <w:r w:rsidRPr="00EF2F18">
        <w:rPr>
          <w:rFonts w:cs="Times New Roman"/>
          <w:sz w:val="22"/>
          <w:lang w:val="sr-Cyrl-RS" w:eastAsia="en-GB"/>
        </w:rPr>
        <w:t>.</w:t>
      </w:r>
      <w:r w:rsidR="006C2E00" w:rsidRPr="00EF2F18">
        <w:rPr>
          <w:rFonts w:cs="Times New Roman"/>
          <w:sz w:val="22"/>
          <w:lang w:val="sr-Cyrl-RS" w:eastAsia="en-GB"/>
        </w:rPr>
        <w:t xml:space="preserve"> </w:t>
      </w:r>
    </w:p>
    <w:p w14:paraId="5C2C5AD5" w14:textId="0324E14F" w:rsidR="00474641" w:rsidRPr="00EF2F18" w:rsidRDefault="007470CD" w:rsidP="00474641">
      <w:pPr>
        <w:spacing w:after="0"/>
        <w:ind w:firstLine="720"/>
        <w:jc w:val="both"/>
        <w:rPr>
          <w:rFonts w:cs="Times New Roman"/>
          <w:sz w:val="22"/>
          <w:lang w:val="sr-Cyrl-RS" w:eastAsia="en-GB"/>
        </w:rPr>
      </w:pPr>
      <w:r w:rsidRPr="00EF2F18">
        <w:rPr>
          <w:rFonts w:cs="Times New Roman"/>
          <w:sz w:val="22"/>
          <w:lang w:val="sr-Cyrl-RS" w:eastAsia="en-GB"/>
        </w:rPr>
        <w:t xml:space="preserve">Од укупног износа трошкова неопходних за превенцију и контролу загађења из индустрије (1.311.427 хиљада ЕУР) износ од 0,421 милион ЕУР представља трошак предузећа у периоду </w:t>
      </w:r>
      <w:r w:rsidR="00C650C1" w:rsidRPr="00EF2F18">
        <w:rPr>
          <w:rFonts w:cs="Times New Roman"/>
          <w:sz w:val="22"/>
          <w:lang w:val="sr-Cyrl-RS" w:eastAsia="en-GB"/>
        </w:rPr>
        <w:t xml:space="preserve">до </w:t>
      </w:r>
      <w:r w:rsidRPr="00EF2F18">
        <w:rPr>
          <w:rFonts w:cs="Times New Roman"/>
          <w:sz w:val="22"/>
          <w:lang w:val="sr-Cyrl-RS" w:eastAsia="en-GB"/>
        </w:rPr>
        <w:t xml:space="preserve">2033. </w:t>
      </w:r>
      <w:r w:rsidR="00C650C1" w:rsidRPr="00EF2F18">
        <w:rPr>
          <w:rFonts w:cs="Times New Roman"/>
          <w:sz w:val="22"/>
          <w:lang w:val="sr-Cyrl-RS" w:eastAsia="en-GB"/>
        </w:rPr>
        <w:t>године</w:t>
      </w:r>
      <w:r w:rsidRPr="00EF2F18">
        <w:rPr>
          <w:rFonts w:cs="Times New Roman"/>
          <w:sz w:val="22"/>
          <w:lang w:val="sr-Cyrl-RS" w:eastAsia="en-GB"/>
        </w:rPr>
        <w:t>.</w:t>
      </w:r>
    </w:p>
    <w:p w14:paraId="17A414BC" w14:textId="77777777" w:rsidR="0057659D" w:rsidRPr="00EF2F18" w:rsidRDefault="0057659D" w:rsidP="00474641">
      <w:pPr>
        <w:spacing w:after="0"/>
        <w:ind w:firstLine="720"/>
        <w:jc w:val="both"/>
        <w:rPr>
          <w:rFonts w:cs="Times New Roman"/>
          <w:sz w:val="22"/>
          <w:lang w:val="sr-Cyrl-RS" w:eastAsia="en-GB"/>
        </w:rPr>
      </w:pPr>
    </w:p>
    <w:p w14:paraId="2CA5920B" w14:textId="64AFF1C7" w:rsidR="00474641" w:rsidRPr="00EF2F18" w:rsidRDefault="00474641" w:rsidP="00474641">
      <w:pPr>
        <w:pStyle w:val="Caption"/>
        <w:spacing w:after="0" w:line="240" w:lineRule="auto"/>
        <w:rPr>
          <w:rFonts w:ascii="Times New Roman" w:hAnsi="Times New Roman"/>
          <w:b w:val="0"/>
          <w:bCs w:val="0"/>
          <w:sz w:val="22"/>
          <w:szCs w:val="22"/>
          <w:lang w:val="sr-Cyrl-RS"/>
        </w:rPr>
      </w:pPr>
      <w:r w:rsidRPr="00EF2F18">
        <w:rPr>
          <w:rFonts w:ascii="Times New Roman" w:hAnsi="Times New Roman"/>
          <w:sz w:val="22"/>
          <w:szCs w:val="22"/>
          <w:lang w:val="sr-Cyrl-RS"/>
        </w:rPr>
        <w:t>Табела 7.</w:t>
      </w:r>
      <w:r w:rsidR="00DE1478" w:rsidRPr="00EF2F18">
        <w:rPr>
          <w:rFonts w:ascii="Times New Roman" w:hAnsi="Times New Roman"/>
          <w:sz w:val="22"/>
          <w:szCs w:val="22"/>
          <w:lang w:val="sr-Cyrl-RS"/>
        </w:rPr>
        <w:t>3</w:t>
      </w:r>
      <w:r w:rsidRPr="00EF2F18">
        <w:rPr>
          <w:rFonts w:ascii="Times New Roman" w:hAnsi="Times New Roman"/>
          <w:sz w:val="22"/>
          <w:szCs w:val="22"/>
          <w:lang w:val="sr-Cyrl-RS"/>
        </w:rPr>
        <w:t xml:space="preserve">. </w:t>
      </w:r>
      <w:r w:rsidRPr="00EF2F18">
        <w:rPr>
          <w:rFonts w:ascii="Times New Roman" w:hAnsi="Times New Roman"/>
          <w:b w:val="0"/>
          <w:bCs w:val="0"/>
          <w:sz w:val="22"/>
          <w:szCs w:val="22"/>
          <w:lang w:val="sr-Cyrl-RS"/>
        </w:rPr>
        <w:t xml:space="preserve">Укупни </w:t>
      </w:r>
      <w:r w:rsidRPr="00EF2F18">
        <w:rPr>
          <w:rFonts w:ascii="Times New Roman" w:hAnsi="Times New Roman"/>
          <w:b w:val="0"/>
          <w:bCs w:val="0"/>
          <w:iCs/>
          <w:sz w:val="22"/>
          <w:szCs w:val="22"/>
          <w:lang w:val="sr-Cyrl-RS"/>
        </w:rPr>
        <w:t>процењени</w:t>
      </w:r>
      <w:r w:rsidR="006C2E00" w:rsidRPr="00EF2F18">
        <w:rPr>
          <w:rFonts w:ascii="Times New Roman" w:hAnsi="Times New Roman"/>
          <w:b w:val="0"/>
          <w:bCs w:val="0"/>
          <w:iCs/>
          <w:sz w:val="22"/>
          <w:szCs w:val="22"/>
          <w:lang w:val="sr-Cyrl-RS"/>
        </w:rPr>
        <w:t xml:space="preserve"> </w:t>
      </w:r>
      <w:r w:rsidRPr="00EF2F18">
        <w:rPr>
          <w:rFonts w:ascii="Times New Roman" w:hAnsi="Times New Roman"/>
          <w:b w:val="0"/>
          <w:bCs w:val="0"/>
          <w:iCs/>
          <w:sz w:val="22"/>
          <w:szCs w:val="22"/>
          <w:lang w:val="sr-Cyrl-RS"/>
        </w:rPr>
        <w:t xml:space="preserve">оквирни </w:t>
      </w:r>
      <w:r w:rsidRPr="00EF2F18">
        <w:rPr>
          <w:rFonts w:ascii="Times New Roman" w:hAnsi="Times New Roman"/>
          <w:b w:val="0"/>
          <w:bCs w:val="0"/>
          <w:sz w:val="22"/>
          <w:szCs w:val="22"/>
          <w:lang w:val="sr-Cyrl-RS"/>
        </w:rPr>
        <w:t>трошкови у области смањења загађења</w:t>
      </w:r>
      <w:r w:rsidR="003D1F23" w:rsidRPr="00EF2F18">
        <w:rPr>
          <w:rFonts w:ascii="Times New Roman" w:hAnsi="Times New Roman"/>
          <w:b w:val="0"/>
          <w:bCs w:val="0"/>
          <w:sz w:val="22"/>
          <w:szCs w:val="22"/>
          <w:lang w:val="sr-Cyrl-RS"/>
        </w:rPr>
        <w:t xml:space="preserve"> за период до 2033. године</w:t>
      </w:r>
      <w:r w:rsidRPr="00EF2F18">
        <w:rPr>
          <w:rFonts w:ascii="Times New Roman" w:hAnsi="Times New Roman"/>
          <w:b w:val="0"/>
          <w:bCs w:val="0"/>
          <w:sz w:val="22"/>
          <w:szCs w:val="22"/>
          <w:lang w:val="sr-Cyrl-RS"/>
        </w:rPr>
        <w:t xml:space="preserve"> (</w:t>
      </w:r>
      <w:r w:rsidR="0044403F" w:rsidRPr="00EF2F18">
        <w:rPr>
          <w:rFonts w:ascii="Times New Roman" w:hAnsi="Times New Roman"/>
          <w:b w:val="0"/>
          <w:bCs w:val="0"/>
          <w:sz w:val="22"/>
          <w:szCs w:val="22"/>
          <w:lang w:val="sr-Cyrl-RS"/>
        </w:rPr>
        <w:t xml:space="preserve">у хиљадама </w:t>
      </w:r>
      <w:r w:rsidR="00DD0F76" w:rsidRPr="00EF2F18">
        <w:rPr>
          <w:rFonts w:ascii="Times New Roman" w:hAnsi="Times New Roman"/>
          <w:b w:val="0"/>
          <w:bCs w:val="0"/>
          <w:sz w:val="22"/>
          <w:szCs w:val="22"/>
          <w:lang w:val="sr-Cyrl-RS"/>
        </w:rPr>
        <w:t>ЕУР</w:t>
      </w:r>
      <w:r w:rsidRPr="00EF2F18">
        <w:rPr>
          <w:rFonts w:ascii="Times New Roman" w:hAnsi="Times New Roman"/>
          <w:b w:val="0"/>
          <w:bCs w:val="0"/>
          <w:sz w:val="22"/>
          <w:szCs w:val="22"/>
          <w:lang w:val="sr-Cyrl-RS"/>
        </w:rPr>
        <w:t>, константне цене из 2024.)</w:t>
      </w:r>
    </w:p>
    <w:tbl>
      <w:tblPr>
        <w:tblStyle w:val="TableGrid2"/>
        <w:tblW w:w="4934" w:type="pct"/>
        <w:tblLayout w:type="fixed"/>
        <w:tblLook w:val="0000" w:firstRow="0" w:lastRow="0" w:firstColumn="0" w:lastColumn="0" w:noHBand="0" w:noVBand="0"/>
      </w:tblPr>
      <w:tblGrid>
        <w:gridCol w:w="7325"/>
        <w:gridCol w:w="1573"/>
      </w:tblGrid>
      <w:tr w:rsidR="00474641" w:rsidRPr="00EF2F18" w14:paraId="7A6C7848" w14:textId="77777777" w:rsidTr="00957690">
        <w:trPr>
          <w:trHeight w:val="171"/>
        </w:trPr>
        <w:tc>
          <w:tcPr>
            <w:tcW w:w="4116" w:type="pct"/>
            <w:tcBorders>
              <w:top w:val="single" w:sz="4" w:space="0" w:color="auto"/>
              <w:bottom w:val="single" w:sz="4" w:space="0" w:color="auto"/>
            </w:tcBorders>
            <w:shd w:val="clear" w:color="auto" w:fill="FFFFCC"/>
            <w:vAlign w:val="center"/>
          </w:tcPr>
          <w:p w14:paraId="66E082B7" w14:textId="77777777" w:rsidR="00474641" w:rsidRPr="00EF2F18" w:rsidRDefault="00474641" w:rsidP="00AF36A7">
            <w:pPr>
              <w:spacing w:after="0"/>
              <w:jc w:val="center"/>
              <w:rPr>
                <w:b/>
                <w:bCs/>
                <w:color w:val="000000"/>
                <w:sz w:val="22"/>
                <w:lang w:val="sr-Cyrl-RS"/>
              </w:rPr>
            </w:pPr>
            <w:r w:rsidRPr="00EF2F18">
              <w:rPr>
                <w:b/>
                <w:bCs/>
                <w:color w:val="000000"/>
                <w:sz w:val="22"/>
                <w:lang w:val="sr-Cyrl-RS"/>
              </w:rPr>
              <w:t>Област</w:t>
            </w:r>
          </w:p>
        </w:tc>
        <w:tc>
          <w:tcPr>
            <w:tcW w:w="884" w:type="pct"/>
            <w:tcBorders>
              <w:top w:val="single" w:sz="4" w:space="0" w:color="auto"/>
              <w:bottom w:val="single" w:sz="4" w:space="0" w:color="auto"/>
            </w:tcBorders>
            <w:shd w:val="clear" w:color="auto" w:fill="FFFFCC"/>
          </w:tcPr>
          <w:p w14:paraId="4E0394B3" w14:textId="38E43E1C" w:rsidR="00474641" w:rsidRPr="00EF2F18" w:rsidRDefault="00C650C1" w:rsidP="00AF36A7">
            <w:pPr>
              <w:spacing w:after="0"/>
              <w:jc w:val="center"/>
              <w:rPr>
                <w:b/>
                <w:bCs/>
                <w:color w:val="000000"/>
                <w:sz w:val="22"/>
                <w:lang w:val="sr-Cyrl-RS"/>
              </w:rPr>
            </w:pPr>
            <w:r w:rsidRPr="00EF2F18">
              <w:rPr>
                <w:b/>
                <w:bCs/>
                <w:color w:val="000000"/>
                <w:sz w:val="22"/>
                <w:lang w:val="sr-Cyrl-RS"/>
              </w:rPr>
              <w:t xml:space="preserve">до </w:t>
            </w:r>
            <w:r w:rsidR="00474641" w:rsidRPr="00EF2F18">
              <w:rPr>
                <w:b/>
                <w:bCs/>
                <w:color w:val="000000"/>
                <w:sz w:val="22"/>
                <w:lang w:val="sr-Cyrl-RS"/>
              </w:rPr>
              <w:t>2033.</w:t>
            </w:r>
          </w:p>
        </w:tc>
      </w:tr>
      <w:tr w:rsidR="00474641" w:rsidRPr="00EF2F18" w14:paraId="27F8C3E2" w14:textId="77777777" w:rsidTr="00957690">
        <w:trPr>
          <w:trHeight w:val="229"/>
        </w:trPr>
        <w:tc>
          <w:tcPr>
            <w:tcW w:w="4116" w:type="pct"/>
            <w:tcBorders>
              <w:top w:val="single" w:sz="4" w:space="0" w:color="auto"/>
            </w:tcBorders>
            <w:vAlign w:val="center"/>
          </w:tcPr>
          <w:p w14:paraId="2E4F5985" w14:textId="77777777" w:rsidR="00474641" w:rsidRPr="00EF2F18" w:rsidRDefault="00474641" w:rsidP="00AF36A7">
            <w:pPr>
              <w:spacing w:after="0"/>
              <w:rPr>
                <w:sz w:val="22"/>
                <w:lang w:val="sr-Cyrl-RS"/>
              </w:rPr>
            </w:pPr>
            <w:r w:rsidRPr="00EF2F18">
              <w:rPr>
                <w:sz w:val="22"/>
                <w:lang w:val="sr-Cyrl-RS"/>
              </w:rPr>
              <w:t>Побољшање квалитета ваздуха</w:t>
            </w:r>
          </w:p>
        </w:tc>
        <w:tc>
          <w:tcPr>
            <w:tcW w:w="884" w:type="pct"/>
            <w:tcBorders>
              <w:top w:val="single" w:sz="4" w:space="0" w:color="auto"/>
            </w:tcBorders>
            <w:vAlign w:val="center"/>
          </w:tcPr>
          <w:p w14:paraId="352A046E" w14:textId="37B5DF51" w:rsidR="00474641" w:rsidRPr="00EF2F18" w:rsidRDefault="00474641" w:rsidP="00AF36A7">
            <w:pPr>
              <w:spacing w:after="0"/>
              <w:jc w:val="right"/>
              <w:rPr>
                <w:sz w:val="22"/>
                <w:lang w:val="sr-Cyrl-RS"/>
              </w:rPr>
            </w:pPr>
            <w:r w:rsidRPr="00EF2F18">
              <w:rPr>
                <w:sz w:val="22"/>
                <w:lang w:val="sr-Cyrl-RS"/>
              </w:rPr>
              <w:t>2.</w:t>
            </w:r>
            <w:r w:rsidR="00EB48B8" w:rsidRPr="00EF2F18">
              <w:rPr>
                <w:sz w:val="22"/>
                <w:lang w:val="sr-Cyrl-RS"/>
              </w:rPr>
              <w:t>594</w:t>
            </w:r>
            <w:r w:rsidR="0044403F" w:rsidRPr="00EF2F18">
              <w:rPr>
                <w:sz w:val="22"/>
                <w:lang w:val="sr-Cyrl-RS"/>
              </w:rPr>
              <w:t>.</w:t>
            </w:r>
            <w:r w:rsidR="00EB48B8" w:rsidRPr="00EF2F18">
              <w:rPr>
                <w:sz w:val="22"/>
                <w:lang w:val="sr-Cyrl-RS"/>
              </w:rPr>
              <w:t>610</w:t>
            </w:r>
          </w:p>
        </w:tc>
      </w:tr>
      <w:tr w:rsidR="00474641" w:rsidRPr="00EF2F18" w14:paraId="671B9495" w14:textId="77777777" w:rsidTr="00957690">
        <w:trPr>
          <w:trHeight w:val="299"/>
        </w:trPr>
        <w:tc>
          <w:tcPr>
            <w:tcW w:w="4116" w:type="pct"/>
            <w:vAlign w:val="center"/>
          </w:tcPr>
          <w:p w14:paraId="0D7F795D" w14:textId="77777777" w:rsidR="00474641" w:rsidRPr="00EF2F18" w:rsidRDefault="00474641" w:rsidP="00AF36A7">
            <w:pPr>
              <w:spacing w:after="0"/>
              <w:rPr>
                <w:sz w:val="22"/>
                <w:lang w:val="sr-Cyrl-RS"/>
              </w:rPr>
            </w:pPr>
            <w:r w:rsidRPr="00EF2F18">
              <w:rPr>
                <w:sz w:val="22"/>
                <w:lang w:val="sr-Cyrl-RS"/>
              </w:rPr>
              <w:t>Унапређење квалитета вода кроз интегрално управљање водама уз ефективну контролу загађења</w:t>
            </w:r>
          </w:p>
        </w:tc>
        <w:tc>
          <w:tcPr>
            <w:tcW w:w="884" w:type="pct"/>
            <w:vAlign w:val="center"/>
          </w:tcPr>
          <w:p w14:paraId="6E5FAA77" w14:textId="5744EC08" w:rsidR="00474641" w:rsidRPr="00EF2F18" w:rsidRDefault="00474641" w:rsidP="00AF36A7">
            <w:pPr>
              <w:spacing w:after="0"/>
              <w:jc w:val="right"/>
              <w:rPr>
                <w:sz w:val="22"/>
                <w:lang w:val="sr-Cyrl-RS"/>
              </w:rPr>
            </w:pPr>
            <w:r w:rsidRPr="00EF2F18">
              <w:rPr>
                <w:sz w:val="22"/>
                <w:lang w:val="sr-Cyrl-RS"/>
              </w:rPr>
              <w:t>1.693</w:t>
            </w:r>
            <w:r w:rsidR="0044403F" w:rsidRPr="00EF2F18">
              <w:rPr>
                <w:sz w:val="22"/>
                <w:lang w:val="sr-Cyrl-RS"/>
              </w:rPr>
              <w:t>.</w:t>
            </w:r>
            <w:r w:rsidRPr="00EF2F18">
              <w:rPr>
                <w:sz w:val="22"/>
                <w:lang w:val="sr-Cyrl-RS"/>
              </w:rPr>
              <w:t>107</w:t>
            </w:r>
          </w:p>
        </w:tc>
      </w:tr>
      <w:tr w:rsidR="00474641" w:rsidRPr="00EF2F18" w14:paraId="5D756AF4" w14:textId="77777777" w:rsidTr="00957690">
        <w:trPr>
          <w:trHeight w:val="246"/>
        </w:trPr>
        <w:tc>
          <w:tcPr>
            <w:tcW w:w="4116" w:type="pct"/>
            <w:vAlign w:val="center"/>
          </w:tcPr>
          <w:p w14:paraId="282013FD" w14:textId="77777777" w:rsidR="00474641" w:rsidRPr="00EF2F18" w:rsidRDefault="00474641" w:rsidP="00AF36A7">
            <w:pPr>
              <w:spacing w:after="0"/>
              <w:rPr>
                <w:sz w:val="22"/>
                <w:lang w:val="sr-Cyrl-RS"/>
              </w:rPr>
            </w:pPr>
            <w:r w:rsidRPr="00EF2F18">
              <w:rPr>
                <w:sz w:val="22"/>
                <w:lang w:val="sr-Cyrl-RS"/>
              </w:rPr>
              <w:t>Превенција и контрола загађења из индустрије, интегрисано управљање хемикалијама и управљање ризиком од великих удеса који укључују опасне супстанце</w:t>
            </w:r>
          </w:p>
        </w:tc>
        <w:tc>
          <w:tcPr>
            <w:tcW w:w="884" w:type="pct"/>
            <w:vAlign w:val="center"/>
          </w:tcPr>
          <w:p w14:paraId="71AB8E0D" w14:textId="0A1FE54C" w:rsidR="00474641" w:rsidRPr="00EF2F18" w:rsidRDefault="00474641" w:rsidP="00AF36A7">
            <w:pPr>
              <w:spacing w:after="0"/>
              <w:jc w:val="right"/>
              <w:rPr>
                <w:sz w:val="22"/>
                <w:lang w:val="sr-Cyrl-RS"/>
              </w:rPr>
            </w:pPr>
            <w:r w:rsidRPr="00EF2F18">
              <w:rPr>
                <w:sz w:val="22"/>
                <w:lang w:val="sr-Cyrl-RS"/>
              </w:rPr>
              <w:t>1.311</w:t>
            </w:r>
            <w:r w:rsidR="0044403F" w:rsidRPr="00EF2F18">
              <w:rPr>
                <w:sz w:val="22"/>
                <w:lang w:val="sr-Cyrl-RS"/>
              </w:rPr>
              <w:t>.</w:t>
            </w:r>
            <w:r w:rsidRPr="00EF2F18">
              <w:rPr>
                <w:sz w:val="22"/>
                <w:lang w:val="sr-Cyrl-RS"/>
              </w:rPr>
              <w:t>427</w:t>
            </w:r>
          </w:p>
        </w:tc>
      </w:tr>
      <w:tr w:rsidR="00474641" w:rsidRPr="00EF2F18" w14:paraId="3AD2292A" w14:textId="77777777" w:rsidTr="00957690">
        <w:trPr>
          <w:trHeight w:val="246"/>
        </w:trPr>
        <w:tc>
          <w:tcPr>
            <w:tcW w:w="4116" w:type="pct"/>
            <w:vAlign w:val="center"/>
          </w:tcPr>
          <w:p w14:paraId="7C94F192" w14:textId="77777777" w:rsidR="00474641" w:rsidRPr="00EF2F18" w:rsidRDefault="00474641" w:rsidP="00AF36A7">
            <w:pPr>
              <w:spacing w:after="0"/>
              <w:rPr>
                <w:b/>
                <w:bCs/>
                <w:sz w:val="22"/>
                <w:lang w:val="sr-Cyrl-RS"/>
              </w:rPr>
            </w:pPr>
            <w:r w:rsidRPr="00EF2F18">
              <w:rPr>
                <w:b/>
                <w:bCs/>
                <w:sz w:val="22"/>
                <w:lang w:val="sr-Cyrl-RS"/>
              </w:rPr>
              <w:t>Инвестициони трошкови</w:t>
            </w:r>
          </w:p>
        </w:tc>
        <w:tc>
          <w:tcPr>
            <w:tcW w:w="884" w:type="pct"/>
            <w:vAlign w:val="center"/>
          </w:tcPr>
          <w:p w14:paraId="7904738F" w14:textId="2FA1BC96" w:rsidR="00474641" w:rsidRPr="00EF2F18" w:rsidRDefault="00474641" w:rsidP="00AF36A7">
            <w:pPr>
              <w:spacing w:after="0"/>
              <w:jc w:val="right"/>
              <w:rPr>
                <w:b/>
                <w:bCs/>
                <w:sz w:val="22"/>
                <w:lang w:val="sr-Cyrl-RS"/>
              </w:rPr>
            </w:pPr>
            <w:r w:rsidRPr="00EF2F18">
              <w:rPr>
                <w:b/>
                <w:bCs/>
                <w:sz w:val="22"/>
                <w:lang w:val="sr-Cyrl-RS"/>
              </w:rPr>
              <w:t>5.</w:t>
            </w:r>
            <w:r w:rsidR="00EB48B8" w:rsidRPr="00EF2F18">
              <w:rPr>
                <w:b/>
                <w:bCs/>
                <w:sz w:val="22"/>
                <w:lang w:val="sr-Cyrl-RS"/>
              </w:rPr>
              <w:t>599</w:t>
            </w:r>
            <w:r w:rsidR="0044403F" w:rsidRPr="00EF2F18">
              <w:rPr>
                <w:b/>
                <w:bCs/>
                <w:sz w:val="22"/>
                <w:lang w:val="sr-Cyrl-RS"/>
              </w:rPr>
              <w:t>.</w:t>
            </w:r>
            <w:r w:rsidR="00EB48B8" w:rsidRPr="00EF2F18">
              <w:rPr>
                <w:b/>
                <w:bCs/>
                <w:sz w:val="22"/>
                <w:lang w:val="sr-Cyrl-RS"/>
              </w:rPr>
              <w:t>144</w:t>
            </w:r>
          </w:p>
        </w:tc>
      </w:tr>
      <w:tr w:rsidR="00474641" w:rsidRPr="00EF2F18" w14:paraId="378806D0" w14:textId="77777777" w:rsidTr="00957690">
        <w:trPr>
          <w:trHeight w:val="229"/>
        </w:trPr>
        <w:tc>
          <w:tcPr>
            <w:tcW w:w="4116" w:type="pct"/>
            <w:tcBorders>
              <w:top w:val="single" w:sz="8" w:space="0" w:color="auto"/>
            </w:tcBorders>
            <w:vAlign w:val="center"/>
          </w:tcPr>
          <w:p w14:paraId="2B81FF9C" w14:textId="77777777" w:rsidR="00474641" w:rsidRPr="00EF2F18" w:rsidRDefault="00474641" w:rsidP="00AF36A7">
            <w:pPr>
              <w:spacing w:after="0"/>
              <w:rPr>
                <w:sz w:val="22"/>
                <w:lang w:val="sr-Cyrl-RS"/>
              </w:rPr>
            </w:pPr>
            <w:r w:rsidRPr="00EF2F18">
              <w:rPr>
                <w:sz w:val="22"/>
                <w:lang w:val="sr-Cyrl-RS"/>
              </w:rPr>
              <w:t>Побољшање квалитета ваздуха</w:t>
            </w:r>
          </w:p>
        </w:tc>
        <w:tc>
          <w:tcPr>
            <w:tcW w:w="884" w:type="pct"/>
            <w:tcBorders>
              <w:top w:val="single" w:sz="8" w:space="0" w:color="auto"/>
            </w:tcBorders>
            <w:vAlign w:val="center"/>
          </w:tcPr>
          <w:p w14:paraId="3537C4DC" w14:textId="2925CDD3" w:rsidR="00474641" w:rsidRPr="00EF2F18" w:rsidRDefault="00EB48B8" w:rsidP="00AF36A7">
            <w:pPr>
              <w:spacing w:after="0"/>
              <w:jc w:val="right"/>
              <w:rPr>
                <w:sz w:val="22"/>
                <w:lang w:val="sr-Cyrl-RS"/>
              </w:rPr>
            </w:pPr>
            <w:r w:rsidRPr="00EF2F18">
              <w:rPr>
                <w:sz w:val="22"/>
                <w:lang w:val="sr-Cyrl-RS"/>
              </w:rPr>
              <w:t>5.900</w:t>
            </w:r>
          </w:p>
        </w:tc>
      </w:tr>
      <w:tr w:rsidR="00474641" w:rsidRPr="00EF2F18" w14:paraId="423B1353" w14:textId="77777777" w:rsidTr="00957690">
        <w:trPr>
          <w:trHeight w:val="299"/>
        </w:trPr>
        <w:tc>
          <w:tcPr>
            <w:tcW w:w="4116" w:type="pct"/>
            <w:vAlign w:val="center"/>
          </w:tcPr>
          <w:p w14:paraId="787A19B3" w14:textId="77777777" w:rsidR="00474641" w:rsidRPr="00EF2F18" w:rsidRDefault="00474641" w:rsidP="00AF36A7">
            <w:pPr>
              <w:spacing w:after="0"/>
              <w:rPr>
                <w:sz w:val="22"/>
                <w:lang w:val="sr-Cyrl-RS"/>
              </w:rPr>
            </w:pPr>
            <w:r w:rsidRPr="00EF2F18">
              <w:rPr>
                <w:sz w:val="22"/>
                <w:lang w:val="sr-Cyrl-RS"/>
              </w:rPr>
              <w:t>Унапређење квалитета вода кроз интегрално управљање водама уз ефективну контролу загађења</w:t>
            </w:r>
          </w:p>
        </w:tc>
        <w:tc>
          <w:tcPr>
            <w:tcW w:w="884" w:type="pct"/>
            <w:vAlign w:val="center"/>
          </w:tcPr>
          <w:p w14:paraId="7F38D472" w14:textId="47AE3CE3" w:rsidR="00474641" w:rsidRPr="00EF2F18" w:rsidRDefault="00EB48B8" w:rsidP="00AF36A7">
            <w:pPr>
              <w:spacing w:after="0"/>
              <w:jc w:val="right"/>
              <w:rPr>
                <w:sz w:val="22"/>
                <w:lang w:val="sr-Cyrl-RS"/>
              </w:rPr>
            </w:pPr>
            <w:r w:rsidRPr="00EF2F18">
              <w:rPr>
                <w:sz w:val="22"/>
                <w:lang w:val="sr-Cyrl-RS"/>
              </w:rPr>
              <w:t>54</w:t>
            </w:r>
            <w:r w:rsidR="0044403F" w:rsidRPr="00EF2F18">
              <w:rPr>
                <w:sz w:val="22"/>
                <w:lang w:val="sr-Cyrl-RS"/>
              </w:rPr>
              <w:t>.</w:t>
            </w:r>
            <w:r w:rsidRPr="00EF2F18">
              <w:rPr>
                <w:sz w:val="22"/>
                <w:lang w:val="sr-Cyrl-RS"/>
              </w:rPr>
              <w:t>307</w:t>
            </w:r>
          </w:p>
        </w:tc>
      </w:tr>
      <w:tr w:rsidR="00474641" w:rsidRPr="00EF2F18" w14:paraId="2BCE44B2" w14:textId="77777777" w:rsidTr="00957690">
        <w:trPr>
          <w:trHeight w:val="246"/>
        </w:trPr>
        <w:tc>
          <w:tcPr>
            <w:tcW w:w="4116" w:type="pct"/>
            <w:vAlign w:val="center"/>
          </w:tcPr>
          <w:p w14:paraId="6F611F02" w14:textId="77777777" w:rsidR="00474641" w:rsidRPr="00EF2F18" w:rsidRDefault="00474641" w:rsidP="00AF36A7">
            <w:pPr>
              <w:spacing w:after="0"/>
              <w:rPr>
                <w:sz w:val="22"/>
                <w:lang w:val="sr-Cyrl-RS"/>
              </w:rPr>
            </w:pPr>
            <w:r w:rsidRPr="00EF2F18">
              <w:rPr>
                <w:sz w:val="22"/>
                <w:lang w:val="sr-Cyrl-RS"/>
              </w:rPr>
              <w:t>Унапређење стања и квалитета земљишта спречавањем загађења и деградације</w:t>
            </w:r>
          </w:p>
        </w:tc>
        <w:tc>
          <w:tcPr>
            <w:tcW w:w="884" w:type="pct"/>
            <w:vAlign w:val="center"/>
          </w:tcPr>
          <w:p w14:paraId="7BEF70FB" w14:textId="404D88C6" w:rsidR="00474641" w:rsidRPr="00EF2F18" w:rsidRDefault="009F0FE8" w:rsidP="00AF36A7">
            <w:pPr>
              <w:spacing w:after="0"/>
              <w:jc w:val="right"/>
              <w:rPr>
                <w:sz w:val="22"/>
                <w:lang w:val="sr-Cyrl-RS"/>
              </w:rPr>
            </w:pPr>
            <w:r w:rsidRPr="00EF2F18">
              <w:rPr>
                <w:sz w:val="22"/>
                <w:lang w:val="sr-Cyrl-RS"/>
              </w:rPr>
              <w:t>10.000</w:t>
            </w:r>
          </w:p>
        </w:tc>
      </w:tr>
      <w:tr w:rsidR="00474641" w:rsidRPr="00EF2F18" w14:paraId="39F528E7" w14:textId="77777777" w:rsidTr="00957690">
        <w:trPr>
          <w:trHeight w:val="246"/>
        </w:trPr>
        <w:tc>
          <w:tcPr>
            <w:tcW w:w="4116" w:type="pct"/>
            <w:vAlign w:val="center"/>
          </w:tcPr>
          <w:p w14:paraId="232E2FB7" w14:textId="77777777" w:rsidR="00474641" w:rsidRPr="00EF2F18" w:rsidRDefault="00474641" w:rsidP="00AF36A7">
            <w:pPr>
              <w:spacing w:after="0"/>
              <w:rPr>
                <w:sz w:val="22"/>
                <w:lang w:val="sr-Cyrl-RS"/>
              </w:rPr>
            </w:pPr>
            <w:r w:rsidRPr="00EF2F18">
              <w:rPr>
                <w:sz w:val="22"/>
                <w:lang w:val="sr-Cyrl-RS"/>
              </w:rPr>
              <w:t>Превенција и контрола загађења из индустрије, интегрисано управљање хемикалијама и управљање ризиком од великих удеса који укључују опасне супстанце</w:t>
            </w:r>
          </w:p>
        </w:tc>
        <w:tc>
          <w:tcPr>
            <w:tcW w:w="884" w:type="pct"/>
            <w:vAlign w:val="center"/>
          </w:tcPr>
          <w:p w14:paraId="3DE94B29" w14:textId="287CE16D" w:rsidR="00474641" w:rsidRPr="00EF2F18" w:rsidRDefault="00EB48B8" w:rsidP="00AF36A7">
            <w:pPr>
              <w:spacing w:after="0"/>
              <w:jc w:val="right"/>
              <w:rPr>
                <w:sz w:val="22"/>
                <w:lang w:val="sr-Cyrl-RS"/>
              </w:rPr>
            </w:pPr>
            <w:r w:rsidRPr="00EF2F18">
              <w:rPr>
                <w:sz w:val="22"/>
                <w:lang w:val="sr-Cyrl-RS"/>
              </w:rPr>
              <w:t>4</w:t>
            </w:r>
            <w:r w:rsidR="0044403F" w:rsidRPr="00EF2F18">
              <w:rPr>
                <w:sz w:val="22"/>
                <w:lang w:val="sr-Cyrl-RS"/>
              </w:rPr>
              <w:t>.</w:t>
            </w:r>
            <w:r w:rsidRPr="00EF2F18">
              <w:rPr>
                <w:sz w:val="22"/>
                <w:lang w:val="sr-Cyrl-RS"/>
              </w:rPr>
              <w:t>845</w:t>
            </w:r>
          </w:p>
        </w:tc>
      </w:tr>
      <w:tr w:rsidR="00474641" w:rsidRPr="00EF2F18" w14:paraId="2D4737E8" w14:textId="77777777" w:rsidTr="00957690">
        <w:trPr>
          <w:trHeight w:val="246"/>
        </w:trPr>
        <w:tc>
          <w:tcPr>
            <w:tcW w:w="4116" w:type="pct"/>
            <w:vAlign w:val="center"/>
          </w:tcPr>
          <w:p w14:paraId="0D2F0AED" w14:textId="77777777" w:rsidR="00474641" w:rsidRPr="00EF2F18" w:rsidRDefault="00474641" w:rsidP="00AF36A7">
            <w:pPr>
              <w:spacing w:after="0"/>
              <w:rPr>
                <w:sz w:val="22"/>
                <w:lang w:val="sr-Cyrl-RS"/>
              </w:rPr>
            </w:pPr>
            <w:r w:rsidRPr="00EF2F18">
              <w:rPr>
                <w:sz w:val="22"/>
                <w:lang w:val="sr-Cyrl-RS"/>
              </w:rPr>
              <w:t>Смањење нивоа буке и нејонизујућег зрачења и заштита од јонизујућег зрачења</w:t>
            </w:r>
          </w:p>
        </w:tc>
        <w:tc>
          <w:tcPr>
            <w:tcW w:w="884" w:type="pct"/>
            <w:vAlign w:val="center"/>
          </w:tcPr>
          <w:p w14:paraId="60C2D3E1" w14:textId="59E0ECE3" w:rsidR="00474641" w:rsidRPr="00EF2F18" w:rsidRDefault="00474641" w:rsidP="00AF36A7">
            <w:pPr>
              <w:spacing w:after="0"/>
              <w:jc w:val="right"/>
              <w:rPr>
                <w:sz w:val="22"/>
                <w:lang w:val="sr-Cyrl-RS"/>
              </w:rPr>
            </w:pPr>
            <w:r w:rsidRPr="00EF2F18">
              <w:rPr>
                <w:sz w:val="22"/>
                <w:lang w:val="sr-Cyrl-RS"/>
              </w:rPr>
              <w:t>811</w:t>
            </w:r>
          </w:p>
        </w:tc>
      </w:tr>
      <w:tr w:rsidR="00474641" w:rsidRPr="00EF2F18" w14:paraId="511224AA" w14:textId="77777777" w:rsidTr="00957690">
        <w:trPr>
          <w:trHeight w:val="221"/>
        </w:trPr>
        <w:tc>
          <w:tcPr>
            <w:tcW w:w="4116" w:type="pct"/>
            <w:tcBorders>
              <w:bottom w:val="single" w:sz="8" w:space="0" w:color="auto"/>
            </w:tcBorders>
            <w:vAlign w:val="center"/>
          </w:tcPr>
          <w:p w14:paraId="2038789B" w14:textId="4833C753" w:rsidR="00474641" w:rsidRPr="00EF2F18" w:rsidRDefault="00474641" w:rsidP="00AF36A7">
            <w:pPr>
              <w:spacing w:after="0"/>
              <w:rPr>
                <w:b/>
                <w:bCs/>
                <w:sz w:val="22"/>
                <w:lang w:val="sr-Cyrl-RS"/>
              </w:rPr>
            </w:pPr>
            <w:r w:rsidRPr="00EF2F18">
              <w:rPr>
                <w:b/>
                <w:bCs/>
                <w:sz w:val="22"/>
                <w:lang w:val="sr-Cyrl-RS"/>
              </w:rPr>
              <w:t>Административни</w:t>
            </w:r>
            <w:r w:rsidR="00B31BB6" w:rsidRPr="00EF2F18">
              <w:rPr>
                <w:b/>
                <w:bCs/>
                <w:sz w:val="22"/>
                <w:lang w:val="sr-Cyrl-RS"/>
              </w:rPr>
              <w:t xml:space="preserve"> и остали</w:t>
            </w:r>
            <w:r w:rsidRPr="00EF2F18">
              <w:rPr>
                <w:b/>
                <w:bCs/>
                <w:sz w:val="22"/>
                <w:lang w:val="sr-Cyrl-RS"/>
              </w:rPr>
              <w:t xml:space="preserve"> трошкови</w:t>
            </w:r>
          </w:p>
        </w:tc>
        <w:tc>
          <w:tcPr>
            <w:tcW w:w="884" w:type="pct"/>
            <w:tcBorders>
              <w:bottom w:val="single" w:sz="8" w:space="0" w:color="auto"/>
            </w:tcBorders>
            <w:vAlign w:val="center"/>
          </w:tcPr>
          <w:p w14:paraId="31778410" w14:textId="5FA3FB50" w:rsidR="00474641" w:rsidRPr="00EF2F18" w:rsidRDefault="00950CCB" w:rsidP="00AF36A7">
            <w:pPr>
              <w:spacing w:after="0"/>
              <w:jc w:val="right"/>
              <w:rPr>
                <w:b/>
                <w:bCs/>
                <w:sz w:val="22"/>
                <w:lang w:val="sr-Cyrl-RS"/>
              </w:rPr>
            </w:pPr>
            <w:r w:rsidRPr="00EF2F18">
              <w:rPr>
                <w:b/>
                <w:bCs/>
                <w:sz w:val="22"/>
                <w:lang w:val="sr-Cyrl-RS"/>
              </w:rPr>
              <w:t>75</w:t>
            </w:r>
            <w:r w:rsidR="0044403F" w:rsidRPr="00EF2F18">
              <w:rPr>
                <w:b/>
                <w:bCs/>
                <w:sz w:val="22"/>
                <w:lang w:val="sr-Cyrl-RS"/>
              </w:rPr>
              <w:t>.</w:t>
            </w:r>
            <w:r w:rsidR="00EB48B8" w:rsidRPr="00EF2F18">
              <w:rPr>
                <w:b/>
                <w:bCs/>
                <w:sz w:val="22"/>
                <w:lang w:val="sr-Cyrl-RS"/>
              </w:rPr>
              <w:t>863</w:t>
            </w:r>
          </w:p>
        </w:tc>
      </w:tr>
      <w:tr w:rsidR="00474641" w:rsidRPr="00EF2F18" w14:paraId="76E90D4E" w14:textId="77777777" w:rsidTr="00957690">
        <w:trPr>
          <w:trHeight w:val="61"/>
        </w:trPr>
        <w:tc>
          <w:tcPr>
            <w:tcW w:w="4116" w:type="pct"/>
            <w:tcBorders>
              <w:top w:val="single" w:sz="8" w:space="0" w:color="auto"/>
              <w:left w:val="single" w:sz="2" w:space="0" w:color="auto"/>
              <w:bottom w:val="single" w:sz="8" w:space="0" w:color="auto"/>
              <w:right w:val="single" w:sz="2" w:space="0" w:color="auto"/>
            </w:tcBorders>
            <w:vAlign w:val="center"/>
          </w:tcPr>
          <w:p w14:paraId="40157935" w14:textId="77777777" w:rsidR="00474641" w:rsidRPr="00EF2F18" w:rsidRDefault="00474641" w:rsidP="00AF36A7">
            <w:pPr>
              <w:spacing w:after="0"/>
              <w:rPr>
                <w:b/>
                <w:bCs/>
                <w:color w:val="000000"/>
                <w:sz w:val="22"/>
                <w:lang w:val="sr-Cyrl-RS"/>
              </w:rPr>
            </w:pPr>
            <w:r w:rsidRPr="00EF2F18">
              <w:rPr>
                <w:b/>
                <w:bCs/>
                <w:color w:val="000000"/>
                <w:sz w:val="22"/>
                <w:lang w:val="sr-Cyrl-RS"/>
              </w:rPr>
              <w:t>Укупни трошкови</w:t>
            </w:r>
          </w:p>
        </w:tc>
        <w:tc>
          <w:tcPr>
            <w:tcW w:w="884" w:type="pct"/>
            <w:tcBorders>
              <w:top w:val="single" w:sz="8" w:space="0" w:color="auto"/>
              <w:left w:val="single" w:sz="2" w:space="0" w:color="auto"/>
              <w:bottom w:val="single" w:sz="8" w:space="0" w:color="auto"/>
              <w:right w:val="single" w:sz="2" w:space="0" w:color="auto"/>
            </w:tcBorders>
            <w:vAlign w:val="center"/>
          </w:tcPr>
          <w:p w14:paraId="12D7ABDE" w14:textId="178FF0C6" w:rsidR="00474641" w:rsidRPr="00EF2F18" w:rsidRDefault="00474641" w:rsidP="00AF36A7">
            <w:pPr>
              <w:spacing w:after="0"/>
              <w:jc w:val="right"/>
              <w:rPr>
                <w:b/>
                <w:bCs/>
                <w:sz w:val="22"/>
                <w:lang w:val="sr-Cyrl-RS"/>
              </w:rPr>
            </w:pPr>
            <w:r w:rsidRPr="00EF2F18">
              <w:rPr>
                <w:b/>
                <w:bCs/>
                <w:sz w:val="22"/>
                <w:lang w:val="sr-Cyrl-RS"/>
              </w:rPr>
              <w:t>5.6</w:t>
            </w:r>
            <w:r w:rsidR="00950CCB" w:rsidRPr="00EF2F18">
              <w:rPr>
                <w:b/>
                <w:bCs/>
                <w:sz w:val="22"/>
                <w:lang w:val="sr-Cyrl-RS"/>
              </w:rPr>
              <w:t>75</w:t>
            </w:r>
            <w:r w:rsidR="0044403F" w:rsidRPr="00EF2F18">
              <w:rPr>
                <w:b/>
                <w:bCs/>
                <w:sz w:val="22"/>
                <w:lang w:val="sr-Cyrl-RS"/>
              </w:rPr>
              <w:t>.</w:t>
            </w:r>
            <w:r w:rsidRPr="00EF2F18">
              <w:rPr>
                <w:b/>
                <w:bCs/>
                <w:sz w:val="22"/>
                <w:lang w:val="sr-Cyrl-RS"/>
              </w:rPr>
              <w:t>007</w:t>
            </w:r>
          </w:p>
        </w:tc>
      </w:tr>
    </w:tbl>
    <w:p w14:paraId="65B0693D" w14:textId="77777777" w:rsidR="00474641" w:rsidRPr="00EF2F18" w:rsidRDefault="00474641" w:rsidP="00474641">
      <w:pPr>
        <w:spacing w:after="0"/>
        <w:rPr>
          <w:rFonts w:cs="Times New Roman"/>
          <w:sz w:val="22"/>
          <w:lang w:val="sr-Cyrl-RS" w:eastAsia="en-GB"/>
        </w:rPr>
      </w:pPr>
    </w:p>
    <w:p w14:paraId="22218489" w14:textId="77777777" w:rsidR="00474641" w:rsidRPr="00EF2F18" w:rsidRDefault="00474641" w:rsidP="00474641">
      <w:pPr>
        <w:spacing w:after="0"/>
        <w:ind w:firstLine="720"/>
        <w:jc w:val="both"/>
        <w:rPr>
          <w:rFonts w:cs="Times New Roman"/>
          <w:sz w:val="22"/>
          <w:lang w:val="sr-Cyrl-RS" w:eastAsia="en-GB"/>
        </w:rPr>
      </w:pPr>
      <w:r w:rsidRPr="00EF2F18">
        <w:rPr>
          <w:rFonts w:cs="Times New Roman"/>
          <w:sz w:val="22"/>
          <w:lang w:val="sr-Cyrl-RS" w:eastAsia="en-GB"/>
        </w:rPr>
        <w:t>Процена укупних трошкова у области биодиверзитета је дата на основу пројекција које су за претходни трогодишњи период приказане у Програму заштите природе Републике Србије за период од 2021. до 2023. године.</w:t>
      </w:r>
    </w:p>
    <w:p w14:paraId="41C4399D" w14:textId="50B5A9FA" w:rsidR="007470CD" w:rsidRPr="00EF2F18" w:rsidRDefault="00474641" w:rsidP="007470CD">
      <w:pPr>
        <w:spacing w:after="0"/>
        <w:ind w:firstLine="720"/>
        <w:jc w:val="both"/>
        <w:rPr>
          <w:rFonts w:cs="Times New Roman"/>
          <w:sz w:val="22"/>
          <w:lang w:val="sr-Cyrl-RS" w:eastAsia="en-GB"/>
        </w:rPr>
      </w:pPr>
      <w:r w:rsidRPr="00EF2F18">
        <w:rPr>
          <w:rFonts w:cs="Times New Roman"/>
          <w:b/>
          <w:bCs/>
          <w:sz w:val="22"/>
          <w:lang w:val="sr-Cyrl-RS" w:eastAsia="en-GB"/>
        </w:rPr>
        <w:lastRenderedPageBreak/>
        <w:t xml:space="preserve">Укупан износ неопходних трошкова за унапређење заштите природе и биодиверзитета и њихово одрживо коришћење у периоду до 2033. године износи </w:t>
      </w:r>
      <w:r w:rsidR="00CE57C1" w:rsidRPr="00EF2F18">
        <w:rPr>
          <w:rFonts w:cs="Times New Roman"/>
          <w:b/>
          <w:bCs/>
          <w:sz w:val="22"/>
          <w:lang w:val="sr-Cyrl-RS" w:eastAsia="en-GB"/>
        </w:rPr>
        <w:t>406</w:t>
      </w:r>
      <w:r w:rsidR="00BD6E2D" w:rsidRPr="00EF2F18">
        <w:rPr>
          <w:rFonts w:cs="Times New Roman"/>
          <w:b/>
          <w:bCs/>
          <w:sz w:val="22"/>
          <w:lang w:val="sr-Cyrl-RS" w:eastAsia="en-GB"/>
        </w:rPr>
        <w:t xml:space="preserve"> </w:t>
      </w:r>
      <w:r w:rsidRPr="00EF2F18">
        <w:rPr>
          <w:rFonts w:cs="Times New Roman"/>
          <w:b/>
          <w:bCs/>
          <w:sz w:val="22"/>
          <w:lang w:val="sr-Cyrl-RS" w:eastAsia="en-GB"/>
        </w:rPr>
        <w:t xml:space="preserve">милиона </w:t>
      </w:r>
      <w:r w:rsidR="00DD0F76" w:rsidRPr="00EF2F18">
        <w:rPr>
          <w:rFonts w:cs="Times New Roman"/>
          <w:b/>
          <w:bCs/>
          <w:sz w:val="22"/>
          <w:lang w:val="sr-Cyrl-RS" w:eastAsia="en-GB"/>
        </w:rPr>
        <w:t>ЕУР</w:t>
      </w:r>
      <w:r w:rsidRPr="00EF2F18">
        <w:rPr>
          <w:rFonts w:cs="Times New Roman"/>
          <w:b/>
          <w:bCs/>
          <w:sz w:val="22"/>
          <w:lang w:val="sr-Cyrl-RS" w:eastAsia="en-GB"/>
        </w:rPr>
        <w:t>.</w:t>
      </w:r>
      <w:r w:rsidRPr="00EF2F18">
        <w:rPr>
          <w:rStyle w:val="FootnoteReference"/>
          <w:rFonts w:ascii="Times New Roman" w:hAnsi="Times New Roman" w:cs="Times New Roman"/>
          <w:b/>
          <w:bCs/>
          <w:sz w:val="22"/>
          <w:lang w:val="sr-Cyrl-RS" w:eastAsia="en-GB"/>
        </w:rPr>
        <w:footnoteReference w:id="24"/>
      </w:r>
      <w:r w:rsidRPr="00EF2F18">
        <w:rPr>
          <w:rFonts w:cs="Times New Roman"/>
          <w:b/>
          <w:bCs/>
          <w:sz w:val="22"/>
          <w:lang w:val="sr-Cyrl-RS" w:eastAsia="en-GB"/>
        </w:rPr>
        <w:t xml:space="preserve"> </w:t>
      </w:r>
      <w:r w:rsidRPr="00EF2F18">
        <w:rPr>
          <w:rFonts w:cs="Times New Roman"/>
          <w:sz w:val="22"/>
          <w:lang w:val="sr-Cyrl-RS"/>
        </w:rPr>
        <w:t xml:space="preserve">Укупни </w:t>
      </w:r>
      <w:r w:rsidRPr="00EF2F18">
        <w:rPr>
          <w:rFonts w:cs="Times New Roman"/>
          <w:iCs/>
          <w:sz w:val="22"/>
          <w:lang w:val="sr-Cyrl-RS"/>
        </w:rPr>
        <w:t>процењени оквирни</w:t>
      </w:r>
      <w:r w:rsidRPr="00EF2F18">
        <w:rPr>
          <w:rFonts w:cs="Times New Roman"/>
          <w:b/>
          <w:bCs/>
          <w:iCs/>
          <w:sz w:val="22"/>
          <w:lang w:val="sr-Cyrl-RS"/>
        </w:rPr>
        <w:t xml:space="preserve"> </w:t>
      </w:r>
      <w:r w:rsidRPr="00EF2F18">
        <w:rPr>
          <w:rFonts w:cs="Times New Roman"/>
          <w:sz w:val="22"/>
          <w:lang w:val="sr-Cyrl-RS"/>
        </w:rPr>
        <w:t>трошкови потребни у области биодиверзитета обухватају праћење и смањење притисака на биодиверзитет и развијање ефикасног система управљања врстама, типовима станишта, заштићеним подручјима и еколошком мрежом укључујући и НАТУРА 2000</w:t>
      </w:r>
      <w:r w:rsidR="00CE57C1" w:rsidRPr="00EF2F18">
        <w:rPr>
          <w:rFonts w:cs="Times New Roman"/>
          <w:sz w:val="22"/>
          <w:lang w:val="sr-Cyrl-RS"/>
        </w:rPr>
        <w:t>, као и трошков</w:t>
      </w:r>
      <w:r w:rsidR="00B44728" w:rsidRPr="00EF2F18">
        <w:rPr>
          <w:rFonts w:cs="Times New Roman"/>
          <w:sz w:val="22"/>
          <w:lang w:val="sr-Cyrl-RS"/>
        </w:rPr>
        <w:t>е</w:t>
      </w:r>
      <w:r w:rsidR="00CE57C1" w:rsidRPr="00EF2F18">
        <w:rPr>
          <w:rFonts w:cs="Times New Roman"/>
          <w:sz w:val="22"/>
          <w:lang w:val="sr-Cyrl-RS"/>
        </w:rPr>
        <w:t xml:space="preserve"> за финансирање заштићених подручја</w:t>
      </w:r>
      <w:r w:rsidRPr="00EF2F18">
        <w:rPr>
          <w:rFonts w:cs="Times New Roman"/>
          <w:sz w:val="22"/>
          <w:lang w:val="sr-Cyrl-RS"/>
        </w:rPr>
        <w:t>.</w:t>
      </w:r>
      <w:r w:rsidR="007470CD" w:rsidRPr="00EF2F18">
        <w:rPr>
          <w:rFonts w:cs="Times New Roman"/>
          <w:sz w:val="22"/>
          <w:lang w:val="sr-Cyrl-RS"/>
        </w:rPr>
        <w:t xml:space="preserve"> </w:t>
      </w:r>
      <w:r w:rsidR="007470CD" w:rsidRPr="00EF2F18">
        <w:rPr>
          <w:rFonts w:cs="Times New Roman"/>
          <w:sz w:val="22"/>
          <w:lang w:val="sr-Cyrl-RS" w:eastAsia="en-GB"/>
        </w:rPr>
        <w:t xml:space="preserve">Од наведеног износа </w:t>
      </w:r>
      <w:r w:rsidR="00CE57C1" w:rsidRPr="00EF2F18">
        <w:rPr>
          <w:rFonts w:cs="Times New Roman"/>
          <w:sz w:val="22"/>
          <w:lang w:val="sr-Cyrl-RS" w:eastAsia="en-GB"/>
        </w:rPr>
        <w:t xml:space="preserve">396 </w:t>
      </w:r>
      <w:r w:rsidR="00C45A64" w:rsidRPr="00EF2F18">
        <w:rPr>
          <w:rFonts w:cs="Times New Roman"/>
          <w:sz w:val="22"/>
          <w:lang w:val="sr-Cyrl-RS" w:eastAsia="en-GB"/>
        </w:rPr>
        <w:t xml:space="preserve">милиона ЕУР се односи на инвестиционе трошкове, а </w:t>
      </w:r>
      <w:r w:rsidR="004D677C" w:rsidRPr="00EF2F18">
        <w:rPr>
          <w:rFonts w:cs="Times New Roman"/>
          <w:sz w:val="22"/>
          <w:lang w:val="sr-Cyrl-RS" w:eastAsia="en-GB"/>
        </w:rPr>
        <w:t>десет</w:t>
      </w:r>
      <w:r w:rsidR="007470CD" w:rsidRPr="00EF2F18">
        <w:rPr>
          <w:rFonts w:cs="Times New Roman"/>
          <w:sz w:val="22"/>
          <w:lang w:val="sr-Cyrl-RS" w:eastAsia="en-GB"/>
        </w:rPr>
        <w:t xml:space="preserve"> милиона </w:t>
      </w:r>
      <w:r w:rsidR="00C45A64" w:rsidRPr="00EF2F18">
        <w:rPr>
          <w:rFonts w:cs="Times New Roman"/>
          <w:sz w:val="22"/>
          <w:lang w:val="sr-Cyrl-RS" w:eastAsia="en-GB"/>
        </w:rPr>
        <w:t>ЕУР</w:t>
      </w:r>
      <w:r w:rsidR="007470CD" w:rsidRPr="00EF2F18">
        <w:rPr>
          <w:rFonts w:cs="Times New Roman"/>
          <w:sz w:val="22"/>
          <w:lang w:val="sr-Cyrl-RS" w:eastAsia="en-GB"/>
        </w:rPr>
        <w:t xml:space="preserve"> на административне трошкове (плате и обуке запослених) и остале трошкове (израда планских докумената, планова управљања и др.).</w:t>
      </w:r>
    </w:p>
    <w:p w14:paraId="3A02CD82" w14:textId="52F5594D" w:rsidR="00474641" w:rsidRPr="00EF2F18" w:rsidRDefault="00474641" w:rsidP="00474641">
      <w:pPr>
        <w:spacing w:after="0"/>
        <w:jc w:val="both"/>
        <w:rPr>
          <w:rFonts w:cs="Times New Roman"/>
          <w:sz w:val="22"/>
          <w:lang w:val="sr-Cyrl-RS" w:eastAsia="en-GB"/>
        </w:rPr>
      </w:pPr>
      <w:r w:rsidRPr="00EF2F18">
        <w:rPr>
          <w:rFonts w:cs="Times New Roman"/>
          <w:sz w:val="22"/>
          <w:lang w:val="sr-Cyrl-RS" w:eastAsia="en-GB"/>
        </w:rPr>
        <w:tab/>
        <w:t xml:space="preserve">Процена укупних трошкова у области одрживе пољопривреде је дата на основу података који су прикупљени за потребе израде </w:t>
      </w:r>
      <w:r w:rsidRPr="00EF2F18">
        <w:rPr>
          <w:rFonts w:cs="Times New Roman"/>
          <w:sz w:val="22"/>
          <w:lang w:val="sr-Cyrl-RS"/>
        </w:rPr>
        <w:t xml:space="preserve">„ИПАРД </w:t>
      </w:r>
      <w:r w:rsidR="004D677C" w:rsidRPr="00EF2F18">
        <w:rPr>
          <w:rFonts w:cs="Times New Roman"/>
          <w:sz w:val="22"/>
          <w:lang w:val="sr-Cyrl-RS"/>
        </w:rPr>
        <w:t xml:space="preserve">Програм </w:t>
      </w:r>
      <w:r w:rsidRPr="00EF2F18">
        <w:rPr>
          <w:rFonts w:cs="Times New Roman"/>
          <w:sz w:val="22"/>
          <w:lang w:val="sr-Cyrl-RS"/>
        </w:rPr>
        <w:t>Републике Србије за период 2021-2027</w:t>
      </w:r>
      <w:r w:rsidR="001947D7" w:rsidRPr="00EF2F18">
        <w:rPr>
          <w:rFonts w:cs="Times New Roman"/>
          <w:sz w:val="22"/>
          <w:lang w:val="sr-Cyrl-RS"/>
        </w:rPr>
        <w:t>.</w:t>
      </w:r>
      <w:r w:rsidRPr="00EF2F18">
        <w:rPr>
          <w:rFonts w:cs="Times New Roman"/>
          <w:sz w:val="22"/>
          <w:lang w:val="sr-Cyrl-RS" w:eastAsia="en-GB"/>
        </w:rPr>
        <w:t>” и информација Управе за пољопривредно земљиште.</w:t>
      </w:r>
    </w:p>
    <w:p w14:paraId="1892B917" w14:textId="1806AAD0" w:rsidR="00474641" w:rsidRPr="00EF2F18" w:rsidRDefault="00474641" w:rsidP="00474641">
      <w:pPr>
        <w:spacing w:after="0"/>
        <w:jc w:val="both"/>
        <w:rPr>
          <w:rFonts w:cs="Times New Roman"/>
          <w:sz w:val="22"/>
          <w:lang w:val="sr-Cyrl-RS" w:eastAsia="en-GB"/>
        </w:rPr>
      </w:pPr>
      <w:r w:rsidRPr="00EF2F18">
        <w:rPr>
          <w:rFonts w:cs="Times New Roman"/>
          <w:sz w:val="22"/>
          <w:lang w:val="sr-Cyrl-RS" w:eastAsia="en-GB"/>
        </w:rPr>
        <w:tab/>
      </w:r>
      <w:r w:rsidRPr="00EF2F18">
        <w:rPr>
          <w:rFonts w:cs="Times New Roman"/>
          <w:b/>
          <w:bCs/>
          <w:sz w:val="22"/>
          <w:lang w:val="sr-Cyrl-RS" w:eastAsia="en-GB"/>
        </w:rPr>
        <w:t xml:space="preserve">Укупан износ трошкова који се односе на смањење негативног утицаја пољопривредно-прехрамбеног сектора на животну средину и повећање отпорности на измењене климатске услове је </w:t>
      </w:r>
      <w:r w:rsidR="005B5A52" w:rsidRPr="00EF2F18">
        <w:rPr>
          <w:rFonts w:cs="Times New Roman"/>
          <w:b/>
          <w:bCs/>
          <w:sz w:val="22"/>
          <w:lang w:val="sr-Cyrl-RS" w:eastAsia="en-GB"/>
        </w:rPr>
        <w:t>664</w:t>
      </w:r>
      <w:r w:rsidRPr="00EF2F18">
        <w:rPr>
          <w:rFonts w:cs="Times New Roman"/>
          <w:b/>
          <w:bCs/>
          <w:sz w:val="22"/>
          <w:lang w:val="sr-Cyrl-RS" w:eastAsia="en-GB"/>
        </w:rPr>
        <w:t xml:space="preserve"> милиона </w:t>
      </w:r>
      <w:r w:rsidR="00DD0F76" w:rsidRPr="00EF2F18">
        <w:rPr>
          <w:rFonts w:cs="Times New Roman"/>
          <w:b/>
          <w:bCs/>
          <w:sz w:val="22"/>
          <w:lang w:val="sr-Cyrl-RS" w:eastAsia="en-GB"/>
        </w:rPr>
        <w:t>ЕУР</w:t>
      </w:r>
      <w:r w:rsidRPr="00EF2F18">
        <w:rPr>
          <w:rFonts w:cs="Times New Roman"/>
          <w:b/>
          <w:bCs/>
          <w:sz w:val="22"/>
          <w:lang w:val="sr-Cyrl-RS" w:eastAsia="en-GB"/>
        </w:rPr>
        <w:t>.</w:t>
      </w:r>
      <w:r w:rsidRPr="00EF2F18">
        <w:rPr>
          <w:rStyle w:val="FootnoteReference"/>
          <w:rFonts w:ascii="Times New Roman" w:hAnsi="Times New Roman" w:cs="Times New Roman"/>
          <w:b/>
          <w:bCs/>
          <w:sz w:val="22"/>
          <w:lang w:val="sr-Cyrl-RS" w:eastAsia="en-GB"/>
        </w:rPr>
        <w:footnoteReference w:id="25"/>
      </w:r>
      <w:r w:rsidR="00EB48B8" w:rsidRPr="00EF2F18">
        <w:rPr>
          <w:rFonts w:cs="Times New Roman"/>
          <w:b/>
          <w:bCs/>
          <w:sz w:val="22"/>
          <w:lang w:val="sr-Cyrl-RS" w:eastAsia="en-GB"/>
        </w:rPr>
        <w:t xml:space="preserve"> </w:t>
      </w:r>
      <w:r w:rsidR="00EB48B8" w:rsidRPr="00EF2F18">
        <w:rPr>
          <w:rFonts w:cs="Times New Roman"/>
          <w:sz w:val="22"/>
          <w:lang w:val="sr-Cyrl-RS" w:eastAsia="en-GB"/>
        </w:rPr>
        <w:t xml:space="preserve">Од тог износа 580 милиона евра је </w:t>
      </w:r>
      <w:r w:rsidR="00305B8A" w:rsidRPr="00EF2F18">
        <w:rPr>
          <w:rFonts w:cs="Times New Roman"/>
          <w:sz w:val="22"/>
          <w:lang w:val="sr-Cyrl-RS" w:eastAsia="en-GB"/>
        </w:rPr>
        <w:t xml:space="preserve">предвиђено </w:t>
      </w:r>
      <w:r w:rsidR="00EB48B8" w:rsidRPr="00EF2F18">
        <w:rPr>
          <w:rFonts w:cs="Times New Roman"/>
          <w:sz w:val="22"/>
          <w:lang w:val="sr-Cyrl-RS" w:eastAsia="en-GB"/>
        </w:rPr>
        <w:t>у постојећем документу „ИПАРД Програм Републике Србије за период 2021-2027.”</w:t>
      </w:r>
      <w:r w:rsidR="00991FE1" w:rsidRPr="00EF2F18">
        <w:rPr>
          <w:rStyle w:val="FootnoteReference"/>
          <w:rFonts w:ascii="Times New Roman" w:hAnsi="Times New Roman" w:cs="Times New Roman"/>
          <w:sz w:val="22"/>
          <w:lang w:val="sr-Cyrl-RS" w:eastAsia="en-GB"/>
        </w:rPr>
        <w:footnoteReference w:id="26"/>
      </w:r>
    </w:p>
    <w:p w14:paraId="4FD3580F" w14:textId="3AB0F03B" w:rsidR="00474641" w:rsidRPr="00EF2F18" w:rsidRDefault="007470CD" w:rsidP="00474641">
      <w:pPr>
        <w:spacing w:after="0"/>
        <w:jc w:val="both"/>
        <w:rPr>
          <w:rFonts w:cs="Times New Roman"/>
          <w:sz w:val="22"/>
          <w:lang w:val="sr-Cyrl-RS" w:eastAsia="en-GB"/>
        </w:rPr>
      </w:pPr>
      <w:r w:rsidRPr="00EF2F18">
        <w:rPr>
          <w:rFonts w:cs="Times New Roman"/>
          <w:sz w:val="22"/>
          <w:lang w:val="sr-Cyrl-RS" w:eastAsia="en-GB"/>
        </w:rPr>
        <w:tab/>
        <w:t xml:space="preserve">Од наведеног износа </w:t>
      </w:r>
      <w:r w:rsidR="00C45A64" w:rsidRPr="00EF2F18">
        <w:rPr>
          <w:rFonts w:cs="Times New Roman"/>
          <w:sz w:val="22"/>
          <w:lang w:val="sr-Cyrl-RS" w:eastAsia="en-GB"/>
        </w:rPr>
        <w:t xml:space="preserve">655 милиона ЕУР чине инвестициони трошкови, док се </w:t>
      </w:r>
      <w:r w:rsidRPr="00EF2F18">
        <w:rPr>
          <w:rFonts w:cs="Times New Roman"/>
          <w:sz w:val="22"/>
          <w:lang w:val="sr-Cyrl-RS" w:eastAsia="en-GB"/>
        </w:rPr>
        <w:t xml:space="preserve">9 милиона </w:t>
      </w:r>
      <w:r w:rsidR="00C45A64" w:rsidRPr="00EF2F18">
        <w:rPr>
          <w:rFonts w:cs="Times New Roman"/>
          <w:sz w:val="22"/>
          <w:lang w:val="sr-Cyrl-RS" w:eastAsia="en-GB"/>
        </w:rPr>
        <w:t>ЕУР</w:t>
      </w:r>
      <w:r w:rsidRPr="00EF2F18">
        <w:rPr>
          <w:rFonts w:cs="Times New Roman"/>
          <w:sz w:val="22"/>
          <w:lang w:val="sr-Cyrl-RS" w:eastAsia="en-GB"/>
        </w:rPr>
        <w:t xml:space="preserve"> односи на административне трошкове (плате и обуке запослених) и остале трошкове (израда стратешких докумената и др.).</w:t>
      </w:r>
    </w:p>
    <w:p w14:paraId="51A3A761" w14:textId="77777777" w:rsidR="007470CD" w:rsidRPr="00EF2F18" w:rsidRDefault="007470CD" w:rsidP="00474641">
      <w:pPr>
        <w:spacing w:after="0"/>
        <w:ind w:firstLine="720"/>
        <w:jc w:val="both"/>
        <w:rPr>
          <w:rFonts w:cs="Times New Roman"/>
          <w:b/>
          <w:bCs/>
          <w:sz w:val="22"/>
          <w:lang w:val="sr-Cyrl-RS" w:eastAsia="en-GB"/>
        </w:rPr>
      </w:pPr>
    </w:p>
    <w:p w14:paraId="3773898C" w14:textId="1A5A67AF" w:rsidR="007470CD" w:rsidRPr="00EF2F18" w:rsidRDefault="00474641" w:rsidP="007470CD">
      <w:pPr>
        <w:spacing w:after="0"/>
        <w:ind w:firstLine="720"/>
        <w:jc w:val="both"/>
        <w:rPr>
          <w:rFonts w:cs="Times New Roman"/>
          <w:sz w:val="22"/>
          <w:lang w:val="sr-Cyrl-RS" w:eastAsia="en-GB"/>
        </w:rPr>
      </w:pPr>
      <w:r w:rsidRPr="00EF2F18">
        <w:rPr>
          <w:rFonts w:cs="Times New Roman"/>
          <w:b/>
          <w:bCs/>
          <w:sz w:val="22"/>
          <w:lang w:val="sr-Cyrl-RS" w:eastAsia="en-GB"/>
        </w:rPr>
        <w:t xml:space="preserve">Укупан износ трошкова за остваривање мера подизања капацитета и нивоа знања за примену Зелене агенде на свим нивоима, обезбеђивање заштите права на здраву и очувану животну средину, приступа информацијама, учешћа јавности у доношењу одлука и правне заштите у питањима у вези са животном средином, даљи развој система за праћење квалитета чинилаца животне средине и утицаја климатских промена, као и унапређење система финансирања заштите животне средине је процењен за период </w:t>
      </w:r>
      <w:r w:rsidR="00C650C1" w:rsidRPr="00EF2F18">
        <w:rPr>
          <w:rFonts w:cs="Times New Roman"/>
          <w:b/>
          <w:bCs/>
          <w:sz w:val="22"/>
          <w:lang w:val="sr-Cyrl-RS" w:eastAsia="en-GB"/>
        </w:rPr>
        <w:t xml:space="preserve">до </w:t>
      </w:r>
      <w:r w:rsidRPr="00EF2F18">
        <w:rPr>
          <w:rFonts w:cs="Times New Roman"/>
          <w:b/>
          <w:bCs/>
          <w:sz w:val="22"/>
          <w:lang w:val="sr-Cyrl-RS" w:eastAsia="en-GB"/>
        </w:rPr>
        <w:t>2033. у износу</w:t>
      </w:r>
      <w:r w:rsidRPr="00EF2F18">
        <w:rPr>
          <w:rFonts w:cs="Times New Roman"/>
          <w:sz w:val="22"/>
          <w:lang w:val="sr-Cyrl-RS" w:eastAsia="en-GB"/>
        </w:rPr>
        <w:t xml:space="preserve"> </w:t>
      </w:r>
      <w:r w:rsidRPr="00EF2F18">
        <w:rPr>
          <w:rFonts w:cs="Times New Roman"/>
          <w:b/>
          <w:bCs/>
          <w:sz w:val="22"/>
          <w:lang w:val="sr-Cyrl-RS" w:eastAsia="en-GB"/>
        </w:rPr>
        <w:t xml:space="preserve">од 98 милиона </w:t>
      </w:r>
      <w:r w:rsidR="00DD0F76" w:rsidRPr="00EF2F18">
        <w:rPr>
          <w:rFonts w:cs="Times New Roman"/>
          <w:b/>
          <w:bCs/>
          <w:sz w:val="22"/>
          <w:lang w:val="sr-Cyrl-RS" w:eastAsia="en-GB"/>
        </w:rPr>
        <w:t>ЕУР</w:t>
      </w:r>
      <w:r w:rsidRPr="00EF2F18">
        <w:rPr>
          <w:rFonts w:cs="Times New Roman"/>
          <w:sz w:val="22"/>
          <w:lang w:val="sr-Cyrl-RS" w:eastAsia="en-GB"/>
        </w:rPr>
        <w:t>.</w:t>
      </w:r>
      <w:r w:rsidRPr="00EF2F18">
        <w:rPr>
          <w:rStyle w:val="FootnoteReference"/>
          <w:rFonts w:ascii="Times New Roman" w:hAnsi="Times New Roman" w:cs="Times New Roman"/>
          <w:sz w:val="22"/>
          <w:lang w:val="sr-Cyrl-RS" w:eastAsia="en-GB"/>
        </w:rPr>
        <w:footnoteReference w:id="27"/>
      </w:r>
      <w:r w:rsidRPr="00EF2F18">
        <w:rPr>
          <w:rFonts w:cs="Times New Roman"/>
          <w:sz w:val="22"/>
          <w:lang w:val="sr-Cyrl-RS" w:eastAsia="en-GB"/>
        </w:rPr>
        <w:t xml:space="preserve"> </w:t>
      </w:r>
      <w:r w:rsidR="007470CD" w:rsidRPr="00EF2F18">
        <w:rPr>
          <w:rFonts w:cs="Times New Roman"/>
          <w:sz w:val="22"/>
          <w:lang w:val="sr-Cyrl-RS" w:eastAsia="en-GB"/>
        </w:rPr>
        <w:t xml:space="preserve">Наведени износ се односи на административне (плате и обуке запослених) </w:t>
      </w:r>
      <w:r w:rsidR="007470CD" w:rsidRPr="00EF2F18">
        <w:rPr>
          <w:rFonts w:eastAsia="Times New Roman" w:cs="Times New Roman"/>
          <w:color w:val="000000"/>
          <w:sz w:val="22"/>
          <w:lang w:val="sr-Cyrl-RS" w:eastAsia="sr-Latn-RS"/>
        </w:rPr>
        <w:t xml:space="preserve">и остале </w:t>
      </w:r>
      <w:r w:rsidR="007470CD" w:rsidRPr="00EF2F18">
        <w:rPr>
          <w:rFonts w:cs="Times New Roman"/>
          <w:sz w:val="22"/>
          <w:lang w:val="sr-Cyrl-RS" w:eastAsia="en-GB"/>
        </w:rPr>
        <w:t xml:space="preserve">трошкове </w:t>
      </w:r>
      <w:r w:rsidR="007470CD" w:rsidRPr="00EF2F18">
        <w:rPr>
          <w:rFonts w:eastAsia="Times New Roman" w:cs="Times New Roman"/>
          <w:color w:val="000000"/>
          <w:sz w:val="22"/>
          <w:lang w:val="sr-Cyrl-RS" w:eastAsia="sr-Latn-RS"/>
        </w:rPr>
        <w:t>(израда стратешких докумената, увођење процедура, трошкови набавке опреме за мониторинг, опреме за инспекцијски надзор и др.)</w:t>
      </w:r>
      <w:r w:rsidR="007470CD" w:rsidRPr="00EF2F18">
        <w:rPr>
          <w:rFonts w:cs="Times New Roman"/>
          <w:sz w:val="22"/>
          <w:lang w:val="sr-Cyrl-RS" w:eastAsia="en-GB"/>
        </w:rPr>
        <w:t xml:space="preserve">. </w:t>
      </w:r>
    </w:p>
    <w:p w14:paraId="0A93D129" w14:textId="77777777" w:rsidR="00474641" w:rsidRPr="00EF2F18" w:rsidRDefault="00474641" w:rsidP="007470CD">
      <w:pPr>
        <w:spacing w:after="0"/>
        <w:ind w:firstLine="720"/>
        <w:jc w:val="both"/>
        <w:rPr>
          <w:rFonts w:cs="Times New Roman"/>
          <w:b/>
          <w:bCs/>
          <w:i/>
          <w:iCs/>
          <w:sz w:val="22"/>
          <w:lang w:val="sr-Cyrl-RS" w:eastAsia="en-GB"/>
        </w:rPr>
      </w:pPr>
    </w:p>
    <w:p w14:paraId="63CBD242" w14:textId="77777777" w:rsidR="00474641" w:rsidRPr="00EF2F18" w:rsidRDefault="00474641" w:rsidP="004D677C">
      <w:pPr>
        <w:spacing w:after="0"/>
        <w:ind w:firstLine="720"/>
        <w:jc w:val="both"/>
        <w:rPr>
          <w:rFonts w:cs="Times New Roman"/>
          <w:b/>
          <w:bCs/>
          <w:i/>
          <w:iCs/>
          <w:sz w:val="22"/>
          <w:lang w:val="sr-Cyrl-RS" w:eastAsia="en-GB"/>
        </w:rPr>
      </w:pPr>
      <w:r w:rsidRPr="00EF2F18">
        <w:rPr>
          <w:rFonts w:cs="Times New Roman"/>
          <w:b/>
          <w:bCs/>
          <w:i/>
          <w:iCs/>
          <w:sz w:val="22"/>
          <w:lang w:val="sr-Cyrl-RS" w:eastAsia="en-GB"/>
        </w:rPr>
        <w:t>Укупни трошкови по областима Стратегије</w:t>
      </w:r>
    </w:p>
    <w:p w14:paraId="1D4E08F1" w14:textId="1181DB26" w:rsidR="00474641" w:rsidRPr="00EF2F18" w:rsidRDefault="00474641" w:rsidP="00474641">
      <w:pPr>
        <w:spacing w:after="0"/>
        <w:jc w:val="both"/>
        <w:rPr>
          <w:rFonts w:cs="Times New Roman"/>
          <w:sz w:val="22"/>
          <w:lang w:val="sr-Cyrl-RS" w:eastAsia="en-GB"/>
        </w:rPr>
      </w:pPr>
      <w:r w:rsidRPr="00EF2F18">
        <w:rPr>
          <w:rFonts w:cs="Times New Roman"/>
          <w:sz w:val="22"/>
          <w:lang w:val="sr-Cyrl-RS" w:eastAsia="en-GB"/>
        </w:rPr>
        <w:tab/>
        <w:t xml:space="preserve">У табели </w:t>
      </w:r>
      <w:r w:rsidR="00311726" w:rsidRPr="00EF2F18">
        <w:rPr>
          <w:rFonts w:cs="Times New Roman"/>
          <w:sz w:val="22"/>
          <w:lang w:val="sr-Cyrl-RS" w:eastAsia="en-GB"/>
        </w:rPr>
        <w:t>7.</w:t>
      </w:r>
      <w:r w:rsidR="00DE1478" w:rsidRPr="00EF2F18">
        <w:rPr>
          <w:rFonts w:cs="Times New Roman"/>
          <w:sz w:val="22"/>
          <w:lang w:val="sr-Cyrl-RS" w:eastAsia="en-GB"/>
        </w:rPr>
        <w:t>4</w:t>
      </w:r>
      <w:r w:rsidR="00311726" w:rsidRPr="00EF2F18">
        <w:rPr>
          <w:rFonts w:cs="Times New Roman"/>
          <w:sz w:val="22"/>
          <w:lang w:val="sr-Cyrl-RS" w:eastAsia="en-GB"/>
        </w:rPr>
        <w:t xml:space="preserve">. </w:t>
      </w:r>
      <w:r w:rsidRPr="00EF2F18">
        <w:rPr>
          <w:rFonts w:cs="Times New Roman"/>
          <w:sz w:val="22"/>
          <w:lang w:val="sr-Cyrl-RS" w:eastAsia="en-GB"/>
        </w:rPr>
        <w:t xml:space="preserve">су представљени укупни трошкови </w:t>
      </w:r>
      <w:r w:rsidR="00311726" w:rsidRPr="00EF2F18">
        <w:rPr>
          <w:rFonts w:cs="Times New Roman"/>
          <w:sz w:val="22"/>
          <w:lang w:val="sr-Cyrl-RS" w:eastAsia="en-GB"/>
        </w:rPr>
        <w:t xml:space="preserve">за остваривање циљева </w:t>
      </w:r>
      <w:r w:rsidRPr="00EF2F18">
        <w:rPr>
          <w:rFonts w:cs="Times New Roman"/>
          <w:sz w:val="22"/>
          <w:lang w:val="sr-Cyrl-RS" w:eastAsia="en-GB"/>
        </w:rPr>
        <w:t xml:space="preserve">предвиђених Стратегијом. Укупни трошкови су подељени по претходно наведеним областима које покрива Стратегија, као и према типу на инвестиционе и административне </w:t>
      </w:r>
      <w:r w:rsidR="00B31BB6" w:rsidRPr="00EF2F18">
        <w:rPr>
          <w:rFonts w:cs="Times New Roman"/>
          <w:sz w:val="22"/>
          <w:lang w:val="sr-Cyrl-RS" w:eastAsia="en-GB"/>
        </w:rPr>
        <w:t xml:space="preserve">и остале </w:t>
      </w:r>
      <w:r w:rsidRPr="00EF2F18">
        <w:rPr>
          <w:rFonts w:cs="Times New Roman"/>
          <w:sz w:val="22"/>
          <w:lang w:val="sr-Cyrl-RS" w:eastAsia="en-GB"/>
        </w:rPr>
        <w:t>трошкове.</w:t>
      </w:r>
    </w:p>
    <w:p w14:paraId="0D3C31D9" w14:textId="77777777" w:rsidR="00A84E90" w:rsidRPr="00EF2F18" w:rsidRDefault="00A84E90" w:rsidP="00474641">
      <w:pPr>
        <w:spacing w:after="0"/>
        <w:jc w:val="both"/>
        <w:rPr>
          <w:rFonts w:cs="Times New Roman"/>
          <w:sz w:val="22"/>
          <w:lang w:val="sr-Cyrl-RS" w:eastAsia="en-GB"/>
        </w:rPr>
      </w:pPr>
    </w:p>
    <w:p w14:paraId="13374588" w14:textId="2F1E8F45" w:rsidR="00A84E90" w:rsidRPr="00EF2F18" w:rsidRDefault="00A84E90" w:rsidP="00474641">
      <w:pPr>
        <w:spacing w:after="0"/>
        <w:jc w:val="both"/>
        <w:rPr>
          <w:rFonts w:cs="Times New Roman"/>
          <w:sz w:val="22"/>
          <w:lang w:val="sr-Cyrl-RS" w:eastAsia="en-GB"/>
        </w:rPr>
      </w:pPr>
      <w:r w:rsidRPr="00EF2F18">
        <w:rPr>
          <w:rFonts w:cs="Times New Roman"/>
          <w:b/>
          <w:bCs/>
          <w:sz w:val="22"/>
          <w:lang w:val="sr-Cyrl-RS" w:eastAsia="en-GB"/>
        </w:rPr>
        <w:t xml:space="preserve">             Укупни </w:t>
      </w:r>
      <w:r w:rsidRPr="00EF2F18">
        <w:rPr>
          <w:b/>
          <w:bCs/>
          <w:sz w:val="22"/>
          <w:lang w:val="sr-Cyrl-RS"/>
        </w:rPr>
        <w:t xml:space="preserve">процењени оквирни </w:t>
      </w:r>
      <w:r w:rsidRPr="00EF2F18">
        <w:rPr>
          <w:rFonts w:cs="Times New Roman"/>
          <w:b/>
          <w:bCs/>
          <w:sz w:val="22"/>
          <w:lang w:val="sr-Cyrl-RS" w:eastAsia="en-GB"/>
        </w:rPr>
        <w:t xml:space="preserve">трошкови за </w:t>
      </w:r>
      <w:r w:rsidRPr="00EF2F18">
        <w:rPr>
          <w:rFonts w:cs="Times New Roman"/>
          <w:b/>
          <w:bCs/>
          <w:sz w:val="22"/>
          <w:lang w:val="sr-Cyrl-RS"/>
        </w:rPr>
        <w:t>остваривање циљева</w:t>
      </w:r>
      <w:r w:rsidRPr="00EF2F18">
        <w:rPr>
          <w:rFonts w:cs="Times New Roman"/>
          <w:sz w:val="22"/>
          <w:lang w:val="sr-Cyrl-RS"/>
        </w:rPr>
        <w:t xml:space="preserve"> </w:t>
      </w:r>
      <w:r w:rsidRPr="00EF2F18">
        <w:rPr>
          <w:rFonts w:cs="Times New Roman"/>
          <w:b/>
          <w:bCs/>
          <w:sz w:val="22"/>
          <w:lang w:val="sr-Cyrl-RS" w:eastAsia="en-GB"/>
        </w:rPr>
        <w:t xml:space="preserve">Стратегије у периоду до 2033. година износе 27,23 милијарде ЕУР. Од тога инвестициони трошкови износе 27,04 милијарди ЕУР, док 197 милиона ЕУР представљају административни и остали трошкови. </w:t>
      </w:r>
      <w:r w:rsidRPr="00EF2F18">
        <w:rPr>
          <w:rFonts w:cs="Times New Roman"/>
          <w:sz w:val="22"/>
          <w:lang w:val="sr-Cyrl-RS" w:eastAsia="en-GB"/>
        </w:rPr>
        <w:t xml:space="preserve">Овде нису урачунати трошкови примене механизма за усклађивање са ЕУ системом трговине </w:t>
      </w:r>
      <w:r w:rsidRPr="00EF2F18">
        <w:rPr>
          <w:rFonts w:cs="Times New Roman"/>
          <w:i/>
          <w:iCs/>
          <w:sz w:val="22"/>
          <w:lang w:val="sr-Cyrl-RS" w:eastAsia="en-GB"/>
        </w:rPr>
        <w:t>GHG</w:t>
      </w:r>
      <w:r w:rsidR="00161767">
        <w:rPr>
          <w:rFonts w:cs="Times New Roman"/>
          <w:sz w:val="22"/>
          <w:lang w:val="sr-Cyrl-RS" w:eastAsia="en-GB"/>
        </w:rPr>
        <w:t xml:space="preserve"> емисија</w:t>
      </w:r>
      <w:r w:rsidRPr="00EF2F18">
        <w:rPr>
          <w:rFonts w:cs="Times New Roman"/>
          <w:sz w:val="22"/>
          <w:lang w:val="sr-Cyrl-RS" w:eastAsia="en-GB"/>
        </w:rPr>
        <w:t>ма (ЕU ЕТS)</w:t>
      </w:r>
      <w:r w:rsidRPr="00EF2F18">
        <w:rPr>
          <w:rFonts w:cs="Times New Roman"/>
          <w:sz w:val="22"/>
          <w:lang w:val="sr-Cyrl-RS"/>
        </w:rPr>
        <w:t>.</w:t>
      </w:r>
      <w:r w:rsidRPr="00EF2F18">
        <w:rPr>
          <w:rFonts w:cs="Times New Roman"/>
          <w:sz w:val="22"/>
          <w:lang w:val="sr-Cyrl-RS"/>
        </w:rPr>
        <w:tab/>
      </w:r>
    </w:p>
    <w:p w14:paraId="55B9CCA8" w14:textId="77777777" w:rsidR="00474641" w:rsidRPr="00EF2F18" w:rsidRDefault="00474641" w:rsidP="00474641">
      <w:pPr>
        <w:spacing w:after="0"/>
        <w:jc w:val="both"/>
        <w:rPr>
          <w:rFonts w:cs="Times New Roman"/>
          <w:sz w:val="22"/>
          <w:lang w:val="sr-Cyrl-RS" w:eastAsia="en-GB"/>
        </w:rPr>
      </w:pPr>
    </w:p>
    <w:p w14:paraId="13A2CFAA" w14:textId="77777777" w:rsidR="00957690" w:rsidRPr="00EF2F18" w:rsidRDefault="00957690" w:rsidP="00474641">
      <w:pPr>
        <w:spacing w:after="0"/>
        <w:jc w:val="both"/>
        <w:rPr>
          <w:rFonts w:cs="Times New Roman"/>
          <w:sz w:val="22"/>
          <w:lang w:val="sr-Cyrl-RS" w:eastAsia="en-GB"/>
        </w:rPr>
      </w:pPr>
    </w:p>
    <w:p w14:paraId="306F394C" w14:textId="77777777" w:rsidR="00957690" w:rsidRPr="00EF2F18" w:rsidRDefault="00957690" w:rsidP="00474641">
      <w:pPr>
        <w:spacing w:after="0"/>
        <w:jc w:val="both"/>
        <w:rPr>
          <w:rFonts w:cs="Times New Roman"/>
          <w:sz w:val="22"/>
          <w:lang w:val="sr-Cyrl-RS" w:eastAsia="en-GB"/>
        </w:rPr>
      </w:pPr>
    </w:p>
    <w:p w14:paraId="66CC723E" w14:textId="575E3185" w:rsidR="00957690" w:rsidRPr="00EF2F18" w:rsidRDefault="00957690" w:rsidP="00474641">
      <w:pPr>
        <w:pStyle w:val="Caption"/>
        <w:spacing w:after="0" w:line="240" w:lineRule="auto"/>
        <w:rPr>
          <w:rFonts w:ascii="Times New Roman" w:hAnsi="Times New Roman"/>
          <w:sz w:val="22"/>
          <w:szCs w:val="22"/>
          <w:lang w:val="sr-Cyrl-RS"/>
        </w:rPr>
      </w:pPr>
      <w:bookmarkStart w:id="139" w:name="_Hlk176180654"/>
    </w:p>
    <w:p w14:paraId="6A31847D" w14:textId="0E587D13" w:rsidR="00957690" w:rsidRPr="00EF2F18" w:rsidRDefault="00474641" w:rsidP="00A84E90">
      <w:pPr>
        <w:pStyle w:val="Caption"/>
        <w:spacing w:after="0" w:line="240" w:lineRule="auto"/>
        <w:rPr>
          <w:rFonts w:ascii="Times New Roman" w:hAnsi="Times New Roman"/>
          <w:b w:val="0"/>
          <w:bCs w:val="0"/>
          <w:sz w:val="22"/>
          <w:szCs w:val="22"/>
          <w:lang w:val="sr-Cyrl-RS"/>
        </w:rPr>
      </w:pPr>
      <w:r w:rsidRPr="00EF2F18">
        <w:rPr>
          <w:rFonts w:ascii="Times New Roman" w:hAnsi="Times New Roman"/>
          <w:sz w:val="22"/>
          <w:szCs w:val="22"/>
          <w:lang w:val="sr-Cyrl-RS"/>
        </w:rPr>
        <w:lastRenderedPageBreak/>
        <w:t>Табела 7.</w:t>
      </w:r>
      <w:r w:rsidR="00DE1478" w:rsidRPr="00EF2F18">
        <w:rPr>
          <w:rFonts w:ascii="Times New Roman" w:hAnsi="Times New Roman"/>
          <w:sz w:val="22"/>
          <w:szCs w:val="22"/>
          <w:lang w:val="sr-Cyrl-RS"/>
        </w:rPr>
        <w:t>4</w:t>
      </w:r>
      <w:r w:rsidRPr="00EF2F18">
        <w:rPr>
          <w:rFonts w:ascii="Times New Roman" w:hAnsi="Times New Roman"/>
          <w:sz w:val="22"/>
          <w:szCs w:val="22"/>
          <w:lang w:val="sr-Cyrl-RS"/>
        </w:rPr>
        <w:t xml:space="preserve">. </w:t>
      </w:r>
      <w:r w:rsidRPr="00EF2F18">
        <w:rPr>
          <w:rFonts w:ascii="Times New Roman" w:hAnsi="Times New Roman"/>
          <w:b w:val="0"/>
          <w:bCs w:val="0"/>
          <w:sz w:val="22"/>
          <w:szCs w:val="22"/>
          <w:lang w:val="sr-Cyrl-RS"/>
        </w:rPr>
        <w:t xml:space="preserve">Укупни процењени оквирни трошкови по областима Стратегије у периоду </w:t>
      </w:r>
      <w:r w:rsidR="00C650C1" w:rsidRPr="00EF2F18">
        <w:rPr>
          <w:rFonts w:ascii="Times New Roman" w:hAnsi="Times New Roman"/>
          <w:b w:val="0"/>
          <w:bCs w:val="0"/>
          <w:sz w:val="22"/>
          <w:szCs w:val="22"/>
          <w:lang w:val="sr-Cyrl-RS"/>
        </w:rPr>
        <w:t xml:space="preserve">до </w:t>
      </w:r>
      <w:r w:rsidRPr="00EF2F18">
        <w:rPr>
          <w:rFonts w:ascii="Times New Roman" w:hAnsi="Times New Roman"/>
          <w:b w:val="0"/>
          <w:bCs w:val="0"/>
          <w:sz w:val="22"/>
          <w:szCs w:val="22"/>
          <w:lang w:val="sr-Cyrl-RS"/>
        </w:rPr>
        <w:t xml:space="preserve">2033. (милиони </w:t>
      </w:r>
      <w:r w:rsidR="00DD0F76" w:rsidRPr="00EF2F18">
        <w:rPr>
          <w:rFonts w:ascii="Times New Roman" w:hAnsi="Times New Roman"/>
          <w:b w:val="0"/>
          <w:bCs w:val="0"/>
          <w:sz w:val="22"/>
          <w:szCs w:val="22"/>
          <w:lang w:val="sr-Cyrl-RS"/>
        </w:rPr>
        <w:t>ЕУР</w:t>
      </w:r>
      <w:r w:rsidRPr="00EF2F18">
        <w:rPr>
          <w:rFonts w:ascii="Times New Roman" w:hAnsi="Times New Roman"/>
          <w:b w:val="0"/>
          <w:bCs w:val="0"/>
          <w:sz w:val="22"/>
          <w:szCs w:val="22"/>
          <w:lang w:val="sr-Cyrl-RS"/>
        </w:rPr>
        <w:t>, константне цене из 2024.)</w:t>
      </w:r>
    </w:p>
    <w:p w14:paraId="18D96116" w14:textId="77777777" w:rsidR="00A84E90" w:rsidRPr="00EF2F18" w:rsidRDefault="00A84E90" w:rsidP="00A84E90">
      <w:pPr>
        <w:rPr>
          <w:lang w:val="sr-Cyrl-RS" w:eastAsia="de-DE"/>
        </w:rPr>
      </w:pPr>
    </w:p>
    <w:tbl>
      <w:tblPr>
        <w:tblW w:w="9419" w:type="dxa"/>
        <w:tblLook w:val="04A0" w:firstRow="1" w:lastRow="0" w:firstColumn="1" w:lastColumn="0" w:noHBand="0" w:noVBand="1"/>
      </w:tblPr>
      <w:tblGrid>
        <w:gridCol w:w="394"/>
        <w:gridCol w:w="4510"/>
        <w:gridCol w:w="2131"/>
        <w:gridCol w:w="1202"/>
        <w:gridCol w:w="1182"/>
      </w:tblGrid>
      <w:tr w:rsidR="00474641" w:rsidRPr="00EF2F18" w14:paraId="277838DC" w14:textId="77777777" w:rsidTr="00A84E90">
        <w:trPr>
          <w:trHeight w:val="182"/>
        </w:trPr>
        <w:tc>
          <w:tcPr>
            <w:tcW w:w="394" w:type="dxa"/>
            <w:tcBorders>
              <w:top w:val="single" w:sz="4" w:space="0" w:color="auto"/>
              <w:left w:val="single" w:sz="4" w:space="0" w:color="auto"/>
              <w:bottom w:val="nil"/>
              <w:right w:val="nil"/>
            </w:tcBorders>
            <w:noWrap/>
            <w:vAlign w:val="bottom"/>
            <w:hideMark/>
          </w:tcPr>
          <w:p w14:paraId="503A65DC" w14:textId="77777777" w:rsidR="00474641" w:rsidRPr="00EF2F18" w:rsidRDefault="00474641" w:rsidP="00DC6CB5">
            <w:pPr>
              <w:spacing w:before="40" w:after="40"/>
              <w:rPr>
                <w:rFonts w:eastAsia="Times New Roman" w:cs="Times New Roman"/>
                <w:sz w:val="22"/>
                <w:lang w:val="sr-Cyrl-RS" w:eastAsia="sr-Latn-RS"/>
              </w:rPr>
            </w:pPr>
          </w:p>
        </w:tc>
        <w:tc>
          <w:tcPr>
            <w:tcW w:w="4510" w:type="dxa"/>
            <w:tcBorders>
              <w:top w:val="single" w:sz="4" w:space="0" w:color="auto"/>
              <w:left w:val="nil"/>
              <w:bottom w:val="nil"/>
              <w:right w:val="nil"/>
            </w:tcBorders>
            <w:noWrap/>
            <w:vAlign w:val="center"/>
            <w:hideMark/>
          </w:tcPr>
          <w:p w14:paraId="6B629916" w14:textId="77777777" w:rsidR="00474641" w:rsidRPr="00EF2F18" w:rsidRDefault="00474641" w:rsidP="00DC6CB5">
            <w:pPr>
              <w:spacing w:before="40" w:after="40"/>
              <w:jc w:val="center"/>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Област</w:t>
            </w:r>
          </w:p>
        </w:tc>
        <w:tc>
          <w:tcPr>
            <w:tcW w:w="2131" w:type="dxa"/>
            <w:tcBorders>
              <w:top w:val="single" w:sz="4" w:space="0" w:color="auto"/>
              <w:left w:val="nil"/>
              <w:bottom w:val="nil"/>
              <w:right w:val="nil"/>
            </w:tcBorders>
            <w:noWrap/>
            <w:vAlign w:val="center"/>
            <w:hideMark/>
          </w:tcPr>
          <w:p w14:paraId="4097DDF9" w14:textId="7FAEB57B" w:rsidR="00474641" w:rsidRPr="00EF2F18" w:rsidRDefault="00474641" w:rsidP="00F23129">
            <w:pPr>
              <w:spacing w:before="40" w:after="40"/>
              <w:ind w:left="-105" w:right="-105"/>
              <w:jc w:val="center"/>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 xml:space="preserve">Укупно </w:t>
            </w:r>
            <w:r w:rsidR="00C650C1" w:rsidRPr="00EF2F18">
              <w:rPr>
                <w:rFonts w:eastAsia="Times New Roman" w:cs="Times New Roman"/>
                <w:b/>
                <w:bCs/>
                <w:color w:val="000000"/>
                <w:sz w:val="22"/>
                <w:lang w:val="sr-Cyrl-RS" w:eastAsia="sr-Latn-RS"/>
              </w:rPr>
              <w:t xml:space="preserve">до </w:t>
            </w:r>
            <w:r w:rsidRPr="00EF2F18">
              <w:rPr>
                <w:rFonts w:eastAsia="Times New Roman" w:cs="Times New Roman"/>
                <w:b/>
                <w:bCs/>
                <w:color w:val="000000"/>
                <w:sz w:val="22"/>
                <w:lang w:val="sr-Cyrl-RS" w:eastAsia="sr-Latn-RS"/>
              </w:rPr>
              <w:t>2033.</w:t>
            </w:r>
          </w:p>
        </w:tc>
        <w:tc>
          <w:tcPr>
            <w:tcW w:w="1202" w:type="dxa"/>
            <w:tcBorders>
              <w:top w:val="single" w:sz="4" w:space="0" w:color="auto"/>
              <w:left w:val="nil"/>
              <w:bottom w:val="nil"/>
              <w:right w:val="nil"/>
            </w:tcBorders>
            <w:noWrap/>
            <w:vAlign w:val="center"/>
            <w:hideMark/>
          </w:tcPr>
          <w:p w14:paraId="1D2B7266" w14:textId="77777777" w:rsidR="00474641" w:rsidRPr="00EF2F18" w:rsidRDefault="00474641" w:rsidP="00DC6CB5">
            <w:pPr>
              <w:spacing w:before="40" w:after="40"/>
              <w:jc w:val="center"/>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w:t>
            </w:r>
          </w:p>
        </w:tc>
        <w:tc>
          <w:tcPr>
            <w:tcW w:w="1182" w:type="dxa"/>
            <w:tcBorders>
              <w:top w:val="single" w:sz="4" w:space="0" w:color="auto"/>
              <w:left w:val="nil"/>
              <w:bottom w:val="nil"/>
              <w:right w:val="single" w:sz="4" w:space="0" w:color="auto"/>
            </w:tcBorders>
            <w:noWrap/>
            <w:vAlign w:val="center"/>
            <w:hideMark/>
          </w:tcPr>
          <w:p w14:paraId="26D07DD6" w14:textId="77777777" w:rsidR="00474641" w:rsidRPr="00EF2F18" w:rsidRDefault="00474641" w:rsidP="00DC6CB5">
            <w:pPr>
              <w:spacing w:before="40" w:after="40"/>
              <w:jc w:val="center"/>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w:t>
            </w:r>
          </w:p>
        </w:tc>
      </w:tr>
      <w:tr w:rsidR="00BD6E2D" w:rsidRPr="00EF2F18" w14:paraId="14B7A1A6" w14:textId="77777777" w:rsidTr="00A84E90">
        <w:trPr>
          <w:trHeight w:val="182"/>
        </w:trPr>
        <w:tc>
          <w:tcPr>
            <w:tcW w:w="394" w:type="dxa"/>
            <w:tcBorders>
              <w:top w:val="single" w:sz="4" w:space="0" w:color="auto"/>
              <w:left w:val="single" w:sz="4" w:space="0" w:color="auto"/>
              <w:bottom w:val="single" w:sz="4" w:space="0" w:color="auto"/>
              <w:right w:val="nil"/>
            </w:tcBorders>
            <w:shd w:val="clear" w:color="000000" w:fill="FCE4D6"/>
            <w:noWrap/>
            <w:vAlign w:val="bottom"/>
            <w:hideMark/>
          </w:tcPr>
          <w:p w14:paraId="4A2A19A7" w14:textId="7777777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1</w:t>
            </w:r>
          </w:p>
        </w:tc>
        <w:tc>
          <w:tcPr>
            <w:tcW w:w="4510" w:type="dxa"/>
            <w:tcBorders>
              <w:top w:val="single" w:sz="4" w:space="0" w:color="auto"/>
              <w:left w:val="nil"/>
              <w:bottom w:val="single" w:sz="4" w:space="0" w:color="auto"/>
              <w:right w:val="nil"/>
            </w:tcBorders>
            <w:shd w:val="clear" w:color="000000" w:fill="FCE4D6"/>
            <w:noWrap/>
            <w:vAlign w:val="center"/>
            <w:hideMark/>
          </w:tcPr>
          <w:p w14:paraId="4C26EB51" w14:textId="644FDC2E" w:rsidR="00BD6E2D" w:rsidRPr="00EF2F18" w:rsidRDefault="00BD6E2D" w:rsidP="00BD6E2D">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Декарбонизација и климатске промене*</w:t>
            </w:r>
          </w:p>
        </w:tc>
        <w:tc>
          <w:tcPr>
            <w:tcW w:w="2131" w:type="dxa"/>
            <w:tcBorders>
              <w:top w:val="single" w:sz="4" w:space="0" w:color="auto"/>
              <w:left w:val="nil"/>
              <w:bottom w:val="single" w:sz="4" w:space="0" w:color="auto"/>
              <w:right w:val="nil"/>
            </w:tcBorders>
            <w:shd w:val="clear" w:color="000000" w:fill="FCE4D6"/>
            <w:noWrap/>
            <w:vAlign w:val="center"/>
            <w:hideMark/>
          </w:tcPr>
          <w:p w14:paraId="0C1E5F7D" w14:textId="5B6C0536"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19.092</w:t>
            </w:r>
          </w:p>
        </w:tc>
        <w:tc>
          <w:tcPr>
            <w:tcW w:w="1202" w:type="dxa"/>
            <w:tcBorders>
              <w:top w:val="single" w:sz="4" w:space="0" w:color="auto"/>
              <w:left w:val="nil"/>
              <w:bottom w:val="single" w:sz="4" w:space="0" w:color="auto"/>
              <w:right w:val="nil"/>
            </w:tcBorders>
            <w:shd w:val="clear" w:color="000000" w:fill="FCE4D6"/>
            <w:noWrap/>
            <w:vAlign w:val="center"/>
            <w:hideMark/>
          </w:tcPr>
          <w:p w14:paraId="044208D1"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1182" w:type="dxa"/>
            <w:tcBorders>
              <w:top w:val="single" w:sz="4" w:space="0" w:color="auto"/>
              <w:left w:val="nil"/>
              <w:bottom w:val="single" w:sz="4" w:space="0" w:color="auto"/>
              <w:right w:val="single" w:sz="4" w:space="0" w:color="auto"/>
            </w:tcBorders>
            <w:shd w:val="clear" w:color="000000" w:fill="FCE4D6"/>
            <w:noWrap/>
            <w:vAlign w:val="center"/>
            <w:hideMark/>
          </w:tcPr>
          <w:p w14:paraId="7458FB8F" w14:textId="5F31B11F"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70,</w:t>
            </w:r>
            <w:r w:rsidR="004B2537" w:rsidRPr="00EF2F18">
              <w:rPr>
                <w:rFonts w:cs="Times New Roman"/>
                <w:b/>
                <w:bCs/>
                <w:sz w:val="22"/>
                <w:lang w:val="sr-Cyrl-RS"/>
              </w:rPr>
              <w:t>1</w:t>
            </w:r>
            <w:r w:rsidR="00436A61" w:rsidRPr="00EF2F18">
              <w:rPr>
                <w:rFonts w:cs="Times New Roman"/>
                <w:b/>
                <w:bCs/>
                <w:sz w:val="22"/>
                <w:lang w:val="sr-Cyrl-RS"/>
              </w:rPr>
              <w:t>0</w:t>
            </w:r>
          </w:p>
        </w:tc>
      </w:tr>
      <w:tr w:rsidR="00BD6E2D" w:rsidRPr="00EF2F18" w14:paraId="3BF75D3B" w14:textId="77777777" w:rsidTr="00A84E90">
        <w:trPr>
          <w:trHeight w:val="151"/>
        </w:trPr>
        <w:tc>
          <w:tcPr>
            <w:tcW w:w="394" w:type="dxa"/>
            <w:tcBorders>
              <w:top w:val="nil"/>
              <w:left w:val="single" w:sz="4" w:space="0" w:color="auto"/>
              <w:bottom w:val="nil"/>
              <w:right w:val="nil"/>
            </w:tcBorders>
            <w:noWrap/>
            <w:vAlign w:val="bottom"/>
            <w:hideMark/>
          </w:tcPr>
          <w:p w14:paraId="63C12B27"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4510" w:type="dxa"/>
            <w:tcBorders>
              <w:top w:val="nil"/>
              <w:left w:val="nil"/>
              <w:bottom w:val="nil"/>
              <w:right w:val="nil"/>
            </w:tcBorders>
            <w:noWrap/>
            <w:vAlign w:val="center"/>
            <w:hideMark/>
          </w:tcPr>
          <w:p w14:paraId="04A16CCF" w14:textId="77777777"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nil"/>
              <w:left w:val="nil"/>
              <w:bottom w:val="nil"/>
              <w:right w:val="nil"/>
            </w:tcBorders>
            <w:noWrap/>
            <w:vAlign w:val="center"/>
            <w:hideMark/>
          </w:tcPr>
          <w:p w14:paraId="3FD7FB6B" w14:textId="52F7B208"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19.089</w:t>
            </w:r>
          </w:p>
        </w:tc>
        <w:tc>
          <w:tcPr>
            <w:tcW w:w="1202" w:type="dxa"/>
            <w:tcBorders>
              <w:top w:val="nil"/>
              <w:left w:val="nil"/>
              <w:bottom w:val="nil"/>
              <w:right w:val="nil"/>
            </w:tcBorders>
            <w:noWrap/>
            <w:vAlign w:val="center"/>
            <w:hideMark/>
          </w:tcPr>
          <w:p w14:paraId="5BD516E1" w14:textId="634385E0"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99,98</w:t>
            </w:r>
          </w:p>
        </w:tc>
        <w:tc>
          <w:tcPr>
            <w:tcW w:w="1182" w:type="dxa"/>
            <w:tcBorders>
              <w:top w:val="nil"/>
              <w:left w:val="nil"/>
              <w:bottom w:val="nil"/>
              <w:right w:val="single" w:sz="4" w:space="0" w:color="auto"/>
            </w:tcBorders>
            <w:noWrap/>
            <w:vAlign w:val="center"/>
            <w:hideMark/>
          </w:tcPr>
          <w:p w14:paraId="18DB9BDE"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394C67F0" w14:textId="77777777" w:rsidTr="00A84E90">
        <w:trPr>
          <w:trHeight w:val="182"/>
        </w:trPr>
        <w:tc>
          <w:tcPr>
            <w:tcW w:w="394" w:type="dxa"/>
            <w:tcBorders>
              <w:top w:val="nil"/>
              <w:left w:val="single" w:sz="4" w:space="0" w:color="auto"/>
              <w:bottom w:val="nil"/>
              <w:right w:val="nil"/>
            </w:tcBorders>
            <w:noWrap/>
            <w:vAlign w:val="bottom"/>
            <w:hideMark/>
          </w:tcPr>
          <w:p w14:paraId="1BC06226" w14:textId="77777777" w:rsidR="00BD6E2D" w:rsidRPr="00EF2F18" w:rsidRDefault="00BD6E2D" w:rsidP="00BD6E2D">
            <w:pPr>
              <w:spacing w:before="40" w:after="40"/>
              <w:rPr>
                <w:rFonts w:eastAsia="Times New Roman" w:cs="Times New Roman"/>
                <w:sz w:val="22"/>
                <w:lang w:val="sr-Cyrl-RS" w:eastAsia="sr-Latn-RS"/>
              </w:rPr>
            </w:pPr>
          </w:p>
        </w:tc>
        <w:tc>
          <w:tcPr>
            <w:tcW w:w="4510" w:type="dxa"/>
            <w:tcBorders>
              <w:top w:val="nil"/>
              <w:left w:val="nil"/>
              <w:bottom w:val="nil"/>
              <w:right w:val="nil"/>
            </w:tcBorders>
            <w:noWrap/>
            <w:vAlign w:val="center"/>
            <w:hideMark/>
          </w:tcPr>
          <w:p w14:paraId="3E820ABF" w14:textId="7FB66FE9"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Административни и остали трошкови</w:t>
            </w:r>
          </w:p>
        </w:tc>
        <w:tc>
          <w:tcPr>
            <w:tcW w:w="2131" w:type="dxa"/>
            <w:tcBorders>
              <w:top w:val="nil"/>
              <w:left w:val="nil"/>
              <w:bottom w:val="nil"/>
              <w:right w:val="nil"/>
            </w:tcBorders>
            <w:noWrap/>
            <w:vAlign w:val="center"/>
            <w:hideMark/>
          </w:tcPr>
          <w:p w14:paraId="1DE30B0B" w14:textId="0375CEE0"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3</w:t>
            </w:r>
          </w:p>
        </w:tc>
        <w:tc>
          <w:tcPr>
            <w:tcW w:w="1202" w:type="dxa"/>
            <w:tcBorders>
              <w:top w:val="nil"/>
              <w:left w:val="nil"/>
              <w:bottom w:val="nil"/>
              <w:right w:val="nil"/>
            </w:tcBorders>
            <w:noWrap/>
            <w:vAlign w:val="center"/>
            <w:hideMark/>
          </w:tcPr>
          <w:p w14:paraId="2A2B6DAE" w14:textId="0E56CE25"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0,02</w:t>
            </w:r>
          </w:p>
        </w:tc>
        <w:tc>
          <w:tcPr>
            <w:tcW w:w="1182" w:type="dxa"/>
            <w:tcBorders>
              <w:top w:val="nil"/>
              <w:left w:val="nil"/>
              <w:bottom w:val="nil"/>
              <w:right w:val="single" w:sz="4" w:space="0" w:color="auto"/>
            </w:tcBorders>
            <w:noWrap/>
            <w:vAlign w:val="center"/>
            <w:hideMark/>
          </w:tcPr>
          <w:p w14:paraId="5F1B6707"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4BFCF333" w14:textId="77777777" w:rsidTr="00A84E90">
        <w:trPr>
          <w:trHeight w:val="182"/>
        </w:trPr>
        <w:tc>
          <w:tcPr>
            <w:tcW w:w="394" w:type="dxa"/>
            <w:tcBorders>
              <w:top w:val="single" w:sz="4" w:space="0" w:color="auto"/>
              <w:left w:val="single" w:sz="4" w:space="0" w:color="auto"/>
              <w:bottom w:val="single" w:sz="4" w:space="0" w:color="auto"/>
              <w:right w:val="nil"/>
            </w:tcBorders>
            <w:shd w:val="clear" w:color="000000" w:fill="CCCCFF"/>
            <w:noWrap/>
            <w:vAlign w:val="bottom"/>
            <w:hideMark/>
          </w:tcPr>
          <w:p w14:paraId="433C2759" w14:textId="7777777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2</w:t>
            </w:r>
          </w:p>
        </w:tc>
        <w:tc>
          <w:tcPr>
            <w:tcW w:w="4510" w:type="dxa"/>
            <w:tcBorders>
              <w:top w:val="single" w:sz="4" w:space="0" w:color="auto"/>
              <w:left w:val="nil"/>
              <w:bottom w:val="single" w:sz="4" w:space="0" w:color="auto"/>
              <w:right w:val="nil"/>
            </w:tcBorders>
            <w:shd w:val="clear" w:color="000000" w:fill="CCCCFF"/>
            <w:noWrap/>
            <w:vAlign w:val="center"/>
            <w:hideMark/>
          </w:tcPr>
          <w:p w14:paraId="75BE4DE8" w14:textId="77777777" w:rsidR="00BD6E2D" w:rsidRPr="00EF2F18" w:rsidRDefault="00BD6E2D" w:rsidP="00BD6E2D">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Циркуларна економија</w:t>
            </w:r>
          </w:p>
        </w:tc>
        <w:tc>
          <w:tcPr>
            <w:tcW w:w="2131" w:type="dxa"/>
            <w:tcBorders>
              <w:top w:val="single" w:sz="4" w:space="0" w:color="auto"/>
              <w:left w:val="nil"/>
              <w:bottom w:val="single" w:sz="4" w:space="0" w:color="auto"/>
              <w:right w:val="nil"/>
            </w:tcBorders>
            <w:shd w:val="clear" w:color="000000" w:fill="CCCCFF"/>
            <w:noWrap/>
            <w:vAlign w:val="center"/>
            <w:hideMark/>
          </w:tcPr>
          <w:p w14:paraId="20BFAF8D" w14:textId="3D3E3CA2"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1.299</w:t>
            </w:r>
          </w:p>
        </w:tc>
        <w:tc>
          <w:tcPr>
            <w:tcW w:w="1202" w:type="dxa"/>
            <w:tcBorders>
              <w:top w:val="single" w:sz="4" w:space="0" w:color="auto"/>
              <w:left w:val="nil"/>
              <w:bottom w:val="single" w:sz="4" w:space="0" w:color="auto"/>
              <w:right w:val="nil"/>
            </w:tcBorders>
            <w:shd w:val="clear" w:color="000000" w:fill="CCCCFF"/>
            <w:noWrap/>
            <w:vAlign w:val="center"/>
            <w:hideMark/>
          </w:tcPr>
          <w:p w14:paraId="74BE67D8"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1182" w:type="dxa"/>
            <w:tcBorders>
              <w:top w:val="single" w:sz="4" w:space="0" w:color="auto"/>
              <w:left w:val="nil"/>
              <w:bottom w:val="single" w:sz="4" w:space="0" w:color="auto"/>
              <w:right w:val="single" w:sz="4" w:space="0" w:color="auto"/>
            </w:tcBorders>
            <w:shd w:val="clear" w:color="000000" w:fill="CCCCFF"/>
            <w:noWrap/>
            <w:vAlign w:val="center"/>
            <w:hideMark/>
          </w:tcPr>
          <w:p w14:paraId="47A2CF71" w14:textId="28F26C0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4,</w:t>
            </w:r>
            <w:r w:rsidR="004B2537" w:rsidRPr="00EF2F18">
              <w:rPr>
                <w:rFonts w:cs="Times New Roman"/>
                <w:b/>
                <w:bCs/>
                <w:sz w:val="22"/>
                <w:lang w:val="sr-Cyrl-RS"/>
              </w:rPr>
              <w:t>77</w:t>
            </w:r>
          </w:p>
        </w:tc>
      </w:tr>
      <w:tr w:rsidR="00BD6E2D" w:rsidRPr="00EF2F18" w14:paraId="6C3DCF97" w14:textId="77777777" w:rsidTr="00A84E90">
        <w:trPr>
          <w:trHeight w:val="182"/>
        </w:trPr>
        <w:tc>
          <w:tcPr>
            <w:tcW w:w="394" w:type="dxa"/>
            <w:tcBorders>
              <w:top w:val="nil"/>
              <w:left w:val="single" w:sz="4" w:space="0" w:color="auto"/>
              <w:bottom w:val="nil"/>
              <w:right w:val="nil"/>
            </w:tcBorders>
            <w:noWrap/>
            <w:vAlign w:val="bottom"/>
            <w:hideMark/>
          </w:tcPr>
          <w:p w14:paraId="420ABA81"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4510" w:type="dxa"/>
            <w:tcBorders>
              <w:top w:val="nil"/>
              <w:left w:val="nil"/>
              <w:bottom w:val="nil"/>
              <w:right w:val="nil"/>
            </w:tcBorders>
            <w:noWrap/>
            <w:vAlign w:val="center"/>
            <w:hideMark/>
          </w:tcPr>
          <w:p w14:paraId="30A1AB93" w14:textId="77777777"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nil"/>
              <w:left w:val="nil"/>
              <w:bottom w:val="nil"/>
              <w:right w:val="nil"/>
            </w:tcBorders>
            <w:noWrap/>
            <w:vAlign w:val="center"/>
            <w:hideMark/>
          </w:tcPr>
          <w:p w14:paraId="453FEF88" w14:textId="48FC8FB4"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1.297</w:t>
            </w:r>
          </w:p>
        </w:tc>
        <w:tc>
          <w:tcPr>
            <w:tcW w:w="1202" w:type="dxa"/>
            <w:tcBorders>
              <w:top w:val="nil"/>
              <w:left w:val="nil"/>
              <w:bottom w:val="nil"/>
              <w:right w:val="nil"/>
            </w:tcBorders>
            <w:noWrap/>
            <w:vAlign w:val="center"/>
            <w:hideMark/>
          </w:tcPr>
          <w:p w14:paraId="40D51909" w14:textId="1C21C2A3"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99,85</w:t>
            </w:r>
          </w:p>
        </w:tc>
        <w:tc>
          <w:tcPr>
            <w:tcW w:w="1182" w:type="dxa"/>
            <w:tcBorders>
              <w:top w:val="nil"/>
              <w:left w:val="nil"/>
              <w:bottom w:val="nil"/>
              <w:right w:val="single" w:sz="4" w:space="0" w:color="auto"/>
            </w:tcBorders>
            <w:noWrap/>
            <w:vAlign w:val="center"/>
            <w:hideMark/>
          </w:tcPr>
          <w:p w14:paraId="4A2E45EF"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413624EF" w14:textId="77777777" w:rsidTr="00A84E90">
        <w:trPr>
          <w:trHeight w:val="182"/>
        </w:trPr>
        <w:tc>
          <w:tcPr>
            <w:tcW w:w="394" w:type="dxa"/>
            <w:tcBorders>
              <w:top w:val="nil"/>
              <w:left w:val="single" w:sz="4" w:space="0" w:color="auto"/>
              <w:bottom w:val="nil"/>
              <w:right w:val="nil"/>
            </w:tcBorders>
            <w:noWrap/>
            <w:vAlign w:val="bottom"/>
            <w:hideMark/>
          </w:tcPr>
          <w:p w14:paraId="1A51D808" w14:textId="77777777" w:rsidR="00BD6E2D" w:rsidRPr="00EF2F18" w:rsidRDefault="00BD6E2D" w:rsidP="00BD6E2D">
            <w:pPr>
              <w:spacing w:before="40" w:after="40"/>
              <w:rPr>
                <w:rFonts w:eastAsia="Times New Roman" w:cs="Times New Roman"/>
                <w:sz w:val="22"/>
                <w:lang w:val="sr-Cyrl-RS" w:eastAsia="sr-Latn-RS"/>
              </w:rPr>
            </w:pPr>
          </w:p>
        </w:tc>
        <w:tc>
          <w:tcPr>
            <w:tcW w:w="4510" w:type="dxa"/>
            <w:tcBorders>
              <w:top w:val="nil"/>
              <w:left w:val="nil"/>
              <w:bottom w:val="nil"/>
              <w:right w:val="nil"/>
            </w:tcBorders>
            <w:noWrap/>
            <w:vAlign w:val="center"/>
            <w:hideMark/>
          </w:tcPr>
          <w:p w14:paraId="50D96E44" w14:textId="56349D50"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Административни и остали трошкови</w:t>
            </w:r>
          </w:p>
        </w:tc>
        <w:tc>
          <w:tcPr>
            <w:tcW w:w="2131" w:type="dxa"/>
            <w:tcBorders>
              <w:top w:val="nil"/>
              <w:left w:val="nil"/>
              <w:bottom w:val="nil"/>
              <w:right w:val="nil"/>
            </w:tcBorders>
            <w:noWrap/>
            <w:vAlign w:val="center"/>
            <w:hideMark/>
          </w:tcPr>
          <w:p w14:paraId="40680BDB" w14:textId="3B83E572"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2</w:t>
            </w:r>
          </w:p>
        </w:tc>
        <w:tc>
          <w:tcPr>
            <w:tcW w:w="1202" w:type="dxa"/>
            <w:tcBorders>
              <w:top w:val="nil"/>
              <w:left w:val="nil"/>
              <w:bottom w:val="nil"/>
              <w:right w:val="nil"/>
            </w:tcBorders>
            <w:noWrap/>
            <w:vAlign w:val="center"/>
            <w:hideMark/>
          </w:tcPr>
          <w:p w14:paraId="729BB2A3" w14:textId="4E062905"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0,15</w:t>
            </w:r>
          </w:p>
        </w:tc>
        <w:tc>
          <w:tcPr>
            <w:tcW w:w="1182" w:type="dxa"/>
            <w:tcBorders>
              <w:top w:val="nil"/>
              <w:left w:val="nil"/>
              <w:bottom w:val="nil"/>
              <w:right w:val="single" w:sz="4" w:space="0" w:color="auto"/>
            </w:tcBorders>
            <w:noWrap/>
            <w:vAlign w:val="center"/>
            <w:hideMark/>
          </w:tcPr>
          <w:p w14:paraId="5A210E80"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6917BC55" w14:textId="77777777" w:rsidTr="00A84E90">
        <w:trPr>
          <w:trHeight w:val="182"/>
        </w:trPr>
        <w:tc>
          <w:tcPr>
            <w:tcW w:w="394" w:type="dxa"/>
            <w:tcBorders>
              <w:top w:val="single" w:sz="4" w:space="0" w:color="auto"/>
              <w:left w:val="single" w:sz="4" w:space="0" w:color="auto"/>
              <w:bottom w:val="single" w:sz="4" w:space="0" w:color="auto"/>
              <w:right w:val="nil"/>
            </w:tcBorders>
            <w:shd w:val="clear" w:color="000000" w:fill="FFFF99"/>
            <w:noWrap/>
            <w:vAlign w:val="bottom"/>
            <w:hideMark/>
          </w:tcPr>
          <w:p w14:paraId="5533B5E5" w14:textId="7777777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3</w:t>
            </w:r>
          </w:p>
        </w:tc>
        <w:tc>
          <w:tcPr>
            <w:tcW w:w="4510" w:type="dxa"/>
            <w:tcBorders>
              <w:top w:val="single" w:sz="4" w:space="0" w:color="auto"/>
              <w:left w:val="nil"/>
              <w:bottom w:val="single" w:sz="4" w:space="0" w:color="auto"/>
              <w:right w:val="nil"/>
            </w:tcBorders>
            <w:shd w:val="clear" w:color="000000" w:fill="FFFF99"/>
            <w:noWrap/>
            <w:vAlign w:val="center"/>
            <w:hideMark/>
          </w:tcPr>
          <w:p w14:paraId="3BD60090" w14:textId="77777777" w:rsidR="00BD6E2D" w:rsidRPr="00EF2F18" w:rsidRDefault="00BD6E2D" w:rsidP="00BD6E2D">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Смањење загађења</w:t>
            </w:r>
          </w:p>
        </w:tc>
        <w:tc>
          <w:tcPr>
            <w:tcW w:w="2131" w:type="dxa"/>
            <w:tcBorders>
              <w:top w:val="single" w:sz="4" w:space="0" w:color="auto"/>
              <w:left w:val="nil"/>
              <w:bottom w:val="single" w:sz="4" w:space="0" w:color="auto"/>
              <w:right w:val="nil"/>
            </w:tcBorders>
            <w:shd w:val="clear" w:color="000000" w:fill="FFFF99"/>
            <w:noWrap/>
            <w:vAlign w:val="center"/>
            <w:hideMark/>
          </w:tcPr>
          <w:p w14:paraId="1BE05D25" w14:textId="5CB05F7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5.6</w:t>
            </w:r>
            <w:r w:rsidR="00950CCB" w:rsidRPr="00EF2F18">
              <w:rPr>
                <w:rFonts w:cs="Times New Roman"/>
                <w:b/>
                <w:bCs/>
                <w:sz w:val="22"/>
                <w:lang w:val="sr-Cyrl-RS"/>
              </w:rPr>
              <w:t>75</w:t>
            </w:r>
          </w:p>
        </w:tc>
        <w:tc>
          <w:tcPr>
            <w:tcW w:w="1202" w:type="dxa"/>
            <w:tcBorders>
              <w:top w:val="single" w:sz="4" w:space="0" w:color="auto"/>
              <w:left w:val="nil"/>
              <w:bottom w:val="single" w:sz="4" w:space="0" w:color="auto"/>
              <w:right w:val="nil"/>
            </w:tcBorders>
            <w:shd w:val="clear" w:color="000000" w:fill="FFFF99"/>
            <w:noWrap/>
            <w:vAlign w:val="center"/>
            <w:hideMark/>
          </w:tcPr>
          <w:p w14:paraId="09621D33"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1182" w:type="dxa"/>
            <w:tcBorders>
              <w:top w:val="single" w:sz="4" w:space="0" w:color="auto"/>
              <w:left w:val="nil"/>
              <w:bottom w:val="single" w:sz="4" w:space="0" w:color="auto"/>
              <w:right w:val="single" w:sz="4" w:space="0" w:color="auto"/>
            </w:tcBorders>
            <w:shd w:val="clear" w:color="000000" w:fill="FFFF99"/>
            <w:noWrap/>
            <w:vAlign w:val="center"/>
            <w:hideMark/>
          </w:tcPr>
          <w:p w14:paraId="1406EF51" w14:textId="54FDC833"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20,</w:t>
            </w:r>
            <w:r w:rsidR="004B2537" w:rsidRPr="00EF2F18">
              <w:rPr>
                <w:rFonts w:cs="Times New Roman"/>
                <w:b/>
                <w:bCs/>
                <w:sz w:val="22"/>
                <w:lang w:val="sr-Cyrl-RS"/>
              </w:rPr>
              <w:t>8</w:t>
            </w:r>
            <w:r w:rsidR="00436A61" w:rsidRPr="00EF2F18">
              <w:rPr>
                <w:rFonts w:cs="Times New Roman"/>
                <w:b/>
                <w:bCs/>
                <w:sz w:val="22"/>
                <w:lang w:val="sr-Cyrl-RS"/>
              </w:rPr>
              <w:t>4</w:t>
            </w:r>
          </w:p>
        </w:tc>
      </w:tr>
      <w:tr w:rsidR="00BD6E2D" w:rsidRPr="00EF2F18" w14:paraId="4821F5CD" w14:textId="77777777" w:rsidTr="00A84E90">
        <w:trPr>
          <w:trHeight w:val="182"/>
        </w:trPr>
        <w:tc>
          <w:tcPr>
            <w:tcW w:w="394" w:type="dxa"/>
            <w:tcBorders>
              <w:top w:val="nil"/>
              <w:left w:val="single" w:sz="4" w:space="0" w:color="auto"/>
              <w:bottom w:val="nil"/>
              <w:right w:val="nil"/>
            </w:tcBorders>
            <w:noWrap/>
            <w:vAlign w:val="bottom"/>
            <w:hideMark/>
          </w:tcPr>
          <w:p w14:paraId="4EA0F4C6"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4510" w:type="dxa"/>
            <w:tcBorders>
              <w:top w:val="nil"/>
              <w:left w:val="nil"/>
              <w:bottom w:val="nil"/>
              <w:right w:val="nil"/>
            </w:tcBorders>
            <w:noWrap/>
            <w:vAlign w:val="center"/>
            <w:hideMark/>
          </w:tcPr>
          <w:p w14:paraId="0FDB3F5A" w14:textId="77777777"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nil"/>
              <w:left w:val="nil"/>
              <w:bottom w:val="nil"/>
              <w:right w:val="nil"/>
            </w:tcBorders>
            <w:noWrap/>
            <w:vAlign w:val="center"/>
            <w:hideMark/>
          </w:tcPr>
          <w:p w14:paraId="691A16FD" w14:textId="127138F1"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5.599</w:t>
            </w:r>
          </w:p>
        </w:tc>
        <w:tc>
          <w:tcPr>
            <w:tcW w:w="1202" w:type="dxa"/>
            <w:tcBorders>
              <w:top w:val="nil"/>
              <w:left w:val="nil"/>
              <w:bottom w:val="nil"/>
              <w:right w:val="nil"/>
            </w:tcBorders>
            <w:noWrap/>
            <w:vAlign w:val="center"/>
            <w:hideMark/>
          </w:tcPr>
          <w:p w14:paraId="28F0EA10" w14:textId="1F1E5A65"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98,</w:t>
            </w:r>
            <w:r w:rsidR="00436A61" w:rsidRPr="00EF2F18">
              <w:rPr>
                <w:rFonts w:cs="Times New Roman"/>
                <w:sz w:val="22"/>
                <w:lang w:val="sr-Cyrl-RS"/>
              </w:rPr>
              <w:t>67</w:t>
            </w:r>
          </w:p>
        </w:tc>
        <w:tc>
          <w:tcPr>
            <w:tcW w:w="1182" w:type="dxa"/>
            <w:tcBorders>
              <w:top w:val="nil"/>
              <w:left w:val="nil"/>
              <w:bottom w:val="nil"/>
              <w:right w:val="single" w:sz="4" w:space="0" w:color="auto"/>
            </w:tcBorders>
            <w:noWrap/>
            <w:vAlign w:val="center"/>
            <w:hideMark/>
          </w:tcPr>
          <w:p w14:paraId="3D502ED8"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1FE98D69" w14:textId="77777777" w:rsidTr="00A84E90">
        <w:trPr>
          <w:trHeight w:val="182"/>
        </w:trPr>
        <w:tc>
          <w:tcPr>
            <w:tcW w:w="394" w:type="dxa"/>
            <w:tcBorders>
              <w:top w:val="nil"/>
              <w:left w:val="single" w:sz="4" w:space="0" w:color="auto"/>
              <w:bottom w:val="nil"/>
              <w:right w:val="nil"/>
            </w:tcBorders>
            <w:noWrap/>
            <w:vAlign w:val="bottom"/>
            <w:hideMark/>
          </w:tcPr>
          <w:p w14:paraId="59DF9170" w14:textId="77777777" w:rsidR="00BD6E2D" w:rsidRPr="00EF2F18" w:rsidRDefault="00BD6E2D" w:rsidP="00BD6E2D">
            <w:pPr>
              <w:spacing w:before="40" w:after="40"/>
              <w:rPr>
                <w:rFonts w:eastAsia="Times New Roman" w:cs="Times New Roman"/>
                <w:sz w:val="22"/>
                <w:lang w:val="sr-Cyrl-RS" w:eastAsia="sr-Latn-RS"/>
              </w:rPr>
            </w:pPr>
          </w:p>
        </w:tc>
        <w:tc>
          <w:tcPr>
            <w:tcW w:w="4510" w:type="dxa"/>
            <w:tcBorders>
              <w:top w:val="nil"/>
              <w:left w:val="nil"/>
              <w:bottom w:val="nil"/>
              <w:right w:val="nil"/>
            </w:tcBorders>
            <w:noWrap/>
            <w:vAlign w:val="center"/>
            <w:hideMark/>
          </w:tcPr>
          <w:p w14:paraId="70DB58F7" w14:textId="68FE994C"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Административни и остали трошкови</w:t>
            </w:r>
          </w:p>
        </w:tc>
        <w:tc>
          <w:tcPr>
            <w:tcW w:w="2131" w:type="dxa"/>
            <w:tcBorders>
              <w:top w:val="nil"/>
              <w:left w:val="nil"/>
              <w:bottom w:val="nil"/>
              <w:right w:val="nil"/>
            </w:tcBorders>
            <w:noWrap/>
            <w:vAlign w:val="center"/>
            <w:hideMark/>
          </w:tcPr>
          <w:p w14:paraId="29F0EF6C" w14:textId="1B6CF67D" w:rsidR="00BD6E2D" w:rsidRPr="00EF2F18" w:rsidRDefault="00950CCB"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7</w:t>
            </w:r>
            <w:r w:rsidR="00436A61" w:rsidRPr="00EF2F18">
              <w:rPr>
                <w:rFonts w:cs="Times New Roman"/>
                <w:sz w:val="22"/>
                <w:lang w:val="sr-Cyrl-RS"/>
              </w:rPr>
              <w:t>6</w:t>
            </w:r>
          </w:p>
        </w:tc>
        <w:tc>
          <w:tcPr>
            <w:tcW w:w="1202" w:type="dxa"/>
            <w:tcBorders>
              <w:top w:val="nil"/>
              <w:left w:val="nil"/>
              <w:bottom w:val="nil"/>
              <w:right w:val="nil"/>
            </w:tcBorders>
            <w:noWrap/>
            <w:vAlign w:val="center"/>
            <w:hideMark/>
          </w:tcPr>
          <w:p w14:paraId="1B1DC719" w14:textId="64C99B22"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1,</w:t>
            </w:r>
            <w:r w:rsidR="00436A61" w:rsidRPr="00EF2F18">
              <w:rPr>
                <w:rFonts w:cs="Times New Roman"/>
                <w:sz w:val="22"/>
                <w:lang w:val="sr-Cyrl-RS"/>
              </w:rPr>
              <w:t>34</w:t>
            </w:r>
          </w:p>
        </w:tc>
        <w:tc>
          <w:tcPr>
            <w:tcW w:w="1182" w:type="dxa"/>
            <w:tcBorders>
              <w:top w:val="nil"/>
              <w:left w:val="nil"/>
              <w:bottom w:val="nil"/>
              <w:right w:val="single" w:sz="4" w:space="0" w:color="auto"/>
            </w:tcBorders>
            <w:noWrap/>
            <w:vAlign w:val="center"/>
            <w:hideMark/>
          </w:tcPr>
          <w:p w14:paraId="606BBAC9"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5781DCFB" w14:textId="77777777" w:rsidTr="00A84E90">
        <w:trPr>
          <w:trHeight w:val="182"/>
        </w:trPr>
        <w:tc>
          <w:tcPr>
            <w:tcW w:w="394" w:type="dxa"/>
            <w:tcBorders>
              <w:top w:val="single" w:sz="4" w:space="0" w:color="auto"/>
              <w:left w:val="single" w:sz="4" w:space="0" w:color="auto"/>
              <w:bottom w:val="single" w:sz="4" w:space="0" w:color="auto"/>
              <w:right w:val="nil"/>
            </w:tcBorders>
            <w:shd w:val="clear" w:color="000000" w:fill="E2EFDA"/>
            <w:noWrap/>
            <w:vAlign w:val="bottom"/>
            <w:hideMark/>
          </w:tcPr>
          <w:p w14:paraId="5DE2A732" w14:textId="7777777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4</w:t>
            </w:r>
          </w:p>
        </w:tc>
        <w:tc>
          <w:tcPr>
            <w:tcW w:w="4510" w:type="dxa"/>
            <w:tcBorders>
              <w:top w:val="single" w:sz="4" w:space="0" w:color="auto"/>
              <w:left w:val="nil"/>
              <w:bottom w:val="single" w:sz="4" w:space="0" w:color="auto"/>
              <w:right w:val="nil"/>
            </w:tcBorders>
            <w:shd w:val="clear" w:color="000000" w:fill="E2EFDA"/>
            <w:noWrap/>
            <w:vAlign w:val="center"/>
            <w:hideMark/>
          </w:tcPr>
          <w:p w14:paraId="5B350FE4" w14:textId="77777777" w:rsidR="00BD6E2D" w:rsidRPr="00EF2F18" w:rsidRDefault="00BD6E2D" w:rsidP="00BD6E2D">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Биодиверзитет</w:t>
            </w:r>
          </w:p>
        </w:tc>
        <w:tc>
          <w:tcPr>
            <w:tcW w:w="2131" w:type="dxa"/>
            <w:tcBorders>
              <w:top w:val="single" w:sz="4" w:space="0" w:color="auto"/>
              <w:left w:val="nil"/>
              <w:bottom w:val="single" w:sz="4" w:space="0" w:color="auto"/>
              <w:right w:val="nil"/>
            </w:tcBorders>
            <w:shd w:val="clear" w:color="000000" w:fill="E2EFDA"/>
            <w:noWrap/>
            <w:vAlign w:val="center"/>
            <w:hideMark/>
          </w:tcPr>
          <w:p w14:paraId="1DAF78CB" w14:textId="32A6E38D" w:rsidR="00BD6E2D" w:rsidRPr="00EF2F18" w:rsidRDefault="00CE57C1"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406</w:t>
            </w:r>
          </w:p>
        </w:tc>
        <w:tc>
          <w:tcPr>
            <w:tcW w:w="1202" w:type="dxa"/>
            <w:tcBorders>
              <w:top w:val="single" w:sz="4" w:space="0" w:color="auto"/>
              <w:left w:val="nil"/>
              <w:bottom w:val="single" w:sz="4" w:space="0" w:color="auto"/>
              <w:right w:val="nil"/>
            </w:tcBorders>
            <w:shd w:val="clear" w:color="000000" w:fill="E2EFDA"/>
            <w:noWrap/>
            <w:vAlign w:val="center"/>
            <w:hideMark/>
          </w:tcPr>
          <w:p w14:paraId="6FB9CADA" w14:textId="77777777" w:rsidR="00BD6E2D" w:rsidRPr="00EF2F18" w:rsidRDefault="00BD6E2D" w:rsidP="00BD6E2D">
            <w:pPr>
              <w:spacing w:before="40" w:after="40"/>
              <w:jc w:val="right"/>
              <w:rPr>
                <w:rFonts w:eastAsia="Times New Roman" w:cs="Times New Roman"/>
                <w:b/>
                <w:bCs/>
                <w:color w:val="000000"/>
                <w:sz w:val="22"/>
                <w:highlight w:val="yellow"/>
                <w:lang w:val="sr-Cyrl-RS" w:eastAsia="sr-Latn-RS"/>
              </w:rPr>
            </w:pPr>
          </w:p>
        </w:tc>
        <w:tc>
          <w:tcPr>
            <w:tcW w:w="1182" w:type="dxa"/>
            <w:tcBorders>
              <w:top w:val="single" w:sz="4" w:space="0" w:color="auto"/>
              <w:left w:val="nil"/>
              <w:bottom w:val="single" w:sz="4" w:space="0" w:color="auto"/>
              <w:right w:val="single" w:sz="4" w:space="0" w:color="auto"/>
            </w:tcBorders>
            <w:shd w:val="clear" w:color="000000" w:fill="E2EFDA"/>
            <w:noWrap/>
            <w:vAlign w:val="center"/>
            <w:hideMark/>
          </w:tcPr>
          <w:p w14:paraId="45A7F57F" w14:textId="58852A47" w:rsidR="00BD6E2D" w:rsidRPr="00EF2F18" w:rsidRDefault="004B2537"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1</w:t>
            </w:r>
            <w:r w:rsidR="00BD6E2D" w:rsidRPr="00EF2F18">
              <w:rPr>
                <w:rFonts w:cs="Times New Roman"/>
                <w:b/>
                <w:bCs/>
                <w:sz w:val="22"/>
                <w:lang w:val="sr-Cyrl-RS"/>
              </w:rPr>
              <w:t>,</w:t>
            </w:r>
            <w:r w:rsidRPr="00EF2F18">
              <w:rPr>
                <w:rFonts w:cs="Times New Roman"/>
                <w:b/>
                <w:bCs/>
                <w:sz w:val="22"/>
                <w:lang w:val="sr-Cyrl-RS"/>
              </w:rPr>
              <w:t>49</w:t>
            </w:r>
          </w:p>
        </w:tc>
      </w:tr>
      <w:tr w:rsidR="00BD6E2D" w:rsidRPr="00EF2F18" w14:paraId="6D53464D" w14:textId="77777777" w:rsidTr="00A84E90">
        <w:trPr>
          <w:trHeight w:val="182"/>
        </w:trPr>
        <w:tc>
          <w:tcPr>
            <w:tcW w:w="394" w:type="dxa"/>
            <w:tcBorders>
              <w:top w:val="nil"/>
              <w:left w:val="single" w:sz="4" w:space="0" w:color="auto"/>
              <w:bottom w:val="nil"/>
              <w:right w:val="nil"/>
            </w:tcBorders>
            <w:noWrap/>
            <w:vAlign w:val="bottom"/>
            <w:hideMark/>
          </w:tcPr>
          <w:p w14:paraId="2C076CD7"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4510" w:type="dxa"/>
            <w:tcBorders>
              <w:top w:val="nil"/>
              <w:left w:val="nil"/>
              <w:bottom w:val="nil"/>
              <w:right w:val="nil"/>
            </w:tcBorders>
            <w:noWrap/>
            <w:vAlign w:val="center"/>
            <w:hideMark/>
          </w:tcPr>
          <w:p w14:paraId="33E73DE9" w14:textId="77777777"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nil"/>
              <w:left w:val="nil"/>
              <w:bottom w:val="nil"/>
              <w:right w:val="nil"/>
            </w:tcBorders>
            <w:noWrap/>
            <w:vAlign w:val="center"/>
            <w:hideMark/>
          </w:tcPr>
          <w:p w14:paraId="493EEA43" w14:textId="07B3CAE0" w:rsidR="00BD6E2D" w:rsidRPr="00EF2F18" w:rsidRDefault="00CE57C1"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396</w:t>
            </w:r>
          </w:p>
        </w:tc>
        <w:tc>
          <w:tcPr>
            <w:tcW w:w="1202" w:type="dxa"/>
            <w:tcBorders>
              <w:top w:val="nil"/>
              <w:left w:val="nil"/>
              <w:bottom w:val="nil"/>
              <w:right w:val="nil"/>
            </w:tcBorders>
            <w:noWrap/>
            <w:vAlign w:val="center"/>
          </w:tcPr>
          <w:p w14:paraId="0DADE548" w14:textId="5790A8AB" w:rsidR="00BD6E2D" w:rsidRPr="00EF2F18" w:rsidRDefault="004B2537"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97</w:t>
            </w:r>
            <w:r w:rsidR="00BD6E2D" w:rsidRPr="00EF2F18">
              <w:rPr>
                <w:rFonts w:cs="Times New Roman"/>
                <w:sz w:val="22"/>
                <w:lang w:val="sr-Cyrl-RS"/>
              </w:rPr>
              <w:t>,</w:t>
            </w:r>
            <w:r w:rsidRPr="00EF2F18">
              <w:rPr>
                <w:rFonts w:cs="Times New Roman"/>
                <w:sz w:val="22"/>
                <w:lang w:val="sr-Cyrl-RS"/>
              </w:rPr>
              <w:t>54</w:t>
            </w:r>
          </w:p>
        </w:tc>
        <w:tc>
          <w:tcPr>
            <w:tcW w:w="1182" w:type="dxa"/>
            <w:tcBorders>
              <w:top w:val="nil"/>
              <w:left w:val="nil"/>
              <w:bottom w:val="nil"/>
              <w:right w:val="single" w:sz="4" w:space="0" w:color="auto"/>
            </w:tcBorders>
            <w:noWrap/>
            <w:vAlign w:val="center"/>
            <w:hideMark/>
          </w:tcPr>
          <w:p w14:paraId="6341C5EF"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364571A7" w14:textId="77777777" w:rsidTr="00A84E90">
        <w:trPr>
          <w:trHeight w:val="182"/>
        </w:trPr>
        <w:tc>
          <w:tcPr>
            <w:tcW w:w="394" w:type="dxa"/>
            <w:tcBorders>
              <w:top w:val="nil"/>
              <w:left w:val="single" w:sz="4" w:space="0" w:color="auto"/>
              <w:bottom w:val="nil"/>
              <w:right w:val="nil"/>
            </w:tcBorders>
            <w:noWrap/>
            <w:vAlign w:val="bottom"/>
            <w:hideMark/>
          </w:tcPr>
          <w:p w14:paraId="2EBCE811" w14:textId="77777777" w:rsidR="00BD6E2D" w:rsidRPr="00EF2F18" w:rsidRDefault="00BD6E2D" w:rsidP="00BD6E2D">
            <w:pPr>
              <w:spacing w:before="40" w:after="40"/>
              <w:rPr>
                <w:rFonts w:eastAsia="Times New Roman" w:cs="Times New Roman"/>
                <w:sz w:val="22"/>
                <w:lang w:val="sr-Cyrl-RS" w:eastAsia="sr-Latn-RS"/>
              </w:rPr>
            </w:pPr>
          </w:p>
        </w:tc>
        <w:tc>
          <w:tcPr>
            <w:tcW w:w="4510" w:type="dxa"/>
            <w:tcBorders>
              <w:top w:val="nil"/>
              <w:left w:val="nil"/>
              <w:bottom w:val="nil"/>
              <w:right w:val="nil"/>
            </w:tcBorders>
            <w:noWrap/>
            <w:vAlign w:val="center"/>
            <w:hideMark/>
          </w:tcPr>
          <w:p w14:paraId="201FA3D4" w14:textId="323A6372"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Административни и остали трошкови</w:t>
            </w:r>
          </w:p>
        </w:tc>
        <w:tc>
          <w:tcPr>
            <w:tcW w:w="2131" w:type="dxa"/>
            <w:tcBorders>
              <w:top w:val="nil"/>
              <w:left w:val="nil"/>
              <w:bottom w:val="nil"/>
              <w:right w:val="nil"/>
            </w:tcBorders>
            <w:noWrap/>
            <w:vAlign w:val="center"/>
            <w:hideMark/>
          </w:tcPr>
          <w:p w14:paraId="78DCB2B6" w14:textId="15DE1F69"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10</w:t>
            </w:r>
          </w:p>
        </w:tc>
        <w:tc>
          <w:tcPr>
            <w:tcW w:w="1202" w:type="dxa"/>
            <w:tcBorders>
              <w:top w:val="nil"/>
              <w:left w:val="nil"/>
              <w:bottom w:val="nil"/>
              <w:right w:val="nil"/>
            </w:tcBorders>
            <w:noWrap/>
            <w:vAlign w:val="center"/>
          </w:tcPr>
          <w:p w14:paraId="45C0E0E2" w14:textId="13AC214F" w:rsidR="00BD6E2D" w:rsidRPr="00EF2F18" w:rsidRDefault="004B2537"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2</w:t>
            </w:r>
            <w:r w:rsidR="00BD6E2D" w:rsidRPr="00EF2F18">
              <w:rPr>
                <w:rFonts w:cs="Times New Roman"/>
                <w:sz w:val="22"/>
                <w:lang w:val="sr-Cyrl-RS"/>
              </w:rPr>
              <w:t>,</w:t>
            </w:r>
            <w:r w:rsidRPr="00EF2F18">
              <w:rPr>
                <w:rFonts w:cs="Times New Roman"/>
                <w:sz w:val="22"/>
                <w:lang w:val="sr-Cyrl-RS"/>
              </w:rPr>
              <w:t>46</w:t>
            </w:r>
          </w:p>
        </w:tc>
        <w:tc>
          <w:tcPr>
            <w:tcW w:w="1182" w:type="dxa"/>
            <w:tcBorders>
              <w:top w:val="nil"/>
              <w:left w:val="nil"/>
              <w:bottom w:val="nil"/>
              <w:right w:val="single" w:sz="4" w:space="0" w:color="auto"/>
            </w:tcBorders>
            <w:noWrap/>
            <w:vAlign w:val="center"/>
            <w:hideMark/>
          </w:tcPr>
          <w:p w14:paraId="1380262E"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41F7DA91" w14:textId="77777777" w:rsidTr="00A84E90">
        <w:trPr>
          <w:trHeight w:val="182"/>
        </w:trPr>
        <w:tc>
          <w:tcPr>
            <w:tcW w:w="394" w:type="dxa"/>
            <w:tcBorders>
              <w:top w:val="single" w:sz="4" w:space="0" w:color="auto"/>
              <w:left w:val="single" w:sz="4" w:space="0" w:color="auto"/>
              <w:bottom w:val="single" w:sz="4" w:space="0" w:color="auto"/>
              <w:right w:val="nil"/>
            </w:tcBorders>
            <w:shd w:val="clear" w:color="000000" w:fill="D9E1F2"/>
            <w:noWrap/>
            <w:vAlign w:val="bottom"/>
            <w:hideMark/>
          </w:tcPr>
          <w:p w14:paraId="2125DD53" w14:textId="77777777"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5</w:t>
            </w:r>
          </w:p>
        </w:tc>
        <w:tc>
          <w:tcPr>
            <w:tcW w:w="4510" w:type="dxa"/>
            <w:tcBorders>
              <w:top w:val="single" w:sz="4" w:space="0" w:color="auto"/>
              <w:left w:val="nil"/>
              <w:bottom w:val="single" w:sz="4" w:space="0" w:color="auto"/>
              <w:right w:val="nil"/>
            </w:tcBorders>
            <w:shd w:val="clear" w:color="000000" w:fill="D9E1F2"/>
            <w:noWrap/>
            <w:vAlign w:val="center"/>
            <w:hideMark/>
          </w:tcPr>
          <w:p w14:paraId="44A881D5" w14:textId="77777777" w:rsidR="00BD6E2D" w:rsidRPr="00EF2F18" w:rsidRDefault="00BD6E2D" w:rsidP="00BD6E2D">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Одржива пољопривреда</w:t>
            </w:r>
          </w:p>
        </w:tc>
        <w:tc>
          <w:tcPr>
            <w:tcW w:w="2131" w:type="dxa"/>
            <w:tcBorders>
              <w:top w:val="single" w:sz="4" w:space="0" w:color="auto"/>
              <w:left w:val="nil"/>
              <w:bottom w:val="single" w:sz="4" w:space="0" w:color="auto"/>
              <w:right w:val="nil"/>
            </w:tcBorders>
            <w:shd w:val="clear" w:color="000000" w:fill="D9E1F2"/>
            <w:noWrap/>
            <w:vAlign w:val="center"/>
            <w:hideMark/>
          </w:tcPr>
          <w:p w14:paraId="0F89A990" w14:textId="5EE00390"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664</w:t>
            </w:r>
          </w:p>
        </w:tc>
        <w:tc>
          <w:tcPr>
            <w:tcW w:w="1202" w:type="dxa"/>
            <w:tcBorders>
              <w:top w:val="single" w:sz="4" w:space="0" w:color="auto"/>
              <w:left w:val="nil"/>
              <w:bottom w:val="single" w:sz="4" w:space="0" w:color="auto"/>
              <w:right w:val="nil"/>
            </w:tcBorders>
            <w:shd w:val="clear" w:color="000000" w:fill="D9E1F2"/>
            <w:noWrap/>
            <w:vAlign w:val="center"/>
            <w:hideMark/>
          </w:tcPr>
          <w:p w14:paraId="2F3AC358" w14:textId="77777777" w:rsidR="00BD6E2D" w:rsidRPr="00EF2F18" w:rsidRDefault="00BD6E2D" w:rsidP="00BD6E2D">
            <w:pPr>
              <w:spacing w:before="40" w:after="40"/>
              <w:jc w:val="right"/>
              <w:rPr>
                <w:rFonts w:eastAsia="Times New Roman" w:cs="Times New Roman"/>
                <w:b/>
                <w:bCs/>
                <w:color w:val="000000"/>
                <w:sz w:val="22"/>
                <w:highlight w:val="yellow"/>
                <w:lang w:val="sr-Cyrl-RS" w:eastAsia="sr-Latn-RS"/>
              </w:rPr>
            </w:pPr>
          </w:p>
        </w:tc>
        <w:tc>
          <w:tcPr>
            <w:tcW w:w="1182" w:type="dxa"/>
            <w:tcBorders>
              <w:top w:val="single" w:sz="4" w:space="0" w:color="auto"/>
              <w:left w:val="nil"/>
              <w:bottom w:val="single" w:sz="4" w:space="0" w:color="auto"/>
              <w:right w:val="single" w:sz="4" w:space="0" w:color="auto"/>
            </w:tcBorders>
            <w:shd w:val="clear" w:color="000000" w:fill="D9E1F2"/>
            <w:noWrap/>
            <w:vAlign w:val="center"/>
            <w:hideMark/>
          </w:tcPr>
          <w:p w14:paraId="7C64CC20" w14:textId="4D8689F2"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2,4</w:t>
            </w:r>
            <w:r w:rsidR="004B2537" w:rsidRPr="00EF2F18">
              <w:rPr>
                <w:rFonts w:cs="Times New Roman"/>
                <w:b/>
                <w:bCs/>
                <w:sz w:val="22"/>
                <w:lang w:val="sr-Cyrl-RS"/>
              </w:rPr>
              <w:t>4</w:t>
            </w:r>
          </w:p>
        </w:tc>
      </w:tr>
      <w:tr w:rsidR="00BD6E2D" w:rsidRPr="00EF2F18" w14:paraId="61FC967F" w14:textId="77777777" w:rsidTr="00A84E90">
        <w:trPr>
          <w:trHeight w:val="182"/>
        </w:trPr>
        <w:tc>
          <w:tcPr>
            <w:tcW w:w="394" w:type="dxa"/>
            <w:tcBorders>
              <w:top w:val="nil"/>
              <w:left w:val="single" w:sz="4" w:space="0" w:color="auto"/>
              <w:bottom w:val="nil"/>
              <w:right w:val="nil"/>
            </w:tcBorders>
            <w:noWrap/>
            <w:vAlign w:val="bottom"/>
            <w:hideMark/>
          </w:tcPr>
          <w:p w14:paraId="5C88B8BA" w14:textId="77777777" w:rsidR="00BD6E2D" w:rsidRPr="00EF2F18" w:rsidRDefault="00BD6E2D" w:rsidP="00BD6E2D">
            <w:pPr>
              <w:spacing w:before="40" w:after="40"/>
              <w:jc w:val="right"/>
              <w:rPr>
                <w:rFonts w:eastAsia="Times New Roman" w:cs="Times New Roman"/>
                <w:b/>
                <w:bCs/>
                <w:color w:val="000000"/>
                <w:sz w:val="22"/>
                <w:lang w:val="sr-Cyrl-RS" w:eastAsia="sr-Latn-RS"/>
              </w:rPr>
            </w:pPr>
          </w:p>
        </w:tc>
        <w:tc>
          <w:tcPr>
            <w:tcW w:w="4510" w:type="dxa"/>
            <w:tcBorders>
              <w:top w:val="nil"/>
              <w:left w:val="nil"/>
              <w:bottom w:val="nil"/>
              <w:right w:val="nil"/>
            </w:tcBorders>
            <w:noWrap/>
            <w:vAlign w:val="center"/>
            <w:hideMark/>
          </w:tcPr>
          <w:p w14:paraId="04239F6D" w14:textId="77777777"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nil"/>
              <w:left w:val="nil"/>
              <w:bottom w:val="nil"/>
              <w:right w:val="nil"/>
            </w:tcBorders>
            <w:noWrap/>
            <w:vAlign w:val="center"/>
            <w:hideMark/>
          </w:tcPr>
          <w:p w14:paraId="65A7C2A1" w14:textId="1677CFE4"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655</w:t>
            </w:r>
          </w:p>
        </w:tc>
        <w:tc>
          <w:tcPr>
            <w:tcW w:w="1202" w:type="dxa"/>
            <w:tcBorders>
              <w:top w:val="nil"/>
              <w:left w:val="nil"/>
              <w:bottom w:val="nil"/>
              <w:right w:val="nil"/>
            </w:tcBorders>
            <w:noWrap/>
            <w:vAlign w:val="center"/>
            <w:hideMark/>
          </w:tcPr>
          <w:p w14:paraId="6FE296DE" w14:textId="7A873D07"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98,64</w:t>
            </w:r>
          </w:p>
        </w:tc>
        <w:tc>
          <w:tcPr>
            <w:tcW w:w="1182" w:type="dxa"/>
            <w:tcBorders>
              <w:top w:val="nil"/>
              <w:left w:val="nil"/>
              <w:bottom w:val="nil"/>
              <w:right w:val="single" w:sz="4" w:space="0" w:color="auto"/>
            </w:tcBorders>
            <w:noWrap/>
            <w:vAlign w:val="center"/>
            <w:hideMark/>
          </w:tcPr>
          <w:p w14:paraId="62C2B091"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552F5E34" w14:textId="77777777" w:rsidTr="00A84E90">
        <w:trPr>
          <w:trHeight w:val="182"/>
        </w:trPr>
        <w:tc>
          <w:tcPr>
            <w:tcW w:w="394" w:type="dxa"/>
            <w:tcBorders>
              <w:top w:val="nil"/>
              <w:left w:val="single" w:sz="4" w:space="0" w:color="auto"/>
              <w:bottom w:val="single" w:sz="4" w:space="0" w:color="auto"/>
              <w:right w:val="nil"/>
            </w:tcBorders>
            <w:noWrap/>
            <w:vAlign w:val="bottom"/>
            <w:hideMark/>
          </w:tcPr>
          <w:p w14:paraId="32266E97" w14:textId="77777777" w:rsidR="00BD6E2D" w:rsidRPr="00EF2F18" w:rsidRDefault="00BD6E2D" w:rsidP="00BD6E2D">
            <w:pPr>
              <w:spacing w:before="40" w:after="40"/>
              <w:rPr>
                <w:rFonts w:eastAsia="Times New Roman" w:cs="Times New Roman"/>
                <w:sz w:val="22"/>
                <w:lang w:val="sr-Cyrl-RS" w:eastAsia="sr-Latn-RS"/>
              </w:rPr>
            </w:pPr>
          </w:p>
        </w:tc>
        <w:tc>
          <w:tcPr>
            <w:tcW w:w="4510" w:type="dxa"/>
            <w:tcBorders>
              <w:top w:val="nil"/>
              <w:left w:val="nil"/>
              <w:bottom w:val="single" w:sz="4" w:space="0" w:color="auto"/>
              <w:right w:val="nil"/>
            </w:tcBorders>
            <w:noWrap/>
            <w:vAlign w:val="center"/>
            <w:hideMark/>
          </w:tcPr>
          <w:p w14:paraId="076D5247" w14:textId="091CAC44" w:rsidR="00BD6E2D" w:rsidRPr="00EF2F18" w:rsidRDefault="00BD6E2D" w:rsidP="00BD6E2D">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Административни и остали трошкови</w:t>
            </w:r>
          </w:p>
        </w:tc>
        <w:tc>
          <w:tcPr>
            <w:tcW w:w="2131" w:type="dxa"/>
            <w:tcBorders>
              <w:top w:val="nil"/>
              <w:left w:val="nil"/>
              <w:bottom w:val="single" w:sz="4" w:space="0" w:color="auto"/>
              <w:right w:val="nil"/>
            </w:tcBorders>
            <w:noWrap/>
            <w:vAlign w:val="center"/>
            <w:hideMark/>
          </w:tcPr>
          <w:p w14:paraId="07FA22D9" w14:textId="14970E50"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9</w:t>
            </w:r>
          </w:p>
        </w:tc>
        <w:tc>
          <w:tcPr>
            <w:tcW w:w="1202" w:type="dxa"/>
            <w:tcBorders>
              <w:top w:val="nil"/>
              <w:left w:val="nil"/>
              <w:bottom w:val="single" w:sz="4" w:space="0" w:color="auto"/>
              <w:right w:val="nil"/>
            </w:tcBorders>
            <w:noWrap/>
            <w:vAlign w:val="center"/>
            <w:hideMark/>
          </w:tcPr>
          <w:p w14:paraId="22178306" w14:textId="3E6E9636" w:rsidR="00BD6E2D" w:rsidRPr="00EF2F18" w:rsidRDefault="00BD6E2D" w:rsidP="00BD6E2D">
            <w:pPr>
              <w:spacing w:before="40" w:after="40"/>
              <w:jc w:val="right"/>
              <w:rPr>
                <w:rFonts w:eastAsia="Times New Roman" w:cs="Times New Roman"/>
                <w:color w:val="000000"/>
                <w:sz w:val="22"/>
                <w:lang w:val="sr-Cyrl-RS" w:eastAsia="sr-Latn-RS"/>
              </w:rPr>
            </w:pPr>
            <w:r w:rsidRPr="00EF2F18">
              <w:rPr>
                <w:rFonts w:cs="Times New Roman"/>
                <w:sz w:val="22"/>
                <w:lang w:val="sr-Cyrl-RS"/>
              </w:rPr>
              <w:t>1,36</w:t>
            </w:r>
          </w:p>
        </w:tc>
        <w:tc>
          <w:tcPr>
            <w:tcW w:w="1182" w:type="dxa"/>
            <w:tcBorders>
              <w:top w:val="nil"/>
              <w:left w:val="nil"/>
              <w:bottom w:val="single" w:sz="4" w:space="0" w:color="auto"/>
              <w:right w:val="single" w:sz="4" w:space="0" w:color="auto"/>
            </w:tcBorders>
            <w:noWrap/>
            <w:vAlign w:val="center"/>
            <w:hideMark/>
          </w:tcPr>
          <w:p w14:paraId="7B0A4CC0" w14:textId="77777777" w:rsidR="00BD6E2D" w:rsidRPr="00EF2F18" w:rsidRDefault="00BD6E2D" w:rsidP="00BD6E2D">
            <w:pPr>
              <w:spacing w:before="40" w:after="40"/>
              <w:jc w:val="right"/>
              <w:rPr>
                <w:rFonts w:eastAsia="Times New Roman" w:cs="Times New Roman"/>
                <w:color w:val="000000"/>
                <w:sz w:val="22"/>
                <w:lang w:val="sr-Cyrl-RS" w:eastAsia="sr-Latn-RS"/>
              </w:rPr>
            </w:pPr>
          </w:p>
        </w:tc>
      </w:tr>
      <w:tr w:rsidR="00BD6E2D" w:rsidRPr="00EF2F18" w14:paraId="129BEC6E" w14:textId="77777777" w:rsidTr="00A84E90">
        <w:trPr>
          <w:trHeight w:val="182"/>
        </w:trPr>
        <w:tc>
          <w:tcPr>
            <w:tcW w:w="394" w:type="dxa"/>
            <w:tcBorders>
              <w:top w:val="single" w:sz="4" w:space="0" w:color="auto"/>
              <w:left w:val="single" w:sz="4" w:space="0" w:color="auto"/>
              <w:bottom w:val="single" w:sz="4" w:space="0" w:color="auto"/>
              <w:right w:val="nil"/>
            </w:tcBorders>
            <w:shd w:val="clear" w:color="auto" w:fill="FFF2CC" w:themeFill="accent4" w:themeFillTint="33"/>
            <w:noWrap/>
            <w:vAlign w:val="bottom"/>
          </w:tcPr>
          <w:p w14:paraId="153DE5DB" w14:textId="77777777" w:rsidR="00BD6E2D" w:rsidRPr="00EF2F18" w:rsidRDefault="00BD6E2D" w:rsidP="00BD6E2D">
            <w:pPr>
              <w:spacing w:before="40" w:after="40"/>
              <w:rPr>
                <w:rFonts w:eastAsia="Times New Roman" w:cs="Times New Roman"/>
                <w:b/>
                <w:bCs/>
                <w:sz w:val="22"/>
                <w:lang w:val="sr-Cyrl-RS" w:eastAsia="sr-Latn-RS"/>
              </w:rPr>
            </w:pPr>
            <w:r w:rsidRPr="00EF2F18">
              <w:rPr>
                <w:rFonts w:eastAsia="Times New Roman" w:cs="Times New Roman"/>
                <w:b/>
                <w:bCs/>
                <w:sz w:val="22"/>
                <w:lang w:val="sr-Cyrl-RS" w:eastAsia="sr-Latn-RS"/>
              </w:rPr>
              <w:t>6</w:t>
            </w:r>
          </w:p>
        </w:tc>
        <w:tc>
          <w:tcPr>
            <w:tcW w:w="4510" w:type="dxa"/>
            <w:tcBorders>
              <w:top w:val="single" w:sz="4" w:space="0" w:color="auto"/>
              <w:left w:val="nil"/>
              <w:bottom w:val="single" w:sz="4" w:space="0" w:color="auto"/>
              <w:right w:val="nil"/>
            </w:tcBorders>
            <w:shd w:val="clear" w:color="auto" w:fill="FFF2CC" w:themeFill="accent4" w:themeFillTint="33"/>
            <w:noWrap/>
            <w:vAlign w:val="center"/>
          </w:tcPr>
          <w:p w14:paraId="02A7CACB" w14:textId="77777777" w:rsidR="00BD6E2D" w:rsidRPr="00EF2F18" w:rsidRDefault="00BD6E2D" w:rsidP="00BD6E2D">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Хоризонтална питања</w:t>
            </w:r>
          </w:p>
        </w:tc>
        <w:tc>
          <w:tcPr>
            <w:tcW w:w="2131" w:type="dxa"/>
            <w:tcBorders>
              <w:top w:val="single" w:sz="4" w:space="0" w:color="auto"/>
              <w:left w:val="nil"/>
              <w:bottom w:val="single" w:sz="4" w:space="0" w:color="auto"/>
              <w:right w:val="nil"/>
            </w:tcBorders>
            <w:shd w:val="clear" w:color="auto" w:fill="FFF2CC" w:themeFill="accent4" w:themeFillTint="33"/>
            <w:noWrap/>
            <w:vAlign w:val="center"/>
          </w:tcPr>
          <w:p w14:paraId="7A1B851D" w14:textId="20E6A61F"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98</w:t>
            </w:r>
          </w:p>
        </w:tc>
        <w:tc>
          <w:tcPr>
            <w:tcW w:w="1202" w:type="dxa"/>
            <w:tcBorders>
              <w:top w:val="single" w:sz="4" w:space="0" w:color="auto"/>
              <w:left w:val="nil"/>
              <w:bottom w:val="single" w:sz="4" w:space="0" w:color="auto"/>
              <w:right w:val="nil"/>
            </w:tcBorders>
            <w:shd w:val="clear" w:color="auto" w:fill="FFF2CC" w:themeFill="accent4" w:themeFillTint="33"/>
            <w:noWrap/>
            <w:vAlign w:val="center"/>
          </w:tcPr>
          <w:p w14:paraId="0CCEB2A9" w14:textId="77777777" w:rsidR="00BD6E2D" w:rsidRPr="00EF2F18" w:rsidRDefault="00BD6E2D" w:rsidP="00BD6E2D">
            <w:pPr>
              <w:spacing w:before="40" w:after="40"/>
              <w:jc w:val="right"/>
              <w:rPr>
                <w:rFonts w:eastAsia="Times New Roman" w:cs="Times New Roman"/>
                <w:b/>
                <w:bCs/>
                <w:color w:val="000000"/>
                <w:sz w:val="22"/>
                <w:highlight w:val="yellow"/>
                <w:lang w:val="sr-Cyrl-RS" w:eastAsia="sr-Latn-RS"/>
              </w:rPr>
            </w:pPr>
          </w:p>
        </w:tc>
        <w:tc>
          <w:tcPr>
            <w:tcW w:w="1182"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70A8B104" w14:textId="44AB5A80" w:rsidR="00BD6E2D" w:rsidRPr="00EF2F18" w:rsidRDefault="00BD6E2D" w:rsidP="00BD6E2D">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0,36</w:t>
            </w:r>
          </w:p>
        </w:tc>
      </w:tr>
      <w:tr w:rsidR="00474641" w:rsidRPr="00EF2F18" w14:paraId="216EB6ED" w14:textId="77777777" w:rsidTr="00A84E90">
        <w:trPr>
          <w:trHeight w:val="182"/>
        </w:trPr>
        <w:tc>
          <w:tcPr>
            <w:tcW w:w="394" w:type="dxa"/>
            <w:tcBorders>
              <w:top w:val="single" w:sz="4" w:space="0" w:color="auto"/>
              <w:left w:val="single" w:sz="4" w:space="0" w:color="auto"/>
              <w:bottom w:val="nil"/>
              <w:right w:val="nil"/>
            </w:tcBorders>
            <w:noWrap/>
            <w:vAlign w:val="bottom"/>
          </w:tcPr>
          <w:p w14:paraId="02C9E2C0" w14:textId="77777777" w:rsidR="00474641" w:rsidRPr="00EF2F18" w:rsidRDefault="00474641" w:rsidP="00DC6CB5">
            <w:pPr>
              <w:spacing w:before="40" w:after="40"/>
              <w:rPr>
                <w:rFonts w:eastAsia="Times New Roman" w:cs="Times New Roman"/>
                <w:sz w:val="22"/>
                <w:lang w:val="sr-Cyrl-RS" w:eastAsia="sr-Latn-RS"/>
              </w:rPr>
            </w:pPr>
          </w:p>
        </w:tc>
        <w:tc>
          <w:tcPr>
            <w:tcW w:w="4510" w:type="dxa"/>
            <w:tcBorders>
              <w:top w:val="single" w:sz="4" w:space="0" w:color="auto"/>
              <w:left w:val="nil"/>
              <w:bottom w:val="nil"/>
              <w:right w:val="nil"/>
            </w:tcBorders>
            <w:noWrap/>
            <w:vAlign w:val="center"/>
          </w:tcPr>
          <w:p w14:paraId="160C885D" w14:textId="77777777" w:rsidR="00474641" w:rsidRPr="00EF2F18" w:rsidRDefault="00474641" w:rsidP="00DC6CB5">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single" w:sz="4" w:space="0" w:color="auto"/>
              <w:left w:val="nil"/>
              <w:bottom w:val="nil"/>
              <w:right w:val="nil"/>
            </w:tcBorders>
            <w:noWrap/>
            <w:vAlign w:val="center"/>
          </w:tcPr>
          <w:p w14:paraId="79D81C7E" w14:textId="4B7FB4AC" w:rsidR="00474641" w:rsidRPr="00EF2F18" w:rsidRDefault="007470CD"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0</w:t>
            </w:r>
          </w:p>
        </w:tc>
        <w:tc>
          <w:tcPr>
            <w:tcW w:w="1202" w:type="dxa"/>
            <w:tcBorders>
              <w:top w:val="single" w:sz="4" w:space="0" w:color="auto"/>
              <w:left w:val="nil"/>
              <w:bottom w:val="nil"/>
              <w:right w:val="nil"/>
            </w:tcBorders>
            <w:noWrap/>
            <w:vAlign w:val="center"/>
          </w:tcPr>
          <w:p w14:paraId="72CA1444" w14:textId="1253EFEF" w:rsidR="00474641" w:rsidRPr="00EF2F18" w:rsidRDefault="007470CD"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0</w:t>
            </w:r>
          </w:p>
        </w:tc>
        <w:tc>
          <w:tcPr>
            <w:tcW w:w="1182" w:type="dxa"/>
            <w:tcBorders>
              <w:top w:val="single" w:sz="4" w:space="0" w:color="auto"/>
              <w:left w:val="nil"/>
              <w:bottom w:val="nil"/>
              <w:right w:val="single" w:sz="4" w:space="0" w:color="auto"/>
            </w:tcBorders>
            <w:noWrap/>
            <w:vAlign w:val="center"/>
          </w:tcPr>
          <w:p w14:paraId="4D7876B4" w14:textId="77777777" w:rsidR="00474641" w:rsidRPr="00EF2F18" w:rsidRDefault="00474641" w:rsidP="00DC6CB5">
            <w:pPr>
              <w:spacing w:before="40" w:after="40"/>
              <w:jc w:val="right"/>
              <w:rPr>
                <w:rFonts w:eastAsia="Times New Roman" w:cs="Times New Roman"/>
                <w:color w:val="000000"/>
                <w:sz w:val="22"/>
                <w:lang w:val="sr-Cyrl-RS" w:eastAsia="sr-Latn-RS"/>
              </w:rPr>
            </w:pPr>
          </w:p>
        </w:tc>
      </w:tr>
      <w:tr w:rsidR="00474641" w:rsidRPr="00EF2F18" w14:paraId="017252C0" w14:textId="77777777" w:rsidTr="00A84E90">
        <w:trPr>
          <w:trHeight w:val="182"/>
        </w:trPr>
        <w:tc>
          <w:tcPr>
            <w:tcW w:w="394" w:type="dxa"/>
            <w:tcBorders>
              <w:top w:val="nil"/>
              <w:left w:val="single" w:sz="4" w:space="0" w:color="auto"/>
              <w:bottom w:val="nil"/>
              <w:right w:val="nil"/>
            </w:tcBorders>
            <w:noWrap/>
            <w:vAlign w:val="bottom"/>
          </w:tcPr>
          <w:p w14:paraId="2F6C6C47" w14:textId="77777777" w:rsidR="00474641" w:rsidRPr="00EF2F18" w:rsidRDefault="00474641" w:rsidP="00DC6CB5">
            <w:pPr>
              <w:spacing w:before="40" w:after="40"/>
              <w:rPr>
                <w:rFonts w:eastAsia="Times New Roman" w:cs="Times New Roman"/>
                <w:sz w:val="22"/>
                <w:lang w:val="sr-Cyrl-RS" w:eastAsia="sr-Latn-RS"/>
              </w:rPr>
            </w:pPr>
          </w:p>
        </w:tc>
        <w:tc>
          <w:tcPr>
            <w:tcW w:w="4510" w:type="dxa"/>
            <w:tcBorders>
              <w:top w:val="nil"/>
              <w:left w:val="nil"/>
              <w:bottom w:val="nil"/>
              <w:right w:val="nil"/>
            </w:tcBorders>
            <w:noWrap/>
            <w:vAlign w:val="center"/>
          </w:tcPr>
          <w:p w14:paraId="6D82B2E3" w14:textId="2BDDD9DE" w:rsidR="00474641" w:rsidRPr="00EF2F18" w:rsidRDefault="00474641" w:rsidP="00DC6CB5">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 xml:space="preserve">Административни </w:t>
            </w:r>
            <w:r w:rsidR="006D23C5" w:rsidRPr="00EF2F18">
              <w:rPr>
                <w:rFonts w:eastAsia="Times New Roman" w:cs="Times New Roman"/>
                <w:color w:val="000000"/>
                <w:sz w:val="22"/>
                <w:lang w:val="sr-Cyrl-RS" w:eastAsia="sr-Latn-RS"/>
              </w:rPr>
              <w:t xml:space="preserve">и остали </w:t>
            </w:r>
            <w:r w:rsidRPr="00EF2F18">
              <w:rPr>
                <w:rFonts w:eastAsia="Times New Roman" w:cs="Times New Roman"/>
                <w:color w:val="000000"/>
                <w:sz w:val="22"/>
                <w:lang w:val="sr-Cyrl-RS" w:eastAsia="sr-Latn-RS"/>
              </w:rPr>
              <w:t>трошкови</w:t>
            </w:r>
          </w:p>
        </w:tc>
        <w:tc>
          <w:tcPr>
            <w:tcW w:w="2131" w:type="dxa"/>
            <w:tcBorders>
              <w:top w:val="nil"/>
              <w:left w:val="nil"/>
              <w:bottom w:val="nil"/>
              <w:right w:val="nil"/>
            </w:tcBorders>
            <w:noWrap/>
            <w:vAlign w:val="center"/>
          </w:tcPr>
          <w:p w14:paraId="4A15992A" w14:textId="5EA0D480" w:rsidR="00474641" w:rsidRPr="00EF2F18" w:rsidRDefault="00474641"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9</w:t>
            </w:r>
            <w:r w:rsidR="007470CD" w:rsidRPr="00EF2F18">
              <w:rPr>
                <w:rFonts w:cs="Times New Roman"/>
                <w:sz w:val="22"/>
                <w:lang w:val="sr-Cyrl-RS"/>
              </w:rPr>
              <w:t>8</w:t>
            </w:r>
          </w:p>
        </w:tc>
        <w:tc>
          <w:tcPr>
            <w:tcW w:w="1202" w:type="dxa"/>
            <w:tcBorders>
              <w:top w:val="nil"/>
              <w:left w:val="nil"/>
              <w:bottom w:val="nil"/>
              <w:right w:val="nil"/>
            </w:tcBorders>
            <w:noWrap/>
            <w:vAlign w:val="center"/>
          </w:tcPr>
          <w:p w14:paraId="39A1ACE9" w14:textId="6F54CDA2" w:rsidR="00474641" w:rsidRPr="00EF2F18" w:rsidRDefault="007470CD"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100,00</w:t>
            </w:r>
          </w:p>
        </w:tc>
        <w:tc>
          <w:tcPr>
            <w:tcW w:w="1182" w:type="dxa"/>
            <w:tcBorders>
              <w:top w:val="nil"/>
              <w:left w:val="nil"/>
              <w:bottom w:val="nil"/>
              <w:right w:val="single" w:sz="4" w:space="0" w:color="auto"/>
            </w:tcBorders>
            <w:noWrap/>
            <w:vAlign w:val="center"/>
          </w:tcPr>
          <w:p w14:paraId="0A733985" w14:textId="77777777" w:rsidR="00474641" w:rsidRPr="00EF2F18" w:rsidRDefault="00474641" w:rsidP="00DC6CB5">
            <w:pPr>
              <w:spacing w:before="40" w:after="40"/>
              <w:jc w:val="right"/>
              <w:rPr>
                <w:rFonts w:eastAsia="Times New Roman" w:cs="Times New Roman"/>
                <w:color w:val="000000"/>
                <w:sz w:val="22"/>
                <w:lang w:val="sr-Cyrl-RS" w:eastAsia="sr-Latn-RS"/>
              </w:rPr>
            </w:pPr>
          </w:p>
        </w:tc>
      </w:tr>
      <w:tr w:rsidR="00474641" w:rsidRPr="00EF2F18" w14:paraId="1EB7CBE9" w14:textId="77777777" w:rsidTr="00A84E90">
        <w:trPr>
          <w:trHeight w:val="182"/>
        </w:trPr>
        <w:tc>
          <w:tcPr>
            <w:tcW w:w="394" w:type="dxa"/>
            <w:tcBorders>
              <w:top w:val="single" w:sz="4" w:space="0" w:color="auto"/>
              <w:left w:val="single" w:sz="4" w:space="0" w:color="auto"/>
              <w:bottom w:val="single" w:sz="4" w:space="0" w:color="auto"/>
              <w:right w:val="nil"/>
            </w:tcBorders>
            <w:noWrap/>
            <w:vAlign w:val="bottom"/>
            <w:hideMark/>
          </w:tcPr>
          <w:p w14:paraId="19DD4267" w14:textId="77777777" w:rsidR="00474641" w:rsidRPr="00EF2F18" w:rsidRDefault="00474641" w:rsidP="00DC6CB5">
            <w:pPr>
              <w:spacing w:before="40" w:after="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 </w:t>
            </w:r>
          </w:p>
        </w:tc>
        <w:tc>
          <w:tcPr>
            <w:tcW w:w="4510" w:type="dxa"/>
            <w:tcBorders>
              <w:top w:val="single" w:sz="4" w:space="0" w:color="auto"/>
              <w:left w:val="nil"/>
              <w:bottom w:val="single" w:sz="4" w:space="0" w:color="auto"/>
              <w:right w:val="nil"/>
            </w:tcBorders>
            <w:noWrap/>
            <w:vAlign w:val="center"/>
            <w:hideMark/>
          </w:tcPr>
          <w:p w14:paraId="58493B2A" w14:textId="77777777" w:rsidR="00474641" w:rsidRPr="00EF2F18" w:rsidRDefault="00474641" w:rsidP="00DC6CB5">
            <w:pPr>
              <w:spacing w:before="40" w:after="40"/>
              <w:rPr>
                <w:rFonts w:eastAsia="Times New Roman" w:cs="Times New Roman"/>
                <w:b/>
                <w:bCs/>
                <w:color w:val="000000"/>
                <w:sz w:val="22"/>
                <w:lang w:val="sr-Cyrl-RS" w:eastAsia="sr-Latn-RS"/>
              </w:rPr>
            </w:pPr>
            <w:r w:rsidRPr="00EF2F18">
              <w:rPr>
                <w:rFonts w:eastAsia="Times New Roman" w:cs="Times New Roman"/>
                <w:b/>
                <w:bCs/>
                <w:color w:val="000000"/>
                <w:sz w:val="22"/>
                <w:lang w:val="sr-Cyrl-RS" w:eastAsia="sr-Latn-RS"/>
              </w:rPr>
              <w:t>УКУПНО</w:t>
            </w:r>
          </w:p>
        </w:tc>
        <w:tc>
          <w:tcPr>
            <w:tcW w:w="2131" w:type="dxa"/>
            <w:tcBorders>
              <w:top w:val="single" w:sz="4" w:space="0" w:color="auto"/>
              <w:left w:val="nil"/>
              <w:bottom w:val="single" w:sz="4" w:space="0" w:color="auto"/>
              <w:right w:val="nil"/>
            </w:tcBorders>
            <w:noWrap/>
            <w:vAlign w:val="center"/>
            <w:hideMark/>
          </w:tcPr>
          <w:p w14:paraId="0C6FA61F" w14:textId="4448E091" w:rsidR="00474641" w:rsidRPr="00EF2F18" w:rsidRDefault="00474641" w:rsidP="00DC6CB5">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27.</w:t>
            </w:r>
            <w:r w:rsidR="00C35C50" w:rsidRPr="00EF2F18">
              <w:rPr>
                <w:rFonts w:cs="Times New Roman"/>
                <w:b/>
                <w:bCs/>
                <w:sz w:val="22"/>
                <w:lang w:val="sr-Cyrl-RS"/>
              </w:rPr>
              <w:t>2</w:t>
            </w:r>
            <w:r w:rsidR="00097F1A" w:rsidRPr="00EF2F18">
              <w:rPr>
                <w:rFonts w:cs="Times New Roman"/>
                <w:b/>
                <w:bCs/>
                <w:sz w:val="22"/>
                <w:lang w:val="sr-Cyrl-RS"/>
              </w:rPr>
              <w:t>34</w:t>
            </w:r>
            <w:r w:rsidR="00C35C50" w:rsidRPr="00EF2F18">
              <w:rPr>
                <w:rFonts w:cs="Times New Roman"/>
                <w:b/>
                <w:bCs/>
                <w:sz w:val="22"/>
                <w:lang w:val="sr-Cyrl-RS"/>
              </w:rPr>
              <w:t xml:space="preserve"> </w:t>
            </w:r>
          </w:p>
        </w:tc>
        <w:tc>
          <w:tcPr>
            <w:tcW w:w="1202" w:type="dxa"/>
            <w:tcBorders>
              <w:top w:val="single" w:sz="4" w:space="0" w:color="auto"/>
              <w:left w:val="nil"/>
              <w:bottom w:val="single" w:sz="4" w:space="0" w:color="auto"/>
              <w:right w:val="nil"/>
            </w:tcBorders>
            <w:noWrap/>
            <w:vAlign w:val="center"/>
            <w:hideMark/>
          </w:tcPr>
          <w:p w14:paraId="3244A59D" w14:textId="77777777" w:rsidR="00474641" w:rsidRPr="00EF2F18" w:rsidRDefault="00474641" w:rsidP="00DC6CB5">
            <w:pPr>
              <w:spacing w:before="40" w:after="40"/>
              <w:jc w:val="right"/>
              <w:rPr>
                <w:rFonts w:eastAsia="Times New Roman" w:cs="Times New Roman"/>
                <w:b/>
                <w:bCs/>
                <w:color w:val="000000"/>
                <w:sz w:val="22"/>
                <w:lang w:val="sr-Cyrl-RS" w:eastAsia="sr-Latn-RS"/>
              </w:rPr>
            </w:pPr>
          </w:p>
        </w:tc>
        <w:tc>
          <w:tcPr>
            <w:tcW w:w="1182" w:type="dxa"/>
            <w:tcBorders>
              <w:top w:val="single" w:sz="4" w:space="0" w:color="auto"/>
              <w:left w:val="nil"/>
              <w:bottom w:val="single" w:sz="4" w:space="0" w:color="auto"/>
              <w:right w:val="single" w:sz="4" w:space="0" w:color="auto"/>
            </w:tcBorders>
            <w:noWrap/>
            <w:vAlign w:val="center"/>
            <w:hideMark/>
          </w:tcPr>
          <w:p w14:paraId="0E925446" w14:textId="3EDBD310" w:rsidR="00474641" w:rsidRPr="00EF2F18" w:rsidRDefault="00474641" w:rsidP="00DC6CB5">
            <w:pPr>
              <w:spacing w:before="40" w:after="40"/>
              <w:jc w:val="right"/>
              <w:rPr>
                <w:rFonts w:eastAsia="Times New Roman" w:cs="Times New Roman"/>
                <w:b/>
                <w:bCs/>
                <w:color w:val="000000"/>
                <w:sz w:val="22"/>
                <w:lang w:val="sr-Cyrl-RS" w:eastAsia="sr-Latn-RS"/>
              </w:rPr>
            </w:pPr>
            <w:r w:rsidRPr="00EF2F18">
              <w:rPr>
                <w:rFonts w:cs="Times New Roman"/>
                <w:b/>
                <w:bCs/>
                <w:sz w:val="22"/>
                <w:lang w:val="sr-Cyrl-RS"/>
              </w:rPr>
              <w:t>100,00</w:t>
            </w:r>
          </w:p>
        </w:tc>
      </w:tr>
      <w:tr w:rsidR="00474641" w:rsidRPr="00EF2F18" w14:paraId="652AA251" w14:textId="77777777" w:rsidTr="00A84E90">
        <w:trPr>
          <w:trHeight w:val="182"/>
        </w:trPr>
        <w:tc>
          <w:tcPr>
            <w:tcW w:w="394" w:type="dxa"/>
            <w:tcBorders>
              <w:top w:val="nil"/>
              <w:left w:val="single" w:sz="4" w:space="0" w:color="auto"/>
              <w:bottom w:val="nil"/>
              <w:right w:val="nil"/>
            </w:tcBorders>
            <w:noWrap/>
            <w:vAlign w:val="bottom"/>
            <w:hideMark/>
          </w:tcPr>
          <w:p w14:paraId="0C167241" w14:textId="77777777" w:rsidR="00474641" w:rsidRPr="00EF2F18" w:rsidRDefault="00474641" w:rsidP="00DC6CB5">
            <w:pPr>
              <w:spacing w:before="40" w:after="40"/>
              <w:jc w:val="right"/>
              <w:rPr>
                <w:rFonts w:eastAsia="Times New Roman" w:cs="Times New Roman"/>
                <w:b/>
                <w:bCs/>
                <w:color w:val="000000"/>
                <w:sz w:val="22"/>
                <w:lang w:val="sr-Cyrl-RS" w:eastAsia="sr-Latn-RS"/>
              </w:rPr>
            </w:pPr>
          </w:p>
        </w:tc>
        <w:tc>
          <w:tcPr>
            <w:tcW w:w="4510" w:type="dxa"/>
            <w:tcBorders>
              <w:top w:val="nil"/>
              <w:left w:val="nil"/>
              <w:bottom w:val="nil"/>
              <w:right w:val="nil"/>
            </w:tcBorders>
            <w:noWrap/>
            <w:vAlign w:val="center"/>
            <w:hideMark/>
          </w:tcPr>
          <w:p w14:paraId="5429DB76" w14:textId="77777777" w:rsidR="00474641" w:rsidRPr="00EF2F18" w:rsidRDefault="00474641" w:rsidP="00DC6CB5">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Инвестиције</w:t>
            </w:r>
          </w:p>
        </w:tc>
        <w:tc>
          <w:tcPr>
            <w:tcW w:w="2131" w:type="dxa"/>
            <w:tcBorders>
              <w:top w:val="nil"/>
              <w:left w:val="nil"/>
              <w:bottom w:val="nil"/>
              <w:right w:val="nil"/>
            </w:tcBorders>
            <w:noWrap/>
            <w:vAlign w:val="center"/>
            <w:hideMark/>
          </w:tcPr>
          <w:p w14:paraId="64D53261" w14:textId="3289D134" w:rsidR="00474641" w:rsidRPr="00EF2F18" w:rsidRDefault="00C35C50"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27</w:t>
            </w:r>
            <w:r w:rsidR="00474641" w:rsidRPr="00EF2F18">
              <w:rPr>
                <w:rFonts w:cs="Times New Roman"/>
                <w:sz w:val="22"/>
                <w:lang w:val="sr-Cyrl-RS"/>
              </w:rPr>
              <w:t>.</w:t>
            </w:r>
            <w:r w:rsidRPr="00EF2F18">
              <w:rPr>
                <w:rFonts w:cs="Times New Roman"/>
                <w:sz w:val="22"/>
                <w:lang w:val="sr-Cyrl-RS"/>
              </w:rPr>
              <w:t>037</w:t>
            </w:r>
          </w:p>
        </w:tc>
        <w:tc>
          <w:tcPr>
            <w:tcW w:w="1202" w:type="dxa"/>
            <w:tcBorders>
              <w:top w:val="nil"/>
              <w:left w:val="nil"/>
              <w:bottom w:val="nil"/>
              <w:right w:val="nil"/>
            </w:tcBorders>
            <w:noWrap/>
            <w:vAlign w:val="center"/>
            <w:hideMark/>
          </w:tcPr>
          <w:p w14:paraId="61FA9E62" w14:textId="2C82434F" w:rsidR="00474641" w:rsidRPr="00EF2F18" w:rsidRDefault="00347617"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99</w:t>
            </w:r>
            <w:r w:rsidR="00474641" w:rsidRPr="00EF2F18">
              <w:rPr>
                <w:rFonts w:cs="Times New Roman"/>
                <w:sz w:val="22"/>
                <w:lang w:val="sr-Cyrl-RS"/>
              </w:rPr>
              <w:t>,</w:t>
            </w:r>
            <w:r w:rsidR="000949C3" w:rsidRPr="00EF2F18">
              <w:rPr>
                <w:rFonts w:cs="Times New Roman"/>
                <w:sz w:val="22"/>
                <w:lang w:val="sr-Cyrl-RS"/>
              </w:rPr>
              <w:t>28</w:t>
            </w:r>
          </w:p>
        </w:tc>
        <w:tc>
          <w:tcPr>
            <w:tcW w:w="1182" w:type="dxa"/>
            <w:tcBorders>
              <w:top w:val="nil"/>
              <w:left w:val="nil"/>
              <w:bottom w:val="nil"/>
              <w:right w:val="single" w:sz="4" w:space="0" w:color="auto"/>
            </w:tcBorders>
            <w:noWrap/>
            <w:vAlign w:val="center"/>
            <w:hideMark/>
          </w:tcPr>
          <w:p w14:paraId="669B0C10" w14:textId="77777777" w:rsidR="00474641" w:rsidRPr="00EF2F18" w:rsidRDefault="00474641" w:rsidP="00DC6CB5">
            <w:pPr>
              <w:spacing w:before="40" w:after="40"/>
              <w:jc w:val="right"/>
              <w:rPr>
                <w:rFonts w:eastAsia="Times New Roman" w:cs="Times New Roman"/>
                <w:color w:val="000000"/>
                <w:sz w:val="22"/>
                <w:lang w:val="sr-Cyrl-RS" w:eastAsia="sr-Latn-RS"/>
              </w:rPr>
            </w:pPr>
          </w:p>
        </w:tc>
      </w:tr>
      <w:tr w:rsidR="00474641" w:rsidRPr="00EF2F18" w14:paraId="55B42331" w14:textId="77777777" w:rsidTr="00A84E90">
        <w:trPr>
          <w:trHeight w:val="58"/>
        </w:trPr>
        <w:tc>
          <w:tcPr>
            <w:tcW w:w="394" w:type="dxa"/>
            <w:tcBorders>
              <w:top w:val="nil"/>
              <w:left w:val="single" w:sz="4" w:space="0" w:color="auto"/>
              <w:bottom w:val="single" w:sz="4" w:space="0" w:color="auto"/>
              <w:right w:val="nil"/>
            </w:tcBorders>
            <w:noWrap/>
            <w:vAlign w:val="bottom"/>
            <w:hideMark/>
          </w:tcPr>
          <w:p w14:paraId="2FA1FBD5" w14:textId="77777777" w:rsidR="00474641" w:rsidRPr="00EF2F18" w:rsidRDefault="00474641" w:rsidP="00DC6CB5">
            <w:pPr>
              <w:spacing w:before="40" w:after="40"/>
              <w:rPr>
                <w:rFonts w:eastAsia="Times New Roman" w:cs="Times New Roman"/>
                <w:sz w:val="22"/>
                <w:lang w:val="sr-Cyrl-RS" w:eastAsia="sr-Latn-RS"/>
              </w:rPr>
            </w:pPr>
          </w:p>
        </w:tc>
        <w:tc>
          <w:tcPr>
            <w:tcW w:w="4510" w:type="dxa"/>
            <w:tcBorders>
              <w:top w:val="nil"/>
              <w:left w:val="nil"/>
              <w:bottom w:val="single" w:sz="4" w:space="0" w:color="auto"/>
              <w:right w:val="nil"/>
            </w:tcBorders>
            <w:noWrap/>
            <w:vAlign w:val="center"/>
            <w:hideMark/>
          </w:tcPr>
          <w:p w14:paraId="7446DE43" w14:textId="1195F62A" w:rsidR="00474641" w:rsidRPr="00EF2F18" w:rsidRDefault="00474641" w:rsidP="00DC6CB5">
            <w:pPr>
              <w:spacing w:before="40" w:after="40"/>
              <w:ind w:firstLineChars="200" w:firstLine="44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 xml:space="preserve">Административни </w:t>
            </w:r>
            <w:r w:rsidR="006D23C5" w:rsidRPr="00EF2F18">
              <w:rPr>
                <w:rFonts w:eastAsia="Times New Roman" w:cs="Times New Roman"/>
                <w:color w:val="000000"/>
                <w:sz w:val="22"/>
                <w:lang w:val="sr-Cyrl-RS" w:eastAsia="sr-Latn-RS"/>
              </w:rPr>
              <w:t xml:space="preserve">и остали </w:t>
            </w:r>
            <w:r w:rsidRPr="00EF2F18">
              <w:rPr>
                <w:rFonts w:eastAsia="Times New Roman" w:cs="Times New Roman"/>
                <w:color w:val="000000"/>
                <w:sz w:val="22"/>
                <w:lang w:val="sr-Cyrl-RS" w:eastAsia="sr-Latn-RS"/>
              </w:rPr>
              <w:t>трошкови</w:t>
            </w:r>
          </w:p>
        </w:tc>
        <w:tc>
          <w:tcPr>
            <w:tcW w:w="2131" w:type="dxa"/>
            <w:tcBorders>
              <w:top w:val="nil"/>
              <w:left w:val="nil"/>
              <w:bottom w:val="single" w:sz="4" w:space="0" w:color="auto"/>
              <w:right w:val="nil"/>
            </w:tcBorders>
            <w:noWrap/>
            <w:vAlign w:val="center"/>
            <w:hideMark/>
          </w:tcPr>
          <w:p w14:paraId="5DC99FE8" w14:textId="3AF65F75" w:rsidR="00474641" w:rsidRPr="00EF2F18" w:rsidRDefault="00347617"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1</w:t>
            </w:r>
            <w:r w:rsidR="00097F1A" w:rsidRPr="00EF2F18">
              <w:rPr>
                <w:rFonts w:cs="Times New Roman"/>
                <w:sz w:val="22"/>
                <w:lang w:val="sr-Cyrl-RS"/>
              </w:rPr>
              <w:t>97</w:t>
            </w:r>
          </w:p>
        </w:tc>
        <w:tc>
          <w:tcPr>
            <w:tcW w:w="1202" w:type="dxa"/>
            <w:tcBorders>
              <w:top w:val="nil"/>
              <w:left w:val="nil"/>
              <w:bottom w:val="single" w:sz="4" w:space="0" w:color="auto"/>
              <w:right w:val="nil"/>
            </w:tcBorders>
            <w:noWrap/>
            <w:vAlign w:val="center"/>
            <w:hideMark/>
          </w:tcPr>
          <w:p w14:paraId="1B0872F5" w14:textId="3707545D" w:rsidR="00474641" w:rsidRPr="00EF2F18" w:rsidRDefault="00347617" w:rsidP="00DC6CB5">
            <w:pPr>
              <w:spacing w:before="40" w:after="40"/>
              <w:jc w:val="right"/>
              <w:rPr>
                <w:rFonts w:eastAsia="Times New Roman" w:cs="Times New Roman"/>
                <w:color w:val="000000"/>
                <w:sz w:val="22"/>
                <w:lang w:val="sr-Cyrl-RS" w:eastAsia="sr-Latn-RS"/>
              </w:rPr>
            </w:pPr>
            <w:r w:rsidRPr="00EF2F18">
              <w:rPr>
                <w:rFonts w:cs="Times New Roman"/>
                <w:sz w:val="22"/>
                <w:lang w:val="sr-Cyrl-RS"/>
              </w:rPr>
              <w:t>0</w:t>
            </w:r>
            <w:r w:rsidR="00474641" w:rsidRPr="00EF2F18">
              <w:rPr>
                <w:rFonts w:cs="Times New Roman"/>
                <w:sz w:val="22"/>
                <w:lang w:val="sr-Cyrl-RS"/>
              </w:rPr>
              <w:t>,</w:t>
            </w:r>
            <w:r w:rsidR="000949C3" w:rsidRPr="00EF2F18">
              <w:rPr>
                <w:rFonts w:cs="Times New Roman"/>
                <w:sz w:val="22"/>
                <w:lang w:val="sr-Cyrl-RS"/>
              </w:rPr>
              <w:t>72</w:t>
            </w:r>
          </w:p>
        </w:tc>
        <w:tc>
          <w:tcPr>
            <w:tcW w:w="1182" w:type="dxa"/>
            <w:tcBorders>
              <w:top w:val="nil"/>
              <w:left w:val="nil"/>
              <w:bottom w:val="single" w:sz="4" w:space="0" w:color="auto"/>
              <w:right w:val="single" w:sz="4" w:space="0" w:color="auto"/>
            </w:tcBorders>
            <w:noWrap/>
            <w:vAlign w:val="center"/>
            <w:hideMark/>
          </w:tcPr>
          <w:p w14:paraId="2E2ED528" w14:textId="77777777" w:rsidR="00474641" w:rsidRPr="00EF2F18" w:rsidRDefault="00474641" w:rsidP="00DC6CB5">
            <w:pPr>
              <w:spacing w:before="40" w:after="40"/>
              <w:jc w:val="right"/>
              <w:rPr>
                <w:rFonts w:eastAsia="Times New Roman" w:cs="Times New Roman"/>
                <w:color w:val="000000"/>
                <w:sz w:val="22"/>
                <w:lang w:val="sr-Cyrl-RS" w:eastAsia="sr-Latn-RS"/>
              </w:rPr>
            </w:pPr>
          </w:p>
        </w:tc>
      </w:tr>
    </w:tbl>
    <w:p w14:paraId="76C446DB" w14:textId="08609541" w:rsidR="00917ACF" w:rsidRPr="00EF2F18" w:rsidRDefault="00531FC6" w:rsidP="009B15EB">
      <w:pPr>
        <w:spacing w:after="0"/>
        <w:jc w:val="both"/>
        <w:rPr>
          <w:rFonts w:cs="Times New Roman"/>
          <w:sz w:val="20"/>
          <w:szCs w:val="20"/>
          <w:lang w:val="sr-Cyrl-RS" w:eastAsia="en-GB"/>
        </w:rPr>
      </w:pPr>
      <w:r w:rsidRPr="00EF2F18">
        <w:rPr>
          <w:rFonts w:cs="Times New Roman"/>
          <w:sz w:val="20"/>
          <w:szCs w:val="20"/>
          <w:lang w:val="sr-Cyrl-RS" w:eastAsia="en-GB"/>
        </w:rPr>
        <w:t>*</w:t>
      </w:r>
      <w:r w:rsidR="009B15EB" w:rsidRPr="00EF2F18">
        <w:rPr>
          <w:rFonts w:cs="Times New Roman"/>
          <w:sz w:val="20"/>
          <w:szCs w:val="20"/>
          <w:lang w:val="sr-Cyrl-RS" w:eastAsia="en-GB"/>
        </w:rPr>
        <w:t xml:space="preserve"> </w:t>
      </w:r>
      <w:r w:rsidR="00917ACF" w:rsidRPr="00EF2F18">
        <w:rPr>
          <w:rFonts w:cs="Times New Roman"/>
          <w:sz w:val="20"/>
          <w:szCs w:val="20"/>
          <w:lang w:val="sr-Cyrl-RS" w:eastAsia="en-GB"/>
        </w:rPr>
        <w:t xml:space="preserve">Нису урачунати трошкови примене механизма за усклађивање са ЕУ системом трговине </w:t>
      </w:r>
      <w:r w:rsidR="00917ACF" w:rsidRPr="00EF2F18">
        <w:rPr>
          <w:rFonts w:cs="Times New Roman"/>
          <w:i/>
          <w:iCs/>
          <w:sz w:val="20"/>
          <w:szCs w:val="20"/>
          <w:lang w:val="sr-Cyrl-RS" w:eastAsia="en-GB"/>
        </w:rPr>
        <w:t>GHG</w:t>
      </w:r>
      <w:r w:rsidR="00161767">
        <w:rPr>
          <w:rFonts w:cs="Times New Roman"/>
          <w:sz w:val="20"/>
          <w:szCs w:val="20"/>
          <w:lang w:val="sr-Cyrl-RS" w:eastAsia="en-GB"/>
        </w:rPr>
        <w:t xml:space="preserve"> емисија</w:t>
      </w:r>
      <w:r w:rsidR="00917ACF" w:rsidRPr="00EF2F18">
        <w:rPr>
          <w:rFonts w:cs="Times New Roman"/>
          <w:sz w:val="20"/>
          <w:szCs w:val="20"/>
          <w:lang w:val="sr-Cyrl-RS" w:eastAsia="en-GB"/>
        </w:rPr>
        <w:t>ма (ЕU ЕТS)</w:t>
      </w:r>
      <w:r w:rsidR="00F340CC" w:rsidRPr="00EF2F18">
        <w:rPr>
          <w:rFonts w:cs="Times New Roman"/>
          <w:sz w:val="20"/>
          <w:szCs w:val="20"/>
          <w:lang w:val="sr-Cyrl-RS" w:eastAsia="en-GB"/>
        </w:rPr>
        <w:t xml:space="preserve"> </w:t>
      </w:r>
    </w:p>
    <w:bookmarkEnd w:id="139"/>
    <w:p w14:paraId="56274BD4" w14:textId="68F0BEE8" w:rsidR="00474641" w:rsidRPr="00EF2F18" w:rsidRDefault="00474641" w:rsidP="00474641">
      <w:pPr>
        <w:spacing w:after="0"/>
        <w:jc w:val="both"/>
        <w:rPr>
          <w:rFonts w:cs="Times New Roman"/>
          <w:b/>
          <w:bCs/>
          <w:sz w:val="22"/>
          <w:lang w:val="sr-Cyrl-RS" w:eastAsia="en-GB"/>
        </w:rPr>
      </w:pPr>
    </w:p>
    <w:p w14:paraId="34F638E8" w14:textId="19FE7A66" w:rsidR="00474641" w:rsidRPr="00EF2F18" w:rsidRDefault="00474641" w:rsidP="00474641">
      <w:pPr>
        <w:spacing w:after="0"/>
        <w:ind w:firstLine="720"/>
        <w:jc w:val="both"/>
        <w:rPr>
          <w:rFonts w:cs="Times New Roman"/>
          <w:sz w:val="22"/>
          <w:lang w:val="sr-Cyrl-RS" w:eastAsia="en-GB"/>
        </w:rPr>
      </w:pPr>
      <w:r w:rsidRPr="00EF2F18">
        <w:rPr>
          <w:rFonts w:cs="Times New Roman"/>
          <w:sz w:val="22"/>
          <w:lang w:val="sr-Cyrl-RS" w:eastAsia="en-GB"/>
        </w:rPr>
        <w:t>На слици 7.8. је представљено учешће трошкова свих стубова Зелене агенде у БДП-у Републике Србије током периода спровођења Стратегије. Под претпоставком да ће се просечна годишња стопа економског раста у Републици Србији кретати око 3,0% у периоду до 2033. године, учешће трошкова свих стубова Зелене агенде би у појединим годинама достизало 5,0% БДП-а.</w:t>
      </w:r>
    </w:p>
    <w:p w14:paraId="2EB2F502" w14:textId="5EFBC26D" w:rsidR="00474641" w:rsidRPr="00EF2F18" w:rsidRDefault="00A84E90" w:rsidP="00A84E90">
      <w:pPr>
        <w:spacing w:after="0"/>
        <w:rPr>
          <w:rFonts w:cs="Times New Roman"/>
          <w:iCs/>
          <w:sz w:val="22"/>
          <w:lang w:val="sr-Cyrl-RS" w:eastAsia="en-GB"/>
        </w:rPr>
      </w:pPr>
      <w:r w:rsidRPr="00EF2F18">
        <w:rPr>
          <w:rFonts w:cs="Times New Roman"/>
          <w:sz w:val="22"/>
          <w:lang w:val="sr-Cyrl-RS" w:eastAsia="en-GB"/>
        </w:rPr>
        <w:t xml:space="preserve">                      </w:t>
      </w:r>
      <w:r w:rsidR="00474641" w:rsidRPr="00EF2F18">
        <w:rPr>
          <w:rFonts w:cs="Times New Roman"/>
          <w:iCs/>
          <w:noProof/>
          <w:sz w:val="22"/>
          <w:lang w:val="sr-Cyrl-RS" w:eastAsia="sr-Cyrl-RS"/>
        </w:rPr>
        <w:drawing>
          <wp:inline distT="0" distB="0" distL="0" distR="0" wp14:anchorId="275901A2" wp14:editId="1998D2C0">
            <wp:extent cx="4181475" cy="1920240"/>
            <wp:effectExtent l="0" t="0" r="9525" b="3810"/>
            <wp:docPr id="330800057"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00057" name="Picture 1" descr="A graph with numbers and lines&#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234120" cy="1944416"/>
                    </a:xfrm>
                    <a:prstGeom prst="rect">
                      <a:avLst/>
                    </a:prstGeom>
                    <a:noFill/>
                  </pic:spPr>
                </pic:pic>
              </a:graphicData>
            </a:graphic>
          </wp:inline>
        </w:drawing>
      </w:r>
    </w:p>
    <w:p w14:paraId="76C93490" w14:textId="291DC51C" w:rsidR="00A84E90" w:rsidRPr="00EF2F18" w:rsidRDefault="00A84E90" w:rsidP="00474641">
      <w:pPr>
        <w:spacing w:after="0"/>
        <w:jc w:val="both"/>
        <w:rPr>
          <w:rFonts w:cs="Times New Roman"/>
          <w:sz w:val="22"/>
          <w:lang w:val="sr-Cyrl-RS"/>
        </w:rPr>
      </w:pPr>
      <w:r w:rsidRPr="00EF2F18">
        <w:rPr>
          <w:rFonts w:cs="Times New Roman"/>
          <w:b/>
          <w:bCs/>
          <w:sz w:val="22"/>
          <w:lang w:val="sr-Cyrl-RS"/>
        </w:rPr>
        <w:t xml:space="preserve">                 </w:t>
      </w:r>
      <w:r w:rsidR="00474641" w:rsidRPr="00EF2F18">
        <w:rPr>
          <w:rFonts w:cs="Times New Roman"/>
          <w:b/>
          <w:bCs/>
          <w:sz w:val="22"/>
          <w:lang w:val="sr-Cyrl-RS"/>
        </w:rPr>
        <w:t>Слика 7.8.</w:t>
      </w:r>
      <w:r w:rsidR="00474641" w:rsidRPr="00EF2F18">
        <w:rPr>
          <w:rFonts w:cs="Times New Roman"/>
          <w:sz w:val="22"/>
          <w:lang w:val="sr-Cyrl-RS"/>
        </w:rPr>
        <w:t xml:space="preserve"> Учешће трошкова за остваривање циљева Стратегије у БДП-у (%)</w:t>
      </w:r>
    </w:p>
    <w:p w14:paraId="74CE8FEB" w14:textId="77777777" w:rsidR="00474641" w:rsidRPr="00EF2F18" w:rsidRDefault="00474641" w:rsidP="00474641">
      <w:pPr>
        <w:spacing w:after="0"/>
        <w:jc w:val="both"/>
        <w:rPr>
          <w:rFonts w:cs="Times New Roman"/>
          <w:sz w:val="22"/>
          <w:lang w:val="sr-Cyrl-RS"/>
        </w:rPr>
      </w:pPr>
    </w:p>
    <w:p w14:paraId="3374137F" w14:textId="4AE3A25A" w:rsidR="00474641" w:rsidRPr="00EF2F18" w:rsidRDefault="00474641" w:rsidP="00474641">
      <w:pPr>
        <w:spacing w:after="0"/>
        <w:ind w:firstLine="720"/>
        <w:jc w:val="both"/>
        <w:rPr>
          <w:rFonts w:cs="Times New Roman"/>
          <w:sz w:val="22"/>
          <w:lang w:val="sr-Cyrl-RS"/>
        </w:rPr>
      </w:pPr>
      <w:r w:rsidRPr="00EF2F18">
        <w:rPr>
          <w:rFonts w:cs="Times New Roman"/>
          <w:sz w:val="22"/>
          <w:lang w:val="sr-Cyrl-RS"/>
        </w:rPr>
        <w:lastRenderedPageBreak/>
        <w:t>Вредности израчунатих трошкова за остваривање циљева Стратегије у периоду до 2033. године су датe у константним (сталним) ценама из 2024. године (инфлација није укључена). У наредном периоду, приликом реализације сваке од наведених мера, дате процењене вредности трошкова би требало кориговати на основу актуелне стопе инфлације.</w:t>
      </w:r>
    </w:p>
    <w:p w14:paraId="31981906" w14:textId="4865C573" w:rsidR="00305B8A" w:rsidRPr="00EF2F18" w:rsidRDefault="00474641" w:rsidP="00305B8A">
      <w:pPr>
        <w:spacing w:after="0"/>
        <w:ind w:firstLine="720"/>
        <w:jc w:val="both"/>
        <w:rPr>
          <w:rFonts w:cs="Times New Roman"/>
          <w:sz w:val="22"/>
          <w:lang w:val="sr-Cyrl-RS"/>
        </w:rPr>
      </w:pPr>
      <w:r w:rsidRPr="00EF2F18">
        <w:rPr>
          <w:rFonts w:cs="Times New Roman"/>
          <w:sz w:val="22"/>
          <w:lang w:val="sr-Cyrl-RS"/>
        </w:rPr>
        <w:t xml:space="preserve"> У табели </w:t>
      </w:r>
      <w:r w:rsidR="00AD31DB" w:rsidRPr="00EF2F18">
        <w:rPr>
          <w:rFonts w:cs="Times New Roman"/>
          <w:sz w:val="22"/>
          <w:lang w:val="sr-Cyrl-RS"/>
        </w:rPr>
        <w:t>7.</w:t>
      </w:r>
      <w:r w:rsidR="0029790D" w:rsidRPr="00EF2F18">
        <w:rPr>
          <w:rFonts w:cs="Times New Roman"/>
          <w:sz w:val="22"/>
          <w:lang w:val="sr-Cyrl-RS"/>
        </w:rPr>
        <w:t>5</w:t>
      </w:r>
      <w:r w:rsidR="00AD31DB" w:rsidRPr="00EF2F18">
        <w:rPr>
          <w:rFonts w:cs="Times New Roman"/>
          <w:sz w:val="22"/>
          <w:lang w:val="sr-Cyrl-RS"/>
        </w:rPr>
        <w:t xml:space="preserve">. </w:t>
      </w:r>
      <w:r w:rsidRPr="00EF2F18">
        <w:rPr>
          <w:rFonts w:cs="Times New Roman"/>
          <w:sz w:val="22"/>
          <w:lang w:val="sr-Cyrl-RS"/>
        </w:rPr>
        <w:t xml:space="preserve">су представљени укупни трошкови за </w:t>
      </w:r>
      <w:r w:rsidR="00311726" w:rsidRPr="00EF2F18">
        <w:rPr>
          <w:rFonts w:cs="Times New Roman"/>
          <w:sz w:val="22"/>
          <w:lang w:val="sr-Cyrl-RS"/>
        </w:rPr>
        <w:t>остваривање циљева</w:t>
      </w:r>
      <w:r w:rsidRPr="00EF2F18">
        <w:rPr>
          <w:rFonts w:cs="Times New Roman"/>
          <w:sz w:val="22"/>
          <w:lang w:val="sr-Cyrl-RS"/>
        </w:rPr>
        <w:t xml:space="preserve"> Стратегије, затим део тих трошкова који су већ предвиђени у другим постојећим планским документима (стратегије, програми и акциони планови) и </w:t>
      </w:r>
      <w:r w:rsidR="00305B8A" w:rsidRPr="00EF2F18">
        <w:rPr>
          <w:rFonts w:cs="Times New Roman"/>
          <w:sz w:val="22"/>
          <w:lang w:val="sr-Cyrl-RS"/>
        </w:rPr>
        <w:t xml:space="preserve">додатни трошкови који настају применом ове Стратегије, а који нису утврђени у </w:t>
      </w:r>
      <w:r w:rsidR="005B5A52" w:rsidRPr="00EF2F18">
        <w:rPr>
          <w:rFonts w:cs="Times New Roman"/>
          <w:sz w:val="22"/>
          <w:lang w:val="sr-Cyrl-RS"/>
        </w:rPr>
        <w:t xml:space="preserve">већ усвојеним </w:t>
      </w:r>
      <w:r w:rsidR="00305B8A" w:rsidRPr="00EF2F18">
        <w:rPr>
          <w:rFonts w:cs="Times New Roman"/>
          <w:sz w:val="22"/>
          <w:lang w:val="sr-Cyrl-RS"/>
        </w:rPr>
        <w:t>другим планским документима релевантним за спровођење ове Стратегије.</w:t>
      </w:r>
      <w:r w:rsidR="00FA7222" w:rsidRPr="00EF2F18">
        <w:rPr>
          <w:rFonts w:cs="Times New Roman"/>
          <w:sz w:val="22"/>
          <w:lang w:val="sr-Cyrl-RS"/>
        </w:rPr>
        <w:t xml:space="preserve"> </w:t>
      </w:r>
    </w:p>
    <w:p w14:paraId="2ACA9793" w14:textId="77777777" w:rsidR="00FF1ED8" w:rsidRPr="00EF2F18" w:rsidRDefault="00FF1ED8" w:rsidP="00FF1ED8">
      <w:pPr>
        <w:spacing w:after="0"/>
        <w:ind w:firstLine="720"/>
        <w:jc w:val="both"/>
        <w:rPr>
          <w:rFonts w:cs="Times New Roman"/>
          <w:sz w:val="22"/>
          <w:lang w:val="sr-Cyrl-RS"/>
        </w:rPr>
      </w:pPr>
    </w:p>
    <w:p w14:paraId="0A53D3EA" w14:textId="47508A99" w:rsidR="00474641" w:rsidRPr="00EF2F18" w:rsidRDefault="00474641" w:rsidP="00474641">
      <w:pPr>
        <w:spacing w:after="0"/>
        <w:jc w:val="both"/>
        <w:rPr>
          <w:rFonts w:cs="Times New Roman"/>
          <w:sz w:val="22"/>
          <w:lang w:val="sr-Cyrl-RS"/>
        </w:rPr>
      </w:pPr>
      <w:bookmarkStart w:id="140" w:name="_Hlk176180632"/>
      <w:r w:rsidRPr="00EF2F18">
        <w:rPr>
          <w:b/>
          <w:bCs/>
          <w:sz w:val="22"/>
          <w:lang w:val="sr-Cyrl-RS"/>
        </w:rPr>
        <w:t>Табела 7.</w:t>
      </w:r>
      <w:r w:rsidR="00DE1478" w:rsidRPr="00EF2F18">
        <w:rPr>
          <w:b/>
          <w:bCs/>
          <w:sz w:val="22"/>
          <w:lang w:val="sr-Cyrl-RS"/>
        </w:rPr>
        <w:t>5</w:t>
      </w:r>
      <w:r w:rsidRPr="00EF2F18">
        <w:rPr>
          <w:b/>
          <w:bCs/>
          <w:sz w:val="22"/>
          <w:lang w:val="sr-Cyrl-RS"/>
        </w:rPr>
        <w:t>.</w:t>
      </w:r>
      <w:r w:rsidRPr="00EF2F18">
        <w:rPr>
          <w:sz w:val="22"/>
          <w:lang w:val="sr-Cyrl-RS"/>
        </w:rPr>
        <w:t xml:space="preserve"> Преглед</w:t>
      </w:r>
      <w:r w:rsidR="00770C23" w:rsidRPr="00EF2F18">
        <w:rPr>
          <w:sz w:val="22"/>
          <w:lang w:val="sr-Cyrl-RS"/>
        </w:rPr>
        <w:t xml:space="preserve"> оквирних </w:t>
      </w:r>
      <w:r w:rsidRPr="00EF2F18">
        <w:rPr>
          <w:sz w:val="22"/>
          <w:lang w:val="sr-Cyrl-RS"/>
        </w:rPr>
        <w:t xml:space="preserve">предвиђених и додатних трошкова за </w:t>
      </w:r>
      <w:r w:rsidRPr="00EF2F18">
        <w:rPr>
          <w:rFonts w:cs="Times New Roman"/>
          <w:sz w:val="22"/>
          <w:lang w:val="sr-Cyrl-RS"/>
        </w:rPr>
        <w:t xml:space="preserve">остваривање циљева </w:t>
      </w:r>
      <w:r w:rsidRPr="00EF2F18">
        <w:rPr>
          <w:sz w:val="22"/>
          <w:lang w:val="sr-Cyrl-RS"/>
        </w:rPr>
        <w:t xml:space="preserve">Стратегије у периоду </w:t>
      </w:r>
      <w:r w:rsidR="00C650C1" w:rsidRPr="00EF2F18">
        <w:rPr>
          <w:sz w:val="22"/>
          <w:lang w:val="sr-Cyrl-RS"/>
        </w:rPr>
        <w:t xml:space="preserve">до </w:t>
      </w:r>
      <w:r w:rsidRPr="00EF2F18">
        <w:rPr>
          <w:sz w:val="22"/>
          <w:lang w:val="sr-Cyrl-RS"/>
        </w:rPr>
        <w:t xml:space="preserve">2033. (милиони </w:t>
      </w:r>
      <w:r w:rsidR="00DD0F76" w:rsidRPr="00EF2F18">
        <w:rPr>
          <w:sz w:val="22"/>
          <w:lang w:val="sr-Cyrl-RS"/>
        </w:rPr>
        <w:t>ЕУР</w:t>
      </w:r>
      <w:r w:rsidRPr="00EF2F18">
        <w:rPr>
          <w:sz w:val="22"/>
          <w:lang w:val="sr-Cyrl-RS"/>
        </w:rPr>
        <w:t>, константне цене из 2024.</w:t>
      </w:r>
      <w:r w:rsidR="00EE6F5A" w:rsidRPr="00EF2F18">
        <w:rPr>
          <w:rFonts w:cs="Times New Roman"/>
          <w:iCs/>
          <w:sz w:val="22"/>
          <w:lang w:val="sr-Cyrl-RS"/>
        </w:rPr>
        <w:t xml:space="preserve"> године</w:t>
      </w:r>
      <w:r w:rsidRPr="00EF2F18">
        <w:rPr>
          <w:sz w:val="22"/>
          <w:lang w:val="sr-Cyrl-RS"/>
        </w:rPr>
        <w:t>)</w:t>
      </w:r>
    </w:p>
    <w:tbl>
      <w:tblPr>
        <w:tblStyle w:val="TableGrid2"/>
        <w:tblW w:w="5000" w:type="pct"/>
        <w:jc w:val="center"/>
        <w:tblLayout w:type="fixed"/>
        <w:tblLook w:val="0000" w:firstRow="0" w:lastRow="0" w:firstColumn="0" w:lastColumn="0" w:noHBand="0" w:noVBand="0"/>
      </w:tblPr>
      <w:tblGrid>
        <w:gridCol w:w="2605"/>
        <w:gridCol w:w="2353"/>
        <w:gridCol w:w="2200"/>
        <w:gridCol w:w="1859"/>
      </w:tblGrid>
      <w:tr w:rsidR="00474641" w:rsidRPr="00EF2F18" w14:paraId="6A0F7D61" w14:textId="77777777" w:rsidTr="00DC6CB5">
        <w:trPr>
          <w:trHeight w:val="173"/>
          <w:jc w:val="center"/>
        </w:trPr>
        <w:tc>
          <w:tcPr>
            <w:tcW w:w="1444" w:type="pct"/>
            <w:tcBorders>
              <w:top w:val="single" w:sz="4" w:space="0" w:color="auto"/>
              <w:bottom w:val="single" w:sz="4" w:space="0" w:color="auto"/>
            </w:tcBorders>
            <w:shd w:val="clear" w:color="auto" w:fill="FFFFCC"/>
            <w:vAlign w:val="center"/>
          </w:tcPr>
          <w:p w14:paraId="4CF56856" w14:textId="77777777" w:rsidR="00474641" w:rsidRPr="00EF2F18" w:rsidRDefault="00474641" w:rsidP="00DC6CB5">
            <w:pPr>
              <w:spacing w:before="40" w:after="40"/>
              <w:jc w:val="center"/>
              <w:rPr>
                <w:b/>
                <w:bCs/>
                <w:color w:val="000000"/>
                <w:sz w:val="22"/>
                <w:lang w:val="sr-Cyrl-RS"/>
              </w:rPr>
            </w:pPr>
            <w:r w:rsidRPr="00EF2F18">
              <w:rPr>
                <w:b/>
                <w:bCs/>
                <w:color w:val="000000"/>
                <w:sz w:val="22"/>
                <w:lang w:val="sr-Cyrl-RS"/>
              </w:rPr>
              <w:t>Област</w:t>
            </w:r>
          </w:p>
        </w:tc>
        <w:tc>
          <w:tcPr>
            <w:tcW w:w="1305" w:type="pct"/>
            <w:tcBorders>
              <w:top w:val="single" w:sz="4" w:space="0" w:color="auto"/>
              <w:bottom w:val="single" w:sz="4" w:space="0" w:color="auto"/>
            </w:tcBorders>
            <w:shd w:val="clear" w:color="auto" w:fill="FFFFCC"/>
            <w:vAlign w:val="center"/>
          </w:tcPr>
          <w:p w14:paraId="7DB08B26" w14:textId="59E75147" w:rsidR="00474641" w:rsidRPr="00EF2F18" w:rsidRDefault="00770C23" w:rsidP="00DC6CB5">
            <w:pPr>
              <w:spacing w:before="40" w:after="40"/>
              <w:jc w:val="center"/>
              <w:rPr>
                <w:b/>
                <w:bCs/>
                <w:color w:val="000000"/>
                <w:sz w:val="22"/>
                <w:lang w:val="sr-Cyrl-RS"/>
              </w:rPr>
            </w:pPr>
            <w:r w:rsidRPr="00EF2F18">
              <w:rPr>
                <w:b/>
                <w:bCs/>
                <w:color w:val="000000"/>
                <w:sz w:val="22"/>
                <w:lang w:val="sr-Cyrl-RS"/>
              </w:rPr>
              <w:t>Укупни т</w:t>
            </w:r>
            <w:r w:rsidR="00474641" w:rsidRPr="00EF2F18">
              <w:rPr>
                <w:b/>
                <w:bCs/>
                <w:color w:val="000000"/>
                <w:sz w:val="22"/>
                <w:lang w:val="sr-Cyrl-RS"/>
              </w:rPr>
              <w:t xml:space="preserve">рошкови за </w:t>
            </w:r>
            <w:r w:rsidR="00474641" w:rsidRPr="00EF2F18">
              <w:rPr>
                <w:b/>
                <w:bCs/>
                <w:sz w:val="22"/>
                <w:lang w:val="sr-Cyrl-RS"/>
              </w:rPr>
              <w:t>остваривање циљева</w:t>
            </w:r>
            <w:r w:rsidR="00474641" w:rsidRPr="00EF2F18">
              <w:rPr>
                <w:sz w:val="22"/>
                <w:lang w:val="sr-Cyrl-RS"/>
              </w:rPr>
              <w:t xml:space="preserve"> </w:t>
            </w:r>
            <w:r w:rsidR="00474641" w:rsidRPr="00EF2F18">
              <w:rPr>
                <w:b/>
                <w:bCs/>
                <w:color w:val="000000"/>
                <w:sz w:val="22"/>
                <w:lang w:val="sr-Cyrl-RS"/>
              </w:rPr>
              <w:t>Стратегије</w:t>
            </w:r>
          </w:p>
        </w:tc>
        <w:tc>
          <w:tcPr>
            <w:tcW w:w="1220" w:type="pct"/>
            <w:tcBorders>
              <w:top w:val="single" w:sz="4" w:space="0" w:color="auto"/>
              <w:bottom w:val="single" w:sz="4" w:space="0" w:color="auto"/>
            </w:tcBorders>
            <w:shd w:val="clear" w:color="auto" w:fill="FFFFCC"/>
            <w:vAlign w:val="center"/>
          </w:tcPr>
          <w:p w14:paraId="78D71DD2" w14:textId="77777777" w:rsidR="00474641" w:rsidRPr="00EF2F18" w:rsidRDefault="00474641" w:rsidP="00DC6CB5">
            <w:pPr>
              <w:spacing w:before="40" w:after="40"/>
              <w:jc w:val="center"/>
              <w:rPr>
                <w:b/>
                <w:bCs/>
                <w:color w:val="000000"/>
                <w:sz w:val="22"/>
                <w:lang w:val="sr-Cyrl-RS"/>
              </w:rPr>
            </w:pPr>
            <w:r w:rsidRPr="00EF2F18">
              <w:rPr>
                <w:b/>
                <w:bCs/>
                <w:color w:val="000000"/>
                <w:sz w:val="22"/>
                <w:lang w:val="sr-Cyrl-RS"/>
              </w:rPr>
              <w:t>Трошкови предвиђени постојећим планским документима</w:t>
            </w:r>
          </w:p>
        </w:tc>
        <w:tc>
          <w:tcPr>
            <w:tcW w:w="1031" w:type="pct"/>
            <w:tcBorders>
              <w:top w:val="single" w:sz="4" w:space="0" w:color="auto"/>
              <w:bottom w:val="single" w:sz="4" w:space="0" w:color="auto"/>
            </w:tcBorders>
            <w:shd w:val="clear" w:color="auto" w:fill="FFFFCC"/>
            <w:vAlign w:val="center"/>
          </w:tcPr>
          <w:p w14:paraId="6FA00C94" w14:textId="41C56956" w:rsidR="00474641" w:rsidRPr="00EF2F18" w:rsidRDefault="00474641" w:rsidP="00DC6CB5">
            <w:pPr>
              <w:spacing w:before="40" w:after="40"/>
              <w:jc w:val="center"/>
              <w:rPr>
                <w:b/>
                <w:bCs/>
                <w:color w:val="000000"/>
                <w:sz w:val="22"/>
                <w:lang w:val="sr-Cyrl-RS"/>
              </w:rPr>
            </w:pPr>
            <w:r w:rsidRPr="00EF2F18">
              <w:rPr>
                <w:b/>
                <w:bCs/>
                <w:color w:val="000000"/>
                <w:sz w:val="22"/>
                <w:lang w:val="sr-Cyrl-RS"/>
              </w:rPr>
              <w:t>Додатни трошкови</w:t>
            </w:r>
            <w:r w:rsidR="00A87A45" w:rsidRPr="00EF2F18">
              <w:rPr>
                <w:b/>
                <w:bCs/>
                <w:color w:val="000000"/>
                <w:sz w:val="22"/>
                <w:lang w:val="sr-Cyrl-RS"/>
              </w:rPr>
              <w:t xml:space="preserve"> предвиђени Стратегијом</w:t>
            </w:r>
          </w:p>
        </w:tc>
      </w:tr>
      <w:tr w:rsidR="00474641" w:rsidRPr="00EF2F18" w14:paraId="15B57257" w14:textId="77777777" w:rsidTr="00DC6CB5">
        <w:trPr>
          <w:trHeight w:val="173"/>
          <w:jc w:val="center"/>
        </w:trPr>
        <w:tc>
          <w:tcPr>
            <w:tcW w:w="1444" w:type="pct"/>
            <w:tcBorders>
              <w:top w:val="single" w:sz="4" w:space="0" w:color="auto"/>
              <w:bottom w:val="single" w:sz="4" w:space="0" w:color="auto"/>
            </w:tcBorders>
            <w:vAlign w:val="center"/>
          </w:tcPr>
          <w:p w14:paraId="6F49D691" w14:textId="78D299B9" w:rsidR="00474641" w:rsidRPr="00EF2F18" w:rsidRDefault="00474641" w:rsidP="00DC6CB5">
            <w:pPr>
              <w:spacing w:before="40" w:after="40"/>
              <w:rPr>
                <w:color w:val="000000"/>
                <w:sz w:val="22"/>
                <w:lang w:val="sr-Cyrl-RS"/>
              </w:rPr>
            </w:pPr>
            <w:r w:rsidRPr="00EF2F18">
              <w:rPr>
                <w:color w:val="000000"/>
                <w:sz w:val="22"/>
                <w:lang w:val="sr-Cyrl-RS"/>
              </w:rPr>
              <w:t>Декарбонизација</w:t>
            </w:r>
            <w:r w:rsidR="009B15EB" w:rsidRPr="00EF2F18">
              <w:rPr>
                <w:color w:val="000000"/>
                <w:sz w:val="22"/>
                <w:lang w:val="sr-Cyrl-RS"/>
              </w:rPr>
              <w:t xml:space="preserve"> и климатске промене</w:t>
            </w:r>
            <w:r w:rsidR="009D3319" w:rsidRPr="00EF2F18">
              <w:rPr>
                <w:color w:val="000000"/>
                <w:sz w:val="22"/>
                <w:lang w:val="sr-Cyrl-RS"/>
              </w:rPr>
              <w:t>*</w:t>
            </w:r>
          </w:p>
        </w:tc>
        <w:tc>
          <w:tcPr>
            <w:tcW w:w="1305" w:type="pct"/>
            <w:tcBorders>
              <w:top w:val="single" w:sz="4" w:space="0" w:color="auto"/>
              <w:bottom w:val="single" w:sz="4" w:space="0" w:color="auto"/>
            </w:tcBorders>
            <w:vAlign w:val="center"/>
          </w:tcPr>
          <w:p w14:paraId="7EB95AD4" w14:textId="30D1DBC6" w:rsidR="00474641" w:rsidRPr="00EF2F18" w:rsidRDefault="00474641" w:rsidP="00DC6CB5">
            <w:pPr>
              <w:spacing w:before="40" w:after="40"/>
              <w:jc w:val="right"/>
              <w:rPr>
                <w:color w:val="000000"/>
                <w:sz w:val="22"/>
                <w:lang w:val="sr-Cyrl-RS"/>
              </w:rPr>
            </w:pPr>
            <w:r w:rsidRPr="00EF2F18">
              <w:rPr>
                <w:color w:val="000000"/>
                <w:sz w:val="22"/>
                <w:lang w:val="sr-Cyrl-RS"/>
              </w:rPr>
              <w:t>19.</w:t>
            </w:r>
            <w:r w:rsidR="002E5F6C" w:rsidRPr="00EF2F18">
              <w:rPr>
                <w:color w:val="000000"/>
                <w:sz w:val="22"/>
                <w:lang w:val="sr-Cyrl-RS"/>
              </w:rPr>
              <w:t>09</w:t>
            </w:r>
            <w:r w:rsidR="00A95BB1" w:rsidRPr="00EF2F18">
              <w:rPr>
                <w:color w:val="000000"/>
                <w:sz w:val="22"/>
                <w:lang w:val="sr-Cyrl-RS"/>
              </w:rPr>
              <w:t>2</w:t>
            </w:r>
          </w:p>
        </w:tc>
        <w:tc>
          <w:tcPr>
            <w:tcW w:w="1220" w:type="pct"/>
            <w:tcBorders>
              <w:top w:val="single" w:sz="4" w:space="0" w:color="auto"/>
              <w:bottom w:val="single" w:sz="4" w:space="0" w:color="auto"/>
            </w:tcBorders>
            <w:vAlign w:val="center"/>
          </w:tcPr>
          <w:p w14:paraId="27DE756C" w14:textId="7DE8F957" w:rsidR="00474641" w:rsidRPr="00EF2F18" w:rsidRDefault="00474641" w:rsidP="00DC6CB5">
            <w:pPr>
              <w:spacing w:before="40" w:after="40"/>
              <w:jc w:val="right"/>
              <w:rPr>
                <w:color w:val="000000"/>
                <w:sz w:val="22"/>
                <w:lang w:val="sr-Cyrl-RS"/>
              </w:rPr>
            </w:pPr>
            <w:r w:rsidRPr="00EF2F18">
              <w:rPr>
                <w:color w:val="000000"/>
                <w:sz w:val="22"/>
                <w:lang w:val="sr-Cyrl-RS"/>
              </w:rPr>
              <w:t>13.398</w:t>
            </w:r>
          </w:p>
        </w:tc>
        <w:tc>
          <w:tcPr>
            <w:tcW w:w="1031" w:type="pct"/>
            <w:tcBorders>
              <w:top w:val="single" w:sz="4" w:space="0" w:color="auto"/>
              <w:bottom w:val="single" w:sz="4" w:space="0" w:color="auto"/>
            </w:tcBorders>
            <w:vAlign w:val="center"/>
          </w:tcPr>
          <w:p w14:paraId="1C4B7432" w14:textId="6DB28A92" w:rsidR="00474641" w:rsidRPr="00EF2F18" w:rsidRDefault="00474641" w:rsidP="00DC6CB5">
            <w:pPr>
              <w:spacing w:before="40" w:after="40"/>
              <w:jc w:val="right"/>
              <w:rPr>
                <w:color w:val="000000"/>
                <w:sz w:val="22"/>
                <w:lang w:val="sr-Cyrl-RS"/>
              </w:rPr>
            </w:pPr>
            <w:r w:rsidRPr="00EF2F18">
              <w:rPr>
                <w:color w:val="000000"/>
                <w:sz w:val="22"/>
                <w:lang w:val="sr-Cyrl-RS"/>
              </w:rPr>
              <w:t>5.69</w:t>
            </w:r>
            <w:r w:rsidR="00A95BB1" w:rsidRPr="00EF2F18">
              <w:rPr>
                <w:color w:val="000000"/>
                <w:sz w:val="22"/>
                <w:lang w:val="sr-Cyrl-RS"/>
              </w:rPr>
              <w:t>4</w:t>
            </w:r>
          </w:p>
        </w:tc>
      </w:tr>
      <w:tr w:rsidR="00474641" w:rsidRPr="00EF2F18" w14:paraId="4B96C700" w14:textId="77777777" w:rsidTr="00DC6CB5">
        <w:trPr>
          <w:trHeight w:val="173"/>
          <w:jc w:val="center"/>
        </w:trPr>
        <w:tc>
          <w:tcPr>
            <w:tcW w:w="1444" w:type="pct"/>
            <w:tcBorders>
              <w:top w:val="single" w:sz="4" w:space="0" w:color="auto"/>
              <w:bottom w:val="single" w:sz="4" w:space="0" w:color="auto"/>
            </w:tcBorders>
            <w:vAlign w:val="center"/>
          </w:tcPr>
          <w:p w14:paraId="6CF034B7" w14:textId="77777777" w:rsidR="00474641" w:rsidRPr="00EF2F18" w:rsidRDefault="00474641" w:rsidP="00DC6CB5">
            <w:pPr>
              <w:spacing w:before="40" w:after="40"/>
              <w:rPr>
                <w:color w:val="000000"/>
                <w:sz w:val="22"/>
                <w:lang w:val="sr-Cyrl-RS"/>
              </w:rPr>
            </w:pPr>
            <w:r w:rsidRPr="00EF2F18">
              <w:rPr>
                <w:color w:val="000000"/>
                <w:sz w:val="22"/>
                <w:lang w:val="sr-Cyrl-RS"/>
              </w:rPr>
              <w:t>Циркуларна економија</w:t>
            </w:r>
          </w:p>
        </w:tc>
        <w:tc>
          <w:tcPr>
            <w:tcW w:w="1305" w:type="pct"/>
            <w:tcBorders>
              <w:top w:val="single" w:sz="4" w:space="0" w:color="auto"/>
              <w:bottom w:val="single" w:sz="4" w:space="0" w:color="auto"/>
            </w:tcBorders>
            <w:vAlign w:val="center"/>
          </w:tcPr>
          <w:p w14:paraId="56234AC3" w14:textId="0738E150" w:rsidR="00474641" w:rsidRPr="00EF2F18" w:rsidRDefault="00474641" w:rsidP="00DC6CB5">
            <w:pPr>
              <w:spacing w:before="40" w:after="40"/>
              <w:jc w:val="right"/>
              <w:rPr>
                <w:color w:val="000000"/>
                <w:sz w:val="22"/>
                <w:lang w:val="sr-Cyrl-RS"/>
              </w:rPr>
            </w:pPr>
            <w:r w:rsidRPr="00EF2F18">
              <w:rPr>
                <w:color w:val="000000"/>
                <w:sz w:val="22"/>
                <w:lang w:val="sr-Cyrl-RS"/>
              </w:rPr>
              <w:t>1.</w:t>
            </w:r>
            <w:r w:rsidR="002E5F6C" w:rsidRPr="00EF2F18">
              <w:rPr>
                <w:color w:val="000000"/>
                <w:sz w:val="22"/>
                <w:lang w:val="sr-Cyrl-RS"/>
              </w:rPr>
              <w:t>299</w:t>
            </w:r>
          </w:p>
        </w:tc>
        <w:tc>
          <w:tcPr>
            <w:tcW w:w="1220" w:type="pct"/>
            <w:tcBorders>
              <w:top w:val="single" w:sz="4" w:space="0" w:color="auto"/>
              <w:bottom w:val="single" w:sz="4" w:space="0" w:color="auto"/>
            </w:tcBorders>
            <w:vAlign w:val="center"/>
          </w:tcPr>
          <w:p w14:paraId="22F80577" w14:textId="18B7210C" w:rsidR="00474641" w:rsidRPr="00EF2F18" w:rsidRDefault="002E5F6C" w:rsidP="00DC6CB5">
            <w:pPr>
              <w:spacing w:before="40" w:after="40"/>
              <w:jc w:val="right"/>
              <w:rPr>
                <w:color w:val="000000"/>
                <w:sz w:val="22"/>
                <w:lang w:val="sr-Cyrl-RS"/>
              </w:rPr>
            </w:pPr>
            <w:r w:rsidRPr="00EF2F18">
              <w:rPr>
                <w:color w:val="000000"/>
                <w:sz w:val="22"/>
                <w:lang w:val="sr-Cyrl-RS"/>
              </w:rPr>
              <w:t>817</w:t>
            </w:r>
          </w:p>
        </w:tc>
        <w:tc>
          <w:tcPr>
            <w:tcW w:w="1031" w:type="pct"/>
            <w:tcBorders>
              <w:top w:val="single" w:sz="4" w:space="0" w:color="auto"/>
              <w:bottom w:val="single" w:sz="4" w:space="0" w:color="auto"/>
            </w:tcBorders>
          </w:tcPr>
          <w:p w14:paraId="1FF66BEB" w14:textId="447B9A48" w:rsidR="00474641" w:rsidRPr="00EF2F18" w:rsidRDefault="00474641" w:rsidP="00DC6CB5">
            <w:pPr>
              <w:spacing w:before="40" w:after="40"/>
              <w:jc w:val="right"/>
              <w:rPr>
                <w:color w:val="000000"/>
                <w:sz w:val="22"/>
                <w:lang w:val="sr-Cyrl-RS"/>
              </w:rPr>
            </w:pPr>
            <w:r w:rsidRPr="00EF2F18">
              <w:rPr>
                <w:color w:val="000000"/>
                <w:sz w:val="22"/>
                <w:lang w:val="sr-Cyrl-RS"/>
              </w:rPr>
              <w:t>482</w:t>
            </w:r>
          </w:p>
        </w:tc>
      </w:tr>
      <w:tr w:rsidR="000438F7" w:rsidRPr="00EF2F18" w14:paraId="0DC98A38" w14:textId="77777777" w:rsidTr="00B32107">
        <w:trPr>
          <w:trHeight w:val="249"/>
          <w:jc w:val="center"/>
        </w:trPr>
        <w:tc>
          <w:tcPr>
            <w:tcW w:w="1444" w:type="pct"/>
            <w:vAlign w:val="center"/>
          </w:tcPr>
          <w:p w14:paraId="725D206A" w14:textId="77777777" w:rsidR="000438F7" w:rsidRPr="00EF2F18" w:rsidRDefault="000438F7" w:rsidP="000438F7">
            <w:pPr>
              <w:spacing w:before="40" w:after="40"/>
              <w:rPr>
                <w:sz w:val="22"/>
                <w:lang w:val="sr-Cyrl-RS"/>
              </w:rPr>
            </w:pPr>
            <w:r w:rsidRPr="00EF2F18">
              <w:rPr>
                <w:sz w:val="22"/>
                <w:lang w:val="sr-Cyrl-RS"/>
              </w:rPr>
              <w:t>Смањење загађења</w:t>
            </w:r>
          </w:p>
        </w:tc>
        <w:tc>
          <w:tcPr>
            <w:tcW w:w="1305" w:type="pct"/>
          </w:tcPr>
          <w:p w14:paraId="79B18568" w14:textId="56D07DA8" w:rsidR="000438F7" w:rsidRPr="00EF2F18" w:rsidRDefault="000438F7" w:rsidP="000438F7">
            <w:pPr>
              <w:spacing w:before="40" w:after="40"/>
              <w:jc w:val="right"/>
              <w:rPr>
                <w:sz w:val="22"/>
                <w:lang w:val="sr-Cyrl-RS"/>
              </w:rPr>
            </w:pPr>
            <w:r w:rsidRPr="00EF2F18">
              <w:rPr>
                <w:sz w:val="22"/>
                <w:lang w:val="sr-Cyrl-RS"/>
              </w:rPr>
              <w:t>5.6</w:t>
            </w:r>
            <w:r w:rsidR="00097F1A" w:rsidRPr="00EF2F18">
              <w:rPr>
                <w:sz w:val="22"/>
                <w:lang w:val="sr-Cyrl-RS"/>
              </w:rPr>
              <w:t>75</w:t>
            </w:r>
          </w:p>
        </w:tc>
        <w:tc>
          <w:tcPr>
            <w:tcW w:w="1220" w:type="pct"/>
            <w:vAlign w:val="center"/>
          </w:tcPr>
          <w:p w14:paraId="2A57CD36" w14:textId="61B61DED" w:rsidR="000438F7" w:rsidRPr="00EF2F18" w:rsidRDefault="000438F7" w:rsidP="000438F7">
            <w:pPr>
              <w:spacing w:before="40" w:after="40"/>
              <w:jc w:val="right"/>
              <w:rPr>
                <w:sz w:val="22"/>
                <w:highlight w:val="yellow"/>
                <w:lang w:val="sr-Cyrl-RS"/>
              </w:rPr>
            </w:pPr>
            <w:r w:rsidRPr="00EF2F18">
              <w:rPr>
                <w:color w:val="000000"/>
                <w:kern w:val="2"/>
                <w:sz w:val="22"/>
                <w:lang w:val="sr-Cyrl-RS"/>
                <w14:ligatures w14:val="standardContextual"/>
              </w:rPr>
              <w:t>4.351</w:t>
            </w:r>
          </w:p>
        </w:tc>
        <w:tc>
          <w:tcPr>
            <w:tcW w:w="1031" w:type="pct"/>
            <w:vAlign w:val="center"/>
          </w:tcPr>
          <w:p w14:paraId="05684FC9" w14:textId="00A16EA2" w:rsidR="000438F7" w:rsidRPr="00EF2F18" w:rsidRDefault="000438F7" w:rsidP="000438F7">
            <w:pPr>
              <w:spacing w:before="40" w:after="40"/>
              <w:jc w:val="right"/>
              <w:rPr>
                <w:color w:val="000000"/>
                <w:sz w:val="22"/>
                <w:highlight w:val="yellow"/>
                <w:lang w:val="sr-Cyrl-RS"/>
              </w:rPr>
            </w:pPr>
            <w:r w:rsidRPr="00EF2F18">
              <w:rPr>
                <w:color w:val="000000"/>
                <w:kern w:val="2"/>
                <w:sz w:val="22"/>
                <w:lang w:val="sr-Cyrl-RS"/>
                <w14:ligatures w14:val="standardContextual"/>
              </w:rPr>
              <w:t>1.3</w:t>
            </w:r>
            <w:r w:rsidR="00097F1A" w:rsidRPr="00EF2F18">
              <w:rPr>
                <w:color w:val="000000"/>
                <w:kern w:val="2"/>
                <w:sz w:val="22"/>
                <w:lang w:val="sr-Cyrl-RS"/>
                <w14:ligatures w14:val="standardContextual"/>
              </w:rPr>
              <w:t>24</w:t>
            </w:r>
          </w:p>
        </w:tc>
      </w:tr>
      <w:tr w:rsidR="00474641" w:rsidRPr="00EF2F18" w14:paraId="6B7246AF" w14:textId="77777777" w:rsidTr="00DC6CB5">
        <w:trPr>
          <w:trHeight w:val="223"/>
          <w:jc w:val="center"/>
        </w:trPr>
        <w:tc>
          <w:tcPr>
            <w:tcW w:w="1444" w:type="pct"/>
            <w:vAlign w:val="center"/>
          </w:tcPr>
          <w:p w14:paraId="07C842AA" w14:textId="77777777" w:rsidR="00474641" w:rsidRPr="00EF2F18" w:rsidRDefault="00474641" w:rsidP="00DC6CB5">
            <w:pPr>
              <w:spacing w:before="40" w:after="40"/>
              <w:rPr>
                <w:sz w:val="22"/>
                <w:lang w:val="sr-Cyrl-RS"/>
              </w:rPr>
            </w:pPr>
            <w:r w:rsidRPr="00EF2F18">
              <w:rPr>
                <w:sz w:val="22"/>
                <w:lang w:val="sr-Cyrl-RS"/>
              </w:rPr>
              <w:t>Биодиверзитет</w:t>
            </w:r>
          </w:p>
        </w:tc>
        <w:tc>
          <w:tcPr>
            <w:tcW w:w="1305" w:type="pct"/>
          </w:tcPr>
          <w:p w14:paraId="28B22FB4" w14:textId="18B7F403" w:rsidR="00474641" w:rsidRPr="00EF2F18" w:rsidRDefault="00C35C50" w:rsidP="00DC6CB5">
            <w:pPr>
              <w:spacing w:before="40" w:after="40"/>
              <w:jc w:val="right"/>
              <w:rPr>
                <w:sz w:val="22"/>
                <w:lang w:val="sr-Cyrl-RS"/>
              </w:rPr>
            </w:pPr>
            <w:r w:rsidRPr="00EF2F18">
              <w:rPr>
                <w:sz w:val="22"/>
                <w:lang w:val="sr-Cyrl-RS"/>
              </w:rPr>
              <w:t>406</w:t>
            </w:r>
          </w:p>
        </w:tc>
        <w:tc>
          <w:tcPr>
            <w:tcW w:w="1220" w:type="pct"/>
          </w:tcPr>
          <w:p w14:paraId="56DCCBDB" w14:textId="77777777" w:rsidR="00474641" w:rsidRPr="00EF2F18" w:rsidRDefault="00474641" w:rsidP="00DC6CB5">
            <w:pPr>
              <w:spacing w:before="40" w:after="40"/>
              <w:jc w:val="right"/>
              <w:rPr>
                <w:sz w:val="22"/>
                <w:lang w:val="sr-Cyrl-RS"/>
              </w:rPr>
            </w:pPr>
            <w:r w:rsidRPr="00EF2F18">
              <w:rPr>
                <w:sz w:val="22"/>
                <w:lang w:val="sr-Cyrl-RS"/>
              </w:rPr>
              <w:t>-</w:t>
            </w:r>
          </w:p>
        </w:tc>
        <w:tc>
          <w:tcPr>
            <w:tcW w:w="1031" w:type="pct"/>
          </w:tcPr>
          <w:p w14:paraId="6F8564A0" w14:textId="6418E191" w:rsidR="00474641" w:rsidRPr="00EF2F18" w:rsidRDefault="00C35C50" w:rsidP="00DC6CB5">
            <w:pPr>
              <w:spacing w:before="40" w:after="40"/>
              <w:jc w:val="right"/>
              <w:rPr>
                <w:color w:val="000000"/>
                <w:sz w:val="22"/>
                <w:lang w:val="sr-Cyrl-RS"/>
              </w:rPr>
            </w:pPr>
            <w:r w:rsidRPr="00EF2F18">
              <w:rPr>
                <w:color w:val="000000"/>
                <w:sz w:val="22"/>
                <w:lang w:val="sr-Cyrl-RS"/>
              </w:rPr>
              <w:t>4</w:t>
            </w:r>
            <w:r w:rsidR="00BD6E2D" w:rsidRPr="00EF2F18">
              <w:rPr>
                <w:color w:val="000000"/>
                <w:sz w:val="22"/>
                <w:lang w:val="sr-Cyrl-RS"/>
              </w:rPr>
              <w:t>06</w:t>
            </w:r>
          </w:p>
        </w:tc>
      </w:tr>
      <w:tr w:rsidR="00474641" w:rsidRPr="00EF2F18" w14:paraId="09FAA7E4" w14:textId="77777777" w:rsidTr="00B32107">
        <w:trPr>
          <w:trHeight w:val="223"/>
          <w:jc w:val="center"/>
        </w:trPr>
        <w:tc>
          <w:tcPr>
            <w:tcW w:w="1444" w:type="pct"/>
            <w:vAlign w:val="center"/>
          </w:tcPr>
          <w:p w14:paraId="1A0E8B75" w14:textId="77777777" w:rsidR="00474641" w:rsidRPr="00EF2F18" w:rsidRDefault="00474641" w:rsidP="00DC6CB5">
            <w:pPr>
              <w:spacing w:before="40" w:after="40"/>
              <w:rPr>
                <w:sz w:val="22"/>
                <w:lang w:val="sr-Cyrl-RS"/>
              </w:rPr>
            </w:pPr>
            <w:r w:rsidRPr="00EF2F18">
              <w:rPr>
                <w:sz w:val="22"/>
                <w:lang w:val="sr-Cyrl-RS"/>
              </w:rPr>
              <w:t>Пољопривреда</w:t>
            </w:r>
          </w:p>
        </w:tc>
        <w:tc>
          <w:tcPr>
            <w:tcW w:w="1305" w:type="pct"/>
          </w:tcPr>
          <w:p w14:paraId="3B08BFED" w14:textId="23F49049" w:rsidR="00474641" w:rsidRPr="00EF2F18" w:rsidRDefault="00347617" w:rsidP="00DC6CB5">
            <w:pPr>
              <w:spacing w:before="40" w:after="40"/>
              <w:jc w:val="right"/>
              <w:rPr>
                <w:sz w:val="22"/>
                <w:lang w:val="sr-Cyrl-RS"/>
              </w:rPr>
            </w:pPr>
            <w:r w:rsidRPr="00EF2F18">
              <w:rPr>
                <w:sz w:val="22"/>
                <w:lang w:val="sr-Cyrl-RS"/>
              </w:rPr>
              <w:t>664</w:t>
            </w:r>
          </w:p>
        </w:tc>
        <w:tc>
          <w:tcPr>
            <w:tcW w:w="1220" w:type="pct"/>
          </w:tcPr>
          <w:p w14:paraId="59B7B852" w14:textId="784FFB43" w:rsidR="00474641" w:rsidRPr="00EF2F18" w:rsidRDefault="007149D3" w:rsidP="00DC6CB5">
            <w:pPr>
              <w:spacing w:before="40" w:after="40"/>
              <w:jc w:val="right"/>
              <w:rPr>
                <w:sz w:val="22"/>
                <w:lang w:val="sr-Cyrl-RS"/>
              </w:rPr>
            </w:pPr>
            <w:r w:rsidRPr="00EF2F18">
              <w:rPr>
                <w:sz w:val="22"/>
                <w:lang w:val="sr-Cyrl-RS"/>
              </w:rPr>
              <w:t>580</w:t>
            </w:r>
          </w:p>
        </w:tc>
        <w:tc>
          <w:tcPr>
            <w:tcW w:w="1031" w:type="pct"/>
          </w:tcPr>
          <w:p w14:paraId="7826F7BB" w14:textId="75767B1E" w:rsidR="00474641" w:rsidRPr="00EF2F18" w:rsidRDefault="00347617" w:rsidP="00DC6CB5">
            <w:pPr>
              <w:spacing w:before="40" w:after="40"/>
              <w:jc w:val="right"/>
              <w:rPr>
                <w:color w:val="000000"/>
                <w:sz w:val="22"/>
                <w:lang w:val="sr-Cyrl-RS"/>
              </w:rPr>
            </w:pPr>
            <w:r w:rsidRPr="00EF2F18">
              <w:rPr>
                <w:color w:val="000000"/>
                <w:sz w:val="22"/>
                <w:lang w:val="sr-Cyrl-RS"/>
              </w:rPr>
              <w:t>84</w:t>
            </w:r>
          </w:p>
        </w:tc>
      </w:tr>
      <w:tr w:rsidR="00474641" w:rsidRPr="00EF2F18" w14:paraId="0450E576" w14:textId="77777777" w:rsidTr="00DC6CB5">
        <w:trPr>
          <w:trHeight w:val="223"/>
          <w:jc w:val="center"/>
        </w:trPr>
        <w:tc>
          <w:tcPr>
            <w:tcW w:w="1444" w:type="pct"/>
            <w:vAlign w:val="center"/>
          </w:tcPr>
          <w:p w14:paraId="7007791E" w14:textId="77777777" w:rsidR="00474641" w:rsidRPr="00EF2F18" w:rsidRDefault="00474641" w:rsidP="00DC6CB5">
            <w:pPr>
              <w:spacing w:before="40" w:after="40"/>
              <w:rPr>
                <w:sz w:val="22"/>
                <w:lang w:val="sr-Cyrl-RS"/>
              </w:rPr>
            </w:pPr>
            <w:r w:rsidRPr="00EF2F18">
              <w:rPr>
                <w:sz w:val="22"/>
                <w:lang w:val="sr-Cyrl-RS"/>
              </w:rPr>
              <w:t>Хоризонтална питања</w:t>
            </w:r>
          </w:p>
        </w:tc>
        <w:tc>
          <w:tcPr>
            <w:tcW w:w="1305" w:type="pct"/>
          </w:tcPr>
          <w:p w14:paraId="69BE62F1" w14:textId="5D5E1F90" w:rsidR="00474641" w:rsidRPr="00EF2F18" w:rsidRDefault="00474641" w:rsidP="00DC6CB5">
            <w:pPr>
              <w:spacing w:before="40" w:after="40"/>
              <w:jc w:val="right"/>
              <w:rPr>
                <w:sz w:val="22"/>
                <w:lang w:val="sr-Cyrl-RS"/>
              </w:rPr>
            </w:pPr>
            <w:r w:rsidRPr="00EF2F18">
              <w:rPr>
                <w:sz w:val="22"/>
                <w:lang w:val="sr-Cyrl-RS"/>
              </w:rPr>
              <w:t>9</w:t>
            </w:r>
            <w:r w:rsidR="00347617" w:rsidRPr="00EF2F18">
              <w:rPr>
                <w:sz w:val="22"/>
                <w:lang w:val="sr-Cyrl-RS"/>
              </w:rPr>
              <w:t>8</w:t>
            </w:r>
          </w:p>
        </w:tc>
        <w:tc>
          <w:tcPr>
            <w:tcW w:w="1220" w:type="pct"/>
          </w:tcPr>
          <w:p w14:paraId="47E698E2" w14:textId="77777777" w:rsidR="00474641" w:rsidRPr="00EF2F18" w:rsidRDefault="00474641" w:rsidP="00DC6CB5">
            <w:pPr>
              <w:spacing w:before="40" w:after="40"/>
              <w:jc w:val="right"/>
              <w:rPr>
                <w:sz w:val="22"/>
                <w:lang w:val="sr-Cyrl-RS"/>
              </w:rPr>
            </w:pPr>
            <w:r w:rsidRPr="00EF2F18">
              <w:rPr>
                <w:sz w:val="22"/>
                <w:lang w:val="sr-Cyrl-RS"/>
              </w:rPr>
              <w:t>-</w:t>
            </w:r>
          </w:p>
        </w:tc>
        <w:tc>
          <w:tcPr>
            <w:tcW w:w="1031" w:type="pct"/>
          </w:tcPr>
          <w:p w14:paraId="7483EE11" w14:textId="02DC9260" w:rsidR="00474641" w:rsidRPr="00EF2F18" w:rsidRDefault="002E5F6C" w:rsidP="00DC6CB5">
            <w:pPr>
              <w:spacing w:before="40" w:after="40"/>
              <w:jc w:val="right"/>
              <w:rPr>
                <w:color w:val="000000"/>
                <w:sz w:val="22"/>
                <w:lang w:val="sr-Cyrl-RS"/>
              </w:rPr>
            </w:pPr>
            <w:r w:rsidRPr="00EF2F18">
              <w:rPr>
                <w:color w:val="000000"/>
                <w:sz w:val="22"/>
                <w:lang w:val="sr-Cyrl-RS"/>
              </w:rPr>
              <w:t>9</w:t>
            </w:r>
            <w:r w:rsidR="00347617" w:rsidRPr="00EF2F18">
              <w:rPr>
                <w:color w:val="000000"/>
                <w:sz w:val="22"/>
                <w:lang w:val="sr-Cyrl-RS"/>
              </w:rPr>
              <w:t>8</w:t>
            </w:r>
          </w:p>
        </w:tc>
      </w:tr>
      <w:tr w:rsidR="000438F7" w:rsidRPr="00EF2F18" w14:paraId="757B3A28" w14:textId="77777777" w:rsidTr="00DC6CB5">
        <w:trPr>
          <w:trHeight w:val="377"/>
          <w:jc w:val="center"/>
        </w:trPr>
        <w:tc>
          <w:tcPr>
            <w:tcW w:w="1444" w:type="pct"/>
            <w:vAlign w:val="center"/>
          </w:tcPr>
          <w:p w14:paraId="2E7F86E8" w14:textId="77777777" w:rsidR="000438F7" w:rsidRPr="00EF2F18" w:rsidRDefault="000438F7" w:rsidP="000438F7">
            <w:pPr>
              <w:spacing w:before="40" w:after="40"/>
              <w:rPr>
                <w:b/>
                <w:bCs/>
                <w:sz w:val="22"/>
                <w:lang w:val="sr-Cyrl-RS"/>
              </w:rPr>
            </w:pPr>
            <w:r w:rsidRPr="00EF2F18">
              <w:rPr>
                <w:b/>
                <w:bCs/>
                <w:sz w:val="22"/>
                <w:lang w:val="sr-Cyrl-RS"/>
              </w:rPr>
              <w:t>УКУПНО</w:t>
            </w:r>
          </w:p>
        </w:tc>
        <w:tc>
          <w:tcPr>
            <w:tcW w:w="1305" w:type="pct"/>
            <w:vAlign w:val="center"/>
          </w:tcPr>
          <w:p w14:paraId="6D673E1B" w14:textId="2A3E166C" w:rsidR="000438F7" w:rsidRPr="00EF2F18" w:rsidRDefault="000438F7" w:rsidP="000438F7">
            <w:pPr>
              <w:spacing w:before="40" w:after="40"/>
              <w:jc w:val="right"/>
              <w:rPr>
                <w:b/>
                <w:bCs/>
                <w:sz w:val="22"/>
                <w:lang w:val="sr-Cyrl-RS"/>
              </w:rPr>
            </w:pPr>
            <w:r w:rsidRPr="00EF2F18">
              <w:rPr>
                <w:b/>
                <w:bCs/>
                <w:sz w:val="22"/>
                <w:lang w:val="sr-Cyrl-RS"/>
              </w:rPr>
              <w:t>27.</w:t>
            </w:r>
            <w:r w:rsidR="00C35C50" w:rsidRPr="00EF2F18">
              <w:rPr>
                <w:b/>
                <w:bCs/>
                <w:sz w:val="22"/>
                <w:lang w:val="sr-Cyrl-RS"/>
              </w:rPr>
              <w:t>2</w:t>
            </w:r>
            <w:r w:rsidR="00097F1A" w:rsidRPr="00EF2F18">
              <w:rPr>
                <w:b/>
                <w:bCs/>
                <w:sz w:val="22"/>
                <w:lang w:val="sr-Cyrl-RS"/>
              </w:rPr>
              <w:t>34</w:t>
            </w:r>
          </w:p>
        </w:tc>
        <w:tc>
          <w:tcPr>
            <w:tcW w:w="1220" w:type="pct"/>
            <w:vAlign w:val="center"/>
          </w:tcPr>
          <w:p w14:paraId="2CC68B1E" w14:textId="011BC607" w:rsidR="000438F7" w:rsidRPr="00EF2F18" w:rsidRDefault="000438F7" w:rsidP="000438F7">
            <w:pPr>
              <w:spacing w:before="40" w:after="40"/>
              <w:jc w:val="right"/>
              <w:rPr>
                <w:b/>
                <w:bCs/>
                <w:sz w:val="22"/>
                <w:highlight w:val="yellow"/>
                <w:lang w:val="sr-Cyrl-RS"/>
              </w:rPr>
            </w:pPr>
            <w:r w:rsidRPr="00EF2F18">
              <w:rPr>
                <w:b/>
                <w:bCs/>
                <w:color w:val="000000"/>
                <w:kern w:val="2"/>
                <w:sz w:val="22"/>
                <w:lang w:val="sr-Cyrl-RS"/>
                <w14:ligatures w14:val="standardContextual"/>
              </w:rPr>
              <w:t>1</w:t>
            </w:r>
            <w:r w:rsidR="007149D3" w:rsidRPr="00EF2F18">
              <w:rPr>
                <w:b/>
                <w:bCs/>
                <w:color w:val="000000"/>
                <w:kern w:val="2"/>
                <w:sz w:val="22"/>
                <w:lang w:val="sr-Cyrl-RS"/>
                <w14:ligatures w14:val="standardContextual"/>
              </w:rPr>
              <w:t>9</w:t>
            </w:r>
            <w:r w:rsidRPr="00EF2F18">
              <w:rPr>
                <w:b/>
                <w:bCs/>
                <w:color w:val="000000"/>
                <w:kern w:val="2"/>
                <w:sz w:val="22"/>
                <w:lang w:val="sr-Cyrl-RS"/>
                <w14:ligatures w14:val="standardContextual"/>
              </w:rPr>
              <w:t>.</w:t>
            </w:r>
            <w:r w:rsidR="007149D3" w:rsidRPr="00EF2F18">
              <w:rPr>
                <w:b/>
                <w:bCs/>
                <w:color w:val="000000"/>
                <w:kern w:val="2"/>
                <w:sz w:val="22"/>
                <w:lang w:val="sr-Cyrl-RS"/>
                <w14:ligatures w14:val="standardContextual"/>
              </w:rPr>
              <w:t>146</w:t>
            </w:r>
          </w:p>
        </w:tc>
        <w:tc>
          <w:tcPr>
            <w:tcW w:w="1031" w:type="pct"/>
            <w:vAlign w:val="center"/>
          </w:tcPr>
          <w:p w14:paraId="57D3DABC" w14:textId="5407E30E" w:rsidR="000438F7" w:rsidRPr="00EF2F18" w:rsidRDefault="00C35C50" w:rsidP="000438F7">
            <w:pPr>
              <w:spacing w:before="40" w:after="40"/>
              <w:jc w:val="right"/>
              <w:rPr>
                <w:b/>
                <w:bCs/>
                <w:sz w:val="22"/>
                <w:highlight w:val="yellow"/>
                <w:lang w:val="sr-Cyrl-RS"/>
              </w:rPr>
            </w:pPr>
            <w:r w:rsidRPr="00EF2F18">
              <w:rPr>
                <w:b/>
                <w:bCs/>
                <w:color w:val="000000"/>
                <w:kern w:val="2"/>
                <w:sz w:val="22"/>
                <w:lang w:val="sr-Cyrl-RS"/>
                <w14:ligatures w14:val="standardContextual"/>
              </w:rPr>
              <w:t>8</w:t>
            </w:r>
            <w:r w:rsidR="000438F7" w:rsidRPr="00EF2F18">
              <w:rPr>
                <w:b/>
                <w:bCs/>
                <w:color w:val="000000"/>
                <w:kern w:val="2"/>
                <w:sz w:val="22"/>
                <w:lang w:val="sr-Cyrl-RS"/>
                <w14:ligatures w14:val="standardContextual"/>
              </w:rPr>
              <w:t>.</w:t>
            </w:r>
            <w:r w:rsidRPr="00EF2F18">
              <w:rPr>
                <w:b/>
                <w:bCs/>
                <w:color w:val="000000"/>
                <w:kern w:val="2"/>
                <w:sz w:val="22"/>
                <w:lang w:val="sr-Cyrl-RS"/>
                <w14:ligatures w14:val="standardContextual"/>
              </w:rPr>
              <w:t>0</w:t>
            </w:r>
            <w:r w:rsidR="00097F1A" w:rsidRPr="00EF2F18">
              <w:rPr>
                <w:b/>
                <w:bCs/>
                <w:color w:val="000000"/>
                <w:kern w:val="2"/>
                <w:sz w:val="22"/>
                <w:lang w:val="sr-Cyrl-RS"/>
                <w14:ligatures w14:val="standardContextual"/>
              </w:rPr>
              <w:t>88</w:t>
            </w:r>
          </w:p>
        </w:tc>
      </w:tr>
    </w:tbl>
    <w:p w14:paraId="137304E6" w14:textId="4D4996F7" w:rsidR="00474641" w:rsidRPr="00EF2F18" w:rsidRDefault="00C87493" w:rsidP="00474641">
      <w:pPr>
        <w:spacing w:after="0"/>
        <w:jc w:val="both"/>
        <w:rPr>
          <w:rFonts w:cs="Times New Roman"/>
          <w:sz w:val="20"/>
          <w:szCs w:val="20"/>
          <w:lang w:val="sr-Cyrl-RS" w:eastAsia="en-GB"/>
        </w:rPr>
      </w:pPr>
      <w:r w:rsidRPr="00EF2F18">
        <w:rPr>
          <w:rFonts w:cs="Times New Roman"/>
          <w:sz w:val="22"/>
          <w:lang w:val="sr-Cyrl-RS" w:eastAsia="en-GB"/>
        </w:rPr>
        <w:t>*</w:t>
      </w:r>
      <w:r w:rsidR="009B15EB" w:rsidRPr="00EF2F18">
        <w:rPr>
          <w:rFonts w:cs="Times New Roman"/>
          <w:sz w:val="22"/>
          <w:lang w:val="sr-Cyrl-RS" w:eastAsia="en-GB"/>
        </w:rPr>
        <w:t xml:space="preserve"> </w:t>
      </w:r>
      <w:r w:rsidR="00C41539" w:rsidRPr="00EF2F18">
        <w:rPr>
          <w:rFonts w:cs="Times New Roman"/>
          <w:sz w:val="20"/>
          <w:szCs w:val="20"/>
          <w:lang w:val="sr-Cyrl-RS" w:eastAsia="en-GB"/>
        </w:rPr>
        <w:t xml:space="preserve">Нису урачунати трошкови примене механизма за усклађивање са ЕУ системом трговине </w:t>
      </w:r>
      <w:r w:rsidR="00C41539" w:rsidRPr="00EF2F18">
        <w:rPr>
          <w:rFonts w:cs="Times New Roman"/>
          <w:i/>
          <w:iCs/>
          <w:sz w:val="20"/>
          <w:szCs w:val="20"/>
          <w:lang w:val="sr-Cyrl-RS" w:eastAsia="en-GB"/>
        </w:rPr>
        <w:t>GHG</w:t>
      </w:r>
      <w:r w:rsidR="00161767">
        <w:rPr>
          <w:rFonts w:cs="Times New Roman"/>
          <w:sz w:val="20"/>
          <w:szCs w:val="20"/>
          <w:lang w:val="sr-Cyrl-RS" w:eastAsia="en-GB"/>
        </w:rPr>
        <w:t xml:space="preserve"> емисија</w:t>
      </w:r>
      <w:r w:rsidR="00C41539" w:rsidRPr="00EF2F18">
        <w:rPr>
          <w:rFonts w:cs="Times New Roman"/>
          <w:sz w:val="20"/>
          <w:szCs w:val="20"/>
          <w:lang w:val="sr-Cyrl-RS" w:eastAsia="en-GB"/>
        </w:rPr>
        <w:t>ма (ЕU ЕТS)</w:t>
      </w:r>
      <w:r w:rsidR="00A91045" w:rsidRPr="00EF2F18">
        <w:rPr>
          <w:rFonts w:cs="Times New Roman"/>
          <w:sz w:val="20"/>
          <w:szCs w:val="20"/>
          <w:lang w:val="sr-Cyrl-RS"/>
        </w:rPr>
        <w:t>.</w:t>
      </w:r>
    </w:p>
    <w:bookmarkEnd w:id="140"/>
    <w:p w14:paraId="6DBB1560" w14:textId="77777777" w:rsidR="002E5F6C" w:rsidRPr="00EF2F18" w:rsidRDefault="002E5F6C" w:rsidP="00474641">
      <w:pPr>
        <w:spacing w:after="0"/>
        <w:jc w:val="both"/>
        <w:rPr>
          <w:rFonts w:cs="Times New Roman"/>
          <w:sz w:val="22"/>
          <w:lang w:val="sr-Cyrl-RS" w:eastAsia="en-GB"/>
        </w:rPr>
      </w:pPr>
    </w:p>
    <w:p w14:paraId="07DE0EA0" w14:textId="0B685A27" w:rsidR="00172209" w:rsidRPr="00EF2F18" w:rsidRDefault="00474641" w:rsidP="00474641">
      <w:pPr>
        <w:spacing w:after="0"/>
        <w:ind w:firstLine="720"/>
        <w:jc w:val="both"/>
        <w:rPr>
          <w:rFonts w:cs="Times New Roman"/>
          <w:sz w:val="22"/>
          <w:lang w:val="sr-Cyrl-RS" w:eastAsia="en-GB"/>
        </w:rPr>
      </w:pPr>
      <w:r w:rsidRPr="00EF2F18">
        <w:rPr>
          <w:rFonts w:cs="Times New Roman"/>
          <w:b/>
          <w:bCs/>
          <w:sz w:val="22"/>
          <w:lang w:val="sr-Cyrl-RS"/>
        </w:rPr>
        <w:t xml:space="preserve">За </w:t>
      </w:r>
      <w:r w:rsidR="00B27FCA" w:rsidRPr="00EF2F18">
        <w:rPr>
          <w:rFonts w:cs="Times New Roman"/>
          <w:b/>
          <w:bCs/>
          <w:sz w:val="22"/>
          <w:lang w:val="sr-Cyrl-RS"/>
        </w:rPr>
        <w:t>остваривање циљева</w:t>
      </w:r>
      <w:r w:rsidRPr="00EF2F18">
        <w:rPr>
          <w:rFonts w:cs="Times New Roman"/>
          <w:b/>
          <w:bCs/>
          <w:sz w:val="22"/>
          <w:lang w:val="sr-Cyrl-RS"/>
        </w:rPr>
        <w:t xml:space="preserve"> Стратегије у периоду </w:t>
      </w:r>
      <w:r w:rsidR="0099367E" w:rsidRPr="00EF2F18">
        <w:rPr>
          <w:rFonts w:cs="Times New Roman"/>
          <w:b/>
          <w:bCs/>
          <w:sz w:val="22"/>
          <w:lang w:val="sr-Cyrl-RS"/>
        </w:rPr>
        <w:t xml:space="preserve">до </w:t>
      </w:r>
      <w:r w:rsidRPr="00EF2F18">
        <w:rPr>
          <w:rFonts w:cs="Times New Roman"/>
          <w:b/>
          <w:bCs/>
          <w:sz w:val="22"/>
          <w:lang w:val="sr-Cyrl-RS"/>
        </w:rPr>
        <w:t xml:space="preserve">2033. </w:t>
      </w:r>
      <w:r w:rsidR="0099367E" w:rsidRPr="00EF2F18">
        <w:rPr>
          <w:rFonts w:cs="Times New Roman"/>
          <w:b/>
          <w:bCs/>
          <w:sz w:val="22"/>
          <w:lang w:val="sr-Cyrl-RS"/>
        </w:rPr>
        <w:t xml:space="preserve">године </w:t>
      </w:r>
      <w:r w:rsidRPr="00EF2F18">
        <w:rPr>
          <w:rFonts w:cs="Times New Roman"/>
          <w:b/>
          <w:bCs/>
          <w:sz w:val="22"/>
          <w:lang w:val="sr-Cyrl-RS"/>
        </w:rPr>
        <w:t>неопходно је обезбедити 27</w:t>
      </w:r>
      <w:r w:rsidR="00C35C50" w:rsidRPr="00EF2F18">
        <w:rPr>
          <w:rFonts w:cs="Times New Roman"/>
          <w:b/>
          <w:bCs/>
          <w:sz w:val="22"/>
          <w:lang w:val="sr-Cyrl-RS"/>
        </w:rPr>
        <w:t>,23</w:t>
      </w:r>
      <w:r w:rsidR="00195289" w:rsidRPr="00EF2F18">
        <w:rPr>
          <w:rFonts w:cs="Times New Roman"/>
          <w:b/>
          <w:bCs/>
          <w:sz w:val="22"/>
          <w:lang w:val="sr-Cyrl-RS"/>
        </w:rPr>
        <w:t xml:space="preserve"> </w:t>
      </w:r>
      <w:r w:rsidR="00C35C50" w:rsidRPr="00EF2F18">
        <w:rPr>
          <w:rFonts w:cs="Times New Roman"/>
          <w:b/>
          <w:bCs/>
          <w:sz w:val="22"/>
          <w:lang w:val="sr-Cyrl-RS"/>
        </w:rPr>
        <w:t xml:space="preserve">милијарде </w:t>
      </w:r>
      <w:r w:rsidR="00DD0F76" w:rsidRPr="00EF2F18">
        <w:rPr>
          <w:rFonts w:cs="Times New Roman"/>
          <w:b/>
          <w:bCs/>
          <w:sz w:val="22"/>
          <w:lang w:val="sr-Cyrl-RS"/>
        </w:rPr>
        <w:t>ЕУР</w:t>
      </w:r>
      <w:r w:rsidRPr="00EF2F18">
        <w:rPr>
          <w:rFonts w:cs="Times New Roman"/>
          <w:b/>
          <w:bCs/>
          <w:sz w:val="22"/>
          <w:lang w:val="sr-Cyrl-RS"/>
        </w:rPr>
        <w:t xml:space="preserve">. До сада је кроз постојећа планска документа која покривају дате области и секторе препознато и планирано </w:t>
      </w:r>
      <w:r w:rsidR="002E5F6C" w:rsidRPr="00EF2F18">
        <w:rPr>
          <w:rFonts w:cs="Times New Roman"/>
          <w:b/>
          <w:bCs/>
          <w:sz w:val="22"/>
          <w:lang w:val="sr-Cyrl-RS"/>
        </w:rPr>
        <w:t>19</w:t>
      </w:r>
      <w:r w:rsidRPr="00EF2F18">
        <w:rPr>
          <w:rFonts w:cs="Times New Roman"/>
          <w:b/>
          <w:bCs/>
          <w:sz w:val="22"/>
          <w:lang w:val="sr-Cyrl-RS"/>
        </w:rPr>
        <w:t>,</w:t>
      </w:r>
      <w:r w:rsidR="0044403F" w:rsidRPr="00EF2F18">
        <w:rPr>
          <w:rFonts w:cs="Times New Roman"/>
          <w:b/>
          <w:bCs/>
          <w:sz w:val="22"/>
          <w:lang w:val="sr-Cyrl-RS"/>
        </w:rPr>
        <w:t>15</w:t>
      </w:r>
      <w:r w:rsidRPr="00EF2F18">
        <w:rPr>
          <w:rFonts w:cs="Times New Roman"/>
          <w:b/>
          <w:bCs/>
          <w:sz w:val="22"/>
          <w:lang w:val="sr-Cyrl-RS"/>
        </w:rPr>
        <w:t xml:space="preserve"> милијарди </w:t>
      </w:r>
      <w:r w:rsidR="00DD0F76" w:rsidRPr="00EF2F18">
        <w:rPr>
          <w:rFonts w:cs="Times New Roman"/>
          <w:b/>
          <w:bCs/>
          <w:sz w:val="22"/>
          <w:lang w:val="sr-Cyrl-RS"/>
        </w:rPr>
        <w:t>ЕУР</w:t>
      </w:r>
      <w:r w:rsidRPr="00EF2F18">
        <w:rPr>
          <w:rFonts w:cs="Times New Roman"/>
          <w:b/>
          <w:bCs/>
          <w:sz w:val="22"/>
          <w:lang w:val="sr-Cyrl-RS"/>
        </w:rPr>
        <w:t>. Ова Стратегија предвиђа још</w:t>
      </w:r>
      <w:r w:rsidR="00B27FCA" w:rsidRPr="00EF2F18">
        <w:rPr>
          <w:rFonts w:cs="Times New Roman"/>
          <w:b/>
          <w:bCs/>
          <w:sz w:val="22"/>
          <w:lang w:val="sr-Cyrl-RS"/>
        </w:rPr>
        <w:t xml:space="preserve"> додатних </w:t>
      </w:r>
      <w:r w:rsidR="00C35C50" w:rsidRPr="00EF2F18">
        <w:rPr>
          <w:rFonts w:cs="Times New Roman"/>
          <w:b/>
          <w:bCs/>
          <w:sz w:val="22"/>
          <w:lang w:val="sr-Cyrl-RS"/>
        </w:rPr>
        <w:t>8</w:t>
      </w:r>
      <w:r w:rsidRPr="00EF2F18">
        <w:rPr>
          <w:rFonts w:cs="Times New Roman"/>
          <w:b/>
          <w:bCs/>
          <w:sz w:val="22"/>
          <w:lang w:val="sr-Cyrl-RS"/>
        </w:rPr>
        <w:t>,</w:t>
      </w:r>
      <w:r w:rsidR="00C35C50" w:rsidRPr="00EF2F18">
        <w:rPr>
          <w:rFonts w:cs="Times New Roman"/>
          <w:b/>
          <w:bCs/>
          <w:sz w:val="22"/>
          <w:lang w:val="sr-Cyrl-RS"/>
        </w:rPr>
        <w:t>0</w:t>
      </w:r>
      <w:r w:rsidR="00097F1A" w:rsidRPr="00EF2F18">
        <w:rPr>
          <w:rFonts w:cs="Times New Roman"/>
          <w:b/>
          <w:bCs/>
          <w:sz w:val="22"/>
          <w:lang w:val="sr-Cyrl-RS"/>
        </w:rPr>
        <w:t>9</w:t>
      </w:r>
      <w:r w:rsidR="00C35C50" w:rsidRPr="00EF2F18">
        <w:rPr>
          <w:rFonts w:cs="Times New Roman"/>
          <w:b/>
          <w:bCs/>
          <w:sz w:val="22"/>
          <w:lang w:val="sr-Cyrl-RS"/>
        </w:rPr>
        <w:t xml:space="preserve"> </w:t>
      </w:r>
      <w:r w:rsidR="00301DBD" w:rsidRPr="00EF2F18">
        <w:rPr>
          <w:rFonts w:cs="Times New Roman"/>
          <w:b/>
          <w:bCs/>
          <w:sz w:val="22"/>
          <w:lang w:val="sr-Cyrl-RS"/>
        </w:rPr>
        <w:t xml:space="preserve">милијарди </w:t>
      </w:r>
      <w:r w:rsidR="00DD0F76" w:rsidRPr="00EF2F18">
        <w:rPr>
          <w:rFonts w:cs="Times New Roman"/>
          <w:b/>
          <w:bCs/>
          <w:sz w:val="22"/>
          <w:lang w:val="sr-Cyrl-RS"/>
        </w:rPr>
        <w:t>ЕУР</w:t>
      </w:r>
      <w:r w:rsidRPr="00EF2F18">
        <w:rPr>
          <w:rFonts w:cs="Times New Roman"/>
          <w:b/>
          <w:bCs/>
          <w:sz w:val="22"/>
          <w:lang w:val="sr-Cyrl-RS"/>
        </w:rPr>
        <w:t xml:space="preserve"> за трошкове који нису обухваћени постојећим планским документима.</w:t>
      </w:r>
      <w:r w:rsidR="00A87A45" w:rsidRPr="00EF2F18">
        <w:rPr>
          <w:rFonts w:cs="Times New Roman"/>
          <w:b/>
          <w:bCs/>
          <w:sz w:val="22"/>
          <w:lang w:val="sr-Cyrl-RS"/>
        </w:rPr>
        <w:t xml:space="preserve"> </w:t>
      </w:r>
      <w:r w:rsidR="006438DE" w:rsidRPr="00EF2F18">
        <w:rPr>
          <w:rFonts w:cs="Times New Roman"/>
          <w:sz w:val="22"/>
          <w:lang w:val="sr-Cyrl-RS"/>
        </w:rPr>
        <w:t>Овде н</w:t>
      </w:r>
      <w:r w:rsidR="006438DE" w:rsidRPr="00EF2F18">
        <w:rPr>
          <w:rFonts w:cs="Times New Roman"/>
          <w:sz w:val="22"/>
          <w:lang w:val="sr-Cyrl-RS" w:eastAsia="en-GB"/>
        </w:rPr>
        <w:t xml:space="preserve">ису урачунати трошкови примене механизма за усклађивање са ЕУ системом трговине </w:t>
      </w:r>
      <w:r w:rsidR="006438DE" w:rsidRPr="00EF2F18">
        <w:rPr>
          <w:rFonts w:cs="Times New Roman"/>
          <w:i/>
          <w:iCs/>
          <w:sz w:val="22"/>
          <w:lang w:val="sr-Cyrl-RS" w:eastAsia="en-GB"/>
        </w:rPr>
        <w:t>GHG</w:t>
      </w:r>
      <w:r w:rsidR="00161767">
        <w:rPr>
          <w:rFonts w:cs="Times New Roman"/>
          <w:sz w:val="22"/>
          <w:lang w:val="sr-Cyrl-RS" w:eastAsia="en-GB"/>
        </w:rPr>
        <w:t xml:space="preserve"> емисија</w:t>
      </w:r>
      <w:r w:rsidR="006438DE" w:rsidRPr="00EF2F18">
        <w:rPr>
          <w:rFonts w:cs="Times New Roman"/>
          <w:sz w:val="22"/>
          <w:lang w:val="sr-Cyrl-RS" w:eastAsia="en-GB"/>
        </w:rPr>
        <w:t>ма (ЕU ЕТS).</w:t>
      </w:r>
    </w:p>
    <w:p w14:paraId="3E088F2A" w14:textId="38AD0E77" w:rsidR="00305B8A" w:rsidRPr="00EF2F18" w:rsidRDefault="00305B8A" w:rsidP="00305B8A">
      <w:pPr>
        <w:pStyle w:val="Default"/>
        <w:ind w:firstLine="720"/>
        <w:jc w:val="both"/>
        <w:rPr>
          <w:rFonts w:ascii="Times New Roman" w:hAnsi="Times New Roman" w:cs="Times New Roman"/>
          <w:color w:val="auto"/>
          <w:sz w:val="22"/>
          <w:szCs w:val="22"/>
          <w:lang w:val="sr-Cyrl-RS"/>
        </w:rPr>
      </w:pPr>
      <w:r w:rsidRPr="00EF2F18">
        <w:rPr>
          <w:rFonts w:ascii="Times New Roman" w:hAnsi="Times New Roman" w:cs="Times New Roman"/>
          <w:sz w:val="22"/>
          <w:szCs w:val="22"/>
          <w:lang w:val="sr-Cyrl-RS"/>
        </w:rPr>
        <w:t xml:space="preserve">Средства која су већ </w:t>
      </w:r>
      <w:r w:rsidR="001405C2" w:rsidRPr="00EF2F18">
        <w:rPr>
          <w:rFonts w:ascii="Times New Roman" w:hAnsi="Times New Roman" w:cs="Times New Roman"/>
          <w:sz w:val="22"/>
          <w:szCs w:val="22"/>
          <w:lang w:val="sr-Cyrl-RS"/>
        </w:rPr>
        <w:t>aлоцирана</w:t>
      </w:r>
      <w:r w:rsidRPr="00EF2F18">
        <w:rPr>
          <w:rFonts w:ascii="Times New Roman" w:hAnsi="Times New Roman" w:cs="Times New Roman"/>
          <w:sz w:val="22"/>
          <w:szCs w:val="22"/>
          <w:lang w:val="sr-Cyrl-RS"/>
        </w:rPr>
        <w:t xml:space="preserve">, поред прихода из буџета Републике Србије, кроз кредитне линије (око 4,7 милијарде ЕУР) представљају </w:t>
      </w:r>
      <w:r w:rsidRPr="00EF2F18">
        <w:rPr>
          <w:rFonts w:ascii="Times New Roman" w:hAnsi="Times New Roman" w:cs="Times New Roman"/>
          <w:color w:val="auto"/>
          <w:sz w:val="22"/>
          <w:szCs w:val="22"/>
          <w:lang w:val="sr-Cyrl-RS"/>
        </w:rPr>
        <w:t>значајан део укупних улагања у животну средину у свим секторима, а посебно за пречишћавање отпадних вода и управљање отпадом. Процена показује да је око 381 милион ЕУР у имплементацији или програмирано из фондова ЕУ (не укључујући национално суфинансирање и оперативни програм за 2024-2027.). Различити билатерални грантови доприносе инвестицији са око 90,8 милиона ЕУР.</w:t>
      </w:r>
    </w:p>
    <w:p w14:paraId="69690CC8" w14:textId="77777777" w:rsidR="00305B8A" w:rsidRPr="00EF2F18" w:rsidRDefault="00305B8A" w:rsidP="00305B8A">
      <w:pPr>
        <w:pStyle w:val="Default"/>
        <w:ind w:firstLine="720"/>
        <w:jc w:val="both"/>
        <w:rPr>
          <w:rFonts w:ascii="Times New Roman" w:hAnsi="Times New Roman" w:cs="Times New Roman"/>
          <w:color w:val="auto"/>
          <w:sz w:val="22"/>
          <w:szCs w:val="22"/>
          <w:lang w:val="sr-Cyrl-RS"/>
        </w:rPr>
      </w:pPr>
    </w:p>
    <w:p w14:paraId="1A500A8F" w14:textId="79C732D2" w:rsidR="00FB7412" w:rsidRPr="00EF2F18" w:rsidRDefault="00281C40" w:rsidP="009A3879">
      <w:pPr>
        <w:pStyle w:val="Heading3"/>
        <w:numPr>
          <w:ilvl w:val="2"/>
          <w:numId w:val="2"/>
        </w:numPr>
        <w:ind w:hanging="360"/>
        <w:rPr>
          <w:rFonts w:cs="Times New Roman"/>
          <w:sz w:val="22"/>
          <w:szCs w:val="22"/>
          <w:lang w:val="sr-Cyrl-RS"/>
        </w:rPr>
      </w:pPr>
      <w:bookmarkStart w:id="141" w:name="_Toc158307745"/>
      <w:r w:rsidRPr="00EF2F18">
        <w:rPr>
          <w:rFonts w:cs="Times New Roman"/>
          <w:sz w:val="22"/>
          <w:szCs w:val="22"/>
          <w:lang w:val="sr-Cyrl-RS"/>
        </w:rPr>
        <w:t>Извори финансирања</w:t>
      </w:r>
      <w:r w:rsidR="003D3FAA" w:rsidRPr="00EF2F18">
        <w:rPr>
          <w:rFonts w:cs="Times New Roman"/>
          <w:sz w:val="22"/>
          <w:szCs w:val="22"/>
          <w:lang w:val="sr-Cyrl-RS"/>
        </w:rPr>
        <w:t xml:space="preserve"> и финансијски инструменти</w:t>
      </w:r>
      <w:bookmarkEnd w:id="141"/>
    </w:p>
    <w:p w14:paraId="196417B8" w14:textId="77777777" w:rsidR="00A87A45" w:rsidRPr="00EF2F18" w:rsidRDefault="001B5962" w:rsidP="007515EF">
      <w:pPr>
        <w:spacing w:after="0"/>
        <w:ind w:firstLine="720"/>
        <w:jc w:val="both"/>
        <w:rPr>
          <w:rFonts w:cs="Times New Roman"/>
          <w:sz w:val="22"/>
          <w:lang w:val="sr-Cyrl-RS"/>
        </w:rPr>
      </w:pPr>
      <w:r w:rsidRPr="00EF2F18">
        <w:rPr>
          <w:rFonts w:cs="Times New Roman"/>
          <w:sz w:val="22"/>
          <w:lang w:val="sr-Cyrl-RS"/>
        </w:rPr>
        <w:t>Имплементација мера и активности и испуњавање циљева Стратегије заштите животне средине – Зелена агенда за Србију, захтеваће значајна улагања како из јавног сектора тако и из приватног сектора и подршку међународних организација. За ову сврху Републик</w:t>
      </w:r>
      <w:r w:rsidR="00454E0C" w:rsidRPr="00EF2F18">
        <w:rPr>
          <w:rFonts w:cs="Times New Roman"/>
          <w:sz w:val="22"/>
          <w:lang w:val="sr-Cyrl-RS"/>
        </w:rPr>
        <w:t>а</w:t>
      </w:r>
      <w:r w:rsidRPr="00EF2F18">
        <w:rPr>
          <w:rFonts w:cs="Times New Roman"/>
          <w:sz w:val="22"/>
          <w:lang w:val="sr-Cyrl-RS"/>
        </w:rPr>
        <w:t xml:space="preserve"> Србиј</w:t>
      </w:r>
      <w:r w:rsidR="00454E0C" w:rsidRPr="00EF2F18">
        <w:rPr>
          <w:rFonts w:cs="Times New Roman"/>
          <w:sz w:val="22"/>
          <w:lang w:val="sr-Cyrl-RS"/>
        </w:rPr>
        <w:t>а</w:t>
      </w:r>
      <w:r w:rsidRPr="00EF2F18">
        <w:rPr>
          <w:rFonts w:cs="Times New Roman"/>
          <w:sz w:val="22"/>
          <w:lang w:val="sr-Cyrl-RS"/>
        </w:rPr>
        <w:t xml:space="preserve"> има на располагању више финансијских инструмената који се могу користити за финансирање одрживих пројеката. </w:t>
      </w:r>
      <w:r w:rsidR="007515EF" w:rsidRPr="00EF2F18">
        <w:rPr>
          <w:rFonts w:cs="Times New Roman"/>
          <w:sz w:val="22"/>
          <w:lang w:val="sr-Cyrl-RS"/>
        </w:rPr>
        <w:t>Избор и подобност финансијских инструмената зависиће од типа пројекта који се финанс</w:t>
      </w:r>
      <w:r w:rsidR="00E12124" w:rsidRPr="00EF2F18">
        <w:rPr>
          <w:rFonts w:cs="Times New Roman"/>
          <w:sz w:val="22"/>
          <w:lang w:val="sr-Cyrl-RS"/>
        </w:rPr>
        <w:t>и</w:t>
      </w:r>
      <w:r w:rsidR="007515EF" w:rsidRPr="00EF2F18">
        <w:rPr>
          <w:rFonts w:cs="Times New Roman"/>
          <w:sz w:val="22"/>
          <w:lang w:val="sr-Cyrl-RS"/>
        </w:rPr>
        <w:t xml:space="preserve">ра, подобности регулаторног оквира, економских претпоставки и услова за његову примену, као и интереса донора и инвеститора. Претходно је потребно успоставити адекватну сарадњу између локалних заинтересованих страна и финансијских и међународних </w:t>
      </w:r>
      <w:r w:rsidR="007515EF" w:rsidRPr="00EF2F18">
        <w:rPr>
          <w:rFonts w:cs="Times New Roman"/>
          <w:sz w:val="22"/>
          <w:lang w:val="sr-Cyrl-RS"/>
        </w:rPr>
        <w:lastRenderedPageBreak/>
        <w:t>институција како би се опсег и садржина финансијс</w:t>
      </w:r>
      <w:r w:rsidR="00454E0C" w:rsidRPr="00EF2F18">
        <w:rPr>
          <w:rFonts w:cs="Times New Roman"/>
          <w:sz w:val="22"/>
          <w:lang w:val="sr-Cyrl-RS"/>
        </w:rPr>
        <w:t>к</w:t>
      </w:r>
      <w:r w:rsidR="007515EF" w:rsidRPr="00EF2F18">
        <w:rPr>
          <w:rFonts w:cs="Times New Roman"/>
          <w:sz w:val="22"/>
          <w:lang w:val="sr-Cyrl-RS"/>
        </w:rPr>
        <w:t xml:space="preserve">их инструмената прилагодила специфичним потребама и циљевима Стратегије. </w:t>
      </w:r>
    </w:p>
    <w:p w14:paraId="287B26BA" w14:textId="3324CC8C" w:rsidR="001B5962" w:rsidRPr="00EF2F18" w:rsidRDefault="007515EF" w:rsidP="007515EF">
      <w:pPr>
        <w:spacing w:after="0"/>
        <w:ind w:firstLine="720"/>
        <w:jc w:val="both"/>
        <w:rPr>
          <w:rFonts w:cs="Times New Roman"/>
          <w:sz w:val="22"/>
          <w:lang w:val="sr-Cyrl-RS"/>
        </w:rPr>
      </w:pPr>
      <w:r w:rsidRPr="00EF2F18">
        <w:rPr>
          <w:rFonts w:cs="Times New Roman"/>
          <w:sz w:val="22"/>
          <w:lang w:val="sr-Cyrl-RS"/>
        </w:rPr>
        <w:t xml:space="preserve">За финансирање мера и активности и испуњавање циљева Стратегије </w:t>
      </w:r>
      <w:r w:rsidR="00DF3C30" w:rsidRPr="00EF2F18">
        <w:rPr>
          <w:rFonts w:cs="Times New Roman"/>
          <w:sz w:val="22"/>
          <w:lang w:val="sr-Cyrl-RS"/>
        </w:rPr>
        <w:t>могу</w:t>
      </w:r>
      <w:r w:rsidR="004524FC" w:rsidRPr="00EF2F18">
        <w:rPr>
          <w:rFonts w:cs="Times New Roman"/>
          <w:sz w:val="22"/>
          <w:lang w:val="sr-Cyrl-RS"/>
        </w:rPr>
        <w:t xml:space="preserve"> </w:t>
      </w:r>
      <w:r w:rsidRPr="00EF2F18">
        <w:rPr>
          <w:rFonts w:cs="Times New Roman"/>
          <w:sz w:val="22"/>
          <w:lang w:val="sr-Cyrl-RS"/>
        </w:rPr>
        <w:t xml:space="preserve">се користити следећи </w:t>
      </w:r>
      <w:r w:rsidR="004524FC" w:rsidRPr="00EF2F18">
        <w:rPr>
          <w:rFonts w:cs="Times New Roman"/>
          <w:sz w:val="22"/>
          <w:lang w:val="sr-Cyrl-RS"/>
        </w:rPr>
        <w:t xml:space="preserve">извори </w:t>
      </w:r>
      <w:r w:rsidRPr="00EF2F18">
        <w:rPr>
          <w:rFonts w:cs="Times New Roman"/>
          <w:sz w:val="22"/>
          <w:lang w:val="sr-Cyrl-RS"/>
        </w:rPr>
        <w:t>финанси</w:t>
      </w:r>
      <w:r w:rsidR="004524FC" w:rsidRPr="00EF2F18">
        <w:rPr>
          <w:rFonts w:cs="Times New Roman"/>
          <w:sz w:val="22"/>
          <w:lang w:val="sr-Cyrl-RS"/>
        </w:rPr>
        <w:t>рања</w:t>
      </w:r>
      <w:r w:rsidR="001B5962" w:rsidRPr="00EF2F18">
        <w:rPr>
          <w:rFonts w:cs="Times New Roman"/>
          <w:sz w:val="22"/>
          <w:lang w:val="sr-Cyrl-RS"/>
        </w:rPr>
        <w:t>:</w:t>
      </w:r>
    </w:p>
    <w:p w14:paraId="0F3830FF" w14:textId="77777777" w:rsidR="006B4514" w:rsidRPr="00EF2F18" w:rsidRDefault="006B4514" w:rsidP="006B4514">
      <w:pPr>
        <w:spacing w:after="0"/>
        <w:jc w:val="both"/>
        <w:rPr>
          <w:rFonts w:cs="Times New Roman"/>
          <w:sz w:val="22"/>
          <w:lang w:val="sr-Cyrl-RS"/>
        </w:rPr>
      </w:pPr>
      <w:bookmarkStart w:id="142" w:name="_Hlk141091958"/>
    </w:p>
    <w:p w14:paraId="6DA0DE1A" w14:textId="2AA821B3" w:rsidR="00833BEB" w:rsidRPr="00EF2F18" w:rsidRDefault="00F21C22" w:rsidP="00EE6F5A">
      <w:pPr>
        <w:spacing w:before="120"/>
        <w:ind w:firstLine="360"/>
        <w:jc w:val="both"/>
        <w:rPr>
          <w:sz w:val="22"/>
          <w:lang w:val="sr-Cyrl-RS"/>
        </w:rPr>
      </w:pPr>
      <w:r w:rsidRPr="00EF2F18">
        <w:rPr>
          <w:b/>
          <w:bCs/>
          <w:i/>
          <w:iCs/>
          <w:sz w:val="22"/>
          <w:lang w:val="sr-Cyrl-RS"/>
        </w:rPr>
        <w:t>Средства буџета</w:t>
      </w:r>
    </w:p>
    <w:p w14:paraId="4F757159" w14:textId="0C3CEBB9" w:rsidR="00833BEB" w:rsidRPr="00EF2F18" w:rsidRDefault="00F21C22" w:rsidP="00313E8E">
      <w:pPr>
        <w:pStyle w:val="ListParagraph"/>
        <w:numPr>
          <w:ilvl w:val="0"/>
          <w:numId w:val="50"/>
        </w:numPr>
        <w:spacing w:before="120"/>
        <w:jc w:val="both"/>
        <w:rPr>
          <w:b/>
          <w:bCs/>
          <w:sz w:val="22"/>
          <w:lang w:val="sr-Cyrl-RS"/>
        </w:rPr>
      </w:pPr>
      <w:r w:rsidRPr="00EF2F18">
        <w:rPr>
          <w:b/>
          <w:bCs/>
          <w:sz w:val="22"/>
          <w:lang w:val="sr-Cyrl-RS"/>
        </w:rPr>
        <w:t>Средства буџета</w:t>
      </w:r>
      <w:r w:rsidR="00833BEB" w:rsidRPr="00EF2F18">
        <w:rPr>
          <w:b/>
          <w:bCs/>
          <w:sz w:val="22"/>
          <w:lang w:val="sr-Cyrl-RS"/>
        </w:rPr>
        <w:t xml:space="preserve"> (</w:t>
      </w:r>
      <w:r w:rsidRPr="00EF2F18">
        <w:rPr>
          <w:b/>
          <w:bCs/>
          <w:sz w:val="22"/>
          <w:lang w:val="sr-Cyrl-RS"/>
        </w:rPr>
        <w:t>републички, покрајински и буџети локалних самоуправа)</w:t>
      </w:r>
    </w:p>
    <w:p w14:paraId="0C5E4ED2" w14:textId="6C7DAE95" w:rsidR="006B449E" w:rsidRPr="00EF2F18" w:rsidRDefault="00CA27E5" w:rsidP="00CB12C0">
      <w:pPr>
        <w:spacing w:before="120"/>
        <w:ind w:firstLine="720"/>
        <w:jc w:val="both"/>
        <w:rPr>
          <w:b/>
          <w:bCs/>
          <w:i/>
          <w:iCs/>
          <w:lang w:val="sr-Cyrl-RS"/>
        </w:rPr>
      </w:pPr>
      <w:r w:rsidRPr="00EF2F18">
        <w:rPr>
          <w:sz w:val="22"/>
          <w:lang w:val="sr-Cyrl-RS"/>
        </w:rPr>
        <w:t>Главни домаћи извор финансирања заштите животне средине је буџет Републике Србије, а расподела средстава зависи од могућности биланса буџета. Остали извори укључују буџете</w:t>
      </w:r>
      <w:r w:rsidR="000964E6" w:rsidRPr="00EF2F18">
        <w:rPr>
          <w:sz w:val="22"/>
          <w:lang w:val="sr-Cyrl-RS"/>
        </w:rPr>
        <w:t xml:space="preserve"> јединица локалних самоуправа</w:t>
      </w:r>
      <w:r w:rsidRPr="00EF2F18">
        <w:rPr>
          <w:sz w:val="22"/>
          <w:lang w:val="sr-Cyrl-RS"/>
        </w:rPr>
        <w:t>, приходе од накнада и такси, као и фондове комерцијалног сектора. Према Закону о буџету за сваку годину, издвајају се финансијска средства за заштиту животне срединe.</w:t>
      </w:r>
    </w:p>
    <w:p w14:paraId="3D879096" w14:textId="5BF97730" w:rsidR="00833BEB" w:rsidRPr="00EF2F18" w:rsidRDefault="00F21C22" w:rsidP="00EE6F5A">
      <w:pPr>
        <w:spacing w:before="120"/>
        <w:ind w:firstLine="360"/>
        <w:jc w:val="both"/>
        <w:rPr>
          <w:sz w:val="22"/>
          <w:lang w:val="sr-Cyrl-RS"/>
        </w:rPr>
      </w:pPr>
      <w:r w:rsidRPr="00EF2F18">
        <w:rPr>
          <w:b/>
          <w:bCs/>
          <w:i/>
          <w:iCs/>
          <w:sz w:val="22"/>
          <w:lang w:val="sr-Cyrl-RS"/>
        </w:rPr>
        <w:t>Фондови ЕУ</w:t>
      </w:r>
    </w:p>
    <w:p w14:paraId="14C2AEAD" w14:textId="17512F7F" w:rsidR="00833BEB" w:rsidRPr="00EF2F18" w:rsidRDefault="00F21C22" w:rsidP="00313E8E">
      <w:pPr>
        <w:pStyle w:val="ListParagraph"/>
        <w:numPr>
          <w:ilvl w:val="0"/>
          <w:numId w:val="21"/>
        </w:numPr>
        <w:spacing w:before="120"/>
        <w:jc w:val="both"/>
        <w:rPr>
          <w:sz w:val="22"/>
          <w:lang w:val="sr-Cyrl-RS"/>
        </w:rPr>
      </w:pPr>
      <w:r w:rsidRPr="00EF2F18">
        <w:rPr>
          <w:b/>
          <w:bCs/>
          <w:sz w:val="22"/>
          <w:lang w:val="sr-Cyrl-RS"/>
        </w:rPr>
        <w:t>Национални</w:t>
      </w:r>
      <w:r w:rsidR="00833BEB" w:rsidRPr="00EF2F18">
        <w:rPr>
          <w:b/>
          <w:bCs/>
          <w:sz w:val="22"/>
          <w:lang w:val="sr-Cyrl-RS"/>
        </w:rPr>
        <w:t xml:space="preserve"> IPA </w:t>
      </w:r>
      <w:r w:rsidRPr="00EF2F18">
        <w:rPr>
          <w:b/>
          <w:bCs/>
          <w:sz w:val="22"/>
          <w:lang w:val="sr-Cyrl-RS"/>
        </w:rPr>
        <w:t>програми</w:t>
      </w:r>
      <w:r w:rsidR="00833BEB" w:rsidRPr="00EF2F18">
        <w:rPr>
          <w:sz w:val="22"/>
          <w:lang w:val="sr-Cyrl-RS"/>
        </w:rPr>
        <w:t xml:space="preserve"> (</w:t>
      </w:r>
      <w:r w:rsidRPr="00EF2F18">
        <w:rPr>
          <w:sz w:val="22"/>
          <w:lang w:val="sr-Cyrl-RS"/>
        </w:rPr>
        <w:t xml:space="preserve">регионални, прекогранична сарадња, </w:t>
      </w:r>
      <w:r w:rsidR="002A10E0" w:rsidRPr="00EF2F18">
        <w:rPr>
          <w:sz w:val="22"/>
          <w:lang w:val="sr-Cyrl-RS"/>
        </w:rPr>
        <w:t>годишњи и више</w:t>
      </w:r>
      <w:r w:rsidR="00D549AC" w:rsidRPr="00EF2F18">
        <w:rPr>
          <w:sz w:val="22"/>
          <w:lang w:val="sr-Cyrl-RS"/>
        </w:rPr>
        <w:t>годи</w:t>
      </w:r>
      <w:r w:rsidR="002A10E0" w:rsidRPr="00EF2F18">
        <w:rPr>
          <w:sz w:val="22"/>
          <w:lang w:val="sr-Cyrl-RS"/>
        </w:rPr>
        <w:t>шњи/секторски оперативни програми)</w:t>
      </w:r>
      <w:r w:rsidR="00A51B5C">
        <w:rPr>
          <w:sz w:val="22"/>
          <w:lang w:val="sr-Cyrl-RS"/>
        </w:rPr>
        <w:t>:</w:t>
      </w:r>
    </w:p>
    <w:p w14:paraId="131EE34F" w14:textId="4D91E5F2" w:rsidR="00D549AC" w:rsidRPr="00EF2F18" w:rsidRDefault="00D549AC" w:rsidP="00A51B5C">
      <w:pPr>
        <w:pStyle w:val="ListParagraph"/>
        <w:numPr>
          <w:ilvl w:val="1"/>
          <w:numId w:val="21"/>
        </w:numPr>
        <w:spacing w:after="0"/>
        <w:ind w:left="0" w:firstLine="1080"/>
        <w:contextualSpacing w:val="0"/>
        <w:jc w:val="both"/>
        <w:rPr>
          <w:rFonts w:cs="Times New Roman"/>
          <w:sz w:val="22"/>
          <w:lang w:val="sr-Cyrl-RS"/>
        </w:rPr>
      </w:pPr>
      <w:r w:rsidRPr="00EF2F18">
        <w:rPr>
          <w:rFonts w:cs="Times New Roman"/>
          <w:b/>
          <w:bCs/>
          <w:sz w:val="22"/>
          <w:lang w:val="sr-Cyrl-RS"/>
        </w:rPr>
        <w:t>Инструмент за претприступну помоћ</w:t>
      </w:r>
      <w:r w:rsidR="000414E6" w:rsidRPr="00EF2F18">
        <w:rPr>
          <w:rFonts w:cs="Times New Roman"/>
          <w:b/>
          <w:bCs/>
          <w:sz w:val="22"/>
          <w:lang w:val="sr-Cyrl-RS"/>
        </w:rPr>
        <w:t>,</w:t>
      </w:r>
      <w:r w:rsidRPr="00EF2F18">
        <w:rPr>
          <w:rFonts w:cs="Times New Roman"/>
          <w:b/>
          <w:bCs/>
          <w:sz w:val="22"/>
          <w:lang w:val="sr-Cyrl-RS"/>
        </w:rPr>
        <w:t xml:space="preserve"> </w:t>
      </w:r>
      <w:r w:rsidR="000414E6" w:rsidRPr="00EF2F18">
        <w:rPr>
          <w:rFonts w:cs="Times New Roman"/>
          <w:b/>
          <w:bCs/>
          <w:sz w:val="22"/>
          <w:lang w:val="sr-Cyrl-RS"/>
        </w:rPr>
        <w:t xml:space="preserve">IPA </w:t>
      </w:r>
      <w:r w:rsidRPr="00EF2F18">
        <w:rPr>
          <w:rFonts w:cs="Times New Roman"/>
          <w:b/>
          <w:bCs/>
          <w:sz w:val="22"/>
          <w:lang w:val="sr-Cyrl-RS"/>
        </w:rPr>
        <w:t>III</w:t>
      </w:r>
      <w:r w:rsidR="000414E6" w:rsidRPr="00EF2F18">
        <w:rPr>
          <w:rFonts w:cs="Times New Roman"/>
          <w:b/>
          <w:bCs/>
          <w:sz w:val="22"/>
          <w:lang w:val="sr-Cyrl-RS"/>
        </w:rPr>
        <w:t>,</w:t>
      </w:r>
      <w:r w:rsidRPr="00EF2F18">
        <w:rPr>
          <w:rFonts w:cs="Times New Roman"/>
          <w:b/>
          <w:bCs/>
          <w:sz w:val="22"/>
          <w:lang w:val="sr-Cyrl-RS"/>
        </w:rPr>
        <w:t xml:space="preserve"> </w:t>
      </w:r>
      <w:r w:rsidRPr="00EF2F18">
        <w:rPr>
          <w:rFonts w:cs="Times New Roman"/>
          <w:sz w:val="22"/>
          <w:lang w:val="sr-Cyrl-RS"/>
        </w:rPr>
        <w:t xml:space="preserve">предвиђа посебан део програмске шеме за спровођење Зелене агенде и одрживе повезаности </w:t>
      </w:r>
      <w:r w:rsidRPr="00EF2F18">
        <w:rPr>
          <w:rFonts w:cs="Times New Roman"/>
          <w:i/>
          <w:iCs/>
          <w:sz w:val="22"/>
          <w:lang w:val="sr-Cyrl-RS"/>
        </w:rPr>
        <w:t xml:space="preserve">(Annex 5 </w:t>
      </w:r>
      <w:r w:rsidR="00161767">
        <w:rPr>
          <w:rFonts w:cs="Times New Roman"/>
          <w:i/>
          <w:iCs/>
          <w:sz w:val="22"/>
          <w:lang w:val="sr-Cyrl-RS"/>
        </w:rPr>
        <w:t>–</w:t>
      </w:r>
      <w:r w:rsidRPr="00EF2F18">
        <w:rPr>
          <w:rFonts w:cs="Times New Roman"/>
          <w:i/>
          <w:iCs/>
          <w:sz w:val="22"/>
          <w:lang w:val="sr-Cyrl-RS"/>
        </w:rPr>
        <w:t xml:space="preserve"> EU Support to Speed up the Implementation of the Green Agenda in Serbia</w:t>
      </w:r>
      <w:r w:rsidRPr="00EF2F18">
        <w:rPr>
          <w:rFonts w:cs="Times New Roman"/>
          <w:sz w:val="22"/>
          <w:lang w:val="sr-Cyrl-RS"/>
        </w:rPr>
        <w:t>). Корисници ИПА фондова су охрабрени да развијају енергетску ефикасност и обновљиве изворе енергије, те да пређу на ресурсно ефикасне, безбедне и одрживе нискоугљеничне економије у складу са ширим циљевима ЕУ за борбу против климатских пр</w:t>
      </w:r>
      <w:r w:rsidR="00A51B5C">
        <w:rPr>
          <w:rFonts w:cs="Times New Roman"/>
          <w:sz w:val="22"/>
          <w:lang w:val="sr-Cyrl-RS"/>
        </w:rPr>
        <w:t>омена и заштиту животне средине;</w:t>
      </w:r>
    </w:p>
    <w:p w14:paraId="3CB49771" w14:textId="63E2A565" w:rsidR="00DF3C30" w:rsidRPr="00EF2F18" w:rsidRDefault="00147D74" w:rsidP="00313E8E">
      <w:pPr>
        <w:pStyle w:val="ListParagraph"/>
        <w:numPr>
          <w:ilvl w:val="1"/>
          <w:numId w:val="21"/>
        </w:numPr>
        <w:spacing w:after="0"/>
        <w:contextualSpacing w:val="0"/>
        <w:jc w:val="both"/>
        <w:rPr>
          <w:rFonts w:cs="Times New Roman"/>
          <w:sz w:val="22"/>
          <w:lang w:val="sr-Cyrl-RS"/>
        </w:rPr>
      </w:pPr>
      <w:r w:rsidRPr="00EF2F18">
        <w:rPr>
          <w:b/>
          <w:bCs/>
          <w:sz w:val="22"/>
          <w:lang w:val="sr-Cyrl-RS"/>
        </w:rPr>
        <w:t>Програми прекограничне и транснационалне сарадње</w:t>
      </w:r>
      <w:r w:rsidRPr="00EF2F18">
        <w:rPr>
          <w:sz w:val="22"/>
          <w:lang w:val="sr-Cyrl-RS"/>
        </w:rPr>
        <w:t xml:space="preserve"> се једним именом називају програмима територијалне сарадње или INTERREG програмима. Програми представљају финансијску подршку сарадњи пограничних територија суседних држава (прекогранична сарадња) или сарадњи делова или целих држава (транснационална сарадња) на решавању питања од заједничког интереса као што су управљање отпадом, пружање услуга у различитим секторима - културна и економска </w:t>
      </w:r>
      <w:r w:rsidR="00A51B5C">
        <w:rPr>
          <w:sz w:val="22"/>
          <w:lang w:val="sr-Cyrl-RS"/>
        </w:rPr>
        <w:t>сарадња, туризам, саобраћај итд;</w:t>
      </w:r>
      <w:r w:rsidR="00DF3C30" w:rsidRPr="00EF2F18">
        <w:rPr>
          <w:rFonts w:cs="Times New Roman"/>
          <w:b/>
          <w:bCs/>
          <w:sz w:val="22"/>
          <w:lang w:val="sr-Cyrl-RS"/>
        </w:rPr>
        <w:t xml:space="preserve"> </w:t>
      </w:r>
    </w:p>
    <w:p w14:paraId="0F8CD492" w14:textId="3849091C" w:rsidR="00DF3C30" w:rsidRPr="00EF2F18" w:rsidRDefault="00DF3C30" w:rsidP="00313E8E">
      <w:pPr>
        <w:pStyle w:val="ListParagraph"/>
        <w:numPr>
          <w:ilvl w:val="1"/>
          <w:numId w:val="21"/>
        </w:numPr>
        <w:spacing w:after="0"/>
        <w:contextualSpacing w:val="0"/>
        <w:jc w:val="both"/>
        <w:rPr>
          <w:rFonts w:cs="Times New Roman"/>
          <w:sz w:val="22"/>
          <w:lang w:val="sr-Cyrl-RS"/>
        </w:rPr>
      </w:pPr>
      <w:r w:rsidRPr="00EF2F18">
        <w:rPr>
          <w:rFonts w:cs="Times New Roman"/>
          <w:b/>
          <w:bCs/>
          <w:sz w:val="22"/>
          <w:lang w:val="sr-Cyrl-RS"/>
        </w:rPr>
        <w:t>Инструмент за претприступну помоћ, IPARD</w:t>
      </w:r>
      <w:r w:rsidRPr="00EF2F18">
        <w:rPr>
          <w:rFonts w:cs="Times New Roman"/>
          <w:sz w:val="22"/>
          <w:lang w:val="sr-Cyrl-RS"/>
        </w:rPr>
        <w:t xml:space="preserve">. Инструмент за претприступну помоћ (ИПА) укључује подршку за ИПА програме руралног развоја (ИПАРД). ИПАРД се посебно фокусира на рурална подручја и секторе пољопривреде и прехрамбене индустрије земаља у процесу </w:t>
      </w:r>
      <w:r w:rsidR="00EC7A57" w:rsidRPr="00EF2F18">
        <w:rPr>
          <w:rFonts w:cs="Times New Roman"/>
          <w:sz w:val="22"/>
          <w:lang w:val="sr-Cyrl-RS"/>
        </w:rPr>
        <w:t xml:space="preserve">приступања </w:t>
      </w:r>
      <w:r w:rsidRPr="00EF2F18">
        <w:rPr>
          <w:rFonts w:cs="Times New Roman"/>
          <w:sz w:val="22"/>
          <w:lang w:val="sr-Cyrl-RS"/>
        </w:rPr>
        <w:t>Европској унији. ИПАРД III програми обухватају период од 2021. до 2027. године. ИПАРД III има за циљ повећање конкурентности српске прехрамбене индустрије, унапређење дигитализације и смањење утицаја климатских промена путем мера прилагођавања. Такође, програм има за циљ повећање нивоа вештина пољопривредника, олакшавање преноса технологије и инвестиција у истраживање и развој</w:t>
      </w:r>
      <w:r w:rsidR="00F40494" w:rsidRPr="00EF2F18">
        <w:rPr>
          <w:rFonts w:cs="Times New Roman"/>
          <w:sz w:val="22"/>
          <w:lang w:val="sr-Cyrl-RS"/>
        </w:rPr>
        <w:t>, као и одрживи развој туризма</w:t>
      </w:r>
      <w:r w:rsidRPr="00EF2F18">
        <w:rPr>
          <w:rFonts w:cs="Times New Roman"/>
          <w:sz w:val="22"/>
          <w:lang w:val="sr-Cyrl-RS"/>
        </w:rPr>
        <w:t xml:space="preserve">. Програм подржава инвестиције које се односе на набавку опреме и машина, изградњу и реконструкцију објеката, с циљем достизања стандарда ЕУ у области </w:t>
      </w:r>
      <w:r w:rsidR="00146EA9" w:rsidRPr="00EF2F18">
        <w:rPr>
          <w:rFonts w:cs="Times New Roman"/>
          <w:sz w:val="22"/>
          <w:lang w:val="sr-Cyrl-RS"/>
        </w:rPr>
        <w:t>пречишћавања отпадних вода</w:t>
      </w:r>
      <w:r w:rsidRPr="00EF2F18">
        <w:rPr>
          <w:rFonts w:cs="Times New Roman"/>
          <w:sz w:val="22"/>
          <w:lang w:val="sr-Cyrl-RS"/>
        </w:rPr>
        <w:t xml:space="preserve">, безбедности хране, заштите животиња </w:t>
      </w:r>
      <w:r w:rsidR="00A51B5C">
        <w:rPr>
          <w:rFonts w:cs="Times New Roman"/>
          <w:sz w:val="22"/>
          <w:lang w:val="sr-Cyrl-RS"/>
        </w:rPr>
        <w:t>и заштите животне средине;</w:t>
      </w:r>
    </w:p>
    <w:p w14:paraId="32815381" w14:textId="4E69D0D3" w:rsidR="000414E6" w:rsidRPr="00EF2F18" w:rsidRDefault="00833BEB" w:rsidP="00313E8E">
      <w:pPr>
        <w:pStyle w:val="ListParagraph"/>
        <w:numPr>
          <w:ilvl w:val="0"/>
          <w:numId w:val="21"/>
        </w:numPr>
        <w:spacing w:after="0"/>
        <w:jc w:val="both"/>
        <w:rPr>
          <w:rFonts w:cs="Times New Roman"/>
          <w:sz w:val="22"/>
          <w:lang w:val="sr-Cyrl-RS"/>
        </w:rPr>
      </w:pPr>
      <w:r w:rsidRPr="00EF2F18">
        <w:rPr>
          <w:b/>
          <w:bCs/>
          <w:sz w:val="22"/>
          <w:lang w:val="sr-Cyrl-RS"/>
        </w:rPr>
        <w:t xml:space="preserve">WBIF </w:t>
      </w:r>
      <w:r w:rsidR="002A10E0" w:rsidRPr="00EF2F18">
        <w:rPr>
          <w:b/>
          <w:bCs/>
          <w:sz w:val="22"/>
          <w:lang w:val="sr-Cyrl-RS"/>
        </w:rPr>
        <w:t>механизам за комбиновано финансирање</w:t>
      </w:r>
      <w:r w:rsidRPr="00EF2F18">
        <w:rPr>
          <w:sz w:val="22"/>
          <w:lang w:val="sr-Cyrl-RS"/>
        </w:rPr>
        <w:t xml:space="preserve"> (IPA </w:t>
      </w:r>
      <w:r w:rsidR="002A10E0" w:rsidRPr="00EF2F18">
        <w:rPr>
          <w:sz w:val="22"/>
          <w:lang w:val="sr-Cyrl-RS"/>
        </w:rPr>
        <w:t>фондови</w:t>
      </w:r>
      <w:r w:rsidRPr="00EF2F18">
        <w:rPr>
          <w:sz w:val="22"/>
          <w:lang w:val="sr-Cyrl-RS"/>
        </w:rPr>
        <w:t xml:space="preserve">), </w:t>
      </w:r>
      <w:r w:rsidR="002A10E0" w:rsidRPr="00EF2F18">
        <w:rPr>
          <w:sz w:val="22"/>
          <w:lang w:val="sr-Cyrl-RS"/>
        </w:rPr>
        <w:t>подршка билатералних донатора и кредити</w:t>
      </w:r>
      <w:r w:rsidR="005E5FF9" w:rsidRPr="00EF2F18">
        <w:rPr>
          <w:sz w:val="22"/>
          <w:lang w:val="sr-Cyrl-RS"/>
        </w:rPr>
        <w:t xml:space="preserve"> </w:t>
      </w:r>
      <w:r w:rsidR="002A10E0" w:rsidRPr="00EF2F18">
        <w:rPr>
          <w:sz w:val="22"/>
          <w:lang w:val="sr-Cyrl-RS"/>
        </w:rPr>
        <w:t>међународних финансијских институција</w:t>
      </w:r>
      <w:r w:rsidR="00A51B5C">
        <w:rPr>
          <w:sz w:val="22"/>
          <w:lang w:val="sr-Cyrl-RS"/>
        </w:rPr>
        <w:t>:</w:t>
      </w:r>
    </w:p>
    <w:p w14:paraId="4FF2D24B" w14:textId="3A9BAADD" w:rsidR="00387C7F" w:rsidRDefault="00A51B5C" w:rsidP="000414E6">
      <w:pPr>
        <w:pStyle w:val="ListParagraph"/>
        <w:spacing w:after="0"/>
        <w:jc w:val="both"/>
        <w:rPr>
          <w:rFonts w:cs="Times New Roman"/>
          <w:sz w:val="22"/>
          <w:lang w:val="sr-Cyrl-RS"/>
        </w:rPr>
      </w:pPr>
      <w:r>
        <w:rPr>
          <w:rFonts w:cs="Times New Roman"/>
          <w:sz w:val="22"/>
          <w:lang w:val="sr-Cyrl-RS"/>
        </w:rPr>
        <w:t xml:space="preserve">– </w:t>
      </w:r>
      <w:r w:rsidR="00387C7F" w:rsidRPr="00EF2F18">
        <w:rPr>
          <w:rFonts w:cs="Times New Roman"/>
          <w:sz w:val="22"/>
          <w:lang w:val="sr-Cyrl-RS"/>
        </w:rPr>
        <w:t>Инструменти комбинованог финансирања (</w:t>
      </w:r>
      <w:r w:rsidR="00387C7F" w:rsidRPr="00EF2F18">
        <w:rPr>
          <w:rFonts w:cs="Times New Roman"/>
          <w:i/>
          <w:iCs/>
          <w:sz w:val="22"/>
          <w:lang w:val="sr-Cyrl-RS"/>
        </w:rPr>
        <w:t>Blended finance instruments</w:t>
      </w:r>
      <w:r w:rsidR="00387C7F" w:rsidRPr="00EF2F18">
        <w:rPr>
          <w:rFonts w:cs="Times New Roman"/>
          <w:sz w:val="22"/>
          <w:lang w:val="sr-Cyrl-RS"/>
        </w:rPr>
        <w:t>) представљају иновативан приступ за мобилизацију средстава за пројекте одрживог развоја комбиновањем ресурса из јавног и приватног сектора. У приступу коришћења инструмената комбинованог финансирања, фондови</w:t>
      </w:r>
      <w:r w:rsidR="000414E6" w:rsidRPr="00EF2F18">
        <w:rPr>
          <w:rFonts w:cs="Times New Roman"/>
          <w:sz w:val="22"/>
          <w:lang w:val="sr-Cyrl-RS"/>
        </w:rPr>
        <w:t xml:space="preserve"> се</w:t>
      </w:r>
      <w:r w:rsidR="00387C7F" w:rsidRPr="00EF2F18">
        <w:rPr>
          <w:rFonts w:cs="Times New Roman"/>
          <w:sz w:val="22"/>
          <w:lang w:val="sr-Cyrl-RS"/>
        </w:rPr>
        <w:t xml:space="preserve"> спајају да подрже пројекте који пружају финансијске добитке и позитивне </w:t>
      </w:r>
      <w:r>
        <w:rPr>
          <w:rFonts w:cs="Times New Roman"/>
          <w:sz w:val="22"/>
          <w:lang w:val="sr-Cyrl-RS"/>
        </w:rPr>
        <w:t>друштвене или еколошке утицаје;</w:t>
      </w:r>
    </w:p>
    <w:p w14:paraId="2E82EBF7" w14:textId="7EC5511B" w:rsidR="00753384" w:rsidRDefault="00753384" w:rsidP="000414E6">
      <w:pPr>
        <w:pStyle w:val="ListParagraph"/>
        <w:spacing w:after="0"/>
        <w:jc w:val="both"/>
        <w:rPr>
          <w:rFonts w:cs="Times New Roman"/>
          <w:sz w:val="22"/>
          <w:lang w:val="sr-Cyrl-RS"/>
        </w:rPr>
      </w:pPr>
    </w:p>
    <w:p w14:paraId="72C56993" w14:textId="77777777" w:rsidR="00BB078D" w:rsidRPr="00EF2F18" w:rsidRDefault="00BB078D" w:rsidP="000414E6">
      <w:pPr>
        <w:pStyle w:val="ListParagraph"/>
        <w:spacing w:after="0"/>
        <w:jc w:val="both"/>
        <w:rPr>
          <w:rFonts w:cs="Times New Roman"/>
          <w:sz w:val="22"/>
          <w:lang w:val="sr-Cyrl-RS"/>
        </w:rPr>
      </w:pPr>
    </w:p>
    <w:p w14:paraId="694992A8" w14:textId="756BF491" w:rsidR="00D549AC" w:rsidRPr="00EF2F18" w:rsidRDefault="00D549AC" w:rsidP="00313E8E">
      <w:pPr>
        <w:pStyle w:val="ListParagraph"/>
        <w:numPr>
          <w:ilvl w:val="1"/>
          <w:numId w:val="21"/>
        </w:numPr>
        <w:spacing w:after="0"/>
        <w:contextualSpacing w:val="0"/>
        <w:jc w:val="both"/>
        <w:rPr>
          <w:rFonts w:cs="Times New Roman"/>
          <w:sz w:val="22"/>
          <w:lang w:val="sr-Cyrl-RS"/>
        </w:rPr>
      </w:pPr>
      <w:r w:rsidRPr="00EF2F18">
        <w:rPr>
          <w:rFonts w:cs="Times New Roman"/>
          <w:b/>
          <w:bCs/>
          <w:sz w:val="22"/>
          <w:lang w:val="sr-Cyrl-RS"/>
        </w:rPr>
        <w:lastRenderedPageBreak/>
        <w:t>Западнобалкански инвестициони оквир (</w:t>
      </w:r>
      <w:r w:rsidRPr="00EF2F18">
        <w:rPr>
          <w:rFonts w:cs="Times New Roman"/>
          <w:b/>
          <w:bCs/>
          <w:i/>
          <w:iCs/>
          <w:sz w:val="22"/>
          <w:lang w:val="sr-Cyrl-RS"/>
        </w:rPr>
        <w:t>The Western Balkans Investment Framework, WBIF</w:t>
      </w:r>
      <w:r w:rsidRPr="00EF2F18">
        <w:rPr>
          <w:rFonts w:cs="Times New Roman"/>
          <w:sz w:val="22"/>
          <w:lang w:val="sr-Cyrl-RS"/>
        </w:rPr>
        <w:t xml:space="preserve">). </w:t>
      </w:r>
      <w:r w:rsidRPr="00EF2F18">
        <w:rPr>
          <w:rFonts w:cs="Times New Roman"/>
          <w:i/>
          <w:sz w:val="22"/>
          <w:lang w:val="sr-Cyrl-RS"/>
        </w:rPr>
        <w:t>WBIF</w:t>
      </w:r>
      <w:r w:rsidRPr="00EF2F18">
        <w:rPr>
          <w:rFonts w:cs="Times New Roman"/>
          <w:sz w:val="22"/>
          <w:lang w:val="sr-Cyrl-RS"/>
        </w:rPr>
        <w:t xml:space="preserve"> подржава социо</w:t>
      </w:r>
      <w:r w:rsidR="00161767">
        <w:rPr>
          <w:rFonts w:cs="Times New Roman"/>
          <w:sz w:val="22"/>
          <w:lang w:val="sr-Cyrl-RS"/>
        </w:rPr>
        <w:t>-</w:t>
      </w:r>
      <w:r w:rsidRPr="00EF2F18">
        <w:rPr>
          <w:rFonts w:cs="Times New Roman"/>
          <w:sz w:val="22"/>
          <w:lang w:val="sr-Cyrl-RS"/>
        </w:rPr>
        <w:t xml:space="preserve">економски развој и приступање ЕУ у земљама Западног Балкана путем пружања финансирања и техничке помоћи за стратешке инвестиције. То је заједничка иницијатива ЕУ, финансијских институција, билатералних донатора и влада земаља Западног Балкана. Приоритети утврђени у Економском и инвестиционом плану за Западни Балкан 2021-2027. такође су приоритети </w:t>
      </w:r>
      <w:r w:rsidRPr="00EF2F18">
        <w:rPr>
          <w:rFonts w:cs="Times New Roman"/>
          <w:i/>
          <w:sz w:val="22"/>
          <w:lang w:val="sr-Cyrl-RS"/>
        </w:rPr>
        <w:t>WBIF</w:t>
      </w:r>
      <w:r w:rsidRPr="00EF2F18">
        <w:rPr>
          <w:rFonts w:cs="Times New Roman"/>
          <w:sz w:val="22"/>
          <w:lang w:val="sr-Cyrl-RS"/>
        </w:rPr>
        <w:t>-а, који између оста</w:t>
      </w:r>
      <w:r w:rsidR="00A51B5C">
        <w:rPr>
          <w:rFonts w:cs="Times New Roman"/>
          <w:sz w:val="22"/>
          <w:lang w:val="sr-Cyrl-RS"/>
        </w:rPr>
        <w:t>лог укључује и Зелену агенду;</w:t>
      </w:r>
      <w:r w:rsidRPr="00EF2F18">
        <w:rPr>
          <w:rFonts w:cs="Times New Roman"/>
          <w:sz w:val="22"/>
          <w:lang w:val="sr-Cyrl-RS"/>
        </w:rPr>
        <w:t xml:space="preserve"> </w:t>
      </w:r>
    </w:p>
    <w:p w14:paraId="6A151785" w14:textId="100146D0" w:rsidR="00EE5C67" w:rsidRPr="00EF2F18" w:rsidRDefault="00EE5C67" w:rsidP="00313E8E">
      <w:pPr>
        <w:pStyle w:val="ListParagraph"/>
        <w:numPr>
          <w:ilvl w:val="0"/>
          <w:numId w:val="21"/>
        </w:numPr>
        <w:spacing w:after="0"/>
        <w:jc w:val="both"/>
        <w:rPr>
          <w:rFonts w:cs="Times New Roman"/>
          <w:b/>
          <w:bCs/>
          <w:sz w:val="22"/>
          <w:lang w:val="sr-Cyrl-RS"/>
        </w:rPr>
      </w:pPr>
      <w:r w:rsidRPr="00EF2F18">
        <w:rPr>
          <w:rFonts w:cs="Times New Roman"/>
          <w:b/>
          <w:bCs/>
          <w:sz w:val="22"/>
          <w:lang w:val="sr-Cyrl-RS"/>
        </w:rPr>
        <w:t xml:space="preserve">Остали ЕУ </w:t>
      </w:r>
      <w:r w:rsidR="00DF3C30" w:rsidRPr="00EF2F18">
        <w:rPr>
          <w:rFonts w:cs="Times New Roman"/>
          <w:b/>
          <w:bCs/>
          <w:sz w:val="22"/>
          <w:lang w:val="sr-Cyrl-RS"/>
        </w:rPr>
        <w:t>програми</w:t>
      </w:r>
    </w:p>
    <w:p w14:paraId="26F2DEDE" w14:textId="6274D2C0" w:rsidR="00EE5C67" w:rsidRPr="00EF2F18" w:rsidRDefault="00EE5C67" w:rsidP="00313E8E">
      <w:pPr>
        <w:pStyle w:val="ListParagraph"/>
        <w:numPr>
          <w:ilvl w:val="1"/>
          <w:numId w:val="21"/>
        </w:numPr>
        <w:spacing w:after="0"/>
        <w:contextualSpacing w:val="0"/>
        <w:jc w:val="both"/>
        <w:rPr>
          <w:rFonts w:cs="Times New Roman"/>
          <w:sz w:val="22"/>
          <w:lang w:val="sr-Cyrl-RS"/>
        </w:rPr>
      </w:pPr>
      <w:r w:rsidRPr="00EF2F18">
        <w:rPr>
          <w:rFonts w:cs="Times New Roman"/>
          <w:b/>
          <w:bCs/>
          <w:sz w:val="22"/>
          <w:lang w:val="sr-Cyrl-RS"/>
        </w:rPr>
        <w:t>Оквирни програм Хоризонт Европа (</w:t>
      </w:r>
      <w:r w:rsidRPr="00EF2F18">
        <w:rPr>
          <w:rFonts w:cs="Times New Roman"/>
          <w:b/>
          <w:bCs/>
          <w:i/>
          <w:iCs/>
          <w:sz w:val="22"/>
          <w:lang w:val="sr-Cyrl-RS"/>
        </w:rPr>
        <w:t>Horizon Europe</w:t>
      </w:r>
      <w:r w:rsidRPr="00EF2F18">
        <w:rPr>
          <w:rFonts w:cs="Times New Roman"/>
          <w:b/>
          <w:bCs/>
          <w:sz w:val="22"/>
          <w:lang w:val="sr-Cyrl-RS"/>
        </w:rPr>
        <w:t>).</w:t>
      </w:r>
      <w:r w:rsidRPr="00EF2F18">
        <w:rPr>
          <w:rFonts w:cs="Times New Roman"/>
          <w:sz w:val="22"/>
          <w:lang w:val="sr-Cyrl-RS"/>
        </w:rPr>
        <w:t xml:space="preserve"> Овај програм финансирања истраживања и иновација подржава пројекте који циљају на решавање изазова климатских промена и заштите животне средине кроз иновативна решења и технологије. Хоризонт Европа је оквирни програм ЕУ за истраживање и иновације који траје од 2021</w:t>
      </w:r>
      <w:r w:rsidR="00EE6F5A" w:rsidRPr="00EF2F18">
        <w:rPr>
          <w:rFonts w:cs="Times New Roman"/>
          <w:sz w:val="22"/>
          <w:lang w:val="sr-Cyrl-RS"/>
        </w:rPr>
        <w:t xml:space="preserve">. до </w:t>
      </w:r>
      <w:r w:rsidRPr="00EF2F18">
        <w:rPr>
          <w:rFonts w:cs="Times New Roman"/>
          <w:sz w:val="22"/>
          <w:lang w:val="sr-Cyrl-RS"/>
        </w:rPr>
        <w:t>2027.</w:t>
      </w:r>
      <w:r w:rsidR="00EE6F5A" w:rsidRPr="00EF2F18">
        <w:rPr>
          <w:rFonts w:cs="Times New Roman"/>
          <w:iCs/>
          <w:sz w:val="22"/>
          <w:lang w:val="sr-Cyrl-RS"/>
        </w:rPr>
        <w:t xml:space="preserve"> године</w:t>
      </w:r>
      <w:r w:rsidRPr="00EF2F18">
        <w:rPr>
          <w:rFonts w:cs="Times New Roman"/>
          <w:sz w:val="22"/>
          <w:lang w:val="sr-Cyrl-RS"/>
        </w:rPr>
        <w:t xml:space="preserve"> за борбу против климатских промена, помаже у остваривању циљева одрживог развоја УН и подстиче конкурентност и раст </w:t>
      </w:r>
      <w:r w:rsidR="009A5C7B" w:rsidRPr="00EF2F18">
        <w:rPr>
          <w:rFonts w:cs="Times New Roman"/>
          <w:sz w:val="22"/>
          <w:lang w:val="sr-Cyrl-RS"/>
        </w:rPr>
        <w:t>ЕУ</w:t>
      </w:r>
      <w:r w:rsidR="00A51B5C">
        <w:rPr>
          <w:rFonts w:cs="Times New Roman"/>
          <w:sz w:val="22"/>
          <w:lang w:val="sr-Cyrl-RS"/>
        </w:rPr>
        <w:t>;</w:t>
      </w:r>
    </w:p>
    <w:p w14:paraId="4E5CC22A" w14:textId="1D93BC79" w:rsidR="00EE5C67" w:rsidRPr="00EF2F18" w:rsidRDefault="00EE5C67" w:rsidP="00313E8E">
      <w:pPr>
        <w:pStyle w:val="ListParagraph"/>
        <w:numPr>
          <w:ilvl w:val="1"/>
          <w:numId w:val="21"/>
        </w:numPr>
        <w:spacing w:after="0"/>
        <w:contextualSpacing w:val="0"/>
        <w:jc w:val="both"/>
        <w:rPr>
          <w:rFonts w:cs="Times New Roman"/>
          <w:sz w:val="22"/>
          <w:lang w:val="sr-Cyrl-RS"/>
        </w:rPr>
      </w:pPr>
      <w:r w:rsidRPr="00EF2F18">
        <w:rPr>
          <w:rFonts w:cs="Times New Roman"/>
          <w:b/>
          <w:bCs/>
          <w:sz w:val="22"/>
          <w:lang w:val="sr-Cyrl-RS"/>
        </w:rPr>
        <w:t>Connecting Europe Facility (CEF) је</w:t>
      </w:r>
      <w:r w:rsidRPr="00EF2F18">
        <w:rPr>
          <w:rFonts w:cs="Times New Roman"/>
          <w:sz w:val="22"/>
          <w:lang w:val="sr-Cyrl-RS"/>
        </w:rPr>
        <w:t xml:space="preserve"> инструмент финансирања Европске уније који промовише раст, стварање радних места и конкурентност кроз циљане инвестиције у инфраструктуру на европском нивоу. Подржава развој високопродуктивних, одрживих и ефикасно повезаних трансевропских мрежа у областима транспорта, енергетике и дигиталних услуга. CEF је подељен на три сектора: енергетика, телекомуникације и транспорт. Један од кључних приоритета CEF је омогућавање и јачање синергије између ова три сектора. </w:t>
      </w:r>
      <w:r w:rsidRPr="00EF2F18">
        <w:rPr>
          <w:rFonts w:cs="Times New Roman"/>
          <w:sz w:val="22"/>
          <w:lang w:val="sr-Cyrl-RS" w:eastAsia="en-GB"/>
        </w:rPr>
        <w:t xml:space="preserve">Република </w:t>
      </w:r>
      <w:r w:rsidRPr="00EF2F18">
        <w:rPr>
          <w:rFonts w:cs="Times New Roman"/>
          <w:sz w:val="22"/>
          <w:lang w:val="sr-Cyrl-RS"/>
        </w:rPr>
        <w:t>Србија се придружила CEF-у 2017. годин</w:t>
      </w:r>
      <w:r w:rsidR="00EE6F5A" w:rsidRPr="00EF2F18">
        <w:rPr>
          <w:rFonts w:cs="Times New Roman"/>
          <w:sz w:val="22"/>
          <w:lang w:val="sr-Cyrl-RS"/>
        </w:rPr>
        <w:t>и</w:t>
      </w:r>
      <w:r w:rsidRPr="00EF2F18">
        <w:rPr>
          <w:rFonts w:cs="Times New Roman"/>
          <w:sz w:val="22"/>
          <w:lang w:val="sr-Cyrl-RS"/>
        </w:rPr>
        <w:t xml:space="preserve"> започињањем реконструкције бродских прево</w:t>
      </w:r>
      <w:r w:rsidR="00A51B5C">
        <w:rPr>
          <w:rFonts w:cs="Times New Roman"/>
          <w:sz w:val="22"/>
          <w:lang w:val="sr-Cyrl-RS"/>
        </w:rPr>
        <w:t>дница на Ђердапу I и Ђердапу II;</w:t>
      </w:r>
      <w:r w:rsidRPr="00EF2F18">
        <w:rPr>
          <w:rFonts w:cs="Times New Roman"/>
          <w:sz w:val="22"/>
          <w:lang w:val="sr-Cyrl-RS"/>
        </w:rPr>
        <w:t xml:space="preserve"> </w:t>
      </w:r>
    </w:p>
    <w:p w14:paraId="527417C3" w14:textId="7F30A9DF" w:rsidR="00EE5C67" w:rsidRPr="00EF2F18" w:rsidRDefault="00EE5C67" w:rsidP="00313E8E">
      <w:pPr>
        <w:pStyle w:val="ListParagraph"/>
        <w:numPr>
          <w:ilvl w:val="1"/>
          <w:numId w:val="21"/>
        </w:numPr>
        <w:spacing w:after="0"/>
        <w:contextualSpacing w:val="0"/>
        <w:jc w:val="both"/>
        <w:rPr>
          <w:rFonts w:cs="Times New Roman"/>
          <w:sz w:val="22"/>
          <w:lang w:val="sr-Cyrl-RS"/>
        </w:rPr>
      </w:pPr>
      <w:r w:rsidRPr="00EF2F18">
        <w:rPr>
          <w:rFonts w:cs="Times New Roman"/>
          <w:b/>
          <w:bCs/>
          <w:sz w:val="22"/>
          <w:lang w:val="sr-Cyrl-RS"/>
        </w:rPr>
        <w:t>Програм LIFE (</w:t>
      </w:r>
      <w:r w:rsidRPr="00EF2F18">
        <w:rPr>
          <w:rFonts w:cs="Times New Roman"/>
          <w:b/>
          <w:bCs/>
          <w:i/>
          <w:iCs/>
          <w:sz w:val="22"/>
          <w:lang w:val="sr-Cyrl-RS"/>
        </w:rPr>
        <w:t>LIFE Programme</w:t>
      </w:r>
      <w:r w:rsidRPr="00EF2F18">
        <w:rPr>
          <w:rFonts w:cs="Times New Roman"/>
          <w:sz w:val="22"/>
          <w:lang w:val="sr-Cyrl-RS"/>
        </w:rPr>
        <w:t xml:space="preserve">). Програм </w:t>
      </w:r>
      <w:r w:rsidRPr="00EF2F18">
        <w:rPr>
          <w:rFonts w:cs="Times New Roman"/>
          <w:i/>
          <w:iCs/>
          <w:sz w:val="22"/>
          <w:lang w:val="sr-Cyrl-RS"/>
        </w:rPr>
        <w:t>LIFE</w:t>
      </w:r>
      <w:r w:rsidRPr="00EF2F18">
        <w:rPr>
          <w:rFonts w:cs="Times New Roman"/>
          <w:b/>
          <w:bCs/>
          <w:i/>
          <w:iCs/>
          <w:sz w:val="22"/>
          <w:lang w:val="sr-Cyrl-RS"/>
        </w:rPr>
        <w:t xml:space="preserve"> </w:t>
      </w:r>
      <w:r w:rsidRPr="00EF2F18">
        <w:rPr>
          <w:rFonts w:cs="Times New Roman"/>
          <w:sz w:val="22"/>
          <w:lang w:val="sr-Cyrl-RS"/>
        </w:rPr>
        <w:t xml:space="preserve">2021-2027. је једини програм финансирања Европске уније који је у потпуности посвећен циљевима заштите животне средине, климе и енергетике. Доприноси преласку ка чистој, циркуларној, енергетски ефикасној, климатски неутралној економији и економији отпорној на климатске промене, укључујући транзицију ка чистој енергији, како би се заштитио и побољшао квалитет животне средине. Програм </w:t>
      </w:r>
      <w:r w:rsidRPr="00EF2F18">
        <w:rPr>
          <w:rFonts w:cs="Times New Roman"/>
          <w:i/>
          <w:iCs/>
          <w:sz w:val="22"/>
          <w:lang w:val="sr-Cyrl-RS"/>
        </w:rPr>
        <w:t>LIFE</w:t>
      </w:r>
      <w:r w:rsidRPr="00EF2F18">
        <w:rPr>
          <w:rFonts w:cs="Times New Roman"/>
          <w:b/>
          <w:bCs/>
          <w:i/>
          <w:iCs/>
          <w:sz w:val="22"/>
          <w:lang w:val="sr-Cyrl-RS"/>
        </w:rPr>
        <w:t xml:space="preserve"> </w:t>
      </w:r>
      <w:r w:rsidRPr="00EF2F18">
        <w:rPr>
          <w:rFonts w:cs="Times New Roman"/>
          <w:sz w:val="22"/>
          <w:lang w:val="sr-Cyrl-RS"/>
        </w:rPr>
        <w:t xml:space="preserve">2021-2027. подељен је на четири потпрограма: </w:t>
      </w:r>
      <w:r w:rsidR="00EE6F5A" w:rsidRPr="00EF2F18">
        <w:rPr>
          <w:rFonts w:cs="Times New Roman"/>
          <w:sz w:val="22"/>
          <w:lang w:val="sr-Cyrl-RS"/>
        </w:rPr>
        <w:t>1</w:t>
      </w:r>
      <w:r w:rsidRPr="00EF2F18">
        <w:rPr>
          <w:rFonts w:cs="Times New Roman"/>
          <w:sz w:val="22"/>
          <w:lang w:val="sr-Cyrl-RS"/>
        </w:rPr>
        <w:t xml:space="preserve">) Природа и биодиверзитет, </w:t>
      </w:r>
      <w:r w:rsidR="00EE6F5A" w:rsidRPr="00EF2F18">
        <w:rPr>
          <w:rFonts w:cs="Times New Roman"/>
          <w:sz w:val="22"/>
          <w:lang w:val="sr-Cyrl-RS"/>
        </w:rPr>
        <w:t>2</w:t>
      </w:r>
      <w:r w:rsidRPr="00EF2F18">
        <w:rPr>
          <w:rFonts w:cs="Times New Roman"/>
          <w:sz w:val="22"/>
          <w:lang w:val="sr-Cyrl-RS"/>
        </w:rPr>
        <w:t xml:space="preserve">) Циркуларна економија и квалитет живота, </w:t>
      </w:r>
      <w:r w:rsidR="00EE6F5A" w:rsidRPr="00EF2F18">
        <w:rPr>
          <w:rFonts w:cs="Times New Roman"/>
          <w:sz w:val="22"/>
          <w:lang w:val="sr-Cyrl-RS"/>
        </w:rPr>
        <w:t>3</w:t>
      </w:r>
      <w:r w:rsidRPr="00EF2F18">
        <w:rPr>
          <w:rFonts w:cs="Times New Roman"/>
          <w:sz w:val="22"/>
          <w:lang w:val="sr-Cyrl-RS"/>
        </w:rPr>
        <w:t xml:space="preserve">) Ублажавање климатских промена и прилагођавање, и </w:t>
      </w:r>
      <w:r w:rsidR="00EE6F5A" w:rsidRPr="00EF2F18">
        <w:rPr>
          <w:rFonts w:cs="Times New Roman"/>
          <w:sz w:val="22"/>
          <w:lang w:val="sr-Cyrl-RS"/>
        </w:rPr>
        <w:t>4</w:t>
      </w:r>
      <w:r w:rsidRPr="00EF2F18">
        <w:rPr>
          <w:rFonts w:cs="Times New Roman"/>
          <w:sz w:val="22"/>
          <w:lang w:val="sr-Cyrl-RS"/>
        </w:rPr>
        <w:t>) Транзиција ка чистој енергији.</w:t>
      </w:r>
      <w:r w:rsidR="00DF3C30" w:rsidRPr="00EF2F18">
        <w:rPr>
          <w:rFonts w:cs="Times New Roman"/>
          <w:sz w:val="22"/>
          <w:lang w:val="sr-Cyrl-RS"/>
        </w:rPr>
        <w:t xml:space="preserve"> Република Србија још увек није корисник овог програма.</w:t>
      </w:r>
    </w:p>
    <w:p w14:paraId="1D498697" w14:textId="77777777" w:rsidR="00D549AC" w:rsidRPr="00EF2F18" w:rsidRDefault="00D549AC" w:rsidP="00D96B95">
      <w:pPr>
        <w:pStyle w:val="ListParagraph"/>
        <w:spacing w:before="120"/>
        <w:ind w:left="1440"/>
        <w:jc w:val="both"/>
        <w:rPr>
          <w:sz w:val="22"/>
          <w:lang w:val="sr-Cyrl-RS"/>
        </w:rPr>
      </w:pPr>
    </w:p>
    <w:p w14:paraId="04E4D817" w14:textId="77777777" w:rsidR="002F2922" w:rsidRPr="00EF2F18" w:rsidRDefault="002F2922" w:rsidP="00EE6F5A">
      <w:pPr>
        <w:spacing w:before="120"/>
        <w:ind w:firstLine="720"/>
        <w:jc w:val="both"/>
        <w:rPr>
          <w:b/>
          <w:bCs/>
          <w:i/>
          <w:iCs/>
          <w:sz w:val="22"/>
          <w:lang w:val="sr-Cyrl-RS"/>
        </w:rPr>
      </w:pPr>
      <w:r w:rsidRPr="00EF2F18">
        <w:rPr>
          <w:b/>
          <w:bCs/>
          <w:i/>
          <w:iCs/>
          <w:sz w:val="22"/>
          <w:lang w:val="sr-Cyrl-RS"/>
        </w:rPr>
        <w:t xml:space="preserve">Грантови билатералних донатора </w:t>
      </w:r>
    </w:p>
    <w:p w14:paraId="5A429CDB" w14:textId="4851AA20" w:rsidR="002F2922" w:rsidRPr="00EF2F18" w:rsidRDefault="002F2922" w:rsidP="00EE6F5A">
      <w:pPr>
        <w:pStyle w:val="ListParagraph"/>
        <w:spacing w:before="120"/>
        <w:ind w:left="360" w:firstLine="360"/>
        <w:jc w:val="both"/>
        <w:rPr>
          <w:sz w:val="22"/>
          <w:lang w:val="sr-Cyrl-RS"/>
        </w:rPr>
      </w:pPr>
      <w:r w:rsidRPr="00EF2F18">
        <w:rPr>
          <w:sz w:val="22"/>
          <w:lang w:val="sr-Cyrl-RS"/>
        </w:rPr>
        <w:t xml:space="preserve">1) </w:t>
      </w:r>
      <w:r w:rsidRPr="00EF2F18">
        <w:rPr>
          <w:b/>
          <w:bCs/>
          <w:sz w:val="22"/>
          <w:lang w:val="sr-Cyrl-RS"/>
        </w:rPr>
        <w:t xml:space="preserve">Шведска </w:t>
      </w:r>
      <w:r w:rsidRPr="00EF2F18">
        <w:rPr>
          <w:sz w:val="22"/>
          <w:lang w:val="sr-Cyrl-RS"/>
        </w:rPr>
        <w:t>је водећи билатерални донатор у области заштите животне средине и климатских промена у Републици Србији, у области отпада, отпадних вода, хемика</w:t>
      </w:r>
      <w:r w:rsidR="009D63A7" w:rsidRPr="00EF2F18">
        <w:rPr>
          <w:sz w:val="22"/>
          <w:lang w:val="sr-Cyrl-RS"/>
        </w:rPr>
        <w:t>лија, индустријских емисија итд</w:t>
      </w:r>
      <w:r w:rsidRPr="00EF2F18">
        <w:rPr>
          <w:sz w:val="22"/>
          <w:lang w:val="sr-Cyrl-RS"/>
        </w:rPr>
        <w:t>;</w:t>
      </w:r>
    </w:p>
    <w:p w14:paraId="488867BB" w14:textId="77777777" w:rsidR="002F2922" w:rsidRPr="00EF2F18" w:rsidRDefault="002F2922" w:rsidP="00EE6F5A">
      <w:pPr>
        <w:spacing w:after="0"/>
        <w:ind w:left="360" w:firstLine="360"/>
        <w:jc w:val="both"/>
        <w:rPr>
          <w:sz w:val="22"/>
          <w:lang w:val="sr-Cyrl-RS"/>
        </w:rPr>
      </w:pPr>
      <w:r w:rsidRPr="00EF2F18">
        <w:rPr>
          <w:sz w:val="22"/>
          <w:lang w:val="sr-Cyrl-RS"/>
        </w:rPr>
        <w:t xml:space="preserve">2) </w:t>
      </w:r>
      <w:r w:rsidRPr="00EF2F18">
        <w:rPr>
          <w:b/>
          <w:bCs/>
          <w:sz w:val="22"/>
          <w:lang w:val="sr-Cyrl-RS"/>
        </w:rPr>
        <w:t>Немачка</w:t>
      </w:r>
      <w:r w:rsidRPr="00EF2F18">
        <w:rPr>
          <w:sz w:val="22"/>
          <w:lang w:val="sr-Cyrl-RS"/>
        </w:rPr>
        <w:t>. Средства немачке развојне помоћи у Републици Србији усмеравана су на реализацију пројеката и програма у области: јавне инфраструктуре (енергија и вода): снабдевање струјом и топлотном енергијом, водоснабдевање, канализациона инфраструктура (управљање отпадним водама); одрживи економски развој и запошљавање;</w:t>
      </w:r>
    </w:p>
    <w:p w14:paraId="34005989" w14:textId="69C24DF2" w:rsidR="002F2922" w:rsidRPr="00EF2F18" w:rsidRDefault="002F2922" w:rsidP="00EE6F5A">
      <w:pPr>
        <w:spacing w:after="0"/>
        <w:ind w:left="360" w:firstLine="360"/>
        <w:jc w:val="both"/>
        <w:rPr>
          <w:sz w:val="22"/>
          <w:lang w:val="sr-Cyrl-RS"/>
        </w:rPr>
      </w:pPr>
      <w:r w:rsidRPr="00EF2F18">
        <w:rPr>
          <w:sz w:val="22"/>
          <w:lang w:val="sr-Cyrl-RS"/>
        </w:rPr>
        <w:t xml:space="preserve">3) </w:t>
      </w:r>
      <w:r w:rsidRPr="00EF2F18">
        <w:rPr>
          <w:b/>
          <w:bCs/>
          <w:sz w:val="22"/>
          <w:lang w:val="sr-Cyrl-RS"/>
        </w:rPr>
        <w:t>Јапан.</w:t>
      </w:r>
      <w:r w:rsidRPr="00EF2F18">
        <w:rPr>
          <w:sz w:val="22"/>
          <w:lang w:val="sr-Cyrl-RS"/>
        </w:rPr>
        <w:t xml:space="preserve"> Приоритетне области билатералне развојне помоћи Јапана Републици Србији су: заштита животне средине, здравствена и социјална заштита и образовање и предузетништво и подршка малим и средњим предузећима. Неки од примера помоћи коју Јапан пружа Републици Србији су непројектне донаци</w:t>
      </w:r>
      <w:r w:rsidR="009D63A7" w:rsidRPr="00EF2F18">
        <w:rPr>
          <w:sz w:val="22"/>
          <w:lang w:val="sr-Cyrl-RS"/>
        </w:rPr>
        <w:t>је, али и концесионални зајмови;</w:t>
      </w:r>
    </w:p>
    <w:p w14:paraId="0C77A621" w14:textId="77777777" w:rsidR="002F2922" w:rsidRPr="00EF2F18" w:rsidRDefault="002F2922" w:rsidP="00EE6F5A">
      <w:pPr>
        <w:pStyle w:val="ListParagraph"/>
        <w:spacing w:after="0"/>
        <w:ind w:left="360" w:firstLine="360"/>
        <w:jc w:val="both"/>
        <w:rPr>
          <w:sz w:val="22"/>
          <w:lang w:val="sr-Cyrl-RS"/>
        </w:rPr>
      </w:pPr>
      <w:r w:rsidRPr="00EF2F18">
        <w:rPr>
          <w:sz w:val="22"/>
          <w:lang w:val="sr-Cyrl-RS"/>
        </w:rPr>
        <w:t xml:space="preserve">4) </w:t>
      </w:r>
      <w:r w:rsidRPr="00EF2F18">
        <w:rPr>
          <w:b/>
          <w:bCs/>
          <w:sz w:val="22"/>
          <w:lang w:val="sr-Cyrl-RS"/>
        </w:rPr>
        <w:t>многе</w:t>
      </w:r>
      <w:r w:rsidRPr="00EF2F18">
        <w:rPr>
          <w:sz w:val="22"/>
          <w:lang w:val="sr-Cyrl-RS"/>
        </w:rPr>
        <w:t xml:space="preserve"> </w:t>
      </w:r>
      <w:r w:rsidRPr="00EF2F18">
        <w:rPr>
          <w:b/>
          <w:bCs/>
          <w:sz w:val="22"/>
          <w:lang w:val="sr-Cyrl-RS"/>
        </w:rPr>
        <w:t xml:space="preserve">друге земље: </w:t>
      </w:r>
      <w:r w:rsidRPr="00EF2F18">
        <w:rPr>
          <w:sz w:val="22"/>
          <w:lang w:val="sr-Cyrl-RS"/>
        </w:rPr>
        <w:t xml:space="preserve">Швајцарска, Аустрија, Француска, САД, Холандија, Данска, Норвешка, Словачка, Чешка итд. </w:t>
      </w:r>
    </w:p>
    <w:p w14:paraId="5FF44A74" w14:textId="77777777" w:rsidR="002F2922" w:rsidRPr="00EF2F18" w:rsidRDefault="002F2922" w:rsidP="00D96B95">
      <w:pPr>
        <w:pStyle w:val="ListParagraph"/>
        <w:spacing w:before="120"/>
        <w:ind w:left="1440"/>
        <w:jc w:val="both"/>
        <w:rPr>
          <w:sz w:val="22"/>
          <w:lang w:val="sr-Cyrl-RS"/>
        </w:rPr>
      </w:pPr>
    </w:p>
    <w:p w14:paraId="61753638" w14:textId="0292F3BB" w:rsidR="00E47E2D" w:rsidRPr="00EF2F18" w:rsidRDefault="00E47E2D" w:rsidP="00D549AC">
      <w:pPr>
        <w:spacing w:before="120"/>
        <w:jc w:val="both"/>
        <w:rPr>
          <w:b/>
          <w:bCs/>
          <w:i/>
          <w:iCs/>
          <w:sz w:val="22"/>
          <w:lang w:val="sr-Cyrl-RS"/>
        </w:rPr>
      </w:pPr>
    </w:p>
    <w:p w14:paraId="1CB8B84E" w14:textId="761F99A3" w:rsidR="00F21C22" w:rsidRPr="00EF2F18" w:rsidRDefault="00F21C22" w:rsidP="00EE6F5A">
      <w:pPr>
        <w:spacing w:before="120"/>
        <w:ind w:firstLine="720"/>
        <w:jc w:val="both"/>
        <w:rPr>
          <w:b/>
          <w:bCs/>
          <w:i/>
          <w:iCs/>
          <w:sz w:val="22"/>
          <w:lang w:val="sr-Cyrl-RS"/>
        </w:rPr>
      </w:pPr>
      <w:r w:rsidRPr="00EF2F18">
        <w:rPr>
          <w:b/>
          <w:bCs/>
          <w:i/>
          <w:iCs/>
          <w:sz w:val="22"/>
          <w:lang w:val="sr-Cyrl-RS"/>
        </w:rPr>
        <w:lastRenderedPageBreak/>
        <w:t>Кредити међународних финансијских институција и билатерални кредити</w:t>
      </w:r>
      <w:r w:rsidR="00833BEB" w:rsidRPr="00EF2F18">
        <w:rPr>
          <w:b/>
          <w:bCs/>
          <w:i/>
          <w:iCs/>
          <w:sz w:val="22"/>
          <w:lang w:val="sr-Cyrl-RS"/>
        </w:rPr>
        <w:t xml:space="preserve"> </w:t>
      </w:r>
    </w:p>
    <w:p w14:paraId="79DBA90C" w14:textId="71384D3F" w:rsidR="00C90FFE" w:rsidRPr="00EF2F18" w:rsidRDefault="00C90FFE" w:rsidP="000414E6">
      <w:pPr>
        <w:spacing w:after="0"/>
        <w:ind w:firstLine="720"/>
        <w:jc w:val="both"/>
        <w:rPr>
          <w:rFonts w:cs="Times New Roman"/>
          <w:sz w:val="22"/>
          <w:lang w:val="sr-Cyrl-RS"/>
        </w:rPr>
      </w:pPr>
      <w:r w:rsidRPr="00EF2F18">
        <w:rPr>
          <w:rFonts w:cs="Times New Roman"/>
          <w:b/>
          <w:bCs/>
          <w:sz w:val="22"/>
          <w:lang w:val="sr-Cyrl-RS"/>
        </w:rPr>
        <w:t>Кредити представљају тип финансијског инструмента који обезбеђује дугорочно финансирање пројеката.</w:t>
      </w:r>
      <w:r w:rsidRPr="00EF2F18">
        <w:rPr>
          <w:rFonts w:cs="Times New Roman"/>
          <w:sz w:val="22"/>
          <w:lang w:val="sr-Cyrl-RS"/>
        </w:rPr>
        <w:t xml:space="preserve"> Ови кредити често нуде међународне финансијске институције и банке за развој, са циљем да подрже еколошки прихватљиве и друштвено одговорне иницијативе. Кредити за одрживи развој могу играти кључну улогу у финансирању зелених пројеката у Републици Србији, обезбеђујући прихватљиво и дугорочно финансирање за подршку одрживом развоју Републике Србије и заштити животне средине. Ови кредити обично нуде повољније услове кредитирања, укључујући ниске каматне стопе и дуже рокове за плаћање, што их чини привлачним опцијама за финансирање зелених пројеката.</w:t>
      </w:r>
    </w:p>
    <w:p w14:paraId="6C43E1BE" w14:textId="671F3E30" w:rsidR="00C90FFE" w:rsidRPr="00EF2F18" w:rsidRDefault="00C90FFE" w:rsidP="000414E6">
      <w:pPr>
        <w:spacing w:after="0"/>
        <w:ind w:firstLine="720"/>
        <w:jc w:val="both"/>
        <w:rPr>
          <w:b/>
          <w:bCs/>
          <w:i/>
          <w:iCs/>
          <w:sz w:val="22"/>
          <w:lang w:val="sr-Cyrl-RS"/>
        </w:rPr>
      </w:pPr>
      <w:r w:rsidRPr="00EF2F18">
        <w:rPr>
          <w:rFonts w:cs="Times New Roman"/>
          <w:sz w:val="22"/>
          <w:lang w:val="sr-Cyrl-RS"/>
        </w:rPr>
        <w:t xml:space="preserve">Неке од кључних међународних финансијских институција које могу нудити кредите за одрживи развој за зелене пројекте у </w:t>
      </w:r>
      <w:r w:rsidRPr="00EF2F18">
        <w:rPr>
          <w:rFonts w:cs="Times New Roman"/>
          <w:sz w:val="22"/>
          <w:lang w:val="sr-Cyrl-RS" w:eastAsia="en-GB"/>
        </w:rPr>
        <w:t>Републици</w:t>
      </w:r>
      <w:r w:rsidRPr="00EF2F18">
        <w:rPr>
          <w:rFonts w:cs="Times New Roman"/>
          <w:sz w:val="22"/>
          <w:lang w:val="sr-Cyrl-RS"/>
        </w:rPr>
        <w:t xml:space="preserve"> Србији укључују:</w:t>
      </w:r>
    </w:p>
    <w:p w14:paraId="135269AC" w14:textId="689CD790" w:rsidR="00C84E32" w:rsidRPr="00EF2F18" w:rsidRDefault="00C84E32" w:rsidP="00313E8E">
      <w:pPr>
        <w:pStyle w:val="ListParagraph"/>
        <w:numPr>
          <w:ilvl w:val="0"/>
          <w:numId w:val="22"/>
        </w:numPr>
        <w:spacing w:after="0"/>
        <w:contextualSpacing w:val="0"/>
        <w:jc w:val="both"/>
        <w:rPr>
          <w:rFonts w:cs="Times New Roman"/>
          <w:sz w:val="22"/>
          <w:lang w:val="sr-Cyrl-RS"/>
        </w:rPr>
      </w:pPr>
      <w:r w:rsidRPr="00EF2F18">
        <w:rPr>
          <w:rFonts w:cs="Times New Roman"/>
          <w:b/>
          <w:bCs/>
          <w:sz w:val="22"/>
          <w:lang w:val="sr-Cyrl-RS"/>
        </w:rPr>
        <w:t>Европска инвестициона банка</w:t>
      </w:r>
      <w:r w:rsidR="00D67F34" w:rsidRPr="00EF2F18">
        <w:rPr>
          <w:rFonts w:cs="Times New Roman"/>
          <w:b/>
          <w:bCs/>
          <w:sz w:val="22"/>
          <w:lang w:val="sr-Cyrl-RS"/>
        </w:rPr>
        <w:t xml:space="preserve"> (</w:t>
      </w:r>
      <w:r w:rsidRPr="00EF2F18">
        <w:rPr>
          <w:rFonts w:cs="Times New Roman"/>
          <w:b/>
          <w:bCs/>
          <w:sz w:val="22"/>
          <w:lang w:val="sr-Cyrl-RS"/>
        </w:rPr>
        <w:t>ЕИБ</w:t>
      </w:r>
      <w:r w:rsidR="00D67F34" w:rsidRPr="00EF2F18">
        <w:rPr>
          <w:rFonts w:cs="Times New Roman"/>
          <w:b/>
          <w:bCs/>
          <w:sz w:val="22"/>
          <w:lang w:val="sr-Cyrl-RS"/>
        </w:rPr>
        <w:t>)</w:t>
      </w:r>
      <w:r w:rsidRPr="00EF2F18">
        <w:rPr>
          <w:rFonts w:cs="Times New Roman"/>
          <w:b/>
          <w:bCs/>
          <w:i/>
          <w:iCs/>
          <w:sz w:val="22"/>
          <w:lang w:val="sr-Cyrl-RS"/>
        </w:rPr>
        <w:t>.</w:t>
      </w:r>
      <w:r w:rsidRPr="00EF2F18">
        <w:rPr>
          <w:rFonts w:cs="Times New Roman"/>
          <w:sz w:val="22"/>
          <w:lang w:val="sr-Cyrl-RS"/>
        </w:rPr>
        <w:t xml:space="preserve"> ЕИБ обезбеђује финансирање и подршку пројектима одрживе инфраструктуре у Западном Балкану, укључујући пројекте усмерене на обновљиву енергију, енергетску ефикасност и заштиту животне средине.</w:t>
      </w:r>
    </w:p>
    <w:p w14:paraId="5BACA314" w14:textId="7AD07E4D" w:rsidR="00C84E32" w:rsidRPr="00EF2F18" w:rsidRDefault="00C84E32" w:rsidP="00313E8E">
      <w:pPr>
        <w:pStyle w:val="ListParagraph"/>
        <w:numPr>
          <w:ilvl w:val="1"/>
          <w:numId w:val="21"/>
        </w:numPr>
        <w:spacing w:after="0"/>
        <w:ind w:left="1434" w:hanging="357"/>
        <w:contextualSpacing w:val="0"/>
        <w:jc w:val="both"/>
        <w:rPr>
          <w:rFonts w:cs="Times New Roman"/>
          <w:sz w:val="22"/>
          <w:lang w:val="sr-Cyrl-RS"/>
        </w:rPr>
      </w:pPr>
      <w:r w:rsidRPr="00EF2F18">
        <w:rPr>
          <w:rFonts w:cs="Times New Roman"/>
          <w:sz w:val="22"/>
          <w:lang w:val="sr-Cyrl-RS"/>
        </w:rPr>
        <w:t xml:space="preserve">ЕИБ је активан у </w:t>
      </w:r>
      <w:r w:rsidRPr="00EF2F18">
        <w:rPr>
          <w:rFonts w:cs="Times New Roman"/>
          <w:sz w:val="22"/>
          <w:lang w:val="sr-Cyrl-RS" w:eastAsia="en-GB"/>
        </w:rPr>
        <w:t xml:space="preserve">Републици </w:t>
      </w:r>
      <w:r w:rsidRPr="00EF2F18">
        <w:rPr>
          <w:rFonts w:cs="Times New Roman"/>
          <w:sz w:val="22"/>
          <w:lang w:val="sr-Cyrl-RS"/>
        </w:rPr>
        <w:t>Србији од 1977. године. Од 2001. године, ЕИБ обезбеђује финансије за подршку кључним инфраструктурним пројектима, као и малим и средњим предузећима, индустрији, услугама и локалн</w:t>
      </w:r>
      <w:r w:rsidR="00EE6F5A" w:rsidRPr="00EF2F18">
        <w:rPr>
          <w:rFonts w:cs="Times New Roman"/>
          <w:sz w:val="22"/>
          <w:lang w:val="sr-Cyrl-RS"/>
        </w:rPr>
        <w:t>им властима;</w:t>
      </w:r>
    </w:p>
    <w:p w14:paraId="08F92DEE" w14:textId="104FAAE9" w:rsidR="00C84E32" w:rsidRPr="00EF2F18" w:rsidRDefault="00C84E32" w:rsidP="00313E8E">
      <w:pPr>
        <w:pStyle w:val="ListParagraph"/>
        <w:numPr>
          <w:ilvl w:val="0"/>
          <w:numId w:val="22"/>
        </w:numPr>
        <w:spacing w:after="0"/>
        <w:contextualSpacing w:val="0"/>
        <w:jc w:val="both"/>
        <w:rPr>
          <w:rFonts w:cs="Times New Roman"/>
          <w:sz w:val="22"/>
          <w:lang w:val="sr-Cyrl-RS"/>
        </w:rPr>
      </w:pPr>
      <w:r w:rsidRPr="00EF2F18">
        <w:rPr>
          <w:rFonts w:cs="Times New Roman"/>
          <w:b/>
          <w:bCs/>
          <w:sz w:val="22"/>
          <w:lang w:val="sr-Cyrl-RS"/>
        </w:rPr>
        <w:t>Европска банка за обнову и развој</w:t>
      </w:r>
      <w:r w:rsidR="00D67F34" w:rsidRPr="00EF2F18">
        <w:rPr>
          <w:rFonts w:cs="Times New Roman"/>
          <w:b/>
          <w:bCs/>
          <w:sz w:val="22"/>
          <w:lang w:val="sr-Cyrl-RS"/>
        </w:rPr>
        <w:t xml:space="preserve"> (</w:t>
      </w:r>
      <w:r w:rsidRPr="00EF2F18">
        <w:rPr>
          <w:rFonts w:cs="Times New Roman"/>
          <w:b/>
          <w:bCs/>
          <w:sz w:val="22"/>
          <w:lang w:val="sr-Cyrl-RS"/>
        </w:rPr>
        <w:t>ЕБРД</w:t>
      </w:r>
      <w:r w:rsidR="00D67F34" w:rsidRPr="00EF2F18">
        <w:rPr>
          <w:rFonts w:cs="Times New Roman"/>
          <w:b/>
          <w:bCs/>
          <w:sz w:val="22"/>
          <w:lang w:val="sr-Cyrl-RS"/>
        </w:rPr>
        <w:t>)</w:t>
      </w:r>
      <w:r w:rsidRPr="00EF2F18">
        <w:rPr>
          <w:rFonts w:cs="Times New Roman"/>
          <w:sz w:val="22"/>
          <w:lang w:val="sr-Cyrl-RS"/>
        </w:rPr>
        <w:t>. ЕБРД инвестира у различите секторе у Западном Балкану, укључујући и зелене пројекте, као што су обновљива енергија, енергетска ефикасност и одржива инфраструктура.</w:t>
      </w:r>
    </w:p>
    <w:p w14:paraId="5A63BA02" w14:textId="7D0C16D7" w:rsidR="00C84E32" w:rsidRPr="00EF2F18" w:rsidRDefault="00C84E32" w:rsidP="00313E8E">
      <w:pPr>
        <w:pStyle w:val="ListParagraph"/>
        <w:numPr>
          <w:ilvl w:val="1"/>
          <w:numId w:val="21"/>
        </w:numPr>
        <w:spacing w:after="0"/>
        <w:ind w:left="1434" w:hanging="357"/>
        <w:contextualSpacing w:val="0"/>
        <w:jc w:val="both"/>
        <w:rPr>
          <w:rFonts w:cs="Times New Roman"/>
          <w:sz w:val="22"/>
          <w:lang w:val="sr-Cyrl-RS"/>
        </w:rPr>
      </w:pPr>
      <w:r w:rsidRPr="00EF2F18">
        <w:rPr>
          <w:rFonts w:cs="Times New Roman"/>
          <w:sz w:val="22"/>
          <w:lang w:val="sr-Cyrl-RS"/>
        </w:rPr>
        <w:t xml:space="preserve">У </w:t>
      </w:r>
      <w:r w:rsidRPr="00EF2F18">
        <w:rPr>
          <w:rFonts w:cs="Times New Roman"/>
          <w:sz w:val="22"/>
          <w:lang w:val="sr-Cyrl-RS" w:eastAsia="en-GB"/>
        </w:rPr>
        <w:t xml:space="preserve">Републици </w:t>
      </w:r>
      <w:r w:rsidRPr="00EF2F18">
        <w:rPr>
          <w:rFonts w:cs="Times New Roman"/>
          <w:sz w:val="22"/>
          <w:lang w:val="sr-Cyrl-RS"/>
        </w:rPr>
        <w:t>Србији, ЕБРД је фокусиран на унапређење улоге и конкурентности приватног сектора, посебно у агробизнису, јачање банкарског сектора, подршку процесима приватизације и повећање ефикасности комуналних услуга</w:t>
      </w:r>
      <w:r w:rsidR="00184ED5" w:rsidRPr="00EF2F18">
        <w:rPr>
          <w:rFonts w:cs="Times New Roman"/>
          <w:sz w:val="22"/>
          <w:lang w:val="sr-Cyrl-RS"/>
        </w:rPr>
        <w:t xml:space="preserve"> – сектор управљања отпадом</w:t>
      </w:r>
      <w:r w:rsidR="00EE6F5A" w:rsidRPr="00EF2F18">
        <w:rPr>
          <w:rFonts w:cs="Times New Roman"/>
          <w:sz w:val="22"/>
          <w:lang w:val="sr-Cyrl-RS"/>
        </w:rPr>
        <w:t xml:space="preserve"> и енергије;</w:t>
      </w:r>
    </w:p>
    <w:p w14:paraId="1E2965BC" w14:textId="6E1C77D6" w:rsidR="00C90FFE" w:rsidRPr="00EF2F18" w:rsidRDefault="009614A0" w:rsidP="00313E8E">
      <w:pPr>
        <w:pStyle w:val="ListParagraph"/>
        <w:numPr>
          <w:ilvl w:val="0"/>
          <w:numId w:val="22"/>
        </w:numPr>
        <w:spacing w:after="0"/>
        <w:contextualSpacing w:val="0"/>
        <w:jc w:val="both"/>
        <w:rPr>
          <w:rFonts w:cs="Times New Roman"/>
          <w:sz w:val="22"/>
          <w:lang w:val="sr-Cyrl-RS"/>
        </w:rPr>
      </w:pPr>
      <w:r w:rsidRPr="00EF2F18">
        <w:rPr>
          <w:rFonts w:cs="Times New Roman"/>
          <w:b/>
          <w:bCs/>
          <w:sz w:val="22"/>
          <w:lang w:val="sr-Cyrl-RS"/>
        </w:rPr>
        <w:t>Француска развојна агенција (AFD)</w:t>
      </w:r>
      <w:r w:rsidR="00593244" w:rsidRPr="00EF2F18">
        <w:rPr>
          <w:rFonts w:cs="Times New Roman"/>
          <w:sz w:val="22"/>
          <w:lang w:val="sr-Cyrl-RS"/>
        </w:rPr>
        <w:t>. Учешће у програму LIID je највећа инвестиција АФД у Републици Србији, за повећање отпорности саобраћајне инфраструктуре на климатске промене, озелењавање јавних површина, развој система паметних градова и одрживе урбане мобилности; поред тога АФД инвестира у сектор управљања отпадом</w:t>
      </w:r>
      <w:r w:rsidR="00184ED5" w:rsidRPr="00EF2F18">
        <w:rPr>
          <w:rFonts w:cs="Times New Roman"/>
          <w:sz w:val="22"/>
          <w:lang w:val="sr-Cyrl-RS"/>
        </w:rPr>
        <w:t>.</w:t>
      </w:r>
    </w:p>
    <w:p w14:paraId="000B14FB" w14:textId="23680D56" w:rsidR="00C90FFE" w:rsidRPr="00EF2F18" w:rsidRDefault="00C90FFE" w:rsidP="00313E8E">
      <w:pPr>
        <w:pStyle w:val="ListParagraph"/>
        <w:numPr>
          <w:ilvl w:val="0"/>
          <w:numId w:val="22"/>
        </w:numPr>
        <w:spacing w:after="0"/>
        <w:contextualSpacing w:val="0"/>
        <w:jc w:val="both"/>
        <w:rPr>
          <w:b/>
          <w:bCs/>
          <w:i/>
          <w:iCs/>
          <w:sz w:val="22"/>
          <w:lang w:val="sr-Cyrl-RS"/>
        </w:rPr>
      </w:pPr>
      <w:r w:rsidRPr="00EF2F18">
        <w:rPr>
          <w:rFonts w:cs="Times New Roman"/>
          <w:b/>
          <w:bCs/>
          <w:sz w:val="22"/>
          <w:lang w:val="sr-Cyrl-RS"/>
        </w:rPr>
        <w:t>Светска банка</w:t>
      </w:r>
      <w:r w:rsidR="000414E6" w:rsidRPr="00EF2F18">
        <w:rPr>
          <w:rFonts w:cs="Times New Roman"/>
          <w:sz w:val="22"/>
          <w:lang w:val="sr-Cyrl-RS"/>
        </w:rPr>
        <w:t xml:space="preserve">, </w:t>
      </w:r>
      <w:r w:rsidR="00184ED5" w:rsidRPr="00EF2F18">
        <w:rPr>
          <w:rFonts w:cs="Times New Roman"/>
          <w:sz w:val="22"/>
          <w:lang w:val="sr-Cyrl-RS"/>
        </w:rPr>
        <w:t>тренутно инвестира у LIID програм и друге зелене пројекте у Републици Србији;</w:t>
      </w:r>
    </w:p>
    <w:p w14:paraId="785838C3" w14:textId="3B88A2BA" w:rsidR="00C84E32" w:rsidRPr="00EF2F18" w:rsidRDefault="00E21FA6" w:rsidP="00313E8E">
      <w:pPr>
        <w:pStyle w:val="ListParagraph"/>
        <w:numPr>
          <w:ilvl w:val="0"/>
          <w:numId w:val="22"/>
        </w:numPr>
        <w:spacing w:after="0"/>
        <w:contextualSpacing w:val="0"/>
        <w:jc w:val="both"/>
        <w:rPr>
          <w:b/>
          <w:bCs/>
          <w:i/>
          <w:iCs/>
          <w:sz w:val="22"/>
          <w:lang w:val="sr-Cyrl-RS"/>
        </w:rPr>
      </w:pPr>
      <w:r w:rsidRPr="00EF2F18">
        <w:rPr>
          <w:b/>
          <w:bCs/>
          <w:sz w:val="22"/>
          <w:lang w:val="sr-Cyrl-RS"/>
        </w:rPr>
        <w:t>Немачка државна развојна банка</w:t>
      </w:r>
      <w:r w:rsidR="00D67F34" w:rsidRPr="00EF2F18">
        <w:rPr>
          <w:b/>
          <w:bCs/>
          <w:sz w:val="22"/>
          <w:lang w:val="sr-Cyrl-RS"/>
        </w:rPr>
        <w:t xml:space="preserve"> (</w:t>
      </w:r>
      <w:r w:rsidRPr="00EF2F18">
        <w:rPr>
          <w:b/>
          <w:bCs/>
          <w:sz w:val="22"/>
          <w:lang w:val="sr-Cyrl-RS"/>
        </w:rPr>
        <w:t>KfW</w:t>
      </w:r>
      <w:r w:rsidR="00D67F34" w:rsidRPr="00EF2F18">
        <w:rPr>
          <w:b/>
          <w:bCs/>
          <w:sz w:val="22"/>
          <w:lang w:val="sr-Cyrl-RS"/>
        </w:rPr>
        <w:t>)</w:t>
      </w:r>
      <w:r w:rsidRPr="00EF2F18">
        <w:rPr>
          <w:sz w:val="22"/>
          <w:lang w:val="sr-Cyrl-RS"/>
        </w:rPr>
        <w:t xml:space="preserve"> пласира средства путем банака. Ове кредитне линије омогућавају улагање у </w:t>
      </w:r>
      <w:r w:rsidR="00184ED5" w:rsidRPr="00EF2F18">
        <w:rPr>
          <w:rFonts w:cs="Times New Roman"/>
          <w:sz w:val="22"/>
          <w:lang w:val="sr-Cyrl-RS"/>
        </w:rPr>
        <w:t>сектор управљања отпадом и отпадним водама</w:t>
      </w:r>
      <w:r w:rsidRPr="00EF2F18">
        <w:rPr>
          <w:rFonts w:cs="Times New Roman"/>
          <w:sz w:val="22"/>
          <w:lang w:val="sr-Cyrl-RS"/>
        </w:rPr>
        <w:t xml:space="preserve">, </w:t>
      </w:r>
      <w:r w:rsidR="00DF3C30" w:rsidRPr="00EF2F18">
        <w:rPr>
          <w:rFonts w:cs="Times New Roman"/>
          <w:sz w:val="22"/>
          <w:lang w:val="sr-Cyrl-RS"/>
        </w:rPr>
        <w:t>енергетска ефикасно</w:t>
      </w:r>
      <w:r w:rsidR="00C46BA3" w:rsidRPr="00EF2F18">
        <w:rPr>
          <w:rFonts w:cs="Times New Roman"/>
          <w:sz w:val="22"/>
          <w:lang w:val="sr-Cyrl-RS"/>
        </w:rPr>
        <w:t>с</w:t>
      </w:r>
      <w:r w:rsidR="00DF3C30" w:rsidRPr="00EF2F18">
        <w:rPr>
          <w:rFonts w:cs="Times New Roman"/>
          <w:sz w:val="22"/>
          <w:lang w:val="sr-Cyrl-RS"/>
        </w:rPr>
        <w:t>т</w:t>
      </w:r>
      <w:r w:rsidR="00EE6F5A" w:rsidRPr="00EF2F18">
        <w:rPr>
          <w:rFonts w:cs="Times New Roman"/>
          <w:sz w:val="22"/>
          <w:lang w:val="sr-Cyrl-RS"/>
        </w:rPr>
        <w:t>, системи даљинског грејања итд</w:t>
      </w:r>
      <w:r w:rsidR="00184ED5" w:rsidRPr="00EF2F18">
        <w:rPr>
          <w:rFonts w:cs="Times New Roman"/>
          <w:sz w:val="22"/>
          <w:lang w:val="sr-Cyrl-RS"/>
        </w:rPr>
        <w:t xml:space="preserve">; </w:t>
      </w:r>
    </w:p>
    <w:p w14:paraId="69AA0504" w14:textId="64C4A548" w:rsidR="00C84E32" w:rsidRPr="00EF2F18" w:rsidRDefault="00147D74" w:rsidP="00313E8E">
      <w:pPr>
        <w:pStyle w:val="ListParagraph"/>
        <w:numPr>
          <w:ilvl w:val="0"/>
          <w:numId w:val="22"/>
        </w:numPr>
        <w:spacing w:after="0"/>
        <w:contextualSpacing w:val="0"/>
        <w:jc w:val="both"/>
        <w:rPr>
          <w:sz w:val="22"/>
          <w:lang w:val="sr-Cyrl-RS"/>
        </w:rPr>
      </w:pPr>
      <w:r w:rsidRPr="00EF2F18">
        <w:rPr>
          <w:b/>
          <w:bCs/>
          <w:sz w:val="22"/>
          <w:lang w:val="sr-Cyrl-RS"/>
        </w:rPr>
        <w:t>Банка за развој Савета Европе</w:t>
      </w:r>
      <w:r w:rsidRPr="00EF2F18">
        <w:rPr>
          <w:sz w:val="22"/>
          <w:lang w:val="sr-Cyrl-RS"/>
        </w:rPr>
        <w:t xml:space="preserve"> </w:t>
      </w:r>
      <w:r w:rsidR="000414E6" w:rsidRPr="00EF2F18">
        <w:rPr>
          <w:b/>
          <w:bCs/>
          <w:sz w:val="22"/>
          <w:lang w:val="sr-Cyrl-RS"/>
        </w:rPr>
        <w:t>(</w:t>
      </w:r>
      <w:r w:rsidR="00C90FFE" w:rsidRPr="00EF2F18">
        <w:rPr>
          <w:b/>
          <w:bCs/>
          <w:sz w:val="22"/>
          <w:lang w:val="sr-Cyrl-RS"/>
        </w:rPr>
        <w:t>CEB</w:t>
      </w:r>
      <w:r w:rsidR="000414E6" w:rsidRPr="00EF2F18">
        <w:rPr>
          <w:b/>
          <w:bCs/>
          <w:sz w:val="22"/>
          <w:lang w:val="sr-Cyrl-RS"/>
        </w:rPr>
        <w:t>)</w:t>
      </w:r>
      <w:r w:rsidRPr="00EF2F18">
        <w:rPr>
          <w:b/>
          <w:bCs/>
          <w:sz w:val="22"/>
          <w:lang w:val="sr-Cyrl-RS"/>
        </w:rPr>
        <w:t xml:space="preserve"> </w:t>
      </w:r>
      <w:r w:rsidRPr="00EF2F18">
        <w:rPr>
          <w:sz w:val="22"/>
          <w:lang w:val="sr-Cyrl-RS"/>
        </w:rPr>
        <w:t xml:space="preserve">улаже у пројекте </w:t>
      </w:r>
      <w:r w:rsidR="00184ED5" w:rsidRPr="00EF2F18">
        <w:rPr>
          <w:sz w:val="22"/>
          <w:lang w:val="sr-Cyrl-RS"/>
        </w:rPr>
        <w:t>водоснабдевањ</w:t>
      </w:r>
      <w:r w:rsidR="00E21FA6" w:rsidRPr="00EF2F18">
        <w:rPr>
          <w:sz w:val="22"/>
          <w:lang w:val="sr-Cyrl-RS"/>
        </w:rPr>
        <w:t>а</w:t>
      </w:r>
      <w:r w:rsidR="00184ED5" w:rsidRPr="00EF2F18">
        <w:rPr>
          <w:sz w:val="22"/>
          <w:lang w:val="sr-Cyrl-RS"/>
        </w:rPr>
        <w:t>, сакупљањ</w:t>
      </w:r>
      <w:r w:rsidR="00E21FA6" w:rsidRPr="00EF2F18">
        <w:rPr>
          <w:sz w:val="22"/>
          <w:lang w:val="sr-Cyrl-RS"/>
        </w:rPr>
        <w:t>а</w:t>
      </w:r>
      <w:r w:rsidR="00184ED5" w:rsidRPr="00EF2F18">
        <w:rPr>
          <w:sz w:val="22"/>
          <w:lang w:val="sr-Cyrl-RS"/>
        </w:rPr>
        <w:t xml:space="preserve"> и пречишћавањ</w:t>
      </w:r>
      <w:r w:rsidR="00E21FA6" w:rsidRPr="00EF2F18">
        <w:rPr>
          <w:sz w:val="22"/>
          <w:lang w:val="sr-Cyrl-RS"/>
        </w:rPr>
        <w:t>а</w:t>
      </w:r>
      <w:r w:rsidR="00184ED5" w:rsidRPr="00EF2F18">
        <w:rPr>
          <w:sz w:val="22"/>
          <w:lang w:val="sr-Cyrl-RS"/>
        </w:rPr>
        <w:t xml:space="preserve"> отпадних вода</w:t>
      </w:r>
      <w:r w:rsidR="00EE6F5A" w:rsidRPr="00EF2F18">
        <w:rPr>
          <w:sz w:val="22"/>
          <w:lang w:val="sr-Cyrl-RS"/>
        </w:rPr>
        <w:t>, енергетске ефикасности итд</w:t>
      </w:r>
      <w:r w:rsidR="00184ED5" w:rsidRPr="00EF2F18">
        <w:rPr>
          <w:sz w:val="22"/>
          <w:lang w:val="sr-Cyrl-RS"/>
        </w:rPr>
        <w:t>;</w:t>
      </w:r>
      <w:r w:rsidR="000414E6" w:rsidRPr="00EF2F18">
        <w:rPr>
          <w:sz w:val="22"/>
          <w:lang w:val="sr-Cyrl-RS"/>
        </w:rPr>
        <w:t xml:space="preserve"> </w:t>
      </w:r>
    </w:p>
    <w:p w14:paraId="328C0D36" w14:textId="117E3504" w:rsidR="00BF18C9" w:rsidRPr="00EF2F18" w:rsidRDefault="00C90FFE" w:rsidP="00313E8E">
      <w:pPr>
        <w:pStyle w:val="ListParagraph"/>
        <w:numPr>
          <w:ilvl w:val="0"/>
          <w:numId w:val="22"/>
        </w:numPr>
        <w:spacing w:after="0"/>
        <w:contextualSpacing w:val="0"/>
        <w:jc w:val="both"/>
        <w:rPr>
          <w:rFonts w:cs="Times New Roman"/>
          <w:b/>
          <w:bCs/>
          <w:sz w:val="22"/>
          <w:lang w:val="sr-Cyrl-RS"/>
        </w:rPr>
      </w:pPr>
      <w:r w:rsidRPr="00EF2F18">
        <w:rPr>
          <w:b/>
          <w:bCs/>
          <w:sz w:val="22"/>
          <w:lang w:val="sr-Cyrl-RS"/>
        </w:rPr>
        <w:t>China – CRBC</w:t>
      </w:r>
      <w:r w:rsidR="00BF18C9" w:rsidRPr="00EF2F18">
        <w:rPr>
          <w:b/>
          <w:bCs/>
          <w:sz w:val="22"/>
          <w:lang w:val="sr-Cyrl-RS"/>
        </w:rPr>
        <w:t xml:space="preserve"> </w:t>
      </w:r>
      <w:r w:rsidR="00184ED5" w:rsidRPr="00EF2F18">
        <w:rPr>
          <w:rFonts w:cs="Times New Roman"/>
          <w:sz w:val="22"/>
          <w:lang w:val="sr-Cyrl-RS"/>
        </w:rPr>
        <w:t>инвестира у сектор управљања отпадом и отпадним водама;</w:t>
      </w:r>
    </w:p>
    <w:p w14:paraId="71BE1E79" w14:textId="574F7398" w:rsidR="00C90FFE" w:rsidRPr="00EF2F18" w:rsidRDefault="00C90FFE" w:rsidP="00313E8E">
      <w:pPr>
        <w:pStyle w:val="ListParagraph"/>
        <w:numPr>
          <w:ilvl w:val="0"/>
          <w:numId w:val="22"/>
        </w:numPr>
        <w:spacing w:after="0"/>
        <w:contextualSpacing w:val="0"/>
        <w:jc w:val="both"/>
        <w:rPr>
          <w:b/>
          <w:bCs/>
          <w:i/>
          <w:iCs/>
          <w:sz w:val="22"/>
          <w:lang w:val="sr-Cyrl-RS"/>
        </w:rPr>
      </w:pPr>
      <w:r w:rsidRPr="00EF2F18">
        <w:rPr>
          <w:rFonts w:cs="Times New Roman"/>
          <w:b/>
          <w:bCs/>
          <w:sz w:val="22"/>
          <w:lang w:val="sr-Cyrl-RS"/>
        </w:rPr>
        <w:t>China Export &amp; Credit Insurance Corporation</w:t>
      </w:r>
      <w:r w:rsidR="000414E6" w:rsidRPr="00EF2F18">
        <w:rPr>
          <w:rFonts w:cs="Times New Roman"/>
          <w:sz w:val="22"/>
          <w:lang w:val="sr-Cyrl-RS"/>
        </w:rPr>
        <w:t xml:space="preserve">, </w:t>
      </w:r>
      <w:r w:rsidR="00184ED5" w:rsidRPr="00EF2F18">
        <w:rPr>
          <w:b/>
          <w:bCs/>
          <w:sz w:val="22"/>
          <w:lang w:val="sr-Cyrl-RS"/>
        </w:rPr>
        <w:t>C</w:t>
      </w:r>
      <w:r w:rsidR="00DF3C30" w:rsidRPr="00EF2F18">
        <w:rPr>
          <w:b/>
          <w:bCs/>
          <w:sz w:val="22"/>
          <w:lang w:val="sr-Cyrl-RS"/>
        </w:rPr>
        <w:t>ECIC</w:t>
      </w:r>
      <w:r w:rsidR="00184ED5" w:rsidRPr="00EF2F18">
        <w:rPr>
          <w:b/>
          <w:bCs/>
          <w:sz w:val="22"/>
          <w:lang w:val="sr-Cyrl-RS"/>
        </w:rPr>
        <w:t xml:space="preserve"> </w:t>
      </w:r>
      <w:r w:rsidR="00184ED5" w:rsidRPr="00EF2F18">
        <w:rPr>
          <w:rFonts w:cs="Times New Roman"/>
          <w:sz w:val="22"/>
          <w:lang w:val="sr-Cyrl-RS"/>
        </w:rPr>
        <w:t>инвестира у сектор управљања отпадним водама</w:t>
      </w:r>
      <w:r w:rsidR="00C46BA3" w:rsidRPr="00EF2F18">
        <w:rPr>
          <w:rFonts w:cs="Times New Roman"/>
          <w:sz w:val="22"/>
          <w:lang w:val="sr-Cyrl-RS"/>
        </w:rPr>
        <w:t>;</w:t>
      </w:r>
    </w:p>
    <w:p w14:paraId="37E36456" w14:textId="337952AA" w:rsidR="00184ED5" w:rsidRPr="00EF2F18" w:rsidRDefault="000414E6" w:rsidP="00313E8E">
      <w:pPr>
        <w:pStyle w:val="ListParagraph"/>
        <w:numPr>
          <w:ilvl w:val="0"/>
          <w:numId w:val="22"/>
        </w:numPr>
        <w:spacing w:after="0"/>
        <w:contextualSpacing w:val="0"/>
        <w:jc w:val="both"/>
        <w:rPr>
          <w:sz w:val="22"/>
          <w:lang w:val="sr-Cyrl-RS"/>
        </w:rPr>
      </w:pPr>
      <w:r w:rsidRPr="00EF2F18">
        <w:rPr>
          <w:b/>
          <w:bCs/>
          <w:sz w:val="22"/>
          <w:lang w:val="sr-Cyrl-RS"/>
        </w:rPr>
        <w:t>Мађарска кредитна линија</w:t>
      </w:r>
      <w:r w:rsidRPr="00EF2F18">
        <w:rPr>
          <w:sz w:val="22"/>
          <w:lang w:val="sr-Cyrl-RS"/>
        </w:rPr>
        <w:t xml:space="preserve"> </w:t>
      </w:r>
      <w:r w:rsidR="00184ED5" w:rsidRPr="00EF2F18">
        <w:rPr>
          <w:rFonts w:cs="Times New Roman"/>
          <w:sz w:val="22"/>
          <w:lang w:val="sr-Cyrl-RS"/>
        </w:rPr>
        <w:t xml:space="preserve">инвестира у </w:t>
      </w:r>
      <w:r w:rsidR="00184ED5" w:rsidRPr="00EF2F18">
        <w:rPr>
          <w:sz w:val="22"/>
          <w:lang w:val="sr-Cyrl-RS"/>
        </w:rPr>
        <w:t>сакупља</w:t>
      </w:r>
      <w:r w:rsidR="00EE6F5A" w:rsidRPr="00EF2F18">
        <w:rPr>
          <w:sz w:val="22"/>
          <w:lang w:val="sr-Cyrl-RS"/>
        </w:rPr>
        <w:t>ње и пречишћавање отпадних вода;</w:t>
      </w:r>
    </w:p>
    <w:p w14:paraId="2CA0D663" w14:textId="46CD7456" w:rsidR="00C46BA3" w:rsidRPr="00EF2F18" w:rsidRDefault="00C46BA3" w:rsidP="00313E8E">
      <w:pPr>
        <w:pStyle w:val="ListParagraph"/>
        <w:numPr>
          <w:ilvl w:val="0"/>
          <w:numId w:val="22"/>
        </w:numPr>
        <w:spacing w:after="0"/>
        <w:contextualSpacing w:val="0"/>
        <w:jc w:val="both"/>
        <w:rPr>
          <w:sz w:val="22"/>
          <w:lang w:val="sr-Cyrl-RS"/>
        </w:rPr>
      </w:pPr>
      <w:r w:rsidRPr="00EF2F18">
        <w:rPr>
          <w:b/>
          <w:bCs/>
          <w:sz w:val="22"/>
          <w:lang w:val="sr-Cyrl-RS"/>
        </w:rPr>
        <w:t>друге финансијске институције.</w:t>
      </w:r>
    </w:p>
    <w:p w14:paraId="7E308370" w14:textId="1A522543" w:rsidR="002A10E0" w:rsidRPr="00EF2F18" w:rsidRDefault="0010054D" w:rsidP="000414E6">
      <w:pPr>
        <w:pStyle w:val="ListParagraph"/>
        <w:spacing w:after="0"/>
        <w:ind w:left="360"/>
        <w:contextualSpacing w:val="0"/>
        <w:jc w:val="both"/>
        <w:rPr>
          <w:sz w:val="22"/>
          <w:lang w:val="sr-Cyrl-RS"/>
        </w:rPr>
      </w:pPr>
      <w:r w:rsidRPr="00EF2F18">
        <w:rPr>
          <w:sz w:val="22"/>
          <w:lang w:val="sr-Cyrl-RS"/>
        </w:rPr>
        <w:t xml:space="preserve"> </w:t>
      </w:r>
    </w:p>
    <w:p w14:paraId="3D13A39C" w14:textId="101E3E81" w:rsidR="002F2922" w:rsidRPr="00EF2F18" w:rsidRDefault="002F2922" w:rsidP="00EE6F5A">
      <w:pPr>
        <w:spacing w:after="0"/>
        <w:ind w:firstLine="720"/>
        <w:rPr>
          <w:b/>
          <w:bCs/>
          <w:i/>
          <w:iCs/>
          <w:sz w:val="22"/>
          <w:lang w:val="sr-Cyrl-RS"/>
        </w:rPr>
      </w:pPr>
      <w:r w:rsidRPr="00EF2F18">
        <w:rPr>
          <w:b/>
          <w:bCs/>
          <w:i/>
          <w:iCs/>
          <w:sz w:val="22"/>
          <w:lang w:val="sr-Cyrl-RS"/>
        </w:rPr>
        <w:t>Зелене обвезнице</w:t>
      </w:r>
    </w:p>
    <w:p w14:paraId="35787363" w14:textId="77777777" w:rsidR="002F2922" w:rsidRPr="00EF2F18" w:rsidRDefault="002F2922" w:rsidP="002F2922">
      <w:pPr>
        <w:spacing w:after="0"/>
        <w:ind w:firstLine="720"/>
        <w:jc w:val="both"/>
        <w:rPr>
          <w:rFonts w:cs="Times New Roman"/>
          <w:sz w:val="22"/>
          <w:lang w:val="sr-Cyrl-RS"/>
        </w:rPr>
      </w:pPr>
      <w:r w:rsidRPr="00EF2F18">
        <w:rPr>
          <w:rFonts w:cs="Times New Roman"/>
          <w:sz w:val="22"/>
          <w:lang w:val="sr-Cyrl-RS"/>
        </w:rPr>
        <w:t>Зелене обвезнице су уведене као одговор на растућу потребу за ублажавањем климатских промена и прелазак на нискоугљеничну економију. Основни циљ зелених обвезница је привлачење инвестиција које подржавају пројекте са позитивним утицајем на животну средину, као што су капацитети за производњу обновљиве енергије, побољшање енергетске ефикасности, одрживо управљање водом и иницијативе за зелени саобраћај.</w:t>
      </w:r>
    </w:p>
    <w:p w14:paraId="68EF5D07" w14:textId="77777777" w:rsidR="002F2922" w:rsidRPr="00EF2F18" w:rsidRDefault="002F2922" w:rsidP="002F2922">
      <w:pPr>
        <w:spacing w:after="0"/>
        <w:ind w:firstLine="720"/>
        <w:jc w:val="both"/>
        <w:rPr>
          <w:rFonts w:cs="Times New Roman"/>
          <w:sz w:val="22"/>
          <w:lang w:val="sr-Cyrl-RS"/>
        </w:rPr>
      </w:pPr>
      <w:r w:rsidRPr="00EF2F18">
        <w:rPr>
          <w:rFonts w:cs="Times New Roman"/>
          <w:sz w:val="22"/>
          <w:lang w:val="sr-Cyrl-RS"/>
        </w:rPr>
        <w:t xml:space="preserve">Механизам примене зелених обвезница укључује неколико кључних корака. Прво, издаваоци, обично владе, локалне самоуправе, корпорације или финансијске институције, идентификују зелене пројекте који се слажу са унапред дефинисаним еколошким критеријумима. Ти критеријуми се успостављају како би се осигурало да пројекти финансирани зеленим обвезницама заиста доприносе одрживом развоју. Након избора одговарајућих пројеката, издавалац одређује укупан износ потребних средстава и услове обвезнице, као што су рок доспећа и каматна стопа. Након што се зелене обвезнице издају, инвеститори их могу купити </w:t>
      </w:r>
      <w:r w:rsidRPr="00EF2F18">
        <w:rPr>
          <w:rFonts w:cs="Times New Roman"/>
          <w:sz w:val="22"/>
          <w:lang w:val="sr-Cyrl-RS"/>
        </w:rPr>
        <w:lastRenderedPageBreak/>
        <w:t>на отвореном тржишту. Зелене обвезнице су интересантне инвеститорима не само због финансијских повраћаја, већ и због друштвених и еколошких користи које пружају. Власници обвезница примају редовне каматне исплате током трајања обвезнице. По доспећу, издавалац враћа вредност обвезнице власницима.</w:t>
      </w:r>
    </w:p>
    <w:p w14:paraId="41D0BAFF" w14:textId="77777777" w:rsidR="002F2922" w:rsidRPr="00EF2F18" w:rsidRDefault="002F2922" w:rsidP="002F2922">
      <w:pPr>
        <w:spacing w:after="0"/>
        <w:ind w:firstLine="720"/>
        <w:jc w:val="both"/>
        <w:rPr>
          <w:rFonts w:cs="Times New Roman"/>
          <w:sz w:val="22"/>
          <w:lang w:val="sr-Cyrl-RS"/>
        </w:rPr>
      </w:pPr>
      <w:r w:rsidRPr="00EF2F18">
        <w:rPr>
          <w:rFonts w:cs="Times New Roman"/>
          <w:sz w:val="22"/>
          <w:lang w:val="sr-Cyrl-RS"/>
        </w:rPr>
        <w:t>Зелене обвезнице пружају неколико предности за финансирање зелених пројеката. Прво, оне обезбеђују транспарентност и одговорност, јер се средства користе искључиво за финансирање зелених пројеката и у еколошки корисне сврхе, што омогућава инвеститорима да прате употребу свог новца. Друго, доступност зелених обвезница подстиче компаније и владе да предузму више одрживих иницијатива и ускладе своје активности са циљевима заштите животне средине, декарбонизације, митигације и адаптације на климатске промене. С обзиром на наставак раста потражње за одрживим инвестицијама, очекује се да ће зелене обвезнице остати кључан инструмент за финансирање зелених пројеката широм света.</w:t>
      </w:r>
    </w:p>
    <w:p w14:paraId="7FA2A039" w14:textId="77777777" w:rsidR="002F2922" w:rsidRPr="00EF2F18" w:rsidRDefault="002F2922" w:rsidP="002F2922">
      <w:pPr>
        <w:spacing w:after="0"/>
        <w:ind w:firstLine="720"/>
        <w:jc w:val="both"/>
        <w:rPr>
          <w:rStyle w:val="rynqvb"/>
          <w:rFonts w:cs="Times New Roman"/>
          <w:sz w:val="22"/>
          <w:lang w:val="sr-Cyrl-RS"/>
        </w:rPr>
      </w:pPr>
      <w:r w:rsidRPr="00EF2F18">
        <w:rPr>
          <w:rFonts w:cs="Times New Roman"/>
          <w:sz w:val="22"/>
          <w:lang w:val="sr-Cyrl-RS"/>
        </w:rPr>
        <w:t xml:space="preserve">У септембру 2021. године, први пут у својој историји, Влада Републике Србије емитовала је зелену обвезницу на међународним тржиштима. Седмогодишње хартије од вредности од милијарду ЕУР имају стопу купона од 1% годишње и остварују принос од 1,26%. </w:t>
      </w:r>
      <w:r w:rsidRPr="00EF2F18">
        <w:rPr>
          <w:rStyle w:val="rynqvb"/>
          <w:rFonts w:cs="Times New Roman"/>
          <w:sz w:val="22"/>
          <w:lang w:val="sr-Cyrl-RS"/>
        </w:rPr>
        <w:t xml:space="preserve">Издавање зелене обвезнице је значајна прекретница, омогућавајући Републици Србији да повећа јавне и приватне инвестиције како би се отвориле могућности за одрживи раст и олакшало финансирање националних и локалних приоритетa за митигацију и адаптацију на климатске промене. </w:t>
      </w:r>
    </w:p>
    <w:p w14:paraId="1CE9B7E0" w14:textId="77777777" w:rsidR="002F2922" w:rsidRPr="00EF2F18" w:rsidRDefault="002F2922" w:rsidP="002F2922">
      <w:pPr>
        <w:spacing w:after="0"/>
        <w:ind w:firstLine="720"/>
        <w:jc w:val="both"/>
        <w:rPr>
          <w:rStyle w:val="rynqvb"/>
          <w:rFonts w:cs="Times New Roman"/>
          <w:sz w:val="22"/>
          <w:lang w:val="sr-Cyrl-RS"/>
        </w:rPr>
      </w:pPr>
      <w:r w:rsidRPr="00EF2F18">
        <w:rPr>
          <w:rStyle w:val="rynqvb"/>
          <w:rFonts w:cs="Times New Roman"/>
          <w:sz w:val="22"/>
          <w:lang w:val="sr-Cyrl-RS"/>
        </w:rPr>
        <w:t xml:space="preserve">У складу са поступком селекције пројеката у оквиру </w:t>
      </w:r>
      <w:r w:rsidRPr="00EF2F18">
        <w:rPr>
          <w:rFonts w:cs="Times New Roman"/>
          <w:i/>
          <w:iCs/>
          <w:sz w:val="22"/>
          <w:lang w:val="sr-Cyrl-RS"/>
        </w:rPr>
        <w:t>Serbian Green Bond Framework (GBF)</w:t>
      </w:r>
      <w:r w:rsidRPr="00EF2F18">
        <w:rPr>
          <w:rFonts w:cs="Times New Roman"/>
          <w:sz w:val="22"/>
          <w:lang w:val="sr-Cyrl-RS"/>
        </w:rPr>
        <w:t>,</w:t>
      </w:r>
      <w:r w:rsidRPr="00EF2F18">
        <w:rPr>
          <w:rStyle w:val="rynqvb"/>
          <w:rFonts w:cs="Times New Roman"/>
          <w:sz w:val="22"/>
          <w:lang w:val="sr-Cyrl-RS"/>
        </w:rPr>
        <w:t xml:space="preserve"> нето приход од зелених обвезница је расподељен за трошкове у буџету Владе Републике Србије који доприносе климатским и еколошким циљевима Србије, циљевима УН одрживог развоја (</w:t>
      </w:r>
      <w:r w:rsidRPr="00EF2F18">
        <w:rPr>
          <w:rStyle w:val="rynqvb"/>
          <w:rFonts w:cs="Times New Roman"/>
          <w:i/>
          <w:iCs/>
          <w:sz w:val="22"/>
          <w:lang w:val="sr-Cyrl-RS"/>
        </w:rPr>
        <w:t>SDG</w:t>
      </w:r>
      <w:r w:rsidRPr="00EF2F18">
        <w:rPr>
          <w:rStyle w:val="rynqvb"/>
          <w:rFonts w:cs="Times New Roman"/>
          <w:sz w:val="22"/>
          <w:lang w:val="sr-Cyrl-RS"/>
        </w:rPr>
        <w:t xml:space="preserve">) и Споразуму из Париза. Општи циљеви и обавезе Владе утврђени су у </w:t>
      </w:r>
      <w:r w:rsidRPr="00EF2F18">
        <w:rPr>
          <w:rFonts w:cs="Times New Roman"/>
          <w:i/>
          <w:iCs/>
          <w:sz w:val="22"/>
          <w:lang w:val="sr-Cyrl-RS"/>
        </w:rPr>
        <w:t>Serbian Green Bond Framework (GBF)</w:t>
      </w:r>
      <w:r w:rsidRPr="00EF2F18">
        <w:rPr>
          <w:rStyle w:val="rynqvb"/>
          <w:rFonts w:cs="Times New Roman"/>
          <w:sz w:val="22"/>
          <w:lang w:val="sr-Cyrl-RS"/>
        </w:rPr>
        <w:t xml:space="preserve">. У оквиру </w:t>
      </w:r>
      <w:r w:rsidRPr="00EF2F18">
        <w:rPr>
          <w:rFonts w:cs="Times New Roman"/>
          <w:i/>
          <w:iCs/>
          <w:sz w:val="22"/>
          <w:lang w:val="sr-Cyrl-RS"/>
        </w:rPr>
        <w:t>GBF</w:t>
      </w:r>
      <w:r w:rsidRPr="00EF2F18">
        <w:rPr>
          <w:rStyle w:val="rynqvb"/>
          <w:rFonts w:cs="Times New Roman"/>
          <w:sz w:val="22"/>
          <w:lang w:val="sr-Cyrl-RS"/>
        </w:rPr>
        <w:t>-а назначено је шест категорија које се могу користити за расподелу прихода од зелених обвезница, и то:</w:t>
      </w:r>
    </w:p>
    <w:p w14:paraId="4D3FC7F1" w14:textId="7B008E69" w:rsidR="002F2922" w:rsidRPr="00EF2F18" w:rsidRDefault="002F2922" w:rsidP="00313E8E">
      <w:pPr>
        <w:pStyle w:val="ListParagraph"/>
        <w:numPr>
          <w:ilvl w:val="0"/>
          <w:numId w:val="20"/>
        </w:numPr>
        <w:spacing w:after="0"/>
        <w:jc w:val="both"/>
        <w:rPr>
          <w:rStyle w:val="rynqvb"/>
          <w:rFonts w:cs="Times New Roman"/>
          <w:sz w:val="22"/>
          <w:lang w:val="sr-Cyrl-RS"/>
        </w:rPr>
      </w:pPr>
      <w:r w:rsidRPr="00EF2F18">
        <w:rPr>
          <w:rStyle w:val="rynqvb"/>
          <w:rFonts w:cs="Times New Roman"/>
          <w:sz w:val="22"/>
          <w:lang w:val="sr-Cyrl-RS"/>
        </w:rPr>
        <w:t>Обновљива енергија</w:t>
      </w:r>
      <w:r w:rsidR="009D63A7" w:rsidRPr="00EF2F18">
        <w:rPr>
          <w:rStyle w:val="rynqvb"/>
          <w:rFonts w:cs="Times New Roman"/>
          <w:sz w:val="22"/>
          <w:lang w:val="sr-Cyrl-RS"/>
        </w:rPr>
        <w:t>;</w:t>
      </w:r>
    </w:p>
    <w:p w14:paraId="22E651E7" w14:textId="1998462E" w:rsidR="002F2922" w:rsidRPr="00EF2F18" w:rsidRDefault="002F2922" w:rsidP="00313E8E">
      <w:pPr>
        <w:pStyle w:val="ListParagraph"/>
        <w:numPr>
          <w:ilvl w:val="0"/>
          <w:numId w:val="20"/>
        </w:numPr>
        <w:spacing w:after="0"/>
        <w:jc w:val="both"/>
        <w:rPr>
          <w:rStyle w:val="rynqvb"/>
          <w:rFonts w:cs="Times New Roman"/>
          <w:sz w:val="22"/>
          <w:lang w:val="sr-Cyrl-RS"/>
        </w:rPr>
      </w:pPr>
      <w:r w:rsidRPr="00EF2F18">
        <w:rPr>
          <w:rStyle w:val="rynqvb"/>
          <w:rFonts w:cs="Times New Roman"/>
          <w:sz w:val="22"/>
          <w:lang w:val="sr-Cyrl-RS"/>
        </w:rPr>
        <w:t>Енергетска ефикасност</w:t>
      </w:r>
      <w:r w:rsidR="009D63A7" w:rsidRPr="00EF2F18">
        <w:rPr>
          <w:rStyle w:val="rynqvb"/>
          <w:rFonts w:cs="Times New Roman"/>
          <w:sz w:val="22"/>
          <w:lang w:val="sr-Cyrl-RS"/>
        </w:rPr>
        <w:t>;</w:t>
      </w:r>
    </w:p>
    <w:p w14:paraId="78E0CD3A" w14:textId="29B11999" w:rsidR="002F2922" w:rsidRPr="00EF2F18" w:rsidRDefault="002F2922" w:rsidP="00313E8E">
      <w:pPr>
        <w:pStyle w:val="ListParagraph"/>
        <w:numPr>
          <w:ilvl w:val="0"/>
          <w:numId w:val="20"/>
        </w:numPr>
        <w:spacing w:after="0"/>
        <w:jc w:val="both"/>
        <w:rPr>
          <w:rStyle w:val="rynqvb"/>
          <w:rFonts w:cs="Times New Roman"/>
          <w:sz w:val="22"/>
          <w:lang w:val="sr-Cyrl-RS"/>
        </w:rPr>
      </w:pPr>
      <w:r w:rsidRPr="00EF2F18">
        <w:rPr>
          <w:rStyle w:val="rynqvb"/>
          <w:rFonts w:cs="Times New Roman"/>
          <w:sz w:val="22"/>
          <w:lang w:val="sr-Cyrl-RS"/>
        </w:rPr>
        <w:t>Транспорт</w:t>
      </w:r>
      <w:r w:rsidR="009D63A7" w:rsidRPr="00EF2F18">
        <w:rPr>
          <w:rStyle w:val="rynqvb"/>
          <w:rFonts w:cs="Times New Roman"/>
          <w:sz w:val="22"/>
          <w:lang w:val="sr-Cyrl-RS"/>
        </w:rPr>
        <w:t>;</w:t>
      </w:r>
    </w:p>
    <w:p w14:paraId="632E20C1" w14:textId="050AAD03" w:rsidR="002F2922" w:rsidRPr="00EF2F18" w:rsidRDefault="002F2922" w:rsidP="00313E8E">
      <w:pPr>
        <w:pStyle w:val="ListParagraph"/>
        <w:numPr>
          <w:ilvl w:val="0"/>
          <w:numId w:val="20"/>
        </w:numPr>
        <w:spacing w:after="0"/>
        <w:jc w:val="both"/>
        <w:rPr>
          <w:rStyle w:val="rynqvb"/>
          <w:rFonts w:cs="Times New Roman"/>
          <w:sz w:val="22"/>
          <w:lang w:val="sr-Cyrl-RS"/>
        </w:rPr>
      </w:pPr>
      <w:r w:rsidRPr="00EF2F18">
        <w:rPr>
          <w:rStyle w:val="rynqvb"/>
          <w:rFonts w:cs="Times New Roman"/>
          <w:sz w:val="22"/>
          <w:lang w:val="sr-Cyrl-RS"/>
        </w:rPr>
        <w:t>Одрживо управљање водама и отпадним водама</w:t>
      </w:r>
      <w:r w:rsidR="009D63A7" w:rsidRPr="00EF2F18">
        <w:rPr>
          <w:rStyle w:val="rynqvb"/>
          <w:rFonts w:cs="Times New Roman"/>
          <w:sz w:val="22"/>
          <w:lang w:val="sr-Cyrl-RS"/>
        </w:rPr>
        <w:t>;</w:t>
      </w:r>
    </w:p>
    <w:p w14:paraId="7BAB8186" w14:textId="7DC64B83" w:rsidR="002F2922" w:rsidRPr="00EF2F18" w:rsidRDefault="002F2922" w:rsidP="00313E8E">
      <w:pPr>
        <w:pStyle w:val="ListParagraph"/>
        <w:numPr>
          <w:ilvl w:val="0"/>
          <w:numId w:val="20"/>
        </w:numPr>
        <w:spacing w:after="0"/>
        <w:jc w:val="both"/>
        <w:rPr>
          <w:rStyle w:val="rynqvb"/>
          <w:rFonts w:cs="Times New Roman"/>
          <w:sz w:val="22"/>
          <w:lang w:val="sr-Cyrl-RS"/>
        </w:rPr>
      </w:pPr>
      <w:r w:rsidRPr="00EF2F18">
        <w:rPr>
          <w:rStyle w:val="rynqvb"/>
          <w:rFonts w:cs="Times New Roman"/>
          <w:sz w:val="22"/>
          <w:lang w:val="sr-Cyrl-RS"/>
        </w:rPr>
        <w:t>Заштита животне средине, превенција и контрола загађења</w:t>
      </w:r>
      <w:r w:rsidR="009D63A7" w:rsidRPr="00EF2F18">
        <w:rPr>
          <w:rStyle w:val="rynqvb"/>
          <w:rFonts w:cs="Times New Roman"/>
          <w:sz w:val="22"/>
          <w:lang w:val="sr-Cyrl-RS"/>
        </w:rPr>
        <w:t>;</w:t>
      </w:r>
    </w:p>
    <w:p w14:paraId="7D94E3B8" w14:textId="77777777" w:rsidR="002F2922" w:rsidRPr="00EF2F18" w:rsidRDefault="002F2922" w:rsidP="00313E8E">
      <w:pPr>
        <w:pStyle w:val="ListParagraph"/>
        <w:numPr>
          <w:ilvl w:val="0"/>
          <w:numId w:val="20"/>
        </w:numPr>
        <w:spacing w:after="0"/>
        <w:contextualSpacing w:val="0"/>
        <w:jc w:val="both"/>
        <w:rPr>
          <w:rStyle w:val="rynqvb"/>
          <w:rFonts w:cs="Times New Roman"/>
          <w:sz w:val="22"/>
          <w:lang w:val="sr-Cyrl-RS"/>
        </w:rPr>
      </w:pPr>
      <w:r w:rsidRPr="00EF2F18">
        <w:rPr>
          <w:rStyle w:val="rynqvb"/>
          <w:rFonts w:cs="Times New Roman"/>
          <w:sz w:val="22"/>
          <w:lang w:val="sr-Cyrl-RS"/>
        </w:rPr>
        <w:t>Заштита животне средине, биодиверзитета и одржива пољопривреда.</w:t>
      </w:r>
    </w:p>
    <w:p w14:paraId="53F0F55D" w14:textId="5837E889" w:rsidR="002F2922" w:rsidRPr="00EF2F18" w:rsidRDefault="002F2922" w:rsidP="002F2922">
      <w:pPr>
        <w:spacing w:after="0"/>
        <w:ind w:firstLine="714"/>
        <w:jc w:val="both"/>
        <w:rPr>
          <w:rStyle w:val="rynqvb"/>
          <w:rFonts w:cs="Times New Roman"/>
          <w:sz w:val="22"/>
          <w:lang w:val="sr-Cyrl-RS"/>
        </w:rPr>
      </w:pPr>
      <w:r w:rsidRPr="00EF2F18">
        <w:rPr>
          <w:rStyle w:val="rynqvb"/>
          <w:rFonts w:cs="Times New Roman"/>
          <w:sz w:val="22"/>
          <w:lang w:val="sr-Cyrl-RS"/>
        </w:rPr>
        <w:t xml:space="preserve">Зелена обвезница издата од стране Владе има намеру искључиво да финансира или рефинансира, у целини или делимично, трошкове који су део буџета Владе, а усмерени су ка промовисању преласка </w:t>
      </w:r>
      <w:r w:rsidRPr="00EF2F18">
        <w:rPr>
          <w:rFonts w:cs="Times New Roman"/>
          <w:sz w:val="22"/>
          <w:lang w:val="sr-Cyrl-RS" w:eastAsia="en-GB"/>
        </w:rPr>
        <w:t xml:space="preserve">Републике </w:t>
      </w:r>
      <w:r w:rsidRPr="00EF2F18">
        <w:rPr>
          <w:rStyle w:val="rynqvb"/>
          <w:rFonts w:cs="Times New Roman"/>
          <w:sz w:val="22"/>
          <w:lang w:val="sr-Cyrl-RS"/>
        </w:rPr>
        <w:t>Србије ка нискоугљеничној, климатски отпорној и еколошкој економији, као и доприносу циљевима УН одрживог развоја.</w:t>
      </w:r>
      <w:r w:rsidRPr="00EF2F18">
        <w:rPr>
          <w:rFonts w:cs="Times New Roman"/>
          <w:sz w:val="22"/>
          <w:lang w:val="sr-Cyrl-RS"/>
        </w:rPr>
        <w:t xml:space="preserve"> Другим речима</w:t>
      </w:r>
      <w:r w:rsidRPr="00EF2F18">
        <w:rPr>
          <w:rFonts w:cs="Times New Roman"/>
          <w:i/>
          <w:iCs/>
          <w:sz w:val="22"/>
          <w:lang w:val="sr-Cyrl-RS"/>
        </w:rPr>
        <w:t>, GBF</w:t>
      </w:r>
      <w:r w:rsidRPr="00EF2F18">
        <w:rPr>
          <w:rStyle w:val="rynqvb"/>
          <w:rFonts w:cs="Times New Roman"/>
          <w:sz w:val="22"/>
          <w:lang w:val="sr-Cyrl-RS"/>
        </w:rPr>
        <w:t xml:space="preserve"> је омогућио ретроактивну алокацију прихода од емисије зелене обвезнице. Влада је одлучила да искористи ову могућност и, у складу са критеријумима утврђеним у оквиру </w:t>
      </w:r>
      <w:r w:rsidRPr="00EF2F18">
        <w:rPr>
          <w:rFonts w:cs="Times New Roman"/>
          <w:i/>
          <w:iCs/>
          <w:sz w:val="22"/>
          <w:lang w:val="sr-Cyrl-RS"/>
        </w:rPr>
        <w:t>GBF</w:t>
      </w:r>
      <w:r w:rsidRPr="00EF2F18">
        <w:rPr>
          <w:rStyle w:val="rynqvb"/>
          <w:rFonts w:cs="Times New Roman"/>
          <w:sz w:val="22"/>
          <w:lang w:val="sr-Cyrl-RS"/>
        </w:rPr>
        <w:t>, као прихватљиви зелени расходи (</w:t>
      </w:r>
      <w:r w:rsidRPr="00EF2F18">
        <w:rPr>
          <w:rStyle w:val="rynqvb"/>
          <w:rFonts w:cs="Times New Roman"/>
          <w:i/>
          <w:iCs/>
          <w:sz w:val="22"/>
          <w:lang w:val="sr-Cyrl-RS"/>
        </w:rPr>
        <w:t>„Eligible Green Expenditure”</w:t>
      </w:r>
      <w:r w:rsidRPr="00EF2F18">
        <w:rPr>
          <w:rStyle w:val="rynqvb"/>
          <w:rFonts w:cs="Times New Roman"/>
          <w:sz w:val="22"/>
          <w:lang w:val="sr-Cyrl-RS"/>
        </w:rPr>
        <w:t xml:space="preserve">) прикаже остварене расходе буџета по основу релевантних пројеката из периода од 2018. до 2020. године. Пројекти су бирани и анализирани у блиској сарадњи са релевантним министарствима и агенцијама, и потпуно су се придржавали захтева </w:t>
      </w:r>
      <w:r w:rsidRPr="00EF2F18">
        <w:rPr>
          <w:rFonts w:cs="Times New Roman"/>
          <w:i/>
          <w:iCs/>
          <w:sz w:val="22"/>
          <w:lang w:val="sr-Cyrl-RS"/>
        </w:rPr>
        <w:t>GBF</w:t>
      </w:r>
      <w:r w:rsidRPr="00EF2F18">
        <w:rPr>
          <w:rStyle w:val="rynqvb"/>
          <w:rFonts w:cs="Times New Roman"/>
          <w:sz w:val="22"/>
          <w:lang w:val="sr-Cyrl-RS"/>
        </w:rPr>
        <w:t xml:space="preserve">-а. </w:t>
      </w:r>
    </w:p>
    <w:p w14:paraId="5E01E3CC" w14:textId="7BD61B4D" w:rsidR="002F2922" w:rsidRPr="00EF2F18" w:rsidRDefault="007B73B7" w:rsidP="002F2922">
      <w:pPr>
        <w:spacing w:after="0"/>
        <w:ind w:firstLine="714"/>
        <w:jc w:val="both"/>
        <w:rPr>
          <w:rFonts w:cs="Times New Roman"/>
          <w:sz w:val="22"/>
          <w:lang w:val="sr-Cyrl-RS"/>
        </w:rPr>
      </w:pPr>
      <w:r w:rsidRPr="00EF2F18">
        <w:rPr>
          <w:rStyle w:val="rynqvb"/>
          <w:sz w:val="22"/>
          <w:lang w:val="sr-Cyrl-RS"/>
        </w:rPr>
        <w:t>До краја 2023. године, целокупни приходи од емисија зелене обвезнице било је расподељено и инвестирано у циљане приоритете везане за климу и животну средину у укупно 91 пројекат у шест кључних економских сектора</w:t>
      </w:r>
      <w:r w:rsidR="002F2922" w:rsidRPr="00EF2F18">
        <w:rPr>
          <w:rFonts w:cs="Times New Roman"/>
          <w:sz w:val="22"/>
          <w:lang w:val="sr-Cyrl-RS"/>
        </w:rPr>
        <w:t xml:space="preserve">. </w:t>
      </w:r>
    </w:p>
    <w:p w14:paraId="098D0259" w14:textId="77777777" w:rsidR="002F2922" w:rsidRPr="00EF2F18" w:rsidRDefault="002F2922" w:rsidP="002F2922">
      <w:pPr>
        <w:spacing w:after="0"/>
        <w:jc w:val="both"/>
        <w:rPr>
          <w:rFonts w:cs="Times New Roman"/>
          <w:sz w:val="22"/>
          <w:lang w:val="sr-Cyrl-RS"/>
        </w:rPr>
      </w:pPr>
    </w:p>
    <w:p w14:paraId="019FBFC4" w14:textId="5DB87FA9" w:rsidR="002F2922" w:rsidRPr="00EF2F18" w:rsidRDefault="002F2922" w:rsidP="002F2922">
      <w:pPr>
        <w:spacing w:after="0"/>
        <w:jc w:val="both"/>
        <w:rPr>
          <w:rFonts w:cs="Times New Roman"/>
          <w:sz w:val="22"/>
          <w:lang w:val="sr-Cyrl-RS"/>
        </w:rPr>
      </w:pPr>
      <w:r w:rsidRPr="00EF2F18">
        <w:rPr>
          <w:rFonts w:cs="Times New Roman"/>
          <w:b/>
          <w:bCs/>
          <w:sz w:val="22"/>
          <w:lang w:val="sr-Cyrl-RS"/>
        </w:rPr>
        <w:t>Табела 7.</w:t>
      </w:r>
      <w:r w:rsidR="00DE1478" w:rsidRPr="00EF2F18">
        <w:rPr>
          <w:rFonts w:cs="Times New Roman"/>
          <w:b/>
          <w:bCs/>
          <w:sz w:val="22"/>
          <w:lang w:val="sr-Cyrl-RS"/>
        </w:rPr>
        <w:t>6</w:t>
      </w:r>
      <w:r w:rsidRPr="00EF2F18">
        <w:rPr>
          <w:rFonts w:cs="Times New Roman"/>
          <w:b/>
          <w:bCs/>
          <w:sz w:val="22"/>
          <w:lang w:val="sr-Cyrl-RS"/>
        </w:rPr>
        <w:t>.</w:t>
      </w:r>
      <w:r w:rsidRPr="00EF2F18">
        <w:rPr>
          <w:rFonts w:cs="Times New Roman"/>
          <w:sz w:val="22"/>
          <w:lang w:val="sr-Cyrl-RS"/>
        </w:rPr>
        <w:t xml:space="preserve"> Расподела прихода од емисије зелене обвезнице </w:t>
      </w:r>
      <w:r w:rsidR="007B73B7" w:rsidRPr="00EF2F18">
        <w:rPr>
          <w:rFonts w:cs="Times New Roman"/>
          <w:sz w:val="22"/>
          <w:lang w:val="sr-Cyrl-RS"/>
        </w:rPr>
        <w:t xml:space="preserve">(2018-2023, у хиљадама </w:t>
      </w:r>
      <w:r w:rsidR="00DD0F76" w:rsidRPr="00EF2F18">
        <w:rPr>
          <w:rFonts w:cs="Times New Roman"/>
          <w:sz w:val="22"/>
          <w:lang w:val="sr-Cyrl-RS"/>
        </w:rPr>
        <w:t>ЕУР</w:t>
      </w:r>
      <w:r w:rsidR="007B73B7" w:rsidRPr="00EF2F18">
        <w:rPr>
          <w:rFonts w:cs="Times New Roman"/>
          <w:sz w:val="22"/>
          <w:lang w:val="sr-Cyrl-RS"/>
        </w:rPr>
        <w:t>)</w:t>
      </w:r>
      <w:r w:rsidR="007B73B7" w:rsidRPr="00EF2F18">
        <w:rPr>
          <w:rStyle w:val="FootnoteReference"/>
          <w:rFonts w:cs="Times New Roman"/>
          <w:sz w:val="22"/>
          <w:lang w:val="sr-Cyrl-RS"/>
        </w:rPr>
        <w:footnoteReference w:id="28"/>
      </w:r>
    </w:p>
    <w:tbl>
      <w:tblPr>
        <w:tblStyle w:val="TableGrid"/>
        <w:tblW w:w="9016" w:type="dxa"/>
        <w:jc w:val="center"/>
        <w:tblLook w:val="04A0" w:firstRow="1" w:lastRow="0" w:firstColumn="1" w:lastColumn="0" w:noHBand="0" w:noVBand="1"/>
      </w:tblPr>
      <w:tblGrid>
        <w:gridCol w:w="1859"/>
        <w:gridCol w:w="914"/>
        <w:gridCol w:w="914"/>
        <w:gridCol w:w="914"/>
        <w:gridCol w:w="914"/>
        <w:gridCol w:w="914"/>
        <w:gridCol w:w="814"/>
        <w:gridCol w:w="914"/>
        <w:gridCol w:w="859"/>
      </w:tblGrid>
      <w:tr w:rsidR="007B73B7" w:rsidRPr="00EF2F18" w14:paraId="2E87BB0E" w14:textId="77777777" w:rsidTr="00AF36A7">
        <w:trPr>
          <w:jc w:val="center"/>
        </w:trPr>
        <w:tc>
          <w:tcPr>
            <w:tcW w:w="0" w:type="auto"/>
            <w:shd w:val="clear" w:color="auto" w:fill="FFFFCC"/>
            <w:tcMar>
              <w:left w:w="57" w:type="dxa"/>
              <w:right w:w="57" w:type="dxa"/>
            </w:tcMar>
            <w:vAlign w:val="center"/>
          </w:tcPr>
          <w:p w14:paraId="54911339" w14:textId="77777777" w:rsidR="007B73B7" w:rsidRPr="00EF2F18" w:rsidRDefault="007B73B7" w:rsidP="00AF36A7">
            <w:pPr>
              <w:spacing w:after="0"/>
              <w:rPr>
                <w:rFonts w:cs="Times New Roman"/>
                <w:b/>
                <w:bCs/>
                <w:sz w:val="20"/>
                <w:szCs w:val="20"/>
                <w:lang w:val="sr-Cyrl-RS"/>
              </w:rPr>
            </w:pPr>
            <w:r w:rsidRPr="00EF2F18">
              <w:rPr>
                <w:rFonts w:cs="Times New Roman"/>
                <w:b/>
                <w:bCs/>
                <w:sz w:val="20"/>
                <w:szCs w:val="20"/>
                <w:lang w:val="sr-Cyrl-RS"/>
              </w:rPr>
              <w:t>Сектор</w:t>
            </w:r>
          </w:p>
        </w:tc>
        <w:tc>
          <w:tcPr>
            <w:tcW w:w="0" w:type="auto"/>
            <w:shd w:val="clear" w:color="auto" w:fill="FFFFCC"/>
            <w:tcMar>
              <w:left w:w="57" w:type="dxa"/>
              <w:right w:w="57" w:type="dxa"/>
            </w:tcMar>
            <w:vAlign w:val="center"/>
          </w:tcPr>
          <w:p w14:paraId="5C9B635F"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2018.</w:t>
            </w:r>
          </w:p>
        </w:tc>
        <w:tc>
          <w:tcPr>
            <w:tcW w:w="0" w:type="auto"/>
            <w:shd w:val="clear" w:color="auto" w:fill="FFFFCC"/>
            <w:tcMar>
              <w:left w:w="57" w:type="dxa"/>
              <w:right w:w="57" w:type="dxa"/>
            </w:tcMar>
            <w:vAlign w:val="center"/>
          </w:tcPr>
          <w:p w14:paraId="50402268"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2019.</w:t>
            </w:r>
          </w:p>
        </w:tc>
        <w:tc>
          <w:tcPr>
            <w:tcW w:w="0" w:type="auto"/>
            <w:shd w:val="clear" w:color="auto" w:fill="FFFFCC"/>
            <w:tcMar>
              <w:left w:w="57" w:type="dxa"/>
              <w:right w:w="57" w:type="dxa"/>
            </w:tcMar>
            <w:vAlign w:val="center"/>
          </w:tcPr>
          <w:p w14:paraId="4774C307"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2020.</w:t>
            </w:r>
          </w:p>
        </w:tc>
        <w:tc>
          <w:tcPr>
            <w:tcW w:w="0" w:type="auto"/>
            <w:shd w:val="clear" w:color="auto" w:fill="FFFFCC"/>
            <w:tcMar>
              <w:left w:w="57" w:type="dxa"/>
              <w:right w:w="57" w:type="dxa"/>
            </w:tcMar>
            <w:vAlign w:val="center"/>
          </w:tcPr>
          <w:p w14:paraId="656AB5D0"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2021.</w:t>
            </w:r>
          </w:p>
        </w:tc>
        <w:tc>
          <w:tcPr>
            <w:tcW w:w="0" w:type="auto"/>
            <w:shd w:val="clear" w:color="auto" w:fill="FFFFCC"/>
            <w:tcMar>
              <w:left w:w="57" w:type="dxa"/>
              <w:right w:w="57" w:type="dxa"/>
            </w:tcMar>
            <w:vAlign w:val="center"/>
          </w:tcPr>
          <w:p w14:paraId="49CDD756"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2022.</w:t>
            </w:r>
          </w:p>
        </w:tc>
        <w:tc>
          <w:tcPr>
            <w:tcW w:w="0" w:type="auto"/>
            <w:shd w:val="clear" w:color="auto" w:fill="FFFFCC"/>
            <w:tcMar>
              <w:left w:w="57" w:type="dxa"/>
              <w:right w:w="57" w:type="dxa"/>
            </w:tcMar>
            <w:vAlign w:val="center"/>
          </w:tcPr>
          <w:p w14:paraId="78CAD1DC"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2023.</w:t>
            </w:r>
          </w:p>
        </w:tc>
        <w:tc>
          <w:tcPr>
            <w:tcW w:w="0" w:type="auto"/>
            <w:shd w:val="clear" w:color="auto" w:fill="FFFFCC"/>
            <w:tcMar>
              <w:left w:w="57" w:type="dxa"/>
              <w:right w:w="57" w:type="dxa"/>
            </w:tcMar>
            <w:vAlign w:val="center"/>
          </w:tcPr>
          <w:p w14:paraId="17E1DA0A"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Укупно</w:t>
            </w:r>
          </w:p>
        </w:tc>
        <w:tc>
          <w:tcPr>
            <w:tcW w:w="0" w:type="auto"/>
            <w:shd w:val="clear" w:color="auto" w:fill="FFFFCC"/>
            <w:tcMar>
              <w:left w:w="57" w:type="dxa"/>
              <w:right w:w="57" w:type="dxa"/>
            </w:tcMar>
            <w:vAlign w:val="center"/>
          </w:tcPr>
          <w:p w14:paraId="4E766183" w14:textId="77777777" w:rsidR="007B73B7" w:rsidRPr="00EF2F18" w:rsidRDefault="007B73B7" w:rsidP="00AF36A7">
            <w:pPr>
              <w:spacing w:after="0"/>
              <w:jc w:val="center"/>
              <w:rPr>
                <w:rFonts w:cs="Times New Roman"/>
                <w:b/>
                <w:bCs/>
                <w:sz w:val="20"/>
                <w:szCs w:val="20"/>
                <w:lang w:val="sr-Cyrl-RS"/>
              </w:rPr>
            </w:pPr>
            <w:r w:rsidRPr="00EF2F18">
              <w:rPr>
                <w:rFonts w:cs="Times New Roman"/>
                <w:b/>
                <w:bCs/>
                <w:sz w:val="20"/>
                <w:szCs w:val="20"/>
                <w:lang w:val="sr-Cyrl-RS"/>
              </w:rPr>
              <w:t>% од емисије</w:t>
            </w:r>
          </w:p>
        </w:tc>
      </w:tr>
      <w:tr w:rsidR="007B73B7" w:rsidRPr="00EF2F18" w14:paraId="45B3853E" w14:textId="77777777" w:rsidTr="00AF36A7">
        <w:trPr>
          <w:jc w:val="center"/>
        </w:trPr>
        <w:tc>
          <w:tcPr>
            <w:tcW w:w="0" w:type="auto"/>
            <w:tcMar>
              <w:left w:w="57" w:type="dxa"/>
              <w:right w:w="57" w:type="dxa"/>
            </w:tcMar>
            <w:vAlign w:val="center"/>
          </w:tcPr>
          <w:p w14:paraId="281FC11C" w14:textId="77777777" w:rsidR="007B73B7" w:rsidRPr="00EF2F18" w:rsidRDefault="007B73B7" w:rsidP="00AF36A7">
            <w:pPr>
              <w:spacing w:after="0"/>
              <w:rPr>
                <w:rFonts w:cs="Times New Roman"/>
                <w:sz w:val="20"/>
                <w:szCs w:val="20"/>
                <w:lang w:val="sr-Cyrl-RS"/>
              </w:rPr>
            </w:pPr>
            <w:r w:rsidRPr="00EF2F18">
              <w:rPr>
                <w:rFonts w:cs="Times New Roman"/>
                <w:sz w:val="20"/>
                <w:szCs w:val="20"/>
                <w:lang w:val="sr-Cyrl-RS"/>
              </w:rPr>
              <w:t>Обновљива енергија</w:t>
            </w:r>
          </w:p>
        </w:tc>
        <w:tc>
          <w:tcPr>
            <w:tcW w:w="0" w:type="auto"/>
            <w:tcMar>
              <w:left w:w="57" w:type="dxa"/>
              <w:right w:w="57" w:type="dxa"/>
            </w:tcMar>
            <w:vAlign w:val="center"/>
          </w:tcPr>
          <w:p w14:paraId="65400B6A"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0,0</w:t>
            </w:r>
          </w:p>
        </w:tc>
        <w:tc>
          <w:tcPr>
            <w:tcW w:w="0" w:type="auto"/>
            <w:tcMar>
              <w:left w:w="57" w:type="dxa"/>
              <w:right w:w="57" w:type="dxa"/>
            </w:tcMar>
            <w:vAlign w:val="center"/>
          </w:tcPr>
          <w:p w14:paraId="6502BCD8" w14:textId="77777777" w:rsidR="007B73B7" w:rsidRPr="00EF2F18" w:rsidRDefault="007B73B7" w:rsidP="00AF36A7">
            <w:pPr>
              <w:spacing w:after="0"/>
              <w:jc w:val="right"/>
              <w:rPr>
                <w:rFonts w:cs="Times New Roman"/>
                <w:sz w:val="20"/>
                <w:szCs w:val="20"/>
                <w:lang w:val="sr-Cyrl-RS"/>
              </w:rPr>
            </w:pPr>
            <w:r w:rsidRPr="00EF2F18">
              <w:rPr>
                <w:rFonts w:cs="Times New Roman"/>
                <w:color w:val="231F20"/>
                <w:sz w:val="20"/>
                <w:szCs w:val="20"/>
                <w:lang w:val="sr-Cyrl-RS"/>
              </w:rPr>
              <w:t>-</w:t>
            </w:r>
          </w:p>
        </w:tc>
        <w:tc>
          <w:tcPr>
            <w:tcW w:w="0" w:type="auto"/>
            <w:tcMar>
              <w:left w:w="57" w:type="dxa"/>
              <w:right w:w="57" w:type="dxa"/>
            </w:tcMar>
            <w:vAlign w:val="center"/>
          </w:tcPr>
          <w:p w14:paraId="3513946B" w14:textId="77777777" w:rsidR="007B73B7" w:rsidRPr="00EF2F18" w:rsidRDefault="007B73B7" w:rsidP="00AF36A7">
            <w:pPr>
              <w:spacing w:after="0"/>
              <w:jc w:val="right"/>
              <w:rPr>
                <w:rFonts w:cs="Times New Roman"/>
                <w:sz w:val="20"/>
                <w:szCs w:val="20"/>
                <w:lang w:val="sr-Cyrl-RS"/>
              </w:rPr>
            </w:pPr>
            <w:r w:rsidRPr="00EF2F18">
              <w:rPr>
                <w:rFonts w:cs="Times New Roman"/>
                <w:color w:val="231F20"/>
                <w:sz w:val="20"/>
                <w:szCs w:val="20"/>
                <w:lang w:val="sr-Cyrl-RS"/>
              </w:rPr>
              <w:t>-</w:t>
            </w:r>
          </w:p>
        </w:tc>
        <w:tc>
          <w:tcPr>
            <w:tcW w:w="0" w:type="auto"/>
            <w:tcMar>
              <w:left w:w="57" w:type="dxa"/>
              <w:right w:w="57" w:type="dxa"/>
            </w:tcMar>
            <w:vAlign w:val="center"/>
          </w:tcPr>
          <w:p w14:paraId="4B31A091"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832,8</w:t>
            </w:r>
          </w:p>
        </w:tc>
        <w:tc>
          <w:tcPr>
            <w:tcW w:w="0" w:type="auto"/>
            <w:tcMar>
              <w:left w:w="57" w:type="dxa"/>
              <w:right w:w="57" w:type="dxa"/>
            </w:tcMar>
            <w:vAlign w:val="center"/>
          </w:tcPr>
          <w:p w14:paraId="49E9B065" w14:textId="77777777" w:rsidR="007B73B7" w:rsidRPr="00EF2F18" w:rsidRDefault="007B73B7" w:rsidP="00AF36A7">
            <w:pPr>
              <w:spacing w:after="0"/>
              <w:jc w:val="right"/>
              <w:rPr>
                <w:rFonts w:cs="Times New Roman"/>
                <w:sz w:val="20"/>
                <w:szCs w:val="20"/>
                <w:lang w:val="sr-Cyrl-RS"/>
              </w:rPr>
            </w:pPr>
            <w:r w:rsidRPr="00EF2F18">
              <w:rPr>
                <w:rFonts w:cs="Times New Roman"/>
                <w:color w:val="231F20"/>
                <w:sz w:val="20"/>
                <w:szCs w:val="20"/>
                <w:lang w:val="sr-Cyrl-RS"/>
              </w:rPr>
              <w:t>-</w:t>
            </w:r>
          </w:p>
        </w:tc>
        <w:tc>
          <w:tcPr>
            <w:tcW w:w="0" w:type="auto"/>
            <w:tcMar>
              <w:left w:w="57" w:type="dxa"/>
              <w:right w:w="57" w:type="dxa"/>
            </w:tcMar>
            <w:vAlign w:val="center"/>
          </w:tcPr>
          <w:p w14:paraId="2520E4BD" w14:textId="77777777" w:rsidR="007B73B7" w:rsidRPr="00EF2F18" w:rsidRDefault="007B73B7" w:rsidP="00AF36A7">
            <w:pPr>
              <w:spacing w:after="0"/>
              <w:jc w:val="right"/>
              <w:rPr>
                <w:rFonts w:cs="Times New Roman"/>
                <w:sz w:val="20"/>
                <w:szCs w:val="20"/>
                <w:lang w:val="sr-Cyrl-RS"/>
              </w:rPr>
            </w:pPr>
            <w:r w:rsidRPr="00EF2F18">
              <w:rPr>
                <w:rFonts w:cs="Times New Roman"/>
                <w:color w:val="231F20"/>
                <w:sz w:val="20"/>
                <w:szCs w:val="20"/>
                <w:lang w:val="sr-Cyrl-RS"/>
              </w:rPr>
              <w:t>-</w:t>
            </w:r>
          </w:p>
        </w:tc>
        <w:tc>
          <w:tcPr>
            <w:tcW w:w="0" w:type="auto"/>
            <w:tcMar>
              <w:left w:w="57" w:type="dxa"/>
              <w:right w:w="57" w:type="dxa"/>
            </w:tcMar>
            <w:vAlign w:val="center"/>
          </w:tcPr>
          <w:p w14:paraId="79F3FC86"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832,8</w:t>
            </w:r>
          </w:p>
        </w:tc>
        <w:tc>
          <w:tcPr>
            <w:tcW w:w="0" w:type="auto"/>
            <w:tcMar>
              <w:left w:w="57" w:type="dxa"/>
              <w:right w:w="57" w:type="dxa"/>
            </w:tcMar>
            <w:vAlign w:val="center"/>
          </w:tcPr>
          <w:p w14:paraId="202BA707" w14:textId="77777777" w:rsidR="007B73B7" w:rsidRPr="00EF2F18" w:rsidRDefault="007B73B7" w:rsidP="00AF36A7">
            <w:pPr>
              <w:spacing w:after="0"/>
              <w:jc w:val="right"/>
              <w:rPr>
                <w:rFonts w:cs="Times New Roman"/>
                <w:sz w:val="20"/>
                <w:szCs w:val="20"/>
                <w:lang w:val="sr-Cyrl-RS"/>
              </w:rPr>
            </w:pPr>
            <w:r w:rsidRPr="00EF2F18">
              <w:rPr>
                <w:rFonts w:cs="Times New Roman"/>
                <w:sz w:val="20"/>
                <w:szCs w:val="20"/>
                <w:lang w:val="sr-Cyrl-RS"/>
              </w:rPr>
              <w:t>0,1</w:t>
            </w:r>
          </w:p>
        </w:tc>
      </w:tr>
      <w:tr w:rsidR="007B73B7" w:rsidRPr="00EF2F18" w14:paraId="77FB9F09" w14:textId="77777777" w:rsidTr="00AF36A7">
        <w:trPr>
          <w:jc w:val="center"/>
        </w:trPr>
        <w:tc>
          <w:tcPr>
            <w:tcW w:w="0" w:type="auto"/>
            <w:tcMar>
              <w:left w:w="57" w:type="dxa"/>
              <w:right w:w="57" w:type="dxa"/>
            </w:tcMar>
          </w:tcPr>
          <w:p w14:paraId="130B833A" w14:textId="77777777" w:rsidR="007B73B7" w:rsidRPr="00EF2F18" w:rsidRDefault="007B73B7" w:rsidP="00AF36A7">
            <w:pPr>
              <w:spacing w:after="0"/>
              <w:rPr>
                <w:rFonts w:cs="Times New Roman"/>
                <w:sz w:val="20"/>
                <w:szCs w:val="20"/>
                <w:lang w:val="sr-Cyrl-RS"/>
              </w:rPr>
            </w:pPr>
            <w:r w:rsidRPr="00EF2F18">
              <w:rPr>
                <w:rFonts w:cs="Times New Roman"/>
                <w:sz w:val="20"/>
                <w:szCs w:val="20"/>
                <w:lang w:val="sr-Cyrl-RS"/>
              </w:rPr>
              <w:t>Енергетска ефикасност</w:t>
            </w:r>
          </w:p>
        </w:tc>
        <w:tc>
          <w:tcPr>
            <w:tcW w:w="0" w:type="auto"/>
            <w:tcMar>
              <w:left w:w="57" w:type="dxa"/>
              <w:right w:w="57" w:type="dxa"/>
            </w:tcMar>
            <w:vAlign w:val="center"/>
          </w:tcPr>
          <w:p w14:paraId="3BB60A88"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181,2</w:t>
            </w:r>
          </w:p>
        </w:tc>
        <w:tc>
          <w:tcPr>
            <w:tcW w:w="0" w:type="auto"/>
            <w:tcMar>
              <w:left w:w="57" w:type="dxa"/>
              <w:right w:w="57" w:type="dxa"/>
            </w:tcMar>
            <w:vAlign w:val="center"/>
          </w:tcPr>
          <w:p w14:paraId="51BEE1AA"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914,3</w:t>
            </w:r>
          </w:p>
        </w:tc>
        <w:tc>
          <w:tcPr>
            <w:tcW w:w="0" w:type="auto"/>
            <w:tcMar>
              <w:left w:w="57" w:type="dxa"/>
              <w:right w:w="57" w:type="dxa"/>
            </w:tcMar>
            <w:vAlign w:val="center"/>
          </w:tcPr>
          <w:p w14:paraId="22E423EE"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2.610,2</w:t>
            </w:r>
          </w:p>
        </w:tc>
        <w:tc>
          <w:tcPr>
            <w:tcW w:w="0" w:type="auto"/>
            <w:tcMar>
              <w:left w:w="57" w:type="dxa"/>
              <w:right w:w="57" w:type="dxa"/>
            </w:tcMar>
            <w:vAlign w:val="center"/>
          </w:tcPr>
          <w:p w14:paraId="25432DE4"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2.855,9</w:t>
            </w:r>
          </w:p>
        </w:tc>
        <w:tc>
          <w:tcPr>
            <w:tcW w:w="0" w:type="auto"/>
            <w:tcMar>
              <w:left w:w="57" w:type="dxa"/>
              <w:right w:w="57" w:type="dxa"/>
            </w:tcMar>
            <w:vAlign w:val="center"/>
          </w:tcPr>
          <w:p w14:paraId="1D4441CC"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8.884,4</w:t>
            </w:r>
          </w:p>
        </w:tc>
        <w:tc>
          <w:tcPr>
            <w:tcW w:w="0" w:type="auto"/>
            <w:tcMar>
              <w:left w:w="57" w:type="dxa"/>
              <w:right w:w="57" w:type="dxa"/>
            </w:tcMar>
            <w:vAlign w:val="center"/>
          </w:tcPr>
          <w:p w14:paraId="5E9CEAE7"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231F20"/>
                <w:sz w:val="20"/>
                <w:szCs w:val="20"/>
                <w:lang w:val="sr-Cyrl-RS"/>
              </w:rPr>
              <w:t>-</w:t>
            </w:r>
          </w:p>
        </w:tc>
        <w:tc>
          <w:tcPr>
            <w:tcW w:w="0" w:type="auto"/>
            <w:tcMar>
              <w:left w:w="57" w:type="dxa"/>
              <w:right w:w="57" w:type="dxa"/>
            </w:tcMar>
            <w:vAlign w:val="center"/>
          </w:tcPr>
          <w:p w14:paraId="44EC77CF"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15.446,0</w:t>
            </w:r>
          </w:p>
        </w:tc>
        <w:tc>
          <w:tcPr>
            <w:tcW w:w="0" w:type="auto"/>
            <w:tcMar>
              <w:left w:w="57" w:type="dxa"/>
              <w:right w:w="57" w:type="dxa"/>
            </w:tcMar>
            <w:vAlign w:val="center"/>
          </w:tcPr>
          <w:p w14:paraId="3EBD1C83" w14:textId="77777777" w:rsidR="007B73B7" w:rsidRPr="00EF2F18" w:rsidRDefault="007B73B7" w:rsidP="00AF36A7">
            <w:pPr>
              <w:spacing w:after="0"/>
              <w:jc w:val="right"/>
              <w:rPr>
                <w:rFonts w:cs="Times New Roman"/>
                <w:b/>
                <w:bCs/>
                <w:sz w:val="20"/>
                <w:szCs w:val="20"/>
                <w:lang w:val="sr-Cyrl-RS"/>
              </w:rPr>
            </w:pPr>
            <w:r w:rsidRPr="00EF2F18">
              <w:rPr>
                <w:rFonts w:cs="Times New Roman"/>
                <w:sz w:val="20"/>
                <w:szCs w:val="20"/>
                <w:lang w:val="sr-Cyrl-RS"/>
              </w:rPr>
              <w:t>1,6</w:t>
            </w:r>
          </w:p>
        </w:tc>
      </w:tr>
      <w:tr w:rsidR="007B73B7" w:rsidRPr="00EF2F18" w14:paraId="50C17EC4" w14:textId="77777777" w:rsidTr="00AF36A7">
        <w:trPr>
          <w:jc w:val="center"/>
        </w:trPr>
        <w:tc>
          <w:tcPr>
            <w:tcW w:w="0" w:type="auto"/>
            <w:tcMar>
              <w:left w:w="57" w:type="dxa"/>
              <w:right w:w="57" w:type="dxa"/>
            </w:tcMar>
          </w:tcPr>
          <w:p w14:paraId="0B11071F" w14:textId="77777777" w:rsidR="007B73B7" w:rsidRPr="00EF2F18" w:rsidRDefault="007B73B7" w:rsidP="00AF36A7">
            <w:pPr>
              <w:spacing w:after="0"/>
              <w:rPr>
                <w:rFonts w:cs="Times New Roman"/>
                <w:sz w:val="20"/>
                <w:szCs w:val="20"/>
                <w:lang w:val="sr-Cyrl-RS"/>
              </w:rPr>
            </w:pPr>
            <w:r w:rsidRPr="00EF2F18">
              <w:rPr>
                <w:rFonts w:cs="Times New Roman"/>
                <w:sz w:val="20"/>
                <w:szCs w:val="20"/>
                <w:lang w:val="sr-Cyrl-RS"/>
              </w:rPr>
              <w:t>Транспорт</w:t>
            </w:r>
          </w:p>
        </w:tc>
        <w:tc>
          <w:tcPr>
            <w:tcW w:w="0" w:type="auto"/>
            <w:tcMar>
              <w:left w:w="57" w:type="dxa"/>
              <w:right w:w="57" w:type="dxa"/>
            </w:tcMar>
            <w:vAlign w:val="center"/>
          </w:tcPr>
          <w:p w14:paraId="274AE4A3"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43.353,4</w:t>
            </w:r>
          </w:p>
        </w:tc>
        <w:tc>
          <w:tcPr>
            <w:tcW w:w="0" w:type="auto"/>
            <w:tcMar>
              <w:left w:w="57" w:type="dxa"/>
              <w:right w:w="57" w:type="dxa"/>
            </w:tcMar>
            <w:vAlign w:val="center"/>
          </w:tcPr>
          <w:p w14:paraId="7F3219C7"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19.832,2</w:t>
            </w:r>
          </w:p>
        </w:tc>
        <w:tc>
          <w:tcPr>
            <w:tcW w:w="0" w:type="auto"/>
            <w:tcMar>
              <w:left w:w="57" w:type="dxa"/>
              <w:right w:w="57" w:type="dxa"/>
            </w:tcMar>
            <w:vAlign w:val="center"/>
          </w:tcPr>
          <w:p w14:paraId="4013DBF5"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17.124,0</w:t>
            </w:r>
          </w:p>
        </w:tc>
        <w:tc>
          <w:tcPr>
            <w:tcW w:w="0" w:type="auto"/>
            <w:tcMar>
              <w:left w:w="57" w:type="dxa"/>
              <w:right w:w="57" w:type="dxa"/>
            </w:tcMar>
            <w:vAlign w:val="center"/>
          </w:tcPr>
          <w:p w14:paraId="54EA18CC"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154.795,7</w:t>
            </w:r>
          </w:p>
        </w:tc>
        <w:tc>
          <w:tcPr>
            <w:tcW w:w="0" w:type="auto"/>
            <w:tcMar>
              <w:left w:w="57" w:type="dxa"/>
              <w:right w:w="57" w:type="dxa"/>
            </w:tcMar>
            <w:vAlign w:val="center"/>
          </w:tcPr>
          <w:p w14:paraId="33C63F4C"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109.323,7</w:t>
            </w:r>
          </w:p>
        </w:tc>
        <w:tc>
          <w:tcPr>
            <w:tcW w:w="0" w:type="auto"/>
            <w:tcMar>
              <w:left w:w="57" w:type="dxa"/>
              <w:right w:w="57" w:type="dxa"/>
            </w:tcMar>
            <w:vAlign w:val="center"/>
          </w:tcPr>
          <w:p w14:paraId="577723BE"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18.693,2</w:t>
            </w:r>
          </w:p>
        </w:tc>
        <w:tc>
          <w:tcPr>
            <w:tcW w:w="0" w:type="auto"/>
            <w:tcMar>
              <w:left w:w="57" w:type="dxa"/>
              <w:right w:w="57" w:type="dxa"/>
            </w:tcMar>
            <w:vAlign w:val="center"/>
          </w:tcPr>
          <w:p w14:paraId="10A327C3"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363.122,2</w:t>
            </w:r>
          </w:p>
        </w:tc>
        <w:tc>
          <w:tcPr>
            <w:tcW w:w="0" w:type="auto"/>
            <w:tcMar>
              <w:left w:w="57" w:type="dxa"/>
              <w:right w:w="57" w:type="dxa"/>
            </w:tcMar>
            <w:vAlign w:val="center"/>
          </w:tcPr>
          <w:p w14:paraId="5E39215B" w14:textId="77777777" w:rsidR="007B73B7" w:rsidRPr="00EF2F18" w:rsidRDefault="007B73B7" w:rsidP="00AF36A7">
            <w:pPr>
              <w:spacing w:after="0"/>
              <w:jc w:val="right"/>
              <w:rPr>
                <w:rFonts w:cs="Times New Roman"/>
                <w:sz w:val="20"/>
                <w:szCs w:val="20"/>
                <w:lang w:val="sr-Cyrl-RS"/>
              </w:rPr>
            </w:pPr>
            <w:r w:rsidRPr="00EF2F18">
              <w:rPr>
                <w:rFonts w:cs="Times New Roman"/>
                <w:sz w:val="20"/>
                <w:szCs w:val="20"/>
                <w:lang w:val="sr-Cyrl-RS"/>
              </w:rPr>
              <w:t>36,7</w:t>
            </w:r>
          </w:p>
        </w:tc>
      </w:tr>
      <w:tr w:rsidR="007B73B7" w:rsidRPr="00EF2F18" w14:paraId="614D3592" w14:textId="77777777" w:rsidTr="00AF36A7">
        <w:trPr>
          <w:jc w:val="center"/>
        </w:trPr>
        <w:tc>
          <w:tcPr>
            <w:tcW w:w="0" w:type="auto"/>
            <w:tcMar>
              <w:left w:w="57" w:type="dxa"/>
              <w:right w:w="57" w:type="dxa"/>
            </w:tcMar>
          </w:tcPr>
          <w:p w14:paraId="2A2915D2" w14:textId="77777777" w:rsidR="007B73B7" w:rsidRPr="00EF2F18" w:rsidRDefault="007B73B7" w:rsidP="00AF36A7">
            <w:pPr>
              <w:spacing w:after="0"/>
              <w:rPr>
                <w:rFonts w:cs="Times New Roman"/>
                <w:sz w:val="20"/>
                <w:szCs w:val="20"/>
                <w:lang w:val="sr-Cyrl-RS"/>
              </w:rPr>
            </w:pPr>
            <w:r w:rsidRPr="00EF2F18">
              <w:rPr>
                <w:rFonts w:cs="Times New Roman"/>
                <w:sz w:val="20"/>
                <w:szCs w:val="20"/>
                <w:lang w:val="sr-Cyrl-RS"/>
              </w:rPr>
              <w:lastRenderedPageBreak/>
              <w:t>Одрживо управљање водом и отпадним водама</w:t>
            </w:r>
          </w:p>
        </w:tc>
        <w:tc>
          <w:tcPr>
            <w:tcW w:w="0" w:type="auto"/>
            <w:tcMar>
              <w:left w:w="57" w:type="dxa"/>
              <w:right w:w="57" w:type="dxa"/>
            </w:tcMar>
            <w:vAlign w:val="center"/>
          </w:tcPr>
          <w:p w14:paraId="0536F35B"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23.783,8</w:t>
            </w:r>
          </w:p>
        </w:tc>
        <w:tc>
          <w:tcPr>
            <w:tcW w:w="0" w:type="auto"/>
            <w:tcMar>
              <w:left w:w="57" w:type="dxa"/>
              <w:right w:w="57" w:type="dxa"/>
            </w:tcMar>
            <w:vAlign w:val="center"/>
          </w:tcPr>
          <w:p w14:paraId="2822AA46"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31.074,1</w:t>
            </w:r>
          </w:p>
        </w:tc>
        <w:tc>
          <w:tcPr>
            <w:tcW w:w="0" w:type="auto"/>
            <w:tcMar>
              <w:left w:w="57" w:type="dxa"/>
              <w:right w:w="57" w:type="dxa"/>
            </w:tcMar>
            <w:vAlign w:val="center"/>
          </w:tcPr>
          <w:p w14:paraId="54EB0C74"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33.512,0</w:t>
            </w:r>
          </w:p>
        </w:tc>
        <w:tc>
          <w:tcPr>
            <w:tcW w:w="0" w:type="auto"/>
            <w:tcMar>
              <w:left w:w="57" w:type="dxa"/>
              <w:right w:w="57" w:type="dxa"/>
            </w:tcMar>
            <w:vAlign w:val="center"/>
          </w:tcPr>
          <w:p w14:paraId="5849B3DA"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137.076,4</w:t>
            </w:r>
          </w:p>
        </w:tc>
        <w:tc>
          <w:tcPr>
            <w:tcW w:w="0" w:type="auto"/>
            <w:tcMar>
              <w:left w:w="57" w:type="dxa"/>
              <w:right w:w="57" w:type="dxa"/>
            </w:tcMar>
            <w:vAlign w:val="center"/>
          </w:tcPr>
          <w:p w14:paraId="1E8599C0"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50.835,5</w:t>
            </w:r>
          </w:p>
        </w:tc>
        <w:tc>
          <w:tcPr>
            <w:tcW w:w="0" w:type="auto"/>
            <w:tcMar>
              <w:left w:w="57" w:type="dxa"/>
              <w:right w:w="57" w:type="dxa"/>
            </w:tcMar>
            <w:vAlign w:val="center"/>
          </w:tcPr>
          <w:p w14:paraId="06680F47"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13.434,7</w:t>
            </w:r>
          </w:p>
        </w:tc>
        <w:tc>
          <w:tcPr>
            <w:tcW w:w="0" w:type="auto"/>
            <w:tcMar>
              <w:left w:w="57" w:type="dxa"/>
              <w:right w:w="57" w:type="dxa"/>
            </w:tcMar>
            <w:vAlign w:val="center"/>
          </w:tcPr>
          <w:p w14:paraId="611ED6EE"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289.716,6</w:t>
            </w:r>
          </w:p>
        </w:tc>
        <w:tc>
          <w:tcPr>
            <w:tcW w:w="0" w:type="auto"/>
            <w:tcMar>
              <w:left w:w="57" w:type="dxa"/>
              <w:right w:w="57" w:type="dxa"/>
            </w:tcMar>
            <w:vAlign w:val="center"/>
          </w:tcPr>
          <w:p w14:paraId="772854E1" w14:textId="77777777" w:rsidR="007B73B7" w:rsidRPr="00EF2F18" w:rsidRDefault="007B73B7" w:rsidP="00AF36A7">
            <w:pPr>
              <w:spacing w:after="0"/>
              <w:jc w:val="right"/>
              <w:rPr>
                <w:rFonts w:cs="Times New Roman"/>
                <w:sz w:val="20"/>
                <w:szCs w:val="20"/>
                <w:lang w:val="sr-Cyrl-RS"/>
              </w:rPr>
            </w:pPr>
            <w:r w:rsidRPr="00EF2F18">
              <w:rPr>
                <w:rFonts w:cs="Times New Roman"/>
                <w:sz w:val="20"/>
                <w:szCs w:val="20"/>
                <w:lang w:val="sr-Cyrl-RS"/>
              </w:rPr>
              <w:t>29,3</w:t>
            </w:r>
          </w:p>
        </w:tc>
      </w:tr>
      <w:tr w:rsidR="007B73B7" w:rsidRPr="00EF2F18" w14:paraId="36F9AF1D" w14:textId="77777777" w:rsidTr="00AF36A7">
        <w:trPr>
          <w:jc w:val="center"/>
        </w:trPr>
        <w:tc>
          <w:tcPr>
            <w:tcW w:w="0" w:type="auto"/>
            <w:tcMar>
              <w:left w:w="57" w:type="dxa"/>
              <w:right w:w="57" w:type="dxa"/>
            </w:tcMar>
          </w:tcPr>
          <w:p w14:paraId="6A0D095D" w14:textId="77777777" w:rsidR="007B73B7" w:rsidRPr="00EF2F18" w:rsidRDefault="007B73B7" w:rsidP="00AF36A7">
            <w:pPr>
              <w:spacing w:after="0"/>
              <w:rPr>
                <w:rFonts w:cs="Times New Roman"/>
                <w:sz w:val="20"/>
                <w:szCs w:val="20"/>
                <w:lang w:val="sr-Cyrl-RS"/>
              </w:rPr>
            </w:pPr>
            <w:r w:rsidRPr="00EF2F18">
              <w:rPr>
                <w:rFonts w:cs="Times New Roman"/>
                <w:sz w:val="20"/>
                <w:szCs w:val="20"/>
                <w:lang w:val="sr-Cyrl-RS"/>
              </w:rPr>
              <w:t>Превенција и контрола загађења и циркуларна економија</w:t>
            </w:r>
          </w:p>
        </w:tc>
        <w:tc>
          <w:tcPr>
            <w:tcW w:w="0" w:type="auto"/>
            <w:tcMar>
              <w:left w:w="57" w:type="dxa"/>
              <w:right w:w="57" w:type="dxa"/>
            </w:tcMar>
            <w:vAlign w:val="center"/>
          </w:tcPr>
          <w:p w14:paraId="112D2122"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21.572,6</w:t>
            </w:r>
          </w:p>
        </w:tc>
        <w:tc>
          <w:tcPr>
            <w:tcW w:w="0" w:type="auto"/>
            <w:tcMar>
              <w:left w:w="57" w:type="dxa"/>
              <w:right w:w="57" w:type="dxa"/>
            </w:tcMar>
            <w:vAlign w:val="center"/>
          </w:tcPr>
          <w:p w14:paraId="0B5CE1DB"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31.611,2</w:t>
            </w:r>
          </w:p>
        </w:tc>
        <w:tc>
          <w:tcPr>
            <w:tcW w:w="0" w:type="auto"/>
            <w:tcMar>
              <w:left w:w="57" w:type="dxa"/>
              <w:right w:w="57" w:type="dxa"/>
            </w:tcMar>
            <w:vAlign w:val="center"/>
          </w:tcPr>
          <w:p w14:paraId="0551537F"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24.710,4</w:t>
            </w:r>
          </w:p>
        </w:tc>
        <w:tc>
          <w:tcPr>
            <w:tcW w:w="0" w:type="auto"/>
            <w:tcMar>
              <w:left w:w="57" w:type="dxa"/>
              <w:right w:w="57" w:type="dxa"/>
            </w:tcMar>
            <w:vAlign w:val="center"/>
          </w:tcPr>
          <w:p w14:paraId="1BFCE6D0"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56.309,3</w:t>
            </w:r>
          </w:p>
        </w:tc>
        <w:tc>
          <w:tcPr>
            <w:tcW w:w="0" w:type="auto"/>
            <w:tcMar>
              <w:left w:w="57" w:type="dxa"/>
              <w:right w:w="57" w:type="dxa"/>
            </w:tcMar>
            <w:vAlign w:val="center"/>
          </w:tcPr>
          <w:p w14:paraId="502F6B77"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61.778,5</w:t>
            </w:r>
          </w:p>
        </w:tc>
        <w:tc>
          <w:tcPr>
            <w:tcW w:w="0" w:type="auto"/>
            <w:tcMar>
              <w:left w:w="57" w:type="dxa"/>
              <w:right w:w="57" w:type="dxa"/>
            </w:tcMar>
            <w:vAlign w:val="center"/>
          </w:tcPr>
          <w:p w14:paraId="463A8D05"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17.291,9</w:t>
            </w:r>
          </w:p>
        </w:tc>
        <w:tc>
          <w:tcPr>
            <w:tcW w:w="0" w:type="auto"/>
            <w:tcMar>
              <w:left w:w="57" w:type="dxa"/>
              <w:right w:w="57" w:type="dxa"/>
            </w:tcMar>
            <w:vAlign w:val="center"/>
          </w:tcPr>
          <w:p w14:paraId="4F40DC05"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213.273,8</w:t>
            </w:r>
          </w:p>
        </w:tc>
        <w:tc>
          <w:tcPr>
            <w:tcW w:w="0" w:type="auto"/>
            <w:tcMar>
              <w:left w:w="57" w:type="dxa"/>
              <w:right w:w="57" w:type="dxa"/>
            </w:tcMar>
            <w:vAlign w:val="center"/>
          </w:tcPr>
          <w:p w14:paraId="0645988B" w14:textId="77777777" w:rsidR="007B73B7" w:rsidRPr="00EF2F18" w:rsidRDefault="007B73B7" w:rsidP="00AF36A7">
            <w:pPr>
              <w:spacing w:after="0"/>
              <w:jc w:val="right"/>
              <w:rPr>
                <w:rFonts w:cs="Times New Roman"/>
                <w:sz w:val="20"/>
                <w:szCs w:val="20"/>
                <w:lang w:val="sr-Cyrl-RS"/>
              </w:rPr>
            </w:pPr>
            <w:r w:rsidRPr="00EF2F18">
              <w:rPr>
                <w:rFonts w:cs="Times New Roman"/>
                <w:sz w:val="20"/>
                <w:szCs w:val="20"/>
                <w:lang w:val="sr-Cyrl-RS"/>
              </w:rPr>
              <w:t>21,6</w:t>
            </w:r>
          </w:p>
        </w:tc>
      </w:tr>
      <w:tr w:rsidR="007B73B7" w:rsidRPr="00EF2F18" w14:paraId="07A3FFF5" w14:textId="77777777" w:rsidTr="00AF36A7">
        <w:trPr>
          <w:jc w:val="center"/>
        </w:trPr>
        <w:tc>
          <w:tcPr>
            <w:tcW w:w="0" w:type="auto"/>
            <w:tcMar>
              <w:left w:w="57" w:type="dxa"/>
              <w:right w:w="57" w:type="dxa"/>
            </w:tcMar>
          </w:tcPr>
          <w:p w14:paraId="23BFC23B" w14:textId="77777777" w:rsidR="007B73B7" w:rsidRPr="00EF2F18" w:rsidRDefault="007B73B7" w:rsidP="00AF36A7">
            <w:pPr>
              <w:spacing w:after="0"/>
              <w:rPr>
                <w:rFonts w:cs="Times New Roman"/>
                <w:sz w:val="20"/>
                <w:szCs w:val="20"/>
                <w:lang w:val="sr-Cyrl-RS"/>
              </w:rPr>
            </w:pPr>
            <w:r w:rsidRPr="00EF2F18">
              <w:rPr>
                <w:rFonts w:cs="Times New Roman"/>
                <w:sz w:val="20"/>
                <w:szCs w:val="20"/>
                <w:lang w:val="sr-Cyrl-RS"/>
              </w:rPr>
              <w:t>Заштита животне средине, биодиверзитета и одржива пољопривреда</w:t>
            </w:r>
          </w:p>
        </w:tc>
        <w:tc>
          <w:tcPr>
            <w:tcW w:w="0" w:type="auto"/>
            <w:tcMar>
              <w:left w:w="57" w:type="dxa"/>
              <w:right w:w="57" w:type="dxa"/>
            </w:tcMar>
            <w:vAlign w:val="center"/>
          </w:tcPr>
          <w:p w14:paraId="0E8B0AFB"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19.579,8</w:t>
            </w:r>
          </w:p>
        </w:tc>
        <w:tc>
          <w:tcPr>
            <w:tcW w:w="0" w:type="auto"/>
            <w:tcMar>
              <w:left w:w="57" w:type="dxa"/>
              <w:right w:w="57" w:type="dxa"/>
            </w:tcMar>
            <w:vAlign w:val="center"/>
          </w:tcPr>
          <w:p w14:paraId="073105D8"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22.316,0</w:t>
            </w:r>
          </w:p>
        </w:tc>
        <w:tc>
          <w:tcPr>
            <w:tcW w:w="0" w:type="auto"/>
            <w:tcMar>
              <w:left w:w="57" w:type="dxa"/>
              <w:right w:w="57" w:type="dxa"/>
            </w:tcMar>
            <w:vAlign w:val="center"/>
          </w:tcPr>
          <w:p w14:paraId="7EB9EDF5"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23.389,3</w:t>
            </w:r>
          </w:p>
        </w:tc>
        <w:tc>
          <w:tcPr>
            <w:tcW w:w="0" w:type="auto"/>
            <w:tcMar>
              <w:left w:w="57" w:type="dxa"/>
              <w:right w:w="57" w:type="dxa"/>
            </w:tcMar>
            <w:vAlign w:val="center"/>
          </w:tcPr>
          <w:p w14:paraId="3DEABC93"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28.301,3</w:t>
            </w:r>
          </w:p>
        </w:tc>
        <w:tc>
          <w:tcPr>
            <w:tcW w:w="0" w:type="auto"/>
            <w:tcMar>
              <w:left w:w="57" w:type="dxa"/>
              <w:right w:w="57" w:type="dxa"/>
            </w:tcMar>
            <w:vAlign w:val="center"/>
          </w:tcPr>
          <w:p w14:paraId="715134E2" w14:textId="77777777" w:rsidR="007B73B7" w:rsidRPr="00EF2F18" w:rsidRDefault="007B73B7" w:rsidP="00AF36A7">
            <w:pPr>
              <w:spacing w:after="0"/>
              <w:jc w:val="right"/>
              <w:rPr>
                <w:rFonts w:cs="Times New Roman"/>
                <w:sz w:val="20"/>
                <w:szCs w:val="20"/>
                <w:lang w:val="sr-Cyrl-RS"/>
              </w:rPr>
            </w:pPr>
            <w:r w:rsidRPr="00EF2F18">
              <w:rPr>
                <w:rFonts w:cs="Times New Roman"/>
                <w:color w:val="000000"/>
                <w:sz w:val="20"/>
                <w:szCs w:val="20"/>
                <w:lang w:val="sr-Cyrl-RS"/>
              </w:rPr>
              <w:t>13.649,4</w:t>
            </w:r>
          </w:p>
        </w:tc>
        <w:tc>
          <w:tcPr>
            <w:tcW w:w="0" w:type="auto"/>
            <w:tcMar>
              <w:left w:w="57" w:type="dxa"/>
              <w:right w:w="57" w:type="dxa"/>
            </w:tcMar>
            <w:vAlign w:val="center"/>
          </w:tcPr>
          <w:p w14:paraId="5366A801"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231F20"/>
                <w:sz w:val="20"/>
                <w:szCs w:val="20"/>
                <w:lang w:val="sr-Cyrl-RS"/>
              </w:rPr>
              <w:t>-</w:t>
            </w:r>
          </w:p>
        </w:tc>
        <w:tc>
          <w:tcPr>
            <w:tcW w:w="0" w:type="auto"/>
            <w:tcMar>
              <w:left w:w="57" w:type="dxa"/>
              <w:right w:w="57" w:type="dxa"/>
            </w:tcMar>
            <w:vAlign w:val="center"/>
          </w:tcPr>
          <w:p w14:paraId="24480967" w14:textId="77777777" w:rsidR="007B73B7" w:rsidRPr="00EF2F18" w:rsidRDefault="007B73B7" w:rsidP="00AF36A7">
            <w:pPr>
              <w:spacing w:after="0"/>
              <w:jc w:val="right"/>
              <w:rPr>
                <w:rFonts w:cs="Times New Roman"/>
                <w:b/>
                <w:bCs/>
                <w:sz w:val="20"/>
                <w:szCs w:val="20"/>
                <w:lang w:val="sr-Cyrl-RS"/>
              </w:rPr>
            </w:pPr>
            <w:r w:rsidRPr="00EF2F18">
              <w:rPr>
                <w:rFonts w:cs="Times New Roman"/>
                <w:color w:val="000000"/>
                <w:sz w:val="20"/>
                <w:szCs w:val="20"/>
                <w:lang w:val="sr-Cyrl-RS"/>
              </w:rPr>
              <w:t>107.235,8</w:t>
            </w:r>
          </w:p>
        </w:tc>
        <w:tc>
          <w:tcPr>
            <w:tcW w:w="0" w:type="auto"/>
            <w:tcMar>
              <w:left w:w="57" w:type="dxa"/>
              <w:right w:w="57" w:type="dxa"/>
            </w:tcMar>
            <w:vAlign w:val="center"/>
          </w:tcPr>
          <w:p w14:paraId="7A9D827D" w14:textId="77777777" w:rsidR="007B73B7" w:rsidRPr="00EF2F18" w:rsidRDefault="007B73B7" w:rsidP="00AF36A7">
            <w:pPr>
              <w:spacing w:after="0"/>
              <w:jc w:val="right"/>
              <w:rPr>
                <w:rFonts w:cs="Times New Roman"/>
                <w:sz w:val="20"/>
                <w:szCs w:val="20"/>
                <w:lang w:val="sr-Cyrl-RS"/>
              </w:rPr>
            </w:pPr>
            <w:r w:rsidRPr="00EF2F18">
              <w:rPr>
                <w:rFonts w:cs="Times New Roman"/>
                <w:sz w:val="20"/>
                <w:szCs w:val="20"/>
                <w:lang w:val="sr-Cyrl-RS"/>
              </w:rPr>
              <w:t>10,8</w:t>
            </w:r>
          </w:p>
        </w:tc>
      </w:tr>
      <w:tr w:rsidR="007B73B7" w:rsidRPr="00EF2F18" w14:paraId="65122050" w14:textId="77777777" w:rsidTr="00D8487C">
        <w:trPr>
          <w:trHeight w:val="413"/>
          <w:jc w:val="center"/>
        </w:trPr>
        <w:tc>
          <w:tcPr>
            <w:tcW w:w="0" w:type="auto"/>
            <w:tcMar>
              <w:left w:w="57" w:type="dxa"/>
              <w:right w:w="57" w:type="dxa"/>
            </w:tcMar>
          </w:tcPr>
          <w:p w14:paraId="399F07F0" w14:textId="77777777" w:rsidR="007B73B7" w:rsidRPr="00EF2F18" w:rsidRDefault="007B73B7" w:rsidP="00AF36A7">
            <w:pPr>
              <w:spacing w:after="0"/>
              <w:rPr>
                <w:rFonts w:cs="Times New Roman"/>
                <w:b/>
                <w:bCs/>
                <w:sz w:val="20"/>
                <w:szCs w:val="20"/>
                <w:lang w:val="sr-Cyrl-RS"/>
              </w:rPr>
            </w:pPr>
            <w:r w:rsidRPr="00EF2F18">
              <w:rPr>
                <w:rFonts w:cs="Times New Roman"/>
                <w:b/>
                <w:bCs/>
                <w:sz w:val="20"/>
                <w:szCs w:val="20"/>
                <w:lang w:val="sr-Cyrl-RS"/>
              </w:rPr>
              <w:t>Укупно</w:t>
            </w:r>
          </w:p>
        </w:tc>
        <w:tc>
          <w:tcPr>
            <w:tcW w:w="0" w:type="auto"/>
            <w:tcMar>
              <w:left w:w="57" w:type="dxa"/>
              <w:right w:w="57" w:type="dxa"/>
            </w:tcMar>
            <w:vAlign w:val="center"/>
          </w:tcPr>
          <w:p w14:paraId="250042ED"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108.470,7</w:t>
            </w:r>
          </w:p>
        </w:tc>
        <w:tc>
          <w:tcPr>
            <w:tcW w:w="0" w:type="auto"/>
            <w:tcMar>
              <w:left w:w="57" w:type="dxa"/>
              <w:right w:w="57" w:type="dxa"/>
            </w:tcMar>
            <w:vAlign w:val="center"/>
          </w:tcPr>
          <w:p w14:paraId="1614558B"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105.747,9</w:t>
            </w:r>
          </w:p>
        </w:tc>
        <w:tc>
          <w:tcPr>
            <w:tcW w:w="0" w:type="auto"/>
            <w:tcMar>
              <w:left w:w="57" w:type="dxa"/>
              <w:right w:w="57" w:type="dxa"/>
            </w:tcMar>
            <w:vAlign w:val="center"/>
          </w:tcPr>
          <w:p w14:paraId="25226800"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101.345,8</w:t>
            </w:r>
          </w:p>
        </w:tc>
        <w:tc>
          <w:tcPr>
            <w:tcW w:w="0" w:type="auto"/>
            <w:tcMar>
              <w:left w:w="57" w:type="dxa"/>
              <w:right w:w="57" w:type="dxa"/>
            </w:tcMar>
            <w:vAlign w:val="center"/>
          </w:tcPr>
          <w:p w14:paraId="33FC8BD0"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380.171,3</w:t>
            </w:r>
          </w:p>
        </w:tc>
        <w:tc>
          <w:tcPr>
            <w:tcW w:w="0" w:type="auto"/>
            <w:tcMar>
              <w:left w:w="57" w:type="dxa"/>
              <w:right w:w="57" w:type="dxa"/>
            </w:tcMar>
            <w:vAlign w:val="center"/>
          </w:tcPr>
          <w:p w14:paraId="7A8C6CCC"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244.471,4</w:t>
            </w:r>
          </w:p>
        </w:tc>
        <w:tc>
          <w:tcPr>
            <w:tcW w:w="0" w:type="auto"/>
            <w:tcMar>
              <w:left w:w="57" w:type="dxa"/>
              <w:right w:w="57" w:type="dxa"/>
            </w:tcMar>
            <w:vAlign w:val="center"/>
          </w:tcPr>
          <w:p w14:paraId="7836BDD3"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49.419,9</w:t>
            </w:r>
          </w:p>
        </w:tc>
        <w:tc>
          <w:tcPr>
            <w:tcW w:w="0" w:type="auto"/>
            <w:tcMar>
              <w:left w:w="57" w:type="dxa"/>
              <w:right w:w="57" w:type="dxa"/>
            </w:tcMar>
            <w:vAlign w:val="center"/>
          </w:tcPr>
          <w:p w14:paraId="671D4142" w14:textId="77777777" w:rsidR="007B73B7" w:rsidRPr="00EF2F18" w:rsidRDefault="007B73B7" w:rsidP="00AF36A7">
            <w:pPr>
              <w:spacing w:after="0"/>
              <w:jc w:val="right"/>
              <w:rPr>
                <w:rFonts w:cs="Times New Roman"/>
                <w:b/>
                <w:bCs/>
                <w:sz w:val="20"/>
                <w:szCs w:val="20"/>
                <w:lang w:val="sr-Cyrl-RS"/>
              </w:rPr>
            </w:pPr>
            <w:r w:rsidRPr="00EF2F18">
              <w:rPr>
                <w:rFonts w:cs="Times New Roman"/>
                <w:b/>
                <w:bCs/>
                <w:color w:val="000000"/>
                <w:sz w:val="20"/>
                <w:szCs w:val="20"/>
                <w:lang w:val="sr-Cyrl-RS"/>
              </w:rPr>
              <w:t>989.627,1</w:t>
            </w:r>
          </w:p>
        </w:tc>
        <w:tc>
          <w:tcPr>
            <w:tcW w:w="0" w:type="auto"/>
            <w:tcMar>
              <w:left w:w="57" w:type="dxa"/>
              <w:right w:w="57" w:type="dxa"/>
            </w:tcMar>
            <w:vAlign w:val="center"/>
          </w:tcPr>
          <w:p w14:paraId="685D79AF" w14:textId="77777777" w:rsidR="007B73B7" w:rsidRPr="00EF2F18" w:rsidRDefault="007B73B7" w:rsidP="00AF36A7">
            <w:pPr>
              <w:spacing w:after="0"/>
              <w:jc w:val="right"/>
              <w:rPr>
                <w:rFonts w:cs="Times New Roman"/>
                <w:b/>
                <w:bCs/>
                <w:sz w:val="20"/>
                <w:szCs w:val="20"/>
                <w:lang w:val="sr-Cyrl-RS"/>
              </w:rPr>
            </w:pPr>
            <w:r w:rsidRPr="00EF2F18">
              <w:rPr>
                <w:rFonts w:cs="Times New Roman"/>
                <w:b/>
                <w:bCs/>
                <w:sz w:val="20"/>
                <w:szCs w:val="20"/>
                <w:lang w:val="sr-Cyrl-RS"/>
              </w:rPr>
              <w:t>100,0</w:t>
            </w:r>
          </w:p>
        </w:tc>
      </w:tr>
    </w:tbl>
    <w:p w14:paraId="669C7262" w14:textId="77777777" w:rsidR="007B73B7" w:rsidRPr="00EF2F18" w:rsidRDefault="007B73B7" w:rsidP="002F2922">
      <w:pPr>
        <w:spacing w:after="0"/>
        <w:jc w:val="both"/>
        <w:rPr>
          <w:rFonts w:cs="Times New Roman"/>
          <w:sz w:val="22"/>
          <w:lang w:val="sr-Cyrl-RS"/>
        </w:rPr>
      </w:pPr>
    </w:p>
    <w:p w14:paraId="54CD183A" w14:textId="77777777" w:rsidR="002F2922" w:rsidRPr="00EF2F18" w:rsidRDefault="002F2922" w:rsidP="002F2922">
      <w:pPr>
        <w:pStyle w:val="Heading2"/>
        <w:spacing w:before="0"/>
        <w:rPr>
          <w:rFonts w:cs="Times New Roman"/>
          <w:bCs/>
          <w:sz w:val="22"/>
          <w:szCs w:val="22"/>
          <w:lang w:val="sr-Cyrl-RS"/>
        </w:rPr>
      </w:pPr>
    </w:p>
    <w:p w14:paraId="0A531B77" w14:textId="4DAA6072" w:rsidR="00F21C22" w:rsidRPr="00EF2F18" w:rsidRDefault="00F21C22" w:rsidP="00EE6F5A">
      <w:pPr>
        <w:spacing w:before="120"/>
        <w:ind w:firstLine="720"/>
        <w:jc w:val="both"/>
        <w:rPr>
          <w:b/>
          <w:bCs/>
          <w:i/>
          <w:iCs/>
          <w:sz w:val="22"/>
          <w:lang w:val="sr-Cyrl-RS"/>
        </w:rPr>
      </w:pPr>
      <w:r w:rsidRPr="00EF2F18">
        <w:rPr>
          <w:b/>
          <w:bCs/>
          <w:i/>
          <w:iCs/>
          <w:sz w:val="22"/>
          <w:lang w:val="sr-Cyrl-RS"/>
        </w:rPr>
        <w:t xml:space="preserve">Приватни сектор кроз јавно-приватно партнерство </w:t>
      </w:r>
    </w:p>
    <w:p w14:paraId="459AFEC6" w14:textId="77777777" w:rsidR="00387C7F" w:rsidRPr="00EF2F18" w:rsidRDefault="00387C7F" w:rsidP="00387C7F">
      <w:pPr>
        <w:spacing w:after="0"/>
        <w:ind w:firstLine="720"/>
        <w:jc w:val="both"/>
        <w:rPr>
          <w:rFonts w:cs="Times New Roman"/>
          <w:sz w:val="22"/>
          <w:lang w:val="sr-Cyrl-RS"/>
        </w:rPr>
      </w:pPr>
      <w:r w:rsidRPr="00EF2F18">
        <w:rPr>
          <w:rFonts w:cs="Times New Roman"/>
          <w:sz w:val="22"/>
          <w:lang w:val="sr-Cyrl-RS"/>
        </w:rPr>
        <w:t>Јавно-приватно партнерство (ЈПП) представља колаборативни приступ финансирању и реализацији инфраструктурних и развојних пројеката. У ЈПП, влада сарађује са приватним секторским ентитетима да заједно финансирају, изграде, опслужују и одржавају пројекте који служе јавном интересу. Овај модел омогућава дељење ризика и одговорности између јавног и приватног сектора, стварајући подстицајно окружење за имплементацију иновативних и одрживих пројеката.</w:t>
      </w:r>
    </w:p>
    <w:p w14:paraId="770FDE92" w14:textId="6172E0D7" w:rsidR="00BF18C9" w:rsidRPr="00EF2F18" w:rsidRDefault="00387C7F" w:rsidP="00BF18C9">
      <w:pPr>
        <w:spacing w:after="0"/>
        <w:ind w:firstLine="720"/>
        <w:jc w:val="both"/>
        <w:rPr>
          <w:sz w:val="22"/>
          <w:lang w:val="sr-Cyrl-RS"/>
        </w:rPr>
      </w:pPr>
      <w:r w:rsidRPr="00EF2F18">
        <w:rPr>
          <w:rFonts w:cs="Times New Roman"/>
          <w:sz w:val="22"/>
          <w:lang w:val="sr-Cyrl-RS"/>
        </w:rPr>
        <w:t xml:space="preserve">Укључивањем приватног сектора, ЈПП могу олакшати реализацију еколошки прихватљивих иницијатива које би иначе могле бити ограничене финансијским изазовима или ограниченим ресурсима ако би биле само финансиране од стране јавног сектора. Због све суженијег фискалног простора за финансирање свих, па и зелених пројеката и услед великих инвестиционих потреба за подршку зелене агенде, ЈПП добијају све више на значају јер смањују инвестициона оптерећења државног буџета. Такви пројекти, између осталих, могу обухватати развој обновљивих извора енергије, енергетски ефикасне инфраструктуре, управљање отпадом и одрживе саобраћајне </w:t>
      </w:r>
      <w:r w:rsidR="00A5464A" w:rsidRPr="00EF2F18">
        <w:rPr>
          <w:rFonts w:cs="Times New Roman"/>
          <w:sz w:val="22"/>
          <w:lang w:val="sr-Cyrl-RS"/>
        </w:rPr>
        <w:t>мреже</w:t>
      </w:r>
      <w:r w:rsidR="000D5F88" w:rsidRPr="00EF2F18">
        <w:rPr>
          <w:rFonts w:cs="Times New Roman"/>
          <w:sz w:val="22"/>
          <w:lang w:val="sr-Cyrl-RS"/>
        </w:rPr>
        <w:t xml:space="preserve">. Примери јавно-приватних партнерстава у сектору управљања отпадом су: ЈПП за третман и одлагање комуналног отпада у Београду-Винча, регионалне депоније у Кикинди, </w:t>
      </w:r>
      <w:r w:rsidR="000D5F88" w:rsidRPr="00EF2F18">
        <w:rPr>
          <w:sz w:val="22"/>
          <w:lang w:val="sr-Cyrl-RS"/>
        </w:rPr>
        <w:t>Јагодини, Лапову и Лесковцу).</w:t>
      </w:r>
    </w:p>
    <w:p w14:paraId="626F1542" w14:textId="77777777" w:rsidR="00387C7F" w:rsidRPr="00EF2F18" w:rsidRDefault="00387C7F" w:rsidP="00387C7F">
      <w:pPr>
        <w:spacing w:after="0"/>
        <w:ind w:firstLine="720"/>
        <w:jc w:val="both"/>
        <w:rPr>
          <w:rFonts w:cs="Times New Roman"/>
          <w:sz w:val="22"/>
          <w:lang w:val="sr-Cyrl-RS"/>
        </w:rPr>
      </w:pPr>
      <w:r w:rsidRPr="00EF2F18">
        <w:rPr>
          <w:rFonts w:cs="Times New Roman"/>
          <w:sz w:val="22"/>
          <w:lang w:val="sr-Cyrl-RS"/>
        </w:rPr>
        <w:t>Једна од највећих предности ЈПП јесте њихова способност да привуку приватни капитал и усагласе финансијске интересе са еколошким циљевима. Учешће приватног сектора често доводи до ефикаснијег и иновативнијег планирања и реализације пројеката, што доводи до унапређених резултата пројеката и смањеног еколошког утицаја. Осим тога, ЈПП пружају могућности за пренос знања и усвајање технологија, јер приватни партнери могу унети најновије технологије и најбоље праксе које доприносе одрживом развоју. Искуство приватног сектора у управљању пројектима и процени ризика може унапредити исплативост и скалабилност зелених пројеката, промовишући дугорочну еколошку одрживост у земљи.</w:t>
      </w:r>
    </w:p>
    <w:p w14:paraId="2B3F1A98" w14:textId="77777777" w:rsidR="00C90FFE" w:rsidRPr="00EF2F18" w:rsidRDefault="00C90FFE" w:rsidP="00BF18C9">
      <w:pPr>
        <w:pStyle w:val="ListParagraph"/>
        <w:spacing w:before="120"/>
        <w:ind w:left="360"/>
        <w:jc w:val="both"/>
        <w:rPr>
          <w:sz w:val="22"/>
          <w:lang w:val="sr-Cyrl-RS"/>
        </w:rPr>
      </w:pPr>
    </w:p>
    <w:p w14:paraId="6EBEBD3C" w14:textId="2A7BB87C" w:rsidR="00833BEB" w:rsidRPr="00EF2F18" w:rsidRDefault="00833BEB" w:rsidP="00EE6F5A">
      <w:pPr>
        <w:spacing w:before="120"/>
        <w:ind w:firstLine="360"/>
        <w:jc w:val="both"/>
        <w:rPr>
          <w:b/>
          <w:bCs/>
          <w:i/>
          <w:iCs/>
          <w:sz w:val="22"/>
          <w:lang w:val="sr-Cyrl-RS"/>
        </w:rPr>
      </w:pPr>
      <w:r w:rsidRPr="00EF2F18">
        <w:rPr>
          <w:b/>
          <w:bCs/>
          <w:i/>
          <w:iCs/>
          <w:sz w:val="22"/>
          <w:lang w:val="sr-Cyrl-RS"/>
        </w:rPr>
        <w:t>Други расположиви фондови</w:t>
      </w:r>
    </w:p>
    <w:bookmarkEnd w:id="142"/>
    <w:p w14:paraId="17D4265D" w14:textId="5806DED3" w:rsidR="001B5962" w:rsidRPr="00EF2F18" w:rsidRDefault="001B5962" w:rsidP="00313E8E">
      <w:pPr>
        <w:pStyle w:val="ListParagraph"/>
        <w:numPr>
          <w:ilvl w:val="0"/>
          <w:numId w:val="51"/>
        </w:numPr>
        <w:spacing w:after="0"/>
        <w:jc w:val="both"/>
        <w:rPr>
          <w:rFonts w:cs="Times New Roman"/>
          <w:sz w:val="22"/>
          <w:lang w:val="sr-Cyrl-RS"/>
        </w:rPr>
      </w:pPr>
      <w:r w:rsidRPr="00EF2F18">
        <w:rPr>
          <w:rFonts w:cs="Times New Roman"/>
          <w:b/>
          <w:bCs/>
          <w:sz w:val="22"/>
          <w:lang w:val="sr-Cyrl-RS"/>
        </w:rPr>
        <w:t>Зелени климатски фонд (</w:t>
      </w:r>
      <w:r w:rsidRPr="00EF2F18">
        <w:rPr>
          <w:rFonts w:cs="Times New Roman"/>
          <w:b/>
          <w:bCs/>
          <w:i/>
          <w:iCs/>
          <w:sz w:val="22"/>
          <w:lang w:val="sr-Cyrl-RS"/>
        </w:rPr>
        <w:t>Green Climate Fund, GCF</w:t>
      </w:r>
      <w:r w:rsidRPr="00EF2F18">
        <w:rPr>
          <w:rFonts w:cs="Times New Roman"/>
          <w:b/>
          <w:bCs/>
          <w:sz w:val="22"/>
          <w:lang w:val="sr-Cyrl-RS"/>
        </w:rPr>
        <w:t>).</w:t>
      </w:r>
      <w:r w:rsidRPr="00EF2F18">
        <w:rPr>
          <w:rFonts w:cs="Times New Roman"/>
          <w:sz w:val="22"/>
          <w:lang w:val="sr-Cyrl-RS"/>
        </w:rPr>
        <w:t xml:space="preserve"> </w:t>
      </w:r>
      <w:r w:rsidRPr="00EF2F18">
        <w:rPr>
          <w:rFonts w:cs="Times New Roman"/>
          <w:iCs/>
          <w:sz w:val="22"/>
          <w:lang w:val="sr-Cyrl-RS"/>
        </w:rPr>
        <w:t>GCF</w:t>
      </w:r>
      <w:r w:rsidRPr="00EF2F18">
        <w:rPr>
          <w:rFonts w:cs="Times New Roman"/>
          <w:sz w:val="22"/>
          <w:lang w:val="sr-Cyrl-RS"/>
        </w:rPr>
        <w:t xml:space="preserve"> је један од главних глобалних фондова посвећених финансирању пројеката за борбу против климатских промена у земљама у развоју. Циљ фонда је да промовише пројекте усмерених ка декарбонизацији и климатски-отпорном развоју. Република Србија има право приступа средствима из </w:t>
      </w:r>
      <w:r w:rsidRPr="00EF2F18">
        <w:rPr>
          <w:rFonts w:cs="Times New Roman"/>
          <w:i/>
          <w:iCs/>
          <w:sz w:val="22"/>
          <w:lang w:val="sr-Cyrl-RS"/>
        </w:rPr>
        <w:t>GCF</w:t>
      </w:r>
      <w:r w:rsidRPr="00EF2F18">
        <w:rPr>
          <w:rFonts w:cs="Times New Roman"/>
          <w:sz w:val="22"/>
          <w:lang w:val="sr-Cyrl-RS"/>
        </w:rPr>
        <w:t>-а за одговарајуће пројекте везане за климу</w:t>
      </w:r>
      <w:r w:rsidR="00EE6F5A" w:rsidRPr="00EF2F18">
        <w:rPr>
          <w:rFonts w:cs="Times New Roman"/>
          <w:sz w:val="22"/>
          <w:lang w:val="sr-Cyrl-RS"/>
        </w:rPr>
        <w:t>;</w:t>
      </w:r>
    </w:p>
    <w:p w14:paraId="19AC90F6" w14:textId="11CBD52B" w:rsidR="001B5962" w:rsidRPr="00EF2F18" w:rsidRDefault="00BF18C9" w:rsidP="00BF18C9">
      <w:pPr>
        <w:spacing w:after="0"/>
        <w:ind w:left="720" w:hanging="360"/>
        <w:jc w:val="both"/>
        <w:rPr>
          <w:rFonts w:cs="Times New Roman"/>
          <w:b/>
          <w:bCs/>
          <w:sz w:val="22"/>
          <w:lang w:val="sr-Cyrl-RS"/>
        </w:rPr>
      </w:pPr>
      <w:r w:rsidRPr="00EF2F18">
        <w:rPr>
          <w:rFonts w:cs="Times New Roman"/>
          <w:b/>
          <w:bCs/>
          <w:sz w:val="22"/>
          <w:lang w:val="sr-Cyrl-RS"/>
        </w:rPr>
        <w:t>2)</w:t>
      </w:r>
      <w:r w:rsidR="005E5FF9" w:rsidRPr="00EF2F18">
        <w:rPr>
          <w:rFonts w:cs="Times New Roman"/>
          <w:b/>
          <w:bCs/>
          <w:sz w:val="22"/>
          <w:lang w:val="sr-Cyrl-RS"/>
        </w:rPr>
        <w:t xml:space="preserve"> </w:t>
      </w:r>
      <w:r w:rsidR="001B5962" w:rsidRPr="00EF2F18">
        <w:rPr>
          <w:rFonts w:cs="Times New Roman"/>
          <w:b/>
          <w:bCs/>
          <w:sz w:val="22"/>
          <w:lang w:val="sr-Cyrl-RS"/>
        </w:rPr>
        <w:t xml:space="preserve">Глобални фонд за животну </w:t>
      </w:r>
      <w:r w:rsidR="00D549AC" w:rsidRPr="00EF2F18">
        <w:rPr>
          <w:rFonts w:cs="Times New Roman"/>
          <w:b/>
          <w:bCs/>
          <w:sz w:val="22"/>
          <w:lang w:val="sr-Cyrl-RS"/>
        </w:rPr>
        <w:t xml:space="preserve">средину </w:t>
      </w:r>
      <w:r w:rsidR="001B5962" w:rsidRPr="00EF2F18">
        <w:rPr>
          <w:rFonts w:cs="Times New Roman"/>
          <w:b/>
          <w:bCs/>
          <w:sz w:val="22"/>
          <w:lang w:val="sr-Cyrl-RS"/>
        </w:rPr>
        <w:t>(</w:t>
      </w:r>
      <w:r w:rsidR="001B5962" w:rsidRPr="00EF2F18">
        <w:rPr>
          <w:rFonts w:cs="Times New Roman"/>
          <w:b/>
          <w:bCs/>
          <w:i/>
          <w:iCs/>
          <w:sz w:val="22"/>
          <w:lang w:val="sr-Cyrl-RS"/>
        </w:rPr>
        <w:t>Global Environment Facility, GEF</w:t>
      </w:r>
      <w:r w:rsidR="001B5962" w:rsidRPr="00EF2F18">
        <w:rPr>
          <w:rFonts w:cs="Times New Roman"/>
          <w:b/>
          <w:bCs/>
          <w:sz w:val="22"/>
          <w:lang w:val="sr-Cyrl-RS"/>
        </w:rPr>
        <w:t>)</w:t>
      </w:r>
      <w:r w:rsidR="001B5962" w:rsidRPr="00EF2F18">
        <w:rPr>
          <w:rFonts w:cs="Times New Roman"/>
          <w:sz w:val="22"/>
          <w:lang w:val="sr-Cyrl-RS"/>
        </w:rPr>
        <w:t xml:space="preserve">. </w:t>
      </w:r>
      <w:r w:rsidR="001B5962" w:rsidRPr="00EF2F18">
        <w:rPr>
          <w:rFonts w:cs="Times New Roman"/>
          <w:b/>
          <w:iCs/>
          <w:sz w:val="22"/>
          <w:lang w:val="sr-Cyrl-RS"/>
        </w:rPr>
        <w:t>GEF</w:t>
      </w:r>
      <w:r w:rsidR="001B5962" w:rsidRPr="00EF2F18">
        <w:rPr>
          <w:rFonts w:cs="Times New Roman"/>
          <w:sz w:val="22"/>
          <w:lang w:val="sr-Cyrl-RS"/>
        </w:rPr>
        <w:t xml:space="preserve"> пружа грантове и концесионо финансирање пројеката који се баве глобалним еколошким питањима, укључујући климатске промене, заштиту биодиверзитета, одрживо управљање земљиштем и заштиту међународних вода. </w:t>
      </w:r>
      <w:r w:rsidR="00454E0C" w:rsidRPr="00EF2F18">
        <w:rPr>
          <w:rFonts w:cs="Times New Roman"/>
          <w:sz w:val="22"/>
          <w:lang w:val="sr-Cyrl-RS" w:eastAsia="en-GB"/>
        </w:rPr>
        <w:t xml:space="preserve">Република </w:t>
      </w:r>
      <w:r w:rsidR="001B5962" w:rsidRPr="00EF2F18">
        <w:rPr>
          <w:rFonts w:cs="Times New Roman"/>
          <w:sz w:val="22"/>
          <w:lang w:val="sr-Cyrl-RS"/>
        </w:rPr>
        <w:t xml:space="preserve">Србија може учествовати у пројектима који се слажу с циљевима </w:t>
      </w:r>
      <w:r w:rsidR="001B5962" w:rsidRPr="00EF2F18">
        <w:rPr>
          <w:rFonts w:cs="Times New Roman"/>
          <w:i/>
          <w:iCs/>
          <w:sz w:val="22"/>
          <w:lang w:val="sr-Cyrl-RS"/>
        </w:rPr>
        <w:t>GEF</w:t>
      </w:r>
      <w:r w:rsidR="00EE6F5A" w:rsidRPr="00EF2F18">
        <w:rPr>
          <w:rFonts w:cs="Times New Roman"/>
          <w:sz w:val="22"/>
          <w:lang w:val="sr-Cyrl-RS"/>
        </w:rPr>
        <w:t>-а;</w:t>
      </w:r>
    </w:p>
    <w:p w14:paraId="56670F9F" w14:textId="7CDB86A6" w:rsidR="001B5962" w:rsidRPr="00EF2F18" w:rsidRDefault="00BF18C9" w:rsidP="00BF18C9">
      <w:pPr>
        <w:spacing w:after="0"/>
        <w:ind w:left="720" w:hanging="360"/>
        <w:jc w:val="both"/>
        <w:rPr>
          <w:rFonts w:cs="Times New Roman"/>
          <w:sz w:val="22"/>
          <w:lang w:val="sr-Cyrl-RS"/>
        </w:rPr>
      </w:pPr>
      <w:r w:rsidRPr="00EF2F18">
        <w:rPr>
          <w:rFonts w:cs="Times New Roman"/>
          <w:b/>
          <w:bCs/>
          <w:sz w:val="22"/>
          <w:lang w:val="sr-Cyrl-RS"/>
        </w:rPr>
        <w:lastRenderedPageBreak/>
        <w:t>3)</w:t>
      </w:r>
      <w:r w:rsidR="005E5FF9" w:rsidRPr="00EF2F18">
        <w:rPr>
          <w:rFonts w:cs="Times New Roman"/>
          <w:b/>
          <w:bCs/>
          <w:sz w:val="22"/>
          <w:lang w:val="sr-Cyrl-RS"/>
        </w:rPr>
        <w:t xml:space="preserve"> </w:t>
      </w:r>
      <w:r w:rsidR="001B5962" w:rsidRPr="00EF2F18">
        <w:rPr>
          <w:rFonts w:cs="Times New Roman"/>
          <w:b/>
          <w:bCs/>
          <w:sz w:val="22"/>
          <w:lang w:val="sr-Cyrl-RS"/>
        </w:rPr>
        <w:t>Фонд за зелени раст (</w:t>
      </w:r>
      <w:r w:rsidR="001B5962" w:rsidRPr="00EF2F18">
        <w:rPr>
          <w:rFonts w:cs="Times New Roman"/>
          <w:b/>
          <w:bCs/>
          <w:i/>
          <w:iCs/>
          <w:sz w:val="22"/>
          <w:lang w:val="sr-Cyrl-RS"/>
        </w:rPr>
        <w:t>The Green for Growth Fund, GGF</w:t>
      </w:r>
      <w:r w:rsidR="001B5962" w:rsidRPr="00EF2F18">
        <w:rPr>
          <w:rFonts w:cs="Times New Roman"/>
          <w:b/>
          <w:bCs/>
          <w:sz w:val="22"/>
          <w:lang w:val="sr-Cyrl-RS"/>
        </w:rPr>
        <w:t>)</w:t>
      </w:r>
      <w:r w:rsidR="00EE6F5A" w:rsidRPr="00EF2F18">
        <w:rPr>
          <w:rFonts w:cs="Times New Roman"/>
          <w:b/>
          <w:bCs/>
          <w:sz w:val="22"/>
          <w:lang w:val="sr-Cyrl-RS"/>
        </w:rPr>
        <w:t>.</w:t>
      </w:r>
      <w:r w:rsidR="001B5962" w:rsidRPr="00EF2F18">
        <w:rPr>
          <w:rFonts w:cs="Times New Roman"/>
          <w:b/>
          <w:bCs/>
          <w:sz w:val="22"/>
          <w:lang w:val="sr-Cyrl-RS"/>
        </w:rPr>
        <w:t xml:space="preserve"> </w:t>
      </w:r>
      <w:r w:rsidR="00EE6F5A" w:rsidRPr="00EF2F18">
        <w:rPr>
          <w:rFonts w:cs="Times New Roman"/>
          <w:bCs/>
          <w:iCs/>
          <w:sz w:val="22"/>
          <w:lang w:val="sr-Cyrl-RS"/>
        </w:rPr>
        <w:t>GGF</w:t>
      </w:r>
      <w:r w:rsidR="00EE6F5A" w:rsidRPr="00EF2F18">
        <w:rPr>
          <w:rFonts w:cs="Times New Roman"/>
          <w:b/>
          <w:bCs/>
          <w:sz w:val="22"/>
          <w:lang w:val="sr-Cyrl-RS"/>
        </w:rPr>
        <w:t xml:space="preserve"> </w:t>
      </w:r>
      <w:r w:rsidR="001B5962" w:rsidRPr="00EF2F18">
        <w:rPr>
          <w:rFonts w:cs="Times New Roman"/>
          <w:sz w:val="22"/>
          <w:lang w:val="sr-Cyrl-RS"/>
        </w:rPr>
        <w:t xml:space="preserve">је фонд за улагање у пројекте са позитивним утицајем на животну </w:t>
      </w:r>
      <w:r w:rsidR="00D57BEA" w:rsidRPr="00EF2F18">
        <w:rPr>
          <w:rFonts w:cs="Times New Roman"/>
          <w:sz w:val="22"/>
          <w:lang w:val="sr-Cyrl-RS"/>
        </w:rPr>
        <w:t>средину</w:t>
      </w:r>
      <w:r w:rsidR="001B5962" w:rsidRPr="00EF2F18">
        <w:rPr>
          <w:rFonts w:cs="Times New Roman"/>
          <w:sz w:val="22"/>
          <w:lang w:val="sr-Cyrl-RS"/>
        </w:rPr>
        <w:t xml:space="preserve"> који ублажавају ефекте климатских промена и промовишу одрживи економски раст. Фонд је претежно орије</w:t>
      </w:r>
      <w:r w:rsidR="00D57BEA" w:rsidRPr="00EF2F18">
        <w:rPr>
          <w:rFonts w:cs="Times New Roman"/>
          <w:sz w:val="22"/>
          <w:lang w:val="sr-Cyrl-RS"/>
        </w:rPr>
        <w:t>н</w:t>
      </w:r>
      <w:r w:rsidR="001B5962" w:rsidRPr="00EF2F18">
        <w:rPr>
          <w:rFonts w:cs="Times New Roman"/>
          <w:sz w:val="22"/>
          <w:lang w:val="sr-Cyrl-RS"/>
        </w:rPr>
        <w:t>тисан на пројекте смањења потрошње енергије, употребе ресурса и емисије CO</w:t>
      </w:r>
      <w:r w:rsidR="001B5962" w:rsidRPr="00EF2F18">
        <w:rPr>
          <w:rFonts w:cs="Times New Roman"/>
          <w:sz w:val="22"/>
          <w:vertAlign w:val="subscript"/>
          <w:lang w:val="sr-Cyrl-RS"/>
        </w:rPr>
        <w:t>2</w:t>
      </w:r>
      <w:r w:rsidR="001B5962" w:rsidRPr="00EF2F18">
        <w:rPr>
          <w:rFonts w:cs="Times New Roman"/>
          <w:sz w:val="22"/>
          <w:lang w:val="sr-Cyrl-RS"/>
        </w:rPr>
        <w:t>. Фонд своје ресу</w:t>
      </w:r>
      <w:r w:rsidR="00161767">
        <w:rPr>
          <w:rFonts w:cs="Times New Roman"/>
          <w:sz w:val="22"/>
          <w:lang w:val="sr-Cyrl-RS"/>
        </w:rPr>
        <w:t>р</w:t>
      </w:r>
      <w:r w:rsidR="001B5962" w:rsidRPr="00EF2F18">
        <w:rPr>
          <w:rFonts w:cs="Times New Roman"/>
          <w:sz w:val="22"/>
          <w:lang w:val="sr-Cyrl-RS"/>
        </w:rPr>
        <w:t>се усмерава преко локалних финансијских институција, као и путем директних инвестиција у одговарајуће пројекте и компаније.</w:t>
      </w:r>
    </w:p>
    <w:p w14:paraId="63E0C899" w14:textId="64591CE9" w:rsidR="001B5962" w:rsidRPr="00EF2F18" w:rsidRDefault="001B5962" w:rsidP="00313E8E">
      <w:pPr>
        <w:pStyle w:val="ListParagraph"/>
        <w:numPr>
          <w:ilvl w:val="0"/>
          <w:numId w:val="21"/>
        </w:numPr>
        <w:spacing w:after="0"/>
        <w:jc w:val="both"/>
        <w:rPr>
          <w:rFonts w:cs="Times New Roman"/>
          <w:b/>
          <w:bCs/>
          <w:sz w:val="22"/>
          <w:lang w:val="sr-Cyrl-RS"/>
        </w:rPr>
      </w:pPr>
      <w:r w:rsidRPr="00EF2F18">
        <w:rPr>
          <w:rFonts w:cs="Times New Roman"/>
          <w:b/>
          <w:bCs/>
          <w:sz w:val="22"/>
          <w:lang w:val="sr-Cyrl-RS"/>
        </w:rPr>
        <w:t>Фонд за прилагођавање (</w:t>
      </w:r>
      <w:r w:rsidRPr="00EF2F18">
        <w:rPr>
          <w:rFonts w:cs="Times New Roman"/>
          <w:b/>
          <w:bCs/>
          <w:i/>
          <w:iCs/>
          <w:sz w:val="22"/>
          <w:lang w:val="sr-Cyrl-RS"/>
        </w:rPr>
        <w:t>Adaptation Fund)</w:t>
      </w:r>
      <w:r w:rsidRPr="00EF2F18">
        <w:rPr>
          <w:rFonts w:cs="Times New Roman"/>
          <w:sz w:val="22"/>
          <w:lang w:val="sr-Cyrl-RS"/>
        </w:rPr>
        <w:t>. Фонд за прилагођавање пружа грантове и конце</w:t>
      </w:r>
      <w:r w:rsidR="00A50EDC" w:rsidRPr="00EF2F18">
        <w:rPr>
          <w:rFonts w:cs="Times New Roman"/>
          <w:sz w:val="22"/>
          <w:lang w:val="sr-Cyrl-RS"/>
        </w:rPr>
        <w:t>с</w:t>
      </w:r>
      <w:r w:rsidRPr="00EF2F18">
        <w:rPr>
          <w:rFonts w:cs="Times New Roman"/>
          <w:sz w:val="22"/>
          <w:lang w:val="sr-Cyrl-RS"/>
        </w:rPr>
        <w:t xml:space="preserve">ионо финансирање за подршку пројектима прилагођавања климатским променама у рањивим земљама у развоју. </w:t>
      </w:r>
      <w:r w:rsidR="00454E0C" w:rsidRPr="00EF2F18">
        <w:rPr>
          <w:rFonts w:cs="Times New Roman"/>
          <w:sz w:val="22"/>
          <w:lang w:val="sr-Cyrl-RS" w:eastAsia="en-GB"/>
        </w:rPr>
        <w:t xml:space="preserve">Република </w:t>
      </w:r>
      <w:r w:rsidRPr="00EF2F18">
        <w:rPr>
          <w:rFonts w:cs="Times New Roman"/>
          <w:sz w:val="22"/>
          <w:lang w:val="sr-Cyrl-RS"/>
        </w:rPr>
        <w:t>Србија може имати приступ овом фонду за одговарајуће иницијативе прилагођавања на климатске промене.</w:t>
      </w:r>
    </w:p>
    <w:p w14:paraId="6B001721" w14:textId="77777777" w:rsidR="00387C7F" w:rsidRPr="00EF2F18" w:rsidRDefault="00387C7F" w:rsidP="00454E0C">
      <w:pPr>
        <w:spacing w:after="0"/>
        <w:ind w:firstLine="720"/>
        <w:jc w:val="both"/>
        <w:rPr>
          <w:rFonts w:cs="Times New Roman"/>
          <w:sz w:val="22"/>
          <w:lang w:val="sr-Cyrl-RS"/>
        </w:rPr>
      </w:pPr>
    </w:p>
    <w:p w14:paraId="60C7CE84" w14:textId="168889C9" w:rsidR="006B449E" w:rsidRPr="00EF2F18" w:rsidRDefault="00CA27E5" w:rsidP="00EE6F5A">
      <w:pPr>
        <w:ind w:firstLine="720"/>
        <w:rPr>
          <w:rFonts w:cs="Times New Roman"/>
          <w:b/>
          <w:bCs/>
          <w:i/>
          <w:iCs/>
          <w:sz w:val="22"/>
          <w:lang w:val="sr-Cyrl-RS"/>
        </w:rPr>
      </w:pPr>
      <w:r w:rsidRPr="00EF2F18">
        <w:rPr>
          <w:rFonts w:cs="Times New Roman"/>
          <w:b/>
          <w:bCs/>
          <w:i/>
          <w:iCs/>
          <w:sz w:val="22"/>
          <w:lang w:val="sr-Cyrl-RS"/>
        </w:rPr>
        <w:t>Економски инструменти</w:t>
      </w:r>
    </w:p>
    <w:p w14:paraId="34B2AD93" w14:textId="640073C2" w:rsidR="00AE7654" w:rsidRPr="00EF2F18" w:rsidRDefault="00AE7654" w:rsidP="00F5721D">
      <w:pPr>
        <w:spacing w:after="0"/>
        <w:ind w:firstLine="720"/>
        <w:jc w:val="both"/>
        <w:rPr>
          <w:lang w:val="sr-Cyrl-RS"/>
        </w:rPr>
      </w:pPr>
      <w:r w:rsidRPr="00EF2F18">
        <w:rPr>
          <w:rFonts w:cs="Times New Roman"/>
          <w:sz w:val="22"/>
          <w:lang w:val="sr-Cyrl-RS"/>
        </w:rPr>
        <w:t>Накнаде и таксе су економски инструменти заштите животне средине, чији је циљ промовисање смањења оптерећења животне средине коришћењем принципа „загађивач плаћа” и „корисник плаћа”. Економски инструменти који се примењују у Републици Србији обухватају накнаде, као и подстицаје и субвенције. Накнаде су један од еколошких економских инструмената, чији је циљ да промовише смањење притисака на животну средину применом принципа „загађивач плаћа” и „корисник плаћа”. Економски инструменти имају за циљ да утичу на понашање друштва у целини, нарочито загађивача или корисника, како би га подстакли на превентивно деловање, односно да трошкове заштите животне средине плаћају они који су узрочници загађења. Дакле, загађивачи би требало да квантификују екстерне трошкове које намећу другим члановима друштва тиме што загађују животну средину и да их инкорпорирају у планове (на пример, предузећа у пословне планове). Основни задатак економских инструмената је да обезбеде адекватно вредновање еколошких ресурса. Адекватна цена осигурава оптимално „коришћење</w:t>
      </w:r>
      <w:r w:rsidR="001947D7" w:rsidRPr="00EF2F18">
        <w:rPr>
          <w:rFonts w:cs="Times New Roman"/>
          <w:sz w:val="22"/>
          <w:lang w:val="sr-Cyrl-RS"/>
        </w:rPr>
        <w:t>”</w:t>
      </w:r>
      <w:r w:rsidRPr="00EF2F18">
        <w:rPr>
          <w:rFonts w:cs="Times New Roman"/>
          <w:sz w:val="22"/>
          <w:lang w:val="sr-Cyrl-RS"/>
        </w:rPr>
        <w:t xml:space="preserve"> животне средине, јер се маргинални трошкови смањења загађивања изједначавају са маргиналним трошковима еколошких штета. Економски инструменти имају за циљ да друштво делује превентивно и учини да загађивање животне средине постане економски неисплативо.</w:t>
      </w:r>
    </w:p>
    <w:p w14:paraId="46D233DB" w14:textId="3F551C8A" w:rsidR="00D247BE" w:rsidRPr="00EF2F18" w:rsidRDefault="00AE7654" w:rsidP="006F091C">
      <w:pPr>
        <w:spacing w:after="0"/>
        <w:ind w:firstLine="720"/>
        <w:jc w:val="both"/>
        <w:rPr>
          <w:rFonts w:cs="Times New Roman"/>
          <w:sz w:val="22"/>
          <w:lang w:val="sr-Cyrl-RS"/>
        </w:rPr>
      </w:pPr>
      <w:r w:rsidRPr="00EF2F18">
        <w:rPr>
          <w:rFonts w:cs="Times New Roman"/>
          <w:sz w:val="22"/>
          <w:lang w:val="sr-Cyrl-RS"/>
        </w:rPr>
        <w:t>Зелени порески подстицаји и зелене таксе и накнаде су економски инструменти који се користе да се подстакну и промовишу еколошки прихватљиве праксе и инвестиције</w:t>
      </w:r>
      <w:r w:rsidR="00D247BE" w:rsidRPr="00EF2F18">
        <w:rPr>
          <w:rFonts w:cs="Times New Roman"/>
          <w:sz w:val="22"/>
          <w:lang w:val="sr-Cyrl-RS"/>
        </w:rPr>
        <w:t>.</w:t>
      </w:r>
      <w:r w:rsidR="005262EF" w:rsidRPr="00EF2F18">
        <w:rPr>
          <w:rFonts w:cs="Times New Roman"/>
          <w:sz w:val="22"/>
          <w:lang w:val="sr-Cyrl-RS"/>
        </w:rPr>
        <w:t xml:space="preserve"> </w:t>
      </w:r>
    </w:p>
    <w:p w14:paraId="5CD915E9" w14:textId="1EEA5CCD" w:rsidR="006F091C" w:rsidRPr="00EF2F18" w:rsidRDefault="00AE7654" w:rsidP="007F2337">
      <w:pPr>
        <w:spacing w:after="0"/>
        <w:ind w:firstLine="720"/>
        <w:jc w:val="both"/>
        <w:rPr>
          <w:rFonts w:cs="Times New Roman"/>
          <w:sz w:val="22"/>
          <w:lang w:val="sr-Cyrl-RS"/>
        </w:rPr>
      </w:pPr>
      <w:r w:rsidRPr="00EF2F18">
        <w:rPr>
          <w:rFonts w:cs="Times New Roman"/>
          <w:sz w:val="22"/>
          <w:lang w:val="sr-Cyrl-RS"/>
        </w:rPr>
        <w:t>Зелени порески подстицаји укључују подстицаје у виду пореских олакшица са циљем примене одрживијих и друштвено одговорнијих пракси</w:t>
      </w:r>
      <w:r w:rsidR="006F091C" w:rsidRPr="00EF2F18">
        <w:rPr>
          <w:rFonts w:cs="Times New Roman"/>
          <w:sz w:val="22"/>
          <w:lang w:val="sr-Cyrl-RS"/>
        </w:rPr>
        <w:t xml:space="preserve">, </w:t>
      </w:r>
      <w:r w:rsidR="00542C9F" w:rsidRPr="00EF2F18">
        <w:rPr>
          <w:rFonts w:cs="Times New Roman"/>
          <w:sz w:val="22"/>
          <w:lang w:val="sr-Cyrl-RS"/>
        </w:rPr>
        <w:t xml:space="preserve">a </w:t>
      </w:r>
      <w:r w:rsidR="007F2337" w:rsidRPr="00EF2F18">
        <w:rPr>
          <w:rFonts w:cs="Times New Roman"/>
          <w:sz w:val="22"/>
          <w:lang w:val="sr-Cyrl-RS"/>
        </w:rPr>
        <w:t>након извршене анализе определи</w:t>
      </w:r>
      <w:r w:rsidR="00542C9F" w:rsidRPr="00EF2F18">
        <w:rPr>
          <w:rFonts w:cs="Times New Roman"/>
          <w:sz w:val="22"/>
          <w:lang w:val="sr-Cyrl-RS"/>
        </w:rPr>
        <w:t>ће се</w:t>
      </w:r>
      <w:r w:rsidR="007F2337" w:rsidRPr="00EF2F18">
        <w:rPr>
          <w:rFonts w:cs="Times New Roman"/>
          <w:sz w:val="22"/>
          <w:lang w:val="sr-Cyrl-RS"/>
        </w:rPr>
        <w:t xml:space="preserve"> оптималне мере које се односе на пореске олакшице</w:t>
      </w:r>
      <w:r w:rsidR="00182C51" w:rsidRPr="00EF2F18">
        <w:rPr>
          <w:rFonts w:cs="Times New Roman"/>
          <w:sz w:val="22"/>
          <w:lang w:val="sr-Cyrl-RS"/>
        </w:rPr>
        <w:t>.</w:t>
      </w:r>
      <w:r w:rsidR="00D247BE" w:rsidRPr="00EF2F18">
        <w:rPr>
          <w:rFonts w:cs="Times New Roman"/>
          <w:sz w:val="22"/>
          <w:lang w:val="sr-Cyrl-RS"/>
        </w:rPr>
        <w:t xml:space="preserve"> </w:t>
      </w:r>
    </w:p>
    <w:p w14:paraId="4DA3BD0A" w14:textId="2FA7BC65" w:rsidR="00AE7654" w:rsidRPr="00EF2F18" w:rsidRDefault="00AE7654" w:rsidP="00AE7654">
      <w:pPr>
        <w:spacing w:after="0"/>
        <w:ind w:firstLine="720"/>
        <w:jc w:val="both"/>
        <w:rPr>
          <w:rFonts w:cs="Times New Roman"/>
          <w:sz w:val="22"/>
          <w:lang w:val="sr-Cyrl-RS"/>
        </w:rPr>
      </w:pPr>
      <w:r w:rsidRPr="00EF2F18">
        <w:rPr>
          <w:rFonts w:cs="Times New Roman"/>
          <w:sz w:val="22"/>
          <w:lang w:val="sr-Cyrl-RS"/>
        </w:rPr>
        <w:t xml:space="preserve">Порески подстицаји и зелене таксе и накнаде пружају перспективан приступ за мобилизацију приватних и јавних средстава за финансирање зелених пројеката у </w:t>
      </w:r>
      <w:r w:rsidR="00C507C1" w:rsidRPr="00EF2F18">
        <w:rPr>
          <w:rFonts w:cs="Times New Roman"/>
          <w:sz w:val="22"/>
          <w:lang w:val="sr-Cyrl-RS"/>
        </w:rPr>
        <w:t xml:space="preserve">Републици </w:t>
      </w:r>
      <w:r w:rsidRPr="00EF2F18">
        <w:rPr>
          <w:rFonts w:cs="Times New Roman"/>
          <w:sz w:val="22"/>
          <w:lang w:val="sr-Cyrl-RS"/>
        </w:rPr>
        <w:t>Србији. Усаглашавањем економских подстицаја са еколошким циљевима, ови економски инструменти могу играти кључну улогу у напредовању транзиције земље ка нискоугљеничној, отпорној на измењене климатске услове и еколошки одрживијој будућности.</w:t>
      </w:r>
    </w:p>
    <w:p w14:paraId="55ACAB38" w14:textId="77777777" w:rsidR="006B449E" w:rsidRPr="00EF2F18" w:rsidRDefault="006B449E" w:rsidP="009C53FC">
      <w:pPr>
        <w:rPr>
          <w:rFonts w:cs="Times New Roman"/>
          <w:sz w:val="22"/>
          <w:lang w:val="sr-Cyrl-RS"/>
        </w:rPr>
      </w:pPr>
    </w:p>
    <w:p w14:paraId="33C6EA01" w14:textId="62538B30" w:rsidR="0085745E" w:rsidRPr="00EF2F18" w:rsidRDefault="0085745E" w:rsidP="00EE6F5A">
      <w:pPr>
        <w:pStyle w:val="Heading2"/>
        <w:numPr>
          <w:ilvl w:val="1"/>
          <w:numId w:val="2"/>
        </w:numPr>
        <w:jc w:val="center"/>
        <w:rPr>
          <w:rFonts w:cs="Times New Roman"/>
          <w:sz w:val="22"/>
          <w:szCs w:val="22"/>
          <w:lang w:val="sr-Cyrl-RS"/>
        </w:rPr>
      </w:pPr>
      <w:bookmarkStart w:id="143" w:name="_Toc158307746"/>
      <w:r w:rsidRPr="00EF2F18">
        <w:rPr>
          <w:rFonts w:cs="Times New Roman"/>
          <w:sz w:val="22"/>
          <w:szCs w:val="22"/>
          <w:lang w:val="sr-Cyrl-RS"/>
        </w:rPr>
        <w:t>Анализа ефеката</w:t>
      </w:r>
      <w:r w:rsidR="00100224" w:rsidRPr="00EF2F18">
        <w:rPr>
          <w:rFonts w:cs="Times New Roman"/>
          <w:sz w:val="22"/>
          <w:szCs w:val="22"/>
          <w:lang w:val="sr-Cyrl-RS"/>
        </w:rPr>
        <w:t xml:space="preserve"> мера</w:t>
      </w:r>
      <w:bookmarkEnd w:id="143"/>
    </w:p>
    <w:p w14:paraId="6F9ECB35" w14:textId="0BF096BF" w:rsidR="00D3281C" w:rsidRPr="00EF2F18" w:rsidRDefault="00D3281C" w:rsidP="00212466">
      <w:pPr>
        <w:spacing w:after="0"/>
        <w:rPr>
          <w:rFonts w:cs="Times New Roman"/>
          <w:sz w:val="22"/>
          <w:lang w:val="sr-Cyrl-RS"/>
        </w:rPr>
      </w:pPr>
    </w:p>
    <w:p w14:paraId="3A1A144D" w14:textId="77777777" w:rsidR="005F61B8" w:rsidRPr="00EF2F18" w:rsidRDefault="005F61B8" w:rsidP="00EE6F5A">
      <w:pPr>
        <w:spacing w:after="0"/>
        <w:ind w:firstLine="720"/>
        <w:jc w:val="both"/>
        <w:rPr>
          <w:rFonts w:cs="Times New Roman"/>
          <w:b/>
          <w:bCs/>
          <w:i/>
          <w:iCs/>
          <w:sz w:val="22"/>
          <w:lang w:val="sr-Cyrl-RS"/>
        </w:rPr>
      </w:pPr>
      <w:r w:rsidRPr="00EF2F18">
        <w:rPr>
          <w:rFonts w:cs="Times New Roman"/>
          <w:b/>
          <w:bCs/>
          <w:i/>
          <w:iCs/>
          <w:sz w:val="22"/>
          <w:lang w:val="sr-Cyrl-RS"/>
        </w:rPr>
        <w:t>Финансијски ефекти</w:t>
      </w:r>
    </w:p>
    <w:p w14:paraId="5F5DD1AC" w14:textId="0C34AA59"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Спровођење мера утврђених Стратегијом ће имати значајне ефекте на јавне расходе у </w:t>
      </w:r>
      <w:r w:rsidRPr="00EF2F18">
        <w:rPr>
          <w:rStyle w:val="cf01"/>
          <w:rFonts w:ascii="Times New Roman" w:hAnsi="Times New Roman" w:cs="Times New Roman"/>
          <w:sz w:val="22"/>
          <w:szCs w:val="22"/>
          <w:lang w:val="sr-Cyrl-RS"/>
        </w:rPr>
        <w:t>средњорочном и дугорочном периоду</w:t>
      </w:r>
      <w:r w:rsidRPr="00EF2F18">
        <w:rPr>
          <w:rFonts w:cs="Times New Roman"/>
          <w:sz w:val="22"/>
          <w:lang w:val="sr-Cyrl-RS"/>
        </w:rPr>
        <w:t>. На основу утврђених мера и дефинисане структуре финансирања сваког појединачног инфраструктурног пројекта у области Зелене агенде потребно је у буџету Републике Србије планирати одређена финансијска средства. Средства из буџета Републике Србије ће бити обезбеђена кроз одговарајуће програмске активности у складу са билансним могућностима буџета, у оквиру лимита на разделима органа надлежних за финансирање</w:t>
      </w:r>
      <w:r w:rsidR="00387E65" w:rsidRPr="00EF2F18">
        <w:rPr>
          <w:rFonts w:cs="Times New Roman"/>
          <w:sz w:val="22"/>
          <w:lang w:val="sr-Cyrl-RS"/>
        </w:rPr>
        <w:t xml:space="preserve"> активности/</w:t>
      </w:r>
      <w:r w:rsidRPr="00EF2F18">
        <w:rPr>
          <w:rFonts w:cs="Times New Roman"/>
          <w:sz w:val="22"/>
          <w:lang w:val="sr-Cyrl-RS"/>
        </w:rPr>
        <w:t>пројекта, који се утврђују у Закону о буџету Републике Србије за сваку календарску годину.</w:t>
      </w:r>
    </w:p>
    <w:p w14:paraId="5D1466F1" w14:textId="0E2E3954" w:rsidR="005F61B8"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Такође, поред средстава које је потребно обезбедити из буџета Републике Србије, потребно је планирати и средства из других извора финансирања, пре свега фондова ЕУ у виду грантова, а затим и зајмове међународних финансијских институција, у складу са могућностима приказаним у поглављу 7.2. ове Стратегије. Изабрана структура финансирања ће утицати и на </w:t>
      </w:r>
      <w:r w:rsidRPr="00EF2F18">
        <w:rPr>
          <w:rFonts w:cs="Times New Roman"/>
          <w:sz w:val="22"/>
          <w:lang w:val="sr-Cyrl-RS"/>
        </w:rPr>
        <w:lastRenderedPageBreak/>
        <w:t xml:space="preserve">међународне финансијске обавезе Републике Србије, које ће се повећати за износ позајмљених средстава. </w:t>
      </w:r>
    </w:p>
    <w:p w14:paraId="72BE0217" w14:textId="36E4E095" w:rsidR="005F61B8" w:rsidRPr="00EF2F18" w:rsidRDefault="005F61B8" w:rsidP="005F61B8">
      <w:pPr>
        <w:spacing w:after="0"/>
        <w:ind w:firstLine="720"/>
        <w:jc w:val="both"/>
        <w:rPr>
          <w:rFonts w:cs="Times New Roman"/>
          <w:sz w:val="22"/>
          <w:lang w:val="sr-Cyrl-RS"/>
        </w:rPr>
      </w:pPr>
      <w:r w:rsidRPr="00EF2F18">
        <w:rPr>
          <w:rFonts w:cs="Times New Roman"/>
          <w:sz w:val="22"/>
          <w:lang w:val="sr-Cyrl-RS"/>
        </w:rPr>
        <w:t>Када су у питању административни</w:t>
      </w:r>
      <w:r w:rsidR="007C6F36" w:rsidRPr="00EF2F18">
        <w:rPr>
          <w:rFonts w:cs="Times New Roman"/>
          <w:sz w:val="22"/>
          <w:lang w:val="sr-Cyrl-RS"/>
        </w:rPr>
        <w:t xml:space="preserve"> и остали </w:t>
      </w:r>
      <w:r w:rsidRPr="00EF2F18">
        <w:rPr>
          <w:rFonts w:cs="Times New Roman"/>
          <w:sz w:val="22"/>
          <w:lang w:val="sr-Cyrl-RS"/>
        </w:rPr>
        <w:t xml:space="preserve">трошкови и јачање административних капацитета који ће на државном нивоу обезбедити спровођење Стратегије у периоду </w:t>
      </w:r>
      <w:r w:rsidR="0095304B" w:rsidRPr="00EF2F18">
        <w:rPr>
          <w:rFonts w:cs="Times New Roman"/>
          <w:sz w:val="22"/>
          <w:lang w:val="sr-Cyrl-RS"/>
        </w:rPr>
        <w:t xml:space="preserve">до </w:t>
      </w:r>
      <w:r w:rsidRPr="00EF2F18">
        <w:rPr>
          <w:rFonts w:cs="Times New Roman"/>
          <w:sz w:val="22"/>
          <w:lang w:val="sr-Cyrl-RS"/>
        </w:rPr>
        <w:t>2033. годин</w:t>
      </w:r>
      <w:r w:rsidR="00265CA1" w:rsidRPr="00EF2F18">
        <w:rPr>
          <w:rFonts w:cs="Times New Roman"/>
          <w:sz w:val="22"/>
          <w:lang w:val="sr-Cyrl-RS"/>
        </w:rPr>
        <w:t>е</w:t>
      </w:r>
      <w:r w:rsidRPr="00EF2F18">
        <w:rPr>
          <w:rFonts w:cs="Times New Roman"/>
          <w:sz w:val="22"/>
          <w:lang w:val="sr-Cyrl-RS"/>
        </w:rPr>
        <w:t xml:space="preserve"> је неопходно обезбедити 145.391.798 </w:t>
      </w:r>
      <w:r w:rsidR="00DD0F76" w:rsidRPr="00EF2F18">
        <w:rPr>
          <w:rFonts w:cs="Times New Roman"/>
          <w:sz w:val="22"/>
          <w:lang w:val="sr-Cyrl-RS"/>
        </w:rPr>
        <w:t>ЕУР</w:t>
      </w:r>
      <w:r w:rsidR="00637A2D" w:rsidRPr="00EF2F18">
        <w:rPr>
          <w:rFonts w:cs="Times New Roman"/>
          <w:sz w:val="22"/>
          <w:lang w:val="sr-Cyrl-RS"/>
        </w:rPr>
        <w:t xml:space="preserve"> </w:t>
      </w:r>
      <w:r w:rsidRPr="00EF2F18">
        <w:rPr>
          <w:rFonts w:cs="Times New Roman"/>
          <w:sz w:val="22"/>
          <w:lang w:val="sr-Cyrl-RS"/>
        </w:rPr>
        <w:t xml:space="preserve">за плате државних службеника (буџет), 50.748.444 </w:t>
      </w:r>
      <w:r w:rsidR="00DD0F76" w:rsidRPr="00EF2F18">
        <w:rPr>
          <w:rFonts w:cs="Times New Roman"/>
          <w:sz w:val="22"/>
          <w:lang w:val="sr-Cyrl-RS"/>
        </w:rPr>
        <w:t>ЕУР</w:t>
      </w:r>
      <w:r w:rsidR="00637A2D" w:rsidRPr="00EF2F18">
        <w:rPr>
          <w:rFonts w:cs="Times New Roman"/>
          <w:sz w:val="22"/>
          <w:lang w:val="sr-Cyrl-RS"/>
        </w:rPr>
        <w:t xml:space="preserve"> </w:t>
      </w:r>
      <w:r w:rsidRPr="00EF2F18">
        <w:rPr>
          <w:rFonts w:cs="Times New Roman"/>
          <w:sz w:val="22"/>
          <w:lang w:val="sr-Cyrl-RS"/>
        </w:rPr>
        <w:t xml:space="preserve">за обуке особља (буџет и ЕУ фондови), као и 14.132.986 </w:t>
      </w:r>
      <w:r w:rsidR="00DD0F76" w:rsidRPr="00EF2F18">
        <w:rPr>
          <w:rFonts w:cs="Times New Roman"/>
          <w:sz w:val="22"/>
          <w:lang w:val="sr-Cyrl-RS"/>
        </w:rPr>
        <w:t>ЕУР</w:t>
      </w:r>
      <w:r w:rsidR="00637A2D" w:rsidRPr="00EF2F18">
        <w:rPr>
          <w:rFonts w:cs="Times New Roman"/>
          <w:sz w:val="22"/>
          <w:lang w:val="sr-Cyrl-RS"/>
        </w:rPr>
        <w:t xml:space="preserve"> </w:t>
      </w:r>
      <w:r w:rsidRPr="00EF2F18">
        <w:rPr>
          <w:rFonts w:cs="Times New Roman"/>
          <w:sz w:val="22"/>
          <w:lang w:val="sr-Cyrl-RS"/>
        </w:rPr>
        <w:t>за опрему (рачунари, софтвер</w:t>
      </w:r>
      <w:r w:rsidR="008E4728" w:rsidRPr="00EF2F18">
        <w:rPr>
          <w:rFonts w:cs="Times New Roman"/>
          <w:sz w:val="22"/>
          <w:lang w:val="sr-Cyrl-RS"/>
        </w:rPr>
        <w:t xml:space="preserve"> и др.</w:t>
      </w:r>
      <w:r w:rsidRPr="00EF2F18">
        <w:rPr>
          <w:rFonts w:cs="Times New Roman"/>
          <w:sz w:val="22"/>
          <w:lang w:val="sr-Cyrl-RS"/>
        </w:rPr>
        <w:t>) (буџет, ЕУ фондови).</w:t>
      </w:r>
    </w:p>
    <w:p w14:paraId="7E6324B0" w14:textId="1E189BB5" w:rsidR="005F61B8" w:rsidRPr="00EF2F18" w:rsidRDefault="005F61B8" w:rsidP="005F61B8">
      <w:pPr>
        <w:spacing w:after="0"/>
        <w:ind w:firstLine="720"/>
        <w:jc w:val="both"/>
        <w:rPr>
          <w:rFonts w:cs="Times New Roman"/>
          <w:sz w:val="22"/>
          <w:lang w:val="sr-Cyrl-RS"/>
        </w:rPr>
      </w:pPr>
      <w:r w:rsidRPr="00EF2F18">
        <w:rPr>
          <w:rFonts w:cs="Times New Roman"/>
          <w:sz w:val="22"/>
          <w:lang w:val="sr-Cyrl-RS"/>
        </w:rPr>
        <w:t>Расходе који настају због спровођења ов</w:t>
      </w:r>
      <w:r w:rsidR="00FA0637" w:rsidRPr="00EF2F18">
        <w:rPr>
          <w:rFonts w:cs="Times New Roman"/>
          <w:sz w:val="22"/>
          <w:lang w:val="sr-Cyrl-RS"/>
        </w:rPr>
        <w:t>е Стратегије</w:t>
      </w:r>
      <w:r w:rsidRPr="00EF2F18">
        <w:rPr>
          <w:rFonts w:cs="Times New Roman"/>
          <w:sz w:val="22"/>
          <w:lang w:val="sr-Cyrl-RS"/>
        </w:rPr>
        <w:t xml:space="preserve"> потенцијално</w:t>
      </w:r>
      <w:r w:rsidR="00A22733" w:rsidRPr="00EF2F18">
        <w:rPr>
          <w:rFonts w:cs="Times New Roman"/>
          <w:sz w:val="22"/>
          <w:lang w:val="sr-Cyrl-RS"/>
        </w:rPr>
        <w:t xml:space="preserve"> је</w:t>
      </w:r>
      <w:r w:rsidRPr="00EF2F18">
        <w:rPr>
          <w:rFonts w:cs="Times New Roman"/>
          <w:sz w:val="22"/>
          <w:lang w:val="sr-Cyrl-RS"/>
        </w:rPr>
        <w:t xml:space="preserve"> могуће остварити кроз редистрибуцију постојећих средстава, али у оквиру утврђених лимита у </w:t>
      </w:r>
      <w:r w:rsidR="00387E65" w:rsidRPr="00EF2F18">
        <w:rPr>
          <w:rFonts w:cs="Times New Roman"/>
          <w:sz w:val="22"/>
          <w:lang w:val="sr-Cyrl-RS"/>
        </w:rPr>
        <w:t>Закону о буџету Републике Србије за сваку календарску годину на разделу органа надлежних за инвестирање у пројекте из области заштите животне средине и других области</w:t>
      </w:r>
      <w:r w:rsidRPr="00EF2F18">
        <w:rPr>
          <w:rFonts w:cs="Times New Roman"/>
          <w:sz w:val="22"/>
          <w:lang w:val="sr-Cyrl-RS"/>
        </w:rPr>
        <w:t>.</w:t>
      </w:r>
    </w:p>
    <w:p w14:paraId="3C83695A" w14:textId="77777777" w:rsidR="005F61B8" w:rsidRPr="00EF2F18" w:rsidRDefault="005F61B8" w:rsidP="005F61B8">
      <w:pPr>
        <w:spacing w:after="0"/>
        <w:ind w:firstLine="720"/>
        <w:jc w:val="both"/>
        <w:rPr>
          <w:rFonts w:cs="Times New Roman"/>
          <w:b/>
          <w:bCs/>
          <w:sz w:val="22"/>
          <w:lang w:val="sr-Cyrl-RS"/>
        </w:rPr>
      </w:pPr>
    </w:p>
    <w:p w14:paraId="186D6D73" w14:textId="77777777" w:rsidR="005F61B8" w:rsidRPr="00EF2F18" w:rsidRDefault="005F61B8" w:rsidP="00EE6F5A">
      <w:pPr>
        <w:spacing w:after="0"/>
        <w:ind w:left="720"/>
        <w:jc w:val="both"/>
        <w:rPr>
          <w:rFonts w:cs="Times New Roman"/>
          <w:b/>
          <w:bCs/>
          <w:i/>
          <w:iCs/>
          <w:sz w:val="22"/>
          <w:lang w:val="sr-Cyrl-RS"/>
        </w:rPr>
      </w:pPr>
      <w:r w:rsidRPr="00EF2F18">
        <w:rPr>
          <w:rFonts w:cs="Times New Roman"/>
          <w:b/>
          <w:bCs/>
          <w:i/>
          <w:iCs/>
          <w:sz w:val="22"/>
          <w:lang w:val="sr-Cyrl-RS"/>
        </w:rPr>
        <w:t>Економски ефекти</w:t>
      </w:r>
    </w:p>
    <w:p w14:paraId="390CA0C1" w14:textId="52DCA622" w:rsidR="005F61B8" w:rsidRPr="00EF2F18" w:rsidRDefault="005F61B8" w:rsidP="005F61B8">
      <w:pPr>
        <w:spacing w:after="0"/>
        <w:ind w:firstLine="720"/>
        <w:jc w:val="both"/>
        <w:rPr>
          <w:rFonts w:cs="Times New Roman"/>
          <w:sz w:val="22"/>
          <w:lang w:val="sr-Cyrl-RS"/>
        </w:rPr>
      </w:pPr>
      <w:r w:rsidRPr="00EF2F18">
        <w:rPr>
          <w:rFonts w:cs="Times New Roman"/>
          <w:sz w:val="22"/>
          <w:lang w:val="sr-Cyrl-RS"/>
        </w:rPr>
        <w:t>На макроекономском нивоу, инвестиције предвиђене Стратегијом ће имати мултипликативни ефекат на пораст БДП-а</w:t>
      </w:r>
      <w:r w:rsidR="00454E0C" w:rsidRPr="00EF2F18">
        <w:rPr>
          <w:rFonts w:cs="Times New Roman"/>
          <w:sz w:val="22"/>
          <w:lang w:val="sr-Cyrl-RS"/>
        </w:rPr>
        <w:t xml:space="preserve"> </w:t>
      </w:r>
      <w:r w:rsidR="00454E0C" w:rsidRPr="00EF2F18">
        <w:rPr>
          <w:rFonts w:cs="Times New Roman"/>
          <w:sz w:val="22"/>
          <w:lang w:val="sr-Cyrl-RS" w:eastAsia="en-GB"/>
        </w:rPr>
        <w:t>Републике</w:t>
      </w:r>
      <w:r w:rsidRPr="00EF2F18">
        <w:rPr>
          <w:rFonts w:cs="Times New Roman"/>
          <w:sz w:val="22"/>
          <w:lang w:val="sr-Cyrl-RS"/>
        </w:rPr>
        <w:t xml:space="preserve"> Србије. У наредној табели је приказан потенцијални годишњи раст БДП-а на основу мултипликативног ефекта инвестиција у области Зелене агенде.</w:t>
      </w:r>
    </w:p>
    <w:p w14:paraId="3FB4C0FC" w14:textId="77777777" w:rsidR="00FE3C1B" w:rsidRPr="00EF2F18" w:rsidRDefault="00FE3C1B" w:rsidP="00FE3C1B">
      <w:pPr>
        <w:spacing w:after="0"/>
        <w:jc w:val="both"/>
        <w:rPr>
          <w:rFonts w:cs="Times New Roman"/>
          <w:b/>
          <w:bCs/>
          <w:sz w:val="22"/>
          <w:highlight w:val="yellow"/>
          <w:lang w:val="sr-Cyrl-RS"/>
        </w:rPr>
      </w:pPr>
    </w:p>
    <w:p w14:paraId="347FECFF" w14:textId="2FDC187D" w:rsidR="005F61B8" w:rsidRPr="00EF2F18" w:rsidRDefault="00FE3C1B" w:rsidP="00994601">
      <w:pPr>
        <w:spacing w:after="0"/>
        <w:jc w:val="both"/>
        <w:rPr>
          <w:rFonts w:cs="Times New Roman"/>
          <w:sz w:val="22"/>
          <w:lang w:val="sr-Cyrl-RS"/>
        </w:rPr>
      </w:pPr>
      <w:r w:rsidRPr="00EF2F18">
        <w:rPr>
          <w:rFonts w:cs="Times New Roman"/>
          <w:b/>
          <w:bCs/>
          <w:sz w:val="22"/>
          <w:lang w:val="sr-Cyrl-RS"/>
        </w:rPr>
        <w:t>Табела 7.</w:t>
      </w:r>
      <w:r w:rsidR="00DE1478" w:rsidRPr="00EF2F18">
        <w:rPr>
          <w:rFonts w:cs="Times New Roman"/>
          <w:b/>
          <w:bCs/>
          <w:sz w:val="22"/>
          <w:lang w:val="sr-Cyrl-RS"/>
        </w:rPr>
        <w:t>7</w:t>
      </w:r>
      <w:r w:rsidRPr="00EF2F18">
        <w:rPr>
          <w:rFonts w:cs="Times New Roman"/>
          <w:b/>
          <w:bCs/>
          <w:sz w:val="22"/>
          <w:lang w:val="sr-Cyrl-RS"/>
        </w:rPr>
        <w:t>.</w:t>
      </w:r>
      <w:r w:rsidRPr="00EF2F18">
        <w:rPr>
          <w:rFonts w:cs="Times New Roman"/>
          <w:sz w:val="22"/>
          <w:lang w:val="sr-Cyrl-RS"/>
        </w:rPr>
        <w:t xml:space="preserve"> Допринос инвестиција по областима у оквиру Зелене агенде расту БДП-а у периоду </w:t>
      </w:r>
      <w:r w:rsidR="00C650C1" w:rsidRPr="00EF2F18">
        <w:rPr>
          <w:rFonts w:cs="Times New Roman"/>
          <w:sz w:val="22"/>
          <w:lang w:val="sr-Cyrl-RS"/>
        </w:rPr>
        <w:t xml:space="preserve">до </w:t>
      </w:r>
      <w:r w:rsidRPr="00EF2F18">
        <w:rPr>
          <w:rFonts w:cs="Times New Roman"/>
          <w:sz w:val="22"/>
          <w:lang w:val="sr-Cyrl-RS"/>
        </w:rPr>
        <w:t>2033. (%)</w:t>
      </w:r>
    </w:p>
    <w:tbl>
      <w:tblPr>
        <w:tblStyle w:val="ListTable3-Accent1"/>
        <w:tblpPr w:leftFromText="180" w:rightFromText="180" w:vertAnchor="text"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51"/>
        <w:gridCol w:w="551"/>
        <w:gridCol w:w="573"/>
        <w:gridCol w:w="551"/>
        <w:gridCol w:w="551"/>
        <w:gridCol w:w="551"/>
        <w:gridCol w:w="551"/>
        <w:gridCol w:w="573"/>
        <w:gridCol w:w="573"/>
      </w:tblGrid>
      <w:tr w:rsidR="00BE01B3" w:rsidRPr="00EF2F18" w14:paraId="25BA83B2" w14:textId="77777777" w:rsidTr="00C650C1">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1452" w:type="pct"/>
            <w:shd w:val="clear" w:color="auto" w:fill="FFFFCC"/>
            <w:noWrap/>
            <w:tcMar>
              <w:left w:w="28" w:type="dxa"/>
              <w:right w:w="28" w:type="dxa"/>
            </w:tcMar>
            <w:vAlign w:val="center"/>
            <w:hideMark/>
          </w:tcPr>
          <w:p w14:paraId="3AC37C16" w14:textId="77777777" w:rsidR="00C650C1" w:rsidRPr="00EF2F18" w:rsidRDefault="00C650C1" w:rsidP="00FE3C1B">
            <w:pPr>
              <w:spacing w:after="0"/>
              <w:rPr>
                <w:rFonts w:eastAsia="Times New Roman" w:cs="Times New Roman"/>
                <w:color w:val="000000"/>
                <w:sz w:val="22"/>
                <w:lang w:val="sr-Cyrl-RS" w:eastAsia="sr-Latn-RS"/>
              </w:rPr>
            </w:pPr>
          </w:p>
        </w:tc>
        <w:tc>
          <w:tcPr>
            <w:tcW w:w="0" w:type="pct"/>
            <w:shd w:val="clear" w:color="auto" w:fill="FFFFCC"/>
            <w:noWrap/>
            <w:tcMar>
              <w:left w:w="28" w:type="dxa"/>
              <w:right w:w="28" w:type="dxa"/>
            </w:tcMar>
            <w:vAlign w:val="center"/>
            <w:hideMark/>
          </w:tcPr>
          <w:p w14:paraId="4D09C726"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2025.</w:t>
            </w:r>
          </w:p>
        </w:tc>
        <w:tc>
          <w:tcPr>
            <w:tcW w:w="0" w:type="pct"/>
            <w:shd w:val="clear" w:color="auto" w:fill="FFFFCC"/>
            <w:noWrap/>
            <w:tcMar>
              <w:left w:w="28" w:type="dxa"/>
              <w:right w:w="28" w:type="dxa"/>
            </w:tcMar>
            <w:vAlign w:val="center"/>
            <w:hideMark/>
          </w:tcPr>
          <w:p w14:paraId="0B29DCCB"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2026.</w:t>
            </w:r>
          </w:p>
        </w:tc>
        <w:tc>
          <w:tcPr>
            <w:tcW w:w="0" w:type="pct"/>
            <w:shd w:val="clear" w:color="auto" w:fill="FFFFCC"/>
            <w:noWrap/>
            <w:tcMar>
              <w:left w:w="28" w:type="dxa"/>
              <w:right w:w="28" w:type="dxa"/>
            </w:tcMar>
            <w:vAlign w:val="center"/>
            <w:hideMark/>
          </w:tcPr>
          <w:p w14:paraId="6007FF02"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2027.</w:t>
            </w:r>
          </w:p>
        </w:tc>
        <w:tc>
          <w:tcPr>
            <w:tcW w:w="0" w:type="pct"/>
            <w:shd w:val="clear" w:color="auto" w:fill="FFFFCC"/>
            <w:noWrap/>
            <w:tcMar>
              <w:left w:w="28" w:type="dxa"/>
              <w:right w:w="28" w:type="dxa"/>
            </w:tcMar>
            <w:vAlign w:val="center"/>
            <w:hideMark/>
          </w:tcPr>
          <w:p w14:paraId="2DCED076"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2028.</w:t>
            </w:r>
          </w:p>
        </w:tc>
        <w:tc>
          <w:tcPr>
            <w:tcW w:w="0" w:type="pct"/>
            <w:shd w:val="clear" w:color="auto" w:fill="FFFFCC"/>
            <w:noWrap/>
            <w:tcMar>
              <w:left w:w="28" w:type="dxa"/>
              <w:right w:w="28" w:type="dxa"/>
            </w:tcMar>
            <w:vAlign w:val="center"/>
            <w:hideMark/>
          </w:tcPr>
          <w:p w14:paraId="72200572"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2029.</w:t>
            </w:r>
          </w:p>
        </w:tc>
        <w:tc>
          <w:tcPr>
            <w:tcW w:w="0" w:type="pct"/>
            <w:shd w:val="clear" w:color="auto" w:fill="FFFFCC"/>
            <w:noWrap/>
            <w:tcMar>
              <w:left w:w="28" w:type="dxa"/>
              <w:right w:w="28" w:type="dxa"/>
            </w:tcMar>
            <w:vAlign w:val="center"/>
            <w:hideMark/>
          </w:tcPr>
          <w:p w14:paraId="517DEAA9"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2030.</w:t>
            </w:r>
          </w:p>
        </w:tc>
        <w:tc>
          <w:tcPr>
            <w:tcW w:w="0" w:type="pct"/>
            <w:shd w:val="clear" w:color="auto" w:fill="FFFFCC"/>
            <w:noWrap/>
            <w:tcMar>
              <w:left w:w="28" w:type="dxa"/>
              <w:right w:w="28" w:type="dxa"/>
            </w:tcMar>
            <w:vAlign w:val="center"/>
            <w:hideMark/>
          </w:tcPr>
          <w:p w14:paraId="66A04629"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2031.</w:t>
            </w:r>
          </w:p>
        </w:tc>
        <w:tc>
          <w:tcPr>
            <w:tcW w:w="0" w:type="pct"/>
            <w:shd w:val="clear" w:color="auto" w:fill="FFFFCC"/>
            <w:noWrap/>
            <w:tcMar>
              <w:left w:w="28" w:type="dxa"/>
              <w:right w:w="28" w:type="dxa"/>
            </w:tcMar>
            <w:vAlign w:val="center"/>
            <w:hideMark/>
          </w:tcPr>
          <w:p w14:paraId="2DB07AE5"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2032.</w:t>
            </w:r>
          </w:p>
        </w:tc>
        <w:tc>
          <w:tcPr>
            <w:tcW w:w="478" w:type="pct"/>
            <w:shd w:val="clear" w:color="auto" w:fill="FFFFCC"/>
            <w:noWrap/>
            <w:tcMar>
              <w:left w:w="28" w:type="dxa"/>
              <w:right w:w="28" w:type="dxa"/>
            </w:tcMar>
            <w:vAlign w:val="center"/>
            <w:hideMark/>
          </w:tcPr>
          <w:p w14:paraId="66678186" w14:textId="77777777" w:rsidR="00C650C1" w:rsidRPr="00EF2F18" w:rsidRDefault="00C650C1" w:rsidP="00FE3C1B">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val="sr-Cyrl-RS" w:eastAsia="sr-Latn-RS"/>
              </w:rPr>
            </w:pPr>
            <w:r w:rsidRPr="00EF2F18">
              <w:rPr>
                <w:rFonts w:eastAsia="Times New Roman" w:cs="Times New Roman"/>
                <w:color w:val="000000"/>
                <w:sz w:val="22"/>
                <w:lang w:val="sr-Cyrl-RS" w:eastAsia="sr-Latn-RS"/>
              </w:rPr>
              <w:t>2033.</w:t>
            </w:r>
          </w:p>
        </w:tc>
      </w:tr>
      <w:tr w:rsidR="00C650C1" w:rsidRPr="00EF2F18" w14:paraId="57B9BFC5" w14:textId="77777777" w:rsidTr="0099460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452" w:type="pct"/>
            <w:noWrap/>
            <w:tcMar>
              <w:left w:w="28" w:type="dxa"/>
              <w:right w:w="28" w:type="dxa"/>
            </w:tcMar>
            <w:vAlign w:val="center"/>
            <w:hideMark/>
          </w:tcPr>
          <w:p w14:paraId="6DDD7198" w14:textId="77777777" w:rsidR="00C650C1" w:rsidRPr="00EF2F18" w:rsidRDefault="00C650C1" w:rsidP="00FE3C1B">
            <w:pPr>
              <w:spacing w:after="0"/>
              <w:rPr>
                <w:rFonts w:eastAsia="Times New Roman" w:cs="Times New Roman"/>
                <w:b w:val="0"/>
                <w:bCs w:val="0"/>
                <w:color w:val="000000"/>
                <w:sz w:val="20"/>
                <w:szCs w:val="20"/>
                <w:lang w:val="sr-Cyrl-RS" w:eastAsia="sr-Latn-RS"/>
              </w:rPr>
            </w:pPr>
            <w:r w:rsidRPr="00EF2F18">
              <w:rPr>
                <w:rFonts w:eastAsia="Times New Roman" w:cs="Times New Roman"/>
                <w:b w:val="0"/>
                <w:bCs w:val="0"/>
                <w:color w:val="000000"/>
                <w:sz w:val="20"/>
                <w:szCs w:val="20"/>
                <w:lang w:val="sr-Cyrl-RS" w:eastAsia="sr-Latn-RS"/>
              </w:rPr>
              <w:t>Декарбонизација</w:t>
            </w:r>
          </w:p>
        </w:tc>
        <w:tc>
          <w:tcPr>
            <w:tcW w:w="0" w:type="pct"/>
            <w:noWrap/>
            <w:tcMar>
              <w:left w:w="28" w:type="dxa"/>
              <w:right w:w="28" w:type="dxa"/>
            </w:tcMar>
            <w:vAlign w:val="center"/>
            <w:hideMark/>
          </w:tcPr>
          <w:p w14:paraId="50D2145E"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0,634</w:t>
            </w:r>
          </w:p>
        </w:tc>
        <w:tc>
          <w:tcPr>
            <w:tcW w:w="0" w:type="pct"/>
            <w:noWrap/>
            <w:tcMar>
              <w:left w:w="28" w:type="dxa"/>
              <w:right w:w="28" w:type="dxa"/>
            </w:tcMar>
            <w:vAlign w:val="center"/>
            <w:hideMark/>
          </w:tcPr>
          <w:p w14:paraId="266443CD"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0,592</w:t>
            </w:r>
          </w:p>
        </w:tc>
        <w:tc>
          <w:tcPr>
            <w:tcW w:w="0" w:type="pct"/>
            <w:noWrap/>
            <w:tcMar>
              <w:left w:w="28" w:type="dxa"/>
              <w:right w:w="28" w:type="dxa"/>
            </w:tcMar>
            <w:vAlign w:val="center"/>
            <w:hideMark/>
          </w:tcPr>
          <w:p w14:paraId="6F89C74B"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-0,085</w:t>
            </w:r>
          </w:p>
        </w:tc>
        <w:tc>
          <w:tcPr>
            <w:tcW w:w="0" w:type="pct"/>
            <w:noWrap/>
            <w:tcMar>
              <w:left w:w="28" w:type="dxa"/>
              <w:right w:w="28" w:type="dxa"/>
            </w:tcMar>
            <w:vAlign w:val="center"/>
            <w:hideMark/>
          </w:tcPr>
          <w:p w14:paraId="13AF6E74"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0,450</w:t>
            </w:r>
          </w:p>
        </w:tc>
        <w:tc>
          <w:tcPr>
            <w:tcW w:w="0" w:type="pct"/>
            <w:noWrap/>
            <w:tcMar>
              <w:left w:w="28" w:type="dxa"/>
              <w:right w:w="28" w:type="dxa"/>
            </w:tcMar>
            <w:vAlign w:val="center"/>
            <w:hideMark/>
          </w:tcPr>
          <w:p w14:paraId="4C2D0253"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0,335</w:t>
            </w:r>
          </w:p>
        </w:tc>
        <w:tc>
          <w:tcPr>
            <w:tcW w:w="0" w:type="pct"/>
            <w:noWrap/>
            <w:tcMar>
              <w:left w:w="28" w:type="dxa"/>
              <w:right w:w="28" w:type="dxa"/>
            </w:tcMar>
            <w:vAlign w:val="center"/>
            <w:hideMark/>
          </w:tcPr>
          <w:p w14:paraId="75BF0E1B"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0,229</w:t>
            </w:r>
          </w:p>
        </w:tc>
        <w:tc>
          <w:tcPr>
            <w:tcW w:w="0" w:type="pct"/>
            <w:noWrap/>
            <w:tcMar>
              <w:left w:w="28" w:type="dxa"/>
              <w:right w:w="28" w:type="dxa"/>
            </w:tcMar>
            <w:vAlign w:val="center"/>
            <w:hideMark/>
          </w:tcPr>
          <w:p w14:paraId="3D8D077D"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0,213</w:t>
            </w:r>
          </w:p>
        </w:tc>
        <w:tc>
          <w:tcPr>
            <w:tcW w:w="0" w:type="pct"/>
            <w:noWrap/>
            <w:tcMar>
              <w:left w:w="28" w:type="dxa"/>
              <w:right w:w="28" w:type="dxa"/>
            </w:tcMar>
            <w:vAlign w:val="center"/>
            <w:hideMark/>
          </w:tcPr>
          <w:p w14:paraId="66650C9E"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0,195</w:t>
            </w:r>
          </w:p>
        </w:tc>
        <w:tc>
          <w:tcPr>
            <w:tcW w:w="478" w:type="pct"/>
            <w:noWrap/>
            <w:tcMar>
              <w:left w:w="28" w:type="dxa"/>
              <w:right w:w="28" w:type="dxa"/>
            </w:tcMar>
            <w:vAlign w:val="center"/>
            <w:hideMark/>
          </w:tcPr>
          <w:p w14:paraId="4DA1EACE"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0,181</w:t>
            </w:r>
          </w:p>
        </w:tc>
      </w:tr>
      <w:tr w:rsidR="00C650C1" w:rsidRPr="00EF2F18" w14:paraId="5349651D" w14:textId="77777777" w:rsidTr="00994601">
        <w:trPr>
          <w:trHeight w:val="256"/>
        </w:trPr>
        <w:tc>
          <w:tcPr>
            <w:cnfStyle w:val="001000000000" w:firstRow="0" w:lastRow="0" w:firstColumn="1" w:lastColumn="0" w:oddVBand="0" w:evenVBand="0" w:oddHBand="0" w:evenHBand="0" w:firstRowFirstColumn="0" w:firstRowLastColumn="0" w:lastRowFirstColumn="0" w:lastRowLastColumn="0"/>
            <w:tcW w:w="1452" w:type="pct"/>
            <w:noWrap/>
            <w:tcMar>
              <w:left w:w="28" w:type="dxa"/>
              <w:right w:w="28" w:type="dxa"/>
            </w:tcMar>
            <w:vAlign w:val="center"/>
            <w:hideMark/>
          </w:tcPr>
          <w:p w14:paraId="0BFEC7BB" w14:textId="77777777" w:rsidR="00C650C1" w:rsidRPr="00EF2F18" w:rsidRDefault="00C650C1" w:rsidP="00FE3C1B">
            <w:pPr>
              <w:spacing w:after="0"/>
              <w:rPr>
                <w:rFonts w:eastAsia="Times New Roman" w:cs="Times New Roman"/>
                <w:b w:val="0"/>
                <w:bCs w:val="0"/>
                <w:color w:val="000000"/>
                <w:sz w:val="20"/>
                <w:szCs w:val="20"/>
                <w:lang w:val="sr-Cyrl-RS" w:eastAsia="sr-Latn-RS"/>
              </w:rPr>
            </w:pPr>
            <w:r w:rsidRPr="00EF2F18">
              <w:rPr>
                <w:rFonts w:eastAsia="Times New Roman" w:cs="Times New Roman"/>
                <w:b w:val="0"/>
                <w:bCs w:val="0"/>
                <w:color w:val="000000"/>
                <w:sz w:val="20"/>
                <w:szCs w:val="20"/>
                <w:lang w:val="sr-Cyrl-RS" w:eastAsia="sr-Latn-RS"/>
              </w:rPr>
              <w:t>Циркуларна економија</w:t>
            </w:r>
          </w:p>
        </w:tc>
        <w:tc>
          <w:tcPr>
            <w:tcW w:w="0" w:type="pct"/>
            <w:noWrap/>
            <w:tcMar>
              <w:left w:w="28" w:type="dxa"/>
              <w:right w:w="28" w:type="dxa"/>
            </w:tcMar>
            <w:vAlign w:val="center"/>
            <w:hideMark/>
          </w:tcPr>
          <w:p w14:paraId="7F8156C3"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0,016</w:t>
            </w:r>
          </w:p>
        </w:tc>
        <w:tc>
          <w:tcPr>
            <w:tcW w:w="0" w:type="pct"/>
            <w:noWrap/>
            <w:tcMar>
              <w:left w:w="28" w:type="dxa"/>
              <w:right w:w="28" w:type="dxa"/>
            </w:tcMar>
            <w:vAlign w:val="center"/>
            <w:hideMark/>
          </w:tcPr>
          <w:p w14:paraId="1FEA8608"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0,020</w:t>
            </w:r>
          </w:p>
        </w:tc>
        <w:tc>
          <w:tcPr>
            <w:tcW w:w="0" w:type="pct"/>
            <w:noWrap/>
            <w:tcMar>
              <w:left w:w="28" w:type="dxa"/>
              <w:right w:w="28" w:type="dxa"/>
            </w:tcMar>
            <w:vAlign w:val="center"/>
            <w:hideMark/>
          </w:tcPr>
          <w:p w14:paraId="032498E2"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0,024</w:t>
            </w:r>
          </w:p>
        </w:tc>
        <w:tc>
          <w:tcPr>
            <w:tcW w:w="0" w:type="pct"/>
            <w:noWrap/>
            <w:tcMar>
              <w:left w:w="28" w:type="dxa"/>
              <w:right w:w="28" w:type="dxa"/>
            </w:tcMar>
            <w:vAlign w:val="center"/>
            <w:hideMark/>
          </w:tcPr>
          <w:p w14:paraId="2E09BD84"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0,022</w:t>
            </w:r>
          </w:p>
        </w:tc>
        <w:tc>
          <w:tcPr>
            <w:tcW w:w="0" w:type="pct"/>
            <w:noWrap/>
            <w:tcMar>
              <w:left w:w="28" w:type="dxa"/>
              <w:right w:w="28" w:type="dxa"/>
            </w:tcMar>
            <w:vAlign w:val="center"/>
            <w:hideMark/>
          </w:tcPr>
          <w:p w14:paraId="46B83943"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0,021</w:t>
            </w:r>
          </w:p>
        </w:tc>
        <w:tc>
          <w:tcPr>
            <w:tcW w:w="0" w:type="pct"/>
            <w:noWrap/>
            <w:tcMar>
              <w:left w:w="28" w:type="dxa"/>
              <w:right w:w="28" w:type="dxa"/>
            </w:tcMar>
            <w:vAlign w:val="center"/>
            <w:hideMark/>
          </w:tcPr>
          <w:p w14:paraId="247994AF"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0,010</w:t>
            </w:r>
          </w:p>
        </w:tc>
        <w:tc>
          <w:tcPr>
            <w:tcW w:w="0" w:type="pct"/>
            <w:noWrap/>
            <w:tcMar>
              <w:left w:w="28" w:type="dxa"/>
              <w:right w:w="28" w:type="dxa"/>
            </w:tcMar>
            <w:vAlign w:val="center"/>
            <w:hideMark/>
          </w:tcPr>
          <w:p w14:paraId="6749D324"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0,009</w:t>
            </w:r>
          </w:p>
        </w:tc>
        <w:tc>
          <w:tcPr>
            <w:tcW w:w="0" w:type="pct"/>
            <w:noWrap/>
            <w:tcMar>
              <w:left w:w="28" w:type="dxa"/>
              <w:right w:w="28" w:type="dxa"/>
            </w:tcMar>
            <w:vAlign w:val="center"/>
            <w:hideMark/>
          </w:tcPr>
          <w:p w14:paraId="1635F68E"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0,009</w:t>
            </w:r>
          </w:p>
        </w:tc>
        <w:tc>
          <w:tcPr>
            <w:tcW w:w="478" w:type="pct"/>
            <w:noWrap/>
            <w:tcMar>
              <w:left w:w="28" w:type="dxa"/>
              <w:right w:w="28" w:type="dxa"/>
            </w:tcMar>
            <w:vAlign w:val="center"/>
            <w:hideMark/>
          </w:tcPr>
          <w:p w14:paraId="2F405D55"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0,008</w:t>
            </w:r>
          </w:p>
        </w:tc>
      </w:tr>
      <w:tr w:rsidR="00C650C1" w:rsidRPr="00EF2F18" w14:paraId="434BE83E" w14:textId="77777777" w:rsidTr="0099460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452" w:type="pct"/>
            <w:noWrap/>
            <w:tcMar>
              <w:left w:w="28" w:type="dxa"/>
              <w:right w:w="28" w:type="dxa"/>
            </w:tcMar>
            <w:vAlign w:val="center"/>
            <w:hideMark/>
          </w:tcPr>
          <w:p w14:paraId="41B8DE34" w14:textId="77777777" w:rsidR="00C650C1" w:rsidRPr="00EF2F18" w:rsidRDefault="00C650C1" w:rsidP="00FE3C1B">
            <w:pPr>
              <w:spacing w:after="0"/>
              <w:rPr>
                <w:rFonts w:eastAsia="Times New Roman" w:cs="Times New Roman"/>
                <w:b w:val="0"/>
                <w:bCs w:val="0"/>
                <w:color w:val="000000"/>
                <w:sz w:val="20"/>
                <w:szCs w:val="20"/>
                <w:lang w:val="sr-Cyrl-RS" w:eastAsia="sr-Latn-RS"/>
              </w:rPr>
            </w:pPr>
            <w:r w:rsidRPr="00EF2F18">
              <w:rPr>
                <w:rFonts w:eastAsia="Times New Roman" w:cs="Times New Roman"/>
                <w:b w:val="0"/>
                <w:bCs w:val="0"/>
                <w:color w:val="000000"/>
                <w:sz w:val="20"/>
                <w:szCs w:val="20"/>
                <w:lang w:val="sr-Cyrl-RS" w:eastAsia="sr-Latn-RS"/>
              </w:rPr>
              <w:t>Смањење загађења</w:t>
            </w:r>
          </w:p>
        </w:tc>
        <w:tc>
          <w:tcPr>
            <w:tcW w:w="0" w:type="pct"/>
            <w:noWrap/>
            <w:tcMar>
              <w:left w:w="28" w:type="dxa"/>
              <w:right w:w="28" w:type="dxa"/>
            </w:tcMar>
            <w:vAlign w:val="center"/>
            <w:hideMark/>
          </w:tcPr>
          <w:p w14:paraId="3B8268CB"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0,265</w:t>
            </w:r>
          </w:p>
        </w:tc>
        <w:tc>
          <w:tcPr>
            <w:tcW w:w="0" w:type="pct"/>
            <w:noWrap/>
            <w:tcMar>
              <w:left w:w="28" w:type="dxa"/>
              <w:right w:w="28" w:type="dxa"/>
            </w:tcMar>
            <w:vAlign w:val="center"/>
            <w:hideMark/>
          </w:tcPr>
          <w:p w14:paraId="14FB0E7D"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0,243</w:t>
            </w:r>
          </w:p>
        </w:tc>
        <w:tc>
          <w:tcPr>
            <w:tcW w:w="0" w:type="pct"/>
            <w:noWrap/>
            <w:tcMar>
              <w:left w:w="28" w:type="dxa"/>
              <w:right w:w="28" w:type="dxa"/>
            </w:tcMar>
            <w:vAlign w:val="center"/>
            <w:hideMark/>
          </w:tcPr>
          <w:p w14:paraId="7E67839C"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0,199</w:t>
            </w:r>
          </w:p>
        </w:tc>
        <w:tc>
          <w:tcPr>
            <w:tcW w:w="0" w:type="pct"/>
            <w:noWrap/>
            <w:tcMar>
              <w:left w:w="28" w:type="dxa"/>
              <w:right w:w="28" w:type="dxa"/>
            </w:tcMar>
            <w:vAlign w:val="center"/>
            <w:hideMark/>
          </w:tcPr>
          <w:p w14:paraId="6430EC55"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0,150</w:t>
            </w:r>
          </w:p>
        </w:tc>
        <w:tc>
          <w:tcPr>
            <w:tcW w:w="0" w:type="pct"/>
            <w:noWrap/>
            <w:tcMar>
              <w:left w:w="28" w:type="dxa"/>
              <w:right w:w="28" w:type="dxa"/>
            </w:tcMar>
            <w:vAlign w:val="center"/>
            <w:hideMark/>
          </w:tcPr>
          <w:p w14:paraId="43E7720A"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0,096</w:t>
            </w:r>
          </w:p>
        </w:tc>
        <w:tc>
          <w:tcPr>
            <w:tcW w:w="0" w:type="pct"/>
            <w:noWrap/>
            <w:tcMar>
              <w:left w:w="28" w:type="dxa"/>
              <w:right w:w="28" w:type="dxa"/>
            </w:tcMar>
            <w:vAlign w:val="center"/>
            <w:hideMark/>
          </w:tcPr>
          <w:p w14:paraId="210EB876"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0,062</w:t>
            </w:r>
          </w:p>
        </w:tc>
        <w:tc>
          <w:tcPr>
            <w:tcW w:w="0" w:type="pct"/>
            <w:noWrap/>
            <w:tcMar>
              <w:left w:w="28" w:type="dxa"/>
              <w:right w:w="28" w:type="dxa"/>
            </w:tcMar>
            <w:vAlign w:val="center"/>
            <w:hideMark/>
          </w:tcPr>
          <w:p w14:paraId="4CC73DA4"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0,001</w:t>
            </w:r>
          </w:p>
        </w:tc>
        <w:tc>
          <w:tcPr>
            <w:tcW w:w="0" w:type="pct"/>
            <w:noWrap/>
            <w:tcMar>
              <w:left w:w="28" w:type="dxa"/>
              <w:right w:w="28" w:type="dxa"/>
            </w:tcMar>
            <w:vAlign w:val="center"/>
            <w:hideMark/>
          </w:tcPr>
          <w:p w14:paraId="12948DF4"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-0,008</w:t>
            </w:r>
          </w:p>
        </w:tc>
        <w:tc>
          <w:tcPr>
            <w:tcW w:w="478" w:type="pct"/>
            <w:noWrap/>
            <w:tcMar>
              <w:left w:w="28" w:type="dxa"/>
              <w:right w:w="28" w:type="dxa"/>
            </w:tcMar>
            <w:vAlign w:val="center"/>
            <w:hideMark/>
          </w:tcPr>
          <w:p w14:paraId="68168728"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-0,012</w:t>
            </w:r>
          </w:p>
        </w:tc>
      </w:tr>
      <w:tr w:rsidR="00C650C1" w:rsidRPr="00EF2F18" w14:paraId="337DDEFC" w14:textId="77777777" w:rsidTr="00994601">
        <w:trPr>
          <w:trHeight w:val="256"/>
        </w:trPr>
        <w:tc>
          <w:tcPr>
            <w:cnfStyle w:val="001000000000" w:firstRow="0" w:lastRow="0" w:firstColumn="1" w:lastColumn="0" w:oddVBand="0" w:evenVBand="0" w:oddHBand="0" w:evenHBand="0" w:firstRowFirstColumn="0" w:firstRowLastColumn="0" w:lastRowFirstColumn="0" w:lastRowLastColumn="0"/>
            <w:tcW w:w="1452" w:type="pct"/>
            <w:noWrap/>
            <w:tcMar>
              <w:left w:w="28" w:type="dxa"/>
              <w:right w:w="28" w:type="dxa"/>
            </w:tcMar>
            <w:vAlign w:val="center"/>
            <w:hideMark/>
          </w:tcPr>
          <w:p w14:paraId="52195CC7" w14:textId="77777777" w:rsidR="00C650C1" w:rsidRPr="00EF2F18" w:rsidRDefault="00C650C1" w:rsidP="00FE3C1B">
            <w:pPr>
              <w:spacing w:after="0"/>
              <w:rPr>
                <w:rFonts w:eastAsia="Times New Roman" w:cs="Times New Roman"/>
                <w:b w:val="0"/>
                <w:bCs w:val="0"/>
                <w:color w:val="000000"/>
                <w:sz w:val="20"/>
                <w:szCs w:val="20"/>
                <w:lang w:val="sr-Cyrl-RS" w:eastAsia="sr-Latn-RS"/>
              </w:rPr>
            </w:pPr>
            <w:r w:rsidRPr="00EF2F18">
              <w:rPr>
                <w:rFonts w:eastAsia="Times New Roman" w:cs="Times New Roman"/>
                <w:b w:val="0"/>
                <w:bCs w:val="0"/>
                <w:color w:val="000000"/>
                <w:sz w:val="20"/>
                <w:szCs w:val="20"/>
                <w:lang w:val="sr-Cyrl-RS" w:eastAsia="sr-Latn-RS"/>
              </w:rPr>
              <w:t>Биодиверзитет</w:t>
            </w:r>
          </w:p>
        </w:tc>
        <w:tc>
          <w:tcPr>
            <w:tcW w:w="0" w:type="pct"/>
            <w:noWrap/>
            <w:tcMar>
              <w:left w:w="28" w:type="dxa"/>
              <w:right w:w="28" w:type="dxa"/>
            </w:tcMar>
            <w:vAlign w:val="center"/>
            <w:hideMark/>
          </w:tcPr>
          <w:p w14:paraId="21F841A3"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0,009</w:t>
            </w:r>
          </w:p>
        </w:tc>
        <w:tc>
          <w:tcPr>
            <w:tcW w:w="0" w:type="pct"/>
            <w:noWrap/>
            <w:tcMar>
              <w:left w:w="28" w:type="dxa"/>
              <w:right w:w="28" w:type="dxa"/>
            </w:tcMar>
            <w:vAlign w:val="center"/>
            <w:hideMark/>
          </w:tcPr>
          <w:p w14:paraId="4BFAD73E"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0,010</w:t>
            </w:r>
          </w:p>
        </w:tc>
        <w:tc>
          <w:tcPr>
            <w:tcW w:w="0" w:type="pct"/>
            <w:noWrap/>
            <w:tcMar>
              <w:left w:w="28" w:type="dxa"/>
              <w:right w:w="28" w:type="dxa"/>
            </w:tcMar>
            <w:vAlign w:val="center"/>
            <w:hideMark/>
          </w:tcPr>
          <w:p w14:paraId="712034DF"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0,010</w:t>
            </w:r>
          </w:p>
        </w:tc>
        <w:tc>
          <w:tcPr>
            <w:tcW w:w="0" w:type="pct"/>
            <w:noWrap/>
            <w:tcMar>
              <w:left w:w="28" w:type="dxa"/>
              <w:right w:w="28" w:type="dxa"/>
            </w:tcMar>
            <w:vAlign w:val="center"/>
            <w:hideMark/>
          </w:tcPr>
          <w:p w14:paraId="7B99368F"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0,011</w:t>
            </w:r>
          </w:p>
        </w:tc>
        <w:tc>
          <w:tcPr>
            <w:tcW w:w="0" w:type="pct"/>
            <w:noWrap/>
            <w:tcMar>
              <w:left w:w="28" w:type="dxa"/>
              <w:right w:w="28" w:type="dxa"/>
            </w:tcMar>
            <w:vAlign w:val="center"/>
            <w:hideMark/>
          </w:tcPr>
          <w:p w14:paraId="3FCF0D5A"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0,010</w:t>
            </w:r>
          </w:p>
        </w:tc>
        <w:tc>
          <w:tcPr>
            <w:tcW w:w="0" w:type="pct"/>
            <w:noWrap/>
            <w:tcMar>
              <w:left w:w="28" w:type="dxa"/>
              <w:right w:w="28" w:type="dxa"/>
            </w:tcMar>
            <w:vAlign w:val="center"/>
            <w:hideMark/>
          </w:tcPr>
          <w:p w14:paraId="054003D9"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0,009</w:t>
            </w:r>
          </w:p>
        </w:tc>
        <w:tc>
          <w:tcPr>
            <w:tcW w:w="0" w:type="pct"/>
            <w:noWrap/>
            <w:tcMar>
              <w:left w:w="28" w:type="dxa"/>
              <w:right w:w="28" w:type="dxa"/>
            </w:tcMar>
            <w:vAlign w:val="center"/>
            <w:hideMark/>
          </w:tcPr>
          <w:p w14:paraId="03E0609F"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0,009</w:t>
            </w:r>
          </w:p>
        </w:tc>
        <w:tc>
          <w:tcPr>
            <w:tcW w:w="0" w:type="pct"/>
            <w:noWrap/>
            <w:tcMar>
              <w:left w:w="28" w:type="dxa"/>
              <w:right w:w="28" w:type="dxa"/>
            </w:tcMar>
            <w:vAlign w:val="center"/>
            <w:hideMark/>
          </w:tcPr>
          <w:p w14:paraId="51E75D7F"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0,005</w:t>
            </w:r>
          </w:p>
        </w:tc>
        <w:tc>
          <w:tcPr>
            <w:tcW w:w="478" w:type="pct"/>
            <w:noWrap/>
            <w:tcMar>
              <w:left w:w="28" w:type="dxa"/>
              <w:right w:w="28" w:type="dxa"/>
            </w:tcMar>
            <w:vAlign w:val="center"/>
            <w:hideMark/>
          </w:tcPr>
          <w:p w14:paraId="33FAB1A5"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0,004</w:t>
            </w:r>
          </w:p>
        </w:tc>
      </w:tr>
      <w:tr w:rsidR="00C650C1" w:rsidRPr="00EF2F18" w14:paraId="36261A20" w14:textId="77777777" w:rsidTr="0099460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452" w:type="pct"/>
            <w:noWrap/>
            <w:tcMar>
              <w:left w:w="28" w:type="dxa"/>
              <w:right w:w="28" w:type="dxa"/>
            </w:tcMar>
            <w:vAlign w:val="center"/>
            <w:hideMark/>
          </w:tcPr>
          <w:p w14:paraId="7EE02D6E" w14:textId="77777777" w:rsidR="00C650C1" w:rsidRPr="00EF2F18" w:rsidRDefault="00C650C1" w:rsidP="00FE3C1B">
            <w:pPr>
              <w:spacing w:after="0"/>
              <w:rPr>
                <w:rFonts w:eastAsia="Times New Roman" w:cs="Times New Roman"/>
                <w:b w:val="0"/>
                <w:bCs w:val="0"/>
                <w:color w:val="000000"/>
                <w:sz w:val="20"/>
                <w:szCs w:val="20"/>
                <w:lang w:val="sr-Cyrl-RS" w:eastAsia="sr-Latn-RS"/>
              </w:rPr>
            </w:pPr>
            <w:r w:rsidRPr="00EF2F18">
              <w:rPr>
                <w:rFonts w:eastAsia="Times New Roman" w:cs="Times New Roman"/>
                <w:b w:val="0"/>
                <w:bCs w:val="0"/>
                <w:color w:val="000000"/>
                <w:sz w:val="20"/>
                <w:szCs w:val="20"/>
                <w:lang w:val="sr-Cyrl-RS" w:eastAsia="sr-Latn-RS"/>
              </w:rPr>
              <w:t>Одржива пољопривреда</w:t>
            </w:r>
          </w:p>
        </w:tc>
        <w:tc>
          <w:tcPr>
            <w:tcW w:w="0" w:type="pct"/>
            <w:noWrap/>
            <w:tcMar>
              <w:left w:w="28" w:type="dxa"/>
              <w:right w:w="28" w:type="dxa"/>
            </w:tcMar>
            <w:vAlign w:val="center"/>
            <w:hideMark/>
          </w:tcPr>
          <w:p w14:paraId="04EF5AB8"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0,028</w:t>
            </w:r>
          </w:p>
        </w:tc>
        <w:tc>
          <w:tcPr>
            <w:tcW w:w="0" w:type="pct"/>
            <w:noWrap/>
            <w:tcMar>
              <w:left w:w="28" w:type="dxa"/>
              <w:right w:w="28" w:type="dxa"/>
            </w:tcMar>
            <w:vAlign w:val="center"/>
            <w:hideMark/>
          </w:tcPr>
          <w:p w14:paraId="6D77F911"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0,027</w:t>
            </w:r>
          </w:p>
        </w:tc>
        <w:tc>
          <w:tcPr>
            <w:tcW w:w="0" w:type="pct"/>
            <w:noWrap/>
            <w:tcMar>
              <w:left w:w="28" w:type="dxa"/>
              <w:right w:w="28" w:type="dxa"/>
            </w:tcMar>
            <w:vAlign w:val="center"/>
            <w:hideMark/>
          </w:tcPr>
          <w:p w14:paraId="2E9AF22B"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0,024</w:t>
            </w:r>
          </w:p>
        </w:tc>
        <w:tc>
          <w:tcPr>
            <w:tcW w:w="0" w:type="pct"/>
            <w:noWrap/>
            <w:tcMar>
              <w:left w:w="28" w:type="dxa"/>
              <w:right w:w="28" w:type="dxa"/>
            </w:tcMar>
            <w:vAlign w:val="center"/>
            <w:hideMark/>
          </w:tcPr>
          <w:p w14:paraId="0949322B"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0,020</w:t>
            </w:r>
          </w:p>
        </w:tc>
        <w:tc>
          <w:tcPr>
            <w:tcW w:w="0" w:type="pct"/>
            <w:noWrap/>
            <w:tcMar>
              <w:left w:w="28" w:type="dxa"/>
              <w:right w:w="28" w:type="dxa"/>
            </w:tcMar>
            <w:vAlign w:val="center"/>
            <w:hideMark/>
          </w:tcPr>
          <w:p w14:paraId="5816473A"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0,015</w:t>
            </w:r>
          </w:p>
        </w:tc>
        <w:tc>
          <w:tcPr>
            <w:tcW w:w="0" w:type="pct"/>
            <w:noWrap/>
            <w:tcMar>
              <w:left w:w="28" w:type="dxa"/>
              <w:right w:w="28" w:type="dxa"/>
            </w:tcMar>
            <w:vAlign w:val="center"/>
            <w:hideMark/>
          </w:tcPr>
          <w:p w14:paraId="69B77155"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0,010</w:t>
            </w:r>
          </w:p>
        </w:tc>
        <w:tc>
          <w:tcPr>
            <w:tcW w:w="0" w:type="pct"/>
            <w:noWrap/>
            <w:tcMar>
              <w:left w:w="28" w:type="dxa"/>
              <w:right w:w="28" w:type="dxa"/>
            </w:tcMar>
            <w:vAlign w:val="center"/>
            <w:hideMark/>
          </w:tcPr>
          <w:p w14:paraId="3D83ADFC"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0,009</w:t>
            </w:r>
          </w:p>
        </w:tc>
        <w:tc>
          <w:tcPr>
            <w:tcW w:w="0" w:type="pct"/>
            <w:noWrap/>
            <w:tcMar>
              <w:left w:w="28" w:type="dxa"/>
              <w:right w:w="28" w:type="dxa"/>
            </w:tcMar>
            <w:vAlign w:val="center"/>
            <w:hideMark/>
          </w:tcPr>
          <w:p w14:paraId="7FB669CB"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0,008</w:t>
            </w:r>
          </w:p>
        </w:tc>
        <w:tc>
          <w:tcPr>
            <w:tcW w:w="478" w:type="pct"/>
            <w:noWrap/>
            <w:tcMar>
              <w:left w:w="28" w:type="dxa"/>
              <w:right w:w="28" w:type="dxa"/>
            </w:tcMar>
            <w:vAlign w:val="center"/>
            <w:hideMark/>
          </w:tcPr>
          <w:p w14:paraId="14059B5E" w14:textId="77777777" w:rsidR="00C650C1" w:rsidRPr="00EF2F18" w:rsidRDefault="00C650C1" w:rsidP="00FE3C1B">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sr-Cyrl-RS" w:eastAsia="sr-Latn-RS"/>
              </w:rPr>
            </w:pPr>
            <w:r w:rsidRPr="00EF2F18">
              <w:rPr>
                <w:sz w:val="20"/>
                <w:szCs w:val="20"/>
                <w:lang w:val="sr-Cyrl-RS"/>
              </w:rPr>
              <w:t>0,008</w:t>
            </w:r>
          </w:p>
        </w:tc>
      </w:tr>
      <w:tr w:rsidR="00C650C1" w:rsidRPr="00EF2F18" w14:paraId="0396579D" w14:textId="77777777" w:rsidTr="00994601">
        <w:trPr>
          <w:trHeight w:val="461"/>
        </w:trPr>
        <w:tc>
          <w:tcPr>
            <w:cnfStyle w:val="001000000000" w:firstRow="0" w:lastRow="0" w:firstColumn="1" w:lastColumn="0" w:oddVBand="0" w:evenVBand="0" w:oddHBand="0" w:evenHBand="0" w:firstRowFirstColumn="0" w:firstRowLastColumn="0" w:lastRowFirstColumn="0" w:lastRowLastColumn="0"/>
            <w:tcW w:w="1452" w:type="pct"/>
            <w:noWrap/>
            <w:tcMar>
              <w:left w:w="28" w:type="dxa"/>
              <w:right w:w="28" w:type="dxa"/>
            </w:tcMar>
            <w:vAlign w:val="center"/>
            <w:hideMark/>
          </w:tcPr>
          <w:p w14:paraId="6EC50135" w14:textId="77777777" w:rsidR="00C650C1" w:rsidRPr="00EF2F18" w:rsidRDefault="00C650C1" w:rsidP="00FE3C1B">
            <w:pPr>
              <w:spacing w:after="0"/>
              <w:rPr>
                <w:rFonts w:eastAsia="Times New Roman" w:cs="Times New Roman"/>
                <w:color w:val="000000"/>
                <w:sz w:val="20"/>
                <w:szCs w:val="20"/>
                <w:lang w:val="sr-Cyrl-RS" w:eastAsia="sr-Latn-RS"/>
              </w:rPr>
            </w:pPr>
            <w:r w:rsidRPr="00EF2F18">
              <w:rPr>
                <w:rFonts w:eastAsia="Times New Roman" w:cs="Times New Roman"/>
                <w:color w:val="000000"/>
                <w:sz w:val="20"/>
                <w:szCs w:val="20"/>
                <w:lang w:val="sr-Cyrl-RS" w:eastAsia="sr-Latn-RS"/>
              </w:rPr>
              <w:t>Укупно промена БДП-а</w:t>
            </w:r>
          </w:p>
        </w:tc>
        <w:tc>
          <w:tcPr>
            <w:tcW w:w="0" w:type="pct"/>
            <w:noWrap/>
            <w:tcMar>
              <w:left w:w="28" w:type="dxa"/>
              <w:right w:w="28" w:type="dxa"/>
            </w:tcMar>
            <w:vAlign w:val="center"/>
            <w:hideMark/>
          </w:tcPr>
          <w:p w14:paraId="35FEFADB"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0,976</w:t>
            </w:r>
          </w:p>
        </w:tc>
        <w:tc>
          <w:tcPr>
            <w:tcW w:w="0" w:type="pct"/>
            <w:noWrap/>
            <w:tcMar>
              <w:left w:w="28" w:type="dxa"/>
              <w:right w:w="28" w:type="dxa"/>
            </w:tcMar>
            <w:vAlign w:val="center"/>
            <w:hideMark/>
          </w:tcPr>
          <w:p w14:paraId="11EA7C94"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0,941</w:t>
            </w:r>
          </w:p>
        </w:tc>
        <w:tc>
          <w:tcPr>
            <w:tcW w:w="0" w:type="pct"/>
            <w:noWrap/>
            <w:tcMar>
              <w:left w:w="28" w:type="dxa"/>
              <w:right w:w="28" w:type="dxa"/>
            </w:tcMar>
            <w:vAlign w:val="center"/>
            <w:hideMark/>
          </w:tcPr>
          <w:p w14:paraId="6BB9E526"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0,850</w:t>
            </w:r>
          </w:p>
        </w:tc>
        <w:tc>
          <w:tcPr>
            <w:tcW w:w="0" w:type="pct"/>
            <w:noWrap/>
            <w:tcMar>
              <w:left w:w="28" w:type="dxa"/>
              <w:right w:w="28" w:type="dxa"/>
            </w:tcMar>
            <w:vAlign w:val="center"/>
            <w:hideMark/>
          </w:tcPr>
          <w:p w14:paraId="5598C329"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0,724</w:t>
            </w:r>
          </w:p>
        </w:tc>
        <w:tc>
          <w:tcPr>
            <w:tcW w:w="0" w:type="pct"/>
            <w:noWrap/>
            <w:tcMar>
              <w:left w:w="28" w:type="dxa"/>
              <w:right w:w="28" w:type="dxa"/>
            </w:tcMar>
            <w:vAlign w:val="center"/>
            <w:hideMark/>
          </w:tcPr>
          <w:p w14:paraId="6083EC83"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0,568</w:t>
            </w:r>
          </w:p>
        </w:tc>
        <w:tc>
          <w:tcPr>
            <w:tcW w:w="0" w:type="pct"/>
            <w:noWrap/>
            <w:tcMar>
              <w:left w:w="28" w:type="dxa"/>
              <w:right w:w="28" w:type="dxa"/>
            </w:tcMar>
            <w:vAlign w:val="center"/>
            <w:hideMark/>
          </w:tcPr>
          <w:p w14:paraId="401537A7"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0,427</w:t>
            </w:r>
          </w:p>
        </w:tc>
        <w:tc>
          <w:tcPr>
            <w:tcW w:w="0" w:type="pct"/>
            <w:noWrap/>
            <w:tcMar>
              <w:left w:w="28" w:type="dxa"/>
              <w:right w:w="28" w:type="dxa"/>
            </w:tcMar>
            <w:vAlign w:val="center"/>
            <w:hideMark/>
          </w:tcPr>
          <w:p w14:paraId="0904E840"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0,359</w:t>
            </w:r>
          </w:p>
        </w:tc>
        <w:tc>
          <w:tcPr>
            <w:tcW w:w="0" w:type="pct"/>
            <w:noWrap/>
            <w:tcMar>
              <w:left w:w="28" w:type="dxa"/>
              <w:right w:w="28" w:type="dxa"/>
            </w:tcMar>
            <w:vAlign w:val="center"/>
            <w:hideMark/>
          </w:tcPr>
          <w:p w14:paraId="1C4E85EA"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0,334</w:t>
            </w:r>
          </w:p>
        </w:tc>
        <w:tc>
          <w:tcPr>
            <w:tcW w:w="478" w:type="pct"/>
            <w:noWrap/>
            <w:tcMar>
              <w:left w:w="28" w:type="dxa"/>
              <w:right w:w="28" w:type="dxa"/>
            </w:tcMar>
            <w:vAlign w:val="center"/>
            <w:hideMark/>
          </w:tcPr>
          <w:p w14:paraId="0B74315C" w14:textId="77777777" w:rsidR="00C650C1" w:rsidRPr="00EF2F18" w:rsidRDefault="00C650C1" w:rsidP="00FE3C1B">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sr-Cyrl-RS" w:eastAsia="sr-Latn-RS"/>
              </w:rPr>
            </w:pPr>
            <w:r w:rsidRPr="00EF2F18">
              <w:rPr>
                <w:b/>
                <w:bCs/>
                <w:sz w:val="20"/>
                <w:szCs w:val="20"/>
                <w:lang w:val="sr-Cyrl-RS"/>
              </w:rPr>
              <w:t>0,319</w:t>
            </w:r>
          </w:p>
        </w:tc>
      </w:tr>
    </w:tbl>
    <w:p w14:paraId="2AB3C728" w14:textId="7C7955A6" w:rsidR="005F61B8" w:rsidRPr="00EF2F18" w:rsidRDefault="005F61B8" w:rsidP="005F61B8">
      <w:pPr>
        <w:spacing w:after="0"/>
        <w:jc w:val="both"/>
        <w:rPr>
          <w:rFonts w:cs="Times New Roman"/>
          <w:sz w:val="22"/>
          <w:highlight w:val="yellow"/>
          <w:lang w:val="sr-Cyrl-RS"/>
        </w:rPr>
      </w:pPr>
    </w:p>
    <w:p w14:paraId="72EECCBF" w14:textId="77777777" w:rsidR="006658B2" w:rsidRPr="00EF2F18" w:rsidRDefault="006658B2" w:rsidP="005F61B8">
      <w:pPr>
        <w:spacing w:after="0"/>
        <w:jc w:val="both"/>
        <w:rPr>
          <w:rFonts w:cs="Times New Roman"/>
          <w:sz w:val="22"/>
          <w:lang w:val="sr-Cyrl-RS"/>
        </w:rPr>
      </w:pPr>
    </w:p>
    <w:p w14:paraId="4F928D9B" w14:textId="2AD4E669" w:rsidR="005F61B8" w:rsidRPr="00EF2F18" w:rsidRDefault="005F61B8" w:rsidP="005F61B8">
      <w:pPr>
        <w:spacing w:after="0"/>
        <w:jc w:val="both"/>
        <w:rPr>
          <w:rFonts w:cs="Times New Roman"/>
          <w:iCs/>
          <w:sz w:val="22"/>
          <w:lang w:val="sr-Cyrl-RS"/>
        </w:rPr>
      </w:pPr>
      <w:r w:rsidRPr="00EF2F18">
        <w:rPr>
          <w:rFonts w:cs="Times New Roman"/>
          <w:iCs/>
          <w:sz w:val="22"/>
          <w:lang w:val="sr-Cyrl-RS"/>
        </w:rPr>
        <w:tab/>
        <w:t>На слици</w:t>
      </w:r>
      <w:r w:rsidR="006658B2" w:rsidRPr="00EF2F18">
        <w:rPr>
          <w:rFonts w:cs="Times New Roman"/>
          <w:iCs/>
          <w:sz w:val="22"/>
          <w:lang w:val="sr-Cyrl-RS"/>
        </w:rPr>
        <w:t xml:space="preserve"> 7.9.</w:t>
      </w:r>
      <w:r w:rsidRPr="00EF2F18">
        <w:rPr>
          <w:rFonts w:cs="Times New Roman"/>
          <w:iCs/>
          <w:sz w:val="22"/>
          <w:lang w:val="sr-Cyrl-RS"/>
        </w:rPr>
        <w:t xml:space="preserve"> је приказан компаративни преглед раста БДП-а без инвестиција у оквиру Зелене агенде (претпоставка годишње стопе економског раста од 3%) и у случају спровођења инвестиција предвиђених Стратегијом.</w:t>
      </w:r>
    </w:p>
    <w:p w14:paraId="444F5D8F" w14:textId="77777777" w:rsidR="005F61B8" w:rsidRPr="00EF2F18" w:rsidRDefault="005F61B8" w:rsidP="005F61B8">
      <w:pPr>
        <w:spacing w:after="0"/>
        <w:jc w:val="both"/>
        <w:rPr>
          <w:rFonts w:cs="Times New Roman"/>
          <w:iCs/>
          <w:sz w:val="22"/>
          <w:lang w:val="sr-Cyrl-RS"/>
        </w:rPr>
      </w:pPr>
    </w:p>
    <w:p w14:paraId="27A3C3C4" w14:textId="6628436E" w:rsidR="005F61B8" w:rsidRPr="00EF2F18" w:rsidRDefault="00637A2D" w:rsidP="00E97C64">
      <w:pPr>
        <w:spacing w:after="0"/>
        <w:jc w:val="center"/>
        <w:rPr>
          <w:rFonts w:cs="Times New Roman"/>
          <w:iCs/>
          <w:sz w:val="22"/>
          <w:lang w:val="sr-Cyrl-RS"/>
        </w:rPr>
      </w:pPr>
      <w:r w:rsidRPr="00EF2F18">
        <w:rPr>
          <w:noProof/>
          <w:lang w:val="sr-Cyrl-RS" w:eastAsia="sr-Cyrl-RS"/>
        </w:rPr>
        <w:drawing>
          <wp:inline distT="0" distB="0" distL="0" distR="0" wp14:anchorId="5B46FF34" wp14:editId="2A4E624A">
            <wp:extent cx="5153025" cy="2931047"/>
            <wp:effectExtent l="0" t="0" r="0" b="3175"/>
            <wp:docPr id="1487762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153943" cy="2931569"/>
                    </a:xfrm>
                    <a:prstGeom prst="rect">
                      <a:avLst/>
                    </a:prstGeom>
                    <a:noFill/>
                    <a:ln>
                      <a:noFill/>
                    </a:ln>
                  </pic:spPr>
                </pic:pic>
              </a:graphicData>
            </a:graphic>
          </wp:inline>
        </w:drawing>
      </w:r>
    </w:p>
    <w:p w14:paraId="6CBCFC26" w14:textId="6E503063" w:rsidR="001B5962" w:rsidRPr="00EF2F18" w:rsidRDefault="001B5962" w:rsidP="001B5962">
      <w:pPr>
        <w:spacing w:after="0"/>
        <w:jc w:val="both"/>
        <w:rPr>
          <w:rFonts w:cs="Times New Roman"/>
          <w:sz w:val="22"/>
          <w:lang w:val="sr-Cyrl-RS"/>
        </w:rPr>
      </w:pPr>
      <w:r w:rsidRPr="00EF2F18">
        <w:rPr>
          <w:rFonts w:cs="Times New Roman"/>
          <w:b/>
          <w:bCs/>
          <w:sz w:val="22"/>
          <w:lang w:val="sr-Cyrl-RS"/>
        </w:rPr>
        <w:t xml:space="preserve">Слика </w:t>
      </w:r>
      <w:r w:rsidR="00BD0B1C" w:rsidRPr="00EF2F18">
        <w:rPr>
          <w:rFonts w:cs="Times New Roman"/>
          <w:b/>
          <w:bCs/>
          <w:sz w:val="22"/>
          <w:lang w:val="sr-Cyrl-RS"/>
        </w:rPr>
        <w:t>7</w:t>
      </w:r>
      <w:r w:rsidRPr="00EF2F18">
        <w:rPr>
          <w:rFonts w:cs="Times New Roman"/>
          <w:b/>
          <w:bCs/>
          <w:sz w:val="22"/>
          <w:lang w:val="sr-Cyrl-RS"/>
        </w:rPr>
        <w:t>.</w:t>
      </w:r>
      <w:r w:rsidR="004C2C6D" w:rsidRPr="00EF2F18">
        <w:rPr>
          <w:rFonts w:cs="Times New Roman"/>
          <w:b/>
          <w:bCs/>
          <w:sz w:val="22"/>
          <w:lang w:val="sr-Cyrl-RS"/>
        </w:rPr>
        <w:t>9</w:t>
      </w:r>
      <w:r w:rsidRPr="00EF2F18">
        <w:rPr>
          <w:rFonts w:cs="Times New Roman"/>
          <w:b/>
          <w:bCs/>
          <w:sz w:val="22"/>
          <w:lang w:val="sr-Cyrl-RS"/>
        </w:rPr>
        <w:t>.</w:t>
      </w:r>
      <w:r w:rsidRPr="00EF2F18">
        <w:rPr>
          <w:rFonts w:cs="Times New Roman"/>
          <w:sz w:val="22"/>
          <w:lang w:val="sr-Cyrl-RS"/>
        </w:rPr>
        <w:t xml:space="preserve"> Пројекција БДП-а </w:t>
      </w:r>
      <w:r w:rsidR="0095304B" w:rsidRPr="00EF2F18">
        <w:rPr>
          <w:rFonts w:cs="Times New Roman"/>
          <w:sz w:val="22"/>
          <w:lang w:val="sr-Cyrl-RS"/>
        </w:rPr>
        <w:t xml:space="preserve">до </w:t>
      </w:r>
      <w:r w:rsidRPr="00EF2F18">
        <w:rPr>
          <w:rFonts w:cs="Times New Roman"/>
          <w:sz w:val="22"/>
          <w:lang w:val="sr-Cyrl-RS"/>
        </w:rPr>
        <w:t>2033</w:t>
      </w:r>
      <w:r w:rsidR="00BD0B1C" w:rsidRPr="00EF2F18">
        <w:rPr>
          <w:rFonts w:cs="Times New Roman"/>
          <w:sz w:val="22"/>
          <w:lang w:val="sr-Cyrl-RS"/>
        </w:rPr>
        <w:t>. (</w:t>
      </w:r>
      <w:r w:rsidRPr="00EF2F18">
        <w:rPr>
          <w:rFonts w:cs="Times New Roman"/>
          <w:sz w:val="22"/>
          <w:lang w:val="sr-Cyrl-RS"/>
        </w:rPr>
        <w:t>конста</w:t>
      </w:r>
      <w:r w:rsidR="004C2C6D" w:rsidRPr="00EF2F18">
        <w:rPr>
          <w:rFonts w:cs="Times New Roman"/>
          <w:sz w:val="22"/>
          <w:lang w:val="sr-Cyrl-RS"/>
        </w:rPr>
        <w:t>н</w:t>
      </w:r>
      <w:r w:rsidRPr="00EF2F18">
        <w:rPr>
          <w:rFonts w:cs="Times New Roman"/>
          <w:sz w:val="22"/>
          <w:lang w:val="sr-Cyrl-RS"/>
        </w:rPr>
        <w:t xml:space="preserve">тне цене из </w:t>
      </w:r>
      <w:r w:rsidR="009D669D" w:rsidRPr="00EF2F18">
        <w:rPr>
          <w:rFonts w:cs="Times New Roman"/>
          <w:sz w:val="22"/>
          <w:lang w:val="sr-Cyrl-RS"/>
        </w:rPr>
        <w:t>202</w:t>
      </w:r>
      <w:r w:rsidR="00637A2D" w:rsidRPr="00EF2F18">
        <w:rPr>
          <w:rFonts w:cs="Times New Roman"/>
          <w:sz w:val="22"/>
          <w:lang w:val="sr-Cyrl-RS"/>
        </w:rPr>
        <w:t>4</w:t>
      </w:r>
      <w:r w:rsidRPr="00EF2F18">
        <w:rPr>
          <w:rFonts w:cs="Times New Roman"/>
          <w:sz w:val="22"/>
          <w:lang w:val="sr-Cyrl-RS"/>
        </w:rPr>
        <w:t>. године</w:t>
      </w:r>
      <w:r w:rsidR="00BD0B1C" w:rsidRPr="00EF2F18">
        <w:rPr>
          <w:rFonts w:cs="Times New Roman"/>
          <w:sz w:val="22"/>
          <w:lang w:val="sr-Cyrl-RS"/>
        </w:rPr>
        <w:t>)</w:t>
      </w:r>
    </w:p>
    <w:p w14:paraId="7D04196C" w14:textId="1705BCB5"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lastRenderedPageBreak/>
        <w:t xml:space="preserve">Иако је већина сектора привреде изложена транзицији у складу са Зеленом агендом и мерама предвиђеним овом </w:t>
      </w:r>
      <w:r w:rsidR="00EE6F5A" w:rsidRPr="00EF2F18">
        <w:rPr>
          <w:rFonts w:cs="Times New Roman"/>
          <w:sz w:val="22"/>
          <w:lang w:val="sr-Cyrl-RS"/>
        </w:rPr>
        <w:t>стратегијом</w:t>
      </w:r>
      <w:r w:rsidRPr="00EF2F18">
        <w:rPr>
          <w:rFonts w:cs="Times New Roman"/>
          <w:sz w:val="22"/>
          <w:lang w:val="sr-Cyrl-RS"/>
        </w:rPr>
        <w:t xml:space="preserve">, неки сектори су изложенији од других. Сектори на које ће </w:t>
      </w:r>
      <w:r w:rsidR="009D243A" w:rsidRPr="00EF2F18">
        <w:rPr>
          <w:rFonts w:cs="Times New Roman"/>
          <w:sz w:val="22"/>
          <w:lang w:val="sr-Cyrl-RS"/>
        </w:rPr>
        <w:t xml:space="preserve">предложене мере </w:t>
      </w:r>
      <w:r w:rsidRPr="00EF2F18">
        <w:rPr>
          <w:rFonts w:cs="Times New Roman"/>
          <w:sz w:val="22"/>
          <w:lang w:val="sr-Cyrl-RS"/>
        </w:rPr>
        <w:t>имати највише утицаја директно емитују значајне количине гасова са ефектима стаклене баште (енергетски сектор угља и гаса, прерађивачка индустрија, рударство, пољопривреда) или продају производ</w:t>
      </w:r>
      <w:r w:rsidR="009D243A" w:rsidRPr="00EF2F18">
        <w:rPr>
          <w:rFonts w:cs="Times New Roman"/>
          <w:sz w:val="22"/>
          <w:lang w:val="sr-Cyrl-RS"/>
        </w:rPr>
        <w:t>е</w:t>
      </w:r>
      <w:r w:rsidRPr="00EF2F18">
        <w:rPr>
          <w:rFonts w:cs="Times New Roman"/>
          <w:sz w:val="22"/>
          <w:lang w:val="sr-Cyrl-RS"/>
        </w:rPr>
        <w:t xml:space="preserve"> који емитују такве гасове (као што је сектор фосилних горива). </w:t>
      </w:r>
      <w:r w:rsidR="00C0396A" w:rsidRPr="00EF2F18">
        <w:rPr>
          <w:rFonts w:cs="Times New Roman"/>
          <w:sz w:val="22"/>
          <w:lang w:val="sr-Cyrl-RS"/>
        </w:rPr>
        <w:t xml:space="preserve">Око </w:t>
      </w:r>
      <w:r w:rsidRPr="00EF2F18">
        <w:rPr>
          <w:rFonts w:cs="Times New Roman"/>
          <w:sz w:val="22"/>
          <w:lang w:val="sr-Cyrl-RS"/>
        </w:rPr>
        <w:t xml:space="preserve">25% БДП-а у </w:t>
      </w:r>
      <w:r w:rsidR="00C507C1" w:rsidRPr="00EF2F18">
        <w:rPr>
          <w:rFonts w:cs="Times New Roman"/>
          <w:sz w:val="22"/>
          <w:lang w:val="sr-Cyrl-RS"/>
        </w:rPr>
        <w:t xml:space="preserve">Републици </w:t>
      </w:r>
      <w:r w:rsidRPr="00EF2F18">
        <w:rPr>
          <w:rFonts w:cs="Times New Roman"/>
          <w:sz w:val="22"/>
          <w:lang w:val="sr-Cyrl-RS"/>
        </w:rPr>
        <w:t>Србији се односи на ове секторе. Наредних 10% БДП-а је у секторима са високим емисијама у ланцима снабдевања, као што су грађевинарство и саобраћај (транспорт). Остали сектори који чине око 65% БДП-а имају мање изражен</w:t>
      </w:r>
      <w:r w:rsidR="009D243A" w:rsidRPr="00EF2F18">
        <w:rPr>
          <w:rFonts w:cs="Times New Roman"/>
          <w:sz w:val="22"/>
          <w:lang w:val="sr-Cyrl-RS"/>
        </w:rPr>
        <w:t>у</w:t>
      </w:r>
      <w:r w:rsidRPr="00EF2F18">
        <w:rPr>
          <w:rFonts w:cs="Times New Roman"/>
          <w:sz w:val="22"/>
          <w:lang w:val="sr-Cyrl-RS"/>
        </w:rPr>
        <w:t xml:space="preserve"> директну изложеност предложеним мерама. Ипак, и они зависе од претходно наведених сектора на који ће мере имати највећи утицај, пре свега кроз међусобно повезане економске и финансијске системе.</w:t>
      </w:r>
    </w:p>
    <w:p w14:paraId="21503871" w14:textId="081E4F9B"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Када је у питању пољопривреда и њена транзиција у складу са Зеленом агендом,</w:t>
      </w:r>
      <w:r w:rsidR="005E42D2" w:rsidRPr="00EF2F18">
        <w:rPr>
          <w:rFonts w:cs="Times New Roman"/>
          <w:sz w:val="22"/>
          <w:lang w:val="sr-Cyrl-RS"/>
        </w:rPr>
        <w:t xml:space="preserve"> </w:t>
      </w:r>
      <w:r w:rsidRPr="00EF2F18">
        <w:rPr>
          <w:rFonts w:cs="Times New Roman"/>
          <w:sz w:val="22"/>
          <w:lang w:val="sr-Cyrl-RS"/>
        </w:rPr>
        <w:t>неопходно је да пољопривредници имплементирају технологије и процесе са нижим емисијама СО</w:t>
      </w:r>
      <w:r w:rsidRPr="00EF2F18">
        <w:rPr>
          <w:rFonts w:cs="Times New Roman"/>
          <w:sz w:val="22"/>
          <w:vertAlign w:val="subscript"/>
          <w:lang w:val="sr-Cyrl-RS"/>
        </w:rPr>
        <w:t>2</w:t>
      </w:r>
      <w:r w:rsidRPr="00EF2F18">
        <w:rPr>
          <w:rFonts w:cs="Times New Roman"/>
          <w:sz w:val="22"/>
          <w:lang w:val="sr-Cyrl-RS"/>
        </w:rPr>
        <w:t>. То захтева инвестирање у новију опрему (укључујући тракторе, комбајне, сушаре</w:t>
      </w:r>
      <w:r w:rsidR="009D243A" w:rsidRPr="00EF2F18">
        <w:rPr>
          <w:rFonts w:cs="Times New Roman"/>
          <w:sz w:val="22"/>
          <w:lang w:val="sr-Cyrl-RS"/>
        </w:rPr>
        <w:t>, итд.</w:t>
      </w:r>
      <w:r w:rsidRPr="00EF2F18">
        <w:rPr>
          <w:rFonts w:cs="Times New Roman"/>
          <w:sz w:val="22"/>
          <w:lang w:val="sr-Cyrl-RS"/>
        </w:rPr>
        <w:t>) што представља значајне почетне финансијске издатке, али је то кључни фактор који ће дугорочно довести до уштеде у трошковима у оквиру пољопривредне производње. Пољопривредни произвођачи ће се током примене мера Зелене агенде сусрести са неколико изазова. Најзначајнији ће бити обезбеђивање финансијских средстава за инвестиције и обртни капитал, а затим и сужени приступ новим технологијама. Посебан изазов ће бити достизање економије обима за мале пољопривредне произвођаче. Због тога је неопходно обезбедити пољопривредним произвођачима подршку и приступ одређеним финансијским фондовима (субвенције, ИПАРД</w:t>
      </w:r>
      <w:r w:rsidR="009D243A" w:rsidRPr="00EF2F18">
        <w:rPr>
          <w:rFonts w:cs="Times New Roman"/>
          <w:sz w:val="22"/>
          <w:lang w:val="sr-Cyrl-RS"/>
        </w:rPr>
        <w:t>, итд.</w:t>
      </w:r>
      <w:r w:rsidRPr="00EF2F18">
        <w:rPr>
          <w:rFonts w:cs="Times New Roman"/>
          <w:sz w:val="22"/>
          <w:lang w:val="sr-Cyrl-RS"/>
        </w:rPr>
        <w:t xml:space="preserve">), што ће имати </w:t>
      </w:r>
      <w:r w:rsidR="00536924" w:rsidRPr="00EF2F18">
        <w:rPr>
          <w:rFonts w:cs="Times New Roman"/>
          <w:sz w:val="22"/>
          <w:lang w:val="sr-Cyrl-RS"/>
        </w:rPr>
        <w:t>одређене ефекте и на државни буџет</w:t>
      </w:r>
      <w:r w:rsidRPr="00EF2F18">
        <w:rPr>
          <w:rFonts w:cs="Times New Roman"/>
          <w:sz w:val="22"/>
          <w:lang w:val="sr-Cyrl-RS"/>
        </w:rPr>
        <w:t xml:space="preserve">. За ове потребе је према предложеним мерама до 2027. године неопходно око 17 милиона </w:t>
      </w:r>
      <w:r w:rsidR="00DD0F76" w:rsidRPr="00EF2F18">
        <w:rPr>
          <w:rFonts w:cs="Times New Roman"/>
          <w:sz w:val="22"/>
          <w:lang w:val="sr-Cyrl-RS"/>
        </w:rPr>
        <w:t>ЕУР</w:t>
      </w:r>
      <w:r w:rsidRPr="00EF2F18">
        <w:rPr>
          <w:rFonts w:cs="Times New Roman"/>
          <w:sz w:val="22"/>
          <w:lang w:val="sr-Cyrl-RS"/>
        </w:rPr>
        <w:t>, од чега ће 14,4 милиона</w:t>
      </w:r>
      <w:r w:rsidR="004015F8" w:rsidRPr="00EF2F18">
        <w:rPr>
          <w:rFonts w:cs="Times New Roman"/>
          <w:sz w:val="22"/>
          <w:lang w:val="sr-Cyrl-RS"/>
        </w:rPr>
        <w:t xml:space="preserve"> ЕУР</w:t>
      </w:r>
      <w:r w:rsidRPr="00EF2F18">
        <w:rPr>
          <w:rFonts w:cs="Times New Roman"/>
          <w:sz w:val="22"/>
          <w:lang w:val="sr-Cyrl-RS"/>
        </w:rPr>
        <w:t xml:space="preserve"> бити финансирано кроз ИПАРД, док ће остатак бити </w:t>
      </w:r>
      <w:r w:rsidR="00C0396A" w:rsidRPr="00EF2F18">
        <w:rPr>
          <w:rFonts w:cs="Times New Roman"/>
          <w:sz w:val="22"/>
          <w:lang w:val="sr-Cyrl-RS"/>
        </w:rPr>
        <w:t xml:space="preserve">кофинансиран </w:t>
      </w:r>
      <w:r w:rsidRPr="00EF2F18">
        <w:rPr>
          <w:rFonts w:cs="Times New Roman"/>
          <w:sz w:val="22"/>
          <w:lang w:val="sr-Cyrl-RS"/>
        </w:rPr>
        <w:t>из државног буџета. С обзиром да ће промене технологије у производњи пољопривредних производа бити најзначајније и најскупље (у односу на остале мере у овој области), доћи ће до померања тражње потрошача у структури пољопривредних производа због њиховог очекиваног поскупљења. Због тога се очекује смањење броја радника у производњи пољопривредних производа, док се са друге стране очекује пораст броја радника који ће због пораста тражње за биомасом радити на пословима обезбеђивања биогорива.</w:t>
      </w:r>
    </w:p>
    <w:p w14:paraId="1D92071E" w14:textId="09D1CC51"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Користи које предузећа имају од предложених мера (највише у области циркуларне економије) настају по неколико основа. Предузећа могу остварити значајне економске уштеде по основу употребе мањих количина ресурса и енергије</w:t>
      </w:r>
      <w:r w:rsidR="009D243A" w:rsidRPr="00EF2F18">
        <w:rPr>
          <w:rFonts w:cs="Times New Roman"/>
          <w:sz w:val="22"/>
          <w:lang w:val="sr-Cyrl-RS"/>
        </w:rPr>
        <w:t>,</w:t>
      </w:r>
      <w:r w:rsidRPr="00EF2F18">
        <w:rPr>
          <w:rFonts w:cs="Times New Roman"/>
          <w:sz w:val="22"/>
          <w:lang w:val="sr-Cyrl-RS"/>
        </w:rPr>
        <w:t xml:space="preserve"> што доводи до смањења трошкова набавке сировина/материјала и енергије. Друго, побољшава се интеракција са купцима и повећава њихова лојалност. Треће, смањује се комплексност финалних производа захваљујући чему се лакше управља њиховим животним циклусом. Као резултат сарадње произвођача са научним и образовним институцијама и иноваторима, али и као резултат ангажовања својих интерних ресурса, произвођачи су у стању да пројектују своје производе тако да се смањи потрошња природних ресурса, редукује генерисање отпада и емисија и минимизира (до елиминације) употреба штетних супстанци у свим фазама.</w:t>
      </w:r>
    </w:p>
    <w:p w14:paraId="0627C8FE" w14:textId="31A267B0"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На наредној слици су представљене користи (економске уштеде) за предузећа из енергетике, хемијске, папирне, металне, минералне и прехрамбен</w:t>
      </w:r>
      <w:r w:rsidR="009D243A" w:rsidRPr="00EF2F18">
        <w:rPr>
          <w:rFonts w:cs="Times New Roman"/>
          <w:sz w:val="22"/>
          <w:lang w:val="sr-Cyrl-RS"/>
        </w:rPr>
        <w:t>е</w:t>
      </w:r>
      <w:r w:rsidRPr="00EF2F18">
        <w:rPr>
          <w:rFonts w:cs="Times New Roman"/>
          <w:sz w:val="22"/>
          <w:lang w:val="sr-Cyrl-RS"/>
        </w:rPr>
        <w:t xml:space="preserve"> индустрије, пољопривреде, индустрије пића и рударства по питању уштеде у трошковима ресурса (материјала и енергије) до којих ће доћи применом наведених мера у периоду до 2033. године. Дисконтована вредност економских уштеда по основу мањих трошкова материјала и енергије за наведене секторе за период </w:t>
      </w:r>
      <w:r w:rsidR="0099367E" w:rsidRPr="00EF2F18">
        <w:rPr>
          <w:rFonts w:cs="Times New Roman"/>
          <w:sz w:val="22"/>
          <w:lang w:val="sr-Cyrl-RS"/>
        </w:rPr>
        <w:t xml:space="preserve">до </w:t>
      </w:r>
      <w:r w:rsidRPr="00EF2F18">
        <w:rPr>
          <w:rFonts w:cs="Times New Roman"/>
          <w:sz w:val="22"/>
          <w:lang w:val="sr-Cyrl-RS"/>
        </w:rPr>
        <w:t xml:space="preserve">2033. </w:t>
      </w:r>
      <w:r w:rsidR="0099367E" w:rsidRPr="00EF2F18">
        <w:rPr>
          <w:rFonts w:cs="Times New Roman"/>
          <w:sz w:val="22"/>
          <w:lang w:val="sr-Cyrl-RS"/>
        </w:rPr>
        <w:t xml:space="preserve">године </w:t>
      </w:r>
      <w:r w:rsidRPr="00EF2F18">
        <w:rPr>
          <w:rFonts w:cs="Times New Roman"/>
          <w:sz w:val="22"/>
          <w:lang w:val="sr-Cyrl-RS"/>
        </w:rPr>
        <w:t xml:space="preserve">износи 17.271 милиона </w:t>
      </w:r>
      <w:r w:rsidR="00DD0F76" w:rsidRPr="00EF2F18">
        <w:rPr>
          <w:rFonts w:cs="Times New Roman"/>
          <w:sz w:val="22"/>
          <w:lang w:val="sr-Cyrl-RS"/>
        </w:rPr>
        <w:t>ЕУР</w:t>
      </w:r>
      <w:r w:rsidRPr="00EF2F18">
        <w:rPr>
          <w:rFonts w:cs="Times New Roman"/>
          <w:sz w:val="22"/>
          <w:lang w:val="sr-Cyrl-RS"/>
        </w:rPr>
        <w:t>.</w:t>
      </w:r>
    </w:p>
    <w:p w14:paraId="29EC31CB" w14:textId="77777777" w:rsidR="005D33CC" w:rsidRPr="00EF2F18" w:rsidRDefault="005D33CC" w:rsidP="00BD0B1C">
      <w:pPr>
        <w:spacing w:after="0"/>
        <w:ind w:firstLine="720"/>
        <w:jc w:val="both"/>
        <w:rPr>
          <w:rFonts w:cs="Times New Roman"/>
          <w:sz w:val="22"/>
          <w:lang w:val="sr-Cyrl-RS"/>
        </w:rPr>
      </w:pPr>
    </w:p>
    <w:p w14:paraId="3F566980" w14:textId="77777777" w:rsidR="00BD0B1C" w:rsidRPr="00EF2F18" w:rsidRDefault="00BD0B1C" w:rsidP="00925ED5">
      <w:pPr>
        <w:spacing w:after="0"/>
        <w:jc w:val="center"/>
        <w:rPr>
          <w:rFonts w:cs="Times New Roman"/>
          <w:sz w:val="22"/>
          <w:lang w:val="sr-Cyrl-RS"/>
        </w:rPr>
      </w:pPr>
      <w:r w:rsidRPr="00EF2F18">
        <w:rPr>
          <w:noProof/>
          <w:sz w:val="22"/>
          <w:lang w:val="sr-Cyrl-RS" w:eastAsia="sr-Cyrl-RS"/>
        </w:rPr>
        <w:lastRenderedPageBreak/>
        <w:drawing>
          <wp:inline distT="0" distB="0" distL="0" distR="0" wp14:anchorId="2C662940" wp14:editId="6DE728A1">
            <wp:extent cx="3995697" cy="2236054"/>
            <wp:effectExtent l="0" t="0" r="5080" b="12065"/>
            <wp:docPr id="2028975885" name="Chart 1">
              <a:extLst xmlns:a="http://schemas.openxmlformats.org/drawingml/2006/main">
                <a:ext uri="{FF2B5EF4-FFF2-40B4-BE49-F238E27FC236}">
                  <a16:creationId xmlns:a16="http://schemas.microsoft.com/office/drawing/2014/main" id="{0BDC4A4E-4A50-8238-56F0-E86639C4EB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711A3A4D" w14:textId="7E55072A" w:rsidR="00BD0B1C" w:rsidRPr="00EF2F18" w:rsidRDefault="00BD0B1C" w:rsidP="00BD0B1C">
      <w:pPr>
        <w:spacing w:after="0"/>
        <w:jc w:val="both"/>
        <w:rPr>
          <w:rFonts w:cs="Times New Roman"/>
          <w:sz w:val="22"/>
          <w:lang w:val="sr-Cyrl-RS"/>
        </w:rPr>
      </w:pPr>
      <w:r w:rsidRPr="00EF2F18">
        <w:rPr>
          <w:rFonts w:cs="Times New Roman"/>
          <w:b/>
          <w:bCs/>
          <w:sz w:val="22"/>
          <w:lang w:val="sr-Cyrl-RS"/>
        </w:rPr>
        <w:t>Слика 7.1</w:t>
      </w:r>
      <w:r w:rsidR="004C2C6D" w:rsidRPr="00EF2F18">
        <w:rPr>
          <w:rFonts w:cs="Times New Roman"/>
          <w:b/>
          <w:bCs/>
          <w:sz w:val="22"/>
          <w:lang w:val="sr-Cyrl-RS"/>
        </w:rPr>
        <w:t>0</w:t>
      </w:r>
      <w:r w:rsidRPr="00EF2F18">
        <w:rPr>
          <w:rFonts w:cs="Times New Roman"/>
          <w:b/>
          <w:bCs/>
          <w:sz w:val="22"/>
          <w:lang w:val="sr-Cyrl-RS"/>
        </w:rPr>
        <w:t>.</w:t>
      </w:r>
      <w:r w:rsidRPr="00EF2F18">
        <w:rPr>
          <w:rFonts w:cs="Times New Roman"/>
          <w:sz w:val="22"/>
          <w:lang w:val="sr-Cyrl-RS"/>
        </w:rPr>
        <w:t xml:space="preserve"> Пројекција економских уштеда предузећа по основу мањих трошкова материјала и енергије (конста</w:t>
      </w:r>
      <w:r w:rsidR="00013096" w:rsidRPr="00EF2F18">
        <w:rPr>
          <w:rFonts w:cs="Times New Roman"/>
          <w:sz w:val="22"/>
          <w:lang w:val="sr-Cyrl-RS"/>
        </w:rPr>
        <w:t>н</w:t>
      </w:r>
      <w:r w:rsidRPr="00EF2F18">
        <w:rPr>
          <w:rFonts w:cs="Times New Roman"/>
          <w:sz w:val="22"/>
          <w:lang w:val="sr-Cyrl-RS"/>
        </w:rPr>
        <w:t xml:space="preserve">тне цене из </w:t>
      </w:r>
      <w:r w:rsidR="00637A2D" w:rsidRPr="00EF2F18">
        <w:rPr>
          <w:rFonts w:cs="Times New Roman"/>
          <w:sz w:val="22"/>
          <w:lang w:val="sr-Cyrl-RS"/>
        </w:rPr>
        <w:t>2024</w:t>
      </w:r>
      <w:r w:rsidRPr="00EF2F18">
        <w:rPr>
          <w:rFonts w:cs="Times New Roman"/>
          <w:sz w:val="22"/>
          <w:lang w:val="sr-Cyrl-RS"/>
        </w:rPr>
        <w:t>. године)</w:t>
      </w:r>
    </w:p>
    <w:p w14:paraId="163B7DE8" w14:textId="77777777" w:rsidR="00BD0B1C" w:rsidRPr="00EF2F18" w:rsidRDefault="00BD0B1C" w:rsidP="00BD0B1C">
      <w:pPr>
        <w:spacing w:after="0"/>
        <w:ind w:firstLine="720"/>
        <w:jc w:val="both"/>
        <w:rPr>
          <w:rFonts w:cs="Times New Roman"/>
          <w:sz w:val="22"/>
          <w:lang w:val="sr-Cyrl-RS"/>
        </w:rPr>
      </w:pPr>
    </w:p>
    <w:p w14:paraId="127D7122" w14:textId="0DD10085"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Када </w:t>
      </w:r>
      <w:r w:rsidR="009D243A" w:rsidRPr="00EF2F18">
        <w:rPr>
          <w:rFonts w:cs="Times New Roman"/>
          <w:sz w:val="22"/>
          <w:lang w:val="sr-Cyrl-RS"/>
        </w:rPr>
        <w:t>је реч о</w:t>
      </w:r>
      <w:r w:rsidRPr="00EF2F18">
        <w:rPr>
          <w:rFonts w:cs="Times New Roman"/>
          <w:sz w:val="22"/>
          <w:lang w:val="sr-Cyrl-RS"/>
        </w:rPr>
        <w:t xml:space="preserve"> мал</w:t>
      </w:r>
      <w:r w:rsidR="009D243A" w:rsidRPr="00EF2F18">
        <w:rPr>
          <w:rFonts w:cs="Times New Roman"/>
          <w:sz w:val="22"/>
          <w:lang w:val="sr-Cyrl-RS"/>
        </w:rPr>
        <w:t>им</w:t>
      </w:r>
      <w:r w:rsidRPr="00EF2F18">
        <w:rPr>
          <w:rFonts w:cs="Times New Roman"/>
          <w:sz w:val="22"/>
          <w:lang w:val="sr-Cyrl-RS"/>
        </w:rPr>
        <w:t xml:space="preserve"> и средњ</w:t>
      </w:r>
      <w:r w:rsidR="009D243A" w:rsidRPr="00EF2F18">
        <w:rPr>
          <w:rFonts w:cs="Times New Roman"/>
          <w:sz w:val="22"/>
          <w:lang w:val="sr-Cyrl-RS"/>
        </w:rPr>
        <w:t>им</w:t>
      </w:r>
      <w:r w:rsidRPr="00EF2F18">
        <w:rPr>
          <w:rFonts w:cs="Times New Roman"/>
          <w:sz w:val="22"/>
          <w:lang w:val="sr-Cyrl-RS"/>
        </w:rPr>
        <w:t xml:space="preserve"> предузећ</w:t>
      </w:r>
      <w:r w:rsidR="009D243A" w:rsidRPr="00EF2F18">
        <w:rPr>
          <w:rFonts w:cs="Times New Roman"/>
          <w:sz w:val="22"/>
          <w:lang w:val="sr-Cyrl-RS"/>
        </w:rPr>
        <w:t>им</w:t>
      </w:r>
      <w:r w:rsidRPr="00EF2F18">
        <w:rPr>
          <w:rFonts w:cs="Times New Roman"/>
          <w:sz w:val="22"/>
          <w:lang w:val="sr-Cyrl-RS"/>
        </w:rPr>
        <w:t>а, предложене мере ће довести до смањења њихових трошкова производње. Прво, мала и средња предузећа ће избегавати непотребне трошкове узроковане деградацијом животне средине (плаћање казни) увођењем савременијих технологија и производних процеса. Друго, трошкови производње ће се смањити због ефикасније производње у смислу замене опасних сировина, коришћењем повратних паковањ</w:t>
      </w:r>
      <w:r w:rsidR="009D243A" w:rsidRPr="00EF2F18">
        <w:rPr>
          <w:rFonts w:cs="Times New Roman"/>
          <w:sz w:val="22"/>
          <w:lang w:val="sr-Cyrl-RS"/>
        </w:rPr>
        <w:t>а</w:t>
      </w:r>
      <w:r w:rsidRPr="00EF2F18">
        <w:rPr>
          <w:rFonts w:cs="Times New Roman"/>
          <w:sz w:val="22"/>
          <w:lang w:val="sr-Cyrl-RS"/>
        </w:rPr>
        <w:t xml:space="preserve"> и рециклираних материјала, сепарацијом отпада и стварањем тржишта за отпад (отпад као сировина). Емпиријска истраживања су показала да еколошке праксе заиста побољшавају ефикасност малих и средњих предузећа смањењем непотребних трошкова производње и да</w:t>
      </w:r>
      <w:r w:rsidR="00780ECD" w:rsidRPr="00EF2F18">
        <w:rPr>
          <w:rFonts w:cs="Times New Roman"/>
          <w:sz w:val="22"/>
          <w:lang w:val="sr-Cyrl-RS"/>
        </w:rPr>
        <w:t>,</w:t>
      </w:r>
      <w:r w:rsidRPr="00EF2F18">
        <w:rPr>
          <w:rFonts w:cs="Times New Roman"/>
          <w:sz w:val="22"/>
          <w:lang w:val="sr-Cyrl-RS"/>
        </w:rPr>
        <w:t xml:space="preserve"> иако она могу имати велике инвестиционе трошкове увођења зелених технологија заједно са одређеним потешкоћама током почетног периода, њихова флексибилност им омогућава да се брзо упознају са новим технологијама и процесима и да имају позитивну корист од таквог инвестирања. Ово је повезано са концептом ефекта учења где се трошковна предност јавља како зелена производња постаје све познатија.</w:t>
      </w:r>
    </w:p>
    <w:p w14:paraId="4074D288" w14:textId="0309028C" w:rsidR="005F61B8" w:rsidRPr="00EF2F18" w:rsidRDefault="005F61B8" w:rsidP="005F61B8">
      <w:pPr>
        <w:spacing w:after="0"/>
        <w:ind w:firstLine="720"/>
        <w:jc w:val="both"/>
        <w:rPr>
          <w:rFonts w:cs="Times New Roman"/>
          <w:sz w:val="22"/>
          <w:lang w:val="sr-Cyrl-RS"/>
        </w:rPr>
      </w:pPr>
      <w:r w:rsidRPr="00EF2F18">
        <w:rPr>
          <w:rFonts w:cs="Times New Roman"/>
          <w:sz w:val="22"/>
          <w:lang w:val="sr-Cyrl-RS"/>
        </w:rPr>
        <w:t>Привредни субјекти који буду укључени у систем третмана отпада, рециклажу, управљање муљем (складиштење, транспорт, спаљивање) ће имати административне трошкове у виду такси за добијање дозвола за третман отпада и спаљивање муља у инсинераторима или цементарама, транспорт, прекривање депонија и слично.</w:t>
      </w:r>
    </w:p>
    <w:p w14:paraId="4470638E" w14:textId="33D6C63D" w:rsidR="004A70CF" w:rsidRPr="00EF2F18" w:rsidRDefault="00387E65" w:rsidP="004A70CF">
      <w:pPr>
        <w:spacing w:after="0"/>
        <w:ind w:firstLine="720"/>
        <w:jc w:val="both"/>
        <w:rPr>
          <w:rFonts w:cs="Times New Roman"/>
          <w:sz w:val="22"/>
          <w:lang w:val="sr-Cyrl-RS"/>
        </w:rPr>
      </w:pPr>
      <w:r w:rsidRPr="00EF2F18">
        <w:rPr>
          <w:rFonts w:cs="Times New Roman"/>
          <w:sz w:val="22"/>
          <w:lang w:val="sr-Cyrl-RS"/>
        </w:rPr>
        <w:t>После увођења нове комуналне услуге у виду пречишћавања отпадних вода и муља и сакупљањ</w:t>
      </w:r>
      <w:r w:rsidR="007C50D9" w:rsidRPr="00EF2F18">
        <w:rPr>
          <w:rFonts w:cs="Times New Roman"/>
          <w:sz w:val="22"/>
          <w:lang w:val="sr-Cyrl-RS"/>
        </w:rPr>
        <w:t>а</w:t>
      </w:r>
      <w:r w:rsidRPr="00EF2F18">
        <w:rPr>
          <w:rFonts w:cs="Times New Roman"/>
          <w:sz w:val="22"/>
          <w:lang w:val="sr-Cyrl-RS"/>
        </w:rPr>
        <w:t>, сепарациј</w:t>
      </w:r>
      <w:r w:rsidR="007C50D9" w:rsidRPr="00EF2F18">
        <w:rPr>
          <w:rFonts w:cs="Times New Roman"/>
          <w:sz w:val="22"/>
          <w:lang w:val="sr-Cyrl-RS"/>
        </w:rPr>
        <w:t>е</w:t>
      </w:r>
      <w:r w:rsidRPr="00EF2F18">
        <w:rPr>
          <w:rFonts w:cs="Times New Roman"/>
          <w:sz w:val="22"/>
          <w:lang w:val="sr-Cyrl-RS"/>
        </w:rPr>
        <w:t xml:space="preserve"> и третман</w:t>
      </w:r>
      <w:r w:rsidR="007C50D9" w:rsidRPr="00EF2F18">
        <w:rPr>
          <w:rFonts w:cs="Times New Roman"/>
          <w:sz w:val="22"/>
          <w:lang w:val="sr-Cyrl-RS"/>
        </w:rPr>
        <w:t>а</w:t>
      </w:r>
      <w:r w:rsidRPr="00EF2F18">
        <w:rPr>
          <w:rFonts w:cs="Times New Roman"/>
          <w:sz w:val="22"/>
          <w:lang w:val="sr-Cyrl-RS"/>
        </w:rPr>
        <w:t xml:space="preserve"> отпада, привредни субјекти ће плаћати више цене за услуге у области вода и отпада, што може неповољно утицати на њихову рентабилност и конкурентност на домаћем и иностраном тржишту, али само под претпоставком да повећање ових трошкова не буду могли у великој мери</w:t>
      </w:r>
      <w:r w:rsidR="002D6E28" w:rsidRPr="00EF2F18">
        <w:rPr>
          <w:rFonts w:cs="Times New Roman"/>
          <w:sz w:val="22"/>
          <w:lang w:val="sr-Cyrl-RS"/>
        </w:rPr>
        <w:t xml:space="preserve"> да</w:t>
      </w:r>
      <w:r w:rsidRPr="00EF2F18">
        <w:rPr>
          <w:rFonts w:cs="Times New Roman"/>
          <w:sz w:val="22"/>
          <w:lang w:val="sr-Cyrl-RS"/>
        </w:rPr>
        <w:t xml:space="preserve"> урачунају у цену услуга, који се на тај начин пребацују на крајње кориснике</w:t>
      </w:r>
      <w:r w:rsidR="004A70CF" w:rsidRPr="00EF2F18">
        <w:rPr>
          <w:rFonts w:cs="Times New Roman"/>
          <w:sz w:val="22"/>
          <w:lang w:val="sr-Cyrl-RS"/>
        </w:rPr>
        <w:t>. Са друге стране, постројења у којима се буде спаљивао отпад и муљ могу да остваре уштеде по основу мањег коришћења електричне енергије, тако да ће се у том случају смањити њихови трошкови производње и побољшати њихова конкурентност.</w:t>
      </w:r>
    </w:p>
    <w:p w14:paraId="26A82457" w14:textId="79E7D4F3"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t xml:space="preserve">Спровођење овe </w:t>
      </w:r>
      <w:r w:rsidR="00EE6F5A" w:rsidRPr="00EF2F18">
        <w:rPr>
          <w:rFonts w:cs="Times New Roman"/>
          <w:sz w:val="22"/>
          <w:lang w:val="sr-Cyrl-RS"/>
        </w:rPr>
        <w:t xml:space="preserve">стратегије </w:t>
      </w:r>
      <w:r w:rsidRPr="00EF2F18">
        <w:rPr>
          <w:rFonts w:cs="Times New Roman"/>
          <w:sz w:val="22"/>
          <w:lang w:val="sr-Cyrl-RS"/>
        </w:rPr>
        <w:t>неће имати ефекте на услове конкуренције на тржиштима Републике Србије.</w:t>
      </w:r>
    </w:p>
    <w:p w14:paraId="1B86EAB6" w14:textId="2B77A28B"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t>Примена мера које су представљене у Стратегији ће утицати на трансфер технологија и примену техничко-технолошких, организационих и пословних иновација у Републици Србији. Наиме, функционисање постројења за третман отпадних вода, постројења за рециклажу и третман отпада, моноинсинератора и слично, као промена концепције производње производа у складу са захт</w:t>
      </w:r>
      <w:r w:rsidR="00A57CF6" w:rsidRPr="00EF2F18">
        <w:rPr>
          <w:rFonts w:cs="Times New Roman"/>
          <w:sz w:val="22"/>
          <w:lang w:val="sr-Cyrl-RS"/>
        </w:rPr>
        <w:t>е</w:t>
      </w:r>
      <w:r w:rsidRPr="00EF2F18">
        <w:rPr>
          <w:rFonts w:cs="Times New Roman"/>
          <w:sz w:val="22"/>
          <w:lang w:val="sr-Cyrl-RS"/>
        </w:rPr>
        <w:t>вима циркуларне економије захтева нове организационе и пословне вештине у сектору заштите животне средине.</w:t>
      </w:r>
    </w:p>
    <w:p w14:paraId="21E6F813" w14:textId="3821E0F6"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t xml:space="preserve">Спровођење Стратегије неће утицати на друштвено богатство и његову расподелу, али ће утицати на квалитет радне снаге како у администрацији, тако и на оперативном нивоу. Да би се спровеле мере које су назначене у овој </w:t>
      </w:r>
      <w:r w:rsidR="00EE6F5A" w:rsidRPr="00EF2F18">
        <w:rPr>
          <w:rFonts w:cs="Times New Roman"/>
          <w:sz w:val="22"/>
          <w:lang w:val="sr-Cyrl-RS"/>
        </w:rPr>
        <w:t xml:space="preserve">стратегији </w:t>
      </w:r>
      <w:r w:rsidRPr="00EF2F18">
        <w:rPr>
          <w:rFonts w:cs="Times New Roman"/>
          <w:sz w:val="22"/>
          <w:lang w:val="sr-Cyrl-RS"/>
        </w:rPr>
        <w:t>радна снага мора имати додатне тренинге и обуке.</w:t>
      </w:r>
    </w:p>
    <w:p w14:paraId="34C7ADF8" w14:textId="77777777"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lastRenderedPageBreak/>
        <w:t>Спровођење наведених мера у вези са Зеленом агендом ствара значајне друштвено-економске користи, али и трошкове.</w:t>
      </w:r>
    </w:p>
    <w:p w14:paraId="6B69DE5B" w14:textId="77777777"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t>Економске користи се огледају у следећем:</w:t>
      </w:r>
    </w:p>
    <w:p w14:paraId="57842C0A" w14:textId="77777777" w:rsidR="004A70CF" w:rsidRPr="00EF2F18" w:rsidRDefault="004A70CF" w:rsidP="00313E8E">
      <w:pPr>
        <w:pStyle w:val="ListParagraph"/>
        <w:numPr>
          <w:ilvl w:val="0"/>
          <w:numId w:val="19"/>
        </w:numPr>
        <w:spacing w:after="0"/>
        <w:jc w:val="both"/>
        <w:rPr>
          <w:rFonts w:cs="Times New Roman"/>
          <w:sz w:val="22"/>
          <w:lang w:val="sr-Cyrl-RS"/>
        </w:rPr>
      </w:pPr>
      <w:r w:rsidRPr="00EF2F18">
        <w:rPr>
          <w:rFonts w:cs="Times New Roman"/>
          <w:sz w:val="22"/>
          <w:lang w:val="sr-Cyrl-RS"/>
        </w:rPr>
        <w:t>Побољшање јавног здравља јер је изложеност загађивању смањена. Због тога се смањује број болести и прераних смрти, а самим тим и трошкови здравства;</w:t>
      </w:r>
    </w:p>
    <w:p w14:paraId="049A5387" w14:textId="350A303B" w:rsidR="004A70CF" w:rsidRPr="00EF2F18" w:rsidRDefault="004A70CF" w:rsidP="00313E8E">
      <w:pPr>
        <w:pStyle w:val="ListParagraph"/>
        <w:numPr>
          <w:ilvl w:val="0"/>
          <w:numId w:val="19"/>
        </w:numPr>
        <w:spacing w:after="0"/>
        <w:jc w:val="both"/>
        <w:rPr>
          <w:rFonts w:cs="Times New Roman"/>
          <w:sz w:val="22"/>
          <w:lang w:val="sr-Cyrl-RS"/>
        </w:rPr>
      </w:pPr>
      <w:r w:rsidRPr="00EF2F18">
        <w:rPr>
          <w:rFonts w:cs="Times New Roman"/>
          <w:sz w:val="22"/>
          <w:lang w:val="sr-Cyrl-RS"/>
        </w:rPr>
        <w:t xml:space="preserve">Мање штете </w:t>
      </w:r>
      <w:r w:rsidR="00387E65" w:rsidRPr="00EF2F18">
        <w:rPr>
          <w:rFonts w:cs="Times New Roman"/>
          <w:sz w:val="22"/>
          <w:lang w:val="sr-Cyrl-RS"/>
        </w:rPr>
        <w:t>у</w:t>
      </w:r>
      <w:r w:rsidRPr="00EF2F18">
        <w:rPr>
          <w:rFonts w:cs="Times New Roman"/>
          <w:sz w:val="22"/>
          <w:lang w:val="sr-Cyrl-RS"/>
        </w:rPr>
        <w:t xml:space="preserve"> шумама</w:t>
      </w:r>
      <w:r w:rsidR="00C869C9" w:rsidRPr="00EF2F18">
        <w:rPr>
          <w:rFonts w:cs="Times New Roman"/>
          <w:sz w:val="22"/>
          <w:lang w:val="sr-Cyrl-RS"/>
        </w:rPr>
        <w:t xml:space="preserve"> и </w:t>
      </w:r>
      <w:r w:rsidRPr="00EF2F18">
        <w:rPr>
          <w:rFonts w:cs="Times New Roman"/>
          <w:sz w:val="22"/>
          <w:lang w:val="sr-Cyrl-RS"/>
        </w:rPr>
        <w:t>зградама, кроз смањење загађивања воде и ваздуха;</w:t>
      </w:r>
    </w:p>
    <w:p w14:paraId="2F8317FE" w14:textId="0C888D6C" w:rsidR="004A70CF" w:rsidRPr="00EF2F18" w:rsidRDefault="004A70CF" w:rsidP="00313E8E">
      <w:pPr>
        <w:pStyle w:val="ListParagraph"/>
        <w:numPr>
          <w:ilvl w:val="0"/>
          <w:numId w:val="19"/>
        </w:numPr>
        <w:spacing w:after="0"/>
        <w:jc w:val="both"/>
        <w:rPr>
          <w:rFonts w:cs="Times New Roman"/>
          <w:sz w:val="22"/>
          <w:lang w:val="sr-Cyrl-RS"/>
        </w:rPr>
      </w:pPr>
      <w:r w:rsidRPr="00EF2F18">
        <w:rPr>
          <w:rFonts w:cs="Times New Roman"/>
          <w:sz w:val="22"/>
          <w:lang w:val="sr-Cyrl-RS"/>
        </w:rPr>
        <w:t xml:space="preserve">Промоција </w:t>
      </w:r>
      <w:r w:rsidR="00F40494" w:rsidRPr="00EF2F18">
        <w:rPr>
          <w:rFonts w:cs="Times New Roman"/>
          <w:sz w:val="22"/>
          <w:lang w:val="sr-Cyrl-RS"/>
        </w:rPr>
        <w:t xml:space="preserve">одрживог развоја </w:t>
      </w:r>
      <w:r w:rsidRPr="00EF2F18">
        <w:rPr>
          <w:rFonts w:cs="Times New Roman"/>
          <w:sz w:val="22"/>
          <w:lang w:val="sr-Cyrl-RS"/>
        </w:rPr>
        <w:t>туризма као резултат чистије животне средине (шуме, воде за купање, реке, природни резервати, нижи ниво буке) и на тај начин повећавања бруто додате вредности ове делатности у бруто домаћем производу;</w:t>
      </w:r>
    </w:p>
    <w:p w14:paraId="533C3CB8" w14:textId="1449C846" w:rsidR="004A70CF" w:rsidRPr="00EF2F18" w:rsidRDefault="004A70CF" w:rsidP="00313E8E">
      <w:pPr>
        <w:pStyle w:val="ListParagraph"/>
        <w:widowControl w:val="0"/>
        <w:numPr>
          <w:ilvl w:val="0"/>
          <w:numId w:val="19"/>
        </w:numPr>
        <w:suppressAutoHyphens/>
        <w:spacing w:before="120" w:after="0"/>
        <w:jc w:val="both"/>
        <w:rPr>
          <w:rFonts w:cs="Times New Roman"/>
          <w:sz w:val="22"/>
          <w:lang w:val="sr-Cyrl-RS"/>
        </w:rPr>
      </w:pPr>
      <w:r w:rsidRPr="00EF2F18">
        <w:rPr>
          <w:rFonts w:cs="Times New Roman"/>
          <w:sz w:val="22"/>
          <w:lang w:val="sr-Cyrl-RS"/>
        </w:rPr>
        <w:t>Нижи ризик од (непоправљиве) штете</w:t>
      </w:r>
      <w:r w:rsidR="00387E65" w:rsidRPr="00EF2F18">
        <w:rPr>
          <w:rFonts w:cs="Times New Roman"/>
          <w:sz w:val="22"/>
          <w:lang w:val="sr-Cyrl-RS"/>
        </w:rPr>
        <w:t xml:space="preserve"> у вези са </w:t>
      </w:r>
      <w:r w:rsidRPr="00EF2F18">
        <w:rPr>
          <w:rFonts w:cs="Times New Roman"/>
          <w:sz w:val="22"/>
          <w:lang w:val="sr-Cyrl-RS"/>
        </w:rPr>
        <w:t>природним ресурсима као што су подземне воде;</w:t>
      </w:r>
    </w:p>
    <w:p w14:paraId="48F249B1" w14:textId="77777777" w:rsidR="004A70CF" w:rsidRPr="00EF2F18" w:rsidRDefault="004A70CF" w:rsidP="00313E8E">
      <w:pPr>
        <w:pStyle w:val="ListParagraph"/>
        <w:widowControl w:val="0"/>
        <w:numPr>
          <w:ilvl w:val="0"/>
          <w:numId w:val="19"/>
        </w:numPr>
        <w:suppressAutoHyphens/>
        <w:spacing w:before="120" w:after="0"/>
        <w:jc w:val="both"/>
        <w:rPr>
          <w:rFonts w:cs="Times New Roman"/>
          <w:sz w:val="22"/>
          <w:lang w:val="sr-Cyrl-RS"/>
        </w:rPr>
      </w:pPr>
      <w:r w:rsidRPr="00EF2F18">
        <w:rPr>
          <w:rFonts w:cs="Times New Roman"/>
          <w:sz w:val="22"/>
          <w:lang w:val="sr-Cyrl-RS"/>
        </w:rPr>
        <w:t>Боља заштита природних екосистема и (угрожених) врста;</w:t>
      </w:r>
    </w:p>
    <w:p w14:paraId="1201E5E4" w14:textId="2DCF3AD8" w:rsidR="004A70CF" w:rsidRPr="00EF2F18" w:rsidRDefault="004A70CF" w:rsidP="00313E8E">
      <w:pPr>
        <w:pStyle w:val="ListParagraph"/>
        <w:widowControl w:val="0"/>
        <w:numPr>
          <w:ilvl w:val="0"/>
          <w:numId w:val="19"/>
        </w:numPr>
        <w:suppressAutoHyphens/>
        <w:spacing w:before="120" w:after="0"/>
        <w:jc w:val="both"/>
        <w:rPr>
          <w:rFonts w:cs="Times New Roman"/>
          <w:sz w:val="22"/>
          <w:lang w:val="sr-Cyrl-RS"/>
        </w:rPr>
      </w:pPr>
      <w:r w:rsidRPr="00EF2F18">
        <w:rPr>
          <w:rFonts w:cs="Times New Roman"/>
          <w:sz w:val="22"/>
          <w:lang w:val="sr-Cyrl-RS"/>
        </w:rPr>
        <w:t>Чистија вода и ваздух, побољшана вредност животне средине и простора и</w:t>
      </w:r>
      <w:r w:rsidR="00F40494" w:rsidRPr="00EF2F18">
        <w:rPr>
          <w:rFonts w:cs="Times New Roman"/>
          <w:sz w:val="22"/>
          <w:lang w:val="sr-Cyrl-RS"/>
        </w:rPr>
        <w:t xml:space="preserve"> одрживи</w:t>
      </w:r>
      <w:r w:rsidRPr="00EF2F18">
        <w:rPr>
          <w:rFonts w:cs="Times New Roman"/>
          <w:sz w:val="22"/>
          <w:lang w:val="sr-Cyrl-RS"/>
        </w:rPr>
        <w:t xml:space="preserve"> развој туризма подстичу веће запошљавање чиме се додатно убрзава локални и регионални развој</w:t>
      </w:r>
      <w:r w:rsidR="00F40494" w:rsidRPr="00EF2F18">
        <w:rPr>
          <w:rFonts w:cs="Times New Roman"/>
          <w:sz w:val="22"/>
          <w:lang w:val="sr-Cyrl-RS"/>
        </w:rPr>
        <w:t>, као и развој осталих сектора</w:t>
      </w:r>
      <w:r w:rsidRPr="00EF2F18">
        <w:rPr>
          <w:rFonts w:cs="Times New Roman"/>
          <w:sz w:val="22"/>
          <w:lang w:val="sr-Cyrl-RS"/>
        </w:rPr>
        <w:t>;</w:t>
      </w:r>
    </w:p>
    <w:p w14:paraId="6DDD2674" w14:textId="6DF6C074" w:rsidR="004A70CF" w:rsidRPr="00EF2F18" w:rsidRDefault="004A70CF" w:rsidP="00313E8E">
      <w:pPr>
        <w:pStyle w:val="ListParagraph"/>
        <w:widowControl w:val="0"/>
        <w:numPr>
          <w:ilvl w:val="0"/>
          <w:numId w:val="18"/>
        </w:numPr>
        <w:suppressAutoHyphens/>
        <w:spacing w:before="120" w:after="0"/>
        <w:jc w:val="both"/>
        <w:rPr>
          <w:rFonts w:cs="Times New Roman"/>
          <w:sz w:val="22"/>
          <w:lang w:val="sr-Cyrl-RS"/>
        </w:rPr>
      </w:pPr>
      <w:r w:rsidRPr="00EF2F18">
        <w:rPr>
          <w:rFonts w:cs="Times New Roman"/>
          <w:sz w:val="22"/>
          <w:lang w:val="sr-Cyrl-RS"/>
        </w:rPr>
        <w:t>Користи по питању ресурса – повећање квалитета ресурса који се комерцијално користе у шумарству, пољопривреди и рибарству повећа</w:t>
      </w:r>
      <w:r w:rsidR="00C869C9" w:rsidRPr="00EF2F18">
        <w:rPr>
          <w:rFonts w:cs="Times New Roman"/>
          <w:sz w:val="22"/>
          <w:lang w:val="sr-Cyrl-RS"/>
        </w:rPr>
        <w:t>ва</w:t>
      </w:r>
      <w:r w:rsidRPr="00EF2F18">
        <w:rPr>
          <w:rFonts w:cs="Times New Roman"/>
          <w:sz w:val="22"/>
          <w:lang w:val="sr-Cyrl-RS"/>
        </w:rPr>
        <w:t xml:space="preserve"> бруто додату вредност ових делатности.</w:t>
      </w:r>
    </w:p>
    <w:p w14:paraId="4E39AC24" w14:textId="66F0AEE2" w:rsidR="005F61B8" w:rsidRPr="00EF2F18" w:rsidRDefault="004A70CF" w:rsidP="004A70CF">
      <w:pPr>
        <w:pStyle w:val="ListParagraph"/>
        <w:widowControl w:val="0"/>
        <w:suppressAutoHyphens/>
        <w:spacing w:after="0"/>
        <w:ind w:left="0" w:firstLine="720"/>
        <w:jc w:val="both"/>
        <w:rPr>
          <w:rFonts w:cs="Times New Roman"/>
          <w:sz w:val="22"/>
          <w:lang w:val="sr-Cyrl-RS"/>
        </w:rPr>
      </w:pPr>
      <w:r w:rsidRPr="00EF2F18">
        <w:rPr>
          <w:rFonts w:cs="Times New Roman"/>
          <w:sz w:val="22"/>
          <w:lang w:val="sr-Cyrl-RS"/>
        </w:rPr>
        <w:t>С друге стране, поред позитивних ефеката на животну средину и здрављ</w:t>
      </w:r>
      <w:r w:rsidR="009D243A" w:rsidRPr="00EF2F18">
        <w:rPr>
          <w:rFonts w:cs="Times New Roman"/>
          <w:sz w:val="22"/>
          <w:lang w:val="sr-Cyrl-RS"/>
        </w:rPr>
        <w:t>е</w:t>
      </w:r>
      <w:r w:rsidRPr="00EF2F18">
        <w:rPr>
          <w:rFonts w:cs="Times New Roman"/>
          <w:sz w:val="22"/>
          <w:lang w:val="sr-Cyrl-RS"/>
        </w:rPr>
        <w:t xml:space="preserve"> људи, приликом успостављања и функцонисања различитих система и постројења може доћи и до извесних негативних ефеката на животну средину уколико се не примене мере за смањење тих негативних утицаја. На пример, приликом изградње неопходне инфраструктуре може доћи до негативних утицаја на животну средину (утицај на пејзаж, утицај на природу, губитак површина локалног земљишта и смањење вредности некретнина услед недостатка удобности, као што је бука и непријатни мириси), негативних утицаја услед отварања локације за грађење (привремени ефекат) или повећа</w:t>
      </w:r>
      <w:r w:rsidR="009D243A" w:rsidRPr="00EF2F18">
        <w:rPr>
          <w:rFonts w:cs="Times New Roman"/>
          <w:sz w:val="22"/>
          <w:lang w:val="sr-Cyrl-RS"/>
        </w:rPr>
        <w:t>њ</w:t>
      </w:r>
      <w:r w:rsidRPr="00EF2F18">
        <w:rPr>
          <w:rFonts w:cs="Times New Roman"/>
          <w:sz w:val="22"/>
          <w:lang w:val="sr-Cyrl-RS"/>
        </w:rPr>
        <w:t>а емисија СО</w:t>
      </w:r>
      <w:r w:rsidRPr="00EF2F18">
        <w:rPr>
          <w:rFonts w:cs="Times New Roman"/>
          <w:sz w:val="22"/>
          <w:vertAlign w:val="subscript"/>
          <w:lang w:val="sr-Cyrl-RS"/>
        </w:rPr>
        <w:t>2</w:t>
      </w:r>
      <w:r w:rsidRPr="00EF2F18">
        <w:rPr>
          <w:rFonts w:cs="Times New Roman"/>
          <w:sz w:val="22"/>
          <w:lang w:val="sr-Cyrl-RS"/>
        </w:rPr>
        <w:t xml:space="preserve"> услед изградње и функционисања постројења. Такође, може доћи до повећања емисије CO</w:t>
      </w:r>
      <w:r w:rsidRPr="00EF2F18">
        <w:rPr>
          <w:rFonts w:cs="Times New Roman"/>
          <w:sz w:val="22"/>
          <w:vertAlign w:val="subscript"/>
          <w:lang w:val="sr-Cyrl-RS"/>
        </w:rPr>
        <w:t>2</w:t>
      </w:r>
      <w:r w:rsidRPr="00EF2F18">
        <w:rPr>
          <w:rFonts w:cs="Times New Roman"/>
          <w:sz w:val="22"/>
          <w:lang w:val="sr-Cyrl-RS"/>
        </w:rPr>
        <w:t xml:space="preserve"> због транспорта отпада и муља до локација за одлагање или третман</w:t>
      </w:r>
      <w:r w:rsidR="005F61B8" w:rsidRPr="00EF2F18">
        <w:rPr>
          <w:rFonts w:cs="Times New Roman"/>
          <w:sz w:val="22"/>
          <w:lang w:val="sr-Cyrl-RS"/>
        </w:rPr>
        <w:t>.</w:t>
      </w:r>
    </w:p>
    <w:p w14:paraId="158DBA78" w14:textId="77777777" w:rsidR="005F61B8" w:rsidRPr="00EF2F18" w:rsidRDefault="005F61B8" w:rsidP="005F61B8">
      <w:pPr>
        <w:spacing w:after="0"/>
        <w:ind w:firstLine="720"/>
        <w:jc w:val="both"/>
        <w:rPr>
          <w:rFonts w:cs="Times New Roman"/>
          <w:sz w:val="22"/>
          <w:lang w:val="sr-Cyrl-RS"/>
        </w:rPr>
      </w:pPr>
    </w:p>
    <w:p w14:paraId="7C2D19E1" w14:textId="77777777" w:rsidR="00642E25" w:rsidRPr="00EF2F18" w:rsidRDefault="00642E25" w:rsidP="00EE6F5A">
      <w:pPr>
        <w:spacing w:after="0"/>
        <w:ind w:firstLine="720"/>
        <w:jc w:val="both"/>
        <w:rPr>
          <w:rFonts w:cs="Times New Roman"/>
          <w:b/>
          <w:bCs/>
          <w:i/>
          <w:iCs/>
          <w:sz w:val="22"/>
          <w:lang w:val="sr-Cyrl-RS"/>
        </w:rPr>
      </w:pPr>
      <w:r w:rsidRPr="00EF2F18">
        <w:rPr>
          <w:rFonts w:cs="Times New Roman"/>
          <w:b/>
          <w:bCs/>
          <w:i/>
          <w:iCs/>
          <w:sz w:val="22"/>
          <w:lang w:val="sr-Cyrl-RS"/>
        </w:rPr>
        <w:t>Ефекти на друштво</w:t>
      </w:r>
    </w:p>
    <w:p w14:paraId="3290E9C2" w14:textId="642FFC19"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t xml:space="preserve">Примена ове </w:t>
      </w:r>
      <w:r w:rsidR="00EE6F5A" w:rsidRPr="00EF2F18">
        <w:rPr>
          <w:rFonts w:cs="Times New Roman"/>
          <w:sz w:val="22"/>
          <w:lang w:val="sr-Cyrl-RS"/>
        </w:rPr>
        <w:t xml:space="preserve">стратегије </w:t>
      </w:r>
      <w:r w:rsidRPr="00EF2F18">
        <w:rPr>
          <w:rFonts w:cs="Times New Roman"/>
          <w:sz w:val="22"/>
          <w:lang w:val="sr-Cyrl-RS"/>
        </w:rPr>
        <w:t xml:space="preserve">ће грађанима </w:t>
      </w:r>
      <w:r w:rsidR="008F213F" w:rsidRPr="00EF2F18">
        <w:rPr>
          <w:rFonts w:cs="Times New Roman"/>
          <w:sz w:val="22"/>
          <w:lang w:val="sr-Cyrl-RS"/>
        </w:rPr>
        <w:t xml:space="preserve">донети </w:t>
      </w:r>
      <w:r w:rsidR="00387E65" w:rsidRPr="00EF2F18">
        <w:rPr>
          <w:rFonts w:cs="Times New Roman"/>
          <w:sz w:val="22"/>
          <w:lang w:val="sr-Cyrl-RS"/>
        </w:rPr>
        <w:t xml:space="preserve">користи, али и </w:t>
      </w:r>
      <w:r w:rsidR="008F213F" w:rsidRPr="00EF2F18">
        <w:rPr>
          <w:rFonts w:cs="Times New Roman"/>
          <w:sz w:val="22"/>
          <w:lang w:val="sr-Cyrl-RS"/>
        </w:rPr>
        <w:t xml:space="preserve">проузроковати </w:t>
      </w:r>
      <w:r w:rsidRPr="00EF2F18">
        <w:rPr>
          <w:rFonts w:cs="Times New Roman"/>
          <w:sz w:val="22"/>
          <w:lang w:val="sr-Cyrl-RS"/>
        </w:rPr>
        <w:t>додатне трошкове. Користи се огледају пре свега у одређеним уштедама по основу чистије животне средине (мањи здравствени трошкови</w:t>
      </w:r>
      <w:r w:rsidR="009D243A" w:rsidRPr="00EF2F18">
        <w:rPr>
          <w:rFonts w:cs="Times New Roman"/>
          <w:sz w:val="22"/>
          <w:lang w:val="sr-Cyrl-RS"/>
        </w:rPr>
        <w:t>, итд.</w:t>
      </w:r>
      <w:r w:rsidRPr="00EF2F18">
        <w:rPr>
          <w:rFonts w:cs="Times New Roman"/>
          <w:sz w:val="22"/>
          <w:lang w:val="sr-Cyrl-RS"/>
        </w:rPr>
        <w:t xml:space="preserve">), као </w:t>
      </w:r>
      <w:r w:rsidR="009D243A" w:rsidRPr="00EF2F18">
        <w:rPr>
          <w:rFonts w:cs="Times New Roman"/>
          <w:sz w:val="22"/>
          <w:lang w:val="sr-Cyrl-RS"/>
        </w:rPr>
        <w:t xml:space="preserve">и </w:t>
      </w:r>
      <w:r w:rsidRPr="00EF2F18">
        <w:rPr>
          <w:rFonts w:cs="Times New Roman"/>
          <w:sz w:val="22"/>
          <w:lang w:val="sr-Cyrl-RS"/>
        </w:rPr>
        <w:t>повећавања вредности њихове имовине (земљишта, некретнина</w:t>
      </w:r>
      <w:r w:rsidR="009D243A" w:rsidRPr="00EF2F18">
        <w:rPr>
          <w:rFonts w:cs="Times New Roman"/>
          <w:sz w:val="22"/>
          <w:lang w:val="sr-Cyrl-RS"/>
        </w:rPr>
        <w:t>, итд.</w:t>
      </w:r>
      <w:r w:rsidRPr="00EF2F18">
        <w:rPr>
          <w:rFonts w:cs="Times New Roman"/>
          <w:sz w:val="22"/>
          <w:lang w:val="sr-Cyrl-RS"/>
        </w:rPr>
        <w:t>).</w:t>
      </w:r>
    </w:p>
    <w:p w14:paraId="7C648A58" w14:textId="45DAB220" w:rsidR="004A70CF" w:rsidRPr="00EF2F18" w:rsidRDefault="004A70CF" w:rsidP="004A70CF">
      <w:pPr>
        <w:spacing w:after="0"/>
        <w:ind w:firstLine="720"/>
        <w:jc w:val="both"/>
        <w:rPr>
          <w:rFonts w:cs="Times New Roman"/>
          <w:sz w:val="22"/>
          <w:lang w:val="sr-Cyrl-RS"/>
        </w:rPr>
      </w:pPr>
      <w:r w:rsidRPr="00EF2F18">
        <w:rPr>
          <w:rFonts w:cs="Times New Roman"/>
          <w:sz w:val="22"/>
          <w:lang w:val="sr-Cyrl-RS"/>
        </w:rPr>
        <w:t xml:space="preserve">Са друге стране, грађани ће се суочити са повећањем цена за услуге сакупљања и третмана отпадних вода, отпада и енергије. С обзиром да ће се просечна приуштивост ових услуга за домаћинства смањити, то значи да ће у лошијем положају потенцијално бити најсиромашнија домаћинства (прва три децила, односно 30% најсиромашнијих домаћинстава) за које ће коефицијент приуштивости прелазити референтне вредности. У том смислу спровођење Стратегије може да утиче на животни стандард становништва, те је због тога неопходно планирати и одређена средства за субвенционисање ове групе становништва у складу са могућностима буџета </w:t>
      </w:r>
      <w:r w:rsidR="00E52612" w:rsidRPr="00EF2F18">
        <w:rPr>
          <w:rFonts w:cs="Times New Roman"/>
          <w:sz w:val="22"/>
          <w:lang w:val="sr-Cyrl-RS"/>
        </w:rPr>
        <w:t>јединица локалне самоуправе</w:t>
      </w:r>
      <w:r w:rsidRPr="00EF2F18">
        <w:rPr>
          <w:rFonts w:cs="Times New Roman"/>
          <w:sz w:val="22"/>
          <w:lang w:val="sr-Cyrl-RS"/>
        </w:rPr>
        <w:t>.</w:t>
      </w:r>
    </w:p>
    <w:p w14:paraId="2492C46B" w14:textId="39C744EC"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Када је </w:t>
      </w:r>
      <w:r w:rsidR="009D243A" w:rsidRPr="00EF2F18">
        <w:rPr>
          <w:rFonts w:cs="Times New Roman"/>
          <w:sz w:val="22"/>
          <w:lang w:val="sr-Cyrl-RS"/>
        </w:rPr>
        <w:t>реч о области</w:t>
      </w:r>
      <w:r w:rsidRPr="00EF2F18">
        <w:rPr>
          <w:rFonts w:cs="Times New Roman"/>
          <w:sz w:val="22"/>
          <w:lang w:val="sr-Cyrl-RS"/>
        </w:rPr>
        <w:t xml:space="preserve"> циркуларне економије, потрошачи и корисници производа такође остварују користи у циркуларној у односу на линеарну економију, при чему се оне не огледају само у претпостављеној промени цене финалних производа. Прво, потрошачи имају користи од мањих трошкова због продуженог века трајања производа. Такође, потрошачи имају користи од повећане могућности избора и прилагођавања производа купцима. Потрошачи у циркуларној економији имају и тзв. секундарне користи када производи имају више функција од своје основне и на тај начин задовољавају потребе за које првобитно нису намењени.</w:t>
      </w:r>
    </w:p>
    <w:p w14:paraId="13CFA343" w14:textId="3BAAEE9B" w:rsidR="00BD0B1C" w:rsidRPr="00EF2F18" w:rsidRDefault="00387E65" w:rsidP="00BD0B1C">
      <w:pPr>
        <w:spacing w:after="0"/>
        <w:ind w:firstLine="720"/>
        <w:jc w:val="both"/>
        <w:rPr>
          <w:rFonts w:cs="Times New Roman"/>
          <w:sz w:val="22"/>
          <w:lang w:val="sr-Cyrl-RS"/>
        </w:rPr>
      </w:pPr>
      <w:r w:rsidRPr="00EF2F18">
        <w:rPr>
          <w:rFonts w:cs="Times New Roman"/>
          <w:sz w:val="22"/>
          <w:lang w:val="sr-Cyrl-RS"/>
        </w:rPr>
        <w:t xml:space="preserve">Спровођење Стратегије, поред </w:t>
      </w:r>
      <w:r w:rsidR="00463DB5" w:rsidRPr="00EF2F18">
        <w:rPr>
          <w:rFonts w:cs="Times New Roman"/>
          <w:sz w:val="22"/>
          <w:lang w:val="sr-Cyrl-RS"/>
        </w:rPr>
        <w:t xml:space="preserve">образложеног </w:t>
      </w:r>
      <w:r w:rsidRPr="00EF2F18">
        <w:rPr>
          <w:rFonts w:cs="Times New Roman"/>
          <w:sz w:val="22"/>
          <w:lang w:val="sr-Cyrl-RS"/>
        </w:rPr>
        <w:t xml:space="preserve">утицаја на сиромашне и социјално </w:t>
      </w:r>
      <w:r w:rsidR="009436FC" w:rsidRPr="00EF2F18">
        <w:rPr>
          <w:rFonts w:cs="Times New Roman"/>
          <w:sz w:val="22"/>
          <w:lang w:val="sr-Cyrl-RS"/>
        </w:rPr>
        <w:t xml:space="preserve">угрожене </w:t>
      </w:r>
      <w:r w:rsidRPr="00EF2F18">
        <w:rPr>
          <w:rFonts w:cs="Times New Roman"/>
          <w:sz w:val="22"/>
          <w:lang w:val="sr-Cyrl-RS"/>
        </w:rPr>
        <w:t>појединце и групе, у које најчешће спадају и појединци из осетљивих група, неће посебно негативно утицати на неку специфичну групу популације</w:t>
      </w:r>
      <w:r w:rsidR="00BD0B1C" w:rsidRPr="00EF2F18">
        <w:rPr>
          <w:rFonts w:cs="Times New Roman"/>
          <w:sz w:val="22"/>
          <w:lang w:val="sr-Cyrl-RS"/>
        </w:rPr>
        <w:t>.</w:t>
      </w:r>
    </w:p>
    <w:p w14:paraId="0FB02C4A" w14:textId="27907DDC" w:rsidR="008D37C6" w:rsidRPr="00EF2F18" w:rsidRDefault="006B0E2A" w:rsidP="00BD0B1C">
      <w:pPr>
        <w:spacing w:after="0"/>
        <w:ind w:firstLine="720"/>
        <w:jc w:val="both"/>
        <w:rPr>
          <w:rFonts w:cs="Times New Roman"/>
          <w:sz w:val="22"/>
          <w:lang w:val="sr-Cyrl-RS"/>
        </w:rPr>
      </w:pPr>
      <w:r w:rsidRPr="00EF2F18">
        <w:rPr>
          <w:sz w:val="22"/>
          <w:lang w:val="sr-Cyrl-RS"/>
        </w:rPr>
        <w:t xml:space="preserve">С друге стране, спровођење мера Стратегије може утицати на ублажавање већих негативних утицаја на жене, децу, старија лица, младе и друге осетљиве друштвене групе, а који </w:t>
      </w:r>
      <w:r w:rsidRPr="00EF2F18">
        <w:rPr>
          <w:sz w:val="22"/>
          <w:lang w:val="sr-Cyrl-RS"/>
        </w:rPr>
        <w:lastRenderedPageBreak/>
        <w:t>су проузроковани климатским променама, несташицама воде, деградацијом земљишта, неадекватним санитарним условима, загађењем воде, ваздуха и хране и др. Додатно, очекује се бољи положај и већи утицај жена, младих и осетљивих друштвених група на д</w:t>
      </w:r>
      <w:r w:rsidR="009436FC" w:rsidRPr="00EF2F18">
        <w:rPr>
          <w:sz w:val="22"/>
          <w:lang w:val="sr-Cyrl-RS"/>
        </w:rPr>
        <w:t>о</w:t>
      </w:r>
      <w:r w:rsidRPr="00EF2F18">
        <w:rPr>
          <w:sz w:val="22"/>
          <w:lang w:val="sr-Cyrl-RS"/>
        </w:rPr>
        <w:t>ношење одлука по питањима заштите животне средине и у свим другим областима у вези са одрживим развојем, као што су енергетика, управљање водама, саобраћај, урбанизам, пољопривреда и др.</w:t>
      </w:r>
    </w:p>
    <w:p w14:paraId="48D4AC35" w14:textId="532FF2F0" w:rsidR="006A2374" w:rsidRPr="00EF2F18" w:rsidRDefault="00BD0B1C" w:rsidP="00BD0B1C">
      <w:pPr>
        <w:spacing w:after="0"/>
        <w:ind w:firstLine="720"/>
        <w:jc w:val="both"/>
        <w:rPr>
          <w:rFonts w:cs="Times New Roman"/>
          <w:sz w:val="22"/>
          <w:lang w:val="sr-Cyrl-RS"/>
        </w:rPr>
      </w:pPr>
      <w:r w:rsidRPr="00EF2F18">
        <w:rPr>
          <w:rFonts w:cs="Times New Roman"/>
          <w:sz w:val="22"/>
          <w:lang w:val="sr-Cyrl-RS"/>
        </w:rPr>
        <w:t>Спровођење предложених мера Стратегије ће довести до фундаменталног реструктурирањ</w:t>
      </w:r>
      <w:r w:rsidR="009D243A" w:rsidRPr="00EF2F18">
        <w:rPr>
          <w:rFonts w:cs="Times New Roman"/>
          <w:sz w:val="22"/>
          <w:lang w:val="sr-Cyrl-RS"/>
        </w:rPr>
        <w:t>а</w:t>
      </w:r>
      <w:r w:rsidRPr="00EF2F18">
        <w:rPr>
          <w:rFonts w:cs="Times New Roman"/>
          <w:sz w:val="22"/>
          <w:lang w:val="sr-Cyrl-RS"/>
        </w:rPr>
        <w:t xml:space="preserve"> сектора снабдевања енергијом, удаљавајући се од система заснованог на фосилним горивима на систем који се ослања на чисте, обновљиве изворе</w:t>
      </w:r>
      <w:r w:rsidR="009D243A" w:rsidRPr="00EF2F18">
        <w:rPr>
          <w:rFonts w:cs="Times New Roman"/>
          <w:sz w:val="22"/>
          <w:lang w:val="sr-Cyrl-RS"/>
        </w:rPr>
        <w:t>,</w:t>
      </w:r>
      <w:r w:rsidRPr="00EF2F18">
        <w:rPr>
          <w:rFonts w:cs="Times New Roman"/>
          <w:sz w:val="22"/>
          <w:lang w:val="sr-Cyrl-RS"/>
        </w:rPr>
        <w:t xml:space="preserve"> и повећања енергетске ефикасности. Транзиција ка ниско</w:t>
      </w:r>
      <w:r w:rsidR="00E250A0" w:rsidRPr="00EF2F18">
        <w:rPr>
          <w:rFonts w:cs="Times New Roman"/>
          <w:sz w:val="22"/>
          <w:lang w:val="sr-Cyrl-RS"/>
        </w:rPr>
        <w:t>угљеничној</w:t>
      </w:r>
      <w:r w:rsidRPr="00EF2F18">
        <w:rPr>
          <w:rFonts w:cs="Times New Roman"/>
          <w:sz w:val="22"/>
          <w:lang w:val="sr-Cyrl-RS"/>
        </w:rPr>
        <w:t xml:space="preserve"> и одрживој економији има и позитивне и негативне утицаје на запошљавање. Генерално, производња и запосленост у нискоугљеничним индустријама и услугама ће расти, док ће енергетски и ресурсно интензивни сектори вероватно стагнирати или се смањити. Због тога је неопходно да јавне политике ублаже негативне ефекте ове трансформације развојем политика праведне транзиције (</w:t>
      </w:r>
      <w:r w:rsidR="00E250A0" w:rsidRPr="00EF2F18">
        <w:rPr>
          <w:rFonts w:cs="Times New Roman"/>
          <w:i/>
          <w:iCs/>
          <w:sz w:val="22"/>
          <w:lang w:val="sr-Cyrl-RS"/>
        </w:rPr>
        <w:t>Јu</w:t>
      </w:r>
      <w:r w:rsidRPr="00EF2F18">
        <w:rPr>
          <w:rFonts w:cs="Times New Roman"/>
          <w:i/>
          <w:iCs/>
          <w:sz w:val="22"/>
          <w:lang w:val="sr-Cyrl-RS"/>
        </w:rPr>
        <w:t>st transition policies</w:t>
      </w:r>
      <w:r w:rsidRPr="00EF2F18">
        <w:rPr>
          <w:rFonts w:cs="Times New Roman"/>
          <w:sz w:val="22"/>
          <w:lang w:val="sr-Cyrl-RS"/>
        </w:rPr>
        <w:t>) за раднике погођене овим променама</w:t>
      </w:r>
      <w:r w:rsidR="009B67FC" w:rsidRPr="00EF2F18">
        <w:rPr>
          <w:rFonts w:cs="Times New Roman"/>
          <w:sz w:val="22"/>
          <w:lang w:val="sr-Cyrl-RS"/>
        </w:rPr>
        <w:t xml:space="preserve">, у супротном, уколико се не донесу мере праведне енергетске транзиције, може доћи до </w:t>
      </w:r>
      <w:r w:rsidR="00F340CC" w:rsidRPr="00EF2F18">
        <w:rPr>
          <w:rFonts w:cs="Times New Roman"/>
          <w:sz w:val="22"/>
          <w:lang w:val="sr-Cyrl-RS"/>
        </w:rPr>
        <w:t>негативн</w:t>
      </w:r>
      <w:r w:rsidR="009B67FC" w:rsidRPr="00EF2F18">
        <w:rPr>
          <w:rFonts w:cs="Times New Roman"/>
          <w:sz w:val="22"/>
          <w:lang w:val="sr-Cyrl-RS"/>
        </w:rPr>
        <w:t>их</w:t>
      </w:r>
      <w:r w:rsidR="00F340CC" w:rsidRPr="00EF2F18">
        <w:rPr>
          <w:rFonts w:cs="Times New Roman"/>
          <w:sz w:val="22"/>
          <w:lang w:val="sr-Cyrl-RS"/>
        </w:rPr>
        <w:t xml:space="preserve"> ефекат</w:t>
      </w:r>
      <w:r w:rsidR="009B67FC" w:rsidRPr="00EF2F18">
        <w:rPr>
          <w:rFonts w:cs="Times New Roman"/>
          <w:sz w:val="22"/>
          <w:lang w:val="sr-Cyrl-RS"/>
        </w:rPr>
        <w:t>а</w:t>
      </w:r>
      <w:r w:rsidR="00F340CC" w:rsidRPr="00EF2F18">
        <w:rPr>
          <w:rFonts w:cs="Times New Roman"/>
          <w:sz w:val="22"/>
          <w:lang w:val="sr-Cyrl-RS"/>
        </w:rPr>
        <w:t xml:space="preserve">, нарочито у регионима у којима се производи угаљ. </w:t>
      </w:r>
    </w:p>
    <w:p w14:paraId="1FB6F1BF" w14:textId="03D19A37" w:rsidR="00BD0B1C" w:rsidRPr="00EF2F18" w:rsidRDefault="00F340CC" w:rsidP="00BD0B1C">
      <w:pPr>
        <w:spacing w:after="0"/>
        <w:ind w:firstLine="720"/>
        <w:jc w:val="both"/>
        <w:rPr>
          <w:rFonts w:cs="Times New Roman"/>
          <w:sz w:val="22"/>
          <w:lang w:val="sr-Cyrl-RS"/>
        </w:rPr>
      </w:pPr>
      <w:r w:rsidRPr="00EF2F18">
        <w:rPr>
          <w:rFonts w:cs="Times New Roman"/>
          <w:sz w:val="22"/>
          <w:lang w:val="sr-Cyrl-RS"/>
        </w:rPr>
        <w:t>Овим утицајем се посебно бави област праведне енергетске транзиције која је предмет посебног документа Плана праведне енергетске транзиције Републике Србије до 2030. године, сагласно обавезама које проистичу из Уговора о Енергетској заједници, а имајући у в</w:t>
      </w:r>
      <w:r w:rsidR="00001518" w:rsidRPr="00EF2F18">
        <w:rPr>
          <w:rFonts w:cs="Times New Roman"/>
          <w:sz w:val="22"/>
          <w:lang w:val="sr-Cyrl-RS"/>
        </w:rPr>
        <w:t>иду Реформску агенду усвојену од стране Владе 3.</w:t>
      </w:r>
      <w:r w:rsidR="00EE6F5A" w:rsidRPr="00EF2F18">
        <w:rPr>
          <w:rFonts w:cs="Times New Roman"/>
          <w:sz w:val="22"/>
          <w:lang w:val="sr-Cyrl-RS"/>
        </w:rPr>
        <w:t xml:space="preserve"> октобра </w:t>
      </w:r>
      <w:r w:rsidR="00001518" w:rsidRPr="00EF2F18">
        <w:rPr>
          <w:rFonts w:cs="Times New Roman"/>
          <w:sz w:val="22"/>
          <w:lang w:val="sr-Cyrl-RS"/>
        </w:rPr>
        <w:t xml:space="preserve">2024. године, Интегрисани национални енергетски и климатски план Републике Србије до 2030. године са </w:t>
      </w:r>
      <w:r w:rsidR="00902EDC" w:rsidRPr="00EF2F18">
        <w:rPr>
          <w:rFonts w:cs="Times New Roman"/>
          <w:sz w:val="22"/>
          <w:lang w:val="sr-Cyrl-RS"/>
        </w:rPr>
        <w:t>визијом</w:t>
      </w:r>
      <w:r w:rsidR="00001518" w:rsidRPr="00EF2F18">
        <w:rPr>
          <w:rFonts w:cs="Times New Roman"/>
          <w:sz w:val="22"/>
          <w:lang w:val="sr-Cyrl-RS"/>
        </w:rPr>
        <w:t xml:space="preserve"> до 2050. године („Службени гласник РС</w:t>
      </w:r>
      <w:r w:rsidR="00E57E25" w:rsidRPr="00EF2F18">
        <w:rPr>
          <w:rFonts w:cs="Times New Roman"/>
          <w:sz w:val="22"/>
          <w:lang w:val="sr-Cyrl-RS"/>
        </w:rPr>
        <w:t>”</w:t>
      </w:r>
      <w:r w:rsidR="00001518" w:rsidRPr="00EF2F18">
        <w:rPr>
          <w:rFonts w:cs="Times New Roman"/>
          <w:sz w:val="22"/>
          <w:lang w:val="sr-Cyrl-RS"/>
        </w:rPr>
        <w:t>, број 70/24), као и С</w:t>
      </w:r>
      <w:r w:rsidR="00BC6E34">
        <w:rPr>
          <w:rFonts w:cs="Times New Roman"/>
          <w:sz w:val="22"/>
          <w:lang w:val="sr-Cyrl-RS"/>
        </w:rPr>
        <w:t>тратегију развоја енергетике Репу</w:t>
      </w:r>
      <w:r w:rsidR="00001518" w:rsidRPr="00EF2F18">
        <w:rPr>
          <w:rFonts w:cs="Times New Roman"/>
          <w:sz w:val="22"/>
          <w:lang w:val="sr-Cyrl-RS"/>
        </w:rPr>
        <w:t>блике Србије до 2040. године са пројекцијама до 2050. године („Службени гласник РС</w:t>
      </w:r>
      <w:r w:rsidR="00E57E25" w:rsidRPr="00EF2F18">
        <w:rPr>
          <w:rFonts w:cs="Times New Roman"/>
          <w:sz w:val="22"/>
          <w:lang w:val="sr-Cyrl-RS"/>
        </w:rPr>
        <w:t>”</w:t>
      </w:r>
      <w:r w:rsidR="00001518" w:rsidRPr="00EF2F18">
        <w:rPr>
          <w:rFonts w:cs="Times New Roman"/>
          <w:sz w:val="22"/>
          <w:lang w:val="sr-Cyrl-RS"/>
        </w:rPr>
        <w:t>, број 94/24).</w:t>
      </w:r>
    </w:p>
    <w:p w14:paraId="6A9C587A" w14:textId="77777777" w:rsidR="001122DD" w:rsidRPr="00EF2F18" w:rsidRDefault="001122DD" w:rsidP="001122DD">
      <w:pPr>
        <w:spacing w:after="0"/>
        <w:ind w:firstLine="720"/>
        <w:jc w:val="both"/>
        <w:rPr>
          <w:rFonts w:cs="Times New Roman"/>
          <w:sz w:val="22"/>
          <w:lang w:val="sr-Cyrl-RS"/>
        </w:rPr>
      </w:pPr>
      <w:r w:rsidRPr="00EF2F18">
        <w:rPr>
          <w:rFonts w:cs="Times New Roman"/>
          <w:sz w:val="22"/>
          <w:lang w:val="sr-Cyrl-RS"/>
        </w:rPr>
        <w:t>Утицај мера на тржишту рада ће имати четири основна правца деловања:</w:t>
      </w:r>
    </w:p>
    <w:p w14:paraId="0AFB3895" w14:textId="77777777" w:rsidR="001122DD" w:rsidRPr="00EF2F18" w:rsidRDefault="001122DD" w:rsidP="00313E8E">
      <w:pPr>
        <w:pStyle w:val="ListParagraph"/>
        <w:numPr>
          <w:ilvl w:val="0"/>
          <w:numId w:val="26"/>
        </w:numPr>
        <w:spacing w:after="0"/>
        <w:jc w:val="both"/>
        <w:rPr>
          <w:rFonts w:cs="Times New Roman"/>
          <w:sz w:val="22"/>
          <w:lang w:val="sr-Cyrl-RS"/>
        </w:rPr>
      </w:pPr>
      <w:r w:rsidRPr="00EF2F18">
        <w:rPr>
          <w:rFonts w:cs="Times New Roman"/>
          <w:sz w:val="22"/>
          <w:lang w:val="sr-Cyrl-RS"/>
        </w:rPr>
        <w:t>Стварају се потпуно нова радна места</w:t>
      </w:r>
      <w:r w:rsidRPr="00EF2F18">
        <w:rPr>
          <w:rFonts w:cs="Times New Roman"/>
          <w:iCs/>
          <w:sz w:val="22"/>
          <w:lang w:val="sr-Cyrl-RS"/>
        </w:rPr>
        <w:t>;</w:t>
      </w:r>
    </w:p>
    <w:p w14:paraId="62B6740F" w14:textId="77777777" w:rsidR="001122DD" w:rsidRPr="00EF2F18" w:rsidRDefault="001122DD" w:rsidP="00313E8E">
      <w:pPr>
        <w:pStyle w:val="ListParagraph"/>
        <w:numPr>
          <w:ilvl w:val="0"/>
          <w:numId w:val="26"/>
        </w:numPr>
        <w:spacing w:before="120"/>
        <w:jc w:val="both"/>
        <w:rPr>
          <w:rFonts w:cs="Times New Roman"/>
          <w:sz w:val="22"/>
          <w:lang w:val="sr-Cyrl-RS"/>
        </w:rPr>
      </w:pPr>
      <w:r w:rsidRPr="00EF2F18">
        <w:rPr>
          <w:rFonts w:cs="Times New Roman"/>
          <w:sz w:val="22"/>
          <w:lang w:val="sr-Cyrl-RS"/>
        </w:rPr>
        <w:t>Супституишу се постојећа радна места</w:t>
      </w:r>
      <w:r w:rsidRPr="00EF2F18">
        <w:rPr>
          <w:rFonts w:cs="Times New Roman"/>
          <w:iCs/>
          <w:sz w:val="22"/>
          <w:lang w:val="sr-Cyrl-RS"/>
        </w:rPr>
        <w:t>;</w:t>
      </w:r>
    </w:p>
    <w:p w14:paraId="0C8F4BAE" w14:textId="77777777" w:rsidR="001122DD" w:rsidRPr="00EF2F18" w:rsidRDefault="001122DD" w:rsidP="00313E8E">
      <w:pPr>
        <w:pStyle w:val="ListParagraph"/>
        <w:numPr>
          <w:ilvl w:val="0"/>
          <w:numId w:val="26"/>
        </w:numPr>
        <w:spacing w:before="120"/>
        <w:jc w:val="both"/>
        <w:rPr>
          <w:rFonts w:cs="Times New Roman"/>
          <w:sz w:val="22"/>
          <w:lang w:val="sr-Cyrl-RS"/>
        </w:rPr>
      </w:pPr>
      <w:r w:rsidRPr="00EF2F18">
        <w:rPr>
          <w:rFonts w:cs="Times New Roman"/>
          <w:sz w:val="22"/>
          <w:lang w:val="sr-Cyrl-RS"/>
        </w:rPr>
        <w:t>Одређена радна места се гасе</w:t>
      </w:r>
      <w:r w:rsidRPr="00EF2F18">
        <w:rPr>
          <w:rFonts w:cs="Times New Roman"/>
          <w:iCs/>
          <w:sz w:val="22"/>
          <w:lang w:val="sr-Cyrl-RS"/>
        </w:rPr>
        <w:t>;</w:t>
      </w:r>
    </w:p>
    <w:p w14:paraId="2AFC6DB3" w14:textId="77777777" w:rsidR="00001518" w:rsidRPr="00EF2F18" w:rsidRDefault="001122DD" w:rsidP="00313E8E">
      <w:pPr>
        <w:pStyle w:val="ListParagraph"/>
        <w:numPr>
          <w:ilvl w:val="0"/>
          <w:numId w:val="26"/>
        </w:numPr>
        <w:spacing w:after="0"/>
        <w:jc w:val="both"/>
        <w:rPr>
          <w:rFonts w:cs="Times New Roman"/>
          <w:sz w:val="22"/>
          <w:lang w:val="sr-Cyrl-RS"/>
        </w:rPr>
      </w:pPr>
      <w:r w:rsidRPr="00EF2F18">
        <w:rPr>
          <w:rFonts w:cs="Times New Roman"/>
          <w:sz w:val="22"/>
          <w:lang w:val="sr-Cyrl-RS"/>
        </w:rPr>
        <w:t>Један број послова се редефинише</w:t>
      </w:r>
      <w:r w:rsidR="00001518" w:rsidRPr="00EF2F18">
        <w:rPr>
          <w:rFonts w:cs="Times New Roman"/>
          <w:sz w:val="22"/>
          <w:lang w:val="sr-Cyrl-RS"/>
        </w:rPr>
        <w:t xml:space="preserve"> и потребне су преквалификације;</w:t>
      </w:r>
    </w:p>
    <w:p w14:paraId="3672822D" w14:textId="77777777" w:rsidR="00001518" w:rsidRPr="00EF2F18" w:rsidRDefault="00001518" w:rsidP="00313E8E">
      <w:pPr>
        <w:pStyle w:val="ListParagraph"/>
        <w:numPr>
          <w:ilvl w:val="0"/>
          <w:numId w:val="26"/>
        </w:numPr>
        <w:spacing w:after="0"/>
        <w:jc w:val="both"/>
        <w:rPr>
          <w:rFonts w:cs="Times New Roman"/>
          <w:sz w:val="22"/>
          <w:lang w:val="sr-Cyrl-RS"/>
        </w:rPr>
      </w:pPr>
      <w:r w:rsidRPr="00EF2F18">
        <w:rPr>
          <w:rFonts w:cs="Times New Roman"/>
          <w:sz w:val="22"/>
          <w:lang w:val="sr-Cyrl-RS"/>
        </w:rPr>
        <w:t>Могући утицај на економску структуру;</w:t>
      </w:r>
    </w:p>
    <w:p w14:paraId="38FFAD64" w14:textId="77777777" w:rsidR="00001518" w:rsidRPr="00EF2F18" w:rsidRDefault="00001518" w:rsidP="00313E8E">
      <w:pPr>
        <w:pStyle w:val="ListParagraph"/>
        <w:numPr>
          <w:ilvl w:val="0"/>
          <w:numId w:val="26"/>
        </w:numPr>
        <w:spacing w:after="0"/>
        <w:jc w:val="both"/>
        <w:rPr>
          <w:rFonts w:cs="Times New Roman"/>
          <w:sz w:val="22"/>
          <w:lang w:val="sr-Cyrl-RS"/>
        </w:rPr>
      </w:pPr>
      <w:r w:rsidRPr="00EF2F18">
        <w:rPr>
          <w:rFonts w:cs="Times New Roman"/>
          <w:sz w:val="22"/>
          <w:lang w:val="sr-Cyrl-RS"/>
        </w:rPr>
        <w:t>Могући утицај на образовање;</w:t>
      </w:r>
    </w:p>
    <w:p w14:paraId="7056F8B9" w14:textId="0DB251E7" w:rsidR="001122DD" w:rsidRPr="00EF2F18" w:rsidRDefault="00001518" w:rsidP="00313E8E">
      <w:pPr>
        <w:pStyle w:val="ListParagraph"/>
        <w:numPr>
          <w:ilvl w:val="0"/>
          <w:numId w:val="26"/>
        </w:numPr>
        <w:spacing w:after="0"/>
        <w:jc w:val="both"/>
        <w:rPr>
          <w:rFonts w:cs="Times New Roman"/>
          <w:sz w:val="22"/>
          <w:lang w:val="sr-Cyrl-RS"/>
        </w:rPr>
      </w:pPr>
      <w:r w:rsidRPr="00EF2F18">
        <w:rPr>
          <w:rFonts w:cs="Times New Roman"/>
          <w:sz w:val="22"/>
          <w:lang w:val="sr-Cyrl-RS"/>
        </w:rPr>
        <w:t>Могући утицај на регионе погођене енергетском транзицијом.</w:t>
      </w:r>
    </w:p>
    <w:p w14:paraId="2DC1731E" w14:textId="706AE976" w:rsidR="00BD0B1C" w:rsidRPr="00EF2F18" w:rsidRDefault="00BD0B1C" w:rsidP="009C1F39">
      <w:pPr>
        <w:spacing w:after="0"/>
        <w:ind w:firstLine="720"/>
        <w:jc w:val="both"/>
        <w:rPr>
          <w:rFonts w:cs="Times New Roman"/>
          <w:sz w:val="22"/>
          <w:lang w:val="sr-Cyrl-RS"/>
        </w:rPr>
      </w:pPr>
      <w:r w:rsidRPr="00EF2F18">
        <w:rPr>
          <w:rFonts w:cs="Times New Roman"/>
          <w:b/>
          <w:sz w:val="22"/>
          <w:lang w:val="sr-Cyrl-RS"/>
        </w:rPr>
        <w:t>Нова радна места.</w:t>
      </w:r>
      <w:r w:rsidRPr="00EF2F18">
        <w:rPr>
          <w:rFonts w:cs="Times New Roman"/>
          <w:sz w:val="22"/>
          <w:lang w:val="sr-Cyrl-RS"/>
        </w:rPr>
        <w:t xml:space="preserve"> Експанзија производа, услуга и инфраструктуре са ниским нивоом угљеника довешће до веће потражње за радном снагом у многим секторима привреде.</w:t>
      </w:r>
      <w:r w:rsidR="00E250A0" w:rsidRPr="00EF2F18">
        <w:rPr>
          <w:rFonts w:cs="Times New Roman"/>
          <w:sz w:val="22"/>
          <w:lang w:val="sr-Cyrl-RS"/>
        </w:rPr>
        <w:t xml:space="preserve"> </w:t>
      </w:r>
      <w:r w:rsidRPr="00EF2F18">
        <w:rPr>
          <w:rFonts w:cs="Times New Roman"/>
          <w:sz w:val="22"/>
          <w:lang w:val="sr-Cyrl-RS"/>
        </w:rPr>
        <w:t xml:space="preserve">Поред директних послова, постоје послови у ланцу снабдевања (индиректни послови). Како се остварени приходи троше у целој привреди, они стварају даље запошљавање (индукована радна места). </w:t>
      </w:r>
      <w:r w:rsidR="00ED3F66" w:rsidRPr="00EF2F18">
        <w:rPr>
          <w:rFonts w:cs="Times New Roman"/>
          <w:sz w:val="22"/>
          <w:lang w:val="sr-Cyrl-RS"/>
        </w:rPr>
        <w:t>Такође, спровођење мера из Стратегије довешће до отварање нових радних места за стручњаке из области заштите животне средине, који имају знања и вештине да се баве превенцијом и санацијом загађења. Због важности послова и задатака из овог домена неопходно је обезбедити обавезно постојање радног места лица задуженог за послове заштите животне средине, са одговарајућом стручном спремом везаном за заштиту животне средине.</w:t>
      </w:r>
    </w:p>
    <w:p w14:paraId="716A0B48" w14:textId="3CD3FDA2" w:rsidR="00BD0B1C" w:rsidRPr="00EF2F18" w:rsidRDefault="00BD0B1C" w:rsidP="00BD0B1C">
      <w:pPr>
        <w:spacing w:after="0"/>
        <w:ind w:firstLine="720"/>
        <w:jc w:val="both"/>
        <w:rPr>
          <w:rFonts w:cs="Times New Roman"/>
          <w:sz w:val="22"/>
          <w:lang w:val="sr-Cyrl-RS"/>
        </w:rPr>
      </w:pPr>
      <w:r w:rsidRPr="00EF2F18">
        <w:rPr>
          <w:rFonts w:cs="Times New Roman"/>
          <w:b/>
          <w:sz w:val="22"/>
          <w:lang w:val="sr-Cyrl-RS"/>
        </w:rPr>
        <w:t>Замена радних места.</w:t>
      </w:r>
      <w:r w:rsidRPr="00EF2F18">
        <w:rPr>
          <w:rFonts w:cs="Times New Roman"/>
          <w:sz w:val="22"/>
          <w:lang w:val="sr-Cyrl-RS"/>
        </w:rPr>
        <w:t xml:space="preserve"> Нека постојећа радна места биће замењена као резултат промена у привреди са мање на ефикасније, са високоугљ</w:t>
      </w:r>
      <w:r w:rsidR="001122DD" w:rsidRPr="00EF2F18">
        <w:rPr>
          <w:rFonts w:cs="Times New Roman"/>
          <w:sz w:val="22"/>
          <w:lang w:val="sr-Cyrl-RS"/>
        </w:rPr>
        <w:t>ен</w:t>
      </w:r>
      <w:r w:rsidRPr="00EF2F18">
        <w:rPr>
          <w:rFonts w:cs="Times New Roman"/>
          <w:sz w:val="22"/>
          <w:lang w:val="sr-Cyrl-RS"/>
        </w:rPr>
        <w:t>ичних на нискоугљеничне и са више на мање загађујуће технологије, процесе и производе. Ове промене могу бити постепене или изненадне, и вероватно ће се десити и унутар и између индустрија. Оне имају импликације на профиле занимања и потребе за вештинама.</w:t>
      </w:r>
    </w:p>
    <w:p w14:paraId="36F66D40" w14:textId="02F1ECEF" w:rsidR="00EE6F5A" w:rsidRDefault="00BD0B1C" w:rsidP="00753384">
      <w:pPr>
        <w:spacing w:after="0"/>
        <w:ind w:firstLine="720"/>
        <w:jc w:val="both"/>
        <w:rPr>
          <w:rFonts w:cs="Times New Roman"/>
          <w:sz w:val="22"/>
          <w:lang w:val="sr-Cyrl-RS"/>
        </w:rPr>
      </w:pPr>
      <w:r w:rsidRPr="00EF2F18">
        <w:rPr>
          <w:rFonts w:cs="Times New Roman"/>
          <w:b/>
          <w:sz w:val="22"/>
          <w:lang w:val="sr-Cyrl-RS"/>
        </w:rPr>
        <w:t>Укидање радних места.</w:t>
      </w:r>
      <w:r w:rsidRPr="00EF2F18">
        <w:rPr>
          <w:rFonts w:cs="Times New Roman"/>
          <w:sz w:val="22"/>
          <w:lang w:val="sr-Cyrl-RS"/>
        </w:rPr>
        <w:t xml:space="preserve"> Одређени послови могу бити постепено укинути без директне замене. Ово се може десити у оним секторима у којима се загађујуће и енергетски и материјално интензивне економске активности смањују или у потпуности укидају. Већа ефикасност у употреби енергије, материјала и воде (заједно са повећањем рециклаже материјала и поновне употребе производа) могла би довести до значајног губитка радних места у примарним секторима. Као што је случај са отварањем радних места, постоје индиректни и индуковани ефекти елиминације радних места због експанзије производа, услуга и инфраструктуре</w:t>
      </w:r>
      <w:r w:rsidR="00753384">
        <w:rPr>
          <w:rFonts w:cs="Times New Roman"/>
          <w:sz w:val="22"/>
          <w:lang w:val="sr-Cyrl-RS"/>
        </w:rPr>
        <w:t xml:space="preserve"> са ниским нивоом угљеника.</w:t>
      </w:r>
    </w:p>
    <w:p w14:paraId="161B35E3" w14:textId="77777777" w:rsidR="00BB078D" w:rsidRPr="00EF2F18" w:rsidRDefault="00BB078D" w:rsidP="00753384">
      <w:pPr>
        <w:spacing w:after="0"/>
        <w:ind w:firstLine="720"/>
        <w:jc w:val="both"/>
        <w:rPr>
          <w:rFonts w:cs="Times New Roman"/>
          <w:sz w:val="22"/>
          <w:lang w:val="sr-Cyrl-RS"/>
        </w:rPr>
      </w:pPr>
    </w:p>
    <w:p w14:paraId="01821532" w14:textId="46AD3EC3" w:rsidR="00BD0B1C" w:rsidRPr="00EF2F18" w:rsidRDefault="00BD0B1C" w:rsidP="00BD0B1C">
      <w:pPr>
        <w:spacing w:after="0"/>
        <w:ind w:firstLine="720"/>
        <w:jc w:val="both"/>
        <w:rPr>
          <w:rFonts w:cs="Times New Roman"/>
          <w:sz w:val="22"/>
          <w:lang w:val="sr-Cyrl-RS"/>
        </w:rPr>
      </w:pPr>
      <w:r w:rsidRPr="00EF2F18">
        <w:rPr>
          <w:rFonts w:cs="Times New Roman"/>
          <w:b/>
          <w:sz w:val="22"/>
          <w:lang w:val="sr-Cyrl-RS"/>
        </w:rPr>
        <w:lastRenderedPageBreak/>
        <w:t>Трансформација и редефинисање радних места.</w:t>
      </w:r>
      <w:r w:rsidRPr="00EF2F18">
        <w:rPr>
          <w:rFonts w:cs="Times New Roman"/>
          <w:sz w:val="22"/>
          <w:lang w:val="sr-Cyrl-RS"/>
        </w:rPr>
        <w:t xml:space="preserve"> Многи, а можда и већина постојећих радника (као што су водоинсталатери, електричари, грађевински радници и радници из металског комплекса) ће се суочити са трансформацијом и редефинисањем својих послова како се свакодневне праксе на радном месту, скупови вештина, методе рада и профили посла буду „озелењавали</w:t>
      </w:r>
      <w:r w:rsidR="00A36EEC" w:rsidRPr="00EF2F18">
        <w:rPr>
          <w:rFonts w:cs="Times New Roman"/>
          <w:sz w:val="22"/>
          <w:lang w:val="sr-Cyrl-RS"/>
        </w:rPr>
        <w:t>”</w:t>
      </w:r>
      <w:r w:rsidRPr="00EF2F18">
        <w:rPr>
          <w:rFonts w:cs="Times New Roman"/>
          <w:sz w:val="22"/>
          <w:lang w:val="sr-Cyrl-RS"/>
        </w:rPr>
        <w:t>.</w:t>
      </w:r>
    </w:p>
    <w:p w14:paraId="7673DACE" w14:textId="69874496"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Одређене делатности су више изложене директном утицају предложених мера Зелене агенде. Овај утицај је најочигледнији у делатностима као што су: </w:t>
      </w:r>
      <w:r w:rsidR="00001518" w:rsidRPr="00EF2F18">
        <w:rPr>
          <w:rFonts w:cs="Times New Roman"/>
          <w:sz w:val="22"/>
          <w:lang w:val="sr-Cyrl-RS"/>
        </w:rPr>
        <w:t xml:space="preserve">енергетске делатности, </w:t>
      </w:r>
      <w:r w:rsidRPr="00EF2F18">
        <w:rPr>
          <w:rFonts w:cs="Times New Roman"/>
          <w:sz w:val="22"/>
          <w:lang w:val="sr-Cyrl-RS"/>
        </w:rPr>
        <w:t>с</w:t>
      </w:r>
      <w:r w:rsidR="009D243A" w:rsidRPr="00EF2F18">
        <w:rPr>
          <w:rFonts w:cs="Times New Roman"/>
          <w:sz w:val="22"/>
          <w:lang w:val="sr-Cyrl-RS"/>
        </w:rPr>
        <w:t>а</w:t>
      </w:r>
      <w:r w:rsidRPr="00EF2F18">
        <w:rPr>
          <w:rFonts w:cs="Times New Roman"/>
          <w:sz w:val="22"/>
          <w:lang w:val="sr-Cyrl-RS"/>
        </w:rPr>
        <w:t>купљање, третман и одлагање отпада; поновно искориш</w:t>
      </w:r>
      <w:r w:rsidR="00872C7C" w:rsidRPr="00EF2F18">
        <w:rPr>
          <w:rFonts w:cs="Times New Roman"/>
          <w:sz w:val="22"/>
          <w:lang w:val="sr-Cyrl-RS"/>
        </w:rPr>
        <w:t>ћ</w:t>
      </w:r>
      <w:r w:rsidRPr="00EF2F18">
        <w:rPr>
          <w:rFonts w:cs="Times New Roman"/>
          <w:sz w:val="22"/>
          <w:lang w:val="sr-Cyrl-RS"/>
        </w:rPr>
        <w:t xml:space="preserve">авање отпадних материја; санација, рекултивација и друге услуге у области управљања отпадом. </w:t>
      </w:r>
    </w:p>
    <w:p w14:paraId="559E0127" w14:textId="42BFCDA2"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Променама су изложени и други сектори, пре свега пољопривреда, шумарство и рибарство, рударство, грађевинарство, делови прерађивачке индустрије (посебно производња прехрамбених производа и производња пића, те производња моторних возила, производња рачунара, електронских и оптичких производа, производња електричне опреме), трговина на велико и мало</w:t>
      </w:r>
      <w:r w:rsidR="009D243A" w:rsidRPr="00EF2F18">
        <w:rPr>
          <w:rFonts w:cs="Times New Roman"/>
          <w:sz w:val="22"/>
          <w:lang w:val="sr-Cyrl-RS"/>
        </w:rPr>
        <w:t xml:space="preserve"> и </w:t>
      </w:r>
      <w:r w:rsidRPr="00EF2F18">
        <w:rPr>
          <w:rFonts w:cs="Times New Roman"/>
          <w:sz w:val="22"/>
          <w:lang w:val="sr-Cyrl-RS"/>
        </w:rPr>
        <w:t>поправка моторних возила.</w:t>
      </w:r>
    </w:p>
    <w:p w14:paraId="20E0B063" w14:textId="010CED2A"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Током изградње и</w:t>
      </w:r>
      <w:r w:rsidR="00BC6E34">
        <w:rPr>
          <w:rFonts w:cs="Times New Roman"/>
          <w:sz w:val="22"/>
          <w:lang w:val="sr-Cyrl-RS"/>
        </w:rPr>
        <w:t>н</w:t>
      </w:r>
      <w:r w:rsidRPr="00EF2F18">
        <w:rPr>
          <w:rFonts w:cs="Times New Roman"/>
          <w:sz w:val="22"/>
          <w:lang w:val="sr-Cyrl-RS"/>
        </w:rPr>
        <w:t>фраструктуре (</w:t>
      </w:r>
      <w:r w:rsidR="009D243A" w:rsidRPr="00EF2F18">
        <w:rPr>
          <w:rFonts w:cs="Times New Roman"/>
          <w:sz w:val="22"/>
          <w:lang w:val="sr-Cyrl-RS"/>
        </w:rPr>
        <w:t>нпр.</w:t>
      </w:r>
      <w:r w:rsidRPr="00EF2F18">
        <w:rPr>
          <w:rFonts w:cs="Times New Roman"/>
          <w:sz w:val="22"/>
          <w:lang w:val="sr-Cyrl-RS"/>
        </w:rPr>
        <w:t xml:space="preserve"> постројења за отпадне воде, моноинсинератора, монодепонија и осталих физичких елемената система за управљање отпадом, изградње ветропаркова, постављања соларних панела и слично) повећа</w:t>
      </w:r>
      <w:r w:rsidR="009D243A" w:rsidRPr="00EF2F18">
        <w:rPr>
          <w:rFonts w:cs="Times New Roman"/>
          <w:sz w:val="22"/>
          <w:lang w:val="sr-Cyrl-RS"/>
        </w:rPr>
        <w:t>ћ</w:t>
      </w:r>
      <w:r w:rsidRPr="00EF2F18">
        <w:rPr>
          <w:rFonts w:cs="Times New Roman"/>
          <w:sz w:val="22"/>
          <w:lang w:val="sr-Cyrl-RS"/>
        </w:rPr>
        <w:t xml:space="preserve">е се тражња за грађевинским радницима. По отпочињању функционисања ових постројења и депонија повећаће се тражња како за кадровима са високим степеном образовања (пре свега инжењерима), </w:t>
      </w:r>
      <w:r w:rsidR="009D243A" w:rsidRPr="00EF2F18">
        <w:rPr>
          <w:rFonts w:cs="Times New Roman"/>
          <w:sz w:val="22"/>
          <w:lang w:val="sr-Cyrl-RS"/>
        </w:rPr>
        <w:t>као</w:t>
      </w:r>
      <w:r w:rsidRPr="00EF2F18">
        <w:rPr>
          <w:rFonts w:cs="Times New Roman"/>
          <w:sz w:val="22"/>
          <w:lang w:val="sr-Cyrl-RS"/>
        </w:rPr>
        <w:t xml:space="preserve"> и за кадровима нижих степена образовања (радници на одржавању, возачи, чувари</w:t>
      </w:r>
      <w:r w:rsidR="009D243A" w:rsidRPr="00EF2F18">
        <w:rPr>
          <w:rFonts w:cs="Times New Roman"/>
          <w:sz w:val="22"/>
          <w:lang w:val="sr-Cyrl-RS"/>
        </w:rPr>
        <w:t>, итд.</w:t>
      </w:r>
      <w:r w:rsidRPr="00EF2F18">
        <w:rPr>
          <w:rFonts w:cs="Times New Roman"/>
          <w:sz w:val="22"/>
          <w:lang w:val="sr-Cyrl-RS"/>
        </w:rPr>
        <w:t>).</w:t>
      </w:r>
    </w:p>
    <w:p w14:paraId="66DB8C18" w14:textId="7F35CC2D" w:rsidR="00BD0B1C" w:rsidRPr="00EF2F18" w:rsidRDefault="00001518" w:rsidP="00BD0B1C">
      <w:pPr>
        <w:spacing w:after="0"/>
        <w:ind w:firstLine="720"/>
        <w:jc w:val="both"/>
        <w:rPr>
          <w:rFonts w:cs="Times New Roman"/>
          <w:sz w:val="22"/>
          <w:lang w:val="sr-Cyrl-RS"/>
        </w:rPr>
      </w:pPr>
      <w:r w:rsidRPr="00EF2F18">
        <w:rPr>
          <w:rFonts w:cs="Times New Roman"/>
          <w:sz w:val="22"/>
          <w:lang w:val="sr-Cyrl-RS"/>
        </w:rPr>
        <w:t>Производња и с</w:t>
      </w:r>
      <w:r w:rsidR="00BD0B1C" w:rsidRPr="00EF2F18">
        <w:rPr>
          <w:rFonts w:cs="Times New Roman"/>
          <w:sz w:val="22"/>
          <w:lang w:val="sr-Cyrl-RS"/>
        </w:rPr>
        <w:t xml:space="preserve">набдевање електричном енергијом је сектор који је значајно подложан утицају предложених мера, услед </w:t>
      </w:r>
      <w:r w:rsidR="00C578F8" w:rsidRPr="00EF2F18">
        <w:rPr>
          <w:rFonts w:cs="Times New Roman"/>
          <w:sz w:val="22"/>
          <w:lang w:val="sr-Cyrl-RS"/>
        </w:rPr>
        <w:t xml:space="preserve">процеса декарбонизације и </w:t>
      </w:r>
      <w:r w:rsidR="00BD0B1C" w:rsidRPr="00EF2F18">
        <w:rPr>
          <w:rFonts w:cs="Times New Roman"/>
          <w:sz w:val="22"/>
          <w:lang w:val="sr-Cyrl-RS"/>
        </w:rPr>
        <w:t>интензивнијег коришћења обновљивих извора енергије у производним процесима, али и услед повећања употребе електричне енергије у саобраћају. Када је реч о услужним делатностима, доминантни су индиректни ефекти, с обзиром на чињеницу да би се део дохотка потрошача могао више преусмерити на овај сектор. Поред тога, на услужни сектор може утицати и повећан значај одређених активности које су потребне као подршка зеленој економији.</w:t>
      </w:r>
    </w:p>
    <w:p w14:paraId="0F9A7586" w14:textId="77777777"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Без обзира на коначни нето ефекат на запосленост, мере предвиђене Стратегијом ће довести до значајне редистрибуције запослености међу секторима. Међутим, чак и ако не дође до значајније промене броја запослених у одређеном сектору, могуће је да ће измене производних процеса у складу са предвиђеним мерама изазвати модификације у знањима и вештинама радника који су потребни за обављање одређеног посла. Поред тога, креирана и затворена радна места не подразумевају иста знања, вештине и врсте задатака које треба обавити. Такође, измењена структура запослености по делатностима појачава потребу за преквалификацијама које би олакшале прелазак запослених из једног сектора у други. Сви ови фактори указују на потребу за значајном прилагодљивости понуде радне снаге.</w:t>
      </w:r>
    </w:p>
    <w:p w14:paraId="339B525F" w14:textId="77777777"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У пракси се често јавља инертност у реаговању и прилагођавању понуде рада на промене у тражњи за одређеним знањима и вештинама, што може изазвати неравнотежу и неусклађеност понуде и тражње на тржишту рада. Доступност добро обучене и квалификоване радне снаге није само потенцијални акцелератор транзиције у складу са Зеленом агендом, већ́ може и да је успори у случају постојања великог јаза између потребних и доступних знања и вештина.</w:t>
      </w:r>
    </w:p>
    <w:p w14:paraId="68B3E54B" w14:textId="7558F7C6" w:rsidR="00BD0B1C" w:rsidRDefault="00BD0B1C" w:rsidP="00BD0B1C">
      <w:pPr>
        <w:spacing w:after="0"/>
        <w:ind w:firstLine="720"/>
        <w:jc w:val="both"/>
        <w:rPr>
          <w:rFonts w:cs="Times New Roman"/>
          <w:sz w:val="22"/>
          <w:lang w:val="sr-Cyrl-RS"/>
        </w:rPr>
      </w:pPr>
      <w:r w:rsidRPr="00EF2F18">
        <w:rPr>
          <w:rFonts w:cs="Times New Roman"/>
          <w:sz w:val="22"/>
          <w:lang w:val="sr-Cyrl-RS"/>
        </w:rPr>
        <w:t>Важно је нагласити да транзиција у складу са Зеленом агендом није независан феномен – она се одвија у условима дигитализације и аутоматизације, уз демографске промене које су усмерене ка старењу становништва. Те међусобно повезане процесе, а посебно њихов утицај на тржиште рада је понекад тешко посматрати изоловано. Очекује се да ће њихов заједнички утицај довести до раста у јазу између потребних и доступних знања и вештина на тржишту рада, уколико не дође до одговарајућих прилагођавања у систему образовања и обука. Брзо усвајање нових технологија од стране привреде, како у процесу дигитализације тако и у оквиру транзиције у складу са Зеленом агендом, чини основне дигиталне вештине, уз прихватање концепта целоживотног учења и континуиран приступ обукама изузетно важним. Поред тога, дужи животни и радни век може додатно да подстакне нове моделе образовања оријентисане ка целоживотном учењу, који омогућавају радницима да мењају, допуњују и усавршавају вештине током свог читавог радног века.</w:t>
      </w:r>
    </w:p>
    <w:p w14:paraId="71265DC3" w14:textId="77777777" w:rsidR="00BB078D" w:rsidRPr="00EF2F18" w:rsidRDefault="00BB078D" w:rsidP="00BD0B1C">
      <w:pPr>
        <w:spacing w:after="0"/>
        <w:ind w:firstLine="720"/>
        <w:jc w:val="both"/>
        <w:rPr>
          <w:rFonts w:cs="Times New Roman"/>
          <w:sz w:val="22"/>
          <w:lang w:val="sr-Cyrl-RS"/>
        </w:rPr>
      </w:pPr>
    </w:p>
    <w:p w14:paraId="6AFF7252" w14:textId="77777777"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lastRenderedPageBreak/>
        <w:t>Општи налази указују на то да већина зелених радних места захтева само надоградњу постојећих скупова вештина, а не развој потпуно нових. На пример, грађевинска предузећа која се баве реновирањем зграда и станова захтеваће раднике с традиционалним грађевинским вештинама и савременим знањима о енергетској ефикасности.</w:t>
      </w:r>
    </w:p>
    <w:p w14:paraId="64D19ABD" w14:textId="151EF4CF"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Вештине које су неопходне за развој дигиталне економије могу бити потребне и за транзицију у складу са Зеленом агендом и обрнуто. Посматрано у том међусобно повезаном контексту, доћи ће до општег пораста тражње за међусекторским компетенцијама, као што су, на пример, комуникацијске вештине и вештине повезане са </w:t>
      </w:r>
      <w:r w:rsidRPr="00EF2F18">
        <w:rPr>
          <w:rFonts w:cs="Times New Roman"/>
          <w:i/>
          <w:iCs/>
          <w:sz w:val="22"/>
          <w:lang w:val="sr-Cyrl-RS"/>
        </w:rPr>
        <w:t>STEM</w:t>
      </w:r>
      <w:r w:rsidRPr="00EF2F18">
        <w:rPr>
          <w:rFonts w:cs="Times New Roman"/>
          <w:sz w:val="22"/>
          <w:lang w:val="sr-Cyrl-RS"/>
        </w:rPr>
        <w:t xml:space="preserve"> знањем (</w:t>
      </w:r>
      <w:r w:rsidRPr="00EF2F18">
        <w:rPr>
          <w:rFonts w:cs="Times New Roman"/>
          <w:i/>
          <w:sz w:val="22"/>
          <w:lang w:val="sr-Cyrl-RS"/>
        </w:rPr>
        <w:t>Science, Technology, Engineering, Mathematics</w:t>
      </w:r>
      <w:r w:rsidRPr="00EF2F18">
        <w:rPr>
          <w:rFonts w:cs="Times New Roman"/>
          <w:sz w:val="22"/>
          <w:lang w:val="sr-Cyrl-RS"/>
        </w:rPr>
        <w:t>), које су посебно значајне у контексту развоја у складу са Зеленом агендом.</w:t>
      </w:r>
    </w:p>
    <w:p w14:paraId="582A34AD" w14:textId="3D63B761"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Реализација Стратегије </w:t>
      </w:r>
      <w:r w:rsidR="00C578F8" w:rsidRPr="00EF2F18">
        <w:rPr>
          <w:rFonts w:cs="Times New Roman"/>
          <w:sz w:val="22"/>
          <w:lang w:val="sr-Cyrl-RS"/>
        </w:rPr>
        <w:t xml:space="preserve">уз спровођење мера праведне енергетске транзиције дефинисаних посебним документом </w:t>
      </w:r>
      <w:r w:rsidRPr="00EF2F18">
        <w:rPr>
          <w:rFonts w:cs="Times New Roman"/>
          <w:sz w:val="22"/>
          <w:lang w:val="sr-Cyrl-RS"/>
        </w:rPr>
        <w:t xml:space="preserve">би могла да утиче на побољшање социјалне ситуације у свим оним регионима у којима би се извршило инвестирање у различита постројења због запошљавања нове радне снаге током и после изградње инфраструктуре, повећања тражње за радном снагом </w:t>
      </w:r>
      <w:r w:rsidR="00F40494" w:rsidRPr="00EF2F18">
        <w:rPr>
          <w:rFonts w:cs="Times New Roman"/>
          <w:sz w:val="22"/>
          <w:lang w:val="sr-Cyrl-RS"/>
        </w:rPr>
        <w:t xml:space="preserve">услед </w:t>
      </w:r>
      <w:r w:rsidRPr="00EF2F18">
        <w:rPr>
          <w:rFonts w:cs="Times New Roman"/>
          <w:sz w:val="22"/>
          <w:lang w:val="sr-Cyrl-RS"/>
        </w:rPr>
        <w:t>развоја туризма</w:t>
      </w:r>
      <w:r w:rsidR="00F40494" w:rsidRPr="00EF2F18">
        <w:rPr>
          <w:rFonts w:cs="Times New Roman"/>
          <w:sz w:val="22"/>
          <w:lang w:val="sr-Cyrl-RS"/>
        </w:rPr>
        <w:t xml:space="preserve"> и предузетништва, </w:t>
      </w:r>
      <w:r w:rsidRPr="00EF2F18">
        <w:rPr>
          <w:rFonts w:cs="Times New Roman"/>
          <w:sz w:val="22"/>
          <w:lang w:val="sr-Cyrl-RS"/>
        </w:rPr>
        <w:t>као и због повећања вредности имовине становништва.</w:t>
      </w:r>
    </w:p>
    <w:p w14:paraId="46F5BA6C" w14:textId="064F4933" w:rsidR="00BD0B1C" w:rsidRPr="00EF2F18" w:rsidRDefault="00BD0B1C" w:rsidP="00BD0B1C">
      <w:pPr>
        <w:spacing w:after="0"/>
        <w:ind w:firstLine="720"/>
        <w:jc w:val="both"/>
        <w:rPr>
          <w:rFonts w:cs="Times New Roman"/>
          <w:sz w:val="22"/>
          <w:lang w:val="sr-Cyrl-RS"/>
        </w:rPr>
      </w:pPr>
      <w:r w:rsidRPr="00EF2F18">
        <w:rPr>
          <w:rFonts w:cs="Times New Roman"/>
          <w:sz w:val="22"/>
          <w:lang w:val="sr-Cyrl-RS"/>
        </w:rPr>
        <w:t xml:space="preserve">Реализација ове </w:t>
      </w:r>
      <w:r w:rsidR="00EE6F5A" w:rsidRPr="00EF2F18">
        <w:rPr>
          <w:rFonts w:cs="Times New Roman"/>
          <w:sz w:val="22"/>
          <w:lang w:val="sr-Cyrl-RS"/>
        </w:rPr>
        <w:t xml:space="preserve">стратегије </w:t>
      </w:r>
      <w:r w:rsidRPr="00EF2F18">
        <w:rPr>
          <w:rFonts w:cs="Times New Roman"/>
          <w:sz w:val="22"/>
          <w:lang w:val="sr-Cyrl-RS"/>
        </w:rPr>
        <w:t>нема утицаја на промене у финансирању, квалитету или доступности система социјалне заштите, здравственог система или система образовања, посебно у смислу једнаког приступа услугама и правима за осетљиве</w:t>
      </w:r>
      <w:r w:rsidR="00667E01" w:rsidRPr="00EF2F18">
        <w:rPr>
          <w:rFonts w:cs="Times New Roman"/>
          <w:sz w:val="22"/>
          <w:lang w:val="sr-Cyrl-RS"/>
        </w:rPr>
        <w:t xml:space="preserve"> друштвене</w:t>
      </w:r>
      <w:r w:rsidRPr="00EF2F18">
        <w:rPr>
          <w:rFonts w:cs="Times New Roman"/>
          <w:sz w:val="22"/>
          <w:lang w:val="sr-Cyrl-RS"/>
        </w:rPr>
        <w:t xml:space="preserve"> групе.</w:t>
      </w:r>
    </w:p>
    <w:p w14:paraId="2A837C23" w14:textId="3F835A2A" w:rsidR="00A656EF" w:rsidRPr="00EF2F18" w:rsidRDefault="00A656EF" w:rsidP="00BD0B1C">
      <w:pPr>
        <w:spacing w:after="0"/>
        <w:ind w:firstLine="720"/>
        <w:jc w:val="both"/>
        <w:rPr>
          <w:rFonts w:cs="Times New Roman"/>
          <w:sz w:val="22"/>
          <w:lang w:val="sr-Cyrl-RS"/>
        </w:rPr>
      </w:pPr>
      <w:r w:rsidRPr="00EF2F18">
        <w:rPr>
          <w:rFonts w:cs="Times New Roman"/>
          <w:sz w:val="22"/>
          <w:lang w:val="sr-Cyrl-RS"/>
        </w:rPr>
        <w:t xml:space="preserve">Трошкови које ће ефекти мера реализације ове </w:t>
      </w:r>
      <w:r w:rsidR="00EE6F5A" w:rsidRPr="00EF2F18">
        <w:rPr>
          <w:rFonts w:cs="Times New Roman"/>
          <w:sz w:val="22"/>
          <w:lang w:val="sr-Cyrl-RS"/>
        </w:rPr>
        <w:t xml:space="preserve">стратегије </w:t>
      </w:r>
      <w:r w:rsidRPr="00EF2F18">
        <w:rPr>
          <w:rFonts w:cs="Times New Roman"/>
          <w:sz w:val="22"/>
          <w:lang w:val="sr-Cyrl-RS"/>
        </w:rPr>
        <w:t xml:space="preserve">проузроковати нису укључени у укупне трошкове реализације ове </w:t>
      </w:r>
      <w:r w:rsidR="00EE6F5A" w:rsidRPr="00EF2F18">
        <w:rPr>
          <w:rFonts w:cs="Times New Roman"/>
          <w:sz w:val="22"/>
          <w:lang w:val="sr-Cyrl-RS"/>
        </w:rPr>
        <w:t>стратегије</w:t>
      </w:r>
      <w:r w:rsidR="00C578F8" w:rsidRPr="00EF2F18">
        <w:rPr>
          <w:rFonts w:cs="Times New Roman"/>
          <w:sz w:val="22"/>
          <w:lang w:val="sr-Cyrl-RS"/>
        </w:rPr>
        <w:t xml:space="preserve">, нарочито са аспекта праведне енергетске транзиције, </w:t>
      </w:r>
      <w:r w:rsidRPr="00EF2F18">
        <w:rPr>
          <w:rFonts w:cs="Times New Roman"/>
          <w:sz w:val="22"/>
          <w:lang w:val="sr-Cyrl-RS"/>
        </w:rPr>
        <w:t>већ ће бити дефинисани другим стратешким документима.</w:t>
      </w:r>
    </w:p>
    <w:p w14:paraId="1491852B" w14:textId="511CC1C3" w:rsidR="005F61B8" w:rsidRPr="00EF2F18" w:rsidRDefault="005F61B8" w:rsidP="004A70CF">
      <w:pPr>
        <w:spacing w:after="0"/>
        <w:ind w:firstLine="720"/>
        <w:jc w:val="both"/>
        <w:rPr>
          <w:rFonts w:cs="Times New Roman"/>
          <w:sz w:val="22"/>
          <w:lang w:val="sr-Cyrl-RS"/>
        </w:rPr>
      </w:pPr>
    </w:p>
    <w:p w14:paraId="11C18515" w14:textId="0178FD4F" w:rsidR="009A0959" w:rsidRPr="00EF2F18" w:rsidRDefault="009A0959" w:rsidP="00F931FD">
      <w:pPr>
        <w:spacing w:after="0"/>
        <w:ind w:firstLine="720"/>
        <w:jc w:val="both"/>
        <w:rPr>
          <w:rFonts w:cs="Times New Roman"/>
          <w:b/>
          <w:bCs/>
          <w:i/>
          <w:iCs/>
          <w:sz w:val="22"/>
          <w:lang w:val="sr-Cyrl-RS"/>
        </w:rPr>
      </w:pPr>
      <w:r w:rsidRPr="00EF2F18">
        <w:rPr>
          <w:rFonts w:cs="Times New Roman"/>
          <w:b/>
          <w:bCs/>
          <w:i/>
          <w:iCs/>
          <w:sz w:val="22"/>
          <w:lang w:val="sr-Cyrl-RS"/>
        </w:rPr>
        <w:t>Ефекти на животну средину</w:t>
      </w:r>
    </w:p>
    <w:p w14:paraId="284E58B5" w14:textId="7EDB4C9C" w:rsidR="00C6207E" w:rsidRPr="00EF2F18" w:rsidRDefault="00C6207E" w:rsidP="00C6207E">
      <w:pPr>
        <w:spacing w:after="0"/>
        <w:ind w:firstLine="720"/>
        <w:jc w:val="both"/>
        <w:rPr>
          <w:rFonts w:cs="Times New Roman"/>
          <w:sz w:val="22"/>
          <w:shd w:val="clear" w:color="auto" w:fill="FFFFFF"/>
          <w:lang w:val="sr-Cyrl-RS"/>
        </w:rPr>
      </w:pPr>
      <w:r w:rsidRPr="00EF2F18">
        <w:rPr>
          <w:rFonts w:cs="Times New Roman"/>
          <w:sz w:val="22"/>
          <w:lang w:val="sr-Cyrl-RS"/>
        </w:rPr>
        <w:t xml:space="preserve">Спровођење Стратегије допринеће </w:t>
      </w:r>
      <w:r w:rsidRPr="00EF2F18">
        <w:rPr>
          <w:rFonts w:cs="Times New Roman"/>
          <w:sz w:val="22"/>
          <w:shd w:val="clear" w:color="auto" w:fill="FFFFFF"/>
          <w:lang w:val="sr-Cyrl-RS"/>
        </w:rPr>
        <w:t>смањењу загађења и емисија гасова са ефектом стаклене баште, као и мању зависност од фосилних горива, веће коришћење обновљиве енергије и боље управљање отпадом</w:t>
      </w:r>
      <w:r w:rsidR="00BB4BEE" w:rsidRPr="00EF2F18">
        <w:rPr>
          <w:rFonts w:cs="Times New Roman"/>
          <w:sz w:val="22"/>
          <w:shd w:val="clear" w:color="auto" w:fill="FFFFFF"/>
          <w:lang w:val="sr-Cyrl-RS"/>
        </w:rPr>
        <w:t>, као и смањењу пожара на депонијама</w:t>
      </w:r>
      <w:r w:rsidRPr="00EF2F18">
        <w:rPr>
          <w:rFonts w:cs="Times New Roman"/>
          <w:sz w:val="22"/>
          <w:shd w:val="clear" w:color="auto" w:fill="FFFFFF"/>
          <w:lang w:val="sr-Cyrl-RS"/>
        </w:rPr>
        <w:t>.</w:t>
      </w:r>
      <w:r w:rsidR="00815F2E" w:rsidRPr="00EF2F18">
        <w:rPr>
          <w:rFonts w:cs="Times New Roman"/>
          <w:sz w:val="22"/>
          <w:shd w:val="clear" w:color="auto" w:fill="FFFFFF"/>
          <w:lang w:val="sr-Cyrl-RS"/>
        </w:rPr>
        <w:t xml:space="preserve"> Такође ће допринети</w:t>
      </w:r>
      <w:r w:rsidR="005E42D2" w:rsidRPr="00EF2F18">
        <w:rPr>
          <w:rFonts w:cs="Times New Roman"/>
          <w:sz w:val="22"/>
          <w:shd w:val="clear" w:color="auto" w:fill="FFFFFF"/>
          <w:lang w:val="sr-Cyrl-RS"/>
        </w:rPr>
        <w:t xml:space="preserve"> </w:t>
      </w:r>
      <w:r w:rsidRPr="00EF2F18">
        <w:rPr>
          <w:sz w:val="22"/>
          <w:lang w:val="sr-Cyrl-RS"/>
        </w:rPr>
        <w:t>чистијем ваздуху и смањењу здравствених проблема изазваних загађењем ваздуха.</w:t>
      </w:r>
      <w:r w:rsidR="00815F2E" w:rsidRPr="00EF2F18">
        <w:rPr>
          <w:sz w:val="22"/>
          <w:lang w:val="sr-Cyrl-RS"/>
        </w:rPr>
        <w:t xml:space="preserve"> Могло би се очекивати смањење количине загађујућих материја (нпр. NO</w:t>
      </w:r>
      <w:r w:rsidR="00815F2E" w:rsidRPr="00EF2F18">
        <w:rPr>
          <w:sz w:val="22"/>
          <w:vertAlign w:val="subscript"/>
          <w:lang w:val="sr-Cyrl-RS"/>
        </w:rPr>
        <w:t>X</w:t>
      </w:r>
      <w:r w:rsidR="00815F2E" w:rsidRPr="00EF2F18">
        <w:rPr>
          <w:sz w:val="22"/>
          <w:lang w:val="sr-Cyrl-RS"/>
        </w:rPr>
        <w:t xml:space="preserve">, </w:t>
      </w:r>
      <w:r w:rsidR="00BB2E4A" w:rsidRPr="00EF2F18">
        <w:rPr>
          <w:sz w:val="22"/>
          <w:lang w:val="sr-Cyrl-RS"/>
        </w:rPr>
        <w:t>S</w:t>
      </w:r>
      <w:r w:rsidR="00815F2E" w:rsidRPr="00EF2F18">
        <w:rPr>
          <w:sz w:val="22"/>
          <w:lang w:val="sr-Cyrl-RS"/>
        </w:rPr>
        <w:t>O</w:t>
      </w:r>
      <w:r w:rsidR="00815F2E" w:rsidRPr="00EF2F18">
        <w:rPr>
          <w:sz w:val="22"/>
          <w:vertAlign w:val="subscript"/>
          <w:lang w:val="sr-Cyrl-RS"/>
        </w:rPr>
        <w:t>X</w:t>
      </w:r>
      <w:r w:rsidR="00815F2E" w:rsidRPr="00EF2F18">
        <w:rPr>
          <w:sz w:val="22"/>
          <w:lang w:val="sr-Cyrl-RS"/>
        </w:rPr>
        <w:t>, испуштања опасних материја у воду, отпад који настаје) повезаних са јединицом БДП-а или додатом вредношћу привреде у целини и појединим секторима посебно. Као и код интензитета употребе ресурса, интензитети загађења по јединици производа су већи у Републици Србији него у већини држава чланица ЕУ.</w:t>
      </w:r>
    </w:p>
    <w:p w14:paraId="299119E6" w14:textId="2DAE3092" w:rsidR="006C2846" w:rsidRPr="00EF2F18" w:rsidRDefault="00387E65" w:rsidP="00BB078D">
      <w:pPr>
        <w:spacing w:after="0"/>
        <w:ind w:firstLine="720"/>
        <w:jc w:val="both"/>
        <w:rPr>
          <w:rFonts w:cs="Times New Roman"/>
          <w:sz w:val="22"/>
          <w:lang w:val="sr-Cyrl-RS"/>
        </w:rPr>
      </w:pPr>
      <w:r w:rsidRPr="00EF2F18">
        <w:rPr>
          <w:rFonts w:cs="Times New Roman"/>
          <w:sz w:val="22"/>
          <w:lang w:val="sr-Cyrl-RS"/>
        </w:rPr>
        <w:t xml:space="preserve">Ефекти на животну средину ће бити представљени кроз Извештај о стратешкој процени утицаја на животну средину, који се израђује за ову </w:t>
      </w:r>
      <w:r w:rsidR="00EE6F5A" w:rsidRPr="00EF2F18">
        <w:rPr>
          <w:rFonts w:cs="Times New Roman"/>
          <w:sz w:val="22"/>
          <w:lang w:val="sr-Cyrl-RS"/>
        </w:rPr>
        <w:t>стратегију</w:t>
      </w:r>
      <w:r w:rsidR="00DB350F" w:rsidRPr="00EF2F18">
        <w:rPr>
          <w:rFonts w:cs="Times New Roman"/>
          <w:sz w:val="22"/>
          <w:lang w:val="sr-Cyrl-RS"/>
        </w:rPr>
        <w:t>.</w:t>
      </w:r>
    </w:p>
    <w:p w14:paraId="300CF97C" w14:textId="77777777" w:rsidR="005C7BF4" w:rsidRPr="00EF2F18" w:rsidRDefault="005C7BF4" w:rsidP="00C6207E">
      <w:pPr>
        <w:spacing w:after="0"/>
        <w:ind w:firstLine="720"/>
        <w:jc w:val="both"/>
        <w:rPr>
          <w:rFonts w:cs="Times New Roman"/>
          <w:sz w:val="22"/>
          <w:lang w:val="sr-Cyrl-RS"/>
        </w:rPr>
      </w:pPr>
    </w:p>
    <w:p w14:paraId="4BA6F305" w14:textId="4E0A2DC8" w:rsidR="001D398C" w:rsidRPr="00EF2F18" w:rsidRDefault="00281C40" w:rsidP="00F931FD">
      <w:pPr>
        <w:pStyle w:val="Heading1"/>
        <w:numPr>
          <w:ilvl w:val="0"/>
          <w:numId w:val="2"/>
        </w:numPr>
        <w:jc w:val="center"/>
        <w:rPr>
          <w:rFonts w:cs="Times New Roman"/>
          <w:sz w:val="22"/>
          <w:szCs w:val="22"/>
          <w:lang w:val="sr-Cyrl-RS"/>
        </w:rPr>
      </w:pPr>
      <w:bookmarkStart w:id="144" w:name="_Toc158307747"/>
      <w:r w:rsidRPr="00EF2F18">
        <w:rPr>
          <w:rFonts w:cs="Times New Roman"/>
          <w:sz w:val="22"/>
          <w:szCs w:val="22"/>
          <w:lang w:val="sr-Cyrl-RS"/>
        </w:rPr>
        <w:t>МЕХАНИЗ</w:t>
      </w:r>
      <w:r w:rsidR="002D2B52" w:rsidRPr="00EF2F18">
        <w:rPr>
          <w:rFonts w:cs="Times New Roman"/>
          <w:sz w:val="22"/>
          <w:szCs w:val="22"/>
          <w:lang w:val="sr-Cyrl-RS"/>
        </w:rPr>
        <w:t>АМ</w:t>
      </w:r>
      <w:r w:rsidRPr="00EF2F18">
        <w:rPr>
          <w:rFonts w:cs="Times New Roman"/>
          <w:sz w:val="22"/>
          <w:szCs w:val="22"/>
          <w:lang w:val="sr-Cyrl-RS"/>
        </w:rPr>
        <w:t xml:space="preserve"> ЗА СПРОВОЂЕЊЕ</w:t>
      </w:r>
      <w:r w:rsidR="00C951E1" w:rsidRPr="00EF2F18">
        <w:rPr>
          <w:rFonts w:cs="Times New Roman"/>
          <w:sz w:val="22"/>
          <w:szCs w:val="22"/>
          <w:lang w:val="sr-Cyrl-RS"/>
        </w:rPr>
        <w:t xml:space="preserve">, </w:t>
      </w:r>
      <w:r w:rsidR="0045255F" w:rsidRPr="00EF2F18">
        <w:rPr>
          <w:rFonts w:cs="Times New Roman"/>
          <w:sz w:val="22"/>
          <w:szCs w:val="22"/>
          <w:lang w:val="sr-Cyrl-RS"/>
        </w:rPr>
        <w:t xml:space="preserve">ПРАЋЕЊЕ СПРОВОЂЕЊА </w:t>
      </w:r>
      <w:r w:rsidR="00F2107B" w:rsidRPr="00EF2F18">
        <w:rPr>
          <w:rFonts w:cs="Times New Roman"/>
          <w:sz w:val="22"/>
          <w:szCs w:val="22"/>
          <w:lang w:val="sr-Cyrl-RS"/>
        </w:rPr>
        <w:t>СТРАТЕГИЈЕ</w:t>
      </w:r>
      <w:r w:rsidR="001D398C" w:rsidRPr="00EF2F18">
        <w:rPr>
          <w:rFonts w:cs="Times New Roman"/>
          <w:sz w:val="22"/>
          <w:szCs w:val="22"/>
          <w:lang w:val="sr-Cyrl-RS"/>
        </w:rPr>
        <w:t xml:space="preserve"> И НАЧИН </w:t>
      </w:r>
      <w:r w:rsidR="00FB7412" w:rsidRPr="00EF2F18">
        <w:rPr>
          <w:rFonts w:cs="Times New Roman"/>
          <w:sz w:val="22"/>
          <w:szCs w:val="22"/>
          <w:lang w:val="sr-Cyrl-RS"/>
        </w:rPr>
        <w:t>ИЗВЕШТАВАЊ</w:t>
      </w:r>
      <w:r w:rsidR="001D398C" w:rsidRPr="00EF2F18">
        <w:rPr>
          <w:rFonts w:cs="Times New Roman"/>
          <w:sz w:val="22"/>
          <w:szCs w:val="22"/>
          <w:lang w:val="sr-Cyrl-RS"/>
        </w:rPr>
        <w:t>А</w:t>
      </w:r>
      <w:bookmarkEnd w:id="144"/>
    </w:p>
    <w:p w14:paraId="49389943" w14:textId="1B5C7BE1" w:rsidR="001D6C6A" w:rsidRPr="00EF2F18" w:rsidRDefault="001D6C6A" w:rsidP="001D6C6A">
      <w:pPr>
        <w:rPr>
          <w:rFonts w:cs="Times New Roman"/>
          <w:sz w:val="22"/>
          <w:lang w:val="sr-Cyrl-RS"/>
        </w:rPr>
      </w:pPr>
    </w:p>
    <w:p w14:paraId="40B6573B" w14:textId="0A1FF078" w:rsidR="005103AD" w:rsidRPr="00EF2F18" w:rsidRDefault="005103AD" w:rsidP="005878D3">
      <w:pPr>
        <w:spacing w:after="0"/>
        <w:ind w:firstLine="720"/>
        <w:jc w:val="both"/>
        <w:rPr>
          <w:sz w:val="22"/>
          <w:lang w:val="sr-Cyrl-RS"/>
        </w:rPr>
      </w:pPr>
      <w:r w:rsidRPr="00EF2F18">
        <w:rPr>
          <w:sz w:val="22"/>
          <w:lang w:val="sr-Cyrl-RS"/>
        </w:rPr>
        <w:t>За спровођење Стратегије задужени су органи државне управе, у складу са својим надлежностима прописаним Законом о министарствима. Сваки орган државне управе је у обавези да у сара</w:t>
      </w:r>
      <w:r w:rsidR="00451D1A" w:rsidRPr="00EF2F18">
        <w:rPr>
          <w:sz w:val="22"/>
          <w:lang w:val="sr-Cyrl-RS"/>
        </w:rPr>
        <w:t>д</w:t>
      </w:r>
      <w:r w:rsidRPr="00EF2F18">
        <w:rPr>
          <w:sz w:val="22"/>
          <w:lang w:val="sr-Cyrl-RS"/>
        </w:rPr>
        <w:t xml:space="preserve">њи са другим релевантним органима, у предвиђеним роковима, обезбеди потребне ресурсе и спроведе активности утврђене акционим планом Стратегије, за који је надлежан. У ту сврху, </w:t>
      </w:r>
      <w:r w:rsidR="00BC6E34">
        <w:rPr>
          <w:sz w:val="22"/>
          <w:lang w:val="sr-Cyrl-RS"/>
        </w:rPr>
        <w:t>мере и активности утврђене Страт</w:t>
      </w:r>
      <w:r w:rsidRPr="00EF2F18">
        <w:rPr>
          <w:sz w:val="22"/>
          <w:lang w:val="sr-Cyrl-RS"/>
        </w:rPr>
        <w:t xml:space="preserve">егијом и </w:t>
      </w:r>
      <w:r w:rsidR="003B54A5" w:rsidRPr="00EF2F18">
        <w:rPr>
          <w:sz w:val="22"/>
          <w:lang w:val="sr-Cyrl-RS"/>
        </w:rPr>
        <w:t>А</w:t>
      </w:r>
      <w:r w:rsidRPr="00EF2F18">
        <w:rPr>
          <w:sz w:val="22"/>
          <w:lang w:val="sr-Cyrl-RS"/>
        </w:rPr>
        <w:t xml:space="preserve">кционим планом, планирају у својим средњорочним плановима, као приоритетне. </w:t>
      </w:r>
    </w:p>
    <w:p w14:paraId="2E3D58C9" w14:textId="2CC39C21" w:rsidR="005103AD" w:rsidRPr="00EF2F18" w:rsidRDefault="005103AD" w:rsidP="005878D3">
      <w:pPr>
        <w:spacing w:after="0"/>
        <w:ind w:firstLine="720"/>
        <w:jc w:val="both"/>
        <w:rPr>
          <w:sz w:val="22"/>
          <w:lang w:val="sr-Cyrl-RS"/>
        </w:rPr>
      </w:pPr>
      <w:r w:rsidRPr="00EF2F18">
        <w:rPr>
          <w:sz w:val="22"/>
          <w:lang w:val="sr-Cyrl-RS"/>
        </w:rPr>
        <w:t xml:space="preserve">Органи државне управе и други државни органи, који су означени као партнери и/или који имају у својој надлежности питања од значаја за ефикасно спровођење мера/активности у </w:t>
      </w:r>
      <w:r w:rsidR="00E4362D" w:rsidRPr="00EF2F18">
        <w:rPr>
          <w:sz w:val="22"/>
          <w:lang w:val="sr-Cyrl-RS"/>
        </w:rPr>
        <w:t>А</w:t>
      </w:r>
      <w:r w:rsidRPr="00EF2F18">
        <w:rPr>
          <w:sz w:val="22"/>
          <w:lang w:val="sr-Cyrl-RS"/>
        </w:rPr>
        <w:t xml:space="preserve">кционом плану Стратегије, дужни су да благовремено одговоре на захтеве надлежног органа како би се умањили ризици и осигурало ефикасно спровођење тих мера/активности. </w:t>
      </w:r>
    </w:p>
    <w:p w14:paraId="0283F582" w14:textId="65F8E375" w:rsidR="005103AD" w:rsidRPr="00EF2F18" w:rsidRDefault="005103AD" w:rsidP="005878D3">
      <w:pPr>
        <w:spacing w:after="0"/>
        <w:ind w:firstLine="720"/>
        <w:jc w:val="both"/>
        <w:rPr>
          <w:sz w:val="22"/>
          <w:lang w:val="sr-Cyrl-RS"/>
        </w:rPr>
      </w:pPr>
      <w:r w:rsidRPr="00EF2F18">
        <w:rPr>
          <w:sz w:val="22"/>
          <w:lang w:val="sr-Cyrl-RS"/>
        </w:rPr>
        <w:t>Спровођење Стр</w:t>
      </w:r>
      <w:r w:rsidR="005878D3" w:rsidRPr="00EF2F18">
        <w:rPr>
          <w:sz w:val="22"/>
          <w:lang w:val="sr-Cyrl-RS"/>
        </w:rPr>
        <w:t>a</w:t>
      </w:r>
      <w:r w:rsidRPr="00EF2F18">
        <w:rPr>
          <w:sz w:val="22"/>
          <w:lang w:val="sr-Cyrl-RS"/>
        </w:rPr>
        <w:t>тегије, односно достизање утврђених циљева, подразумева и ангажовање органа аутономне покрајине, јединица локалне самоуправе, привредних субјеката, организација цивилног друштва, академске заједнице, као и самих грађана. С тим у вези, надлежни органи мере/активн</w:t>
      </w:r>
      <w:r w:rsidR="005878D3" w:rsidRPr="00EF2F18">
        <w:rPr>
          <w:sz w:val="22"/>
          <w:lang w:val="sr-Cyrl-RS"/>
        </w:rPr>
        <w:t>o</w:t>
      </w:r>
      <w:r w:rsidRPr="00EF2F18">
        <w:rPr>
          <w:sz w:val="22"/>
          <w:lang w:val="sr-Cyrl-RS"/>
        </w:rPr>
        <w:t xml:space="preserve">сти за које </w:t>
      </w:r>
      <w:r w:rsidR="007966AE" w:rsidRPr="00EF2F18">
        <w:rPr>
          <w:sz w:val="22"/>
          <w:lang w:val="sr-Cyrl-RS"/>
        </w:rPr>
        <w:t>с</w:t>
      </w:r>
      <w:r w:rsidRPr="00EF2F18">
        <w:rPr>
          <w:sz w:val="22"/>
          <w:lang w:val="sr-Cyrl-RS"/>
        </w:rPr>
        <w:t xml:space="preserve">у надлежни треба да спроводе на транспарентан и </w:t>
      </w:r>
      <w:r w:rsidRPr="00EF2F18">
        <w:rPr>
          <w:sz w:val="22"/>
          <w:lang w:val="sr-Cyrl-RS"/>
        </w:rPr>
        <w:lastRenderedPageBreak/>
        <w:t xml:space="preserve">инклузиван начин, као и да обезбеде </w:t>
      </w:r>
      <w:bookmarkStart w:id="145" w:name="_Hlk176153648"/>
      <w:r w:rsidR="00536924" w:rsidRPr="00EF2F18">
        <w:rPr>
          <w:sz w:val="22"/>
          <w:lang w:val="sr-Cyrl-RS"/>
        </w:rPr>
        <w:t>благовременe информације ради учешћа заинтересованих страна и јавности, што је од значаја за ефикасно спровођење планираних мера/активности</w:t>
      </w:r>
      <w:bookmarkEnd w:id="145"/>
      <w:r w:rsidRPr="00EF2F18">
        <w:rPr>
          <w:sz w:val="22"/>
          <w:lang w:val="sr-Cyrl-RS"/>
        </w:rPr>
        <w:t>.</w:t>
      </w:r>
    </w:p>
    <w:p w14:paraId="1B6E3194" w14:textId="77777777" w:rsidR="005103AD" w:rsidRPr="00EF2F18" w:rsidRDefault="005103AD" w:rsidP="005878D3">
      <w:pPr>
        <w:spacing w:after="0"/>
        <w:ind w:firstLine="720"/>
        <w:jc w:val="both"/>
        <w:rPr>
          <w:sz w:val="22"/>
          <w:lang w:val="sr-Cyrl-RS"/>
        </w:rPr>
      </w:pPr>
      <w:r w:rsidRPr="00EF2F18">
        <w:rPr>
          <w:sz w:val="22"/>
          <w:lang w:val="sr-Cyrl-RS"/>
        </w:rPr>
        <w:t>Надлежни орган за спровођење одређене мере/активности, као и орган одговоран за координацију спровођења Стратегије, могу да предложе оснивање посебних радних група ради ефикасније коородинације међуресорне сарадње и сарадње са заинтересованим странама ради спровођења одређених мера/активности, као и ефикасног праћења њиховог спровођења.</w:t>
      </w:r>
    </w:p>
    <w:p w14:paraId="6D70BAD4" w14:textId="3F9585F0" w:rsidR="005103AD" w:rsidRPr="00EF2F18" w:rsidRDefault="005103AD" w:rsidP="005878D3">
      <w:pPr>
        <w:spacing w:after="0"/>
        <w:ind w:firstLine="720"/>
        <w:jc w:val="both"/>
        <w:rPr>
          <w:sz w:val="22"/>
          <w:lang w:val="sr-Cyrl-RS"/>
        </w:rPr>
      </w:pPr>
      <w:r w:rsidRPr="00EF2F18">
        <w:rPr>
          <w:sz w:val="22"/>
          <w:lang w:val="sr-Cyrl-RS"/>
        </w:rPr>
        <w:t xml:space="preserve">Праћење спровођења Стратегије подразумева прикупљање података и информација у току спровођења Стратегије, односно њеног </w:t>
      </w:r>
      <w:r w:rsidR="00A7765B" w:rsidRPr="00EF2F18">
        <w:rPr>
          <w:sz w:val="22"/>
          <w:lang w:val="sr-Cyrl-RS"/>
        </w:rPr>
        <w:t>А</w:t>
      </w:r>
      <w:r w:rsidRPr="00EF2F18">
        <w:rPr>
          <w:sz w:val="22"/>
          <w:lang w:val="sr-Cyrl-RS"/>
        </w:rPr>
        <w:t xml:space="preserve">кционог </w:t>
      </w:r>
      <w:r w:rsidR="00BC6E34">
        <w:rPr>
          <w:sz w:val="22"/>
          <w:lang w:val="sr-Cyrl-RS"/>
        </w:rPr>
        <w:t>плана, ради идентификовања евен</w:t>
      </w:r>
      <w:r w:rsidRPr="00EF2F18">
        <w:rPr>
          <w:sz w:val="22"/>
          <w:lang w:val="sr-Cyrl-RS"/>
        </w:rPr>
        <w:t>т</w:t>
      </w:r>
      <w:r w:rsidR="00BC6E34">
        <w:rPr>
          <w:sz w:val="22"/>
          <w:lang w:val="sr-Cyrl-RS"/>
        </w:rPr>
        <w:t>у</w:t>
      </w:r>
      <w:r w:rsidRPr="00EF2F18">
        <w:rPr>
          <w:sz w:val="22"/>
          <w:lang w:val="sr-Cyrl-RS"/>
        </w:rPr>
        <w:t>алних изаз</w:t>
      </w:r>
      <w:r w:rsidR="003D7D5F" w:rsidRPr="00EF2F18">
        <w:rPr>
          <w:sz w:val="22"/>
          <w:lang w:val="sr-Cyrl-RS"/>
        </w:rPr>
        <w:t>о</w:t>
      </w:r>
      <w:r w:rsidRPr="00EF2F18">
        <w:rPr>
          <w:sz w:val="22"/>
          <w:lang w:val="sr-Cyrl-RS"/>
        </w:rPr>
        <w:t>ва, тешкоћа и потенци</w:t>
      </w:r>
      <w:r w:rsidR="003D7D5F" w:rsidRPr="00EF2F18">
        <w:rPr>
          <w:sz w:val="22"/>
          <w:lang w:val="sr-Cyrl-RS"/>
        </w:rPr>
        <w:t>ј</w:t>
      </w:r>
      <w:r w:rsidRPr="00EF2F18">
        <w:rPr>
          <w:sz w:val="22"/>
          <w:lang w:val="sr-Cyrl-RS"/>
        </w:rPr>
        <w:t>алних ризика у спровођењу, како би се благовремено отклониле све евентуалне препреке и предузели потребни кораци за достизање утврђених циљева у планираним роковима. Сви надлежни органи, као и партнери у спровођењу Стратегије и акционог плана су у обавези да органу надлежном за координацију спровођења и праћење напретка у спровођењу Стратегије доставе пот</w:t>
      </w:r>
      <w:r w:rsidR="00F170EE">
        <w:rPr>
          <w:sz w:val="22"/>
          <w:lang w:val="sr-Cyrl-RS"/>
        </w:rPr>
        <w:t>ребне податке и инфо</w:t>
      </w:r>
      <w:r w:rsidRPr="00EF2F18">
        <w:rPr>
          <w:sz w:val="22"/>
          <w:lang w:val="sr-Cyrl-RS"/>
        </w:rPr>
        <w:t>р</w:t>
      </w:r>
      <w:r w:rsidR="00F170EE">
        <w:rPr>
          <w:sz w:val="22"/>
          <w:lang w:val="sr-Cyrl-RS"/>
        </w:rPr>
        <w:t>м</w:t>
      </w:r>
      <w:r w:rsidRPr="00EF2F18">
        <w:rPr>
          <w:sz w:val="22"/>
          <w:lang w:val="sr-Cyrl-RS"/>
        </w:rPr>
        <w:t xml:space="preserve">ације, у роковима предвиђеним овом </w:t>
      </w:r>
      <w:r w:rsidR="00516CB8" w:rsidRPr="00EF2F18">
        <w:rPr>
          <w:sz w:val="22"/>
          <w:lang w:val="sr-Cyrl-RS"/>
        </w:rPr>
        <w:t xml:space="preserve">стрaтегијом </w:t>
      </w:r>
      <w:r w:rsidRPr="00EF2F18">
        <w:rPr>
          <w:sz w:val="22"/>
          <w:lang w:val="sr-Cyrl-RS"/>
        </w:rPr>
        <w:t xml:space="preserve">у складу са Законом о планском систему </w:t>
      </w:r>
      <w:r w:rsidR="00516CB8" w:rsidRPr="00516CB8">
        <w:rPr>
          <w:bCs/>
          <w:sz w:val="22"/>
          <w:lang w:val="sr-Cyrl-RS"/>
        </w:rPr>
        <w:t>Републике Србије</w:t>
      </w:r>
      <w:r w:rsidR="00516CB8">
        <w:rPr>
          <w:sz w:val="22"/>
          <w:lang w:val="sr-Cyrl-RS"/>
        </w:rPr>
        <w:t xml:space="preserve"> </w:t>
      </w:r>
      <w:r w:rsidRPr="00EF2F18">
        <w:rPr>
          <w:sz w:val="22"/>
          <w:lang w:val="sr-Cyrl-RS"/>
        </w:rPr>
        <w:t xml:space="preserve">или и чешће на захтев надлежног органа. </w:t>
      </w:r>
    </w:p>
    <w:p w14:paraId="18BC5379" w14:textId="06729E06" w:rsidR="005103AD" w:rsidRPr="00EF2F18" w:rsidRDefault="005103AD" w:rsidP="005878D3">
      <w:pPr>
        <w:spacing w:after="0"/>
        <w:ind w:firstLine="720"/>
        <w:jc w:val="both"/>
        <w:rPr>
          <w:sz w:val="22"/>
          <w:lang w:val="sr-Cyrl-RS"/>
        </w:rPr>
      </w:pPr>
      <w:r w:rsidRPr="00EF2F18">
        <w:rPr>
          <w:sz w:val="22"/>
          <w:lang w:val="sr-Cyrl-RS"/>
        </w:rPr>
        <w:t>За координацију спровођења, праћења спровођења и извештавање о напретку у достизању циљева Стра</w:t>
      </w:r>
      <w:r w:rsidR="005878D3" w:rsidRPr="00EF2F18">
        <w:rPr>
          <w:sz w:val="22"/>
          <w:lang w:val="sr-Cyrl-RS"/>
        </w:rPr>
        <w:t>т</w:t>
      </w:r>
      <w:r w:rsidRPr="00EF2F18">
        <w:rPr>
          <w:sz w:val="22"/>
          <w:lang w:val="sr-Cyrl-RS"/>
        </w:rPr>
        <w:t>егије задужено је министарство надлежно за послове заштите животне средине, док су за поједине стубове, односно опште и посебне циљеве Стратегије задужена и друга министарства у скла</w:t>
      </w:r>
      <w:r w:rsidR="00516CB8">
        <w:rPr>
          <w:sz w:val="22"/>
          <w:lang w:val="sr-Cyrl-RS"/>
        </w:rPr>
        <w:t>ду са својим надлежностима. У та</w:t>
      </w:r>
      <w:r w:rsidRPr="00EF2F18">
        <w:rPr>
          <w:sz w:val="22"/>
          <w:lang w:val="sr-Cyrl-RS"/>
        </w:rPr>
        <w:t xml:space="preserve">бели </w:t>
      </w:r>
      <w:r w:rsidR="005878D3" w:rsidRPr="00EF2F18">
        <w:rPr>
          <w:sz w:val="22"/>
          <w:lang w:val="sr-Cyrl-RS"/>
        </w:rPr>
        <w:t>су</w:t>
      </w:r>
      <w:r w:rsidRPr="00EF2F18">
        <w:rPr>
          <w:sz w:val="22"/>
          <w:lang w:val="sr-Cyrl-RS"/>
        </w:rPr>
        <w:t xml:space="preserve"> приказана задужења органа државне управе </w:t>
      </w:r>
      <w:r w:rsidR="00536924" w:rsidRPr="00EF2F18">
        <w:rPr>
          <w:sz w:val="22"/>
          <w:lang w:val="sr-Cyrl-RS"/>
        </w:rPr>
        <w:t>у односу на опште и посебне циљеве Стратегије</w:t>
      </w:r>
      <w:r w:rsidRPr="00EF2F18">
        <w:rPr>
          <w:sz w:val="22"/>
          <w:lang w:val="sr-Cyrl-RS"/>
        </w:rPr>
        <w:t>.</w:t>
      </w:r>
    </w:p>
    <w:p w14:paraId="1CCEC2AF" w14:textId="77777777" w:rsidR="005878D3" w:rsidRPr="00EF2F18" w:rsidRDefault="005878D3" w:rsidP="005878D3">
      <w:pPr>
        <w:spacing w:after="0"/>
        <w:jc w:val="both"/>
        <w:rPr>
          <w:sz w:val="22"/>
          <w:lang w:val="sr-Cyrl-RS"/>
        </w:rPr>
      </w:pPr>
    </w:p>
    <w:p w14:paraId="0BDB178F" w14:textId="192917D0" w:rsidR="005103AD" w:rsidRPr="00EF2F18" w:rsidRDefault="005103AD" w:rsidP="005878D3">
      <w:pPr>
        <w:spacing w:after="0"/>
        <w:jc w:val="both"/>
        <w:rPr>
          <w:sz w:val="22"/>
          <w:lang w:val="sr-Cyrl-RS"/>
        </w:rPr>
      </w:pPr>
      <w:r w:rsidRPr="00EF2F18">
        <w:rPr>
          <w:b/>
          <w:bCs/>
          <w:sz w:val="22"/>
          <w:lang w:val="sr-Cyrl-RS"/>
        </w:rPr>
        <w:t>Табела</w:t>
      </w:r>
      <w:r w:rsidR="005878D3" w:rsidRPr="00EF2F18">
        <w:rPr>
          <w:b/>
          <w:bCs/>
          <w:sz w:val="22"/>
          <w:lang w:val="sr-Cyrl-RS"/>
        </w:rPr>
        <w:t xml:space="preserve"> 8.1.</w:t>
      </w:r>
      <w:r w:rsidRPr="00EF2F18">
        <w:rPr>
          <w:sz w:val="22"/>
          <w:lang w:val="sr-Cyrl-RS"/>
        </w:rPr>
        <w:t xml:space="preserve"> Преглед министарстава задужених за координацију спровођења и праћење напретка у спровођењу Стратегије и </w:t>
      </w:r>
      <w:r w:rsidR="00747137" w:rsidRPr="00EF2F18">
        <w:rPr>
          <w:sz w:val="22"/>
          <w:lang w:val="sr-Cyrl-RS"/>
        </w:rPr>
        <w:t>A</w:t>
      </w:r>
      <w:r w:rsidRPr="00EF2F18">
        <w:rPr>
          <w:sz w:val="22"/>
          <w:lang w:val="sr-Cyrl-RS"/>
        </w:rPr>
        <w:t>кционог плана</w:t>
      </w:r>
    </w:p>
    <w:tbl>
      <w:tblPr>
        <w:tblStyle w:val="GridTable1Light"/>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5389"/>
        <w:gridCol w:w="2373"/>
      </w:tblGrid>
      <w:tr w:rsidR="00B56DEF" w:rsidRPr="00EF2F18" w14:paraId="768079C3" w14:textId="77777777" w:rsidTr="005257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Borders>
              <w:bottom w:val="none" w:sz="0" w:space="0" w:color="auto"/>
            </w:tcBorders>
            <w:shd w:val="clear" w:color="auto" w:fill="FFFFCC"/>
            <w:vAlign w:val="center"/>
            <w:hideMark/>
          </w:tcPr>
          <w:p w14:paraId="6F23912D" w14:textId="77777777" w:rsidR="005103AD" w:rsidRPr="00EF2F18" w:rsidRDefault="005103AD" w:rsidP="00B56DEF">
            <w:pPr>
              <w:spacing w:after="0"/>
              <w:jc w:val="center"/>
              <w:rPr>
                <w:sz w:val="22"/>
                <w:lang w:val="sr-Cyrl-RS"/>
              </w:rPr>
            </w:pPr>
            <w:r w:rsidRPr="00EF2F18">
              <w:rPr>
                <w:sz w:val="22"/>
                <w:lang w:val="sr-Cyrl-RS"/>
              </w:rPr>
              <w:t>Шифра циља</w:t>
            </w:r>
          </w:p>
        </w:tc>
        <w:tc>
          <w:tcPr>
            <w:tcW w:w="5389" w:type="dxa"/>
            <w:tcBorders>
              <w:bottom w:val="none" w:sz="0" w:space="0" w:color="auto"/>
            </w:tcBorders>
            <w:shd w:val="clear" w:color="auto" w:fill="FFFFCC"/>
            <w:vAlign w:val="center"/>
            <w:hideMark/>
          </w:tcPr>
          <w:p w14:paraId="42856F72" w14:textId="77777777" w:rsidR="005103AD" w:rsidRPr="00EF2F18" w:rsidRDefault="005103AD" w:rsidP="00B56DEF">
            <w:pPr>
              <w:spacing w:after="0"/>
              <w:cnfStyle w:val="100000000000" w:firstRow="1" w:lastRow="0" w:firstColumn="0" w:lastColumn="0" w:oddVBand="0" w:evenVBand="0" w:oddHBand="0" w:evenHBand="0" w:firstRowFirstColumn="0" w:firstRowLastColumn="0" w:lastRowFirstColumn="0" w:lastRowLastColumn="0"/>
              <w:rPr>
                <w:sz w:val="22"/>
                <w:lang w:val="sr-Cyrl-RS"/>
              </w:rPr>
            </w:pPr>
            <w:r w:rsidRPr="00EF2F18">
              <w:rPr>
                <w:sz w:val="22"/>
                <w:lang w:val="sr-Cyrl-RS"/>
              </w:rPr>
              <w:t>Назив општих и посебних циљева</w:t>
            </w:r>
          </w:p>
        </w:tc>
        <w:tc>
          <w:tcPr>
            <w:tcW w:w="2373" w:type="dxa"/>
            <w:tcBorders>
              <w:bottom w:val="none" w:sz="0" w:space="0" w:color="auto"/>
            </w:tcBorders>
            <w:shd w:val="clear" w:color="auto" w:fill="FFFFCC"/>
            <w:vAlign w:val="center"/>
            <w:hideMark/>
          </w:tcPr>
          <w:p w14:paraId="14114B3F" w14:textId="6D664C85" w:rsidR="005103AD" w:rsidRPr="00EF2F18" w:rsidRDefault="005103AD" w:rsidP="00B56DEF">
            <w:pPr>
              <w:spacing w:after="0"/>
              <w:cnfStyle w:val="100000000000" w:firstRow="1" w:lastRow="0" w:firstColumn="0" w:lastColumn="0" w:oddVBand="0" w:evenVBand="0" w:oddHBand="0" w:evenHBand="0" w:firstRowFirstColumn="0" w:firstRowLastColumn="0" w:lastRowFirstColumn="0" w:lastRowLastColumn="0"/>
              <w:rPr>
                <w:sz w:val="22"/>
                <w:lang w:val="sr-Cyrl-RS"/>
              </w:rPr>
            </w:pPr>
            <w:r w:rsidRPr="00EF2F18">
              <w:rPr>
                <w:sz w:val="22"/>
                <w:lang w:val="sr-Cyrl-RS"/>
              </w:rPr>
              <w:t>Министарство задужено за праћење</w:t>
            </w:r>
            <w:r w:rsidR="006454BA" w:rsidRPr="00EF2F18">
              <w:rPr>
                <w:sz w:val="22"/>
                <w:lang w:val="sr-Cyrl-RS"/>
              </w:rPr>
              <w:t>,</w:t>
            </w:r>
            <w:r w:rsidRPr="00EF2F18">
              <w:rPr>
                <w:sz w:val="22"/>
                <w:lang w:val="sr-Cyrl-RS"/>
              </w:rPr>
              <w:t xml:space="preserve"> спровођења и извештавање</w:t>
            </w:r>
          </w:p>
        </w:tc>
      </w:tr>
      <w:tr w:rsidR="003D7D5F" w:rsidRPr="00EF2F18" w14:paraId="0561CDD9"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39CC31CA" w14:textId="77777777" w:rsidR="005103AD" w:rsidRPr="00EF2F18" w:rsidRDefault="005103AD" w:rsidP="00B56DEF">
            <w:pPr>
              <w:spacing w:after="0"/>
              <w:jc w:val="both"/>
              <w:rPr>
                <w:sz w:val="22"/>
                <w:lang w:val="sr-Cyrl-RS"/>
              </w:rPr>
            </w:pPr>
            <w:r w:rsidRPr="00EF2F18">
              <w:rPr>
                <w:sz w:val="22"/>
                <w:lang w:val="sr-Cyrl-RS"/>
              </w:rPr>
              <w:t>Општи циљ 1.</w:t>
            </w:r>
          </w:p>
        </w:tc>
        <w:tc>
          <w:tcPr>
            <w:tcW w:w="5389" w:type="dxa"/>
            <w:hideMark/>
          </w:tcPr>
          <w:p w14:paraId="699EE746" w14:textId="3A9D2CD1"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cs="Times New Roman"/>
                <w:sz w:val="22"/>
                <w:lang w:val="sr-Cyrl-RS"/>
              </w:rPr>
              <w:t xml:space="preserve">Допринос угљеничној неутралности и повећање отпорности на климатске </w:t>
            </w:r>
            <w:r w:rsidR="00291415" w:rsidRPr="00EF2F18">
              <w:rPr>
                <w:rFonts w:cs="Times New Roman"/>
                <w:sz w:val="22"/>
                <w:lang w:val="sr-Cyrl-RS"/>
              </w:rPr>
              <w:t>промене</w:t>
            </w:r>
            <w:r w:rsidRPr="00EF2F18">
              <w:rPr>
                <w:rFonts w:cs="Times New Roman"/>
                <w:sz w:val="22"/>
                <w:lang w:val="sr-Cyrl-RS"/>
              </w:rPr>
              <w:t xml:space="preserve"> у складу са Зеленом агендом.</w:t>
            </w:r>
          </w:p>
        </w:tc>
        <w:tc>
          <w:tcPr>
            <w:tcW w:w="2373" w:type="dxa"/>
            <w:hideMark/>
          </w:tcPr>
          <w:p w14:paraId="101B60EB" w14:textId="007D1B8C"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72549027"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1422B355" w14:textId="71F04053" w:rsidR="005103AD" w:rsidRPr="00EF2F18" w:rsidRDefault="005103AD" w:rsidP="00B56DEF">
            <w:pPr>
              <w:spacing w:after="0"/>
              <w:jc w:val="both"/>
              <w:rPr>
                <w:sz w:val="22"/>
                <w:lang w:val="sr-Cyrl-RS"/>
              </w:rPr>
            </w:pPr>
            <w:r w:rsidRPr="00EF2F18">
              <w:rPr>
                <w:rFonts w:cs="Times New Roman"/>
                <w:sz w:val="22"/>
                <w:lang w:val="sr-Cyrl-RS"/>
              </w:rPr>
              <w:t>Посебан циљ 1.</w:t>
            </w:r>
            <w:r w:rsidR="002A2B86" w:rsidRPr="00EF2F18">
              <w:rPr>
                <w:rFonts w:cs="Times New Roman"/>
                <w:sz w:val="22"/>
                <w:lang w:val="sr-Cyrl-RS"/>
              </w:rPr>
              <w:t>1</w:t>
            </w:r>
            <w:r w:rsidR="003D7D5F" w:rsidRPr="00EF2F18">
              <w:rPr>
                <w:rFonts w:cs="Times New Roman"/>
                <w:sz w:val="22"/>
                <w:lang w:val="sr-Cyrl-RS"/>
              </w:rPr>
              <w:t>.</w:t>
            </w:r>
          </w:p>
        </w:tc>
        <w:tc>
          <w:tcPr>
            <w:tcW w:w="5389" w:type="dxa"/>
          </w:tcPr>
          <w:p w14:paraId="385741F3" w14:textId="0B373233"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Смањење емисија </w:t>
            </w:r>
            <w:r w:rsidRPr="00EF2F18">
              <w:rPr>
                <w:rFonts w:cs="Times New Roman"/>
                <w:i/>
                <w:iCs/>
                <w:sz w:val="22"/>
                <w:lang w:val="sr-Cyrl-RS"/>
              </w:rPr>
              <w:t>GHG</w:t>
            </w:r>
          </w:p>
        </w:tc>
        <w:tc>
          <w:tcPr>
            <w:tcW w:w="2373" w:type="dxa"/>
            <w:hideMark/>
          </w:tcPr>
          <w:p w14:paraId="0689DF9F" w14:textId="3F0F8723" w:rsidR="005103AD" w:rsidRPr="00EF2F18" w:rsidRDefault="005D3A4C"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1875B15E"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312B2D9E" w14:textId="0034B846" w:rsidR="005103AD" w:rsidRPr="00EF2F18" w:rsidRDefault="005103AD" w:rsidP="00B56DEF">
            <w:pPr>
              <w:spacing w:after="0"/>
              <w:jc w:val="both"/>
              <w:rPr>
                <w:sz w:val="22"/>
                <w:lang w:val="sr-Cyrl-RS"/>
              </w:rPr>
            </w:pPr>
            <w:r w:rsidRPr="00EF2F18">
              <w:rPr>
                <w:rFonts w:cs="Times New Roman"/>
                <w:sz w:val="22"/>
                <w:lang w:val="sr-Cyrl-RS"/>
              </w:rPr>
              <w:t>Посебан циљ 1.2</w:t>
            </w:r>
            <w:r w:rsidR="003D7D5F" w:rsidRPr="00EF2F18">
              <w:rPr>
                <w:rFonts w:cs="Times New Roman"/>
                <w:sz w:val="22"/>
                <w:lang w:val="sr-Cyrl-RS"/>
              </w:rPr>
              <w:t>.</w:t>
            </w:r>
          </w:p>
        </w:tc>
        <w:tc>
          <w:tcPr>
            <w:tcW w:w="5389" w:type="dxa"/>
          </w:tcPr>
          <w:p w14:paraId="6EAA36AE" w14:textId="3C374F6B" w:rsidR="005103AD" w:rsidRPr="00EF2F18" w:rsidRDefault="00A727FC"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Повећање отпорности на климатске промене</w:t>
            </w:r>
          </w:p>
        </w:tc>
        <w:tc>
          <w:tcPr>
            <w:tcW w:w="2373" w:type="dxa"/>
            <w:hideMark/>
          </w:tcPr>
          <w:p w14:paraId="1300958B"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49608A2E"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76221BA4" w14:textId="77777777" w:rsidR="005103AD" w:rsidRPr="00EF2F18" w:rsidRDefault="005103AD" w:rsidP="00B56DEF">
            <w:pPr>
              <w:spacing w:after="0"/>
              <w:jc w:val="both"/>
              <w:rPr>
                <w:sz w:val="22"/>
                <w:lang w:val="sr-Cyrl-RS"/>
              </w:rPr>
            </w:pPr>
            <w:r w:rsidRPr="00EF2F18">
              <w:rPr>
                <w:sz w:val="22"/>
                <w:lang w:val="sr-Cyrl-RS"/>
              </w:rPr>
              <w:t>Општи циљ 2.</w:t>
            </w:r>
          </w:p>
        </w:tc>
        <w:tc>
          <w:tcPr>
            <w:tcW w:w="5389" w:type="dxa"/>
            <w:hideMark/>
          </w:tcPr>
          <w:p w14:paraId="158B6123" w14:textId="27B5C5AE"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cs="Times New Roman"/>
                <w:sz w:val="22"/>
                <w:lang w:val="sr-Cyrl-RS"/>
              </w:rPr>
              <w:t>Примена принципа циркуларне економије ради унапређења заштите животне срединe и ресурсне ефикасности</w:t>
            </w:r>
          </w:p>
        </w:tc>
        <w:tc>
          <w:tcPr>
            <w:tcW w:w="2373" w:type="dxa"/>
            <w:hideMark/>
          </w:tcPr>
          <w:p w14:paraId="1F1A2740"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1596E3A9" w14:textId="77777777" w:rsidTr="006B4DF8">
        <w:trPr>
          <w:trHeight w:val="593"/>
        </w:trPr>
        <w:tc>
          <w:tcPr>
            <w:cnfStyle w:val="001000000000" w:firstRow="0" w:lastRow="0" w:firstColumn="1" w:lastColumn="0" w:oddVBand="0" w:evenVBand="0" w:oddHBand="0" w:evenHBand="0" w:firstRowFirstColumn="0" w:firstRowLastColumn="0" w:lastRowFirstColumn="0" w:lastRowLastColumn="0"/>
            <w:tcW w:w="0" w:type="dxa"/>
            <w:hideMark/>
          </w:tcPr>
          <w:p w14:paraId="17A1EEF0" w14:textId="420F5169" w:rsidR="005103AD" w:rsidRPr="00EF2F18" w:rsidRDefault="005103AD" w:rsidP="00B56DEF">
            <w:pPr>
              <w:spacing w:after="0"/>
              <w:jc w:val="both"/>
              <w:rPr>
                <w:sz w:val="22"/>
                <w:lang w:val="sr-Cyrl-RS"/>
              </w:rPr>
            </w:pPr>
            <w:r w:rsidRPr="00EF2F18">
              <w:rPr>
                <w:rFonts w:cs="Times New Roman"/>
                <w:sz w:val="22"/>
                <w:lang w:val="sr-Cyrl-RS"/>
              </w:rPr>
              <w:t>Посебан циљ 2.1</w:t>
            </w:r>
            <w:r w:rsidR="003D7D5F" w:rsidRPr="00EF2F18">
              <w:rPr>
                <w:rFonts w:cs="Times New Roman"/>
                <w:sz w:val="22"/>
                <w:lang w:val="sr-Cyrl-RS"/>
              </w:rPr>
              <w:t>.</w:t>
            </w:r>
          </w:p>
        </w:tc>
        <w:tc>
          <w:tcPr>
            <w:tcW w:w="0" w:type="dxa"/>
          </w:tcPr>
          <w:p w14:paraId="65B85F96" w14:textId="0EE39EBB"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Унапређење одрживог система управљања отпадом кроз ефикасније коришћење отпада у складу са ЕУ прописима </w:t>
            </w:r>
          </w:p>
        </w:tc>
        <w:tc>
          <w:tcPr>
            <w:tcW w:w="0" w:type="dxa"/>
            <w:hideMark/>
          </w:tcPr>
          <w:p w14:paraId="6D37ED48"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35C5E42C"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58A891A6" w14:textId="60B300CC" w:rsidR="005103AD" w:rsidRPr="00EF2F18" w:rsidRDefault="005103AD" w:rsidP="00B56DEF">
            <w:pPr>
              <w:spacing w:after="0"/>
              <w:jc w:val="both"/>
              <w:rPr>
                <w:sz w:val="22"/>
                <w:lang w:val="sr-Cyrl-RS"/>
              </w:rPr>
            </w:pPr>
            <w:r w:rsidRPr="00EF2F18">
              <w:rPr>
                <w:rFonts w:cs="Times New Roman"/>
                <w:sz w:val="22"/>
                <w:lang w:val="sr-Cyrl-RS"/>
              </w:rPr>
              <w:t>Посебан циљ 2.2</w:t>
            </w:r>
            <w:r w:rsidR="003D7D5F" w:rsidRPr="00EF2F18">
              <w:rPr>
                <w:rFonts w:cs="Times New Roman"/>
                <w:sz w:val="22"/>
                <w:lang w:val="sr-Cyrl-RS"/>
              </w:rPr>
              <w:t>.</w:t>
            </w:r>
          </w:p>
        </w:tc>
        <w:tc>
          <w:tcPr>
            <w:tcW w:w="5389" w:type="dxa"/>
          </w:tcPr>
          <w:p w14:paraId="540B3719" w14:textId="28E0B407"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Развијање циркуларне економије на бази индустријске симбиозе и повећања ресурсне ефикасности </w:t>
            </w:r>
          </w:p>
        </w:tc>
        <w:tc>
          <w:tcPr>
            <w:tcW w:w="2373" w:type="dxa"/>
            <w:hideMark/>
          </w:tcPr>
          <w:p w14:paraId="4D4D9E7C" w14:textId="6CF41F50" w:rsidR="005103AD" w:rsidRPr="00EF2F18" w:rsidRDefault="006454BA"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3D8A104C"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03CF3FC2" w14:textId="77777777" w:rsidR="005103AD" w:rsidRPr="00EF2F18" w:rsidRDefault="005103AD" w:rsidP="00B56DEF">
            <w:pPr>
              <w:spacing w:after="0"/>
              <w:jc w:val="both"/>
              <w:rPr>
                <w:sz w:val="22"/>
                <w:lang w:val="sr-Cyrl-RS"/>
              </w:rPr>
            </w:pPr>
            <w:r w:rsidRPr="00EF2F18">
              <w:rPr>
                <w:sz w:val="22"/>
                <w:lang w:val="sr-Cyrl-RS"/>
              </w:rPr>
              <w:t>Општи циљ 3.</w:t>
            </w:r>
          </w:p>
        </w:tc>
        <w:tc>
          <w:tcPr>
            <w:tcW w:w="5389" w:type="dxa"/>
            <w:hideMark/>
          </w:tcPr>
          <w:p w14:paraId="40CDABCD" w14:textId="77777777"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cs="Times New Roman"/>
                <w:sz w:val="22"/>
                <w:lang w:val="sr-Cyrl-RS"/>
              </w:rPr>
              <w:t>Унапређење квалитета животне средине смањењем загађења</w:t>
            </w:r>
          </w:p>
        </w:tc>
        <w:tc>
          <w:tcPr>
            <w:tcW w:w="2373" w:type="dxa"/>
            <w:hideMark/>
          </w:tcPr>
          <w:p w14:paraId="2D44A566"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428C6A64"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74A01011" w14:textId="4E32747D" w:rsidR="005103AD" w:rsidRPr="00EF2F18" w:rsidRDefault="005103AD" w:rsidP="00B56DEF">
            <w:pPr>
              <w:spacing w:after="0"/>
              <w:jc w:val="both"/>
              <w:rPr>
                <w:sz w:val="22"/>
                <w:lang w:val="sr-Cyrl-RS"/>
              </w:rPr>
            </w:pPr>
            <w:r w:rsidRPr="00EF2F18">
              <w:rPr>
                <w:rFonts w:cs="Times New Roman"/>
                <w:sz w:val="22"/>
                <w:lang w:val="sr-Cyrl-RS"/>
              </w:rPr>
              <w:t>Посебан циљ 3.1</w:t>
            </w:r>
            <w:r w:rsidR="003D7D5F" w:rsidRPr="00EF2F18">
              <w:rPr>
                <w:rFonts w:cs="Times New Roman"/>
                <w:sz w:val="22"/>
                <w:lang w:val="sr-Cyrl-RS"/>
              </w:rPr>
              <w:t>.</w:t>
            </w:r>
          </w:p>
        </w:tc>
        <w:tc>
          <w:tcPr>
            <w:tcW w:w="5389" w:type="dxa"/>
          </w:tcPr>
          <w:p w14:paraId="3B9561EC" w14:textId="77777777"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Побољшање квалитета ваздуха </w:t>
            </w:r>
          </w:p>
          <w:p w14:paraId="6CDA7D6A" w14:textId="77777777"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p>
        </w:tc>
        <w:tc>
          <w:tcPr>
            <w:tcW w:w="2373" w:type="dxa"/>
            <w:hideMark/>
          </w:tcPr>
          <w:p w14:paraId="150A2DD1"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1F8ECF78"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1FDA5266" w14:textId="00ABCC36" w:rsidR="005103AD" w:rsidRPr="00EF2F18" w:rsidRDefault="005103AD" w:rsidP="00B56DEF">
            <w:pPr>
              <w:spacing w:after="0"/>
              <w:jc w:val="both"/>
              <w:rPr>
                <w:sz w:val="22"/>
                <w:lang w:val="sr-Cyrl-RS"/>
              </w:rPr>
            </w:pPr>
            <w:r w:rsidRPr="00EF2F18">
              <w:rPr>
                <w:rFonts w:cs="Times New Roman"/>
                <w:sz w:val="22"/>
                <w:lang w:val="sr-Cyrl-RS"/>
              </w:rPr>
              <w:t>Посебан циљ 3.2</w:t>
            </w:r>
            <w:r w:rsidR="003D7D5F" w:rsidRPr="00EF2F18">
              <w:rPr>
                <w:rFonts w:cs="Times New Roman"/>
                <w:sz w:val="22"/>
                <w:lang w:val="sr-Cyrl-RS"/>
              </w:rPr>
              <w:t>.</w:t>
            </w:r>
          </w:p>
        </w:tc>
        <w:tc>
          <w:tcPr>
            <w:tcW w:w="5389" w:type="dxa"/>
          </w:tcPr>
          <w:p w14:paraId="7F42AC0D" w14:textId="3124FA1A"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Унапређење квалитета вода кроз интегрално управљање водама уз ефективну контролу загађења </w:t>
            </w:r>
          </w:p>
        </w:tc>
        <w:tc>
          <w:tcPr>
            <w:tcW w:w="2373" w:type="dxa"/>
            <w:hideMark/>
          </w:tcPr>
          <w:p w14:paraId="3BCF6CD4" w14:textId="528B7E15" w:rsidR="005103AD" w:rsidRPr="00EF2F18" w:rsidRDefault="005103AD" w:rsidP="00F931FD">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 xml:space="preserve">МПШВ </w:t>
            </w:r>
            <w:r w:rsidR="00F931FD" w:rsidRPr="00EF2F18">
              <w:rPr>
                <w:sz w:val="22"/>
                <w:lang w:val="sr-Cyrl-RS"/>
              </w:rPr>
              <w:t>–</w:t>
            </w:r>
            <w:r w:rsidRPr="00EF2F18">
              <w:rPr>
                <w:sz w:val="22"/>
                <w:lang w:val="sr-Cyrl-RS"/>
              </w:rPr>
              <w:t xml:space="preserve"> РД</w:t>
            </w:r>
            <w:r w:rsidR="003D7D5F" w:rsidRPr="00EF2F18">
              <w:rPr>
                <w:sz w:val="22"/>
                <w:lang w:val="sr-Cyrl-RS"/>
              </w:rPr>
              <w:t>В</w:t>
            </w:r>
          </w:p>
        </w:tc>
      </w:tr>
      <w:tr w:rsidR="003D7D5F" w:rsidRPr="00EF2F18" w14:paraId="5C77ABF8"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44B9E8E3" w14:textId="59C5DD33" w:rsidR="005103AD" w:rsidRPr="00EF2F18" w:rsidRDefault="005103AD" w:rsidP="00B56DEF">
            <w:pPr>
              <w:spacing w:after="0"/>
              <w:jc w:val="both"/>
              <w:rPr>
                <w:sz w:val="22"/>
                <w:lang w:val="sr-Cyrl-RS"/>
              </w:rPr>
            </w:pPr>
            <w:r w:rsidRPr="00EF2F18">
              <w:rPr>
                <w:rFonts w:cs="Times New Roman"/>
                <w:sz w:val="22"/>
                <w:lang w:val="sr-Cyrl-RS"/>
              </w:rPr>
              <w:t>Посебан циљ 3.3</w:t>
            </w:r>
            <w:r w:rsidR="003D7D5F" w:rsidRPr="00EF2F18">
              <w:rPr>
                <w:rFonts w:cs="Times New Roman"/>
                <w:sz w:val="22"/>
                <w:lang w:val="sr-Cyrl-RS"/>
              </w:rPr>
              <w:t>.</w:t>
            </w:r>
          </w:p>
        </w:tc>
        <w:tc>
          <w:tcPr>
            <w:tcW w:w="5389" w:type="dxa"/>
          </w:tcPr>
          <w:p w14:paraId="4023FB0F" w14:textId="09452CE5"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Унапређење продуктивности, стања и квалитета земљишта, спречавање деградације и контаминације земљишта </w:t>
            </w:r>
          </w:p>
        </w:tc>
        <w:tc>
          <w:tcPr>
            <w:tcW w:w="2373" w:type="dxa"/>
            <w:hideMark/>
          </w:tcPr>
          <w:p w14:paraId="3F633867"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2086F6AD"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760D4027" w14:textId="16C3E677" w:rsidR="005103AD" w:rsidRPr="00EF2F18" w:rsidRDefault="005103AD" w:rsidP="00B56DEF">
            <w:pPr>
              <w:spacing w:after="0"/>
              <w:jc w:val="both"/>
              <w:rPr>
                <w:sz w:val="22"/>
                <w:lang w:val="sr-Cyrl-RS"/>
              </w:rPr>
            </w:pPr>
            <w:r w:rsidRPr="00EF2F18">
              <w:rPr>
                <w:rFonts w:cs="Times New Roman"/>
                <w:sz w:val="22"/>
                <w:lang w:val="sr-Cyrl-RS"/>
              </w:rPr>
              <w:t>Посебан циљ 3.4</w:t>
            </w:r>
            <w:r w:rsidR="003D7D5F" w:rsidRPr="00EF2F18">
              <w:rPr>
                <w:rFonts w:cs="Times New Roman"/>
                <w:sz w:val="22"/>
                <w:lang w:val="sr-Cyrl-RS"/>
              </w:rPr>
              <w:t>.</w:t>
            </w:r>
          </w:p>
        </w:tc>
        <w:tc>
          <w:tcPr>
            <w:tcW w:w="5389" w:type="dxa"/>
          </w:tcPr>
          <w:p w14:paraId="7385BEE2" w14:textId="124DE375"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Превенција и контрола загађења из индустрије, интегрисано управљање хемикалијама и </w:t>
            </w:r>
            <w:r w:rsidR="00AD1518" w:rsidRPr="00EF2F18">
              <w:rPr>
                <w:rFonts w:cs="Times New Roman"/>
                <w:sz w:val="22"/>
                <w:lang w:val="sr-Cyrl-RS"/>
              </w:rPr>
              <w:t xml:space="preserve">управљање </w:t>
            </w:r>
            <w:r w:rsidRPr="00EF2F18">
              <w:rPr>
                <w:rFonts w:cs="Times New Roman"/>
                <w:sz w:val="22"/>
                <w:lang w:val="sr-Cyrl-RS"/>
              </w:rPr>
              <w:lastRenderedPageBreak/>
              <w:t>ризик</w:t>
            </w:r>
            <w:r w:rsidR="00AD1518" w:rsidRPr="00EF2F18">
              <w:rPr>
                <w:rFonts w:cs="Times New Roman"/>
                <w:sz w:val="22"/>
                <w:lang w:val="sr-Cyrl-RS"/>
              </w:rPr>
              <w:t>ом</w:t>
            </w:r>
            <w:r w:rsidRPr="00EF2F18">
              <w:rPr>
                <w:rFonts w:cs="Times New Roman"/>
                <w:sz w:val="22"/>
                <w:lang w:val="sr-Cyrl-RS"/>
              </w:rPr>
              <w:t xml:space="preserve"> од великих удеса који укључују опасне супстанце </w:t>
            </w:r>
          </w:p>
        </w:tc>
        <w:tc>
          <w:tcPr>
            <w:tcW w:w="2373" w:type="dxa"/>
            <w:hideMark/>
          </w:tcPr>
          <w:p w14:paraId="6CF8D16B"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lastRenderedPageBreak/>
              <w:t>МЗЖС</w:t>
            </w:r>
          </w:p>
        </w:tc>
      </w:tr>
      <w:tr w:rsidR="003D7D5F" w:rsidRPr="00EF2F18" w14:paraId="51505ADE"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74B2079D" w14:textId="746D289C" w:rsidR="005103AD" w:rsidRPr="00EF2F18" w:rsidRDefault="005103AD" w:rsidP="00B56DEF">
            <w:pPr>
              <w:spacing w:after="0"/>
              <w:jc w:val="both"/>
              <w:rPr>
                <w:sz w:val="22"/>
                <w:lang w:val="sr-Cyrl-RS"/>
              </w:rPr>
            </w:pPr>
            <w:r w:rsidRPr="00EF2F18">
              <w:rPr>
                <w:rFonts w:cs="Times New Roman"/>
                <w:sz w:val="22"/>
                <w:lang w:val="sr-Cyrl-RS"/>
              </w:rPr>
              <w:t>Посебан циљ 3.5</w:t>
            </w:r>
            <w:r w:rsidR="003D7D5F" w:rsidRPr="00EF2F18">
              <w:rPr>
                <w:rFonts w:cs="Times New Roman"/>
                <w:sz w:val="22"/>
                <w:lang w:val="sr-Cyrl-RS"/>
              </w:rPr>
              <w:t>.</w:t>
            </w:r>
          </w:p>
        </w:tc>
        <w:tc>
          <w:tcPr>
            <w:tcW w:w="5389" w:type="dxa"/>
          </w:tcPr>
          <w:p w14:paraId="2760CDA3" w14:textId="20F22511"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Смањење нивоа буке и заштита од нејонизујућег и јонизујућег зрачења </w:t>
            </w:r>
          </w:p>
        </w:tc>
        <w:tc>
          <w:tcPr>
            <w:tcW w:w="2373" w:type="dxa"/>
            <w:hideMark/>
          </w:tcPr>
          <w:p w14:paraId="47BDA42E"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03FBD0C6"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12BACE8B" w14:textId="77777777" w:rsidR="005103AD" w:rsidRPr="00EF2F18" w:rsidRDefault="005103AD" w:rsidP="00B56DEF">
            <w:pPr>
              <w:spacing w:after="0"/>
              <w:jc w:val="both"/>
              <w:rPr>
                <w:sz w:val="22"/>
                <w:lang w:val="sr-Cyrl-RS"/>
              </w:rPr>
            </w:pPr>
            <w:r w:rsidRPr="00EF2F18">
              <w:rPr>
                <w:sz w:val="22"/>
                <w:lang w:val="sr-Cyrl-RS"/>
              </w:rPr>
              <w:t>Општи циљ 4.</w:t>
            </w:r>
          </w:p>
        </w:tc>
        <w:tc>
          <w:tcPr>
            <w:tcW w:w="5389" w:type="dxa"/>
            <w:hideMark/>
          </w:tcPr>
          <w:p w14:paraId="23926072" w14:textId="6B4DF8C6"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cs="Times New Roman"/>
                <w:sz w:val="22"/>
                <w:lang w:val="sr-Cyrl-RS"/>
              </w:rPr>
              <w:t>Унапређење заштите природе</w:t>
            </w:r>
            <w:r w:rsidR="008A163A" w:rsidRPr="00EF2F18">
              <w:rPr>
                <w:rFonts w:cs="Times New Roman"/>
                <w:sz w:val="22"/>
                <w:lang w:val="sr-Cyrl-RS"/>
              </w:rPr>
              <w:t>, oчувања</w:t>
            </w:r>
            <w:r w:rsidRPr="00EF2F18">
              <w:rPr>
                <w:rFonts w:cs="Times New Roman"/>
                <w:sz w:val="22"/>
                <w:lang w:val="sr-Cyrl-RS"/>
              </w:rPr>
              <w:t xml:space="preserve"> </w:t>
            </w:r>
            <w:r w:rsidR="008A163A" w:rsidRPr="00EF2F18">
              <w:rPr>
                <w:rFonts w:cs="Times New Roman"/>
                <w:sz w:val="22"/>
                <w:lang w:val="sr-Cyrl-RS"/>
              </w:rPr>
              <w:t xml:space="preserve">биодиверзитета </w:t>
            </w:r>
            <w:r w:rsidRPr="00EF2F18">
              <w:rPr>
                <w:rFonts w:cs="Times New Roman"/>
                <w:sz w:val="22"/>
                <w:lang w:val="sr-Cyrl-RS"/>
              </w:rPr>
              <w:t xml:space="preserve">и одрживо коришћење природних </w:t>
            </w:r>
            <w:r w:rsidR="008A163A" w:rsidRPr="00EF2F18">
              <w:rPr>
                <w:rFonts w:cs="Times New Roman"/>
                <w:sz w:val="22"/>
                <w:lang w:val="sr-Cyrl-RS"/>
              </w:rPr>
              <w:t>ресурса</w:t>
            </w:r>
            <w:r w:rsidRPr="00EF2F18">
              <w:rPr>
                <w:rFonts w:cs="Times New Roman"/>
                <w:sz w:val="22"/>
                <w:lang w:val="sr-Cyrl-RS"/>
              </w:rPr>
              <w:t xml:space="preserve"> </w:t>
            </w:r>
          </w:p>
        </w:tc>
        <w:tc>
          <w:tcPr>
            <w:tcW w:w="2373" w:type="dxa"/>
            <w:hideMark/>
          </w:tcPr>
          <w:p w14:paraId="418AC6DD"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7A79E429"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6E84F027" w14:textId="1ABBF085" w:rsidR="005103AD" w:rsidRPr="00EF2F18" w:rsidRDefault="005103AD" w:rsidP="00B56DEF">
            <w:pPr>
              <w:spacing w:after="0"/>
              <w:jc w:val="both"/>
              <w:rPr>
                <w:sz w:val="22"/>
                <w:lang w:val="sr-Cyrl-RS"/>
              </w:rPr>
            </w:pPr>
            <w:r w:rsidRPr="00EF2F18">
              <w:rPr>
                <w:rFonts w:cs="Times New Roman"/>
                <w:sz w:val="22"/>
                <w:lang w:val="sr-Cyrl-RS"/>
              </w:rPr>
              <w:t>Посебан циљ 4.1</w:t>
            </w:r>
            <w:r w:rsidR="003D7D5F" w:rsidRPr="00EF2F18">
              <w:rPr>
                <w:rFonts w:cs="Times New Roman"/>
                <w:sz w:val="22"/>
                <w:lang w:val="sr-Cyrl-RS"/>
              </w:rPr>
              <w:t>.</w:t>
            </w:r>
          </w:p>
        </w:tc>
        <w:tc>
          <w:tcPr>
            <w:tcW w:w="5389" w:type="dxa"/>
          </w:tcPr>
          <w:p w14:paraId="364C7070" w14:textId="2EA00C84"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Развијање ефикасног система управљања врстама, типовима станишта, заштићеним подручјима и еколошком мрежом укључујући и </w:t>
            </w:r>
            <w:r w:rsidR="00A552A9" w:rsidRPr="00EF2F18">
              <w:rPr>
                <w:rFonts w:cs="Times New Roman"/>
                <w:sz w:val="22"/>
                <w:lang w:val="sr-Cyrl-RS"/>
              </w:rPr>
              <w:t>НАТУРА</w:t>
            </w:r>
            <w:r w:rsidRPr="00EF2F18">
              <w:rPr>
                <w:rFonts w:cs="Times New Roman"/>
                <w:sz w:val="22"/>
                <w:lang w:val="sr-Cyrl-RS"/>
              </w:rPr>
              <w:t xml:space="preserve"> 2000 и праћење стања кључних екосистемских услуга</w:t>
            </w:r>
          </w:p>
        </w:tc>
        <w:tc>
          <w:tcPr>
            <w:tcW w:w="2373" w:type="dxa"/>
            <w:hideMark/>
          </w:tcPr>
          <w:p w14:paraId="2D824ABC"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779C0791"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3132FF3E" w14:textId="3706DDEE" w:rsidR="005103AD" w:rsidRPr="00EF2F18" w:rsidRDefault="005103AD" w:rsidP="00B56DEF">
            <w:pPr>
              <w:spacing w:after="0"/>
              <w:jc w:val="both"/>
              <w:rPr>
                <w:sz w:val="22"/>
                <w:lang w:val="sr-Cyrl-RS"/>
              </w:rPr>
            </w:pPr>
            <w:r w:rsidRPr="00EF2F18">
              <w:rPr>
                <w:rFonts w:cs="Times New Roman"/>
                <w:sz w:val="22"/>
                <w:lang w:val="sr-Cyrl-RS"/>
              </w:rPr>
              <w:t>Посебан циљ 4.2</w:t>
            </w:r>
            <w:r w:rsidR="003D7D5F" w:rsidRPr="00EF2F18">
              <w:rPr>
                <w:rFonts w:cs="Times New Roman"/>
                <w:sz w:val="22"/>
                <w:lang w:val="sr-Cyrl-RS"/>
              </w:rPr>
              <w:t>.</w:t>
            </w:r>
          </w:p>
        </w:tc>
        <w:tc>
          <w:tcPr>
            <w:tcW w:w="5389" w:type="dxa"/>
          </w:tcPr>
          <w:p w14:paraId="41F96168" w14:textId="717128BA"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Одрживо управљање шумама, дивљачи и рибљим фондом </w:t>
            </w:r>
          </w:p>
        </w:tc>
        <w:tc>
          <w:tcPr>
            <w:tcW w:w="2373" w:type="dxa"/>
            <w:hideMark/>
          </w:tcPr>
          <w:p w14:paraId="171ABB9C" w14:textId="31B8ABB1" w:rsidR="005103AD" w:rsidRPr="00EF2F18" w:rsidRDefault="005103AD" w:rsidP="003D7D5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МПШ</w:t>
            </w:r>
            <w:r w:rsidR="001F3881" w:rsidRPr="00EF2F18">
              <w:rPr>
                <w:sz w:val="22"/>
                <w:lang w:val="sr-Cyrl-RS"/>
              </w:rPr>
              <w:t>В</w:t>
            </w:r>
            <w:r w:rsidRPr="00EF2F18">
              <w:rPr>
                <w:sz w:val="22"/>
                <w:lang w:val="sr-Cyrl-RS"/>
              </w:rPr>
              <w:t xml:space="preserve"> </w:t>
            </w:r>
          </w:p>
        </w:tc>
      </w:tr>
      <w:tr w:rsidR="003D7D5F" w:rsidRPr="00EF2F18" w14:paraId="090F3763" w14:textId="77777777" w:rsidTr="00525762">
        <w:trPr>
          <w:trHeight w:val="800"/>
        </w:trPr>
        <w:tc>
          <w:tcPr>
            <w:cnfStyle w:val="001000000000" w:firstRow="0" w:lastRow="0" w:firstColumn="1" w:lastColumn="0" w:oddVBand="0" w:evenVBand="0" w:oddHBand="0" w:evenHBand="0" w:firstRowFirstColumn="0" w:firstRowLastColumn="0" w:lastRowFirstColumn="0" w:lastRowLastColumn="0"/>
            <w:tcW w:w="1255" w:type="dxa"/>
            <w:hideMark/>
          </w:tcPr>
          <w:p w14:paraId="37DB32D9" w14:textId="77777777" w:rsidR="005103AD" w:rsidRPr="00EF2F18" w:rsidRDefault="005103AD" w:rsidP="00B56DEF">
            <w:pPr>
              <w:spacing w:after="0"/>
              <w:jc w:val="both"/>
              <w:rPr>
                <w:sz w:val="22"/>
                <w:lang w:val="sr-Cyrl-RS"/>
              </w:rPr>
            </w:pPr>
            <w:r w:rsidRPr="00EF2F18">
              <w:rPr>
                <w:sz w:val="22"/>
                <w:lang w:val="sr-Cyrl-RS"/>
              </w:rPr>
              <w:t>Општи циљ 5.</w:t>
            </w:r>
          </w:p>
        </w:tc>
        <w:tc>
          <w:tcPr>
            <w:tcW w:w="5389" w:type="dxa"/>
            <w:hideMark/>
          </w:tcPr>
          <w:p w14:paraId="6F3A7B55" w14:textId="77777777"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cs="Times New Roman"/>
                <w:sz w:val="22"/>
                <w:lang w:val="sr-Cyrl-RS"/>
              </w:rPr>
              <w:t>Раст доприноса пољопривредно - прехрамбеног сектора очувању животне средине и повећању отпорности на измењене климатске услове</w:t>
            </w:r>
          </w:p>
        </w:tc>
        <w:tc>
          <w:tcPr>
            <w:tcW w:w="2373" w:type="dxa"/>
            <w:hideMark/>
          </w:tcPr>
          <w:p w14:paraId="319A572D"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МПШВ</w:t>
            </w:r>
          </w:p>
        </w:tc>
      </w:tr>
      <w:tr w:rsidR="003D7D5F" w:rsidRPr="00EF2F18" w14:paraId="3B043B34"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27CC82DE" w14:textId="1D7CD578" w:rsidR="005103AD" w:rsidRPr="00EF2F18" w:rsidRDefault="005103AD" w:rsidP="00B56DEF">
            <w:pPr>
              <w:spacing w:after="0"/>
              <w:jc w:val="both"/>
              <w:rPr>
                <w:sz w:val="22"/>
                <w:lang w:val="sr-Cyrl-RS"/>
              </w:rPr>
            </w:pPr>
            <w:r w:rsidRPr="00EF2F18">
              <w:rPr>
                <w:rFonts w:cs="Times New Roman"/>
                <w:sz w:val="22"/>
                <w:lang w:val="sr-Cyrl-RS"/>
              </w:rPr>
              <w:t>Посебан циљ 5.1</w:t>
            </w:r>
            <w:r w:rsidR="003D7D5F" w:rsidRPr="00EF2F18">
              <w:rPr>
                <w:rFonts w:cs="Times New Roman"/>
                <w:sz w:val="22"/>
                <w:lang w:val="sr-Cyrl-RS"/>
              </w:rPr>
              <w:t>.</w:t>
            </w:r>
          </w:p>
        </w:tc>
        <w:tc>
          <w:tcPr>
            <w:tcW w:w="5389" w:type="dxa"/>
          </w:tcPr>
          <w:p w14:paraId="0CB846E5" w14:textId="276FAC4C"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lang w:val="sr-Cyrl-RS"/>
              </w:rPr>
            </w:pPr>
            <w:r w:rsidRPr="00EF2F18">
              <w:rPr>
                <w:rFonts w:cs="Times New Roman"/>
                <w:sz w:val="22"/>
                <w:lang w:val="sr-Cyrl-RS"/>
              </w:rPr>
              <w:t xml:space="preserve">Одржива примарна производња и безбедност хране применом технологија и пракси </w:t>
            </w:r>
            <w:r w:rsidRPr="00EF2F18">
              <w:rPr>
                <w:rFonts w:cs="Times New Roman"/>
                <w:color w:val="000000" w:themeColor="text1"/>
                <w:sz w:val="22"/>
                <w:lang w:val="sr-Cyrl-RS"/>
              </w:rPr>
              <w:t xml:space="preserve">погодних за животну средину </w:t>
            </w:r>
          </w:p>
        </w:tc>
        <w:tc>
          <w:tcPr>
            <w:tcW w:w="2373" w:type="dxa"/>
            <w:hideMark/>
          </w:tcPr>
          <w:p w14:paraId="1484858D"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МПШВ</w:t>
            </w:r>
          </w:p>
        </w:tc>
      </w:tr>
      <w:tr w:rsidR="003D7D5F" w:rsidRPr="00EF2F18" w14:paraId="493431BD"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2C601096" w14:textId="5916268C" w:rsidR="005103AD" w:rsidRPr="00EF2F18" w:rsidRDefault="005103AD" w:rsidP="00B56DEF">
            <w:pPr>
              <w:spacing w:after="0"/>
              <w:jc w:val="both"/>
              <w:rPr>
                <w:sz w:val="22"/>
                <w:lang w:val="sr-Cyrl-RS"/>
              </w:rPr>
            </w:pPr>
            <w:r w:rsidRPr="00EF2F18">
              <w:rPr>
                <w:rFonts w:cs="Times New Roman"/>
                <w:color w:val="000000" w:themeColor="text1"/>
                <w:sz w:val="22"/>
                <w:lang w:val="sr-Cyrl-RS"/>
              </w:rPr>
              <w:t>Посебан циљ 5.2</w:t>
            </w:r>
            <w:r w:rsidR="003D7D5F" w:rsidRPr="00EF2F18">
              <w:rPr>
                <w:rFonts w:cs="Times New Roman"/>
                <w:color w:val="000000" w:themeColor="text1"/>
                <w:sz w:val="22"/>
                <w:lang w:val="sr-Cyrl-RS"/>
              </w:rPr>
              <w:t>.</w:t>
            </w:r>
          </w:p>
        </w:tc>
        <w:tc>
          <w:tcPr>
            <w:tcW w:w="5389" w:type="dxa"/>
          </w:tcPr>
          <w:p w14:paraId="63CCBA4A" w14:textId="48567620"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lang w:val="sr-Cyrl-RS"/>
              </w:rPr>
            </w:pPr>
            <w:r w:rsidRPr="00EF2F18">
              <w:rPr>
                <w:rFonts w:cs="Times New Roman"/>
                <w:color w:val="000000" w:themeColor="text1"/>
                <w:sz w:val="22"/>
                <w:lang w:val="sr-Cyrl-RS"/>
              </w:rPr>
              <w:t>Унапређење одрживо</w:t>
            </w:r>
            <w:r w:rsidR="00516CB8">
              <w:rPr>
                <w:rFonts w:cs="Times New Roman"/>
                <w:color w:val="000000" w:themeColor="text1"/>
                <w:sz w:val="22"/>
                <w:lang w:val="sr-Cyrl-RS"/>
              </w:rPr>
              <w:t>сти руралних средина кроз диверс</w:t>
            </w:r>
            <w:r w:rsidRPr="00EF2F18">
              <w:rPr>
                <w:rFonts w:cs="Times New Roman"/>
                <w:color w:val="000000" w:themeColor="text1"/>
                <w:sz w:val="22"/>
                <w:lang w:val="sr-Cyrl-RS"/>
              </w:rPr>
              <w:t>ификацију руралне економије, изградњу руралне инфраструктуре и заштите животне средине и очувањ</w:t>
            </w:r>
            <w:r w:rsidR="00F141C7" w:rsidRPr="00EF2F18">
              <w:rPr>
                <w:rFonts w:cs="Times New Roman"/>
                <w:color w:val="000000" w:themeColor="text1"/>
                <w:sz w:val="22"/>
                <w:lang w:val="sr-Cyrl-RS"/>
              </w:rPr>
              <w:t>е</w:t>
            </w:r>
            <w:r w:rsidRPr="00EF2F18">
              <w:rPr>
                <w:rFonts w:cs="Times New Roman"/>
                <w:color w:val="000000" w:themeColor="text1"/>
                <w:sz w:val="22"/>
                <w:lang w:val="sr-Cyrl-RS"/>
              </w:rPr>
              <w:t xml:space="preserve"> руралних предела</w:t>
            </w:r>
          </w:p>
        </w:tc>
        <w:tc>
          <w:tcPr>
            <w:tcW w:w="2373" w:type="dxa"/>
            <w:hideMark/>
          </w:tcPr>
          <w:p w14:paraId="40138DD0"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МПШВ</w:t>
            </w:r>
          </w:p>
        </w:tc>
      </w:tr>
      <w:tr w:rsidR="003D7D5F" w:rsidRPr="00EF2F18" w14:paraId="3148846E"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7264FCF1" w14:textId="0B3ADFB7" w:rsidR="005103AD" w:rsidRPr="00EF2F18" w:rsidRDefault="00B56DEF" w:rsidP="00B56DEF">
            <w:pPr>
              <w:spacing w:after="0"/>
              <w:jc w:val="both"/>
              <w:rPr>
                <w:sz w:val="22"/>
                <w:lang w:val="sr-Cyrl-RS"/>
              </w:rPr>
            </w:pPr>
            <w:r w:rsidRPr="00EF2F18">
              <w:rPr>
                <w:sz w:val="22"/>
                <w:lang w:val="sr-Cyrl-RS"/>
              </w:rPr>
              <w:t xml:space="preserve">Општи циљ </w:t>
            </w:r>
            <w:r w:rsidR="005103AD" w:rsidRPr="00EF2F18">
              <w:rPr>
                <w:sz w:val="22"/>
                <w:lang w:val="sr-Cyrl-RS"/>
              </w:rPr>
              <w:t>6.</w:t>
            </w:r>
          </w:p>
        </w:tc>
        <w:tc>
          <w:tcPr>
            <w:tcW w:w="5389" w:type="dxa"/>
            <w:hideMark/>
          </w:tcPr>
          <w:p w14:paraId="2748AF3A" w14:textId="511BBBF8"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cs="Times New Roman"/>
                <w:color w:val="000000" w:themeColor="text1"/>
                <w:sz w:val="22"/>
                <w:shd w:val="clear" w:color="auto" w:fill="FFFFFF" w:themeFill="background1"/>
                <w:lang w:val="sr-Cyrl-RS"/>
              </w:rPr>
              <w:t>Унапређење интегрисаног приступа заштити и управљању животном средином у складу са</w:t>
            </w:r>
            <w:r w:rsidRPr="00EF2F18">
              <w:rPr>
                <w:rFonts w:cs="Times New Roman"/>
                <w:color w:val="000000" w:themeColor="text1"/>
                <w:sz w:val="22"/>
                <w:shd w:val="clear" w:color="auto" w:fill="F7F7F8"/>
                <w:lang w:val="sr-Cyrl-RS"/>
              </w:rPr>
              <w:t xml:space="preserve"> </w:t>
            </w:r>
            <w:r w:rsidR="00C41462" w:rsidRPr="00EF2F18">
              <w:rPr>
                <w:rFonts w:cs="Times New Roman"/>
                <w:color w:val="000000" w:themeColor="text1"/>
                <w:sz w:val="22"/>
                <w:shd w:val="clear" w:color="auto" w:fill="FFFFFF" w:themeFill="background1"/>
                <w:lang w:val="sr-Cyrl-RS"/>
              </w:rPr>
              <w:t>међународним и ЕУ стандардима</w:t>
            </w:r>
          </w:p>
        </w:tc>
        <w:tc>
          <w:tcPr>
            <w:tcW w:w="2373" w:type="dxa"/>
            <w:hideMark/>
          </w:tcPr>
          <w:p w14:paraId="2A76F959"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3040F8A0"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460D332C" w14:textId="41D1AD6A" w:rsidR="005103AD" w:rsidRPr="00EF2F18" w:rsidRDefault="005103AD" w:rsidP="00B56DEF">
            <w:pPr>
              <w:spacing w:after="0"/>
              <w:jc w:val="both"/>
              <w:rPr>
                <w:sz w:val="22"/>
                <w:lang w:val="sr-Cyrl-RS"/>
              </w:rPr>
            </w:pPr>
            <w:r w:rsidRPr="00EF2F18">
              <w:rPr>
                <w:rFonts w:cs="Times New Roman"/>
                <w:color w:val="000000" w:themeColor="text1"/>
                <w:sz w:val="22"/>
                <w:lang w:val="sr-Cyrl-RS"/>
              </w:rPr>
              <w:t>Посебан циљ 6.1</w:t>
            </w:r>
            <w:r w:rsidR="003D7D5F" w:rsidRPr="00EF2F18">
              <w:rPr>
                <w:rFonts w:cs="Times New Roman"/>
                <w:color w:val="000000" w:themeColor="text1"/>
                <w:sz w:val="22"/>
                <w:lang w:val="sr-Cyrl-RS"/>
              </w:rPr>
              <w:t>.</w:t>
            </w:r>
          </w:p>
        </w:tc>
        <w:tc>
          <w:tcPr>
            <w:tcW w:w="5389" w:type="dxa"/>
          </w:tcPr>
          <w:p w14:paraId="1FA1ECDA" w14:textId="31FA9295"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lang w:val="sr-Cyrl-RS"/>
              </w:rPr>
            </w:pPr>
            <w:r w:rsidRPr="00EF2F18">
              <w:rPr>
                <w:rFonts w:cs="Times New Roman"/>
                <w:color w:val="000000" w:themeColor="text1"/>
                <w:sz w:val="22"/>
                <w:lang w:val="sr-Cyrl-RS"/>
              </w:rPr>
              <w:t xml:space="preserve">Подизање капацитета и нивоа знања за примену </w:t>
            </w:r>
            <w:r w:rsidR="00002B55" w:rsidRPr="00EF2F18">
              <w:rPr>
                <w:rFonts w:cs="Times New Roman"/>
                <w:color w:val="000000" w:themeColor="text1"/>
                <w:sz w:val="22"/>
                <w:lang w:val="sr-Cyrl-RS"/>
              </w:rPr>
              <w:t xml:space="preserve">ЕУ стандарда и </w:t>
            </w:r>
            <w:r w:rsidRPr="00EF2F18">
              <w:rPr>
                <w:rFonts w:cs="Times New Roman"/>
                <w:color w:val="000000" w:themeColor="text1"/>
                <w:sz w:val="22"/>
                <w:lang w:val="sr-Cyrl-RS"/>
              </w:rPr>
              <w:t>Зелене агенде на свим нивоима</w:t>
            </w:r>
          </w:p>
        </w:tc>
        <w:tc>
          <w:tcPr>
            <w:tcW w:w="2373" w:type="dxa"/>
            <w:hideMark/>
          </w:tcPr>
          <w:p w14:paraId="2208375F"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70590F67"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478EE60B" w14:textId="23F68C35" w:rsidR="005103AD" w:rsidRPr="00EF2F18" w:rsidRDefault="005103AD" w:rsidP="00B56DEF">
            <w:pPr>
              <w:spacing w:after="0"/>
              <w:jc w:val="both"/>
              <w:rPr>
                <w:sz w:val="22"/>
                <w:lang w:val="sr-Cyrl-RS"/>
              </w:rPr>
            </w:pPr>
            <w:r w:rsidRPr="00EF2F18">
              <w:rPr>
                <w:rFonts w:cs="Times New Roman"/>
                <w:sz w:val="22"/>
                <w:lang w:val="sr-Cyrl-RS"/>
              </w:rPr>
              <w:t>Посебан циљ 6.2</w:t>
            </w:r>
            <w:r w:rsidR="003D7D5F" w:rsidRPr="00EF2F18">
              <w:rPr>
                <w:rFonts w:cs="Times New Roman"/>
                <w:sz w:val="22"/>
                <w:lang w:val="sr-Cyrl-RS"/>
              </w:rPr>
              <w:t>.</w:t>
            </w:r>
          </w:p>
        </w:tc>
        <w:tc>
          <w:tcPr>
            <w:tcW w:w="5389" w:type="dxa"/>
            <w:hideMark/>
          </w:tcPr>
          <w:p w14:paraId="501C1E9E" w14:textId="294DB2FA"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sz w:val="22"/>
                <w:lang w:val="sr-Cyrl-RS"/>
              </w:rPr>
            </w:pPr>
            <w:r w:rsidRPr="00EF2F18">
              <w:rPr>
                <w:rFonts w:cs="Times New Roman"/>
                <w:sz w:val="22"/>
                <w:lang w:val="sr-Cyrl-RS"/>
              </w:rPr>
              <w:t xml:space="preserve">Обезбеђивање заштите права на здраву и очувану животну средину, </w:t>
            </w:r>
            <w:r w:rsidR="00E57360" w:rsidRPr="00EF2F18">
              <w:rPr>
                <w:rFonts w:cs="Times New Roman"/>
                <w:sz w:val="22"/>
                <w:lang w:val="sr-Cyrl-RS"/>
              </w:rPr>
              <w:t xml:space="preserve">приступa информацијама, учешћа јавности у доношењу одлука и правнe заштитe </w:t>
            </w:r>
            <w:r w:rsidR="008A163A" w:rsidRPr="00EF2F18">
              <w:rPr>
                <w:rFonts w:cs="Times New Roman"/>
                <w:sz w:val="22"/>
                <w:lang w:val="sr-Cyrl-RS"/>
              </w:rPr>
              <w:t>у</w:t>
            </w:r>
            <w:r w:rsidR="00E57360" w:rsidRPr="00EF2F18">
              <w:rPr>
                <w:rFonts w:cs="Times New Roman"/>
                <w:sz w:val="22"/>
                <w:lang w:val="sr-Cyrl-RS"/>
              </w:rPr>
              <w:t xml:space="preserve"> питањима у вези са заштитом животне средине</w:t>
            </w:r>
          </w:p>
        </w:tc>
        <w:tc>
          <w:tcPr>
            <w:tcW w:w="2373" w:type="dxa"/>
            <w:hideMark/>
          </w:tcPr>
          <w:p w14:paraId="61CF7F71"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342464BE"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23B0DE34" w14:textId="446D98C8" w:rsidR="005103AD" w:rsidRPr="00EF2F18" w:rsidRDefault="005103AD" w:rsidP="00B56DEF">
            <w:pPr>
              <w:spacing w:after="0"/>
              <w:jc w:val="both"/>
              <w:rPr>
                <w:sz w:val="22"/>
                <w:lang w:val="sr-Cyrl-RS"/>
              </w:rPr>
            </w:pPr>
            <w:r w:rsidRPr="00EF2F18">
              <w:rPr>
                <w:rFonts w:cs="Times New Roman"/>
                <w:sz w:val="22"/>
                <w:lang w:val="sr-Cyrl-RS"/>
              </w:rPr>
              <w:t>Посебан циљ 6.3</w:t>
            </w:r>
            <w:r w:rsidR="003D7D5F" w:rsidRPr="00EF2F18">
              <w:rPr>
                <w:rFonts w:cs="Times New Roman"/>
                <w:sz w:val="22"/>
                <w:lang w:val="sr-Cyrl-RS"/>
              </w:rPr>
              <w:t>.</w:t>
            </w:r>
          </w:p>
        </w:tc>
        <w:tc>
          <w:tcPr>
            <w:tcW w:w="5389" w:type="dxa"/>
            <w:hideMark/>
          </w:tcPr>
          <w:p w14:paraId="53492710" w14:textId="24D7DBCA" w:rsidR="005103AD" w:rsidRPr="00EF2F18" w:rsidRDefault="008A163A" w:rsidP="00B56DEF">
            <w:pPr>
              <w:spacing w:after="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hd w:val="clear" w:color="auto" w:fill="FFFFFF" w:themeFill="background1"/>
                <w:lang w:val="sr-Cyrl-RS"/>
              </w:rPr>
            </w:pPr>
            <w:r w:rsidRPr="00EF2F18">
              <w:rPr>
                <w:rFonts w:cs="Times New Roman"/>
                <w:sz w:val="22"/>
                <w:lang w:val="sr-Cyrl-RS"/>
              </w:rPr>
              <w:t>Развој заједничког</w:t>
            </w:r>
            <w:r w:rsidR="005103AD" w:rsidRPr="00EF2F18">
              <w:rPr>
                <w:rFonts w:cs="Times New Roman"/>
                <w:sz w:val="22"/>
                <w:lang w:val="sr-Cyrl-RS"/>
              </w:rPr>
              <w:t xml:space="preserve"> система за праћење квалитета </w:t>
            </w:r>
            <w:r w:rsidRPr="00EF2F18">
              <w:rPr>
                <w:rFonts w:cs="Times New Roman"/>
                <w:sz w:val="22"/>
                <w:lang w:val="sr-Cyrl-RS"/>
              </w:rPr>
              <w:t xml:space="preserve">чинилаца </w:t>
            </w:r>
            <w:r w:rsidR="005103AD" w:rsidRPr="00EF2F18">
              <w:rPr>
                <w:rFonts w:cs="Times New Roman"/>
                <w:sz w:val="22"/>
                <w:lang w:val="sr-Cyrl-RS"/>
              </w:rPr>
              <w:t>животне средине и утицаја климатских промена</w:t>
            </w:r>
          </w:p>
        </w:tc>
        <w:tc>
          <w:tcPr>
            <w:tcW w:w="2373" w:type="dxa"/>
            <w:hideMark/>
          </w:tcPr>
          <w:p w14:paraId="386C772A" w14:textId="77777777"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МЗЖС</w:t>
            </w:r>
          </w:p>
        </w:tc>
      </w:tr>
      <w:tr w:rsidR="003D7D5F" w:rsidRPr="00EF2F18" w14:paraId="5747DADB" w14:textId="77777777" w:rsidTr="00525762">
        <w:tc>
          <w:tcPr>
            <w:cnfStyle w:val="001000000000" w:firstRow="0" w:lastRow="0" w:firstColumn="1" w:lastColumn="0" w:oddVBand="0" w:evenVBand="0" w:oddHBand="0" w:evenHBand="0" w:firstRowFirstColumn="0" w:firstRowLastColumn="0" w:lastRowFirstColumn="0" w:lastRowLastColumn="0"/>
            <w:tcW w:w="1255" w:type="dxa"/>
            <w:hideMark/>
          </w:tcPr>
          <w:p w14:paraId="7339A8BC" w14:textId="3B8B0E18" w:rsidR="005103AD" w:rsidRPr="00EF2F18" w:rsidRDefault="005103AD" w:rsidP="00B56DEF">
            <w:pPr>
              <w:spacing w:after="0"/>
              <w:jc w:val="both"/>
              <w:rPr>
                <w:sz w:val="22"/>
                <w:lang w:val="sr-Cyrl-RS"/>
              </w:rPr>
            </w:pPr>
            <w:r w:rsidRPr="00EF2F18">
              <w:rPr>
                <w:rFonts w:cs="Times New Roman"/>
                <w:sz w:val="22"/>
                <w:lang w:val="sr-Cyrl-RS"/>
              </w:rPr>
              <w:t>Посебан циљ 6.4</w:t>
            </w:r>
            <w:r w:rsidR="003D7D5F" w:rsidRPr="00EF2F18">
              <w:rPr>
                <w:rFonts w:cs="Times New Roman"/>
                <w:sz w:val="22"/>
                <w:lang w:val="sr-Cyrl-RS"/>
              </w:rPr>
              <w:t>.</w:t>
            </w:r>
          </w:p>
        </w:tc>
        <w:tc>
          <w:tcPr>
            <w:tcW w:w="5389" w:type="dxa"/>
            <w:hideMark/>
          </w:tcPr>
          <w:p w14:paraId="060B1ABA" w14:textId="77777777" w:rsidR="005103AD" w:rsidRPr="00EF2F18" w:rsidRDefault="005103AD" w:rsidP="00B56DEF">
            <w:pPr>
              <w:spacing w:after="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hd w:val="clear" w:color="auto" w:fill="FFFFFF" w:themeFill="background1"/>
                <w:lang w:val="sr-Cyrl-RS"/>
              </w:rPr>
            </w:pPr>
            <w:r w:rsidRPr="00EF2F18">
              <w:rPr>
                <w:rFonts w:cs="Times New Roman"/>
                <w:sz w:val="22"/>
                <w:lang w:val="sr-Cyrl-RS"/>
              </w:rPr>
              <w:t>Унапређење система финансирања заштите животне средине</w:t>
            </w:r>
          </w:p>
        </w:tc>
        <w:tc>
          <w:tcPr>
            <w:tcW w:w="2373" w:type="dxa"/>
            <w:hideMark/>
          </w:tcPr>
          <w:p w14:paraId="730D10BB" w14:textId="64C3E3B8" w:rsidR="005103AD" w:rsidRPr="00EF2F18" w:rsidRDefault="005103AD" w:rsidP="00B56DEF">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МФ</w:t>
            </w:r>
            <w:r w:rsidR="00BC0C47" w:rsidRPr="00EF2F18">
              <w:rPr>
                <w:sz w:val="22"/>
                <w:lang w:val="sr-Cyrl-RS"/>
              </w:rPr>
              <w:t>, МЗЖС</w:t>
            </w:r>
          </w:p>
        </w:tc>
      </w:tr>
    </w:tbl>
    <w:p w14:paraId="7AA3E663" w14:textId="77777777" w:rsidR="005103AD" w:rsidRPr="00EF2F18" w:rsidRDefault="005103AD" w:rsidP="005878D3">
      <w:pPr>
        <w:spacing w:after="0"/>
        <w:ind w:firstLine="720"/>
        <w:jc w:val="both"/>
        <w:rPr>
          <w:sz w:val="22"/>
          <w:lang w:val="sr-Cyrl-RS"/>
        </w:rPr>
      </w:pPr>
    </w:p>
    <w:p w14:paraId="7CCA5434" w14:textId="77777777" w:rsidR="005103AD" w:rsidRPr="00EF2F18" w:rsidRDefault="005103AD" w:rsidP="005878D3">
      <w:pPr>
        <w:spacing w:after="0"/>
        <w:ind w:firstLine="720"/>
        <w:jc w:val="both"/>
        <w:rPr>
          <w:sz w:val="22"/>
          <w:lang w:val="sr-Cyrl-RS"/>
        </w:rPr>
      </w:pPr>
      <w:r w:rsidRPr="00EF2F18">
        <w:rPr>
          <w:sz w:val="22"/>
          <w:lang w:val="sr-Cyrl-RS"/>
        </w:rPr>
        <w:t xml:space="preserve">У сврху ефикасног праћења спровођења Стратегије, министарство надлежно за послове заштите животне средине образује међуресорну радну групу коју чине представници свих релевантних сектора органа државне управе, који су надлежни за спровођење мера и активности и прикупљање података о показатељима учинка, представници аутономне покрајине, јединица локалне самоуправе и организација цивилног друштва. Задаци те радне групе су да периодично разматра напредак у спровођењу Стратегије и акционог плана и даје препоруке, предлаже решења и пружа подршку надлежним органима за отклањање препрека за ефикасно спровођење мера/активности. </w:t>
      </w:r>
    </w:p>
    <w:p w14:paraId="790D52FC" w14:textId="77777777" w:rsidR="005103AD" w:rsidRPr="00EF2F18" w:rsidRDefault="005103AD" w:rsidP="005878D3">
      <w:pPr>
        <w:spacing w:after="0"/>
        <w:ind w:firstLine="720"/>
        <w:jc w:val="both"/>
        <w:rPr>
          <w:sz w:val="22"/>
          <w:lang w:val="sr-Cyrl-RS"/>
        </w:rPr>
      </w:pPr>
      <w:r w:rsidRPr="00EF2F18">
        <w:rPr>
          <w:sz w:val="22"/>
          <w:lang w:val="sr-Cyrl-RS"/>
        </w:rPr>
        <w:t>Надлежни органи одређују и лице за оперативну комуникацију са министарством надлежним за заштиту животне средине о свим питањима у вези са спровођењем Стратегије.</w:t>
      </w:r>
    </w:p>
    <w:p w14:paraId="0F3596BE" w14:textId="0BD1D454" w:rsidR="005103AD" w:rsidRPr="00EF2F18" w:rsidRDefault="005103AD" w:rsidP="005878D3">
      <w:pPr>
        <w:spacing w:after="0"/>
        <w:ind w:firstLine="720"/>
        <w:jc w:val="both"/>
        <w:rPr>
          <w:sz w:val="22"/>
          <w:lang w:val="sr-Cyrl-RS"/>
        </w:rPr>
      </w:pPr>
      <w:r w:rsidRPr="00EF2F18">
        <w:rPr>
          <w:sz w:val="22"/>
          <w:lang w:val="sr-Cyrl-RS"/>
        </w:rPr>
        <w:t xml:space="preserve">Праћење спровођења и извештавање о постигнутим учинцима у достизању утврђених циљева се врши на основу показатеља учинка утврђених у табели </w:t>
      </w:r>
      <w:r w:rsidR="005878D3" w:rsidRPr="00EF2F18">
        <w:rPr>
          <w:sz w:val="22"/>
          <w:lang w:val="sr-Cyrl-RS"/>
        </w:rPr>
        <w:t>7</w:t>
      </w:r>
      <w:r w:rsidRPr="00EF2F18">
        <w:rPr>
          <w:sz w:val="22"/>
          <w:lang w:val="sr-Cyrl-RS"/>
        </w:rPr>
        <w:t>.</w:t>
      </w:r>
      <w:r w:rsidR="005878D3" w:rsidRPr="00EF2F18">
        <w:rPr>
          <w:sz w:val="22"/>
          <w:lang w:val="sr-Cyrl-RS"/>
        </w:rPr>
        <w:t>1</w:t>
      </w:r>
      <w:r w:rsidRPr="00EF2F18">
        <w:rPr>
          <w:sz w:val="22"/>
          <w:lang w:val="sr-Cyrl-RS"/>
        </w:rPr>
        <w:t>.</w:t>
      </w:r>
    </w:p>
    <w:p w14:paraId="15E4C0FB" w14:textId="7A7C9B89" w:rsidR="005103AD" w:rsidRPr="00EF2F18" w:rsidRDefault="005103AD" w:rsidP="005878D3">
      <w:pPr>
        <w:spacing w:after="0"/>
        <w:ind w:firstLine="720"/>
        <w:jc w:val="both"/>
        <w:rPr>
          <w:sz w:val="22"/>
          <w:lang w:val="sr-Cyrl-RS"/>
        </w:rPr>
      </w:pPr>
      <w:r w:rsidRPr="00EF2F18">
        <w:rPr>
          <w:sz w:val="22"/>
          <w:lang w:val="sr-Cyrl-RS"/>
        </w:rPr>
        <w:t xml:space="preserve">Поред тих показатеља, за праћење напретка за поједине стубове Стратегије су одређени и додатни показатељи за које нису утврђене циљане вредности, већ се прати њихов тренд током периода трајања Стратегије. Ти показатељи су дати </w:t>
      </w:r>
      <w:r w:rsidR="00B56DEF" w:rsidRPr="00EF2F18">
        <w:rPr>
          <w:sz w:val="22"/>
          <w:lang w:val="sr-Cyrl-RS"/>
        </w:rPr>
        <w:t xml:space="preserve">у </w:t>
      </w:r>
      <w:r w:rsidR="005878D3" w:rsidRPr="00EF2F18">
        <w:rPr>
          <w:sz w:val="22"/>
          <w:lang w:val="sr-Cyrl-RS"/>
        </w:rPr>
        <w:t>следећој</w:t>
      </w:r>
      <w:r w:rsidRPr="00EF2F18">
        <w:rPr>
          <w:sz w:val="22"/>
          <w:lang w:val="sr-Cyrl-RS"/>
        </w:rPr>
        <w:t xml:space="preserve"> табели.</w:t>
      </w:r>
    </w:p>
    <w:p w14:paraId="4722E718" w14:textId="77777777" w:rsidR="00A84E90" w:rsidRPr="00EF2F18" w:rsidRDefault="00A84E90" w:rsidP="005878D3">
      <w:pPr>
        <w:spacing w:after="0"/>
        <w:ind w:firstLine="720"/>
        <w:jc w:val="both"/>
        <w:rPr>
          <w:sz w:val="22"/>
          <w:lang w:val="sr-Cyrl-RS"/>
        </w:rPr>
      </w:pPr>
    </w:p>
    <w:p w14:paraId="7806E960" w14:textId="77777777" w:rsidR="005878D3" w:rsidRPr="00EF2F18" w:rsidRDefault="005878D3" w:rsidP="005878D3">
      <w:pPr>
        <w:spacing w:after="0"/>
        <w:jc w:val="both"/>
        <w:rPr>
          <w:sz w:val="22"/>
          <w:lang w:val="sr-Cyrl-RS"/>
        </w:rPr>
      </w:pPr>
    </w:p>
    <w:p w14:paraId="03CC1B61" w14:textId="675B582E" w:rsidR="005103AD" w:rsidRPr="00EF2F18" w:rsidRDefault="005103AD" w:rsidP="005878D3">
      <w:pPr>
        <w:spacing w:after="0"/>
        <w:jc w:val="both"/>
        <w:rPr>
          <w:sz w:val="22"/>
          <w:lang w:val="sr-Cyrl-RS"/>
        </w:rPr>
      </w:pPr>
      <w:r w:rsidRPr="00EF2F18">
        <w:rPr>
          <w:b/>
          <w:bCs/>
          <w:sz w:val="22"/>
          <w:lang w:val="sr-Cyrl-RS"/>
        </w:rPr>
        <w:t xml:space="preserve">Табела </w:t>
      </w:r>
      <w:r w:rsidR="005878D3" w:rsidRPr="00EF2F18">
        <w:rPr>
          <w:b/>
          <w:bCs/>
          <w:sz w:val="22"/>
          <w:lang w:val="sr-Cyrl-RS"/>
        </w:rPr>
        <w:t>8.2.</w:t>
      </w:r>
      <w:r w:rsidRPr="00EF2F18">
        <w:rPr>
          <w:sz w:val="22"/>
          <w:lang w:val="sr-Cyrl-RS"/>
        </w:rPr>
        <w:t xml:space="preserve"> Додатни показатељи з</w:t>
      </w:r>
      <w:r w:rsidR="00C26F4F" w:rsidRPr="00EF2F18">
        <w:rPr>
          <w:sz w:val="22"/>
          <w:lang w:val="sr-Cyrl-RS"/>
        </w:rPr>
        <w:t>а</w:t>
      </w:r>
      <w:r w:rsidRPr="00EF2F18">
        <w:rPr>
          <w:sz w:val="22"/>
          <w:lang w:val="sr-Cyrl-RS"/>
        </w:rPr>
        <w:t xml:space="preserve"> праћење напретка у достизању циљева Стратегије за које се прати тренд њихових вредности у току периода т</w:t>
      </w:r>
      <w:r w:rsidR="00C26F4F" w:rsidRPr="00EF2F18">
        <w:rPr>
          <w:sz w:val="22"/>
          <w:lang w:val="sr-Cyrl-RS"/>
        </w:rPr>
        <w:t>р</w:t>
      </w:r>
      <w:r w:rsidRPr="00EF2F18">
        <w:rPr>
          <w:sz w:val="22"/>
          <w:lang w:val="sr-Cyrl-RS"/>
        </w:rPr>
        <w:t>ајања Стратегије</w:t>
      </w:r>
    </w:p>
    <w:p w14:paraId="5708BEFE" w14:textId="77777777" w:rsidR="00A84E90" w:rsidRPr="00EF2F18" w:rsidRDefault="00A84E90" w:rsidP="005878D3">
      <w:pPr>
        <w:spacing w:after="0"/>
        <w:jc w:val="both"/>
        <w:rPr>
          <w:sz w:val="22"/>
          <w:lang w:val="sr-Cyrl-RS"/>
        </w:rPr>
      </w:pPr>
    </w:p>
    <w:tbl>
      <w:tblPr>
        <w:tblStyle w:val="GridTable1Light"/>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4895"/>
        <w:gridCol w:w="2995"/>
      </w:tblGrid>
      <w:tr w:rsidR="00C26F4F" w:rsidRPr="00EF2F18" w14:paraId="4A1A3570" w14:textId="77777777" w:rsidTr="006B4DF8">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127" w:type="dxa"/>
            <w:tcBorders>
              <w:bottom w:val="none" w:sz="0" w:space="0" w:color="auto"/>
            </w:tcBorders>
            <w:shd w:val="clear" w:color="auto" w:fill="FFFFCC"/>
            <w:hideMark/>
          </w:tcPr>
          <w:p w14:paraId="48430293" w14:textId="77777777" w:rsidR="005103AD" w:rsidRPr="00EF2F18" w:rsidRDefault="005103AD" w:rsidP="005878D3">
            <w:pPr>
              <w:spacing w:after="0"/>
              <w:jc w:val="both"/>
              <w:rPr>
                <w:sz w:val="22"/>
                <w:lang w:val="sr-Cyrl-RS"/>
              </w:rPr>
            </w:pPr>
            <w:r w:rsidRPr="00EF2F18">
              <w:rPr>
                <w:sz w:val="22"/>
                <w:lang w:val="sr-Cyrl-RS"/>
              </w:rPr>
              <w:t>Циљ</w:t>
            </w:r>
          </w:p>
        </w:tc>
        <w:tc>
          <w:tcPr>
            <w:tcW w:w="4895" w:type="dxa"/>
            <w:tcBorders>
              <w:bottom w:val="none" w:sz="0" w:space="0" w:color="auto"/>
            </w:tcBorders>
            <w:shd w:val="clear" w:color="auto" w:fill="FFFFCC"/>
            <w:hideMark/>
          </w:tcPr>
          <w:p w14:paraId="4DC68CEE" w14:textId="77777777" w:rsidR="005103AD" w:rsidRPr="00EF2F18" w:rsidRDefault="005103AD" w:rsidP="00C26F4F">
            <w:pPr>
              <w:spacing w:after="0"/>
              <w:cnfStyle w:val="100000000000" w:firstRow="1" w:lastRow="0" w:firstColumn="0" w:lastColumn="0" w:oddVBand="0" w:evenVBand="0" w:oddHBand="0" w:evenHBand="0" w:firstRowFirstColumn="0" w:firstRowLastColumn="0" w:lastRowFirstColumn="0" w:lastRowLastColumn="0"/>
              <w:rPr>
                <w:sz w:val="22"/>
                <w:lang w:val="sr-Cyrl-RS"/>
              </w:rPr>
            </w:pPr>
            <w:r w:rsidRPr="00EF2F18">
              <w:rPr>
                <w:sz w:val="22"/>
                <w:lang w:val="sr-Cyrl-RS"/>
              </w:rPr>
              <w:t>Назив показатеља и јединица мере</w:t>
            </w:r>
          </w:p>
        </w:tc>
        <w:tc>
          <w:tcPr>
            <w:tcW w:w="2995" w:type="dxa"/>
            <w:tcBorders>
              <w:bottom w:val="none" w:sz="0" w:space="0" w:color="auto"/>
            </w:tcBorders>
            <w:shd w:val="clear" w:color="auto" w:fill="FFFFCC"/>
            <w:hideMark/>
          </w:tcPr>
          <w:p w14:paraId="551963E5" w14:textId="77777777" w:rsidR="005103AD" w:rsidRPr="00EF2F18" w:rsidRDefault="005103AD" w:rsidP="005878D3">
            <w:pPr>
              <w:spacing w:after="0"/>
              <w:jc w:val="both"/>
              <w:cnfStyle w:val="100000000000" w:firstRow="1" w:lastRow="0" w:firstColumn="0" w:lastColumn="0" w:oddVBand="0" w:evenVBand="0" w:oddHBand="0" w:evenHBand="0" w:firstRowFirstColumn="0" w:firstRowLastColumn="0" w:lastRowFirstColumn="0" w:lastRowLastColumn="0"/>
              <w:rPr>
                <w:sz w:val="22"/>
                <w:lang w:val="sr-Cyrl-RS"/>
              </w:rPr>
            </w:pPr>
            <w:r w:rsidRPr="00EF2F18">
              <w:rPr>
                <w:sz w:val="22"/>
                <w:lang w:val="sr-Cyrl-RS"/>
              </w:rPr>
              <w:t>Задужење за податке</w:t>
            </w:r>
          </w:p>
        </w:tc>
      </w:tr>
      <w:tr w:rsidR="005103AD" w:rsidRPr="00EF2F18" w14:paraId="5D1533DF" w14:textId="77777777" w:rsidTr="006B4DF8">
        <w:tc>
          <w:tcPr>
            <w:cnfStyle w:val="001000000000" w:firstRow="0" w:lastRow="0" w:firstColumn="1" w:lastColumn="0" w:oddVBand="0" w:evenVBand="0" w:oddHBand="0" w:evenHBand="0" w:firstRowFirstColumn="0" w:firstRowLastColumn="0" w:lastRowFirstColumn="0" w:lastRowLastColumn="0"/>
            <w:tcW w:w="1127" w:type="dxa"/>
            <w:hideMark/>
          </w:tcPr>
          <w:p w14:paraId="6A80DD15" w14:textId="1C2512C8" w:rsidR="005103AD" w:rsidRPr="00EF2F18" w:rsidRDefault="005103AD" w:rsidP="005878D3">
            <w:pPr>
              <w:spacing w:after="0"/>
              <w:jc w:val="both"/>
              <w:rPr>
                <w:sz w:val="22"/>
                <w:lang w:val="sr-Cyrl-RS"/>
              </w:rPr>
            </w:pPr>
            <w:r w:rsidRPr="00EF2F18">
              <w:rPr>
                <w:sz w:val="22"/>
                <w:lang w:val="sr-Cyrl-RS"/>
              </w:rPr>
              <w:t>Посеб</w:t>
            </w:r>
            <w:r w:rsidR="00C26F4F" w:rsidRPr="00EF2F18">
              <w:rPr>
                <w:sz w:val="22"/>
                <w:lang w:val="sr-Cyrl-RS"/>
              </w:rPr>
              <w:t>а</w:t>
            </w:r>
            <w:r w:rsidRPr="00EF2F18">
              <w:rPr>
                <w:sz w:val="22"/>
                <w:lang w:val="sr-Cyrl-RS"/>
              </w:rPr>
              <w:t>н циљ 1.2.</w:t>
            </w:r>
          </w:p>
        </w:tc>
        <w:tc>
          <w:tcPr>
            <w:tcW w:w="4895" w:type="dxa"/>
            <w:hideMark/>
          </w:tcPr>
          <w:p w14:paraId="6CAE4ED6" w14:textId="7F2392A9" w:rsidR="005103AD" w:rsidRPr="00EF2F18" w:rsidRDefault="005103AD" w:rsidP="005878D3">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Број смртних случајева услед еле</w:t>
            </w:r>
            <w:r w:rsidR="00C26F4F" w:rsidRPr="00EF2F18">
              <w:rPr>
                <w:sz w:val="22"/>
                <w:lang w:val="sr-Cyrl-RS"/>
              </w:rPr>
              <w:t>м</w:t>
            </w:r>
            <w:r w:rsidRPr="00EF2F18">
              <w:rPr>
                <w:sz w:val="22"/>
                <w:lang w:val="sr-Cyrl-RS"/>
              </w:rPr>
              <w:t>е</w:t>
            </w:r>
            <w:r w:rsidR="00C26F4F" w:rsidRPr="00EF2F18">
              <w:rPr>
                <w:sz w:val="22"/>
                <w:lang w:val="sr-Cyrl-RS"/>
              </w:rPr>
              <w:t>н</w:t>
            </w:r>
            <w:r w:rsidRPr="00EF2F18">
              <w:rPr>
                <w:sz w:val="22"/>
                <w:lang w:val="sr-Cyrl-RS"/>
              </w:rPr>
              <w:t>тарних непогода и катастрофа</w:t>
            </w:r>
            <w:r w:rsidR="0001592F" w:rsidRPr="00EF2F18">
              <w:rPr>
                <w:sz w:val="22"/>
                <w:lang w:val="sr-Cyrl-RS"/>
              </w:rPr>
              <w:t xml:space="preserve"> (број)</w:t>
            </w:r>
          </w:p>
        </w:tc>
        <w:tc>
          <w:tcPr>
            <w:tcW w:w="2995" w:type="dxa"/>
            <w:hideMark/>
          </w:tcPr>
          <w:p w14:paraId="76134A45" w14:textId="6BB14356" w:rsidR="005103AD" w:rsidRPr="00EF2F18" w:rsidRDefault="00536924" w:rsidP="00815AA7">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МУП</w:t>
            </w:r>
          </w:p>
        </w:tc>
      </w:tr>
      <w:tr w:rsidR="005103AD" w:rsidRPr="00EF2F18" w14:paraId="11E290AB" w14:textId="77777777" w:rsidTr="006B4DF8">
        <w:tc>
          <w:tcPr>
            <w:cnfStyle w:val="001000000000" w:firstRow="0" w:lastRow="0" w:firstColumn="1" w:lastColumn="0" w:oddVBand="0" w:evenVBand="0" w:oddHBand="0" w:evenHBand="0" w:firstRowFirstColumn="0" w:firstRowLastColumn="0" w:lastRowFirstColumn="0" w:lastRowLastColumn="0"/>
            <w:tcW w:w="1127" w:type="dxa"/>
            <w:hideMark/>
          </w:tcPr>
          <w:p w14:paraId="1173E721" w14:textId="350F418F" w:rsidR="005103AD" w:rsidRPr="00EF2F18" w:rsidRDefault="005103AD" w:rsidP="005878D3">
            <w:pPr>
              <w:spacing w:after="0"/>
              <w:jc w:val="both"/>
              <w:rPr>
                <w:sz w:val="22"/>
                <w:lang w:val="sr-Cyrl-RS"/>
              </w:rPr>
            </w:pPr>
            <w:r w:rsidRPr="00EF2F18">
              <w:rPr>
                <w:sz w:val="22"/>
                <w:lang w:val="sr-Cyrl-RS"/>
              </w:rPr>
              <w:t>Посеб</w:t>
            </w:r>
            <w:r w:rsidR="00C26F4F" w:rsidRPr="00EF2F18">
              <w:rPr>
                <w:sz w:val="22"/>
                <w:lang w:val="sr-Cyrl-RS"/>
              </w:rPr>
              <w:t>а</w:t>
            </w:r>
            <w:r w:rsidRPr="00EF2F18">
              <w:rPr>
                <w:sz w:val="22"/>
                <w:lang w:val="sr-Cyrl-RS"/>
              </w:rPr>
              <w:t>н циљ 1.2.</w:t>
            </w:r>
          </w:p>
        </w:tc>
        <w:tc>
          <w:tcPr>
            <w:tcW w:w="4895" w:type="dxa"/>
            <w:hideMark/>
          </w:tcPr>
          <w:p w14:paraId="26768CCB" w14:textId="77777777" w:rsidR="005103AD" w:rsidRPr="00EF2F18" w:rsidRDefault="005103AD" w:rsidP="005878D3">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Штете у шумама (ha, m</w:t>
            </w:r>
            <w:r w:rsidRPr="00EF2F18">
              <w:rPr>
                <w:sz w:val="22"/>
                <w:vertAlign w:val="superscript"/>
                <w:lang w:val="sr-Cyrl-RS"/>
              </w:rPr>
              <w:t>3</w:t>
            </w:r>
            <w:r w:rsidRPr="00EF2F18">
              <w:rPr>
                <w:sz w:val="22"/>
                <w:lang w:val="sr-Cyrl-RS"/>
              </w:rPr>
              <w:t>)</w:t>
            </w:r>
          </w:p>
        </w:tc>
        <w:tc>
          <w:tcPr>
            <w:tcW w:w="2995" w:type="dxa"/>
            <w:hideMark/>
          </w:tcPr>
          <w:p w14:paraId="2D041D3E" w14:textId="1FA45F56" w:rsidR="005103AD" w:rsidRPr="00EF2F18" w:rsidRDefault="00536924" w:rsidP="00815AA7">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 xml:space="preserve">МПШВ - </w:t>
            </w:r>
            <w:r w:rsidR="0078595C" w:rsidRPr="00EF2F18">
              <w:rPr>
                <w:sz w:val="22"/>
                <w:lang w:val="sr-Cyrl-RS"/>
              </w:rPr>
              <w:t>Управа за шуме</w:t>
            </w:r>
          </w:p>
        </w:tc>
      </w:tr>
      <w:tr w:rsidR="005103AD" w:rsidRPr="00EF2F18" w14:paraId="05397759" w14:textId="77777777" w:rsidTr="006B4DF8">
        <w:tc>
          <w:tcPr>
            <w:cnfStyle w:val="001000000000" w:firstRow="0" w:lastRow="0" w:firstColumn="1" w:lastColumn="0" w:oddVBand="0" w:evenVBand="0" w:oddHBand="0" w:evenHBand="0" w:firstRowFirstColumn="0" w:firstRowLastColumn="0" w:lastRowFirstColumn="0" w:lastRowLastColumn="0"/>
            <w:tcW w:w="1127" w:type="dxa"/>
          </w:tcPr>
          <w:p w14:paraId="04BEA6F0" w14:textId="497D602F" w:rsidR="005103AD" w:rsidRPr="00EF2F18" w:rsidRDefault="002E2F94" w:rsidP="005878D3">
            <w:pPr>
              <w:spacing w:after="0"/>
              <w:jc w:val="both"/>
              <w:rPr>
                <w:sz w:val="22"/>
                <w:lang w:val="sr-Cyrl-RS"/>
              </w:rPr>
            </w:pPr>
            <w:r w:rsidRPr="00EF2F18">
              <w:rPr>
                <w:sz w:val="22"/>
                <w:lang w:val="sr-Cyrl-RS"/>
              </w:rPr>
              <w:t>Посебан циљ 6.2.</w:t>
            </w:r>
          </w:p>
        </w:tc>
        <w:tc>
          <w:tcPr>
            <w:tcW w:w="4895" w:type="dxa"/>
          </w:tcPr>
          <w:p w14:paraId="21170B2C" w14:textId="2AD796D1" w:rsidR="005103AD" w:rsidRPr="00EF2F18" w:rsidRDefault="002E2F94" w:rsidP="005878D3">
            <w:pPr>
              <w:spacing w:after="0"/>
              <w:jc w:val="both"/>
              <w:cnfStyle w:val="000000000000" w:firstRow="0" w:lastRow="0" w:firstColumn="0" w:lastColumn="0" w:oddVBand="0" w:evenVBand="0" w:oddHBand="0" w:evenHBand="0" w:firstRowFirstColumn="0" w:firstRowLastColumn="0" w:lastRowFirstColumn="0" w:lastRowLastColumn="0"/>
              <w:rPr>
                <w:sz w:val="22"/>
                <w:lang w:val="sr-Cyrl-RS"/>
              </w:rPr>
            </w:pPr>
            <w:r w:rsidRPr="00EF2F18">
              <w:rPr>
                <w:rFonts w:eastAsia="Arial" w:cs="Times New Roman"/>
                <w:color w:val="000000"/>
                <w:sz w:val="22"/>
                <w:lang w:val="sr-Cyrl-RS"/>
              </w:rPr>
              <w:t>Удео окончаних управних спорова и подигнутих оптужних захтева у поступцима везаним за заштиту животне средине у односу на број покренутих поступака, укупно (</w:t>
            </w:r>
            <w:r w:rsidR="0001592F" w:rsidRPr="00EF2F18">
              <w:rPr>
                <w:rFonts w:eastAsia="Arial" w:cs="Times New Roman"/>
                <w:color w:val="000000"/>
                <w:sz w:val="22"/>
                <w:lang w:val="sr-Cyrl-RS"/>
              </w:rPr>
              <w:t>%</w:t>
            </w:r>
            <w:r w:rsidRPr="00EF2F18">
              <w:rPr>
                <w:rFonts w:eastAsia="Arial" w:cs="Times New Roman"/>
                <w:color w:val="000000"/>
                <w:sz w:val="22"/>
                <w:lang w:val="sr-Cyrl-RS"/>
              </w:rPr>
              <w:t xml:space="preserve">) </w:t>
            </w:r>
          </w:p>
        </w:tc>
        <w:tc>
          <w:tcPr>
            <w:tcW w:w="2995" w:type="dxa"/>
          </w:tcPr>
          <w:p w14:paraId="0C14637D" w14:textId="6BF5612B" w:rsidR="005103AD" w:rsidRPr="00EF2F18" w:rsidRDefault="00BC5C85" w:rsidP="00BC5C85">
            <w:pPr>
              <w:spacing w:after="0"/>
              <w:cnfStyle w:val="000000000000" w:firstRow="0" w:lastRow="0" w:firstColumn="0" w:lastColumn="0" w:oddVBand="0" w:evenVBand="0" w:oddHBand="0" w:evenHBand="0" w:firstRowFirstColumn="0" w:firstRowLastColumn="0" w:lastRowFirstColumn="0" w:lastRowLastColumn="0"/>
              <w:rPr>
                <w:sz w:val="22"/>
                <w:lang w:val="sr-Cyrl-RS"/>
              </w:rPr>
            </w:pPr>
            <w:r w:rsidRPr="00EF2F18">
              <w:rPr>
                <w:sz w:val="22"/>
                <w:lang w:val="sr-Cyrl-RS"/>
              </w:rPr>
              <w:t>Врховни суд,</w:t>
            </w:r>
            <w:r w:rsidR="00FA7222" w:rsidRPr="00EF2F18">
              <w:rPr>
                <w:sz w:val="22"/>
                <w:lang w:val="sr-Cyrl-RS"/>
              </w:rPr>
              <w:t xml:space="preserve"> </w:t>
            </w:r>
            <w:r w:rsidRPr="00EF2F18">
              <w:rPr>
                <w:sz w:val="22"/>
                <w:lang w:val="sr-Cyrl-RS"/>
              </w:rPr>
              <w:t>ВЈТ</w:t>
            </w:r>
          </w:p>
        </w:tc>
      </w:tr>
    </w:tbl>
    <w:p w14:paraId="22AEE15C" w14:textId="77777777" w:rsidR="005103AD" w:rsidRPr="00EF2F18" w:rsidRDefault="005103AD" w:rsidP="005878D3">
      <w:pPr>
        <w:spacing w:after="0"/>
        <w:ind w:firstLine="720"/>
        <w:jc w:val="both"/>
        <w:rPr>
          <w:sz w:val="22"/>
          <w:lang w:val="sr-Cyrl-RS"/>
        </w:rPr>
      </w:pPr>
    </w:p>
    <w:p w14:paraId="2A084F7B" w14:textId="00B3155E" w:rsidR="005103AD" w:rsidRPr="00EF2F18" w:rsidRDefault="005103AD" w:rsidP="005878D3">
      <w:pPr>
        <w:spacing w:after="0"/>
        <w:ind w:firstLine="720"/>
        <w:jc w:val="both"/>
        <w:rPr>
          <w:sz w:val="22"/>
          <w:lang w:val="sr-Cyrl-RS"/>
        </w:rPr>
      </w:pPr>
      <w:r w:rsidRPr="00EF2F18">
        <w:rPr>
          <w:sz w:val="22"/>
          <w:lang w:val="sr-Cyrl-RS"/>
        </w:rPr>
        <w:t>У акционим плановима за с</w:t>
      </w:r>
      <w:r w:rsidR="00CD0974" w:rsidRPr="00EF2F18">
        <w:rPr>
          <w:sz w:val="22"/>
          <w:lang w:val="sr-Cyrl-RS"/>
        </w:rPr>
        <w:t>п</w:t>
      </w:r>
      <w:r w:rsidRPr="00EF2F18">
        <w:rPr>
          <w:sz w:val="22"/>
          <w:lang w:val="sr-Cyrl-RS"/>
        </w:rPr>
        <w:t xml:space="preserve">ровођење Стратегије се могу утврдити и додатни показатељи, који омогућавају праћење учинка на годишњем нивоу и/или до краја периода важења одређеног акционог плана. </w:t>
      </w:r>
    </w:p>
    <w:p w14:paraId="33339066" w14:textId="1DA3D47B" w:rsidR="001D04F8" w:rsidRPr="00EF2F18" w:rsidRDefault="00F141C7" w:rsidP="00536924">
      <w:pPr>
        <w:spacing w:after="0"/>
        <w:ind w:firstLine="720"/>
        <w:jc w:val="both"/>
        <w:rPr>
          <w:sz w:val="22"/>
          <w:lang w:val="sr-Cyrl-RS"/>
        </w:rPr>
      </w:pPr>
      <w:bookmarkStart w:id="146" w:name="_Hlk179743330"/>
      <w:r w:rsidRPr="00EF2F18">
        <w:rPr>
          <w:sz w:val="22"/>
          <w:lang w:val="sr-Cyrl-RS"/>
        </w:rPr>
        <w:t xml:space="preserve">За спровођење Стратегије, поред већ усвојених докумената јавних политика, </w:t>
      </w:r>
      <w:r w:rsidR="00536924" w:rsidRPr="00EF2F18">
        <w:rPr>
          <w:rFonts w:cs="Times New Roman"/>
          <w:bCs/>
          <w:sz w:val="22"/>
          <w:lang w:val="sr-Cyrl-RS"/>
        </w:rPr>
        <w:t>Програма заштите ваздуха у Републици Србији за период од 2022. до 2030. године</w:t>
      </w:r>
      <w:r w:rsidR="00536924" w:rsidRPr="00EF2F18">
        <w:rPr>
          <w:bCs/>
          <w:sz w:val="22"/>
          <w:lang w:val="sr-Cyrl-RS"/>
        </w:rPr>
        <w:t>,</w:t>
      </w:r>
      <w:r w:rsidR="006C2E00" w:rsidRPr="00EF2F18">
        <w:rPr>
          <w:bCs/>
          <w:sz w:val="22"/>
          <w:lang w:val="sr-Cyrl-RS"/>
        </w:rPr>
        <w:t xml:space="preserve"> </w:t>
      </w:r>
      <w:r w:rsidR="00536924" w:rsidRPr="00EF2F18">
        <w:rPr>
          <w:rFonts w:cs="Times New Roman"/>
          <w:bCs/>
          <w:sz w:val="22"/>
          <w:lang w:val="sr-Cyrl-RS"/>
        </w:rPr>
        <w:t>Програма управљања отпадом у Републици Србији за период 2022-2031. године,</w:t>
      </w:r>
      <w:r w:rsidR="00536924" w:rsidRPr="00EF2F18">
        <w:rPr>
          <w:sz w:val="22"/>
          <w:lang w:val="sr-Cyrl-RS"/>
        </w:rPr>
        <w:t xml:space="preserve"> Програма управљања муљем </w:t>
      </w:r>
      <w:r w:rsidR="00536924" w:rsidRPr="00EF2F18">
        <w:rPr>
          <w:rFonts w:cs="Times New Roman"/>
          <w:sz w:val="22"/>
          <w:lang w:val="sr-Cyrl-RS"/>
        </w:rPr>
        <w:t>у Републици Србији</w:t>
      </w:r>
      <w:r w:rsidR="00536924" w:rsidRPr="00EF2F18">
        <w:rPr>
          <w:sz w:val="22"/>
          <w:lang w:val="sr-Cyrl-RS"/>
        </w:rPr>
        <w:t xml:space="preserve"> за период 2023-2032. године и Програма прилагођавања на измењене климатске услове </w:t>
      </w:r>
      <w:r w:rsidR="00536924" w:rsidRPr="00EF2F18">
        <w:rPr>
          <w:rFonts w:cs="Times New Roman"/>
          <w:sz w:val="22"/>
          <w:lang w:val="sr-Cyrl-RS"/>
        </w:rPr>
        <w:t>за период од 2023. до 2030. године</w:t>
      </w:r>
      <w:r w:rsidR="00536924" w:rsidRPr="00EF2F18">
        <w:rPr>
          <w:sz w:val="22"/>
          <w:lang w:val="sr-Cyrl-RS"/>
        </w:rPr>
        <w:t>, могу бити израђени и други програми за подобласт: заштите природе, индустријску безбедност, заштиту земљишта, развој шумарства, животну средину и здравље, примен</w:t>
      </w:r>
      <w:r w:rsidR="001D04F8" w:rsidRPr="00EF2F18">
        <w:rPr>
          <w:sz w:val="22"/>
          <w:lang w:val="sr-Cyrl-RS"/>
        </w:rPr>
        <w:t>у</w:t>
      </w:r>
      <w:r w:rsidR="00536924" w:rsidRPr="00EF2F18">
        <w:rPr>
          <w:sz w:val="22"/>
          <w:lang w:val="sr-Cyrl-RS"/>
        </w:rPr>
        <w:t xml:space="preserve"> Архуске конвенције. Такође, могу бити израђени и други оперативни плански документи за области: управљања хемикалијама и радијациону и нуклеарну сигурност и безбедност и др. Након истека важећих програма биће израђени нови програми за те подобласти Зелене агенде. </w:t>
      </w:r>
      <w:r w:rsidR="00536924" w:rsidRPr="00EF2F18">
        <w:rPr>
          <w:sz w:val="22"/>
          <w:lang w:val="sr-Cyrl-RS"/>
        </w:rPr>
        <w:tab/>
      </w:r>
      <w:r w:rsidR="001D53D6" w:rsidRPr="00EF2F18">
        <w:rPr>
          <w:sz w:val="22"/>
          <w:lang w:val="sr-Cyrl-RS"/>
        </w:rPr>
        <w:t>Додатно, након усвајања Стратегије, потребно је размотрити потребу за евентуалним измена</w:t>
      </w:r>
      <w:r w:rsidR="004A2129" w:rsidRPr="00EF2F18">
        <w:rPr>
          <w:sz w:val="22"/>
          <w:lang w:val="sr-Cyrl-RS"/>
        </w:rPr>
        <w:t>ма</w:t>
      </w:r>
      <w:r w:rsidR="001D53D6" w:rsidRPr="00EF2F18">
        <w:rPr>
          <w:sz w:val="22"/>
          <w:lang w:val="sr-Cyrl-RS"/>
        </w:rPr>
        <w:t xml:space="preserve"> и допуна</w:t>
      </w:r>
      <w:r w:rsidR="004A2129" w:rsidRPr="00EF2F18">
        <w:rPr>
          <w:sz w:val="22"/>
          <w:lang w:val="sr-Cyrl-RS"/>
        </w:rPr>
        <w:t>ма</w:t>
      </w:r>
      <w:r w:rsidR="001D53D6" w:rsidRPr="00EF2F18">
        <w:rPr>
          <w:sz w:val="22"/>
          <w:lang w:val="sr-Cyrl-RS"/>
        </w:rPr>
        <w:t xml:space="preserve"> релевантних важећих докумената јавних политика, у првом реду Стратегијe нискоугљеничног развоја за период од 2023. до 2030. године са пројекцијама до 2050. године</w:t>
      </w:r>
      <w:r w:rsidR="00312B57" w:rsidRPr="00EF2F18">
        <w:rPr>
          <w:sz w:val="22"/>
          <w:lang w:val="sr-Cyrl-RS"/>
        </w:rPr>
        <w:t>.</w:t>
      </w:r>
    </w:p>
    <w:p w14:paraId="60001577" w14:textId="556835D7" w:rsidR="00F141C7" w:rsidRPr="00EF2F18" w:rsidRDefault="00536924" w:rsidP="00536924">
      <w:pPr>
        <w:spacing w:after="0"/>
        <w:ind w:firstLine="720"/>
        <w:jc w:val="both"/>
        <w:rPr>
          <w:rFonts w:cs="Times New Roman"/>
          <w:sz w:val="22"/>
          <w:lang w:val="sr-Cyrl-RS"/>
        </w:rPr>
      </w:pPr>
      <w:r w:rsidRPr="00EF2F18">
        <w:rPr>
          <w:sz w:val="22"/>
          <w:lang w:val="sr-Cyrl-RS"/>
        </w:rPr>
        <w:t xml:space="preserve">У вези са спровођењем Стратегије потребно је пратити и спровођење следећих релевантних докумената јавних политика: Стратегију нискоугљеничног развоја за период од 2023. до 2030. године са пројекцијама до 2050. године, Стратегију управљања водама на територији Републике Србије до 2034. године, </w:t>
      </w:r>
      <w:r w:rsidRPr="00EF2F18">
        <w:rPr>
          <w:rFonts w:cs="Times New Roman"/>
          <w:iCs/>
          <w:sz w:val="22"/>
          <w:lang w:val="sr-Cyrl-RS"/>
        </w:rPr>
        <w:t>ИПАРД програм Републике Србије за период 2021-2027. године, и документе у области пл</w:t>
      </w:r>
      <w:r w:rsidR="001D04F8" w:rsidRPr="00EF2F18">
        <w:rPr>
          <w:rFonts w:cs="Times New Roman"/>
          <w:iCs/>
          <w:sz w:val="22"/>
          <w:lang w:val="sr-Cyrl-RS"/>
        </w:rPr>
        <w:t>а</w:t>
      </w:r>
      <w:r w:rsidRPr="00EF2F18">
        <w:rPr>
          <w:rFonts w:cs="Times New Roman"/>
          <w:iCs/>
          <w:sz w:val="22"/>
          <w:lang w:val="sr-Cyrl-RS"/>
        </w:rPr>
        <w:t xml:space="preserve">нирања пољопривреде и руралног развоја у вези са </w:t>
      </w:r>
      <w:r w:rsidRPr="00EF2F18">
        <w:rPr>
          <w:rFonts w:cs="Times New Roman"/>
          <w:sz w:val="22"/>
          <w:lang w:val="sr-Cyrl-RS"/>
        </w:rPr>
        <w:t>стубом одрживе пољопривреде и руралног развоја</w:t>
      </w:r>
      <w:r w:rsidRPr="00EF2F18">
        <w:rPr>
          <w:rFonts w:cs="Times New Roman"/>
          <w:iCs/>
          <w:sz w:val="22"/>
          <w:lang w:val="sr-Cyrl-RS"/>
        </w:rPr>
        <w:t xml:space="preserve">, као и </w:t>
      </w:r>
      <w:r w:rsidRPr="00EF2F18">
        <w:rPr>
          <w:sz w:val="22"/>
          <w:lang w:val="sr-Cyrl-RS"/>
        </w:rPr>
        <w:t xml:space="preserve">све документе јавних политика у области енергетике у вези са стубом декарбонизације, укључујући Интегрисани национални енергетски и климатски план Републике Србије за период до 2030. године са визијом до 2050. године, и </w:t>
      </w:r>
      <w:r w:rsidRPr="00EF2F18">
        <w:rPr>
          <w:rFonts w:cs="Times New Roman"/>
          <w:sz w:val="22"/>
          <w:lang w:val="sr-Cyrl-RS"/>
        </w:rPr>
        <w:t>Национални план за смањење емисија главних загађујућих материја које потичу из старих великих постројења за сагоревање</w:t>
      </w:r>
      <w:r w:rsidR="00F141C7" w:rsidRPr="00EF2F18">
        <w:rPr>
          <w:rFonts w:cs="Times New Roman"/>
          <w:sz w:val="22"/>
          <w:lang w:val="sr-Cyrl-RS"/>
        </w:rPr>
        <w:t>.</w:t>
      </w:r>
    </w:p>
    <w:bookmarkEnd w:id="146"/>
    <w:p w14:paraId="1BDDD8FC" w14:textId="77777777" w:rsidR="005103AD" w:rsidRPr="00EF2F18" w:rsidRDefault="005103AD" w:rsidP="005878D3">
      <w:pPr>
        <w:spacing w:after="0"/>
        <w:ind w:firstLine="720"/>
        <w:jc w:val="both"/>
        <w:rPr>
          <w:sz w:val="22"/>
          <w:lang w:val="sr-Cyrl-RS"/>
        </w:rPr>
      </w:pPr>
      <w:r w:rsidRPr="00EF2F18">
        <w:rPr>
          <w:sz w:val="22"/>
          <w:lang w:val="sr-Cyrl-RS"/>
        </w:rPr>
        <w:t>Извештаје о напретку у спровођењу Стратегије и акционог плана припрема министарство надлежно за послове заштите животне средине, на основу података које достављају друга министарства надлежна за праћење спровођења појединих општих и посебних циљева Стратегије и органи надлежни за спровођење мера и активности и/или за обезбеђивање података о оствареним вредностима показатеља учинка.</w:t>
      </w:r>
    </w:p>
    <w:p w14:paraId="28D9F0F9" w14:textId="77777777" w:rsidR="005103AD" w:rsidRPr="00EF2F18" w:rsidRDefault="005103AD" w:rsidP="005878D3">
      <w:pPr>
        <w:spacing w:after="0"/>
        <w:ind w:firstLine="720"/>
        <w:jc w:val="both"/>
        <w:rPr>
          <w:sz w:val="22"/>
          <w:lang w:val="sr-Cyrl-RS"/>
        </w:rPr>
      </w:pPr>
      <w:r w:rsidRPr="00EF2F18">
        <w:rPr>
          <w:sz w:val="22"/>
          <w:lang w:val="sr-Cyrl-RS"/>
        </w:rPr>
        <w:t>У току трајања Стратегије припремају се следећи извештаји:</w:t>
      </w:r>
    </w:p>
    <w:p w14:paraId="4BFE477D" w14:textId="464A6645" w:rsidR="005103AD" w:rsidRPr="00EF2F18" w:rsidRDefault="005103AD" w:rsidP="00313E8E">
      <w:pPr>
        <w:pStyle w:val="ListParagraph"/>
        <w:numPr>
          <w:ilvl w:val="0"/>
          <w:numId w:val="27"/>
        </w:numPr>
        <w:spacing w:after="0"/>
        <w:jc w:val="both"/>
        <w:rPr>
          <w:sz w:val="22"/>
          <w:lang w:val="sr-Cyrl-RS"/>
        </w:rPr>
      </w:pPr>
      <w:r w:rsidRPr="00EF2F18">
        <w:rPr>
          <w:sz w:val="22"/>
          <w:lang w:val="sr-Cyrl-RS"/>
        </w:rPr>
        <w:t>Годишњи извештаји о спровођењу акционог плана Стратегије;</w:t>
      </w:r>
    </w:p>
    <w:p w14:paraId="750967BD" w14:textId="77777777" w:rsidR="005103AD" w:rsidRPr="00EF2F18" w:rsidRDefault="005103AD" w:rsidP="00313E8E">
      <w:pPr>
        <w:pStyle w:val="ListParagraph"/>
        <w:numPr>
          <w:ilvl w:val="0"/>
          <w:numId w:val="27"/>
        </w:numPr>
        <w:spacing w:after="0"/>
        <w:jc w:val="both"/>
        <w:rPr>
          <w:sz w:val="22"/>
          <w:lang w:val="sr-Cyrl-RS"/>
        </w:rPr>
      </w:pPr>
      <w:r w:rsidRPr="00EF2F18">
        <w:rPr>
          <w:sz w:val="22"/>
          <w:lang w:val="sr-Cyrl-RS"/>
        </w:rPr>
        <w:t>Извештаји о спровођењу Стратегије, који се израђују након истека сваке треће календарске године од дана усвајања;</w:t>
      </w:r>
    </w:p>
    <w:p w14:paraId="04DDBBFE" w14:textId="7C0C713D" w:rsidR="005103AD" w:rsidRPr="00EF2F18" w:rsidRDefault="005103AD" w:rsidP="00313E8E">
      <w:pPr>
        <w:pStyle w:val="ListParagraph"/>
        <w:numPr>
          <w:ilvl w:val="0"/>
          <w:numId w:val="27"/>
        </w:numPr>
        <w:spacing w:after="0"/>
        <w:jc w:val="both"/>
        <w:rPr>
          <w:sz w:val="22"/>
          <w:lang w:val="sr-Cyrl-RS"/>
        </w:rPr>
      </w:pPr>
      <w:r w:rsidRPr="00EF2F18">
        <w:rPr>
          <w:sz w:val="22"/>
          <w:lang w:val="sr-Cyrl-RS"/>
        </w:rPr>
        <w:t xml:space="preserve">Финални извештај о спровођењу Стратегије након истека периода њеног важења, </w:t>
      </w:r>
      <w:r w:rsidR="00536924" w:rsidRPr="00EF2F18">
        <w:rPr>
          <w:sz w:val="22"/>
          <w:lang w:val="sr-Cyrl-RS"/>
        </w:rPr>
        <w:t>у складу са прописима којима се уређује плански систем</w:t>
      </w:r>
      <w:r w:rsidRPr="00EF2F18">
        <w:rPr>
          <w:sz w:val="22"/>
          <w:lang w:val="sr-Cyrl-RS"/>
        </w:rPr>
        <w:t>.</w:t>
      </w:r>
    </w:p>
    <w:p w14:paraId="4981BC57" w14:textId="2CA61A94" w:rsidR="005103AD" w:rsidRPr="00EF2F18" w:rsidRDefault="005103AD" w:rsidP="005878D3">
      <w:pPr>
        <w:spacing w:after="0"/>
        <w:ind w:firstLine="720"/>
        <w:jc w:val="both"/>
        <w:rPr>
          <w:sz w:val="22"/>
          <w:lang w:val="sr-Cyrl-RS"/>
        </w:rPr>
      </w:pPr>
      <w:r w:rsidRPr="00EF2F18">
        <w:rPr>
          <w:sz w:val="22"/>
          <w:lang w:val="sr-Cyrl-RS"/>
        </w:rPr>
        <w:t>Годишњи извештај о спровођењу акционог плана (у даљем тексту: годишњи извештај) припрема министарство надлежно за заштиту животне ср</w:t>
      </w:r>
      <w:r w:rsidR="00516CB8">
        <w:rPr>
          <w:sz w:val="22"/>
          <w:lang w:val="sr-Cyrl-RS"/>
        </w:rPr>
        <w:t>едине и упућује Влади на усваја</w:t>
      </w:r>
      <w:r w:rsidRPr="00EF2F18">
        <w:rPr>
          <w:sz w:val="22"/>
          <w:lang w:val="sr-Cyrl-RS"/>
        </w:rPr>
        <w:t xml:space="preserve">ње. Годишњи извештај се припрема на основу података које, у складу са Законом о планском </w:t>
      </w:r>
      <w:r w:rsidRPr="00EF2F18">
        <w:rPr>
          <w:sz w:val="22"/>
          <w:lang w:val="sr-Cyrl-RS"/>
        </w:rPr>
        <w:lastRenderedPageBreak/>
        <w:t>систему</w:t>
      </w:r>
      <w:r w:rsidR="00FE4557">
        <w:rPr>
          <w:sz w:val="22"/>
          <w:lang w:val="sr-Cyrl-RS"/>
        </w:rPr>
        <w:t xml:space="preserve"> </w:t>
      </w:r>
      <w:r w:rsidR="00FE4557" w:rsidRPr="00FE4557">
        <w:rPr>
          <w:bCs/>
          <w:sz w:val="22"/>
          <w:lang w:val="sr-Cyrl-RS"/>
        </w:rPr>
        <w:t>Републике Србије</w:t>
      </w:r>
      <w:r w:rsidRPr="00EF2F18">
        <w:rPr>
          <w:sz w:val="22"/>
          <w:lang w:val="sr-Cyrl-RS"/>
        </w:rPr>
        <w:t xml:space="preserve">, уносе сви надлежни органи у Јединствени информациони систем за планирање, праћење спровођења, координацију јавних политика и извештавање (у даљем тесту: ЈИС). Након усвајања, структуру Стратегије и </w:t>
      </w:r>
      <w:r w:rsidR="00924B1E" w:rsidRPr="00EF2F18">
        <w:rPr>
          <w:sz w:val="22"/>
          <w:lang w:val="sr-Cyrl-RS"/>
        </w:rPr>
        <w:t xml:space="preserve">акционог </w:t>
      </w:r>
      <w:r w:rsidRPr="00EF2F18">
        <w:rPr>
          <w:sz w:val="22"/>
          <w:lang w:val="sr-Cyrl-RS"/>
        </w:rPr>
        <w:t>план</w:t>
      </w:r>
      <w:r w:rsidR="00924B1E" w:rsidRPr="00EF2F18">
        <w:rPr>
          <w:sz w:val="22"/>
          <w:lang w:val="sr-Cyrl-RS"/>
        </w:rPr>
        <w:t>а</w:t>
      </w:r>
      <w:r w:rsidRPr="00EF2F18">
        <w:rPr>
          <w:sz w:val="22"/>
          <w:lang w:val="sr-Cyrl-RS"/>
        </w:rPr>
        <w:t xml:space="preserve"> у ЈИС уноси лице из министарства надлежног за заштиту животне средине одређено као координатор Стратегије, уз подршку администратора ЈИС-а за то министарство и Републичког секретаријата за јавне политике, као надлежног за управљање ЈИС-ом и пружање подршке за његово коришћење. Такође, сваки орган надлежан за координацију и праћење спровођења одређених циљева и/или спровођење мера/активности у акционом плану одређује свог ко</w:t>
      </w:r>
      <w:r w:rsidR="005031E6">
        <w:rPr>
          <w:sz w:val="22"/>
          <w:lang w:val="sr-Cyrl-RS"/>
        </w:rPr>
        <w:t>о</w:t>
      </w:r>
      <w:r w:rsidRPr="00EF2F18">
        <w:rPr>
          <w:sz w:val="22"/>
          <w:lang w:val="sr-Cyrl-RS"/>
        </w:rPr>
        <w:t xml:space="preserve">родинатора за праћење спровођења и извештавање о оствареним вредностима показатеља и напретку у спровођењу мера и активности из своје надлежности, као и друге податке предвиђене за уношење у ЈИС. </w:t>
      </w:r>
    </w:p>
    <w:p w14:paraId="112330DF" w14:textId="04613BB5" w:rsidR="005103AD" w:rsidRPr="00EF2F18" w:rsidRDefault="005103AD" w:rsidP="005878D3">
      <w:pPr>
        <w:spacing w:after="0"/>
        <w:ind w:firstLine="720"/>
        <w:jc w:val="both"/>
        <w:rPr>
          <w:sz w:val="22"/>
          <w:lang w:val="sr-Cyrl-RS"/>
        </w:rPr>
      </w:pPr>
      <w:r w:rsidRPr="00EF2F18">
        <w:rPr>
          <w:sz w:val="22"/>
          <w:lang w:val="sr-Cyrl-RS"/>
        </w:rPr>
        <w:t>У случају када постоје програми који проистичу из посебних циљева Стратегије, подаци у ЈИС-у о напретку у спровођењу активности, и остварених вредности показатеља се преносе из извештаја о напретку у спровођењу акционих планова програма у извештај о спровођењу акционог плана Стр</w:t>
      </w:r>
      <w:r w:rsidR="00A25D04" w:rsidRPr="00EF2F18">
        <w:rPr>
          <w:sz w:val="22"/>
          <w:lang w:val="sr-Cyrl-RS"/>
        </w:rPr>
        <w:t>a</w:t>
      </w:r>
      <w:r w:rsidRPr="00EF2F18">
        <w:rPr>
          <w:sz w:val="22"/>
          <w:lang w:val="sr-Cyrl-RS"/>
        </w:rPr>
        <w:t>тегије. Рок за објављивање годишњег извештај</w:t>
      </w:r>
      <w:r w:rsidR="00A25D04" w:rsidRPr="00EF2F18">
        <w:rPr>
          <w:sz w:val="22"/>
          <w:lang w:val="sr-Cyrl-RS"/>
        </w:rPr>
        <w:t>a</w:t>
      </w:r>
      <w:r w:rsidRPr="00EF2F18">
        <w:rPr>
          <w:sz w:val="22"/>
          <w:lang w:val="sr-Cyrl-RS"/>
        </w:rPr>
        <w:t xml:space="preserve"> о спровођењу А</w:t>
      </w:r>
      <w:r w:rsidR="00536924" w:rsidRPr="00EF2F18">
        <w:rPr>
          <w:sz w:val="22"/>
          <w:lang w:val="sr-Cyrl-RS"/>
        </w:rPr>
        <w:t>кционог плана</w:t>
      </w:r>
      <w:r w:rsidRPr="00EF2F18">
        <w:rPr>
          <w:sz w:val="22"/>
          <w:lang w:val="sr-Cyrl-RS"/>
        </w:rPr>
        <w:t xml:space="preserve"> Ст</w:t>
      </w:r>
      <w:r w:rsidR="00A25D04" w:rsidRPr="00EF2F18">
        <w:rPr>
          <w:sz w:val="22"/>
          <w:lang w:val="sr-Cyrl-RS"/>
        </w:rPr>
        <w:t>ра</w:t>
      </w:r>
      <w:r w:rsidRPr="00EF2F18">
        <w:rPr>
          <w:sz w:val="22"/>
          <w:lang w:val="sr-Cyrl-RS"/>
        </w:rPr>
        <w:t>тегије је 30. април текуће године за учинак у претходној години и с тим у вези, подаци о учинцима у претходној години о спровођењу акционих планова програма треба да буду благовремено унети у ЈИС, најка</w:t>
      </w:r>
      <w:r w:rsidR="00482AC6" w:rsidRPr="00EF2F18">
        <w:rPr>
          <w:sz w:val="22"/>
          <w:lang w:val="sr-Cyrl-RS"/>
        </w:rPr>
        <w:t>сније</w:t>
      </w:r>
      <w:r w:rsidRPr="00EF2F18">
        <w:rPr>
          <w:sz w:val="22"/>
          <w:lang w:val="sr-Cyrl-RS"/>
        </w:rPr>
        <w:t xml:space="preserve"> до краја фебруара текуће године.</w:t>
      </w:r>
    </w:p>
    <w:p w14:paraId="1EBBC75C" w14:textId="212E3B89" w:rsidR="00482AC6" w:rsidRPr="00EF2F18" w:rsidRDefault="00F17537" w:rsidP="00A84E90">
      <w:pPr>
        <w:spacing w:after="0"/>
        <w:ind w:firstLine="720"/>
        <w:jc w:val="both"/>
        <w:rPr>
          <w:sz w:val="22"/>
          <w:lang w:val="sr-Cyrl-RS"/>
        </w:rPr>
      </w:pPr>
      <w:r w:rsidRPr="00EF2F18">
        <w:rPr>
          <w:noProof/>
          <w:sz w:val="22"/>
          <w:lang w:val="sr-Cyrl-RS" w:eastAsia="sr-Cyrl-RS"/>
        </w:rPr>
        <mc:AlternateContent>
          <mc:Choice Requires="wps">
            <w:drawing>
              <wp:anchor distT="0" distB="0" distL="114300" distR="114300" simplePos="0" relativeHeight="251659264" behindDoc="0" locked="0" layoutInCell="1" allowOverlap="1" wp14:anchorId="66BC765B" wp14:editId="58FA891A">
                <wp:simplePos x="0" y="0"/>
                <wp:positionH relativeFrom="column">
                  <wp:posOffset>1543660</wp:posOffset>
                </wp:positionH>
                <wp:positionV relativeFrom="paragraph">
                  <wp:posOffset>1017854</wp:posOffset>
                </wp:positionV>
                <wp:extent cx="665018" cy="107431"/>
                <wp:effectExtent l="0" t="19050" r="40005" b="45085"/>
                <wp:wrapNone/>
                <wp:docPr id="10" name="Right Arrow 5"/>
                <wp:cNvGraphicFramePr/>
                <a:graphic xmlns:a="http://schemas.openxmlformats.org/drawingml/2006/main">
                  <a:graphicData uri="http://schemas.microsoft.com/office/word/2010/wordprocessingShape">
                    <wps:wsp>
                      <wps:cNvSpPr/>
                      <wps:spPr>
                        <a:xfrm>
                          <a:off x="0" y="0"/>
                          <a:ext cx="665018" cy="10743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E0614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21.55pt;margin-top:80.15pt;width:52.35pt;height:8.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C/1dgIAAEEFAAAOAAAAZHJzL2Uyb0RvYy54bWysVFFP2zAQfp+0/2D5fSTpWmAVKaqKmCYh&#10;QMDEs+vYTSTH553dpt2v39lJAwK0h2l9cG3f3Xd3X77zxeW+NWyn0DdgS16c5JwpK6Fq7KbkP5+u&#10;v5xz5oOwlTBgVckPyvPLxedPF52bqwnUYCqFjECsn3eu5HUIbp5lXtaqFf4EnLJk1ICtCHTETVah&#10;6Ai9Ndkkz0+zDrByCFJ5T7dXvZEvEr7WSoY7rb0KzJScagtpxbSu45otLsR8g8LVjRzKEP9QRSsa&#10;S0lHqCsRBNti8w6qbSSCBx1OJLQZaN1IlXqgbor8TTePtXAq9ULkeDfS5P8frLzd3SNrKvp2RI8V&#10;LX2jh2ZTB7ZEhI7NIkOd83NyfHT3OJw8bWO7e41t/KdG2D6xehhZVfvAJF2ens7ygmQgyVTkZ9Ov&#10;RcTMXoId+vBdQcvipuQY06fsiVGxu/GhDzg6UnQsqS8i7cLBqFiHsQ9KUzuUdpKik5DUyiDbCZKA&#10;kFLZUPSmWlSqv57l9BuqGiNSjQkwIuvGmBF7AIgifY/d1zr4x1CVdDgG538rrA8eI1JmsGEMbhsL&#10;+BGAoa6GzL3/kaSemsjSGqoDfWyEfgq8k9cNMX4jfLgXSLInBdAohztatIGu5DDsOKsBf390H/1J&#10;jWTlrKMxKrn/tRWoODM/LOn0WzGdxrlLh+nsbEIHfG1Zv7bYbbsC+kwFPRpOpm30D+a41QjtM038&#10;MmYlk7CScpdcBjweVqEfb3ozpFoukxvNmhPhxj46GcEjq1FLT/tngW6QXSC93sJx5MT8je563xhp&#10;YbkNoJskyhdeB75pTpNwhjclPgSvz8nr5eVb/AEAAP//AwBQSwMEFAAGAAgAAAAhAPLbK9HeAAAA&#10;CwEAAA8AAABkcnMvZG93bnJldi54bWxMj81OwzAQhO9IvIO1SNyo81MlKMSpABW1HAmRuLrxkkTE&#10;6yh20/D2LCc47syn2Zlyt9pRLDj7wZGCeBOBQGqdGahT0Ly/3N2D8EGT0aMjVPCNHnbV9VWpC+Mu&#10;9IZLHTrBIeQLraAPYSqk9G2PVvuNm5DY+3Sz1YHPuZNm1hcOt6NMoiiTVg/EH3o94XOP7Vd9tgoy&#10;f0ieXnG/r5vILx+H+HiMG6fU7c36+AAi4Br+YPitz9Wh4k4ndybjxagg2aYxo2xkUQqCiXSb85gT&#10;K3megKxK+X9D9QMAAP//AwBQSwECLQAUAAYACAAAACEAtoM4kv4AAADhAQAAEwAAAAAAAAAAAAAA&#10;AAAAAAAAW0NvbnRlbnRfVHlwZXNdLnhtbFBLAQItABQABgAIAAAAIQA4/SH/1gAAAJQBAAALAAAA&#10;AAAAAAAAAAAAAC8BAABfcmVscy8ucmVsc1BLAQItABQABgAIAAAAIQC8fC/1dgIAAEEFAAAOAAAA&#10;AAAAAAAAAAAAAC4CAABkcnMvZTJvRG9jLnhtbFBLAQItABQABgAIAAAAIQDy2yvR3gAAAAsBAAAP&#10;AAAAAAAAAAAAAAAAANAEAABkcnMvZG93bnJldi54bWxQSwUGAAAAAAQABADzAAAA2wUAAAAA&#10;" adj="19855" fillcolor="#5b9bd5 [3204]" strokecolor="#1f4d78 [1604]" strokeweight="1pt"/>
            </w:pict>
          </mc:Fallback>
        </mc:AlternateContent>
      </w:r>
      <w:r w:rsidR="00B20A8D" w:rsidRPr="00EF2F18">
        <w:rPr>
          <w:noProof/>
          <w:sz w:val="22"/>
          <w:lang w:val="sr-Cyrl-RS" w:eastAsia="sr-Cyrl-RS"/>
        </w:rPr>
        <mc:AlternateContent>
          <mc:Choice Requires="wps">
            <w:drawing>
              <wp:anchor distT="0" distB="0" distL="114300" distR="114300" simplePos="0" relativeHeight="251660288" behindDoc="0" locked="0" layoutInCell="1" allowOverlap="1" wp14:anchorId="181F2823" wp14:editId="06A5F78F">
                <wp:simplePos x="0" y="0"/>
                <wp:positionH relativeFrom="column">
                  <wp:posOffset>3456178</wp:posOffset>
                </wp:positionH>
                <wp:positionV relativeFrom="paragraph">
                  <wp:posOffset>959790</wp:posOffset>
                </wp:positionV>
                <wp:extent cx="665018" cy="107431"/>
                <wp:effectExtent l="0" t="19050" r="40005" b="45085"/>
                <wp:wrapNone/>
                <wp:docPr id="9" name="Right Arrow 6"/>
                <wp:cNvGraphicFramePr/>
                <a:graphic xmlns:a="http://schemas.openxmlformats.org/drawingml/2006/main">
                  <a:graphicData uri="http://schemas.microsoft.com/office/word/2010/wordprocessingShape">
                    <wps:wsp>
                      <wps:cNvSpPr/>
                      <wps:spPr>
                        <a:xfrm>
                          <a:off x="0" y="0"/>
                          <a:ext cx="665018" cy="10743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4578411" id="Right Arrow 6" o:spid="_x0000_s1026" type="#_x0000_t13" style="position:absolute;margin-left:272.15pt;margin-top:75.55pt;width:52.35pt;height:8.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nWdgIAAEAFAAAOAAAAZHJzL2Uyb0RvYy54bWysVFFP2zAQfp+0/2D5fSTpShkVKaqKmCYh&#10;QMDEs3HsJpLj885u0+7X7+ykoQK0h2l9cG3f3Xd3X77zxeWuNWyr0DdgS16c5JwpK6Fq7LrkP5+u&#10;v3zjzAdhK2HAqpLvleeXi8+fLjo3VxOowVQKGYFYP+9cyesQ3DzLvKxVK/wJOGXJqAFbEeiI66xC&#10;0RF6a7JJns+yDrByCFJ5T7dXvZEvEr7WSoY7rb0KzJScagtpxbS+xDVbXIj5GoWrGzmUIf6hilY0&#10;lpKOUFciCLbB5h1U20gEDzqcSGgz0LqRKvVA3RT5m24ea+FU6oXI8W6kyf8/WHm7vUfWVCU/58yK&#10;lj7RQ7OuA1siQsdmkaDO+Tn5Pbp7HE6etrHbncY2/lMfbJdI3Y+kql1gki5ns9O8IBVIMhX52fRr&#10;ETGz12CHPnxX0LK4KTnG9Cl7IlRsb3zoAw6OFB1L6otIu7A3KtZh7IPS1A2lnaTopCO1Msi2ghQg&#10;pFQ2FL2pFpXqr09z+g1VjRGpxgQYkXVjzIg9AESNvsfuax38Y6hKMhyD878V1gePESkz2DAGt40F&#10;/AjAUFdD5t7/QFJPTWTpBao9fWuEfgi8k9cNMX4jfLgXSKqn+aBJDne0aANdyWHYcVYD/v7oPvqT&#10;GMnKWUdTVHL/ayNQcWZ+WJLpeTGdxrFLh+np2YQOeGx5ObbYTbsC+kwFvRlOpm30D+aw1QjtMw38&#10;MmYlk7CScpdcBjwcVqGfbnoypFoukxuNmhPhxj46GcEjq1FLT7tngW6QXSC93sJh4sT8je563xhp&#10;YbkJoJskyldeB75pTJNwhiclvgPH5+T1+vAt/gAAAP//AwBQSwMEFAAGAAgAAAAhADuR1eXfAAAA&#10;CwEAAA8AAABkcnMvZG93bnJldi54bWxMj8FOwzAQRO9I/IO1SNyo7ZJGJY1TASpqeyRE4urG2yQi&#10;tqPYTcPfs5zguDNPszP5drY9m3AMnXcK5EIAQ1d707lGQfXx9rAGFqJ2RvfeoYJvDLAtbm9ynRl/&#10;de84lbFhFOJCphW0MQ4Z56Fu0eqw8AM68s5+tDrSOTbcjPpK4bbnSyFSbnXn6EOrB3xtsf4qL1ZB&#10;GvbLlyPudmUlwvS5l4eDrLxS93fz8wZYxDn+wfBbn6pDQZ1O/uJMYL2CVZI8EkrGSkpgRKTJE607&#10;kZKuBfAi5/83FD8AAAD//wMAUEsBAi0AFAAGAAgAAAAhALaDOJL+AAAA4QEAABMAAAAAAAAAAAAA&#10;AAAAAAAAAFtDb250ZW50X1R5cGVzXS54bWxQSwECLQAUAAYACAAAACEAOP0h/9YAAACUAQAACwAA&#10;AAAAAAAAAAAAAAAvAQAAX3JlbHMvLnJlbHNQSwECLQAUAAYACAAAACEAWmEJ1nYCAABABQAADgAA&#10;AAAAAAAAAAAAAAAuAgAAZHJzL2Uyb0RvYy54bWxQSwECLQAUAAYACAAAACEAO5HV5d8AAAALAQAA&#10;DwAAAAAAAAAAAAAAAADQBAAAZHJzL2Rvd25yZXYueG1sUEsFBgAAAAAEAAQA8wAAANwFAAAAAA==&#10;" adj="19855" fillcolor="#5b9bd5 [3204]" strokecolor="#1f4d78 [1604]" strokeweight="1pt"/>
            </w:pict>
          </mc:Fallback>
        </mc:AlternateContent>
      </w:r>
      <w:r w:rsidR="005103AD" w:rsidRPr="00EF2F18">
        <w:rPr>
          <w:sz w:val="22"/>
          <w:lang w:val="sr-Cyrl-RS"/>
        </w:rPr>
        <w:t>С обзиром да надлежни органи планирају спровођење мера/активности за које су задужени у свом средњорочном плану, подаци о напретку и учинцима о спровођењу акционог плана повезаних програма, односно акционог плана Стратегије се преузимају у</w:t>
      </w:r>
      <w:r w:rsidR="006C2E00" w:rsidRPr="00EF2F18">
        <w:rPr>
          <w:sz w:val="22"/>
          <w:lang w:val="sr-Cyrl-RS"/>
        </w:rPr>
        <w:t xml:space="preserve"> </w:t>
      </w:r>
      <w:r w:rsidR="00536924" w:rsidRPr="00EF2F18">
        <w:rPr>
          <w:sz w:val="22"/>
          <w:lang w:val="sr-Cyrl-RS"/>
        </w:rPr>
        <w:t xml:space="preserve">оквиру </w:t>
      </w:r>
      <w:r w:rsidR="005103AD" w:rsidRPr="00EF2F18">
        <w:rPr>
          <w:sz w:val="22"/>
          <w:lang w:val="sr-Cyrl-RS"/>
        </w:rPr>
        <w:t>ЈИС-</w:t>
      </w:r>
      <w:r w:rsidR="00536924" w:rsidRPr="00EF2F18">
        <w:rPr>
          <w:sz w:val="22"/>
          <w:lang w:val="sr-Cyrl-RS"/>
        </w:rPr>
        <w:t xml:space="preserve">а </w:t>
      </w:r>
      <w:r w:rsidR="005103AD" w:rsidRPr="00EF2F18">
        <w:rPr>
          <w:sz w:val="22"/>
          <w:lang w:val="sr-Cyrl-RS"/>
        </w:rPr>
        <w:t xml:space="preserve">из извештаја о спровођењу средњорочних планова надлежних органа за мере, активности и показатеље који су планирани у средњорочним плановима (Слика </w:t>
      </w:r>
      <w:r w:rsidR="00482AC6" w:rsidRPr="00EF2F18">
        <w:rPr>
          <w:sz w:val="22"/>
          <w:lang w:val="sr-Cyrl-RS"/>
        </w:rPr>
        <w:t>8</w:t>
      </w:r>
      <w:r w:rsidR="005878D3" w:rsidRPr="00EF2F18">
        <w:rPr>
          <w:sz w:val="22"/>
          <w:lang w:val="sr-Cyrl-RS"/>
        </w:rPr>
        <w:t>.1.</w:t>
      </w:r>
      <w:r w:rsidR="005103AD" w:rsidRPr="00EF2F18">
        <w:rPr>
          <w:sz w:val="22"/>
          <w:lang w:val="sr-Cyrl-RS"/>
        </w:rPr>
        <w:t>).</w:t>
      </w:r>
      <w:r w:rsidR="00482AC6" w:rsidRPr="00EF2F18">
        <w:rPr>
          <w:noProof/>
          <w:sz w:val="22"/>
          <w:lang w:val="sr-Cyrl-RS" w:eastAsia="sr-Cyrl-RS"/>
        </w:rPr>
        <w:drawing>
          <wp:inline distT="0" distB="0" distL="0" distR="0" wp14:anchorId="3A38B09F" wp14:editId="537CF6D5">
            <wp:extent cx="5683910" cy="2429256"/>
            <wp:effectExtent l="0" t="0" r="0" b="0"/>
            <wp:docPr id="133015469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0" r:lo="rId111" r:qs="rId112" r:cs="rId113"/>
              </a:graphicData>
            </a:graphic>
          </wp:inline>
        </w:drawing>
      </w:r>
    </w:p>
    <w:p w14:paraId="24DBCC18" w14:textId="4F7EFBA7" w:rsidR="00482AC6" w:rsidRPr="00EF2F18" w:rsidRDefault="00482AC6" w:rsidP="00482AC6">
      <w:pPr>
        <w:spacing w:after="0"/>
        <w:jc w:val="both"/>
        <w:rPr>
          <w:sz w:val="22"/>
          <w:lang w:val="sr-Cyrl-RS"/>
        </w:rPr>
      </w:pPr>
      <w:r w:rsidRPr="00EF2F18">
        <w:rPr>
          <w:b/>
          <w:bCs/>
          <w:sz w:val="22"/>
          <w:lang w:val="sr-Cyrl-RS"/>
        </w:rPr>
        <w:t>Слика 8.1.</w:t>
      </w:r>
      <w:r w:rsidRPr="00EF2F18">
        <w:rPr>
          <w:sz w:val="22"/>
          <w:lang w:val="sr-Cyrl-RS"/>
        </w:rPr>
        <w:t xml:space="preserve"> Приказ преузимања података за извештаје у ЈИС-у</w:t>
      </w:r>
    </w:p>
    <w:p w14:paraId="1F318CFD" w14:textId="77777777" w:rsidR="00482AC6" w:rsidRPr="00EF2F18" w:rsidRDefault="00482AC6" w:rsidP="00482AC6">
      <w:pPr>
        <w:spacing w:after="0"/>
        <w:ind w:firstLine="720"/>
        <w:jc w:val="both"/>
        <w:rPr>
          <w:sz w:val="22"/>
          <w:lang w:val="sr-Cyrl-RS"/>
        </w:rPr>
      </w:pPr>
    </w:p>
    <w:p w14:paraId="1419AE29" w14:textId="1EF0ECAE" w:rsidR="00536924" w:rsidRPr="00EF2F18" w:rsidRDefault="00482AC6" w:rsidP="00536924">
      <w:pPr>
        <w:spacing w:after="0"/>
        <w:ind w:firstLine="720"/>
        <w:jc w:val="both"/>
        <w:rPr>
          <w:sz w:val="22"/>
          <w:lang w:val="sr-Cyrl-RS"/>
        </w:rPr>
      </w:pPr>
      <w:r w:rsidRPr="00EF2F18">
        <w:rPr>
          <w:sz w:val="22"/>
          <w:lang w:val="sr-Cyrl-RS"/>
        </w:rPr>
        <w:t xml:space="preserve">Након </w:t>
      </w:r>
      <w:r w:rsidR="00536924" w:rsidRPr="00EF2F18">
        <w:rPr>
          <w:sz w:val="22"/>
          <w:lang w:val="sr-Cyrl-RS"/>
        </w:rPr>
        <w:t>истека сваке треће</w:t>
      </w:r>
      <w:r w:rsidRPr="00EF2F18">
        <w:rPr>
          <w:sz w:val="22"/>
          <w:lang w:val="sr-Cyrl-RS"/>
        </w:rPr>
        <w:t xml:space="preserve"> календарске године у периоду важења Стратегије, министарство надлежно за заштиту животне средине припрема извештај о напретку у спровођењу Стратегије. Извештај се припрема у складу с прописима којима се уређује плански систем и, између осталог, треба да садржи податке о степену остварености циљева и мера у односу на циљане вредности показатеља, податке о утрошеним финансијским средствима у односу на средства која су обезбеђена за спровођење мера/активности и процену ефикасности улагања у вези са оствареним вредностима показатеља, као и препоруке за даље спровођење Стратегије, укључујући и евентуалну потребу за изменама и допунама. Приликом припреме препорука за евентуалне измене Стратегије, треба узети у обзир и измењене околности у односу на време усвајања Стратегије, укључујући и промене у међународним околностима и околностима везаним за процес ЕУ интеграција. </w:t>
      </w:r>
      <w:r w:rsidR="00536924" w:rsidRPr="00EF2F18">
        <w:rPr>
          <w:sz w:val="22"/>
          <w:lang w:val="sr-Cyrl-RS"/>
        </w:rPr>
        <w:t>Ревизија се спроводи у истом поступку, који је прописан за њено усвајање.</w:t>
      </w:r>
    </w:p>
    <w:p w14:paraId="37AC89B3" w14:textId="0DCB9BEE" w:rsidR="005103AD" w:rsidRPr="00FE4557" w:rsidRDefault="00536924" w:rsidP="00FE4557">
      <w:pPr>
        <w:spacing w:after="0"/>
        <w:ind w:firstLine="720"/>
        <w:jc w:val="both"/>
        <w:rPr>
          <w:sz w:val="22"/>
          <w:lang w:val="sr-Cyrl-RS"/>
        </w:rPr>
      </w:pPr>
      <w:r w:rsidRPr="00EF2F18">
        <w:rPr>
          <w:sz w:val="22"/>
          <w:lang w:val="sr-Cyrl-RS"/>
        </w:rPr>
        <w:t>Финални извештај се припрема након истека важења Стратегије, односно израда извештаја започиње пре истека Стратегије, ради започињања израде новог документа јавне политике, у складу са начелом континуитета планирања. Усвајање и објављивање финалног извештаја се врши у складу са прописима којима се уређује плански систем</w:t>
      </w:r>
      <w:r w:rsidR="00482AC6" w:rsidRPr="00EF2F18">
        <w:rPr>
          <w:sz w:val="22"/>
          <w:lang w:val="sr-Cyrl-RS"/>
        </w:rPr>
        <w:t>.</w:t>
      </w:r>
    </w:p>
    <w:p w14:paraId="202C2CD3" w14:textId="26F3088A" w:rsidR="00FB7412" w:rsidRPr="00EF2F18" w:rsidRDefault="001D398C" w:rsidP="00FF1488">
      <w:pPr>
        <w:pStyle w:val="Heading1"/>
        <w:numPr>
          <w:ilvl w:val="0"/>
          <w:numId w:val="2"/>
        </w:numPr>
        <w:tabs>
          <w:tab w:val="left" w:pos="1440"/>
        </w:tabs>
        <w:ind w:left="1350" w:hanging="630"/>
        <w:rPr>
          <w:rFonts w:cs="Times New Roman"/>
          <w:sz w:val="22"/>
          <w:szCs w:val="22"/>
          <w:lang w:val="sr-Cyrl-RS"/>
        </w:rPr>
      </w:pPr>
      <w:bookmarkStart w:id="147" w:name="_Toc158307748"/>
      <w:bookmarkStart w:id="148" w:name="_Hlk179741860"/>
      <w:r w:rsidRPr="00EF2F18">
        <w:rPr>
          <w:rFonts w:cs="Times New Roman"/>
          <w:sz w:val="22"/>
          <w:szCs w:val="22"/>
          <w:lang w:val="sr-Cyrl-RS"/>
        </w:rPr>
        <w:lastRenderedPageBreak/>
        <w:t>СПРОВЕДЕНЕ КОНСУЛТАЦИЈЕ СА ЗАИНТЕРЕСОВАНИМ СТРАНАМА</w:t>
      </w:r>
      <w:bookmarkEnd w:id="147"/>
    </w:p>
    <w:p w14:paraId="549B5539" w14:textId="6621434C" w:rsidR="001D6C6A" w:rsidRPr="00EF2F18" w:rsidRDefault="001D6C6A" w:rsidP="001D6C6A">
      <w:pPr>
        <w:rPr>
          <w:rFonts w:cs="Times New Roman"/>
          <w:sz w:val="22"/>
          <w:lang w:val="sr-Cyrl-RS"/>
        </w:rPr>
      </w:pPr>
    </w:p>
    <w:p w14:paraId="20404E32" w14:textId="0FA7D297" w:rsidR="005878D3" w:rsidRPr="00EF2F18" w:rsidRDefault="005878D3" w:rsidP="005878D3">
      <w:pPr>
        <w:spacing w:after="0"/>
        <w:ind w:firstLine="720"/>
        <w:jc w:val="both"/>
        <w:rPr>
          <w:rFonts w:cs="Times New Roman"/>
          <w:bCs/>
          <w:sz w:val="22"/>
          <w:lang w:val="sr-Cyrl-RS"/>
        </w:rPr>
      </w:pPr>
      <w:r w:rsidRPr="00EF2F18">
        <w:rPr>
          <w:rFonts w:cs="Times New Roman"/>
          <w:bCs/>
          <w:sz w:val="22"/>
          <w:lang w:val="sr-Cyrl-RS"/>
        </w:rPr>
        <w:t>За израду Стратегије</w:t>
      </w:r>
      <w:r w:rsidR="00503885" w:rsidRPr="00EF2F18">
        <w:rPr>
          <w:rFonts w:cs="Times New Roman"/>
          <w:bCs/>
          <w:sz w:val="22"/>
          <w:lang w:val="sr-Cyrl-RS"/>
        </w:rPr>
        <w:t>,</w:t>
      </w:r>
      <w:r w:rsidRPr="00EF2F18">
        <w:rPr>
          <w:rFonts w:cs="Times New Roman"/>
          <w:bCs/>
          <w:sz w:val="22"/>
          <w:lang w:val="sr-Cyrl-RS"/>
        </w:rPr>
        <w:t xml:space="preserve"> министар заштите животне средине је, јануара 2023. године, Решењем број</w:t>
      </w:r>
      <w:r w:rsidR="00D5306C" w:rsidRPr="00EF2F18">
        <w:rPr>
          <w:rFonts w:cs="Times New Roman"/>
          <w:bCs/>
          <w:sz w:val="22"/>
          <w:lang w:val="sr-Cyrl-RS"/>
        </w:rPr>
        <w:t>:</w:t>
      </w:r>
      <w:r w:rsidRPr="00EF2F18">
        <w:rPr>
          <w:rFonts w:cs="Times New Roman"/>
          <w:bCs/>
          <w:sz w:val="22"/>
          <w:lang w:val="sr-Cyrl-RS"/>
        </w:rPr>
        <w:t xml:space="preserve"> 353-01-3250/2022-05, формира</w:t>
      </w:r>
      <w:r w:rsidR="00774A0D">
        <w:rPr>
          <w:rFonts w:cs="Times New Roman"/>
          <w:bCs/>
          <w:sz w:val="22"/>
          <w:lang w:val="sr-Cyrl-RS"/>
        </w:rPr>
        <w:t>о</w:t>
      </w:r>
      <w:r w:rsidRPr="00EF2F18">
        <w:rPr>
          <w:rFonts w:cs="Times New Roman"/>
          <w:bCs/>
          <w:sz w:val="22"/>
          <w:lang w:val="sr-Cyrl-RS"/>
        </w:rPr>
        <w:t xml:space="preserve"> </w:t>
      </w:r>
      <w:r w:rsidR="00D5306C" w:rsidRPr="00EF2F18">
        <w:rPr>
          <w:rFonts w:cs="Times New Roman"/>
          <w:bCs/>
          <w:sz w:val="22"/>
          <w:lang w:val="sr-Cyrl-RS"/>
        </w:rPr>
        <w:t xml:space="preserve">Радну </w:t>
      </w:r>
      <w:r w:rsidRPr="00EF2F18">
        <w:rPr>
          <w:rFonts w:cs="Times New Roman"/>
          <w:bCs/>
          <w:sz w:val="22"/>
          <w:lang w:val="sr-Cyrl-RS"/>
        </w:rPr>
        <w:t xml:space="preserve">групу </w:t>
      </w:r>
      <w:bookmarkStart w:id="149" w:name="_Hlk179736151"/>
      <w:r w:rsidRPr="00EF2F18">
        <w:rPr>
          <w:rFonts w:cs="Times New Roman"/>
          <w:bCs/>
          <w:sz w:val="22"/>
          <w:lang w:val="sr-Cyrl-RS"/>
        </w:rPr>
        <w:t>која је обухватила представнике органа и организација државне управе, привредног сектора, академске заједнице и организација цивилног друштва</w:t>
      </w:r>
      <w:r w:rsidR="00D5306C" w:rsidRPr="00EF2F18">
        <w:rPr>
          <w:rFonts w:cs="Times New Roman"/>
          <w:bCs/>
          <w:sz w:val="22"/>
          <w:lang w:val="sr-Cyrl-RS"/>
        </w:rPr>
        <w:t>, и то</w:t>
      </w:r>
      <w:r w:rsidRPr="00EF2F18">
        <w:rPr>
          <w:rFonts w:cs="Times New Roman"/>
          <w:bCs/>
          <w:sz w:val="22"/>
          <w:lang w:val="sr-Cyrl-RS"/>
        </w:rPr>
        <w:t xml:space="preserve">: Министарство заштите животне средине, Министарство пољопривреде, шумарства и водопривреде, Министарство привреде, Министарство за европске интеграције, Министарство финансија, Министарство рударства и енергетике, Министарство грађевинарства, саобраћаја и инфраструктуре, Министарство здравља, Министарство унутрашње и спољне трговине, Министарство туризма и омладине, Министарство информисања и телекомуникација, </w:t>
      </w:r>
      <w:r w:rsidR="00503885" w:rsidRPr="00EF2F18">
        <w:rPr>
          <w:rFonts w:cs="Times New Roman"/>
          <w:bCs/>
          <w:sz w:val="22"/>
          <w:lang w:val="sr-Cyrl-RS"/>
        </w:rPr>
        <w:t xml:space="preserve">Министарство за јавну управу, </w:t>
      </w:r>
      <w:r w:rsidRPr="00EF2F18">
        <w:rPr>
          <w:rFonts w:cs="Times New Roman"/>
          <w:bCs/>
          <w:sz w:val="22"/>
          <w:lang w:val="sr-Cyrl-RS"/>
        </w:rPr>
        <w:t>Министарство унутрашњих послова</w:t>
      </w:r>
      <w:r w:rsidR="00503885" w:rsidRPr="00EF2F18">
        <w:rPr>
          <w:rFonts w:cs="Times New Roman"/>
          <w:bCs/>
          <w:sz w:val="22"/>
          <w:lang w:val="sr-Cyrl-RS"/>
        </w:rPr>
        <w:t xml:space="preserve"> </w:t>
      </w:r>
      <w:r w:rsidR="00D5306C" w:rsidRPr="00EF2F18">
        <w:rPr>
          <w:rFonts w:cs="Times New Roman"/>
          <w:bCs/>
          <w:sz w:val="22"/>
          <w:lang w:val="sr-Cyrl-RS"/>
        </w:rPr>
        <w:t>–</w:t>
      </w:r>
      <w:r w:rsidRPr="00EF2F18">
        <w:rPr>
          <w:rFonts w:cs="Times New Roman"/>
          <w:bCs/>
          <w:sz w:val="22"/>
          <w:lang w:val="sr-Cyrl-RS"/>
        </w:rPr>
        <w:t xml:space="preserve"> Сектор за ванредне ситуације, Министарство за рад, запошљавање, борачка и социјална питања, Министарство науке, технолошког развоја и иновација, Министарство просвете, Министарство државне управе и локалне самоуправе, Министарство за људска и мањинска права и друштвени дијалог, Министарство за јавна улагања, </w:t>
      </w:r>
      <w:r w:rsidR="00D5306C" w:rsidRPr="00EF2F18">
        <w:rPr>
          <w:rFonts w:cs="Times New Roman"/>
          <w:bCs/>
          <w:color w:val="000000"/>
          <w:spacing w:val="-1"/>
          <w:sz w:val="22"/>
          <w:lang w:val="sr-Cyrl-RS"/>
        </w:rPr>
        <w:t xml:space="preserve">Канцеларија </w:t>
      </w:r>
      <w:r w:rsidR="00D5306C" w:rsidRPr="00EF2F18">
        <w:rPr>
          <w:rFonts w:cs="Times New Roman"/>
          <w:bCs/>
          <w:color w:val="000000"/>
          <w:spacing w:val="-1"/>
          <w:sz w:val="22"/>
          <w:szCs w:val="23"/>
          <w:lang w:val="sr-Cyrl-RS"/>
        </w:rPr>
        <w:t>за информационе технологије и електронску управу</w:t>
      </w:r>
      <w:r w:rsidRPr="00EF2F18">
        <w:rPr>
          <w:rFonts w:cs="Times New Roman"/>
          <w:bCs/>
          <w:sz w:val="22"/>
          <w:lang w:val="sr-Cyrl-RS"/>
        </w:rPr>
        <w:t xml:space="preserve">, Републички секретаријат за јавне политике, Директорат за радијациону и нуклеарну сигурност и безбедност Србије, Покрајински секретаријат за урбанизам и заштиту животне средине, Републички хидрометеоролошки завод, Републички завод за статистику, Агенција за заштиту животне средине, Завод за заштиту природе Србије, </w:t>
      </w:r>
      <w:r w:rsidR="002C2F67" w:rsidRPr="00EF2F18">
        <w:rPr>
          <w:rFonts w:cs="Times New Roman"/>
          <w:bCs/>
          <w:sz w:val="22"/>
          <w:lang w:val="sr-Cyrl-RS"/>
        </w:rPr>
        <w:t>Друштво с ограниченом одговорношћу „Србијаводе</w:t>
      </w:r>
      <w:r w:rsidR="00D5306C" w:rsidRPr="00EF2F18">
        <w:rPr>
          <w:rFonts w:cs="Times New Roman"/>
          <w:bCs/>
          <w:sz w:val="22"/>
          <w:lang w:val="sr-Cyrl-RS"/>
        </w:rPr>
        <w:t>”</w:t>
      </w:r>
      <w:r w:rsidR="002C2F67" w:rsidRPr="00EF2F18">
        <w:rPr>
          <w:rFonts w:cs="Times New Roman"/>
          <w:bCs/>
          <w:sz w:val="22"/>
          <w:lang w:val="sr-Cyrl-RS"/>
        </w:rPr>
        <w:t xml:space="preserve"> Београд,</w:t>
      </w:r>
      <w:r w:rsidRPr="00EF2F18">
        <w:rPr>
          <w:rFonts w:cs="Times New Roman"/>
          <w:bCs/>
          <w:sz w:val="22"/>
          <w:lang w:val="sr-Cyrl-RS"/>
        </w:rPr>
        <w:t xml:space="preserve"> Јавно водопривредно предузеће </w:t>
      </w:r>
      <w:r w:rsidR="00D5306C" w:rsidRPr="00EF2F18">
        <w:rPr>
          <w:rFonts w:cs="Times New Roman"/>
          <w:bCs/>
          <w:sz w:val="22"/>
          <w:lang w:val="sr-Cyrl-RS"/>
        </w:rPr>
        <w:t>„</w:t>
      </w:r>
      <w:r w:rsidRPr="00EF2F18">
        <w:rPr>
          <w:rFonts w:cs="Times New Roman"/>
          <w:bCs/>
          <w:sz w:val="22"/>
          <w:lang w:val="sr-Cyrl-RS"/>
        </w:rPr>
        <w:t>Воде Војводине</w:t>
      </w:r>
      <w:r w:rsidR="00D5306C" w:rsidRPr="00EF2F18">
        <w:rPr>
          <w:rFonts w:cs="Times New Roman"/>
          <w:bCs/>
          <w:sz w:val="22"/>
          <w:lang w:val="sr-Cyrl-RS"/>
        </w:rPr>
        <w:t>”</w:t>
      </w:r>
      <w:r w:rsidR="00334DC3" w:rsidRPr="00EF2F18">
        <w:rPr>
          <w:rFonts w:cs="Times New Roman"/>
          <w:bCs/>
          <w:sz w:val="22"/>
          <w:lang w:val="sr-Cyrl-RS"/>
        </w:rPr>
        <w:t>,</w:t>
      </w:r>
      <w:r w:rsidR="002C2F67" w:rsidRPr="00EF2F18">
        <w:rPr>
          <w:rFonts w:cs="Times New Roman"/>
          <w:bCs/>
          <w:sz w:val="22"/>
          <w:lang w:val="sr-Cyrl-RS"/>
        </w:rPr>
        <w:t xml:space="preserve"> </w:t>
      </w:r>
      <w:r w:rsidR="00334DC3" w:rsidRPr="00EF2F18">
        <w:rPr>
          <w:rFonts w:cs="Times New Roman"/>
          <w:bCs/>
          <w:sz w:val="22"/>
          <w:lang w:val="sr-Cyrl-RS"/>
        </w:rPr>
        <w:t>Привредно друштво за газдовањем шумама „Србијашуме</w:t>
      </w:r>
      <w:r w:rsidR="00D5306C" w:rsidRPr="00EF2F18">
        <w:rPr>
          <w:rFonts w:cs="Times New Roman"/>
          <w:bCs/>
          <w:sz w:val="22"/>
          <w:lang w:val="sr-Cyrl-RS"/>
        </w:rPr>
        <w:t>”</w:t>
      </w:r>
      <w:r w:rsidR="00334DC3" w:rsidRPr="00EF2F18">
        <w:rPr>
          <w:rFonts w:cs="Times New Roman"/>
          <w:bCs/>
          <w:sz w:val="22"/>
          <w:lang w:val="sr-Cyrl-RS"/>
        </w:rPr>
        <w:t xml:space="preserve"> д.о.о. Београд</w:t>
      </w:r>
      <w:r w:rsidRPr="00EF2F18">
        <w:rPr>
          <w:rFonts w:cs="Times New Roman"/>
          <w:bCs/>
          <w:sz w:val="22"/>
          <w:lang w:val="sr-Cyrl-RS"/>
        </w:rPr>
        <w:t xml:space="preserve">, Јавно предузеће </w:t>
      </w:r>
      <w:r w:rsidR="00D5306C" w:rsidRPr="00EF2F18">
        <w:rPr>
          <w:rFonts w:cs="Times New Roman"/>
          <w:bCs/>
          <w:sz w:val="22"/>
          <w:lang w:val="sr-Cyrl-RS"/>
        </w:rPr>
        <w:t>„</w:t>
      </w:r>
      <w:r w:rsidRPr="00EF2F18">
        <w:rPr>
          <w:rFonts w:cs="Times New Roman"/>
          <w:bCs/>
          <w:sz w:val="22"/>
          <w:lang w:val="sr-Cyrl-RS"/>
        </w:rPr>
        <w:t>Војводинашуме</w:t>
      </w:r>
      <w:r w:rsidR="00D5306C" w:rsidRPr="00EF2F18">
        <w:rPr>
          <w:rFonts w:cs="Times New Roman"/>
          <w:bCs/>
          <w:sz w:val="22"/>
          <w:lang w:val="sr-Cyrl-RS"/>
        </w:rPr>
        <w:t>”</w:t>
      </w:r>
      <w:r w:rsidRPr="00EF2F18">
        <w:rPr>
          <w:rFonts w:cs="Times New Roman"/>
          <w:bCs/>
          <w:sz w:val="22"/>
          <w:lang w:val="sr-Cyrl-RS"/>
        </w:rPr>
        <w:t xml:space="preserve">, Привредна комора Србије, Унија послодаваца Србије, Стална конференција градова и општина, Национална алијанса за локални економски развој (NALED), Универзитет у Београду, Универзитет у Новом Саду, Универзитет у Нишу, Универзитет у Крагујевцу, Регулаторни институт за обновљиву енергију и животну средину (РЕРИ), Млади истраживачи Србије, Удружење грађана Нимбус, Београдска отворена школа. </w:t>
      </w:r>
    </w:p>
    <w:p w14:paraId="70587ECA" w14:textId="35D5A7CD" w:rsidR="005878D3" w:rsidRPr="00EF2F18" w:rsidRDefault="009F1B47" w:rsidP="005878D3">
      <w:pPr>
        <w:spacing w:after="0"/>
        <w:ind w:firstLine="720"/>
        <w:jc w:val="both"/>
        <w:rPr>
          <w:rFonts w:cs="Times New Roman"/>
          <w:bCs/>
          <w:sz w:val="22"/>
          <w:lang w:val="sr-Cyrl-RS"/>
        </w:rPr>
      </w:pPr>
      <w:r w:rsidRPr="00EF2F18">
        <w:rPr>
          <w:rFonts w:cs="Times New Roman"/>
          <w:bCs/>
          <w:sz w:val="22"/>
          <w:lang w:val="sr-Cyrl-RS"/>
        </w:rPr>
        <w:t>У току израде Стратегије, одржано је пет радионица радне групе, велики број додатних састанака са представницима надлежних институција. С</w:t>
      </w:r>
      <w:r w:rsidR="005878D3" w:rsidRPr="00EF2F18">
        <w:rPr>
          <w:rFonts w:cs="Times New Roman"/>
          <w:bCs/>
          <w:sz w:val="22"/>
          <w:lang w:val="sr-Cyrl-RS"/>
        </w:rPr>
        <w:t>проведене су широке консултације са заинтересованим странама и грађанима</w:t>
      </w:r>
      <w:bookmarkEnd w:id="149"/>
      <w:r w:rsidR="005878D3" w:rsidRPr="00EF2F18">
        <w:rPr>
          <w:rFonts w:cs="Times New Roman"/>
          <w:bCs/>
          <w:sz w:val="22"/>
          <w:lang w:val="sr-Cyrl-RS"/>
        </w:rPr>
        <w:t xml:space="preserve">. </w:t>
      </w:r>
    </w:p>
    <w:p w14:paraId="0804D37E" w14:textId="7692AEAB" w:rsidR="001D53D6" w:rsidRPr="00EF2F18" w:rsidRDefault="001D53D6" w:rsidP="001D53D6">
      <w:pPr>
        <w:spacing w:after="0"/>
        <w:ind w:firstLine="720"/>
        <w:jc w:val="both"/>
        <w:rPr>
          <w:rFonts w:cs="Times New Roman"/>
          <w:bCs/>
          <w:sz w:val="22"/>
          <w:lang w:val="sr-Cyrl-RS"/>
        </w:rPr>
      </w:pPr>
      <w:bookmarkStart w:id="150" w:name="_Hlk179790379"/>
      <w:r w:rsidRPr="00EF2F18">
        <w:rPr>
          <w:rFonts w:cs="Times New Roman"/>
          <w:bCs/>
          <w:sz w:val="22"/>
          <w:lang w:val="sr-Cyrl-RS"/>
        </w:rPr>
        <w:t>Министарство заштите животне средине је, у периоду о</w:t>
      </w:r>
      <w:r w:rsidR="00D5306C" w:rsidRPr="00EF2F18">
        <w:rPr>
          <w:rFonts w:cs="Times New Roman"/>
          <w:bCs/>
          <w:sz w:val="22"/>
          <w:lang w:val="sr-Cyrl-RS"/>
        </w:rPr>
        <w:t xml:space="preserve">д </w:t>
      </w:r>
      <w:r w:rsidRPr="00EF2F18">
        <w:rPr>
          <w:rFonts w:cs="Times New Roman"/>
          <w:bCs/>
          <w:sz w:val="22"/>
          <w:lang w:val="sr-Cyrl-RS"/>
        </w:rPr>
        <w:t>3.</w:t>
      </w:r>
      <w:r w:rsidR="0095304B" w:rsidRPr="00EF2F18">
        <w:rPr>
          <w:rFonts w:cs="Times New Roman"/>
          <w:bCs/>
          <w:sz w:val="22"/>
          <w:lang w:val="sr-Cyrl-RS"/>
        </w:rPr>
        <w:t xml:space="preserve"> септембра </w:t>
      </w:r>
      <w:r w:rsidR="00D5306C" w:rsidRPr="00EF2F18">
        <w:rPr>
          <w:rFonts w:cs="Times New Roman"/>
          <w:bCs/>
          <w:sz w:val="22"/>
          <w:lang w:val="sr-Cyrl-RS"/>
        </w:rPr>
        <w:t xml:space="preserve">до </w:t>
      </w:r>
      <w:r w:rsidRPr="00EF2F18">
        <w:rPr>
          <w:rFonts w:cs="Times New Roman"/>
          <w:bCs/>
          <w:sz w:val="22"/>
          <w:lang w:val="sr-Cyrl-RS"/>
        </w:rPr>
        <w:t>3.</w:t>
      </w:r>
      <w:r w:rsidR="0095304B" w:rsidRPr="00EF2F18">
        <w:rPr>
          <w:rFonts w:cs="Times New Roman"/>
          <w:bCs/>
          <w:sz w:val="22"/>
          <w:lang w:val="sr-Cyrl-RS"/>
        </w:rPr>
        <w:t xml:space="preserve"> октобра </w:t>
      </w:r>
      <w:r w:rsidRPr="00EF2F18">
        <w:rPr>
          <w:rFonts w:cs="Times New Roman"/>
          <w:bCs/>
          <w:sz w:val="22"/>
          <w:lang w:val="sr-Cyrl-RS"/>
        </w:rPr>
        <w:t xml:space="preserve">2024. године, спровело консултативни процес са заинтересованим странама. Текст Нацрта стратегије са акционим планом објављен је на званичној веб страници Министарства заштите животне средине и Порталу </w:t>
      </w:r>
      <w:r w:rsidR="00D5306C" w:rsidRPr="00EF2F18">
        <w:rPr>
          <w:rFonts w:cs="Times New Roman"/>
          <w:bCs/>
          <w:sz w:val="22"/>
          <w:lang w:val="sr-Cyrl-RS"/>
        </w:rPr>
        <w:t>„е-Консултације”</w:t>
      </w:r>
      <w:r w:rsidRPr="00EF2F18">
        <w:rPr>
          <w:rFonts w:cs="Times New Roman"/>
          <w:bCs/>
          <w:sz w:val="22"/>
          <w:lang w:val="sr-Cyrl-RS"/>
        </w:rPr>
        <w:t>, ради прикупљања писаних сугестија и коментара електронским путем.</w:t>
      </w:r>
    </w:p>
    <w:p w14:paraId="3C32446B" w14:textId="77777777" w:rsidR="001D53D6" w:rsidRPr="00EF2F18" w:rsidRDefault="001D53D6" w:rsidP="001D53D6">
      <w:pPr>
        <w:spacing w:after="0"/>
        <w:ind w:firstLine="720"/>
        <w:jc w:val="both"/>
        <w:rPr>
          <w:rFonts w:cs="Times New Roman"/>
          <w:bCs/>
          <w:sz w:val="22"/>
          <w:lang w:val="sr-Cyrl-RS"/>
        </w:rPr>
      </w:pPr>
      <w:r w:rsidRPr="00EF2F18">
        <w:rPr>
          <w:rFonts w:cs="Times New Roman"/>
          <w:bCs/>
          <w:sz w:val="22"/>
          <w:lang w:val="sr-Cyrl-RS"/>
        </w:rPr>
        <w:t xml:space="preserve">Такође, представљање Нацрта стратегије за представнике градова и општина (СКГО) одржано је 11. септембра 2024. године, путем видео конференције, а представљање Нацрта стратегије за донаторску заједницу одржано је 30. септембра 2024. године. </w:t>
      </w:r>
    </w:p>
    <w:p w14:paraId="2432F4C5" w14:textId="306DF20C" w:rsidR="005878D3" w:rsidRPr="00EF2F18" w:rsidRDefault="001D53D6" w:rsidP="005878D3">
      <w:pPr>
        <w:spacing w:after="0"/>
        <w:ind w:firstLine="720"/>
        <w:jc w:val="both"/>
        <w:rPr>
          <w:rFonts w:cs="Times New Roman"/>
          <w:bCs/>
          <w:sz w:val="22"/>
          <w:lang w:val="sr-Cyrl-RS"/>
        </w:rPr>
      </w:pPr>
      <w:r w:rsidRPr="00EF2F18">
        <w:rPr>
          <w:rFonts w:cs="Times New Roman"/>
          <w:bCs/>
          <w:sz w:val="22"/>
          <w:lang w:val="sr-Cyrl-RS"/>
        </w:rPr>
        <w:t xml:space="preserve">У консултацијама је учествовало </w:t>
      </w:r>
      <w:r w:rsidR="00D13011" w:rsidRPr="00EF2F18">
        <w:rPr>
          <w:rFonts w:cs="Times New Roman"/>
          <w:bCs/>
          <w:sz w:val="22"/>
          <w:lang w:val="sr-Cyrl-RS"/>
        </w:rPr>
        <w:t>више од</w:t>
      </w:r>
      <w:r w:rsidRPr="00EF2F18">
        <w:rPr>
          <w:rFonts w:cs="Times New Roman"/>
          <w:bCs/>
          <w:sz w:val="22"/>
          <w:lang w:val="sr-Cyrl-RS"/>
        </w:rPr>
        <w:t xml:space="preserve"> </w:t>
      </w:r>
      <w:r w:rsidR="00312B57" w:rsidRPr="00EF2F18">
        <w:rPr>
          <w:rFonts w:cs="Times New Roman"/>
          <w:bCs/>
          <w:sz w:val="22"/>
          <w:lang w:val="sr-Cyrl-RS"/>
        </w:rPr>
        <w:t>170</w:t>
      </w:r>
      <w:r w:rsidRPr="00EF2F18">
        <w:rPr>
          <w:rFonts w:cs="Times New Roman"/>
          <w:bCs/>
          <w:sz w:val="22"/>
          <w:lang w:val="sr-Cyrl-RS"/>
        </w:rPr>
        <w:t xml:space="preserve"> представника различитих органа и организација, представници привредних субјеката, организације цивилног друштва</w:t>
      </w:r>
      <w:r w:rsidR="00D9000B" w:rsidRPr="00EF2F18">
        <w:rPr>
          <w:rFonts w:cs="Times New Roman"/>
          <w:bCs/>
          <w:sz w:val="22"/>
          <w:lang w:val="sr-Cyrl-RS"/>
        </w:rPr>
        <w:t xml:space="preserve">. </w:t>
      </w:r>
      <w:r w:rsidRPr="00EF2F18">
        <w:rPr>
          <w:rFonts w:cs="Times New Roman"/>
          <w:bCs/>
          <w:sz w:val="22"/>
          <w:lang w:val="sr-Cyrl-RS"/>
        </w:rPr>
        <w:t xml:space="preserve">У току консултативног процеса, приспео je значајан број сугестија и коментара, а Извештај о спроведеним консултацијама је објављен на званичној веб страници Министарства заштите животне средине и Порталу </w:t>
      </w:r>
      <w:bookmarkEnd w:id="150"/>
      <w:r w:rsidR="00D5306C" w:rsidRPr="00EF2F18">
        <w:rPr>
          <w:rFonts w:cs="Times New Roman"/>
          <w:bCs/>
          <w:sz w:val="22"/>
          <w:lang w:val="sr-Cyrl-RS"/>
        </w:rPr>
        <w:t>„е-Консултације”</w:t>
      </w:r>
      <w:r w:rsidRPr="00EF2F18">
        <w:rPr>
          <w:rFonts w:cs="Times New Roman"/>
          <w:bCs/>
          <w:sz w:val="22"/>
          <w:lang w:val="sr-Cyrl-RS"/>
        </w:rPr>
        <w:t xml:space="preserve">. </w:t>
      </w:r>
    </w:p>
    <w:p w14:paraId="15B908C2" w14:textId="1515FAF9" w:rsidR="0099367E" w:rsidRPr="00EF2F18" w:rsidRDefault="0099367E" w:rsidP="005878D3">
      <w:pPr>
        <w:spacing w:after="0"/>
        <w:ind w:firstLine="720"/>
        <w:jc w:val="both"/>
        <w:rPr>
          <w:rFonts w:cs="Times New Roman"/>
          <w:bCs/>
          <w:sz w:val="22"/>
          <w:lang w:val="sr-Cyrl-RS"/>
        </w:rPr>
      </w:pPr>
      <w:r w:rsidRPr="00EF2F18">
        <w:rPr>
          <w:rFonts w:cs="Times New Roman"/>
          <w:bCs/>
          <w:sz w:val="22"/>
          <w:lang w:val="sr-Cyrl-RS"/>
        </w:rPr>
        <w:t>Јавн</w:t>
      </w:r>
      <w:r w:rsidR="0095304B" w:rsidRPr="00EF2F18">
        <w:rPr>
          <w:rFonts w:cs="Times New Roman"/>
          <w:bCs/>
          <w:sz w:val="22"/>
          <w:lang w:val="sr-Cyrl-RS"/>
        </w:rPr>
        <w:t xml:space="preserve">а расправа </w:t>
      </w:r>
      <w:r w:rsidRPr="00EF2F18">
        <w:rPr>
          <w:rFonts w:cs="Times New Roman"/>
          <w:bCs/>
          <w:sz w:val="22"/>
          <w:lang w:val="sr-Cyrl-RS"/>
        </w:rPr>
        <w:t>је одржан</w:t>
      </w:r>
      <w:r w:rsidR="0095304B" w:rsidRPr="00EF2F18">
        <w:rPr>
          <w:rFonts w:cs="Times New Roman"/>
          <w:bCs/>
          <w:sz w:val="22"/>
          <w:lang w:val="sr-Cyrl-RS"/>
        </w:rPr>
        <w:t>а</w:t>
      </w:r>
      <w:r w:rsidRPr="00EF2F18">
        <w:rPr>
          <w:rFonts w:cs="Times New Roman"/>
          <w:bCs/>
          <w:sz w:val="22"/>
          <w:lang w:val="sr-Cyrl-RS"/>
        </w:rPr>
        <w:t xml:space="preserve"> од 4. до 24. децембра 2024. године, а </w:t>
      </w:r>
      <w:r w:rsidR="000A6501" w:rsidRPr="00EF2F18">
        <w:rPr>
          <w:rFonts w:cs="Times New Roman"/>
          <w:bCs/>
          <w:sz w:val="22"/>
          <w:lang w:val="sr-Cyrl-RS"/>
        </w:rPr>
        <w:t xml:space="preserve">јавно </w:t>
      </w:r>
      <w:r w:rsidRPr="00EF2F18">
        <w:rPr>
          <w:rFonts w:cs="Times New Roman"/>
          <w:bCs/>
          <w:sz w:val="22"/>
          <w:lang w:val="sr-Cyrl-RS"/>
        </w:rPr>
        <w:t xml:space="preserve">представљање Нацрта </w:t>
      </w:r>
      <w:r w:rsidR="000A6501" w:rsidRPr="00EF2F18">
        <w:rPr>
          <w:rFonts w:cs="Times New Roman"/>
          <w:bCs/>
          <w:sz w:val="22"/>
          <w:lang w:val="sr-Cyrl-RS"/>
        </w:rPr>
        <w:t>с</w:t>
      </w:r>
      <w:r w:rsidRPr="00EF2F18">
        <w:rPr>
          <w:rFonts w:cs="Times New Roman"/>
          <w:bCs/>
          <w:sz w:val="22"/>
          <w:lang w:val="sr-Cyrl-RS"/>
        </w:rPr>
        <w:t xml:space="preserve">тратегије </w:t>
      </w:r>
      <w:r w:rsidR="000A6501" w:rsidRPr="00EF2F18">
        <w:rPr>
          <w:rFonts w:cs="Times New Roman"/>
          <w:bCs/>
          <w:sz w:val="22"/>
          <w:lang w:val="sr-Cyrl-RS"/>
        </w:rPr>
        <w:t xml:space="preserve">са акционим планом </w:t>
      </w:r>
      <w:r w:rsidRPr="00EF2F18">
        <w:rPr>
          <w:rFonts w:cs="Times New Roman"/>
          <w:bCs/>
          <w:sz w:val="22"/>
          <w:lang w:val="sr-Cyrl-RS"/>
        </w:rPr>
        <w:t>одржано је 4.</w:t>
      </w:r>
      <w:r w:rsidR="00D973DE" w:rsidRPr="00EF2F18">
        <w:rPr>
          <w:rFonts w:cs="Times New Roman"/>
          <w:bCs/>
          <w:sz w:val="22"/>
          <w:lang w:val="sr-Cyrl-RS"/>
        </w:rPr>
        <w:t xml:space="preserve"> децембра </w:t>
      </w:r>
      <w:r w:rsidRPr="00EF2F18">
        <w:rPr>
          <w:rFonts w:cs="Times New Roman"/>
          <w:bCs/>
          <w:sz w:val="22"/>
          <w:lang w:val="sr-Cyrl-RS"/>
        </w:rPr>
        <w:t>2024. године. У току Јавн</w:t>
      </w:r>
      <w:r w:rsidR="0095304B" w:rsidRPr="00EF2F18">
        <w:rPr>
          <w:rFonts w:cs="Times New Roman"/>
          <w:bCs/>
          <w:sz w:val="22"/>
          <w:lang w:val="sr-Cyrl-RS"/>
        </w:rPr>
        <w:t>е расправе</w:t>
      </w:r>
      <w:r w:rsidRPr="00EF2F18">
        <w:rPr>
          <w:rFonts w:cs="Times New Roman"/>
          <w:bCs/>
          <w:sz w:val="22"/>
          <w:lang w:val="sr-Cyrl-RS"/>
        </w:rPr>
        <w:t xml:space="preserve"> </w:t>
      </w:r>
      <w:r w:rsidR="0017601E" w:rsidRPr="00EF2F18">
        <w:rPr>
          <w:rFonts w:cs="Times New Roman"/>
          <w:bCs/>
          <w:sz w:val="22"/>
          <w:lang w:val="sr-Cyrl-RS"/>
        </w:rPr>
        <w:t>добијене</w:t>
      </w:r>
      <w:r w:rsidRPr="00EF2F18">
        <w:rPr>
          <w:rFonts w:cs="Times New Roman"/>
          <w:bCs/>
          <w:sz w:val="22"/>
          <w:lang w:val="sr-Cyrl-RS"/>
        </w:rPr>
        <w:t xml:space="preserve"> су сугестије</w:t>
      </w:r>
      <w:r w:rsidR="0017601E" w:rsidRPr="00EF2F18">
        <w:rPr>
          <w:rFonts w:cs="Times New Roman"/>
          <w:bCs/>
          <w:sz w:val="22"/>
          <w:lang w:val="sr-Cyrl-RS"/>
        </w:rPr>
        <w:t xml:space="preserve"> и коментари</w:t>
      </w:r>
      <w:r w:rsidRPr="00EF2F18">
        <w:rPr>
          <w:rFonts w:cs="Times New Roman"/>
          <w:bCs/>
          <w:sz w:val="22"/>
          <w:lang w:val="sr-Cyrl-RS"/>
        </w:rPr>
        <w:t xml:space="preserve"> заинтересованих страна</w:t>
      </w:r>
      <w:r w:rsidR="0017601E" w:rsidRPr="00EF2F18">
        <w:rPr>
          <w:rFonts w:cs="Times New Roman"/>
          <w:bCs/>
          <w:sz w:val="22"/>
          <w:lang w:val="sr-Cyrl-RS"/>
        </w:rPr>
        <w:t>, а Извештај о спроведено</w:t>
      </w:r>
      <w:r w:rsidR="0095304B" w:rsidRPr="00EF2F18">
        <w:rPr>
          <w:rFonts w:cs="Times New Roman"/>
          <w:bCs/>
          <w:sz w:val="22"/>
          <w:lang w:val="sr-Cyrl-RS"/>
        </w:rPr>
        <w:t>ј</w:t>
      </w:r>
      <w:r w:rsidR="0017601E" w:rsidRPr="00EF2F18">
        <w:rPr>
          <w:rFonts w:cs="Times New Roman"/>
          <w:bCs/>
          <w:sz w:val="22"/>
          <w:lang w:val="sr-Cyrl-RS"/>
        </w:rPr>
        <w:t xml:space="preserve"> Јавно</w:t>
      </w:r>
      <w:r w:rsidR="0095304B" w:rsidRPr="00EF2F18">
        <w:rPr>
          <w:rFonts w:cs="Times New Roman"/>
          <w:bCs/>
          <w:sz w:val="22"/>
          <w:lang w:val="sr-Cyrl-RS"/>
        </w:rPr>
        <w:t>ј</w:t>
      </w:r>
      <w:r w:rsidR="0017601E" w:rsidRPr="00EF2F18">
        <w:rPr>
          <w:rFonts w:cs="Times New Roman"/>
          <w:bCs/>
          <w:sz w:val="22"/>
          <w:lang w:val="sr-Cyrl-RS"/>
        </w:rPr>
        <w:t xml:space="preserve"> </w:t>
      </w:r>
      <w:r w:rsidR="0095304B" w:rsidRPr="00EF2F18">
        <w:rPr>
          <w:rFonts w:cs="Times New Roman"/>
          <w:bCs/>
          <w:sz w:val="22"/>
          <w:lang w:val="sr-Cyrl-RS"/>
        </w:rPr>
        <w:t>расправи</w:t>
      </w:r>
      <w:r w:rsidR="0017601E" w:rsidRPr="00EF2F18">
        <w:rPr>
          <w:rFonts w:cs="Times New Roman"/>
          <w:bCs/>
          <w:sz w:val="22"/>
          <w:lang w:val="sr-Cyrl-RS"/>
        </w:rPr>
        <w:t xml:space="preserve"> је објављен на званичној веб страници Министарства заштите животне средине и Порталу </w:t>
      </w:r>
      <w:r w:rsidR="00D5306C" w:rsidRPr="00EF2F18">
        <w:rPr>
          <w:rFonts w:cs="Times New Roman"/>
          <w:bCs/>
          <w:sz w:val="22"/>
          <w:lang w:val="sr-Cyrl-RS"/>
        </w:rPr>
        <w:t>„</w:t>
      </w:r>
      <w:r w:rsidR="0017601E" w:rsidRPr="00EF2F18">
        <w:rPr>
          <w:rFonts w:cs="Times New Roman"/>
          <w:bCs/>
          <w:sz w:val="22"/>
          <w:lang w:val="sr-Cyrl-RS"/>
        </w:rPr>
        <w:t>е-</w:t>
      </w:r>
      <w:r w:rsidR="00D5306C" w:rsidRPr="00EF2F18">
        <w:rPr>
          <w:rFonts w:cs="Times New Roman"/>
          <w:bCs/>
          <w:sz w:val="22"/>
          <w:lang w:val="sr-Cyrl-RS"/>
        </w:rPr>
        <w:t>Консултације”</w:t>
      </w:r>
      <w:r w:rsidR="0017601E" w:rsidRPr="00EF2F18">
        <w:rPr>
          <w:rFonts w:cs="Times New Roman"/>
          <w:bCs/>
          <w:sz w:val="22"/>
          <w:lang w:val="sr-Cyrl-RS"/>
        </w:rPr>
        <w:t>.</w:t>
      </w:r>
    </w:p>
    <w:p w14:paraId="7CBA91B3" w14:textId="77777777" w:rsidR="005E3943" w:rsidRPr="00EF2F18" w:rsidRDefault="005E3943" w:rsidP="005878D3">
      <w:pPr>
        <w:spacing w:after="0"/>
        <w:ind w:firstLine="720"/>
        <w:jc w:val="both"/>
        <w:rPr>
          <w:rFonts w:cs="Times New Roman"/>
          <w:bCs/>
          <w:sz w:val="22"/>
          <w:lang w:val="sr-Cyrl-RS"/>
        </w:rPr>
      </w:pPr>
    </w:p>
    <w:bookmarkEnd w:id="148"/>
    <w:p w14:paraId="65F01A6F" w14:textId="04850447" w:rsidR="00476A91" w:rsidRDefault="00476A91" w:rsidP="001D6C6A">
      <w:pPr>
        <w:rPr>
          <w:rFonts w:cs="Times New Roman"/>
          <w:sz w:val="22"/>
          <w:lang w:val="sr-Cyrl-RS"/>
        </w:rPr>
      </w:pPr>
    </w:p>
    <w:p w14:paraId="7E01D59B" w14:textId="76DB08C4" w:rsidR="005C0CF6" w:rsidRDefault="005C0CF6" w:rsidP="001D6C6A">
      <w:pPr>
        <w:rPr>
          <w:rFonts w:cs="Times New Roman"/>
          <w:sz w:val="22"/>
          <w:lang w:val="sr-Cyrl-RS"/>
        </w:rPr>
      </w:pPr>
    </w:p>
    <w:p w14:paraId="4BEC3FC3" w14:textId="77777777" w:rsidR="005C0CF6" w:rsidRPr="00EF2F18" w:rsidRDefault="005C0CF6" w:rsidP="001D6C6A">
      <w:pPr>
        <w:rPr>
          <w:rFonts w:cs="Times New Roman"/>
          <w:sz w:val="22"/>
          <w:lang w:val="sr-Cyrl-RS"/>
        </w:rPr>
      </w:pPr>
    </w:p>
    <w:p w14:paraId="3AECCA68" w14:textId="71A583C7" w:rsidR="00A36923" w:rsidRPr="00EF2F18" w:rsidRDefault="00A36923" w:rsidP="00B329E9">
      <w:pPr>
        <w:pStyle w:val="Heading1"/>
        <w:numPr>
          <w:ilvl w:val="0"/>
          <w:numId w:val="2"/>
        </w:numPr>
        <w:ind w:firstLine="90"/>
        <w:jc w:val="center"/>
        <w:rPr>
          <w:rFonts w:cs="Times New Roman"/>
          <w:sz w:val="22"/>
          <w:szCs w:val="22"/>
          <w:lang w:val="sr-Cyrl-RS"/>
        </w:rPr>
      </w:pPr>
      <w:bookmarkStart w:id="151" w:name="_Toc158307749"/>
      <w:r w:rsidRPr="00EF2F18">
        <w:rPr>
          <w:rFonts w:cs="Times New Roman"/>
          <w:sz w:val="22"/>
          <w:szCs w:val="22"/>
          <w:lang w:val="sr-Cyrl-RS"/>
        </w:rPr>
        <w:lastRenderedPageBreak/>
        <w:t>АНАЛИЗА РИЗИКА</w:t>
      </w:r>
      <w:bookmarkEnd w:id="151"/>
    </w:p>
    <w:p w14:paraId="5828305D" w14:textId="77777777" w:rsidR="00524E1E" w:rsidRPr="00EF2F18" w:rsidRDefault="00524E1E">
      <w:pPr>
        <w:spacing w:after="160" w:line="259" w:lineRule="auto"/>
        <w:rPr>
          <w:rFonts w:cs="Times New Roman"/>
          <w:sz w:val="22"/>
          <w:lang w:val="sr-Cyrl-RS"/>
        </w:rPr>
      </w:pPr>
      <w:bookmarkStart w:id="152" w:name="_Hlk159113202"/>
    </w:p>
    <w:p w14:paraId="2838F4A7" w14:textId="77777777" w:rsidR="002A687F" w:rsidRPr="00EF2F18" w:rsidRDefault="002F6C0B" w:rsidP="002A687F">
      <w:pPr>
        <w:spacing w:after="0"/>
        <w:ind w:firstLine="720"/>
        <w:jc w:val="both"/>
        <w:rPr>
          <w:rFonts w:cs="Times New Roman"/>
          <w:sz w:val="22"/>
          <w:lang w:val="sr-Cyrl-RS"/>
        </w:rPr>
      </w:pPr>
      <w:bookmarkStart w:id="153" w:name="_Hlk159145353"/>
      <w:r w:rsidRPr="00EF2F18">
        <w:rPr>
          <w:rFonts w:cs="Times New Roman"/>
          <w:sz w:val="22"/>
          <w:lang w:val="sr-Cyrl-RS"/>
        </w:rPr>
        <w:t xml:space="preserve">Анализа ризика обухвата само оне релевантне активности или правце деловања политика чије кашњење или неспровођење може имати негативне последице по ефекте реформе. </w:t>
      </w:r>
      <w:r w:rsidR="002A687F" w:rsidRPr="00EF2F18">
        <w:rPr>
          <w:rFonts w:cs="Times New Roman"/>
          <w:sz w:val="22"/>
          <w:lang w:val="sr-Cyrl-RS"/>
        </w:rPr>
        <w:t>Ризици се могу ублажити редовним праћењем спровођења Стратегије и правовременим реаговањем и предузимањем мера како би се на време открили застоји и координисаним активностима отклонили.</w:t>
      </w:r>
    </w:p>
    <w:p w14:paraId="796E3E05" w14:textId="2C2364C6" w:rsidR="009A4442" w:rsidRPr="00EF2F18" w:rsidRDefault="00524E1E" w:rsidP="002A06DB">
      <w:pPr>
        <w:spacing w:after="0"/>
        <w:ind w:firstLine="720"/>
        <w:jc w:val="both"/>
        <w:rPr>
          <w:rFonts w:cs="Times New Roman"/>
          <w:sz w:val="22"/>
          <w:lang w:val="sr-Cyrl-RS"/>
        </w:rPr>
      </w:pPr>
      <w:bookmarkStart w:id="154" w:name="_Hlk159091476"/>
      <w:r w:rsidRPr="00EF2F18">
        <w:rPr>
          <w:rFonts w:cs="Times New Roman"/>
          <w:sz w:val="22"/>
          <w:lang w:val="sr-Cyrl-RS"/>
        </w:rPr>
        <w:t>Ризи</w:t>
      </w:r>
      <w:r w:rsidR="002A06DB" w:rsidRPr="00EF2F18">
        <w:rPr>
          <w:rFonts w:cs="Times New Roman"/>
          <w:sz w:val="22"/>
          <w:lang w:val="sr-Cyrl-RS"/>
        </w:rPr>
        <w:t>к</w:t>
      </w:r>
      <w:r w:rsidRPr="00EF2F18">
        <w:rPr>
          <w:rFonts w:cs="Times New Roman"/>
          <w:sz w:val="22"/>
          <w:lang w:val="sr-Cyrl-RS"/>
        </w:rPr>
        <w:t xml:space="preserve"> за спровођење Стратегије</w:t>
      </w:r>
      <w:r w:rsidR="002A687F" w:rsidRPr="00EF2F18">
        <w:rPr>
          <w:rFonts w:cs="Times New Roman"/>
          <w:sz w:val="22"/>
          <w:lang w:val="sr-Cyrl-RS"/>
        </w:rPr>
        <w:t xml:space="preserve"> </w:t>
      </w:r>
      <w:r w:rsidR="002A06DB" w:rsidRPr="00EF2F18">
        <w:rPr>
          <w:rFonts w:cs="Times New Roman"/>
          <w:sz w:val="22"/>
          <w:lang w:val="sr-Cyrl-RS"/>
        </w:rPr>
        <w:t xml:space="preserve">представљају </w:t>
      </w:r>
      <w:r w:rsidRPr="00EF2F18">
        <w:rPr>
          <w:rFonts w:cs="Times New Roman"/>
          <w:sz w:val="22"/>
          <w:lang w:val="sr-Cyrl-RS"/>
        </w:rPr>
        <w:t>измене временског оквира за спровођење Стратегије као резултат преговора са ЕУ о поглављу 27</w:t>
      </w:r>
      <w:r w:rsidR="002A06DB" w:rsidRPr="00EF2F18">
        <w:rPr>
          <w:rFonts w:cs="Times New Roman"/>
          <w:sz w:val="22"/>
          <w:lang w:val="sr-Cyrl-RS"/>
        </w:rPr>
        <w:t>.</w:t>
      </w:r>
      <w:r w:rsidR="00464160" w:rsidRPr="00EF2F18">
        <w:rPr>
          <w:rFonts w:cs="Times New Roman"/>
          <w:sz w:val="22"/>
          <w:lang w:val="sr-Cyrl-RS"/>
        </w:rPr>
        <w:t xml:space="preserve"> У</w:t>
      </w:r>
      <w:r w:rsidR="006C2E00" w:rsidRPr="00EF2F18">
        <w:rPr>
          <w:rFonts w:cs="Times New Roman"/>
          <w:sz w:val="22"/>
          <w:lang w:val="sr-Cyrl-RS"/>
        </w:rPr>
        <w:t xml:space="preserve"> </w:t>
      </w:r>
      <w:r w:rsidR="009A4442" w:rsidRPr="00EF2F18">
        <w:rPr>
          <w:rFonts w:cs="Times New Roman"/>
          <w:sz w:val="22"/>
          <w:lang w:val="sr-Cyrl-RS"/>
        </w:rPr>
        <w:t>оквиру процеса преговора и разматрања испуњености услова из Поглавља 27, Република Србија, односно Министарство заштите животне средине мора бити спремно на прилагођавање и мора развити флексибилан приступ који омогућава брзу реакцију на промене у временском оквиру и усклађивање планова са новим роковима. Упоредо с</w:t>
      </w:r>
      <w:r w:rsidR="006055C5" w:rsidRPr="00EF2F18">
        <w:rPr>
          <w:rFonts w:cs="Times New Roman"/>
          <w:sz w:val="22"/>
          <w:lang w:val="sr-Cyrl-RS"/>
        </w:rPr>
        <w:t>а</w:t>
      </w:r>
      <w:r w:rsidR="009A4442" w:rsidRPr="00EF2F18">
        <w:rPr>
          <w:rFonts w:cs="Times New Roman"/>
          <w:sz w:val="22"/>
          <w:lang w:val="sr-Cyrl-RS"/>
        </w:rPr>
        <w:t xml:space="preserve"> тим (домаћим) изазовима, додатну пажњу Србија ће морати да посвети области животне средине и због чињенице да је процес приступања Европској унији нарочито захтеван у овој области. Европско законодавство у области животне средине садржано је великом броју директива које свака земља чланица мора да испуни. Такође је потребно спровести детаљну анализу потенцијалних последица измена временског оквира на спровођење Стратегије и идентификовати кључне области које би могле бити погођене.</w:t>
      </w:r>
    </w:p>
    <w:p w14:paraId="704AA7EA" w14:textId="3F445BBE" w:rsidR="008706C4" w:rsidRPr="00EF2F18" w:rsidRDefault="008706C4" w:rsidP="008706C4">
      <w:pPr>
        <w:spacing w:after="0"/>
        <w:ind w:firstLine="720"/>
        <w:jc w:val="both"/>
        <w:rPr>
          <w:rFonts w:cs="Times New Roman"/>
          <w:sz w:val="22"/>
          <w:lang w:val="sr-Cyrl-RS"/>
        </w:rPr>
      </w:pPr>
      <w:r w:rsidRPr="00EF2F18">
        <w:rPr>
          <w:rFonts w:cs="Times New Roman"/>
          <w:sz w:val="22"/>
          <w:lang w:val="sr-Cyrl-RS"/>
        </w:rPr>
        <w:t xml:space="preserve">Један од ризика је и </w:t>
      </w:r>
      <w:r w:rsidRPr="00EF2F18">
        <w:rPr>
          <w:sz w:val="22"/>
          <w:lang w:val="sr-Cyrl-RS"/>
        </w:rPr>
        <w:t xml:space="preserve">кашњење у усклађивању и имплементацији прописа са ЕУ директивама. Република Србија треба на време да се усклади са европским регулативама и представљају још један разлог у прилог тези да заштита животне средине постане један од приоритета. Својим опредељењем да се придружи Европској унији, </w:t>
      </w:r>
      <w:r w:rsidR="00D5306C" w:rsidRPr="00EF2F18">
        <w:rPr>
          <w:sz w:val="22"/>
          <w:lang w:val="sr-Cyrl-RS"/>
        </w:rPr>
        <w:t xml:space="preserve">Република </w:t>
      </w:r>
      <w:r w:rsidRPr="00EF2F18">
        <w:rPr>
          <w:sz w:val="22"/>
          <w:lang w:val="sr-Cyrl-RS"/>
        </w:rPr>
        <w:t>Србија је у обавези да прихвати целокупна правила ЕУ у овој области</w:t>
      </w:r>
      <w:r w:rsidR="00C45A5A" w:rsidRPr="00EF2F18">
        <w:rPr>
          <w:rFonts w:cs="Times New Roman"/>
          <w:sz w:val="22"/>
          <w:lang w:val="sr-Cyrl-RS"/>
        </w:rPr>
        <w:t xml:space="preserve"> и </w:t>
      </w:r>
      <w:r w:rsidR="00143F69" w:rsidRPr="00EF2F18">
        <w:rPr>
          <w:rFonts w:cs="Times New Roman"/>
          <w:sz w:val="22"/>
          <w:lang w:val="sr-Cyrl-RS"/>
        </w:rPr>
        <w:t xml:space="preserve">да </w:t>
      </w:r>
      <w:r w:rsidR="00C45A5A" w:rsidRPr="00EF2F18">
        <w:rPr>
          <w:rFonts w:cs="Times New Roman"/>
          <w:sz w:val="22"/>
          <w:lang w:val="sr-Cyrl-RS"/>
        </w:rPr>
        <w:t>испуњава своје међународне обавезе</w:t>
      </w:r>
      <w:r w:rsidRPr="00EF2F18">
        <w:rPr>
          <w:sz w:val="22"/>
          <w:lang w:val="sr-Cyrl-RS"/>
        </w:rPr>
        <w:t xml:space="preserve">, а оно око чега се преговара јесу крајњи рокови (као и прелазни циљеви) за усклађивање. У случају да дође до пробијања уговорених рокова за усклађивање са прописима ЕУ, ЕК може, када </w:t>
      </w:r>
      <w:r w:rsidR="00D5306C" w:rsidRPr="00EF2F18">
        <w:rPr>
          <w:sz w:val="22"/>
          <w:lang w:val="sr-Cyrl-RS"/>
        </w:rPr>
        <w:t xml:space="preserve">Република </w:t>
      </w:r>
      <w:r w:rsidRPr="00EF2F18">
        <w:rPr>
          <w:sz w:val="22"/>
          <w:lang w:val="sr-Cyrl-RS"/>
        </w:rPr>
        <w:t xml:space="preserve">Србија постане чланица, да покрене казнени поступак, и плаћање финансијских пенала, што се другим земљама чланицама дешавало. </w:t>
      </w:r>
    </w:p>
    <w:p w14:paraId="60043CCF" w14:textId="5EA77EF9" w:rsidR="008706C4" w:rsidRPr="00EF2F18" w:rsidRDefault="008706C4" w:rsidP="008706C4">
      <w:pPr>
        <w:spacing w:after="0"/>
        <w:ind w:firstLine="720"/>
        <w:jc w:val="both"/>
        <w:rPr>
          <w:sz w:val="22"/>
          <w:lang w:val="sr-Cyrl-RS"/>
        </w:rPr>
      </w:pPr>
      <w:r w:rsidRPr="00EF2F18">
        <w:rPr>
          <w:rFonts w:cs="Times New Roman"/>
          <w:sz w:val="22"/>
          <w:lang w:val="sr-Cyrl-RS"/>
        </w:rPr>
        <w:t>З</w:t>
      </w:r>
      <w:r w:rsidRPr="00EF2F18">
        <w:rPr>
          <w:sz w:val="22"/>
          <w:lang w:val="sr-Cyrl-RS"/>
        </w:rPr>
        <w:t>начајно кашњење у припреми техничке документације за изградњу потребне инфраструктуре за имплементацију Стратегије може представљати значајан ризик за спровођење одређених мера, те постизање зацртаних посебних циљева. К</w:t>
      </w:r>
      <w:r w:rsidRPr="00EF2F18">
        <w:rPr>
          <w:rFonts w:cs="Times New Roman"/>
          <w:sz w:val="22"/>
          <w:lang w:val="sr-Cyrl-RS"/>
        </w:rPr>
        <w:t xml:space="preserve">ључни предуслов за реализацију инфраструктурних пројеката је израда недостајуће пројектно-техничке документације. </w:t>
      </w:r>
      <w:r w:rsidRPr="00EF2F18">
        <w:rPr>
          <w:sz w:val="22"/>
          <w:lang w:val="sr-Cyrl-RS"/>
        </w:rPr>
        <w:t xml:space="preserve">Колико је то захтеван задатак илуструје чињеница да је потребно потпуно изградити више од </w:t>
      </w:r>
      <w:r w:rsidR="00D5306C" w:rsidRPr="00EF2F18">
        <w:rPr>
          <w:sz w:val="22"/>
          <w:lang w:val="sr-Cyrl-RS"/>
        </w:rPr>
        <w:t>десет</w:t>
      </w:r>
      <w:r w:rsidRPr="00EF2F18">
        <w:rPr>
          <w:sz w:val="22"/>
          <w:lang w:val="sr-Cyrl-RS"/>
        </w:rPr>
        <w:t xml:space="preserve"> регионалних депонија са постројењима за третман отпада, више од 300 постројења за пречишћавање отпадних вода и проширити канализациону мрежу за преко 10.000 km. За ублажавање ризика од кашњења, потребно је успоставити ефикасне механизме</w:t>
      </w:r>
      <w:r w:rsidR="00C4284F" w:rsidRPr="00EF2F18">
        <w:rPr>
          <w:sz w:val="22"/>
          <w:lang w:val="sr-Cyrl-RS"/>
        </w:rPr>
        <w:t xml:space="preserve"> и процедуре</w:t>
      </w:r>
      <w:r w:rsidRPr="00EF2F18">
        <w:rPr>
          <w:sz w:val="22"/>
          <w:lang w:val="sr-Cyrl-RS"/>
        </w:rPr>
        <w:t xml:space="preserve"> у свим надлежним институцијама које издају услове и одобравају техничку докум</w:t>
      </w:r>
      <w:r w:rsidR="00C4284F" w:rsidRPr="00EF2F18">
        <w:rPr>
          <w:sz w:val="22"/>
          <w:lang w:val="sr-Cyrl-RS"/>
        </w:rPr>
        <w:t>ен</w:t>
      </w:r>
      <w:r w:rsidRPr="00EF2F18">
        <w:rPr>
          <w:sz w:val="22"/>
          <w:lang w:val="sr-Cyrl-RS"/>
        </w:rPr>
        <w:t xml:space="preserve">тацију. </w:t>
      </w:r>
    </w:p>
    <w:p w14:paraId="47DB6132" w14:textId="43AB9011" w:rsidR="00E668B9" w:rsidRPr="00EF2F18" w:rsidRDefault="00E668B9" w:rsidP="008706C4">
      <w:pPr>
        <w:spacing w:after="0"/>
        <w:ind w:firstLine="720"/>
        <w:jc w:val="both"/>
        <w:rPr>
          <w:sz w:val="22"/>
          <w:lang w:val="sr-Cyrl-RS"/>
        </w:rPr>
      </w:pPr>
      <w:r w:rsidRPr="00EF2F18">
        <w:rPr>
          <w:sz w:val="22"/>
          <w:lang w:val="sr-Cyrl-RS"/>
        </w:rPr>
        <w:t xml:space="preserve">Коначно, ризик је </w:t>
      </w:r>
      <w:r w:rsidRPr="00EF2F18">
        <w:rPr>
          <w:rFonts w:cs="Times New Roman"/>
          <w:sz w:val="22"/>
          <w:lang w:val="sr-Cyrl-RS"/>
        </w:rPr>
        <w:t xml:space="preserve">да се финансијска средства не обезбеде на време и да се административни капацитети, како је предвиђено Стратегијом, не успоставе </w:t>
      </w:r>
      <w:r w:rsidRPr="00EF2F18">
        <w:rPr>
          <w:sz w:val="22"/>
          <w:lang w:val="sr-Cyrl-RS"/>
        </w:rPr>
        <w:t>због и даљег огр</w:t>
      </w:r>
      <w:r w:rsidR="005031E6">
        <w:rPr>
          <w:sz w:val="22"/>
          <w:lang w:val="sr-Cyrl-RS"/>
        </w:rPr>
        <w:t>а</w:t>
      </w:r>
      <w:r w:rsidRPr="00EF2F18">
        <w:rPr>
          <w:sz w:val="22"/>
          <w:lang w:val="sr-Cyrl-RS"/>
        </w:rPr>
        <w:t xml:space="preserve">ничења у запошљавању у јавном сектору у извесном степену. </w:t>
      </w:r>
    </w:p>
    <w:p w14:paraId="71FDE8AC" w14:textId="7B756238" w:rsidR="002A687F" w:rsidRPr="00EF2F18" w:rsidRDefault="002A06DB" w:rsidP="00E668B9">
      <w:pPr>
        <w:spacing w:after="0"/>
        <w:ind w:firstLine="720"/>
        <w:jc w:val="both"/>
        <w:rPr>
          <w:rFonts w:cs="Times New Roman"/>
          <w:sz w:val="22"/>
          <w:lang w:val="sr-Cyrl-RS"/>
        </w:rPr>
      </w:pPr>
      <w:r w:rsidRPr="00EF2F18">
        <w:rPr>
          <w:rFonts w:cs="Times New Roman"/>
          <w:sz w:val="22"/>
          <w:lang w:val="sr-Cyrl-RS"/>
        </w:rPr>
        <w:t xml:space="preserve">Један од главних ризика је </w:t>
      </w:r>
      <w:r w:rsidR="00524E1E" w:rsidRPr="00EF2F18">
        <w:rPr>
          <w:sz w:val="22"/>
          <w:lang w:val="sr-Cyrl-RS"/>
        </w:rPr>
        <w:t>недостатак финансијских средстава</w:t>
      </w:r>
      <w:r w:rsidRPr="00EF2F18">
        <w:rPr>
          <w:sz w:val="22"/>
          <w:lang w:val="sr-Cyrl-RS"/>
        </w:rPr>
        <w:t>,</w:t>
      </w:r>
      <w:r w:rsidR="008514C3" w:rsidRPr="00EF2F18">
        <w:rPr>
          <w:sz w:val="22"/>
          <w:lang w:val="sr-Cyrl-RS"/>
        </w:rPr>
        <w:t xml:space="preserve"> </w:t>
      </w:r>
      <w:r w:rsidR="00524E1E" w:rsidRPr="00EF2F18">
        <w:rPr>
          <w:sz w:val="22"/>
          <w:lang w:val="sr-Cyrl-RS"/>
        </w:rPr>
        <w:t>проблеми са добијањем помоћи из ЕУ ИПА фондова</w:t>
      </w:r>
      <w:r w:rsidRPr="00EF2F18">
        <w:rPr>
          <w:sz w:val="22"/>
          <w:lang w:val="sr-Cyrl-RS"/>
        </w:rPr>
        <w:t xml:space="preserve"> или</w:t>
      </w:r>
      <w:r w:rsidR="008514C3" w:rsidRPr="00EF2F18">
        <w:rPr>
          <w:sz w:val="22"/>
          <w:lang w:val="sr-Cyrl-RS"/>
        </w:rPr>
        <w:t xml:space="preserve"> </w:t>
      </w:r>
      <w:r w:rsidR="00524E1E" w:rsidRPr="00EF2F18">
        <w:rPr>
          <w:sz w:val="22"/>
          <w:lang w:val="sr-Cyrl-RS"/>
        </w:rPr>
        <w:t>проблеми са добијањем кредита међународних финансијских институција</w:t>
      </w:r>
      <w:r w:rsidRPr="00EF2F18">
        <w:rPr>
          <w:sz w:val="22"/>
          <w:lang w:val="sr-Cyrl-RS"/>
        </w:rPr>
        <w:t xml:space="preserve">. </w:t>
      </w:r>
      <w:r w:rsidR="002A687F" w:rsidRPr="00EF2F18">
        <w:rPr>
          <w:rFonts w:cs="Times New Roman"/>
          <w:sz w:val="22"/>
          <w:lang w:val="sr-Cyrl-RS"/>
        </w:rPr>
        <w:t xml:space="preserve">Потребне финансијске ресурсе могуће је на време обезбедити само ако су активности и трошкови из доследно пренети у средњорочне планове носилаца активности уз непосредну сарадњу са Министарством финансија и благовремено планирање приоритетних области финансирања. </w:t>
      </w:r>
      <w:r w:rsidR="009A4442" w:rsidRPr="00EF2F18">
        <w:rPr>
          <w:rFonts w:cs="Times New Roman"/>
          <w:sz w:val="22"/>
          <w:lang w:val="sr-Cyrl-RS"/>
        </w:rPr>
        <w:t>Србија ће морати знатно више да издваја за животну средину и услед обавеза у процесу приступања ЕУ</w:t>
      </w:r>
      <w:r w:rsidR="00E668B9" w:rsidRPr="00EF2F18">
        <w:rPr>
          <w:rFonts w:cs="Times New Roman"/>
          <w:sz w:val="22"/>
          <w:lang w:val="sr-Cyrl-RS"/>
        </w:rPr>
        <w:t>.</w:t>
      </w:r>
      <w:r w:rsidR="009A4442" w:rsidRPr="00EF2F18">
        <w:rPr>
          <w:rFonts w:cs="Times New Roman"/>
          <w:sz w:val="22"/>
          <w:lang w:val="sr-Cyrl-RS"/>
        </w:rPr>
        <w:t xml:space="preserve"> Потребно је обезбедити подршку политичког нивоа управљања и укључивање планираних активности у средњорочне планове и тражење алтернативних извора финансирања у односу на републички буџет. Организовање консултација/састанка административног и, по потреби, политичког нивоа координације како би се мобилисали неопходни ресурси за спровођење активности</w:t>
      </w:r>
      <w:r w:rsidR="00E668B9" w:rsidRPr="00EF2F18">
        <w:rPr>
          <w:rFonts w:cs="Times New Roman"/>
          <w:sz w:val="22"/>
          <w:lang w:val="sr-Cyrl-RS"/>
        </w:rPr>
        <w:t xml:space="preserve"> је неопходно</w:t>
      </w:r>
      <w:r w:rsidR="009A4442" w:rsidRPr="00EF2F18">
        <w:rPr>
          <w:rFonts w:cs="Times New Roman"/>
          <w:sz w:val="22"/>
          <w:lang w:val="sr-Cyrl-RS"/>
        </w:rPr>
        <w:t>.</w:t>
      </w:r>
    </w:p>
    <w:p w14:paraId="30758FCB" w14:textId="2C3AA947" w:rsidR="002A687F" w:rsidRPr="00EF2F18" w:rsidRDefault="002A06DB" w:rsidP="00E668B9">
      <w:pPr>
        <w:spacing w:after="0"/>
        <w:ind w:firstLine="720"/>
        <w:jc w:val="both"/>
        <w:rPr>
          <w:rFonts w:cs="Times New Roman"/>
          <w:sz w:val="22"/>
          <w:lang w:val="sr-Cyrl-RS"/>
        </w:rPr>
      </w:pPr>
      <w:r w:rsidRPr="00EF2F18">
        <w:rPr>
          <w:rFonts w:cs="Times New Roman"/>
          <w:sz w:val="22"/>
          <w:lang w:val="sr-Cyrl-RS"/>
        </w:rPr>
        <w:t xml:space="preserve">Један од главних изазова су </w:t>
      </w:r>
      <w:r w:rsidR="008514C3" w:rsidRPr="00EF2F18">
        <w:rPr>
          <w:rFonts w:cs="Times New Roman"/>
          <w:sz w:val="22"/>
          <w:lang w:val="sr-Cyrl-RS"/>
        </w:rPr>
        <w:t>недовољни административни капацитети министарстава, Аутономне покрајине и локалних самоуправа за спровођење мера</w:t>
      </w:r>
      <w:r w:rsidRPr="00EF2F18">
        <w:rPr>
          <w:rFonts w:cs="Times New Roman"/>
          <w:sz w:val="22"/>
          <w:lang w:val="sr-Cyrl-RS"/>
        </w:rPr>
        <w:t>,</w:t>
      </w:r>
      <w:r w:rsidR="008514C3" w:rsidRPr="00EF2F18">
        <w:rPr>
          <w:rFonts w:cs="Times New Roman"/>
          <w:sz w:val="22"/>
          <w:lang w:val="sr-Cyrl-RS"/>
        </w:rPr>
        <w:t xml:space="preserve"> недовољни капацитети за контролу спровођења мера</w:t>
      </w:r>
      <w:r w:rsidRPr="00EF2F18">
        <w:rPr>
          <w:rFonts w:cs="Times New Roman"/>
          <w:sz w:val="22"/>
          <w:lang w:val="sr-Cyrl-RS"/>
        </w:rPr>
        <w:t xml:space="preserve"> и</w:t>
      </w:r>
      <w:r w:rsidR="002A687F" w:rsidRPr="00EF2F18">
        <w:rPr>
          <w:rFonts w:cs="Times New Roman"/>
          <w:sz w:val="22"/>
          <w:lang w:val="sr-Cyrl-RS"/>
        </w:rPr>
        <w:t xml:space="preserve"> недовољна функционална повезаност институција и организација</w:t>
      </w:r>
      <w:r w:rsidRPr="00EF2F18">
        <w:rPr>
          <w:rFonts w:cs="Times New Roman"/>
          <w:sz w:val="22"/>
          <w:lang w:val="sr-Cyrl-RS"/>
        </w:rPr>
        <w:t xml:space="preserve">. </w:t>
      </w:r>
      <w:r w:rsidR="002A687F" w:rsidRPr="00EF2F18">
        <w:rPr>
          <w:rFonts w:cs="Times New Roman"/>
          <w:sz w:val="22"/>
          <w:lang w:val="sr-Cyrl-RS"/>
        </w:rPr>
        <w:lastRenderedPageBreak/>
        <w:t xml:space="preserve">Уочава се мањак запослених на пословима заштите животне средине у </w:t>
      </w:r>
      <w:r w:rsidR="00ED1026" w:rsidRPr="00EF2F18">
        <w:rPr>
          <w:rFonts w:cs="Times New Roman"/>
          <w:sz w:val="22"/>
          <w:lang w:val="sr-Cyrl-RS"/>
        </w:rPr>
        <w:t xml:space="preserve">Републици </w:t>
      </w:r>
      <w:r w:rsidR="002A687F" w:rsidRPr="00EF2F18">
        <w:rPr>
          <w:rFonts w:cs="Times New Roman"/>
          <w:sz w:val="22"/>
          <w:lang w:val="sr-Cyrl-RS"/>
        </w:rPr>
        <w:t xml:space="preserve">Србији; од административних и инспекцијских послова, до стручњака за израду пројеката, инжењера и запослених за преношење европских директива у домаће законодавство. Реч је о важним радним местима, носиоцима послова без којих није могуће реализовати </w:t>
      </w:r>
      <w:r w:rsidR="00AB2312" w:rsidRPr="00EF2F18">
        <w:rPr>
          <w:rFonts w:cs="Times New Roman"/>
          <w:sz w:val="22"/>
          <w:lang w:val="sr-Cyrl-RS"/>
        </w:rPr>
        <w:t>инфраструктурне пројекте за усклађивање са европском регулативом у области животне средине</w:t>
      </w:r>
      <w:r w:rsidR="002A687F" w:rsidRPr="00EF2F18">
        <w:rPr>
          <w:rFonts w:cs="Times New Roman"/>
          <w:sz w:val="22"/>
          <w:lang w:val="sr-Cyrl-RS"/>
        </w:rPr>
        <w:t>. Број запослених на инспекцијским пословима у области заштите животне средине треба да се значајно повећа у следећих неколико година</w:t>
      </w:r>
      <w:r w:rsidR="00963741" w:rsidRPr="00EF2F18">
        <w:rPr>
          <w:rFonts w:cs="Times New Roman"/>
          <w:sz w:val="22"/>
          <w:lang w:val="sr-Cyrl-RS"/>
        </w:rPr>
        <w:t>.</w:t>
      </w:r>
      <w:r w:rsidR="002A687F" w:rsidRPr="00EF2F18">
        <w:rPr>
          <w:rFonts w:cs="Times New Roman"/>
          <w:sz w:val="22"/>
          <w:lang w:val="sr-Cyrl-RS"/>
        </w:rPr>
        <w:t xml:space="preserve"> </w:t>
      </w:r>
      <w:r w:rsidR="00AB2312" w:rsidRPr="00EF2F18">
        <w:rPr>
          <w:rFonts w:cs="Times New Roman"/>
          <w:sz w:val="22"/>
          <w:lang w:val="sr-Cyrl-RS"/>
        </w:rPr>
        <w:t>Коначно, кроз стручну обуку требало би наставити са повећањем капацитета локалних и покрајинских инспекција да обављају послове контроле</w:t>
      </w:r>
      <w:r w:rsidR="002A687F" w:rsidRPr="00EF2F18">
        <w:rPr>
          <w:rFonts w:cs="Times New Roman"/>
          <w:sz w:val="22"/>
          <w:lang w:val="sr-Cyrl-RS"/>
        </w:rPr>
        <w:t>.</w:t>
      </w:r>
      <w:r w:rsidR="009A4442" w:rsidRPr="00EF2F18">
        <w:rPr>
          <w:rFonts w:cs="Times New Roman"/>
          <w:sz w:val="22"/>
          <w:lang w:val="sr-Cyrl-RS"/>
        </w:rPr>
        <w:t xml:space="preserve"> </w:t>
      </w:r>
      <w:r w:rsidR="002A687F" w:rsidRPr="00EF2F18">
        <w:rPr>
          <w:rFonts w:cs="Times New Roman"/>
          <w:sz w:val="22"/>
          <w:lang w:val="sr-Cyrl-RS"/>
        </w:rPr>
        <w:t xml:space="preserve">Од пресудне важности је успостављање доброг механизма координације и контроле. Да би разуђен и до разумне границе децентрализован систем управљања (какав је систем заштите животне средине) добро функционисао неопходно је успоставити ефикасну координацију и контролу институција. </w:t>
      </w:r>
      <w:r w:rsidR="002A687F" w:rsidRPr="00EF2F18">
        <w:rPr>
          <w:rFonts w:cs="Times New Roman"/>
          <w:color w:val="000000"/>
          <w:sz w:val="22"/>
          <w:lang w:val="sr-Cyrl-RS"/>
        </w:rPr>
        <w:t>Неопходна је стална координација централног и локалног нивоа власти у вези са превазилажењем ограничења.</w:t>
      </w:r>
    </w:p>
    <w:bookmarkEnd w:id="152"/>
    <w:bookmarkEnd w:id="153"/>
    <w:bookmarkEnd w:id="154"/>
    <w:p w14:paraId="36504F4B" w14:textId="77777777" w:rsidR="005E3943" w:rsidRPr="00EF2F18" w:rsidRDefault="005E3943" w:rsidP="00A84E90">
      <w:pPr>
        <w:jc w:val="both"/>
        <w:rPr>
          <w:rFonts w:cs="Times New Roman"/>
          <w:sz w:val="22"/>
          <w:lang w:val="sr-Cyrl-RS"/>
        </w:rPr>
      </w:pPr>
    </w:p>
    <w:p w14:paraId="25AB2F08" w14:textId="7FD574BF" w:rsidR="00ED0251" w:rsidRPr="00EF2F18" w:rsidRDefault="00ED0251" w:rsidP="00B329E9">
      <w:pPr>
        <w:pStyle w:val="Heading1"/>
        <w:numPr>
          <w:ilvl w:val="0"/>
          <w:numId w:val="2"/>
        </w:numPr>
        <w:ind w:firstLine="90"/>
        <w:jc w:val="center"/>
        <w:rPr>
          <w:rFonts w:cs="Times New Roman"/>
          <w:sz w:val="22"/>
          <w:szCs w:val="22"/>
          <w:lang w:val="sr-Cyrl-RS"/>
        </w:rPr>
      </w:pPr>
      <w:bookmarkStart w:id="155" w:name="_Toc158307750"/>
      <w:r w:rsidRPr="00EF2F18">
        <w:rPr>
          <w:rFonts w:cs="Times New Roman"/>
          <w:sz w:val="22"/>
          <w:szCs w:val="22"/>
          <w:lang w:val="sr-Cyrl-RS"/>
        </w:rPr>
        <w:t>АКЦИОНИ ПЛАН</w:t>
      </w:r>
      <w:bookmarkEnd w:id="155"/>
    </w:p>
    <w:p w14:paraId="13F5DD2B" w14:textId="77777777" w:rsidR="00524E1E" w:rsidRPr="00EF2F18" w:rsidRDefault="00524E1E">
      <w:pPr>
        <w:spacing w:after="160" w:line="259" w:lineRule="auto"/>
        <w:rPr>
          <w:rFonts w:cs="Times New Roman"/>
          <w:sz w:val="22"/>
          <w:lang w:val="sr-Cyrl-RS"/>
        </w:rPr>
      </w:pPr>
    </w:p>
    <w:p w14:paraId="3728363B" w14:textId="5E2EC5D1" w:rsidR="001D6C6A" w:rsidRPr="00EF2F18" w:rsidRDefault="00524E1E" w:rsidP="005878D3">
      <w:pPr>
        <w:spacing w:after="0"/>
        <w:ind w:firstLine="720"/>
        <w:jc w:val="both"/>
        <w:rPr>
          <w:rFonts w:cs="Times New Roman"/>
          <w:sz w:val="22"/>
          <w:lang w:val="sr-Cyrl-RS"/>
        </w:rPr>
      </w:pPr>
      <w:r w:rsidRPr="00EF2F18">
        <w:rPr>
          <w:rFonts w:cs="Times New Roman"/>
          <w:color w:val="333333"/>
          <w:sz w:val="22"/>
          <w:lang w:val="sr-Cyrl-RS"/>
        </w:rPr>
        <w:t xml:space="preserve">Први </w:t>
      </w:r>
      <w:r w:rsidR="008B2838" w:rsidRPr="00EF2F18">
        <w:rPr>
          <w:rFonts w:cs="Times New Roman"/>
          <w:bCs/>
          <w:color w:val="333333"/>
          <w:sz w:val="22"/>
          <w:lang w:val="sr-Cyrl-RS"/>
        </w:rPr>
        <w:t xml:space="preserve">Aкциони план за спровођење Стратегије заштите животне средине </w:t>
      </w:r>
      <w:r w:rsidR="008B2838" w:rsidRPr="00EF2F18">
        <w:rPr>
          <w:rFonts w:cs="Times New Roman"/>
          <w:color w:val="333333"/>
          <w:sz w:val="22"/>
          <w:lang w:val="sr-Cyrl-RS"/>
        </w:rPr>
        <w:t xml:space="preserve">Републике Србије до 2033. године </w:t>
      </w:r>
      <w:r w:rsidR="008B2838" w:rsidRPr="00EF2F18">
        <w:rPr>
          <w:rFonts w:cs="Times New Roman"/>
          <w:bCs/>
          <w:color w:val="333333"/>
          <w:sz w:val="22"/>
          <w:lang w:val="sr-Cyrl-RS"/>
        </w:rPr>
        <w:t xml:space="preserve"> – Зелена агенда за Србију</w:t>
      </w:r>
      <w:r w:rsidR="008B2838" w:rsidRPr="00EF2F18">
        <w:rPr>
          <w:rFonts w:cs="Times New Roman"/>
          <w:color w:val="333333"/>
          <w:sz w:val="22"/>
          <w:lang w:val="sr-Cyrl-RS"/>
        </w:rPr>
        <w:t xml:space="preserve"> </w:t>
      </w:r>
      <w:r w:rsidRPr="00EF2F18">
        <w:rPr>
          <w:rFonts w:cs="Times New Roman"/>
          <w:color w:val="333333"/>
          <w:sz w:val="22"/>
          <w:lang w:val="sr-Cyrl-RS"/>
        </w:rPr>
        <w:t xml:space="preserve">доноси се за период </w:t>
      </w:r>
      <w:r w:rsidR="0029790D" w:rsidRPr="00EF2F18">
        <w:rPr>
          <w:rFonts w:cs="Times New Roman"/>
          <w:color w:val="333333"/>
          <w:sz w:val="22"/>
          <w:lang w:val="sr-Cyrl-RS"/>
        </w:rPr>
        <w:t>од 2026</w:t>
      </w:r>
      <w:r w:rsidR="00120DE6" w:rsidRPr="00EF2F18">
        <w:rPr>
          <w:rFonts w:cs="Times New Roman"/>
          <w:color w:val="333333"/>
          <w:sz w:val="22"/>
          <w:lang w:val="sr-Cyrl-RS"/>
        </w:rPr>
        <w:t xml:space="preserve">. до </w:t>
      </w:r>
      <w:r w:rsidR="0029790D" w:rsidRPr="00EF2F18">
        <w:rPr>
          <w:rFonts w:cs="Times New Roman"/>
          <w:color w:val="333333"/>
          <w:sz w:val="22"/>
          <w:lang w:val="sr-Cyrl-RS"/>
        </w:rPr>
        <w:t>2028</w:t>
      </w:r>
      <w:r w:rsidR="00120DE6" w:rsidRPr="00EF2F18">
        <w:rPr>
          <w:rFonts w:cs="Times New Roman"/>
          <w:color w:val="333333"/>
          <w:sz w:val="22"/>
          <w:lang w:val="sr-Cyrl-RS"/>
        </w:rPr>
        <w:t xml:space="preserve">. </w:t>
      </w:r>
      <w:r w:rsidR="00E668B9" w:rsidRPr="00EF2F18">
        <w:rPr>
          <w:rFonts w:cs="Times New Roman"/>
          <w:color w:val="333333"/>
          <w:sz w:val="22"/>
          <w:lang w:val="sr-Cyrl-RS"/>
        </w:rPr>
        <w:t>г</w:t>
      </w:r>
      <w:r w:rsidRPr="00EF2F18">
        <w:rPr>
          <w:rFonts w:cs="Times New Roman"/>
          <w:color w:val="333333"/>
          <w:sz w:val="22"/>
          <w:lang w:val="sr-Cyrl-RS"/>
        </w:rPr>
        <w:t>одине</w:t>
      </w:r>
      <w:r w:rsidR="00E668B9" w:rsidRPr="00EF2F18">
        <w:rPr>
          <w:rFonts w:cs="Times New Roman"/>
          <w:color w:val="333333"/>
          <w:sz w:val="22"/>
          <w:lang w:val="sr-Cyrl-RS"/>
        </w:rPr>
        <w:t xml:space="preserve"> и саставни је део ове </w:t>
      </w:r>
      <w:r w:rsidR="00120DE6" w:rsidRPr="00EF2F18">
        <w:rPr>
          <w:rFonts w:cs="Times New Roman"/>
          <w:color w:val="333333"/>
          <w:sz w:val="22"/>
          <w:lang w:val="sr-Cyrl-RS"/>
        </w:rPr>
        <w:t>стратегије</w:t>
      </w:r>
      <w:r w:rsidRPr="00EF2F18">
        <w:rPr>
          <w:rFonts w:cs="Times New Roman"/>
          <w:color w:val="333333"/>
          <w:sz w:val="22"/>
          <w:lang w:val="sr-Cyrl-RS"/>
        </w:rPr>
        <w:t>.</w:t>
      </w:r>
      <w:r w:rsidRPr="00EF2F18">
        <w:rPr>
          <w:rFonts w:cs="Times New Roman"/>
          <w:sz w:val="22"/>
          <w:lang w:val="sr-Cyrl-RS"/>
        </w:rPr>
        <w:t xml:space="preserve"> </w:t>
      </w:r>
      <w:r w:rsidR="003B0FA3" w:rsidRPr="00EF2F18">
        <w:rPr>
          <w:rFonts w:eastAsia="Times New Roman" w:cs="Times New Roman"/>
          <w:color w:val="333333"/>
          <w:sz w:val="22"/>
          <w:lang w:val="sr-Cyrl-RS"/>
        </w:rPr>
        <w:t xml:space="preserve">На основу резултата спроведених активности, а пре истека наведеног </w:t>
      </w:r>
      <w:r w:rsidR="00D5306C" w:rsidRPr="00EF2F18">
        <w:rPr>
          <w:rFonts w:eastAsia="Times New Roman" w:cs="Times New Roman"/>
          <w:color w:val="333333"/>
          <w:sz w:val="22"/>
          <w:lang w:val="sr-Cyrl-RS"/>
        </w:rPr>
        <w:t xml:space="preserve">акционог </w:t>
      </w:r>
      <w:r w:rsidR="003B0FA3" w:rsidRPr="00EF2F18">
        <w:rPr>
          <w:rFonts w:eastAsia="Times New Roman" w:cs="Times New Roman"/>
          <w:color w:val="333333"/>
          <w:sz w:val="22"/>
          <w:lang w:val="sr-Cyrl-RS"/>
        </w:rPr>
        <w:t xml:space="preserve">плана, започеће се са процесом израде наредног </w:t>
      </w:r>
      <w:r w:rsidR="00B329E9" w:rsidRPr="00EF2F18">
        <w:rPr>
          <w:rFonts w:eastAsia="Times New Roman" w:cs="Times New Roman"/>
          <w:color w:val="333333"/>
          <w:sz w:val="22"/>
          <w:lang w:val="sr-Cyrl-RS"/>
        </w:rPr>
        <w:t xml:space="preserve">акционог </w:t>
      </w:r>
      <w:r w:rsidR="003B0FA3" w:rsidRPr="00EF2F18">
        <w:rPr>
          <w:rFonts w:eastAsia="Times New Roman" w:cs="Times New Roman"/>
          <w:color w:val="333333"/>
          <w:sz w:val="22"/>
          <w:lang w:val="sr-Cyrl-RS"/>
        </w:rPr>
        <w:t xml:space="preserve">плана за </w:t>
      </w:r>
      <w:r w:rsidR="00E410CE" w:rsidRPr="00EF2F18">
        <w:rPr>
          <w:rFonts w:eastAsia="Times New Roman" w:cs="Times New Roman"/>
          <w:color w:val="333333"/>
          <w:sz w:val="22"/>
          <w:lang w:val="sr-Cyrl-RS"/>
        </w:rPr>
        <w:t xml:space="preserve">наставак </w:t>
      </w:r>
      <w:r w:rsidR="003B0FA3" w:rsidRPr="00EF2F18">
        <w:rPr>
          <w:rFonts w:eastAsia="Times New Roman" w:cs="Times New Roman"/>
          <w:color w:val="333333"/>
          <w:sz w:val="22"/>
          <w:lang w:val="sr-Cyrl-RS"/>
        </w:rPr>
        <w:t>реализацију општих и посебних циљева на нивоу Стратегије</w:t>
      </w:r>
      <w:r w:rsidR="003B0FA3" w:rsidRPr="00EF2F18">
        <w:rPr>
          <w:rFonts w:cs="Times New Roman"/>
          <w:sz w:val="22"/>
          <w:lang w:val="sr-Cyrl-RS"/>
        </w:rPr>
        <w:t>.</w:t>
      </w:r>
    </w:p>
    <w:p w14:paraId="38839A63" w14:textId="497B3964" w:rsidR="007D7243" w:rsidRPr="00EF2F18" w:rsidRDefault="007D7243" w:rsidP="007D7243">
      <w:pPr>
        <w:pStyle w:val="basic-paragraph"/>
        <w:shd w:val="clear" w:color="auto" w:fill="FFFFFF"/>
        <w:spacing w:before="0" w:beforeAutospacing="0" w:after="0" w:afterAutospacing="0"/>
        <w:ind w:firstLine="720"/>
        <w:jc w:val="both"/>
        <w:rPr>
          <w:color w:val="333333"/>
          <w:sz w:val="22"/>
          <w:szCs w:val="22"/>
          <w:lang w:val="sr-Cyrl-RS"/>
        </w:rPr>
      </w:pPr>
      <w:r w:rsidRPr="00EF2F18">
        <w:rPr>
          <w:sz w:val="22"/>
          <w:szCs w:val="22"/>
          <w:lang w:val="sr-Cyrl-RS"/>
        </w:rPr>
        <w:t xml:space="preserve">Акционим планом </w:t>
      </w:r>
      <w:r w:rsidR="00B329E9" w:rsidRPr="00EF2F18">
        <w:rPr>
          <w:color w:val="333333"/>
          <w:sz w:val="22"/>
          <w:lang w:val="sr-Cyrl-RS"/>
        </w:rPr>
        <w:t xml:space="preserve">за период од 2026. до 2028. године </w:t>
      </w:r>
      <w:r w:rsidRPr="00EF2F18">
        <w:rPr>
          <w:sz w:val="22"/>
          <w:szCs w:val="22"/>
          <w:lang w:val="sr-Cyrl-RS"/>
        </w:rPr>
        <w:t xml:space="preserve">су утврђене </w:t>
      </w:r>
      <w:r w:rsidRPr="00EF2F18">
        <w:rPr>
          <w:color w:val="333333"/>
          <w:sz w:val="22"/>
          <w:szCs w:val="22"/>
          <w:lang w:val="sr-Cyrl-RS"/>
        </w:rPr>
        <w:t>активности за спровођење мера за остваривање циљева Стратегије, одређени су рокови, носиоци и партнери, као и финансијска средства и извори финансирања за спровођење утврђених активности.</w:t>
      </w:r>
    </w:p>
    <w:p w14:paraId="20FE1FAC" w14:textId="2FFF52F3" w:rsidR="00823973" w:rsidRPr="00EF2F18" w:rsidRDefault="00823973" w:rsidP="007D7243">
      <w:pPr>
        <w:pStyle w:val="basic-paragraph"/>
        <w:shd w:val="clear" w:color="auto" w:fill="FFFFFF"/>
        <w:spacing w:before="0" w:beforeAutospacing="0" w:after="0" w:afterAutospacing="0"/>
        <w:ind w:firstLine="720"/>
        <w:jc w:val="both"/>
        <w:rPr>
          <w:color w:val="333333"/>
          <w:sz w:val="22"/>
          <w:szCs w:val="22"/>
          <w:lang w:val="sr-Cyrl-RS"/>
        </w:rPr>
      </w:pPr>
      <w:r w:rsidRPr="00EF2F18">
        <w:rPr>
          <w:color w:val="333333"/>
          <w:sz w:val="22"/>
          <w:szCs w:val="22"/>
          <w:lang w:val="sr-Cyrl-RS"/>
        </w:rPr>
        <w:t>Средства неопходна за јачање институционалних капацитета и реализацију планираних кадровских активности обезбеђена су у оквиру одобрених буџетских средстава за текућу и наредне две буџетске године, без потребе за додатним финансијским оптерећењем буџета.</w:t>
      </w:r>
    </w:p>
    <w:p w14:paraId="562C7CC7" w14:textId="556F6B52" w:rsidR="007D7243" w:rsidRPr="00EF2F18" w:rsidRDefault="007D7243" w:rsidP="007D7243">
      <w:pPr>
        <w:shd w:val="clear" w:color="auto" w:fill="FFFFFF"/>
        <w:spacing w:after="0"/>
        <w:ind w:firstLine="720"/>
        <w:jc w:val="both"/>
        <w:rPr>
          <w:rFonts w:eastAsia="Times New Roman" w:cs="Times New Roman"/>
          <w:color w:val="333333"/>
          <w:sz w:val="22"/>
          <w:lang w:val="sr-Cyrl-RS"/>
        </w:rPr>
      </w:pPr>
      <w:r w:rsidRPr="00EF2F18">
        <w:rPr>
          <w:rFonts w:eastAsia="Times New Roman" w:cs="Times New Roman"/>
          <w:color w:val="333333"/>
          <w:sz w:val="22"/>
          <w:lang w:val="sr-Cyrl-RS"/>
        </w:rPr>
        <w:t xml:space="preserve">На основу резултата спроведених активности, а пре истека овог </w:t>
      </w:r>
      <w:r w:rsidR="00B329E9" w:rsidRPr="00EF2F18">
        <w:rPr>
          <w:rFonts w:eastAsia="Times New Roman" w:cs="Times New Roman"/>
          <w:color w:val="333333"/>
          <w:sz w:val="22"/>
          <w:lang w:val="sr-Cyrl-RS"/>
        </w:rPr>
        <w:t xml:space="preserve">акционог </w:t>
      </w:r>
      <w:r w:rsidRPr="00EF2F18">
        <w:rPr>
          <w:rFonts w:eastAsia="Times New Roman" w:cs="Times New Roman"/>
          <w:color w:val="333333"/>
          <w:sz w:val="22"/>
          <w:lang w:val="sr-Cyrl-RS"/>
        </w:rPr>
        <w:t>плана</w:t>
      </w:r>
      <w:r w:rsidR="00B329E9" w:rsidRPr="00B329E9">
        <w:rPr>
          <w:rFonts w:cs="Times New Roman"/>
          <w:color w:val="333333"/>
          <w:sz w:val="22"/>
          <w:lang w:val="sr-Cyrl-RS"/>
        </w:rPr>
        <w:t xml:space="preserve"> </w:t>
      </w:r>
      <w:r w:rsidR="00B329E9" w:rsidRPr="00EF2F18">
        <w:rPr>
          <w:rFonts w:cs="Times New Roman"/>
          <w:color w:val="333333"/>
          <w:sz w:val="22"/>
          <w:lang w:val="sr-Cyrl-RS"/>
        </w:rPr>
        <w:t>за период од 2026. до 2028. године</w:t>
      </w:r>
      <w:r w:rsidRPr="00EF2F18">
        <w:rPr>
          <w:rFonts w:eastAsia="Times New Roman" w:cs="Times New Roman"/>
          <w:color w:val="333333"/>
          <w:sz w:val="22"/>
          <w:lang w:val="sr-Cyrl-RS"/>
        </w:rPr>
        <w:t xml:space="preserve">, започеће се са процесом израде наредног </w:t>
      </w:r>
      <w:r w:rsidR="00B329E9" w:rsidRPr="00EF2F18">
        <w:rPr>
          <w:rFonts w:eastAsia="Times New Roman" w:cs="Times New Roman"/>
          <w:color w:val="333333"/>
          <w:sz w:val="22"/>
          <w:lang w:val="sr-Cyrl-RS"/>
        </w:rPr>
        <w:t xml:space="preserve">акционог </w:t>
      </w:r>
      <w:r w:rsidRPr="00EF2F18">
        <w:rPr>
          <w:rFonts w:eastAsia="Times New Roman" w:cs="Times New Roman"/>
          <w:color w:val="333333"/>
          <w:sz w:val="22"/>
          <w:lang w:val="sr-Cyrl-RS"/>
        </w:rPr>
        <w:t>плана који ће наставити даље активности за реализацију општих и посебних циљева на нивоу Стратегије.</w:t>
      </w:r>
    </w:p>
    <w:p w14:paraId="7E232E8A" w14:textId="2CCBA426" w:rsidR="007D7243" w:rsidRPr="00EF2F18" w:rsidRDefault="007D7243" w:rsidP="007D7243">
      <w:pPr>
        <w:shd w:val="clear" w:color="auto" w:fill="FFFFFF"/>
        <w:spacing w:after="0"/>
        <w:ind w:firstLine="720"/>
        <w:jc w:val="both"/>
        <w:rPr>
          <w:rFonts w:eastAsia="Times New Roman" w:cs="Times New Roman"/>
          <w:color w:val="333333"/>
          <w:sz w:val="22"/>
          <w:lang w:val="sr-Cyrl-RS"/>
        </w:rPr>
      </w:pPr>
      <w:r w:rsidRPr="00EF2F18">
        <w:rPr>
          <w:rFonts w:eastAsia="Times New Roman" w:cs="Times New Roman"/>
          <w:color w:val="333333"/>
          <w:sz w:val="22"/>
          <w:lang w:val="sr-Cyrl-RS"/>
        </w:rPr>
        <w:t xml:space="preserve">Наредни </w:t>
      </w:r>
      <w:r w:rsidR="00B329E9" w:rsidRPr="00EF2F18">
        <w:rPr>
          <w:rFonts w:eastAsia="Times New Roman" w:cs="Times New Roman"/>
          <w:color w:val="333333"/>
          <w:sz w:val="22"/>
          <w:lang w:val="sr-Cyrl-RS"/>
        </w:rPr>
        <w:t xml:space="preserve">акциони </w:t>
      </w:r>
      <w:r w:rsidRPr="00EF2F18">
        <w:rPr>
          <w:rFonts w:eastAsia="Times New Roman" w:cs="Times New Roman"/>
          <w:color w:val="333333"/>
          <w:sz w:val="22"/>
          <w:lang w:val="sr-Cyrl-RS"/>
        </w:rPr>
        <w:t xml:space="preserve">план </w:t>
      </w:r>
      <w:r w:rsidR="00D5306C" w:rsidRPr="00EF2F18">
        <w:rPr>
          <w:rFonts w:cs="Times New Roman"/>
          <w:bCs/>
          <w:color w:val="333333"/>
          <w:sz w:val="22"/>
          <w:lang w:val="sr-Cyrl-RS"/>
        </w:rPr>
        <w:t xml:space="preserve">за спровођење Стратегије заштите животне средине </w:t>
      </w:r>
      <w:r w:rsidR="00D5306C" w:rsidRPr="00EF2F18">
        <w:rPr>
          <w:rFonts w:cs="Times New Roman"/>
          <w:color w:val="333333"/>
          <w:sz w:val="22"/>
          <w:lang w:val="sr-Cyrl-RS"/>
        </w:rPr>
        <w:t xml:space="preserve">Републике Србије до 2033. године </w:t>
      </w:r>
      <w:r w:rsidR="00D5306C" w:rsidRPr="00EF2F18">
        <w:rPr>
          <w:rFonts w:cs="Times New Roman"/>
          <w:bCs/>
          <w:color w:val="333333"/>
          <w:sz w:val="22"/>
          <w:lang w:val="sr-Cyrl-RS"/>
        </w:rPr>
        <w:t xml:space="preserve"> – Зелена агенда за Србију,</w:t>
      </w:r>
      <w:r w:rsidR="00D5306C" w:rsidRPr="00EF2F18">
        <w:rPr>
          <w:rFonts w:cs="Times New Roman"/>
          <w:color w:val="333333"/>
          <w:sz w:val="22"/>
          <w:lang w:val="sr-Cyrl-RS"/>
        </w:rPr>
        <w:t xml:space="preserve"> </w:t>
      </w:r>
      <w:r w:rsidRPr="00EF2F18">
        <w:rPr>
          <w:rFonts w:eastAsia="Times New Roman" w:cs="Times New Roman"/>
          <w:color w:val="333333"/>
          <w:sz w:val="22"/>
          <w:lang w:val="sr-Cyrl-RS"/>
        </w:rPr>
        <w:t>за период од 2029. до 2033.</w:t>
      </w:r>
      <w:r w:rsidR="00120DE6" w:rsidRPr="00EF2F18">
        <w:rPr>
          <w:rFonts w:eastAsia="Times New Roman" w:cs="Times New Roman"/>
          <w:color w:val="333333"/>
          <w:sz w:val="22"/>
          <w:lang w:val="sr-Cyrl-RS"/>
        </w:rPr>
        <w:t xml:space="preserve"> године</w:t>
      </w:r>
      <w:r w:rsidRPr="00EF2F18">
        <w:rPr>
          <w:rFonts w:eastAsia="Times New Roman" w:cs="Times New Roman"/>
          <w:color w:val="333333"/>
          <w:sz w:val="22"/>
          <w:lang w:val="sr-Cyrl-RS"/>
        </w:rPr>
        <w:t xml:space="preserve"> </w:t>
      </w:r>
      <w:r w:rsidR="00B329E9">
        <w:rPr>
          <w:rFonts w:eastAsia="Times New Roman" w:cs="Times New Roman"/>
          <w:color w:val="333333"/>
          <w:sz w:val="22"/>
          <w:lang w:val="sr-Cyrl-RS"/>
        </w:rPr>
        <w:t>биће</w:t>
      </w:r>
      <w:r w:rsidRPr="00EF2F18">
        <w:rPr>
          <w:rFonts w:eastAsia="Times New Roman" w:cs="Times New Roman"/>
          <w:color w:val="333333"/>
          <w:sz w:val="22"/>
          <w:lang w:val="sr-Cyrl-RS"/>
        </w:rPr>
        <w:t xml:space="preserve"> донет као засебан документ.</w:t>
      </w:r>
    </w:p>
    <w:p w14:paraId="5EC26493" w14:textId="77777777" w:rsidR="007D7243" w:rsidRPr="00EF2F18" w:rsidRDefault="007D7243" w:rsidP="007D7243">
      <w:pPr>
        <w:shd w:val="clear" w:color="auto" w:fill="FFFFFF"/>
        <w:spacing w:after="0"/>
        <w:ind w:firstLine="720"/>
        <w:jc w:val="both"/>
        <w:rPr>
          <w:rFonts w:eastAsia="Times New Roman" w:cs="Times New Roman"/>
          <w:color w:val="333333"/>
          <w:sz w:val="22"/>
          <w:lang w:val="sr-Cyrl-RS"/>
        </w:rPr>
        <w:sectPr w:rsidR="007D7243" w:rsidRPr="00EF2F18" w:rsidSect="00F50652">
          <w:footerReference w:type="default" r:id="rId115"/>
          <w:pgSz w:w="11907" w:h="16840" w:code="9"/>
          <w:pgMar w:top="1440" w:right="1440" w:bottom="1440" w:left="1440" w:header="720" w:footer="720" w:gutter="0"/>
          <w:cols w:space="720"/>
          <w:docGrid w:linePitch="360"/>
        </w:sectPr>
      </w:pPr>
    </w:p>
    <w:p w14:paraId="26BD5E7E" w14:textId="77777777" w:rsidR="007D7243" w:rsidRPr="00EF2F18" w:rsidRDefault="007D7243" w:rsidP="007D7243">
      <w:pPr>
        <w:shd w:val="clear" w:color="auto" w:fill="FFFFFF"/>
        <w:spacing w:after="0"/>
        <w:ind w:firstLine="720"/>
        <w:jc w:val="both"/>
        <w:rPr>
          <w:rFonts w:eastAsia="Times New Roman" w:cs="Times New Roman"/>
          <w:color w:val="333333"/>
          <w:sz w:val="22"/>
          <w:lang w:val="sr-Cyrl-RS"/>
        </w:rPr>
      </w:pPr>
    </w:p>
    <w:p w14:paraId="49DED313" w14:textId="77777777" w:rsidR="007D7243" w:rsidRPr="00EF2F18" w:rsidRDefault="007D7243" w:rsidP="007D7243">
      <w:pPr>
        <w:shd w:val="clear" w:color="auto" w:fill="FFFFFF"/>
        <w:spacing w:after="0"/>
        <w:ind w:firstLine="720"/>
        <w:jc w:val="both"/>
        <w:rPr>
          <w:rFonts w:eastAsia="Times New Roman" w:cs="Times New Roman"/>
          <w:color w:val="333333"/>
          <w:sz w:val="22"/>
          <w:lang w:val="sr-Cyrl-RS"/>
        </w:rPr>
      </w:pPr>
    </w:p>
    <w:tbl>
      <w:tblPr>
        <w:tblStyle w:val="TableGrid"/>
        <w:tblW w:w="13452" w:type="dxa"/>
        <w:tblLook w:val="04A0" w:firstRow="1" w:lastRow="0" w:firstColumn="1" w:lastColumn="0" w:noHBand="0" w:noVBand="1"/>
      </w:tblPr>
      <w:tblGrid>
        <w:gridCol w:w="3529"/>
        <w:gridCol w:w="9923"/>
      </w:tblGrid>
      <w:tr w:rsidR="007D7243" w:rsidRPr="00EF2F18" w14:paraId="385C8455" w14:textId="77777777" w:rsidTr="00752CA0">
        <w:trPr>
          <w:trHeight w:val="377"/>
        </w:trPr>
        <w:tc>
          <w:tcPr>
            <w:tcW w:w="3529" w:type="dxa"/>
            <w:tcBorders>
              <w:left w:val="double" w:sz="4" w:space="0" w:color="auto"/>
            </w:tcBorders>
          </w:tcPr>
          <w:p w14:paraId="04546ECD"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Акциони план:</w:t>
            </w:r>
          </w:p>
        </w:tc>
        <w:tc>
          <w:tcPr>
            <w:tcW w:w="9923" w:type="dxa"/>
            <w:tcBorders>
              <w:right w:val="double" w:sz="4" w:space="0" w:color="auto"/>
            </w:tcBorders>
          </w:tcPr>
          <w:p w14:paraId="362B5B5B" w14:textId="0CDE38C2" w:rsidR="007D7243" w:rsidRPr="00EF2F18" w:rsidRDefault="007D7243" w:rsidP="008B2838">
            <w:pPr>
              <w:rPr>
                <w:rFonts w:cs="Times New Roman"/>
                <w:b/>
                <w:bCs/>
                <w:sz w:val="20"/>
                <w:szCs w:val="20"/>
                <w:lang w:val="sr-Cyrl-RS"/>
              </w:rPr>
            </w:pPr>
            <w:r w:rsidRPr="00EF2F18">
              <w:rPr>
                <w:rFonts w:cs="Times New Roman"/>
                <w:b/>
                <w:bCs/>
                <w:sz w:val="20"/>
                <w:szCs w:val="20"/>
                <w:lang w:val="sr-Cyrl-RS"/>
              </w:rPr>
              <w:t xml:space="preserve">Aкциони план </w:t>
            </w:r>
            <w:r w:rsidRPr="00EF2F18">
              <w:rPr>
                <w:b/>
                <w:bCs/>
                <w:color w:val="333333"/>
                <w:sz w:val="20"/>
                <w:szCs w:val="20"/>
                <w:lang w:val="sr-Cyrl-RS"/>
              </w:rPr>
              <w:t xml:space="preserve">за период од </w:t>
            </w:r>
            <w:r w:rsidR="0029790D" w:rsidRPr="00EF2F18">
              <w:rPr>
                <w:b/>
                <w:bCs/>
                <w:color w:val="333333"/>
                <w:sz w:val="20"/>
                <w:szCs w:val="20"/>
                <w:lang w:val="sr-Cyrl-RS"/>
              </w:rPr>
              <w:t>2026</w:t>
            </w:r>
            <w:r w:rsidR="00120DE6" w:rsidRPr="00EF2F18">
              <w:rPr>
                <w:b/>
                <w:bCs/>
                <w:color w:val="333333"/>
                <w:sz w:val="20"/>
                <w:szCs w:val="20"/>
                <w:lang w:val="sr-Cyrl-RS"/>
              </w:rPr>
              <w:t>. до 2028. године</w:t>
            </w:r>
            <w:r w:rsidRPr="00EF2F18">
              <w:rPr>
                <w:b/>
                <w:bCs/>
                <w:color w:val="333333"/>
                <w:sz w:val="20"/>
                <w:szCs w:val="20"/>
                <w:lang w:val="sr-Cyrl-RS"/>
              </w:rPr>
              <w:t xml:space="preserve"> за спровођење Стратегије заштите животне средине</w:t>
            </w:r>
            <w:r w:rsidR="008B2838" w:rsidRPr="00EF2F18">
              <w:rPr>
                <w:b/>
                <w:bCs/>
                <w:color w:val="333333"/>
                <w:sz w:val="20"/>
                <w:szCs w:val="20"/>
                <w:lang w:val="sr-Cyrl-RS"/>
              </w:rPr>
              <w:t xml:space="preserve"> </w:t>
            </w:r>
            <w:r w:rsidR="008B2838" w:rsidRPr="00EF2F18">
              <w:rPr>
                <w:rFonts w:cs="Times New Roman"/>
                <w:b/>
                <w:sz w:val="20"/>
                <w:szCs w:val="20"/>
                <w:lang w:val="sr-Cyrl-RS"/>
              </w:rPr>
              <w:t>Републике Србије до 2033. године</w:t>
            </w:r>
            <w:r w:rsidR="008B2838" w:rsidRPr="00EF2F18">
              <w:rPr>
                <w:rFonts w:cs="Times New Roman"/>
                <w:sz w:val="22"/>
                <w:lang w:val="sr-Cyrl-RS"/>
              </w:rPr>
              <w:t xml:space="preserve"> </w:t>
            </w:r>
            <w:r w:rsidRPr="00EF2F18">
              <w:rPr>
                <w:b/>
                <w:bCs/>
                <w:color w:val="333333"/>
                <w:sz w:val="20"/>
                <w:szCs w:val="20"/>
                <w:lang w:val="sr-Cyrl-RS"/>
              </w:rPr>
              <w:t xml:space="preserve"> – Зелена агенда за Србију</w:t>
            </w:r>
          </w:p>
        </w:tc>
      </w:tr>
      <w:tr w:rsidR="007D7243" w:rsidRPr="00EF2F18" w14:paraId="06BE029E" w14:textId="77777777" w:rsidTr="00752CA0">
        <w:trPr>
          <w:trHeight w:val="286"/>
        </w:trPr>
        <w:tc>
          <w:tcPr>
            <w:tcW w:w="3529" w:type="dxa"/>
            <w:tcBorders>
              <w:left w:val="double" w:sz="4" w:space="0" w:color="auto"/>
            </w:tcBorders>
          </w:tcPr>
          <w:p w14:paraId="504D754A"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Предлагач:</w:t>
            </w:r>
          </w:p>
        </w:tc>
        <w:tc>
          <w:tcPr>
            <w:tcW w:w="9923" w:type="dxa"/>
            <w:tcBorders>
              <w:right w:val="double" w:sz="4" w:space="0" w:color="auto"/>
            </w:tcBorders>
          </w:tcPr>
          <w:p w14:paraId="46996B81"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Министарство заштите животне средине</w:t>
            </w:r>
          </w:p>
        </w:tc>
      </w:tr>
      <w:tr w:rsidR="007D7243" w:rsidRPr="00EF2F18" w14:paraId="45D5C21B" w14:textId="77777777" w:rsidTr="00752CA0">
        <w:trPr>
          <w:trHeight w:val="286"/>
        </w:trPr>
        <w:tc>
          <w:tcPr>
            <w:tcW w:w="3529" w:type="dxa"/>
            <w:tcBorders>
              <w:left w:val="double" w:sz="4" w:space="0" w:color="auto"/>
            </w:tcBorders>
          </w:tcPr>
          <w:p w14:paraId="42771734"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Координација и извештавање:</w:t>
            </w:r>
          </w:p>
        </w:tc>
        <w:tc>
          <w:tcPr>
            <w:tcW w:w="9923" w:type="dxa"/>
            <w:tcBorders>
              <w:right w:val="double" w:sz="4" w:space="0" w:color="auto"/>
            </w:tcBorders>
          </w:tcPr>
          <w:p w14:paraId="6DC1FB62"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Министарство заштите животне средине</w:t>
            </w:r>
          </w:p>
        </w:tc>
      </w:tr>
    </w:tbl>
    <w:p w14:paraId="3484680A" w14:textId="77777777" w:rsidR="007D7243" w:rsidRPr="00EF2F18" w:rsidRDefault="007D7243" w:rsidP="007D7243">
      <w:pPr>
        <w:rPr>
          <w:rFonts w:cs="Times New Roman"/>
          <w:sz w:val="20"/>
          <w:szCs w:val="20"/>
          <w:lang w:val="sr-Cyrl-RS"/>
        </w:rPr>
      </w:pPr>
    </w:p>
    <w:p w14:paraId="5698267E" w14:textId="77777777" w:rsidR="007D7243" w:rsidRPr="00EF2F18" w:rsidRDefault="007D7243" w:rsidP="007D7243">
      <w:pPr>
        <w:spacing w:after="0"/>
        <w:rPr>
          <w:rFonts w:cs="Times New Roman"/>
          <w:sz w:val="20"/>
          <w:szCs w:val="20"/>
          <w:lang w:val="sr-Cyrl-RS"/>
        </w:rPr>
      </w:pPr>
    </w:p>
    <w:tbl>
      <w:tblPr>
        <w:tblStyle w:val="TableGrid"/>
        <w:tblW w:w="134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21"/>
        <w:gridCol w:w="1111"/>
        <w:gridCol w:w="1680"/>
        <w:gridCol w:w="1462"/>
        <w:gridCol w:w="1559"/>
        <w:gridCol w:w="1400"/>
        <w:gridCol w:w="1719"/>
      </w:tblGrid>
      <w:tr w:rsidR="007D7243" w:rsidRPr="00EF2F18" w14:paraId="56B1E08D" w14:textId="77777777" w:rsidTr="00752CA0">
        <w:trPr>
          <w:trHeight w:val="454"/>
        </w:trPr>
        <w:tc>
          <w:tcPr>
            <w:tcW w:w="13452" w:type="dxa"/>
            <w:gridSpan w:val="7"/>
            <w:shd w:val="clear" w:color="auto" w:fill="DEEAF6" w:themeFill="accent1" w:themeFillTint="33"/>
          </w:tcPr>
          <w:p w14:paraId="260987F7" w14:textId="77777777" w:rsidR="007D7243" w:rsidRPr="00EF2F18" w:rsidRDefault="007D7243" w:rsidP="00752CA0">
            <w:pPr>
              <w:rPr>
                <w:rFonts w:cs="Times New Roman"/>
                <w:b/>
                <w:sz w:val="20"/>
                <w:szCs w:val="20"/>
                <w:lang w:val="sr-Cyrl-RS"/>
              </w:rPr>
            </w:pPr>
            <w:r w:rsidRPr="00EF2F18">
              <w:rPr>
                <w:rFonts w:cs="Times New Roman"/>
                <w:b/>
                <w:sz w:val="20"/>
                <w:szCs w:val="20"/>
                <w:lang w:val="sr-Cyrl-RS"/>
              </w:rPr>
              <w:t>Општи циљ 1: Допринос угљеничној неутралности 2050. године и повећање отпорности на климатске промене у складу са Зеленом агендом</w:t>
            </w:r>
          </w:p>
        </w:tc>
      </w:tr>
      <w:tr w:rsidR="007D7243" w:rsidRPr="00EF2F18" w14:paraId="07B7AF36" w14:textId="77777777" w:rsidTr="00752CA0">
        <w:trPr>
          <w:trHeight w:val="424"/>
        </w:trPr>
        <w:tc>
          <w:tcPr>
            <w:tcW w:w="13452" w:type="dxa"/>
            <w:gridSpan w:val="7"/>
            <w:shd w:val="clear" w:color="auto" w:fill="DEEAF6" w:themeFill="accent1" w:themeFillTint="33"/>
            <w:vAlign w:val="center"/>
          </w:tcPr>
          <w:p w14:paraId="0100688E" w14:textId="645E37AE" w:rsidR="007D7243" w:rsidRPr="00EF2F18" w:rsidRDefault="007D7243" w:rsidP="00752CA0">
            <w:pPr>
              <w:rPr>
                <w:rFonts w:cs="Times New Roman"/>
                <w:sz w:val="20"/>
                <w:szCs w:val="20"/>
                <w:lang w:val="sr-Cyrl-RS"/>
              </w:rPr>
            </w:pPr>
            <w:r w:rsidRPr="00EF2F18">
              <w:rPr>
                <w:rFonts w:eastAsia="Times New Roman" w:cs="Times New Roman"/>
                <w:color w:val="222222"/>
                <w:sz w:val="20"/>
                <w:szCs w:val="20"/>
                <w:lang w:val="sr-Cyrl-RS"/>
              </w:rPr>
              <w:t xml:space="preserve">Институција одговорна за праћење и контролу реализације: </w:t>
            </w:r>
            <w:r w:rsidRPr="00EF2F18">
              <w:rPr>
                <w:rFonts w:cs="Times New Roman"/>
                <w:sz w:val="20"/>
                <w:szCs w:val="20"/>
                <w:lang w:val="sr-Cyrl-RS"/>
              </w:rPr>
              <w:t>Министарство заштите животне средине</w:t>
            </w:r>
            <w:r w:rsidR="006A2374" w:rsidRPr="00EF2F18" w:rsidDel="006A2374">
              <w:rPr>
                <w:rStyle w:val="CommentReference"/>
                <w:lang w:val="sr-Cyrl-RS"/>
              </w:rPr>
              <w:t xml:space="preserve"> </w:t>
            </w:r>
          </w:p>
        </w:tc>
      </w:tr>
      <w:tr w:rsidR="007D7243" w:rsidRPr="00EF2F18" w14:paraId="13ECBAA8" w14:textId="77777777" w:rsidTr="00752CA0">
        <w:trPr>
          <w:trHeight w:val="424"/>
        </w:trPr>
        <w:tc>
          <w:tcPr>
            <w:tcW w:w="4521" w:type="dxa"/>
            <w:shd w:val="clear" w:color="auto" w:fill="D9D9D9" w:themeFill="background1" w:themeFillShade="D9"/>
          </w:tcPr>
          <w:p w14:paraId="2CC950C2"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 xml:space="preserve">Показатељ (и) на нивоу oпштег циља </w:t>
            </w:r>
            <w:r w:rsidRPr="00EF2F18">
              <w:rPr>
                <w:rFonts w:cs="Times New Roman"/>
                <w:i/>
                <w:sz w:val="20"/>
                <w:szCs w:val="20"/>
                <w:lang w:val="sr-Cyrl-RS"/>
              </w:rPr>
              <w:t>(показатељ eфекта)</w:t>
            </w:r>
          </w:p>
        </w:tc>
        <w:tc>
          <w:tcPr>
            <w:tcW w:w="1111" w:type="dxa"/>
            <w:shd w:val="clear" w:color="auto" w:fill="D9D9D9" w:themeFill="background1" w:themeFillShade="D9"/>
          </w:tcPr>
          <w:p w14:paraId="422BF2EA"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Jединица мере</w:t>
            </w:r>
          </w:p>
          <w:p w14:paraId="2B12C154" w14:textId="77777777" w:rsidR="007D7243" w:rsidRPr="00EF2F18" w:rsidRDefault="007D7243" w:rsidP="00752CA0">
            <w:pPr>
              <w:jc w:val="center"/>
              <w:rPr>
                <w:rFonts w:cs="Times New Roman"/>
                <w:sz w:val="20"/>
                <w:szCs w:val="20"/>
                <w:lang w:val="sr-Cyrl-RS"/>
              </w:rPr>
            </w:pPr>
          </w:p>
        </w:tc>
        <w:tc>
          <w:tcPr>
            <w:tcW w:w="1680" w:type="dxa"/>
            <w:shd w:val="clear" w:color="auto" w:fill="D9D9D9" w:themeFill="background1" w:themeFillShade="D9"/>
          </w:tcPr>
          <w:p w14:paraId="098F8C3C"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Извор провере</w:t>
            </w:r>
          </w:p>
        </w:tc>
        <w:tc>
          <w:tcPr>
            <w:tcW w:w="1462" w:type="dxa"/>
            <w:shd w:val="clear" w:color="auto" w:fill="D9D9D9" w:themeFill="background1" w:themeFillShade="D9"/>
          </w:tcPr>
          <w:p w14:paraId="63038FAB"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Почетна вредност</w:t>
            </w:r>
          </w:p>
        </w:tc>
        <w:tc>
          <w:tcPr>
            <w:tcW w:w="1559" w:type="dxa"/>
            <w:shd w:val="clear" w:color="auto" w:fill="D9D9D9" w:themeFill="background1" w:themeFillShade="D9"/>
          </w:tcPr>
          <w:p w14:paraId="1AAB83F7"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Базна година</w:t>
            </w:r>
          </w:p>
        </w:tc>
        <w:tc>
          <w:tcPr>
            <w:tcW w:w="1400" w:type="dxa"/>
            <w:shd w:val="clear" w:color="auto" w:fill="D9D9D9" w:themeFill="background1" w:themeFillShade="D9"/>
          </w:tcPr>
          <w:p w14:paraId="40F26356"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Циљaна вредност</w:t>
            </w:r>
          </w:p>
        </w:tc>
        <w:tc>
          <w:tcPr>
            <w:tcW w:w="1719" w:type="dxa"/>
            <w:shd w:val="clear" w:color="auto" w:fill="D9D9D9" w:themeFill="background1" w:themeFillShade="D9"/>
          </w:tcPr>
          <w:p w14:paraId="2DD9B475"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Последња година важења АП</w:t>
            </w:r>
          </w:p>
        </w:tc>
      </w:tr>
      <w:tr w:rsidR="007D7243" w:rsidRPr="00EF2F18" w14:paraId="49AFFC37" w14:textId="77777777" w:rsidTr="00752CA0">
        <w:trPr>
          <w:trHeight w:val="197"/>
        </w:trPr>
        <w:tc>
          <w:tcPr>
            <w:tcW w:w="4521" w:type="dxa"/>
            <w:shd w:val="clear" w:color="auto" w:fill="FFFFFF" w:themeFill="background1"/>
          </w:tcPr>
          <w:p w14:paraId="7BC183D0"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 xml:space="preserve">Проценат смањења емисије </w:t>
            </w:r>
            <w:r w:rsidRPr="00EF2F18">
              <w:rPr>
                <w:rFonts w:cs="Times New Roman"/>
                <w:i/>
                <w:iCs/>
                <w:sz w:val="20"/>
                <w:szCs w:val="20"/>
                <w:lang w:val="sr-Cyrl-RS"/>
              </w:rPr>
              <w:t>GHG</w:t>
            </w:r>
            <w:r w:rsidRPr="00EF2F18">
              <w:rPr>
                <w:rFonts w:cs="Times New Roman"/>
                <w:sz w:val="20"/>
                <w:szCs w:val="20"/>
                <w:lang w:val="sr-Cyrl-RS"/>
              </w:rPr>
              <w:t xml:space="preserve"> у односу на 1990. без понора (LULUCF) </w:t>
            </w:r>
          </w:p>
        </w:tc>
        <w:tc>
          <w:tcPr>
            <w:tcW w:w="1111" w:type="dxa"/>
            <w:shd w:val="clear" w:color="auto" w:fill="FFFFFF" w:themeFill="background1"/>
          </w:tcPr>
          <w:p w14:paraId="49EAB906"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4CC8FBC3"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 xml:space="preserve">Национални инвентар </w:t>
            </w:r>
            <w:r w:rsidRPr="00EF2F18">
              <w:rPr>
                <w:rFonts w:cs="Times New Roman"/>
                <w:i/>
                <w:iCs/>
                <w:sz w:val="20"/>
                <w:szCs w:val="20"/>
                <w:lang w:val="sr-Cyrl-RS"/>
              </w:rPr>
              <w:t>GHG</w:t>
            </w:r>
          </w:p>
        </w:tc>
        <w:tc>
          <w:tcPr>
            <w:tcW w:w="1462" w:type="dxa"/>
            <w:shd w:val="clear" w:color="auto" w:fill="FFFFFF" w:themeFill="background1"/>
          </w:tcPr>
          <w:p w14:paraId="556F46D9"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21,9*</w:t>
            </w:r>
          </w:p>
        </w:tc>
        <w:tc>
          <w:tcPr>
            <w:tcW w:w="1559" w:type="dxa"/>
            <w:shd w:val="clear" w:color="auto" w:fill="FFFFFF" w:themeFill="background1"/>
          </w:tcPr>
          <w:p w14:paraId="28FDD8F6"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2020.</w:t>
            </w:r>
          </w:p>
        </w:tc>
        <w:tc>
          <w:tcPr>
            <w:tcW w:w="1400" w:type="dxa"/>
            <w:shd w:val="clear" w:color="auto" w:fill="FFFFFF" w:themeFill="background1"/>
          </w:tcPr>
          <w:p w14:paraId="2D791EF3"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 xml:space="preserve">30,6** </w:t>
            </w:r>
          </w:p>
        </w:tc>
        <w:tc>
          <w:tcPr>
            <w:tcW w:w="1719" w:type="dxa"/>
            <w:shd w:val="clear" w:color="auto" w:fill="FFFFFF" w:themeFill="background1"/>
          </w:tcPr>
          <w:p w14:paraId="1AA511FE"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r w:rsidR="007D7243" w:rsidRPr="00EF2F18" w14:paraId="4D9CD645" w14:textId="77777777" w:rsidTr="00752CA0">
        <w:trPr>
          <w:trHeight w:val="197"/>
        </w:trPr>
        <w:tc>
          <w:tcPr>
            <w:tcW w:w="4521" w:type="dxa"/>
            <w:shd w:val="clear" w:color="auto" w:fill="FFFFFF" w:themeFill="background1"/>
          </w:tcPr>
          <w:p w14:paraId="7F6B93A2"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 xml:space="preserve">Проценат смањења емисије </w:t>
            </w:r>
            <w:r w:rsidRPr="00EF2F18">
              <w:rPr>
                <w:rFonts w:cs="Times New Roman"/>
                <w:i/>
                <w:iCs/>
                <w:sz w:val="20"/>
                <w:szCs w:val="20"/>
                <w:lang w:val="sr-Cyrl-RS"/>
              </w:rPr>
              <w:t>GHG</w:t>
            </w:r>
            <w:r w:rsidRPr="00EF2F18">
              <w:rPr>
                <w:rFonts w:cs="Times New Roman"/>
                <w:sz w:val="20"/>
                <w:szCs w:val="20"/>
                <w:lang w:val="sr-Cyrl-RS"/>
              </w:rPr>
              <w:t xml:space="preserve"> у односу на 1990. са понором (LULUCF) </w:t>
            </w:r>
          </w:p>
        </w:tc>
        <w:tc>
          <w:tcPr>
            <w:tcW w:w="1111" w:type="dxa"/>
            <w:shd w:val="clear" w:color="auto" w:fill="FFFFFF" w:themeFill="background1"/>
          </w:tcPr>
          <w:p w14:paraId="5D0B9CE5"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218EDE87"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 xml:space="preserve">Национални инвентар </w:t>
            </w:r>
            <w:r w:rsidRPr="00EF2F18">
              <w:rPr>
                <w:rFonts w:cs="Times New Roman"/>
                <w:i/>
                <w:iCs/>
                <w:sz w:val="20"/>
                <w:szCs w:val="20"/>
                <w:lang w:val="sr-Cyrl-RS"/>
              </w:rPr>
              <w:t>GHG</w:t>
            </w:r>
          </w:p>
        </w:tc>
        <w:tc>
          <w:tcPr>
            <w:tcW w:w="1462" w:type="dxa"/>
            <w:shd w:val="clear" w:color="auto" w:fill="FFFFFF" w:themeFill="background1"/>
          </w:tcPr>
          <w:p w14:paraId="00FB92A6"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26,7*</w:t>
            </w:r>
          </w:p>
        </w:tc>
        <w:tc>
          <w:tcPr>
            <w:tcW w:w="1559" w:type="dxa"/>
            <w:shd w:val="clear" w:color="auto" w:fill="FFFFFF" w:themeFill="background1"/>
          </w:tcPr>
          <w:p w14:paraId="4E35A739"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2020.</w:t>
            </w:r>
          </w:p>
        </w:tc>
        <w:tc>
          <w:tcPr>
            <w:tcW w:w="1400" w:type="dxa"/>
            <w:shd w:val="clear" w:color="auto" w:fill="FFFFFF" w:themeFill="background1"/>
          </w:tcPr>
          <w:p w14:paraId="7B5D0308"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37,5**</w:t>
            </w:r>
          </w:p>
        </w:tc>
        <w:tc>
          <w:tcPr>
            <w:tcW w:w="1719" w:type="dxa"/>
            <w:shd w:val="clear" w:color="auto" w:fill="FFFFFF" w:themeFill="background1"/>
          </w:tcPr>
          <w:p w14:paraId="3A4A4098"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r w:rsidR="007D7243" w:rsidRPr="00EF2F18" w14:paraId="507A26D6" w14:textId="77777777" w:rsidTr="00752CA0">
        <w:trPr>
          <w:trHeight w:val="197"/>
        </w:trPr>
        <w:tc>
          <w:tcPr>
            <w:tcW w:w="4521" w:type="dxa"/>
            <w:shd w:val="clear" w:color="auto" w:fill="FFFFFF" w:themeFill="background1"/>
          </w:tcPr>
          <w:p w14:paraId="14D4E0BF"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Удео усвојених докумената јавних политика и планских докумената, при чијој изради су узете у обзир потребе прилагођавања на измењене климатске услове, укупно***</w:t>
            </w:r>
          </w:p>
        </w:tc>
        <w:tc>
          <w:tcPr>
            <w:tcW w:w="1111" w:type="dxa"/>
            <w:shd w:val="clear" w:color="auto" w:fill="FFFFFF" w:themeFill="background1"/>
          </w:tcPr>
          <w:p w14:paraId="45BEC465"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42813BB2"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Извештај МЗЖС</w:t>
            </w:r>
          </w:p>
        </w:tc>
        <w:tc>
          <w:tcPr>
            <w:tcW w:w="1462" w:type="dxa"/>
            <w:shd w:val="clear" w:color="auto" w:fill="FFFFFF" w:themeFill="background1"/>
          </w:tcPr>
          <w:p w14:paraId="72DBEFCE"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0</w:t>
            </w:r>
          </w:p>
          <w:p w14:paraId="7A8BB15C" w14:textId="77777777" w:rsidR="007D7243" w:rsidRPr="00EF2F18" w:rsidRDefault="007D7243" w:rsidP="00752CA0">
            <w:pPr>
              <w:shd w:val="clear" w:color="auto" w:fill="FFFFFF" w:themeFill="background1"/>
              <w:jc w:val="center"/>
              <w:rPr>
                <w:rFonts w:cs="Times New Roman"/>
                <w:sz w:val="20"/>
                <w:szCs w:val="20"/>
                <w:lang w:val="sr-Cyrl-RS"/>
              </w:rPr>
            </w:pPr>
          </w:p>
        </w:tc>
        <w:tc>
          <w:tcPr>
            <w:tcW w:w="1559" w:type="dxa"/>
            <w:shd w:val="clear" w:color="auto" w:fill="FFFFFF" w:themeFill="background1"/>
          </w:tcPr>
          <w:p w14:paraId="5C201C9E"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2022.</w:t>
            </w:r>
          </w:p>
        </w:tc>
        <w:tc>
          <w:tcPr>
            <w:tcW w:w="1400" w:type="dxa"/>
            <w:shd w:val="clear" w:color="auto" w:fill="FFFFFF" w:themeFill="background1"/>
          </w:tcPr>
          <w:p w14:paraId="56F6BF86"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100</w:t>
            </w:r>
          </w:p>
        </w:tc>
        <w:tc>
          <w:tcPr>
            <w:tcW w:w="1719" w:type="dxa"/>
            <w:shd w:val="clear" w:color="auto" w:fill="FFFFFF" w:themeFill="background1"/>
          </w:tcPr>
          <w:p w14:paraId="531E679F" w14:textId="77777777" w:rsidR="007D7243" w:rsidRPr="00EF2F18" w:rsidRDefault="007D7243" w:rsidP="00752CA0">
            <w:pPr>
              <w:shd w:val="clear" w:color="auto" w:fill="FFFFFF" w:themeFill="background1"/>
              <w:jc w:val="center"/>
              <w:rPr>
                <w:rFonts w:cs="Times New Roman"/>
                <w:sz w:val="20"/>
                <w:szCs w:val="20"/>
                <w:lang w:val="sr-Cyrl-RS"/>
              </w:rPr>
            </w:pPr>
            <w:r w:rsidRPr="00EF2F18">
              <w:rPr>
                <w:sz w:val="20"/>
                <w:szCs w:val="20"/>
                <w:lang w:val="sr-Cyrl-RS"/>
              </w:rPr>
              <w:t>2028.</w:t>
            </w:r>
          </w:p>
        </w:tc>
      </w:tr>
    </w:tbl>
    <w:p w14:paraId="7930C50B" w14:textId="77777777" w:rsidR="007D7243" w:rsidRPr="00EF2F18" w:rsidRDefault="007D7243" w:rsidP="007D7243">
      <w:pPr>
        <w:spacing w:after="0"/>
        <w:rPr>
          <w:rFonts w:cs="Times New Roman"/>
          <w:sz w:val="20"/>
          <w:szCs w:val="20"/>
          <w:lang w:val="sr-Cyrl-RS"/>
        </w:rPr>
      </w:pPr>
      <w:r w:rsidRPr="00EF2F18">
        <w:rPr>
          <w:rFonts w:cs="Times New Roman"/>
          <w:sz w:val="20"/>
          <w:szCs w:val="20"/>
          <w:lang w:val="sr-Cyrl-RS"/>
        </w:rPr>
        <w:t>Подаци у извештајима ће бити приказани из последње доступне године Инвентара</w:t>
      </w:r>
    </w:p>
    <w:p w14:paraId="5F042703" w14:textId="77777777" w:rsidR="007D7243" w:rsidRPr="00EF2F18" w:rsidRDefault="007D7243" w:rsidP="007D7243">
      <w:pPr>
        <w:spacing w:after="0"/>
        <w:rPr>
          <w:rFonts w:cs="Times New Roman"/>
          <w:sz w:val="20"/>
          <w:szCs w:val="20"/>
          <w:lang w:val="sr-Cyrl-RS"/>
        </w:rPr>
      </w:pPr>
      <w:r w:rsidRPr="00EF2F18">
        <w:rPr>
          <w:rFonts w:cs="Times New Roman"/>
          <w:sz w:val="20"/>
          <w:szCs w:val="20"/>
          <w:lang w:val="sr-Cyrl-RS"/>
        </w:rPr>
        <w:t xml:space="preserve">* Национални инвентар </w:t>
      </w:r>
      <w:r w:rsidRPr="00EF2F18">
        <w:rPr>
          <w:rFonts w:cs="Times New Roman"/>
          <w:i/>
          <w:iCs/>
          <w:sz w:val="20"/>
          <w:szCs w:val="20"/>
          <w:lang w:val="sr-Cyrl-RS"/>
        </w:rPr>
        <w:t>GHG</w:t>
      </w:r>
    </w:p>
    <w:p w14:paraId="3D598D36" w14:textId="6D0FA38E" w:rsidR="007D7243" w:rsidRPr="00EF2F18" w:rsidRDefault="007D7243" w:rsidP="007D7243">
      <w:pPr>
        <w:spacing w:after="0"/>
        <w:rPr>
          <w:rFonts w:cs="Times New Roman"/>
          <w:sz w:val="20"/>
          <w:szCs w:val="20"/>
          <w:lang w:val="sr-Cyrl-RS"/>
        </w:rPr>
      </w:pPr>
      <w:r w:rsidRPr="00EF2F18">
        <w:rPr>
          <w:rFonts w:cs="Times New Roman"/>
          <w:sz w:val="20"/>
          <w:szCs w:val="20"/>
          <w:lang w:val="sr-Cyrl-RS"/>
        </w:rPr>
        <w:t>**Циљана вредност је одређена линеарном интерполацијом вредности дефинисаних за 2025. и 2030. годину у СНУР (Сценарио М2)</w:t>
      </w:r>
      <w:r w:rsidR="00FA7222" w:rsidRPr="00EF2F18">
        <w:rPr>
          <w:rFonts w:cs="Times New Roman"/>
          <w:sz w:val="20"/>
          <w:szCs w:val="20"/>
          <w:lang w:val="sr-Cyrl-RS"/>
        </w:rPr>
        <w:t xml:space="preserve"> </w:t>
      </w:r>
    </w:p>
    <w:p w14:paraId="2F8B1268" w14:textId="77777777" w:rsidR="007D7243" w:rsidRPr="00EF2F18" w:rsidRDefault="007D7243" w:rsidP="007D7243">
      <w:pPr>
        <w:spacing w:after="0"/>
        <w:rPr>
          <w:rFonts w:cs="Times New Roman"/>
          <w:sz w:val="20"/>
          <w:szCs w:val="20"/>
          <w:lang w:val="sr-Cyrl-RS"/>
        </w:rPr>
      </w:pPr>
      <w:r w:rsidRPr="00EF2F18">
        <w:rPr>
          <w:rFonts w:cs="Times New Roman"/>
          <w:sz w:val="20"/>
          <w:szCs w:val="20"/>
          <w:lang w:val="sr-Cyrl-RS"/>
        </w:rPr>
        <w:t>*** Од тренутка примене релевантних подзаконских аката</w:t>
      </w:r>
    </w:p>
    <w:p w14:paraId="054DE5B1" w14:textId="77777777" w:rsidR="007D7243" w:rsidRPr="00EF2F18" w:rsidRDefault="007D7243" w:rsidP="007D7243">
      <w:pPr>
        <w:spacing w:after="0"/>
        <w:rPr>
          <w:rFonts w:cs="Times New Roman"/>
          <w:sz w:val="20"/>
          <w:szCs w:val="20"/>
          <w:lang w:val="sr-Cyrl-RS"/>
        </w:rPr>
      </w:pPr>
    </w:p>
    <w:p w14:paraId="18717CD6" w14:textId="77777777" w:rsidR="007D7243" w:rsidRPr="00EF2F18" w:rsidRDefault="007D7243" w:rsidP="007D7243">
      <w:pPr>
        <w:tabs>
          <w:tab w:val="left" w:pos="1940"/>
        </w:tabs>
        <w:spacing w:after="0"/>
        <w:rPr>
          <w:rFonts w:cs="Times New Roman"/>
          <w:sz w:val="20"/>
          <w:szCs w:val="20"/>
          <w:lang w:val="sr-Cyrl-RS"/>
        </w:rPr>
      </w:pPr>
    </w:p>
    <w:p w14:paraId="6BDC24E7" w14:textId="77777777" w:rsidR="00A84E90" w:rsidRPr="00EF2F18" w:rsidRDefault="00A84E90" w:rsidP="007D7243">
      <w:pPr>
        <w:tabs>
          <w:tab w:val="left" w:pos="1940"/>
        </w:tabs>
        <w:spacing w:after="0"/>
        <w:rPr>
          <w:rFonts w:cs="Times New Roman"/>
          <w:sz w:val="20"/>
          <w:szCs w:val="20"/>
          <w:lang w:val="sr-Cyrl-RS"/>
        </w:rPr>
      </w:pPr>
    </w:p>
    <w:p w14:paraId="1CEB1BB5" w14:textId="77777777" w:rsidR="00A84E90" w:rsidRPr="00EF2F18" w:rsidRDefault="00A84E90" w:rsidP="007D7243">
      <w:pPr>
        <w:tabs>
          <w:tab w:val="left" w:pos="1940"/>
        </w:tabs>
        <w:spacing w:after="0"/>
        <w:rPr>
          <w:rFonts w:cs="Times New Roman"/>
          <w:sz w:val="20"/>
          <w:szCs w:val="20"/>
          <w:lang w:val="sr-Cyrl-RS"/>
        </w:rPr>
      </w:pPr>
    </w:p>
    <w:tbl>
      <w:tblPr>
        <w:tblW w:w="1363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81"/>
        <w:gridCol w:w="1072"/>
        <w:gridCol w:w="1537"/>
        <w:gridCol w:w="1208"/>
        <w:gridCol w:w="1331"/>
        <w:gridCol w:w="1616"/>
        <w:gridCol w:w="1440"/>
        <w:gridCol w:w="1934"/>
        <w:gridCol w:w="16"/>
      </w:tblGrid>
      <w:tr w:rsidR="007D7243" w:rsidRPr="00EF2F18" w14:paraId="2078FDC6" w14:textId="77777777" w:rsidTr="00BD3283">
        <w:trPr>
          <w:gridAfter w:val="1"/>
          <w:wAfter w:w="16" w:type="dxa"/>
          <w:trHeight w:val="561"/>
        </w:trPr>
        <w:tc>
          <w:tcPr>
            <w:tcW w:w="13619" w:type="dxa"/>
            <w:gridSpan w:val="8"/>
            <w:shd w:val="clear" w:color="000000" w:fill="C5E0B3"/>
            <w:vAlign w:val="center"/>
            <w:hideMark/>
          </w:tcPr>
          <w:p w14:paraId="54CEE6CC"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 xml:space="preserve">Посебан циљ 1.1: Смањење емисија </w:t>
            </w:r>
            <w:r w:rsidRPr="00EF2F18">
              <w:rPr>
                <w:rFonts w:eastAsia="Times New Roman" w:cs="Times New Roman"/>
                <w:b/>
                <w:bCs/>
                <w:i/>
                <w:iCs/>
                <w:color w:val="000000"/>
                <w:sz w:val="20"/>
                <w:szCs w:val="20"/>
                <w:lang w:val="sr-Cyrl-RS" w:eastAsia="sr-Cyrl-RS"/>
              </w:rPr>
              <w:t>GHG</w:t>
            </w:r>
          </w:p>
        </w:tc>
      </w:tr>
      <w:tr w:rsidR="007D7243" w:rsidRPr="00EF2F18" w14:paraId="58AD4C17" w14:textId="77777777" w:rsidTr="00BD3283">
        <w:trPr>
          <w:gridAfter w:val="1"/>
          <w:wAfter w:w="16" w:type="dxa"/>
          <w:trHeight w:val="540"/>
        </w:trPr>
        <w:tc>
          <w:tcPr>
            <w:tcW w:w="13619" w:type="dxa"/>
            <w:gridSpan w:val="8"/>
            <w:shd w:val="clear" w:color="000000" w:fill="C5E0B3"/>
            <w:vAlign w:val="center"/>
            <w:hideMark/>
          </w:tcPr>
          <w:p w14:paraId="5CAC4A5A" w14:textId="7B38A670"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Институција одговорна за координацију и извештавање: Министарство заштите животне средине</w:t>
            </w:r>
            <w:r w:rsidR="00FF12BE" w:rsidRPr="00EF2F18">
              <w:rPr>
                <w:rFonts w:cs="Times New Roman"/>
                <w:sz w:val="20"/>
                <w:szCs w:val="20"/>
                <w:lang w:val="sr-Cyrl-RS"/>
              </w:rPr>
              <w:t xml:space="preserve"> </w:t>
            </w:r>
          </w:p>
        </w:tc>
      </w:tr>
      <w:tr w:rsidR="00BD3283" w:rsidRPr="00EF2F18" w14:paraId="200B44B5" w14:textId="77777777" w:rsidTr="00BD3283">
        <w:trPr>
          <w:trHeight w:val="1826"/>
        </w:trPr>
        <w:tc>
          <w:tcPr>
            <w:tcW w:w="3481" w:type="dxa"/>
            <w:shd w:val="clear" w:color="000000" w:fill="D9D9D9"/>
            <w:hideMark/>
          </w:tcPr>
          <w:p w14:paraId="0B4CEFB1"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072" w:type="dxa"/>
            <w:shd w:val="clear" w:color="000000" w:fill="D9D9D9"/>
            <w:hideMark/>
          </w:tcPr>
          <w:p w14:paraId="21940AE8"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537" w:type="dxa"/>
            <w:shd w:val="clear" w:color="000000" w:fill="D9D9D9"/>
            <w:hideMark/>
          </w:tcPr>
          <w:p w14:paraId="47732333"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208" w:type="dxa"/>
            <w:shd w:val="clear" w:color="000000" w:fill="D9D9D9"/>
            <w:hideMark/>
          </w:tcPr>
          <w:p w14:paraId="271A28DB"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331" w:type="dxa"/>
            <w:shd w:val="clear" w:color="000000" w:fill="D9D9D9"/>
            <w:hideMark/>
          </w:tcPr>
          <w:p w14:paraId="319E1E6B"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Базна година </w:t>
            </w:r>
          </w:p>
        </w:tc>
        <w:tc>
          <w:tcPr>
            <w:tcW w:w="1616" w:type="dxa"/>
            <w:shd w:val="clear" w:color="000000" w:fill="D9D9D9"/>
            <w:hideMark/>
          </w:tcPr>
          <w:p w14:paraId="51136493"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700633D1"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950" w:type="dxa"/>
            <w:gridSpan w:val="2"/>
            <w:shd w:val="clear" w:color="000000" w:fill="D9D9D9"/>
            <w:hideMark/>
          </w:tcPr>
          <w:p w14:paraId="38FEBFA7"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BD3283" w:rsidRPr="00EF2F18" w14:paraId="73CB9E2D" w14:textId="77777777" w:rsidTr="00BD3283">
        <w:trPr>
          <w:trHeight w:val="1365"/>
        </w:trPr>
        <w:tc>
          <w:tcPr>
            <w:tcW w:w="3481" w:type="dxa"/>
            <w:shd w:val="clear" w:color="000000" w:fill="FFFFFF"/>
            <w:hideMark/>
          </w:tcPr>
          <w:p w14:paraId="6B57A1D4"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Проценат смањења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за сектор енергетике у односу на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из 1990.</w:t>
            </w:r>
          </w:p>
        </w:tc>
        <w:tc>
          <w:tcPr>
            <w:tcW w:w="1072" w:type="dxa"/>
            <w:shd w:val="clear" w:color="000000" w:fill="FFFFFF"/>
            <w:hideMark/>
          </w:tcPr>
          <w:p w14:paraId="1BE82633"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7" w:type="dxa"/>
            <w:shd w:val="clear" w:color="000000" w:fill="FFFFFF"/>
            <w:hideMark/>
          </w:tcPr>
          <w:p w14:paraId="340E2076"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АЗЖС, Национални инвентар </w:t>
            </w:r>
            <w:r w:rsidRPr="00EF2F18">
              <w:rPr>
                <w:rFonts w:eastAsia="Times New Roman" w:cs="Times New Roman"/>
                <w:i/>
                <w:iCs/>
                <w:color w:val="000000"/>
                <w:sz w:val="20"/>
                <w:szCs w:val="20"/>
                <w:lang w:val="sr-Cyrl-RS" w:eastAsia="sr-Cyrl-RS"/>
              </w:rPr>
              <w:t>GHG</w:t>
            </w:r>
          </w:p>
        </w:tc>
        <w:tc>
          <w:tcPr>
            <w:tcW w:w="1208" w:type="dxa"/>
            <w:shd w:val="clear" w:color="000000" w:fill="FFFFFF"/>
            <w:hideMark/>
          </w:tcPr>
          <w:p w14:paraId="1D000F9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23,0*</w:t>
            </w:r>
          </w:p>
        </w:tc>
        <w:tc>
          <w:tcPr>
            <w:tcW w:w="1331" w:type="dxa"/>
            <w:shd w:val="clear" w:color="000000" w:fill="FFFFFF"/>
            <w:hideMark/>
          </w:tcPr>
          <w:p w14:paraId="266384C0"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616" w:type="dxa"/>
            <w:shd w:val="clear" w:color="000000" w:fill="FFFFFF"/>
            <w:hideMark/>
          </w:tcPr>
          <w:p w14:paraId="3F4D7B35"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29,9**</w:t>
            </w:r>
          </w:p>
        </w:tc>
        <w:tc>
          <w:tcPr>
            <w:tcW w:w="1440" w:type="dxa"/>
            <w:shd w:val="clear" w:color="000000" w:fill="FFFFFF"/>
            <w:hideMark/>
          </w:tcPr>
          <w:p w14:paraId="1A7C88DB"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31,3**</w:t>
            </w:r>
          </w:p>
        </w:tc>
        <w:tc>
          <w:tcPr>
            <w:tcW w:w="1950" w:type="dxa"/>
            <w:gridSpan w:val="2"/>
            <w:shd w:val="clear" w:color="000000" w:fill="FFFFFF"/>
            <w:hideMark/>
          </w:tcPr>
          <w:p w14:paraId="369B02EA"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32,7**</w:t>
            </w:r>
          </w:p>
        </w:tc>
      </w:tr>
      <w:tr w:rsidR="00BD3283" w:rsidRPr="00EF2F18" w14:paraId="1FFED718" w14:textId="77777777" w:rsidTr="00BD3283">
        <w:trPr>
          <w:trHeight w:val="1345"/>
        </w:trPr>
        <w:tc>
          <w:tcPr>
            <w:tcW w:w="3481" w:type="dxa"/>
            <w:shd w:val="clear" w:color="000000" w:fill="FFFFFF"/>
            <w:hideMark/>
          </w:tcPr>
          <w:p w14:paraId="65801603"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Проценат смањења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за сектор индустрије у односу на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из 1990.</w:t>
            </w:r>
          </w:p>
        </w:tc>
        <w:tc>
          <w:tcPr>
            <w:tcW w:w="1072" w:type="dxa"/>
            <w:shd w:val="clear" w:color="000000" w:fill="FFFFFF"/>
            <w:hideMark/>
          </w:tcPr>
          <w:p w14:paraId="7DD9600E"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7" w:type="dxa"/>
            <w:shd w:val="clear" w:color="000000" w:fill="FFFFFF"/>
            <w:hideMark/>
          </w:tcPr>
          <w:p w14:paraId="1746F9AA"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АЗЖС, Национални инвентар </w:t>
            </w:r>
            <w:r w:rsidRPr="00EF2F18">
              <w:rPr>
                <w:rFonts w:eastAsia="Times New Roman" w:cs="Times New Roman"/>
                <w:i/>
                <w:iCs/>
                <w:color w:val="000000"/>
                <w:sz w:val="20"/>
                <w:szCs w:val="20"/>
                <w:lang w:val="sr-Cyrl-RS" w:eastAsia="sr-Cyrl-RS"/>
              </w:rPr>
              <w:t>GHG</w:t>
            </w:r>
          </w:p>
        </w:tc>
        <w:tc>
          <w:tcPr>
            <w:tcW w:w="1208" w:type="dxa"/>
            <w:shd w:val="clear" w:color="000000" w:fill="FFFFFF"/>
            <w:hideMark/>
          </w:tcPr>
          <w:p w14:paraId="18E4BCE9"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16,1*</w:t>
            </w:r>
          </w:p>
        </w:tc>
        <w:tc>
          <w:tcPr>
            <w:tcW w:w="1331" w:type="dxa"/>
            <w:shd w:val="clear" w:color="000000" w:fill="FFFFFF"/>
            <w:hideMark/>
          </w:tcPr>
          <w:p w14:paraId="1A2FFB6E"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616" w:type="dxa"/>
            <w:shd w:val="clear" w:color="000000" w:fill="FFFFFF"/>
            <w:hideMark/>
          </w:tcPr>
          <w:p w14:paraId="0EF6CEF6"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5,8**</w:t>
            </w:r>
          </w:p>
        </w:tc>
        <w:tc>
          <w:tcPr>
            <w:tcW w:w="1440" w:type="dxa"/>
            <w:shd w:val="clear" w:color="000000" w:fill="FFFFFF"/>
            <w:hideMark/>
          </w:tcPr>
          <w:p w14:paraId="2D6E650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6,5**</w:t>
            </w:r>
          </w:p>
        </w:tc>
        <w:tc>
          <w:tcPr>
            <w:tcW w:w="1950" w:type="dxa"/>
            <w:gridSpan w:val="2"/>
            <w:shd w:val="clear" w:color="000000" w:fill="FFFFFF"/>
            <w:hideMark/>
          </w:tcPr>
          <w:p w14:paraId="7F27413E"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7,1**</w:t>
            </w:r>
          </w:p>
        </w:tc>
      </w:tr>
      <w:tr w:rsidR="00BD3283" w:rsidRPr="00EF2F18" w14:paraId="23EA813D" w14:textId="77777777" w:rsidTr="00BD3283">
        <w:trPr>
          <w:trHeight w:val="1345"/>
        </w:trPr>
        <w:tc>
          <w:tcPr>
            <w:tcW w:w="3481" w:type="dxa"/>
            <w:shd w:val="clear" w:color="000000" w:fill="FFFFFF"/>
            <w:hideMark/>
          </w:tcPr>
          <w:p w14:paraId="0E8E7908"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Проценат смањења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за сектор саобраћаја у односу на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из 1990.</w:t>
            </w:r>
          </w:p>
        </w:tc>
        <w:tc>
          <w:tcPr>
            <w:tcW w:w="1072" w:type="dxa"/>
            <w:shd w:val="clear" w:color="000000" w:fill="FFFFFF"/>
            <w:hideMark/>
          </w:tcPr>
          <w:p w14:paraId="0AC5DC0F"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7" w:type="dxa"/>
            <w:shd w:val="clear" w:color="000000" w:fill="FFFFFF"/>
            <w:hideMark/>
          </w:tcPr>
          <w:p w14:paraId="6397EF1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АЗЖС, Национални инвентар </w:t>
            </w:r>
            <w:r w:rsidRPr="00EF2F18">
              <w:rPr>
                <w:rFonts w:eastAsia="Times New Roman" w:cs="Times New Roman"/>
                <w:i/>
                <w:iCs/>
                <w:color w:val="000000"/>
                <w:sz w:val="20"/>
                <w:szCs w:val="20"/>
                <w:lang w:val="sr-Cyrl-RS" w:eastAsia="sr-Cyrl-RS"/>
              </w:rPr>
              <w:t>GHG</w:t>
            </w:r>
          </w:p>
        </w:tc>
        <w:tc>
          <w:tcPr>
            <w:tcW w:w="1208" w:type="dxa"/>
            <w:shd w:val="clear" w:color="000000" w:fill="FFFFFF"/>
            <w:hideMark/>
          </w:tcPr>
          <w:p w14:paraId="56BCDFD6"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-47,0*</w:t>
            </w:r>
          </w:p>
        </w:tc>
        <w:tc>
          <w:tcPr>
            <w:tcW w:w="1331" w:type="dxa"/>
            <w:shd w:val="clear" w:color="000000" w:fill="FFFFFF"/>
            <w:hideMark/>
          </w:tcPr>
          <w:p w14:paraId="26E3E657"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616" w:type="dxa"/>
            <w:shd w:val="clear" w:color="000000" w:fill="FFFFFF"/>
            <w:hideMark/>
          </w:tcPr>
          <w:p w14:paraId="2DD860E4"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-62,4**</w:t>
            </w:r>
          </w:p>
        </w:tc>
        <w:tc>
          <w:tcPr>
            <w:tcW w:w="1440" w:type="dxa"/>
            <w:shd w:val="clear" w:color="000000" w:fill="FFFFFF"/>
            <w:hideMark/>
          </w:tcPr>
          <w:p w14:paraId="6109D634"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-62,5**</w:t>
            </w:r>
          </w:p>
        </w:tc>
        <w:tc>
          <w:tcPr>
            <w:tcW w:w="1950" w:type="dxa"/>
            <w:gridSpan w:val="2"/>
            <w:shd w:val="clear" w:color="000000" w:fill="FFFFFF"/>
            <w:hideMark/>
          </w:tcPr>
          <w:p w14:paraId="516B7EC1"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-62,7**</w:t>
            </w:r>
          </w:p>
        </w:tc>
      </w:tr>
      <w:tr w:rsidR="00BD3283" w:rsidRPr="00EF2F18" w14:paraId="76A0C740" w14:textId="77777777" w:rsidTr="00BD3283">
        <w:trPr>
          <w:trHeight w:val="1345"/>
        </w:trPr>
        <w:tc>
          <w:tcPr>
            <w:tcW w:w="3481" w:type="dxa"/>
            <w:shd w:val="clear" w:color="000000" w:fill="FFFFFF"/>
            <w:hideMark/>
          </w:tcPr>
          <w:p w14:paraId="766CD3CE"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Проценат смањења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за сектор пољопривреде у односу на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из 1990.</w:t>
            </w:r>
          </w:p>
        </w:tc>
        <w:tc>
          <w:tcPr>
            <w:tcW w:w="1072" w:type="dxa"/>
            <w:shd w:val="clear" w:color="000000" w:fill="FFFFFF"/>
            <w:hideMark/>
          </w:tcPr>
          <w:p w14:paraId="48066D16"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7" w:type="dxa"/>
            <w:shd w:val="clear" w:color="000000" w:fill="FFFFFF"/>
            <w:hideMark/>
          </w:tcPr>
          <w:p w14:paraId="3993CA85"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АЗЖС, Национални инвентар </w:t>
            </w:r>
            <w:r w:rsidRPr="00EF2F18">
              <w:rPr>
                <w:rFonts w:eastAsia="Times New Roman" w:cs="Times New Roman"/>
                <w:i/>
                <w:iCs/>
                <w:color w:val="000000"/>
                <w:sz w:val="20"/>
                <w:szCs w:val="20"/>
                <w:lang w:val="sr-Cyrl-RS" w:eastAsia="sr-Cyrl-RS"/>
              </w:rPr>
              <w:t>GHG</w:t>
            </w:r>
          </w:p>
        </w:tc>
        <w:tc>
          <w:tcPr>
            <w:tcW w:w="1208" w:type="dxa"/>
            <w:shd w:val="clear" w:color="000000" w:fill="FFFFFF"/>
            <w:hideMark/>
          </w:tcPr>
          <w:p w14:paraId="75CD2EDF"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10,8*</w:t>
            </w:r>
          </w:p>
        </w:tc>
        <w:tc>
          <w:tcPr>
            <w:tcW w:w="1331" w:type="dxa"/>
            <w:shd w:val="clear" w:color="000000" w:fill="FFFFFF"/>
            <w:hideMark/>
          </w:tcPr>
          <w:p w14:paraId="5B8C2A0E"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616" w:type="dxa"/>
            <w:shd w:val="clear" w:color="000000" w:fill="FFFFFF"/>
            <w:hideMark/>
          </w:tcPr>
          <w:p w14:paraId="5AE0EB06"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23,2**</w:t>
            </w:r>
          </w:p>
        </w:tc>
        <w:tc>
          <w:tcPr>
            <w:tcW w:w="1440" w:type="dxa"/>
            <w:shd w:val="clear" w:color="000000" w:fill="FFFFFF"/>
            <w:hideMark/>
          </w:tcPr>
          <w:p w14:paraId="01A53B7F"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24,3**</w:t>
            </w:r>
          </w:p>
        </w:tc>
        <w:tc>
          <w:tcPr>
            <w:tcW w:w="1950" w:type="dxa"/>
            <w:gridSpan w:val="2"/>
            <w:shd w:val="clear" w:color="000000" w:fill="FFFFFF"/>
            <w:hideMark/>
          </w:tcPr>
          <w:p w14:paraId="3AE82358"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25,3**</w:t>
            </w:r>
          </w:p>
        </w:tc>
      </w:tr>
      <w:tr w:rsidR="00BD3283" w:rsidRPr="00EF2F18" w14:paraId="4178DDCE" w14:textId="77777777" w:rsidTr="00BD3283">
        <w:trPr>
          <w:trHeight w:val="1345"/>
        </w:trPr>
        <w:tc>
          <w:tcPr>
            <w:tcW w:w="3481" w:type="dxa"/>
            <w:shd w:val="clear" w:color="000000" w:fill="FFFFFF"/>
            <w:hideMark/>
          </w:tcPr>
          <w:p w14:paraId="1108D737"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Проценат смањења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за сектор отпада у односу на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из 1990.</w:t>
            </w:r>
          </w:p>
        </w:tc>
        <w:tc>
          <w:tcPr>
            <w:tcW w:w="1072" w:type="dxa"/>
            <w:shd w:val="clear" w:color="000000" w:fill="FFFFFF"/>
            <w:hideMark/>
          </w:tcPr>
          <w:p w14:paraId="1B35214A"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7" w:type="dxa"/>
            <w:shd w:val="clear" w:color="000000" w:fill="FFFFFF"/>
            <w:hideMark/>
          </w:tcPr>
          <w:p w14:paraId="604AD239"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АЗЖС, Национални инвентар </w:t>
            </w:r>
            <w:r w:rsidRPr="00EF2F18">
              <w:rPr>
                <w:rFonts w:eastAsia="Times New Roman" w:cs="Times New Roman"/>
                <w:i/>
                <w:iCs/>
                <w:color w:val="000000"/>
                <w:sz w:val="20"/>
                <w:szCs w:val="20"/>
                <w:lang w:val="sr-Cyrl-RS" w:eastAsia="sr-Cyrl-RS"/>
              </w:rPr>
              <w:t>GHG</w:t>
            </w:r>
          </w:p>
        </w:tc>
        <w:tc>
          <w:tcPr>
            <w:tcW w:w="1208" w:type="dxa"/>
            <w:shd w:val="clear" w:color="000000" w:fill="FFFFFF"/>
            <w:hideMark/>
          </w:tcPr>
          <w:p w14:paraId="316FB358"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27,2*</w:t>
            </w:r>
          </w:p>
        </w:tc>
        <w:tc>
          <w:tcPr>
            <w:tcW w:w="1331" w:type="dxa"/>
            <w:shd w:val="clear" w:color="000000" w:fill="FFFFFF"/>
            <w:hideMark/>
          </w:tcPr>
          <w:p w14:paraId="253FFA42"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616" w:type="dxa"/>
            <w:shd w:val="clear" w:color="000000" w:fill="FFFFFF"/>
            <w:hideMark/>
          </w:tcPr>
          <w:p w14:paraId="4E311150"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34,3**</w:t>
            </w:r>
          </w:p>
        </w:tc>
        <w:tc>
          <w:tcPr>
            <w:tcW w:w="1440" w:type="dxa"/>
            <w:shd w:val="clear" w:color="000000" w:fill="FFFFFF"/>
            <w:hideMark/>
          </w:tcPr>
          <w:p w14:paraId="4B71FA9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35,4**</w:t>
            </w:r>
          </w:p>
        </w:tc>
        <w:tc>
          <w:tcPr>
            <w:tcW w:w="1950" w:type="dxa"/>
            <w:gridSpan w:val="2"/>
            <w:shd w:val="clear" w:color="000000" w:fill="FFFFFF"/>
            <w:hideMark/>
          </w:tcPr>
          <w:p w14:paraId="6EA816A0"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36,4**</w:t>
            </w:r>
          </w:p>
        </w:tc>
      </w:tr>
    </w:tbl>
    <w:p w14:paraId="54E1EE0B" w14:textId="77777777" w:rsidR="007D7243" w:rsidRPr="00EF2F18" w:rsidRDefault="007D7243" w:rsidP="007D7243">
      <w:pPr>
        <w:tabs>
          <w:tab w:val="left" w:pos="1940"/>
        </w:tabs>
        <w:spacing w:after="0"/>
        <w:rPr>
          <w:rFonts w:cs="Times New Roman"/>
          <w:sz w:val="20"/>
          <w:szCs w:val="20"/>
          <w:lang w:val="sr-Cyrl-RS"/>
        </w:rPr>
      </w:pPr>
      <w:r w:rsidRPr="00EF2F18">
        <w:rPr>
          <w:rFonts w:cs="Times New Roman"/>
          <w:sz w:val="20"/>
          <w:szCs w:val="20"/>
          <w:lang w:val="sr-Cyrl-RS"/>
        </w:rPr>
        <w:t>Приказани подаци укључују ЕТS и non-ETS секторе</w:t>
      </w:r>
    </w:p>
    <w:p w14:paraId="7A75FD66" w14:textId="77777777" w:rsidR="007D7243" w:rsidRPr="00EF2F18" w:rsidRDefault="007D7243" w:rsidP="007D7243">
      <w:pPr>
        <w:spacing w:after="0"/>
        <w:rPr>
          <w:rFonts w:cs="Times New Roman"/>
          <w:sz w:val="20"/>
          <w:szCs w:val="20"/>
          <w:lang w:val="sr-Cyrl-RS"/>
        </w:rPr>
      </w:pPr>
      <w:r w:rsidRPr="00EF2F18">
        <w:rPr>
          <w:rFonts w:cs="Times New Roman"/>
          <w:sz w:val="20"/>
          <w:szCs w:val="20"/>
          <w:lang w:val="sr-Cyrl-RS"/>
        </w:rPr>
        <w:t>Подаци у извештајима ће бити приказани из последње доступне године Инвентара</w:t>
      </w:r>
    </w:p>
    <w:p w14:paraId="1B87375B" w14:textId="77777777" w:rsidR="007D7243" w:rsidRPr="00EF2F18" w:rsidRDefault="007D7243" w:rsidP="007D7243">
      <w:pPr>
        <w:spacing w:after="0"/>
        <w:rPr>
          <w:rFonts w:cs="Times New Roman"/>
          <w:sz w:val="20"/>
          <w:szCs w:val="20"/>
          <w:lang w:val="sr-Cyrl-RS"/>
        </w:rPr>
      </w:pPr>
      <w:r w:rsidRPr="00EF2F18">
        <w:rPr>
          <w:rFonts w:cs="Times New Roman"/>
          <w:sz w:val="20"/>
          <w:szCs w:val="20"/>
          <w:lang w:val="sr-Cyrl-RS"/>
        </w:rPr>
        <w:t xml:space="preserve">* Национални инвентар </w:t>
      </w:r>
      <w:r w:rsidRPr="00EF2F18">
        <w:rPr>
          <w:rFonts w:cs="Times New Roman"/>
          <w:i/>
          <w:iCs/>
          <w:sz w:val="20"/>
          <w:szCs w:val="20"/>
          <w:lang w:val="sr-Cyrl-RS"/>
        </w:rPr>
        <w:t>GHG</w:t>
      </w:r>
    </w:p>
    <w:p w14:paraId="2D6356EE" w14:textId="762DB83B" w:rsidR="007D7243" w:rsidRPr="00EF2F18" w:rsidRDefault="007D7243" w:rsidP="007D7243">
      <w:pPr>
        <w:spacing w:after="0"/>
        <w:rPr>
          <w:rFonts w:cs="Times New Roman"/>
          <w:sz w:val="20"/>
          <w:szCs w:val="20"/>
          <w:lang w:val="sr-Cyrl-RS"/>
        </w:rPr>
      </w:pPr>
      <w:r w:rsidRPr="00EF2F18">
        <w:rPr>
          <w:rFonts w:cs="Times New Roman"/>
          <w:sz w:val="20"/>
          <w:szCs w:val="20"/>
          <w:lang w:val="sr-Cyrl-RS"/>
        </w:rPr>
        <w:t>**Циљана вредност је одређена линеарном интерполацијом вредности дефинисаних за 202</w:t>
      </w:r>
      <w:r w:rsidR="0029790D" w:rsidRPr="00EF2F18">
        <w:rPr>
          <w:rFonts w:cs="Times New Roman"/>
          <w:sz w:val="20"/>
          <w:szCs w:val="20"/>
          <w:lang w:val="sr-Cyrl-RS"/>
        </w:rPr>
        <w:t>6</w:t>
      </w:r>
      <w:r w:rsidRPr="00EF2F18">
        <w:rPr>
          <w:rFonts w:cs="Times New Roman"/>
          <w:sz w:val="20"/>
          <w:szCs w:val="20"/>
          <w:lang w:val="sr-Cyrl-RS"/>
        </w:rPr>
        <w:t>. и 2030. годину у СНУР (Сценарио М2)</w:t>
      </w:r>
      <w:r w:rsidR="00FA7222" w:rsidRPr="00EF2F18">
        <w:rPr>
          <w:rFonts w:cs="Times New Roman"/>
          <w:sz w:val="20"/>
          <w:szCs w:val="20"/>
          <w:lang w:val="sr-Cyrl-RS"/>
        </w:rPr>
        <w:t xml:space="preserve"> </w:t>
      </w:r>
    </w:p>
    <w:p w14:paraId="570ABD21" w14:textId="77777777" w:rsidR="007D7243" w:rsidRPr="00EF2F18" w:rsidRDefault="007D7243" w:rsidP="007D7243">
      <w:pPr>
        <w:tabs>
          <w:tab w:val="left" w:pos="1940"/>
        </w:tabs>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52"/>
        <w:gridCol w:w="1434"/>
        <w:gridCol w:w="1435"/>
        <w:gridCol w:w="1194"/>
        <w:gridCol w:w="1049"/>
        <w:gridCol w:w="1704"/>
        <w:gridCol w:w="1189"/>
        <w:gridCol w:w="1189"/>
        <w:gridCol w:w="1019"/>
      </w:tblGrid>
      <w:tr w:rsidR="007D7243" w:rsidRPr="00EF2F18" w14:paraId="4F14911D" w14:textId="77777777" w:rsidTr="00BD3283">
        <w:trPr>
          <w:trHeight w:val="839"/>
        </w:trPr>
        <w:tc>
          <w:tcPr>
            <w:tcW w:w="13665" w:type="dxa"/>
            <w:gridSpan w:val="9"/>
            <w:shd w:val="clear" w:color="000000" w:fill="F7CAAC"/>
            <w:vAlign w:val="center"/>
            <w:hideMark/>
          </w:tcPr>
          <w:p w14:paraId="5E3269E0"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 xml:space="preserve">Мера 1.1.1: Усклађивање планског, институционалног и регулаторног оквира са Законом о клими ЕУ и визијом доприноса климатској неутралности </w:t>
            </w:r>
          </w:p>
        </w:tc>
      </w:tr>
      <w:tr w:rsidR="007D7243" w:rsidRPr="00EF2F18" w14:paraId="72C859BE" w14:textId="77777777" w:rsidTr="00BD3283">
        <w:trPr>
          <w:trHeight w:val="559"/>
        </w:trPr>
        <w:tc>
          <w:tcPr>
            <w:tcW w:w="13665" w:type="dxa"/>
            <w:gridSpan w:val="9"/>
            <w:shd w:val="clear" w:color="000000" w:fill="F7CAAC"/>
            <w:vAlign w:val="center"/>
            <w:hideMark/>
          </w:tcPr>
          <w:p w14:paraId="630FDE19"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 заштиту животне средине</w:t>
            </w:r>
          </w:p>
        </w:tc>
      </w:tr>
      <w:tr w:rsidR="007D7243" w:rsidRPr="00EF2F18" w14:paraId="0E7AFECE" w14:textId="77777777" w:rsidTr="00BD3283">
        <w:trPr>
          <w:trHeight w:val="559"/>
        </w:trPr>
        <w:tc>
          <w:tcPr>
            <w:tcW w:w="7515" w:type="dxa"/>
            <w:gridSpan w:val="4"/>
            <w:shd w:val="clear" w:color="000000" w:fill="F7CAAC"/>
            <w:vAlign w:val="center"/>
            <w:hideMark/>
          </w:tcPr>
          <w:p w14:paraId="0B27C71C" w14:textId="10B790A4"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BD3283"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-2027.</w:t>
            </w:r>
          </w:p>
        </w:tc>
        <w:tc>
          <w:tcPr>
            <w:tcW w:w="6150" w:type="dxa"/>
            <w:gridSpan w:val="5"/>
            <w:shd w:val="clear" w:color="000000" w:fill="F7CAAC"/>
            <w:vAlign w:val="center"/>
            <w:hideMark/>
          </w:tcPr>
          <w:p w14:paraId="100E450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Тип мере: регулаторна</w:t>
            </w:r>
          </w:p>
        </w:tc>
      </w:tr>
      <w:tr w:rsidR="007D7243" w:rsidRPr="00EF2F18" w14:paraId="7421A496" w14:textId="77777777" w:rsidTr="00A84E90">
        <w:trPr>
          <w:trHeight w:val="717"/>
        </w:trPr>
        <w:tc>
          <w:tcPr>
            <w:tcW w:w="7515" w:type="dxa"/>
            <w:gridSpan w:val="4"/>
            <w:shd w:val="clear" w:color="000000" w:fill="F7CAAC"/>
            <w:vAlign w:val="center"/>
            <w:hideMark/>
          </w:tcPr>
          <w:p w14:paraId="1F8DCF79"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150" w:type="dxa"/>
            <w:gridSpan w:val="5"/>
            <w:shd w:val="clear" w:color="000000" w:fill="F7CAAC"/>
            <w:vAlign w:val="center"/>
            <w:hideMark/>
          </w:tcPr>
          <w:p w14:paraId="1E5D15FF" w14:textId="3BD0B061" w:rsidR="007D7243" w:rsidRPr="00EF2F18" w:rsidRDefault="007D7243" w:rsidP="00752CA0">
            <w:pPr>
              <w:spacing w:after="0"/>
              <w:ind w:firstLineChars="200" w:firstLine="400"/>
              <w:rPr>
                <w:rFonts w:ascii="Symbol" w:eastAsia="Times New Roman" w:hAnsi="Symbol" w:cs="Times New Roman"/>
                <w:color w:val="000000"/>
                <w:sz w:val="20"/>
                <w:szCs w:val="20"/>
                <w:lang w:val="sr-Cyrl-RS" w:eastAsia="sr-Cyrl-RS"/>
              </w:rPr>
            </w:pPr>
            <w:r w:rsidRPr="00EF2F18">
              <w:rPr>
                <w:rFonts w:ascii="Symbol" w:eastAsia="Symbol" w:hAnsi="Symbol" w:cs="Symbol"/>
                <w:color w:val="000000"/>
                <w:sz w:val="20"/>
                <w:szCs w:val="20"/>
                <w:lang w:val="sr-Cyrl-RS" w:eastAsia="sr-Cyrl-RS"/>
              </w:rPr>
              <w:t></w:t>
            </w:r>
            <w:r w:rsidR="00FA7222" w:rsidRPr="00EF2F18">
              <w:rPr>
                <w:rFonts w:eastAsia="Symbol" w:cs="Times New Roman"/>
                <w:color w:val="000000"/>
                <w:sz w:val="14"/>
                <w:szCs w:val="14"/>
                <w:lang w:val="sr-Cyrl-RS" w:eastAsia="sr-Cyrl-RS"/>
              </w:rPr>
              <w:t xml:space="preserve">  </w:t>
            </w:r>
            <w:r w:rsidRPr="00EF2F18">
              <w:rPr>
                <w:rFonts w:eastAsia="Symbol" w:cs="Times New Roman"/>
                <w:color w:val="000000"/>
                <w:sz w:val="20"/>
                <w:szCs w:val="20"/>
                <w:lang w:val="sr-Cyrl-RS" w:eastAsia="sr-Cyrl-RS"/>
              </w:rPr>
              <w:t xml:space="preserve">Закон о климатским променама </w:t>
            </w:r>
          </w:p>
        </w:tc>
      </w:tr>
      <w:tr w:rsidR="0029790D" w:rsidRPr="00EF2F18" w14:paraId="6A95E26A" w14:textId="77777777" w:rsidTr="00BD3283">
        <w:trPr>
          <w:trHeight w:val="1359"/>
        </w:trPr>
        <w:tc>
          <w:tcPr>
            <w:tcW w:w="3452" w:type="dxa"/>
            <w:shd w:val="clear" w:color="000000" w:fill="D9D9D9"/>
            <w:hideMark/>
          </w:tcPr>
          <w:p w14:paraId="49B3FD3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434" w:type="dxa"/>
            <w:shd w:val="clear" w:color="000000" w:fill="D9D9D9"/>
            <w:hideMark/>
          </w:tcPr>
          <w:p w14:paraId="1906D29F"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435" w:type="dxa"/>
            <w:shd w:val="clear" w:color="000000" w:fill="D9D9D9"/>
            <w:hideMark/>
          </w:tcPr>
          <w:p w14:paraId="35CADFD9"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243" w:type="dxa"/>
            <w:gridSpan w:val="2"/>
            <w:shd w:val="clear" w:color="000000" w:fill="D9D9D9"/>
            <w:hideMark/>
          </w:tcPr>
          <w:p w14:paraId="42FA699D"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704" w:type="dxa"/>
            <w:shd w:val="clear" w:color="000000" w:fill="D9D9D9"/>
            <w:hideMark/>
          </w:tcPr>
          <w:p w14:paraId="1BB28773"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189" w:type="dxa"/>
            <w:shd w:val="clear" w:color="000000" w:fill="D9D9D9"/>
            <w:hideMark/>
          </w:tcPr>
          <w:p w14:paraId="2FBCB974"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189" w:type="dxa"/>
            <w:shd w:val="clear" w:color="000000" w:fill="D9D9D9"/>
            <w:hideMark/>
          </w:tcPr>
          <w:p w14:paraId="76236D3B"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019" w:type="dxa"/>
            <w:shd w:val="clear" w:color="000000" w:fill="D9D9D9"/>
            <w:hideMark/>
          </w:tcPr>
          <w:p w14:paraId="48226552"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29790D" w:rsidRPr="00EF2F18" w14:paraId="01136840" w14:textId="77777777" w:rsidTr="00A84E90">
        <w:trPr>
          <w:trHeight w:val="1950"/>
        </w:trPr>
        <w:tc>
          <w:tcPr>
            <w:tcW w:w="3452" w:type="dxa"/>
            <w:shd w:val="clear" w:color="000000" w:fill="FFFFFF"/>
            <w:hideMark/>
          </w:tcPr>
          <w:p w14:paraId="131BDE5E"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Донет Закон о изменама и допунама Закона о климатским променама усклађен са ЕУ законодавством у делу ублажавања климатских промена</w:t>
            </w:r>
          </w:p>
        </w:tc>
        <w:tc>
          <w:tcPr>
            <w:tcW w:w="1434" w:type="dxa"/>
            <w:shd w:val="clear" w:color="000000" w:fill="FFFFFF"/>
            <w:hideMark/>
          </w:tcPr>
          <w:p w14:paraId="2F2E782B"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не/да</w:t>
            </w:r>
          </w:p>
        </w:tc>
        <w:tc>
          <w:tcPr>
            <w:tcW w:w="1435" w:type="dxa"/>
            <w:shd w:val="clear" w:color="000000" w:fill="FFFFFF"/>
            <w:hideMark/>
          </w:tcPr>
          <w:p w14:paraId="24C4D00E"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Службени гласник РС</w:t>
            </w:r>
          </w:p>
        </w:tc>
        <w:tc>
          <w:tcPr>
            <w:tcW w:w="2243" w:type="dxa"/>
            <w:gridSpan w:val="2"/>
            <w:shd w:val="clear" w:color="000000" w:fill="FFFFFF"/>
            <w:hideMark/>
          </w:tcPr>
          <w:p w14:paraId="2D6E7909"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704" w:type="dxa"/>
            <w:shd w:val="clear" w:color="000000" w:fill="FFFFFF"/>
            <w:hideMark/>
          </w:tcPr>
          <w:p w14:paraId="022620D8"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89" w:type="dxa"/>
            <w:shd w:val="clear" w:color="000000" w:fill="FFFFFF"/>
            <w:hideMark/>
          </w:tcPr>
          <w:p w14:paraId="619C9777"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189" w:type="dxa"/>
            <w:shd w:val="clear" w:color="000000" w:fill="FFFFFF"/>
            <w:hideMark/>
          </w:tcPr>
          <w:p w14:paraId="4F6B9779"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019" w:type="dxa"/>
            <w:shd w:val="clear" w:color="000000" w:fill="FFFFFF"/>
            <w:hideMark/>
          </w:tcPr>
          <w:p w14:paraId="6D9ED30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29790D" w:rsidRPr="00EF2F18" w14:paraId="12364A27" w14:textId="77777777" w:rsidTr="00A84E90">
        <w:trPr>
          <w:trHeight w:val="762"/>
        </w:trPr>
        <w:tc>
          <w:tcPr>
            <w:tcW w:w="3452" w:type="dxa"/>
            <w:shd w:val="clear" w:color="000000" w:fill="FFFFFF"/>
            <w:hideMark/>
          </w:tcPr>
          <w:p w14:paraId="60932083"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Донети подзаконски акти у складу са Законом о изменама и допунама Закона о климатским променама у делу ублажавања климатских промена</w:t>
            </w:r>
          </w:p>
        </w:tc>
        <w:tc>
          <w:tcPr>
            <w:tcW w:w="1434" w:type="dxa"/>
            <w:shd w:val="clear" w:color="000000" w:fill="FFFFFF"/>
            <w:hideMark/>
          </w:tcPr>
          <w:p w14:paraId="07532373"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435" w:type="dxa"/>
            <w:shd w:val="clear" w:color="000000" w:fill="FFFFFF"/>
            <w:hideMark/>
          </w:tcPr>
          <w:p w14:paraId="1B83BA43" w14:textId="77777777" w:rsidR="0029790D" w:rsidRPr="00EF2F18" w:rsidRDefault="0029790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Службени гласник РС</w:t>
            </w:r>
          </w:p>
        </w:tc>
        <w:tc>
          <w:tcPr>
            <w:tcW w:w="2243" w:type="dxa"/>
            <w:gridSpan w:val="2"/>
            <w:shd w:val="clear" w:color="000000" w:fill="FFFFFF"/>
            <w:hideMark/>
          </w:tcPr>
          <w:p w14:paraId="278D5AC2"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704" w:type="dxa"/>
            <w:shd w:val="clear" w:color="000000" w:fill="FFFFFF"/>
            <w:hideMark/>
          </w:tcPr>
          <w:p w14:paraId="74DF83B7"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89" w:type="dxa"/>
            <w:shd w:val="clear" w:color="000000" w:fill="FFFFFF"/>
            <w:hideMark/>
          </w:tcPr>
          <w:p w14:paraId="7913D05C"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189" w:type="dxa"/>
            <w:shd w:val="clear" w:color="000000" w:fill="FFFFFF"/>
            <w:hideMark/>
          </w:tcPr>
          <w:p w14:paraId="082D4313"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019" w:type="dxa"/>
            <w:shd w:val="clear" w:color="000000" w:fill="FFFFFF"/>
            <w:hideMark/>
          </w:tcPr>
          <w:p w14:paraId="4B72E7E0" w14:textId="77777777" w:rsidR="0029790D" w:rsidRPr="00EF2F18" w:rsidRDefault="0029790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r>
    </w:tbl>
    <w:p w14:paraId="47C78279" w14:textId="77777777" w:rsidR="007D7243" w:rsidRPr="00EF2F18" w:rsidRDefault="007D7243" w:rsidP="007D7243">
      <w:pPr>
        <w:spacing w:after="0"/>
        <w:rPr>
          <w:rFonts w:cs="Times New Roman"/>
          <w:sz w:val="20"/>
          <w:szCs w:val="20"/>
          <w:lang w:val="sr-Cyrl-RS"/>
        </w:rPr>
      </w:pPr>
      <w:bookmarkStart w:id="156" w:name="_Hlk148899772"/>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734"/>
        <w:gridCol w:w="2522"/>
        <w:gridCol w:w="2279"/>
        <w:gridCol w:w="2610"/>
        <w:gridCol w:w="2520"/>
      </w:tblGrid>
      <w:tr w:rsidR="007D7243" w:rsidRPr="00EF2F18" w14:paraId="290C15FD" w14:textId="77777777" w:rsidTr="00BD3283">
        <w:trPr>
          <w:trHeight w:hRule="exact" w:val="480"/>
        </w:trPr>
        <w:tc>
          <w:tcPr>
            <w:tcW w:w="3734" w:type="dxa"/>
            <w:vMerge w:val="restart"/>
            <w:shd w:val="clear" w:color="000000" w:fill="A8D08D"/>
            <w:hideMark/>
          </w:tcPr>
          <w:p w14:paraId="4BE540A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22" w:type="dxa"/>
            <w:vMerge w:val="restart"/>
            <w:shd w:val="clear" w:color="000000" w:fill="A8D08D"/>
            <w:hideMark/>
          </w:tcPr>
          <w:p w14:paraId="34EE720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409" w:type="dxa"/>
            <w:gridSpan w:val="3"/>
            <w:shd w:val="clear" w:color="000000" w:fill="A8D08D"/>
            <w:hideMark/>
          </w:tcPr>
          <w:p w14:paraId="3A99603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BD3283" w:rsidRPr="00EF2F18" w14:paraId="08EC6967" w14:textId="77777777" w:rsidTr="00BD3283">
        <w:trPr>
          <w:trHeight w:hRule="exact" w:val="480"/>
        </w:trPr>
        <w:tc>
          <w:tcPr>
            <w:tcW w:w="3734" w:type="dxa"/>
            <w:vMerge/>
            <w:vAlign w:val="center"/>
            <w:hideMark/>
          </w:tcPr>
          <w:p w14:paraId="4FB44AC0" w14:textId="77777777" w:rsidR="00BD3283" w:rsidRPr="00EF2F18" w:rsidRDefault="00BD3283" w:rsidP="00752CA0">
            <w:pPr>
              <w:spacing w:after="0"/>
              <w:rPr>
                <w:rFonts w:eastAsia="Times New Roman" w:cs="Times New Roman"/>
                <w:color w:val="000000"/>
                <w:sz w:val="20"/>
                <w:szCs w:val="20"/>
                <w:lang w:val="sr-Cyrl-RS" w:eastAsia="sr-Cyrl-RS"/>
              </w:rPr>
            </w:pPr>
          </w:p>
        </w:tc>
        <w:tc>
          <w:tcPr>
            <w:tcW w:w="2522" w:type="dxa"/>
            <w:vMerge/>
            <w:vAlign w:val="center"/>
            <w:hideMark/>
          </w:tcPr>
          <w:p w14:paraId="52A4784C" w14:textId="77777777" w:rsidR="00BD3283" w:rsidRPr="00EF2F18" w:rsidRDefault="00BD3283" w:rsidP="00752CA0">
            <w:pPr>
              <w:spacing w:after="0"/>
              <w:rPr>
                <w:rFonts w:eastAsia="Times New Roman" w:cs="Times New Roman"/>
                <w:color w:val="000000"/>
                <w:sz w:val="20"/>
                <w:szCs w:val="20"/>
                <w:lang w:val="sr-Cyrl-RS" w:eastAsia="sr-Cyrl-RS"/>
              </w:rPr>
            </w:pPr>
          </w:p>
        </w:tc>
        <w:tc>
          <w:tcPr>
            <w:tcW w:w="2279" w:type="dxa"/>
            <w:shd w:val="clear" w:color="000000" w:fill="A8D08D"/>
            <w:hideMark/>
          </w:tcPr>
          <w:p w14:paraId="65387CFD" w14:textId="1E200CBD" w:rsidR="00BD3283" w:rsidRPr="00EF2F18" w:rsidRDefault="00BD328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610" w:type="dxa"/>
            <w:shd w:val="clear" w:color="000000" w:fill="A8D08D"/>
            <w:hideMark/>
          </w:tcPr>
          <w:p w14:paraId="431FE268" w14:textId="56247064" w:rsidR="00BD3283" w:rsidRPr="00EF2F18" w:rsidRDefault="00BD328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520" w:type="dxa"/>
            <w:shd w:val="clear" w:color="000000" w:fill="A8D08D"/>
            <w:hideMark/>
          </w:tcPr>
          <w:p w14:paraId="393D8A38" w14:textId="3187770A" w:rsidR="00BD3283" w:rsidRPr="00EF2F18" w:rsidRDefault="00BD328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BD3283" w:rsidRPr="00EF2F18" w14:paraId="360AA7CE" w14:textId="77777777" w:rsidTr="00BD3283">
        <w:trPr>
          <w:trHeight w:val="436"/>
        </w:trPr>
        <w:tc>
          <w:tcPr>
            <w:tcW w:w="3734" w:type="dxa"/>
            <w:shd w:val="clear" w:color="000000" w:fill="FFFFFF"/>
            <w:vAlign w:val="center"/>
            <w:hideMark/>
          </w:tcPr>
          <w:p w14:paraId="70944CD6" w14:textId="77777777" w:rsidR="00BD3283" w:rsidRPr="00EF2F18" w:rsidRDefault="00BD328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2522" w:type="dxa"/>
            <w:shd w:val="clear" w:color="000000" w:fill="FFFFFF"/>
            <w:vAlign w:val="center"/>
            <w:hideMark/>
          </w:tcPr>
          <w:p w14:paraId="0454A555" w14:textId="77777777" w:rsidR="00BD3283" w:rsidRPr="00EF2F18" w:rsidRDefault="00BD3283"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0404-560-0004-411</w:t>
            </w:r>
          </w:p>
        </w:tc>
        <w:tc>
          <w:tcPr>
            <w:tcW w:w="2279" w:type="dxa"/>
            <w:shd w:val="clear" w:color="000000" w:fill="FFFFFF"/>
            <w:vAlign w:val="center"/>
          </w:tcPr>
          <w:p w14:paraId="38A93875" w14:textId="0337FAB4" w:rsidR="00BD3283" w:rsidRPr="00EF2F18" w:rsidRDefault="00BD3283" w:rsidP="00752CA0">
            <w:pPr>
              <w:spacing w:after="0"/>
              <w:jc w:val="right"/>
              <w:rPr>
                <w:rFonts w:eastAsia="Times New Roman" w:cs="Times New Roman"/>
                <w:color w:val="000000"/>
                <w:sz w:val="20"/>
                <w:szCs w:val="20"/>
                <w:lang w:val="sr-Cyrl-RS" w:eastAsia="sr-Cyrl-RS"/>
              </w:rPr>
            </w:pPr>
          </w:p>
        </w:tc>
        <w:tc>
          <w:tcPr>
            <w:tcW w:w="2610" w:type="dxa"/>
            <w:shd w:val="clear" w:color="000000" w:fill="FFFFFF"/>
            <w:vAlign w:val="center"/>
          </w:tcPr>
          <w:p w14:paraId="4EE7AA02" w14:textId="4371E3AB" w:rsidR="00BD3283" w:rsidRPr="00EF2F18" w:rsidRDefault="00BD3283" w:rsidP="00752CA0">
            <w:pPr>
              <w:spacing w:after="0"/>
              <w:jc w:val="right"/>
              <w:rPr>
                <w:rFonts w:eastAsia="Times New Roman" w:cs="Times New Roman"/>
                <w:color w:val="000000"/>
                <w:sz w:val="20"/>
                <w:szCs w:val="20"/>
                <w:lang w:val="sr-Cyrl-RS" w:eastAsia="sr-Cyrl-RS"/>
              </w:rPr>
            </w:pPr>
          </w:p>
        </w:tc>
        <w:tc>
          <w:tcPr>
            <w:tcW w:w="2520" w:type="dxa"/>
            <w:shd w:val="clear" w:color="000000" w:fill="FFFFFF"/>
            <w:vAlign w:val="center"/>
          </w:tcPr>
          <w:p w14:paraId="2871EFD6" w14:textId="15AA5B01" w:rsidR="00BD3283" w:rsidRPr="00EF2F18" w:rsidRDefault="00BD3283" w:rsidP="00752CA0">
            <w:pPr>
              <w:spacing w:after="0"/>
              <w:jc w:val="right"/>
              <w:rPr>
                <w:rFonts w:eastAsia="Times New Roman" w:cs="Times New Roman"/>
                <w:color w:val="000000"/>
                <w:sz w:val="20"/>
                <w:szCs w:val="20"/>
                <w:lang w:val="sr-Cyrl-RS" w:eastAsia="sr-Cyrl-RS"/>
              </w:rPr>
            </w:pPr>
          </w:p>
        </w:tc>
      </w:tr>
      <w:tr w:rsidR="00BD3283" w:rsidRPr="00EF2F18" w14:paraId="0CCADBE6" w14:textId="77777777" w:rsidTr="00BD3283">
        <w:trPr>
          <w:trHeight w:val="436"/>
        </w:trPr>
        <w:tc>
          <w:tcPr>
            <w:tcW w:w="3734" w:type="dxa"/>
            <w:shd w:val="clear" w:color="000000" w:fill="FFFFFF"/>
            <w:vAlign w:val="center"/>
            <w:hideMark/>
          </w:tcPr>
          <w:p w14:paraId="51D4531D" w14:textId="77777777" w:rsidR="00BD3283" w:rsidRPr="00EF2F18" w:rsidRDefault="00BD328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522" w:type="dxa"/>
            <w:shd w:val="clear" w:color="000000" w:fill="FFFFFF"/>
            <w:vAlign w:val="center"/>
            <w:hideMark/>
          </w:tcPr>
          <w:p w14:paraId="59857219" w14:textId="77777777" w:rsidR="00BD3283" w:rsidRPr="00EF2F18" w:rsidRDefault="00BD328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279" w:type="dxa"/>
            <w:shd w:val="clear" w:color="000000" w:fill="FFFFFF"/>
            <w:vAlign w:val="center"/>
          </w:tcPr>
          <w:p w14:paraId="47E8192B" w14:textId="4DD2D7CD" w:rsidR="00BD3283" w:rsidRPr="00EF2F18" w:rsidRDefault="00BD3283" w:rsidP="00752CA0">
            <w:pPr>
              <w:spacing w:after="0"/>
              <w:jc w:val="right"/>
              <w:rPr>
                <w:rFonts w:eastAsia="Times New Roman" w:cs="Times New Roman"/>
                <w:color w:val="000000"/>
                <w:sz w:val="20"/>
                <w:szCs w:val="20"/>
                <w:lang w:val="sr-Cyrl-RS" w:eastAsia="sr-Cyrl-RS"/>
              </w:rPr>
            </w:pPr>
          </w:p>
        </w:tc>
        <w:tc>
          <w:tcPr>
            <w:tcW w:w="2610" w:type="dxa"/>
            <w:vAlign w:val="center"/>
          </w:tcPr>
          <w:p w14:paraId="2E1A5D77" w14:textId="6A07F1C4" w:rsidR="00BD3283" w:rsidRPr="00EF2F18" w:rsidRDefault="00BD3283" w:rsidP="00752CA0">
            <w:pPr>
              <w:spacing w:after="0"/>
              <w:jc w:val="right"/>
              <w:rPr>
                <w:rFonts w:eastAsia="Times New Roman" w:cs="Times New Roman"/>
                <w:color w:val="000000"/>
                <w:sz w:val="20"/>
                <w:szCs w:val="20"/>
                <w:lang w:val="sr-Cyrl-RS" w:eastAsia="sr-Cyrl-RS"/>
              </w:rPr>
            </w:pPr>
          </w:p>
        </w:tc>
        <w:tc>
          <w:tcPr>
            <w:tcW w:w="2520" w:type="dxa"/>
            <w:vAlign w:val="center"/>
          </w:tcPr>
          <w:p w14:paraId="448065B6" w14:textId="3EF221D0" w:rsidR="00BD3283" w:rsidRPr="00EF2F18" w:rsidRDefault="00BD3283" w:rsidP="00752CA0">
            <w:pPr>
              <w:spacing w:after="0"/>
              <w:jc w:val="right"/>
              <w:rPr>
                <w:rFonts w:eastAsia="Times New Roman" w:cs="Times New Roman"/>
                <w:color w:val="000000"/>
                <w:sz w:val="20"/>
                <w:szCs w:val="20"/>
                <w:lang w:val="sr-Cyrl-RS" w:eastAsia="sr-Cyrl-RS"/>
              </w:rPr>
            </w:pPr>
          </w:p>
        </w:tc>
      </w:tr>
    </w:tbl>
    <w:p w14:paraId="6167F43B" w14:textId="77777777" w:rsidR="000C5499" w:rsidRPr="00EF2F18" w:rsidRDefault="000C5499" w:rsidP="007D7243">
      <w:pPr>
        <w:spacing w:after="0"/>
        <w:rPr>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1250"/>
        <w:gridCol w:w="1376"/>
        <w:gridCol w:w="1182"/>
        <w:gridCol w:w="1691"/>
        <w:gridCol w:w="1340"/>
        <w:gridCol w:w="1308"/>
        <w:gridCol w:w="1440"/>
        <w:gridCol w:w="1530"/>
      </w:tblGrid>
      <w:tr w:rsidR="007D7243" w:rsidRPr="00EF2F18" w14:paraId="0BD971B8" w14:textId="77777777" w:rsidTr="00AE4263">
        <w:trPr>
          <w:trHeight w:hRule="exact" w:val="752"/>
        </w:trPr>
        <w:tc>
          <w:tcPr>
            <w:tcW w:w="2558" w:type="dxa"/>
            <w:vMerge w:val="restart"/>
            <w:shd w:val="clear" w:color="000000" w:fill="FFF2CC"/>
            <w:hideMark/>
          </w:tcPr>
          <w:p w14:paraId="314AE24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50" w:type="dxa"/>
            <w:vMerge w:val="restart"/>
            <w:shd w:val="clear" w:color="000000" w:fill="FFF2CC"/>
            <w:hideMark/>
          </w:tcPr>
          <w:p w14:paraId="20D775F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76" w:type="dxa"/>
            <w:vMerge w:val="restart"/>
            <w:shd w:val="clear" w:color="000000" w:fill="FFF2CC"/>
            <w:hideMark/>
          </w:tcPr>
          <w:p w14:paraId="04D64D9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2C6B7C2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328716B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037F8B4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278" w:type="dxa"/>
            <w:gridSpan w:val="3"/>
            <w:shd w:val="clear" w:color="000000" w:fill="FFF2CC"/>
            <w:hideMark/>
          </w:tcPr>
          <w:p w14:paraId="4F0EF4F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ED1295" w:rsidRPr="00EF2F18" w14:paraId="24BA914D" w14:textId="77777777" w:rsidTr="00AE4263">
        <w:trPr>
          <w:trHeight w:val="350"/>
        </w:trPr>
        <w:tc>
          <w:tcPr>
            <w:tcW w:w="2558" w:type="dxa"/>
            <w:vMerge/>
            <w:vAlign w:val="center"/>
            <w:hideMark/>
          </w:tcPr>
          <w:p w14:paraId="2FEC5139"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250" w:type="dxa"/>
            <w:vMerge/>
            <w:vAlign w:val="center"/>
            <w:hideMark/>
          </w:tcPr>
          <w:p w14:paraId="17F4C616"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376" w:type="dxa"/>
            <w:vMerge/>
            <w:vAlign w:val="center"/>
            <w:hideMark/>
          </w:tcPr>
          <w:p w14:paraId="245FED52"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182" w:type="dxa"/>
            <w:vMerge/>
            <w:vAlign w:val="center"/>
            <w:hideMark/>
          </w:tcPr>
          <w:p w14:paraId="0F202687"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691" w:type="dxa"/>
            <w:vMerge/>
            <w:vAlign w:val="center"/>
            <w:hideMark/>
          </w:tcPr>
          <w:p w14:paraId="5F72C44F"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340" w:type="dxa"/>
            <w:vMerge/>
            <w:vAlign w:val="center"/>
            <w:hideMark/>
          </w:tcPr>
          <w:p w14:paraId="50E1FE8A"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308" w:type="dxa"/>
            <w:shd w:val="clear" w:color="000000" w:fill="FFF2CC"/>
            <w:hideMark/>
          </w:tcPr>
          <w:p w14:paraId="4B526749" w14:textId="40CE0B9A"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440" w:type="dxa"/>
            <w:shd w:val="clear" w:color="000000" w:fill="FFF2CC"/>
            <w:hideMark/>
          </w:tcPr>
          <w:p w14:paraId="335138A8" w14:textId="0148CCD3"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530" w:type="dxa"/>
            <w:shd w:val="clear" w:color="000000" w:fill="FFF2CC"/>
            <w:hideMark/>
          </w:tcPr>
          <w:p w14:paraId="4DF75667" w14:textId="03A89354"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ED1295" w:rsidRPr="00EF2F18" w14:paraId="78850DC5" w14:textId="77777777" w:rsidTr="00AE4263">
        <w:trPr>
          <w:trHeight w:val="1872"/>
        </w:trPr>
        <w:tc>
          <w:tcPr>
            <w:tcW w:w="2558" w:type="dxa"/>
            <w:hideMark/>
          </w:tcPr>
          <w:p w14:paraId="2464EF52"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1.1.1.1. Припрема и усвајање Закона о изменама и допунама Закона о климатским променама – усклађивање са ЕУ законодавством у делу ублажавања климатских промена</w:t>
            </w:r>
          </w:p>
        </w:tc>
        <w:tc>
          <w:tcPr>
            <w:tcW w:w="1250" w:type="dxa"/>
            <w:hideMark/>
          </w:tcPr>
          <w:p w14:paraId="4F3DE70B"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76" w:type="dxa"/>
            <w:hideMark/>
          </w:tcPr>
          <w:p w14:paraId="14D56B10"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 МПШВ, МГСИ, МПривреде, МФ, МЕИ, МНТРИ, МЈУ, АЗЖС</w:t>
            </w:r>
          </w:p>
        </w:tc>
        <w:tc>
          <w:tcPr>
            <w:tcW w:w="1182" w:type="dxa"/>
            <w:hideMark/>
          </w:tcPr>
          <w:p w14:paraId="5A790506"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 квартал 2027.</w:t>
            </w:r>
          </w:p>
        </w:tc>
        <w:tc>
          <w:tcPr>
            <w:tcW w:w="1691" w:type="dxa"/>
            <w:hideMark/>
          </w:tcPr>
          <w:p w14:paraId="6FC2AA91"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1A167264" w14:textId="77777777" w:rsidR="00ED1295" w:rsidRPr="00EF2F18" w:rsidRDefault="00ED1295"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0404-560-0004-411</w:t>
            </w:r>
          </w:p>
        </w:tc>
        <w:tc>
          <w:tcPr>
            <w:tcW w:w="1308" w:type="dxa"/>
          </w:tcPr>
          <w:p w14:paraId="2E0EADB7" w14:textId="68DDCD21" w:rsidR="00ED1295" w:rsidRPr="00EF2F18" w:rsidRDefault="00ED1295" w:rsidP="00752CA0">
            <w:pPr>
              <w:spacing w:after="0"/>
              <w:jc w:val="right"/>
              <w:rPr>
                <w:rFonts w:eastAsia="Times New Roman" w:cs="Times New Roman"/>
                <w:color w:val="000000"/>
                <w:sz w:val="20"/>
                <w:szCs w:val="20"/>
                <w:lang w:val="sr-Cyrl-RS" w:eastAsia="sr-Cyrl-RS"/>
              </w:rPr>
            </w:pPr>
          </w:p>
        </w:tc>
        <w:tc>
          <w:tcPr>
            <w:tcW w:w="1440" w:type="dxa"/>
          </w:tcPr>
          <w:p w14:paraId="042B0181" w14:textId="52BAF1DF" w:rsidR="00ED1295" w:rsidRPr="00EF2F18" w:rsidRDefault="00ED1295" w:rsidP="00752CA0">
            <w:pPr>
              <w:spacing w:after="0"/>
              <w:jc w:val="right"/>
              <w:rPr>
                <w:rFonts w:eastAsia="Times New Roman" w:cs="Times New Roman"/>
                <w:color w:val="000000"/>
                <w:sz w:val="20"/>
                <w:szCs w:val="20"/>
                <w:lang w:val="sr-Cyrl-RS" w:eastAsia="sr-Cyrl-RS"/>
              </w:rPr>
            </w:pPr>
          </w:p>
        </w:tc>
        <w:tc>
          <w:tcPr>
            <w:tcW w:w="1530" w:type="dxa"/>
          </w:tcPr>
          <w:p w14:paraId="00E551F0" w14:textId="1CED329A" w:rsidR="00ED1295" w:rsidRPr="00EF2F18" w:rsidRDefault="00ED1295" w:rsidP="00752CA0">
            <w:pPr>
              <w:spacing w:after="0"/>
              <w:jc w:val="right"/>
              <w:rPr>
                <w:rFonts w:eastAsia="Times New Roman" w:cs="Times New Roman"/>
                <w:color w:val="000000"/>
                <w:sz w:val="20"/>
                <w:szCs w:val="20"/>
                <w:lang w:val="sr-Cyrl-RS" w:eastAsia="sr-Cyrl-RS"/>
              </w:rPr>
            </w:pPr>
          </w:p>
        </w:tc>
      </w:tr>
      <w:tr w:rsidR="00ED1295" w:rsidRPr="00EF2F18" w14:paraId="55411069" w14:textId="77777777" w:rsidTr="00AE4263">
        <w:trPr>
          <w:trHeight w:val="1872"/>
        </w:trPr>
        <w:tc>
          <w:tcPr>
            <w:tcW w:w="2558" w:type="dxa"/>
            <w:hideMark/>
          </w:tcPr>
          <w:p w14:paraId="236E3781"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1.1.1.2. Припрема и усвајање подзаконских аката у складу са Законом о изменама и допунама Закона о климатским променама – за ублажавање климатских промена</w:t>
            </w:r>
          </w:p>
        </w:tc>
        <w:tc>
          <w:tcPr>
            <w:tcW w:w="1250" w:type="dxa"/>
            <w:hideMark/>
          </w:tcPr>
          <w:p w14:paraId="56541552"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76" w:type="dxa"/>
            <w:hideMark/>
          </w:tcPr>
          <w:p w14:paraId="72C2D33C"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 МПШВ, МГСИ, МПривреде, МФ, МЕИ, МНТРИ, МЈУ, АЗЖС, ЈЛС</w:t>
            </w:r>
          </w:p>
        </w:tc>
        <w:tc>
          <w:tcPr>
            <w:tcW w:w="1182" w:type="dxa"/>
            <w:hideMark/>
          </w:tcPr>
          <w:p w14:paraId="372EACF1"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691" w:type="dxa"/>
            <w:hideMark/>
          </w:tcPr>
          <w:p w14:paraId="14AD750B"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5D6FD227" w14:textId="77777777" w:rsidR="00ED1295" w:rsidRPr="00EF2F18" w:rsidRDefault="00ED1295"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0404-560-0004-411</w:t>
            </w:r>
          </w:p>
        </w:tc>
        <w:tc>
          <w:tcPr>
            <w:tcW w:w="1308" w:type="dxa"/>
          </w:tcPr>
          <w:p w14:paraId="53B18103" w14:textId="7386576D" w:rsidR="00ED1295" w:rsidRPr="00EF2F18" w:rsidRDefault="00ED1295" w:rsidP="00752CA0">
            <w:pPr>
              <w:spacing w:after="0"/>
              <w:jc w:val="right"/>
              <w:rPr>
                <w:rFonts w:eastAsia="Times New Roman" w:cs="Times New Roman"/>
                <w:color w:val="000000"/>
                <w:sz w:val="20"/>
                <w:szCs w:val="20"/>
                <w:lang w:val="sr-Cyrl-RS" w:eastAsia="sr-Cyrl-RS"/>
              </w:rPr>
            </w:pPr>
          </w:p>
        </w:tc>
        <w:tc>
          <w:tcPr>
            <w:tcW w:w="1440" w:type="dxa"/>
          </w:tcPr>
          <w:p w14:paraId="5BAF4174" w14:textId="0D5AE816" w:rsidR="00ED1295" w:rsidRPr="00EF2F18" w:rsidRDefault="00ED1295" w:rsidP="00752CA0">
            <w:pPr>
              <w:spacing w:after="0"/>
              <w:jc w:val="right"/>
              <w:rPr>
                <w:rFonts w:eastAsia="Times New Roman" w:cs="Times New Roman"/>
                <w:color w:val="000000"/>
                <w:sz w:val="20"/>
                <w:szCs w:val="20"/>
                <w:lang w:val="sr-Cyrl-RS" w:eastAsia="sr-Cyrl-RS"/>
              </w:rPr>
            </w:pPr>
          </w:p>
        </w:tc>
        <w:tc>
          <w:tcPr>
            <w:tcW w:w="1530" w:type="dxa"/>
          </w:tcPr>
          <w:p w14:paraId="6D6EF886" w14:textId="203E33EE" w:rsidR="00ED1295" w:rsidRPr="00EF2F18" w:rsidRDefault="00ED1295" w:rsidP="00752CA0">
            <w:pPr>
              <w:spacing w:after="0"/>
              <w:jc w:val="right"/>
              <w:rPr>
                <w:rFonts w:eastAsia="Times New Roman" w:cs="Times New Roman"/>
                <w:color w:val="000000"/>
                <w:sz w:val="20"/>
                <w:szCs w:val="20"/>
                <w:lang w:val="sr-Cyrl-RS" w:eastAsia="sr-Cyrl-RS"/>
              </w:rPr>
            </w:pPr>
          </w:p>
        </w:tc>
      </w:tr>
      <w:tr w:rsidR="00ED1295" w:rsidRPr="00EF2F18" w14:paraId="394348CE" w14:textId="77777777" w:rsidTr="00AE4263">
        <w:trPr>
          <w:trHeight w:val="937"/>
        </w:trPr>
        <w:tc>
          <w:tcPr>
            <w:tcW w:w="2558" w:type="dxa"/>
            <w:hideMark/>
          </w:tcPr>
          <w:p w14:paraId="5E333E11" w14:textId="31068BB2"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1.1.1.3. Припрема Плана за смањење емисија метана у складу са </w:t>
            </w:r>
            <w:r w:rsidRPr="00EF2F18">
              <w:rPr>
                <w:rFonts w:eastAsia="Times New Roman" w:cs="Times New Roman"/>
                <w:i/>
                <w:iCs/>
                <w:color w:val="000000"/>
                <w:sz w:val="20"/>
                <w:szCs w:val="20"/>
                <w:lang w:val="sr-Cyrl-RS" w:eastAsia="sr-Cyrl-RS"/>
              </w:rPr>
              <w:t>Global Methane Pledge</w:t>
            </w:r>
          </w:p>
        </w:tc>
        <w:tc>
          <w:tcPr>
            <w:tcW w:w="1250" w:type="dxa"/>
            <w:hideMark/>
          </w:tcPr>
          <w:p w14:paraId="6EE108DC"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76" w:type="dxa"/>
            <w:hideMark/>
          </w:tcPr>
          <w:p w14:paraId="4A1DD556"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 МПШВ, АЗЖС</w:t>
            </w:r>
          </w:p>
        </w:tc>
        <w:tc>
          <w:tcPr>
            <w:tcW w:w="1182" w:type="dxa"/>
            <w:hideMark/>
          </w:tcPr>
          <w:p w14:paraId="758E0FFE"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691" w:type="dxa"/>
            <w:hideMark/>
          </w:tcPr>
          <w:p w14:paraId="6608759D"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6D94E911"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08" w:type="dxa"/>
          </w:tcPr>
          <w:p w14:paraId="0B03FB68" w14:textId="02E2E9FD" w:rsidR="00ED1295" w:rsidRPr="00EF2F18" w:rsidRDefault="00ED1295" w:rsidP="00752CA0">
            <w:pPr>
              <w:spacing w:after="0"/>
              <w:jc w:val="right"/>
              <w:rPr>
                <w:rFonts w:eastAsia="Times New Roman" w:cs="Times New Roman"/>
                <w:color w:val="000000"/>
                <w:sz w:val="20"/>
                <w:szCs w:val="20"/>
                <w:lang w:val="sr-Cyrl-RS" w:eastAsia="sr-Cyrl-RS"/>
              </w:rPr>
            </w:pPr>
          </w:p>
        </w:tc>
        <w:tc>
          <w:tcPr>
            <w:tcW w:w="1440" w:type="dxa"/>
          </w:tcPr>
          <w:p w14:paraId="32D0782F" w14:textId="747335C6" w:rsidR="00ED1295" w:rsidRPr="00EF2F18" w:rsidRDefault="00ED1295" w:rsidP="00752CA0">
            <w:pPr>
              <w:spacing w:after="0"/>
              <w:jc w:val="right"/>
              <w:rPr>
                <w:rFonts w:eastAsia="Times New Roman" w:cs="Times New Roman"/>
                <w:color w:val="000000"/>
                <w:sz w:val="20"/>
                <w:szCs w:val="20"/>
                <w:lang w:val="sr-Cyrl-RS" w:eastAsia="sr-Cyrl-RS"/>
              </w:rPr>
            </w:pPr>
          </w:p>
        </w:tc>
        <w:tc>
          <w:tcPr>
            <w:tcW w:w="1530" w:type="dxa"/>
          </w:tcPr>
          <w:p w14:paraId="029F6DC8" w14:textId="3E3E3B3C" w:rsidR="00ED1295" w:rsidRPr="00EF2F18" w:rsidRDefault="00ED1295" w:rsidP="00752CA0">
            <w:pPr>
              <w:spacing w:after="0"/>
              <w:jc w:val="right"/>
              <w:rPr>
                <w:rFonts w:eastAsia="Times New Roman" w:cs="Times New Roman"/>
                <w:color w:val="000000"/>
                <w:sz w:val="20"/>
                <w:szCs w:val="20"/>
                <w:lang w:val="sr-Cyrl-RS" w:eastAsia="sr-Cyrl-RS"/>
              </w:rPr>
            </w:pPr>
          </w:p>
        </w:tc>
      </w:tr>
      <w:tr w:rsidR="00ED1295" w:rsidRPr="00EF2F18" w14:paraId="7818B60E" w14:textId="77777777" w:rsidTr="00AE4263">
        <w:trPr>
          <w:trHeight w:val="1140"/>
        </w:trPr>
        <w:tc>
          <w:tcPr>
            <w:tcW w:w="2558" w:type="dxa"/>
            <w:hideMark/>
          </w:tcPr>
          <w:p w14:paraId="654CD4B0" w14:textId="5AAC9F5E"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1.1.1.4.</w:t>
            </w:r>
            <w:r w:rsidRPr="00EF2F18">
              <w:rPr>
                <w:rFonts w:eastAsia="Times New Roman" w:cs="Times New Roman"/>
                <w:color w:val="000000"/>
                <w:szCs w:val="24"/>
                <w:lang w:val="sr-Cyrl-RS" w:eastAsia="sr-Cyrl-RS"/>
              </w:rPr>
              <w:t xml:space="preserve"> </w:t>
            </w:r>
            <w:r w:rsidRPr="00EF2F18">
              <w:rPr>
                <w:rFonts w:eastAsia="Times New Roman" w:cs="Times New Roman"/>
                <w:color w:val="000000"/>
                <w:sz w:val="20"/>
                <w:szCs w:val="20"/>
                <w:lang w:val="sr-Cyrl-RS" w:eastAsia="sr-Cyrl-RS"/>
              </w:rPr>
              <w:t xml:space="preserve">Анализа националних капацитета за успостављање одрживог система за пројекције о емисијама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w:t>
            </w:r>
          </w:p>
        </w:tc>
        <w:tc>
          <w:tcPr>
            <w:tcW w:w="1250" w:type="dxa"/>
            <w:hideMark/>
          </w:tcPr>
          <w:p w14:paraId="4F884A37"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76" w:type="dxa"/>
            <w:hideMark/>
          </w:tcPr>
          <w:p w14:paraId="3A93F77F"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МРЕ, МПШВ, РЗС</w:t>
            </w:r>
          </w:p>
        </w:tc>
        <w:tc>
          <w:tcPr>
            <w:tcW w:w="1182" w:type="dxa"/>
            <w:hideMark/>
          </w:tcPr>
          <w:p w14:paraId="598AA2F8"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691" w:type="dxa"/>
            <w:hideMark/>
          </w:tcPr>
          <w:p w14:paraId="369AEA26"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7015766A"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08" w:type="dxa"/>
          </w:tcPr>
          <w:p w14:paraId="1E2A5A52" w14:textId="1E9C0876" w:rsidR="00ED1295" w:rsidRPr="00EF2F18" w:rsidRDefault="00ED1295" w:rsidP="00752CA0">
            <w:pPr>
              <w:spacing w:after="0"/>
              <w:jc w:val="right"/>
              <w:rPr>
                <w:rFonts w:eastAsia="Times New Roman" w:cs="Times New Roman"/>
                <w:color w:val="000000"/>
                <w:sz w:val="20"/>
                <w:szCs w:val="20"/>
                <w:lang w:val="sr-Cyrl-RS" w:eastAsia="sr-Cyrl-RS"/>
              </w:rPr>
            </w:pPr>
          </w:p>
        </w:tc>
        <w:tc>
          <w:tcPr>
            <w:tcW w:w="1440" w:type="dxa"/>
          </w:tcPr>
          <w:p w14:paraId="59D7C8F7" w14:textId="1CA5C5A5" w:rsidR="00ED1295" w:rsidRPr="00EF2F18" w:rsidRDefault="00ED1295" w:rsidP="00752CA0">
            <w:pPr>
              <w:spacing w:after="0"/>
              <w:jc w:val="right"/>
              <w:rPr>
                <w:rFonts w:eastAsia="Times New Roman" w:cs="Times New Roman"/>
                <w:color w:val="000000"/>
                <w:sz w:val="20"/>
                <w:szCs w:val="20"/>
                <w:lang w:val="sr-Cyrl-RS" w:eastAsia="sr-Cyrl-RS"/>
              </w:rPr>
            </w:pPr>
          </w:p>
        </w:tc>
        <w:tc>
          <w:tcPr>
            <w:tcW w:w="1530" w:type="dxa"/>
          </w:tcPr>
          <w:p w14:paraId="4645A005" w14:textId="21E65709" w:rsidR="00ED1295" w:rsidRPr="00EF2F18" w:rsidRDefault="00ED1295" w:rsidP="00752CA0">
            <w:pPr>
              <w:spacing w:after="0"/>
              <w:jc w:val="right"/>
              <w:rPr>
                <w:rFonts w:eastAsia="Times New Roman" w:cs="Times New Roman"/>
                <w:color w:val="000000"/>
                <w:sz w:val="20"/>
                <w:szCs w:val="20"/>
                <w:lang w:val="sr-Cyrl-RS" w:eastAsia="sr-Cyrl-RS"/>
              </w:rPr>
            </w:pPr>
          </w:p>
        </w:tc>
      </w:tr>
    </w:tbl>
    <w:p w14:paraId="670D39E9" w14:textId="391FF086" w:rsidR="007D7243" w:rsidRPr="00EF2F18" w:rsidRDefault="00625841" w:rsidP="007D7243">
      <w:pPr>
        <w:spacing w:after="0"/>
        <w:rPr>
          <w:lang w:val="sr-Cyrl-RS"/>
        </w:rPr>
      </w:pPr>
      <w:r w:rsidRPr="00EF2F18">
        <w:rPr>
          <w:sz w:val="20"/>
          <w:szCs w:val="18"/>
          <w:lang w:val="sr-Cyrl-RS"/>
        </w:rPr>
        <w:t>* Извори финансирања и/или средства још увек нису утврђени и/или обезбеђени.</w:t>
      </w:r>
    </w:p>
    <w:bookmarkEnd w:id="156"/>
    <w:p w14:paraId="01737F2F" w14:textId="77777777" w:rsidR="007D7243" w:rsidRPr="00EF2F18" w:rsidRDefault="007D7243" w:rsidP="007D7243">
      <w:pPr>
        <w:tabs>
          <w:tab w:val="left" w:pos="1940"/>
        </w:tabs>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88"/>
        <w:gridCol w:w="1299"/>
        <w:gridCol w:w="1299"/>
        <w:gridCol w:w="1021"/>
        <w:gridCol w:w="849"/>
        <w:gridCol w:w="1543"/>
        <w:gridCol w:w="1306"/>
        <w:gridCol w:w="1530"/>
        <w:gridCol w:w="1530"/>
      </w:tblGrid>
      <w:tr w:rsidR="007D7243" w:rsidRPr="00EF2F18" w14:paraId="069AEAEE" w14:textId="77777777" w:rsidTr="00ED1295">
        <w:trPr>
          <w:trHeight w:val="354"/>
        </w:trPr>
        <w:tc>
          <w:tcPr>
            <w:tcW w:w="13665" w:type="dxa"/>
            <w:gridSpan w:val="9"/>
            <w:shd w:val="clear" w:color="000000" w:fill="F7CAAC"/>
            <w:vAlign w:val="center"/>
            <w:hideMark/>
          </w:tcPr>
          <w:p w14:paraId="46E2D1E4"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1.1.2. Интеграција климатских промена у друге секторске политике ради доприноса климатској неутралности</w:t>
            </w:r>
          </w:p>
        </w:tc>
      </w:tr>
      <w:tr w:rsidR="007D7243" w:rsidRPr="00EF2F18" w14:paraId="4C731D30" w14:textId="77777777" w:rsidTr="00ED1295">
        <w:trPr>
          <w:trHeight w:val="354"/>
        </w:trPr>
        <w:tc>
          <w:tcPr>
            <w:tcW w:w="13665" w:type="dxa"/>
            <w:gridSpan w:val="9"/>
            <w:shd w:val="clear" w:color="000000" w:fill="F7CAAC"/>
            <w:vAlign w:val="center"/>
            <w:hideMark/>
          </w:tcPr>
          <w:p w14:paraId="003355E7"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 заштиту животне средине</w:t>
            </w:r>
          </w:p>
        </w:tc>
      </w:tr>
      <w:tr w:rsidR="007D7243" w:rsidRPr="00EF2F18" w14:paraId="75D65D82" w14:textId="77777777" w:rsidTr="00ED1295">
        <w:trPr>
          <w:trHeight w:val="354"/>
        </w:trPr>
        <w:tc>
          <w:tcPr>
            <w:tcW w:w="6907" w:type="dxa"/>
            <w:gridSpan w:val="4"/>
            <w:shd w:val="clear" w:color="000000" w:fill="F7CAAC"/>
            <w:vAlign w:val="center"/>
            <w:hideMark/>
          </w:tcPr>
          <w:p w14:paraId="7733A2F6" w14:textId="2B6AB5D6"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2026.</w:t>
            </w:r>
          </w:p>
        </w:tc>
        <w:tc>
          <w:tcPr>
            <w:tcW w:w="6758" w:type="dxa"/>
            <w:gridSpan w:val="5"/>
            <w:shd w:val="clear" w:color="000000" w:fill="F7CAAC"/>
            <w:vAlign w:val="center"/>
            <w:hideMark/>
          </w:tcPr>
          <w:p w14:paraId="12FFAE82"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Тип мере: регулаторна</w:t>
            </w:r>
          </w:p>
        </w:tc>
      </w:tr>
      <w:tr w:rsidR="007D7243" w:rsidRPr="00EF2F18" w14:paraId="55CD7F64" w14:textId="77777777" w:rsidTr="00ED1295">
        <w:trPr>
          <w:trHeight w:val="354"/>
        </w:trPr>
        <w:tc>
          <w:tcPr>
            <w:tcW w:w="6907" w:type="dxa"/>
            <w:gridSpan w:val="4"/>
            <w:shd w:val="clear" w:color="000000" w:fill="F7CAAC"/>
            <w:vAlign w:val="center"/>
            <w:hideMark/>
          </w:tcPr>
          <w:p w14:paraId="3BCE2B7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58" w:type="dxa"/>
            <w:gridSpan w:val="5"/>
            <w:shd w:val="clear" w:color="000000" w:fill="F7CAAC"/>
            <w:vAlign w:val="center"/>
            <w:hideMark/>
          </w:tcPr>
          <w:p w14:paraId="6F66CCD8" w14:textId="77777777" w:rsidR="007D7243" w:rsidRPr="00EF2F18" w:rsidRDefault="007D7243" w:rsidP="00752CA0">
            <w:pPr>
              <w:spacing w:after="0"/>
              <w:ind w:firstLineChars="200" w:firstLine="400"/>
              <w:rPr>
                <w:rFonts w:ascii="Symbol" w:eastAsia="Times New Roman" w:hAnsi="Symbol" w:cs="Times New Roman"/>
                <w:color w:val="000000"/>
                <w:sz w:val="20"/>
                <w:szCs w:val="20"/>
                <w:lang w:val="sr-Cyrl-RS" w:eastAsia="sr-Cyrl-RS"/>
              </w:rPr>
            </w:pPr>
          </w:p>
        </w:tc>
      </w:tr>
      <w:tr w:rsidR="00ED1295" w:rsidRPr="00EF2F18" w14:paraId="4BEB1FE0" w14:textId="77777777" w:rsidTr="00ED1295">
        <w:trPr>
          <w:trHeight w:val="915"/>
        </w:trPr>
        <w:tc>
          <w:tcPr>
            <w:tcW w:w="3288" w:type="dxa"/>
            <w:shd w:val="clear" w:color="000000" w:fill="D9D9D9"/>
            <w:vAlign w:val="center"/>
            <w:hideMark/>
          </w:tcPr>
          <w:p w14:paraId="479D0229"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99" w:type="dxa"/>
            <w:shd w:val="clear" w:color="000000" w:fill="D9D9D9"/>
            <w:vAlign w:val="center"/>
            <w:hideMark/>
          </w:tcPr>
          <w:p w14:paraId="6D68A8C5"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99" w:type="dxa"/>
            <w:shd w:val="clear" w:color="000000" w:fill="D9D9D9"/>
            <w:vAlign w:val="center"/>
            <w:hideMark/>
          </w:tcPr>
          <w:p w14:paraId="631F9183"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70" w:type="dxa"/>
            <w:gridSpan w:val="2"/>
            <w:shd w:val="clear" w:color="000000" w:fill="D9D9D9"/>
            <w:vAlign w:val="center"/>
            <w:hideMark/>
          </w:tcPr>
          <w:p w14:paraId="4D1E49D9"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43" w:type="dxa"/>
            <w:shd w:val="clear" w:color="000000" w:fill="D9D9D9"/>
            <w:vAlign w:val="center"/>
            <w:hideMark/>
          </w:tcPr>
          <w:p w14:paraId="1E03DBF5"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06" w:type="dxa"/>
            <w:shd w:val="clear" w:color="000000" w:fill="D9D9D9"/>
            <w:vAlign w:val="center"/>
            <w:hideMark/>
          </w:tcPr>
          <w:p w14:paraId="20F7B02F"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shd w:val="clear" w:color="000000" w:fill="D9D9D9"/>
            <w:vAlign w:val="center"/>
            <w:hideMark/>
          </w:tcPr>
          <w:p w14:paraId="592EC913"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shd w:val="clear" w:color="000000" w:fill="D9D9D9"/>
            <w:vAlign w:val="center"/>
            <w:hideMark/>
          </w:tcPr>
          <w:p w14:paraId="72E4BB1C"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ED1295" w:rsidRPr="00EF2F18" w14:paraId="359AF391" w14:textId="77777777" w:rsidTr="00ED1295">
        <w:trPr>
          <w:trHeight w:val="1763"/>
        </w:trPr>
        <w:tc>
          <w:tcPr>
            <w:tcW w:w="3288" w:type="dxa"/>
            <w:shd w:val="clear" w:color="000000" w:fill="FFFFFF"/>
            <w:hideMark/>
          </w:tcPr>
          <w:p w14:paraId="1632B436"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Донети подзаконски прописи за Закон о процени утицаја на животну средину и Закон о стратешкој процени утицаја на животну средину који садрже одредбе у вези са климатским променама</w:t>
            </w:r>
          </w:p>
        </w:tc>
        <w:tc>
          <w:tcPr>
            <w:tcW w:w="1299" w:type="dxa"/>
            <w:shd w:val="clear" w:color="000000" w:fill="FFFFFF"/>
            <w:hideMark/>
          </w:tcPr>
          <w:p w14:paraId="32383B4F"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не/да</w:t>
            </w:r>
          </w:p>
        </w:tc>
        <w:tc>
          <w:tcPr>
            <w:tcW w:w="1299" w:type="dxa"/>
            <w:shd w:val="clear" w:color="000000" w:fill="FFFFFF"/>
            <w:hideMark/>
          </w:tcPr>
          <w:p w14:paraId="32480850"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Службени гласник РС</w:t>
            </w:r>
          </w:p>
        </w:tc>
        <w:tc>
          <w:tcPr>
            <w:tcW w:w="1870" w:type="dxa"/>
            <w:gridSpan w:val="2"/>
            <w:shd w:val="clear" w:color="000000" w:fill="FFFFFF"/>
            <w:hideMark/>
          </w:tcPr>
          <w:p w14:paraId="1073AAE6"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43" w:type="dxa"/>
            <w:shd w:val="clear" w:color="000000" w:fill="FFFFFF"/>
            <w:hideMark/>
          </w:tcPr>
          <w:p w14:paraId="406FF81F"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06" w:type="dxa"/>
            <w:shd w:val="clear" w:color="000000" w:fill="FFFFFF"/>
            <w:hideMark/>
          </w:tcPr>
          <w:p w14:paraId="5161C7F9"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530" w:type="dxa"/>
            <w:shd w:val="clear" w:color="000000" w:fill="FFFFFF"/>
            <w:hideMark/>
          </w:tcPr>
          <w:p w14:paraId="2F417AC4"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shd w:val="clear" w:color="000000" w:fill="FFFFFF"/>
            <w:hideMark/>
          </w:tcPr>
          <w:p w14:paraId="7E0F8CD6" w14:textId="77777777"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bl>
    <w:p w14:paraId="147EC50A" w14:textId="77777777" w:rsidR="007D7243" w:rsidRPr="00EF2F18" w:rsidRDefault="007D7243" w:rsidP="007D7243">
      <w:pPr>
        <w:tabs>
          <w:tab w:val="left" w:pos="1940"/>
        </w:tabs>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71"/>
        <w:gridCol w:w="2480"/>
        <w:gridCol w:w="2114"/>
        <w:gridCol w:w="2430"/>
        <w:gridCol w:w="2970"/>
      </w:tblGrid>
      <w:tr w:rsidR="007D7243" w:rsidRPr="00EF2F18" w14:paraId="343B3EC4" w14:textId="77777777" w:rsidTr="00AE4263">
        <w:trPr>
          <w:trHeight w:val="336"/>
        </w:trPr>
        <w:tc>
          <w:tcPr>
            <w:tcW w:w="3671" w:type="dxa"/>
            <w:vMerge w:val="restart"/>
            <w:shd w:val="clear" w:color="000000" w:fill="A8D08D"/>
            <w:hideMark/>
          </w:tcPr>
          <w:p w14:paraId="5E59CF6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3677445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514" w:type="dxa"/>
            <w:gridSpan w:val="3"/>
            <w:shd w:val="clear" w:color="000000" w:fill="A8D08D"/>
            <w:hideMark/>
          </w:tcPr>
          <w:p w14:paraId="1884A85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ED1295" w:rsidRPr="00EF2F18" w14:paraId="5884CE52" w14:textId="77777777" w:rsidTr="00AE4263">
        <w:trPr>
          <w:trHeight w:val="336"/>
        </w:trPr>
        <w:tc>
          <w:tcPr>
            <w:tcW w:w="3671" w:type="dxa"/>
            <w:vMerge/>
            <w:vAlign w:val="center"/>
            <w:hideMark/>
          </w:tcPr>
          <w:p w14:paraId="5FE3B646"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2480" w:type="dxa"/>
            <w:vMerge/>
            <w:vAlign w:val="center"/>
            <w:hideMark/>
          </w:tcPr>
          <w:p w14:paraId="3DD489CD"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2114" w:type="dxa"/>
            <w:shd w:val="clear" w:color="000000" w:fill="A8D08D"/>
            <w:vAlign w:val="center"/>
            <w:hideMark/>
          </w:tcPr>
          <w:p w14:paraId="1B10E718" w14:textId="353D5065"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shd w:val="clear" w:color="000000" w:fill="A8D08D"/>
            <w:vAlign w:val="center"/>
            <w:hideMark/>
          </w:tcPr>
          <w:p w14:paraId="727E4581" w14:textId="5B32A2BC"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970" w:type="dxa"/>
            <w:shd w:val="clear" w:color="000000" w:fill="A8D08D"/>
            <w:vAlign w:val="center"/>
            <w:hideMark/>
          </w:tcPr>
          <w:p w14:paraId="713D5222" w14:textId="6C0A1B6F"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ED1295" w:rsidRPr="00EF2F18" w14:paraId="7799442C" w14:textId="77777777" w:rsidTr="00AE4263">
        <w:trPr>
          <w:trHeight w:val="324"/>
        </w:trPr>
        <w:tc>
          <w:tcPr>
            <w:tcW w:w="3671" w:type="dxa"/>
            <w:shd w:val="clear" w:color="000000" w:fill="FFFFFF"/>
            <w:vAlign w:val="center"/>
            <w:hideMark/>
          </w:tcPr>
          <w:p w14:paraId="79EC163F"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480" w:type="dxa"/>
            <w:shd w:val="clear" w:color="000000" w:fill="FFFFFF"/>
            <w:vAlign w:val="center"/>
            <w:hideMark/>
          </w:tcPr>
          <w:p w14:paraId="711E75C1" w14:textId="77777777" w:rsidR="00ED1295" w:rsidRPr="00EF2F18" w:rsidRDefault="00ED1295"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0404-560-0004-411</w:t>
            </w:r>
          </w:p>
        </w:tc>
        <w:tc>
          <w:tcPr>
            <w:tcW w:w="2114" w:type="dxa"/>
            <w:shd w:val="clear" w:color="000000" w:fill="FFFFFF"/>
            <w:vAlign w:val="center"/>
            <w:hideMark/>
          </w:tcPr>
          <w:p w14:paraId="4A619147" w14:textId="77777777" w:rsidR="00ED1295" w:rsidRPr="00EF2F18" w:rsidRDefault="00ED1295"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30" w:type="dxa"/>
            <w:shd w:val="clear" w:color="000000" w:fill="FFFFFF"/>
            <w:vAlign w:val="center"/>
            <w:hideMark/>
          </w:tcPr>
          <w:p w14:paraId="1C0F20F8" w14:textId="77777777" w:rsidR="00ED1295" w:rsidRPr="00EF2F18" w:rsidRDefault="00ED1295"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970" w:type="dxa"/>
            <w:shd w:val="clear" w:color="000000" w:fill="FFFFFF"/>
            <w:vAlign w:val="center"/>
            <w:hideMark/>
          </w:tcPr>
          <w:p w14:paraId="0B708B36" w14:textId="77777777" w:rsidR="00ED1295" w:rsidRPr="00EF2F18" w:rsidRDefault="00ED1295"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4DD9369B" w14:textId="77777777" w:rsidR="007D7243" w:rsidRPr="00EF2F18" w:rsidRDefault="007D7243" w:rsidP="007D7243">
      <w:pPr>
        <w:spacing w:after="0"/>
        <w:rPr>
          <w:lang w:val="sr-Cyrl-RS"/>
        </w:rPr>
      </w:pP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129"/>
        <w:gridCol w:w="1384"/>
        <w:gridCol w:w="1182"/>
        <w:gridCol w:w="1691"/>
        <w:gridCol w:w="1340"/>
        <w:gridCol w:w="1284"/>
        <w:gridCol w:w="1350"/>
        <w:gridCol w:w="1440"/>
      </w:tblGrid>
      <w:tr w:rsidR="007D7243" w:rsidRPr="00EF2F18" w14:paraId="6B3955D5" w14:textId="77777777" w:rsidTr="00ED1295">
        <w:trPr>
          <w:trHeight w:val="696"/>
        </w:trPr>
        <w:tc>
          <w:tcPr>
            <w:tcW w:w="2695" w:type="dxa"/>
            <w:vMerge w:val="restart"/>
            <w:shd w:val="clear" w:color="000000" w:fill="FFF2CC"/>
            <w:hideMark/>
          </w:tcPr>
          <w:p w14:paraId="2110C46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29" w:type="dxa"/>
            <w:vMerge w:val="restart"/>
            <w:shd w:val="clear" w:color="000000" w:fill="FFF2CC"/>
            <w:hideMark/>
          </w:tcPr>
          <w:p w14:paraId="1B4C8DE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84" w:type="dxa"/>
            <w:vMerge w:val="restart"/>
            <w:shd w:val="clear" w:color="000000" w:fill="FFF2CC"/>
            <w:hideMark/>
          </w:tcPr>
          <w:p w14:paraId="62ED680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48BCD7D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0FB04FC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79F08F5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74" w:type="dxa"/>
            <w:gridSpan w:val="3"/>
            <w:shd w:val="clear" w:color="000000" w:fill="FFF2CC"/>
            <w:hideMark/>
          </w:tcPr>
          <w:p w14:paraId="1CB873A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ED1295" w:rsidRPr="00EF2F18" w14:paraId="08C5D352" w14:textId="77777777" w:rsidTr="00ED1295">
        <w:trPr>
          <w:trHeight w:val="324"/>
        </w:trPr>
        <w:tc>
          <w:tcPr>
            <w:tcW w:w="2695" w:type="dxa"/>
            <w:vMerge/>
            <w:hideMark/>
          </w:tcPr>
          <w:p w14:paraId="119EC4DE"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129" w:type="dxa"/>
            <w:vMerge/>
            <w:hideMark/>
          </w:tcPr>
          <w:p w14:paraId="12F32F20"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384" w:type="dxa"/>
            <w:vMerge/>
            <w:hideMark/>
          </w:tcPr>
          <w:p w14:paraId="16639420"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182" w:type="dxa"/>
            <w:vMerge/>
            <w:hideMark/>
          </w:tcPr>
          <w:p w14:paraId="05365DA1"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691" w:type="dxa"/>
            <w:vMerge/>
            <w:hideMark/>
          </w:tcPr>
          <w:p w14:paraId="11B2A057"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340" w:type="dxa"/>
            <w:vMerge/>
            <w:hideMark/>
          </w:tcPr>
          <w:p w14:paraId="0CBDDB96" w14:textId="77777777" w:rsidR="00ED1295" w:rsidRPr="00EF2F18" w:rsidRDefault="00ED1295" w:rsidP="00752CA0">
            <w:pPr>
              <w:spacing w:after="0"/>
              <w:rPr>
                <w:rFonts w:eastAsia="Times New Roman" w:cs="Times New Roman"/>
                <w:color w:val="000000"/>
                <w:sz w:val="20"/>
                <w:szCs w:val="20"/>
                <w:lang w:val="sr-Cyrl-RS" w:eastAsia="sr-Cyrl-RS"/>
              </w:rPr>
            </w:pPr>
          </w:p>
        </w:tc>
        <w:tc>
          <w:tcPr>
            <w:tcW w:w="1284" w:type="dxa"/>
            <w:shd w:val="clear" w:color="000000" w:fill="FFF2CC"/>
            <w:hideMark/>
          </w:tcPr>
          <w:p w14:paraId="414A5D8D" w14:textId="5ACB61A4"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350" w:type="dxa"/>
            <w:shd w:val="clear" w:color="000000" w:fill="FFF2CC"/>
            <w:hideMark/>
          </w:tcPr>
          <w:p w14:paraId="5CF3B0F4" w14:textId="476DB535"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440" w:type="dxa"/>
            <w:shd w:val="clear" w:color="000000" w:fill="FFF2CC"/>
            <w:hideMark/>
          </w:tcPr>
          <w:p w14:paraId="0BD86C77" w14:textId="56CD89EB" w:rsidR="00ED1295" w:rsidRPr="00EF2F18" w:rsidRDefault="00ED1295"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ED1295" w:rsidRPr="00EF2F18" w14:paraId="35FE1161" w14:textId="77777777" w:rsidTr="00ED1295">
        <w:trPr>
          <w:trHeight w:val="1332"/>
        </w:trPr>
        <w:tc>
          <w:tcPr>
            <w:tcW w:w="2695" w:type="dxa"/>
            <w:hideMark/>
          </w:tcPr>
          <w:p w14:paraId="2848AC35" w14:textId="23724546"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1.1.2.1. Усвајање подзаконских прописа за Закон о стратешкој процени утицаја на животну средину који садржи одредбе у вези са климатским променама </w:t>
            </w:r>
          </w:p>
        </w:tc>
        <w:tc>
          <w:tcPr>
            <w:tcW w:w="1129" w:type="dxa"/>
            <w:hideMark/>
          </w:tcPr>
          <w:p w14:paraId="7D8BD21E"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p w14:paraId="64125506" w14:textId="77777777" w:rsidR="00ED1295" w:rsidRPr="00EF2F18" w:rsidRDefault="00ED1295" w:rsidP="00752CA0">
            <w:pPr>
              <w:spacing w:after="0"/>
              <w:rPr>
                <w:rFonts w:eastAsia="Times New Roman" w:cs="Times New Roman"/>
                <w:color w:val="000000"/>
                <w:sz w:val="20"/>
                <w:szCs w:val="20"/>
                <w:lang w:val="sr-Cyrl-RS" w:eastAsia="sr-Cyrl-RS"/>
              </w:rPr>
            </w:pPr>
          </w:p>
          <w:p w14:paraId="070348AC" w14:textId="273564F3" w:rsidR="00ED1295" w:rsidRPr="00EF2F18" w:rsidRDefault="00ED1295" w:rsidP="00752CA0">
            <w:pPr>
              <w:spacing w:after="0"/>
              <w:rPr>
                <w:rFonts w:eastAsia="Times New Roman" w:cs="Times New Roman"/>
                <w:color w:val="C00000"/>
                <w:sz w:val="20"/>
                <w:szCs w:val="20"/>
                <w:lang w:val="sr-Cyrl-RS" w:eastAsia="sr-Cyrl-RS"/>
              </w:rPr>
            </w:pPr>
          </w:p>
        </w:tc>
        <w:tc>
          <w:tcPr>
            <w:tcW w:w="1384" w:type="dxa"/>
            <w:hideMark/>
          </w:tcPr>
          <w:p w14:paraId="240792AD"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 МПШВ, МГСИ, АЗЖС</w:t>
            </w:r>
          </w:p>
        </w:tc>
        <w:tc>
          <w:tcPr>
            <w:tcW w:w="1182" w:type="dxa"/>
            <w:hideMark/>
          </w:tcPr>
          <w:p w14:paraId="5192C66C" w14:textId="5C646D11" w:rsidR="00ED1295" w:rsidRPr="00EF2F18" w:rsidRDefault="00EA492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w:t>
            </w:r>
            <w:r w:rsidR="001C3645" w:rsidRPr="00EF2F18">
              <w:rPr>
                <w:rFonts w:eastAsia="Times New Roman" w:cs="Times New Roman"/>
                <w:color w:val="000000"/>
                <w:sz w:val="20"/>
                <w:szCs w:val="20"/>
                <w:lang w:val="sr-Cyrl-RS" w:eastAsia="sr-Cyrl-RS"/>
              </w:rPr>
              <w:t>.квартал 2026</w:t>
            </w:r>
          </w:p>
        </w:tc>
        <w:tc>
          <w:tcPr>
            <w:tcW w:w="1691" w:type="dxa"/>
            <w:hideMark/>
          </w:tcPr>
          <w:p w14:paraId="06D2F355"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65CDAC0A" w14:textId="77777777" w:rsidR="00ED1295" w:rsidRPr="00EF2F18" w:rsidRDefault="00ED1295"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1284" w:type="dxa"/>
          </w:tcPr>
          <w:p w14:paraId="2D143CD6" w14:textId="641CCC7F" w:rsidR="00ED1295" w:rsidRPr="00EF2F18" w:rsidRDefault="00ED1295" w:rsidP="00752CA0">
            <w:pPr>
              <w:spacing w:after="0"/>
              <w:jc w:val="right"/>
              <w:rPr>
                <w:rFonts w:eastAsia="Times New Roman" w:cs="Times New Roman"/>
                <w:color w:val="000000"/>
                <w:sz w:val="20"/>
                <w:szCs w:val="20"/>
                <w:lang w:val="sr-Cyrl-RS" w:eastAsia="sr-Cyrl-RS"/>
              </w:rPr>
            </w:pPr>
          </w:p>
        </w:tc>
        <w:tc>
          <w:tcPr>
            <w:tcW w:w="1350" w:type="dxa"/>
          </w:tcPr>
          <w:p w14:paraId="7C6E99C2" w14:textId="3E1FC6DC" w:rsidR="00ED1295" w:rsidRPr="00EF2F18" w:rsidRDefault="00ED1295" w:rsidP="00752CA0">
            <w:pPr>
              <w:spacing w:after="0"/>
              <w:jc w:val="right"/>
              <w:rPr>
                <w:rFonts w:eastAsia="Times New Roman" w:cs="Times New Roman"/>
                <w:color w:val="000000"/>
                <w:sz w:val="20"/>
                <w:szCs w:val="20"/>
                <w:lang w:val="sr-Cyrl-RS" w:eastAsia="sr-Cyrl-RS"/>
              </w:rPr>
            </w:pPr>
          </w:p>
        </w:tc>
        <w:tc>
          <w:tcPr>
            <w:tcW w:w="1440" w:type="dxa"/>
          </w:tcPr>
          <w:p w14:paraId="3A0D9446" w14:textId="2AD4BB3C" w:rsidR="00ED1295" w:rsidRPr="00EF2F18" w:rsidRDefault="00ED1295" w:rsidP="00752CA0">
            <w:pPr>
              <w:spacing w:after="0"/>
              <w:jc w:val="right"/>
              <w:rPr>
                <w:rFonts w:eastAsia="Times New Roman" w:cs="Times New Roman"/>
                <w:color w:val="000000"/>
                <w:sz w:val="20"/>
                <w:szCs w:val="20"/>
                <w:lang w:val="sr-Cyrl-RS" w:eastAsia="sr-Cyrl-RS"/>
              </w:rPr>
            </w:pPr>
          </w:p>
        </w:tc>
      </w:tr>
      <w:tr w:rsidR="00ED1295" w:rsidRPr="00EF2F18" w14:paraId="719E8B3D" w14:textId="77777777" w:rsidTr="00ED1295">
        <w:trPr>
          <w:trHeight w:val="1332"/>
        </w:trPr>
        <w:tc>
          <w:tcPr>
            <w:tcW w:w="2695" w:type="dxa"/>
            <w:hideMark/>
          </w:tcPr>
          <w:p w14:paraId="6EED88CF" w14:textId="77777777" w:rsidR="00ED1295" w:rsidRPr="00EF2F18" w:rsidRDefault="00ED1295" w:rsidP="00752CA0">
            <w:pPr>
              <w:spacing w:after="0"/>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 xml:space="preserve">1.1.2.2. Усвајање подзаконских прописа за Закон о процени утицаја на животну средину који садржи одредбе у вези са климатским променама </w:t>
            </w:r>
          </w:p>
        </w:tc>
        <w:tc>
          <w:tcPr>
            <w:tcW w:w="1129" w:type="dxa"/>
            <w:hideMark/>
          </w:tcPr>
          <w:p w14:paraId="29A64D7C" w14:textId="77777777" w:rsidR="00ED1295" w:rsidRPr="00EF2F18" w:rsidRDefault="00ED1295" w:rsidP="00752CA0">
            <w:pPr>
              <w:spacing w:after="0"/>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МЗЖС</w:t>
            </w:r>
          </w:p>
        </w:tc>
        <w:tc>
          <w:tcPr>
            <w:tcW w:w="1384" w:type="dxa"/>
            <w:hideMark/>
          </w:tcPr>
          <w:p w14:paraId="6BF75141" w14:textId="77777777" w:rsidR="00ED1295" w:rsidRPr="00EF2F18" w:rsidRDefault="00ED1295" w:rsidP="00752CA0">
            <w:pPr>
              <w:spacing w:after="0"/>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МРЕ, МПШВ, МГСИ, АЗЖС</w:t>
            </w:r>
          </w:p>
        </w:tc>
        <w:tc>
          <w:tcPr>
            <w:tcW w:w="1182" w:type="dxa"/>
            <w:hideMark/>
          </w:tcPr>
          <w:p w14:paraId="09F52832" w14:textId="13B91918" w:rsidR="00ED1295" w:rsidRPr="00EF2F18" w:rsidRDefault="001C3645" w:rsidP="00752CA0">
            <w:pPr>
              <w:spacing w:after="0"/>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3</w:t>
            </w:r>
            <w:r w:rsidR="00ED1295" w:rsidRPr="00EF2F18">
              <w:rPr>
                <w:rFonts w:eastAsia="Times New Roman" w:cs="Times New Roman"/>
                <w:color w:val="000000" w:themeColor="text1"/>
                <w:sz w:val="20"/>
                <w:szCs w:val="20"/>
                <w:lang w:val="sr-Cyrl-RS" w:eastAsia="sr-Cyrl-RS"/>
              </w:rPr>
              <w:t>. квартал 2026.</w:t>
            </w:r>
          </w:p>
        </w:tc>
        <w:tc>
          <w:tcPr>
            <w:tcW w:w="1691" w:type="dxa"/>
            <w:hideMark/>
          </w:tcPr>
          <w:p w14:paraId="1D13CA20" w14:textId="77777777" w:rsidR="00ED1295" w:rsidRPr="00EF2F18" w:rsidRDefault="00ED1295" w:rsidP="00752CA0">
            <w:pPr>
              <w:spacing w:after="0"/>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Буџетска средства/редовна издвајања</w:t>
            </w:r>
          </w:p>
        </w:tc>
        <w:tc>
          <w:tcPr>
            <w:tcW w:w="1340" w:type="dxa"/>
            <w:hideMark/>
          </w:tcPr>
          <w:p w14:paraId="1B3DFDCD" w14:textId="77777777" w:rsidR="00ED1295" w:rsidRPr="00EF2F18" w:rsidRDefault="00ED1295" w:rsidP="00752CA0">
            <w:pPr>
              <w:spacing w:after="0"/>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0404-560-0004-411</w:t>
            </w:r>
          </w:p>
        </w:tc>
        <w:tc>
          <w:tcPr>
            <w:tcW w:w="1284" w:type="dxa"/>
          </w:tcPr>
          <w:p w14:paraId="5858E869" w14:textId="75A356A0" w:rsidR="00ED1295" w:rsidRPr="00EF2F18" w:rsidRDefault="00ED1295" w:rsidP="00752CA0">
            <w:pPr>
              <w:spacing w:after="0"/>
              <w:jc w:val="right"/>
              <w:rPr>
                <w:rFonts w:eastAsia="Times New Roman" w:cs="Times New Roman"/>
                <w:color w:val="000000"/>
                <w:sz w:val="20"/>
                <w:szCs w:val="20"/>
                <w:lang w:val="sr-Cyrl-RS" w:eastAsia="sr-Cyrl-RS"/>
              </w:rPr>
            </w:pPr>
          </w:p>
        </w:tc>
        <w:tc>
          <w:tcPr>
            <w:tcW w:w="1350" w:type="dxa"/>
          </w:tcPr>
          <w:p w14:paraId="65D8EEC4" w14:textId="22F394E2" w:rsidR="00ED1295" w:rsidRPr="00EF2F18" w:rsidRDefault="00ED1295" w:rsidP="00752CA0">
            <w:pPr>
              <w:spacing w:after="0"/>
              <w:jc w:val="right"/>
              <w:rPr>
                <w:rFonts w:eastAsia="Times New Roman" w:cs="Times New Roman"/>
                <w:color w:val="000000"/>
                <w:sz w:val="20"/>
                <w:szCs w:val="20"/>
                <w:lang w:val="sr-Cyrl-RS" w:eastAsia="sr-Cyrl-RS"/>
              </w:rPr>
            </w:pPr>
          </w:p>
        </w:tc>
        <w:tc>
          <w:tcPr>
            <w:tcW w:w="1440" w:type="dxa"/>
          </w:tcPr>
          <w:p w14:paraId="4E4CC140" w14:textId="46396564" w:rsidR="00ED1295" w:rsidRPr="00EF2F18" w:rsidRDefault="00ED1295" w:rsidP="00752CA0">
            <w:pPr>
              <w:spacing w:after="0"/>
              <w:jc w:val="right"/>
              <w:rPr>
                <w:rFonts w:eastAsia="Times New Roman" w:cs="Times New Roman"/>
                <w:color w:val="000000"/>
                <w:sz w:val="20"/>
                <w:szCs w:val="20"/>
                <w:lang w:val="sr-Cyrl-RS" w:eastAsia="sr-Cyrl-RS"/>
              </w:rPr>
            </w:pPr>
          </w:p>
        </w:tc>
      </w:tr>
    </w:tbl>
    <w:p w14:paraId="6A509EF0" w14:textId="77777777" w:rsidR="007D7243" w:rsidRPr="00EF2F18" w:rsidRDefault="007D7243" w:rsidP="007D7243">
      <w:pPr>
        <w:spacing w:after="0"/>
        <w:rPr>
          <w:lang w:val="sr-Cyrl-RS"/>
        </w:rPr>
      </w:pPr>
    </w:p>
    <w:p w14:paraId="31EE6017" w14:textId="77777777" w:rsidR="007D7243" w:rsidRPr="00EF2F18" w:rsidRDefault="007D7243" w:rsidP="007D7243">
      <w:pPr>
        <w:tabs>
          <w:tab w:val="left" w:pos="1940"/>
        </w:tabs>
        <w:spacing w:after="0"/>
        <w:rPr>
          <w:rFonts w:cs="Times New Roman"/>
          <w:sz w:val="20"/>
          <w:szCs w:val="20"/>
          <w:lang w:val="sr-Cyrl-RS"/>
        </w:rPr>
      </w:pPr>
    </w:p>
    <w:tbl>
      <w:tblPr>
        <w:tblW w:w="484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44"/>
        <w:gridCol w:w="1416"/>
        <w:gridCol w:w="1432"/>
        <w:gridCol w:w="1109"/>
        <w:gridCol w:w="1074"/>
        <w:gridCol w:w="1686"/>
        <w:gridCol w:w="1169"/>
        <w:gridCol w:w="1169"/>
        <w:gridCol w:w="985"/>
      </w:tblGrid>
      <w:tr w:rsidR="007D7243" w:rsidRPr="00EF2F18" w14:paraId="28719875" w14:textId="77777777" w:rsidTr="006766AB">
        <w:trPr>
          <w:trHeight w:val="336"/>
        </w:trPr>
        <w:tc>
          <w:tcPr>
            <w:tcW w:w="5000" w:type="pct"/>
            <w:gridSpan w:val="9"/>
            <w:shd w:val="clear" w:color="000000" w:fill="F7CAAC"/>
            <w:vAlign w:val="center"/>
            <w:hideMark/>
          </w:tcPr>
          <w:p w14:paraId="20E91259"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 xml:space="preserve">Мера 1.1.3: Унапређење националног система за израду инвентара емисија </w:t>
            </w:r>
            <w:r w:rsidRPr="00EF2F18">
              <w:rPr>
                <w:rFonts w:eastAsia="Times New Roman" w:cs="Times New Roman"/>
                <w:b/>
                <w:bCs/>
                <w:i/>
                <w:iCs/>
                <w:color w:val="000000"/>
                <w:sz w:val="20"/>
                <w:szCs w:val="20"/>
                <w:lang w:val="sr-Cyrl-RS" w:eastAsia="sr-Cyrl-RS"/>
              </w:rPr>
              <w:t>GHG</w:t>
            </w:r>
          </w:p>
        </w:tc>
      </w:tr>
      <w:tr w:rsidR="007D7243" w:rsidRPr="00EF2F18" w14:paraId="78A0129F" w14:textId="77777777" w:rsidTr="006766AB">
        <w:trPr>
          <w:trHeight w:val="336"/>
        </w:trPr>
        <w:tc>
          <w:tcPr>
            <w:tcW w:w="5000" w:type="pct"/>
            <w:gridSpan w:val="9"/>
            <w:shd w:val="clear" w:color="000000" w:fill="F7CAAC"/>
            <w:vAlign w:val="center"/>
            <w:hideMark/>
          </w:tcPr>
          <w:p w14:paraId="28F275DB"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Агенција за заштиту животне средине</w:t>
            </w:r>
          </w:p>
        </w:tc>
      </w:tr>
      <w:tr w:rsidR="007D7243" w:rsidRPr="00EF2F18" w14:paraId="4589C395" w14:textId="77777777" w:rsidTr="006766AB">
        <w:trPr>
          <w:trHeight w:val="336"/>
        </w:trPr>
        <w:tc>
          <w:tcPr>
            <w:tcW w:w="2784" w:type="pct"/>
            <w:gridSpan w:val="4"/>
            <w:shd w:val="clear" w:color="000000" w:fill="F7CAAC"/>
            <w:vAlign w:val="center"/>
            <w:hideMark/>
          </w:tcPr>
          <w:p w14:paraId="2FF74337" w14:textId="52023002"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ED1295"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2216" w:type="pct"/>
            <w:gridSpan w:val="5"/>
            <w:shd w:val="clear" w:color="000000" w:fill="F7CAAC"/>
            <w:vAlign w:val="center"/>
            <w:hideMark/>
          </w:tcPr>
          <w:p w14:paraId="3BDA6CB9" w14:textId="2B72E849"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Тип мере:</w:t>
            </w:r>
            <w:r w:rsidR="00FA7222" w:rsidRPr="00EF2F18">
              <w:rPr>
                <w:rFonts w:eastAsia="Times New Roman" w:cs="Times New Roman"/>
                <w:sz w:val="20"/>
                <w:szCs w:val="20"/>
                <w:lang w:val="sr-Cyrl-RS" w:eastAsia="sr-Cyrl-RS"/>
              </w:rPr>
              <w:t xml:space="preserve"> </w:t>
            </w:r>
            <w:r w:rsidRPr="00EF2F18">
              <w:rPr>
                <w:rFonts w:eastAsia="Times New Roman" w:cs="Times New Roman"/>
                <w:sz w:val="20"/>
                <w:szCs w:val="20"/>
                <w:lang w:val="sr-Cyrl-RS" w:eastAsia="sr-Cyrl-RS"/>
              </w:rPr>
              <w:t>организационо-управљачка-институционална</w:t>
            </w:r>
          </w:p>
        </w:tc>
      </w:tr>
      <w:tr w:rsidR="007D7243" w:rsidRPr="00EF2F18" w14:paraId="19E7B7D0" w14:textId="77777777" w:rsidTr="006766AB">
        <w:trPr>
          <w:trHeight w:val="336"/>
        </w:trPr>
        <w:tc>
          <w:tcPr>
            <w:tcW w:w="2784" w:type="pct"/>
            <w:gridSpan w:val="4"/>
            <w:shd w:val="clear" w:color="000000" w:fill="F7CAAC"/>
            <w:vAlign w:val="center"/>
            <w:hideMark/>
          </w:tcPr>
          <w:p w14:paraId="512104D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2216" w:type="pct"/>
            <w:gridSpan w:val="5"/>
            <w:shd w:val="clear" w:color="000000" w:fill="F7CAAC"/>
            <w:vAlign w:val="center"/>
            <w:hideMark/>
          </w:tcPr>
          <w:p w14:paraId="7AC2B005"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6766AB" w:rsidRPr="00EF2F18" w14:paraId="52EA3410" w14:textId="77777777" w:rsidTr="006766AB">
        <w:trPr>
          <w:trHeight w:val="816"/>
        </w:trPr>
        <w:tc>
          <w:tcPr>
            <w:tcW w:w="1287" w:type="pct"/>
            <w:shd w:val="clear" w:color="000000" w:fill="D9D9D9"/>
            <w:hideMark/>
          </w:tcPr>
          <w:p w14:paraId="6983741C"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535" w:type="pct"/>
            <w:shd w:val="clear" w:color="000000" w:fill="D9D9D9"/>
            <w:hideMark/>
          </w:tcPr>
          <w:p w14:paraId="730A564C"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541" w:type="pct"/>
            <w:shd w:val="clear" w:color="000000" w:fill="D9D9D9"/>
            <w:hideMark/>
          </w:tcPr>
          <w:p w14:paraId="6E9D92AC"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829" w:type="pct"/>
            <w:gridSpan w:val="2"/>
            <w:shd w:val="clear" w:color="000000" w:fill="D9D9D9"/>
            <w:hideMark/>
          </w:tcPr>
          <w:p w14:paraId="2E10D46F"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635" w:type="pct"/>
            <w:shd w:val="clear" w:color="000000" w:fill="D9D9D9"/>
            <w:hideMark/>
          </w:tcPr>
          <w:p w14:paraId="56B27B38"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443" w:type="pct"/>
            <w:shd w:val="clear" w:color="000000" w:fill="D9D9D9"/>
            <w:hideMark/>
          </w:tcPr>
          <w:p w14:paraId="33C8E311"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443" w:type="pct"/>
            <w:shd w:val="clear" w:color="000000" w:fill="D9D9D9"/>
            <w:hideMark/>
          </w:tcPr>
          <w:p w14:paraId="3CBBDF0A"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286" w:type="pct"/>
            <w:shd w:val="clear" w:color="000000" w:fill="D9D9D9"/>
            <w:hideMark/>
          </w:tcPr>
          <w:p w14:paraId="0E6850A3"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6766AB" w:rsidRPr="00EF2F18" w14:paraId="22AB8527" w14:textId="77777777" w:rsidTr="006766AB">
        <w:trPr>
          <w:trHeight w:val="552"/>
        </w:trPr>
        <w:tc>
          <w:tcPr>
            <w:tcW w:w="1287" w:type="pct"/>
            <w:shd w:val="clear" w:color="000000" w:fill="FFFFFF"/>
            <w:vAlign w:val="center"/>
            <w:hideMark/>
          </w:tcPr>
          <w:p w14:paraId="7DDC2226" w14:textId="77777777" w:rsidR="006766AB" w:rsidRPr="00EF2F18" w:rsidRDefault="006766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Унапређен национални систем за израду инвентара емисија </w:t>
            </w:r>
            <w:r w:rsidRPr="00EF2F18">
              <w:rPr>
                <w:rFonts w:eastAsia="Times New Roman" w:cs="Times New Roman"/>
                <w:i/>
                <w:iCs/>
                <w:color w:val="000000"/>
                <w:sz w:val="20"/>
                <w:szCs w:val="20"/>
                <w:lang w:val="sr-Cyrl-RS" w:eastAsia="sr-Cyrl-RS"/>
              </w:rPr>
              <w:t>GHG</w:t>
            </w:r>
          </w:p>
        </w:tc>
        <w:tc>
          <w:tcPr>
            <w:tcW w:w="535" w:type="pct"/>
            <w:shd w:val="clear" w:color="000000" w:fill="FFFFFF"/>
            <w:vAlign w:val="center"/>
            <w:hideMark/>
          </w:tcPr>
          <w:p w14:paraId="011711EE"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 не</w:t>
            </w:r>
          </w:p>
        </w:tc>
        <w:tc>
          <w:tcPr>
            <w:tcW w:w="541" w:type="pct"/>
            <w:shd w:val="clear" w:color="000000" w:fill="FFFFFF"/>
            <w:vAlign w:val="center"/>
            <w:hideMark/>
          </w:tcPr>
          <w:p w14:paraId="6D179054"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АЗЖС</w:t>
            </w:r>
          </w:p>
        </w:tc>
        <w:tc>
          <w:tcPr>
            <w:tcW w:w="829" w:type="pct"/>
            <w:gridSpan w:val="2"/>
            <w:shd w:val="clear" w:color="000000" w:fill="FFFFFF"/>
            <w:vAlign w:val="center"/>
            <w:hideMark/>
          </w:tcPr>
          <w:p w14:paraId="3C08E18D"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635" w:type="pct"/>
            <w:shd w:val="clear" w:color="000000" w:fill="FFFFFF"/>
            <w:vAlign w:val="center"/>
            <w:hideMark/>
          </w:tcPr>
          <w:p w14:paraId="3BC1A6FB"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443" w:type="pct"/>
            <w:shd w:val="clear" w:color="000000" w:fill="FFFFFF"/>
            <w:vAlign w:val="center"/>
            <w:hideMark/>
          </w:tcPr>
          <w:p w14:paraId="330B925E"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443" w:type="pct"/>
            <w:shd w:val="clear" w:color="000000" w:fill="FFFFFF"/>
            <w:vAlign w:val="center"/>
            <w:hideMark/>
          </w:tcPr>
          <w:p w14:paraId="5DFAE5AE"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286" w:type="pct"/>
            <w:shd w:val="clear" w:color="000000" w:fill="FFFFFF"/>
            <w:vAlign w:val="center"/>
            <w:hideMark/>
          </w:tcPr>
          <w:p w14:paraId="7D4A33A0"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r>
    </w:tbl>
    <w:p w14:paraId="291FDEBE" w14:textId="77777777" w:rsidR="007D7243" w:rsidRPr="00EF2F18" w:rsidRDefault="007D7243" w:rsidP="007D7243">
      <w:pPr>
        <w:tabs>
          <w:tab w:val="left" w:pos="1940"/>
        </w:tabs>
        <w:spacing w:after="0"/>
        <w:rPr>
          <w:rFonts w:cs="Times New Roman"/>
          <w:sz w:val="20"/>
          <w:szCs w:val="20"/>
          <w:lang w:val="sr-Cyrl-RS"/>
        </w:rPr>
      </w:pPr>
    </w:p>
    <w:tbl>
      <w:tblPr>
        <w:tblW w:w="134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71"/>
        <w:gridCol w:w="2414"/>
        <w:gridCol w:w="2450"/>
        <w:gridCol w:w="2520"/>
        <w:gridCol w:w="2430"/>
      </w:tblGrid>
      <w:tr w:rsidR="007D7243" w:rsidRPr="00EF2F18" w14:paraId="1DD562BD" w14:textId="77777777" w:rsidTr="0044635A">
        <w:trPr>
          <w:trHeight w:val="420"/>
        </w:trPr>
        <w:tc>
          <w:tcPr>
            <w:tcW w:w="3671" w:type="dxa"/>
            <w:vMerge w:val="restart"/>
            <w:shd w:val="clear" w:color="000000" w:fill="A8D08D"/>
            <w:hideMark/>
          </w:tcPr>
          <w:p w14:paraId="46B0F3F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14" w:type="dxa"/>
            <w:vMerge w:val="restart"/>
            <w:shd w:val="clear" w:color="000000" w:fill="A8D08D"/>
            <w:hideMark/>
          </w:tcPr>
          <w:p w14:paraId="0D8D305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400" w:type="dxa"/>
            <w:gridSpan w:val="3"/>
            <w:shd w:val="clear" w:color="000000" w:fill="A8D08D"/>
            <w:hideMark/>
          </w:tcPr>
          <w:p w14:paraId="7C85387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44635A" w:rsidRPr="00EF2F18" w14:paraId="1CB64B3D" w14:textId="77777777" w:rsidTr="0044635A">
        <w:trPr>
          <w:trHeight w:val="336"/>
        </w:trPr>
        <w:tc>
          <w:tcPr>
            <w:tcW w:w="3671" w:type="dxa"/>
            <w:vMerge/>
            <w:vAlign w:val="center"/>
            <w:hideMark/>
          </w:tcPr>
          <w:p w14:paraId="1E39B737" w14:textId="77777777" w:rsidR="0044635A" w:rsidRPr="00EF2F18" w:rsidRDefault="0044635A" w:rsidP="00752CA0">
            <w:pPr>
              <w:spacing w:after="0"/>
              <w:rPr>
                <w:rFonts w:eastAsia="Times New Roman" w:cs="Times New Roman"/>
                <w:color w:val="000000"/>
                <w:sz w:val="20"/>
                <w:szCs w:val="20"/>
                <w:lang w:val="sr-Cyrl-RS" w:eastAsia="sr-Cyrl-RS"/>
              </w:rPr>
            </w:pPr>
          </w:p>
        </w:tc>
        <w:tc>
          <w:tcPr>
            <w:tcW w:w="2414" w:type="dxa"/>
            <w:vMerge/>
            <w:vAlign w:val="center"/>
            <w:hideMark/>
          </w:tcPr>
          <w:p w14:paraId="2736888E" w14:textId="77777777" w:rsidR="0044635A" w:rsidRPr="00EF2F18" w:rsidRDefault="0044635A" w:rsidP="00752CA0">
            <w:pPr>
              <w:spacing w:after="0"/>
              <w:rPr>
                <w:rFonts w:eastAsia="Times New Roman" w:cs="Times New Roman"/>
                <w:color w:val="000000"/>
                <w:sz w:val="20"/>
                <w:szCs w:val="20"/>
                <w:lang w:val="sr-Cyrl-RS" w:eastAsia="sr-Cyrl-RS"/>
              </w:rPr>
            </w:pPr>
          </w:p>
        </w:tc>
        <w:tc>
          <w:tcPr>
            <w:tcW w:w="2450" w:type="dxa"/>
            <w:shd w:val="clear" w:color="000000" w:fill="A8D08D"/>
            <w:vAlign w:val="center"/>
            <w:hideMark/>
          </w:tcPr>
          <w:p w14:paraId="0B1232BD" w14:textId="2630EA25"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520" w:type="dxa"/>
            <w:shd w:val="clear" w:color="000000" w:fill="A8D08D"/>
            <w:vAlign w:val="center"/>
            <w:hideMark/>
          </w:tcPr>
          <w:p w14:paraId="54313DEC" w14:textId="3D9344E4"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430" w:type="dxa"/>
            <w:shd w:val="clear" w:color="000000" w:fill="A8D08D"/>
            <w:vAlign w:val="center"/>
            <w:hideMark/>
          </w:tcPr>
          <w:p w14:paraId="00216898" w14:textId="55C6A230"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44635A" w:rsidRPr="00EF2F18" w14:paraId="0825C348" w14:textId="77777777" w:rsidTr="0044635A">
        <w:trPr>
          <w:trHeight w:val="324"/>
        </w:trPr>
        <w:tc>
          <w:tcPr>
            <w:tcW w:w="3671" w:type="dxa"/>
            <w:shd w:val="clear" w:color="000000" w:fill="FFFFFF"/>
            <w:vAlign w:val="center"/>
            <w:hideMark/>
          </w:tcPr>
          <w:p w14:paraId="18712999" w14:textId="77777777" w:rsidR="0044635A" w:rsidRPr="00EF2F18" w:rsidRDefault="0044635A" w:rsidP="00756A0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w:t>
            </w:r>
            <w:r w:rsidRPr="00EF2F18">
              <w:rPr>
                <w:rFonts w:eastAsia="Times New Roman" w:cs="Times New Roman"/>
                <w:color w:val="000000"/>
                <w:sz w:val="18"/>
                <w:szCs w:val="18"/>
                <w:lang w:val="sr-Cyrl-RS" w:eastAsia="sr-Cyrl-RS"/>
              </w:rPr>
              <w:t>АЗЖС)</w:t>
            </w:r>
          </w:p>
        </w:tc>
        <w:tc>
          <w:tcPr>
            <w:tcW w:w="2414" w:type="dxa"/>
            <w:shd w:val="clear" w:color="000000" w:fill="FFFFFF"/>
            <w:vAlign w:val="center"/>
          </w:tcPr>
          <w:p w14:paraId="48558A8E" w14:textId="0FCDC717" w:rsidR="0044635A" w:rsidRPr="00EF2F18" w:rsidRDefault="0044635A" w:rsidP="00756A0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0404-560-0010-423</w:t>
            </w:r>
          </w:p>
        </w:tc>
        <w:tc>
          <w:tcPr>
            <w:tcW w:w="2450" w:type="dxa"/>
            <w:shd w:val="clear" w:color="000000" w:fill="FFFFFF"/>
            <w:vAlign w:val="center"/>
            <w:hideMark/>
          </w:tcPr>
          <w:p w14:paraId="6DA5B317" w14:textId="77777777" w:rsidR="0044635A" w:rsidRPr="00EF2F18" w:rsidRDefault="0044635A" w:rsidP="00756A0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c>
          <w:tcPr>
            <w:tcW w:w="2520" w:type="dxa"/>
            <w:shd w:val="clear" w:color="000000" w:fill="FFFFFF"/>
            <w:vAlign w:val="center"/>
            <w:hideMark/>
          </w:tcPr>
          <w:p w14:paraId="08D45E10" w14:textId="5C55C93D" w:rsidR="0044635A" w:rsidRPr="00EF2F18" w:rsidRDefault="0044635A" w:rsidP="00756A0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w:t>
            </w:r>
          </w:p>
        </w:tc>
        <w:tc>
          <w:tcPr>
            <w:tcW w:w="2430" w:type="dxa"/>
            <w:shd w:val="clear" w:color="000000" w:fill="FFFFFF"/>
            <w:vAlign w:val="center"/>
            <w:hideMark/>
          </w:tcPr>
          <w:p w14:paraId="56294415" w14:textId="202BA665" w:rsidR="0044635A" w:rsidRPr="00EF2F18" w:rsidRDefault="0044635A" w:rsidP="00756A03">
            <w:pPr>
              <w:spacing w:after="0"/>
              <w:jc w:val="right"/>
              <w:rPr>
                <w:rFonts w:eastAsia="Times New Roman" w:cs="Times New Roman"/>
                <w:color w:val="000000"/>
                <w:sz w:val="20"/>
                <w:szCs w:val="20"/>
                <w:lang w:val="sr-Cyrl-RS" w:eastAsia="sr-Cyrl-RS"/>
              </w:rPr>
            </w:pPr>
          </w:p>
        </w:tc>
      </w:tr>
    </w:tbl>
    <w:p w14:paraId="2BC158FB" w14:textId="77777777" w:rsidR="007D7243" w:rsidRPr="00EF2F18" w:rsidRDefault="007D7243" w:rsidP="007D7243">
      <w:pPr>
        <w:spacing w:after="0"/>
        <w:rPr>
          <w:rFonts w:cs="Times New Roman"/>
          <w:sz w:val="20"/>
          <w:szCs w:val="20"/>
          <w:lang w:val="sr-Cyrl-RS"/>
        </w:rPr>
      </w:pP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43"/>
        <w:gridCol w:w="1291"/>
        <w:gridCol w:w="1182"/>
        <w:gridCol w:w="1382"/>
        <w:gridCol w:w="1340"/>
        <w:gridCol w:w="1654"/>
        <w:gridCol w:w="1530"/>
        <w:gridCol w:w="1710"/>
      </w:tblGrid>
      <w:tr w:rsidR="007D7243" w:rsidRPr="00EF2F18" w14:paraId="2167BEBC" w14:textId="77777777" w:rsidTr="0028509C">
        <w:trPr>
          <w:trHeight w:val="759"/>
        </w:trPr>
        <w:tc>
          <w:tcPr>
            <w:tcW w:w="2263" w:type="dxa"/>
            <w:vMerge w:val="restart"/>
            <w:shd w:val="clear" w:color="000000" w:fill="FFF2CC"/>
            <w:hideMark/>
          </w:tcPr>
          <w:p w14:paraId="337F550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43" w:type="dxa"/>
            <w:vMerge w:val="restart"/>
            <w:shd w:val="clear" w:color="000000" w:fill="FFF2CC"/>
            <w:hideMark/>
          </w:tcPr>
          <w:p w14:paraId="36ED97B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91" w:type="dxa"/>
            <w:vMerge w:val="restart"/>
            <w:shd w:val="clear" w:color="000000" w:fill="FFF2CC"/>
            <w:hideMark/>
          </w:tcPr>
          <w:p w14:paraId="53E29E8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37E8605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82" w:type="dxa"/>
            <w:vMerge w:val="restart"/>
            <w:shd w:val="clear" w:color="000000" w:fill="FFF2CC"/>
            <w:hideMark/>
          </w:tcPr>
          <w:p w14:paraId="68C56F8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7955750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894" w:type="dxa"/>
            <w:gridSpan w:val="3"/>
            <w:shd w:val="clear" w:color="000000" w:fill="FFF2CC"/>
            <w:hideMark/>
          </w:tcPr>
          <w:p w14:paraId="5E774A3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28509C" w:rsidRPr="00EF2F18" w14:paraId="291C9460" w14:textId="77777777" w:rsidTr="0028509C">
        <w:trPr>
          <w:trHeight w:val="324"/>
        </w:trPr>
        <w:tc>
          <w:tcPr>
            <w:tcW w:w="2263" w:type="dxa"/>
            <w:vMerge/>
            <w:hideMark/>
          </w:tcPr>
          <w:p w14:paraId="240CEB18" w14:textId="77777777" w:rsidR="0028509C" w:rsidRPr="00EF2F18" w:rsidRDefault="0028509C" w:rsidP="00752CA0">
            <w:pPr>
              <w:spacing w:after="0"/>
              <w:rPr>
                <w:rFonts w:eastAsia="Times New Roman" w:cs="Times New Roman"/>
                <w:color w:val="000000"/>
                <w:sz w:val="20"/>
                <w:szCs w:val="20"/>
                <w:lang w:val="sr-Cyrl-RS" w:eastAsia="sr-Cyrl-RS"/>
              </w:rPr>
            </w:pPr>
          </w:p>
        </w:tc>
        <w:tc>
          <w:tcPr>
            <w:tcW w:w="1143" w:type="dxa"/>
            <w:vMerge/>
            <w:hideMark/>
          </w:tcPr>
          <w:p w14:paraId="1EA3C56C" w14:textId="77777777" w:rsidR="0028509C" w:rsidRPr="00EF2F18" w:rsidRDefault="0028509C" w:rsidP="00752CA0">
            <w:pPr>
              <w:spacing w:after="0"/>
              <w:rPr>
                <w:rFonts w:eastAsia="Times New Roman" w:cs="Times New Roman"/>
                <w:color w:val="000000"/>
                <w:sz w:val="20"/>
                <w:szCs w:val="20"/>
                <w:lang w:val="sr-Cyrl-RS" w:eastAsia="sr-Cyrl-RS"/>
              </w:rPr>
            </w:pPr>
          </w:p>
        </w:tc>
        <w:tc>
          <w:tcPr>
            <w:tcW w:w="1291" w:type="dxa"/>
            <w:vMerge/>
            <w:hideMark/>
          </w:tcPr>
          <w:p w14:paraId="0BD98193" w14:textId="77777777" w:rsidR="0028509C" w:rsidRPr="00EF2F18" w:rsidRDefault="0028509C" w:rsidP="00752CA0">
            <w:pPr>
              <w:spacing w:after="0"/>
              <w:rPr>
                <w:rFonts w:eastAsia="Times New Roman" w:cs="Times New Roman"/>
                <w:color w:val="000000"/>
                <w:sz w:val="20"/>
                <w:szCs w:val="20"/>
                <w:lang w:val="sr-Cyrl-RS" w:eastAsia="sr-Cyrl-RS"/>
              </w:rPr>
            </w:pPr>
          </w:p>
        </w:tc>
        <w:tc>
          <w:tcPr>
            <w:tcW w:w="1182" w:type="dxa"/>
            <w:vMerge/>
            <w:hideMark/>
          </w:tcPr>
          <w:p w14:paraId="324CA6DD" w14:textId="77777777" w:rsidR="0028509C" w:rsidRPr="00EF2F18" w:rsidRDefault="0028509C" w:rsidP="00752CA0">
            <w:pPr>
              <w:spacing w:after="0"/>
              <w:rPr>
                <w:rFonts w:eastAsia="Times New Roman" w:cs="Times New Roman"/>
                <w:color w:val="000000"/>
                <w:sz w:val="20"/>
                <w:szCs w:val="20"/>
                <w:lang w:val="sr-Cyrl-RS" w:eastAsia="sr-Cyrl-RS"/>
              </w:rPr>
            </w:pPr>
          </w:p>
        </w:tc>
        <w:tc>
          <w:tcPr>
            <w:tcW w:w="1382" w:type="dxa"/>
            <w:vMerge/>
            <w:hideMark/>
          </w:tcPr>
          <w:p w14:paraId="41AA4A8C" w14:textId="77777777" w:rsidR="0028509C" w:rsidRPr="00EF2F18" w:rsidRDefault="0028509C" w:rsidP="00752CA0">
            <w:pPr>
              <w:spacing w:after="0"/>
              <w:rPr>
                <w:rFonts w:eastAsia="Times New Roman" w:cs="Times New Roman"/>
                <w:color w:val="000000"/>
                <w:sz w:val="20"/>
                <w:szCs w:val="20"/>
                <w:lang w:val="sr-Cyrl-RS" w:eastAsia="sr-Cyrl-RS"/>
              </w:rPr>
            </w:pPr>
          </w:p>
        </w:tc>
        <w:tc>
          <w:tcPr>
            <w:tcW w:w="1340" w:type="dxa"/>
            <w:vMerge/>
            <w:hideMark/>
          </w:tcPr>
          <w:p w14:paraId="3CFAA3AB" w14:textId="77777777" w:rsidR="0028509C" w:rsidRPr="00EF2F18" w:rsidRDefault="0028509C" w:rsidP="00752CA0">
            <w:pPr>
              <w:spacing w:after="0"/>
              <w:rPr>
                <w:rFonts w:eastAsia="Times New Roman" w:cs="Times New Roman"/>
                <w:color w:val="000000"/>
                <w:sz w:val="20"/>
                <w:szCs w:val="20"/>
                <w:lang w:val="sr-Cyrl-RS" w:eastAsia="sr-Cyrl-RS"/>
              </w:rPr>
            </w:pPr>
          </w:p>
        </w:tc>
        <w:tc>
          <w:tcPr>
            <w:tcW w:w="1654" w:type="dxa"/>
            <w:shd w:val="clear" w:color="000000" w:fill="FFF2CC"/>
            <w:hideMark/>
          </w:tcPr>
          <w:p w14:paraId="34401630" w14:textId="4942B2F0" w:rsidR="0028509C" w:rsidRPr="00EF2F18" w:rsidRDefault="0028509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530" w:type="dxa"/>
            <w:shd w:val="clear" w:color="000000" w:fill="FFF2CC"/>
            <w:hideMark/>
          </w:tcPr>
          <w:p w14:paraId="19A011AC" w14:textId="1ED7721D" w:rsidR="0028509C" w:rsidRPr="00EF2F18" w:rsidRDefault="0028509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710" w:type="dxa"/>
            <w:shd w:val="clear" w:color="000000" w:fill="FFF2CC"/>
            <w:hideMark/>
          </w:tcPr>
          <w:p w14:paraId="2CD2ABFB" w14:textId="4A417C9B" w:rsidR="0028509C" w:rsidRPr="00EF2F18" w:rsidRDefault="0028509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28509C" w:rsidRPr="00EF2F18" w14:paraId="7F80174F" w14:textId="77777777" w:rsidTr="0028509C">
        <w:trPr>
          <w:trHeight w:val="1380"/>
        </w:trPr>
        <w:tc>
          <w:tcPr>
            <w:tcW w:w="2263" w:type="dxa"/>
            <w:hideMark/>
          </w:tcPr>
          <w:p w14:paraId="4874F8B2"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1.1.3.1.</w:t>
            </w:r>
            <w:r w:rsidRPr="00EF2F18">
              <w:rPr>
                <w:rFonts w:eastAsia="Times New Roman" w:cs="Times New Roman"/>
                <w:color w:val="000000"/>
                <w:szCs w:val="24"/>
                <w:lang w:val="sr-Cyrl-RS" w:eastAsia="sr-Cyrl-RS"/>
              </w:rPr>
              <w:t xml:space="preserve"> У</w:t>
            </w:r>
            <w:r w:rsidRPr="00EF2F18">
              <w:rPr>
                <w:rFonts w:eastAsia="Times New Roman" w:cs="Times New Roman"/>
                <w:color w:val="000000"/>
                <w:sz w:val="20"/>
                <w:szCs w:val="20"/>
                <w:lang w:val="sr-Cyrl-RS" w:eastAsia="sr-Cyrl-RS"/>
              </w:rPr>
              <w:t xml:space="preserve">напређење постојећег Националног система за израду инвентара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у складу са захтевима IPCC</w:t>
            </w:r>
          </w:p>
        </w:tc>
        <w:tc>
          <w:tcPr>
            <w:tcW w:w="1143" w:type="dxa"/>
            <w:hideMark/>
          </w:tcPr>
          <w:p w14:paraId="4A75ABFD"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w:t>
            </w:r>
          </w:p>
        </w:tc>
        <w:tc>
          <w:tcPr>
            <w:tcW w:w="1291" w:type="dxa"/>
            <w:hideMark/>
          </w:tcPr>
          <w:p w14:paraId="1F53F542"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МРЕ, МПШВ, РЗС, ЈЛС</w:t>
            </w:r>
          </w:p>
        </w:tc>
        <w:tc>
          <w:tcPr>
            <w:tcW w:w="1182" w:type="dxa"/>
            <w:hideMark/>
          </w:tcPr>
          <w:p w14:paraId="72F4B17A"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82" w:type="dxa"/>
            <w:hideMark/>
          </w:tcPr>
          <w:p w14:paraId="3049809E"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hideMark/>
          </w:tcPr>
          <w:p w14:paraId="0ED80B70" w14:textId="0473C8DA"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0404-560-0010-423</w:t>
            </w:r>
          </w:p>
        </w:tc>
        <w:tc>
          <w:tcPr>
            <w:tcW w:w="1654" w:type="dxa"/>
            <w:hideMark/>
          </w:tcPr>
          <w:p w14:paraId="31B46EA6" w14:textId="77777777" w:rsidR="0028509C" w:rsidRPr="00EF2F18" w:rsidRDefault="002850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c>
          <w:tcPr>
            <w:tcW w:w="1530" w:type="dxa"/>
            <w:hideMark/>
          </w:tcPr>
          <w:p w14:paraId="246FDA38" w14:textId="77777777" w:rsidR="0028509C" w:rsidRPr="00EF2F18" w:rsidRDefault="002850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p w14:paraId="72059325" w14:textId="3B0FDDBF" w:rsidR="0028509C" w:rsidRPr="00EF2F18" w:rsidRDefault="0028509C" w:rsidP="00752CA0">
            <w:pPr>
              <w:spacing w:after="0"/>
              <w:jc w:val="right"/>
              <w:rPr>
                <w:rFonts w:eastAsia="Times New Roman" w:cs="Times New Roman"/>
                <w:color w:val="000000"/>
                <w:sz w:val="20"/>
                <w:szCs w:val="20"/>
                <w:lang w:val="sr-Cyrl-RS" w:eastAsia="sr-Cyrl-RS"/>
              </w:rPr>
            </w:pPr>
          </w:p>
        </w:tc>
        <w:tc>
          <w:tcPr>
            <w:tcW w:w="1710" w:type="dxa"/>
            <w:hideMark/>
          </w:tcPr>
          <w:p w14:paraId="5AEADF29" w14:textId="459B3EB1" w:rsidR="0028509C" w:rsidRPr="00EF2F18" w:rsidRDefault="0028509C" w:rsidP="00752CA0">
            <w:pPr>
              <w:spacing w:after="0"/>
              <w:jc w:val="right"/>
              <w:rPr>
                <w:rFonts w:eastAsia="Times New Roman" w:cs="Times New Roman"/>
                <w:color w:val="000000"/>
                <w:sz w:val="20"/>
                <w:szCs w:val="20"/>
                <w:lang w:val="sr-Cyrl-RS" w:eastAsia="sr-Cyrl-RS"/>
              </w:rPr>
            </w:pPr>
          </w:p>
        </w:tc>
      </w:tr>
      <w:tr w:rsidR="0028509C" w:rsidRPr="00EF2F18" w14:paraId="2E1FEE92" w14:textId="77777777" w:rsidTr="0028509C">
        <w:trPr>
          <w:trHeight w:val="1596"/>
        </w:trPr>
        <w:tc>
          <w:tcPr>
            <w:tcW w:w="2263" w:type="dxa"/>
            <w:hideMark/>
          </w:tcPr>
          <w:p w14:paraId="700B35B8"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1.1.3.2. Израда анализе квалитета података о емисијама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у сектору коришћења земљишта, промене намена коришћења земљишта и шумарства (LULUCF)</w:t>
            </w:r>
          </w:p>
        </w:tc>
        <w:tc>
          <w:tcPr>
            <w:tcW w:w="1143" w:type="dxa"/>
            <w:hideMark/>
          </w:tcPr>
          <w:p w14:paraId="7918D624"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w:t>
            </w:r>
          </w:p>
        </w:tc>
        <w:tc>
          <w:tcPr>
            <w:tcW w:w="1291" w:type="dxa"/>
            <w:hideMark/>
          </w:tcPr>
          <w:p w14:paraId="48DC1E7C"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МПШВ, РЗС, ЈЛС</w:t>
            </w:r>
          </w:p>
        </w:tc>
        <w:tc>
          <w:tcPr>
            <w:tcW w:w="1182" w:type="dxa"/>
            <w:hideMark/>
          </w:tcPr>
          <w:p w14:paraId="3F8A5B2E" w14:textId="6D38D8F0"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382" w:type="dxa"/>
            <w:hideMark/>
          </w:tcPr>
          <w:p w14:paraId="39D8CF46" w14:textId="77777777"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hideMark/>
          </w:tcPr>
          <w:p w14:paraId="4D9488EB" w14:textId="6A7E8B20" w:rsidR="0028509C" w:rsidRPr="00EF2F18" w:rsidRDefault="0028509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0404-560-0010-423</w:t>
            </w:r>
          </w:p>
        </w:tc>
        <w:tc>
          <w:tcPr>
            <w:tcW w:w="1654" w:type="dxa"/>
            <w:hideMark/>
          </w:tcPr>
          <w:p w14:paraId="2B119C05" w14:textId="77777777" w:rsidR="0028509C" w:rsidRPr="00EF2F18" w:rsidRDefault="002850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530" w:type="dxa"/>
            <w:hideMark/>
          </w:tcPr>
          <w:p w14:paraId="6F54B8C8" w14:textId="0271F633" w:rsidR="0028509C" w:rsidRPr="00EF2F18" w:rsidRDefault="00F80A16" w:rsidP="00752CA0">
            <w:pPr>
              <w:spacing w:after="0"/>
              <w:jc w:val="right"/>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2</w:t>
            </w:r>
            <w:r w:rsidR="0028509C" w:rsidRPr="00EF2F18">
              <w:rPr>
                <w:rFonts w:eastAsia="Times New Roman" w:cs="Times New Roman"/>
                <w:color w:val="000000" w:themeColor="text1"/>
                <w:sz w:val="20"/>
                <w:szCs w:val="20"/>
                <w:lang w:val="sr-Cyrl-RS" w:eastAsia="sr-Cyrl-RS"/>
              </w:rPr>
              <w:t>.000</w:t>
            </w:r>
          </w:p>
          <w:p w14:paraId="5D9B334C" w14:textId="186A24BB" w:rsidR="0028509C" w:rsidRPr="00EF2F18" w:rsidRDefault="0028509C" w:rsidP="00752CA0">
            <w:pPr>
              <w:spacing w:after="0"/>
              <w:jc w:val="right"/>
              <w:rPr>
                <w:rFonts w:eastAsia="Times New Roman" w:cs="Times New Roman"/>
                <w:color w:val="000000"/>
                <w:sz w:val="20"/>
                <w:szCs w:val="20"/>
                <w:lang w:val="sr-Cyrl-RS" w:eastAsia="sr-Cyrl-RS"/>
              </w:rPr>
            </w:pPr>
          </w:p>
        </w:tc>
        <w:tc>
          <w:tcPr>
            <w:tcW w:w="1710" w:type="dxa"/>
            <w:hideMark/>
          </w:tcPr>
          <w:p w14:paraId="260BCF64" w14:textId="496E704B" w:rsidR="0028509C" w:rsidRPr="00EF2F18" w:rsidRDefault="0028509C" w:rsidP="00752CA0">
            <w:pPr>
              <w:spacing w:after="0"/>
              <w:jc w:val="right"/>
              <w:rPr>
                <w:rFonts w:eastAsia="Times New Roman" w:cs="Times New Roman"/>
                <w:color w:val="000000"/>
                <w:sz w:val="20"/>
                <w:szCs w:val="20"/>
                <w:lang w:val="sr-Cyrl-RS" w:eastAsia="sr-Cyrl-RS"/>
              </w:rPr>
            </w:pPr>
          </w:p>
        </w:tc>
      </w:tr>
    </w:tbl>
    <w:p w14:paraId="1A101635" w14:textId="3EFE16B9" w:rsidR="007D7243" w:rsidRPr="00EF2F18" w:rsidRDefault="00625841" w:rsidP="007D7243">
      <w:pPr>
        <w:tabs>
          <w:tab w:val="left" w:pos="1940"/>
        </w:tabs>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7630A772" w14:textId="77777777" w:rsidR="007D7243" w:rsidRPr="00EF2F18" w:rsidRDefault="007D7243" w:rsidP="007D7243">
      <w:pPr>
        <w:tabs>
          <w:tab w:val="left" w:pos="1940"/>
        </w:tabs>
        <w:spacing w:after="0"/>
        <w:rPr>
          <w:rFonts w:cs="Times New Roman"/>
          <w:sz w:val="20"/>
          <w:szCs w:val="20"/>
          <w:lang w:val="sr-Cyrl-RS"/>
        </w:rPr>
      </w:pPr>
    </w:p>
    <w:tbl>
      <w:tblPr>
        <w:tblW w:w="134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080"/>
        <w:gridCol w:w="1280"/>
        <w:gridCol w:w="1280"/>
        <w:gridCol w:w="1000"/>
        <w:gridCol w:w="1000"/>
        <w:gridCol w:w="1520"/>
        <w:gridCol w:w="1265"/>
        <w:gridCol w:w="1530"/>
        <w:gridCol w:w="1530"/>
      </w:tblGrid>
      <w:tr w:rsidR="007D7243" w:rsidRPr="00EF2F18" w14:paraId="3E016FE3" w14:textId="77777777" w:rsidTr="0028509C">
        <w:trPr>
          <w:trHeight w:val="336"/>
        </w:trPr>
        <w:tc>
          <w:tcPr>
            <w:tcW w:w="13485" w:type="dxa"/>
            <w:gridSpan w:val="9"/>
            <w:shd w:val="clear" w:color="000000" w:fill="F7CAAC"/>
            <w:vAlign w:val="center"/>
            <w:hideMark/>
          </w:tcPr>
          <w:p w14:paraId="4394C975" w14:textId="77777777" w:rsidR="007D7243" w:rsidRPr="00EF2F18" w:rsidRDefault="007D7243" w:rsidP="00752CA0">
            <w:pPr>
              <w:spacing w:after="0"/>
              <w:rPr>
                <w:rFonts w:eastAsia="Times New Roman" w:cs="Times New Roman"/>
                <w:b/>
                <w:bCs/>
                <w:color w:val="000000"/>
                <w:sz w:val="20"/>
                <w:szCs w:val="20"/>
                <w:lang w:val="sr-Cyrl-RS" w:eastAsia="sr-Cyrl-RS"/>
              </w:rPr>
            </w:pPr>
            <w:bookmarkStart w:id="157" w:name="_Hlk199792023"/>
            <w:r w:rsidRPr="00EF2F18">
              <w:rPr>
                <w:rFonts w:eastAsia="Times New Roman" w:cs="Times New Roman"/>
                <w:b/>
                <w:bCs/>
                <w:color w:val="000000"/>
                <w:sz w:val="20"/>
                <w:szCs w:val="20"/>
                <w:lang w:val="sr-Cyrl-RS" w:eastAsia="sr-Cyrl-RS"/>
              </w:rPr>
              <w:t xml:space="preserve">Мера 1.1.4: Обезбеђивање и јачање постојећих капацитета за подстицање нискоугљеничног развоја </w:t>
            </w:r>
          </w:p>
        </w:tc>
      </w:tr>
      <w:tr w:rsidR="007D7243" w:rsidRPr="00EF2F18" w14:paraId="7C3DD080" w14:textId="77777777" w:rsidTr="0028509C">
        <w:trPr>
          <w:trHeight w:val="336"/>
        </w:trPr>
        <w:tc>
          <w:tcPr>
            <w:tcW w:w="13485" w:type="dxa"/>
            <w:gridSpan w:val="9"/>
            <w:shd w:val="clear" w:color="000000" w:fill="F7CAAC"/>
            <w:vAlign w:val="center"/>
            <w:hideMark/>
          </w:tcPr>
          <w:p w14:paraId="582E1DE5" w14:textId="137436C8"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 заштиту животне средине</w:t>
            </w:r>
            <w:r w:rsidR="007E27BA" w:rsidRPr="00EF2F18">
              <w:rPr>
                <w:lang w:val="sr-Cyrl-RS"/>
              </w:rPr>
              <w:t xml:space="preserve"> </w:t>
            </w:r>
          </w:p>
        </w:tc>
      </w:tr>
      <w:tr w:rsidR="007D7243" w:rsidRPr="00EF2F18" w14:paraId="1FECCC8D" w14:textId="77777777" w:rsidTr="0028509C">
        <w:trPr>
          <w:trHeight w:val="336"/>
        </w:trPr>
        <w:tc>
          <w:tcPr>
            <w:tcW w:w="6640" w:type="dxa"/>
            <w:gridSpan w:val="4"/>
            <w:shd w:val="clear" w:color="000000" w:fill="F7CAAC"/>
            <w:vAlign w:val="center"/>
            <w:hideMark/>
          </w:tcPr>
          <w:p w14:paraId="6A74B76F" w14:textId="6EBCE2DE"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44635A"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845" w:type="dxa"/>
            <w:gridSpan w:val="5"/>
            <w:shd w:val="clear" w:color="000000" w:fill="F7CAAC"/>
            <w:vAlign w:val="center"/>
            <w:hideMark/>
          </w:tcPr>
          <w:p w14:paraId="1AADFDC2"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Тип мере: информативно-едукативна</w:t>
            </w:r>
          </w:p>
        </w:tc>
      </w:tr>
      <w:tr w:rsidR="007D7243" w:rsidRPr="00EF2F18" w14:paraId="18570676" w14:textId="77777777" w:rsidTr="0028509C">
        <w:trPr>
          <w:trHeight w:val="336"/>
        </w:trPr>
        <w:tc>
          <w:tcPr>
            <w:tcW w:w="6640" w:type="dxa"/>
            <w:gridSpan w:val="4"/>
            <w:shd w:val="clear" w:color="000000" w:fill="F7CAAC"/>
            <w:vAlign w:val="center"/>
            <w:hideMark/>
          </w:tcPr>
          <w:p w14:paraId="5A70053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845" w:type="dxa"/>
            <w:gridSpan w:val="5"/>
            <w:shd w:val="clear" w:color="000000" w:fill="F7CAAC"/>
            <w:vAlign w:val="center"/>
            <w:hideMark/>
          </w:tcPr>
          <w:p w14:paraId="1685714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44635A" w:rsidRPr="00EF2F18" w14:paraId="71819E72" w14:textId="77777777" w:rsidTr="0044635A">
        <w:trPr>
          <w:trHeight w:val="816"/>
        </w:trPr>
        <w:tc>
          <w:tcPr>
            <w:tcW w:w="3080" w:type="dxa"/>
            <w:shd w:val="clear" w:color="000000" w:fill="D9D9D9"/>
            <w:hideMark/>
          </w:tcPr>
          <w:p w14:paraId="5D9F9EA7"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4F9658F0"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55DEDB15"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6187A40C"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2BAD3E05"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65" w:type="dxa"/>
            <w:shd w:val="clear" w:color="000000" w:fill="D9D9D9"/>
            <w:hideMark/>
          </w:tcPr>
          <w:p w14:paraId="67E2FE57"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shd w:val="clear" w:color="000000" w:fill="D9D9D9"/>
            <w:hideMark/>
          </w:tcPr>
          <w:p w14:paraId="0A4430F1"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shd w:val="clear" w:color="000000" w:fill="D9D9D9"/>
            <w:hideMark/>
          </w:tcPr>
          <w:p w14:paraId="75163F27"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44635A" w:rsidRPr="00EF2F18" w14:paraId="43B75239" w14:textId="77777777" w:rsidTr="0044635A">
        <w:trPr>
          <w:trHeight w:val="552"/>
        </w:trPr>
        <w:tc>
          <w:tcPr>
            <w:tcW w:w="3080" w:type="dxa"/>
            <w:shd w:val="clear" w:color="000000" w:fill="FFFFFF"/>
            <w:hideMark/>
          </w:tcPr>
          <w:p w14:paraId="14A86F2E"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спроведених обука, укупно</w:t>
            </w:r>
          </w:p>
        </w:tc>
        <w:tc>
          <w:tcPr>
            <w:tcW w:w="1280" w:type="dxa"/>
            <w:shd w:val="clear" w:color="000000" w:fill="FFFFFF"/>
            <w:hideMark/>
          </w:tcPr>
          <w:p w14:paraId="1CBE039E"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280" w:type="dxa"/>
            <w:shd w:val="clear" w:color="000000" w:fill="FFFFFF"/>
            <w:hideMark/>
          </w:tcPr>
          <w:p w14:paraId="409D77F3"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МЗЖС</w:t>
            </w:r>
          </w:p>
        </w:tc>
        <w:tc>
          <w:tcPr>
            <w:tcW w:w="2000" w:type="dxa"/>
            <w:gridSpan w:val="2"/>
            <w:shd w:val="clear" w:color="000000" w:fill="FFFFFF"/>
            <w:hideMark/>
          </w:tcPr>
          <w:p w14:paraId="740F7DEA"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w:t>
            </w:r>
          </w:p>
        </w:tc>
        <w:tc>
          <w:tcPr>
            <w:tcW w:w="1520" w:type="dxa"/>
            <w:shd w:val="clear" w:color="000000" w:fill="FFFFFF"/>
            <w:hideMark/>
          </w:tcPr>
          <w:p w14:paraId="115E75A5"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65" w:type="dxa"/>
            <w:shd w:val="clear" w:color="000000" w:fill="FFFFFF"/>
            <w:hideMark/>
          </w:tcPr>
          <w:p w14:paraId="2EC4E3AF"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w:t>
            </w:r>
          </w:p>
        </w:tc>
        <w:tc>
          <w:tcPr>
            <w:tcW w:w="1530" w:type="dxa"/>
            <w:shd w:val="clear" w:color="000000" w:fill="FFFFFF"/>
            <w:hideMark/>
          </w:tcPr>
          <w:p w14:paraId="525F8637"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w:t>
            </w:r>
          </w:p>
        </w:tc>
        <w:tc>
          <w:tcPr>
            <w:tcW w:w="1530" w:type="dxa"/>
            <w:shd w:val="clear" w:color="000000" w:fill="FFFFFF"/>
            <w:hideMark/>
          </w:tcPr>
          <w:p w14:paraId="35ACDD6C"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w:t>
            </w:r>
          </w:p>
        </w:tc>
      </w:tr>
      <w:tr w:rsidR="0044635A" w:rsidRPr="00EF2F18" w14:paraId="0E8D4C46" w14:textId="77777777" w:rsidTr="0044635A">
        <w:trPr>
          <w:trHeight w:val="552"/>
        </w:trPr>
        <w:tc>
          <w:tcPr>
            <w:tcW w:w="3080" w:type="dxa"/>
            <w:shd w:val="clear" w:color="000000" w:fill="FFFFFF"/>
            <w:hideMark/>
          </w:tcPr>
          <w:p w14:paraId="6ADA3450"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службеника који су похађали акредитовану обуку, годишње</w:t>
            </w:r>
          </w:p>
        </w:tc>
        <w:tc>
          <w:tcPr>
            <w:tcW w:w="1280" w:type="dxa"/>
            <w:shd w:val="clear" w:color="000000" w:fill="FFFFFF"/>
            <w:hideMark/>
          </w:tcPr>
          <w:p w14:paraId="5015D893"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280" w:type="dxa"/>
            <w:shd w:val="clear" w:color="000000" w:fill="FFFFFF"/>
            <w:hideMark/>
          </w:tcPr>
          <w:p w14:paraId="71224E73"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НАЈУ</w:t>
            </w:r>
          </w:p>
        </w:tc>
        <w:tc>
          <w:tcPr>
            <w:tcW w:w="2000" w:type="dxa"/>
            <w:gridSpan w:val="2"/>
            <w:shd w:val="clear" w:color="000000" w:fill="FFFFFF"/>
            <w:hideMark/>
          </w:tcPr>
          <w:p w14:paraId="4C2883D1"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w:t>
            </w:r>
          </w:p>
        </w:tc>
        <w:tc>
          <w:tcPr>
            <w:tcW w:w="1520" w:type="dxa"/>
            <w:shd w:val="clear" w:color="000000" w:fill="FFFFFF"/>
            <w:hideMark/>
          </w:tcPr>
          <w:p w14:paraId="4955D473"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265" w:type="dxa"/>
            <w:shd w:val="clear" w:color="000000" w:fill="FFFFFF"/>
            <w:hideMark/>
          </w:tcPr>
          <w:p w14:paraId="081ACAF7"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c>
          <w:tcPr>
            <w:tcW w:w="1530" w:type="dxa"/>
            <w:shd w:val="clear" w:color="000000" w:fill="FFFFFF"/>
            <w:hideMark/>
          </w:tcPr>
          <w:p w14:paraId="06E9195C"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c>
          <w:tcPr>
            <w:tcW w:w="1530" w:type="dxa"/>
            <w:shd w:val="clear" w:color="000000" w:fill="FFFFFF"/>
            <w:hideMark/>
          </w:tcPr>
          <w:p w14:paraId="377E97AB"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r>
    </w:tbl>
    <w:p w14:paraId="5DB3C20A" w14:textId="77777777" w:rsidR="007D7243" w:rsidRPr="00EF2F18" w:rsidRDefault="007D7243" w:rsidP="007D7243">
      <w:pPr>
        <w:spacing w:after="0"/>
        <w:rPr>
          <w:lang w:val="sr-Cyrl-RS"/>
        </w:rPr>
      </w:pPr>
    </w:p>
    <w:tbl>
      <w:tblPr>
        <w:tblW w:w="484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407"/>
        <w:gridCol w:w="2975"/>
        <w:gridCol w:w="2184"/>
        <w:gridCol w:w="2184"/>
        <w:gridCol w:w="1734"/>
      </w:tblGrid>
      <w:tr w:rsidR="007D7243" w:rsidRPr="00EF2F18" w14:paraId="0775F39A" w14:textId="77777777" w:rsidTr="006766AB">
        <w:trPr>
          <w:trHeight w:val="336"/>
        </w:trPr>
        <w:tc>
          <w:tcPr>
            <w:tcW w:w="1634" w:type="pct"/>
            <w:shd w:val="clear" w:color="000000" w:fill="A8D08D"/>
            <w:hideMark/>
          </w:tcPr>
          <w:p w14:paraId="5427E4B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Извор финансирања мере</w:t>
            </w:r>
          </w:p>
        </w:tc>
        <w:tc>
          <w:tcPr>
            <w:tcW w:w="1103" w:type="pct"/>
            <w:shd w:val="clear" w:color="000000" w:fill="A8D08D"/>
            <w:hideMark/>
          </w:tcPr>
          <w:p w14:paraId="197DBCE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2263" w:type="pct"/>
            <w:gridSpan w:val="3"/>
            <w:shd w:val="clear" w:color="000000" w:fill="A8D08D"/>
            <w:hideMark/>
          </w:tcPr>
          <w:p w14:paraId="07C40EBC" w14:textId="059CE0B3" w:rsidR="007D7243" w:rsidRPr="00EF2F18" w:rsidRDefault="00FA722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w:t>
            </w:r>
            <w:r w:rsidR="007D7243"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6766AB" w:rsidRPr="00EF2F18" w14:paraId="75AED9E0" w14:textId="77777777" w:rsidTr="006766AB">
        <w:trPr>
          <w:trHeight w:val="336"/>
        </w:trPr>
        <w:tc>
          <w:tcPr>
            <w:tcW w:w="1634" w:type="pct"/>
            <w:shd w:val="clear" w:color="000000" w:fill="A8D08D"/>
            <w:hideMark/>
          </w:tcPr>
          <w:p w14:paraId="530F225A"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03" w:type="pct"/>
            <w:shd w:val="clear" w:color="000000" w:fill="A8D08D"/>
            <w:hideMark/>
          </w:tcPr>
          <w:p w14:paraId="06A5B482"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810" w:type="pct"/>
            <w:shd w:val="clear" w:color="000000" w:fill="A8D08D"/>
            <w:hideMark/>
          </w:tcPr>
          <w:p w14:paraId="190C39A6" w14:textId="7ACBD29B"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810" w:type="pct"/>
            <w:shd w:val="clear" w:color="000000" w:fill="A8D08D"/>
            <w:hideMark/>
          </w:tcPr>
          <w:p w14:paraId="050C5107" w14:textId="676AE49E"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644" w:type="pct"/>
            <w:shd w:val="clear" w:color="000000" w:fill="A8D08D"/>
            <w:hideMark/>
          </w:tcPr>
          <w:p w14:paraId="448D241A" w14:textId="1ECDEC01"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6766AB" w:rsidRPr="00EF2F18" w14:paraId="16716A55" w14:textId="77777777" w:rsidTr="006766AB">
        <w:trPr>
          <w:trHeight w:val="324"/>
        </w:trPr>
        <w:tc>
          <w:tcPr>
            <w:tcW w:w="1634" w:type="pct"/>
            <w:shd w:val="clear" w:color="000000" w:fill="FFFFFF"/>
            <w:vAlign w:val="center"/>
            <w:hideMark/>
          </w:tcPr>
          <w:p w14:paraId="4FE95DCF" w14:textId="2F5A1A4D" w:rsidR="006766AB" w:rsidRPr="00EF2F18" w:rsidRDefault="006766A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Донаторска средства*</w:t>
            </w:r>
          </w:p>
        </w:tc>
        <w:tc>
          <w:tcPr>
            <w:tcW w:w="1103" w:type="pct"/>
            <w:shd w:val="clear" w:color="000000" w:fill="FFFFFF"/>
            <w:vAlign w:val="center"/>
            <w:hideMark/>
          </w:tcPr>
          <w:p w14:paraId="46C0BCB8" w14:textId="77777777" w:rsidR="006766AB" w:rsidRPr="00EF2F18" w:rsidRDefault="006766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810" w:type="pct"/>
            <w:shd w:val="clear" w:color="000000" w:fill="FFFFFF"/>
            <w:vAlign w:val="center"/>
            <w:hideMark/>
          </w:tcPr>
          <w:p w14:paraId="1488088D" w14:textId="5B889D6F" w:rsidR="006766AB" w:rsidRPr="00EF2F18" w:rsidRDefault="00465A0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w:t>
            </w:r>
            <w:r w:rsidR="006766AB" w:rsidRPr="00EF2F18">
              <w:rPr>
                <w:rFonts w:eastAsia="Times New Roman" w:cs="Times New Roman"/>
                <w:color w:val="000000"/>
                <w:sz w:val="20"/>
                <w:szCs w:val="20"/>
                <w:lang w:val="sr-Cyrl-RS" w:eastAsia="sr-Cyrl-RS"/>
              </w:rPr>
              <w:t> </w:t>
            </w:r>
          </w:p>
        </w:tc>
        <w:tc>
          <w:tcPr>
            <w:tcW w:w="810" w:type="pct"/>
            <w:shd w:val="clear" w:color="000000" w:fill="FFFFFF"/>
            <w:vAlign w:val="center"/>
            <w:hideMark/>
          </w:tcPr>
          <w:p w14:paraId="41BCCBD6" w14:textId="77777777" w:rsidR="006766AB" w:rsidRPr="00EF2F18" w:rsidRDefault="006766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644" w:type="pct"/>
            <w:shd w:val="clear" w:color="000000" w:fill="FFFFFF"/>
            <w:vAlign w:val="center"/>
            <w:hideMark/>
          </w:tcPr>
          <w:p w14:paraId="02E49694" w14:textId="77777777" w:rsidR="006766AB" w:rsidRPr="00EF2F18" w:rsidRDefault="006766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6766AB" w:rsidRPr="00EF2F18" w14:paraId="72563442" w14:textId="77777777" w:rsidTr="006766AB">
        <w:trPr>
          <w:trHeight w:val="324"/>
        </w:trPr>
        <w:tc>
          <w:tcPr>
            <w:tcW w:w="1634" w:type="pct"/>
            <w:shd w:val="clear" w:color="000000" w:fill="FFFFFF"/>
            <w:vAlign w:val="center"/>
          </w:tcPr>
          <w:p w14:paraId="18090C0F" w14:textId="77777777" w:rsidR="006766AB" w:rsidRPr="00EF2F18" w:rsidRDefault="006766AB" w:rsidP="00752CA0">
            <w:pPr>
              <w:spacing w:after="0"/>
              <w:rPr>
                <w:rFonts w:eastAsia="Times New Roman" w:cs="Times New Roman"/>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103" w:type="pct"/>
            <w:shd w:val="clear" w:color="000000" w:fill="FFFFFF"/>
            <w:vAlign w:val="center"/>
          </w:tcPr>
          <w:p w14:paraId="2E206960" w14:textId="77777777" w:rsidR="006766AB" w:rsidRPr="00EF2F18" w:rsidRDefault="006766AB" w:rsidP="00752CA0">
            <w:pPr>
              <w:spacing w:after="0"/>
              <w:rPr>
                <w:rFonts w:eastAsia="Times New Roman" w:cs="Times New Roman"/>
                <w:color w:val="000000"/>
                <w:sz w:val="20"/>
                <w:szCs w:val="20"/>
                <w:lang w:val="sr-Cyrl-RS" w:eastAsia="sr-Cyrl-RS"/>
              </w:rPr>
            </w:pPr>
          </w:p>
        </w:tc>
        <w:tc>
          <w:tcPr>
            <w:tcW w:w="810" w:type="pct"/>
            <w:shd w:val="clear" w:color="000000" w:fill="FFFFFF"/>
            <w:vAlign w:val="center"/>
          </w:tcPr>
          <w:p w14:paraId="7A62815B" w14:textId="77777777" w:rsidR="006766AB" w:rsidRPr="00EF2F18" w:rsidRDefault="006766AB" w:rsidP="00752CA0">
            <w:pPr>
              <w:spacing w:after="0"/>
              <w:jc w:val="right"/>
              <w:rPr>
                <w:rFonts w:eastAsia="Times New Roman" w:cs="Times New Roman"/>
                <w:color w:val="000000"/>
                <w:sz w:val="20"/>
                <w:szCs w:val="20"/>
                <w:lang w:val="sr-Cyrl-RS" w:eastAsia="sr-Cyrl-RS"/>
              </w:rPr>
            </w:pPr>
          </w:p>
        </w:tc>
        <w:tc>
          <w:tcPr>
            <w:tcW w:w="810" w:type="pct"/>
            <w:shd w:val="clear" w:color="000000" w:fill="FFFFFF"/>
            <w:vAlign w:val="center"/>
          </w:tcPr>
          <w:p w14:paraId="300985CF" w14:textId="77777777" w:rsidR="006766AB" w:rsidRPr="00EF2F18" w:rsidRDefault="006766AB" w:rsidP="00752CA0">
            <w:pPr>
              <w:spacing w:after="0"/>
              <w:jc w:val="right"/>
              <w:rPr>
                <w:rFonts w:eastAsia="Times New Roman" w:cs="Times New Roman"/>
                <w:color w:val="000000"/>
                <w:sz w:val="20"/>
                <w:szCs w:val="20"/>
                <w:lang w:val="sr-Cyrl-RS" w:eastAsia="sr-Cyrl-RS"/>
              </w:rPr>
            </w:pPr>
          </w:p>
        </w:tc>
        <w:tc>
          <w:tcPr>
            <w:tcW w:w="644" w:type="pct"/>
            <w:shd w:val="clear" w:color="000000" w:fill="FFFFFF"/>
            <w:vAlign w:val="center"/>
          </w:tcPr>
          <w:p w14:paraId="785F1283" w14:textId="77777777" w:rsidR="006766AB" w:rsidRPr="00EF2F18" w:rsidRDefault="006766AB" w:rsidP="00752CA0">
            <w:pPr>
              <w:spacing w:after="0"/>
              <w:jc w:val="right"/>
              <w:rPr>
                <w:rFonts w:eastAsia="Times New Roman" w:cs="Times New Roman"/>
                <w:color w:val="000000"/>
                <w:sz w:val="20"/>
                <w:szCs w:val="20"/>
                <w:lang w:val="sr-Cyrl-RS" w:eastAsia="sr-Cyrl-RS"/>
              </w:rPr>
            </w:pPr>
          </w:p>
        </w:tc>
      </w:tr>
    </w:tbl>
    <w:p w14:paraId="701FADCD" w14:textId="77777777" w:rsidR="007D7243" w:rsidRPr="00EF2F18" w:rsidRDefault="007D7243" w:rsidP="007D7243">
      <w:pPr>
        <w:spacing w:after="0"/>
        <w:rPr>
          <w:rFonts w:cs="Times New Roman"/>
          <w:sz w:val="20"/>
          <w:szCs w:val="20"/>
          <w:lang w:val="sr-Cyrl-RS"/>
        </w:rPr>
      </w:pPr>
      <w:bookmarkStart w:id="158" w:name="_Hlk158579110"/>
    </w:p>
    <w:tbl>
      <w:tblPr>
        <w:tblW w:w="13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46"/>
        <w:gridCol w:w="1293"/>
        <w:gridCol w:w="1143"/>
        <w:gridCol w:w="2144"/>
        <w:gridCol w:w="1361"/>
        <w:gridCol w:w="1265"/>
        <w:gridCol w:w="1350"/>
        <w:gridCol w:w="1530"/>
        <w:gridCol w:w="18"/>
      </w:tblGrid>
      <w:tr w:rsidR="007D7243" w:rsidRPr="00EF2F18" w14:paraId="40969C56" w14:textId="77777777" w:rsidTr="0044635A">
        <w:trPr>
          <w:trHeight w:val="759"/>
        </w:trPr>
        <w:tc>
          <w:tcPr>
            <w:tcW w:w="2263" w:type="dxa"/>
            <w:vMerge w:val="restart"/>
            <w:shd w:val="clear" w:color="000000" w:fill="FFF2CC"/>
            <w:hideMark/>
          </w:tcPr>
          <w:p w14:paraId="0A5B8BFC"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146" w:type="dxa"/>
            <w:vMerge w:val="restart"/>
            <w:shd w:val="clear" w:color="000000" w:fill="FFF2CC"/>
            <w:hideMark/>
          </w:tcPr>
          <w:p w14:paraId="7515F56C"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93" w:type="dxa"/>
            <w:vMerge w:val="restart"/>
            <w:shd w:val="clear" w:color="000000" w:fill="FFF2CC"/>
            <w:hideMark/>
          </w:tcPr>
          <w:p w14:paraId="667516E2"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43" w:type="dxa"/>
            <w:vMerge w:val="restart"/>
            <w:shd w:val="clear" w:color="000000" w:fill="FFF2CC"/>
            <w:hideMark/>
          </w:tcPr>
          <w:p w14:paraId="34FBD69C"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2144" w:type="dxa"/>
            <w:vMerge w:val="restart"/>
            <w:shd w:val="clear" w:color="000000" w:fill="FFF2CC"/>
            <w:hideMark/>
          </w:tcPr>
          <w:p w14:paraId="3C64F7D6"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61" w:type="dxa"/>
            <w:vMerge w:val="restart"/>
            <w:shd w:val="clear" w:color="000000" w:fill="FFF2CC"/>
            <w:hideMark/>
          </w:tcPr>
          <w:p w14:paraId="0884AC6E"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63" w:type="dxa"/>
            <w:gridSpan w:val="4"/>
            <w:shd w:val="clear" w:color="000000" w:fill="FFF2CC"/>
            <w:hideMark/>
          </w:tcPr>
          <w:p w14:paraId="64D7A9B6" w14:textId="77777777" w:rsidR="007D7243" w:rsidRPr="00EF2F18" w:rsidRDefault="007D7243"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44635A" w:rsidRPr="00EF2F18" w14:paraId="7CCC9948" w14:textId="77777777" w:rsidTr="0044635A">
        <w:trPr>
          <w:gridAfter w:val="1"/>
          <w:wAfter w:w="18" w:type="dxa"/>
          <w:trHeight w:val="324"/>
        </w:trPr>
        <w:tc>
          <w:tcPr>
            <w:tcW w:w="2263" w:type="dxa"/>
            <w:vMerge/>
            <w:hideMark/>
          </w:tcPr>
          <w:p w14:paraId="6CF85453"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1146" w:type="dxa"/>
            <w:vMerge/>
            <w:hideMark/>
          </w:tcPr>
          <w:p w14:paraId="0DC7E021"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1293" w:type="dxa"/>
            <w:vMerge/>
            <w:hideMark/>
          </w:tcPr>
          <w:p w14:paraId="47EDFBB9"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1143" w:type="dxa"/>
            <w:vMerge/>
            <w:hideMark/>
          </w:tcPr>
          <w:p w14:paraId="0FDEC8B8"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2144" w:type="dxa"/>
            <w:vMerge/>
            <w:hideMark/>
          </w:tcPr>
          <w:p w14:paraId="70C6EC85"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1361" w:type="dxa"/>
            <w:vMerge/>
            <w:hideMark/>
          </w:tcPr>
          <w:p w14:paraId="1A6C9491"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1265" w:type="dxa"/>
            <w:shd w:val="clear" w:color="000000" w:fill="FFF2CC"/>
            <w:hideMark/>
          </w:tcPr>
          <w:p w14:paraId="6AB42E13" w14:textId="240ED2BA" w:rsidR="0044635A" w:rsidRPr="00EF2F18" w:rsidRDefault="0044635A"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1D588092" w14:textId="26A79EDC" w:rsidR="0044635A" w:rsidRPr="00EF2F18" w:rsidRDefault="0044635A"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530" w:type="dxa"/>
            <w:shd w:val="clear" w:color="000000" w:fill="FFF2CC"/>
            <w:hideMark/>
          </w:tcPr>
          <w:p w14:paraId="67492991" w14:textId="0602DEA2" w:rsidR="0044635A" w:rsidRPr="00EF2F18" w:rsidRDefault="0044635A" w:rsidP="00752CA0">
            <w:pPr>
              <w:spacing w:after="0"/>
              <w:ind w:hanging="144"/>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44635A" w:rsidRPr="00EF2F18" w14:paraId="093680AB" w14:textId="77777777" w:rsidTr="0044635A">
        <w:trPr>
          <w:gridAfter w:val="1"/>
          <w:wAfter w:w="18" w:type="dxa"/>
          <w:trHeight w:val="1404"/>
        </w:trPr>
        <w:tc>
          <w:tcPr>
            <w:tcW w:w="2263" w:type="dxa"/>
            <w:shd w:val="clear" w:color="000000" w:fill="FFFFFF"/>
            <w:hideMark/>
          </w:tcPr>
          <w:p w14:paraId="502157CA"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1.1.4.1. Унапређење програма обука запослених у органима и организацијама на свим нивоима за ублажавање климатских промена </w:t>
            </w:r>
          </w:p>
        </w:tc>
        <w:tc>
          <w:tcPr>
            <w:tcW w:w="1146" w:type="dxa"/>
            <w:hideMark/>
          </w:tcPr>
          <w:p w14:paraId="2A31CB4F" w14:textId="77777777" w:rsidR="0044635A" w:rsidRPr="00EF2F18" w:rsidRDefault="0044635A" w:rsidP="00752CA0">
            <w:pPr>
              <w:spacing w:after="0"/>
              <w:ind w:left="37" w:hanging="144"/>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93" w:type="dxa"/>
            <w:hideMark/>
          </w:tcPr>
          <w:p w14:paraId="535150E4" w14:textId="31DA1E4B"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МРЕ, МПШВ, РЗС, НАЈУ, ЈЛС</w:t>
            </w:r>
          </w:p>
        </w:tc>
        <w:tc>
          <w:tcPr>
            <w:tcW w:w="1143" w:type="dxa"/>
            <w:hideMark/>
          </w:tcPr>
          <w:p w14:paraId="02B1292C" w14:textId="1AD6F2E7" w:rsidR="0044635A" w:rsidRPr="00EF2F18" w:rsidRDefault="0044635A" w:rsidP="00752CA0">
            <w:pPr>
              <w:spacing w:after="0"/>
              <w:ind w:firstLine="48"/>
              <w:rPr>
                <w:rFonts w:eastAsia="Times New Roman" w:cs="Times New Roman"/>
                <w:sz w:val="20"/>
                <w:szCs w:val="20"/>
                <w:lang w:val="sr-Cyrl-RS" w:eastAsia="sr-Cyrl-RS"/>
              </w:rPr>
            </w:pPr>
            <w:r w:rsidRPr="00EF2F18">
              <w:rPr>
                <w:rFonts w:eastAsia="Times New Roman" w:cs="Times New Roman"/>
                <w:sz w:val="20"/>
                <w:szCs w:val="20"/>
                <w:lang w:val="sr-Cyrl-RS" w:eastAsia="sr-Cyrl-RS"/>
              </w:rPr>
              <w:t>4.квартал</w:t>
            </w:r>
          </w:p>
          <w:p w14:paraId="719927B2" w14:textId="5BC07E11" w:rsidR="0044635A" w:rsidRPr="00EF2F18" w:rsidRDefault="0044635A" w:rsidP="00752CA0">
            <w:pPr>
              <w:spacing w:after="0"/>
              <w:ind w:firstLine="48"/>
              <w:rPr>
                <w:rFonts w:eastAsia="Times New Roman" w:cs="Times New Roman"/>
                <w:color w:val="000000"/>
                <w:sz w:val="20"/>
                <w:szCs w:val="20"/>
                <w:highlight w:val="yellow"/>
                <w:lang w:val="sr-Cyrl-RS" w:eastAsia="sr-Cyrl-RS"/>
              </w:rPr>
            </w:pPr>
            <w:r w:rsidRPr="00EF2F18">
              <w:rPr>
                <w:rFonts w:eastAsia="Times New Roman" w:cs="Times New Roman"/>
                <w:sz w:val="20"/>
                <w:szCs w:val="20"/>
                <w:lang w:val="sr-Cyrl-RS" w:eastAsia="sr-Cyrl-RS"/>
              </w:rPr>
              <w:t>2026</w:t>
            </w:r>
          </w:p>
        </w:tc>
        <w:tc>
          <w:tcPr>
            <w:tcW w:w="2144" w:type="dxa"/>
            <w:hideMark/>
          </w:tcPr>
          <w:p w14:paraId="1B94D4F2" w14:textId="04BDEEFF" w:rsidR="0044635A" w:rsidRPr="00EF2F18" w:rsidRDefault="0044635A" w:rsidP="00752CA0">
            <w:pPr>
              <w:spacing w:after="0"/>
              <w:ind w:firstLine="5"/>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61" w:type="dxa"/>
            <w:hideMark/>
          </w:tcPr>
          <w:p w14:paraId="37BA165D" w14:textId="77777777" w:rsidR="0044635A" w:rsidRPr="00EF2F18" w:rsidRDefault="0044635A" w:rsidP="00752CA0">
            <w:pPr>
              <w:spacing w:after="0"/>
              <w:ind w:hanging="144"/>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highlight w:val="yellow"/>
                <w:lang w:val="sr-Cyrl-RS" w:eastAsia="sr-Cyrl-RS"/>
              </w:rPr>
              <w:t> </w:t>
            </w:r>
          </w:p>
        </w:tc>
        <w:tc>
          <w:tcPr>
            <w:tcW w:w="1265" w:type="dxa"/>
          </w:tcPr>
          <w:p w14:paraId="7C14AB06" w14:textId="4A2D21B9" w:rsidR="0044635A" w:rsidRPr="00EF2F18" w:rsidRDefault="0044635A" w:rsidP="00752CA0">
            <w:pPr>
              <w:spacing w:after="0"/>
              <w:ind w:hanging="144"/>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w:t>
            </w:r>
          </w:p>
        </w:tc>
        <w:tc>
          <w:tcPr>
            <w:tcW w:w="1350" w:type="dxa"/>
          </w:tcPr>
          <w:p w14:paraId="3FF20DA0" w14:textId="6461EA54" w:rsidR="0044635A" w:rsidRPr="00EF2F18" w:rsidRDefault="0044635A" w:rsidP="00752CA0">
            <w:pPr>
              <w:spacing w:after="0"/>
              <w:ind w:hanging="144"/>
              <w:jc w:val="right"/>
              <w:rPr>
                <w:rFonts w:eastAsia="Times New Roman" w:cs="Times New Roman"/>
                <w:color w:val="000000"/>
                <w:sz w:val="20"/>
                <w:szCs w:val="20"/>
                <w:lang w:val="sr-Cyrl-RS" w:eastAsia="sr-Cyrl-RS"/>
              </w:rPr>
            </w:pPr>
          </w:p>
        </w:tc>
        <w:tc>
          <w:tcPr>
            <w:tcW w:w="1530" w:type="dxa"/>
          </w:tcPr>
          <w:p w14:paraId="4401841F" w14:textId="0E86CC8D" w:rsidR="0044635A" w:rsidRPr="00EF2F18" w:rsidRDefault="0044635A" w:rsidP="00752CA0">
            <w:pPr>
              <w:spacing w:after="0"/>
              <w:ind w:hanging="144"/>
              <w:jc w:val="right"/>
              <w:rPr>
                <w:rFonts w:eastAsia="Times New Roman" w:cs="Times New Roman"/>
                <w:color w:val="000000"/>
                <w:sz w:val="20"/>
                <w:szCs w:val="20"/>
                <w:lang w:val="sr-Cyrl-RS" w:eastAsia="sr-Cyrl-RS"/>
              </w:rPr>
            </w:pPr>
          </w:p>
        </w:tc>
      </w:tr>
      <w:tr w:rsidR="0044635A" w:rsidRPr="00EF2F18" w14:paraId="046E82B0" w14:textId="77777777" w:rsidTr="0044635A">
        <w:trPr>
          <w:gridAfter w:val="1"/>
          <w:wAfter w:w="18" w:type="dxa"/>
          <w:trHeight w:val="1404"/>
        </w:trPr>
        <w:tc>
          <w:tcPr>
            <w:tcW w:w="2263" w:type="dxa"/>
            <w:tcBorders>
              <w:top w:val="single" w:sz="4" w:space="0" w:color="auto"/>
              <w:left w:val="single" w:sz="4" w:space="0" w:color="auto"/>
              <w:bottom w:val="single" w:sz="4" w:space="0" w:color="auto"/>
              <w:right w:val="single" w:sz="4" w:space="0" w:color="auto"/>
            </w:tcBorders>
            <w:shd w:val="clear" w:color="000000" w:fill="FFFFFF"/>
            <w:hideMark/>
          </w:tcPr>
          <w:p w14:paraId="0AF2C6B6"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1.1.4.2. Спровођење обука запослених у органима и организацијама на свим нивоима за ублажавање климатских промена </w:t>
            </w:r>
          </w:p>
        </w:tc>
        <w:tc>
          <w:tcPr>
            <w:tcW w:w="1146" w:type="dxa"/>
            <w:tcBorders>
              <w:top w:val="single" w:sz="4" w:space="0" w:color="auto"/>
              <w:left w:val="single" w:sz="4" w:space="0" w:color="auto"/>
              <w:bottom w:val="single" w:sz="4" w:space="0" w:color="auto"/>
              <w:right w:val="single" w:sz="4" w:space="0" w:color="auto"/>
            </w:tcBorders>
            <w:hideMark/>
          </w:tcPr>
          <w:p w14:paraId="1EBDFC80" w14:textId="77777777" w:rsidR="0044635A" w:rsidRPr="00EF2F18" w:rsidRDefault="0044635A" w:rsidP="00752CA0">
            <w:pPr>
              <w:spacing w:after="0"/>
              <w:ind w:left="37" w:hanging="144"/>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НАЈУ</w:t>
            </w:r>
          </w:p>
        </w:tc>
        <w:tc>
          <w:tcPr>
            <w:tcW w:w="1293" w:type="dxa"/>
            <w:tcBorders>
              <w:top w:val="single" w:sz="4" w:space="0" w:color="auto"/>
              <w:left w:val="single" w:sz="4" w:space="0" w:color="auto"/>
              <w:bottom w:val="single" w:sz="4" w:space="0" w:color="auto"/>
              <w:right w:val="single" w:sz="4" w:space="0" w:color="auto"/>
            </w:tcBorders>
            <w:hideMark/>
          </w:tcPr>
          <w:p w14:paraId="798C7FCE"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АЗЖС, МРЕ, МПШВ, РЗС, ЈЛС</w:t>
            </w:r>
          </w:p>
        </w:tc>
        <w:tc>
          <w:tcPr>
            <w:tcW w:w="1143" w:type="dxa"/>
            <w:tcBorders>
              <w:top w:val="single" w:sz="4" w:space="0" w:color="auto"/>
              <w:left w:val="single" w:sz="4" w:space="0" w:color="auto"/>
              <w:bottom w:val="single" w:sz="4" w:space="0" w:color="auto"/>
              <w:right w:val="single" w:sz="4" w:space="0" w:color="auto"/>
            </w:tcBorders>
            <w:hideMark/>
          </w:tcPr>
          <w:p w14:paraId="1E1002B7" w14:textId="77777777" w:rsidR="0044635A" w:rsidRPr="00EF2F18" w:rsidRDefault="0044635A" w:rsidP="00752CA0">
            <w:pPr>
              <w:spacing w:after="0"/>
              <w:ind w:firstLine="48"/>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2144" w:type="dxa"/>
            <w:tcBorders>
              <w:top w:val="single" w:sz="4" w:space="0" w:color="auto"/>
              <w:left w:val="single" w:sz="4" w:space="0" w:color="auto"/>
              <w:bottom w:val="single" w:sz="4" w:space="0" w:color="auto"/>
              <w:right w:val="single" w:sz="4" w:space="0" w:color="auto"/>
            </w:tcBorders>
            <w:hideMark/>
          </w:tcPr>
          <w:p w14:paraId="6744EA23" w14:textId="77777777" w:rsidR="0044635A" w:rsidRPr="00EF2F18" w:rsidRDefault="0044635A" w:rsidP="00752CA0">
            <w:pPr>
              <w:spacing w:after="0"/>
              <w:ind w:firstLine="5"/>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61" w:type="dxa"/>
            <w:tcBorders>
              <w:top w:val="single" w:sz="4" w:space="0" w:color="auto"/>
              <w:left w:val="single" w:sz="4" w:space="0" w:color="auto"/>
              <w:bottom w:val="single" w:sz="4" w:space="0" w:color="auto"/>
              <w:right w:val="single" w:sz="4" w:space="0" w:color="auto"/>
            </w:tcBorders>
            <w:hideMark/>
          </w:tcPr>
          <w:p w14:paraId="59D741BD" w14:textId="77777777" w:rsidR="0044635A" w:rsidRPr="00EF2F18" w:rsidRDefault="0044635A" w:rsidP="00752CA0">
            <w:pPr>
              <w:spacing w:after="0"/>
              <w:ind w:hanging="144"/>
              <w:rPr>
                <w:rFonts w:eastAsia="Times New Roman" w:cs="Times New Roman"/>
                <w:color w:val="000000"/>
                <w:sz w:val="20"/>
                <w:szCs w:val="20"/>
                <w:lang w:val="sr-Cyrl-RS" w:eastAsia="sr-Cyrl-RS"/>
              </w:rPr>
            </w:pPr>
          </w:p>
        </w:tc>
        <w:tc>
          <w:tcPr>
            <w:tcW w:w="1265" w:type="dxa"/>
            <w:tcBorders>
              <w:top w:val="single" w:sz="4" w:space="0" w:color="auto"/>
              <w:left w:val="single" w:sz="4" w:space="0" w:color="auto"/>
              <w:bottom w:val="single" w:sz="4" w:space="0" w:color="auto"/>
              <w:right w:val="single" w:sz="4" w:space="0" w:color="auto"/>
            </w:tcBorders>
            <w:hideMark/>
          </w:tcPr>
          <w:p w14:paraId="0E1F9130" w14:textId="77777777" w:rsidR="0044635A" w:rsidRPr="00EF2F18" w:rsidRDefault="0044635A" w:rsidP="00752CA0">
            <w:pPr>
              <w:spacing w:after="0"/>
              <w:ind w:hanging="144"/>
              <w:jc w:val="right"/>
              <w:rPr>
                <w:rFonts w:eastAsia="Times New Roman" w:cs="Times New Roman"/>
                <w:color w:val="000000"/>
                <w:sz w:val="20"/>
                <w:szCs w:val="20"/>
                <w:lang w:val="sr-Cyrl-RS" w:eastAsia="sr-Cyrl-RS"/>
              </w:rPr>
            </w:pPr>
          </w:p>
        </w:tc>
        <w:tc>
          <w:tcPr>
            <w:tcW w:w="1350" w:type="dxa"/>
            <w:tcBorders>
              <w:top w:val="single" w:sz="4" w:space="0" w:color="auto"/>
              <w:left w:val="single" w:sz="4" w:space="0" w:color="auto"/>
              <w:bottom w:val="single" w:sz="4" w:space="0" w:color="auto"/>
              <w:right w:val="single" w:sz="4" w:space="0" w:color="auto"/>
            </w:tcBorders>
            <w:hideMark/>
          </w:tcPr>
          <w:p w14:paraId="6C118A6B" w14:textId="77777777" w:rsidR="0044635A" w:rsidRPr="00EF2F18" w:rsidRDefault="0044635A" w:rsidP="00752CA0">
            <w:pPr>
              <w:spacing w:after="0"/>
              <w:ind w:hanging="144"/>
              <w:jc w:val="right"/>
              <w:rPr>
                <w:rFonts w:eastAsia="Times New Roman" w:cs="Times New Roman"/>
                <w:color w:val="000000"/>
                <w:sz w:val="20"/>
                <w:szCs w:val="20"/>
                <w:lang w:val="sr-Cyrl-RS" w:eastAsia="sr-Cyrl-RS"/>
              </w:rPr>
            </w:pPr>
          </w:p>
        </w:tc>
        <w:tc>
          <w:tcPr>
            <w:tcW w:w="1530" w:type="dxa"/>
            <w:tcBorders>
              <w:top w:val="single" w:sz="4" w:space="0" w:color="auto"/>
              <w:left w:val="single" w:sz="4" w:space="0" w:color="auto"/>
              <w:bottom w:val="single" w:sz="4" w:space="0" w:color="auto"/>
              <w:right w:val="single" w:sz="4" w:space="0" w:color="auto"/>
            </w:tcBorders>
            <w:hideMark/>
          </w:tcPr>
          <w:p w14:paraId="77F81C9C" w14:textId="77777777" w:rsidR="0044635A" w:rsidRPr="00EF2F18" w:rsidRDefault="0044635A" w:rsidP="00752CA0">
            <w:pPr>
              <w:spacing w:after="0"/>
              <w:ind w:hanging="144"/>
              <w:jc w:val="right"/>
              <w:rPr>
                <w:rFonts w:eastAsia="Times New Roman" w:cs="Times New Roman"/>
                <w:color w:val="000000"/>
                <w:sz w:val="20"/>
                <w:szCs w:val="20"/>
                <w:lang w:val="sr-Cyrl-RS" w:eastAsia="sr-Cyrl-RS"/>
              </w:rPr>
            </w:pPr>
          </w:p>
        </w:tc>
      </w:tr>
    </w:tbl>
    <w:p w14:paraId="1E9850B6" w14:textId="0036DB11" w:rsidR="007D7243" w:rsidRPr="00EF2F18" w:rsidRDefault="00625841"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545D277D" w14:textId="77777777" w:rsidR="007D7243" w:rsidRPr="00EF2F18" w:rsidRDefault="007D7243" w:rsidP="007D7243">
      <w:pPr>
        <w:spacing w:after="0"/>
        <w:rPr>
          <w:rFonts w:cs="Times New Roman"/>
          <w:sz w:val="20"/>
          <w:szCs w:val="20"/>
          <w:lang w:val="sr-Cyrl-RS"/>
        </w:rPr>
      </w:pPr>
      <w:bookmarkStart w:id="159" w:name="_Hlk148899717"/>
      <w:bookmarkEnd w:id="157"/>
      <w:bookmarkEnd w:id="158"/>
    </w:p>
    <w:tbl>
      <w:tblPr>
        <w:tblW w:w="134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080"/>
        <w:gridCol w:w="1280"/>
        <w:gridCol w:w="1280"/>
        <w:gridCol w:w="1000"/>
        <w:gridCol w:w="1142"/>
        <w:gridCol w:w="1520"/>
        <w:gridCol w:w="1303"/>
        <w:gridCol w:w="1260"/>
        <w:gridCol w:w="1620"/>
      </w:tblGrid>
      <w:tr w:rsidR="007D7243" w:rsidRPr="00EF2F18" w14:paraId="431D5798" w14:textId="77777777" w:rsidTr="0044635A">
        <w:trPr>
          <w:trHeight w:val="516"/>
        </w:trPr>
        <w:tc>
          <w:tcPr>
            <w:tcW w:w="13485" w:type="dxa"/>
            <w:gridSpan w:val="9"/>
            <w:shd w:val="clear" w:color="000000" w:fill="F7CAAC"/>
            <w:vAlign w:val="center"/>
            <w:hideMark/>
          </w:tcPr>
          <w:p w14:paraId="14C0CA4B" w14:textId="21ADB2E6" w:rsidR="007D7243" w:rsidRPr="00EF2F18" w:rsidRDefault="007D7243" w:rsidP="00752CA0">
            <w:pPr>
              <w:spacing w:after="0"/>
              <w:rPr>
                <w:rFonts w:eastAsia="Times New Roman" w:cs="Times New Roman"/>
                <w:b/>
                <w:bCs/>
                <w:color w:val="000000"/>
                <w:sz w:val="20"/>
                <w:szCs w:val="20"/>
                <w:lang w:val="sr-Cyrl-RS" w:eastAsia="sr-Cyrl-RS"/>
              </w:rPr>
            </w:pPr>
            <w:bookmarkStart w:id="160" w:name="RANGE!A37"/>
            <w:r w:rsidRPr="00EF2F18">
              <w:rPr>
                <w:rFonts w:eastAsia="Times New Roman" w:cs="Times New Roman"/>
                <w:b/>
                <w:bCs/>
                <w:color w:val="000000"/>
                <w:sz w:val="20"/>
                <w:szCs w:val="20"/>
                <w:lang w:val="sr-Cyrl-RS" w:eastAsia="sr-Cyrl-RS"/>
              </w:rPr>
              <w:t xml:space="preserve">Мера 1.1.5: Примена механизама за усклађивање са системом трговине </w:t>
            </w:r>
            <w:r w:rsidRPr="00EF2F18">
              <w:rPr>
                <w:rFonts w:eastAsia="Times New Roman" w:cs="Times New Roman"/>
                <w:b/>
                <w:bCs/>
                <w:i/>
                <w:iCs/>
                <w:color w:val="000000"/>
                <w:sz w:val="20"/>
                <w:szCs w:val="20"/>
                <w:lang w:val="sr-Cyrl-RS" w:eastAsia="sr-Cyrl-RS"/>
              </w:rPr>
              <w:t>GHG</w:t>
            </w:r>
            <w:r w:rsidR="00C16633">
              <w:rPr>
                <w:rFonts w:eastAsia="Times New Roman" w:cs="Times New Roman"/>
                <w:b/>
                <w:bCs/>
                <w:color w:val="000000"/>
                <w:sz w:val="20"/>
                <w:szCs w:val="20"/>
                <w:lang w:val="sr-Cyrl-RS" w:eastAsia="sr-Cyrl-RS"/>
              </w:rPr>
              <w:t xml:space="preserve"> емисија</w:t>
            </w:r>
            <w:r w:rsidRPr="00EF2F18">
              <w:rPr>
                <w:rFonts w:eastAsia="Times New Roman" w:cs="Times New Roman"/>
                <w:b/>
                <w:bCs/>
                <w:color w:val="000000"/>
                <w:sz w:val="20"/>
                <w:szCs w:val="20"/>
                <w:lang w:val="sr-Cyrl-RS" w:eastAsia="sr-Cyrl-RS"/>
              </w:rPr>
              <w:t>ма ЕУ и/или увођење других инструмената за одређивање ценe угљеника</w:t>
            </w:r>
            <w:r w:rsidR="00FA7222" w:rsidRPr="00EF2F18">
              <w:rPr>
                <w:rFonts w:eastAsia="Times New Roman" w:cs="Times New Roman"/>
                <w:b/>
                <w:bCs/>
                <w:color w:val="000000"/>
                <w:sz w:val="20"/>
                <w:szCs w:val="20"/>
                <w:lang w:val="sr-Cyrl-RS" w:eastAsia="sr-Cyrl-RS"/>
              </w:rPr>
              <w:t xml:space="preserve"> </w:t>
            </w:r>
            <w:bookmarkEnd w:id="160"/>
          </w:p>
        </w:tc>
      </w:tr>
      <w:tr w:rsidR="007D7243" w:rsidRPr="00EF2F18" w14:paraId="02D4F806" w14:textId="77777777" w:rsidTr="0044635A">
        <w:trPr>
          <w:trHeight w:val="336"/>
        </w:trPr>
        <w:tc>
          <w:tcPr>
            <w:tcW w:w="13485" w:type="dxa"/>
            <w:gridSpan w:val="9"/>
            <w:shd w:val="clear" w:color="000000" w:fill="F7CAAC"/>
            <w:vAlign w:val="center"/>
            <w:hideMark/>
          </w:tcPr>
          <w:p w14:paraId="57B62C79"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финансија</w:t>
            </w:r>
          </w:p>
        </w:tc>
      </w:tr>
      <w:tr w:rsidR="007D7243" w:rsidRPr="00EF2F18" w14:paraId="1CF67A33" w14:textId="77777777" w:rsidTr="0044635A">
        <w:trPr>
          <w:trHeight w:val="336"/>
        </w:trPr>
        <w:tc>
          <w:tcPr>
            <w:tcW w:w="6640" w:type="dxa"/>
            <w:gridSpan w:val="4"/>
            <w:shd w:val="clear" w:color="000000" w:fill="F7CAAC"/>
            <w:vAlign w:val="center"/>
            <w:hideMark/>
          </w:tcPr>
          <w:p w14:paraId="3F3BBE65" w14:textId="774DA354"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Период спровођења: </w:t>
            </w:r>
            <w:r w:rsidR="006766AB" w:rsidRPr="00EF2F18">
              <w:rPr>
                <w:rFonts w:eastAsia="Times New Roman" w:cs="Times New Roman"/>
                <w:sz w:val="20"/>
                <w:szCs w:val="20"/>
                <w:lang w:val="sr-Cyrl-RS" w:eastAsia="sr-Cyrl-RS"/>
              </w:rPr>
              <w:t>2026</w:t>
            </w:r>
            <w:r w:rsidRPr="00EF2F18">
              <w:rPr>
                <w:rFonts w:eastAsia="Times New Roman" w:cs="Times New Roman"/>
                <w:sz w:val="20"/>
                <w:szCs w:val="20"/>
                <w:lang w:val="sr-Cyrl-RS" w:eastAsia="sr-Cyrl-RS"/>
              </w:rPr>
              <w:t>-2028.</w:t>
            </w:r>
          </w:p>
        </w:tc>
        <w:tc>
          <w:tcPr>
            <w:tcW w:w="6845" w:type="dxa"/>
            <w:gridSpan w:val="5"/>
            <w:shd w:val="clear" w:color="000000" w:fill="F7CAAC"/>
            <w:vAlign w:val="center"/>
            <w:hideMark/>
          </w:tcPr>
          <w:p w14:paraId="7203F5B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Тип мере: регулаторна</w:t>
            </w:r>
          </w:p>
        </w:tc>
      </w:tr>
      <w:tr w:rsidR="007D7243" w:rsidRPr="00EF2F18" w14:paraId="0B403DAA" w14:textId="77777777" w:rsidTr="0044635A">
        <w:trPr>
          <w:trHeight w:val="336"/>
        </w:trPr>
        <w:tc>
          <w:tcPr>
            <w:tcW w:w="6640" w:type="dxa"/>
            <w:gridSpan w:val="4"/>
            <w:shd w:val="clear" w:color="000000" w:fill="F7CAAC"/>
            <w:vAlign w:val="center"/>
            <w:hideMark/>
          </w:tcPr>
          <w:p w14:paraId="36BAAEC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845" w:type="dxa"/>
            <w:gridSpan w:val="5"/>
            <w:shd w:val="clear" w:color="000000" w:fill="F7CAAC"/>
            <w:vAlign w:val="center"/>
            <w:hideMark/>
          </w:tcPr>
          <w:p w14:paraId="32D0B1C2"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44635A" w:rsidRPr="00EF2F18" w14:paraId="411CDA6A" w14:textId="77777777" w:rsidTr="0044635A">
        <w:trPr>
          <w:trHeight w:val="816"/>
        </w:trPr>
        <w:tc>
          <w:tcPr>
            <w:tcW w:w="3080" w:type="dxa"/>
            <w:shd w:val="clear" w:color="000000" w:fill="D9D9D9"/>
            <w:hideMark/>
          </w:tcPr>
          <w:p w14:paraId="3A8A6299"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69F55821"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0442CDF2"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142" w:type="dxa"/>
            <w:gridSpan w:val="2"/>
            <w:shd w:val="clear" w:color="000000" w:fill="D9D9D9"/>
            <w:hideMark/>
          </w:tcPr>
          <w:p w14:paraId="11E37C3B"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5F21A991"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03" w:type="dxa"/>
            <w:shd w:val="clear" w:color="000000" w:fill="D9D9D9"/>
            <w:hideMark/>
          </w:tcPr>
          <w:p w14:paraId="3AF20D97"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260" w:type="dxa"/>
            <w:shd w:val="clear" w:color="000000" w:fill="D9D9D9"/>
            <w:hideMark/>
          </w:tcPr>
          <w:p w14:paraId="730038A3"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shd w:val="clear" w:color="000000" w:fill="D9D9D9"/>
            <w:hideMark/>
          </w:tcPr>
          <w:p w14:paraId="6A89BCCC"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44635A" w:rsidRPr="00EF2F18" w14:paraId="00996F9C" w14:textId="77777777" w:rsidTr="0044635A">
        <w:trPr>
          <w:trHeight w:val="1344"/>
        </w:trPr>
        <w:tc>
          <w:tcPr>
            <w:tcW w:w="3080" w:type="dxa"/>
            <w:shd w:val="clear" w:color="000000" w:fill="FFFFFF"/>
            <w:hideMark/>
          </w:tcPr>
          <w:p w14:paraId="0AF3FB76"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Успостављен механизам за усклађивање са системом трговине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емисијама и/или успостављен механизам цене угљеника </w:t>
            </w:r>
          </w:p>
        </w:tc>
        <w:tc>
          <w:tcPr>
            <w:tcW w:w="1280" w:type="dxa"/>
            <w:shd w:val="clear" w:color="000000" w:fill="FFFFFF"/>
            <w:hideMark/>
          </w:tcPr>
          <w:p w14:paraId="4D02A75F"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не/да</w:t>
            </w:r>
          </w:p>
        </w:tc>
        <w:tc>
          <w:tcPr>
            <w:tcW w:w="1280" w:type="dxa"/>
            <w:shd w:val="clear" w:color="000000" w:fill="FFFFFF"/>
            <w:hideMark/>
          </w:tcPr>
          <w:p w14:paraId="79DBC89E"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МФ</w:t>
            </w:r>
          </w:p>
        </w:tc>
        <w:tc>
          <w:tcPr>
            <w:tcW w:w="2142" w:type="dxa"/>
            <w:gridSpan w:val="2"/>
            <w:shd w:val="clear" w:color="000000" w:fill="FFFFFF"/>
            <w:hideMark/>
          </w:tcPr>
          <w:p w14:paraId="7FAC3ED2"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0DF2EE03"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03" w:type="dxa"/>
            <w:shd w:val="clear" w:color="000000" w:fill="FFFFFF"/>
            <w:hideMark/>
          </w:tcPr>
          <w:p w14:paraId="410343BB"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260" w:type="dxa"/>
            <w:shd w:val="clear" w:color="000000" w:fill="FFFFFF"/>
            <w:hideMark/>
          </w:tcPr>
          <w:p w14:paraId="354A2158"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620" w:type="dxa"/>
            <w:shd w:val="clear" w:color="000000" w:fill="FFFFFF"/>
            <w:hideMark/>
          </w:tcPr>
          <w:p w14:paraId="77EE0096" w14:textId="77777777"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r>
    </w:tbl>
    <w:p w14:paraId="195B638E" w14:textId="77777777" w:rsidR="007D7243" w:rsidRPr="00EF2F18" w:rsidRDefault="007D7243" w:rsidP="007D7243">
      <w:pPr>
        <w:spacing w:after="0"/>
        <w:rPr>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281"/>
        <w:gridCol w:w="2364"/>
        <w:gridCol w:w="2520"/>
        <w:gridCol w:w="2610"/>
      </w:tblGrid>
      <w:tr w:rsidR="007D7243" w:rsidRPr="00EF2F18" w14:paraId="03455B2A" w14:textId="77777777" w:rsidTr="00AE4263">
        <w:trPr>
          <w:trHeight w:val="336"/>
        </w:trPr>
        <w:tc>
          <w:tcPr>
            <w:tcW w:w="3800" w:type="dxa"/>
            <w:vMerge w:val="restart"/>
            <w:shd w:val="clear" w:color="000000" w:fill="A8D08D"/>
            <w:hideMark/>
          </w:tcPr>
          <w:p w14:paraId="6206F4A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281" w:type="dxa"/>
            <w:vMerge w:val="restart"/>
            <w:shd w:val="clear" w:color="000000" w:fill="A8D08D"/>
            <w:hideMark/>
          </w:tcPr>
          <w:p w14:paraId="3FE5C87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494" w:type="dxa"/>
            <w:gridSpan w:val="3"/>
            <w:shd w:val="clear" w:color="000000" w:fill="A8D08D"/>
            <w:hideMark/>
          </w:tcPr>
          <w:p w14:paraId="6D4821C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44635A" w:rsidRPr="00EF2F18" w14:paraId="693782EC" w14:textId="77777777" w:rsidTr="0044635A">
        <w:trPr>
          <w:trHeight w:val="336"/>
        </w:trPr>
        <w:tc>
          <w:tcPr>
            <w:tcW w:w="3800" w:type="dxa"/>
            <w:vMerge/>
            <w:vAlign w:val="center"/>
            <w:hideMark/>
          </w:tcPr>
          <w:p w14:paraId="16C71BD3" w14:textId="77777777" w:rsidR="0044635A" w:rsidRPr="00EF2F18" w:rsidRDefault="0044635A" w:rsidP="00752CA0">
            <w:pPr>
              <w:spacing w:after="0"/>
              <w:rPr>
                <w:rFonts w:eastAsia="Times New Roman" w:cs="Times New Roman"/>
                <w:color w:val="000000"/>
                <w:sz w:val="20"/>
                <w:szCs w:val="20"/>
                <w:lang w:val="sr-Cyrl-RS" w:eastAsia="sr-Cyrl-RS"/>
              </w:rPr>
            </w:pPr>
          </w:p>
        </w:tc>
        <w:tc>
          <w:tcPr>
            <w:tcW w:w="2281" w:type="dxa"/>
            <w:vMerge/>
            <w:vAlign w:val="center"/>
            <w:hideMark/>
          </w:tcPr>
          <w:p w14:paraId="6F831EA8" w14:textId="77777777" w:rsidR="0044635A" w:rsidRPr="00EF2F18" w:rsidRDefault="0044635A" w:rsidP="00752CA0">
            <w:pPr>
              <w:spacing w:after="0"/>
              <w:rPr>
                <w:rFonts w:eastAsia="Times New Roman" w:cs="Times New Roman"/>
                <w:color w:val="000000"/>
                <w:sz w:val="20"/>
                <w:szCs w:val="20"/>
                <w:lang w:val="sr-Cyrl-RS" w:eastAsia="sr-Cyrl-RS"/>
              </w:rPr>
            </w:pPr>
          </w:p>
        </w:tc>
        <w:tc>
          <w:tcPr>
            <w:tcW w:w="2364" w:type="dxa"/>
            <w:shd w:val="clear" w:color="000000" w:fill="A8D08D"/>
            <w:hideMark/>
          </w:tcPr>
          <w:p w14:paraId="5C3CBEB0" w14:textId="6F068E73"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520" w:type="dxa"/>
            <w:shd w:val="clear" w:color="000000" w:fill="A8D08D"/>
            <w:hideMark/>
          </w:tcPr>
          <w:p w14:paraId="216C4EFD" w14:textId="357369B5"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610" w:type="dxa"/>
            <w:shd w:val="clear" w:color="000000" w:fill="A8D08D"/>
            <w:hideMark/>
          </w:tcPr>
          <w:p w14:paraId="531F0CB6" w14:textId="5585ABFE" w:rsidR="0044635A" w:rsidRPr="00EF2F18" w:rsidRDefault="0044635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44635A" w:rsidRPr="00EF2F18" w14:paraId="16EFC55B" w14:textId="77777777" w:rsidTr="003D1DB1">
        <w:trPr>
          <w:trHeight w:val="324"/>
        </w:trPr>
        <w:tc>
          <w:tcPr>
            <w:tcW w:w="3800" w:type="dxa"/>
            <w:tcBorders>
              <w:bottom w:val="double" w:sz="4" w:space="0" w:color="auto"/>
            </w:tcBorders>
            <w:shd w:val="clear" w:color="000000" w:fill="FFFFFF"/>
            <w:vAlign w:val="center"/>
            <w:hideMark/>
          </w:tcPr>
          <w:p w14:paraId="11A68BA7" w14:textId="74D66A0D"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Донаторска средства*</w:t>
            </w:r>
          </w:p>
        </w:tc>
        <w:tc>
          <w:tcPr>
            <w:tcW w:w="2281" w:type="dxa"/>
            <w:tcBorders>
              <w:bottom w:val="double" w:sz="4" w:space="0" w:color="auto"/>
            </w:tcBorders>
            <w:shd w:val="clear" w:color="000000" w:fill="FFFFFF"/>
            <w:vAlign w:val="center"/>
            <w:hideMark/>
          </w:tcPr>
          <w:p w14:paraId="3D483912"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64" w:type="dxa"/>
            <w:tcBorders>
              <w:bottom w:val="double" w:sz="4" w:space="0" w:color="auto"/>
            </w:tcBorders>
            <w:shd w:val="clear" w:color="000000" w:fill="FFFFFF"/>
            <w:vAlign w:val="center"/>
            <w:hideMark/>
          </w:tcPr>
          <w:p w14:paraId="330E5209" w14:textId="6ECAB697" w:rsidR="0044635A" w:rsidRPr="00EF2F18" w:rsidRDefault="00465A0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c>
          <w:tcPr>
            <w:tcW w:w="2520" w:type="dxa"/>
            <w:tcBorders>
              <w:bottom w:val="double" w:sz="4" w:space="0" w:color="auto"/>
            </w:tcBorders>
            <w:shd w:val="clear" w:color="000000" w:fill="FFFFFF"/>
            <w:vAlign w:val="center"/>
            <w:hideMark/>
          </w:tcPr>
          <w:p w14:paraId="476DF11F" w14:textId="77777777" w:rsidR="0044635A" w:rsidRPr="00EF2F18" w:rsidRDefault="0044635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 </w:t>
            </w:r>
          </w:p>
        </w:tc>
        <w:tc>
          <w:tcPr>
            <w:tcW w:w="2610" w:type="dxa"/>
            <w:tcBorders>
              <w:bottom w:val="double" w:sz="4" w:space="0" w:color="auto"/>
            </w:tcBorders>
            <w:shd w:val="clear" w:color="000000" w:fill="FFFFFF"/>
            <w:vAlign w:val="center"/>
            <w:hideMark/>
          </w:tcPr>
          <w:p w14:paraId="5FC80189" w14:textId="77777777" w:rsidR="0044635A" w:rsidRPr="00EF2F18" w:rsidRDefault="0044635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 </w:t>
            </w:r>
          </w:p>
        </w:tc>
      </w:tr>
      <w:tr w:rsidR="0044635A" w:rsidRPr="00EF2F18" w14:paraId="64EFBF48" w14:textId="77777777" w:rsidTr="003D1DB1">
        <w:trPr>
          <w:trHeight w:val="463"/>
        </w:trPr>
        <w:tc>
          <w:tcPr>
            <w:tcW w:w="3800" w:type="dxa"/>
            <w:tcBorders>
              <w:bottom w:val="double" w:sz="4" w:space="0" w:color="auto"/>
            </w:tcBorders>
            <w:shd w:val="clear" w:color="000000" w:fill="FFFFFF"/>
            <w:vAlign w:val="center"/>
            <w:hideMark/>
          </w:tcPr>
          <w:p w14:paraId="0772ECB5"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w:t>
            </w:r>
            <w:r w:rsidRPr="00EF2F18">
              <w:rPr>
                <w:rFonts w:eastAsia="Times New Roman" w:cs="Times New Roman"/>
                <w:color w:val="000000"/>
                <w:sz w:val="20"/>
                <w:szCs w:val="20"/>
                <w:lang w:val="sr-Cyrl-RS" w:eastAsia="sr-Cyrl-RS"/>
              </w:rPr>
              <w:t>/редовна издвајања</w:t>
            </w:r>
          </w:p>
        </w:tc>
        <w:tc>
          <w:tcPr>
            <w:tcW w:w="2281" w:type="dxa"/>
            <w:tcBorders>
              <w:bottom w:val="double" w:sz="4" w:space="0" w:color="auto"/>
            </w:tcBorders>
            <w:shd w:val="clear" w:color="000000" w:fill="FFFFFF"/>
            <w:vAlign w:val="center"/>
            <w:hideMark/>
          </w:tcPr>
          <w:p w14:paraId="5EEF9B84" w14:textId="77777777" w:rsidR="0044635A" w:rsidRPr="00EF2F18" w:rsidRDefault="0044635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2364" w:type="dxa"/>
            <w:tcBorders>
              <w:bottom w:val="double" w:sz="4" w:space="0" w:color="auto"/>
            </w:tcBorders>
            <w:shd w:val="clear" w:color="000000" w:fill="FFFFFF"/>
            <w:vAlign w:val="center"/>
          </w:tcPr>
          <w:p w14:paraId="65CB6744" w14:textId="009A538D" w:rsidR="0044635A" w:rsidRPr="00EF2F18" w:rsidRDefault="0044635A" w:rsidP="00752CA0">
            <w:pPr>
              <w:spacing w:after="0"/>
              <w:jc w:val="right"/>
              <w:rPr>
                <w:rFonts w:eastAsia="Times New Roman" w:cs="Times New Roman"/>
                <w:color w:val="000000"/>
                <w:sz w:val="20"/>
                <w:szCs w:val="20"/>
                <w:lang w:val="sr-Cyrl-RS" w:eastAsia="sr-Cyrl-RS"/>
              </w:rPr>
            </w:pPr>
          </w:p>
        </w:tc>
        <w:tc>
          <w:tcPr>
            <w:tcW w:w="2520" w:type="dxa"/>
            <w:tcBorders>
              <w:bottom w:val="double" w:sz="4" w:space="0" w:color="auto"/>
            </w:tcBorders>
            <w:vAlign w:val="center"/>
          </w:tcPr>
          <w:p w14:paraId="47458102" w14:textId="7F5525DC" w:rsidR="0044635A" w:rsidRPr="00EF2F18" w:rsidRDefault="0044635A" w:rsidP="00752CA0">
            <w:pPr>
              <w:spacing w:after="0"/>
              <w:jc w:val="right"/>
              <w:rPr>
                <w:rFonts w:eastAsia="Times New Roman" w:cs="Times New Roman"/>
                <w:color w:val="000000"/>
                <w:sz w:val="20"/>
                <w:szCs w:val="20"/>
                <w:lang w:val="sr-Cyrl-RS" w:eastAsia="sr-Cyrl-RS"/>
              </w:rPr>
            </w:pPr>
          </w:p>
        </w:tc>
        <w:tc>
          <w:tcPr>
            <w:tcW w:w="2610" w:type="dxa"/>
            <w:tcBorders>
              <w:bottom w:val="double" w:sz="4" w:space="0" w:color="auto"/>
            </w:tcBorders>
            <w:vAlign w:val="center"/>
          </w:tcPr>
          <w:p w14:paraId="5072F361" w14:textId="6C9A87B5" w:rsidR="0044635A" w:rsidRPr="00EF2F18" w:rsidRDefault="0044635A" w:rsidP="00752CA0">
            <w:pPr>
              <w:spacing w:after="0"/>
              <w:jc w:val="right"/>
              <w:rPr>
                <w:rFonts w:eastAsia="Times New Roman" w:cs="Times New Roman"/>
                <w:color w:val="000000"/>
                <w:sz w:val="20"/>
                <w:szCs w:val="20"/>
                <w:lang w:val="sr-Cyrl-RS" w:eastAsia="sr-Cyrl-RS"/>
              </w:rPr>
            </w:pPr>
          </w:p>
        </w:tc>
      </w:tr>
    </w:tbl>
    <w:p w14:paraId="5C8A0E56" w14:textId="77777777" w:rsidR="007D7243" w:rsidRPr="00EF2F18" w:rsidRDefault="007D7243" w:rsidP="007D7243">
      <w:pPr>
        <w:spacing w:after="0"/>
        <w:rPr>
          <w:rFonts w:cs="Times New Roman"/>
          <w:sz w:val="20"/>
          <w:szCs w:val="20"/>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1250"/>
        <w:gridCol w:w="1376"/>
        <w:gridCol w:w="1182"/>
        <w:gridCol w:w="1691"/>
        <w:gridCol w:w="1340"/>
        <w:gridCol w:w="1419"/>
        <w:gridCol w:w="1260"/>
        <w:gridCol w:w="1350"/>
      </w:tblGrid>
      <w:tr w:rsidR="007D7243" w:rsidRPr="00EF2F18" w14:paraId="3D439B30" w14:textId="77777777" w:rsidTr="00BB108D">
        <w:trPr>
          <w:trHeight w:val="759"/>
        </w:trPr>
        <w:tc>
          <w:tcPr>
            <w:tcW w:w="2717" w:type="dxa"/>
            <w:vMerge w:val="restart"/>
            <w:shd w:val="clear" w:color="000000" w:fill="FFF2CC"/>
            <w:hideMark/>
          </w:tcPr>
          <w:p w14:paraId="3754E9A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50" w:type="dxa"/>
            <w:vMerge w:val="restart"/>
            <w:shd w:val="clear" w:color="000000" w:fill="FFF2CC"/>
            <w:hideMark/>
          </w:tcPr>
          <w:p w14:paraId="4F93D75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76" w:type="dxa"/>
            <w:vMerge w:val="restart"/>
            <w:shd w:val="clear" w:color="000000" w:fill="FFF2CC"/>
            <w:hideMark/>
          </w:tcPr>
          <w:p w14:paraId="75BA4A7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06C7100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1DBF4FF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4F6C562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29" w:type="dxa"/>
            <w:gridSpan w:val="3"/>
            <w:shd w:val="clear" w:color="000000" w:fill="FFF2CC"/>
            <w:hideMark/>
          </w:tcPr>
          <w:p w14:paraId="0A320DA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BB108D" w:rsidRPr="00EF2F18" w14:paraId="3229DA46" w14:textId="77777777" w:rsidTr="00BB108D">
        <w:trPr>
          <w:trHeight w:val="324"/>
        </w:trPr>
        <w:tc>
          <w:tcPr>
            <w:tcW w:w="2717" w:type="dxa"/>
            <w:vMerge/>
            <w:hideMark/>
          </w:tcPr>
          <w:p w14:paraId="65A54525"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250" w:type="dxa"/>
            <w:vMerge/>
            <w:hideMark/>
          </w:tcPr>
          <w:p w14:paraId="105A8BF0"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376" w:type="dxa"/>
            <w:vMerge/>
            <w:hideMark/>
          </w:tcPr>
          <w:p w14:paraId="7CB73473"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182" w:type="dxa"/>
            <w:vMerge/>
            <w:hideMark/>
          </w:tcPr>
          <w:p w14:paraId="1B641DCF"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691" w:type="dxa"/>
            <w:vMerge/>
            <w:hideMark/>
          </w:tcPr>
          <w:p w14:paraId="6AD855C1"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340" w:type="dxa"/>
            <w:vMerge/>
            <w:hideMark/>
          </w:tcPr>
          <w:p w14:paraId="085EB8DD"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419" w:type="dxa"/>
            <w:shd w:val="clear" w:color="000000" w:fill="FFF2CC"/>
            <w:hideMark/>
          </w:tcPr>
          <w:p w14:paraId="11366211" w14:textId="0239F984"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260" w:type="dxa"/>
            <w:shd w:val="clear" w:color="000000" w:fill="FFF2CC"/>
            <w:hideMark/>
          </w:tcPr>
          <w:p w14:paraId="6E5CD29B" w14:textId="4F983E7C"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350" w:type="dxa"/>
            <w:shd w:val="clear" w:color="000000" w:fill="FFF2CC"/>
            <w:hideMark/>
          </w:tcPr>
          <w:p w14:paraId="7A08797E" w14:textId="477FDB8D"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BB108D" w:rsidRPr="00EF2F18" w14:paraId="70282672" w14:textId="77777777" w:rsidTr="00BB108D">
        <w:trPr>
          <w:trHeight w:val="804"/>
        </w:trPr>
        <w:tc>
          <w:tcPr>
            <w:tcW w:w="2717" w:type="dxa"/>
            <w:hideMark/>
          </w:tcPr>
          <w:p w14:paraId="0AA780E1"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1.1.5.1. Анализа трошкова и користи од увођења цене угљеника </w:t>
            </w:r>
          </w:p>
        </w:tc>
        <w:tc>
          <w:tcPr>
            <w:tcW w:w="1250" w:type="dxa"/>
            <w:hideMark/>
          </w:tcPr>
          <w:p w14:paraId="5707FC39"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w:t>
            </w:r>
          </w:p>
        </w:tc>
        <w:tc>
          <w:tcPr>
            <w:tcW w:w="1376" w:type="dxa"/>
            <w:hideMark/>
          </w:tcPr>
          <w:p w14:paraId="6863F14B"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182" w:type="dxa"/>
            <w:hideMark/>
          </w:tcPr>
          <w:p w14:paraId="5D2CBB3D" w14:textId="1ACD4704"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6C4764" w:rsidRPr="00EF2F18">
              <w:rPr>
                <w:rFonts w:eastAsia="Times New Roman" w:cs="Times New Roman"/>
                <w:color w:val="000000"/>
                <w:sz w:val="20"/>
                <w:szCs w:val="20"/>
                <w:lang w:val="sr-Cyrl-RS" w:eastAsia="sr-Cyrl-RS"/>
              </w:rPr>
              <w:t>6</w:t>
            </w:r>
            <w:r w:rsidRPr="00EF2F18">
              <w:rPr>
                <w:rFonts w:eastAsia="Times New Roman" w:cs="Times New Roman"/>
                <w:color w:val="000000"/>
                <w:sz w:val="20"/>
                <w:szCs w:val="20"/>
                <w:lang w:val="sr-Cyrl-RS" w:eastAsia="sr-Cyrl-RS"/>
              </w:rPr>
              <w:t>.</w:t>
            </w:r>
          </w:p>
        </w:tc>
        <w:tc>
          <w:tcPr>
            <w:tcW w:w="1691" w:type="dxa"/>
            <w:hideMark/>
          </w:tcPr>
          <w:p w14:paraId="1817E9B5"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686D705C" w14:textId="5C9828C4" w:rsidR="00BB108D" w:rsidRPr="00EF2F18" w:rsidRDefault="00BB108D" w:rsidP="00752CA0">
            <w:pPr>
              <w:spacing w:after="0"/>
              <w:rPr>
                <w:rFonts w:eastAsia="Times New Roman" w:cs="Times New Roman"/>
                <w:color w:val="000000"/>
                <w:sz w:val="20"/>
                <w:szCs w:val="20"/>
                <w:lang w:val="sr-Cyrl-RS" w:eastAsia="sr-Cyrl-RS"/>
              </w:rPr>
            </w:pPr>
          </w:p>
        </w:tc>
        <w:tc>
          <w:tcPr>
            <w:tcW w:w="1419" w:type="dxa"/>
          </w:tcPr>
          <w:p w14:paraId="45AF13AE" w14:textId="02C1D3F9" w:rsidR="00BB108D" w:rsidRPr="00EF2F18" w:rsidRDefault="00BB108D" w:rsidP="00752CA0">
            <w:pPr>
              <w:spacing w:after="0"/>
              <w:jc w:val="right"/>
              <w:rPr>
                <w:rFonts w:eastAsia="Times New Roman" w:cs="Times New Roman"/>
                <w:color w:val="000000"/>
                <w:sz w:val="20"/>
                <w:szCs w:val="20"/>
                <w:lang w:val="sr-Cyrl-RS" w:eastAsia="sr-Cyrl-RS"/>
              </w:rPr>
            </w:pPr>
          </w:p>
        </w:tc>
        <w:tc>
          <w:tcPr>
            <w:tcW w:w="1260" w:type="dxa"/>
          </w:tcPr>
          <w:p w14:paraId="6892C776" w14:textId="591E842F" w:rsidR="00BB108D" w:rsidRPr="00EF2F18" w:rsidRDefault="00BB108D" w:rsidP="00752CA0">
            <w:pPr>
              <w:spacing w:after="0"/>
              <w:jc w:val="right"/>
              <w:rPr>
                <w:rFonts w:eastAsia="Times New Roman" w:cs="Times New Roman"/>
                <w:color w:val="000000"/>
                <w:sz w:val="20"/>
                <w:szCs w:val="20"/>
                <w:lang w:val="sr-Cyrl-RS" w:eastAsia="sr-Cyrl-RS"/>
              </w:rPr>
            </w:pPr>
          </w:p>
        </w:tc>
        <w:tc>
          <w:tcPr>
            <w:tcW w:w="1350" w:type="dxa"/>
          </w:tcPr>
          <w:p w14:paraId="61FADE1F" w14:textId="4E59765C" w:rsidR="00BB108D" w:rsidRPr="00EF2F18" w:rsidRDefault="00BB108D" w:rsidP="00752CA0">
            <w:pPr>
              <w:spacing w:after="0"/>
              <w:jc w:val="right"/>
              <w:rPr>
                <w:rFonts w:eastAsia="Times New Roman" w:cs="Times New Roman"/>
                <w:color w:val="000000"/>
                <w:sz w:val="20"/>
                <w:szCs w:val="20"/>
                <w:lang w:val="sr-Cyrl-RS" w:eastAsia="sr-Cyrl-RS"/>
              </w:rPr>
            </w:pPr>
          </w:p>
        </w:tc>
      </w:tr>
      <w:tr w:rsidR="00BB108D" w:rsidRPr="00EF2F18" w14:paraId="36FA12BA" w14:textId="77777777" w:rsidTr="00BB108D">
        <w:trPr>
          <w:trHeight w:val="1408"/>
        </w:trPr>
        <w:tc>
          <w:tcPr>
            <w:tcW w:w="2717" w:type="dxa"/>
            <w:hideMark/>
          </w:tcPr>
          <w:p w14:paraId="4F57E5CA" w14:textId="5CD257B3"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1.1.5.2. Припрема и усвајање прописа за усклађивање са системом трговине </w:t>
            </w:r>
            <w:r w:rsidRPr="00EF2F18">
              <w:rPr>
                <w:rFonts w:eastAsia="Times New Roman" w:cs="Times New Roman"/>
                <w:i/>
                <w:iCs/>
                <w:color w:val="000000"/>
                <w:sz w:val="20"/>
                <w:szCs w:val="20"/>
                <w:lang w:val="sr-Cyrl-RS" w:eastAsia="sr-Cyrl-RS"/>
              </w:rPr>
              <w:t>GHG</w:t>
            </w:r>
            <w:r w:rsidR="00C16633">
              <w:rPr>
                <w:rFonts w:eastAsia="Times New Roman" w:cs="Times New Roman"/>
                <w:color w:val="000000"/>
                <w:sz w:val="20"/>
                <w:szCs w:val="20"/>
                <w:lang w:val="sr-Cyrl-RS" w:eastAsia="sr-Cyrl-RS"/>
              </w:rPr>
              <w:t xml:space="preserve"> емисија</w:t>
            </w:r>
            <w:r w:rsidRPr="00EF2F18">
              <w:rPr>
                <w:rFonts w:eastAsia="Times New Roman" w:cs="Times New Roman"/>
                <w:color w:val="000000"/>
                <w:sz w:val="20"/>
                <w:szCs w:val="20"/>
                <w:lang w:val="sr-Cyrl-RS" w:eastAsia="sr-Cyrl-RS"/>
              </w:rPr>
              <w:t>ма ЕУ и/или увођење других инструмената за одређивање цене угљеника</w:t>
            </w:r>
          </w:p>
        </w:tc>
        <w:tc>
          <w:tcPr>
            <w:tcW w:w="1250" w:type="dxa"/>
            <w:hideMark/>
          </w:tcPr>
          <w:p w14:paraId="7A175251"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МЗЖС </w:t>
            </w:r>
          </w:p>
        </w:tc>
        <w:tc>
          <w:tcPr>
            <w:tcW w:w="1376" w:type="dxa"/>
            <w:hideMark/>
          </w:tcPr>
          <w:p w14:paraId="6BBDE8C1"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 МЗЖС/МФ</w:t>
            </w:r>
          </w:p>
        </w:tc>
        <w:tc>
          <w:tcPr>
            <w:tcW w:w="1182" w:type="dxa"/>
            <w:hideMark/>
          </w:tcPr>
          <w:p w14:paraId="6F9733B7"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hideMark/>
          </w:tcPr>
          <w:p w14:paraId="16A7DA36"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406AFE4B"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1419" w:type="dxa"/>
          </w:tcPr>
          <w:p w14:paraId="17FE9AF9" w14:textId="2F177DAE" w:rsidR="00BB108D" w:rsidRPr="00EF2F18" w:rsidRDefault="00BB108D" w:rsidP="00752CA0">
            <w:pPr>
              <w:spacing w:after="0"/>
              <w:jc w:val="right"/>
              <w:rPr>
                <w:rFonts w:eastAsia="Times New Roman" w:cs="Times New Roman"/>
                <w:color w:val="000000"/>
                <w:sz w:val="20"/>
                <w:szCs w:val="20"/>
                <w:lang w:val="sr-Cyrl-RS" w:eastAsia="sr-Cyrl-RS"/>
              </w:rPr>
            </w:pPr>
          </w:p>
        </w:tc>
        <w:tc>
          <w:tcPr>
            <w:tcW w:w="1260" w:type="dxa"/>
          </w:tcPr>
          <w:p w14:paraId="1D8BF051" w14:textId="3C9EB1CB" w:rsidR="00BB108D" w:rsidRPr="00EF2F18" w:rsidRDefault="00BB108D" w:rsidP="00752CA0">
            <w:pPr>
              <w:spacing w:after="0"/>
              <w:jc w:val="right"/>
              <w:rPr>
                <w:rFonts w:eastAsia="Times New Roman" w:cs="Times New Roman"/>
                <w:color w:val="000000"/>
                <w:sz w:val="20"/>
                <w:szCs w:val="20"/>
                <w:lang w:val="sr-Cyrl-RS" w:eastAsia="sr-Cyrl-RS"/>
              </w:rPr>
            </w:pPr>
          </w:p>
        </w:tc>
        <w:tc>
          <w:tcPr>
            <w:tcW w:w="1350" w:type="dxa"/>
          </w:tcPr>
          <w:p w14:paraId="1C8F0D33" w14:textId="179B51D2" w:rsidR="00BB108D" w:rsidRPr="00EF2F18" w:rsidRDefault="00BB108D" w:rsidP="00752CA0">
            <w:pPr>
              <w:spacing w:after="0"/>
              <w:jc w:val="right"/>
              <w:rPr>
                <w:rFonts w:eastAsia="Times New Roman" w:cs="Times New Roman"/>
                <w:color w:val="000000"/>
                <w:sz w:val="20"/>
                <w:szCs w:val="20"/>
                <w:lang w:val="sr-Cyrl-RS" w:eastAsia="sr-Cyrl-RS"/>
              </w:rPr>
            </w:pPr>
          </w:p>
        </w:tc>
      </w:tr>
      <w:tr w:rsidR="00BB108D" w:rsidRPr="00EF2F18" w14:paraId="271906BE" w14:textId="77777777" w:rsidTr="00BB108D">
        <w:trPr>
          <w:trHeight w:val="1683"/>
        </w:trPr>
        <w:tc>
          <w:tcPr>
            <w:tcW w:w="2717" w:type="dxa"/>
            <w:hideMark/>
          </w:tcPr>
          <w:p w14:paraId="32AD4210" w14:textId="508EED36"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1.1.5.3. Успостављање институционалног оквира за усклађивање са системом трговине </w:t>
            </w:r>
            <w:r w:rsidRPr="00EF2F18">
              <w:rPr>
                <w:rFonts w:eastAsia="Times New Roman" w:cs="Times New Roman"/>
                <w:i/>
                <w:iCs/>
                <w:color w:val="000000"/>
                <w:sz w:val="20"/>
                <w:szCs w:val="20"/>
                <w:lang w:val="sr-Cyrl-RS" w:eastAsia="sr-Cyrl-RS"/>
              </w:rPr>
              <w:t>GHG</w:t>
            </w:r>
            <w:r w:rsidR="00C16633">
              <w:rPr>
                <w:rFonts w:eastAsia="Times New Roman" w:cs="Times New Roman"/>
                <w:color w:val="000000"/>
                <w:sz w:val="20"/>
                <w:szCs w:val="20"/>
                <w:lang w:val="sr-Cyrl-RS" w:eastAsia="sr-Cyrl-RS"/>
              </w:rPr>
              <w:t xml:space="preserve"> емисији</w:t>
            </w:r>
            <w:r w:rsidRPr="00EF2F18">
              <w:rPr>
                <w:rFonts w:eastAsia="Times New Roman" w:cs="Times New Roman"/>
                <w:color w:val="000000"/>
                <w:sz w:val="20"/>
                <w:szCs w:val="20"/>
                <w:lang w:val="sr-Cyrl-RS" w:eastAsia="sr-Cyrl-RS"/>
              </w:rPr>
              <w:t>ма ЕУ и/или увођење других инструмената за наплату угљеника</w:t>
            </w:r>
          </w:p>
        </w:tc>
        <w:tc>
          <w:tcPr>
            <w:tcW w:w="1250" w:type="dxa"/>
            <w:hideMark/>
          </w:tcPr>
          <w:p w14:paraId="3BCC2725"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МЗЖС </w:t>
            </w:r>
          </w:p>
        </w:tc>
        <w:tc>
          <w:tcPr>
            <w:tcW w:w="1376" w:type="dxa"/>
            <w:hideMark/>
          </w:tcPr>
          <w:p w14:paraId="22068D49"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МРЕ</w:t>
            </w:r>
          </w:p>
        </w:tc>
        <w:tc>
          <w:tcPr>
            <w:tcW w:w="1182" w:type="dxa"/>
            <w:hideMark/>
          </w:tcPr>
          <w:p w14:paraId="7066F100"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hideMark/>
          </w:tcPr>
          <w:p w14:paraId="383871C8"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tcPr>
          <w:p w14:paraId="6871C4F8" w14:textId="788ACDCD" w:rsidR="00BB108D" w:rsidRPr="00EF2F18" w:rsidRDefault="00BB108D" w:rsidP="00752CA0">
            <w:pPr>
              <w:spacing w:after="0"/>
              <w:rPr>
                <w:rFonts w:eastAsia="Times New Roman" w:cs="Times New Roman"/>
                <w:color w:val="000000"/>
                <w:sz w:val="20"/>
                <w:szCs w:val="20"/>
                <w:lang w:val="sr-Cyrl-RS" w:eastAsia="sr-Cyrl-RS"/>
              </w:rPr>
            </w:pPr>
          </w:p>
        </w:tc>
        <w:tc>
          <w:tcPr>
            <w:tcW w:w="1419" w:type="dxa"/>
          </w:tcPr>
          <w:p w14:paraId="26A05D4C" w14:textId="03029D37" w:rsidR="00BB108D" w:rsidRPr="00EF2F18" w:rsidRDefault="00BB108D" w:rsidP="00752CA0">
            <w:pPr>
              <w:spacing w:after="0"/>
              <w:jc w:val="right"/>
              <w:rPr>
                <w:rFonts w:eastAsia="Times New Roman" w:cs="Times New Roman"/>
                <w:color w:val="000000"/>
                <w:sz w:val="20"/>
                <w:szCs w:val="20"/>
                <w:lang w:val="sr-Cyrl-RS" w:eastAsia="sr-Cyrl-RS"/>
              </w:rPr>
            </w:pPr>
          </w:p>
        </w:tc>
        <w:tc>
          <w:tcPr>
            <w:tcW w:w="1260" w:type="dxa"/>
          </w:tcPr>
          <w:p w14:paraId="7127E960" w14:textId="6D9EDFF5" w:rsidR="00BB108D" w:rsidRPr="00EF2F18" w:rsidRDefault="00BB108D" w:rsidP="00752CA0">
            <w:pPr>
              <w:spacing w:after="0"/>
              <w:jc w:val="right"/>
              <w:rPr>
                <w:rFonts w:eastAsia="Times New Roman" w:cs="Times New Roman"/>
                <w:color w:val="000000"/>
                <w:sz w:val="20"/>
                <w:szCs w:val="20"/>
                <w:lang w:val="sr-Cyrl-RS" w:eastAsia="sr-Cyrl-RS"/>
              </w:rPr>
            </w:pPr>
          </w:p>
        </w:tc>
        <w:tc>
          <w:tcPr>
            <w:tcW w:w="1350" w:type="dxa"/>
          </w:tcPr>
          <w:p w14:paraId="2330EDA1" w14:textId="53BBFB27" w:rsidR="00BB108D" w:rsidRPr="00EF2F18" w:rsidRDefault="00BB108D" w:rsidP="00752CA0">
            <w:pPr>
              <w:spacing w:after="0"/>
              <w:jc w:val="right"/>
              <w:rPr>
                <w:rFonts w:eastAsia="Times New Roman" w:cs="Times New Roman"/>
                <w:color w:val="000000"/>
                <w:sz w:val="20"/>
                <w:szCs w:val="20"/>
                <w:lang w:val="sr-Cyrl-RS" w:eastAsia="sr-Cyrl-RS"/>
              </w:rPr>
            </w:pPr>
          </w:p>
        </w:tc>
      </w:tr>
      <w:tr w:rsidR="00BB108D" w:rsidRPr="00EF2F18" w14:paraId="05A2706A" w14:textId="77777777" w:rsidTr="00BB108D">
        <w:trPr>
          <w:trHeight w:val="2388"/>
        </w:trPr>
        <w:tc>
          <w:tcPr>
            <w:tcW w:w="2717" w:type="dxa"/>
            <w:hideMark/>
          </w:tcPr>
          <w:p w14:paraId="717F91DB" w14:textId="6F342DAE"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1.1.5.4. Спровођење обука запослених у надлежном националном телу и другим релевантним органима, организацијама и оператерима постројења за систем трговине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емисијима ЕУ и/или другим инструментом за наплату угљеника </w:t>
            </w:r>
          </w:p>
        </w:tc>
        <w:tc>
          <w:tcPr>
            <w:tcW w:w="1250" w:type="dxa"/>
            <w:hideMark/>
          </w:tcPr>
          <w:p w14:paraId="460B82A8"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76" w:type="dxa"/>
            <w:hideMark/>
          </w:tcPr>
          <w:p w14:paraId="42A049DD"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МРЕ, АТС, ПКС</w:t>
            </w:r>
          </w:p>
        </w:tc>
        <w:tc>
          <w:tcPr>
            <w:tcW w:w="1182" w:type="dxa"/>
            <w:hideMark/>
          </w:tcPr>
          <w:p w14:paraId="1A3E6D2B"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67EEC1D7" w14:textId="6C2BC790"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tcPr>
          <w:p w14:paraId="4D8F5049" w14:textId="05E68B78" w:rsidR="00BB108D" w:rsidRPr="00EF2F18" w:rsidRDefault="00BB108D" w:rsidP="00752CA0">
            <w:pPr>
              <w:spacing w:after="0"/>
              <w:rPr>
                <w:rFonts w:eastAsia="Times New Roman" w:cs="Times New Roman"/>
                <w:color w:val="000000"/>
                <w:sz w:val="20"/>
                <w:szCs w:val="20"/>
                <w:lang w:val="sr-Cyrl-RS" w:eastAsia="sr-Cyrl-RS"/>
              </w:rPr>
            </w:pPr>
          </w:p>
        </w:tc>
        <w:tc>
          <w:tcPr>
            <w:tcW w:w="1419" w:type="dxa"/>
            <w:hideMark/>
          </w:tcPr>
          <w:p w14:paraId="61DD243A" w14:textId="77777777" w:rsidR="00BB108D" w:rsidRPr="00EF2F18" w:rsidRDefault="00BB108D"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c>
          <w:tcPr>
            <w:tcW w:w="1260" w:type="dxa"/>
            <w:hideMark/>
          </w:tcPr>
          <w:p w14:paraId="7BC3A08E" w14:textId="77777777" w:rsidR="00BB108D" w:rsidRPr="00EF2F18" w:rsidRDefault="00BB108D"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 </w:t>
            </w:r>
          </w:p>
        </w:tc>
        <w:tc>
          <w:tcPr>
            <w:tcW w:w="1350" w:type="dxa"/>
            <w:hideMark/>
          </w:tcPr>
          <w:p w14:paraId="1AF35F79" w14:textId="77777777" w:rsidR="00BB108D" w:rsidRPr="00EF2F18" w:rsidRDefault="00BB108D"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 </w:t>
            </w:r>
          </w:p>
        </w:tc>
      </w:tr>
    </w:tbl>
    <w:p w14:paraId="43BF429D" w14:textId="263E3BCF" w:rsidR="007D7243" w:rsidRPr="00EF2F18" w:rsidRDefault="00625841" w:rsidP="007D7243">
      <w:pPr>
        <w:spacing w:after="0"/>
        <w:rPr>
          <w:sz w:val="20"/>
          <w:szCs w:val="18"/>
          <w:lang w:val="sr-Cyrl-RS"/>
        </w:rPr>
      </w:pPr>
      <w:r w:rsidRPr="00EF2F18">
        <w:rPr>
          <w:sz w:val="20"/>
          <w:szCs w:val="18"/>
          <w:lang w:val="sr-Cyrl-RS"/>
        </w:rPr>
        <w:t>* Извори финансирања и/или средства још увек нису утврђени и/или обезбеђени.</w:t>
      </w:r>
    </w:p>
    <w:p w14:paraId="56D66798" w14:textId="77777777" w:rsidR="00A57168" w:rsidRPr="00EF2F18" w:rsidRDefault="00A57168" w:rsidP="007D7243">
      <w:pPr>
        <w:spacing w:after="0"/>
        <w:rPr>
          <w:rFonts w:cs="Times New Roman"/>
          <w:sz w:val="20"/>
          <w:szCs w:val="20"/>
          <w:lang w:val="sr-Cyrl-RS"/>
        </w:rPr>
      </w:pPr>
    </w:p>
    <w:p w14:paraId="1B6B4C0A"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38"/>
        <w:gridCol w:w="1280"/>
        <w:gridCol w:w="1280"/>
        <w:gridCol w:w="1003"/>
        <w:gridCol w:w="997"/>
        <w:gridCol w:w="1520"/>
        <w:gridCol w:w="1287"/>
        <w:gridCol w:w="1350"/>
        <w:gridCol w:w="1606"/>
        <w:gridCol w:w="14"/>
      </w:tblGrid>
      <w:tr w:rsidR="007D7243" w:rsidRPr="00EF2F18" w14:paraId="01E06067" w14:textId="77777777" w:rsidTr="00BB108D">
        <w:trPr>
          <w:gridAfter w:val="1"/>
          <w:wAfter w:w="14" w:type="dxa"/>
          <w:trHeight w:val="336"/>
        </w:trPr>
        <w:tc>
          <w:tcPr>
            <w:tcW w:w="13561" w:type="dxa"/>
            <w:gridSpan w:val="9"/>
            <w:shd w:val="clear" w:color="000000" w:fill="F7CAAC"/>
            <w:vAlign w:val="center"/>
            <w:hideMark/>
          </w:tcPr>
          <w:p w14:paraId="7E50EEA6" w14:textId="2D57355B" w:rsidR="007D7243" w:rsidRPr="00EF2F18" w:rsidRDefault="007D7243" w:rsidP="00752CA0">
            <w:pPr>
              <w:spacing w:after="0"/>
              <w:rPr>
                <w:rFonts w:eastAsia="Times New Roman" w:cs="Times New Roman"/>
                <w:b/>
                <w:bCs/>
                <w:color w:val="000000"/>
                <w:sz w:val="20"/>
                <w:szCs w:val="20"/>
                <w:lang w:val="sr-Cyrl-RS" w:eastAsia="sr-Cyrl-RS"/>
              </w:rPr>
            </w:pPr>
            <w:bookmarkStart w:id="161" w:name="_Hlk147601238"/>
            <w:bookmarkEnd w:id="159"/>
            <w:r w:rsidRPr="00EF2F18">
              <w:rPr>
                <w:rFonts w:eastAsia="Times New Roman" w:cs="Times New Roman"/>
                <w:b/>
                <w:bCs/>
                <w:color w:val="000000"/>
                <w:sz w:val="20"/>
                <w:szCs w:val="20"/>
                <w:lang w:val="sr-Cyrl-RS" w:eastAsia="sr-Cyrl-RS"/>
              </w:rPr>
              <w:t>Мера 1.1.6: Подстицање изградње капацитета ОИЕ у производњи топлотне и електричне енергије</w:t>
            </w:r>
            <w:r w:rsidR="00FA7222" w:rsidRPr="00EF2F18">
              <w:rPr>
                <w:rFonts w:eastAsia="Times New Roman" w:cs="Times New Roman"/>
                <w:b/>
                <w:bCs/>
                <w:color w:val="000000"/>
                <w:sz w:val="20"/>
                <w:szCs w:val="20"/>
                <w:lang w:val="sr-Cyrl-RS" w:eastAsia="sr-Cyrl-RS"/>
              </w:rPr>
              <w:t xml:space="preserve"> </w:t>
            </w:r>
          </w:p>
        </w:tc>
      </w:tr>
      <w:tr w:rsidR="007D7243" w:rsidRPr="00EF2F18" w14:paraId="6025EC62" w14:textId="77777777" w:rsidTr="00BB108D">
        <w:trPr>
          <w:gridAfter w:val="1"/>
          <w:wAfter w:w="14" w:type="dxa"/>
          <w:trHeight w:val="336"/>
        </w:trPr>
        <w:tc>
          <w:tcPr>
            <w:tcW w:w="13561" w:type="dxa"/>
            <w:gridSpan w:val="9"/>
            <w:shd w:val="clear" w:color="000000" w:fill="F7CAAC"/>
            <w:vAlign w:val="center"/>
            <w:hideMark/>
          </w:tcPr>
          <w:p w14:paraId="17DEF9E8"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рударства и енергетике</w:t>
            </w:r>
          </w:p>
        </w:tc>
      </w:tr>
      <w:tr w:rsidR="007D7243" w:rsidRPr="00EF2F18" w14:paraId="41BBD6CF" w14:textId="77777777" w:rsidTr="00BB108D">
        <w:trPr>
          <w:gridAfter w:val="1"/>
          <w:wAfter w:w="14" w:type="dxa"/>
          <w:trHeight w:val="336"/>
        </w:trPr>
        <w:tc>
          <w:tcPr>
            <w:tcW w:w="6801" w:type="dxa"/>
            <w:gridSpan w:val="4"/>
            <w:shd w:val="clear" w:color="000000" w:fill="F7CAAC"/>
            <w:vAlign w:val="center"/>
            <w:hideMark/>
          </w:tcPr>
          <w:p w14:paraId="29EA57CD" w14:textId="1189A85F"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 202</w:t>
            </w:r>
            <w:r w:rsidR="00BB108D"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6760" w:type="dxa"/>
            <w:gridSpan w:val="5"/>
            <w:shd w:val="clear" w:color="000000" w:fill="F7CAAC"/>
            <w:vAlign w:val="center"/>
            <w:hideMark/>
          </w:tcPr>
          <w:p w14:paraId="1E37120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подстицајна</w:t>
            </w:r>
          </w:p>
        </w:tc>
      </w:tr>
      <w:tr w:rsidR="007D7243" w:rsidRPr="00EF2F18" w14:paraId="63E942B2" w14:textId="77777777" w:rsidTr="00BB108D">
        <w:trPr>
          <w:gridAfter w:val="1"/>
          <w:wAfter w:w="14" w:type="dxa"/>
          <w:trHeight w:val="336"/>
        </w:trPr>
        <w:tc>
          <w:tcPr>
            <w:tcW w:w="6801" w:type="dxa"/>
            <w:gridSpan w:val="4"/>
            <w:shd w:val="clear" w:color="000000" w:fill="F7CAAC"/>
            <w:vAlign w:val="center"/>
            <w:hideMark/>
          </w:tcPr>
          <w:p w14:paraId="5E2CA07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shd w:val="clear" w:color="000000" w:fill="F7CAAC"/>
            <w:vAlign w:val="center"/>
            <w:hideMark/>
          </w:tcPr>
          <w:p w14:paraId="7115945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BB108D" w:rsidRPr="00EF2F18" w14:paraId="09BE0034" w14:textId="77777777" w:rsidTr="00BB108D">
        <w:trPr>
          <w:trHeight w:val="816"/>
        </w:trPr>
        <w:tc>
          <w:tcPr>
            <w:tcW w:w="3238" w:type="dxa"/>
            <w:shd w:val="clear" w:color="000000" w:fill="D9D9D9"/>
            <w:hideMark/>
          </w:tcPr>
          <w:p w14:paraId="06B08634"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3D191CB5"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076F1EDA"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4CFF5588"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7A810F0E"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87" w:type="dxa"/>
            <w:shd w:val="clear" w:color="000000" w:fill="D9D9D9"/>
            <w:hideMark/>
          </w:tcPr>
          <w:p w14:paraId="54A670BB"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shd w:val="clear" w:color="000000" w:fill="D9D9D9"/>
            <w:hideMark/>
          </w:tcPr>
          <w:p w14:paraId="103F9CE3"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gridSpan w:val="2"/>
            <w:shd w:val="clear" w:color="000000" w:fill="D9D9D9"/>
            <w:hideMark/>
          </w:tcPr>
          <w:p w14:paraId="737279F7"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BB108D" w:rsidRPr="00EF2F18" w14:paraId="2B4D9B7D" w14:textId="77777777" w:rsidTr="00BB108D">
        <w:trPr>
          <w:trHeight w:val="444"/>
        </w:trPr>
        <w:tc>
          <w:tcPr>
            <w:tcW w:w="3238" w:type="dxa"/>
            <w:vMerge w:val="restart"/>
            <w:shd w:val="clear" w:color="000000" w:fill="FFFFFF"/>
            <w:hideMark/>
          </w:tcPr>
          <w:p w14:paraId="591A8DF3"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ОИЕ у производњи електричне енергије</w:t>
            </w:r>
          </w:p>
        </w:tc>
        <w:tc>
          <w:tcPr>
            <w:tcW w:w="1280" w:type="dxa"/>
            <w:vMerge w:val="restart"/>
            <w:shd w:val="clear" w:color="000000" w:fill="FFFFFF"/>
            <w:hideMark/>
          </w:tcPr>
          <w:p w14:paraId="6AC492EB"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vMerge w:val="restart"/>
            <w:shd w:val="clear" w:color="000000" w:fill="FFFFFF"/>
            <w:hideMark/>
          </w:tcPr>
          <w:p w14:paraId="124533F1"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РЗС, Енергетски биланс</w:t>
            </w:r>
          </w:p>
        </w:tc>
        <w:tc>
          <w:tcPr>
            <w:tcW w:w="2000" w:type="dxa"/>
            <w:gridSpan w:val="2"/>
            <w:tcBorders>
              <w:bottom w:val="nil"/>
            </w:tcBorders>
            <w:shd w:val="clear" w:color="000000" w:fill="FFFFFF"/>
            <w:hideMark/>
          </w:tcPr>
          <w:p w14:paraId="03E64DB1"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29</w:t>
            </w:r>
          </w:p>
        </w:tc>
        <w:tc>
          <w:tcPr>
            <w:tcW w:w="1520" w:type="dxa"/>
            <w:vMerge w:val="restart"/>
            <w:shd w:val="clear" w:color="000000" w:fill="FFFFFF"/>
            <w:hideMark/>
          </w:tcPr>
          <w:p w14:paraId="353F2810"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287" w:type="dxa"/>
            <w:vMerge w:val="restart"/>
            <w:shd w:val="clear" w:color="000000" w:fill="FFFFFF"/>
            <w:hideMark/>
          </w:tcPr>
          <w:p w14:paraId="79142FC0"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36,7</w:t>
            </w:r>
          </w:p>
        </w:tc>
        <w:tc>
          <w:tcPr>
            <w:tcW w:w="1350" w:type="dxa"/>
            <w:vMerge w:val="restart"/>
            <w:shd w:val="clear" w:color="000000" w:fill="FFFFFF"/>
            <w:hideMark/>
          </w:tcPr>
          <w:p w14:paraId="1678E47E"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38</w:t>
            </w:r>
          </w:p>
        </w:tc>
        <w:tc>
          <w:tcPr>
            <w:tcW w:w="1620" w:type="dxa"/>
            <w:gridSpan w:val="2"/>
            <w:vMerge w:val="restart"/>
            <w:shd w:val="clear" w:color="000000" w:fill="FFFFFF"/>
            <w:hideMark/>
          </w:tcPr>
          <w:p w14:paraId="36E28679"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39,8</w:t>
            </w:r>
          </w:p>
        </w:tc>
      </w:tr>
      <w:tr w:rsidR="00BB108D" w:rsidRPr="00EF2F18" w14:paraId="2BC47519" w14:textId="77777777" w:rsidTr="00BB108D">
        <w:trPr>
          <w:trHeight w:val="324"/>
        </w:trPr>
        <w:tc>
          <w:tcPr>
            <w:tcW w:w="3238" w:type="dxa"/>
            <w:vMerge/>
            <w:hideMark/>
          </w:tcPr>
          <w:p w14:paraId="5B52C17B"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280" w:type="dxa"/>
            <w:vMerge/>
            <w:hideMark/>
          </w:tcPr>
          <w:p w14:paraId="10D578EF"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280" w:type="dxa"/>
            <w:vMerge/>
            <w:hideMark/>
          </w:tcPr>
          <w:p w14:paraId="688D15DB"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2000" w:type="dxa"/>
            <w:gridSpan w:val="2"/>
            <w:tcBorders>
              <w:top w:val="nil"/>
            </w:tcBorders>
            <w:shd w:val="clear" w:color="000000" w:fill="FFFFFF"/>
            <w:hideMark/>
          </w:tcPr>
          <w:p w14:paraId="078C52C5" w14:textId="77777777" w:rsidR="00BB108D" w:rsidRPr="00EF2F18" w:rsidRDefault="00BB108D" w:rsidP="00752CA0">
            <w:pPr>
              <w:spacing w:after="0"/>
              <w:jc w:val="center"/>
              <w:rPr>
                <w:rFonts w:eastAsia="Times New Roman" w:cs="Times New Roman"/>
                <w:color w:val="000000"/>
                <w:sz w:val="20"/>
                <w:szCs w:val="20"/>
                <w:lang w:val="sr-Cyrl-RS" w:eastAsia="sr-Cyrl-RS"/>
              </w:rPr>
            </w:pPr>
          </w:p>
        </w:tc>
        <w:tc>
          <w:tcPr>
            <w:tcW w:w="1520" w:type="dxa"/>
            <w:vMerge/>
            <w:hideMark/>
          </w:tcPr>
          <w:p w14:paraId="2D500BBC"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287" w:type="dxa"/>
            <w:vMerge/>
            <w:hideMark/>
          </w:tcPr>
          <w:p w14:paraId="70030AD3"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350" w:type="dxa"/>
            <w:vMerge/>
            <w:hideMark/>
          </w:tcPr>
          <w:p w14:paraId="3FC33A69"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1620" w:type="dxa"/>
            <w:gridSpan w:val="2"/>
            <w:vMerge/>
            <w:hideMark/>
          </w:tcPr>
          <w:p w14:paraId="3FA4AE6D" w14:textId="77777777" w:rsidR="00BB108D" w:rsidRPr="00EF2F18" w:rsidRDefault="00BB108D" w:rsidP="00752CA0">
            <w:pPr>
              <w:spacing w:after="0"/>
              <w:rPr>
                <w:rFonts w:eastAsia="Times New Roman" w:cs="Times New Roman"/>
                <w:color w:val="000000"/>
                <w:sz w:val="20"/>
                <w:szCs w:val="20"/>
                <w:lang w:val="sr-Cyrl-RS" w:eastAsia="sr-Cyrl-RS"/>
              </w:rPr>
            </w:pPr>
          </w:p>
        </w:tc>
      </w:tr>
      <w:tr w:rsidR="00BB108D" w:rsidRPr="00EF2F18" w14:paraId="762F29D1" w14:textId="77777777" w:rsidTr="00BB108D">
        <w:trPr>
          <w:trHeight w:val="804"/>
        </w:trPr>
        <w:tc>
          <w:tcPr>
            <w:tcW w:w="3238" w:type="dxa"/>
            <w:shd w:val="clear" w:color="000000" w:fill="FFFFFF"/>
            <w:hideMark/>
          </w:tcPr>
          <w:p w14:paraId="2ACD1055" w14:textId="77777777" w:rsidR="00BB108D" w:rsidRPr="00EF2F18" w:rsidRDefault="00BB108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ОИЕ у грејању</w:t>
            </w:r>
          </w:p>
        </w:tc>
        <w:tc>
          <w:tcPr>
            <w:tcW w:w="1280" w:type="dxa"/>
            <w:shd w:val="clear" w:color="000000" w:fill="FFFFFF"/>
            <w:hideMark/>
          </w:tcPr>
          <w:p w14:paraId="17F854F6"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shd w:val="clear" w:color="000000" w:fill="FFFFFF"/>
            <w:hideMark/>
          </w:tcPr>
          <w:p w14:paraId="2CE0312B"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РЗС, Енергетски биланс</w:t>
            </w:r>
          </w:p>
        </w:tc>
        <w:tc>
          <w:tcPr>
            <w:tcW w:w="2000" w:type="dxa"/>
            <w:gridSpan w:val="2"/>
            <w:shd w:val="clear" w:color="000000" w:fill="FFFFFF"/>
            <w:hideMark/>
          </w:tcPr>
          <w:p w14:paraId="2FCB0342"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35,7</w:t>
            </w:r>
          </w:p>
        </w:tc>
        <w:tc>
          <w:tcPr>
            <w:tcW w:w="1520" w:type="dxa"/>
            <w:shd w:val="clear" w:color="000000" w:fill="FFFFFF"/>
            <w:hideMark/>
          </w:tcPr>
          <w:p w14:paraId="1A48BD24"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287" w:type="dxa"/>
            <w:shd w:val="clear" w:color="000000" w:fill="FFFFFF"/>
            <w:hideMark/>
          </w:tcPr>
          <w:p w14:paraId="7C263C85"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41,5</w:t>
            </w:r>
          </w:p>
        </w:tc>
        <w:tc>
          <w:tcPr>
            <w:tcW w:w="1350" w:type="dxa"/>
            <w:shd w:val="clear" w:color="000000" w:fill="FFFFFF"/>
            <w:hideMark/>
          </w:tcPr>
          <w:p w14:paraId="61ECABAE"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41,2</w:t>
            </w:r>
          </w:p>
        </w:tc>
        <w:tc>
          <w:tcPr>
            <w:tcW w:w="1620" w:type="dxa"/>
            <w:gridSpan w:val="2"/>
            <w:shd w:val="clear" w:color="000000" w:fill="FFFFFF"/>
            <w:hideMark/>
          </w:tcPr>
          <w:p w14:paraId="4F832BAB" w14:textId="77777777"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41,1</w:t>
            </w:r>
          </w:p>
        </w:tc>
      </w:tr>
    </w:tbl>
    <w:p w14:paraId="0A6429F2" w14:textId="77777777" w:rsidR="007D7243" w:rsidRPr="00EF2F18" w:rsidRDefault="007D7243" w:rsidP="007D7243">
      <w:pPr>
        <w:spacing w:after="0"/>
        <w:rPr>
          <w:lang w:val="sr-Cyrl-RS"/>
        </w:rPr>
      </w:pPr>
    </w:p>
    <w:tbl>
      <w:tblPr>
        <w:tblW w:w="134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480"/>
        <w:gridCol w:w="2435"/>
        <w:gridCol w:w="2340"/>
        <w:gridCol w:w="2430"/>
      </w:tblGrid>
      <w:tr w:rsidR="007D7243" w:rsidRPr="00EF2F18" w14:paraId="6FABD6F9" w14:textId="77777777" w:rsidTr="00AE4263">
        <w:trPr>
          <w:trHeight w:val="356"/>
        </w:trPr>
        <w:tc>
          <w:tcPr>
            <w:tcW w:w="3800" w:type="dxa"/>
            <w:vMerge w:val="restart"/>
            <w:shd w:val="clear" w:color="000000" w:fill="A8D08D"/>
            <w:hideMark/>
          </w:tcPr>
          <w:p w14:paraId="3FA9D57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717045E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05" w:type="dxa"/>
            <w:gridSpan w:val="3"/>
            <w:shd w:val="clear" w:color="000000" w:fill="A8D08D"/>
            <w:hideMark/>
          </w:tcPr>
          <w:p w14:paraId="7B365D7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BB108D" w:rsidRPr="00EF2F18" w14:paraId="04F84F46" w14:textId="77777777" w:rsidTr="00AE4263">
        <w:trPr>
          <w:trHeight w:val="356"/>
        </w:trPr>
        <w:tc>
          <w:tcPr>
            <w:tcW w:w="3800" w:type="dxa"/>
            <w:vMerge/>
            <w:vAlign w:val="center"/>
            <w:hideMark/>
          </w:tcPr>
          <w:p w14:paraId="2E62F256"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2480" w:type="dxa"/>
            <w:vMerge/>
            <w:vAlign w:val="center"/>
            <w:hideMark/>
          </w:tcPr>
          <w:p w14:paraId="24F7AC07" w14:textId="77777777" w:rsidR="00BB108D" w:rsidRPr="00EF2F18" w:rsidRDefault="00BB108D" w:rsidP="00752CA0">
            <w:pPr>
              <w:spacing w:after="0"/>
              <w:rPr>
                <w:rFonts w:eastAsia="Times New Roman" w:cs="Times New Roman"/>
                <w:color w:val="000000"/>
                <w:sz w:val="20"/>
                <w:szCs w:val="20"/>
                <w:lang w:val="sr-Cyrl-RS" w:eastAsia="sr-Cyrl-RS"/>
              </w:rPr>
            </w:pPr>
          </w:p>
        </w:tc>
        <w:tc>
          <w:tcPr>
            <w:tcW w:w="2435" w:type="dxa"/>
            <w:shd w:val="clear" w:color="000000" w:fill="A8D08D"/>
            <w:hideMark/>
          </w:tcPr>
          <w:p w14:paraId="32738A26" w14:textId="49FD0DEF"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340" w:type="dxa"/>
            <w:shd w:val="clear" w:color="000000" w:fill="A8D08D"/>
            <w:hideMark/>
          </w:tcPr>
          <w:p w14:paraId="15879465" w14:textId="50F99235"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430" w:type="dxa"/>
            <w:shd w:val="clear" w:color="000000" w:fill="A8D08D"/>
            <w:hideMark/>
          </w:tcPr>
          <w:p w14:paraId="0D54B033" w14:textId="4B07C52F" w:rsidR="00BB108D" w:rsidRPr="00EF2F18" w:rsidRDefault="00BB108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BB108D" w:rsidRPr="00EF2F18" w14:paraId="7AF6EA2D" w14:textId="77777777" w:rsidTr="00AE4263">
        <w:trPr>
          <w:trHeight w:val="343"/>
        </w:trPr>
        <w:tc>
          <w:tcPr>
            <w:tcW w:w="3800" w:type="dxa"/>
            <w:shd w:val="clear" w:color="000000" w:fill="FFFFFF"/>
            <w:hideMark/>
          </w:tcPr>
          <w:p w14:paraId="4505F37E" w14:textId="4C6E4AF7" w:rsidR="00BB108D" w:rsidRPr="00EF2F18" w:rsidRDefault="00BB108D" w:rsidP="004C5633">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Донаторска средства (KfW)</w:t>
            </w:r>
          </w:p>
        </w:tc>
        <w:tc>
          <w:tcPr>
            <w:tcW w:w="2480" w:type="dxa"/>
            <w:shd w:val="clear" w:color="000000" w:fill="FFFFFF"/>
            <w:hideMark/>
          </w:tcPr>
          <w:p w14:paraId="57EBFCEE" w14:textId="14A1AD70" w:rsidR="00BB108D" w:rsidRPr="00EF2F18" w:rsidRDefault="00BB108D" w:rsidP="004C563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0501-430-4006-422</w:t>
            </w:r>
          </w:p>
          <w:p w14:paraId="4046C0BA" w14:textId="77777777" w:rsidR="00BB108D" w:rsidRPr="00EF2F18" w:rsidRDefault="00BB108D" w:rsidP="004C563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0501-430-4006-423</w:t>
            </w:r>
          </w:p>
          <w:p w14:paraId="105AF20E" w14:textId="27CF121C" w:rsidR="00BB108D" w:rsidRPr="00EF2F18" w:rsidRDefault="00BB108D" w:rsidP="002C6876">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0501-430-4006-424</w:t>
            </w:r>
          </w:p>
        </w:tc>
        <w:tc>
          <w:tcPr>
            <w:tcW w:w="2435" w:type="dxa"/>
            <w:hideMark/>
          </w:tcPr>
          <w:p w14:paraId="0C8E4696" w14:textId="45982619" w:rsidR="00BB108D" w:rsidRPr="00EF2F18" w:rsidRDefault="00BB108D" w:rsidP="004C563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w:t>
            </w:r>
          </w:p>
          <w:p w14:paraId="3BCEA45F" w14:textId="2961261B" w:rsidR="00BB108D" w:rsidRPr="00EF2F18" w:rsidRDefault="00BB108D" w:rsidP="004C563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p w14:paraId="2F91194F" w14:textId="398261F9" w:rsidR="00BB108D" w:rsidRPr="00EF2F18" w:rsidRDefault="00BB108D" w:rsidP="002C6876">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38.040</w:t>
            </w:r>
          </w:p>
        </w:tc>
        <w:tc>
          <w:tcPr>
            <w:tcW w:w="2340" w:type="dxa"/>
            <w:hideMark/>
          </w:tcPr>
          <w:p w14:paraId="31C00BDB" w14:textId="77777777" w:rsidR="00BB108D" w:rsidRPr="00EF2F18" w:rsidRDefault="00BB108D" w:rsidP="004C563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w:t>
            </w:r>
          </w:p>
          <w:p w14:paraId="2D496F10" w14:textId="74C9C0EC" w:rsidR="00BB108D" w:rsidRPr="00EF2F18" w:rsidRDefault="00BB108D" w:rsidP="00457D2E">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p w14:paraId="6C84B3DA" w14:textId="732A0976" w:rsidR="00BB108D" w:rsidRPr="00EF2F18" w:rsidRDefault="00BB108D" w:rsidP="002C6876">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38.040</w:t>
            </w:r>
          </w:p>
        </w:tc>
        <w:tc>
          <w:tcPr>
            <w:tcW w:w="2430" w:type="dxa"/>
            <w:shd w:val="clear" w:color="000000" w:fill="FFFFFF"/>
            <w:hideMark/>
          </w:tcPr>
          <w:p w14:paraId="760F9CE8" w14:textId="77777777" w:rsidR="00BB108D" w:rsidRPr="00EF2F18" w:rsidRDefault="00BB108D" w:rsidP="004C5633">
            <w:pPr>
              <w:spacing w:after="0"/>
              <w:jc w:val="right"/>
              <w:rPr>
                <w:rFonts w:eastAsia="Times New Roman" w:cs="Times New Roman"/>
                <w:color w:val="000000"/>
                <w:sz w:val="20"/>
                <w:szCs w:val="20"/>
                <w:lang w:val="sr-Cyrl-RS" w:eastAsia="sr-Cyrl-RS"/>
              </w:rPr>
            </w:pPr>
          </w:p>
          <w:p w14:paraId="77F13222" w14:textId="77777777" w:rsidR="00BB108D" w:rsidRPr="00EF2F18" w:rsidRDefault="00BB108D" w:rsidP="004C5633">
            <w:pPr>
              <w:spacing w:after="0"/>
              <w:jc w:val="right"/>
              <w:rPr>
                <w:rFonts w:eastAsia="Times New Roman" w:cs="Times New Roman"/>
                <w:color w:val="000000"/>
                <w:sz w:val="20"/>
                <w:szCs w:val="20"/>
                <w:lang w:val="sr-Cyrl-RS" w:eastAsia="sr-Cyrl-RS"/>
              </w:rPr>
            </w:pPr>
          </w:p>
          <w:p w14:paraId="39F4AF54" w14:textId="6517B646" w:rsidR="00BB108D" w:rsidRPr="00EF2F18" w:rsidRDefault="00BB108D" w:rsidP="004C5633">
            <w:pPr>
              <w:spacing w:after="0"/>
              <w:jc w:val="right"/>
              <w:rPr>
                <w:rFonts w:eastAsia="Times New Roman" w:cs="Times New Roman"/>
                <w:color w:val="000000"/>
                <w:sz w:val="20"/>
                <w:szCs w:val="20"/>
                <w:lang w:val="sr-Cyrl-RS" w:eastAsia="sr-Cyrl-RS"/>
              </w:rPr>
            </w:pPr>
          </w:p>
        </w:tc>
      </w:tr>
      <w:tr w:rsidR="00D5497A" w:rsidRPr="00EF2F18" w14:paraId="1B00D002" w14:textId="77777777" w:rsidTr="00AE4263">
        <w:trPr>
          <w:trHeight w:val="343"/>
        </w:trPr>
        <w:tc>
          <w:tcPr>
            <w:tcW w:w="3800" w:type="dxa"/>
            <w:shd w:val="clear" w:color="000000" w:fill="FFFFFF"/>
          </w:tcPr>
          <w:p w14:paraId="76DCD89A" w14:textId="3E57F60D" w:rsidR="00D5497A" w:rsidRPr="00EF2F18" w:rsidRDefault="00D5497A" w:rsidP="004C5633">
            <w:pPr>
              <w:spacing w:after="0"/>
              <w:rPr>
                <w:rFonts w:eastAsia="Times New Roman" w:cs="Times New Roman"/>
                <w:sz w:val="20"/>
                <w:szCs w:val="20"/>
                <w:lang w:val="sr-Cyrl-RS" w:eastAsia="sr-Cyrl-RS"/>
              </w:rPr>
            </w:pPr>
            <w:r w:rsidRPr="00EF2F18">
              <w:rPr>
                <w:rFonts w:eastAsia="Times New Roman" w:cs="Times New Roman"/>
                <w:color w:val="000000"/>
                <w:sz w:val="20"/>
                <w:szCs w:val="20"/>
                <w:lang w:val="sr-Cyrl-RS" w:eastAsia="sr-Cyrl-RS"/>
              </w:rPr>
              <w:lastRenderedPageBreak/>
              <w:t>Донаторска средства*</w:t>
            </w:r>
          </w:p>
        </w:tc>
        <w:tc>
          <w:tcPr>
            <w:tcW w:w="2480" w:type="dxa"/>
            <w:shd w:val="clear" w:color="000000" w:fill="FFFFFF"/>
          </w:tcPr>
          <w:p w14:paraId="116E7C7E" w14:textId="77777777" w:rsidR="00D5497A" w:rsidRPr="00EF2F18" w:rsidRDefault="00D5497A" w:rsidP="004C5633">
            <w:pPr>
              <w:spacing w:after="0"/>
              <w:rPr>
                <w:rFonts w:eastAsia="Times New Roman" w:cs="Times New Roman"/>
                <w:color w:val="000000"/>
                <w:sz w:val="20"/>
                <w:szCs w:val="20"/>
                <w:lang w:val="sr-Cyrl-RS" w:eastAsia="sr-Cyrl-RS"/>
              </w:rPr>
            </w:pPr>
          </w:p>
        </w:tc>
        <w:tc>
          <w:tcPr>
            <w:tcW w:w="2435" w:type="dxa"/>
          </w:tcPr>
          <w:p w14:paraId="56AA9AA8" w14:textId="77777777" w:rsidR="00D5497A" w:rsidRPr="00EF2F18" w:rsidRDefault="00D5497A" w:rsidP="004C5633">
            <w:pPr>
              <w:spacing w:after="0"/>
              <w:jc w:val="right"/>
              <w:rPr>
                <w:rFonts w:eastAsia="Times New Roman" w:cs="Times New Roman"/>
                <w:color w:val="000000"/>
                <w:sz w:val="20"/>
                <w:szCs w:val="20"/>
                <w:lang w:val="sr-Cyrl-RS" w:eastAsia="sr-Cyrl-RS"/>
              </w:rPr>
            </w:pPr>
          </w:p>
        </w:tc>
        <w:tc>
          <w:tcPr>
            <w:tcW w:w="2340" w:type="dxa"/>
          </w:tcPr>
          <w:p w14:paraId="69FBF14D" w14:textId="77777777" w:rsidR="00D5497A" w:rsidRPr="00EF2F18" w:rsidRDefault="00D5497A" w:rsidP="004C5633">
            <w:pPr>
              <w:spacing w:after="0"/>
              <w:jc w:val="right"/>
              <w:rPr>
                <w:rFonts w:eastAsia="Times New Roman" w:cs="Times New Roman"/>
                <w:color w:val="000000"/>
                <w:sz w:val="20"/>
                <w:szCs w:val="20"/>
                <w:lang w:val="sr-Cyrl-RS" w:eastAsia="sr-Cyrl-RS"/>
              </w:rPr>
            </w:pPr>
          </w:p>
        </w:tc>
        <w:tc>
          <w:tcPr>
            <w:tcW w:w="2430" w:type="dxa"/>
            <w:shd w:val="clear" w:color="000000" w:fill="FFFFFF"/>
          </w:tcPr>
          <w:p w14:paraId="016501C0" w14:textId="77777777" w:rsidR="00D5497A" w:rsidRPr="00EF2F18" w:rsidRDefault="00D5497A" w:rsidP="004C5633">
            <w:pPr>
              <w:spacing w:after="0"/>
              <w:jc w:val="right"/>
              <w:rPr>
                <w:rFonts w:eastAsia="Times New Roman" w:cs="Times New Roman"/>
                <w:color w:val="000000"/>
                <w:sz w:val="20"/>
                <w:szCs w:val="20"/>
                <w:lang w:val="sr-Cyrl-RS" w:eastAsia="sr-Cyrl-RS"/>
              </w:rPr>
            </w:pPr>
          </w:p>
        </w:tc>
      </w:tr>
      <w:tr w:rsidR="00BB108D" w:rsidRPr="00EF2F18" w14:paraId="5A23C3D2" w14:textId="77777777" w:rsidTr="00AE4263">
        <w:trPr>
          <w:trHeight w:val="356"/>
        </w:trPr>
        <w:tc>
          <w:tcPr>
            <w:tcW w:w="3800" w:type="dxa"/>
            <w:shd w:val="clear" w:color="000000" w:fill="FFFFFF"/>
            <w:vAlign w:val="center"/>
            <w:hideMark/>
          </w:tcPr>
          <w:p w14:paraId="6D82B72E" w14:textId="77777777" w:rsidR="00BB108D" w:rsidRPr="00EF2F18" w:rsidRDefault="00BB108D" w:rsidP="00146861">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w:t>
            </w:r>
            <w:r w:rsidRPr="00EF2F18">
              <w:rPr>
                <w:rFonts w:eastAsia="Times New Roman" w:cs="Times New Roman"/>
                <w:color w:val="000000"/>
                <w:sz w:val="20"/>
                <w:szCs w:val="20"/>
                <w:lang w:val="sr-Cyrl-RS" w:eastAsia="sr-Cyrl-RS"/>
              </w:rPr>
              <w:t xml:space="preserve"> редовна издвајања</w:t>
            </w:r>
            <w:r w:rsidRPr="00EF2F18">
              <w:rPr>
                <w:rFonts w:eastAsia="Times New Roman" w:cs="Times New Roman"/>
                <w:sz w:val="20"/>
                <w:szCs w:val="20"/>
                <w:lang w:val="sr-Cyrl-RS" w:eastAsia="sr-Cyrl-RS"/>
              </w:rPr>
              <w:t xml:space="preserve"> (МРЕ)</w:t>
            </w:r>
          </w:p>
        </w:tc>
        <w:tc>
          <w:tcPr>
            <w:tcW w:w="2480" w:type="dxa"/>
            <w:shd w:val="clear" w:color="000000" w:fill="FFFFFF"/>
            <w:vAlign w:val="center"/>
            <w:hideMark/>
          </w:tcPr>
          <w:p w14:paraId="4ABA6336" w14:textId="77777777" w:rsidR="00BB108D" w:rsidRPr="00EF2F18" w:rsidRDefault="00BB108D" w:rsidP="00146861">
            <w:pPr>
              <w:spacing w:after="0"/>
              <w:rPr>
                <w:rFonts w:eastAsia="Times New Roman" w:cs="Times New Roman"/>
                <w:color w:val="000000"/>
                <w:sz w:val="20"/>
                <w:szCs w:val="20"/>
                <w:lang w:val="sr-Cyrl-RS" w:eastAsia="sr-Cyrl-RS"/>
              </w:rPr>
            </w:pPr>
          </w:p>
        </w:tc>
        <w:tc>
          <w:tcPr>
            <w:tcW w:w="2435" w:type="dxa"/>
            <w:vAlign w:val="center"/>
          </w:tcPr>
          <w:p w14:paraId="30ACB0A9" w14:textId="7A095AA6" w:rsidR="00BB108D" w:rsidRPr="00EF2F18" w:rsidRDefault="00BB108D" w:rsidP="00146861">
            <w:pPr>
              <w:spacing w:after="0"/>
              <w:jc w:val="right"/>
              <w:rPr>
                <w:rFonts w:eastAsia="Times New Roman" w:cs="Times New Roman"/>
                <w:color w:val="000000"/>
                <w:sz w:val="20"/>
                <w:szCs w:val="20"/>
                <w:lang w:val="sr-Cyrl-RS" w:eastAsia="sr-Cyrl-RS"/>
              </w:rPr>
            </w:pPr>
          </w:p>
        </w:tc>
        <w:tc>
          <w:tcPr>
            <w:tcW w:w="2340" w:type="dxa"/>
            <w:vAlign w:val="center"/>
          </w:tcPr>
          <w:p w14:paraId="6C021E21" w14:textId="4FD002D4" w:rsidR="00BB108D" w:rsidRPr="00EF2F18" w:rsidRDefault="00BB108D" w:rsidP="00146861">
            <w:pPr>
              <w:spacing w:after="0"/>
              <w:jc w:val="right"/>
              <w:rPr>
                <w:rFonts w:eastAsia="Times New Roman" w:cs="Times New Roman"/>
                <w:color w:val="000000"/>
                <w:sz w:val="20"/>
                <w:szCs w:val="20"/>
                <w:lang w:val="sr-Cyrl-RS" w:eastAsia="sr-Cyrl-RS"/>
              </w:rPr>
            </w:pPr>
          </w:p>
        </w:tc>
        <w:tc>
          <w:tcPr>
            <w:tcW w:w="2430" w:type="dxa"/>
            <w:shd w:val="clear" w:color="000000" w:fill="FFFFFF"/>
            <w:vAlign w:val="center"/>
          </w:tcPr>
          <w:p w14:paraId="284AD6EB" w14:textId="4B4FCF49" w:rsidR="00BB108D" w:rsidRPr="00EF2F18" w:rsidRDefault="00BB108D" w:rsidP="00146861">
            <w:pPr>
              <w:spacing w:after="0"/>
              <w:jc w:val="right"/>
              <w:rPr>
                <w:rFonts w:eastAsia="Times New Roman" w:cs="Times New Roman"/>
                <w:color w:val="000000"/>
                <w:sz w:val="20"/>
                <w:szCs w:val="20"/>
                <w:lang w:val="sr-Cyrl-RS" w:eastAsia="sr-Cyrl-RS"/>
              </w:rPr>
            </w:pPr>
          </w:p>
        </w:tc>
      </w:tr>
    </w:tbl>
    <w:p w14:paraId="291C2FF3" w14:textId="77777777" w:rsidR="007D7243" w:rsidRPr="00EF2F18" w:rsidRDefault="007D7243" w:rsidP="007D7243">
      <w:pPr>
        <w:spacing w:after="0"/>
        <w:rPr>
          <w:lang w:val="sr-Cyrl-RS"/>
        </w:rPr>
      </w:pP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275"/>
        <w:gridCol w:w="1276"/>
        <w:gridCol w:w="1182"/>
        <w:gridCol w:w="1400"/>
        <w:gridCol w:w="1406"/>
        <w:gridCol w:w="1387"/>
        <w:gridCol w:w="1440"/>
        <w:gridCol w:w="1440"/>
      </w:tblGrid>
      <w:tr w:rsidR="007D7243" w:rsidRPr="00EF2F18" w14:paraId="06940127" w14:textId="77777777" w:rsidTr="00E94061">
        <w:trPr>
          <w:trHeight w:val="759"/>
        </w:trPr>
        <w:tc>
          <w:tcPr>
            <w:tcW w:w="2689" w:type="dxa"/>
            <w:vMerge w:val="restart"/>
            <w:shd w:val="clear" w:color="000000" w:fill="FFF2CC"/>
            <w:hideMark/>
          </w:tcPr>
          <w:p w14:paraId="39683CE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5" w:type="dxa"/>
            <w:vMerge w:val="restart"/>
            <w:shd w:val="clear" w:color="000000" w:fill="FFF2CC"/>
            <w:hideMark/>
          </w:tcPr>
          <w:p w14:paraId="6EF4D8D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6" w:type="dxa"/>
            <w:vMerge w:val="restart"/>
            <w:shd w:val="clear" w:color="000000" w:fill="FFF2CC"/>
            <w:hideMark/>
          </w:tcPr>
          <w:p w14:paraId="422F53B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2CAAB84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2C6CECE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06" w:type="dxa"/>
            <w:vMerge w:val="restart"/>
            <w:shd w:val="clear" w:color="000000" w:fill="FFF2CC"/>
            <w:hideMark/>
          </w:tcPr>
          <w:p w14:paraId="69C9946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267" w:type="dxa"/>
            <w:gridSpan w:val="3"/>
            <w:shd w:val="clear" w:color="000000" w:fill="FFF2CC"/>
            <w:hideMark/>
          </w:tcPr>
          <w:p w14:paraId="754F845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E94061" w:rsidRPr="00EF2F18" w14:paraId="4761FA0B" w14:textId="77777777" w:rsidTr="00E94061">
        <w:trPr>
          <w:trHeight w:val="324"/>
        </w:trPr>
        <w:tc>
          <w:tcPr>
            <w:tcW w:w="2689" w:type="dxa"/>
            <w:vMerge/>
            <w:hideMark/>
          </w:tcPr>
          <w:p w14:paraId="76FCF408"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75" w:type="dxa"/>
            <w:vMerge/>
            <w:hideMark/>
          </w:tcPr>
          <w:p w14:paraId="612ABFF4"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76" w:type="dxa"/>
            <w:vMerge/>
            <w:hideMark/>
          </w:tcPr>
          <w:p w14:paraId="4012E6F5"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182" w:type="dxa"/>
            <w:vMerge/>
            <w:hideMark/>
          </w:tcPr>
          <w:p w14:paraId="30330D63"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400" w:type="dxa"/>
            <w:vMerge/>
            <w:hideMark/>
          </w:tcPr>
          <w:p w14:paraId="31955446"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406" w:type="dxa"/>
            <w:vMerge/>
            <w:hideMark/>
          </w:tcPr>
          <w:p w14:paraId="48CEDBF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87" w:type="dxa"/>
            <w:shd w:val="clear" w:color="000000" w:fill="FFF2CC"/>
            <w:hideMark/>
          </w:tcPr>
          <w:p w14:paraId="0A156012" w14:textId="04D52ECE"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440" w:type="dxa"/>
            <w:shd w:val="clear" w:color="000000" w:fill="FFF2CC"/>
            <w:hideMark/>
          </w:tcPr>
          <w:p w14:paraId="71133DC5" w14:textId="733D67BB"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shd w:val="clear" w:color="000000" w:fill="FFF2CC"/>
            <w:hideMark/>
          </w:tcPr>
          <w:p w14:paraId="0A35A75B" w14:textId="3666884C"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E94061" w:rsidRPr="00EF2F18" w14:paraId="5DFFBACB" w14:textId="77777777" w:rsidTr="00E94061">
        <w:trPr>
          <w:trHeight w:val="914"/>
        </w:trPr>
        <w:tc>
          <w:tcPr>
            <w:tcW w:w="2689" w:type="dxa"/>
            <w:hideMark/>
          </w:tcPr>
          <w:p w14:paraId="14C24360" w14:textId="03BA2EB5"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bidi="en-US"/>
              </w:rPr>
              <w:t xml:space="preserve">1.1.6.1. Реализација Плана система подстицаја од 2023-2025. године </w:t>
            </w:r>
          </w:p>
        </w:tc>
        <w:tc>
          <w:tcPr>
            <w:tcW w:w="1275" w:type="dxa"/>
            <w:hideMark/>
          </w:tcPr>
          <w:p w14:paraId="7B9F895F"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276" w:type="dxa"/>
            <w:hideMark/>
          </w:tcPr>
          <w:p w14:paraId="3265F700"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182" w:type="dxa"/>
            <w:hideMark/>
          </w:tcPr>
          <w:p w14:paraId="0CC18DA6"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7863DA31"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06" w:type="dxa"/>
            <w:hideMark/>
          </w:tcPr>
          <w:p w14:paraId="29B66F2E"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87" w:type="dxa"/>
          </w:tcPr>
          <w:p w14:paraId="1F536FAD" w14:textId="58B55E40"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5EEFF6EB" w14:textId="47245A9F"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36E0829E" w14:textId="045B8C5C"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795230B4" w14:textId="77777777" w:rsidTr="00E94061">
        <w:trPr>
          <w:trHeight w:val="416"/>
        </w:trPr>
        <w:tc>
          <w:tcPr>
            <w:tcW w:w="2689" w:type="dxa"/>
            <w:hideMark/>
          </w:tcPr>
          <w:p w14:paraId="36ADDDF4" w14:textId="5F753F29"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1.1.6.2. Реализаци</w:t>
            </w:r>
            <w:r w:rsidR="00C43ADC">
              <w:rPr>
                <w:rFonts w:eastAsia="Times New Roman" w:cs="Times New Roman"/>
                <w:color w:val="000000"/>
                <w:sz w:val="20"/>
                <w:szCs w:val="20"/>
                <w:lang w:val="sr-Cyrl-RS" w:eastAsia="sr-Cyrl-RS"/>
              </w:rPr>
              <w:t>ја ОИЕ пројеката од стране ЕПС АД</w:t>
            </w:r>
            <w:r w:rsidRPr="00EF2F18">
              <w:rPr>
                <w:rFonts w:eastAsia="Times New Roman" w:cs="Times New Roman"/>
                <w:color w:val="000000"/>
                <w:sz w:val="20"/>
                <w:szCs w:val="20"/>
                <w:lang w:val="sr-Cyrl-RS" w:eastAsia="sr-Cyrl-RS"/>
              </w:rPr>
              <w:t xml:space="preserve"> у складу са Полазним основама плана развоја енергетске инфраструктуре и мера енергетске ефикасности за период до 2028. године са пројекцијама до 2030. године </w:t>
            </w:r>
          </w:p>
        </w:tc>
        <w:tc>
          <w:tcPr>
            <w:tcW w:w="1275" w:type="dxa"/>
            <w:hideMark/>
          </w:tcPr>
          <w:p w14:paraId="4728BC2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276" w:type="dxa"/>
            <w:hideMark/>
          </w:tcPr>
          <w:p w14:paraId="00C7B85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08F842C5"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37262C8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06" w:type="dxa"/>
            <w:hideMark/>
          </w:tcPr>
          <w:p w14:paraId="4E86F56C"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87" w:type="dxa"/>
          </w:tcPr>
          <w:p w14:paraId="58287F53" w14:textId="3ECF2CEF"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24A982A6" w14:textId="0CF8C5F6"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1605D893" w14:textId="78C3DCC1"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126F910A" w14:textId="77777777" w:rsidTr="00E94061">
        <w:trPr>
          <w:trHeight w:val="1266"/>
        </w:trPr>
        <w:tc>
          <w:tcPr>
            <w:tcW w:w="2689" w:type="dxa"/>
            <w:hideMark/>
          </w:tcPr>
          <w:p w14:paraId="61235729" w14:textId="18A12111"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1.1.6.3 Доношење новог плана система подстицаја у складу са Законом о коришћењу ОИЕ од 2025. до 2028. године </w:t>
            </w:r>
          </w:p>
        </w:tc>
        <w:tc>
          <w:tcPr>
            <w:tcW w:w="1275" w:type="dxa"/>
            <w:hideMark/>
          </w:tcPr>
          <w:p w14:paraId="23D39DC8"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276" w:type="dxa"/>
            <w:hideMark/>
          </w:tcPr>
          <w:p w14:paraId="0858CBFD"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АЕРС</w:t>
            </w:r>
          </w:p>
        </w:tc>
        <w:tc>
          <w:tcPr>
            <w:tcW w:w="1182" w:type="dxa"/>
            <w:hideMark/>
          </w:tcPr>
          <w:p w14:paraId="51966394"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11770739" w14:textId="748507E6"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406" w:type="dxa"/>
          </w:tcPr>
          <w:p w14:paraId="1E5CE31C" w14:textId="50762BDC" w:rsidR="00E94061" w:rsidRPr="00EF2F18" w:rsidRDefault="00E94061" w:rsidP="00752CA0">
            <w:pPr>
              <w:spacing w:after="0"/>
              <w:rPr>
                <w:rFonts w:eastAsia="Times New Roman" w:cs="Times New Roman"/>
                <w:color w:val="000000"/>
                <w:sz w:val="20"/>
                <w:szCs w:val="20"/>
                <w:lang w:val="sr-Cyrl-RS" w:eastAsia="sr-Cyrl-RS"/>
              </w:rPr>
            </w:pPr>
          </w:p>
        </w:tc>
        <w:tc>
          <w:tcPr>
            <w:tcW w:w="1387" w:type="dxa"/>
          </w:tcPr>
          <w:p w14:paraId="3D7253F2" w14:textId="1136FB48"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660B47C0" w14:textId="5575547C"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59CC6C9C" w14:textId="76C3ED59"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7B736F98" w14:textId="77777777" w:rsidTr="00E94061">
        <w:trPr>
          <w:trHeight w:val="1068"/>
        </w:trPr>
        <w:tc>
          <w:tcPr>
            <w:tcW w:w="2689" w:type="dxa"/>
            <w:hideMark/>
          </w:tcPr>
          <w:p w14:paraId="5D1BE37B"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1.1.6.4. Припрема и спровођење програма подстицаја за коришћење ОИЕ у сектору даљинског грејања</w:t>
            </w:r>
          </w:p>
        </w:tc>
        <w:tc>
          <w:tcPr>
            <w:tcW w:w="1275" w:type="dxa"/>
            <w:hideMark/>
          </w:tcPr>
          <w:p w14:paraId="11F2BE0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276" w:type="dxa"/>
            <w:hideMark/>
          </w:tcPr>
          <w:p w14:paraId="2870CBF1"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0A4C9546"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3707652A" w14:textId="75F23771"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Донаторска средства </w:t>
            </w:r>
            <w:r w:rsidRPr="00EF2F18">
              <w:rPr>
                <w:rFonts w:eastAsia="Times New Roman" w:cs="Times New Roman"/>
                <w:sz w:val="20"/>
                <w:szCs w:val="20"/>
                <w:lang w:val="sr-Cyrl-RS" w:eastAsia="sr-Cyrl-RS"/>
              </w:rPr>
              <w:t>(KfW)</w:t>
            </w:r>
          </w:p>
        </w:tc>
        <w:tc>
          <w:tcPr>
            <w:tcW w:w="1406" w:type="dxa"/>
            <w:hideMark/>
          </w:tcPr>
          <w:p w14:paraId="2F80466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0501-430-4006-422</w:t>
            </w:r>
          </w:p>
          <w:p w14:paraId="01C70AA4" w14:textId="77777777" w:rsidR="00E94061" w:rsidRPr="00EF2F18" w:rsidRDefault="00E94061" w:rsidP="00752CA0">
            <w:pPr>
              <w:spacing w:after="0"/>
              <w:rPr>
                <w:rFonts w:eastAsia="Times New Roman" w:cs="Times New Roman"/>
                <w:color w:val="000000"/>
                <w:sz w:val="20"/>
                <w:szCs w:val="20"/>
                <w:lang w:val="sr-Cyrl-RS" w:eastAsia="sr-Cyrl-RS"/>
              </w:rPr>
            </w:pPr>
          </w:p>
          <w:p w14:paraId="0B704C43" w14:textId="2CBDA09A"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0501-430-4006-423</w:t>
            </w:r>
          </w:p>
          <w:p w14:paraId="5AAAD229" w14:textId="77777777" w:rsidR="00E94061" w:rsidRPr="00EF2F18" w:rsidRDefault="00E94061" w:rsidP="00752CA0">
            <w:pPr>
              <w:spacing w:after="0"/>
              <w:rPr>
                <w:rFonts w:eastAsia="Times New Roman" w:cs="Times New Roman"/>
                <w:color w:val="000000"/>
                <w:sz w:val="20"/>
                <w:szCs w:val="20"/>
                <w:lang w:val="sr-Cyrl-RS" w:eastAsia="sr-Cyrl-RS"/>
              </w:rPr>
            </w:pPr>
          </w:p>
          <w:p w14:paraId="31C0C1B8" w14:textId="7A1846A1" w:rsidR="00E94061" w:rsidRPr="00EF2F18" w:rsidRDefault="00E94061" w:rsidP="002C6876">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0501-430-4006-424</w:t>
            </w:r>
          </w:p>
        </w:tc>
        <w:tc>
          <w:tcPr>
            <w:tcW w:w="1387" w:type="dxa"/>
            <w:hideMark/>
          </w:tcPr>
          <w:p w14:paraId="2F270154" w14:textId="01884DB2"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w:t>
            </w:r>
          </w:p>
          <w:p w14:paraId="675DB594"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D3DACC0"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50F2A40C"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p w14:paraId="23856E86"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F4D87D9"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6CEC20D9" w14:textId="008ED0D2"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38.040</w:t>
            </w:r>
          </w:p>
          <w:p w14:paraId="5323993E" w14:textId="1DC58C0F"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hideMark/>
          </w:tcPr>
          <w:p w14:paraId="69ED3F6C" w14:textId="65194B4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500 </w:t>
            </w:r>
          </w:p>
          <w:p w14:paraId="2BA4AD8D"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1A9C251C"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028A79A"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p w14:paraId="048AC121"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174EAAF1"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7916723" w14:textId="40EA1A36"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38.040</w:t>
            </w:r>
          </w:p>
          <w:p w14:paraId="17BABAF0" w14:textId="03452833"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hideMark/>
          </w:tcPr>
          <w:p w14:paraId="71A253BD" w14:textId="658DF001" w:rsidR="00E94061" w:rsidRPr="00EF2F18" w:rsidRDefault="00E94061" w:rsidP="00752CA0">
            <w:pPr>
              <w:spacing w:after="0"/>
              <w:jc w:val="right"/>
              <w:rPr>
                <w:rFonts w:eastAsia="Times New Roman" w:cs="Times New Roman"/>
                <w:color w:val="000000"/>
                <w:sz w:val="20"/>
                <w:szCs w:val="20"/>
                <w:lang w:val="sr-Cyrl-RS" w:eastAsia="sr-Cyrl-RS"/>
              </w:rPr>
            </w:pPr>
          </w:p>
        </w:tc>
      </w:tr>
    </w:tbl>
    <w:p w14:paraId="3DB17930" w14:textId="1616383E" w:rsidR="007D7243" w:rsidRPr="005C0CF6" w:rsidRDefault="00625841"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bookmarkEnd w:id="161"/>
    </w:p>
    <w:tbl>
      <w:tblPr>
        <w:tblW w:w="135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15" w:type="dxa"/>
        </w:tblCellMar>
        <w:tblLook w:val="04A0" w:firstRow="1" w:lastRow="0" w:firstColumn="1" w:lastColumn="0" w:noHBand="0" w:noVBand="1"/>
      </w:tblPr>
      <w:tblGrid>
        <w:gridCol w:w="2679"/>
        <w:gridCol w:w="1266"/>
        <w:gridCol w:w="1397"/>
        <w:gridCol w:w="1145"/>
        <w:gridCol w:w="1332"/>
        <w:gridCol w:w="1438"/>
        <w:gridCol w:w="1348"/>
        <w:gridCol w:w="1440"/>
        <w:gridCol w:w="1440"/>
        <w:gridCol w:w="28"/>
      </w:tblGrid>
      <w:tr w:rsidR="007D7243" w:rsidRPr="00EF2F18" w14:paraId="2A8E7FDE" w14:textId="77777777" w:rsidTr="00752CA0">
        <w:trPr>
          <w:trHeight w:val="336"/>
        </w:trPr>
        <w:tc>
          <w:tcPr>
            <w:tcW w:w="13513" w:type="dxa"/>
            <w:gridSpan w:val="10"/>
            <w:shd w:val="clear" w:color="000000" w:fill="F7CAAC"/>
            <w:vAlign w:val="center"/>
            <w:hideMark/>
          </w:tcPr>
          <w:p w14:paraId="5C830CCA"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Мера 1.1.7: Подстицање унапређења енергетске ефикасности и повећање коришћења ОИЕ у индустрији</w:t>
            </w:r>
          </w:p>
        </w:tc>
      </w:tr>
      <w:tr w:rsidR="007D7243" w:rsidRPr="00EF2F18" w14:paraId="324106DA" w14:textId="77777777" w:rsidTr="00752CA0">
        <w:trPr>
          <w:trHeight w:val="336"/>
        </w:trPr>
        <w:tc>
          <w:tcPr>
            <w:tcW w:w="13513" w:type="dxa"/>
            <w:gridSpan w:val="10"/>
            <w:shd w:val="clear" w:color="000000" w:fill="F7CAAC"/>
            <w:vAlign w:val="center"/>
            <w:hideMark/>
          </w:tcPr>
          <w:p w14:paraId="37CC435D"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рударства и енергетике</w:t>
            </w:r>
          </w:p>
        </w:tc>
      </w:tr>
      <w:tr w:rsidR="007D7243" w:rsidRPr="00EF2F18" w14:paraId="284418FA" w14:textId="77777777" w:rsidTr="00752CA0">
        <w:trPr>
          <w:trHeight w:val="336"/>
        </w:trPr>
        <w:tc>
          <w:tcPr>
            <w:tcW w:w="6487" w:type="dxa"/>
            <w:gridSpan w:val="4"/>
            <w:shd w:val="clear" w:color="000000" w:fill="F7CAAC"/>
            <w:vAlign w:val="center"/>
            <w:hideMark/>
          </w:tcPr>
          <w:p w14:paraId="03B0984A" w14:textId="58BF289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 202</w:t>
            </w:r>
            <w:r w:rsidR="00E94061"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7026" w:type="dxa"/>
            <w:gridSpan w:val="6"/>
            <w:shd w:val="clear" w:color="000000" w:fill="F7CAAC"/>
            <w:vAlign w:val="center"/>
            <w:hideMark/>
          </w:tcPr>
          <w:p w14:paraId="28CF001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подстицајна</w:t>
            </w:r>
          </w:p>
        </w:tc>
      </w:tr>
      <w:tr w:rsidR="007D7243" w:rsidRPr="00EF2F18" w14:paraId="0DEF02BE" w14:textId="77777777" w:rsidTr="00752CA0">
        <w:trPr>
          <w:trHeight w:val="336"/>
        </w:trPr>
        <w:tc>
          <w:tcPr>
            <w:tcW w:w="6487" w:type="dxa"/>
            <w:gridSpan w:val="4"/>
            <w:shd w:val="clear" w:color="000000" w:fill="F7CAAC"/>
            <w:vAlign w:val="center"/>
            <w:hideMark/>
          </w:tcPr>
          <w:p w14:paraId="577EEA63"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7026" w:type="dxa"/>
            <w:gridSpan w:val="6"/>
            <w:shd w:val="clear" w:color="000000" w:fill="F7CAAC"/>
            <w:vAlign w:val="center"/>
            <w:hideMark/>
          </w:tcPr>
          <w:p w14:paraId="3AF2C15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E94061" w:rsidRPr="00EF2F18" w14:paraId="1F31F143" w14:textId="77777777" w:rsidTr="00E94061">
        <w:trPr>
          <w:gridAfter w:val="1"/>
          <w:wAfter w:w="28" w:type="dxa"/>
          <w:trHeight w:val="816"/>
        </w:trPr>
        <w:tc>
          <w:tcPr>
            <w:tcW w:w="2679" w:type="dxa"/>
            <w:shd w:val="clear" w:color="000000" w:fill="D9D9D9"/>
            <w:hideMark/>
          </w:tcPr>
          <w:p w14:paraId="2548DCFC"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66" w:type="dxa"/>
            <w:shd w:val="clear" w:color="000000" w:fill="D9D9D9"/>
            <w:hideMark/>
          </w:tcPr>
          <w:p w14:paraId="77527E98"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397" w:type="dxa"/>
            <w:shd w:val="clear" w:color="000000" w:fill="D9D9D9"/>
            <w:hideMark/>
          </w:tcPr>
          <w:p w14:paraId="32CF7F43"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477" w:type="dxa"/>
            <w:gridSpan w:val="2"/>
            <w:shd w:val="clear" w:color="000000" w:fill="D9D9D9"/>
            <w:hideMark/>
          </w:tcPr>
          <w:p w14:paraId="5D51F27F"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38" w:type="dxa"/>
            <w:shd w:val="clear" w:color="000000" w:fill="D9D9D9"/>
            <w:hideMark/>
          </w:tcPr>
          <w:p w14:paraId="2BD0E514"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48" w:type="dxa"/>
            <w:shd w:val="clear" w:color="000000" w:fill="D9D9D9"/>
            <w:hideMark/>
          </w:tcPr>
          <w:p w14:paraId="4306D789"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78877B68"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440" w:type="dxa"/>
            <w:shd w:val="clear" w:color="000000" w:fill="D9D9D9"/>
            <w:hideMark/>
          </w:tcPr>
          <w:p w14:paraId="0096406B"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E94061" w:rsidRPr="00EF2F18" w14:paraId="661071DC" w14:textId="77777777" w:rsidTr="00E94061">
        <w:trPr>
          <w:gridAfter w:val="1"/>
          <w:wAfter w:w="28" w:type="dxa"/>
          <w:trHeight w:val="1092"/>
        </w:trPr>
        <w:tc>
          <w:tcPr>
            <w:tcW w:w="2679" w:type="dxa"/>
            <w:vMerge w:val="restart"/>
            <w:shd w:val="clear" w:color="000000" w:fill="FFFFFF"/>
            <w:hideMark/>
          </w:tcPr>
          <w:p w14:paraId="5A014725"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Угљенични интензитет индустрије*</w:t>
            </w:r>
          </w:p>
        </w:tc>
        <w:tc>
          <w:tcPr>
            <w:tcW w:w="1266" w:type="dxa"/>
            <w:vMerge w:val="restart"/>
            <w:shd w:val="clear" w:color="000000" w:fill="FFFFFF"/>
            <w:hideMark/>
          </w:tcPr>
          <w:p w14:paraId="7E13376F"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tCО2/toe</w:t>
            </w:r>
          </w:p>
        </w:tc>
        <w:tc>
          <w:tcPr>
            <w:tcW w:w="1397" w:type="dxa"/>
            <w:vMerge w:val="restart"/>
            <w:shd w:val="clear" w:color="000000" w:fill="FFFFFF"/>
            <w:hideMark/>
          </w:tcPr>
          <w:p w14:paraId="42428F84"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Извештај Националног инвентара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(IPCC категорија - 1А2) / ЕБ РС</w:t>
            </w:r>
          </w:p>
        </w:tc>
        <w:tc>
          <w:tcPr>
            <w:tcW w:w="2477" w:type="dxa"/>
            <w:gridSpan w:val="2"/>
            <w:vMerge w:val="restart"/>
            <w:shd w:val="clear" w:color="000000" w:fill="FFFFFF"/>
            <w:hideMark/>
          </w:tcPr>
          <w:p w14:paraId="0E888DE7"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1,89</w:t>
            </w:r>
          </w:p>
        </w:tc>
        <w:tc>
          <w:tcPr>
            <w:tcW w:w="1438" w:type="dxa"/>
            <w:vMerge w:val="restart"/>
            <w:shd w:val="clear" w:color="000000" w:fill="FFFFFF"/>
            <w:hideMark/>
          </w:tcPr>
          <w:p w14:paraId="27B88D51"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2015.</w:t>
            </w:r>
          </w:p>
        </w:tc>
        <w:tc>
          <w:tcPr>
            <w:tcW w:w="1348" w:type="dxa"/>
            <w:vMerge w:val="restart"/>
            <w:shd w:val="clear" w:color="000000" w:fill="FFFFFF"/>
            <w:hideMark/>
          </w:tcPr>
          <w:p w14:paraId="4AFAE8E9"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vMerge w:val="restart"/>
            <w:shd w:val="clear" w:color="000000" w:fill="FFFFFF"/>
            <w:hideMark/>
          </w:tcPr>
          <w:p w14:paraId="16C60F7C"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vMerge w:val="restart"/>
            <w:shd w:val="clear" w:color="000000" w:fill="FFFFFF"/>
            <w:hideMark/>
          </w:tcPr>
          <w:p w14:paraId="474CBD8C"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1,85</w:t>
            </w:r>
          </w:p>
        </w:tc>
      </w:tr>
      <w:tr w:rsidR="00E94061" w:rsidRPr="00EF2F18" w14:paraId="464EDEC0" w14:textId="77777777" w:rsidTr="00E94061">
        <w:trPr>
          <w:gridAfter w:val="1"/>
          <w:wAfter w:w="28" w:type="dxa"/>
          <w:trHeight w:val="600"/>
        </w:trPr>
        <w:tc>
          <w:tcPr>
            <w:tcW w:w="2679" w:type="dxa"/>
            <w:vMerge/>
            <w:vAlign w:val="center"/>
            <w:hideMark/>
          </w:tcPr>
          <w:p w14:paraId="1FECE223"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66" w:type="dxa"/>
            <w:vMerge/>
            <w:vAlign w:val="center"/>
            <w:hideMark/>
          </w:tcPr>
          <w:p w14:paraId="5DAC0AB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97" w:type="dxa"/>
            <w:vMerge/>
            <w:vAlign w:val="center"/>
            <w:hideMark/>
          </w:tcPr>
          <w:p w14:paraId="2C230810"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477" w:type="dxa"/>
            <w:gridSpan w:val="2"/>
            <w:vMerge/>
            <w:vAlign w:val="center"/>
            <w:hideMark/>
          </w:tcPr>
          <w:p w14:paraId="56F90688"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438" w:type="dxa"/>
            <w:vMerge/>
            <w:vAlign w:val="center"/>
            <w:hideMark/>
          </w:tcPr>
          <w:p w14:paraId="2A7C7C8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48" w:type="dxa"/>
            <w:vMerge/>
            <w:vAlign w:val="center"/>
            <w:hideMark/>
          </w:tcPr>
          <w:p w14:paraId="00E8003E"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440" w:type="dxa"/>
            <w:vMerge/>
            <w:vAlign w:val="center"/>
            <w:hideMark/>
          </w:tcPr>
          <w:p w14:paraId="5F5E05F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440" w:type="dxa"/>
            <w:vMerge/>
            <w:vAlign w:val="center"/>
            <w:hideMark/>
          </w:tcPr>
          <w:p w14:paraId="3516C9F7" w14:textId="77777777" w:rsidR="00E94061" w:rsidRPr="00EF2F18" w:rsidRDefault="00E94061" w:rsidP="00752CA0">
            <w:pPr>
              <w:spacing w:after="0"/>
              <w:rPr>
                <w:rFonts w:eastAsia="Times New Roman" w:cs="Times New Roman"/>
                <w:color w:val="000000"/>
                <w:sz w:val="20"/>
                <w:szCs w:val="20"/>
                <w:lang w:val="sr-Cyrl-RS" w:eastAsia="sr-Cyrl-RS"/>
              </w:rPr>
            </w:pPr>
          </w:p>
        </w:tc>
      </w:tr>
    </w:tbl>
    <w:p w14:paraId="5AC4334E" w14:textId="77777777" w:rsidR="007D7243" w:rsidRPr="00EF2F18" w:rsidRDefault="007D7243" w:rsidP="007D7243">
      <w:pPr>
        <w:spacing w:after="0"/>
        <w:rPr>
          <w:rFonts w:cs="Times New Roman"/>
          <w:sz w:val="20"/>
          <w:szCs w:val="20"/>
          <w:lang w:val="sr-Cyrl-RS"/>
        </w:rPr>
      </w:pPr>
      <w:r w:rsidRPr="00EF2F18">
        <w:rPr>
          <w:lang w:val="sr-Cyrl-RS"/>
        </w:rPr>
        <w:t>*</w:t>
      </w:r>
      <w:r w:rsidRPr="00EF2F18">
        <w:rPr>
          <w:rFonts w:cs="Times New Roman"/>
          <w:sz w:val="20"/>
          <w:szCs w:val="20"/>
          <w:lang w:val="sr-Cyrl-RS"/>
        </w:rPr>
        <w:t xml:space="preserve"> За израчунавање се узимају подаци о потрошњи енергије у индустрији (Енергетски биланс РС) и одговарајући подаци о емисијама и топлотној моћи, у складу са </w:t>
      </w:r>
      <w:r w:rsidRPr="00EF2F18">
        <w:rPr>
          <w:rFonts w:cs="Times New Roman"/>
          <w:i/>
          <w:iCs/>
          <w:sz w:val="20"/>
          <w:szCs w:val="20"/>
          <w:lang w:val="sr-Cyrl-RS"/>
        </w:rPr>
        <w:t>IPCC</w:t>
      </w:r>
      <w:r w:rsidRPr="00EF2F18">
        <w:rPr>
          <w:rFonts w:cs="Times New Roman"/>
          <w:sz w:val="20"/>
          <w:szCs w:val="20"/>
          <w:lang w:val="sr-Cyrl-RS"/>
        </w:rPr>
        <w:t xml:space="preserve"> методологијом.</w:t>
      </w:r>
    </w:p>
    <w:p w14:paraId="33F12315"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480"/>
        <w:gridCol w:w="2255"/>
        <w:gridCol w:w="2430"/>
        <w:gridCol w:w="2595"/>
        <w:gridCol w:w="15"/>
      </w:tblGrid>
      <w:tr w:rsidR="007D7243" w:rsidRPr="00EF2F18" w14:paraId="2A5580A1" w14:textId="77777777" w:rsidTr="00E94061">
        <w:trPr>
          <w:gridAfter w:val="1"/>
          <w:wAfter w:w="15" w:type="dxa"/>
          <w:trHeight w:val="352"/>
        </w:trPr>
        <w:tc>
          <w:tcPr>
            <w:tcW w:w="3800" w:type="dxa"/>
            <w:vMerge w:val="restart"/>
            <w:shd w:val="clear" w:color="000000" w:fill="A8D08D"/>
            <w:hideMark/>
          </w:tcPr>
          <w:p w14:paraId="44DBBE1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3D191E1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shd w:val="clear" w:color="000000" w:fill="A8D08D"/>
            <w:hideMark/>
          </w:tcPr>
          <w:p w14:paraId="07A399F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E94061" w:rsidRPr="00EF2F18" w14:paraId="66AA80AE" w14:textId="77777777" w:rsidTr="00E94061">
        <w:trPr>
          <w:trHeight w:val="352"/>
        </w:trPr>
        <w:tc>
          <w:tcPr>
            <w:tcW w:w="3800" w:type="dxa"/>
            <w:vMerge/>
            <w:vAlign w:val="center"/>
            <w:hideMark/>
          </w:tcPr>
          <w:p w14:paraId="2D345E4E"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480" w:type="dxa"/>
            <w:vMerge/>
            <w:vAlign w:val="center"/>
            <w:hideMark/>
          </w:tcPr>
          <w:p w14:paraId="4D12AA8E"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255" w:type="dxa"/>
            <w:shd w:val="clear" w:color="000000" w:fill="A8D08D"/>
            <w:hideMark/>
          </w:tcPr>
          <w:p w14:paraId="29841368" w14:textId="6DAF1544"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shd w:val="clear" w:color="000000" w:fill="A8D08D"/>
            <w:hideMark/>
          </w:tcPr>
          <w:p w14:paraId="4AE95545" w14:textId="1F1F61DC"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610" w:type="dxa"/>
            <w:gridSpan w:val="2"/>
            <w:shd w:val="clear" w:color="000000" w:fill="A8D08D"/>
            <w:hideMark/>
          </w:tcPr>
          <w:p w14:paraId="747925C2" w14:textId="3F493534"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E94061" w:rsidRPr="00EF2F18" w14:paraId="5A3167E9" w14:textId="77777777" w:rsidTr="00E94061">
        <w:trPr>
          <w:trHeight w:val="339"/>
        </w:trPr>
        <w:tc>
          <w:tcPr>
            <w:tcW w:w="3800" w:type="dxa"/>
            <w:shd w:val="clear" w:color="000000" w:fill="FFFFFF"/>
            <w:vAlign w:val="center"/>
            <w:hideMark/>
          </w:tcPr>
          <w:p w14:paraId="36178122"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средства/редовна издвајања (МРЕ)</w:t>
            </w:r>
          </w:p>
        </w:tc>
        <w:tc>
          <w:tcPr>
            <w:tcW w:w="2480" w:type="dxa"/>
            <w:shd w:val="clear" w:color="000000" w:fill="FFFFFF"/>
            <w:vAlign w:val="center"/>
            <w:hideMark/>
          </w:tcPr>
          <w:p w14:paraId="3EC1BABC" w14:textId="5EA83B9B" w:rsidR="00E94061" w:rsidRPr="00EF2F18" w:rsidRDefault="00E94061" w:rsidP="00752CA0">
            <w:pPr>
              <w:spacing w:after="0"/>
              <w:rPr>
                <w:rFonts w:eastAsia="Times New Roman" w:cs="Times New Roman"/>
                <w:color w:val="000000"/>
                <w:sz w:val="20"/>
                <w:szCs w:val="20"/>
                <w:lang w:val="sr-Cyrl-RS" w:eastAsia="sr-Cyrl-RS"/>
              </w:rPr>
            </w:pPr>
          </w:p>
        </w:tc>
        <w:tc>
          <w:tcPr>
            <w:tcW w:w="2255" w:type="dxa"/>
            <w:vAlign w:val="center"/>
          </w:tcPr>
          <w:p w14:paraId="236F7B33" w14:textId="230B797A" w:rsidR="00E94061" w:rsidRPr="00EF2F18" w:rsidRDefault="00E94061" w:rsidP="00752CA0">
            <w:pPr>
              <w:spacing w:after="0"/>
              <w:jc w:val="right"/>
              <w:rPr>
                <w:rFonts w:eastAsia="Times New Roman" w:cs="Times New Roman"/>
                <w:color w:val="000000"/>
                <w:sz w:val="20"/>
                <w:szCs w:val="20"/>
                <w:lang w:val="sr-Cyrl-RS" w:eastAsia="sr-Cyrl-RS"/>
              </w:rPr>
            </w:pPr>
          </w:p>
        </w:tc>
        <w:tc>
          <w:tcPr>
            <w:tcW w:w="2430" w:type="dxa"/>
            <w:vAlign w:val="center"/>
          </w:tcPr>
          <w:p w14:paraId="06D60835" w14:textId="32E8AB96" w:rsidR="00E94061" w:rsidRPr="00EF2F18" w:rsidRDefault="00E94061" w:rsidP="00752CA0">
            <w:pPr>
              <w:spacing w:after="0"/>
              <w:jc w:val="right"/>
              <w:rPr>
                <w:rFonts w:eastAsia="Times New Roman" w:cs="Times New Roman"/>
                <w:color w:val="000000"/>
                <w:sz w:val="20"/>
                <w:szCs w:val="20"/>
                <w:lang w:val="sr-Cyrl-RS" w:eastAsia="sr-Cyrl-RS"/>
              </w:rPr>
            </w:pPr>
          </w:p>
        </w:tc>
        <w:tc>
          <w:tcPr>
            <w:tcW w:w="2610" w:type="dxa"/>
            <w:gridSpan w:val="2"/>
            <w:shd w:val="clear" w:color="000000" w:fill="FFFFFF"/>
            <w:vAlign w:val="center"/>
          </w:tcPr>
          <w:p w14:paraId="5C0580F7" w14:textId="78717028" w:rsidR="00E94061" w:rsidRPr="00EF2F18" w:rsidRDefault="00E94061" w:rsidP="00752CA0">
            <w:pPr>
              <w:spacing w:after="0"/>
              <w:jc w:val="right"/>
              <w:rPr>
                <w:rFonts w:eastAsia="Times New Roman" w:cs="Times New Roman"/>
                <w:color w:val="000000"/>
                <w:sz w:val="20"/>
                <w:szCs w:val="20"/>
                <w:lang w:val="sr-Cyrl-RS" w:eastAsia="sr-Cyrl-RS"/>
              </w:rPr>
            </w:pPr>
          </w:p>
        </w:tc>
      </w:tr>
    </w:tbl>
    <w:p w14:paraId="346C29DD" w14:textId="77777777" w:rsidR="007D7243" w:rsidRPr="00EF2F18" w:rsidRDefault="007D7243" w:rsidP="007D7243">
      <w:pPr>
        <w:spacing w:after="0"/>
        <w:rPr>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1260"/>
        <w:gridCol w:w="1387"/>
        <w:gridCol w:w="1182"/>
        <w:gridCol w:w="1691"/>
        <w:gridCol w:w="1340"/>
        <w:gridCol w:w="1317"/>
        <w:gridCol w:w="1350"/>
        <w:gridCol w:w="1350"/>
      </w:tblGrid>
      <w:tr w:rsidR="007D7243" w:rsidRPr="00EF2F18" w14:paraId="1109EE93" w14:textId="77777777" w:rsidTr="00E94061">
        <w:trPr>
          <w:trHeight w:val="696"/>
        </w:trPr>
        <w:tc>
          <w:tcPr>
            <w:tcW w:w="2708" w:type="dxa"/>
            <w:vMerge w:val="restart"/>
            <w:shd w:val="clear" w:color="000000" w:fill="FFF2CC"/>
            <w:hideMark/>
          </w:tcPr>
          <w:p w14:paraId="348EE36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60" w:type="dxa"/>
            <w:vMerge w:val="restart"/>
            <w:shd w:val="clear" w:color="000000" w:fill="FFF2CC"/>
            <w:hideMark/>
          </w:tcPr>
          <w:p w14:paraId="68B75B6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87" w:type="dxa"/>
            <w:vMerge w:val="restart"/>
            <w:shd w:val="clear" w:color="000000" w:fill="FFF2CC"/>
            <w:hideMark/>
          </w:tcPr>
          <w:p w14:paraId="5D3B89D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5022DE4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64B560D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1D501FC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17" w:type="dxa"/>
            <w:gridSpan w:val="3"/>
            <w:shd w:val="clear" w:color="000000" w:fill="FFF2CC"/>
            <w:hideMark/>
          </w:tcPr>
          <w:p w14:paraId="25DFAD5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E94061" w:rsidRPr="00EF2F18" w14:paraId="35612715" w14:textId="77777777" w:rsidTr="00E94061">
        <w:trPr>
          <w:trHeight w:val="441"/>
        </w:trPr>
        <w:tc>
          <w:tcPr>
            <w:tcW w:w="2708" w:type="dxa"/>
            <w:vMerge/>
            <w:hideMark/>
          </w:tcPr>
          <w:p w14:paraId="45123C9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60" w:type="dxa"/>
            <w:vMerge/>
            <w:hideMark/>
          </w:tcPr>
          <w:p w14:paraId="67AA653C"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87" w:type="dxa"/>
            <w:vMerge/>
            <w:hideMark/>
          </w:tcPr>
          <w:p w14:paraId="0EFA917B"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182" w:type="dxa"/>
            <w:vMerge/>
            <w:hideMark/>
          </w:tcPr>
          <w:p w14:paraId="3DABD7A0"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691" w:type="dxa"/>
            <w:vMerge/>
            <w:hideMark/>
          </w:tcPr>
          <w:p w14:paraId="047BFAF5"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40" w:type="dxa"/>
            <w:vMerge/>
            <w:hideMark/>
          </w:tcPr>
          <w:p w14:paraId="235736B6"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17" w:type="dxa"/>
            <w:shd w:val="clear" w:color="000000" w:fill="FFF2CC"/>
            <w:hideMark/>
          </w:tcPr>
          <w:p w14:paraId="5890FEDE" w14:textId="4A9EBCF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4D8E6264" w14:textId="70530280"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350" w:type="dxa"/>
            <w:shd w:val="clear" w:color="000000" w:fill="FFF2CC"/>
            <w:hideMark/>
          </w:tcPr>
          <w:p w14:paraId="6A6164B3" w14:textId="3D80D548"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E94061" w:rsidRPr="00EF2F18" w14:paraId="01A2F30C" w14:textId="77777777" w:rsidTr="00E94061">
        <w:trPr>
          <w:trHeight w:val="1068"/>
        </w:trPr>
        <w:tc>
          <w:tcPr>
            <w:tcW w:w="2708" w:type="dxa"/>
            <w:hideMark/>
          </w:tcPr>
          <w:p w14:paraId="6B25145D"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1.1.7.1. Креирање и спровођење шеме подршке за подстицање енергетске ефикасности у индустријском сектору</w:t>
            </w:r>
          </w:p>
        </w:tc>
        <w:tc>
          <w:tcPr>
            <w:tcW w:w="1260" w:type="dxa"/>
            <w:hideMark/>
          </w:tcPr>
          <w:p w14:paraId="088B156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MРE</w:t>
            </w:r>
          </w:p>
        </w:tc>
        <w:tc>
          <w:tcPr>
            <w:tcW w:w="1387" w:type="dxa"/>
            <w:hideMark/>
          </w:tcPr>
          <w:p w14:paraId="5AC1776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МПривреде, МЗЖС, ПКС</w:t>
            </w:r>
          </w:p>
        </w:tc>
        <w:tc>
          <w:tcPr>
            <w:tcW w:w="1182" w:type="dxa"/>
            <w:hideMark/>
          </w:tcPr>
          <w:p w14:paraId="4B0F4400"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23B07EB5"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44F99CE7"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17" w:type="dxa"/>
          </w:tcPr>
          <w:p w14:paraId="596DAFD7" w14:textId="5BC1CE6A" w:rsidR="00E94061" w:rsidRPr="00EF2F18" w:rsidRDefault="00E94061" w:rsidP="00752CA0">
            <w:pPr>
              <w:spacing w:after="0"/>
              <w:jc w:val="right"/>
              <w:rPr>
                <w:rFonts w:eastAsia="Times New Roman" w:cs="Times New Roman"/>
                <w:color w:val="000000"/>
                <w:sz w:val="20"/>
                <w:szCs w:val="20"/>
                <w:lang w:val="sr-Cyrl-RS" w:eastAsia="sr-Cyrl-RS"/>
              </w:rPr>
            </w:pPr>
          </w:p>
        </w:tc>
        <w:tc>
          <w:tcPr>
            <w:tcW w:w="1350" w:type="dxa"/>
          </w:tcPr>
          <w:p w14:paraId="5FFFABB0" w14:textId="6C8C41B6" w:rsidR="00E94061" w:rsidRPr="00EF2F18" w:rsidRDefault="00E94061" w:rsidP="00752CA0">
            <w:pPr>
              <w:spacing w:after="0"/>
              <w:jc w:val="right"/>
              <w:rPr>
                <w:rFonts w:eastAsia="Times New Roman" w:cs="Times New Roman"/>
                <w:color w:val="000000"/>
                <w:sz w:val="20"/>
                <w:szCs w:val="20"/>
                <w:lang w:val="sr-Cyrl-RS" w:eastAsia="sr-Cyrl-RS"/>
              </w:rPr>
            </w:pPr>
          </w:p>
        </w:tc>
        <w:tc>
          <w:tcPr>
            <w:tcW w:w="1350" w:type="dxa"/>
          </w:tcPr>
          <w:p w14:paraId="6E6A5DF2" w14:textId="0DA0CAAF"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42CA525A" w14:textId="77777777" w:rsidTr="00E94061">
        <w:trPr>
          <w:trHeight w:val="1596"/>
        </w:trPr>
        <w:tc>
          <w:tcPr>
            <w:tcW w:w="2708" w:type="dxa"/>
            <w:hideMark/>
          </w:tcPr>
          <w:p w14:paraId="6352B6A6" w14:textId="17606C4B"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1.1.7.2. Припрема и усвајање подзаконских аката за примену директиве о еко-дизајну производа који утичу на потрошњу енергије (Директива 2009/125/ЕЗ)</w:t>
            </w:r>
          </w:p>
        </w:tc>
        <w:tc>
          <w:tcPr>
            <w:tcW w:w="1260" w:type="dxa"/>
            <w:hideMark/>
          </w:tcPr>
          <w:p w14:paraId="7735ED59"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387" w:type="dxa"/>
            <w:hideMark/>
          </w:tcPr>
          <w:p w14:paraId="6ADF5BFA"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МПривреде, МЗЖС</w:t>
            </w:r>
          </w:p>
        </w:tc>
        <w:tc>
          <w:tcPr>
            <w:tcW w:w="1182" w:type="dxa"/>
            <w:hideMark/>
          </w:tcPr>
          <w:p w14:paraId="15D86E59" w14:textId="54A79F40"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hideMark/>
          </w:tcPr>
          <w:p w14:paraId="2B0E0EC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555A600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17" w:type="dxa"/>
          </w:tcPr>
          <w:p w14:paraId="3C889B32" w14:textId="160A2AB2" w:rsidR="00E94061" w:rsidRPr="00EF2F18" w:rsidRDefault="00E94061" w:rsidP="00752CA0">
            <w:pPr>
              <w:spacing w:after="0"/>
              <w:jc w:val="right"/>
              <w:rPr>
                <w:rFonts w:eastAsia="Times New Roman" w:cs="Times New Roman"/>
                <w:color w:val="000000"/>
                <w:sz w:val="20"/>
                <w:szCs w:val="20"/>
                <w:lang w:val="sr-Cyrl-RS" w:eastAsia="sr-Cyrl-RS"/>
              </w:rPr>
            </w:pPr>
          </w:p>
        </w:tc>
        <w:tc>
          <w:tcPr>
            <w:tcW w:w="1350" w:type="dxa"/>
          </w:tcPr>
          <w:p w14:paraId="5FB6B17E" w14:textId="36F953A1" w:rsidR="00E94061" w:rsidRPr="00EF2F18" w:rsidRDefault="00E94061" w:rsidP="00752CA0">
            <w:pPr>
              <w:spacing w:after="0"/>
              <w:jc w:val="right"/>
              <w:rPr>
                <w:rFonts w:eastAsia="Times New Roman" w:cs="Times New Roman"/>
                <w:color w:val="000000"/>
                <w:sz w:val="20"/>
                <w:szCs w:val="20"/>
                <w:lang w:val="sr-Cyrl-RS" w:eastAsia="sr-Cyrl-RS"/>
              </w:rPr>
            </w:pPr>
          </w:p>
        </w:tc>
        <w:tc>
          <w:tcPr>
            <w:tcW w:w="1350" w:type="dxa"/>
          </w:tcPr>
          <w:p w14:paraId="7EC410ED" w14:textId="0B542AC4" w:rsidR="00E94061" w:rsidRPr="00EF2F18" w:rsidRDefault="00E94061" w:rsidP="00752CA0">
            <w:pPr>
              <w:spacing w:after="0"/>
              <w:jc w:val="right"/>
              <w:rPr>
                <w:rFonts w:eastAsia="Times New Roman" w:cs="Times New Roman"/>
                <w:color w:val="000000"/>
                <w:sz w:val="20"/>
                <w:szCs w:val="20"/>
                <w:lang w:val="sr-Cyrl-RS" w:eastAsia="sr-Cyrl-RS"/>
              </w:rPr>
            </w:pPr>
          </w:p>
        </w:tc>
      </w:tr>
    </w:tbl>
    <w:p w14:paraId="66C62314" w14:textId="77777777" w:rsidR="007D7243" w:rsidRPr="00EF2F18" w:rsidRDefault="007D7243" w:rsidP="007D7243">
      <w:pPr>
        <w:spacing w:after="0"/>
        <w:rPr>
          <w:rFonts w:cs="Times New Roman"/>
          <w:sz w:val="20"/>
          <w:szCs w:val="20"/>
          <w:lang w:val="sr-Cyrl-RS"/>
        </w:rPr>
      </w:pPr>
    </w:p>
    <w:p w14:paraId="5A3CB50B"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00"/>
        <w:gridCol w:w="1280"/>
        <w:gridCol w:w="1280"/>
        <w:gridCol w:w="1000"/>
        <w:gridCol w:w="1000"/>
        <w:gridCol w:w="1520"/>
        <w:gridCol w:w="1060"/>
        <w:gridCol w:w="1525"/>
        <w:gridCol w:w="1710"/>
      </w:tblGrid>
      <w:tr w:rsidR="007D7243" w:rsidRPr="00EF2F18" w14:paraId="4E848D2B" w14:textId="77777777" w:rsidTr="00873129">
        <w:trPr>
          <w:trHeight w:val="336"/>
        </w:trPr>
        <w:tc>
          <w:tcPr>
            <w:tcW w:w="13575" w:type="dxa"/>
            <w:gridSpan w:val="9"/>
            <w:shd w:val="clear" w:color="000000" w:fill="F7CAAC"/>
            <w:vAlign w:val="center"/>
            <w:hideMark/>
          </w:tcPr>
          <w:p w14:paraId="65FA4DB9"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 xml:space="preserve">Мера 1.1.8: Подстицање унапређења енергетске ефикасности и коришћења ОИЕ кроз програм реновирања приватних и јавних зграда </w:t>
            </w:r>
          </w:p>
        </w:tc>
      </w:tr>
      <w:tr w:rsidR="007D7243" w:rsidRPr="00EF2F18" w14:paraId="065F92A9" w14:textId="77777777" w:rsidTr="00873129">
        <w:trPr>
          <w:trHeight w:val="336"/>
        </w:trPr>
        <w:tc>
          <w:tcPr>
            <w:tcW w:w="13575" w:type="dxa"/>
            <w:gridSpan w:val="9"/>
            <w:shd w:val="clear" w:color="000000" w:fill="F7CAAC"/>
            <w:vAlign w:val="center"/>
            <w:hideMark/>
          </w:tcPr>
          <w:p w14:paraId="4E289817"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грађевинарства, саобраћаја и инфраструктуре</w:t>
            </w:r>
          </w:p>
        </w:tc>
      </w:tr>
      <w:tr w:rsidR="007D7243" w:rsidRPr="00EF2F18" w14:paraId="5F1057B6" w14:textId="77777777" w:rsidTr="00873129">
        <w:trPr>
          <w:trHeight w:val="336"/>
        </w:trPr>
        <w:tc>
          <w:tcPr>
            <w:tcW w:w="6760" w:type="dxa"/>
            <w:gridSpan w:val="4"/>
            <w:shd w:val="clear" w:color="000000" w:fill="F7CAAC"/>
            <w:vAlign w:val="center"/>
            <w:hideMark/>
          </w:tcPr>
          <w:p w14:paraId="1B8A0AE1" w14:textId="2B7AD5D3"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 202</w:t>
            </w:r>
            <w:r w:rsidR="00E94061"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6815" w:type="dxa"/>
            <w:gridSpan w:val="5"/>
            <w:shd w:val="clear" w:color="000000" w:fill="F7CAAC"/>
            <w:vAlign w:val="center"/>
            <w:hideMark/>
          </w:tcPr>
          <w:p w14:paraId="19D0170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подстицајна</w:t>
            </w:r>
          </w:p>
        </w:tc>
      </w:tr>
      <w:tr w:rsidR="007D7243" w:rsidRPr="00EF2F18" w14:paraId="372E6EF1" w14:textId="77777777" w:rsidTr="00873129">
        <w:trPr>
          <w:trHeight w:val="336"/>
        </w:trPr>
        <w:tc>
          <w:tcPr>
            <w:tcW w:w="6760" w:type="dxa"/>
            <w:gridSpan w:val="4"/>
            <w:shd w:val="clear" w:color="000000" w:fill="F7CAAC"/>
            <w:vAlign w:val="center"/>
            <w:hideMark/>
          </w:tcPr>
          <w:p w14:paraId="1101B7B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815" w:type="dxa"/>
            <w:gridSpan w:val="5"/>
            <w:shd w:val="clear" w:color="000000" w:fill="F7CAAC"/>
            <w:vAlign w:val="center"/>
            <w:hideMark/>
          </w:tcPr>
          <w:p w14:paraId="09F2803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E94061" w:rsidRPr="00EF2F18" w14:paraId="406B73C9" w14:textId="77777777" w:rsidTr="00873129">
        <w:trPr>
          <w:trHeight w:val="816"/>
        </w:trPr>
        <w:tc>
          <w:tcPr>
            <w:tcW w:w="3200" w:type="dxa"/>
            <w:shd w:val="clear" w:color="000000" w:fill="D9D9D9"/>
            <w:hideMark/>
          </w:tcPr>
          <w:p w14:paraId="0B62D1AB"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691256D9"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7F9AB8D7"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6DB21387"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63A412F5"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060" w:type="dxa"/>
            <w:shd w:val="clear" w:color="000000" w:fill="D9D9D9"/>
            <w:hideMark/>
          </w:tcPr>
          <w:p w14:paraId="26E37184"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25" w:type="dxa"/>
            <w:shd w:val="clear" w:color="000000" w:fill="D9D9D9"/>
            <w:hideMark/>
          </w:tcPr>
          <w:p w14:paraId="7E869F5A"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shd w:val="clear" w:color="000000" w:fill="D9D9D9"/>
            <w:hideMark/>
          </w:tcPr>
          <w:p w14:paraId="0D9C4E10"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E94061" w:rsidRPr="00EF2F18" w14:paraId="3F008ED9" w14:textId="77777777" w:rsidTr="00873129">
        <w:trPr>
          <w:trHeight w:val="552"/>
        </w:trPr>
        <w:tc>
          <w:tcPr>
            <w:tcW w:w="3200" w:type="dxa"/>
            <w:shd w:val="clear" w:color="000000" w:fill="FFFFFF"/>
            <w:hideMark/>
          </w:tcPr>
          <w:p w14:paraId="7545B3CB"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Угљенични интензитет стамбеног сектора </w:t>
            </w:r>
          </w:p>
        </w:tc>
        <w:tc>
          <w:tcPr>
            <w:tcW w:w="1280" w:type="dxa"/>
            <w:shd w:val="clear" w:color="000000" w:fill="FFFFFF"/>
            <w:hideMark/>
          </w:tcPr>
          <w:p w14:paraId="0E0F616B"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tCО2eq/toe</w:t>
            </w:r>
          </w:p>
        </w:tc>
        <w:tc>
          <w:tcPr>
            <w:tcW w:w="1280" w:type="dxa"/>
            <w:shd w:val="clear" w:color="000000" w:fill="FFFFFF"/>
            <w:hideMark/>
          </w:tcPr>
          <w:p w14:paraId="7F190448"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2000" w:type="dxa"/>
            <w:gridSpan w:val="2"/>
            <w:shd w:val="clear" w:color="000000" w:fill="FFFFFF"/>
            <w:hideMark/>
          </w:tcPr>
          <w:p w14:paraId="7DC64A1E"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0,47</w:t>
            </w:r>
          </w:p>
        </w:tc>
        <w:tc>
          <w:tcPr>
            <w:tcW w:w="1520" w:type="dxa"/>
            <w:shd w:val="clear" w:color="000000" w:fill="FFFFFF"/>
            <w:hideMark/>
          </w:tcPr>
          <w:p w14:paraId="3B166CCA"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060" w:type="dxa"/>
            <w:shd w:val="clear" w:color="000000" w:fill="FFFFFF"/>
            <w:hideMark/>
          </w:tcPr>
          <w:p w14:paraId="6768631A"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0,234</w:t>
            </w:r>
          </w:p>
        </w:tc>
        <w:tc>
          <w:tcPr>
            <w:tcW w:w="1525" w:type="dxa"/>
            <w:shd w:val="clear" w:color="000000" w:fill="FFFFFF"/>
            <w:hideMark/>
          </w:tcPr>
          <w:p w14:paraId="2AAEBAA2"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0,238</w:t>
            </w:r>
          </w:p>
        </w:tc>
        <w:tc>
          <w:tcPr>
            <w:tcW w:w="1710" w:type="dxa"/>
            <w:shd w:val="clear" w:color="000000" w:fill="FFFFFF"/>
            <w:hideMark/>
          </w:tcPr>
          <w:p w14:paraId="0C3A98B2"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0,241</w:t>
            </w:r>
          </w:p>
        </w:tc>
      </w:tr>
      <w:tr w:rsidR="00E94061" w:rsidRPr="00EF2F18" w14:paraId="58CCC0D7" w14:textId="77777777" w:rsidTr="00873129">
        <w:trPr>
          <w:trHeight w:val="552"/>
        </w:trPr>
        <w:tc>
          <w:tcPr>
            <w:tcW w:w="3200" w:type="dxa"/>
            <w:shd w:val="clear" w:color="000000" w:fill="FFFFFF"/>
            <w:hideMark/>
          </w:tcPr>
          <w:p w14:paraId="1374FECA"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Угљенични интензитет комерцијалног сектора </w:t>
            </w:r>
          </w:p>
        </w:tc>
        <w:tc>
          <w:tcPr>
            <w:tcW w:w="1280" w:type="dxa"/>
            <w:shd w:val="clear" w:color="000000" w:fill="FFFFFF"/>
            <w:hideMark/>
          </w:tcPr>
          <w:p w14:paraId="0A5F4AB3"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tCО2eq/toe</w:t>
            </w:r>
          </w:p>
        </w:tc>
        <w:tc>
          <w:tcPr>
            <w:tcW w:w="1280" w:type="dxa"/>
            <w:shd w:val="clear" w:color="000000" w:fill="FFFFFF"/>
            <w:hideMark/>
          </w:tcPr>
          <w:p w14:paraId="04C17B2A"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2000" w:type="dxa"/>
            <w:gridSpan w:val="2"/>
            <w:shd w:val="clear" w:color="000000" w:fill="FFFFFF"/>
            <w:hideMark/>
          </w:tcPr>
          <w:p w14:paraId="0D9EAE56"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0,84865</w:t>
            </w:r>
          </w:p>
        </w:tc>
        <w:tc>
          <w:tcPr>
            <w:tcW w:w="1520" w:type="dxa"/>
            <w:shd w:val="clear" w:color="000000" w:fill="FFFFFF"/>
            <w:hideMark/>
          </w:tcPr>
          <w:p w14:paraId="1B92D5F0"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060" w:type="dxa"/>
            <w:shd w:val="clear" w:color="000000" w:fill="FFFFFF"/>
            <w:hideMark/>
          </w:tcPr>
          <w:p w14:paraId="2E5801E5"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0,753</w:t>
            </w:r>
          </w:p>
        </w:tc>
        <w:tc>
          <w:tcPr>
            <w:tcW w:w="1525" w:type="dxa"/>
            <w:shd w:val="clear" w:color="000000" w:fill="FFFFFF"/>
            <w:hideMark/>
          </w:tcPr>
          <w:p w14:paraId="014D8423"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0,778</w:t>
            </w:r>
          </w:p>
        </w:tc>
        <w:tc>
          <w:tcPr>
            <w:tcW w:w="1710" w:type="dxa"/>
            <w:shd w:val="clear" w:color="000000" w:fill="FFFFFF"/>
            <w:hideMark/>
          </w:tcPr>
          <w:p w14:paraId="15D2F34E"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0,799</w:t>
            </w:r>
          </w:p>
        </w:tc>
      </w:tr>
    </w:tbl>
    <w:p w14:paraId="420EE4B7" w14:textId="77777777" w:rsidR="007D7243" w:rsidRPr="00EF2F18" w:rsidRDefault="007D7243" w:rsidP="007D7243">
      <w:pPr>
        <w:spacing w:after="0"/>
        <w:rPr>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9"/>
        <w:gridCol w:w="2750"/>
        <w:gridCol w:w="2456"/>
        <w:gridCol w:w="2340"/>
        <w:gridCol w:w="2340"/>
      </w:tblGrid>
      <w:tr w:rsidR="007D7243" w:rsidRPr="00EF2F18" w14:paraId="26E2A91A" w14:textId="77777777" w:rsidTr="00873129">
        <w:trPr>
          <w:trHeight w:val="336"/>
        </w:trPr>
        <w:tc>
          <w:tcPr>
            <w:tcW w:w="3689" w:type="dxa"/>
            <w:vMerge w:val="restart"/>
            <w:shd w:val="clear" w:color="000000" w:fill="A8D08D"/>
            <w:hideMark/>
          </w:tcPr>
          <w:p w14:paraId="5069122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750" w:type="dxa"/>
            <w:vMerge w:val="restart"/>
            <w:shd w:val="clear" w:color="000000" w:fill="A8D08D"/>
            <w:hideMark/>
          </w:tcPr>
          <w:p w14:paraId="69EA3B8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136" w:type="dxa"/>
            <w:gridSpan w:val="3"/>
            <w:shd w:val="clear" w:color="000000" w:fill="A8D08D"/>
            <w:hideMark/>
          </w:tcPr>
          <w:p w14:paraId="59FBAB2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E94061" w:rsidRPr="00EF2F18" w14:paraId="298E06CD" w14:textId="77777777" w:rsidTr="00873129">
        <w:trPr>
          <w:trHeight w:val="336"/>
        </w:trPr>
        <w:tc>
          <w:tcPr>
            <w:tcW w:w="3689" w:type="dxa"/>
            <w:vMerge/>
            <w:vAlign w:val="center"/>
            <w:hideMark/>
          </w:tcPr>
          <w:p w14:paraId="607E166C"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750" w:type="dxa"/>
            <w:vMerge/>
            <w:vAlign w:val="center"/>
            <w:hideMark/>
          </w:tcPr>
          <w:p w14:paraId="602F0E1D"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456" w:type="dxa"/>
            <w:shd w:val="clear" w:color="000000" w:fill="A8D08D"/>
            <w:hideMark/>
          </w:tcPr>
          <w:p w14:paraId="37020384" w14:textId="4433210A"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340" w:type="dxa"/>
            <w:shd w:val="clear" w:color="000000" w:fill="A8D08D"/>
            <w:hideMark/>
          </w:tcPr>
          <w:p w14:paraId="634DAA08" w14:textId="782792FE"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340" w:type="dxa"/>
            <w:shd w:val="clear" w:color="000000" w:fill="A8D08D"/>
            <w:hideMark/>
          </w:tcPr>
          <w:p w14:paraId="3580CEE5" w14:textId="3026692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E94061" w:rsidRPr="00EF2F18" w14:paraId="512D8C83" w14:textId="77777777" w:rsidTr="00873129">
        <w:trPr>
          <w:trHeight w:val="540"/>
        </w:trPr>
        <w:tc>
          <w:tcPr>
            <w:tcW w:w="3689" w:type="dxa"/>
            <w:shd w:val="clear" w:color="000000" w:fill="FFFFFF"/>
          </w:tcPr>
          <w:p w14:paraId="78F41EDD" w14:textId="71D2C4AA" w:rsidR="00E94061" w:rsidRPr="00EF2F18" w:rsidRDefault="00E94061" w:rsidP="00A00D2F">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Примања од иностраних задуживања</w:t>
            </w:r>
          </w:p>
        </w:tc>
        <w:tc>
          <w:tcPr>
            <w:tcW w:w="2750" w:type="dxa"/>
            <w:shd w:val="clear" w:color="000000" w:fill="FFFFFF"/>
          </w:tcPr>
          <w:p w14:paraId="68DA4614"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0502-430-4012-421</w:t>
            </w:r>
          </w:p>
          <w:p w14:paraId="47E4BB24" w14:textId="561BF726"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0502-430-4012-422</w:t>
            </w:r>
          </w:p>
          <w:p w14:paraId="18BF5738"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0502-430-4012-423</w:t>
            </w:r>
          </w:p>
          <w:p w14:paraId="7F81ACAC"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0502-430-4012-425</w:t>
            </w:r>
          </w:p>
          <w:p w14:paraId="2CCA3E91"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0502-430-4012-426</w:t>
            </w:r>
          </w:p>
          <w:p w14:paraId="65CF12B8"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0502-430-4012-444</w:t>
            </w:r>
          </w:p>
          <w:p w14:paraId="540E1913"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0502-430-4012-463</w:t>
            </w:r>
          </w:p>
          <w:p w14:paraId="53BB4B17"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0502-430-4012-512</w:t>
            </w:r>
          </w:p>
          <w:p w14:paraId="4850F2A8" w14:textId="2E08A539"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0502-430-4009-511</w:t>
            </w:r>
          </w:p>
        </w:tc>
        <w:tc>
          <w:tcPr>
            <w:tcW w:w="2456" w:type="dxa"/>
          </w:tcPr>
          <w:p w14:paraId="602300F5"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14.000</w:t>
            </w:r>
          </w:p>
          <w:p w14:paraId="7543C263" w14:textId="23FD1E4F"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1.400</w:t>
            </w:r>
          </w:p>
          <w:p w14:paraId="2A4E7D0A" w14:textId="2992BEC8"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67.100</w:t>
            </w:r>
          </w:p>
          <w:p w14:paraId="7A1054AF"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600</w:t>
            </w:r>
          </w:p>
          <w:p w14:paraId="586EF2CD"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p w14:paraId="5A75572B"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4.500</w:t>
            </w:r>
          </w:p>
          <w:p w14:paraId="613150EC" w14:textId="2D7F360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w:t>
            </w:r>
            <w:r w:rsidR="00465A02" w:rsidRPr="00EF2F18">
              <w:rPr>
                <w:rFonts w:eastAsia="Times New Roman" w:cs="Times New Roman"/>
                <w:color w:val="000000"/>
                <w:sz w:val="20"/>
                <w:szCs w:val="20"/>
                <w:lang w:val="sr-Cyrl-RS" w:eastAsia="sr-Cyrl-RS"/>
              </w:rPr>
              <w:t>100</w:t>
            </w:r>
            <w:r w:rsidRPr="00EF2F18">
              <w:rPr>
                <w:rFonts w:eastAsia="Times New Roman" w:cs="Times New Roman"/>
                <w:color w:val="000000"/>
                <w:sz w:val="20"/>
                <w:szCs w:val="20"/>
                <w:lang w:val="sr-Cyrl-RS" w:eastAsia="sr-Cyrl-RS"/>
              </w:rPr>
              <w:t>.000</w:t>
            </w:r>
          </w:p>
          <w:p w14:paraId="7C76D1D2"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w:t>
            </w:r>
          </w:p>
          <w:p w14:paraId="3290C9EA" w14:textId="6BBD35B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582.905</w:t>
            </w:r>
          </w:p>
        </w:tc>
        <w:tc>
          <w:tcPr>
            <w:tcW w:w="2340" w:type="dxa"/>
          </w:tcPr>
          <w:p w14:paraId="4F02F0D9"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14.000</w:t>
            </w:r>
          </w:p>
          <w:p w14:paraId="6ADA64F4" w14:textId="6C9BBF1A"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1.400</w:t>
            </w:r>
          </w:p>
          <w:p w14:paraId="7C30C159" w14:textId="778AD7FE"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67.100</w:t>
            </w:r>
          </w:p>
          <w:p w14:paraId="5E436908"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600</w:t>
            </w:r>
          </w:p>
          <w:p w14:paraId="26A319D9"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p w14:paraId="1C95251C"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4.500</w:t>
            </w:r>
          </w:p>
          <w:p w14:paraId="1A4A74A3" w14:textId="698A9D9F"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w:t>
            </w:r>
            <w:r w:rsidR="00465A02" w:rsidRPr="00EF2F18">
              <w:rPr>
                <w:rFonts w:eastAsia="Times New Roman" w:cs="Times New Roman"/>
                <w:color w:val="000000"/>
                <w:sz w:val="20"/>
                <w:szCs w:val="20"/>
                <w:lang w:val="sr-Cyrl-RS" w:eastAsia="sr-Cyrl-RS"/>
              </w:rPr>
              <w:t>100</w:t>
            </w:r>
            <w:r w:rsidRPr="00EF2F18">
              <w:rPr>
                <w:rFonts w:eastAsia="Times New Roman" w:cs="Times New Roman"/>
                <w:color w:val="000000"/>
                <w:sz w:val="20"/>
                <w:szCs w:val="20"/>
                <w:lang w:val="sr-Cyrl-RS" w:eastAsia="sr-Cyrl-RS"/>
              </w:rPr>
              <w:t>.000</w:t>
            </w:r>
          </w:p>
          <w:p w14:paraId="14B9AC0E" w14:textId="77777777" w:rsidR="00E94061" w:rsidRPr="00EF2F18" w:rsidRDefault="00E94061" w:rsidP="00117373">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w:t>
            </w:r>
          </w:p>
          <w:p w14:paraId="779ED3AC" w14:textId="044D403C" w:rsidR="00E94061" w:rsidRPr="00EF2F18" w:rsidRDefault="00E94061" w:rsidP="00127BE8">
            <w:pPr>
              <w:spacing w:after="0"/>
              <w:jc w:val="right"/>
              <w:rPr>
                <w:rFonts w:eastAsia="Times New Roman" w:cs="Times New Roman"/>
                <w:color w:val="000000"/>
                <w:sz w:val="20"/>
                <w:szCs w:val="20"/>
                <w:lang w:val="sr-Cyrl-RS" w:eastAsia="sr-Cyrl-RS"/>
              </w:rPr>
            </w:pPr>
          </w:p>
        </w:tc>
        <w:tc>
          <w:tcPr>
            <w:tcW w:w="2340" w:type="dxa"/>
            <w:shd w:val="clear" w:color="000000" w:fill="FFFFFF"/>
          </w:tcPr>
          <w:p w14:paraId="232B5A22" w14:textId="77777777" w:rsidR="00E94061" w:rsidRPr="00EF2F18" w:rsidRDefault="00E94061" w:rsidP="00A00D2F">
            <w:pPr>
              <w:spacing w:after="0"/>
              <w:jc w:val="right"/>
              <w:rPr>
                <w:rFonts w:eastAsia="Times New Roman" w:cs="Times New Roman"/>
                <w:color w:val="000000"/>
                <w:sz w:val="20"/>
                <w:szCs w:val="20"/>
                <w:lang w:val="sr-Cyrl-RS" w:eastAsia="sr-Cyrl-RS"/>
              </w:rPr>
            </w:pPr>
          </w:p>
        </w:tc>
      </w:tr>
      <w:tr w:rsidR="00E94061" w:rsidRPr="00EF2F18" w14:paraId="20C486FF" w14:textId="77777777" w:rsidTr="00873129">
        <w:trPr>
          <w:trHeight w:val="336"/>
        </w:trPr>
        <w:tc>
          <w:tcPr>
            <w:tcW w:w="3689" w:type="dxa"/>
            <w:shd w:val="clear" w:color="000000" w:fill="FFFFFF"/>
            <w:hideMark/>
          </w:tcPr>
          <w:p w14:paraId="08F148E4" w14:textId="0624D06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Донаторска средства</w:t>
            </w:r>
          </w:p>
        </w:tc>
        <w:tc>
          <w:tcPr>
            <w:tcW w:w="2750" w:type="dxa"/>
            <w:shd w:val="clear" w:color="000000" w:fill="FFFFFF"/>
            <w:hideMark/>
          </w:tcPr>
          <w:p w14:paraId="02F9DE9B" w14:textId="77777777" w:rsidR="00E94061" w:rsidRPr="00EF2F18" w:rsidRDefault="00E94061" w:rsidP="00117373">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0502-430-4010-423</w:t>
            </w:r>
          </w:p>
          <w:p w14:paraId="2B861631" w14:textId="113DEA92"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0502-430-4010-424</w:t>
            </w:r>
          </w:p>
        </w:tc>
        <w:tc>
          <w:tcPr>
            <w:tcW w:w="2456" w:type="dxa"/>
          </w:tcPr>
          <w:p w14:paraId="51FB7DC6" w14:textId="4DA2BA58" w:rsidR="00E94061" w:rsidRPr="00EF2F18" w:rsidRDefault="00E94061" w:rsidP="003201E8">
            <w:pPr>
              <w:spacing w:after="0"/>
              <w:jc w:val="right"/>
              <w:rPr>
                <w:rFonts w:eastAsia="Times New Roman" w:cs="Times New Roman"/>
                <w:color w:val="000000"/>
                <w:sz w:val="20"/>
                <w:szCs w:val="20"/>
                <w:lang w:val="sr-Cyrl-RS" w:eastAsia="sr-Cyrl-RS"/>
              </w:rPr>
            </w:pPr>
          </w:p>
          <w:p w14:paraId="3814F3A4" w14:textId="625E595A" w:rsidR="00E94061" w:rsidRPr="00EF2F18" w:rsidRDefault="00E94061" w:rsidP="003201E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14.500</w:t>
            </w:r>
          </w:p>
          <w:p w14:paraId="0138C6F1" w14:textId="6BF916D5" w:rsidR="00E94061" w:rsidRPr="00EF2F18" w:rsidRDefault="00E94061" w:rsidP="003201E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153.000</w:t>
            </w:r>
          </w:p>
        </w:tc>
        <w:tc>
          <w:tcPr>
            <w:tcW w:w="2340" w:type="dxa"/>
          </w:tcPr>
          <w:p w14:paraId="50675971" w14:textId="76D3A41F" w:rsidR="00E94061" w:rsidRPr="00EF2F18" w:rsidRDefault="00E94061" w:rsidP="003201E8">
            <w:pPr>
              <w:spacing w:after="0"/>
              <w:jc w:val="right"/>
              <w:rPr>
                <w:rFonts w:eastAsia="Times New Roman" w:cs="Times New Roman"/>
                <w:color w:val="000000"/>
                <w:sz w:val="20"/>
                <w:szCs w:val="20"/>
                <w:lang w:val="sr-Cyrl-RS" w:eastAsia="sr-Cyrl-RS"/>
              </w:rPr>
            </w:pPr>
          </w:p>
          <w:p w14:paraId="27DF2AA1" w14:textId="28AB45D5" w:rsidR="00E94061" w:rsidRPr="00EF2F18" w:rsidRDefault="00E94061" w:rsidP="003201E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14.500</w:t>
            </w:r>
          </w:p>
          <w:p w14:paraId="7A34B61B" w14:textId="59025DDB" w:rsidR="00E94061" w:rsidRPr="00EF2F18" w:rsidRDefault="00E94061" w:rsidP="003201E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116.060</w:t>
            </w:r>
          </w:p>
        </w:tc>
        <w:tc>
          <w:tcPr>
            <w:tcW w:w="2340" w:type="dxa"/>
            <w:shd w:val="clear" w:color="000000" w:fill="FFFFFF"/>
          </w:tcPr>
          <w:p w14:paraId="533B309B" w14:textId="39CF30B8" w:rsidR="00E94061" w:rsidRPr="00EF2F18" w:rsidRDefault="00E94061" w:rsidP="00752CA0">
            <w:pPr>
              <w:spacing w:after="0"/>
              <w:jc w:val="right"/>
              <w:rPr>
                <w:rFonts w:eastAsia="Times New Roman" w:cs="Times New Roman"/>
                <w:color w:val="000000"/>
                <w:sz w:val="20"/>
                <w:szCs w:val="20"/>
                <w:lang w:val="sr-Cyrl-RS" w:eastAsia="sr-Cyrl-RS"/>
              </w:rPr>
            </w:pPr>
          </w:p>
        </w:tc>
      </w:tr>
      <w:tr w:rsidR="00552620" w:rsidRPr="00EF2F18" w14:paraId="0C4D5CD4" w14:textId="77777777" w:rsidTr="00873129">
        <w:trPr>
          <w:trHeight w:val="336"/>
        </w:trPr>
        <w:tc>
          <w:tcPr>
            <w:tcW w:w="3689" w:type="dxa"/>
            <w:shd w:val="clear" w:color="000000" w:fill="FFFFFF"/>
          </w:tcPr>
          <w:p w14:paraId="0990319B" w14:textId="48155037" w:rsidR="00552620" w:rsidRPr="00EF2F18" w:rsidRDefault="00552620" w:rsidP="00752CA0">
            <w:pPr>
              <w:spacing w:after="0"/>
              <w:rPr>
                <w:rFonts w:eastAsia="Times New Roman" w:cs="Times New Roman"/>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(МГСИ)</w:t>
            </w:r>
          </w:p>
        </w:tc>
        <w:tc>
          <w:tcPr>
            <w:tcW w:w="2750" w:type="dxa"/>
            <w:shd w:val="clear" w:color="000000" w:fill="FFFFFF"/>
          </w:tcPr>
          <w:p w14:paraId="7BCBAECB" w14:textId="77777777" w:rsidR="00552620" w:rsidRPr="00EF2F18" w:rsidRDefault="00552620" w:rsidP="00117373">
            <w:pPr>
              <w:spacing w:after="0"/>
              <w:rPr>
                <w:rFonts w:eastAsia="Times New Roman" w:cs="Times New Roman"/>
                <w:color w:val="000000"/>
                <w:sz w:val="20"/>
                <w:szCs w:val="20"/>
                <w:lang w:val="sr-Cyrl-RS" w:eastAsia="sr-Cyrl-RS"/>
              </w:rPr>
            </w:pPr>
          </w:p>
        </w:tc>
        <w:tc>
          <w:tcPr>
            <w:tcW w:w="2456" w:type="dxa"/>
          </w:tcPr>
          <w:p w14:paraId="4FFDA2E2" w14:textId="77777777" w:rsidR="00552620" w:rsidRPr="00EF2F18" w:rsidRDefault="00552620" w:rsidP="003201E8">
            <w:pPr>
              <w:spacing w:after="0"/>
              <w:jc w:val="right"/>
              <w:rPr>
                <w:rFonts w:eastAsia="Times New Roman" w:cs="Times New Roman"/>
                <w:color w:val="000000"/>
                <w:sz w:val="20"/>
                <w:szCs w:val="20"/>
                <w:lang w:val="sr-Cyrl-RS" w:eastAsia="sr-Cyrl-RS"/>
              </w:rPr>
            </w:pPr>
          </w:p>
        </w:tc>
        <w:tc>
          <w:tcPr>
            <w:tcW w:w="2340" w:type="dxa"/>
          </w:tcPr>
          <w:p w14:paraId="505EA75F" w14:textId="77777777" w:rsidR="00552620" w:rsidRPr="00EF2F18" w:rsidRDefault="00552620" w:rsidP="003201E8">
            <w:pPr>
              <w:spacing w:after="0"/>
              <w:jc w:val="right"/>
              <w:rPr>
                <w:rFonts w:eastAsia="Times New Roman" w:cs="Times New Roman"/>
                <w:color w:val="000000"/>
                <w:sz w:val="20"/>
                <w:szCs w:val="20"/>
                <w:lang w:val="sr-Cyrl-RS" w:eastAsia="sr-Cyrl-RS"/>
              </w:rPr>
            </w:pPr>
          </w:p>
        </w:tc>
        <w:tc>
          <w:tcPr>
            <w:tcW w:w="2340" w:type="dxa"/>
            <w:shd w:val="clear" w:color="000000" w:fill="FFFFFF"/>
          </w:tcPr>
          <w:p w14:paraId="5A47B73C" w14:textId="77777777" w:rsidR="00552620" w:rsidRPr="00EF2F18" w:rsidRDefault="00552620" w:rsidP="00752CA0">
            <w:pPr>
              <w:spacing w:after="0"/>
              <w:jc w:val="right"/>
              <w:rPr>
                <w:rFonts w:eastAsia="Times New Roman" w:cs="Times New Roman"/>
                <w:color w:val="000000"/>
                <w:sz w:val="20"/>
                <w:szCs w:val="20"/>
                <w:lang w:val="sr-Cyrl-RS" w:eastAsia="sr-Cyrl-RS"/>
              </w:rPr>
            </w:pPr>
          </w:p>
        </w:tc>
      </w:tr>
    </w:tbl>
    <w:p w14:paraId="2E7BB290" w14:textId="77777777" w:rsidR="007D7243" w:rsidRPr="00EF2F18" w:rsidRDefault="007D7243" w:rsidP="007D7243">
      <w:pPr>
        <w:spacing w:after="0"/>
        <w:rPr>
          <w:sz w:val="20"/>
          <w:szCs w:val="20"/>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080"/>
        <w:gridCol w:w="1206"/>
        <w:gridCol w:w="1165"/>
        <w:gridCol w:w="1528"/>
        <w:gridCol w:w="1712"/>
        <w:gridCol w:w="1589"/>
        <w:gridCol w:w="1530"/>
        <w:gridCol w:w="1530"/>
      </w:tblGrid>
      <w:tr w:rsidR="004C5633" w:rsidRPr="00EF2F18" w14:paraId="6F4BC55E" w14:textId="77777777" w:rsidTr="00AE4263">
        <w:trPr>
          <w:trHeight w:val="696"/>
        </w:trPr>
        <w:tc>
          <w:tcPr>
            <w:tcW w:w="2245" w:type="dxa"/>
            <w:vMerge w:val="restart"/>
            <w:shd w:val="clear" w:color="000000" w:fill="FFF2CC"/>
            <w:hideMark/>
          </w:tcPr>
          <w:p w14:paraId="5A7E148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080" w:type="dxa"/>
            <w:vMerge w:val="restart"/>
            <w:shd w:val="clear" w:color="000000" w:fill="FFF2CC"/>
            <w:hideMark/>
          </w:tcPr>
          <w:p w14:paraId="31E7680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06" w:type="dxa"/>
            <w:vMerge w:val="restart"/>
            <w:shd w:val="clear" w:color="000000" w:fill="FFF2CC"/>
            <w:hideMark/>
          </w:tcPr>
          <w:p w14:paraId="158F73B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65" w:type="dxa"/>
            <w:vMerge w:val="restart"/>
            <w:shd w:val="clear" w:color="000000" w:fill="FFF2CC"/>
            <w:hideMark/>
          </w:tcPr>
          <w:p w14:paraId="3B5822A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528" w:type="dxa"/>
            <w:vMerge w:val="restart"/>
            <w:shd w:val="clear" w:color="000000" w:fill="FFF2CC"/>
            <w:hideMark/>
          </w:tcPr>
          <w:p w14:paraId="3F3555D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712" w:type="dxa"/>
            <w:vMerge w:val="restart"/>
            <w:shd w:val="clear" w:color="000000" w:fill="FFF2CC"/>
            <w:hideMark/>
          </w:tcPr>
          <w:p w14:paraId="7C2A699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649" w:type="dxa"/>
            <w:gridSpan w:val="3"/>
            <w:shd w:val="clear" w:color="000000" w:fill="FFF2CC"/>
            <w:hideMark/>
          </w:tcPr>
          <w:p w14:paraId="02220CA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E94061" w:rsidRPr="00EF2F18" w14:paraId="232CF601" w14:textId="77777777" w:rsidTr="00AE4263">
        <w:trPr>
          <w:trHeight w:val="441"/>
        </w:trPr>
        <w:tc>
          <w:tcPr>
            <w:tcW w:w="2245" w:type="dxa"/>
            <w:vMerge/>
            <w:hideMark/>
          </w:tcPr>
          <w:p w14:paraId="48DFA687"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080" w:type="dxa"/>
            <w:vMerge/>
            <w:hideMark/>
          </w:tcPr>
          <w:p w14:paraId="470471DE"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06" w:type="dxa"/>
            <w:vMerge/>
            <w:hideMark/>
          </w:tcPr>
          <w:p w14:paraId="10912FE9"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165" w:type="dxa"/>
            <w:vMerge/>
            <w:hideMark/>
          </w:tcPr>
          <w:p w14:paraId="2CE7C474"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528" w:type="dxa"/>
            <w:vMerge/>
            <w:hideMark/>
          </w:tcPr>
          <w:p w14:paraId="5268629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712" w:type="dxa"/>
            <w:vMerge/>
            <w:hideMark/>
          </w:tcPr>
          <w:p w14:paraId="099A3902"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589" w:type="dxa"/>
            <w:shd w:val="clear" w:color="000000" w:fill="FFF2CC"/>
            <w:hideMark/>
          </w:tcPr>
          <w:p w14:paraId="4B386F35" w14:textId="7F0E2D89"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530" w:type="dxa"/>
            <w:shd w:val="clear" w:color="000000" w:fill="FFF2CC"/>
            <w:hideMark/>
          </w:tcPr>
          <w:p w14:paraId="4F0F20A4" w14:textId="3E0F1368"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530" w:type="dxa"/>
            <w:shd w:val="clear" w:color="000000" w:fill="FFF2CC"/>
            <w:hideMark/>
          </w:tcPr>
          <w:p w14:paraId="12640BFF" w14:textId="34CD0390"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E94061" w:rsidRPr="00EF2F18" w14:paraId="632C7A8B" w14:textId="77777777" w:rsidTr="00AE4263">
        <w:trPr>
          <w:trHeight w:val="1312"/>
        </w:trPr>
        <w:tc>
          <w:tcPr>
            <w:tcW w:w="2245" w:type="dxa"/>
            <w:hideMark/>
          </w:tcPr>
          <w:p w14:paraId="0EE638F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bidi="en-US"/>
              </w:rPr>
              <w:t xml:space="preserve">1.1.8.1 </w:t>
            </w:r>
            <w:r w:rsidRPr="00EF2F18">
              <w:rPr>
                <w:rFonts w:eastAsia="Times New Roman" w:cs="Times New Roman"/>
                <w:color w:val="333333"/>
                <w:sz w:val="20"/>
                <w:szCs w:val="20"/>
                <w:lang w:val="sr-Cyrl-RS" w:eastAsia="sr-Cyrl-RS" w:bidi="en-US"/>
              </w:rPr>
              <w:t>Измене Правилника о условима, садржини и начину издавања сертификата о енергетским својствима зграда</w:t>
            </w:r>
          </w:p>
        </w:tc>
        <w:tc>
          <w:tcPr>
            <w:tcW w:w="1080" w:type="dxa"/>
            <w:hideMark/>
          </w:tcPr>
          <w:p w14:paraId="312422D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06" w:type="dxa"/>
            <w:hideMark/>
          </w:tcPr>
          <w:p w14:paraId="5259540B"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165" w:type="dxa"/>
            <w:hideMark/>
          </w:tcPr>
          <w:p w14:paraId="47F9FDD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528" w:type="dxa"/>
            <w:hideMark/>
          </w:tcPr>
          <w:p w14:paraId="5C8C04C2"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712" w:type="dxa"/>
            <w:hideMark/>
          </w:tcPr>
          <w:p w14:paraId="029F76A6"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589" w:type="dxa"/>
          </w:tcPr>
          <w:p w14:paraId="5E793CE4" w14:textId="04B9A65B" w:rsidR="00E94061" w:rsidRPr="00EF2F18" w:rsidRDefault="00E94061" w:rsidP="00752CA0">
            <w:pPr>
              <w:spacing w:after="0"/>
              <w:jc w:val="right"/>
              <w:rPr>
                <w:rFonts w:eastAsia="Times New Roman" w:cs="Times New Roman"/>
                <w:color w:val="000000"/>
                <w:sz w:val="20"/>
                <w:szCs w:val="20"/>
                <w:lang w:val="sr-Cyrl-RS" w:eastAsia="sr-Cyrl-RS"/>
              </w:rPr>
            </w:pPr>
          </w:p>
        </w:tc>
        <w:tc>
          <w:tcPr>
            <w:tcW w:w="1530" w:type="dxa"/>
          </w:tcPr>
          <w:p w14:paraId="6C21D89B" w14:textId="110194E4" w:rsidR="00E94061" w:rsidRPr="00EF2F18" w:rsidRDefault="00E94061" w:rsidP="00752CA0">
            <w:pPr>
              <w:spacing w:after="0"/>
              <w:jc w:val="right"/>
              <w:rPr>
                <w:rFonts w:eastAsia="Times New Roman" w:cs="Times New Roman"/>
                <w:color w:val="000000"/>
                <w:sz w:val="20"/>
                <w:szCs w:val="20"/>
                <w:lang w:val="sr-Cyrl-RS" w:eastAsia="sr-Cyrl-RS"/>
              </w:rPr>
            </w:pPr>
          </w:p>
        </w:tc>
        <w:tc>
          <w:tcPr>
            <w:tcW w:w="1530" w:type="dxa"/>
          </w:tcPr>
          <w:p w14:paraId="697FB415" w14:textId="55F0C6A5"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14B348C9" w14:textId="77777777" w:rsidTr="00AE4263">
        <w:trPr>
          <w:trHeight w:val="1068"/>
        </w:trPr>
        <w:tc>
          <w:tcPr>
            <w:tcW w:w="2245" w:type="dxa"/>
            <w:hideMark/>
          </w:tcPr>
          <w:p w14:paraId="3C661C6F" w14:textId="77777777" w:rsidR="00E94061" w:rsidRPr="00EF2F18" w:rsidRDefault="00E94061" w:rsidP="00752CA0">
            <w:pPr>
              <w:spacing w:after="0"/>
              <w:rPr>
                <w:rFonts w:eastAsia="Times New Roman" w:cs="Times New Roman"/>
                <w:color w:val="333333"/>
                <w:sz w:val="20"/>
                <w:szCs w:val="20"/>
                <w:lang w:val="sr-Cyrl-RS" w:eastAsia="sr-Cyrl-RS"/>
              </w:rPr>
            </w:pPr>
            <w:r w:rsidRPr="00EF2F18">
              <w:rPr>
                <w:rFonts w:eastAsia="Times New Roman" w:cs="Times New Roman"/>
                <w:color w:val="333333"/>
                <w:sz w:val="20"/>
                <w:szCs w:val="20"/>
                <w:lang w:val="sr-Cyrl-RS" w:eastAsia="sr-Cyrl-RS"/>
              </w:rPr>
              <w:t>1.1.8.2. Обезбеђивање финансијских подстицаја за енергетску обнову зграда, континуирано</w:t>
            </w:r>
          </w:p>
        </w:tc>
        <w:tc>
          <w:tcPr>
            <w:tcW w:w="1080" w:type="dxa"/>
            <w:hideMark/>
          </w:tcPr>
          <w:p w14:paraId="345DA46B"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МРЕ/УЕЕ</w:t>
            </w:r>
          </w:p>
        </w:tc>
        <w:tc>
          <w:tcPr>
            <w:tcW w:w="1206" w:type="dxa"/>
            <w:hideMark/>
          </w:tcPr>
          <w:p w14:paraId="07796B66"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МГСИ </w:t>
            </w:r>
          </w:p>
        </w:tc>
        <w:tc>
          <w:tcPr>
            <w:tcW w:w="1165" w:type="dxa"/>
            <w:hideMark/>
          </w:tcPr>
          <w:p w14:paraId="5819E951"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528" w:type="dxa"/>
            <w:hideMark/>
          </w:tcPr>
          <w:p w14:paraId="34FD0DB9" w14:textId="26E6DEEA"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Примања од иностраних задуживања</w:t>
            </w:r>
          </w:p>
          <w:p w14:paraId="32DB5BCA" w14:textId="77777777" w:rsidR="00E94061" w:rsidRPr="00EF2F18" w:rsidRDefault="00E94061" w:rsidP="00752CA0">
            <w:pPr>
              <w:spacing w:after="0"/>
              <w:rPr>
                <w:rFonts w:eastAsia="Times New Roman" w:cs="Times New Roman"/>
                <w:color w:val="000000"/>
                <w:sz w:val="20"/>
                <w:szCs w:val="20"/>
                <w:lang w:val="sr-Cyrl-RS" w:eastAsia="sr-Cyrl-RS"/>
              </w:rPr>
            </w:pPr>
          </w:p>
          <w:p w14:paraId="2D707C3A" w14:textId="77777777" w:rsidR="00E94061" w:rsidRPr="00EF2F18" w:rsidRDefault="00E94061" w:rsidP="00752CA0">
            <w:pPr>
              <w:spacing w:after="0"/>
              <w:rPr>
                <w:rFonts w:eastAsia="Times New Roman" w:cs="Times New Roman"/>
                <w:color w:val="000000"/>
                <w:sz w:val="20"/>
                <w:szCs w:val="20"/>
                <w:lang w:val="sr-Cyrl-RS" w:eastAsia="sr-Cyrl-RS"/>
              </w:rPr>
            </w:pPr>
          </w:p>
          <w:p w14:paraId="5EB01918" w14:textId="77777777" w:rsidR="00E94061" w:rsidRPr="00EF2F18" w:rsidRDefault="00E94061" w:rsidP="00752CA0">
            <w:pPr>
              <w:spacing w:after="0"/>
              <w:rPr>
                <w:rFonts w:eastAsia="Times New Roman" w:cs="Times New Roman"/>
                <w:color w:val="000000"/>
                <w:sz w:val="20"/>
                <w:szCs w:val="20"/>
                <w:lang w:val="sr-Cyrl-RS" w:eastAsia="sr-Cyrl-RS"/>
              </w:rPr>
            </w:pPr>
          </w:p>
          <w:p w14:paraId="65F0A5E4" w14:textId="77777777" w:rsidR="00E94061" w:rsidRPr="00EF2F18" w:rsidRDefault="00E94061" w:rsidP="00752CA0">
            <w:pPr>
              <w:spacing w:after="0"/>
              <w:rPr>
                <w:rFonts w:eastAsia="Times New Roman" w:cs="Times New Roman"/>
                <w:color w:val="000000"/>
                <w:sz w:val="20"/>
                <w:szCs w:val="20"/>
                <w:lang w:val="sr-Cyrl-RS" w:eastAsia="sr-Cyrl-RS"/>
              </w:rPr>
            </w:pPr>
          </w:p>
          <w:p w14:paraId="475892FB" w14:textId="77777777" w:rsidR="00E94061" w:rsidRPr="00EF2F18" w:rsidRDefault="00E94061" w:rsidP="00752CA0">
            <w:pPr>
              <w:spacing w:after="0"/>
              <w:rPr>
                <w:rFonts w:eastAsia="Times New Roman" w:cs="Times New Roman"/>
                <w:color w:val="000000"/>
                <w:sz w:val="20"/>
                <w:szCs w:val="20"/>
                <w:lang w:val="sr-Cyrl-RS" w:eastAsia="sr-Cyrl-RS"/>
              </w:rPr>
            </w:pPr>
          </w:p>
          <w:p w14:paraId="4DDDB1D2" w14:textId="77777777" w:rsidR="00E94061" w:rsidRPr="00EF2F18" w:rsidRDefault="00E94061" w:rsidP="00752CA0">
            <w:pPr>
              <w:spacing w:after="0"/>
              <w:rPr>
                <w:rFonts w:eastAsia="Times New Roman" w:cs="Times New Roman"/>
                <w:color w:val="000000"/>
                <w:sz w:val="20"/>
                <w:szCs w:val="20"/>
                <w:lang w:val="sr-Cyrl-RS" w:eastAsia="sr-Cyrl-RS"/>
              </w:rPr>
            </w:pPr>
          </w:p>
          <w:p w14:paraId="6C5F434C" w14:textId="77777777" w:rsidR="00E94061" w:rsidRPr="00EF2F18" w:rsidRDefault="00E94061" w:rsidP="00752CA0">
            <w:pPr>
              <w:spacing w:after="0"/>
              <w:rPr>
                <w:rFonts w:eastAsia="Times New Roman" w:cs="Times New Roman"/>
                <w:color w:val="000000"/>
                <w:sz w:val="20"/>
                <w:szCs w:val="20"/>
                <w:lang w:val="sr-Cyrl-RS" w:eastAsia="sr-Cyrl-RS"/>
              </w:rPr>
            </w:pPr>
          </w:p>
          <w:p w14:paraId="755C4497" w14:textId="77777777" w:rsidR="00E94061" w:rsidRPr="00EF2F18" w:rsidRDefault="00E94061" w:rsidP="00752CA0">
            <w:pPr>
              <w:spacing w:after="0"/>
              <w:rPr>
                <w:rFonts w:eastAsia="Times New Roman" w:cs="Times New Roman"/>
                <w:color w:val="000000"/>
                <w:sz w:val="20"/>
                <w:szCs w:val="20"/>
                <w:lang w:val="sr-Cyrl-RS" w:eastAsia="sr-Cyrl-RS"/>
              </w:rPr>
            </w:pPr>
          </w:p>
          <w:p w14:paraId="3D41B82A" w14:textId="77777777" w:rsidR="00E94061" w:rsidRPr="00EF2F18" w:rsidRDefault="00E94061" w:rsidP="00752CA0">
            <w:pPr>
              <w:spacing w:after="0"/>
              <w:rPr>
                <w:rFonts w:eastAsia="Times New Roman" w:cs="Times New Roman"/>
                <w:color w:val="000000"/>
                <w:sz w:val="20"/>
                <w:szCs w:val="20"/>
                <w:lang w:val="sr-Cyrl-RS" w:eastAsia="sr-Cyrl-RS"/>
              </w:rPr>
            </w:pPr>
          </w:p>
          <w:p w14:paraId="03B2786E" w14:textId="77777777" w:rsidR="00E94061" w:rsidRPr="00EF2F18" w:rsidRDefault="00E94061" w:rsidP="00752CA0">
            <w:pPr>
              <w:spacing w:after="0"/>
              <w:rPr>
                <w:rFonts w:eastAsia="Times New Roman" w:cs="Times New Roman"/>
                <w:color w:val="000000"/>
                <w:sz w:val="20"/>
                <w:szCs w:val="20"/>
                <w:lang w:val="sr-Cyrl-RS" w:eastAsia="sr-Cyrl-RS"/>
              </w:rPr>
            </w:pPr>
          </w:p>
          <w:p w14:paraId="79367EB4" w14:textId="77777777" w:rsidR="00E94061" w:rsidRPr="00EF2F18" w:rsidRDefault="00E94061" w:rsidP="00752CA0">
            <w:pPr>
              <w:spacing w:after="0"/>
              <w:rPr>
                <w:rFonts w:eastAsia="Times New Roman" w:cs="Times New Roman"/>
                <w:color w:val="000000"/>
                <w:sz w:val="20"/>
                <w:szCs w:val="20"/>
                <w:lang w:val="sr-Cyrl-RS" w:eastAsia="sr-Cyrl-RS"/>
              </w:rPr>
            </w:pPr>
          </w:p>
          <w:p w14:paraId="65D79757" w14:textId="77777777" w:rsidR="00E94061" w:rsidRPr="00EF2F18" w:rsidRDefault="00E94061" w:rsidP="00752CA0">
            <w:pPr>
              <w:spacing w:after="0"/>
              <w:rPr>
                <w:rFonts w:eastAsia="Times New Roman" w:cs="Times New Roman"/>
                <w:color w:val="000000"/>
                <w:sz w:val="20"/>
                <w:szCs w:val="20"/>
                <w:lang w:val="sr-Cyrl-RS" w:eastAsia="sr-Cyrl-RS"/>
              </w:rPr>
            </w:pPr>
          </w:p>
          <w:p w14:paraId="1736D339" w14:textId="77777777" w:rsidR="00E94061" w:rsidRPr="00EF2F18" w:rsidRDefault="00E94061" w:rsidP="00752CA0">
            <w:pPr>
              <w:spacing w:after="0"/>
              <w:rPr>
                <w:rFonts w:eastAsia="Times New Roman" w:cs="Times New Roman"/>
                <w:color w:val="000000"/>
                <w:sz w:val="20"/>
                <w:szCs w:val="20"/>
                <w:lang w:val="sr-Cyrl-RS" w:eastAsia="sr-Cyrl-RS"/>
              </w:rPr>
            </w:pPr>
          </w:p>
          <w:p w14:paraId="3CB7AC61" w14:textId="77777777" w:rsidR="00E94061" w:rsidRPr="00EF2F18" w:rsidRDefault="00E94061" w:rsidP="00752CA0">
            <w:pPr>
              <w:spacing w:after="0"/>
              <w:rPr>
                <w:rFonts w:eastAsia="Times New Roman" w:cs="Times New Roman"/>
                <w:color w:val="000000"/>
                <w:sz w:val="20"/>
                <w:szCs w:val="20"/>
                <w:lang w:val="sr-Cyrl-RS" w:eastAsia="sr-Cyrl-RS"/>
              </w:rPr>
            </w:pPr>
          </w:p>
          <w:p w14:paraId="207941D6" w14:textId="77777777" w:rsidR="00E94061" w:rsidRPr="00EF2F18" w:rsidRDefault="00E94061" w:rsidP="00752CA0">
            <w:pPr>
              <w:spacing w:after="0"/>
              <w:rPr>
                <w:rFonts w:eastAsia="Times New Roman" w:cs="Times New Roman"/>
                <w:color w:val="000000"/>
                <w:sz w:val="20"/>
                <w:szCs w:val="20"/>
                <w:lang w:val="sr-Cyrl-RS" w:eastAsia="sr-Cyrl-RS"/>
              </w:rPr>
            </w:pPr>
          </w:p>
          <w:p w14:paraId="6FE3E190" w14:textId="233294A4"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p w14:paraId="1D4F4C97" w14:textId="77777777" w:rsidR="00E94061" w:rsidRPr="00EF2F18" w:rsidRDefault="00E94061" w:rsidP="00752CA0">
            <w:pPr>
              <w:spacing w:after="0"/>
              <w:rPr>
                <w:rFonts w:eastAsia="Times New Roman" w:cs="Times New Roman"/>
                <w:color w:val="000000"/>
                <w:sz w:val="20"/>
                <w:szCs w:val="20"/>
                <w:lang w:val="sr-Cyrl-RS" w:eastAsia="sr-Cyrl-RS"/>
              </w:rPr>
            </w:pPr>
          </w:p>
          <w:p w14:paraId="7BAE118B" w14:textId="77777777" w:rsidR="00E94061" w:rsidRPr="00EF2F18" w:rsidRDefault="00E94061" w:rsidP="00752CA0">
            <w:pPr>
              <w:spacing w:after="0"/>
              <w:rPr>
                <w:rFonts w:eastAsia="Times New Roman" w:cs="Times New Roman"/>
                <w:color w:val="000000"/>
                <w:sz w:val="20"/>
                <w:szCs w:val="20"/>
                <w:lang w:val="sr-Cyrl-RS" w:eastAsia="sr-Cyrl-RS"/>
              </w:rPr>
            </w:pPr>
          </w:p>
          <w:p w14:paraId="7518AA47" w14:textId="04720D9A" w:rsidR="00E94061" w:rsidRPr="00EF2F18" w:rsidRDefault="00E94061" w:rsidP="00752CA0">
            <w:pPr>
              <w:spacing w:after="0"/>
              <w:rPr>
                <w:rFonts w:eastAsia="Times New Roman" w:cs="Times New Roman"/>
                <w:color w:val="000000"/>
                <w:sz w:val="20"/>
                <w:szCs w:val="20"/>
                <w:lang w:val="sr-Cyrl-RS" w:eastAsia="sr-Cyrl-RS"/>
              </w:rPr>
            </w:pPr>
          </w:p>
        </w:tc>
        <w:tc>
          <w:tcPr>
            <w:tcW w:w="1712" w:type="dxa"/>
            <w:hideMark/>
          </w:tcPr>
          <w:p w14:paraId="0C697820" w14:textId="27177354"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0502-430-4012-421</w:t>
            </w:r>
          </w:p>
          <w:p w14:paraId="394B1BAC" w14:textId="5D64D95D"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0502-430-4012-422</w:t>
            </w:r>
          </w:p>
          <w:p w14:paraId="07E3D443" w14:textId="497DEC78"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0502-430-4012-423</w:t>
            </w:r>
          </w:p>
          <w:p w14:paraId="626F7147" w14:textId="2CF78523"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0502-430-4012-425</w:t>
            </w:r>
          </w:p>
          <w:p w14:paraId="6381F1CE" w14:textId="5A078823"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0502-430-4012-426</w:t>
            </w:r>
          </w:p>
          <w:p w14:paraId="46E0569A" w14:textId="2BAAABD9"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0502-430-4012-444</w:t>
            </w:r>
          </w:p>
          <w:p w14:paraId="0F133919" w14:textId="2AFF50B4"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0502-430-4012-463</w:t>
            </w:r>
          </w:p>
          <w:p w14:paraId="2C56E061" w14:textId="0779C218"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0502-430-4012-512</w:t>
            </w:r>
          </w:p>
          <w:p w14:paraId="0AD62638" w14:textId="76069100" w:rsidR="00E94061" w:rsidRPr="00EF2F18" w:rsidRDefault="00E94061" w:rsidP="00083C6B">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0502-430-4009-511</w:t>
            </w:r>
          </w:p>
          <w:p w14:paraId="6AE914F7" w14:textId="481B6D11"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0502-430-4010-423</w:t>
            </w:r>
          </w:p>
          <w:p w14:paraId="4E496E89" w14:textId="238D4603" w:rsidR="00E94061" w:rsidRPr="00EF2F18" w:rsidRDefault="00E94061" w:rsidP="0025035D">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0502-430-4010-424</w:t>
            </w:r>
          </w:p>
        </w:tc>
        <w:tc>
          <w:tcPr>
            <w:tcW w:w="1589" w:type="dxa"/>
          </w:tcPr>
          <w:p w14:paraId="0492DD83"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14.000</w:t>
            </w:r>
          </w:p>
          <w:p w14:paraId="2C68A6E1"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5908F398" w14:textId="60481770"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1.400</w:t>
            </w:r>
          </w:p>
          <w:p w14:paraId="1359C1D8"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60A7A90" w14:textId="6AAD989E"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67.100</w:t>
            </w:r>
          </w:p>
          <w:p w14:paraId="06B54192"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615A2AC9"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600</w:t>
            </w:r>
          </w:p>
          <w:p w14:paraId="331EA7CF"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44C53ED6" w14:textId="5D7B233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p w14:paraId="0579A013"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3D8E1DC9"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4.500</w:t>
            </w:r>
          </w:p>
          <w:p w14:paraId="3F2174E0"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0B0A56F3" w14:textId="225EEB34"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w:t>
            </w:r>
            <w:r w:rsidR="00146C68" w:rsidRPr="00EF2F18">
              <w:rPr>
                <w:rFonts w:eastAsia="Times New Roman" w:cs="Times New Roman"/>
                <w:color w:val="000000"/>
                <w:sz w:val="20"/>
                <w:szCs w:val="20"/>
                <w:lang w:val="sr-Cyrl-RS" w:eastAsia="sr-Cyrl-RS"/>
              </w:rPr>
              <w:t>100</w:t>
            </w:r>
            <w:r w:rsidRPr="00EF2F18">
              <w:rPr>
                <w:rFonts w:eastAsia="Times New Roman" w:cs="Times New Roman"/>
                <w:color w:val="000000"/>
                <w:sz w:val="20"/>
                <w:szCs w:val="20"/>
                <w:lang w:val="sr-Cyrl-RS" w:eastAsia="sr-Cyrl-RS"/>
              </w:rPr>
              <w:t>.000</w:t>
            </w:r>
          </w:p>
          <w:p w14:paraId="3E3DFD86"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19AC1377" w14:textId="206BC541"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w:t>
            </w:r>
          </w:p>
          <w:p w14:paraId="5CF5DFE6"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D9817AB" w14:textId="6729959F"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582.905</w:t>
            </w:r>
          </w:p>
          <w:p w14:paraId="4069465E"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623D7FC9" w14:textId="014C0132"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14.500</w:t>
            </w:r>
          </w:p>
          <w:p w14:paraId="5D01F4A5"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2D61EC7F" w14:textId="01CAAA84" w:rsidR="00E94061" w:rsidRPr="00EF2F18" w:rsidRDefault="00E94061" w:rsidP="008F1E7E">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153.000</w:t>
            </w:r>
          </w:p>
        </w:tc>
        <w:tc>
          <w:tcPr>
            <w:tcW w:w="1530" w:type="dxa"/>
          </w:tcPr>
          <w:p w14:paraId="3D3B8578"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14.000</w:t>
            </w:r>
          </w:p>
          <w:p w14:paraId="488505E0"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22CBE065" w14:textId="33E2120D"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1.400</w:t>
            </w:r>
          </w:p>
          <w:p w14:paraId="0D07DA0E"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11D20A9E" w14:textId="00B254AD"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67.100</w:t>
            </w:r>
          </w:p>
          <w:p w14:paraId="6216A6E0"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57E230EB"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600</w:t>
            </w:r>
          </w:p>
          <w:p w14:paraId="6F79FF5C"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0713BA9F" w14:textId="2788FFA2"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p w14:paraId="3502A41A"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73198DBC"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4.500</w:t>
            </w:r>
          </w:p>
          <w:p w14:paraId="009E211A"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65478163" w14:textId="61457019"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w:t>
            </w:r>
            <w:r w:rsidR="00146C68" w:rsidRPr="00EF2F18">
              <w:rPr>
                <w:rFonts w:eastAsia="Times New Roman" w:cs="Times New Roman"/>
                <w:color w:val="000000"/>
                <w:sz w:val="20"/>
                <w:szCs w:val="20"/>
                <w:lang w:val="sr-Cyrl-RS" w:eastAsia="sr-Cyrl-RS"/>
              </w:rPr>
              <w:t>100</w:t>
            </w:r>
            <w:r w:rsidRPr="00EF2F18">
              <w:rPr>
                <w:rFonts w:eastAsia="Times New Roman" w:cs="Times New Roman"/>
                <w:color w:val="000000"/>
                <w:sz w:val="20"/>
                <w:szCs w:val="20"/>
                <w:lang w:val="sr-Cyrl-RS" w:eastAsia="sr-Cyrl-RS"/>
              </w:rPr>
              <w:t>.000</w:t>
            </w:r>
          </w:p>
          <w:p w14:paraId="23E52F57"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6654A91A" w14:textId="341F7710"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w:t>
            </w:r>
          </w:p>
          <w:p w14:paraId="5E90C17F"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6010A549" w14:textId="415DF39E" w:rsidR="00E94061" w:rsidRPr="00EF2F18" w:rsidRDefault="00E94061" w:rsidP="00752CA0">
            <w:pPr>
              <w:spacing w:after="0"/>
              <w:jc w:val="right"/>
              <w:rPr>
                <w:rFonts w:eastAsia="Times New Roman" w:cs="Times New Roman"/>
                <w:color w:val="000000"/>
                <w:sz w:val="20"/>
                <w:szCs w:val="20"/>
                <w:lang w:val="sr-Cyrl-RS" w:eastAsia="sr-Cyrl-RS"/>
              </w:rPr>
            </w:pPr>
          </w:p>
          <w:p w14:paraId="4F3B4BF6"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08B46646" w14:textId="680EFF94"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14.500</w:t>
            </w:r>
          </w:p>
          <w:p w14:paraId="465CD047" w14:textId="77777777" w:rsidR="00E94061" w:rsidRPr="00EF2F18" w:rsidRDefault="00E94061" w:rsidP="00752CA0">
            <w:pPr>
              <w:spacing w:after="0"/>
              <w:jc w:val="right"/>
              <w:rPr>
                <w:rFonts w:eastAsia="Times New Roman" w:cs="Times New Roman"/>
                <w:color w:val="000000"/>
                <w:sz w:val="20"/>
                <w:szCs w:val="20"/>
                <w:lang w:val="sr-Cyrl-RS" w:eastAsia="sr-Cyrl-RS"/>
              </w:rPr>
            </w:pPr>
          </w:p>
          <w:p w14:paraId="20BA9297" w14:textId="56FC2C0B" w:rsidR="00E94061" w:rsidRPr="00EF2F18" w:rsidRDefault="00E94061" w:rsidP="008F1E7E">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116.060</w:t>
            </w:r>
          </w:p>
        </w:tc>
        <w:tc>
          <w:tcPr>
            <w:tcW w:w="1530" w:type="dxa"/>
          </w:tcPr>
          <w:p w14:paraId="30966527" w14:textId="75045BE7"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44087B99" w14:textId="77777777" w:rsidTr="00AE4263">
        <w:trPr>
          <w:trHeight w:val="1755"/>
        </w:trPr>
        <w:tc>
          <w:tcPr>
            <w:tcW w:w="2245" w:type="dxa"/>
            <w:hideMark/>
          </w:tcPr>
          <w:p w14:paraId="3CFC02AA" w14:textId="77777777" w:rsidR="00E94061" w:rsidRPr="00EF2F18" w:rsidRDefault="00E94061" w:rsidP="00752CA0">
            <w:pPr>
              <w:spacing w:after="0"/>
              <w:rPr>
                <w:rFonts w:eastAsia="Times New Roman" w:cs="Times New Roman"/>
                <w:color w:val="333333"/>
                <w:sz w:val="20"/>
                <w:szCs w:val="20"/>
                <w:lang w:val="sr-Cyrl-RS" w:eastAsia="sr-Cyrl-RS"/>
              </w:rPr>
            </w:pPr>
            <w:r w:rsidRPr="00EF2F18">
              <w:rPr>
                <w:rFonts w:eastAsia="Times New Roman" w:cs="Times New Roman"/>
                <w:color w:val="333333"/>
                <w:sz w:val="20"/>
                <w:szCs w:val="20"/>
                <w:lang w:val="sr-Cyrl-RS" w:eastAsia="sr-Cyrl-RS"/>
              </w:rPr>
              <w:t>1.1.8.3. Стручно усавршавање инжењера, архитеката, урбаниста и просторних планера у области енергетске ефикасности зграда, континуирано</w:t>
            </w:r>
          </w:p>
        </w:tc>
        <w:tc>
          <w:tcPr>
            <w:tcW w:w="1080" w:type="dxa"/>
            <w:hideMark/>
          </w:tcPr>
          <w:p w14:paraId="2AFEFDB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06" w:type="dxa"/>
            <w:hideMark/>
          </w:tcPr>
          <w:p w14:paraId="135813AD"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МРЕ, МЗЖС </w:t>
            </w:r>
          </w:p>
        </w:tc>
        <w:tc>
          <w:tcPr>
            <w:tcW w:w="1165" w:type="dxa"/>
            <w:hideMark/>
          </w:tcPr>
          <w:p w14:paraId="34F77E2F"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528" w:type="dxa"/>
            <w:hideMark/>
          </w:tcPr>
          <w:p w14:paraId="15B09C9B"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712" w:type="dxa"/>
            <w:hideMark/>
          </w:tcPr>
          <w:p w14:paraId="33749D62"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589" w:type="dxa"/>
          </w:tcPr>
          <w:p w14:paraId="29158B72" w14:textId="566AF623" w:rsidR="00E94061" w:rsidRPr="00EF2F18" w:rsidRDefault="00E94061" w:rsidP="00752CA0">
            <w:pPr>
              <w:spacing w:after="0"/>
              <w:jc w:val="right"/>
              <w:rPr>
                <w:rFonts w:eastAsia="Times New Roman" w:cs="Times New Roman"/>
                <w:color w:val="000000"/>
                <w:sz w:val="20"/>
                <w:szCs w:val="20"/>
                <w:lang w:val="sr-Cyrl-RS" w:eastAsia="sr-Cyrl-RS"/>
              </w:rPr>
            </w:pPr>
          </w:p>
        </w:tc>
        <w:tc>
          <w:tcPr>
            <w:tcW w:w="1530" w:type="dxa"/>
          </w:tcPr>
          <w:p w14:paraId="3A934E42" w14:textId="17B6AF2C" w:rsidR="00E94061" w:rsidRPr="00EF2F18" w:rsidRDefault="00E94061" w:rsidP="00752CA0">
            <w:pPr>
              <w:spacing w:after="0"/>
              <w:jc w:val="right"/>
              <w:rPr>
                <w:rFonts w:eastAsia="Times New Roman" w:cs="Times New Roman"/>
                <w:color w:val="000000"/>
                <w:sz w:val="20"/>
                <w:szCs w:val="20"/>
                <w:lang w:val="sr-Cyrl-RS" w:eastAsia="sr-Cyrl-RS"/>
              </w:rPr>
            </w:pPr>
          </w:p>
        </w:tc>
        <w:tc>
          <w:tcPr>
            <w:tcW w:w="1530" w:type="dxa"/>
          </w:tcPr>
          <w:p w14:paraId="402E1C82" w14:textId="0727AA23" w:rsidR="00E94061" w:rsidRPr="00EF2F18" w:rsidRDefault="00E94061" w:rsidP="00752CA0">
            <w:pPr>
              <w:spacing w:after="0"/>
              <w:jc w:val="right"/>
              <w:rPr>
                <w:rFonts w:eastAsia="Times New Roman" w:cs="Times New Roman"/>
                <w:color w:val="000000"/>
                <w:sz w:val="20"/>
                <w:szCs w:val="20"/>
                <w:lang w:val="sr-Cyrl-RS" w:eastAsia="sr-Cyrl-RS"/>
              </w:rPr>
            </w:pPr>
          </w:p>
        </w:tc>
      </w:tr>
    </w:tbl>
    <w:p w14:paraId="147A644B" w14:textId="3DA43EBA" w:rsidR="007D7243" w:rsidRPr="00EF2F18" w:rsidRDefault="00625841"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36663E34" w14:textId="77777777" w:rsidR="007D7243" w:rsidRPr="00EF2F18" w:rsidRDefault="007D7243" w:rsidP="007D7243">
      <w:pPr>
        <w:spacing w:after="0"/>
        <w:ind w:right="-2004"/>
        <w:rPr>
          <w:rFonts w:cs="Times New Roman"/>
          <w:sz w:val="20"/>
          <w:szCs w:val="20"/>
          <w:lang w:val="sr-Cyrl-RS"/>
        </w:rPr>
      </w:pPr>
    </w:p>
    <w:tbl>
      <w:tblPr>
        <w:tblW w:w="139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9"/>
        <w:gridCol w:w="1270"/>
        <w:gridCol w:w="1956"/>
        <w:gridCol w:w="331"/>
        <w:gridCol w:w="1037"/>
        <w:gridCol w:w="1475"/>
        <w:gridCol w:w="1387"/>
        <w:gridCol w:w="1260"/>
        <w:gridCol w:w="1530"/>
        <w:gridCol w:w="326"/>
      </w:tblGrid>
      <w:tr w:rsidR="007D7243" w:rsidRPr="00EF2F18" w14:paraId="75F61AA3" w14:textId="77777777" w:rsidTr="00873129">
        <w:trPr>
          <w:gridAfter w:val="1"/>
          <w:wAfter w:w="326" w:type="dxa"/>
          <w:trHeight w:val="336"/>
        </w:trPr>
        <w:tc>
          <w:tcPr>
            <w:tcW w:w="13575" w:type="dxa"/>
            <w:gridSpan w:val="9"/>
            <w:shd w:val="clear" w:color="000000" w:fill="F7CAAC"/>
            <w:vAlign w:val="center"/>
            <w:hideMark/>
          </w:tcPr>
          <w:p w14:paraId="0B6D2A22" w14:textId="77777777" w:rsidR="007D7243" w:rsidRPr="00EF2F18" w:rsidRDefault="007D7243" w:rsidP="00752CA0">
            <w:pPr>
              <w:spacing w:after="0"/>
              <w:rPr>
                <w:rFonts w:eastAsia="Times New Roman" w:cs="Times New Roman"/>
                <w:b/>
                <w:bCs/>
                <w:color w:val="000000"/>
                <w:sz w:val="20"/>
                <w:szCs w:val="20"/>
                <w:lang w:val="sr-Cyrl-RS" w:eastAsia="sr-Cyrl-RS"/>
              </w:rPr>
            </w:pPr>
            <w:bookmarkStart w:id="162" w:name="RANGE!A73"/>
            <w:r w:rsidRPr="00EF2F18">
              <w:rPr>
                <w:rFonts w:eastAsia="Times New Roman" w:cs="Times New Roman"/>
                <w:b/>
                <w:bCs/>
                <w:color w:val="000000"/>
                <w:sz w:val="20"/>
                <w:szCs w:val="20"/>
                <w:lang w:val="sr-Cyrl-RS" w:eastAsia="sr-Cyrl-RS"/>
              </w:rPr>
              <w:t>Мера 1.1.9: Подстицање употребе алтернативних горива и енергетске ефикасности и промоција одрживог друмског саобраћаја</w:t>
            </w:r>
            <w:bookmarkEnd w:id="162"/>
          </w:p>
        </w:tc>
      </w:tr>
      <w:tr w:rsidR="007D7243" w:rsidRPr="00EF2F18" w14:paraId="3A6FA7B5" w14:textId="77777777" w:rsidTr="00873129">
        <w:trPr>
          <w:gridAfter w:val="1"/>
          <w:wAfter w:w="326" w:type="dxa"/>
          <w:trHeight w:val="336"/>
        </w:trPr>
        <w:tc>
          <w:tcPr>
            <w:tcW w:w="13575" w:type="dxa"/>
            <w:gridSpan w:val="9"/>
            <w:shd w:val="clear" w:color="000000" w:fill="F7CAAC"/>
            <w:vAlign w:val="center"/>
            <w:hideMark/>
          </w:tcPr>
          <w:p w14:paraId="7D68D992" w14:textId="2282BAF4"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рударства и енергетике</w:t>
            </w:r>
          </w:p>
        </w:tc>
      </w:tr>
      <w:tr w:rsidR="007D7243" w:rsidRPr="00EF2F18" w14:paraId="4C47DD5D" w14:textId="77777777" w:rsidTr="00873129">
        <w:trPr>
          <w:gridAfter w:val="1"/>
          <w:wAfter w:w="326" w:type="dxa"/>
          <w:trHeight w:val="336"/>
        </w:trPr>
        <w:tc>
          <w:tcPr>
            <w:tcW w:w="6886" w:type="dxa"/>
            <w:gridSpan w:val="4"/>
            <w:shd w:val="clear" w:color="000000" w:fill="F7CAAC"/>
            <w:vAlign w:val="center"/>
            <w:hideMark/>
          </w:tcPr>
          <w:p w14:paraId="6881935B" w14:textId="3AABF045"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 202</w:t>
            </w:r>
            <w:r w:rsidR="00E94061"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6689" w:type="dxa"/>
            <w:gridSpan w:val="5"/>
            <w:shd w:val="clear" w:color="000000" w:fill="F7CAAC"/>
            <w:vAlign w:val="center"/>
            <w:hideMark/>
          </w:tcPr>
          <w:p w14:paraId="4DFF0AA3"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подстицајна</w:t>
            </w:r>
          </w:p>
        </w:tc>
      </w:tr>
      <w:tr w:rsidR="007D7243" w:rsidRPr="00EF2F18" w14:paraId="3DB0D951" w14:textId="77777777" w:rsidTr="00873129">
        <w:trPr>
          <w:gridAfter w:val="1"/>
          <w:wAfter w:w="326" w:type="dxa"/>
          <w:trHeight w:val="336"/>
        </w:trPr>
        <w:tc>
          <w:tcPr>
            <w:tcW w:w="6886" w:type="dxa"/>
            <w:gridSpan w:val="4"/>
            <w:shd w:val="clear" w:color="000000" w:fill="F7CAAC"/>
            <w:vAlign w:val="center"/>
            <w:hideMark/>
          </w:tcPr>
          <w:p w14:paraId="7C0423E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89" w:type="dxa"/>
            <w:gridSpan w:val="5"/>
            <w:shd w:val="clear" w:color="000000" w:fill="F7CAAC"/>
            <w:vAlign w:val="center"/>
            <w:hideMark/>
          </w:tcPr>
          <w:p w14:paraId="45E357E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E94061" w:rsidRPr="00EF2F18" w14:paraId="66607CAE" w14:textId="77777777" w:rsidTr="00AE4263">
        <w:trPr>
          <w:gridAfter w:val="1"/>
          <w:wAfter w:w="326" w:type="dxa"/>
          <w:trHeight w:val="816"/>
        </w:trPr>
        <w:tc>
          <w:tcPr>
            <w:tcW w:w="3329" w:type="dxa"/>
            <w:shd w:val="clear" w:color="000000" w:fill="D9D9D9"/>
            <w:hideMark/>
          </w:tcPr>
          <w:p w14:paraId="448DD76F"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70" w:type="dxa"/>
            <w:shd w:val="clear" w:color="000000" w:fill="D9D9D9"/>
            <w:hideMark/>
          </w:tcPr>
          <w:p w14:paraId="108EA374"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956" w:type="dxa"/>
            <w:shd w:val="clear" w:color="000000" w:fill="D9D9D9"/>
            <w:hideMark/>
          </w:tcPr>
          <w:p w14:paraId="4B2162B8"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368" w:type="dxa"/>
            <w:gridSpan w:val="2"/>
            <w:shd w:val="clear" w:color="000000" w:fill="D9D9D9"/>
            <w:hideMark/>
          </w:tcPr>
          <w:p w14:paraId="5AD514EB"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75" w:type="dxa"/>
            <w:shd w:val="clear" w:color="000000" w:fill="D9D9D9"/>
            <w:hideMark/>
          </w:tcPr>
          <w:p w14:paraId="3B9060AD"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87" w:type="dxa"/>
            <w:shd w:val="clear" w:color="000000" w:fill="D9D9D9"/>
            <w:hideMark/>
          </w:tcPr>
          <w:p w14:paraId="326F9B8B"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260" w:type="dxa"/>
            <w:shd w:val="clear" w:color="000000" w:fill="D9D9D9"/>
            <w:hideMark/>
          </w:tcPr>
          <w:p w14:paraId="7EAF04AD"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shd w:val="clear" w:color="000000" w:fill="D9D9D9"/>
            <w:hideMark/>
          </w:tcPr>
          <w:p w14:paraId="1B53513E"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E94061" w:rsidRPr="00EF2F18" w14:paraId="1BA43A3B" w14:textId="77777777" w:rsidTr="00AE4263">
        <w:trPr>
          <w:gridAfter w:val="1"/>
          <w:wAfter w:w="326" w:type="dxa"/>
          <w:trHeight w:val="1308"/>
        </w:trPr>
        <w:tc>
          <w:tcPr>
            <w:tcW w:w="3329" w:type="dxa"/>
            <w:vMerge w:val="restart"/>
            <w:shd w:val="clear" w:color="000000" w:fill="FFFFFF"/>
            <w:hideMark/>
          </w:tcPr>
          <w:p w14:paraId="1E9C122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Угљенични интензитет друмског саобраћаја*</w:t>
            </w:r>
          </w:p>
        </w:tc>
        <w:tc>
          <w:tcPr>
            <w:tcW w:w="1270" w:type="dxa"/>
            <w:vMerge w:val="restart"/>
            <w:shd w:val="clear" w:color="000000" w:fill="FFFFFF"/>
            <w:hideMark/>
          </w:tcPr>
          <w:p w14:paraId="64712E12"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tCО2eq/toe</w:t>
            </w:r>
          </w:p>
        </w:tc>
        <w:tc>
          <w:tcPr>
            <w:tcW w:w="1956" w:type="dxa"/>
            <w:vMerge w:val="restart"/>
            <w:shd w:val="clear" w:color="000000" w:fill="FFFFFF"/>
            <w:hideMark/>
          </w:tcPr>
          <w:p w14:paraId="65014273"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Извештај националног инвентара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(1А3-CО2 путнички транспорт)/ ЕБ РС</w:t>
            </w:r>
          </w:p>
        </w:tc>
        <w:tc>
          <w:tcPr>
            <w:tcW w:w="1368" w:type="dxa"/>
            <w:gridSpan w:val="2"/>
            <w:vMerge w:val="restart"/>
            <w:shd w:val="clear" w:color="000000" w:fill="FFFFFF"/>
            <w:hideMark/>
          </w:tcPr>
          <w:p w14:paraId="7C5F34C7"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w:t>
            </w:r>
          </w:p>
        </w:tc>
        <w:tc>
          <w:tcPr>
            <w:tcW w:w="1475" w:type="dxa"/>
            <w:vMerge w:val="restart"/>
            <w:shd w:val="clear" w:color="000000" w:fill="FFFFFF"/>
            <w:hideMark/>
          </w:tcPr>
          <w:p w14:paraId="6B78B1EC"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1387" w:type="dxa"/>
            <w:vMerge w:val="restart"/>
            <w:shd w:val="clear" w:color="000000" w:fill="FFFFFF"/>
            <w:hideMark/>
          </w:tcPr>
          <w:p w14:paraId="33571E13"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3,34</w:t>
            </w:r>
          </w:p>
        </w:tc>
        <w:tc>
          <w:tcPr>
            <w:tcW w:w="1260" w:type="dxa"/>
            <w:vMerge w:val="restart"/>
            <w:shd w:val="clear" w:color="000000" w:fill="FFFFFF"/>
            <w:hideMark/>
          </w:tcPr>
          <w:p w14:paraId="30299B5D"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3,36</w:t>
            </w:r>
          </w:p>
        </w:tc>
        <w:tc>
          <w:tcPr>
            <w:tcW w:w="1530" w:type="dxa"/>
            <w:vMerge w:val="restart"/>
            <w:shd w:val="clear" w:color="000000" w:fill="FFFFFF"/>
            <w:hideMark/>
          </w:tcPr>
          <w:p w14:paraId="473A1E2B"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3,35</w:t>
            </w:r>
          </w:p>
        </w:tc>
      </w:tr>
      <w:tr w:rsidR="00E94061" w:rsidRPr="00EF2F18" w14:paraId="441CA566" w14:textId="77777777" w:rsidTr="00AE4263">
        <w:trPr>
          <w:trHeight w:val="324"/>
        </w:trPr>
        <w:tc>
          <w:tcPr>
            <w:tcW w:w="3329" w:type="dxa"/>
            <w:vMerge/>
            <w:vAlign w:val="center"/>
            <w:hideMark/>
          </w:tcPr>
          <w:p w14:paraId="065A9E69"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70" w:type="dxa"/>
            <w:vMerge/>
            <w:vAlign w:val="center"/>
            <w:hideMark/>
          </w:tcPr>
          <w:p w14:paraId="5D7BE5BA"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956" w:type="dxa"/>
            <w:vMerge/>
            <w:vAlign w:val="center"/>
            <w:hideMark/>
          </w:tcPr>
          <w:p w14:paraId="75290AA0"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68" w:type="dxa"/>
            <w:gridSpan w:val="2"/>
            <w:vMerge/>
            <w:vAlign w:val="center"/>
            <w:hideMark/>
          </w:tcPr>
          <w:p w14:paraId="42899835"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475" w:type="dxa"/>
            <w:vMerge/>
            <w:vAlign w:val="center"/>
            <w:hideMark/>
          </w:tcPr>
          <w:p w14:paraId="33A0FB4D"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87" w:type="dxa"/>
            <w:vMerge/>
            <w:vAlign w:val="center"/>
            <w:hideMark/>
          </w:tcPr>
          <w:p w14:paraId="38D5AE17"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60" w:type="dxa"/>
            <w:vMerge/>
            <w:vAlign w:val="center"/>
            <w:hideMark/>
          </w:tcPr>
          <w:p w14:paraId="788475FA"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530" w:type="dxa"/>
            <w:vMerge/>
            <w:vAlign w:val="center"/>
            <w:hideMark/>
          </w:tcPr>
          <w:p w14:paraId="0CAEFEEB"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326" w:type="dxa"/>
            <w:tcBorders>
              <w:top w:val="nil"/>
              <w:bottom w:val="nil"/>
              <w:right w:val="nil"/>
            </w:tcBorders>
            <w:noWrap/>
            <w:vAlign w:val="bottom"/>
            <w:hideMark/>
          </w:tcPr>
          <w:p w14:paraId="30764408" w14:textId="77777777" w:rsidR="00E94061" w:rsidRPr="00EF2F18" w:rsidRDefault="00E94061" w:rsidP="00752CA0">
            <w:pPr>
              <w:spacing w:after="0"/>
              <w:jc w:val="center"/>
              <w:rPr>
                <w:rFonts w:eastAsia="Times New Roman" w:cs="Times New Roman"/>
                <w:color w:val="000000"/>
                <w:sz w:val="20"/>
                <w:szCs w:val="20"/>
                <w:lang w:val="sr-Cyrl-RS" w:eastAsia="sr-Cyrl-RS"/>
              </w:rPr>
            </w:pPr>
          </w:p>
        </w:tc>
      </w:tr>
      <w:tr w:rsidR="00E94061" w:rsidRPr="00EF2F18" w14:paraId="64CD9B06" w14:textId="77777777" w:rsidTr="00AE4263">
        <w:trPr>
          <w:trHeight w:val="636"/>
        </w:trPr>
        <w:tc>
          <w:tcPr>
            <w:tcW w:w="3329" w:type="dxa"/>
            <w:shd w:val="clear" w:color="000000" w:fill="FFFFFF"/>
            <w:hideMark/>
          </w:tcPr>
          <w:p w14:paraId="1A020044"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подржаних пројеката паметне саобраћајне инфраструктуре, укупно</w:t>
            </w:r>
          </w:p>
        </w:tc>
        <w:tc>
          <w:tcPr>
            <w:tcW w:w="1270" w:type="dxa"/>
            <w:shd w:val="clear" w:color="000000" w:fill="FFFFFF"/>
            <w:hideMark/>
          </w:tcPr>
          <w:p w14:paraId="59D0EBBF"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956" w:type="dxa"/>
            <w:shd w:val="clear" w:color="000000" w:fill="FFFFFF"/>
            <w:hideMark/>
          </w:tcPr>
          <w:p w14:paraId="3EF0DD52"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 Извештаји о спровођењу планова</w:t>
            </w:r>
          </w:p>
        </w:tc>
        <w:tc>
          <w:tcPr>
            <w:tcW w:w="1368" w:type="dxa"/>
            <w:gridSpan w:val="2"/>
            <w:shd w:val="clear" w:color="000000" w:fill="FFFFFF"/>
            <w:hideMark/>
          </w:tcPr>
          <w:p w14:paraId="396771F3"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w:t>
            </w:r>
          </w:p>
        </w:tc>
        <w:tc>
          <w:tcPr>
            <w:tcW w:w="1475" w:type="dxa"/>
            <w:shd w:val="clear" w:color="000000" w:fill="FFFFFF"/>
            <w:hideMark/>
          </w:tcPr>
          <w:p w14:paraId="508B44FA"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7" w:type="dxa"/>
            <w:shd w:val="clear" w:color="000000" w:fill="FFFFFF"/>
            <w:hideMark/>
          </w:tcPr>
          <w:p w14:paraId="40ED6124"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260" w:type="dxa"/>
            <w:shd w:val="clear" w:color="000000" w:fill="FFFFFF"/>
            <w:hideMark/>
          </w:tcPr>
          <w:p w14:paraId="6DB48056"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0" w:type="dxa"/>
            <w:shd w:val="clear" w:color="000000" w:fill="FFFFFF"/>
            <w:hideMark/>
          </w:tcPr>
          <w:p w14:paraId="40AC506A" w14:textId="7777777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w:t>
            </w:r>
          </w:p>
        </w:tc>
        <w:tc>
          <w:tcPr>
            <w:tcW w:w="326" w:type="dxa"/>
            <w:tcBorders>
              <w:top w:val="nil"/>
              <w:bottom w:val="nil"/>
              <w:right w:val="nil"/>
            </w:tcBorders>
            <w:vAlign w:val="center"/>
            <w:hideMark/>
          </w:tcPr>
          <w:p w14:paraId="2D95BF03" w14:textId="77777777" w:rsidR="00E94061" w:rsidRPr="00EF2F18" w:rsidRDefault="00E94061" w:rsidP="00752CA0">
            <w:pPr>
              <w:spacing w:after="0"/>
              <w:rPr>
                <w:rFonts w:eastAsia="Times New Roman" w:cs="Times New Roman"/>
                <w:sz w:val="20"/>
                <w:szCs w:val="20"/>
                <w:lang w:val="sr-Cyrl-RS" w:eastAsia="sr-Cyrl-RS"/>
              </w:rPr>
            </w:pPr>
          </w:p>
        </w:tc>
      </w:tr>
    </w:tbl>
    <w:p w14:paraId="3EC11337" w14:textId="77777777" w:rsidR="007D7243" w:rsidRPr="00EF2F18" w:rsidRDefault="007D7243" w:rsidP="009D70DA">
      <w:pPr>
        <w:spacing w:after="0"/>
        <w:ind w:right="68"/>
        <w:rPr>
          <w:sz w:val="20"/>
          <w:szCs w:val="20"/>
          <w:lang w:val="sr-Cyrl-RS"/>
        </w:rPr>
      </w:pPr>
      <w:r w:rsidRPr="00EF2F18">
        <w:rPr>
          <w:rFonts w:cs="Times New Roman"/>
          <w:sz w:val="20"/>
          <w:szCs w:val="20"/>
          <w:lang w:val="sr-Cyrl-RS"/>
        </w:rPr>
        <w:t>*</w:t>
      </w:r>
      <w:r w:rsidRPr="00EF2F18">
        <w:rPr>
          <w:sz w:val="20"/>
          <w:szCs w:val="20"/>
          <w:lang w:val="sr-Cyrl-RS"/>
        </w:rPr>
        <w:t xml:space="preserve"> За израчунавање се узимају подаци о потрошњи свих врста горива/енергије у друмском саобраћају (Енергетски биланс РС) и одговарајући подаци о емисијама и топлотној моћи за сваку врсту горива/енергије (</w:t>
      </w:r>
      <w:r w:rsidRPr="00EF2F18">
        <w:rPr>
          <w:i/>
          <w:iCs/>
          <w:sz w:val="20"/>
          <w:szCs w:val="20"/>
          <w:lang w:val="sr-Cyrl-RS"/>
        </w:rPr>
        <w:t>IPCC</w:t>
      </w:r>
      <w:r w:rsidRPr="00EF2F18">
        <w:rPr>
          <w:sz w:val="20"/>
          <w:szCs w:val="20"/>
          <w:lang w:val="sr-Cyrl-RS"/>
        </w:rPr>
        <w:t>).</w:t>
      </w:r>
    </w:p>
    <w:p w14:paraId="100AFD40" w14:textId="77777777" w:rsidR="007D7243" w:rsidRPr="00EF2F18" w:rsidRDefault="007D7243" w:rsidP="007D7243">
      <w:pPr>
        <w:spacing w:after="0"/>
        <w:rPr>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480"/>
        <w:gridCol w:w="2255"/>
        <w:gridCol w:w="2340"/>
        <w:gridCol w:w="2700"/>
      </w:tblGrid>
      <w:tr w:rsidR="007D7243" w:rsidRPr="00EF2F18" w14:paraId="0DE32B66" w14:textId="77777777" w:rsidTr="00873129">
        <w:trPr>
          <w:trHeight w:val="336"/>
        </w:trPr>
        <w:tc>
          <w:tcPr>
            <w:tcW w:w="3800" w:type="dxa"/>
            <w:vMerge w:val="restart"/>
            <w:shd w:val="clear" w:color="000000" w:fill="A8D08D"/>
            <w:hideMark/>
          </w:tcPr>
          <w:p w14:paraId="10A232A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Извор финансирања мере</w:t>
            </w:r>
          </w:p>
        </w:tc>
        <w:tc>
          <w:tcPr>
            <w:tcW w:w="2480" w:type="dxa"/>
            <w:vMerge w:val="restart"/>
            <w:shd w:val="clear" w:color="000000" w:fill="A8D08D"/>
            <w:hideMark/>
          </w:tcPr>
          <w:p w14:paraId="397EFA0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95" w:type="dxa"/>
            <w:gridSpan w:val="3"/>
            <w:shd w:val="clear" w:color="000000" w:fill="A8D08D"/>
            <w:hideMark/>
          </w:tcPr>
          <w:p w14:paraId="574BB17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E94061" w:rsidRPr="00EF2F18" w14:paraId="0A7205F9" w14:textId="77777777" w:rsidTr="00873129">
        <w:trPr>
          <w:trHeight w:val="336"/>
        </w:trPr>
        <w:tc>
          <w:tcPr>
            <w:tcW w:w="3800" w:type="dxa"/>
            <w:vMerge/>
            <w:vAlign w:val="center"/>
            <w:hideMark/>
          </w:tcPr>
          <w:p w14:paraId="5F049862"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480" w:type="dxa"/>
            <w:vMerge/>
            <w:vAlign w:val="center"/>
            <w:hideMark/>
          </w:tcPr>
          <w:p w14:paraId="4E56C782"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255" w:type="dxa"/>
            <w:shd w:val="clear" w:color="000000" w:fill="A8D08D"/>
            <w:hideMark/>
          </w:tcPr>
          <w:p w14:paraId="51595CBD" w14:textId="481C2823"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340" w:type="dxa"/>
            <w:shd w:val="clear" w:color="000000" w:fill="A8D08D"/>
            <w:hideMark/>
          </w:tcPr>
          <w:p w14:paraId="6C47AB61" w14:textId="2FAAAC8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700" w:type="dxa"/>
            <w:shd w:val="clear" w:color="000000" w:fill="A8D08D"/>
            <w:hideMark/>
          </w:tcPr>
          <w:p w14:paraId="14869796" w14:textId="1EB83BD7"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E94061" w:rsidRPr="00EF2F18" w14:paraId="5F9C6CD3" w14:textId="77777777" w:rsidTr="00873129">
        <w:trPr>
          <w:trHeight w:val="324"/>
        </w:trPr>
        <w:tc>
          <w:tcPr>
            <w:tcW w:w="3800" w:type="dxa"/>
            <w:vMerge w:val="restart"/>
            <w:shd w:val="clear" w:color="000000" w:fill="FFFFFF"/>
            <w:hideMark/>
          </w:tcPr>
          <w:p w14:paraId="535BE8F0" w14:textId="77777777" w:rsidR="00E94061" w:rsidRPr="00EF2F18" w:rsidRDefault="00E94061" w:rsidP="00752CA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Буџетска средства (МЗЖС)</w:t>
            </w:r>
          </w:p>
        </w:tc>
        <w:tc>
          <w:tcPr>
            <w:tcW w:w="2480" w:type="dxa"/>
            <w:tcBorders>
              <w:bottom w:val="nil"/>
            </w:tcBorders>
            <w:shd w:val="clear" w:color="000000" w:fill="FFFFFF"/>
            <w:hideMark/>
          </w:tcPr>
          <w:p w14:paraId="080423F8" w14:textId="77777777" w:rsidR="00E94061" w:rsidRPr="00EF2F18" w:rsidRDefault="00E94061" w:rsidP="00752CA0">
            <w:pPr>
              <w:spacing w:after="0"/>
              <w:rPr>
                <w:rFonts w:eastAsia="Times New Roman" w:cs="Times New Roman"/>
                <w:color w:val="000000"/>
                <w:sz w:val="18"/>
                <w:szCs w:val="18"/>
                <w:lang w:val="sr-Cyrl-RS" w:eastAsia="sr-Cyrl-RS"/>
              </w:rPr>
            </w:pPr>
            <w:r w:rsidRPr="00EF2F18">
              <w:rPr>
                <w:rFonts w:eastAsia="Times New Roman" w:cs="Times New Roman"/>
                <w:sz w:val="20"/>
                <w:szCs w:val="20"/>
                <w:lang w:val="sr-Cyrl-RS" w:eastAsia="sr-Cyrl-RS"/>
              </w:rPr>
              <w:t>0404-560-0014-454</w:t>
            </w:r>
          </w:p>
        </w:tc>
        <w:tc>
          <w:tcPr>
            <w:tcW w:w="2255" w:type="dxa"/>
            <w:vMerge w:val="restart"/>
            <w:hideMark/>
          </w:tcPr>
          <w:p w14:paraId="5AE7C268"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170.000</w:t>
            </w:r>
          </w:p>
        </w:tc>
        <w:tc>
          <w:tcPr>
            <w:tcW w:w="2340" w:type="dxa"/>
            <w:vMerge w:val="restart"/>
            <w:hideMark/>
          </w:tcPr>
          <w:p w14:paraId="0819EE58"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170.000</w:t>
            </w:r>
          </w:p>
        </w:tc>
        <w:tc>
          <w:tcPr>
            <w:tcW w:w="2700" w:type="dxa"/>
            <w:vMerge w:val="restart"/>
            <w:shd w:val="clear" w:color="000000" w:fill="FFFFFF"/>
            <w:hideMark/>
          </w:tcPr>
          <w:p w14:paraId="65D96249" w14:textId="19B987AC"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170.000</w:t>
            </w:r>
          </w:p>
        </w:tc>
      </w:tr>
      <w:tr w:rsidR="00E94061" w:rsidRPr="00EF2F18" w14:paraId="00A82144" w14:textId="77777777" w:rsidTr="00873129">
        <w:trPr>
          <w:trHeight w:val="65"/>
        </w:trPr>
        <w:tc>
          <w:tcPr>
            <w:tcW w:w="3800" w:type="dxa"/>
            <w:vMerge/>
            <w:hideMark/>
          </w:tcPr>
          <w:p w14:paraId="0F07C07C"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480" w:type="dxa"/>
            <w:tcBorders>
              <w:top w:val="nil"/>
            </w:tcBorders>
            <w:shd w:val="clear" w:color="000000" w:fill="FFFFFF"/>
            <w:hideMark/>
          </w:tcPr>
          <w:p w14:paraId="377002C1"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255" w:type="dxa"/>
            <w:vMerge/>
            <w:hideMark/>
          </w:tcPr>
          <w:p w14:paraId="61E25281" w14:textId="77777777" w:rsidR="00E94061" w:rsidRPr="00EF2F18" w:rsidRDefault="00E94061" w:rsidP="00752CA0">
            <w:pPr>
              <w:spacing w:after="0"/>
              <w:jc w:val="right"/>
              <w:rPr>
                <w:rFonts w:eastAsia="Times New Roman" w:cs="Times New Roman"/>
                <w:color w:val="000000"/>
                <w:sz w:val="18"/>
                <w:szCs w:val="18"/>
                <w:lang w:val="sr-Cyrl-RS" w:eastAsia="sr-Cyrl-RS"/>
              </w:rPr>
            </w:pPr>
          </w:p>
        </w:tc>
        <w:tc>
          <w:tcPr>
            <w:tcW w:w="2340" w:type="dxa"/>
            <w:vMerge/>
            <w:hideMark/>
          </w:tcPr>
          <w:p w14:paraId="4283F69B" w14:textId="77777777" w:rsidR="00E94061" w:rsidRPr="00EF2F18" w:rsidRDefault="00E94061" w:rsidP="00752CA0">
            <w:pPr>
              <w:spacing w:after="0"/>
              <w:jc w:val="right"/>
              <w:rPr>
                <w:rFonts w:eastAsia="Times New Roman" w:cs="Times New Roman"/>
                <w:color w:val="000000"/>
                <w:sz w:val="18"/>
                <w:szCs w:val="18"/>
                <w:lang w:val="sr-Cyrl-RS" w:eastAsia="sr-Cyrl-RS"/>
              </w:rPr>
            </w:pPr>
          </w:p>
        </w:tc>
        <w:tc>
          <w:tcPr>
            <w:tcW w:w="2700" w:type="dxa"/>
            <w:vMerge/>
            <w:hideMark/>
          </w:tcPr>
          <w:p w14:paraId="5B9866AF" w14:textId="77777777" w:rsidR="00E94061" w:rsidRPr="00EF2F18" w:rsidRDefault="00E94061" w:rsidP="00752CA0">
            <w:pPr>
              <w:spacing w:after="0"/>
              <w:jc w:val="right"/>
              <w:rPr>
                <w:rFonts w:eastAsia="Times New Roman" w:cs="Times New Roman"/>
                <w:color w:val="000000"/>
                <w:sz w:val="18"/>
                <w:szCs w:val="18"/>
                <w:lang w:val="sr-Cyrl-RS" w:eastAsia="sr-Cyrl-RS"/>
              </w:rPr>
            </w:pPr>
          </w:p>
        </w:tc>
      </w:tr>
      <w:tr w:rsidR="00E94061" w:rsidRPr="00EF2F18" w14:paraId="590BFEB6" w14:textId="77777777" w:rsidTr="00873129">
        <w:trPr>
          <w:trHeight w:val="539"/>
        </w:trPr>
        <w:tc>
          <w:tcPr>
            <w:tcW w:w="3800" w:type="dxa"/>
            <w:shd w:val="clear" w:color="000000" w:fill="FFFFFF"/>
            <w:hideMark/>
          </w:tcPr>
          <w:p w14:paraId="4D10F170" w14:textId="25C9F450"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средства/редовна издвајања (МГСИ)</w:t>
            </w:r>
          </w:p>
        </w:tc>
        <w:tc>
          <w:tcPr>
            <w:tcW w:w="2480" w:type="dxa"/>
            <w:shd w:val="clear" w:color="000000" w:fill="FFFFFF"/>
            <w:hideMark/>
          </w:tcPr>
          <w:p w14:paraId="1E0B3753"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255" w:type="dxa"/>
          </w:tcPr>
          <w:p w14:paraId="15BF59B7" w14:textId="755F3FA2" w:rsidR="00E94061" w:rsidRPr="00EF2F18" w:rsidRDefault="00E94061" w:rsidP="00752CA0">
            <w:pPr>
              <w:spacing w:after="0"/>
              <w:jc w:val="right"/>
              <w:rPr>
                <w:rFonts w:eastAsia="Times New Roman" w:cs="Times New Roman"/>
                <w:color w:val="000000"/>
                <w:sz w:val="20"/>
                <w:szCs w:val="20"/>
                <w:lang w:val="sr-Cyrl-RS" w:eastAsia="sr-Cyrl-RS"/>
              </w:rPr>
            </w:pPr>
          </w:p>
        </w:tc>
        <w:tc>
          <w:tcPr>
            <w:tcW w:w="2340" w:type="dxa"/>
          </w:tcPr>
          <w:p w14:paraId="68E17F98" w14:textId="7984C3FA" w:rsidR="00E94061" w:rsidRPr="00EF2F18" w:rsidRDefault="00E94061" w:rsidP="00752CA0">
            <w:pPr>
              <w:spacing w:after="0"/>
              <w:jc w:val="right"/>
              <w:rPr>
                <w:rFonts w:eastAsia="Times New Roman" w:cs="Times New Roman"/>
                <w:color w:val="000000"/>
                <w:sz w:val="20"/>
                <w:szCs w:val="20"/>
                <w:lang w:val="sr-Cyrl-RS" w:eastAsia="sr-Cyrl-RS"/>
              </w:rPr>
            </w:pPr>
          </w:p>
        </w:tc>
        <w:tc>
          <w:tcPr>
            <w:tcW w:w="2700" w:type="dxa"/>
            <w:shd w:val="clear" w:color="000000" w:fill="FFFFFF"/>
          </w:tcPr>
          <w:p w14:paraId="2DE8DA50" w14:textId="7CEF0AF8"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42EA4E82" w14:textId="77777777" w:rsidTr="00873129">
        <w:trPr>
          <w:trHeight w:val="539"/>
        </w:trPr>
        <w:tc>
          <w:tcPr>
            <w:tcW w:w="3800" w:type="dxa"/>
            <w:shd w:val="clear" w:color="000000" w:fill="FFFFFF"/>
          </w:tcPr>
          <w:p w14:paraId="5DC02931" w14:textId="434AC41B" w:rsidR="00E94061" w:rsidRPr="00EF2F18" w:rsidRDefault="00E94061" w:rsidP="00752CA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Буџетска средства/редовна издвајања (МРЕ)</w:t>
            </w:r>
          </w:p>
        </w:tc>
        <w:tc>
          <w:tcPr>
            <w:tcW w:w="2480" w:type="dxa"/>
            <w:shd w:val="clear" w:color="000000" w:fill="FFFFFF"/>
          </w:tcPr>
          <w:p w14:paraId="2FF92A1F"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2255" w:type="dxa"/>
          </w:tcPr>
          <w:p w14:paraId="7DFDF335" w14:textId="77777777" w:rsidR="00E94061" w:rsidRPr="00EF2F18" w:rsidRDefault="00E94061" w:rsidP="00752CA0">
            <w:pPr>
              <w:spacing w:after="0"/>
              <w:jc w:val="right"/>
              <w:rPr>
                <w:rFonts w:eastAsia="Times New Roman" w:cs="Times New Roman"/>
                <w:color w:val="000000"/>
                <w:sz w:val="20"/>
                <w:szCs w:val="20"/>
                <w:lang w:val="sr-Cyrl-RS" w:eastAsia="sr-Cyrl-RS"/>
              </w:rPr>
            </w:pPr>
          </w:p>
        </w:tc>
        <w:tc>
          <w:tcPr>
            <w:tcW w:w="2340" w:type="dxa"/>
          </w:tcPr>
          <w:p w14:paraId="12684187" w14:textId="77777777" w:rsidR="00E94061" w:rsidRPr="00EF2F18" w:rsidRDefault="00E94061" w:rsidP="00752CA0">
            <w:pPr>
              <w:spacing w:after="0"/>
              <w:jc w:val="right"/>
              <w:rPr>
                <w:rFonts w:eastAsia="Times New Roman" w:cs="Times New Roman"/>
                <w:color w:val="000000"/>
                <w:sz w:val="20"/>
                <w:szCs w:val="20"/>
                <w:lang w:val="sr-Cyrl-RS" w:eastAsia="sr-Cyrl-RS"/>
              </w:rPr>
            </w:pPr>
          </w:p>
        </w:tc>
        <w:tc>
          <w:tcPr>
            <w:tcW w:w="2700" w:type="dxa"/>
            <w:shd w:val="clear" w:color="000000" w:fill="FFFFFF"/>
          </w:tcPr>
          <w:p w14:paraId="44A68287" w14:textId="77777777"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70D853CF" w14:textId="77777777" w:rsidTr="00873129">
        <w:trPr>
          <w:trHeight w:val="519"/>
        </w:trPr>
        <w:tc>
          <w:tcPr>
            <w:tcW w:w="3800" w:type="dxa"/>
            <w:shd w:val="clear" w:color="000000" w:fill="FFFFFF"/>
            <w:hideMark/>
          </w:tcPr>
          <w:p w14:paraId="3C37692E"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средства/редовна издвајања (МЗЖС)</w:t>
            </w:r>
          </w:p>
        </w:tc>
        <w:tc>
          <w:tcPr>
            <w:tcW w:w="2480" w:type="dxa"/>
            <w:shd w:val="clear" w:color="000000" w:fill="FFFFFF"/>
            <w:hideMark/>
          </w:tcPr>
          <w:p w14:paraId="34CAD41E"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0404-560-0002-411</w:t>
            </w:r>
          </w:p>
        </w:tc>
        <w:tc>
          <w:tcPr>
            <w:tcW w:w="2255" w:type="dxa"/>
          </w:tcPr>
          <w:p w14:paraId="5DAA1A1A" w14:textId="18389EFF" w:rsidR="00E94061" w:rsidRPr="00EF2F18" w:rsidRDefault="00E94061" w:rsidP="00752CA0">
            <w:pPr>
              <w:spacing w:after="0"/>
              <w:jc w:val="right"/>
              <w:rPr>
                <w:rFonts w:eastAsia="Times New Roman" w:cs="Times New Roman"/>
                <w:color w:val="000000"/>
                <w:sz w:val="20"/>
                <w:szCs w:val="20"/>
                <w:lang w:val="sr-Cyrl-RS" w:eastAsia="sr-Cyrl-RS"/>
              </w:rPr>
            </w:pPr>
          </w:p>
        </w:tc>
        <w:tc>
          <w:tcPr>
            <w:tcW w:w="2340" w:type="dxa"/>
          </w:tcPr>
          <w:p w14:paraId="61B84B95" w14:textId="21FD948D" w:rsidR="00E94061" w:rsidRPr="00EF2F18" w:rsidRDefault="00E94061" w:rsidP="00752CA0">
            <w:pPr>
              <w:spacing w:after="0"/>
              <w:jc w:val="right"/>
              <w:rPr>
                <w:rFonts w:eastAsia="Times New Roman" w:cs="Times New Roman"/>
                <w:color w:val="000000"/>
                <w:sz w:val="20"/>
                <w:szCs w:val="20"/>
                <w:lang w:val="sr-Cyrl-RS" w:eastAsia="sr-Cyrl-RS"/>
              </w:rPr>
            </w:pPr>
          </w:p>
        </w:tc>
        <w:tc>
          <w:tcPr>
            <w:tcW w:w="2700" w:type="dxa"/>
            <w:shd w:val="clear" w:color="000000" w:fill="FFFFFF"/>
          </w:tcPr>
          <w:p w14:paraId="763881CC" w14:textId="79F0B285"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0AF85B2D" w14:textId="77777777" w:rsidTr="00873129">
        <w:trPr>
          <w:trHeight w:val="336"/>
        </w:trPr>
        <w:tc>
          <w:tcPr>
            <w:tcW w:w="3800" w:type="dxa"/>
            <w:shd w:val="clear" w:color="000000" w:fill="FFFFFF"/>
            <w:hideMark/>
          </w:tcPr>
          <w:p w14:paraId="36143133"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480" w:type="dxa"/>
            <w:shd w:val="clear" w:color="000000" w:fill="FFFFFF"/>
            <w:hideMark/>
          </w:tcPr>
          <w:p w14:paraId="3FB034E3"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255" w:type="dxa"/>
          </w:tcPr>
          <w:p w14:paraId="5582087B" w14:textId="109FA8D5" w:rsidR="00E94061" w:rsidRPr="00EF2F18" w:rsidRDefault="00E94061" w:rsidP="00752CA0">
            <w:pPr>
              <w:spacing w:after="0"/>
              <w:jc w:val="right"/>
              <w:rPr>
                <w:rFonts w:eastAsia="Times New Roman" w:cs="Times New Roman"/>
                <w:color w:val="000000"/>
                <w:sz w:val="20"/>
                <w:szCs w:val="20"/>
                <w:lang w:val="sr-Cyrl-RS" w:eastAsia="sr-Cyrl-RS"/>
              </w:rPr>
            </w:pPr>
          </w:p>
        </w:tc>
        <w:tc>
          <w:tcPr>
            <w:tcW w:w="2340" w:type="dxa"/>
          </w:tcPr>
          <w:p w14:paraId="788C279A" w14:textId="5B276021" w:rsidR="00E94061" w:rsidRPr="00EF2F18" w:rsidRDefault="00E94061" w:rsidP="00752CA0">
            <w:pPr>
              <w:spacing w:after="0"/>
              <w:jc w:val="right"/>
              <w:rPr>
                <w:rFonts w:eastAsia="Times New Roman" w:cs="Times New Roman"/>
                <w:color w:val="000000"/>
                <w:sz w:val="20"/>
                <w:szCs w:val="20"/>
                <w:lang w:val="sr-Cyrl-RS" w:eastAsia="sr-Cyrl-RS"/>
              </w:rPr>
            </w:pPr>
          </w:p>
        </w:tc>
        <w:tc>
          <w:tcPr>
            <w:tcW w:w="2700" w:type="dxa"/>
            <w:shd w:val="clear" w:color="000000" w:fill="FFFFFF"/>
          </w:tcPr>
          <w:p w14:paraId="33D845BE" w14:textId="3EA8573C" w:rsidR="00E94061" w:rsidRPr="00EF2F18" w:rsidRDefault="00E94061" w:rsidP="00752CA0">
            <w:pPr>
              <w:spacing w:after="0"/>
              <w:jc w:val="right"/>
              <w:rPr>
                <w:rFonts w:eastAsia="Times New Roman" w:cs="Times New Roman"/>
                <w:color w:val="000000"/>
                <w:sz w:val="20"/>
                <w:szCs w:val="20"/>
                <w:lang w:val="sr-Cyrl-RS" w:eastAsia="sr-Cyrl-RS"/>
              </w:rPr>
            </w:pPr>
          </w:p>
        </w:tc>
      </w:tr>
    </w:tbl>
    <w:p w14:paraId="74CE75F5" w14:textId="77777777" w:rsidR="007D7243" w:rsidRPr="00EF2F18" w:rsidRDefault="007D7243" w:rsidP="007D7243">
      <w:pPr>
        <w:spacing w:after="0"/>
        <w:rPr>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1231"/>
        <w:gridCol w:w="1362"/>
        <w:gridCol w:w="1182"/>
        <w:gridCol w:w="1691"/>
        <w:gridCol w:w="1532"/>
        <w:gridCol w:w="1323"/>
        <w:gridCol w:w="1260"/>
        <w:gridCol w:w="1440"/>
      </w:tblGrid>
      <w:tr w:rsidR="007D7243" w:rsidRPr="00EF2F18" w14:paraId="256D6898" w14:textId="77777777" w:rsidTr="00E94061">
        <w:trPr>
          <w:trHeight w:val="696"/>
        </w:trPr>
        <w:tc>
          <w:tcPr>
            <w:tcW w:w="2564" w:type="dxa"/>
            <w:vMerge w:val="restart"/>
            <w:shd w:val="clear" w:color="000000" w:fill="FFF2CC"/>
            <w:hideMark/>
          </w:tcPr>
          <w:p w14:paraId="2F90231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31" w:type="dxa"/>
            <w:vMerge w:val="restart"/>
            <w:shd w:val="clear" w:color="000000" w:fill="FFF2CC"/>
            <w:hideMark/>
          </w:tcPr>
          <w:p w14:paraId="479E7F7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62" w:type="dxa"/>
            <w:vMerge w:val="restart"/>
            <w:shd w:val="clear" w:color="000000" w:fill="FFF2CC"/>
            <w:hideMark/>
          </w:tcPr>
          <w:p w14:paraId="268D0A3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0BCCCD5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4AEE971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532" w:type="dxa"/>
            <w:vMerge w:val="restart"/>
            <w:shd w:val="clear" w:color="000000" w:fill="FFF2CC"/>
            <w:hideMark/>
          </w:tcPr>
          <w:p w14:paraId="3E280DD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23" w:type="dxa"/>
            <w:gridSpan w:val="3"/>
            <w:shd w:val="clear" w:color="000000" w:fill="FFF2CC"/>
            <w:hideMark/>
          </w:tcPr>
          <w:p w14:paraId="21A72CC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E94061" w:rsidRPr="00EF2F18" w14:paraId="6EEC2CAC" w14:textId="77777777" w:rsidTr="00E94061">
        <w:trPr>
          <w:trHeight w:val="441"/>
        </w:trPr>
        <w:tc>
          <w:tcPr>
            <w:tcW w:w="2564" w:type="dxa"/>
            <w:vMerge/>
            <w:vAlign w:val="center"/>
            <w:hideMark/>
          </w:tcPr>
          <w:p w14:paraId="71525FB0"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231" w:type="dxa"/>
            <w:vMerge/>
            <w:vAlign w:val="center"/>
            <w:hideMark/>
          </w:tcPr>
          <w:p w14:paraId="002DE64B"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62" w:type="dxa"/>
            <w:vMerge/>
            <w:vAlign w:val="center"/>
            <w:hideMark/>
          </w:tcPr>
          <w:p w14:paraId="7BE86864"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182" w:type="dxa"/>
            <w:vMerge/>
            <w:vAlign w:val="center"/>
            <w:hideMark/>
          </w:tcPr>
          <w:p w14:paraId="1DF9B76C"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691" w:type="dxa"/>
            <w:vMerge/>
            <w:vAlign w:val="center"/>
            <w:hideMark/>
          </w:tcPr>
          <w:p w14:paraId="0FFE6C19"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532" w:type="dxa"/>
            <w:vMerge/>
            <w:vAlign w:val="center"/>
            <w:hideMark/>
          </w:tcPr>
          <w:p w14:paraId="2E85C7F6"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23" w:type="dxa"/>
            <w:shd w:val="clear" w:color="000000" w:fill="FFF2CC"/>
            <w:hideMark/>
          </w:tcPr>
          <w:p w14:paraId="1D996717" w14:textId="396409BA"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260" w:type="dxa"/>
            <w:shd w:val="clear" w:color="000000" w:fill="FFF2CC"/>
            <w:hideMark/>
          </w:tcPr>
          <w:p w14:paraId="21149122" w14:textId="21E1DE1C"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shd w:val="clear" w:color="000000" w:fill="FFF2CC"/>
            <w:hideMark/>
          </w:tcPr>
          <w:p w14:paraId="2D108C89" w14:textId="279227D6" w:rsidR="00E94061" w:rsidRPr="00EF2F18" w:rsidRDefault="00E9406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E94061" w:rsidRPr="00EF2F18" w14:paraId="7CE71591" w14:textId="77777777" w:rsidTr="00E94061">
        <w:trPr>
          <w:trHeight w:val="1068"/>
        </w:trPr>
        <w:tc>
          <w:tcPr>
            <w:tcW w:w="2564" w:type="dxa"/>
            <w:hideMark/>
          </w:tcPr>
          <w:p w14:paraId="5F508B54" w14:textId="0EE0802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1.1.9.</w:t>
            </w:r>
            <w:r w:rsidR="003554B0"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 Успостављање система економске подршке за постављање инфраструктуре за пуњење електричних возила</w:t>
            </w:r>
          </w:p>
        </w:tc>
        <w:tc>
          <w:tcPr>
            <w:tcW w:w="1231" w:type="dxa"/>
            <w:hideMark/>
          </w:tcPr>
          <w:p w14:paraId="2FFDEC6F"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362" w:type="dxa"/>
            <w:hideMark/>
          </w:tcPr>
          <w:p w14:paraId="3B642CC6"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МФ</w:t>
            </w:r>
          </w:p>
        </w:tc>
        <w:tc>
          <w:tcPr>
            <w:tcW w:w="1182" w:type="dxa"/>
            <w:hideMark/>
          </w:tcPr>
          <w:p w14:paraId="0D16889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3482C878"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532" w:type="dxa"/>
          </w:tcPr>
          <w:p w14:paraId="1851859A"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23" w:type="dxa"/>
          </w:tcPr>
          <w:p w14:paraId="4C37121C" w14:textId="7B800B0B" w:rsidR="00E94061" w:rsidRPr="00EF2F18" w:rsidRDefault="00E94061" w:rsidP="00752CA0">
            <w:pPr>
              <w:spacing w:after="0"/>
              <w:jc w:val="right"/>
              <w:rPr>
                <w:rFonts w:eastAsia="Times New Roman" w:cs="Times New Roman"/>
                <w:color w:val="000000"/>
                <w:sz w:val="20"/>
                <w:szCs w:val="20"/>
                <w:lang w:val="sr-Cyrl-RS" w:eastAsia="sr-Cyrl-RS"/>
              </w:rPr>
            </w:pPr>
          </w:p>
        </w:tc>
        <w:tc>
          <w:tcPr>
            <w:tcW w:w="1260" w:type="dxa"/>
          </w:tcPr>
          <w:p w14:paraId="77BE8CDE" w14:textId="38ED1D0B"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642F128A" w14:textId="0EE316C4"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2CE3D334" w14:textId="77777777" w:rsidTr="00E94061">
        <w:trPr>
          <w:trHeight w:val="1332"/>
        </w:trPr>
        <w:tc>
          <w:tcPr>
            <w:tcW w:w="2564" w:type="dxa"/>
            <w:hideMark/>
          </w:tcPr>
          <w:p w14:paraId="5EC53DE3" w14:textId="77777777" w:rsidR="00E94061"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1.1.9.</w:t>
            </w:r>
            <w:r w:rsidR="003554B0" w:rsidRPr="00EF2F18">
              <w:rPr>
                <w:rFonts w:eastAsia="Times New Roman" w:cs="Times New Roman"/>
                <w:color w:val="000000"/>
                <w:sz w:val="20"/>
                <w:szCs w:val="20"/>
                <w:lang w:val="sr-Cyrl-RS" w:eastAsia="sr-Cyrl-RS"/>
              </w:rPr>
              <w:t>2</w:t>
            </w:r>
            <w:r w:rsidRPr="00EF2F18">
              <w:rPr>
                <w:rFonts w:eastAsia="Times New Roman" w:cs="Times New Roman"/>
                <w:color w:val="000000"/>
                <w:sz w:val="20"/>
                <w:szCs w:val="20"/>
                <w:lang w:val="sr-Cyrl-RS" w:eastAsia="sr-Cyrl-RS"/>
              </w:rPr>
              <w:t>. Успостављање система подршке производњи биометана из ОИЕ (из отпада, остатака, целулозних и лигноцелулозног материјала)</w:t>
            </w:r>
          </w:p>
          <w:p w14:paraId="5AA7432C" w14:textId="77777777" w:rsidR="005C0CF6" w:rsidRDefault="005C0CF6" w:rsidP="00752CA0">
            <w:pPr>
              <w:spacing w:after="0"/>
              <w:rPr>
                <w:rFonts w:eastAsia="Times New Roman" w:cs="Times New Roman"/>
                <w:color w:val="000000"/>
                <w:sz w:val="20"/>
                <w:szCs w:val="20"/>
                <w:lang w:val="sr-Cyrl-RS" w:eastAsia="sr-Cyrl-RS"/>
              </w:rPr>
            </w:pPr>
          </w:p>
          <w:p w14:paraId="483348EC" w14:textId="631C95AF" w:rsidR="005C0CF6" w:rsidRPr="00EF2F18" w:rsidRDefault="005C0CF6" w:rsidP="00752CA0">
            <w:pPr>
              <w:spacing w:after="0"/>
              <w:rPr>
                <w:rFonts w:eastAsia="Times New Roman" w:cs="Times New Roman"/>
                <w:color w:val="000000"/>
                <w:sz w:val="20"/>
                <w:szCs w:val="20"/>
                <w:lang w:val="sr-Cyrl-RS" w:eastAsia="sr-Cyrl-RS"/>
              </w:rPr>
            </w:pPr>
          </w:p>
        </w:tc>
        <w:tc>
          <w:tcPr>
            <w:tcW w:w="1231" w:type="dxa"/>
            <w:hideMark/>
          </w:tcPr>
          <w:p w14:paraId="72815947"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362" w:type="dxa"/>
            <w:hideMark/>
          </w:tcPr>
          <w:p w14:paraId="674AE6EF"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МФ</w:t>
            </w:r>
          </w:p>
        </w:tc>
        <w:tc>
          <w:tcPr>
            <w:tcW w:w="1182" w:type="dxa"/>
            <w:hideMark/>
          </w:tcPr>
          <w:p w14:paraId="3F8A5FA0"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3A83602E"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532" w:type="dxa"/>
          </w:tcPr>
          <w:p w14:paraId="5D0DA37E" w14:textId="77777777" w:rsidR="00E94061" w:rsidRPr="00EF2F18" w:rsidRDefault="00E94061" w:rsidP="00752CA0">
            <w:pPr>
              <w:spacing w:after="0"/>
              <w:rPr>
                <w:rFonts w:eastAsia="Times New Roman" w:cs="Times New Roman"/>
                <w:color w:val="000000"/>
                <w:sz w:val="20"/>
                <w:szCs w:val="20"/>
                <w:lang w:val="sr-Cyrl-RS" w:eastAsia="sr-Cyrl-RS"/>
              </w:rPr>
            </w:pPr>
          </w:p>
        </w:tc>
        <w:tc>
          <w:tcPr>
            <w:tcW w:w="1323" w:type="dxa"/>
          </w:tcPr>
          <w:p w14:paraId="6DEE6F5D" w14:textId="6EE84C8C" w:rsidR="00E94061" w:rsidRPr="00EF2F18" w:rsidRDefault="00E94061" w:rsidP="00752CA0">
            <w:pPr>
              <w:spacing w:after="0"/>
              <w:jc w:val="right"/>
              <w:rPr>
                <w:rFonts w:eastAsia="Times New Roman" w:cs="Times New Roman"/>
                <w:color w:val="000000"/>
                <w:sz w:val="20"/>
                <w:szCs w:val="20"/>
                <w:lang w:val="sr-Cyrl-RS" w:eastAsia="sr-Cyrl-RS"/>
              </w:rPr>
            </w:pPr>
          </w:p>
        </w:tc>
        <w:tc>
          <w:tcPr>
            <w:tcW w:w="1260" w:type="dxa"/>
          </w:tcPr>
          <w:p w14:paraId="6F3329CF" w14:textId="6F6ACA85"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18D7E11D" w14:textId="4EAA1EC2"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738D1D01" w14:textId="77777777" w:rsidTr="00E94061">
        <w:trPr>
          <w:trHeight w:val="1068"/>
        </w:trPr>
        <w:tc>
          <w:tcPr>
            <w:tcW w:w="2564" w:type="dxa"/>
            <w:hideMark/>
          </w:tcPr>
          <w:p w14:paraId="3B2A382D" w14:textId="3F04611F"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1.1.9.</w:t>
            </w:r>
            <w:r w:rsidR="003554B0" w:rsidRPr="00EF2F18">
              <w:rPr>
                <w:rFonts w:eastAsia="Times New Roman" w:cs="Times New Roman"/>
                <w:color w:val="000000"/>
                <w:sz w:val="20"/>
                <w:szCs w:val="20"/>
                <w:lang w:val="sr-Cyrl-RS" w:eastAsia="sr-Cyrl-RS"/>
              </w:rPr>
              <w:t>3</w:t>
            </w:r>
            <w:r w:rsidRPr="00EF2F18">
              <w:rPr>
                <w:rFonts w:eastAsia="Times New Roman" w:cs="Times New Roman"/>
                <w:color w:val="000000"/>
                <w:sz w:val="20"/>
                <w:szCs w:val="20"/>
                <w:lang w:val="sr-Cyrl-RS" w:eastAsia="sr-Cyrl-RS"/>
              </w:rPr>
              <w:t xml:space="preserve">. Подстицање набавке енергетски ефикасних путничких возила и </w:t>
            </w:r>
            <w:r w:rsidR="0014138F" w:rsidRPr="00EF2F18">
              <w:rPr>
                <w:rFonts w:eastAsia="Times New Roman" w:cs="Times New Roman"/>
                <w:color w:val="000000"/>
                <w:sz w:val="20"/>
                <w:szCs w:val="20"/>
                <w:lang w:val="sr-Cyrl-RS" w:eastAsia="sr-Cyrl-RS"/>
              </w:rPr>
              <w:t xml:space="preserve">теретних возила </w:t>
            </w:r>
            <w:r w:rsidR="0014138F" w:rsidRPr="00EF2F18">
              <w:rPr>
                <w:rFonts w:eastAsia="Times New Roman" w:cs="Times New Roman"/>
                <w:color w:val="000000"/>
                <w:sz w:val="20"/>
                <w:szCs w:val="20"/>
                <w:lang w:val="sr-Cyrl-RS" w:eastAsia="sr-Cyrl-RS"/>
              </w:rPr>
              <w:lastRenderedPageBreak/>
              <w:t>највеће дозвољене масе до 3,5 t</w:t>
            </w:r>
          </w:p>
        </w:tc>
        <w:tc>
          <w:tcPr>
            <w:tcW w:w="1231" w:type="dxa"/>
            <w:hideMark/>
          </w:tcPr>
          <w:p w14:paraId="5DB9D85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МЗЖС</w:t>
            </w:r>
          </w:p>
        </w:tc>
        <w:tc>
          <w:tcPr>
            <w:tcW w:w="1362" w:type="dxa"/>
            <w:hideMark/>
          </w:tcPr>
          <w:p w14:paraId="3DAE1C3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182" w:type="dxa"/>
            <w:hideMark/>
          </w:tcPr>
          <w:p w14:paraId="5B7E0954"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0D38CC10"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532" w:type="dxa"/>
            <w:hideMark/>
          </w:tcPr>
          <w:p w14:paraId="56F92E8B"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0404-560-0014-454</w:t>
            </w:r>
          </w:p>
        </w:tc>
        <w:tc>
          <w:tcPr>
            <w:tcW w:w="1323" w:type="dxa"/>
            <w:hideMark/>
          </w:tcPr>
          <w:p w14:paraId="0B4BCBD2"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170.000</w:t>
            </w:r>
          </w:p>
        </w:tc>
        <w:tc>
          <w:tcPr>
            <w:tcW w:w="1260" w:type="dxa"/>
            <w:hideMark/>
          </w:tcPr>
          <w:p w14:paraId="75D6E3CB" w14:textId="77777777"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170.000</w:t>
            </w:r>
          </w:p>
        </w:tc>
        <w:tc>
          <w:tcPr>
            <w:tcW w:w="1440" w:type="dxa"/>
            <w:hideMark/>
          </w:tcPr>
          <w:p w14:paraId="4FEDDEE7" w14:textId="63E66B91" w:rsidR="00E94061" w:rsidRPr="00EF2F18" w:rsidRDefault="00E9406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170.000</w:t>
            </w:r>
          </w:p>
        </w:tc>
      </w:tr>
      <w:tr w:rsidR="00E94061" w:rsidRPr="00EF2F18" w14:paraId="3ADB7CF4" w14:textId="77777777" w:rsidTr="00E94061">
        <w:trPr>
          <w:trHeight w:val="804"/>
        </w:trPr>
        <w:tc>
          <w:tcPr>
            <w:tcW w:w="2564" w:type="dxa"/>
            <w:hideMark/>
          </w:tcPr>
          <w:p w14:paraId="079EAE72" w14:textId="6B309D4E"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1.1.9.</w:t>
            </w:r>
            <w:r w:rsidR="003554B0" w:rsidRPr="00EF2F18">
              <w:rPr>
                <w:rFonts w:eastAsia="Times New Roman" w:cs="Times New Roman"/>
                <w:color w:val="000000"/>
                <w:sz w:val="20"/>
                <w:szCs w:val="20"/>
                <w:lang w:val="sr-Cyrl-RS" w:eastAsia="sr-Cyrl-RS"/>
              </w:rPr>
              <w:t>4</w:t>
            </w:r>
            <w:r w:rsidRPr="00EF2F18">
              <w:rPr>
                <w:rFonts w:eastAsia="Times New Roman" w:cs="Times New Roman"/>
                <w:color w:val="000000"/>
                <w:sz w:val="20"/>
                <w:szCs w:val="20"/>
                <w:lang w:val="sr-Cyrl-RS" w:eastAsia="sr-Cyrl-RS"/>
              </w:rPr>
              <w:t>. Подстицање куповине нових возила која имају искључиво електрични погон</w:t>
            </w:r>
          </w:p>
        </w:tc>
        <w:tc>
          <w:tcPr>
            <w:tcW w:w="1231" w:type="dxa"/>
            <w:hideMark/>
          </w:tcPr>
          <w:p w14:paraId="6D970149"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2" w:type="dxa"/>
            <w:hideMark/>
          </w:tcPr>
          <w:p w14:paraId="55193E5C"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447A3E8A"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20BE1C49"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532" w:type="dxa"/>
            <w:hideMark/>
          </w:tcPr>
          <w:p w14:paraId="384FE26E"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0404-560-0002-411</w:t>
            </w:r>
          </w:p>
        </w:tc>
        <w:tc>
          <w:tcPr>
            <w:tcW w:w="1323" w:type="dxa"/>
          </w:tcPr>
          <w:p w14:paraId="1AF8E032" w14:textId="05160206" w:rsidR="00E94061" w:rsidRPr="00EF2F18" w:rsidRDefault="00E94061" w:rsidP="00752CA0">
            <w:pPr>
              <w:spacing w:after="0"/>
              <w:jc w:val="right"/>
              <w:rPr>
                <w:rFonts w:eastAsia="Times New Roman" w:cs="Times New Roman"/>
                <w:color w:val="000000"/>
                <w:sz w:val="20"/>
                <w:szCs w:val="20"/>
                <w:lang w:val="sr-Cyrl-RS" w:eastAsia="sr-Cyrl-RS"/>
              </w:rPr>
            </w:pPr>
          </w:p>
        </w:tc>
        <w:tc>
          <w:tcPr>
            <w:tcW w:w="1260" w:type="dxa"/>
          </w:tcPr>
          <w:p w14:paraId="58BD9589" w14:textId="4700CF1A"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7C1E8B86" w14:textId="455AC9E9"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6624ACF9" w14:textId="77777777" w:rsidTr="00E94061">
        <w:trPr>
          <w:trHeight w:val="2436"/>
        </w:trPr>
        <w:tc>
          <w:tcPr>
            <w:tcW w:w="2564" w:type="dxa"/>
            <w:hideMark/>
          </w:tcPr>
          <w:p w14:paraId="11557E6D" w14:textId="65606589"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1.1.9.</w:t>
            </w:r>
            <w:r w:rsidR="003554B0" w:rsidRPr="00EF2F18">
              <w:rPr>
                <w:rFonts w:eastAsia="Times New Roman" w:cs="Times New Roman"/>
                <w:color w:val="000000"/>
                <w:sz w:val="20"/>
                <w:szCs w:val="20"/>
                <w:lang w:val="sr-Cyrl-RS" w:eastAsia="sr-Cyrl-RS"/>
              </w:rPr>
              <w:t>5</w:t>
            </w:r>
            <w:r w:rsidRPr="00EF2F18">
              <w:rPr>
                <w:rFonts w:eastAsia="Times New Roman" w:cs="Times New Roman"/>
                <w:color w:val="000000"/>
                <w:sz w:val="20"/>
                <w:szCs w:val="20"/>
                <w:lang w:val="sr-Cyrl-RS" w:eastAsia="sr-Cyrl-RS"/>
              </w:rPr>
              <w:t>. Увођење накнаде, која ће се утврдити прописима из области заштите животне средине, на путничк</w:t>
            </w:r>
            <w:r w:rsidR="00FF6F3F" w:rsidRPr="00EF2F18">
              <w:rPr>
                <w:rFonts w:eastAsia="Times New Roman" w:cs="Times New Roman"/>
                <w:color w:val="000000"/>
                <w:sz w:val="20"/>
                <w:szCs w:val="20"/>
                <w:lang w:val="sr-Cyrl-RS" w:eastAsia="sr-Cyrl-RS"/>
              </w:rPr>
              <w:t>а</w:t>
            </w:r>
            <w:r w:rsidRPr="00EF2F18">
              <w:rPr>
                <w:rFonts w:eastAsia="Times New Roman" w:cs="Times New Roman"/>
                <w:color w:val="000000"/>
                <w:sz w:val="20"/>
                <w:szCs w:val="20"/>
                <w:lang w:val="sr-Cyrl-RS" w:eastAsia="sr-Cyrl-RS"/>
              </w:rPr>
              <w:t xml:space="preserve"> </w:t>
            </w:r>
            <w:r w:rsidR="00FF6F3F" w:rsidRPr="00EF2F18">
              <w:rPr>
                <w:rFonts w:eastAsia="Times New Roman" w:cs="Times New Roman"/>
                <w:color w:val="000000"/>
                <w:sz w:val="20"/>
                <w:szCs w:val="20"/>
                <w:lang w:val="sr-Cyrl-RS" w:eastAsia="sr-Cyrl-RS"/>
              </w:rPr>
              <w:t xml:space="preserve">возила  и </w:t>
            </w:r>
            <w:r w:rsidRPr="00EF2F18">
              <w:rPr>
                <w:rFonts w:eastAsia="Times New Roman" w:cs="Times New Roman"/>
                <w:color w:val="000000"/>
                <w:sz w:val="20"/>
                <w:szCs w:val="20"/>
                <w:lang w:val="sr-Cyrl-RS" w:eastAsia="sr-Cyrl-RS"/>
              </w:rPr>
              <w:t>св</w:t>
            </w:r>
            <w:r w:rsidR="00FF6F3F" w:rsidRPr="00EF2F18">
              <w:rPr>
                <w:rFonts w:eastAsia="Times New Roman" w:cs="Times New Roman"/>
                <w:color w:val="000000"/>
                <w:sz w:val="20"/>
                <w:szCs w:val="20"/>
                <w:lang w:val="sr-Cyrl-RS" w:eastAsia="sr-Cyrl-RS"/>
              </w:rPr>
              <w:t>а</w:t>
            </w:r>
            <w:r w:rsidRPr="00EF2F18">
              <w:rPr>
                <w:rFonts w:eastAsia="Times New Roman" w:cs="Times New Roman"/>
                <w:color w:val="000000"/>
                <w:sz w:val="20"/>
                <w:szCs w:val="20"/>
                <w:lang w:val="sr-Cyrl-RS" w:eastAsia="sr-Cyrl-RS"/>
              </w:rPr>
              <w:t xml:space="preserve"> </w:t>
            </w:r>
            <w:r w:rsidR="00FF6F3F" w:rsidRPr="00EF2F18">
              <w:rPr>
                <w:rFonts w:eastAsia="Times New Roman" w:cs="Times New Roman"/>
                <w:color w:val="000000"/>
                <w:sz w:val="20"/>
                <w:szCs w:val="20"/>
                <w:lang w:val="sr-Cyrl-RS" w:eastAsia="sr-Cyrl-RS"/>
              </w:rPr>
              <w:t xml:space="preserve">возила </w:t>
            </w:r>
            <w:r w:rsidRPr="00EF2F18">
              <w:rPr>
                <w:rFonts w:eastAsia="Times New Roman" w:cs="Times New Roman"/>
                <w:color w:val="000000"/>
                <w:sz w:val="20"/>
                <w:szCs w:val="20"/>
                <w:lang w:val="sr-Cyrl-RS" w:eastAsia="sr-Cyrl-RS"/>
              </w:rPr>
              <w:t>који су први пут регистровани у Републици Србији на основу перформанси у погледу емисије CО</w:t>
            </w:r>
            <w:r w:rsidRPr="00EF2F18">
              <w:rPr>
                <w:rFonts w:eastAsia="Times New Roman" w:cs="Times New Roman"/>
                <w:color w:val="000000"/>
                <w:sz w:val="20"/>
                <w:szCs w:val="20"/>
                <w:vertAlign w:val="subscript"/>
                <w:lang w:val="sr-Cyrl-RS" w:eastAsia="sr-Cyrl-RS"/>
              </w:rPr>
              <w:t>2</w:t>
            </w:r>
          </w:p>
        </w:tc>
        <w:tc>
          <w:tcPr>
            <w:tcW w:w="1231" w:type="dxa"/>
            <w:hideMark/>
          </w:tcPr>
          <w:p w14:paraId="17DFD0A6"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2" w:type="dxa"/>
            <w:hideMark/>
          </w:tcPr>
          <w:p w14:paraId="00543ADD"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MРE, МГСИ</w:t>
            </w:r>
          </w:p>
        </w:tc>
        <w:tc>
          <w:tcPr>
            <w:tcW w:w="1182" w:type="dxa"/>
            <w:hideMark/>
          </w:tcPr>
          <w:p w14:paraId="3A62D97F"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7D3EB33A" w14:textId="3FBBCDD9"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532" w:type="dxa"/>
          </w:tcPr>
          <w:p w14:paraId="696EBB58" w14:textId="2435420A"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0404-560-0002-411</w:t>
            </w:r>
          </w:p>
        </w:tc>
        <w:tc>
          <w:tcPr>
            <w:tcW w:w="1323" w:type="dxa"/>
          </w:tcPr>
          <w:p w14:paraId="5F4FDF5A" w14:textId="514B26C9" w:rsidR="00E94061" w:rsidRPr="00EF2F18" w:rsidRDefault="00E94061" w:rsidP="00752CA0">
            <w:pPr>
              <w:spacing w:after="0"/>
              <w:jc w:val="right"/>
              <w:rPr>
                <w:rFonts w:eastAsia="Times New Roman" w:cs="Times New Roman"/>
                <w:color w:val="000000"/>
                <w:sz w:val="20"/>
                <w:szCs w:val="20"/>
                <w:lang w:val="sr-Cyrl-RS" w:eastAsia="sr-Cyrl-RS"/>
              </w:rPr>
            </w:pPr>
          </w:p>
        </w:tc>
        <w:tc>
          <w:tcPr>
            <w:tcW w:w="1260" w:type="dxa"/>
          </w:tcPr>
          <w:p w14:paraId="16385D49" w14:textId="67A8C99B"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0B5F67FB" w14:textId="2F298A3B" w:rsidR="00E94061" w:rsidRPr="00EF2F18" w:rsidRDefault="00E94061" w:rsidP="00752CA0">
            <w:pPr>
              <w:spacing w:after="0"/>
              <w:jc w:val="right"/>
              <w:rPr>
                <w:rFonts w:eastAsia="Times New Roman" w:cs="Times New Roman"/>
                <w:color w:val="000000"/>
                <w:sz w:val="20"/>
                <w:szCs w:val="20"/>
                <w:lang w:val="sr-Cyrl-RS" w:eastAsia="sr-Cyrl-RS"/>
              </w:rPr>
            </w:pPr>
          </w:p>
        </w:tc>
      </w:tr>
      <w:tr w:rsidR="00E94061" w:rsidRPr="00EF2F18" w14:paraId="610F3D0D" w14:textId="77777777" w:rsidTr="00E94061">
        <w:trPr>
          <w:trHeight w:val="1116"/>
        </w:trPr>
        <w:tc>
          <w:tcPr>
            <w:tcW w:w="2564" w:type="dxa"/>
            <w:hideMark/>
          </w:tcPr>
          <w:p w14:paraId="280CAD6B" w14:textId="35AE7CDB"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1.1.9.</w:t>
            </w:r>
            <w:r w:rsidR="003554B0" w:rsidRPr="00EF2F18">
              <w:rPr>
                <w:rFonts w:eastAsia="Times New Roman" w:cs="Times New Roman"/>
                <w:color w:val="000000"/>
                <w:sz w:val="20"/>
                <w:szCs w:val="20"/>
                <w:lang w:val="sr-Cyrl-RS" w:eastAsia="sr-Cyrl-RS"/>
              </w:rPr>
              <w:t>6</w:t>
            </w:r>
            <w:r w:rsidRPr="00EF2F18">
              <w:rPr>
                <w:rFonts w:eastAsia="Times New Roman" w:cs="Times New Roman"/>
                <w:color w:val="000000"/>
                <w:sz w:val="20"/>
                <w:szCs w:val="20"/>
                <w:lang w:val="sr-Cyrl-RS" w:eastAsia="sr-Cyrl-RS"/>
              </w:rPr>
              <w:t>.</w:t>
            </w:r>
            <w:r w:rsidRPr="00EF2F18">
              <w:rPr>
                <w:rFonts w:eastAsia="Times New Roman" w:cs="Times New Roman"/>
                <w:color w:val="000000"/>
                <w:szCs w:val="24"/>
                <w:lang w:val="sr-Cyrl-RS" w:eastAsia="sr-Cyrl-RS"/>
              </w:rPr>
              <w:t xml:space="preserve"> </w:t>
            </w:r>
            <w:r w:rsidRPr="00EF2F18">
              <w:rPr>
                <w:rFonts w:eastAsia="Times New Roman" w:cs="Times New Roman"/>
                <w:color w:val="000000"/>
                <w:sz w:val="20"/>
                <w:szCs w:val="20"/>
                <w:lang w:val="sr-Cyrl-RS" w:eastAsia="sr-Cyrl-RS"/>
              </w:rPr>
              <w:t>Успостављање и примена механизма за подршку пројектима паметне саобраћајне инфраструктуре</w:t>
            </w:r>
          </w:p>
        </w:tc>
        <w:tc>
          <w:tcPr>
            <w:tcW w:w="1231" w:type="dxa"/>
            <w:hideMark/>
          </w:tcPr>
          <w:p w14:paraId="09659700"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362" w:type="dxa"/>
            <w:hideMark/>
          </w:tcPr>
          <w:p w14:paraId="195E8629"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182" w:type="dxa"/>
            <w:hideMark/>
          </w:tcPr>
          <w:p w14:paraId="5A4D9E59" w14:textId="77777777" w:rsidR="00E94061" w:rsidRPr="00EF2F18" w:rsidRDefault="00E9406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6EC092CC" w14:textId="77777777" w:rsidR="00E94061" w:rsidRPr="00EF2F18" w:rsidRDefault="00E94061"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Донаторска средства*</w:t>
            </w:r>
          </w:p>
        </w:tc>
        <w:tc>
          <w:tcPr>
            <w:tcW w:w="1532" w:type="dxa"/>
          </w:tcPr>
          <w:p w14:paraId="6CCC8D79" w14:textId="7671E41C" w:rsidR="00E94061" w:rsidRPr="00EF2F18" w:rsidRDefault="00E94061" w:rsidP="00752CA0">
            <w:pPr>
              <w:spacing w:after="0"/>
              <w:rPr>
                <w:rFonts w:eastAsia="Times New Roman" w:cs="Times New Roman"/>
                <w:color w:val="000000"/>
                <w:sz w:val="20"/>
                <w:szCs w:val="20"/>
                <w:lang w:val="sr-Cyrl-RS" w:eastAsia="sr-Cyrl-RS"/>
              </w:rPr>
            </w:pPr>
          </w:p>
        </w:tc>
        <w:tc>
          <w:tcPr>
            <w:tcW w:w="1323" w:type="dxa"/>
          </w:tcPr>
          <w:p w14:paraId="371F5148" w14:textId="33DB3DE2" w:rsidR="00E94061" w:rsidRPr="00EF2F18" w:rsidRDefault="00E94061" w:rsidP="00752CA0">
            <w:pPr>
              <w:spacing w:after="0"/>
              <w:jc w:val="right"/>
              <w:rPr>
                <w:rFonts w:eastAsia="Times New Roman" w:cs="Times New Roman"/>
                <w:color w:val="000000"/>
                <w:sz w:val="20"/>
                <w:szCs w:val="20"/>
                <w:lang w:val="sr-Cyrl-RS" w:eastAsia="sr-Cyrl-RS"/>
              </w:rPr>
            </w:pPr>
          </w:p>
        </w:tc>
        <w:tc>
          <w:tcPr>
            <w:tcW w:w="1260" w:type="dxa"/>
          </w:tcPr>
          <w:p w14:paraId="477E0ADA" w14:textId="72DD6E3E" w:rsidR="00E94061" w:rsidRPr="00EF2F18" w:rsidRDefault="00E94061" w:rsidP="00752CA0">
            <w:pPr>
              <w:spacing w:after="0"/>
              <w:jc w:val="right"/>
              <w:rPr>
                <w:rFonts w:eastAsia="Times New Roman" w:cs="Times New Roman"/>
                <w:color w:val="000000"/>
                <w:sz w:val="20"/>
                <w:szCs w:val="20"/>
                <w:lang w:val="sr-Cyrl-RS" w:eastAsia="sr-Cyrl-RS"/>
              </w:rPr>
            </w:pPr>
          </w:p>
        </w:tc>
        <w:tc>
          <w:tcPr>
            <w:tcW w:w="1440" w:type="dxa"/>
          </w:tcPr>
          <w:p w14:paraId="497322EA" w14:textId="02C5A1D1" w:rsidR="00E94061" w:rsidRPr="00EF2F18" w:rsidRDefault="00E94061" w:rsidP="00752CA0">
            <w:pPr>
              <w:spacing w:after="0"/>
              <w:jc w:val="right"/>
              <w:rPr>
                <w:rFonts w:eastAsia="Times New Roman" w:cs="Times New Roman"/>
                <w:color w:val="000000"/>
                <w:sz w:val="20"/>
                <w:szCs w:val="20"/>
                <w:lang w:val="sr-Cyrl-RS" w:eastAsia="sr-Cyrl-RS"/>
              </w:rPr>
            </w:pPr>
          </w:p>
        </w:tc>
      </w:tr>
    </w:tbl>
    <w:p w14:paraId="20A617F5" w14:textId="0F1EE06D" w:rsidR="007D7243" w:rsidRPr="00EF2F18" w:rsidRDefault="00625841"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1EF1CBA0" w14:textId="77777777" w:rsidR="007D7243" w:rsidRPr="00EF2F18" w:rsidRDefault="007D7243" w:rsidP="007D7243">
      <w:pPr>
        <w:spacing w:after="0"/>
        <w:rPr>
          <w:rFonts w:cs="Times New Roman"/>
          <w:sz w:val="20"/>
          <w:szCs w:val="20"/>
          <w:lang w:val="sr-Cyrl-RS"/>
        </w:rPr>
      </w:pPr>
    </w:p>
    <w:tbl>
      <w:tblPr>
        <w:tblW w:w="4873"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89"/>
        <w:gridCol w:w="1406"/>
        <w:gridCol w:w="1406"/>
        <w:gridCol w:w="1102"/>
        <w:gridCol w:w="1089"/>
        <w:gridCol w:w="1675"/>
        <w:gridCol w:w="1162"/>
        <w:gridCol w:w="1162"/>
        <w:gridCol w:w="985"/>
      </w:tblGrid>
      <w:tr w:rsidR="007D7243" w:rsidRPr="00EF2F18" w14:paraId="30C7547C" w14:textId="77777777" w:rsidTr="006766AB">
        <w:trPr>
          <w:trHeight w:val="336"/>
        </w:trPr>
        <w:tc>
          <w:tcPr>
            <w:tcW w:w="5000" w:type="pct"/>
            <w:gridSpan w:val="9"/>
            <w:shd w:val="clear" w:color="000000" w:fill="F7CAAC"/>
            <w:vAlign w:val="center"/>
            <w:hideMark/>
          </w:tcPr>
          <w:p w14:paraId="3D1D86C0" w14:textId="77777777" w:rsidR="007D7243" w:rsidRPr="00EF2F18" w:rsidRDefault="007D7243" w:rsidP="00752CA0">
            <w:pPr>
              <w:spacing w:after="0"/>
              <w:rPr>
                <w:rFonts w:eastAsia="Times New Roman" w:cs="Times New Roman"/>
                <w:b/>
                <w:bCs/>
                <w:color w:val="000000"/>
                <w:sz w:val="20"/>
                <w:szCs w:val="20"/>
                <w:lang w:val="sr-Cyrl-RS" w:eastAsia="sr-Cyrl-RS"/>
              </w:rPr>
            </w:pPr>
            <w:bookmarkStart w:id="163" w:name="RANGE!A83"/>
            <w:r w:rsidRPr="00EF2F18">
              <w:rPr>
                <w:rFonts w:eastAsia="Times New Roman" w:cs="Times New Roman"/>
                <w:b/>
                <w:bCs/>
                <w:color w:val="000000"/>
                <w:sz w:val="20"/>
                <w:szCs w:val="20"/>
                <w:lang w:val="sr-Cyrl-RS" w:eastAsia="sr-Cyrl-RS"/>
              </w:rPr>
              <w:t>Мера 1.1.10: Повећање понора угљеника ради ублажавања климатских промена</w:t>
            </w:r>
            <w:bookmarkEnd w:id="163"/>
          </w:p>
        </w:tc>
      </w:tr>
      <w:tr w:rsidR="007D7243" w:rsidRPr="00EF2F18" w14:paraId="3E900160" w14:textId="77777777" w:rsidTr="006766AB">
        <w:trPr>
          <w:trHeight w:val="336"/>
        </w:trPr>
        <w:tc>
          <w:tcPr>
            <w:tcW w:w="5000" w:type="pct"/>
            <w:gridSpan w:val="9"/>
            <w:shd w:val="clear" w:color="000000" w:fill="F7CAAC"/>
            <w:vAlign w:val="center"/>
            <w:hideMark/>
          </w:tcPr>
          <w:p w14:paraId="6A00DFA1"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пољопривреде, шумарства и водопривреде</w:t>
            </w:r>
          </w:p>
        </w:tc>
      </w:tr>
      <w:tr w:rsidR="007D7243" w:rsidRPr="00EF2F18" w14:paraId="7B3BB930" w14:textId="77777777" w:rsidTr="006766AB">
        <w:trPr>
          <w:trHeight w:val="336"/>
        </w:trPr>
        <w:tc>
          <w:tcPr>
            <w:tcW w:w="2792" w:type="pct"/>
            <w:gridSpan w:val="4"/>
            <w:shd w:val="clear" w:color="000000" w:fill="F7CAAC"/>
            <w:vAlign w:val="center"/>
            <w:hideMark/>
          </w:tcPr>
          <w:p w14:paraId="35918A34" w14:textId="6598F38F"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w:t>
            </w:r>
            <w:r w:rsidR="006766AB" w:rsidRPr="00EF2F18">
              <w:rPr>
                <w:rFonts w:eastAsia="Times New Roman" w:cs="Times New Roman"/>
                <w:color w:val="000000" w:themeColor="text1"/>
                <w:sz w:val="20"/>
                <w:szCs w:val="20"/>
                <w:lang w:val="sr-Cyrl-RS" w:eastAsia="sr-Cyrl-RS"/>
              </w:rPr>
              <w:t>2026</w:t>
            </w:r>
            <w:r w:rsidRPr="00EF2F18">
              <w:rPr>
                <w:rFonts w:eastAsia="Times New Roman" w:cs="Times New Roman"/>
                <w:color w:val="000000" w:themeColor="text1"/>
                <w:sz w:val="20"/>
                <w:szCs w:val="20"/>
                <w:lang w:val="sr-Cyrl-RS" w:eastAsia="sr-Cyrl-RS"/>
              </w:rPr>
              <w:t>-2028.</w:t>
            </w:r>
          </w:p>
        </w:tc>
        <w:tc>
          <w:tcPr>
            <w:tcW w:w="2208" w:type="pct"/>
            <w:gridSpan w:val="5"/>
            <w:shd w:val="clear" w:color="000000" w:fill="F7CAAC"/>
            <w:vAlign w:val="center"/>
            <w:hideMark/>
          </w:tcPr>
          <w:p w14:paraId="2B6FCDE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подстицајна</w:t>
            </w:r>
          </w:p>
        </w:tc>
      </w:tr>
      <w:tr w:rsidR="007D7243" w:rsidRPr="00EF2F18" w14:paraId="48BE6DA9" w14:textId="77777777" w:rsidTr="006766AB">
        <w:trPr>
          <w:trHeight w:val="336"/>
        </w:trPr>
        <w:tc>
          <w:tcPr>
            <w:tcW w:w="2792" w:type="pct"/>
            <w:gridSpan w:val="4"/>
            <w:shd w:val="clear" w:color="000000" w:fill="F7CAAC"/>
            <w:vAlign w:val="center"/>
            <w:hideMark/>
          </w:tcPr>
          <w:p w14:paraId="3D3C5A3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2208" w:type="pct"/>
            <w:gridSpan w:val="5"/>
            <w:shd w:val="clear" w:color="000000" w:fill="F7CAAC"/>
            <w:vAlign w:val="center"/>
            <w:hideMark/>
          </w:tcPr>
          <w:p w14:paraId="4F5D48CB"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6766AB" w:rsidRPr="00EF2F18" w14:paraId="554D6241" w14:textId="77777777" w:rsidTr="006766AB">
        <w:trPr>
          <w:trHeight w:val="816"/>
        </w:trPr>
        <w:tc>
          <w:tcPr>
            <w:tcW w:w="1329" w:type="pct"/>
            <w:shd w:val="clear" w:color="000000" w:fill="D9D9D9"/>
            <w:hideMark/>
          </w:tcPr>
          <w:p w14:paraId="4C81C509"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525" w:type="pct"/>
            <w:shd w:val="clear" w:color="000000" w:fill="D9D9D9"/>
            <w:hideMark/>
          </w:tcPr>
          <w:p w14:paraId="2970BF8A"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525" w:type="pct"/>
            <w:shd w:val="clear" w:color="000000" w:fill="D9D9D9"/>
            <w:hideMark/>
          </w:tcPr>
          <w:p w14:paraId="6570DFBB"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821" w:type="pct"/>
            <w:gridSpan w:val="2"/>
            <w:shd w:val="clear" w:color="000000" w:fill="D9D9D9"/>
            <w:hideMark/>
          </w:tcPr>
          <w:p w14:paraId="3643F787"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624" w:type="pct"/>
            <w:shd w:val="clear" w:color="000000" w:fill="D9D9D9"/>
            <w:hideMark/>
          </w:tcPr>
          <w:p w14:paraId="687BD3C7"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435" w:type="pct"/>
            <w:shd w:val="clear" w:color="000000" w:fill="D9D9D9"/>
            <w:hideMark/>
          </w:tcPr>
          <w:p w14:paraId="317021A3"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435" w:type="pct"/>
            <w:shd w:val="clear" w:color="000000" w:fill="D9D9D9"/>
            <w:hideMark/>
          </w:tcPr>
          <w:p w14:paraId="35C725A2"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305" w:type="pct"/>
            <w:shd w:val="clear" w:color="000000" w:fill="D9D9D9"/>
            <w:hideMark/>
          </w:tcPr>
          <w:p w14:paraId="33FB9344"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6766AB" w:rsidRPr="00EF2F18" w14:paraId="35C9C3E9" w14:textId="77777777" w:rsidTr="006766AB">
        <w:trPr>
          <w:trHeight w:val="1080"/>
        </w:trPr>
        <w:tc>
          <w:tcPr>
            <w:tcW w:w="1329" w:type="pct"/>
            <w:shd w:val="clear" w:color="000000" w:fill="FFFFFF"/>
            <w:hideMark/>
          </w:tcPr>
          <w:p w14:paraId="14BF4D8E" w14:textId="77777777" w:rsidR="006766AB" w:rsidRPr="00EF2F18" w:rsidRDefault="006766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Нето емисије </w:t>
            </w:r>
            <w:r w:rsidRPr="00EF2F18">
              <w:rPr>
                <w:rFonts w:eastAsia="Times New Roman" w:cs="Times New Roman"/>
                <w:i/>
                <w:iCs/>
                <w:color w:val="000000"/>
                <w:sz w:val="20"/>
                <w:szCs w:val="20"/>
                <w:lang w:val="sr-Cyrl-RS" w:eastAsia="sr-Cyrl-RS"/>
              </w:rPr>
              <w:t xml:space="preserve">GHG у </w:t>
            </w:r>
            <w:r w:rsidRPr="00EF2F18">
              <w:rPr>
                <w:rFonts w:eastAsia="Times New Roman" w:cs="Times New Roman"/>
                <w:color w:val="000000"/>
                <w:sz w:val="20"/>
                <w:szCs w:val="20"/>
                <w:lang w:val="sr-Cyrl-RS" w:eastAsia="sr-Cyrl-RS"/>
              </w:rPr>
              <w:t xml:space="preserve">сектору </w:t>
            </w:r>
            <w:r w:rsidRPr="00EF2F18">
              <w:rPr>
                <w:rFonts w:eastAsia="Times New Roman" w:cs="Times New Roman"/>
                <w:i/>
                <w:iCs/>
                <w:color w:val="000000"/>
                <w:sz w:val="20"/>
                <w:szCs w:val="20"/>
                <w:lang w:val="sr-Cyrl-RS" w:eastAsia="sr-Cyrl-RS"/>
              </w:rPr>
              <w:t>LULUCF</w:t>
            </w:r>
            <w:r w:rsidRPr="00EF2F18">
              <w:rPr>
                <w:rFonts w:eastAsia="Times New Roman" w:cs="Times New Roman"/>
                <w:color w:val="000000"/>
                <w:sz w:val="20"/>
                <w:szCs w:val="20"/>
                <w:lang w:val="sr-Cyrl-RS" w:eastAsia="sr-Cyrl-RS"/>
              </w:rPr>
              <w:t xml:space="preserve"> у односу на емисије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из 1990.</w:t>
            </w:r>
          </w:p>
        </w:tc>
        <w:tc>
          <w:tcPr>
            <w:tcW w:w="525" w:type="pct"/>
            <w:shd w:val="clear" w:color="000000" w:fill="FFFFFF"/>
            <w:hideMark/>
          </w:tcPr>
          <w:p w14:paraId="0A0EF052"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525" w:type="pct"/>
            <w:shd w:val="clear" w:color="000000" w:fill="FFFFFF"/>
            <w:hideMark/>
          </w:tcPr>
          <w:p w14:paraId="7A2621F3"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АЗЖС, Национални инвентар </w:t>
            </w:r>
            <w:r w:rsidRPr="00EF2F18">
              <w:rPr>
                <w:rFonts w:eastAsia="Times New Roman" w:cs="Times New Roman"/>
                <w:i/>
                <w:iCs/>
                <w:color w:val="000000"/>
                <w:sz w:val="20"/>
                <w:szCs w:val="20"/>
                <w:lang w:val="sr-Cyrl-RS" w:eastAsia="sr-Cyrl-RS"/>
              </w:rPr>
              <w:t>GHG</w:t>
            </w:r>
            <w:r w:rsidRPr="00EF2F18">
              <w:rPr>
                <w:rFonts w:eastAsia="Times New Roman" w:cs="Times New Roman"/>
                <w:color w:val="000000"/>
                <w:sz w:val="20"/>
                <w:szCs w:val="20"/>
                <w:lang w:val="sr-Cyrl-RS" w:eastAsia="sr-Cyrl-RS"/>
              </w:rPr>
              <w:t xml:space="preserve"> </w:t>
            </w:r>
          </w:p>
        </w:tc>
        <w:tc>
          <w:tcPr>
            <w:tcW w:w="821" w:type="pct"/>
            <w:gridSpan w:val="2"/>
            <w:shd w:val="clear" w:color="000000" w:fill="FFFFFF"/>
            <w:hideMark/>
          </w:tcPr>
          <w:p w14:paraId="23F14EE8"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- 218,5*</w:t>
            </w:r>
          </w:p>
        </w:tc>
        <w:tc>
          <w:tcPr>
            <w:tcW w:w="624" w:type="pct"/>
            <w:shd w:val="clear" w:color="000000" w:fill="FFFFFF"/>
            <w:hideMark/>
          </w:tcPr>
          <w:p w14:paraId="7B6CD5D9"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2020.</w:t>
            </w:r>
          </w:p>
        </w:tc>
        <w:tc>
          <w:tcPr>
            <w:tcW w:w="435" w:type="pct"/>
            <w:shd w:val="clear" w:color="000000" w:fill="FFFFFF"/>
            <w:hideMark/>
          </w:tcPr>
          <w:p w14:paraId="659D0089"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435" w:type="pct"/>
            <w:shd w:val="clear" w:color="000000" w:fill="FFFFFF"/>
            <w:hideMark/>
          </w:tcPr>
          <w:p w14:paraId="532A6607"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305" w:type="pct"/>
            <w:shd w:val="clear" w:color="000000" w:fill="FFFFFF"/>
            <w:hideMark/>
          </w:tcPr>
          <w:p w14:paraId="1C9907B7" w14:textId="77777777"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- 352,2**</w:t>
            </w:r>
          </w:p>
        </w:tc>
      </w:tr>
    </w:tbl>
    <w:p w14:paraId="186D7F9D" w14:textId="77777777" w:rsidR="007D7243" w:rsidRPr="00EF2F18" w:rsidRDefault="007D7243" w:rsidP="007D7243">
      <w:pPr>
        <w:spacing w:after="0"/>
        <w:rPr>
          <w:rFonts w:cs="Times New Roman"/>
          <w:sz w:val="20"/>
          <w:szCs w:val="20"/>
          <w:lang w:val="sr-Cyrl-RS"/>
        </w:rPr>
      </w:pPr>
      <w:r w:rsidRPr="00EF2F18">
        <w:rPr>
          <w:rFonts w:cs="Times New Roman"/>
          <w:sz w:val="20"/>
          <w:szCs w:val="20"/>
          <w:lang w:val="sr-Cyrl-RS"/>
        </w:rPr>
        <w:t xml:space="preserve">* Национални инвентар </w:t>
      </w:r>
      <w:r w:rsidRPr="00EF2F18">
        <w:rPr>
          <w:rFonts w:cs="Times New Roman"/>
          <w:i/>
          <w:iCs/>
          <w:sz w:val="20"/>
          <w:szCs w:val="20"/>
          <w:lang w:val="sr-Cyrl-RS"/>
        </w:rPr>
        <w:t>GHG</w:t>
      </w:r>
    </w:p>
    <w:p w14:paraId="3BC565D4" w14:textId="1FF9BAB9" w:rsidR="007D7243" w:rsidRPr="00EF2F18" w:rsidRDefault="007D7243" w:rsidP="007D7243">
      <w:pPr>
        <w:spacing w:after="0"/>
        <w:rPr>
          <w:rFonts w:cs="Times New Roman"/>
          <w:sz w:val="20"/>
          <w:szCs w:val="20"/>
          <w:lang w:val="sr-Cyrl-RS"/>
        </w:rPr>
      </w:pPr>
      <w:r w:rsidRPr="00EF2F18">
        <w:rPr>
          <w:rFonts w:cs="Times New Roman"/>
          <w:sz w:val="20"/>
          <w:szCs w:val="20"/>
          <w:lang w:val="sr-Cyrl-RS"/>
        </w:rPr>
        <w:t>**Циљана вредност је одређена линеарном интерполацијом вредности дефинисаних за 2025. и 2030. годину у СНУР (Сценарио М2)</w:t>
      </w:r>
      <w:r w:rsidR="00FA7222" w:rsidRPr="00EF2F18">
        <w:rPr>
          <w:rFonts w:cs="Times New Roman"/>
          <w:sz w:val="20"/>
          <w:szCs w:val="20"/>
          <w:lang w:val="sr-Cyrl-RS"/>
        </w:rPr>
        <w:t xml:space="preserve"> </w:t>
      </w:r>
    </w:p>
    <w:p w14:paraId="1EE04DE9" w14:textId="77777777" w:rsidR="007D7243" w:rsidRPr="005C0CF6" w:rsidRDefault="007D7243" w:rsidP="007D7243">
      <w:pPr>
        <w:spacing w:after="0"/>
        <w:rPr>
          <w:sz w:val="12"/>
          <w:szCs w:val="12"/>
          <w:lang w:val="sr-Cyrl-RS"/>
        </w:rPr>
      </w:pPr>
    </w:p>
    <w:tbl>
      <w:tblPr>
        <w:tblW w:w="4873"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030"/>
        <w:gridCol w:w="2335"/>
        <w:gridCol w:w="2693"/>
        <w:gridCol w:w="2267"/>
        <w:gridCol w:w="2251"/>
      </w:tblGrid>
      <w:tr w:rsidR="007D7243" w:rsidRPr="00EF2F18" w14:paraId="5A20BDE5" w14:textId="77777777" w:rsidTr="00C1286C">
        <w:trPr>
          <w:trHeight w:val="336"/>
        </w:trPr>
        <w:tc>
          <w:tcPr>
            <w:tcW w:w="1484" w:type="pct"/>
            <w:vMerge w:val="restart"/>
            <w:shd w:val="clear" w:color="000000" w:fill="A8D08D"/>
            <w:hideMark/>
          </w:tcPr>
          <w:p w14:paraId="1E19999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860" w:type="pct"/>
            <w:vMerge w:val="restart"/>
            <w:shd w:val="clear" w:color="000000" w:fill="A8D08D"/>
            <w:hideMark/>
          </w:tcPr>
          <w:p w14:paraId="57262DA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2656" w:type="pct"/>
            <w:gridSpan w:val="3"/>
            <w:shd w:val="clear" w:color="000000" w:fill="A8D08D"/>
            <w:hideMark/>
          </w:tcPr>
          <w:p w14:paraId="6EB2BD9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6766AB" w:rsidRPr="00EF2F18" w14:paraId="6F01FCDA" w14:textId="77777777" w:rsidTr="00C1286C">
        <w:trPr>
          <w:trHeight w:val="336"/>
        </w:trPr>
        <w:tc>
          <w:tcPr>
            <w:tcW w:w="1484" w:type="pct"/>
            <w:vMerge/>
            <w:vAlign w:val="center"/>
            <w:hideMark/>
          </w:tcPr>
          <w:p w14:paraId="3521EB42" w14:textId="77777777" w:rsidR="006766AB" w:rsidRPr="00EF2F18" w:rsidRDefault="006766AB" w:rsidP="00752CA0">
            <w:pPr>
              <w:spacing w:after="0"/>
              <w:rPr>
                <w:rFonts w:eastAsia="Times New Roman" w:cs="Times New Roman"/>
                <w:color w:val="000000"/>
                <w:sz w:val="20"/>
                <w:szCs w:val="20"/>
                <w:lang w:val="sr-Cyrl-RS" w:eastAsia="sr-Cyrl-RS"/>
              </w:rPr>
            </w:pPr>
          </w:p>
        </w:tc>
        <w:tc>
          <w:tcPr>
            <w:tcW w:w="860" w:type="pct"/>
            <w:vMerge/>
            <w:vAlign w:val="center"/>
            <w:hideMark/>
          </w:tcPr>
          <w:p w14:paraId="714B207C" w14:textId="77777777" w:rsidR="006766AB" w:rsidRPr="00EF2F18" w:rsidRDefault="006766AB" w:rsidP="00752CA0">
            <w:pPr>
              <w:spacing w:after="0"/>
              <w:rPr>
                <w:rFonts w:eastAsia="Times New Roman" w:cs="Times New Roman"/>
                <w:color w:val="000000"/>
                <w:sz w:val="20"/>
                <w:szCs w:val="20"/>
                <w:lang w:val="sr-Cyrl-RS" w:eastAsia="sr-Cyrl-RS"/>
              </w:rPr>
            </w:pPr>
          </w:p>
        </w:tc>
        <w:tc>
          <w:tcPr>
            <w:tcW w:w="992" w:type="pct"/>
            <w:shd w:val="clear" w:color="000000" w:fill="A8D08D"/>
            <w:hideMark/>
          </w:tcPr>
          <w:p w14:paraId="6E7DBEB0" w14:textId="33C307C1"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835" w:type="pct"/>
            <w:shd w:val="clear" w:color="000000" w:fill="A8D08D"/>
            <w:hideMark/>
          </w:tcPr>
          <w:p w14:paraId="69094D7C" w14:textId="050CFC25"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829" w:type="pct"/>
            <w:shd w:val="clear" w:color="000000" w:fill="A8D08D"/>
            <w:hideMark/>
          </w:tcPr>
          <w:p w14:paraId="24EE8F73" w14:textId="53F6C769" w:rsidR="006766AB" w:rsidRPr="00EF2F18" w:rsidRDefault="006766A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6766AB" w:rsidRPr="00EF2F18" w14:paraId="7D0CE95B" w14:textId="77777777" w:rsidTr="00C1286C">
        <w:trPr>
          <w:trHeight w:val="336"/>
        </w:trPr>
        <w:tc>
          <w:tcPr>
            <w:tcW w:w="1484" w:type="pct"/>
            <w:shd w:val="clear" w:color="000000" w:fill="FFFFFF"/>
            <w:hideMark/>
          </w:tcPr>
          <w:p w14:paraId="20A151B0" w14:textId="77777777" w:rsidR="006766AB" w:rsidRPr="00EF2F18" w:rsidRDefault="006766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860" w:type="pct"/>
            <w:shd w:val="clear" w:color="000000" w:fill="FFFFFF"/>
            <w:hideMark/>
          </w:tcPr>
          <w:p w14:paraId="67C7A02E" w14:textId="77777777" w:rsidR="006766AB" w:rsidRPr="00EF2F18" w:rsidRDefault="006766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992" w:type="pct"/>
            <w:shd w:val="clear" w:color="000000" w:fill="FFFFFF"/>
          </w:tcPr>
          <w:p w14:paraId="20FC03BE" w14:textId="2D02C1C0" w:rsidR="006766AB" w:rsidRPr="00EF2F18" w:rsidRDefault="006766AB" w:rsidP="00752CA0">
            <w:pPr>
              <w:spacing w:after="0"/>
              <w:jc w:val="right"/>
              <w:rPr>
                <w:rFonts w:eastAsia="Times New Roman" w:cs="Times New Roman"/>
                <w:color w:val="000000"/>
                <w:sz w:val="20"/>
                <w:szCs w:val="20"/>
                <w:lang w:val="sr-Cyrl-RS" w:eastAsia="sr-Cyrl-RS"/>
              </w:rPr>
            </w:pPr>
          </w:p>
        </w:tc>
        <w:tc>
          <w:tcPr>
            <w:tcW w:w="835" w:type="pct"/>
          </w:tcPr>
          <w:p w14:paraId="7F2863B7" w14:textId="161133F3" w:rsidR="006766AB" w:rsidRPr="00EF2F18" w:rsidRDefault="006766AB" w:rsidP="00752CA0">
            <w:pPr>
              <w:spacing w:after="0"/>
              <w:jc w:val="right"/>
              <w:rPr>
                <w:rFonts w:eastAsia="Times New Roman" w:cs="Times New Roman"/>
                <w:color w:val="000000"/>
                <w:sz w:val="20"/>
                <w:szCs w:val="20"/>
                <w:lang w:val="sr-Cyrl-RS" w:eastAsia="sr-Cyrl-RS"/>
              </w:rPr>
            </w:pPr>
          </w:p>
        </w:tc>
        <w:tc>
          <w:tcPr>
            <w:tcW w:w="829" w:type="pct"/>
          </w:tcPr>
          <w:p w14:paraId="4B865F90" w14:textId="10F159DD" w:rsidR="006766AB" w:rsidRPr="00EF2F18" w:rsidRDefault="006766AB" w:rsidP="00752CA0">
            <w:pPr>
              <w:spacing w:after="0"/>
              <w:jc w:val="right"/>
              <w:rPr>
                <w:rFonts w:eastAsia="Times New Roman" w:cs="Times New Roman"/>
                <w:color w:val="000000"/>
                <w:sz w:val="20"/>
                <w:szCs w:val="20"/>
                <w:lang w:val="sr-Cyrl-RS" w:eastAsia="sr-Cyrl-RS"/>
              </w:rPr>
            </w:pPr>
          </w:p>
        </w:tc>
      </w:tr>
      <w:tr w:rsidR="00A400FB" w:rsidRPr="00EF2F18" w14:paraId="75043650" w14:textId="77777777" w:rsidTr="00C1286C">
        <w:trPr>
          <w:trHeight w:val="336"/>
        </w:trPr>
        <w:tc>
          <w:tcPr>
            <w:tcW w:w="1484" w:type="pct"/>
            <w:shd w:val="clear" w:color="000000" w:fill="FFFFFF"/>
          </w:tcPr>
          <w:p w14:paraId="519C84FF" w14:textId="7341B035" w:rsidR="00A400FB" w:rsidRPr="00EF2F18" w:rsidRDefault="00A400F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(МПШВ)</w:t>
            </w:r>
          </w:p>
        </w:tc>
        <w:tc>
          <w:tcPr>
            <w:tcW w:w="860" w:type="pct"/>
            <w:shd w:val="clear" w:color="000000" w:fill="FFFFFF"/>
          </w:tcPr>
          <w:p w14:paraId="7CA71C00" w14:textId="01421751" w:rsidR="00A400FB" w:rsidRPr="00EF2F18" w:rsidRDefault="00A400F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0106-420-0002-451</w:t>
            </w:r>
          </w:p>
        </w:tc>
        <w:tc>
          <w:tcPr>
            <w:tcW w:w="992" w:type="pct"/>
            <w:shd w:val="clear" w:color="000000" w:fill="FFFFFF"/>
          </w:tcPr>
          <w:p w14:paraId="31EA2563" w14:textId="663DA0CD" w:rsidR="00A400FB" w:rsidRPr="00EF2F18" w:rsidRDefault="00A400F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25.000</w:t>
            </w:r>
          </w:p>
        </w:tc>
        <w:tc>
          <w:tcPr>
            <w:tcW w:w="835" w:type="pct"/>
          </w:tcPr>
          <w:p w14:paraId="7EA90454" w14:textId="06F99B3B" w:rsidR="00A400FB" w:rsidRPr="00EF2F18" w:rsidRDefault="00A400F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60.000</w:t>
            </w:r>
          </w:p>
        </w:tc>
        <w:tc>
          <w:tcPr>
            <w:tcW w:w="829" w:type="pct"/>
          </w:tcPr>
          <w:p w14:paraId="351801A7" w14:textId="003CC046" w:rsidR="00A400FB" w:rsidRPr="00EF2F18" w:rsidRDefault="00A400F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80.000</w:t>
            </w:r>
          </w:p>
        </w:tc>
      </w:tr>
    </w:tbl>
    <w:p w14:paraId="052C6305" w14:textId="3CBE107D" w:rsidR="005C0CF6" w:rsidRPr="00EF2F18" w:rsidRDefault="005C0CF6" w:rsidP="007D7243">
      <w:pPr>
        <w:spacing w:after="0"/>
        <w:rPr>
          <w:lang w:val="sr-Cyrl-RS"/>
        </w:rPr>
      </w:pPr>
    </w:p>
    <w:tbl>
      <w:tblPr>
        <w:tblW w:w="13821" w:type="dxa"/>
        <w:tblLook w:val="04A0" w:firstRow="1" w:lastRow="0" w:firstColumn="1" w:lastColumn="0" w:noHBand="0" w:noVBand="1"/>
      </w:tblPr>
      <w:tblGrid>
        <w:gridCol w:w="2973"/>
        <w:gridCol w:w="1266"/>
        <w:gridCol w:w="1388"/>
        <w:gridCol w:w="1182"/>
        <w:gridCol w:w="1397"/>
        <w:gridCol w:w="1340"/>
        <w:gridCol w:w="1339"/>
        <w:gridCol w:w="1260"/>
        <w:gridCol w:w="1440"/>
        <w:gridCol w:w="236"/>
      </w:tblGrid>
      <w:tr w:rsidR="007D7243" w:rsidRPr="00EF2F18" w14:paraId="12BA927C" w14:textId="77777777" w:rsidTr="00873129">
        <w:trPr>
          <w:gridAfter w:val="1"/>
          <w:wAfter w:w="236" w:type="dxa"/>
          <w:trHeight w:val="759"/>
        </w:trPr>
        <w:tc>
          <w:tcPr>
            <w:tcW w:w="2973"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585AB0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66"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23FE941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88"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88415E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E48960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97"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1AF9DF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094C2BC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39"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4A39493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873129" w:rsidRPr="00EF2F18" w14:paraId="20FCF7D8" w14:textId="77777777" w:rsidTr="00873129">
        <w:trPr>
          <w:gridAfter w:val="1"/>
          <w:wAfter w:w="236" w:type="dxa"/>
          <w:trHeight w:val="441"/>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1A9247CF"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78D9A2D8"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50491FB8"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2052BB60"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97" w:type="dxa"/>
            <w:vMerge/>
            <w:tcBorders>
              <w:top w:val="single" w:sz="4" w:space="0" w:color="auto"/>
              <w:left w:val="single" w:sz="4" w:space="0" w:color="auto"/>
              <w:bottom w:val="single" w:sz="4" w:space="0" w:color="auto"/>
              <w:right w:val="single" w:sz="4" w:space="0" w:color="auto"/>
            </w:tcBorders>
            <w:vAlign w:val="center"/>
            <w:hideMark/>
          </w:tcPr>
          <w:p w14:paraId="20EB0A13"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73EE3737"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39" w:type="dxa"/>
            <w:tcBorders>
              <w:top w:val="single" w:sz="4" w:space="0" w:color="auto"/>
              <w:left w:val="single" w:sz="4" w:space="0" w:color="auto"/>
              <w:bottom w:val="single" w:sz="4" w:space="0" w:color="auto"/>
              <w:right w:val="single" w:sz="4" w:space="0" w:color="auto"/>
            </w:tcBorders>
            <w:shd w:val="clear" w:color="000000" w:fill="FFF2CC"/>
            <w:hideMark/>
          </w:tcPr>
          <w:p w14:paraId="07E86323" w14:textId="4E43A403"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260" w:type="dxa"/>
            <w:tcBorders>
              <w:top w:val="single" w:sz="4" w:space="0" w:color="auto"/>
              <w:left w:val="single" w:sz="4" w:space="0" w:color="auto"/>
              <w:bottom w:val="single" w:sz="4" w:space="0" w:color="auto"/>
              <w:right w:val="single" w:sz="4" w:space="0" w:color="auto"/>
            </w:tcBorders>
            <w:shd w:val="clear" w:color="000000" w:fill="FFF2CC"/>
            <w:hideMark/>
          </w:tcPr>
          <w:p w14:paraId="792FE36B" w14:textId="2AAA5789"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tcBorders>
              <w:top w:val="single" w:sz="4" w:space="0" w:color="auto"/>
              <w:left w:val="single" w:sz="4" w:space="0" w:color="auto"/>
              <w:bottom w:val="single" w:sz="4" w:space="0" w:color="auto"/>
              <w:right w:val="single" w:sz="4" w:space="0" w:color="auto"/>
            </w:tcBorders>
            <w:shd w:val="clear" w:color="000000" w:fill="FFF2CC"/>
            <w:hideMark/>
          </w:tcPr>
          <w:p w14:paraId="3D34786E" w14:textId="134539A2"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873129" w:rsidRPr="00EF2F18" w14:paraId="586B69A6" w14:textId="77777777" w:rsidTr="00873129">
        <w:trPr>
          <w:gridAfter w:val="1"/>
          <w:wAfter w:w="236" w:type="dxa"/>
          <w:trHeight w:val="1097"/>
        </w:trPr>
        <w:tc>
          <w:tcPr>
            <w:tcW w:w="2973" w:type="dxa"/>
            <w:tcBorders>
              <w:top w:val="single" w:sz="4" w:space="0" w:color="auto"/>
              <w:left w:val="single" w:sz="4" w:space="0" w:color="auto"/>
              <w:bottom w:val="single" w:sz="4" w:space="0" w:color="auto"/>
              <w:right w:val="single" w:sz="4" w:space="0" w:color="auto"/>
            </w:tcBorders>
            <w:hideMark/>
          </w:tcPr>
          <w:p w14:paraId="23BCD1D1" w14:textId="77777777" w:rsidR="00873129" w:rsidRPr="00EF2F18" w:rsidRDefault="00873129"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 xml:space="preserve">1.1.10.1. Анализа потенцијала за повећање понора угљеника ради ублажавања климатских промена у складу са </w:t>
            </w:r>
            <w:r w:rsidRPr="00EF2F18">
              <w:rPr>
                <w:rFonts w:eastAsia="Times New Roman" w:cs="Times New Roman"/>
                <w:i/>
                <w:iCs/>
                <w:color w:val="000000"/>
                <w:sz w:val="20"/>
                <w:szCs w:val="20"/>
                <w:lang w:val="sr-Cyrl-RS" w:eastAsia="sr-Cyrl-RS"/>
              </w:rPr>
              <w:t>LULUCF</w:t>
            </w:r>
            <w:r w:rsidRPr="00EF2F18">
              <w:rPr>
                <w:rFonts w:eastAsia="Times New Roman" w:cs="Times New Roman"/>
                <w:color w:val="000000"/>
                <w:sz w:val="20"/>
                <w:szCs w:val="20"/>
                <w:lang w:val="sr-Cyrl-RS" w:eastAsia="sr-Cyrl-RS"/>
              </w:rPr>
              <w:t xml:space="preserve"> регулативом ЕУ</w:t>
            </w:r>
          </w:p>
        </w:tc>
        <w:tc>
          <w:tcPr>
            <w:tcW w:w="1266" w:type="dxa"/>
            <w:tcBorders>
              <w:top w:val="single" w:sz="4" w:space="0" w:color="auto"/>
              <w:left w:val="single" w:sz="4" w:space="0" w:color="auto"/>
              <w:bottom w:val="single" w:sz="4" w:space="0" w:color="auto"/>
              <w:right w:val="single" w:sz="4" w:space="0" w:color="auto"/>
            </w:tcBorders>
            <w:hideMark/>
          </w:tcPr>
          <w:p w14:paraId="1DCA092F" w14:textId="77777777" w:rsidR="00873129" w:rsidRPr="00EF2F18" w:rsidRDefault="00873129"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 xml:space="preserve">МЗЖС </w:t>
            </w:r>
          </w:p>
        </w:tc>
        <w:tc>
          <w:tcPr>
            <w:tcW w:w="1388" w:type="dxa"/>
            <w:tcBorders>
              <w:top w:val="single" w:sz="4" w:space="0" w:color="auto"/>
              <w:left w:val="single" w:sz="4" w:space="0" w:color="auto"/>
              <w:bottom w:val="single" w:sz="4" w:space="0" w:color="auto"/>
              <w:right w:val="single" w:sz="4" w:space="0" w:color="auto"/>
            </w:tcBorders>
            <w:hideMark/>
          </w:tcPr>
          <w:p w14:paraId="6ACF03C6" w14:textId="3D621646" w:rsidR="00873129" w:rsidRPr="00EF2F18" w:rsidRDefault="00873129"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МПШВ, НИО, ЈП, ЈЛС, ЗЗПС, ПЗЗП</w:t>
            </w:r>
          </w:p>
        </w:tc>
        <w:tc>
          <w:tcPr>
            <w:tcW w:w="1182" w:type="dxa"/>
            <w:tcBorders>
              <w:top w:val="single" w:sz="4" w:space="0" w:color="auto"/>
              <w:left w:val="single" w:sz="4" w:space="0" w:color="auto"/>
              <w:bottom w:val="single" w:sz="4" w:space="0" w:color="auto"/>
              <w:right w:val="single" w:sz="4" w:space="0" w:color="auto"/>
            </w:tcBorders>
            <w:hideMark/>
          </w:tcPr>
          <w:p w14:paraId="22D0A982" w14:textId="569437F6" w:rsidR="00873129" w:rsidRPr="00EF2F18" w:rsidRDefault="00873129" w:rsidP="00752CA0">
            <w:pPr>
              <w:spacing w:after="0"/>
              <w:rPr>
                <w:rFonts w:eastAsia="Times New Roman" w:cs="Times New Roman"/>
                <w:sz w:val="20"/>
                <w:szCs w:val="20"/>
                <w:highlight w:val="yellow"/>
                <w:lang w:val="sr-Cyrl-RS" w:eastAsia="sr-Cyrl-RS"/>
              </w:rPr>
            </w:pPr>
            <w:r w:rsidRPr="00EF2F18">
              <w:rPr>
                <w:rFonts w:eastAsia="Times New Roman" w:cs="Times New Roman"/>
                <w:sz w:val="20"/>
                <w:szCs w:val="20"/>
                <w:lang w:val="sr-Cyrl-RS" w:eastAsia="sr-Cyrl-RS"/>
              </w:rPr>
              <w:t>4. квартал 2026.</w:t>
            </w:r>
          </w:p>
        </w:tc>
        <w:tc>
          <w:tcPr>
            <w:tcW w:w="1397" w:type="dxa"/>
            <w:tcBorders>
              <w:top w:val="single" w:sz="4" w:space="0" w:color="auto"/>
              <w:left w:val="single" w:sz="4" w:space="0" w:color="auto"/>
              <w:bottom w:val="single" w:sz="4" w:space="0" w:color="auto"/>
              <w:right w:val="single" w:sz="4" w:space="0" w:color="auto"/>
            </w:tcBorders>
            <w:hideMark/>
          </w:tcPr>
          <w:p w14:paraId="3A03AD54" w14:textId="77777777" w:rsidR="00873129" w:rsidRPr="00EF2F18" w:rsidRDefault="00873129"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tcBorders>
              <w:top w:val="single" w:sz="4" w:space="0" w:color="auto"/>
              <w:left w:val="single" w:sz="4" w:space="0" w:color="auto"/>
              <w:bottom w:val="single" w:sz="4" w:space="0" w:color="auto"/>
              <w:right w:val="single" w:sz="4" w:space="0" w:color="auto"/>
            </w:tcBorders>
            <w:hideMark/>
          </w:tcPr>
          <w:p w14:paraId="3A1D45D5"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39" w:type="dxa"/>
            <w:tcBorders>
              <w:top w:val="single" w:sz="4" w:space="0" w:color="auto"/>
              <w:left w:val="single" w:sz="4" w:space="0" w:color="auto"/>
              <w:bottom w:val="single" w:sz="4" w:space="0" w:color="auto"/>
              <w:right w:val="single" w:sz="4" w:space="0" w:color="auto"/>
            </w:tcBorders>
          </w:tcPr>
          <w:p w14:paraId="58F2E376" w14:textId="058C0B12" w:rsidR="00873129" w:rsidRPr="00EF2F18" w:rsidRDefault="00873129"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790D08D8" w14:textId="1B6179D8" w:rsidR="00873129" w:rsidRPr="00EF2F18" w:rsidRDefault="00873129" w:rsidP="00752CA0">
            <w:pPr>
              <w:spacing w:after="0"/>
              <w:jc w:val="right"/>
              <w:rPr>
                <w:rFonts w:eastAsia="Times New Roman" w:cs="Times New Roman"/>
                <w:color w:val="000000"/>
                <w:sz w:val="20"/>
                <w:szCs w:val="20"/>
                <w:lang w:val="sr-Cyrl-RS" w:eastAsia="sr-Cyrl-RS"/>
              </w:rPr>
            </w:pPr>
          </w:p>
        </w:tc>
        <w:tc>
          <w:tcPr>
            <w:tcW w:w="1440" w:type="dxa"/>
            <w:tcBorders>
              <w:top w:val="single" w:sz="4" w:space="0" w:color="auto"/>
              <w:left w:val="single" w:sz="4" w:space="0" w:color="auto"/>
              <w:bottom w:val="single" w:sz="4" w:space="0" w:color="auto"/>
              <w:right w:val="single" w:sz="4" w:space="0" w:color="auto"/>
            </w:tcBorders>
          </w:tcPr>
          <w:p w14:paraId="041944A7" w14:textId="05FB7919" w:rsidR="00873129" w:rsidRPr="00EF2F18" w:rsidRDefault="00873129" w:rsidP="00752CA0">
            <w:pPr>
              <w:spacing w:after="0"/>
              <w:jc w:val="right"/>
              <w:rPr>
                <w:rFonts w:eastAsia="Times New Roman" w:cs="Times New Roman"/>
                <w:color w:val="000000"/>
                <w:sz w:val="20"/>
                <w:szCs w:val="20"/>
                <w:lang w:val="sr-Cyrl-RS" w:eastAsia="sr-Cyrl-RS"/>
              </w:rPr>
            </w:pPr>
          </w:p>
        </w:tc>
      </w:tr>
      <w:tr w:rsidR="00873129" w:rsidRPr="00EF2F18" w14:paraId="4D5D279D" w14:textId="77777777" w:rsidTr="00873129">
        <w:trPr>
          <w:gridAfter w:val="1"/>
          <w:wAfter w:w="236" w:type="dxa"/>
          <w:trHeight w:val="458"/>
        </w:trPr>
        <w:tc>
          <w:tcPr>
            <w:tcW w:w="2973" w:type="dxa"/>
            <w:vMerge w:val="restart"/>
            <w:tcBorders>
              <w:top w:val="single" w:sz="4" w:space="0" w:color="auto"/>
              <w:left w:val="single" w:sz="4" w:space="0" w:color="auto"/>
              <w:bottom w:val="single" w:sz="4" w:space="0" w:color="auto"/>
              <w:right w:val="single" w:sz="4" w:space="0" w:color="auto"/>
            </w:tcBorders>
            <w:hideMark/>
          </w:tcPr>
          <w:p w14:paraId="2BC0DAE0"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1.1.10.2. Пошумљавање</w:t>
            </w:r>
          </w:p>
        </w:tc>
        <w:tc>
          <w:tcPr>
            <w:tcW w:w="1266" w:type="dxa"/>
            <w:vMerge w:val="restart"/>
            <w:tcBorders>
              <w:top w:val="single" w:sz="4" w:space="0" w:color="auto"/>
              <w:left w:val="single" w:sz="4" w:space="0" w:color="auto"/>
              <w:bottom w:val="single" w:sz="4" w:space="0" w:color="auto"/>
              <w:right w:val="single" w:sz="4" w:space="0" w:color="auto"/>
            </w:tcBorders>
            <w:hideMark/>
          </w:tcPr>
          <w:p w14:paraId="2099877D"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w:t>
            </w:r>
          </w:p>
        </w:tc>
        <w:tc>
          <w:tcPr>
            <w:tcW w:w="1388" w:type="dxa"/>
            <w:vMerge w:val="restart"/>
            <w:tcBorders>
              <w:top w:val="single" w:sz="4" w:space="0" w:color="auto"/>
              <w:left w:val="single" w:sz="4" w:space="0" w:color="auto"/>
              <w:bottom w:val="single" w:sz="4" w:space="0" w:color="auto"/>
              <w:right w:val="single" w:sz="4" w:space="0" w:color="auto"/>
            </w:tcBorders>
            <w:hideMark/>
          </w:tcPr>
          <w:p w14:paraId="3CEF7E28" w14:textId="6FC2C97A"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ЈП, ЈЛС, ЗЗПС, ПЗЗП, УПЗ</w:t>
            </w:r>
          </w:p>
        </w:tc>
        <w:tc>
          <w:tcPr>
            <w:tcW w:w="1182" w:type="dxa"/>
            <w:vMerge w:val="restart"/>
            <w:tcBorders>
              <w:top w:val="single" w:sz="4" w:space="0" w:color="auto"/>
              <w:left w:val="single" w:sz="4" w:space="0" w:color="auto"/>
              <w:bottom w:val="single" w:sz="4" w:space="0" w:color="auto"/>
              <w:right w:val="single" w:sz="4" w:space="0" w:color="auto"/>
            </w:tcBorders>
            <w:hideMark/>
          </w:tcPr>
          <w:p w14:paraId="4AC7A3C4"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97" w:type="dxa"/>
            <w:vMerge w:val="restart"/>
            <w:tcBorders>
              <w:top w:val="single" w:sz="4" w:space="0" w:color="auto"/>
              <w:left w:val="single" w:sz="4" w:space="0" w:color="auto"/>
              <w:bottom w:val="single" w:sz="4" w:space="0" w:color="auto"/>
              <w:right w:val="single" w:sz="4" w:space="0" w:color="auto"/>
            </w:tcBorders>
            <w:hideMark/>
          </w:tcPr>
          <w:p w14:paraId="55336752" w14:textId="77777777" w:rsidR="001503AB" w:rsidRPr="00EF2F18" w:rsidRDefault="001503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Буџетска </w:t>
            </w:r>
          </w:p>
          <w:p w14:paraId="742AD097" w14:textId="2A48E5F2" w:rsidR="001503AB" w:rsidRPr="00EF2F18" w:rsidRDefault="001503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w:t>
            </w:r>
          </w:p>
        </w:tc>
        <w:tc>
          <w:tcPr>
            <w:tcW w:w="1340" w:type="dxa"/>
            <w:vMerge w:val="restart"/>
            <w:tcBorders>
              <w:top w:val="single" w:sz="4" w:space="0" w:color="auto"/>
              <w:left w:val="single" w:sz="4" w:space="0" w:color="auto"/>
              <w:bottom w:val="single" w:sz="4" w:space="0" w:color="auto"/>
              <w:right w:val="single" w:sz="4" w:space="0" w:color="auto"/>
            </w:tcBorders>
            <w:hideMark/>
          </w:tcPr>
          <w:p w14:paraId="28916198" w14:textId="77777777" w:rsidR="001503AB" w:rsidRPr="00EF2F18" w:rsidRDefault="001503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0106-420-</w:t>
            </w:r>
          </w:p>
          <w:p w14:paraId="29911A0E" w14:textId="5626C646" w:rsidR="00873129" w:rsidRPr="00EF2F18" w:rsidRDefault="001503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0002-451</w:t>
            </w:r>
          </w:p>
        </w:tc>
        <w:tc>
          <w:tcPr>
            <w:tcW w:w="1339" w:type="dxa"/>
            <w:vMerge w:val="restart"/>
            <w:tcBorders>
              <w:top w:val="single" w:sz="4" w:space="0" w:color="auto"/>
              <w:left w:val="single" w:sz="4" w:space="0" w:color="auto"/>
              <w:bottom w:val="single" w:sz="4" w:space="0" w:color="auto"/>
              <w:right w:val="single" w:sz="4" w:space="0" w:color="auto"/>
            </w:tcBorders>
          </w:tcPr>
          <w:p w14:paraId="50CC2838" w14:textId="7EF0D024" w:rsidR="00873129" w:rsidRPr="00EF2F18" w:rsidRDefault="001503AB" w:rsidP="00A22FFF">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20.000</w:t>
            </w:r>
          </w:p>
        </w:tc>
        <w:tc>
          <w:tcPr>
            <w:tcW w:w="1260" w:type="dxa"/>
            <w:vMerge w:val="restart"/>
            <w:tcBorders>
              <w:top w:val="single" w:sz="4" w:space="0" w:color="auto"/>
              <w:left w:val="single" w:sz="4" w:space="0" w:color="auto"/>
              <w:bottom w:val="single" w:sz="4" w:space="0" w:color="auto"/>
              <w:right w:val="single" w:sz="4" w:space="0" w:color="auto"/>
            </w:tcBorders>
          </w:tcPr>
          <w:p w14:paraId="432FBAA5" w14:textId="5CBCA1A1" w:rsidR="00873129" w:rsidRPr="00EF2F18" w:rsidRDefault="001503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40.000</w:t>
            </w:r>
          </w:p>
        </w:tc>
        <w:tc>
          <w:tcPr>
            <w:tcW w:w="1440" w:type="dxa"/>
            <w:vMerge w:val="restart"/>
            <w:tcBorders>
              <w:top w:val="single" w:sz="4" w:space="0" w:color="auto"/>
              <w:left w:val="single" w:sz="4" w:space="0" w:color="auto"/>
              <w:bottom w:val="single" w:sz="4" w:space="0" w:color="auto"/>
              <w:right w:val="single" w:sz="4" w:space="0" w:color="auto"/>
            </w:tcBorders>
          </w:tcPr>
          <w:p w14:paraId="04D72F87" w14:textId="77777777" w:rsidR="00873129" w:rsidRPr="00EF2F18" w:rsidRDefault="001503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60.000</w:t>
            </w:r>
          </w:p>
          <w:p w14:paraId="19181EAA" w14:textId="1C38E233" w:rsidR="001503AB" w:rsidRPr="00EF2F18" w:rsidRDefault="001503AB" w:rsidP="00752CA0">
            <w:pPr>
              <w:spacing w:after="0"/>
              <w:jc w:val="right"/>
              <w:rPr>
                <w:rFonts w:eastAsia="Times New Roman" w:cs="Times New Roman"/>
                <w:color w:val="000000"/>
                <w:sz w:val="20"/>
                <w:szCs w:val="20"/>
                <w:lang w:val="sr-Cyrl-RS" w:eastAsia="sr-Cyrl-RS"/>
              </w:rPr>
            </w:pPr>
          </w:p>
        </w:tc>
      </w:tr>
      <w:tr w:rsidR="00873129" w:rsidRPr="00EF2F18" w14:paraId="2888EC0E" w14:textId="77777777" w:rsidTr="00873129">
        <w:trPr>
          <w:trHeight w:val="324"/>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09C5934C"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7BB0753E"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3B8EB2ED"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6C72FB0C"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97" w:type="dxa"/>
            <w:vMerge/>
            <w:tcBorders>
              <w:top w:val="single" w:sz="4" w:space="0" w:color="auto"/>
              <w:left w:val="single" w:sz="4" w:space="0" w:color="auto"/>
              <w:bottom w:val="single" w:sz="4" w:space="0" w:color="auto"/>
              <w:right w:val="single" w:sz="4" w:space="0" w:color="auto"/>
            </w:tcBorders>
            <w:vAlign w:val="center"/>
            <w:hideMark/>
          </w:tcPr>
          <w:p w14:paraId="1215EA1B" w14:textId="77777777" w:rsidR="00873129" w:rsidRPr="00EF2F18" w:rsidRDefault="00873129" w:rsidP="00752CA0">
            <w:pPr>
              <w:spacing w:after="0"/>
              <w:rPr>
                <w:rFonts w:eastAsia="Times New Roman" w:cs="Times New Roman"/>
                <w:color w:val="000000"/>
                <w:sz w:val="20"/>
                <w:szCs w:val="20"/>
                <w:highlight w:val="yellow"/>
                <w:lang w:val="sr-Cyrl-RS" w:eastAsia="sr-Cyrl-R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DC2D344"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39" w:type="dxa"/>
            <w:vMerge/>
            <w:tcBorders>
              <w:top w:val="single" w:sz="4" w:space="0" w:color="auto"/>
              <w:left w:val="single" w:sz="4" w:space="0" w:color="auto"/>
              <w:bottom w:val="single" w:sz="4" w:space="0" w:color="auto"/>
              <w:right w:val="single" w:sz="4" w:space="0" w:color="auto"/>
            </w:tcBorders>
            <w:vAlign w:val="center"/>
          </w:tcPr>
          <w:p w14:paraId="50EB7A19" w14:textId="77777777" w:rsidR="00873129" w:rsidRPr="00EF2F18" w:rsidRDefault="00873129" w:rsidP="00752CA0">
            <w:pPr>
              <w:spacing w:after="0"/>
              <w:jc w:val="right"/>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B7FA6E" w14:textId="77777777" w:rsidR="00873129" w:rsidRPr="00EF2F18" w:rsidRDefault="00873129" w:rsidP="00752CA0">
            <w:pPr>
              <w:spacing w:after="0"/>
              <w:jc w:val="right"/>
              <w:rPr>
                <w:rFonts w:eastAsia="Times New Roman" w:cs="Times New Roman"/>
                <w:color w:val="000000"/>
                <w:sz w:val="20"/>
                <w:szCs w:val="20"/>
                <w:lang w:val="sr-Cyrl-RS" w:eastAsia="sr-Cyrl-R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10F36A3" w14:textId="77777777" w:rsidR="00873129" w:rsidRPr="00EF2F18" w:rsidRDefault="00873129" w:rsidP="00752CA0">
            <w:pPr>
              <w:spacing w:after="0"/>
              <w:jc w:val="right"/>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4FAFDB9D" w14:textId="77777777" w:rsidR="00873129" w:rsidRPr="00EF2F18" w:rsidRDefault="00873129" w:rsidP="00752CA0">
            <w:pPr>
              <w:spacing w:after="0"/>
              <w:rPr>
                <w:rFonts w:eastAsia="Times New Roman" w:cs="Times New Roman"/>
                <w:color w:val="000000"/>
                <w:sz w:val="20"/>
                <w:szCs w:val="20"/>
                <w:lang w:val="sr-Cyrl-RS" w:eastAsia="sr-Cyrl-RS"/>
              </w:rPr>
            </w:pPr>
          </w:p>
        </w:tc>
      </w:tr>
      <w:tr w:rsidR="00873129" w:rsidRPr="00EF2F18" w14:paraId="5B8D2EDB" w14:textId="77777777" w:rsidTr="00873129">
        <w:trPr>
          <w:trHeight w:val="804"/>
        </w:trPr>
        <w:tc>
          <w:tcPr>
            <w:tcW w:w="2973" w:type="dxa"/>
            <w:tcBorders>
              <w:top w:val="single" w:sz="4" w:space="0" w:color="auto"/>
              <w:left w:val="single" w:sz="4" w:space="0" w:color="auto"/>
              <w:bottom w:val="single" w:sz="4" w:space="0" w:color="auto"/>
              <w:right w:val="single" w:sz="4" w:space="0" w:color="auto"/>
            </w:tcBorders>
            <w:hideMark/>
          </w:tcPr>
          <w:p w14:paraId="27D49CA5"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1.1.10.3. Конверзија изданачких у високе шуме</w:t>
            </w:r>
          </w:p>
        </w:tc>
        <w:tc>
          <w:tcPr>
            <w:tcW w:w="1266" w:type="dxa"/>
            <w:tcBorders>
              <w:top w:val="single" w:sz="4" w:space="0" w:color="auto"/>
              <w:left w:val="single" w:sz="4" w:space="0" w:color="auto"/>
              <w:bottom w:val="single" w:sz="4" w:space="0" w:color="auto"/>
              <w:right w:val="single" w:sz="4" w:space="0" w:color="auto"/>
            </w:tcBorders>
            <w:hideMark/>
          </w:tcPr>
          <w:p w14:paraId="228A2B54"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w:t>
            </w:r>
          </w:p>
        </w:tc>
        <w:tc>
          <w:tcPr>
            <w:tcW w:w="1388" w:type="dxa"/>
            <w:tcBorders>
              <w:top w:val="single" w:sz="4" w:space="0" w:color="auto"/>
              <w:left w:val="single" w:sz="4" w:space="0" w:color="auto"/>
              <w:bottom w:val="single" w:sz="4" w:space="0" w:color="auto"/>
              <w:right w:val="single" w:sz="4" w:space="0" w:color="auto"/>
            </w:tcBorders>
            <w:hideMark/>
          </w:tcPr>
          <w:p w14:paraId="29ACF0A3"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ЈП, ЈЛС, ЗЗПС, ПЗЗП</w:t>
            </w:r>
          </w:p>
        </w:tc>
        <w:tc>
          <w:tcPr>
            <w:tcW w:w="1182" w:type="dxa"/>
            <w:tcBorders>
              <w:top w:val="single" w:sz="4" w:space="0" w:color="auto"/>
              <w:left w:val="single" w:sz="4" w:space="0" w:color="auto"/>
              <w:bottom w:val="single" w:sz="4" w:space="0" w:color="auto"/>
              <w:right w:val="single" w:sz="4" w:space="0" w:color="auto"/>
            </w:tcBorders>
            <w:hideMark/>
          </w:tcPr>
          <w:p w14:paraId="6A985CC0"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97" w:type="dxa"/>
            <w:tcBorders>
              <w:top w:val="single" w:sz="4" w:space="0" w:color="auto"/>
              <w:left w:val="single" w:sz="4" w:space="0" w:color="auto"/>
              <w:bottom w:val="single" w:sz="4" w:space="0" w:color="auto"/>
              <w:right w:val="single" w:sz="4" w:space="0" w:color="auto"/>
            </w:tcBorders>
            <w:hideMark/>
          </w:tcPr>
          <w:p w14:paraId="7D419AD7" w14:textId="77777777" w:rsidR="001503AB" w:rsidRPr="00EF2F18" w:rsidRDefault="001503AB" w:rsidP="001503AB">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Буџетска </w:t>
            </w:r>
          </w:p>
          <w:p w14:paraId="7E562D3D" w14:textId="58DE34A6" w:rsidR="00873129" w:rsidRPr="00EF2F18" w:rsidRDefault="001503AB" w:rsidP="001503AB">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средства</w:t>
            </w:r>
          </w:p>
        </w:tc>
        <w:tc>
          <w:tcPr>
            <w:tcW w:w="1340" w:type="dxa"/>
            <w:tcBorders>
              <w:top w:val="single" w:sz="4" w:space="0" w:color="auto"/>
              <w:left w:val="single" w:sz="4" w:space="0" w:color="auto"/>
              <w:bottom w:val="single" w:sz="4" w:space="0" w:color="auto"/>
              <w:right w:val="single" w:sz="4" w:space="0" w:color="auto"/>
            </w:tcBorders>
            <w:hideMark/>
          </w:tcPr>
          <w:p w14:paraId="4B1287DA" w14:textId="1794BF52" w:rsidR="00873129" w:rsidRPr="00EF2F18" w:rsidRDefault="001503A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0106-420-0002-451</w:t>
            </w:r>
          </w:p>
        </w:tc>
        <w:tc>
          <w:tcPr>
            <w:tcW w:w="1339" w:type="dxa"/>
            <w:tcBorders>
              <w:top w:val="single" w:sz="4" w:space="0" w:color="auto"/>
              <w:left w:val="single" w:sz="4" w:space="0" w:color="auto"/>
              <w:bottom w:val="single" w:sz="4" w:space="0" w:color="auto"/>
              <w:right w:val="single" w:sz="4" w:space="0" w:color="auto"/>
            </w:tcBorders>
          </w:tcPr>
          <w:p w14:paraId="15CE6C76" w14:textId="7344DE20" w:rsidR="00873129" w:rsidRPr="00EF2F18" w:rsidRDefault="001503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w:t>
            </w:r>
          </w:p>
        </w:tc>
        <w:tc>
          <w:tcPr>
            <w:tcW w:w="1260" w:type="dxa"/>
            <w:tcBorders>
              <w:top w:val="single" w:sz="4" w:space="0" w:color="auto"/>
              <w:left w:val="single" w:sz="4" w:space="0" w:color="auto"/>
              <w:bottom w:val="single" w:sz="4" w:space="0" w:color="auto"/>
              <w:right w:val="single" w:sz="4" w:space="0" w:color="auto"/>
            </w:tcBorders>
          </w:tcPr>
          <w:p w14:paraId="2B239CB2" w14:textId="3922CB89" w:rsidR="00873129" w:rsidRPr="00EF2F18" w:rsidRDefault="001503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20.000</w:t>
            </w:r>
          </w:p>
        </w:tc>
        <w:tc>
          <w:tcPr>
            <w:tcW w:w="1440" w:type="dxa"/>
            <w:tcBorders>
              <w:top w:val="single" w:sz="4" w:space="0" w:color="auto"/>
              <w:left w:val="single" w:sz="4" w:space="0" w:color="auto"/>
              <w:bottom w:val="single" w:sz="4" w:space="0" w:color="auto"/>
              <w:right w:val="single" w:sz="4" w:space="0" w:color="auto"/>
            </w:tcBorders>
          </w:tcPr>
          <w:p w14:paraId="103F2A7D" w14:textId="3A08D73E" w:rsidR="00873129" w:rsidRPr="00EF2F18" w:rsidRDefault="001503A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20.000</w:t>
            </w:r>
          </w:p>
        </w:tc>
        <w:tc>
          <w:tcPr>
            <w:tcW w:w="236" w:type="dxa"/>
            <w:tcBorders>
              <w:left w:val="single" w:sz="4" w:space="0" w:color="auto"/>
            </w:tcBorders>
            <w:vAlign w:val="center"/>
            <w:hideMark/>
          </w:tcPr>
          <w:p w14:paraId="624DBE5F" w14:textId="77777777" w:rsidR="00873129" w:rsidRPr="00EF2F18" w:rsidRDefault="00873129" w:rsidP="00752CA0">
            <w:pPr>
              <w:spacing w:after="0"/>
              <w:rPr>
                <w:rFonts w:eastAsia="Times New Roman" w:cs="Times New Roman"/>
                <w:sz w:val="20"/>
                <w:szCs w:val="20"/>
                <w:lang w:val="sr-Cyrl-RS" w:eastAsia="sr-Cyrl-RS"/>
              </w:rPr>
            </w:pPr>
          </w:p>
        </w:tc>
      </w:tr>
    </w:tbl>
    <w:p w14:paraId="524B7A6C" w14:textId="0E48303B" w:rsidR="007D7243" w:rsidRPr="00EF2F18" w:rsidRDefault="00625841"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34A46C88" w14:textId="77777777" w:rsidR="007D7243" w:rsidRPr="00EF2F18" w:rsidRDefault="007D7243" w:rsidP="007D7243">
      <w:pPr>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295"/>
        <w:gridCol w:w="1350"/>
        <w:gridCol w:w="1595"/>
        <w:gridCol w:w="25"/>
      </w:tblGrid>
      <w:tr w:rsidR="007D7243" w:rsidRPr="00EF2F18" w14:paraId="32607651" w14:textId="77777777" w:rsidTr="00873129">
        <w:trPr>
          <w:gridAfter w:val="1"/>
          <w:wAfter w:w="25" w:type="dxa"/>
          <w:trHeight w:val="336"/>
        </w:trPr>
        <w:tc>
          <w:tcPr>
            <w:tcW w:w="13640" w:type="dxa"/>
            <w:gridSpan w:val="9"/>
            <w:shd w:val="clear" w:color="000000" w:fill="F7CAAC"/>
            <w:vAlign w:val="center"/>
            <w:hideMark/>
          </w:tcPr>
          <w:p w14:paraId="22E47B71" w14:textId="1E356E6E"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1.1.11: Подршка и промоција примене концепта</w:t>
            </w:r>
            <w:r w:rsidR="00FA7222" w:rsidRPr="00EF2F18">
              <w:rPr>
                <w:rFonts w:eastAsia="Times New Roman" w:cs="Times New Roman"/>
                <w:b/>
                <w:bCs/>
                <w:color w:val="000000"/>
                <w:sz w:val="20"/>
                <w:szCs w:val="20"/>
                <w:lang w:val="sr-Cyrl-RS" w:eastAsia="sr-Cyrl-RS"/>
              </w:rPr>
              <w:t xml:space="preserve"> </w:t>
            </w:r>
            <w:r w:rsidRPr="00EF2F18">
              <w:rPr>
                <w:rFonts w:eastAsia="Times New Roman" w:cs="Times New Roman"/>
                <w:b/>
                <w:bCs/>
                <w:color w:val="000000"/>
                <w:sz w:val="20"/>
                <w:szCs w:val="20"/>
                <w:lang w:val="sr-Cyrl-RS" w:eastAsia="sr-Cyrl-RS"/>
              </w:rPr>
              <w:t>решења заснованих на природи ради ублажавања климатских промена</w:t>
            </w:r>
          </w:p>
        </w:tc>
      </w:tr>
      <w:tr w:rsidR="007D7243" w:rsidRPr="00EF2F18" w14:paraId="776B532F" w14:textId="77777777" w:rsidTr="00873129">
        <w:trPr>
          <w:gridAfter w:val="1"/>
          <w:wAfter w:w="25" w:type="dxa"/>
          <w:trHeight w:val="336"/>
        </w:trPr>
        <w:tc>
          <w:tcPr>
            <w:tcW w:w="13640" w:type="dxa"/>
            <w:gridSpan w:val="9"/>
            <w:shd w:val="clear" w:color="000000" w:fill="F7CAAC"/>
            <w:vAlign w:val="center"/>
            <w:hideMark/>
          </w:tcPr>
          <w:p w14:paraId="39A7DA37"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w:t>
            </w:r>
          </w:p>
        </w:tc>
      </w:tr>
      <w:tr w:rsidR="007D7243" w:rsidRPr="00EF2F18" w14:paraId="494DC5FE" w14:textId="77777777" w:rsidTr="00873129">
        <w:trPr>
          <w:gridAfter w:val="1"/>
          <w:wAfter w:w="25" w:type="dxa"/>
          <w:trHeight w:val="336"/>
        </w:trPr>
        <w:tc>
          <w:tcPr>
            <w:tcW w:w="6880" w:type="dxa"/>
            <w:gridSpan w:val="4"/>
            <w:shd w:val="clear" w:color="000000" w:fill="F7CAAC"/>
            <w:vAlign w:val="center"/>
            <w:hideMark/>
          </w:tcPr>
          <w:p w14:paraId="6B631ECB" w14:textId="5AB0403A"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lastRenderedPageBreak/>
              <w:t>Период спровођења: 202</w:t>
            </w:r>
            <w:r w:rsidR="00262239"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6760" w:type="dxa"/>
            <w:gridSpan w:val="5"/>
            <w:shd w:val="clear" w:color="000000" w:fill="F7CAAC"/>
            <w:vAlign w:val="center"/>
            <w:hideMark/>
          </w:tcPr>
          <w:p w14:paraId="54A1412A" w14:textId="20B8149F"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w:t>
            </w:r>
            <w:r w:rsidR="00C16633">
              <w:rPr>
                <w:rFonts w:eastAsia="Times New Roman" w:cs="Times New Roman"/>
                <w:color w:val="000000"/>
                <w:sz w:val="20"/>
                <w:szCs w:val="20"/>
                <w:lang w:val="sr-Cyrl-RS" w:eastAsia="sr-Cyrl-RS"/>
              </w:rPr>
              <w:t xml:space="preserve"> </w:t>
            </w:r>
            <w:r w:rsidRPr="00EF2F18">
              <w:rPr>
                <w:rFonts w:eastAsia="Times New Roman" w:cs="Times New Roman"/>
                <w:color w:val="000000"/>
                <w:sz w:val="20"/>
                <w:szCs w:val="20"/>
                <w:lang w:val="sr-Cyrl-RS" w:eastAsia="sr-Cyrl-RS"/>
              </w:rPr>
              <w:t>информативно-едукативна</w:t>
            </w:r>
          </w:p>
        </w:tc>
      </w:tr>
      <w:tr w:rsidR="001503AB" w:rsidRPr="00EF2F18" w14:paraId="4485868D" w14:textId="77777777" w:rsidTr="00873129">
        <w:trPr>
          <w:trHeight w:val="336"/>
        </w:trPr>
        <w:tc>
          <w:tcPr>
            <w:tcW w:w="6880" w:type="dxa"/>
            <w:gridSpan w:val="4"/>
            <w:shd w:val="clear" w:color="000000" w:fill="F7CAAC"/>
            <w:vAlign w:val="center"/>
          </w:tcPr>
          <w:p w14:paraId="7A7272E9" w14:textId="77777777" w:rsidR="001503AB" w:rsidRPr="00EF2F18" w:rsidRDefault="001503AB" w:rsidP="00752CA0">
            <w:pPr>
              <w:spacing w:after="0"/>
              <w:rPr>
                <w:rFonts w:eastAsia="Times New Roman" w:cs="Times New Roman"/>
                <w:color w:val="000000" w:themeColor="text1"/>
                <w:sz w:val="20"/>
                <w:szCs w:val="20"/>
                <w:lang w:val="sr-Cyrl-RS" w:eastAsia="sr-Cyrl-RS"/>
              </w:rPr>
            </w:pPr>
          </w:p>
        </w:tc>
        <w:tc>
          <w:tcPr>
            <w:tcW w:w="6760" w:type="dxa"/>
            <w:gridSpan w:val="6"/>
            <w:shd w:val="clear" w:color="000000" w:fill="F7CAAC"/>
            <w:vAlign w:val="center"/>
          </w:tcPr>
          <w:p w14:paraId="13AF3B60" w14:textId="77777777" w:rsidR="001503AB" w:rsidRPr="00EF2F18" w:rsidRDefault="001503AB" w:rsidP="00752CA0">
            <w:pPr>
              <w:spacing w:after="0"/>
              <w:rPr>
                <w:rFonts w:eastAsia="Times New Roman" w:cs="Times New Roman"/>
                <w:color w:val="000000"/>
                <w:sz w:val="20"/>
                <w:szCs w:val="20"/>
                <w:lang w:val="sr-Cyrl-RS" w:eastAsia="sr-Cyrl-RS"/>
              </w:rPr>
            </w:pPr>
          </w:p>
        </w:tc>
      </w:tr>
      <w:tr w:rsidR="007D7243" w:rsidRPr="00EF2F18" w14:paraId="5670D8A2" w14:textId="77777777" w:rsidTr="00873129">
        <w:trPr>
          <w:gridAfter w:val="1"/>
          <w:wAfter w:w="25" w:type="dxa"/>
          <w:trHeight w:val="336"/>
        </w:trPr>
        <w:tc>
          <w:tcPr>
            <w:tcW w:w="6880" w:type="dxa"/>
            <w:gridSpan w:val="4"/>
            <w:shd w:val="clear" w:color="000000" w:fill="F7CAAC"/>
            <w:vAlign w:val="center"/>
            <w:hideMark/>
          </w:tcPr>
          <w:p w14:paraId="47B1840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shd w:val="clear" w:color="000000" w:fill="F7CAAC"/>
            <w:vAlign w:val="center"/>
            <w:hideMark/>
          </w:tcPr>
          <w:p w14:paraId="0022E9D2"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873129" w:rsidRPr="00EF2F18" w14:paraId="512ED20E" w14:textId="77777777" w:rsidTr="00873129">
        <w:trPr>
          <w:trHeight w:val="816"/>
        </w:trPr>
        <w:tc>
          <w:tcPr>
            <w:tcW w:w="3320" w:type="dxa"/>
            <w:shd w:val="clear" w:color="000000" w:fill="D9D9D9"/>
            <w:hideMark/>
          </w:tcPr>
          <w:p w14:paraId="4233934C"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4FA6A7AB"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477B3BE3"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5DB55B77"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1182C291"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95" w:type="dxa"/>
            <w:shd w:val="clear" w:color="000000" w:fill="D9D9D9"/>
            <w:hideMark/>
          </w:tcPr>
          <w:p w14:paraId="1DBDE473"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shd w:val="clear" w:color="000000" w:fill="D9D9D9"/>
            <w:hideMark/>
          </w:tcPr>
          <w:p w14:paraId="18F1CE1F"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gridSpan w:val="2"/>
            <w:shd w:val="clear" w:color="000000" w:fill="D9D9D9"/>
            <w:hideMark/>
          </w:tcPr>
          <w:p w14:paraId="0F7D3389"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873129" w:rsidRPr="00EF2F18" w14:paraId="3F8DF757" w14:textId="77777777" w:rsidTr="00873129">
        <w:trPr>
          <w:trHeight w:val="1854"/>
        </w:trPr>
        <w:tc>
          <w:tcPr>
            <w:tcW w:w="3320" w:type="dxa"/>
            <w:shd w:val="clear" w:color="000000" w:fill="FFFFFF"/>
            <w:hideMark/>
          </w:tcPr>
          <w:p w14:paraId="0C3D4146" w14:textId="097B819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Израђене препоруке/смернице за примену Решења заснованих на природи малих размера у урбаним срединама са препорукама за примену међународних и ЕУ релевантних алата за процену потенцијала РЗП и процену трошкова и користи</w:t>
            </w:r>
          </w:p>
        </w:tc>
        <w:tc>
          <w:tcPr>
            <w:tcW w:w="1280" w:type="dxa"/>
            <w:shd w:val="clear" w:color="000000" w:fill="FFFFFF"/>
            <w:hideMark/>
          </w:tcPr>
          <w:p w14:paraId="24FDDA45"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39AB599D"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о раду МЗЖС</w:t>
            </w:r>
          </w:p>
        </w:tc>
        <w:tc>
          <w:tcPr>
            <w:tcW w:w="2000" w:type="dxa"/>
            <w:gridSpan w:val="2"/>
            <w:shd w:val="clear" w:color="000000" w:fill="FFFFFF"/>
            <w:hideMark/>
          </w:tcPr>
          <w:p w14:paraId="7D99BFFC"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0E673297"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95" w:type="dxa"/>
            <w:shd w:val="clear" w:color="000000" w:fill="FFFFFF"/>
            <w:hideMark/>
          </w:tcPr>
          <w:p w14:paraId="0525F439"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50" w:type="dxa"/>
            <w:shd w:val="clear" w:color="000000" w:fill="FFFFFF"/>
            <w:hideMark/>
          </w:tcPr>
          <w:p w14:paraId="1C16E748"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620" w:type="dxa"/>
            <w:gridSpan w:val="2"/>
            <w:shd w:val="clear" w:color="000000" w:fill="FFFFFF"/>
            <w:hideMark/>
          </w:tcPr>
          <w:p w14:paraId="35B36DF4"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873129" w:rsidRPr="00EF2F18" w14:paraId="6ABA264A" w14:textId="77777777" w:rsidTr="0050150F">
        <w:trPr>
          <w:trHeight w:val="1374"/>
        </w:trPr>
        <w:tc>
          <w:tcPr>
            <w:tcW w:w="3320" w:type="dxa"/>
            <w:shd w:val="clear" w:color="000000" w:fill="FFFFFF"/>
            <w:hideMark/>
          </w:tcPr>
          <w:p w14:paraId="4456AC4E"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Израђене препоруке/смернице за примену Решења заснованих на природи великих размера са препорукама за процену потенцијала РЗП и интеграцију у стратешка и планска документа</w:t>
            </w:r>
          </w:p>
        </w:tc>
        <w:tc>
          <w:tcPr>
            <w:tcW w:w="1280" w:type="dxa"/>
            <w:shd w:val="clear" w:color="000000" w:fill="FFFFFF"/>
            <w:hideMark/>
          </w:tcPr>
          <w:p w14:paraId="4C1D1529"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12C1A428"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Извештај о раду МЗЖС</w:t>
            </w:r>
          </w:p>
        </w:tc>
        <w:tc>
          <w:tcPr>
            <w:tcW w:w="2000" w:type="dxa"/>
            <w:gridSpan w:val="2"/>
            <w:shd w:val="clear" w:color="000000" w:fill="FFFFFF"/>
            <w:hideMark/>
          </w:tcPr>
          <w:p w14:paraId="29C35957"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46472B08"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95" w:type="dxa"/>
            <w:shd w:val="clear" w:color="000000" w:fill="FFFFFF"/>
            <w:hideMark/>
          </w:tcPr>
          <w:p w14:paraId="543DFDF4"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350" w:type="dxa"/>
            <w:shd w:val="clear" w:color="000000" w:fill="FFFFFF"/>
            <w:hideMark/>
          </w:tcPr>
          <w:p w14:paraId="69445188"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620" w:type="dxa"/>
            <w:gridSpan w:val="2"/>
            <w:shd w:val="clear" w:color="000000" w:fill="FFFFFF"/>
            <w:hideMark/>
          </w:tcPr>
          <w:p w14:paraId="7CF8AAB7" w14:textId="77777777"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r>
    </w:tbl>
    <w:p w14:paraId="025BCFCF" w14:textId="77777777" w:rsidR="007D7243" w:rsidRPr="00EF2F18" w:rsidRDefault="007D7243" w:rsidP="007D7243">
      <w:pPr>
        <w:spacing w:after="0"/>
        <w:rPr>
          <w:lang w:val="sr-Cyrl-RS"/>
        </w:rPr>
      </w:pPr>
    </w:p>
    <w:tbl>
      <w:tblPr>
        <w:tblW w:w="137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33"/>
        <w:gridCol w:w="2471"/>
        <w:gridCol w:w="1814"/>
        <w:gridCol w:w="1814"/>
        <w:gridCol w:w="3676"/>
      </w:tblGrid>
      <w:tr w:rsidR="007D7243" w:rsidRPr="00EF2F18" w14:paraId="6D49BB29" w14:textId="77777777" w:rsidTr="00873129">
        <w:trPr>
          <w:trHeight w:val="349"/>
        </w:trPr>
        <w:tc>
          <w:tcPr>
            <w:tcW w:w="3933" w:type="dxa"/>
            <w:vMerge w:val="restart"/>
            <w:shd w:val="clear" w:color="000000" w:fill="A8D08D"/>
            <w:hideMark/>
          </w:tcPr>
          <w:p w14:paraId="173FF36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71" w:type="dxa"/>
            <w:vMerge w:val="restart"/>
            <w:shd w:val="clear" w:color="000000" w:fill="A8D08D"/>
            <w:hideMark/>
          </w:tcPr>
          <w:p w14:paraId="0B69303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04" w:type="dxa"/>
            <w:gridSpan w:val="3"/>
            <w:shd w:val="clear" w:color="000000" w:fill="A8D08D"/>
            <w:hideMark/>
          </w:tcPr>
          <w:p w14:paraId="5D6B027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873129" w:rsidRPr="00EF2F18" w14:paraId="71C49201" w14:textId="77777777" w:rsidTr="00873129">
        <w:trPr>
          <w:trHeight w:val="349"/>
        </w:trPr>
        <w:tc>
          <w:tcPr>
            <w:tcW w:w="3933" w:type="dxa"/>
            <w:vMerge/>
            <w:vAlign w:val="center"/>
            <w:hideMark/>
          </w:tcPr>
          <w:p w14:paraId="409DF560"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2471" w:type="dxa"/>
            <w:vMerge/>
            <w:vAlign w:val="center"/>
            <w:hideMark/>
          </w:tcPr>
          <w:p w14:paraId="06DB49DB"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814" w:type="dxa"/>
            <w:shd w:val="clear" w:color="000000" w:fill="A8D08D"/>
            <w:hideMark/>
          </w:tcPr>
          <w:p w14:paraId="7BA01ED7" w14:textId="3BD5EFDD"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1814" w:type="dxa"/>
            <w:shd w:val="clear" w:color="000000" w:fill="A8D08D"/>
            <w:hideMark/>
          </w:tcPr>
          <w:p w14:paraId="48CC2906" w14:textId="0B033C2C"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3676" w:type="dxa"/>
            <w:shd w:val="clear" w:color="000000" w:fill="A8D08D"/>
            <w:hideMark/>
          </w:tcPr>
          <w:p w14:paraId="5B4E9C07" w14:textId="1A69836E"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873129" w:rsidRPr="00EF2F18" w14:paraId="0C544FBD" w14:textId="77777777" w:rsidTr="00873129">
        <w:trPr>
          <w:trHeight w:val="337"/>
        </w:trPr>
        <w:tc>
          <w:tcPr>
            <w:tcW w:w="3933" w:type="dxa"/>
            <w:shd w:val="clear" w:color="000000" w:fill="FFFFFF"/>
            <w:vAlign w:val="center"/>
            <w:hideMark/>
          </w:tcPr>
          <w:p w14:paraId="1D222BEC" w14:textId="41C9CAB2"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471" w:type="dxa"/>
            <w:shd w:val="clear" w:color="000000" w:fill="FFFFFF"/>
            <w:vAlign w:val="center"/>
            <w:hideMark/>
          </w:tcPr>
          <w:p w14:paraId="42FBC471"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814" w:type="dxa"/>
            <w:shd w:val="clear" w:color="000000" w:fill="FFFFFF"/>
            <w:vAlign w:val="center"/>
          </w:tcPr>
          <w:p w14:paraId="131773C1" w14:textId="226C56B3" w:rsidR="00873129" w:rsidRPr="00EF2F18" w:rsidRDefault="00873129" w:rsidP="00752CA0">
            <w:pPr>
              <w:spacing w:after="0"/>
              <w:jc w:val="right"/>
              <w:rPr>
                <w:rFonts w:eastAsia="Times New Roman" w:cs="Times New Roman"/>
                <w:color w:val="000000"/>
                <w:sz w:val="20"/>
                <w:szCs w:val="20"/>
                <w:lang w:val="sr-Cyrl-RS" w:eastAsia="sr-Cyrl-RS"/>
              </w:rPr>
            </w:pPr>
          </w:p>
        </w:tc>
        <w:tc>
          <w:tcPr>
            <w:tcW w:w="1814" w:type="dxa"/>
            <w:shd w:val="clear" w:color="000000" w:fill="FFFFFF"/>
            <w:vAlign w:val="center"/>
          </w:tcPr>
          <w:p w14:paraId="05C07368" w14:textId="6D16E56C" w:rsidR="00873129" w:rsidRPr="00EF2F18" w:rsidRDefault="00873129" w:rsidP="00752CA0">
            <w:pPr>
              <w:spacing w:after="0"/>
              <w:jc w:val="right"/>
              <w:rPr>
                <w:rFonts w:eastAsia="Times New Roman" w:cs="Times New Roman"/>
                <w:color w:val="000000"/>
                <w:sz w:val="20"/>
                <w:szCs w:val="20"/>
                <w:lang w:val="sr-Cyrl-RS" w:eastAsia="sr-Cyrl-RS"/>
              </w:rPr>
            </w:pPr>
          </w:p>
        </w:tc>
        <w:tc>
          <w:tcPr>
            <w:tcW w:w="3676" w:type="dxa"/>
            <w:shd w:val="clear" w:color="000000" w:fill="FFFFFF"/>
            <w:vAlign w:val="center"/>
          </w:tcPr>
          <w:p w14:paraId="43180A6A" w14:textId="1E02D0F4" w:rsidR="00873129" w:rsidRPr="00EF2F18" w:rsidRDefault="00873129" w:rsidP="00752CA0">
            <w:pPr>
              <w:spacing w:after="0"/>
              <w:jc w:val="right"/>
              <w:rPr>
                <w:rFonts w:eastAsia="Times New Roman" w:cs="Times New Roman"/>
                <w:color w:val="000000"/>
                <w:sz w:val="20"/>
                <w:szCs w:val="20"/>
                <w:lang w:val="sr-Cyrl-RS" w:eastAsia="sr-Cyrl-RS"/>
              </w:rPr>
            </w:pPr>
          </w:p>
        </w:tc>
      </w:tr>
    </w:tbl>
    <w:p w14:paraId="6A83FF30" w14:textId="77777777" w:rsidR="007D7243" w:rsidRPr="00EF2F18" w:rsidRDefault="007D7243" w:rsidP="007D7243">
      <w:pPr>
        <w:spacing w:after="0"/>
        <w:rPr>
          <w:lang w:val="sr-Cyrl-RS"/>
        </w:rPr>
      </w:pPr>
    </w:p>
    <w:p w14:paraId="4D9405B8" w14:textId="77777777" w:rsidR="00AE4263" w:rsidRPr="00EF2F18" w:rsidRDefault="00AE4263" w:rsidP="007D7243">
      <w:pPr>
        <w:spacing w:after="0"/>
        <w:rPr>
          <w:lang w:val="sr-Cyrl-RS"/>
        </w:rPr>
      </w:pPr>
    </w:p>
    <w:p w14:paraId="639961D3" w14:textId="77777777" w:rsidR="00AE4263" w:rsidRPr="00EF2F18" w:rsidRDefault="00AE4263" w:rsidP="007D7243">
      <w:pPr>
        <w:spacing w:after="0"/>
        <w:rPr>
          <w:lang w:val="sr-Cyrl-RS"/>
        </w:rPr>
      </w:pPr>
    </w:p>
    <w:p w14:paraId="64AB42BA" w14:textId="77777777" w:rsidR="00AE4263" w:rsidRPr="00EF2F18" w:rsidRDefault="00AE4263" w:rsidP="007D7243">
      <w:pPr>
        <w:spacing w:after="0"/>
        <w:rPr>
          <w:lang w:val="sr-Cyrl-RS"/>
        </w:rPr>
      </w:pPr>
    </w:p>
    <w:p w14:paraId="3E1E22D7" w14:textId="77777777" w:rsidR="00AE4263" w:rsidRPr="00EF2F18" w:rsidRDefault="00AE4263" w:rsidP="007D7243">
      <w:pPr>
        <w:spacing w:after="0"/>
        <w:rPr>
          <w:lang w:val="sr-Cyrl-RS"/>
        </w:rPr>
      </w:pPr>
    </w:p>
    <w:p w14:paraId="0E2C50D7" w14:textId="77777777" w:rsidR="00AE4263" w:rsidRPr="00EF2F18" w:rsidRDefault="00AE4263" w:rsidP="007D7243">
      <w:pPr>
        <w:spacing w:after="0"/>
        <w:rPr>
          <w:lang w:val="sr-Cyrl-RS"/>
        </w:rPr>
      </w:pPr>
    </w:p>
    <w:tbl>
      <w:tblPr>
        <w:tblW w:w="13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1188"/>
        <w:gridCol w:w="1327"/>
        <w:gridCol w:w="1953"/>
        <w:gridCol w:w="1750"/>
        <w:gridCol w:w="1340"/>
        <w:gridCol w:w="1075"/>
        <w:gridCol w:w="1170"/>
        <w:gridCol w:w="1330"/>
        <w:gridCol w:w="20"/>
      </w:tblGrid>
      <w:tr w:rsidR="007D7243" w:rsidRPr="00EF2F18" w14:paraId="717D2CB2" w14:textId="77777777" w:rsidTr="00873129">
        <w:trPr>
          <w:gridAfter w:val="1"/>
          <w:wAfter w:w="20" w:type="dxa"/>
          <w:trHeight w:val="696"/>
        </w:trPr>
        <w:tc>
          <w:tcPr>
            <w:tcW w:w="2612" w:type="dxa"/>
            <w:vMerge w:val="restart"/>
            <w:shd w:val="clear" w:color="000000" w:fill="FFF2CC"/>
            <w:hideMark/>
          </w:tcPr>
          <w:p w14:paraId="64E1C05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88" w:type="dxa"/>
            <w:vMerge w:val="restart"/>
            <w:shd w:val="clear" w:color="000000" w:fill="FFF2CC"/>
            <w:hideMark/>
          </w:tcPr>
          <w:p w14:paraId="439C6C4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27" w:type="dxa"/>
            <w:vMerge w:val="restart"/>
            <w:shd w:val="clear" w:color="000000" w:fill="FFF2CC"/>
            <w:hideMark/>
          </w:tcPr>
          <w:p w14:paraId="62F37D4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953" w:type="dxa"/>
            <w:vMerge w:val="restart"/>
            <w:shd w:val="clear" w:color="000000" w:fill="FFF2CC"/>
            <w:hideMark/>
          </w:tcPr>
          <w:p w14:paraId="32199BD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750" w:type="dxa"/>
            <w:vMerge w:val="restart"/>
            <w:shd w:val="clear" w:color="000000" w:fill="FFF2CC"/>
            <w:hideMark/>
          </w:tcPr>
          <w:p w14:paraId="1B7CE79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21CD6D3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575" w:type="dxa"/>
            <w:gridSpan w:val="3"/>
            <w:shd w:val="clear" w:color="000000" w:fill="FFF2CC"/>
            <w:hideMark/>
          </w:tcPr>
          <w:p w14:paraId="60E2A26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873129" w:rsidRPr="00EF2F18" w14:paraId="57CB4229" w14:textId="77777777" w:rsidTr="00873129">
        <w:trPr>
          <w:trHeight w:val="441"/>
        </w:trPr>
        <w:tc>
          <w:tcPr>
            <w:tcW w:w="2612" w:type="dxa"/>
            <w:vMerge/>
            <w:vAlign w:val="center"/>
            <w:hideMark/>
          </w:tcPr>
          <w:p w14:paraId="6A289C5A"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188" w:type="dxa"/>
            <w:vMerge/>
            <w:vAlign w:val="center"/>
            <w:hideMark/>
          </w:tcPr>
          <w:p w14:paraId="330313EB"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27" w:type="dxa"/>
            <w:vMerge/>
            <w:vAlign w:val="center"/>
            <w:hideMark/>
          </w:tcPr>
          <w:p w14:paraId="181FF571"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953" w:type="dxa"/>
            <w:vMerge/>
            <w:vAlign w:val="center"/>
            <w:hideMark/>
          </w:tcPr>
          <w:p w14:paraId="1D17A614"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750" w:type="dxa"/>
            <w:vMerge/>
            <w:vAlign w:val="center"/>
            <w:hideMark/>
          </w:tcPr>
          <w:p w14:paraId="2F4AFF52"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340" w:type="dxa"/>
            <w:vMerge/>
            <w:vAlign w:val="center"/>
            <w:hideMark/>
          </w:tcPr>
          <w:p w14:paraId="6B31AD26" w14:textId="77777777" w:rsidR="00873129" w:rsidRPr="00EF2F18" w:rsidRDefault="00873129" w:rsidP="00752CA0">
            <w:pPr>
              <w:spacing w:after="0"/>
              <w:rPr>
                <w:rFonts w:eastAsia="Times New Roman" w:cs="Times New Roman"/>
                <w:color w:val="000000"/>
                <w:sz w:val="20"/>
                <w:szCs w:val="20"/>
                <w:lang w:val="sr-Cyrl-RS" w:eastAsia="sr-Cyrl-RS"/>
              </w:rPr>
            </w:pPr>
          </w:p>
        </w:tc>
        <w:tc>
          <w:tcPr>
            <w:tcW w:w="1075" w:type="dxa"/>
            <w:shd w:val="clear" w:color="000000" w:fill="FFF2CC"/>
            <w:hideMark/>
          </w:tcPr>
          <w:p w14:paraId="2128BB9C" w14:textId="5CE3DB31"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170" w:type="dxa"/>
            <w:shd w:val="clear" w:color="000000" w:fill="FFF2CC"/>
            <w:hideMark/>
          </w:tcPr>
          <w:p w14:paraId="32B21F9F" w14:textId="7DEC9E86"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350" w:type="dxa"/>
            <w:gridSpan w:val="2"/>
            <w:shd w:val="clear" w:color="000000" w:fill="FFF2CC"/>
            <w:hideMark/>
          </w:tcPr>
          <w:p w14:paraId="7673E954" w14:textId="4D29696C" w:rsidR="00873129" w:rsidRPr="00EF2F18" w:rsidRDefault="0087312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873129" w:rsidRPr="00EF2F18" w14:paraId="50869EDE" w14:textId="77777777" w:rsidTr="00873129">
        <w:trPr>
          <w:trHeight w:val="2700"/>
        </w:trPr>
        <w:tc>
          <w:tcPr>
            <w:tcW w:w="2612" w:type="dxa"/>
            <w:hideMark/>
          </w:tcPr>
          <w:p w14:paraId="2BB60878" w14:textId="4C31F3D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1.1.11.1</w:t>
            </w:r>
            <w:r w:rsidRPr="00EF2F18">
              <w:rPr>
                <w:rFonts w:eastAsia="Times New Roman" w:cs="Times New Roman"/>
                <w:color w:val="000000"/>
                <w:szCs w:val="24"/>
                <w:lang w:val="sr-Cyrl-RS" w:eastAsia="sr-Cyrl-RS"/>
              </w:rPr>
              <w:t xml:space="preserve"> </w:t>
            </w:r>
            <w:r w:rsidRPr="00EF2F18">
              <w:rPr>
                <w:rFonts w:eastAsia="Times New Roman" w:cs="Times New Roman"/>
                <w:color w:val="000000"/>
                <w:sz w:val="20"/>
                <w:szCs w:val="20"/>
                <w:lang w:val="sr-Cyrl-RS" w:eastAsia="sr-Cyrl-RS"/>
              </w:rPr>
              <w:t>Подстицање научно-истраживачких пројеката, пилот пројеката и студија случаја за Решења заснована на природи великих размера, односно „Large scale NBS”, у области шумарства, управљања мочварним подручјима, управљања поплавама и области пољопривреде</w:t>
            </w:r>
          </w:p>
        </w:tc>
        <w:tc>
          <w:tcPr>
            <w:tcW w:w="1188" w:type="dxa"/>
            <w:hideMark/>
          </w:tcPr>
          <w:p w14:paraId="016FBAD0"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27" w:type="dxa"/>
            <w:hideMark/>
          </w:tcPr>
          <w:p w14:paraId="365E8186"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 МНТРИ, МПШВ, НИО, ЈП, ЈЛС, ЗЗПС, ПЗЗП</w:t>
            </w:r>
          </w:p>
        </w:tc>
        <w:tc>
          <w:tcPr>
            <w:tcW w:w="1953" w:type="dxa"/>
            <w:hideMark/>
          </w:tcPr>
          <w:p w14:paraId="629BC1DA"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750" w:type="dxa"/>
            <w:hideMark/>
          </w:tcPr>
          <w:p w14:paraId="0C68BB24" w14:textId="29FCE9D4"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28DFF99E"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075" w:type="dxa"/>
          </w:tcPr>
          <w:p w14:paraId="1D1761B5" w14:textId="6AD5A14C" w:rsidR="00873129" w:rsidRPr="00EF2F18" w:rsidRDefault="00873129" w:rsidP="00752CA0">
            <w:pPr>
              <w:spacing w:after="0"/>
              <w:jc w:val="right"/>
              <w:rPr>
                <w:rFonts w:eastAsia="Times New Roman" w:cs="Times New Roman"/>
                <w:color w:val="000000"/>
                <w:sz w:val="20"/>
                <w:szCs w:val="20"/>
                <w:lang w:val="sr-Cyrl-RS" w:eastAsia="sr-Cyrl-RS"/>
              </w:rPr>
            </w:pPr>
          </w:p>
        </w:tc>
        <w:tc>
          <w:tcPr>
            <w:tcW w:w="1170" w:type="dxa"/>
          </w:tcPr>
          <w:p w14:paraId="250C0BA9" w14:textId="68E9C273" w:rsidR="00873129" w:rsidRPr="00EF2F18" w:rsidRDefault="00873129" w:rsidP="00752CA0">
            <w:pPr>
              <w:spacing w:after="0"/>
              <w:jc w:val="right"/>
              <w:rPr>
                <w:rFonts w:eastAsia="Times New Roman" w:cs="Times New Roman"/>
                <w:color w:val="000000"/>
                <w:sz w:val="20"/>
                <w:szCs w:val="20"/>
                <w:lang w:val="sr-Cyrl-RS" w:eastAsia="sr-Cyrl-RS"/>
              </w:rPr>
            </w:pPr>
          </w:p>
        </w:tc>
        <w:tc>
          <w:tcPr>
            <w:tcW w:w="1350" w:type="dxa"/>
            <w:gridSpan w:val="2"/>
          </w:tcPr>
          <w:p w14:paraId="5A2820FE" w14:textId="21DAFB5C" w:rsidR="00873129" w:rsidRPr="00EF2F18" w:rsidRDefault="00873129" w:rsidP="00752CA0">
            <w:pPr>
              <w:spacing w:after="0"/>
              <w:jc w:val="right"/>
              <w:rPr>
                <w:rFonts w:eastAsia="Times New Roman" w:cs="Times New Roman"/>
                <w:color w:val="000000"/>
                <w:sz w:val="20"/>
                <w:szCs w:val="20"/>
                <w:lang w:val="sr-Cyrl-RS" w:eastAsia="sr-Cyrl-RS"/>
              </w:rPr>
            </w:pPr>
          </w:p>
        </w:tc>
      </w:tr>
      <w:tr w:rsidR="00873129" w:rsidRPr="00EF2F18" w14:paraId="48763D4C" w14:textId="77777777" w:rsidTr="00873129">
        <w:trPr>
          <w:trHeight w:val="3230"/>
        </w:trPr>
        <w:tc>
          <w:tcPr>
            <w:tcW w:w="2612" w:type="dxa"/>
            <w:hideMark/>
          </w:tcPr>
          <w:p w14:paraId="57898862" w14:textId="64FB8B0A"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1.1.11.2. Промоција и едукација представника надлежних институција на националном и локалном нивоу надлежних за припрему, планирање и имплементацију инфраструктурних пројеката у циљу подизања свести о користима Решења заснованих на природи малих размера, односно „Small scale NBS” као исплативог и одрживог решења за митигацију у урбаним срединама</w:t>
            </w:r>
          </w:p>
        </w:tc>
        <w:tc>
          <w:tcPr>
            <w:tcW w:w="1188" w:type="dxa"/>
            <w:hideMark/>
          </w:tcPr>
          <w:p w14:paraId="5241FA5B"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27" w:type="dxa"/>
            <w:hideMark/>
          </w:tcPr>
          <w:p w14:paraId="482E5E55"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 ЗЗПС, ПЗЗП</w:t>
            </w:r>
          </w:p>
        </w:tc>
        <w:tc>
          <w:tcPr>
            <w:tcW w:w="1953" w:type="dxa"/>
            <w:hideMark/>
          </w:tcPr>
          <w:p w14:paraId="35E5C496"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750" w:type="dxa"/>
          </w:tcPr>
          <w:p w14:paraId="4AB382F0" w14:textId="2AF966AE" w:rsidR="00873129" w:rsidRPr="00EF2F18" w:rsidRDefault="007034C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63B2FFDC" w14:textId="20D9266D" w:rsidR="00873129" w:rsidRPr="00EF2F18" w:rsidRDefault="00873129" w:rsidP="00752CA0">
            <w:pPr>
              <w:spacing w:after="0"/>
              <w:rPr>
                <w:rFonts w:eastAsia="Times New Roman" w:cs="Times New Roman"/>
                <w:color w:val="000000"/>
                <w:sz w:val="20"/>
                <w:szCs w:val="20"/>
                <w:lang w:val="sr-Cyrl-RS" w:eastAsia="sr-Cyrl-RS"/>
              </w:rPr>
            </w:pPr>
          </w:p>
        </w:tc>
        <w:tc>
          <w:tcPr>
            <w:tcW w:w="1075" w:type="dxa"/>
          </w:tcPr>
          <w:p w14:paraId="7AC9BEA8" w14:textId="3B134961" w:rsidR="00873129" w:rsidRPr="00EF2F18" w:rsidRDefault="00873129" w:rsidP="00752CA0">
            <w:pPr>
              <w:spacing w:after="0"/>
              <w:jc w:val="right"/>
              <w:rPr>
                <w:rFonts w:eastAsia="Times New Roman" w:cs="Times New Roman"/>
                <w:color w:val="000000"/>
                <w:sz w:val="20"/>
                <w:szCs w:val="20"/>
                <w:lang w:val="sr-Cyrl-RS" w:eastAsia="sr-Cyrl-RS"/>
              </w:rPr>
            </w:pPr>
          </w:p>
        </w:tc>
        <w:tc>
          <w:tcPr>
            <w:tcW w:w="1170" w:type="dxa"/>
          </w:tcPr>
          <w:p w14:paraId="28A43C87" w14:textId="5EED8C8B" w:rsidR="00873129" w:rsidRPr="00EF2F18" w:rsidRDefault="00873129" w:rsidP="00752CA0">
            <w:pPr>
              <w:spacing w:after="0"/>
              <w:jc w:val="right"/>
              <w:rPr>
                <w:rFonts w:eastAsia="Times New Roman" w:cs="Times New Roman"/>
                <w:color w:val="000000"/>
                <w:sz w:val="20"/>
                <w:szCs w:val="20"/>
                <w:lang w:val="sr-Cyrl-RS" w:eastAsia="sr-Cyrl-RS"/>
              </w:rPr>
            </w:pPr>
          </w:p>
        </w:tc>
        <w:tc>
          <w:tcPr>
            <w:tcW w:w="1350" w:type="dxa"/>
            <w:gridSpan w:val="2"/>
          </w:tcPr>
          <w:p w14:paraId="3FB2C682" w14:textId="0B33A9AB" w:rsidR="00873129" w:rsidRPr="00EF2F18" w:rsidRDefault="00873129" w:rsidP="00752CA0">
            <w:pPr>
              <w:spacing w:after="0"/>
              <w:jc w:val="right"/>
              <w:rPr>
                <w:rFonts w:eastAsia="Times New Roman" w:cs="Times New Roman"/>
                <w:color w:val="000000"/>
                <w:sz w:val="20"/>
                <w:szCs w:val="20"/>
                <w:lang w:val="sr-Cyrl-RS" w:eastAsia="sr-Cyrl-RS"/>
              </w:rPr>
            </w:pPr>
          </w:p>
        </w:tc>
      </w:tr>
      <w:tr w:rsidR="00873129" w:rsidRPr="00EF2F18" w14:paraId="3115D64F" w14:textId="77777777" w:rsidTr="0050150F">
        <w:trPr>
          <w:trHeight w:val="620"/>
        </w:trPr>
        <w:tc>
          <w:tcPr>
            <w:tcW w:w="2612" w:type="dxa"/>
            <w:hideMark/>
          </w:tcPr>
          <w:p w14:paraId="7B1A5ECD" w14:textId="5F035ECB" w:rsidR="0050150F"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1.1.11.3. Израда препорука/смерница за примену Решења заснованих на природи малих размера у урбаним срединама (зелена </w:t>
            </w:r>
            <w:r w:rsidRPr="00EF2F18">
              <w:rPr>
                <w:rFonts w:eastAsia="Times New Roman" w:cs="Times New Roman"/>
                <w:color w:val="000000"/>
                <w:sz w:val="20"/>
                <w:szCs w:val="20"/>
                <w:lang w:val="sr-Cyrl-RS" w:eastAsia="sr-Cyrl-RS"/>
              </w:rPr>
              <w:lastRenderedPageBreak/>
              <w:t>инфраструктура) са препорукама за примену међународних и ЕУ релевантних алата за процену потенцијала РЗП и процену трошкова и корист</w:t>
            </w:r>
          </w:p>
        </w:tc>
        <w:tc>
          <w:tcPr>
            <w:tcW w:w="1188" w:type="dxa"/>
            <w:hideMark/>
          </w:tcPr>
          <w:p w14:paraId="3DB3E8A4"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МЗЖС</w:t>
            </w:r>
          </w:p>
        </w:tc>
        <w:tc>
          <w:tcPr>
            <w:tcW w:w="1327" w:type="dxa"/>
            <w:hideMark/>
          </w:tcPr>
          <w:p w14:paraId="39F0B352"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 ЗЗПС, ПЗЗП</w:t>
            </w:r>
          </w:p>
        </w:tc>
        <w:tc>
          <w:tcPr>
            <w:tcW w:w="1953" w:type="dxa"/>
            <w:hideMark/>
          </w:tcPr>
          <w:p w14:paraId="621C1F2A" w14:textId="5F2F1C61"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4.квартал 2026.</w:t>
            </w:r>
          </w:p>
        </w:tc>
        <w:tc>
          <w:tcPr>
            <w:tcW w:w="1750" w:type="dxa"/>
            <w:hideMark/>
          </w:tcPr>
          <w:p w14:paraId="6BE467F2" w14:textId="3CE4DA4F" w:rsidR="00873129" w:rsidRPr="00EF2F18" w:rsidRDefault="007034C9"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Донаторска средства*</w:t>
            </w:r>
            <w:r w:rsidR="00873129" w:rsidRPr="00EF2F18">
              <w:rPr>
                <w:rFonts w:eastAsia="Times New Roman" w:cs="Times New Roman"/>
                <w:color w:val="000000"/>
                <w:sz w:val="20"/>
                <w:szCs w:val="20"/>
                <w:lang w:val="sr-Cyrl-RS" w:eastAsia="sr-Cyrl-RS"/>
              </w:rPr>
              <w:t xml:space="preserve"> </w:t>
            </w:r>
          </w:p>
        </w:tc>
        <w:tc>
          <w:tcPr>
            <w:tcW w:w="1340" w:type="dxa"/>
            <w:hideMark/>
          </w:tcPr>
          <w:p w14:paraId="34749903" w14:textId="3AC956B4" w:rsidR="00873129" w:rsidRPr="00EF2F18" w:rsidRDefault="00873129" w:rsidP="00752CA0">
            <w:pPr>
              <w:spacing w:after="0"/>
              <w:rPr>
                <w:rFonts w:eastAsia="Times New Roman" w:cs="Times New Roman"/>
                <w:color w:val="000000"/>
                <w:sz w:val="20"/>
                <w:szCs w:val="20"/>
                <w:lang w:val="sr-Cyrl-RS" w:eastAsia="sr-Cyrl-RS"/>
              </w:rPr>
            </w:pPr>
          </w:p>
        </w:tc>
        <w:tc>
          <w:tcPr>
            <w:tcW w:w="1075" w:type="dxa"/>
          </w:tcPr>
          <w:p w14:paraId="54F92BAF" w14:textId="313A68CD" w:rsidR="00873129" w:rsidRPr="00EF2F18" w:rsidRDefault="00873129" w:rsidP="00752CA0">
            <w:pPr>
              <w:spacing w:after="0"/>
              <w:jc w:val="right"/>
              <w:rPr>
                <w:rFonts w:eastAsia="Times New Roman" w:cs="Times New Roman"/>
                <w:color w:val="000000"/>
                <w:sz w:val="20"/>
                <w:szCs w:val="20"/>
                <w:lang w:val="sr-Cyrl-RS" w:eastAsia="sr-Cyrl-RS"/>
              </w:rPr>
            </w:pPr>
          </w:p>
        </w:tc>
        <w:tc>
          <w:tcPr>
            <w:tcW w:w="1170" w:type="dxa"/>
          </w:tcPr>
          <w:p w14:paraId="760DAB84" w14:textId="55AF5F85" w:rsidR="00873129" w:rsidRPr="00EF2F18" w:rsidRDefault="00873129" w:rsidP="00752CA0">
            <w:pPr>
              <w:spacing w:after="0"/>
              <w:jc w:val="right"/>
              <w:rPr>
                <w:rFonts w:eastAsia="Times New Roman" w:cs="Times New Roman"/>
                <w:color w:val="000000"/>
                <w:sz w:val="20"/>
                <w:szCs w:val="20"/>
                <w:lang w:val="sr-Cyrl-RS" w:eastAsia="sr-Cyrl-RS"/>
              </w:rPr>
            </w:pPr>
          </w:p>
        </w:tc>
        <w:tc>
          <w:tcPr>
            <w:tcW w:w="1350" w:type="dxa"/>
            <w:gridSpan w:val="2"/>
          </w:tcPr>
          <w:p w14:paraId="0579EA15" w14:textId="3717163B" w:rsidR="00873129" w:rsidRPr="00EF2F18" w:rsidRDefault="00873129" w:rsidP="00752CA0">
            <w:pPr>
              <w:spacing w:after="0"/>
              <w:jc w:val="right"/>
              <w:rPr>
                <w:rFonts w:eastAsia="Times New Roman" w:cs="Times New Roman"/>
                <w:color w:val="000000"/>
                <w:sz w:val="20"/>
                <w:szCs w:val="20"/>
                <w:lang w:val="sr-Cyrl-RS" w:eastAsia="sr-Cyrl-RS"/>
              </w:rPr>
            </w:pPr>
          </w:p>
        </w:tc>
      </w:tr>
      <w:tr w:rsidR="00873129" w:rsidRPr="00EF2F18" w14:paraId="3C967AF3" w14:textId="77777777" w:rsidTr="00873129">
        <w:trPr>
          <w:trHeight w:val="1610"/>
        </w:trPr>
        <w:tc>
          <w:tcPr>
            <w:tcW w:w="2612" w:type="dxa"/>
            <w:hideMark/>
          </w:tcPr>
          <w:p w14:paraId="2DCB74C2"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1.1.11.4. Израда препорука/смерница за примену Решења заснованих на природи великих размера са препорукама за процену потенцијала РЗП и интеграцију у стратешка и планска документа</w:t>
            </w:r>
          </w:p>
        </w:tc>
        <w:tc>
          <w:tcPr>
            <w:tcW w:w="1188" w:type="dxa"/>
            <w:hideMark/>
          </w:tcPr>
          <w:p w14:paraId="714B0B11"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27" w:type="dxa"/>
            <w:hideMark/>
          </w:tcPr>
          <w:p w14:paraId="66F48E26" w14:textId="77777777" w:rsidR="00873129" w:rsidRPr="00EF2F18" w:rsidRDefault="0087312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 МПШВ, ЈЛС, ЗЗПС, ПЗЗП</w:t>
            </w:r>
          </w:p>
        </w:tc>
        <w:tc>
          <w:tcPr>
            <w:tcW w:w="1953" w:type="dxa"/>
            <w:hideMark/>
          </w:tcPr>
          <w:p w14:paraId="4EFE3520" w14:textId="339F8E3C" w:rsidR="00873129" w:rsidRPr="00EF2F18" w:rsidRDefault="00873129" w:rsidP="00A8547A">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4.квартал 2026.</w:t>
            </w:r>
          </w:p>
        </w:tc>
        <w:tc>
          <w:tcPr>
            <w:tcW w:w="1750" w:type="dxa"/>
            <w:hideMark/>
          </w:tcPr>
          <w:p w14:paraId="0948E6FE" w14:textId="3297CBE9" w:rsidR="00873129" w:rsidRPr="00EF2F18" w:rsidRDefault="007034C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4CD253FF" w14:textId="56584E4A" w:rsidR="00873129" w:rsidRPr="00EF2F18" w:rsidRDefault="00873129" w:rsidP="00752CA0">
            <w:pPr>
              <w:spacing w:after="0"/>
              <w:rPr>
                <w:rFonts w:eastAsia="Times New Roman" w:cs="Times New Roman"/>
                <w:color w:val="000000"/>
                <w:sz w:val="20"/>
                <w:szCs w:val="20"/>
                <w:lang w:val="sr-Cyrl-RS" w:eastAsia="sr-Cyrl-RS"/>
              </w:rPr>
            </w:pPr>
          </w:p>
        </w:tc>
        <w:tc>
          <w:tcPr>
            <w:tcW w:w="1075" w:type="dxa"/>
          </w:tcPr>
          <w:p w14:paraId="17D1E559" w14:textId="42706AA7" w:rsidR="00873129" w:rsidRPr="00EF2F18" w:rsidRDefault="00873129" w:rsidP="00752CA0">
            <w:pPr>
              <w:spacing w:after="0"/>
              <w:jc w:val="right"/>
              <w:rPr>
                <w:rFonts w:eastAsia="Times New Roman" w:cs="Times New Roman"/>
                <w:color w:val="000000"/>
                <w:sz w:val="20"/>
                <w:szCs w:val="20"/>
                <w:lang w:val="sr-Cyrl-RS" w:eastAsia="sr-Cyrl-RS"/>
              </w:rPr>
            </w:pPr>
          </w:p>
        </w:tc>
        <w:tc>
          <w:tcPr>
            <w:tcW w:w="1170" w:type="dxa"/>
          </w:tcPr>
          <w:p w14:paraId="6A583A6E" w14:textId="4D5DC6A2" w:rsidR="00873129" w:rsidRPr="00EF2F18" w:rsidRDefault="00873129" w:rsidP="00752CA0">
            <w:pPr>
              <w:spacing w:after="0"/>
              <w:jc w:val="right"/>
              <w:rPr>
                <w:rFonts w:eastAsia="Times New Roman" w:cs="Times New Roman"/>
                <w:color w:val="000000"/>
                <w:sz w:val="20"/>
                <w:szCs w:val="20"/>
                <w:lang w:val="sr-Cyrl-RS" w:eastAsia="sr-Cyrl-RS"/>
              </w:rPr>
            </w:pPr>
          </w:p>
        </w:tc>
        <w:tc>
          <w:tcPr>
            <w:tcW w:w="1350" w:type="dxa"/>
            <w:gridSpan w:val="2"/>
          </w:tcPr>
          <w:p w14:paraId="55C68984" w14:textId="583EDF51" w:rsidR="00873129" w:rsidRPr="00EF2F18" w:rsidRDefault="00873129" w:rsidP="00752CA0">
            <w:pPr>
              <w:spacing w:after="0"/>
              <w:jc w:val="right"/>
              <w:rPr>
                <w:rFonts w:eastAsia="Times New Roman" w:cs="Times New Roman"/>
                <w:color w:val="000000"/>
                <w:sz w:val="20"/>
                <w:szCs w:val="20"/>
                <w:lang w:val="sr-Cyrl-RS" w:eastAsia="sr-Cyrl-RS"/>
              </w:rPr>
            </w:pPr>
          </w:p>
        </w:tc>
      </w:tr>
    </w:tbl>
    <w:p w14:paraId="73F788A0" w14:textId="656698A5" w:rsidR="007D7243" w:rsidRPr="00EF2F18" w:rsidRDefault="00625841" w:rsidP="007D7243">
      <w:pPr>
        <w:tabs>
          <w:tab w:val="left" w:pos="1940"/>
        </w:tabs>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7A4165D9" w14:textId="77777777" w:rsidR="007D7243" w:rsidRPr="00EF2F18" w:rsidRDefault="007D7243" w:rsidP="007D7243">
      <w:pPr>
        <w:spacing w:after="0"/>
        <w:ind w:right="-1464"/>
        <w:rPr>
          <w:rFonts w:cs="Times New Roman"/>
          <w:sz w:val="20"/>
          <w:szCs w:val="20"/>
          <w:lang w:val="sr-Cyrl-RS"/>
        </w:rPr>
      </w:pPr>
    </w:p>
    <w:tbl>
      <w:tblPr>
        <w:tblW w:w="1375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505"/>
        <w:gridCol w:w="775"/>
        <w:gridCol w:w="1000"/>
        <w:gridCol w:w="1520"/>
        <w:gridCol w:w="1295"/>
        <w:gridCol w:w="1530"/>
        <w:gridCol w:w="1510"/>
        <w:gridCol w:w="20"/>
      </w:tblGrid>
      <w:tr w:rsidR="007D7243" w:rsidRPr="00EF2F18" w14:paraId="5861F581" w14:textId="77777777" w:rsidTr="003F57E1">
        <w:trPr>
          <w:gridAfter w:val="1"/>
          <w:wAfter w:w="20" w:type="dxa"/>
          <w:trHeight w:val="336"/>
        </w:trPr>
        <w:tc>
          <w:tcPr>
            <w:tcW w:w="13735" w:type="dxa"/>
            <w:gridSpan w:val="9"/>
            <w:shd w:val="clear" w:color="000000" w:fill="F7CAAC"/>
            <w:vAlign w:val="center"/>
            <w:hideMark/>
          </w:tcPr>
          <w:p w14:paraId="39ED1C42"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1.1.12: Ограничавање потрошње флуорованих гасова са ефектом стаклене баште</w:t>
            </w:r>
          </w:p>
        </w:tc>
      </w:tr>
      <w:tr w:rsidR="007D7243" w:rsidRPr="00EF2F18" w14:paraId="3F2BF5EA" w14:textId="77777777" w:rsidTr="003F57E1">
        <w:trPr>
          <w:gridAfter w:val="1"/>
          <w:wAfter w:w="20" w:type="dxa"/>
          <w:trHeight w:val="336"/>
        </w:trPr>
        <w:tc>
          <w:tcPr>
            <w:tcW w:w="13735" w:type="dxa"/>
            <w:gridSpan w:val="9"/>
            <w:shd w:val="clear" w:color="000000" w:fill="F7CAAC"/>
            <w:vAlign w:val="center"/>
            <w:hideMark/>
          </w:tcPr>
          <w:p w14:paraId="4114346C"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w:t>
            </w:r>
          </w:p>
        </w:tc>
      </w:tr>
      <w:tr w:rsidR="007D7243" w:rsidRPr="00EF2F18" w14:paraId="3315ACE6" w14:textId="77777777" w:rsidTr="003F57E1">
        <w:trPr>
          <w:gridAfter w:val="1"/>
          <w:wAfter w:w="20" w:type="dxa"/>
          <w:trHeight w:val="336"/>
        </w:trPr>
        <w:tc>
          <w:tcPr>
            <w:tcW w:w="6880" w:type="dxa"/>
            <w:gridSpan w:val="4"/>
            <w:shd w:val="clear" w:color="000000" w:fill="F7CAAC"/>
            <w:vAlign w:val="center"/>
            <w:hideMark/>
          </w:tcPr>
          <w:p w14:paraId="1485F451" w14:textId="55A09E24"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 202</w:t>
            </w:r>
            <w:r w:rsidR="00081FB7"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6855" w:type="dxa"/>
            <w:gridSpan w:val="5"/>
            <w:shd w:val="clear" w:color="000000" w:fill="F7CAAC"/>
            <w:vAlign w:val="center"/>
            <w:hideMark/>
          </w:tcPr>
          <w:p w14:paraId="71FA86E3"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информативно-едукативна</w:t>
            </w:r>
          </w:p>
        </w:tc>
      </w:tr>
      <w:tr w:rsidR="007D7243" w:rsidRPr="00EF2F18" w14:paraId="6EB9051B" w14:textId="77777777" w:rsidTr="003F57E1">
        <w:trPr>
          <w:gridAfter w:val="1"/>
          <w:wAfter w:w="20" w:type="dxa"/>
          <w:trHeight w:val="504"/>
        </w:trPr>
        <w:tc>
          <w:tcPr>
            <w:tcW w:w="6880" w:type="dxa"/>
            <w:gridSpan w:val="4"/>
            <w:shd w:val="clear" w:color="000000" w:fill="F7CAAC"/>
            <w:vAlign w:val="center"/>
            <w:hideMark/>
          </w:tcPr>
          <w:p w14:paraId="6196C5E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855" w:type="dxa"/>
            <w:gridSpan w:val="5"/>
            <w:shd w:val="clear" w:color="000000" w:fill="F7CAAC"/>
            <w:vAlign w:val="center"/>
            <w:hideMark/>
          </w:tcPr>
          <w:p w14:paraId="7032FA4B"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Уредба о поступању са флуорованим гасовима са ефектом стаклене баште, као и дозволама за увоз и извоз тих гасова</w:t>
            </w:r>
          </w:p>
        </w:tc>
      </w:tr>
      <w:tr w:rsidR="003F57E1" w:rsidRPr="00EF2F18" w14:paraId="5D9D1B65" w14:textId="77777777" w:rsidTr="007620E6">
        <w:trPr>
          <w:trHeight w:val="816"/>
        </w:trPr>
        <w:tc>
          <w:tcPr>
            <w:tcW w:w="3320" w:type="dxa"/>
            <w:shd w:val="clear" w:color="000000" w:fill="D9D9D9"/>
            <w:hideMark/>
          </w:tcPr>
          <w:p w14:paraId="4B05D25F"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39646034"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505" w:type="dxa"/>
            <w:shd w:val="clear" w:color="000000" w:fill="D9D9D9"/>
            <w:hideMark/>
          </w:tcPr>
          <w:p w14:paraId="5ACB6EA0"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775" w:type="dxa"/>
            <w:gridSpan w:val="2"/>
            <w:shd w:val="clear" w:color="000000" w:fill="D9D9D9"/>
            <w:hideMark/>
          </w:tcPr>
          <w:p w14:paraId="495FD1C2"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7BFECCF3"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95" w:type="dxa"/>
            <w:shd w:val="clear" w:color="000000" w:fill="D9D9D9"/>
            <w:hideMark/>
          </w:tcPr>
          <w:p w14:paraId="7C6ABA95"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shd w:val="clear" w:color="000000" w:fill="D9D9D9"/>
            <w:hideMark/>
          </w:tcPr>
          <w:p w14:paraId="2584F0AC"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gridSpan w:val="2"/>
            <w:shd w:val="clear" w:color="000000" w:fill="D9D9D9"/>
            <w:hideMark/>
          </w:tcPr>
          <w:p w14:paraId="7811CAC7"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3F57E1" w:rsidRPr="00EF2F18" w14:paraId="27918A7A" w14:textId="77777777" w:rsidTr="007620E6">
        <w:trPr>
          <w:trHeight w:val="537"/>
        </w:trPr>
        <w:tc>
          <w:tcPr>
            <w:tcW w:w="3320" w:type="dxa"/>
            <w:shd w:val="clear" w:color="000000" w:fill="FFFFFF"/>
            <w:hideMark/>
          </w:tcPr>
          <w:p w14:paraId="6F30C921" w14:textId="7316FC60"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смањења потрошње флуорованих гасова у односу на базну потрошњу у 2024.</w:t>
            </w:r>
          </w:p>
        </w:tc>
        <w:tc>
          <w:tcPr>
            <w:tcW w:w="1280" w:type="dxa"/>
            <w:shd w:val="clear" w:color="000000" w:fill="FFFFFF"/>
            <w:hideMark/>
          </w:tcPr>
          <w:p w14:paraId="3DA0F638"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05" w:type="dxa"/>
            <w:shd w:val="clear" w:color="000000" w:fill="FFFFFF"/>
            <w:hideMark/>
          </w:tcPr>
          <w:p w14:paraId="6312864D" w14:textId="3E2425B7" w:rsidR="003F57E1" w:rsidRPr="00EF2F18" w:rsidRDefault="00DA6388" w:rsidP="00752CA0">
            <w:pPr>
              <w:spacing w:after="0"/>
              <w:jc w:val="center"/>
              <w:rPr>
                <w:rFonts w:eastAsia="Times New Roman" w:cs="Times New Roman"/>
                <w:color w:val="000000"/>
                <w:sz w:val="18"/>
                <w:szCs w:val="18"/>
                <w:lang w:val="sr-Cyrl-RS" w:eastAsia="sr-Cyrl-RS"/>
              </w:rPr>
            </w:pPr>
            <w:r w:rsidRPr="00EF2F18">
              <w:rPr>
                <w:rFonts w:eastAsia="Times New Roman" w:cs="Times New Roman"/>
                <w:sz w:val="18"/>
                <w:szCs w:val="18"/>
                <w:lang w:val="sr-Cyrl-RS" w:eastAsia="sr-Cyrl-RS"/>
              </w:rPr>
              <w:t xml:space="preserve">Извештај о стању животне средине у Републици Србији и Национални инвентар емисија гасова са ефектом стаклене баште </w:t>
            </w:r>
          </w:p>
        </w:tc>
        <w:tc>
          <w:tcPr>
            <w:tcW w:w="1775" w:type="dxa"/>
            <w:gridSpan w:val="2"/>
            <w:shd w:val="clear" w:color="000000" w:fill="FFFFFF"/>
            <w:hideMark/>
          </w:tcPr>
          <w:p w14:paraId="58B72E82"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20" w:type="dxa"/>
            <w:shd w:val="clear" w:color="000000" w:fill="FFFFFF"/>
            <w:hideMark/>
          </w:tcPr>
          <w:p w14:paraId="068018B5"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2024.</w:t>
            </w:r>
          </w:p>
        </w:tc>
        <w:tc>
          <w:tcPr>
            <w:tcW w:w="1295" w:type="dxa"/>
            <w:shd w:val="clear" w:color="000000" w:fill="FFFFFF"/>
            <w:hideMark/>
          </w:tcPr>
          <w:p w14:paraId="75471252"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0" w:type="dxa"/>
            <w:shd w:val="clear" w:color="000000" w:fill="FFFFFF"/>
            <w:hideMark/>
          </w:tcPr>
          <w:p w14:paraId="4296BFE9"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0" w:type="dxa"/>
            <w:gridSpan w:val="2"/>
            <w:shd w:val="clear" w:color="000000" w:fill="FFFFFF"/>
            <w:hideMark/>
          </w:tcPr>
          <w:p w14:paraId="2C4D2BAE"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r>
    </w:tbl>
    <w:p w14:paraId="157A431D" w14:textId="1F870C41" w:rsidR="007D7243" w:rsidRPr="00EF2F18" w:rsidRDefault="007D7243" w:rsidP="009D70DA">
      <w:pPr>
        <w:spacing w:after="0"/>
        <w:ind w:right="352"/>
        <w:rPr>
          <w:rFonts w:cs="Times New Roman"/>
          <w:sz w:val="20"/>
          <w:szCs w:val="20"/>
          <w:lang w:val="sr-Cyrl-RS"/>
        </w:rPr>
      </w:pPr>
      <w:r w:rsidRPr="00EF2F18">
        <w:rPr>
          <w:rFonts w:cs="Times New Roman"/>
          <w:sz w:val="20"/>
          <w:szCs w:val="20"/>
          <w:lang w:val="sr-Cyrl-RS"/>
        </w:rPr>
        <w:t>*Циљана вредност је одређена за 2029. годину и</w:t>
      </w:r>
      <w:r w:rsidR="00FA7222" w:rsidRPr="00EF2F18">
        <w:rPr>
          <w:rFonts w:cs="Times New Roman"/>
          <w:sz w:val="20"/>
          <w:szCs w:val="20"/>
          <w:lang w:val="sr-Cyrl-RS"/>
        </w:rPr>
        <w:t xml:space="preserve"> </w:t>
      </w:r>
      <w:r w:rsidRPr="00EF2F18">
        <w:rPr>
          <w:rFonts w:cs="Times New Roman"/>
          <w:sz w:val="20"/>
          <w:szCs w:val="20"/>
          <w:lang w:val="sr-Cyrl-RS"/>
        </w:rPr>
        <w:t>износи 10%, према преузетим обавезама Републике Србије за смањење потрошње флуорованих гасова</w:t>
      </w:r>
      <w:r w:rsidR="00FA7222" w:rsidRPr="00EF2F18">
        <w:rPr>
          <w:rFonts w:cs="Times New Roman"/>
          <w:sz w:val="20"/>
          <w:szCs w:val="20"/>
          <w:lang w:val="sr-Cyrl-RS"/>
        </w:rPr>
        <w:t xml:space="preserve"> </w:t>
      </w:r>
      <w:r w:rsidRPr="00EF2F18">
        <w:rPr>
          <w:rFonts w:cs="Times New Roman"/>
          <w:sz w:val="20"/>
          <w:szCs w:val="20"/>
          <w:lang w:val="sr-Cyrl-RS"/>
        </w:rPr>
        <w:t>у складу са међународним уговором</w:t>
      </w:r>
      <w:r w:rsidR="00FA7222" w:rsidRPr="00EF2F18">
        <w:rPr>
          <w:rFonts w:cs="Times New Roman"/>
          <w:sz w:val="20"/>
          <w:szCs w:val="20"/>
          <w:lang w:val="sr-Cyrl-RS"/>
        </w:rPr>
        <w:t xml:space="preserve"> </w:t>
      </w:r>
    </w:p>
    <w:p w14:paraId="0E6D6C61" w14:textId="77777777" w:rsidR="007D7243" w:rsidRPr="00EF2F18" w:rsidRDefault="007D7243" w:rsidP="007D7243">
      <w:pPr>
        <w:spacing w:after="0"/>
        <w:rPr>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564"/>
        <w:gridCol w:w="2531"/>
        <w:gridCol w:w="2250"/>
        <w:gridCol w:w="2520"/>
      </w:tblGrid>
      <w:tr w:rsidR="007D7243" w:rsidRPr="00EF2F18" w14:paraId="50E18245" w14:textId="77777777" w:rsidTr="003F57E1">
        <w:trPr>
          <w:trHeight w:val="336"/>
        </w:trPr>
        <w:tc>
          <w:tcPr>
            <w:tcW w:w="3800" w:type="dxa"/>
            <w:vMerge w:val="restart"/>
            <w:shd w:val="clear" w:color="000000" w:fill="A8D08D"/>
            <w:hideMark/>
          </w:tcPr>
          <w:p w14:paraId="16E38B9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64" w:type="dxa"/>
            <w:vMerge w:val="restart"/>
            <w:shd w:val="clear" w:color="000000" w:fill="A8D08D"/>
            <w:hideMark/>
          </w:tcPr>
          <w:p w14:paraId="326F359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01" w:type="dxa"/>
            <w:gridSpan w:val="3"/>
            <w:shd w:val="clear" w:color="000000" w:fill="A8D08D"/>
            <w:hideMark/>
          </w:tcPr>
          <w:p w14:paraId="6F66AC0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3F57E1" w:rsidRPr="00EF2F18" w14:paraId="298A82D6" w14:textId="77777777" w:rsidTr="003F57E1">
        <w:trPr>
          <w:trHeight w:val="402"/>
        </w:trPr>
        <w:tc>
          <w:tcPr>
            <w:tcW w:w="3800" w:type="dxa"/>
            <w:vMerge/>
            <w:vAlign w:val="center"/>
            <w:hideMark/>
          </w:tcPr>
          <w:p w14:paraId="764F7E16"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2564" w:type="dxa"/>
            <w:vMerge/>
            <w:vAlign w:val="center"/>
            <w:hideMark/>
          </w:tcPr>
          <w:p w14:paraId="62A4F6D8"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2531" w:type="dxa"/>
            <w:shd w:val="clear" w:color="000000" w:fill="A8D08D"/>
            <w:hideMark/>
          </w:tcPr>
          <w:p w14:paraId="7ACD85C7" w14:textId="43399DBB"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250" w:type="dxa"/>
            <w:shd w:val="clear" w:color="000000" w:fill="A8D08D"/>
            <w:hideMark/>
          </w:tcPr>
          <w:p w14:paraId="39922080" w14:textId="2DD41354"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520" w:type="dxa"/>
            <w:shd w:val="clear" w:color="000000" w:fill="A8D08D"/>
            <w:hideMark/>
          </w:tcPr>
          <w:p w14:paraId="35F5960F" w14:textId="737F5B5E"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3F57E1" w:rsidRPr="00EF2F18" w14:paraId="7D9354AC" w14:textId="77777777" w:rsidTr="003F57E1">
        <w:trPr>
          <w:trHeight w:val="324"/>
        </w:trPr>
        <w:tc>
          <w:tcPr>
            <w:tcW w:w="3800" w:type="dxa"/>
            <w:shd w:val="clear" w:color="000000" w:fill="FFFFFF"/>
            <w:vAlign w:val="center"/>
            <w:hideMark/>
          </w:tcPr>
          <w:p w14:paraId="41CA06DC" w14:textId="7C76FEBA"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564" w:type="dxa"/>
            <w:shd w:val="clear" w:color="000000" w:fill="FFFFFF"/>
            <w:vAlign w:val="center"/>
            <w:hideMark/>
          </w:tcPr>
          <w:p w14:paraId="7E760BD2" w14:textId="77777777"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531" w:type="dxa"/>
            <w:shd w:val="clear" w:color="000000" w:fill="FFFFFF"/>
            <w:vAlign w:val="center"/>
            <w:hideMark/>
          </w:tcPr>
          <w:p w14:paraId="3A12EC74" w14:textId="77777777" w:rsidR="003F57E1" w:rsidRPr="00EF2F18" w:rsidRDefault="003F57E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c>
          <w:tcPr>
            <w:tcW w:w="2250" w:type="dxa"/>
            <w:shd w:val="clear" w:color="000000" w:fill="FFFFFF"/>
            <w:vAlign w:val="center"/>
            <w:hideMark/>
          </w:tcPr>
          <w:p w14:paraId="0305E2EE" w14:textId="77777777" w:rsidR="003F57E1" w:rsidRPr="00EF2F18" w:rsidRDefault="003F57E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c>
          <w:tcPr>
            <w:tcW w:w="2520" w:type="dxa"/>
            <w:shd w:val="clear" w:color="000000" w:fill="FFFFFF"/>
            <w:vAlign w:val="center"/>
            <w:hideMark/>
          </w:tcPr>
          <w:p w14:paraId="13DF6E33" w14:textId="77777777" w:rsidR="003F57E1" w:rsidRPr="00EF2F18" w:rsidRDefault="003F57E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r>
    </w:tbl>
    <w:p w14:paraId="18243988" w14:textId="77777777" w:rsidR="007D7243" w:rsidRPr="00EF2F18" w:rsidRDefault="007D7243" w:rsidP="007D7243">
      <w:pPr>
        <w:spacing w:after="0"/>
        <w:rPr>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1278"/>
        <w:gridCol w:w="1399"/>
        <w:gridCol w:w="1182"/>
        <w:gridCol w:w="1400"/>
        <w:gridCol w:w="1340"/>
        <w:gridCol w:w="1242"/>
        <w:gridCol w:w="1350"/>
        <w:gridCol w:w="1530"/>
      </w:tblGrid>
      <w:tr w:rsidR="007D7243" w:rsidRPr="00EF2F18" w14:paraId="4E180741" w14:textId="77777777" w:rsidTr="003F57E1">
        <w:trPr>
          <w:trHeight w:val="696"/>
        </w:trPr>
        <w:tc>
          <w:tcPr>
            <w:tcW w:w="2954" w:type="dxa"/>
            <w:vMerge w:val="restart"/>
            <w:shd w:val="clear" w:color="000000" w:fill="FFF2CC"/>
            <w:hideMark/>
          </w:tcPr>
          <w:p w14:paraId="40BFD16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8" w:type="dxa"/>
            <w:vMerge w:val="restart"/>
            <w:shd w:val="clear" w:color="000000" w:fill="FFF2CC"/>
            <w:hideMark/>
          </w:tcPr>
          <w:p w14:paraId="19D027D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99" w:type="dxa"/>
            <w:vMerge w:val="restart"/>
            <w:shd w:val="clear" w:color="000000" w:fill="FFF2CC"/>
            <w:hideMark/>
          </w:tcPr>
          <w:p w14:paraId="6195466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36BA114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1B362F1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08B9F5E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22" w:type="dxa"/>
            <w:gridSpan w:val="3"/>
            <w:shd w:val="clear" w:color="000000" w:fill="FFF2CC"/>
            <w:hideMark/>
          </w:tcPr>
          <w:p w14:paraId="611A6EC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3F57E1" w:rsidRPr="00EF2F18" w14:paraId="0998557A" w14:textId="77777777" w:rsidTr="003F57E1">
        <w:trPr>
          <w:trHeight w:val="441"/>
        </w:trPr>
        <w:tc>
          <w:tcPr>
            <w:tcW w:w="2954" w:type="dxa"/>
            <w:vMerge/>
            <w:vAlign w:val="center"/>
            <w:hideMark/>
          </w:tcPr>
          <w:p w14:paraId="0ADB2F58"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1278" w:type="dxa"/>
            <w:vMerge/>
            <w:vAlign w:val="center"/>
            <w:hideMark/>
          </w:tcPr>
          <w:p w14:paraId="15B3F792"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1399" w:type="dxa"/>
            <w:vMerge/>
            <w:vAlign w:val="center"/>
            <w:hideMark/>
          </w:tcPr>
          <w:p w14:paraId="342D6326"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1182" w:type="dxa"/>
            <w:vMerge/>
            <w:vAlign w:val="center"/>
            <w:hideMark/>
          </w:tcPr>
          <w:p w14:paraId="4C416ABE"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1400" w:type="dxa"/>
            <w:vMerge/>
            <w:vAlign w:val="center"/>
            <w:hideMark/>
          </w:tcPr>
          <w:p w14:paraId="04A8CEDF"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1340" w:type="dxa"/>
            <w:vMerge/>
            <w:vAlign w:val="center"/>
            <w:hideMark/>
          </w:tcPr>
          <w:p w14:paraId="5B14FE4D" w14:textId="77777777" w:rsidR="003F57E1" w:rsidRPr="00EF2F18" w:rsidRDefault="003F57E1" w:rsidP="00752CA0">
            <w:pPr>
              <w:spacing w:after="0"/>
              <w:rPr>
                <w:rFonts w:eastAsia="Times New Roman" w:cs="Times New Roman"/>
                <w:color w:val="000000"/>
                <w:sz w:val="20"/>
                <w:szCs w:val="20"/>
                <w:lang w:val="sr-Cyrl-RS" w:eastAsia="sr-Cyrl-RS"/>
              </w:rPr>
            </w:pPr>
          </w:p>
        </w:tc>
        <w:tc>
          <w:tcPr>
            <w:tcW w:w="1242" w:type="dxa"/>
            <w:shd w:val="clear" w:color="000000" w:fill="FFF2CC"/>
            <w:hideMark/>
          </w:tcPr>
          <w:p w14:paraId="1A13FBB3" w14:textId="1168D635"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0BABB49C" w14:textId="3DC16C6F"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530" w:type="dxa"/>
            <w:shd w:val="clear" w:color="000000" w:fill="FFF2CC"/>
            <w:hideMark/>
          </w:tcPr>
          <w:p w14:paraId="553C6916" w14:textId="4069AC7A"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3F57E1" w:rsidRPr="00EF2F18" w14:paraId="12B40B70" w14:textId="77777777" w:rsidTr="003F57E1">
        <w:trPr>
          <w:trHeight w:val="1332"/>
        </w:trPr>
        <w:tc>
          <w:tcPr>
            <w:tcW w:w="2954" w:type="dxa"/>
            <w:hideMark/>
          </w:tcPr>
          <w:p w14:paraId="0D7C8E25" w14:textId="08623F31"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1.1.12.</w:t>
            </w:r>
            <w:r w:rsidR="0041694A"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 xml:space="preserve"> Континуиране обуке за сертификована лица која обављају одређене делатности у вези са флуорованим гасовима са ефектом стаклене баште</w:t>
            </w:r>
          </w:p>
        </w:tc>
        <w:tc>
          <w:tcPr>
            <w:tcW w:w="1278" w:type="dxa"/>
            <w:hideMark/>
          </w:tcPr>
          <w:p w14:paraId="7E65D9B6" w14:textId="77777777"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99" w:type="dxa"/>
            <w:hideMark/>
          </w:tcPr>
          <w:p w14:paraId="245E04C5" w14:textId="77777777"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45E9B18A" w14:textId="77777777" w:rsidR="003F57E1" w:rsidRPr="00EF2F18" w:rsidRDefault="003F57E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314CC8E9" w14:textId="00F5890F"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69C45AF3" w14:textId="77777777" w:rsidR="003F57E1" w:rsidRPr="00EF2F18" w:rsidRDefault="003F57E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42" w:type="dxa"/>
            <w:hideMark/>
          </w:tcPr>
          <w:p w14:paraId="754C7BD1" w14:textId="77777777" w:rsidR="003F57E1" w:rsidRPr="00EF2F18" w:rsidRDefault="003F57E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c>
          <w:tcPr>
            <w:tcW w:w="1350" w:type="dxa"/>
            <w:hideMark/>
          </w:tcPr>
          <w:p w14:paraId="1236EA94" w14:textId="77777777" w:rsidR="003F57E1" w:rsidRPr="00EF2F18" w:rsidRDefault="003F57E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c>
          <w:tcPr>
            <w:tcW w:w="1530" w:type="dxa"/>
            <w:hideMark/>
          </w:tcPr>
          <w:p w14:paraId="5FD1E7BC" w14:textId="77777777" w:rsidR="003F57E1" w:rsidRPr="00EF2F18" w:rsidRDefault="003F57E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r>
    </w:tbl>
    <w:p w14:paraId="20278FFF" w14:textId="2BDD9FC3" w:rsidR="007D7243" w:rsidRPr="00EF2F18" w:rsidRDefault="00625841" w:rsidP="007D7243">
      <w:pPr>
        <w:tabs>
          <w:tab w:val="left" w:pos="1940"/>
        </w:tabs>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25FAC53E" w14:textId="563CD3BA" w:rsidR="007620E6" w:rsidRPr="00EF2F18" w:rsidRDefault="007620E6" w:rsidP="007D7243">
      <w:pPr>
        <w:tabs>
          <w:tab w:val="left" w:pos="1940"/>
        </w:tabs>
        <w:spacing w:after="0"/>
        <w:rPr>
          <w:rFonts w:cs="Times New Roman"/>
          <w:sz w:val="20"/>
          <w:szCs w:val="20"/>
          <w:lang w:val="sr-Cyrl-RS"/>
        </w:rPr>
      </w:pPr>
    </w:p>
    <w:tbl>
      <w:tblPr>
        <w:tblW w:w="139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347"/>
        <w:gridCol w:w="1653"/>
        <w:gridCol w:w="1439"/>
        <w:gridCol w:w="1230"/>
        <w:gridCol w:w="1049"/>
        <w:gridCol w:w="1617"/>
        <w:gridCol w:w="1710"/>
        <w:gridCol w:w="1620"/>
        <w:gridCol w:w="236"/>
      </w:tblGrid>
      <w:tr w:rsidR="007D7243" w:rsidRPr="00EF2F18" w14:paraId="6007A291" w14:textId="77777777" w:rsidTr="0041694A">
        <w:trPr>
          <w:gridAfter w:val="1"/>
          <w:wAfter w:w="236" w:type="dxa"/>
          <w:trHeight w:val="336"/>
        </w:trPr>
        <w:tc>
          <w:tcPr>
            <w:tcW w:w="13665" w:type="dxa"/>
            <w:gridSpan w:val="8"/>
            <w:shd w:val="clear" w:color="000000" w:fill="C5E0B3"/>
            <w:vAlign w:val="center"/>
            <w:hideMark/>
          </w:tcPr>
          <w:p w14:paraId="5FA88BCA" w14:textId="77777777" w:rsidR="007D7243" w:rsidRPr="00EF2F18" w:rsidRDefault="007D7243" w:rsidP="00752CA0">
            <w:pPr>
              <w:spacing w:after="0"/>
              <w:rPr>
                <w:rFonts w:eastAsia="Times New Roman" w:cs="Times New Roman"/>
                <w:b/>
                <w:bCs/>
                <w:color w:val="000000"/>
                <w:sz w:val="20"/>
                <w:szCs w:val="20"/>
                <w:lang w:val="sr-Cyrl-RS" w:eastAsia="sr-Cyrl-RS"/>
              </w:rPr>
            </w:pPr>
            <w:bookmarkStart w:id="164" w:name="RANGE!A13"/>
            <w:r w:rsidRPr="00EF2F18">
              <w:rPr>
                <w:rFonts w:eastAsia="Times New Roman" w:cs="Times New Roman"/>
                <w:b/>
                <w:bCs/>
                <w:color w:val="000000"/>
                <w:sz w:val="20"/>
                <w:szCs w:val="20"/>
                <w:lang w:val="sr-Cyrl-RS" w:eastAsia="sr-Cyrl-RS"/>
              </w:rPr>
              <w:t>Посебан циљ 1.2: Повећање отпорности на климатске промене</w:t>
            </w:r>
            <w:bookmarkEnd w:id="164"/>
          </w:p>
        </w:tc>
      </w:tr>
      <w:tr w:rsidR="007D7243" w:rsidRPr="00EF2F18" w14:paraId="011ADA4A" w14:textId="77777777" w:rsidTr="0041694A">
        <w:trPr>
          <w:gridAfter w:val="1"/>
          <w:wAfter w:w="236" w:type="dxa"/>
          <w:trHeight w:val="324"/>
        </w:trPr>
        <w:tc>
          <w:tcPr>
            <w:tcW w:w="13665" w:type="dxa"/>
            <w:gridSpan w:val="8"/>
            <w:shd w:val="clear" w:color="000000" w:fill="C5E0B3"/>
            <w:vAlign w:val="center"/>
            <w:hideMark/>
          </w:tcPr>
          <w:p w14:paraId="1FF47AE1"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 xml:space="preserve">Институција одговорна за координацију и извештавање: </w:t>
            </w:r>
            <w:r w:rsidRPr="00EF2F18">
              <w:rPr>
                <w:rFonts w:eastAsia="Times New Roman" w:cs="Times New Roman"/>
                <w:color w:val="000000"/>
                <w:sz w:val="20"/>
                <w:szCs w:val="20"/>
                <w:lang w:val="sr-Cyrl-RS" w:eastAsia="sr-Cyrl-RS"/>
              </w:rPr>
              <w:t>Министарство заштите животне средине</w:t>
            </w:r>
          </w:p>
        </w:tc>
      </w:tr>
      <w:tr w:rsidR="0041694A" w:rsidRPr="00EF2F18" w14:paraId="382EB4DC" w14:textId="77777777" w:rsidTr="0041694A">
        <w:trPr>
          <w:gridAfter w:val="1"/>
          <w:wAfter w:w="236" w:type="dxa"/>
          <w:trHeight w:val="480"/>
        </w:trPr>
        <w:tc>
          <w:tcPr>
            <w:tcW w:w="3347" w:type="dxa"/>
            <w:vMerge w:val="restart"/>
            <w:shd w:val="clear" w:color="000000" w:fill="D9D9D9"/>
            <w:hideMark/>
          </w:tcPr>
          <w:p w14:paraId="7E350678"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653" w:type="dxa"/>
            <w:vMerge w:val="restart"/>
            <w:shd w:val="clear" w:color="000000" w:fill="D9D9D9"/>
            <w:hideMark/>
          </w:tcPr>
          <w:p w14:paraId="534635A3"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439" w:type="dxa"/>
            <w:vMerge w:val="restart"/>
            <w:shd w:val="clear" w:color="000000" w:fill="D9D9D9"/>
            <w:hideMark/>
          </w:tcPr>
          <w:p w14:paraId="47847FF6"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230" w:type="dxa"/>
            <w:vMerge w:val="restart"/>
            <w:shd w:val="clear" w:color="000000" w:fill="D9D9D9"/>
            <w:hideMark/>
          </w:tcPr>
          <w:p w14:paraId="412DE0BA"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049" w:type="dxa"/>
            <w:vMerge w:val="restart"/>
            <w:shd w:val="clear" w:color="000000" w:fill="D9D9D9"/>
            <w:hideMark/>
          </w:tcPr>
          <w:p w14:paraId="181309AD"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617" w:type="dxa"/>
            <w:vMerge w:val="restart"/>
            <w:shd w:val="clear" w:color="000000" w:fill="D9D9D9"/>
            <w:hideMark/>
          </w:tcPr>
          <w:p w14:paraId="632A2846"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710" w:type="dxa"/>
            <w:vMerge w:val="restart"/>
            <w:shd w:val="clear" w:color="000000" w:fill="D9D9D9"/>
            <w:hideMark/>
          </w:tcPr>
          <w:p w14:paraId="6357F811"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vMerge w:val="restart"/>
            <w:shd w:val="clear" w:color="000000" w:fill="D9D9D9"/>
            <w:hideMark/>
          </w:tcPr>
          <w:p w14:paraId="40D4A0EF"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41694A" w:rsidRPr="00EF2F18" w14:paraId="71AFB830" w14:textId="77777777" w:rsidTr="0041694A">
        <w:trPr>
          <w:trHeight w:val="324"/>
        </w:trPr>
        <w:tc>
          <w:tcPr>
            <w:tcW w:w="3347" w:type="dxa"/>
            <w:vMerge/>
            <w:vAlign w:val="center"/>
            <w:hideMark/>
          </w:tcPr>
          <w:p w14:paraId="72DD3310"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653" w:type="dxa"/>
            <w:vMerge/>
            <w:vAlign w:val="center"/>
            <w:hideMark/>
          </w:tcPr>
          <w:p w14:paraId="2AFCD02B"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439" w:type="dxa"/>
            <w:vMerge/>
            <w:vAlign w:val="center"/>
            <w:hideMark/>
          </w:tcPr>
          <w:p w14:paraId="3FCAD611"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230" w:type="dxa"/>
            <w:vMerge/>
            <w:vAlign w:val="center"/>
            <w:hideMark/>
          </w:tcPr>
          <w:p w14:paraId="638318D9"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049" w:type="dxa"/>
            <w:vMerge/>
            <w:vAlign w:val="center"/>
            <w:hideMark/>
          </w:tcPr>
          <w:p w14:paraId="375D3265"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617" w:type="dxa"/>
            <w:vMerge/>
            <w:vAlign w:val="center"/>
            <w:hideMark/>
          </w:tcPr>
          <w:p w14:paraId="2FC16178"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710" w:type="dxa"/>
            <w:vMerge/>
            <w:vAlign w:val="center"/>
            <w:hideMark/>
          </w:tcPr>
          <w:p w14:paraId="28C4F7FC"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620" w:type="dxa"/>
            <w:vMerge/>
            <w:vAlign w:val="center"/>
            <w:hideMark/>
          </w:tcPr>
          <w:p w14:paraId="276A4BA6"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236" w:type="dxa"/>
            <w:tcBorders>
              <w:top w:val="nil"/>
              <w:bottom w:val="nil"/>
              <w:right w:val="nil"/>
            </w:tcBorders>
            <w:noWrap/>
            <w:vAlign w:val="bottom"/>
            <w:hideMark/>
          </w:tcPr>
          <w:p w14:paraId="33E4F5A0" w14:textId="77777777" w:rsidR="0041694A" w:rsidRPr="00EF2F18" w:rsidRDefault="0041694A" w:rsidP="00752CA0">
            <w:pPr>
              <w:spacing w:after="0"/>
              <w:jc w:val="center"/>
              <w:rPr>
                <w:rFonts w:eastAsia="Times New Roman" w:cs="Times New Roman"/>
                <w:color w:val="000000"/>
                <w:sz w:val="20"/>
                <w:szCs w:val="20"/>
                <w:lang w:val="sr-Cyrl-RS" w:eastAsia="sr-Cyrl-RS"/>
              </w:rPr>
            </w:pPr>
          </w:p>
        </w:tc>
      </w:tr>
      <w:tr w:rsidR="0041694A" w:rsidRPr="00EF2F18" w14:paraId="6B6BB89E" w14:textId="77777777" w:rsidTr="0041694A">
        <w:trPr>
          <w:trHeight w:val="804"/>
        </w:trPr>
        <w:tc>
          <w:tcPr>
            <w:tcW w:w="3347" w:type="dxa"/>
            <w:shd w:val="clear" w:color="000000" w:fill="FFFFFF"/>
            <w:hideMark/>
          </w:tcPr>
          <w:p w14:paraId="7D3A0B0F"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Унапређен систем за ране најаве, праћење утицаја и смањење ризика од климатских промена</w:t>
            </w:r>
          </w:p>
        </w:tc>
        <w:tc>
          <w:tcPr>
            <w:tcW w:w="1653" w:type="dxa"/>
            <w:shd w:val="clear" w:color="000000" w:fill="FFFFFF"/>
            <w:hideMark/>
          </w:tcPr>
          <w:p w14:paraId="36C747F2"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да/делимично/не</w:t>
            </w:r>
          </w:p>
        </w:tc>
        <w:tc>
          <w:tcPr>
            <w:tcW w:w="1439" w:type="dxa"/>
            <w:shd w:val="clear" w:color="000000" w:fill="FFFFFF"/>
            <w:hideMark/>
          </w:tcPr>
          <w:p w14:paraId="161FCE62"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МЗЖС</w:t>
            </w:r>
          </w:p>
        </w:tc>
        <w:tc>
          <w:tcPr>
            <w:tcW w:w="1230" w:type="dxa"/>
            <w:shd w:val="clear" w:color="000000" w:fill="FFFFFF"/>
            <w:hideMark/>
          </w:tcPr>
          <w:p w14:paraId="5D3D334E"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049" w:type="dxa"/>
            <w:shd w:val="clear" w:color="000000" w:fill="FFFFFF"/>
            <w:hideMark/>
          </w:tcPr>
          <w:p w14:paraId="0FE62FE6"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2022.</w:t>
            </w:r>
          </w:p>
        </w:tc>
        <w:tc>
          <w:tcPr>
            <w:tcW w:w="1617" w:type="dxa"/>
            <w:shd w:val="clear" w:color="000000" w:fill="FFFFFF"/>
            <w:hideMark/>
          </w:tcPr>
          <w:p w14:paraId="7A7ED960"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710" w:type="dxa"/>
            <w:shd w:val="clear" w:color="000000" w:fill="FFFFFF"/>
            <w:hideMark/>
          </w:tcPr>
          <w:p w14:paraId="6F662C9C"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620" w:type="dxa"/>
            <w:shd w:val="clear" w:color="000000" w:fill="FFFFFF"/>
            <w:hideMark/>
          </w:tcPr>
          <w:p w14:paraId="3DCA5CE0"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да</w:t>
            </w:r>
          </w:p>
        </w:tc>
        <w:tc>
          <w:tcPr>
            <w:tcW w:w="236" w:type="dxa"/>
            <w:tcBorders>
              <w:top w:val="nil"/>
              <w:bottom w:val="nil"/>
              <w:right w:val="nil"/>
            </w:tcBorders>
            <w:vAlign w:val="center"/>
            <w:hideMark/>
          </w:tcPr>
          <w:p w14:paraId="1759CF20" w14:textId="77777777" w:rsidR="0041694A" w:rsidRPr="00EF2F18" w:rsidRDefault="0041694A" w:rsidP="00752CA0">
            <w:pPr>
              <w:spacing w:after="0"/>
              <w:rPr>
                <w:rFonts w:eastAsia="Times New Roman" w:cs="Times New Roman"/>
                <w:sz w:val="20"/>
                <w:szCs w:val="20"/>
                <w:lang w:val="sr-Cyrl-RS" w:eastAsia="sr-Cyrl-RS"/>
              </w:rPr>
            </w:pPr>
          </w:p>
        </w:tc>
      </w:tr>
    </w:tbl>
    <w:p w14:paraId="0D3491DB" w14:textId="687EF874" w:rsidR="007D7243" w:rsidRPr="00EF2F18" w:rsidRDefault="007D7243" w:rsidP="007D7243">
      <w:pPr>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385"/>
        <w:gridCol w:w="1350"/>
        <w:gridCol w:w="1530"/>
      </w:tblGrid>
      <w:tr w:rsidR="007D7243" w:rsidRPr="00EF2F18" w14:paraId="1718C6EC" w14:textId="77777777" w:rsidTr="0041694A">
        <w:trPr>
          <w:trHeight w:val="336"/>
        </w:trPr>
        <w:tc>
          <w:tcPr>
            <w:tcW w:w="13665" w:type="dxa"/>
            <w:gridSpan w:val="9"/>
            <w:shd w:val="clear" w:color="000000" w:fill="F7CAAC"/>
            <w:vAlign w:val="center"/>
            <w:hideMark/>
          </w:tcPr>
          <w:p w14:paraId="34CC279F"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1.2.1: Унапређење регулаторног оквира за прилагођавање на измењене климатске услове</w:t>
            </w:r>
          </w:p>
        </w:tc>
      </w:tr>
      <w:tr w:rsidR="007D7243" w:rsidRPr="00EF2F18" w14:paraId="443CB197" w14:textId="77777777" w:rsidTr="0041694A">
        <w:trPr>
          <w:trHeight w:val="336"/>
        </w:trPr>
        <w:tc>
          <w:tcPr>
            <w:tcW w:w="13665" w:type="dxa"/>
            <w:gridSpan w:val="9"/>
            <w:shd w:val="clear" w:color="000000" w:fill="F7CAAC"/>
            <w:vAlign w:val="center"/>
            <w:hideMark/>
          </w:tcPr>
          <w:p w14:paraId="2C93FC24"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12D3E5A8" w14:textId="77777777" w:rsidTr="0041694A">
        <w:trPr>
          <w:trHeight w:val="336"/>
        </w:trPr>
        <w:tc>
          <w:tcPr>
            <w:tcW w:w="6880" w:type="dxa"/>
            <w:gridSpan w:val="4"/>
            <w:shd w:val="clear" w:color="000000" w:fill="F7CAAC"/>
            <w:vAlign w:val="center"/>
            <w:hideMark/>
          </w:tcPr>
          <w:p w14:paraId="6775D6C1" w14:textId="583997DE"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081FB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-2027.</w:t>
            </w:r>
          </w:p>
        </w:tc>
        <w:tc>
          <w:tcPr>
            <w:tcW w:w="6785" w:type="dxa"/>
            <w:gridSpan w:val="5"/>
            <w:shd w:val="clear" w:color="000000" w:fill="F7CAAC"/>
            <w:vAlign w:val="center"/>
            <w:hideMark/>
          </w:tcPr>
          <w:p w14:paraId="2EBC8F5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695314FC" w14:textId="77777777" w:rsidTr="0041694A">
        <w:trPr>
          <w:trHeight w:val="336"/>
        </w:trPr>
        <w:tc>
          <w:tcPr>
            <w:tcW w:w="6880" w:type="dxa"/>
            <w:gridSpan w:val="4"/>
            <w:shd w:val="clear" w:color="000000" w:fill="F7CAAC"/>
            <w:vAlign w:val="center"/>
            <w:hideMark/>
          </w:tcPr>
          <w:p w14:paraId="661E2AD5"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85" w:type="dxa"/>
            <w:gridSpan w:val="5"/>
            <w:shd w:val="clear" w:color="000000" w:fill="F7CAAC"/>
            <w:vAlign w:val="center"/>
            <w:hideMark/>
          </w:tcPr>
          <w:p w14:paraId="2E5E0E30" w14:textId="71F8975B" w:rsidR="007D7243" w:rsidRPr="00EF2F18" w:rsidRDefault="007D7243" w:rsidP="00752CA0">
            <w:pPr>
              <w:spacing w:after="0"/>
              <w:ind w:firstLineChars="500" w:firstLine="1000"/>
              <w:rPr>
                <w:rFonts w:ascii="Symbol" w:eastAsia="Times New Roman" w:hAnsi="Symbol" w:cs="Times New Roman"/>
                <w:color w:val="000000"/>
                <w:sz w:val="20"/>
                <w:szCs w:val="20"/>
                <w:lang w:val="sr-Cyrl-RS" w:eastAsia="sr-Cyrl-RS"/>
              </w:rPr>
            </w:pPr>
            <w:r w:rsidRPr="00EF2F18">
              <w:rPr>
                <w:rFonts w:ascii="Symbol" w:eastAsia="Symbol" w:hAnsi="Symbol" w:cs="Symbol"/>
                <w:color w:val="000000"/>
                <w:sz w:val="20"/>
                <w:szCs w:val="20"/>
                <w:lang w:val="sr-Cyrl-RS" w:eastAsia="sr-Cyrl-RS"/>
              </w:rPr>
              <w:t></w:t>
            </w:r>
            <w:r w:rsidR="00FA7222" w:rsidRPr="00EF2F18">
              <w:rPr>
                <w:rFonts w:eastAsia="Symbol" w:cs="Times New Roman"/>
                <w:color w:val="000000"/>
                <w:sz w:val="14"/>
                <w:szCs w:val="14"/>
                <w:lang w:val="sr-Cyrl-RS" w:eastAsia="sr-Cyrl-RS"/>
              </w:rPr>
              <w:t xml:space="preserve">  </w:t>
            </w:r>
            <w:r w:rsidRPr="00EF2F18">
              <w:rPr>
                <w:rFonts w:eastAsia="Symbol" w:cs="Times New Roman"/>
                <w:color w:val="000000"/>
                <w:sz w:val="20"/>
                <w:szCs w:val="20"/>
                <w:lang w:val="sr-Cyrl-RS" w:eastAsia="sr-Cyrl-RS"/>
              </w:rPr>
              <w:t>Закон о климатским променама</w:t>
            </w:r>
          </w:p>
        </w:tc>
      </w:tr>
      <w:tr w:rsidR="0041694A" w:rsidRPr="00EF2F18" w14:paraId="26FB93DC" w14:textId="77777777" w:rsidTr="0041694A">
        <w:trPr>
          <w:trHeight w:val="816"/>
        </w:trPr>
        <w:tc>
          <w:tcPr>
            <w:tcW w:w="3320" w:type="dxa"/>
            <w:shd w:val="clear" w:color="000000" w:fill="D9D9D9"/>
            <w:hideMark/>
          </w:tcPr>
          <w:p w14:paraId="335907AD"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7988428C"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7B6DF8BB"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44EC1226"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2F810B28"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85" w:type="dxa"/>
            <w:shd w:val="clear" w:color="000000" w:fill="D9D9D9"/>
            <w:hideMark/>
          </w:tcPr>
          <w:p w14:paraId="7FC273BA"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shd w:val="clear" w:color="000000" w:fill="D9D9D9"/>
            <w:hideMark/>
          </w:tcPr>
          <w:p w14:paraId="61DEB36F"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shd w:val="clear" w:color="000000" w:fill="D9D9D9"/>
            <w:hideMark/>
          </w:tcPr>
          <w:p w14:paraId="379695BF"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41694A" w:rsidRPr="00EF2F18" w14:paraId="319E0D1B" w14:textId="77777777" w:rsidTr="0041694A">
        <w:trPr>
          <w:trHeight w:val="1080"/>
        </w:trPr>
        <w:tc>
          <w:tcPr>
            <w:tcW w:w="3320" w:type="dxa"/>
            <w:hideMark/>
          </w:tcPr>
          <w:p w14:paraId="1C641FBD"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Донет Закон о изменама и допунама Закона о климатским променама у делу прилагођавања на измењене климатске услове</w:t>
            </w:r>
          </w:p>
        </w:tc>
        <w:tc>
          <w:tcPr>
            <w:tcW w:w="1280" w:type="dxa"/>
            <w:hideMark/>
          </w:tcPr>
          <w:p w14:paraId="48224DB5"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hideMark/>
          </w:tcPr>
          <w:p w14:paraId="670BED7F"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Службени гласник РС</w:t>
            </w:r>
          </w:p>
        </w:tc>
        <w:tc>
          <w:tcPr>
            <w:tcW w:w="2000" w:type="dxa"/>
            <w:gridSpan w:val="2"/>
            <w:hideMark/>
          </w:tcPr>
          <w:p w14:paraId="4FA30BAF"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hideMark/>
          </w:tcPr>
          <w:p w14:paraId="3D041DA7"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hideMark/>
          </w:tcPr>
          <w:p w14:paraId="2BF74FB4"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350" w:type="dxa"/>
            <w:hideMark/>
          </w:tcPr>
          <w:p w14:paraId="49B96616"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hideMark/>
          </w:tcPr>
          <w:p w14:paraId="688E2E96"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41694A" w:rsidRPr="00EF2F18" w14:paraId="50C0B455" w14:textId="77777777" w:rsidTr="0041694A">
        <w:trPr>
          <w:trHeight w:val="1332"/>
        </w:trPr>
        <w:tc>
          <w:tcPr>
            <w:tcW w:w="3320" w:type="dxa"/>
            <w:shd w:val="clear" w:color="000000" w:fill="FFFFFF"/>
            <w:hideMark/>
          </w:tcPr>
          <w:p w14:paraId="17698BC5"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Донети подзаконски акти у складу са Законом о изменама и допунама Закона о климатским променама у делу прилагођавања на измењене климатске услове</w:t>
            </w:r>
          </w:p>
        </w:tc>
        <w:tc>
          <w:tcPr>
            <w:tcW w:w="1280" w:type="dxa"/>
            <w:shd w:val="clear" w:color="000000" w:fill="FFFFFF"/>
            <w:hideMark/>
          </w:tcPr>
          <w:p w14:paraId="4723B891"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406C6EC3"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Службени гласник РС</w:t>
            </w:r>
          </w:p>
        </w:tc>
        <w:tc>
          <w:tcPr>
            <w:tcW w:w="2000" w:type="dxa"/>
            <w:gridSpan w:val="2"/>
            <w:shd w:val="clear" w:color="000000" w:fill="FFFFFF"/>
            <w:hideMark/>
          </w:tcPr>
          <w:p w14:paraId="1AE211BF"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6DCF9D3B"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51DB3FAF"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350" w:type="dxa"/>
            <w:shd w:val="clear" w:color="000000" w:fill="FFFFFF"/>
            <w:hideMark/>
          </w:tcPr>
          <w:p w14:paraId="6326F224"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530" w:type="dxa"/>
            <w:shd w:val="clear" w:color="000000" w:fill="FFFFFF"/>
            <w:hideMark/>
          </w:tcPr>
          <w:p w14:paraId="6824398D" w14:textId="7777777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r>
    </w:tbl>
    <w:p w14:paraId="0BD3001E" w14:textId="77777777" w:rsidR="007D7243" w:rsidRPr="00EF2F18" w:rsidRDefault="007D7243" w:rsidP="007D7243">
      <w:pPr>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46"/>
        <w:gridCol w:w="2480"/>
        <w:gridCol w:w="1749"/>
        <w:gridCol w:w="540"/>
        <w:gridCol w:w="2070"/>
        <w:gridCol w:w="2880"/>
      </w:tblGrid>
      <w:tr w:rsidR="007D7243" w:rsidRPr="00EF2F18" w14:paraId="7AAF997B" w14:textId="77777777" w:rsidTr="0041694A">
        <w:trPr>
          <w:trHeight w:val="336"/>
        </w:trPr>
        <w:tc>
          <w:tcPr>
            <w:tcW w:w="3946" w:type="dxa"/>
            <w:vMerge w:val="restart"/>
            <w:shd w:val="clear" w:color="000000" w:fill="A8D08D"/>
            <w:hideMark/>
          </w:tcPr>
          <w:p w14:paraId="38B82D3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0CAB077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39" w:type="dxa"/>
            <w:gridSpan w:val="4"/>
            <w:shd w:val="clear" w:color="000000" w:fill="A8D08D"/>
            <w:hideMark/>
          </w:tcPr>
          <w:p w14:paraId="184A6FC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41694A" w:rsidRPr="00EF2F18" w14:paraId="00F69C9B" w14:textId="77777777" w:rsidTr="0041694A">
        <w:trPr>
          <w:trHeight w:val="420"/>
        </w:trPr>
        <w:tc>
          <w:tcPr>
            <w:tcW w:w="3946" w:type="dxa"/>
            <w:vMerge/>
            <w:vAlign w:val="center"/>
            <w:hideMark/>
          </w:tcPr>
          <w:p w14:paraId="3DA0029D"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2480" w:type="dxa"/>
            <w:vMerge/>
            <w:vAlign w:val="center"/>
            <w:hideMark/>
          </w:tcPr>
          <w:p w14:paraId="3E910F7C"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2289" w:type="dxa"/>
            <w:gridSpan w:val="2"/>
            <w:shd w:val="clear" w:color="000000" w:fill="A8D08D"/>
            <w:hideMark/>
          </w:tcPr>
          <w:p w14:paraId="09EB275F" w14:textId="020D7FB1"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070" w:type="dxa"/>
            <w:shd w:val="clear" w:color="000000" w:fill="A8D08D"/>
            <w:hideMark/>
          </w:tcPr>
          <w:p w14:paraId="1D522328" w14:textId="1D8CE35E"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880" w:type="dxa"/>
            <w:shd w:val="clear" w:color="000000" w:fill="A8D08D"/>
            <w:hideMark/>
          </w:tcPr>
          <w:p w14:paraId="731B7F7C" w14:textId="05F2FD5F"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41694A" w:rsidRPr="00EF2F18" w14:paraId="6D7AF9FA" w14:textId="77777777" w:rsidTr="0041694A">
        <w:trPr>
          <w:trHeight w:val="324"/>
        </w:trPr>
        <w:tc>
          <w:tcPr>
            <w:tcW w:w="3946" w:type="dxa"/>
            <w:vAlign w:val="center"/>
            <w:hideMark/>
          </w:tcPr>
          <w:p w14:paraId="4050C47E"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0FE290CC" w14:textId="1EA8E916"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2480" w:type="dxa"/>
            <w:vAlign w:val="center"/>
            <w:hideMark/>
          </w:tcPr>
          <w:p w14:paraId="01D99537"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749" w:type="dxa"/>
            <w:vAlign w:val="center"/>
            <w:hideMark/>
          </w:tcPr>
          <w:p w14:paraId="505DE858"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9.216</w:t>
            </w:r>
          </w:p>
        </w:tc>
        <w:tc>
          <w:tcPr>
            <w:tcW w:w="2610" w:type="dxa"/>
            <w:gridSpan w:val="2"/>
            <w:vAlign w:val="center"/>
            <w:hideMark/>
          </w:tcPr>
          <w:p w14:paraId="3DA75BBC"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3.950</w:t>
            </w:r>
          </w:p>
        </w:tc>
        <w:tc>
          <w:tcPr>
            <w:tcW w:w="2880" w:type="dxa"/>
            <w:vAlign w:val="center"/>
            <w:hideMark/>
          </w:tcPr>
          <w:p w14:paraId="587722B2"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21D4DA91" w14:textId="77777777" w:rsidR="007D7243" w:rsidRPr="00EF2F18" w:rsidRDefault="007D7243" w:rsidP="007D7243">
      <w:pPr>
        <w:spacing w:after="0"/>
        <w:rPr>
          <w:rFonts w:cs="Times New Roman"/>
          <w:b/>
          <w:bCs/>
          <w:sz w:val="20"/>
          <w:szCs w:val="20"/>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1228"/>
        <w:gridCol w:w="1367"/>
        <w:gridCol w:w="1182"/>
        <w:gridCol w:w="1422"/>
        <w:gridCol w:w="1340"/>
        <w:gridCol w:w="1575"/>
        <w:gridCol w:w="1350"/>
        <w:gridCol w:w="1620"/>
      </w:tblGrid>
      <w:tr w:rsidR="009C523D" w:rsidRPr="00EF2F18" w14:paraId="01BAA81E" w14:textId="77777777" w:rsidTr="0041694A">
        <w:trPr>
          <w:trHeight w:val="696"/>
        </w:trPr>
        <w:tc>
          <w:tcPr>
            <w:tcW w:w="2591" w:type="dxa"/>
            <w:vMerge w:val="restart"/>
            <w:shd w:val="clear" w:color="000000" w:fill="FFF2CC"/>
            <w:hideMark/>
          </w:tcPr>
          <w:p w14:paraId="7DD1B222" w14:textId="77777777" w:rsidR="009C523D" w:rsidRPr="00EF2F18" w:rsidRDefault="009C523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28" w:type="dxa"/>
            <w:vMerge w:val="restart"/>
            <w:shd w:val="clear" w:color="000000" w:fill="FFF2CC"/>
            <w:hideMark/>
          </w:tcPr>
          <w:p w14:paraId="70ABAACD" w14:textId="77777777" w:rsidR="009C523D" w:rsidRPr="00EF2F18" w:rsidRDefault="009C523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67" w:type="dxa"/>
            <w:vMerge w:val="restart"/>
            <w:shd w:val="clear" w:color="000000" w:fill="FFF2CC"/>
            <w:hideMark/>
          </w:tcPr>
          <w:p w14:paraId="04C45C68" w14:textId="77777777" w:rsidR="009C523D" w:rsidRPr="00EF2F18" w:rsidRDefault="009C523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7C19C4D7" w14:textId="77777777" w:rsidR="009C523D" w:rsidRPr="00EF2F18" w:rsidRDefault="009C523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22" w:type="dxa"/>
            <w:vMerge w:val="restart"/>
            <w:shd w:val="clear" w:color="000000" w:fill="FFF2CC"/>
            <w:hideMark/>
          </w:tcPr>
          <w:p w14:paraId="6C89273B" w14:textId="0F75EA55" w:rsidR="009C523D" w:rsidRPr="00EF2F18" w:rsidRDefault="009C523D" w:rsidP="00752CA0">
            <w:pPr>
              <w:spacing w:after="0"/>
              <w:jc w:val="center"/>
              <w:rPr>
                <w:rFonts w:eastAsia="Times New Roman" w:cs="Times New Roman"/>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6049A11A" w14:textId="50446FFD" w:rsidR="009C523D" w:rsidRPr="00EF2F18" w:rsidRDefault="009C523D"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545" w:type="dxa"/>
            <w:gridSpan w:val="3"/>
            <w:shd w:val="clear" w:color="000000" w:fill="FFF2CC"/>
            <w:hideMark/>
          </w:tcPr>
          <w:p w14:paraId="03B63FCF" w14:textId="77777777" w:rsidR="009C523D" w:rsidRPr="00EF2F18" w:rsidRDefault="009C523D"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41694A" w:rsidRPr="00EF2F18" w14:paraId="5C54AD3F" w14:textId="77777777" w:rsidTr="0041694A">
        <w:trPr>
          <w:trHeight w:val="441"/>
        </w:trPr>
        <w:tc>
          <w:tcPr>
            <w:tcW w:w="2591" w:type="dxa"/>
            <w:vMerge/>
            <w:vAlign w:val="center"/>
            <w:hideMark/>
          </w:tcPr>
          <w:p w14:paraId="70D0380C"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228" w:type="dxa"/>
            <w:vMerge/>
            <w:vAlign w:val="center"/>
            <w:hideMark/>
          </w:tcPr>
          <w:p w14:paraId="7F032A8E"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367" w:type="dxa"/>
            <w:vMerge/>
            <w:vAlign w:val="center"/>
            <w:hideMark/>
          </w:tcPr>
          <w:p w14:paraId="378486A4"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182" w:type="dxa"/>
            <w:vMerge/>
            <w:vAlign w:val="center"/>
            <w:hideMark/>
          </w:tcPr>
          <w:p w14:paraId="722E218F"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422" w:type="dxa"/>
            <w:vMerge/>
            <w:vAlign w:val="center"/>
            <w:hideMark/>
          </w:tcPr>
          <w:p w14:paraId="410629B8" w14:textId="77777777" w:rsidR="0041694A" w:rsidRPr="00EF2F18" w:rsidRDefault="0041694A" w:rsidP="00752CA0">
            <w:pPr>
              <w:spacing w:after="0"/>
              <w:rPr>
                <w:rFonts w:eastAsia="Times New Roman" w:cs="Times New Roman"/>
                <w:color w:val="000000"/>
                <w:sz w:val="20"/>
                <w:szCs w:val="20"/>
                <w:lang w:val="sr-Cyrl-RS" w:eastAsia="sr-Cyrl-RS"/>
              </w:rPr>
            </w:pPr>
          </w:p>
        </w:tc>
        <w:tc>
          <w:tcPr>
            <w:tcW w:w="1340" w:type="dxa"/>
            <w:vMerge/>
            <w:vAlign w:val="center"/>
            <w:hideMark/>
          </w:tcPr>
          <w:p w14:paraId="64A8FDEB" w14:textId="64B2F8F8" w:rsidR="0041694A" w:rsidRPr="00EF2F18" w:rsidRDefault="0041694A" w:rsidP="00752CA0">
            <w:pPr>
              <w:spacing w:after="0"/>
              <w:rPr>
                <w:rFonts w:eastAsia="Times New Roman" w:cs="Times New Roman"/>
                <w:color w:val="000000"/>
                <w:sz w:val="20"/>
                <w:szCs w:val="20"/>
                <w:lang w:val="sr-Cyrl-RS" w:eastAsia="sr-Cyrl-RS"/>
              </w:rPr>
            </w:pPr>
          </w:p>
        </w:tc>
        <w:tc>
          <w:tcPr>
            <w:tcW w:w="1575" w:type="dxa"/>
            <w:shd w:val="clear" w:color="000000" w:fill="FFF2CC"/>
            <w:hideMark/>
          </w:tcPr>
          <w:p w14:paraId="2F689A2F" w14:textId="310A891B"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350" w:type="dxa"/>
            <w:shd w:val="clear" w:color="000000" w:fill="FFF2CC"/>
            <w:hideMark/>
          </w:tcPr>
          <w:p w14:paraId="5AEFC348" w14:textId="7C3AA0E7"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620" w:type="dxa"/>
            <w:shd w:val="clear" w:color="000000" w:fill="FFF2CC"/>
            <w:hideMark/>
          </w:tcPr>
          <w:p w14:paraId="3B238290" w14:textId="3FF9516D" w:rsidR="0041694A" w:rsidRPr="00EF2F18" w:rsidRDefault="0041694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41694A" w:rsidRPr="00EF2F18" w14:paraId="7C4906EE" w14:textId="77777777" w:rsidTr="0041694A">
        <w:trPr>
          <w:trHeight w:val="1452"/>
        </w:trPr>
        <w:tc>
          <w:tcPr>
            <w:tcW w:w="2591" w:type="dxa"/>
            <w:hideMark/>
          </w:tcPr>
          <w:p w14:paraId="3787290C" w14:textId="61A4BB78"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1.2.1.1. Припрема и усвајање Закона о изменама и допунама Закона о климатским променама у делу прилагођавања на измењене климатске услове</w:t>
            </w:r>
          </w:p>
        </w:tc>
        <w:tc>
          <w:tcPr>
            <w:tcW w:w="1228" w:type="dxa"/>
            <w:hideMark/>
          </w:tcPr>
          <w:p w14:paraId="573E7F0F" w14:textId="77777777" w:rsidR="0041694A" w:rsidRPr="00EF2F18" w:rsidRDefault="0041694A"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18"/>
                <w:szCs w:val="18"/>
                <w:lang w:val="sr-Cyrl-RS" w:eastAsia="sr-Cyrl-RS"/>
              </w:rPr>
              <w:t>МЗЖС</w:t>
            </w:r>
          </w:p>
        </w:tc>
        <w:tc>
          <w:tcPr>
            <w:tcW w:w="1367" w:type="dxa"/>
            <w:hideMark/>
          </w:tcPr>
          <w:p w14:paraId="139D4A27" w14:textId="77777777" w:rsidR="0041694A" w:rsidRPr="00EF2F18" w:rsidRDefault="0041694A"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МРЕ, МПШВ, МГСИ, МПривреде, МФ, МЕИ, МНТРИ, МЈУ, МУП, АЗЖС, РХМЗ</w:t>
            </w:r>
          </w:p>
        </w:tc>
        <w:tc>
          <w:tcPr>
            <w:tcW w:w="1182" w:type="dxa"/>
            <w:hideMark/>
          </w:tcPr>
          <w:p w14:paraId="14327CA2" w14:textId="77777777" w:rsidR="0041694A" w:rsidRPr="00EF2F18" w:rsidRDefault="0041694A" w:rsidP="00752CA0">
            <w:pPr>
              <w:spacing w:after="0"/>
              <w:rPr>
                <w:rFonts w:eastAsia="Times New Roman" w:cs="Times New Roman"/>
                <w:color w:val="000000"/>
                <w:sz w:val="18"/>
                <w:szCs w:val="18"/>
                <w:lang w:val="sr-Cyrl-RS" w:eastAsia="sr-Cyrl-RS"/>
              </w:rPr>
            </w:pPr>
            <w:r w:rsidRPr="00EF2F18">
              <w:rPr>
                <w:rFonts w:eastAsia="Calibri" w:cs="Times New Roman"/>
                <w:color w:val="000000"/>
                <w:kern w:val="24"/>
                <w:sz w:val="20"/>
                <w:szCs w:val="20"/>
                <w:lang w:val="sr-Cyrl-RS" w:eastAsia="sr-Cyrl-RS"/>
              </w:rPr>
              <w:t>4. квартал 2026.</w:t>
            </w:r>
          </w:p>
        </w:tc>
        <w:tc>
          <w:tcPr>
            <w:tcW w:w="1422" w:type="dxa"/>
            <w:hideMark/>
          </w:tcPr>
          <w:p w14:paraId="4789908B"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 2022)</w:t>
            </w:r>
          </w:p>
          <w:p w14:paraId="2B2D0A69" w14:textId="7BAEA710"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1340" w:type="dxa"/>
          </w:tcPr>
          <w:p w14:paraId="1A7D2E8F" w14:textId="247B59B4" w:rsidR="0041694A" w:rsidRPr="00EF2F18" w:rsidRDefault="0041694A" w:rsidP="00752CA0">
            <w:pPr>
              <w:spacing w:after="0"/>
              <w:rPr>
                <w:rFonts w:eastAsia="Times New Roman" w:cs="Times New Roman"/>
                <w:color w:val="000000"/>
                <w:sz w:val="18"/>
                <w:szCs w:val="18"/>
                <w:lang w:val="sr-Cyrl-RS" w:eastAsia="sr-Cyrl-RS"/>
              </w:rPr>
            </w:pPr>
          </w:p>
        </w:tc>
        <w:tc>
          <w:tcPr>
            <w:tcW w:w="1575" w:type="dxa"/>
            <w:hideMark/>
          </w:tcPr>
          <w:p w14:paraId="14685714"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5.266</w:t>
            </w:r>
          </w:p>
        </w:tc>
        <w:tc>
          <w:tcPr>
            <w:tcW w:w="1350" w:type="dxa"/>
          </w:tcPr>
          <w:p w14:paraId="01E151F1" w14:textId="24DCFF04" w:rsidR="0041694A" w:rsidRPr="00EF2F18" w:rsidRDefault="0041694A" w:rsidP="00752CA0">
            <w:pPr>
              <w:spacing w:after="0"/>
              <w:rPr>
                <w:rFonts w:eastAsia="Times New Roman" w:cs="Times New Roman"/>
                <w:color w:val="000000"/>
                <w:sz w:val="20"/>
                <w:szCs w:val="20"/>
                <w:lang w:val="sr-Cyrl-RS" w:eastAsia="sr-Cyrl-RS"/>
              </w:rPr>
            </w:pPr>
          </w:p>
        </w:tc>
        <w:tc>
          <w:tcPr>
            <w:tcW w:w="1620" w:type="dxa"/>
          </w:tcPr>
          <w:p w14:paraId="3C113C74" w14:textId="716E05AF" w:rsidR="0041694A" w:rsidRPr="00EF2F18" w:rsidRDefault="0041694A" w:rsidP="00752CA0">
            <w:pPr>
              <w:spacing w:after="0"/>
              <w:rPr>
                <w:rFonts w:eastAsia="Times New Roman" w:cs="Times New Roman"/>
                <w:color w:val="000000"/>
                <w:sz w:val="20"/>
                <w:szCs w:val="20"/>
                <w:lang w:val="sr-Cyrl-RS" w:eastAsia="sr-Cyrl-RS"/>
              </w:rPr>
            </w:pPr>
          </w:p>
        </w:tc>
      </w:tr>
      <w:tr w:rsidR="0041694A" w:rsidRPr="00EF2F18" w14:paraId="78912306" w14:textId="77777777" w:rsidTr="0041694A">
        <w:trPr>
          <w:trHeight w:val="699"/>
        </w:trPr>
        <w:tc>
          <w:tcPr>
            <w:tcW w:w="2591" w:type="dxa"/>
            <w:hideMark/>
          </w:tcPr>
          <w:p w14:paraId="189BD2AC"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1.2.1.2. Припрема и усвајање подзаконских аката у складу са Законом о изменама и допунама Закона о климатским променама – за прилагођавање на измењене климатске услове</w:t>
            </w:r>
          </w:p>
        </w:tc>
        <w:tc>
          <w:tcPr>
            <w:tcW w:w="1228" w:type="dxa"/>
            <w:hideMark/>
          </w:tcPr>
          <w:p w14:paraId="2CEDCDDA"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7" w:type="dxa"/>
            <w:hideMark/>
          </w:tcPr>
          <w:p w14:paraId="39FEF4F8"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 МПШВ, МГСИ, МПривреде, МФ, МЕИ, МНТРИ, МЈУ, АЗЖС, РХМЗ</w:t>
            </w:r>
          </w:p>
        </w:tc>
        <w:tc>
          <w:tcPr>
            <w:tcW w:w="1182" w:type="dxa"/>
            <w:hideMark/>
          </w:tcPr>
          <w:p w14:paraId="0508A098"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422" w:type="dxa"/>
            <w:hideMark/>
          </w:tcPr>
          <w:p w14:paraId="371DF13E" w14:textId="77777777" w:rsidR="0041694A" w:rsidRPr="00EF2F18" w:rsidRDefault="0041694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 2022)</w:t>
            </w:r>
          </w:p>
          <w:p w14:paraId="4C8911B7" w14:textId="7F764378" w:rsidR="0041694A" w:rsidRPr="00EF2F18" w:rsidRDefault="0041694A"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1340" w:type="dxa"/>
          </w:tcPr>
          <w:p w14:paraId="6CF8513D" w14:textId="79F52493" w:rsidR="0041694A" w:rsidRPr="00EF2F18" w:rsidRDefault="0041694A" w:rsidP="00752CA0">
            <w:pPr>
              <w:spacing w:after="0"/>
              <w:rPr>
                <w:rFonts w:eastAsia="Times New Roman" w:cs="Times New Roman"/>
                <w:color w:val="000000"/>
                <w:sz w:val="18"/>
                <w:szCs w:val="18"/>
                <w:lang w:val="sr-Cyrl-RS" w:eastAsia="sr-Cyrl-RS"/>
              </w:rPr>
            </w:pPr>
          </w:p>
        </w:tc>
        <w:tc>
          <w:tcPr>
            <w:tcW w:w="1575" w:type="dxa"/>
            <w:hideMark/>
          </w:tcPr>
          <w:p w14:paraId="0BC41FD0"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3.950</w:t>
            </w:r>
          </w:p>
        </w:tc>
        <w:tc>
          <w:tcPr>
            <w:tcW w:w="1350" w:type="dxa"/>
            <w:hideMark/>
          </w:tcPr>
          <w:p w14:paraId="7E05142C"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3.950</w:t>
            </w:r>
          </w:p>
        </w:tc>
        <w:tc>
          <w:tcPr>
            <w:tcW w:w="1620" w:type="dxa"/>
            <w:hideMark/>
          </w:tcPr>
          <w:p w14:paraId="23E3E33B" w14:textId="77777777" w:rsidR="0041694A" w:rsidRPr="00EF2F18" w:rsidRDefault="0041694A"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72F9A027" w14:textId="77777777" w:rsidR="007D7243" w:rsidRPr="00EF2F18" w:rsidRDefault="007D7243" w:rsidP="007D7243">
      <w:pPr>
        <w:spacing w:after="0"/>
        <w:rPr>
          <w:rFonts w:cs="Times New Roman"/>
          <w:b/>
          <w:bCs/>
          <w:sz w:val="20"/>
          <w:szCs w:val="20"/>
          <w:lang w:val="sr-Cyrl-RS"/>
        </w:rPr>
      </w:pPr>
    </w:p>
    <w:p w14:paraId="6D81E57C" w14:textId="77777777" w:rsidR="007D7243" w:rsidRPr="00EF2F18" w:rsidRDefault="007D7243" w:rsidP="007D7243">
      <w:pPr>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295"/>
        <w:gridCol w:w="1350"/>
        <w:gridCol w:w="1595"/>
        <w:gridCol w:w="25"/>
      </w:tblGrid>
      <w:tr w:rsidR="007D7243" w:rsidRPr="00EF2F18" w14:paraId="61D255F6" w14:textId="77777777" w:rsidTr="00262239">
        <w:trPr>
          <w:gridAfter w:val="1"/>
          <w:wAfter w:w="25" w:type="dxa"/>
          <w:trHeight w:val="336"/>
        </w:trPr>
        <w:tc>
          <w:tcPr>
            <w:tcW w:w="13640" w:type="dxa"/>
            <w:gridSpan w:val="9"/>
            <w:shd w:val="clear" w:color="000000" w:fill="F7CAAC"/>
            <w:vAlign w:val="center"/>
            <w:hideMark/>
          </w:tcPr>
          <w:p w14:paraId="2B4DC6DA" w14:textId="57A218FE"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1.2.2: Унапређење процеса извештавања у области прилагођавања на измењене климатске услове</w:t>
            </w:r>
            <w:r w:rsidR="00FA7222" w:rsidRPr="00EF2F18">
              <w:rPr>
                <w:rFonts w:eastAsia="Times New Roman" w:cs="Times New Roman"/>
                <w:b/>
                <w:bCs/>
                <w:color w:val="000000"/>
                <w:sz w:val="20"/>
                <w:szCs w:val="20"/>
                <w:lang w:val="sr-Cyrl-RS" w:eastAsia="sr-Cyrl-RS"/>
              </w:rPr>
              <w:t xml:space="preserve"> </w:t>
            </w:r>
          </w:p>
        </w:tc>
      </w:tr>
      <w:tr w:rsidR="007D7243" w:rsidRPr="00EF2F18" w14:paraId="60FD065C" w14:textId="77777777" w:rsidTr="00262239">
        <w:trPr>
          <w:gridAfter w:val="1"/>
          <w:wAfter w:w="25" w:type="dxa"/>
          <w:trHeight w:val="336"/>
        </w:trPr>
        <w:tc>
          <w:tcPr>
            <w:tcW w:w="13640" w:type="dxa"/>
            <w:gridSpan w:val="9"/>
            <w:shd w:val="clear" w:color="000000" w:fill="F7CAAC"/>
            <w:vAlign w:val="center"/>
            <w:hideMark/>
          </w:tcPr>
          <w:p w14:paraId="5D38A41E"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37CBA8A3" w14:textId="77777777" w:rsidTr="00262239">
        <w:trPr>
          <w:gridAfter w:val="1"/>
          <w:wAfter w:w="25" w:type="dxa"/>
          <w:trHeight w:val="336"/>
        </w:trPr>
        <w:tc>
          <w:tcPr>
            <w:tcW w:w="6880" w:type="dxa"/>
            <w:gridSpan w:val="4"/>
            <w:shd w:val="clear" w:color="000000" w:fill="F7CAAC"/>
            <w:vAlign w:val="center"/>
            <w:hideMark/>
          </w:tcPr>
          <w:p w14:paraId="65E9F41A" w14:textId="4A00944D"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081FB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760" w:type="dxa"/>
            <w:gridSpan w:val="5"/>
            <w:shd w:val="clear" w:color="000000" w:fill="F7CAAC"/>
            <w:vAlign w:val="center"/>
            <w:hideMark/>
          </w:tcPr>
          <w:p w14:paraId="5B466CE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462EEF9C" w14:textId="77777777" w:rsidTr="00262239">
        <w:trPr>
          <w:gridAfter w:val="1"/>
          <w:wAfter w:w="25" w:type="dxa"/>
          <w:trHeight w:val="846"/>
        </w:trPr>
        <w:tc>
          <w:tcPr>
            <w:tcW w:w="6880" w:type="dxa"/>
            <w:gridSpan w:val="4"/>
            <w:shd w:val="clear" w:color="000000" w:fill="F7CAAC"/>
            <w:vAlign w:val="center"/>
            <w:hideMark/>
          </w:tcPr>
          <w:p w14:paraId="1B115833"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shd w:val="clear" w:color="000000" w:fill="F7CAAC"/>
            <w:vAlign w:val="center"/>
            <w:hideMark/>
          </w:tcPr>
          <w:p w14:paraId="03714DFC" w14:textId="0A3D5E5C" w:rsidR="007D7243" w:rsidRPr="00EF2F18" w:rsidRDefault="007D7243" w:rsidP="00752CA0">
            <w:pPr>
              <w:spacing w:after="0"/>
              <w:ind w:left="645" w:hanging="425"/>
              <w:rPr>
                <w:rFonts w:ascii="Symbol" w:eastAsia="Times New Roman" w:hAnsi="Symbol" w:cs="Times New Roman"/>
                <w:color w:val="000000"/>
                <w:sz w:val="20"/>
                <w:szCs w:val="20"/>
                <w:lang w:val="sr-Cyrl-RS" w:eastAsia="sr-Cyrl-RS"/>
              </w:rPr>
            </w:pPr>
            <w:r w:rsidRPr="00EF2F18">
              <w:rPr>
                <w:rFonts w:ascii="Symbol" w:eastAsia="Times New Roman" w:hAnsi="Symbol" w:cs="Times New Roman"/>
                <w:color w:val="000000"/>
                <w:sz w:val="20"/>
                <w:szCs w:val="20"/>
                <w:lang w:val="sr-Cyrl-RS" w:eastAsia="sr-Cyrl-RS"/>
              </w:rPr>
              <w:t></w:t>
            </w:r>
            <w:r w:rsidR="00FA7222" w:rsidRPr="00EF2F18">
              <w:rPr>
                <w:rFonts w:eastAsia="Times New Roman" w:cs="Times New Roman"/>
                <w:color w:val="000000"/>
                <w:sz w:val="14"/>
                <w:szCs w:val="14"/>
                <w:lang w:val="sr-Cyrl-RS" w:eastAsia="sr-Cyrl-RS"/>
              </w:rPr>
              <w:t xml:space="preserve">  </w:t>
            </w:r>
            <w:r w:rsidRPr="00EF2F18">
              <w:rPr>
                <w:rFonts w:eastAsia="Times New Roman" w:cs="Times New Roman"/>
                <w:color w:val="000000"/>
                <w:sz w:val="20"/>
                <w:szCs w:val="20"/>
                <w:lang w:val="sr-Cyrl-RS" w:eastAsia="sr-Cyrl-RS"/>
              </w:rPr>
              <w:t>Уредба о извештавању о реализацији Програма прилагођавања на измењене климатске услове</w:t>
            </w:r>
          </w:p>
          <w:p w14:paraId="2CC96B87" w14:textId="0FCD9178" w:rsidR="007D7243" w:rsidRPr="00EF2F18" w:rsidRDefault="007D7243" w:rsidP="00752CA0">
            <w:pPr>
              <w:spacing w:after="0"/>
              <w:ind w:firstLineChars="110" w:firstLine="220"/>
              <w:rPr>
                <w:rFonts w:ascii="Symbol" w:eastAsia="Times New Roman" w:hAnsi="Symbol" w:cs="Times New Roman"/>
                <w:color w:val="000000"/>
                <w:sz w:val="20"/>
                <w:szCs w:val="20"/>
                <w:lang w:val="sr-Cyrl-RS" w:eastAsia="sr-Cyrl-RS"/>
              </w:rPr>
            </w:pPr>
            <w:r w:rsidRPr="00EF2F18">
              <w:rPr>
                <w:rFonts w:ascii="Symbol" w:eastAsia="Symbol" w:hAnsi="Symbol" w:cs="Symbol"/>
                <w:color w:val="000000"/>
                <w:sz w:val="20"/>
                <w:szCs w:val="20"/>
                <w:lang w:val="sr-Cyrl-RS" w:eastAsia="sr-Cyrl-RS"/>
              </w:rPr>
              <w:t></w:t>
            </w:r>
            <w:r w:rsidR="00FA7222" w:rsidRPr="00EF2F18">
              <w:rPr>
                <w:rFonts w:eastAsia="Symbol" w:cs="Times New Roman"/>
                <w:color w:val="000000"/>
                <w:sz w:val="14"/>
                <w:szCs w:val="14"/>
                <w:lang w:val="sr-Cyrl-RS" w:eastAsia="sr-Cyrl-RS"/>
              </w:rPr>
              <w:t xml:space="preserve">  </w:t>
            </w:r>
            <w:r w:rsidRPr="00EF2F18">
              <w:rPr>
                <w:rFonts w:eastAsia="Symbol" w:cs="Times New Roman"/>
                <w:color w:val="000000"/>
                <w:sz w:val="20"/>
                <w:szCs w:val="20"/>
                <w:lang w:val="sr-Cyrl-RS" w:eastAsia="sr-Cyrl-RS"/>
              </w:rPr>
              <w:t>Закон о климатским променама</w:t>
            </w:r>
          </w:p>
        </w:tc>
      </w:tr>
      <w:tr w:rsidR="00262239" w:rsidRPr="00EF2F18" w14:paraId="3E0949DB" w14:textId="77777777" w:rsidTr="00262239">
        <w:trPr>
          <w:trHeight w:val="816"/>
        </w:trPr>
        <w:tc>
          <w:tcPr>
            <w:tcW w:w="3320" w:type="dxa"/>
            <w:shd w:val="clear" w:color="000000" w:fill="D9D9D9"/>
            <w:hideMark/>
          </w:tcPr>
          <w:p w14:paraId="11AB1E26"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6CB04F8D"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42E8B375"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7439643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58C7AF6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95" w:type="dxa"/>
            <w:shd w:val="clear" w:color="000000" w:fill="D9D9D9"/>
            <w:hideMark/>
          </w:tcPr>
          <w:p w14:paraId="08E17C47"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shd w:val="clear" w:color="000000" w:fill="D9D9D9"/>
            <w:hideMark/>
          </w:tcPr>
          <w:p w14:paraId="4D695661"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gridSpan w:val="2"/>
            <w:shd w:val="clear" w:color="000000" w:fill="D9D9D9"/>
            <w:hideMark/>
          </w:tcPr>
          <w:p w14:paraId="5D23B5FB"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262239" w:rsidRPr="00EF2F18" w14:paraId="113206F7" w14:textId="77777777" w:rsidTr="00262239">
        <w:trPr>
          <w:trHeight w:val="1080"/>
        </w:trPr>
        <w:tc>
          <w:tcPr>
            <w:tcW w:w="3320" w:type="dxa"/>
            <w:shd w:val="clear" w:color="000000" w:fill="FFFFFF"/>
            <w:hideMark/>
          </w:tcPr>
          <w:p w14:paraId="0563311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Донет подзаконски акт о извештавању о реализацији Програма прилагођавања на измењене климатске услове </w:t>
            </w:r>
          </w:p>
        </w:tc>
        <w:tc>
          <w:tcPr>
            <w:tcW w:w="1280" w:type="dxa"/>
            <w:shd w:val="clear" w:color="000000" w:fill="FFFFFF"/>
            <w:hideMark/>
          </w:tcPr>
          <w:p w14:paraId="495E6990"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460493FA"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Службени гласник РС</w:t>
            </w:r>
          </w:p>
        </w:tc>
        <w:tc>
          <w:tcPr>
            <w:tcW w:w="2000" w:type="dxa"/>
            <w:gridSpan w:val="2"/>
            <w:shd w:val="clear" w:color="000000" w:fill="FFFFFF"/>
            <w:hideMark/>
          </w:tcPr>
          <w:p w14:paraId="38ADAF6B"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7A2F6E4A"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95" w:type="dxa"/>
            <w:shd w:val="clear" w:color="000000" w:fill="FFFFFF"/>
            <w:hideMark/>
          </w:tcPr>
          <w:p w14:paraId="0A8E63AD"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50" w:type="dxa"/>
            <w:shd w:val="clear" w:color="000000" w:fill="FFFFFF"/>
            <w:hideMark/>
          </w:tcPr>
          <w:p w14:paraId="139293F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620" w:type="dxa"/>
            <w:gridSpan w:val="2"/>
            <w:shd w:val="clear" w:color="000000" w:fill="FFFFFF"/>
            <w:hideMark/>
          </w:tcPr>
          <w:p w14:paraId="7942C2A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262239" w:rsidRPr="00EF2F18" w14:paraId="2B5D8675" w14:textId="77777777" w:rsidTr="00262239">
        <w:trPr>
          <w:trHeight w:val="552"/>
        </w:trPr>
        <w:tc>
          <w:tcPr>
            <w:tcW w:w="3320" w:type="dxa"/>
            <w:shd w:val="clear" w:color="000000" w:fill="FFFFFF"/>
            <w:hideMark/>
          </w:tcPr>
          <w:p w14:paraId="4741EF19"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учесника ЈЛС који су похађали обуке (годишње)</w:t>
            </w:r>
          </w:p>
        </w:tc>
        <w:tc>
          <w:tcPr>
            <w:tcW w:w="1280" w:type="dxa"/>
            <w:shd w:val="clear" w:color="000000" w:fill="FFFFFF"/>
            <w:hideMark/>
          </w:tcPr>
          <w:p w14:paraId="477E62DB"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280" w:type="dxa"/>
            <w:shd w:val="clear" w:color="000000" w:fill="FFFFFF"/>
            <w:hideMark/>
          </w:tcPr>
          <w:p w14:paraId="56A33E0E"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Извештај МЗЖС</w:t>
            </w:r>
          </w:p>
        </w:tc>
        <w:tc>
          <w:tcPr>
            <w:tcW w:w="2000" w:type="dxa"/>
            <w:gridSpan w:val="2"/>
            <w:shd w:val="clear" w:color="000000" w:fill="FFFFFF"/>
            <w:hideMark/>
          </w:tcPr>
          <w:p w14:paraId="4F907866"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20" w:type="dxa"/>
            <w:shd w:val="clear" w:color="000000" w:fill="FFFFFF"/>
            <w:hideMark/>
          </w:tcPr>
          <w:p w14:paraId="7467CEAC"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95" w:type="dxa"/>
            <w:shd w:val="clear" w:color="000000" w:fill="FFFFFF"/>
            <w:hideMark/>
          </w:tcPr>
          <w:p w14:paraId="72B98EF5"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150</w:t>
            </w:r>
          </w:p>
        </w:tc>
        <w:tc>
          <w:tcPr>
            <w:tcW w:w="1350" w:type="dxa"/>
            <w:shd w:val="clear" w:color="000000" w:fill="FFFFFF"/>
            <w:hideMark/>
          </w:tcPr>
          <w:p w14:paraId="53AE3F58"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150</w:t>
            </w:r>
          </w:p>
        </w:tc>
        <w:tc>
          <w:tcPr>
            <w:tcW w:w="1620" w:type="dxa"/>
            <w:gridSpan w:val="2"/>
            <w:shd w:val="clear" w:color="000000" w:fill="FFFFFF"/>
            <w:hideMark/>
          </w:tcPr>
          <w:p w14:paraId="5EC0F400"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150</w:t>
            </w:r>
          </w:p>
        </w:tc>
      </w:tr>
    </w:tbl>
    <w:p w14:paraId="3DFC03E8" w14:textId="77777777" w:rsidR="007D7243" w:rsidRPr="00EF2F18" w:rsidRDefault="007D7243" w:rsidP="007D7243">
      <w:pPr>
        <w:spacing w:after="0"/>
        <w:rPr>
          <w:rFonts w:cs="Times New Roman"/>
          <w:sz w:val="20"/>
          <w:szCs w:val="20"/>
          <w:lang w:val="sr-Cyrl-RS"/>
        </w:rPr>
      </w:pPr>
    </w:p>
    <w:tbl>
      <w:tblPr>
        <w:tblW w:w="1366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480"/>
        <w:gridCol w:w="2345"/>
        <w:gridCol w:w="2430"/>
        <w:gridCol w:w="2612"/>
      </w:tblGrid>
      <w:tr w:rsidR="007D7243" w:rsidRPr="00EF2F18" w14:paraId="5065674A" w14:textId="77777777" w:rsidTr="00752CA0">
        <w:trPr>
          <w:trHeight w:val="336"/>
        </w:trPr>
        <w:tc>
          <w:tcPr>
            <w:tcW w:w="3800" w:type="dxa"/>
            <w:vMerge w:val="restart"/>
            <w:shd w:val="clear" w:color="000000" w:fill="A8D08D"/>
            <w:hideMark/>
          </w:tcPr>
          <w:p w14:paraId="082EA71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00CDB01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87" w:type="dxa"/>
            <w:gridSpan w:val="3"/>
            <w:shd w:val="clear" w:color="000000" w:fill="A8D08D"/>
            <w:hideMark/>
          </w:tcPr>
          <w:p w14:paraId="6DEA4BA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262239" w:rsidRPr="00EF2F18" w14:paraId="242E557F" w14:textId="77777777" w:rsidTr="00262239">
        <w:trPr>
          <w:trHeight w:val="336"/>
        </w:trPr>
        <w:tc>
          <w:tcPr>
            <w:tcW w:w="3800" w:type="dxa"/>
            <w:vMerge/>
            <w:vAlign w:val="center"/>
            <w:hideMark/>
          </w:tcPr>
          <w:p w14:paraId="5D385F9E"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480" w:type="dxa"/>
            <w:vMerge/>
            <w:vAlign w:val="center"/>
            <w:hideMark/>
          </w:tcPr>
          <w:p w14:paraId="56B91327"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345" w:type="dxa"/>
            <w:shd w:val="clear" w:color="000000" w:fill="A8D08D"/>
            <w:hideMark/>
          </w:tcPr>
          <w:p w14:paraId="20EAD8C2" w14:textId="00F7EC20"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shd w:val="clear" w:color="000000" w:fill="A8D08D"/>
            <w:hideMark/>
          </w:tcPr>
          <w:p w14:paraId="6C8A5EEB" w14:textId="6B354E94"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612" w:type="dxa"/>
            <w:shd w:val="clear" w:color="000000" w:fill="A8D08D"/>
            <w:hideMark/>
          </w:tcPr>
          <w:p w14:paraId="1368526A" w14:textId="21446B6E"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262239" w:rsidRPr="00EF2F18" w14:paraId="6ECA3FD7" w14:textId="77777777" w:rsidTr="00262239">
        <w:trPr>
          <w:trHeight w:val="324"/>
        </w:trPr>
        <w:tc>
          <w:tcPr>
            <w:tcW w:w="3800" w:type="dxa"/>
            <w:vAlign w:val="center"/>
            <w:hideMark/>
          </w:tcPr>
          <w:p w14:paraId="6BB59300"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(Влада Швајцарске)</w:t>
            </w:r>
          </w:p>
          <w:p w14:paraId="2092AA54" w14:textId="3CFBFF98"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2480" w:type="dxa"/>
            <w:vAlign w:val="center"/>
            <w:hideMark/>
          </w:tcPr>
          <w:p w14:paraId="359D0D0B"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45" w:type="dxa"/>
            <w:vAlign w:val="center"/>
            <w:hideMark/>
          </w:tcPr>
          <w:p w14:paraId="505947C6"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850</w:t>
            </w:r>
          </w:p>
        </w:tc>
        <w:tc>
          <w:tcPr>
            <w:tcW w:w="2430" w:type="dxa"/>
            <w:vAlign w:val="center"/>
          </w:tcPr>
          <w:p w14:paraId="0C234A67" w14:textId="77777777" w:rsidR="00262239" w:rsidRPr="00EF2F18" w:rsidRDefault="00262239" w:rsidP="00752CA0">
            <w:pPr>
              <w:spacing w:after="0"/>
              <w:jc w:val="right"/>
              <w:rPr>
                <w:rFonts w:eastAsia="Times New Roman" w:cs="Times New Roman"/>
                <w:color w:val="000000"/>
                <w:sz w:val="20"/>
                <w:szCs w:val="20"/>
                <w:lang w:val="sr-Cyrl-RS" w:eastAsia="sr-Cyrl-RS"/>
              </w:rPr>
            </w:pPr>
          </w:p>
        </w:tc>
        <w:tc>
          <w:tcPr>
            <w:tcW w:w="2612" w:type="dxa"/>
            <w:vAlign w:val="center"/>
          </w:tcPr>
          <w:p w14:paraId="40EA123B" w14:textId="77777777" w:rsidR="00262239" w:rsidRPr="00EF2F18" w:rsidRDefault="00262239" w:rsidP="00752CA0">
            <w:pPr>
              <w:spacing w:after="0"/>
              <w:jc w:val="right"/>
              <w:rPr>
                <w:rFonts w:eastAsia="Times New Roman" w:cs="Times New Roman"/>
                <w:color w:val="000000"/>
                <w:sz w:val="20"/>
                <w:szCs w:val="20"/>
                <w:lang w:val="sr-Cyrl-RS" w:eastAsia="sr-Cyrl-RS"/>
              </w:rPr>
            </w:pPr>
          </w:p>
        </w:tc>
      </w:tr>
    </w:tbl>
    <w:p w14:paraId="290C4C02" w14:textId="77777777" w:rsidR="007D7243" w:rsidRPr="00EF2F18" w:rsidRDefault="007D7243" w:rsidP="007D7243">
      <w:pPr>
        <w:spacing w:after="0"/>
        <w:rPr>
          <w:rFonts w:cs="Times New Roman"/>
          <w:b/>
          <w:bCs/>
          <w:sz w:val="20"/>
          <w:szCs w:val="20"/>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24"/>
        <w:gridCol w:w="1399"/>
        <w:gridCol w:w="1304"/>
        <w:gridCol w:w="1418"/>
        <w:gridCol w:w="1417"/>
        <w:gridCol w:w="1341"/>
        <w:gridCol w:w="1350"/>
        <w:gridCol w:w="1350"/>
      </w:tblGrid>
      <w:tr w:rsidR="007D7243" w:rsidRPr="00EF2F18" w14:paraId="6F7B1A4C" w14:textId="77777777" w:rsidTr="00262239">
        <w:trPr>
          <w:trHeight w:val="696"/>
        </w:trPr>
        <w:tc>
          <w:tcPr>
            <w:tcW w:w="2972" w:type="dxa"/>
            <w:vMerge w:val="restart"/>
            <w:shd w:val="clear" w:color="000000" w:fill="FFF2CC"/>
            <w:hideMark/>
          </w:tcPr>
          <w:p w14:paraId="57CCC19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24" w:type="dxa"/>
            <w:vMerge w:val="restart"/>
            <w:shd w:val="clear" w:color="000000" w:fill="FFF2CC"/>
            <w:hideMark/>
          </w:tcPr>
          <w:p w14:paraId="652BA80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99" w:type="dxa"/>
            <w:vMerge w:val="restart"/>
            <w:shd w:val="clear" w:color="000000" w:fill="FFF2CC"/>
            <w:hideMark/>
          </w:tcPr>
          <w:p w14:paraId="56D9FD2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304" w:type="dxa"/>
            <w:vMerge w:val="restart"/>
            <w:shd w:val="clear" w:color="000000" w:fill="FFF2CC"/>
            <w:hideMark/>
          </w:tcPr>
          <w:p w14:paraId="03D13DC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18" w:type="dxa"/>
            <w:vMerge w:val="restart"/>
            <w:shd w:val="clear" w:color="000000" w:fill="FFF2CC"/>
            <w:hideMark/>
          </w:tcPr>
          <w:p w14:paraId="0D3C8E4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17" w:type="dxa"/>
            <w:vMerge w:val="restart"/>
            <w:shd w:val="clear" w:color="000000" w:fill="FFF2CC"/>
            <w:hideMark/>
          </w:tcPr>
          <w:p w14:paraId="672B2B7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41" w:type="dxa"/>
            <w:gridSpan w:val="3"/>
            <w:shd w:val="clear" w:color="000000" w:fill="FFF2CC"/>
            <w:hideMark/>
          </w:tcPr>
          <w:p w14:paraId="7E2F166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262239" w:rsidRPr="00EF2F18" w14:paraId="09C87504" w14:textId="77777777" w:rsidTr="00262239">
        <w:trPr>
          <w:trHeight w:val="441"/>
        </w:trPr>
        <w:tc>
          <w:tcPr>
            <w:tcW w:w="2972" w:type="dxa"/>
            <w:vMerge/>
            <w:vAlign w:val="center"/>
            <w:hideMark/>
          </w:tcPr>
          <w:p w14:paraId="60ACCE51"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124" w:type="dxa"/>
            <w:vMerge/>
            <w:vAlign w:val="center"/>
            <w:hideMark/>
          </w:tcPr>
          <w:p w14:paraId="6073EB3D"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99" w:type="dxa"/>
            <w:vMerge/>
            <w:vAlign w:val="center"/>
            <w:hideMark/>
          </w:tcPr>
          <w:p w14:paraId="5A147FFD"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04" w:type="dxa"/>
            <w:vMerge/>
            <w:vAlign w:val="center"/>
            <w:hideMark/>
          </w:tcPr>
          <w:p w14:paraId="5F7EFE46"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418" w:type="dxa"/>
            <w:vMerge/>
            <w:vAlign w:val="center"/>
            <w:hideMark/>
          </w:tcPr>
          <w:p w14:paraId="25EDBCD1"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417" w:type="dxa"/>
            <w:vMerge/>
            <w:vAlign w:val="center"/>
            <w:hideMark/>
          </w:tcPr>
          <w:p w14:paraId="2C715B4B"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41" w:type="dxa"/>
            <w:shd w:val="clear" w:color="000000" w:fill="FFF2CC"/>
            <w:hideMark/>
          </w:tcPr>
          <w:p w14:paraId="7F0E1B4F" w14:textId="43A1AB3E"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5B3AA560" w14:textId="5A7A9B09"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350" w:type="dxa"/>
            <w:shd w:val="clear" w:color="000000" w:fill="FFF2CC"/>
            <w:hideMark/>
          </w:tcPr>
          <w:p w14:paraId="73E7417E" w14:textId="3CDAC986"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262239" w:rsidRPr="00EF2F18" w14:paraId="756D68C7" w14:textId="77777777" w:rsidTr="00262239">
        <w:trPr>
          <w:trHeight w:val="1068"/>
        </w:trPr>
        <w:tc>
          <w:tcPr>
            <w:tcW w:w="2972" w:type="dxa"/>
            <w:hideMark/>
          </w:tcPr>
          <w:p w14:paraId="6498A91A" w14:textId="58E002E9"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1.2.2.1. Обуке ЈЛС за примену акта о извештавању о реализацији Програма прилагођавања на измењене климатске услове</w:t>
            </w:r>
          </w:p>
        </w:tc>
        <w:tc>
          <w:tcPr>
            <w:tcW w:w="1124" w:type="dxa"/>
            <w:hideMark/>
          </w:tcPr>
          <w:p w14:paraId="4F9C2F1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99" w:type="dxa"/>
            <w:hideMark/>
          </w:tcPr>
          <w:p w14:paraId="35C6C392"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w:t>
            </w:r>
          </w:p>
        </w:tc>
        <w:tc>
          <w:tcPr>
            <w:tcW w:w="1304" w:type="dxa"/>
            <w:hideMark/>
          </w:tcPr>
          <w:p w14:paraId="25497F7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18" w:type="dxa"/>
            <w:hideMark/>
          </w:tcPr>
          <w:p w14:paraId="7CE60814"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(Влада Швајцарске)</w:t>
            </w:r>
          </w:p>
          <w:p w14:paraId="0FAB163A" w14:textId="617B3DDC"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1417" w:type="dxa"/>
          </w:tcPr>
          <w:p w14:paraId="3180726F" w14:textId="4672031D" w:rsidR="00262239" w:rsidRPr="00EF2F18" w:rsidRDefault="00262239" w:rsidP="00752CA0">
            <w:pPr>
              <w:spacing w:after="0"/>
              <w:rPr>
                <w:rFonts w:eastAsia="Times New Roman" w:cs="Times New Roman"/>
                <w:color w:val="000000"/>
                <w:sz w:val="18"/>
                <w:szCs w:val="18"/>
                <w:lang w:val="sr-Cyrl-RS" w:eastAsia="sr-Cyrl-RS"/>
              </w:rPr>
            </w:pPr>
          </w:p>
        </w:tc>
        <w:tc>
          <w:tcPr>
            <w:tcW w:w="1341" w:type="dxa"/>
            <w:hideMark/>
          </w:tcPr>
          <w:p w14:paraId="1126F99F"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850</w:t>
            </w:r>
          </w:p>
        </w:tc>
        <w:tc>
          <w:tcPr>
            <w:tcW w:w="1350" w:type="dxa"/>
            <w:hideMark/>
          </w:tcPr>
          <w:p w14:paraId="1F42F353" w14:textId="77777777" w:rsidR="00262239" w:rsidRPr="00EF2F18" w:rsidRDefault="00262239" w:rsidP="00752CA0">
            <w:pPr>
              <w:spacing w:after="0"/>
              <w:jc w:val="right"/>
              <w:rPr>
                <w:rFonts w:eastAsia="Times New Roman" w:cs="Times New Roman"/>
                <w:color w:val="000000"/>
                <w:sz w:val="20"/>
                <w:szCs w:val="20"/>
                <w:lang w:val="sr-Cyrl-RS" w:eastAsia="sr-Cyrl-RS"/>
              </w:rPr>
            </w:pPr>
          </w:p>
        </w:tc>
        <w:tc>
          <w:tcPr>
            <w:tcW w:w="1350" w:type="dxa"/>
            <w:hideMark/>
          </w:tcPr>
          <w:p w14:paraId="667D7138" w14:textId="77777777" w:rsidR="00262239" w:rsidRPr="00EF2F18" w:rsidRDefault="00262239" w:rsidP="00752CA0">
            <w:pPr>
              <w:spacing w:after="0"/>
              <w:jc w:val="right"/>
              <w:rPr>
                <w:rFonts w:eastAsia="Times New Roman" w:cs="Times New Roman"/>
                <w:color w:val="000000"/>
                <w:sz w:val="20"/>
                <w:szCs w:val="20"/>
                <w:lang w:val="sr-Cyrl-RS" w:eastAsia="sr-Cyrl-RS"/>
              </w:rPr>
            </w:pPr>
          </w:p>
        </w:tc>
      </w:tr>
    </w:tbl>
    <w:p w14:paraId="015988AB" w14:textId="77777777" w:rsidR="007D7243" w:rsidRPr="00EF2F18" w:rsidRDefault="007D7243" w:rsidP="007D7243">
      <w:pPr>
        <w:spacing w:after="0"/>
        <w:rPr>
          <w:rFonts w:cs="Times New Roman"/>
          <w:b/>
          <w:bCs/>
          <w:sz w:val="20"/>
          <w:szCs w:val="20"/>
          <w:lang w:val="sr-Cyrl-RS"/>
        </w:rPr>
      </w:pPr>
    </w:p>
    <w:p w14:paraId="62DCAAA9" w14:textId="77777777" w:rsidR="007D7243" w:rsidRPr="00EF2F18" w:rsidRDefault="007D7243" w:rsidP="007D7243">
      <w:pPr>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385"/>
        <w:gridCol w:w="1440"/>
        <w:gridCol w:w="1415"/>
        <w:gridCol w:w="25"/>
      </w:tblGrid>
      <w:tr w:rsidR="007D7243" w:rsidRPr="00EF2F18" w14:paraId="05A15D2E" w14:textId="77777777" w:rsidTr="00262239">
        <w:trPr>
          <w:gridAfter w:val="1"/>
          <w:wAfter w:w="25" w:type="dxa"/>
          <w:trHeight w:val="336"/>
        </w:trPr>
        <w:tc>
          <w:tcPr>
            <w:tcW w:w="13640" w:type="dxa"/>
            <w:gridSpan w:val="9"/>
            <w:shd w:val="clear" w:color="000000" w:fill="F7CAAC"/>
            <w:vAlign w:val="center"/>
            <w:hideMark/>
          </w:tcPr>
          <w:p w14:paraId="468C0B7C"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 xml:space="preserve">Мера 1.2.3: Обезбеђивање и јачање постојећих капацитета за прилагођавање на измењене климатске услове </w:t>
            </w:r>
          </w:p>
        </w:tc>
      </w:tr>
      <w:tr w:rsidR="007D7243" w:rsidRPr="00EF2F18" w14:paraId="4BBB2D7C" w14:textId="77777777" w:rsidTr="00262239">
        <w:trPr>
          <w:gridAfter w:val="1"/>
          <w:wAfter w:w="25" w:type="dxa"/>
          <w:trHeight w:val="336"/>
        </w:trPr>
        <w:tc>
          <w:tcPr>
            <w:tcW w:w="13640" w:type="dxa"/>
            <w:gridSpan w:val="9"/>
            <w:shd w:val="clear" w:color="000000" w:fill="F7CAAC"/>
            <w:vAlign w:val="center"/>
            <w:hideMark/>
          </w:tcPr>
          <w:p w14:paraId="1A806BFB"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62B71C05" w14:textId="77777777" w:rsidTr="00262239">
        <w:trPr>
          <w:gridAfter w:val="1"/>
          <w:wAfter w:w="25" w:type="dxa"/>
          <w:trHeight w:val="336"/>
        </w:trPr>
        <w:tc>
          <w:tcPr>
            <w:tcW w:w="6880" w:type="dxa"/>
            <w:gridSpan w:val="4"/>
            <w:shd w:val="clear" w:color="000000" w:fill="F7CAAC"/>
            <w:vAlign w:val="center"/>
            <w:hideMark/>
          </w:tcPr>
          <w:p w14:paraId="66CCDBD1" w14:textId="0538AAD3"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081FB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760" w:type="dxa"/>
            <w:gridSpan w:val="5"/>
            <w:shd w:val="clear" w:color="000000" w:fill="F7CAAC"/>
            <w:vAlign w:val="center"/>
            <w:hideMark/>
          </w:tcPr>
          <w:p w14:paraId="5C19BEB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w:t>
            </w:r>
            <w:r w:rsidRPr="00EF2F18">
              <w:rPr>
                <w:rFonts w:eastAsia="Times New Roman" w:cs="Times New Roman"/>
                <w:color w:val="000000"/>
                <w:szCs w:val="24"/>
                <w:lang w:val="sr-Cyrl-RS" w:eastAsia="sr-Cyrl-RS"/>
              </w:rPr>
              <w:t xml:space="preserve"> </w:t>
            </w:r>
            <w:r w:rsidRPr="00EF2F18">
              <w:rPr>
                <w:rFonts w:eastAsia="Times New Roman" w:cs="Times New Roman"/>
                <w:color w:val="000000"/>
                <w:sz w:val="20"/>
                <w:szCs w:val="20"/>
                <w:lang w:val="sr-Cyrl-RS" w:eastAsia="sr-Cyrl-RS"/>
              </w:rPr>
              <w:t>информативно-едукативна</w:t>
            </w:r>
          </w:p>
        </w:tc>
      </w:tr>
      <w:tr w:rsidR="007D7243" w:rsidRPr="00EF2F18" w14:paraId="25473B46" w14:textId="77777777" w:rsidTr="00262239">
        <w:trPr>
          <w:gridAfter w:val="1"/>
          <w:wAfter w:w="25" w:type="dxa"/>
          <w:trHeight w:val="336"/>
        </w:trPr>
        <w:tc>
          <w:tcPr>
            <w:tcW w:w="6880" w:type="dxa"/>
            <w:gridSpan w:val="4"/>
            <w:shd w:val="clear" w:color="000000" w:fill="F7CAAC"/>
            <w:vAlign w:val="center"/>
            <w:hideMark/>
          </w:tcPr>
          <w:p w14:paraId="25BAD0F9"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shd w:val="clear" w:color="000000" w:fill="F7CAAC"/>
            <w:vAlign w:val="center"/>
            <w:hideMark/>
          </w:tcPr>
          <w:p w14:paraId="0AEF9C2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262239" w:rsidRPr="00EF2F18" w14:paraId="603972CB" w14:textId="77777777" w:rsidTr="00262239">
        <w:trPr>
          <w:trHeight w:val="816"/>
        </w:trPr>
        <w:tc>
          <w:tcPr>
            <w:tcW w:w="3320" w:type="dxa"/>
            <w:shd w:val="clear" w:color="000000" w:fill="D9D9D9"/>
            <w:hideMark/>
          </w:tcPr>
          <w:p w14:paraId="38B9A680"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45354D93"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28EDC869"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452E2CFA"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17803B9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85" w:type="dxa"/>
            <w:shd w:val="clear" w:color="000000" w:fill="D9D9D9"/>
            <w:hideMark/>
          </w:tcPr>
          <w:p w14:paraId="4A8A337E"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32E654AC"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440" w:type="dxa"/>
            <w:gridSpan w:val="2"/>
            <w:shd w:val="clear" w:color="000000" w:fill="D9D9D9"/>
            <w:hideMark/>
          </w:tcPr>
          <w:p w14:paraId="494B138A"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262239" w:rsidRPr="00EF2F18" w14:paraId="0A9AE55B" w14:textId="77777777" w:rsidTr="00262239">
        <w:trPr>
          <w:trHeight w:val="552"/>
        </w:trPr>
        <w:tc>
          <w:tcPr>
            <w:tcW w:w="3320" w:type="dxa"/>
            <w:shd w:val="clear" w:color="000000" w:fill="FFFFFF"/>
            <w:hideMark/>
          </w:tcPr>
          <w:p w14:paraId="16F5B189"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спроведених обука, годишње</w:t>
            </w:r>
          </w:p>
        </w:tc>
        <w:tc>
          <w:tcPr>
            <w:tcW w:w="1280" w:type="dxa"/>
            <w:shd w:val="clear" w:color="000000" w:fill="FFFFFF"/>
            <w:hideMark/>
          </w:tcPr>
          <w:p w14:paraId="6AA89BCD"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280" w:type="dxa"/>
            <w:shd w:val="clear" w:color="000000" w:fill="FFFFFF"/>
            <w:hideMark/>
          </w:tcPr>
          <w:p w14:paraId="616DE8CE"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о раду МЗЖС</w:t>
            </w:r>
          </w:p>
        </w:tc>
        <w:tc>
          <w:tcPr>
            <w:tcW w:w="2000" w:type="dxa"/>
            <w:gridSpan w:val="2"/>
            <w:shd w:val="clear" w:color="000000" w:fill="FFFFFF"/>
            <w:hideMark/>
          </w:tcPr>
          <w:p w14:paraId="5088FECD"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20" w:type="dxa"/>
            <w:shd w:val="clear" w:color="000000" w:fill="FFFFFF"/>
            <w:hideMark/>
          </w:tcPr>
          <w:p w14:paraId="32A3E1C1"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498491E9"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w:t>
            </w:r>
          </w:p>
        </w:tc>
        <w:tc>
          <w:tcPr>
            <w:tcW w:w="1440" w:type="dxa"/>
            <w:shd w:val="clear" w:color="000000" w:fill="FFFFFF"/>
            <w:hideMark/>
          </w:tcPr>
          <w:p w14:paraId="7DDE6EB5"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w:t>
            </w:r>
          </w:p>
        </w:tc>
        <w:tc>
          <w:tcPr>
            <w:tcW w:w="1440" w:type="dxa"/>
            <w:gridSpan w:val="2"/>
            <w:shd w:val="clear" w:color="000000" w:fill="FFFFFF"/>
            <w:hideMark/>
          </w:tcPr>
          <w:p w14:paraId="594A1881"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w:t>
            </w:r>
          </w:p>
        </w:tc>
      </w:tr>
      <w:tr w:rsidR="00262239" w:rsidRPr="00EF2F18" w14:paraId="6F81F137" w14:textId="77777777" w:rsidTr="00262239">
        <w:trPr>
          <w:trHeight w:val="540"/>
        </w:trPr>
        <w:tc>
          <w:tcPr>
            <w:tcW w:w="3320" w:type="dxa"/>
            <w:shd w:val="clear" w:color="000000" w:fill="FFFFFF"/>
            <w:hideMark/>
          </w:tcPr>
          <w:p w14:paraId="735D9B6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службеника који су похађали акредитовану обуку, годишње</w:t>
            </w:r>
          </w:p>
        </w:tc>
        <w:tc>
          <w:tcPr>
            <w:tcW w:w="1280" w:type="dxa"/>
            <w:shd w:val="clear" w:color="000000" w:fill="FFFFFF"/>
            <w:hideMark/>
          </w:tcPr>
          <w:p w14:paraId="691F222B"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280" w:type="dxa"/>
            <w:shd w:val="clear" w:color="000000" w:fill="FFFFFF"/>
            <w:hideMark/>
          </w:tcPr>
          <w:p w14:paraId="6A6EB98A"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НАЈУ</w:t>
            </w:r>
          </w:p>
        </w:tc>
        <w:tc>
          <w:tcPr>
            <w:tcW w:w="2000" w:type="dxa"/>
            <w:gridSpan w:val="2"/>
            <w:shd w:val="clear" w:color="000000" w:fill="FFFFFF"/>
            <w:hideMark/>
          </w:tcPr>
          <w:p w14:paraId="34D0CEE1"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w:t>
            </w:r>
          </w:p>
        </w:tc>
        <w:tc>
          <w:tcPr>
            <w:tcW w:w="1520" w:type="dxa"/>
            <w:shd w:val="clear" w:color="000000" w:fill="FFFFFF"/>
            <w:hideMark/>
          </w:tcPr>
          <w:p w14:paraId="499D6F38"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385" w:type="dxa"/>
            <w:shd w:val="clear" w:color="000000" w:fill="FFFFFF"/>
            <w:hideMark/>
          </w:tcPr>
          <w:p w14:paraId="735D54EC"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c>
          <w:tcPr>
            <w:tcW w:w="1440" w:type="dxa"/>
            <w:shd w:val="clear" w:color="000000" w:fill="FFFFFF"/>
            <w:hideMark/>
          </w:tcPr>
          <w:p w14:paraId="5E8FD62C"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c>
          <w:tcPr>
            <w:tcW w:w="1440" w:type="dxa"/>
            <w:gridSpan w:val="2"/>
            <w:shd w:val="clear" w:color="000000" w:fill="FFFFFF"/>
            <w:hideMark/>
          </w:tcPr>
          <w:p w14:paraId="4F183A50"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r>
    </w:tbl>
    <w:p w14:paraId="670FC93C" w14:textId="77777777" w:rsidR="007D7243" w:rsidRPr="00EF2F18" w:rsidRDefault="007D7243" w:rsidP="007D7243">
      <w:pPr>
        <w:spacing w:after="0"/>
        <w:rPr>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564"/>
        <w:gridCol w:w="2531"/>
        <w:gridCol w:w="2340"/>
        <w:gridCol w:w="2409"/>
        <w:gridCol w:w="21"/>
      </w:tblGrid>
      <w:tr w:rsidR="007D7243" w:rsidRPr="00EF2F18" w14:paraId="5B4F89AD" w14:textId="77777777" w:rsidTr="00262239">
        <w:trPr>
          <w:gridAfter w:val="1"/>
          <w:wAfter w:w="21" w:type="dxa"/>
          <w:trHeight w:val="336"/>
        </w:trPr>
        <w:tc>
          <w:tcPr>
            <w:tcW w:w="3800" w:type="dxa"/>
            <w:vMerge w:val="restart"/>
            <w:shd w:val="clear" w:color="000000" w:fill="A8D08D"/>
            <w:hideMark/>
          </w:tcPr>
          <w:p w14:paraId="63A7DF2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64" w:type="dxa"/>
            <w:vMerge w:val="restart"/>
            <w:shd w:val="clear" w:color="000000" w:fill="A8D08D"/>
            <w:hideMark/>
          </w:tcPr>
          <w:p w14:paraId="3A29E67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shd w:val="clear" w:color="000000" w:fill="A8D08D"/>
            <w:hideMark/>
          </w:tcPr>
          <w:p w14:paraId="747C302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262239" w:rsidRPr="00EF2F18" w14:paraId="43AED55C" w14:textId="77777777" w:rsidTr="00262239">
        <w:trPr>
          <w:trHeight w:val="336"/>
        </w:trPr>
        <w:tc>
          <w:tcPr>
            <w:tcW w:w="3800" w:type="dxa"/>
            <w:vMerge/>
            <w:vAlign w:val="center"/>
            <w:hideMark/>
          </w:tcPr>
          <w:p w14:paraId="15619F78"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564" w:type="dxa"/>
            <w:vMerge/>
            <w:vAlign w:val="center"/>
            <w:hideMark/>
          </w:tcPr>
          <w:p w14:paraId="5D2F8E77"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531" w:type="dxa"/>
            <w:shd w:val="clear" w:color="000000" w:fill="A8D08D"/>
            <w:hideMark/>
          </w:tcPr>
          <w:p w14:paraId="3EF92B92" w14:textId="1F641DCF"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340" w:type="dxa"/>
            <w:shd w:val="clear" w:color="000000" w:fill="A8D08D"/>
            <w:hideMark/>
          </w:tcPr>
          <w:p w14:paraId="780942CC" w14:textId="08125C7B"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430" w:type="dxa"/>
            <w:gridSpan w:val="2"/>
            <w:shd w:val="clear" w:color="000000" w:fill="A8D08D"/>
            <w:hideMark/>
          </w:tcPr>
          <w:p w14:paraId="1654863F" w14:textId="1FAA2B34"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262239" w:rsidRPr="00EF2F18" w14:paraId="166E70B9" w14:textId="77777777" w:rsidTr="00262239">
        <w:trPr>
          <w:trHeight w:val="324"/>
        </w:trPr>
        <w:tc>
          <w:tcPr>
            <w:tcW w:w="3800" w:type="dxa"/>
            <w:vAlign w:val="center"/>
            <w:hideMark/>
          </w:tcPr>
          <w:p w14:paraId="253C0649" w14:textId="38A1ADAE"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564" w:type="dxa"/>
            <w:vAlign w:val="center"/>
            <w:hideMark/>
          </w:tcPr>
          <w:p w14:paraId="0AC9EC86"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531" w:type="dxa"/>
            <w:vAlign w:val="center"/>
            <w:hideMark/>
          </w:tcPr>
          <w:p w14:paraId="73F31E61"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3.160*</w:t>
            </w:r>
          </w:p>
        </w:tc>
        <w:tc>
          <w:tcPr>
            <w:tcW w:w="2340" w:type="dxa"/>
            <w:vAlign w:val="center"/>
            <w:hideMark/>
          </w:tcPr>
          <w:p w14:paraId="50E1756F"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3.160*</w:t>
            </w:r>
          </w:p>
        </w:tc>
        <w:tc>
          <w:tcPr>
            <w:tcW w:w="2430" w:type="dxa"/>
            <w:gridSpan w:val="2"/>
            <w:vAlign w:val="center"/>
            <w:hideMark/>
          </w:tcPr>
          <w:p w14:paraId="74630973"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3.160*</w:t>
            </w:r>
          </w:p>
        </w:tc>
      </w:tr>
    </w:tbl>
    <w:p w14:paraId="25E72B12" w14:textId="77777777" w:rsidR="007D7243" w:rsidRPr="00EF2F18" w:rsidRDefault="007D7243" w:rsidP="007D7243">
      <w:pPr>
        <w:spacing w:after="0"/>
        <w:rPr>
          <w:rFonts w:cs="Times New Roman"/>
          <w:sz w:val="20"/>
          <w:szCs w:val="20"/>
          <w:lang w:val="sr-Cyrl-RS"/>
        </w:rPr>
      </w:pPr>
    </w:p>
    <w:tbl>
      <w:tblPr>
        <w:tblW w:w="13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1186"/>
        <w:gridCol w:w="1400"/>
        <w:gridCol w:w="1182"/>
        <w:gridCol w:w="1399"/>
        <w:gridCol w:w="1340"/>
        <w:gridCol w:w="1316"/>
        <w:gridCol w:w="1350"/>
        <w:gridCol w:w="1442"/>
      </w:tblGrid>
      <w:tr w:rsidR="007D7243" w:rsidRPr="00EF2F18" w14:paraId="37671FDF" w14:textId="77777777" w:rsidTr="00752CA0">
        <w:trPr>
          <w:trHeight w:val="696"/>
        </w:trPr>
        <w:tc>
          <w:tcPr>
            <w:tcW w:w="3062" w:type="dxa"/>
            <w:vMerge w:val="restart"/>
            <w:shd w:val="clear" w:color="000000" w:fill="FFF2CC"/>
            <w:hideMark/>
          </w:tcPr>
          <w:p w14:paraId="306C1E6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86" w:type="dxa"/>
            <w:vMerge w:val="restart"/>
            <w:shd w:val="clear" w:color="000000" w:fill="FFF2CC"/>
            <w:hideMark/>
          </w:tcPr>
          <w:p w14:paraId="3ED7B04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400" w:type="dxa"/>
            <w:vMerge w:val="restart"/>
            <w:shd w:val="clear" w:color="000000" w:fill="FFF2CC"/>
            <w:hideMark/>
          </w:tcPr>
          <w:p w14:paraId="7392A9F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5C8EA96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99" w:type="dxa"/>
            <w:vMerge w:val="restart"/>
            <w:shd w:val="clear" w:color="000000" w:fill="FFF2CC"/>
            <w:hideMark/>
          </w:tcPr>
          <w:p w14:paraId="6806352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513102D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08" w:type="dxa"/>
            <w:gridSpan w:val="3"/>
            <w:shd w:val="clear" w:color="000000" w:fill="FFF2CC"/>
            <w:hideMark/>
          </w:tcPr>
          <w:p w14:paraId="6047A3E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262239" w:rsidRPr="00EF2F18" w14:paraId="40E5DB82" w14:textId="77777777" w:rsidTr="00262239">
        <w:trPr>
          <w:trHeight w:val="441"/>
        </w:trPr>
        <w:tc>
          <w:tcPr>
            <w:tcW w:w="3062" w:type="dxa"/>
            <w:vMerge/>
            <w:vAlign w:val="center"/>
            <w:hideMark/>
          </w:tcPr>
          <w:p w14:paraId="0A3E70C7"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186" w:type="dxa"/>
            <w:vMerge/>
            <w:vAlign w:val="center"/>
            <w:hideMark/>
          </w:tcPr>
          <w:p w14:paraId="18792FB4"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400" w:type="dxa"/>
            <w:vMerge/>
            <w:vAlign w:val="center"/>
            <w:hideMark/>
          </w:tcPr>
          <w:p w14:paraId="7C27C2B6"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182" w:type="dxa"/>
            <w:vMerge/>
            <w:vAlign w:val="center"/>
            <w:hideMark/>
          </w:tcPr>
          <w:p w14:paraId="1C65B469"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99" w:type="dxa"/>
            <w:vMerge/>
            <w:vAlign w:val="center"/>
            <w:hideMark/>
          </w:tcPr>
          <w:p w14:paraId="04C6D007"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40" w:type="dxa"/>
            <w:vMerge/>
            <w:vAlign w:val="center"/>
            <w:hideMark/>
          </w:tcPr>
          <w:p w14:paraId="5A2752A4"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16" w:type="dxa"/>
            <w:shd w:val="clear" w:color="000000" w:fill="FFF2CC"/>
            <w:hideMark/>
          </w:tcPr>
          <w:p w14:paraId="05218BFA" w14:textId="27C5EA60"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350" w:type="dxa"/>
            <w:shd w:val="clear" w:color="000000" w:fill="FFF2CC"/>
            <w:hideMark/>
          </w:tcPr>
          <w:p w14:paraId="7303AACB" w14:textId="67BAE219"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2" w:type="dxa"/>
            <w:shd w:val="clear" w:color="000000" w:fill="FFF2CC"/>
            <w:hideMark/>
          </w:tcPr>
          <w:p w14:paraId="6EBC17B1" w14:textId="71EC3BEB"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262239" w:rsidRPr="00EF2F18" w14:paraId="38A319E6" w14:textId="77777777" w:rsidTr="00262239">
        <w:trPr>
          <w:trHeight w:val="1596"/>
        </w:trPr>
        <w:tc>
          <w:tcPr>
            <w:tcW w:w="3062" w:type="dxa"/>
            <w:shd w:val="clear" w:color="000000" w:fill="FFFFFF"/>
            <w:hideMark/>
          </w:tcPr>
          <w:p w14:paraId="4D22EDF5" w14:textId="271E90EA"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1.2.3.1. Припрема програма обука запослених у органима и организацијама на свим нивоима за прилагођавање на измењене климатске услове</w:t>
            </w:r>
          </w:p>
        </w:tc>
        <w:tc>
          <w:tcPr>
            <w:tcW w:w="1186" w:type="dxa"/>
            <w:hideMark/>
          </w:tcPr>
          <w:p w14:paraId="500FA0C7"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400" w:type="dxa"/>
            <w:hideMark/>
          </w:tcPr>
          <w:p w14:paraId="0297C4CB"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МРЕ, МПШВ, МГСИ, МЗ, РХМЗ, РЗС, РСЈП, НАЈУ, ЈЛС</w:t>
            </w:r>
          </w:p>
        </w:tc>
        <w:tc>
          <w:tcPr>
            <w:tcW w:w="1182" w:type="dxa"/>
            <w:hideMark/>
          </w:tcPr>
          <w:p w14:paraId="136552B3" w14:textId="78500656"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 квартал 2026.</w:t>
            </w:r>
          </w:p>
        </w:tc>
        <w:tc>
          <w:tcPr>
            <w:tcW w:w="1399" w:type="dxa"/>
            <w:hideMark/>
          </w:tcPr>
          <w:p w14:paraId="3122644A" w14:textId="6D32F11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0F6E2B66" w14:textId="61C6BABE" w:rsidR="00262239" w:rsidRPr="00EF2F18" w:rsidRDefault="00262239" w:rsidP="00752CA0">
            <w:pPr>
              <w:spacing w:after="0"/>
              <w:rPr>
                <w:rFonts w:eastAsia="Times New Roman" w:cs="Times New Roman"/>
                <w:color w:val="000000"/>
                <w:sz w:val="20"/>
                <w:szCs w:val="20"/>
                <w:highlight w:val="yellow"/>
                <w:lang w:val="sr-Cyrl-RS" w:eastAsia="sr-Cyrl-RS"/>
              </w:rPr>
            </w:pPr>
          </w:p>
        </w:tc>
        <w:tc>
          <w:tcPr>
            <w:tcW w:w="1316" w:type="dxa"/>
          </w:tcPr>
          <w:p w14:paraId="26344816" w14:textId="1FF6E444" w:rsidR="00262239" w:rsidRPr="00EF2F18" w:rsidRDefault="00262239" w:rsidP="00752CA0">
            <w:pPr>
              <w:spacing w:after="0"/>
              <w:jc w:val="right"/>
              <w:rPr>
                <w:rFonts w:eastAsia="Times New Roman" w:cs="Times New Roman"/>
                <w:color w:val="000000"/>
                <w:sz w:val="20"/>
                <w:szCs w:val="20"/>
                <w:lang w:val="sr-Cyrl-RS" w:eastAsia="sr-Cyrl-RS"/>
              </w:rPr>
            </w:pPr>
          </w:p>
        </w:tc>
        <w:tc>
          <w:tcPr>
            <w:tcW w:w="1350" w:type="dxa"/>
          </w:tcPr>
          <w:p w14:paraId="3EBE36AE" w14:textId="5D9FC4FD" w:rsidR="00262239" w:rsidRPr="00EF2F18" w:rsidRDefault="00262239" w:rsidP="00752CA0">
            <w:pPr>
              <w:spacing w:after="0"/>
              <w:jc w:val="right"/>
              <w:rPr>
                <w:rFonts w:eastAsia="Times New Roman" w:cs="Times New Roman"/>
                <w:color w:val="000000"/>
                <w:sz w:val="20"/>
                <w:szCs w:val="20"/>
                <w:lang w:val="sr-Cyrl-RS" w:eastAsia="sr-Cyrl-RS"/>
              </w:rPr>
            </w:pPr>
          </w:p>
        </w:tc>
        <w:tc>
          <w:tcPr>
            <w:tcW w:w="1442" w:type="dxa"/>
          </w:tcPr>
          <w:p w14:paraId="22447E04" w14:textId="55551844" w:rsidR="00262239" w:rsidRPr="00EF2F18" w:rsidRDefault="00262239" w:rsidP="00752CA0">
            <w:pPr>
              <w:spacing w:after="0"/>
              <w:jc w:val="right"/>
              <w:rPr>
                <w:rFonts w:eastAsia="Times New Roman" w:cs="Times New Roman"/>
                <w:color w:val="000000"/>
                <w:sz w:val="20"/>
                <w:szCs w:val="20"/>
                <w:lang w:val="sr-Cyrl-RS" w:eastAsia="sr-Cyrl-RS"/>
              </w:rPr>
            </w:pPr>
          </w:p>
        </w:tc>
      </w:tr>
      <w:tr w:rsidR="00262239" w:rsidRPr="00EF2F18" w14:paraId="523F2441" w14:textId="77777777" w:rsidTr="00262239">
        <w:trPr>
          <w:trHeight w:val="1608"/>
        </w:trPr>
        <w:tc>
          <w:tcPr>
            <w:tcW w:w="3062" w:type="dxa"/>
            <w:hideMark/>
          </w:tcPr>
          <w:p w14:paraId="64255A1B"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1.2.3.2. Спровођење обука запослених у органима и организацијама на свим нивоима за прилагођавање на измењене климатске услове и примену Дигиталног атласа климе </w:t>
            </w:r>
          </w:p>
        </w:tc>
        <w:tc>
          <w:tcPr>
            <w:tcW w:w="1186" w:type="dxa"/>
            <w:hideMark/>
          </w:tcPr>
          <w:p w14:paraId="07FE9794"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400" w:type="dxa"/>
            <w:hideMark/>
          </w:tcPr>
          <w:p w14:paraId="4D09AD1B"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РХМЗ, МПШВ, МРЕ, РЗС, ЈЛС, НАЈУ, сва министарства</w:t>
            </w:r>
          </w:p>
        </w:tc>
        <w:tc>
          <w:tcPr>
            <w:tcW w:w="1182" w:type="dxa"/>
            <w:hideMark/>
          </w:tcPr>
          <w:p w14:paraId="0742C25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99" w:type="dxa"/>
            <w:hideMark/>
          </w:tcPr>
          <w:p w14:paraId="272591A4" w14:textId="64711FFD"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67510FDA" w14:textId="3C90DA4C" w:rsidR="00262239" w:rsidRPr="00EF2F18" w:rsidRDefault="00262239" w:rsidP="00752CA0">
            <w:pPr>
              <w:spacing w:after="0"/>
              <w:rPr>
                <w:rFonts w:eastAsia="Times New Roman" w:cs="Times New Roman"/>
                <w:color w:val="000000"/>
                <w:sz w:val="20"/>
                <w:szCs w:val="20"/>
                <w:lang w:val="sr-Cyrl-RS" w:eastAsia="sr-Cyrl-RS"/>
              </w:rPr>
            </w:pPr>
          </w:p>
        </w:tc>
        <w:tc>
          <w:tcPr>
            <w:tcW w:w="1316" w:type="dxa"/>
            <w:hideMark/>
          </w:tcPr>
          <w:p w14:paraId="650FF74D"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3.160*</w:t>
            </w:r>
          </w:p>
        </w:tc>
        <w:tc>
          <w:tcPr>
            <w:tcW w:w="1350" w:type="dxa"/>
            <w:hideMark/>
          </w:tcPr>
          <w:p w14:paraId="308F2B1A"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3.160*</w:t>
            </w:r>
          </w:p>
        </w:tc>
        <w:tc>
          <w:tcPr>
            <w:tcW w:w="1442" w:type="dxa"/>
            <w:hideMark/>
          </w:tcPr>
          <w:p w14:paraId="7F754E05"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3.160*</w:t>
            </w:r>
          </w:p>
        </w:tc>
      </w:tr>
    </w:tbl>
    <w:p w14:paraId="5B5EB6FD" w14:textId="311219A6" w:rsidR="007D7243" w:rsidRPr="00EF2F18" w:rsidRDefault="00625841" w:rsidP="007D7243">
      <w:pPr>
        <w:tabs>
          <w:tab w:val="left" w:pos="1940"/>
        </w:tabs>
        <w:spacing w:after="0"/>
        <w:rPr>
          <w:rFonts w:cs="Times New Roman"/>
          <w:sz w:val="20"/>
          <w:szCs w:val="20"/>
          <w:lang w:val="sr-Cyrl-RS"/>
        </w:rPr>
      </w:pPr>
      <w:bookmarkStart w:id="165" w:name="_Hlk147602846"/>
      <w:r w:rsidRPr="00EF2F18">
        <w:rPr>
          <w:sz w:val="20"/>
          <w:szCs w:val="18"/>
          <w:lang w:val="sr-Cyrl-RS"/>
        </w:rPr>
        <w:t>* Извори финансирања и/или средства још увек нису утврђени и/или обезбеђени.</w:t>
      </w:r>
    </w:p>
    <w:p w14:paraId="5B9EFEE5" w14:textId="77777777" w:rsidR="007D7243" w:rsidRPr="00EF2F18" w:rsidRDefault="007D7243" w:rsidP="007D7243">
      <w:pPr>
        <w:spacing w:after="0"/>
        <w:rPr>
          <w:rFonts w:cs="Times New Roman"/>
          <w:sz w:val="20"/>
          <w:szCs w:val="20"/>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385"/>
        <w:gridCol w:w="1440"/>
        <w:gridCol w:w="1415"/>
        <w:gridCol w:w="25"/>
      </w:tblGrid>
      <w:tr w:rsidR="007D7243" w:rsidRPr="00EF2F18" w14:paraId="517D7417" w14:textId="77777777" w:rsidTr="00262239">
        <w:trPr>
          <w:gridAfter w:val="1"/>
          <w:wAfter w:w="25" w:type="dxa"/>
          <w:trHeight w:val="336"/>
        </w:trPr>
        <w:tc>
          <w:tcPr>
            <w:tcW w:w="13640" w:type="dxa"/>
            <w:gridSpan w:val="9"/>
            <w:shd w:val="clear" w:color="000000" w:fill="F7CAAC"/>
            <w:vAlign w:val="center"/>
            <w:hideMark/>
          </w:tcPr>
          <w:p w14:paraId="7DA5821C"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1.2.4: Повећање отпорности градова на климатске промене</w:t>
            </w:r>
          </w:p>
        </w:tc>
      </w:tr>
      <w:tr w:rsidR="007D7243" w:rsidRPr="00EF2F18" w14:paraId="044BDEBC" w14:textId="77777777" w:rsidTr="00262239">
        <w:trPr>
          <w:gridAfter w:val="1"/>
          <w:wAfter w:w="25" w:type="dxa"/>
          <w:trHeight w:val="336"/>
        </w:trPr>
        <w:tc>
          <w:tcPr>
            <w:tcW w:w="13640" w:type="dxa"/>
            <w:gridSpan w:val="9"/>
            <w:shd w:val="clear" w:color="000000" w:fill="F7CAAC"/>
            <w:vAlign w:val="center"/>
            <w:hideMark/>
          </w:tcPr>
          <w:p w14:paraId="54DB8360"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21B663FC" w14:textId="77777777" w:rsidTr="00262239">
        <w:trPr>
          <w:gridAfter w:val="1"/>
          <w:wAfter w:w="25" w:type="dxa"/>
          <w:trHeight w:val="336"/>
        </w:trPr>
        <w:tc>
          <w:tcPr>
            <w:tcW w:w="6880" w:type="dxa"/>
            <w:gridSpan w:val="4"/>
            <w:shd w:val="clear" w:color="000000" w:fill="F7CAAC"/>
            <w:vAlign w:val="center"/>
            <w:hideMark/>
          </w:tcPr>
          <w:p w14:paraId="6DAC7224" w14:textId="54203E9B"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081FB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760" w:type="dxa"/>
            <w:gridSpan w:val="5"/>
            <w:shd w:val="clear" w:color="000000" w:fill="F7CAAC"/>
            <w:vAlign w:val="center"/>
            <w:hideMark/>
          </w:tcPr>
          <w:p w14:paraId="0BA3B07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323CBBE6" w14:textId="77777777" w:rsidTr="00262239">
        <w:trPr>
          <w:gridAfter w:val="1"/>
          <w:wAfter w:w="25" w:type="dxa"/>
          <w:trHeight w:val="336"/>
        </w:trPr>
        <w:tc>
          <w:tcPr>
            <w:tcW w:w="6880" w:type="dxa"/>
            <w:gridSpan w:val="4"/>
            <w:shd w:val="clear" w:color="000000" w:fill="F7CAAC"/>
            <w:vAlign w:val="center"/>
            <w:hideMark/>
          </w:tcPr>
          <w:p w14:paraId="6D26735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shd w:val="clear" w:color="000000" w:fill="F7CAAC"/>
            <w:vAlign w:val="center"/>
            <w:hideMark/>
          </w:tcPr>
          <w:p w14:paraId="7723C4AB"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262239" w:rsidRPr="00EF2F18" w14:paraId="52F76DEE" w14:textId="77777777" w:rsidTr="00262239">
        <w:trPr>
          <w:trHeight w:val="816"/>
        </w:trPr>
        <w:tc>
          <w:tcPr>
            <w:tcW w:w="3320" w:type="dxa"/>
            <w:shd w:val="clear" w:color="000000" w:fill="D9D9D9"/>
            <w:hideMark/>
          </w:tcPr>
          <w:p w14:paraId="5F01300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4B9D908E"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76BF8102"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2BC5195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436B1DDD"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85" w:type="dxa"/>
            <w:shd w:val="clear" w:color="000000" w:fill="D9D9D9"/>
            <w:hideMark/>
          </w:tcPr>
          <w:p w14:paraId="749E9437"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02A8FFF0"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440" w:type="dxa"/>
            <w:gridSpan w:val="2"/>
            <w:shd w:val="clear" w:color="000000" w:fill="D9D9D9"/>
            <w:hideMark/>
          </w:tcPr>
          <w:p w14:paraId="286F5AB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262239" w:rsidRPr="00EF2F18" w14:paraId="3A331CE4" w14:textId="77777777" w:rsidTr="00262239">
        <w:trPr>
          <w:trHeight w:val="816"/>
        </w:trPr>
        <w:tc>
          <w:tcPr>
            <w:tcW w:w="3320" w:type="dxa"/>
            <w:shd w:val="clear" w:color="000000" w:fill="FFFFFF"/>
            <w:hideMark/>
          </w:tcPr>
          <w:p w14:paraId="7941195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Измењен регулаторни оквир у циљу имплементације концепта зелене инфраструктуре</w:t>
            </w:r>
          </w:p>
        </w:tc>
        <w:tc>
          <w:tcPr>
            <w:tcW w:w="1280" w:type="dxa"/>
            <w:shd w:val="clear" w:color="000000" w:fill="FFFFFF"/>
            <w:hideMark/>
          </w:tcPr>
          <w:p w14:paraId="51758B7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25757B3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о раду МГСИ</w:t>
            </w:r>
          </w:p>
        </w:tc>
        <w:tc>
          <w:tcPr>
            <w:tcW w:w="2000" w:type="dxa"/>
            <w:gridSpan w:val="2"/>
            <w:shd w:val="clear" w:color="000000" w:fill="FFFFFF"/>
            <w:hideMark/>
          </w:tcPr>
          <w:p w14:paraId="27043B3B"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686108E5"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0B5383F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shd w:val="clear" w:color="000000" w:fill="FFFFFF"/>
            <w:hideMark/>
          </w:tcPr>
          <w:p w14:paraId="1DF9CDC8"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440" w:type="dxa"/>
            <w:gridSpan w:val="2"/>
            <w:shd w:val="clear" w:color="000000" w:fill="FFFFFF"/>
            <w:hideMark/>
          </w:tcPr>
          <w:p w14:paraId="13583698"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262239" w:rsidRPr="00EF2F18" w14:paraId="36F4DA30" w14:textId="77777777" w:rsidTr="00262239">
        <w:trPr>
          <w:trHeight w:val="1344"/>
        </w:trPr>
        <w:tc>
          <w:tcPr>
            <w:tcW w:w="3320" w:type="dxa"/>
            <w:shd w:val="clear" w:color="000000" w:fill="FFFFFF"/>
            <w:hideMark/>
          </w:tcPr>
          <w:p w14:paraId="55E82F18"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Израђене препоруке/смернице за унапређено планирање, управљање и изградњу урбаних зелених површина узимајући у обзир измењене климатске услове</w:t>
            </w:r>
          </w:p>
        </w:tc>
        <w:tc>
          <w:tcPr>
            <w:tcW w:w="1280" w:type="dxa"/>
            <w:shd w:val="clear" w:color="000000" w:fill="FFFFFF"/>
            <w:hideMark/>
          </w:tcPr>
          <w:p w14:paraId="47638482"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4FDF526E"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Извештај о раду МЗЖС</w:t>
            </w:r>
          </w:p>
        </w:tc>
        <w:tc>
          <w:tcPr>
            <w:tcW w:w="2000" w:type="dxa"/>
            <w:gridSpan w:val="2"/>
            <w:shd w:val="clear" w:color="000000" w:fill="FFFFFF"/>
            <w:hideMark/>
          </w:tcPr>
          <w:p w14:paraId="456A32A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16272C8F"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2B2DF5B4"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440" w:type="dxa"/>
            <w:shd w:val="clear" w:color="000000" w:fill="FFFFFF"/>
            <w:hideMark/>
          </w:tcPr>
          <w:p w14:paraId="1D37C10D"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440" w:type="dxa"/>
            <w:gridSpan w:val="2"/>
            <w:shd w:val="clear" w:color="000000" w:fill="FFFFFF"/>
            <w:hideMark/>
          </w:tcPr>
          <w:p w14:paraId="7EF5CE36" w14:textId="7777777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r>
    </w:tbl>
    <w:p w14:paraId="6A6344EB" w14:textId="77777777" w:rsidR="007D7243" w:rsidRPr="00EF2F18" w:rsidRDefault="007D7243" w:rsidP="007D7243">
      <w:pPr>
        <w:spacing w:after="0"/>
        <w:rPr>
          <w:rFonts w:cs="Times New Roman"/>
          <w:sz w:val="20"/>
          <w:szCs w:val="20"/>
          <w:lang w:val="sr-Cyrl-RS"/>
        </w:rPr>
      </w:pPr>
    </w:p>
    <w:tbl>
      <w:tblPr>
        <w:tblW w:w="1367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46"/>
        <w:gridCol w:w="2560"/>
        <w:gridCol w:w="2389"/>
        <w:gridCol w:w="2340"/>
        <w:gridCol w:w="2430"/>
        <w:gridCol w:w="8"/>
      </w:tblGrid>
      <w:tr w:rsidR="007D7243" w:rsidRPr="00EF2F18" w14:paraId="0179962D" w14:textId="77777777" w:rsidTr="00752CA0">
        <w:trPr>
          <w:trHeight w:val="336"/>
        </w:trPr>
        <w:tc>
          <w:tcPr>
            <w:tcW w:w="3946" w:type="dxa"/>
            <w:vMerge w:val="restart"/>
            <w:shd w:val="clear" w:color="000000" w:fill="A8D08D"/>
            <w:hideMark/>
          </w:tcPr>
          <w:p w14:paraId="7D57D14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60" w:type="dxa"/>
            <w:vMerge w:val="restart"/>
            <w:shd w:val="clear" w:color="000000" w:fill="A8D08D"/>
            <w:hideMark/>
          </w:tcPr>
          <w:p w14:paraId="2D04457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167" w:type="dxa"/>
            <w:gridSpan w:val="4"/>
            <w:shd w:val="clear" w:color="000000" w:fill="A8D08D"/>
            <w:hideMark/>
          </w:tcPr>
          <w:p w14:paraId="17E9DAB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262239" w:rsidRPr="00EF2F18" w14:paraId="0102C2B9" w14:textId="77777777" w:rsidTr="00262239">
        <w:trPr>
          <w:gridAfter w:val="1"/>
          <w:wAfter w:w="8" w:type="dxa"/>
          <w:trHeight w:val="336"/>
        </w:trPr>
        <w:tc>
          <w:tcPr>
            <w:tcW w:w="3946" w:type="dxa"/>
            <w:vMerge/>
            <w:vAlign w:val="center"/>
            <w:hideMark/>
          </w:tcPr>
          <w:p w14:paraId="3082E616"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560" w:type="dxa"/>
            <w:vMerge/>
            <w:vAlign w:val="center"/>
            <w:hideMark/>
          </w:tcPr>
          <w:p w14:paraId="28C19424"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389" w:type="dxa"/>
            <w:shd w:val="clear" w:color="000000" w:fill="A8D08D"/>
            <w:hideMark/>
          </w:tcPr>
          <w:p w14:paraId="77FA4482" w14:textId="4976F785"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340" w:type="dxa"/>
            <w:shd w:val="clear" w:color="000000" w:fill="A8D08D"/>
            <w:hideMark/>
          </w:tcPr>
          <w:p w14:paraId="57231F35" w14:textId="1D941C8B"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430" w:type="dxa"/>
            <w:shd w:val="clear" w:color="000000" w:fill="A8D08D"/>
            <w:hideMark/>
          </w:tcPr>
          <w:p w14:paraId="79710CBE" w14:textId="3AC2145C"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262239" w:rsidRPr="00EF2F18" w14:paraId="3FF9709D" w14:textId="77777777" w:rsidTr="00262239">
        <w:trPr>
          <w:gridAfter w:val="1"/>
          <w:wAfter w:w="8" w:type="dxa"/>
          <w:trHeight w:val="324"/>
        </w:trPr>
        <w:tc>
          <w:tcPr>
            <w:tcW w:w="3946" w:type="dxa"/>
            <w:vAlign w:val="center"/>
            <w:hideMark/>
          </w:tcPr>
          <w:p w14:paraId="61F4E3AF"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560" w:type="dxa"/>
            <w:vAlign w:val="center"/>
            <w:hideMark/>
          </w:tcPr>
          <w:p w14:paraId="0ACF9E6D"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89" w:type="dxa"/>
            <w:vAlign w:val="center"/>
            <w:hideMark/>
          </w:tcPr>
          <w:p w14:paraId="6836B91E"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40" w:type="dxa"/>
            <w:vAlign w:val="center"/>
            <w:hideMark/>
          </w:tcPr>
          <w:p w14:paraId="1668AF15"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30" w:type="dxa"/>
            <w:vAlign w:val="center"/>
            <w:hideMark/>
          </w:tcPr>
          <w:p w14:paraId="491183C8"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262239" w:rsidRPr="00EF2F18" w14:paraId="02453D06" w14:textId="77777777" w:rsidTr="00262239">
        <w:trPr>
          <w:gridAfter w:val="1"/>
          <w:wAfter w:w="8" w:type="dxa"/>
          <w:trHeight w:val="519"/>
        </w:trPr>
        <w:tc>
          <w:tcPr>
            <w:tcW w:w="3946" w:type="dxa"/>
            <w:vAlign w:val="center"/>
            <w:hideMark/>
          </w:tcPr>
          <w:p w14:paraId="5F621285"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(МГСИ)</w:t>
            </w:r>
          </w:p>
        </w:tc>
        <w:tc>
          <w:tcPr>
            <w:tcW w:w="2560" w:type="dxa"/>
            <w:vAlign w:val="center"/>
            <w:hideMark/>
          </w:tcPr>
          <w:p w14:paraId="506D7033"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2389" w:type="dxa"/>
            <w:vAlign w:val="center"/>
            <w:hideMark/>
          </w:tcPr>
          <w:p w14:paraId="01757471"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40" w:type="dxa"/>
            <w:vAlign w:val="center"/>
            <w:hideMark/>
          </w:tcPr>
          <w:p w14:paraId="1200B7B2"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30" w:type="dxa"/>
            <w:vAlign w:val="center"/>
            <w:hideMark/>
          </w:tcPr>
          <w:p w14:paraId="4093D453" w14:textId="77777777" w:rsidR="00262239" w:rsidRPr="00EF2F18" w:rsidRDefault="0026223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5EB5E2B2" w14:textId="77777777" w:rsidR="007D7243" w:rsidRPr="00EF2F18" w:rsidRDefault="007D7243" w:rsidP="007D7243">
      <w:pPr>
        <w:spacing w:after="0"/>
        <w:rPr>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9"/>
        <w:gridCol w:w="1278"/>
        <w:gridCol w:w="1300"/>
        <w:gridCol w:w="1182"/>
        <w:gridCol w:w="1400"/>
        <w:gridCol w:w="1340"/>
        <w:gridCol w:w="1316"/>
        <w:gridCol w:w="1350"/>
        <w:gridCol w:w="1440"/>
      </w:tblGrid>
      <w:tr w:rsidR="007D7243" w:rsidRPr="00EF2F18" w14:paraId="764AEB0F" w14:textId="77777777" w:rsidTr="00262239">
        <w:trPr>
          <w:trHeight w:val="759"/>
        </w:trPr>
        <w:tc>
          <w:tcPr>
            <w:tcW w:w="3069" w:type="dxa"/>
            <w:vMerge w:val="restart"/>
            <w:shd w:val="clear" w:color="000000" w:fill="FFF2CC"/>
            <w:hideMark/>
          </w:tcPr>
          <w:p w14:paraId="02C6B25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8" w:type="dxa"/>
            <w:vMerge w:val="restart"/>
            <w:shd w:val="clear" w:color="000000" w:fill="FFF2CC"/>
            <w:hideMark/>
          </w:tcPr>
          <w:p w14:paraId="1BB467C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00" w:type="dxa"/>
            <w:vMerge w:val="restart"/>
            <w:shd w:val="clear" w:color="000000" w:fill="FFF2CC"/>
            <w:hideMark/>
          </w:tcPr>
          <w:p w14:paraId="72FD412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78B8CD6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64ABF13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3351588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06" w:type="dxa"/>
            <w:gridSpan w:val="3"/>
            <w:shd w:val="clear" w:color="000000" w:fill="FFF2CC"/>
            <w:hideMark/>
          </w:tcPr>
          <w:p w14:paraId="52BEA19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262239" w:rsidRPr="00EF2F18" w14:paraId="255065BD" w14:textId="77777777" w:rsidTr="00262239">
        <w:trPr>
          <w:trHeight w:val="399"/>
        </w:trPr>
        <w:tc>
          <w:tcPr>
            <w:tcW w:w="3069" w:type="dxa"/>
            <w:vMerge/>
            <w:vAlign w:val="center"/>
            <w:hideMark/>
          </w:tcPr>
          <w:p w14:paraId="33289549"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278" w:type="dxa"/>
            <w:vMerge/>
            <w:vAlign w:val="center"/>
            <w:hideMark/>
          </w:tcPr>
          <w:p w14:paraId="36F3EEA8"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00" w:type="dxa"/>
            <w:vMerge/>
            <w:vAlign w:val="center"/>
            <w:hideMark/>
          </w:tcPr>
          <w:p w14:paraId="47177467"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182" w:type="dxa"/>
            <w:vMerge/>
            <w:vAlign w:val="center"/>
            <w:hideMark/>
          </w:tcPr>
          <w:p w14:paraId="69D9774C"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400" w:type="dxa"/>
            <w:vMerge/>
            <w:vAlign w:val="center"/>
            <w:hideMark/>
          </w:tcPr>
          <w:p w14:paraId="56C27D51"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40" w:type="dxa"/>
            <w:vMerge/>
            <w:vAlign w:val="center"/>
            <w:hideMark/>
          </w:tcPr>
          <w:p w14:paraId="7E4E7D0A"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16" w:type="dxa"/>
            <w:shd w:val="clear" w:color="000000" w:fill="FFF2CC"/>
            <w:hideMark/>
          </w:tcPr>
          <w:p w14:paraId="773CCB2C" w14:textId="7FF48883"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724B584F" w14:textId="1F27B4B7"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440" w:type="dxa"/>
            <w:shd w:val="clear" w:color="000000" w:fill="FFF2CC"/>
            <w:hideMark/>
          </w:tcPr>
          <w:p w14:paraId="4F87BC52" w14:textId="002157A9" w:rsidR="00262239" w:rsidRPr="00EF2F18" w:rsidRDefault="0026223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262239" w:rsidRPr="00EF2F18" w14:paraId="371D01BC" w14:textId="77777777" w:rsidTr="00262239">
        <w:trPr>
          <w:trHeight w:val="852"/>
        </w:trPr>
        <w:tc>
          <w:tcPr>
            <w:tcW w:w="3069" w:type="dxa"/>
            <w:hideMark/>
          </w:tcPr>
          <w:p w14:paraId="185BD63C" w14:textId="02E0C472"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1.2.4.1</w:t>
            </w:r>
            <w:r w:rsidR="00C16633">
              <w:rPr>
                <w:rFonts w:eastAsia="Times New Roman" w:cs="Times New Roman"/>
                <w:color w:val="000000"/>
                <w:sz w:val="20"/>
                <w:szCs w:val="20"/>
                <w:lang w:val="sr-Cyrl-RS" w:eastAsia="sr-Cyrl-RS"/>
              </w:rPr>
              <w:t>.</w:t>
            </w:r>
            <w:r w:rsidRPr="00EF2F18">
              <w:rPr>
                <w:rFonts w:eastAsia="Times New Roman" w:cs="Times New Roman"/>
                <w:color w:val="000000"/>
                <w:szCs w:val="24"/>
                <w:lang w:val="sr-Cyrl-RS" w:eastAsia="sr-Cyrl-RS"/>
              </w:rPr>
              <w:t xml:space="preserve"> </w:t>
            </w:r>
            <w:r w:rsidRPr="00EF2F18">
              <w:rPr>
                <w:rFonts w:eastAsia="Times New Roman" w:cs="Times New Roman"/>
                <w:color w:val="000000"/>
                <w:sz w:val="20"/>
                <w:szCs w:val="20"/>
                <w:lang w:val="sr-Cyrl-RS" w:eastAsia="sr-Cyrl-RS"/>
              </w:rPr>
              <w:t xml:space="preserve">Измена регулаторног оквира у циљу имплементације концепта зелене инфраструктуре </w:t>
            </w:r>
          </w:p>
        </w:tc>
        <w:tc>
          <w:tcPr>
            <w:tcW w:w="1278" w:type="dxa"/>
            <w:hideMark/>
          </w:tcPr>
          <w:p w14:paraId="163675B8"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300" w:type="dxa"/>
            <w:hideMark/>
          </w:tcPr>
          <w:p w14:paraId="424ED6FB"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ЗЗПС, ПЗЗП</w:t>
            </w:r>
          </w:p>
        </w:tc>
        <w:tc>
          <w:tcPr>
            <w:tcW w:w="1182" w:type="dxa"/>
            <w:hideMark/>
          </w:tcPr>
          <w:p w14:paraId="659A2B6E"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400" w:type="dxa"/>
            <w:hideMark/>
          </w:tcPr>
          <w:p w14:paraId="66810967"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7F52AA94"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16" w:type="dxa"/>
          </w:tcPr>
          <w:p w14:paraId="01E3535E" w14:textId="256DCCB2" w:rsidR="00262239" w:rsidRPr="00EF2F18" w:rsidRDefault="00262239" w:rsidP="00752CA0">
            <w:pPr>
              <w:spacing w:after="0"/>
              <w:jc w:val="right"/>
              <w:rPr>
                <w:rFonts w:eastAsia="Times New Roman" w:cs="Times New Roman"/>
                <w:color w:val="000000"/>
                <w:sz w:val="20"/>
                <w:szCs w:val="20"/>
                <w:lang w:val="sr-Cyrl-RS" w:eastAsia="sr-Cyrl-RS"/>
              </w:rPr>
            </w:pPr>
          </w:p>
        </w:tc>
        <w:tc>
          <w:tcPr>
            <w:tcW w:w="1350" w:type="dxa"/>
          </w:tcPr>
          <w:p w14:paraId="0901FF8A" w14:textId="389E213C" w:rsidR="00262239" w:rsidRPr="00EF2F18" w:rsidRDefault="00262239" w:rsidP="00752CA0">
            <w:pPr>
              <w:spacing w:after="0"/>
              <w:jc w:val="right"/>
              <w:rPr>
                <w:rFonts w:eastAsia="Times New Roman" w:cs="Times New Roman"/>
                <w:color w:val="000000"/>
                <w:sz w:val="20"/>
                <w:szCs w:val="20"/>
                <w:lang w:val="sr-Cyrl-RS" w:eastAsia="sr-Cyrl-RS"/>
              </w:rPr>
            </w:pPr>
          </w:p>
        </w:tc>
        <w:tc>
          <w:tcPr>
            <w:tcW w:w="1440" w:type="dxa"/>
          </w:tcPr>
          <w:p w14:paraId="2CB50211" w14:textId="1EEE5777" w:rsidR="00262239" w:rsidRPr="00EF2F18" w:rsidRDefault="00262239" w:rsidP="00752CA0">
            <w:pPr>
              <w:spacing w:after="0"/>
              <w:jc w:val="right"/>
              <w:rPr>
                <w:rFonts w:eastAsia="Times New Roman" w:cs="Times New Roman"/>
                <w:color w:val="000000"/>
                <w:sz w:val="20"/>
                <w:szCs w:val="20"/>
                <w:lang w:val="sr-Cyrl-RS" w:eastAsia="sr-Cyrl-RS"/>
              </w:rPr>
            </w:pPr>
          </w:p>
        </w:tc>
      </w:tr>
      <w:tr w:rsidR="00262239" w:rsidRPr="00EF2F18" w14:paraId="417D37B1" w14:textId="77777777" w:rsidTr="00262239">
        <w:trPr>
          <w:trHeight w:val="2652"/>
        </w:trPr>
        <w:tc>
          <w:tcPr>
            <w:tcW w:w="3069" w:type="dxa"/>
            <w:hideMark/>
          </w:tcPr>
          <w:p w14:paraId="6ED86365" w14:textId="0B36684B"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1.2.4.2. Успостављање и примена стандарда и норматива приликом планирања и пројектовања зелене инфраструктуре (степен озелењености, минимална површина зеленила по глави становника, доступност зелене површине) и успостављање и примена урбанистич</w:t>
            </w:r>
            <w:r w:rsidR="00C16633">
              <w:rPr>
                <w:rFonts w:eastAsia="Times New Roman" w:cs="Times New Roman"/>
                <w:color w:val="000000"/>
                <w:sz w:val="20"/>
                <w:szCs w:val="20"/>
                <w:lang w:val="sr-Cyrl-RS" w:eastAsia="sr-Cyrl-RS"/>
              </w:rPr>
              <w:t>к</w:t>
            </w:r>
            <w:r w:rsidRPr="00EF2F18">
              <w:rPr>
                <w:rFonts w:eastAsia="Times New Roman" w:cs="Times New Roman"/>
                <w:color w:val="000000"/>
                <w:sz w:val="20"/>
                <w:szCs w:val="20"/>
                <w:lang w:val="sr-Cyrl-RS" w:eastAsia="sr-Cyrl-RS"/>
              </w:rPr>
              <w:t>их параметара (еколошки индекс)</w:t>
            </w:r>
          </w:p>
        </w:tc>
        <w:tc>
          <w:tcPr>
            <w:tcW w:w="1278" w:type="dxa"/>
            <w:hideMark/>
          </w:tcPr>
          <w:p w14:paraId="7E6A16F8"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300" w:type="dxa"/>
            <w:hideMark/>
          </w:tcPr>
          <w:p w14:paraId="47001CE8"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ЗЗПС, ПЗЗП</w:t>
            </w:r>
          </w:p>
        </w:tc>
        <w:tc>
          <w:tcPr>
            <w:tcW w:w="1182" w:type="dxa"/>
            <w:hideMark/>
          </w:tcPr>
          <w:p w14:paraId="6A61D103"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400" w:type="dxa"/>
            <w:hideMark/>
          </w:tcPr>
          <w:p w14:paraId="459C4D09"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tcPr>
          <w:p w14:paraId="18443028" w14:textId="519B7DB2" w:rsidR="00262239" w:rsidRPr="00EF2F18" w:rsidRDefault="00262239" w:rsidP="00752CA0">
            <w:pPr>
              <w:spacing w:after="0"/>
              <w:rPr>
                <w:rFonts w:eastAsia="Times New Roman" w:cs="Times New Roman"/>
                <w:color w:val="000000"/>
                <w:sz w:val="20"/>
                <w:szCs w:val="20"/>
                <w:lang w:val="sr-Cyrl-RS" w:eastAsia="sr-Cyrl-RS"/>
              </w:rPr>
            </w:pPr>
          </w:p>
        </w:tc>
        <w:tc>
          <w:tcPr>
            <w:tcW w:w="1316" w:type="dxa"/>
          </w:tcPr>
          <w:p w14:paraId="6FAA30F4" w14:textId="4ED35E0B" w:rsidR="00262239" w:rsidRPr="00EF2F18" w:rsidRDefault="00262239" w:rsidP="00752CA0">
            <w:pPr>
              <w:spacing w:after="0"/>
              <w:jc w:val="right"/>
              <w:rPr>
                <w:rFonts w:eastAsia="Times New Roman" w:cs="Times New Roman"/>
                <w:color w:val="000000"/>
                <w:sz w:val="20"/>
                <w:szCs w:val="20"/>
                <w:lang w:val="sr-Cyrl-RS" w:eastAsia="sr-Cyrl-RS"/>
              </w:rPr>
            </w:pPr>
          </w:p>
        </w:tc>
        <w:tc>
          <w:tcPr>
            <w:tcW w:w="1350" w:type="dxa"/>
          </w:tcPr>
          <w:p w14:paraId="6F24E318" w14:textId="6831854A" w:rsidR="00262239" w:rsidRPr="00EF2F18" w:rsidRDefault="00262239" w:rsidP="00752CA0">
            <w:pPr>
              <w:spacing w:after="0"/>
              <w:jc w:val="right"/>
              <w:rPr>
                <w:rFonts w:eastAsia="Times New Roman" w:cs="Times New Roman"/>
                <w:color w:val="000000"/>
                <w:sz w:val="20"/>
                <w:szCs w:val="20"/>
                <w:lang w:val="sr-Cyrl-RS" w:eastAsia="sr-Cyrl-RS"/>
              </w:rPr>
            </w:pPr>
          </w:p>
        </w:tc>
        <w:tc>
          <w:tcPr>
            <w:tcW w:w="1440" w:type="dxa"/>
          </w:tcPr>
          <w:p w14:paraId="752903A1" w14:textId="7A81FF71" w:rsidR="00262239" w:rsidRPr="00EF2F18" w:rsidRDefault="00262239" w:rsidP="00752CA0">
            <w:pPr>
              <w:spacing w:after="0"/>
              <w:jc w:val="right"/>
              <w:rPr>
                <w:rFonts w:eastAsia="Times New Roman" w:cs="Times New Roman"/>
                <w:color w:val="000000"/>
                <w:sz w:val="20"/>
                <w:szCs w:val="20"/>
                <w:lang w:val="sr-Cyrl-RS" w:eastAsia="sr-Cyrl-RS"/>
              </w:rPr>
            </w:pPr>
          </w:p>
        </w:tc>
      </w:tr>
      <w:tr w:rsidR="00262239" w:rsidRPr="00EF2F18" w14:paraId="053CF769" w14:textId="77777777" w:rsidTr="00262239">
        <w:trPr>
          <w:trHeight w:val="876"/>
        </w:trPr>
        <w:tc>
          <w:tcPr>
            <w:tcW w:w="3069" w:type="dxa"/>
            <w:vMerge w:val="restart"/>
            <w:hideMark/>
          </w:tcPr>
          <w:p w14:paraId="7BCE530B"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1.2.4.3. Израда смерница за унапређено планирање, управљање и изградњу урбаних зелених површина узимајући у обзир измењене климатске услове</w:t>
            </w:r>
          </w:p>
        </w:tc>
        <w:tc>
          <w:tcPr>
            <w:tcW w:w="1278" w:type="dxa"/>
            <w:vMerge w:val="restart"/>
            <w:hideMark/>
          </w:tcPr>
          <w:p w14:paraId="3554D3B8"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00" w:type="dxa"/>
            <w:tcBorders>
              <w:bottom w:val="nil"/>
            </w:tcBorders>
            <w:hideMark/>
          </w:tcPr>
          <w:p w14:paraId="124B041A" w14:textId="77777777"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 ЈЛС</w:t>
            </w:r>
          </w:p>
        </w:tc>
        <w:tc>
          <w:tcPr>
            <w:tcW w:w="1182" w:type="dxa"/>
            <w:vMerge w:val="restart"/>
            <w:hideMark/>
          </w:tcPr>
          <w:p w14:paraId="62E90D25" w14:textId="287CCF60"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 квартал 2026.</w:t>
            </w:r>
          </w:p>
        </w:tc>
        <w:tc>
          <w:tcPr>
            <w:tcW w:w="1400" w:type="dxa"/>
            <w:vMerge w:val="restart"/>
            <w:hideMark/>
          </w:tcPr>
          <w:p w14:paraId="21AA2B05" w14:textId="356D92AE" w:rsidR="00262239" w:rsidRPr="00EF2F18" w:rsidRDefault="0026223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w:t>
            </w:r>
          </w:p>
        </w:tc>
        <w:tc>
          <w:tcPr>
            <w:tcW w:w="1340" w:type="dxa"/>
            <w:vMerge w:val="restart"/>
            <w:hideMark/>
          </w:tcPr>
          <w:p w14:paraId="18412BD8" w14:textId="5EFA632F" w:rsidR="00262239" w:rsidRPr="00EF2F18" w:rsidRDefault="00262239" w:rsidP="00752CA0">
            <w:pPr>
              <w:spacing w:after="0"/>
              <w:rPr>
                <w:rFonts w:eastAsia="Times New Roman" w:cs="Times New Roman"/>
                <w:color w:val="000000"/>
                <w:sz w:val="20"/>
                <w:szCs w:val="20"/>
                <w:highlight w:val="yellow"/>
                <w:lang w:val="sr-Cyrl-RS" w:eastAsia="sr-Cyrl-RS"/>
              </w:rPr>
            </w:pPr>
          </w:p>
        </w:tc>
        <w:tc>
          <w:tcPr>
            <w:tcW w:w="1316" w:type="dxa"/>
            <w:vMerge w:val="restart"/>
          </w:tcPr>
          <w:p w14:paraId="6C2D5579" w14:textId="2FB9D423" w:rsidR="00262239" w:rsidRPr="00EF2F18" w:rsidRDefault="00262239" w:rsidP="00752CA0">
            <w:pPr>
              <w:spacing w:after="0"/>
              <w:jc w:val="right"/>
              <w:rPr>
                <w:rFonts w:eastAsia="Times New Roman" w:cs="Times New Roman"/>
                <w:color w:val="000000"/>
                <w:sz w:val="20"/>
                <w:szCs w:val="20"/>
                <w:lang w:val="sr-Cyrl-RS" w:eastAsia="sr-Cyrl-RS"/>
              </w:rPr>
            </w:pPr>
          </w:p>
        </w:tc>
        <w:tc>
          <w:tcPr>
            <w:tcW w:w="1350" w:type="dxa"/>
            <w:vMerge w:val="restart"/>
          </w:tcPr>
          <w:p w14:paraId="22350436" w14:textId="070C1DAE" w:rsidR="00262239" w:rsidRPr="00EF2F18" w:rsidRDefault="00262239" w:rsidP="00752CA0">
            <w:pPr>
              <w:spacing w:after="0"/>
              <w:jc w:val="right"/>
              <w:rPr>
                <w:rFonts w:eastAsia="Times New Roman" w:cs="Times New Roman"/>
                <w:color w:val="000000"/>
                <w:sz w:val="20"/>
                <w:szCs w:val="20"/>
                <w:lang w:val="sr-Cyrl-RS" w:eastAsia="sr-Cyrl-RS"/>
              </w:rPr>
            </w:pPr>
          </w:p>
        </w:tc>
        <w:tc>
          <w:tcPr>
            <w:tcW w:w="1440" w:type="dxa"/>
            <w:vMerge w:val="restart"/>
          </w:tcPr>
          <w:p w14:paraId="66EF4BD4" w14:textId="76DB6351" w:rsidR="00262239" w:rsidRPr="00EF2F18" w:rsidRDefault="00262239" w:rsidP="00752CA0">
            <w:pPr>
              <w:spacing w:after="0"/>
              <w:jc w:val="right"/>
              <w:rPr>
                <w:rFonts w:eastAsia="Times New Roman" w:cs="Times New Roman"/>
                <w:color w:val="000000"/>
                <w:sz w:val="20"/>
                <w:szCs w:val="20"/>
                <w:lang w:val="sr-Cyrl-RS" w:eastAsia="sr-Cyrl-RS"/>
              </w:rPr>
            </w:pPr>
          </w:p>
        </w:tc>
      </w:tr>
      <w:tr w:rsidR="00262239" w:rsidRPr="00EF2F18" w14:paraId="01F10237" w14:textId="77777777" w:rsidTr="00262239">
        <w:trPr>
          <w:trHeight w:val="324"/>
        </w:trPr>
        <w:tc>
          <w:tcPr>
            <w:tcW w:w="3069" w:type="dxa"/>
            <w:vMerge/>
            <w:vAlign w:val="center"/>
            <w:hideMark/>
          </w:tcPr>
          <w:p w14:paraId="0EEC2022"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278" w:type="dxa"/>
            <w:vMerge/>
            <w:vAlign w:val="center"/>
            <w:hideMark/>
          </w:tcPr>
          <w:p w14:paraId="1399798B"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00" w:type="dxa"/>
            <w:tcBorders>
              <w:top w:val="nil"/>
            </w:tcBorders>
            <w:hideMark/>
          </w:tcPr>
          <w:p w14:paraId="01D87E06"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182" w:type="dxa"/>
            <w:vMerge/>
            <w:vAlign w:val="center"/>
            <w:hideMark/>
          </w:tcPr>
          <w:p w14:paraId="69676C51"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400" w:type="dxa"/>
            <w:vMerge/>
            <w:vAlign w:val="center"/>
            <w:hideMark/>
          </w:tcPr>
          <w:p w14:paraId="3FB34BDA"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40" w:type="dxa"/>
            <w:vMerge/>
            <w:vAlign w:val="center"/>
            <w:hideMark/>
          </w:tcPr>
          <w:p w14:paraId="5C71AE4E"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16" w:type="dxa"/>
            <w:vMerge/>
            <w:vAlign w:val="center"/>
          </w:tcPr>
          <w:p w14:paraId="6CD528A5"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350" w:type="dxa"/>
            <w:vMerge/>
            <w:vAlign w:val="center"/>
          </w:tcPr>
          <w:p w14:paraId="48853CF9" w14:textId="77777777" w:rsidR="00262239" w:rsidRPr="00EF2F18" w:rsidRDefault="00262239" w:rsidP="00752CA0">
            <w:pPr>
              <w:spacing w:after="0"/>
              <w:rPr>
                <w:rFonts w:eastAsia="Times New Roman" w:cs="Times New Roman"/>
                <w:color w:val="000000"/>
                <w:sz w:val="20"/>
                <w:szCs w:val="20"/>
                <w:lang w:val="sr-Cyrl-RS" w:eastAsia="sr-Cyrl-RS"/>
              </w:rPr>
            </w:pPr>
          </w:p>
        </w:tc>
        <w:tc>
          <w:tcPr>
            <w:tcW w:w="1440" w:type="dxa"/>
            <w:vMerge/>
            <w:vAlign w:val="center"/>
          </w:tcPr>
          <w:p w14:paraId="3A810030" w14:textId="77777777" w:rsidR="00262239" w:rsidRPr="00EF2F18" w:rsidRDefault="00262239" w:rsidP="00752CA0">
            <w:pPr>
              <w:spacing w:after="0"/>
              <w:rPr>
                <w:rFonts w:eastAsia="Times New Roman" w:cs="Times New Roman"/>
                <w:color w:val="000000"/>
                <w:sz w:val="20"/>
                <w:szCs w:val="20"/>
                <w:lang w:val="sr-Cyrl-RS" w:eastAsia="sr-Cyrl-RS"/>
              </w:rPr>
            </w:pPr>
          </w:p>
        </w:tc>
      </w:tr>
    </w:tbl>
    <w:p w14:paraId="15EEA41E" w14:textId="0556018C" w:rsidR="007D7243" w:rsidRPr="00EF2F18" w:rsidRDefault="00625841"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7F1AC5D9" w14:textId="77777777" w:rsidR="007D7243" w:rsidRPr="00EF2F18" w:rsidRDefault="007D7243" w:rsidP="007D7243">
      <w:pPr>
        <w:spacing w:after="0"/>
        <w:rPr>
          <w:rFonts w:cs="Times New Roman"/>
          <w:sz w:val="20"/>
          <w:szCs w:val="20"/>
          <w:lang w:val="sr-Cyrl-RS"/>
        </w:rPr>
      </w:pPr>
    </w:p>
    <w:tbl>
      <w:tblPr>
        <w:tblW w:w="1375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385"/>
        <w:gridCol w:w="1530"/>
        <w:gridCol w:w="1420"/>
        <w:gridCol w:w="20"/>
      </w:tblGrid>
      <w:tr w:rsidR="007D7243" w:rsidRPr="00EF2F18" w14:paraId="4774C176" w14:textId="77777777" w:rsidTr="00081FB7">
        <w:trPr>
          <w:gridAfter w:val="1"/>
          <w:wAfter w:w="20" w:type="dxa"/>
          <w:trHeight w:val="336"/>
        </w:trPr>
        <w:tc>
          <w:tcPr>
            <w:tcW w:w="13735" w:type="dxa"/>
            <w:gridSpan w:val="9"/>
            <w:shd w:val="clear" w:color="000000" w:fill="F7CAAC"/>
            <w:vAlign w:val="center"/>
            <w:hideMark/>
          </w:tcPr>
          <w:p w14:paraId="41251A75" w14:textId="4D5BC2A1"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1.2.5: Унапређење система за праћење утицаја климатских промена и смањење ризика</w:t>
            </w:r>
            <w:r w:rsidR="00FA7222" w:rsidRPr="00EF2F18">
              <w:rPr>
                <w:rFonts w:eastAsia="Times New Roman" w:cs="Times New Roman"/>
                <w:b/>
                <w:bCs/>
                <w:color w:val="000000"/>
                <w:sz w:val="20"/>
                <w:szCs w:val="20"/>
                <w:lang w:val="sr-Cyrl-RS" w:eastAsia="sr-Cyrl-RS"/>
              </w:rPr>
              <w:t xml:space="preserve"> </w:t>
            </w:r>
          </w:p>
        </w:tc>
      </w:tr>
      <w:tr w:rsidR="007D7243" w:rsidRPr="00EF2F18" w14:paraId="49AC0185" w14:textId="77777777" w:rsidTr="00081FB7">
        <w:trPr>
          <w:gridAfter w:val="1"/>
          <w:wAfter w:w="20" w:type="dxa"/>
          <w:trHeight w:val="336"/>
        </w:trPr>
        <w:tc>
          <w:tcPr>
            <w:tcW w:w="13735" w:type="dxa"/>
            <w:gridSpan w:val="9"/>
            <w:shd w:val="clear" w:color="000000" w:fill="F7CAAC"/>
            <w:vAlign w:val="center"/>
            <w:hideMark/>
          </w:tcPr>
          <w:p w14:paraId="652EA63B"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w:t>
            </w:r>
          </w:p>
        </w:tc>
      </w:tr>
      <w:tr w:rsidR="007D7243" w:rsidRPr="00EF2F18" w14:paraId="379B4E0D" w14:textId="77777777" w:rsidTr="00081FB7">
        <w:trPr>
          <w:gridAfter w:val="1"/>
          <w:wAfter w:w="20" w:type="dxa"/>
          <w:trHeight w:val="336"/>
        </w:trPr>
        <w:tc>
          <w:tcPr>
            <w:tcW w:w="6880" w:type="dxa"/>
            <w:gridSpan w:val="4"/>
            <w:shd w:val="clear" w:color="000000" w:fill="F7CAAC"/>
            <w:vAlign w:val="center"/>
            <w:hideMark/>
          </w:tcPr>
          <w:p w14:paraId="66C32E38" w14:textId="740EAC21"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2026.</w:t>
            </w:r>
          </w:p>
        </w:tc>
        <w:tc>
          <w:tcPr>
            <w:tcW w:w="6855" w:type="dxa"/>
            <w:gridSpan w:val="5"/>
            <w:shd w:val="clear" w:color="000000" w:fill="F7CAAC"/>
            <w:vAlign w:val="center"/>
            <w:hideMark/>
          </w:tcPr>
          <w:p w14:paraId="68D1118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70D45AB6" w14:textId="77777777" w:rsidTr="00081FB7">
        <w:trPr>
          <w:gridAfter w:val="1"/>
          <w:wAfter w:w="20" w:type="dxa"/>
          <w:trHeight w:val="336"/>
        </w:trPr>
        <w:tc>
          <w:tcPr>
            <w:tcW w:w="6880" w:type="dxa"/>
            <w:gridSpan w:val="4"/>
            <w:shd w:val="clear" w:color="000000" w:fill="F7CAAC"/>
            <w:vAlign w:val="center"/>
            <w:hideMark/>
          </w:tcPr>
          <w:p w14:paraId="5C0E1DE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855" w:type="dxa"/>
            <w:gridSpan w:val="5"/>
            <w:shd w:val="clear" w:color="000000" w:fill="F7CAAC"/>
            <w:vAlign w:val="center"/>
            <w:hideMark/>
          </w:tcPr>
          <w:p w14:paraId="249E880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081FB7" w:rsidRPr="00EF2F18" w14:paraId="3352FE47" w14:textId="77777777" w:rsidTr="00081FB7">
        <w:trPr>
          <w:trHeight w:val="816"/>
        </w:trPr>
        <w:tc>
          <w:tcPr>
            <w:tcW w:w="3320" w:type="dxa"/>
            <w:shd w:val="clear" w:color="000000" w:fill="D9D9D9"/>
            <w:hideMark/>
          </w:tcPr>
          <w:p w14:paraId="1DA8FBD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76D24D8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7CF53FDB"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679FB2A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7495F23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85" w:type="dxa"/>
            <w:shd w:val="clear" w:color="000000" w:fill="D9D9D9"/>
            <w:hideMark/>
          </w:tcPr>
          <w:p w14:paraId="542ABFC5"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shd w:val="clear" w:color="000000" w:fill="D9D9D9"/>
            <w:hideMark/>
          </w:tcPr>
          <w:p w14:paraId="070BD883"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440" w:type="dxa"/>
            <w:gridSpan w:val="2"/>
            <w:shd w:val="clear" w:color="000000" w:fill="D9D9D9"/>
            <w:hideMark/>
          </w:tcPr>
          <w:p w14:paraId="6C7DDB4D"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081FB7" w:rsidRPr="00EF2F18" w14:paraId="7CD8C3AD" w14:textId="77777777" w:rsidTr="00081FB7">
        <w:trPr>
          <w:trHeight w:val="552"/>
        </w:trPr>
        <w:tc>
          <w:tcPr>
            <w:tcW w:w="3320" w:type="dxa"/>
            <w:shd w:val="clear" w:color="000000" w:fill="FFFFFF"/>
            <w:hideMark/>
          </w:tcPr>
          <w:p w14:paraId="11F1B373"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Унапређена методологија за процену и праћење штета и губитака </w:t>
            </w:r>
          </w:p>
        </w:tc>
        <w:tc>
          <w:tcPr>
            <w:tcW w:w="1280" w:type="dxa"/>
            <w:shd w:val="clear" w:color="000000" w:fill="FFFFFF"/>
            <w:hideMark/>
          </w:tcPr>
          <w:p w14:paraId="007E0B7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7E8A68AF"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МЈУ</w:t>
            </w:r>
          </w:p>
        </w:tc>
        <w:tc>
          <w:tcPr>
            <w:tcW w:w="2000" w:type="dxa"/>
            <w:gridSpan w:val="2"/>
            <w:shd w:val="clear" w:color="000000" w:fill="FFFFFF"/>
            <w:hideMark/>
          </w:tcPr>
          <w:p w14:paraId="1EDEF1F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69F587CA"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136654DE"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shd w:val="clear" w:color="000000" w:fill="FFFFFF"/>
            <w:hideMark/>
          </w:tcPr>
          <w:p w14:paraId="57D28F8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gridSpan w:val="2"/>
            <w:shd w:val="clear" w:color="000000" w:fill="FFFFFF"/>
            <w:hideMark/>
          </w:tcPr>
          <w:p w14:paraId="43D927CD"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081FB7" w:rsidRPr="00EF2F18" w14:paraId="37D200C4" w14:textId="77777777" w:rsidTr="00081FB7">
        <w:trPr>
          <w:trHeight w:val="1068"/>
        </w:trPr>
        <w:tc>
          <w:tcPr>
            <w:tcW w:w="3320" w:type="dxa"/>
            <w:shd w:val="clear" w:color="000000" w:fill="FFFFFF"/>
            <w:hideMark/>
          </w:tcPr>
          <w:p w14:paraId="22D7CCBE"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Измењена Методологија израде и садржаја процене ризика од катастрофа и плана заштите и спасавања</w:t>
            </w:r>
          </w:p>
        </w:tc>
        <w:tc>
          <w:tcPr>
            <w:tcW w:w="1280" w:type="dxa"/>
            <w:shd w:val="clear" w:color="000000" w:fill="FFFFFF"/>
            <w:hideMark/>
          </w:tcPr>
          <w:p w14:paraId="4BD6697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7B98EF4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МУП</w:t>
            </w:r>
          </w:p>
        </w:tc>
        <w:tc>
          <w:tcPr>
            <w:tcW w:w="2000" w:type="dxa"/>
            <w:gridSpan w:val="2"/>
            <w:shd w:val="clear" w:color="000000" w:fill="FFFFFF"/>
            <w:hideMark/>
          </w:tcPr>
          <w:p w14:paraId="351FF94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26AA7F65"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15047C3B"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530" w:type="dxa"/>
            <w:shd w:val="clear" w:color="000000" w:fill="FFFFFF"/>
            <w:hideMark/>
          </w:tcPr>
          <w:p w14:paraId="681EB0FB"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gridSpan w:val="2"/>
            <w:shd w:val="clear" w:color="000000" w:fill="FFFFFF"/>
            <w:hideMark/>
          </w:tcPr>
          <w:p w14:paraId="7C788D4F"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081FB7" w:rsidRPr="00EF2F18" w14:paraId="6E69668E" w14:textId="77777777" w:rsidTr="00081FB7">
        <w:trPr>
          <w:trHeight w:val="804"/>
        </w:trPr>
        <w:tc>
          <w:tcPr>
            <w:tcW w:w="3320" w:type="dxa"/>
            <w:shd w:val="clear" w:color="000000" w:fill="FFFFFF"/>
            <w:hideMark/>
          </w:tcPr>
          <w:p w14:paraId="0E743CCB"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Израђена методологија за праћење суше као мултидимензионалне климатске опасности</w:t>
            </w:r>
          </w:p>
        </w:tc>
        <w:tc>
          <w:tcPr>
            <w:tcW w:w="1280" w:type="dxa"/>
            <w:shd w:val="clear" w:color="000000" w:fill="FFFFFF"/>
            <w:hideMark/>
          </w:tcPr>
          <w:p w14:paraId="1C4CE63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280" w:type="dxa"/>
            <w:shd w:val="clear" w:color="000000" w:fill="FFFFFF"/>
            <w:hideMark/>
          </w:tcPr>
          <w:p w14:paraId="4D28240B"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Извештај МЗЖС</w:t>
            </w:r>
          </w:p>
        </w:tc>
        <w:tc>
          <w:tcPr>
            <w:tcW w:w="2000" w:type="dxa"/>
            <w:gridSpan w:val="2"/>
            <w:shd w:val="clear" w:color="000000" w:fill="FFFFFF"/>
            <w:hideMark/>
          </w:tcPr>
          <w:p w14:paraId="17FB9AF5"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2A745E21"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85" w:type="dxa"/>
            <w:shd w:val="clear" w:color="000000" w:fill="FFFFFF"/>
            <w:hideMark/>
          </w:tcPr>
          <w:p w14:paraId="744A120A"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530" w:type="dxa"/>
            <w:shd w:val="clear" w:color="000000" w:fill="FFFFFF"/>
            <w:hideMark/>
          </w:tcPr>
          <w:p w14:paraId="58A3067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gridSpan w:val="2"/>
            <w:shd w:val="clear" w:color="000000" w:fill="FFFFFF"/>
            <w:hideMark/>
          </w:tcPr>
          <w:p w14:paraId="013BCE63"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bl>
    <w:p w14:paraId="5C905770" w14:textId="77777777" w:rsidR="007D7243" w:rsidRPr="00EF2F18" w:rsidRDefault="007D7243" w:rsidP="007D7243">
      <w:pPr>
        <w:spacing w:after="0"/>
        <w:rPr>
          <w:lang w:val="sr-Cyrl-RS"/>
        </w:rPr>
      </w:pPr>
    </w:p>
    <w:tbl>
      <w:tblPr>
        <w:tblW w:w="1375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5"/>
        <w:gridCol w:w="2551"/>
        <w:gridCol w:w="2449"/>
        <w:gridCol w:w="2250"/>
        <w:gridCol w:w="2680"/>
        <w:gridCol w:w="20"/>
      </w:tblGrid>
      <w:tr w:rsidR="007D7243" w:rsidRPr="00EF2F18" w14:paraId="63F5B029" w14:textId="77777777" w:rsidTr="00081FB7">
        <w:trPr>
          <w:gridAfter w:val="1"/>
          <w:wAfter w:w="20" w:type="dxa"/>
          <w:trHeight w:val="336"/>
        </w:trPr>
        <w:tc>
          <w:tcPr>
            <w:tcW w:w="3805" w:type="dxa"/>
            <w:vMerge w:val="restart"/>
            <w:shd w:val="clear" w:color="000000" w:fill="A8D08D"/>
            <w:hideMark/>
          </w:tcPr>
          <w:p w14:paraId="287740D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1" w:type="dxa"/>
            <w:vMerge w:val="restart"/>
            <w:shd w:val="clear" w:color="000000" w:fill="A8D08D"/>
            <w:hideMark/>
          </w:tcPr>
          <w:p w14:paraId="01FEB00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79" w:type="dxa"/>
            <w:gridSpan w:val="3"/>
            <w:shd w:val="clear" w:color="000000" w:fill="A8D08D"/>
            <w:hideMark/>
          </w:tcPr>
          <w:p w14:paraId="22B3BA1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081FB7" w:rsidRPr="00EF2F18" w14:paraId="7316D1C9" w14:textId="77777777" w:rsidTr="00081FB7">
        <w:trPr>
          <w:trHeight w:val="336"/>
        </w:trPr>
        <w:tc>
          <w:tcPr>
            <w:tcW w:w="3805" w:type="dxa"/>
            <w:vMerge/>
            <w:vAlign w:val="center"/>
            <w:hideMark/>
          </w:tcPr>
          <w:p w14:paraId="6373F626"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2551" w:type="dxa"/>
            <w:vMerge/>
            <w:vAlign w:val="center"/>
            <w:hideMark/>
          </w:tcPr>
          <w:p w14:paraId="72B7072A"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2449" w:type="dxa"/>
            <w:shd w:val="clear" w:color="000000" w:fill="A8D08D"/>
            <w:hideMark/>
          </w:tcPr>
          <w:p w14:paraId="356AC959" w14:textId="3F2DA3F5"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250" w:type="dxa"/>
            <w:shd w:val="clear" w:color="000000" w:fill="A8D08D"/>
            <w:hideMark/>
          </w:tcPr>
          <w:p w14:paraId="5CBB23C9" w14:textId="428B6E3E"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700" w:type="dxa"/>
            <w:gridSpan w:val="2"/>
            <w:shd w:val="clear" w:color="000000" w:fill="A8D08D"/>
            <w:hideMark/>
          </w:tcPr>
          <w:p w14:paraId="1258C8AA" w14:textId="7B362A16"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081FB7" w:rsidRPr="00EF2F18" w14:paraId="7BE44601" w14:textId="77777777" w:rsidTr="00081FB7">
        <w:trPr>
          <w:trHeight w:val="324"/>
        </w:trPr>
        <w:tc>
          <w:tcPr>
            <w:tcW w:w="3805" w:type="dxa"/>
            <w:vAlign w:val="center"/>
            <w:hideMark/>
          </w:tcPr>
          <w:p w14:paraId="4D7AF66B" w14:textId="4F9A3740"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551" w:type="dxa"/>
            <w:vAlign w:val="center"/>
            <w:hideMark/>
          </w:tcPr>
          <w:p w14:paraId="014C3E04"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49" w:type="dxa"/>
            <w:vAlign w:val="center"/>
          </w:tcPr>
          <w:p w14:paraId="7A5CD5B5" w14:textId="5B8A2FB6" w:rsidR="00081FB7" w:rsidRPr="00EF2F18" w:rsidRDefault="00081FB7" w:rsidP="00752CA0">
            <w:pPr>
              <w:spacing w:after="0"/>
              <w:jc w:val="right"/>
              <w:rPr>
                <w:rFonts w:eastAsia="Times New Roman" w:cs="Times New Roman"/>
                <w:color w:val="000000"/>
                <w:sz w:val="20"/>
                <w:szCs w:val="20"/>
                <w:lang w:val="sr-Cyrl-RS" w:eastAsia="sr-Cyrl-RS"/>
              </w:rPr>
            </w:pPr>
          </w:p>
        </w:tc>
        <w:tc>
          <w:tcPr>
            <w:tcW w:w="2250" w:type="dxa"/>
            <w:vAlign w:val="center"/>
          </w:tcPr>
          <w:p w14:paraId="567F7351" w14:textId="79D78159" w:rsidR="00081FB7" w:rsidRPr="00EF2F18" w:rsidRDefault="00081FB7" w:rsidP="00752CA0">
            <w:pPr>
              <w:spacing w:after="0"/>
              <w:jc w:val="right"/>
              <w:rPr>
                <w:rFonts w:eastAsia="Times New Roman" w:cs="Times New Roman"/>
                <w:color w:val="000000"/>
                <w:sz w:val="20"/>
                <w:szCs w:val="20"/>
                <w:lang w:val="sr-Cyrl-RS" w:eastAsia="sr-Cyrl-RS"/>
              </w:rPr>
            </w:pPr>
          </w:p>
        </w:tc>
        <w:tc>
          <w:tcPr>
            <w:tcW w:w="2700" w:type="dxa"/>
            <w:gridSpan w:val="2"/>
            <w:vAlign w:val="center"/>
          </w:tcPr>
          <w:p w14:paraId="7277E049" w14:textId="5531FD84"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33E639A3" w14:textId="77777777" w:rsidTr="00081FB7">
        <w:trPr>
          <w:trHeight w:val="613"/>
        </w:trPr>
        <w:tc>
          <w:tcPr>
            <w:tcW w:w="3805" w:type="dxa"/>
            <w:vAlign w:val="center"/>
            <w:hideMark/>
          </w:tcPr>
          <w:p w14:paraId="7F5E8D5E"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(МЈУ)</w:t>
            </w:r>
          </w:p>
        </w:tc>
        <w:tc>
          <w:tcPr>
            <w:tcW w:w="2551" w:type="dxa"/>
            <w:vAlign w:val="center"/>
            <w:hideMark/>
          </w:tcPr>
          <w:p w14:paraId="69625CD6"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2449" w:type="dxa"/>
            <w:vAlign w:val="center"/>
          </w:tcPr>
          <w:p w14:paraId="2845A0BB" w14:textId="327998BA" w:rsidR="00081FB7" w:rsidRPr="00EF2F18" w:rsidRDefault="00081FB7" w:rsidP="00752CA0">
            <w:pPr>
              <w:spacing w:after="0"/>
              <w:jc w:val="right"/>
              <w:rPr>
                <w:rFonts w:eastAsia="Times New Roman" w:cs="Times New Roman"/>
                <w:color w:val="000000"/>
                <w:sz w:val="20"/>
                <w:szCs w:val="20"/>
                <w:lang w:val="sr-Cyrl-RS" w:eastAsia="sr-Cyrl-RS"/>
              </w:rPr>
            </w:pPr>
          </w:p>
        </w:tc>
        <w:tc>
          <w:tcPr>
            <w:tcW w:w="2250" w:type="dxa"/>
            <w:vAlign w:val="center"/>
          </w:tcPr>
          <w:p w14:paraId="1233E6E6" w14:textId="55DA4AEF" w:rsidR="00081FB7" w:rsidRPr="00EF2F18" w:rsidRDefault="00081FB7" w:rsidP="00752CA0">
            <w:pPr>
              <w:spacing w:after="0"/>
              <w:jc w:val="right"/>
              <w:rPr>
                <w:rFonts w:eastAsia="Times New Roman" w:cs="Times New Roman"/>
                <w:color w:val="000000"/>
                <w:sz w:val="20"/>
                <w:szCs w:val="20"/>
                <w:lang w:val="sr-Cyrl-RS" w:eastAsia="sr-Cyrl-RS"/>
              </w:rPr>
            </w:pPr>
          </w:p>
        </w:tc>
        <w:tc>
          <w:tcPr>
            <w:tcW w:w="2700" w:type="dxa"/>
            <w:gridSpan w:val="2"/>
            <w:vAlign w:val="center"/>
          </w:tcPr>
          <w:p w14:paraId="6C2DCB89" w14:textId="65931004"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53695AAC" w14:textId="77777777" w:rsidTr="00081FB7">
        <w:trPr>
          <w:trHeight w:val="549"/>
        </w:trPr>
        <w:tc>
          <w:tcPr>
            <w:tcW w:w="3805" w:type="dxa"/>
            <w:vAlign w:val="center"/>
          </w:tcPr>
          <w:p w14:paraId="223DE73A"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Буџетска средства/редовна издвајања (МЗЖС)</w:t>
            </w:r>
          </w:p>
        </w:tc>
        <w:tc>
          <w:tcPr>
            <w:tcW w:w="2551" w:type="dxa"/>
            <w:vAlign w:val="center"/>
          </w:tcPr>
          <w:p w14:paraId="3BDC5AB6" w14:textId="77777777" w:rsidR="00081FB7" w:rsidRPr="00EF2F18" w:rsidDel="00E56629"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2449" w:type="dxa"/>
            <w:vAlign w:val="center"/>
          </w:tcPr>
          <w:p w14:paraId="40F8FF81"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2250" w:type="dxa"/>
            <w:vAlign w:val="center"/>
          </w:tcPr>
          <w:p w14:paraId="2B6ED78C"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2700" w:type="dxa"/>
            <w:gridSpan w:val="2"/>
            <w:vAlign w:val="center"/>
          </w:tcPr>
          <w:p w14:paraId="564FEDF9" w14:textId="77777777"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7A71E6A5" w14:textId="77777777" w:rsidTr="00081FB7">
        <w:trPr>
          <w:trHeight w:val="543"/>
        </w:trPr>
        <w:tc>
          <w:tcPr>
            <w:tcW w:w="3805" w:type="dxa"/>
            <w:vAlign w:val="center"/>
            <w:hideMark/>
          </w:tcPr>
          <w:p w14:paraId="0BC863E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(МУП)</w:t>
            </w:r>
          </w:p>
        </w:tc>
        <w:tc>
          <w:tcPr>
            <w:tcW w:w="2551" w:type="dxa"/>
            <w:vAlign w:val="center"/>
            <w:hideMark/>
          </w:tcPr>
          <w:p w14:paraId="21AE8D6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1407-0003-411</w:t>
            </w:r>
          </w:p>
        </w:tc>
        <w:tc>
          <w:tcPr>
            <w:tcW w:w="2449" w:type="dxa"/>
            <w:vAlign w:val="center"/>
          </w:tcPr>
          <w:p w14:paraId="56DE4EDF" w14:textId="4295BDA3" w:rsidR="00081FB7" w:rsidRPr="00EF2F18" w:rsidRDefault="00081FB7" w:rsidP="00752CA0">
            <w:pPr>
              <w:spacing w:after="0"/>
              <w:jc w:val="right"/>
              <w:rPr>
                <w:rFonts w:eastAsia="Times New Roman" w:cs="Times New Roman"/>
                <w:color w:val="000000"/>
                <w:sz w:val="20"/>
                <w:szCs w:val="20"/>
                <w:lang w:val="sr-Cyrl-RS" w:eastAsia="sr-Cyrl-RS"/>
              </w:rPr>
            </w:pPr>
          </w:p>
        </w:tc>
        <w:tc>
          <w:tcPr>
            <w:tcW w:w="2250" w:type="dxa"/>
            <w:vAlign w:val="center"/>
          </w:tcPr>
          <w:p w14:paraId="29849D2D" w14:textId="438E3BB7" w:rsidR="00081FB7" w:rsidRPr="00EF2F18" w:rsidRDefault="00081FB7" w:rsidP="00752CA0">
            <w:pPr>
              <w:spacing w:after="0"/>
              <w:jc w:val="right"/>
              <w:rPr>
                <w:rFonts w:eastAsia="Times New Roman" w:cs="Times New Roman"/>
                <w:color w:val="000000"/>
                <w:sz w:val="20"/>
                <w:szCs w:val="20"/>
                <w:lang w:val="sr-Cyrl-RS" w:eastAsia="sr-Cyrl-RS"/>
              </w:rPr>
            </w:pPr>
          </w:p>
        </w:tc>
        <w:tc>
          <w:tcPr>
            <w:tcW w:w="2700" w:type="dxa"/>
            <w:gridSpan w:val="2"/>
            <w:vAlign w:val="center"/>
          </w:tcPr>
          <w:p w14:paraId="5F8E8ADB" w14:textId="533C18BF" w:rsidR="00081FB7" w:rsidRPr="00EF2F18" w:rsidRDefault="00081FB7" w:rsidP="00752CA0">
            <w:pPr>
              <w:spacing w:after="0"/>
              <w:jc w:val="right"/>
              <w:rPr>
                <w:rFonts w:eastAsia="Times New Roman" w:cs="Times New Roman"/>
                <w:color w:val="000000"/>
                <w:sz w:val="20"/>
                <w:szCs w:val="20"/>
                <w:lang w:val="sr-Cyrl-RS" w:eastAsia="sr-Cyrl-RS"/>
              </w:rPr>
            </w:pPr>
          </w:p>
        </w:tc>
      </w:tr>
    </w:tbl>
    <w:p w14:paraId="7EAA4824" w14:textId="77777777" w:rsidR="007D7243" w:rsidRPr="00EF2F18" w:rsidRDefault="007D7243" w:rsidP="007D7243">
      <w:pPr>
        <w:spacing w:after="0"/>
        <w:rPr>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1257"/>
        <w:gridCol w:w="1279"/>
        <w:gridCol w:w="1182"/>
        <w:gridCol w:w="1691"/>
        <w:gridCol w:w="1340"/>
        <w:gridCol w:w="1263"/>
        <w:gridCol w:w="1260"/>
        <w:gridCol w:w="1440"/>
      </w:tblGrid>
      <w:tr w:rsidR="007D7243" w:rsidRPr="00EF2F18" w14:paraId="1D4F18FA" w14:textId="77777777" w:rsidTr="00081FB7">
        <w:trPr>
          <w:trHeight w:val="696"/>
        </w:trPr>
        <w:tc>
          <w:tcPr>
            <w:tcW w:w="2963" w:type="dxa"/>
            <w:vMerge w:val="restart"/>
            <w:shd w:val="clear" w:color="000000" w:fill="FFF2CC"/>
            <w:hideMark/>
          </w:tcPr>
          <w:bookmarkEnd w:id="165"/>
          <w:p w14:paraId="659E853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57" w:type="dxa"/>
            <w:vMerge w:val="restart"/>
            <w:shd w:val="clear" w:color="000000" w:fill="FFF2CC"/>
            <w:hideMark/>
          </w:tcPr>
          <w:p w14:paraId="0D6862E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9" w:type="dxa"/>
            <w:vMerge w:val="restart"/>
            <w:shd w:val="clear" w:color="000000" w:fill="FFF2CC"/>
            <w:hideMark/>
          </w:tcPr>
          <w:p w14:paraId="78A5D61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0D12D20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260F12E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2B551E0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963" w:type="dxa"/>
            <w:gridSpan w:val="3"/>
            <w:shd w:val="clear" w:color="000000" w:fill="FFF2CC"/>
            <w:hideMark/>
          </w:tcPr>
          <w:p w14:paraId="7B6CF06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081FB7" w:rsidRPr="00EF2F18" w14:paraId="248F40C1" w14:textId="77777777" w:rsidTr="00081FB7">
        <w:trPr>
          <w:trHeight w:val="441"/>
        </w:trPr>
        <w:tc>
          <w:tcPr>
            <w:tcW w:w="2963" w:type="dxa"/>
            <w:vMerge/>
            <w:vAlign w:val="center"/>
            <w:hideMark/>
          </w:tcPr>
          <w:p w14:paraId="7E7DF0FA"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57" w:type="dxa"/>
            <w:vMerge/>
            <w:vAlign w:val="center"/>
            <w:hideMark/>
          </w:tcPr>
          <w:p w14:paraId="4092B5EF"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79" w:type="dxa"/>
            <w:vMerge/>
            <w:vAlign w:val="center"/>
            <w:hideMark/>
          </w:tcPr>
          <w:p w14:paraId="575A6944"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182" w:type="dxa"/>
            <w:vMerge/>
            <w:vAlign w:val="center"/>
            <w:hideMark/>
          </w:tcPr>
          <w:p w14:paraId="42852E91"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691" w:type="dxa"/>
            <w:vMerge/>
            <w:vAlign w:val="center"/>
            <w:hideMark/>
          </w:tcPr>
          <w:p w14:paraId="0A585ADA"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340" w:type="dxa"/>
            <w:vMerge/>
            <w:vAlign w:val="center"/>
            <w:hideMark/>
          </w:tcPr>
          <w:p w14:paraId="7AA21F6E"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63" w:type="dxa"/>
            <w:shd w:val="clear" w:color="000000" w:fill="FFF2CC"/>
            <w:hideMark/>
          </w:tcPr>
          <w:p w14:paraId="6DE61C74" w14:textId="6A9A73E0"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260" w:type="dxa"/>
            <w:shd w:val="clear" w:color="000000" w:fill="FFF2CC"/>
            <w:hideMark/>
          </w:tcPr>
          <w:p w14:paraId="2FDE86C7" w14:textId="6A6EA691"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shd w:val="clear" w:color="000000" w:fill="FFF2CC"/>
            <w:hideMark/>
          </w:tcPr>
          <w:p w14:paraId="06E544DB" w14:textId="3749EEC5"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081FB7" w:rsidRPr="00EF2F18" w14:paraId="1492B447" w14:textId="77777777" w:rsidTr="007620E6">
        <w:trPr>
          <w:trHeight w:val="1691"/>
        </w:trPr>
        <w:tc>
          <w:tcPr>
            <w:tcW w:w="2963" w:type="dxa"/>
            <w:hideMark/>
          </w:tcPr>
          <w:p w14:paraId="26B3F29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1.2.5.1. Израда препорука за укључивање праћења штета и губитака изазваних климатским променама у методологију за процену штета, губитака и потреба од елементарних и других непогода</w:t>
            </w:r>
          </w:p>
        </w:tc>
        <w:tc>
          <w:tcPr>
            <w:tcW w:w="1257" w:type="dxa"/>
            <w:hideMark/>
          </w:tcPr>
          <w:p w14:paraId="606F94A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МЈУ</w:t>
            </w:r>
          </w:p>
        </w:tc>
        <w:tc>
          <w:tcPr>
            <w:tcW w:w="1279" w:type="dxa"/>
            <w:hideMark/>
          </w:tcPr>
          <w:p w14:paraId="33A7A5A9"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182" w:type="dxa"/>
            <w:hideMark/>
          </w:tcPr>
          <w:p w14:paraId="418B250D" w14:textId="70208340"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3554B0" w:rsidRPr="00EF2F18">
              <w:rPr>
                <w:rFonts w:eastAsia="Times New Roman" w:cs="Times New Roman"/>
                <w:color w:val="000000"/>
                <w:sz w:val="20"/>
                <w:szCs w:val="20"/>
                <w:lang w:val="sr-Cyrl-RS" w:eastAsia="sr-Cyrl-RS"/>
              </w:rPr>
              <w:t>7.</w:t>
            </w:r>
          </w:p>
        </w:tc>
        <w:tc>
          <w:tcPr>
            <w:tcW w:w="1691" w:type="dxa"/>
            <w:hideMark/>
          </w:tcPr>
          <w:p w14:paraId="121949B4" w14:textId="0CED062C"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6F2D3A08" w14:textId="77777777" w:rsidR="00081FB7" w:rsidRPr="00EF2F18" w:rsidRDefault="00081FB7"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 </w:t>
            </w:r>
          </w:p>
        </w:tc>
        <w:tc>
          <w:tcPr>
            <w:tcW w:w="1263" w:type="dxa"/>
          </w:tcPr>
          <w:p w14:paraId="7CBEB055" w14:textId="1B7EB69B"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3A7FAAE9" w14:textId="516E9CB5"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tcPr>
          <w:p w14:paraId="4ECC7433" w14:textId="56F35E1F"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4016600B" w14:textId="77777777" w:rsidTr="00081FB7">
        <w:trPr>
          <w:trHeight w:val="1596"/>
        </w:trPr>
        <w:tc>
          <w:tcPr>
            <w:tcW w:w="2963" w:type="dxa"/>
            <w:hideMark/>
          </w:tcPr>
          <w:p w14:paraId="5B1AC2E9" w14:textId="7981C570"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1.2.5.2. Унапређење и усвајање методологије за процену и праћење штета, губитака и потреба од елементарних и других непогода, укључујући и губитке изазване климатским условима</w:t>
            </w:r>
          </w:p>
        </w:tc>
        <w:tc>
          <w:tcPr>
            <w:tcW w:w="1257" w:type="dxa"/>
            <w:hideMark/>
          </w:tcPr>
          <w:p w14:paraId="2CB44A8C"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МЈУ</w:t>
            </w:r>
          </w:p>
        </w:tc>
        <w:tc>
          <w:tcPr>
            <w:tcW w:w="1279" w:type="dxa"/>
            <w:hideMark/>
          </w:tcPr>
          <w:p w14:paraId="1B9CB7E6"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182" w:type="dxa"/>
            <w:hideMark/>
          </w:tcPr>
          <w:p w14:paraId="6647C0A1" w14:textId="3E400F8E" w:rsidR="00081FB7" w:rsidRPr="00EF2F18" w:rsidRDefault="003554B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w:t>
            </w:r>
            <w:r w:rsidR="00081FB7" w:rsidRPr="00EF2F18">
              <w:rPr>
                <w:rFonts w:eastAsia="Times New Roman" w:cs="Times New Roman"/>
                <w:color w:val="000000"/>
                <w:sz w:val="20"/>
                <w:szCs w:val="20"/>
                <w:lang w:val="sr-Cyrl-RS" w:eastAsia="sr-Cyrl-RS"/>
              </w:rPr>
              <w:t xml:space="preserve"> квартал 202</w:t>
            </w:r>
            <w:r w:rsidRPr="00EF2F18">
              <w:rPr>
                <w:rFonts w:eastAsia="Times New Roman" w:cs="Times New Roman"/>
                <w:color w:val="000000"/>
                <w:sz w:val="20"/>
                <w:szCs w:val="20"/>
                <w:lang w:val="sr-Cyrl-RS" w:eastAsia="sr-Cyrl-RS"/>
              </w:rPr>
              <w:t>7</w:t>
            </w:r>
          </w:p>
        </w:tc>
        <w:tc>
          <w:tcPr>
            <w:tcW w:w="1691" w:type="dxa"/>
            <w:hideMark/>
          </w:tcPr>
          <w:p w14:paraId="69B5C4AA"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7D46A856" w14:textId="77777777" w:rsidR="00081FB7" w:rsidRPr="00EF2F18" w:rsidRDefault="00081FB7" w:rsidP="00752CA0">
            <w:pPr>
              <w:spacing w:after="0"/>
              <w:rPr>
                <w:rFonts w:eastAsia="Times New Roman" w:cs="Times New Roman"/>
                <w:color w:val="000000"/>
                <w:sz w:val="20"/>
                <w:szCs w:val="20"/>
                <w:highlight w:val="yellow"/>
                <w:lang w:val="sr-Cyrl-RS" w:eastAsia="sr-Cyrl-RS"/>
              </w:rPr>
            </w:pPr>
          </w:p>
        </w:tc>
        <w:tc>
          <w:tcPr>
            <w:tcW w:w="1263" w:type="dxa"/>
          </w:tcPr>
          <w:p w14:paraId="2AAABB4D" w14:textId="26F8A08E"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72E03211" w14:textId="59F85598"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tcPr>
          <w:p w14:paraId="1DED9FC1" w14:textId="395DAE66"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3F13FF32" w14:textId="77777777" w:rsidTr="00081FB7">
        <w:trPr>
          <w:trHeight w:val="1596"/>
        </w:trPr>
        <w:tc>
          <w:tcPr>
            <w:tcW w:w="2963" w:type="dxa"/>
            <w:hideMark/>
          </w:tcPr>
          <w:p w14:paraId="356F50E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1.2.5.3 Анализа недостатака (GAP анализа) Методологије израде и садржаја процене ризика од катастрофа и плана заштите и спасавања ради укључивања климатских промена</w:t>
            </w:r>
          </w:p>
        </w:tc>
        <w:tc>
          <w:tcPr>
            <w:tcW w:w="1257" w:type="dxa"/>
            <w:hideMark/>
          </w:tcPr>
          <w:p w14:paraId="0A806027"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t>МЗЖС</w:t>
            </w:r>
          </w:p>
        </w:tc>
        <w:tc>
          <w:tcPr>
            <w:tcW w:w="1279" w:type="dxa"/>
            <w:hideMark/>
          </w:tcPr>
          <w:p w14:paraId="79F579A7"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t>МУП</w:t>
            </w:r>
          </w:p>
        </w:tc>
        <w:tc>
          <w:tcPr>
            <w:tcW w:w="1182" w:type="dxa"/>
            <w:hideMark/>
          </w:tcPr>
          <w:p w14:paraId="5948F26E" w14:textId="7A98E769"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 квартал 2026.</w:t>
            </w:r>
          </w:p>
        </w:tc>
        <w:tc>
          <w:tcPr>
            <w:tcW w:w="1691" w:type="dxa"/>
            <w:hideMark/>
          </w:tcPr>
          <w:p w14:paraId="5E893C0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hideMark/>
          </w:tcPr>
          <w:p w14:paraId="51D1B39C"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1263" w:type="dxa"/>
          </w:tcPr>
          <w:p w14:paraId="75C2F876" w14:textId="28A0ED20"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53C2CFC3" w14:textId="6354006B"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tcPr>
          <w:p w14:paraId="73A94048" w14:textId="0D1B1728"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71C4EC9B" w14:textId="77777777" w:rsidTr="00081FB7">
        <w:trPr>
          <w:trHeight w:val="528"/>
        </w:trPr>
        <w:tc>
          <w:tcPr>
            <w:tcW w:w="2963" w:type="dxa"/>
            <w:vMerge w:val="restart"/>
            <w:hideMark/>
          </w:tcPr>
          <w:p w14:paraId="7D31F082" w14:textId="0FE01EC5"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1.2.5.4. Унапређење и усвајање Методологије израде и садржаја процене ризика од катастрофа и плана заштите и </w:t>
            </w:r>
            <w:r w:rsidRPr="00EF2F18">
              <w:rPr>
                <w:rFonts w:eastAsia="Times New Roman" w:cs="Times New Roman"/>
                <w:color w:val="000000"/>
                <w:sz w:val="20"/>
                <w:szCs w:val="20"/>
                <w:lang w:val="sr-Cyrl-RS" w:eastAsia="sr-Cyrl-RS"/>
              </w:rPr>
              <w:lastRenderedPageBreak/>
              <w:t>спасавања ради укључивања климатских промена</w:t>
            </w:r>
          </w:p>
        </w:tc>
        <w:tc>
          <w:tcPr>
            <w:tcW w:w="1257" w:type="dxa"/>
            <w:vMerge w:val="restart"/>
            <w:hideMark/>
          </w:tcPr>
          <w:p w14:paraId="7FE4B923"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lastRenderedPageBreak/>
              <w:t>МУП</w:t>
            </w:r>
          </w:p>
        </w:tc>
        <w:tc>
          <w:tcPr>
            <w:tcW w:w="1279" w:type="dxa"/>
            <w:vMerge w:val="restart"/>
            <w:hideMark/>
          </w:tcPr>
          <w:p w14:paraId="049F751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t>МЗЖС</w:t>
            </w:r>
          </w:p>
        </w:tc>
        <w:tc>
          <w:tcPr>
            <w:tcW w:w="1182" w:type="dxa"/>
            <w:vMerge w:val="restart"/>
            <w:hideMark/>
          </w:tcPr>
          <w:p w14:paraId="745CCE0C"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tcBorders>
              <w:bottom w:val="nil"/>
            </w:tcBorders>
            <w:hideMark/>
          </w:tcPr>
          <w:p w14:paraId="27598D82" w14:textId="68634C74"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vMerge w:val="restart"/>
            <w:hideMark/>
          </w:tcPr>
          <w:p w14:paraId="3196847A"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1407-0003-411</w:t>
            </w:r>
          </w:p>
        </w:tc>
        <w:tc>
          <w:tcPr>
            <w:tcW w:w="1263" w:type="dxa"/>
            <w:vMerge w:val="restart"/>
          </w:tcPr>
          <w:p w14:paraId="1C66B338" w14:textId="61F98F93"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vMerge w:val="restart"/>
          </w:tcPr>
          <w:p w14:paraId="2AF6300E" w14:textId="00E16558"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vMerge w:val="restart"/>
          </w:tcPr>
          <w:p w14:paraId="419E5237" w14:textId="178C6A94"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73F24356" w14:textId="77777777" w:rsidTr="00081FB7">
        <w:trPr>
          <w:trHeight w:val="312"/>
        </w:trPr>
        <w:tc>
          <w:tcPr>
            <w:tcW w:w="2963" w:type="dxa"/>
            <w:vMerge/>
            <w:vAlign w:val="center"/>
            <w:hideMark/>
          </w:tcPr>
          <w:p w14:paraId="2AB5F457"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57" w:type="dxa"/>
            <w:vMerge/>
            <w:vAlign w:val="center"/>
            <w:hideMark/>
          </w:tcPr>
          <w:p w14:paraId="216B752A"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79" w:type="dxa"/>
            <w:vMerge/>
            <w:vAlign w:val="center"/>
            <w:hideMark/>
          </w:tcPr>
          <w:p w14:paraId="327A91A4"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182" w:type="dxa"/>
            <w:vMerge/>
            <w:vAlign w:val="center"/>
            <w:hideMark/>
          </w:tcPr>
          <w:p w14:paraId="23322210"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691" w:type="dxa"/>
            <w:tcBorders>
              <w:top w:val="nil"/>
              <w:bottom w:val="nil"/>
            </w:tcBorders>
            <w:hideMark/>
          </w:tcPr>
          <w:p w14:paraId="55517F5A"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40" w:type="dxa"/>
            <w:vMerge/>
            <w:vAlign w:val="center"/>
            <w:hideMark/>
          </w:tcPr>
          <w:p w14:paraId="328F7ABC"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63" w:type="dxa"/>
            <w:vMerge/>
            <w:vAlign w:val="center"/>
          </w:tcPr>
          <w:p w14:paraId="33D2BCB1"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vMerge/>
            <w:vAlign w:val="center"/>
          </w:tcPr>
          <w:p w14:paraId="369DA685"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vMerge/>
            <w:vAlign w:val="center"/>
          </w:tcPr>
          <w:p w14:paraId="590A1C73" w14:textId="77777777"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27E303F6" w14:textId="77777777" w:rsidTr="00081FB7">
        <w:trPr>
          <w:trHeight w:val="528"/>
        </w:trPr>
        <w:tc>
          <w:tcPr>
            <w:tcW w:w="2963" w:type="dxa"/>
            <w:vMerge/>
            <w:vAlign w:val="center"/>
            <w:hideMark/>
          </w:tcPr>
          <w:p w14:paraId="300E3919"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57" w:type="dxa"/>
            <w:vMerge/>
            <w:vAlign w:val="center"/>
            <w:hideMark/>
          </w:tcPr>
          <w:p w14:paraId="2CB13B7D"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79" w:type="dxa"/>
            <w:vMerge/>
            <w:vAlign w:val="center"/>
            <w:hideMark/>
          </w:tcPr>
          <w:p w14:paraId="26440839"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182" w:type="dxa"/>
            <w:vMerge/>
            <w:vAlign w:val="center"/>
            <w:hideMark/>
          </w:tcPr>
          <w:p w14:paraId="1AFC3612"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691" w:type="dxa"/>
            <w:tcBorders>
              <w:top w:val="nil"/>
              <w:bottom w:val="nil"/>
            </w:tcBorders>
            <w:hideMark/>
          </w:tcPr>
          <w:p w14:paraId="58B30F54"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vMerge/>
            <w:vAlign w:val="center"/>
            <w:hideMark/>
          </w:tcPr>
          <w:p w14:paraId="685FEB98"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63" w:type="dxa"/>
            <w:vMerge/>
            <w:vAlign w:val="center"/>
          </w:tcPr>
          <w:p w14:paraId="5E1EBE4B"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vMerge/>
            <w:vAlign w:val="center"/>
          </w:tcPr>
          <w:p w14:paraId="5C773AAE"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vMerge/>
            <w:vAlign w:val="center"/>
          </w:tcPr>
          <w:p w14:paraId="65131394" w14:textId="77777777"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2500FC1F" w14:textId="77777777" w:rsidTr="00081FB7">
        <w:trPr>
          <w:trHeight w:val="324"/>
        </w:trPr>
        <w:tc>
          <w:tcPr>
            <w:tcW w:w="2963" w:type="dxa"/>
            <w:vMerge/>
            <w:vAlign w:val="center"/>
            <w:hideMark/>
          </w:tcPr>
          <w:p w14:paraId="4B1BBD1F"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57" w:type="dxa"/>
            <w:vMerge/>
            <w:vAlign w:val="center"/>
            <w:hideMark/>
          </w:tcPr>
          <w:p w14:paraId="0233366B"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79" w:type="dxa"/>
            <w:vMerge/>
            <w:vAlign w:val="center"/>
            <w:hideMark/>
          </w:tcPr>
          <w:p w14:paraId="01BB466C"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182" w:type="dxa"/>
            <w:vMerge/>
            <w:vAlign w:val="center"/>
            <w:hideMark/>
          </w:tcPr>
          <w:p w14:paraId="08893C69"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691" w:type="dxa"/>
            <w:tcBorders>
              <w:top w:val="nil"/>
            </w:tcBorders>
            <w:hideMark/>
          </w:tcPr>
          <w:p w14:paraId="13DF41D6"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40" w:type="dxa"/>
            <w:vMerge/>
            <w:vAlign w:val="center"/>
            <w:hideMark/>
          </w:tcPr>
          <w:p w14:paraId="76ED7BB6"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63" w:type="dxa"/>
            <w:vMerge/>
            <w:vAlign w:val="center"/>
          </w:tcPr>
          <w:p w14:paraId="68984045"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vMerge/>
            <w:vAlign w:val="center"/>
          </w:tcPr>
          <w:p w14:paraId="33E68776"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vMerge/>
            <w:vAlign w:val="center"/>
          </w:tcPr>
          <w:p w14:paraId="2DE77F07" w14:textId="77777777"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3BFC2B90" w14:textId="77777777" w:rsidTr="00081FB7">
        <w:trPr>
          <w:trHeight w:val="1596"/>
        </w:trPr>
        <w:tc>
          <w:tcPr>
            <w:tcW w:w="2963" w:type="dxa"/>
            <w:hideMark/>
          </w:tcPr>
          <w:p w14:paraId="31D4FD2A"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1.2.5.5. Израда методологије за праћење суше као мултидимензионалне климатске опасности</w:t>
            </w:r>
          </w:p>
        </w:tc>
        <w:tc>
          <w:tcPr>
            <w:tcW w:w="1257" w:type="dxa"/>
            <w:hideMark/>
          </w:tcPr>
          <w:p w14:paraId="53010E2C"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9" w:type="dxa"/>
            <w:hideMark/>
          </w:tcPr>
          <w:p w14:paraId="6A89869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 МУП, МФ, МПривреде, МГСИ, МЈУ, РХМЗ, ЗЗПС, ПЗЗП</w:t>
            </w:r>
          </w:p>
        </w:tc>
        <w:tc>
          <w:tcPr>
            <w:tcW w:w="1182" w:type="dxa"/>
            <w:hideMark/>
          </w:tcPr>
          <w:p w14:paraId="38FE7D65"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hideMark/>
          </w:tcPr>
          <w:p w14:paraId="161D5A4B" w14:textId="7C12721D"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7F1DB779"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63" w:type="dxa"/>
          </w:tcPr>
          <w:p w14:paraId="5C7378EA" w14:textId="1953A0DD"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54F29940" w14:textId="008F6CF5"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tcPr>
          <w:p w14:paraId="79EE09D5" w14:textId="3B6AE312"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3162F690" w14:textId="77777777" w:rsidTr="00081FB7">
        <w:trPr>
          <w:trHeight w:val="1068"/>
        </w:trPr>
        <w:tc>
          <w:tcPr>
            <w:tcW w:w="2963" w:type="dxa"/>
            <w:hideMark/>
          </w:tcPr>
          <w:p w14:paraId="541FFE77"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1.2.5.6. Израда процене рањивости на климатске промене са аспекта одрживог развоја туризма</w:t>
            </w:r>
          </w:p>
        </w:tc>
        <w:tc>
          <w:tcPr>
            <w:tcW w:w="1257" w:type="dxa"/>
            <w:hideMark/>
          </w:tcPr>
          <w:p w14:paraId="6A71FC2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9" w:type="dxa"/>
            <w:hideMark/>
          </w:tcPr>
          <w:p w14:paraId="31E498E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МТО </w:t>
            </w:r>
          </w:p>
        </w:tc>
        <w:tc>
          <w:tcPr>
            <w:tcW w:w="1182" w:type="dxa"/>
            <w:hideMark/>
          </w:tcPr>
          <w:p w14:paraId="29CB8D9F"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hideMark/>
          </w:tcPr>
          <w:p w14:paraId="0104D838" w14:textId="6AB0C236"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31E78C73"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63" w:type="dxa"/>
          </w:tcPr>
          <w:p w14:paraId="7F1FF12D" w14:textId="349E50E8"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07743DBB" w14:textId="488F1826"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tcPr>
          <w:p w14:paraId="1170D9DF" w14:textId="0E95F897"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11186E6D" w14:textId="77777777" w:rsidTr="00081FB7">
        <w:trPr>
          <w:trHeight w:val="804"/>
        </w:trPr>
        <w:tc>
          <w:tcPr>
            <w:tcW w:w="2963" w:type="dxa"/>
            <w:hideMark/>
          </w:tcPr>
          <w:p w14:paraId="3C99AEC8"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1.2.5.7. Израда процене рањивости на климатске промене у сектору инфраструктуре</w:t>
            </w:r>
          </w:p>
        </w:tc>
        <w:tc>
          <w:tcPr>
            <w:tcW w:w="1257" w:type="dxa"/>
            <w:hideMark/>
          </w:tcPr>
          <w:p w14:paraId="6ED2F888"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9" w:type="dxa"/>
            <w:hideMark/>
          </w:tcPr>
          <w:p w14:paraId="2E957D5B"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182" w:type="dxa"/>
            <w:hideMark/>
          </w:tcPr>
          <w:p w14:paraId="37F6E0F4"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1520C2C4" w14:textId="1A177F3D"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hideMark/>
          </w:tcPr>
          <w:p w14:paraId="24DC8FAE"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63" w:type="dxa"/>
          </w:tcPr>
          <w:p w14:paraId="31AE031E" w14:textId="46DFE9B6"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7BBA731B" w14:textId="6DD2B112" w:rsidR="00081FB7" w:rsidRPr="00EF2F18" w:rsidRDefault="00081FB7" w:rsidP="00752CA0">
            <w:pPr>
              <w:spacing w:after="0"/>
              <w:jc w:val="right"/>
              <w:rPr>
                <w:rFonts w:eastAsia="Times New Roman" w:cs="Times New Roman"/>
                <w:color w:val="000000"/>
                <w:sz w:val="20"/>
                <w:szCs w:val="20"/>
                <w:lang w:val="sr-Cyrl-RS" w:eastAsia="sr-Cyrl-RS"/>
              </w:rPr>
            </w:pPr>
          </w:p>
        </w:tc>
        <w:tc>
          <w:tcPr>
            <w:tcW w:w="1440" w:type="dxa"/>
          </w:tcPr>
          <w:p w14:paraId="3ADED183" w14:textId="2A6E8489" w:rsidR="00081FB7" w:rsidRPr="00EF2F18" w:rsidRDefault="00081FB7" w:rsidP="00752CA0">
            <w:pPr>
              <w:spacing w:after="0"/>
              <w:jc w:val="right"/>
              <w:rPr>
                <w:rFonts w:eastAsia="Times New Roman" w:cs="Times New Roman"/>
                <w:color w:val="000000"/>
                <w:sz w:val="20"/>
                <w:szCs w:val="20"/>
                <w:lang w:val="sr-Cyrl-RS" w:eastAsia="sr-Cyrl-RS"/>
              </w:rPr>
            </w:pPr>
          </w:p>
        </w:tc>
      </w:tr>
    </w:tbl>
    <w:p w14:paraId="71510B49" w14:textId="6B3E6688" w:rsidR="007D7243" w:rsidRPr="00EF2F18" w:rsidRDefault="00CB5ECF" w:rsidP="007D7243">
      <w:pPr>
        <w:spacing w:after="0"/>
        <w:rPr>
          <w:rFonts w:cs="Times New Roman"/>
          <w:sz w:val="20"/>
          <w:szCs w:val="20"/>
          <w:lang w:val="sr-Cyrl-RS"/>
        </w:rPr>
      </w:pPr>
      <w:r w:rsidRPr="00EF2F18">
        <w:rPr>
          <w:sz w:val="20"/>
          <w:szCs w:val="18"/>
          <w:lang w:val="sr-Cyrl-RS"/>
        </w:rPr>
        <w:t>* Извори финансирања и/или средства још увек нису утврђени и/или обезбеђени.</w:t>
      </w:r>
    </w:p>
    <w:p w14:paraId="4D2AD87E"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520"/>
        <w:gridCol w:w="1475"/>
        <w:gridCol w:w="1170"/>
        <w:gridCol w:w="1530"/>
      </w:tblGrid>
      <w:tr w:rsidR="007D7243" w:rsidRPr="00EF2F18" w14:paraId="0E4BFFE5" w14:textId="77777777" w:rsidTr="00081FB7">
        <w:trPr>
          <w:trHeight w:val="336"/>
        </w:trPr>
        <w:tc>
          <w:tcPr>
            <w:tcW w:w="13575" w:type="dxa"/>
            <w:gridSpan w:val="9"/>
            <w:shd w:val="clear" w:color="000000" w:fill="F7CAAC"/>
            <w:vAlign w:val="center"/>
            <w:hideMark/>
          </w:tcPr>
          <w:p w14:paraId="7FC0460B"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1.2.6: Унапређење алата (продуката) РХМЗ ради побољшања спремности грађана и привреде Републике Србије на временске и климатске екстреме</w:t>
            </w:r>
          </w:p>
        </w:tc>
      </w:tr>
      <w:tr w:rsidR="007D7243" w:rsidRPr="00EF2F18" w14:paraId="0EFCF78D" w14:textId="77777777" w:rsidTr="00081FB7">
        <w:trPr>
          <w:trHeight w:val="336"/>
        </w:trPr>
        <w:tc>
          <w:tcPr>
            <w:tcW w:w="13575" w:type="dxa"/>
            <w:gridSpan w:val="9"/>
            <w:shd w:val="clear" w:color="000000" w:fill="F7CAAC"/>
            <w:vAlign w:val="center"/>
            <w:hideMark/>
          </w:tcPr>
          <w:p w14:paraId="14A4BD40" w14:textId="63C69035"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00C16633">
              <w:rPr>
                <w:rFonts w:eastAsia="Times New Roman" w:cs="Times New Roman"/>
                <w:color w:val="000000"/>
                <w:sz w:val="20"/>
                <w:szCs w:val="20"/>
                <w:lang w:val="sr-Cyrl-RS" w:eastAsia="sr-Cyrl-RS"/>
              </w:rPr>
              <w:t xml:space="preserve"> Републи</w:t>
            </w:r>
            <w:r w:rsidRPr="00EF2F18">
              <w:rPr>
                <w:rFonts w:eastAsia="Times New Roman" w:cs="Times New Roman"/>
                <w:color w:val="000000"/>
                <w:sz w:val="20"/>
                <w:szCs w:val="20"/>
                <w:lang w:val="sr-Cyrl-RS" w:eastAsia="sr-Cyrl-RS"/>
              </w:rPr>
              <w:t>чки хидрометеоролошки завод</w:t>
            </w:r>
          </w:p>
        </w:tc>
      </w:tr>
      <w:tr w:rsidR="007D7243" w:rsidRPr="00EF2F18" w14:paraId="02094894" w14:textId="77777777" w:rsidTr="00081FB7">
        <w:trPr>
          <w:trHeight w:val="336"/>
        </w:trPr>
        <w:tc>
          <w:tcPr>
            <w:tcW w:w="6880" w:type="dxa"/>
            <w:gridSpan w:val="4"/>
            <w:shd w:val="clear" w:color="000000" w:fill="F7CAAC"/>
            <w:vAlign w:val="center"/>
            <w:hideMark/>
          </w:tcPr>
          <w:p w14:paraId="19B191A6" w14:textId="5ADAAB3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081FB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695" w:type="dxa"/>
            <w:gridSpan w:val="5"/>
            <w:shd w:val="clear" w:color="000000" w:fill="F7CAAC"/>
            <w:vAlign w:val="center"/>
            <w:hideMark/>
          </w:tcPr>
          <w:p w14:paraId="4C2D545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информативно-едукативна</w:t>
            </w:r>
          </w:p>
        </w:tc>
      </w:tr>
      <w:tr w:rsidR="007D7243" w:rsidRPr="00EF2F18" w14:paraId="0552544B" w14:textId="77777777" w:rsidTr="00081FB7">
        <w:trPr>
          <w:trHeight w:val="336"/>
        </w:trPr>
        <w:tc>
          <w:tcPr>
            <w:tcW w:w="6880" w:type="dxa"/>
            <w:gridSpan w:val="4"/>
            <w:shd w:val="clear" w:color="000000" w:fill="F7CAAC"/>
            <w:vAlign w:val="center"/>
            <w:hideMark/>
          </w:tcPr>
          <w:p w14:paraId="3932075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95" w:type="dxa"/>
            <w:gridSpan w:val="5"/>
            <w:shd w:val="clear" w:color="000000" w:fill="F7CAAC"/>
            <w:vAlign w:val="center"/>
            <w:hideMark/>
          </w:tcPr>
          <w:p w14:paraId="4F51846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081FB7" w:rsidRPr="00EF2F18" w14:paraId="3CA416AF" w14:textId="77777777" w:rsidTr="00081FB7">
        <w:trPr>
          <w:trHeight w:val="816"/>
        </w:trPr>
        <w:tc>
          <w:tcPr>
            <w:tcW w:w="3320" w:type="dxa"/>
            <w:shd w:val="clear" w:color="000000" w:fill="D9D9D9"/>
            <w:hideMark/>
          </w:tcPr>
          <w:p w14:paraId="42787D0A"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2361C087"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7823B0FD"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0C49D1B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06FF6AC5"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475" w:type="dxa"/>
            <w:shd w:val="clear" w:color="000000" w:fill="D9D9D9"/>
            <w:hideMark/>
          </w:tcPr>
          <w:p w14:paraId="64CF795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170" w:type="dxa"/>
            <w:shd w:val="clear" w:color="000000" w:fill="D9D9D9"/>
            <w:hideMark/>
          </w:tcPr>
          <w:p w14:paraId="066F2241"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shd w:val="clear" w:color="000000" w:fill="D9D9D9"/>
            <w:hideMark/>
          </w:tcPr>
          <w:p w14:paraId="7081BFB3"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081FB7" w:rsidRPr="00EF2F18" w14:paraId="5CF9DD66" w14:textId="77777777" w:rsidTr="0050150F">
        <w:trPr>
          <w:trHeight w:val="1410"/>
        </w:trPr>
        <w:tc>
          <w:tcPr>
            <w:tcW w:w="3320" w:type="dxa"/>
            <w:shd w:val="clear" w:color="000000" w:fill="FFFFFF"/>
            <w:hideMark/>
          </w:tcPr>
          <w:p w14:paraId="7E071DB3"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Број прегледа интернет презентације РХМЗ која подржава потребну дисеминацију унапређених оперативних продуката, информација, прогноза и упозорења, укупно</w:t>
            </w:r>
          </w:p>
        </w:tc>
        <w:tc>
          <w:tcPr>
            <w:tcW w:w="1280" w:type="dxa"/>
            <w:shd w:val="clear" w:color="000000" w:fill="FFFFFF"/>
            <w:hideMark/>
          </w:tcPr>
          <w:p w14:paraId="720B4BF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280" w:type="dxa"/>
            <w:shd w:val="clear" w:color="000000" w:fill="FFFFFF"/>
            <w:hideMark/>
          </w:tcPr>
          <w:p w14:paraId="366E5152"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Извештај РХМЗ </w:t>
            </w:r>
          </w:p>
        </w:tc>
        <w:tc>
          <w:tcPr>
            <w:tcW w:w="2000" w:type="dxa"/>
            <w:gridSpan w:val="2"/>
            <w:shd w:val="clear" w:color="000000" w:fill="FFFFFF"/>
            <w:hideMark/>
          </w:tcPr>
          <w:p w14:paraId="413283BE"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20" w:type="dxa"/>
            <w:shd w:val="clear" w:color="000000" w:fill="FFFFFF"/>
            <w:hideMark/>
          </w:tcPr>
          <w:p w14:paraId="49F4D867"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475" w:type="dxa"/>
            <w:shd w:val="clear" w:color="000000" w:fill="FFFFFF"/>
            <w:hideMark/>
          </w:tcPr>
          <w:p w14:paraId="2694F3DF"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170" w:type="dxa"/>
            <w:shd w:val="clear" w:color="000000" w:fill="FFFFFF"/>
            <w:hideMark/>
          </w:tcPr>
          <w:p w14:paraId="3B5C75AC"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shd w:val="clear" w:color="000000" w:fill="FFFFFF"/>
            <w:hideMark/>
          </w:tcPr>
          <w:p w14:paraId="651B2225"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tc>
      </w:tr>
    </w:tbl>
    <w:p w14:paraId="78AF8AD6"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564"/>
        <w:gridCol w:w="2531"/>
        <w:gridCol w:w="2430"/>
        <w:gridCol w:w="2250"/>
      </w:tblGrid>
      <w:tr w:rsidR="007D7243" w:rsidRPr="00EF2F18" w14:paraId="42D6707B" w14:textId="77777777" w:rsidTr="007620E6">
        <w:trPr>
          <w:trHeight w:val="336"/>
        </w:trPr>
        <w:tc>
          <w:tcPr>
            <w:tcW w:w="3800" w:type="dxa"/>
            <w:vMerge w:val="restart"/>
            <w:shd w:val="clear" w:color="000000" w:fill="A8D08D"/>
            <w:hideMark/>
          </w:tcPr>
          <w:p w14:paraId="016E2C7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64" w:type="dxa"/>
            <w:vMerge w:val="restart"/>
            <w:shd w:val="clear" w:color="000000" w:fill="A8D08D"/>
            <w:hideMark/>
          </w:tcPr>
          <w:p w14:paraId="7AAC299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11" w:type="dxa"/>
            <w:gridSpan w:val="3"/>
            <w:shd w:val="clear" w:color="000000" w:fill="A8D08D"/>
            <w:hideMark/>
          </w:tcPr>
          <w:p w14:paraId="39C482B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081FB7" w:rsidRPr="00EF2F18" w14:paraId="5F105D1D" w14:textId="77777777" w:rsidTr="007620E6">
        <w:trPr>
          <w:trHeight w:val="336"/>
        </w:trPr>
        <w:tc>
          <w:tcPr>
            <w:tcW w:w="3800" w:type="dxa"/>
            <w:vMerge/>
            <w:vAlign w:val="center"/>
            <w:hideMark/>
          </w:tcPr>
          <w:p w14:paraId="37A5F0A8"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2564" w:type="dxa"/>
            <w:vMerge/>
            <w:vAlign w:val="center"/>
            <w:hideMark/>
          </w:tcPr>
          <w:p w14:paraId="740E2BEE"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2531" w:type="dxa"/>
            <w:shd w:val="clear" w:color="000000" w:fill="A8D08D"/>
            <w:hideMark/>
          </w:tcPr>
          <w:p w14:paraId="5AB8E0ED" w14:textId="4FC211F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shd w:val="clear" w:color="000000" w:fill="A8D08D"/>
            <w:hideMark/>
          </w:tcPr>
          <w:p w14:paraId="0199C85B" w14:textId="7AAF158A"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250" w:type="dxa"/>
            <w:shd w:val="clear" w:color="000000" w:fill="A8D08D"/>
            <w:hideMark/>
          </w:tcPr>
          <w:p w14:paraId="03A7FFE3" w14:textId="37B50178"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081FB7" w:rsidRPr="00EF2F18" w14:paraId="1081596D" w14:textId="037F2723" w:rsidTr="007620E6">
        <w:trPr>
          <w:trHeight w:val="324"/>
        </w:trPr>
        <w:tc>
          <w:tcPr>
            <w:tcW w:w="3800" w:type="dxa"/>
            <w:hideMark/>
          </w:tcPr>
          <w:p w14:paraId="11D108F9" w14:textId="7330095E"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w:t>
            </w:r>
          </w:p>
        </w:tc>
        <w:tc>
          <w:tcPr>
            <w:tcW w:w="2564" w:type="dxa"/>
            <w:hideMark/>
          </w:tcPr>
          <w:p w14:paraId="1B51EE1C" w14:textId="384CDA3C" w:rsidR="00081FB7" w:rsidRPr="00EF2F18" w:rsidRDefault="00081FB7" w:rsidP="00752CA0">
            <w:pPr>
              <w:spacing w:after="0"/>
              <w:rPr>
                <w:rFonts w:eastAsia="Times New Roman" w:cs="Times New Roman"/>
                <w:color w:val="000000"/>
                <w:sz w:val="20"/>
                <w:szCs w:val="20"/>
                <w:lang w:val="sr-Cyrl-RS" w:eastAsia="sr-Cyrl-RS"/>
              </w:rPr>
            </w:pPr>
          </w:p>
        </w:tc>
        <w:tc>
          <w:tcPr>
            <w:tcW w:w="2531" w:type="dxa"/>
            <w:hideMark/>
          </w:tcPr>
          <w:p w14:paraId="74A13D5A" w14:textId="45421B2A" w:rsidR="00081FB7" w:rsidRPr="00EF2F18" w:rsidRDefault="00081FB7" w:rsidP="00752CA0">
            <w:pPr>
              <w:spacing w:after="0"/>
              <w:jc w:val="right"/>
              <w:rPr>
                <w:rFonts w:eastAsia="Times New Roman" w:cs="Times New Roman"/>
                <w:color w:val="000000"/>
                <w:sz w:val="20"/>
                <w:szCs w:val="20"/>
                <w:lang w:val="sr-Cyrl-RS" w:eastAsia="sr-Cyrl-RS"/>
              </w:rPr>
            </w:pPr>
          </w:p>
        </w:tc>
        <w:tc>
          <w:tcPr>
            <w:tcW w:w="2430" w:type="dxa"/>
            <w:hideMark/>
          </w:tcPr>
          <w:p w14:paraId="68BBA525" w14:textId="141900B0" w:rsidR="00081FB7" w:rsidRPr="00EF2F18" w:rsidRDefault="00081FB7" w:rsidP="00752CA0">
            <w:pPr>
              <w:spacing w:after="0"/>
              <w:jc w:val="right"/>
              <w:rPr>
                <w:rFonts w:eastAsia="Times New Roman" w:cs="Times New Roman"/>
                <w:color w:val="000000"/>
                <w:sz w:val="20"/>
                <w:szCs w:val="20"/>
                <w:lang w:val="sr-Cyrl-RS" w:eastAsia="sr-Cyrl-RS"/>
              </w:rPr>
            </w:pPr>
          </w:p>
        </w:tc>
        <w:tc>
          <w:tcPr>
            <w:tcW w:w="2250" w:type="dxa"/>
            <w:hideMark/>
          </w:tcPr>
          <w:p w14:paraId="01BB7B99" w14:textId="1E3C1F08"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4ABE3A93" w14:textId="77777777" w:rsidTr="007620E6">
        <w:trPr>
          <w:trHeight w:val="451"/>
        </w:trPr>
        <w:tc>
          <w:tcPr>
            <w:tcW w:w="3800" w:type="dxa"/>
          </w:tcPr>
          <w:p w14:paraId="3B8996ED" w14:textId="6313E706"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564" w:type="dxa"/>
          </w:tcPr>
          <w:p w14:paraId="286FDE09"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2531" w:type="dxa"/>
          </w:tcPr>
          <w:p w14:paraId="02CC0141"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2430" w:type="dxa"/>
          </w:tcPr>
          <w:p w14:paraId="6758CCF7" w14:textId="77777777" w:rsidR="00081FB7" w:rsidRPr="00EF2F18" w:rsidRDefault="00081FB7" w:rsidP="00752CA0">
            <w:pPr>
              <w:spacing w:after="0"/>
              <w:jc w:val="right"/>
              <w:rPr>
                <w:rFonts w:eastAsia="Times New Roman" w:cs="Times New Roman"/>
                <w:color w:val="000000"/>
                <w:sz w:val="20"/>
                <w:szCs w:val="20"/>
                <w:lang w:val="sr-Cyrl-RS" w:eastAsia="sr-Cyrl-RS"/>
              </w:rPr>
            </w:pPr>
          </w:p>
        </w:tc>
        <w:tc>
          <w:tcPr>
            <w:tcW w:w="2250" w:type="dxa"/>
          </w:tcPr>
          <w:p w14:paraId="54BBFBF8" w14:textId="77777777" w:rsidR="00081FB7" w:rsidRPr="00EF2F18" w:rsidRDefault="00081FB7" w:rsidP="00752CA0">
            <w:pPr>
              <w:spacing w:after="0"/>
              <w:jc w:val="right"/>
              <w:rPr>
                <w:rFonts w:eastAsia="Times New Roman" w:cs="Times New Roman"/>
                <w:color w:val="000000"/>
                <w:sz w:val="20"/>
                <w:szCs w:val="20"/>
                <w:lang w:val="sr-Cyrl-RS" w:eastAsia="sr-Cyrl-RS"/>
              </w:rPr>
            </w:pPr>
          </w:p>
        </w:tc>
      </w:tr>
    </w:tbl>
    <w:p w14:paraId="3B8F172C" w14:textId="77777777" w:rsidR="007D7243" w:rsidRPr="00EF2F18" w:rsidRDefault="007D7243" w:rsidP="007D7243">
      <w:pPr>
        <w:spacing w:after="0"/>
        <w:rPr>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9"/>
        <w:gridCol w:w="1191"/>
        <w:gridCol w:w="1279"/>
        <w:gridCol w:w="1182"/>
        <w:gridCol w:w="1424"/>
        <w:gridCol w:w="1340"/>
        <w:gridCol w:w="1340"/>
        <w:gridCol w:w="1260"/>
        <w:gridCol w:w="1530"/>
      </w:tblGrid>
      <w:tr w:rsidR="007D7243" w:rsidRPr="00EF2F18" w14:paraId="10767514" w14:textId="77777777" w:rsidTr="00081FB7">
        <w:trPr>
          <w:trHeight w:val="696"/>
        </w:trPr>
        <w:tc>
          <w:tcPr>
            <w:tcW w:w="3039" w:type="dxa"/>
            <w:vMerge w:val="restart"/>
            <w:shd w:val="clear" w:color="000000" w:fill="FFF2CC"/>
            <w:hideMark/>
          </w:tcPr>
          <w:p w14:paraId="7B78B9D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191" w:type="dxa"/>
            <w:vMerge w:val="restart"/>
            <w:shd w:val="clear" w:color="000000" w:fill="FFF2CC"/>
            <w:hideMark/>
          </w:tcPr>
          <w:p w14:paraId="617F4D0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9" w:type="dxa"/>
            <w:vMerge w:val="restart"/>
            <w:shd w:val="clear" w:color="000000" w:fill="FFF2CC"/>
            <w:hideMark/>
          </w:tcPr>
          <w:p w14:paraId="6BBB7F4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130EB04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24" w:type="dxa"/>
            <w:vMerge w:val="restart"/>
            <w:shd w:val="clear" w:color="000000" w:fill="FFF2CC"/>
            <w:hideMark/>
          </w:tcPr>
          <w:p w14:paraId="358DFD7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2342B93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30" w:type="dxa"/>
            <w:gridSpan w:val="3"/>
            <w:shd w:val="clear" w:color="000000" w:fill="FFF2CC"/>
            <w:hideMark/>
          </w:tcPr>
          <w:p w14:paraId="51C8692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081FB7" w:rsidRPr="00EF2F18" w14:paraId="140D43FB" w14:textId="77777777" w:rsidTr="00081FB7">
        <w:trPr>
          <w:trHeight w:val="441"/>
        </w:trPr>
        <w:tc>
          <w:tcPr>
            <w:tcW w:w="3039" w:type="dxa"/>
            <w:vMerge/>
            <w:vAlign w:val="center"/>
            <w:hideMark/>
          </w:tcPr>
          <w:p w14:paraId="2B76426E"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191" w:type="dxa"/>
            <w:vMerge/>
            <w:vAlign w:val="center"/>
            <w:hideMark/>
          </w:tcPr>
          <w:p w14:paraId="72DF3858"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279" w:type="dxa"/>
            <w:vMerge/>
            <w:vAlign w:val="center"/>
            <w:hideMark/>
          </w:tcPr>
          <w:p w14:paraId="7881859F"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182" w:type="dxa"/>
            <w:vMerge/>
            <w:vAlign w:val="center"/>
            <w:hideMark/>
          </w:tcPr>
          <w:p w14:paraId="1BF01621"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424" w:type="dxa"/>
            <w:vMerge/>
            <w:vAlign w:val="center"/>
            <w:hideMark/>
          </w:tcPr>
          <w:p w14:paraId="648DC315"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340" w:type="dxa"/>
            <w:vMerge/>
            <w:vAlign w:val="center"/>
            <w:hideMark/>
          </w:tcPr>
          <w:p w14:paraId="2D81E754"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340" w:type="dxa"/>
            <w:shd w:val="clear" w:color="000000" w:fill="FFF2CC"/>
            <w:hideMark/>
          </w:tcPr>
          <w:p w14:paraId="33879A7E" w14:textId="1FDE3623"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260" w:type="dxa"/>
            <w:shd w:val="clear" w:color="000000" w:fill="FFF2CC"/>
            <w:hideMark/>
          </w:tcPr>
          <w:p w14:paraId="743EA9B7" w14:textId="78377555"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530" w:type="dxa"/>
            <w:shd w:val="clear" w:color="000000" w:fill="FFF2CC"/>
            <w:hideMark/>
          </w:tcPr>
          <w:p w14:paraId="2301B86F" w14:textId="62CE5B1E"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081FB7" w:rsidRPr="00EF2F18" w14:paraId="7E2F28B3" w14:textId="77777777" w:rsidTr="00081FB7">
        <w:trPr>
          <w:trHeight w:val="1332"/>
        </w:trPr>
        <w:tc>
          <w:tcPr>
            <w:tcW w:w="3039" w:type="dxa"/>
            <w:hideMark/>
          </w:tcPr>
          <w:p w14:paraId="05CAF179" w14:textId="23411799"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1.2.6.</w:t>
            </w:r>
            <w:r w:rsidR="00D732D6"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 xml:space="preserve"> Припрема и спровођење обука за медије ради правовременог и редовног извештавања о климатским опасностима</w:t>
            </w:r>
          </w:p>
        </w:tc>
        <w:tc>
          <w:tcPr>
            <w:tcW w:w="1191" w:type="dxa"/>
            <w:hideMark/>
          </w:tcPr>
          <w:p w14:paraId="559E6D39"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РХМЗ</w:t>
            </w:r>
          </w:p>
        </w:tc>
        <w:tc>
          <w:tcPr>
            <w:tcW w:w="1279" w:type="dxa"/>
            <w:hideMark/>
          </w:tcPr>
          <w:p w14:paraId="39D0FB60"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182" w:type="dxa"/>
            <w:hideMark/>
          </w:tcPr>
          <w:p w14:paraId="21485949"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24" w:type="dxa"/>
            <w:hideMark/>
          </w:tcPr>
          <w:p w14:paraId="6F95FCF7" w14:textId="12791709"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0" w:type="dxa"/>
          </w:tcPr>
          <w:p w14:paraId="68167974" w14:textId="4CF1167A" w:rsidR="00081FB7" w:rsidRPr="00EF2F18" w:rsidRDefault="00081FB7" w:rsidP="00752CA0">
            <w:pPr>
              <w:spacing w:after="0"/>
              <w:rPr>
                <w:rFonts w:eastAsia="Times New Roman" w:cs="Times New Roman"/>
                <w:color w:val="000000"/>
                <w:sz w:val="20"/>
                <w:szCs w:val="20"/>
                <w:lang w:val="sr-Cyrl-RS" w:eastAsia="sr-Cyrl-RS"/>
              </w:rPr>
            </w:pPr>
          </w:p>
        </w:tc>
        <w:tc>
          <w:tcPr>
            <w:tcW w:w="1340" w:type="dxa"/>
          </w:tcPr>
          <w:p w14:paraId="0B9ECB34" w14:textId="5E4FF2C1"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65E63054" w14:textId="4BC4F74C" w:rsidR="00081FB7" w:rsidRPr="00EF2F18" w:rsidRDefault="00081FB7" w:rsidP="00752CA0">
            <w:pPr>
              <w:spacing w:after="0"/>
              <w:jc w:val="right"/>
              <w:rPr>
                <w:rFonts w:eastAsia="Times New Roman" w:cs="Times New Roman"/>
                <w:color w:val="000000"/>
                <w:sz w:val="20"/>
                <w:szCs w:val="20"/>
                <w:lang w:val="sr-Cyrl-RS" w:eastAsia="sr-Cyrl-RS"/>
              </w:rPr>
            </w:pPr>
          </w:p>
        </w:tc>
        <w:tc>
          <w:tcPr>
            <w:tcW w:w="1530" w:type="dxa"/>
          </w:tcPr>
          <w:p w14:paraId="4AD8E753" w14:textId="6CDF40C7"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0F0A6FE4" w14:textId="77777777" w:rsidTr="00081FB7">
        <w:trPr>
          <w:trHeight w:val="804"/>
        </w:trPr>
        <w:tc>
          <w:tcPr>
            <w:tcW w:w="3039" w:type="dxa"/>
            <w:hideMark/>
          </w:tcPr>
          <w:p w14:paraId="72395B27" w14:textId="1332FEFC"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Calibri" w:cs="Times New Roman"/>
                <w:color w:val="000000"/>
                <w:sz w:val="20"/>
                <w:szCs w:val="20"/>
                <w:lang w:val="sr-Cyrl-RS" w:eastAsia="sr-Cyrl-RS"/>
              </w:rPr>
              <w:t>1.2.6.</w:t>
            </w:r>
            <w:r w:rsidR="00D732D6" w:rsidRPr="00EF2F18">
              <w:rPr>
                <w:rFonts w:eastAsia="Calibri" w:cs="Times New Roman"/>
                <w:color w:val="000000"/>
                <w:sz w:val="20"/>
                <w:szCs w:val="20"/>
                <w:lang w:val="sr-Cyrl-RS" w:eastAsia="sr-Cyrl-RS"/>
              </w:rPr>
              <w:t>2</w:t>
            </w:r>
            <w:r w:rsidRPr="00EF2F18">
              <w:rPr>
                <w:rFonts w:eastAsia="Calibri" w:cs="Times New Roman"/>
                <w:color w:val="000000"/>
                <w:sz w:val="20"/>
                <w:szCs w:val="20"/>
                <w:lang w:val="sr-Cyrl-RS" w:eastAsia="sr-Cyrl-RS"/>
              </w:rPr>
              <w:t>. Припрема протокола о реаговању у случају свих климатских ризика</w:t>
            </w:r>
          </w:p>
        </w:tc>
        <w:tc>
          <w:tcPr>
            <w:tcW w:w="1191" w:type="dxa"/>
            <w:hideMark/>
          </w:tcPr>
          <w:p w14:paraId="1D6AD863"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p>
        </w:tc>
        <w:tc>
          <w:tcPr>
            <w:tcW w:w="1279" w:type="dxa"/>
            <w:hideMark/>
          </w:tcPr>
          <w:p w14:paraId="26FC1320"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ИЗЈЗ, ЗЗЈЗ</w:t>
            </w:r>
          </w:p>
        </w:tc>
        <w:tc>
          <w:tcPr>
            <w:tcW w:w="1182" w:type="dxa"/>
            <w:hideMark/>
          </w:tcPr>
          <w:p w14:paraId="2F767F34"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424" w:type="dxa"/>
            <w:hideMark/>
          </w:tcPr>
          <w:p w14:paraId="6FFAB9CA"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tcPr>
          <w:p w14:paraId="00B67AAA" w14:textId="77777777" w:rsidR="00081FB7" w:rsidRPr="00EF2F18" w:rsidRDefault="00081FB7" w:rsidP="00752CA0">
            <w:pPr>
              <w:spacing w:after="0"/>
              <w:rPr>
                <w:rFonts w:eastAsia="Times New Roman" w:cs="Times New Roman"/>
                <w:color w:val="000000"/>
                <w:sz w:val="20"/>
                <w:szCs w:val="20"/>
                <w:lang w:val="sr-Cyrl-RS" w:eastAsia="sr-Cyrl-RS"/>
              </w:rPr>
            </w:pPr>
          </w:p>
        </w:tc>
        <w:tc>
          <w:tcPr>
            <w:tcW w:w="1340" w:type="dxa"/>
          </w:tcPr>
          <w:p w14:paraId="6FCBF489" w14:textId="0A1688C7"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tcPr>
          <w:p w14:paraId="7E712C45" w14:textId="64B4798A" w:rsidR="00081FB7" w:rsidRPr="00EF2F18" w:rsidRDefault="00081FB7" w:rsidP="00752CA0">
            <w:pPr>
              <w:spacing w:after="0"/>
              <w:jc w:val="right"/>
              <w:rPr>
                <w:rFonts w:eastAsia="Times New Roman" w:cs="Times New Roman"/>
                <w:color w:val="000000"/>
                <w:sz w:val="20"/>
                <w:szCs w:val="20"/>
                <w:lang w:val="sr-Cyrl-RS" w:eastAsia="sr-Cyrl-RS"/>
              </w:rPr>
            </w:pPr>
          </w:p>
        </w:tc>
        <w:tc>
          <w:tcPr>
            <w:tcW w:w="1530" w:type="dxa"/>
          </w:tcPr>
          <w:p w14:paraId="56BC40AF" w14:textId="57F81E6F" w:rsidR="00081FB7" w:rsidRPr="00EF2F18" w:rsidRDefault="00081FB7" w:rsidP="00752CA0">
            <w:pPr>
              <w:spacing w:after="0"/>
              <w:jc w:val="right"/>
              <w:rPr>
                <w:rFonts w:eastAsia="Times New Roman" w:cs="Times New Roman"/>
                <w:color w:val="000000"/>
                <w:sz w:val="20"/>
                <w:szCs w:val="20"/>
                <w:lang w:val="sr-Cyrl-RS" w:eastAsia="sr-Cyrl-RS"/>
              </w:rPr>
            </w:pPr>
          </w:p>
        </w:tc>
      </w:tr>
      <w:tr w:rsidR="00081FB7" w:rsidRPr="00EF2F18" w14:paraId="76FB1148" w14:textId="77777777" w:rsidTr="00081FB7">
        <w:trPr>
          <w:trHeight w:val="804"/>
        </w:trPr>
        <w:tc>
          <w:tcPr>
            <w:tcW w:w="3039" w:type="dxa"/>
            <w:hideMark/>
          </w:tcPr>
          <w:p w14:paraId="1E732A0A" w14:textId="266CB814"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1.2.6.</w:t>
            </w:r>
            <w:r w:rsidR="00D732D6" w:rsidRPr="00EF2F18">
              <w:rPr>
                <w:rFonts w:eastAsia="Times New Roman" w:cs="Times New Roman"/>
                <w:color w:val="000000"/>
                <w:sz w:val="20"/>
                <w:szCs w:val="20"/>
                <w:lang w:val="sr-Cyrl-RS" w:eastAsia="sr-Cyrl-RS"/>
              </w:rPr>
              <w:t>3</w:t>
            </w:r>
            <w:r w:rsidRPr="00EF2F18">
              <w:rPr>
                <w:rFonts w:eastAsia="Times New Roman" w:cs="Times New Roman"/>
                <w:color w:val="000000"/>
                <w:sz w:val="20"/>
                <w:szCs w:val="20"/>
                <w:lang w:val="sr-Cyrl-RS" w:eastAsia="sr-Cyrl-RS"/>
              </w:rPr>
              <w:t>. Јачање јавне свести о утицају климатских промена на здравље</w:t>
            </w:r>
          </w:p>
        </w:tc>
        <w:tc>
          <w:tcPr>
            <w:tcW w:w="1191" w:type="dxa"/>
            <w:hideMark/>
          </w:tcPr>
          <w:p w14:paraId="43207B8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p>
        </w:tc>
        <w:tc>
          <w:tcPr>
            <w:tcW w:w="1279" w:type="dxa"/>
            <w:hideMark/>
          </w:tcPr>
          <w:p w14:paraId="5030B9B9"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ЗЗЈЗ</w:t>
            </w:r>
          </w:p>
        </w:tc>
        <w:tc>
          <w:tcPr>
            <w:tcW w:w="1182" w:type="dxa"/>
            <w:hideMark/>
          </w:tcPr>
          <w:p w14:paraId="7851BE74"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24" w:type="dxa"/>
            <w:hideMark/>
          </w:tcPr>
          <w:p w14:paraId="73045695" w14:textId="148C204F"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40" w:type="dxa"/>
          </w:tcPr>
          <w:p w14:paraId="087A8872" w14:textId="2A4C7613" w:rsidR="00081FB7" w:rsidRPr="00EF2F18" w:rsidRDefault="00081FB7" w:rsidP="00752CA0">
            <w:pPr>
              <w:spacing w:after="0"/>
              <w:rPr>
                <w:rFonts w:eastAsia="Times New Roman" w:cs="Times New Roman"/>
                <w:color w:val="000000"/>
                <w:sz w:val="20"/>
                <w:szCs w:val="20"/>
                <w:lang w:val="sr-Cyrl-RS" w:eastAsia="sr-Cyrl-RS"/>
              </w:rPr>
            </w:pPr>
          </w:p>
        </w:tc>
        <w:tc>
          <w:tcPr>
            <w:tcW w:w="1340" w:type="dxa"/>
            <w:hideMark/>
          </w:tcPr>
          <w:p w14:paraId="763978EA" w14:textId="749E1B27" w:rsidR="00081FB7" w:rsidRPr="00EF2F18" w:rsidRDefault="00081FB7" w:rsidP="00752CA0">
            <w:pPr>
              <w:spacing w:after="0"/>
              <w:jc w:val="right"/>
              <w:rPr>
                <w:rFonts w:eastAsia="Times New Roman" w:cs="Times New Roman"/>
                <w:color w:val="000000"/>
                <w:sz w:val="20"/>
                <w:szCs w:val="20"/>
                <w:lang w:val="sr-Cyrl-RS" w:eastAsia="sr-Cyrl-RS"/>
              </w:rPr>
            </w:pPr>
          </w:p>
        </w:tc>
        <w:tc>
          <w:tcPr>
            <w:tcW w:w="1260" w:type="dxa"/>
            <w:hideMark/>
          </w:tcPr>
          <w:p w14:paraId="15E08E64" w14:textId="7084A57F" w:rsidR="00081FB7" w:rsidRPr="00EF2F18" w:rsidRDefault="00081FB7" w:rsidP="00752CA0">
            <w:pPr>
              <w:spacing w:after="0"/>
              <w:jc w:val="right"/>
              <w:rPr>
                <w:rFonts w:eastAsia="Times New Roman" w:cs="Times New Roman"/>
                <w:color w:val="000000"/>
                <w:sz w:val="20"/>
                <w:szCs w:val="20"/>
                <w:lang w:val="sr-Cyrl-RS" w:eastAsia="sr-Cyrl-RS"/>
              </w:rPr>
            </w:pPr>
          </w:p>
        </w:tc>
        <w:tc>
          <w:tcPr>
            <w:tcW w:w="1530" w:type="dxa"/>
            <w:hideMark/>
          </w:tcPr>
          <w:p w14:paraId="62C33CA9" w14:textId="2BCDDC91" w:rsidR="00081FB7" w:rsidRPr="00EF2F18" w:rsidRDefault="00081FB7" w:rsidP="00752CA0">
            <w:pPr>
              <w:spacing w:after="0"/>
              <w:jc w:val="right"/>
              <w:rPr>
                <w:rFonts w:eastAsia="Times New Roman" w:cs="Times New Roman"/>
                <w:color w:val="000000"/>
                <w:sz w:val="20"/>
                <w:szCs w:val="20"/>
                <w:lang w:val="sr-Cyrl-RS" w:eastAsia="sr-Cyrl-RS"/>
              </w:rPr>
            </w:pPr>
          </w:p>
        </w:tc>
      </w:tr>
    </w:tbl>
    <w:p w14:paraId="18D2FAF5" w14:textId="15E5311E" w:rsidR="007D7243" w:rsidRPr="00EF2F18" w:rsidRDefault="00CB5ECF" w:rsidP="007D7243">
      <w:pPr>
        <w:spacing w:after="0"/>
        <w:rPr>
          <w:sz w:val="20"/>
          <w:szCs w:val="18"/>
          <w:lang w:val="sr-Cyrl-RS"/>
        </w:rPr>
      </w:pPr>
      <w:r w:rsidRPr="00EF2F18">
        <w:rPr>
          <w:sz w:val="20"/>
          <w:szCs w:val="18"/>
          <w:lang w:val="sr-Cyrl-RS"/>
        </w:rPr>
        <w:t>* Извори финансирања и/или средства још увек нису утврђени и/или обезбеђени.</w:t>
      </w:r>
    </w:p>
    <w:p w14:paraId="1D220B0C" w14:textId="77777777" w:rsidR="00F418DF" w:rsidRPr="00EF2F18" w:rsidRDefault="00F418DF" w:rsidP="007D7243">
      <w:pPr>
        <w:spacing w:after="0"/>
        <w:rPr>
          <w:rFonts w:cs="Times New Roman"/>
          <w:sz w:val="20"/>
          <w:szCs w:val="20"/>
          <w:lang w:val="sr-Cyrl-RS"/>
        </w:rPr>
      </w:pPr>
    </w:p>
    <w:p w14:paraId="70F24FF5" w14:textId="77777777" w:rsidR="007D7243" w:rsidRPr="00EF2F18" w:rsidRDefault="007D7243" w:rsidP="007D7243">
      <w:pPr>
        <w:spacing w:after="0"/>
        <w:rPr>
          <w:rFonts w:cs="Times New Roman"/>
          <w:sz w:val="20"/>
          <w:szCs w:val="20"/>
          <w:lang w:val="sr-Cyrl-RS"/>
        </w:rPr>
      </w:pPr>
    </w:p>
    <w:tbl>
      <w:tblPr>
        <w:tblStyle w:val="TableGrid"/>
        <w:tblW w:w="13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63"/>
        <w:gridCol w:w="1111"/>
        <w:gridCol w:w="1680"/>
        <w:gridCol w:w="1587"/>
        <w:gridCol w:w="1493"/>
        <w:gridCol w:w="1400"/>
        <w:gridCol w:w="1600"/>
      </w:tblGrid>
      <w:tr w:rsidR="007D7243" w:rsidRPr="00EF2F18" w14:paraId="60F5642B" w14:textId="77777777" w:rsidTr="00752CA0">
        <w:trPr>
          <w:trHeight w:val="454"/>
        </w:trPr>
        <w:tc>
          <w:tcPr>
            <w:tcW w:w="13534" w:type="dxa"/>
            <w:gridSpan w:val="7"/>
            <w:shd w:val="clear" w:color="auto" w:fill="DEEAF6" w:themeFill="accent1" w:themeFillTint="33"/>
          </w:tcPr>
          <w:p w14:paraId="1AF26ABC" w14:textId="77777777" w:rsidR="007D7243" w:rsidRPr="00EF2F18" w:rsidRDefault="007D7243" w:rsidP="00752CA0">
            <w:pPr>
              <w:rPr>
                <w:rFonts w:cs="Times New Roman"/>
                <w:b/>
                <w:sz w:val="20"/>
                <w:szCs w:val="20"/>
                <w:lang w:val="sr-Cyrl-RS"/>
              </w:rPr>
            </w:pPr>
            <w:r w:rsidRPr="00EF2F18">
              <w:rPr>
                <w:rFonts w:cs="Times New Roman"/>
                <w:b/>
                <w:sz w:val="20"/>
                <w:szCs w:val="20"/>
                <w:lang w:val="sr-Cyrl-RS"/>
              </w:rPr>
              <w:lastRenderedPageBreak/>
              <w:t>Општи циљ 2: Примена принципа циркуларне економије ради унапређења заштите животне срединe и ресурсне ефикасности</w:t>
            </w:r>
          </w:p>
        </w:tc>
      </w:tr>
      <w:tr w:rsidR="007D7243" w:rsidRPr="00EF2F18" w14:paraId="3934BBD6" w14:textId="77777777" w:rsidTr="00752CA0">
        <w:trPr>
          <w:trHeight w:val="424"/>
        </w:trPr>
        <w:tc>
          <w:tcPr>
            <w:tcW w:w="13534" w:type="dxa"/>
            <w:gridSpan w:val="7"/>
            <w:shd w:val="clear" w:color="auto" w:fill="DEEAF6" w:themeFill="accent1" w:themeFillTint="33"/>
            <w:vAlign w:val="center"/>
          </w:tcPr>
          <w:p w14:paraId="4110B677" w14:textId="77777777" w:rsidR="007D7243" w:rsidRPr="00EF2F18" w:rsidRDefault="007D7243" w:rsidP="00752CA0">
            <w:pPr>
              <w:rPr>
                <w:rFonts w:cs="Times New Roman"/>
                <w:sz w:val="20"/>
                <w:szCs w:val="20"/>
                <w:lang w:val="sr-Cyrl-RS"/>
              </w:rPr>
            </w:pPr>
            <w:r w:rsidRPr="00EF2F18">
              <w:rPr>
                <w:rFonts w:eastAsia="Times New Roman" w:cs="Times New Roman"/>
                <w:color w:val="222222"/>
                <w:sz w:val="20"/>
                <w:szCs w:val="20"/>
                <w:lang w:val="sr-Cyrl-RS"/>
              </w:rPr>
              <w:t xml:space="preserve">Институција одговорна за праћење и контролу реализације: </w:t>
            </w:r>
            <w:r w:rsidRPr="00EF2F18">
              <w:rPr>
                <w:rFonts w:cs="Times New Roman"/>
                <w:sz w:val="20"/>
                <w:szCs w:val="20"/>
                <w:lang w:val="sr-Cyrl-RS"/>
              </w:rPr>
              <w:t>Министарство заштите животне средине (МЗЖС)</w:t>
            </w:r>
          </w:p>
        </w:tc>
      </w:tr>
      <w:tr w:rsidR="007D7243" w:rsidRPr="00EF2F18" w14:paraId="6DDD2676" w14:textId="77777777" w:rsidTr="00752CA0">
        <w:trPr>
          <w:trHeight w:val="708"/>
        </w:trPr>
        <w:tc>
          <w:tcPr>
            <w:tcW w:w="4663" w:type="dxa"/>
            <w:shd w:val="clear" w:color="auto" w:fill="D9D9D9" w:themeFill="background1" w:themeFillShade="D9"/>
          </w:tcPr>
          <w:p w14:paraId="3716DAF5"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 xml:space="preserve">Показатељ (и) на нивоу oпштег циља </w:t>
            </w:r>
            <w:r w:rsidRPr="00EF2F18">
              <w:rPr>
                <w:rFonts w:cs="Times New Roman"/>
                <w:i/>
                <w:sz w:val="20"/>
                <w:szCs w:val="20"/>
                <w:lang w:val="sr-Cyrl-RS"/>
              </w:rPr>
              <w:t>(показатељ eфекта)</w:t>
            </w:r>
          </w:p>
        </w:tc>
        <w:tc>
          <w:tcPr>
            <w:tcW w:w="1111" w:type="dxa"/>
            <w:shd w:val="clear" w:color="auto" w:fill="D9D9D9" w:themeFill="background1" w:themeFillShade="D9"/>
          </w:tcPr>
          <w:p w14:paraId="02DAB728"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Jединица мере</w:t>
            </w:r>
          </w:p>
        </w:tc>
        <w:tc>
          <w:tcPr>
            <w:tcW w:w="1680" w:type="dxa"/>
            <w:shd w:val="clear" w:color="auto" w:fill="D9D9D9" w:themeFill="background1" w:themeFillShade="D9"/>
          </w:tcPr>
          <w:p w14:paraId="1BB13E51"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Извор провере</w:t>
            </w:r>
          </w:p>
        </w:tc>
        <w:tc>
          <w:tcPr>
            <w:tcW w:w="1587" w:type="dxa"/>
            <w:shd w:val="clear" w:color="auto" w:fill="D9D9D9" w:themeFill="background1" w:themeFillShade="D9"/>
          </w:tcPr>
          <w:p w14:paraId="79B07986"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Почетна вредност</w:t>
            </w:r>
          </w:p>
        </w:tc>
        <w:tc>
          <w:tcPr>
            <w:tcW w:w="1493" w:type="dxa"/>
            <w:shd w:val="clear" w:color="auto" w:fill="D9D9D9" w:themeFill="background1" w:themeFillShade="D9"/>
          </w:tcPr>
          <w:p w14:paraId="02330132"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Базна година</w:t>
            </w:r>
          </w:p>
        </w:tc>
        <w:tc>
          <w:tcPr>
            <w:tcW w:w="1400" w:type="dxa"/>
            <w:shd w:val="clear" w:color="auto" w:fill="D9D9D9" w:themeFill="background1" w:themeFillShade="D9"/>
          </w:tcPr>
          <w:p w14:paraId="79C183D9"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Циљaна вредност</w:t>
            </w:r>
          </w:p>
        </w:tc>
        <w:tc>
          <w:tcPr>
            <w:tcW w:w="1600" w:type="dxa"/>
            <w:shd w:val="clear" w:color="auto" w:fill="D9D9D9" w:themeFill="background1" w:themeFillShade="D9"/>
          </w:tcPr>
          <w:p w14:paraId="0FEC0DE1"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Последња година важења АП</w:t>
            </w:r>
          </w:p>
        </w:tc>
      </w:tr>
      <w:tr w:rsidR="007D7243" w:rsidRPr="00EF2F18" w14:paraId="37AEE0F3" w14:textId="77777777" w:rsidTr="00752CA0">
        <w:trPr>
          <w:trHeight w:val="197"/>
        </w:trPr>
        <w:tc>
          <w:tcPr>
            <w:tcW w:w="4663" w:type="dxa"/>
            <w:shd w:val="clear" w:color="auto" w:fill="FFFFFF" w:themeFill="background1"/>
          </w:tcPr>
          <w:p w14:paraId="58195FC5"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Стопа кружне употребе материјала</w:t>
            </w:r>
          </w:p>
        </w:tc>
        <w:tc>
          <w:tcPr>
            <w:tcW w:w="1111" w:type="dxa"/>
            <w:shd w:val="clear" w:color="auto" w:fill="FFFFFF" w:themeFill="background1"/>
          </w:tcPr>
          <w:p w14:paraId="607BFFC7"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10104EC3"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 xml:space="preserve">РЗС, Извештај о напретку у остваривању ЦОР до 2030. године у РС, </w:t>
            </w:r>
            <w:r w:rsidRPr="00EF2F18">
              <w:rPr>
                <w:rFonts w:cs="Times New Roman"/>
                <w:bCs/>
                <w:sz w:val="20"/>
                <w:szCs w:val="20"/>
                <w:lang w:val="sr-Cyrl-RS"/>
              </w:rPr>
              <w:t xml:space="preserve">РЗС, </w:t>
            </w:r>
            <w:r w:rsidRPr="00EF2F18">
              <w:rPr>
                <w:rFonts w:cs="Times New Roman"/>
                <w:sz w:val="20"/>
                <w:szCs w:val="20"/>
                <w:lang w:val="sr-Cyrl-RS"/>
              </w:rPr>
              <w:t>Еко билтен</w:t>
            </w:r>
          </w:p>
        </w:tc>
        <w:tc>
          <w:tcPr>
            <w:tcW w:w="1587" w:type="dxa"/>
            <w:shd w:val="clear" w:color="auto" w:fill="FFFFFF" w:themeFill="background1"/>
          </w:tcPr>
          <w:p w14:paraId="5CAA3DAB"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1,7</w:t>
            </w:r>
          </w:p>
        </w:tc>
        <w:tc>
          <w:tcPr>
            <w:tcW w:w="1493" w:type="dxa"/>
            <w:shd w:val="clear" w:color="auto" w:fill="FFFFFF" w:themeFill="background1"/>
          </w:tcPr>
          <w:p w14:paraId="0A0CB71F"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2021.</w:t>
            </w:r>
          </w:p>
        </w:tc>
        <w:tc>
          <w:tcPr>
            <w:tcW w:w="1400" w:type="dxa"/>
            <w:shd w:val="clear" w:color="auto" w:fill="FFFFFF" w:themeFill="background1"/>
          </w:tcPr>
          <w:p w14:paraId="24D9C641"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3</w:t>
            </w:r>
          </w:p>
        </w:tc>
        <w:tc>
          <w:tcPr>
            <w:tcW w:w="1600" w:type="dxa"/>
            <w:shd w:val="clear" w:color="auto" w:fill="FFFFFF" w:themeFill="background1"/>
          </w:tcPr>
          <w:p w14:paraId="5197629C"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bl>
    <w:p w14:paraId="4AF8A1CB"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77"/>
        <w:gridCol w:w="1653"/>
        <w:gridCol w:w="1664"/>
        <w:gridCol w:w="1137"/>
        <w:gridCol w:w="1144"/>
        <w:gridCol w:w="1440"/>
        <w:gridCol w:w="1440"/>
        <w:gridCol w:w="1609"/>
        <w:gridCol w:w="11"/>
      </w:tblGrid>
      <w:tr w:rsidR="007D7243" w:rsidRPr="00EF2F18" w14:paraId="74A048D3" w14:textId="77777777" w:rsidTr="00081FB7">
        <w:trPr>
          <w:gridAfter w:val="1"/>
          <w:wAfter w:w="11" w:type="dxa"/>
          <w:trHeight w:val="336"/>
        </w:trPr>
        <w:tc>
          <w:tcPr>
            <w:tcW w:w="13564" w:type="dxa"/>
            <w:gridSpan w:val="8"/>
            <w:shd w:val="clear" w:color="000000" w:fill="C5E0B3"/>
            <w:vAlign w:val="center"/>
            <w:hideMark/>
          </w:tcPr>
          <w:p w14:paraId="53BC29E6"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Посебан циљ 2.1: Унапређење одрживог система управљања отпадом кроз ефикасније коришћење отпада у складу са ЕУ прописима</w:t>
            </w:r>
          </w:p>
        </w:tc>
      </w:tr>
      <w:tr w:rsidR="007D7243" w:rsidRPr="00EF2F18" w14:paraId="35CC9447" w14:textId="77777777" w:rsidTr="00081FB7">
        <w:trPr>
          <w:gridAfter w:val="1"/>
          <w:wAfter w:w="11" w:type="dxa"/>
          <w:trHeight w:val="336"/>
        </w:trPr>
        <w:tc>
          <w:tcPr>
            <w:tcW w:w="13564" w:type="dxa"/>
            <w:gridSpan w:val="8"/>
            <w:shd w:val="clear" w:color="000000" w:fill="C5E0B3"/>
            <w:vAlign w:val="center"/>
            <w:hideMark/>
          </w:tcPr>
          <w:p w14:paraId="4416B28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Институција одговорна за координацију и извештавање: Министарство заштите животне средине</w:t>
            </w:r>
          </w:p>
        </w:tc>
      </w:tr>
      <w:tr w:rsidR="00081FB7" w:rsidRPr="00EF2F18" w14:paraId="5645C565" w14:textId="77777777" w:rsidTr="00081FB7">
        <w:trPr>
          <w:trHeight w:val="816"/>
        </w:trPr>
        <w:tc>
          <w:tcPr>
            <w:tcW w:w="3477" w:type="dxa"/>
            <w:shd w:val="clear" w:color="000000" w:fill="D9D9D9"/>
            <w:hideMark/>
          </w:tcPr>
          <w:p w14:paraId="04614575"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653" w:type="dxa"/>
            <w:shd w:val="clear" w:color="000000" w:fill="D9D9D9"/>
            <w:hideMark/>
          </w:tcPr>
          <w:p w14:paraId="22B24EEE"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664" w:type="dxa"/>
            <w:shd w:val="clear" w:color="000000" w:fill="D9D9D9"/>
            <w:hideMark/>
          </w:tcPr>
          <w:p w14:paraId="2D8AC77F"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137" w:type="dxa"/>
            <w:shd w:val="clear" w:color="000000" w:fill="D9D9D9"/>
            <w:hideMark/>
          </w:tcPr>
          <w:p w14:paraId="40140E1B"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144" w:type="dxa"/>
            <w:shd w:val="clear" w:color="000000" w:fill="D9D9D9"/>
            <w:hideMark/>
          </w:tcPr>
          <w:p w14:paraId="5C6DF9C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440" w:type="dxa"/>
            <w:shd w:val="clear" w:color="000000" w:fill="D9D9D9"/>
            <w:hideMark/>
          </w:tcPr>
          <w:p w14:paraId="54F258F1"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704B00C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gridSpan w:val="2"/>
            <w:shd w:val="clear" w:color="000000" w:fill="D9D9D9"/>
            <w:hideMark/>
          </w:tcPr>
          <w:p w14:paraId="08699A01"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081FB7" w:rsidRPr="00EF2F18" w14:paraId="0D29147F" w14:textId="77777777" w:rsidTr="00081FB7">
        <w:trPr>
          <w:trHeight w:val="1080"/>
        </w:trPr>
        <w:tc>
          <w:tcPr>
            <w:tcW w:w="3477" w:type="dxa"/>
            <w:shd w:val="clear" w:color="000000" w:fill="FFFFFF"/>
            <w:hideMark/>
          </w:tcPr>
          <w:p w14:paraId="4DB293E6"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Удео комуналног отпада који се одлаже на несанитарне депоније у односу на укупну количину генерисаног комуналног отпада </w:t>
            </w:r>
          </w:p>
        </w:tc>
        <w:tc>
          <w:tcPr>
            <w:tcW w:w="1653" w:type="dxa"/>
            <w:shd w:val="clear" w:color="000000" w:fill="FFFFFF"/>
            <w:hideMark/>
          </w:tcPr>
          <w:p w14:paraId="56E0C11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664" w:type="dxa"/>
            <w:shd w:val="clear" w:color="000000" w:fill="FFFFFF"/>
            <w:hideMark/>
          </w:tcPr>
          <w:p w14:paraId="075C3D5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управљању отпадом</w:t>
            </w:r>
          </w:p>
        </w:tc>
        <w:tc>
          <w:tcPr>
            <w:tcW w:w="1137" w:type="dxa"/>
            <w:shd w:val="clear" w:color="000000" w:fill="FFFFFF"/>
            <w:hideMark/>
          </w:tcPr>
          <w:p w14:paraId="78AAE07D"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36,6</w:t>
            </w:r>
          </w:p>
        </w:tc>
        <w:tc>
          <w:tcPr>
            <w:tcW w:w="1144" w:type="dxa"/>
            <w:shd w:val="clear" w:color="000000" w:fill="FFFFFF"/>
            <w:hideMark/>
          </w:tcPr>
          <w:p w14:paraId="4E73151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2022.</w:t>
            </w:r>
          </w:p>
        </w:tc>
        <w:tc>
          <w:tcPr>
            <w:tcW w:w="1440" w:type="dxa"/>
            <w:shd w:val="clear" w:color="000000" w:fill="FFFFFF"/>
            <w:hideMark/>
          </w:tcPr>
          <w:p w14:paraId="1ACD27A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27</w:t>
            </w:r>
          </w:p>
        </w:tc>
        <w:tc>
          <w:tcPr>
            <w:tcW w:w="1440" w:type="dxa"/>
            <w:shd w:val="clear" w:color="000000" w:fill="FFFFFF"/>
            <w:hideMark/>
          </w:tcPr>
          <w:p w14:paraId="4B772C07"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24,4</w:t>
            </w:r>
          </w:p>
        </w:tc>
        <w:tc>
          <w:tcPr>
            <w:tcW w:w="1620" w:type="dxa"/>
            <w:gridSpan w:val="2"/>
            <w:shd w:val="clear" w:color="000000" w:fill="FFFFFF"/>
            <w:hideMark/>
          </w:tcPr>
          <w:p w14:paraId="35E0D3C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22</w:t>
            </w:r>
          </w:p>
        </w:tc>
      </w:tr>
      <w:tr w:rsidR="00081FB7" w:rsidRPr="00EF2F18" w14:paraId="74B184F0" w14:textId="77777777" w:rsidTr="00081FB7">
        <w:trPr>
          <w:trHeight w:val="1080"/>
        </w:trPr>
        <w:tc>
          <w:tcPr>
            <w:tcW w:w="3477" w:type="dxa"/>
            <w:shd w:val="clear" w:color="000000" w:fill="FFFFFF"/>
            <w:hideMark/>
          </w:tcPr>
          <w:p w14:paraId="7C03FD23"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Изграђена инфраструктура зa сакупљање и третман опасног отпада</w:t>
            </w:r>
          </w:p>
        </w:tc>
        <w:tc>
          <w:tcPr>
            <w:tcW w:w="1653" w:type="dxa"/>
            <w:shd w:val="clear" w:color="000000" w:fill="FFFFFF"/>
            <w:hideMark/>
          </w:tcPr>
          <w:p w14:paraId="40131FFA"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да/делимично/не</w:t>
            </w:r>
          </w:p>
        </w:tc>
        <w:tc>
          <w:tcPr>
            <w:tcW w:w="1664" w:type="dxa"/>
            <w:shd w:val="clear" w:color="000000" w:fill="FFFFFF"/>
            <w:hideMark/>
          </w:tcPr>
          <w:p w14:paraId="38BE81D4"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управљању отпадом</w:t>
            </w:r>
          </w:p>
        </w:tc>
        <w:tc>
          <w:tcPr>
            <w:tcW w:w="1137" w:type="dxa"/>
            <w:shd w:val="clear" w:color="000000" w:fill="FFFFFF"/>
            <w:hideMark/>
          </w:tcPr>
          <w:p w14:paraId="7F876AD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144" w:type="dxa"/>
            <w:shd w:val="clear" w:color="000000" w:fill="FFFFFF"/>
            <w:hideMark/>
          </w:tcPr>
          <w:p w14:paraId="091ACF97"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440" w:type="dxa"/>
            <w:shd w:val="clear" w:color="000000" w:fill="FFFFFF"/>
            <w:hideMark/>
          </w:tcPr>
          <w:p w14:paraId="196E80B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не</w:t>
            </w:r>
          </w:p>
        </w:tc>
        <w:tc>
          <w:tcPr>
            <w:tcW w:w="1440" w:type="dxa"/>
            <w:shd w:val="clear" w:color="000000" w:fill="FFFFFF"/>
            <w:hideMark/>
          </w:tcPr>
          <w:p w14:paraId="3F4CFA9F"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не</w:t>
            </w:r>
          </w:p>
        </w:tc>
        <w:tc>
          <w:tcPr>
            <w:tcW w:w="1620" w:type="dxa"/>
            <w:gridSpan w:val="2"/>
            <w:shd w:val="clear" w:color="000000" w:fill="FFFFFF"/>
            <w:hideMark/>
          </w:tcPr>
          <w:p w14:paraId="07376F32"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делимично</w:t>
            </w:r>
          </w:p>
        </w:tc>
      </w:tr>
    </w:tbl>
    <w:p w14:paraId="5945D8BB" w14:textId="77777777" w:rsidR="007D7243" w:rsidRPr="00EF2F18" w:rsidRDefault="007D7243" w:rsidP="007D7243">
      <w:pPr>
        <w:tabs>
          <w:tab w:val="left" w:pos="1940"/>
        </w:tabs>
        <w:spacing w:after="0"/>
        <w:rPr>
          <w:rFonts w:cs="Times New Roman"/>
          <w:sz w:val="20"/>
          <w:szCs w:val="20"/>
          <w:lang w:val="sr-Cyrl-RS"/>
        </w:rPr>
      </w:pPr>
    </w:p>
    <w:p w14:paraId="67986D5A" w14:textId="77777777" w:rsidR="007D7243" w:rsidRPr="00EF2F18" w:rsidRDefault="007D7243" w:rsidP="007D7243">
      <w:pPr>
        <w:spacing w:after="0"/>
        <w:rPr>
          <w:rFonts w:cs="Times New Roman"/>
          <w:sz w:val="20"/>
          <w:szCs w:val="20"/>
          <w:lang w:val="sr-Cyrl-RS"/>
        </w:rPr>
      </w:pPr>
    </w:p>
    <w:p w14:paraId="5126DB3E" w14:textId="77777777" w:rsidR="00F418DF" w:rsidRPr="00EF2F18" w:rsidRDefault="00F418DF" w:rsidP="007D7243">
      <w:pPr>
        <w:spacing w:after="0"/>
        <w:rPr>
          <w:rFonts w:cs="Times New Roman"/>
          <w:sz w:val="20"/>
          <w:szCs w:val="20"/>
          <w:lang w:val="sr-Cyrl-RS"/>
        </w:rPr>
      </w:pPr>
    </w:p>
    <w:p w14:paraId="0B5ABE2C" w14:textId="77777777" w:rsidR="00F418DF" w:rsidRPr="00EF2F18" w:rsidRDefault="00F418DF" w:rsidP="007D7243">
      <w:pPr>
        <w:spacing w:after="0"/>
        <w:rPr>
          <w:rFonts w:cs="Times New Roman"/>
          <w:sz w:val="20"/>
          <w:szCs w:val="20"/>
          <w:lang w:val="sr-Cyrl-RS"/>
        </w:rPr>
      </w:pPr>
    </w:p>
    <w:p w14:paraId="77FBD6B8" w14:textId="77777777" w:rsidR="00F418DF" w:rsidRPr="00EF2F18" w:rsidRDefault="00F418DF" w:rsidP="007D7243">
      <w:pPr>
        <w:spacing w:after="0"/>
        <w:rPr>
          <w:rFonts w:cs="Times New Roman"/>
          <w:sz w:val="20"/>
          <w:szCs w:val="20"/>
          <w:lang w:val="sr-Cyrl-RS"/>
        </w:rPr>
      </w:pPr>
    </w:p>
    <w:p w14:paraId="4820C4A8" w14:textId="77777777" w:rsidR="00F418DF" w:rsidRPr="00EF2F18" w:rsidRDefault="00F418DF" w:rsidP="007D7243">
      <w:pPr>
        <w:spacing w:after="0"/>
        <w:rPr>
          <w:rFonts w:cs="Times New Roman"/>
          <w:sz w:val="20"/>
          <w:szCs w:val="20"/>
          <w:lang w:val="sr-Cyrl-RS"/>
        </w:rPr>
      </w:pPr>
    </w:p>
    <w:tbl>
      <w:tblPr>
        <w:tblW w:w="13581" w:type="dxa"/>
        <w:tblLook w:val="04A0" w:firstRow="1" w:lastRow="0" w:firstColumn="1" w:lastColumn="0" w:noHBand="0" w:noVBand="1"/>
      </w:tblPr>
      <w:tblGrid>
        <w:gridCol w:w="3320"/>
        <w:gridCol w:w="1280"/>
        <w:gridCol w:w="1280"/>
        <w:gridCol w:w="1000"/>
        <w:gridCol w:w="1000"/>
        <w:gridCol w:w="1453"/>
        <w:gridCol w:w="1354"/>
        <w:gridCol w:w="1260"/>
        <w:gridCol w:w="1620"/>
        <w:gridCol w:w="14"/>
      </w:tblGrid>
      <w:tr w:rsidR="007D7243" w:rsidRPr="00EF2F18" w14:paraId="0F2FC5D9" w14:textId="77777777" w:rsidTr="00752CA0">
        <w:trPr>
          <w:trHeight w:val="336"/>
        </w:trPr>
        <w:tc>
          <w:tcPr>
            <w:tcW w:w="13581"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5DA7F35B"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Мера 2.1.1. Развој система управљања комуналним отпадом кроз ефикасније искоришћење отпада</w:t>
            </w:r>
          </w:p>
        </w:tc>
      </w:tr>
      <w:tr w:rsidR="007D7243" w:rsidRPr="00EF2F18" w14:paraId="5FB6EB9E" w14:textId="77777777" w:rsidTr="00752CA0">
        <w:trPr>
          <w:trHeight w:val="336"/>
        </w:trPr>
        <w:tc>
          <w:tcPr>
            <w:tcW w:w="13581"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36C5DCDD"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67280480" w14:textId="77777777" w:rsidTr="00752CA0">
        <w:trPr>
          <w:trHeight w:val="336"/>
        </w:trPr>
        <w:tc>
          <w:tcPr>
            <w:tcW w:w="6880"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779E45E" w14:textId="639603AC"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081FB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701" w:type="dxa"/>
            <w:gridSpan w:val="6"/>
            <w:tcBorders>
              <w:top w:val="double" w:sz="6" w:space="0" w:color="auto"/>
              <w:left w:val="nil"/>
              <w:bottom w:val="double" w:sz="6" w:space="0" w:color="auto"/>
              <w:right w:val="double" w:sz="6" w:space="0" w:color="auto"/>
            </w:tcBorders>
            <w:shd w:val="clear" w:color="000000" w:fill="F7CAAC"/>
            <w:vAlign w:val="center"/>
            <w:hideMark/>
          </w:tcPr>
          <w:p w14:paraId="6A3AA71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Тип мере: Обезбеђивање добара и пружање услуга </w:t>
            </w:r>
          </w:p>
        </w:tc>
      </w:tr>
      <w:tr w:rsidR="007D7243" w:rsidRPr="00EF2F18" w14:paraId="36C45ED1" w14:textId="77777777" w:rsidTr="00752CA0">
        <w:trPr>
          <w:trHeight w:val="336"/>
        </w:trPr>
        <w:tc>
          <w:tcPr>
            <w:tcW w:w="6880"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5418DB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01" w:type="dxa"/>
            <w:gridSpan w:val="6"/>
            <w:tcBorders>
              <w:top w:val="double" w:sz="6" w:space="0" w:color="auto"/>
              <w:left w:val="nil"/>
              <w:bottom w:val="double" w:sz="6" w:space="0" w:color="auto"/>
              <w:right w:val="double" w:sz="6" w:space="0" w:color="auto"/>
            </w:tcBorders>
            <w:shd w:val="clear" w:color="000000" w:fill="F7CAAC"/>
            <w:vAlign w:val="center"/>
            <w:hideMark/>
          </w:tcPr>
          <w:p w14:paraId="3EE6C94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081FB7" w:rsidRPr="00EF2F18" w14:paraId="078C745A" w14:textId="77777777" w:rsidTr="00081FB7">
        <w:trPr>
          <w:gridAfter w:val="1"/>
          <w:wAfter w:w="14" w:type="dxa"/>
          <w:trHeight w:val="816"/>
        </w:trPr>
        <w:tc>
          <w:tcPr>
            <w:tcW w:w="3320" w:type="dxa"/>
            <w:tcBorders>
              <w:top w:val="nil"/>
              <w:left w:val="double" w:sz="6" w:space="0" w:color="auto"/>
              <w:bottom w:val="double" w:sz="6" w:space="0" w:color="auto"/>
              <w:right w:val="double" w:sz="6" w:space="0" w:color="auto"/>
            </w:tcBorders>
            <w:shd w:val="clear" w:color="000000" w:fill="D9D9D9"/>
            <w:hideMark/>
          </w:tcPr>
          <w:p w14:paraId="2676505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tcBorders>
              <w:top w:val="nil"/>
              <w:left w:val="nil"/>
              <w:bottom w:val="double" w:sz="6" w:space="0" w:color="auto"/>
              <w:right w:val="double" w:sz="6" w:space="0" w:color="auto"/>
            </w:tcBorders>
            <w:shd w:val="clear" w:color="000000" w:fill="D9D9D9"/>
            <w:hideMark/>
          </w:tcPr>
          <w:p w14:paraId="23F5005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tcBorders>
              <w:top w:val="nil"/>
              <w:left w:val="nil"/>
              <w:bottom w:val="double" w:sz="6" w:space="0" w:color="auto"/>
              <w:right w:val="double" w:sz="6" w:space="0" w:color="auto"/>
            </w:tcBorders>
            <w:shd w:val="clear" w:color="000000" w:fill="D9D9D9"/>
            <w:hideMark/>
          </w:tcPr>
          <w:p w14:paraId="091A97D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tcBorders>
              <w:top w:val="double" w:sz="6" w:space="0" w:color="auto"/>
              <w:left w:val="nil"/>
              <w:bottom w:val="double" w:sz="6" w:space="0" w:color="auto"/>
              <w:right w:val="double" w:sz="6" w:space="0" w:color="auto"/>
            </w:tcBorders>
            <w:shd w:val="clear" w:color="000000" w:fill="D9D9D9"/>
            <w:hideMark/>
          </w:tcPr>
          <w:p w14:paraId="5C400093"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53" w:type="dxa"/>
            <w:tcBorders>
              <w:top w:val="nil"/>
              <w:left w:val="nil"/>
              <w:bottom w:val="double" w:sz="6" w:space="0" w:color="auto"/>
              <w:right w:val="double" w:sz="6" w:space="0" w:color="auto"/>
            </w:tcBorders>
            <w:shd w:val="clear" w:color="000000" w:fill="D9D9D9"/>
            <w:hideMark/>
          </w:tcPr>
          <w:p w14:paraId="1E62EFB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54" w:type="dxa"/>
            <w:tcBorders>
              <w:top w:val="nil"/>
              <w:left w:val="nil"/>
              <w:bottom w:val="double" w:sz="6" w:space="0" w:color="auto"/>
              <w:right w:val="double" w:sz="6" w:space="0" w:color="auto"/>
            </w:tcBorders>
            <w:shd w:val="clear" w:color="000000" w:fill="D9D9D9"/>
            <w:hideMark/>
          </w:tcPr>
          <w:p w14:paraId="181A017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260" w:type="dxa"/>
            <w:tcBorders>
              <w:top w:val="nil"/>
              <w:left w:val="nil"/>
              <w:bottom w:val="double" w:sz="6" w:space="0" w:color="auto"/>
              <w:right w:val="double" w:sz="6" w:space="0" w:color="auto"/>
            </w:tcBorders>
            <w:shd w:val="clear" w:color="000000" w:fill="D9D9D9"/>
            <w:hideMark/>
          </w:tcPr>
          <w:p w14:paraId="38B688F2"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tcBorders>
              <w:top w:val="nil"/>
              <w:left w:val="nil"/>
              <w:bottom w:val="double" w:sz="6" w:space="0" w:color="auto"/>
              <w:right w:val="double" w:sz="6" w:space="0" w:color="auto"/>
            </w:tcBorders>
            <w:shd w:val="clear" w:color="000000" w:fill="D9D9D9"/>
            <w:hideMark/>
          </w:tcPr>
          <w:p w14:paraId="4DB0828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081FB7" w:rsidRPr="00EF2F18" w14:paraId="188A19AF" w14:textId="77777777" w:rsidTr="00081FB7">
        <w:trPr>
          <w:gridAfter w:val="1"/>
          <w:wAfter w:w="14" w:type="dxa"/>
          <w:trHeight w:val="1080"/>
        </w:trPr>
        <w:tc>
          <w:tcPr>
            <w:tcW w:w="3320" w:type="dxa"/>
            <w:tcBorders>
              <w:top w:val="nil"/>
              <w:left w:val="double" w:sz="6" w:space="0" w:color="auto"/>
              <w:bottom w:val="double" w:sz="6" w:space="0" w:color="auto"/>
              <w:right w:val="double" w:sz="6" w:space="0" w:color="auto"/>
            </w:tcBorders>
            <w:hideMark/>
          </w:tcPr>
          <w:p w14:paraId="3258451D"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Стопа рециклаже комуналног отпада </w:t>
            </w:r>
          </w:p>
        </w:tc>
        <w:tc>
          <w:tcPr>
            <w:tcW w:w="1280" w:type="dxa"/>
            <w:tcBorders>
              <w:top w:val="nil"/>
              <w:left w:val="nil"/>
              <w:bottom w:val="double" w:sz="6" w:space="0" w:color="auto"/>
              <w:right w:val="double" w:sz="6" w:space="0" w:color="auto"/>
            </w:tcBorders>
            <w:shd w:val="clear" w:color="000000" w:fill="FFFFFF"/>
            <w:hideMark/>
          </w:tcPr>
          <w:p w14:paraId="7F6027A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tcBorders>
              <w:top w:val="nil"/>
              <w:left w:val="nil"/>
              <w:bottom w:val="double" w:sz="6" w:space="0" w:color="auto"/>
              <w:right w:val="double" w:sz="6" w:space="0" w:color="auto"/>
            </w:tcBorders>
            <w:hideMark/>
          </w:tcPr>
          <w:p w14:paraId="26DDFB6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управљању отпадом</w:t>
            </w:r>
          </w:p>
        </w:tc>
        <w:tc>
          <w:tcPr>
            <w:tcW w:w="2000" w:type="dxa"/>
            <w:gridSpan w:val="2"/>
            <w:tcBorders>
              <w:top w:val="double" w:sz="6" w:space="0" w:color="auto"/>
              <w:left w:val="nil"/>
              <w:bottom w:val="double" w:sz="6" w:space="0" w:color="auto"/>
              <w:right w:val="double" w:sz="6" w:space="0" w:color="auto"/>
            </w:tcBorders>
            <w:shd w:val="clear" w:color="000000" w:fill="FFFFFF"/>
            <w:hideMark/>
          </w:tcPr>
          <w:p w14:paraId="2D0247B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17,7</w:t>
            </w:r>
          </w:p>
        </w:tc>
        <w:tc>
          <w:tcPr>
            <w:tcW w:w="1453" w:type="dxa"/>
            <w:tcBorders>
              <w:top w:val="nil"/>
              <w:left w:val="nil"/>
              <w:bottom w:val="double" w:sz="6" w:space="0" w:color="auto"/>
              <w:right w:val="double" w:sz="6" w:space="0" w:color="auto"/>
            </w:tcBorders>
            <w:shd w:val="clear" w:color="000000" w:fill="FFFFFF"/>
            <w:hideMark/>
          </w:tcPr>
          <w:p w14:paraId="4B85A17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2022.</w:t>
            </w:r>
          </w:p>
        </w:tc>
        <w:tc>
          <w:tcPr>
            <w:tcW w:w="1354" w:type="dxa"/>
            <w:tcBorders>
              <w:top w:val="nil"/>
              <w:left w:val="nil"/>
              <w:bottom w:val="double" w:sz="6" w:space="0" w:color="auto"/>
              <w:right w:val="double" w:sz="6" w:space="0" w:color="auto"/>
            </w:tcBorders>
            <w:shd w:val="clear" w:color="000000" w:fill="FFFFFF"/>
            <w:hideMark/>
          </w:tcPr>
          <w:p w14:paraId="02682180"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23,6</w:t>
            </w:r>
          </w:p>
        </w:tc>
        <w:tc>
          <w:tcPr>
            <w:tcW w:w="1260" w:type="dxa"/>
            <w:tcBorders>
              <w:top w:val="nil"/>
              <w:left w:val="nil"/>
              <w:bottom w:val="double" w:sz="6" w:space="0" w:color="auto"/>
              <w:right w:val="double" w:sz="6" w:space="0" w:color="auto"/>
            </w:tcBorders>
            <w:shd w:val="clear" w:color="000000" w:fill="FFFFFF"/>
            <w:hideMark/>
          </w:tcPr>
          <w:p w14:paraId="6FD9E378"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26,4</w:t>
            </w:r>
          </w:p>
        </w:tc>
        <w:tc>
          <w:tcPr>
            <w:tcW w:w="1620" w:type="dxa"/>
            <w:tcBorders>
              <w:top w:val="nil"/>
              <w:left w:val="nil"/>
              <w:bottom w:val="double" w:sz="6" w:space="0" w:color="auto"/>
              <w:right w:val="double" w:sz="6" w:space="0" w:color="auto"/>
            </w:tcBorders>
            <w:shd w:val="clear" w:color="000000" w:fill="FFFFFF"/>
            <w:hideMark/>
          </w:tcPr>
          <w:p w14:paraId="14F866BD"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29,2</w:t>
            </w:r>
          </w:p>
        </w:tc>
      </w:tr>
      <w:tr w:rsidR="00081FB7" w:rsidRPr="00EF2F18" w14:paraId="504ED0D9" w14:textId="77777777" w:rsidTr="00081FB7">
        <w:trPr>
          <w:gridAfter w:val="1"/>
          <w:wAfter w:w="14" w:type="dxa"/>
          <w:trHeight w:val="1080"/>
        </w:trPr>
        <w:tc>
          <w:tcPr>
            <w:tcW w:w="3320" w:type="dxa"/>
            <w:tcBorders>
              <w:top w:val="double" w:sz="6" w:space="0" w:color="auto"/>
              <w:left w:val="double" w:sz="6" w:space="0" w:color="auto"/>
              <w:bottom w:val="double" w:sz="6" w:space="0" w:color="auto"/>
              <w:right w:val="double" w:sz="6" w:space="0" w:color="auto"/>
            </w:tcBorders>
            <w:hideMark/>
          </w:tcPr>
          <w:p w14:paraId="05080AD2" w14:textId="77777777" w:rsidR="00081FB7" w:rsidRPr="00EF2F18" w:rsidRDefault="00081FB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Стопа биоразградивог отпада одложеног на депоније у односу на количину из 2008.</w:t>
            </w:r>
          </w:p>
        </w:tc>
        <w:tc>
          <w:tcPr>
            <w:tcW w:w="1280" w:type="dxa"/>
            <w:tcBorders>
              <w:top w:val="double" w:sz="6" w:space="0" w:color="auto"/>
              <w:left w:val="nil"/>
              <w:bottom w:val="double" w:sz="6" w:space="0" w:color="auto"/>
              <w:right w:val="double" w:sz="6" w:space="0" w:color="auto"/>
            </w:tcBorders>
            <w:shd w:val="clear" w:color="000000" w:fill="FFFFFF"/>
            <w:hideMark/>
          </w:tcPr>
          <w:p w14:paraId="2093CF44"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tcBorders>
              <w:top w:val="double" w:sz="6" w:space="0" w:color="auto"/>
              <w:left w:val="nil"/>
              <w:bottom w:val="double" w:sz="6" w:space="0" w:color="auto"/>
              <w:right w:val="double" w:sz="6" w:space="0" w:color="auto"/>
            </w:tcBorders>
            <w:hideMark/>
          </w:tcPr>
          <w:p w14:paraId="6183274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управљању отпадом</w:t>
            </w:r>
          </w:p>
        </w:tc>
        <w:tc>
          <w:tcPr>
            <w:tcW w:w="2000" w:type="dxa"/>
            <w:gridSpan w:val="2"/>
            <w:tcBorders>
              <w:top w:val="double" w:sz="6" w:space="0" w:color="auto"/>
              <w:left w:val="nil"/>
              <w:bottom w:val="double" w:sz="6" w:space="0" w:color="auto"/>
              <w:right w:val="double" w:sz="6" w:space="0" w:color="auto"/>
            </w:tcBorders>
            <w:shd w:val="clear" w:color="000000" w:fill="FFFFFF"/>
            <w:hideMark/>
          </w:tcPr>
          <w:p w14:paraId="7F871593"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87</w:t>
            </w:r>
          </w:p>
        </w:tc>
        <w:tc>
          <w:tcPr>
            <w:tcW w:w="1453" w:type="dxa"/>
            <w:tcBorders>
              <w:top w:val="double" w:sz="6" w:space="0" w:color="auto"/>
              <w:left w:val="nil"/>
              <w:bottom w:val="double" w:sz="6" w:space="0" w:color="auto"/>
              <w:right w:val="double" w:sz="6" w:space="0" w:color="auto"/>
            </w:tcBorders>
            <w:shd w:val="clear" w:color="000000" w:fill="FFFFFF"/>
            <w:hideMark/>
          </w:tcPr>
          <w:p w14:paraId="7C53A47B"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2021.</w:t>
            </w:r>
          </w:p>
        </w:tc>
        <w:tc>
          <w:tcPr>
            <w:tcW w:w="1354" w:type="dxa"/>
            <w:tcBorders>
              <w:top w:val="double" w:sz="6" w:space="0" w:color="auto"/>
              <w:left w:val="nil"/>
              <w:bottom w:val="double" w:sz="6" w:space="0" w:color="auto"/>
              <w:right w:val="double" w:sz="6" w:space="0" w:color="auto"/>
            </w:tcBorders>
            <w:shd w:val="clear" w:color="000000" w:fill="FFFFFF"/>
            <w:hideMark/>
          </w:tcPr>
          <w:p w14:paraId="58829DA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74,4</w:t>
            </w:r>
          </w:p>
        </w:tc>
        <w:tc>
          <w:tcPr>
            <w:tcW w:w="1260" w:type="dxa"/>
            <w:tcBorders>
              <w:top w:val="double" w:sz="6" w:space="0" w:color="auto"/>
              <w:left w:val="nil"/>
              <w:bottom w:val="double" w:sz="6" w:space="0" w:color="auto"/>
              <w:right w:val="double" w:sz="6" w:space="0" w:color="auto"/>
            </w:tcBorders>
            <w:shd w:val="clear" w:color="000000" w:fill="FFFFFF"/>
            <w:hideMark/>
          </w:tcPr>
          <w:p w14:paraId="25E74359"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71,6</w:t>
            </w:r>
          </w:p>
        </w:tc>
        <w:tc>
          <w:tcPr>
            <w:tcW w:w="1620" w:type="dxa"/>
            <w:tcBorders>
              <w:top w:val="double" w:sz="6" w:space="0" w:color="auto"/>
              <w:left w:val="nil"/>
              <w:bottom w:val="double" w:sz="6" w:space="0" w:color="auto"/>
              <w:right w:val="double" w:sz="6" w:space="0" w:color="auto"/>
            </w:tcBorders>
            <w:shd w:val="clear" w:color="000000" w:fill="FFFFFF"/>
            <w:hideMark/>
          </w:tcPr>
          <w:p w14:paraId="340F76D6" w14:textId="77777777" w:rsidR="00081FB7" w:rsidRPr="00EF2F18" w:rsidRDefault="00081FB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68,8</w:t>
            </w:r>
          </w:p>
        </w:tc>
      </w:tr>
    </w:tbl>
    <w:p w14:paraId="7AAEFE41"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480"/>
        <w:gridCol w:w="2255"/>
        <w:gridCol w:w="2430"/>
        <w:gridCol w:w="2595"/>
        <w:gridCol w:w="15"/>
      </w:tblGrid>
      <w:tr w:rsidR="007D7243" w:rsidRPr="00EF2F18" w14:paraId="35E82DA7" w14:textId="77777777" w:rsidTr="000E3C6C">
        <w:trPr>
          <w:gridAfter w:val="1"/>
          <w:wAfter w:w="15" w:type="dxa"/>
          <w:trHeight w:val="336"/>
        </w:trPr>
        <w:tc>
          <w:tcPr>
            <w:tcW w:w="3800" w:type="dxa"/>
            <w:vMerge w:val="restart"/>
            <w:shd w:val="clear" w:color="000000" w:fill="A8D08D"/>
            <w:hideMark/>
          </w:tcPr>
          <w:p w14:paraId="265CF34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56ECF75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shd w:val="clear" w:color="000000" w:fill="A8D08D"/>
            <w:hideMark/>
          </w:tcPr>
          <w:p w14:paraId="5BD92EE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0E3C6C" w:rsidRPr="00EF2F18" w14:paraId="7EE50126" w14:textId="77777777" w:rsidTr="000E3C6C">
        <w:trPr>
          <w:trHeight w:val="336"/>
        </w:trPr>
        <w:tc>
          <w:tcPr>
            <w:tcW w:w="3800" w:type="dxa"/>
            <w:vMerge/>
            <w:vAlign w:val="center"/>
            <w:hideMark/>
          </w:tcPr>
          <w:p w14:paraId="272C3730"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2480" w:type="dxa"/>
            <w:vMerge/>
            <w:vAlign w:val="center"/>
            <w:hideMark/>
          </w:tcPr>
          <w:p w14:paraId="664DE5E8"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2255" w:type="dxa"/>
            <w:shd w:val="clear" w:color="000000" w:fill="A8D08D"/>
            <w:hideMark/>
          </w:tcPr>
          <w:p w14:paraId="3EE034DB" w14:textId="218A8963"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430" w:type="dxa"/>
            <w:shd w:val="clear" w:color="000000" w:fill="A8D08D"/>
            <w:hideMark/>
          </w:tcPr>
          <w:p w14:paraId="3A587B64" w14:textId="5AC54C44"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610" w:type="dxa"/>
            <w:gridSpan w:val="2"/>
            <w:shd w:val="clear" w:color="000000" w:fill="A8D08D"/>
            <w:hideMark/>
          </w:tcPr>
          <w:p w14:paraId="6F829041" w14:textId="5E0BBA79"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0E3C6C" w:rsidRPr="00EF2F18" w14:paraId="04B469C4" w14:textId="77777777" w:rsidTr="000E3C6C">
        <w:trPr>
          <w:trHeight w:val="324"/>
        </w:trPr>
        <w:tc>
          <w:tcPr>
            <w:tcW w:w="3800" w:type="dxa"/>
            <w:vMerge w:val="restart"/>
            <w:shd w:val="clear" w:color="000000" w:fill="FFFFFF"/>
            <w:hideMark/>
          </w:tcPr>
          <w:p w14:paraId="326A129B"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(МЗЖС)</w:t>
            </w:r>
          </w:p>
        </w:tc>
        <w:tc>
          <w:tcPr>
            <w:tcW w:w="2480" w:type="dxa"/>
            <w:tcBorders>
              <w:bottom w:val="nil"/>
            </w:tcBorders>
            <w:shd w:val="clear" w:color="000000" w:fill="FFFFFF"/>
            <w:hideMark/>
          </w:tcPr>
          <w:p w14:paraId="2A588B44"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0406-560-5003-512</w:t>
            </w:r>
          </w:p>
        </w:tc>
        <w:tc>
          <w:tcPr>
            <w:tcW w:w="2255" w:type="dxa"/>
            <w:vMerge w:val="restart"/>
            <w:shd w:val="clear" w:color="000000" w:fill="FFFFFF"/>
            <w:hideMark/>
          </w:tcPr>
          <w:p w14:paraId="31348A44" w14:textId="439CDD54" w:rsidR="000E3C6C" w:rsidRPr="00EF2F18" w:rsidRDefault="00F4698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w:t>
            </w:r>
            <w:r w:rsidR="000E3C6C" w:rsidRPr="00EF2F18">
              <w:rPr>
                <w:rFonts w:eastAsia="Times New Roman" w:cs="Times New Roman"/>
                <w:color w:val="000000"/>
                <w:sz w:val="20"/>
                <w:szCs w:val="20"/>
                <w:lang w:val="sr-Cyrl-RS" w:eastAsia="sr-Cyrl-RS"/>
              </w:rPr>
              <w:t>.000</w:t>
            </w:r>
          </w:p>
        </w:tc>
        <w:tc>
          <w:tcPr>
            <w:tcW w:w="2430" w:type="dxa"/>
            <w:vMerge w:val="restart"/>
            <w:shd w:val="clear" w:color="000000" w:fill="FFFFFF"/>
            <w:hideMark/>
          </w:tcPr>
          <w:p w14:paraId="47A90F3F"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561.000</w:t>
            </w:r>
          </w:p>
        </w:tc>
        <w:tc>
          <w:tcPr>
            <w:tcW w:w="2610" w:type="dxa"/>
            <w:gridSpan w:val="2"/>
            <w:vMerge w:val="restart"/>
            <w:shd w:val="clear" w:color="000000" w:fill="FFFFFF"/>
            <w:hideMark/>
          </w:tcPr>
          <w:p w14:paraId="3BBAB4BC" w14:textId="4236D98D"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500.000</w:t>
            </w:r>
          </w:p>
        </w:tc>
      </w:tr>
      <w:tr w:rsidR="000E3C6C" w:rsidRPr="00EF2F18" w14:paraId="104208C2" w14:textId="77777777" w:rsidTr="000E3C6C">
        <w:trPr>
          <w:trHeight w:val="50"/>
        </w:trPr>
        <w:tc>
          <w:tcPr>
            <w:tcW w:w="3800" w:type="dxa"/>
            <w:vMerge/>
            <w:vAlign w:val="center"/>
            <w:hideMark/>
          </w:tcPr>
          <w:p w14:paraId="184A3309"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2480" w:type="dxa"/>
            <w:tcBorders>
              <w:top w:val="nil"/>
            </w:tcBorders>
            <w:shd w:val="clear" w:color="000000" w:fill="FFFFFF"/>
            <w:hideMark/>
          </w:tcPr>
          <w:p w14:paraId="7194A7E6" w14:textId="77777777" w:rsidR="000E3C6C" w:rsidRPr="00EF2F18" w:rsidRDefault="000E3C6C" w:rsidP="00752CA0">
            <w:pPr>
              <w:spacing w:after="0"/>
              <w:rPr>
                <w:rFonts w:eastAsia="Times New Roman" w:cs="Times New Roman"/>
                <w:color w:val="000000"/>
                <w:sz w:val="18"/>
                <w:szCs w:val="18"/>
                <w:lang w:val="sr-Cyrl-RS" w:eastAsia="sr-Cyrl-RS"/>
              </w:rPr>
            </w:pPr>
          </w:p>
        </w:tc>
        <w:tc>
          <w:tcPr>
            <w:tcW w:w="2255" w:type="dxa"/>
            <w:vMerge/>
            <w:vAlign w:val="center"/>
            <w:hideMark/>
          </w:tcPr>
          <w:p w14:paraId="0B0ED581"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430" w:type="dxa"/>
            <w:vMerge/>
            <w:vAlign w:val="center"/>
            <w:hideMark/>
          </w:tcPr>
          <w:p w14:paraId="53217CD2"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610" w:type="dxa"/>
            <w:gridSpan w:val="2"/>
            <w:vMerge/>
            <w:vAlign w:val="center"/>
            <w:hideMark/>
          </w:tcPr>
          <w:p w14:paraId="46BE5EA7" w14:textId="77777777" w:rsidR="000E3C6C" w:rsidRPr="00EF2F18" w:rsidRDefault="000E3C6C" w:rsidP="00752CA0">
            <w:pPr>
              <w:spacing w:after="0"/>
              <w:jc w:val="right"/>
              <w:rPr>
                <w:rFonts w:eastAsia="Times New Roman" w:cs="Times New Roman"/>
                <w:color w:val="000000"/>
                <w:sz w:val="20"/>
                <w:szCs w:val="20"/>
                <w:lang w:val="sr-Cyrl-RS" w:eastAsia="sr-Cyrl-RS"/>
              </w:rPr>
            </w:pPr>
          </w:p>
        </w:tc>
      </w:tr>
      <w:tr w:rsidR="000E3C6C" w:rsidRPr="00EF2F18" w14:paraId="6E3317C3" w14:textId="77777777" w:rsidTr="000E3C6C">
        <w:trPr>
          <w:trHeight w:val="336"/>
        </w:trPr>
        <w:tc>
          <w:tcPr>
            <w:tcW w:w="3800" w:type="dxa"/>
            <w:shd w:val="clear" w:color="000000" w:fill="FFFFFF"/>
            <w:hideMark/>
          </w:tcPr>
          <w:p w14:paraId="6B5ACC2A"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5056B705" w14:textId="64082776"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2480" w:type="dxa"/>
            <w:shd w:val="clear" w:color="000000" w:fill="FFFFFF"/>
            <w:hideMark/>
          </w:tcPr>
          <w:p w14:paraId="29B80BAA"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255" w:type="dxa"/>
            <w:shd w:val="clear" w:color="000000" w:fill="FFFFFF"/>
            <w:hideMark/>
          </w:tcPr>
          <w:p w14:paraId="7EF329E6"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70.145</w:t>
            </w:r>
          </w:p>
        </w:tc>
        <w:tc>
          <w:tcPr>
            <w:tcW w:w="2430" w:type="dxa"/>
            <w:shd w:val="clear" w:color="000000" w:fill="FFFFFF"/>
            <w:hideMark/>
          </w:tcPr>
          <w:p w14:paraId="519B4A8C"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610" w:type="dxa"/>
            <w:gridSpan w:val="2"/>
            <w:shd w:val="clear" w:color="000000" w:fill="FFFFFF"/>
            <w:hideMark/>
          </w:tcPr>
          <w:p w14:paraId="4D87CF93"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0E3C6C" w:rsidRPr="00EF2F18" w14:paraId="44A6FAC9" w14:textId="77777777" w:rsidTr="000E3C6C">
        <w:trPr>
          <w:trHeight w:val="336"/>
        </w:trPr>
        <w:tc>
          <w:tcPr>
            <w:tcW w:w="3800" w:type="dxa"/>
            <w:shd w:val="clear" w:color="000000" w:fill="FFFFFF"/>
          </w:tcPr>
          <w:p w14:paraId="39237A1E"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Примања од иностраних задуживања</w:t>
            </w:r>
          </w:p>
        </w:tc>
        <w:tc>
          <w:tcPr>
            <w:tcW w:w="2480" w:type="dxa"/>
            <w:shd w:val="clear" w:color="000000" w:fill="FFFFFF"/>
          </w:tcPr>
          <w:p w14:paraId="2110A87E"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0407-560-4003-511</w:t>
            </w:r>
          </w:p>
        </w:tc>
        <w:tc>
          <w:tcPr>
            <w:tcW w:w="2255" w:type="dxa"/>
            <w:shd w:val="clear" w:color="000000" w:fill="FFFFFF"/>
          </w:tcPr>
          <w:p w14:paraId="41BABB8C"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18.023</w:t>
            </w:r>
          </w:p>
        </w:tc>
        <w:tc>
          <w:tcPr>
            <w:tcW w:w="2430" w:type="dxa"/>
            <w:shd w:val="clear" w:color="000000" w:fill="FFFFFF"/>
          </w:tcPr>
          <w:p w14:paraId="33B9D336"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610" w:type="dxa"/>
            <w:gridSpan w:val="2"/>
            <w:shd w:val="clear" w:color="000000" w:fill="FFFFFF"/>
          </w:tcPr>
          <w:p w14:paraId="7AE880ED" w14:textId="77777777" w:rsidR="000E3C6C" w:rsidRPr="00EF2F18" w:rsidRDefault="000E3C6C" w:rsidP="00752CA0">
            <w:pPr>
              <w:spacing w:after="0"/>
              <w:jc w:val="right"/>
              <w:rPr>
                <w:rFonts w:eastAsia="Times New Roman" w:cs="Times New Roman"/>
                <w:color w:val="000000"/>
                <w:sz w:val="20"/>
                <w:szCs w:val="20"/>
                <w:lang w:val="sr-Cyrl-RS" w:eastAsia="sr-Cyrl-RS"/>
              </w:rPr>
            </w:pPr>
          </w:p>
        </w:tc>
      </w:tr>
      <w:tr w:rsidR="000E3C6C" w:rsidRPr="00EF2F18" w14:paraId="44B3615C" w14:textId="77777777" w:rsidTr="000E3C6C">
        <w:trPr>
          <w:trHeight w:val="336"/>
        </w:trPr>
        <w:tc>
          <w:tcPr>
            <w:tcW w:w="3800" w:type="dxa"/>
            <w:shd w:val="clear" w:color="000000" w:fill="FFFFFF"/>
            <w:hideMark/>
          </w:tcPr>
          <w:p w14:paraId="54EFC01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480" w:type="dxa"/>
            <w:shd w:val="clear" w:color="000000" w:fill="FFFFFF"/>
            <w:hideMark/>
          </w:tcPr>
          <w:p w14:paraId="0CA83E38"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2255" w:type="dxa"/>
            <w:shd w:val="clear" w:color="000000" w:fill="FFFFFF"/>
            <w:hideMark/>
          </w:tcPr>
          <w:p w14:paraId="7DBEF4B2"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30" w:type="dxa"/>
            <w:hideMark/>
          </w:tcPr>
          <w:p w14:paraId="21BE4B2D"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610" w:type="dxa"/>
            <w:gridSpan w:val="2"/>
            <w:hideMark/>
          </w:tcPr>
          <w:p w14:paraId="1C56B03A"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30AADA6B" w14:textId="77777777" w:rsidR="007D7243" w:rsidRPr="00EF2F18" w:rsidRDefault="007D7243" w:rsidP="007D7243">
      <w:pPr>
        <w:spacing w:after="0"/>
        <w:rPr>
          <w:lang w:val="sr-Cyrl-RS"/>
        </w:rPr>
      </w:pPr>
    </w:p>
    <w:p w14:paraId="6A54867D" w14:textId="77777777" w:rsidR="006C4764" w:rsidRPr="00EF2F18" w:rsidRDefault="006C4764" w:rsidP="007D7243">
      <w:pPr>
        <w:spacing w:after="0"/>
        <w:rPr>
          <w:lang w:val="sr-Cyrl-RS"/>
        </w:rPr>
      </w:pPr>
    </w:p>
    <w:p w14:paraId="040F9362" w14:textId="77777777" w:rsidR="006C4764" w:rsidRPr="00EF2F18" w:rsidRDefault="006C4764" w:rsidP="007D7243">
      <w:pPr>
        <w:spacing w:after="0"/>
        <w:rPr>
          <w:lang w:val="sr-Cyrl-RS"/>
        </w:rPr>
      </w:pPr>
    </w:p>
    <w:p w14:paraId="58D7082B" w14:textId="77777777" w:rsidR="007620E6" w:rsidRPr="00EF2F18" w:rsidRDefault="007620E6" w:rsidP="007D7243">
      <w:pPr>
        <w:spacing w:after="0"/>
        <w:rPr>
          <w:lang w:val="sr-Cyrl-RS"/>
        </w:rPr>
      </w:pPr>
    </w:p>
    <w:tbl>
      <w:tblPr>
        <w:tblW w:w="13821" w:type="dxa"/>
        <w:tblLayout w:type="fixed"/>
        <w:tblLook w:val="04A0" w:firstRow="1" w:lastRow="0" w:firstColumn="1" w:lastColumn="0" w:noHBand="0" w:noVBand="1"/>
      </w:tblPr>
      <w:tblGrid>
        <w:gridCol w:w="2509"/>
        <w:gridCol w:w="1186"/>
        <w:gridCol w:w="1259"/>
        <w:gridCol w:w="1182"/>
        <w:gridCol w:w="1691"/>
        <w:gridCol w:w="1340"/>
        <w:gridCol w:w="1124"/>
        <w:gridCol w:w="1494"/>
        <w:gridCol w:w="1800"/>
        <w:gridCol w:w="236"/>
      </w:tblGrid>
      <w:tr w:rsidR="007D7243" w:rsidRPr="00EF2F18" w14:paraId="5EB75254" w14:textId="77777777" w:rsidTr="000E3C6C">
        <w:trPr>
          <w:gridAfter w:val="1"/>
          <w:wAfter w:w="236" w:type="dxa"/>
          <w:trHeight w:val="696"/>
        </w:trPr>
        <w:tc>
          <w:tcPr>
            <w:tcW w:w="2509"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258A061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86"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3B18D50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59"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2B0851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08EEBB9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9A0645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2935D2B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418"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10E28FE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0E3C6C" w:rsidRPr="00EF2F18" w14:paraId="1AFA79F6" w14:textId="77777777" w:rsidTr="000E3C6C">
        <w:trPr>
          <w:gridAfter w:val="1"/>
          <w:wAfter w:w="236" w:type="dxa"/>
          <w:trHeight w:val="441"/>
        </w:trPr>
        <w:tc>
          <w:tcPr>
            <w:tcW w:w="2509" w:type="dxa"/>
            <w:vMerge/>
            <w:tcBorders>
              <w:top w:val="single" w:sz="4" w:space="0" w:color="auto"/>
              <w:left w:val="single" w:sz="4" w:space="0" w:color="auto"/>
              <w:bottom w:val="single" w:sz="4" w:space="0" w:color="auto"/>
              <w:right w:val="single" w:sz="4" w:space="0" w:color="auto"/>
            </w:tcBorders>
            <w:vAlign w:val="center"/>
            <w:hideMark/>
          </w:tcPr>
          <w:p w14:paraId="39DE504F"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20BBC0D7"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5DE1BF49"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387442CA"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5F330F1B"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44D762D7"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24" w:type="dxa"/>
            <w:tcBorders>
              <w:top w:val="single" w:sz="4" w:space="0" w:color="auto"/>
              <w:left w:val="single" w:sz="4" w:space="0" w:color="auto"/>
              <w:bottom w:val="single" w:sz="4" w:space="0" w:color="auto"/>
              <w:right w:val="single" w:sz="4" w:space="0" w:color="auto"/>
            </w:tcBorders>
            <w:shd w:val="clear" w:color="000000" w:fill="FFF2CC"/>
            <w:hideMark/>
          </w:tcPr>
          <w:p w14:paraId="569DF657" w14:textId="02FD91C5"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494" w:type="dxa"/>
            <w:tcBorders>
              <w:top w:val="single" w:sz="4" w:space="0" w:color="auto"/>
              <w:left w:val="single" w:sz="4" w:space="0" w:color="auto"/>
              <w:bottom w:val="single" w:sz="4" w:space="0" w:color="auto"/>
              <w:right w:val="single" w:sz="4" w:space="0" w:color="auto"/>
            </w:tcBorders>
            <w:shd w:val="clear" w:color="000000" w:fill="FFF2CC"/>
            <w:hideMark/>
          </w:tcPr>
          <w:p w14:paraId="0500426C" w14:textId="19D91256"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800" w:type="dxa"/>
            <w:tcBorders>
              <w:top w:val="single" w:sz="4" w:space="0" w:color="auto"/>
              <w:left w:val="single" w:sz="4" w:space="0" w:color="auto"/>
              <w:bottom w:val="single" w:sz="4" w:space="0" w:color="auto"/>
              <w:right w:val="single" w:sz="4" w:space="0" w:color="auto"/>
            </w:tcBorders>
            <w:shd w:val="clear" w:color="000000" w:fill="FFF2CC"/>
            <w:hideMark/>
          </w:tcPr>
          <w:p w14:paraId="7600E267" w14:textId="388DE0E2"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0E3C6C" w:rsidRPr="00EF2F18" w14:paraId="25C4E5F1" w14:textId="77777777" w:rsidTr="000E3C6C">
        <w:trPr>
          <w:gridAfter w:val="1"/>
          <w:wAfter w:w="236" w:type="dxa"/>
          <w:trHeight w:val="1308"/>
        </w:trPr>
        <w:tc>
          <w:tcPr>
            <w:tcW w:w="2509" w:type="dxa"/>
            <w:vMerge w:val="restart"/>
            <w:tcBorders>
              <w:top w:val="single" w:sz="4" w:space="0" w:color="auto"/>
              <w:left w:val="single" w:sz="4" w:space="0" w:color="auto"/>
              <w:bottom w:val="single" w:sz="4" w:space="0" w:color="auto"/>
              <w:right w:val="single" w:sz="4" w:space="0" w:color="auto"/>
            </w:tcBorders>
            <w:hideMark/>
          </w:tcPr>
          <w:p w14:paraId="1625A59E"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2.1.1.1. Успостављање система одвојеног сакупљања папира, метала, пластике, стакла и текстила и линија за секундарну сепарацију у Регионалним центрима за управљање отпадом комуналног отпада.</w:t>
            </w:r>
          </w:p>
        </w:tc>
        <w:tc>
          <w:tcPr>
            <w:tcW w:w="1186" w:type="dxa"/>
            <w:vMerge w:val="restart"/>
            <w:tcBorders>
              <w:top w:val="single" w:sz="4" w:space="0" w:color="auto"/>
              <w:left w:val="single" w:sz="4" w:space="0" w:color="auto"/>
              <w:bottom w:val="single" w:sz="4" w:space="0" w:color="auto"/>
              <w:right w:val="single" w:sz="4" w:space="0" w:color="auto"/>
            </w:tcBorders>
            <w:hideMark/>
          </w:tcPr>
          <w:p w14:paraId="3D4F4A4F"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59" w:type="dxa"/>
            <w:vMerge w:val="restart"/>
            <w:tcBorders>
              <w:top w:val="single" w:sz="4" w:space="0" w:color="auto"/>
              <w:left w:val="single" w:sz="4" w:space="0" w:color="auto"/>
              <w:bottom w:val="single" w:sz="4" w:space="0" w:color="auto"/>
              <w:right w:val="single" w:sz="4" w:space="0" w:color="auto"/>
            </w:tcBorders>
            <w:hideMark/>
          </w:tcPr>
          <w:p w14:paraId="25E27D1C"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МЕИ, МФ, АПВ, ЈЛС, ОЦД</w:t>
            </w:r>
          </w:p>
        </w:tc>
        <w:tc>
          <w:tcPr>
            <w:tcW w:w="1182" w:type="dxa"/>
            <w:vMerge w:val="restart"/>
            <w:tcBorders>
              <w:top w:val="single" w:sz="4" w:space="0" w:color="auto"/>
              <w:left w:val="single" w:sz="4" w:space="0" w:color="auto"/>
              <w:bottom w:val="single" w:sz="4" w:space="0" w:color="auto"/>
              <w:right w:val="single" w:sz="4" w:space="0" w:color="auto"/>
            </w:tcBorders>
            <w:hideMark/>
          </w:tcPr>
          <w:p w14:paraId="7CE66ECA"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vMerge w:val="restart"/>
            <w:tcBorders>
              <w:top w:val="single" w:sz="4" w:space="0" w:color="auto"/>
              <w:left w:val="single" w:sz="4" w:space="0" w:color="auto"/>
              <w:bottom w:val="single" w:sz="4" w:space="0" w:color="auto"/>
              <w:right w:val="single" w:sz="4" w:space="0" w:color="auto"/>
            </w:tcBorders>
            <w:hideMark/>
          </w:tcPr>
          <w:p w14:paraId="2F35307F" w14:textId="4A757FDF"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vMerge w:val="restart"/>
            <w:tcBorders>
              <w:top w:val="single" w:sz="4" w:space="0" w:color="auto"/>
              <w:left w:val="single" w:sz="4" w:space="0" w:color="auto"/>
              <w:bottom w:val="single" w:sz="4" w:space="0" w:color="auto"/>
              <w:right w:val="single" w:sz="4" w:space="0" w:color="auto"/>
            </w:tcBorders>
            <w:hideMark/>
          </w:tcPr>
          <w:p w14:paraId="26924E62"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0406-560-5003-512</w:t>
            </w:r>
          </w:p>
        </w:tc>
        <w:tc>
          <w:tcPr>
            <w:tcW w:w="1124" w:type="dxa"/>
            <w:vMerge w:val="restart"/>
            <w:tcBorders>
              <w:top w:val="single" w:sz="4" w:space="0" w:color="auto"/>
              <w:left w:val="single" w:sz="4" w:space="0" w:color="auto"/>
              <w:bottom w:val="single" w:sz="4" w:space="0" w:color="auto"/>
              <w:right w:val="single" w:sz="4" w:space="0" w:color="auto"/>
            </w:tcBorders>
            <w:hideMark/>
          </w:tcPr>
          <w:p w14:paraId="038EA16A" w14:textId="502224F5"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w:t>
            </w:r>
            <w:r w:rsidR="002B626E" w:rsidRPr="00EF2F18">
              <w:rPr>
                <w:rFonts w:eastAsia="Times New Roman" w:cs="Times New Roman"/>
                <w:color w:val="000000"/>
                <w:sz w:val="20"/>
                <w:szCs w:val="20"/>
                <w:lang w:val="sr-Cyrl-RS" w:eastAsia="sr-Cyrl-RS"/>
              </w:rPr>
              <w:t>00</w:t>
            </w:r>
            <w:r w:rsidRPr="00EF2F18">
              <w:rPr>
                <w:rFonts w:eastAsia="Times New Roman" w:cs="Times New Roman"/>
                <w:color w:val="000000"/>
                <w:sz w:val="20"/>
                <w:szCs w:val="20"/>
                <w:lang w:val="sr-Cyrl-RS" w:eastAsia="sr-Cyrl-RS"/>
              </w:rPr>
              <w:t>.000</w:t>
            </w:r>
          </w:p>
        </w:tc>
        <w:tc>
          <w:tcPr>
            <w:tcW w:w="1494" w:type="dxa"/>
            <w:vMerge w:val="restart"/>
            <w:tcBorders>
              <w:top w:val="single" w:sz="4" w:space="0" w:color="auto"/>
              <w:left w:val="single" w:sz="4" w:space="0" w:color="auto"/>
              <w:bottom w:val="single" w:sz="4" w:space="0" w:color="auto"/>
              <w:right w:val="single" w:sz="4" w:space="0" w:color="auto"/>
            </w:tcBorders>
            <w:hideMark/>
          </w:tcPr>
          <w:p w14:paraId="11D31BC1"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561.000</w:t>
            </w:r>
          </w:p>
        </w:tc>
        <w:tc>
          <w:tcPr>
            <w:tcW w:w="1800" w:type="dxa"/>
            <w:vMerge w:val="restart"/>
            <w:tcBorders>
              <w:top w:val="single" w:sz="4" w:space="0" w:color="auto"/>
              <w:left w:val="single" w:sz="4" w:space="0" w:color="auto"/>
              <w:bottom w:val="single" w:sz="4" w:space="0" w:color="auto"/>
              <w:right w:val="single" w:sz="4" w:space="0" w:color="auto"/>
            </w:tcBorders>
            <w:hideMark/>
          </w:tcPr>
          <w:p w14:paraId="6ADC7016" w14:textId="48F0B554"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500.000</w:t>
            </w:r>
          </w:p>
        </w:tc>
      </w:tr>
      <w:tr w:rsidR="000E3C6C" w:rsidRPr="00EF2F18" w14:paraId="73D8D64F" w14:textId="77777777" w:rsidTr="000E3C6C">
        <w:trPr>
          <w:trHeight w:val="324"/>
        </w:trPr>
        <w:tc>
          <w:tcPr>
            <w:tcW w:w="2509" w:type="dxa"/>
            <w:vMerge/>
            <w:tcBorders>
              <w:top w:val="single" w:sz="4" w:space="0" w:color="auto"/>
              <w:left w:val="single" w:sz="4" w:space="0" w:color="auto"/>
              <w:bottom w:val="single" w:sz="4" w:space="0" w:color="auto"/>
              <w:right w:val="single" w:sz="4" w:space="0" w:color="auto"/>
            </w:tcBorders>
            <w:vAlign w:val="center"/>
            <w:hideMark/>
          </w:tcPr>
          <w:p w14:paraId="0DB62266"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1F526059"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36470023"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5CDD1555"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288836D2" w14:textId="77777777" w:rsidR="000E3C6C" w:rsidRPr="00EF2F18" w:rsidRDefault="000E3C6C" w:rsidP="00752CA0">
            <w:pPr>
              <w:spacing w:after="0"/>
              <w:rPr>
                <w:rFonts w:eastAsia="Times New Roman" w:cs="Times New Roman"/>
                <w:color w:val="000000"/>
                <w:sz w:val="18"/>
                <w:szCs w:val="18"/>
                <w:lang w:val="sr-Cyrl-RS" w:eastAsia="sr-Cyrl-R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0CABE112"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71724FC2"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494" w:type="dxa"/>
            <w:vMerge/>
            <w:tcBorders>
              <w:top w:val="single" w:sz="4" w:space="0" w:color="auto"/>
              <w:left w:val="single" w:sz="4" w:space="0" w:color="auto"/>
              <w:bottom w:val="single" w:sz="4" w:space="0" w:color="auto"/>
              <w:right w:val="single" w:sz="4" w:space="0" w:color="auto"/>
            </w:tcBorders>
            <w:vAlign w:val="center"/>
            <w:hideMark/>
          </w:tcPr>
          <w:p w14:paraId="496ABB7D"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1EA7878C"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1C07D73C" w14:textId="77777777" w:rsidR="000E3C6C" w:rsidRPr="00EF2F18" w:rsidRDefault="000E3C6C" w:rsidP="00752CA0">
            <w:pPr>
              <w:spacing w:after="0"/>
              <w:jc w:val="right"/>
              <w:rPr>
                <w:rFonts w:eastAsia="Times New Roman" w:cs="Times New Roman"/>
                <w:color w:val="000000"/>
                <w:sz w:val="20"/>
                <w:szCs w:val="20"/>
                <w:lang w:val="sr-Cyrl-RS" w:eastAsia="sr-Cyrl-RS"/>
              </w:rPr>
            </w:pPr>
          </w:p>
        </w:tc>
      </w:tr>
      <w:tr w:rsidR="000E3C6C" w:rsidRPr="00EF2F18" w14:paraId="6F6775E0" w14:textId="77777777" w:rsidTr="000E3C6C">
        <w:trPr>
          <w:trHeight w:val="792"/>
        </w:trPr>
        <w:tc>
          <w:tcPr>
            <w:tcW w:w="2509" w:type="dxa"/>
            <w:vMerge w:val="restart"/>
            <w:tcBorders>
              <w:top w:val="single" w:sz="4" w:space="0" w:color="auto"/>
              <w:left w:val="single" w:sz="4" w:space="0" w:color="auto"/>
              <w:bottom w:val="single" w:sz="4" w:space="0" w:color="auto"/>
              <w:right w:val="single" w:sz="4" w:space="0" w:color="auto"/>
            </w:tcBorders>
            <w:hideMark/>
          </w:tcPr>
          <w:p w14:paraId="60A299C5" w14:textId="0DB3A945"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2.1.1.2. Успостављање система третмана биоразградивог отпада (кућно компостирање, линије за компостирање у ЈЛС и постројења за биолошки третман у Регионалним центрима за управљање отпадом. </w:t>
            </w:r>
          </w:p>
        </w:tc>
        <w:tc>
          <w:tcPr>
            <w:tcW w:w="1186" w:type="dxa"/>
            <w:vMerge w:val="restart"/>
            <w:tcBorders>
              <w:top w:val="single" w:sz="4" w:space="0" w:color="auto"/>
              <w:left w:val="single" w:sz="4" w:space="0" w:color="auto"/>
              <w:bottom w:val="single" w:sz="4" w:space="0" w:color="auto"/>
              <w:right w:val="single" w:sz="4" w:space="0" w:color="auto"/>
            </w:tcBorders>
            <w:hideMark/>
          </w:tcPr>
          <w:p w14:paraId="58F20B2F"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59" w:type="dxa"/>
            <w:vMerge w:val="restart"/>
            <w:tcBorders>
              <w:top w:val="single" w:sz="4" w:space="0" w:color="auto"/>
              <w:left w:val="single" w:sz="4" w:space="0" w:color="auto"/>
              <w:bottom w:val="single" w:sz="4" w:space="0" w:color="auto"/>
              <w:right w:val="single" w:sz="4" w:space="0" w:color="auto"/>
            </w:tcBorders>
            <w:hideMark/>
          </w:tcPr>
          <w:p w14:paraId="58A3E423"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АПВ, ЈЛС</w:t>
            </w:r>
          </w:p>
        </w:tc>
        <w:tc>
          <w:tcPr>
            <w:tcW w:w="1182" w:type="dxa"/>
            <w:vMerge w:val="restart"/>
            <w:tcBorders>
              <w:top w:val="single" w:sz="4" w:space="0" w:color="auto"/>
              <w:left w:val="single" w:sz="4" w:space="0" w:color="auto"/>
              <w:bottom w:val="single" w:sz="4" w:space="0" w:color="auto"/>
              <w:right w:val="single" w:sz="4" w:space="0" w:color="auto"/>
            </w:tcBorders>
            <w:hideMark/>
          </w:tcPr>
          <w:p w14:paraId="2273F94B"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vMerge w:val="restart"/>
            <w:tcBorders>
              <w:top w:val="single" w:sz="4" w:space="0" w:color="auto"/>
              <w:left w:val="single" w:sz="4" w:space="0" w:color="auto"/>
              <w:right w:val="single" w:sz="4" w:space="0" w:color="auto"/>
            </w:tcBorders>
          </w:tcPr>
          <w:p w14:paraId="562F7F45"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Примања од иностраних задуживања</w:t>
            </w:r>
          </w:p>
        </w:tc>
        <w:tc>
          <w:tcPr>
            <w:tcW w:w="1340" w:type="dxa"/>
            <w:vMerge w:val="restart"/>
            <w:tcBorders>
              <w:top w:val="single" w:sz="4" w:space="0" w:color="auto"/>
              <w:left w:val="single" w:sz="4" w:space="0" w:color="auto"/>
              <w:right w:val="single" w:sz="4" w:space="0" w:color="auto"/>
            </w:tcBorders>
          </w:tcPr>
          <w:p w14:paraId="77326FC7"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0407-560-4003-511</w:t>
            </w:r>
          </w:p>
        </w:tc>
        <w:tc>
          <w:tcPr>
            <w:tcW w:w="1124" w:type="dxa"/>
            <w:vMerge w:val="restart"/>
            <w:tcBorders>
              <w:top w:val="single" w:sz="4" w:space="0" w:color="auto"/>
              <w:left w:val="single" w:sz="4" w:space="0" w:color="auto"/>
              <w:right w:val="single" w:sz="4" w:space="0" w:color="auto"/>
            </w:tcBorders>
          </w:tcPr>
          <w:p w14:paraId="74B49581"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18.023 </w:t>
            </w:r>
          </w:p>
        </w:tc>
        <w:tc>
          <w:tcPr>
            <w:tcW w:w="1494" w:type="dxa"/>
            <w:vMerge w:val="restart"/>
            <w:tcBorders>
              <w:top w:val="single" w:sz="4" w:space="0" w:color="auto"/>
              <w:left w:val="single" w:sz="4" w:space="0" w:color="auto"/>
              <w:right w:val="single" w:sz="4" w:space="0" w:color="auto"/>
            </w:tcBorders>
          </w:tcPr>
          <w:p w14:paraId="4ED86A4D"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800" w:type="dxa"/>
            <w:vMerge w:val="restart"/>
            <w:tcBorders>
              <w:top w:val="single" w:sz="4" w:space="0" w:color="auto"/>
              <w:left w:val="single" w:sz="4" w:space="0" w:color="auto"/>
              <w:bottom w:val="single" w:sz="4" w:space="0" w:color="auto"/>
              <w:right w:val="single" w:sz="4" w:space="0" w:color="auto"/>
            </w:tcBorders>
            <w:hideMark/>
          </w:tcPr>
          <w:p w14:paraId="5F72F04D"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6" w:type="dxa"/>
            <w:tcBorders>
              <w:left w:val="single" w:sz="4" w:space="0" w:color="auto"/>
            </w:tcBorders>
            <w:vAlign w:val="center"/>
            <w:hideMark/>
          </w:tcPr>
          <w:p w14:paraId="57799C21" w14:textId="77777777" w:rsidR="000E3C6C" w:rsidRPr="00EF2F18" w:rsidRDefault="000E3C6C" w:rsidP="00752CA0">
            <w:pPr>
              <w:spacing w:after="0"/>
              <w:rPr>
                <w:rFonts w:eastAsia="Times New Roman" w:cs="Times New Roman"/>
                <w:sz w:val="20"/>
                <w:szCs w:val="20"/>
                <w:lang w:val="sr-Cyrl-RS" w:eastAsia="sr-Cyrl-RS"/>
              </w:rPr>
            </w:pPr>
          </w:p>
        </w:tc>
      </w:tr>
      <w:tr w:rsidR="000E3C6C" w:rsidRPr="00EF2F18" w14:paraId="63393093" w14:textId="77777777" w:rsidTr="000E3C6C">
        <w:trPr>
          <w:trHeight w:val="312"/>
        </w:trPr>
        <w:tc>
          <w:tcPr>
            <w:tcW w:w="2509" w:type="dxa"/>
            <w:vMerge/>
            <w:tcBorders>
              <w:top w:val="single" w:sz="4" w:space="0" w:color="auto"/>
              <w:left w:val="single" w:sz="4" w:space="0" w:color="auto"/>
              <w:bottom w:val="single" w:sz="4" w:space="0" w:color="auto"/>
              <w:right w:val="single" w:sz="4" w:space="0" w:color="auto"/>
            </w:tcBorders>
            <w:vAlign w:val="center"/>
            <w:hideMark/>
          </w:tcPr>
          <w:p w14:paraId="6F22150C"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098E652C"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36CC0D8B"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4D306F0D"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691" w:type="dxa"/>
            <w:vMerge/>
            <w:tcBorders>
              <w:left w:val="single" w:sz="4" w:space="0" w:color="auto"/>
              <w:right w:val="single" w:sz="4" w:space="0" w:color="auto"/>
            </w:tcBorders>
            <w:hideMark/>
          </w:tcPr>
          <w:p w14:paraId="56213298"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340" w:type="dxa"/>
            <w:vMerge/>
            <w:tcBorders>
              <w:left w:val="single" w:sz="4" w:space="0" w:color="auto"/>
              <w:right w:val="single" w:sz="4" w:space="0" w:color="auto"/>
            </w:tcBorders>
            <w:hideMark/>
          </w:tcPr>
          <w:p w14:paraId="529EC822"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24" w:type="dxa"/>
            <w:vMerge/>
            <w:tcBorders>
              <w:left w:val="single" w:sz="4" w:space="0" w:color="auto"/>
              <w:right w:val="single" w:sz="4" w:space="0" w:color="auto"/>
            </w:tcBorders>
            <w:hideMark/>
          </w:tcPr>
          <w:p w14:paraId="6EE2ECEA"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494" w:type="dxa"/>
            <w:vMerge/>
            <w:tcBorders>
              <w:left w:val="single" w:sz="4" w:space="0" w:color="auto"/>
              <w:right w:val="single" w:sz="4" w:space="0" w:color="auto"/>
            </w:tcBorders>
            <w:hideMark/>
          </w:tcPr>
          <w:p w14:paraId="12A7B2FD"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468A4FA1"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431DA469" w14:textId="77777777" w:rsidR="000E3C6C" w:rsidRPr="00EF2F18" w:rsidRDefault="000E3C6C" w:rsidP="00752CA0">
            <w:pPr>
              <w:spacing w:after="0"/>
              <w:rPr>
                <w:rFonts w:eastAsia="Times New Roman" w:cs="Times New Roman"/>
                <w:sz w:val="20"/>
                <w:szCs w:val="20"/>
                <w:lang w:val="sr-Cyrl-RS" w:eastAsia="sr-Cyrl-RS"/>
              </w:rPr>
            </w:pPr>
          </w:p>
        </w:tc>
      </w:tr>
      <w:tr w:rsidR="000E3C6C" w:rsidRPr="00EF2F18" w14:paraId="16D2308F" w14:textId="77777777" w:rsidTr="000E3C6C">
        <w:trPr>
          <w:trHeight w:val="312"/>
        </w:trPr>
        <w:tc>
          <w:tcPr>
            <w:tcW w:w="2509" w:type="dxa"/>
            <w:vMerge/>
            <w:tcBorders>
              <w:top w:val="single" w:sz="4" w:space="0" w:color="auto"/>
              <w:left w:val="single" w:sz="4" w:space="0" w:color="auto"/>
              <w:bottom w:val="single" w:sz="4" w:space="0" w:color="auto"/>
              <w:right w:val="single" w:sz="4" w:space="0" w:color="auto"/>
            </w:tcBorders>
            <w:vAlign w:val="center"/>
            <w:hideMark/>
          </w:tcPr>
          <w:p w14:paraId="24096ED7"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18EDF61D"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7C077F5D"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46AE01E7"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691" w:type="dxa"/>
            <w:tcBorders>
              <w:left w:val="single" w:sz="4" w:space="0" w:color="auto"/>
              <w:right w:val="single" w:sz="4" w:space="0" w:color="auto"/>
            </w:tcBorders>
            <w:hideMark/>
          </w:tcPr>
          <w:p w14:paraId="4B54E529"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1C8BE325" w14:textId="7FEB3CA6"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1340" w:type="dxa"/>
            <w:tcBorders>
              <w:left w:val="single" w:sz="4" w:space="0" w:color="auto"/>
              <w:right w:val="single" w:sz="4" w:space="0" w:color="auto"/>
            </w:tcBorders>
            <w:hideMark/>
          </w:tcPr>
          <w:p w14:paraId="3D95CF5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24" w:type="dxa"/>
            <w:tcBorders>
              <w:left w:val="single" w:sz="4" w:space="0" w:color="auto"/>
              <w:right w:val="single" w:sz="4" w:space="0" w:color="auto"/>
            </w:tcBorders>
            <w:hideMark/>
          </w:tcPr>
          <w:p w14:paraId="10421A53"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70.145</w:t>
            </w:r>
          </w:p>
        </w:tc>
        <w:tc>
          <w:tcPr>
            <w:tcW w:w="1494" w:type="dxa"/>
            <w:tcBorders>
              <w:left w:val="single" w:sz="4" w:space="0" w:color="auto"/>
              <w:right w:val="single" w:sz="4" w:space="0" w:color="auto"/>
            </w:tcBorders>
            <w:hideMark/>
          </w:tcPr>
          <w:p w14:paraId="52F895ED"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259C92A5"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02B28CDA" w14:textId="77777777" w:rsidR="000E3C6C" w:rsidRPr="00EF2F18" w:rsidRDefault="000E3C6C" w:rsidP="00752CA0">
            <w:pPr>
              <w:spacing w:after="0"/>
              <w:rPr>
                <w:rFonts w:eastAsia="Times New Roman" w:cs="Times New Roman"/>
                <w:sz w:val="20"/>
                <w:szCs w:val="20"/>
                <w:lang w:val="sr-Cyrl-RS" w:eastAsia="sr-Cyrl-RS"/>
              </w:rPr>
            </w:pPr>
          </w:p>
        </w:tc>
      </w:tr>
      <w:tr w:rsidR="000E3C6C" w:rsidRPr="00EF2F18" w14:paraId="4B080F23" w14:textId="77777777" w:rsidTr="000E3C6C">
        <w:trPr>
          <w:trHeight w:val="312"/>
        </w:trPr>
        <w:tc>
          <w:tcPr>
            <w:tcW w:w="2509" w:type="dxa"/>
            <w:vMerge/>
            <w:tcBorders>
              <w:top w:val="single" w:sz="4" w:space="0" w:color="auto"/>
              <w:left w:val="single" w:sz="4" w:space="0" w:color="auto"/>
              <w:bottom w:val="single" w:sz="4" w:space="0" w:color="auto"/>
              <w:right w:val="single" w:sz="4" w:space="0" w:color="auto"/>
            </w:tcBorders>
            <w:vAlign w:val="center"/>
            <w:hideMark/>
          </w:tcPr>
          <w:p w14:paraId="189D9B9F"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7167D9AE"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3816EDE2"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62B0D2BD"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691" w:type="dxa"/>
            <w:tcBorders>
              <w:left w:val="single" w:sz="4" w:space="0" w:color="auto"/>
              <w:right w:val="single" w:sz="4" w:space="0" w:color="auto"/>
            </w:tcBorders>
            <w:hideMark/>
          </w:tcPr>
          <w:p w14:paraId="34917C1F" w14:textId="77777777" w:rsidR="000E3C6C" w:rsidRPr="00EF2F18" w:rsidRDefault="000E3C6C" w:rsidP="00752CA0">
            <w:pPr>
              <w:spacing w:after="0"/>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340" w:type="dxa"/>
            <w:tcBorders>
              <w:left w:val="single" w:sz="4" w:space="0" w:color="auto"/>
              <w:right w:val="single" w:sz="4" w:space="0" w:color="auto"/>
            </w:tcBorders>
            <w:hideMark/>
          </w:tcPr>
          <w:p w14:paraId="4C537479"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24" w:type="dxa"/>
            <w:tcBorders>
              <w:left w:val="single" w:sz="4" w:space="0" w:color="auto"/>
              <w:right w:val="single" w:sz="4" w:space="0" w:color="auto"/>
            </w:tcBorders>
          </w:tcPr>
          <w:p w14:paraId="24740B4F"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494" w:type="dxa"/>
            <w:tcBorders>
              <w:left w:val="single" w:sz="4" w:space="0" w:color="auto"/>
              <w:right w:val="single" w:sz="4" w:space="0" w:color="auto"/>
            </w:tcBorders>
          </w:tcPr>
          <w:p w14:paraId="12E2A5E0"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1C02437D"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1DE3E655" w14:textId="77777777" w:rsidR="000E3C6C" w:rsidRPr="00EF2F18" w:rsidRDefault="000E3C6C" w:rsidP="00752CA0">
            <w:pPr>
              <w:spacing w:after="0"/>
              <w:rPr>
                <w:rFonts w:eastAsia="Times New Roman" w:cs="Times New Roman"/>
                <w:sz w:val="20"/>
                <w:szCs w:val="20"/>
                <w:lang w:val="sr-Cyrl-RS" w:eastAsia="sr-Cyrl-RS"/>
              </w:rPr>
            </w:pPr>
          </w:p>
        </w:tc>
      </w:tr>
      <w:tr w:rsidR="000E3C6C" w:rsidRPr="00EF2F18" w14:paraId="227B98F9" w14:textId="77777777" w:rsidTr="007620E6">
        <w:trPr>
          <w:trHeight w:val="53"/>
        </w:trPr>
        <w:tc>
          <w:tcPr>
            <w:tcW w:w="2509" w:type="dxa"/>
            <w:vMerge/>
            <w:tcBorders>
              <w:top w:val="single" w:sz="4" w:space="0" w:color="auto"/>
              <w:left w:val="single" w:sz="4" w:space="0" w:color="auto"/>
              <w:bottom w:val="single" w:sz="4" w:space="0" w:color="auto"/>
              <w:right w:val="single" w:sz="4" w:space="0" w:color="auto"/>
            </w:tcBorders>
            <w:vAlign w:val="center"/>
            <w:hideMark/>
          </w:tcPr>
          <w:p w14:paraId="0F399DC4"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306618D5"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57D378CC"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66CE06A5"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691" w:type="dxa"/>
            <w:tcBorders>
              <w:left w:val="single" w:sz="4" w:space="0" w:color="auto"/>
              <w:bottom w:val="single" w:sz="4" w:space="0" w:color="auto"/>
              <w:right w:val="single" w:sz="4" w:space="0" w:color="auto"/>
            </w:tcBorders>
            <w:hideMark/>
          </w:tcPr>
          <w:p w14:paraId="08E1CE4C" w14:textId="77777777" w:rsidR="000E3C6C" w:rsidRPr="00EF2F18" w:rsidRDefault="000E3C6C" w:rsidP="00752CA0">
            <w:pPr>
              <w:spacing w:after="0"/>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340" w:type="dxa"/>
            <w:tcBorders>
              <w:left w:val="single" w:sz="4" w:space="0" w:color="auto"/>
              <w:bottom w:val="single" w:sz="4" w:space="0" w:color="auto"/>
              <w:right w:val="single" w:sz="4" w:space="0" w:color="auto"/>
            </w:tcBorders>
            <w:hideMark/>
          </w:tcPr>
          <w:p w14:paraId="59B3F1BB" w14:textId="77777777" w:rsidR="000E3C6C" w:rsidRPr="00EF2F18" w:rsidRDefault="000E3C6C" w:rsidP="00752CA0">
            <w:pPr>
              <w:spacing w:after="0"/>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124" w:type="dxa"/>
            <w:tcBorders>
              <w:left w:val="single" w:sz="4" w:space="0" w:color="auto"/>
              <w:bottom w:val="single" w:sz="4" w:space="0" w:color="auto"/>
              <w:right w:val="single" w:sz="4" w:space="0" w:color="auto"/>
            </w:tcBorders>
            <w:hideMark/>
          </w:tcPr>
          <w:p w14:paraId="209A965F" w14:textId="77777777" w:rsidR="000E3C6C" w:rsidRPr="00EF2F18" w:rsidRDefault="000E3C6C" w:rsidP="00752CA0">
            <w:pPr>
              <w:spacing w:after="0"/>
              <w:jc w:val="right"/>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494" w:type="dxa"/>
            <w:tcBorders>
              <w:left w:val="single" w:sz="4" w:space="0" w:color="auto"/>
              <w:bottom w:val="single" w:sz="4" w:space="0" w:color="auto"/>
              <w:right w:val="single" w:sz="4" w:space="0" w:color="auto"/>
            </w:tcBorders>
            <w:hideMark/>
          </w:tcPr>
          <w:p w14:paraId="65877999" w14:textId="77777777" w:rsidR="000E3C6C" w:rsidRPr="00EF2F18" w:rsidRDefault="000E3C6C" w:rsidP="00752CA0">
            <w:pPr>
              <w:spacing w:after="0"/>
              <w:jc w:val="right"/>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1950E08A" w14:textId="77777777" w:rsidR="000E3C6C" w:rsidRPr="00EF2F18" w:rsidRDefault="000E3C6C"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4EC2CE92" w14:textId="77777777" w:rsidR="000E3C6C" w:rsidRPr="00EF2F18" w:rsidRDefault="000E3C6C" w:rsidP="00752CA0">
            <w:pPr>
              <w:spacing w:after="0"/>
              <w:rPr>
                <w:rFonts w:eastAsia="Times New Roman" w:cs="Times New Roman"/>
                <w:sz w:val="20"/>
                <w:szCs w:val="20"/>
                <w:lang w:val="sr-Cyrl-RS" w:eastAsia="sr-Cyrl-RS"/>
              </w:rPr>
            </w:pPr>
          </w:p>
        </w:tc>
      </w:tr>
      <w:tr w:rsidR="000E3C6C" w:rsidRPr="00EF2F18" w14:paraId="4D9D9FE6" w14:textId="77777777" w:rsidTr="000E3C6C">
        <w:trPr>
          <w:trHeight w:val="1596"/>
        </w:trPr>
        <w:tc>
          <w:tcPr>
            <w:tcW w:w="2509" w:type="dxa"/>
            <w:tcBorders>
              <w:top w:val="single" w:sz="4" w:space="0" w:color="auto"/>
              <w:left w:val="single" w:sz="4" w:space="0" w:color="auto"/>
              <w:bottom w:val="single" w:sz="4" w:space="0" w:color="auto"/>
              <w:right w:val="single" w:sz="4" w:space="0" w:color="auto"/>
            </w:tcBorders>
            <w:hideMark/>
          </w:tcPr>
          <w:p w14:paraId="7AA84B7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2.1.1.3. Изградња постројења за искоришћење отпада као горива (RDF)/ биолошки третман (за производњу горива добијеног од отпада (RDF) у комбинацији са биолошким третманом)</w:t>
            </w:r>
          </w:p>
        </w:tc>
        <w:tc>
          <w:tcPr>
            <w:tcW w:w="1186" w:type="dxa"/>
            <w:tcBorders>
              <w:top w:val="single" w:sz="4" w:space="0" w:color="auto"/>
              <w:left w:val="single" w:sz="4" w:space="0" w:color="auto"/>
              <w:bottom w:val="single" w:sz="4" w:space="0" w:color="auto"/>
              <w:right w:val="single" w:sz="4" w:space="0" w:color="auto"/>
            </w:tcBorders>
            <w:hideMark/>
          </w:tcPr>
          <w:p w14:paraId="256316BA"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59" w:type="dxa"/>
            <w:tcBorders>
              <w:top w:val="single" w:sz="4" w:space="0" w:color="auto"/>
              <w:left w:val="single" w:sz="4" w:space="0" w:color="auto"/>
              <w:bottom w:val="single" w:sz="4" w:space="0" w:color="auto"/>
              <w:right w:val="single" w:sz="4" w:space="0" w:color="auto"/>
            </w:tcBorders>
            <w:hideMark/>
          </w:tcPr>
          <w:p w14:paraId="656BADF7"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ЈЛС</w:t>
            </w:r>
          </w:p>
        </w:tc>
        <w:tc>
          <w:tcPr>
            <w:tcW w:w="1182" w:type="dxa"/>
            <w:tcBorders>
              <w:top w:val="single" w:sz="4" w:space="0" w:color="auto"/>
              <w:left w:val="single" w:sz="4" w:space="0" w:color="auto"/>
              <w:bottom w:val="single" w:sz="4" w:space="0" w:color="auto"/>
              <w:right w:val="single" w:sz="4" w:space="0" w:color="auto"/>
            </w:tcBorders>
            <w:hideMark/>
          </w:tcPr>
          <w:p w14:paraId="6EFDD91C"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tcBorders>
              <w:top w:val="single" w:sz="4" w:space="0" w:color="auto"/>
              <w:left w:val="single" w:sz="4" w:space="0" w:color="auto"/>
              <w:bottom w:val="single" w:sz="4" w:space="0" w:color="auto"/>
              <w:right w:val="single" w:sz="4" w:space="0" w:color="auto"/>
            </w:tcBorders>
            <w:hideMark/>
          </w:tcPr>
          <w:p w14:paraId="1B7EF518" w14:textId="1E31A92E"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40" w:type="dxa"/>
            <w:tcBorders>
              <w:top w:val="single" w:sz="4" w:space="0" w:color="auto"/>
              <w:left w:val="single" w:sz="4" w:space="0" w:color="auto"/>
              <w:bottom w:val="single" w:sz="4" w:space="0" w:color="auto"/>
              <w:right w:val="single" w:sz="4" w:space="0" w:color="auto"/>
            </w:tcBorders>
            <w:hideMark/>
          </w:tcPr>
          <w:p w14:paraId="708D5F2D"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24" w:type="dxa"/>
            <w:tcBorders>
              <w:top w:val="single" w:sz="4" w:space="0" w:color="auto"/>
              <w:left w:val="single" w:sz="4" w:space="0" w:color="auto"/>
              <w:bottom w:val="single" w:sz="4" w:space="0" w:color="auto"/>
              <w:right w:val="single" w:sz="4" w:space="0" w:color="auto"/>
            </w:tcBorders>
            <w:hideMark/>
          </w:tcPr>
          <w:p w14:paraId="7B15590A"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494" w:type="dxa"/>
            <w:tcBorders>
              <w:top w:val="single" w:sz="4" w:space="0" w:color="auto"/>
              <w:left w:val="single" w:sz="4" w:space="0" w:color="auto"/>
              <w:bottom w:val="single" w:sz="4" w:space="0" w:color="auto"/>
              <w:right w:val="single" w:sz="4" w:space="0" w:color="auto"/>
            </w:tcBorders>
            <w:hideMark/>
          </w:tcPr>
          <w:p w14:paraId="7D05BE0E"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800" w:type="dxa"/>
            <w:tcBorders>
              <w:top w:val="single" w:sz="4" w:space="0" w:color="auto"/>
              <w:left w:val="single" w:sz="4" w:space="0" w:color="auto"/>
              <w:bottom w:val="single" w:sz="4" w:space="0" w:color="auto"/>
              <w:right w:val="single" w:sz="4" w:space="0" w:color="auto"/>
            </w:tcBorders>
            <w:hideMark/>
          </w:tcPr>
          <w:p w14:paraId="60590ECD"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6" w:type="dxa"/>
            <w:tcBorders>
              <w:left w:val="single" w:sz="4" w:space="0" w:color="auto"/>
            </w:tcBorders>
            <w:vAlign w:val="center"/>
            <w:hideMark/>
          </w:tcPr>
          <w:p w14:paraId="5399C815" w14:textId="77777777" w:rsidR="000E3C6C" w:rsidRPr="00EF2F18" w:rsidRDefault="000E3C6C" w:rsidP="00752CA0">
            <w:pPr>
              <w:spacing w:after="0"/>
              <w:rPr>
                <w:rFonts w:eastAsia="Times New Roman" w:cs="Times New Roman"/>
                <w:sz w:val="20"/>
                <w:szCs w:val="20"/>
                <w:lang w:val="sr-Cyrl-RS" w:eastAsia="sr-Cyrl-RS"/>
              </w:rPr>
            </w:pPr>
          </w:p>
        </w:tc>
      </w:tr>
      <w:tr w:rsidR="000E3C6C" w:rsidRPr="00EF2F18" w14:paraId="6134F83A" w14:textId="77777777" w:rsidTr="000E3C6C">
        <w:trPr>
          <w:trHeight w:val="804"/>
        </w:trPr>
        <w:tc>
          <w:tcPr>
            <w:tcW w:w="2509" w:type="dxa"/>
            <w:tcBorders>
              <w:top w:val="single" w:sz="4" w:space="0" w:color="auto"/>
              <w:left w:val="single" w:sz="4" w:space="0" w:color="auto"/>
              <w:bottom w:val="single" w:sz="4" w:space="0" w:color="auto"/>
              <w:right w:val="single" w:sz="4" w:space="0" w:color="auto"/>
            </w:tcBorders>
            <w:hideMark/>
          </w:tcPr>
          <w:p w14:paraId="330C2554"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2.1.1.4. Успостављање система тарифа по принципу плати-колико-бациш</w:t>
            </w:r>
          </w:p>
        </w:tc>
        <w:tc>
          <w:tcPr>
            <w:tcW w:w="1186" w:type="dxa"/>
            <w:tcBorders>
              <w:top w:val="single" w:sz="4" w:space="0" w:color="auto"/>
              <w:left w:val="single" w:sz="4" w:space="0" w:color="auto"/>
              <w:bottom w:val="single" w:sz="4" w:space="0" w:color="auto"/>
              <w:right w:val="single" w:sz="4" w:space="0" w:color="auto"/>
            </w:tcBorders>
            <w:hideMark/>
          </w:tcPr>
          <w:p w14:paraId="7400DB22"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59" w:type="dxa"/>
            <w:tcBorders>
              <w:top w:val="single" w:sz="4" w:space="0" w:color="auto"/>
              <w:left w:val="single" w:sz="4" w:space="0" w:color="auto"/>
              <w:bottom w:val="single" w:sz="4" w:space="0" w:color="auto"/>
              <w:right w:val="single" w:sz="4" w:space="0" w:color="auto"/>
            </w:tcBorders>
            <w:hideMark/>
          </w:tcPr>
          <w:p w14:paraId="5FE39C76"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tcBorders>
              <w:top w:val="single" w:sz="4" w:space="0" w:color="auto"/>
              <w:left w:val="single" w:sz="4" w:space="0" w:color="auto"/>
              <w:bottom w:val="single" w:sz="4" w:space="0" w:color="auto"/>
              <w:right w:val="single" w:sz="4" w:space="0" w:color="auto"/>
            </w:tcBorders>
            <w:hideMark/>
          </w:tcPr>
          <w:p w14:paraId="39F65779"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tcBorders>
              <w:top w:val="single" w:sz="4" w:space="0" w:color="auto"/>
              <w:left w:val="single" w:sz="4" w:space="0" w:color="auto"/>
              <w:bottom w:val="single" w:sz="4" w:space="0" w:color="auto"/>
              <w:right w:val="single" w:sz="4" w:space="0" w:color="auto"/>
            </w:tcBorders>
            <w:hideMark/>
          </w:tcPr>
          <w:p w14:paraId="3A86996B"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340" w:type="dxa"/>
            <w:tcBorders>
              <w:top w:val="single" w:sz="4" w:space="0" w:color="auto"/>
              <w:left w:val="single" w:sz="4" w:space="0" w:color="auto"/>
              <w:bottom w:val="single" w:sz="4" w:space="0" w:color="auto"/>
              <w:right w:val="single" w:sz="4" w:space="0" w:color="auto"/>
            </w:tcBorders>
            <w:hideMark/>
          </w:tcPr>
          <w:p w14:paraId="58B87D4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1124" w:type="dxa"/>
            <w:tcBorders>
              <w:top w:val="single" w:sz="4" w:space="0" w:color="auto"/>
              <w:left w:val="single" w:sz="4" w:space="0" w:color="auto"/>
              <w:bottom w:val="single" w:sz="4" w:space="0" w:color="auto"/>
              <w:right w:val="single" w:sz="4" w:space="0" w:color="auto"/>
            </w:tcBorders>
            <w:hideMark/>
          </w:tcPr>
          <w:p w14:paraId="6E3084AE"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494" w:type="dxa"/>
            <w:tcBorders>
              <w:top w:val="single" w:sz="4" w:space="0" w:color="auto"/>
              <w:left w:val="single" w:sz="4" w:space="0" w:color="auto"/>
              <w:bottom w:val="single" w:sz="4" w:space="0" w:color="auto"/>
              <w:right w:val="single" w:sz="4" w:space="0" w:color="auto"/>
            </w:tcBorders>
            <w:hideMark/>
          </w:tcPr>
          <w:p w14:paraId="565EF129"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800" w:type="dxa"/>
            <w:tcBorders>
              <w:top w:val="single" w:sz="4" w:space="0" w:color="auto"/>
              <w:left w:val="single" w:sz="4" w:space="0" w:color="auto"/>
              <w:bottom w:val="single" w:sz="4" w:space="0" w:color="auto"/>
              <w:right w:val="single" w:sz="4" w:space="0" w:color="auto"/>
            </w:tcBorders>
            <w:hideMark/>
          </w:tcPr>
          <w:p w14:paraId="135685BE"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6" w:type="dxa"/>
            <w:tcBorders>
              <w:left w:val="single" w:sz="4" w:space="0" w:color="auto"/>
            </w:tcBorders>
            <w:vAlign w:val="center"/>
            <w:hideMark/>
          </w:tcPr>
          <w:p w14:paraId="79558750" w14:textId="77777777" w:rsidR="000E3C6C" w:rsidRPr="00EF2F18" w:rsidRDefault="000E3C6C" w:rsidP="00752CA0">
            <w:pPr>
              <w:spacing w:after="0"/>
              <w:rPr>
                <w:rFonts w:eastAsia="Times New Roman" w:cs="Times New Roman"/>
                <w:sz w:val="20"/>
                <w:szCs w:val="20"/>
                <w:lang w:val="sr-Cyrl-RS" w:eastAsia="sr-Cyrl-RS"/>
              </w:rPr>
            </w:pPr>
          </w:p>
        </w:tc>
      </w:tr>
    </w:tbl>
    <w:p w14:paraId="4823C620" w14:textId="4CEDCC7B" w:rsidR="007D7243" w:rsidRPr="00EF2F18" w:rsidRDefault="00CB5ECF"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0B1D859A" w14:textId="77777777" w:rsidR="0050150F" w:rsidRPr="00EF2F18" w:rsidRDefault="0050150F"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62"/>
        <w:gridCol w:w="1653"/>
        <w:gridCol w:w="1264"/>
        <w:gridCol w:w="966"/>
        <w:gridCol w:w="919"/>
        <w:gridCol w:w="1437"/>
        <w:gridCol w:w="1224"/>
        <w:gridCol w:w="1440"/>
        <w:gridCol w:w="1710"/>
      </w:tblGrid>
      <w:tr w:rsidR="007D7243" w:rsidRPr="00EF2F18" w14:paraId="564BB173" w14:textId="77777777" w:rsidTr="000E3C6C">
        <w:trPr>
          <w:trHeight w:val="336"/>
        </w:trPr>
        <w:tc>
          <w:tcPr>
            <w:tcW w:w="13575" w:type="dxa"/>
            <w:gridSpan w:val="9"/>
            <w:shd w:val="clear" w:color="000000" w:fill="F7CAAC"/>
            <w:vAlign w:val="center"/>
            <w:hideMark/>
          </w:tcPr>
          <w:p w14:paraId="5732E36D"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2.1.2. Изградња капацитета за сакупљање и третман опасног отпада</w:t>
            </w:r>
          </w:p>
        </w:tc>
      </w:tr>
      <w:tr w:rsidR="007D7243" w:rsidRPr="00EF2F18" w14:paraId="2119B8BE" w14:textId="77777777" w:rsidTr="000E3C6C">
        <w:trPr>
          <w:trHeight w:val="336"/>
        </w:trPr>
        <w:tc>
          <w:tcPr>
            <w:tcW w:w="13575" w:type="dxa"/>
            <w:gridSpan w:val="9"/>
            <w:shd w:val="clear" w:color="000000" w:fill="F7CAAC"/>
            <w:vAlign w:val="center"/>
            <w:hideMark/>
          </w:tcPr>
          <w:p w14:paraId="30E3755A"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7277B616" w14:textId="77777777" w:rsidTr="000E3C6C">
        <w:trPr>
          <w:trHeight w:val="336"/>
        </w:trPr>
        <w:tc>
          <w:tcPr>
            <w:tcW w:w="6845" w:type="dxa"/>
            <w:gridSpan w:val="4"/>
            <w:shd w:val="clear" w:color="000000" w:fill="F7CAAC"/>
            <w:vAlign w:val="center"/>
            <w:hideMark/>
          </w:tcPr>
          <w:p w14:paraId="72D10997" w14:textId="00D15C92"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Период спровођења:202</w:t>
            </w:r>
            <w:r w:rsidR="000E3C6C" w:rsidRPr="00EF2F18">
              <w:rPr>
                <w:rFonts w:eastAsia="Times New Roman" w:cs="Times New Roman"/>
                <w:color w:val="000000" w:themeColor="text1"/>
                <w:sz w:val="20"/>
                <w:szCs w:val="20"/>
                <w:lang w:val="sr-Cyrl-RS" w:eastAsia="sr-Cyrl-RS"/>
              </w:rPr>
              <w:t>6</w:t>
            </w:r>
            <w:r w:rsidRPr="00EF2F18">
              <w:rPr>
                <w:rFonts w:eastAsia="Times New Roman" w:cs="Times New Roman"/>
                <w:color w:val="000000" w:themeColor="text1"/>
                <w:sz w:val="20"/>
                <w:szCs w:val="20"/>
                <w:lang w:val="sr-Cyrl-RS" w:eastAsia="sr-Cyrl-RS"/>
              </w:rPr>
              <w:t>.-2028.</w:t>
            </w:r>
          </w:p>
        </w:tc>
        <w:tc>
          <w:tcPr>
            <w:tcW w:w="6730" w:type="dxa"/>
            <w:gridSpan w:val="5"/>
            <w:shd w:val="clear" w:color="000000" w:fill="F7CAAC"/>
            <w:vAlign w:val="center"/>
            <w:hideMark/>
          </w:tcPr>
          <w:p w14:paraId="5869EB6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Тип мере: Обезбеђивање добара и пружање услуга </w:t>
            </w:r>
          </w:p>
        </w:tc>
      </w:tr>
      <w:tr w:rsidR="007D7243" w:rsidRPr="00EF2F18" w14:paraId="78F3455C" w14:textId="77777777" w:rsidTr="000E3C6C">
        <w:trPr>
          <w:trHeight w:val="336"/>
        </w:trPr>
        <w:tc>
          <w:tcPr>
            <w:tcW w:w="6845" w:type="dxa"/>
            <w:gridSpan w:val="4"/>
            <w:shd w:val="clear" w:color="000000" w:fill="F7CAAC"/>
            <w:vAlign w:val="center"/>
            <w:hideMark/>
          </w:tcPr>
          <w:p w14:paraId="75915FA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30" w:type="dxa"/>
            <w:gridSpan w:val="5"/>
            <w:shd w:val="clear" w:color="000000" w:fill="F7CAAC"/>
            <w:vAlign w:val="center"/>
            <w:hideMark/>
          </w:tcPr>
          <w:p w14:paraId="650E843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0E3C6C" w:rsidRPr="00EF2F18" w14:paraId="1D6B7955" w14:textId="77777777" w:rsidTr="000E3C6C">
        <w:trPr>
          <w:trHeight w:val="816"/>
        </w:trPr>
        <w:tc>
          <w:tcPr>
            <w:tcW w:w="2962" w:type="dxa"/>
            <w:tcBorders>
              <w:bottom w:val="double" w:sz="4" w:space="0" w:color="auto"/>
            </w:tcBorders>
            <w:shd w:val="clear" w:color="000000" w:fill="D9D9D9"/>
            <w:hideMark/>
          </w:tcPr>
          <w:p w14:paraId="27B8E5A4"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653" w:type="dxa"/>
            <w:tcBorders>
              <w:bottom w:val="double" w:sz="4" w:space="0" w:color="auto"/>
            </w:tcBorders>
            <w:shd w:val="clear" w:color="000000" w:fill="D9D9D9"/>
            <w:hideMark/>
          </w:tcPr>
          <w:p w14:paraId="7B4E8AEF"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64" w:type="dxa"/>
            <w:tcBorders>
              <w:bottom w:val="double" w:sz="4" w:space="0" w:color="auto"/>
            </w:tcBorders>
            <w:shd w:val="clear" w:color="000000" w:fill="D9D9D9"/>
            <w:hideMark/>
          </w:tcPr>
          <w:p w14:paraId="0F34E22C"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85" w:type="dxa"/>
            <w:gridSpan w:val="2"/>
            <w:tcBorders>
              <w:bottom w:val="double" w:sz="4" w:space="0" w:color="auto"/>
            </w:tcBorders>
            <w:shd w:val="clear" w:color="000000" w:fill="D9D9D9"/>
            <w:hideMark/>
          </w:tcPr>
          <w:p w14:paraId="7AD56276"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37" w:type="dxa"/>
            <w:tcBorders>
              <w:bottom w:val="double" w:sz="4" w:space="0" w:color="auto"/>
            </w:tcBorders>
            <w:shd w:val="clear" w:color="000000" w:fill="D9D9D9"/>
            <w:hideMark/>
          </w:tcPr>
          <w:p w14:paraId="672F36B6"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24" w:type="dxa"/>
            <w:tcBorders>
              <w:bottom w:val="double" w:sz="4" w:space="0" w:color="auto"/>
            </w:tcBorders>
            <w:shd w:val="clear" w:color="000000" w:fill="D9D9D9"/>
            <w:hideMark/>
          </w:tcPr>
          <w:p w14:paraId="17F79E8A"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tcBorders>
              <w:bottom w:val="double" w:sz="4" w:space="0" w:color="auto"/>
            </w:tcBorders>
            <w:shd w:val="clear" w:color="000000" w:fill="D9D9D9"/>
            <w:hideMark/>
          </w:tcPr>
          <w:p w14:paraId="1189CB0F"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tcBorders>
              <w:bottom w:val="double" w:sz="4" w:space="0" w:color="auto"/>
            </w:tcBorders>
            <w:shd w:val="clear" w:color="000000" w:fill="D9D9D9"/>
            <w:hideMark/>
          </w:tcPr>
          <w:p w14:paraId="6E3FB764"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0E3C6C" w:rsidRPr="00EF2F18" w14:paraId="696FF439" w14:textId="77777777" w:rsidTr="000E3C6C">
        <w:trPr>
          <w:trHeight w:val="1080"/>
        </w:trPr>
        <w:tc>
          <w:tcPr>
            <w:tcW w:w="2962" w:type="dxa"/>
            <w:shd w:val="clear" w:color="000000" w:fill="FFFFFF"/>
            <w:hideMark/>
          </w:tcPr>
          <w:p w14:paraId="3F1A6B0D"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Изграђен планирани број постројења за поновно искоришћење опасног отпада</w:t>
            </w:r>
          </w:p>
        </w:tc>
        <w:tc>
          <w:tcPr>
            <w:tcW w:w="1653" w:type="dxa"/>
            <w:shd w:val="clear" w:color="000000" w:fill="FFFFFF"/>
            <w:hideMark/>
          </w:tcPr>
          <w:p w14:paraId="73899BE6"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да/делимично/не </w:t>
            </w:r>
          </w:p>
        </w:tc>
        <w:tc>
          <w:tcPr>
            <w:tcW w:w="1264" w:type="dxa"/>
            <w:shd w:val="clear" w:color="000000" w:fill="FFFFFF"/>
            <w:hideMark/>
          </w:tcPr>
          <w:p w14:paraId="012EC005"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управљању отпадом</w:t>
            </w:r>
          </w:p>
        </w:tc>
        <w:tc>
          <w:tcPr>
            <w:tcW w:w="1885" w:type="dxa"/>
            <w:gridSpan w:val="2"/>
            <w:shd w:val="clear" w:color="000000" w:fill="FFFFFF"/>
            <w:hideMark/>
          </w:tcPr>
          <w:p w14:paraId="79891DDC"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437" w:type="dxa"/>
            <w:shd w:val="clear" w:color="000000" w:fill="FFFFFF"/>
            <w:hideMark/>
          </w:tcPr>
          <w:p w14:paraId="1C4B7AE9"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24" w:type="dxa"/>
            <w:shd w:val="clear" w:color="000000" w:fill="FFFFFF"/>
            <w:hideMark/>
          </w:tcPr>
          <w:p w14:paraId="0337E629"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440" w:type="dxa"/>
            <w:shd w:val="clear" w:color="000000" w:fill="FFFFFF"/>
            <w:hideMark/>
          </w:tcPr>
          <w:p w14:paraId="12857390"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710" w:type="dxa"/>
            <w:shd w:val="clear" w:color="000000" w:fill="FFFFFF"/>
            <w:hideMark/>
          </w:tcPr>
          <w:p w14:paraId="24AF056D"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r>
    </w:tbl>
    <w:p w14:paraId="06F90F71" w14:textId="77777777" w:rsidR="007D7243" w:rsidRPr="00EF2F18" w:rsidRDefault="007D7243" w:rsidP="007D7243">
      <w:pPr>
        <w:spacing w:after="0"/>
        <w:rPr>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87"/>
        <w:gridCol w:w="2693"/>
        <w:gridCol w:w="2455"/>
        <w:gridCol w:w="2430"/>
        <w:gridCol w:w="2610"/>
      </w:tblGrid>
      <w:tr w:rsidR="007D7243" w:rsidRPr="00EF2F18" w14:paraId="5D6202F1" w14:textId="77777777" w:rsidTr="000E3C6C">
        <w:trPr>
          <w:trHeight w:val="336"/>
        </w:trPr>
        <w:tc>
          <w:tcPr>
            <w:tcW w:w="3387" w:type="dxa"/>
            <w:vMerge w:val="restart"/>
            <w:shd w:val="clear" w:color="000000" w:fill="A8D08D"/>
            <w:hideMark/>
          </w:tcPr>
          <w:p w14:paraId="1BD228A3" w14:textId="77777777" w:rsidR="007D7243" w:rsidRPr="00EF2F18" w:rsidRDefault="007D7243" w:rsidP="00752CA0">
            <w:pPr>
              <w:spacing w:after="0"/>
              <w:jc w:val="center"/>
              <w:rPr>
                <w:rFonts w:eastAsia="Times New Roman" w:cs="Times New Roman"/>
                <w:color w:val="000000"/>
                <w:sz w:val="20"/>
                <w:szCs w:val="20"/>
                <w:lang w:val="sr-Cyrl-RS" w:eastAsia="sr-Cyrl-RS"/>
              </w:rPr>
            </w:pPr>
            <w:bookmarkStart w:id="166" w:name="_Hlk188526529"/>
            <w:r w:rsidRPr="00EF2F18">
              <w:rPr>
                <w:rFonts w:eastAsia="Times New Roman" w:cs="Times New Roman"/>
                <w:sz w:val="20"/>
                <w:szCs w:val="20"/>
                <w:lang w:val="sr-Cyrl-RS" w:eastAsia="sr-Cyrl-RS"/>
              </w:rPr>
              <w:t>Извор финансирања мере</w:t>
            </w:r>
          </w:p>
        </w:tc>
        <w:tc>
          <w:tcPr>
            <w:tcW w:w="2693" w:type="dxa"/>
            <w:vMerge w:val="restart"/>
            <w:shd w:val="clear" w:color="000000" w:fill="A8D08D"/>
            <w:hideMark/>
          </w:tcPr>
          <w:p w14:paraId="686DACB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495" w:type="dxa"/>
            <w:gridSpan w:val="3"/>
            <w:shd w:val="clear" w:color="000000" w:fill="A8D08D"/>
            <w:hideMark/>
          </w:tcPr>
          <w:p w14:paraId="528898F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0E3C6C" w:rsidRPr="00EF2F18" w14:paraId="73D156A9" w14:textId="77777777" w:rsidTr="000E3C6C">
        <w:trPr>
          <w:trHeight w:val="336"/>
        </w:trPr>
        <w:tc>
          <w:tcPr>
            <w:tcW w:w="3387" w:type="dxa"/>
            <w:vMerge/>
            <w:vAlign w:val="center"/>
            <w:hideMark/>
          </w:tcPr>
          <w:p w14:paraId="1417BA02"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2693" w:type="dxa"/>
            <w:vMerge/>
            <w:vAlign w:val="center"/>
            <w:hideMark/>
          </w:tcPr>
          <w:p w14:paraId="6D47AC20"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2455" w:type="dxa"/>
            <w:shd w:val="clear" w:color="000000" w:fill="A8D08D"/>
            <w:hideMark/>
          </w:tcPr>
          <w:p w14:paraId="1DEDD9E0" w14:textId="2DC824DD"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shd w:val="clear" w:color="000000" w:fill="A8D08D"/>
            <w:hideMark/>
          </w:tcPr>
          <w:p w14:paraId="48CC1CD9" w14:textId="5EF97189"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610" w:type="dxa"/>
            <w:shd w:val="clear" w:color="000000" w:fill="A8D08D"/>
            <w:hideMark/>
          </w:tcPr>
          <w:p w14:paraId="597B8CB1" w14:textId="77160421"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0E3C6C" w:rsidRPr="00EF2F18" w14:paraId="0D565724" w14:textId="77777777" w:rsidTr="000E3C6C">
        <w:trPr>
          <w:trHeight w:val="324"/>
        </w:trPr>
        <w:tc>
          <w:tcPr>
            <w:tcW w:w="3387" w:type="dxa"/>
            <w:shd w:val="clear" w:color="000000" w:fill="FFFFFF"/>
            <w:vAlign w:val="center"/>
            <w:hideMark/>
          </w:tcPr>
          <w:p w14:paraId="40F694F8" w14:textId="150A8727" w:rsidR="000E3C6C" w:rsidRPr="00EF2F18" w:rsidRDefault="000E3C6C" w:rsidP="00752CA0">
            <w:pPr>
              <w:spacing w:after="0"/>
              <w:rPr>
                <w:rFonts w:eastAsia="Times New Roman" w:cs="Times New Roman"/>
                <w:color w:val="000000"/>
                <w:sz w:val="20"/>
                <w:szCs w:val="20"/>
                <w:lang w:val="sr-Cyrl-RS" w:eastAsia="sr-Cyrl-RS"/>
              </w:rPr>
            </w:pPr>
          </w:p>
        </w:tc>
        <w:tc>
          <w:tcPr>
            <w:tcW w:w="2693" w:type="dxa"/>
            <w:shd w:val="clear" w:color="000000" w:fill="FFFFFF"/>
            <w:vAlign w:val="center"/>
            <w:hideMark/>
          </w:tcPr>
          <w:p w14:paraId="4EBDC66F"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55" w:type="dxa"/>
            <w:vAlign w:val="center"/>
            <w:hideMark/>
          </w:tcPr>
          <w:p w14:paraId="7E42B4B6"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30" w:type="dxa"/>
            <w:vAlign w:val="center"/>
            <w:hideMark/>
          </w:tcPr>
          <w:p w14:paraId="601B9736"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610" w:type="dxa"/>
            <w:shd w:val="clear" w:color="000000" w:fill="FFFFFF"/>
            <w:vAlign w:val="center"/>
            <w:hideMark/>
          </w:tcPr>
          <w:p w14:paraId="1D84DE71" w14:textId="77777777" w:rsidR="000E3C6C" w:rsidRPr="00EF2F18" w:rsidRDefault="000E3C6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bookmarkEnd w:id="166"/>
    </w:tbl>
    <w:p w14:paraId="708D0B72" w14:textId="77777777" w:rsidR="00CB5ECF" w:rsidRPr="00EF2F18" w:rsidRDefault="00CB5ECF" w:rsidP="007D7243">
      <w:pPr>
        <w:spacing w:after="0"/>
        <w:rPr>
          <w:rFonts w:cs="Times New Roman"/>
          <w:sz w:val="20"/>
          <w:szCs w:val="20"/>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276"/>
        <w:gridCol w:w="1279"/>
        <w:gridCol w:w="1182"/>
        <w:gridCol w:w="1399"/>
        <w:gridCol w:w="1340"/>
        <w:gridCol w:w="1279"/>
        <w:gridCol w:w="1350"/>
        <w:gridCol w:w="1415"/>
        <w:gridCol w:w="25"/>
      </w:tblGrid>
      <w:tr w:rsidR="007D7243" w:rsidRPr="00EF2F18" w14:paraId="6873128D" w14:textId="77777777" w:rsidTr="000E3C6C">
        <w:trPr>
          <w:gridAfter w:val="1"/>
          <w:wAfter w:w="25" w:type="dxa"/>
          <w:trHeight w:val="696"/>
        </w:trPr>
        <w:tc>
          <w:tcPr>
            <w:tcW w:w="3040" w:type="dxa"/>
            <w:vMerge w:val="restart"/>
            <w:shd w:val="clear" w:color="000000" w:fill="FFF2CC"/>
            <w:hideMark/>
          </w:tcPr>
          <w:p w14:paraId="4EC9A74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6" w:type="dxa"/>
            <w:vMerge w:val="restart"/>
            <w:shd w:val="clear" w:color="000000" w:fill="FFF2CC"/>
            <w:hideMark/>
          </w:tcPr>
          <w:p w14:paraId="2923FB6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9" w:type="dxa"/>
            <w:vMerge w:val="restart"/>
            <w:shd w:val="clear" w:color="000000" w:fill="FFF2CC"/>
            <w:hideMark/>
          </w:tcPr>
          <w:p w14:paraId="647094B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4E069C8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99" w:type="dxa"/>
            <w:vMerge w:val="restart"/>
            <w:shd w:val="clear" w:color="000000" w:fill="FFF2CC"/>
            <w:hideMark/>
          </w:tcPr>
          <w:p w14:paraId="6EAEE12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460031F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44" w:type="dxa"/>
            <w:gridSpan w:val="3"/>
            <w:shd w:val="clear" w:color="000000" w:fill="FFF2CC"/>
            <w:hideMark/>
          </w:tcPr>
          <w:p w14:paraId="1088BAC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0E3C6C" w:rsidRPr="00EF2F18" w14:paraId="0E35FB09" w14:textId="77777777" w:rsidTr="000E3C6C">
        <w:trPr>
          <w:trHeight w:val="441"/>
        </w:trPr>
        <w:tc>
          <w:tcPr>
            <w:tcW w:w="3040" w:type="dxa"/>
            <w:vMerge/>
            <w:vAlign w:val="center"/>
            <w:hideMark/>
          </w:tcPr>
          <w:p w14:paraId="219BA163"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76" w:type="dxa"/>
            <w:vMerge/>
            <w:vAlign w:val="center"/>
            <w:hideMark/>
          </w:tcPr>
          <w:p w14:paraId="6A8B1799"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79" w:type="dxa"/>
            <w:vMerge/>
            <w:vAlign w:val="center"/>
            <w:hideMark/>
          </w:tcPr>
          <w:p w14:paraId="7515311B"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182" w:type="dxa"/>
            <w:vMerge/>
            <w:vAlign w:val="center"/>
            <w:hideMark/>
          </w:tcPr>
          <w:p w14:paraId="4909C18F"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399" w:type="dxa"/>
            <w:vMerge/>
            <w:vAlign w:val="center"/>
            <w:hideMark/>
          </w:tcPr>
          <w:p w14:paraId="16536265"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340" w:type="dxa"/>
            <w:vMerge/>
            <w:vAlign w:val="center"/>
            <w:hideMark/>
          </w:tcPr>
          <w:p w14:paraId="17F26F32"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79" w:type="dxa"/>
            <w:shd w:val="clear" w:color="000000" w:fill="FFF2CC"/>
            <w:hideMark/>
          </w:tcPr>
          <w:p w14:paraId="0D7FFD0F" w14:textId="573DFD7F"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021BF1CF" w14:textId="3845831F"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gridSpan w:val="2"/>
            <w:shd w:val="clear" w:color="000000" w:fill="FFF2CC"/>
            <w:hideMark/>
          </w:tcPr>
          <w:p w14:paraId="05183F03" w14:textId="45CA6C6D"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0E3C6C" w:rsidRPr="00EF2F18" w14:paraId="02BD5040" w14:textId="77777777" w:rsidTr="000E3C6C">
        <w:trPr>
          <w:trHeight w:val="1068"/>
        </w:trPr>
        <w:tc>
          <w:tcPr>
            <w:tcW w:w="3040" w:type="dxa"/>
            <w:hideMark/>
          </w:tcPr>
          <w:p w14:paraId="47EC416E"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bidi="en-US"/>
              </w:rPr>
              <w:t>2.1.2.1. Изградња постројења за физичко-хемијски третман неорганског и органског опасног отпада и муља (2)</w:t>
            </w:r>
          </w:p>
        </w:tc>
        <w:tc>
          <w:tcPr>
            <w:tcW w:w="1276" w:type="dxa"/>
            <w:hideMark/>
          </w:tcPr>
          <w:p w14:paraId="4D96FA4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9" w:type="dxa"/>
            <w:hideMark/>
          </w:tcPr>
          <w:p w14:paraId="340B775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 ПКС</w:t>
            </w:r>
          </w:p>
        </w:tc>
        <w:tc>
          <w:tcPr>
            <w:tcW w:w="1182" w:type="dxa"/>
            <w:hideMark/>
          </w:tcPr>
          <w:p w14:paraId="36ED20E3"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99" w:type="dxa"/>
            <w:hideMark/>
          </w:tcPr>
          <w:p w14:paraId="421382BA" w14:textId="5466B924"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40" w:type="dxa"/>
            <w:hideMark/>
          </w:tcPr>
          <w:p w14:paraId="018AE062"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79" w:type="dxa"/>
          </w:tcPr>
          <w:p w14:paraId="601C1F16" w14:textId="4960B3FC" w:rsidR="000E3C6C" w:rsidRPr="00EF2F18" w:rsidRDefault="000E3C6C" w:rsidP="00752CA0">
            <w:pPr>
              <w:spacing w:after="0"/>
              <w:jc w:val="right"/>
              <w:rPr>
                <w:rFonts w:eastAsia="Times New Roman" w:cs="Times New Roman"/>
                <w:color w:val="000000"/>
                <w:sz w:val="20"/>
                <w:szCs w:val="20"/>
                <w:lang w:val="sr-Cyrl-RS" w:eastAsia="sr-Cyrl-RS"/>
              </w:rPr>
            </w:pPr>
          </w:p>
        </w:tc>
        <w:tc>
          <w:tcPr>
            <w:tcW w:w="1350" w:type="dxa"/>
          </w:tcPr>
          <w:p w14:paraId="31E17C9D" w14:textId="2003B5C3" w:rsidR="000E3C6C" w:rsidRPr="00EF2F18" w:rsidRDefault="000E3C6C" w:rsidP="00752CA0">
            <w:pPr>
              <w:spacing w:after="0"/>
              <w:jc w:val="right"/>
              <w:rPr>
                <w:rFonts w:eastAsia="Times New Roman" w:cs="Times New Roman"/>
                <w:color w:val="000000"/>
                <w:sz w:val="20"/>
                <w:szCs w:val="20"/>
                <w:lang w:val="sr-Cyrl-RS" w:eastAsia="sr-Cyrl-RS"/>
              </w:rPr>
            </w:pPr>
          </w:p>
        </w:tc>
        <w:tc>
          <w:tcPr>
            <w:tcW w:w="1440" w:type="dxa"/>
            <w:gridSpan w:val="2"/>
          </w:tcPr>
          <w:p w14:paraId="327662E9" w14:textId="0915AFBE" w:rsidR="000E3C6C" w:rsidRPr="00EF2F18" w:rsidRDefault="000E3C6C" w:rsidP="00752CA0">
            <w:pPr>
              <w:spacing w:after="0"/>
              <w:jc w:val="right"/>
              <w:rPr>
                <w:rFonts w:eastAsia="Times New Roman" w:cs="Times New Roman"/>
                <w:color w:val="000000"/>
                <w:sz w:val="20"/>
                <w:szCs w:val="20"/>
                <w:lang w:val="sr-Cyrl-RS" w:eastAsia="sr-Cyrl-RS"/>
              </w:rPr>
            </w:pPr>
          </w:p>
        </w:tc>
      </w:tr>
      <w:tr w:rsidR="000E3C6C" w:rsidRPr="00EF2F18" w14:paraId="0222A914" w14:textId="77777777" w:rsidTr="000E3C6C">
        <w:trPr>
          <w:trHeight w:val="1068"/>
        </w:trPr>
        <w:tc>
          <w:tcPr>
            <w:tcW w:w="3040" w:type="dxa"/>
            <w:hideMark/>
          </w:tcPr>
          <w:p w14:paraId="33BC654B" w14:textId="5F60A7AC"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2.1.2.2. Изградња постројења постројења за инсинерацију опасног и медицинског отпада (2) </w:t>
            </w:r>
          </w:p>
        </w:tc>
        <w:tc>
          <w:tcPr>
            <w:tcW w:w="1276" w:type="dxa"/>
            <w:hideMark/>
          </w:tcPr>
          <w:p w14:paraId="5D86B102"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9" w:type="dxa"/>
            <w:hideMark/>
          </w:tcPr>
          <w:p w14:paraId="13418481"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w:t>
            </w:r>
          </w:p>
        </w:tc>
        <w:tc>
          <w:tcPr>
            <w:tcW w:w="1182" w:type="dxa"/>
            <w:hideMark/>
          </w:tcPr>
          <w:p w14:paraId="5384F61E"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99" w:type="dxa"/>
            <w:hideMark/>
          </w:tcPr>
          <w:p w14:paraId="2EE2D203" w14:textId="03D97F03"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40" w:type="dxa"/>
            <w:hideMark/>
          </w:tcPr>
          <w:p w14:paraId="4E9F9342"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79" w:type="dxa"/>
          </w:tcPr>
          <w:p w14:paraId="09A77F1A" w14:textId="268844AB" w:rsidR="000E3C6C" w:rsidRPr="00EF2F18" w:rsidRDefault="000E3C6C" w:rsidP="00752CA0">
            <w:pPr>
              <w:spacing w:after="0"/>
              <w:jc w:val="right"/>
              <w:rPr>
                <w:rFonts w:eastAsia="Times New Roman" w:cs="Times New Roman"/>
                <w:color w:val="000000"/>
                <w:sz w:val="20"/>
                <w:szCs w:val="20"/>
                <w:lang w:val="sr-Cyrl-RS" w:eastAsia="sr-Cyrl-RS"/>
              </w:rPr>
            </w:pPr>
          </w:p>
        </w:tc>
        <w:tc>
          <w:tcPr>
            <w:tcW w:w="1350" w:type="dxa"/>
          </w:tcPr>
          <w:p w14:paraId="79C3C44F" w14:textId="17C2C83B" w:rsidR="000E3C6C" w:rsidRPr="00EF2F18" w:rsidRDefault="000E3C6C" w:rsidP="00752CA0">
            <w:pPr>
              <w:spacing w:after="0"/>
              <w:jc w:val="right"/>
              <w:rPr>
                <w:rFonts w:eastAsia="Times New Roman" w:cs="Times New Roman"/>
                <w:color w:val="000000"/>
                <w:sz w:val="20"/>
                <w:szCs w:val="20"/>
                <w:lang w:val="sr-Cyrl-RS" w:eastAsia="sr-Cyrl-RS"/>
              </w:rPr>
            </w:pPr>
          </w:p>
        </w:tc>
        <w:tc>
          <w:tcPr>
            <w:tcW w:w="1440" w:type="dxa"/>
            <w:gridSpan w:val="2"/>
          </w:tcPr>
          <w:p w14:paraId="664F0FEB" w14:textId="0D9B3EBE" w:rsidR="000E3C6C" w:rsidRPr="00EF2F18" w:rsidRDefault="000E3C6C" w:rsidP="00752CA0">
            <w:pPr>
              <w:spacing w:after="0"/>
              <w:jc w:val="right"/>
              <w:rPr>
                <w:rFonts w:eastAsia="Times New Roman" w:cs="Times New Roman"/>
                <w:color w:val="000000"/>
                <w:sz w:val="20"/>
                <w:szCs w:val="20"/>
                <w:lang w:val="sr-Cyrl-RS" w:eastAsia="sr-Cyrl-RS"/>
              </w:rPr>
            </w:pPr>
          </w:p>
        </w:tc>
      </w:tr>
    </w:tbl>
    <w:p w14:paraId="06BD1DAA" w14:textId="511745B1" w:rsidR="007D7243" w:rsidRPr="00EF2F18" w:rsidRDefault="00CB5ECF" w:rsidP="007D7243">
      <w:pPr>
        <w:tabs>
          <w:tab w:val="left" w:pos="1940"/>
        </w:tabs>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2027BB7C" w14:textId="77777777" w:rsidR="007D7243" w:rsidRPr="00EF2F18" w:rsidRDefault="007D7243" w:rsidP="007D7243">
      <w:pPr>
        <w:tabs>
          <w:tab w:val="left" w:pos="1940"/>
        </w:tabs>
        <w:spacing w:after="0"/>
        <w:rPr>
          <w:rFonts w:cs="Times New Roman"/>
          <w:sz w:val="20"/>
          <w:szCs w:val="20"/>
          <w:lang w:val="sr-Cyrl-RS"/>
        </w:rPr>
      </w:pPr>
    </w:p>
    <w:tbl>
      <w:tblPr>
        <w:tblW w:w="137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372"/>
        <w:gridCol w:w="1562"/>
        <w:gridCol w:w="1588"/>
        <w:gridCol w:w="1234"/>
        <w:gridCol w:w="1319"/>
        <w:gridCol w:w="1350"/>
        <w:gridCol w:w="1530"/>
        <w:gridCol w:w="1530"/>
        <w:gridCol w:w="32"/>
        <w:gridCol w:w="204"/>
      </w:tblGrid>
      <w:tr w:rsidR="007D7243" w:rsidRPr="00EF2F18" w14:paraId="3403FEA7" w14:textId="77777777" w:rsidTr="0080031B">
        <w:trPr>
          <w:gridAfter w:val="1"/>
          <w:wAfter w:w="204" w:type="dxa"/>
          <w:trHeight w:val="339"/>
        </w:trPr>
        <w:tc>
          <w:tcPr>
            <w:tcW w:w="13517" w:type="dxa"/>
            <w:gridSpan w:val="9"/>
            <w:shd w:val="clear" w:color="000000" w:fill="C5E0B3"/>
            <w:vAlign w:val="center"/>
            <w:hideMark/>
          </w:tcPr>
          <w:p w14:paraId="2F503B69" w14:textId="7B3E001B" w:rsidR="007D7243" w:rsidRPr="00EF2F18" w:rsidRDefault="00EF0D30" w:rsidP="00752CA0">
            <w:pPr>
              <w:spacing w:after="0"/>
              <w:rPr>
                <w:rFonts w:eastAsia="Times New Roman" w:cs="Times New Roman"/>
                <w:b/>
                <w:bCs/>
                <w:color w:val="000000"/>
                <w:sz w:val="20"/>
                <w:szCs w:val="20"/>
                <w:lang w:val="sr-Cyrl-RS" w:eastAsia="sr-Cyrl-RS"/>
              </w:rPr>
            </w:pPr>
            <w:r>
              <w:rPr>
                <w:rFonts w:eastAsia="Times New Roman" w:cs="Times New Roman"/>
                <w:b/>
                <w:bCs/>
                <w:color w:val="000000"/>
                <w:sz w:val="20"/>
                <w:szCs w:val="20"/>
                <w:lang w:val="sr-Cyrl-RS" w:eastAsia="sr-Cyrl-RS"/>
              </w:rPr>
              <w:t>Посебан циљ 2.2: Развијање цир</w:t>
            </w:r>
            <w:r w:rsidR="007D7243" w:rsidRPr="00EF2F18">
              <w:rPr>
                <w:rFonts w:eastAsia="Times New Roman" w:cs="Times New Roman"/>
                <w:b/>
                <w:bCs/>
                <w:color w:val="000000"/>
                <w:sz w:val="20"/>
                <w:szCs w:val="20"/>
                <w:lang w:val="sr-Cyrl-RS" w:eastAsia="sr-Cyrl-RS"/>
              </w:rPr>
              <w:t>куларне економије на бази индустријске симбиозе и повећања ресурсне ефикасности</w:t>
            </w:r>
          </w:p>
        </w:tc>
      </w:tr>
      <w:tr w:rsidR="007D7243" w:rsidRPr="00EF2F18" w14:paraId="62708EF8" w14:textId="77777777" w:rsidTr="0080031B">
        <w:trPr>
          <w:gridAfter w:val="1"/>
          <w:wAfter w:w="204" w:type="dxa"/>
          <w:trHeight w:val="326"/>
        </w:trPr>
        <w:tc>
          <w:tcPr>
            <w:tcW w:w="13517" w:type="dxa"/>
            <w:gridSpan w:val="9"/>
            <w:shd w:val="clear" w:color="000000" w:fill="C5E0B3"/>
            <w:vAlign w:val="center"/>
            <w:hideMark/>
          </w:tcPr>
          <w:p w14:paraId="184D2426"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 xml:space="preserve">Институција одговорна за координацију и извештавање: Министарство заштите животне средине </w:t>
            </w:r>
          </w:p>
        </w:tc>
      </w:tr>
      <w:tr w:rsidR="000E3C6C" w:rsidRPr="00EF2F18" w14:paraId="499FB63A" w14:textId="77777777" w:rsidTr="0080031B">
        <w:trPr>
          <w:gridAfter w:val="2"/>
          <w:wAfter w:w="236" w:type="dxa"/>
          <w:trHeight w:val="484"/>
        </w:trPr>
        <w:tc>
          <w:tcPr>
            <w:tcW w:w="3372" w:type="dxa"/>
            <w:vMerge w:val="restart"/>
            <w:shd w:val="clear" w:color="000000" w:fill="D9D9D9"/>
            <w:hideMark/>
          </w:tcPr>
          <w:p w14:paraId="1329BB64"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562" w:type="dxa"/>
            <w:vMerge w:val="restart"/>
            <w:shd w:val="clear" w:color="000000" w:fill="D9D9D9"/>
            <w:hideMark/>
          </w:tcPr>
          <w:p w14:paraId="4306ADB7"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588" w:type="dxa"/>
            <w:vMerge w:val="restart"/>
            <w:shd w:val="clear" w:color="000000" w:fill="D9D9D9"/>
            <w:hideMark/>
          </w:tcPr>
          <w:p w14:paraId="72431CC5"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234" w:type="dxa"/>
            <w:vMerge w:val="restart"/>
            <w:shd w:val="clear" w:color="000000" w:fill="D9D9D9"/>
            <w:hideMark/>
          </w:tcPr>
          <w:p w14:paraId="13B3A2DC"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319" w:type="dxa"/>
            <w:vMerge w:val="restart"/>
            <w:shd w:val="clear" w:color="000000" w:fill="D9D9D9"/>
            <w:hideMark/>
          </w:tcPr>
          <w:p w14:paraId="6D7B9DF9"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50" w:type="dxa"/>
            <w:vMerge w:val="restart"/>
            <w:shd w:val="clear" w:color="000000" w:fill="D9D9D9"/>
            <w:hideMark/>
          </w:tcPr>
          <w:p w14:paraId="4C9E443F"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vMerge w:val="restart"/>
            <w:shd w:val="clear" w:color="000000" w:fill="D9D9D9"/>
            <w:hideMark/>
          </w:tcPr>
          <w:p w14:paraId="6EAD08D7"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vMerge w:val="restart"/>
            <w:shd w:val="clear" w:color="000000" w:fill="D9D9D9"/>
            <w:hideMark/>
          </w:tcPr>
          <w:p w14:paraId="7F3905C8"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0E3C6C" w:rsidRPr="00EF2F18" w14:paraId="22593408" w14:textId="77777777" w:rsidTr="0080031B">
        <w:trPr>
          <w:trHeight w:val="423"/>
        </w:trPr>
        <w:tc>
          <w:tcPr>
            <w:tcW w:w="3372" w:type="dxa"/>
            <w:vMerge/>
            <w:vAlign w:val="center"/>
            <w:hideMark/>
          </w:tcPr>
          <w:p w14:paraId="0F1EB08E"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562" w:type="dxa"/>
            <w:vMerge/>
            <w:vAlign w:val="center"/>
            <w:hideMark/>
          </w:tcPr>
          <w:p w14:paraId="2767F721"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588" w:type="dxa"/>
            <w:vMerge/>
            <w:vAlign w:val="center"/>
            <w:hideMark/>
          </w:tcPr>
          <w:p w14:paraId="5A8061A9"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234" w:type="dxa"/>
            <w:vMerge/>
            <w:vAlign w:val="center"/>
            <w:hideMark/>
          </w:tcPr>
          <w:p w14:paraId="0A2F84D6"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319" w:type="dxa"/>
            <w:vMerge/>
            <w:vAlign w:val="center"/>
            <w:hideMark/>
          </w:tcPr>
          <w:p w14:paraId="5C07C38F"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350" w:type="dxa"/>
            <w:vMerge/>
            <w:vAlign w:val="center"/>
            <w:hideMark/>
          </w:tcPr>
          <w:p w14:paraId="066066C2"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530" w:type="dxa"/>
            <w:vMerge/>
            <w:vAlign w:val="center"/>
            <w:hideMark/>
          </w:tcPr>
          <w:p w14:paraId="3B52D5AD"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1530" w:type="dxa"/>
            <w:vMerge/>
            <w:vAlign w:val="center"/>
            <w:hideMark/>
          </w:tcPr>
          <w:p w14:paraId="73DC2656" w14:textId="77777777" w:rsidR="000E3C6C" w:rsidRPr="00EF2F18" w:rsidRDefault="000E3C6C" w:rsidP="00752CA0">
            <w:pPr>
              <w:spacing w:after="0"/>
              <w:rPr>
                <w:rFonts w:eastAsia="Times New Roman" w:cs="Times New Roman"/>
                <w:color w:val="000000"/>
                <w:sz w:val="20"/>
                <w:szCs w:val="20"/>
                <w:lang w:val="sr-Cyrl-RS" w:eastAsia="sr-Cyrl-RS"/>
              </w:rPr>
            </w:pPr>
          </w:p>
        </w:tc>
        <w:tc>
          <w:tcPr>
            <w:tcW w:w="236" w:type="dxa"/>
            <w:gridSpan w:val="2"/>
            <w:tcBorders>
              <w:top w:val="nil"/>
              <w:bottom w:val="nil"/>
              <w:right w:val="nil"/>
            </w:tcBorders>
            <w:noWrap/>
            <w:vAlign w:val="bottom"/>
            <w:hideMark/>
          </w:tcPr>
          <w:p w14:paraId="5FB79EF0" w14:textId="77777777" w:rsidR="000E3C6C" w:rsidRPr="00EF2F18" w:rsidRDefault="000E3C6C" w:rsidP="00752CA0">
            <w:pPr>
              <w:spacing w:after="0"/>
              <w:jc w:val="center"/>
              <w:rPr>
                <w:rFonts w:eastAsia="Times New Roman" w:cs="Times New Roman"/>
                <w:color w:val="000000"/>
                <w:sz w:val="20"/>
                <w:szCs w:val="20"/>
                <w:lang w:val="sr-Cyrl-RS" w:eastAsia="sr-Cyrl-RS"/>
              </w:rPr>
            </w:pPr>
          </w:p>
        </w:tc>
      </w:tr>
      <w:tr w:rsidR="000E3C6C" w:rsidRPr="00EF2F18" w14:paraId="0C49E76B" w14:textId="77777777" w:rsidTr="0080031B">
        <w:trPr>
          <w:trHeight w:val="1610"/>
        </w:trPr>
        <w:tc>
          <w:tcPr>
            <w:tcW w:w="3372" w:type="dxa"/>
            <w:shd w:val="clear" w:color="000000" w:fill="FFFFFF"/>
            <w:hideMark/>
          </w:tcPr>
          <w:p w14:paraId="532DDE63"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Домаћа потрошња материјала по становнику</w:t>
            </w:r>
          </w:p>
        </w:tc>
        <w:tc>
          <w:tcPr>
            <w:tcW w:w="1562" w:type="dxa"/>
            <w:shd w:val="clear" w:color="000000" w:fill="FFFFFF"/>
            <w:hideMark/>
          </w:tcPr>
          <w:p w14:paraId="21B960BF"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Тона/</w:t>
            </w:r>
            <w:r w:rsidRPr="00732673">
              <w:rPr>
                <w:rFonts w:eastAsia="Times New Roman" w:cs="Times New Roman"/>
                <w:sz w:val="18"/>
                <w:szCs w:val="18"/>
                <w:lang w:val="sr-Cyrl-RS" w:eastAsia="sr-Cyrl-RS"/>
              </w:rPr>
              <w:t>становник</w:t>
            </w:r>
          </w:p>
        </w:tc>
        <w:tc>
          <w:tcPr>
            <w:tcW w:w="1588" w:type="dxa"/>
            <w:shd w:val="clear" w:color="000000" w:fill="FFFFFF"/>
            <w:hideMark/>
          </w:tcPr>
          <w:p w14:paraId="5FC13EA0" w14:textId="77777777" w:rsidR="000E3C6C" w:rsidRPr="00EF2F18" w:rsidRDefault="000E3C6C"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РЗС, Извештај о напретку у остваривању ЦОР до 2030. године у РС, РЗС, Еко билтен</w:t>
            </w:r>
          </w:p>
        </w:tc>
        <w:tc>
          <w:tcPr>
            <w:tcW w:w="1234" w:type="dxa"/>
            <w:shd w:val="clear" w:color="000000" w:fill="FFFFFF"/>
            <w:hideMark/>
          </w:tcPr>
          <w:p w14:paraId="138C65A8"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19,4</w:t>
            </w:r>
          </w:p>
        </w:tc>
        <w:tc>
          <w:tcPr>
            <w:tcW w:w="1319" w:type="dxa"/>
            <w:shd w:val="clear" w:color="000000" w:fill="FFFFFF"/>
            <w:hideMark/>
          </w:tcPr>
          <w:p w14:paraId="0C24963B"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2021.</w:t>
            </w:r>
          </w:p>
        </w:tc>
        <w:tc>
          <w:tcPr>
            <w:tcW w:w="1350" w:type="dxa"/>
            <w:shd w:val="clear" w:color="000000" w:fill="FFFFFF"/>
            <w:hideMark/>
          </w:tcPr>
          <w:p w14:paraId="1B49D50F"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17,9</w:t>
            </w:r>
          </w:p>
        </w:tc>
        <w:tc>
          <w:tcPr>
            <w:tcW w:w="1530" w:type="dxa"/>
            <w:shd w:val="clear" w:color="000000" w:fill="FFFFFF"/>
            <w:hideMark/>
          </w:tcPr>
          <w:p w14:paraId="7A7F5FE9"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17,4</w:t>
            </w:r>
          </w:p>
        </w:tc>
        <w:tc>
          <w:tcPr>
            <w:tcW w:w="1530" w:type="dxa"/>
            <w:shd w:val="clear" w:color="000000" w:fill="FFFFFF"/>
            <w:hideMark/>
          </w:tcPr>
          <w:p w14:paraId="038F6815" w14:textId="77777777" w:rsidR="000E3C6C" w:rsidRPr="00EF2F18" w:rsidRDefault="000E3C6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16,9</w:t>
            </w:r>
          </w:p>
        </w:tc>
        <w:tc>
          <w:tcPr>
            <w:tcW w:w="236" w:type="dxa"/>
            <w:gridSpan w:val="2"/>
            <w:tcBorders>
              <w:top w:val="nil"/>
              <w:bottom w:val="nil"/>
              <w:right w:val="nil"/>
            </w:tcBorders>
            <w:vAlign w:val="center"/>
            <w:hideMark/>
          </w:tcPr>
          <w:p w14:paraId="2F98999D" w14:textId="77777777" w:rsidR="000E3C6C" w:rsidRPr="00EF2F18" w:rsidRDefault="000E3C6C" w:rsidP="00752CA0">
            <w:pPr>
              <w:spacing w:after="0"/>
              <w:rPr>
                <w:rFonts w:eastAsia="Times New Roman" w:cs="Times New Roman"/>
                <w:sz w:val="20"/>
                <w:szCs w:val="20"/>
                <w:lang w:val="sr-Cyrl-RS" w:eastAsia="sr-Cyrl-RS"/>
              </w:rPr>
            </w:pPr>
          </w:p>
        </w:tc>
      </w:tr>
    </w:tbl>
    <w:p w14:paraId="0A3F9D03" w14:textId="77777777" w:rsidR="007D7243" w:rsidRPr="00EF2F18" w:rsidRDefault="007D7243" w:rsidP="007D7243">
      <w:pPr>
        <w:tabs>
          <w:tab w:val="left" w:pos="1940"/>
        </w:tabs>
        <w:spacing w:after="0"/>
        <w:rPr>
          <w:rFonts w:cs="Times New Roman"/>
          <w:sz w:val="20"/>
          <w:szCs w:val="20"/>
          <w:lang w:val="sr-Cyrl-RS"/>
        </w:rPr>
      </w:pPr>
    </w:p>
    <w:p w14:paraId="457724DA" w14:textId="77777777" w:rsidR="007D7243" w:rsidRPr="00EF2F18" w:rsidRDefault="007D7243" w:rsidP="007D7243">
      <w:pPr>
        <w:spacing w:after="0"/>
        <w:rPr>
          <w:rFonts w:cs="Times New Roman"/>
          <w:sz w:val="20"/>
          <w:szCs w:val="20"/>
          <w:lang w:val="sr-Cyrl-RS"/>
        </w:rPr>
      </w:pPr>
    </w:p>
    <w:tbl>
      <w:tblPr>
        <w:tblW w:w="13518" w:type="dxa"/>
        <w:tblLayout w:type="fixed"/>
        <w:tblLook w:val="04A0" w:firstRow="1" w:lastRow="0" w:firstColumn="1" w:lastColumn="0" w:noHBand="0" w:noVBand="1"/>
      </w:tblPr>
      <w:tblGrid>
        <w:gridCol w:w="3238"/>
        <w:gridCol w:w="1472"/>
        <w:gridCol w:w="1257"/>
        <w:gridCol w:w="977"/>
        <w:gridCol w:w="862"/>
        <w:gridCol w:w="1461"/>
        <w:gridCol w:w="1155"/>
        <w:gridCol w:w="1435"/>
        <w:gridCol w:w="1620"/>
        <w:gridCol w:w="41"/>
      </w:tblGrid>
      <w:tr w:rsidR="007D7243" w:rsidRPr="00EF2F18" w14:paraId="1760CC5C" w14:textId="77777777" w:rsidTr="00752CA0">
        <w:trPr>
          <w:trHeight w:val="336"/>
        </w:trPr>
        <w:tc>
          <w:tcPr>
            <w:tcW w:w="13518"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06CD91D8"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2.2.1. Подршка привредном сектору у оптимизацији коришћења циркуларних ресурса</w:t>
            </w:r>
          </w:p>
        </w:tc>
      </w:tr>
      <w:tr w:rsidR="007D7243" w:rsidRPr="00EF2F18" w14:paraId="698D2D4F" w14:textId="77777777" w:rsidTr="00752CA0">
        <w:trPr>
          <w:trHeight w:val="336"/>
        </w:trPr>
        <w:tc>
          <w:tcPr>
            <w:tcW w:w="13518"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778CA46F"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w:t>
            </w:r>
          </w:p>
        </w:tc>
      </w:tr>
      <w:tr w:rsidR="007D7243" w:rsidRPr="00EF2F18" w14:paraId="68233B4B" w14:textId="77777777" w:rsidTr="00752CA0">
        <w:trPr>
          <w:trHeight w:val="336"/>
        </w:trPr>
        <w:tc>
          <w:tcPr>
            <w:tcW w:w="694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68101A9F" w14:textId="4C0D41CA"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80031B"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574" w:type="dxa"/>
            <w:gridSpan w:val="6"/>
            <w:tcBorders>
              <w:top w:val="double" w:sz="6" w:space="0" w:color="auto"/>
              <w:left w:val="nil"/>
              <w:bottom w:val="double" w:sz="6" w:space="0" w:color="auto"/>
              <w:right w:val="double" w:sz="6" w:space="0" w:color="auto"/>
            </w:tcBorders>
            <w:shd w:val="clear" w:color="000000" w:fill="F7CAAC"/>
            <w:vAlign w:val="center"/>
            <w:hideMark/>
          </w:tcPr>
          <w:p w14:paraId="4CDA2751" w14:textId="4F32A5D3" w:rsidR="007D7243" w:rsidRPr="00EF2F18" w:rsidRDefault="00E82F7B" w:rsidP="00752CA0">
            <w:pPr>
              <w:spacing w:after="0"/>
              <w:rPr>
                <w:rFonts w:eastAsia="Times New Roman" w:cs="Times New Roman"/>
                <w:color w:val="000000"/>
                <w:sz w:val="20"/>
                <w:szCs w:val="20"/>
                <w:lang w:val="sr-Cyrl-RS" w:eastAsia="sr-Cyrl-RS"/>
              </w:rPr>
            </w:pPr>
            <w:r>
              <w:rPr>
                <w:rFonts w:eastAsia="Times New Roman" w:cs="Times New Roman"/>
                <w:color w:val="000000"/>
                <w:sz w:val="20"/>
                <w:szCs w:val="20"/>
                <w:lang w:val="sr-Cyrl-RS" w:eastAsia="sr-Cyrl-RS"/>
              </w:rPr>
              <w:t xml:space="preserve">Тип мере: </w:t>
            </w:r>
            <w:r w:rsidR="004F5DA7">
              <w:rPr>
                <w:rFonts w:eastAsia="Times New Roman" w:cs="Times New Roman"/>
                <w:color w:val="000000"/>
                <w:sz w:val="20"/>
                <w:szCs w:val="20"/>
                <w:lang w:val="sr-Cyrl-RS" w:eastAsia="sr-Cyrl-RS"/>
              </w:rPr>
              <w:t>информативно</w:t>
            </w:r>
            <w:r>
              <w:rPr>
                <w:rFonts w:eastAsia="Times New Roman" w:cs="Times New Roman"/>
                <w:color w:val="000000"/>
                <w:sz w:val="20"/>
                <w:szCs w:val="20"/>
                <w:lang w:val="sr-Cyrl-RS" w:eastAsia="sr-Cyrl-RS"/>
              </w:rPr>
              <w:t>-</w:t>
            </w:r>
            <w:r w:rsidR="007D7243" w:rsidRPr="00EF2F18">
              <w:rPr>
                <w:rFonts w:eastAsia="Times New Roman" w:cs="Times New Roman"/>
                <w:color w:val="000000"/>
                <w:sz w:val="20"/>
                <w:szCs w:val="20"/>
                <w:lang w:val="sr-Cyrl-RS" w:eastAsia="sr-Cyrl-RS"/>
              </w:rPr>
              <w:t>едукативна</w:t>
            </w:r>
          </w:p>
        </w:tc>
      </w:tr>
      <w:tr w:rsidR="007D7243" w:rsidRPr="00EF2F18" w14:paraId="7C15B86D" w14:textId="77777777" w:rsidTr="00752CA0">
        <w:trPr>
          <w:trHeight w:val="336"/>
        </w:trPr>
        <w:tc>
          <w:tcPr>
            <w:tcW w:w="694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2AA6A98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574" w:type="dxa"/>
            <w:gridSpan w:val="6"/>
            <w:tcBorders>
              <w:top w:val="double" w:sz="6" w:space="0" w:color="auto"/>
              <w:left w:val="nil"/>
              <w:bottom w:val="double" w:sz="6" w:space="0" w:color="auto"/>
              <w:right w:val="double" w:sz="6" w:space="0" w:color="auto"/>
            </w:tcBorders>
            <w:shd w:val="clear" w:color="000000" w:fill="F7CAAC"/>
            <w:vAlign w:val="center"/>
            <w:hideMark/>
          </w:tcPr>
          <w:p w14:paraId="56C26E7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80031B" w:rsidRPr="00EF2F18" w14:paraId="302F32CE" w14:textId="77777777" w:rsidTr="0080031B">
        <w:trPr>
          <w:gridAfter w:val="1"/>
          <w:wAfter w:w="41" w:type="dxa"/>
          <w:trHeight w:val="816"/>
        </w:trPr>
        <w:tc>
          <w:tcPr>
            <w:tcW w:w="3238" w:type="dxa"/>
            <w:tcBorders>
              <w:top w:val="nil"/>
              <w:left w:val="double" w:sz="6" w:space="0" w:color="auto"/>
              <w:bottom w:val="double" w:sz="6" w:space="0" w:color="auto"/>
              <w:right w:val="double" w:sz="6" w:space="0" w:color="auto"/>
            </w:tcBorders>
            <w:shd w:val="clear" w:color="000000" w:fill="D9D9D9"/>
            <w:hideMark/>
          </w:tcPr>
          <w:p w14:paraId="685139F0"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472" w:type="dxa"/>
            <w:tcBorders>
              <w:top w:val="nil"/>
              <w:left w:val="nil"/>
              <w:bottom w:val="double" w:sz="6" w:space="0" w:color="auto"/>
              <w:right w:val="double" w:sz="6" w:space="0" w:color="auto"/>
            </w:tcBorders>
            <w:shd w:val="clear" w:color="000000" w:fill="D9D9D9"/>
            <w:hideMark/>
          </w:tcPr>
          <w:p w14:paraId="0F288E46"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57" w:type="dxa"/>
            <w:tcBorders>
              <w:top w:val="nil"/>
              <w:left w:val="nil"/>
              <w:bottom w:val="double" w:sz="6" w:space="0" w:color="auto"/>
              <w:right w:val="double" w:sz="6" w:space="0" w:color="auto"/>
            </w:tcBorders>
            <w:shd w:val="clear" w:color="000000" w:fill="D9D9D9"/>
            <w:hideMark/>
          </w:tcPr>
          <w:p w14:paraId="21E6BDFE"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39" w:type="dxa"/>
            <w:gridSpan w:val="2"/>
            <w:tcBorders>
              <w:top w:val="double" w:sz="6" w:space="0" w:color="auto"/>
              <w:left w:val="nil"/>
              <w:bottom w:val="double" w:sz="6" w:space="0" w:color="auto"/>
              <w:right w:val="double" w:sz="6" w:space="0" w:color="auto"/>
            </w:tcBorders>
            <w:shd w:val="clear" w:color="000000" w:fill="D9D9D9"/>
            <w:hideMark/>
          </w:tcPr>
          <w:p w14:paraId="2C137358"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61" w:type="dxa"/>
            <w:tcBorders>
              <w:top w:val="nil"/>
              <w:left w:val="nil"/>
              <w:bottom w:val="double" w:sz="6" w:space="0" w:color="auto"/>
              <w:right w:val="double" w:sz="6" w:space="0" w:color="auto"/>
            </w:tcBorders>
            <w:shd w:val="clear" w:color="000000" w:fill="D9D9D9"/>
            <w:hideMark/>
          </w:tcPr>
          <w:p w14:paraId="013CC80C"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155" w:type="dxa"/>
            <w:tcBorders>
              <w:top w:val="nil"/>
              <w:left w:val="nil"/>
              <w:bottom w:val="double" w:sz="6" w:space="0" w:color="auto"/>
              <w:right w:val="double" w:sz="6" w:space="0" w:color="auto"/>
            </w:tcBorders>
            <w:shd w:val="clear" w:color="000000" w:fill="D9D9D9"/>
            <w:hideMark/>
          </w:tcPr>
          <w:p w14:paraId="23FFED32"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35" w:type="dxa"/>
            <w:tcBorders>
              <w:top w:val="nil"/>
              <w:left w:val="nil"/>
              <w:bottom w:val="double" w:sz="6" w:space="0" w:color="auto"/>
              <w:right w:val="double" w:sz="6" w:space="0" w:color="auto"/>
            </w:tcBorders>
            <w:shd w:val="clear" w:color="000000" w:fill="D9D9D9"/>
            <w:hideMark/>
          </w:tcPr>
          <w:p w14:paraId="2C3B6B6C"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tcBorders>
              <w:top w:val="nil"/>
              <w:left w:val="nil"/>
              <w:bottom w:val="double" w:sz="6" w:space="0" w:color="auto"/>
              <w:right w:val="double" w:sz="6" w:space="0" w:color="auto"/>
            </w:tcBorders>
            <w:shd w:val="clear" w:color="000000" w:fill="D9D9D9"/>
            <w:hideMark/>
          </w:tcPr>
          <w:p w14:paraId="7E94DEAB"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80031B" w:rsidRPr="00EF2F18" w14:paraId="267A9CDA" w14:textId="77777777" w:rsidTr="00120DE6">
        <w:trPr>
          <w:gridAfter w:val="1"/>
          <w:wAfter w:w="41" w:type="dxa"/>
          <w:trHeight w:val="1344"/>
        </w:trPr>
        <w:tc>
          <w:tcPr>
            <w:tcW w:w="3238" w:type="dxa"/>
            <w:tcBorders>
              <w:top w:val="single" w:sz="4" w:space="0" w:color="auto"/>
              <w:left w:val="double" w:sz="6" w:space="0" w:color="auto"/>
              <w:bottom w:val="double" w:sz="6" w:space="0" w:color="auto"/>
              <w:right w:val="double" w:sz="6" w:space="0" w:color="auto"/>
            </w:tcBorders>
            <w:hideMark/>
          </w:tcPr>
          <w:p w14:paraId="1DBCE1A1"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Степен припреме за поновну употребу, рециклажу и другу поновну употребу материјала, укључујући и поступке насипања, неопасног грађевинског отпада</w:t>
            </w:r>
          </w:p>
        </w:tc>
        <w:tc>
          <w:tcPr>
            <w:tcW w:w="1472" w:type="dxa"/>
            <w:tcBorders>
              <w:top w:val="single" w:sz="4" w:space="0" w:color="auto"/>
              <w:left w:val="nil"/>
              <w:bottom w:val="double" w:sz="6" w:space="0" w:color="auto"/>
              <w:right w:val="double" w:sz="6" w:space="0" w:color="auto"/>
            </w:tcBorders>
            <w:shd w:val="clear" w:color="000000" w:fill="FFFFFF"/>
            <w:hideMark/>
          </w:tcPr>
          <w:p w14:paraId="72289A54"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57" w:type="dxa"/>
            <w:tcBorders>
              <w:top w:val="single" w:sz="4" w:space="0" w:color="auto"/>
              <w:left w:val="nil"/>
              <w:bottom w:val="double" w:sz="6" w:space="0" w:color="auto"/>
              <w:right w:val="double" w:sz="6" w:space="0" w:color="auto"/>
            </w:tcBorders>
            <w:shd w:val="clear" w:color="000000" w:fill="FFFFFF"/>
            <w:hideMark/>
          </w:tcPr>
          <w:p w14:paraId="1AB5753D"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АЗЖС, Извештај о стању животне средине </w:t>
            </w:r>
          </w:p>
        </w:tc>
        <w:tc>
          <w:tcPr>
            <w:tcW w:w="1839" w:type="dxa"/>
            <w:gridSpan w:val="2"/>
            <w:tcBorders>
              <w:top w:val="single" w:sz="4" w:space="0" w:color="auto"/>
              <w:left w:val="nil"/>
              <w:bottom w:val="double" w:sz="6" w:space="0" w:color="auto"/>
              <w:right w:val="double" w:sz="6" w:space="0" w:color="auto"/>
            </w:tcBorders>
            <w:shd w:val="clear" w:color="000000" w:fill="FFFFFF"/>
            <w:hideMark/>
          </w:tcPr>
          <w:p w14:paraId="3E5F6E37"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w:t>
            </w:r>
          </w:p>
        </w:tc>
        <w:tc>
          <w:tcPr>
            <w:tcW w:w="1461" w:type="dxa"/>
            <w:tcBorders>
              <w:top w:val="single" w:sz="4" w:space="0" w:color="auto"/>
              <w:left w:val="nil"/>
              <w:bottom w:val="double" w:sz="6" w:space="0" w:color="auto"/>
              <w:right w:val="double" w:sz="6" w:space="0" w:color="auto"/>
            </w:tcBorders>
            <w:shd w:val="clear" w:color="000000" w:fill="FFFFFF"/>
            <w:hideMark/>
          </w:tcPr>
          <w:p w14:paraId="6E1411A3"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2021.</w:t>
            </w:r>
          </w:p>
        </w:tc>
        <w:tc>
          <w:tcPr>
            <w:tcW w:w="1155" w:type="dxa"/>
            <w:tcBorders>
              <w:top w:val="single" w:sz="4" w:space="0" w:color="auto"/>
              <w:left w:val="nil"/>
              <w:bottom w:val="double" w:sz="6" w:space="0" w:color="auto"/>
              <w:right w:val="double" w:sz="6" w:space="0" w:color="auto"/>
            </w:tcBorders>
            <w:shd w:val="clear" w:color="000000" w:fill="FFFFFF"/>
            <w:hideMark/>
          </w:tcPr>
          <w:p w14:paraId="737C8941"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w:t>
            </w:r>
          </w:p>
        </w:tc>
        <w:tc>
          <w:tcPr>
            <w:tcW w:w="1435" w:type="dxa"/>
            <w:tcBorders>
              <w:top w:val="single" w:sz="4" w:space="0" w:color="auto"/>
              <w:left w:val="nil"/>
              <w:bottom w:val="double" w:sz="6" w:space="0" w:color="auto"/>
              <w:right w:val="double" w:sz="6" w:space="0" w:color="auto"/>
            </w:tcBorders>
            <w:shd w:val="clear" w:color="000000" w:fill="FFFFFF"/>
            <w:hideMark/>
          </w:tcPr>
          <w:p w14:paraId="0BAA6AEB"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w:t>
            </w:r>
          </w:p>
        </w:tc>
        <w:tc>
          <w:tcPr>
            <w:tcW w:w="1620" w:type="dxa"/>
            <w:tcBorders>
              <w:top w:val="single" w:sz="4" w:space="0" w:color="auto"/>
              <w:left w:val="nil"/>
              <w:bottom w:val="double" w:sz="6" w:space="0" w:color="auto"/>
              <w:right w:val="double" w:sz="6" w:space="0" w:color="auto"/>
            </w:tcBorders>
            <w:shd w:val="clear" w:color="000000" w:fill="FFFFFF"/>
            <w:hideMark/>
          </w:tcPr>
          <w:p w14:paraId="23D466DB"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w:t>
            </w:r>
          </w:p>
        </w:tc>
      </w:tr>
      <w:tr w:rsidR="0080031B" w:rsidRPr="00EF2F18" w14:paraId="50BA87B3" w14:textId="77777777" w:rsidTr="0080031B">
        <w:trPr>
          <w:gridAfter w:val="1"/>
          <w:wAfter w:w="41" w:type="dxa"/>
          <w:trHeight w:val="1080"/>
        </w:trPr>
        <w:tc>
          <w:tcPr>
            <w:tcW w:w="3238" w:type="dxa"/>
            <w:tcBorders>
              <w:top w:val="nil"/>
              <w:left w:val="double" w:sz="6" w:space="0" w:color="auto"/>
              <w:bottom w:val="double" w:sz="6" w:space="0" w:color="auto"/>
              <w:right w:val="double" w:sz="6" w:space="0" w:color="auto"/>
            </w:tcBorders>
            <w:hideMark/>
          </w:tcPr>
          <w:p w14:paraId="48E02100"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Број привредних субјеката укључен у програме едукације из области циркуларне економије и индустријске симбиозе, укупно </w:t>
            </w:r>
          </w:p>
        </w:tc>
        <w:tc>
          <w:tcPr>
            <w:tcW w:w="1472" w:type="dxa"/>
            <w:tcBorders>
              <w:top w:val="nil"/>
              <w:left w:val="nil"/>
              <w:bottom w:val="double" w:sz="6" w:space="0" w:color="auto"/>
              <w:right w:val="double" w:sz="6" w:space="0" w:color="auto"/>
            </w:tcBorders>
            <w:shd w:val="clear" w:color="000000" w:fill="FFFFFF"/>
            <w:hideMark/>
          </w:tcPr>
          <w:p w14:paraId="595ED39E" w14:textId="3C694F9C"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број </w:t>
            </w:r>
          </w:p>
        </w:tc>
        <w:tc>
          <w:tcPr>
            <w:tcW w:w="1257" w:type="dxa"/>
            <w:tcBorders>
              <w:top w:val="nil"/>
              <w:left w:val="nil"/>
              <w:bottom w:val="double" w:sz="6" w:space="0" w:color="auto"/>
              <w:right w:val="double" w:sz="6" w:space="0" w:color="auto"/>
            </w:tcBorders>
            <w:shd w:val="clear" w:color="000000" w:fill="FFFFFF"/>
            <w:hideMark/>
          </w:tcPr>
          <w:p w14:paraId="25E92D57"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Извештај МЗЖС </w:t>
            </w:r>
          </w:p>
        </w:tc>
        <w:tc>
          <w:tcPr>
            <w:tcW w:w="1839" w:type="dxa"/>
            <w:gridSpan w:val="2"/>
            <w:tcBorders>
              <w:top w:val="double" w:sz="6" w:space="0" w:color="auto"/>
              <w:left w:val="nil"/>
              <w:bottom w:val="double" w:sz="6" w:space="0" w:color="auto"/>
              <w:right w:val="double" w:sz="6" w:space="0" w:color="auto"/>
            </w:tcBorders>
            <w:shd w:val="clear" w:color="000000" w:fill="FFFFFF"/>
            <w:hideMark/>
          </w:tcPr>
          <w:p w14:paraId="7D7D2D61"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461" w:type="dxa"/>
            <w:tcBorders>
              <w:top w:val="nil"/>
              <w:left w:val="nil"/>
              <w:bottom w:val="double" w:sz="6" w:space="0" w:color="auto"/>
              <w:right w:val="double" w:sz="6" w:space="0" w:color="auto"/>
            </w:tcBorders>
            <w:shd w:val="clear" w:color="000000" w:fill="FFFFFF"/>
            <w:hideMark/>
          </w:tcPr>
          <w:p w14:paraId="4642ED15"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2021.</w:t>
            </w:r>
          </w:p>
        </w:tc>
        <w:tc>
          <w:tcPr>
            <w:tcW w:w="1155" w:type="dxa"/>
            <w:tcBorders>
              <w:top w:val="nil"/>
              <w:left w:val="nil"/>
              <w:bottom w:val="double" w:sz="6" w:space="0" w:color="auto"/>
              <w:right w:val="double" w:sz="6" w:space="0" w:color="auto"/>
            </w:tcBorders>
            <w:shd w:val="clear" w:color="000000" w:fill="FFFFFF"/>
            <w:hideMark/>
          </w:tcPr>
          <w:p w14:paraId="33E660F1"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w:t>
            </w:r>
          </w:p>
        </w:tc>
        <w:tc>
          <w:tcPr>
            <w:tcW w:w="1435" w:type="dxa"/>
            <w:tcBorders>
              <w:top w:val="nil"/>
              <w:left w:val="nil"/>
              <w:bottom w:val="double" w:sz="6" w:space="0" w:color="auto"/>
              <w:right w:val="double" w:sz="6" w:space="0" w:color="auto"/>
            </w:tcBorders>
            <w:shd w:val="clear" w:color="000000" w:fill="FFFFFF"/>
            <w:hideMark/>
          </w:tcPr>
          <w:p w14:paraId="2821D67E"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150</w:t>
            </w:r>
          </w:p>
        </w:tc>
        <w:tc>
          <w:tcPr>
            <w:tcW w:w="1620" w:type="dxa"/>
            <w:tcBorders>
              <w:top w:val="nil"/>
              <w:left w:val="nil"/>
              <w:bottom w:val="double" w:sz="6" w:space="0" w:color="auto"/>
              <w:right w:val="double" w:sz="6" w:space="0" w:color="auto"/>
            </w:tcBorders>
            <w:shd w:val="clear" w:color="000000" w:fill="FFFFFF"/>
            <w:hideMark/>
          </w:tcPr>
          <w:p w14:paraId="352E6A8E"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w:t>
            </w:r>
          </w:p>
        </w:tc>
      </w:tr>
      <w:tr w:rsidR="0080031B" w:rsidRPr="00EF2F18" w14:paraId="6DD22545" w14:textId="77777777" w:rsidTr="0080031B">
        <w:trPr>
          <w:gridAfter w:val="1"/>
          <w:wAfter w:w="41" w:type="dxa"/>
          <w:trHeight w:val="1080"/>
        </w:trPr>
        <w:tc>
          <w:tcPr>
            <w:tcW w:w="3238" w:type="dxa"/>
            <w:tcBorders>
              <w:top w:val="nil"/>
              <w:left w:val="double" w:sz="6" w:space="0" w:color="auto"/>
              <w:bottom w:val="double" w:sz="6" w:space="0" w:color="auto"/>
              <w:right w:val="double" w:sz="6" w:space="0" w:color="auto"/>
            </w:tcBorders>
            <w:hideMark/>
          </w:tcPr>
          <w:p w14:paraId="1EF4CE1F"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Успостављена дигитална интерактивна платформа о производним остацима и циркуларним ресурсима </w:t>
            </w:r>
          </w:p>
        </w:tc>
        <w:tc>
          <w:tcPr>
            <w:tcW w:w="1472" w:type="dxa"/>
            <w:tcBorders>
              <w:top w:val="nil"/>
              <w:left w:val="nil"/>
              <w:bottom w:val="double" w:sz="6" w:space="0" w:color="auto"/>
              <w:right w:val="double" w:sz="6" w:space="0" w:color="auto"/>
            </w:tcBorders>
            <w:shd w:val="clear" w:color="000000" w:fill="FFFFFF"/>
            <w:hideMark/>
          </w:tcPr>
          <w:p w14:paraId="30944AE9" w14:textId="57692E2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 делимично/да</w:t>
            </w:r>
          </w:p>
        </w:tc>
        <w:tc>
          <w:tcPr>
            <w:tcW w:w="1257" w:type="dxa"/>
            <w:tcBorders>
              <w:top w:val="nil"/>
              <w:left w:val="nil"/>
              <w:bottom w:val="double" w:sz="6" w:space="0" w:color="auto"/>
              <w:right w:val="double" w:sz="6" w:space="0" w:color="auto"/>
            </w:tcBorders>
            <w:shd w:val="clear" w:color="000000" w:fill="FFFFFF"/>
            <w:hideMark/>
          </w:tcPr>
          <w:p w14:paraId="440AA9B5"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Извештај МЗЖС </w:t>
            </w:r>
          </w:p>
        </w:tc>
        <w:tc>
          <w:tcPr>
            <w:tcW w:w="1839" w:type="dxa"/>
            <w:gridSpan w:val="2"/>
            <w:tcBorders>
              <w:top w:val="double" w:sz="6" w:space="0" w:color="auto"/>
              <w:left w:val="nil"/>
              <w:bottom w:val="double" w:sz="6" w:space="0" w:color="auto"/>
              <w:right w:val="double" w:sz="6" w:space="0" w:color="auto"/>
            </w:tcBorders>
            <w:shd w:val="clear" w:color="000000" w:fill="FFFFFF"/>
            <w:hideMark/>
          </w:tcPr>
          <w:p w14:paraId="681D4F28"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461" w:type="dxa"/>
            <w:tcBorders>
              <w:top w:val="nil"/>
              <w:left w:val="nil"/>
              <w:bottom w:val="double" w:sz="6" w:space="0" w:color="auto"/>
              <w:right w:val="double" w:sz="6" w:space="0" w:color="auto"/>
            </w:tcBorders>
            <w:shd w:val="clear" w:color="000000" w:fill="FFFFFF"/>
            <w:hideMark/>
          </w:tcPr>
          <w:p w14:paraId="47729988"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55" w:type="dxa"/>
            <w:tcBorders>
              <w:top w:val="nil"/>
              <w:left w:val="nil"/>
              <w:bottom w:val="double" w:sz="6" w:space="0" w:color="auto"/>
              <w:right w:val="double" w:sz="6" w:space="0" w:color="auto"/>
            </w:tcBorders>
            <w:shd w:val="clear" w:color="000000" w:fill="FFFFFF"/>
            <w:hideMark/>
          </w:tcPr>
          <w:p w14:paraId="40864ACD"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1435" w:type="dxa"/>
            <w:tcBorders>
              <w:top w:val="nil"/>
              <w:left w:val="nil"/>
              <w:bottom w:val="double" w:sz="6" w:space="0" w:color="auto"/>
              <w:right w:val="double" w:sz="6" w:space="0" w:color="auto"/>
            </w:tcBorders>
            <w:shd w:val="clear" w:color="000000" w:fill="FFFFFF"/>
            <w:hideMark/>
          </w:tcPr>
          <w:p w14:paraId="7AF062C6"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620" w:type="dxa"/>
            <w:tcBorders>
              <w:top w:val="nil"/>
              <w:left w:val="nil"/>
              <w:bottom w:val="double" w:sz="6" w:space="0" w:color="auto"/>
              <w:right w:val="double" w:sz="6" w:space="0" w:color="auto"/>
            </w:tcBorders>
            <w:shd w:val="clear" w:color="000000" w:fill="FFFFFF"/>
            <w:hideMark/>
          </w:tcPr>
          <w:p w14:paraId="730A50FE"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80031B" w:rsidRPr="00EF2F18" w14:paraId="6425748B" w14:textId="77777777" w:rsidTr="0080031B">
        <w:trPr>
          <w:gridAfter w:val="1"/>
          <w:wAfter w:w="41" w:type="dxa"/>
          <w:trHeight w:val="816"/>
        </w:trPr>
        <w:tc>
          <w:tcPr>
            <w:tcW w:w="3238" w:type="dxa"/>
            <w:tcBorders>
              <w:top w:val="nil"/>
              <w:left w:val="double" w:sz="6" w:space="0" w:color="auto"/>
              <w:bottom w:val="double" w:sz="6" w:space="0" w:color="auto"/>
              <w:right w:val="double" w:sz="6" w:space="0" w:color="auto"/>
            </w:tcBorders>
            <w:hideMark/>
          </w:tcPr>
          <w:p w14:paraId="31ECB1CB"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Укупан број додељених иновативних ваучера у циљу примене модела циркуларне економије, укупно </w:t>
            </w:r>
          </w:p>
        </w:tc>
        <w:tc>
          <w:tcPr>
            <w:tcW w:w="1472" w:type="dxa"/>
            <w:tcBorders>
              <w:top w:val="nil"/>
              <w:left w:val="nil"/>
              <w:bottom w:val="double" w:sz="6" w:space="0" w:color="auto"/>
              <w:right w:val="double" w:sz="6" w:space="0" w:color="auto"/>
            </w:tcBorders>
            <w:shd w:val="clear" w:color="000000" w:fill="FFFFFF"/>
            <w:hideMark/>
          </w:tcPr>
          <w:p w14:paraId="606D779C" w14:textId="27DC68B0"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број </w:t>
            </w:r>
          </w:p>
        </w:tc>
        <w:tc>
          <w:tcPr>
            <w:tcW w:w="1257" w:type="dxa"/>
            <w:tcBorders>
              <w:top w:val="nil"/>
              <w:left w:val="nil"/>
              <w:bottom w:val="double" w:sz="6" w:space="0" w:color="auto"/>
              <w:right w:val="double" w:sz="6" w:space="0" w:color="auto"/>
            </w:tcBorders>
            <w:shd w:val="clear" w:color="000000" w:fill="FFFFFF"/>
            <w:hideMark/>
          </w:tcPr>
          <w:p w14:paraId="629284B8"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Извештај МЗЖС </w:t>
            </w:r>
          </w:p>
        </w:tc>
        <w:tc>
          <w:tcPr>
            <w:tcW w:w="1839" w:type="dxa"/>
            <w:gridSpan w:val="2"/>
            <w:tcBorders>
              <w:top w:val="double" w:sz="6" w:space="0" w:color="auto"/>
              <w:left w:val="nil"/>
              <w:bottom w:val="double" w:sz="6" w:space="0" w:color="auto"/>
              <w:right w:val="double" w:sz="6" w:space="0" w:color="auto"/>
            </w:tcBorders>
            <w:shd w:val="clear" w:color="000000" w:fill="FFFFFF"/>
            <w:hideMark/>
          </w:tcPr>
          <w:p w14:paraId="29FA7A03"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w:t>
            </w:r>
          </w:p>
        </w:tc>
        <w:tc>
          <w:tcPr>
            <w:tcW w:w="1461" w:type="dxa"/>
            <w:tcBorders>
              <w:top w:val="nil"/>
              <w:left w:val="nil"/>
              <w:bottom w:val="double" w:sz="6" w:space="0" w:color="auto"/>
              <w:right w:val="double" w:sz="6" w:space="0" w:color="auto"/>
            </w:tcBorders>
            <w:shd w:val="clear" w:color="000000" w:fill="FFFFFF"/>
            <w:hideMark/>
          </w:tcPr>
          <w:p w14:paraId="09277F8A"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55" w:type="dxa"/>
            <w:tcBorders>
              <w:top w:val="nil"/>
              <w:left w:val="nil"/>
              <w:bottom w:val="double" w:sz="6" w:space="0" w:color="auto"/>
              <w:right w:val="double" w:sz="6" w:space="0" w:color="auto"/>
            </w:tcBorders>
            <w:shd w:val="clear" w:color="000000" w:fill="FFFFFF"/>
            <w:hideMark/>
          </w:tcPr>
          <w:p w14:paraId="0298BB8F"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45</w:t>
            </w:r>
          </w:p>
        </w:tc>
        <w:tc>
          <w:tcPr>
            <w:tcW w:w="1435" w:type="dxa"/>
            <w:tcBorders>
              <w:top w:val="nil"/>
              <w:left w:val="nil"/>
              <w:bottom w:val="double" w:sz="6" w:space="0" w:color="auto"/>
              <w:right w:val="double" w:sz="6" w:space="0" w:color="auto"/>
            </w:tcBorders>
            <w:shd w:val="clear" w:color="000000" w:fill="FFFFFF"/>
            <w:hideMark/>
          </w:tcPr>
          <w:p w14:paraId="3860014A"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w:t>
            </w:r>
          </w:p>
        </w:tc>
        <w:tc>
          <w:tcPr>
            <w:tcW w:w="1620" w:type="dxa"/>
            <w:tcBorders>
              <w:top w:val="nil"/>
              <w:left w:val="nil"/>
              <w:bottom w:val="double" w:sz="6" w:space="0" w:color="auto"/>
              <w:right w:val="double" w:sz="6" w:space="0" w:color="auto"/>
            </w:tcBorders>
            <w:shd w:val="clear" w:color="000000" w:fill="FFFFFF"/>
            <w:hideMark/>
          </w:tcPr>
          <w:p w14:paraId="561E5165"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bl>
    <w:p w14:paraId="0BF4E512" w14:textId="77777777" w:rsidR="007D7243" w:rsidRPr="00EF2F18" w:rsidRDefault="007D7243" w:rsidP="007D7243">
      <w:pPr>
        <w:spacing w:after="0"/>
        <w:rPr>
          <w:rFonts w:cs="Times New Roman"/>
          <w:sz w:val="20"/>
          <w:szCs w:val="20"/>
          <w:lang w:val="sr-Cyrl-RS"/>
        </w:rPr>
      </w:pPr>
    </w:p>
    <w:tbl>
      <w:tblPr>
        <w:tblW w:w="135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71"/>
        <w:gridCol w:w="2564"/>
        <w:gridCol w:w="2300"/>
        <w:gridCol w:w="2520"/>
        <w:gridCol w:w="2430"/>
        <w:gridCol w:w="30"/>
      </w:tblGrid>
      <w:tr w:rsidR="007D7243" w:rsidRPr="00EF2F18" w14:paraId="62A6F328" w14:textId="77777777" w:rsidTr="00752CA0">
        <w:trPr>
          <w:trHeight w:val="336"/>
        </w:trPr>
        <w:tc>
          <w:tcPr>
            <w:tcW w:w="3671" w:type="dxa"/>
            <w:vMerge w:val="restart"/>
            <w:shd w:val="clear" w:color="000000" w:fill="A8D08D"/>
            <w:hideMark/>
          </w:tcPr>
          <w:p w14:paraId="4D049E9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64" w:type="dxa"/>
            <w:vMerge w:val="restart"/>
            <w:shd w:val="clear" w:color="000000" w:fill="A8D08D"/>
            <w:hideMark/>
          </w:tcPr>
          <w:p w14:paraId="4544991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4"/>
            <w:shd w:val="clear" w:color="000000" w:fill="A8D08D"/>
            <w:hideMark/>
          </w:tcPr>
          <w:p w14:paraId="73B0D9F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80031B" w:rsidRPr="00EF2F18" w14:paraId="4794E540" w14:textId="77777777" w:rsidTr="0080031B">
        <w:trPr>
          <w:gridAfter w:val="1"/>
          <w:wAfter w:w="30" w:type="dxa"/>
          <w:trHeight w:val="336"/>
        </w:trPr>
        <w:tc>
          <w:tcPr>
            <w:tcW w:w="3671" w:type="dxa"/>
            <w:vMerge/>
            <w:vAlign w:val="center"/>
            <w:hideMark/>
          </w:tcPr>
          <w:p w14:paraId="39CB2D4F"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564" w:type="dxa"/>
            <w:vMerge/>
            <w:vAlign w:val="center"/>
            <w:hideMark/>
          </w:tcPr>
          <w:p w14:paraId="4295F921"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300" w:type="dxa"/>
            <w:shd w:val="clear" w:color="000000" w:fill="A8D08D"/>
            <w:hideMark/>
          </w:tcPr>
          <w:p w14:paraId="5C66562B" w14:textId="0270EA6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520" w:type="dxa"/>
            <w:shd w:val="clear" w:color="000000" w:fill="A8D08D"/>
            <w:hideMark/>
          </w:tcPr>
          <w:p w14:paraId="5D049EE3" w14:textId="7CFD2C76"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430" w:type="dxa"/>
            <w:tcBorders>
              <w:bottom w:val="double" w:sz="4" w:space="0" w:color="auto"/>
            </w:tcBorders>
            <w:shd w:val="clear" w:color="000000" w:fill="A8D08D"/>
            <w:hideMark/>
          </w:tcPr>
          <w:p w14:paraId="1550608E" w14:textId="60BB0295"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80031B" w:rsidRPr="00EF2F18" w14:paraId="2113F343" w14:textId="77777777" w:rsidTr="0080031B">
        <w:trPr>
          <w:gridAfter w:val="1"/>
          <w:wAfter w:w="30" w:type="dxa"/>
          <w:trHeight w:val="324"/>
        </w:trPr>
        <w:tc>
          <w:tcPr>
            <w:tcW w:w="3671" w:type="dxa"/>
            <w:vMerge w:val="restart"/>
            <w:hideMark/>
          </w:tcPr>
          <w:p w14:paraId="362BB4E6"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(МЗЖС)</w:t>
            </w:r>
          </w:p>
        </w:tc>
        <w:tc>
          <w:tcPr>
            <w:tcW w:w="2564" w:type="dxa"/>
            <w:hideMark/>
          </w:tcPr>
          <w:p w14:paraId="45C79D91"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0406-560-4021-512</w:t>
            </w:r>
          </w:p>
        </w:tc>
        <w:tc>
          <w:tcPr>
            <w:tcW w:w="2300" w:type="dxa"/>
            <w:hideMark/>
          </w:tcPr>
          <w:p w14:paraId="647100F1" w14:textId="6A5DA24D" w:rsidR="0080031B" w:rsidRPr="00EF2F18" w:rsidRDefault="006104C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83.424</w:t>
            </w:r>
          </w:p>
        </w:tc>
        <w:tc>
          <w:tcPr>
            <w:tcW w:w="2520" w:type="dxa"/>
            <w:hideMark/>
          </w:tcPr>
          <w:p w14:paraId="5E3E0E17"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2430" w:type="dxa"/>
            <w:vMerge w:val="restart"/>
            <w:hideMark/>
          </w:tcPr>
          <w:p w14:paraId="0DAF81D1" w14:textId="5D09B722" w:rsidR="0080031B" w:rsidRPr="00EF2F18" w:rsidRDefault="006104C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125.136</w:t>
            </w:r>
            <w:r w:rsidR="0080031B" w:rsidRPr="00EF2F18">
              <w:rPr>
                <w:rFonts w:eastAsia="Times New Roman" w:cs="Times New Roman"/>
                <w:color w:val="000000"/>
                <w:sz w:val="20"/>
                <w:szCs w:val="20"/>
                <w:lang w:val="sr-Cyrl-RS" w:eastAsia="sr-Cyrl-RS"/>
              </w:rPr>
              <w:t> </w:t>
            </w:r>
          </w:p>
        </w:tc>
      </w:tr>
      <w:tr w:rsidR="0080031B" w:rsidRPr="00EF2F18" w14:paraId="5EB6848D" w14:textId="77777777" w:rsidTr="0080031B">
        <w:trPr>
          <w:gridAfter w:val="1"/>
          <w:wAfter w:w="30" w:type="dxa"/>
          <w:trHeight w:val="324"/>
        </w:trPr>
        <w:tc>
          <w:tcPr>
            <w:tcW w:w="3671" w:type="dxa"/>
            <w:vMerge/>
          </w:tcPr>
          <w:p w14:paraId="15681DFF"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564" w:type="dxa"/>
          </w:tcPr>
          <w:p w14:paraId="56536C25"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0406-560-4021-423</w:t>
            </w:r>
          </w:p>
        </w:tc>
        <w:tc>
          <w:tcPr>
            <w:tcW w:w="2300" w:type="dxa"/>
          </w:tcPr>
          <w:p w14:paraId="1D64DFD0" w14:textId="746F7CB9" w:rsidR="0080031B" w:rsidRPr="00EF2F18" w:rsidRDefault="006104C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w:t>
            </w:r>
          </w:p>
        </w:tc>
        <w:tc>
          <w:tcPr>
            <w:tcW w:w="2520" w:type="dxa"/>
          </w:tcPr>
          <w:p w14:paraId="41EB004F"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11.376</w:t>
            </w:r>
          </w:p>
        </w:tc>
        <w:tc>
          <w:tcPr>
            <w:tcW w:w="2430" w:type="dxa"/>
            <w:vMerge/>
          </w:tcPr>
          <w:p w14:paraId="6F77B70E"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5DE613C7" w14:textId="77777777" w:rsidTr="0080031B">
        <w:trPr>
          <w:gridAfter w:val="1"/>
          <w:wAfter w:w="30" w:type="dxa"/>
          <w:trHeight w:val="324"/>
        </w:trPr>
        <w:tc>
          <w:tcPr>
            <w:tcW w:w="3671" w:type="dxa"/>
            <w:vMerge/>
            <w:vAlign w:val="center"/>
            <w:hideMark/>
          </w:tcPr>
          <w:p w14:paraId="1B0807CA"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564" w:type="dxa"/>
            <w:hideMark/>
          </w:tcPr>
          <w:p w14:paraId="1E1F9FCF"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0405-560-4011-462</w:t>
            </w:r>
          </w:p>
        </w:tc>
        <w:tc>
          <w:tcPr>
            <w:tcW w:w="2300" w:type="dxa"/>
            <w:hideMark/>
          </w:tcPr>
          <w:p w14:paraId="1AA8C9D4"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12.784</w:t>
            </w:r>
          </w:p>
        </w:tc>
        <w:tc>
          <w:tcPr>
            <w:tcW w:w="2520" w:type="dxa"/>
            <w:hideMark/>
          </w:tcPr>
          <w:p w14:paraId="58538A87"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2430" w:type="dxa"/>
            <w:vMerge/>
            <w:vAlign w:val="center"/>
            <w:hideMark/>
          </w:tcPr>
          <w:p w14:paraId="17F645F2"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3FFACFD0" w14:textId="77777777" w:rsidTr="0080031B">
        <w:trPr>
          <w:gridAfter w:val="1"/>
          <w:wAfter w:w="30" w:type="dxa"/>
          <w:trHeight w:val="336"/>
        </w:trPr>
        <w:tc>
          <w:tcPr>
            <w:tcW w:w="3671" w:type="dxa"/>
            <w:vMerge w:val="restart"/>
            <w:hideMark/>
          </w:tcPr>
          <w:p w14:paraId="5E91A257"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tc>
        <w:tc>
          <w:tcPr>
            <w:tcW w:w="2564" w:type="dxa"/>
            <w:hideMark/>
          </w:tcPr>
          <w:p w14:paraId="140DD6C6"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0406-560-4021-512</w:t>
            </w:r>
          </w:p>
        </w:tc>
        <w:tc>
          <w:tcPr>
            <w:tcW w:w="2300" w:type="dxa"/>
            <w:hideMark/>
          </w:tcPr>
          <w:p w14:paraId="6481446D" w14:textId="7B4F63E4" w:rsidR="0080031B" w:rsidRPr="00EF2F18" w:rsidRDefault="006104C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125.136</w:t>
            </w:r>
          </w:p>
        </w:tc>
        <w:tc>
          <w:tcPr>
            <w:tcW w:w="2520" w:type="dxa"/>
            <w:hideMark/>
          </w:tcPr>
          <w:p w14:paraId="4E2AE370"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2430" w:type="dxa"/>
            <w:hideMark/>
          </w:tcPr>
          <w:p w14:paraId="5E64115C" w14:textId="4E4E0D19" w:rsidR="0080031B" w:rsidRPr="00EF2F18" w:rsidRDefault="006104C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187.704</w:t>
            </w:r>
            <w:r w:rsidR="0080031B" w:rsidRPr="00EF2F18">
              <w:rPr>
                <w:rFonts w:eastAsia="Times New Roman" w:cs="Times New Roman"/>
                <w:color w:val="000000"/>
                <w:sz w:val="20"/>
                <w:szCs w:val="20"/>
                <w:lang w:val="sr-Cyrl-RS" w:eastAsia="sr-Cyrl-RS"/>
              </w:rPr>
              <w:t> </w:t>
            </w:r>
          </w:p>
        </w:tc>
      </w:tr>
      <w:tr w:rsidR="0080031B" w:rsidRPr="00EF2F18" w14:paraId="19E9E25E" w14:textId="77777777" w:rsidTr="0080031B">
        <w:trPr>
          <w:gridAfter w:val="1"/>
          <w:wAfter w:w="30" w:type="dxa"/>
          <w:trHeight w:val="336"/>
        </w:trPr>
        <w:tc>
          <w:tcPr>
            <w:tcW w:w="3671" w:type="dxa"/>
            <w:vMerge/>
          </w:tcPr>
          <w:p w14:paraId="14032CCA"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564" w:type="dxa"/>
          </w:tcPr>
          <w:p w14:paraId="58DA0D22"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0406-560-4021-423</w:t>
            </w:r>
          </w:p>
        </w:tc>
        <w:tc>
          <w:tcPr>
            <w:tcW w:w="2300" w:type="dxa"/>
          </w:tcPr>
          <w:p w14:paraId="0FFE3E30"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88.164</w:t>
            </w:r>
          </w:p>
        </w:tc>
        <w:tc>
          <w:tcPr>
            <w:tcW w:w="2520" w:type="dxa"/>
          </w:tcPr>
          <w:p w14:paraId="27A46598" w14:textId="73B60B83" w:rsidR="0080031B" w:rsidRPr="00EF2F18" w:rsidRDefault="006104C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21.330</w:t>
            </w:r>
          </w:p>
        </w:tc>
        <w:tc>
          <w:tcPr>
            <w:tcW w:w="2430" w:type="dxa"/>
          </w:tcPr>
          <w:p w14:paraId="68DA4DDC"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1879DA43" w14:textId="77777777" w:rsidTr="0080031B">
        <w:trPr>
          <w:gridAfter w:val="1"/>
          <w:wAfter w:w="30" w:type="dxa"/>
          <w:trHeight w:val="336"/>
        </w:trPr>
        <w:tc>
          <w:tcPr>
            <w:tcW w:w="3671" w:type="dxa"/>
          </w:tcPr>
          <w:p w14:paraId="396481CD"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(Влада Шпаније)</w:t>
            </w:r>
          </w:p>
          <w:p w14:paraId="3C9DE3C6" w14:textId="4FFEFA0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2564" w:type="dxa"/>
          </w:tcPr>
          <w:p w14:paraId="1038028B" w14:textId="0209DD42" w:rsidR="0080031B" w:rsidRPr="00EF2F18" w:rsidRDefault="0080031B" w:rsidP="00752CA0">
            <w:pPr>
              <w:spacing w:after="0"/>
              <w:rPr>
                <w:rFonts w:eastAsia="Times New Roman" w:cs="Times New Roman"/>
                <w:color w:val="000000"/>
                <w:sz w:val="20"/>
                <w:szCs w:val="20"/>
                <w:lang w:val="sr-Cyrl-RS" w:eastAsia="sr-Cyrl-RS"/>
              </w:rPr>
            </w:pPr>
          </w:p>
        </w:tc>
        <w:tc>
          <w:tcPr>
            <w:tcW w:w="2300" w:type="dxa"/>
          </w:tcPr>
          <w:p w14:paraId="02904E22"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30.072</w:t>
            </w:r>
          </w:p>
        </w:tc>
        <w:tc>
          <w:tcPr>
            <w:tcW w:w="2520" w:type="dxa"/>
          </w:tcPr>
          <w:p w14:paraId="7512330F"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2430" w:type="dxa"/>
          </w:tcPr>
          <w:p w14:paraId="563DB5F2"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bl>
    <w:p w14:paraId="15B6EB8C" w14:textId="77777777" w:rsidR="007D7243" w:rsidRPr="00EF2F18" w:rsidRDefault="007D7243" w:rsidP="007D7243">
      <w:pPr>
        <w:spacing w:after="0"/>
        <w:rPr>
          <w:lang w:val="sr-Cyrl-RS"/>
        </w:rPr>
      </w:pPr>
    </w:p>
    <w:p w14:paraId="27C2F192" w14:textId="77777777" w:rsidR="007620E6" w:rsidRPr="00EF2F18" w:rsidRDefault="007620E6" w:rsidP="007D7243">
      <w:pPr>
        <w:spacing w:after="0"/>
        <w:rPr>
          <w:lang w:val="sr-Cyrl-RS"/>
        </w:rPr>
      </w:pPr>
    </w:p>
    <w:tbl>
      <w:tblPr>
        <w:tblW w:w="13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3096"/>
        <w:gridCol w:w="1257"/>
        <w:gridCol w:w="1277"/>
        <w:gridCol w:w="1182"/>
        <w:gridCol w:w="1396"/>
        <w:gridCol w:w="1340"/>
        <w:gridCol w:w="1002"/>
        <w:gridCol w:w="991"/>
        <w:gridCol w:w="2044"/>
        <w:gridCol w:w="236"/>
      </w:tblGrid>
      <w:tr w:rsidR="007D7243" w:rsidRPr="00EF2F18" w14:paraId="20B02E48" w14:textId="77777777" w:rsidTr="0080031B">
        <w:trPr>
          <w:gridAfter w:val="1"/>
          <w:wAfter w:w="236" w:type="dxa"/>
          <w:trHeight w:val="696"/>
        </w:trPr>
        <w:tc>
          <w:tcPr>
            <w:tcW w:w="3096" w:type="dxa"/>
            <w:vMerge w:val="restart"/>
            <w:shd w:val="clear" w:color="000000" w:fill="FFF2CC"/>
            <w:hideMark/>
          </w:tcPr>
          <w:p w14:paraId="25771DF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257" w:type="dxa"/>
            <w:vMerge w:val="restart"/>
            <w:shd w:val="clear" w:color="000000" w:fill="FFF2CC"/>
            <w:hideMark/>
          </w:tcPr>
          <w:p w14:paraId="65C5913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7" w:type="dxa"/>
            <w:vMerge w:val="restart"/>
            <w:shd w:val="clear" w:color="000000" w:fill="FFF2CC"/>
            <w:hideMark/>
          </w:tcPr>
          <w:p w14:paraId="6760571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75FB3B4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96" w:type="dxa"/>
            <w:vMerge w:val="restart"/>
            <w:shd w:val="clear" w:color="000000" w:fill="FFF2CC"/>
            <w:hideMark/>
          </w:tcPr>
          <w:p w14:paraId="421E8FD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29807AE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37" w:type="dxa"/>
            <w:gridSpan w:val="3"/>
            <w:shd w:val="clear" w:color="000000" w:fill="FFF2CC"/>
            <w:hideMark/>
          </w:tcPr>
          <w:p w14:paraId="40F8B7C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80031B" w:rsidRPr="00EF2F18" w14:paraId="16ED4B25" w14:textId="77777777" w:rsidTr="0080031B">
        <w:trPr>
          <w:gridAfter w:val="1"/>
          <w:wAfter w:w="236" w:type="dxa"/>
          <w:trHeight w:val="441"/>
        </w:trPr>
        <w:tc>
          <w:tcPr>
            <w:tcW w:w="3096" w:type="dxa"/>
            <w:vMerge/>
            <w:vAlign w:val="center"/>
            <w:hideMark/>
          </w:tcPr>
          <w:p w14:paraId="21EC4ED5"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57" w:type="dxa"/>
            <w:vMerge/>
            <w:vAlign w:val="center"/>
            <w:hideMark/>
          </w:tcPr>
          <w:p w14:paraId="01991095"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77" w:type="dxa"/>
            <w:vMerge/>
            <w:vAlign w:val="center"/>
            <w:hideMark/>
          </w:tcPr>
          <w:p w14:paraId="681DD761"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182" w:type="dxa"/>
            <w:vMerge/>
            <w:vAlign w:val="center"/>
            <w:hideMark/>
          </w:tcPr>
          <w:p w14:paraId="5BDC875E"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96" w:type="dxa"/>
            <w:vMerge/>
            <w:vAlign w:val="center"/>
            <w:hideMark/>
          </w:tcPr>
          <w:p w14:paraId="3642125E"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40" w:type="dxa"/>
            <w:vMerge/>
            <w:vAlign w:val="center"/>
            <w:hideMark/>
          </w:tcPr>
          <w:p w14:paraId="1FC7653C"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002" w:type="dxa"/>
            <w:shd w:val="clear" w:color="000000" w:fill="FFF2CC"/>
            <w:hideMark/>
          </w:tcPr>
          <w:p w14:paraId="311589CE" w14:textId="31EA3BC6"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991" w:type="dxa"/>
            <w:shd w:val="clear" w:color="000000" w:fill="FFF2CC"/>
            <w:hideMark/>
          </w:tcPr>
          <w:p w14:paraId="22547D61" w14:textId="5E4536AE"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2044" w:type="dxa"/>
            <w:shd w:val="clear" w:color="000000" w:fill="FFF2CC"/>
            <w:hideMark/>
          </w:tcPr>
          <w:p w14:paraId="1E5AA80A" w14:textId="3DCEE5A0"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80031B" w:rsidRPr="00EF2F18" w14:paraId="03B72FF3" w14:textId="77777777" w:rsidTr="0080031B">
        <w:trPr>
          <w:gridAfter w:val="1"/>
          <w:wAfter w:w="236" w:type="dxa"/>
          <w:trHeight w:val="528"/>
        </w:trPr>
        <w:tc>
          <w:tcPr>
            <w:tcW w:w="3096" w:type="dxa"/>
            <w:vMerge w:val="restart"/>
            <w:hideMark/>
          </w:tcPr>
          <w:p w14:paraId="2868972B" w14:textId="11A9D4D4"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2.2.1.1. Успостављање мреже мобилних постројења и изградња постројења за третман отпада од грађења и рушења</w:t>
            </w:r>
            <w:r w:rsidRPr="00EF2F18">
              <w:rPr>
                <w:rFonts w:eastAsia="Times New Roman" w:cs="Times New Roman"/>
                <w:color w:val="000000"/>
                <w:szCs w:val="24"/>
                <w:lang w:val="sr-Cyrl-RS" w:eastAsia="sr-Cyrl-RS"/>
              </w:rPr>
              <w:t xml:space="preserve"> </w:t>
            </w:r>
            <w:r w:rsidRPr="00EF2F18">
              <w:rPr>
                <w:rFonts w:eastAsia="Times New Roman" w:cs="Times New Roman"/>
                <w:color w:val="000000"/>
                <w:sz w:val="20"/>
                <w:szCs w:val="20"/>
                <w:lang w:val="sr-Cyrl-RS" w:eastAsia="sr-Cyrl-RS"/>
              </w:rPr>
              <w:t>у Регионалним центрима за управљање отп</w:t>
            </w:r>
            <w:r w:rsidR="004F5DA7">
              <w:rPr>
                <w:rFonts w:eastAsia="Times New Roman" w:cs="Times New Roman"/>
                <w:color w:val="000000"/>
                <w:sz w:val="20"/>
                <w:szCs w:val="20"/>
                <w:lang w:val="sr-Cyrl-RS" w:eastAsia="sr-Cyrl-RS"/>
              </w:rPr>
              <w:t>а</w:t>
            </w:r>
            <w:r w:rsidRPr="00EF2F18">
              <w:rPr>
                <w:rFonts w:eastAsia="Times New Roman" w:cs="Times New Roman"/>
                <w:color w:val="000000"/>
                <w:sz w:val="20"/>
                <w:szCs w:val="20"/>
                <w:lang w:val="sr-Cyrl-RS" w:eastAsia="sr-Cyrl-RS"/>
              </w:rPr>
              <w:t>дом</w:t>
            </w:r>
          </w:p>
        </w:tc>
        <w:tc>
          <w:tcPr>
            <w:tcW w:w="1257" w:type="dxa"/>
            <w:vMerge w:val="restart"/>
            <w:hideMark/>
          </w:tcPr>
          <w:p w14:paraId="4F7C2676" w14:textId="54F481E9"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r w:rsidR="00B05155" w:rsidRPr="00EF2F18">
              <w:rPr>
                <w:rFonts w:eastAsia="Times New Roman" w:cs="Times New Roman"/>
                <w:color w:val="000000"/>
                <w:sz w:val="20"/>
                <w:szCs w:val="20"/>
                <w:lang w:val="sr-Cyrl-RS" w:eastAsia="sr-Cyrl-RS"/>
              </w:rPr>
              <w:t>Ж</w:t>
            </w:r>
            <w:r w:rsidRPr="00EF2F18">
              <w:rPr>
                <w:rFonts w:eastAsia="Times New Roman" w:cs="Times New Roman"/>
                <w:color w:val="000000"/>
                <w:sz w:val="20"/>
                <w:szCs w:val="20"/>
                <w:lang w:val="sr-Cyrl-RS" w:eastAsia="sr-Cyrl-RS"/>
              </w:rPr>
              <w:t>С</w:t>
            </w:r>
          </w:p>
        </w:tc>
        <w:tc>
          <w:tcPr>
            <w:tcW w:w="1277" w:type="dxa"/>
            <w:vMerge w:val="restart"/>
            <w:hideMark/>
          </w:tcPr>
          <w:p w14:paraId="68DC4E89"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 МПривреде, МФ, АЗЖС, АПВ, ПКС, приватни сектор</w:t>
            </w:r>
          </w:p>
        </w:tc>
        <w:tc>
          <w:tcPr>
            <w:tcW w:w="1182" w:type="dxa"/>
            <w:vMerge w:val="restart"/>
            <w:hideMark/>
          </w:tcPr>
          <w:p w14:paraId="66BDDD85"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96" w:type="dxa"/>
            <w:tcBorders>
              <w:bottom w:val="nil"/>
            </w:tcBorders>
            <w:hideMark/>
          </w:tcPr>
          <w:p w14:paraId="1CE82BE8"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p w14:paraId="11E92F09" w14:textId="77777777" w:rsidR="0080031B" w:rsidRPr="00EF2F18" w:rsidRDefault="0080031B" w:rsidP="00752CA0">
            <w:pPr>
              <w:spacing w:after="0"/>
              <w:rPr>
                <w:rFonts w:eastAsia="Times New Roman" w:cs="Times New Roman"/>
                <w:color w:val="000000"/>
                <w:sz w:val="20"/>
                <w:szCs w:val="20"/>
                <w:lang w:val="sr-Cyrl-RS" w:eastAsia="sr-Cyrl-RS"/>
              </w:rPr>
            </w:pPr>
          </w:p>
          <w:p w14:paraId="39BE383F"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tcBorders>
              <w:bottom w:val="nil"/>
            </w:tcBorders>
            <w:hideMark/>
          </w:tcPr>
          <w:p w14:paraId="5180A9C5"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0406-560-4021-512</w:t>
            </w:r>
          </w:p>
          <w:p w14:paraId="4FFDBF16" w14:textId="77777777" w:rsidR="0080031B" w:rsidRPr="00EF2F18" w:rsidRDefault="0080031B" w:rsidP="00752CA0">
            <w:pPr>
              <w:spacing w:after="0"/>
              <w:rPr>
                <w:rFonts w:eastAsia="Times New Roman" w:cs="Times New Roman"/>
                <w:color w:val="000000"/>
                <w:sz w:val="20"/>
                <w:szCs w:val="20"/>
                <w:lang w:val="sr-Cyrl-RS" w:eastAsia="sr-Cyrl-RS"/>
              </w:rPr>
            </w:pPr>
          </w:p>
          <w:p w14:paraId="549884A2"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0406-560-4021-423</w:t>
            </w:r>
          </w:p>
        </w:tc>
        <w:tc>
          <w:tcPr>
            <w:tcW w:w="1002" w:type="dxa"/>
            <w:tcBorders>
              <w:bottom w:val="nil"/>
            </w:tcBorders>
            <w:hideMark/>
          </w:tcPr>
          <w:p w14:paraId="60BFB532" w14:textId="3C569C4B" w:rsidR="0080031B" w:rsidRPr="00EF2F18" w:rsidRDefault="00C80C3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83.424</w:t>
            </w:r>
          </w:p>
          <w:p w14:paraId="3597267E"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02AC75C3"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2D2E5FFB" w14:textId="2785D0EB" w:rsidR="0080031B" w:rsidRPr="00EF2F18" w:rsidRDefault="00643F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w:t>
            </w:r>
          </w:p>
        </w:tc>
        <w:tc>
          <w:tcPr>
            <w:tcW w:w="991" w:type="dxa"/>
            <w:tcBorders>
              <w:bottom w:val="nil"/>
            </w:tcBorders>
            <w:hideMark/>
          </w:tcPr>
          <w:p w14:paraId="6724E51E"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0D76A4F1"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1BA25A64"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3E726194"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11.376</w:t>
            </w:r>
          </w:p>
        </w:tc>
        <w:tc>
          <w:tcPr>
            <w:tcW w:w="2044" w:type="dxa"/>
            <w:vMerge w:val="restart"/>
            <w:hideMark/>
          </w:tcPr>
          <w:p w14:paraId="561A302C" w14:textId="77777777" w:rsidR="0080031B" w:rsidRPr="00EF2F18" w:rsidRDefault="00C80C3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125.136</w:t>
            </w:r>
            <w:r w:rsidR="0080031B" w:rsidRPr="00EF2F18">
              <w:rPr>
                <w:rFonts w:eastAsia="Times New Roman" w:cs="Times New Roman"/>
                <w:color w:val="000000"/>
                <w:sz w:val="20"/>
                <w:szCs w:val="20"/>
                <w:lang w:val="sr-Cyrl-RS" w:eastAsia="sr-Cyrl-RS"/>
              </w:rPr>
              <w:t> </w:t>
            </w:r>
          </w:p>
          <w:p w14:paraId="184F1BCC" w14:textId="77777777" w:rsidR="00643F9C" w:rsidRPr="00EF2F18" w:rsidRDefault="00643F9C" w:rsidP="00752CA0">
            <w:pPr>
              <w:spacing w:after="0"/>
              <w:jc w:val="right"/>
              <w:rPr>
                <w:rFonts w:eastAsia="Times New Roman" w:cs="Times New Roman"/>
                <w:color w:val="000000"/>
                <w:sz w:val="20"/>
                <w:szCs w:val="20"/>
                <w:lang w:val="sr-Cyrl-RS" w:eastAsia="sr-Cyrl-RS"/>
              </w:rPr>
            </w:pPr>
          </w:p>
          <w:p w14:paraId="07417A62" w14:textId="77777777" w:rsidR="00643F9C" w:rsidRPr="00EF2F18" w:rsidRDefault="00643F9C" w:rsidP="00752CA0">
            <w:pPr>
              <w:spacing w:after="0"/>
              <w:jc w:val="right"/>
              <w:rPr>
                <w:rFonts w:eastAsia="Times New Roman" w:cs="Times New Roman"/>
                <w:color w:val="000000"/>
                <w:sz w:val="20"/>
                <w:szCs w:val="20"/>
                <w:lang w:val="sr-Cyrl-RS" w:eastAsia="sr-Cyrl-RS"/>
              </w:rPr>
            </w:pPr>
          </w:p>
          <w:p w14:paraId="16EA1284" w14:textId="77777777" w:rsidR="00643F9C" w:rsidRPr="00EF2F18" w:rsidRDefault="00643F9C" w:rsidP="00752CA0">
            <w:pPr>
              <w:spacing w:after="0"/>
              <w:jc w:val="right"/>
              <w:rPr>
                <w:rFonts w:eastAsia="Times New Roman" w:cs="Times New Roman"/>
                <w:color w:val="000000"/>
                <w:sz w:val="20"/>
                <w:szCs w:val="20"/>
                <w:lang w:val="sr-Cyrl-RS" w:eastAsia="sr-Cyrl-RS"/>
              </w:rPr>
            </w:pPr>
          </w:p>
          <w:p w14:paraId="02976623" w14:textId="77777777" w:rsidR="00643F9C" w:rsidRPr="00EF2F18" w:rsidRDefault="00643F9C" w:rsidP="00752CA0">
            <w:pPr>
              <w:spacing w:after="0"/>
              <w:jc w:val="right"/>
              <w:rPr>
                <w:rFonts w:eastAsia="Times New Roman" w:cs="Times New Roman"/>
                <w:color w:val="000000"/>
                <w:sz w:val="20"/>
                <w:szCs w:val="20"/>
                <w:lang w:val="sr-Cyrl-RS" w:eastAsia="sr-Cyrl-RS"/>
              </w:rPr>
            </w:pPr>
          </w:p>
          <w:p w14:paraId="04F41AFF" w14:textId="77777777" w:rsidR="00643F9C" w:rsidRPr="00EF2F18" w:rsidRDefault="00643F9C" w:rsidP="00752CA0">
            <w:pPr>
              <w:spacing w:after="0"/>
              <w:jc w:val="right"/>
              <w:rPr>
                <w:rFonts w:eastAsia="Times New Roman" w:cs="Times New Roman"/>
                <w:color w:val="000000"/>
                <w:sz w:val="20"/>
                <w:szCs w:val="20"/>
                <w:lang w:val="sr-Cyrl-RS" w:eastAsia="sr-Cyrl-RS"/>
              </w:rPr>
            </w:pPr>
          </w:p>
          <w:p w14:paraId="45164DE5" w14:textId="192BB6EC" w:rsidR="00643F9C" w:rsidRPr="00EF2F18" w:rsidRDefault="00643F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187.704</w:t>
            </w:r>
          </w:p>
        </w:tc>
      </w:tr>
      <w:tr w:rsidR="0080031B" w:rsidRPr="00EF2F18" w14:paraId="64A1CE9D" w14:textId="77777777" w:rsidTr="0080031B">
        <w:trPr>
          <w:gridAfter w:val="1"/>
          <w:wAfter w:w="236" w:type="dxa"/>
          <w:trHeight w:val="312"/>
        </w:trPr>
        <w:tc>
          <w:tcPr>
            <w:tcW w:w="3096" w:type="dxa"/>
            <w:vMerge/>
            <w:vAlign w:val="center"/>
            <w:hideMark/>
          </w:tcPr>
          <w:p w14:paraId="25B72404"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57" w:type="dxa"/>
            <w:vMerge/>
            <w:vAlign w:val="center"/>
            <w:hideMark/>
          </w:tcPr>
          <w:p w14:paraId="7DED83C4"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77" w:type="dxa"/>
            <w:vMerge/>
            <w:vAlign w:val="center"/>
            <w:hideMark/>
          </w:tcPr>
          <w:p w14:paraId="1BE50000"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182" w:type="dxa"/>
            <w:vMerge/>
            <w:vAlign w:val="center"/>
            <w:hideMark/>
          </w:tcPr>
          <w:p w14:paraId="3B3DB4FA"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96" w:type="dxa"/>
            <w:tcBorders>
              <w:top w:val="nil"/>
              <w:bottom w:val="nil"/>
            </w:tcBorders>
            <w:hideMark/>
          </w:tcPr>
          <w:p w14:paraId="49549E68"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40" w:type="dxa"/>
            <w:tcBorders>
              <w:top w:val="nil"/>
              <w:bottom w:val="nil"/>
            </w:tcBorders>
            <w:hideMark/>
          </w:tcPr>
          <w:p w14:paraId="4E4DCF7A"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002" w:type="dxa"/>
            <w:tcBorders>
              <w:top w:val="nil"/>
              <w:bottom w:val="nil"/>
            </w:tcBorders>
            <w:hideMark/>
          </w:tcPr>
          <w:p w14:paraId="71BABEAD"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991" w:type="dxa"/>
            <w:tcBorders>
              <w:top w:val="nil"/>
              <w:bottom w:val="nil"/>
            </w:tcBorders>
            <w:hideMark/>
          </w:tcPr>
          <w:p w14:paraId="2431EF15"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044" w:type="dxa"/>
            <w:vMerge/>
            <w:vAlign w:val="center"/>
            <w:hideMark/>
          </w:tcPr>
          <w:p w14:paraId="2AADB266"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7B8A96D0" w14:textId="77777777" w:rsidTr="0080031B">
        <w:trPr>
          <w:gridAfter w:val="1"/>
          <w:wAfter w:w="236" w:type="dxa"/>
          <w:trHeight w:val="528"/>
        </w:trPr>
        <w:tc>
          <w:tcPr>
            <w:tcW w:w="3096" w:type="dxa"/>
            <w:vMerge/>
            <w:vAlign w:val="center"/>
            <w:hideMark/>
          </w:tcPr>
          <w:p w14:paraId="2E805BE4"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57" w:type="dxa"/>
            <w:vMerge/>
            <w:vAlign w:val="center"/>
            <w:hideMark/>
          </w:tcPr>
          <w:p w14:paraId="0D52012A"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77" w:type="dxa"/>
            <w:vMerge/>
            <w:vAlign w:val="center"/>
            <w:hideMark/>
          </w:tcPr>
          <w:p w14:paraId="1E0358BD"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182" w:type="dxa"/>
            <w:vMerge/>
            <w:vAlign w:val="center"/>
            <w:hideMark/>
          </w:tcPr>
          <w:p w14:paraId="01701225"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96" w:type="dxa"/>
            <w:tcBorders>
              <w:top w:val="nil"/>
              <w:bottom w:val="nil"/>
            </w:tcBorders>
            <w:hideMark/>
          </w:tcPr>
          <w:p w14:paraId="4374D3DB"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73F05E29" w14:textId="77777777" w:rsidR="0080031B" w:rsidRPr="00EF2F18" w:rsidRDefault="0080031B" w:rsidP="00752CA0">
            <w:pPr>
              <w:spacing w:after="0"/>
              <w:rPr>
                <w:rFonts w:eastAsia="Times New Roman" w:cs="Times New Roman"/>
                <w:color w:val="000000"/>
                <w:sz w:val="20"/>
                <w:szCs w:val="20"/>
                <w:lang w:val="sr-Cyrl-RS" w:eastAsia="sr-Cyrl-RS"/>
              </w:rPr>
            </w:pPr>
          </w:p>
          <w:p w14:paraId="67593BE2"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655B4A01" w14:textId="77777777" w:rsidR="0080031B" w:rsidRPr="00EF2F18" w:rsidRDefault="0080031B" w:rsidP="00752CA0">
            <w:pPr>
              <w:spacing w:after="0"/>
              <w:rPr>
                <w:rFonts w:eastAsia="Times New Roman" w:cs="Times New Roman"/>
                <w:color w:val="000000"/>
                <w:sz w:val="20"/>
                <w:szCs w:val="20"/>
                <w:lang w:val="sr-Cyrl-RS" w:eastAsia="sr-Cyrl-RS"/>
              </w:rPr>
            </w:pPr>
          </w:p>
          <w:p w14:paraId="7A3300B2" w14:textId="0A5D8266"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(Влада Шпаније) (средства не пролазе кроз буџет РС)</w:t>
            </w:r>
          </w:p>
        </w:tc>
        <w:tc>
          <w:tcPr>
            <w:tcW w:w="1340" w:type="dxa"/>
            <w:tcBorders>
              <w:top w:val="nil"/>
              <w:bottom w:val="nil"/>
            </w:tcBorders>
            <w:hideMark/>
          </w:tcPr>
          <w:p w14:paraId="11AEA1EE"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0406-560-4021-512</w:t>
            </w:r>
          </w:p>
          <w:p w14:paraId="7386E546" w14:textId="77777777" w:rsidR="0080031B" w:rsidRPr="00EF2F18" w:rsidRDefault="0080031B" w:rsidP="00752CA0">
            <w:pPr>
              <w:spacing w:after="0"/>
              <w:rPr>
                <w:rFonts w:eastAsia="Times New Roman" w:cs="Times New Roman"/>
                <w:color w:val="000000"/>
                <w:sz w:val="20"/>
                <w:szCs w:val="20"/>
                <w:lang w:val="sr-Cyrl-RS" w:eastAsia="sr-Cyrl-RS"/>
              </w:rPr>
            </w:pPr>
          </w:p>
          <w:p w14:paraId="1916A904" w14:textId="77777777" w:rsidR="0080031B" w:rsidRPr="00EF2F18" w:rsidRDefault="0080031B" w:rsidP="00752CA0">
            <w:pPr>
              <w:spacing w:after="0"/>
              <w:rPr>
                <w:rFonts w:eastAsia="Times New Roman" w:cs="Times New Roman"/>
                <w:color w:val="000000"/>
                <w:sz w:val="20"/>
                <w:szCs w:val="20"/>
                <w:lang w:val="sr-Cyrl-RS" w:eastAsia="sr-Cyrl-RS"/>
              </w:rPr>
            </w:pPr>
          </w:p>
          <w:p w14:paraId="155EB83A"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0406-560-4021-423</w:t>
            </w:r>
          </w:p>
          <w:p w14:paraId="6DCE3E44" w14:textId="77777777" w:rsidR="0080031B" w:rsidRPr="00EF2F18" w:rsidRDefault="0080031B" w:rsidP="00752CA0">
            <w:pPr>
              <w:spacing w:after="0"/>
              <w:rPr>
                <w:rFonts w:eastAsia="Times New Roman" w:cs="Times New Roman"/>
                <w:color w:val="000000"/>
                <w:sz w:val="20"/>
                <w:szCs w:val="20"/>
                <w:lang w:val="sr-Cyrl-RS" w:eastAsia="sr-Cyrl-RS"/>
              </w:rPr>
            </w:pPr>
          </w:p>
          <w:p w14:paraId="1C37B58F" w14:textId="77777777" w:rsidR="0080031B" w:rsidRPr="00EF2F18" w:rsidRDefault="0080031B" w:rsidP="00752CA0">
            <w:pPr>
              <w:spacing w:after="0"/>
              <w:rPr>
                <w:rFonts w:eastAsia="Times New Roman" w:cs="Times New Roman"/>
                <w:color w:val="000000"/>
                <w:sz w:val="20"/>
                <w:szCs w:val="20"/>
                <w:lang w:val="sr-Cyrl-RS" w:eastAsia="sr-Cyrl-RS"/>
              </w:rPr>
            </w:pPr>
          </w:p>
          <w:p w14:paraId="203CF65C" w14:textId="77777777" w:rsidR="0080031B" w:rsidRPr="00EF2F18" w:rsidRDefault="0080031B" w:rsidP="00752CA0">
            <w:pPr>
              <w:spacing w:after="0"/>
              <w:rPr>
                <w:rFonts w:eastAsia="Times New Roman" w:cs="Times New Roman"/>
                <w:color w:val="000000"/>
                <w:sz w:val="20"/>
                <w:szCs w:val="20"/>
                <w:lang w:val="sr-Cyrl-RS" w:eastAsia="sr-Cyrl-RS"/>
              </w:rPr>
            </w:pPr>
          </w:p>
          <w:p w14:paraId="5DC3DEDE" w14:textId="4F79E70C" w:rsidR="0080031B" w:rsidRPr="00EF2F18" w:rsidRDefault="0080031B" w:rsidP="00752CA0">
            <w:pPr>
              <w:spacing w:after="0"/>
              <w:rPr>
                <w:rFonts w:eastAsia="Times New Roman" w:cs="Times New Roman"/>
                <w:color w:val="000000"/>
                <w:sz w:val="20"/>
                <w:szCs w:val="20"/>
                <w:lang w:val="sr-Cyrl-RS" w:eastAsia="sr-Cyrl-RS"/>
              </w:rPr>
            </w:pPr>
          </w:p>
        </w:tc>
        <w:tc>
          <w:tcPr>
            <w:tcW w:w="1002" w:type="dxa"/>
            <w:tcBorders>
              <w:top w:val="nil"/>
              <w:bottom w:val="nil"/>
            </w:tcBorders>
            <w:hideMark/>
          </w:tcPr>
          <w:p w14:paraId="29383C64" w14:textId="3E638967" w:rsidR="0080031B" w:rsidRPr="00EF2F18" w:rsidRDefault="00643F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125.136</w:t>
            </w:r>
          </w:p>
          <w:p w14:paraId="6D718EAF"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387BBEEB"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7E581436"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140C4977"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88.164</w:t>
            </w:r>
          </w:p>
          <w:p w14:paraId="366B18CC"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45A31749"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1CC128CF"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39474625"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30.072</w:t>
            </w:r>
          </w:p>
        </w:tc>
        <w:tc>
          <w:tcPr>
            <w:tcW w:w="991" w:type="dxa"/>
            <w:tcBorders>
              <w:top w:val="nil"/>
              <w:bottom w:val="nil"/>
            </w:tcBorders>
            <w:hideMark/>
          </w:tcPr>
          <w:p w14:paraId="7E5AD513"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7DAD3FB9"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7A7285ED"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1688E0B1" w14:textId="77777777" w:rsidR="0080031B" w:rsidRPr="00EF2F18" w:rsidRDefault="0080031B" w:rsidP="00752CA0">
            <w:pPr>
              <w:spacing w:after="0"/>
              <w:jc w:val="right"/>
              <w:rPr>
                <w:rFonts w:eastAsia="Times New Roman" w:cs="Times New Roman"/>
                <w:color w:val="000000"/>
                <w:sz w:val="20"/>
                <w:szCs w:val="20"/>
                <w:lang w:val="sr-Cyrl-RS" w:eastAsia="sr-Cyrl-RS"/>
              </w:rPr>
            </w:pPr>
          </w:p>
          <w:p w14:paraId="1C20A910" w14:textId="42709E19" w:rsidR="0080031B" w:rsidRPr="00EF2F18" w:rsidRDefault="00643F9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21.330</w:t>
            </w:r>
          </w:p>
        </w:tc>
        <w:tc>
          <w:tcPr>
            <w:tcW w:w="2044" w:type="dxa"/>
            <w:vMerge/>
            <w:vAlign w:val="center"/>
            <w:hideMark/>
          </w:tcPr>
          <w:p w14:paraId="2C029E95"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7591B03F" w14:textId="77777777" w:rsidTr="0080031B">
        <w:trPr>
          <w:gridAfter w:val="1"/>
          <w:wAfter w:w="236" w:type="dxa"/>
          <w:trHeight w:val="70"/>
        </w:trPr>
        <w:tc>
          <w:tcPr>
            <w:tcW w:w="3096" w:type="dxa"/>
            <w:vMerge/>
            <w:vAlign w:val="center"/>
            <w:hideMark/>
          </w:tcPr>
          <w:p w14:paraId="0EC89DDB"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57" w:type="dxa"/>
            <w:vMerge/>
            <w:vAlign w:val="center"/>
            <w:hideMark/>
          </w:tcPr>
          <w:p w14:paraId="415C8A70"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77" w:type="dxa"/>
            <w:vMerge/>
            <w:vAlign w:val="center"/>
            <w:hideMark/>
          </w:tcPr>
          <w:p w14:paraId="1637C727"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182" w:type="dxa"/>
            <w:vMerge/>
            <w:vAlign w:val="center"/>
            <w:hideMark/>
          </w:tcPr>
          <w:p w14:paraId="74DFDC2F"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96" w:type="dxa"/>
            <w:tcBorders>
              <w:top w:val="nil"/>
            </w:tcBorders>
            <w:hideMark/>
          </w:tcPr>
          <w:p w14:paraId="4B0F000B" w14:textId="77777777" w:rsidR="0080031B" w:rsidRPr="00EF2F18" w:rsidRDefault="0080031B" w:rsidP="00752CA0">
            <w:pPr>
              <w:spacing w:after="0"/>
              <w:rPr>
                <w:rFonts w:ascii="Aptos Narrow" w:eastAsia="Times New Roman" w:hAnsi="Aptos Narrow" w:cs="Times New Roman"/>
                <w:color w:val="000000"/>
                <w:szCs w:val="24"/>
                <w:lang w:val="sr-Cyrl-RS" w:eastAsia="sr-Cyrl-RS"/>
              </w:rPr>
            </w:pPr>
          </w:p>
        </w:tc>
        <w:tc>
          <w:tcPr>
            <w:tcW w:w="1340" w:type="dxa"/>
            <w:tcBorders>
              <w:top w:val="nil"/>
            </w:tcBorders>
            <w:hideMark/>
          </w:tcPr>
          <w:p w14:paraId="19818156" w14:textId="77777777" w:rsidR="0080031B" w:rsidRPr="00EF2F18" w:rsidRDefault="0080031B" w:rsidP="00752CA0">
            <w:pPr>
              <w:spacing w:after="0"/>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002" w:type="dxa"/>
            <w:tcBorders>
              <w:top w:val="nil"/>
            </w:tcBorders>
          </w:tcPr>
          <w:p w14:paraId="240D2FB6"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991" w:type="dxa"/>
            <w:tcBorders>
              <w:top w:val="nil"/>
            </w:tcBorders>
          </w:tcPr>
          <w:p w14:paraId="28EC2ED6"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2044" w:type="dxa"/>
            <w:vMerge/>
            <w:vAlign w:val="center"/>
            <w:hideMark/>
          </w:tcPr>
          <w:p w14:paraId="07CD99CB" w14:textId="77777777"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1750A357" w14:textId="77777777" w:rsidTr="0080031B">
        <w:trPr>
          <w:gridAfter w:val="1"/>
          <w:wAfter w:w="236" w:type="dxa"/>
          <w:trHeight w:val="804"/>
        </w:trPr>
        <w:tc>
          <w:tcPr>
            <w:tcW w:w="3096" w:type="dxa"/>
            <w:hideMark/>
          </w:tcPr>
          <w:p w14:paraId="5D2D64E4" w14:textId="1A85B39F"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2.2.1.2. Реализација програма за доделу иновативних ваучера у циљу примене модела у ЦЕ </w:t>
            </w:r>
          </w:p>
        </w:tc>
        <w:tc>
          <w:tcPr>
            <w:tcW w:w="1257" w:type="dxa"/>
            <w:hideMark/>
          </w:tcPr>
          <w:p w14:paraId="318473CB" w14:textId="0CAD56D9"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r w:rsidR="00B05155" w:rsidRPr="00EF2F18">
              <w:rPr>
                <w:rFonts w:eastAsia="Times New Roman" w:cs="Times New Roman"/>
                <w:color w:val="000000"/>
                <w:sz w:val="20"/>
                <w:szCs w:val="20"/>
                <w:lang w:val="sr-Cyrl-RS" w:eastAsia="sr-Cyrl-RS"/>
              </w:rPr>
              <w:t>Ж</w:t>
            </w:r>
            <w:r w:rsidRPr="00EF2F18">
              <w:rPr>
                <w:rFonts w:eastAsia="Times New Roman" w:cs="Times New Roman"/>
                <w:color w:val="000000"/>
                <w:sz w:val="20"/>
                <w:szCs w:val="20"/>
                <w:lang w:val="sr-Cyrl-RS" w:eastAsia="sr-Cyrl-RS"/>
              </w:rPr>
              <w:t>С</w:t>
            </w:r>
          </w:p>
        </w:tc>
        <w:tc>
          <w:tcPr>
            <w:tcW w:w="1277" w:type="dxa"/>
            <w:hideMark/>
          </w:tcPr>
          <w:p w14:paraId="415B0671"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5C12F2C4"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396" w:type="dxa"/>
            <w:hideMark/>
          </w:tcPr>
          <w:p w14:paraId="5DF8419D"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hideMark/>
          </w:tcPr>
          <w:p w14:paraId="17F9F9E8"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0405-560-4011-462</w:t>
            </w:r>
          </w:p>
        </w:tc>
        <w:tc>
          <w:tcPr>
            <w:tcW w:w="1002" w:type="dxa"/>
            <w:hideMark/>
          </w:tcPr>
          <w:p w14:paraId="2F17558C"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10.784</w:t>
            </w:r>
          </w:p>
        </w:tc>
        <w:tc>
          <w:tcPr>
            <w:tcW w:w="991" w:type="dxa"/>
            <w:hideMark/>
          </w:tcPr>
          <w:p w14:paraId="2D39963B"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044" w:type="dxa"/>
          </w:tcPr>
          <w:p w14:paraId="15451C05" w14:textId="5EE47238"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117B01BC" w14:textId="77777777" w:rsidTr="0080031B">
        <w:trPr>
          <w:gridAfter w:val="1"/>
          <w:wAfter w:w="236" w:type="dxa"/>
          <w:trHeight w:val="1092"/>
        </w:trPr>
        <w:tc>
          <w:tcPr>
            <w:tcW w:w="3096" w:type="dxa"/>
            <w:vMerge w:val="restart"/>
            <w:hideMark/>
          </w:tcPr>
          <w:p w14:paraId="0B970AF0" w14:textId="7A238708"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2.2.1.3. Реализација едукативно- промотивних програма о одрживом управљању вишковима хране и смањењу отпада од хране (хорека сектор, трговачки ланци и потрошачи) </w:t>
            </w:r>
          </w:p>
        </w:tc>
        <w:tc>
          <w:tcPr>
            <w:tcW w:w="1257" w:type="dxa"/>
            <w:vMerge w:val="restart"/>
            <w:hideMark/>
          </w:tcPr>
          <w:p w14:paraId="3C8B53DB" w14:textId="45C5F962"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r w:rsidR="00B05155" w:rsidRPr="00EF2F18">
              <w:rPr>
                <w:rFonts w:eastAsia="Times New Roman" w:cs="Times New Roman"/>
                <w:color w:val="000000"/>
                <w:sz w:val="20"/>
                <w:szCs w:val="20"/>
                <w:lang w:val="sr-Cyrl-RS" w:eastAsia="sr-Cyrl-RS"/>
              </w:rPr>
              <w:t>Ж</w:t>
            </w:r>
            <w:r w:rsidRPr="00EF2F18">
              <w:rPr>
                <w:rFonts w:eastAsia="Times New Roman" w:cs="Times New Roman"/>
                <w:color w:val="000000"/>
                <w:sz w:val="20"/>
                <w:szCs w:val="20"/>
                <w:lang w:val="sr-Cyrl-RS" w:eastAsia="sr-Cyrl-RS"/>
              </w:rPr>
              <w:t>С</w:t>
            </w:r>
          </w:p>
        </w:tc>
        <w:tc>
          <w:tcPr>
            <w:tcW w:w="1277" w:type="dxa"/>
            <w:vMerge w:val="restart"/>
            <w:hideMark/>
          </w:tcPr>
          <w:p w14:paraId="481CDB04"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ПКС, удружења потрошача, УНДП, ОЦД</w:t>
            </w:r>
          </w:p>
        </w:tc>
        <w:tc>
          <w:tcPr>
            <w:tcW w:w="1182" w:type="dxa"/>
            <w:vMerge w:val="restart"/>
            <w:hideMark/>
          </w:tcPr>
          <w:p w14:paraId="160AF5DB"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396" w:type="dxa"/>
            <w:vMerge w:val="restart"/>
            <w:hideMark/>
          </w:tcPr>
          <w:p w14:paraId="3D869E63" w14:textId="49EA3CE7" w:rsidR="0080031B" w:rsidRPr="00EF2F18" w:rsidRDefault="0080031B"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w:t>
            </w:r>
          </w:p>
        </w:tc>
        <w:tc>
          <w:tcPr>
            <w:tcW w:w="1340" w:type="dxa"/>
            <w:vMerge w:val="restart"/>
            <w:hideMark/>
          </w:tcPr>
          <w:p w14:paraId="70770EE8" w14:textId="1FEF5BA0" w:rsidR="0080031B" w:rsidRPr="00EF2F18" w:rsidRDefault="0080031B" w:rsidP="00752CA0">
            <w:pPr>
              <w:spacing w:after="0"/>
              <w:rPr>
                <w:rFonts w:eastAsia="Times New Roman" w:cs="Times New Roman"/>
                <w:color w:val="000000"/>
                <w:sz w:val="20"/>
                <w:szCs w:val="20"/>
                <w:lang w:val="sr-Cyrl-RS" w:eastAsia="sr-Cyrl-RS"/>
              </w:rPr>
            </w:pPr>
          </w:p>
        </w:tc>
        <w:tc>
          <w:tcPr>
            <w:tcW w:w="1002" w:type="dxa"/>
            <w:vMerge w:val="restart"/>
          </w:tcPr>
          <w:p w14:paraId="37D1B3D3" w14:textId="0CA91F0C" w:rsidR="0080031B" w:rsidRPr="00EF2F18" w:rsidRDefault="0080031B" w:rsidP="00752CA0">
            <w:pPr>
              <w:spacing w:after="0"/>
              <w:jc w:val="right"/>
              <w:rPr>
                <w:rFonts w:eastAsia="Times New Roman" w:cs="Times New Roman"/>
                <w:color w:val="000000"/>
                <w:sz w:val="20"/>
                <w:szCs w:val="20"/>
                <w:lang w:val="sr-Cyrl-RS" w:eastAsia="sr-Cyrl-RS"/>
              </w:rPr>
            </w:pPr>
          </w:p>
        </w:tc>
        <w:tc>
          <w:tcPr>
            <w:tcW w:w="991" w:type="dxa"/>
            <w:vMerge w:val="restart"/>
          </w:tcPr>
          <w:p w14:paraId="02EC85B7" w14:textId="4DD5584B" w:rsidR="0080031B" w:rsidRPr="00EF2F18" w:rsidRDefault="0080031B" w:rsidP="00752CA0">
            <w:pPr>
              <w:spacing w:after="0"/>
              <w:jc w:val="right"/>
              <w:rPr>
                <w:rFonts w:eastAsia="Times New Roman" w:cs="Times New Roman"/>
                <w:color w:val="000000"/>
                <w:sz w:val="20"/>
                <w:szCs w:val="20"/>
                <w:lang w:val="sr-Cyrl-RS" w:eastAsia="sr-Cyrl-RS"/>
              </w:rPr>
            </w:pPr>
          </w:p>
        </w:tc>
        <w:tc>
          <w:tcPr>
            <w:tcW w:w="2044" w:type="dxa"/>
            <w:vMerge w:val="restart"/>
          </w:tcPr>
          <w:p w14:paraId="46D26BB6" w14:textId="29C0359C" w:rsidR="0080031B" w:rsidRPr="00EF2F18" w:rsidRDefault="0080031B" w:rsidP="00752CA0">
            <w:pPr>
              <w:spacing w:after="0"/>
              <w:jc w:val="right"/>
              <w:rPr>
                <w:rFonts w:eastAsia="Times New Roman" w:cs="Times New Roman"/>
                <w:color w:val="000000"/>
                <w:sz w:val="20"/>
                <w:szCs w:val="20"/>
                <w:lang w:val="sr-Cyrl-RS" w:eastAsia="sr-Cyrl-RS"/>
              </w:rPr>
            </w:pPr>
          </w:p>
        </w:tc>
      </w:tr>
      <w:tr w:rsidR="0080031B" w:rsidRPr="00EF2F18" w14:paraId="0636266C" w14:textId="77777777" w:rsidTr="0080031B">
        <w:trPr>
          <w:trHeight w:val="324"/>
        </w:trPr>
        <w:tc>
          <w:tcPr>
            <w:tcW w:w="3096" w:type="dxa"/>
            <w:vMerge/>
            <w:vAlign w:val="center"/>
            <w:hideMark/>
          </w:tcPr>
          <w:p w14:paraId="36FE40E5"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57" w:type="dxa"/>
            <w:vMerge/>
            <w:vAlign w:val="center"/>
            <w:hideMark/>
          </w:tcPr>
          <w:p w14:paraId="530C627D"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77" w:type="dxa"/>
            <w:vMerge/>
            <w:vAlign w:val="center"/>
            <w:hideMark/>
          </w:tcPr>
          <w:p w14:paraId="1D2B3253"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182" w:type="dxa"/>
            <w:vMerge/>
            <w:vAlign w:val="center"/>
            <w:hideMark/>
          </w:tcPr>
          <w:p w14:paraId="1D36569F"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96" w:type="dxa"/>
            <w:vMerge/>
            <w:vAlign w:val="center"/>
            <w:hideMark/>
          </w:tcPr>
          <w:p w14:paraId="48A5DBA4"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40" w:type="dxa"/>
            <w:vMerge/>
            <w:vAlign w:val="center"/>
            <w:hideMark/>
          </w:tcPr>
          <w:p w14:paraId="1DE8002A"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002" w:type="dxa"/>
            <w:vMerge/>
            <w:vAlign w:val="center"/>
          </w:tcPr>
          <w:p w14:paraId="0AEA6A6C"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991" w:type="dxa"/>
            <w:vMerge/>
            <w:vAlign w:val="center"/>
          </w:tcPr>
          <w:p w14:paraId="5E016BD4"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044" w:type="dxa"/>
            <w:vMerge/>
            <w:vAlign w:val="center"/>
          </w:tcPr>
          <w:p w14:paraId="77927F80"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36" w:type="dxa"/>
            <w:tcBorders>
              <w:top w:val="nil"/>
              <w:bottom w:val="nil"/>
              <w:right w:val="nil"/>
            </w:tcBorders>
            <w:noWrap/>
            <w:vAlign w:val="bottom"/>
            <w:hideMark/>
          </w:tcPr>
          <w:p w14:paraId="4A324963" w14:textId="77777777" w:rsidR="0080031B" w:rsidRPr="00EF2F18" w:rsidRDefault="0080031B" w:rsidP="00752CA0">
            <w:pPr>
              <w:spacing w:after="0"/>
              <w:rPr>
                <w:rFonts w:eastAsia="Times New Roman" w:cs="Times New Roman"/>
                <w:color w:val="000000"/>
                <w:sz w:val="20"/>
                <w:szCs w:val="20"/>
                <w:lang w:val="sr-Cyrl-RS" w:eastAsia="sr-Cyrl-RS"/>
              </w:rPr>
            </w:pPr>
          </w:p>
        </w:tc>
      </w:tr>
      <w:tr w:rsidR="0080031B" w:rsidRPr="00EF2F18" w14:paraId="3CBE63CC" w14:textId="77777777" w:rsidTr="0080031B">
        <w:trPr>
          <w:trHeight w:val="876"/>
        </w:trPr>
        <w:tc>
          <w:tcPr>
            <w:tcW w:w="3096" w:type="dxa"/>
            <w:vMerge w:val="restart"/>
            <w:hideMark/>
          </w:tcPr>
          <w:p w14:paraId="666CAD56" w14:textId="61AB18DA"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2.2.1.4. Успостављање дигиталних алата/дигиталних интерактивних платформи о производним остацима и циркуларним ресурсима </w:t>
            </w:r>
          </w:p>
        </w:tc>
        <w:tc>
          <w:tcPr>
            <w:tcW w:w="1257" w:type="dxa"/>
            <w:vMerge w:val="restart"/>
            <w:hideMark/>
          </w:tcPr>
          <w:p w14:paraId="7242AD9B" w14:textId="41781535"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r w:rsidR="00B05155" w:rsidRPr="00EF2F18">
              <w:rPr>
                <w:rFonts w:eastAsia="Times New Roman" w:cs="Times New Roman"/>
                <w:color w:val="000000"/>
                <w:sz w:val="20"/>
                <w:szCs w:val="20"/>
                <w:lang w:val="sr-Cyrl-RS" w:eastAsia="sr-Cyrl-RS"/>
              </w:rPr>
              <w:t>Ж</w:t>
            </w:r>
            <w:r w:rsidRPr="00EF2F18">
              <w:rPr>
                <w:rFonts w:eastAsia="Times New Roman" w:cs="Times New Roman"/>
                <w:color w:val="000000"/>
                <w:sz w:val="20"/>
                <w:szCs w:val="20"/>
                <w:lang w:val="sr-Cyrl-RS" w:eastAsia="sr-Cyrl-RS"/>
              </w:rPr>
              <w:t>С</w:t>
            </w:r>
          </w:p>
        </w:tc>
        <w:tc>
          <w:tcPr>
            <w:tcW w:w="1277" w:type="dxa"/>
            <w:vMerge w:val="restart"/>
            <w:hideMark/>
          </w:tcPr>
          <w:p w14:paraId="030B0CB2"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ПКС, УНДП</w:t>
            </w:r>
          </w:p>
        </w:tc>
        <w:tc>
          <w:tcPr>
            <w:tcW w:w="1182" w:type="dxa"/>
            <w:vMerge w:val="restart"/>
            <w:hideMark/>
          </w:tcPr>
          <w:p w14:paraId="59F2C607"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396" w:type="dxa"/>
            <w:vMerge w:val="restart"/>
            <w:hideMark/>
          </w:tcPr>
          <w:p w14:paraId="51A3F1AE"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vMerge w:val="restart"/>
            <w:hideMark/>
          </w:tcPr>
          <w:p w14:paraId="197B89B6"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0405-560-4011-462</w:t>
            </w:r>
          </w:p>
        </w:tc>
        <w:tc>
          <w:tcPr>
            <w:tcW w:w="1002" w:type="dxa"/>
            <w:vMerge w:val="restart"/>
            <w:hideMark/>
          </w:tcPr>
          <w:p w14:paraId="59126D3A"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2.000</w:t>
            </w:r>
          </w:p>
        </w:tc>
        <w:tc>
          <w:tcPr>
            <w:tcW w:w="991" w:type="dxa"/>
            <w:vMerge w:val="restart"/>
            <w:hideMark/>
          </w:tcPr>
          <w:p w14:paraId="32F5403C" w14:textId="77777777" w:rsidR="0080031B" w:rsidRPr="00EF2F18" w:rsidRDefault="0080031B" w:rsidP="00752CA0">
            <w:pPr>
              <w:spacing w:after="0"/>
              <w:jc w:val="right"/>
              <w:rPr>
                <w:rFonts w:eastAsia="Times New Roman" w:cs="Times New Roman"/>
                <w:color w:val="000000"/>
                <w:sz w:val="20"/>
                <w:szCs w:val="20"/>
                <w:lang w:val="sr-Cyrl-RS" w:eastAsia="sr-Cyrl-RS"/>
              </w:rPr>
            </w:pPr>
          </w:p>
        </w:tc>
        <w:tc>
          <w:tcPr>
            <w:tcW w:w="2044" w:type="dxa"/>
            <w:vMerge w:val="restart"/>
          </w:tcPr>
          <w:p w14:paraId="05AE026F" w14:textId="06B4BDDD" w:rsidR="0080031B" w:rsidRPr="00EF2F18" w:rsidRDefault="0080031B" w:rsidP="00752CA0">
            <w:pPr>
              <w:spacing w:after="0"/>
              <w:jc w:val="right"/>
              <w:rPr>
                <w:rFonts w:eastAsia="Times New Roman" w:cs="Times New Roman"/>
                <w:color w:val="000000"/>
                <w:sz w:val="20"/>
                <w:szCs w:val="20"/>
                <w:lang w:val="sr-Cyrl-RS" w:eastAsia="sr-Cyrl-RS"/>
              </w:rPr>
            </w:pPr>
          </w:p>
        </w:tc>
        <w:tc>
          <w:tcPr>
            <w:tcW w:w="236" w:type="dxa"/>
            <w:tcBorders>
              <w:top w:val="nil"/>
              <w:bottom w:val="nil"/>
              <w:right w:val="nil"/>
            </w:tcBorders>
            <w:vAlign w:val="center"/>
            <w:hideMark/>
          </w:tcPr>
          <w:p w14:paraId="7FA01E7B" w14:textId="77777777" w:rsidR="0080031B" w:rsidRPr="00EF2F18" w:rsidRDefault="0080031B" w:rsidP="00752CA0">
            <w:pPr>
              <w:spacing w:after="0"/>
              <w:rPr>
                <w:rFonts w:eastAsia="Times New Roman" w:cs="Times New Roman"/>
                <w:sz w:val="20"/>
                <w:szCs w:val="20"/>
                <w:lang w:val="sr-Cyrl-RS" w:eastAsia="sr-Cyrl-RS"/>
              </w:rPr>
            </w:pPr>
          </w:p>
        </w:tc>
      </w:tr>
      <w:tr w:rsidR="0080031B" w:rsidRPr="00EF2F18" w14:paraId="613496AB" w14:textId="77777777" w:rsidTr="0080031B">
        <w:trPr>
          <w:trHeight w:val="324"/>
        </w:trPr>
        <w:tc>
          <w:tcPr>
            <w:tcW w:w="3096" w:type="dxa"/>
            <w:vMerge/>
            <w:vAlign w:val="center"/>
            <w:hideMark/>
          </w:tcPr>
          <w:p w14:paraId="6F07608C"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57" w:type="dxa"/>
            <w:vMerge/>
            <w:vAlign w:val="center"/>
            <w:hideMark/>
          </w:tcPr>
          <w:p w14:paraId="090FDA17"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277" w:type="dxa"/>
            <w:vMerge/>
            <w:vAlign w:val="center"/>
            <w:hideMark/>
          </w:tcPr>
          <w:p w14:paraId="402E6851"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182" w:type="dxa"/>
            <w:vMerge/>
            <w:vAlign w:val="center"/>
            <w:hideMark/>
          </w:tcPr>
          <w:p w14:paraId="4F64BB99"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96" w:type="dxa"/>
            <w:vMerge/>
            <w:vAlign w:val="center"/>
            <w:hideMark/>
          </w:tcPr>
          <w:p w14:paraId="667DC40E"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340" w:type="dxa"/>
            <w:vMerge/>
            <w:vAlign w:val="center"/>
            <w:hideMark/>
          </w:tcPr>
          <w:p w14:paraId="01D7475F"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1002" w:type="dxa"/>
            <w:vMerge/>
            <w:vAlign w:val="center"/>
            <w:hideMark/>
          </w:tcPr>
          <w:p w14:paraId="506B309D"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991" w:type="dxa"/>
            <w:vMerge/>
            <w:vAlign w:val="center"/>
            <w:hideMark/>
          </w:tcPr>
          <w:p w14:paraId="3B34E508"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044" w:type="dxa"/>
            <w:vMerge/>
            <w:vAlign w:val="center"/>
            <w:hideMark/>
          </w:tcPr>
          <w:p w14:paraId="77433041"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36" w:type="dxa"/>
            <w:tcBorders>
              <w:top w:val="nil"/>
              <w:bottom w:val="nil"/>
              <w:right w:val="nil"/>
            </w:tcBorders>
            <w:noWrap/>
            <w:vAlign w:val="bottom"/>
            <w:hideMark/>
          </w:tcPr>
          <w:p w14:paraId="679F3156" w14:textId="77777777" w:rsidR="0080031B" w:rsidRPr="00EF2F18" w:rsidRDefault="0080031B" w:rsidP="00752CA0">
            <w:pPr>
              <w:spacing w:after="0"/>
              <w:rPr>
                <w:rFonts w:eastAsia="Times New Roman" w:cs="Times New Roman"/>
                <w:color w:val="000000"/>
                <w:sz w:val="20"/>
                <w:szCs w:val="20"/>
                <w:lang w:val="sr-Cyrl-RS" w:eastAsia="sr-Cyrl-RS"/>
              </w:rPr>
            </w:pPr>
          </w:p>
        </w:tc>
      </w:tr>
    </w:tbl>
    <w:p w14:paraId="39850393" w14:textId="2080A773" w:rsidR="007D7243" w:rsidRPr="00EF2F18" w:rsidRDefault="00CB5ECF"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48472163" w14:textId="77777777" w:rsidR="00CB5ECF" w:rsidRPr="00EF2F18" w:rsidRDefault="00CB5ECF"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894"/>
        <w:gridCol w:w="1520"/>
        <w:gridCol w:w="1311"/>
        <w:gridCol w:w="1440"/>
        <w:gridCol w:w="1497"/>
        <w:gridCol w:w="33"/>
      </w:tblGrid>
      <w:tr w:rsidR="007D7243" w:rsidRPr="00EF2F18" w14:paraId="3D77F813" w14:textId="77777777" w:rsidTr="0080031B">
        <w:trPr>
          <w:gridAfter w:val="1"/>
          <w:wAfter w:w="33" w:type="dxa"/>
          <w:trHeight w:val="336"/>
        </w:trPr>
        <w:tc>
          <w:tcPr>
            <w:tcW w:w="13542" w:type="dxa"/>
            <w:gridSpan w:val="9"/>
            <w:shd w:val="clear" w:color="000000" w:fill="F7CAAC"/>
            <w:vAlign w:val="center"/>
            <w:hideMark/>
          </w:tcPr>
          <w:p w14:paraId="3EE6F5F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2.2.2. Интегрисање безбедног управљања хемикалијама у концепт развоја циркуларне економије</w:t>
            </w:r>
          </w:p>
        </w:tc>
      </w:tr>
      <w:tr w:rsidR="007D7243" w:rsidRPr="00EF2F18" w14:paraId="22C91EBB" w14:textId="77777777" w:rsidTr="0080031B">
        <w:trPr>
          <w:gridAfter w:val="1"/>
          <w:wAfter w:w="33" w:type="dxa"/>
          <w:trHeight w:val="336"/>
        </w:trPr>
        <w:tc>
          <w:tcPr>
            <w:tcW w:w="13542" w:type="dxa"/>
            <w:gridSpan w:val="9"/>
            <w:shd w:val="clear" w:color="000000" w:fill="F7CAAC"/>
            <w:vAlign w:val="center"/>
            <w:hideMark/>
          </w:tcPr>
          <w:p w14:paraId="3E74D2D6"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w:t>
            </w:r>
          </w:p>
        </w:tc>
      </w:tr>
      <w:tr w:rsidR="007D7243" w:rsidRPr="00EF2F18" w14:paraId="6DDB21AA" w14:textId="77777777" w:rsidTr="0080031B">
        <w:trPr>
          <w:gridAfter w:val="1"/>
          <w:wAfter w:w="33" w:type="dxa"/>
          <w:trHeight w:val="336"/>
        </w:trPr>
        <w:tc>
          <w:tcPr>
            <w:tcW w:w="6880" w:type="dxa"/>
            <w:gridSpan w:val="4"/>
            <w:shd w:val="clear" w:color="000000" w:fill="F7CAAC"/>
            <w:vAlign w:val="center"/>
            <w:hideMark/>
          </w:tcPr>
          <w:p w14:paraId="18ACAE3F" w14:textId="29067E88"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80031B"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662" w:type="dxa"/>
            <w:gridSpan w:val="5"/>
            <w:shd w:val="clear" w:color="000000" w:fill="F7CAAC"/>
            <w:vAlign w:val="center"/>
            <w:hideMark/>
          </w:tcPr>
          <w:p w14:paraId="33A5773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Информативно едукативна</w:t>
            </w:r>
          </w:p>
        </w:tc>
      </w:tr>
      <w:tr w:rsidR="007D7243" w:rsidRPr="00EF2F18" w14:paraId="7BB8246D" w14:textId="77777777" w:rsidTr="0080031B">
        <w:trPr>
          <w:gridAfter w:val="1"/>
          <w:wAfter w:w="33" w:type="dxa"/>
          <w:trHeight w:val="336"/>
        </w:trPr>
        <w:tc>
          <w:tcPr>
            <w:tcW w:w="6880" w:type="dxa"/>
            <w:gridSpan w:val="4"/>
            <w:shd w:val="clear" w:color="000000" w:fill="F7CAAC"/>
            <w:vAlign w:val="center"/>
            <w:hideMark/>
          </w:tcPr>
          <w:p w14:paraId="0AA768C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62" w:type="dxa"/>
            <w:gridSpan w:val="5"/>
            <w:shd w:val="clear" w:color="000000" w:fill="F7CAAC"/>
            <w:vAlign w:val="center"/>
            <w:hideMark/>
          </w:tcPr>
          <w:p w14:paraId="536C45A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80031B" w:rsidRPr="00EF2F18" w14:paraId="7851EB16" w14:textId="77777777" w:rsidTr="0080031B">
        <w:trPr>
          <w:trHeight w:val="816"/>
        </w:trPr>
        <w:tc>
          <w:tcPr>
            <w:tcW w:w="3320" w:type="dxa"/>
            <w:shd w:val="clear" w:color="000000" w:fill="D9D9D9"/>
            <w:hideMark/>
          </w:tcPr>
          <w:p w14:paraId="625A5BDD"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3F830746"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20BAE80A"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94" w:type="dxa"/>
            <w:gridSpan w:val="2"/>
            <w:shd w:val="clear" w:color="000000" w:fill="D9D9D9"/>
            <w:hideMark/>
          </w:tcPr>
          <w:p w14:paraId="3D6498C8"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5745FFA1"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11" w:type="dxa"/>
            <w:shd w:val="clear" w:color="000000" w:fill="D9D9D9"/>
            <w:hideMark/>
          </w:tcPr>
          <w:p w14:paraId="6B719371"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7F323AAD"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gridSpan w:val="2"/>
            <w:shd w:val="clear" w:color="000000" w:fill="D9D9D9"/>
            <w:hideMark/>
          </w:tcPr>
          <w:p w14:paraId="4501FCF4"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80031B" w:rsidRPr="00EF2F18" w14:paraId="7E92839C" w14:textId="77777777" w:rsidTr="0080031B">
        <w:trPr>
          <w:trHeight w:val="816"/>
        </w:trPr>
        <w:tc>
          <w:tcPr>
            <w:tcW w:w="3320" w:type="dxa"/>
            <w:hideMark/>
          </w:tcPr>
          <w:p w14:paraId="79B4B203"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Израђена Мапа пута о безбедном управљању хемикалијама у концепту развоја циркуларне економије </w:t>
            </w:r>
          </w:p>
        </w:tc>
        <w:tc>
          <w:tcPr>
            <w:tcW w:w="1280" w:type="dxa"/>
            <w:shd w:val="clear" w:color="000000" w:fill="FFFFFF"/>
            <w:hideMark/>
          </w:tcPr>
          <w:p w14:paraId="241E0338"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Не/Да</w:t>
            </w:r>
          </w:p>
        </w:tc>
        <w:tc>
          <w:tcPr>
            <w:tcW w:w="1280" w:type="dxa"/>
            <w:hideMark/>
          </w:tcPr>
          <w:p w14:paraId="2E6E4500"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МЗЖС</w:t>
            </w:r>
          </w:p>
        </w:tc>
        <w:tc>
          <w:tcPr>
            <w:tcW w:w="1894" w:type="dxa"/>
            <w:gridSpan w:val="2"/>
            <w:shd w:val="clear" w:color="000000" w:fill="FFFFFF"/>
            <w:hideMark/>
          </w:tcPr>
          <w:p w14:paraId="5759D9AE"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20" w:type="dxa"/>
            <w:shd w:val="clear" w:color="000000" w:fill="FFFFFF"/>
            <w:hideMark/>
          </w:tcPr>
          <w:p w14:paraId="2D00C965"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311" w:type="dxa"/>
            <w:hideMark/>
          </w:tcPr>
          <w:p w14:paraId="7A580B5D"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440" w:type="dxa"/>
            <w:hideMark/>
          </w:tcPr>
          <w:p w14:paraId="1EB8E1BA"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530" w:type="dxa"/>
            <w:gridSpan w:val="2"/>
            <w:hideMark/>
          </w:tcPr>
          <w:p w14:paraId="35B868A0"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80031B" w:rsidRPr="00EF2F18" w14:paraId="70A5B606" w14:textId="77777777" w:rsidTr="0080031B">
        <w:trPr>
          <w:trHeight w:val="1344"/>
        </w:trPr>
        <w:tc>
          <w:tcPr>
            <w:tcW w:w="3320" w:type="dxa"/>
            <w:hideMark/>
          </w:tcPr>
          <w:p w14:paraId="55CFEE6F" w14:textId="77777777" w:rsidR="0080031B" w:rsidRPr="00EF2F18" w:rsidRDefault="0080031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спроведених обука за индустрију и рециклере о управљању хемикалијама и отпадом током њиховог животног циклуса на еколошки прихватљив начин</w:t>
            </w:r>
          </w:p>
        </w:tc>
        <w:tc>
          <w:tcPr>
            <w:tcW w:w="1280" w:type="dxa"/>
            <w:shd w:val="clear" w:color="000000" w:fill="FFFFFF"/>
            <w:hideMark/>
          </w:tcPr>
          <w:p w14:paraId="24FAEE6B" w14:textId="7A1FE643"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број </w:t>
            </w:r>
          </w:p>
        </w:tc>
        <w:tc>
          <w:tcPr>
            <w:tcW w:w="1280" w:type="dxa"/>
            <w:hideMark/>
          </w:tcPr>
          <w:p w14:paraId="49994D65"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Извештај МЗЖС</w:t>
            </w:r>
          </w:p>
        </w:tc>
        <w:tc>
          <w:tcPr>
            <w:tcW w:w="1894" w:type="dxa"/>
            <w:gridSpan w:val="2"/>
            <w:shd w:val="clear" w:color="000000" w:fill="FFFFFF"/>
            <w:hideMark/>
          </w:tcPr>
          <w:p w14:paraId="193B0352"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20" w:type="dxa"/>
            <w:shd w:val="clear" w:color="000000" w:fill="FFFFFF"/>
            <w:hideMark/>
          </w:tcPr>
          <w:p w14:paraId="07FB1C49"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311" w:type="dxa"/>
            <w:hideMark/>
          </w:tcPr>
          <w:p w14:paraId="0217EC92"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w:t>
            </w:r>
          </w:p>
        </w:tc>
        <w:tc>
          <w:tcPr>
            <w:tcW w:w="1440" w:type="dxa"/>
            <w:hideMark/>
          </w:tcPr>
          <w:p w14:paraId="6ADB469F"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w:t>
            </w:r>
          </w:p>
        </w:tc>
        <w:tc>
          <w:tcPr>
            <w:tcW w:w="1530" w:type="dxa"/>
            <w:gridSpan w:val="2"/>
            <w:hideMark/>
          </w:tcPr>
          <w:p w14:paraId="79313AB2" w14:textId="77777777"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w:t>
            </w:r>
          </w:p>
        </w:tc>
      </w:tr>
    </w:tbl>
    <w:p w14:paraId="2044EBA8" w14:textId="77777777" w:rsidR="007D7243" w:rsidRPr="00EF2F18" w:rsidRDefault="007D7243" w:rsidP="007D7243">
      <w:pPr>
        <w:spacing w:after="0"/>
        <w:rPr>
          <w:rFonts w:cs="Times New Roman"/>
          <w:sz w:val="20"/>
          <w:szCs w:val="20"/>
          <w:lang w:val="sr-Cyrl-RS"/>
        </w:rPr>
      </w:pPr>
    </w:p>
    <w:tbl>
      <w:tblPr>
        <w:tblW w:w="135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0"/>
        <w:gridCol w:w="2480"/>
        <w:gridCol w:w="2525"/>
        <w:gridCol w:w="2250"/>
        <w:gridCol w:w="2505"/>
        <w:gridCol w:w="15"/>
      </w:tblGrid>
      <w:tr w:rsidR="007D7243" w:rsidRPr="00EF2F18" w14:paraId="22A70124" w14:textId="77777777" w:rsidTr="0080031B">
        <w:trPr>
          <w:gridAfter w:val="1"/>
          <w:wAfter w:w="15" w:type="dxa"/>
          <w:trHeight w:val="336"/>
        </w:trPr>
        <w:tc>
          <w:tcPr>
            <w:tcW w:w="3800" w:type="dxa"/>
            <w:vMerge w:val="restart"/>
            <w:shd w:val="clear" w:color="000000" w:fill="A8D08D"/>
            <w:hideMark/>
          </w:tcPr>
          <w:p w14:paraId="0F11600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289DB7C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shd w:val="clear" w:color="000000" w:fill="A8D08D"/>
            <w:hideMark/>
          </w:tcPr>
          <w:p w14:paraId="459FE87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80031B" w:rsidRPr="00EF2F18" w14:paraId="023BA1D4" w14:textId="77777777" w:rsidTr="00FF4962">
        <w:trPr>
          <w:trHeight w:val="336"/>
        </w:trPr>
        <w:tc>
          <w:tcPr>
            <w:tcW w:w="3800" w:type="dxa"/>
            <w:vMerge/>
            <w:vAlign w:val="center"/>
            <w:hideMark/>
          </w:tcPr>
          <w:p w14:paraId="7BE393F9"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480" w:type="dxa"/>
            <w:vMerge/>
            <w:vAlign w:val="center"/>
            <w:hideMark/>
          </w:tcPr>
          <w:p w14:paraId="64B0A5C0" w14:textId="77777777" w:rsidR="0080031B" w:rsidRPr="00EF2F18" w:rsidRDefault="0080031B" w:rsidP="00752CA0">
            <w:pPr>
              <w:spacing w:after="0"/>
              <w:rPr>
                <w:rFonts w:eastAsia="Times New Roman" w:cs="Times New Roman"/>
                <w:color w:val="000000"/>
                <w:sz w:val="20"/>
                <w:szCs w:val="20"/>
                <w:lang w:val="sr-Cyrl-RS" w:eastAsia="sr-Cyrl-RS"/>
              </w:rPr>
            </w:pPr>
          </w:p>
        </w:tc>
        <w:tc>
          <w:tcPr>
            <w:tcW w:w="2525" w:type="dxa"/>
            <w:shd w:val="clear" w:color="000000" w:fill="A8D08D"/>
            <w:hideMark/>
          </w:tcPr>
          <w:p w14:paraId="3C86A9B3" w14:textId="0B2F356A"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2250" w:type="dxa"/>
            <w:shd w:val="clear" w:color="000000" w:fill="A8D08D"/>
            <w:hideMark/>
          </w:tcPr>
          <w:p w14:paraId="1528F971" w14:textId="609C4AF1"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2520" w:type="dxa"/>
            <w:gridSpan w:val="2"/>
            <w:shd w:val="clear" w:color="000000" w:fill="A8D08D"/>
            <w:hideMark/>
          </w:tcPr>
          <w:p w14:paraId="5FF62D7B" w14:textId="348E5B80" w:rsidR="0080031B" w:rsidRPr="00EF2F18" w:rsidRDefault="0080031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80031B" w:rsidRPr="00EF2F18" w14:paraId="39607B77" w14:textId="77777777" w:rsidTr="00FF4962">
        <w:trPr>
          <w:trHeight w:val="324"/>
        </w:trPr>
        <w:tc>
          <w:tcPr>
            <w:tcW w:w="3800" w:type="dxa"/>
            <w:shd w:val="clear" w:color="000000" w:fill="FFFFFF"/>
            <w:vAlign w:val="center"/>
            <w:hideMark/>
          </w:tcPr>
          <w:p w14:paraId="44BBE2D6" w14:textId="48F511A4" w:rsidR="0080031B" w:rsidRPr="00EF2F18" w:rsidRDefault="0080031B"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Донаторска средства*</w:t>
            </w:r>
          </w:p>
        </w:tc>
        <w:tc>
          <w:tcPr>
            <w:tcW w:w="2480" w:type="dxa"/>
            <w:shd w:val="clear" w:color="000000" w:fill="FFFFFF"/>
            <w:vAlign w:val="center"/>
            <w:hideMark/>
          </w:tcPr>
          <w:p w14:paraId="76F9F4A6" w14:textId="77777777" w:rsidR="0080031B" w:rsidRPr="00EF2F18" w:rsidRDefault="0080031B" w:rsidP="00752CA0">
            <w:pPr>
              <w:spacing w:after="0"/>
              <w:rPr>
                <w:rFonts w:eastAsia="Times New Roman" w:cs="Times New Roman"/>
                <w:color w:val="000000"/>
                <w:sz w:val="20"/>
                <w:szCs w:val="20"/>
                <w:highlight w:val="yellow"/>
                <w:lang w:val="sr-Cyrl-RS" w:eastAsia="sr-Cyrl-RS"/>
              </w:rPr>
            </w:pPr>
          </w:p>
        </w:tc>
        <w:tc>
          <w:tcPr>
            <w:tcW w:w="2525" w:type="dxa"/>
            <w:shd w:val="clear" w:color="000000" w:fill="FFFFFF"/>
            <w:vAlign w:val="center"/>
            <w:hideMark/>
          </w:tcPr>
          <w:p w14:paraId="12B5ECF2"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c>
          <w:tcPr>
            <w:tcW w:w="2250" w:type="dxa"/>
            <w:shd w:val="clear" w:color="000000" w:fill="FFFFFF"/>
            <w:vAlign w:val="center"/>
            <w:hideMark/>
          </w:tcPr>
          <w:p w14:paraId="684FCE10"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c>
          <w:tcPr>
            <w:tcW w:w="2520" w:type="dxa"/>
            <w:gridSpan w:val="2"/>
            <w:shd w:val="clear" w:color="000000" w:fill="FFFFFF"/>
            <w:vAlign w:val="center"/>
            <w:hideMark/>
          </w:tcPr>
          <w:p w14:paraId="58A126F5" w14:textId="77777777" w:rsidR="0080031B" w:rsidRPr="00EF2F18" w:rsidRDefault="0080031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r>
    </w:tbl>
    <w:p w14:paraId="54897ED9" w14:textId="77777777" w:rsidR="006C4764" w:rsidRPr="00EF2F18" w:rsidRDefault="006C4764" w:rsidP="007D7243">
      <w:pPr>
        <w:spacing w:after="0"/>
        <w:rPr>
          <w:rFonts w:cs="Times New Roman"/>
          <w:sz w:val="20"/>
          <w:szCs w:val="20"/>
          <w:lang w:val="sr-Cyrl-RS"/>
        </w:rPr>
      </w:pPr>
    </w:p>
    <w:p w14:paraId="0D5982F9" w14:textId="77777777" w:rsidR="007620E6" w:rsidRPr="00EF2F18" w:rsidRDefault="007620E6" w:rsidP="007D7243">
      <w:pPr>
        <w:spacing w:after="0"/>
        <w:rPr>
          <w:rFonts w:cs="Times New Roman"/>
          <w:sz w:val="20"/>
          <w:szCs w:val="20"/>
          <w:lang w:val="sr-Cyrl-RS"/>
        </w:rPr>
      </w:pPr>
    </w:p>
    <w:p w14:paraId="752061BD" w14:textId="77777777" w:rsidR="007620E6" w:rsidRPr="00EF2F18" w:rsidRDefault="007620E6" w:rsidP="007D7243">
      <w:pPr>
        <w:spacing w:after="0"/>
        <w:rPr>
          <w:rFonts w:cs="Times New Roman"/>
          <w:sz w:val="20"/>
          <w:szCs w:val="20"/>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1273"/>
        <w:gridCol w:w="1307"/>
        <w:gridCol w:w="1183"/>
        <w:gridCol w:w="1400"/>
        <w:gridCol w:w="1341"/>
        <w:gridCol w:w="1271"/>
        <w:gridCol w:w="1350"/>
        <w:gridCol w:w="1530"/>
      </w:tblGrid>
      <w:tr w:rsidR="007D7243" w:rsidRPr="00EF2F18" w14:paraId="4060D91F" w14:textId="77777777" w:rsidTr="00FF4962">
        <w:trPr>
          <w:trHeight w:val="700"/>
        </w:trPr>
        <w:tc>
          <w:tcPr>
            <w:tcW w:w="3020" w:type="dxa"/>
            <w:vMerge w:val="restart"/>
            <w:shd w:val="clear" w:color="000000" w:fill="FFF2CC"/>
            <w:hideMark/>
          </w:tcPr>
          <w:p w14:paraId="10BE7EB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273" w:type="dxa"/>
            <w:vMerge w:val="restart"/>
            <w:shd w:val="clear" w:color="000000" w:fill="FFF2CC"/>
            <w:hideMark/>
          </w:tcPr>
          <w:p w14:paraId="770F834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07" w:type="dxa"/>
            <w:vMerge w:val="restart"/>
            <w:shd w:val="clear" w:color="000000" w:fill="FFF2CC"/>
            <w:hideMark/>
          </w:tcPr>
          <w:p w14:paraId="292C040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3" w:type="dxa"/>
            <w:vMerge w:val="restart"/>
            <w:shd w:val="clear" w:color="000000" w:fill="FFF2CC"/>
            <w:hideMark/>
          </w:tcPr>
          <w:p w14:paraId="18A2395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227D663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1" w:type="dxa"/>
            <w:vMerge w:val="restart"/>
            <w:shd w:val="clear" w:color="000000" w:fill="FFF2CC"/>
            <w:hideMark/>
          </w:tcPr>
          <w:p w14:paraId="3FC70FA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51" w:type="dxa"/>
            <w:gridSpan w:val="3"/>
            <w:shd w:val="clear" w:color="000000" w:fill="FFF2CC"/>
            <w:hideMark/>
          </w:tcPr>
          <w:p w14:paraId="52AFE13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FF4962" w:rsidRPr="00EF2F18" w14:paraId="5AC925E4" w14:textId="77777777" w:rsidTr="00FF4962">
        <w:trPr>
          <w:trHeight w:val="444"/>
        </w:trPr>
        <w:tc>
          <w:tcPr>
            <w:tcW w:w="3020" w:type="dxa"/>
            <w:vMerge/>
            <w:vAlign w:val="center"/>
            <w:hideMark/>
          </w:tcPr>
          <w:p w14:paraId="5E764CAE"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73" w:type="dxa"/>
            <w:vMerge/>
            <w:vAlign w:val="center"/>
            <w:hideMark/>
          </w:tcPr>
          <w:p w14:paraId="7B68A7EB"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307" w:type="dxa"/>
            <w:vMerge/>
            <w:vAlign w:val="center"/>
            <w:hideMark/>
          </w:tcPr>
          <w:p w14:paraId="78FED41C"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183" w:type="dxa"/>
            <w:vMerge/>
            <w:vAlign w:val="center"/>
            <w:hideMark/>
          </w:tcPr>
          <w:p w14:paraId="631C2C2F"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400" w:type="dxa"/>
            <w:vMerge/>
            <w:vAlign w:val="center"/>
            <w:hideMark/>
          </w:tcPr>
          <w:p w14:paraId="4AD7E436"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341" w:type="dxa"/>
            <w:vMerge/>
            <w:vAlign w:val="center"/>
            <w:hideMark/>
          </w:tcPr>
          <w:p w14:paraId="575ABCFD"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71" w:type="dxa"/>
            <w:shd w:val="clear" w:color="000000" w:fill="FFF2CC"/>
            <w:hideMark/>
          </w:tcPr>
          <w:p w14:paraId="5E173917" w14:textId="08048D66"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350" w:type="dxa"/>
            <w:shd w:val="clear" w:color="000000" w:fill="FFF2CC"/>
            <w:hideMark/>
          </w:tcPr>
          <w:p w14:paraId="3BF617F9" w14:textId="78D4F7C1"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530" w:type="dxa"/>
            <w:shd w:val="clear" w:color="000000" w:fill="FFF2CC"/>
            <w:hideMark/>
          </w:tcPr>
          <w:p w14:paraId="6B028585" w14:textId="5F22F88A"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FF4962" w:rsidRPr="00EF2F18" w14:paraId="3D67F61F" w14:textId="77777777" w:rsidTr="00FF4962">
        <w:trPr>
          <w:trHeight w:val="1341"/>
        </w:trPr>
        <w:tc>
          <w:tcPr>
            <w:tcW w:w="3020" w:type="dxa"/>
            <w:hideMark/>
          </w:tcPr>
          <w:p w14:paraId="10F823DC"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2.2.2.1. Израда мапе пута интегрисања безбедног управљања хемикалијама у контексту развоја циркуларне економије</w:t>
            </w:r>
          </w:p>
          <w:p w14:paraId="71BF8F4A" w14:textId="115C9322" w:rsidR="00FF4962" w:rsidRPr="00EF2F18" w:rsidRDefault="00FF4962" w:rsidP="00752CA0">
            <w:pPr>
              <w:spacing w:after="0"/>
              <w:rPr>
                <w:rFonts w:eastAsia="Times New Roman" w:cs="Times New Roman"/>
                <w:color w:val="EE0000"/>
                <w:sz w:val="20"/>
                <w:szCs w:val="20"/>
                <w:lang w:val="sr-Cyrl-RS" w:eastAsia="sr-Cyrl-RS"/>
              </w:rPr>
            </w:pPr>
          </w:p>
        </w:tc>
        <w:tc>
          <w:tcPr>
            <w:tcW w:w="1273" w:type="dxa"/>
            <w:hideMark/>
          </w:tcPr>
          <w:p w14:paraId="5CE90690"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07" w:type="dxa"/>
            <w:hideMark/>
          </w:tcPr>
          <w:p w14:paraId="72ADA5BD"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МО</w:t>
            </w:r>
          </w:p>
        </w:tc>
        <w:tc>
          <w:tcPr>
            <w:tcW w:w="1183" w:type="dxa"/>
            <w:hideMark/>
          </w:tcPr>
          <w:p w14:paraId="0ABC454A" w14:textId="47EA8201"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 квартал 2027.</w:t>
            </w:r>
          </w:p>
        </w:tc>
        <w:tc>
          <w:tcPr>
            <w:tcW w:w="1400" w:type="dxa"/>
            <w:hideMark/>
          </w:tcPr>
          <w:p w14:paraId="73BAE4A6" w14:textId="3ADB5F56"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1" w:type="dxa"/>
          </w:tcPr>
          <w:p w14:paraId="63E29A0E" w14:textId="1483F4B5" w:rsidR="00FF4962" w:rsidRPr="00EF2F18" w:rsidRDefault="00FF4962" w:rsidP="00752CA0">
            <w:pPr>
              <w:spacing w:after="0"/>
              <w:rPr>
                <w:rFonts w:eastAsia="Times New Roman" w:cs="Times New Roman"/>
                <w:color w:val="000000"/>
                <w:sz w:val="20"/>
                <w:szCs w:val="20"/>
                <w:highlight w:val="yellow"/>
                <w:lang w:val="sr-Cyrl-RS" w:eastAsia="sr-Cyrl-RS"/>
              </w:rPr>
            </w:pPr>
          </w:p>
        </w:tc>
        <w:tc>
          <w:tcPr>
            <w:tcW w:w="1271" w:type="dxa"/>
          </w:tcPr>
          <w:p w14:paraId="4A03FD48" w14:textId="0B49425F" w:rsidR="00FF4962" w:rsidRPr="00EF2F18" w:rsidRDefault="00FF4962" w:rsidP="00752CA0">
            <w:pPr>
              <w:spacing w:after="0"/>
              <w:jc w:val="right"/>
              <w:rPr>
                <w:rFonts w:eastAsia="Times New Roman" w:cs="Times New Roman"/>
                <w:color w:val="000000"/>
                <w:sz w:val="20"/>
                <w:szCs w:val="20"/>
                <w:lang w:val="sr-Cyrl-RS" w:eastAsia="sr-Cyrl-RS"/>
              </w:rPr>
            </w:pPr>
          </w:p>
        </w:tc>
        <w:tc>
          <w:tcPr>
            <w:tcW w:w="1350" w:type="dxa"/>
          </w:tcPr>
          <w:p w14:paraId="16188E59" w14:textId="50FCBF71" w:rsidR="00FF4962" w:rsidRPr="00EF2F18" w:rsidRDefault="00FF4962" w:rsidP="00752CA0">
            <w:pPr>
              <w:spacing w:after="0"/>
              <w:jc w:val="right"/>
              <w:rPr>
                <w:rFonts w:eastAsia="Times New Roman" w:cs="Times New Roman"/>
                <w:color w:val="000000"/>
                <w:sz w:val="20"/>
                <w:szCs w:val="20"/>
                <w:lang w:val="sr-Cyrl-RS" w:eastAsia="sr-Cyrl-RS"/>
              </w:rPr>
            </w:pPr>
          </w:p>
        </w:tc>
        <w:tc>
          <w:tcPr>
            <w:tcW w:w="1530" w:type="dxa"/>
          </w:tcPr>
          <w:p w14:paraId="4719A1FB" w14:textId="7CFEAB40" w:rsidR="00FF4962" w:rsidRPr="00EF2F18" w:rsidRDefault="00FF4962" w:rsidP="00752CA0">
            <w:pPr>
              <w:spacing w:after="0"/>
              <w:jc w:val="right"/>
              <w:rPr>
                <w:rFonts w:eastAsia="Times New Roman" w:cs="Times New Roman"/>
                <w:color w:val="000000"/>
                <w:sz w:val="20"/>
                <w:szCs w:val="20"/>
                <w:lang w:val="sr-Cyrl-RS" w:eastAsia="sr-Cyrl-RS"/>
              </w:rPr>
            </w:pPr>
          </w:p>
        </w:tc>
      </w:tr>
      <w:tr w:rsidR="00FF4962" w:rsidRPr="00EF2F18" w14:paraId="4FCACED8" w14:textId="77777777" w:rsidTr="00FF4962">
        <w:trPr>
          <w:trHeight w:val="1872"/>
        </w:trPr>
        <w:tc>
          <w:tcPr>
            <w:tcW w:w="3020" w:type="dxa"/>
            <w:hideMark/>
          </w:tcPr>
          <w:p w14:paraId="5859D83B"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2.2.2.2. Спровођење едукације привредних субјеката (хемијске индустрије и рециклажне индустрије) о управљању хемикалијама и отпадом током њиховог животног циклуса на еколошки прихватљив начин</w:t>
            </w:r>
          </w:p>
        </w:tc>
        <w:tc>
          <w:tcPr>
            <w:tcW w:w="1273" w:type="dxa"/>
            <w:hideMark/>
          </w:tcPr>
          <w:p w14:paraId="09C92887"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07" w:type="dxa"/>
            <w:hideMark/>
          </w:tcPr>
          <w:p w14:paraId="05247566"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МРЗБСП, МО, ПКС, Привредни субјекти у рециклажној индустрији, ОЦД</w:t>
            </w:r>
          </w:p>
        </w:tc>
        <w:tc>
          <w:tcPr>
            <w:tcW w:w="1183" w:type="dxa"/>
            <w:hideMark/>
          </w:tcPr>
          <w:p w14:paraId="62B87FED"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400" w:type="dxa"/>
            <w:hideMark/>
          </w:tcPr>
          <w:p w14:paraId="5B1097F0" w14:textId="082547A2"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1" w:type="dxa"/>
          </w:tcPr>
          <w:p w14:paraId="26A1C128" w14:textId="254F6E17" w:rsidR="00FF4962" w:rsidRPr="00EF2F18" w:rsidRDefault="00FF4962" w:rsidP="00752CA0">
            <w:pPr>
              <w:spacing w:after="0"/>
              <w:rPr>
                <w:rFonts w:eastAsia="Times New Roman" w:cs="Times New Roman"/>
                <w:color w:val="000000"/>
                <w:sz w:val="20"/>
                <w:szCs w:val="20"/>
                <w:lang w:val="sr-Cyrl-RS" w:eastAsia="sr-Cyrl-RS"/>
              </w:rPr>
            </w:pPr>
          </w:p>
        </w:tc>
        <w:tc>
          <w:tcPr>
            <w:tcW w:w="1271" w:type="dxa"/>
            <w:hideMark/>
          </w:tcPr>
          <w:p w14:paraId="7C8F6E89"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c>
          <w:tcPr>
            <w:tcW w:w="1350" w:type="dxa"/>
            <w:hideMark/>
          </w:tcPr>
          <w:p w14:paraId="259068EB"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c>
          <w:tcPr>
            <w:tcW w:w="1530" w:type="dxa"/>
            <w:hideMark/>
          </w:tcPr>
          <w:p w14:paraId="3015CF9F"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3.000*</w:t>
            </w:r>
          </w:p>
        </w:tc>
      </w:tr>
    </w:tbl>
    <w:p w14:paraId="326E0445" w14:textId="7DECC579" w:rsidR="007D7243" w:rsidRPr="00EF2F18" w:rsidRDefault="00CB5ECF"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41A68FB3" w14:textId="77777777" w:rsidR="007D7243" w:rsidRPr="00EF2F18" w:rsidRDefault="007D7243" w:rsidP="007D7243">
      <w:pPr>
        <w:rPr>
          <w:lang w:val="sr-Cyrl-RS"/>
        </w:rPr>
      </w:pPr>
    </w:p>
    <w:tbl>
      <w:tblPr>
        <w:tblW w:w="13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20"/>
        <w:gridCol w:w="1280"/>
        <w:gridCol w:w="1280"/>
        <w:gridCol w:w="1000"/>
        <w:gridCol w:w="1000"/>
        <w:gridCol w:w="1735"/>
        <w:gridCol w:w="1260"/>
        <w:gridCol w:w="1350"/>
        <w:gridCol w:w="1415"/>
        <w:gridCol w:w="25"/>
      </w:tblGrid>
      <w:tr w:rsidR="007D7243" w:rsidRPr="00EF2F18" w14:paraId="12AC3FFA" w14:textId="77777777" w:rsidTr="00FF4962">
        <w:trPr>
          <w:gridAfter w:val="1"/>
          <w:wAfter w:w="25" w:type="dxa"/>
          <w:trHeight w:val="336"/>
        </w:trPr>
        <w:tc>
          <w:tcPr>
            <w:tcW w:w="13640" w:type="dxa"/>
            <w:gridSpan w:val="9"/>
            <w:shd w:val="clear" w:color="000000" w:fill="F7CAAC"/>
            <w:vAlign w:val="center"/>
            <w:hideMark/>
          </w:tcPr>
          <w:p w14:paraId="2DE3AE8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2.2.3. Подршка изградњи капацитета за искоришћење отпадног муља из постројења за пречишћавање отпадних вода</w:t>
            </w:r>
          </w:p>
        </w:tc>
      </w:tr>
      <w:tr w:rsidR="007D7243" w:rsidRPr="00EF2F18" w14:paraId="42EC32AE" w14:textId="77777777" w:rsidTr="00FF4962">
        <w:trPr>
          <w:gridAfter w:val="1"/>
          <w:wAfter w:w="25" w:type="dxa"/>
          <w:trHeight w:val="336"/>
        </w:trPr>
        <w:tc>
          <w:tcPr>
            <w:tcW w:w="13640" w:type="dxa"/>
            <w:gridSpan w:val="9"/>
            <w:shd w:val="clear" w:color="000000" w:fill="F7CAAC"/>
            <w:vAlign w:val="center"/>
            <w:hideMark/>
          </w:tcPr>
          <w:p w14:paraId="751F0ABF"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4B2B2359" w14:textId="77777777" w:rsidTr="00FF4962">
        <w:trPr>
          <w:gridAfter w:val="1"/>
          <w:wAfter w:w="25" w:type="dxa"/>
          <w:trHeight w:val="336"/>
        </w:trPr>
        <w:tc>
          <w:tcPr>
            <w:tcW w:w="6880" w:type="dxa"/>
            <w:gridSpan w:val="4"/>
            <w:shd w:val="clear" w:color="000000" w:fill="F7CAAC"/>
            <w:vAlign w:val="center"/>
            <w:hideMark/>
          </w:tcPr>
          <w:p w14:paraId="7A610943" w14:textId="76B64E3A"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FF4962"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760" w:type="dxa"/>
            <w:gridSpan w:val="5"/>
            <w:shd w:val="clear" w:color="000000" w:fill="F7CAAC"/>
            <w:vAlign w:val="center"/>
            <w:hideMark/>
          </w:tcPr>
          <w:p w14:paraId="77AD3730" w14:textId="13F083E3"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r w:rsidR="00FA7222" w:rsidRPr="00EF2F18">
              <w:rPr>
                <w:rFonts w:eastAsia="Times New Roman" w:cs="Times New Roman"/>
                <w:color w:val="000000"/>
                <w:sz w:val="20"/>
                <w:szCs w:val="20"/>
                <w:lang w:val="sr-Cyrl-RS" w:eastAsia="sr-Cyrl-RS"/>
              </w:rPr>
              <w:t xml:space="preserve"> </w:t>
            </w:r>
          </w:p>
        </w:tc>
      </w:tr>
      <w:tr w:rsidR="007D7243" w:rsidRPr="00EF2F18" w14:paraId="5960CB8D" w14:textId="77777777" w:rsidTr="00FF4962">
        <w:trPr>
          <w:gridAfter w:val="1"/>
          <w:wAfter w:w="25" w:type="dxa"/>
          <w:trHeight w:val="336"/>
        </w:trPr>
        <w:tc>
          <w:tcPr>
            <w:tcW w:w="6880" w:type="dxa"/>
            <w:gridSpan w:val="4"/>
            <w:shd w:val="clear" w:color="000000" w:fill="F7CAAC"/>
            <w:vAlign w:val="center"/>
            <w:hideMark/>
          </w:tcPr>
          <w:p w14:paraId="50F7F15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shd w:val="clear" w:color="000000" w:fill="F7CAAC"/>
            <w:vAlign w:val="center"/>
            <w:hideMark/>
          </w:tcPr>
          <w:p w14:paraId="52F3431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FF4962" w:rsidRPr="00EF2F18" w14:paraId="6F14BD97" w14:textId="77777777" w:rsidTr="00FF4962">
        <w:trPr>
          <w:trHeight w:val="816"/>
        </w:trPr>
        <w:tc>
          <w:tcPr>
            <w:tcW w:w="3320" w:type="dxa"/>
            <w:shd w:val="clear" w:color="000000" w:fill="D9D9D9"/>
            <w:hideMark/>
          </w:tcPr>
          <w:p w14:paraId="716DBB08"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19AD27CE"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22DCD418"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shd w:val="clear" w:color="000000" w:fill="D9D9D9"/>
            <w:hideMark/>
          </w:tcPr>
          <w:p w14:paraId="0CC1506C"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735" w:type="dxa"/>
            <w:shd w:val="clear" w:color="000000" w:fill="D9D9D9"/>
            <w:hideMark/>
          </w:tcPr>
          <w:p w14:paraId="6F36FF72"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60" w:type="dxa"/>
            <w:shd w:val="clear" w:color="000000" w:fill="D9D9D9"/>
            <w:hideMark/>
          </w:tcPr>
          <w:p w14:paraId="17B5CD30"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shd w:val="clear" w:color="000000" w:fill="D9D9D9"/>
            <w:hideMark/>
          </w:tcPr>
          <w:p w14:paraId="348D6BA0"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440" w:type="dxa"/>
            <w:gridSpan w:val="2"/>
            <w:shd w:val="clear" w:color="000000" w:fill="D9D9D9"/>
            <w:hideMark/>
          </w:tcPr>
          <w:p w14:paraId="3066B404"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FF4962" w:rsidRPr="00EF2F18" w14:paraId="38A46E4A" w14:textId="77777777" w:rsidTr="00FF4962">
        <w:trPr>
          <w:trHeight w:val="1707"/>
        </w:trPr>
        <w:tc>
          <w:tcPr>
            <w:tcW w:w="3320" w:type="dxa"/>
            <w:hideMark/>
          </w:tcPr>
          <w:p w14:paraId="09BA3648"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Степен искоришћеног муља у односу на укупно генерисани муљ </w:t>
            </w:r>
          </w:p>
        </w:tc>
        <w:tc>
          <w:tcPr>
            <w:tcW w:w="1280" w:type="dxa"/>
            <w:shd w:val="clear" w:color="000000" w:fill="FFFFFF"/>
            <w:hideMark/>
          </w:tcPr>
          <w:p w14:paraId="47C11556"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hideMark/>
          </w:tcPr>
          <w:p w14:paraId="555C7263"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стању животне средине, РЗС, Еко билтен</w:t>
            </w:r>
          </w:p>
        </w:tc>
        <w:tc>
          <w:tcPr>
            <w:tcW w:w="2000" w:type="dxa"/>
            <w:gridSpan w:val="2"/>
            <w:shd w:val="clear" w:color="000000" w:fill="FFFFFF"/>
            <w:hideMark/>
          </w:tcPr>
          <w:p w14:paraId="569D1A41"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735" w:type="dxa"/>
            <w:shd w:val="clear" w:color="000000" w:fill="FFFFFF"/>
            <w:hideMark/>
          </w:tcPr>
          <w:p w14:paraId="640504BB"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260" w:type="dxa"/>
            <w:hideMark/>
          </w:tcPr>
          <w:p w14:paraId="43FB8DD7"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10</w:t>
            </w:r>
          </w:p>
        </w:tc>
        <w:tc>
          <w:tcPr>
            <w:tcW w:w="1350" w:type="dxa"/>
            <w:hideMark/>
          </w:tcPr>
          <w:p w14:paraId="247D4E18"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w:t>
            </w:r>
          </w:p>
        </w:tc>
        <w:tc>
          <w:tcPr>
            <w:tcW w:w="1440" w:type="dxa"/>
            <w:gridSpan w:val="2"/>
            <w:hideMark/>
          </w:tcPr>
          <w:p w14:paraId="7629B227" w14:textId="7777777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30</w:t>
            </w:r>
          </w:p>
        </w:tc>
      </w:tr>
    </w:tbl>
    <w:p w14:paraId="1727EAEC" w14:textId="77777777" w:rsidR="007D7243" w:rsidRPr="00EF2F18" w:rsidRDefault="007D7243" w:rsidP="007D7243">
      <w:pPr>
        <w:rPr>
          <w:lang w:val="sr-Cyrl-RS"/>
        </w:rPr>
      </w:pPr>
    </w:p>
    <w:tbl>
      <w:tblPr>
        <w:tblW w:w="137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21"/>
        <w:gridCol w:w="2562"/>
        <w:gridCol w:w="2422"/>
        <w:gridCol w:w="2430"/>
        <w:gridCol w:w="2487"/>
      </w:tblGrid>
      <w:tr w:rsidR="007D7243" w:rsidRPr="00EF2F18" w14:paraId="148E1745" w14:textId="77777777" w:rsidTr="00FF4962">
        <w:trPr>
          <w:trHeight w:val="331"/>
        </w:trPr>
        <w:tc>
          <w:tcPr>
            <w:tcW w:w="3821" w:type="dxa"/>
            <w:vMerge w:val="restart"/>
            <w:shd w:val="clear" w:color="000000" w:fill="A8D08D"/>
            <w:hideMark/>
          </w:tcPr>
          <w:p w14:paraId="716C11A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62" w:type="dxa"/>
            <w:vMerge w:val="restart"/>
            <w:shd w:val="clear" w:color="000000" w:fill="A8D08D"/>
            <w:hideMark/>
          </w:tcPr>
          <w:p w14:paraId="59ED730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39" w:type="dxa"/>
            <w:gridSpan w:val="3"/>
            <w:shd w:val="clear" w:color="000000" w:fill="A8D08D"/>
            <w:hideMark/>
          </w:tcPr>
          <w:p w14:paraId="0561D0A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FF4962" w:rsidRPr="00EF2F18" w14:paraId="5B6A06A7" w14:textId="77777777" w:rsidTr="00FF4962">
        <w:trPr>
          <w:trHeight w:val="331"/>
        </w:trPr>
        <w:tc>
          <w:tcPr>
            <w:tcW w:w="3821" w:type="dxa"/>
            <w:vMerge/>
            <w:vAlign w:val="center"/>
            <w:hideMark/>
          </w:tcPr>
          <w:p w14:paraId="2A1F76ED"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2562" w:type="dxa"/>
            <w:vMerge/>
            <w:vAlign w:val="center"/>
            <w:hideMark/>
          </w:tcPr>
          <w:p w14:paraId="1422392B"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2422" w:type="dxa"/>
            <w:shd w:val="clear" w:color="000000" w:fill="A8D08D"/>
            <w:hideMark/>
          </w:tcPr>
          <w:p w14:paraId="62D87E5B" w14:textId="777CC650"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2430" w:type="dxa"/>
            <w:shd w:val="clear" w:color="000000" w:fill="A8D08D"/>
            <w:hideMark/>
          </w:tcPr>
          <w:p w14:paraId="26744FCA" w14:textId="5DEEEBD7"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2487" w:type="dxa"/>
            <w:shd w:val="clear" w:color="000000" w:fill="A8D08D"/>
            <w:hideMark/>
          </w:tcPr>
          <w:p w14:paraId="5725ACFB" w14:textId="24EF3CCB"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FF4962" w:rsidRPr="00EF2F18" w14:paraId="06E5E422" w14:textId="77777777" w:rsidTr="00FF4962">
        <w:trPr>
          <w:trHeight w:val="331"/>
        </w:trPr>
        <w:tc>
          <w:tcPr>
            <w:tcW w:w="3821" w:type="dxa"/>
            <w:shd w:val="clear" w:color="000000" w:fill="FFFFFF"/>
            <w:hideMark/>
          </w:tcPr>
          <w:p w14:paraId="76E2DA3A" w14:textId="5610975E"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(Влада Шпаније) (средства не пролазе кроз буџет РС)</w:t>
            </w:r>
          </w:p>
        </w:tc>
        <w:tc>
          <w:tcPr>
            <w:tcW w:w="2562" w:type="dxa"/>
            <w:shd w:val="clear" w:color="000000" w:fill="FFFFFF"/>
            <w:hideMark/>
          </w:tcPr>
          <w:p w14:paraId="77DAD329" w14:textId="77777777" w:rsidR="00FF4962" w:rsidRPr="00EF2F18" w:rsidRDefault="00FF4962"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 </w:t>
            </w:r>
          </w:p>
        </w:tc>
        <w:tc>
          <w:tcPr>
            <w:tcW w:w="2422" w:type="dxa"/>
            <w:shd w:val="clear" w:color="000000" w:fill="FFFFFF"/>
            <w:hideMark/>
          </w:tcPr>
          <w:p w14:paraId="5C92BE6A"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13.451</w:t>
            </w:r>
          </w:p>
        </w:tc>
        <w:tc>
          <w:tcPr>
            <w:tcW w:w="2430" w:type="dxa"/>
            <w:shd w:val="clear" w:color="000000" w:fill="FFFFFF"/>
            <w:hideMark/>
          </w:tcPr>
          <w:p w14:paraId="049FE03F"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87" w:type="dxa"/>
            <w:shd w:val="clear" w:color="000000" w:fill="FFFFFF"/>
            <w:hideMark/>
          </w:tcPr>
          <w:p w14:paraId="046A8E68"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FF4962" w:rsidRPr="00EF2F18" w14:paraId="1E650003" w14:textId="77777777" w:rsidTr="00F418DF">
        <w:trPr>
          <w:trHeight w:val="412"/>
        </w:trPr>
        <w:tc>
          <w:tcPr>
            <w:tcW w:w="3821" w:type="dxa"/>
            <w:shd w:val="clear" w:color="000000" w:fill="FFFFFF"/>
            <w:hideMark/>
          </w:tcPr>
          <w:p w14:paraId="3C6D903E"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2562" w:type="dxa"/>
            <w:shd w:val="clear" w:color="000000" w:fill="FFFFFF"/>
            <w:hideMark/>
          </w:tcPr>
          <w:p w14:paraId="52437496" w14:textId="77777777" w:rsidR="00FF4962" w:rsidRPr="00EF2F18" w:rsidRDefault="00FF4962"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 </w:t>
            </w:r>
          </w:p>
        </w:tc>
        <w:tc>
          <w:tcPr>
            <w:tcW w:w="2422" w:type="dxa"/>
            <w:hideMark/>
          </w:tcPr>
          <w:p w14:paraId="26E9D091"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373.254</w:t>
            </w:r>
          </w:p>
        </w:tc>
        <w:tc>
          <w:tcPr>
            <w:tcW w:w="2430" w:type="dxa"/>
            <w:hideMark/>
          </w:tcPr>
          <w:p w14:paraId="72F31A06"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373.254</w:t>
            </w:r>
          </w:p>
        </w:tc>
        <w:tc>
          <w:tcPr>
            <w:tcW w:w="2487" w:type="dxa"/>
            <w:shd w:val="clear" w:color="000000" w:fill="FFFFFF"/>
            <w:hideMark/>
          </w:tcPr>
          <w:p w14:paraId="733A4B3B"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23BE2405" w14:textId="77777777" w:rsidR="007D7243" w:rsidRPr="00EF2F18" w:rsidRDefault="007D7243" w:rsidP="007D7243">
      <w:pPr>
        <w:rPr>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1241"/>
        <w:gridCol w:w="1269"/>
        <w:gridCol w:w="1182"/>
        <w:gridCol w:w="1691"/>
        <w:gridCol w:w="1340"/>
        <w:gridCol w:w="1247"/>
        <w:gridCol w:w="1350"/>
        <w:gridCol w:w="1440"/>
      </w:tblGrid>
      <w:tr w:rsidR="007D7243" w:rsidRPr="00EF2F18" w14:paraId="143DEF7F" w14:textId="77777777" w:rsidTr="00FF4962">
        <w:trPr>
          <w:trHeight w:val="714"/>
        </w:trPr>
        <w:tc>
          <w:tcPr>
            <w:tcW w:w="2915" w:type="dxa"/>
            <w:vMerge w:val="restart"/>
            <w:shd w:val="clear" w:color="000000" w:fill="FFF2CC"/>
            <w:hideMark/>
          </w:tcPr>
          <w:p w14:paraId="50789EB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41" w:type="dxa"/>
            <w:vMerge w:val="restart"/>
            <w:shd w:val="clear" w:color="000000" w:fill="FFF2CC"/>
            <w:hideMark/>
          </w:tcPr>
          <w:p w14:paraId="3E6ED17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69" w:type="dxa"/>
            <w:vMerge w:val="restart"/>
            <w:shd w:val="clear" w:color="000000" w:fill="FFF2CC"/>
            <w:hideMark/>
          </w:tcPr>
          <w:p w14:paraId="3C659D8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2159878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02B1426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shd w:val="clear" w:color="000000" w:fill="FFF2CC"/>
            <w:hideMark/>
          </w:tcPr>
          <w:p w14:paraId="654E172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37" w:type="dxa"/>
            <w:gridSpan w:val="3"/>
            <w:shd w:val="clear" w:color="000000" w:fill="FFF2CC"/>
            <w:hideMark/>
          </w:tcPr>
          <w:p w14:paraId="7FDB1EE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FF4962" w:rsidRPr="00EF2F18" w14:paraId="7FBA9BDC" w14:textId="77777777" w:rsidTr="00FF4962">
        <w:trPr>
          <w:trHeight w:val="452"/>
        </w:trPr>
        <w:tc>
          <w:tcPr>
            <w:tcW w:w="2915" w:type="dxa"/>
            <w:vMerge/>
            <w:vAlign w:val="center"/>
            <w:hideMark/>
          </w:tcPr>
          <w:p w14:paraId="2719919D"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41" w:type="dxa"/>
            <w:vMerge/>
            <w:vAlign w:val="center"/>
            <w:hideMark/>
          </w:tcPr>
          <w:p w14:paraId="1AF3E989"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69" w:type="dxa"/>
            <w:vMerge/>
            <w:vAlign w:val="center"/>
            <w:hideMark/>
          </w:tcPr>
          <w:p w14:paraId="1A52FAC6"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182" w:type="dxa"/>
            <w:vMerge/>
            <w:vAlign w:val="center"/>
            <w:hideMark/>
          </w:tcPr>
          <w:p w14:paraId="7C6B34C6"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691" w:type="dxa"/>
            <w:vMerge/>
            <w:vAlign w:val="center"/>
            <w:hideMark/>
          </w:tcPr>
          <w:p w14:paraId="37D48EA2"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340" w:type="dxa"/>
            <w:vMerge/>
            <w:vAlign w:val="center"/>
            <w:hideMark/>
          </w:tcPr>
          <w:p w14:paraId="7070BCAF"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47" w:type="dxa"/>
            <w:shd w:val="clear" w:color="000000" w:fill="FFF2CC"/>
            <w:hideMark/>
          </w:tcPr>
          <w:p w14:paraId="0E44C241" w14:textId="4115175C"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350" w:type="dxa"/>
            <w:shd w:val="clear" w:color="000000" w:fill="FFF2CC"/>
            <w:hideMark/>
          </w:tcPr>
          <w:p w14:paraId="7EDCE504" w14:textId="3D29BA62"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shd w:val="clear" w:color="000000" w:fill="FFF2CC"/>
            <w:hideMark/>
          </w:tcPr>
          <w:p w14:paraId="7B4ACD80" w14:textId="228706E0" w:rsidR="00FF4962" w:rsidRPr="00EF2F18" w:rsidRDefault="00FF496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FF4962" w:rsidRPr="00EF2F18" w14:paraId="642988C9" w14:textId="77777777" w:rsidTr="00FF4962">
        <w:trPr>
          <w:trHeight w:val="653"/>
        </w:trPr>
        <w:tc>
          <w:tcPr>
            <w:tcW w:w="2915" w:type="dxa"/>
            <w:vMerge w:val="restart"/>
            <w:hideMark/>
          </w:tcPr>
          <w:p w14:paraId="7E1E49E2" w14:textId="2F52E5D9"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2.2.3.</w:t>
            </w:r>
            <w:r w:rsidR="001D0A2F"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 xml:space="preserve">. Надоградња постојећих постројења за пречишћавање отпадних вода ради термичког сушења муља- припреме за коинсинерацију у цементарама и термоелектранама </w:t>
            </w:r>
          </w:p>
        </w:tc>
        <w:tc>
          <w:tcPr>
            <w:tcW w:w="1241" w:type="dxa"/>
            <w:vMerge w:val="restart"/>
            <w:hideMark/>
          </w:tcPr>
          <w:p w14:paraId="6B055B49"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69" w:type="dxa"/>
            <w:vMerge w:val="restart"/>
            <w:hideMark/>
          </w:tcPr>
          <w:p w14:paraId="478BFDEC"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ЈКП, ЈЛС</w:t>
            </w:r>
          </w:p>
        </w:tc>
        <w:tc>
          <w:tcPr>
            <w:tcW w:w="1182" w:type="dxa"/>
            <w:vMerge w:val="restart"/>
            <w:hideMark/>
          </w:tcPr>
          <w:p w14:paraId="6099310E"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tcBorders>
              <w:bottom w:val="nil"/>
            </w:tcBorders>
            <w:hideMark/>
          </w:tcPr>
          <w:p w14:paraId="67D73198"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Донаторска средства (Влада Шпаније) </w:t>
            </w:r>
          </w:p>
          <w:p w14:paraId="6FFBDC9F" w14:textId="31781C01"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1340" w:type="dxa"/>
            <w:tcBorders>
              <w:bottom w:val="nil"/>
            </w:tcBorders>
            <w:hideMark/>
          </w:tcPr>
          <w:p w14:paraId="2C4BA73D"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47" w:type="dxa"/>
            <w:tcBorders>
              <w:bottom w:val="nil"/>
            </w:tcBorders>
            <w:hideMark/>
          </w:tcPr>
          <w:p w14:paraId="6F8F00C2"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13.451</w:t>
            </w:r>
          </w:p>
        </w:tc>
        <w:tc>
          <w:tcPr>
            <w:tcW w:w="1350" w:type="dxa"/>
            <w:tcBorders>
              <w:bottom w:val="nil"/>
            </w:tcBorders>
            <w:hideMark/>
          </w:tcPr>
          <w:p w14:paraId="5C1CFA67"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440" w:type="dxa"/>
            <w:vMerge w:val="restart"/>
            <w:hideMark/>
          </w:tcPr>
          <w:p w14:paraId="5EBF18DC"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FF4962" w:rsidRPr="00EF2F18" w14:paraId="3A6EA469" w14:textId="77777777" w:rsidTr="00FF4962">
        <w:trPr>
          <w:trHeight w:val="320"/>
        </w:trPr>
        <w:tc>
          <w:tcPr>
            <w:tcW w:w="2915" w:type="dxa"/>
            <w:vMerge/>
            <w:vAlign w:val="center"/>
            <w:hideMark/>
          </w:tcPr>
          <w:p w14:paraId="28717132"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41" w:type="dxa"/>
            <w:vMerge/>
            <w:vAlign w:val="center"/>
            <w:hideMark/>
          </w:tcPr>
          <w:p w14:paraId="23104D67"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69" w:type="dxa"/>
            <w:vMerge/>
            <w:vAlign w:val="center"/>
            <w:hideMark/>
          </w:tcPr>
          <w:p w14:paraId="437631C6"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182" w:type="dxa"/>
            <w:vMerge/>
            <w:vAlign w:val="center"/>
            <w:hideMark/>
          </w:tcPr>
          <w:p w14:paraId="28604C1A"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691" w:type="dxa"/>
            <w:tcBorders>
              <w:top w:val="nil"/>
              <w:bottom w:val="nil"/>
            </w:tcBorders>
            <w:hideMark/>
          </w:tcPr>
          <w:p w14:paraId="11544CC0"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40" w:type="dxa"/>
            <w:tcBorders>
              <w:top w:val="nil"/>
              <w:bottom w:val="nil"/>
            </w:tcBorders>
            <w:hideMark/>
          </w:tcPr>
          <w:p w14:paraId="6A112A47"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47" w:type="dxa"/>
            <w:tcBorders>
              <w:top w:val="nil"/>
              <w:bottom w:val="nil"/>
            </w:tcBorders>
            <w:hideMark/>
          </w:tcPr>
          <w:p w14:paraId="3D7A44B1"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350" w:type="dxa"/>
            <w:tcBorders>
              <w:top w:val="nil"/>
              <w:bottom w:val="nil"/>
            </w:tcBorders>
            <w:hideMark/>
          </w:tcPr>
          <w:p w14:paraId="16A9FEB7"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440" w:type="dxa"/>
            <w:vMerge/>
            <w:vAlign w:val="center"/>
            <w:hideMark/>
          </w:tcPr>
          <w:p w14:paraId="129D5FBE" w14:textId="77777777" w:rsidR="00FF4962" w:rsidRPr="00EF2F18" w:rsidRDefault="00FF4962" w:rsidP="00752CA0">
            <w:pPr>
              <w:spacing w:after="0"/>
              <w:jc w:val="right"/>
              <w:rPr>
                <w:rFonts w:eastAsia="Times New Roman" w:cs="Times New Roman"/>
                <w:color w:val="000000"/>
                <w:sz w:val="20"/>
                <w:szCs w:val="20"/>
                <w:lang w:val="sr-Cyrl-RS" w:eastAsia="sr-Cyrl-RS"/>
              </w:rPr>
            </w:pPr>
          </w:p>
        </w:tc>
      </w:tr>
      <w:tr w:rsidR="00FF4962" w:rsidRPr="00EF2F18" w14:paraId="1E58DC29" w14:textId="77777777" w:rsidTr="00FF4962">
        <w:trPr>
          <w:trHeight w:val="663"/>
        </w:trPr>
        <w:tc>
          <w:tcPr>
            <w:tcW w:w="2915" w:type="dxa"/>
            <w:vMerge/>
            <w:vAlign w:val="center"/>
            <w:hideMark/>
          </w:tcPr>
          <w:p w14:paraId="41A62650"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41" w:type="dxa"/>
            <w:vMerge/>
            <w:vAlign w:val="center"/>
            <w:hideMark/>
          </w:tcPr>
          <w:p w14:paraId="1E18A08F"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269" w:type="dxa"/>
            <w:vMerge/>
            <w:vAlign w:val="center"/>
            <w:hideMark/>
          </w:tcPr>
          <w:p w14:paraId="31D44B18"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182" w:type="dxa"/>
            <w:vMerge/>
            <w:vAlign w:val="center"/>
            <w:hideMark/>
          </w:tcPr>
          <w:p w14:paraId="38519396" w14:textId="77777777" w:rsidR="00FF4962" w:rsidRPr="00EF2F18" w:rsidRDefault="00FF4962" w:rsidP="00752CA0">
            <w:pPr>
              <w:spacing w:after="0"/>
              <w:rPr>
                <w:rFonts w:eastAsia="Times New Roman" w:cs="Times New Roman"/>
                <w:color w:val="000000"/>
                <w:sz w:val="20"/>
                <w:szCs w:val="20"/>
                <w:lang w:val="sr-Cyrl-RS" w:eastAsia="sr-Cyrl-RS"/>
              </w:rPr>
            </w:pPr>
          </w:p>
        </w:tc>
        <w:tc>
          <w:tcPr>
            <w:tcW w:w="1691" w:type="dxa"/>
            <w:tcBorders>
              <w:top w:val="nil"/>
            </w:tcBorders>
            <w:hideMark/>
          </w:tcPr>
          <w:p w14:paraId="2C97C05A"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Буџет ЈЛС </w:t>
            </w:r>
          </w:p>
          <w:p w14:paraId="54BB14E3"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ascii="Aptos Narrow" w:eastAsia="Times New Roman" w:hAnsi="Aptos Narrow" w:cs="Times New Roman"/>
                <w:color w:val="000000"/>
                <w:szCs w:val="24"/>
                <w:lang w:val="sr-Cyrl-RS" w:eastAsia="sr-Cyrl-RS"/>
              </w:rPr>
              <w:t> </w:t>
            </w:r>
          </w:p>
        </w:tc>
        <w:tc>
          <w:tcPr>
            <w:tcW w:w="1340" w:type="dxa"/>
            <w:tcBorders>
              <w:top w:val="nil"/>
            </w:tcBorders>
            <w:hideMark/>
          </w:tcPr>
          <w:p w14:paraId="281D1A4A"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247" w:type="dxa"/>
            <w:tcBorders>
              <w:top w:val="nil"/>
            </w:tcBorders>
            <w:hideMark/>
          </w:tcPr>
          <w:p w14:paraId="5DCBCFD0"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373.254</w:t>
            </w:r>
          </w:p>
        </w:tc>
        <w:tc>
          <w:tcPr>
            <w:tcW w:w="1350" w:type="dxa"/>
            <w:tcBorders>
              <w:top w:val="nil"/>
            </w:tcBorders>
            <w:hideMark/>
          </w:tcPr>
          <w:p w14:paraId="6EF05193" w14:textId="77777777" w:rsidR="00FF4962" w:rsidRPr="00EF2F18" w:rsidRDefault="00FF4962"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373.254</w:t>
            </w:r>
          </w:p>
        </w:tc>
        <w:tc>
          <w:tcPr>
            <w:tcW w:w="1440" w:type="dxa"/>
            <w:vMerge/>
            <w:vAlign w:val="center"/>
            <w:hideMark/>
          </w:tcPr>
          <w:p w14:paraId="14766DA4" w14:textId="77777777" w:rsidR="00FF4962" w:rsidRPr="00EF2F18" w:rsidRDefault="00FF4962" w:rsidP="00752CA0">
            <w:pPr>
              <w:spacing w:after="0"/>
              <w:jc w:val="right"/>
              <w:rPr>
                <w:rFonts w:eastAsia="Times New Roman" w:cs="Times New Roman"/>
                <w:color w:val="000000"/>
                <w:sz w:val="20"/>
                <w:szCs w:val="20"/>
                <w:lang w:val="sr-Cyrl-RS" w:eastAsia="sr-Cyrl-RS"/>
              </w:rPr>
            </w:pPr>
          </w:p>
        </w:tc>
      </w:tr>
      <w:tr w:rsidR="00FF4962" w:rsidRPr="00EF2F18" w14:paraId="6DADDAE0" w14:textId="77777777" w:rsidTr="00FF4962">
        <w:trPr>
          <w:trHeight w:val="825"/>
        </w:trPr>
        <w:tc>
          <w:tcPr>
            <w:tcW w:w="2915" w:type="dxa"/>
            <w:hideMark/>
          </w:tcPr>
          <w:p w14:paraId="5202D17B" w14:textId="6B86191F"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2.2.3.</w:t>
            </w:r>
            <w:r w:rsidR="001D0A2F" w:rsidRPr="00EF2F18">
              <w:rPr>
                <w:rFonts w:eastAsia="Times New Roman" w:cs="Times New Roman"/>
                <w:color w:val="000000"/>
                <w:sz w:val="20"/>
                <w:szCs w:val="20"/>
                <w:lang w:val="sr-Cyrl-RS" w:eastAsia="sr-Cyrl-RS"/>
              </w:rPr>
              <w:t>2</w:t>
            </w:r>
            <w:r w:rsidRPr="00EF2F18">
              <w:rPr>
                <w:rFonts w:eastAsia="Times New Roman" w:cs="Times New Roman"/>
                <w:color w:val="000000"/>
                <w:sz w:val="20"/>
                <w:szCs w:val="20"/>
                <w:lang w:val="sr-Cyrl-RS" w:eastAsia="sr-Cyrl-RS"/>
              </w:rPr>
              <w:t xml:space="preserve">. Почетак изградње постројења за моноинсинерацију муља на регионалном нивоу </w:t>
            </w:r>
          </w:p>
        </w:tc>
        <w:tc>
          <w:tcPr>
            <w:tcW w:w="1241" w:type="dxa"/>
            <w:hideMark/>
          </w:tcPr>
          <w:p w14:paraId="512B4B8D"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69" w:type="dxa"/>
            <w:hideMark/>
          </w:tcPr>
          <w:p w14:paraId="04FE4155"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АПВ, ЈЛС</w:t>
            </w:r>
          </w:p>
        </w:tc>
        <w:tc>
          <w:tcPr>
            <w:tcW w:w="1182" w:type="dxa"/>
            <w:hideMark/>
          </w:tcPr>
          <w:p w14:paraId="291D1CF1" w14:textId="77777777" w:rsidR="00FF4962" w:rsidRPr="00EF2F18" w:rsidRDefault="00FF496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2026.</w:t>
            </w:r>
          </w:p>
        </w:tc>
        <w:tc>
          <w:tcPr>
            <w:tcW w:w="1691" w:type="dxa"/>
          </w:tcPr>
          <w:p w14:paraId="5CEC12D4" w14:textId="242AD09C" w:rsidR="00FF4962" w:rsidRPr="00EF2F18" w:rsidRDefault="00FF4962" w:rsidP="00752CA0">
            <w:pPr>
              <w:spacing w:after="0"/>
              <w:rPr>
                <w:rFonts w:eastAsia="Times New Roman" w:cs="Times New Roman"/>
                <w:color w:val="000000"/>
                <w:sz w:val="18"/>
                <w:szCs w:val="18"/>
                <w:highlight w:val="yellow"/>
                <w:lang w:val="sr-Cyrl-RS" w:eastAsia="sr-Cyrl-RS"/>
              </w:rPr>
            </w:pPr>
            <w:r w:rsidRPr="00EF2F18">
              <w:rPr>
                <w:rFonts w:eastAsia="Times New Roman" w:cs="Times New Roman"/>
                <w:color w:val="000000"/>
                <w:sz w:val="20"/>
                <w:szCs w:val="20"/>
                <w:lang w:val="sr-Cyrl-RS" w:eastAsia="sr-Cyrl-RS"/>
              </w:rPr>
              <w:t>*</w:t>
            </w:r>
          </w:p>
        </w:tc>
        <w:tc>
          <w:tcPr>
            <w:tcW w:w="1340" w:type="dxa"/>
          </w:tcPr>
          <w:p w14:paraId="679B4194" w14:textId="11E757C4" w:rsidR="00FF4962" w:rsidRPr="00EF2F18" w:rsidRDefault="00FF4962" w:rsidP="00752CA0">
            <w:pPr>
              <w:spacing w:after="0"/>
              <w:rPr>
                <w:rFonts w:eastAsia="Times New Roman" w:cs="Times New Roman"/>
                <w:color w:val="000000"/>
                <w:sz w:val="20"/>
                <w:szCs w:val="20"/>
                <w:lang w:val="sr-Cyrl-RS" w:eastAsia="sr-Cyrl-RS"/>
              </w:rPr>
            </w:pPr>
          </w:p>
        </w:tc>
        <w:tc>
          <w:tcPr>
            <w:tcW w:w="1247" w:type="dxa"/>
          </w:tcPr>
          <w:p w14:paraId="24FACFBE" w14:textId="4E5C9B61" w:rsidR="00FF4962" w:rsidRPr="00EF2F18" w:rsidRDefault="00FF4962" w:rsidP="00752CA0">
            <w:pPr>
              <w:spacing w:after="0"/>
              <w:jc w:val="right"/>
              <w:rPr>
                <w:rFonts w:eastAsia="Times New Roman" w:cs="Times New Roman"/>
                <w:color w:val="000000"/>
                <w:sz w:val="18"/>
                <w:szCs w:val="18"/>
                <w:lang w:val="sr-Cyrl-RS" w:eastAsia="sr-Cyrl-RS"/>
              </w:rPr>
            </w:pPr>
          </w:p>
        </w:tc>
        <w:tc>
          <w:tcPr>
            <w:tcW w:w="1350" w:type="dxa"/>
          </w:tcPr>
          <w:p w14:paraId="450082CA" w14:textId="231DEEBD" w:rsidR="00FF4962" w:rsidRPr="00EF2F18" w:rsidRDefault="00FF4962" w:rsidP="00752CA0">
            <w:pPr>
              <w:spacing w:after="0"/>
              <w:jc w:val="right"/>
              <w:rPr>
                <w:rFonts w:eastAsia="Times New Roman" w:cs="Times New Roman"/>
                <w:color w:val="000000"/>
                <w:sz w:val="18"/>
                <w:szCs w:val="18"/>
                <w:lang w:val="sr-Cyrl-RS" w:eastAsia="sr-Cyrl-RS"/>
              </w:rPr>
            </w:pPr>
          </w:p>
        </w:tc>
        <w:tc>
          <w:tcPr>
            <w:tcW w:w="1440" w:type="dxa"/>
          </w:tcPr>
          <w:p w14:paraId="3FA66642" w14:textId="53D4BB2F" w:rsidR="00FF4962" w:rsidRPr="00EF2F18" w:rsidRDefault="00FF4962" w:rsidP="00752CA0">
            <w:pPr>
              <w:spacing w:after="0"/>
              <w:jc w:val="right"/>
              <w:rPr>
                <w:rFonts w:eastAsia="Times New Roman" w:cs="Times New Roman"/>
                <w:color w:val="000000"/>
                <w:sz w:val="20"/>
                <w:szCs w:val="20"/>
                <w:lang w:val="sr-Cyrl-RS" w:eastAsia="sr-Cyrl-RS"/>
              </w:rPr>
            </w:pPr>
          </w:p>
        </w:tc>
      </w:tr>
    </w:tbl>
    <w:p w14:paraId="41B2A89A" w14:textId="4902B7A4" w:rsidR="007D7243" w:rsidRPr="00EF2F18" w:rsidRDefault="00CB5ECF"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35EEAE7D" w14:textId="77777777" w:rsidR="00986205" w:rsidRPr="00EF2F18" w:rsidRDefault="00986205" w:rsidP="007D7243">
      <w:pPr>
        <w:rPr>
          <w:rFonts w:cs="Times New Roman"/>
          <w:sz w:val="20"/>
          <w:szCs w:val="20"/>
          <w:lang w:val="sr-Cyrl-RS"/>
        </w:rPr>
      </w:pPr>
    </w:p>
    <w:tbl>
      <w:tblPr>
        <w:tblStyle w:val="TableGrid"/>
        <w:tblW w:w="135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805"/>
        <w:gridCol w:w="1111"/>
        <w:gridCol w:w="1680"/>
        <w:gridCol w:w="1587"/>
        <w:gridCol w:w="1493"/>
        <w:gridCol w:w="1400"/>
        <w:gridCol w:w="1517"/>
      </w:tblGrid>
      <w:tr w:rsidR="007D7243" w:rsidRPr="00EF2F18" w14:paraId="21FE5750" w14:textId="77777777" w:rsidTr="00752CA0">
        <w:trPr>
          <w:trHeight w:val="454"/>
        </w:trPr>
        <w:tc>
          <w:tcPr>
            <w:tcW w:w="13593" w:type="dxa"/>
            <w:gridSpan w:val="7"/>
            <w:shd w:val="clear" w:color="auto" w:fill="DEEAF6" w:themeFill="accent1" w:themeFillTint="33"/>
          </w:tcPr>
          <w:p w14:paraId="7DFB0511" w14:textId="77777777" w:rsidR="007D7243" w:rsidRPr="00EF2F18" w:rsidRDefault="007D7243" w:rsidP="00752CA0">
            <w:pPr>
              <w:rPr>
                <w:rFonts w:cs="Times New Roman"/>
                <w:b/>
                <w:sz w:val="20"/>
                <w:szCs w:val="20"/>
                <w:lang w:val="sr-Cyrl-RS"/>
              </w:rPr>
            </w:pPr>
            <w:r w:rsidRPr="00EF2F18">
              <w:rPr>
                <w:rFonts w:cs="Times New Roman"/>
                <w:b/>
                <w:sz w:val="20"/>
                <w:szCs w:val="20"/>
                <w:lang w:val="sr-Cyrl-RS"/>
              </w:rPr>
              <w:t xml:space="preserve">Општи циљ 3: </w:t>
            </w:r>
            <w:r w:rsidRPr="00EF2F18">
              <w:rPr>
                <w:rFonts w:cs="Times New Roman"/>
                <w:b/>
                <w:bCs/>
                <w:sz w:val="20"/>
                <w:szCs w:val="20"/>
                <w:lang w:val="sr-Cyrl-RS"/>
              </w:rPr>
              <w:t>Унапређење квалитета животне средине смањењем загађења</w:t>
            </w:r>
          </w:p>
        </w:tc>
      </w:tr>
      <w:tr w:rsidR="007D7243" w:rsidRPr="00EF2F18" w14:paraId="7D99B9A1" w14:textId="77777777" w:rsidTr="00752CA0">
        <w:trPr>
          <w:trHeight w:val="424"/>
        </w:trPr>
        <w:tc>
          <w:tcPr>
            <w:tcW w:w="13593" w:type="dxa"/>
            <w:gridSpan w:val="7"/>
            <w:shd w:val="clear" w:color="auto" w:fill="DEEAF6" w:themeFill="accent1" w:themeFillTint="33"/>
            <w:vAlign w:val="center"/>
          </w:tcPr>
          <w:p w14:paraId="35684E89" w14:textId="77777777" w:rsidR="007D7243" w:rsidRPr="00EF2F18" w:rsidRDefault="007D7243" w:rsidP="00752CA0">
            <w:pPr>
              <w:rPr>
                <w:rFonts w:cs="Times New Roman"/>
                <w:sz w:val="20"/>
                <w:szCs w:val="20"/>
                <w:lang w:val="sr-Cyrl-RS"/>
              </w:rPr>
            </w:pPr>
            <w:r w:rsidRPr="00EF2F18">
              <w:rPr>
                <w:rFonts w:eastAsia="Times New Roman" w:cs="Times New Roman"/>
                <w:color w:val="222222"/>
                <w:sz w:val="20"/>
                <w:szCs w:val="20"/>
                <w:lang w:val="sr-Cyrl-RS"/>
              </w:rPr>
              <w:t xml:space="preserve">Институција одговорна за праћење и контролу реализације: </w:t>
            </w:r>
            <w:r w:rsidRPr="00EF2F18">
              <w:rPr>
                <w:rFonts w:cs="Times New Roman"/>
                <w:sz w:val="20"/>
                <w:szCs w:val="20"/>
                <w:lang w:val="sr-Cyrl-RS"/>
              </w:rPr>
              <w:t xml:space="preserve">Министарство заштите животне средине </w:t>
            </w:r>
          </w:p>
        </w:tc>
      </w:tr>
      <w:tr w:rsidR="007D7243" w:rsidRPr="00EF2F18" w14:paraId="2F23D99C" w14:textId="77777777" w:rsidTr="00752CA0">
        <w:trPr>
          <w:trHeight w:val="424"/>
        </w:trPr>
        <w:tc>
          <w:tcPr>
            <w:tcW w:w="4805" w:type="dxa"/>
            <w:shd w:val="clear" w:color="auto" w:fill="D9D9D9" w:themeFill="background1" w:themeFillShade="D9"/>
          </w:tcPr>
          <w:p w14:paraId="0D7349DB"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 xml:space="preserve">Показатељ (и) на нивоу oпштег циља </w:t>
            </w:r>
            <w:r w:rsidRPr="00EF2F18">
              <w:rPr>
                <w:rFonts w:cs="Times New Roman"/>
                <w:i/>
                <w:sz w:val="20"/>
                <w:szCs w:val="20"/>
                <w:lang w:val="sr-Cyrl-RS"/>
              </w:rPr>
              <w:t>(показатељ eфекта)</w:t>
            </w:r>
          </w:p>
        </w:tc>
        <w:tc>
          <w:tcPr>
            <w:tcW w:w="1111" w:type="dxa"/>
            <w:shd w:val="clear" w:color="auto" w:fill="D9D9D9" w:themeFill="background1" w:themeFillShade="D9"/>
          </w:tcPr>
          <w:p w14:paraId="1AE50D7C"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Jединица мере</w:t>
            </w:r>
          </w:p>
          <w:p w14:paraId="604306FE" w14:textId="77777777" w:rsidR="007D7243" w:rsidRPr="00EF2F18" w:rsidRDefault="007D7243" w:rsidP="00752CA0">
            <w:pPr>
              <w:jc w:val="center"/>
              <w:rPr>
                <w:rFonts w:cs="Times New Roman"/>
                <w:sz w:val="20"/>
                <w:szCs w:val="20"/>
                <w:lang w:val="sr-Cyrl-RS"/>
              </w:rPr>
            </w:pPr>
          </w:p>
        </w:tc>
        <w:tc>
          <w:tcPr>
            <w:tcW w:w="1680" w:type="dxa"/>
            <w:shd w:val="clear" w:color="auto" w:fill="D9D9D9" w:themeFill="background1" w:themeFillShade="D9"/>
          </w:tcPr>
          <w:p w14:paraId="067019EA"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Извор провере</w:t>
            </w:r>
          </w:p>
        </w:tc>
        <w:tc>
          <w:tcPr>
            <w:tcW w:w="1587" w:type="dxa"/>
            <w:shd w:val="clear" w:color="auto" w:fill="D9D9D9" w:themeFill="background1" w:themeFillShade="D9"/>
          </w:tcPr>
          <w:p w14:paraId="159EDF1B"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Почетна вредност</w:t>
            </w:r>
          </w:p>
        </w:tc>
        <w:tc>
          <w:tcPr>
            <w:tcW w:w="1493" w:type="dxa"/>
            <w:shd w:val="clear" w:color="auto" w:fill="D9D9D9" w:themeFill="background1" w:themeFillShade="D9"/>
          </w:tcPr>
          <w:p w14:paraId="0AE1D206"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Базна година</w:t>
            </w:r>
          </w:p>
        </w:tc>
        <w:tc>
          <w:tcPr>
            <w:tcW w:w="1400" w:type="dxa"/>
            <w:shd w:val="clear" w:color="auto" w:fill="D9D9D9" w:themeFill="background1" w:themeFillShade="D9"/>
          </w:tcPr>
          <w:p w14:paraId="1442E109"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Циљaна вредност</w:t>
            </w:r>
          </w:p>
        </w:tc>
        <w:tc>
          <w:tcPr>
            <w:tcW w:w="1517" w:type="dxa"/>
            <w:shd w:val="clear" w:color="auto" w:fill="D9D9D9" w:themeFill="background1" w:themeFillShade="D9"/>
          </w:tcPr>
          <w:p w14:paraId="64BFDA3A"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Последња година важења АП</w:t>
            </w:r>
          </w:p>
        </w:tc>
      </w:tr>
      <w:tr w:rsidR="007D7243" w:rsidRPr="00EF2F18" w14:paraId="3E55D487" w14:textId="77777777" w:rsidTr="00752CA0">
        <w:trPr>
          <w:trHeight w:val="1230"/>
        </w:trPr>
        <w:tc>
          <w:tcPr>
            <w:tcW w:w="4805" w:type="dxa"/>
            <w:shd w:val="clear" w:color="auto" w:fill="FFFFFF" w:themeFill="background1"/>
          </w:tcPr>
          <w:p w14:paraId="0D5FF6CA"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Удео мерних станица за праћење квалитета ваздуха на којима је више од 35 пута у једној календарској години прекорачена дневна гранична вредност од 50 μg/m</w:t>
            </w:r>
            <w:r w:rsidRPr="00EF2F18">
              <w:rPr>
                <w:rFonts w:cs="Times New Roman"/>
                <w:sz w:val="20"/>
                <w:szCs w:val="20"/>
                <w:vertAlign w:val="superscript"/>
                <w:lang w:val="sr-Cyrl-RS"/>
              </w:rPr>
              <w:t>3</w:t>
            </w:r>
            <w:r w:rsidRPr="00EF2F18">
              <w:rPr>
                <w:rFonts w:cs="Times New Roman"/>
                <w:sz w:val="20"/>
                <w:szCs w:val="20"/>
                <w:lang w:val="sr-Cyrl-RS"/>
              </w:rPr>
              <w:t xml:space="preserve"> за РМ10 </w:t>
            </w:r>
          </w:p>
        </w:tc>
        <w:tc>
          <w:tcPr>
            <w:tcW w:w="1111" w:type="dxa"/>
            <w:shd w:val="clear" w:color="auto" w:fill="FFFFFF" w:themeFill="background1"/>
          </w:tcPr>
          <w:p w14:paraId="358B50F1"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3CACF1D0"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АЗЖС, Годишњи извештај о стању квалитета ваздуха у РС</w:t>
            </w:r>
          </w:p>
        </w:tc>
        <w:tc>
          <w:tcPr>
            <w:tcW w:w="1587" w:type="dxa"/>
            <w:shd w:val="clear" w:color="auto" w:fill="FFFFFF" w:themeFill="background1"/>
          </w:tcPr>
          <w:p w14:paraId="51C57E3F"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74</w:t>
            </w:r>
          </w:p>
        </w:tc>
        <w:tc>
          <w:tcPr>
            <w:tcW w:w="1493" w:type="dxa"/>
            <w:shd w:val="clear" w:color="auto" w:fill="FFFFFF" w:themeFill="background1"/>
          </w:tcPr>
          <w:p w14:paraId="20890DE1"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2021.</w:t>
            </w:r>
          </w:p>
        </w:tc>
        <w:tc>
          <w:tcPr>
            <w:tcW w:w="1400" w:type="dxa"/>
            <w:shd w:val="clear" w:color="auto" w:fill="FFFFFF" w:themeFill="background1"/>
          </w:tcPr>
          <w:p w14:paraId="44E64628" w14:textId="77777777" w:rsidR="007D7243" w:rsidRPr="00EF2F18" w:rsidRDefault="007D7243" w:rsidP="00752CA0">
            <w:pPr>
              <w:spacing w:after="0"/>
              <w:jc w:val="center"/>
              <w:rPr>
                <w:rFonts w:cs="Times New Roman"/>
                <w:sz w:val="20"/>
                <w:szCs w:val="20"/>
                <w:lang w:val="sr-Cyrl-RS"/>
              </w:rPr>
            </w:pPr>
            <w:r w:rsidRPr="00EF2F18">
              <w:rPr>
                <w:rFonts w:cs="Times New Roman"/>
                <w:sz w:val="20"/>
                <w:szCs w:val="20"/>
                <w:lang w:val="sr-Cyrl-RS"/>
              </w:rPr>
              <w:t>40</w:t>
            </w:r>
          </w:p>
          <w:p w14:paraId="511E4911" w14:textId="77777777" w:rsidR="007D7243" w:rsidRPr="00EF2F18" w:rsidRDefault="007D7243" w:rsidP="00752CA0">
            <w:pPr>
              <w:spacing w:after="0"/>
              <w:jc w:val="center"/>
              <w:rPr>
                <w:rFonts w:cs="Times New Roman"/>
                <w:sz w:val="20"/>
                <w:szCs w:val="20"/>
                <w:lang w:val="sr-Cyrl-RS"/>
              </w:rPr>
            </w:pPr>
          </w:p>
        </w:tc>
        <w:tc>
          <w:tcPr>
            <w:tcW w:w="1517" w:type="dxa"/>
            <w:shd w:val="clear" w:color="auto" w:fill="FFFFFF" w:themeFill="background1"/>
          </w:tcPr>
          <w:p w14:paraId="11E5F788"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r w:rsidR="007D7243" w:rsidRPr="00EF2F18" w14:paraId="65F94BA8" w14:textId="77777777" w:rsidTr="00752CA0">
        <w:trPr>
          <w:trHeight w:val="197"/>
        </w:trPr>
        <w:tc>
          <w:tcPr>
            <w:tcW w:w="4805" w:type="dxa"/>
            <w:shd w:val="clear" w:color="auto" w:fill="FFFFFF" w:themeFill="background1"/>
          </w:tcPr>
          <w:p w14:paraId="7DC71AC0"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 xml:space="preserve">Удео водних тела површинских вода под ризиком од непостизања доброг статуса </w:t>
            </w:r>
          </w:p>
        </w:tc>
        <w:tc>
          <w:tcPr>
            <w:tcW w:w="1111" w:type="dxa"/>
            <w:shd w:val="clear" w:color="auto" w:fill="FFFFFF" w:themeFill="background1"/>
          </w:tcPr>
          <w:p w14:paraId="5A5A448A"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540447A9"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МПШВ</w:t>
            </w:r>
          </w:p>
        </w:tc>
        <w:tc>
          <w:tcPr>
            <w:tcW w:w="1587" w:type="dxa"/>
            <w:shd w:val="clear" w:color="auto" w:fill="FFFFFF" w:themeFill="background1"/>
          </w:tcPr>
          <w:p w14:paraId="433DFCF4" w14:textId="77777777" w:rsidR="007D7243" w:rsidRPr="00EF2F18" w:rsidRDefault="007D7243" w:rsidP="00752CA0">
            <w:pPr>
              <w:shd w:val="clear" w:color="auto" w:fill="FFFFFF" w:themeFill="background1"/>
              <w:jc w:val="center"/>
              <w:rPr>
                <w:sz w:val="20"/>
                <w:szCs w:val="20"/>
                <w:lang w:val="sr-Cyrl-RS"/>
              </w:rPr>
            </w:pPr>
            <w:r w:rsidRPr="00EF2F18">
              <w:rPr>
                <w:sz w:val="20"/>
                <w:szCs w:val="20"/>
                <w:lang w:val="sr-Cyrl-RS"/>
              </w:rPr>
              <w:t>41,5</w:t>
            </w:r>
          </w:p>
        </w:tc>
        <w:tc>
          <w:tcPr>
            <w:tcW w:w="1493" w:type="dxa"/>
            <w:shd w:val="clear" w:color="auto" w:fill="FFFFFF" w:themeFill="background1"/>
          </w:tcPr>
          <w:p w14:paraId="3C1DFF52"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2023.</w:t>
            </w:r>
          </w:p>
        </w:tc>
        <w:tc>
          <w:tcPr>
            <w:tcW w:w="1400" w:type="dxa"/>
            <w:shd w:val="clear" w:color="auto" w:fill="FFFFFF" w:themeFill="background1"/>
          </w:tcPr>
          <w:p w14:paraId="65D8CF18" w14:textId="3D5C309D" w:rsidR="007D7243" w:rsidRPr="00EF2F18" w:rsidRDefault="000C5499" w:rsidP="00752CA0">
            <w:pPr>
              <w:spacing w:after="0"/>
              <w:jc w:val="center"/>
              <w:rPr>
                <w:rFonts w:cs="Times New Roman"/>
                <w:sz w:val="20"/>
                <w:szCs w:val="20"/>
                <w:lang w:val="sr-Cyrl-RS"/>
              </w:rPr>
            </w:pPr>
            <w:r w:rsidRPr="00EF2F18">
              <w:rPr>
                <w:rFonts w:cs="Times New Roman"/>
                <w:sz w:val="20"/>
                <w:szCs w:val="20"/>
                <w:lang w:val="sr-Cyrl-RS"/>
              </w:rPr>
              <w:t>41</w:t>
            </w:r>
          </w:p>
          <w:p w14:paraId="498DB18C" w14:textId="77777777" w:rsidR="007D7243" w:rsidRPr="00EF2F18" w:rsidRDefault="007D7243" w:rsidP="00752CA0">
            <w:pPr>
              <w:spacing w:after="0"/>
              <w:jc w:val="center"/>
              <w:rPr>
                <w:rFonts w:cs="Times New Roman"/>
                <w:sz w:val="20"/>
                <w:szCs w:val="20"/>
                <w:lang w:val="sr-Cyrl-RS"/>
              </w:rPr>
            </w:pPr>
          </w:p>
        </w:tc>
        <w:tc>
          <w:tcPr>
            <w:tcW w:w="1517" w:type="dxa"/>
            <w:shd w:val="clear" w:color="auto" w:fill="FFFFFF" w:themeFill="background1"/>
          </w:tcPr>
          <w:p w14:paraId="5BE11BED"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r w:rsidR="007D7243" w:rsidRPr="00EF2F18" w14:paraId="6BCD40C7" w14:textId="77777777" w:rsidTr="00752CA0">
        <w:trPr>
          <w:trHeight w:val="197"/>
        </w:trPr>
        <w:tc>
          <w:tcPr>
            <w:tcW w:w="4805" w:type="dxa"/>
            <w:shd w:val="clear" w:color="auto" w:fill="FFFFFF" w:themeFill="background1"/>
          </w:tcPr>
          <w:p w14:paraId="27D84FD6"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 xml:space="preserve">Удео површине деградираног земљишта у односу на укупну површину земљишта </w:t>
            </w:r>
          </w:p>
        </w:tc>
        <w:tc>
          <w:tcPr>
            <w:tcW w:w="1111" w:type="dxa"/>
            <w:shd w:val="clear" w:color="auto" w:fill="FFFFFF" w:themeFill="background1"/>
          </w:tcPr>
          <w:p w14:paraId="307B9C7C"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shd w:val="clear" w:color="auto" w:fill="FFFFFF" w:themeFill="background1"/>
          </w:tcPr>
          <w:p w14:paraId="112F0F6D"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РЗС, Извештај о стању животне средине, Извештај о напретку у спровођењу ЦОР у РС</w:t>
            </w:r>
          </w:p>
        </w:tc>
        <w:tc>
          <w:tcPr>
            <w:tcW w:w="1587" w:type="dxa"/>
            <w:shd w:val="clear" w:color="auto" w:fill="FFFFFF" w:themeFill="background1"/>
          </w:tcPr>
          <w:p w14:paraId="556F7BEC" w14:textId="77777777" w:rsidR="007D7243" w:rsidRPr="00EF2F18" w:rsidRDefault="007D7243" w:rsidP="00752CA0">
            <w:pPr>
              <w:shd w:val="clear" w:color="auto" w:fill="FFFFFF" w:themeFill="background1"/>
              <w:jc w:val="center"/>
              <w:rPr>
                <w:sz w:val="20"/>
                <w:szCs w:val="20"/>
                <w:lang w:val="sr-Cyrl-RS"/>
              </w:rPr>
            </w:pPr>
            <w:r w:rsidRPr="00EF2F18">
              <w:rPr>
                <w:sz w:val="20"/>
                <w:szCs w:val="20"/>
                <w:lang w:val="sr-Cyrl-RS"/>
              </w:rPr>
              <w:t>4,18</w:t>
            </w:r>
          </w:p>
        </w:tc>
        <w:tc>
          <w:tcPr>
            <w:tcW w:w="1493" w:type="dxa"/>
            <w:shd w:val="clear" w:color="auto" w:fill="FFFFFF" w:themeFill="background1"/>
          </w:tcPr>
          <w:p w14:paraId="30F1F6D6"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2019.</w:t>
            </w:r>
          </w:p>
        </w:tc>
        <w:tc>
          <w:tcPr>
            <w:tcW w:w="1400" w:type="dxa"/>
            <w:shd w:val="clear" w:color="auto" w:fill="FFFFFF" w:themeFill="background1"/>
          </w:tcPr>
          <w:p w14:paraId="4D972B03" w14:textId="77777777" w:rsidR="007D7243" w:rsidRPr="00EF2F18" w:rsidRDefault="007D7243" w:rsidP="00752CA0">
            <w:pPr>
              <w:spacing w:after="0"/>
              <w:jc w:val="center"/>
              <w:rPr>
                <w:rFonts w:cs="Times New Roman"/>
                <w:sz w:val="20"/>
                <w:szCs w:val="20"/>
                <w:lang w:val="sr-Cyrl-RS"/>
              </w:rPr>
            </w:pPr>
            <w:r w:rsidRPr="00EF2F18">
              <w:rPr>
                <w:rFonts w:cs="Times New Roman"/>
                <w:sz w:val="20"/>
                <w:szCs w:val="20"/>
                <w:lang w:val="sr-Cyrl-RS"/>
              </w:rPr>
              <w:t>2</w:t>
            </w:r>
          </w:p>
          <w:p w14:paraId="3B59DF91" w14:textId="77777777" w:rsidR="007D7243" w:rsidRPr="00EF2F18" w:rsidRDefault="007D7243" w:rsidP="00752CA0">
            <w:pPr>
              <w:shd w:val="clear" w:color="auto" w:fill="FFFFFF" w:themeFill="background1"/>
              <w:jc w:val="center"/>
              <w:rPr>
                <w:rFonts w:cs="Times New Roman"/>
                <w:sz w:val="20"/>
                <w:szCs w:val="20"/>
                <w:lang w:val="sr-Cyrl-RS"/>
              </w:rPr>
            </w:pPr>
          </w:p>
        </w:tc>
        <w:tc>
          <w:tcPr>
            <w:tcW w:w="1517" w:type="dxa"/>
            <w:shd w:val="clear" w:color="auto" w:fill="FFFFFF" w:themeFill="background1"/>
          </w:tcPr>
          <w:p w14:paraId="01E2907A"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bl>
    <w:p w14:paraId="3C3B15CC" w14:textId="314DC62E" w:rsidR="007D7243" w:rsidRDefault="007D7243" w:rsidP="007D7243">
      <w:pPr>
        <w:tabs>
          <w:tab w:val="left" w:pos="1940"/>
        </w:tabs>
        <w:spacing w:after="0"/>
        <w:rPr>
          <w:rFonts w:cs="Times New Roman"/>
          <w:sz w:val="20"/>
          <w:szCs w:val="20"/>
          <w:lang w:val="sr-Cyrl-RS"/>
        </w:rPr>
      </w:pPr>
    </w:p>
    <w:p w14:paraId="0FB8B16C" w14:textId="745E27D2" w:rsidR="00A60B55" w:rsidRDefault="00A60B55" w:rsidP="007D7243">
      <w:pPr>
        <w:tabs>
          <w:tab w:val="left" w:pos="1940"/>
        </w:tabs>
        <w:spacing w:after="0"/>
        <w:rPr>
          <w:rFonts w:cs="Times New Roman"/>
          <w:sz w:val="20"/>
          <w:szCs w:val="20"/>
          <w:lang w:val="sr-Cyrl-RS"/>
        </w:rPr>
      </w:pPr>
    </w:p>
    <w:p w14:paraId="5B2A89B7" w14:textId="77777777" w:rsidR="00A60B55" w:rsidRPr="00EF2F18" w:rsidRDefault="00A60B55" w:rsidP="007D7243">
      <w:pPr>
        <w:tabs>
          <w:tab w:val="left" w:pos="1940"/>
        </w:tabs>
        <w:spacing w:after="0"/>
        <w:rPr>
          <w:rFonts w:cs="Times New Roman"/>
          <w:sz w:val="20"/>
          <w:szCs w:val="20"/>
          <w:lang w:val="sr-Cyrl-RS"/>
        </w:rPr>
      </w:pPr>
    </w:p>
    <w:tbl>
      <w:tblPr>
        <w:tblW w:w="1380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top w:w="15" w:type="dxa"/>
        </w:tblCellMar>
        <w:tblLook w:val="04A0" w:firstRow="1" w:lastRow="0" w:firstColumn="1" w:lastColumn="0" w:noHBand="0" w:noVBand="1"/>
      </w:tblPr>
      <w:tblGrid>
        <w:gridCol w:w="3565"/>
        <w:gridCol w:w="1264"/>
        <w:gridCol w:w="1824"/>
        <w:gridCol w:w="1151"/>
        <w:gridCol w:w="1084"/>
        <w:gridCol w:w="1439"/>
        <w:gridCol w:w="1710"/>
        <w:gridCol w:w="1530"/>
        <w:gridCol w:w="236"/>
      </w:tblGrid>
      <w:tr w:rsidR="007D7243" w:rsidRPr="00EF2F18" w14:paraId="7C2B8112" w14:textId="77777777" w:rsidTr="009144A7">
        <w:trPr>
          <w:gridAfter w:val="1"/>
          <w:wAfter w:w="236" w:type="dxa"/>
          <w:trHeight w:val="336"/>
        </w:trPr>
        <w:tc>
          <w:tcPr>
            <w:tcW w:w="13567" w:type="dxa"/>
            <w:gridSpan w:val="8"/>
            <w:shd w:val="clear" w:color="000000" w:fill="C5E0B3"/>
            <w:vAlign w:val="center"/>
            <w:hideMark/>
          </w:tcPr>
          <w:p w14:paraId="41BFF51F"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Посебан циљ 3.1: Побољшање квалитета ваздуха</w:t>
            </w:r>
          </w:p>
        </w:tc>
      </w:tr>
      <w:tr w:rsidR="007D7243" w:rsidRPr="00EF2F18" w14:paraId="2088B3F2" w14:textId="77777777" w:rsidTr="009144A7">
        <w:trPr>
          <w:gridAfter w:val="1"/>
          <w:wAfter w:w="236" w:type="dxa"/>
          <w:trHeight w:val="324"/>
        </w:trPr>
        <w:tc>
          <w:tcPr>
            <w:tcW w:w="13567" w:type="dxa"/>
            <w:gridSpan w:val="8"/>
            <w:shd w:val="clear" w:color="000000" w:fill="C5E0B3"/>
            <w:vAlign w:val="center"/>
            <w:hideMark/>
          </w:tcPr>
          <w:p w14:paraId="2C03957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Институција одговорна за координацију и извештавање: Министарство заштите животне средине </w:t>
            </w:r>
          </w:p>
        </w:tc>
      </w:tr>
      <w:tr w:rsidR="009144A7" w:rsidRPr="00EF2F18" w14:paraId="45C450EE" w14:textId="77777777" w:rsidTr="009144A7">
        <w:trPr>
          <w:gridAfter w:val="1"/>
          <w:wAfter w:w="236" w:type="dxa"/>
          <w:trHeight w:val="480"/>
        </w:trPr>
        <w:tc>
          <w:tcPr>
            <w:tcW w:w="3565" w:type="dxa"/>
            <w:vMerge w:val="restart"/>
            <w:shd w:val="clear" w:color="000000" w:fill="D9D9D9"/>
            <w:hideMark/>
          </w:tcPr>
          <w:p w14:paraId="376BFE9E"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264" w:type="dxa"/>
            <w:vMerge w:val="restart"/>
            <w:shd w:val="clear" w:color="000000" w:fill="D9D9D9"/>
            <w:hideMark/>
          </w:tcPr>
          <w:p w14:paraId="4513B39D"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824" w:type="dxa"/>
            <w:vMerge w:val="restart"/>
            <w:shd w:val="clear" w:color="000000" w:fill="D9D9D9"/>
            <w:hideMark/>
          </w:tcPr>
          <w:p w14:paraId="1FDE5B10"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151" w:type="dxa"/>
            <w:vMerge w:val="restart"/>
            <w:shd w:val="clear" w:color="000000" w:fill="D9D9D9"/>
            <w:hideMark/>
          </w:tcPr>
          <w:p w14:paraId="3058442A"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084" w:type="dxa"/>
            <w:vMerge w:val="restart"/>
            <w:shd w:val="clear" w:color="000000" w:fill="D9D9D9"/>
            <w:hideMark/>
          </w:tcPr>
          <w:p w14:paraId="453BC072"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439" w:type="dxa"/>
            <w:vMerge w:val="restart"/>
            <w:shd w:val="clear" w:color="000000" w:fill="D9D9D9"/>
            <w:hideMark/>
          </w:tcPr>
          <w:p w14:paraId="1F42607A"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710" w:type="dxa"/>
            <w:vMerge w:val="restart"/>
            <w:shd w:val="clear" w:color="000000" w:fill="D9D9D9"/>
            <w:hideMark/>
          </w:tcPr>
          <w:p w14:paraId="507BEE61"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vMerge w:val="restart"/>
            <w:shd w:val="clear" w:color="000000" w:fill="D9D9D9"/>
            <w:hideMark/>
          </w:tcPr>
          <w:p w14:paraId="3D74D2B5"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9144A7" w:rsidRPr="00EF2F18" w14:paraId="669015F1" w14:textId="77777777" w:rsidTr="009144A7">
        <w:trPr>
          <w:trHeight w:val="324"/>
        </w:trPr>
        <w:tc>
          <w:tcPr>
            <w:tcW w:w="3565" w:type="dxa"/>
            <w:vMerge/>
            <w:vAlign w:val="center"/>
            <w:hideMark/>
          </w:tcPr>
          <w:p w14:paraId="176198E0"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64" w:type="dxa"/>
            <w:vMerge/>
            <w:vAlign w:val="center"/>
            <w:hideMark/>
          </w:tcPr>
          <w:p w14:paraId="163277C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824" w:type="dxa"/>
            <w:vMerge/>
            <w:vAlign w:val="center"/>
            <w:hideMark/>
          </w:tcPr>
          <w:p w14:paraId="292911AA"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151" w:type="dxa"/>
            <w:vMerge/>
            <w:vAlign w:val="center"/>
            <w:hideMark/>
          </w:tcPr>
          <w:p w14:paraId="2797657A"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084" w:type="dxa"/>
            <w:vMerge/>
            <w:vAlign w:val="center"/>
            <w:hideMark/>
          </w:tcPr>
          <w:p w14:paraId="761CAE11"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39" w:type="dxa"/>
            <w:vMerge/>
            <w:vAlign w:val="center"/>
            <w:hideMark/>
          </w:tcPr>
          <w:p w14:paraId="78CBDD4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710" w:type="dxa"/>
            <w:vMerge/>
            <w:vAlign w:val="center"/>
            <w:hideMark/>
          </w:tcPr>
          <w:p w14:paraId="3FF42EE7"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530" w:type="dxa"/>
            <w:vMerge/>
            <w:vAlign w:val="center"/>
            <w:hideMark/>
          </w:tcPr>
          <w:p w14:paraId="15B82C90"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36" w:type="dxa"/>
            <w:tcBorders>
              <w:top w:val="nil"/>
              <w:bottom w:val="nil"/>
              <w:right w:val="nil"/>
            </w:tcBorders>
            <w:noWrap/>
            <w:vAlign w:val="bottom"/>
            <w:hideMark/>
          </w:tcPr>
          <w:p w14:paraId="55923F37" w14:textId="77777777" w:rsidR="009144A7" w:rsidRPr="00EF2F18" w:rsidRDefault="009144A7" w:rsidP="00752CA0">
            <w:pPr>
              <w:spacing w:after="0"/>
              <w:jc w:val="center"/>
              <w:rPr>
                <w:rFonts w:eastAsia="Times New Roman" w:cs="Times New Roman"/>
                <w:color w:val="000000"/>
                <w:sz w:val="20"/>
                <w:szCs w:val="20"/>
                <w:lang w:val="sr-Cyrl-RS" w:eastAsia="sr-Cyrl-RS"/>
              </w:rPr>
            </w:pPr>
          </w:p>
        </w:tc>
      </w:tr>
      <w:tr w:rsidR="009144A7" w:rsidRPr="00EF2F18" w14:paraId="658E068D" w14:textId="77777777" w:rsidTr="009144A7">
        <w:trPr>
          <w:trHeight w:val="696"/>
        </w:trPr>
        <w:tc>
          <w:tcPr>
            <w:tcW w:w="3565" w:type="dxa"/>
            <w:vMerge w:val="restart"/>
            <w:shd w:val="clear" w:color="000000" w:fill="FFFFFF"/>
            <w:hideMark/>
          </w:tcPr>
          <w:p w14:paraId="40A6AD25"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Удео мерних станица за праћење квалитета ваздуха на којима је прекорачена годишња гранична вредност за PM</w:t>
            </w:r>
            <w:r w:rsidRPr="00EF2F18">
              <w:rPr>
                <w:rFonts w:eastAsia="Times New Roman" w:cs="Times New Roman"/>
                <w:color w:val="000000"/>
                <w:sz w:val="20"/>
                <w:szCs w:val="20"/>
                <w:vertAlign w:val="subscript"/>
                <w:lang w:val="sr-Cyrl-RS" w:eastAsia="sr-Cyrl-RS"/>
              </w:rPr>
              <w:t>10</w:t>
            </w:r>
          </w:p>
        </w:tc>
        <w:tc>
          <w:tcPr>
            <w:tcW w:w="1264" w:type="dxa"/>
            <w:vMerge w:val="restart"/>
            <w:shd w:val="clear" w:color="000000" w:fill="FFFFFF"/>
            <w:hideMark/>
          </w:tcPr>
          <w:p w14:paraId="554D422D"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824" w:type="dxa"/>
            <w:vMerge w:val="restart"/>
            <w:shd w:val="clear" w:color="000000" w:fill="FFFFFF"/>
            <w:hideMark/>
          </w:tcPr>
          <w:p w14:paraId="0FF09B1B"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Годишњи извештај о стању квалитета ваздуха у РС</w:t>
            </w:r>
          </w:p>
        </w:tc>
        <w:tc>
          <w:tcPr>
            <w:tcW w:w="1151" w:type="dxa"/>
            <w:vMerge w:val="restart"/>
            <w:shd w:val="clear" w:color="000000" w:fill="FFFFFF"/>
            <w:hideMark/>
          </w:tcPr>
          <w:p w14:paraId="1C7B1DB9"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75</w:t>
            </w:r>
          </w:p>
        </w:tc>
        <w:tc>
          <w:tcPr>
            <w:tcW w:w="1084" w:type="dxa"/>
            <w:vMerge w:val="restart"/>
            <w:shd w:val="clear" w:color="000000" w:fill="FFFFFF"/>
            <w:hideMark/>
          </w:tcPr>
          <w:p w14:paraId="3A2FFD8D"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2015.</w:t>
            </w:r>
          </w:p>
        </w:tc>
        <w:tc>
          <w:tcPr>
            <w:tcW w:w="1439" w:type="dxa"/>
            <w:vMerge w:val="restart"/>
            <w:shd w:val="clear" w:color="000000" w:fill="FFFFFF"/>
            <w:hideMark/>
          </w:tcPr>
          <w:p w14:paraId="615114CB"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710" w:type="dxa"/>
            <w:vMerge w:val="restart"/>
            <w:shd w:val="clear" w:color="000000" w:fill="FFFFFF"/>
            <w:hideMark/>
          </w:tcPr>
          <w:p w14:paraId="7E97A54E"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vMerge w:val="restart"/>
            <w:shd w:val="clear" w:color="000000" w:fill="FFFFFF"/>
            <w:hideMark/>
          </w:tcPr>
          <w:p w14:paraId="1AADA151"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w:t>
            </w:r>
          </w:p>
        </w:tc>
        <w:tc>
          <w:tcPr>
            <w:tcW w:w="236" w:type="dxa"/>
            <w:tcBorders>
              <w:top w:val="nil"/>
              <w:bottom w:val="nil"/>
              <w:right w:val="nil"/>
            </w:tcBorders>
            <w:vAlign w:val="center"/>
            <w:hideMark/>
          </w:tcPr>
          <w:p w14:paraId="12125D32" w14:textId="77777777" w:rsidR="009144A7" w:rsidRPr="00EF2F18" w:rsidRDefault="009144A7" w:rsidP="00752CA0">
            <w:pPr>
              <w:spacing w:after="0"/>
              <w:rPr>
                <w:rFonts w:eastAsia="Times New Roman" w:cs="Times New Roman"/>
                <w:sz w:val="20"/>
                <w:szCs w:val="20"/>
                <w:lang w:val="sr-Cyrl-RS" w:eastAsia="sr-Cyrl-RS"/>
              </w:rPr>
            </w:pPr>
          </w:p>
        </w:tc>
      </w:tr>
      <w:tr w:rsidR="009144A7" w:rsidRPr="00EF2F18" w14:paraId="22953A80" w14:textId="77777777" w:rsidTr="009144A7">
        <w:trPr>
          <w:trHeight w:val="324"/>
        </w:trPr>
        <w:tc>
          <w:tcPr>
            <w:tcW w:w="3565" w:type="dxa"/>
            <w:vMerge/>
            <w:vAlign w:val="center"/>
            <w:hideMark/>
          </w:tcPr>
          <w:p w14:paraId="149E42B1"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64" w:type="dxa"/>
            <w:vMerge/>
            <w:vAlign w:val="center"/>
            <w:hideMark/>
          </w:tcPr>
          <w:p w14:paraId="1671304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824" w:type="dxa"/>
            <w:vMerge/>
            <w:vAlign w:val="center"/>
            <w:hideMark/>
          </w:tcPr>
          <w:p w14:paraId="0F55110C"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151" w:type="dxa"/>
            <w:vMerge/>
            <w:vAlign w:val="center"/>
            <w:hideMark/>
          </w:tcPr>
          <w:p w14:paraId="4D7BAE4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084" w:type="dxa"/>
            <w:vMerge/>
            <w:vAlign w:val="center"/>
            <w:hideMark/>
          </w:tcPr>
          <w:p w14:paraId="1CD8FCF6"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39" w:type="dxa"/>
            <w:vMerge/>
            <w:vAlign w:val="center"/>
            <w:hideMark/>
          </w:tcPr>
          <w:p w14:paraId="33AABFA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710" w:type="dxa"/>
            <w:vMerge/>
            <w:vAlign w:val="center"/>
            <w:hideMark/>
          </w:tcPr>
          <w:p w14:paraId="38867F6C"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530" w:type="dxa"/>
            <w:vMerge/>
            <w:vAlign w:val="center"/>
            <w:hideMark/>
          </w:tcPr>
          <w:p w14:paraId="1AD31659"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36" w:type="dxa"/>
            <w:tcBorders>
              <w:top w:val="nil"/>
              <w:bottom w:val="nil"/>
              <w:right w:val="nil"/>
            </w:tcBorders>
            <w:noWrap/>
            <w:vAlign w:val="bottom"/>
            <w:hideMark/>
          </w:tcPr>
          <w:p w14:paraId="2F0D0C14" w14:textId="77777777" w:rsidR="009144A7" w:rsidRPr="00EF2F18" w:rsidRDefault="009144A7" w:rsidP="00752CA0">
            <w:pPr>
              <w:spacing w:after="0"/>
              <w:jc w:val="center"/>
              <w:rPr>
                <w:rFonts w:eastAsia="Times New Roman" w:cs="Times New Roman"/>
                <w:color w:val="000000"/>
                <w:sz w:val="20"/>
                <w:szCs w:val="20"/>
                <w:lang w:val="sr-Cyrl-RS" w:eastAsia="sr-Cyrl-RS"/>
              </w:rPr>
            </w:pPr>
          </w:p>
        </w:tc>
      </w:tr>
    </w:tbl>
    <w:p w14:paraId="51F2152B" w14:textId="77777777" w:rsidR="007D7243" w:rsidRPr="00EF2F18" w:rsidRDefault="007D7243" w:rsidP="007D7243">
      <w:pPr>
        <w:tabs>
          <w:tab w:val="left" w:pos="1940"/>
        </w:tabs>
        <w:spacing w:after="0"/>
        <w:rPr>
          <w:rFonts w:cs="Times New Roman"/>
          <w:sz w:val="20"/>
          <w:szCs w:val="20"/>
          <w:lang w:val="sr-Cyrl-RS"/>
        </w:rPr>
      </w:pPr>
    </w:p>
    <w:tbl>
      <w:tblPr>
        <w:tblW w:w="13803" w:type="dxa"/>
        <w:tblCellMar>
          <w:top w:w="15" w:type="dxa"/>
        </w:tblCellMar>
        <w:tblLook w:val="04A0" w:firstRow="1" w:lastRow="0" w:firstColumn="1" w:lastColumn="0" w:noHBand="0" w:noVBand="1"/>
      </w:tblPr>
      <w:tblGrid>
        <w:gridCol w:w="3354"/>
        <w:gridCol w:w="1262"/>
        <w:gridCol w:w="1258"/>
        <w:gridCol w:w="980"/>
        <w:gridCol w:w="962"/>
        <w:gridCol w:w="1478"/>
        <w:gridCol w:w="1303"/>
        <w:gridCol w:w="1350"/>
        <w:gridCol w:w="1620"/>
        <w:gridCol w:w="236"/>
      </w:tblGrid>
      <w:tr w:rsidR="007D7243" w:rsidRPr="00EF2F18" w14:paraId="0B4BEBBB" w14:textId="77777777" w:rsidTr="009144A7">
        <w:trPr>
          <w:gridAfter w:val="1"/>
          <w:wAfter w:w="236" w:type="dxa"/>
          <w:trHeight w:val="561"/>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4F22F633" w14:textId="77777777" w:rsidR="007D7243" w:rsidRPr="00EF2F18" w:rsidRDefault="007D7243" w:rsidP="00752CA0">
            <w:pPr>
              <w:spacing w:after="0"/>
              <w:rPr>
                <w:rFonts w:eastAsia="Times New Roman" w:cs="Times New Roman"/>
                <w:b/>
                <w:bCs/>
                <w:color w:val="000000"/>
                <w:sz w:val="20"/>
                <w:szCs w:val="20"/>
                <w:lang w:val="sr-Cyrl-RS" w:eastAsia="sr-Cyrl-RS"/>
              </w:rPr>
            </w:pPr>
            <w:bookmarkStart w:id="167" w:name="RANGE!A208"/>
            <w:r w:rsidRPr="00EF2F18">
              <w:rPr>
                <w:rFonts w:eastAsia="Times New Roman" w:cs="Times New Roman"/>
                <w:b/>
                <w:bCs/>
                <w:sz w:val="20"/>
                <w:szCs w:val="20"/>
                <w:lang w:val="sr-Cyrl-RS" w:eastAsia="sr-Cyrl-RS"/>
              </w:rPr>
              <w:t xml:space="preserve">Мера 3.1.1: Замена постојећих уређаја за грејање у домаћинствима новим уређајима који испуњавају захтеве Директиве о еко-дизајну уз финансијске подстицаје </w:t>
            </w:r>
            <w:bookmarkEnd w:id="167"/>
          </w:p>
        </w:tc>
      </w:tr>
      <w:tr w:rsidR="007D7243" w:rsidRPr="00EF2F18" w14:paraId="449AC444" w14:textId="77777777" w:rsidTr="009144A7">
        <w:trPr>
          <w:gridAfter w:val="1"/>
          <w:wAfter w:w="236" w:type="dxa"/>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7A9F194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рударства и енергетике/Министарство здравља </w:t>
            </w:r>
          </w:p>
        </w:tc>
      </w:tr>
      <w:tr w:rsidR="007D7243" w:rsidRPr="00EF2F18" w14:paraId="04C067A3" w14:textId="77777777" w:rsidTr="009144A7">
        <w:trPr>
          <w:gridAfter w:val="1"/>
          <w:wAfter w:w="236" w:type="dxa"/>
          <w:trHeight w:val="336"/>
        </w:trPr>
        <w:tc>
          <w:tcPr>
            <w:tcW w:w="685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0683328" w14:textId="3AA4EDB8"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9144A7"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713"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387F3FD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Тип мере: подстицајна </w:t>
            </w:r>
          </w:p>
        </w:tc>
      </w:tr>
      <w:tr w:rsidR="007D7243" w:rsidRPr="00EF2F18" w14:paraId="515DA0EA" w14:textId="77777777" w:rsidTr="009144A7">
        <w:trPr>
          <w:gridAfter w:val="1"/>
          <w:wAfter w:w="236" w:type="dxa"/>
          <w:trHeight w:val="336"/>
        </w:trPr>
        <w:tc>
          <w:tcPr>
            <w:tcW w:w="685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64547BE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13"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18215243"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9144A7" w:rsidRPr="00EF2F18" w14:paraId="599602FA" w14:textId="77777777" w:rsidTr="009144A7">
        <w:trPr>
          <w:gridAfter w:val="1"/>
          <w:wAfter w:w="236" w:type="dxa"/>
          <w:trHeight w:val="816"/>
        </w:trPr>
        <w:tc>
          <w:tcPr>
            <w:tcW w:w="3354" w:type="dxa"/>
            <w:tcBorders>
              <w:top w:val="double" w:sz="6" w:space="0" w:color="auto"/>
              <w:left w:val="double" w:sz="6" w:space="0" w:color="auto"/>
              <w:bottom w:val="double" w:sz="6" w:space="0" w:color="auto"/>
              <w:right w:val="double" w:sz="6" w:space="0" w:color="auto"/>
            </w:tcBorders>
            <w:shd w:val="clear" w:color="000000" w:fill="D9D9D9"/>
            <w:hideMark/>
          </w:tcPr>
          <w:p w14:paraId="0FF32347"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62" w:type="dxa"/>
            <w:tcBorders>
              <w:top w:val="double" w:sz="6" w:space="0" w:color="auto"/>
              <w:left w:val="double" w:sz="6" w:space="0" w:color="auto"/>
              <w:bottom w:val="double" w:sz="6" w:space="0" w:color="auto"/>
              <w:right w:val="double" w:sz="6" w:space="0" w:color="auto"/>
            </w:tcBorders>
            <w:shd w:val="clear" w:color="000000" w:fill="D9D9D9"/>
            <w:hideMark/>
          </w:tcPr>
          <w:p w14:paraId="7D9D0E57"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58" w:type="dxa"/>
            <w:tcBorders>
              <w:top w:val="double" w:sz="6" w:space="0" w:color="auto"/>
              <w:left w:val="double" w:sz="6" w:space="0" w:color="auto"/>
              <w:bottom w:val="double" w:sz="6" w:space="0" w:color="auto"/>
              <w:right w:val="double" w:sz="6" w:space="0" w:color="auto"/>
            </w:tcBorders>
            <w:shd w:val="clear" w:color="000000" w:fill="D9D9D9"/>
            <w:hideMark/>
          </w:tcPr>
          <w:p w14:paraId="0D3C1E9D"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942"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566F1C04"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78" w:type="dxa"/>
            <w:tcBorders>
              <w:top w:val="double" w:sz="6" w:space="0" w:color="auto"/>
              <w:left w:val="double" w:sz="6" w:space="0" w:color="auto"/>
              <w:bottom w:val="double" w:sz="6" w:space="0" w:color="auto"/>
              <w:right w:val="double" w:sz="6" w:space="0" w:color="auto"/>
            </w:tcBorders>
            <w:shd w:val="clear" w:color="000000" w:fill="D9D9D9"/>
            <w:hideMark/>
          </w:tcPr>
          <w:p w14:paraId="7F929B05"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03" w:type="dxa"/>
            <w:tcBorders>
              <w:top w:val="double" w:sz="6" w:space="0" w:color="auto"/>
              <w:left w:val="double" w:sz="6" w:space="0" w:color="auto"/>
              <w:bottom w:val="double" w:sz="6" w:space="0" w:color="auto"/>
              <w:right w:val="double" w:sz="6" w:space="0" w:color="auto"/>
            </w:tcBorders>
            <w:shd w:val="clear" w:color="000000" w:fill="D9D9D9"/>
            <w:hideMark/>
          </w:tcPr>
          <w:p w14:paraId="01D56A12"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tcBorders>
              <w:top w:val="double" w:sz="6" w:space="0" w:color="auto"/>
              <w:left w:val="double" w:sz="6" w:space="0" w:color="auto"/>
              <w:bottom w:val="double" w:sz="6" w:space="0" w:color="auto"/>
              <w:right w:val="double" w:sz="6" w:space="0" w:color="auto"/>
            </w:tcBorders>
            <w:shd w:val="clear" w:color="000000" w:fill="D9D9D9"/>
            <w:hideMark/>
          </w:tcPr>
          <w:p w14:paraId="7352F460"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tcBorders>
              <w:top w:val="double" w:sz="6" w:space="0" w:color="auto"/>
              <w:left w:val="double" w:sz="6" w:space="0" w:color="auto"/>
              <w:bottom w:val="double" w:sz="6" w:space="0" w:color="auto"/>
              <w:right w:val="double" w:sz="6" w:space="0" w:color="auto"/>
            </w:tcBorders>
            <w:shd w:val="clear" w:color="000000" w:fill="D9D9D9"/>
            <w:hideMark/>
          </w:tcPr>
          <w:p w14:paraId="5075FDCA"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9144A7" w:rsidRPr="00EF2F18" w14:paraId="38D81BB6" w14:textId="77777777" w:rsidTr="009144A7">
        <w:trPr>
          <w:gridAfter w:val="1"/>
          <w:wAfter w:w="236" w:type="dxa"/>
          <w:trHeight w:val="458"/>
        </w:trPr>
        <w:tc>
          <w:tcPr>
            <w:tcW w:w="3354" w:type="dxa"/>
            <w:vMerge w:val="restart"/>
            <w:tcBorders>
              <w:top w:val="nil"/>
              <w:left w:val="double" w:sz="6" w:space="0" w:color="auto"/>
              <w:bottom w:val="double" w:sz="6" w:space="0" w:color="000000"/>
              <w:right w:val="single" w:sz="8" w:space="0" w:color="auto"/>
            </w:tcBorders>
            <w:shd w:val="clear" w:color="000000" w:fill="FFFFFF"/>
            <w:hideMark/>
          </w:tcPr>
          <w:p w14:paraId="6AFD0D6E"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Уштеде повлачењем из употребе старе технологије и замена уређајима који испуњавају захтеве Директиве о еко-дизајну и топлотним пумпама</w:t>
            </w:r>
          </w:p>
        </w:tc>
        <w:tc>
          <w:tcPr>
            <w:tcW w:w="1262" w:type="dxa"/>
            <w:vMerge w:val="restart"/>
            <w:tcBorders>
              <w:top w:val="nil"/>
              <w:left w:val="single" w:sz="8" w:space="0" w:color="auto"/>
              <w:bottom w:val="double" w:sz="6" w:space="0" w:color="000000"/>
              <w:right w:val="single" w:sz="8" w:space="0" w:color="auto"/>
            </w:tcBorders>
            <w:shd w:val="clear" w:color="000000" w:fill="FFFFFF"/>
            <w:hideMark/>
          </w:tcPr>
          <w:p w14:paraId="08F92249"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ktoe</w:t>
            </w:r>
          </w:p>
        </w:tc>
        <w:tc>
          <w:tcPr>
            <w:tcW w:w="1258" w:type="dxa"/>
            <w:vMerge w:val="restart"/>
            <w:tcBorders>
              <w:top w:val="nil"/>
              <w:left w:val="single" w:sz="8" w:space="0" w:color="auto"/>
              <w:bottom w:val="double" w:sz="6" w:space="0" w:color="000000"/>
              <w:right w:val="single" w:sz="8" w:space="0" w:color="auto"/>
            </w:tcBorders>
            <w:shd w:val="clear" w:color="000000" w:fill="FFFFFF"/>
            <w:hideMark/>
          </w:tcPr>
          <w:p w14:paraId="58A4FE98"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МРЕ </w:t>
            </w:r>
          </w:p>
        </w:tc>
        <w:tc>
          <w:tcPr>
            <w:tcW w:w="1942" w:type="dxa"/>
            <w:gridSpan w:val="2"/>
            <w:vMerge w:val="restart"/>
            <w:tcBorders>
              <w:top w:val="double" w:sz="6" w:space="0" w:color="auto"/>
              <w:left w:val="single" w:sz="8" w:space="0" w:color="auto"/>
              <w:bottom w:val="double" w:sz="6" w:space="0" w:color="000000"/>
              <w:right w:val="single" w:sz="8" w:space="0" w:color="000000"/>
            </w:tcBorders>
            <w:shd w:val="clear" w:color="000000" w:fill="FFFFFF"/>
            <w:hideMark/>
          </w:tcPr>
          <w:p w14:paraId="4CC7F046"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478" w:type="dxa"/>
            <w:vMerge w:val="restart"/>
            <w:tcBorders>
              <w:top w:val="nil"/>
              <w:left w:val="single" w:sz="8" w:space="0" w:color="auto"/>
              <w:bottom w:val="double" w:sz="6" w:space="0" w:color="000000"/>
              <w:right w:val="single" w:sz="8" w:space="0" w:color="auto"/>
            </w:tcBorders>
            <w:shd w:val="clear" w:color="000000" w:fill="FFFFFF"/>
            <w:hideMark/>
          </w:tcPr>
          <w:p w14:paraId="2D598C37"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2015.</w:t>
            </w:r>
          </w:p>
        </w:tc>
        <w:tc>
          <w:tcPr>
            <w:tcW w:w="1303" w:type="dxa"/>
            <w:vMerge w:val="restart"/>
            <w:tcBorders>
              <w:top w:val="nil"/>
              <w:left w:val="single" w:sz="8" w:space="0" w:color="auto"/>
              <w:bottom w:val="double" w:sz="6" w:space="0" w:color="000000"/>
              <w:right w:val="single" w:sz="8" w:space="0" w:color="auto"/>
            </w:tcBorders>
            <w:shd w:val="clear" w:color="000000" w:fill="FFFFFF"/>
            <w:hideMark/>
          </w:tcPr>
          <w:p w14:paraId="3D9FFFD5"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14,58</w:t>
            </w:r>
          </w:p>
        </w:tc>
        <w:tc>
          <w:tcPr>
            <w:tcW w:w="1350" w:type="dxa"/>
            <w:vMerge w:val="restart"/>
            <w:tcBorders>
              <w:top w:val="nil"/>
              <w:left w:val="single" w:sz="8" w:space="0" w:color="auto"/>
              <w:bottom w:val="double" w:sz="6" w:space="0" w:color="000000"/>
              <w:right w:val="single" w:sz="8" w:space="0" w:color="auto"/>
            </w:tcBorders>
            <w:shd w:val="clear" w:color="000000" w:fill="FFFFFF"/>
            <w:hideMark/>
          </w:tcPr>
          <w:p w14:paraId="3E267555"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19,44</w:t>
            </w:r>
          </w:p>
        </w:tc>
        <w:tc>
          <w:tcPr>
            <w:tcW w:w="1620" w:type="dxa"/>
            <w:vMerge w:val="restart"/>
            <w:tcBorders>
              <w:top w:val="nil"/>
              <w:left w:val="single" w:sz="8" w:space="0" w:color="auto"/>
              <w:bottom w:val="double" w:sz="6" w:space="0" w:color="000000"/>
              <w:right w:val="double" w:sz="6" w:space="0" w:color="auto"/>
            </w:tcBorders>
            <w:shd w:val="clear" w:color="000000" w:fill="FFFFFF"/>
            <w:hideMark/>
          </w:tcPr>
          <w:p w14:paraId="64700762"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24,3</w:t>
            </w:r>
          </w:p>
        </w:tc>
      </w:tr>
      <w:tr w:rsidR="009144A7" w:rsidRPr="00EF2F18" w14:paraId="2B792A76" w14:textId="77777777" w:rsidTr="009144A7">
        <w:trPr>
          <w:trHeight w:val="312"/>
        </w:trPr>
        <w:tc>
          <w:tcPr>
            <w:tcW w:w="3354" w:type="dxa"/>
            <w:vMerge/>
            <w:tcBorders>
              <w:top w:val="nil"/>
              <w:left w:val="double" w:sz="6" w:space="0" w:color="auto"/>
              <w:bottom w:val="double" w:sz="6" w:space="0" w:color="000000"/>
              <w:right w:val="single" w:sz="8" w:space="0" w:color="auto"/>
            </w:tcBorders>
            <w:vAlign w:val="center"/>
            <w:hideMark/>
          </w:tcPr>
          <w:p w14:paraId="55ABD82D"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62" w:type="dxa"/>
            <w:vMerge/>
            <w:tcBorders>
              <w:top w:val="nil"/>
              <w:left w:val="single" w:sz="8" w:space="0" w:color="auto"/>
              <w:bottom w:val="double" w:sz="6" w:space="0" w:color="000000"/>
              <w:right w:val="single" w:sz="8" w:space="0" w:color="auto"/>
            </w:tcBorders>
            <w:vAlign w:val="center"/>
            <w:hideMark/>
          </w:tcPr>
          <w:p w14:paraId="3C9125FE"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58" w:type="dxa"/>
            <w:vMerge/>
            <w:tcBorders>
              <w:top w:val="nil"/>
              <w:left w:val="single" w:sz="8" w:space="0" w:color="auto"/>
              <w:bottom w:val="double" w:sz="6" w:space="0" w:color="000000"/>
              <w:right w:val="single" w:sz="8" w:space="0" w:color="auto"/>
            </w:tcBorders>
            <w:vAlign w:val="center"/>
            <w:hideMark/>
          </w:tcPr>
          <w:p w14:paraId="276B4D7A"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942" w:type="dxa"/>
            <w:gridSpan w:val="2"/>
            <w:vMerge/>
            <w:tcBorders>
              <w:top w:val="double" w:sz="6" w:space="0" w:color="auto"/>
              <w:left w:val="single" w:sz="8" w:space="0" w:color="auto"/>
              <w:bottom w:val="double" w:sz="6" w:space="0" w:color="000000"/>
              <w:right w:val="single" w:sz="8" w:space="0" w:color="000000"/>
            </w:tcBorders>
            <w:vAlign w:val="center"/>
            <w:hideMark/>
          </w:tcPr>
          <w:p w14:paraId="5A8810BE"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78" w:type="dxa"/>
            <w:vMerge/>
            <w:tcBorders>
              <w:top w:val="nil"/>
              <w:left w:val="single" w:sz="8" w:space="0" w:color="auto"/>
              <w:bottom w:val="double" w:sz="6" w:space="0" w:color="000000"/>
              <w:right w:val="single" w:sz="8" w:space="0" w:color="auto"/>
            </w:tcBorders>
            <w:vAlign w:val="center"/>
            <w:hideMark/>
          </w:tcPr>
          <w:p w14:paraId="30F7378B"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03" w:type="dxa"/>
            <w:vMerge/>
            <w:tcBorders>
              <w:top w:val="nil"/>
              <w:left w:val="single" w:sz="8" w:space="0" w:color="auto"/>
              <w:bottom w:val="double" w:sz="6" w:space="0" w:color="000000"/>
              <w:right w:val="single" w:sz="8" w:space="0" w:color="auto"/>
            </w:tcBorders>
            <w:vAlign w:val="center"/>
            <w:hideMark/>
          </w:tcPr>
          <w:p w14:paraId="74693F37"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50" w:type="dxa"/>
            <w:vMerge/>
            <w:tcBorders>
              <w:top w:val="nil"/>
              <w:left w:val="single" w:sz="8" w:space="0" w:color="auto"/>
              <w:bottom w:val="double" w:sz="6" w:space="0" w:color="000000"/>
              <w:right w:val="single" w:sz="8" w:space="0" w:color="auto"/>
            </w:tcBorders>
            <w:vAlign w:val="center"/>
            <w:hideMark/>
          </w:tcPr>
          <w:p w14:paraId="04AB09E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620" w:type="dxa"/>
            <w:vMerge/>
            <w:tcBorders>
              <w:top w:val="nil"/>
              <w:left w:val="single" w:sz="8" w:space="0" w:color="auto"/>
              <w:bottom w:val="double" w:sz="6" w:space="0" w:color="000000"/>
              <w:right w:val="double" w:sz="6" w:space="0" w:color="auto"/>
            </w:tcBorders>
            <w:vAlign w:val="center"/>
            <w:hideMark/>
          </w:tcPr>
          <w:p w14:paraId="30A6E1F8"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36" w:type="dxa"/>
            <w:tcBorders>
              <w:top w:val="nil"/>
              <w:left w:val="nil"/>
              <w:bottom w:val="nil"/>
              <w:right w:val="nil"/>
            </w:tcBorders>
            <w:noWrap/>
            <w:vAlign w:val="bottom"/>
            <w:hideMark/>
          </w:tcPr>
          <w:p w14:paraId="0D37A9C9" w14:textId="77777777" w:rsidR="009144A7" w:rsidRPr="00EF2F18" w:rsidRDefault="009144A7" w:rsidP="00752CA0">
            <w:pPr>
              <w:spacing w:after="0"/>
              <w:jc w:val="center"/>
              <w:rPr>
                <w:rFonts w:eastAsia="Times New Roman" w:cs="Times New Roman"/>
                <w:color w:val="000000"/>
                <w:sz w:val="20"/>
                <w:szCs w:val="20"/>
                <w:lang w:val="sr-Cyrl-RS" w:eastAsia="sr-Cyrl-RS"/>
              </w:rPr>
            </w:pPr>
          </w:p>
        </w:tc>
      </w:tr>
      <w:tr w:rsidR="009144A7" w:rsidRPr="00EF2F18" w14:paraId="455B9080" w14:textId="77777777" w:rsidTr="009144A7">
        <w:trPr>
          <w:trHeight w:val="324"/>
        </w:trPr>
        <w:tc>
          <w:tcPr>
            <w:tcW w:w="3354" w:type="dxa"/>
            <w:vMerge/>
            <w:tcBorders>
              <w:top w:val="nil"/>
              <w:left w:val="double" w:sz="6" w:space="0" w:color="auto"/>
              <w:bottom w:val="double" w:sz="6" w:space="0" w:color="000000"/>
              <w:right w:val="single" w:sz="8" w:space="0" w:color="auto"/>
            </w:tcBorders>
            <w:vAlign w:val="center"/>
            <w:hideMark/>
          </w:tcPr>
          <w:p w14:paraId="625EAB4F"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62" w:type="dxa"/>
            <w:vMerge/>
            <w:tcBorders>
              <w:top w:val="nil"/>
              <w:left w:val="single" w:sz="8" w:space="0" w:color="auto"/>
              <w:bottom w:val="double" w:sz="6" w:space="0" w:color="000000"/>
              <w:right w:val="single" w:sz="8" w:space="0" w:color="auto"/>
            </w:tcBorders>
            <w:vAlign w:val="center"/>
            <w:hideMark/>
          </w:tcPr>
          <w:p w14:paraId="64DEE99D"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58" w:type="dxa"/>
            <w:vMerge/>
            <w:tcBorders>
              <w:top w:val="nil"/>
              <w:left w:val="single" w:sz="8" w:space="0" w:color="auto"/>
              <w:bottom w:val="double" w:sz="6" w:space="0" w:color="000000"/>
              <w:right w:val="single" w:sz="8" w:space="0" w:color="auto"/>
            </w:tcBorders>
            <w:vAlign w:val="center"/>
            <w:hideMark/>
          </w:tcPr>
          <w:p w14:paraId="56B505CC"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942" w:type="dxa"/>
            <w:gridSpan w:val="2"/>
            <w:vMerge/>
            <w:tcBorders>
              <w:top w:val="double" w:sz="6" w:space="0" w:color="auto"/>
              <w:left w:val="single" w:sz="8" w:space="0" w:color="auto"/>
              <w:bottom w:val="double" w:sz="6" w:space="0" w:color="000000"/>
              <w:right w:val="single" w:sz="8" w:space="0" w:color="000000"/>
            </w:tcBorders>
            <w:vAlign w:val="center"/>
            <w:hideMark/>
          </w:tcPr>
          <w:p w14:paraId="79AC542C"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78" w:type="dxa"/>
            <w:vMerge/>
            <w:tcBorders>
              <w:top w:val="nil"/>
              <w:left w:val="single" w:sz="8" w:space="0" w:color="auto"/>
              <w:bottom w:val="double" w:sz="6" w:space="0" w:color="000000"/>
              <w:right w:val="single" w:sz="8" w:space="0" w:color="auto"/>
            </w:tcBorders>
            <w:vAlign w:val="center"/>
            <w:hideMark/>
          </w:tcPr>
          <w:p w14:paraId="63261FDB"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03" w:type="dxa"/>
            <w:vMerge/>
            <w:tcBorders>
              <w:top w:val="nil"/>
              <w:left w:val="single" w:sz="8" w:space="0" w:color="auto"/>
              <w:bottom w:val="double" w:sz="6" w:space="0" w:color="000000"/>
              <w:right w:val="single" w:sz="8" w:space="0" w:color="auto"/>
            </w:tcBorders>
            <w:vAlign w:val="center"/>
            <w:hideMark/>
          </w:tcPr>
          <w:p w14:paraId="64DA6334"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50" w:type="dxa"/>
            <w:vMerge/>
            <w:tcBorders>
              <w:top w:val="nil"/>
              <w:left w:val="single" w:sz="8" w:space="0" w:color="auto"/>
              <w:bottom w:val="double" w:sz="6" w:space="0" w:color="000000"/>
              <w:right w:val="single" w:sz="8" w:space="0" w:color="auto"/>
            </w:tcBorders>
            <w:vAlign w:val="center"/>
            <w:hideMark/>
          </w:tcPr>
          <w:p w14:paraId="291CA27A"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620" w:type="dxa"/>
            <w:vMerge/>
            <w:tcBorders>
              <w:top w:val="nil"/>
              <w:left w:val="single" w:sz="8" w:space="0" w:color="auto"/>
              <w:bottom w:val="double" w:sz="6" w:space="0" w:color="000000"/>
              <w:right w:val="double" w:sz="6" w:space="0" w:color="auto"/>
            </w:tcBorders>
            <w:vAlign w:val="center"/>
            <w:hideMark/>
          </w:tcPr>
          <w:p w14:paraId="4A91DAF7"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36" w:type="dxa"/>
            <w:tcBorders>
              <w:top w:val="nil"/>
              <w:left w:val="nil"/>
              <w:bottom w:val="nil"/>
              <w:right w:val="nil"/>
            </w:tcBorders>
            <w:noWrap/>
            <w:vAlign w:val="bottom"/>
            <w:hideMark/>
          </w:tcPr>
          <w:p w14:paraId="588A1BDB" w14:textId="77777777" w:rsidR="009144A7" w:rsidRPr="00EF2F18" w:rsidRDefault="009144A7" w:rsidP="00752CA0">
            <w:pPr>
              <w:spacing w:after="0"/>
              <w:rPr>
                <w:rFonts w:eastAsia="Times New Roman" w:cs="Times New Roman"/>
                <w:sz w:val="20"/>
                <w:szCs w:val="20"/>
                <w:lang w:val="sr-Cyrl-RS" w:eastAsia="sr-Cyrl-RS"/>
              </w:rPr>
            </w:pPr>
          </w:p>
        </w:tc>
      </w:tr>
    </w:tbl>
    <w:p w14:paraId="64C36693" w14:textId="77777777" w:rsidR="007D7243" w:rsidRPr="00EF2F18" w:rsidRDefault="007D7243" w:rsidP="007D7243">
      <w:pPr>
        <w:spacing w:after="0"/>
        <w:rPr>
          <w:lang w:val="sr-Cyrl-RS"/>
        </w:rPr>
      </w:pPr>
    </w:p>
    <w:tbl>
      <w:tblPr>
        <w:tblW w:w="1356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521"/>
        <w:gridCol w:w="2551"/>
        <w:gridCol w:w="2455"/>
        <w:gridCol w:w="2340"/>
        <w:gridCol w:w="2700"/>
      </w:tblGrid>
      <w:tr w:rsidR="007D7243" w:rsidRPr="00EF2F18" w14:paraId="461A46D6" w14:textId="77777777" w:rsidTr="009144A7">
        <w:trPr>
          <w:trHeight w:val="336"/>
        </w:trPr>
        <w:tc>
          <w:tcPr>
            <w:tcW w:w="3521" w:type="dxa"/>
            <w:vMerge w:val="restart"/>
            <w:shd w:val="clear" w:color="000000" w:fill="A8D08D"/>
            <w:hideMark/>
          </w:tcPr>
          <w:p w14:paraId="3742FAB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1" w:type="dxa"/>
            <w:vMerge w:val="restart"/>
            <w:shd w:val="clear" w:color="000000" w:fill="A8D08D"/>
            <w:hideMark/>
          </w:tcPr>
          <w:p w14:paraId="1F98BB6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495" w:type="dxa"/>
            <w:gridSpan w:val="3"/>
            <w:shd w:val="clear" w:color="000000" w:fill="A8D08D"/>
            <w:hideMark/>
          </w:tcPr>
          <w:p w14:paraId="415A73D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9144A7" w:rsidRPr="00EF2F18" w14:paraId="63532E72" w14:textId="77777777" w:rsidTr="009144A7">
        <w:trPr>
          <w:trHeight w:val="336"/>
        </w:trPr>
        <w:tc>
          <w:tcPr>
            <w:tcW w:w="3521" w:type="dxa"/>
            <w:vMerge/>
            <w:vAlign w:val="center"/>
            <w:hideMark/>
          </w:tcPr>
          <w:p w14:paraId="791C49C5"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551" w:type="dxa"/>
            <w:vMerge/>
            <w:vAlign w:val="center"/>
            <w:hideMark/>
          </w:tcPr>
          <w:p w14:paraId="4D46F617"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455" w:type="dxa"/>
            <w:shd w:val="clear" w:color="000000" w:fill="A8D08D"/>
            <w:hideMark/>
          </w:tcPr>
          <w:p w14:paraId="73A32898" w14:textId="627E95E6"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340" w:type="dxa"/>
            <w:shd w:val="clear" w:color="000000" w:fill="A8D08D"/>
            <w:hideMark/>
          </w:tcPr>
          <w:p w14:paraId="55594B60" w14:textId="3E546371"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700" w:type="dxa"/>
            <w:shd w:val="clear" w:color="000000" w:fill="A8D08D"/>
            <w:hideMark/>
          </w:tcPr>
          <w:p w14:paraId="5DAD7AF7" w14:textId="2E11FCFA"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9144A7" w:rsidRPr="00EF2F18" w14:paraId="1497B071" w14:textId="77777777" w:rsidTr="009144A7">
        <w:trPr>
          <w:trHeight w:val="336"/>
        </w:trPr>
        <w:tc>
          <w:tcPr>
            <w:tcW w:w="3521" w:type="dxa"/>
            <w:shd w:val="clear" w:color="000000" w:fill="FFFFFF"/>
            <w:vAlign w:val="center"/>
            <w:hideMark/>
          </w:tcPr>
          <w:p w14:paraId="17857183" w14:textId="047680DD" w:rsidR="009144A7" w:rsidRPr="00EF2F18" w:rsidRDefault="009144A7" w:rsidP="00752CA0">
            <w:pPr>
              <w:spacing w:after="0"/>
              <w:rPr>
                <w:rFonts w:eastAsia="Times New Roman" w:cs="Times New Roman"/>
                <w:color w:val="000000"/>
                <w:sz w:val="20"/>
                <w:szCs w:val="20"/>
                <w:lang w:val="sr-Cyrl-RS" w:eastAsia="sr-Cyrl-RS"/>
              </w:rPr>
            </w:pPr>
          </w:p>
        </w:tc>
        <w:tc>
          <w:tcPr>
            <w:tcW w:w="2551" w:type="dxa"/>
            <w:shd w:val="clear" w:color="000000" w:fill="FFFFFF"/>
            <w:vAlign w:val="center"/>
            <w:hideMark/>
          </w:tcPr>
          <w:p w14:paraId="75606B47"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2455" w:type="dxa"/>
            <w:shd w:val="clear" w:color="000000" w:fill="FFFFFF"/>
            <w:vAlign w:val="center"/>
          </w:tcPr>
          <w:p w14:paraId="226BF9DA" w14:textId="6574411F" w:rsidR="009144A7" w:rsidRPr="00EF2F18" w:rsidRDefault="009144A7" w:rsidP="00752CA0">
            <w:pPr>
              <w:spacing w:after="0"/>
              <w:jc w:val="right"/>
              <w:rPr>
                <w:rFonts w:eastAsia="Times New Roman" w:cs="Times New Roman"/>
                <w:color w:val="000000"/>
                <w:sz w:val="20"/>
                <w:szCs w:val="20"/>
                <w:lang w:val="sr-Cyrl-RS" w:eastAsia="sr-Cyrl-RS"/>
              </w:rPr>
            </w:pPr>
          </w:p>
        </w:tc>
        <w:tc>
          <w:tcPr>
            <w:tcW w:w="2340" w:type="dxa"/>
            <w:vAlign w:val="center"/>
          </w:tcPr>
          <w:p w14:paraId="235CD6BF" w14:textId="02111C38" w:rsidR="009144A7" w:rsidRPr="00EF2F18" w:rsidRDefault="009144A7" w:rsidP="00752CA0">
            <w:pPr>
              <w:spacing w:after="0"/>
              <w:jc w:val="right"/>
              <w:rPr>
                <w:rFonts w:eastAsia="Times New Roman" w:cs="Times New Roman"/>
                <w:color w:val="000000"/>
                <w:sz w:val="20"/>
                <w:szCs w:val="20"/>
                <w:lang w:val="sr-Cyrl-RS" w:eastAsia="sr-Cyrl-RS"/>
              </w:rPr>
            </w:pPr>
          </w:p>
        </w:tc>
        <w:tc>
          <w:tcPr>
            <w:tcW w:w="2700" w:type="dxa"/>
            <w:vAlign w:val="center"/>
          </w:tcPr>
          <w:p w14:paraId="3BA719DB" w14:textId="41B61A05" w:rsidR="009144A7" w:rsidRPr="00EF2F18" w:rsidRDefault="009144A7" w:rsidP="00752CA0">
            <w:pPr>
              <w:spacing w:after="0"/>
              <w:jc w:val="right"/>
              <w:rPr>
                <w:rFonts w:eastAsia="Times New Roman" w:cs="Times New Roman"/>
                <w:color w:val="000000"/>
                <w:sz w:val="20"/>
                <w:szCs w:val="20"/>
                <w:lang w:val="sr-Cyrl-RS" w:eastAsia="sr-Cyrl-RS"/>
              </w:rPr>
            </w:pPr>
          </w:p>
        </w:tc>
      </w:tr>
    </w:tbl>
    <w:p w14:paraId="2BF22387" w14:textId="77777777" w:rsidR="006C4764" w:rsidRPr="00EF2F18" w:rsidRDefault="006C4764" w:rsidP="007D7243">
      <w:pPr>
        <w:spacing w:after="0"/>
        <w:rPr>
          <w:lang w:val="sr-Cyrl-RS"/>
        </w:rPr>
      </w:pPr>
    </w:p>
    <w:p w14:paraId="55524677" w14:textId="77777777" w:rsidR="007620E6" w:rsidRPr="00EF2F18" w:rsidRDefault="007620E6" w:rsidP="007D7243">
      <w:pPr>
        <w:spacing w:after="0"/>
        <w:rPr>
          <w:lang w:val="sr-Cyrl-RS"/>
        </w:rPr>
      </w:pPr>
    </w:p>
    <w:p w14:paraId="7BF1251E" w14:textId="77777777" w:rsidR="007620E6" w:rsidRPr="00EF2F18" w:rsidRDefault="007620E6" w:rsidP="007D7243">
      <w:pPr>
        <w:spacing w:after="0"/>
        <w:rPr>
          <w:lang w:val="sr-Cyrl-RS"/>
        </w:rPr>
      </w:pPr>
    </w:p>
    <w:p w14:paraId="7B20FBE2" w14:textId="77777777" w:rsidR="007620E6" w:rsidRPr="00EF2F18" w:rsidRDefault="007620E6" w:rsidP="007D7243">
      <w:pPr>
        <w:spacing w:after="0"/>
        <w:rPr>
          <w:lang w:val="sr-Cyrl-RS"/>
        </w:rPr>
      </w:pPr>
    </w:p>
    <w:p w14:paraId="37986581" w14:textId="77777777" w:rsidR="007620E6" w:rsidRPr="00EF2F18" w:rsidRDefault="007620E6" w:rsidP="007D7243">
      <w:pPr>
        <w:spacing w:after="0"/>
        <w:rPr>
          <w:lang w:val="sr-Cyrl-RS"/>
        </w:rPr>
      </w:pPr>
    </w:p>
    <w:p w14:paraId="3D781582" w14:textId="77777777" w:rsidR="007620E6" w:rsidRPr="00EF2F18" w:rsidRDefault="007620E6" w:rsidP="007D7243">
      <w:pPr>
        <w:spacing w:after="0"/>
        <w:rPr>
          <w:lang w:val="sr-Cyrl-RS"/>
        </w:rPr>
      </w:pPr>
    </w:p>
    <w:p w14:paraId="0933D863" w14:textId="1972EFDC" w:rsidR="007620E6" w:rsidRPr="00EF2F18" w:rsidRDefault="007620E6" w:rsidP="007D7243">
      <w:pPr>
        <w:spacing w:after="0"/>
        <w:rPr>
          <w:lang w:val="sr-Cyrl-RS"/>
        </w:rPr>
      </w:pPr>
    </w:p>
    <w:tbl>
      <w:tblPr>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353"/>
        <w:gridCol w:w="1652"/>
        <w:gridCol w:w="1304"/>
        <w:gridCol w:w="1864"/>
        <w:gridCol w:w="1478"/>
        <w:gridCol w:w="1030"/>
        <w:gridCol w:w="1030"/>
        <w:gridCol w:w="880"/>
      </w:tblGrid>
      <w:tr w:rsidR="007D7243" w:rsidRPr="00EF2F18" w14:paraId="4774B55E" w14:textId="77777777" w:rsidTr="00743C4B">
        <w:trPr>
          <w:trHeight w:val="696"/>
        </w:trPr>
        <w:tc>
          <w:tcPr>
            <w:tcW w:w="1102" w:type="pct"/>
            <w:vMerge w:val="restart"/>
            <w:shd w:val="clear" w:color="000000" w:fill="FFF2CC"/>
            <w:hideMark/>
          </w:tcPr>
          <w:p w14:paraId="5389D03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498" w:type="pct"/>
            <w:vMerge w:val="restart"/>
            <w:shd w:val="clear" w:color="000000" w:fill="FFF2CC"/>
            <w:hideMark/>
          </w:tcPr>
          <w:p w14:paraId="6906F26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608" w:type="pct"/>
            <w:vMerge w:val="restart"/>
            <w:shd w:val="clear" w:color="000000" w:fill="FFF2CC"/>
            <w:hideMark/>
          </w:tcPr>
          <w:p w14:paraId="4A8E3A6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480" w:type="pct"/>
            <w:vMerge w:val="restart"/>
            <w:shd w:val="clear" w:color="000000" w:fill="FFF2CC"/>
            <w:hideMark/>
          </w:tcPr>
          <w:p w14:paraId="4D62505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686" w:type="pct"/>
            <w:vMerge w:val="restart"/>
            <w:shd w:val="clear" w:color="000000" w:fill="FFF2CC"/>
            <w:hideMark/>
          </w:tcPr>
          <w:p w14:paraId="4FB1D14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544" w:type="pct"/>
            <w:vMerge w:val="restart"/>
            <w:shd w:val="clear" w:color="000000" w:fill="FFF2CC"/>
            <w:hideMark/>
          </w:tcPr>
          <w:p w14:paraId="73B78F2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1082" w:type="pct"/>
            <w:gridSpan w:val="3"/>
            <w:shd w:val="clear" w:color="000000" w:fill="FFF2CC"/>
            <w:hideMark/>
          </w:tcPr>
          <w:p w14:paraId="63FBA1A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743C4B" w:rsidRPr="00EF2F18" w14:paraId="7DC01130" w14:textId="77777777" w:rsidTr="00743C4B">
        <w:trPr>
          <w:trHeight w:val="441"/>
        </w:trPr>
        <w:tc>
          <w:tcPr>
            <w:tcW w:w="1102" w:type="pct"/>
            <w:vMerge/>
            <w:vAlign w:val="center"/>
            <w:hideMark/>
          </w:tcPr>
          <w:p w14:paraId="635EB81B"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498" w:type="pct"/>
            <w:vMerge/>
            <w:vAlign w:val="center"/>
            <w:hideMark/>
          </w:tcPr>
          <w:p w14:paraId="43C9BF4C"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608" w:type="pct"/>
            <w:vMerge/>
            <w:vAlign w:val="center"/>
            <w:hideMark/>
          </w:tcPr>
          <w:p w14:paraId="2DBC9822"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480" w:type="pct"/>
            <w:vMerge/>
            <w:vAlign w:val="center"/>
            <w:hideMark/>
          </w:tcPr>
          <w:p w14:paraId="37251BCE"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686" w:type="pct"/>
            <w:vMerge/>
            <w:vAlign w:val="center"/>
            <w:hideMark/>
          </w:tcPr>
          <w:p w14:paraId="25A8844E"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544" w:type="pct"/>
            <w:vMerge/>
            <w:vAlign w:val="center"/>
            <w:hideMark/>
          </w:tcPr>
          <w:p w14:paraId="4CE86F57"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379" w:type="pct"/>
            <w:shd w:val="clear" w:color="000000" w:fill="FFF2CC"/>
            <w:hideMark/>
          </w:tcPr>
          <w:p w14:paraId="17A3F0DB" w14:textId="29B1A9E0" w:rsidR="00743C4B" w:rsidRPr="00EF2F18" w:rsidRDefault="00743C4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379" w:type="pct"/>
            <w:shd w:val="clear" w:color="000000" w:fill="FFF2CC"/>
            <w:hideMark/>
          </w:tcPr>
          <w:p w14:paraId="075BD256" w14:textId="3FB5674F" w:rsidR="00743C4B" w:rsidRPr="00EF2F18" w:rsidRDefault="00743C4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324" w:type="pct"/>
            <w:shd w:val="clear" w:color="000000" w:fill="FFF2CC"/>
            <w:hideMark/>
          </w:tcPr>
          <w:p w14:paraId="68A0D95F" w14:textId="1F159C24" w:rsidR="00743C4B" w:rsidRPr="00EF2F18" w:rsidRDefault="00743C4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743C4B" w:rsidRPr="00EF2F18" w14:paraId="1CC0A3B0" w14:textId="77777777" w:rsidTr="00743C4B">
        <w:trPr>
          <w:trHeight w:val="1860"/>
        </w:trPr>
        <w:tc>
          <w:tcPr>
            <w:tcW w:w="1102" w:type="pct"/>
            <w:hideMark/>
          </w:tcPr>
          <w:p w14:paraId="1EF648C3" w14:textId="3BA98C5C"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3.1.1.</w:t>
            </w:r>
            <w:r w:rsidR="003554B0"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 Успостављање и примена механизма за финансијске подстицаје за замену постојећих уређаја за грејање у домаћинствима новим који испуњавају захтеве еко-дизајна и топлотним пумпама.</w:t>
            </w:r>
          </w:p>
        </w:tc>
        <w:tc>
          <w:tcPr>
            <w:tcW w:w="498" w:type="pct"/>
            <w:hideMark/>
          </w:tcPr>
          <w:p w14:paraId="69521A88"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608" w:type="pct"/>
            <w:hideMark/>
          </w:tcPr>
          <w:p w14:paraId="0DD0CE5E"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МЗЖС, ЈЛС, и Тела за процену усаглашености</w:t>
            </w:r>
          </w:p>
        </w:tc>
        <w:tc>
          <w:tcPr>
            <w:tcW w:w="480" w:type="pct"/>
            <w:hideMark/>
          </w:tcPr>
          <w:p w14:paraId="1E89A266"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686" w:type="pct"/>
            <w:hideMark/>
          </w:tcPr>
          <w:p w14:paraId="2127EA04" w14:textId="18F17B43"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544" w:type="pct"/>
          </w:tcPr>
          <w:p w14:paraId="13494F75" w14:textId="7D5F077E" w:rsidR="00743C4B" w:rsidRPr="00EF2F18" w:rsidRDefault="00743C4B" w:rsidP="00752CA0">
            <w:pPr>
              <w:spacing w:after="0"/>
              <w:rPr>
                <w:rFonts w:eastAsia="Times New Roman" w:cs="Times New Roman"/>
                <w:color w:val="000000"/>
                <w:sz w:val="20"/>
                <w:szCs w:val="20"/>
                <w:lang w:val="sr-Cyrl-RS" w:eastAsia="sr-Cyrl-RS"/>
              </w:rPr>
            </w:pPr>
          </w:p>
        </w:tc>
        <w:tc>
          <w:tcPr>
            <w:tcW w:w="379" w:type="pct"/>
          </w:tcPr>
          <w:p w14:paraId="272820FA" w14:textId="0ACF5A9A" w:rsidR="00743C4B" w:rsidRPr="00EF2F18" w:rsidRDefault="00743C4B" w:rsidP="00752CA0">
            <w:pPr>
              <w:spacing w:after="0"/>
              <w:jc w:val="right"/>
              <w:rPr>
                <w:rFonts w:eastAsia="Times New Roman" w:cs="Times New Roman"/>
                <w:color w:val="000000"/>
                <w:sz w:val="20"/>
                <w:szCs w:val="20"/>
                <w:lang w:val="sr-Cyrl-RS" w:eastAsia="sr-Cyrl-RS"/>
              </w:rPr>
            </w:pPr>
          </w:p>
        </w:tc>
        <w:tc>
          <w:tcPr>
            <w:tcW w:w="379" w:type="pct"/>
          </w:tcPr>
          <w:p w14:paraId="4985E7AB" w14:textId="39624A76" w:rsidR="00743C4B" w:rsidRPr="00EF2F18" w:rsidRDefault="00743C4B" w:rsidP="00752CA0">
            <w:pPr>
              <w:spacing w:after="0"/>
              <w:jc w:val="right"/>
              <w:rPr>
                <w:rFonts w:eastAsia="Times New Roman" w:cs="Times New Roman"/>
                <w:color w:val="000000"/>
                <w:sz w:val="20"/>
                <w:szCs w:val="20"/>
                <w:lang w:val="sr-Cyrl-RS" w:eastAsia="sr-Cyrl-RS"/>
              </w:rPr>
            </w:pPr>
          </w:p>
        </w:tc>
        <w:tc>
          <w:tcPr>
            <w:tcW w:w="324" w:type="pct"/>
          </w:tcPr>
          <w:p w14:paraId="31156496" w14:textId="435F4837" w:rsidR="00743C4B" w:rsidRPr="00EF2F18" w:rsidRDefault="00743C4B" w:rsidP="00752CA0">
            <w:pPr>
              <w:spacing w:after="0"/>
              <w:jc w:val="right"/>
              <w:rPr>
                <w:rFonts w:eastAsia="Times New Roman" w:cs="Times New Roman"/>
                <w:color w:val="000000"/>
                <w:sz w:val="20"/>
                <w:szCs w:val="20"/>
                <w:lang w:val="sr-Cyrl-RS" w:eastAsia="sr-Cyrl-RS"/>
              </w:rPr>
            </w:pPr>
          </w:p>
        </w:tc>
      </w:tr>
      <w:tr w:rsidR="00743C4B" w:rsidRPr="00EF2F18" w14:paraId="5B60AC34" w14:textId="77777777" w:rsidTr="00743C4B">
        <w:trPr>
          <w:trHeight w:val="2652"/>
        </w:trPr>
        <w:tc>
          <w:tcPr>
            <w:tcW w:w="1102" w:type="pct"/>
            <w:hideMark/>
          </w:tcPr>
          <w:p w14:paraId="25545E92" w14:textId="513A623F"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3.1.1.</w:t>
            </w:r>
            <w:r w:rsidR="003554B0" w:rsidRPr="00EF2F18">
              <w:rPr>
                <w:rFonts w:eastAsia="Times New Roman" w:cs="Times New Roman"/>
                <w:color w:val="000000"/>
                <w:sz w:val="20"/>
                <w:szCs w:val="20"/>
                <w:lang w:val="sr-Cyrl-RS" w:eastAsia="sr-Cyrl-RS"/>
              </w:rPr>
              <w:t>2</w:t>
            </w:r>
            <w:r w:rsidRPr="00EF2F18">
              <w:rPr>
                <w:rFonts w:eastAsia="Times New Roman" w:cs="Times New Roman"/>
                <w:color w:val="000000"/>
                <w:sz w:val="20"/>
                <w:szCs w:val="20"/>
                <w:lang w:val="sr-Cyrl-RS" w:eastAsia="sr-Cyrl-RS"/>
              </w:rPr>
              <w:t xml:space="preserve">. </w:t>
            </w:r>
            <w:r w:rsidR="00B10BB9" w:rsidRPr="00EF2F18">
              <w:rPr>
                <w:rFonts w:eastAsia="Times New Roman" w:cs="Times New Roman"/>
                <w:color w:val="000000"/>
                <w:sz w:val="20"/>
                <w:szCs w:val="20"/>
                <w:lang w:val="sr-Cyrl-RS" w:eastAsia="sr-Cyrl-RS"/>
              </w:rPr>
              <w:t>Обезбеђивање подршке активностима информисања јавности о могућностима смањења емисија из уређаја за грејање у домаћинствима, као и приступа финансијској подршци, у циљу ефикаснијег спровођења механизма финансијских подстицаја</w:t>
            </w:r>
          </w:p>
        </w:tc>
        <w:tc>
          <w:tcPr>
            <w:tcW w:w="498" w:type="pct"/>
            <w:hideMark/>
          </w:tcPr>
          <w:p w14:paraId="30BCD364"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608" w:type="pct"/>
            <w:hideMark/>
          </w:tcPr>
          <w:p w14:paraId="570680B0"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МЗЖС, ЈЛС и Тела за процену усаглашености</w:t>
            </w:r>
          </w:p>
        </w:tc>
        <w:tc>
          <w:tcPr>
            <w:tcW w:w="480" w:type="pct"/>
            <w:hideMark/>
          </w:tcPr>
          <w:p w14:paraId="2F83C637"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686" w:type="pct"/>
            <w:hideMark/>
          </w:tcPr>
          <w:p w14:paraId="6D58037F" w14:textId="0EA07D39"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544" w:type="pct"/>
            <w:hideMark/>
          </w:tcPr>
          <w:p w14:paraId="648AFEF8" w14:textId="12D0C842" w:rsidR="00743C4B" w:rsidRPr="00EF2F18" w:rsidRDefault="00743C4B" w:rsidP="00752CA0">
            <w:pPr>
              <w:spacing w:after="0"/>
              <w:rPr>
                <w:rFonts w:eastAsia="Times New Roman" w:cs="Times New Roman"/>
                <w:color w:val="000000"/>
                <w:sz w:val="20"/>
                <w:szCs w:val="20"/>
                <w:highlight w:val="yellow"/>
                <w:lang w:val="sr-Cyrl-RS" w:eastAsia="sr-Cyrl-RS"/>
              </w:rPr>
            </w:pPr>
          </w:p>
        </w:tc>
        <w:tc>
          <w:tcPr>
            <w:tcW w:w="379" w:type="pct"/>
            <w:hideMark/>
          </w:tcPr>
          <w:p w14:paraId="7B4C9249" w14:textId="6D74C0C5" w:rsidR="00743C4B" w:rsidRPr="00EF2F18" w:rsidRDefault="00743C4B" w:rsidP="00752CA0">
            <w:pPr>
              <w:spacing w:after="0"/>
              <w:jc w:val="right"/>
              <w:rPr>
                <w:rFonts w:eastAsia="Times New Roman" w:cs="Times New Roman"/>
                <w:color w:val="000000"/>
                <w:sz w:val="20"/>
                <w:szCs w:val="20"/>
                <w:highlight w:val="yellow"/>
                <w:lang w:val="sr-Cyrl-RS" w:eastAsia="sr-Cyrl-RS"/>
              </w:rPr>
            </w:pPr>
          </w:p>
        </w:tc>
        <w:tc>
          <w:tcPr>
            <w:tcW w:w="379" w:type="pct"/>
            <w:hideMark/>
          </w:tcPr>
          <w:p w14:paraId="4394E298" w14:textId="33142972" w:rsidR="00743C4B" w:rsidRPr="00EF2F18" w:rsidRDefault="00743C4B" w:rsidP="00752CA0">
            <w:pPr>
              <w:spacing w:after="0"/>
              <w:jc w:val="right"/>
              <w:rPr>
                <w:rFonts w:eastAsia="Times New Roman" w:cs="Times New Roman"/>
                <w:color w:val="000000"/>
                <w:sz w:val="20"/>
                <w:szCs w:val="20"/>
                <w:highlight w:val="yellow"/>
                <w:lang w:val="sr-Cyrl-RS" w:eastAsia="sr-Cyrl-RS"/>
              </w:rPr>
            </w:pPr>
          </w:p>
        </w:tc>
        <w:tc>
          <w:tcPr>
            <w:tcW w:w="324" w:type="pct"/>
            <w:hideMark/>
          </w:tcPr>
          <w:p w14:paraId="41C5C699" w14:textId="2786D933" w:rsidR="00743C4B" w:rsidRPr="00EF2F18" w:rsidRDefault="00743C4B" w:rsidP="00752CA0">
            <w:pPr>
              <w:spacing w:after="0"/>
              <w:jc w:val="right"/>
              <w:rPr>
                <w:rFonts w:eastAsia="Times New Roman" w:cs="Times New Roman"/>
                <w:color w:val="000000"/>
                <w:sz w:val="20"/>
                <w:szCs w:val="20"/>
                <w:highlight w:val="yellow"/>
                <w:lang w:val="sr-Cyrl-RS" w:eastAsia="sr-Cyrl-RS"/>
              </w:rPr>
            </w:pPr>
          </w:p>
        </w:tc>
      </w:tr>
    </w:tbl>
    <w:p w14:paraId="26BB31D1" w14:textId="1F07FC34" w:rsidR="007D7243" w:rsidRPr="00EF2F18" w:rsidRDefault="00ED19C2"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326609A5" w14:textId="77777777" w:rsidR="00ED19C2" w:rsidRPr="00EF2F18" w:rsidRDefault="00ED19C2" w:rsidP="007D7243">
      <w:pPr>
        <w:spacing w:after="0"/>
        <w:rPr>
          <w:rFonts w:cs="Times New Roman"/>
          <w:sz w:val="20"/>
          <w:szCs w:val="20"/>
          <w:lang w:val="sr-Cyrl-RS"/>
        </w:rPr>
      </w:pPr>
    </w:p>
    <w:tbl>
      <w:tblPr>
        <w:tblW w:w="1356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901"/>
        <w:gridCol w:w="904"/>
        <w:gridCol w:w="1520"/>
        <w:gridCol w:w="1392"/>
        <w:gridCol w:w="1440"/>
        <w:gridCol w:w="1530"/>
      </w:tblGrid>
      <w:tr w:rsidR="007D7243" w:rsidRPr="00EF2F18" w14:paraId="2F269DC5" w14:textId="77777777" w:rsidTr="009144A7">
        <w:trPr>
          <w:trHeight w:val="336"/>
        </w:trPr>
        <w:tc>
          <w:tcPr>
            <w:tcW w:w="13567" w:type="dxa"/>
            <w:gridSpan w:val="9"/>
            <w:shd w:val="clear" w:color="000000" w:fill="F7CAAC"/>
            <w:vAlign w:val="center"/>
            <w:hideMark/>
          </w:tcPr>
          <w:p w14:paraId="7672DA1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3.1.2: Спровођење најмање ЕУРО стандарда за половна увезена возила: ЕУРО 5/V од 1. јануара 2024. и ЕУРО 6/VI од 1. јануара 2025. године</w:t>
            </w:r>
          </w:p>
        </w:tc>
      </w:tr>
      <w:tr w:rsidR="007D7243" w:rsidRPr="00EF2F18" w14:paraId="6D67F45D" w14:textId="77777777" w:rsidTr="009144A7">
        <w:trPr>
          <w:trHeight w:val="336"/>
        </w:trPr>
        <w:tc>
          <w:tcPr>
            <w:tcW w:w="13567" w:type="dxa"/>
            <w:gridSpan w:val="9"/>
            <w:shd w:val="clear" w:color="000000" w:fill="F7CAAC"/>
            <w:vAlign w:val="center"/>
            <w:hideMark/>
          </w:tcPr>
          <w:p w14:paraId="777F658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унутрашње и спољне трговине </w:t>
            </w:r>
          </w:p>
        </w:tc>
      </w:tr>
      <w:tr w:rsidR="007D7243" w:rsidRPr="00EF2F18" w14:paraId="777D4B73" w14:textId="77777777" w:rsidTr="009144A7">
        <w:trPr>
          <w:trHeight w:val="336"/>
        </w:trPr>
        <w:tc>
          <w:tcPr>
            <w:tcW w:w="6781" w:type="dxa"/>
            <w:gridSpan w:val="4"/>
            <w:shd w:val="clear" w:color="000000" w:fill="F7CAAC"/>
            <w:vAlign w:val="center"/>
            <w:hideMark/>
          </w:tcPr>
          <w:p w14:paraId="481696AF" w14:textId="47D7DB0F"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themeColor="text1"/>
                <w:sz w:val="20"/>
                <w:szCs w:val="20"/>
                <w:lang w:val="sr-Cyrl-RS" w:eastAsia="sr-Cyrl-RS"/>
              </w:rPr>
              <w:t xml:space="preserve">Период спровођења: </w:t>
            </w:r>
            <w:r w:rsidR="00235EB9" w:rsidRPr="00EF2F18">
              <w:rPr>
                <w:rFonts w:eastAsia="Times New Roman" w:cs="Times New Roman"/>
                <w:color w:val="000000" w:themeColor="text1"/>
                <w:sz w:val="20"/>
                <w:szCs w:val="20"/>
                <w:lang w:val="sr-Cyrl-RS" w:eastAsia="sr-Cyrl-RS"/>
              </w:rPr>
              <w:t>2026–2028.</w:t>
            </w:r>
          </w:p>
        </w:tc>
        <w:tc>
          <w:tcPr>
            <w:tcW w:w="6786" w:type="dxa"/>
            <w:gridSpan w:val="5"/>
            <w:shd w:val="clear" w:color="000000" w:fill="F7CAAC"/>
            <w:vAlign w:val="center"/>
            <w:hideMark/>
          </w:tcPr>
          <w:p w14:paraId="259F9E0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36EBE21A" w14:textId="77777777" w:rsidTr="009144A7">
        <w:trPr>
          <w:trHeight w:val="600"/>
        </w:trPr>
        <w:tc>
          <w:tcPr>
            <w:tcW w:w="6781" w:type="dxa"/>
            <w:gridSpan w:val="4"/>
            <w:shd w:val="clear" w:color="000000" w:fill="F7CAAC"/>
            <w:hideMark/>
          </w:tcPr>
          <w:p w14:paraId="1CC478B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86" w:type="dxa"/>
            <w:gridSpan w:val="5"/>
            <w:shd w:val="clear" w:color="000000" w:fill="F7CAAC"/>
            <w:hideMark/>
          </w:tcPr>
          <w:p w14:paraId="385884D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Уредба о увозу моторних возила („Службени гласник РС”, бр. 23/10 и 5/18)</w:t>
            </w:r>
          </w:p>
        </w:tc>
      </w:tr>
      <w:tr w:rsidR="009144A7" w:rsidRPr="00EF2F18" w14:paraId="77F03A2B" w14:textId="77777777" w:rsidTr="009144A7">
        <w:trPr>
          <w:trHeight w:val="816"/>
        </w:trPr>
        <w:tc>
          <w:tcPr>
            <w:tcW w:w="3320" w:type="dxa"/>
            <w:tcBorders>
              <w:bottom w:val="double" w:sz="6" w:space="0" w:color="auto"/>
            </w:tcBorders>
            <w:shd w:val="clear" w:color="000000" w:fill="D9D9D9"/>
            <w:hideMark/>
          </w:tcPr>
          <w:p w14:paraId="124DBE50"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4B8AC5C0"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25D1238E"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05" w:type="dxa"/>
            <w:gridSpan w:val="2"/>
            <w:shd w:val="clear" w:color="000000" w:fill="D9D9D9"/>
            <w:hideMark/>
          </w:tcPr>
          <w:p w14:paraId="634DB907"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37C03575"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92" w:type="dxa"/>
            <w:shd w:val="clear" w:color="000000" w:fill="D9D9D9"/>
            <w:hideMark/>
          </w:tcPr>
          <w:p w14:paraId="2FB758C5"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shd w:val="clear" w:color="000000" w:fill="D9D9D9"/>
            <w:hideMark/>
          </w:tcPr>
          <w:p w14:paraId="27D55B14"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shd w:val="clear" w:color="000000" w:fill="D9D9D9"/>
            <w:hideMark/>
          </w:tcPr>
          <w:p w14:paraId="3F13DC1E"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9144A7" w:rsidRPr="00EF2F18" w14:paraId="412E0A55" w14:textId="77777777" w:rsidTr="009144A7">
        <w:trPr>
          <w:trHeight w:val="336"/>
        </w:trPr>
        <w:tc>
          <w:tcPr>
            <w:tcW w:w="3320" w:type="dxa"/>
            <w:vMerge w:val="restart"/>
            <w:shd w:val="clear" w:color="000000" w:fill="FFFFFF"/>
            <w:hideMark/>
          </w:tcPr>
          <w:p w14:paraId="55F48A91"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Број половних EURO 3 и ЕУРО 4 возила први пут регистрованих у Републици Србији </w:t>
            </w:r>
          </w:p>
        </w:tc>
        <w:tc>
          <w:tcPr>
            <w:tcW w:w="1280" w:type="dxa"/>
            <w:vMerge w:val="restart"/>
            <w:shd w:val="clear" w:color="000000" w:fill="FFFFFF"/>
            <w:hideMark/>
          </w:tcPr>
          <w:p w14:paraId="2174BBC3" w14:textId="0C459C9C"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број </w:t>
            </w:r>
          </w:p>
        </w:tc>
        <w:tc>
          <w:tcPr>
            <w:tcW w:w="1280" w:type="dxa"/>
            <w:tcBorders>
              <w:bottom w:val="nil"/>
            </w:tcBorders>
            <w:shd w:val="clear" w:color="000000" w:fill="FFFFFF"/>
            <w:hideMark/>
          </w:tcPr>
          <w:p w14:paraId="1653EE93"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АЗЖС</w:t>
            </w:r>
          </w:p>
        </w:tc>
        <w:tc>
          <w:tcPr>
            <w:tcW w:w="1805" w:type="dxa"/>
            <w:gridSpan w:val="2"/>
            <w:tcBorders>
              <w:bottom w:val="nil"/>
            </w:tcBorders>
            <w:shd w:val="clear" w:color="000000" w:fill="FFFFFF"/>
            <w:hideMark/>
          </w:tcPr>
          <w:p w14:paraId="2CF442DD"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Euro 3 – 127.325</w:t>
            </w:r>
          </w:p>
        </w:tc>
        <w:tc>
          <w:tcPr>
            <w:tcW w:w="1520" w:type="dxa"/>
            <w:vMerge w:val="restart"/>
            <w:shd w:val="clear" w:color="000000" w:fill="FFFFFF"/>
            <w:hideMark/>
          </w:tcPr>
          <w:p w14:paraId="31B5DA60"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2015.</w:t>
            </w:r>
          </w:p>
        </w:tc>
        <w:tc>
          <w:tcPr>
            <w:tcW w:w="1392" w:type="dxa"/>
            <w:vMerge w:val="restart"/>
            <w:shd w:val="clear" w:color="auto" w:fill="FFFFFF" w:themeFill="background1"/>
            <w:hideMark/>
          </w:tcPr>
          <w:p w14:paraId="6A2028A8" w14:textId="77777777" w:rsidR="009144A7" w:rsidRPr="00EF2F18" w:rsidRDefault="009144A7" w:rsidP="00752CA0">
            <w:pPr>
              <w:shd w:val="clear" w:color="auto" w:fill="FFFFFF" w:themeFill="background1"/>
              <w:jc w:val="center"/>
              <w:rPr>
                <w:sz w:val="20"/>
                <w:szCs w:val="20"/>
                <w:lang w:val="sr-Cyrl-RS"/>
              </w:rPr>
            </w:pPr>
            <w:r w:rsidRPr="00EF2F18">
              <w:rPr>
                <w:sz w:val="20"/>
                <w:szCs w:val="20"/>
                <w:lang w:val="sr-Cyrl-RS"/>
              </w:rPr>
              <w:t>Euro 3 – 115.000</w:t>
            </w:r>
          </w:p>
          <w:p w14:paraId="6EC4A5F2"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cs="Times New Roman"/>
                <w:sz w:val="20"/>
                <w:szCs w:val="20"/>
                <w:lang w:val="sr-Cyrl-RS"/>
              </w:rPr>
              <w:t>Euro 4 – 45.500</w:t>
            </w:r>
          </w:p>
        </w:tc>
        <w:tc>
          <w:tcPr>
            <w:tcW w:w="1440" w:type="dxa"/>
            <w:vMerge w:val="restart"/>
            <w:shd w:val="clear" w:color="auto" w:fill="FFFFFF" w:themeFill="background1"/>
            <w:hideMark/>
          </w:tcPr>
          <w:p w14:paraId="091F2ADB" w14:textId="77777777" w:rsidR="009144A7" w:rsidRPr="00EF2F18" w:rsidRDefault="009144A7" w:rsidP="00752CA0">
            <w:pPr>
              <w:shd w:val="clear" w:color="auto" w:fill="FFFFFF" w:themeFill="background1"/>
              <w:jc w:val="center"/>
              <w:rPr>
                <w:sz w:val="20"/>
                <w:szCs w:val="20"/>
                <w:lang w:val="sr-Cyrl-RS"/>
              </w:rPr>
            </w:pPr>
            <w:r w:rsidRPr="00EF2F18">
              <w:rPr>
                <w:sz w:val="20"/>
                <w:szCs w:val="20"/>
                <w:lang w:val="sr-Cyrl-RS"/>
              </w:rPr>
              <w:t>Euro 3 – 90.000</w:t>
            </w:r>
          </w:p>
          <w:p w14:paraId="0BBBC371" w14:textId="77777777"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cs="Times New Roman"/>
                <w:sz w:val="20"/>
                <w:szCs w:val="20"/>
                <w:lang w:val="sr-Cyrl-RS"/>
              </w:rPr>
              <w:t>Euro 4 – 35.500</w:t>
            </w:r>
          </w:p>
        </w:tc>
        <w:tc>
          <w:tcPr>
            <w:tcW w:w="1530" w:type="dxa"/>
            <w:vMerge w:val="restart"/>
            <w:shd w:val="clear" w:color="auto" w:fill="FFFFFF" w:themeFill="background1"/>
            <w:hideMark/>
          </w:tcPr>
          <w:p w14:paraId="3D457C26" w14:textId="77777777" w:rsidR="009144A7" w:rsidRPr="00EF2F18" w:rsidRDefault="009144A7" w:rsidP="00752CA0">
            <w:pPr>
              <w:shd w:val="clear" w:color="auto" w:fill="FFFFFF" w:themeFill="background1"/>
              <w:jc w:val="center"/>
              <w:rPr>
                <w:sz w:val="20"/>
                <w:szCs w:val="20"/>
                <w:lang w:val="sr-Cyrl-RS"/>
              </w:rPr>
            </w:pPr>
            <w:r w:rsidRPr="00EF2F18">
              <w:rPr>
                <w:sz w:val="20"/>
                <w:szCs w:val="20"/>
                <w:lang w:val="sr-Cyrl-RS"/>
              </w:rPr>
              <w:t>Euro 3 – 65.000</w:t>
            </w:r>
          </w:p>
          <w:p w14:paraId="2DB89D31" w14:textId="77777777" w:rsidR="009144A7" w:rsidRPr="00EF2F18" w:rsidRDefault="009144A7" w:rsidP="00752CA0">
            <w:pPr>
              <w:spacing w:after="0"/>
              <w:jc w:val="center"/>
              <w:rPr>
                <w:rFonts w:cs="Times New Roman"/>
                <w:sz w:val="20"/>
                <w:szCs w:val="20"/>
                <w:lang w:val="sr-Cyrl-RS"/>
              </w:rPr>
            </w:pPr>
            <w:r w:rsidRPr="00EF2F18">
              <w:rPr>
                <w:rFonts w:cs="Times New Roman"/>
                <w:sz w:val="20"/>
                <w:szCs w:val="20"/>
                <w:lang w:val="sr-Cyrl-RS"/>
              </w:rPr>
              <w:t>Euro 4 – 20.500</w:t>
            </w:r>
          </w:p>
          <w:p w14:paraId="1E731D0C" w14:textId="77777777" w:rsidR="009144A7" w:rsidRPr="00EF2F18" w:rsidRDefault="009144A7" w:rsidP="00752CA0">
            <w:pPr>
              <w:spacing w:after="0"/>
              <w:jc w:val="center"/>
              <w:rPr>
                <w:rFonts w:eastAsia="Times New Roman" w:cs="Times New Roman"/>
                <w:color w:val="000000"/>
                <w:sz w:val="20"/>
                <w:szCs w:val="20"/>
                <w:lang w:val="sr-Cyrl-RS" w:eastAsia="sr-Cyrl-RS"/>
              </w:rPr>
            </w:pPr>
          </w:p>
        </w:tc>
      </w:tr>
      <w:tr w:rsidR="009144A7" w:rsidRPr="00EF2F18" w14:paraId="24A8AAB1" w14:textId="77777777" w:rsidTr="009144A7">
        <w:trPr>
          <w:trHeight w:val="1608"/>
        </w:trPr>
        <w:tc>
          <w:tcPr>
            <w:tcW w:w="3320" w:type="dxa"/>
            <w:vMerge/>
            <w:vAlign w:val="center"/>
            <w:hideMark/>
          </w:tcPr>
          <w:p w14:paraId="1E4F48D4"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0" w:type="dxa"/>
            <w:vMerge/>
            <w:vAlign w:val="center"/>
            <w:hideMark/>
          </w:tcPr>
          <w:p w14:paraId="62A9C0B5"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0" w:type="dxa"/>
            <w:tcBorders>
              <w:top w:val="nil"/>
              <w:bottom w:val="nil"/>
            </w:tcBorders>
            <w:shd w:val="clear" w:color="000000" w:fill="FFFFFF"/>
            <w:hideMark/>
          </w:tcPr>
          <w:p w14:paraId="2552DBD6" w14:textId="77777777" w:rsidR="009144A7" w:rsidRPr="00EF2F18" w:rsidRDefault="009144A7" w:rsidP="00752CA0">
            <w:pPr>
              <w:spacing w:after="0"/>
              <w:jc w:val="center"/>
              <w:rPr>
                <w:rFonts w:eastAsia="Times New Roman" w:cs="Times New Roman"/>
                <w:i/>
                <w:iCs/>
                <w:color w:val="000000"/>
                <w:sz w:val="20"/>
                <w:szCs w:val="20"/>
                <w:lang w:val="sr-Cyrl-RS" w:eastAsia="sr-Cyrl-RS"/>
              </w:rPr>
            </w:pPr>
            <w:r w:rsidRPr="00EF2F18">
              <w:rPr>
                <w:rFonts w:eastAsia="Times New Roman" w:cs="Times New Roman"/>
                <w:i/>
                <w:iCs/>
                <w:color w:val="000000"/>
                <w:sz w:val="20"/>
                <w:szCs w:val="20"/>
                <w:lang w:val="sr-Cyrl-RS" w:eastAsia="sr-Cyrl-RS"/>
              </w:rPr>
              <w:t>COPERT</w:t>
            </w:r>
            <w:r w:rsidRPr="00EF2F18">
              <w:rPr>
                <w:rFonts w:eastAsia="Times New Roman" w:cs="Times New Roman"/>
                <w:color w:val="000000"/>
                <w:sz w:val="20"/>
                <w:szCs w:val="20"/>
                <w:lang w:val="sr-Cyrl-RS" w:eastAsia="sr-Cyrl-RS"/>
              </w:rPr>
              <w:t xml:space="preserve"> база података о возилима (на основу података МУП-а)</w:t>
            </w:r>
          </w:p>
        </w:tc>
        <w:tc>
          <w:tcPr>
            <w:tcW w:w="1805" w:type="dxa"/>
            <w:gridSpan w:val="2"/>
            <w:tcBorders>
              <w:top w:val="nil"/>
              <w:bottom w:val="nil"/>
            </w:tcBorders>
            <w:shd w:val="clear" w:color="000000" w:fill="FFFFFF"/>
            <w:hideMark/>
          </w:tcPr>
          <w:p w14:paraId="76C872C9" w14:textId="77777777" w:rsidR="009144A7" w:rsidRPr="00EF2F18" w:rsidRDefault="009144A7" w:rsidP="00752CA0">
            <w:pPr>
              <w:spacing w:after="0"/>
              <w:rPr>
                <w:rFonts w:eastAsia="Times New Roman" w:cs="Times New Roman"/>
                <w:color w:val="000000"/>
                <w:sz w:val="20"/>
                <w:szCs w:val="20"/>
                <w:lang w:val="sr-Cyrl-RS" w:eastAsia="sr-Cyrl-RS"/>
              </w:rPr>
            </w:pPr>
          </w:p>
          <w:p w14:paraId="02E88541"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Euro 4 – 55.701</w:t>
            </w:r>
          </w:p>
        </w:tc>
        <w:tc>
          <w:tcPr>
            <w:tcW w:w="1520" w:type="dxa"/>
            <w:vMerge/>
            <w:vAlign w:val="center"/>
            <w:hideMark/>
          </w:tcPr>
          <w:p w14:paraId="2D4CC86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92" w:type="dxa"/>
            <w:vMerge/>
            <w:vAlign w:val="center"/>
            <w:hideMark/>
          </w:tcPr>
          <w:p w14:paraId="03A7C1C1"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40" w:type="dxa"/>
            <w:vMerge/>
            <w:vAlign w:val="center"/>
            <w:hideMark/>
          </w:tcPr>
          <w:p w14:paraId="55C0C761"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530" w:type="dxa"/>
            <w:vMerge/>
            <w:vAlign w:val="center"/>
            <w:hideMark/>
          </w:tcPr>
          <w:p w14:paraId="5FADABE7" w14:textId="77777777" w:rsidR="009144A7" w:rsidRPr="00EF2F18" w:rsidRDefault="009144A7" w:rsidP="00752CA0">
            <w:pPr>
              <w:spacing w:after="0"/>
              <w:rPr>
                <w:rFonts w:eastAsia="Times New Roman" w:cs="Times New Roman"/>
                <w:color w:val="000000"/>
                <w:sz w:val="20"/>
                <w:szCs w:val="20"/>
                <w:lang w:val="sr-Cyrl-RS" w:eastAsia="sr-Cyrl-RS"/>
              </w:rPr>
            </w:pPr>
          </w:p>
        </w:tc>
      </w:tr>
      <w:tr w:rsidR="009144A7" w:rsidRPr="00EF2F18" w14:paraId="1124E937" w14:textId="77777777" w:rsidTr="009144A7">
        <w:trPr>
          <w:trHeight w:val="336"/>
        </w:trPr>
        <w:tc>
          <w:tcPr>
            <w:tcW w:w="3320" w:type="dxa"/>
            <w:vMerge/>
            <w:vAlign w:val="center"/>
            <w:hideMark/>
          </w:tcPr>
          <w:p w14:paraId="75A8FFBF"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0" w:type="dxa"/>
            <w:vMerge/>
            <w:vAlign w:val="center"/>
            <w:hideMark/>
          </w:tcPr>
          <w:p w14:paraId="6F682C1C"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0" w:type="dxa"/>
            <w:tcBorders>
              <w:top w:val="nil"/>
              <w:bottom w:val="nil"/>
            </w:tcBorders>
            <w:shd w:val="clear" w:color="000000" w:fill="FFFFFF"/>
            <w:hideMark/>
          </w:tcPr>
          <w:p w14:paraId="0A711367" w14:textId="77777777" w:rsidR="009144A7" w:rsidRPr="00EF2F18" w:rsidRDefault="009144A7" w:rsidP="00752CA0">
            <w:pPr>
              <w:spacing w:after="0"/>
              <w:rPr>
                <w:rFonts w:ascii="Aptos Narrow" w:eastAsia="Times New Roman" w:hAnsi="Aptos Narrow" w:cs="Times New Roman"/>
                <w:color w:val="000000"/>
                <w:szCs w:val="24"/>
                <w:lang w:val="sr-Cyrl-RS" w:eastAsia="sr-Cyrl-RS"/>
              </w:rPr>
            </w:pPr>
          </w:p>
        </w:tc>
        <w:tc>
          <w:tcPr>
            <w:tcW w:w="1805" w:type="dxa"/>
            <w:gridSpan w:val="2"/>
            <w:tcBorders>
              <w:top w:val="nil"/>
              <w:bottom w:val="nil"/>
            </w:tcBorders>
            <w:shd w:val="clear" w:color="000000" w:fill="FFFFFF"/>
            <w:hideMark/>
          </w:tcPr>
          <w:p w14:paraId="2F02192E" w14:textId="77777777" w:rsidR="009144A7" w:rsidRPr="00EF2F18" w:rsidRDefault="009144A7" w:rsidP="00752CA0">
            <w:pPr>
              <w:spacing w:after="0"/>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520" w:type="dxa"/>
            <w:vMerge/>
            <w:vAlign w:val="center"/>
            <w:hideMark/>
          </w:tcPr>
          <w:p w14:paraId="7E8CCD7A"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92" w:type="dxa"/>
            <w:vMerge/>
            <w:vAlign w:val="center"/>
            <w:hideMark/>
          </w:tcPr>
          <w:p w14:paraId="5D813E83"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40" w:type="dxa"/>
            <w:vMerge/>
            <w:vAlign w:val="center"/>
            <w:hideMark/>
          </w:tcPr>
          <w:p w14:paraId="424804E0"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530" w:type="dxa"/>
            <w:vMerge/>
            <w:vAlign w:val="center"/>
            <w:hideMark/>
          </w:tcPr>
          <w:p w14:paraId="5FEFE4AF" w14:textId="77777777" w:rsidR="009144A7" w:rsidRPr="00EF2F18" w:rsidRDefault="009144A7" w:rsidP="00752CA0">
            <w:pPr>
              <w:spacing w:after="0"/>
              <w:rPr>
                <w:rFonts w:eastAsia="Times New Roman" w:cs="Times New Roman"/>
                <w:color w:val="000000"/>
                <w:sz w:val="20"/>
                <w:szCs w:val="20"/>
                <w:lang w:val="sr-Cyrl-RS" w:eastAsia="sr-Cyrl-RS"/>
              </w:rPr>
            </w:pPr>
          </w:p>
        </w:tc>
      </w:tr>
      <w:tr w:rsidR="009144A7" w:rsidRPr="00EF2F18" w14:paraId="46302B9C" w14:textId="77777777" w:rsidTr="009144A7">
        <w:trPr>
          <w:trHeight w:val="35"/>
        </w:trPr>
        <w:tc>
          <w:tcPr>
            <w:tcW w:w="3320" w:type="dxa"/>
            <w:vMerge/>
            <w:vAlign w:val="center"/>
            <w:hideMark/>
          </w:tcPr>
          <w:p w14:paraId="50139C13"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0" w:type="dxa"/>
            <w:vMerge/>
            <w:vAlign w:val="center"/>
            <w:hideMark/>
          </w:tcPr>
          <w:p w14:paraId="1B576E7B"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0" w:type="dxa"/>
            <w:tcBorders>
              <w:top w:val="nil"/>
            </w:tcBorders>
            <w:shd w:val="clear" w:color="000000" w:fill="FFFFFF"/>
            <w:hideMark/>
          </w:tcPr>
          <w:p w14:paraId="0436158A" w14:textId="77777777" w:rsidR="009144A7" w:rsidRPr="00EF2F18" w:rsidRDefault="009144A7" w:rsidP="00752CA0">
            <w:pPr>
              <w:spacing w:after="0"/>
              <w:rPr>
                <w:rFonts w:ascii="Aptos Narrow" w:eastAsia="Times New Roman" w:hAnsi="Aptos Narrow" w:cs="Times New Roman"/>
                <w:color w:val="000000"/>
                <w:szCs w:val="24"/>
                <w:lang w:val="sr-Cyrl-RS" w:eastAsia="sr-Cyrl-RS"/>
              </w:rPr>
            </w:pPr>
          </w:p>
        </w:tc>
        <w:tc>
          <w:tcPr>
            <w:tcW w:w="1805" w:type="dxa"/>
            <w:gridSpan w:val="2"/>
            <w:tcBorders>
              <w:top w:val="nil"/>
            </w:tcBorders>
            <w:shd w:val="clear" w:color="000000" w:fill="FFFFFF"/>
            <w:hideMark/>
          </w:tcPr>
          <w:p w14:paraId="29E51318" w14:textId="77777777" w:rsidR="009144A7" w:rsidRPr="00EF2F18" w:rsidRDefault="009144A7" w:rsidP="00752CA0">
            <w:pPr>
              <w:spacing w:after="0"/>
              <w:rPr>
                <w:rFonts w:ascii="Aptos Narrow" w:eastAsia="Times New Roman" w:hAnsi="Aptos Narrow" w:cs="Times New Roman"/>
                <w:color w:val="000000"/>
                <w:szCs w:val="24"/>
                <w:lang w:val="sr-Cyrl-RS" w:eastAsia="sr-Cyrl-RS"/>
              </w:rPr>
            </w:pPr>
            <w:r w:rsidRPr="00EF2F18">
              <w:rPr>
                <w:rFonts w:ascii="Aptos Narrow" w:eastAsia="Times New Roman" w:hAnsi="Aptos Narrow" w:cs="Times New Roman"/>
                <w:color w:val="000000"/>
                <w:szCs w:val="24"/>
                <w:lang w:val="sr-Cyrl-RS" w:eastAsia="sr-Cyrl-RS"/>
              </w:rPr>
              <w:t> </w:t>
            </w:r>
          </w:p>
        </w:tc>
        <w:tc>
          <w:tcPr>
            <w:tcW w:w="1520" w:type="dxa"/>
            <w:vMerge/>
            <w:vAlign w:val="center"/>
            <w:hideMark/>
          </w:tcPr>
          <w:p w14:paraId="541A4FE4"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92" w:type="dxa"/>
            <w:vMerge/>
            <w:vAlign w:val="center"/>
            <w:hideMark/>
          </w:tcPr>
          <w:p w14:paraId="5DD91541"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40" w:type="dxa"/>
            <w:vMerge/>
            <w:vAlign w:val="center"/>
            <w:hideMark/>
          </w:tcPr>
          <w:p w14:paraId="6C11493C"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530" w:type="dxa"/>
            <w:vMerge/>
            <w:vAlign w:val="center"/>
            <w:hideMark/>
          </w:tcPr>
          <w:p w14:paraId="6E336ED7" w14:textId="77777777" w:rsidR="009144A7" w:rsidRPr="00EF2F18" w:rsidRDefault="009144A7" w:rsidP="00752CA0">
            <w:pPr>
              <w:spacing w:after="0"/>
              <w:rPr>
                <w:rFonts w:eastAsia="Times New Roman" w:cs="Times New Roman"/>
                <w:color w:val="000000"/>
                <w:sz w:val="20"/>
                <w:szCs w:val="20"/>
                <w:lang w:val="sr-Cyrl-RS" w:eastAsia="sr-Cyrl-RS"/>
              </w:rPr>
            </w:pPr>
          </w:p>
        </w:tc>
      </w:tr>
    </w:tbl>
    <w:p w14:paraId="4105E31A" w14:textId="77777777" w:rsidR="007D7243" w:rsidRPr="00EF2F18" w:rsidRDefault="007D7243" w:rsidP="007D7243">
      <w:pPr>
        <w:spacing w:after="0"/>
        <w:rPr>
          <w:sz w:val="20"/>
          <w:szCs w:val="20"/>
          <w:lang w:val="sr-Cyrl-RS"/>
        </w:rPr>
      </w:pPr>
    </w:p>
    <w:tbl>
      <w:tblPr>
        <w:tblW w:w="484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396"/>
        <w:gridCol w:w="3061"/>
        <w:gridCol w:w="2179"/>
        <w:gridCol w:w="2179"/>
        <w:gridCol w:w="1669"/>
      </w:tblGrid>
      <w:tr w:rsidR="007D7243" w:rsidRPr="00EF2F18" w14:paraId="1AEA46E2" w14:textId="77777777" w:rsidTr="00743C4B">
        <w:trPr>
          <w:trHeight w:val="336"/>
        </w:trPr>
        <w:tc>
          <w:tcPr>
            <w:tcW w:w="1630" w:type="pct"/>
            <w:vMerge w:val="restart"/>
            <w:shd w:val="clear" w:color="000000" w:fill="A8D08D"/>
            <w:hideMark/>
          </w:tcPr>
          <w:p w14:paraId="19E637B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1135" w:type="pct"/>
            <w:vMerge w:val="restart"/>
            <w:shd w:val="clear" w:color="000000" w:fill="A8D08D"/>
            <w:hideMark/>
          </w:tcPr>
          <w:p w14:paraId="2FF3FDB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2235" w:type="pct"/>
            <w:gridSpan w:val="3"/>
            <w:shd w:val="clear" w:color="000000" w:fill="A8D08D"/>
            <w:hideMark/>
          </w:tcPr>
          <w:p w14:paraId="3E59ED1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743C4B" w:rsidRPr="00EF2F18" w14:paraId="54C434B6" w14:textId="77777777" w:rsidTr="00743C4B">
        <w:trPr>
          <w:trHeight w:val="336"/>
        </w:trPr>
        <w:tc>
          <w:tcPr>
            <w:tcW w:w="1630" w:type="pct"/>
            <w:vMerge/>
            <w:vAlign w:val="center"/>
            <w:hideMark/>
          </w:tcPr>
          <w:p w14:paraId="28ADFB4F"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1135" w:type="pct"/>
            <w:vMerge/>
            <w:vAlign w:val="center"/>
            <w:hideMark/>
          </w:tcPr>
          <w:p w14:paraId="358EC9CF" w14:textId="77777777" w:rsidR="00743C4B" w:rsidRPr="00EF2F18" w:rsidRDefault="00743C4B" w:rsidP="00752CA0">
            <w:pPr>
              <w:spacing w:after="0"/>
              <w:rPr>
                <w:rFonts w:eastAsia="Times New Roman" w:cs="Times New Roman"/>
                <w:color w:val="000000"/>
                <w:sz w:val="20"/>
                <w:szCs w:val="20"/>
                <w:lang w:val="sr-Cyrl-RS" w:eastAsia="sr-Cyrl-RS"/>
              </w:rPr>
            </w:pPr>
          </w:p>
        </w:tc>
        <w:tc>
          <w:tcPr>
            <w:tcW w:w="808" w:type="pct"/>
            <w:shd w:val="clear" w:color="000000" w:fill="A8D08D"/>
            <w:hideMark/>
          </w:tcPr>
          <w:p w14:paraId="6C3CFDEE" w14:textId="4D6E618D" w:rsidR="00743C4B" w:rsidRPr="00EF2F18" w:rsidRDefault="00093056" w:rsidP="00093056">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w:t>
            </w:r>
            <w:r w:rsidR="00743C4B" w:rsidRPr="00EF2F18">
              <w:rPr>
                <w:rFonts w:eastAsia="Times New Roman" w:cs="Times New Roman"/>
                <w:sz w:val="20"/>
                <w:szCs w:val="20"/>
                <w:lang w:val="sr-Cyrl-RS" w:eastAsia="sr-Cyrl-RS"/>
              </w:rPr>
              <w:t xml:space="preserve"> 2026. године</w:t>
            </w:r>
          </w:p>
        </w:tc>
        <w:tc>
          <w:tcPr>
            <w:tcW w:w="808" w:type="pct"/>
            <w:shd w:val="clear" w:color="000000" w:fill="A8D08D"/>
            <w:hideMark/>
          </w:tcPr>
          <w:p w14:paraId="7AE68E7D" w14:textId="064E069B" w:rsidR="00743C4B" w:rsidRPr="00EF2F18" w:rsidRDefault="00743C4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619" w:type="pct"/>
            <w:shd w:val="clear" w:color="000000" w:fill="A8D08D"/>
            <w:hideMark/>
          </w:tcPr>
          <w:p w14:paraId="79F55B80" w14:textId="094E4F83" w:rsidR="00743C4B" w:rsidRPr="00EF2F18" w:rsidRDefault="00743C4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743C4B" w:rsidRPr="00EF2F18" w14:paraId="56CF7A8D" w14:textId="77777777" w:rsidTr="00743C4B">
        <w:trPr>
          <w:trHeight w:val="324"/>
        </w:trPr>
        <w:tc>
          <w:tcPr>
            <w:tcW w:w="1630" w:type="pct"/>
            <w:shd w:val="clear" w:color="000000" w:fill="FFFFFF"/>
            <w:vAlign w:val="center"/>
            <w:hideMark/>
          </w:tcPr>
          <w:p w14:paraId="062703A9" w14:textId="28AA3673"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Донаторска средства*</w:t>
            </w:r>
          </w:p>
        </w:tc>
        <w:tc>
          <w:tcPr>
            <w:tcW w:w="1135" w:type="pct"/>
            <w:shd w:val="clear" w:color="000000" w:fill="FFFFFF"/>
            <w:vAlign w:val="center"/>
          </w:tcPr>
          <w:p w14:paraId="21C42032" w14:textId="0F83DEFE" w:rsidR="00743C4B" w:rsidRPr="00EF2F18" w:rsidRDefault="00743C4B" w:rsidP="00752CA0">
            <w:pPr>
              <w:spacing w:after="0"/>
              <w:rPr>
                <w:rFonts w:eastAsia="Times New Roman" w:cs="Times New Roman"/>
                <w:color w:val="000000"/>
                <w:sz w:val="20"/>
                <w:szCs w:val="20"/>
                <w:lang w:val="sr-Cyrl-RS" w:eastAsia="sr-Cyrl-RS"/>
              </w:rPr>
            </w:pPr>
          </w:p>
        </w:tc>
        <w:tc>
          <w:tcPr>
            <w:tcW w:w="808" w:type="pct"/>
            <w:vAlign w:val="center"/>
          </w:tcPr>
          <w:p w14:paraId="21C57694" w14:textId="5FE5598E" w:rsidR="00743C4B" w:rsidRPr="00EF2F18" w:rsidRDefault="00743C4B" w:rsidP="00752CA0">
            <w:pPr>
              <w:spacing w:after="0"/>
              <w:jc w:val="right"/>
              <w:rPr>
                <w:rFonts w:eastAsia="Times New Roman" w:cs="Times New Roman"/>
                <w:color w:val="000000"/>
                <w:sz w:val="20"/>
                <w:szCs w:val="20"/>
                <w:lang w:val="sr-Cyrl-RS" w:eastAsia="sr-Cyrl-RS"/>
              </w:rPr>
            </w:pPr>
          </w:p>
        </w:tc>
        <w:tc>
          <w:tcPr>
            <w:tcW w:w="808" w:type="pct"/>
            <w:vAlign w:val="center"/>
          </w:tcPr>
          <w:p w14:paraId="2F62BF3E" w14:textId="7FA45F34" w:rsidR="00743C4B" w:rsidRPr="00EF2F18" w:rsidRDefault="00743C4B" w:rsidP="00752CA0">
            <w:pPr>
              <w:spacing w:after="0"/>
              <w:jc w:val="right"/>
              <w:rPr>
                <w:rFonts w:eastAsia="Times New Roman" w:cs="Times New Roman"/>
                <w:color w:val="000000"/>
                <w:sz w:val="20"/>
                <w:szCs w:val="20"/>
                <w:lang w:val="sr-Cyrl-RS" w:eastAsia="sr-Cyrl-RS"/>
              </w:rPr>
            </w:pPr>
          </w:p>
        </w:tc>
        <w:tc>
          <w:tcPr>
            <w:tcW w:w="619" w:type="pct"/>
            <w:shd w:val="clear" w:color="000000" w:fill="FFFFFF"/>
            <w:vAlign w:val="center"/>
          </w:tcPr>
          <w:p w14:paraId="7A4F7F31" w14:textId="41AF5D8A" w:rsidR="00743C4B" w:rsidRPr="00EF2F18" w:rsidRDefault="00743C4B" w:rsidP="00752CA0">
            <w:pPr>
              <w:spacing w:after="0"/>
              <w:jc w:val="right"/>
              <w:rPr>
                <w:rFonts w:eastAsia="Times New Roman" w:cs="Times New Roman"/>
                <w:color w:val="000000"/>
                <w:sz w:val="20"/>
                <w:szCs w:val="20"/>
                <w:lang w:val="sr-Cyrl-RS" w:eastAsia="sr-Cyrl-RS"/>
              </w:rPr>
            </w:pPr>
          </w:p>
        </w:tc>
      </w:tr>
      <w:tr w:rsidR="00743C4B" w:rsidRPr="00EF2F18" w14:paraId="6221461A" w14:textId="77777777" w:rsidTr="00743C4B">
        <w:trPr>
          <w:trHeight w:val="336"/>
        </w:trPr>
        <w:tc>
          <w:tcPr>
            <w:tcW w:w="1630" w:type="pct"/>
            <w:shd w:val="clear" w:color="000000" w:fill="FFFFFF"/>
            <w:vAlign w:val="center"/>
            <w:hideMark/>
          </w:tcPr>
          <w:p w14:paraId="709D67E2" w14:textId="77777777"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Приватни сектор</w:t>
            </w:r>
          </w:p>
        </w:tc>
        <w:tc>
          <w:tcPr>
            <w:tcW w:w="1135" w:type="pct"/>
            <w:shd w:val="clear" w:color="000000" w:fill="FFFFFF"/>
            <w:vAlign w:val="center"/>
          </w:tcPr>
          <w:p w14:paraId="61A7422F" w14:textId="48790559" w:rsidR="00743C4B" w:rsidRPr="00EF2F18" w:rsidRDefault="00743C4B" w:rsidP="00752CA0">
            <w:pPr>
              <w:spacing w:after="0"/>
              <w:rPr>
                <w:rFonts w:eastAsia="Times New Roman" w:cs="Times New Roman"/>
                <w:color w:val="000000"/>
                <w:sz w:val="20"/>
                <w:szCs w:val="20"/>
                <w:lang w:val="sr-Cyrl-RS" w:eastAsia="sr-Cyrl-RS"/>
              </w:rPr>
            </w:pPr>
          </w:p>
        </w:tc>
        <w:tc>
          <w:tcPr>
            <w:tcW w:w="808" w:type="pct"/>
            <w:vAlign w:val="center"/>
          </w:tcPr>
          <w:p w14:paraId="4E5C6581" w14:textId="57F9B1B0" w:rsidR="00743C4B" w:rsidRPr="00EF2F18" w:rsidRDefault="00743C4B" w:rsidP="00752CA0">
            <w:pPr>
              <w:spacing w:after="0"/>
              <w:jc w:val="right"/>
              <w:rPr>
                <w:rFonts w:eastAsia="Times New Roman" w:cs="Times New Roman"/>
                <w:color w:val="000000"/>
                <w:sz w:val="20"/>
                <w:szCs w:val="20"/>
                <w:lang w:val="sr-Cyrl-RS" w:eastAsia="sr-Cyrl-RS"/>
              </w:rPr>
            </w:pPr>
          </w:p>
        </w:tc>
        <w:tc>
          <w:tcPr>
            <w:tcW w:w="808" w:type="pct"/>
            <w:vAlign w:val="center"/>
          </w:tcPr>
          <w:p w14:paraId="49AED6DC" w14:textId="321B2F7E" w:rsidR="00743C4B" w:rsidRPr="00EF2F18" w:rsidRDefault="00743C4B" w:rsidP="00752CA0">
            <w:pPr>
              <w:spacing w:after="0"/>
              <w:jc w:val="right"/>
              <w:rPr>
                <w:rFonts w:eastAsia="Times New Roman" w:cs="Times New Roman"/>
                <w:color w:val="000000"/>
                <w:sz w:val="20"/>
                <w:szCs w:val="20"/>
                <w:lang w:val="sr-Cyrl-RS" w:eastAsia="sr-Cyrl-RS"/>
              </w:rPr>
            </w:pPr>
          </w:p>
        </w:tc>
        <w:tc>
          <w:tcPr>
            <w:tcW w:w="619" w:type="pct"/>
            <w:shd w:val="clear" w:color="000000" w:fill="FFFFFF"/>
            <w:vAlign w:val="center"/>
          </w:tcPr>
          <w:p w14:paraId="53759D52" w14:textId="510E713E" w:rsidR="00743C4B" w:rsidRPr="00EF2F18" w:rsidRDefault="00743C4B" w:rsidP="00752CA0">
            <w:pPr>
              <w:spacing w:after="0"/>
              <w:jc w:val="right"/>
              <w:rPr>
                <w:rFonts w:eastAsia="Times New Roman" w:cs="Times New Roman"/>
                <w:color w:val="000000"/>
                <w:sz w:val="20"/>
                <w:szCs w:val="20"/>
                <w:lang w:val="sr-Cyrl-RS" w:eastAsia="sr-Cyrl-RS"/>
              </w:rPr>
            </w:pPr>
          </w:p>
        </w:tc>
      </w:tr>
    </w:tbl>
    <w:p w14:paraId="318B4231" w14:textId="77777777" w:rsidR="007D7243" w:rsidRPr="00EF2F18" w:rsidRDefault="007D7243" w:rsidP="007D7243">
      <w:pPr>
        <w:spacing w:after="0"/>
        <w:rPr>
          <w:lang w:val="sr-Cyrl-RS"/>
        </w:rPr>
      </w:pPr>
    </w:p>
    <w:tbl>
      <w:tblPr>
        <w:tblW w:w="13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277"/>
        <w:gridCol w:w="1281"/>
        <w:gridCol w:w="1184"/>
        <w:gridCol w:w="1402"/>
        <w:gridCol w:w="1342"/>
        <w:gridCol w:w="1013"/>
        <w:gridCol w:w="933"/>
        <w:gridCol w:w="2041"/>
      </w:tblGrid>
      <w:tr w:rsidR="007D7243" w:rsidRPr="00EF2F18" w14:paraId="15ADB2D2" w14:textId="77777777" w:rsidTr="009144A7">
        <w:trPr>
          <w:trHeight w:val="761"/>
        </w:trPr>
        <w:tc>
          <w:tcPr>
            <w:tcW w:w="3047" w:type="dxa"/>
            <w:vMerge w:val="restart"/>
            <w:shd w:val="clear" w:color="000000" w:fill="FFF2CC"/>
            <w:hideMark/>
          </w:tcPr>
          <w:p w14:paraId="4677171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Назив активности:</w:t>
            </w:r>
          </w:p>
        </w:tc>
        <w:tc>
          <w:tcPr>
            <w:tcW w:w="1277" w:type="dxa"/>
            <w:vMerge w:val="restart"/>
            <w:shd w:val="clear" w:color="000000" w:fill="FFF2CC"/>
            <w:hideMark/>
          </w:tcPr>
          <w:p w14:paraId="61BE67A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Орган који спроводи активност</w:t>
            </w:r>
          </w:p>
        </w:tc>
        <w:tc>
          <w:tcPr>
            <w:tcW w:w="1281" w:type="dxa"/>
            <w:vMerge w:val="restart"/>
            <w:shd w:val="clear" w:color="000000" w:fill="FFF2CC"/>
            <w:hideMark/>
          </w:tcPr>
          <w:p w14:paraId="609C8E9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Oргани партнери у спровођењу активности</w:t>
            </w:r>
          </w:p>
        </w:tc>
        <w:tc>
          <w:tcPr>
            <w:tcW w:w="1184" w:type="dxa"/>
            <w:vMerge w:val="restart"/>
            <w:shd w:val="clear" w:color="000000" w:fill="FFF2CC"/>
            <w:hideMark/>
          </w:tcPr>
          <w:p w14:paraId="71175E3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Рок за завршетак активности</w:t>
            </w:r>
          </w:p>
        </w:tc>
        <w:tc>
          <w:tcPr>
            <w:tcW w:w="1402" w:type="dxa"/>
            <w:vMerge w:val="restart"/>
            <w:shd w:val="clear" w:color="000000" w:fill="FFF2CC"/>
            <w:hideMark/>
          </w:tcPr>
          <w:p w14:paraId="2887687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Извор финансирања</w:t>
            </w:r>
          </w:p>
        </w:tc>
        <w:tc>
          <w:tcPr>
            <w:tcW w:w="1342" w:type="dxa"/>
            <w:vMerge w:val="restart"/>
            <w:shd w:val="clear" w:color="000000" w:fill="FFF2CC"/>
            <w:hideMark/>
          </w:tcPr>
          <w:p w14:paraId="6DC02F8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Веза са програмским буџетом</w:t>
            </w:r>
          </w:p>
        </w:tc>
        <w:tc>
          <w:tcPr>
            <w:tcW w:w="3987" w:type="dxa"/>
            <w:gridSpan w:val="3"/>
            <w:shd w:val="clear" w:color="000000" w:fill="FFF2CC"/>
            <w:hideMark/>
          </w:tcPr>
          <w:p w14:paraId="00ECC0D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9144A7" w:rsidRPr="00EF2F18" w14:paraId="5D27DD3E" w14:textId="77777777" w:rsidTr="009144A7">
        <w:trPr>
          <w:trHeight w:val="442"/>
        </w:trPr>
        <w:tc>
          <w:tcPr>
            <w:tcW w:w="3047" w:type="dxa"/>
            <w:vMerge/>
            <w:vAlign w:val="center"/>
            <w:hideMark/>
          </w:tcPr>
          <w:p w14:paraId="43B1F22A"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77" w:type="dxa"/>
            <w:vMerge/>
            <w:vAlign w:val="center"/>
            <w:hideMark/>
          </w:tcPr>
          <w:p w14:paraId="1CA40C5D"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281" w:type="dxa"/>
            <w:vMerge/>
            <w:vAlign w:val="center"/>
            <w:hideMark/>
          </w:tcPr>
          <w:p w14:paraId="5C7B1883"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184" w:type="dxa"/>
            <w:vMerge/>
            <w:vAlign w:val="center"/>
            <w:hideMark/>
          </w:tcPr>
          <w:p w14:paraId="7968336D"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402" w:type="dxa"/>
            <w:vMerge/>
            <w:vAlign w:val="center"/>
            <w:hideMark/>
          </w:tcPr>
          <w:p w14:paraId="2D89D4A2"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342" w:type="dxa"/>
            <w:vMerge/>
            <w:vAlign w:val="center"/>
            <w:hideMark/>
          </w:tcPr>
          <w:p w14:paraId="1BAF2465" w14:textId="77777777" w:rsidR="009144A7" w:rsidRPr="00EF2F18" w:rsidRDefault="009144A7" w:rsidP="00752CA0">
            <w:pPr>
              <w:spacing w:after="0"/>
              <w:rPr>
                <w:rFonts w:eastAsia="Times New Roman" w:cs="Times New Roman"/>
                <w:color w:val="000000"/>
                <w:sz w:val="20"/>
                <w:szCs w:val="20"/>
                <w:lang w:val="sr-Cyrl-RS" w:eastAsia="sr-Cyrl-RS"/>
              </w:rPr>
            </w:pPr>
          </w:p>
        </w:tc>
        <w:tc>
          <w:tcPr>
            <w:tcW w:w="1013" w:type="dxa"/>
            <w:shd w:val="clear" w:color="000000" w:fill="FFF2CC"/>
            <w:hideMark/>
          </w:tcPr>
          <w:p w14:paraId="7C646148" w14:textId="53019CEC"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2026.</w:t>
            </w:r>
          </w:p>
        </w:tc>
        <w:tc>
          <w:tcPr>
            <w:tcW w:w="933" w:type="dxa"/>
            <w:shd w:val="clear" w:color="000000" w:fill="FFF2CC"/>
            <w:hideMark/>
          </w:tcPr>
          <w:p w14:paraId="31F4FA3F" w14:textId="679049EC"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2027.</w:t>
            </w:r>
          </w:p>
        </w:tc>
        <w:tc>
          <w:tcPr>
            <w:tcW w:w="2041" w:type="dxa"/>
            <w:shd w:val="clear" w:color="000000" w:fill="FFF2CC"/>
            <w:hideMark/>
          </w:tcPr>
          <w:p w14:paraId="1E311CBA" w14:textId="72B9D128" w:rsidR="009144A7" w:rsidRPr="00EF2F18" w:rsidRDefault="009144A7"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2028.</w:t>
            </w:r>
          </w:p>
        </w:tc>
      </w:tr>
      <w:tr w:rsidR="009144A7" w:rsidRPr="00EF2F18" w14:paraId="32C3D767" w14:textId="77777777" w:rsidTr="009144A7">
        <w:trPr>
          <w:trHeight w:val="1976"/>
        </w:trPr>
        <w:tc>
          <w:tcPr>
            <w:tcW w:w="3047" w:type="dxa"/>
            <w:hideMark/>
          </w:tcPr>
          <w:p w14:paraId="5D5F6CE9" w14:textId="443EEF56"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3.1.2.1. Измена и допуна Уредбе о увозу моторних возила („Службени гласник РС”, бр. 23/10 и 5/18), стандарда за увезен</w:t>
            </w:r>
            <w:r w:rsidR="0014138F" w:rsidRPr="00EF2F18">
              <w:rPr>
                <w:rFonts w:eastAsia="Times New Roman" w:cs="Times New Roman"/>
                <w:color w:val="000000"/>
                <w:sz w:val="20"/>
                <w:szCs w:val="20"/>
                <w:lang w:val="sr-Cyrl-RS" w:eastAsia="sr-Cyrl-RS"/>
              </w:rPr>
              <w:t>а</w:t>
            </w:r>
            <w:r w:rsidRPr="00EF2F18">
              <w:rPr>
                <w:rFonts w:eastAsia="Times New Roman" w:cs="Times New Roman"/>
                <w:color w:val="000000"/>
                <w:sz w:val="20"/>
                <w:szCs w:val="20"/>
                <w:lang w:val="sr-Cyrl-RS" w:eastAsia="sr-Cyrl-RS"/>
              </w:rPr>
              <w:t xml:space="preserve"> путничк</w:t>
            </w:r>
            <w:r w:rsidR="00FF6F3F" w:rsidRPr="00EF2F18">
              <w:rPr>
                <w:rFonts w:eastAsia="Times New Roman" w:cs="Times New Roman"/>
                <w:color w:val="000000"/>
                <w:sz w:val="20"/>
                <w:szCs w:val="20"/>
                <w:lang w:val="sr-Cyrl-RS" w:eastAsia="sr-Cyrl-RS"/>
              </w:rPr>
              <w:t xml:space="preserve">а, </w:t>
            </w:r>
            <w:r w:rsidRPr="00EF2F18">
              <w:rPr>
                <w:rFonts w:eastAsia="Times New Roman" w:cs="Times New Roman"/>
                <w:color w:val="000000"/>
                <w:sz w:val="20"/>
                <w:szCs w:val="20"/>
                <w:lang w:val="sr-Cyrl-RS" w:eastAsia="sr-Cyrl-RS"/>
              </w:rPr>
              <w:t>теретна возила и аутобусе. Минимални стандарди су Euro 5/V</w:t>
            </w:r>
            <w:r w:rsidRPr="00EF2F18">
              <w:rPr>
                <w:rFonts w:eastAsia="Times New Roman" w:cs="Times New Roman"/>
                <w:b/>
                <w:bCs/>
                <w:color w:val="000000"/>
                <w:sz w:val="20"/>
                <w:szCs w:val="20"/>
                <w:lang w:val="sr-Cyrl-RS" w:eastAsia="sr-Cyrl-RS"/>
              </w:rPr>
              <w:t xml:space="preserve"> </w:t>
            </w:r>
            <w:r w:rsidRPr="00EF2F18">
              <w:rPr>
                <w:rFonts w:eastAsia="Times New Roman" w:cs="Times New Roman"/>
                <w:color w:val="000000"/>
                <w:sz w:val="20"/>
                <w:szCs w:val="20"/>
                <w:lang w:val="sr-Cyrl-RS" w:eastAsia="sr-Cyrl-RS"/>
              </w:rPr>
              <w:t>од 1. јануара 2024. и Euro 6/VI од 1. јануара 2025. године.</w:t>
            </w:r>
          </w:p>
        </w:tc>
        <w:tc>
          <w:tcPr>
            <w:tcW w:w="1277" w:type="dxa"/>
            <w:hideMark/>
          </w:tcPr>
          <w:p w14:paraId="30E21B3C"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МУСТ</w:t>
            </w:r>
          </w:p>
        </w:tc>
        <w:tc>
          <w:tcPr>
            <w:tcW w:w="1281" w:type="dxa"/>
            <w:hideMark/>
          </w:tcPr>
          <w:p w14:paraId="6D3B988C"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МГСИ, АБС, МЗЖС</w:t>
            </w:r>
          </w:p>
        </w:tc>
        <w:tc>
          <w:tcPr>
            <w:tcW w:w="1184" w:type="dxa"/>
            <w:hideMark/>
          </w:tcPr>
          <w:p w14:paraId="22582534" w14:textId="7BEF9913" w:rsidR="009144A7" w:rsidRPr="00EF2F18" w:rsidRDefault="00D91108"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2" w:type="dxa"/>
            <w:hideMark/>
          </w:tcPr>
          <w:p w14:paraId="2A97F690" w14:textId="24F79606"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42" w:type="dxa"/>
          </w:tcPr>
          <w:p w14:paraId="22DAAE68" w14:textId="6E0DD6F7" w:rsidR="009144A7" w:rsidRPr="00EF2F18" w:rsidRDefault="009144A7" w:rsidP="00752CA0">
            <w:pPr>
              <w:spacing w:after="0"/>
              <w:rPr>
                <w:rFonts w:eastAsia="Times New Roman" w:cs="Times New Roman"/>
                <w:color w:val="000000"/>
                <w:sz w:val="20"/>
                <w:szCs w:val="20"/>
                <w:lang w:val="sr-Cyrl-RS" w:eastAsia="sr-Cyrl-RS"/>
              </w:rPr>
            </w:pPr>
          </w:p>
        </w:tc>
        <w:tc>
          <w:tcPr>
            <w:tcW w:w="1013" w:type="dxa"/>
          </w:tcPr>
          <w:p w14:paraId="4D3E6BE7" w14:textId="64E0A677" w:rsidR="009144A7" w:rsidRPr="00EF2F18" w:rsidRDefault="009144A7" w:rsidP="00752CA0">
            <w:pPr>
              <w:spacing w:after="0"/>
              <w:jc w:val="right"/>
              <w:rPr>
                <w:rFonts w:eastAsia="Times New Roman" w:cs="Times New Roman"/>
                <w:color w:val="000000"/>
                <w:sz w:val="20"/>
                <w:szCs w:val="20"/>
                <w:lang w:val="sr-Cyrl-RS" w:eastAsia="sr-Cyrl-RS"/>
              </w:rPr>
            </w:pPr>
          </w:p>
        </w:tc>
        <w:tc>
          <w:tcPr>
            <w:tcW w:w="933" w:type="dxa"/>
          </w:tcPr>
          <w:p w14:paraId="6EBE4FDC" w14:textId="51026B71" w:rsidR="009144A7" w:rsidRPr="00EF2F18" w:rsidRDefault="009144A7" w:rsidP="00752CA0">
            <w:pPr>
              <w:spacing w:after="0"/>
              <w:jc w:val="right"/>
              <w:rPr>
                <w:rFonts w:eastAsia="Times New Roman" w:cs="Times New Roman"/>
                <w:color w:val="000000"/>
                <w:sz w:val="20"/>
                <w:szCs w:val="20"/>
                <w:lang w:val="sr-Cyrl-RS" w:eastAsia="sr-Cyrl-RS"/>
              </w:rPr>
            </w:pPr>
          </w:p>
        </w:tc>
        <w:tc>
          <w:tcPr>
            <w:tcW w:w="2041" w:type="dxa"/>
          </w:tcPr>
          <w:p w14:paraId="160AAE0D" w14:textId="65CEFE66" w:rsidR="009144A7" w:rsidRPr="00EF2F18" w:rsidRDefault="009144A7" w:rsidP="00752CA0">
            <w:pPr>
              <w:spacing w:after="0"/>
              <w:jc w:val="right"/>
              <w:rPr>
                <w:rFonts w:eastAsia="Times New Roman" w:cs="Times New Roman"/>
                <w:color w:val="000000"/>
                <w:sz w:val="20"/>
                <w:szCs w:val="20"/>
                <w:lang w:val="sr-Cyrl-RS" w:eastAsia="sr-Cyrl-RS"/>
              </w:rPr>
            </w:pPr>
          </w:p>
        </w:tc>
      </w:tr>
      <w:tr w:rsidR="009144A7" w:rsidRPr="00EF2F18" w14:paraId="71525AD5" w14:textId="77777777" w:rsidTr="009144A7">
        <w:trPr>
          <w:trHeight w:val="1336"/>
        </w:trPr>
        <w:tc>
          <w:tcPr>
            <w:tcW w:w="3047" w:type="dxa"/>
            <w:hideMark/>
          </w:tcPr>
          <w:p w14:paraId="1E2B6A7A" w14:textId="208E2960"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3.1.2.2. Усаглашавање са ажурираним минималним захтевима за путничк</w:t>
            </w:r>
            <w:r w:rsidR="00FF6F3F" w:rsidRPr="00EF2F18">
              <w:rPr>
                <w:rFonts w:eastAsia="Times New Roman" w:cs="Times New Roman"/>
                <w:color w:val="000000"/>
                <w:sz w:val="20"/>
                <w:szCs w:val="20"/>
                <w:lang w:val="sr-Cyrl-RS" w:eastAsia="sr-Cyrl-RS"/>
              </w:rPr>
              <w:t>а</w:t>
            </w:r>
            <w:r w:rsidRPr="00EF2F18">
              <w:rPr>
                <w:rFonts w:eastAsia="Times New Roman" w:cs="Times New Roman"/>
                <w:color w:val="000000"/>
                <w:sz w:val="20"/>
                <w:szCs w:val="20"/>
                <w:lang w:val="sr-Cyrl-RS" w:eastAsia="sr-Cyrl-RS"/>
              </w:rPr>
              <w:t>, теретна возила и аутобусе.</w:t>
            </w:r>
          </w:p>
        </w:tc>
        <w:tc>
          <w:tcPr>
            <w:tcW w:w="1277" w:type="dxa"/>
            <w:hideMark/>
          </w:tcPr>
          <w:p w14:paraId="02A09EEB"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МУСТ</w:t>
            </w:r>
          </w:p>
        </w:tc>
        <w:tc>
          <w:tcPr>
            <w:tcW w:w="1281" w:type="dxa"/>
            <w:hideMark/>
          </w:tcPr>
          <w:p w14:paraId="66FD539E" w14:textId="77777777"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МГСИ, АБС, МЗЖС</w:t>
            </w:r>
          </w:p>
        </w:tc>
        <w:tc>
          <w:tcPr>
            <w:tcW w:w="1184" w:type="dxa"/>
            <w:hideMark/>
          </w:tcPr>
          <w:p w14:paraId="1F7DC1B9" w14:textId="31D059F3" w:rsidR="009144A7" w:rsidRPr="00EF2F18" w:rsidRDefault="00D91108"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2" w:type="dxa"/>
            <w:hideMark/>
          </w:tcPr>
          <w:p w14:paraId="367DA136" w14:textId="6599AA4F" w:rsidR="009144A7" w:rsidRPr="00EF2F18" w:rsidRDefault="009144A7"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Приватни сектор</w:t>
            </w:r>
          </w:p>
        </w:tc>
        <w:tc>
          <w:tcPr>
            <w:tcW w:w="1342" w:type="dxa"/>
          </w:tcPr>
          <w:p w14:paraId="0C9E67A4" w14:textId="5B4FC9C5" w:rsidR="009144A7" w:rsidRPr="00EF2F18" w:rsidRDefault="009144A7" w:rsidP="00752CA0">
            <w:pPr>
              <w:spacing w:after="0"/>
              <w:rPr>
                <w:rFonts w:eastAsia="Times New Roman" w:cs="Times New Roman"/>
                <w:color w:val="000000"/>
                <w:sz w:val="20"/>
                <w:szCs w:val="20"/>
                <w:lang w:val="sr-Cyrl-RS" w:eastAsia="sr-Cyrl-RS"/>
              </w:rPr>
            </w:pPr>
          </w:p>
        </w:tc>
        <w:tc>
          <w:tcPr>
            <w:tcW w:w="1013" w:type="dxa"/>
          </w:tcPr>
          <w:p w14:paraId="350903B0" w14:textId="5E06BBBB" w:rsidR="009144A7" w:rsidRPr="00EF2F18" w:rsidRDefault="009144A7" w:rsidP="00752CA0">
            <w:pPr>
              <w:spacing w:after="0"/>
              <w:jc w:val="right"/>
              <w:rPr>
                <w:rFonts w:eastAsia="Times New Roman" w:cs="Times New Roman"/>
                <w:color w:val="000000"/>
                <w:sz w:val="20"/>
                <w:szCs w:val="20"/>
                <w:lang w:val="sr-Cyrl-RS" w:eastAsia="sr-Cyrl-RS"/>
              </w:rPr>
            </w:pPr>
          </w:p>
        </w:tc>
        <w:tc>
          <w:tcPr>
            <w:tcW w:w="933" w:type="dxa"/>
          </w:tcPr>
          <w:p w14:paraId="35DF496F" w14:textId="2FDA1FE7" w:rsidR="009144A7" w:rsidRPr="00EF2F18" w:rsidRDefault="009144A7" w:rsidP="00752CA0">
            <w:pPr>
              <w:spacing w:after="0"/>
              <w:jc w:val="right"/>
              <w:rPr>
                <w:rFonts w:eastAsia="Times New Roman" w:cs="Times New Roman"/>
                <w:color w:val="000000"/>
                <w:sz w:val="20"/>
                <w:szCs w:val="20"/>
                <w:lang w:val="sr-Cyrl-RS" w:eastAsia="sr-Cyrl-RS"/>
              </w:rPr>
            </w:pPr>
          </w:p>
        </w:tc>
        <w:tc>
          <w:tcPr>
            <w:tcW w:w="2041" w:type="dxa"/>
          </w:tcPr>
          <w:p w14:paraId="521100A3" w14:textId="23FCAF34" w:rsidR="009144A7" w:rsidRPr="00EF2F18" w:rsidRDefault="009144A7" w:rsidP="00752CA0">
            <w:pPr>
              <w:spacing w:after="0"/>
              <w:jc w:val="right"/>
              <w:rPr>
                <w:rFonts w:eastAsia="Times New Roman" w:cs="Times New Roman"/>
                <w:color w:val="000000"/>
                <w:sz w:val="20"/>
                <w:szCs w:val="20"/>
                <w:lang w:val="sr-Cyrl-RS" w:eastAsia="sr-Cyrl-RS"/>
              </w:rPr>
            </w:pPr>
          </w:p>
        </w:tc>
      </w:tr>
    </w:tbl>
    <w:p w14:paraId="7F73939D" w14:textId="4AE60D08" w:rsidR="007D7243" w:rsidRPr="00EF2F18" w:rsidRDefault="00ED19C2"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1CC2B17A" w14:textId="77777777" w:rsidR="00ED19C2" w:rsidRPr="00EF2F18" w:rsidRDefault="00ED19C2" w:rsidP="007D7243">
      <w:pPr>
        <w:spacing w:after="0"/>
        <w:rPr>
          <w:rFonts w:cs="Times New Roman"/>
          <w:sz w:val="20"/>
          <w:szCs w:val="20"/>
          <w:lang w:val="sr-Cyrl-RS"/>
        </w:rPr>
      </w:pPr>
    </w:p>
    <w:tbl>
      <w:tblPr>
        <w:tblW w:w="13477" w:type="dxa"/>
        <w:tblLook w:val="04A0" w:firstRow="1" w:lastRow="0" w:firstColumn="1" w:lastColumn="0" w:noHBand="0" w:noVBand="1"/>
      </w:tblPr>
      <w:tblGrid>
        <w:gridCol w:w="3218"/>
        <w:gridCol w:w="1276"/>
        <w:gridCol w:w="1276"/>
        <w:gridCol w:w="1002"/>
        <w:gridCol w:w="997"/>
        <w:gridCol w:w="1513"/>
        <w:gridCol w:w="1225"/>
        <w:gridCol w:w="1260"/>
        <w:gridCol w:w="1677"/>
        <w:gridCol w:w="33"/>
      </w:tblGrid>
      <w:tr w:rsidR="007D7243" w:rsidRPr="00EF2F18" w14:paraId="738E0438" w14:textId="77777777" w:rsidTr="007C0842">
        <w:trPr>
          <w:gridAfter w:val="1"/>
          <w:wAfter w:w="33" w:type="dxa"/>
          <w:trHeight w:val="600"/>
        </w:trPr>
        <w:tc>
          <w:tcPr>
            <w:tcW w:w="13444"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0FF2E027"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3.1.3: Примена граничних вредности емисија загађујућих материја у ваздух из средњих постројења за сагоревање у складу са Директивом ЕУ 2015/2193</w:t>
            </w:r>
          </w:p>
        </w:tc>
      </w:tr>
      <w:tr w:rsidR="007D7243" w:rsidRPr="00EF2F18" w14:paraId="2A8E0EB7" w14:textId="77777777" w:rsidTr="007C0842">
        <w:trPr>
          <w:gridAfter w:val="1"/>
          <w:wAfter w:w="33" w:type="dxa"/>
          <w:trHeight w:val="336"/>
        </w:trPr>
        <w:tc>
          <w:tcPr>
            <w:tcW w:w="13444"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2A44C032"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6990A279" w14:textId="77777777" w:rsidTr="007C0842">
        <w:trPr>
          <w:gridAfter w:val="1"/>
          <w:wAfter w:w="33" w:type="dxa"/>
          <w:trHeight w:val="336"/>
        </w:trPr>
        <w:tc>
          <w:tcPr>
            <w:tcW w:w="6772"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26D74013" w14:textId="0DC83FB1"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Период спровођења: 202</w:t>
            </w:r>
            <w:r w:rsidR="00743C4B" w:rsidRPr="00EF2F18">
              <w:rPr>
                <w:rFonts w:eastAsia="Times New Roman" w:cs="Times New Roman"/>
                <w:color w:val="000000"/>
                <w:sz w:val="20"/>
                <w:szCs w:val="20"/>
                <w:lang w:val="sr-Cyrl-RS" w:eastAsia="sr-Cyrl-RS"/>
              </w:rPr>
              <w:t>6</w:t>
            </w:r>
            <w:r w:rsidRPr="00EF2F18">
              <w:rPr>
                <w:rFonts w:eastAsia="Times New Roman" w:cs="Times New Roman"/>
                <w:color w:val="000000"/>
                <w:sz w:val="20"/>
                <w:szCs w:val="20"/>
                <w:lang w:val="sr-Cyrl-RS" w:eastAsia="sr-Cyrl-RS"/>
              </w:rPr>
              <w:t>-2028.</w:t>
            </w:r>
          </w:p>
        </w:tc>
        <w:tc>
          <w:tcPr>
            <w:tcW w:w="6672"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2AC1D83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6DAC1D57" w14:textId="77777777" w:rsidTr="007C0842">
        <w:trPr>
          <w:gridAfter w:val="1"/>
          <w:wAfter w:w="33" w:type="dxa"/>
          <w:trHeight w:val="600"/>
        </w:trPr>
        <w:tc>
          <w:tcPr>
            <w:tcW w:w="6772"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6CB5FCC2"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72"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1CAE8189" w14:textId="77777777" w:rsidR="007D7243" w:rsidRPr="00EF2F18" w:rsidRDefault="007D7243" w:rsidP="00313E8E">
            <w:pPr>
              <w:pStyle w:val="ListParagraph"/>
              <w:numPr>
                <w:ilvl w:val="0"/>
                <w:numId w:val="67"/>
              </w:num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Уредбa о граничним вредностима емисија загађујућих материја у ваздух из средњих постројења за сагоревање</w:t>
            </w:r>
          </w:p>
        </w:tc>
      </w:tr>
      <w:tr w:rsidR="007C0842" w:rsidRPr="00EF2F18" w14:paraId="0712269E" w14:textId="77777777" w:rsidTr="007C0842">
        <w:trPr>
          <w:trHeight w:val="816"/>
        </w:trPr>
        <w:tc>
          <w:tcPr>
            <w:tcW w:w="3218" w:type="dxa"/>
            <w:tcBorders>
              <w:top w:val="double" w:sz="6" w:space="0" w:color="auto"/>
              <w:left w:val="double" w:sz="6" w:space="0" w:color="auto"/>
              <w:bottom w:val="double" w:sz="6" w:space="0" w:color="auto"/>
              <w:right w:val="double" w:sz="6" w:space="0" w:color="auto"/>
            </w:tcBorders>
            <w:shd w:val="clear" w:color="000000" w:fill="D9D9D9"/>
            <w:hideMark/>
          </w:tcPr>
          <w:p w14:paraId="7EEE71C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76" w:type="dxa"/>
            <w:tcBorders>
              <w:top w:val="double" w:sz="6" w:space="0" w:color="auto"/>
              <w:left w:val="double" w:sz="6" w:space="0" w:color="auto"/>
              <w:bottom w:val="double" w:sz="6" w:space="0" w:color="auto"/>
              <w:right w:val="double" w:sz="6" w:space="0" w:color="auto"/>
            </w:tcBorders>
            <w:shd w:val="clear" w:color="000000" w:fill="D9D9D9"/>
            <w:hideMark/>
          </w:tcPr>
          <w:p w14:paraId="1C8F3A0E"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Jединица мере</w:t>
            </w:r>
          </w:p>
        </w:tc>
        <w:tc>
          <w:tcPr>
            <w:tcW w:w="1276" w:type="dxa"/>
            <w:tcBorders>
              <w:top w:val="double" w:sz="6" w:space="0" w:color="auto"/>
              <w:left w:val="double" w:sz="6" w:space="0" w:color="auto"/>
              <w:bottom w:val="double" w:sz="6" w:space="0" w:color="auto"/>
              <w:right w:val="double" w:sz="6" w:space="0" w:color="auto"/>
            </w:tcBorders>
            <w:shd w:val="clear" w:color="000000" w:fill="D9D9D9"/>
            <w:hideMark/>
          </w:tcPr>
          <w:p w14:paraId="3DB2FA6F"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Извор провере</w:t>
            </w:r>
          </w:p>
        </w:tc>
        <w:tc>
          <w:tcPr>
            <w:tcW w:w="1999"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163E5BE1"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Почетна вредност </w:t>
            </w:r>
          </w:p>
        </w:tc>
        <w:tc>
          <w:tcPr>
            <w:tcW w:w="1513" w:type="dxa"/>
            <w:tcBorders>
              <w:top w:val="double" w:sz="6" w:space="0" w:color="auto"/>
              <w:left w:val="double" w:sz="6" w:space="0" w:color="auto"/>
              <w:bottom w:val="double" w:sz="6" w:space="0" w:color="auto"/>
              <w:right w:val="double" w:sz="6" w:space="0" w:color="auto"/>
            </w:tcBorders>
            <w:shd w:val="clear" w:color="000000" w:fill="D9D9D9"/>
            <w:hideMark/>
          </w:tcPr>
          <w:p w14:paraId="71577B4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Базна година</w:t>
            </w:r>
          </w:p>
        </w:tc>
        <w:tc>
          <w:tcPr>
            <w:tcW w:w="1225" w:type="dxa"/>
            <w:tcBorders>
              <w:top w:val="double" w:sz="6" w:space="0" w:color="auto"/>
              <w:left w:val="double" w:sz="6" w:space="0" w:color="auto"/>
              <w:bottom w:val="double" w:sz="6" w:space="0" w:color="auto"/>
              <w:right w:val="double" w:sz="6" w:space="0" w:color="auto"/>
            </w:tcBorders>
            <w:shd w:val="clear" w:color="000000" w:fill="D9D9D9"/>
            <w:hideMark/>
          </w:tcPr>
          <w:p w14:paraId="32A0E787"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260" w:type="dxa"/>
            <w:tcBorders>
              <w:top w:val="double" w:sz="6" w:space="0" w:color="auto"/>
              <w:left w:val="double" w:sz="6" w:space="0" w:color="auto"/>
              <w:bottom w:val="double" w:sz="6" w:space="0" w:color="auto"/>
              <w:right w:val="double" w:sz="6" w:space="0" w:color="auto"/>
            </w:tcBorders>
            <w:shd w:val="clear" w:color="000000" w:fill="D9D9D9"/>
            <w:hideMark/>
          </w:tcPr>
          <w:p w14:paraId="61DEF98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4216FDC4"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7C0842" w:rsidRPr="00EF2F18" w14:paraId="3BF44CC7" w14:textId="77777777" w:rsidTr="007C0842">
        <w:trPr>
          <w:trHeight w:val="840"/>
        </w:trPr>
        <w:tc>
          <w:tcPr>
            <w:tcW w:w="3218" w:type="dxa"/>
            <w:vMerge w:val="restart"/>
            <w:tcBorders>
              <w:top w:val="nil"/>
              <w:left w:val="double" w:sz="6" w:space="0" w:color="auto"/>
              <w:bottom w:val="double" w:sz="6" w:space="0" w:color="000000"/>
              <w:right w:val="single" w:sz="8" w:space="0" w:color="auto"/>
            </w:tcBorders>
            <w:shd w:val="clear" w:color="000000" w:fill="FFFFFF"/>
            <w:hideMark/>
          </w:tcPr>
          <w:p w14:paraId="5E6029C7"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средњих постројења за сагоревање усклађених са Директивом ЕУ 2015/2193 о ограничењу емисија одређених загађујућих материја у ваздух из средњих постројења за сагоревање</w:t>
            </w:r>
          </w:p>
        </w:tc>
        <w:tc>
          <w:tcPr>
            <w:tcW w:w="1276" w:type="dxa"/>
            <w:vMerge w:val="restart"/>
            <w:tcBorders>
              <w:top w:val="nil"/>
              <w:left w:val="single" w:sz="8" w:space="0" w:color="auto"/>
              <w:bottom w:val="double" w:sz="6" w:space="0" w:color="000000"/>
              <w:right w:val="single" w:sz="8" w:space="0" w:color="auto"/>
            </w:tcBorders>
            <w:shd w:val="clear" w:color="000000" w:fill="FFFFFF"/>
            <w:hideMark/>
          </w:tcPr>
          <w:p w14:paraId="2A2FA1D8"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76" w:type="dxa"/>
            <w:vMerge w:val="restart"/>
            <w:tcBorders>
              <w:top w:val="nil"/>
              <w:left w:val="single" w:sz="8" w:space="0" w:color="auto"/>
              <w:bottom w:val="double" w:sz="6" w:space="0" w:color="000000"/>
              <w:right w:val="single" w:sz="8" w:space="0" w:color="auto"/>
            </w:tcBorders>
            <w:shd w:val="clear" w:color="000000" w:fill="FFFFFF"/>
            <w:hideMark/>
          </w:tcPr>
          <w:p w14:paraId="00609A30"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w:t>
            </w:r>
          </w:p>
        </w:tc>
        <w:tc>
          <w:tcPr>
            <w:tcW w:w="1999" w:type="dxa"/>
            <w:gridSpan w:val="2"/>
            <w:vMerge w:val="restart"/>
            <w:tcBorders>
              <w:top w:val="double" w:sz="6" w:space="0" w:color="auto"/>
              <w:left w:val="single" w:sz="8" w:space="0" w:color="auto"/>
              <w:bottom w:val="double" w:sz="6" w:space="0" w:color="000000"/>
              <w:right w:val="single" w:sz="8" w:space="0" w:color="000000"/>
            </w:tcBorders>
            <w:shd w:val="clear" w:color="000000" w:fill="FFFFFF"/>
            <w:hideMark/>
          </w:tcPr>
          <w:p w14:paraId="1507D831"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13" w:type="dxa"/>
            <w:vMerge w:val="restart"/>
            <w:tcBorders>
              <w:top w:val="nil"/>
              <w:left w:val="single" w:sz="8" w:space="0" w:color="auto"/>
              <w:bottom w:val="double" w:sz="6" w:space="0" w:color="000000"/>
              <w:right w:val="single" w:sz="8" w:space="0" w:color="auto"/>
            </w:tcBorders>
            <w:shd w:val="clear" w:color="000000" w:fill="FFFFFF"/>
            <w:hideMark/>
          </w:tcPr>
          <w:p w14:paraId="68FD7E7B"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2015.</w:t>
            </w:r>
          </w:p>
        </w:tc>
        <w:tc>
          <w:tcPr>
            <w:tcW w:w="1225" w:type="dxa"/>
            <w:vMerge w:val="restart"/>
            <w:tcBorders>
              <w:top w:val="nil"/>
              <w:left w:val="single" w:sz="8" w:space="0" w:color="auto"/>
              <w:bottom w:val="double" w:sz="6" w:space="0" w:color="000000"/>
              <w:right w:val="single" w:sz="8" w:space="0" w:color="auto"/>
            </w:tcBorders>
            <w:shd w:val="clear" w:color="000000" w:fill="FFFFFF"/>
            <w:hideMark/>
          </w:tcPr>
          <w:p w14:paraId="3451C0D7"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w:t>
            </w:r>
          </w:p>
        </w:tc>
        <w:tc>
          <w:tcPr>
            <w:tcW w:w="1260" w:type="dxa"/>
            <w:tcBorders>
              <w:top w:val="nil"/>
              <w:left w:val="nil"/>
              <w:bottom w:val="nil"/>
              <w:right w:val="single" w:sz="8" w:space="0" w:color="auto"/>
            </w:tcBorders>
            <w:shd w:val="clear" w:color="000000" w:fill="FFFFFF"/>
            <w:hideMark/>
          </w:tcPr>
          <w:p w14:paraId="3F5FBF8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710" w:type="dxa"/>
            <w:gridSpan w:val="2"/>
            <w:vMerge w:val="restart"/>
            <w:tcBorders>
              <w:top w:val="nil"/>
              <w:left w:val="single" w:sz="8" w:space="0" w:color="auto"/>
              <w:bottom w:val="double" w:sz="6" w:space="0" w:color="000000"/>
              <w:right w:val="double" w:sz="6" w:space="0" w:color="auto"/>
            </w:tcBorders>
            <w:shd w:val="clear" w:color="000000" w:fill="FFFFFF"/>
            <w:hideMark/>
          </w:tcPr>
          <w:p w14:paraId="5742E266"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7C0842" w:rsidRPr="00EF2F18" w14:paraId="63819BF8" w14:textId="77777777" w:rsidTr="007C0842">
        <w:trPr>
          <w:trHeight w:val="312"/>
        </w:trPr>
        <w:tc>
          <w:tcPr>
            <w:tcW w:w="3218" w:type="dxa"/>
            <w:vMerge/>
            <w:tcBorders>
              <w:top w:val="nil"/>
              <w:left w:val="double" w:sz="6" w:space="0" w:color="auto"/>
              <w:bottom w:val="double" w:sz="6" w:space="0" w:color="000000"/>
              <w:right w:val="single" w:sz="8" w:space="0" w:color="auto"/>
            </w:tcBorders>
            <w:vAlign w:val="center"/>
            <w:hideMark/>
          </w:tcPr>
          <w:p w14:paraId="26325373"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76" w:type="dxa"/>
            <w:vMerge/>
            <w:tcBorders>
              <w:top w:val="nil"/>
              <w:left w:val="single" w:sz="8" w:space="0" w:color="auto"/>
              <w:bottom w:val="double" w:sz="6" w:space="0" w:color="000000"/>
              <w:right w:val="single" w:sz="8" w:space="0" w:color="auto"/>
            </w:tcBorders>
            <w:vAlign w:val="center"/>
            <w:hideMark/>
          </w:tcPr>
          <w:p w14:paraId="73B81E7E"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76" w:type="dxa"/>
            <w:vMerge/>
            <w:tcBorders>
              <w:top w:val="nil"/>
              <w:left w:val="single" w:sz="8" w:space="0" w:color="auto"/>
              <w:bottom w:val="double" w:sz="6" w:space="0" w:color="000000"/>
              <w:right w:val="single" w:sz="8" w:space="0" w:color="auto"/>
            </w:tcBorders>
            <w:vAlign w:val="center"/>
            <w:hideMark/>
          </w:tcPr>
          <w:p w14:paraId="7976BF0E"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999" w:type="dxa"/>
            <w:gridSpan w:val="2"/>
            <w:vMerge/>
            <w:tcBorders>
              <w:top w:val="double" w:sz="6" w:space="0" w:color="auto"/>
              <w:left w:val="single" w:sz="8" w:space="0" w:color="auto"/>
              <w:bottom w:val="double" w:sz="6" w:space="0" w:color="000000"/>
              <w:right w:val="single" w:sz="8" w:space="0" w:color="000000"/>
            </w:tcBorders>
            <w:vAlign w:val="center"/>
            <w:hideMark/>
          </w:tcPr>
          <w:p w14:paraId="5B8C82E1"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513" w:type="dxa"/>
            <w:vMerge/>
            <w:tcBorders>
              <w:top w:val="nil"/>
              <w:left w:val="single" w:sz="8" w:space="0" w:color="auto"/>
              <w:bottom w:val="double" w:sz="6" w:space="0" w:color="000000"/>
              <w:right w:val="single" w:sz="8" w:space="0" w:color="auto"/>
            </w:tcBorders>
            <w:vAlign w:val="center"/>
            <w:hideMark/>
          </w:tcPr>
          <w:p w14:paraId="3885E94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25" w:type="dxa"/>
            <w:vMerge/>
            <w:tcBorders>
              <w:top w:val="nil"/>
              <w:left w:val="single" w:sz="8" w:space="0" w:color="auto"/>
              <w:bottom w:val="double" w:sz="6" w:space="0" w:color="000000"/>
              <w:right w:val="single" w:sz="8" w:space="0" w:color="auto"/>
            </w:tcBorders>
            <w:vAlign w:val="center"/>
            <w:hideMark/>
          </w:tcPr>
          <w:p w14:paraId="5A8574C7"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0" w:type="dxa"/>
            <w:tcBorders>
              <w:top w:val="nil"/>
              <w:left w:val="nil"/>
              <w:bottom w:val="nil"/>
              <w:right w:val="single" w:sz="8" w:space="0" w:color="auto"/>
            </w:tcBorders>
            <w:shd w:val="clear" w:color="000000" w:fill="FFFFFF"/>
            <w:hideMark/>
          </w:tcPr>
          <w:p w14:paraId="4CDDE5C9"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710" w:type="dxa"/>
            <w:gridSpan w:val="2"/>
            <w:vMerge/>
            <w:tcBorders>
              <w:top w:val="nil"/>
              <w:left w:val="single" w:sz="8" w:space="0" w:color="auto"/>
              <w:bottom w:val="double" w:sz="6" w:space="0" w:color="000000"/>
              <w:right w:val="double" w:sz="6" w:space="0" w:color="auto"/>
            </w:tcBorders>
            <w:vAlign w:val="center"/>
            <w:hideMark/>
          </w:tcPr>
          <w:p w14:paraId="77C534A5" w14:textId="77777777" w:rsidR="007C0842" w:rsidRPr="00EF2F18" w:rsidRDefault="007C0842" w:rsidP="00752CA0">
            <w:pPr>
              <w:spacing w:after="0"/>
              <w:rPr>
                <w:rFonts w:eastAsia="Times New Roman" w:cs="Times New Roman"/>
                <w:color w:val="000000"/>
                <w:sz w:val="20"/>
                <w:szCs w:val="20"/>
                <w:lang w:val="sr-Cyrl-RS" w:eastAsia="sr-Cyrl-RS"/>
              </w:rPr>
            </w:pPr>
          </w:p>
        </w:tc>
      </w:tr>
      <w:tr w:rsidR="007C0842" w:rsidRPr="00EF2F18" w14:paraId="6A2E8E85" w14:textId="77777777" w:rsidTr="007C0842">
        <w:trPr>
          <w:trHeight w:val="324"/>
        </w:trPr>
        <w:tc>
          <w:tcPr>
            <w:tcW w:w="3218" w:type="dxa"/>
            <w:vMerge/>
            <w:tcBorders>
              <w:top w:val="nil"/>
              <w:left w:val="double" w:sz="6" w:space="0" w:color="auto"/>
              <w:bottom w:val="double" w:sz="6" w:space="0" w:color="000000"/>
              <w:right w:val="single" w:sz="8" w:space="0" w:color="auto"/>
            </w:tcBorders>
            <w:vAlign w:val="center"/>
            <w:hideMark/>
          </w:tcPr>
          <w:p w14:paraId="7E496703"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76" w:type="dxa"/>
            <w:vMerge/>
            <w:tcBorders>
              <w:top w:val="nil"/>
              <w:left w:val="single" w:sz="8" w:space="0" w:color="auto"/>
              <w:bottom w:val="double" w:sz="6" w:space="0" w:color="000000"/>
              <w:right w:val="single" w:sz="8" w:space="0" w:color="auto"/>
            </w:tcBorders>
            <w:vAlign w:val="center"/>
            <w:hideMark/>
          </w:tcPr>
          <w:p w14:paraId="6101C9D6"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76" w:type="dxa"/>
            <w:vMerge/>
            <w:tcBorders>
              <w:top w:val="nil"/>
              <w:left w:val="single" w:sz="8" w:space="0" w:color="auto"/>
              <w:bottom w:val="double" w:sz="6" w:space="0" w:color="000000"/>
              <w:right w:val="single" w:sz="8" w:space="0" w:color="auto"/>
            </w:tcBorders>
            <w:vAlign w:val="center"/>
            <w:hideMark/>
          </w:tcPr>
          <w:p w14:paraId="1CA8F86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999" w:type="dxa"/>
            <w:gridSpan w:val="2"/>
            <w:vMerge/>
            <w:tcBorders>
              <w:top w:val="double" w:sz="6" w:space="0" w:color="auto"/>
              <w:left w:val="single" w:sz="8" w:space="0" w:color="auto"/>
              <w:bottom w:val="double" w:sz="6" w:space="0" w:color="000000"/>
              <w:right w:val="single" w:sz="8" w:space="0" w:color="000000"/>
            </w:tcBorders>
            <w:vAlign w:val="center"/>
            <w:hideMark/>
          </w:tcPr>
          <w:p w14:paraId="194D485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513" w:type="dxa"/>
            <w:vMerge/>
            <w:tcBorders>
              <w:top w:val="nil"/>
              <w:left w:val="single" w:sz="8" w:space="0" w:color="auto"/>
              <w:bottom w:val="double" w:sz="6" w:space="0" w:color="000000"/>
              <w:right w:val="single" w:sz="8" w:space="0" w:color="auto"/>
            </w:tcBorders>
            <w:vAlign w:val="center"/>
            <w:hideMark/>
          </w:tcPr>
          <w:p w14:paraId="44DD777E"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25" w:type="dxa"/>
            <w:vMerge/>
            <w:tcBorders>
              <w:top w:val="nil"/>
              <w:left w:val="single" w:sz="8" w:space="0" w:color="auto"/>
              <w:bottom w:val="double" w:sz="6" w:space="0" w:color="000000"/>
              <w:right w:val="single" w:sz="8" w:space="0" w:color="auto"/>
            </w:tcBorders>
            <w:vAlign w:val="center"/>
            <w:hideMark/>
          </w:tcPr>
          <w:p w14:paraId="058429B9"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0" w:type="dxa"/>
            <w:tcBorders>
              <w:top w:val="nil"/>
              <w:left w:val="nil"/>
              <w:bottom w:val="double" w:sz="6" w:space="0" w:color="auto"/>
              <w:right w:val="single" w:sz="8" w:space="0" w:color="auto"/>
            </w:tcBorders>
            <w:shd w:val="clear" w:color="000000" w:fill="FFFFFF"/>
            <w:hideMark/>
          </w:tcPr>
          <w:p w14:paraId="3A41494B"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710" w:type="dxa"/>
            <w:gridSpan w:val="2"/>
            <w:vMerge/>
            <w:tcBorders>
              <w:top w:val="nil"/>
              <w:left w:val="single" w:sz="8" w:space="0" w:color="auto"/>
              <w:bottom w:val="double" w:sz="6" w:space="0" w:color="000000"/>
              <w:right w:val="double" w:sz="6" w:space="0" w:color="auto"/>
            </w:tcBorders>
            <w:vAlign w:val="center"/>
            <w:hideMark/>
          </w:tcPr>
          <w:p w14:paraId="75A586BA" w14:textId="77777777" w:rsidR="007C0842" w:rsidRPr="00EF2F18" w:rsidRDefault="007C0842" w:rsidP="00752CA0">
            <w:pPr>
              <w:spacing w:after="0"/>
              <w:rPr>
                <w:rFonts w:eastAsia="Times New Roman" w:cs="Times New Roman"/>
                <w:color w:val="000000"/>
                <w:sz w:val="20"/>
                <w:szCs w:val="20"/>
                <w:lang w:val="sr-Cyrl-RS" w:eastAsia="sr-Cyrl-RS"/>
              </w:rPr>
            </w:pPr>
          </w:p>
        </w:tc>
      </w:tr>
    </w:tbl>
    <w:p w14:paraId="171E7563" w14:textId="77777777" w:rsidR="007D7243" w:rsidRPr="00EF2F18" w:rsidRDefault="007D7243" w:rsidP="007D7243">
      <w:pPr>
        <w:spacing w:after="0"/>
        <w:rPr>
          <w:rFonts w:cs="Times New Roman"/>
          <w:sz w:val="20"/>
          <w:szCs w:val="20"/>
          <w:lang w:val="sr-Cyrl-RS"/>
        </w:rPr>
      </w:pPr>
    </w:p>
    <w:tbl>
      <w:tblPr>
        <w:tblW w:w="13477" w:type="dxa"/>
        <w:tblLook w:val="04A0" w:firstRow="1" w:lastRow="0" w:firstColumn="1" w:lastColumn="0" w:noHBand="0" w:noVBand="1"/>
      </w:tblPr>
      <w:tblGrid>
        <w:gridCol w:w="3663"/>
        <w:gridCol w:w="2480"/>
        <w:gridCol w:w="2384"/>
        <w:gridCol w:w="2250"/>
        <w:gridCol w:w="2700"/>
      </w:tblGrid>
      <w:tr w:rsidR="007D7243" w:rsidRPr="00EF2F18" w14:paraId="57C611E4" w14:textId="77777777" w:rsidTr="007C0842">
        <w:trPr>
          <w:trHeight w:val="540"/>
        </w:trPr>
        <w:tc>
          <w:tcPr>
            <w:tcW w:w="3663"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68A0E1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94C3C6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34" w:type="dxa"/>
            <w:gridSpan w:val="3"/>
            <w:tcBorders>
              <w:top w:val="double" w:sz="6" w:space="0" w:color="auto"/>
              <w:left w:val="nil"/>
              <w:bottom w:val="double" w:sz="6" w:space="0" w:color="auto"/>
              <w:right w:val="double" w:sz="6" w:space="0" w:color="auto"/>
            </w:tcBorders>
            <w:shd w:val="clear" w:color="000000" w:fill="A8D08D"/>
            <w:hideMark/>
          </w:tcPr>
          <w:p w14:paraId="7CB5713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7C0842" w:rsidRPr="00EF2F18" w14:paraId="1F4AF97D" w14:textId="77777777" w:rsidTr="007C0842">
        <w:trPr>
          <w:trHeight w:val="336"/>
        </w:trPr>
        <w:tc>
          <w:tcPr>
            <w:tcW w:w="3663" w:type="dxa"/>
            <w:vMerge/>
            <w:tcBorders>
              <w:top w:val="double" w:sz="6" w:space="0" w:color="auto"/>
              <w:left w:val="double" w:sz="6" w:space="0" w:color="auto"/>
              <w:bottom w:val="single" w:sz="8" w:space="0" w:color="000000"/>
              <w:right w:val="double" w:sz="6" w:space="0" w:color="auto"/>
            </w:tcBorders>
            <w:vAlign w:val="center"/>
            <w:hideMark/>
          </w:tcPr>
          <w:p w14:paraId="64A944D9"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4CC31DAF"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384" w:type="dxa"/>
            <w:tcBorders>
              <w:top w:val="nil"/>
              <w:left w:val="nil"/>
              <w:bottom w:val="double" w:sz="6" w:space="0" w:color="auto"/>
              <w:right w:val="double" w:sz="6" w:space="0" w:color="auto"/>
            </w:tcBorders>
            <w:shd w:val="clear" w:color="000000" w:fill="A8D08D"/>
            <w:hideMark/>
          </w:tcPr>
          <w:p w14:paraId="3C89FFD9" w14:textId="7C082459"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250" w:type="dxa"/>
            <w:tcBorders>
              <w:top w:val="nil"/>
              <w:left w:val="nil"/>
              <w:bottom w:val="double" w:sz="6" w:space="0" w:color="auto"/>
              <w:right w:val="double" w:sz="6" w:space="0" w:color="auto"/>
            </w:tcBorders>
            <w:shd w:val="clear" w:color="000000" w:fill="A8D08D"/>
            <w:hideMark/>
          </w:tcPr>
          <w:p w14:paraId="152906C5" w14:textId="1F68C4C2"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700" w:type="dxa"/>
            <w:tcBorders>
              <w:top w:val="nil"/>
              <w:left w:val="nil"/>
              <w:bottom w:val="double" w:sz="6" w:space="0" w:color="auto"/>
              <w:right w:val="double" w:sz="6" w:space="0" w:color="auto"/>
            </w:tcBorders>
            <w:shd w:val="clear" w:color="000000" w:fill="A8D08D"/>
            <w:hideMark/>
          </w:tcPr>
          <w:p w14:paraId="61F56C5C" w14:textId="6C15E5DA"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7C0842" w:rsidRPr="00EF2F18" w14:paraId="01E895FE" w14:textId="77777777" w:rsidTr="007C0842">
        <w:trPr>
          <w:trHeight w:val="324"/>
        </w:trPr>
        <w:tc>
          <w:tcPr>
            <w:tcW w:w="3663" w:type="dxa"/>
            <w:tcBorders>
              <w:top w:val="nil"/>
              <w:left w:val="double" w:sz="6" w:space="0" w:color="auto"/>
              <w:bottom w:val="double" w:sz="6" w:space="0" w:color="auto"/>
              <w:right w:val="double" w:sz="6" w:space="0" w:color="auto"/>
            </w:tcBorders>
            <w:shd w:val="clear" w:color="000000" w:fill="FFFFFF"/>
            <w:vAlign w:val="center"/>
            <w:hideMark/>
          </w:tcPr>
          <w:p w14:paraId="1A51F1C0"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средства/редовна издвајања (МЗЖС)</w:t>
            </w:r>
          </w:p>
        </w:tc>
        <w:tc>
          <w:tcPr>
            <w:tcW w:w="2480" w:type="dxa"/>
            <w:tcBorders>
              <w:top w:val="nil"/>
              <w:left w:val="nil"/>
              <w:bottom w:val="double" w:sz="6" w:space="0" w:color="auto"/>
              <w:right w:val="double" w:sz="6" w:space="0" w:color="auto"/>
            </w:tcBorders>
            <w:shd w:val="clear" w:color="000000" w:fill="FFFFFF"/>
            <w:vAlign w:val="center"/>
            <w:hideMark/>
          </w:tcPr>
          <w:p w14:paraId="54B41536"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2384" w:type="dxa"/>
            <w:tcBorders>
              <w:top w:val="nil"/>
              <w:left w:val="nil"/>
              <w:bottom w:val="double" w:sz="6" w:space="0" w:color="auto"/>
              <w:right w:val="double" w:sz="6" w:space="0" w:color="auto"/>
            </w:tcBorders>
            <w:vAlign w:val="center"/>
            <w:hideMark/>
          </w:tcPr>
          <w:p w14:paraId="2E0EFC8C" w14:textId="77777777" w:rsidR="007C0842" w:rsidRPr="00EF2F18" w:rsidRDefault="007C0842" w:rsidP="00752CA0">
            <w:pPr>
              <w:spacing w:after="0"/>
              <w:jc w:val="right"/>
              <w:rPr>
                <w:rFonts w:eastAsia="Times New Roman" w:cs="Times New Roman"/>
                <w:color w:val="000000"/>
                <w:sz w:val="20"/>
                <w:szCs w:val="20"/>
                <w:lang w:val="sr-Cyrl-RS" w:eastAsia="sr-Cyrl-RS"/>
              </w:rPr>
            </w:pPr>
          </w:p>
        </w:tc>
        <w:tc>
          <w:tcPr>
            <w:tcW w:w="2250" w:type="dxa"/>
            <w:tcBorders>
              <w:top w:val="nil"/>
              <w:left w:val="nil"/>
              <w:bottom w:val="double" w:sz="6" w:space="0" w:color="auto"/>
              <w:right w:val="double" w:sz="6" w:space="0" w:color="auto"/>
            </w:tcBorders>
            <w:vAlign w:val="center"/>
            <w:hideMark/>
          </w:tcPr>
          <w:p w14:paraId="0FFB534A" w14:textId="77777777" w:rsidR="007C0842" w:rsidRPr="00EF2F18" w:rsidRDefault="007C0842" w:rsidP="00752CA0">
            <w:pPr>
              <w:spacing w:after="0"/>
              <w:jc w:val="right"/>
              <w:rPr>
                <w:rFonts w:eastAsia="Times New Roman" w:cs="Times New Roman"/>
                <w:color w:val="000000"/>
                <w:sz w:val="20"/>
                <w:szCs w:val="20"/>
                <w:lang w:val="sr-Cyrl-RS" w:eastAsia="sr-Cyrl-RS"/>
              </w:rPr>
            </w:pPr>
          </w:p>
        </w:tc>
        <w:tc>
          <w:tcPr>
            <w:tcW w:w="2700" w:type="dxa"/>
            <w:tcBorders>
              <w:top w:val="nil"/>
              <w:left w:val="nil"/>
              <w:bottom w:val="double" w:sz="6" w:space="0" w:color="auto"/>
              <w:right w:val="double" w:sz="6" w:space="0" w:color="auto"/>
            </w:tcBorders>
            <w:shd w:val="clear" w:color="000000" w:fill="FFFFFF"/>
            <w:vAlign w:val="center"/>
            <w:hideMark/>
          </w:tcPr>
          <w:p w14:paraId="37B6FBD9" w14:textId="77777777" w:rsidR="007C0842" w:rsidRPr="00EF2F18" w:rsidRDefault="007C0842" w:rsidP="00752CA0">
            <w:pPr>
              <w:spacing w:after="0"/>
              <w:jc w:val="right"/>
              <w:rPr>
                <w:rFonts w:eastAsia="Times New Roman" w:cs="Times New Roman"/>
                <w:color w:val="000000"/>
                <w:sz w:val="20"/>
                <w:szCs w:val="20"/>
                <w:lang w:val="sr-Cyrl-RS" w:eastAsia="sr-Cyrl-RS"/>
              </w:rPr>
            </w:pPr>
          </w:p>
        </w:tc>
      </w:tr>
      <w:tr w:rsidR="007C0842" w:rsidRPr="00EF2F18" w14:paraId="6CC3981B" w14:textId="77777777" w:rsidTr="007C0842">
        <w:trPr>
          <w:trHeight w:val="336"/>
        </w:trPr>
        <w:tc>
          <w:tcPr>
            <w:tcW w:w="3663" w:type="dxa"/>
            <w:tcBorders>
              <w:top w:val="nil"/>
              <w:left w:val="double" w:sz="6" w:space="0" w:color="auto"/>
              <w:bottom w:val="double" w:sz="6" w:space="0" w:color="auto"/>
              <w:right w:val="double" w:sz="6" w:space="0" w:color="auto"/>
            </w:tcBorders>
            <w:shd w:val="clear" w:color="000000" w:fill="FFFFFF"/>
            <w:vAlign w:val="center"/>
            <w:hideMark/>
          </w:tcPr>
          <w:p w14:paraId="508ADD6F" w14:textId="7820413A" w:rsidR="007C0842" w:rsidRPr="00EF2F18" w:rsidRDefault="00BA3316"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480" w:type="dxa"/>
            <w:tcBorders>
              <w:top w:val="nil"/>
              <w:left w:val="nil"/>
              <w:bottom w:val="double" w:sz="6" w:space="0" w:color="auto"/>
              <w:right w:val="double" w:sz="6" w:space="0" w:color="auto"/>
            </w:tcBorders>
            <w:shd w:val="clear" w:color="000000" w:fill="FFFFFF"/>
            <w:vAlign w:val="center"/>
          </w:tcPr>
          <w:p w14:paraId="7A5DB9D9" w14:textId="5861C4E0" w:rsidR="007C0842" w:rsidRPr="00EF2F18" w:rsidRDefault="007C0842" w:rsidP="00752CA0">
            <w:pPr>
              <w:spacing w:after="0"/>
              <w:rPr>
                <w:rFonts w:eastAsia="Times New Roman" w:cs="Times New Roman"/>
                <w:color w:val="000000"/>
                <w:sz w:val="20"/>
                <w:szCs w:val="20"/>
                <w:lang w:val="sr-Cyrl-RS" w:eastAsia="sr-Cyrl-RS"/>
              </w:rPr>
            </w:pPr>
          </w:p>
        </w:tc>
        <w:tc>
          <w:tcPr>
            <w:tcW w:w="2384" w:type="dxa"/>
            <w:tcBorders>
              <w:top w:val="nil"/>
              <w:left w:val="nil"/>
              <w:bottom w:val="double" w:sz="6" w:space="0" w:color="auto"/>
              <w:right w:val="double" w:sz="6" w:space="0" w:color="auto"/>
            </w:tcBorders>
            <w:vAlign w:val="center"/>
            <w:hideMark/>
          </w:tcPr>
          <w:p w14:paraId="04D1E770" w14:textId="77777777" w:rsidR="007C0842" w:rsidRPr="00EF2F18" w:rsidRDefault="007C0842" w:rsidP="00752CA0">
            <w:pPr>
              <w:spacing w:after="0"/>
              <w:jc w:val="right"/>
              <w:rPr>
                <w:rFonts w:eastAsia="Times New Roman" w:cs="Times New Roman"/>
                <w:color w:val="000000"/>
                <w:sz w:val="20"/>
                <w:szCs w:val="20"/>
                <w:lang w:val="sr-Cyrl-RS" w:eastAsia="sr-Cyrl-RS"/>
              </w:rPr>
            </w:pPr>
          </w:p>
        </w:tc>
        <w:tc>
          <w:tcPr>
            <w:tcW w:w="2250" w:type="dxa"/>
            <w:tcBorders>
              <w:top w:val="nil"/>
              <w:left w:val="nil"/>
              <w:bottom w:val="double" w:sz="6" w:space="0" w:color="auto"/>
              <w:right w:val="double" w:sz="6" w:space="0" w:color="auto"/>
            </w:tcBorders>
            <w:vAlign w:val="center"/>
            <w:hideMark/>
          </w:tcPr>
          <w:p w14:paraId="03A876C1" w14:textId="77777777" w:rsidR="007C0842" w:rsidRPr="00EF2F18" w:rsidRDefault="007C0842" w:rsidP="00752CA0">
            <w:pPr>
              <w:spacing w:after="0"/>
              <w:jc w:val="right"/>
              <w:rPr>
                <w:rFonts w:eastAsia="Times New Roman" w:cs="Times New Roman"/>
                <w:color w:val="000000"/>
                <w:sz w:val="20"/>
                <w:szCs w:val="20"/>
                <w:lang w:val="sr-Cyrl-RS" w:eastAsia="sr-Cyrl-RS"/>
              </w:rPr>
            </w:pPr>
          </w:p>
        </w:tc>
        <w:tc>
          <w:tcPr>
            <w:tcW w:w="2700" w:type="dxa"/>
            <w:tcBorders>
              <w:top w:val="nil"/>
              <w:left w:val="nil"/>
              <w:bottom w:val="double" w:sz="6" w:space="0" w:color="auto"/>
              <w:right w:val="double" w:sz="6" w:space="0" w:color="auto"/>
            </w:tcBorders>
            <w:shd w:val="clear" w:color="000000" w:fill="FFFFFF"/>
            <w:vAlign w:val="center"/>
            <w:hideMark/>
          </w:tcPr>
          <w:p w14:paraId="70E06D07" w14:textId="77777777" w:rsidR="007C0842" w:rsidRPr="00EF2F18" w:rsidRDefault="007C0842" w:rsidP="00752CA0">
            <w:pPr>
              <w:spacing w:after="0"/>
              <w:jc w:val="right"/>
              <w:rPr>
                <w:rFonts w:eastAsia="Times New Roman" w:cs="Times New Roman"/>
                <w:color w:val="000000"/>
                <w:sz w:val="20"/>
                <w:szCs w:val="20"/>
                <w:lang w:val="sr-Cyrl-RS" w:eastAsia="sr-Cyrl-RS"/>
              </w:rPr>
            </w:pPr>
          </w:p>
        </w:tc>
      </w:tr>
    </w:tbl>
    <w:p w14:paraId="20C1475D" w14:textId="77777777" w:rsidR="007D7243" w:rsidRPr="00EF2F18" w:rsidRDefault="007D7243" w:rsidP="007D7243">
      <w:pPr>
        <w:spacing w:after="0"/>
        <w:rPr>
          <w:lang w:val="sr-Cyrl-RS"/>
        </w:rPr>
      </w:pPr>
    </w:p>
    <w:tbl>
      <w:tblPr>
        <w:tblW w:w="13731" w:type="dxa"/>
        <w:tblLayout w:type="fixed"/>
        <w:tblLook w:val="04A0" w:firstRow="1" w:lastRow="0" w:firstColumn="1" w:lastColumn="0" w:noHBand="0" w:noVBand="1"/>
      </w:tblPr>
      <w:tblGrid>
        <w:gridCol w:w="3114"/>
        <w:gridCol w:w="1134"/>
        <w:gridCol w:w="1417"/>
        <w:gridCol w:w="1276"/>
        <w:gridCol w:w="1355"/>
        <w:gridCol w:w="1339"/>
        <w:gridCol w:w="1250"/>
        <w:gridCol w:w="1260"/>
        <w:gridCol w:w="1350"/>
        <w:gridCol w:w="236"/>
      </w:tblGrid>
      <w:tr w:rsidR="007D7243" w:rsidRPr="00EF2F18" w14:paraId="28D3086B" w14:textId="77777777" w:rsidTr="007C0842">
        <w:trPr>
          <w:gridAfter w:val="1"/>
          <w:wAfter w:w="236" w:type="dxa"/>
          <w:trHeight w:val="732"/>
        </w:trPr>
        <w:tc>
          <w:tcPr>
            <w:tcW w:w="3114"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E5AA16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05EE1D5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1AE9872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0BF29B2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55"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53681D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Извор </w:t>
            </w:r>
            <w:r w:rsidRPr="00E74F38">
              <w:rPr>
                <w:rFonts w:eastAsia="Times New Roman" w:cs="Times New Roman"/>
                <w:sz w:val="18"/>
                <w:szCs w:val="18"/>
                <w:lang w:val="sr-Cyrl-RS" w:eastAsia="sr-Cyrl-RS"/>
              </w:rPr>
              <w:t>финансирања</w:t>
            </w:r>
          </w:p>
        </w:tc>
        <w:tc>
          <w:tcPr>
            <w:tcW w:w="1339"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72076D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Веза са </w:t>
            </w:r>
            <w:r w:rsidRPr="00E74F38">
              <w:rPr>
                <w:rFonts w:eastAsia="Times New Roman" w:cs="Times New Roman"/>
                <w:sz w:val="18"/>
                <w:szCs w:val="18"/>
                <w:lang w:val="sr-Cyrl-RS" w:eastAsia="sr-Cyrl-RS"/>
              </w:rPr>
              <w:t>програмским</w:t>
            </w:r>
            <w:r w:rsidRPr="00EF2F18">
              <w:rPr>
                <w:rFonts w:eastAsia="Times New Roman" w:cs="Times New Roman"/>
                <w:sz w:val="20"/>
                <w:szCs w:val="20"/>
                <w:lang w:val="sr-Cyrl-RS" w:eastAsia="sr-Cyrl-RS"/>
              </w:rPr>
              <w:t xml:space="preserve"> буџетом</w:t>
            </w:r>
          </w:p>
        </w:tc>
        <w:tc>
          <w:tcPr>
            <w:tcW w:w="3860"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437CE11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7C0842" w:rsidRPr="00EF2F18" w14:paraId="5155AE47" w14:textId="77777777" w:rsidTr="007C0842">
        <w:trPr>
          <w:gridAfter w:val="1"/>
          <w:wAfter w:w="236" w:type="dxa"/>
          <w:trHeight w:val="441"/>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2F6B009"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CCC27D5"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F20D2B3"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93FD8F8"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355" w:type="dxa"/>
            <w:vMerge/>
            <w:tcBorders>
              <w:top w:val="single" w:sz="4" w:space="0" w:color="auto"/>
              <w:left w:val="single" w:sz="4" w:space="0" w:color="auto"/>
              <w:bottom w:val="single" w:sz="4" w:space="0" w:color="auto"/>
              <w:right w:val="single" w:sz="4" w:space="0" w:color="auto"/>
            </w:tcBorders>
            <w:vAlign w:val="center"/>
            <w:hideMark/>
          </w:tcPr>
          <w:p w14:paraId="217387EC"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68323CE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50" w:type="dxa"/>
            <w:tcBorders>
              <w:top w:val="single" w:sz="4" w:space="0" w:color="auto"/>
              <w:left w:val="single" w:sz="4" w:space="0" w:color="auto"/>
              <w:bottom w:val="single" w:sz="4" w:space="0" w:color="auto"/>
              <w:right w:val="single" w:sz="4" w:space="0" w:color="auto"/>
            </w:tcBorders>
            <w:shd w:val="clear" w:color="000000" w:fill="FFF2CC"/>
            <w:hideMark/>
          </w:tcPr>
          <w:p w14:paraId="0E36E99B" w14:textId="2DE1D668"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260" w:type="dxa"/>
            <w:tcBorders>
              <w:top w:val="single" w:sz="4" w:space="0" w:color="auto"/>
              <w:left w:val="single" w:sz="4" w:space="0" w:color="auto"/>
              <w:bottom w:val="single" w:sz="4" w:space="0" w:color="auto"/>
              <w:right w:val="single" w:sz="4" w:space="0" w:color="auto"/>
            </w:tcBorders>
            <w:shd w:val="clear" w:color="000000" w:fill="FFF2CC"/>
            <w:hideMark/>
          </w:tcPr>
          <w:p w14:paraId="6BAC910F" w14:textId="157CB3C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350" w:type="dxa"/>
            <w:tcBorders>
              <w:top w:val="single" w:sz="4" w:space="0" w:color="auto"/>
              <w:left w:val="single" w:sz="4" w:space="0" w:color="auto"/>
              <w:bottom w:val="single" w:sz="4" w:space="0" w:color="auto"/>
              <w:right w:val="single" w:sz="4" w:space="0" w:color="auto"/>
            </w:tcBorders>
            <w:shd w:val="clear" w:color="000000" w:fill="FFF2CC"/>
            <w:hideMark/>
          </w:tcPr>
          <w:p w14:paraId="5645DDAA" w14:textId="4442208F"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7C0842" w:rsidRPr="00EF2F18" w14:paraId="5B282953" w14:textId="77777777" w:rsidTr="007C0842">
        <w:trPr>
          <w:gridAfter w:val="1"/>
          <w:wAfter w:w="236" w:type="dxa"/>
          <w:trHeight w:val="1860"/>
        </w:trPr>
        <w:tc>
          <w:tcPr>
            <w:tcW w:w="3114" w:type="dxa"/>
            <w:tcBorders>
              <w:top w:val="single" w:sz="4" w:space="0" w:color="auto"/>
              <w:left w:val="single" w:sz="4" w:space="0" w:color="auto"/>
              <w:bottom w:val="single" w:sz="4" w:space="0" w:color="auto"/>
              <w:right w:val="single" w:sz="4" w:space="0" w:color="auto"/>
            </w:tcBorders>
            <w:hideMark/>
          </w:tcPr>
          <w:p w14:paraId="5F0BCCBB"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3.1.3.1. Завршетак усклађивањa националног законодавства са Директивом о средњим постројењима за сагоревање доношењем Уредбе о граничним вредностима емисија загађујућих материја у ваздух из средњих постројења за сагоревање</w:t>
            </w:r>
          </w:p>
        </w:tc>
        <w:tc>
          <w:tcPr>
            <w:tcW w:w="1134" w:type="dxa"/>
            <w:tcBorders>
              <w:top w:val="single" w:sz="4" w:space="0" w:color="auto"/>
              <w:left w:val="single" w:sz="4" w:space="0" w:color="auto"/>
              <w:bottom w:val="single" w:sz="4" w:space="0" w:color="auto"/>
              <w:right w:val="single" w:sz="4" w:space="0" w:color="auto"/>
            </w:tcBorders>
            <w:hideMark/>
          </w:tcPr>
          <w:p w14:paraId="62BA1433"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417" w:type="dxa"/>
            <w:tcBorders>
              <w:top w:val="single" w:sz="4" w:space="0" w:color="auto"/>
              <w:left w:val="single" w:sz="4" w:space="0" w:color="auto"/>
              <w:bottom w:val="single" w:sz="4" w:space="0" w:color="auto"/>
              <w:right w:val="single" w:sz="4" w:space="0" w:color="auto"/>
            </w:tcBorders>
            <w:hideMark/>
          </w:tcPr>
          <w:p w14:paraId="17A5C272"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ПСУЗЖС, ЈЛС, АЗЖС</w:t>
            </w:r>
          </w:p>
        </w:tc>
        <w:tc>
          <w:tcPr>
            <w:tcW w:w="1276" w:type="dxa"/>
            <w:tcBorders>
              <w:top w:val="single" w:sz="4" w:space="0" w:color="auto"/>
              <w:left w:val="single" w:sz="4" w:space="0" w:color="auto"/>
              <w:bottom w:val="single" w:sz="4" w:space="0" w:color="auto"/>
              <w:right w:val="single" w:sz="4" w:space="0" w:color="auto"/>
            </w:tcBorders>
            <w:hideMark/>
          </w:tcPr>
          <w:p w14:paraId="684383BD" w14:textId="77777777" w:rsidR="007C0842" w:rsidRPr="00EF2F18" w:rsidRDefault="007C0842" w:rsidP="00752CA0">
            <w:pPr>
              <w:spacing w:after="0"/>
              <w:rPr>
                <w:rFonts w:eastAsia="Times New Roman" w:cs="Times New Roman"/>
                <w:color w:val="000000"/>
                <w:sz w:val="20"/>
                <w:szCs w:val="20"/>
                <w:lang w:val="sr-Cyrl-RS" w:eastAsia="sr-Cyrl-RS"/>
              </w:rPr>
            </w:pPr>
          </w:p>
          <w:p w14:paraId="4837B903" w14:textId="77777777" w:rsidR="007C0842" w:rsidRPr="00EF2F18" w:rsidRDefault="007C0842" w:rsidP="00752CA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4.квартал</w:t>
            </w:r>
          </w:p>
          <w:p w14:paraId="4D2141B1" w14:textId="5FAB430A"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355" w:type="dxa"/>
            <w:tcBorders>
              <w:top w:val="single" w:sz="4" w:space="0" w:color="auto"/>
              <w:left w:val="single" w:sz="4" w:space="0" w:color="auto"/>
              <w:bottom w:val="single" w:sz="4" w:space="0" w:color="auto"/>
              <w:right w:val="single" w:sz="4" w:space="0" w:color="auto"/>
            </w:tcBorders>
            <w:hideMark/>
          </w:tcPr>
          <w:p w14:paraId="0FE1F893"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w:t>
            </w:r>
          </w:p>
          <w:p w14:paraId="6B09C7A3"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средства/редовна издвајања</w:t>
            </w:r>
          </w:p>
        </w:tc>
        <w:tc>
          <w:tcPr>
            <w:tcW w:w="1339" w:type="dxa"/>
            <w:tcBorders>
              <w:top w:val="single" w:sz="4" w:space="0" w:color="auto"/>
              <w:left w:val="single" w:sz="4" w:space="0" w:color="auto"/>
              <w:bottom w:val="single" w:sz="4" w:space="0" w:color="auto"/>
              <w:right w:val="single" w:sz="4" w:space="0" w:color="auto"/>
            </w:tcBorders>
            <w:hideMark/>
          </w:tcPr>
          <w:p w14:paraId="713CA6CE"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0404-560-0004-411</w:t>
            </w:r>
          </w:p>
        </w:tc>
        <w:tc>
          <w:tcPr>
            <w:tcW w:w="1250" w:type="dxa"/>
            <w:tcBorders>
              <w:top w:val="single" w:sz="4" w:space="0" w:color="auto"/>
              <w:left w:val="single" w:sz="4" w:space="0" w:color="auto"/>
              <w:bottom w:val="single" w:sz="4" w:space="0" w:color="auto"/>
              <w:right w:val="single" w:sz="4" w:space="0" w:color="auto"/>
            </w:tcBorders>
          </w:tcPr>
          <w:p w14:paraId="06DA23A9" w14:textId="08C87885" w:rsidR="007C0842" w:rsidRPr="00EF2F18" w:rsidRDefault="007C0842"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7996ADE8" w14:textId="5F778F7C" w:rsidR="007C0842" w:rsidRPr="00EF2F18" w:rsidRDefault="007C0842" w:rsidP="00752CA0">
            <w:pPr>
              <w:spacing w:after="0"/>
              <w:jc w:val="right"/>
              <w:rPr>
                <w:rFonts w:eastAsia="Times New Roman" w:cs="Times New Roman"/>
                <w:color w:val="000000"/>
                <w:sz w:val="20"/>
                <w:szCs w:val="20"/>
                <w:lang w:val="sr-Cyrl-RS" w:eastAsia="sr-Cyrl-RS"/>
              </w:rPr>
            </w:pPr>
          </w:p>
        </w:tc>
        <w:tc>
          <w:tcPr>
            <w:tcW w:w="1350" w:type="dxa"/>
            <w:tcBorders>
              <w:top w:val="single" w:sz="4" w:space="0" w:color="auto"/>
              <w:left w:val="single" w:sz="4" w:space="0" w:color="auto"/>
              <w:bottom w:val="single" w:sz="4" w:space="0" w:color="auto"/>
              <w:right w:val="single" w:sz="4" w:space="0" w:color="auto"/>
            </w:tcBorders>
          </w:tcPr>
          <w:p w14:paraId="249AA13B" w14:textId="324A1795" w:rsidR="007C0842" w:rsidRPr="00EF2F18" w:rsidRDefault="007C0842" w:rsidP="00752CA0">
            <w:pPr>
              <w:spacing w:after="0"/>
              <w:jc w:val="right"/>
              <w:rPr>
                <w:rFonts w:eastAsia="Times New Roman" w:cs="Times New Roman"/>
                <w:color w:val="000000"/>
                <w:sz w:val="20"/>
                <w:szCs w:val="20"/>
                <w:lang w:val="sr-Cyrl-RS" w:eastAsia="sr-Cyrl-RS"/>
              </w:rPr>
            </w:pPr>
          </w:p>
        </w:tc>
      </w:tr>
      <w:tr w:rsidR="007C0842" w:rsidRPr="00EF2F18" w14:paraId="4460DE87" w14:textId="77777777" w:rsidTr="007C0842">
        <w:trPr>
          <w:gridAfter w:val="1"/>
          <w:wAfter w:w="236" w:type="dxa"/>
          <w:trHeight w:val="804"/>
        </w:trPr>
        <w:tc>
          <w:tcPr>
            <w:tcW w:w="3114" w:type="dxa"/>
            <w:tcBorders>
              <w:top w:val="single" w:sz="4" w:space="0" w:color="auto"/>
              <w:left w:val="single" w:sz="4" w:space="0" w:color="auto"/>
              <w:bottom w:val="single" w:sz="4" w:space="0" w:color="auto"/>
              <w:right w:val="single" w:sz="4" w:space="0" w:color="auto"/>
            </w:tcBorders>
            <w:hideMark/>
          </w:tcPr>
          <w:p w14:paraId="2EC64DA3" w14:textId="47F6A7D4"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3.1.3.2. </w:t>
            </w:r>
            <w:r w:rsidR="0005257B" w:rsidRPr="00EF2F18">
              <w:rPr>
                <w:rFonts w:eastAsia="Times New Roman" w:cs="Times New Roman"/>
                <w:color w:val="000000"/>
                <w:sz w:val="20"/>
                <w:szCs w:val="20"/>
                <w:lang w:val="sr-Cyrl-RS" w:eastAsia="sr-Cyrl-RS"/>
              </w:rPr>
              <w:t>Успостављање Регистра средњих постројења за сагоревање</w:t>
            </w:r>
          </w:p>
        </w:tc>
        <w:tc>
          <w:tcPr>
            <w:tcW w:w="1134" w:type="dxa"/>
            <w:tcBorders>
              <w:top w:val="single" w:sz="4" w:space="0" w:color="auto"/>
              <w:left w:val="single" w:sz="4" w:space="0" w:color="auto"/>
              <w:bottom w:val="single" w:sz="4" w:space="0" w:color="auto"/>
              <w:right w:val="single" w:sz="4" w:space="0" w:color="auto"/>
            </w:tcBorders>
            <w:hideMark/>
          </w:tcPr>
          <w:p w14:paraId="089D430E"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w:t>
            </w:r>
          </w:p>
        </w:tc>
        <w:tc>
          <w:tcPr>
            <w:tcW w:w="1417" w:type="dxa"/>
            <w:tcBorders>
              <w:top w:val="single" w:sz="4" w:space="0" w:color="auto"/>
              <w:left w:val="single" w:sz="4" w:space="0" w:color="auto"/>
              <w:bottom w:val="single" w:sz="4" w:space="0" w:color="auto"/>
              <w:right w:val="single" w:sz="4" w:space="0" w:color="auto"/>
            </w:tcBorders>
            <w:hideMark/>
          </w:tcPr>
          <w:p w14:paraId="14222596"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6" w:type="dxa"/>
            <w:tcBorders>
              <w:top w:val="single" w:sz="4" w:space="0" w:color="auto"/>
              <w:left w:val="single" w:sz="4" w:space="0" w:color="auto"/>
              <w:bottom w:val="single" w:sz="4" w:space="0" w:color="auto"/>
              <w:right w:val="single" w:sz="4" w:space="0" w:color="auto"/>
            </w:tcBorders>
            <w:hideMark/>
          </w:tcPr>
          <w:p w14:paraId="7D08B97D" w14:textId="58EAB1E0" w:rsidR="007C0842" w:rsidRPr="00EF2F18" w:rsidRDefault="0005257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 квартал 2027</w:t>
            </w:r>
          </w:p>
        </w:tc>
        <w:tc>
          <w:tcPr>
            <w:tcW w:w="1355" w:type="dxa"/>
            <w:tcBorders>
              <w:top w:val="single" w:sz="4" w:space="0" w:color="auto"/>
              <w:left w:val="single" w:sz="4" w:space="0" w:color="auto"/>
              <w:bottom w:val="single" w:sz="4" w:space="0" w:color="auto"/>
              <w:right w:val="single" w:sz="4" w:space="0" w:color="auto"/>
            </w:tcBorders>
            <w:hideMark/>
          </w:tcPr>
          <w:p w14:paraId="52C0F3FC" w14:textId="70CAC84B"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339" w:type="dxa"/>
            <w:tcBorders>
              <w:top w:val="single" w:sz="4" w:space="0" w:color="auto"/>
              <w:left w:val="single" w:sz="4" w:space="0" w:color="auto"/>
              <w:bottom w:val="single" w:sz="4" w:space="0" w:color="auto"/>
              <w:right w:val="single" w:sz="4" w:space="0" w:color="auto"/>
            </w:tcBorders>
          </w:tcPr>
          <w:p w14:paraId="4F5CE2E3" w14:textId="3AAE35E7" w:rsidR="007C0842" w:rsidRPr="00EF2F18" w:rsidRDefault="007C0842" w:rsidP="00752CA0">
            <w:pPr>
              <w:spacing w:after="0"/>
              <w:rPr>
                <w:rFonts w:eastAsia="Times New Roman" w:cs="Times New Roman"/>
                <w:color w:val="000000"/>
                <w:sz w:val="20"/>
                <w:szCs w:val="20"/>
                <w:lang w:val="sr-Cyrl-RS" w:eastAsia="sr-Cyrl-RS"/>
              </w:rPr>
            </w:pPr>
          </w:p>
        </w:tc>
        <w:tc>
          <w:tcPr>
            <w:tcW w:w="1250" w:type="dxa"/>
            <w:tcBorders>
              <w:top w:val="single" w:sz="4" w:space="0" w:color="auto"/>
              <w:left w:val="single" w:sz="4" w:space="0" w:color="auto"/>
              <w:bottom w:val="single" w:sz="4" w:space="0" w:color="auto"/>
              <w:right w:val="single" w:sz="4" w:space="0" w:color="auto"/>
            </w:tcBorders>
          </w:tcPr>
          <w:p w14:paraId="71BDAFCA" w14:textId="32EC9F76" w:rsidR="007C0842" w:rsidRPr="00EF2F18" w:rsidRDefault="007C0842"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150DC57B" w14:textId="44B01A45" w:rsidR="007C0842" w:rsidRPr="00EF2F18" w:rsidRDefault="007C0842" w:rsidP="00752CA0">
            <w:pPr>
              <w:spacing w:after="0"/>
              <w:jc w:val="right"/>
              <w:rPr>
                <w:rFonts w:eastAsia="Times New Roman" w:cs="Times New Roman"/>
                <w:color w:val="000000"/>
                <w:sz w:val="20"/>
                <w:szCs w:val="20"/>
                <w:lang w:val="sr-Cyrl-RS" w:eastAsia="sr-Cyrl-RS"/>
              </w:rPr>
            </w:pPr>
          </w:p>
        </w:tc>
        <w:tc>
          <w:tcPr>
            <w:tcW w:w="1350" w:type="dxa"/>
            <w:tcBorders>
              <w:top w:val="single" w:sz="4" w:space="0" w:color="auto"/>
              <w:left w:val="single" w:sz="4" w:space="0" w:color="auto"/>
              <w:bottom w:val="single" w:sz="4" w:space="0" w:color="auto"/>
              <w:right w:val="single" w:sz="4" w:space="0" w:color="auto"/>
            </w:tcBorders>
          </w:tcPr>
          <w:p w14:paraId="4C5DC524" w14:textId="39DBEA16" w:rsidR="007C0842" w:rsidRPr="00EF2F18" w:rsidRDefault="007C0842" w:rsidP="00752CA0">
            <w:pPr>
              <w:spacing w:after="0"/>
              <w:jc w:val="right"/>
              <w:rPr>
                <w:rFonts w:eastAsia="Times New Roman" w:cs="Times New Roman"/>
                <w:color w:val="000000"/>
                <w:sz w:val="20"/>
                <w:szCs w:val="20"/>
                <w:lang w:val="sr-Cyrl-RS" w:eastAsia="sr-Cyrl-RS"/>
              </w:rPr>
            </w:pPr>
          </w:p>
        </w:tc>
      </w:tr>
      <w:tr w:rsidR="007C0842" w:rsidRPr="00EF2F18" w14:paraId="3C7A9517" w14:textId="77777777" w:rsidTr="007C0842">
        <w:trPr>
          <w:gridAfter w:val="1"/>
          <w:wAfter w:w="236" w:type="dxa"/>
          <w:trHeight w:val="2628"/>
        </w:trPr>
        <w:tc>
          <w:tcPr>
            <w:tcW w:w="3114" w:type="dxa"/>
            <w:vMerge w:val="restart"/>
            <w:tcBorders>
              <w:top w:val="single" w:sz="4" w:space="0" w:color="auto"/>
              <w:left w:val="single" w:sz="4" w:space="0" w:color="auto"/>
              <w:bottom w:val="single" w:sz="4" w:space="0" w:color="auto"/>
              <w:right w:val="single" w:sz="4" w:space="0" w:color="auto"/>
            </w:tcBorders>
            <w:hideMark/>
          </w:tcPr>
          <w:p w14:paraId="5345C2D3" w14:textId="68FCF4AB"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3.1.3.3. Усаглашавања са граничним вредностима емисије за средња постројења за сагоревање уз пружање подршке јединицама локалне самоуправе у поступку</w:t>
            </w:r>
            <w:r w:rsidRPr="00EF2F18">
              <w:rPr>
                <w:rFonts w:eastAsia="Times New Roman" w:cs="Times New Roman"/>
                <w:b/>
                <w:bCs/>
                <w:color w:val="000000"/>
                <w:szCs w:val="24"/>
                <w:lang w:val="sr-Cyrl-RS" w:eastAsia="sr-Cyrl-RS"/>
              </w:rPr>
              <w:t xml:space="preserve"> </w:t>
            </w:r>
            <w:r w:rsidRPr="00EF2F18">
              <w:rPr>
                <w:rFonts w:eastAsia="Times New Roman" w:cs="Times New Roman"/>
                <w:color w:val="000000"/>
                <w:sz w:val="20"/>
                <w:szCs w:val="20"/>
                <w:lang w:val="sr-Cyrl-RS" w:eastAsia="sr-Cyrl-RS"/>
              </w:rPr>
              <w:t>замене котларница капацитета испод 50 MW у јавним институцијама које као енергент користе угаљ, мазут или уље за ложење и прелазак на други енергент</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364FF411"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3452FABB"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E69A781"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55" w:type="dxa"/>
            <w:vMerge w:val="restart"/>
            <w:tcBorders>
              <w:top w:val="single" w:sz="4" w:space="0" w:color="auto"/>
              <w:left w:val="single" w:sz="4" w:space="0" w:color="auto"/>
              <w:bottom w:val="single" w:sz="4" w:space="0" w:color="auto"/>
              <w:right w:val="single" w:sz="4" w:space="0" w:color="auto"/>
            </w:tcBorders>
            <w:hideMark/>
          </w:tcPr>
          <w:p w14:paraId="0E355A98" w14:textId="4943192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p w14:paraId="1187E11C" w14:textId="77777777" w:rsidR="007C0842" w:rsidRPr="00EF2F18" w:rsidRDefault="007C0842" w:rsidP="00752CA0">
            <w:pPr>
              <w:spacing w:after="0"/>
              <w:rPr>
                <w:rFonts w:eastAsia="Times New Roman" w:cs="Times New Roman"/>
                <w:color w:val="000000"/>
                <w:sz w:val="20"/>
                <w:szCs w:val="20"/>
                <w:lang w:val="sr-Cyrl-RS" w:eastAsia="sr-Cyrl-RS"/>
              </w:rPr>
            </w:pPr>
          </w:p>
          <w:p w14:paraId="664BFC51" w14:textId="42CB7533" w:rsidR="007C0842" w:rsidRPr="00EF2F18" w:rsidRDefault="007C0842" w:rsidP="00752CA0">
            <w:pPr>
              <w:spacing w:after="0"/>
              <w:rPr>
                <w:rFonts w:eastAsia="Times New Roman" w:cs="Times New Roman"/>
                <w:color w:val="000000"/>
                <w:sz w:val="20"/>
                <w:szCs w:val="20"/>
                <w:lang w:val="sr-Cyrl-RS" w:eastAsia="sr-Cyrl-RS"/>
              </w:rPr>
            </w:pPr>
          </w:p>
        </w:tc>
        <w:tc>
          <w:tcPr>
            <w:tcW w:w="1339" w:type="dxa"/>
            <w:vMerge w:val="restart"/>
            <w:tcBorders>
              <w:top w:val="single" w:sz="4" w:space="0" w:color="auto"/>
              <w:left w:val="single" w:sz="4" w:space="0" w:color="auto"/>
              <w:bottom w:val="single" w:sz="4" w:space="0" w:color="auto"/>
              <w:right w:val="single" w:sz="4" w:space="0" w:color="auto"/>
            </w:tcBorders>
          </w:tcPr>
          <w:p w14:paraId="0C1BA464" w14:textId="4E18E9CC" w:rsidR="007C0842" w:rsidRPr="00EF2F18" w:rsidRDefault="007C0842" w:rsidP="00752CA0">
            <w:pPr>
              <w:spacing w:after="0"/>
              <w:rPr>
                <w:rFonts w:eastAsia="Times New Roman" w:cs="Times New Roman"/>
                <w:color w:val="000000"/>
                <w:sz w:val="20"/>
                <w:szCs w:val="20"/>
                <w:lang w:val="sr-Cyrl-RS" w:eastAsia="sr-Cyrl-RS"/>
              </w:rPr>
            </w:pPr>
          </w:p>
        </w:tc>
        <w:tc>
          <w:tcPr>
            <w:tcW w:w="1250" w:type="dxa"/>
            <w:vMerge w:val="restart"/>
            <w:tcBorders>
              <w:top w:val="single" w:sz="4" w:space="0" w:color="auto"/>
              <w:left w:val="single" w:sz="4" w:space="0" w:color="auto"/>
              <w:bottom w:val="single" w:sz="4" w:space="0" w:color="auto"/>
              <w:right w:val="single" w:sz="4" w:space="0" w:color="auto"/>
            </w:tcBorders>
          </w:tcPr>
          <w:p w14:paraId="591843AF" w14:textId="4929F321" w:rsidR="007C0842" w:rsidRPr="00EF2F18" w:rsidRDefault="007C0842" w:rsidP="00752CA0">
            <w:pPr>
              <w:spacing w:after="0"/>
              <w:jc w:val="right"/>
              <w:rPr>
                <w:rFonts w:eastAsia="Times New Roman" w:cs="Times New Roman"/>
                <w:color w:val="000000"/>
                <w:sz w:val="20"/>
                <w:szCs w:val="20"/>
                <w:lang w:val="sr-Cyrl-RS" w:eastAsia="sr-Cyrl-RS"/>
              </w:rPr>
            </w:pPr>
          </w:p>
        </w:tc>
        <w:tc>
          <w:tcPr>
            <w:tcW w:w="1260" w:type="dxa"/>
            <w:vMerge w:val="restart"/>
            <w:tcBorders>
              <w:top w:val="single" w:sz="4" w:space="0" w:color="auto"/>
              <w:left w:val="single" w:sz="4" w:space="0" w:color="auto"/>
              <w:bottom w:val="single" w:sz="4" w:space="0" w:color="auto"/>
              <w:right w:val="single" w:sz="4" w:space="0" w:color="auto"/>
            </w:tcBorders>
          </w:tcPr>
          <w:p w14:paraId="12E97355" w14:textId="419340CE" w:rsidR="007C0842" w:rsidRPr="00EF2F18" w:rsidRDefault="007C0842" w:rsidP="00752CA0">
            <w:pPr>
              <w:spacing w:after="0"/>
              <w:jc w:val="right"/>
              <w:rPr>
                <w:rFonts w:eastAsia="Times New Roman" w:cs="Times New Roman"/>
                <w:color w:val="000000"/>
                <w:sz w:val="20"/>
                <w:szCs w:val="20"/>
                <w:lang w:val="sr-Cyrl-RS" w:eastAsia="sr-Cyrl-RS"/>
              </w:rPr>
            </w:pPr>
          </w:p>
        </w:tc>
        <w:tc>
          <w:tcPr>
            <w:tcW w:w="1350" w:type="dxa"/>
            <w:vMerge w:val="restart"/>
            <w:tcBorders>
              <w:top w:val="single" w:sz="4" w:space="0" w:color="auto"/>
              <w:left w:val="single" w:sz="4" w:space="0" w:color="auto"/>
              <w:bottom w:val="single" w:sz="4" w:space="0" w:color="auto"/>
              <w:right w:val="single" w:sz="4" w:space="0" w:color="auto"/>
            </w:tcBorders>
          </w:tcPr>
          <w:p w14:paraId="20FA46CB" w14:textId="4856B60F" w:rsidR="007C0842" w:rsidRPr="00EF2F18" w:rsidRDefault="007C0842" w:rsidP="00752CA0">
            <w:pPr>
              <w:spacing w:after="0"/>
              <w:jc w:val="right"/>
              <w:rPr>
                <w:rFonts w:eastAsia="Times New Roman" w:cs="Times New Roman"/>
                <w:color w:val="000000"/>
                <w:sz w:val="20"/>
                <w:szCs w:val="20"/>
                <w:lang w:val="sr-Cyrl-RS" w:eastAsia="sr-Cyrl-RS"/>
              </w:rPr>
            </w:pPr>
          </w:p>
        </w:tc>
      </w:tr>
      <w:tr w:rsidR="007C0842" w:rsidRPr="00EF2F18" w14:paraId="6DE2CFC6" w14:textId="77777777" w:rsidTr="007C0842">
        <w:trPr>
          <w:trHeight w:val="7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5B667CD"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B8F227"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F2E6B01"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2CBDEF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355" w:type="dxa"/>
            <w:vMerge/>
            <w:tcBorders>
              <w:top w:val="single" w:sz="4" w:space="0" w:color="auto"/>
              <w:left w:val="single" w:sz="4" w:space="0" w:color="auto"/>
              <w:bottom w:val="single" w:sz="4" w:space="0" w:color="auto"/>
              <w:right w:val="single" w:sz="4" w:space="0" w:color="auto"/>
            </w:tcBorders>
            <w:vAlign w:val="center"/>
            <w:hideMark/>
          </w:tcPr>
          <w:p w14:paraId="023616F5"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339" w:type="dxa"/>
            <w:vMerge/>
            <w:tcBorders>
              <w:top w:val="single" w:sz="4" w:space="0" w:color="auto"/>
              <w:left w:val="single" w:sz="4" w:space="0" w:color="auto"/>
              <w:bottom w:val="single" w:sz="4" w:space="0" w:color="auto"/>
              <w:right w:val="single" w:sz="4" w:space="0" w:color="auto"/>
            </w:tcBorders>
            <w:vAlign w:val="center"/>
          </w:tcPr>
          <w:p w14:paraId="701B6B53"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50" w:type="dxa"/>
            <w:vMerge/>
            <w:tcBorders>
              <w:top w:val="single" w:sz="4" w:space="0" w:color="auto"/>
              <w:left w:val="single" w:sz="4" w:space="0" w:color="auto"/>
              <w:bottom w:val="single" w:sz="4" w:space="0" w:color="auto"/>
              <w:right w:val="single" w:sz="4" w:space="0" w:color="auto"/>
            </w:tcBorders>
            <w:vAlign w:val="center"/>
          </w:tcPr>
          <w:p w14:paraId="50B5335F"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52809DE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B357677"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3D0E6FC6" w14:textId="77777777" w:rsidR="007C0842" w:rsidRPr="00EF2F18" w:rsidRDefault="007C0842" w:rsidP="00752CA0">
            <w:pPr>
              <w:spacing w:after="0"/>
              <w:rPr>
                <w:rFonts w:eastAsia="Times New Roman" w:cs="Times New Roman"/>
                <w:color w:val="000000"/>
                <w:sz w:val="20"/>
                <w:szCs w:val="20"/>
                <w:lang w:val="sr-Cyrl-RS" w:eastAsia="sr-Cyrl-RS"/>
              </w:rPr>
            </w:pPr>
          </w:p>
        </w:tc>
      </w:tr>
    </w:tbl>
    <w:p w14:paraId="777F84B4" w14:textId="28CF9CD1" w:rsidR="007D7243" w:rsidRPr="00EF2F18" w:rsidRDefault="00ED19C2"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212EDAA" w14:textId="77777777" w:rsidR="007D7243" w:rsidRPr="00EF2F18" w:rsidRDefault="007D7243" w:rsidP="007D7243">
      <w:pPr>
        <w:spacing w:after="0"/>
        <w:rPr>
          <w:rFonts w:cs="Times New Roman"/>
          <w:sz w:val="20"/>
          <w:szCs w:val="20"/>
          <w:lang w:val="sr-Cyrl-RS"/>
        </w:rPr>
      </w:pPr>
    </w:p>
    <w:p w14:paraId="69D5E4B9" w14:textId="77777777" w:rsidR="006C4764" w:rsidRPr="00EF2F18" w:rsidRDefault="006C4764" w:rsidP="007D7243">
      <w:pPr>
        <w:spacing w:after="0"/>
        <w:rPr>
          <w:rFonts w:cs="Times New Roman"/>
          <w:sz w:val="20"/>
          <w:szCs w:val="20"/>
          <w:lang w:val="sr-Cyrl-RS"/>
        </w:rPr>
      </w:pPr>
    </w:p>
    <w:p w14:paraId="6FAB5928" w14:textId="77777777" w:rsidR="007620E6" w:rsidRPr="00EF2F18" w:rsidRDefault="007620E6" w:rsidP="007D7243">
      <w:pPr>
        <w:spacing w:after="0"/>
        <w:rPr>
          <w:rFonts w:cs="Times New Roman"/>
          <w:sz w:val="20"/>
          <w:szCs w:val="20"/>
          <w:lang w:val="sr-Cyrl-RS"/>
        </w:rPr>
      </w:pPr>
    </w:p>
    <w:p w14:paraId="57602C49" w14:textId="77777777" w:rsidR="007620E6" w:rsidRPr="00EF2F18" w:rsidRDefault="007620E6" w:rsidP="007D7243">
      <w:pPr>
        <w:spacing w:after="0"/>
        <w:rPr>
          <w:rFonts w:cs="Times New Roman"/>
          <w:sz w:val="20"/>
          <w:szCs w:val="20"/>
          <w:lang w:val="sr-Cyrl-RS"/>
        </w:rPr>
      </w:pPr>
    </w:p>
    <w:p w14:paraId="6ACA9CCE" w14:textId="77777777" w:rsidR="007620E6" w:rsidRPr="00EF2F18" w:rsidRDefault="007620E6" w:rsidP="007D7243">
      <w:pPr>
        <w:spacing w:after="0"/>
        <w:rPr>
          <w:rFonts w:cs="Times New Roman"/>
          <w:sz w:val="20"/>
          <w:szCs w:val="20"/>
          <w:lang w:val="sr-Cyrl-RS"/>
        </w:rPr>
      </w:pPr>
    </w:p>
    <w:p w14:paraId="4E19BEA9" w14:textId="77777777" w:rsidR="007620E6" w:rsidRPr="00EF2F18" w:rsidRDefault="007620E6" w:rsidP="007D7243">
      <w:pPr>
        <w:spacing w:after="0"/>
        <w:rPr>
          <w:rFonts w:cs="Times New Roman"/>
          <w:sz w:val="20"/>
          <w:szCs w:val="20"/>
          <w:lang w:val="sr-Cyrl-RS"/>
        </w:rPr>
      </w:pPr>
    </w:p>
    <w:p w14:paraId="379FDC29" w14:textId="77777777" w:rsidR="007620E6" w:rsidRPr="00EF2F18" w:rsidRDefault="007620E6" w:rsidP="007D7243">
      <w:pPr>
        <w:spacing w:after="0"/>
        <w:rPr>
          <w:rFonts w:cs="Times New Roman"/>
          <w:sz w:val="20"/>
          <w:szCs w:val="20"/>
          <w:lang w:val="sr-Cyrl-RS"/>
        </w:rPr>
      </w:pPr>
    </w:p>
    <w:p w14:paraId="170F52DA" w14:textId="77777777" w:rsidR="007620E6" w:rsidRPr="00EF2F18" w:rsidRDefault="007620E6" w:rsidP="007D7243">
      <w:pPr>
        <w:spacing w:after="0"/>
        <w:rPr>
          <w:rFonts w:cs="Times New Roman"/>
          <w:sz w:val="20"/>
          <w:szCs w:val="20"/>
          <w:lang w:val="sr-Cyrl-RS"/>
        </w:rPr>
      </w:pPr>
    </w:p>
    <w:tbl>
      <w:tblPr>
        <w:tblW w:w="13713" w:type="dxa"/>
        <w:tblCellMar>
          <w:top w:w="15" w:type="dxa"/>
        </w:tblCellMar>
        <w:tblLook w:val="04A0" w:firstRow="1" w:lastRow="0" w:firstColumn="1" w:lastColumn="0" w:noHBand="0" w:noVBand="1"/>
      </w:tblPr>
      <w:tblGrid>
        <w:gridCol w:w="3566"/>
        <w:gridCol w:w="1265"/>
        <w:gridCol w:w="1822"/>
        <w:gridCol w:w="1150"/>
        <w:gridCol w:w="1174"/>
        <w:gridCol w:w="1440"/>
        <w:gridCol w:w="1440"/>
        <w:gridCol w:w="1620"/>
        <w:gridCol w:w="10"/>
        <w:gridCol w:w="226"/>
      </w:tblGrid>
      <w:tr w:rsidR="007D7243" w:rsidRPr="00EF2F18" w14:paraId="51C1CFA4" w14:textId="77777777" w:rsidTr="007C0842">
        <w:trPr>
          <w:gridAfter w:val="1"/>
          <w:wAfter w:w="226" w:type="dxa"/>
          <w:trHeight w:val="336"/>
        </w:trPr>
        <w:tc>
          <w:tcPr>
            <w:tcW w:w="13487" w:type="dxa"/>
            <w:gridSpan w:val="9"/>
            <w:tcBorders>
              <w:top w:val="double" w:sz="6" w:space="0" w:color="auto"/>
              <w:left w:val="double" w:sz="6" w:space="0" w:color="auto"/>
              <w:bottom w:val="double" w:sz="6" w:space="0" w:color="auto"/>
              <w:right w:val="double" w:sz="6" w:space="0" w:color="auto"/>
            </w:tcBorders>
            <w:shd w:val="clear" w:color="000000" w:fill="C5E0B3"/>
            <w:vAlign w:val="center"/>
            <w:hideMark/>
          </w:tcPr>
          <w:p w14:paraId="0AC8BB30"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Посебан циљ 3.2: Унапређење квалитета вода кроз интегрално управљање водама уз ефективну контролу загађења</w:t>
            </w:r>
          </w:p>
        </w:tc>
      </w:tr>
      <w:tr w:rsidR="007D7243" w:rsidRPr="00EF2F18" w14:paraId="40601DD5" w14:textId="77777777" w:rsidTr="007C0842">
        <w:trPr>
          <w:gridAfter w:val="1"/>
          <w:wAfter w:w="226" w:type="dxa"/>
          <w:trHeight w:val="324"/>
        </w:trPr>
        <w:tc>
          <w:tcPr>
            <w:tcW w:w="13487" w:type="dxa"/>
            <w:gridSpan w:val="9"/>
            <w:tcBorders>
              <w:top w:val="double" w:sz="6" w:space="0" w:color="auto"/>
              <w:left w:val="double" w:sz="6" w:space="0" w:color="auto"/>
              <w:bottom w:val="double" w:sz="6" w:space="0" w:color="auto"/>
              <w:right w:val="double" w:sz="6" w:space="0" w:color="auto"/>
            </w:tcBorders>
            <w:shd w:val="clear" w:color="000000" w:fill="C5E0B3"/>
            <w:vAlign w:val="center"/>
            <w:hideMark/>
          </w:tcPr>
          <w:p w14:paraId="1347B10E"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 xml:space="preserve">Институција одговорна за координацију и извештавање: Министарство заштите животне средине </w:t>
            </w:r>
          </w:p>
        </w:tc>
      </w:tr>
      <w:tr w:rsidR="007C0842" w:rsidRPr="00EF2F18" w14:paraId="4286B224" w14:textId="77777777" w:rsidTr="007C0842">
        <w:trPr>
          <w:gridAfter w:val="2"/>
          <w:wAfter w:w="236" w:type="dxa"/>
          <w:trHeight w:val="468"/>
        </w:trPr>
        <w:tc>
          <w:tcPr>
            <w:tcW w:w="3566"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265539D"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265"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44582B4"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822"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39B416F9"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CE2114B"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17BE44FD"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583336D6"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3FCB828A"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D5BB6F4"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7C0842" w:rsidRPr="00EF2F18" w14:paraId="73C343BC" w14:textId="77777777" w:rsidTr="007C0842">
        <w:trPr>
          <w:trHeight w:val="324"/>
        </w:trPr>
        <w:tc>
          <w:tcPr>
            <w:tcW w:w="3566" w:type="dxa"/>
            <w:vMerge/>
            <w:tcBorders>
              <w:top w:val="double" w:sz="6" w:space="0" w:color="auto"/>
              <w:left w:val="double" w:sz="6" w:space="0" w:color="auto"/>
              <w:bottom w:val="double" w:sz="6" w:space="0" w:color="auto"/>
              <w:right w:val="double" w:sz="6" w:space="0" w:color="auto"/>
            </w:tcBorders>
            <w:vAlign w:val="center"/>
            <w:hideMark/>
          </w:tcPr>
          <w:p w14:paraId="446CE086"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1FEE5F88"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822" w:type="dxa"/>
            <w:vMerge/>
            <w:tcBorders>
              <w:top w:val="double" w:sz="6" w:space="0" w:color="auto"/>
              <w:left w:val="double" w:sz="6" w:space="0" w:color="auto"/>
              <w:bottom w:val="double" w:sz="6" w:space="0" w:color="auto"/>
              <w:right w:val="double" w:sz="6" w:space="0" w:color="auto"/>
            </w:tcBorders>
            <w:vAlign w:val="center"/>
            <w:hideMark/>
          </w:tcPr>
          <w:p w14:paraId="16D398A2"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4E93497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0376CA3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44B7A5E5"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5464265F"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2120DEBC"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050D8C12" w14:textId="77777777" w:rsidR="007C0842" w:rsidRPr="00EF2F18" w:rsidRDefault="007C0842" w:rsidP="00752CA0">
            <w:pPr>
              <w:spacing w:after="0"/>
              <w:jc w:val="center"/>
              <w:rPr>
                <w:rFonts w:eastAsia="Times New Roman" w:cs="Times New Roman"/>
                <w:color w:val="000000"/>
                <w:sz w:val="20"/>
                <w:szCs w:val="20"/>
                <w:lang w:val="sr-Cyrl-RS" w:eastAsia="sr-Cyrl-RS"/>
              </w:rPr>
            </w:pPr>
          </w:p>
        </w:tc>
      </w:tr>
      <w:tr w:rsidR="007C0842" w:rsidRPr="00EF2F18" w14:paraId="7F0544B3" w14:textId="77777777" w:rsidTr="007C0842">
        <w:trPr>
          <w:trHeight w:val="312"/>
        </w:trPr>
        <w:tc>
          <w:tcPr>
            <w:tcW w:w="3566"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50A8227"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становништва које користи пијаћу воду из система којима се безбедно управља</w:t>
            </w:r>
          </w:p>
        </w:tc>
        <w:tc>
          <w:tcPr>
            <w:tcW w:w="126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F2FD994"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822"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9BABA37"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РЗС, Извештај о SDG индикатор 6.1.1</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B869357"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75</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4CF55C2"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2020.</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7229FDF"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75</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65C0E7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75</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4A2FC7C"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80</w:t>
            </w:r>
          </w:p>
        </w:tc>
        <w:tc>
          <w:tcPr>
            <w:tcW w:w="236" w:type="dxa"/>
            <w:gridSpan w:val="2"/>
            <w:vAlign w:val="center"/>
            <w:hideMark/>
          </w:tcPr>
          <w:p w14:paraId="5BBD0F6A" w14:textId="77777777" w:rsidR="007C0842" w:rsidRPr="00EF2F18" w:rsidRDefault="007C0842" w:rsidP="00752CA0">
            <w:pPr>
              <w:spacing w:after="0"/>
              <w:rPr>
                <w:rFonts w:eastAsia="Times New Roman" w:cs="Times New Roman"/>
                <w:sz w:val="20"/>
                <w:szCs w:val="20"/>
                <w:lang w:val="sr-Cyrl-RS" w:eastAsia="sr-Cyrl-RS"/>
              </w:rPr>
            </w:pPr>
          </w:p>
        </w:tc>
      </w:tr>
      <w:tr w:rsidR="007C0842" w:rsidRPr="00EF2F18" w14:paraId="53314A1C" w14:textId="77777777" w:rsidTr="007C0842">
        <w:trPr>
          <w:trHeight w:val="312"/>
        </w:trPr>
        <w:tc>
          <w:tcPr>
            <w:tcW w:w="3566" w:type="dxa"/>
            <w:vMerge/>
            <w:tcBorders>
              <w:top w:val="double" w:sz="6" w:space="0" w:color="auto"/>
              <w:left w:val="double" w:sz="6" w:space="0" w:color="auto"/>
              <w:bottom w:val="double" w:sz="6" w:space="0" w:color="auto"/>
              <w:right w:val="double" w:sz="6" w:space="0" w:color="auto"/>
            </w:tcBorders>
            <w:vAlign w:val="center"/>
            <w:hideMark/>
          </w:tcPr>
          <w:p w14:paraId="08297626"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39A651A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822" w:type="dxa"/>
            <w:vMerge/>
            <w:tcBorders>
              <w:top w:val="double" w:sz="6" w:space="0" w:color="auto"/>
              <w:left w:val="double" w:sz="6" w:space="0" w:color="auto"/>
              <w:bottom w:val="double" w:sz="6" w:space="0" w:color="auto"/>
              <w:right w:val="double" w:sz="6" w:space="0" w:color="auto"/>
            </w:tcBorders>
            <w:vAlign w:val="center"/>
            <w:hideMark/>
          </w:tcPr>
          <w:p w14:paraId="3C97DA0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2892F36A"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2890F2F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25534CB3"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07B237F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5B189B8C"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5A142DE3" w14:textId="77777777" w:rsidR="007C0842" w:rsidRPr="00EF2F18" w:rsidRDefault="007C0842" w:rsidP="00752CA0">
            <w:pPr>
              <w:spacing w:after="0"/>
              <w:jc w:val="center"/>
              <w:rPr>
                <w:rFonts w:eastAsia="Times New Roman" w:cs="Times New Roman"/>
                <w:color w:val="000000"/>
                <w:sz w:val="20"/>
                <w:szCs w:val="20"/>
                <w:lang w:val="sr-Cyrl-RS" w:eastAsia="sr-Cyrl-RS"/>
              </w:rPr>
            </w:pPr>
          </w:p>
        </w:tc>
      </w:tr>
      <w:tr w:rsidR="007C0842" w:rsidRPr="00EF2F18" w14:paraId="2EB73643" w14:textId="77777777" w:rsidTr="007C0842">
        <w:trPr>
          <w:trHeight w:val="30"/>
        </w:trPr>
        <w:tc>
          <w:tcPr>
            <w:tcW w:w="3566" w:type="dxa"/>
            <w:vMerge/>
            <w:tcBorders>
              <w:top w:val="double" w:sz="6" w:space="0" w:color="auto"/>
              <w:left w:val="double" w:sz="6" w:space="0" w:color="auto"/>
              <w:bottom w:val="double" w:sz="6" w:space="0" w:color="auto"/>
              <w:right w:val="double" w:sz="6" w:space="0" w:color="auto"/>
            </w:tcBorders>
            <w:vAlign w:val="center"/>
            <w:hideMark/>
          </w:tcPr>
          <w:p w14:paraId="24F4FC8D"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658961AC"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822" w:type="dxa"/>
            <w:vMerge/>
            <w:tcBorders>
              <w:top w:val="double" w:sz="6" w:space="0" w:color="auto"/>
              <w:left w:val="double" w:sz="6" w:space="0" w:color="auto"/>
              <w:bottom w:val="double" w:sz="6" w:space="0" w:color="auto"/>
              <w:right w:val="double" w:sz="6" w:space="0" w:color="auto"/>
            </w:tcBorders>
            <w:vAlign w:val="center"/>
            <w:hideMark/>
          </w:tcPr>
          <w:p w14:paraId="6274E304"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393600FF"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67D109B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1A695481"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55DBABBC"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67582116"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3AFA485F" w14:textId="77777777" w:rsidR="007C0842" w:rsidRPr="00EF2F18" w:rsidRDefault="007C0842" w:rsidP="00752CA0">
            <w:pPr>
              <w:spacing w:after="0"/>
              <w:rPr>
                <w:rFonts w:eastAsia="Times New Roman" w:cs="Times New Roman"/>
                <w:sz w:val="20"/>
                <w:szCs w:val="20"/>
                <w:lang w:val="sr-Cyrl-RS" w:eastAsia="sr-Cyrl-RS"/>
              </w:rPr>
            </w:pPr>
          </w:p>
        </w:tc>
      </w:tr>
      <w:tr w:rsidR="007C0842" w:rsidRPr="00EF2F18" w14:paraId="6ECC9617" w14:textId="77777777" w:rsidTr="007C0842">
        <w:trPr>
          <w:trHeight w:val="468"/>
        </w:trPr>
        <w:tc>
          <w:tcPr>
            <w:tcW w:w="3566"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5A96256"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становништва прикључен на најмање секундарни третман за пречишћавање комуналних отпадних вода</w:t>
            </w:r>
          </w:p>
        </w:tc>
        <w:tc>
          <w:tcPr>
            <w:tcW w:w="126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E2E475A"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822"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073ED76"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РЗС, Извештај о SDG индикатор 6.3.1</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A69905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14,7</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ED28C6E"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2021.</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7991D18"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14,7</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7FDF8DC"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14,7</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540F347"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50</w:t>
            </w:r>
          </w:p>
        </w:tc>
        <w:tc>
          <w:tcPr>
            <w:tcW w:w="236" w:type="dxa"/>
            <w:gridSpan w:val="2"/>
            <w:vAlign w:val="center"/>
            <w:hideMark/>
          </w:tcPr>
          <w:p w14:paraId="47C1BF16" w14:textId="77777777" w:rsidR="007C0842" w:rsidRPr="00EF2F18" w:rsidRDefault="007C0842" w:rsidP="00752CA0">
            <w:pPr>
              <w:spacing w:after="0"/>
              <w:rPr>
                <w:rFonts w:eastAsia="Times New Roman" w:cs="Times New Roman"/>
                <w:sz w:val="20"/>
                <w:szCs w:val="20"/>
                <w:lang w:val="sr-Cyrl-RS" w:eastAsia="sr-Cyrl-RS"/>
              </w:rPr>
            </w:pPr>
          </w:p>
        </w:tc>
      </w:tr>
      <w:tr w:rsidR="007C0842" w:rsidRPr="00EF2F18" w14:paraId="43CC5EC5" w14:textId="77777777" w:rsidTr="007C0842">
        <w:trPr>
          <w:trHeight w:val="324"/>
        </w:trPr>
        <w:tc>
          <w:tcPr>
            <w:tcW w:w="3566" w:type="dxa"/>
            <w:vMerge/>
            <w:tcBorders>
              <w:top w:val="double" w:sz="6" w:space="0" w:color="auto"/>
              <w:left w:val="double" w:sz="6" w:space="0" w:color="auto"/>
              <w:bottom w:val="double" w:sz="6" w:space="0" w:color="auto"/>
              <w:right w:val="double" w:sz="6" w:space="0" w:color="auto"/>
            </w:tcBorders>
            <w:vAlign w:val="center"/>
            <w:hideMark/>
          </w:tcPr>
          <w:p w14:paraId="39A6EE29"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540B73D5"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822" w:type="dxa"/>
            <w:vMerge/>
            <w:tcBorders>
              <w:top w:val="double" w:sz="6" w:space="0" w:color="auto"/>
              <w:left w:val="double" w:sz="6" w:space="0" w:color="auto"/>
              <w:bottom w:val="double" w:sz="6" w:space="0" w:color="auto"/>
              <w:right w:val="double" w:sz="6" w:space="0" w:color="auto"/>
            </w:tcBorders>
            <w:vAlign w:val="center"/>
            <w:hideMark/>
          </w:tcPr>
          <w:p w14:paraId="5667A385"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60F909C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4CF9A0D7"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44ADF42D"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607D2CC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3D2AA9C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28BF0916" w14:textId="77777777" w:rsidR="007C0842" w:rsidRPr="00EF2F18" w:rsidRDefault="007C0842" w:rsidP="00752CA0">
            <w:pPr>
              <w:spacing w:after="0"/>
              <w:jc w:val="center"/>
              <w:rPr>
                <w:rFonts w:eastAsia="Times New Roman" w:cs="Times New Roman"/>
                <w:color w:val="000000"/>
                <w:sz w:val="20"/>
                <w:szCs w:val="20"/>
                <w:lang w:val="sr-Cyrl-RS" w:eastAsia="sr-Cyrl-RS"/>
              </w:rPr>
            </w:pPr>
          </w:p>
        </w:tc>
      </w:tr>
    </w:tbl>
    <w:p w14:paraId="125C73E0" w14:textId="77777777" w:rsidR="007D7243" w:rsidRPr="00EF2F18" w:rsidRDefault="007D7243" w:rsidP="007D7243">
      <w:pPr>
        <w:spacing w:after="0"/>
        <w:rPr>
          <w:rFonts w:cs="Times New Roman"/>
          <w:sz w:val="20"/>
          <w:szCs w:val="20"/>
          <w:lang w:val="sr-Cyrl-RS"/>
        </w:rPr>
      </w:pPr>
      <w:bookmarkStart w:id="168" w:name="_Hlk146302243"/>
    </w:p>
    <w:tbl>
      <w:tblPr>
        <w:tblW w:w="13477" w:type="dxa"/>
        <w:tblLook w:val="04A0" w:firstRow="1" w:lastRow="0" w:firstColumn="1" w:lastColumn="0" w:noHBand="0" w:noVBand="1"/>
      </w:tblPr>
      <w:tblGrid>
        <w:gridCol w:w="3320"/>
        <w:gridCol w:w="1280"/>
        <w:gridCol w:w="1280"/>
        <w:gridCol w:w="1000"/>
        <w:gridCol w:w="894"/>
        <w:gridCol w:w="1453"/>
        <w:gridCol w:w="1280"/>
        <w:gridCol w:w="1350"/>
        <w:gridCol w:w="1620"/>
      </w:tblGrid>
      <w:tr w:rsidR="007D7243" w:rsidRPr="00EF2F18" w14:paraId="5332491D" w14:textId="77777777" w:rsidTr="007C0842">
        <w:trPr>
          <w:trHeight w:val="528"/>
        </w:trPr>
        <w:tc>
          <w:tcPr>
            <w:tcW w:w="13477"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7FD616B6"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3.2.1: Изградња објеката за обезбеђење довољних количина воде одговарајућег квалитета за различите категорије корисника, пре свега за снабдевање водом становништва</w:t>
            </w:r>
          </w:p>
        </w:tc>
      </w:tr>
      <w:tr w:rsidR="007D7243" w:rsidRPr="00EF2F18" w14:paraId="69881421" w14:textId="77777777" w:rsidTr="007C0842">
        <w:trPr>
          <w:trHeight w:val="336"/>
        </w:trPr>
        <w:tc>
          <w:tcPr>
            <w:tcW w:w="13477"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4B2BC742"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грађевинарства, саобраћаја и инфраструктуре </w:t>
            </w:r>
          </w:p>
        </w:tc>
      </w:tr>
      <w:tr w:rsidR="007D7243" w:rsidRPr="00EF2F18" w14:paraId="2EFEFE4D" w14:textId="77777777" w:rsidTr="007C0842">
        <w:trPr>
          <w:trHeight w:val="336"/>
        </w:trPr>
        <w:tc>
          <w:tcPr>
            <w:tcW w:w="6880"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24791812" w14:textId="017802A4"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7C0842"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597"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549D3B7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p>
        </w:tc>
      </w:tr>
      <w:tr w:rsidR="007D7243" w:rsidRPr="00EF2F18" w14:paraId="3B180BFB" w14:textId="77777777" w:rsidTr="007C0842">
        <w:trPr>
          <w:trHeight w:val="336"/>
        </w:trPr>
        <w:tc>
          <w:tcPr>
            <w:tcW w:w="6880"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76EA10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597"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3A25115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7C0842" w:rsidRPr="00EF2F18" w14:paraId="4BBB6936" w14:textId="77777777" w:rsidTr="007C0842">
        <w:trPr>
          <w:trHeight w:val="816"/>
        </w:trPr>
        <w:tc>
          <w:tcPr>
            <w:tcW w:w="3320" w:type="dxa"/>
            <w:tcBorders>
              <w:top w:val="double" w:sz="6" w:space="0" w:color="auto"/>
              <w:left w:val="double" w:sz="6" w:space="0" w:color="auto"/>
              <w:bottom w:val="double" w:sz="6" w:space="0" w:color="auto"/>
              <w:right w:val="double" w:sz="6" w:space="0" w:color="auto"/>
            </w:tcBorders>
            <w:shd w:val="clear" w:color="000000" w:fill="D9D9D9"/>
            <w:hideMark/>
          </w:tcPr>
          <w:p w14:paraId="249064F1"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tcBorders>
              <w:top w:val="double" w:sz="6" w:space="0" w:color="auto"/>
              <w:left w:val="double" w:sz="6" w:space="0" w:color="auto"/>
              <w:bottom w:val="double" w:sz="6" w:space="0" w:color="auto"/>
              <w:right w:val="double" w:sz="6" w:space="0" w:color="auto"/>
            </w:tcBorders>
            <w:shd w:val="clear" w:color="000000" w:fill="D9D9D9"/>
            <w:hideMark/>
          </w:tcPr>
          <w:p w14:paraId="527D3356"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tcBorders>
              <w:top w:val="double" w:sz="6" w:space="0" w:color="auto"/>
              <w:left w:val="double" w:sz="6" w:space="0" w:color="auto"/>
              <w:bottom w:val="double" w:sz="6" w:space="0" w:color="auto"/>
              <w:right w:val="double" w:sz="6" w:space="0" w:color="auto"/>
            </w:tcBorders>
            <w:shd w:val="clear" w:color="000000" w:fill="D9D9D9"/>
            <w:hideMark/>
          </w:tcPr>
          <w:p w14:paraId="28275684"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94"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082ECB7E"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53" w:type="dxa"/>
            <w:tcBorders>
              <w:top w:val="double" w:sz="6" w:space="0" w:color="auto"/>
              <w:left w:val="double" w:sz="6" w:space="0" w:color="auto"/>
              <w:bottom w:val="double" w:sz="6" w:space="0" w:color="auto"/>
              <w:right w:val="double" w:sz="6" w:space="0" w:color="auto"/>
            </w:tcBorders>
            <w:shd w:val="clear" w:color="000000" w:fill="D9D9D9"/>
            <w:hideMark/>
          </w:tcPr>
          <w:p w14:paraId="06414378"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80" w:type="dxa"/>
            <w:tcBorders>
              <w:top w:val="double" w:sz="6" w:space="0" w:color="auto"/>
              <w:left w:val="double" w:sz="6" w:space="0" w:color="auto"/>
              <w:bottom w:val="double" w:sz="6" w:space="0" w:color="auto"/>
              <w:right w:val="double" w:sz="6" w:space="0" w:color="auto"/>
            </w:tcBorders>
            <w:shd w:val="clear" w:color="000000" w:fill="D9D9D9"/>
            <w:hideMark/>
          </w:tcPr>
          <w:p w14:paraId="18764B9E"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tcBorders>
              <w:top w:val="double" w:sz="6" w:space="0" w:color="auto"/>
              <w:left w:val="double" w:sz="6" w:space="0" w:color="auto"/>
              <w:bottom w:val="double" w:sz="6" w:space="0" w:color="auto"/>
              <w:right w:val="double" w:sz="6" w:space="0" w:color="auto"/>
            </w:tcBorders>
            <w:shd w:val="clear" w:color="000000" w:fill="D9D9D9"/>
            <w:hideMark/>
          </w:tcPr>
          <w:p w14:paraId="0D3FB36F"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tcBorders>
              <w:top w:val="double" w:sz="6" w:space="0" w:color="auto"/>
              <w:left w:val="double" w:sz="6" w:space="0" w:color="auto"/>
              <w:bottom w:val="double" w:sz="6" w:space="0" w:color="auto"/>
              <w:right w:val="double" w:sz="6" w:space="0" w:color="auto"/>
            </w:tcBorders>
            <w:shd w:val="clear" w:color="000000" w:fill="D9D9D9"/>
            <w:hideMark/>
          </w:tcPr>
          <w:p w14:paraId="5FD3644B"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7C0842" w:rsidRPr="00EF2F18" w14:paraId="3C7AD199" w14:textId="77777777" w:rsidTr="007C0842">
        <w:trPr>
          <w:trHeight w:val="468"/>
        </w:trPr>
        <w:tc>
          <w:tcPr>
            <w:tcW w:w="332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FC01FE5" w14:textId="77777777" w:rsidR="007C0842" w:rsidRPr="00EF2F18" w:rsidRDefault="007C0842"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Удео водовода који испуњавају захтеване критеријуме здравствене исправности воде за пиће</w:t>
            </w:r>
          </w:p>
        </w:tc>
        <w:tc>
          <w:tcPr>
            <w:tcW w:w="128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89487E2"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52DADF6" w14:textId="68A67EC4"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Годишњи извештај ИЗЈЗС, МЗ </w:t>
            </w:r>
          </w:p>
        </w:tc>
        <w:tc>
          <w:tcPr>
            <w:tcW w:w="1894" w:type="dxa"/>
            <w:gridSpan w:val="2"/>
            <w:vMerge w:val="restart"/>
            <w:tcBorders>
              <w:top w:val="double" w:sz="6" w:space="0" w:color="auto"/>
              <w:left w:val="double" w:sz="6" w:space="0" w:color="auto"/>
              <w:bottom w:val="double" w:sz="6" w:space="0" w:color="auto"/>
              <w:right w:val="double" w:sz="6" w:space="0" w:color="auto"/>
            </w:tcBorders>
            <w:shd w:val="clear" w:color="000000" w:fill="FFFFFF"/>
            <w:hideMark/>
          </w:tcPr>
          <w:p w14:paraId="34778D6F"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79,6</w:t>
            </w:r>
          </w:p>
        </w:tc>
        <w:tc>
          <w:tcPr>
            <w:tcW w:w="1453"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979B7B5"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2018.</w:t>
            </w:r>
          </w:p>
        </w:tc>
        <w:tc>
          <w:tcPr>
            <w:tcW w:w="128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2D3DD23"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79,6</w:t>
            </w:r>
          </w:p>
        </w:tc>
        <w:tc>
          <w:tcPr>
            <w:tcW w:w="1350" w:type="dxa"/>
            <w:tcBorders>
              <w:top w:val="double" w:sz="6" w:space="0" w:color="auto"/>
              <w:left w:val="double" w:sz="6" w:space="0" w:color="auto"/>
              <w:right w:val="double" w:sz="6" w:space="0" w:color="auto"/>
            </w:tcBorders>
            <w:shd w:val="clear" w:color="000000" w:fill="FFFFFF"/>
            <w:hideMark/>
          </w:tcPr>
          <w:p w14:paraId="34D73C64"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79,6</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0349667"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90</w:t>
            </w:r>
          </w:p>
        </w:tc>
      </w:tr>
      <w:tr w:rsidR="007C0842" w:rsidRPr="00EF2F18" w14:paraId="5500A5C1" w14:textId="77777777" w:rsidTr="007620E6">
        <w:trPr>
          <w:trHeight w:val="99"/>
        </w:trPr>
        <w:tc>
          <w:tcPr>
            <w:tcW w:w="3320" w:type="dxa"/>
            <w:vMerge/>
            <w:tcBorders>
              <w:left w:val="double" w:sz="6" w:space="0" w:color="auto"/>
              <w:bottom w:val="double" w:sz="6" w:space="0" w:color="auto"/>
              <w:right w:val="double" w:sz="6" w:space="0" w:color="auto"/>
            </w:tcBorders>
            <w:vAlign w:val="center"/>
            <w:hideMark/>
          </w:tcPr>
          <w:p w14:paraId="4EC7AECD"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80" w:type="dxa"/>
            <w:vMerge/>
            <w:tcBorders>
              <w:left w:val="double" w:sz="6" w:space="0" w:color="auto"/>
              <w:bottom w:val="double" w:sz="6" w:space="0" w:color="auto"/>
              <w:right w:val="double" w:sz="6" w:space="0" w:color="auto"/>
            </w:tcBorders>
            <w:vAlign w:val="center"/>
            <w:hideMark/>
          </w:tcPr>
          <w:p w14:paraId="5D89CE9B"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80" w:type="dxa"/>
            <w:vMerge/>
            <w:tcBorders>
              <w:left w:val="double" w:sz="6" w:space="0" w:color="auto"/>
              <w:bottom w:val="double" w:sz="6" w:space="0" w:color="auto"/>
              <w:right w:val="double" w:sz="6" w:space="0" w:color="auto"/>
            </w:tcBorders>
            <w:vAlign w:val="center"/>
            <w:hideMark/>
          </w:tcPr>
          <w:p w14:paraId="0AC7EBE0"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894" w:type="dxa"/>
            <w:gridSpan w:val="2"/>
            <w:vMerge/>
            <w:tcBorders>
              <w:left w:val="double" w:sz="6" w:space="0" w:color="auto"/>
              <w:bottom w:val="double" w:sz="6" w:space="0" w:color="auto"/>
              <w:right w:val="double" w:sz="6" w:space="0" w:color="auto"/>
            </w:tcBorders>
            <w:vAlign w:val="center"/>
            <w:hideMark/>
          </w:tcPr>
          <w:p w14:paraId="32B0A281"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453" w:type="dxa"/>
            <w:vMerge/>
            <w:tcBorders>
              <w:top w:val="double" w:sz="6" w:space="0" w:color="auto"/>
              <w:left w:val="double" w:sz="6" w:space="0" w:color="auto"/>
              <w:bottom w:val="double" w:sz="6" w:space="0" w:color="auto"/>
              <w:right w:val="double" w:sz="6" w:space="0" w:color="auto"/>
            </w:tcBorders>
            <w:vAlign w:val="center"/>
            <w:hideMark/>
          </w:tcPr>
          <w:p w14:paraId="3D56F632"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280" w:type="dxa"/>
            <w:vMerge/>
            <w:tcBorders>
              <w:top w:val="double" w:sz="6" w:space="0" w:color="auto"/>
              <w:left w:val="double" w:sz="6" w:space="0" w:color="auto"/>
              <w:bottom w:val="double" w:sz="6" w:space="0" w:color="auto"/>
              <w:right w:val="double" w:sz="6" w:space="0" w:color="auto"/>
            </w:tcBorders>
            <w:vAlign w:val="center"/>
            <w:hideMark/>
          </w:tcPr>
          <w:p w14:paraId="5CF31B35"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1350" w:type="dxa"/>
            <w:tcBorders>
              <w:left w:val="double" w:sz="6" w:space="0" w:color="auto"/>
              <w:bottom w:val="double" w:sz="6" w:space="0" w:color="auto"/>
              <w:right w:val="double" w:sz="6" w:space="0" w:color="auto"/>
            </w:tcBorders>
            <w:shd w:val="clear" w:color="000000" w:fill="FFFFFF"/>
            <w:hideMark/>
          </w:tcPr>
          <w:p w14:paraId="7567A508" w14:textId="77777777"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24330983" w14:textId="77777777" w:rsidR="007C0842" w:rsidRPr="00EF2F18" w:rsidRDefault="007C0842" w:rsidP="00752CA0">
            <w:pPr>
              <w:spacing w:after="0"/>
              <w:rPr>
                <w:rFonts w:eastAsia="Times New Roman" w:cs="Times New Roman"/>
                <w:color w:val="000000"/>
                <w:sz w:val="20"/>
                <w:szCs w:val="20"/>
                <w:lang w:val="sr-Cyrl-RS" w:eastAsia="sr-Cyrl-RS"/>
              </w:rPr>
            </w:pPr>
          </w:p>
        </w:tc>
      </w:tr>
    </w:tbl>
    <w:p w14:paraId="14E3BBAD" w14:textId="77777777" w:rsidR="007D7243" w:rsidRPr="00EF2F18" w:rsidRDefault="007D7243" w:rsidP="007D7243">
      <w:pPr>
        <w:spacing w:after="0"/>
        <w:rPr>
          <w:lang w:val="sr-Cyrl-RS"/>
        </w:rPr>
      </w:pPr>
    </w:p>
    <w:tbl>
      <w:tblPr>
        <w:tblW w:w="13494" w:type="dxa"/>
        <w:tblLook w:val="04A0" w:firstRow="1" w:lastRow="0" w:firstColumn="1" w:lastColumn="0" w:noHBand="0" w:noVBand="1"/>
      </w:tblPr>
      <w:tblGrid>
        <w:gridCol w:w="3800"/>
        <w:gridCol w:w="2414"/>
        <w:gridCol w:w="2493"/>
        <w:gridCol w:w="2340"/>
        <w:gridCol w:w="2430"/>
        <w:gridCol w:w="17"/>
      </w:tblGrid>
      <w:tr w:rsidR="007D7243" w:rsidRPr="00EF2F18" w14:paraId="26EDD826" w14:textId="77777777" w:rsidTr="00752CA0">
        <w:trPr>
          <w:trHeight w:val="336"/>
        </w:trPr>
        <w:tc>
          <w:tcPr>
            <w:tcW w:w="3800" w:type="dxa"/>
            <w:vMerge w:val="restart"/>
            <w:tcBorders>
              <w:top w:val="double" w:sz="6" w:space="0" w:color="auto"/>
              <w:left w:val="double" w:sz="6" w:space="0" w:color="auto"/>
              <w:bottom w:val="double" w:sz="6" w:space="0" w:color="auto"/>
              <w:right w:val="double" w:sz="6" w:space="0" w:color="auto"/>
            </w:tcBorders>
            <w:shd w:val="clear" w:color="000000" w:fill="A8D08D"/>
            <w:hideMark/>
          </w:tcPr>
          <w:p w14:paraId="7FA3982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14" w:type="dxa"/>
            <w:vMerge w:val="restart"/>
            <w:tcBorders>
              <w:top w:val="double" w:sz="6" w:space="0" w:color="auto"/>
              <w:left w:val="double" w:sz="6" w:space="0" w:color="auto"/>
              <w:bottom w:val="double" w:sz="6" w:space="0" w:color="auto"/>
              <w:right w:val="double" w:sz="6" w:space="0" w:color="auto"/>
            </w:tcBorders>
            <w:shd w:val="clear" w:color="000000" w:fill="A8D08D"/>
            <w:hideMark/>
          </w:tcPr>
          <w:p w14:paraId="4211659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4"/>
            <w:tcBorders>
              <w:top w:val="double" w:sz="6" w:space="0" w:color="auto"/>
              <w:left w:val="nil"/>
              <w:bottom w:val="double" w:sz="6" w:space="0" w:color="auto"/>
              <w:right w:val="double" w:sz="6" w:space="0" w:color="auto"/>
            </w:tcBorders>
            <w:shd w:val="clear" w:color="000000" w:fill="A8D08D"/>
            <w:hideMark/>
          </w:tcPr>
          <w:p w14:paraId="30722B2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7C0842" w:rsidRPr="00EF2F18" w14:paraId="5FCD2CE0" w14:textId="77777777" w:rsidTr="007C0842">
        <w:trPr>
          <w:gridAfter w:val="1"/>
          <w:wAfter w:w="17" w:type="dxa"/>
          <w:trHeight w:val="336"/>
        </w:trPr>
        <w:tc>
          <w:tcPr>
            <w:tcW w:w="3800" w:type="dxa"/>
            <w:vMerge/>
            <w:tcBorders>
              <w:top w:val="double" w:sz="6" w:space="0" w:color="auto"/>
              <w:left w:val="double" w:sz="6" w:space="0" w:color="auto"/>
              <w:bottom w:val="double" w:sz="6" w:space="0" w:color="auto"/>
              <w:right w:val="double" w:sz="6" w:space="0" w:color="auto"/>
            </w:tcBorders>
            <w:vAlign w:val="center"/>
            <w:hideMark/>
          </w:tcPr>
          <w:p w14:paraId="0D89FC01"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414" w:type="dxa"/>
            <w:vMerge/>
            <w:tcBorders>
              <w:top w:val="double" w:sz="6" w:space="0" w:color="auto"/>
              <w:left w:val="double" w:sz="6" w:space="0" w:color="auto"/>
              <w:bottom w:val="double" w:sz="6" w:space="0" w:color="auto"/>
              <w:right w:val="double" w:sz="6" w:space="0" w:color="auto"/>
            </w:tcBorders>
            <w:vAlign w:val="center"/>
            <w:hideMark/>
          </w:tcPr>
          <w:p w14:paraId="01956FCF" w14:textId="77777777" w:rsidR="007C0842" w:rsidRPr="00EF2F18" w:rsidRDefault="007C0842" w:rsidP="00752CA0">
            <w:pPr>
              <w:spacing w:after="0"/>
              <w:rPr>
                <w:rFonts w:eastAsia="Times New Roman" w:cs="Times New Roman"/>
                <w:color w:val="000000"/>
                <w:sz w:val="20"/>
                <w:szCs w:val="20"/>
                <w:lang w:val="sr-Cyrl-RS" w:eastAsia="sr-Cyrl-RS"/>
              </w:rPr>
            </w:pPr>
          </w:p>
        </w:tc>
        <w:tc>
          <w:tcPr>
            <w:tcW w:w="2493" w:type="dxa"/>
            <w:tcBorders>
              <w:top w:val="double" w:sz="6" w:space="0" w:color="auto"/>
              <w:left w:val="nil"/>
              <w:bottom w:val="double" w:sz="6" w:space="0" w:color="auto"/>
              <w:right w:val="double" w:sz="6" w:space="0" w:color="auto"/>
            </w:tcBorders>
            <w:shd w:val="clear" w:color="000000" w:fill="A8D08D"/>
            <w:hideMark/>
          </w:tcPr>
          <w:p w14:paraId="594F4124" w14:textId="5E509597" w:rsidR="007C0842" w:rsidRPr="00EF2F18" w:rsidRDefault="00093056" w:rsidP="00093056">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w:t>
            </w:r>
            <w:r w:rsidR="007C0842" w:rsidRPr="00EF2F18">
              <w:rPr>
                <w:rFonts w:eastAsia="Times New Roman" w:cs="Times New Roman"/>
                <w:sz w:val="20"/>
                <w:szCs w:val="20"/>
                <w:lang w:val="sr-Cyrl-RS" w:eastAsia="sr-Cyrl-RS"/>
              </w:rPr>
              <w:t xml:space="preserve"> 2026. године</w:t>
            </w:r>
          </w:p>
        </w:tc>
        <w:tc>
          <w:tcPr>
            <w:tcW w:w="2340" w:type="dxa"/>
            <w:tcBorders>
              <w:top w:val="double" w:sz="6" w:space="0" w:color="auto"/>
              <w:left w:val="nil"/>
              <w:bottom w:val="double" w:sz="6" w:space="0" w:color="auto"/>
              <w:right w:val="double" w:sz="6" w:space="0" w:color="auto"/>
            </w:tcBorders>
            <w:shd w:val="clear" w:color="000000" w:fill="A8D08D"/>
            <w:hideMark/>
          </w:tcPr>
          <w:p w14:paraId="5082E73B" w14:textId="7515E32C"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430" w:type="dxa"/>
            <w:tcBorders>
              <w:top w:val="double" w:sz="6" w:space="0" w:color="auto"/>
              <w:left w:val="nil"/>
              <w:bottom w:val="double" w:sz="6" w:space="0" w:color="auto"/>
              <w:right w:val="double" w:sz="6" w:space="0" w:color="auto"/>
            </w:tcBorders>
            <w:shd w:val="clear" w:color="000000" w:fill="A8D08D"/>
            <w:hideMark/>
          </w:tcPr>
          <w:p w14:paraId="48EDA484" w14:textId="4D5A7841" w:rsidR="007C0842" w:rsidRPr="00EF2F18" w:rsidRDefault="007C0842"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7C0842" w:rsidRPr="00EF2F18" w14:paraId="0D98BA15" w14:textId="77777777" w:rsidTr="007C0842">
        <w:trPr>
          <w:gridAfter w:val="1"/>
          <w:wAfter w:w="17" w:type="dxa"/>
          <w:trHeight w:val="324"/>
        </w:trPr>
        <w:tc>
          <w:tcPr>
            <w:tcW w:w="3800" w:type="dxa"/>
            <w:tcBorders>
              <w:top w:val="double" w:sz="6" w:space="0" w:color="auto"/>
              <w:left w:val="double" w:sz="6" w:space="0" w:color="auto"/>
              <w:right w:val="double" w:sz="6" w:space="0" w:color="auto"/>
            </w:tcBorders>
            <w:vAlign w:val="center"/>
            <w:hideMark/>
          </w:tcPr>
          <w:p w14:paraId="5D3F6DCE" w14:textId="77777777"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(МПШВ)</w:t>
            </w:r>
          </w:p>
        </w:tc>
        <w:tc>
          <w:tcPr>
            <w:tcW w:w="2414" w:type="dxa"/>
            <w:tcBorders>
              <w:top w:val="double" w:sz="6" w:space="0" w:color="auto"/>
              <w:left w:val="nil"/>
              <w:bottom w:val="double" w:sz="6" w:space="0" w:color="auto"/>
              <w:right w:val="double" w:sz="6" w:space="0" w:color="auto"/>
            </w:tcBorders>
            <w:vAlign w:val="center"/>
          </w:tcPr>
          <w:p w14:paraId="056C10A5" w14:textId="084821A3" w:rsidR="007C0842" w:rsidRPr="00EF2F18" w:rsidRDefault="007C0842" w:rsidP="007D4E98">
            <w:pPr>
              <w:spacing w:after="0"/>
              <w:rPr>
                <w:sz w:val="20"/>
                <w:szCs w:val="20"/>
                <w:lang w:val="sr-Cyrl-RS"/>
              </w:rPr>
            </w:pPr>
            <w:r w:rsidRPr="00EF2F18">
              <w:rPr>
                <w:sz w:val="20"/>
                <w:szCs w:val="20"/>
                <w:lang w:val="sr-Cyrl-RS"/>
              </w:rPr>
              <w:t>0401-630-0002-463</w:t>
            </w:r>
          </w:p>
          <w:p w14:paraId="65646F45" w14:textId="5B062422" w:rsidR="007C0842" w:rsidRPr="00EF2F18" w:rsidRDefault="007C0842" w:rsidP="007D4E98">
            <w:pPr>
              <w:spacing w:after="0"/>
              <w:rPr>
                <w:rFonts w:eastAsia="Times New Roman" w:cs="Times New Roman"/>
                <w:color w:val="000000"/>
                <w:sz w:val="20"/>
                <w:szCs w:val="20"/>
                <w:lang w:val="sr-Cyrl-RS" w:eastAsia="sr-Cyrl-RS"/>
              </w:rPr>
            </w:pPr>
            <w:r w:rsidRPr="00EF2F18">
              <w:rPr>
                <w:color w:val="000000"/>
                <w:sz w:val="20"/>
                <w:szCs w:val="20"/>
                <w:lang w:val="sr-Cyrl-RS"/>
              </w:rPr>
              <w:t>0401-630-0002-511</w:t>
            </w:r>
          </w:p>
        </w:tc>
        <w:tc>
          <w:tcPr>
            <w:tcW w:w="2493" w:type="dxa"/>
            <w:tcBorders>
              <w:top w:val="double" w:sz="6" w:space="0" w:color="auto"/>
              <w:left w:val="nil"/>
              <w:bottom w:val="double" w:sz="6" w:space="0" w:color="auto"/>
              <w:right w:val="double" w:sz="6" w:space="0" w:color="auto"/>
            </w:tcBorders>
            <w:vAlign w:val="center"/>
          </w:tcPr>
          <w:p w14:paraId="797AFEEA" w14:textId="76D1FBC1" w:rsidR="007C0842" w:rsidRPr="00EF2F18" w:rsidRDefault="004003BA"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34.413</w:t>
            </w:r>
          </w:p>
          <w:p w14:paraId="799DC984" w14:textId="5EB32C59" w:rsidR="007C0842" w:rsidRPr="00EF2F18" w:rsidRDefault="00CA384B"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28.800</w:t>
            </w:r>
          </w:p>
        </w:tc>
        <w:tc>
          <w:tcPr>
            <w:tcW w:w="2340" w:type="dxa"/>
            <w:tcBorders>
              <w:top w:val="double" w:sz="6" w:space="0" w:color="auto"/>
              <w:left w:val="nil"/>
              <w:bottom w:val="double" w:sz="6" w:space="0" w:color="auto"/>
              <w:right w:val="double" w:sz="6" w:space="0" w:color="auto"/>
            </w:tcBorders>
            <w:vAlign w:val="center"/>
          </w:tcPr>
          <w:p w14:paraId="02F5AE1D" w14:textId="3828E3B8" w:rsidR="007C0842" w:rsidRPr="00EF2F18" w:rsidRDefault="00CA384B"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124.296</w:t>
            </w:r>
          </w:p>
          <w:p w14:paraId="3548BC13" w14:textId="303609D0" w:rsidR="00CA384B" w:rsidRPr="00EF2F18" w:rsidRDefault="00CA384B" w:rsidP="007D4E98">
            <w:pPr>
              <w:spacing w:after="0"/>
              <w:jc w:val="right"/>
              <w:rPr>
                <w:rFonts w:eastAsia="Times New Roman" w:cs="Times New Roman"/>
                <w:color w:val="000000"/>
                <w:sz w:val="20"/>
                <w:szCs w:val="20"/>
                <w:highlight w:val="red"/>
                <w:lang w:val="sr-Cyrl-RS" w:eastAsia="sr-Cyrl-RS"/>
              </w:rPr>
            </w:pPr>
            <w:r w:rsidRPr="00EF2F18">
              <w:rPr>
                <w:rFonts w:eastAsia="Times New Roman" w:cs="Times New Roman"/>
                <w:color w:val="000000" w:themeColor="text1"/>
                <w:sz w:val="20"/>
                <w:szCs w:val="20"/>
                <w:lang w:val="sr-Cyrl-RS" w:eastAsia="sr-Cyrl-RS"/>
              </w:rPr>
              <w:t>99.368</w:t>
            </w:r>
          </w:p>
        </w:tc>
        <w:tc>
          <w:tcPr>
            <w:tcW w:w="2430" w:type="dxa"/>
            <w:tcBorders>
              <w:top w:val="double" w:sz="6" w:space="0" w:color="auto"/>
              <w:left w:val="nil"/>
              <w:bottom w:val="double" w:sz="6" w:space="0" w:color="auto"/>
              <w:right w:val="double" w:sz="6" w:space="0" w:color="auto"/>
            </w:tcBorders>
            <w:vAlign w:val="center"/>
          </w:tcPr>
          <w:p w14:paraId="29F34E93" w14:textId="77777777" w:rsidR="00FD47DE" w:rsidRPr="00EF2F18" w:rsidRDefault="00FD47DE" w:rsidP="00FD47DE">
            <w:pPr>
              <w:spacing w:after="0"/>
              <w:jc w:val="right"/>
              <w:rPr>
                <w:rFonts w:eastAsia="Times New Roman" w:cs="Times New Roman"/>
                <w:color w:val="000000"/>
                <w:sz w:val="20"/>
                <w:szCs w:val="20"/>
                <w:highlight w:val="red"/>
                <w:lang w:val="sr-Cyrl-RS" w:eastAsia="sr-Cyrl-RS"/>
              </w:rPr>
            </w:pPr>
            <w:r w:rsidRPr="00EF2F18">
              <w:rPr>
                <w:rFonts w:eastAsia="Times New Roman" w:cs="Times New Roman"/>
                <w:color w:val="000000"/>
                <w:sz w:val="20"/>
                <w:szCs w:val="20"/>
                <w:lang w:val="sr-Cyrl-RS" w:eastAsia="sr-Cyrl-RS"/>
              </w:rPr>
              <w:t>124.296</w:t>
            </w:r>
          </w:p>
          <w:p w14:paraId="4263E6C4" w14:textId="35022BD9" w:rsidR="007C0842" w:rsidRPr="00EF2F18" w:rsidRDefault="00FD47DE" w:rsidP="00FD47DE">
            <w:pPr>
              <w:spacing w:after="0"/>
              <w:rPr>
                <w:rFonts w:eastAsia="Times New Roman" w:cs="Times New Roman"/>
                <w:color w:val="000000"/>
                <w:sz w:val="20"/>
                <w:szCs w:val="20"/>
                <w:highlight w:val="red"/>
                <w:lang w:val="sr-Cyrl-RS" w:eastAsia="sr-Cyrl-RS"/>
              </w:rPr>
            </w:pPr>
            <w:r w:rsidRPr="00EF2F18">
              <w:rPr>
                <w:rFonts w:eastAsia="Times New Roman" w:cs="Times New Roman"/>
                <w:color w:val="000000" w:themeColor="text1"/>
                <w:sz w:val="20"/>
                <w:szCs w:val="20"/>
                <w:lang w:val="sr-Cyrl-RS" w:eastAsia="sr-Cyrl-RS"/>
              </w:rPr>
              <w:t xml:space="preserve">                                 </w:t>
            </w:r>
            <w:r w:rsidR="00CA384B" w:rsidRPr="00EF2F18">
              <w:rPr>
                <w:rFonts w:eastAsia="Times New Roman" w:cs="Times New Roman"/>
                <w:color w:val="000000" w:themeColor="text1"/>
                <w:sz w:val="20"/>
                <w:szCs w:val="20"/>
                <w:lang w:val="sr-Cyrl-RS" w:eastAsia="sr-Cyrl-RS"/>
              </w:rPr>
              <w:t>99.368</w:t>
            </w:r>
          </w:p>
        </w:tc>
      </w:tr>
      <w:tr w:rsidR="007C0842" w:rsidRPr="00EF2F18" w14:paraId="609C759E" w14:textId="77777777" w:rsidTr="007C0842">
        <w:trPr>
          <w:gridAfter w:val="1"/>
          <w:wAfter w:w="17" w:type="dxa"/>
          <w:trHeight w:val="324"/>
        </w:trPr>
        <w:tc>
          <w:tcPr>
            <w:tcW w:w="3800" w:type="dxa"/>
            <w:vMerge w:val="restart"/>
            <w:tcBorders>
              <w:top w:val="double" w:sz="6" w:space="0" w:color="auto"/>
              <w:left w:val="double" w:sz="6" w:space="0" w:color="auto"/>
              <w:bottom w:val="double" w:sz="6" w:space="0" w:color="auto"/>
              <w:right w:val="double" w:sz="6" w:space="0" w:color="auto"/>
            </w:tcBorders>
            <w:vAlign w:val="center"/>
            <w:hideMark/>
          </w:tcPr>
          <w:p w14:paraId="3727790B" w14:textId="77777777"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Буџетска средства (МЗ)</w:t>
            </w:r>
          </w:p>
        </w:tc>
        <w:tc>
          <w:tcPr>
            <w:tcW w:w="2414" w:type="dxa"/>
            <w:tcBorders>
              <w:top w:val="double" w:sz="6" w:space="0" w:color="auto"/>
              <w:left w:val="nil"/>
              <w:right w:val="double" w:sz="6" w:space="0" w:color="auto"/>
            </w:tcBorders>
            <w:hideMark/>
          </w:tcPr>
          <w:p w14:paraId="005B646E" w14:textId="3A5856CE"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1802-760-0001-465</w:t>
            </w:r>
          </w:p>
        </w:tc>
        <w:tc>
          <w:tcPr>
            <w:tcW w:w="2493" w:type="dxa"/>
            <w:vMerge w:val="restart"/>
            <w:tcBorders>
              <w:top w:val="double" w:sz="6" w:space="0" w:color="auto"/>
              <w:left w:val="double" w:sz="6" w:space="0" w:color="auto"/>
              <w:bottom w:val="double" w:sz="6" w:space="0" w:color="auto"/>
              <w:right w:val="double" w:sz="6" w:space="0" w:color="auto"/>
            </w:tcBorders>
            <w:hideMark/>
          </w:tcPr>
          <w:p w14:paraId="49B5D2C4" w14:textId="77777777" w:rsidR="007C0842" w:rsidRPr="00EF2F18" w:rsidRDefault="007C0842" w:rsidP="00AA7B6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57.410</w:t>
            </w:r>
          </w:p>
          <w:p w14:paraId="053FEA59" w14:textId="77777777" w:rsidR="007C0842" w:rsidRPr="00EF2F18" w:rsidRDefault="007C0842" w:rsidP="00AA7B68">
            <w:pPr>
              <w:spacing w:after="0"/>
              <w:jc w:val="right"/>
              <w:rPr>
                <w:rFonts w:eastAsia="Times New Roman" w:cs="Times New Roman"/>
                <w:color w:val="000000"/>
                <w:sz w:val="12"/>
                <w:szCs w:val="12"/>
                <w:lang w:val="sr-Cyrl-RS" w:eastAsia="sr-Cyrl-RS"/>
              </w:rPr>
            </w:pPr>
          </w:p>
          <w:p w14:paraId="2652B0D8" w14:textId="41F6E3A3" w:rsidR="007C0842" w:rsidRPr="00EF2F18" w:rsidRDefault="00FD47DE" w:rsidP="00AA7B6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114.822</w:t>
            </w:r>
          </w:p>
        </w:tc>
        <w:tc>
          <w:tcPr>
            <w:tcW w:w="2340" w:type="dxa"/>
            <w:vMerge w:val="restart"/>
            <w:tcBorders>
              <w:top w:val="double" w:sz="6" w:space="0" w:color="auto"/>
              <w:left w:val="double" w:sz="6" w:space="0" w:color="auto"/>
              <w:bottom w:val="double" w:sz="6" w:space="0" w:color="auto"/>
              <w:right w:val="double" w:sz="6" w:space="0" w:color="auto"/>
            </w:tcBorders>
            <w:hideMark/>
          </w:tcPr>
          <w:p w14:paraId="5E6853BE" w14:textId="77777777" w:rsidR="007C0842" w:rsidRPr="00EF2F18" w:rsidRDefault="007C0842" w:rsidP="00AA7B6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75.408</w:t>
            </w:r>
          </w:p>
          <w:p w14:paraId="306CC3DA" w14:textId="77777777" w:rsidR="007C0842" w:rsidRPr="00EF2F18" w:rsidRDefault="007C0842" w:rsidP="00AA7B68">
            <w:pPr>
              <w:spacing w:after="0"/>
              <w:jc w:val="right"/>
              <w:rPr>
                <w:rFonts w:eastAsia="Times New Roman" w:cs="Times New Roman"/>
                <w:color w:val="000000"/>
                <w:sz w:val="12"/>
                <w:szCs w:val="12"/>
                <w:lang w:val="sr-Cyrl-RS" w:eastAsia="sr-Cyrl-RS"/>
              </w:rPr>
            </w:pPr>
          </w:p>
          <w:p w14:paraId="4D5725C2" w14:textId="20C0717E" w:rsidR="007C0842" w:rsidRPr="00EF2F18" w:rsidRDefault="00FD47DE" w:rsidP="00AA7B6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150.817</w:t>
            </w:r>
          </w:p>
        </w:tc>
        <w:tc>
          <w:tcPr>
            <w:tcW w:w="2430" w:type="dxa"/>
            <w:vMerge w:val="restart"/>
            <w:tcBorders>
              <w:top w:val="double" w:sz="6" w:space="0" w:color="auto"/>
              <w:left w:val="double" w:sz="6" w:space="0" w:color="auto"/>
              <w:bottom w:val="double" w:sz="6" w:space="0" w:color="auto"/>
              <w:right w:val="double" w:sz="6" w:space="0" w:color="auto"/>
            </w:tcBorders>
            <w:hideMark/>
          </w:tcPr>
          <w:p w14:paraId="235074C5" w14:textId="77777777" w:rsidR="007C0842" w:rsidRPr="00EF2F18" w:rsidRDefault="007C0842" w:rsidP="007D4E98">
            <w:pPr>
              <w:spacing w:after="0"/>
              <w:jc w:val="right"/>
              <w:rPr>
                <w:rFonts w:eastAsia="Times New Roman" w:cs="Times New Roman"/>
                <w:color w:val="000000"/>
                <w:sz w:val="20"/>
                <w:szCs w:val="20"/>
                <w:lang w:val="sr-Cyrl-RS" w:eastAsia="sr-Cyrl-RS"/>
              </w:rPr>
            </w:pPr>
          </w:p>
        </w:tc>
      </w:tr>
      <w:tr w:rsidR="007C0842" w:rsidRPr="00EF2F18" w14:paraId="02B09A76" w14:textId="77777777" w:rsidTr="007C0842">
        <w:trPr>
          <w:gridAfter w:val="1"/>
          <w:wAfter w:w="17" w:type="dxa"/>
          <w:trHeight w:val="324"/>
        </w:trPr>
        <w:tc>
          <w:tcPr>
            <w:tcW w:w="3800" w:type="dxa"/>
            <w:vMerge/>
            <w:tcBorders>
              <w:top w:val="double" w:sz="6" w:space="0" w:color="auto"/>
              <w:left w:val="double" w:sz="6" w:space="0" w:color="auto"/>
              <w:bottom w:val="double" w:sz="6" w:space="0" w:color="auto"/>
              <w:right w:val="double" w:sz="6" w:space="0" w:color="auto"/>
            </w:tcBorders>
            <w:vAlign w:val="center"/>
            <w:hideMark/>
          </w:tcPr>
          <w:p w14:paraId="6D59163F" w14:textId="77777777" w:rsidR="007C0842" w:rsidRPr="00EF2F18" w:rsidRDefault="007C0842" w:rsidP="007D4E98">
            <w:pPr>
              <w:spacing w:after="0"/>
              <w:rPr>
                <w:rFonts w:eastAsia="Times New Roman" w:cs="Times New Roman"/>
                <w:color w:val="000000"/>
                <w:sz w:val="20"/>
                <w:szCs w:val="20"/>
                <w:lang w:val="sr-Cyrl-RS" w:eastAsia="sr-Cyrl-RS"/>
              </w:rPr>
            </w:pPr>
          </w:p>
        </w:tc>
        <w:tc>
          <w:tcPr>
            <w:tcW w:w="2414" w:type="dxa"/>
            <w:tcBorders>
              <w:left w:val="nil"/>
              <w:bottom w:val="double" w:sz="6" w:space="0" w:color="auto"/>
              <w:right w:val="double" w:sz="6" w:space="0" w:color="auto"/>
            </w:tcBorders>
          </w:tcPr>
          <w:p w14:paraId="0DB765A7" w14:textId="68D50852"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1802-760-0002-465</w:t>
            </w:r>
          </w:p>
        </w:tc>
        <w:tc>
          <w:tcPr>
            <w:tcW w:w="2493" w:type="dxa"/>
            <w:vMerge/>
            <w:tcBorders>
              <w:top w:val="double" w:sz="6" w:space="0" w:color="auto"/>
              <w:left w:val="double" w:sz="6" w:space="0" w:color="auto"/>
              <w:bottom w:val="double" w:sz="6" w:space="0" w:color="auto"/>
              <w:right w:val="double" w:sz="6" w:space="0" w:color="auto"/>
            </w:tcBorders>
            <w:vAlign w:val="center"/>
          </w:tcPr>
          <w:p w14:paraId="16628295" w14:textId="77777777" w:rsidR="007C0842" w:rsidRPr="00EF2F18" w:rsidRDefault="007C0842" w:rsidP="007D4E98">
            <w:pPr>
              <w:spacing w:after="0"/>
              <w:jc w:val="right"/>
              <w:rPr>
                <w:rFonts w:eastAsia="Times New Roman" w:cs="Times New Roman"/>
                <w:color w:val="000000"/>
                <w:sz w:val="20"/>
                <w:szCs w:val="20"/>
                <w:lang w:val="sr-Cyrl-RS" w:eastAsia="sr-Cyrl-RS"/>
              </w:rPr>
            </w:pPr>
          </w:p>
        </w:tc>
        <w:tc>
          <w:tcPr>
            <w:tcW w:w="2340" w:type="dxa"/>
            <w:vMerge/>
            <w:tcBorders>
              <w:top w:val="double" w:sz="6" w:space="0" w:color="auto"/>
              <w:left w:val="double" w:sz="6" w:space="0" w:color="auto"/>
              <w:bottom w:val="double" w:sz="6" w:space="0" w:color="auto"/>
              <w:right w:val="double" w:sz="6" w:space="0" w:color="auto"/>
            </w:tcBorders>
            <w:vAlign w:val="center"/>
            <w:hideMark/>
          </w:tcPr>
          <w:p w14:paraId="5C384F64" w14:textId="77777777" w:rsidR="007C0842" w:rsidRPr="00EF2F18" w:rsidRDefault="007C0842" w:rsidP="007D4E98">
            <w:pPr>
              <w:spacing w:after="0"/>
              <w:jc w:val="right"/>
              <w:rPr>
                <w:rFonts w:eastAsia="Times New Roman" w:cs="Times New Roman"/>
                <w:color w:val="000000"/>
                <w:sz w:val="20"/>
                <w:szCs w:val="20"/>
                <w:lang w:val="sr-Cyrl-RS" w:eastAsia="sr-Cyrl-RS"/>
              </w:rPr>
            </w:pPr>
          </w:p>
        </w:tc>
        <w:tc>
          <w:tcPr>
            <w:tcW w:w="2430" w:type="dxa"/>
            <w:vMerge/>
            <w:tcBorders>
              <w:top w:val="double" w:sz="6" w:space="0" w:color="auto"/>
              <w:left w:val="double" w:sz="6" w:space="0" w:color="auto"/>
              <w:bottom w:val="double" w:sz="6" w:space="0" w:color="auto"/>
              <w:right w:val="double" w:sz="6" w:space="0" w:color="auto"/>
            </w:tcBorders>
            <w:vAlign w:val="center"/>
            <w:hideMark/>
          </w:tcPr>
          <w:p w14:paraId="774A912E" w14:textId="77777777" w:rsidR="007C0842" w:rsidRPr="00EF2F18" w:rsidRDefault="007C0842" w:rsidP="007D4E98">
            <w:pPr>
              <w:spacing w:after="0"/>
              <w:jc w:val="right"/>
              <w:rPr>
                <w:rFonts w:eastAsia="Times New Roman" w:cs="Times New Roman"/>
                <w:color w:val="000000"/>
                <w:sz w:val="20"/>
                <w:szCs w:val="20"/>
                <w:lang w:val="sr-Cyrl-RS" w:eastAsia="sr-Cyrl-RS"/>
              </w:rPr>
            </w:pPr>
          </w:p>
        </w:tc>
      </w:tr>
      <w:tr w:rsidR="007C0842" w:rsidRPr="00EF2F18" w14:paraId="5753A557" w14:textId="77777777" w:rsidTr="007C0842">
        <w:trPr>
          <w:gridAfter w:val="1"/>
          <w:wAfter w:w="17" w:type="dxa"/>
          <w:trHeight w:val="336"/>
        </w:trPr>
        <w:tc>
          <w:tcPr>
            <w:tcW w:w="3800" w:type="dxa"/>
            <w:tcBorders>
              <w:top w:val="double" w:sz="6" w:space="0" w:color="auto"/>
              <w:left w:val="double" w:sz="6" w:space="0" w:color="auto"/>
              <w:bottom w:val="double" w:sz="6" w:space="0" w:color="auto"/>
              <w:right w:val="double" w:sz="6" w:space="0" w:color="auto"/>
            </w:tcBorders>
            <w:vAlign w:val="center"/>
          </w:tcPr>
          <w:p w14:paraId="581E197B" w14:textId="4A14ADF5"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Буџети ЈЛС</w:t>
            </w:r>
          </w:p>
        </w:tc>
        <w:tc>
          <w:tcPr>
            <w:tcW w:w="2414" w:type="dxa"/>
            <w:tcBorders>
              <w:top w:val="double" w:sz="6" w:space="0" w:color="auto"/>
              <w:left w:val="nil"/>
              <w:bottom w:val="double" w:sz="6" w:space="0" w:color="auto"/>
              <w:right w:val="double" w:sz="6" w:space="0" w:color="auto"/>
            </w:tcBorders>
            <w:vAlign w:val="center"/>
          </w:tcPr>
          <w:p w14:paraId="15C4786D" w14:textId="77777777" w:rsidR="007C0842" w:rsidRPr="00EF2F18" w:rsidRDefault="007C0842" w:rsidP="007D4E98">
            <w:pPr>
              <w:spacing w:after="0"/>
              <w:rPr>
                <w:rFonts w:eastAsia="Times New Roman" w:cs="Times New Roman"/>
                <w:color w:val="000000"/>
                <w:sz w:val="20"/>
                <w:szCs w:val="20"/>
                <w:lang w:val="sr-Cyrl-RS" w:eastAsia="sr-Cyrl-RS"/>
              </w:rPr>
            </w:pPr>
          </w:p>
        </w:tc>
        <w:tc>
          <w:tcPr>
            <w:tcW w:w="2493" w:type="dxa"/>
            <w:tcBorders>
              <w:top w:val="double" w:sz="6" w:space="0" w:color="auto"/>
              <w:left w:val="nil"/>
              <w:bottom w:val="double" w:sz="6" w:space="0" w:color="auto"/>
              <w:right w:val="double" w:sz="6" w:space="0" w:color="auto"/>
            </w:tcBorders>
            <w:vAlign w:val="center"/>
          </w:tcPr>
          <w:p w14:paraId="6FC667D5" w14:textId="2117966C" w:rsidR="007C0842" w:rsidRPr="00EF2F18" w:rsidRDefault="000823C2" w:rsidP="007D4E98">
            <w:pPr>
              <w:spacing w:after="0"/>
              <w:jc w:val="right"/>
              <w:rPr>
                <w:rFonts w:eastAsia="Times New Roman" w:cs="Times New Roman"/>
                <w:color w:val="000000"/>
                <w:sz w:val="20"/>
                <w:szCs w:val="20"/>
                <w:lang w:val="sr-Cyrl-RS" w:eastAsia="sr-Cyrl-RS"/>
              </w:rPr>
            </w:pPr>
            <w:r w:rsidRPr="00EF2F18">
              <w:rPr>
                <w:sz w:val="20"/>
                <w:szCs w:val="20"/>
                <w:lang w:val="sr-Cyrl-RS"/>
              </w:rPr>
              <w:t>67.780</w:t>
            </w:r>
          </w:p>
        </w:tc>
        <w:tc>
          <w:tcPr>
            <w:tcW w:w="2340" w:type="dxa"/>
            <w:tcBorders>
              <w:top w:val="double" w:sz="6" w:space="0" w:color="auto"/>
              <w:left w:val="nil"/>
              <w:bottom w:val="double" w:sz="6" w:space="0" w:color="auto"/>
              <w:right w:val="double" w:sz="6" w:space="0" w:color="auto"/>
            </w:tcBorders>
            <w:vAlign w:val="center"/>
          </w:tcPr>
          <w:p w14:paraId="298A3803" w14:textId="6C9148CE" w:rsidR="007C0842" w:rsidRPr="00EF2F18" w:rsidRDefault="000823C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223.664</w:t>
            </w:r>
          </w:p>
        </w:tc>
        <w:tc>
          <w:tcPr>
            <w:tcW w:w="2430" w:type="dxa"/>
            <w:tcBorders>
              <w:top w:val="double" w:sz="6" w:space="0" w:color="auto"/>
              <w:left w:val="nil"/>
              <w:bottom w:val="double" w:sz="6" w:space="0" w:color="auto"/>
              <w:right w:val="double" w:sz="6" w:space="0" w:color="auto"/>
            </w:tcBorders>
            <w:vAlign w:val="center"/>
          </w:tcPr>
          <w:p w14:paraId="369398A4" w14:textId="31B923D3" w:rsidR="007C0842" w:rsidRPr="00EF2F18" w:rsidRDefault="000823C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223.664</w:t>
            </w:r>
          </w:p>
        </w:tc>
      </w:tr>
      <w:tr w:rsidR="007C0842" w:rsidRPr="00EF2F18" w14:paraId="47AEAD08" w14:textId="77777777" w:rsidTr="007C0842">
        <w:trPr>
          <w:gridAfter w:val="1"/>
          <w:wAfter w:w="17" w:type="dxa"/>
          <w:trHeight w:val="336"/>
        </w:trPr>
        <w:tc>
          <w:tcPr>
            <w:tcW w:w="3800" w:type="dxa"/>
            <w:tcBorders>
              <w:top w:val="double" w:sz="6" w:space="0" w:color="auto"/>
              <w:left w:val="double" w:sz="6" w:space="0" w:color="auto"/>
              <w:bottom w:val="double" w:sz="6" w:space="0" w:color="auto"/>
              <w:right w:val="double" w:sz="6" w:space="0" w:color="auto"/>
            </w:tcBorders>
            <w:vAlign w:val="center"/>
            <w:hideMark/>
          </w:tcPr>
          <w:p w14:paraId="4C224103" w14:textId="29ABF468"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414" w:type="dxa"/>
            <w:tcBorders>
              <w:top w:val="double" w:sz="6" w:space="0" w:color="auto"/>
              <w:left w:val="nil"/>
              <w:bottom w:val="double" w:sz="6" w:space="0" w:color="auto"/>
              <w:right w:val="double" w:sz="6" w:space="0" w:color="auto"/>
            </w:tcBorders>
            <w:vAlign w:val="center"/>
            <w:hideMark/>
          </w:tcPr>
          <w:p w14:paraId="5924E702" w14:textId="77777777" w:rsidR="007C0842" w:rsidRPr="00EF2F18" w:rsidRDefault="007C0842"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93" w:type="dxa"/>
            <w:tcBorders>
              <w:top w:val="double" w:sz="6" w:space="0" w:color="auto"/>
              <w:left w:val="nil"/>
              <w:bottom w:val="double" w:sz="6" w:space="0" w:color="auto"/>
              <w:right w:val="double" w:sz="6" w:space="0" w:color="auto"/>
            </w:tcBorders>
            <w:vAlign w:val="center"/>
            <w:hideMark/>
          </w:tcPr>
          <w:p w14:paraId="79CF454D" w14:textId="77777777" w:rsidR="007C0842" w:rsidRPr="00EF2F18" w:rsidRDefault="007C084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7.012*</w:t>
            </w:r>
          </w:p>
        </w:tc>
        <w:tc>
          <w:tcPr>
            <w:tcW w:w="2340" w:type="dxa"/>
            <w:tcBorders>
              <w:top w:val="double" w:sz="6" w:space="0" w:color="auto"/>
              <w:left w:val="nil"/>
              <w:bottom w:val="double" w:sz="6" w:space="0" w:color="auto"/>
              <w:right w:val="double" w:sz="6" w:space="0" w:color="auto"/>
            </w:tcBorders>
            <w:vAlign w:val="center"/>
            <w:hideMark/>
          </w:tcPr>
          <w:p w14:paraId="1FA281DA" w14:textId="77777777" w:rsidR="007C0842" w:rsidRPr="00EF2F18" w:rsidRDefault="007C084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7.012*</w:t>
            </w:r>
          </w:p>
        </w:tc>
        <w:tc>
          <w:tcPr>
            <w:tcW w:w="2430" w:type="dxa"/>
            <w:tcBorders>
              <w:top w:val="double" w:sz="6" w:space="0" w:color="auto"/>
              <w:left w:val="nil"/>
              <w:bottom w:val="double" w:sz="6" w:space="0" w:color="auto"/>
              <w:right w:val="double" w:sz="6" w:space="0" w:color="auto"/>
            </w:tcBorders>
            <w:vAlign w:val="center"/>
            <w:hideMark/>
          </w:tcPr>
          <w:p w14:paraId="385C4ACF" w14:textId="77777777" w:rsidR="007C0842" w:rsidRPr="00EF2F18" w:rsidRDefault="007C084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7.012*</w:t>
            </w:r>
          </w:p>
        </w:tc>
      </w:tr>
    </w:tbl>
    <w:p w14:paraId="1330F0D6" w14:textId="77777777" w:rsidR="007D7243" w:rsidRPr="00EF2F18" w:rsidRDefault="007D7243" w:rsidP="007D7243">
      <w:pPr>
        <w:spacing w:after="0"/>
        <w:rPr>
          <w:lang w:val="sr-Cyrl-RS"/>
        </w:rPr>
      </w:pP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134"/>
        <w:gridCol w:w="1275"/>
        <w:gridCol w:w="1418"/>
        <w:gridCol w:w="1417"/>
        <w:gridCol w:w="1256"/>
        <w:gridCol w:w="1478"/>
        <w:gridCol w:w="1440"/>
        <w:gridCol w:w="1530"/>
      </w:tblGrid>
      <w:tr w:rsidR="007D7243" w:rsidRPr="00EF2F18" w14:paraId="57C0439F" w14:textId="77777777" w:rsidTr="00F26B4C">
        <w:trPr>
          <w:trHeight w:val="732"/>
        </w:trPr>
        <w:tc>
          <w:tcPr>
            <w:tcW w:w="2547" w:type="dxa"/>
            <w:vMerge w:val="restart"/>
            <w:shd w:val="clear" w:color="000000" w:fill="FFF2CC"/>
            <w:hideMark/>
          </w:tcPr>
          <w:p w14:paraId="57940EE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134" w:type="dxa"/>
            <w:vMerge w:val="restart"/>
            <w:shd w:val="clear" w:color="000000" w:fill="FFF2CC"/>
            <w:hideMark/>
          </w:tcPr>
          <w:p w14:paraId="660D2AA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5" w:type="dxa"/>
            <w:vMerge w:val="restart"/>
            <w:shd w:val="clear" w:color="000000" w:fill="FFF2CC"/>
            <w:hideMark/>
          </w:tcPr>
          <w:p w14:paraId="222A4E5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418" w:type="dxa"/>
            <w:vMerge w:val="restart"/>
            <w:shd w:val="clear" w:color="000000" w:fill="FFF2CC"/>
            <w:hideMark/>
          </w:tcPr>
          <w:p w14:paraId="4C0C3B3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17" w:type="dxa"/>
            <w:vMerge w:val="restart"/>
            <w:shd w:val="clear" w:color="000000" w:fill="FFF2CC"/>
            <w:hideMark/>
          </w:tcPr>
          <w:p w14:paraId="0C4998F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256" w:type="dxa"/>
            <w:vMerge w:val="restart"/>
            <w:shd w:val="clear" w:color="000000" w:fill="FFF2CC"/>
            <w:hideMark/>
          </w:tcPr>
          <w:p w14:paraId="7E7EBEC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448" w:type="dxa"/>
            <w:gridSpan w:val="3"/>
            <w:shd w:val="clear" w:color="000000" w:fill="FFF2CC"/>
            <w:hideMark/>
          </w:tcPr>
          <w:p w14:paraId="5F68EFB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F26B4C" w:rsidRPr="00EF2F18" w14:paraId="244C855B" w14:textId="77777777" w:rsidTr="00F26B4C">
        <w:trPr>
          <w:trHeight w:val="667"/>
        </w:trPr>
        <w:tc>
          <w:tcPr>
            <w:tcW w:w="2547" w:type="dxa"/>
            <w:vMerge/>
            <w:vAlign w:val="center"/>
            <w:hideMark/>
          </w:tcPr>
          <w:p w14:paraId="05EF214D"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1134" w:type="dxa"/>
            <w:vMerge/>
            <w:vAlign w:val="center"/>
            <w:hideMark/>
          </w:tcPr>
          <w:p w14:paraId="41DD4816"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1275" w:type="dxa"/>
            <w:vMerge/>
            <w:vAlign w:val="center"/>
            <w:hideMark/>
          </w:tcPr>
          <w:p w14:paraId="612347E9"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1418" w:type="dxa"/>
            <w:vMerge/>
            <w:vAlign w:val="center"/>
            <w:hideMark/>
          </w:tcPr>
          <w:p w14:paraId="218AA045"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1417" w:type="dxa"/>
            <w:vMerge/>
            <w:vAlign w:val="center"/>
            <w:hideMark/>
          </w:tcPr>
          <w:p w14:paraId="5E333CC0"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1256" w:type="dxa"/>
            <w:vMerge/>
            <w:vAlign w:val="center"/>
            <w:hideMark/>
          </w:tcPr>
          <w:p w14:paraId="6EAE68BD"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1478" w:type="dxa"/>
            <w:shd w:val="clear" w:color="000000" w:fill="FFF2CC"/>
            <w:hideMark/>
          </w:tcPr>
          <w:p w14:paraId="5C6AC996" w14:textId="16C4DF30"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440" w:type="dxa"/>
            <w:shd w:val="clear" w:color="000000" w:fill="FFF2CC"/>
            <w:hideMark/>
          </w:tcPr>
          <w:p w14:paraId="07C465D9" w14:textId="0046C45F"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530" w:type="dxa"/>
            <w:shd w:val="clear" w:color="000000" w:fill="FFF2CC"/>
            <w:hideMark/>
          </w:tcPr>
          <w:p w14:paraId="1483EDF5" w14:textId="562F6BB1"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w:t>
            </w:r>
          </w:p>
        </w:tc>
      </w:tr>
      <w:tr w:rsidR="00F26B4C" w:rsidRPr="00EF2F18" w14:paraId="233D7636" w14:textId="77777777" w:rsidTr="00F26B4C">
        <w:trPr>
          <w:trHeight w:val="1068"/>
        </w:trPr>
        <w:tc>
          <w:tcPr>
            <w:tcW w:w="2547" w:type="dxa"/>
            <w:hideMark/>
          </w:tcPr>
          <w:p w14:paraId="26A4B420"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3.2.1.1. Подршка изради техничке документације за водне објекте за снабдевање водом за пиће и санитарно - хигијенске потребе у надлежности ЈЛС</w:t>
            </w:r>
          </w:p>
        </w:tc>
        <w:tc>
          <w:tcPr>
            <w:tcW w:w="1134" w:type="dxa"/>
            <w:hideMark/>
          </w:tcPr>
          <w:p w14:paraId="179EEEB8"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75" w:type="dxa"/>
            <w:hideMark/>
          </w:tcPr>
          <w:p w14:paraId="4738BA12"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МЈУ, МПШВ, ЈЛС, ЈКП </w:t>
            </w:r>
          </w:p>
        </w:tc>
        <w:tc>
          <w:tcPr>
            <w:tcW w:w="1418" w:type="dxa"/>
            <w:hideMark/>
          </w:tcPr>
          <w:p w14:paraId="66472B57" w14:textId="433BA2DE"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382D07" w:rsidRPr="00EF2F18">
              <w:rPr>
                <w:rFonts w:eastAsia="Times New Roman" w:cs="Times New Roman"/>
                <w:color w:val="000000"/>
                <w:sz w:val="20"/>
                <w:szCs w:val="20"/>
                <w:lang w:val="sr-Cyrl-RS" w:eastAsia="sr-Cyrl-RS"/>
              </w:rPr>
              <w:t>6</w:t>
            </w:r>
          </w:p>
        </w:tc>
        <w:tc>
          <w:tcPr>
            <w:tcW w:w="1417" w:type="dxa"/>
          </w:tcPr>
          <w:p w14:paraId="53568A89" w14:textId="1C0692F2"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56" w:type="dxa"/>
          </w:tcPr>
          <w:p w14:paraId="3A0D931F" w14:textId="2716FA5D" w:rsidR="00F26B4C" w:rsidRPr="00EF2F18" w:rsidRDefault="00F26B4C" w:rsidP="00752CA0">
            <w:pPr>
              <w:spacing w:after="0"/>
              <w:rPr>
                <w:rFonts w:eastAsia="Times New Roman" w:cs="Times New Roman"/>
                <w:color w:val="000000"/>
                <w:sz w:val="20"/>
                <w:szCs w:val="20"/>
                <w:lang w:val="sr-Cyrl-RS" w:eastAsia="sr-Cyrl-RS"/>
              </w:rPr>
            </w:pPr>
          </w:p>
        </w:tc>
        <w:tc>
          <w:tcPr>
            <w:tcW w:w="1478" w:type="dxa"/>
          </w:tcPr>
          <w:p w14:paraId="4CEEADBA" w14:textId="70DCE216" w:rsidR="00F26B4C" w:rsidRPr="00EF2F18" w:rsidRDefault="00F26B4C" w:rsidP="00752CA0">
            <w:pPr>
              <w:spacing w:after="0"/>
              <w:jc w:val="right"/>
              <w:rPr>
                <w:rFonts w:eastAsia="Times New Roman" w:cs="Times New Roman"/>
                <w:color w:val="000000"/>
                <w:sz w:val="20"/>
                <w:szCs w:val="20"/>
                <w:lang w:val="sr-Cyrl-RS" w:eastAsia="sr-Cyrl-RS"/>
              </w:rPr>
            </w:pPr>
          </w:p>
        </w:tc>
        <w:tc>
          <w:tcPr>
            <w:tcW w:w="1440" w:type="dxa"/>
          </w:tcPr>
          <w:p w14:paraId="7B8B879E" w14:textId="7847ADA1" w:rsidR="00F26B4C" w:rsidRPr="00EF2F18" w:rsidRDefault="00F26B4C" w:rsidP="00752CA0">
            <w:pPr>
              <w:spacing w:after="0"/>
              <w:jc w:val="right"/>
              <w:rPr>
                <w:rFonts w:eastAsia="Times New Roman" w:cs="Times New Roman"/>
                <w:color w:val="000000"/>
                <w:sz w:val="20"/>
                <w:szCs w:val="20"/>
                <w:lang w:val="sr-Cyrl-RS" w:eastAsia="sr-Cyrl-RS"/>
              </w:rPr>
            </w:pPr>
          </w:p>
        </w:tc>
        <w:tc>
          <w:tcPr>
            <w:tcW w:w="1530" w:type="dxa"/>
          </w:tcPr>
          <w:p w14:paraId="32DEAA71" w14:textId="2CCE0FFA"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2248BE1C" w14:textId="77777777" w:rsidTr="00F26B4C">
        <w:trPr>
          <w:trHeight w:val="1068"/>
        </w:trPr>
        <w:tc>
          <w:tcPr>
            <w:tcW w:w="2547" w:type="dxa"/>
            <w:hideMark/>
          </w:tcPr>
          <w:p w14:paraId="07ECC233"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3.2.1.2. Подршка изградњи водоводне мреже и остале потребне инфраструктуре у насељима без јавног водоснабдевања у надлежности ЈЛС</w:t>
            </w:r>
          </w:p>
        </w:tc>
        <w:tc>
          <w:tcPr>
            <w:tcW w:w="1134" w:type="dxa"/>
            <w:hideMark/>
          </w:tcPr>
          <w:p w14:paraId="20E2C412"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75" w:type="dxa"/>
            <w:hideMark/>
          </w:tcPr>
          <w:p w14:paraId="36889A17"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МЈУ, МПШВ, ЈЛС, ЈКП </w:t>
            </w:r>
          </w:p>
        </w:tc>
        <w:tc>
          <w:tcPr>
            <w:tcW w:w="1418" w:type="dxa"/>
            <w:hideMark/>
          </w:tcPr>
          <w:p w14:paraId="318C3CFF"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17" w:type="dxa"/>
          </w:tcPr>
          <w:p w14:paraId="6C0CD7E7" w14:textId="22C6BF52"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56" w:type="dxa"/>
          </w:tcPr>
          <w:p w14:paraId="43C3ADE2" w14:textId="1A002295" w:rsidR="00F26B4C" w:rsidRPr="00EF2F18" w:rsidRDefault="00F26B4C" w:rsidP="00752CA0">
            <w:pPr>
              <w:spacing w:after="0"/>
              <w:rPr>
                <w:rFonts w:eastAsia="Times New Roman" w:cs="Times New Roman"/>
                <w:color w:val="000000"/>
                <w:sz w:val="20"/>
                <w:szCs w:val="20"/>
                <w:lang w:val="sr-Cyrl-RS" w:eastAsia="sr-Cyrl-RS"/>
              </w:rPr>
            </w:pPr>
          </w:p>
        </w:tc>
        <w:tc>
          <w:tcPr>
            <w:tcW w:w="1478" w:type="dxa"/>
          </w:tcPr>
          <w:p w14:paraId="260E9D7D" w14:textId="1554A140" w:rsidR="00F26B4C" w:rsidRPr="00EF2F18" w:rsidRDefault="00F26B4C" w:rsidP="00752CA0">
            <w:pPr>
              <w:spacing w:after="0"/>
              <w:jc w:val="right"/>
              <w:rPr>
                <w:rFonts w:eastAsia="Times New Roman" w:cs="Times New Roman"/>
                <w:color w:val="000000"/>
                <w:sz w:val="20"/>
                <w:szCs w:val="20"/>
                <w:lang w:val="sr-Cyrl-RS" w:eastAsia="sr-Cyrl-RS"/>
              </w:rPr>
            </w:pPr>
          </w:p>
        </w:tc>
        <w:tc>
          <w:tcPr>
            <w:tcW w:w="1440" w:type="dxa"/>
          </w:tcPr>
          <w:p w14:paraId="19BC7CAF" w14:textId="3613168B" w:rsidR="00F26B4C" w:rsidRPr="00EF2F18" w:rsidRDefault="00F26B4C" w:rsidP="00752CA0">
            <w:pPr>
              <w:spacing w:after="0"/>
              <w:jc w:val="right"/>
              <w:rPr>
                <w:rFonts w:eastAsia="Times New Roman" w:cs="Times New Roman"/>
                <w:color w:val="000000"/>
                <w:sz w:val="20"/>
                <w:szCs w:val="20"/>
                <w:lang w:val="sr-Cyrl-RS" w:eastAsia="sr-Cyrl-RS"/>
              </w:rPr>
            </w:pPr>
          </w:p>
        </w:tc>
        <w:tc>
          <w:tcPr>
            <w:tcW w:w="1530" w:type="dxa"/>
          </w:tcPr>
          <w:p w14:paraId="6F0808DB" w14:textId="1A2FC7DD"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5B273AF1" w14:textId="77777777" w:rsidTr="00F26B4C">
        <w:trPr>
          <w:trHeight w:val="804"/>
        </w:trPr>
        <w:tc>
          <w:tcPr>
            <w:tcW w:w="2547" w:type="dxa"/>
            <w:hideMark/>
          </w:tcPr>
          <w:p w14:paraId="5BB1F816"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3.2.1.3. Подршка укључењу сеоских водовода у јавне системе водоснабдевања у надлежности ЈЛС</w:t>
            </w:r>
          </w:p>
        </w:tc>
        <w:tc>
          <w:tcPr>
            <w:tcW w:w="1134" w:type="dxa"/>
            <w:hideMark/>
          </w:tcPr>
          <w:p w14:paraId="55873B82"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75" w:type="dxa"/>
            <w:hideMark/>
          </w:tcPr>
          <w:p w14:paraId="4002CA0F"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МЈУ, МПШВ, ЈЛС, ЈКП </w:t>
            </w:r>
          </w:p>
        </w:tc>
        <w:tc>
          <w:tcPr>
            <w:tcW w:w="1418" w:type="dxa"/>
            <w:hideMark/>
          </w:tcPr>
          <w:p w14:paraId="460E8780"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17" w:type="dxa"/>
            <w:tcBorders>
              <w:bottom w:val="single" w:sz="4" w:space="0" w:color="auto"/>
            </w:tcBorders>
          </w:tcPr>
          <w:p w14:paraId="3671227A" w14:textId="4541D1B5"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56" w:type="dxa"/>
            <w:tcBorders>
              <w:bottom w:val="single" w:sz="4" w:space="0" w:color="auto"/>
            </w:tcBorders>
          </w:tcPr>
          <w:p w14:paraId="2D446828" w14:textId="07E4DC6F" w:rsidR="00F26B4C" w:rsidRPr="00EF2F18" w:rsidRDefault="00F26B4C" w:rsidP="00752CA0">
            <w:pPr>
              <w:spacing w:after="0"/>
              <w:rPr>
                <w:rFonts w:eastAsia="Times New Roman" w:cs="Times New Roman"/>
                <w:color w:val="000000"/>
                <w:sz w:val="20"/>
                <w:szCs w:val="20"/>
                <w:lang w:val="sr-Cyrl-RS" w:eastAsia="sr-Cyrl-RS"/>
              </w:rPr>
            </w:pPr>
          </w:p>
        </w:tc>
        <w:tc>
          <w:tcPr>
            <w:tcW w:w="1478" w:type="dxa"/>
            <w:tcBorders>
              <w:bottom w:val="single" w:sz="4" w:space="0" w:color="auto"/>
            </w:tcBorders>
          </w:tcPr>
          <w:p w14:paraId="5C6ADD42" w14:textId="75CCA5C8" w:rsidR="00F26B4C" w:rsidRPr="00EF2F18" w:rsidRDefault="00F26B4C" w:rsidP="00752CA0">
            <w:pPr>
              <w:spacing w:after="0"/>
              <w:jc w:val="right"/>
              <w:rPr>
                <w:rFonts w:eastAsia="Times New Roman" w:cs="Times New Roman"/>
                <w:color w:val="000000"/>
                <w:sz w:val="20"/>
                <w:szCs w:val="20"/>
                <w:lang w:val="sr-Cyrl-RS" w:eastAsia="sr-Cyrl-RS"/>
              </w:rPr>
            </w:pPr>
          </w:p>
        </w:tc>
        <w:tc>
          <w:tcPr>
            <w:tcW w:w="1440" w:type="dxa"/>
            <w:tcBorders>
              <w:bottom w:val="single" w:sz="4" w:space="0" w:color="auto"/>
            </w:tcBorders>
          </w:tcPr>
          <w:p w14:paraId="0AB70A44" w14:textId="68A3FA77" w:rsidR="00F26B4C" w:rsidRPr="00EF2F18" w:rsidRDefault="00F26B4C" w:rsidP="00752CA0">
            <w:pPr>
              <w:spacing w:after="0"/>
              <w:jc w:val="right"/>
              <w:rPr>
                <w:rFonts w:eastAsia="Times New Roman" w:cs="Times New Roman"/>
                <w:color w:val="000000"/>
                <w:sz w:val="20"/>
                <w:szCs w:val="20"/>
                <w:lang w:val="sr-Cyrl-RS" w:eastAsia="sr-Cyrl-RS"/>
              </w:rPr>
            </w:pPr>
          </w:p>
        </w:tc>
        <w:tc>
          <w:tcPr>
            <w:tcW w:w="1530" w:type="dxa"/>
            <w:tcBorders>
              <w:bottom w:val="single" w:sz="4" w:space="0" w:color="auto"/>
            </w:tcBorders>
          </w:tcPr>
          <w:p w14:paraId="2B118BA6" w14:textId="0C8F184D"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60188299" w14:textId="77777777" w:rsidTr="00F26B4C">
        <w:trPr>
          <w:trHeight w:val="458"/>
        </w:trPr>
        <w:tc>
          <w:tcPr>
            <w:tcW w:w="2547" w:type="dxa"/>
            <w:vMerge w:val="restart"/>
          </w:tcPr>
          <w:p w14:paraId="0DC9BC51" w14:textId="273BF806"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3.2.1.4. </w:t>
            </w:r>
            <w:bookmarkStart w:id="169" w:name="_Hlk69228030"/>
            <w:r w:rsidRPr="00EF2F18">
              <w:rPr>
                <w:rFonts w:eastAsia="Times New Roman" w:cs="Times New Roman"/>
                <w:color w:val="000000"/>
                <w:sz w:val="20"/>
                <w:szCs w:val="20"/>
                <w:lang w:val="sr-Cyrl-RS" w:eastAsia="sr-Cyrl-RS"/>
              </w:rPr>
              <w:t>Изградња и реконструкција дела система за снабдевање водом за пиће</w:t>
            </w:r>
            <w:bookmarkEnd w:id="169"/>
          </w:p>
        </w:tc>
        <w:tc>
          <w:tcPr>
            <w:tcW w:w="1134" w:type="dxa"/>
            <w:vMerge w:val="restart"/>
          </w:tcPr>
          <w:p w14:paraId="0F4A2407" w14:textId="42A6C510"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МПШВ-РДВ</w:t>
            </w:r>
          </w:p>
        </w:tc>
        <w:tc>
          <w:tcPr>
            <w:tcW w:w="1275" w:type="dxa"/>
            <w:vMerge w:val="restart"/>
          </w:tcPr>
          <w:p w14:paraId="2A54E7A7" w14:textId="12E2CA36"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 ЈКП</w:t>
            </w:r>
          </w:p>
        </w:tc>
        <w:tc>
          <w:tcPr>
            <w:tcW w:w="1418" w:type="dxa"/>
            <w:vMerge w:val="restart"/>
          </w:tcPr>
          <w:p w14:paraId="1647B39C" w14:textId="3B8D0820"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8A45B1" w:rsidRPr="00EF2F18">
              <w:rPr>
                <w:rFonts w:eastAsia="Times New Roman" w:cs="Times New Roman"/>
                <w:color w:val="000000"/>
                <w:sz w:val="20"/>
                <w:szCs w:val="20"/>
                <w:lang w:val="sr-Cyrl-RS" w:eastAsia="sr-Cyrl-RS"/>
              </w:rPr>
              <w:t>8</w:t>
            </w:r>
            <w:r w:rsidRPr="00EF2F18">
              <w:rPr>
                <w:rFonts w:eastAsia="Times New Roman" w:cs="Times New Roman"/>
                <w:color w:val="000000"/>
                <w:sz w:val="20"/>
                <w:szCs w:val="20"/>
                <w:lang w:val="sr-Cyrl-RS" w:eastAsia="sr-Cyrl-RS"/>
              </w:rPr>
              <w:t>.</w:t>
            </w:r>
            <w:r w:rsidR="008A45B1" w:rsidRPr="00EF2F18">
              <w:rPr>
                <w:rFonts w:eastAsia="Times New Roman" w:cs="Times New Roman"/>
                <w:color w:val="000000"/>
                <w:sz w:val="20"/>
                <w:szCs w:val="20"/>
                <w:lang w:val="sr-Cyrl-RS" w:eastAsia="sr-Cyrl-RS"/>
              </w:rPr>
              <w:t xml:space="preserve"> ***</w:t>
            </w:r>
          </w:p>
        </w:tc>
        <w:tc>
          <w:tcPr>
            <w:tcW w:w="1417" w:type="dxa"/>
            <w:vMerge w:val="restart"/>
          </w:tcPr>
          <w:p w14:paraId="57C21527" w14:textId="4EBB9A63"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256" w:type="dxa"/>
            <w:tcBorders>
              <w:bottom w:val="nil"/>
            </w:tcBorders>
            <w:vAlign w:val="center"/>
          </w:tcPr>
          <w:p w14:paraId="4BB25CD2" w14:textId="5ADE9267" w:rsidR="00F26B4C" w:rsidRPr="00EF2F18" w:rsidRDefault="00F26B4C" w:rsidP="007D4E98">
            <w:pPr>
              <w:spacing w:after="0"/>
              <w:rPr>
                <w:rFonts w:eastAsia="Times New Roman" w:cs="Times New Roman"/>
                <w:color w:val="000000"/>
                <w:sz w:val="20"/>
                <w:szCs w:val="20"/>
                <w:lang w:val="sr-Cyrl-RS" w:eastAsia="sr-Cyrl-RS"/>
              </w:rPr>
            </w:pPr>
            <w:r w:rsidRPr="00EF2F18">
              <w:rPr>
                <w:sz w:val="20"/>
                <w:szCs w:val="20"/>
                <w:lang w:val="sr-Cyrl-RS"/>
              </w:rPr>
              <w:t>0401-630-0002-463</w:t>
            </w:r>
          </w:p>
        </w:tc>
        <w:tc>
          <w:tcPr>
            <w:tcW w:w="1478" w:type="dxa"/>
            <w:tcBorders>
              <w:bottom w:val="nil"/>
            </w:tcBorders>
          </w:tcPr>
          <w:p w14:paraId="52A6631F" w14:textId="25E87D36" w:rsidR="00F26B4C" w:rsidRPr="00EF2F18" w:rsidRDefault="00365300" w:rsidP="007D4E98">
            <w:pPr>
              <w:spacing w:after="0"/>
              <w:jc w:val="right"/>
              <w:rPr>
                <w:rFonts w:eastAsia="Times New Roman" w:cs="Times New Roman"/>
                <w:color w:val="000000"/>
                <w:sz w:val="20"/>
                <w:szCs w:val="20"/>
                <w:highlight w:val="cyan"/>
                <w:lang w:val="sr-Cyrl-RS" w:eastAsia="sr-Cyrl-RS"/>
              </w:rPr>
            </w:pPr>
            <w:r w:rsidRPr="00EF2F18">
              <w:rPr>
                <w:sz w:val="20"/>
                <w:szCs w:val="20"/>
                <w:lang w:val="sr-Cyrl-RS"/>
              </w:rPr>
              <w:t>32.823</w:t>
            </w:r>
          </w:p>
        </w:tc>
        <w:tc>
          <w:tcPr>
            <w:tcW w:w="1440" w:type="dxa"/>
            <w:tcBorders>
              <w:bottom w:val="nil"/>
            </w:tcBorders>
          </w:tcPr>
          <w:p w14:paraId="54357533" w14:textId="7014A03B" w:rsidR="00F26B4C" w:rsidRPr="00EF2F18" w:rsidRDefault="001C29BE"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89.296</w:t>
            </w:r>
          </w:p>
        </w:tc>
        <w:tc>
          <w:tcPr>
            <w:tcW w:w="1530" w:type="dxa"/>
            <w:tcBorders>
              <w:bottom w:val="nil"/>
            </w:tcBorders>
          </w:tcPr>
          <w:p w14:paraId="21DE16AC" w14:textId="21668198" w:rsidR="00F26B4C" w:rsidRPr="00EF2F18" w:rsidRDefault="001C29BE"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89.296</w:t>
            </w:r>
          </w:p>
        </w:tc>
      </w:tr>
      <w:tr w:rsidR="00F26B4C" w:rsidRPr="00EF2F18" w14:paraId="3FCAA188" w14:textId="77777777" w:rsidTr="00F26B4C">
        <w:trPr>
          <w:trHeight w:val="536"/>
        </w:trPr>
        <w:tc>
          <w:tcPr>
            <w:tcW w:w="2547" w:type="dxa"/>
            <w:vMerge/>
          </w:tcPr>
          <w:p w14:paraId="1CE80CB5"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134" w:type="dxa"/>
            <w:vMerge/>
          </w:tcPr>
          <w:p w14:paraId="0D3C34B4"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275" w:type="dxa"/>
            <w:vMerge/>
          </w:tcPr>
          <w:p w14:paraId="59BE92AA"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418" w:type="dxa"/>
            <w:vMerge/>
          </w:tcPr>
          <w:p w14:paraId="7F0D6337"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417" w:type="dxa"/>
            <w:vMerge/>
            <w:tcBorders>
              <w:bottom w:val="nil"/>
            </w:tcBorders>
          </w:tcPr>
          <w:p w14:paraId="163504E1"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256" w:type="dxa"/>
            <w:tcBorders>
              <w:top w:val="nil"/>
              <w:bottom w:val="nil"/>
            </w:tcBorders>
            <w:vAlign w:val="center"/>
          </w:tcPr>
          <w:p w14:paraId="71EBCA2C" w14:textId="27A36F6F" w:rsidR="00F26B4C" w:rsidRPr="00EF2F18" w:rsidRDefault="00F26B4C" w:rsidP="007D4E98">
            <w:pPr>
              <w:spacing w:after="0"/>
              <w:rPr>
                <w:rFonts w:eastAsia="Times New Roman" w:cs="Times New Roman"/>
                <w:color w:val="000000"/>
                <w:sz w:val="20"/>
                <w:szCs w:val="20"/>
                <w:lang w:val="sr-Cyrl-RS" w:eastAsia="sr-Cyrl-RS"/>
              </w:rPr>
            </w:pPr>
            <w:r w:rsidRPr="00EF2F18">
              <w:rPr>
                <w:sz w:val="20"/>
                <w:szCs w:val="20"/>
                <w:lang w:val="sr-Cyrl-RS"/>
              </w:rPr>
              <w:t>0401-630-0002-511</w:t>
            </w:r>
          </w:p>
        </w:tc>
        <w:tc>
          <w:tcPr>
            <w:tcW w:w="1478" w:type="dxa"/>
            <w:tcBorders>
              <w:top w:val="nil"/>
              <w:bottom w:val="nil"/>
            </w:tcBorders>
          </w:tcPr>
          <w:p w14:paraId="125F9F4B" w14:textId="193C7FCA" w:rsidR="00F26B4C" w:rsidRPr="00EF2F18" w:rsidRDefault="001C29BE" w:rsidP="007D4E98">
            <w:pPr>
              <w:spacing w:after="0"/>
              <w:jc w:val="right"/>
              <w:rPr>
                <w:rFonts w:eastAsia="Times New Roman" w:cs="Times New Roman"/>
                <w:color w:val="000000"/>
                <w:sz w:val="20"/>
                <w:szCs w:val="20"/>
                <w:highlight w:val="cyan"/>
                <w:lang w:val="sr-Cyrl-RS" w:eastAsia="sr-Cyrl-RS"/>
              </w:rPr>
            </w:pPr>
            <w:r w:rsidRPr="00EF2F18">
              <w:rPr>
                <w:sz w:val="20"/>
                <w:szCs w:val="20"/>
                <w:lang w:val="sr-Cyrl-RS"/>
              </w:rPr>
              <w:t>27.000</w:t>
            </w:r>
          </w:p>
        </w:tc>
        <w:tc>
          <w:tcPr>
            <w:tcW w:w="1440" w:type="dxa"/>
            <w:tcBorders>
              <w:top w:val="nil"/>
              <w:bottom w:val="nil"/>
            </w:tcBorders>
          </w:tcPr>
          <w:p w14:paraId="7E2868D4" w14:textId="77777777" w:rsidR="00F26B4C" w:rsidRPr="00EF2F18" w:rsidRDefault="001C29BE"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79.296</w:t>
            </w:r>
          </w:p>
          <w:p w14:paraId="796EBDE9" w14:textId="5EC7A4A2" w:rsidR="00BA7B82" w:rsidRPr="00EF2F18" w:rsidRDefault="00BA7B82" w:rsidP="007D4E98">
            <w:pPr>
              <w:spacing w:after="0"/>
              <w:jc w:val="right"/>
              <w:rPr>
                <w:rFonts w:eastAsia="Times New Roman" w:cs="Times New Roman"/>
                <w:color w:val="000000"/>
                <w:sz w:val="20"/>
                <w:szCs w:val="20"/>
                <w:lang w:val="sr-Cyrl-RS" w:eastAsia="sr-Cyrl-RS"/>
              </w:rPr>
            </w:pPr>
          </w:p>
        </w:tc>
        <w:tc>
          <w:tcPr>
            <w:tcW w:w="1530" w:type="dxa"/>
            <w:tcBorders>
              <w:top w:val="nil"/>
              <w:bottom w:val="nil"/>
            </w:tcBorders>
          </w:tcPr>
          <w:p w14:paraId="2878804B" w14:textId="70892902" w:rsidR="00F26B4C" w:rsidRPr="00EF2F18" w:rsidRDefault="001C29BE"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79.296</w:t>
            </w:r>
          </w:p>
        </w:tc>
      </w:tr>
      <w:tr w:rsidR="00F26B4C" w:rsidRPr="00EF2F18" w14:paraId="568FA23B" w14:textId="77777777" w:rsidTr="00F26B4C">
        <w:trPr>
          <w:trHeight w:val="416"/>
        </w:trPr>
        <w:tc>
          <w:tcPr>
            <w:tcW w:w="2547" w:type="dxa"/>
            <w:vMerge/>
          </w:tcPr>
          <w:p w14:paraId="5BC66002"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134" w:type="dxa"/>
            <w:vMerge/>
          </w:tcPr>
          <w:p w14:paraId="645E18EC"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275" w:type="dxa"/>
            <w:vMerge/>
          </w:tcPr>
          <w:p w14:paraId="08EEFAAB"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18" w:type="dxa"/>
            <w:vMerge/>
          </w:tcPr>
          <w:p w14:paraId="531318EF"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17" w:type="dxa"/>
            <w:tcBorders>
              <w:top w:val="nil"/>
              <w:bottom w:val="single" w:sz="4" w:space="0" w:color="auto"/>
            </w:tcBorders>
          </w:tcPr>
          <w:p w14:paraId="1EB0661D" w14:textId="46CC3873"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256" w:type="dxa"/>
            <w:tcBorders>
              <w:top w:val="nil"/>
              <w:bottom w:val="single" w:sz="4" w:space="0" w:color="auto"/>
            </w:tcBorders>
          </w:tcPr>
          <w:p w14:paraId="704A1F7A"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78" w:type="dxa"/>
            <w:tcBorders>
              <w:top w:val="nil"/>
              <w:bottom w:val="single" w:sz="4" w:space="0" w:color="auto"/>
            </w:tcBorders>
          </w:tcPr>
          <w:p w14:paraId="1E886253" w14:textId="79E87910" w:rsidR="00F26B4C" w:rsidRPr="00EF2F18" w:rsidRDefault="00BA7B82" w:rsidP="007D4E98">
            <w:pPr>
              <w:spacing w:after="0"/>
              <w:jc w:val="right"/>
              <w:rPr>
                <w:rFonts w:eastAsia="Times New Roman" w:cs="Times New Roman"/>
                <w:color w:val="000000"/>
                <w:sz w:val="20"/>
                <w:szCs w:val="20"/>
                <w:highlight w:val="cyan"/>
                <w:lang w:val="sr-Cyrl-RS" w:eastAsia="sr-Cyrl-RS"/>
              </w:rPr>
            </w:pPr>
            <w:r w:rsidRPr="00EF2F18">
              <w:rPr>
                <w:sz w:val="20"/>
                <w:szCs w:val="20"/>
                <w:lang w:val="sr-Cyrl-RS"/>
              </w:rPr>
              <w:t>64.390</w:t>
            </w:r>
          </w:p>
        </w:tc>
        <w:tc>
          <w:tcPr>
            <w:tcW w:w="1440" w:type="dxa"/>
            <w:tcBorders>
              <w:top w:val="nil"/>
              <w:bottom w:val="single" w:sz="4" w:space="0" w:color="auto"/>
            </w:tcBorders>
          </w:tcPr>
          <w:p w14:paraId="7130D454" w14:textId="157D0740" w:rsidR="00F26B4C"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168.592</w:t>
            </w:r>
          </w:p>
        </w:tc>
        <w:tc>
          <w:tcPr>
            <w:tcW w:w="1530" w:type="dxa"/>
            <w:tcBorders>
              <w:top w:val="nil"/>
              <w:bottom w:val="single" w:sz="4" w:space="0" w:color="auto"/>
            </w:tcBorders>
          </w:tcPr>
          <w:p w14:paraId="794E93F9" w14:textId="3F12623E" w:rsidR="00F26B4C"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168.592</w:t>
            </w:r>
          </w:p>
        </w:tc>
      </w:tr>
      <w:tr w:rsidR="00F26B4C" w:rsidRPr="00EF2F18" w14:paraId="33DC08DA" w14:textId="77777777" w:rsidTr="00F26B4C">
        <w:trPr>
          <w:trHeight w:val="553"/>
        </w:trPr>
        <w:tc>
          <w:tcPr>
            <w:tcW w:w="2547" w:type="dxa"/>
            <w:vMerge w:val="restart"/>
          </w:tcPr>
          <w:p w14:paraId="145FC843" w14:textId="2AE1F269" w:rsidR="00F26B4C" w:rsidRPr="00EF2F18" w:rsidRDefault="00F26B4C" w:rsidP="007D4E98">
            <w:pPr>
              <w:rPr>
                <w:rFonts w:eastAsia="Times New Roman" w:cs="Times New Roman"/>
                <w:sz w:val="20"/>
                <w:szCs w:val="20"/>
                <w:lang w:val="sr-Cyrl-RS" w:eastAsia="sr-Cyrl-RS"/>
              </w:rPr>
            </w:pPr>
            <w:r w:rsidRPr="00EF2F18">
              <w:rPr>
                <w:rFonts w:eastAsia="Times New Roman" w:cs="Times New Roman"/>
                <w:color w:val="000000"/>
                <w:sz w:val="20"/>
                <w:szCs w:val="20"/>
                <w:lang w:val="sr-Cyrl-RS" w:eastAsia="sr-Cyrl-RS"/>
              </w:rPr>
              <w:lastRenderedPageBreak/>
              <w:t xml:space="preserve">3.2.1.5. Израда </w:t>
            </w:r>
            <w:bookmarkStart w:id="170" w:name="_Hlk69228230"/>
            <w:r w:rsidRPr="00EF2F18">
              <w:rPr>
                <w:rFonts w:eastAsia="Times New Roman" w:cs="Times New Roman"/>
                <w:color w:val="000000"/>
                <w:sz w:val="20"/>
                <w:szCs w:val="20"/>
                <w:lang w:val="sr-Cyrl-RS" w:eastAsia="sr-Cyrl-RS"/>
              </w:rPr>
              <w:t>техничке документације за водне објекте за снабдевање водом за пиће</w:t>
            </w:r>
            <w:bookmarkEnd w:id="170"/>
          </w:p>
        </w:tc>
        <w:tc>
          <w:tcPr>
            <w:tcW w:w="1134" w:type="dxa"/>
            <w:vMerge w:val="restart"/>
          </w:tcPr>
          <w:p w14:paraId="39927F84" w14:textId="391D7E30"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МПШВ-РДВ</w:t>
            </w:r>
          </w:p>
        </w:tc>
        <w:tc>
          <w:tcPr>
            <w:tcW w:w="1275" w:type="dxa"/>
            <w:vMerge w:val="restart"/>
          </w:tcPr>
          <w:p w14:paraId="4432C83D" w14:textId="3B7EBB53"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 ЈКП</w:t>
            </w:r>
          </w:p>
        </w:tc>
        <w:tc>
          <w:tcPr>
            <w:tcW w:w="1418" w:type="dxa"/>
            <w:vMerge w:val="restart"/>
          </w:tcPr>
          <w:p w14:paraId="6B38AB77" w14:textId="3B5D14DC"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4. квартал </w:t>
            </w:r>
            <w:r w:rsidR="001C29BE" w:rsidRPr="00EF2F18">
              <w:rPr>
                <w:rFonts w:eastAsia="Times New Roman" w:cs="Times New Roman"/>
                <w:color w:val="000000"/>
                <w:sz w:val="20"/>
                <w:szCs w:val="20"/>
                <w:lang w:val="sr-Cyrl-RS" w:eastAsia="sr-Cyrl-RS"/>
              </w:rPr>
              <w:t>2028</w:t>
            </w:r>
            <w:r w:rsidRPr="00EF2F18">
              <w:rPr>
                <w:rFonts w:eastAsia="Times New Roman" w:cs="Times New Roman"/>
                <w:color w:val="000000"/>
                <w:sz w:val="20"/>
                <w:szCs w:val="20"/>
                <w:lang w:val="sr-Cyrl-RS" w:eastAsia="sr-Cyrl-RS"/>
              </w:rPr>
              <w:t>.</w:t>
            </w:r>
            <w:r w:rsidR="001C29BE" w:rsidRPr="00EF2F18">
              <w:rPr>
                <w:rFonts w:eastAsia="Times New Roman" w:cs="Times New Roman"/>
                <w:color w:val="000000"/>
                <w:sz w:val="20"/>
                <w:szCs w:val="20"/>
                <w:lang w:val="sr-Cyrl-RS" w:eastAsia="sr-Cyrl-RS"/>
              </w:rPr>
              <w:t>***</w:t>
            </w:r>
          </w:p>
        </w:tc>
        <w:tc>
          <w:tcPr>
            <w:tcW w:w="1417" w:type="dxa"/>
            <w:vMerge w:val="restart"/>
          </w:tcPr>
          <w:p w14:paraId="128987F4" w14:textId="62B17DDF"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p w14:paraId="7816F63A" w14:textId="1F7FC04A" w:rsidR="00F26B4C" w:rsidRPr="00EF2F18" w:rsidRDefault="00F26B4C" w:rsidP="007D4E98">
            <w:pPr>
              <w:spacing w:after="0"/>
              <w:rPr>
                <w:rFonts w:eastAsia="Times New Roman" w:cs="Times New Roman"/>
                <w:color w:val="000000"/>
                <w:sz w:val="20"/>
                <w:szCs w:val="20"/>
                <w:lang w:val="sr-Cyrl-RS" w:eastAsia="sr-Cyrl-RS"/>
              </w:rPr>
            </w:pPr>
          </w:p>
        </w:tc>
        <w:tc>
          <w:tcPr>
            <w:tcW w:w="1256" w:type="dxa"/>
            <w:tcBorders>
              <w:bottom w:val="nil"/>
            </w:tcBorders>
            <w:vAlign w:val="center"/>
          </w:tcPr>
          <w:p w14:paraId="23F114F8" w14:textId="69322C95" w:rsidR="00F26B4C" w:rsidRPr="00EF2F18" w:rsidRDefault="00F26B4C" w:rsidP="00BA7B82">
            <w:pPr>
              <w:spacing w:after="0"/>
              <w:rPr>
                <w:rFonts w:eastAsia="Times New Roman" w:cs="Times New Roman"/>
                <w:color w:val="000000"/>
                <w:sz w:val="20"/>
                <w:szCs w:val="20"/>
                <w:highlight w:val="cyan"/>
                <w:lang w:val="sr-Cyrl-RS" w:eastAsia="sr-Cyrl-RS"/>
              </w:rPr>
            </w:pPr>
            <w:r w:rsidRPr="00EF2F18">
              <w:rPr>
                <w:sz w:val="20"/>
                <w:szCs w:val="20"/>
                <w:lang w:val="sr-Cyrl-RS"/>
              </w:rPr>
              <w:t>0401-630- 0002-463</w:t>
            </w:r>
          </w:p>
        </w:tc>
        <w:tc>
          <w:tcPr>
            <w:tcW w:w="1478" w:type="dxa"/>
            <w:tcBorders>
              <w:bottom w:val="nil"/>
            </w:tcBorders>
            <w:vAlign w:val="center"/>
          </w:tcPr>
          <w:p w14:paraId="06848866" w14:textId="7DFC5AE1" w:rsidR="00F26B4C" w:rsidRPr="00EF2F18" w:rsidRDefault="00BA7B82" w:rsidP="00BA7B82">
            <w:pPr>
              <w:spacing w:after="0"/>
              <w:jc w:val="right"/>
              <w:rPr>
                <w:rFonts w:eastAsia="Times New Roman" w:cs="Times New Roman"/>
                <w:color w:val="000000"/>
                <w:sz w:val="20"/>
                <w:szCs w:val="20"/>
                <w:highlight w:val="cyan"/>
                <w:lang w:val="sr-Cyrl-RS" w:eastAsia="sr-Cyrl-RS"/>
              </w:rPr>
            </w:pPr>
            <w:r w:rsidRPr="00EF2F18">
              <w:rPr>
                <w:sz w:val="20"/>
                <w:szCs w:val="20"/>
                <w:lang w:val="sr-Cyrl-RS"/>
              </w:rPr>
              <w:t>1.590</w:t>
            </w:r>
          </w:p>
        </w:tc>
        <w:tc>
          <w:tcPr>
            <w:tcW w:w="1440" w:type="dxa"/>
            <w:tcBorders>
              <w:bottom w:val="nil"/>
            </w:tcBorders>
          </w:tcPr>
          <w:p w14:paraId="5B17750E" w14:textId="77777777" w:rsidR="00BA7B82" w:rsidRPr="00EF2F18" w:rsidRDefault="00BA7B82" w:rsidP="00BA7B82">
            <w:pPr>
              <w:spacing w:after="0"/>
              <w:jc w:val="right"/>
              <w:rPr>
                <w:rFonts w:eastAsia="Times New Roman" w:cs="Times New Roman"/>
                <w:color w:val="000000"/>
                <w:sz w:val="20"/>
                <w:szCs w:val="20"/>
                <w:lang w:val="sr-Cyrl-RS" w:eastAsia="sr-Cyrl-RS"/>
              </w:rPr>
            </w:pPr>
          </w:p>
          <w:p w14:paraId="2571716C" w14:textId="299F3094" w:rsidR="00BA7B82" w:rsidRPr="00EF2F18" w:rsidRDefault="00BA7B82" w:rsidP="00BA7B82">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35.000</w:t>
            </w:r>
          </w:p>
        </w:tc>
        <w:tc>
          <w:tcPr>
            <w:tcW w:w="1530" w:type="dxa"/>
            <w:tcBorders>
              <w:bottom w:val="nil"/>
            </w:tcBorders>
          </w:tcPr>
          <w:p w14:paraId="5BEFC82E" w14:textId="77777777" w:rsidR="00BA7B82" w:rsidRPr="00EF2F18" w:rsidRDefault="00BA7B82" w:rsidP="007D4E98">
            <w:pPr>
              <w:spacing w:after="0"/>
              <w:jc w:val="right"/>
              <w:rPr>
                <w:rFonts w:eastAsia="Times New Roman" w:cs="Times New Roman"/>
                <w:color w:val="000000"/>
                <w:sz w:val="20"/>
                <w:szCs w:val="20"/>
                <w:lang w:val="sr-Cyrl-RS" w:eastAsia="sr-Cyrl-RS"/>
              </w:rPr>
            </w:pPr>
          </w:p>
          <w:p w14:paraId="0C18F0D6" w14:textId="77CF0495" w:rsidR="00F26B4C"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35.000</w:t>
            </w:r>
          </w:p>
        </w:tc>
      </w:tr>
      <w:tr w:rsidR="00F26B4C" w:rsidRPr="00EF2F18" w14:paraId="00C58760" w14:textId="77777777" w:rsidTr="00F26B4C">
        <w:trPr>
          <w:trHeight w:val="561"/>
        </w:trPr>
        <w:tc>
          <w:tcPr>
            <w:tcW w:w="2547" w:type="dxa"/>
            <w:vMerge/>
          </w:tcPr>
          <w:p w14:paraId="706E0220"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134" w:type="dxa"/>
            <w:vMerge/>
          </w:tcPr>
          <w:p w14:paraId="47548587"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275" w:type="dxa"/>
            <w:vMerge/>
          </w:tcPr>
          <w:p w14:paraId="10936848"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18" w:type="dxa"/>
            <w:vMerge/>
          </w:tcPr>
          <w:p w14:paraId="02145CA4" w14:textId="77777777"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17" w:type="dxa"/>
            <w:vMerge/>
            <w:tcBorders>
              <w:bottom w:val="nil"/>
            </w:tcBorders>
          </w:tcPr>
          <w:p w14:paraId="6232A1D2"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256" w:type="dxa"/>
            <w:tcBorders>
              <w:top w:val="nil"/>
              <w:bottom w:val="nil"/>
            </w:tcBorders>
            <w:vAlign w:val="center"/>
          </w:tcPr>
          <w:p w14:paraId="4B76CF81" w14:textId="28A72853" w:rsidR="00F26B4C" w:rsidRPr="00EF2F18" w:rsidRDefault="00F26B4C" w:rsidP="007D4E98">
            <w:pPr>
              <w:spacing w:after="0"/>
              <w:rPr>
                <w:rFonts w:eastAsia="Times New Roman" w:cs="Times New Roman"/>
                <w:color w:val="000000"/>
                <w:sz w:val="20"/>
                <w:szCs w:val="20"/>
                <w:highlight w:val="cyan"/>
                <w:lang w:val="sr-Cyrl-RS" w:eastAsia="sr-Cyrl-RS"/>
              </w:rPr>
            </w:pPr>
            <w:r w:rsidRPr="00EF2F18">
              <w:rPr>
                <w:sz w:val="20"/>
                <w:szCs w:val="20"/>
                <w:lang w:val="sr-Cyrl-RS"/>
              </w:rPr>
              <w:t>0401-630- 0002-511</w:t>
            </w:r>
          </w:p>
        </w:tc>
        <w:tc>
          <w:tcPr>
            <w:tcW w:w="1478" w:type="dxa"/>
            <w:tcBorders>
              <w:top w:val="nil"/>
              <w:bottom w:val="nil"/>
            </w:tcBorders>
            <w:vAlign w:val="center"/>
          </w:tcPr>
          <w:p w14:paraId="267A1489" w14:textId="1DB723BA" w:rsidR="00F26B4C" w:rsidRPr="00EF2F18" w:rsidRDefault="00BA7B82" w:rsidP="007D4E98">
            <w:pPr>
              <w:spacing w:after="0"/>
              <w:jc w:val="right"/>
              <w:rPr>
                <w:rFonts w:eastAsia="Times New Roman" w:cs="Times New Roman"/>
                <w:color w:val="000000"/>
                <w:sz w:val="20"/>
                <w:szCs w:val="20"/>
                <w:highlight w:val="cyan"/>
                <w:lang w:val="sr-Cyrl-RS" w:eastAsia="sr-Cyrl-RS"/>
              </w:rPr>
            </w:pPr>
            <w:r w:rsidRPr="00EF2F18">
              <w:rPr>
                <w:sz w:val="20"/>
                <w:szCs w:val="20"/>
                <w:lang w:val="sr-Cyrl-RS"/>
              </w:rPr>
              <w:t>1.800</w:t>
            </w:r>
          </w:p>
        </w:tc>
        <w:tc>
          <w:tcPr>
            <w:tcW w:w="1440" w:type="dxa"/>
            <w:tcBorders>
              <w:top w:val="nil"/>
              <w:bottom w:val="nil"/>
            </w:tcBorders>
          </w:tcPr>
          <w:p w14:paraId="43E785BD"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34729CB1" w14:textId="6DC4D98A" w:rsidR="00BA7B82"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20.072</w:t>
            </w:r>
          </w:p>
        </w:tc>
        <w:tc>
          <w:tcPr>
            <w:tcW w:w="1530" w:type="dxa"/>
            <w:tcBorders>
              <w:top w:val="nil"/>
              <w:bottom w:val="nil"/>
            </w:tcBorders>
          </w:tcPr>
          <w:p w14:paraId="4E6FE7FA"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2BF212BC" w14:textId="602749DE" w:rsidR="00BA7B82"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20.072</w:t>
            </w:r>
          </w:p>
        </w:tc>
      </w:tr>
      <w:tr w:rsidR="00F26B4C" w:rsidRPr="00EF2F18" w14:paraId="3E9A6E13" w14:textId="77777777" w:rsidTr="00F26B4C">
        <w:trPr>
          <w:trHeight w:val="554"/>
        </w:trPr>
        <w:tc>
          <w:tcPr>
            <w:tcW w:w="2547" w:type="dxa"/>
            <w:vMerge/>
          </w:tcPr>
          <w:p w14:paraId="0B0D0F03" w14:textId="20BAD860"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134" w:type="dxa"/>
            <w:vMerge/>
          </w:tcPr>
          <w:p w14:paraId="0F05A94E" w14:textId="68EB2A18"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275" w:type="dxa"/>
            <w:vMerge/>
          </w:tcPr>
          <w:p w14:paraId="673CC630" w14:textId="2E575F2E"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18" w:type="dxa"/>
            <w:vMerge/>
          </w:tcPr>
          <w:p w14:paraId="218C09C3" w14:textId="2C78B8D4"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17" w:type="dxa"/>
            <w:tcBorders>
              <w:top w:val="nil"/>
            </w:tcBorders>
          </w:tcPr>
          <w:p w14:paraId="432C2A8D" w14:textId="77777777" w:rsidR="00F26B4C" w:rsidRPr="00EF2F18" w:rsidRDefault="00F26B4C" w:rsidP="007D4E98">
            <w:pPr>
              <w:spacing w:after="0"/>
              <w:rPr>
                <w:rFonts w:eastAsia="Times New Roman" w:cs="Times New Roman"/>
                <w:color w:val="000000"/>
                <w:sz w:val="20"/>
                <w:szCs w:val="20"/>
                <w:lang w:val="sr-Cyrl-RS" w:eastAsia="sr-Cyrl-RS"/>
              </w:rPr>
            </w:pPr>
          </w:p>
          <w:p w14:paraId="145F4E04" w14:textId="5B1802B1"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256" w:type="dxa"/>
            <w:tcBorders>
              <w:top w:val="nil"/>
            </w:tcBorders>
          </w:tcPr>
          <w:p w14:paraId="2740B091" w14:textId="1849BEF8" w:rsidR="00F26B4C" w:rsidRPr="00EF2F18" w:rsidRDefault="00F26B4C" w:rsidP="007D4E98">
            <w:pPr>
              <w:spacing w:after="0"/>
              <w:rPr>
                <w:rFonts w:eastAsia="Times New Roman" w:cs="Times New Roman"/>
                <w:color w:val="000000"/>
                <w:sz w:val="20"/>
                <w:szCs w:val="20"/>
                <w:highlight w:val="cyan"/>
                <w:lang w:val="sr-Cyrl-RS" w:eastAsia="sr-Cyrl-RS"/>
              </w:rPr>
            </w:pPr>
          </w:p>
        </w:tc>
        <w:tc>
          <w:tcPr>
            <w:tcW w:w="1478" w:type="dxa"/>
            <w:tcBorders>
              <w:top w:val="nil"/>
            </w:tcBorders>
            <w:vAlign w:val="center"/>
          </w:tcPr>
          <w:p w14:paraId="7B7F77D7" w14:textId="3F886A6A" w:rsidR="00F26B4C" w:rsidRPr="00EF2F18" w:rsidRDefault="00BA7B82" w:rsidP="007D4E98">
            <w:pPr>
              <w:spacing w:after="0"/>
              <w:jc w:val="right"/>
              <w:rPr>
                <w:rFonts w:eastAsia="Times New Roman" w:cs="Times New Roman"/>
                <w:color w:val="000000"/>
                <w:sz w:val="20"/>
                <w:szCs w:val="20"/>
                <w:highlight w:val="cyan"/>
                <w:lang w:val="sr-Cyrl-RS" w:eastAsia="sr-Cyrl-RS"/>
              </w:rPr>
            </w:pPr>
            <w:r w:rsidRPr="00EF2F18">
              <w:rPr>
                <w:sz w:val="20"/>
                <w:szCs w:val="20"/>
                <w:lang w:val="sr-Cyrl-RS"/>
              </w:rPr>
              <w:t>3.390</w:t>
            </w:r>
          </w:p>
        </w:tc>
        <w:tc>
          <w:tcPr>
            <w:tcW w:w="1440" w:type="dxa"/>
            <w:tcBorders>
              <w:top w:val="nil"/>
            </w:tcBorders>
          </w:tcPr>
          <w:p w14:paraId="42D5D943"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64255F3A" w14:textId="2065839E" w:rsidR="00BA7B82"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55.072</w:t>
            </w:r>
          </w:p>
        </w:tc>
        <w:tc>
          <w:tcPr>
            <w:tcW w:w="1530" w:type="dxa"/>
            <w:tcBorders>
              <w:top w:val="nil"/>
            </w:tcBorders>
          </w:tcPr>
          <w:p w14:paraId="24A634C6"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08C3121C" w14:textId="06600774" w:rsidR="00BA7B82" w:rsidRPr="00EF2F18" w:rsidRDefault="00BA7B82"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55.072</w:t>
            </w:r>
          </w:p>
        </w:tc>
      </w:tr>
      <w:tr w:rsidR="00F26B4C" w:rsidRPr="00EF2F18" w14:paraId="13B3C5AC" w14:textId="77777777" w:rsidTr="00F26B4C">
        <w:trPr>
          <w:trHeight w:val="3684"/>
        </w:trPr>
        <w:tc>
          <w:tcPr>
            <w:tcW w:w="2547" w:type="dxa"/>
            <w:vMerge w:val="restart"/>
            <w:hideMark/>
          </w:tcPr>
          <w:p w14:paraId="457DA7B1" w14:textId="1E67CF92"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3.2.1.6. Унапређивање годишњег плана испитивања биолошких, хемијских и микробиолошких параметара исправности воде у складу са Оквирном директивом о водама (број и места узорковања, обим анализе) и обезбеђивање средстава за минимални обим испитивања потребног за сагледавање стања квалитета воде за пиће из објеката за јавно водоснабдевање који нису обухваћени постојећим програмом, као и континуирани мониторинг сирове и прерађене воде</w:t>
            </w:r>
          </w:p>
        </w:tc>
        <w:tc>
          <w:tcPr>
            <w:tcW w:w="1134" w:type="dxa"/>
            <w:vMerge w:val="restart"/>
            <w:hideMark/>
          </w:tcPr>
          <w:p w14:paraId="00971483"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p>
        </w:tc>
        <w:tc>
          <w:tcPr>
            <w:tcW w:w="1275" w:type="dxa"/>
            <w:vMerge w:val="restart"/>
            <w:hideMark/>
          </w:tcPr>
          <w:p w14:paraId="3EFA8596"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ИЗЈЗС</w:t>
            </w:r>
          </w:p>
        </w:tc>
        <w:tc>
          <w:tcPr>
            <w:tcW w:w="1418" w:type="dxa"/>
            <w:vMerge w:val="restart"/>
            <w:hideMark/>
          </w:tcPr>
          <w:p w14:paraId="2BE3947A" w14:textId="3A287C72"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382D07" w:rsidRPr="00EF2F18">
              <w:rPr>
                <w:rFonts w:eastAsia="Times New Roman" w:cs="Times New Roman"/>
                <w:color w:val="000000"/>
                <w:sz w:val="20"/>
                <w:szCs w:val="20"/>
                <w:lang w:val="sr-Cyrl-RS" w:eastAsia="sr-Cyrl-RS"/>
              </w:rPr>
              <w:t>6</w:t>
            </w:r>
            <w:r w:rsidRPr="00EF2F18">
              <w:rPr>
                <w:rFonts w:eastAsia="Times New Roman" w:cs="Times New Roman"/>
                <w:color w:val="000000"/>
                <w:sz w:val="20"/>
                <w:szCs w:val="20"/>
                <w:lang w:val="sr-Cyrl-RS" w:eastAsia="sr-Cyrl-RS"/>
              </w:rPr>
              <w:t>.</w:t>
            </w:r>
          </w:p>
        </w:tc>
        <w:tc>
          <w:tcPr>
            <w:tcW w:w="1417" w:type="dxa"/>
            <w:vMerge w:val="restart"/>
            <w:hideMark/>
          </w:tcPr>
          <w:p w14:paraId="54C3C81D"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256" w:type="dxa"/>
            <w:tcBorders>
              <w:bottom w:val="nil"/>
            </w:tcBorders>
            <w:hideMark/>
          </w:tcPr>
          <w:p w14:paraId="75E0D86C" w14:textId="1025C9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1802-760-0001-465</w:t>
            </w:r>
          </w:p>
          <w:p w14:paraId="4DDBA9E9" w14:textId="77777777" w:rsidR="00F26B4C" w:rsidRPr="00EF2F18" w:rsidRDefault="00F26B4C" w:rsidP="007D4E98">
            <w:pPr>
              <w:spacing w:after="0"/>
              <w:rPr>
                <w:rFonts w:eastAsia="Times New Roman" w:cs="Times New Roman"/>
                <w:color w:val="000000"/>
                <w:sz w:val="20"/>
                <w:szCs w:val="20"/>
                <w:lang w:val="sr-Cyrl-RS" w:eastAsia="sr-Cyrl-RS"/>
              </w:rPr>
            </w:pPr>
          </w:p>
          <w:p w14:paraId="7F122117" w14:textId="4E70FADC"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1802-760-0002-465</w:t>
            </w:r>
          </w:p>
        </w:tc>
        <w:tc>
          <w:tcPr>
            <w:tcW w:w="1478" w:type="dxa"/>
            <w:tcBorders>
              <w:bottom w:val="nil"/>
            </w:tcBorders>
            <w:hideMark/>
          </w:tcPr>
          <w:p w14:paraId="4E0D3193" w14:textId="2978C1C4"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57.410</w:t>
            </w:r>
          </w:p>
          <w:p w14:paraId="6B33C2FF"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3BCC8E5F"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317EB558" w14:textId="70329D9B"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114.822</w:t>
            </w:r>
          </w:p>
        </w:tc>
        <w:tc>
          <w:tcPr>
            <w:tcW w:w="1440" w:type="dxa"/>
            <w:tcBorders>
              <w:bottom w:val="nil"/>
            </w:tcBorders>
            <w:hideMark/>
          </w:tcPr>
          <w:p w14:paraId="64FFBAD9" w14:textId="1C26CAA8"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75.408</w:t>
            </w:r>
          </w:p>
          <w:p w14:paraId="41AFF46B"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164081B1"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43BC2E74" w14:textId="30185FC3"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150.817</w:t>
            </w:r>
          </w:p>
        </w:tc>
        <w:tc>
          <w:tcPr>
            <w:tcW w:w="1530" w:type="dxa"/>
            <w:tcBorders>
              <w:bottom w:val="nil"/>
            </w:tcBorders>
            <w:hideMark/>
          </w:tcPr>
          <w:p w14:paraId="254EF91A"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61B70F91"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46DD2590" w14:textId="77777777" w:rsidR="00F26B4C" w:rsidRPr="00EF2F18" w:rsidRDefault="00F26B4C" w:rsidP="007D4E98">
            <w:pPr>
              <w:spacing w:after="0"/>
              <w:jc w:val="right"/>
              <w:rPr>
                <w:rFonts w:eastAsia="Times New Roman" w:cs="Times New Roman"/>
                <w:color w:val="000000"/>
                <w:sz w:val="20"/>
                <w:szCs w:val="20"/>
                <w:lang w:val="sr-Cyrl-RS" w:eastAsia="sr-Cyrl-RS"/>
              </w:rPr>
            </w:pPr>
          </w:p>
          <w:p w14:paraId="2CF6D0C4" w14:textId="315B1EC3" w:rsidR="00F26B4C" w:rsidRPr="00EF2F18" w:rsidRDefault="00F26B4C" w:rsidP="007D4E98">
            <w:pPr>
              <w:spacing w:after="0"/>
              <w:jc w:val="right"/>
              <w:rPr>
                <w:rFonts w:eastAsia="Times New Roman" w:cs="Times New Roman"/>
                <w:color w:val="000000"/>
                <w:sz w:val="20"/>
                <w:szCs w:val="20"/>
                <w:lang w:val="sr-Cyrl-RS" w:eastAsia="sr-Cyrl-RS"/>
              </w:rPr>
            </w:pPr>
          </w:p>
        </w:tc>
      </w:tr>
      <w:tr w:rsidR="00F26B4C" w:rsidRPr="00EF2F18" w14:paraId="4C885789" w14:textId="77777777" w:rsidTr="00F26B4C">
        <w:trPr>
          <w:trHeight w:val="540"/>
        </w:trPr>
        <w:tc>
          <w:tcPr>
            <w:tcW w:w="2547" w:type="dxa"/>
            <w:vMerge/>
            <w:vAlign w:val="center"/>
            <w:hideMark/>
          </w:tcPr>
          <w:p w14:paraId="72B3227C"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134" w:type="dxa"/>
            <w:vMerge/>
            <w:vAlign w:val="center"/>
            <w:hideMark/>
          </w:tcPr>
          <w:p w14:paraId="5D3EE86E"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275" w:type="dxa"/>
            <w:vMerge/>
            <w:vAlign w:val="center"/>
            <w:hideMark/>
          </w:tcPr>
          <w:p w14:paraId="5167A7B1"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418" w:type="dxa"/>
            <w:vMerge/>
            <w:vAlign w:val="center"/>
            <w:hideMark/>
          </w:tcPr>
          <w:p w14:paraId="10990214"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417" w:type="dxa"/>
            <w:vMerge/>
            <w:vAlign w:val="center"/>
            <w:hideMark/>
          </w:tcPr>
          <w:p w14:paraId="58F16566"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256" w:type="dxa"/>
            <w:tcBorders>
              <w:top w:val="nil"/>
            </w:tcBorders>
            <w:hideMark/>
          </w:tcPr>
          <w:p w14:paraId="3FCBD35F" w14:textId="77777777" w:rsidR="00F26B4C" w:rsidRPr="00EF2F18" w:rsidRDefault="00F26B4C" w:rsidP="007D4E98">
            <w:pPr>
              <w:spacing w:after="0"/>
              <w:rPr>
                <w:rFonts w:eastAsia="Times New Roman" w:cs="Times New Roman"/>
                <w:color w:val="000000"/>
                <w:sz w:val="20"/>
                <w:szCs w:val="20"/>
                <w:lang w:val="sr-Cyrl-RS" w:eastAsia="sr-Cyrl-RS"/>
              </w:rPr>
            </w:pPr>
          </w:p>
        </w:tc>
        <w:tc>
          <w:tcPr>
            <w:tcW w:w="1478" w:type="dxa"/>
            <w:tcBorders>
              <w:top w:val="nil"/>
            </w:tcBorders>
          </w:tcPr>
          <w:p w14:paraId="753C1770" w14:textId="77777777" w:rsidR="00F26B4C" w:rsidRPr="00EF2F18" w:rsidRDefault="00F26B4C" w:rsidP="007D4E98">
            <w:pPr>
              <w:spacing w:after="0"/>
              <w:jc w:val="right"/>
              <w:rPr>
                <w:rFonts w:eastAsia="Times New Roman" w:cs="Times New Roman"/>
                <w:color w:val="000000"/>
                <w:sz w:val="20"/>
                <w:szCs w:val="20"/>
                <w:lang w:val="sr-Cyrl-RS" w:eastAsia="sr-Cyrl-RS"/>
              </w:rPr>
            </w:pPr>
          </w:p>
        </w:tc>
        <w:tc>
          <w:tcPr>
            <w:tcW w:w="1440" w:type="dxa"/>
            <w:tcBorders>
              <w:top w:val="nil"/>
            </w:tcBorders>
          </w:tcPr>
          <w:p w14:paraId="1D5C15A8" w14:textId="77777777" w:rsidR="00F26B4C" w:rsidRPr="00EF2F18" w:rsidRDefault="00F26B4C" w:rsidP="007D4E98">
            <w:pPr>
              <w:spacing w:after="0"/>
              <w:jc w:val="right"/>
              <w:rPr>
                <w:rFonts w:eastAsia="Times New Roman" w:cs="Times New Roman"/>
                <w:color w:val="000000"/>
                <w:sz w:val="20"/>
                <w:szCs w:val="20"/>
                <w:lang w:val="sr-Cyrl-RS" w:eastAsia="sr-Cyrl-RS"/>
              </w:rPr>
            </w:pPr>
          </w:p>
        </w:tc>
        <w:tc>
          <w:tcPr>
            <w:tcW w:w="1530" w:type="dxa"/>
            <w:tcBorders>
              <w:top w:val="nil"/>
            </w:tcBorders>
          </w:tcPr>
          <w:p w14:paraId="70B78C25" w14:textId="77777777" w:rsidR="00F26B4C" w:rsidRPr="00EF2F18" w:rsidRDefault="00F26B4C" w:rsidP="007D4E98">
            <w:pPr>
              <w:spacing w:after="0"/>
              <w:jc w:val="right"/>
              <w:rPr>
                <w:rFonts w:eastAsia="Times New Roman" w:cs="Times New Roman"/>
                <w:color w:val="000000"/>
                <w:sz w:val="20"/>
                <w:szCs w:val="20"/>
                <w:lang w:val="sr-Cyrl-RS" w:eastAsia="sr-Cyrl-RS"/>
              </w:rPr>
            </w:pPr>
          </w:p>
        </w:tc>
      </w:tr>
      <w:tr w:rsidR="00F26B4C" w:rsidRPr="00EF2F18" w14:paraId="77E21AD0" w14:textId="77777777" w:rsidTr="00F26B4C">
        <w:trPr>
          <w:trHeight w:val="1068"/>
        </w:trPr>
        <w:tc>
          <w:tcPr>
            <w:tcW w:w="2547" w:type="dxa"/>
            <w:hideMark/>
          </w:tcPr>
          <w:p w14:paraId="2592F26C" w14:textId="51DF87BC"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3.2.1.7. Успостављање система за праћење оболевања деце и одраслих услед хемијске неисправности воде за пиће**</w:t>
            </w:r>
          </w:p>
        </w:tc>
        <w:tc>
          <w:tcPr>
            <w:tcW w:w="1134" w:type="dxa"/>
            <w:hideMark/>
          </w:tcPr>
          <w:p w14:paraId="116ACFEF"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p>
        </w:tc>
        <w:tc>
          <w:tcPr>
            <w:tcW w:w="1275" w:type="dxa"/>
            <w:hideMark/>
          </w:tcPr>
          <w:p w14:paraId="49B7CE3A" w14:textId="46660571"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 МЗЖС, ЗЗЈЗ</w:t>
            </w:r>
          </w:p>
        </w:tc>
        <w:tc>
          <w:tcPr>
            <w:tcW w:w="1418" w:type="dxa"/>
            <w:hideMark/>
          </w:tcPr>
          <w:p w14:paraId="2B6F6F13"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17" w:type="dxa"/>
            <w:hideMark/>
          </w:tcPr>
          <w:p w14:paraId="6D04E3DF" w14:textId="2E47E4A3"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256" w:type="dxa"/>
            <w:hideMark/>
          </w:tcPr>
          <w:p w14:paraId="6FA6D626" w14:textId="7003FF66" w:rsidR="00F26B4C" w:rsidRPr="00EF2F18" w:rsidRDefault="00F26B4C" w:rsidP="007D4E98">
            <w:pPr>
              <w:spacing w:after="0"/>
              <w:rPr>
                <w:rFonts w:eastAsia="Times New Roman" w:cs="Times New Roman"/>
                <w:color w:val="000000"/>
                <w:sz w:val="20"/>
                <w:szCs w:val="20"/>
                <w:lang w:val="sr-Cyrl-RS" w:eastAsia="sr-Cyrl-RS"/>
              </w:rPr>
            </w:pPr>
          </w:p>
        </w:tc>
        <w:tc>
          <w:tcPr>
            <w:tcW w:w="1478" w:type="dxa"/>
            <w:hideMark/>
          </w:tcPr>
          <w:p w14:paraId="34A4EC7A" w14:textId="77777777"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3.712*</w:t>
            </w:r>
          </w:p>
        </w:tc>
        <w:tc>
          <w:tcPr>
            <w:tcW w:w="1440" w:type="dxa"/>
            <w:hideMark/>
          </w:tcPr>
          <w:p w14:paraId="3610E1C2" w14:textId="77777777"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3.712*</w:t>
            </w:r>
          </w:p>
        </w:tc>
        <w:tc>
          <w:tcPr>
            <w:tcW w:w="1530" w:type="dxa"/>
            <w:hideMark/>
          </w:tcPr>
          <w:p w14:paraId="40B1965C" w14:textId="77777777"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3.712*</w:t>
            </w:r>
          </w:p>
        </w:tc>
      </w:tr>
      <w:tr w:rsidR="00F26B4C" w:rsidRPr="00EF2F18" w14:paraId="2FD3F399" w14:textId="77777777" w:rsidTr="00F26B4C">
        <w:trPr>
          <w:trHeight w:val="1596"/>
        </w:trPr>
        <w:tc>
          <w:tcPr>
            <w:tcW w:w="2547" w:type="dxa"/>
            <w:hideMark/>
          </w:tcPr>
          <w:p w14:paraId="382BA422" w14:textId="3A9F5D4D"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3.2.1.8. Едукација о здравственој исправности воде за пиће, подизање свести о значају исправности воде за пиће и припрема препорука о утицајима неисправне воде на здравље**</w:t>
            </w:r>
          </w:p>
        </w:tc>
        <w:tc>
          <w:tcPr>
            <w:tcW w:w="1134" w:type="dxa"/>
            <w:hideMark/>
          </w:tcPr>
          <w:p w14:paraId="7D448EE1"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w:t>
            </w:r>
          </w:p>
        </w:tc>
        <w:tc>
          <w:tcPr>
            <w:tcW w:w="1275" w:type="dxa"/>
            <w:hideMark/>
          </w:tcPr>
          <w:p w14:paraId="4A2A4878"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МПШВ, МЗЖС, ЗЗЈЗ</w:t>
            </w:r>
          </w:p>
        </w:tc>
        <w:tc>
          <w:tcPr>
            <w:tcW w:w="1418" w:type="dxa"/>
            <w:hideMark/>
          </w:tcPr>
          <w:p w14:paraId="532B11D0" w14:textId="77777777"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17" w:type="dxa"/>
            <w:hideMark/>
          </w:tcPr>
          <w:p w14:paraId="365739D2" w14:textId="613258EC" w:rsidR="00F26B4C" w:rsidRPr="00EF2F18" w:rsidRDefault="00F26B4C" w:rsidP="007D4E98">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256" w:type="dxa"/>
            <w:hideMark/>
          </w:tcPr>
          <w:p w14:paraId="4B51FE49" w14:textId="247D2513" w:rsidR="00F26B4C" w:rsidRPr="00EF2F18" w:rsidRDefault="00F26B4C" w:rsidP="007D4E98">
            <w:pPr>
              <w:spacing w:after="0"/>
              <w:rPr>
                <w:rFonts w:eastAsia="Times New Roman" w:cs="Times New Roman"/>
                <w:color w:val="000000"/>
                <w:sz w:val="20"/>
                <w:szCs w:val="20"/>
                <w:lang w:val="sr-Cyrl-RS" w:eastAsia="sr-Cyrl-RS"/>
              </w:rPr>
            </w:pPr>
          </w:p>
        </w:tc>
        <w:tc>
          <w:tcPr>
            <w:tcW w:w="1478" w:type="dxa"/>
            <w:hideMark/>
          </w:tcPr>
          <w:p w14:paraId="2AA9B3B0" w14:textId="77777777"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3.300*</w:t>
            </w:r>
          </w:p>
        </w:tc>
        <w:tc>
          <w:tcPr>
            <w:tcW w:w="1440" w:type="dxa"/>
            <w:hideMark/>
          </w:tcPr>
          <w:p w14:paraId="4B5F2F51" w14:textId="77777777"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3.300*</w:t>
            </w:r>
          </w:p>
        </w:tc>
        <w:tc>
          <w:tcPr>
            <w:tcW w:w="1530" w:type="dxa"/>
            <w:hideMark/>
          </w:tcPr>
          <w:p w14:paraId="1DA7221A" w14:textId="77777777" w:rsidR="00F26B4C" w:rsidRPr="00EF2F18" w:rsidRDefault="00F26B4C" w:rsidP="007D4E98">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3.300*</w:t>
            </w:r>
          </w:p>
        </w:tc>
      </w:tr>
    </w:tbl>
    <w:p w14:paraId="6970B9F4" w14:textId="7466DF8C" w:rsidR="00ED19C2" w:rsidRPr="00EF2F18" w:rsidRDefault="00ED19C2"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134F83D" w14:textId="29EAF925" w:rsidR="007D7243" w:rsidRPr="00EF2F18" w:rsidRDefault="007D7243" w:rsidP="007D7243">
      <w:pPr>
        <w:spacing w:after="0"/>
        <w:rPr>
          <w:rFonts w:cs="Times New Roman"/>
          <w:sz w:val="20"/>
          <w:szCs w:val="20"/>
          <w:lang w:val="sr-Cyrl-RS"/>
        </w:rPr>
      </w:pPr>
      <w:r w:rsidRPr="00EF2F18">
        <w:rPr>
          <w:rFonts w:cs="Times New Roman"/>
          <w:sz w:val="20"/>
          <w:szCs w:val="20"/>
          <w:lang w:val="sr-Cyrl-RS"/>
        </w:rPr>
        <w:t>*</w:t>
      </w:r>
      <w:r w:rsidR="00FF10A6" w:rsidRPr="00EF2F18">
        <w:rPr>
          <w:rFonts w:cs="Times New Roman"/>
          <w:sz w:val="20"/>
          <w:szCs w:val="20"/>
          <w:lang w:val="sr-Cyrl-RS"/>
        </w:rPr>
        <w:t>*</w:t>
      </w:r>
      <w:r w:rsidRPr="00EF2F18">
        <w:rPr>
          <w:rFonts w:cs="Times New Roman"/>
          <w:sz w:val="20"/>
          <w:szCs w:val="20"/>
          <w:lang w:val="sr-Cyrl-RS"/>
        </w:rPr>
        <w:t>Извор: модификовано из Плана акције за животну средину и здравље деце у Републици Србији за период 2009 – 2019. године („Службени гласник РС</w:t>
      </w:r>
      <w:r w:rsidR="00A64280" w:rsidRPr="00EF2F18">
        <w:rPr>
          <w:rFonts w:cs="Times New Roman"/>
          <w:sz w:val="20"/>
          <w:szCs w:val="20"/>
          <w:lang w:val="sr-Cyrl-RS"/>
        </w:rPr>
        <w:t>”</w:t>
      </w:r>
      <w:r w:rsidR="008D5ABD">
        <w:rPr>
          <w:rFonts w:cs="Times New Roman"/>
          <w:sz w:val="20"/>
          <w:szCs w:val="20"/>
          <w:lang w:val="sr-Cyrl-RS"/>
        </w:rPr>
        <w:t>, број 83/</w:t>
      </w:r>
      <w:r w:rsidRPr="00EF2F18">
        <w:rPr>
          <w:rFonts w:cs="Times New Roman"/>
          <w:sz w:val="20"/>
          <w:szCs w:val="20"/>
          <w:lang w:val="sr-Cyrl-RS"/>
        </w:rPr>
        <w:t>09)</w:t>
      </w:r>
      <w:r w:rsidR="003E7A1E" w:rsidRPr="00EF2F18">
        <w:rPr>
          <w:rFonts w:cs="Times New Roman"/>
          <w:sz w:val="20"/>
          <w:szCs w:val="20"/>
          <w:lang w:val="sr-Cyrl-RS"/>
        </w:rPr>
        <w:t>.</w:t>
      </w:r>
    </w:p>
    <w:p w14:paraId="3774DBE6" w14:textId="68DE23EF" w:rsidR="001C29BE" w:rsidRPr="00EF2F18" w:rsidRDefault="001C29BE" w:rsidP="007D7243">
      <w:pPr>
        <w:spacing w:after="0"/>
        <w:rPr>
          <w:rFonts w:cs="Times New Roman"/>
          <w:sz w:val="20"/>
          <w:szCs w:val="20"/>
          <w:lang w:val="sr-Cyrl-RS"/>
        </w:rPr>
      </w:pPr>
      <w:r w:rsidRPr="00EF2F18">
        <w:rPr>
          <w:rFonts w:cs="Times New Roman"/>
          <w:sz w:val="20"/>
          <w:szCs w:val="20"/>
          <w:lang w:val="sr-Cyrl-RS"/>
        </w:rPr>
        <w:t>*** Ова активност се наставља и након периода важења овог акционог плана</w:t>
      </w:r>
    </w:p>
    <w:p w14:paraId="18243D30" w14:textId="77777777" w:rsidR="007D7243" w:rsidRPr="00EF2F18" w:rsidRDefault="007D7243" w:rsidP="007D7243">
      <w:pPr>
        <w:tabs>
          <w:tab w:val="left" w:pos="1940"/>
        </w:tabs>
        <w:spacing w:after="0"/>
        <w:rPr>
          <w:rFonts w:cs="Times New Roman"/>
          <w:sz w:val="20"/>
          <w:szCs w:val="20"/>
          <w:lang w:val="sr-Cyrl-RS"/>
        </w:rPr>
      </w:pPr>
      <w:bookmarkStart w:id="171" w:name="_Hlk146451926"/>
      <w:bookmarkEnd w:id="168"/>
    </w:p>
    <w:tbl>
      <w:tblPr>
        <w:tblW w:w="13444" w:type="dxa"/>
        <w:tblLook w:val="04A0" w:firstRow="1" w:lastRow="0" w:firstColumn="1" w:lastColumn="0" w:noHBand="0" w:noVBand="1"/>
      </w:tblPr>
      <w:tblGrid>
        <w:gridCol w:w="3031"/>
        <w:gridCol w:w="1269"/>
        <w:gridCol w:w="1406"/>
        <w:gridCol w:w="1013"/>
        <w:gridCol w:w="796"/>
        <w:gridCol w:w="1491"/>
        <w:gridCol w:w="1231"/>
        <w:gridCol w:w="1530"/>
        <w:gridCol w:w="1677"/>
      </w:tblGrid>
      <w:tr w:rsidR="007D7243" w:rsidRPr="00EF2F18" w14:paraId="2247E76F" w14:textId="77777777" w:rsidTr="00752CA0">
        <w:trPr>
          <w:trHeight w:val="336"/>
        </w:trPr>
        <w:tc>
          <w:tcPr>
            <w:tcW w:w="13444"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414C2C2F"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3.2.2: Развој система за прикупљање и пречишћавање отпадних вода</w:t>
            </w:r>
          </w:p>
        </w:tc>
      </w:tr>
      <w:tr w:rsidR="007D7243" w:rsidRPr="00EF2F18" w14:paraId="2BD4E317" w14:textId="77777777" w:rsidTr="00752CA0">
        <w:trPr>
          <w:trHeight w:val="336"/>
        </w:trPr>
        <w:tc>
          <w:tcPr>
            <w:tcW w:w="13444"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3B86576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46DFC27F" w14:textId="77777777" w:rsidTr="00752CA0">
        <w:trPr>
          <w:trHeight w:val="336"/>
        </w:trPr>
        <w:tc>
          <w:tcPr>
            <w:tcW w:w="6719"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2118B1D0" w14:textId="66987CCB"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F26B4C"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725"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4B6A44D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p>
        </w:tc>
      </w:tr>
      <w:tr w:rsidR="007D7243" w:rsidRPr="00EF2F18" w14:paraId="71F0BFFF" w14:textId="77777777" w:rsidTr="00F26B4C">
        <w:trPr>
          <w:trHeight w:val="336"/>
        </w:trPr>
        <w:tc>
          <w:tcPr>
            <w:tcW w:w="6719"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11356C8A"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25"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49919AE9"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F26B4C" w:rsidRPr="00EF2F18" w14:paraId="6672282E" w14:textId="77777777" w:rsidTr="00F26B4C">
        <w:trPr>
          <w:trHeight w:val="816"/>
        </w:trPr>
        <w:tc>
          <w:tcPr>
            <w:tcW w:w="3031" w:type="dxa"/>
            <w:tcBorders>
              <w:top w:val="double" w:sz="6" w:space="0" w:color="auto"/>
              <w:left w:val="double" w:sz="6" w:space="0" w:color="auto"/>
              <w:bottom w:val="double" w:sz="6" w:space="0" w:color="auto"/>
              <w:right w:val="double" w:sz="6" w:space="0" w:color="auto"/>
            </w:tcBorders>
            <w:shd w:val="clear" w:color="000000" w:fill="D9D9D9"/>
            <w:hideMark/>
          </w:tcPr>
          <w:p w14:paraId="3C02944B"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69" w:type="dxa"/>
            <w:tcBorders>
              <w:top w:val="double" w:sz="6" w:space="0" w:color="auto"/>
              <w:left w:val="double" w:sz="6" w:space="0" w:color="auto"/>
              <w:bottom w:val="double" w:sz="6" w:space="0" w:color="auto"/>
              <w:right w:val="double" w:sz="6" w:space="0" w:color="auto"/>
            </w:tcBorders>
            <w:shd w:val="clear" w:color="000000" w:fill="D9D9D9"/>
            <w:hideMark/>
          </w:tcPr>
          <w:p w14:paraId="49FFE86C"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406" w:type="dxa"/>
            <w:tcBorders>
              <w:top w:val="double" w:sz="6" w:space="0" w:color="auto"/>
              <w:left w:val="double" w:sz="6" w:space="0" w:color="auto"/>
              <w:bottom w:val="double" w:sz="6" w:space="0" w:color="auto"/>
              <w:right w:val="double" w:sz="6" w:space="0" w:color="auto"/>
            </w:tcBorders>
            <w:shd w:val="clear" w:color="000000" w:fill="D9D9D9"/>
            <w:hideMark/>
          </w:tcPr>
          <w:p w14:paraId="798455A4"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09"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64D66FAF"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91" w:type="dxa"/>
            <w:tcBorders>
              <w:top w:val="double" w:sz="6" w:space="0" w:color="auto"/>
              <w:left w:val="double" w:sz="6" w:space="0" w:color="auto"/>
              <w:bottom w:val="double" w:sz="6" w:space="0" w:color="auto"/>
              <w:right w:val="double" w:sz="6" w:space="0" w:color="auto"/>
            </w:tcBorders>
            <w:shd w:val="clear" w:color="000000" w:fill="D9D9D9"/>
            <w:hideMark/>
          </w:tcPr>
          <w:p w14:paraId="11877733"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31" w:type="dxa"/>
            <w:tcBorders>
              <w:top w:val="double" w:sz="6" w:space="0" w:color="auto"/>
              <w:left w:val="double" w:sz="6" w:space="0" w:color="auto"/>
              <w:bottom w:val="double" w:sz="6" w:space="0" w:color="auto"/>
              <w:right w:val="double" w:sz="6" w:space="0" w:color="auto"/>
            </w:tcBorders>
            <w:shd w:val="clear" w:color="000000" w:fill="D9D9D9"/>
            <w:hideMark/>
          </w:tcPr>
          <w:p w14:paraId="0872DF9D"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tcBorders>
              <w:top w:val="double" w:sz="6" w:space="0" w:color="auto"/>
              <w:left w:val="double" w:sz="6" w:space="0" w:color="auto"/>
              <w:bottom w:val="double" w:sz="6" w:space="0" w:color="auto"/>
              <w:right w:val="double" w:sz="6" w:space="0" w:color="auto"/>
            </w:tcBorders>
            <w:shd w:val="clear" w:color="000000" w:fill="D9D9D9"/>
            <w:hideMark/>
          </w:tcPr>
          <w:p w14:paraId="39F93917"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77" w:type="dxa"/>
            <w:tcBorders>
              <w:top w:val="double" w:sz="6" w:space="0" w:color="auto"/>
              <w:left w:val="double" w:sz="6" w:space="0" w:color="auto"/>
              <w:bottom w:val="double" w:sz="6" w:space="0" w:color="auto"/>
              <w:right w:val="double" w:sz="6" w:space="0" w:color="auto"/>
            </w:tcBorders>
            <w:shd w:val="clear" w:color="000000" w:fill="D9D9D9"/>
            <w:hideMark/>
          </w:tcPr>
          <w:p w14:paraId="291003E5"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F26B4C" w:rsidRPr="00EF2F18" w14:paraId="38CEA877" w14:textId="77777777" w:rsidTr="007620E6">
        <w:trPr>
          <w:trHeight w:val="1458"/>
        </w:trPr>
        <w:tc>
          <w:tcPr>
            <w:tcW w:w="3031" w:type="dxa"/>
            <w:tcBorders>
              <w:top w:val="double" w:sz="6" w:space="0" w:color="auto"/>
              <w:left w:val="double" w:sz="6" w:space="0" w:color="auto"/>
              <w:bottom w:val="single" w:sz="4" w:space="0" w:color="auto"/>
              <w:right w:val="single" w:sz="8" w:space="0" w:color="auto"/>
            </w:tcBorders>
            <w:shd w:val="clear" w:color="000000" w:fill="FFFFFF"/>
            <w:hideMark/>
          </w:tcPr>
          <w:p w14:paraId="447C4B32"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изграђених постројења за пречишћавање отпадних вода, укупно</w:t>
            </w:r>
          </w:p>
        </w:tc>
        <w:tc>
          <w:tcPr>
            <w:tcW w:w="1269" w:type="dxa"/>
            <w:tcBorders>
              <w:top w:val="double" w:sz="6" w:space="0" w:color="auto"/>
              <w:left w:val="single" w:sz="8" w:space="0" w:color="auto"/>
              <w:bottom w:val="single" w:sz="4" w:space="0" w:color="auto"/>
              <w:right w:val="single" w:sz="8" w:space="0" w:color="auto"/>
            </w:tcBorders>
            <w:shd w:val="clear" w:color="000000" w:fill="FFFFFF"/>
            <w:hideMark/>
          </w:tcPr>
          <w:p w14:paraId="6F5D98E0" w14:textId="45DC43D0"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406" w:type="dxa"/>
            <w:tcBorders>
              <w:top w:val="double" w:sz="6" w:space="0" w:color="auto"/>
              <w:left w:val="single" w:sz="8" w:space="0" w:color="auto"/>
              <w:bottom w:val="single" w:sz="4" w:space="0" w:color="auto"/>
              <w:right w:val="single" w:sz="8" w:space="0" w:color="auto"/>
            </w:tcBorders>
            <w:shd w:val="clear" w:color="000000" w:fill="FFFFFF"/>
            <w:hideMark/>
          </w:tcPr>
          <w:p w14:paraId="74BEAFCD"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МГСИ, МПШВ, Извештај о спровођењу АПСПВ</w:t>
            </w:r>
          </w:p>
        </w:tc>
        <w:tc>
          <w:tcPr>
            <w:tcW w:w="1809" w:type="dxa"/>
            <w:gridSpan w:val="2"/>
            <w:tcBorders>
              <w:top w:val="double" w:sz="6" w:space="0" w:color="auto"/>
              <w:left w:val="single" w:sz="8" w:space="0" w:color="auto"/>
              <w:bottom w:val="single" w:sz="4" w:space="0" w:color="auto"/>
              <w:right w:val="single" w:sz="8" w:space="0" w:color="000000"/>
            </w:tcBorders>
            <w:shd w:val="clear" w:color="000000" w:fill="FFFFFF"/>
            <w:hideMark/>
          </w:tcPr>
          <w:p w14:paraId="526B3100"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34</w:t>
            </w:r>
          </w:p>
        </w:tc>
        <w:tc>
          <w:tcPr>
            <w:tcW w:w="1491" w:type="dxa"/>
            <w:tcBorders>
              <w:top w:val="double" w:sz="6" w:space="0" w:color="auto"/>
              <w:left w:val="single" w:sz="8" w:space="0" w:color="auto"/>
              <w:bottom w:val="single" w:sz="4" w:space="0" w:color="auto"/>
              <w:right w:val="single" w:sz="8" w:space="0" w:color="auto"/>
            </w:tcBorders>
            <w:shd w:val="clear" w:color="000000" w:fill="FFFFFF"/>
            <w:hideMark/>
          </w:tcPr>
          <w:p w14:paraId="7543ABA2"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2022.</w:t>
            </w:r>
          </w:p>
        </w:tc>
        <w:tc>
          <w:tcPr>
            <w:tcW w:w="1231" w:type="dxa"/>
            <w:tcBorders>
              <w:top w:val="double" w:sz="6" w:space="0" w:color="auto"/>
              <w:left w:val="single" w:sz="8" w:space="0" w:color="auto"/>
              <w:bottom w:val="single" w:sz="4" w:space="0" w:color="auto"/>
              <w:right w:val="single" w:sz="8" w:space="0" w:color="auto"/>
            </w:tcBorders>
            <w:shd w:val="clear" w:color="000000" w:fill="FFFFFF"/>
            <w:hideMark/>
          </w:tcPr>
          <w:p w14:paraId="1922BFD6"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46</w:t>
            </w:r>
          </w:p>
        </w:tc>
        <w:tc>
          <w:tcPr>
            <w:tcW w:w="1530" w:type="dxa"/>
            <w:tcBorders>
              <w:top w:val="double" w:sz="6" w:space="0" w:color="auto"/>
              <w:left w:val="nil"/>
              <w:bottom w:val="single" w:sz="4" w:space="0" w:color="auto"/>
              <w:right w:val="single" w:sz="8" w:space="0" w:color="auto"/>
            </w:tcBorders>
            <w:shd w:val="clear" w:color="000000" w:fill="FFFFFF"/>
            <w:hideMark/>
          </w:tcPr>
          <w:p w14:paraId="65264284"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56</w:t>
            </w:r>
          </w:p>
        </w:tc>
        <w:tc>
          <w:tcPr>
            <w:tcW w:w="1677" w:type="dxa"/>
            <w:tcBorders>
              <w:top w:val="double" w:sz="6" w:space="0" w:color="auto"/>
              <w:left w:val="single" w:sz="8" w:space="0" w:color="auto"/>
              <w:bottom w:val="single" w:sz="4" w:space="0" w:color="auto"/>
              <w:right w:val="double" w:sz="6" w:space="0" w:color="auto"/>
            </w:tcBorders>
            <w:shd w:val="clear" w:color="000000" w:fill="FFFFFF"/>
            <w:hideMark/>
          </w:tcPr>
          <w:p w14:paraId="07D2B0A0" w14:textId="7777777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66</w:t>
            </w:r>
          </w:p>
        </w:tc>
      </w:tr>
    </w:tbl>
    <w:p w14:paraId="679405A2" w14:textId="77777777" w:rsidR="007D7243" w:rsidRPr="00EF2F18" w:rsidRDefault="007D7243" w:rsidP="007D7243">
      <w:pPr>
        <w:spacing w:after="0"/>
        <w:rPr>
          <w:lang w:val="sr-Cyrl-RS"/>
        </w:rPr>
      </w:pPr>
    </w:p>
    <w:tbl>
      <w:tblPr>
        <w:tblW w:w="13477" w:type="dxa"/>
        <w:tblLook w:val="04A0" w:firstRow="1" w:lastRow="0" w:firstColumn="1" w:lastColumn="0" w:noHBand="0" w:noVBand="1"/>
      </w:tblPr>
      <w:tblGrid>
        <w:gridCol w:w="3800"/>
        <w:gridCol w:w="2480"/>
        <w:gridCol w:w="2517"/>
        <w:gridCol w:w="2340"/>
        <w:gridCol w:w="2340"/>
      </w:tblGrid>
      <w:tr w:rsidR="007D7243" w:rsidRPr="00EF2F18" w14:paraId="63A8842F" w14:textId="77777777" w:rsidTr="00F26B4C">
        <w:trPr>
          <w:trHeight w:val="336"/>
        </w:trPr>
        <w:tc>
          <w:tcPr>
            <w:tcW w:w="3800" w:type="dxa"/>
            <w:vMerge w:val="restart"/>
            <w:tcBorders>
              <w:top w:val="double" w:sz="6" w:space="0" w:color="auto"/>
              <w:left w:val="double" w:sz="6" w:space="0" w:color="auto"/>
              <w:bottom w:val="double" w:sz="6" w:space="0" w:color="auto"/>
              <w:right w:val="double" w:sz="6" w:space="0" w:color="auto"/>
            </w:tcBorders>
            <w:shd w:val="clear" w:color="000000" w:fill="A8D08D"/>
            <w:hideMark/>
          </w:tcPr>
          <w:p w14:paraId="34A8FA9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tcBorders>
              <w:top w:val="double" w:sz="6" w:space="0" w:color="auto"/>
              <w:left w:val="double" w:sz="6" w:space="0" w:color="auto"/>
              <w:bottom w:val="double" w:sz="6" w:space="0" w:color="auto"/>
              <w:right w:val="double" w:sz="6" w:space="0" w:color="auto"/>
            </w:tcBorders>
            <w:shd w:val="clear" w:color="000000" w:fill="A8D08D"/>
            <w:hideMark/>
          </w:tcPr>
          <w:p w14:paraId="51A2F595"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197" w:type="dxa"/>
            <w:gridSpan w:val="3"/>
            <w:tcBorders>
              <w:top w:val="double" w:sz="6" w:space="0" w:color="auto"/>
              <w:left w:val="nil"/>
              <w:bottom w:val="double" w:sz="6" w:space="0" w:color="auto"/>
              <w:right w:val="double" w:sz="6" w:space="0" w:color="auto"/>
            </w:tcBorders>
            <w:shd w:val="clear" w:color="000000" w:fill="A8D08D"/>
            <w:hideMark/>
          </w:tcPr>
          <w:p w14:paraId="73B436D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F26B4C" w:rsidRPr="00EF2F18" w14:paraId="0F648F53" w14:textId="77777777" w:rsidTr="00F26B4C">
        <w:trPr>
          <w:trHeight w:val="336"/>
        </w:trPr>
        <w:tc>
          <w:tcPr>
            <w:tcW w:w="3800" w:type="dxa"/>
            <w:vMerge/>
            <w:tcBorders>
              <w:top w:val="double" w:sz="6" w:space="0" w:color="auto"/>
              <w:left w:val="double" w:sz="6" w:space="0" w:color="auto"/>
              <w:bottom w:val="double" w:sz="6" w:space="0" w:color="auto"/>
              <w:right w:val="double" w:sz="6" w:space="0" w:color="auto"/>
            </w:tcBorders>
            <w:vAlign w:val="center"/>
            <w:hideMark/>
          </w:tcPr>
          <w:p w14:paraId="52E3F430"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480" w:type="dxa"/>
            <w:vMerge/>
            <w:tcBorders>
              <w:top w:val="double" w:sz="6" w:space="0" w:color="auto"/>
              <w:left w:val="double" w:sz="6" w:space="0" w:color="auto"/>
              <w:bottom w:val="double" w:sz="6" w:space="0" w:color="auto"/>
              <w:right w:val="double" w:sz="6" w:space="0" w:color="auto"/>
            </w:tcBorders>
            <w:vAlign w:val="center"/>
            <w:hideMark/>
          </w:tcPr>
          <w:p w14:paraId="0E1BAB9C"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517" w:type="dxa"/>
            <w:tcBorders>
              <w:top w:val="double" w:sz="6" w:space="0" w:color="auto"/>
              <w:left w:val="nil"/>
              <w:bottom w:val="double" w:sz="6" w:space="0" w:color="auto"/>
              <w:right w:val="double" w:sz="6" w:space="0" w:color="auto"/>
            </w:tcBorders>
            <w:shd w:val="clear" w:color="000000" w:fill="A8D08D"/>
            <w:hideMark/>
          </w:tcPr>
          <w:p w14:paraId="677751FA" w14:textId="2FD33312"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340" w:type="dxa"/>
            <w:tcBorders>
              <w:top w:val="double" w:sz="6" w:space="0" w:color="auto"/>
              <w:left w:val="nil"/>
              <w:bottom w:val="double" w:sz="6" w:space="0" w:color="auto"/>
              <w:right w:val="double" w:sz="6" w:space="0" w:color="auto"/>
            </w:tcBorders>
            <w:shd w:val="clear" w:color="000000" w:fill="A8D08D"/>
            <w:hideMark/>
          </w:tcPr>
          <w:p w14:paraId="6790C60D" w14:textId="45849C17"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340" w:type="dxa"/>
            <w:tcBorders>
              <w:top w:val="double" w:sz="6" w:space="0" w:color="auto"/>
              <w:left w:val="nil"/>
              <w:bottom w:val="double" w:sz="6" w:space="0" w:color="auto"/>
              <w:right w:val="double" w:sz="6" w:space="0" w:color="auto"/>
            </w:tcBorders>
            <w:shd w:val="clear" w:color="000000" w:fill="A8D08D"/>
            <w:hideMark/>
          </w:tcPr>
          <w:p w14:paraId="380ABF95" w14:textId="02610380" w:rsidR="00F26B4C" w:rsidRPr="00EF2F18" w:rsidRDefault="00F26B4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F26B4C" w:rsidRPr="00EF2F18" w14:paraId="6693BD70" w14:textId="77777777" w:rsidTr="00F26B4C">
        <w:trPr>
          <w:trHeight w:val="312"/>
        </w:trPr>
        <w:tc>
          <w:tcPr>
            <w:tcW w:w="3800" w:type="dxa"/>
            <w:vMerge w:val="restart"/>
            <w:tcBorders>
              <w:top w:val="double" w:sz="6" w:space="0" w:color="auto"/>
              <w:left w:val="double" w:sz="6" w:space="0" w:color="auto"/>
              <w:bottom w:val="double" w:sz="6" w:space="0" w:color="auto"/>
              <w:right w:val="double" w:sz="6" w:space="0" w:color="auto"/>
            </w:tcBorders>
            <w:hideMark/>
          </w:tcPr>
          <w:p w14:paraId="1FDB0E9D" w14:textId="6469E06B" w:rsidR="00F26B4C" w:rsidRPr="00EF2F18" w:rsidRDefault="00F26B4C" w:rsidP="00752CA0">
            <w:pPr>
              <w:spacing w:after="0"/>
              <w:rPr>
                <w:rFonts w:eastAsia="Times New Roman" w:cs="Times New Roman"/>
                <w:color w:val="000000"/>
                <w:sz w:val="20"/>
                <w:szCs w:val="20"/>
                <w:lang w:val="sr-Cyrl-RS" w:eastAsia="sr-Cyrl-RS"/>
              </w:rPr>
            </w:pPr>
            <w:r w:rsidRPr="00EF2F18">
              <w:rPr>
                <w:rFonts w:cs="Times New Roman"/>
                <w:sz w:val="20"/>
                <w:szCs w:val="20"/>
                <w:lang w:val="sr-Cyrl-RS"/>
              </w:rPr>
              <w:t>Буџетска средства (МЗЖС)</w:t>
            </w:r>
          </w:p>
        </w:tc>
        <w:tc>
          <w:tcPr>
            <w:tcW w:w="2480" w:type="dxa"/>
            <w:tcBorders>
              <w:top w:val="double" w:sz="6" w:space="0" w:color="auto"/>
              <w:left w:val="nil"/>
              <w:bottom w:val="double" w:sz="6" w:space="0" w:color="auto"/>
              <w:right w:val="double" w:sz="6" w:space="0" w:color="auto"/>
            </w:tcBorders>
            <w:hideMark/>
          </w:tcPr>
          <w:p w14:paraId="31CC5E00"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0406-560-7069-511</w:t>
            </w:r>
          </w:p>
        </w:tc>
        <w:tc>
          <w:tcPr>
            <w:tcW w:w="2517" w:type="dxa"/>
            <w:tcBorders>
              <w:top w:val="double" w:sz="6" w:space="0" w:color="auto"/>
              <w:left w:val="nil"/>
              <w:bottom w:val="double" w:sz="6" w:space="0" w:color="auto"/>
              <w:right w:val="double" w:sz="6" w:space="0" w:color="auto"/>
            </w:tcBorders>
            <w:hideMark/>
          </w:tcPr>
          <w:p w14:paraId="70EFEF0C" w14:textId="77777777" w:rsidR="00F26B4C" w:rsidRPr="00EF2F18" w:rsidRDefault="00F26B4C" w:rsidP="00752CA0">
            <w:pPr>
              <w:spacing w:after="0"/>
              <w:jc w:val="right"/>
              <w:rPr>
                <w:rFonts w:eastAsia="Times New Roman" w:cs="Times New Roman"/>
                <w:color w:val="000000" w:themeColor="text1"/>
                <w:sz w:val="20"/>
                <w:szCs w:val="20"/>
                <w:lang w:val="sr-Cyrl-RS" w:eastAsia="sr-Cyrl-RS"/>
              </w:rPr>
            </w:pPr>
            <w:r w:rsidRPr="00EF2F18">
              <w:rPr>
                <w:color w:val="000000" w:themeColor="text1"/>
                <w:sz w:val="20"/>
                <w:szCs w:val="20"/>
                <w:lang w:val="sr-Cyrl-RS"/>
              </w:rPr>
              <w:t>231.608</w:t>
            </w:r>
          </w:p>
        </w:tc>
        <w:tc>
          <w:tcPr>
            <w:tcW w:w="2340" w:type="dxa"/>
            <w:tcBorders>
              <w:top w:val="double" w:sz="6" w:space="0" w:color="auto"/>
              <w:left w:val="nil"/>
              <w:bottom w:val="double" w:sz="6" w:space="0" w:color="auto"/>
              <w:right w:val="double" w:sz="6" w:space="0" w:color="auto"/>
            </w:tcBorders>
            <w:hideMark/>
          </w:tcPr>
          <w:p w14:paraId="3FB28AA8" w14:textId="77777777" w:rsidR="00F26B4C" w:rsidRPr="00EF2F18" w:rsidRDefault="00F26B4C" w:rsidP="00752CA0">
            <w:pPr>
              <w:spacing w:after="0"/>
              <w:jc w:val="right"/>
              <w:rPr>
                <w:rFonts w:eastAsia="Times New Roman" w:cs="Times New Roman"/>
                <w:color w:val="000000"/>
                <w:sz w:val="20"/>
                <w:szCs w:val="20"/>
                <w:lang w:val="sr-Cyrl-RS" w:eastAsia="sr-Cyrl-RS"/>
              </w:rPr>
            </w:pPr>
            <w:r w:rsidRPr="00EF2F18">
              <w:rPr>
                <w:sz w:val="20"/>
                <w:szCs w:val="20"/>
                <w:lang w:val="sr-Cyrl-RS"/>
              </w:rPr>
              <w:t xml:space="preserve"> 45.492</w:t>
            </w:r>
          </w:p>
        </w:tc>
        <w:tc>
          <w:tcPr>
            <w:tcW w:w="2340" w:type="dxa"/>
            <w:tcBorders>
              <w:top w:val="double" w:sz="6" w:space="0" w:color="auto"/>
              <w:left w:val="double" w:sz="6" w:space="0" w:color="auto"/>
              <w:bottom w:val="double" w:sz="6" w:space="0" w:color="auto"/>
              <w:right w:val="double" w:sz="6" w:space="0" w:color="auto"/>
            </w:tcBorders>
            <w:hideMark/>
          </w:tcPr>
          <w:p w14:paraId="3F7E2D11" w14:textId="5351F1F8"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3FC72D73" w14:textId="77777777" w:rsidTr="00F26B4C">
        <w:trPr>
          <w:trHeight w:val="324"/>
        </w:trPr>
        <w:tc>
          <w:tcPr>
            <w:tcW w:w="3800" w:type="dxa"/>
            <w:vMerge/>
            <w:tcBorders>
              <w:top w:val="double" w:sz="6" w:space="0" w:color="auto"/>
              <w:left w:val="double" w:sz="6" w:space="0" w:color="auto"/>
              <w:bottom w:val="double" w:sz="6" w:space="0" w:color="auto"/>
              <w:right w:val="double" w:sz="6" w:space="0" w:color="auto"/>
            </w:tcBorders>
          </w:tcPr>
          <w:p w14:paraId="4CD770D7"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480" w:type="dxa"/>
            <w:tcBorders>
              <w:top w:val="double" w:sz="6" w:space="0" w:color="auto"/>
              <w:left w:val="nil"/>
              <w:bottom w:val="double" w:sz="6" w:space="0" w:color="auto"/>
              <w:right w:val="double" w:sz="6" w:space="0" w:color="auto"/>
            </w:tcBorders>
          </w:tcPr>
          <w:p w14:paraId="0010CB51" w14:textId="751935E5" w:rsidR="0003056B" w:rsidRPr="00EF2F18" w:rsidRDefault="0003056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0406-560-7083-511</w:t>
            </w:r>
          </w:p>
        </w:tc>
        <w:tc>
          <w:tcPr>
            <w:tcW w:w="2517" w:type="dxa"/>
            <w:tcBorders>
              <w:top w:val="double" w:sz="6" w:space="0" w:color="auto"/>
              <w:left w:val="nil"/>
              <w:bottom w:val="double" w:sz="6" w:space="0" w:color="auto"/>
              <w:right w:val="double" w:sz="6" w:space="0" w:color="auto"/>
            </w:tcBorders>
          </w:tcPr>
          <w:p w14:paraId="081C3238" w14:textId="45220092" w:rsidR="0003056B" w:rsidRPr="00EF2F18" w:rsidRDefault="0003056B" w:rsidP="00752CA0">
            <w:pPr>
              <w:spacing w:after="0"/>
              <w:jc w:val="right"/>
              <w:rPr>
                <w:color w:val="000000" w:themeColor="text1"/>
                <w:sz w:val="20"/>
                <w:szCs w:val="20"/>
                <w:lang w:val="sr-Cyrl-RS"/>
              </w:rPr>
            </w:pPr>
            <w:r w:rsidRPr="00EF2F18">
              <w:rPr>
                <w:color w:val="000000" w:themeColor="text1"/>
                <w:sz w:val="20"/>
                <w:szCs w:val="20"/>
                <w:lang w:val="sr-Cyrl-RS"/>
              </w:rPr>
              <w:t>12</w:t>
            </w:r>
          </w:p>
        </w:tc>
        <w:tc>
          <w:tcPr>
            <w:tcW w:w="2340" w:type="dxa"/>
            <w:tcBorders>
              <w:top w:val="double" w:sz="6" w:space="0" w:color="auto"/>
              <w:left w:val="nil"/>
              <w:bottom w:val="double" w:sz="6" w:space="0" w:color="auto"/>
              <w:right w:val="double" w:sz="6" w:space="0" w:color="auto"/>
            </w:tcBorders>
          </w:tcPr>
          <w:p w14:paraId="3CBF4C4F" w14:textId="20F26A3A" w:rsidR="00F26B4C" w:rsidRPr="00EF2F18" w:rsidRDefault="00F26B4C" w:rsidP="00752CA0">
            <w:pPr>
              <w:spacing w:after="0"/>
              <w:jc w:val="right"/>
              <w:rPr>
                <w:sz w:val="20"/>
                <w:szCs w:val="20"/>
                <w:lang w:val="sr-Cyrl-RS"/>
              </w:rPr>
            </w:pPr>
          </w:p>
        </w:tc>
        <w:tc>
          <w:tcPr>
            <w:tcW w:w="2340" w:type="dxa"/>
            <w:tcBorders>
              <w:top w:val="double" w:sz="6" w:space="0" w:color="auto"/>
              <w:left w:val="double" w:sz="6" w:space="0" w:color="auto"/>
              <w:bottom w:val="double" w:sz="6" w:space="0" w:color="auto"/>
              <w:right w:val="double" w:sz="6" w:space="0" w:color="auto"/>
            </w:tcBorders>
          </w:tcPr>
          <w:p w14:paraId="11DF54DC" w14:textId="77777777"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6E601E09" w14:textId="77777777" w:rsidTr="00F26B4C">
        <w:trPr>
          <w:trHeight w:val="324"/>
        </w:trPr>
        <w:tc>
          <w:tcPr>
            <w:tcW w:w="3800" w:type="dxa"/>
            <w:vMerge/>
            <w:tcBorders>
              <w:top w:val="double" w:sz="6" w:space="0" w:color="auto"/>
              <w:left w:val="double" w:sz="6" w:space="0" w:color="auto"/>
              <w:bottom w:val="double" w:sz="6" w:space="0" w:color="auto"/>
              <w:right w:val="double" w:sz="6" w:space="0" w:color="auto"/>
            </w:tcBorders>
            <w:hideMark/>
          </w:tcPr>
          <w:p w14:paraId="75572CB2"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480" w:type="dxa"/>
            <w:tcBorders>
              <w:top w:val="double" w:sz="6" w:space="0" w:color="auto"/>
              <w:left w:val="nil"/>
              <w:bottom w:val="double" w:sz="6" w:space="0" w:color="auto"/>
              <w:right w:val="double" w:sz="6" w:space="0" w:color="auto"/>
            </w:tcBorders>
            <w:hideMark/>
          </w:tcPr>
          <w:p w14:paraId="2C5AAF29" w14:textId="26372D44" w:rsidR="00F26B4C" w:rsidRPr="00EF2F18" w:rsidRDefault="0003056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0407-560-5001-511</w:t>
            </w:r>
          </w:p>
        </w:tc>
        <w:tc>
          <w:tcPr>
            <w:tcW w:w="2517" w:type="dxa"/>
            <w:tcBorders>
              <w:top w:val="double" w:sz="6" w:space="0" w:color="auto"/>
              <w:left w:val="nil"/>
              <w:bottom w:val="double" w:sz="6" w:space="0" w:color="auto"/>
              <w:right w:val="double" w:sz="6" w:space="0" w:color="auto"/>
            </w:tcBorders>
            <w:hideMark/>
          </w:tcPr>
          <w:p w14:paraId="1A6EA7DE" w14:textId="2D114FC9" w:rsidR="00F26B4C" w:rsidRPr="00EF2F18" w:rsidRDefault="0003056B" w:rsidP="0003056B">
            <w:pPr>
              <w:spacing w:after="0"/>
              <w:jc w:val="right"/>
              <w:rPr>
                <w:color w:val="000000" w:themeColor="text1"/>
                <w:sz w:val="20"/>
                <w:szCs w:val="20"/>
                <w:lang w:val="sr-Cyrl-RS"/>
              </w:rPr>
            </w:pPr>
            <w:r w:rsidRPr="00EF2F18">
              <w:rPr>
                <w:color w:val="000000" w:themeColor="text1"/>
                <w:sz w:val="20"/>
                <w:szCs w:val="20"/>
                <w:lang w:val="sr-Cyrl-RS"/>
              </w:rPr>
              <w:t>55.000</w:t>
            </w:r>
          </w:p>
        </w:tc>
        <w:tc>
          <w:tcPr>
            <w:tcW w:w="2340" w:type="dxa"/>
            <w:tcBorders>
              <w:top w:val="double" w:sz="6" w:space="0" w:color="auto"/>
              <w:left w:val="nil"/>
              <w:bottom w:val="double" w:sz="6" w:space="0" w:color="auto"/>
              <w:right w:val="double" w:sz="6" w:space="0" w:color="auto"/>
            </w:tcBorders>
            <w:hideMark/>
          </w:tcPr>
          <w:p w14:paraId="222AB2DC" w14:textId="7975AC38" w:rsidR="00F26B4C" w:rsidRPr="00EF2F18" w:rsidRDefault="00F26B4C" w:rsidP="00752CA0">
            <w:pPr>
              <w:spacing w:after="0"/>
              <w:jc w:val="right"/>
              <w:rPr>
                <w:rFonts w:eastAsia="Times New Roman" w:cs="Times New Roman"/>
                <w:color w:val="000000"/>
                <w:sz w:val="20"/>
                <w:szCs w:val="20"/>
                <w:lang w:val="sr-Cyrl-RS" w:eastAsia="sr-Cyrl-RS"/>
              </w:rPr>
            </w:pPr>
          </w:p>
        </w:tc>
        <w:tc>
          <w:tcPr>
            <w:tcW w:w="2340" w:type="dxa"/>
            <w:tcBorders>
              <w:top w:val="double" w:sz="6" w:space="0" w:color="auto"/>
              <w:left w:val="double" w:sz="6" w:space="0" w:color="auto"/>
              <w:bottom w:val="double" w:sz="6" w:space="0" w:color="auto"/>
              <w:right w:val="double" w:sz="6" w:space="0" w:color="auto"/>
            </w:tcBorders>
            <w:hideMark/>
          </w:tcPr>
          <w:p w14:paraId="5B1C7923" w14:textId="284D7729"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29E61452" w14:textId="77777777" w:rsidTr="00F26B4C">
        <w:trPr>
          <w:trHeight w:val="324"/>
        </w:trPr>
        <w:tc>
          <w:tcPr>
            <w:tcW w:w="3800" w:type="dxa"/>
            <w:vMerge w:val="restart"/>
            <w:tcBorders>
              <w:top w:val="double" w:sz="6" w:space="0" w:color="auto"/>
              <w:left w:val="double" w:sz="6" w:space="0" w:color="auto"/>
              <w:right w:val="double" w:sz="6" w:space="0" w:color="auto"/>
            </w:tcBorders>
          </w:tcPr>
          <w:p w14:paraId="786D35CE"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cs="Times New Roman"/>
                <w:sz w:val="20"/>
                <w:szCs w:val="20"/>
                <w:lang w:val="sr-Cyrl-RS"/>
              </w:rPr>
              <w:t>Буџетска средства (МПШВ-РДВ)</w:t>
            </w:r>
          </w:p>
        </w:tc>
        <w:tc>
          <w:tcPr>
            <w:tcW w:w="2480" w:type="dxa"/>
            <w:tcBorders>
              <w:top w:val="double" w:sz="6" w:space="0" w:color="auto"/>
              <w:left w:val="nil"/>
              <w:bottom w:val="double" w:sz="6" w:space="0" w:color="auto"/>
              <w:right w:val="double" w:sz="6" w:space="0" w:color="auto"/>
            </w:tcBorders>
          </w:tcPr>
          <w:p w14:paraId="10B60777" w14:textId="2366A211" w:rsidR="0003056B" w:rsidRPr="00EF2F18" w:rsidRDefault="0003056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0401-630-7086-511</w:t>
            </w:r>
          </w:p>
        </w:tc>
        <w:tc>
          <w:tcPr>
            <w:tcW w:w="2517" w:type="dxa"/>
            <w:tcBorders>
              <w:top w:val="double" w:sz="6" w:space="0" w:color="auto"/>
              <w:left w:val="nil"/>
              <w:bottom w:val="double" w:sz="6" w:space="0" w:color="auto"/>
              <w:right w:val="double" w:sz="6" w:space="0" w:color="auto"/>
            </w:tcBorders>
          </w:tcPr>
          <w:p w14:paraId="39BC4A76" w14:textId="2DD595BA" w:rsidR="00F26B4C" w:rsidRPr="00EF2F18" w:rsidRDefault="0003056B" w:rsidP="0003056B">
            <w:pPr>
              <w:spacing w:after="0"/>
              <w:jc w:val="right"/>
              <w:rPr>
                <w:color w:val="000000" w:themeColor="text1"/>
                <w:sz w:val="20"/>
                <w:szCs w:val="20"/>
                <w:lang w:val="sr-Cyrl-RS"/>
              </w:rPr>
            </w:pPr>
            <w:r w:rsidRPr="00EF2F18">
              <w:rPr>
                <w:color w:val="000000" w:themeColor="text1"/>
                <w:sz w:val="20"/>
                <w:szCs w:val="20"/>
                <w:lang w:val="sr-Cyrl-RS"/>
              </w:rPr>
              <w:t>455.055</w:t>
            </w:r>
          </w:p>
        </w:tc>
        <w:tc>
          <w:tcPr>
            <w:tcW w:w="2340" w:type="dxa"/>
            <w:tcBorders>
              <w:top w:val="double" w:sz="6" w:space="0" w:color="auto"/>
              <w:left w:val="nil"/>
              <w:bottom w:val="double" w:sz="6" w:space="0" w:color="auto"/>
              <w:right w:val="double" w:sz="6" w:space="0" w:color="auto"/>
            </w:tcBorders>
          </w:tcPr>
          <w:p w14:paraId="0781532F" w14:textId="0EE2075E" w:rsidR="0003056B" w:rsidRPr="00EF2F18" w:rsidRDefault="003511D9" w:rsidP="00752CA0">
            <w:pPr>
              <w:spacing w:after="0"/>
              <w:jc w:val="right"/>
              <w:rPr>
                <w:sz w:val="20"/>
                <w:szCs w:val="20"/>
                <w:lang w:val="sr-Cyrl-RS"/>
              </w:rPr>
            </w:pPr>
            <w:r w:rsidRPr="00EF2F18">
              <w:rPr>
                <w:sz w:val="20"/>
                <w:szCs w:val="20"/>
                <w:lang w:val="sr-Cyrl-RS"/>
              </w:rPr>
              <w:t>72.386</w:t>
            </w:r>
          </w:p>
        </w:tc>
        <w:tc>
          <w:tcPr>
            <w:tcW w:w="2340" w:type="dxa"/>
            <w:tcBorders>
              <w:top w:val="double" w:sz="6" w:space="0" w:color="auto"/>
              <w:left w:val="double" w:sz="6" w:space="0" w:color="auto"/>
              <w:bottom w:val="double" w:sz="6" w:space="0" w:color="auto"/>
              <w:right w:val="double" w:sz="6" w:space="0" w:color="auto"/>
            </w:tcBorders>
          </w:tcPr>
          <w:p w14:paraId="0760DC0A" w14:textId="00695D3D"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2539F126" w14:textId="77777777" w:rsidTr="00B77129">
        <w:trPr>
          <w:trHeight w:val="324"/>
        </w:trPr>
        <w:tc>
          <w:tcPr>
            <w:tcW w:w="3800" w:type="dxa"/>
            <w:vMerge/>
            <w:tcBorders>
              <w:left w:val="double" w:sz="6" w:space="0" w:color="auto"/>
              <w:right w:val="double" w:sz="6" w:space="0" w:color="auto"/>
            </w:tcBorders>
          </w:tcPr>
          <w:p w14:paraId="7AA65977" w14:textId="77777777" w:rsidR="00F26B4C" w:rsidRPr="00EF2F18" w:rsidRDefault="00F26B4C" w:rsidP="00752CA0">
            <w:pPr>
              <w:spacing w:after="0"/>
              <w:rPr>
                <w:rFonts w:cs="Times New Roman"/>
                <w:sz w:val="20"/>
                <w:szCs w:val="20"/>
                <w:lang w:val="sr-Cyrl-RS"/>
              </w:rPr>
            </w:pPr>
          </w:p>
        </w:tc>
        <w:tc>
          <w:tcPr>
            <w:tcW w:w="2480" w:type="dxa"/>
            <w:tcBorders>
              <w:top w:val="double" w:sz="6" w:space="0" w:color="auto"/>
              <w:left w:val="nil"/>
              <w:bottom w:val="double" w:sz="6" w:space="0" w:color="auto"/>
              <w:right w:val="double" w:sz="6" w:space="0" w:color="auto"/>
            </w:tcBorders>
          </w:tcPr>
          <w:p w14:paraId="5AC3159A" w14:textId="3AC92D70" w:rsidR="0003056B" w:rsidRPr="00EF2F18" w:rsidRDefault="0003056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0401-630-7069-511</w:t>
            </w:r>
          </w:p>
        </w:tc>
        <w:tc>
          <w:tcPr>
            <w:tcW w:w="2517" w:type="dxa"/>
            <w:tcBorders>
              <w:top w:val="double" w:sz="6" w:space="0" w:color="auto"/>
              <w:left w:val="nil"/>
              <w:bottom w:val="double" w:sz="6" w:space="0" w:color="auto"/>
              <w:right w:val="double" w:sz="6" w:space="0" w:color="auto"/>
            </w:tcBorders>
          </w:tcPr>
          <w:p w14:paraId="42C1B34B" w14:textId="533DA6D1" w:rsidR="0003056B" w:rsidRPr="00EF2F18" w:rsidRDefault="00CA68C8" w:rsidP="00752CA0">
            <w:pPr>
              <w:spacing w:after="0"/>
              <w:jc w:val="right"/>
              <w:rPr>
                <w:color w:val="000000" w:themeColor="text1"/>
                <w:sz w:val="20"/>
                <w:szCs w:val="20"/>
                <w:lang w:val="sr-Cyrl-RS"/>
              </w:rPr>
            </w:pPr>
            <w:r w:rsidRPr="00EF2F18">
              <w:rPr>
                <w:rFonts w:eastAsia="Times New Roman" w:cs="Times New Roman"/>
                <w:color w:val="000000" w:themeColor="text1"/>
                <w:sz w:val="20"/>
                <w:szCs w:val="20"/>
                <w:lang w:val="sr-Cyrl-RS" w:eastAsia="sr-Cyrl-RS"/>
              </w:rPr>
              <w:t>316.205</w:t>
            </w:r>
          </w:p>
        </w:tc>
        <w:tc>
          <w:tcPr>
            <w:tcW w:w="2340" w:type="dxa"/>
            <w:tcBorders>
              <w:top w:val="double" w:sz="6" w:space="0" w:color="auto"/>
              <w:left w:val="nil"/>
              <w:bottom w:val="double" w:sz="6" w:space="0" w:color="auto"/>
              <w:right w:val="double" w:sz="6" w:space="0" w:color="auto"/>
            </w:tcBorders>
          </w:tcPr>
          <w:p w14:paraId="1C08194B" w14:textId="104161E4" w:rsidR="00F26B4C" w:rsidRPr="00EF2F18" w:rsidRDefault="003511D9" w:rsidP="0003056B">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18.221</w:t>
            </w:r>
          </w:p>
        </w:tc>
        <w:tc>
          <w:tcPr>
            <w:tcW w:w="2340" w:type="dxa"/>
            <w:tcBorders>
              <w:top w:val="double" w:sz="6" w:space="0" w:color="auto"/>
              <w:left w:val="double" w:sz="6" w:space="0" w:color="auto"/>
              <w:bottom w:val="double" w:sz="6" w:space="0" w:color="auto"/>
              <w:right w:val="double" w:sz="6" w:space="0" w:color="auto"/>
            </w:tcBorders>
          </w:tcPr>
          <w:p w14:paraId="7DBF0BF0" w14:textId="375518E8"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78D2076C" w14:textId="77777777" w:rsidTr="0003056B">
        <w:trPr>
          <w:trHeight w:val="360"/>
        </w:trPr>
        <w:tc>
          <w:tcPr>
            <w:tcW w:w="3800" w:type="dxa"/>
            <w:tcBorders>
              <w:top w:val="double" w:sz="6" w:space="0" w:color="auto"/>
              <w:left w:val="double" w:sz="6" w:space="0" w:color="auto"/>
              <w:bottom w:val="single" w:sz="4" w:space="0" w:color="auto"/>
              <w:right w:val="double" w:sz="6" w:space="0" w:color="auto"/>
            </w:tcBorders>
            <w:hideMark/>
          </w:tcPr>
          <w:p w14:paraId="3AE4F521"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tc>
        <w:tc>
          <w:tcPr>
            <w:tcW w:w="2480" w:type="dxa"/>
            <w:tcBorders>
              <w:top w:val="double" w:sz="6" w:space="0" w:color="auto"/>
              <w:left w:val="nil"/>
              <w:bottom w:val="double" w:sz="6" w:space="0" w:color="auto"/>
              <w:right w:val="double" w:sz="6" w:space="0" w:color="auto"/>
            </w:tcBorders>
            <w:hideMark/>
          </w:tcPr>
          <w:p w14:paraId="7C9CC0E9" w14:textId="3181C1E9"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w:t>
            </w:r>
            <w:r w:rsidR="003D0B84"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w:t>
            </w:r>
            <w:r w:rsidR="003D0B84" w:rsidRPr="00EF2F18">
              <w:rPr>
                <w:rFonts w:eastAsia="Times New Roman" w:cs="Times New Roman"/>
                <w:color w:val="000000"/>
                <w:sz w:val="20"/>
                <w:szCs w:val="20"/>
                <w:lang w:val="sr-Cyrl-RS" w:eastAsia="sr-Cyrl-RS"/>
              </w:rPr>
              <w:t>630</w:t>
            </w:r>
            <w:r w:rsidRPr="00EF2F18">
              <w:rPr>
                <w:rFonts w:eastAsia="Times New Roman" w:cs="Times New Roman"/>
                <w:color w:val="000000"/>
                <w:sz w:val="20"/>
                <w:szCs w:val="20"/>
                <w:lang w:val="sr-Cyrl-RS" w:eastAsia="sr-Cyrl-RS"/>
              </w:rPr>
              <w:t>-7069-511</w:t>
            </w:r>
          </w:p>
        </w:tc>
        <w:tc>
          <w:tcPr>
            <w:tcW w:w="2517" w:type="dxa"/>
            <w:tcBorders>
              <w:top w:val="double" w:sz="6" w:space="0" w:color="auto"/>
              <w:left w:val="nil"/>
              <w:bottom w:val="double" w:sz="6" w:space="0" w:color="auto"/>
              <w:right w:val="double" w:sz="6" w:space="0" w:color="auto"/>
            </w:tcBorders>
            <w:hideMark/>
          </w:tcPr>
          <w:p w14:paraId="689A1EC9" w14:textId="72128B9C" w:rsidR="00F26B4C" w:rsidRPr="00EF2F18" w:rsidRDefault="00B77129" w:rsidP="00752CA0">
            <w:pPr>
              <w:spacing w:after="0"/>
              <w:jc w:val="right"/>
              <w:rPr>
                <w:rFonts w:eastAsia="Times New Roman" w:cs="Times New Roman"/>
                <w:color w:val="000000" w:themeColor="text1"/>
                <w:sz w:val="20"/>
                <w:szCs w:val="20"/>
                <w:lang w:val="sr-Cyrl-RS" w:eastAsia="sr-Cyrl-RS"/>
              </w:rPr>
            </w:pPr>
            <w:r w:rsidRPr="00EF2F18">
              <w:rPr>
                <w:color w:val="000000" w:themeColor="text1"/>
                <w:sz w:val="20"/>
                <w:szCs w:val="20"/>
                <w:lang w:val="sr-Cyrl-RS"/>
              </w:rPr>
              <w:t>240.888</w:t>
            </w:r>
          </w:p>
        </w:tc>
        <w:tc>
          <w:tcPr>
            <w:tcW w:w="2340" w:type="dxa"/>
            <w:tcBorders>
              <w:top w:val="double" w:sz="6" w:space="0" w:color="auto"/>
              <w:left w:val="nil"/>
              <w:bottom w:val="double" w:sz="6" w:space="0" w:color="auto"/>
              <w:right w:val="double" w:sz="6" w:space="0" w:color="auto"/>
            </w:tcBorders>
            <w:hideMark/>
          </w:tcPr>
          <w:p w14:paraId="7B9BEB5E" w14:textId="3934569E" w:rsidR="00F26B4C" w:rsidRPr="00EF2F18" w:rsidRDefault="003511D9" w:rsidP="00752CA0">
            <w:pPr>
              <w:spacing w:after="0"/>
              <w:jc w:val="right"/>
              <w:rPr>
                <w:rFonts w:eastAsia="Times New Roman" w:cs="Times New Roman"/>
                <w:color w:val="000000"/>
                <w:sz w:val="20"/>
                <w:szCs w:val="20"/>
                <w:lang w:val="sr-Cyrl-RS" w:eastAsia="sr-Cyrl-RS"/>
              </w:rPr>
            </w:pPr>
            <w:r w:rsidRPr="00EF2F18">
              <w:rPr>
                <w:sz w:val="20"/>
                <w:szCs w:val="20"/>
                <w:lang w:val="sr-Cyrl-RS"/>
              </w:rPr>
              <w:t>12.678</w:t>
            </w:r>
          </w:p>
        </w:tc>
        <w:tc>
          <w:tcPr>
            <w:tcW w:w="2340" w:type="dxa"/>
            <w:tcBorders>
              <w:top w:val="double" w:sz="6" w:space="0" w:color="auto"/>
              <w:left w:val="double" w:sz="6" w:space="0" w:color="auto"/>
              <w:bottom w:val="single" w:sz="4" w:space="0" w:color="auto"/>
              <w:right w:val="double" w:sz="6" w:space="0" w:color="auto"/>
            </w:tcBorders>
            <w:hideMark/>
          </w:tcPr>
          <w:p w14:paraId="27A17A00" w14:textId="27EBADA3"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000B76D3" w14:textId="77777777" w:rsidTr="0003056B">
        <w:trPr>
          <w:trHeight w:val="324"/>
        </w:trPr>
        <w:tc>
          <w:tcPr>
            <w:tcW w:w="3800" w:type="dxa"/>
            <w:vMerge w:val="restart"/>
            <w:tcBorders>
              <w:top w:val="single" w:sz="4" w:space="0" w:color="auto"/>
              <w:left w:val="double" w:sz="6" w:space="0" w:color="auto"/>
              <w:right w:val="double" w:sz="6" w:space="0" w:color="auto"/>
            </w:tcBorders>
            <w:hideMark/>
          </w:tcPr>
          <w:p w14:paraId="2C73A7A2"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480" w:type="dxa"/>
            <w:tcBorders>
              <w:top w:val="single" w:sz="4" w:space="0" w:color="auto"/>
              <w:left w:val="nil"/>
              <w:bottom w:val="double" w:sz="6" w:space="0" w:color="auto"/>
              <w:right w:val="double" w:sz="6" w:space="0" w:color="auto"/>
            </w:tcBorders>
            <w:hideMark/>
          </w:tcPr>
          <w:p w14:paraId="6BF2ACD1"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0406-560-7083-511</w:t>
            </w:r>
          </w:p>
        </w:tc>
        <w:tc>
          <w:tcPr>
            <w:tcW w:w="2517" w:type="dxa"/>
            <w:tcBorders>
              <w:top w:val="single" w:sz="4" w:space="0" w:color="auto"/>
              <w:left w:val="nil"/>
              <w:bottom w:val="double" w:sz="6" w:space="0" w:color="auto"/>
              <w:right w:val="double" w:sz="6" w:space="0" w:color="auto"/>
            </w:tcBorders>
            <w:hideMark/>
          </w:tcPr>
          <w:p w14:paraId="4C94BD0B" w14:textId="77777777" w:rsidR="00F26B4C" w:rsidRPr="00EF2F18" w:rsidRDefault="00F26B4C" w:rsidP="00752CA0">
            <w:pPr>
              <w:spacing w:after="0"/>
              <w:jc w:val="right"/>
              <w:rPr>
                <w:rFonts w:eastAsia="Times New Roman" w:cs="Times New Roman"/>
                <w:color w:val="000000" w:themeColor="text1"/>
                <w:sz w:val="20"/>
                <w:szCs w:val="20"/>
                <w:lang w:val="sr-Cyrl-RS" w:eastAsia="sr-Cyrl-RS"/>
              </w:rPr>
            </w:pPr>
            <w:r w:rsidRPr="00EF2F18">
              <w:rPr>
                <w:color w:val="000000" w:themeColor="text1"/>
                <w:sz w:val="20"/>
                <w:szCs w:val="20"/>
                <w:lang w:val="sr-Cyrl-RS"/>
              </w:rPr>
              <w:t>436.364</w:t>
            </w:r>
          </w:p>
        </w:tc>
        <w:tc>
          <w:tcPr>
            <w:tcW w:w="2340" w:type="dxa"/>
            <w:tcBorders>
              <w:top w:val="single" w:sz="4" w:space="0" w:color="auto"/>
              <w:left w:val="nil"/>
              <w:bottom w:val="double" w:sz="6" w:space="0" w:color="auto"/>
              <w:right w:val="double" w:sz="6" w:space="0" w:color="auto"/>
            </w:tcBorders>
            <w:hideMark/>
          </w:tcPr>
          <w:p w14:paraId="01252A43" w14:textId="17710F93" w:rsidR="00F26B4C" w:rsidRPr="00EF2F18" w:rsidRDefault="00687207" w:rsidP="00752CA0">
            <w:pPr>
              <w:spacing w:after="0"/>
              <w:jc w:val="right"/>
              <w:rPr>
                <w:rFonts w:eastAsia="Times New Roman" w:cs="Times New Roman"/>
                <w:color w:val="000000"/>
                <w:sz w:val="20"/>
                <w:szCs w:val="20"/>
                <w:lang w:val="sr-Cyrl-RS" w:eastAsia="sr-Cyrl-RS"/>
              </w:rPr>
            </w:pPr>
            <w:r w:rsidRPr="00EF2F18">
              <w:rPr>
                <w:sz w:val="20"/>
                <w:szCs w:val="20"/>
                <w:lang w:val="sr-Cyrl-RS"/>
              </w:rPr>
              <w:t>228.533</w:t>
            </w:r>
          </w:p>
        </w:tc>
        <w:tc>
          <w:tcPr>
            <w:tcW w:w="2340" w:type="dxa"/>
            <w:tcBorders>
              <w:top w:val="single" w:sz="4" w:space="0" w:color="auto"/>
              <w:left w:val="double" w:sz="6" w:space="0" w:color="auto"/>
              <w:bottom w:val="double" w:sz="6" w:space="0" w:color="auto"/>
              <w:right w:val="double" w:sz="6" w:space="0" w:color="auto"/>
            </w:tcBorders>
            <w:hideMark/>
          </w:tcPr>
          <w:p w14:paraId="09D308F6" w14:textId="77777777" w:rsidR="00F26B4C" w:rsidRPr="00EF2F18" w:rsidRDefault="0003056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F26B4C" w:rsidRPr="00EF2F18" w14:paraId="2AB0A2F0" w14:textId="77777777" w:rsidTr="00F26B4C">
        <w:trPr>
          <w:trHeight w:val="336"/>
        </w:trPr>
        <w:tc>
          <w:tcPr>
            <w:tcW w:w="3800" w:type="dxa"/>
            <w:vMerge/>
            <w:tcBorders>
              <w:left w:val="double" w:sz="6" w:space="0" w:color="auto"/>
              <w:right w:val="double" w:sz="6" w:space="0" w:color="auto"/>
            </w:tcBorders>
          </w:tcPr>
          <w:p w14:paraId="1B50A9ED"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480" w:type="dxa"/>
            <w:tcBorders>
              <w:top w:val="double" w:sz="6" w:space="0" w:color="auto"/>
              <w:left w:val="nil"/>
              <w:bottom w:val="double" w:sz="6" w:space="0" w:color="auto"/>
              <w:right w:val="double" w:sz="6" w:space="0" w:color="auto"/>
            </w:tcBorders>
          </w:tcPr>
          <w:p w14:paraId="0093AB57" w14:textId="28B3257D"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w:t>
            </w:r>
            <w:r w:rsidR="003D0B84" w:rsidRPr="00EF2F18">
              <w:rPr>
                <w:rFonts w:eastAsia="Times New Roman" w:cs="Times New Roman"/>
                <w:color w:val="000000"/>
                <w:sz w:val="20"/>
                <w:szCs w:val="20"/>
                <w:lang w:val="sr-Cyrl-RS" w:eastAsia="sr-Cyrl-RS"/>
              </w:rPr>
              <w:t>6</w:t>
            </w:r>
            <w:r w:rsidRPr="00EF2F18">
              <w:rPr>
                <w:rFonts w:eastAsia="Times New Roman" w:cs="Times New Roman"/>
                <w:color w:val="000000"/>
                <w:sz w:val="20"/>
                <w:szCs w:val="20"/>
                <w:lang w:val="sr-Cyrl-RS" w:eastAsia="sr-Cyrl-RS"/>
              </w:rPr>
              <w:t>-</w:t>
            </w:r>
            <w:r w:rsidR="003D0B84" w:rsidRPr="00EF2F18">
              <w:rPr>
                <w:rFonts w:eastAsia="Times New Roman" w:cs="Times New Roman"/>
                <w:color w:val="000000"/>
                <w:sz w:val="20"/>
                <w:szCs w:val="20"/>
                <w:lang w:val="sr-Cyrl-RS" w:eastAsia="sr-Cyrl-RS"/>
              </w:rPr>
              <w:t>560</w:t>
            </w:r>
            <w:r w:rsidRPr="00EF2F18">
              <w:rPr>
                <w:rFonts w:eastAsia="Times New Roman" w:cs="Times New Roman"/>
                <w:color w:val="000000"/>
                <w:sz w:val="20"/>
                <w:szCs w:val="20"/>
                <w:lang w:val="sr-Cyrl-RS" w:eastAsia="sr-Cyrl-RS"/>
              </w:rPr>
              <w:t>-7069-511</w:t>
            </w:r>
          </w:p>
        </w:tc>
        <w:tc>
          <w:tcPr>
            <w:tcW w:w="2517" w:type="dxa"/>
            <w:tcBorders>
              <w:top w:val="double" w:sz="6" w:space="0" w:color="auto"/>
              <w:left w:val="nil"/>
              <w:bottom w:val="double" w:sz="6" w:space="0" w:color="auto"/>
              <w:right w:val="double" w:sz="6" w:space="0" w:color="auto"/>
            </w:tcBorders>
          </w:tcPr>
          <w:p w14:paraId="512F7FC1" w14:textId="15C308D4" w:rsidR="00F26B4C" w:rsidRPr="00EF2F18" w:rsidRDefault="003D0B84" w:rsidP="00752CA0">
            <w:pPr>
              <w:spacing w:after="0"/>
              <w:jc w:val="right"/>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410.468</w:t>
            </w:r>
          </w:p>
        </w:tc>
        <w:tc>
          <w:tcPr>
            <w:tcW w:w="2340" w:type="dxa"/>
            <w:tcBorders>
              <w:top w:val="double" w:sz="6" w:space="0" w:color="auto"/>
              <w:left w:val="nil"/>
              <w:bottom w:val="double" w:sz="6" w:space="0" w:color="auto"/>
              <w:right w:val="double" w:sz="6" w:space="0" w:color="auto"/>
            </w:tcBorders>
          </w:tcPr>
          <w:p w14:paraId="2644E5E2" w14:textId="25D691D4" w:rsidR="00F26B4C" w:rsidRPr="00EF2F18" w:rsidRDefault="003D0B84"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74.692</w:t>
            </w:r>
          </w:p>
        </w:tc>
        <w:tc>
          <w:tcPr>
            <w:tcW w:w="2340" w:type="dxa"/>
            <w:tcBorders>
              <w:top w:val="double" w:sz="6" w:space="0" w:color="auto"/>
              <w:left w:val="nil"/>
              <w:bottom w:val="double" w:sz="6" w:space="0" w:color="auto"/>
              <w:right w:val="double" w:sz="6" w:space="0" w:color="auto"/>
            </w:tcBorders>
          </w:tcPr>
          <w:p w14:paraId="3C33CF9E" w14:textId="2CA85E25"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3695B281" w14:textId="77777777" w:rsidTr="00F26B4C">
        <w:trPr>
          <w:trHeight w:val="336"/>
        </w:trPr>
        <w:tc>
          <w:tcPr>
            <w:tcW w:w="3800" w:type="dxa"/>
            <w:vMerge/>
            <w:tcBorders>
              <w:left w:val="double" w:sz="6" w:space="0" w:color="auto"/>
              <w:bottom w:val="double" w:sz="6" w:space="0" w:color="auto"/>
              <w:right w:val="double" w:sz="6" w:space="0" w:color="auto"/>
            </w:tcBorders>
          </w:tcPr>
          <w:p w14:paraId="5567900D" w14:textId="77777777" w:rsidR="00F26B4C" w:rsidRPr="00EF2F18" w:rsidRDefault="00F26B4C" w:rsidP="00752CA0">
            <w:pPr>
              <w:spacing w:after="0"/>
              <w:rPr>
                <w:rFonts w:eastAsia="Times New Roman" w:cs="Times New Roman"/>
                <w:color w:val="000000"/>
                <w:sz w:val="20"/>
                <w:szCs w:val="20"/>
                <w:lang w:val="sr-Cyrl-RS" w:eastAsia="sr-Cyrl-RS"/>
              </w:rPr>
            </w:pPr>
          </w:p>
        </w:tc>
        <w:tc>
          <w:tcPr>
            <w:tcW w:w="2480" w:type="dxa"/>
            <w:tcBorders>
              <w:top w:val="double" w:sz="6" w:space="0" w:color="auto"/>
              <w:left w:val="nil"/>
              <w:bottom w:val="double" w:sz="6" w:space="0" w:color="auto"/>
              <w:right w:val="double" w:sz="6" w:space="0" w:color="auto"/>
            </w:tcBorders>
          </w:tcPr>
          <w:p w14:paraId="010E2BC7"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0401-630-7086-511</w:t>
            </w:r>
          </w:p>
        </w:tc>
        <w:tc>
          <w:tcPr>
            <w:tcW w:w="2517" w:type="dxa"/>
            <w:tcBorders>
              <w:top w:val="double" w:sz="6" w:space="0" w:color="auto"/>
              <w:left w:val="nil"/>
              <w:bottom w:val="double" w:sz="6" w:space="0" w:color="auto"/>
              <w:right w:val="double" w:sz="6" w:space="0" w:color="auto"/>
            </w:tcBorders>
          </w:tcPr>
          <w:p w14:paraId="264541BE" w14:textId="6C579AD1" w:rsidR="00F26B4C" w:rsidRPr="00EF2F18" w:rsidRDefault="003D0B84" w:rsidP="00752CA0">
            <w:pPr>
              <w:spacing w:after="0"/>
              <w:jc w:val="right"/>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498.758</w:t>
            </w:r>
          </w:p>
        </w:tc>
        <w:tc>
          <w:tcPr>
            <w:tcW w:w="2340" w:type="dxa"/>
            <w:tcBorders>
              <w:top w:val="double" w:sz="6" w:space="0" w:color="auto"/>
              <w:left w:val="nil"/>
              <w:bottom w:val="double" w:sz="6" w:space="0" w:color="auto"/>
              <w:right w:val="double" w:sz="6" w:space="0" w:color="auto"/>
            </w:tcBorders>
          </w:tcPr>
          <w:p w14:paraId="49F7EF13" w14:textId="2900A000" w:rsidR="00F26B4C" w:rsidRPr="00EF2F18" w:rsidRDefault="001E132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86.306</w:t>
            </w:r>
          </w:p>
        </w:tc>
        <w:tc>
          <w:tcPr>
            <w:tcW w:w="2340" w:type="dxa"/>
            <w:tcBorders>
              <w:top w:val="double" w:sz="6" w:space="0" w:color="auto"/>
              <w:left w:val="nil"/>
              <w:bottom w:val="double" w:sz="6" w:space="0" w:color="auto"/>
              <w:right w:val="double" w:sz="6" w:space="0" w:color="auto"/>
            </w:tcBorders>
          </w:tcPr>
          <w:p w14:paraId="479B9451" w14:textId="77777777" w:rsidR="00F26B4C" w:rsidRPr="00EF2F18" w:rsidRDefault="00F26B4C" w:rsidP="00752CA0">
            <w:pPr>
              <w:spacing w:after="0"/>
              <w:jc w:val="right"/>
              <w:rPr>
                <w:rFonts w:eastAsia="Times New Roman" w:cs="Times New Roman"/>
                <w:color w:val="000000"/>
                <w:sz w:val="20"/>
                <w:szCs w:val="20"/>
                <w:lang w:val="sr-Cyrl-RS" w:eastAsia="sr-Cyrl-RS"/>
              </w:rPr>
            </w:pPr>
          </w:p>
        </w:tc>
      </w:tr>
      <w:tr w:rsidR="00F26B4C" w:rsidRPr="00EF2F18" w14:paraId="77C0F3F1" w14:textId="77777777" w:rsidTr="00F26B4C">
        <w:trPr>
          <w:trHeight w:val="324"/>
        </w:trPr>
        <w:tc>
          <w:tcPr>
            <w:tcW w:w="3800" w:type="dxa"/>
            <w:tcBorders>
              <w:top w:val="double" w:sz="6" w:space="0" w:color="auto"/>
              <w:left w:val="double" w:sz="6" w:space="0" w:color="auto"/>
              <w:bottom w:val="double" w:sz="6" w:space="0" w:color="auto"/>
              <w:right w:val="double" w:sz="6" w:space="0" w:color="auto"/>
            </w:tcBorders>
            <w:hideMark/>
          </w:tcPr>
          <w:p w14:paraId="4DE45250"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од иностраних задуживања</w:t>
            </w:r>
          </w:p>
        </w:tc>
        <w:tc>
          <w:tcPr>
            <w:tcW w:w="2480" w:type="dxa"/>
            <w:tcBorders>
              <w:top w:val="double" w:sz="6" w:space="0" w:color="auto"/>
              <w:left w:val="nil"/>
              <w:bottom w:val="double" w:sz="6" w:space="0" w:color="auto"/>
              <w:right w:val="double" w:sz="6" w:space="0" w:color="auto"/>
            </w:tcBorders>
            <w:hideMark/>
          </w:tcPr>
          <w:p w14:paraId="4B36B5A8"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0406-560-7083-511</w:t>
            </w:r>
          </w:p>
        </w:tc>
        <w:tc>
          <w:tcPr>
            <w:tcW w:w="2517" w:type="dxa"/>
            <w:tcBorders>
              <w:top w:val="double" w:sz="6" w:space="0" w:color="auto"/>
              <w:left w:val="nil"/>
              <w:bottom w:val="double" w:sz="6" w:space="0" w:color="auto"/>
              <w:right w:val="double" w:sz="6" w:space="0" w:color="auto"/>
            </w:tcBorders>
            <w:hideMark/>
          </w:tcPr>
          <w:p w14:paraId="1A0D00F6" w14:textId="77777777" w:rsidR="00F26B4C" w:rsidRPr="00EF2F18" w:rsidRDefault="00F26B4C" w:rsidP="00752CA0">
            <w:pPr>
              <w:spacing w:after="0"/>
              <w:jc w:val="right"/>
              <w:rPr>
                <w:rFonts w:eastAsia="Times New Roman" w:cs="Times New Roman"/>
                <w:color w:val="000000"/>
                <w:sz w:val="20"/>
                <w:szCs w:val="20"/>
                <w:lang w:val="sr-Cyrl-RS" w:eastAsia="sr-Cyrl-RS"/>
              </w:rPr>
            </w:pPr>
            <w:r w:rsidRPr="00EF2F18">
              <w:rPr>
                <w:sz w:val="20"/>
                <w:szCs w:val="20"/>
                <w:lang w:val="sr-Cyrl-RS"/>
              </w:rPr>
              <w:t>100.000</w:t>
            </w:r>
          </w:p>
        </w:tc>
        <w:tc>
          <w:tcPr>
            <w:tcW w:w="2340" w:type="dxa"/>
            <w:tcBorders>
              <w:top w:val="double" w:sz="6" w:space="0" w:color="auto"/>
              <w:left w:val="nil"/>
              <w:bottom w:val="double" w:sz="6" w:space="0" w:color="auto"/>
              <w:right w:val="double" w:sz="6" w:space="0" w:color="auto"/>
            </w:tcBorders>
            <w:hideMark/>
          </w:tcPr>
          <w:p w14:paraId="7FEAA046" w14:textId="190C3213" w:rsidR="00F26B4C" w:rsidRPr="00EF2F18" w:rsidRDefault="00F26B4C" w:rsidP="00752CA0">
            <w:pPr>
              <w:spacing w:after="0"/>
              <w:jc w:val="right"/>
              <w:rPr>
                <w:rFonts w:eastAsia="Times New Roman" w:cs="Times New Roman"/>
                <w:color w:val="000000"/>
                <w:sz w:val="20"/>
                <w:szCs w:val="20"/>
                <w:lang w:val="sr-Cyrl-RS" w:eastAsia="sr-Cyrl-RS"/>
              </w:rPr>
            </w:pPr>
          </w:p>
        </w:tc>
        <w:tc>
          <w:tcPr>
            <w:tcW w:w="2340" w:type="dxa"/>
            <w:tcBorders>
              <w:top w:val="double" w:sz="6" w:space="0" w:color="auto"/>
              <w:left w:val="double" w:sz="6" w:space="0" w:color="auto"/>
              <w:bottom w:val="double" w:sz="6" w:space="0" w:color="auto"/>
              <w:right w:val="double" w:sz="6" w:space="0" w:color="auto"/>
            </w:tcBorders>
            <w:hideMark/>
          </w:tcPr>
          <w:p w14:paraId="6713A57F" w14:textId="77777777" w:rsidR="00F26B4C" w:rsidRPr="00EF2F18" w:rsidRDefault="00F26B4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F26B4C" w:rsidRPr="00EF2F18" w14:paraId="489A5DE4" w14:textId="77777777" w:rsidTr="00F26B4C">
        <w:trPr>
          <w:trHeight w:val="458"/>
        </w:trPr>
        <w:tc>
          <w:tcPr>
            <w:tcW w:w="3800" w:type="dxa"/>
            <w:tcBorders>
              <w:top w:val="double" w:sz="6" w:space="0" w:color="auto"/>
              <w:left w:val="double" w:sz="6" w:space="0" w:color="auto"/>
              <w:bottom w:val="double" w:sz="6" w:space="0" w:color="auto"/>
              <w:right w:val="double" w:sz="6" w:space="0" w:color="auto"/>
            </w:tcBorders>
            <w:hideMark/>
          </w:tcPr>
          <w:p w14:paraId="405B5997" w14:textId="77777777"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од иностраних задуживања - (Банка за развој Савета Европе)</w:t>
            </w:r>
          </w:p>
        </w:tc>
        <w:tc>
          <w:tcPr>
            <w:tcW w:w="2480" w:type="dxa"/>
            <w:tcBorders>
              <w:top w:val="double" w:sz="6" w:space="0" w:color="auto"/>
              <w:left w:val="nil"/>
              <w:bottom w:val="double" w:sz="6" w:space="0" w:color="auto"/>
              <w:right w:val="double" w:sz="6" w:space="0" w:color="auto"/>
            </w:tcBorders>
            <w:hideMark/>
          </w:tcPr>
          <w:p w14:paraId="0B88C535" w14:textId="4BEF0234" w:rsidR="00F26B4C" w:rsidRPr="00EF2F18" w:rsidRDefault="00F26B4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0407-560-</w:t>
            </w:r>
            <w:r w:rsidR="00F75CDC" w:rsidRPr="00EF2F18">
              <w:rPr>
                <w:rFonts w:eastAsia="Times New Roman" w:cs="Times New Roman"/>
                <w:color w:val="000000"/>
                <w:sz w:val="20"/>
                <w:szCs w:val="20"/>
                <w:lang w:val="sr-Cyrl-RS" w:eastAsia="sr-Cyrl-RS"/>
              </w:rPr>
              <w:t>5</w:t>
            </w:r>
            <w:r w:rsidRPr="00EF2F18">
              <w:rPr>
                <w:rFonts w:eastAsia="Times New Roman" w:cs="Times New Roman"/>
                <w:color w:val="000000"/>
                <w:sz w:val="20"/>
                <w:szCs w:val="20"/>
                <w:lang w:val="sr-Cyrl-RS" w:eastAsia="sr-Cyrl-RS"/>
              </w:rPr>
              <w:t>00</w:t>
            </w:r>
            <w:r w:rsidR="00F75CDC"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-511</w:t>
            </w:r>
          </w:p>
        </w:tc>
        <w:tc>
          <w:tcPr>
            <w:tcW w:w="2517" w:type="dxa"/>
            <w:tcBorders>
              <w:top w:val="double" w:sz="6" w:space="0" w:color="auto"/>
              <w:left w:val="nil"/>
              <w:bottom w:val="double" w:sz="6" w:space="0" w:color="auto"/>
              <w:right w:val="double" w:sz="6" w:space="0" w:color="auto"/>
            </w:tcBorders>
            <w:hideMark/>
          </w:tcPr>
          <w:p w14:paraId="06E220F1" w14:textId="394DC748" w:rsidR="00F26B4C" w:rsidRPr="00EF2F18" w:rsidRDefault="00F75CDC" w:rsidP="00752CA0">
            <w:pPr>
              <w:spacing w:after="0"/>
              <w:jc w:val="right"/>
              <w:rPr>
                <w:rFonts w:eastAsia="Times New Roman" w:cs="Times New Roman"/>
                <w:color w:val="000000"/>
                <w:sz w:val="20"/>
                <w:szCs w:val="20"/>
                <w:lang w:val="sr-Cyrl-RS" w:eastAsia="sr-Cyrl-RS"/>
              </w:rPr>
            </w:pPr>
            <w:r w:rsidRPr="00EF2F18">
              <w:rPr>
                <w:sz w:val="20"/>
                <w:szCs w:val="20"/>
                <w:lang w:val="sr-Cyrl-RS"/>
              </w:rPr>
              <w:t>1.769.990</w:t>
            </w:r>
          </w:p>
        </w:tc>
        <w:tc>
          <w:tcPr>
            <w:tcW w:w="2340" w:type="dxa"/>
            <w:tcBorders>
              <w:top w:val="double" w:sz="6" w:space="0" w:color="auto"/>
              <w:left w:val="nil"/>
              <w:bottom w:val="double" w:sz="6" w:space="0" w:color="auto"/>
              <w:right w:val="double" w:sz="6" w:space="0" w:color="auto"/>
            </w:tcBorders>
            <w:hideMark/>
          </w:tcPr>
          <w:p w14:paraId="2C167DB1" w14:textId="03E9B76E" w:rsidR="00F26B4C" w:rsidRPr="00EF2F18" w:rsidRDefault="00F26B4C" w:rsidP="00752CA0">
            <w:pPr>
              <w:spacing w:after="0"/>
              <w:jc w:val="right"/>
              <w:rPr>
                <w:rFonts w:eastAsia="Times New Roman" w:cs="Times New Roman"/>
                <w:color w:val="000000"/>
                <w:sz w:val="20"/>
                <w:szCs w:val="20"/>
                <w:lang w:val="sr-Cyrl-RS" w:eastAsia="sr-Cyrl-RS"/>
              </w:rPr>
            </w:pPr>
          </w:p>
        </w:tc>
        <w:tc>
          <w:tcPr>
            <w:tcW w:w="2340" w:type="dxa"/>
            <w:tcBorders>
              <w:top w:val="double" w:sz="6" w:space="0" w:color="auto"/>
              <w:left w:val="double" w:sz="6" w:space="0" w:color="auto"/>
              <w:bottom w:val="double" w:sz="6" w:space="0" w:color="auto"/>
              <w:right w:val="double" w:sz="6" w:space="0" w:color="auto"/>
            </w:tcBorders>
            <w:hideMark/>
          </w:tcPr>
          <w:p w14:paraId="75E0B55B" w14:textId="77777777" w:rsidR="00F26B4C" w:rsidRPr="00EF2F18" w:rsidRDefault="00F26B4C" w:rsidP="00752CA0">
            <w:pPr>
              <w:spacing w:after="0"/>
              <w:jc w:val="right"/>
              <w:rPr>
                <w:rFonts w:eastAsia="Times New Roman" w:cs="Times New Roman"/>
                <w:color w:val="000000"/>
                <w:sz w:val="20"/>
                <w:szCs w:val="20"/>
                <w:lang w:val="sr-Cyrl-RS" w:eastAsia="sr-Cyrl-RS"/>
              </w:rPr>
            </w:pPr>
          </w:p>
        </w:tc>
      </w:tr>
    </w:tbl>
    <w:p w14:paraId="609D6BCD" w14:textId="77777777" w:rsidR="007D7243" w:rsidRPr="00EF2F18" w:rsidRDefault="007D7243" w:rsidP="007D7243">
      <w:pPr>
        <w:spacing w:after="0"/>
        <w:rPr>
          <w:lang w:val="sr-Cyrl-RS"/>
        </w:rPr>
      </w:pPr>
    </w:p>
    <w:tbl>
      <w:tblPr>
        <w:tblW w:w="13495" w:type="dxa"/>
        <w:tblLayout w:type="fixed"/>
        <w:tblLook w:val="04A0" w:firstRow="1" w:lastRow="0" w:firstColumn="1" w:lastColumn="0" w:noHBand="0" w:noVBand="1"/>
      </w:tblPr>
      <w:tblGrid>
        <w:gridCol w:w="1665"/>
        <w:gridCol w:w="1075"/>
        <w:gridCol w:w="1237"/>
        <w:gridCol w:w="1182"/>
        <w:gridCol w:w="1374"/>
        <w:gridCol w:w="1340"/>
        <w:gridCol w:w="1662"/>
        <w:gridCol w:w="1890"/>
        <w:gridCol w:w="2070"/>
      </w:tblGrid>
      <w:tr w:rsidR="007D7243" w:rsidRPr="00EF2F18" w14:paraId="0DB5FA66" w14:textId="77777777" w:rsidTr="005A621C">
        <w:trPr>
          <w:trHeight w:val="732"/>
        </w:trPr>
        <w:tc>
          <w:tcPr>
            <w:tcW w:w="1665" w:type="dxa"/>
            <w:vMerge w:val="restart"/>
            <w:tcBorders>
              <w:top w:val="single" w:sz="4" w:space="0" w:color="auto"/>
              <w:left w:val="single" w:sz="4" w:space="0" w:color="auto"/>
              <w:bottom w:val="single" w:sz="4" w:space="0" w:color="auto"/>
              <w:right w:val="single" w:sz="4" w:space="0" w:color="auto"/>
            </w:tcBorders>
            <w:shd w:val="clear" w:color="000000" w:fill="FFF2CC"/>
            <w:hideMark/>
          </w:tcPr>
          <w:bookmarkEnd w:id="171"/>
          <w:p w14:paraId="123D71E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075"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5A47DAB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37"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119DE3D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13973C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74"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41BBBF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340"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706B36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5622"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571CFA2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5A621C" w:rsidRPr="00EF2F18" w14:paraId="6F912C1A" w14:textId="77777777" w:rsidTr="005A621C">
        <w:trPr>
          <w:trHeight w:val="324"/>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1953C61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3DE237B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2A7F6003"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73931D57"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6DD9930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4EEA80A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662" w:type="dxa"/>
            <w:tcBorders>
              <w:top w:val="single" w:sz="4" w:space="0" w:color="auto"/>
              <w:left w:val="single" w:sz="4" w:space="0" w:color="auto"/>
              <w:bottom w:val="single" w:sz="4" w:space="0" w:color="auto"/>
              <w:right w:val="single" w:sz="4" w:space="0" w:color="auto"/>
            </w:tcBorders>
            <w:shd w:val="clear" w:color="000000" w:fill="FFF2CC"/>
            <w:hideMark/>
          </w:tcPr>
          <w:p w14:paraId="113075E8" w14:textId="688183AB"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890" w:type="dxa"/>
            <w:tcBorders>
              <w:top w:val="single" w:sz="4" w:space="0" w:color="auto"/>
              <w:left w:val="single" w:sz="4" w:space="0" w:color="auto"/>
              <w:bottom w:val="single" w:sz="4" w:space="0" w:color="auto"/>
              <w:right w:val="single" w:sz="4" w:space="0" w:color="auto"/>
            </w:tcBorders>
            <w:shd w:val="clear" w:color="000000" w:fill="FFF2CC"/>
            <w:hideMark/>
          </w:tcPr>
          <w:p w14:paraId="0B28031A" w14:textId="1B2BA9A1"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2070" w:type="dxa"/>
            <w:tcBorders>
              <w:top w:val="single" w:sz="4" w:space="0" w:color="auto"/>
              <w:left w:val="single" w:sz="4" w:space="0" w:color="auto"/>
              <w:bottom w:val="single" w:sz="4" w:space="0" w:color="auto"/>
              <w:right w:val="single" w:sz="4" w:space="0" w:color="auto"/>
            </w:tcBorders>
            <w:shd w:val="clear" w:color="000000" w:fill="FFF2CC"/>
            <w:hideMark/>
          </w:tcPr>
          <w:p w14:paraId="190BAA4E" w14:textId="1A862426"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5A621C" w:rsidRPr="00EF2F18" w14:paraId="3DF20217" w14:textId="77777777" w:rsidTr="005A621C">
        <w:trPr>
          <w:trHeight w:val="1596"/>
        </w:trPr>
        <w:tc>
          <w:tcPr>
            <w:tcW w:w="1665" w:type="dxa"/>
            <w:tcBorders>
              <w:top w:val="single" w:sz="4" w:space="0" w:color="auto"/>
              <w:left w:val="single" w:sz="4" w:space="0" w:color="auto"/>
              <w:bottom w:val="single" w:sz="4" w:space="0" w:color="auto"/>
              <w:right w:val="single" w:sz="4" w:space="0" w:color="auto"/>
            </w:tcBorders>
            <w:hideMark/>
          </w:tcPr>
          <w:p w14:paraId="02D109CC" w14:textId="77777777" w:rsidR="005A621C"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3.2.2.1. Подршка изради техничке документације за изградњу нових и реконструкцију постојећих система за пречишћавање комуналних отпадних вода и пратеће канализације у надлежности ЈЛС</w:t>
            </w:r>
          </w:p>
          <w:p w14:paraId="2F55E35F" w14:textId="59B7FF7B" w:rsidR="00FA0877" w:rsidRPr="00EF2F18" w:rsidRDefault="00FA0877" w:rsidP="00752CA0">
            <w:pPr>
              <w:spacing w:after="0"/>
              <w:rPr>
                <w:rFonts w:eastAsia="Times New Roman" w:cs="Times New Roman"/>
                <w:color w:val="000000"/>
                <w:sz w:val="20"/>
                <w:szCs w:val="20"/>
                <w:lang w:val="sr-Cyrl-RS" w:eastAsia="sr-Cyrl-RS"/>
              </w:rPr>
            </w:pPr>
          </w:p>
        </w:tc>
        <w:tc>
          <w:tcPr>
            <w:tcW w:w="1075" w:type="dxa"/>
            <w:tcBorders>
              <w:top w:val="single" w:sz="4" w:space="0" w:color="auto"/>
              <w:left w:val="single" w:sz="4" w:space="0" w:color="auto"/>
              <w:bottom w:val="single" w:sz="4" w:space="0" w:color="auto"/>
              <w:right w:val="single" w:sz="4" w:space="0" w:color="auto"/>
            </w:tcBorders>
            <w:hideMark/>
          </w:tcPr>
          <w:p w14:paraId="0D008C28"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37" w:type="dxa"/>
            <w:tcBorders>
              <w:top w:val="single" w:sz="4" w:space="0" w:color="auto"/>
              <w:left w:val="single" w:sz="4" w:space="0" w:color="auto"/>
              <w:bottom w:val="single" w:sz="4" w:space="0" w:color="auto"/>
              <w:right w:val="single" w:sz="4" w:space="0" w:color="auto"/>
            </w:tcBorders>
            <w:hideMark/>
          </w:tcPr>
          <w:p w14:paraId="690D896F"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МПШВ – РДВ, МГСИ, МЈУ, ЈЛС, ЈКП </w:t>
            </w:r>
          </w:p>
        </w:tc>
        <w:tc>
          <w:tcPr>
            <w:tcW w:w="1182" w:type="dxa"/>
            <w:tcBorders>
              <w:top w:val="single" w:sz="4" w:space="0" w:color="auto"/>
              <w:left w:val="single" w:sz="4" w:space="0" w:color="auto"/>
              <w:bottom w:val="single" w:sz="4" w:space="0" w:color="auto"/>
              <w:right w:val="single" w:sz="4" w:space="0" w:color="auto"/>
            </w:tcBorders>
            <w:hideMark/>
          </w:tcPr>
          <w:p w14:paraId="475E5C4A" w14:textId="645883A0"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74" w:type="dxa"/>
            <w:tcBorders>
              <w:top w:val="single" w:sz="4" w:space="0" w:color="auto"/>
              <w:left w:val="single" w:sz="4" w:space="0" w:color="auto"/>
              <w:bottom w:val="single" w:sz="4" w:space="0" w:color="auto"/>
              <w:right w:val="single" w:sz="4" w:space="0" w:color="auto"/>
            </w:tcBorders>
            <w:hideMark/>
          </w:tcPr>
          <w:p w14:paraId="0A074B1E"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су дефинисана у оквиру активности 3.2.2.2</w:t>
            </w:r>
          </w:p>
        </w:tc>
        <w:tc>
          <w:tcPr>
            <w:tcW w:w="1340" w:type="dxa"/>
            <w:tcBorders>
              <w:top w:val="single" w:sz="4" w:space="0" w:color="auto"/>
              <w:left w:val="single" w:sz="4" w:space="0" w:color="auto"/>
              <w:bottom w:val="single" w:sz="4" w:space="0" w:color="auto"/>
              <w:right w:val="single" w:sz="4" w:space="0" w:color="auto"/>
            </w:tcBorders>
          </w:tcPr>
          <w:p w14:paraId="54D97545" w14:textId="42ED49E2" w:rsidR="005A621C" w:rsidRPr="00EF2F18" w:rsidRDefault="005A621C" w:rsidP="00752CA0">
            <w:pPr>
              <w:spacing w:after="0"/>
              <w:rPr>
                <w:rFonts w:eastAsia="Times New Roman" w:cs="Times New Roman"/>
                <w:color w:val="000000"/>
                <w:sz w:val="20"/>
                <w:szCs w:val="20"/>
                <w:lang w:val="sr-Cyrl-RS" w:eastAsia="sr-Cyrl-RS"/>
              </w:rPr>
            </w:pPr>
          </w:p>
        </w:tc>
        <w:tc>
          <w:tcPr>
            <w:tcW w:w="1662" w:type="dxa"/>
            <w:tcBorders>
              <w:top w:val="single" w:sz="4" w:space="0" w:color="auto"/>
              <w:left w:val="single" w:sz="4" w:space="0" w:color="auto"/>
              <w:bottom w:val="single" w:sz="4" w:space="0" w:color="auto"/>
              <w:right w:val="single" w:sz="4" w:space="0" w:color="auto"/>
            </w:tcBorders>
          </w:tcPr>
          <w:p w14:paraId="5A2FF390" w14:textId="51BEEE8F" w:rsidR="005A621C" w:rsidRPr="00EF2F18" w:rsidRDefault="005A621C" w:rsidP="00752CA0">
            <w:pPr>
              <w:spacing w:after="0"/>
              <w:jc w:val="right"/>
              <w:rPr>
                <w:rFonts w:eastAsia="Times New Roman" w:cs="Times New Roman"/>
                <w:color w:val="000000"/>
                <w:sz w:val="20"/>
                <w:szCs w:val="20"/>
                <w:lang w:val="sr-Cyrl-RS" w:eastAsia="sr-Cyrl-RS"/>
              </w:rPr>
            </w:pPr>
          </w:p>
        </w:tc>
        <w:tc>
          <w:tcPr>
            <w:tcW w:w="1890" w:type="dxa"/>
            <w:tcBorders>
              <w:top w:val="single" w:sz="4" w:space="0" w:color="auto"/>
              <w:left w:val="single" w:sz="4" w:space="0" w:color="auto"/>
              <w:bottom w:val="single" w:sz="4" w:space="0" w:color="auto"/>
              <w:right w:val="single" w:sz="4" w:space="0" w:color="auto"/>
            </w:tcBorders>
          </w:tcPr>
          <w:p w14:paraId="7C9FBD04" w14:textId="7A70BAE5" w:rsidR="005A621C" w:rsidRPr="00EF2F18" w:rsidRDefault="005A621C" w:rsidP="00752CA0">
            <w:pPr>
              <w:spacing w:after="0"/>
              <w:jc w:val="right"/>
              <w:rPr>
                <w:rFonts w:eastAsia="Times New Roman" w:cs="Times New Roman"/>
                <w:color w:val="000000"/>
                <w:sz w:val="20"/>
                <w:szCs w:val="20"/>
                <w:lang w:val="sr-Cyrl-RS" w:eastAsia="sr-Cyrl-RS"/>
              </w:rPr>
            </w:pPr>
          </w:p>
        </w:tc>
        <w:tc>
          <w:tcPr>
            <w:tcW w:w="2070" w:type="dxa"/>
            <w:tcBorders>
              <w:top w:val="single" w:sz="4" w:space="0" w:color="auto"/>
              <w:left w:val="single" w:sz="4" w:space="0" w:color="auto"/>
              <w:bottom w:val="single" w:sz="4" w:space="0" w:color="auto"/>
              <w:right w:val="single" w:sz="4" w:space="0" w:color="auto"/>
            </w:tcBorders>
          </w:tcPr>
          <w:p w14:paraId="17233D43" w14:textId="1F542734" w:rsidR="005A621C" w:rsidRPr="00EF2F18" w:rsidRDefault="005A621C" w:rsidP="00752CA0">
            <w:pPr>
              <w:spacing w:after="0"/>
              <w:jc w:val="right"/>
              <w:rPr>
                <w:rFonts w:eastAsia="Times New Roman" w:cs="Times New Roman"/>
                <w:color w:val="000000"/>
                <w:sz w:val="20"/>
                <w:szCs w:val="20"/>
                <w:lang w:val="sr-Cyrl-RS" w:eastAsia="sr-Cyrl-RS"/>
              </w:rPr>
            </w:pPr>
          </w:p>
        </w:tc>
      </w:tr>
      <w:tr w:rsidR="005A621C" w:rsidRPr="00EF2F18" w14:paraId="1782420C" w14:textId="77777777" w:rsidTr="00120DE6">
        <w:trPr>
          <w:trHeight w:val="505"/>
        </w:trPr>
        <w:tc>
          <w:tcPr>
            <w:tcW w:w="1665" w:type="dxa"/>
            <w:vMerge w:val="restart"/>
            <w:tcBorders>
              <w:top w:val="single" w:sz="4" w:space="0" w:color="auto"/>
              <w:left w:val="single" w:sz="4" w:space="0" w:color="auto"/>
              <w:bottom w:val="single" w:sz="4" w:space="0" w:color="auto"/>
              <w:right w:val="single" w:sz="4" w:space="0" w:color="auto"/>
            </w:tcBorders>
            <w:hideMark/>
          </w:tcPr>
          <w:p w14:paraId="08470287"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3.2.2.2. Подршка изградњи нових </w:t>
            </w:r>
            <w:r w:rsidRPr="00EF2F18">
              <w:rPr>
                <w:rFonts w:eastAsia="Times New Roman" w:cs="Times New Roman"/>
                <w:color w:val="000000"/>
                <w:sz w:val="20"/>
                <w:szCs w:val="20"/>
                <w:lang w:val="sr-Cyrl-RS" w:eastAsia="sr-Cyrl-RS"/>
              </w:rPr>
              <w:lastRenderedPageBreak/>
              <w:t>и реконструкцији постојећих система за пречишћавање комуналних отпадних вода и пратеће канализације у надлежности ЈЛС</w:t>
            </w:r>
          </w:p>
        </w:tc>
        <w:tc>
          <w:tcPr>
            <w:tcW w:w="1075" w:type="dxa"/>
            <w:vMerge w:val="restart"/>
            <w:tcBorders>
              <w:top w:val="single" w:sz="4" w:space="0" w:color="auto"/>
              <w:left w:val="single" w:sz="4" w:space="0" w:color="auto"/>
              <w:bottom w:val="single" w:sz="4" w:space="0" w:color="auto"/>
              <w:right w:val="single" w:sz="4" w:space="0" w:color="auto"/>
            </w:tcBorders>
            <w:hideMark/>
          </w:tcPr>
          <w:p w14:paraId="2738A42D"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МЗЖС</w:t>
            </w:r>
          </w:p>
        </w:tc>
        <w:tc>
          <w:tcPr>
            <w:tcW w:w="1237" w:type="dxa"/>
            <w:vMerge w:val="restart"/>
            <w:tcBorders>
              <w:top w:val="single" w:sz="4" w:space="0" w:color="auto"/>
              <w:left w:val="single" w:sz="4" w:space="0" w:color="auto"/>
              <w:bottom w:val="single" w:sz="4" w:space="0" w:color="auto"/>
              <w:right w:val="single" w:sz="4" w:space="0" w:color="auto"/>
            </w:tcBorders>
            <w:hideMark/>
          </w:tcPr>
          <w:p w14:paraId="42FF0F7D"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МПШВ – РДВ, </w:t>
            </w:r>
            <w:r w:rsidRPr="00EF2F18">
              <w:rPr>
                <w:rFonts w:eastAsia="Times New Roman" w:cs="Times New Roman"/>
                <w:color w:val="000000"/>
                <w:sz w:val="20"/>
                <w:szCs w:val="20"/>
                <w:lang w:val="sr-Cyrl-RS" w:eastAsia="sr-Cyrl-RS"/>
              </w:rPr>
              <w:lastRenderedPageBreak/>
              <w:t>МГСИ, МЈУ, ЈЛС, ЈКП</w:t>
            </w:r>
          </w:p>
        </w:tc>
        <w:tc>
          <w:tcPr>
            <w:tcW w:w="1182" w:type="dxa"/>
            <w:vMerge w:val="restart"/>
            <w:tcBorders>
              <w:top w:val="single" w:sz="4" w:space="0" w:color="auto"/>
              <w:left w:val="single" w:sz="4" w:space="0" w:color="auto"/>
              <w:bottom w:val="single" w:sz="4" w:space="0" w:color="auto"/>
              <w:right w:val="single" w:sz="4" w:space="0" w:color="auto"/>
            </w:tcBorders>
            <w:hideMark/>
          </w:tcPr>
          <w:p w14:paraId="4E0210A4"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4. квартал 2028.</w:t>
            </w:r>
          </w:p>
        </w:tc>
        <w:tc>
          <w:tcPr>
            <w:tcW w:w="1374" w:type="dxa"/>
            <w:tcBorders>
              <w:top w:val="single" w:sz="4" w:space="0" w:color="auto"/>
              <w:left w:val="single" w:sz="4" w:space="0" w:color="auto"/>
              <w:bottom w:val="single" w:sz="4" w:space="0" w:color="auto"/>
              <w:right w:val="single" w:sz="4" w:space="0" w:color="auto"/>
            </w:tcBorders>
            <w:hideMark/>
          </w:tcPr>
          <w:p w14:paraId="40454270" w14:textId="49564CCB" w:rsidR="00F441FD" w:rsidRPr="00EF2F18" w:rsidRDefault="00F441FD" w:rsidP="00752CA0">
            <w:pPr>
              <w:spacing w:after="0"/>
              <w:rPr>
                <w:rFonts w:eastAsia="Times New Roman" w:cs="Times New Roman"/>
                <w:color w:val="000000"/>
                <w:sz w:val="20"/>
                <w:szCs w:val="20"/>
                <w:lang w:val="sr-Cyrl-RS" w:eastAsia="sr-Cyrl-RS"/>
              </w:rPr>
            </w:pPr>
          </w:p>
        </w:tc>
        <w:tc>
          <w:tcPr>
            <w:tcW w:w="1340" w:type="dxa"/>
            <w:tcBorders>
              <w:top w:val="single" w:sz="4" w:space="0" w:color="auto"/>
              <w:left w:val="single" w:sz="4" w:space="0" w:color="auto"/>
              <w:bottom w:val="single" w:sz="4" w:space="0" w:color="auto"/>
              <w:right w:val="single" w:sz="4" w:space="0" w:color="auto"/>
            </w:tcBorders>
            <w:hideMark/>
          </w:tcPr>
          <w:p w14:paraId="3C129AE1" w14:textId="2E136FDC" w:rsidR="005A621C" w:rsidRPr="00EF2F18" w:rsidRDefault="005A621C" w:rsidP="00752CA0">
            <w:pPr>
              <w:spacing w:after="0"/>
              <w:rPr>
                <w:rFonts w:eastAsia="Times New Roman" w:cs="Times New Roman"/>
                <w:color w:val="000000"/>
                <w:sz w:val="20"/>
                <w:szCs w:val="20"/>
                <w:lang w:val="sr-Cyrl-RS" w:eastAsia="sr-Cyrl-RS"/>
              </w:rPr>
            </w:pPr>
          </w:p>
        </w:tc>
        <w:tc>
          <w:tcPr>
            <w:tcW w:w="1662" w:type="dxa"/>
            <w:tcBorders>
              <w:top w:val="single" w:sz="4" w:space="0" w:color="auto"/>
              <w:left w:val="single" w:sz="4" w:space="0" w:color="auto"/>
              <w:bottom w:val="single" w:sz="4" w:space="0" w:color="auto"/>
              <w:right w:val="single" w:sz="4" w:space="0" w:color="auto"/>
            </w:tcBorders>
            <w:hideMark/>
          </w:tcPr>
          <w:p w14:paraId="2FAD0447" w14:textId="77777777" w:rsidR="005A621C" w:rsidRPr="00EF2F18" w:rsidRDefault="005A621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890" w:type="dxa"/>
            <w:tcBorders>
              <w:top w:val="single" w:sz="4" w:space="0" w:color="auto"/>
              <w:left w:val="single" w:sz="4" w:space="0" w:color="auto"/>
              <w:bottom w:val="single" w:sz="4" w:space="0" w:color="auto"/>
              <w:right w:val="single" w:sz="4" w:space="0" w:color="auto"/>
            </w:tcBorders>
            <w:hideMark/>
          </w:tcPr>
          <w:p w14:paraId="1B89DDC7" w14:textId="77777777" w:rsidR="005A621C" w:rsidRPr="00EF2F18" w:rsidRDefault="005A621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070" w:type="dxa"/>
            <w:vMerge w:val="restart"/>
            <w:tcBorders>
              <w:top w:val="single" w:sz="4" w:space="0" w:color="auto"/>
              <w:left w:val="single" w:sz="4" w:space="0" w:color="auto"/>
              <w:bottom w:val="single" w:sz="4" w:space="0" w:color="auto"/>
              <w:right w:val="single" w:sz="4" w:space="0" w:color="auto"/>
            </w:tcBorders>
            <w:hideMark/>
          </w:tcPr>
          <w:p w14:paraId="45AC4DC3" w14:textId="77777777" w:rsidR="005A621C" w:rsidRPr="00EF2F18" w:rsidRDefault="005A621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p w14:paraId="3584D905"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0E44115A"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788FFFD8"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6F9778DA"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36E04853"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15092B03"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4236E990"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6E784E74"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35668A1C" w14:textId="77777777" w:rsidR="003C2A45" w:rsidRPr="00EF2F18" w:rsidRDefault="003C2A45" w:rsidP="003C2A45">
            <w:pPr>
              <w:spacing w:after="0"/>
              <w:rPr>
                <w:rFonts w:eastAsia="Times New Roman" w:cs="Times New Roman"/>
                <w:color w:val="000000"/>
                <w:sz w:val="20"/>
                <w:szCs w:val="20"/>
                <w:lang w:val="sr-Cyrl-RS" w:eastAsia="sr-Cyrl-RS"/>
              </w:rPr>
            </w:pPr>
          </w:p>
          <w:p w14:paraId="0B9C869B" w14:textId="77777777" w:rsidR="003C2A45" w:rsidRPr="00EF2F18" w:rsidRDefault="003C2A45" w:rsidP="003C2A45">
            <w:pPr>
              <w:spacing w:after="0"/>
              <w:rPr>
                <w:rFonts w:eastAsia="Times New Roman" w:cs="Times New Roman"/>
                <w:color w:val="000000"/>
                <w:sz w:val="20"/>
                <w:szCs w:val="20"/>
                <w:lang w:val="sr-Cyrl-RS" w:eastAsia="sr-Cyrl-RS"/>
              </w:rPr>
            </w:pPr>
          </w:p>
          <w:p w14:paraId="5B5C1937" w14:textId="0EE4AB4C" w:rsidR="00BA7B82" w:rsidRPr="00EF2F18" w:rsidRDefault="00BA7B82" w:rsidP="003C2A45">
            <w:pPr>
              <w:spacing w:after="0"/>
              <w:rPr>
                <w:rFonts w:eastAsia="Times New Roman" w:cs="Times New Roman"/>
                <w:color w:val="000000"/>
                <w:sz w:val="20"/>
                <w:szCs w:val="20"/>
                <w:lang w:val="sr-Cyrl-RS" w:eastAsia="sr-Cyrl-RS"/>
              </w:rPr>
            </w:pPr>
          </w:p>
          <w:p w14:paraId="7354EDD9"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4D5BEF47"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0F05BE49" w14:textId="77777777" w:rsidR="00E11110" w:rsidRPr="00EF2F18" w:rsidRDefault="00E11110" w:rsidP="00752CA0">
            <w:pPr>
              <w:spacing w:after="0"/>
              <w:jc w:val="right"/>
              <w:rPr>
                <w:rFonts w:eastAsia="Times New Roman" w:cs="Times New Roman"/>
                <w:color w:val="000000"/>
                <w:sz w:val="20"/>
                <w:szCs w:val="20"/>
                <w:lang w:val="sr-Cyrl-RS" w:eastAsia="sr-Cyrl-RS"/>
              </w:rPr>
            </w:pPr>
          </w:p>
          <w:p w14:paraId="5EA07438"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67538E99"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3F2D8D4D" w14:textId="77777777" w:rsidR="004E596A" w:rsidRPr="00EF2F18" w:rsidRDefault="004E596A" w:rsidP="003C2A45">
            <w:pPr>
              <w:spacing w:after="0"/>
              <w:jc w:val="right"/>
              <w:rPr>
                <w:rFonts w:eastAsia="Times New Roman" w:cs="Times New Roman"/>
                <w:color w:val="000000"/>
                <w:sz w:val="20"/>
                <w:szCs w:val="20"/>
                <w:lang w:val="sr-Cyrl-RS" w:eastAsia="sr-Cyrl-RS"/>
              </w:rPr>
            </w:pPr>
          </w:p>
          <w:p w14:paraId="476A5D71" w14:textId="676F2735" w:rsidR="003C2A45" w:rsidRPr="00EF2F18" w:rsidRDefault="003C2A45" w:rsidP="003C2A45">
            <w:pPr>
              <w:spacing w:after="0"/>
              <w:jc w:val="right"/>
              <w:rPr>
                <w:rFonts w:eastAsia="Times New Roman" w:cs="Times New Roman"/>
                <w:color w:val="000000"/>
                <w:sz w:val="20"/>
                <w:szCs w:val="20"/>
                <w:lang w:val="sr-Cyrl-RS" w:eastAsia="sr-Cyrl-RS"/>
              </w:rPr>
            </w:pPr>
          </w:p>
          <w:p w14:paraId="0A5B9B4C"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71062A5C"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0D4439AC"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7FBE6E67"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23C429E4" w14:textId="77777777" w:rsidR="00BA7B82" w:rsidRPr="00EF2F18" w:rsidRDefault="00BA7B82" w:rsidP="00752CA0">
            <w:pPr>
              <w:spacing w:after="0"/>
              <w:jc w:val="right"/>
              <w:rPr>
                <w:rFonts w:eastAsia="Times New Roman" w:cs="Times New Roman"/>
                <w:color w:val="000000"/>
                <w:sz w:val="20"/>
                <w:szCs w:val="20"/>
                <w:lang w:val="sr-Cyrl-RS" w:eastAsia="sr-Cyrl-RS"/>
              </w:rPr>
            </w:pPr>
          </w:p>
          <w:p w14:paraId="37B27614" w14:textId="77777777" w:rsidR="003C2A45" w:rsidRPr="00EF2F18" w:rsidRDefault="003C2A45" w:rsidP="003C2A45">
            <w:pPr>
              <w:spacing w:after="0"/>
              <w:rPr>
                <w:rFonts w:eastAsia="Times New Roman" w:cs="Times New Roman"/>
                <w:color w:val="000000"/>
                <w:sz w:val="20"/>
                <w:szCs w:val="20"/>
                <w:lang w:val="sr-Cyrl-RS" w:eastAsia="sr-Cyrl-RS"/>
              </w:rPr>
            </w:pPr>
          </w:p>
          <w:p w14:paraId="1BA05CFD" w14:textId="2E400DEC" w:rsidR="00BA7B82" w:rsidRPr="00EF2F18" w:rsidRDefault="003C2A45" w:rsidP="003C2A45">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w:t>
            </w:r>
          </w:p>
          <w:p w14:paraId="6DC21A26" w14:textId="77777777" w:rsidR="00BA7B82" w:rsidRPr="00EF2F18" w:rsidRDefault="00BA7B82" w:rsidP="00BA7B82">
            <w:pPr>
              <w:spacing w:after="0"/>
              <w:jc w:val="right"/>
              <w:rPr>
                <w:rFonts w:eastAsia="Times New Roman" w:cs="Times New Roman"/>
                <w:color w:val="000000"/>
                <w:sz w:val="20"/>
                <w:szCs w:val="20"/>
                <w:lang w:val="sr-Cyrl-RS" w:eastAsia="sr-Cyrl-RS"/>
              </w:rPr>
            </w:pPr>
          </w:p>
          <w:p w14:paraId="31B17167" w14:textId="77777777" w:rsidR="00BA7B82" w:rsidRPr="00EF2F18" w:rsidRDefault="00BA7B82" w:rsidP="00BA7B82">
            <w:pPr>
              <w:spacing w:after="0"/>
              <w:jc w:val="right"/>
              <w:rPr>
                <w:rFonts w:eastAsia="Times New Roman" w:cs="Times New Roman"/>
                <w:color w:val="000000"/>
                <w:sz w:val="20"/>
                <w:szCs w:val="20"/>
                <w:lang w:val="sr-Cyrl-RS" w:eastAsia="sr-Cyrl-RS"/>
              </w:rPr>
            </w:pPr>
          </w:p>
          <w:p w14:paraId="130DE7CC" w14:textId="51928728" w:rsidR="00BA7B82" w:rsidRPr="00EF2F18" w:rsidRDefault="00BA7B82" w:rsidP="00BA7B82">
            <w:pPr>
              <w:spacing w:after="0"/>
              <w:jc w:val="right"/>
              <w:rPr>
                <w:rFonts w:eastAsia="Times New Roman" w:cs="Times New Roman"/>
                <w:color w:val="000000"/>
                <w:sz w:val="20"/>
                <w:szCs w:val="20"/>
                <w:lang w:val="sr-Cyrl-RS" w:eastAsia="sr-Cyrl-RS"/>
              </w:rPr>
            </w:pPr>
          </w:p>
        </w:tc>
      </w:tr>
      <w:tr w:rsidR="00120DE6" w:rsidRPr="00EF2F18" w14:paraId="05E4E6B1" w14:textId="77777777" w:rsidTr="005A621C">
        <w:trPr>
          <w:trHeight w:val="28"/>
        </w:trPr>
        <w:tc>
          <w:tcPr>
            <w:tcW w:w="1665" w:type="dxa"/>
            <w:vMerge/>
            <w:tcBorders>
              <w:top w:val="single" w:sz="4" w:space="0" w:color="auto"/>
              <w:left w:val="single" w:sz="4" w:space="0" w:color="auto"/>
              <w:bottom w:val="single" w:sz="4" w:space="0" w:color="auto"/>
              <w:right w:val="single" w:sz="4" w:space="0" w:color="auto"/>
            </w:tcBorders>
          </w:tcPr>
          <w:p w14:paraId="1C1F6E6B" w14:textId="77777777" w:rsidR="00120DE6" w:rsidRPr="00EF2F18" w:rsidRDefault="00120DE6" w:rsidP="00752CA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tcPr>
          <w:p w14:paraId="7CDBD170" w14:textId="77777777" w:rsidR="00120DE6" w:rsidRPr="00EF2F18" w:rsidRDefault="00120DE6" w:rsidP="00752CA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tcPr>
          <w:p w14:paraId="17FEBC56" w14:textId="77777777" w:rsidR="00120DE6" w:rsidRPr="00EF2F18" w:rsidRDefault="00120DE6"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tcPr>
          <w:p w14:paraId="228BF274" w14:textId="77777777" w:rsidR="00120DE6" w:rsidRPr="00EF2F18" w:rsidRDefault="00120DE6" w:rsidP="00752CA0">
            <w:pPr>
              <w:spacing w:after="0"/>
              <w:rPr>
                <w:rFonts w:eastAsia="Times New Roman" w:cs="Times New Roman"/>
                <w:color w:val="000000"/>
                <w:sz w:val="20"/>
                <w:szCs w:val="20"/>
                <w:lang w:val="sr-Cyrl-RS" w:eastAsia="sr-Cyrl-RS"/>
              </w:rPr>
            </w:pPr>
          </w:p>
        </w:tc>
        <w:tc>
          <w:tcPr>
            <w:tcW w:w="1374" w:type="dxa"/>
            <w:tcBorders>
              <w:top w:val="single" w:sz="4" w:space="0" w:color="auto"/>
              <w:left w:val="single" w:sz="4" w:space="0" w:color="auto"/>
              <w:right w:val="single" w:sz="4" w:space="0" w:color="auto"/>
            </w:tcBorders>
          </w:tcPr>
          <w:p w14:paraId="6DE1235B" w14:textId="77777777" w:rsidR="00120DE6" w:rsidRPr="00EF2F18" w:rsidRDefault="00120DE6" w:rsidP="00752CA0">
            <w:pPr>
              <w:spacing w:after="0"/>
              <w:rPr>
                <w:rFonts w:eastAsia="Times New Roman" w:cs="Times New Roman"/>
                <w:color w:val="000000"/>
                <w:sz w:val="20"/>
                <w:szCs w:val="20"/>
                <w:lang w:val="sr-Cyrl-RS" w:eastAsia="sr-Cyrl-RS"/>
              </w:rPr>
            </w:pPr>
          </w:p>
        </w:tc>
        <w:tc>
          <w:tcPr>
            <w:tcW w:w="1340" w:type="dxa"/>
            <w:tcBorders>
              <w:top w:val="single" w:sz="4" w:space="0" w:color="auto"/>
              <w:left w:val="single" w:sz="4" w:space="0" w:color="auto"/>
              <w:right w:val="single" w:sz="4" w:space="0" w:color="auto"/>
            </w:tcBorders>
          </w:tcPr>
          <w:p w14:paraId="71164461" w14:textId="77777777" w:rsidR="00120DE6" w:rsidRPr="00EF2F18" w:rsidRDefault="00120DE6" w:rsidP="00752CA0">
            <w:pPr>
              <w:spacing w:after="0"/>
              <w:rPr>
                <w:rFonts w:eastAsia="Times New Roman" w:cs="Times New Roman"/>
                <w:color w:val="000000"/>
                <w:sz w:val="20"/>
                <w:szCs w:val="20"/>
                <w:lang w:val="sr-Cyrl-RS" w:eastAsia="sr-Cyrl-RS"/>
              </w:rPr>
            </w:pPr>
          </w:p>
        </w:tc>
        <w:tc>
          <w:tcPr>
            <w:tcW w:w="1662" w:type="dxa"/>
            <w:tcBorders>
              <w:top w:val="single" w:sz="4" w:space="0" w:color="auto"/>
              <w:left w:val="single" w:sz="4" w:space="0" w:color="auto"/>
              <w:right w:val="single" w:sz="4" w:space="0" w:color="auto"/>
            </w:tcBorders>
          </w:tcPr>
          <w:p w14:paraId="7E4A33D9" w14:textId="77777777" w:rsidR="00120DE6" w:rsidRPr="00EF2F18" w:rsidRDefault="00120DE6" w:rsidP="00752CA0">
            <w:pPr>
              <w:spacing w:after="0"/>
              <w:jc w:val="right"/>
              <w:rPr>
                <w:rFonts w:eastAsia="Times New Roman" w:cs="Times New Roman"/>
                <w:color w:val="000000"/>
                <w:sz w:val="20"/>
                <w:szCs w:val="20"/>
                <w:lang w:val="sr-Cyrl-RS" w:eastAsia="sr-Cyrl-RS"/>
              </w:rPr>
            </w:pPr>
          </w:p>
        </w:tc>
        <w:tc>
          <w:tcPr>
            <w:tcW w:w="1890" w:type="dxa"/>
            <w:tcBorders>
              <w:top w:val="single" w:sz="4" w:space="0" w:color="auto"/>
              <w:left w:val="single" w:sz="4" w:space="0" w:color="auto"/>
              <w:right w:val="single" w:sz="4" w:space="0" w:color="auto"/>
            </w:tcBorders>
          </w:tcPr>
          <w:p w14:paraId="7FB3FA59" w14:textId="77777777" w:rsidR="00120DE6" w:rsidRPr="00EF2F18" w:rsidRDefault="00120DE6" w:rsidP="00752CA0">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tcPr>
          <w:p w14:paraId="3698258A" w14:textId="77777777" w:rsidR="00120DE6" w:rsidRPr="00EF2F18" w:rsidRDefault="00120DE6" w:rsidP="00752CA0">
            <w:pPr>
              <w:spacing w:after="0"/>
              <w:jc w:val="right"/>
              <w:rPr>
                <w:rFonts w:eastAsia="Times New Roman" w:cs="Times New Roman"/>
                <w:color w:val="000000"/>
                <w:sz w:val="20"/>
                <w:szCs w:val="20"/>
                <w:lang w:val="sr-Cyrl-RS" w:eastAsia="sr-Cyrl-RS"/>
              </w:rPr>
            </w:pPr>
          </w:p>
        </w:tc>
      </w:tr>
      <w:tr w:rsidR="005A621C" w:rsidRPr="00EF2F18" w14:paraId="799C5678" w14:textId="77777777" w:rsidTr="005A621C">
        <w:trPr>
          <w:trHeight w:val="528"/>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7B2C7E07"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74EBD12B"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15C45DED"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295417F4"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hideMark/>
          </w:tcPr>
          <w:p w14:paraId="1A27B0BA"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tcBorders>
              <w:left w:val="single" w:sz="4" w:space="0" w:color="auto"/>
              <w:right w:val="single" w:sz="4" w:space="0" w:color="auto"/>
            </w:tcBorders>
            <w:hideMark/>
          </w:tcPr>
          <w:p w14:paraId="7FB3952D"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0406-560-7069-511</w:t>
            </w:r>
          </w:p>
        </w:tc>
        <w:tc>
          <w:tcPr>
            <w:tcW w:w="1662" w:type="dxa"/>
            <w:tcBorders>
              <w:left w:val="single" w:sz="4" w:space="0" w:color="auto"/>
              <w:right w:val="single" w:sz="4" w:space="0" w:color="auto"/>
            </w:tcBorders>
            <w:hideMark/>
          </w:tcPr>
          <w:p w14:paraId="620A66D6" w14:textId="3A49321B" w:rsidR="005A621C" w:rsidRPr="00EF2F18" w:rsidRDefault="005A621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231.608</w:t>
            </w:r>
          </w:p>
        </w:tc>
        <w:tc>
          <w:tcPr>
            <w:tcW w:w="1890" w:type="dxa"/>
            <w:tcBorders>
              <w:left w:val="single" w:sz="4" w:space="0" w:color="auto"/>
              <w:right w:val="single" w:sz="4" w:space="0" w:color="auto"/>
            </w:tcBorders>
            <w:hideMark/>
          </w:tcPr>
          <w:p w14:paraId="4417FBE7" w14:textId="493EB0A3" w:rsidR="005A621C" w:rsidRPr="00EF2F18" w:rsidRDefault="005A621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45.492</w:t>
            </w: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6727B6CA" w14:textId="77777777" w:rsidR="005A621C" w:rsidRPr="00EF2F18" w:rsidRDefault="005A621C" w:rsidP="00752CA0">
            <w:pPr>
              <w:spacing w:after="0"/>
              <w:jc w:val="right"/>
              <w:rPr>
                <w:rFonts w:eastAsia="Times New Roman" w:cs="Times New Roman"/>
                <w:color w:val="000000"/>
                <w:sz w:val="20"/>
                <w:szCs w:val="20"/>
                <w:lang w:val="sr-Cyrl-RS" w:eastAsia="sr-Cyrl-RS"/>
              </w:rPr>
            </w:pPr>
          </w:p>
        </w:tc>
      </w:tr>
      <w:tr w:rsidR="005A621C" w:rsidRPr="00EF2F18" w14:paraId="2B4E55C9" w14:textId="77777777" w:rsidTr="005A621C">
        <w:trPr>
          <w:trHeight w:val="528"/>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7DAE39CB"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1FEC18DC"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3F8269F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0929065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hideMark/>
          </w:tcPr>
          <w:p w14:paraId="05E54C58"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340" w:type="dxa"/>
            <w:tcBorders>
              <w:left w:val="single" w:sz="4" w:space="0" w:color="auto"/>
              <w:right w:val="single" w:sz="4" w:space="0" w:color="auto"/>
            </w:tcBorders>
            <w:hideMark/>
          </w:tcPr>
          <w:p w14:paraId="48AE6E70"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0406-560-7083-511</w:t>
            </w:r>
          </w:p>
        </w:tc>
        <w:tc>
          <w:tcPr>
            <w:tcW w:w="1662" w:type="dxa"/>
            <w:tcBorders>
              <w:left w:val="single" w:sz="4" w:space="0" w:color="auto"/>
              <w:right w:val="single" w:sz="4" w:space="0" w:color="auto"/>
            </w:tcBorders>
            <w:hideMark/>
          </w:tcPr>
          <w:p w14:paraId="428BE234" w14:textId="1ABE0743" w:rsidR="005A621C" w:rsidRPr="00EF2F18" w:rsidRDefault="004F430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w:t>
            </w:r>
          </w:p>
        </w:tc>
        <w:tc>
          <w:tcPr>
            <w:tcW w:w="1890" w:type="dxa"/>
            <w:tcBorders>
              <w:left w:val="single" w:sz="4" w:space="0" w:color="auto"/>
              <w:right w:val="single" w:sz="4" w:space="0" w:color="auto"/>
            </w:tcBorders>
            <w:hideMark/>
          </w:tcPr>
          <w:p w14:paraId="0B71AACD" w14:textId="6A62DF43" w:rsidR="005A621C" w:rsidRPr="00EF2F18" w:rsidRDefault="005A621C" w:rsidP="00752CA0">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22B24002" w14:textId="77777777" w:rsidR="005A621C" w:rsidRPr="00EF2F18" w:rsidRDefault="005A621C" w:rsidP="00752CA0">
            <w:pPr>
              <w:spacing w:after="0"/>
              <w:jc w:val="right"/>
              <w:rPr>
                <w:rFonts w:eastAsia="Times New Roman" w:cs="Times New Roman"/>
                <w:color w:val="000000"/>
                <w:sz w:val="20"/>
                <w:szCs w:val="20"/>
                <w:lang w:val="sr-Cyrl-RS" w:eastAsia="sr-Cyrl-RS"/>
              </w:rPr>
            </w:pPr>
          </w:p>
        </w:tc>
      </w:tr>
      <w:tr w:rsidR="00BA7B82" w:rsidRPr="00EF2F18" w14:paraId="5102A4B4" w14:textId="77777777" w:rsidTr="002E21EC">
        <w:trPr>
          <w:trHeight w:val="528"/>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773DB750"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15AE7A37"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61935716"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6C80CF4A"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hideMark/>
          </w:tcPr>
          <w:p w14:paraId="249D4418" w14:textId="66053D01" w:rsidR="00BA7B82" w:rsidRPr="00EF2F18" w:rsidRDefault="00BA7B82" w:rsidP="00BA7B82">
            <w:pPr>
              <w:spacing w:after="0"/>
              <w:rPr>
                <w:rFonts w:eastAsia="Times New Roman" w:cs="Times New Roman"/>
                <w:color w:val="000000"/>
                <w:sz w:val="20"/>
                <w:szCs w:val="20"/>
                <w:lang w:val="sr-Cyrl-RS" w:eastAsia="sr-Cyrl-RS"/>
              </w:rPr>
            </w:pPr>
          </w:p>
        </w:tc>
        <w:tc>
          <w:tcPr>
            <w:tcW w:w="1340" w:type="dxa"/>
            <w:tcBorders>
              <w:left w:val="single" w:sz="4" w:space="0" w:color="auto"/>
              <w:right w:val="single" w:sz="4" w:space="0" w:color="auto"/>
            </w:tcBorders>
            <w:hideMark/>
          </w:tcPr>
          <w:p w14:paraId="404A0A16" w14:textId="0ECCE8A2" w:rsidR="00BA7B82" w:rsidRPr="00EF2F18" w:rsidRDefault="00BA7B82" w:rsidP="00BA7B82">
            <w:pPr>
              <w:spacing w:after="0"/>
              <w:rPr>
                <w:rFonts w:eastAsia="Times New Roman" w:cs="Times New Roman"/>
                <w:color w:val="000000"/>
                <w:sz w:val="20"/>
                <w:szCs w:val="20"/>
                <w:lang w:val="sr-Cyrl-RS" w:eastAsia="sr-Cyrl-RS"/>
              </w:rPr>
            </w:pPr>
          </w:p>
        </w:tc>
        <w:tc>
          <w:tcPr>
            <w:tcW w:w="1662" w:type="dxa"/>
            <w:tcBorders>
              <w:left w:val="single" w:sz="4" w:space="0" w:color="auto"/>
              <w:right w:val="single" w:sz="4" w:space="0" w:color="auto"/>
            </w:tcBorders>
            <w:hideMark/>
          </w:tcPr>
          <w:p w14:paraId="6DB037B2" w14:textId="4659C074" w:rsidR="00BA7B82" w:rsidRPr="00EF2F18" w:rsidRDefault="00BA7B82" w:rsidP="00BA7B82">
            <w:pPr>
              <w:spacing w:after="0"/>
              <w:jc w:val="right"/>
              <w:rPr>
                <w:rFonts w:eastAsia="Times New Roman" w:cs="Times New Roman"/>
                <w:color w:val="000000"/>
                <w:sz w:val="20"/>
                <w:szCs w:val="20"/>
                <w:lang w:val="sr-Cyrl-RS" w:eastAsia="sr-Cyrl-RS"/>
              </w:rPr>
            </w:pPr>
          </w:p>
        </w:tc>
        <w:tc>
          <w:tcPr>
            <w:tcW w:w="1890" w:type="dxa"/>
            <w:tcBorders>
              <w:left w:val="single" w:sz="4" w:space="0" w:color="auto"/>
              <w:right w:val="single" w:sz="4" w:space="0" w:color="auto"/>
            </w:tcBorders>
          </w:tcPr>
          <w:p w14:paraId="1C55A76B" w14:textId="7028457B" w:rsidR="00BA7B82" w:rsidRPr="00EF2F18" w:rsidRDefault="00BA7B82" w:rsidP="00BA7B82">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1D04822C" w14:textId="77777777" w:rsidR="00BA7B82" w:rsidRPr="00EF2F18" w:rsidRDefault="00BA7B82" w:rsidP="00BA7B82">
            <w:pPr>
              <w:spacing w:after="0"/>
              <w:jc w:val="right"/>
              <w:rPr>
                <w:rFonts w:eastAsia="Times New Roman" w:cs="Times New Roman"/>
                <w:color w:val="000000"/>
                <w:sz w:val="20"/>
                <w:szCs w:val="20"/>
                <w:lang w:val="sr-Cyrl-RS" w:eastAsia="sr-Cyrl-RS"/>
              </w:rPr>
            </w:pPr>
          </w:p>
        </w:tc>
      </w:tr>
      <w:tr w:rsidR="00BA7B82" w:rsidRPr="00EF2F18" w14:paraId="4088FCBC" w14:textId="77777777" w:rsidTr="005A621C">
        <w:trPr>
          <w:trHeight w:val="528"/>
        </w:trPr>
        <w:tc>
          <w:tcPr>
            <w:tcW w:w="1665" w:type="dxa"/>
            <w:vMerge/>
            <w:tcBorders>
              <w:top w:val="single" w:sz="4" w:space="0" w:color="auto"/>
              <w:left w:val="single" w:sz="4" w:space="0" w:color="auto"/>
              <w:bottom w:val="single" w:sz="4" w:space="0" w:color="auto"/>
              <w:right w:val="single" w:sz="4" w:space="0" w:color="auto"/>
            </w:tcBorders>
            <w:vAlign w:val="center"/>
          </w:tcPr>
          <w:p w14:paraId="6D757B9C"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tcPr>
          <w:p w14:paraId="4F13F0EE"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B0EAB9C"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tcPr>
          <w:p w14:paraId="0CDA4EA6" w14:textId="77777777" w:rsidR="00BA7B82" w:rsidRPr="00EF2F18" w:rsidRDefault="00BA7B82" w:rsidP="00BA7B82">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tcPr>
          <w:p w14:paraId="2E07FB04" w14:textId="5D124697" w:rsidR="00BA7B82" w:rsidRPr="00EF2F18" w:rsidRDefault="00BA7B82" w:rsidP="00BA7B82">
            <w:pPr>
              <w:spacing w:after="0"/>
              <w:rPr>
                <w:rFonts w:eastAsia="Times New Roman" w:cs="Times New Roman"/>
                <w:color w:val="000000"/>
                <w:sz w:val="20"/>
                <w:szCs w:val="20"/>
                <w:lang w:val="sr-Cyrl-RS" w:eastAsia="sr-Cyrl-RS"/>
              </w:rPr>
            </w:pPr>
          </w:p>
        </w:tc>
        <w:tc>
          <w:tcPr>
            <w:tcW w:w="1340" w:type="dxa"/>
            <w:tcBorders>
              <w:left w:val="single" w:sz="4" w:space="0" w:color="auto"/>
              <w:right w:val="single" w:sz="4" w:space="0" w:color="auto"/>
            </w:tcBorders>
          </w:tcPr>
          <w:p w14:paraId="03359196" w14:textId="72024B5E" w:rsidR="00BA7B82" w:rsidRPr="00EF2F18" w:rsidRDefault="00BA7B82" w:rsidP="00BA7B82">
            <w:pPr>
              <w:spacing w:after="0"/>
              <w:rPr>
                <w:rFonts w:eastAsia="Times New Roman" w:cs="Times New Roman"/>
                <w:color w:val="000000"/>
                <w:sz w:val="20"/>
                <w:szCs w:val="20"/>
                <w:lang w:val="sr-Cyrl-RS" w:eastAsia="sr-Cyrl-RS"/>
              </w:rPr>
            </w:pPr>
          </w:p>
        </w:tc>
        <w:tc>
          <w:tcPr>
            <w:tcW w:w="1662" w:type="dxa"/>
            <w:tcBorders>
              <w:left w:val="single" w:sz="4" w:space="0" w:color="auto"/>
              <w:right w:val="single" w:sz="4" w:space="0" w:color="auto"/>
            </w:tcBorders>
          </w:tcPr>
          <w:p w14:paraId="71611B24" w14:textId="77777777" w:rsidR="00BA7B82" w:rsidRPr="00EF2F18" w:rsidRDefault="00BA7B82" w:rsidP="00BA7B82">
            <w:pPr>
              <w:spacing w:after="0"/>
              <w:jc w:val="right"/>
              <w:rPr>
                <w:rFonts w:eastAsia="Times New Roman" w:cs="Times New Roman"/>
                <w:color w:val="000000"/>
                <w:sz w:val="20"/>
                <w:szCs w:val="20"/>
                <w:lang w:val="sr-Cyrl-RS" w:eastAsia="sr-Cyrl-RS"/>
              </w:rPr>
            </w:pPr>
          </w:p>
        </w:tc>
        <w:tc>
          <w:tcPr>
            <w:tcW w:w="1890" w:type="dxa"/>
            <w:tcBorders>
              <w:left w:val="single" w:sz="4" w:space="0" w:color="auto"/>
              <w:right w:val="single" w:sz="4" w:space="0" w:color="auto"/>
            </w:tcBorders>
          </w:tcPr>
          <w:p w14:paraId="355B38DA" w14:textId="77777777" w:rsidR="00BA7B82" w:rsidRPr="00EF2F18" w:rsidRDefault="00BA7B82" w:rsidP="00BA7B82">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tcPr>
          <w:p w14:paraId="07A0D7F1" w14:textId="77777777" w:rsidR="00BA7B82" w:rsidRPr="00EF2F18" w:rsidRDefault="00BA7B82" w:rsidP="00BA7B82">
            <w:pPr>
              <w:spacing w:after="0"/>
              <w:jc w:val="right"/>
              <w:rPr>
                <w:rFonts w:eastAsia="Times New Roman" w:cs="Times New Roman"/>
                <w:color w:val="000000"/>
                <w:sz w:val="20"/>
                <w:szCs w:val="20"/>
                <w:lang w:val="sr-Cyrl-RS" w:eastAsia="sr-Cyrl-RS"/>
              </w:rPr>
            </w:pPr>
          </w:p>
        </w:tc>
      </w:tr>
      <w:tr w:rsidR="00914550" w:rsidRPr="00EF2F18" w14:paraId="16756F0C" w14:textId="77777777" w:rsidTr="005A621C">
        <w:trPr>
          <w:trHeight w:val="528"/>
        </w:trPr>
        <w:tc>
          <w:tcPr>
            <w:tcW w:w="1665" w:type="dxa"/>
            <w:vMerge/>
            <w:tcBorders>
              <w:top w:val="single" w:sz="4" w:space="0" w:color="auto"/>
              <w:left w:val="single" w:sz="4" w:space="0" w:color="auto"/>
              <w:bottom w:val="single" w:sz="4" w:space="0" w:color="auto"/>
              <w:right w:val="single" w:sz="4" w:space="0" w:color="auto"/>
            </w:tcBorders>
            <w:vAlign w:val="center"/>
          </w:tcPr>
          <w:p w14:paraId="62549D60"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tcPr>
          <w:p w14:paraId="632646FC"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E7E2CF4"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tcPr>
          <w:p w14:paraId="598F6CB3"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tcPr>
          <w:p w14:paraId="31705E92" w14:textId="77777777" w:rsidR="00914550" w:rsidRPr="00EF2F18" w:rsidRDefault="00914550" w:rsidP="0091455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Буџетска средства</w:t>
            </w:r>
          </w:p>
          <w:p w14:paraId="046187EF" w14:textId="77777777" w:rsidR="00914550" w:rsidRPr="00EF2F18" w:rsidRDefault="00914550" w:rsidP="00914550">
            <w:pPr>
              <w:spacing w:after="0"/>
              <w:rPr>
                <w:rFonts w:eastAsia="Times New Roman" w:cs="Times New Roman"/>
                <w:color w:val="000000"/>
                <w:sz w:val="20"/>
                <w:szCs w:val="20"/>
                <w:lang w:val="sr-Cyrl-RS" w:eastAsia="sr-Cyrl-RS"/>
              </w:rPr>
            </w:pPr>
          </w:p>
          <w:p w14:paraId="353E8913"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p w14:paraId="6E49E39E"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40" w:type="dxa"/>
            <w:tcBorders>
              <w:left w:val="single" w:sz="4" w:space="0" w:color="auto"/>
              <w:right w:val="single" w:sz="4" w:space="0" w:color="auto"/>
            </w:tcBorders>
          </w:tcPr>
          <w:p w14:paraId="75CF36F3" w14:textId="77777777" w:rsidR="00914550" w:rsidRPr="00EF2F18" w:rsidRDefault="00914550" w:rsidP="0091455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0401-630-7086-511</w:t>
            </w:r>
          </w:p>
          <w:p w14:paraId="14E2B981" w14:textId="77777777" w:rsidR="00914550" w:rsidRPr="00EF2F18" w:rsidRDefault="00914550" w:rsidP="00914550">
            <w:pPr>
              <w:spacing w:after="0"/>
              <w:rPr>
                <w:rFonts w:eastAsia="Times New Roman" w:cs="Times New Roman"/>
                <w:color w:val="000000"/>
                <w:sz w:val="20"/>
                <w:szCs w:val="20"/>
                <w:lang w:val="sr-Cyrl-RS" w:eastAsia="sr-Cyrl-RS"/>
              </w:rPr>
            </w:pPr>
          </w:p>
          <w:p w14:paraId="23AE2760" w14:textId="55E10DB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0407-560-5001-511</w:t>
            </w:r>
          </w:p>
        </w:tc>
        <w:tc>
          <w:tcPr>
            <w:tcW w:w="1662" w:type="dxa"/>
            <w:tcBorders>
              <w:left w:val="single" w:sz="4" w:space="0" w:color="auto"/>
              <w:right w:val="single" w:sz="4" w:space="0" w:color="auto"/>
            </w:tcBorders>
          </w:tcPr>
          <w:p w14:paraId="3D6A3BEE" w14:textId="67436B58" w:rsidR="00914550" w:rsidRPr="00EF2F18" w:rsidRDefault="00914550" w:rsidP="00914550">
            <w:pPr>
              <w:spacing w:after="0"/>
              <w:jc w:val="right"/>
              <w:rPr>
                <w:sz w:val="20"/>
                <w:szCs w:val="20"/>
                <w:lang w:val="sr-Cyrl-RS"/>
              </w:rPr>
            </w:pPr>
            <w:r w:rsidRPr="00EF2F18">
              <w:rPr>
                <w:rFonts w:eastAsia="Times New Roman" w:cs="Times New Roman"/>
                <w:color w:val="000000"/>
                <w:sz w:val="20"/>
                <w:szCs w:val="20"/>
                <w:lang w:val="sr-Cyrl-RS" w:eastAsia="sr-Cyrl-RS"/>
              </w:rPr>
              <w:t>455.055</w:t>
            </w:r>
          </w:p>
          <w:p w14:paraId="343753F0" w14:textId="77777777" w:rsidR="00914550" w:rsidRPr="00EF2F18" w:rsidRDefault="00914550" w:rsidP="00914550">
            <w:pPr>
              <w:spacing w:after="0"/>
              <w:jc w:val="right"/>
              <w:rPr>
                <w:sz w:val="20"/>
                <w:szCs w:val="20"/>
                <w:lang w:val="sr-Cyrl-RS"/>
              </w:rPr>
            </w:pPr>
          </w:p>
          <w:p w14:paraId="00CBC79B" w14:textId="77777777" w:rsidR="00914550" w:rsidRPr="00EF2F18" w:rsidRDefault="00914550" w:rsidP="00914550">
            <w:pPr>
              <w:spacing w:after="0"/>
              <w:jc w:val="right"/>
              <w:rPr>
                <w:sz w:val="20"/>
                <w:szCs w:val="20"/>
                <w:lang w:val="sr-Cyrl-RS"/>
              </w:rPr>
            </w:pPr>
          </w:p>
          <w:p w14:paraId="2BA849BE" w14:textId="4CCFE578" w:rsidR="00914550" w:rsidRPr="00EF2F18" w:rsidRDefault="00914550" w:rsidP="00914550">
            <w:pPr>
              <w:spacing w:after="0"/>
              <w:jc w:val="right"/>
              <w:rPr>
                <w:rFonts w:eastAsia="Times New Roman" w:cs="Times New Roman"/>
                <w:color w:val="000000"/>
                <w:sz w:val="20"/>
                <w:szCs w:val="20"/>
                <w:lang w:val="sr-Cyrl-RS" w:eastAsia="sr-Cyrl-RS"/>
              </w:rPr>
            </w:pPr>
            <w:r w:rsidRPr="00EF2F18">
              <w:rPr>
                <w:sz w:val="20"/>
                <w:szCs w:val="20"/>
                <w:lang w:val="sr-Cyrl-RS"/>
              </w:rPr>
              <w:t>55.000</w:t>
            </w:r>
          </w:p>
        </w:tc>
        <w:tc>
          <w:tcPr>
            <w:tcW w:w="1890" w:type="dxa"/>
            <w:tcBorders>
              <w:left w:val="single" w:sz="4" w:space="0" w:color="auto"/>
              <w:right w:val="single" w:sz="4" w:space="0" w:color="auto"/>
            </w:tcBorders>
          </w:tcPr>
          <w:p w14:paraId="7221DA42" w14:textId="6E1C06F2" w:rsidR="00914550" w:rsidRPr="00EF2F18" w:rsidRDefault="002D0162"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72.386</w:t>
            </w:r>
          </w:p>
        </w:tc>
        <w:tc>
          <w:tcPr>
            <w:tcW w:w="2070" w:type="dxa"/>
            <w:vMerge/>
            <w:tcBorders>
              <w:top w:val="single" w:sz="4" w:space="0" w:color="auto"/>
              <w:left w:val="single" w:sz="4" w:space="0" w:color="auto"/>
              <w:bottom w:val="single" w:sz="4" w:space="0" w:color="auto"/>
              <w:right w:val="single" w:sz="4" w:space="0" w:color="auto"/>
            </w:tcBorders>
            <w:vAlign w:val="center"/>
          </w:tcPr>
          <w:p w14:paraId="17BF06D2"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760268D8" w14:textId="77777777" w:rsidTr="005A621C">
        <w:trPr>
          <w:trHeight w:val="528"/>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3231E126"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3E9734B7"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49CE1603"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022F6083"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hideMark/>
          </w:tcPr>
          <w:p w14:paraId="6E9638E2" w14:textId="77777777" w:rsidR="00914550" w:rsidRPr="00EF2F18" w:rsidRDefault="00914550" w:rsidP="00914550">
            <w:pPr>
              <w:spacing w:after="0"/>
              <w:rPr>
                <w:rFonts w:eastAsia="Times New Roman" w:cs="Times New Roman"/>
                <w:color w:val="00B050"/>
                <w:sz w:val="20"/>
                <w:szCs w:val="20"/>
                <w:lang w:val="sr-Cyrl-RS" w:eastAsia="sr-Cyrl-RS"/>
              </w:rPr>
            </w:pPr>
            <w:r w:rsidRPr="00EF2F18">
              <w:rPr>
                <w:rFonts w:eastAsia="Times New Roman" w:cs="Times New Roman"/>
                <w:sz w:val="20"/>
                <w:szCs w:val="20"/>
                <w:lang w:val="sr-Cyrl-RS" w:eastAsia="sr-Cyrl-RS"/>
              </w:rPr>
              <w:t>Донаторска средства (ЕУ ИПА)</w:t>
            </w:r>
          </w:p>
        </w:tc>
        <w:tc>
          <w:tcPr>
            <w:tcW w:w="1340" w:type="dxa"/>
            <w:tcBorders>
              <w:left w:val="single" w:sz="4" w:space="0" w:color="auto"/>
              <w:right w:val="single" w:sz="4" w:space="0" w:color="auto"/>
            </w:tcBorders>
            <w:hideMark/>
          </w:tcPr>
          <w:p w14:paraId="14113842" w14:textId="6241260F" w:rsidR="00914550" w:rsidRPr="00EF2F18" w:rsidRDefault="00914550" w:rsidP="00914550">
            <w:pPr>
              <w:spacing w:after="0"/>
              <w:rPr>
                <w:rFonts w:eastAsia="Times New Roman" w:cs="Times New Roman"/>
                <w:color w:val="00B050"/>
                <w:sz w:val="20"/>
                <w:szCs w:val="20"/>
                <w:lang w:val="sr-Cyrl-RS" w:eastAsia="sr-Cyrl-RS"/>
              </w:rPr>
            </w:pPr>
            <w:r w:rsidRPr="00EF2F18">
              <w:rPr>
                <w:rFonts w:eastAsia="Times New Roman" w:cs="Times New Roman"/>
                <w:sz w:val="20"/>
                <w:szCs w:val="20"/>
                <w:lang w:val="sr-Cyrl-RS" w:eastAsia="sr-Cyrl-RS"/>
              </w:rPr>
              <w:t>040</w:t>
            </w:r>
            <w:r w:rsidR="003C2A45" w:rsidRPr="00EF2F18">
              <w:rPr>
                <w:rFonts w:eastAsia="Times New Roman" w:cs="Times New Roman"/>
                <w:sz w:val="20"/>
                <w:szCs w:val="20"/>
                <w:lang w:val="sr-Cyrl-RS" w:eastAsia="sr-Cyrl-RS"/>
              </w:rPr>
              <w:t>1</w:t>
            </w:r>
            <w:r w:rsidRPr="00EF2F18">
              <w:rPr>
                <w:rFonts w:eastAsia="Times New Roman" w:cs="Times New Roman"/>
                <w:sz w:val="20"/>
                <w:szCs w:val="20"/>
                <w:lang w:val="sr-Cyrl-RS" w:eastAsia="sr-Cyrl-RS"/>
              </w:rPr>
              <w:t>-</w:t>
            </w:r>
            <w:r w:rsidR="003C2A45" w:rsidRPr="00EF2F18">
              <w:rPr>
                <w:rFonts w:eastAsia="Times New Roman" w:cs="Times New Roman"/>
                <w:sz w:val="20"/>
                <w:szCs w:val="20"/>
                <w:lang w:val="sr-Cyrl-RS" w:eastAsia="sr-Cyrl-RS"/>
              </w:rPr>
              <w:t>630</w:t>
            </w:r>
            <w:r w:rsidRPr="00EF2F18">
              <w:rPr>
                <w:rFonts w:eastAsia="Times New Roman" w:cs="Times New Roman"/>
                <w:sz w:val="20"/>
                <w:szCs w:val="20"/>
                <w:lang w:val="sr-Cyrl-RS" w:eastAsia="sr-Cyrl-RS"/>
              </w:rPr>
              <w:t>-7069-511</w:t>
            </w:r>
          </w:p>
        </w:tc>
        <w:tc>
          <w:tcPr>
            <w:tcW w:w="1662" w:type="dxa"/>
            <w:tcBorders>
              <w:left w:val="single" w:sz="4" w:space="0" w:color="auto"/>
              <w:right w:val="single" w:sz="4" w:space="0" w:color="auto"/>
            </w:tcBorders>
            <w:hideMark/>
          </w:tcPr>
          <w:p w14:paraId="0D3AFF93" w14:textId="6CCE567A" w:rsidR="00914550" w:rsidRPr="00EF2F18" w:rsidRDefault="007B2315"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240.888</w:t>
            </w:r>
          </w:p>
        </w:tc>
        <w:tc>
          <w:tcPr>
            <w:tcW w:w="1890" w:type="dxa"/>
            <w:tcBorders>
              <w:left w:val="single" w:sz="4" w:space="0" w:color="auto"/>
              <w:right w:val="single" w:sz="4" w:space="0" w:color="auto"/>
            </w:tcBorders>
            <w:hideMark/>
          </w:tcPr>
          <w:p w14:paraId="2B6B5CFB" w14:textId="44436A8C" w:rsidR="00914550" w:rsidRPr="00EF2F18" w:rsidRDefault="00914550"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r w:rsidR="002D0162" w:rsidRPr="00EF2F18">
              <w:rPr>
                <w:rFonts w:eastAsia="Times New Roman" w:cs="Times New Roman"/>
                <w:color w:val="000000"/>
                <w:sz w:val="20"/>
                <w:szCs w:val="20"/>
                <w:lang w:val="sr-Cyrl-RS" w:eastAsia="sr-Cyrl-RS"/>
              </w:rPr>
              <w:t>12.678</w:t>
            </w: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50DAD3F6"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7DFF9EC8" w14:textId="77777777" w:rsidTr="005A621C">
        <w:trPr>
          <w:trHeight w:val="528"/>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557D168F"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3AD761F6"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73D5F76D"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7282015D"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hideMark/>
          </w:tcPr>
          <w:p w14:paraId="007B34DD"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6BAF7798" w14:textId="2F746E15" w:rsidR="00914550" w:rsidRPr="00EF2F18" w:rsidRDefault="00914550" w:rsidP="00914550">
            <w:pPr>
              <w:spacing w:after="0"/>
              <w:rPr>
                <w:rFonts w:eastAsia="Times New Roman" w:cs="Times New Roman"/>
                <w:color w:val="000000"/>
                <w:sz w:val="20"/>
                <w:szCs w:val="20"/>
                <w:lang w:val="sr-Cyrl-RS" w:eastAsia="sr-Cyrl-RS"/>
              </w:rPr>
            </w:pPr>
          </w:p>
        </w:tc>
        <w:tc>
          <w:tcPr>
            <w:tcW w:w="1340" w:type="dxa"/>
            <w:tcBorders>
              <w:left w:val="single" w:sz="4" w:space="0" w:color="auto"/>
              <w:right w:val="single" w:sz="4" w:space="0" w:color="auto"/>
            </w:tcBorders>
            <w:hideMark/>
          </w:tcPr>
          <w:p w14:paraId="458BF8A5"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0406-560-7083-511</w:t>
            </w:r>
          </w:p>
          <w:p w14:paraId="25CE9BE6" w14:textId="77777777" w:rsidR="00914550" w:rsidRPr="00EF2F18" w:rsidRDefault="00914550" w:rsidP="00914550">
            <w:pPr>
              <w:spacing w:after="0"/>
              <w:rPr>
                <w:rFonts w:eastAsia="Times New Roman" w:cs="Times New Roman"/>
                <w:color w:val="000000"/>
                <w:sz w:val="20"/>
                <w:szCs w:val="20"/>
                <w:lang w:val="sr-Cyrl-RS" w:eastAsia="sr-Cyrl-RS"/>
              </w:rPr>
            </w:pPr>
          </w:p>
          <w:p w14:paraId="023F84C0" w14:textId="77777777" w:rsidR="00914550" w:rsidRPr="00EF2F18" w:rsidRDefault="00914550" w:rsidP="00914550">
            <w:pPr>
              <w:spacing w:after="0"/>
              <w:rPr>
                <w:rFonts w:eastAsia="Times New Roman" w:cs="Times New Roman"/>
                <w:color w:val="000000"/>
                <w:sz w:val="20"/>
                <w:szCs w:val="20"/>
                <w:lang w:val="sr-Cyrl-RS" w:eastAsia="sr-Cyrl-RS"/>
              </w:rPr>
            </w:pPr>
          </w:p>
          <w:p w14:paraId="59D46415" w14:textId="4E18FB7B" w:rsidR="00914550" w:rsidRPr="00EF2F18" w:rsidRDefault="00914550" w:rsidP="00914550">
            <w:pPr>
              <w:spacing w:after="0"/>
              <w:rPr>
                <w:rFonts w:eastAsia="Times New Roman" w:cs="Times New Roman"/>
                <w:color w:val="000000"/>
                <w:sz w:val="20"/>
                <w:szCs w:val="20"/>
                <w:lang w:val="sr-Cyrl-RS" w:eastAsia="sr-Cyrl-RS"/>
              </w:rPr>
            </w:pPr>
          </w:p>
        </w:tc>
        <w:tc>
          <w:tcPr>
            <w:tcW w:w="1662" w:type="dxa"/>
            <w:tcBorders>
              <w:left w:val="single" w:sz="4" w:space="0" w:color="auto"/>
              <w:right w:val="single" w:sz="4" w:space="0" w:color="auto"/>
            </w:tcBorders>
            <w:hideMark/>
          </w:tcPr>
          <w:p w14:paraId="4C718659" w14:textId="77777777" w:rsidR="00914550" w:rsidRPr="00EF2F18" w:rsidRDefault="00914550"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436.364</w:t>
            </w:r>
          </w:p>
          <w:p w14:paraId="3A3BDCF9" w14:textId="77777777" w:rsidR="00914550" w:rsidRPr="00EF2F18" w:rsidRDefault="00914550" w:rsidP="00914550">
            <w:pPr>
              <w:spacing w:after="0"/>
              <w:jc w:val="right"/>
              <w:rPr>
                <w:rFonts w:eastAsia="Times New Roman" w:cs="Times New Roman"/>
                <w:color w:val="000000"/>
                <w:sz w:val="20"/>
                <w:szCs w:val="20"/>
                <w:lang w:val="sr-Cyrl-RS" w:eastAsia="sr-Cyrl-RS"/>
              </w:rPr>
            </w:pPr>
          </w:p>
          <w:p w14:paraId="259911BA" w14:textId="77777777" w:rsidR="00914550" w:rsidRPr="00EF2F18" w:rsidRDefault="00914550" w:rsidP="00914550">
            <w:pPr>
              <w:spacing w:after="0"/>
              <w:jc w:val="right"/>
              <w:rPr>
                <w:rFonts w:eastAsia="Times New Roman" w:cs="Times New Roman"/>
                <w:color w:val="000000"/>
                <w:sz w:val="20"/>
                <w:szCs w:val="20"/>
                <w:lang w:val="sr-Cyrl-RS" w:eastAsia="sr-Cyrl-RS"/>
              </w:rPr>
            </w:pPr>
          </w:p>
          <w:p w14:paraId="7C49DB2B" w14:textId="77777777" w:rsidR="00914550" w:rsidRPr="00EF2F18" w:rsidRDefault="00914550" w:rsidP="00914550">
            <w:pPr>
              <w:spacing w:after="0"/>
              <w:jc w:val="right"/>
              <w:rPr>
                <w:rFonts w:eastAsia="Times New Roman" w:cs="Times New Roman"/>
                <w:color w:val="000000"/>
                <w:sz w:val="20"/>
                <w:szCs w:val="20"/>
                <w:lang w:val="sr-Cyrl-RS" w:eastAsia="sr-Cyrl-RS"/>
              </w:rPr>
            </w:pPr>
          </w:p>
          <w:p w14:paraId="3869EF37" w14:textId="3B01C616" w:rsidR="00914550" w:rsidRPr="00EF2F18" w:rsidRDefault="00914550" w:rsidP="00914550">
            <w:pPr>
              <w:spacing w:after="0"/>
              <w:jc w:val="right"/>
              <w:rPr>
                <w:rFonts w:eastAsia="Times New Roman" w:cs="Times New Roman"/>
                <w:color w:val="000000"/>
                <w:sz w:val="20"/>
                <w:szCs w:val="20"/>
                <w:lang w:val="sr-Cyrl-RS" w:eastAsia="sr-Cyrl-RS"/>
              </w:rPr>
            </w:pPr>
          </w:p>
        </w:tc>
        <w:tc>
          <w:tcPr>
            <w:tcW w:w="1890" w:type="dxa"/>
            <w:tcBorders>
              <w:left w:val="single" w:sz="4" w:space="0" w:color="auto"/>
              <w:right w:val="single" w:sz="4" w:space="0" w:color="auto"/>
            </w:tcBorders>
            <w:hideMark/>
          </w:tcPr>
          <w:p w14:paraId="530AEEB7" w14:textId="695B67C8" w:rsidR="00914550" w:rsidRPr="00EF2F18" w:rsidRDefault="00687207"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228.533</w:t>
            </w:r>
          </w:p>
          <w:p w14:paraId="6574C53C" w14:textId="77777777" w:rsidR="00914550" w:rsidRPr="00EF2F18" w:rsidRDefault="00914550" w:rsidP="00914550">
            <w:pPr>
              <w:spacing w:after="0"/>
              <w:jc w:val="right"/>
              <w:rPr>
                <w:rFonts w:eastAsia="Times New Roman" w:cs="Times New Roman"/>
                <w:color w:val="000000"/>
                <w:sz w:val="20"/>
                <w:szCs w:val="20"/>
                <w:lang w:val="sr-Cyrl-RS" w:eastAsia="sr-Cyrl-RS"/>
              </w:rPr>
            </w:pPr>
          </w:p>
          <w:p w14:paraId="4BBF7812" w14:textId="77777777" w:rsidR="00914550" w:rsidRPr="00EF2F18" w:rsidRDefault="00914550" w:rsidP="00914550">
            <w:pPr>
              <w:spacing w:after="0"/>
              <w:jc w:val="right"/>
              <w:rPr>
                <w:rFonts w:eastAsia="Times New Roman" w:cs="Times New Roman"/>
                <w:color w:val="000000"/>
                <w:sz w:val="20"/>
                <w:szCs w:val="20"/>
                <w:lang w:val="sr-Cyrl-RS" w:eastAsia="sr-Cyrl-RS"/>
              </w:rPr>
            </w:pPr>
          </w:p>
          <w:p w14:paraId="0B6E2C40" w14:textId="77777777" w:rsidR="00914550" w:rsidRPr="00EF2F18" w:rsidRDefault="00914550" w:rsidP="00914550">
            <w:pPr>
              <w:spacing w:after="0"/>
              <w:jc w:val="right"/>
              <w:rPr>
                <w:rFonts w:eastAsia="Times New Roman" w:cs="Times New Roman"/>
                <w:color w:val="000000"/>
                <w:sz w:val="20"/>
                <w:szCs w:val="20"/>
                <w:lang w:val="sr-Cyrl-RS" w:eastAsia="sr-Cyrl-RS"/>
              </w:rPr>
            </w:pPr>
          </w:p>
          <w:p w14:paraId="1CA44155" w14:textId="6A5431A7" w:rsidR="00914550" w:rsidRPr="00EF2F18" w:rsidRDefault="00914550" w:rsidP="00914550">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646B288D"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68659C13" w14:textId="77777777" w:rsidTr="005A621C">
        <w:trPr>
          <w:trHeight w:val="631"/>
        </w:trPr>
        <w:tc>
          <w:tcPr>
            <w:tcW w:w="1665" w:type="dxa"/>
            <w:vMerge/>
            <w:tcBorders>
              <w:top w:val="single" w:sz="4" w:space="0" w:color="auto"/>
              <w:left w:val="single" w:sz="4" w:space="0" w:color="auto"/>
              <w:bottom w:val="single" w:sz="4" w:space="0" w:color="auto"/>
              <w:right w:val="single" w:sz="4" w:space="0" w:color="auto"/>
            </w:tcBorders>
            <w:vAlign w:val="center"/>
          </w:tcPr>
          <w:p w14:paraId="527B5EA2"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tcPr>
          <w:p w14:paraId="61EA4FFB"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50B35EF"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tcPr>
          <w:p w14:paraId="4A21054A"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left w:val="single" w:sz="4" w:space="0" w:color="auto"/>
              <w:right w:val="single" w:sz="4" w:space="0" w:color="auto"/>
            </w:tcBorders>
          </w:tcPr>
          <w:p w14:paraId="6FD4BE46" w14:textId="47D467B5" w:rsidR="00914550" w:rsidRPr="00EF2F18" w:rsidRDefault="00FD5123" w:rsidP="00914550">
            <w:pPr>
              <w:spacing w:after="0"/>
              <w:rPr>
                <w:rFonts w:eastAsia="Times New Roman" w:cs="Times New Roman"/>
                <w:color w:val="00B050"/>
                <w:sz w:val="20"/>
                <w:szCs w:val="20"/>
                <w:lang w:val="sr-Cyrl-RS" w:eastAsia="sr-Cyrl-RS"/>
              </w:rPr>
            </w:pPr>
            <w:r w:rsidRPr="00EF2F18">
              <w:rPr>
                <w:rFonts w:eastAsia="Times New Roman" w:cs="Times New Roman"/>
                <w:sz w:val="20"/>
                <w:szCs w:val="20"/>
                <w:lang w:val="sr-Cyrl-RS" w:eastAsia="sr-Cyrl-RS"/>
              </w:rPr>
              <w:t>Буџетска средства</w:t>
            </w:r>
          </w:p>
        </w:tc>
        <w:tc>
          <w:tcPr>
            <w:tcW w:w="1340" w:type="dxa"/>
            <w:tcBorders>
              <w:left w:val="single" w:sz="4" w:space="0" w:color="auto"/>
              <w:right w:val="single" w:sz="4" w:space="0" w:color="auto"/>
            </w:tcBorders>
          </w:tcPr>
          <w:p w14:paraId="4F946DD4" w14:textId="77777777" w:rsidR="00914550" w:rsidRPr="00EF2F18" w:rsidRDefault="00914550" w:rsidP="00914550">
            <w:pPr>
              <w:spacing w:after="0"/>
              <w:rPr>
                <w:rFonts w:eastAsia="Times New Roman" w:cs="Times New Roman"/>
                <w:color w:val="00B050"/>
                <w:sz w:val="20"/>
                <w:szCs w:val="20"/>
                <w:lang w:val="sr-Cyrl-RS" w:eastAsia="sr-Cyrl-RS"/>
              </w:rPr>
            </w:pPr>
            <w:r w:rsidRPr="00EF2F18">
              <w:rPr>
                <w:rFonts w:eastAsia="Times New Roman" w:cs="Times New Roman"/>
                <w:sz w:val="20"/>
                <w:szCs w:val="20"/>
                <w:lang w:val="sr-Cyrl-RS" w:eastAsia="sr-Cyrl-RS"/>
              </w:rPr>
              <w:t>0401-630-7069-511</w:t>
            </w:r>
          </w:p>
        </w:tc>
        <w:tc>
          <w:tcPr>
            <w:tcW w:w="1662" w:type="dxa"/>
            <w:tcBorders>
              <w:left w:val="single" w:sz="4" w:space="0" w:color="auto"/>
              <w:right w:val="single" w:sz="4" w:space="0" w:color="auto"/>
            </w:tcBorders>
          </w:tcPr>
          <w:p w14:paraId="7C7222E2" w14:textId="3A913334" w:rsidR="00914550" w:rsidRPr="00EF2F18" w:rsidRDefault="00CA68C8"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316.</w:t>
            </w:r>
            <w:r w:rsidR="00FD5123" w:rsidRPr="00EF2F18">
              <w:rPr>
                <w:rFonts w:eastAsia="Times New Roman" w:cs="Times New Roman"/>
                <w:color w:val="000000"/>
                <w:sz w:val="20"/>
                <w:szCs w:val="20"/>
                <w:lang w:val="sr-Cyrl-RS" w:eastAsia="sr-Cyrl-RS"/>
              </w:rPr>
              <w:t>205</w:t>
            </w:r>
          </w:p>
        </w:tc>
        <w:tc>
          <w:tcPr>
            <w:tcW w:w="1890" w:type="dxa"/>
            <w:tcBorders>
              <w:left w:val="single" w:sz="4" w:space="0" w:color="auto"/>
              <w:right w:val="single" w:sz="4" w:space="0" w:color="auto"/>
            </w:tcBorders>
          </w:tcPr>
          <w:p w14:paraId="05089B8E" w14:textId="72A94536" w:rsidR="00914550" w:rsidRPr="00EF2F18" w:rsidRDefault="002D0162"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18.221</w:t>
            </w:r>
          </w:p>
          <w:p w14:paraId="6E4869B4" w14:textId="77777777" w:rsidR="002D0162" w:rsidRPr="00EF2F18" w:rsidRDefault="002D0162" w:rsidP="00914550">
            <w:pPr>
              <w:spacing w:after="0"/>
              <w:jc w:val="right"/>
              <w:rPr>
                <w:rFonts w:eastAsia="Times New Roman" w:cs="Times New Roman"/>
                <w:color w:val="000000"/>
                <w:sz w:val="20"/>
                <w:szCs w:val="20"/>
                <w:lang w:val="sr-Cyrl-RS" w:eastAsia="sr-Cyrl-RS"/>
              </w:rPr>
            </w:pPr>
          </w:p>
          <w:p w14:paraId="41B132C2" w14:textId="1C9577C0" w:rsidR="002D0162" w:rsidRPr="00EF2F18" w:rsidRDefault="002D0162" w:rsidP="00914550">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tcPr>
          <w:p w14:paraId="45F523A7"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0C1FDF7F" w14:textId="77777777" w:rsidTr="005A621C">
        <w:trPr>
          <w:trHeight w:val="699"/>
        </w:trPr>
        <w:tc>
          <w:tcPr>
            <w:tcW w:w="1665" w:type="dxa"/>
            <w:vMerge/>
            <w:tcBorders>
              <w:top w:val="single" w:sz="4" w:space="0" w:color="auto"/>
              <w:left w:val="single" w:sz="4" w:space="0" w:color="auto"/>
              <w:bottom w:val="single" w:sz="4" w:space="0" w:color="auto"/>
              <w:right w:val="single" w:sz="4" w:space="0" w:color="auto"/>
            </w:tcBorders>
            <w:vAlign w:val="center"/>
          </w:tcPr>
          <w:p w14:paraId="1D218003"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tcPr>
          <w:p w14:paraId="2938B747"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FDBDD81"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tcPr>
          <w:p w14:paraId="30CD9F57"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left w:val="single" w:sz="4" w:space="0" w:color="auto"/>
              <w:bottom w:val="single" w:sz="4" w:space="0" w:color="auto"/>
              <w:right w:val="single" w:sz="4" w:space="0" w:color="auto"/>
            </w:tcBorders>
          </w:tcPr>
          <w:p w14:paraId="2FDEBDE4" w14:textId="77777777" w:rsidR="00914550" w:rsidRPr="00EF2F18" w:rsidRDefault="00914550" w:rsidP="0091455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Донаторска средства (ЕУ ИПА)</w:t>
            </w:r>
          </w:p>
          <w:p w14:paraId="24358EB5" w14:textId="77777777" w:rsidR="004F4301" w:rsidRPr="00EF2F18" w:rsidRDefault="004F4301" w:rsidP="00914550">
            <w:pPr>
              <w:spacing w:after="0"/>
              <w:rPr>
                <w:rFonts w:eastAsia="Times New Roman" w:cs="Times New Roman"/>
                <w:color w:val="00B050"/>
                <w:sz w:val="20"/>
                <w:szCs w:val="20"/>
                <w:lang w:val="sr-Cyrl-RS" w:eastAsia="sr-Cyrl-RS"/>
              </w:rPr>
            </w:pPr>
          </w:p>
          <w:p w14:paraId="5B66A1A6" w14:textId="35B08E9F" w:rsidR="004F4301" w:rsidRPr="00EF2F18" w:rsidRDefault="004F4301" w:rsidP="00914550">
            <w:pPr>
              <w:spacing w:after="0"/>
              <w:rPr>
                <w:rFonts w:eastAsia="Times New Roman" w:cs="Times New Roman"/>
                <w:color w:val="00B050"/>
                <w:sz w:val="20"/>
                <w:szCs w:val="20"/>
                <w:lang w:val="sr-Cyrl-RS" w:eastAsia="sr-Cyrl-RS"/>
              </w:rPr>
            </w:pPr>
            <w:r w:rsidRPr="00EF2F18">
              <w:rPr>
                <w:rFonts w:eastAsia="Times New Roman" w:cs="Times New Roman"/>
                <w:sz w:val="20"/>
                <w:szCs w:val="20"/>
                <w:lang w:val="sr-Cyrl-RS" w:eastAsia="sr-Cyrl-RS"/>
              </w:rPr>
              <w:t>Донаторска средства (ЕУ ИПА)</w:t>
            </w:r>
          </w:p>
        </w:tc>
        <w:tc>
          <w:tcPr>
            <w:tcW w:w="1340" w:type="dxa"/>
            <w:tcBorders>
              <w:left w:val="single" w:sz="4" w:space="0" w:color="auto"/>
              <w:bottom w:val="single" w:sz="4" w:space="0" w:color="auto"/>
              <w:right w:val="single" w:sz="4" w:space="0" w:color="auto"/>
            </w:tcBorders>
          </w:tcPr>
          <w:p w14:paraId="67F599F5" w14:textId="77777777" w:rsidR="00914550" w:rsidRPr="00EF2F18" w:rsidRDefault="00914550" w:rsidP="0091455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0401-630-7086-511</w:t>
            </w:r>
          </w:p>
          <w:p w14:paraId="72F66301" w14:textId="77777777" w:rsidR="004F4301" w:rsidRPr="00EF2F18" w:rsidRDefault="004F4301" w:rsidP="00914550">
            <w:pPr>
              <w:spacing w:after="0"/>
              <w:rPr>
                <w:rFonts w:eastAsia="Times New Roman" w:cs="Times New Roman"/>
                <w:color w:val="00B050"/>
                <w:sz w:val="20"/>
                <w:szCs w:val="20"/>
                <w:lang w:val="sr-Cyrl-RS" w:eastAsia="sr-Cyrl-RS"/>
              </w:rPr>
            </w:pPr>
          </w:p>
          <w:p w14:paraId="2D5C36D4" w14:textId="77777777" w:rsidR="004F4301" w:rsidRPr="00EF2F18" w:rsidRDefault="004F4301" w:rsidP="00914550">
            <w:pPr>
              <w:spacing w:after="0"/>
              <w:rPr>
                <w:rFonts w:eastAsia="Times New Roman" w:cs="Times New Roman"/>
                <w:color w:val="00B050"/>
                <w:sz w:val="20"/>
                <w:szCs w:val="20"/>
                <w:lang w:val="sr-Cyrl-RS" w:eastAsia="sr-Cyrl-RS"/>
              </w:rPr>
            </w:pPr>
          </w:p>
          <w:p w14:paraId="0B543D5E" w14:textId="4E2715B1" w:rsidR="004F4301" w:rsidRPr="00EF2F18" w:rsidRDefault="004F4301" w:rsidP="0091455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0406-560-7069-511</w:t>
            </w:r>
          </w:p>
        </w:tc>
        <w:tc>
          <w:tcPr>
            <w:tcW w:w="1662" w:type="dxa"/>
            <w:tcBorders>
              <w:left w:val="single" w:sz="4" w:space="0" w:color="auto"/>
              <w:bottom w:val="single" w:sz="4" w:space="0" w:color="auto"/>
              <w:right w:val="single" w:sz="4" w:space="0" w:color="auto"/>
            </w:tcBorders>
          </w:tcPr>
          <w:p w14:paraId="32019D10" w14:textId="77777777" w:rsidR="00914550" w:rsidRPr="00EF2F18" w:rsidRDefault="00914550"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498.758</w:t>
            </w:r>
          </w:p>
          <w:p w14:paraId="489ED2B4" w14:textId="77777777" w:rsidR="004F4301" w:rsidRPr="00EF2F18" w:rsidRDefault="004F4301" w:rsidP="00914550">
            <w:pPr>
              <w:spacing w:after="0"/>
              <w:jc w:val="right"/>
              <w:rPr>
                <w:rFonts w:eastAsia="Times New Roman" w:cs="Times New Roman"/>
                <w:color w:val="000000"/>
                <w:sz w:val="20"/>
                <w:szCs w:val="20"/>
                <w:lang w:val="sr-Cyrl-RS" w:eastAsia="sr-Cyrl-RS"/>
              </w:rPr>
            </w:pPr>
          </w:p>
          <w:p w14:paraId="202ABB55" w14:textId="77777777" w:rsidR="004F4301" w:rsidRPr="00EF2F18" w:rsidRDefault="004F4301" w:rsidP="008F1E7E">
            <w:pPr>
              <w:spacing w:after="0"/>
              <w:rPr>
                <w:rFonts w:eastAsia="Times New Roman" w:cs="Times New Roman"/>
                <w:color w:val="000000"/>
                <w:sz w:val="20"/>
                <w:szCs w:val="20"/>
                <w:lang w:val="sr-Cyrl-RS" w:eastAsia="sr-Cyrl-RS"/>
              </w:rPr>
            </w:pPr>
          </w:p>
          <w:p w14:paraId="0E01074F" w14:textId="77777777" w:rsidR="004F4301" w:rsidRPr="00EF2F18" w:rsidRDefault="004F4301" w:rsidP="00914550">
            <w:pPr>
              <w:spacing w:after="0"/>
              <w:jc w:val="right"/>
              <w:rPr>
                <w:rFonts w:eastAsia="Times New Roman" w:cs="Times New Roman"/>
                <w:color w:val="000000"/>
                <w:sz w:val="20"/>
                <w:szCs w:val="20"/>
                <w:lang w:val="sr-Cyrl-RS" w:eastAsia="sr-Cyrl-RS"/>
              </w:rPr>
            </w:pPr>
          </w:p>
          <w:p w14:paraId="06197EDA" w14:textId="777584FA" w:rsidR="004F4301" w:rsidRPr="00EF2F18" w:rsidRDefault="004F4301"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410.468</w:t>
            </w:r>
          </w:p>
        </w:tc>
        <w:tc>
          <w:tcPr>
            <w:tcW w:w="1890" w:type="dxa"/>
            <w:tcBorders>
              <w:left w:val="single" w:sz="4" w:space="0" w:color="auto"/>
              <w:bottom w:val="single" w:sz="4" w:space="0" w:color="auto"/>
              <w:right w:val="single" w:sz="4" w:space="0" w:color="auto"/>
            </w:tcBorders>
          </w:tcPr>
          <w:p w14:paraId="6A998524" w14:textId="0A323368" w:rsidR="004F4301" w:rsidRPr="00EF2F18" w:rsidRDefault="003511D9" w:rsidP="00A22FFF">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                      86.306</w:t>
            </w:r>
          </w:p>
          <w:p w14:paraId="6E70B17E" w14:textId="77777777" w:rsidR="004F4301" w:rsidRPr="00EF2F18" w:rsidRDefault="004F4301" w:rsidP="00914550">
            <w:pPr>
              <w:spacing w:after="0"/>
              <w:jc w:val="right"/>
              <w:rPr>
                <w:rFonts w:eastAsia="Times New Roman" w:cs="Times New Roman"/>
                <w:color w:val="000000"/>
                <w:sz w:val="20"/>
                <w:szCs w:val="20"/>
                <w:lang w:val="sr-Cyrl-RS" w:eastAsia="sr-Cyrl-RS"/>
              </w:rPr>
            </w:pPr>
          </w:p>
          <w:p w14:paraId="274CB60D" w14:textId="77777777" w:rsidR="004F4301" w:rsidRPr="00EF2F18" w:rsidRDefault="004F4301" w:rsidP="00914550">
            <w:pPr>
              <w:spacing w:after="0"/>
              <w:jc w:val="right"/>
              <w:rPr>
                <w:rFonts w:eastAsia="Times New Roman" w:cs="Times New Roman"/>
                <w:color w:val="000000"/>
                <w:sz w:val="20"/>
                <w:szCs w:val="20"/>
                <w:lang w:val="sr-Cyrl-RS" w:eastAsia="sr-Cyrl-RS"/>
              </w:rPr>
            </w:pPr>
          </w:p>
          <w:p w14:paraId="69FB1EB7" w14:textId="77777777" w:rsidR="008F1E7E" w:rsidRPr="00EF2F18" w:rsidRDefault="008F1E7E" w:rsidP="008F1E7E">
            <w:pPr>
              <w:spacing w:after="0"/>
              <w:rPr>
                <w:rFonts w:eastAsia="Times New Roman" w:cs="Times New Roman"/>
                <w:color w:val="000000"/>
                <w:sz w:val="20"/>
                <w:szCs w:val="20"/>
                <w:lang w:val="sr-Cyrl-RS" w:eastAsia="sr-Cyrl-RS"/>
              </w:rPr>
            </w:pPr>
          </w:p>
          <w:p w14:paraId="1B243828" w14:textId="1C50FCB3" w:rsidR="004F4301" w:rsidRPr="00EF2F18" w:rsidRDefault="004F4301"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74.692</w:t>
            </w:r>
          </w:p>
        </w:tc>
        <w:tc>
          <w:tcPr>
            <w:tcW w:w="2070" w:type="dxa"/>
            <w:vMerge/>
            <w:tcBorders>
              <w:top w:val="single" w:sz="4" w:space="0" w:color="auto"/>
              <w:left w:val="single" w:sz="4" w:space="0" w:color="auto"/>
              <w:bottom w:val="single" w:sz="4" w:space="0" w:color="auto"/>
              <w:right w:val="single" w:sz="4" w:space="0" w:color="auto"/>
            </w:tcBorders>
            <w:vAlign w:val="center"/>
          </w:tcPr>
          <w:p w14:paraId="578B0A88"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717291F9" w14:textId="77777777" w:rsidTr="005A621C">
        <w:trPr>
          <w:trHeight w:val="1056"/>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3DCDC7AE"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1A722F10"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29842BEA"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4E958533"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top w:val="single" w:sz="4" w:space="0" w:color="auto"/>
              <w:left w:val="single" w:sz="4" w:space="0" w:color="auto"/>
              <w:right w:val="single" w:sz="4" w:space="0" w:color="auto"/>
            </w:tcBorders>
            <w:hideMark/>
          </w:tcPr>
          <w:p w14:paraId="5923E385" w14:textId="18D634DD" w:rsidR="00914550" w:rsidRPr="00EF2F18" w:rsidRDefault="00914550" w:rsidP="00914550">
            <w:pPr>
              <w:spacing w:after="0"/>
              <w:rPr>
                <w:rFonts w:eastAsia="Times New Roman" w:cs="Times New Roman"/>
                <w:color w:val="000000"/>
                <w:sz w:val="20"/>
                <w:szCs w:val="20"/>
                <w:lang w:val="sr-Cyrl-RS" w:eastAsia="sr-Cyrl-RS"/>
              </w:rPr>
            </w:pPr>
          </w:p>
        </w:tc>
        <w:tc>
          <w:tcPr>
            <w:tcW w:w="1340" w:type="dxa"/>
            <w:tcBorders>
              <w:top w:val="single" w:sz="4" w:space="0" w:color="auto"/>
              <w:left w:val="single" w:sz="4" w:space="0" w:color="auto"/>
              <w:right w:val="single" w:sz="4" w:space="0" w:color="auto"/>
            </w:tcBorders>
            <w:hideMark/>
          </w:tcPr>
          <w:p w14:paraId="50DC5808" w14:textId="20AFF1A6" w:rsidR="00914550" w:rsidRPr="00EF2F18" w:rsidRDefault="00914550" w:rsidP="00914550">
            <w:pPr>
              <w:spacing w:after="0"/>
              <w:rPr>
                <w:rFonts w:eastAsia="Times New Roman" w:cs="Times New Roman"/>
                <w:color w:val="000000"/>
                <w:sz w:val="20"/>
                <w:szCs w:val="20"/>
                <w:lang w:val="sr-Cyrl-RS" w:eastAsia="sr-Cyrl-RS"/>
              </w:rPr>
            </w:pPr>
          </w:p>
        </w:tc>
        <w:tc>
          <w:tcPr>
            <w:tcW w:w="1662" w:type="dxa"/>
            <w:tcBorders>
              <w:top w:val="single" w:sz="4" w:space="0" w:color="auto"/>
              <w:left w:val="single" w:sz="4" w:space="0" w:color="auto"/>
              <w:right w:val="single" w:sz="4" w:space="0" w:color="auto"/>
            </w:tcBorders>
            <w:hideMark/>
          </w:tcPr>
          <w:p w14:paraId="578BFEFB" w14:textId="61D63B74" w:rsidR="00914550" w:rsidRPr="00EF2F18" w:rsidRDefault="00914550" w:rsidP="00914550">
            <w:pPr>
              <w:spacing w:after="0"/>
              <w:jc w:val="right"/>
              <w:rPr>
                <w:rFonts w:eastAsia="Times New Roman" w:cs="Times New Roman"/>
                <w:color w:val="000000"/>
                <w:sz w:val="20"/>
                <w:szCs w:val="20"/>
                <w:lang w:val="sr-Cyrl-RS" w:eastAsia="sr-Cyrl-RS"/>
              </w:rPr>
            </w:pPr>
          </w:p>
        </w:tc>
        <w:tc>
          <w:tcPr>
            <w:tcW w:w="1890" w:type="dxa"/>
            <w:tcBorders>
              <w:top w:val="single" w:sz="4" w:space="0" w:color="auto"/>
              <w:left w:val="single" w:sz="4" w:space="0" w:color="auto"/>
              <w:right w:val="single" w:sz="4" w:space="0" w:color="auto"/>
            </w:tcBorders>
            <w:hideMark/>
          </w:tcPr>
          <w:p w14:paraId="30C1BAB3" w14:textId="77777777" w:rsidR="00914550" w:rsidRPr="00EF2F18" w:rsidRDefault="00914550"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132444DD"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07C10101" w14:textId="77777777" w:rsidTr="002D3ED7">
        <w:trPr>
          <w:trHeight w:val="792"/>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5356E66E"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47D2F63B"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033D2156"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5B3482EF"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top w:val="single" w:sz="4" w:space="0" w:color="auto"/>
              <w:left w:val="single" w:sz="4" w:space="0" w:color="auto"/>
              <w:right w:val="single" w:sz="4" w:space="0" w:color="auto"/>
            </w:tcBorders>
            <w:hideMark/>
          </w:tcPr>
          <w:p w14:paraId="088FE87E"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од иностраних задуживања</w:t>
            </w:r>
          </w:p>
        </w:tc>
        <w:tc>
          <w:tcPr>
            <w:tcW w:w="1340" w:type="dxa"/>
            <w:tcBorders>
              <w:top w:val="single" w:sz="4" w:space="0" w:color="auto"/>
              <w:left w:val="single" w:sz="4" w:space="0" w:color="auto"/>
              <w:right w:val="single" w:sz="4" w:space="0" w:color="auto"/>
            </w:tcBorders>
            <w:hideMark/>
          </w:tcPr>
          <w:p w14:paraId="13D6CFD7"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0406-560-7083-511</w:t>
            </w:r>
          </w:p>
        </w:tc>
        <w:tc>
          <w:tcPr>
            <w:tcW w:w="1662" w:type="dxa"/>
            <w:tcBorders>
              <w:top w:val="single" w:sz="4" w:space="0" w:color="auto"/>
              <w:left w:val="single" w:sz="4" w:space="0" w:color="auto"/>
              <w:right w:val="single" w:sz="4" w:space="0" w:color="auto"/>
            </w:tcBorders>
            <w:hideMark/>
          </w:tcPr>
          <w:p w14:paraId="426479B2" w14:textId="77777777" w:rsidR="00914550" w:rsidRPr="00EF2F18" w:rsidRDefault="00914550" w:rsidP="0091455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100.000</w:t>
            </w:r>
          </w:p>
        </w:tc>
        <w:tc>
          <w:tcPr>
            <w:tcW w:w="1890" w:type="dxa"/>
            <w:tcBorders>
              <w:top w:val="single" w:sz="4" w:space="0" w:color="auto"/>
              <w:left w:val="single" w:sz="4" w:space="0" w:color="auto"/>
              <w:right w:val="single" w:sz="4" w:space="0" w:color="auto"/>
            </w:tcBorders>
            <w:hideMark/>
          </w:tcPr>
          <w:p w14:paraId="239D798F" w14:textId="59F470DC" w:rsidR="00914550" w:rsidRPr="00EF2F18" w:rsidRDefault="00914550" w:rsidP="00914550">
            <w:pPr>
              <w:spacing w:after="0"/>
              <w:jc w:val="right"/>
              <w:rPr>
                <w:rFonts w:eastAsia="Times New Roman" w:cs="Times New Roman"/>
                <w:color w:val="000000"/>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6B4D18E5"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2DFB2392" w14:textId="77777777" w:rsidTr="005A621C">
        <w:trPr>
          <w:trHeight w:val="792"/>
        </w:trPr>
        <w:tc>
          <w:tcPr>
            <w:tcW w:w="1665" w:type="dxa"/>
            <w:vMerge/>
            <w:tcBorders>
              <w:top w:val="single" w:sz="4" w:space="0" w:color="auto"/>
              <w:left w:val="single" w:sz="4" w:space="0" w:color="auto"/>
              <w:bottom w:val="single" w:sz="4" w:space="0" w:color="auto"/>
              <w:right w:val="single" w:sz="4" w:space="0" w:color="auto"/>
            </w:tcBorders>
            <w:vAlign w:val="center"/>
            <w:hideMark/>
          </w:tcPr>
          <w:p w14:paraId="125047ED"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2CE40A4B"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436BA5C1"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13C2B408" w14:textId="77777777" w:rsidR="00914550" w:rsidRPr="00EF2F18" w:rsidRDefault="00914550" w:rsidP="00914550">
            <w:pPr>
              <w:spacing w:after="0"/>
              <w:rPr>
                <w:rFonts w:eastAsia="Times New Roman" w:cs="Times New Roman"/>
                <w:color w:val="000000"/>
                <w:sz w:val="20"/>
                <w:szCs w:val="20"/>
                <w:lang w:val="sr-Cyrl-RS" w:eastAsia="sr-Cyrl-RS"/>
              </w:rPr>
            </w:pPr>
          </w:p>
        </w:tc>
        <w:tc>
          <w:tcPr>
            <w:tcW w:w="1374" w:type="dxa"/>
            <w:tcBorders>
              <w:left w:val="single" w:sz="4" w:space="0" w:color="auto"/>
              <w:bottom w:val="single" w:sz="4" w:space="0" w:color="auto"/>
              <w:right w:val="single" w:sz="4" w:space="0" w:color="auto"/>
            </w:tcBorders>
            <w:hideMark/>
          </w:tcPr>
          <w:p w14:paraId="2F81655C"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од иностраних задуживања</w:t>
            </w:r>
          </w:p>
        </w:tc>
        <w:tc>
          <w:tcPr>
            <w:tcW w:w="1340" w:type="dxa"/>
            <w:tcBorders>
              <w:left w:val="single" w:sz="4" w:space="0" w:color="auto"/>
              <w:bottom w:val="single" w:sz="4" w:space="0" w:color="auto"/>
              <w:right w:val="single" w:sz="4" w:space="0" w:color="auto"/>
            </w:tcBorders>
            <w:hideMark/>
          </w:tcPr>
          <w:p w14:paraId="121A34B8" w14:textId="5FDAB624"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0407-560-5001-511</w:t>
            </w:r>
          </w:p>
        </w:tc>
        <w:tc>
          <w:tcPr>
            <w:tcW w:w="1662" w:type="dxa"/>
            <w:tcBorders>
              <w:left w:val="single" w:sz="4" w:space="0" w:color="auto"/>
              <w:bottom w:val="single" w:sz="4" w:space="0" w:color="auto"/>
              <w:right w:val="single" w:sz="4" w:space="0" w:color="auto"/>
            </w:tcBorders>
            <w:hideMark/>
          </w:tcPr>
          <w:p w14:paraId="4FE70882" w14:textId="30E0542E" w:rsidR="00914550" w:rsidRPr="00EF2F18" w:rsidRDefault="00914550" w:rsidP="00914550">
            <w:pPr>
              <w:spacing w:after="0"/>
              <w:jc w:val="right"/>
              <w:rPr>
                <w:rFonts w:eastAsia="Times New Roman" w:cs="Times New Roman"/>
                <w:color w:val="000000" w:themeColor="text1"/>
                <w:sz w:val="20"/>
                <w:szCs w:val="20"/>
                <w:lang w:val="sr-Cyrl-RS" w:eastAsia="sr-Cyrl-RS"/>
              </w:rPr>
            </w:pPr>
            <w:r w:rsidRPr="00EF2F18">
              <w:rPr>
                <w:rFonts w:eastAsia="Times New Roman" w:cs="Times New Roman"/>
                <w:color w:val="000000" w:themeColor="text1"/>
                <w:sz w:val="20"/>
                <w:szCs w:val="20"/>
                <w:lang w:val="sr-Cyrl-RS" w:eastAsia="sr-Cyrl-RS"/>
              </w:rPr>
              <w:t>1.769.990</w:t>
            </w:r>
          </w:p>
        </w:tc>
        <w:tc>
          <w:tcPr>
            <w:tcW w:w="1890" w:type="dxa"/>
            <w:tcBorders>
              <w:left w:val="single" w:sz="4" w:space="0" w:color="auto"/>
              <w:bottom w:val="single" w:sz="4" w:space="0" w:color="auto"/>
              <w:right w:val="single" w:sz="4" w:space="0" w:color="auto"/>
            </w:tcBorders>
            <w:hideMark/>
          </w:tcPr>
          <w:p w14:paraId="6D3E538B" w14:textId="119A994B" w:rsidR="00914550" w:rsidRPr="00EF2F18" w:rsidRDefault="00914550" w:rsidP="00914550">
            <w:pPr>
              <w:spacing w:after="0"/>
              <w:jc w:val="right"/>
              <w:rPr>
                <w:rFonts w:eastAsia="Times New Roman" w:cs="Times New Roman"/>
                <w:color w:val="000000" w:themeColor="text1"/>
                <w:sz w:val="20"/>
                <w:szCs w:val="20"/>
                <w:lang w:val="sr-Cyrl-RS" w:eastAsia="sr-Cyrl-R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0B17E00E" w14:textId="77777777" w:rsidR="00914550" w:rsidRPr="00EF2F18" w:rsidRDefault="00914550" w:rsidP="00914550">
            <w:pPr>
              <w:spacing w:after="0"/>
              <w:jc w:val="right"/>
              <w:rPr>
                <w:rFonts w:eastAsia="Times New Roman" w:cs="Times New Roman"/>
                <w:color w:val="000000"/>
                <w:sz w:val="20"/>
                <w:szCs w:val="20"/>
                <w:lang w:val="sr-Cyrl-RS" w:eastAsia="sr-Cyrl-RS"/>
              </w:rPr>
            </w:pPr>
          </w:p>
        </w:tc>
      </w:tr>
      <w:tr w:rsidR="00914550" w:rsidRPr="00EF2F18" w14:paraId="0D7ABB10" w14:textId="77777777" w:rsidTr="005A621C">
        <w:trPr>
          <w:trHeight w:val="1860"/>
        </w:trPr>
        <w:tc>
          <w:tcPr>
            <w:tcW w:w="1665" w:type="dxa"/>
            <w:tcBorders>
              <w:top w:val="single" w:sz="4" w:space="0" w:color="auto"/>
              <w:left w:val="single" w:sz="4" w:space="0" w:color="auto"/>
              <w:bottom w:val="single" w:sz="4" w:space="0" w:color="auto"/>
              <w:right w:val="single" w:sz="4" w:space="0" w:color="auto"/>
            </w:tcBorders>
            <w:hideMark/>
          </w:tcPr>
          <w:p w14:paraId="0339FECB" w14:textId="26E10941"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3.2.2.3.</w:t>
            </w:r>
          </w:p>
          <w:p w14:paraId="35EC2B12" w14:textId="356F8A4C"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Раздвајање и пречишћавање атмосферских отпадн</w:t>
            </w:r>
            <w:r w:rsidR="00FA0877">
              <w:rPr>
                <w:rFonts w:eastAsia="Times New Roman" w:cs="Times New Roman"/>
                <w:color w:val="000000"/>
                <w:sz w:val="20"/>
                <w:szCs w:val="20"/>
                <w:lang w:val="sr-Cyrl-RS" w:eastAsia="sr-Cyrl-RS"/>
              </w:rPr>
              <w:t>их вода (раздвајања од комунални</w:t>
            </w:r>
            <w:r w:rsidRPr="00EF2F18">
              <w:rPr>
                <w:rFonts w:eastAsia="Times New Roman" w:cs="Times New Roman"/>
                <w:color w:val="000000"/>
                <w:sz w:val="20"/>
                <w:szCs w:val="20"/>
                <w:lang w:val="sr-Cyrl-RS" w:eastAsia="sr-Cyrl-RS"/>
              </w:rPr>
              <w:t>х и индустријских отпадних вода и одговарајући третман са фокусом на нове инфраструктуре)</w:t>
            </w:r>
          </w:p>
        </w:tc>
        <w:tc>
          <w:tcPr>
            <w:tcW w:w="1075" w:type="dxa"/>
            <w:tcBorders>
              <w:top w:val="single" w:sz="4" w:space="0" w:color="auto"/>
              <w:left w:val="single" w:sz="4" w:space="0" w:color="auto"/>
              <w:bottom w:val="single" w:sz="4" w:space="0" w:color="auto"/>
              <w:right w:val="single" w:sz="4" w:space="0" w:color="auto"/>
            </w:tcBorders>
            <w:hideMark/>
          </w:tcPr>
          <w:p w14:paraId="403D2C21"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МГСИ</w:t>
            </w:r>
          </w:p>
        </w:tc>
        <w:tc>
          <w:tcPr>
            <w:tcW w:w="1237" w:type="dxa"/>
            <w:tcBorders>
              <w:top w:val="single" w:sz="4" w:space="0" w:color="auto"/>
              <w:left w:val="single" w:sz="4" w:space="0" w:color="auto"/>
              <w:bottom w:val="single" w:sz="4" w:space="0" w:color="auto"/>
              <w:right w:val="single" w:sz="4" w:space="0" w:color="auto"/>
            </w:tcBorders>
            <w:hideMark/>
          </w:tcPr>
          <w:p w14:paraId="05D2B89F"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МПШВ, ЈЛС, ЈКП</w:t>
            </w:r>
          </w:p>
        </w:tc>
        <w:tc>
          <w:tcPr>
            <w:tcW w:w="1182" w:type="dxa"/>
            <w:tcBorders>
              <w:top w:val="single" w:sz="4" w:space="0" w:color="auto"/>
              <w:left w:val="single" w:sz="4" w:space="0" w:color="auto"/>
              <w:bottom w:val="single" w:sz="4" w:space="0" w:color="auto"/>
              <w:right w:val="single" w:sz="4" w:space="0" w:color="auto"/>
            </w:tcBorders>
            <w:hideMark/>
          </w:tcPr>
          <w:p w14:paraId="00015BF2"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374" w:type="dxa"/>
            <w:tcBorders>
              <w:top w:val="single" w:sz="4" w:space="0" w:color="auto"/>
              <w:left w:val="single" w:sz="4" w:space="0" w:color="auto"/>
              <w:bottom w:val="single" w:sz="4" w:space="0" w:color="auto"/>
              <w:right w:val="single" w:sz="4" w:space="0" w:color="auto"/>
            </w:tcBorders>
            <w:hideMark/>
          </w:tcPr>
          <w:p w14:paraId="4F30FE86" w14:textId="77777777" w:rsidR="00914550" w:rsidRPr="00EF2F18" w:rsidRDefault="00914550" w:rsidP="0091455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су дефинисана у оквиру активности 3.2.2.2</w:t>
            </w:r>
          </w:p>
        </w:tc>
        <w:tc>
          <w:tcPr>
            <w:tcW w:w="1340" w:type="dxa"/>
            <w:tcBorders>
              <w:top w:val="single" w:sz="4" w:space="0" w:color="auto"/>
              <w:left w:val="single" w:sz="4" w:space="0" w:color="auto"/>
              <w:bottom w:val="single" w:sz="4" w:space="0" w:color="auto"/>
              <w:right w:val="single" w:sz="4" w:space="0" w:color="auto"/>
            </w:tcBorders>
          </w:tcPr>
          <w:p w14:paraId="25A12995" w14:textId="24928F78" w:rsidR="00914550" w:rsidRPr="00EF2F18" w:rsidRDefault="00914550" w:rsidP="00914550">
            <w:pPr>
              <w:spacing w:after="0"/>
              <w:rPr>
                <w:rFonts w:eastAsia="Times New Roman" w:cs="Times New Roman"/>
                <w:color w:val="000000"/>
                <w:sz w:val="20"/>
                <w:szCs w:val="20"/>
                <w:lang w:val="sr-Cyrl-RS" w:eastAsia="sr-Cyrl-RS"/>
              </w:rPr>
            </w:pPr>
          </w:p>
        </w:tc>
        <w:tc>
          <w:tcPr>
            <w:tcW w:w="1662" w:type="dxa"/>
            <w:tcBorders>
              <w:top w:val="single" w:sz="4" w:space="0" w:color="auto"/>
              <w:left w:val="single" w:sz="4" w:space="0" w:color="auto"/>
              <w:bottom w:val="single" w:sz="4" w:space="0" w:color="auto"/>
              <w:right w:val="single" w:sz="4" w:space="0" w:color="auto"/>
            </w:tcBorders>
          </w:tcPr>
          <w:p w14:paraId="4B535E56" w14:textId="1C5C6ED3" w:rsidR="00914550" w:rsidRPr="00EF2F18" w:rsidRDefault="00914550" w:rsidP="00914550">
            <w:pPr>
              <w:spacing w:after="0"/>
              <w:jc w:val="right"/>
              <w:rPr>
                <w:rFonts w:eastAsia="Times New Roman" w:cs="Times New Roman"/>
                <w:color w:val="000000"/>
                <w:sz w:val="20"/>
                <w:szCs w:val="20"/>
                <w:lang w:val="sr-Cyrl-RS" w:eastAsia="sr-Cyrl-RS"/>
              </w:rPr>
            </w:pPr>
          </w:p>
        </w:tc>
        <w:tc>
          <w:tcPr>
            <w:tcW w:w="1890" w:type="dxa"/>
            <w:tcBorders>
              <w:top w:val="single" w:sz="4" w:space="0" w:color="auto"/>
              <w:left w:val="single" w:sz="4" w:space="0" w:color="auto"/>
              <w:bottom w:val="single" w:sz="4" w:space="0" w:color="auto"/>
              <w:right w:val="single" w:sz="4" w:space="0" w:color="auto"/>
            </w:tcBorders>
          </w:tcPr>
          <w:p w14:paraId="5856F25E" w14:textId="5E23BED2" w:rsidR="00914550" w:rsidRPr="00EF2F18" w:rsidRDefault="00914550" w:rsidP="00914550">
            <w:pPr>
              <w:spacing w:after="0"/>
              <w:jc w:val="right"/>
              <w:rPr>
                <w:rFonts w:eastAsia="Times New Roman" w:cs="Times New Roman"/>
                <w:color w:val="000000"/>
                <w:sz w:val="20"/>
                <w:szCs w:val="20"/>
                <w:lang w:val="sr-Cyrl-RS" w:eastAsia="sr-Cyrl-RS"/>
              </w:rPr>
            </w:pPr>
          </w:p>
        </w:tc>
        <w:tc>
          <w:tcPr>
            <w:tcW w:w="2070" w:type="dxa"/>
            <w:tcBorders>
              <w:top w:val="single" w:sz="4" w:space="0" w:color="auto"/>
              <w:left w:val="single" w:sz="4" w:space="0" w:color="auto"/>
              <w:bottom w:val="single" w:sz="4" w:space="0" w:color="auto"/>
              <w:right w:val="single" w:sz="4" w:space="0" w:color="auto"/>
            </w:tcBorders>
          </w:tcPr>
          <w:p w14:paraId="1A9CD3EC" w14:textId="0664A53D" w:rsidR="00914550" w:rsidRPr="00EF2F18" w:rsidRDefault="00914550" w:rsidP="00914550">
            <w:pPr>
              <w:spacing w:after="0"/>
              <w:jc w:val="right"/>
              <w:rPr>
                <w:rFonts w:eastAsia="Times New Roman" w:cs="Times New Roman"/>
                <w:color w:val="000000"/>
                <w:sz w:val="20"/>
                <w:szCs w:val="20"/>
                <w:lang w:val="sr-Cyrl-RS" w:eastAsia="sr-Cyrl-RS"/>
              </w:rPr>
            </w:pPr>
          </w:p>
        </w:tc>
      </w:tr>
    </w:tbl>
    <w:p w14:paraId="3866FC60" w14:textId="77777777" w:rsidR="007D7243" w:rsidRPr="00EF2F18" w:rsidRDefault="007D7243" w:rsidP="007D7243">
      <w:pPr>
        <w:tabs>
          <w:tab w:val="left" w:pos="1940"/>
        </w:tabs>
        <w:spacing w:after="0"/>
        <w:rPr>
          <w:rFonts w:cs="Times New Roman"/>
          <w:sz w:val="20"/>
          <w:szCs w:val="20"/>
          <w:lang w:val="sr-Cyrl-RS"/>
        </w:rPr>
      </w:pPr>
    </w:p>
    <w:tbl>
      <w:tblPr>
        <w:tblW w:w="13713" w:type="dxa"/>
        <w:tblLayout w:type="fixed"/>
        <w:tblCellMar>
          <w:top w:w="15" w:type="dxa"/>
        </w:tblCellMar>
        <w:tblLook w:val="04A0" w:firstRow="1" w:lastRow="0" w:firstColumn="1" w:lastColumn="0" w:noHBand="0" w:noVBand="1"/>
      </w:tblPr>
      <w:tblGrid>
        <w:gridCol w:w="3568"/>
        <w:gridCol w:w="1262"/>
        <w:gridCol w:w="1823"/>
        <w:gridCol w:w="1150"/>
        <w:gridCol w:w="1174"/>
        <w:gridCol w:w="1260"/>
        <w:gridCol w:w="1530"/>
        <w:gridCol w:w="1710"/>
        <w:gridCol w:w="9"/>
        <w:gridCol w:w="227"/>
      </w:tblGrid>
      <w:tr w:rsidR="007D7243" w:rsidRPr="00EF2F18" w14:paraId="5352EC5C" w14:textId="77777777" w:rsidTr="00B4350F">
        <w:trPr>
          <w:gridAfter w:val="1"/>
          <w:wAfter w:w="227" w:type="dxa"/>
          <w:trHeight w:val="336"/>
        </w:trPr>
        <w:tc>
          <w:tcPr>
            <w:tcW w:w="13486" w:type="dxa"/>
            <w:gridSpan w:val="9"/>
            <w:tcBorders>
              <w:top w:val="double" w:sz="6" w:space="0" w:color="auto"/>
              <w:left w:val="double" w:sz="6" w:space="0" w:color="auto"/>
              <w:bottom w:val="double" w:sz="6" w:space="0" w:color="auto"/>
              <w:right w:val="double" w:sz="6" w:space="0" w:color="auto"/>
            </w:tcBorders>
            <w:shd w:val="clear" w:color="000000" w:fill="C5E0B3"/>
            <w:vAlign w:val="center"/>
            <w:hideMark/>
          </w:tcPr>
          <w:p w14:paraId="61ECC51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Посебан циљ 3.3: Унапређење продуктивности, стања и квалитета земљишта, спречавање деградације и контаминације земљишта</w:t>
            </w:r>
          </w:p>
        </w:tc>
      </w:tr>
      <w:tr w:rsidR="007D7243" w:rsidRPr="00EF2F18" w14:paraId="21221572" w14:textId="77777777" w:rsidTr="00B4350F">
        <w:trPr>
          <w:gridAfter w:val="1"/>
          <w:wAfter w:w="227" w:type="dxa"/>
          <w:trHeight w:val="324"/>
        </w:trPr>
        <w:tc>
          <w:tcPr>
            <w:tcW w:w="13486" w:type="dxa"/>
            <w:gridSpan w:val="9"/>
            <w:tcBorders>
              <w:top w:val="double" w:sz="6" w:space="0" w:color="auto"/>
              <w:left w:val="double" w:sz="6" w:space="0" w:color="auto"/>
              <w:bottom w:val="double" w:sz="6" w:space="0" w:color="auto"/>
              <w:right w:val="double" w:sz="6" w:space="0" w:color="auto"/>
            </w:tcBorders>
            <w:shd w:val="clear" w:color="000000" w:fill="C5E0B3"/>
            <w:vAlign w:val="center"/>
            <w:hideMark/>
          </w:tcPr>
          <w:p w14:paraId="2F4264CF"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 xml:space="preserve">Институција одговорна за координацију и извештавање: Министарство заштите животне средине </w:t>
            </w:r>
          </w:p>
        </w:tc>
      </w:tr>
      <w:tr w:rsidR="005A621C" w:rsidRPr="00EF2F18" w14:paraId="61D26296" w14:textId="77777777" w:rsidTr="00B4350F">
        <w:trPr>
          <w:gridAfter w:val="2"/>
          <w:wAfter w:w="236" w:type="dxa"/>
          <w:trHeight w:val="468"/>
        </w:trPr>
        <w:tc>
          <w:tcPr>
            <w:tcW w:w="3568"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339D6B64"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262"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392D9EEA"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823"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26364AB4"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0BDCB11D"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2C835138"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6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6D4EA299"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CC0BB91"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08E8B0C6"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A621C" w:rsidRPr="00EF2F18" w14:paraId="1DB59659" w14:textId="77777777" w:rsidTr="00B4350F">
        <w:trPr>
          <w:trHeight w:val="324"/>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5F1CF95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7596918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2C5A3C8B"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1CD1591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2652C056"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325EB54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765C411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4C39542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4E5E9637" w14:textId="77777777" w:rsidR="005A621C" w:rsidRPr="00EF2F18" w:rsidRDefault="005A621C" w:rsidP="00752CA0">
            <w:pPr>
              <w:spacing w:after="0"/>
              <w:jc w:val="center"/>
              <w:rPr>
                <w:rFonts w:eastAsia="Times New Roman" w:cs="Times New Roman"/>
                <w:color w:val="000000"/>
                <w:sz w:val="20"/>
                <w:szCs w:val="20"/>
                <w:lang w:val="sr-Cyrl-RS" w:eastAsia="sr-Cyrl-RS"/>
              </w:rPr>
            </w:pPr>
          </w:p>
        </w:tc>
      </w:tr>
      <w:tr w:rsidR="005A621C" w:rsidRPr="00EF2F18" w14:paraId="043D7698" w14:textId="77777777" w:rsidTr="00B4350F">
        <w:trPr>
          <w:trHeight w:val="312"/>
        </w:trPr>
        <w:tc>
          <w:tcPr>
            <w:tcW w:w="3568"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A558A0E"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локација са приоритетне листе на којима су реализовани пројекти санације, ремедијације и рекултивације</w:t>
            </w:r>
          </w:p>
        </w:tc>
        <w:tc>
          <w:tcPr>
            <w:tcW w:w="1262"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E9E1DFE"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823"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2F16A1F"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АЗЖС, НЛИ 4.30</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728100B9"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A05B4C3"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2021.</w:t>
            </w:r>
          </w:p>
        </w:tc>
        <w:tc>
          <w:tcPr>
            <w:tcW w:w="126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B81DFF6"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w:t>
            </w:r>
          </w:p>
        </w:tc>
        <w:tc>
          <w:tcPr>
            <w:tcW w:w="153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7079DFF8"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w:t>
            </w:r>
          </w:p>
        </w:tc>
        <w:tc>
          <w:tcPr>
            <w:tcW w:w="171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E9213D3"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75</w:t>
            </w:r>
          </w:p>
        </w:tc>
        <w:tc>
          <w:tcPr>
            <w:tcW w:w="236" w:type="dxa"/>
            <w:gridSpan w:val="2"/>
            <w:vAlign w:val="center"/>
            <w:hideMark/>
          </w:tcPr>
          <w:p w14:paraId="150F3A54" w14:textId="77777777" w:rsidR="005A621C" w:rsidRPr="00EF2F18" w:rsidRDefault="005A621C" w:rsidP="00752CA0">
            <w:pPr>
              <w:spacing w:after="0"/>
              <w:rPr>
                <w:rFonts w:eastAsia="Times New Roman" w:cs="Times New Roman"/>
                <w:sz w:val="20"/>
                <w:szCs w:val="20"/>
                <w:lang w:val="sr-Cyrl-RS" w:eastAsia="sr-Cyrl-RS"/>
              </w:rPr>
            </w:pPr>
          </w:p>
        </w:tc>
      </w:tr>
      <w:tr w:rsidR="005A621C" w:rsidRPr="00EF2F18" w14:paraId="115F095C" w14:textId="77777777" w:rsidTr="00B4350F">
        <w:trPr>
          <w:trHeight w:val="312"/>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44FB630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7B13247C"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286BAF8C"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463A432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442E4ECF"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69653725"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6B0170C3"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314FDF6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60394D80" w14:textId="77777777" w:rsidR="005A621C" w:rsidRPr="00EF2F18" w:rsidRDefault="005A621C" w:rsidP="00752CA0">
            <w:pPr>
              <w:spacing w:after="0"/>
              <w:jc w:val="center"/>
              <w:rPr>
                <w:rFonts w:eastAsia="Times New Roman" w:cs="Times New Roman"/>
                <w:color w:val="000000"/>
                <w:sz w:val="20"/>
                <w:szCs w:val="20"/>
                <w:lang w:val="sr-Cyrl-RS" w:eastAsia="sr-Cyrl-RS"/>
              </w:rPr>
            </w:pPr>
          </w:p>
        </w:tc>
      </w:tr>
      <w:tr w:rsidR="005A621C" w:rsidRPr="00EF2F18" w14:paraId="684BC9B3" w14:textId="77777777" w:rsidTr="00B4350F">
        <w:trPr>
          <w:trHeight w:val="324"/>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05F6CA7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67C1177B"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75AEBFF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4C086C35"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7A2C0DAF"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6EBF3D3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399D70A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67F79DB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21698624" w14:textId="77777777" w:rsidR="005A621C" w:rsidRPr="00EF2F18" w:rsidRDefault="005A621C" w:rsidP="00752CA0">
            <w:pPr>
              <w:spacing w:after="0"/>
              <w:rPr>
                <w:rFonts w:eastAsia="Times New Roman" w:cs="Times New Roman"/>
                <w:sz w:val="20"/>
                <w:szCs w:val="20"/>
                <w:lang w:val="sr-Cyrl-RS" w:eastAsia="sr-Cyrl-RS"/>
              </w:rPr>
            </w:pPr>
          </w:p>
        </w:tc>
      </w:tr>
      <w:tr w:rsidR="005A621C" w:rsidRPr="00EF2F18" w14:paraId="5339178E" w14:textId="77777777" w:rsidTr="00B4350F">
        <w:trPr>
          <w:trHeight w:val="1212"/>
        </w:trPr>
        <w:tc>
          <w:tcPr>
            <w:tcW w:w="3568"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E85C1D4"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Површина деградираног земљишта</w:t>
            </w:r>
          </w:p>
        </w:tc>
        <w:tc>
          <w:tcPr>
            <w:tcW w:w="1262"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C69A7C6"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km</w:t>
            </w:r>
            <w:r w:rsidRPr="00EF2F18">
              <w:rPr>
                <w:rFonts w:eastAsia="Times New Roman" w:cs="Times New Roman"/>
                <w:color w:val="000000"/>
                <w:sz w:val="20"/>
                <w:szCs w:val="20"/>
                <w:vertAlign w:val="superscript"/>
                <w:lang w:val="sr-Cyrl-RS" w:eastAsia="sr-Cyrl-RS"/>
              </w:rPr>
              <w:t>2</w:t>
            </w:r>
          </w:p>
        </w:tc>
        <w:tc>
          <w:tcPr>
            <w:tcW w:w="1823"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C5634E3"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РЗС, Извештај о стању животне средине, Извештај о напретку у </w:t>
            </w:r>
            <w:r w:rsidRPr="00EF2F18">
              <w:rPr>
                <w:rFonts w:eastAsia="Times New Roman" w:cs="Times New Roman"/>
                <w:sz w:val="20"/>
                <w:szCs w:val="20"/>
                <w:lang w:val="sr-Cyrl-RS" w:eastAsia="sr-Cyrl-RS"/>
              </w:rPr>
              <w:lastRenderedPageBreak/>
              <w:t>спровођењу ЦОР у РС</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237E020"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3.238</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749E089C"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2019.</w:t>
            </w:r>
          </w:p>
        </w:tc>
        <w:tc>
          <w:tcPr>
            <w:tcW w:w="126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E4611B8"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1227784"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2.700</w:t>
            </w:r>
          </w:p>
        </w:tc>
        <w:tc>
          <w:tcPr>
            <w:tcW w:w="171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24FDB39"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2.300</w:t>
            </w:r>
          </w:p>
        </w:tc>
        <w:tc>
          <w:tcPr>
            <w:tcW w:w="236" w:type="dxa"/>
            <w:gridSpan w:val="2"/>
            <w:vAlign w:val="center"/>
            <w:hideMark/>
          </w:tcPr>
          <w:p w14:paraId="1C99CC23" w14:textId="77777777" w:rsidR="005A621C" w:rsidRPr="00EF2F18" w:rsidRDefault="005A621C" w:rsidP="00752CA0">
            <w:pPr>
              <w:spacing w:after="0"/>
              <w:rPr>
                <w:rFonts w:eastAsia="Times New Roman" w:cs="Times New Roman"/>
                <w:sz w:val="20"/>
                <w:szCs w:val="20"/>
                <w:lang w:val="sr-Cyrl-RS" w:eastAsia="sr-Cyrl-RS"/>
              </w:rPr>
            </w:pPr>
          </w:p>
        </w:tc>
      </w:tr>
      <w:tr w:rsidR="005A621C" w:rsidRPr="00EF2F18" w14:paraId="6E266817" w14:textId="77777777" w:rsidTr="00B4350F">
        <w:trPr>
          <w:trHeight w:val="171"/>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50498F4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310B92A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2406F3E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39C7C4D4"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3FD6BFAC"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6126E5D0"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2C4B3DF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5D953207"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3FAD15B4" w14:textId="77777777" w:rsidR="005A621C" w:rsidRPr="00EF2F18" w:rsidRDefault="005A621C" w:rsidP="00752CA0">
            <w:pPr>
              <w:spacing w:after="0"/>
              <w:jc w:val="center"/>
              <w:rPr>
                <w:rFonts w:eastAsia="Times New Roman" w:cs="Times New Roman"/>
                <w:color w:val="000000"/>
                <w:sz w:val="20"/>
                <w:szCs w:val="20"/>
                <w:lang w:val="sr-Cyrl-RS" w:eastAsia="sr-Cyrl-RS"/>
              </w:rPr>
            </w:pPr>
          </w:p>
        </w:tc>
      </w:tr>
      <w:tr w:rsidR="005A621C" w:rsidRPr="00EF2F18" w14:paraId="63F353D0" w14:textId="77777777" w:rsidTr="00B4350F">
        <w:trPr>
          <w:trHeight w:val="35"/>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5274220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4C4B5BE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0211D7E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0194A61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3EB48CC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54FCBC87"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7ED979E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7826A493"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7D849FCC" w14:textId="77777777" w:rsidR="005A621C" w:rsidRPr="00EF2F18" w:rsidRDefault="005A621C" w:rsidP="00752CA0">
            <w:pPr>
              <w:spacing w:after="0"/>
              <w:rPr>
                <w:rFonts w:eastAsia="Times New Roman" w:cs="Times New Roman"/>
                <w:sz w:val="20"/>
                <w:szCs w:val="20"/>
                <w:lang w:val="sr-Cyrl-RS" w:eastAsia="sr-Cyrl-RS"/>
              </w:rPr>
            </w:pPr>
          </w:p>
        </w:tc>
      </w:tr>
      <w:tr w:rsidR="005A621C" w:rsidRPr="00EF2F18" w14:paraId="2B90597B" w14:textId="77777777" w:rsidTr="00B4350F">
        <w:trPr>
          <w:trHeight w:val="420"/>
        </w:trPr>
        <w:tc>
          <w:tcPr>
            <w:tcW w:w="3568"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8E33266" w14:textId="77777777" w:rsidR="005A621C" w:rsidRPr="00EF2F18" w:rsidRDefault="005A621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Промена начина коришћења земљишта (губитак пољопривредног, шумског и другог полуприродног и природног земљишта због урбаног развоја)</w:t>
            </w:r>
          </w:p>
        </w:tc>
        <w:tc>
          <w:tcPr>
            <w:tcW w:w="1262"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F1132BF"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ha</w:t>
            </w:r>
          </w:p>
        </w:tc>
        <w:tc>
          <w:tcPr>
            <w:tcW w:w="1823"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1D48C00"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АЗЖС, Извештај о стању животне средине у РС</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720BA1D5"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2.930</w:t>
            </w:r>
          </w:p>
        </w:tc>
        <w:tc>
          <w:tcPr>
            <w:tcW w:w="117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34C4D4F" w14:textId="3B90BD81" w:rsidR="005A621C" w:rsidRPr="00EF2F18" w:rsidRDefault="00120DE6"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2012 </w:t>
            </w:r>
            <w:r w:rsidR="005A621C" w:rsidRPr="00EF2F18">
              <w:rPr>
                <w:rFonts w:eastAsia="Times New Roman" w:cs="Times New Roman"/>
                <w:sz w:val="20"/>
                <w:szCs w:val="20"/>
                <w:lang w:val="sr-Cyrl-RS" w:eastAsia="sr-Cyrl-RS"/>
              </w:rPr>
              <w:t>-2018.</w:t>
            </w:r>
          </w:p>
        </w:tc>
        <w:tc>
          <w:tcPr>
            <w:tcW w:w="126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A17FA88"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4F30E98"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2.800</w:t>
            </w:r>
          </w:p>
        </w:tc>
        <w:tc>
          <w:tcPr>
            <w:tcW w:w="171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B83B93B" w14:textId="77777777" w:rsidR="005A621C" w:rsidRPr="00EF2F18" w:rsidRDefault="005A621C"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2.650</w:t>
            </w:r>
          </w:p>
        </w:tc>
        <w:tc>
          <w:tcPr>
            <w:tcW w:w="236" w:type="dxa"/>
            <w:gridSpan w:val="2"/>
            <w:vAlign w:val="center"/>
            <w:hideMark/>
          </w:tcPr>
          <w:p w14:paraId="4765E85F" w14:textId="77777777" w:rsidR="005A621C" w:rsidRPr="00EF2F18" w:rsidRDefault="005A621C" w:rsidP="00752CA0">
            <w:pPr>
              <w:spacing w:after="0"/>
              <w:rPr>
                <w:rFonts w:eastAsia="Times New Roman" w:cs="Times New Roman"/>
                <w:sz w:val="20"/>
                <w:szCs w:val="20"/>
                <w:lang w:val="sr-Cyrl-RS" w:eastAsia="sr-Cyrl-RS"/>
              </w:rPr>
            </w:pPr>
          </w:p>
        </w:tc>
      </w:tr>
      <w:tr w:rsidR="005A621C" w:rsidRPr="00EF2F18" w14:paraId="5858CE7D" w14:textId="77777777" w:rsidTr="00B4350F">
        <w:trPr>
          <w:trHeight w:val="312"/>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5BC59CC6"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471C30A5"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1F83062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0090DD3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5082696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01EAD441"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28DD7E6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544634FE"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246BD861" w14:textId="77777777" w:rsidR="005A621C" w:rsidRPr="00EF2F18" w:rsidRDefault="005A621C" w:rsidP="00752CA0">
            <w:pPr>
              <w:spacing w:after="0"/>
              <w:jc w:val="center"/>
              <w:rPr>
                <w:rFonts w:eastAsia="Times New Roman" w:cs="Times New Roman"/>
                <w:color w:val="000000"/>
                <w:sz w:val="20"/>
                <w:szCs w:val="20"/>
                <w:lang w:val="sr-Cyrl-RS" w:eastAsia="sr-Cyrl-RS"/>
              </w:rPr>
            </w:pPr>
          </w:p>
        </w:tc>
      </w:tr>
      <w:tr w:rsidR="005A621C" w:rsidRPr="00EF2F18" w14:paraId="42842E3E" w14:textId="77777777" w:rsidTr="00B4350F">
        <w:trPr>
          <w:trHeight w:val="324"/>
        </w:trPr>
        <w:tc>
          <w:tcPr>
            <w:tcW w:w="3568" w:type="dxa"/>
            <w:vMerge/>
            <w:tcBorders>
              <w:top w:val="double" w:sz="6" w:space="0" w:color="auto"/>
              <w:left w:val="double" w:sz="6" w:space="0" w:color="auto"/>
              <w:bottom w:val="double" w:sz="6" w:space="0" w:color="auto"/>
              <w:right w:val="double" w:sz="6" w:space="0" w:color="auto"/>
            </w:tcBorders>
            <w:vAlign w:val="center"/>
            <w:hideMark/>
          </w:tcPr>
          <w:p w14:paraId="61F675AA"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2" w:type="dxa"/>
            <w:vMerge/>
            <w:tcBorders>
              <w:top w:val="double" w:sz="6" w:space="0" w:color="auto"/>
              <w:left w:val="double" w:sz="6" w:space="0" w:color="auto"/>
              <w:bottom w:val="double" w:sz="6" w:space="0" w:color="auto"/>
              <w:right w:val="double" w:sz="6" w:space="0" w:color="auto"/>
            </w:tcBorders>
            <w:vAlign w:val="center"/>
            <w:hideMark/>
          </w:tcPr>
          <w:p w14:paraId="470CD5F2"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823" w:type="dxa"/>
            <w:vMerge/>
            <w:tcBorders>
              <w:top w:val="double" w:sz="6" w:space="0" w:color="auto"/>
              <w:left w:val="double" w:sz="6" w:space="0" w:color="auto"/>
              <w:bottom w:val="double" w:sz="6" w:space="0" w:color="auto"/>
              <w:right w:val="double" w:sz="6" w:space="0" w:color="auto"/>
            </w:tcBorders>
            <w:vAlign w:val="center"/>
            <w:hideMark/>
          </w:tcPr>
          <w:p w14:paraId="527880ED"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73F6E008"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174" w:type="dxa"/>
            <w:vMerge/>
            <w:tcBorders>
              <w:top w:val="double" w:sz="6" w:space="0" w:color="auto"/>
              <w:left w:val="double" w:sz="6" w:space="0" w:color="auto"/>
              <w:bottom w:val="double" w:sz="6" w:space="0" w:color="auto"/>
              <w:right w:val="double" w:sz="6" w:space="0" w:color="auto"/>
            </w:tcBorders>
            <w:vAlign w:val="center"/>
            <w:hideMark/>
          </w:tcPr>
          <w:p w14:paraId="60FD8E3D"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009196B6"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530" w:type="dxa"/>
            <w:vMerge/>
            <w:tcBorders>
              <w:top w:val="double" w:sz="6" w:space="0" w:color="auto"/>
              <w:left w:val="double" w:sz="6" w:space="0" w:color="auto"/>
              <w:bottom w:val="double" w:sz="6" w:space="0" w:color="auto"/>
              <w:right w:val="double" w:sz="6" w:space="0" w:color="auto"/>
            </w:tcBorders>
            <w:vAlign w:val="center"/>
            <w:hideMark/>
          </w:tcPr>
          <w:p w14:paraId="6C4F71E5"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3ED15DB9" w14:textId="77777777" w:rsidR="005A621C" w:rsidRPr="00EF2F18" w:rsidRDefault="005A621C"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01054712" w14:textId="77777777" w:rsidR="005A621C" w:rsidRPr="00EF2F18" w:rsidRDefault="005A621C" w:rsidP="00752CA0">
            <w:pPr>
              <w:spacing w:after="0"/>
              <w:rPr>
                <w:rFonts w:eastAsia="Times New Roman" w:cs="Times New Roman"/>
                <w:sz w:val="20"/>
                <w:szCs w:val="20"/>
                <w:lang w:val="sr-Cyrl-RS" w:eastAsia="sr-Cyrl-RS"/>
              </w:rPr>
            </w:pPr>
          </w:p>
        </w:tc>
      </w:tr>
    </w:tbl>
    <w:p w14:paraId="63EEDCE9" w14:textId="77777777" w:rsidR="007D7243" w:rsidRPr="00EF2F18" w:rsidRDefault="007D7243" w:rsidP="007D7243">
      <w:pPr>
        <w:tabs>
          <w:tab w:val="left" w:pos="1940"/>
        </w:tabs>
        <w:spacing w:after="0"/>
        <w:rPr>
          <w:rFonts w:cs="Times New Roman"/>
          <w:sz w:val="20"/>
          <w:szCs w:val="20"/>
          <w:lang w:val="sr-Cyrl-RS"/>
        </w:rPr>
      </w:pPr>
    </w:p>
    <w:tbl>
      <w:tblPr>
        <w:tblW w:w="1356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894"/>
        <w:gridCol w:w="1520"/>
        <w:gridCol w:w="1060"/>
        <w:gridCol w:w="1060"/>
        <w:gridCol w:w="2128"/>
        <w:gridCol w:w="25"/>
      </w:tblGrid>
      <w:tr w:rsidR="007D7243" w:rsidRPr="00EF2F18" w14:paraId="07098565" w14:textId="77777777" w:rsidTr="009B11D0">
        <w:trPr>
          <w:gridAfter w:val="1"/>
          <w:wAfter w:w="25" w:type="dxa"/>
          <w:trHeight w:val="336"/>
        </w:trPr>
        <w:tc>
          <w:tcPr>
            <w:tcW w:w="13542" w:type="dxa"/>
            <w:gridSpan w:val="9"/>
            <w:shd w:val="clear" w:color="000000" w:fill="F7CAAC"/>
            <w:vAlign w:val="center"/>
            <w:hideMark/>
          </w:tcPr>
          <w:p w14:paraId="5D9DBA86" w14:textId="77777777" w:rsidR="007D7243" w:rsidRPr="00EF2F18" w:rsidRDefault="007D7243" w:rsidP="00752CA0">
            <w:pPr>
              <w:spacing w:after="0"/>
              <w:rPr>
                <w:rFonts w:eastAsia="Times New Roman" w:cs="Times New Roman"/>
                <w:b/>
                <w:bCs/>
                <w:color w:val="000000"/>
                <w:sz w:val="20"/>
                <w:szCs w:val="20"/>
                <w:lang w:val="sr-Cyrl-RS" w:eastAsia="sr-Cyrl-RS"/>
              </w:rPr>
            </w:pPr>
            <w:bookmarkStart w:id="172" w:name="_Hlk146462555"/>
            <w:r w:rsidRPr="00EF2F18">
              <w:rPr>
                <w:rFonts w:eastAsia="Times New Roman" w:cs="Times New Roman"/>
                <w:b/>
                <w:bCs/>
                <w:color w:val="000000"/>
                <w:sz w:val="20"/>
                <w:szCs w:val="20"/>
                <w:lang w:val="sr-Cyrl-RS" w:eastAsia="sr-Cyrl-RS"/>
              </w:rPr>
              <w:t>Мера 3.3.1: Успостављање планског оквира за заштиту земљишта на свим нивоима</w:t>
            </w:r>
          </w:p>
        </w:tc>
      </w:tr>
      <w:tr w:rsidR="007D7243" w:rsidRPr="00EF2F18" w14:paraId="5C488931" w14:textId="77777777" w:rsidTr="009B11D0">
        <w:trPr>
          <w:gridAfter w:val="1"/>
          <w:wAfter w:w="25" w:type="dxa"/>
          <w:trHeight w:val="336"/>
        </w:trPr>
        <w:tc>
          <w:tcPr>
            <w:tcW w:w="13542" w:type="dxa"/>
            <w:gridSpan w:val="9"/>
            <w:shd w:val="clear" w:color="000000" w:fill="F7CAAC"/>
            <w:vAlign w:val="center"/>
            <w:hideMark/>
          </w:tcPr>
          <w:p w14:paraId="134F1796"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5CE6990D" w14:textId="77777777" w:rsidTr="009B11D0">
        <w:trPr>
          <w:gridAfter w:val="1"/>
          <w:wAfter w:w="25" w:type="dxa"/>
          <w:trHeight w:val="336"/>
        </w:trPr>
        <w:tc>
          <w:tcPr>
            <w:tcW w:w="6880" w:type="dxa"/>
            <w:gridSpan w:val="4"/>
            <w:shd w:val="clear" w:color="000000" w:fill="F7CAAC"/>
            <w:vAlign w:val="center"/>
            <w:hideMark/>
          </w:tcPr>
          <w:p w14:paraId="65C40360" w14:textId="530B0BB9"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91529A"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662" w:type="dxa"/>
            <w:gridSpan w:val="5"/>
            <w:shd w:val="clear" w:color="000000" w:fill="F7CAAC"/>
            <w:vAlign w:val="center"/>
            <w:hideMark/>
          </w:tcPr>
          <w:p w14:paraId="2BC26D4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584828ED" w14:textId="77777777" w:rsidTr="009B11D0">
        <w:trPr>
          <w:gridAfter w:val="1"/>
          <w:wAfter w:w="25" w:type="dxa"/>
          <w:trHeight w:val="528"/>
        </w:trPr>
        <w:tc>
          <w:tcPr>
            <w:tcW w:w="6880" w:type="dxa"/>
            <w:gridSpan w:val="4"/>
            <w:shd w:val="clear" w:color="000000" w:fill="F7CAAC"/>
            <w:hideMark/>
          </w:tcPr>
          <w:p w14:paraId="158A6F4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62" w:type="dxa"/>
            <w:gridSpan w:val="5"/>
            <w:shd w:val="clear" w:color="000000" w:fill="F7CAAC"/>
            <w:vAlign w:val="center"/>
            <w:hideMark/>
          </w:tcPr>
          <w:p w14:paraId="7ADBAB50" w14:textId="77777777" w:rsidR="007D7243" w:rsidRPr="00EF2F18" w:rsidRDefault="007D7243" w:rsidP="00313E8E">
            <w:pPr>
              <w:pStyle w:val="ListParagraph"/>
              <w:numPr>
                <w:ilvl w:val="0"/>
                <w:numId w:val="66"/>
              </w:numPr>
              <w:spacing w:after="0"/>
              <w:ind w:left="359" w:hanging="283"/>
              <w:rPr>
                <w:rFonts w:eastAsia="Times New Roman" w:cs="Times New Roman"/>
                <w:color w:val="000000"/>
                <w:sz w:val="20"/>
                <w:szCs w:val="20"/>
                <w:lang w:val="sr-Cyrl-RS" w:eastAsia="sr-Cyrl-RS"/>
              </w:rPr>
            </w:pPr>
            <w:r w:rsidRPr="00EF2F18">
              <w:rPr>
                <w:rFonts w:eastAsia="Symbol" w:cs="Symbol"/>
                <w:color w:val="000000"/>
                <w:sz w:val="20"/>
                <w:szCs w:val="20"/>
                <w:lang w:val="sr-Cyrl-RS" w:eastAsia="sr-Cyrl-RS"/>
              </w:rPr>
              <w:t>Израда, усвајање и спровођење програма заштите земљишта, у складу са чланом 6. Закона о заштити земљишта („Службени гласник РС”, број 112/15)</w:t>
            </w:r>
          </w:p>
        </w:tc>
      </w:tr>
      <w:tr w:rsidR="009B11D0" w:rsidRPr="00EF2F18" w14:paraId="4DC68902" w14:textId="77777777" w:rsidTr="009B11D0">
        <w:trPr>
          <w:trHeight w:val="816"/>
        </w:trPr>
        <w:tc>
          <w:tcPr>
            <w:tcW w:w="3320" w:type="dxa"/>
            <w:shd w:val="clear" w:color="000000" w:fill="D9D9D9"/>
            <w:hideMark/>
          </w:tcPr>
          <w:p w14:paraId="6356F884"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shd w:val="clear" w:color="000000" w:fill="D9D9D9"/>
            <w:hideMark/>
          </w:tcPr>
          <w:p w14:paraId="1A88D9CA"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shd w:val="clear" w:color="000000" w:fill="D9D9D9"/>
            <w:hideMark/>
          </w:tcPr>
          <w:p w14:paraId="0F17DB33"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94" w:type="dxa"/>
            <w:gridSpan w:val="2"/>
            <w:shd w:val="clear" w:color="000000" w:fill="D9D9D9"/>
            <w:hideMark/>
          </w:tcPr>
          <w:p w14:paraId="2140EB93"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shd w:val="clear" w:color="000000" w:fill="D9D9D9"/>
            <w:hideMark/>
          </w:tcPr>
          <w:p w14:paraId="529A3B25"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060" w:type="dxa"/>
            <w:shd w:val="clear" w:color="000000" w:fill="D9D9D9"/>
            <w:hideMark/>
          </w:tcPr>
          <w:p w14:paraId="6BECA2FC"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060" w:type="dxa"/>
            <w:shd w:val="clear" w:color="000000" w:fill="D9D9D9"/>
            <w:hideMark/>
          </w:tcPr>
          <w:p w14:paraId="70359F06"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2153" w:type="dxa"/>
            <w:gridSpan w:val="2"/>
            <w:shd w:val="clear" w:color="000000" w:fill="D9D9D9"/>
            <w:hideMark/>
          </w:tcPr>
          <w:p w14:paraId="5422954D"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9B11D0" w:rsidRPr="00EF2F18" w14:paraId="5F1E5B3B" w14:textId="77777777" w:rsidTr="009B11D0">
        <w:trPr>
          <w:trHeight w:val="1840"/>
        </w:trPr>
        <w:tc>
          <w:tcPr>
            <w:tcW w:w="3320" w:type="dxa"/>
            <w:shd w:val="clear" w:color="000000" w:fill="FFFFFF"/>
            <w:hideMark/>
          </w:tcPr>
          <w:p w14:paraId="5482E9FE"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Удео реализованих годишњих програма заштите земљишта ЈЛС</w:t>
            </w:r>
          </w:p>
        </w:tc>
        <w:tc>
          <w:tcPr>
            <w:tcW w:w="1280" w:type="dxa"/>
            <w:shd w:val="clear" w:color="000000" w:fill="FFFFFF"/>
            <w:hideMark/>
          </w:tcPr>
          <w:p w14:paraId="3D578E10"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shd w:val="clear" w:color="000000" w:fill="FFFFFF"/>
            <w:hideMark/>
          </w:tcPr>
          <w:p w14:paraId="62F1DF04"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Извештаји о спровођењу мера и активности утврђених у Годишњем програму</w:t>
            </w:r>
          </w:p>
        </w:tc>
        <w:tc>
          <w:tcPr>
            <w:tcW w:w="1894" w:type="dxa"/>
            <w:gridSpan w:val="2"/>
            <w:shd w:val="clear" w:color="000000" w:fill="FFFFFF"/>
            <w:hideMark/>
          </w:tcPr>
          <w:p w14:paraId="7405892C"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520" w:type="dxa"/>
            <w:shd w:val="clear" w:color="000000" w:fill="FFFFFF"/>
            <w:hideMark/>
          </w:tcPr>
          <w:p w14:paraId="136C4C55"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060" w:type="dxa"/>
            <w:shd w:val="clear" w:color="000000" w:fill="FFFFFF"/>
            <w:hideMark/>
          </w:tcPr>
          <w:p w14:paraId="37A17C9A"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w:t>
            </w:r>
          </w:p>
          <w:p w14:paraId="4935F763"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p w14:paraId="21A8D5E8" w14:textId="366069D5"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060" w:type="dxa"/>
            <w:shd w:val="clear" w:color="000000" w:fill="FFFFFF"/>
            <w:hideMark/>
          </w:tcPr>
          <w:p w14:paraId="6522E3B2"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w:t>
            </w:r>
          </w:p>
        </w:tc>
        <w:tc>
          <w:tcPr>
            <w:tcW w:w="2153" w:type="dxa"/>
            <w:gridSpan w:val="2"/>
            <w:shd w:val="clear" w:color="000000" w:fill="FFFFFF"/>
            <w:hideMark/>
          </w:tcPr>
          <w:p w14:paraId="06860945" w14:textId="7777777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75</w:t>
            </w:r>
          </w:p>
        </w:tc>
      </w:tr>
    </w:tbl>
    <w:p w14:paraId="6B721397" w14:textId="77777777" w:rsidR="007D7243" w:rsidRPr="00EF2F18" w:rsidRDefault="007D7243" w:rsidP="007D7243">
      <w:pPr>
        <w:spacing w:after="0"/>
        <w:rPr>
          <w:lang w:val="sr-Cyrl-RS"/>
        </w:rPr>
      </w:pPr>
    </w:p>
    <w:tbl>
      <w:tblPr>
        <w:tblW w:w="13567" w:type="dxa"/>
        <w:tblLook w:val="04A0" w:firstRow="1" w:lastRow="0" w:firstColumn="1" w:lastColumn="0" w:noHBand="0" w:noVBand="1"/>
      </w:tblPr>
      <w:tblGrid>
        <w:gridCol w:w="3663"/>
        <w:gridCol w:w="2556"/>
        <w:gridCol w:w="2218"/>
        <w:gridCol w:w="2520"/>
        <w:gridCol w:w="2610"/>
      </w:tblGrid>
      <w:tr w:rsidR="007D7243" w:rsidRPr="00EF2F18" w14:paraId="63ABC869" w14:textId="77777777" w:rsidTr="009B11D0">
        <w:trPr>
          <w:trHeight w:val="336"/>
        </w:trPr>
        <w:tc>
          <w:tcPr>
            <w:tcW w:w="3663"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2667AF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0876FC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48" w:type="dxa"/>
            <w:gridSpan w:val="3"/>
            <w:tcBorders>
              <w:top w:val="double" w:sz="6" w:space="0" w:color="auto"/>
              <w:left w:val="nil"/>
              <w:bottom w:val="double" w:sz="6" w:space="0" w:color="auto"/>
              <w:right w:val="double" w:sz="6" w:space="0" w:color="auto"/>
            </w:tcBorders>
            <w:shd w:val="clear" w:color="000000" w:fill="A8D08D"/>
            <w:hideMark/>
          </w:tcPr>
          <w:p w14:paraId="66D710C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9B11D0" w:rsidRPr="00EF2F18" w14:paraId="0458A5D4" w14:textId="77777777" w:rsidTr="009B11D0">
        <w:trPr>
          <w:trHeight w:val="336"/>
        </w:trPr>
        <w:tc>
          <w:tcPr>
            <w:tcW w:w="3663" w:type="dxa"/>
            <w:vMerge/>
            <w:tcBorders>
              <w:top w:val="double" w:sz="6" w:space="0" w:color="auto"/>
              <w:left w:val="double" w:sz="6" w:space="0" w:color="auto"/>
              <w:bottom w:val="single" w:sz="8" w:space="0" w:color="000000"/>
              <w:right w:val="double" w:sz="6" w:space="0" w:color="auto"/>
            </w:tcBorders>
            <w:vAlign w:val="center"/>
            <w:hideMark/>
          </w:tcPr>
          <w:p w14:paraId="50343DD5"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7F34FE79"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2218" w:type="dxa"/>
            <w:tcBorders>
              <w:top w:val="nil"/>
              <w:left w:val="nil"/>
              <w:bottom w:val="double" w:sz="6" w:space="0" w:color="auto"/>
              <w:right w:val="double" w:sz="6" w:space="0" w:color="auto"/>
            </w:tcBorders>
            <w:shd w:val="clear" w:color="000000" w:fill="A8D08D"/>
            <w:hideMark/>
          </w:tcPr>
          <w:p w14:paraId="17BAB132" w14:textId="67D220FA"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520" w:type="dxa"/>
            <w:tcBorders>
              <w:top w:val="nil"/>
              <w:left w:val="nil"/>
              <w:bottom w:val="double" w:sz="6" w:space="0" w:color="auto"/>
              <w:right w:val="double" w:sz="6" w:space="0" w:color="auto"/>
            </w:tcBorders>
            <w:shd w:val="clear" w:color="000000" w:fill="A8D08D"/>
            <w:hideMark/>
          </w:tcPr>
          <w:p w14:paraId="702C7E90" w14:textId="7B4CC507"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610" w:type="dxa"/>
            <w:tcBorders>
              <w:top w:val="nil"/>
              <w:left w:val="nil"/>
              <w:bottom w:val="double" w:sz="6" w:space="0" w:color="auto"/>
              <w:right w:val="double" w:sz="6" w:space="0" w:color="auto"/>
            </w:tcBorders>
            <w:shd w:val="clear" w:color="000000" w:fill="A8D08D"/>
            <w:hideMark/>
          </w:tcPr>
          <w:p w14:paraId="76004B60" w14:textId="7ADAE70B"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9B11D0" w:rsidRPr="00EF2F18" w14:paraId="715E2B5A" w14:textId="77777777" w:rsidTr="009B11D0">
        <w:trPr>
          <w:trHeight w:val="324"/>
        </w:trPr>
        <w:tc>
          <w:tcPr>
            <w:tcW w:w="3663" w:type="dxa"/>
            <w:tcBorders>
              <w:top w:val="nil"/>
              <w:left w:val="double" w:sz="6" w:space="0" w:color="auto"/>
              <w:bottom w:val="double" w:sz="6" w:space="0" w:color="auto"/>
              <w:right w:val="double" w:sz="6" w:space="0" w:color="auto"/>
            </w:tcBorders>
            <w:vAlign w:val="center"/>
            <w:hideMark/>
          </w:tcPr>
          <w:p w14:paraId="57DE648C"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556" w:type="dxa"/>
            <w:tcBorders>
              <w:top w:val="nil"/>
              <w:left w:val="nil"/>
              <w:bottom w:val="double" w:sz="6" w:space="0" w:color="auto"/>
              <w:right w:val="double" w:sz="6" w:space="0" w:color="auto"/>
            </w:tcBorders>
            <w:vAlign w:val="center"/>
            <w:hideMark/>
          </w:tcPr>
          <w:p w14:paraId="09C420FC"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2218" w:type="dxa"/>
            <w:tcBorders>
              <w:top w:val="nil"/>
              <w:left w:val="nil"/>
              <w:bottom w:val="double" w:sz="6" w:space="0" w:color="auto"/>
              <w:right w:val="double" w:sz="6" w:space="0" w:color="auto"/>
            </w:tcBorders>
            <w:vAlign w:val="center"/>
          </w:tcPr>
          <w:p w14:paraId="511D0DAE" w14:textId="1C7FDF15" w:rsidR="009B11D0" w:rsidRPr="00EF2F18" w:rsidRDefault="009B11D0" w:rsidP="00752CA0">
            <w:pPr>
              <w:spacing w:after="0"/>
              <w:jc w:val="right"/>
              <w:rPr>
                <w:rFonts w:eastAsia="Times New Roman" w:cs="Times New Roman"/>
                <w:color w:val="000000"/>
                <w:sz w:val="20"/>
                <w:szCs w:val="20"/>
                <w:lang w:val="sr-Cyrl-RS" w:eastAsia="sr-Cyrl-RS"/>
              </w:rPr>
            </w:pPr>
          </w:p>
        </w:tc>
        <w:tc>
          <w:tcPr>
            <w:tcW w:w="2520" w:type="dxa"/>
            <w:tcBorders>
              <w:top w:val="nil"/>
              <w:left w:val="nil"/>
              <w:bottom w:val="double" w:sz="6" w:space="0" w:color="auto"/>
              <w:right w:val="double" w:sz="6" w:space="0" w:color="auto"/>
            </w:tcBorders>
            <w:vAlign w:val="center"/>
          </w:tcPr>
          <w:p w14:paraId="62A29A36" w14:textId="221BB873" w:rsidR="009B11D0" w:rsidRPr="00EF2F18" w:rsidRDefault="009B11D0" w:rsidP="00752CA0">
            <w:pPr>
              <w:spacing w:after="0"/>
              <w:jc w:val="right"/>
              <w:rPr>
                <w:rFonts w:eastAsia="Times New Roman" w:cs="Times New Roman"/>
                <w:color w:val="000000"/>
                <w:sz w:val="20"/>
                <w:szCs w:val="20"/>
                <w:lang w:val="sr-Cyrl-RS" w:eastAsia="sr-Cyrl-RS"/>
              </w:rPr>
            </w:pPr>
          </w:p>
        </w:tc>
        <w:tc>
          <w:tcPr>
            <w:tcW w:w="2610" w:type="dxa"/>
            <w:tcBorders>
              <w:top w:val="nil"/>
              <w:left w:val="nil"/>
              <w:bottom w:val="double" w:sz="6" w:space="0" w:color="auto"/>
              <w:right w:val="double" w:sz="6" w:space="0" w:color="auto"/>
            </w:tcBorders>
            <w:vAlign w:val="center"/>
          </w:tcPr>
          <w:p w14:paraId="1302E6D5" w14:textId="2596B7F3" w:rsidR="009B11D0" w:rsidRPr="00EF2F18" w:rsidRDefault="009B11D0" w:rsidP="00752CA0">
            <w:pPr>
              <w:spacing w:after="0"/>
              <w:jc w:val="right"/>
              <w:rPr>
                <w:rFonts w:eastAsia="Times New Roman" w:cs="Times New Roman"/>
                <w:color w:val="000000"/>
                <w:sz w:val="20"/>
                <w:szCs w:val="20"/>
                <w:lang w:val="sr-Cyrl-RS" w:eastAsia="sr-Cyrl-RS"/>
              </w:rPr>
            </w:pPr>
          </w:p>
        </w:tc>
      </w:tr>
      <w:tr w:rsidR="009B11D0" w:rsidRPr="00EF2F18" w14:paraId="09CE61F4" w14:textId="77777777" w:rsidTr="009B11D0">
        <w:trPr>
          <w:trHeight w:val="336"/>
        </w:trPr>
        <w:tc>
          <w:tcPr>
            <w:tcW w:w="3663" w:type="dxa"/>
            <w:tcBorders>
              <w:top w:val="nil"/>
              <w:left w:val="double" w:sz="6" w:space="0" w:color="auto"/>
              <w:bottom w:val="double" w:sz="6" w:space="0" w:color="auto"/>
              <w:right w:val="double" w:sz="6" w:space="0" w:color="auto"/>
            </w:tcBorders>
            <w:vAlign w:val="center"/>
            <w:hideMark/>
          </w:tcPr>
          <w:p w14:paraId="44B221D1"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2556" w:type="dxa"/>
            <w:tcBorders>
              <w:top w:val="nil"/>
              <w:left w:val="nil"/>
              <w:bottom w:val="double" w:sz="6" w:space="0" w:color="auto"/>
              <w:right w:val="double" w:sz="6" w:space="0" w:color="auto"/>
            </w:tcBorders>
            <w:vAlign w:val="center"/>
            <w:hideMark/>
          </w:tcPr>
          <w:p w14:paraId="00C82E2A"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2218" w:type="dxa"/>
            <w:tcBorders>
              <w:top w:val="nil"/>
              <w:left w:val="nil"/>
              <w:bottom w:val="double" w:sz="6" w:space="0" w:color="auto"/>
              <w:right w:val="double" w:sz="6" w:space="0" w:color="auto"/>
            </w:tcBorders>
            <w:vAlign w:val="center"/>
          </w:tcPr>
          <w:p w14:paraId="7B1F0AE4" w14:textId="2A3F890D" w:rsidR="009B11D0" w:rsidRPr="00EF2F18" w:rsidRDefault="009B11D0" w:rsidP="00752CA0">
            <w:pPr>
              <w:spacing w:after="0"/>
              <w:jc w:val="right"/>
              <w:rPr>
                <w:rFonts w:eastAsia="Times New Roman" w:cs="Times New Roman"/>
                <w:color w:val="000000"/>
                <w:sz w:val="20"/>
                <w:szCs w:val="20"/>
                <w:lang w:val="sr-Cyrl-RS" w:eastAsia="sr-Cyrl-RS"/>
              </w:rPr>
            </w:pPr>
          </w:p>
        </w:tc>
        <w:tc>
          <w:tcPr>
            <w:tcW w:w="2520" w:type="dxa"/>
            <w:tcBorders>
              <w:top w:val="nil"/>
              <w:left w:val="nil"/>
              <w:bottom w:val="double" w:sz="6" w:space="0" w:color="auto"/>
              <w:right w:val="double" w:sz="6" w:space="0" w:color="auto"/>
            </w:tcBorders>
            <w:vAlign w:val="center"/>
          </w:tcPr>
          <w:p w14:paraId="70F1C187" w14:textId="17B5886D" w:rsidR="009B11D0" w:rsidRPr="00EF2F18" w:rsidRDefault="009B11D0" w:rsidP="00752CA0">
            <w:pPr>
              <w:spacing w:after="0"/>
              <w:jc w:val="right"/>
              <w:rPr>
                <w:rFonts w:eastAsia="Times New Roman" w:cs="Times New Roman"/>
                <w:color w:val="000000"/>
                <w:sz w:val="20"/>
                <w:szCs w:val="20"/>
                <w:lang w:val="sr-Cyrl-RS" w:eastAsia="sr-Cyrl-RS"/>
              </w:rPr>
            </w:pPr>
          </w:p>
        </w:tc>
        <w:tc>
          <w:tcPr>
            <w:tcW w:w="2610" w:type="dxa"/>
            <w:tcBorders>
              <w:top w:val="nil"/>
              <w:left w:val="nil"/>
              <w:bottom w:val="double" w:sz="6" w:space="0" w:color="auto"/>
              <w:right w:val="double" w:sz="6" w:space="0" w:color="auto"/>
            </w:tcBorders>
            <w:vAlign w:val="center"/>
          </w:tcPr>
          <w:p w14:paraId="059A4179" w14:textId="76398523" w:rsidR="009B11D0" w:rsidRPr="00EF2F18" w:rsidRDefault="009B11D0" w:rsidP="00752CA0">
            <w:pPr>
              <w:spacing w:after="0"/>
              <w:jc w:val="right"/>
              <w:rPr>
                <w:rFonts w:eastAsia="Times New Roman" w:cs="Times New Roman"/>
                <w:color w:val="000000"/>
                <w:sz w:val="20"/>
                <w:szCs w:val="20"/>
                <w:lang w:val="sr-Cyrl-RS" w:eastAsia="sr-Cyrl-RS"/>
              </w:rPr>
            </w:pPr>
          </w:p>
        </w:tc>
      </w:tr>
    </w:tbl>
    <w:p w14:paraId="4D907A72" w14:textId="77777777" w:rsidR="007D7243" w:rsidRPr="00EF2F18" w:rsidRDefault="007D7243" w:rsidP="007D7243">
      <w:pPr>
        <w:spacing w:after="0"/>
        <w:rPr>
          <w:lang w:val="sr-Cyrl-RS"/>
        </w:rPr>
      </w:pPr>
    </w:p>
    <w:tbl>
      <w:tblPr>
        <w:tblW w:w="13821" w:type="dxa"/>
        <w:tblLook w:val="04A0" w:firstRow="1" w:lastRow="0" w:firstColumn="1" w:lastColumn="0" w:noHBand="0" w:noVBand="1"/>
      </w:tblPr>
      <w:tblGrid>
        <w:gridCol w:w="2806"/>
        <w:gridCol w:w="1250"/>
        <w:gridCol w:w="1273"/>
        <w:gridCol w:w="1182"/>
        <w:gridCol w:w="1691"/>
        <w:gridCol w:w="1441"/>
        <w:gridCol w:w="1332"/>
        <w:gridCol w:w="1260"/>
        <w:gridCol w:w="1350"/>
        <w:gridCol w:w="236"/>
      </w:tblGrid>
      <w:tr w:rsidR="007D7243" w:rsidRPr="00EF2F18" w14:paraId="2BED6341" w14:textId="77777777" w:rsidTr="009B11D0">
        <w:trPr>
          <w:gridAfter w:val="1"/>
          <w:wAfter w:w="236" w:type="dxa"/>
          <w:trHeight w:val="732"/>
        </w:trPr>
        <w:tc>
          <w:tcPr>
            <w:tcW w:w="2806" w:type="dxa"/>
            <w:vMerge w:val="restart"/>
            <w:tcBorders>
              <w:top w:val="single" w:sz="4" w:space="0" w:color="auto"/>
              <w:left w:val="single" w:sz="4" w:space="0" w:color="auto"/>
              <w:bottom w:val="single" w:sz="4" w:space="0" w:color="auto"/>
              <w:right w:val="single" w:sz="4" w:space="0" w:color="auto"/>
            </w:tcBorders>
            <w:shd w:val="clear" w:color="000000" w:fill="FFF2CC"/>
            <w:hideMark/>
          </w:tcPr>
          <w:bookmarkEnd w:id="172"/>
          <w:p w14:paraId="3AB6591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250"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0084432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3"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6D114F2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C15EA5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FCC4EA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41"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5BF1E28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942"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698B9C0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9B11D0" w:rsidRPr="00EF2F18" w14:paraId="0E76AF8A" w14:textId="77777777" w:rsidTr="009B11D0">
        <w:trPr>
          <w:gridAfter w:val="1"/>
          <w:wAfter w:w="236" w:type="dxa"/>
          <w:trHeight w:val="324"/>
        </w:trPr>
        <w:tc>
          <w:tcPr>
            <w:tcW w:w="2806" w:type="dxa"/>
            <w:vMerge/>
            <w:tcBorders>
              <w:top w:val="single" w:sz="4" w:space="0" w:color="auto"/>
              <w:left w:val="single" w:sz="4" w:space="0" w:color="auto"/>
              <w:bottom w:val="single" w:sz="4" w:space="0" w:color="auto"/>
              <w:right w:val="single" w:sz="4" w:space="0" w:color="auto"/>
            </w:tcBorders>
            <w:vAlign w:val="center"/>
            <w:hideMark/>
          </w:tcPr>
          <w:p w14:paraId="4D057C9E"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668AA897"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707297F9"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773D139B"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7D260DBA"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441" w:type="dxa"/>
            <w:vMerge/>
            <w:tcBorders>
              <w:top w:val="single" w:sz="4" w:space="0" w:color="auto"/>
              <w:left w:val="single" w:sz="4" w:space="0" w:color="auto"/>
              <w:bottom w:val="single" w:sz="4" w:space="0" w:color="auto"/>
              <w:right w:val="single" w:sz="4" w:space="0" w:color="auto"/>
            </w:tcBorders>
            <w:vAlign w:val="center"/>
            <w:hideMark/>
          </w:tcPr>
          <w:p w14:paraId="37E9927B"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332" w:type="dxa"/>
            <w:tcBorders>
              <w:top w:val="single" w:sz="4" w:space="0" w:color="auto"/>
              <w:left w:val="single" w:sz="4" w:space="0" w:color="auto"/>
              <w:bottom w:val="single" w:sz="4" w:space="0" w:color="auto"/>
              <w:right w:val="single" w:sz="4" w:space="0" w:color="auto"/>
            </w:tcBorders>
            <w:shd w:val="clear" w:color="000000" w:fill="FFF2CC"/>
            <w:hideMark/>
          </w:tcPr>
          <w:p w14:paraId="5CA9CF63" w14:textId="07894273"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260" w:type="dxa"/>
            <w:tcBorders>
              <w:top w:val="single" w:sz="4" w:space="0" w:color="auto"/>
              <w:left w:val="single" w:sz="4" w:space="0" w:color="auto"/>
              <w:bottom w:val="single" w:sz="4" w:space="0" w:color="auto"/>
              <w:right w:val="single" w:sz="4" w:space="0" w:color="auto"/>
            </w:tcBorders>
            <w:shd w:val="clear" w:color="000000" w:fill="FFF2CC"/>
            <w:hideMark/>
          </w:tcPr>
          <w:p w14:paraId="79860053" w14:textId="62A1EECC"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350" w:type="dxa"/>
            <w:tcBorders>
              <w:top w:val="single" w:sz="4" w:space="0" w:color="auto"/>
              <w:left w:val="single" w:sz="4" w:space="0" w:color="auto"/>
              <w:bottom w:val="single" w:sz="4" w:space="0" w:color="auto"/>
              <w:right w:val="single" w:sz="4" w:space="0" w:color="auto"/>
            </w:tcBorders>
            <w:shd w:val="clear" w:color="000000" w:fill="FFF2CC"/>
            <w:hideMark/>
          </w:tcPr>
          <w:p w14:paraId="24C7578E" w14:textId="7BC1584D" w:rsidR="009B11D0" w:rsidRPr="00EF2F18" w:rsidRDefault="009B11D0"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9B11D0" w:rsidRPr="00EF2F18" w14:paraId="4E5FF168" w14:textId="77777777" w:rsidTr="009B11D0">
        <w:trPr>
          <w:gridAfter w:val="1"/>
          <w:wAfter w:w="236" w:type="dxa"/>
          <w:trHeight w:val="804"/>
        </w:trPr>
        <w:tc>
          <w:tcPr>
            <w:tcW w:w="2806" w:type="dxa"/>
            <w:tcBorders>
              <w:top w:val="single" w:sz="4" w:space="0" w:color="auto"/>
              <w:left w:val="single" w:sz="4" w:space="0" w:color="auto"/>
              <w:bottom w:val="single" w:sz="4" w:space="0" w:color="auto"/>
              <w:right w:val="single" w:sz="4" w:space="0" w:color="auto"/>
            </w:tcBorders>
            <w:hideMark/>
          </w:tcPr>
          <w:p w14:paraId="7A390983"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3.3.1.1. Израда и усвајање Програма заштите земљишта за подручје РС</w:t>
            </w:r>
          </w:p>
        </w:tc>
        <w:tc>
          <w:tcPr>
            <w:tcW w:w="1250" w:type="dxa"/>
            <w:tcBorders>
              <w:top w:val="single" w:sz="4" w:space="0" w:color="auto"/>
              <w:left w:val="single" w:sz="4" w:space="0" w:color="auto"/>
              <w:bottom w:val="single" w:sz="4" w:space="0" w:color="auto"/>
              <w:right w:val="single" w:sz="4" w:space="0" w:color="auto"/>
            </w:tcBorders>
            <w:hideMark/>
          </w:tcPr>
          <w:p w14:paraId="792ED242"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3" w:type="dxa"/>
            <w:tcBorders>
              <w:top w:val="single" w:sz="4" w:space="0" w:color="auto"/>
              <w:left w:val="single" w:sz="4" w:space="0" w:color="auto"/>
              <w:bottom w:val="single" w:sz="4" w:space="0" w:color="auto"/>
              <w:right w:val="single" w:sz="4" w:space="0" w:color="auto"/>
            </w:tcBorders>
            <w:hideMark/>
          </w:tcPr>
          <w:p w14:paraId="14452EEE"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МПШВ, МГСИ, МРЕ</w:t>
            </w:r>
          </w:p>
        </w:tc>
        <w:tc>
          <w:tcPr>
            <w:tcW w:w="1182" w:type="dxa"/>
            <w:tcBorders>
              <w:top w:val="single" w:sz="4" w:space="0" w:color="auto"/>
              <w:left w:val="single" w:sz="4" w:space="0" w:color="auto"/>
              <w:bottom w:val="single" w:sz="4" w:space="0" w:color="auto"/>
              <w:right w:val="single" w:sz="4" w:space="0" w:color="auto"/>
            </w:tcBorders>
            <w:hideMark/>
          </w:tcPr>
          <w:p w14:paraId="0825ACB3" w14:textId="364541AF" w:rsidR="009B11D0" w:rsidRPr="00EF2F18" w:rsidRDefault="009B11D0" w:rsidP="00752CA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2.квартал</w:t>
            </w:r>
          </w:p>
          <w:p w14:paraId="7FABF920" w14:textId="136419C8" w:rsidR="009B11D0" w:rsidRPr="00EF2F18" w:rsidRDefault="009B11D0" w:rsidP="00752CA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2026.</w:t>
            </w:r>
          </w:p>
          <w:p w14:paraId="3D262B2A"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691" w:type="dxa"/>
            <w:tcBorders>
              <w:top w:val="single" w:sz="4" w:space="0" w:color="auto"/>
              <w:left w:val="single" w:sz="4" w:space="0" w:color="auto"/>
              <w:bottom w:val="single" w:sz="4" w:space="0" w:color="auto"/>
              <w:right w:val="single" w:sz="4" w:space="0" w:color="auto"/>
            </w:tcBorders>
            <w:hideMark/>
          </w:tcPr>
          <w:p w14:paraId="7C52C7C4"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41" w:type="dxa"/>
            <w:tcBorders>
              <w:top w:val="single" w:sz="4" w:space="0" w:color="auto"/>
              <w:left w:val="single" w:sz="4" w:space="0" w:color="auto"/>
              <w:bottom w:val="single" w:sz="4" w:space="0" w:color="auto"/>
              <w:right w:val="single" w:sz="4" w:space="0" w:color="auto"/>
            </w:tcBorders>
            <w:hideMark/>
          </w:tcPr>
          <w:p w14:paraId="0EC69E6C"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1332" w:type="dxa"/>
            <w:tcBorders>
              <w:top w:val="single" w:sz="4" w:space="0" w:color="auto"/>
              <w:left w:val="single" w:sz="4" w:space="0" w:color="auto"/>
              <w:bottom w:val="single" w:sz="4" w:space="0" w:color="auto"/>
              <w:right w:val="single" w:sz="4" w:space="0" w:color="auto"/>
            </w:tcBorders>
          </w:tcPr>
          <w:p w14:paraId="5B37D1E5" w14:textId="618B7A49" w:rsidR="009B11D0" w:rsidRPr="00EF2F18" w:rsidRDefault="009B11D0"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077C193C" w14:textId="6FCE89DB" w:rsidR="009B11D0" w:rsidRPr="00EF2F18" w:rsidRDefault="009B11D0" w:rsidP="00752CA0">
            <w:pPr>
              <w:spacing w:after="0"/>
              <w:jc w:val="right"/>
              <w:rPr>
                <w:rFonts w:eastAsia="Times New Roman" w:cs="Times New Roman"/>
                <w:color w:val="000000"/>
                <w:sz w:val="20"/>
                <w:szCs w:val="20"/>
                <w:lang w:val="sr-Cyrl-RS" w:eastAsia="sr-Cyrl-RS"/>
              </w:rPr>
            </w:pPr>
          </w:p>
        </w:tc>
        <w:tc>
          <w:tcPr>
            <w:tcW w:w="1350" w:type="dxa"/>
            <w:tcBorders>
              <w:top w:val="single" w:sz="4" w:space="0" w:color="auto"/>
              <w:left w:val="single" w:sz="4" w:space="0" w:color="auto"/>
              <w:bottom w:val="single" w:sz="4" w:space="0" w:color="auto"/>
              <w:right w:val="single" w:sz="4" w:space="0" w:color="auto"/>
            </w:tcBorders>
          </w:tcPr>
          <w:p w14:paraId="3EE0BA82" w14:textId="6C50B8CD" w:rsidR="009B11D0" w:rsidRPr="00EF2F18" w:rsidRDefault="009B11D0" w:rsidP="00752CA0">
            <w:pPr>
              <w:spacing w:after="0"/>
              <w:jc w:val="right"/>
              <w:rPr>
                <w:rFonts w:eastAsia="Times New Roman" w:cs="Times New Roman"/>
                <w:color w:val="000000"/>
                <w:sz w:val="20"/>
                <w:szCs w:val="20"/>
                <w:lang w:val="sr-Cyrl-RS" w:eastAsia="sr-Cyrl-RS"/>
              </w:rPr>
            </w:pPr>
          </w:p>
        </w:tc>
      </w:tr>
      <w:tr w:rsidR="009B11D0" w:rsidRPr="00EF2F18" w14:paraId="724EC197" w14:textId="77777777" w:rsidTr="009B11D0">
        <w:trPr>
          <w:gridAfter w:val="1"/>
          <w:wAfter w:w="236" w:type="dxa"/>
          <w:trHeight w:val="732"/>
        </w:trPr>
        <w:tc>
          <w:tcPr>
            <w:tcW w:w="2806" w:type="dxa"/>
            <w:vMerge w:val="restart"/>
            <w:tcBorders>
              <w:top w:val="single" w:sz="4" w:space="0" w:color="auto"/>
              <w:left w:val="single" w:sz="4" w:space="0" w:color="auto"/>
              <w:bottom w:val="single" w:sz="4" w:space="0" w:color="auto"/>
              <w:right w:val="single" w:sz="4" w:space="0" w:color="auto"/>
            </w:tcBorders>
            <w:hideMark/>
          </w:tcPr>
          <w:p w14:paraId="51BCF700"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3.3.1.2. Израда и усвајање годишњих програма заштите земљишта на нивоу ЈЛС</w:t>
            </w:r>
          </w:p>
        </w:tc>
        <w:tc>
          <w:tcPr>
            <w:tcW w:w="1250" w:type="dxa"/>
            <w:vMerge w:val="restart"/>
            <w:tcBorders>
              <w:top w:val="single" w:sz="4" w:space="0" w:color="auto"/>
              <w:left w:val="single" w:sz="4" w:space="0" w:color="auto"/>
              <w:bottom w:val="single" w:sz="4" w:space="0" w:color="auto"/>
              <w:right w:val="single" w:sz="4" w:space="0" w:color="auto"/>
            </w:tcBorders>
            <w:hideMark/>
          </w:tcPr>
          <w:p w14:paraId="595C9B22"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3" w:type="dxa"/>
            <w:vMerge w:val="restart"/>
            <w:tcBorders>
              <w:top w:val="single" w:sz="4" w:space="0" w:color="auto"/>
              <w:left w:val="single" w:sz="4" w:space="0" w:color="auto"/>
              <w:bottom w:val="single" w:sz="4" w:space="0" w:color="auto"/>
              <w:right w:val="single" w:sz="4" w:space="0" w:color="auto"/>
            </w:tcBorders>
            <w:hideMark/>
          </w:tcPr>
          <w:p w14:paraId="50B842EA"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МПШВ, МГСИ, МРЕ, ПСУЗЖС, ЈЛС</w:t>
            </w:r>
          </w:p>
        </w:tc>
        <w:tc>
          <w:tcPr>
            <w:tcW w:w="1182" w:type="dxa"/>
            <w:vMerge w:val="restart"/>
            <w:tcBorders>
              <w:top w:val="single" w:sz="4" w:space="0" w:color="auto"/>
              <w:left w:val="single" w:sz="4" w:space="0" w:color="auto"/>
              <w:bottom w:val="single" w:sz="4" w:space="0" w:color="auto"/>
              <w:right w:val="single" w:sz="4" w:space="0" w:color="auto"/>
            </w:tcBorders>
            <w:hideMark/>
          </w:tcPr>
          <w:p w14:paraId="53CE3BCD" w14:textId="6CB6C7AB" w:rsidR="009B11D0" w:rsidRPr="00EF2F18" w:rsidRDefault="009B11D0" w:rsidP="00752CA0">
            <w:pPr>
              <w:spacing w:after="0"/>
              <w:rPr>
                <w:rFonts w:eastAsia="Times New Roman" w:cs="Times New Roman"/>
                <w:strike/>
                <w:sz w:val="20"/>
                <w:szCs w:val="20"/>
                <w:lang w:val="sr-Cyrl-RS" w:eastAsia="sr-Cyrl-RS"/>
              </w:rPr>
            </w:pPr>
          </w:p>
          <w:p w14:paraId="47EBE37F" w14:textId="58216FBD"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4.квартал 2026</w:t>
            </w:r>
          </w:p>
        </w:tc>
        <w:tc>
          <w:tcPr>
            <w:tcW w:w="1691" w:type="dxa"/>
            <w:vMerge w:val="restart"/>
            <w:tcBorders>
              <w:top w:val="single" w:sz="4" w:space="0" w:color="auto"/>
              <w:left w:val="single" w:sz="4" w:space="0" w:color="auto"/>
              <w:bottom w:val="single" w:sz="4" w:space="0" w:color="auto"/>
              <w:right w:val="single" w:sz="4" w:space="0" w:color="auto"/>
            </w:tcBorders>
            <w:hideMark/>
          </w:tcPr>
          <w:p w14:paraId="3F836CD5"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441" w:type="dxa"/>
            <w:vMerge w:val="restart"/>
            <w:tcBorders>
              <w:top w:val="single" w:sz="4" w:space="0" w:color="auto"/>
              <w:left w:val="single" w:sz="4" w:space="0" w:color="auto"/>
              <w:bottom w:val="single" w:sz="4" w:space="0" w:color="auto"/>
              <w:right w:val="single" w:sz="4" w:space="0" w:color="auto"/>
            </w:tcBorders>
            <w:hideMark/>
          </w:tcPr>
          <w:p w14:paraId="2FF2FE39"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332" w:type="dxa"/>
            <w:vMerge w:val="restart"/>
            <w:tcBorders>
              <w:top w:val="single" w:sz="4" w:space="0" w:color="auto"/>
              <w:left w:val="single" w:sz="4" w:space="0" w:color="auto"/>
              <w:bottom w:val="single" w:sz="4" w:space="0" w:color="auto"/>
              <w:right w:val="single" w:sz="4" w:space="0" w:color="auto"/>
            </w:tcBorders>
          </w:tcPr>
          <w:p w14:paraId="294E4E38" w14:textId="1B5F78E2" w:rsidR="009B11D0" w:rsidRPr="00EF2F18" w:rsidRDefault="009B11D0" w:rsidP="00752CA0">
            <w:pPr>
              <w:spacing w:after="0"/>
              <w:jc w:val="right"/>
              <w:rPr>
                <w:rFonts w:eastAsia="Times New Roman" w:cs="Times New Roman"/>
                <w:color w:val="000000"/>
                <w:sz w:val="20"/>
                <w:szCs w:val="20"/>
                <w:lang w:val="sr-Cyrl-RS" w:eastAsia="sr-Cyrl-RS"/>
              </w:rPr>
            </w:pPr>
          </w:p>
        </w:tc>
        <w:tc>
          <w:tcPr>
            <w:tcW w:w="1260" w:type="dxa"/>
            <w:vMerge w:val="restart"/>
            <w:tcBorders>
              <w:top w:val="single" w:sz="4" w:space="0" w:color="auto"/>
              <w:left w:val="single" w:sz="4" w:space="0" w:color="auto"/>
              <w:bottom w:val="single" w:sz="4" w:space="0" w:color="auto"/>
              <w:right w:val="single" w:sz="4" w:space="0" w:color="auto"/>
            </w:tcBorders>
          </w:tcPr>
          <w:p w14:paraId="3C1B7995" w14:textId="3B67E240" w:rsidR="009B11D0" w:rsidRPr="00EF2F18" w:rsidRDefault="009B11D0" w:rsidP="00752CA0">
            <w:pPr>
              <w:spacing w:after="0"/>
              <w:jc w:val="right"/>
              <w:rPr>
                <w:rFonts w:eastAsia="Times New Roman" w:cs="Times New Roman"/>
                <w:color w:val="000000"/>
                <w:sz w:val="20"/>
                <w:szCs w:val="20"/>
                <w:lang w:val="sr-Cyrl-RS" w:eastAsia="sr-Cyrl-RS"/>
              </w:rPr>
            </w:pPr>
          </w:p>
        </w:tc>
        <w:tc>
          <w:tcPr>
            <w:tcW w:w="1350" w:type="dxa"/>
            <w:vMerge w:val="restart"/>
            <w:tcBorders>
              <w:top w:val="single" w:sz="4" w:space="0" w:color="auto"/>
              <w:left w:val="single" w:sz="4" w:space="0" w:color="auto"/>
              <w:bottom w:val="single" w:sz="4" w:space="0" w:color="auto"/>
              <w:right w:val="single" w:sz="4" w:space="0" w:color="auto"/>
            </w:tcBorders>
          </w:tcPr>
          <w:p w14:paraId="05142EA9" w14:textId="14B69467" w:rsidR="009B11D0" w:rsidRPr="00EF2F18" w:rsidRDefault="009B11D0" w:rsidP="00752CA0">
            <w:pPr>
              <w:spacing w:after="0"/>
              <w:jc w:val="right"/>
              <w:rPr>
                <w:rFonts w:eastAsia="Times New Roman" w:cs="Times New Roman"/>
                <w:color w:val="000000"/>
                <w:sz w:val="20"/>
                <w:szCs w:val="20"/>
                <w:lang w:val="sr-Cyrl-RS" w:eastAsia="sr-Cyrl-RS"/>
              </w:rPr>
            </w:pPr>
          </w:p>
        </w:tc>
      </w:tr>
      <w:tr w:rsidR="009B11D0" w:rsidRPr="00EF2F18" w14:paraId="77557AB9" w14:textId="77777777" w:rsidTr="009B11D0">
        <w:trPr>
          <w:trHeight w:val="324"/>
        </w:trPr>
        <w:tc>
          <w:tcPr>
            <w:tcW w:w="2806" w:type="dxa"/>
            <w:vMerge/>
            <w:tcBorders>
              <w:top w:val="single" w:sz="4" w:space="0" w:color="auto"/>
              <w:left w:val="single" w:sz="4" w:space="0" w:color="auto"/>
              <w:bottom w:val="single" w:sz="4" w:space="0" w:color="auto"/>
              <w:right w:val="single" w:sz="4" w:space="0" w:color="auto"/>
            </w:tcBorders>
            <w:vAlign w:val="center"/>
            <w:hideMark/>
          </w:tcPr>
          <w:p w14:paraId="5265A089"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1FCC8A27"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04DCC09B"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23D5A3E5"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55FD5AC3"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441" w:type="dxa"/>
            <w:vMerge/>
            <w:tcBorders>
              <w:top w:val="single" w:sz="4" w:space="0" w:color="auto"/>
              <w:left w:val="single" w:sz="4" w:space="0" w:color="auto"/>
              <w:bottom w:val="single" w:sz="4" w:space="0" w:color="auto"/>
              <w:right w:val="single" w:sz="4" w:space="0" w:color="auto"/>
            </w:tcBorders>
            <w:vAlign w:val="center"/>
            <w:hideMark/>
          </w:tcPr>
          <w:p w14:paraId="738FCB1F"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332" w:type="dxa"/>
            <w:vMerge/>
            <w:tcBorders>
              <w:top w:val="single" w:sz="4" w:space="0" w:color="auto"/>
              <w:left w:val="single" w:sz="4" w:space="0" w:color="auto"/>
              <w:bottom w:val="single" w:sz="4" w:space="0" w:color="auto"/>
              <w:right w:val="single" w:sz="4" w:space="0" w:color="auto"/>
            </w:tcBorders>
            <w:vAlign w:val="center"/>
          </w:tcPr>
          <w:p w14:paraId="65640216" w14:textId="77777777" w:rsidR="009B11D0" w:rsidRPr="00EF2F18" w:rsidRDefault="009B11D0" w:rsidP="00752CA0">
            <w:pPr>
              <w:spacing w:after="0"/>
              <w:jc w:val="right"/>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8B0F483" w14:textId="77777777" w:rsidR="009B11D0" w:rsidRPr="00EF2F18" w:rsidRDefault="009B11D0" w:rsidP="00752CA0">
            <w:pPr>
              <w:spacing w:after="0"/>
              <w:jc w:val="right"/>
              <w:rPr>
                <w:rFonts w:eastAsia="Times New Roman" w:cs="Times New Roman"/>
                <w:color w:val="000000"/>
                <w:sz w:val="20"/>
                <w:szCs w:val="20"/>
                <w:lang w:val="sr-Cyrl-RS" w:eastAsia="sr-Cyrl-R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47A11C5B" w14:textId="77777777" w:rsidR="009B11D0" w:rsidRPr="00EF2F18" w:rsidRDefault="009B11D0" w:rsidP="00752CA0">
            <w:pPr>
              <w:spacing w:after="0"/>
              <w:jc w:val="right"/>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0AC9B5F0" w14:textId="77777777" w:rsidR="009B11D0" w:rsidRPr="00EF2F18" w:rsidRDefault="009B11D0" w:rsidP="00752CA0">
            <w:pPr>
              <w:spacing w:after="0"/>
              <w:rPr>
                <w:rFonts w:eastAsia="Times New Roman" w:cs="Times New Roman"/>
                <w:color w:val="000000"/>
                <w:sz w:val="20"/>
                <w:szCs w:val="20"/>
                <w:lang w:val="sr-Cyrl-RS" w:eastAsia="sr-Cyrl-RS"/>
              </w:rPr>
            </w:pPr>
          </w:p>
        </w:tc>
      </w:tr>
      <w:tr w:rsidR="009B11D0" w:rsidRPr="00EF2F18" w14:paraId="2F19B351" w14:textId="77777777" w:rsidTr="009B11D0">
        <w:trPr>
          <w:trHeight w:val="1596"/>
        </w:trPr>
        <w:tc>
          <w:tcPr>
            <w:tcW w:w="2806" w:type="dxa"/>
            <w:tcBorders>
              <w:top w:val="single" w:sz="4" w:space="0" w:color="auto"/>
              <w:left w:val="single" w:sz="4" w:space="0" w:color="auto"/>
              <w:bottom w:val="single" w:sz="4" w:space="0" w:color="auto"/>
              <w:right w:val="single" w:sz="4" w:space="0" w:color="auto"/>
            </w:tcBorders>
            <w:hideMark/>
          </w:tcPr>
          <w:p w14:paraId="2551F070"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3.3.1.3. Праћење спровођења годишњих програма заштите земљишта на нивоу ЈЛС</w:t>
            </w:r>
          </w:p>
        </w:tc>
        <w:tc>
          <w:tcPr>
            <w:tcW w:w="1250" w:type="dxa"/>
            <w:tcBorders>
              <w:top w:val="single" w:sz="4" w:space="0" w:color="auto"/>
              <w:left w:val="single" w:sz="4" w:space="0" w:color="auto"/>
              <w:bottom w:val="single" w:sz="4" w:space="0" w:color="auto"/>
              <w:right w:val="single" w:sz="4" w:space="0" w:color="auto"/>
            </w:tcBorders>
            <w:hideMark/>
          </w:tcPr>
          <w:p w14:paraId="5381BB73"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3" w:type="dxa"/>
            <w:tcBorders>
              <w:top w:val="single" w:sz="4" w:space="0" w:color="auto"/>
              <w:left w:val="single" w:sz="4" w:space="0" w:color="auto"/>
              <w:bottom w:val="single" w:sz="4" w:space="0" w:color="auto"/>
              <w:right w:val="single" w:sz="4" w:space="0" w:color="auto"/>
            </w:tcBorders>
            <w:hideMark/>
          </w:tcPr>
          <w:p w14:paraId="3300FE8C"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ПСУЗЖС, ЈЛС, правна и физичка лица изабрана у складу са законом</w:t>
            </w:r>
          </w:p>
        </w:tc>
        <w:tc>
          <w:tcPr>
            <w:tcW w:w="1182" w:type="dxa"/>
            <w:tcBorders>
              <w:top w:val="single" w:sz="4" w:space="0" w:color="auto"/>
              <w:left w:val="single" w:sz="4" w:space="0" w:color="auto"/>
              <w:bottom w:val="single" w:sz="4" w:space="0" w:color="auto"/>
              <w:right w:val="single" w:sz="4" w:space="0" w:color="auto"/>
            </w:tcBorders>
            <w:hideMark/>
          </w:tcPr>
          <w:p w14:paraId="48321D8C" w14:textId="69DE2CA8"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tcBorders>
              <w:top w:val="single" w:sz="4" w:space="0" w:color="auto"/>
              <w:left w:val="single" w:sz="4" w:space="0" w:color="auto"/>
              <w:bottom w:val="single" w:sz="4" w:space="0" w:color="auto"/>
              <w:right w:val="single" w:sz="4" w:space="0" w:color="auto"/>
            </w:tcBorders>
            <w:hideMark/>
          </w:tcPr>
          <w:p w14:paraId="45A451C9" w14:textId="77777777" w:rsidR="009B11D0" w:rsidRPr="00EF2F18" w:rsidRDefault="009B11D0"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441" w:type="dxa"/>
            <w:tcBorders>
              <w:top w:val="single" w:sz="4" w:space="0" w:color="auto"/>
              <w:left w:val="single" w:sz="4" w:space="0" w:color="auto"/>
              <w:bottom w:val="single" w:sz="4" w:space="0" w:color="auto"/>
              <w:right w:val="single" w:sz="4" w:space="0" w:color="auto"/>
            </w:tcBorders>
            <w:hideMark/>
          </w:tcPr>
          <w:p w14:paraId="4BE26243" w14:textId="77777777" w:rsidR="009B11D0" w:rsidRPr="00EF2F18" w:rsidRDefault="009B11D0" w:rsidP="00752CA0">
            <w:pPr>
              <w:spacing w:after="0"/>
              <w:rPr>
                <w:rFonts w:eastAsia="Times New Roman" w:cs="Times New Roman"/>
                <w:color w:val="000000"/>
                <w:sz w:val="20"/>
                <w:szCs w:val="20"/>
                <w:lang w:val="sr-Cyrl-RS" w:eastAsia="sr-Cyrl-RS"/>
              </w:rPr>
            </w:pPr>
          </w:p>
        </w:tc>
        <w:tc>
          <w:tcPr>
            <w:tcW w:w="1332" w:type="dxa"/>
            <w:tcBorders>
              <w:top w:val="single" w:sz="4" w:space="0" w:color="auto"/>
              <w:left w:val="single" w:sz="4" w:space="0" w:color="auto"/>
              <w:bottom w:val="single" w:sz="4" w:space="0" w:color="auto"/>
              <w:right w:val="single" w:sz="4" w:space="0" w:color="auto"/>
            </w:tcBorders>
          </w:tcPr>
          <w:p w14:paraId="2DBA17DC" w14:textId="35FEAECF" w:rsidR="009B11D0" w:rsidRPr="00EF2F18" w:rsidRDefault="009B11D0"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57320F2A" w14:textId="1A39C9C8" w:rsidR="009B11D0" w:rsidRPr="00EF2F18" w:rsidRDefault="009B11D0" w:rsidP="00752CA0">
            <w:pPr>
              <w:spacing w:after="0"/>
              <w:jc w:val="right"/>
              <w:rPr>
                <w:rFonts w:eastAsia="Times New Roman" w:cs="Times New Roman"/>
                <w:color w:val="000000"/>
                <w:sz w:val="20"/>
                <w:szCs w:val="20"/>
                <w:lang w:val="sr-Cyrl-RS" w:eastAsia="sr-Cyrl-RS"/>
              </w:rPr>
            </w:pPr>
          </w:p>
        </w:tc>
        <w:tc>
          <w:tcPr>
            <w:tcW w:w="1350" w:type="dxa"/>
            <w:tcBorders>
              <w:top w:val="single" w:sz="4" w:space="0" w:color="auto"/>
              <w:left w:val="single" w:sz="4" w:space="0" w:color="auto"/>
              <w:bottom w:val="single" w:sz="4" w:space="0" w:color="auto"/>
              <w:right w:val="single" w:sz="4" w:space="0" w:color="auto"/>
            </w:tcBorders>
          </w:tcPr>
          <w:p w14:paraId="367C9999" w14:textId="69DB3980" w:rsidR="009B11D0" w:rsidRPr="00EF2F18" w:rsidRDefault="009B11D0"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651D462A" w14:textId="77777777" w:rsidR="009B11D0" w:rsidRPr="00EF2F18" w:rsidRDefault="009B11D0" w:rsidP="00752CA0">
            <w:pPr>
              <w:spacing w:after="0"/>
              <w:rPr>
                <w:rFonts w:eastAsia="Times New Roman" w:cs="Times New Roman"/>
                <w:sz w:val="20"/>
                <w:szCs w:val="20"/>
                <w:lang w:val="sr-Cyrl-RS" w:eastAsia="sr-Cyrl-RS"/>
              </w:rPr>
            </w:pPr>
          </w:p>
        </w:tc>
      </w:tr>
    </w:tbl>
    <w:p w14:paraId="08010026" w14:textId="77777777" w:rsidR="007D7243" w:rsidRPr="00EF2F18" w:rsidRDefault="007D7243" w:rsidP="007D7243">
      <w:pPr>
        <w:tabs>
          <w:tab w:val="left" w:pos="1940"/>
        </w:tabs>
        <w:spacing w:after="0"/>
        <w:rPr>
          <w:rFonts w:cs="Times New Roman"/>
          <w:sz w:val="20"/>
          <w:szCs w:val="20"/>
          <w:lang w:val="sr-Cyrl-RS"/>
        </w:rPr>
      </w:pPr>
    </w:p>
    <w:tbl>
      <w:tblPr>
        <w:tblW w:w="13803" w:type="dxa"/>
        <w:tblCellMar>
          <w:top w:w="15" w:type="dxa"/>
        </w:tblCellMar>
        <w:tblLook w:val="04A0" w:firstRow="1" w:lastRow="0" w:firstColumn="1" w:lastColumn="0" w:noHBand="0" w:noVBand="1"/>
      </w:tblPr>
      <w:tblGrid>
        <w:gridCol w:w="3376"/>
        <w:gridCol w:w="1265"/>
        <w:gridCol w:w="1266"/>
        <w:gridCol w:w="984"/>
        <w:gridCol w:w="967"/>
        <w:gridCol w:w="1485"/>
        <w:gridCol w:w="1055"/>
        <w:gridCol w:w="1055"/>
        <w:gridCol w:w="2114"/>
        <w:gridCol w:w="236"/>
      </w:tblGrid>
      <w:tr w:rsidR="007D7243" w:rsidRPr="00EF2F18" w14:paraId="30625A47" w14:textId="77777777" w:rsidTr="007F156F">
        <w:trPr>
          <w:gridAfter w:val="1"/>
          <w:wAfter w:w="235" w:type="dxa"/>
          <w:trHeight w:val="336"/>
        </w:trPr>
        <w:tc>
          <w:tcPr>
            <w:tcW w:w="13568"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296F5D7D"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3.3.2: Успостављање и спровођење систематског праћења стања и квалитета земљишта</w:t>
            </w:r>
          </w:p>
        </w:tc>
      </w:tr>
      <w:tr w:rsidR="007D7243" w:rsidRPr="00EF2F18" w14:paraId="2FD1E0EC" w14:textId="77777777" w:rsidTr="007F156F">
        <w:trPr>
          <w:gridAfter w:val="1"/>
          <w:wAfter w:w="235" w:type="dxa"/>
          <w:trHeight w:val="336"/>
        </w:trPr>
        <w:tc>
          <w:tcPr>
            <w:tcW w:w="13568"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482E35C7"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37F85C37" w14:textId="77777777" w:rsidTr="007F156F">
        <w:trPr>
          <w:gridAfter w:val="1"/>
          <w:wAfter w:w="235" w:type="dxa"/>
          <w:trHeight w:val="336"/>
        </w:trPr>
        <w:tc>
          <w:tcPr>
            <w:tcW w:w="6892"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21AE781B" w14:textId="116443C3"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7F156F"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676"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3D426A6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p>
        </w:tc>
      </w:tr>
      <w:tr w:rsidR="007D7243" w:rsidRPr="00EF2F18" w14:paraId="54727763" w14:textId="77777777" w:rsidTr="007F156F">
        <w:trPr>
          <w:gridAfter w:val="1"/>
          <w:wAfter w:w="235" w:type="dxa"/>
          <w:trHeight w:val="792"/>
        </w:trPr>
        <w:tc>
          <w:tcPr>
            <w:tcW w:w="6892"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4DF6744F"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76"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02D8DBBC" w14:textId="77777777" w:rsidR="007D7243" w:rsidRPr="00EF2F18" w:rsidRDefault="007D7243" w:rsidP="00313E8E">
            <w:pPr>
              <w:pStyle w:val="ListParagraph"/>
              <w:numPr>
                <w:ilvl w:val="0"/>
                <w:numId w:val="66"/>
              </w:numPr>
              <w:spacing w:after="0"/>
              <w:ind w:left="496" w:hanging="283"/>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Усклађивање Програма мониторинга земљишта на нивоу локалне мреже (који доноси надлежни орган аутономне покрајине и јединице локалне самоуправе), са Програмом мониторинга земљишта на нивоу државне мреже</w:t>
            </w:r>
          </w:p>
        </w:tc>
      </w:tr>
      <w:tr w:rsidR="007F156F" w:rsidRPr="00EF2F18" w14:paraId="786DE87B" w14:textId="77777777" w:rsidTr="007F156F">
        <w:trPr>
          <w:gridAfter w:val="1"/>
          <w:wAfter w:w="236" w:type="dxa"/>
          <w:trHeight w:val="816"/>
        </w:trPr>
        <w:tc>
          <w:tcPr>
            <w:tcW w:w="3377" w:type="dxa"/>
            <w:tcBorders>
              <w:top w:val="nil"/>
              <w:left w:val="double" w:sz="6" w:space="0" w:color="auto"/>
              <w:bottom w:val="double" w:sz="6" w:space="0" w:color="auto"/>
              <w:right w:val="single" w:sz="8" w:space="0" w:color="auto"/>
            </w:tcBorders>
            <w:shd w:val="clear" w:color="000000" w:fill="D9D9D9"/>
            <w:hideMark/>
          </w:tcPr>
          <w:p w14:paraId="465B04BB"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65" w:type="dxa"/>
            <w:tcBorders>
              <w:top w:val="nil"/>
              <w:left w:val="nil"/>
              <w:bottom w:val="double" w:sz="6" w:space="0" w:color="auto"/>
              <w:right w:val="single" w:sz="8" w:space="0" w:color="auto"/>
            </w:tcBorders>
            <w:shd w:val="clear" w:color="000000" w:fill="D9D9D9"/>
            <w:hideMark/>
          </w:tcPr>
          <w:p w14:paraId="2CD15CC4"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66" w:type="dxa"/>
            <w:tcBorders>
              <w:top w:val="nil"/>
              <w:left w:val="nil"/>
              <w:bottom w:val="double" w:sz="6" w:space="0" w:color="auto"/>
              <w:right w:val="single" w:sz="8" w:space="0" w:color="auto"/>
            </w:tcBorders>
            <w:shd w:val="clear" w:color="000000" w:fill="D9D9D9"/>
            <w:hideMark/>
          </w:tcPr>
          <w:p w14:paraId="76E09514"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951" w:type="dxa"/>
            <w:gridSpan w:val="2"/>
            <w:tcBorders>
              <w:top w:val="double" w:sz="6" w:space="0" w:color="auto"/>
              <w:left w:val="nil"/>
              <w:bottom w:val="double" w:sz="6" w:space="0" w:color="auto"/>
              <w:right w:val="single" w:sz="8" w:space="0" w:color="000000"/>
            </w:tcBorders>
            <w:shd w:val="clear" w:color="000000" w:fill="D9D9D9"/>
            <w:hideMark/>
          </w:tcPr>
          <w:p w14:paraId="20C42437"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85" w:type="dxa"/>
            <w:tcBorders>
              <w:top w:val="nil"/>
              <w:left w:val="nil"/>
              <w:bottom w:val="double" w:sz="6" w:space="0" w:color="auto"/>
              <w:right w:val="single" w:sz="8" w:space="0" w:color="auto"/>
            </w:tcBorders>
            <w:shd w:val="clear" w:color="000000" w:fill="D9D9D9"/>
            <w:hideMark/>
          </w:tcPr>
          <w:p w14:paraId="1FAE26E0"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055" w:type="dxa"/>
            <w:tcBorders>
              <w:top w:val="nil"/>
              <w:left w:val="nil"/>
              <w:bottom w:val="double" w:sz="6" w:space="0" w:color="auto"/>
              <w:right w:val="single" w:sz="4" w:space="0" w:color="auto"/>
            </w:tcBorders>
            <w:shd w:val="clear" w:color="000000" w:fill="D9D9D9"/>
            <w:hideMark/>
          </w:tcPr>
          <w:p w14:paraId="2975B1F9"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055" w:type="dxa"/>
            <w:tcBorders>
              <w:top w:val="single" w:sz="4" w:space="0" w:color="auto"/>
              <w:left w:val="single" w:sz="4" w:space="0" w:color="auto"/>
              <w:bottom w:val="double" w:sz="6" w:space="0" w:color="auto"/>
              <w:right w:val="single" w:sz="8" w:space="0" w:color="auto"/>
            </w:tcBorders>
            <w:shd w:val="clear" w:color="000000" w:fill="D9D9D9"/>
            <w:hideMark/>
          </w:tcPr>
          <w:p w14:paraId="23397965"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2113" w:type="dxa"/>
            <w:tcBorders>
              <w:top w:val="nil"/>
              <w:left w:val="nil"/>
              <w:bottom w:val="double" w:sz="6" w:space="0" w:color="auto"/>
              <w:right w:val="double" w:sz="6" w:space="0" w:color="auto"/>
            </w:tcBorders>
            <w:shd w:val="clear" w:color="000000" w:fill="D9D9D9"/>
            <w:hideMark/>
          </w:tcPr>
          <w:p w14:paraId="6EF2ECA8"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7F156F" w:rsidRPr="00EF2F18" w14:paraId="29F320A9" w14:textId="77777777" w:rsidTr="007F156F">
        <w:trPr>
          <w:gridAfter w:val="1"/>
          <w:wAfter w:w="236" w:type="dxa"/>
          <w:trHeight w:val="684"/>
        </w:trPr>
        <w:tc>
          <w:tcPr>
            <w:tcW w:w="3377"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B7CB5D7" w14:textId="77777777" w:rsidR="007F156F" w:rsidRPr="00EF2F18" w:rsidRDefault="007F156F"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Удео дефинисаних мерних места на којима је спроведен мониторинг земљишта (на локалном и државном нивоу)</w:t>
            </w:r>
          </w:p>
        </w:tc>
        <w:tc>
          <w:tcPr>
            <w:tcW w:w="126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A58B605" w14:textId="77777777" w:rsidR="007F156F" w:rsidRPr="00EF2F18" w:rsidRDefault="007F156F"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66"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84BD181"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стању животне средине у РС</w:t>
            </w:r>
          </w:p>
        </w:tc>
        <w:tc>
          <w:tcPr>
            <w:tcW w:w="1951" w:type="dxa"/>
            <w:gridSpan w:val="2"/>
            <w:vMerge w:val="restart"/>
            <w:tcBorders>
              <w:top w:val="double" w:sz="6" w:space="0" w:color="auto"/>
              <w:left w:val="double" w:sz="6" w:space="0" w:color="auto"/>
              <w:bottom w:val="double" w:sz="6" w:space="0" w:color="auto"/>
              <w:right w:val="double" w:sz="6" w:space="0" w:color="auto"/>
            </w:tcBorders>
            <w:shd w:val="clear" w:color="000000" w:fill="FFFFFF"/>
            <w:hideMark/>
          </w:tcPr>
          <w:p w14:paraId="3FB12D16"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48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B1B7C10"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05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4CC1529"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w:t>
            </w:r>
          </w:p>
        </w:tc>
        <w:tc>
          <w:tcPr>
            <w:tcW w:w="105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4548643"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w:t>
            </w:r>
          </w:p>
        </w:tc>
        <w:tc>
          <w:tcPr>
            <w:tcW w:w="2113"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9AF6CF1" w14:textId="77777777"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w:t>
            </w:r>
          </w:p>
        </w:tc>
      </w:tr>
      <w:tr w:rsidR="007F156F" w:rsidRPr="00EF2F18" w14:paraId="12FA1FA3" w14:textId="77777777" w:rsidTr="007F156F">
        <w:trPr>
          <w:trHeight w:val="312"/>
        </w:trPr>
        <w:tc>
          <w:tcPr>
            <w:tcW w:w="3377" w:type="dxa"/>
            <w:vMerge/>
            <w:tcBorders>
              <w:top w:val="double" w:sz="6" w:space="0" w:color="auto"/>
              <w:left w:val="double" w:sz="6" w:space="0" w:color="auto"/>
              <w:bottom w:val="double" w:sz="6" w:space="0" w:color="000000"/>
              <w:right w:val="double" w:sz="6" w:space="0" w:color="auto"/>
            </w:tcBorders>
            <w:vAlign w:val="center"/>
            <w:hideMark/>
          </w:tcPr>
          <w:p w14:paraId="6F38B554"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6D9151B9"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266" w:type="dxa"/>
            <w:vMerge/>
            <w:tcBorders>
              <w:top w:val="double" w:sz="6" w:space="0" w:color="auto"/>
              <w:left w:val="double" w:sz="6" w:space="0" w:color="auto"/>
              <w:bottom w:val="double" w:sz="6" w:space="0" w:color="auto"/>
              <w:right w:val="double" w:sz="6" w:space="0" w:color="auto"/>
            </w:tcBorders>
            <w:vAlign w:val="center"/>
            <w:hideMark/>
          </w:tcPr>
          <w:p w14:paraId="7AF909EF"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951" w:type="dxa"/>
            <w:gridSpan w:val="2"/>
            <w:vMerge/>
            <w:tcBorders>
              <w:top w:val="double" w:sz="6" w:space="0" w:color="auto"/>
              <w:left w:val="double" w:sz="6" w:space="0" w:color="auto"/>
              <w:bottom w:val="double" w:sz="6" w:space="0" w:color="auto"/>
              <w:right w:val="double" w:sz="6" w:space="0" w:color="auto"/>
            </w:tcBorders>
            <w:vAlign w:val="center"/>
            <w:hideMark/>
          </w:tcPr>
          <w:p w14:paraId="3EFF0D09"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485" w:type="dxa"/>
            <w:vMerge/>
            <w:tcBorders>
              <w:top w:val="double" w:sz="6" w:space="0" w:color="auto"/>
              <w:left w:val="double" w:sz="6" w:space="0" w:color="auto"/>
              <w:bottom w:val="double" w:sz="6" w:space="0" w:color="auto"/>
              <w:right w:val="double" w:sz="6" w:space="0" w:color="auto"/>
            </w:tcBorders>
            <w:vAlign w:val="center"/>
            <w:hideMark/>
          </w:tcPr>
          <w:p w14:paraId="59A3EBCF"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055" w:type="dxa"/>
            <w:vMerge/>
            <w:tcBorders>
              <w:top w:val="double" w:sz="6" w:space="0" w:color="auto"/>
              <w:left w:val="double" w:sz="6" w:space="0" w:color="auto"/>
              <w:bottom w:val="double" w:sz="6" w:space="0" w:color="auto"/>
              <w:right w:val="double" w:sz="6" w:space="0" w:color="auto"/>
            </w:tcBorders>
            <w:vAlign w:val="center"/>
            <w:hideMark/>
          </w:tcPr>
          <w:p w14:paraId="38A3F34C"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055" w:type="dxa"/>
            <w:vMerge/>
            <w:tcBorders>
              <w:top w:val="double" w:sz="6" w:space="0" w:color="auto"/>
              <w:left w:val="double" w:sz="6" w:space="0" w:color="auto"/>
              <w:bottom w:val="double" w:sz="6" w:space="0" w:color="auto"/>
              <w:right w:val="double" w:sz="6" w:space="0" w:color="auto"/>
            </w:tcBorders>
            <w:vAlign w:val="center"/>
            <w:hideMark/>
          </w:tcPr>
          <w:p w14:paraId="04B97757"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2113" w:type="dxa"/>
            <w:vMerge/>
            <w:tcBorders>
              <w:top w:val="double" w:sz="6" w:space="0" w:color="auto"/>
              <w:left w:val="double" w:sz="6" w:space="0" w:color="auto"/>
              <w:bottom w:val="double" w:sz="6" w:space="0" w:color="auto"/>
              <w:right w:val="double" w:sz="6" w:space="0" w:color="auto"/>
            </w:tcBorders>
            <w:vAlign w:val="center"/>
            <w:hideMark/>
          </w:tcPr>
          <w:p w14:paraId="5A24038B"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236" w:type="dxa"/>
            <w:tcBorders>
              <w:top w:val="nil"/>
              <w:left w:val="nil"/>
              <w:bottom w:val="nil"/>
              <w:right w:val="nil"/>
            </w:tcBorders>
            <w:noWrap/>
            <w:vAlign w:val="bottom"/>
            <w:hideMark/>
          </w:tcPr>
          <w:p w14:paraId="32A8DB84" w14:textId="77777777" w:rsidR="007F156F" w:rsidRPr="00EF2F18" w:rsidRDefault="007F156F" w:rsidP="00752CA0">
            <w:pPr>
              <w:spacing w:after="0"/>
              <w:jc w:val="center"/>
              <w:rPr>
                <w:rFonts w:eastAsia="Times New Roman" w:cs="Times New Roman"/>
                <w:color w:val="000000"/>
                <w:sz w:val="20"/>
                <w:szCs w:val="20"/>
                <w:lang w:val="sr-Cyrl-RS" w:eastAsia="sr-Cyrl-RS"/>
              </w:rPr>
            </w:pPr>
          </w:p>
        </w:tc>
      </w:tr>
      <w:tr w:rsidR="007F156F" w:rsidRPr="00EF2F18" w14:paraId="5F52C458" w14:textId="77777777" w:rsidTr="007F156F">
        <w:trPr>
          <w:trHeight w:val="324"/>
        </w:trPr>
        <w:tc>
          <w:tcPr>
            <w:tcW w:w="3377" w:type="dxa"/>
            <w:vMerge/>
            <w:tcBorders>
              <w:top w:val="nil"/>
              <w:left w:val="double" w:sz="6" w:space="0" w:color="auto"/>
              <w:bottom w:val="double" w:sz="6" w:space="0" w:color="000000"/>
              <w:right w:val="double" w:sz="6" w:space="0" w:color="auto"/>
            </w:tcBorders>
            <w:vAlign w:val="center"/>
            <w:hideMark/>
          </w:tcPr>
          <w:p w14:paraId="209C6B09"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2BC3024D"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266" w:type="dxa"/>
            <w:vMerge/>
            <w:tcBorders>
              <w:top w:val="double" w:sz="6" w:space="0" w:color="auto"/>
              <w:left w:val="double" w:sz="6" w:space="0" w:color="auto"/>
              <w:bottom w:val="double" w:sz="6" w:space="0" w:color="auto"/>
              <w:right w:val="double" w:sz="6" w:space="0" w:color="auto"/>
            </w:tcBorders>
            <w:vAlign w:val="center"/>
            <w:hideMark/>
          </w:tcPr>
          <w:p w14:paraId="733C0921"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951" w:type="dxa"/>
            <w:gridSpan w:val="2"/>
            <w:vMerge/>
            <w:tcBorders>
              <w:top w:val="double" w:sz="6" w:space="0" w:color="auto"/>
              <w:left w:val="double" w:sz="6" w:space="0" w:color="auto"/>
              <w:bottom w:val="double" w:sz="6" w:space="0" w:color="auto"/>
              <w:right w:val="double" w:sz="6" w:space="0" w:color="auto"/>
            </w:tcBorders>
            <w:vAlign w:val="center"/>
            <w:hideMark/>
          </w:tcPr>
          <w:p w14:paraId="613729ED"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485" w:type="dxa"/>
            <w:vMerge/>
            <w:tcBorders>
              <w:top w:val="double" w:sz="6" w:space="0" w:color="auto"/>
              <w:left w:val="double" w:sz="6" w:space="0" w:color="auto"/>
              <w:bottom w:val="double" w:sz="6" w:space="0" w:color="auto"/>
              <w:right w:val="double" w:sz="6" w:space="0" w:color="auto"/>
            </w:tcBorders>
            <w:vAlign w:val="center"/>
            <w:hideMark/>
          </w:tcPr>
          <w:p w14:paraId="1C505B84"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055" w:type="dxa"/>
            <w:vMerge/>
            <w:tcBorders>
              <w:top w:val="double" w:sz="6" w:space="0" w:color="auto"/>
              <w:left w:val="double" w:sz="6" w:space="0" w:color="auto"/>
              <w:bottom w:val="double" w:sz="6" w:space="0" w:color="auto"/>
              <w:right w:val="double" w:sz="6" w:space="0" w:color="auto"/>
            </w:tcBorders>
            <w:vAlign w:val="center"/>
            <w:hideMark/>
          </w:tcPr>
          <w:p w14:paraId="3D8BF773"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1055" w:type="dxa"/>
            <w:vMerge/>
            <w:tcBorders>
              <w:top w:val="double" w:sz="6" w:space="0" w:color="auto"/>
              <w:left w:val="double" w:sz="6" w:space="0" w:color="auto"/>
              <w:bottom w:val="double" w:sz="6" w:space="0" w:color="auto"/>
              <w:right w:val="double" w:sz="6" w:space="0" w:color="auto"/>
            </w:tcBorders>
            <w:vAlign w:val="center"/>
            <w:hideMark/>
          </w:tcPr>
          <w:p w14:paraId="3DA0CCCC"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2113" w:type="dxa"/>
            <w:vMerge/>
            <w:tcBorders>
              <w:top w:val="double" w:sz="6" w:space="0" w:color="auto"/>
              <w:left w:val="double" w:sz="6" w:space="0" w:color="auto"/>
              <w:bottom w:val="double" w:sz="6" w:space="0" w:color="auto"/>
              <w:right w:val="double" w:sz="6" w:space="0" w:color="auto"/>
            </w:tcBorders>
            <w:vAlign w:val="center"/>
            <w:hideMark/>
          </w:tcPr>
          <w:p w14:paraId="5CDD75AA"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236" w:type="dxa"/>
            <w:tcBorders>
              <w:top w:val="nil"/>
              <w:left w:val="nil"/>
              <w:bottom w:val="nil"/>
              <w:right w:val="nil"/>
            </w:tcBorders>
            <w:noWrap/>
            <w:vAlign w:val="bottom"/>
            <w:hideMark/>
          </w:tcPr>
          <w:p w14:paraId="36F7E681" w14:textId="77777777" w:rsidR="007F156F" w:rsidRPr="00EF2F18" w:rsidRDefault="007F156F" w:rsidP="00752CA0">
            <w:pPr>
              <w:spacing w:after="0"/>
              <w:rPr>
                <w:rFonts w:eastAsia="Times New Roman" w:cs="Times New Roman"/>
                <w:sz w:val="20"/>
                <w:szCs w:val="20"/>
                <w:lang w:val="sr-Cyrl-RS" w:eastAsia="sr-Cyrl-RS"/>
              </w:rPr>
            </w:pPr>
          </w:p>
        </w:tc>
      </w:tr>
    </w:tbl>
    <w:p w14:paraId="054349E0" w14:textId="171DDCBD" w:rsidR="007D7243" w:rsidRDefault="007D7243" w:rsidP="007D7243">
      <w:pPr>
        <w:spacing w:after="0"/>
        <w:rPr>
          <w:lang w:val="sr-Cyrl-RS"/>
        </w:rPr>
      </w:pPr>
    </w:p>
    <w:p w14:paraId="6FA9F296" w14:textId="77777777" w:rsidR="008D5ABD" w:rsidRPr="00EF2F18" w:rsidRDefault="008D5ABD" w:rsidP="007D7243">
      <w:pPr>
        <w:spacing w:after="0"/>
        <w:rPr>
          <w:lang w:val="sr-Cyrl-RS"/>
        </w:rPr>
      </w:pPr>
    </w:p>
    <w:tbl>
      <w:tblPr>
        <w:tblW w:w="1356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0"/>
        <w:gridCol w:w="2480"/>
        <w:gridCol w:w="2517"/>
        <w:gridCol w:w="2340"/>
        <w:gridCol w:w="2423"/>
        <w:gridCol w:w="7"/>
      </w:tblGrid>
      <w:tr w:rsidR="007D7243" w:rsidRPr="00EF2F18" w14:paraId="2E9F8B9B" w14:textId="77777777" w:rsidTr="007F156F">
        <w:trPr>
          <w:gridAfter w:val="1"/>
          <w:wAfter w:w="7" w:type="dxa"/>
          <w:trHeight w:val="336"/>
        </w:trPr>
        <w:tc>
          <w:tcPr>
            <w:tcW w:w="3800" w:type="dxa"/>
            <w:vMerge w:val="restart"/>
            <w:shd w:val="clear" w:color="000000" w:fill="A8D08D"/>
            <w:hideMark/>
          </w:tcPr>
          <w:p w14:paraId="0175CB0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shd w:val="clear" w:color="000000" w:fill="A8D08D"/>
            <w:hideMark/>
          </w:tcPr>
          <w:p w14:paraId="1EFB7FC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shd w:val="clear" w:color="000000" w:fill="A8D08D"/>
            <w:hideMark/>
          </w:tcPr>
          <w:p w14:paraId="3162994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7F156F" w:rsidRPr="00EF2F18" w14:paraId="25C8575D" w14:textId="77777777" w:rsidTr="007F156F">
        <w:trPr>
          <w:trHeight w:val="336"/>
        </w:trPr>
        <w:tc>
          <w:tcPr>
            <w:tcW w:w="3800" w:type="dxa"/>
            <w:vMerge/>
            <w:vAlign w:val="center"/>
            <w:hideMark/>
          </w:tcPr>
          <w:p w14:paraId="39BB81BA"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2480" w:type="dxa"/>
            <w:vMerge/>
            <w:vAlign w:val="center"/>
            <w:hideMark/>
          </w:tcPr>
          <w:p w14:paraId="696C988B" w14:textId="77777777" w:rsidR="007F156F" w:rsidRPr="00EF2F18" w:rsidRDefault="007F156F" w:rsidP="00752CA0">
            <w:pPr>
              <w:spacing w:after="0"/>
              <w:rPr>
                <w:rFonts w:eastAsia="Times New Roman" w:cs="Times New Roman"/>
                <w:color w:val="000000"/>
                <w:sz w:val="20"/>
                <w:szCs w:val="20"/>
                <w:lang w:val="sr-Cyrl-RS" w:eastAsia="sr-Cyrl-RS"/>
              </w:rPr>
            </w:pPr>
          </w:p>
        </w:tc>
        <w:tc>
          <w:tcPr>
            <w:tcW w:w="2517" w:type="dxa"/>
            <w:shd w:val="clear" w:color="000000" w:fill="A8D08D"/>
            <w:hideMark/>
          </w:tcPr>
          <w:p w14:paraId="534E8443" w14:textId="6F531DB6"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340" w:type="dxa"/>
            <w:shd w:val="clear" w:color="000000" w:fill="A8D08D"/>
            <w:hideMark/>
          </w:tcPr>
          <w:p w14:paraId="0634EC7D" w14:textId="65FE0AE9"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 године</w:t>
            </w:r>
          </w:p>
        </w:tc>
        <w:tc>
          <w:tcPr>
            <w:tcW w:w="2430" w:type="dxa"/>
            <w:gridSpan w:val="2"/>
            <w:shd w:val="clear" w:color="000000" w:fill="A8D08D"/>
            <w:hideMark/>
          </w:tcPr>
          <w:p w14:paraId="37612B56" w14:textId="5BB1331D" w:rsidR="007F156F" w:rsidRPr="00EF2F18" w:rsidRDefault="007F156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7F156F" w:rsidRPr="00EF2F18" w14:paraId="367187D8" w14:textId="77777777" w:rsidTr="007F156F">
        <w:trPr>
          <w:trHeight w:val="324"/>
        </w:trPr>
        <w:tc>
          <w:tcPr>
            <w:tcW w:w="3800" w:type="dxa"/>
            <w:vAlign w:val="center"/>
            <w:hideMark/>
          </w:tcPr>
          <w:p w14:paraId="11CC4B74" w14:textId="77777777" w:rsidR="007F156F" w:rsidRPr="00EF2F18" w:rsidRDefault="007F156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480" w:type="dxa"/>
            <w:vAlign w:val="center"/>
            <w:hideMark/>
          </w:tcPr>
          <w:p w14:paraId="65774B40" w14:textId="77777777" w:rsidR="007F156F" w:rsidRPr="00EF2F18" w:rsidRDefault="007F156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2517" w:type="dxa"/>
            <w:vAlign w:val="center"/>
          </w:tcPr>
          <w:p w14:paraId="797EEE98" w14:textId="464D8504" w:rsidR="007F156F" w:rsidRPr="00EF2F18" w:rsidRDefault="007F156F" w:rsidP="00752CA0">
            <w:pPr>
              <w:spacing w:after="0"/>
              <w:jc w:val="right"/>
              <w:rPr>
                <w:rFonts w:eastAsia="Times New Roman" w:cs="Times New Roman"/>
                <w:color w:val="000000"/>
                <w:sz w:val="20"/>
                <w:szCs w:val="20"/>
                <w:lang w:val="sr-Cyrl-RS" w:eastAsia="sr-Cyrl-RS"/>
              </w:rPr>
            </w:pPr>
          </w:p>
        </w:tc>
        <w:tc>
          <w:tcPr>
            <w:tcW w:w="2340" w:type="dxa"/>
            <w:vAlign w:val="center"/>
          </w:tcPr>
          <w:p w14:paraId="15942958" w14:textId="0F518AFB" w:rsidR="007F156F" w:rsidRPr="00EF2F18" w:rsidRDefault="007F156F" w:rsidP="00752CA0">
            <w:pPr>
              <w:spacing w:after="0"/>
              <w:jc w:val="right"/>
              <w:rPr>
                <w:rFonts w:eastAsia="Times New Roman" w:cs="Times New Roman"/>
                <w:color w:val="000000"/>
                <w:sz w:val="20"/>
                <w:szCs w:val="20"/>
                <w:lang w:val="sr-Cyrl-RS" w:eastAsia="sr-Cyrl-RS"/>
              </w:rPr>
            </w:pPr>
          </w:p>
        </w:tc>
        <w:tc>
          <w:tcPr>
            <w:tcW w:w="2430" w:type="dxa"/>
            <w:gridSpan w:val="2"/>
            <w:vAlign w:val="center"/>
          </w:tcPr>
          <w:p w14:paraId="7002CCA3" w14:textId="3B6AE7F6" w:rsidR="007F156F" w:rsidRPr="00EF2F18" w:rsidRDefault="007F156F" w:rsidP="00752CA0">
            <w:pPr>
              <w:spacing w:after="0"/>
              <w:jc w:val="right"/>
              <w:rPr>
                <w:rFonts w:eastAsia="Times New Roman" w:cs="Times New Roman"/>
                <w:color w:val="000000"/>
                <w:sz w:val="20"/>
                <w:szCs w:val="20"/>
                <w:lang w:val="sr-Cyrl-RS" w:eastAsia="sr-Cyrl-RS"/>
              </w:rPr>
            </w:pPr>
          </w:p>
        </w:tc>
      </w:tr>
      <w:tr w:rsidR="00D91108" w:rsidRPr="00EF2F18" w14:paraId="0CCAF5B7" w14:textId="77777777" w:rsidTr="007F156F">
        <w:trPr>
          <w:trHeight w:val="324"/>
        </w:trPr>
        <w:tc>
          <w:tcPr>
            <w:tcW w:w="3800" w:type="dxa"/>
            <w:vAlign w:val="center"/>
          </w:tcPr>
          <w:p w14:paraId="73489C3E" w14:textId="3A303075" w:rsidR="00D91108" w:rsidRPr="00EF2F18" w:rsidRDefault="00D91108"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(АЗЖС) /редовна издвајања</w:t>
            </w:r>
          </w:p>
        </w:tc>
        <w:tc>
          <w:tcPr>
            <w:tcW w:w="2480" w:type="dxa"/>
            <w:vAlign w:val="center"/>
          </w:tcPr>
          <w:p w14:paraId="439EEFC2" w14:textId="5E985AFC" w:rsidR="00D91108" w:rsidRPr="00EF2F18" w:rsidRDefault="00D34AF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0404-560-0010-411</w:t>
            </w:r>
          </w:p>
        </w:tc>
        <w:tc>
          <w:tcPr>
            <w:tcW w:w="2517" w:type="dxa"/>
            <w:vAlign w:val="center"/>
          </w:tcPr>
          <w:p w14:paraId="4360BB6B" w14:textId="77777777" w:rsidR="00D91108" w:rsidRPr="00EF2F18" w:rsidRDefault="00D91108" w:rsidP="00752CA0">
            <w:pPr>
              <w:spacing w:after="0"/>
              <w:jc w:val="right"/>
              <w:rPr>
                <w:rFonts w:eastAsia="Times New Roman" w:cs="Times New Roman"/>
                <w:color w:val="000000"/>
                <w:sz w:val="20"/>
                <w:szCs w:val="20"/>
                <w:lang w:val="sr-Cyrl-RS" w:eastAsia="sr-Cyrl-RS"/>
              </w:rPr>
            </w:pPr>
          </w:p>
        </w:tc>
        <w:tc>
          <w:tcPr>
            <w:tcW w:w="2340" w:type="dxa"/>
            <w:vAlign w:val="center"/>
          </w:tcPr>
          <w:p w14:paraId="7102DED2" w14:textId="77777777" w:rsidR="00D91108" w:rsidRPr="00EF2F18" w:rsidRDefault="00D91108" w:rsidP="00752CA0">
            <w:pPr>
              <w:spacing w:after="0"/>
              <w:jc w:val="right"/>
              <w:rPr>
                <w:rFonts w:eastAsia="Times New Roman" w:cs="Times New Roman"/>
                <w:color w:val="000000"/>
                <w:sz w:val="20"/>
                <w:szCs w:val="20"/>
                <w:lang w:val="sr-Cyrl-RS" w:eastAsia="sr-Cyrl-RS"/>
              </w:rPr>
            </w:pPr>
          </w:p>
        </w:tc>
        <w:tc>
          <w:tcPr>
            <w:tcW w:w="2430" w:type="dxa"/>
            <w:gridSpan w:val="2"/>
            <w:vAlign w:val="center"/>
          </w:tcPr>
          <w:p w14:paraId="162B0E29" w14:textId="77777777" w:rsidR="00D91108" w:rsidRPr="00EF2F18" w:rsidRDefault="00D91108" w:rsidP="00752CA0">
            <w:pPr>
              <w:spacing w:after="0"/>
              <w:jc w:val="right"/>
              <w:rPr>
                <w:rFonts w:eastAsia="Times New Roman" w:cs="Times New Roman"/>
                <w:color w:val="000000"/>
                <w:sz w:val="20"/>
                <w:szCs w:val="20"/>
                <w:lang w:val="sr-Cyrl-RS" w:eastAsia="sr-Cyrl-RS"/>
              </w:rPr>
            </w:pPr>
          </w:p>
        </w:tc>
      </w:tr>
      <w:tr w:rsidR="007F156F" w:rsidRPr="00EF2F18" w14:paraId="729B8333" w14:textId="77777777" w:rsidTr="007F156F">
        <w:trPr>
          <w:trHeight w:val="336"/>
        </w:trPr>
        <w:tc>
          <w:tcPr>
            <w:tcW w:w="3800" w:type="dxa"/>
            <w:vAlign w:val="center"/>
            <w:hideMark/>
          </w:tcPr>
          <w:p w14:paraId="3C754269" w14:textId="77777777" w:rsidR="007F156F" w:rsidRPr="00EF2F18" w:rsidRDefault="007F156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2480" w:type="dxa"/>
            <w:vAlign w:val="center"/>
            <w:hideMark/>
          </w:tcPr>
          <w:p w14:paraId="798180EB" w14:textId="77777777" w:rsidR="007F156F" w:rsidRPr="00EF2F18" w:rsidRDefault="007F156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517" w:type="dxa"/>
            <w:vAlign w:val="center"/>
          </w:tcPr>
          <w:p w14:paraId="279681C9" w14:textId="083F0714" w:rsidR="007F156F" w:rsidRPr="00EF2F18" w:rsidRDefault="007F156F" w:rsidP="00752CA0">
            <w:pPr>
              <w:spacing w:after="0"/>
              <w:jc w:val="right"/>
              <w:rPr>
                <w:rFonts w:eastAsia="Times New Roman" w:cs="Times New Roman"/>
                <w:color w:val="000000"/>
                <w:sz w:val="20"/>
                <w:szCs w:val="20"/>
                <w:lang w:val="sr-Cyrl-RS" w:eastAsia="sr-Cyrl-RS"/>
              </w:rPr>
            </w:pPr>
          </w:p>
        </w:tc>
        <w:tc>
          <w:tcPr>
            <w:tcW w:w="2340" w:type="dxa"/>
            <w:vAlign w:val="center"/>
          </w:tcPr>
          <w:p w14:paraId="53FDD2B6" w14:textId="4C984294" w:rsidR="007F156F" w:rsidRPr="00EF2F18" w:rsidRDefault="007F156F" w:rsidP="00752CA0">
            <w:pPr>
              <w:spacing w:after="0"/>
              <w:jc w:val="right"/>
              <w:rPr>
                <w:rFonts w:eastAsia="Times New Roman" w:cs="Times New Roman"/>
                <w:color w:val="000000"/>
                <w:sz w:val="20"/>
                <w:szCs w:val="20"/>
                <w:lang w:val="sr-Cyrl-RS" w:eastAsia="sr-Cyrl-RS"/>
              </w:rPr>
            </w:pPr>
          </w:p>
        </w:tc>
        <w:tc>
          <w:tcPr>
            <w:tcW w:w="2430" w:type="dxa"/>
            <w:gridSpan w:val="2"/>
            <w:vAlign w:val="center"/>
          </w:tcPr>
          <w:p w14:paraId="4B897006" w14:textId="18C4AFC8" w:rsidR="007F156F" w:rsidRPr="00EF2F18" w:rsidRDefault="007F156F" w:rsidP="00752CA0">
            <w:pPr>
              <w:spacing w:after="0"/>
              <w:jc w:val="right"/>
              <w:rPr>
                <w:rFonts w:eastAsia="Times New Roman" w:cs="Times New Roman"/>
                <w:color w:val="000000"/>
                <w:sz w:val="20"/>
                <w:szCs w:val="20"/>
                <w:lang w:val="sr-Cyrl-RS" w:eastAsia="sr-Cyrl-RS"/>
              </w:rPr>
            </w:pPr>
          </w:p>
        </w:tc>
      </w:tr>
    </w:tbl>
    <w:p w14:paraId="23CC98BD" w14:textId="16B52DA0" w:rsidR="008D5ABD" w:rsidRDefault="008D5ABD" w:rsidP="007D7243">
      <w:pPr>
        <w:spacing w:after="0"/>
        <w:rPr>
          <w:lang w:val="sr-Cyrl-RS"/>
        </w:rPr>
      </w:pPr>
    </w:p>
    <w:p w14:paraId="3FA3FEA9" w14:textId="09E10246" w:rsidR="00B12C9F" w:rsidRDefault="00B12C9F" w:rsidP="007D7243">
      <w:pPr>
        <w:spacing w:after="0"/>
        <w:rPr>
          <w:lang w:val="sr-Cyrl-RS"/>
        </w:rPr>
      </w:pPr>
    </w:p>
    <w:p w14:paraId="1820FE2A" w14:textId="78ECAF00" w:rsidR="00B12C9F" w:rsidRDefault="00B12C9F" w:rsidP="007D7243">
      <w:pPr>
        <w:spacing w:after="0"/>
        <w:rPr>
          <w:lang w:val="sr-Cyrl-RS"/>
        </w:rPr>
      </w:pPr>
    </w:p>
    <w:p w14:paraId="2B0287AA" w14:textId="77777777" w:rsidR="00B12C9F" w:rsidRPr="00EF2F18" w:rsidRDefault="00B12C9F" w:rsidP="007D7243">
      <w:pPr>
        <w:spacing w:after="0"/>
        <w:rPr>
          <w:lang w:val="sr-Cyrl-RS"/>
        </w:rPr>
      </w:pPr>
    </w:p>
    <w:tbl>
      <w:tblPr>
        <w:tblW w:w="13821" w:type="dxa"/>
        <w:tblCellMar>
          <w:top w:w="15" w:type="dxa"/>
        </w:tblCellMar>
        <w:tblLook w:val="04A0" w:firstRow="1" w:lastRow="0" w:firstColumn="1" w:lastColumn="0" w:noHBand="0" w:noVBand="1"/>
      </w:tblPr>
      <w:tblGrid>
        <w:gridCol w:w="2617"/>
        <w:gridCol w:w="1335"/>
        <w:gridCol w:w="1268"/>
        <w:gridCol w:w="1473"/>
        <w:gridCol w:w="1691"/>
        <w:gridCol w:w="1496"/>
        <w:gridCol w:w="1185"/>
        <w:gridCol w:w="1260"/>
        <w:gridCol w:w="1260"/>
        <w:gridCol w:w="236"/>
      </w:tblGrid>
      <w:tr w:rsidR="007D7243" w:rsidRPr="00EF2F18" w14:paraId="3FB31C6E" w14:textId="77777777" w:rsidTr="0091529A">
        <w:trPr>
          <w:gridAfter w:val="1"/>
          <w:wAfter w:w="236" w:type="dxa"/>
          <w:trHeight w:val="732"/>
        </w:trPr>
        <w:tc>
          <w:tcPr>
            <w:tcW w:w="2617"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06B815F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335"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5F2F475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68"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33D0F80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473"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2C7DE1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89FDF0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96"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283B5B0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705"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081F9C1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91529A" w:rsidRPr="00EF2F18" w14:paraId="23B80DF4" w14:textId="77777777" w:rsidTr="0091529A">
        <w:trPr>
          <w:gridAfter w:val="1"/>
          <w:wAfter w:w="236" w:type="dxa"/>
          <w:trHeight w:val="324"/>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55568326"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14:paraId="72F224D0"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14:paraId="4E7B41DD"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699A9054"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699FC692"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96" w:type="dxa"/>
            <w:vMerge/>
            <w:tcBorders>
              <w:top w:val="single" w:sz="4" w:space="0" w:color="auto"/>
              <w:left w:val="single" w:sz="4" w:space="0" w:color="auto"/>
              <w:bottom w:val="single" w:sz="4" w:space="0" w:color="auto"/>
              <w:right w:val="single" w:sz="4" w:space="0" w:color="auto"/>
            </w:tcBorders>
            <w:vAlign w:val="center"/>
            <w:hideMark/>
          </w:tcPr>
          <w:p w14:paraId="3191C9FF"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185" w:type="dxa"/>
            <w:tcBorders>
              <w:top w:val="single" w:sz="4" w:space="0" w:color="auto"/>
              <w:left w:val="single" w:sz="4" w:space="0" w:color="auto"/>
              <w:bottom w:val="single" w:sz="4" w:space="0" w:color="auto"/>
              <w:right w:val="single" w:sz="4" w:space="0" w:color="auto"/>
            </w:tcBorders>
            <w:shd w:val="clear" w:color="000000" w:fill="FFF2CC"/>
            <w:hideMark/>
          </w:tcPr>
          <w:p w14:paraId="15521636" w14:textId="251AEE4F" w:rsidR="0091529A" w:rsidRPr="00EF2F18" w:rsidRDefault="0091529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260" w:type="dxa"/>
            <w:tcBorders>
              <w:top w:val="single" w:sz="4" w:space="0" w:color="auto"/>
              <w:left w:val="single" w:sz="4" w:space="0" w:color="auto"/>
              <w:bottom w:val="single" w:sz="4" w:space="0" w:color="auto"/>
              <w:right w:val="single" w:sz="4" w:space="0" w:color="auto"/>
            </w:tcBorders>
            <w:shd w:val="clear" w:color="000000" w:fill="FFF2CC"/>
            <w:hideMark/>
          </w:tcPr>
          <w:p w14:paraId="092AC99F" w14:textId="2EC19F99" w:rsidR="0091529A" w:rsidRPr="00EF2F18" w:rsidRDefault="0091529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260" w:type="dxa"/>
            <w:tcBorders>
              <w:top w:val="single" w:sz="4" w:space="0" w:color="auto"/>
              <w:left w:val="single" w:sz="4" w:space="0" w:color="auto"/>
              <w:bottom w:val="single" w:sz="4" w:space="0" w:color="auto"/>
              <w:right w:val="single" w:sz="4" w:space="0" w:color="auto"/>
            </w:tcBorders>
            <w:shd w:val="clear" w:color="000000" w:fill="FFF2CC"/>
            <w:hideMark/>
          </w:tcPr>
          <w:p w14:paraId="49858E7C" w14:textId="0C4C2E3C" w:rsidR="0091529A" w:rsidRPr="00EF2F18" w:rsidRDefault="0091529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91529A" w:rsidRPr="00EF2F18" w14:paraId="558E957D" w14:textId="77777777" w:rsidTr="0091529A">
        <w:trPr>
          <w:gridAfter w:val="1"/>
          <w:wAfter w:w="236" w:type="dxa"/>
          <w:trHeight w:val="714"/>
        </w:trPr>
        <w:tc>
          <w:tcPr>
            <w:tcW w:w="2617" w:type="dxa"/>
            <w:tcBorders>
              <w:top w:val="single" w:sz="4" w:space="0" w:color="auto"/>
              <w:left w:val="single" w:sz="4" w:space="0" w:color="auto"/>
              <w:bottom w:val="single" w:sz="4" w:space="0" w:color="auto"/>
              <w:right w:val="single" w:sz="4" w:space="0" w:color="auto"/>
            </w:tcBorders>
            <w:hideMark/>
          </w:tcPr>
          <w:p w14:paraId="66FC1A7C"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3.3.2.1. Успостављање државне и локалне мреже мониторинга </w:t>
            </w:r>
          </w:p>
        </w:tc>
        <w:tc>
          <w:tcPr>
            <w:tcW w:w="1335" w:type="dxa"/>
            <w:tcBorders>
              <w:top w:val="single" w:sz="4" w:space="0" w:color="auto"/>
              <w:left w:val="single" w:sz="4" w:space="0" w:color="auto"/>
              <w:bottom w:val="single" w:sz="4" w:space="0" w:color="auto"/>
              <w:right w:val="single" w:sz="4" w:space="0" w:color="auto"/>
            </w:tcBorders>
            <w:hideMark/>
          </w:tcPr>
          <w:p w14:paraId="709106DF"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МЗЖС </w:t>
            </w:r>
          </w:p>
        </w:tc>
        <w:tc>
          <w:tcPr>
            <w:tcW w:w="1268" w:type="dxa"/>
            <w:tcBorders>
              <w:top w:val="single" w:sz="4" w:space="0" w:color="auto"/>
              <w:left w:val="single" w:sz="4" w:space="0" w:color="auto"/>
              <w:bottom w:val="single" w:sz="4" w:space="0" w:color="auto"/>
              <w:right w:val="single" w:sz="4" w:space="0" w:color="auto"/>
            </w:tcBorders>
            <w:hideMark/>
          </w:tcPr>
          <w:p w14:paraId="06C19493" w14:textId="0ADA5984"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МФ, ПСУЗЖС, АЗЖС, ЈЛС </w:t>
            </w:r>
          </w:p>
        </w:tc>
        <w:tc>
          <w:tcPr>
            <w:tcW w:w="1473" w:type="dxa"/>
            <w:tcBorders>
              <w:top w:val="single" w:sz="4" w:space="0" w:color="auto"/>
              <w:left w:val="single" w:sz="4" w:space="0" w:color="auto"/>
              <w:bottom w:val="single" w:sz="4" w:space="0" w:color="auto"/>
              <w:right w:val="single" w:sz="4" w:space="0" w:color="auto"/>
            </w:tcBorders>
            <w:hideMark/>
          </w:tcPr>
          <w:p w14:paraId="4B6D6CBF" w14:textId="6730A942"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3.</w:t>
            </w:r>
            <w:r w:rsidR="00A25CE0" w:rsidRPr="00EF2F18">
              <w:rPr>
                <w:rFonts w:eastAsia="Times New Roman" w:cs="Times New Roman"/>
                <w:sz w:val="20"/>
                <w:szCs w:val="20"/>
                <w:lang w:val="sr-Cyrl-RS" w:eastAsia="sr-Cyrl-RS"/>
              </w:rPr>
              <w:t xml:space="preserve"> </w:t>
            </w:r>
            <w:r w:rsidRPr="00EF2F18">
              <w:rPr>
                <w:rFonts w:eastAsia="Times New Roman" w:cs="Times New Roman"/>
                <w:sz w:val="20"/>
                <w:szCs w:val="20"/>
                <w:lang w:val="sr-Cyrl-RS" w:eastAsia="sr-Cyrl-RS"/>
              </w:rPr>
              <w:t>квартал 2026.</w:t>
            </w:r>
          </w:p>
        </w:tc>
        <w:tc>
          <w:tcPr>
            <w:tcW w:w="1691" w:type="dxa"/>
            <w:tcBorders>
              <w:top w:val="single" w:sz="4" w:space="0" w:color="auto"/>
              <w:left w:val="single" w:sz="4" w:space="0" w:color="auto"/>
              <w:right w:val="single" w:sz="4" w:space="0" w:color="auto"/>
            </w:tcBorders>
            <w:hideMark/>
          </w:tcPr>
          <w:p w14:paraId="3FF1AEB5" w14:textId="614080EC"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p w14:paraId="35C82EFF" w14:textId="77777777" w:rsidR="0091529A" w:rsidRPr="00EF2F18" w:rsidRDefault="0091529A" w:rsidP="00752CA0">
            <w:pPr>
              <w:spacing w:after="0"/>
              <w:rPr>
                <w:rFonts w:eastAsia="Times New Roman" w:cs="Times New Roman"/>
                <w:color w:val="000000"/>
                <w:sz w:val="20"/>
                <w:szCs w:val="20"/>
                <w:lang w:val="sr-Cyrl-RS" w:eastAsia="sr-Cyrl-RS"/>
              </w:rPr>
            </w:pPr>
          </w:p>
          <w:p w14:paraId="5BBFACED"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496" w:type="dxa"/>
            <w:tcBorders>
              <w:top w:val="single" w:sz="4" w:space="0" w:color="auto"/>
              <w:left w:val="single" w:sz="4" w:space="0" w:color="auto"/>
              <w:bottom w:val="single" w:sz="4" w:space="0" w:color="auto"/>
              <w:right w:val="single" w:sz="4" w:space="0" w:color="auto"/>
            </w:tcBorders>
            <w:hideMark/>
          </w:tcPr>
          <w:p w14:paraId="6359D417" w14:textId="42AACE4B" w:rsidR="0091529A" w:rsidRPr="00EF2F18" w:rsidRDefault="0091529A" w:rsidP="00752CA0">
            <w:pPr>
              <w:spacing w:after="0"/>
              <w:rPr>
                <w:rFonts w:eastAsia="Times New Roman" w:cs="Times New Roman"/>
                <w:color w:val="000000"/>
                <w:sz w:val="20"/>
                <w:szCs w:val="20"/>
                <w:lang w:val="sr-Cyrl-RS" w:eastAsia="sr-Cyrl-RS"/>
              </w:rPr>
            </w:pPr>
          </w:p>
        </w:tc>
        <w:tc>
          <w:tcPr>
            <w:tcW w:w="1185" w:type="dxa"/>
            <w:tcBorders>
              <w:top w:val="single" w:sz="4" w:space="0" w:color="auto"/>
              <w:left w:val="single" w:sz="4" w:space="0" w:color="auto"/>
              <w:bottom w:val="single" w:sz="4" w:space="0" w:color="auto"/>
              <w:right w:val="single" w:sz="4" w:space="0" w:color="auto"/>
            </w:tcBorders>
          </w:tcPr>
          <w:p w14:paraId="5DE296D7" w14:textId="222D24FF"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58C18D78" w14:textId="402D3A94"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145D2CDB" w14:textId="7F357097" w:rsidR="0091529A" w:rsidRPr="00EF2F18" w:rsidRDefault="0091529A" w:rsidP="00752CA0">
            <w:pPr>
              <w:spacing w:after="0"/>
              <w:jc w:val="right"/>
              <w:rPr>
                <w:rFonts w:eastAsia="Times New Roman" w:cs="Times New Roman"/>
                <w:color w:val="000000"/>
                <w:sz w:val="20"/>
                <w:szCs w:val="20"/>
                <w:lang w:val="sr-Cyrl-RS" w:eastAsia="sr-Cyrl-RS"/>
              </w:rPr>
            </w:pPr>
          </w:p>
        </w:tc>
      </w:tr>
      <w:tr w:rsidR="0091529A" w:rsidRPr="00EF2F18" w14:paraId="6C623B00" w14:textId="77777777" w:rsidTr="0091529A">
        <w:trPr>
          <w:gridAfter w:val="1"/>
          <w:wAfter w:w="236" w:type="dxa"/>
          <w:trHeight w:val="996"/>
        </w:trPr>
        <w:tc>
          <w:tcPr>
            <w:tcW w:w="2617" w:type="dxa"/>
            <w:vMerge w:val="restart"/>
            <w:tcBorders>
              <w:top w:val="single" w:sz="4" w:space="0" w:color="auto"/>
              <w:left w:val="single" w:sz="4" w:space="0" w:color="auto"/>
              <w:bottom w:val="single" w:sz="4" w:space="0" w:color="auto"/>
              <w:right w:val="single" w:sz="4" w:space="0" w:color="auto"/>
            </w:tcBorders>
            <w:hideMark/>
          </w:tcPr>
          <w:p w14:paraId="5A09C4A2"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3.3.2.2. Израда и усвајање Програма мониторинга земљишта на нивоу државне мреже </w:t>
            </w:r>
          </w:p>
        </w:tc>
        <w:tc>
          <w:tcPr>
            <w:tcW w:w="1335" w:type="dxa"/>
            <w:vMerge w:val="restart"/>
            <w:tcBorders>
              <w:top w:val="single" w:sz="4" w:space="0" w:color="auto"/>
              <w:left w:val="single" w:sz="4" w:space="0" w:color="auto"/>
              <w:bottom w:val="single" w:sz="4" w:space="0" w:color="auto"/>
              <w:right w:val="single" w:sz="4" w:space="0" w:color="auto"/>
            </w:tcBorders>
            <w:hideMark/>
          </w:tcPr>
          <w:p w14:paraId="43C96E17"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68" w:type="dxa"/>
            <w:vMerge w:val="restart"/>
            <w:tcBorders>
              <w:top w:val="single" w:sz="4" w:space="0" w:color="auto"/>
              <w:left w:val="single" w:sz="4" w:space="0" w:color="auto"/>
              <w:bottom w:val="single" w:sz="4" w:space="0" w:color="auto"/>
              <w:right w:val="single" w:sz="4" w:space="0" w:color="auto"/>
            </w:tcBorders>
            <w:hideMark/>
          </w:tcPr>
          <w:p w14:paraId="21915022"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73" w:type="dxa"/>
            <w:vMerge w:val="restart"/>
            <w:tcBorders>
              <w:top w:val="single" w:sz="4" w:space="0" w:color="auto"/>
              <w:left w:val="single" w:sz="4" w:space="0" w:color="auto"/>
              <w:bottom w:val="single" w:sz="4" w:space="0" w:color="auto"/>
              <w:right w:val="single" w:sz="4" w:space="0" w:color="auto"/>
            </w:tcBorders>
            <w:hideMark/>
          </w:tcPr>
          <w:p w14:paraId="5EBBF1C8" w14:textId="272F933F"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w:t>
            </w:r>
            <w:r w:rsidR="00A25CE0" w:rsidRPr="00EF2F18">
              <w:rPr>
                <w:rFonts w:eastAsia="Times New Roman" w:cs="Times New Roman"/>
                <w:sz w:val="20"/>
                <w:szCs w:val="20"/>
                <w:lang w:val="sr-Cyrl-RS" w:eastAsia="sr-Cyrl-RS"/>
              </w:rPr>
              <w:t xml:space="preserve"> </w:t>
            </w:r>
            <w:r w:rsidRPr="00EF2F18">
              <w:rPr>
                <w:rFonts w:eastAsia="Times New Roman" w:cs="Times New Roman"/>
                <w:sz w:val="20"/>
                <w:szCs w:val="20"/>
                <w:lang w:val="sr-Cyrl-RS" w:eastAsia="sr-Cyrl-RS"/>
              </w:rPr>
              <w:t>квартал</w:t>
            </w:r>
            <w:r w:rsidR="00A25CE0" w:rsidRPr="00EF2F18">
              <w:rPr>
                <w:rFonts w:eastAsia="Times New Roman" w:cs="Times New Roman"/>
                <w:sz w:val="20"/>
                <w:szCs w:val="20"/>
                <w:lang w:val="sr-Cyrl-RS" w:eastAsia="sr-Cyrl-RS"/>
              </w:rPr>
              <w:t xml:space="preserve"> </w:t>
            </w:r>
            <w:r w:rsidRPr="00EF2F18">
              <w:rPr>
                <w:rFonts w:eastAsia="Times New Roman" w:cs="Times New Roman"/>
                <w:sz w:val="20"/>
                <w:szCs w:val="20"/>
                <w:lang w:val="sr-Cyrl-RS" w:eastAsia="sr-Cyrl-RS"/>
              </w:rPr>
              <w:t>2026.</w:t>
            </w:r>
          </w:p>
        </w:tc>
        <w:tc>
          <w:tcPr>
            <w:tcW w:w="1691" w:type="dxa"/>
            <w:vMerge w:val="restart"/>
            <w:tcBorders>
              <w:top w:val="single" w:sz="4" w:space="0" w:color="auto"/>
              <w:left w:val="single" w:sz="4" w:space="0" w:color="auto"/>
              <w:bottom w:val="single" w:sz="4" w:space="0" w:color="auto"/>
              <w:right w:val="single" w:sz="4" w:space="0" w:color="auto"/>
            </w:tcBorders>
            <w:hideMark/>
          </w:tcPr>
          <w:p w14:paraId="6B375FCB"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96" w:type="dxa"/>
            <w:vMerge w:val="restart"/>
            <w:tcBorders>
              <w:top w:val="single" w:sz="4" w:space="0" w:color="auto"/>
              <w:left w:val="single" w:sz="4" w:space="0" w:color="auto"/>
              <w:bottom w:val="single" w:sz="4" w:space="0" w:color="auto"/>
              <w:right w:val="single" w:sz="4" w:space="0" w:color="auto"/>
            </w:tcBorders>
            <w:hideMark/>
          </w:tcPr>
          <w:p w14:paraId="4662DC4B"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1185" w:type="dxa"/>
            <w:vMerge w:val="restart"/>
            <w:tcBorders>
              <w:top w:val="single" w:sz="4" w:space="0" w:color="auto"/>
              <w:left w:val="single" w:sz="4" w:space="0" w:color="auto"/>
              <w:bottom w:val="single" w:sz="4" w:space="0" w:color="auto"/>
              <w:right w:val="single" w:sz="4" w:space="0" w:color="auto"/>
            </w:tcBorders>
          </w:tcPr>
          <w:p w14:paraId="67C151A2" w14:textId="24D37355"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vMerge w:val="restart"/>
            <w:tcBorders>
              <w:top w:val="single" w:sz="4" w:space="0" w:color="auto"/>
              <w:left w:val="single" w:sz="4" w:space="0" w:color="auto"/>
              <w:bottom w:val="single" w:sz="4" w:space="0" w:color="auto"/>
              <w:right w:val="single" w:sz="4" w:space="0" w:color="auto"/>
            </w:tcBorders>
          </w:tcPr>
          <w:p w14:paraId="7E658FA3" w14:textId="11207273"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vMerge w:val="restart"/>
            <w:tcBorders>
              <w:top w:val="single" w:sz="4" w:space="0" w:color="auto"/>
              <w:left w:val="single" w:sz="4" w:space="0" w:color="auto"/>
              <w:bottom w:val="single" w:sz="4" w:space="0" w:color="auto"/>
              <w:right w:val="single" w:sz="4" w:space="0" w:color="auto"/>
            </w:tcBorders>
          </w:tcPr>
          <w:p w14:paraId="19444D9D" w14:textId="1298F5F5" w:rsidR="0091529A" w:rsidRPr="00EF2F18" w:rsidRDefault="0091529A" w:rsidP="00752CA0">
            <w:pPr>
              <w:spacing w:after="0"/>
              <w:jc w:val="right"/>
              <w:rPr>
                <w:rFonts w:eastAsia="Times New Roman" w:cs="Times New Roman"/>
                <w:color w:val="000000"/>
                <w:sz w:val="20"/>
                <w:szCs w:val="20"/>
                <w:lang w:val="sr-Cyrl-RS" w:eastAsia="sr-Cyrl-RS"/>
              </w:rPr>
            </w:pPr>
          </w:p>
        </w:tc>
      </w:tr>
      <w:tr w:rsidR="0091529A" w:rsidRPr="00EF2F18" w14:paraId="2A1159AE" w14:textId="77777777" w:rsidTr="0091529A">
        <w:trPr>
          <w:trHeight w:val="55"/>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0F7E6D55"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14:paraId="003512F3"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14:paraId="0F24A92E"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0C7B0655"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66AEAAB2"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96" w:type="dxa"/>
            <w:vMerge/>
            <w:tcBorders>
              <w:top w:val="single" w:sz="4" w:space="0" w:color="auto"/>
              <w:left w:val="single" w:sz="4" w:space="0" w:color="auto"/>
              <w:bottom w:val="single" w:sz="4" w:space="0" w:color="auto"/>
              <w:right w:val="single" w:sz="4" w:space="0" w:color="auto"/>
            </w:tcBorders>
            <w:vAlign w:val="center"/>
            <w:hideMark/>
          </w:tcPr>
          <w:p w14:paraId="55D76D6C"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185" w:type="dxa"/>
            <w:vMerge/>
            <w:tcBorders>
              <w:top w:val="single" w:sz="4" w:space="0" w:color="auto"/>
              <w:left w:val="single" w:sz="4" w:space="0" w:color="auto"/>
              <w:bottom w:val="single" w:sz="4" w:space="0" w:color="auto"/>
              <w:right w:val="single" w:sz="4" w:space="0" w:color="auto"/>
            </w:tcBorders>
            <w:vAlign w:val="center"/>
          </w:tcPr>
          <w:p w14:paraId="0BABC0C1"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570E6881"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5ECC0623"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54144E6C" w14:textId="77777777" w:rsidR="0091529A" w:rsidRPr="00EF2F18" w:rsidRDefault="0091529A" w:rsidP="00752CA0">
            <w:pPr>
              <w:spacing w:after="0"/>
              <w:rPr>
                <w:rFonts w:eastAsia="Times New Roman" w:cs="Times New Roman"/>
                <w:color w:val="000000"/>
                <w:sz w:val="20"/>
                <w:szCs w:val="20"/>
                <w:lang w:val="sr-Cyrl-RS" w:eastAsia="sr-Cyrl-RS"/>
              </w:rPr>
            </w:pPr>
          </w:p>
        </w:tc>
      </w:tr>
      <w:tr w:rsidR="0091529A" w:rsidRPr="00EF2F18" w14:paraId="2B8E3F0E" w14:textId="77777777" w:rsidTr="0091529A">
        <w:trPr>
          <w:trHeight w:val="973"/>
        </w:trPr>
        <w:tc>
          <w:tcPr>
            <w:tcW w:w="2617" w:type="dxa"/>
            <w:tcBorders>
              <w:top w:val="single" w:sz="4" w:space="0" w:color="auto"/>
              <w:left w:val="single" w:sz="4" w:space="0" w:color="auto"/>
              <w:bottom w:val="single" w:sz="4" w:space="0" w:color="auto"/>
              <w:right w:val="single" w:sz="4" w:space="0" w:color="auto"/>
            </w:tcBorders>
            <w:hideMark/>
          </w:tcPr>
          <w:p w14:paraId="76AA36E2" w14:textId="77777777" w:rsidR="0091529A" w:rsidRPr="00EF2F18" w:rsidRDefault="0091529A" w:rsidP="00752CA0">
            <w:pPr>
              <w:spacing w:after="0"/>
              <w:rPr>
                <w:rFonts w:eastAsia="Times New Roman" w:cs="Times New Roman"/>
                <w:color w:val="000000"/>
                <w:sz w:val="20"/>
                <w:szCs w:val="20"/>
                <w:lang w:val="sr-Cyrl-RS" w:eastAsia="sr-Cyrl-RS"/>
              </w:rPr>
            </w:pPr>
            <w:bookmarkStart w:id="173" w:name="_Hlk199796934"/>
            <w:r w:rsidRPr="00EF2F18">
              <w:rPr>
                <w:rFonts w:eastAsia="Times New Roman" w:cs="Times New Roman"/>
                <w:color w:val="000000"/>
                <w:sz w:val="20"/>
                <w:szCs w:val="20"/>
                <w:lang w:val="sr-Cyrl-RS" w:eastAsia="sr-Cyrl-RS"/>
              </w:rPr>
              <w:lastRenderedPageBreak/>
              <w:t>3.3.2.3. Праћење израде и усвајања Програма мониторинга земљишта на нивоу локалних мрежа</w:t>
            </w:r>
          </w:p>
        </w:tc>
        <w:tc>
          <w:tcPr>
            <w:tcW w:w="1335" w:type="dxa"/>
            <w:tcBorders>
              <w:top w:val="single" w:sz="4" w:space="0" w:color="auto"/>
              <w:left w:val="single" w:sz="4" w:space="0" w:color="auto"/>
              <w:bottom w:val="single" w:sz="4" w:space="0" w:color="auto"/>
              <w:right w:val="single" w:sz="4" w:space="0" w:color="auto"/>
            </w:tcBorders>
            <w:hideMark/>
          </w:tcPr>
          <w:p w14:paraId="7B0871A9" w14:textId="77777777" w:rsidR="0091529A" w:rsidRPr="00EF2F18" w:rsidRDefault="0091529A" w:rsidP="00752CA0">
            <w:pPr>
              <w:spacing w:after="0"/>
              <w:rPr>
                <w:rFonts w:eastAsia="Times New Roman" w:cs="Times New Roman"/>
                <w:color w:val="000000"/>
                <w:sz w:val="20"/>
                <w:szCs w:val="20"/>
                <w:highlight w:val="red"/>
                <w:lang w:val="sr-Cyrl-RS" w:eastAsia="sr-Cyrl-RS"/>
              </w:rPr>
            </w:pPr>
            <w:r w:rsidRPr="00EF2F18">
              <w:rPr>
                <w:rFonts w:eastAsia="Times New Roman" w:cs="Times New Roman"/>
                <w:color w:val="000000"/>
                <w:sz w:val="20"/>
                <w:szCs w:val="20"/>
                <w:lang w:val="sr-Cyrl-RS" w:eastAsia="sr-Cyrl-RS"/>
              </w:rPr>
              <w:t xml:space="preserve">АЗЖС </w:t>
            </w:r>
          </w:p>
        </w:tc>
        <w:tc>
          <w:tcPr>
            <w:tcW w:w="1268" w:type="dxa"/>
            <w:tcBorders>
              <w:top w:val="single" w:sz="4" w:space="0" w:color="auto"/>
              <w:left w:val="single" w:sz="4" w:space="0" w:color="auto"/>
              <w:bottom w:val="single" w:sz="4" w:space="0" w:color="auto"/>
              <w:right w:val="single" w:sz="4" w:space="0" w:color="auto"/>
            </w:tcBorders>
            <w:hideMark/>
          </w:tcPr>
          <w:p w14:paraId="0DFD6073"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ЈЛС</w:t>
            </w:r>
            <w:r w:rsidRPr="00EF2F18" w:rsidDel="00FB10E4">
              <w:rPr>
                <w:rFonts w:eastAsia="Times New Roman" w:cs="Times New Roman"/>
                <w:color w:val="000000"/>
                <w:sz w:val="20"/>
                <w:szCs w:val="20"/>
                <w:lang w:val="sr-Cyrl-RS" w:eastAsia="sr-Cyrl-RS"/>
              </w:rPr>
              <w:t xml:space="preserve"> </w:t>
            </w:r>
          </w:p>
        </w:tc>
        <w:tc>
          <w:tcPr>
            <w:tcW w:w="1473" w:type="dxa"/>
            <w:tcBorders>
              <w:top w:val="single" w:sz="4" w:space="0" w:color="auto"/>
              <w:left w:val="single" w:sz="4" w:space="0" w:color="auto"/>
              <w:bottom w:val="single" w:sz="4" w:space="0" w:color="auto"/>
              <w:right w:val="single" w:sz="4" w:space="0" w:color="auto"/>
            </w:tcBorders>
            <w:hideMark/>
          </w:tcPr>
          <w:p w14:paraId="4C69DF96"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4. квартал 2026. </w:t>
            </w:r>
          </w:p>
        </w:tc>
        <w:tc>
          <w:tcPr>
            <w:tcW w:w="1691" w:type="dxa"/>
            <w:tcBorders>
              <w:top w:val="single" w:sz="4" w:space="0" w:color="auto"/>
              <w:left w:val="single" w:sz="4" w:space="0" w:color="auto"/>
              <w:bottom w:val="single" w:sz="4" w:space="0" w:color="auto"/>
              <w:right w:val="single" w:sz="4" w:space="0" w:color="auto"/>
            </w:tcBorders>
            <w:hideMark/>
          </w:tcPr>
          <w:p w14:paraId="14B36618"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АЗЖС/редовна издвајања</w:t>
            </w:r>
          </w:p>
          <w:p w14:paraId="3CC9E43B" w14:textId="77777777" w:rsidR="0091529A" w:rsidRPr="00EF2F18" w:rsidRDefault="0091529A" w:rsidP="00752CA0">
            <w:pPr>
              <w:spacing w:after="0"/>
              <w:rPr>
                <w:rFonts w:eastAsia="Times New Roman" w:cs="Times New Roman"/>
                <w:color w:val="000000"/>
                <w:sz w:val="20"/>
                <w:szCs w:val="20"/>
                <w:lang w:val="sr-Cyrl-RS" w:eastAsia="sr-Cyrl-RS"/>
              </w:rPr>
            </w:pPr>
          </w:p>
          <w:p w14:paraId="41607013" w14:textId="6AF464BF"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496" w:type="dxa"/>
            <w:tcBorders>
              <w:top w:val="single" w:sz="4" w:space="0" w:color="auto"/>
              <w:left w:val="single" w:sz="4" w:space="0" w:color="auto"/>
              <w:bottom w:val="single" w:sz="4" w:space="0" w:color="auto"/>
              <w:right w:val="single" w:sz="4" w:space="0" w:color="auto"/>
            </w:tcBorders>
            <w:hideMark/>
          </w:tcPr>
          <w:p w14:paraId="2BB85C13" w14:textId="2DB8F720" w:rsidR="0091529A" w:rsidRPr="00EF2F18" w:rsidRDefault="0091529A" w:rsidP="00752CA0">
            <w:pPr>
              <w:spacing w:after="0"/>
              <w:rPr>
                <w:rFonts w:eastAsia="Times New Roman" w:cs="Times New Roman"/>
                <w:color w:val="000000"/>
                <w:sz w:val="20"/>
                <w:szCs w:val="20"/>
                <w:lang w:val="sr-Cyrl-RS" w:eastAsia="sr-Cyrl-RS"/>
              </w:rPr>
            </w:pPr>
          </w:p>
        </w:tc>
        <w:tc>
          <w:tcPr>
            <w:tcW w:w="1185" w:type="dxa"/>
            <w:tcBorders>
              <w:top w:val="single" w:sz="4" w:space="0" w:color="auto"/>
              <w:left w:val="single" w:sz="4" w:space="0" w:color="auto"/>
              <w:bottom w:val="single" w:sz="4" w:space="0" w:color="auto"/>
              <w:right w:val="single" w:sz="4" w:space="0" w:color="auto"/>
            </w:tcBorders>
          </w:tcPr>
          <w:p w14:paraId="55C789C9" w14:textId="77777777"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62FDB743" w14:textId="77777777"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tcBorders>
              <w:top w:val="single" w:sz="4" w:space="0" w:color="auto"/>
              <w:left w:val="single" w:sz="4" w:space="0" w:color="auto"/>
              <w:bottom w:val="single" w:sz="4" w:space="0" w:color="auto"/>
              <w:right w:val="single" w:sz="4" w:space="0" w:color="auto"/>
            </w:tcBorders>
          </w:tcPr>
          <w:p w14:paraId="3A6C7DFA" w14:textId="77777777" w:rsidR="0091529A" w:rsidRPr="00EF2F18" w:rsidRDefault="0091529A"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6F29A43A" w14:textId="77777777" w:rsidR="0091529A" w:rsidRPr="00EF2F18" w:rsidRDefault="0091529A" w:rsidP="00752CA0">
            <w:pPr>
              <w:spacing w:after="0"/>
              <w:rPr>
                <w:rFonts w:eastAsia="Times New Roman" w:cs="Times New Roman"/>
                <w:sz w:val="20"/>
                <w:szCs w:val="20"/>
                <w:lang w:val="sr-Cyrl-RS" w:eastAsia="sr-Cyrl-RS"/>
              </w:rPr>
            </w:pPr>
          </w:p>
        </w:tc>
      </w:tr>
      <w:bookmarkEnd w:id="173"/>
      <w:tr w:rsidR="0091529A" w:rsidRPr="00EF2F18" w14:paraId="57D682A6" w14:textId="77777777" w:rsidTr="0091529A">
        <w:trPr>
          <w:trHeight w:val="1524"/>
        </w:trPr>
        <w:tc>
          <w:tcPr>
            <w:tcW w:w="2617" w:type="dxa"/>
            <w:vMerge w:val="restart"/>
            <w:tcBorders>
              <w:top w:val="single" w:sz="4" w:space="0" w:color="auto"/>
              <w:left w:val="single" w:sz="4" w:space="0" w:color="auto"/>
              <w:bottom w:val="single" w:sz="4" w:space="0" w:color="auto"/>
              <w:right w:val="single" w:sz="4" w:space="0" w:color="auto"/>
            </w:tcBorders>
            <w:hideMark/>
          </w:tcPr>
          <w:p w14:paraId="0B15CAD7"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3.3.2.4. Мониторинг земљишта и извештавање</w:t>
            </w:r>
          </w:p>
        </w:tc>
        <w:tc>
          <w:tcPr>
            <w:tcW w:w="1335" w:type="dxa"/>
            <w:vMerge w:val="restart"/>
            <w:tcBorders>
              <w:top w:val="single" w:sz="4" w:space="0" w:color="auto"/>
              <w:left w:val="single" w:sz="4" w:space="0" w:color="auto"/>
              <w:bottom w:val="single" w:sz="4" w:space="0" w:color="auto"/>
              <w:right w:val="single" w:sz="4" w:space="0" w:color="auto"/>
            </w:tcBorders>
            <w:hideMark/>
          </w:tcPr>
          <w:p w14:paraId="5E1349E9"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w:t>
            </w:r>
          </w:p>
        </w:tc>
        <w:tc>
          <w:tcPr>
            <w:tcW w:w="1268" w:type="dxa"/>
            <w:vMerge w:val="restart"/>
            <w:tcBorders>
              <w:top w:val="single" w:sz="4" w:space="0" w:color="auto"/>
              <w:left w:val="single" w:sz="4" w:space="0" w:color="auto"/>
              <w:bottom w:val="single" w:sz="4" w:space="0" w:color="auto"/>
              <w:right w:val="single" w:sz="4" w:space="0" w:color="auto"/>
            </w:tcBorders>
            <w:hideMark/>
          </w:tcPr>
          <w:p w14:paraId="25074524" w14:textId="6B13FDD1"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МЗЖС, ПСУЗЖС, ЈЛС </w:t>
            </w:r>
          </w:p>
        </w:tc>
        <w:tc>
          <w:tcPr>
            <w:tcW w:w="1473" w:type="dxa"/>
            <w:vMerge w:val="restart"/>
            <w:tcBorders>
              <w:top w:val="single" w:sz="4" w:space="0" w:color="auto"/>
              <w:left w:val="single" w:sz="4" w:space="0" w:color="auto"/>
              <w:bottom w:val="single" w:sz="4" w:space="0" w:color="auto"/>
              <w:right w:val="single" w:sz="4" w:space="0" w:color="auto"/>
            </w:tcBorders>
            <w:hideMark/>
          </w:tcPr>
          <w:p w14:paraId="22F43339"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vMerge w:val="restart"/>
            <w:tcBorders>
              <w:top w:val="single" w:sz="4" w:space="0" w:color="auto"/>
              <w:left w:val="single" w:sz="4" w:space="0" w:color="auto"/>
              <w:bottom w:val="single" w:sz="4" w:space="0" w:color="auto"/>
              <w:right w:val="single" w:sz="4" w:space="0" w:color="auto"/>
            </w:tcBorders>
            <w:hideMark/>
          </w:tcPr>
          <w:p w14:paraId="0D5DCD94" w14:textId="77777777"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96" w:type="dxa"/>
            <w:vMerge w:val="restart"/>
            <w:tcBorders>
              <w:top w:val="single" w:sz="4" w:space="0" w:color="auto"/>
              <w:left w:val="single" w:sz="4" w:space="0" w:color="auto"/>
              <w:bottom w:val="single" w:sz="4" w:space="0" w:color="auto"/>
              <w:right w:val="single" w:sz="4" w:space="0" w:color="auto"/>
            </w:tcBorders>
            <w:hideMark/>
          </w:tcPr>
          <w:p w14:paraId="62A45F43" w14:textId="2FE44A3E" w:rsidR="0091529A" w:rsidRPr="00EF2F18" w:rsidRDefault="0091529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0404-560-0010-411</w:t>
            </w:r>
          </w:p>
        </w:tc>
        <w:tc>
          <w:tcPr>
            <w:tcW w:w="1185" w:type="dxa"/>
            <w:vMerge w:val="restart"/>
            <w:tcBorders>
              <w:top w:val="single" w:sz="4" w:space="0" w:color="auto"/>
              <w:left w:val="single" w:sz="4" w:space="0" w:color="auto"/>
              <w:bottom w:val="single" w:sz="4" w:space="0" w:color="auto"/>
              <w:right w:val="single" w:sz="4" w:space="0" w:color="auto"/>
            </w:tcBorders>
          </w:tcPr>
          <w:p w14:paraId="062EE43B" w14:textId="547097C8"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vMerge w:val="restart"/>
            <w:tcBorders>
              <w:top w:val="single" w:sz="4" w:space="0" w:color="auto"/>
              <w:left w:val="single" w:sz="4" w:space="0" w:color="auto"/>
              <w:bottom w:val="single" w:sz="4" w:space="0" w:color="auto"/>
              <w:right w:val="single" w:sz="4" w:space="0" w:color="auto"/>
            </w:tcBorders>
          </w:tcPr>
          <w:p w14:paraId="4FF66C65" w14:textId="24A476DC" w:rsidR="0091529A" w:rsidRPr="00EF2F18" w:rsidRDefault="0091529A" w:rsidP="00752CA0">
            <w:pPr>
              <w:spacing w:after="0"/>
              <w:jc w:val="right"/>
              <w:rPr>
                <w:rFonts w:eastAsia="Times New Roman" w:cs="Times New Roman"/>
                <w:color w:val="000000"/>
                <w:sz w:val="20"/>
                <w:szCs w:val="20"/>
                <w:lang w:val="sr-Cyrl-RS" w:eastAsia="sr-Cyrl-RS"/>
              </w:rPr>
            </w:pPr>
          </w:p>
        </w:tc>
        <w:tc>
          <w:tcPr>
            <w:tcW w:w="1260" w:type="dxa"/>
            <w:vMerge w:val="restart"/>
            <w:tcBorders>
              <w:top w:val="single" w:sz="4" w:space="0" w:color="auto"/>
              <w:left w:val="single" w:sz="4" w:space="0" w:color="auto"/>
              <w:bottom w:val="single" w:sz="4" w:space="0" w:color="auto"/>
              <w:right w:val="single" w:sz="4" w:space="0" w:color="auto"/>
            </w:tcBorders>
          </w:tcPr>
          <w:p w14:paraId="3BA94B0A" w14:textId="6F261FF2" w:rsidR="0091529A" w:rsidRPr="00EF2F18" w:rsidRDefault="0091529A"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68B08B22" w14:textId="77777777" w:rsidR="0091529A" w:rsidRPr="00EF2F18" w:rsidRDefault="0091529A" w:rsidP="00752CA0">
            <w:pPr>
              <w:spacing w:after="0"/>
              <w:rPr>
                <w:rFonts w:eastAsia="Times New Roman" w:cs="Times New Roman"/>
                <w:sz w:val="20"/>
                <w:szCs w:val="20"/>
                <w:lang w:val="sr-Cyrl-RS" w:eastAsia="sr-Cyrl-RS"/>
              </w:rPr>
            </w:pPr>
          </w:p>
        </w:tc>
      </w:tr>
      <w:tr w:rsidR="0091529A" w:rsidRPr="00EF2F18" w14:paraId="599C62D2" w14:textId="77777777" w:rsidTr="0091529A">
        <w:trPr>
          <w:trHeight w:val="324"/>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5B5EF857"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14:paraId="6569F9DE"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14:paraId="2DA3B8CE"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7CF573AD"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691" w:type="dxa"/>
            <w:vMerge/>
            <w:tcBorders>
              <w:top w:val="single" w:sz="4" w:space="0" w:color="auto"/>
              <w:left w:val="single" w:sz="4" w:space="0" w:color="auto"/>
              <w:bottom w:val="single" w:sz="4" w:space="0" w:color="auto"/>
              <w:right w:val="single" w:sz="4" w:space="0" w:color="auto"/>
            </w:tcBorders>
            <w:vAlign w:val="center"/>
            <w:hideMark/>
          </w:tcPr>
          <w:p w14:paraId="6F63A091"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496" w:type="dxa"/>
            <w:vMerge/>
            <w:tcBorders>
              <w:top w:val="single" w:sz="4" w:space="0" w:color="auto"/>
              <w:left w:val="single" w:sz="4" w:space="0" w:color="auto"/>
              <w:bottom w:val="single" w:sz="4" w:space="0" w:color="auto"/>
              <w:right w:val="single" w:sz="4" w:space="0" w:color="auto"/>
            </w:tcBorders>
            <w:vAlign w:val="center"/>
            <w:hideMark/>
          </w:tcPr>
          <w:p w14:paraId="5C13CA18"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185" w:type="dxa"/>
            <w:vMerge/>
            <w:tcBorders>
              <w:top w:val="single" w:sz="4" w:space="0" w:color="auto"/>
              <w:left w:val="single" w:sz="4" w:space="0" w:color="auto"/>
              <w:bottom w:val="single" w:sz="4" w:space="0" w:color="auto"/>
              <w:right w:val="single" w:sz="4" w:space="0" w:color="auto"/>
            </w:tcBorders>
            <w:vAlign w:val="center"/>
          </w:tcPr>
          <w:p w14:paraId="7F48BCE5"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483869E"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64D024C0" w14:textId="77777777" w:rsidR="0091529A" w:rsidRPr="00EF2F18" w:rsidRDefault="0091529A" w:rsidP="00752CA0">
            <w:pPr>
              <w:spacing w:after="0"/>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201ED349" w14:textId="77777777" w:rsidR="0091529A" w:rsidRPr="00EF2F18" w:rsidRDefault="0091529A" w:rsidP="00752CA0">
            <w:pPr>
              <w:spacing w:after="0"/>
              <w:rPr>
                <w:rFonts w:eastAsia="Times New Roman" w:cs="Times New Roman"/>
                <w:color w:val="000000"/>
                <w:sz w:val="20"/>
                <w:szCs w:val="20"/>
                <w:lang w:val="sr-Cyrl-RS" w:eastAsia="sr-Cyrl-RS"/>
              </w:rPr>
            </w:pPr>
          </w:p>
        </w:tc>
      </w:tr>
    </w:tbl>
    <w:p w14:paraId="5F88012E" w14:textId="74699B0A" w:rsidR="007D7243" w:rsidRPr="00EF2F18" w:rsidRDefault="00ED19C2"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C34DCE3" w14:textId="77777777" w:rsidR="0050150F" w:rsidRPr="00EF2F18" w:rsidRDefault="0050150F" w:rsidP="007D7243">
      <w:pPr>
        <w:spacing w:after="0"/>
        <w:rPr>
          <w:rFonts w:cs="Times New Roman"/>
          <w:sz w:val="20"/>
          <w:szCs w:val="20"/>
          <w:lang w:val="sr-Cyrl-RS"/>
        </w:rPr>
      </w:pPr>
    </w:p>
    <w:p w14:paraId="7FA23B51" w14:textId="77777777" w:rsidR="007D7243" w:rsidRPr="00EF2F18" w:rsidRDefault="007D7243" w:rsidP="007D7243">
      <w:pPr>
        <w:spacing w:after="0"/>
        <w:rPr>
          <w:rFonts w:cs="Times New Roman"/>
          <w:sz w:val="20"/>
          <w:szCs w:val="20"/>
          <w:lang w:val="sr-Cyrl-RS"/>
        </w:rPr>
      </w:pPr>
    </w:p>
    <w:tbl>
      <w:tblPr>
        <w:tblW w:w="13567" w:type="dxa"/>
        <w:tblLook w:val="04A0" w:firstRow="1" w:lastRow="0" w:firstColumn="1" w:lastColumn="0" w:noHBand="0" w:noVBand="1"/>
      </w:tblPr>
      <w:tblGrid>
        <w:gridCol w:w="3019"/>
        <w:gridCol w:w="1653"/>
        <w:gridCol w:w="1216"/>
        <w:gridCol w:w="938"/>
        <w:gridCol w:w="806"/>
        <w:gridCol w:w="1405"/>
        <w:gridCol w:w="1155"/>
        <w:gridCol w:w="1155"/>
        <w:gridCol w:w="2204"/>
        <w:gridCol w:w="16"/>
      </w:tblGrid>
      <w:tr w:rsidR="007D7243" w:rsidRPr="00EF2F18" w14:paraId="2E45A960" w14:textId="77777777" w:rsidTr="00DA10F3">
        <w:trPr>
          <w:gridAfter w:val="1"/>
          <w:wAfter w:w="16" w:type="dxa"/>
          <w:trHeight w:val="336"/>
        </w:trPr>
        <w:tc>
          <w:tcPr>
            <w:tcW w:w="13551"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0DCA8B10"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3.3.3: Спровођење посебних програма испитивања стања и квалитета земљишта</w:t>
            </w:r>
          </w:p>
        </w:tc>
      </w:tr>
      <w:tr w:rsidR="007D7243" w:rsidRPr="00EF2F18" w14:paraId="53D4100C" w14:textId="77777777" w:rsidTr="00DA10F3">
        <w:trPr>
          <w:gridAfter w:val="1"/>
          <w:wAfter w:w="16" w:type="dxa"/>
          <w:trHeight w:val="336"/>
        </w:trPr>
        <w:tc>
          <w:tcPr>
            <w:tcW w:w="13551"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417F8312"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16FFE02F" w14:textId="77777777" w:rsidTr="00DA10F3">
        <w:trPr>
          <w:gridAfter w:val="1"/>
          <w:wAfter w:w="16" w:type="dxa"/>
          <w:trHeight w:val="336"/>
        </w:trPr>
        <w:tc>
          <w:tcPr>
            <w:tcW w:w="6826"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9787348" w14:textId="617A96F8"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w:t>
            </w:r>
            <w:r w:rsidR="00DA10F3" w:rsidRPr="00EF2F18">
              <w:rPr>
                <w:rFonts w:eastAsia="Times New Roman" w:cs="Times New Roman"/>
                <w:sz w:val="20"/>
                <w:szCs w:val="20"/>
                <w:lang w:val="sr-Cyrl-RS" w:eastAsia="sr-Cyrl-RS"/>
              </w:rPr>
              <w:t>26</w:t>
            </w:r>
            <w:r w:rsidRPr="00EF2F18">
              <w:rPr>
                <w:rFonts w:eastAsia="Times New Roman" w:cs="Times New Roman"/>
                <w:sz w:val="20"/>
                <w:szCs w:val="20"/>
                <w:lang w:val="sr-Cyrl-RS" w:eastAsia="sr-Cyrl-RS"/>
              </w:rPr>
              <w:t xml:space="preserve">–2028. </w:t>
            </w:r>
          </w:p>
        </w:tc>
        <w:tc>
          <w:tcPr>
            <w:tcW w:w="6725"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6CEB393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p>
        </w:tc>
      </w:tr>
      <w:tr w:rsidR="007D7243" w:rsidRPr="00EF2F18" w14:paraId="375178CD" w14:textId="77777777" w:rsidTr="00DA10F3">
        <w:trPr>
          <w:gridAfter w:val="1"/>
          <w:wAfter w:w="16" w:type="dxa"/>
          <w:trHeight w:val="336"/>
        </w:trPr>
        <w:tc>
          <w:tcPr>
            <w:tcW w:w="6826"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71482AD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25"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78A043AF"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DA10F3" w:rsidRPr="00EF2F18" w14:paraId="5E4C0348" w14:textId="77777777" w:rsidTr="00DA10F3">
        <w:trPr>
          <w:trHeight w:val="108"/>
        </w:trPr>
        <w:tc>
          <w:tcPr>
            <w:tcW w:w="3019" w:type="dxa"/>
            <w:tcBorders>
              <w:top w:val="nil"/>
              <w:left w:val="double" w:sz="6" w:space="0" w:color="auto"/>
              <w:bottom w:val="double" w:sz="6" w:space="0" w:color="auto"/>
              <w:right w:val="single" w:sz="8" w:space="0" w:color="auto"/>
            </w:tcBorders>
            <w:shd w:val="clear" w:color="000000" w:fill="D9D9D9"/>
            <w:hideMark/>
          </w:tcPr>
          <w:p w14:paraId="4B941D6C"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653" w:type="dxa"/>
            <w:tcBorders>
              <w:top w:val="nil"/>
              <w:left w:val="nil"/>
              <w:bottom w:val="double" w:sz="6" w:space="0" w:color="auto"/>
              <w:right w:val="single" w:sz="8" w:space="0" w:color="auto"/>
            </w:tcBorders>
            <w:shd w:val="clear" w:color="000000" w:fill="D9D9D9"/>
            <w:hideMark/>
          </w:tcPr>
          <w:p w14:paraId="0C39A6FB"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16" w:type="dxa"/>
            <w:tcBorders>
              <w:top w:val="nil"/>
              <w:left w:val="nil"/>
              <w:bottom w:val="double" w:sz="6" w:space="0" w:color="auto"/>
              <w:right w:val="single" w:sz="8" w:space="0" w:color="auto"/>
            </w:tcBorders>
            <w:shd w:val="clear" w:color="000000" w:fill="D9D9D9"/>
            <w:hideMark/>
          </w:tcPr>
          <w:p w14:paraId="1AC7B07F"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744" w:type="dxa"/>
            <w:gridSpan w:val="2"/>
            <w:tcBorders>
              <w:top w:val="double" w:sz="6" w:space="0" w:color="auto"/>
              <w:left w:val="nil"/>
              <w:bottom w:val="double" w:sz="6" w:space="0" w:color="auto"/>
              <w:right w:val="single" w:sz="8" w:space="0" w:color="000000"/>
            </w:tcBorders>
            <w:shd w:val="clear" w:color="000000" w:fill="D9D9D9"/>
            <w:hideMark/>
          </w:tcPr>
          <w:p w14:paraId="79CAAC49"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05" w:type="dxa"/>
            <w:tcBorders>
              <w:top w:val="nil"/>
              <w:left w:val="nil"/>
              <w:bottom w:val="double" w:sz="6" w:space="0" w:color="auto"/>
              <w:right w:val="single" w:sz="8" w:space="0" w:color="auto"/>
            </w:tcBorders>
            <w:shd w:val="clear" w:color="000000" w:fill="D9D9D9"/>
            <w:hideMark/>
          </w:tcPr>
          <w:p w14:paraId="6F40568A"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155" w:type="dxa"/>
            <w:tcBorders>
              <w:top w:val="nil"/>
              <w:left w:val="nil"/>
              <w:bottom w:val="double" w:sz="6" w:space="0" w:color="auto"/>
              <w:right w:val="nil"/>
            </w:tcBorders>
            <w:shd w:val="clear" w:color="000000" w:fill="D9D9D9"/>
            <w:hideMark/>
          </w:tcPr>
          <w:p w14:paraId="794DEF6F"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155" w:type="dxa"/>
            <w:tcBorders>
              <w:top w:val="nil"/>
              <w:left w:val="nil"/>
              <w:bottom w:val="double" w:sz="6" w:space="0" w:color="auto"/>
              <w:right w:val="single" w:sz="8" w:space="0" w:color="auto"/>
            </w:tcBorders>
            <w:shd w:val="clear" w:color="000000" w:fill="D9D9D9"/>
            <w:hideMark/>
          </w:tcPr>
          <w:p w14:paraId="3DE770F5"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2220" w:type="dxa"/>
            <w:gridSpan w:val="2"/>
            <w:tcBorders>
              <w:top w:val="nil"/>
              <w:left w:val="nil"/>
              <w:bottom w:val="double" w:sz="6" w:space="0" w:color="auto"/>
              <w:right w:val="double" w:sz="6" w:space="0" w:color="auto"/>
            </w:tcBorders>
            <w:shd w:val="clear" w:color="000000" w:fill="D9D9D9"/>
            <w:hideMark/>
          </w:tcPr>
          <w:p w14:paraId="72E535C0"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DA10F3" w:rsidRPr="00EF2F18" w14:paraId="082F5091" w14:textId="77777777" w:rsidTr="00DA10F3">
        <w:trPr>
          <w:trHeight w:val="816"/>
        </w:trPr>
        <w:tc>
          <w:tcPr>
            <w:tcW w:w="3019" w:type="dxa"/>
            <w:tcBorders>
              <w:top w:val="nil"/>
              <w:left w:val="double" w:sz="6" w:space="0" w:color="auto"/>
              <w:bottom w:val="double" w:sz="6" w:space="0" w:color="auto"/>
              <w:right w:val="single" w:sz="8" w:space="0" w:color="auto"/>
            </w:tcBorders>
            <w:shd w:val="clear" w:color="000000" w:fill="FFFFFF"/>
            <w:hideMark/>
          </w:tcPr>
          <w:p w14:paraId="2526B6CD"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Успостављен програми праћења стања и квалитета земљишта </w:t>
            </w:r>
          </w:p>
        </w:tc>
        <w:tc>
          <w:tcPr>
            <w:tcW w:w="1653" w:type="dxa"/>
            <w:tcBorders>
              <w:top w:val="nil"/>
              <w:left w:val="nil"/>
              <w:bottom w:val="double" w:sz="6" w:space="0" w:color="auto"/>
              <w:right w:val="single" w:sz="8" w:space="0" w:color="auto"/>
            </w:tcBorders>
            <w:shd w:val="clear" w:color="000000" w:fill="FFFFFF"/>
            <w:hideMark/>
          </w:tcPr>
          <w:p w14:paraId="593FA18D"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не/делимично/да</w:t>
            </w:r>
          </w:p>
        </w:tc>
        <w:tc>
          <w:tcPr>
            <w:tcW w:w="1216" w:type="dxa"/>
            <w:tcBorders>
              <w:top w:val="nil"/>
              <w:left w:val="nil"/>
              <w:bottom w:val="double" w:sz="6" w:space="0" w:color="auto"/>
              <w:right w:val="single" w:sz="8" w:space="0" w:color="auto"/>
            </w:tcBorders>
            <w:shd w:val="clear" w:color="000000" w:fill="FFFFFF"/>
            <w:hideMark/>
          </w:tcPr>
          <w:p w14:paraId="79257835"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МЗЖС, АЗЖС</w:t>
            </w:r>
          </w:p>
        </w:tc>
        <w:tc>
          <w:tcPr>
            <w:tcW w:w="1744" w:type="dxa"/>
            <w:gridSpan w:val="2"/>
            <w:tcBorders>
              <w:top w:val="double" w:sz="6" w:space="0" w:color="auto"/>
              <w:left w:val="nil"/>
              <w:bottom w:val="double" w:sz="6" w:space="0" w:color="auto"/>
              <w:right w:val="single" w:sz="8" w:space="0" w:color="000000"/>
            </w:tcBorders>
            <w:shd w:val="clear" w:color="000000" w:fill="FFFFFF"/>
            <w:hideMark/>
          </w:tcPr>
          <w:p w14:paraId="2D818F3A"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405" w:type="dxa"/>
            <w:tcBorders>
              <w:top w:val="nil"/>
              <w:left w:val="nil"/>
              <w:bottom w:val="double" w:sz="6" w:space="0" w:color="auto"/>
              <w:right w:val="single" w:sz="8" w:space="0" w:color="auto"/>
            </w:tcBorders>
            <w:shd w:val="clear" w:color="000000" w:fill="FFFFFF"/>
            <w:hideMark/>
          </w:tcPr>
          <w:p w14:paraId="5E607537"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55" w:type="dxa"/>
            <w:tcBorders>
              <w:top w:val="nil"/>
              <w:left w:val="single" w:sz="4" w:space="0" w:color="auto"/>
              <w:bottom w:val="double" w:sz="6" w:space="0" w:color="auto"/>
              <w:right w:val="single" w:sz="8" w:space="0" w:color="auto"/>
            </w:tcBorders>
            <w:shd w:val="clear" w:color="000000" w:fill="FFFFFF"/>
            <w:hideMark/>
          </w:tcPr>
          <w:p w14:paraId="327B7280"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1155" w:type="dxa"/>
            <w:tcBorders>
              <w:top w:val="nil"/>
              <w:left w:val="nil"/>
              <w:bottom w:val="double" w:sz="6" w:space="0" w:color="auto"/>
              <w:right w:val="single" w:sz="8" w:space="0" w:color="auto"/>
            </w:tcBorders>
            <w:shd w:val="clear" w:color="000000" w:fill="FFFFFF"/>
            <w:hideMark/>
          </w:tcPr>
          <w:p w14:paraId="44E461A1"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2220" w:type="dxa"/>
            <w:gridSpan w:val="2"/>
            <w:tcBorders>
              <w:top w:val="nil"/>
              <w:left w:val="nil"/>
              <w:bottom w:val="double" w:sz="6" w:space="0" w:color="auto"/>
              <w:right w:val="double" w:sz="6" w:space="0" w:color="auto"/>
            </w:tcBorders>
            <w:shd w:val="clear" w:color="000000" w:fill="FFFFFF"/>
            <w:hideMark/>
          </w:tcPr>
          <w:p w14:paraId="0882421F" w14:textId="77777777"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r>
    </w:tbl>
    <w:p w14:paraId="1A329216" w14:textId="77777777" w:rsidR="007D7243" w:rsidRPr="00EF2F18" w:rsidRDefault="007D7243" w:rsidP="007D7243">
      <w:pPr>
        <w:spacing w:after="0"/>
        <w:rPr>
          <w:lang w:val="sr-Cyrl-RS"/>
        </w:rPr>
      </w:pPr>
    </w:p>
    <w:tbl>
      <w:tblPr>
        <w:tblW w:w="13494" w:type="dxa"/>
        <w:tblLook w:val="04A0" w:firstRow="1" w:lastRow="0" w:firstColumn="1" w:lastColumn="0" w:noHBand="0" w:noVBand="1"/>
      </w:tblPr>
      <w:tblGrid>
        <w:gridCol w:w="3800"/>
        <w:gridCol w:w="2414"/>
        <w:gridCol w:w="2493"/>
        <w:gridCol w:w="2430"/>
        <w:gridCol w:w="2340"/>
        <w:gridCol w:w="17"/>
      </w:tblGrid>
      <w:tr w:rsidR="007D7243" w:rsidRPr="00EF2F18" w14:paraId="37CEC5B1" w14:textId="77777777" w:rsidTr="00752CA0">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11B0D7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14"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5DF6B6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4"/>
            <w:tcBorders>
              <w:top w:val="double" w:sz="6" w:space="0" w:color="auto"/>
              <w:left w:val="nil"/>
              <w:bottom w:val="double" w:sz="6" w:space="0" w:color="auto"/>
              <w:right w:val="double" w:sz="6" w:space="0" w:color="auto"/>
            </w:tcBorders>
            <w:shd w:val="clear" w:color="000000" w:fill="A8D08D"/>
            <w:hideMark/>
          </w:tcPr>
          <w:p w14:paraId="0728804D"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DA10F3" w:rsidRPr="00EF2F18" w14:paraId="1F988275" w14:textId="77777777" w:rsidTr="00DA10F3">
        <w:trPr>
          <w:gridAfter w:val="1"/>
          <w:wAfter w:w="17" w:type="dxa"/>
          <w:trHeight w:val="432"/>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1282E83A"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2414" w:type="dxa"/>
            <w:vMerge/>
            <w:tcBorders>
              <w:top w:val="double" w:sz="6" w:space="0" w:color="auto"/>
              <w:left w:val="double" w:sz="6" w:space="0" w:color="auto"/>
              <w:bottom w:val="single" w:sz="8" w:space="0" w:color="000000"/>
              <w:right w:val="double" w:sz="6" w:space="0" w:color="auto"/>
            </w:tcBorders>
            <w:vAlign w:val="center"/>
            <w:hideMark/>
          </w:tcPr>
          <w:p w14:paraId="4313B324"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2493" w:type="dxa"/>
            <w:tcBorders>
              <w:top w:val="nil"/>
              <w:left w:val="nil"/>
              <w:bottom w:val="double" w:sz="6" w:space="0" w:color="auto"/>
              <w:right w:val="double" w:sz="6" w:space="0" w:color="auto"/>
            </w:tcBorders>
            <w:shd w:val="clear" w:color="000000" w:fill="A8D08D"/>
            <w:hideMark/>
          </w:tcPr>
          <w:p w14:paraId="6752C92C" w14:textId="61DF5BC8"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tcBorders>
              <w:top w:val="nil"/>
              <w:left w:val="nil"/>
              <w:bottom w:val="double" w:sz="6" w:space="0" w:color="auto"/>
              <w:right w:val="double" w:sz="6" w:space="0" w:color="auto"/>
            </w:tcBorders>
            <w:shd w:val="clear" w:color="000000" w:fill="A8D08D"/>
            <w:hideMark/>
          </w:tcPr>
          <w:p w14:paraId="6DFC8C2D" w14:textId="7A9DDD54"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340" w:type="dxa"/>
            <w:tcBorders>
              <w:top w:val="nil"/>
              <w:left w:val="nil"/>
              <w:bottom w:val="double" w:sz="6" w:space="0" w:color="auto"/>
              <w:right w:val="double" w:sz="6" w:space="0" w:color="auto"/>
            </w:tcBorders>
            <w:shd w:val="clear" w:color="000000" w:fill="A8D08D"/>
            <w:hideMark/>
          </w:tcPr>
          <w:p w14:paraId="0C9A8978" w14:textId="16C1FBD1"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2028. године</w:t>
            </w:r>
          </w:p>
        </w:tc>
      </w:tr>
      <w:tr w:rsidR="00DA10F3" w:rsidRPr="00EF2F18" w14:paraId="340AB1DC" w14:textId="77777777" w:rsidTr="00DA10F3">
        <w:trPr>
          <w:gridAfter w:val="1"/>
          <w:wAfter w:w="17" w:type="dxa"/>
          <w:trHeight w:val="324"/>
        </w:trPr>
        <w:tc>
          <w:tcPr>
            <w:tcW w:w="3800" w:type="dxa"/>
            <w:tcBorders>
              <w:top w:val="nil"/>
              <w:left w:val="double" w:sz="6" w:space="0" w:color="auto"/>
              <w:bottom w:val="double" w:sz="6" w:space="0" w:color="auto"/>
              <w:right w:val="double" w:sz="6" w:space="0" w:color="auto"/>
            </w:tcBorders>
            <w:vAlign w:val="center"/>
            <w:hideMark/>
          </w:tcPr>
          <w:p w14:paraId="38D18F62"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414" w:type="dxa"/>
            <w:tcBorders>
              <w:top w:val="nil"/>
              <w:left w:val="nil"/>
              <w:bottom w:val="double" w:sz="6" w:space="0" w:color="auto"/>
              <w:right w:val="double" w:sz="6" w:space="0" w:color="auto"/>
            </w:tcBorders>
            <w:vAlign w:val="center"/>
            <w:hideMark/>
          </w:tcPr>
          <w:p w14:paraId="5A766403"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2493" w:type="dxa"/>
            <w:tcBorders>
              <w:top w:val="nil"/>
              <w:left w:val="nil"/>
              <w:bottom w:val="double" w:sz="6" w:space="0" w:color="auto"/>
              <w:right w:val="double" w:sz="6" w:space="0" w:color="auto"/>
            </w:tcBorders>
            <w:vAlign w:val="center"/>
            <w:hideMark/>
          </w:tcPr>
          <w:p w14:paraId="765FD63D" w14:textId="77777777" w:rsidR="00DA10F3" w:rsidRPr="00EF2F18" w:rsidRDefault="00DA10F3"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430" w:type="dxa"/>
            <w:tcBorders>
              <w:top w:val="nil"/>
              <w:left w:val="nil"/>
              <w:bottom w:val="double" w:sz="6" w:space="0" w:color="auto"/>
              <w:right w:val="double" w:sz="6" w:space="0" w:color="auto"/>
            </w:tcBorders>
            <w:vAlign w:val="center"/>
            <w:hideMark/>
          </w:tcPr>
          <w:p w14:paraId="55AACFB4" w14:textId="77777777" w:rsidR="00DA10F3" w:rsidRPr="00EF2F18" w:rsidRDefault="00DA10F3"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340" w:type="dxa"/>
            <w:tcBorders>
              <w:top w:val="nil"/>
              <w:left w:val="nil"/>
              <w:bottom w:val="double" w:sz="6" w:space="0" w:color="auto"/>
              <w:right w:val="double" w:sz="6" w:space="0" w:color="auto"/>
            </w:tcBorders>
            <w:vAlign w:val="center"/>
            <w:hideMark/>
          </w:tcPr>
          <w:p w14:paraId="14EF1BD0" w14:textId="77777777" w:rsidR="00DA10F3" w:rsidRPr="00EF2F18" w:rsidRDefault="00DA10F3"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bl>
    <w:p w14:paraId="77991E5B" w14:textId="51731556" w:rsidR="00382D07" w:rsidRPr="00EF2F18" w:rsidRDefault="00382D07" w:rsidP="007D7243">
      <w:pPr>
        <w:spacing w:after="0"/>
        <w:rPr>
          <w:lang w:val="sr-Cyrl-RS"/>
        </w:rPr>
      </w:pPr>
    </w:p>
    <w:tbl>
      <w:tblPr>
        <w:tblW w:w="13731" w:type="dxa"/>
        <w:tblCellMar>
          <w:top w:w="15" w:type="dxa"/>
        </w:tblCellMar>
        <w:tblLook w:val="04A0" w:firstRow="1" w:lastRow="0" w:firstColumn="1" w:lastColumn="0" w:noHBand="0" w:noVBand="1"/>
      </w:tblPr>
      <w:tblGrid>
        <w:gridCol w:w="2385"/>
        <w:gridCol w:w="1211"/>
        <w:gridCol w:w="1424"/>
        <w:gridCol w:w="1545"/>
        <w:gridCol w:w="1902"/>
        <w:gridCol w:w="1419"/>
        <w:gridCol w:w="1107"/>
        <w:gridCol w:w="1074"/>
        <w:gridCol w:w="1410"/>
        <w:gridCol w:w="18"/>
        <w:gridCol w:w="236"/>
      </w:tblGrid>
      <w:tr w:rsidR="007D7243" w:rsidRPr="00EF2F18" w14:paraId="52AF4C15" w14:textId="77777777" w:rsidTr="009B28D1">
        <w:trPr>
          <w:gridAfter w:val="2"/>
          <w:wAfter w:w="254" w:type="dxa"/>
          <w:trHeight w:val="732"/>
        </w:trPr>
        <w:tc>
          <w:tcPr>
            <w:tcW w:w="2385"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1831AD2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211"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44CC6C2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424"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15D52A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545"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2439C07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902"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569A6F2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19" w:type="dxa"/>
            <w:vMerge w:val="restart"/>
            <w:tcBorders>
              <w:top w:val="single" w:sz="4" w:space="0" w:color="auto"/>
              <w:left w:val="single" w:sz="4" w:space="0" w:color="auto"/>
              <w:bottom w:val="single" w:sz="4" w:space="0" w:color="auto"/>
              <w:right w:val="single" w:sz="4" w:space="0" w:color="auto"/>
            </w:tcBorders>
            <w:shd w:val="clear" w:color="000000" w:fill="FFF2CC"/>
            <w:hideMark/>
          </w:tcPr>
          <w:p w14:paraId="7DA7DD2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591" w:type="dxa"/>
            <w:gridSpan w:val="3"/>
            <w:tcBorders>
              <w:top w:val="single" w:sz="4" w:space="0" w:color="auto"/>
              <w:left w:val="single" w:sz="4" w:space="0" w:color="auto"/>
              <w:bottom w:val="single" w:sz="4" w:space="0" w:color="auto"/>
              <w:right w:val="single" w:sz="4" w:space="0" w:color="auto"/>
            </w:tcBorders>
            <w:shd w:val="clear" w:color="000000" w:fill="FFF2CC"/>
            <w:hideMark/>
          </w:tcPr>
          <w:p w14:paraId="2BDCDA4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DA10F3" w:rsidRPr="00EF2F18" w14:paraId="2962E009" w14:textId="77777777" w:rsidTr="009B28D1">
        <w:trPr>
          <w:gridAfter w:val="1"/>
          <w:wAfter w:w="236" w:type="dxa"/>
          <w:trHeight w:val="324"/>
        </w:trPr>
        <w:tc>
          <w:tcPr>
            <w:tcW w:w="2385" w:type="dxa"/>
            <w:vMerge/>
            <w:tcBorders>
              <w:top w:val="single" w:sz="4" w:space="0" w:color="auto"/>
              <w:left w:val="single" w:sz="4" w:space="0" w:color="auto"/>
              <w:bottom w:val="single" w:sz="4" w:space="0" w:color="auto"/>
              <w:right w:val="single" w:sz="4" w:space="0" w:color="auto"/>
            </w:tcBorders>
            <w:vAlign w:val="center"/>
            <w:hideMark/>
          </w:tcPr>
          <w:p w14:paraId="2A069D7E"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211" w:type="dxa"/>
            <w:vMerge/>
            <w:tcBorders>
              <w:top w:val="single" w:sz="4" w:space="0" w:color="auto"/>
              <w:left w:val="single" w:sz="4" w:space="0" w:color="auto"/>
              <w:bottom w:val="single" w:sz="4" w:space="0" w:color="auto"/>
              <w:right w:val="single" w:sz="4" w:space="0" w:color="auto"/>
            </w:tcBorders>
            <w:vAlign w:val="center"/>
            <w:hideMark/>
          </w:tcPr>
          <w:p w14:paraId="5AD4B8C6"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DC16124"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EB87A6B"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902" w:type="dxa"/>
            <w:vMerge/>
            <w:tcBorders>
              <w:top w:val="single" w:sz="4" w:space="0" w:color="auto"/>
              <w:left w:val="single" w:sz="4" w:space="0" w:color="auto"/>
              <w:bottom w:val="single" w:sz="4" w:space="0" w:color="auto"/>
              <w:right w:val="single" w:sz="4" w:space="0" w:color="auto"/>
            </w:tcBorders>
            <w:vAlign w:val="center"/>
            <w:hideMark/>
          </w:tcPr>
          <w:p w14:paraId="363D3AA1"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65FF11B8"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107" w:type="dxa"/>
            <w:tcBorders>
              <w:top w:val="single" w:sz="4" w:space="0" w:color="auto"/>
              <w:left w:val="single" w:sz="4" w:space="0" w:color="auto"/>
              <w:bottom w:val="single" w:sz="4" w:space="0" w:color="auto"/>
              <w:right w:val="single" w:sz="4" w:space="0" w:color="auto"/>
            </w:tcBorders>
            <w:shd w:val="clear" w:color="000000" w:fill="FFF2CC"/>
            <w:hideMark/>
          </w:tcPr>
          <w:p w14:paraId="11A906F5" w14:textId="60017C39"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074" w:type="dxa"/>
            <w:tcBorders>
              <w:top w:val="single" w:sz="4" w:space="0" w:color="auto"/>
              <w:left w:val="single" w:sz="4" w:space="0" w:color="auto"/>
              <w:bottom w:val="single" w:sz="4" w:space="0" w:color="auto"/>
              <w:right w:val="single" w:sz="4" w:space="0" w:color="auto"/>
            </w:tcBorders>
            <w:shd w:val="clear" w:color="000000" w:fill="FFF2CC"/>
            <w:hideMark/>
          </w:tcPr>
          <w:p w14:paraId="1C7CA7D8" w14:textId="5C446064"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428" w:type="dxa"/>
            <w:gridSpan w:val="2"/>
            <w:tcBorders>
              <w:top w:val="single" w:sz="4" w:space="0" w:color="auto"/>
              <w:left w:val="single" w:sz="4" w:space="0" w:color="auto"/>
              <w:bottom w:val="single" w:sz="4" w:space="0" w:color="auto"/>
              <w:right w:val="single" w:sz="4" w:space="0" w:color="auto"/>
            </w:tcBorders>
            <w:shd w:val="clear" w:color="000000" w:fill="FFF2CC"/>
            <w:hideMark/>
          </w:tcPr>
          <w:p w14:paraId="753FBDD7" w14:textId="2202071D" w:rsidR="00DA10F3" w:rsidRPr="00EF2F18" w:rsidRDefault="00DA10F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DA10F3" w:rsidRPr="00EF2F18" w14:paraId="5CE9A2AB" w14:textId="77777777" w:rsidTr="009B28D1">
        <w:trPr>
          <w:gridAfter w:val="1"/>
          <w:wAfter w:w="236" w:type="dxa"/>
          <w:trHeight w:val="996"/>
        </w:trPr>
        <w:tc>
          <w:tcPr>
            <w:tcW w:w="2385" w:type="dxa"/>
            <w:vMerge w:val="restart"/>
            <w:tcBorders>
              <w:top w:val="single" w:sz="4" w:space="0" w:color="auto"/>
              <w:left w:val="single" w:sz="4" w:space="0" w:color="auto"/>
              <w:bottom w:val="single" w:sz="4" w:space="0" w:color="auto"/>
              <w:right w:val="single" w:sz="4" w:space="0" w:color="auto"/>
            </w:tcBorders>
            <w:hideMark/>
          </w:tcPr>
          <w:p w14:paraId="513987B8"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3.3.3.1. Израда и усвајање посебних програма испитивања стања и квалитета земљишта </w:t>
            </w:r>
          </w:p>
        </w:tc>
        <w:tc>
          <w:tcPr>
            <w:tcW w:w="1211" w:type="dxa"/>
            <w:vMerge w:val="restart"/>
            <w:tcBorders>
              <w:top w:val="single" w:sz="4" w:space="0" w:color="auto"/>
              <w:left w:val="single" w:sz="4" w:space="0" w:color="auto"/>
              <w:bottom w:val="single" w:sz="4" w:space="0" w:color="auto"/>
              <w:right w:val="single" w:sz="4" w:space="0" w:color="auto"/>
            </w:tcBorders>
            <w:hideMark/>
          </w:tcPr>
          <w:p w14:paraId="27187E81"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424" w:type="dxa"/>
            <w:vMerge w:val="restart"/>
            <w:tcBorders>
              <w:top w:val="single" w:sz="4" w:space="0" w:color="auto"/>
              <w:left w:val="single" w:sz="4" w:space="0" w:color="auto"/>
              <w:bottom w:val="single" w:sz="4" w:space="0" w:color="auto"/>
              <w:right w:val="single" w:sz="4" w:space="0" w:color="auto"/>
            </w:tcBorders>
            <w:hideMark/>
          </w:tcPr>
          <w:p w14:paraId="71B9DA7A"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МФ, МПШВ, ПСУЗЖС, ЈЛС, НИО и акредитоване лабораторије</w:t>
            </w:r>
          </w:p>
        </w:tc>
        <w:tc>
          <w:tcPr>
            <w:tcW w:w="1545" w:type="dxa"/>
            <w:vMerge w:val="restart"/>
            <w:tcBorders>
              <w:top w:val="single" w:sz="4" w:space="0" w:color="auto"/>
              <w:left w:val="single" w:sz="4" w:space="0" w:color="auto"/>
              <w:bottom w:val="single" w:sz="4" w:space="0" w:color="auto"/>
              <w:right w:val="single" w:sz="4" w:space="0" w:color="auto"/>
            </w:tcBorders>
            <w:hideMark/>
          </w:tcPr>
          <w:p w14:paraId="01FF5C55" w14:textId="61FC783F" w:rsidR="00DA10F3" w:rsidRPr="00EF2F18" w:rsidRDefault="00CF439E"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902" w:type="dxa"/>
            <w:vMerge w:val="restart"/>
            <w:tcBorders>
              <w:top w:val="single" w:sz="4" w:space="0" w:color="auto"/>
              <w:left w:val="single" w:sz="4" w:space="0" w:color="auto"/>
              <w:bottom w:val="single" w:sz="4" w:space="0" w:color="auto"/>
              <w:right w:val="single" w:sz="4" w:space="0" w:color="auto"/>
            </w:tcBorders>
            <w:hideMark/>
          </w:tcPr>
          <w:p w14:paraId="3C85CC78"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19" w:type="dxa"/>
            <w:vMerge w:val="restart"/>
            <w:tcBorders>
              <w:top w:val="single" w:sz="4" w:space="0" w:color="auto"/>
              <w:left w:val="single" w:sz="4" w:space="0" w:color="auto"/>
              <w:bottom w:val="single" w:sz="4" w:space="0" w:color="auto"/>
              <w:right w:val="single" w:sz="4" w:space="0" w:color="auto"/>
            </w:tcBorders>
            <w:hideMark/>
          </w:tcPr>
          <w:p w14:paraId="7401FC26"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1107" w:type="dxa"/>
            <w:vMerge w:val="restart"/>
            <w:tcBorders>
              <w:top w:val="single" w:sz="4" w:space="0" w:color="auto"/>
              <w:left w:val="single" w:sz="4" w:space="0" w:color="auto"/>
              <w:bottom w:val="single" w:sz="4" w:space="0" w:color="auto"/>
              <w:right w:val="single" w:sz="4" w:space="0" w:color="auto"/>
            </w:tcBorders>
          </w:tcPr>
          <w:p w14:paraId="4432AEB0" w14:textId="3FE0EBC4" w:rsidR="00DA10F3" w:rsidRPr="00EF2F18" w:rsidRDefault="00DA10F3" w:rsidP="00752CA0">
            <w:pPr>
              <w:spacing w:after="0"/>
              <w:jc w:val="right"/>
              <w:rPr>
                <w:rFonts w:eastAsia="Times New Roman" w:cs="Times New Roman"/>
                <w:color w:val="000000"/>
                <w:sz w:val="20"/>
                <w:szCs w:val="20"/>
                <w:lang w:val="sr-Cyrl-RS" w:eastAsia="sr-Cyrl-RS"/>
              </w:rPr>
            </w:pPr>
          </w:p>
        </w:tc>
        <w:tc>
          <w:tcPr>
            <w:tcW w:w="1074" w:type="dxa"/>
            <w:vMerge w:val="restart"/>
            <w:tcBorders>
              <w:top w:val="single" w:sz="4" w:space="0" w:color="auto"/>
              <w:left w:val="single" w:sz="4" w:space="0" w:color="auto"/>
              <w:bottom w:val="single" w:sz="4" w:space="0" w:color="auto"/>
              <w:right w:val="single" w:sz="4" w:space="0" w:color="auto"/>
            </w:tcBorders>
          </w:tcPr>
          <w:p w14:paraId="67647432" w14:textId="6805C199" w:rsidR="00DA10F3" w:rsidRPr="00EF2F18" w:rsidRDefault="00DA10F3" w:rsidP="00752CA0">
            <w:pPr>
              <w:spacing w:after="0"/>
              <w:jc w:val="right"/>
              <w:rPr>
                <w:rFonts w:eastAsia="Times New Roman" w:cs="Times New Roman"/>
                <w:color w:val="000000"/>
                <w:sz w:val="20"/>
                <w:szCs w:val="20"/>
                <w:lang w:val="sr-Cyrl-RS" w:eastAsia="sr-Cyrl-RS"/>
              </w:rPr>
            </w:pPr>
          </w:p>
        </w:tc>
        <w:tc>
          <w:tcPr>
            <w:tcW w:w="1428" w:type="dxa"/>
            <w:gridSpan w:val="2"/>
            <w:vMerge w:val="restart"/>
            <w:tcBorders>
              <w:top w:val="single" w:sz="4" w:space="0" w:color="auto"/>
              <w:left w:val="single" w:sz="4" w:space="0" w:color="auto"/>
              <w:bottom w:val="single" w:sz="4" w:space="0" w:color="auto"/>
              <w:right w:val="single" w:sz="4" w:space="0" w:color="auto"/>
            </w:tcBorders>
          </w:tcPr>
          <w:p w14:paraId="13CA8F56" w14:textId="6D8A26F7" w:rsidR="00DA10F3" w:rsidRPr="00EF2F18" w:rsidRDefault="00DA10F3" w:rsidP="00752CA0">
            <w:pPr>
              <w:spacing w:after="0"/>
              <w:jc w:val="right"/>
              <w:rPr>
                <w:rFonts w:eastAsia="Times New Roman" w:cs="Times New Roman"/>
                <w:color w:val="000000"/>
                <w:sz w:val="20"/>
                <w:szCs w:val="20"/>
                <w:lang w:val="sr-Cyrl-RS" w:eastAsia="sr-Cyrl-RS"/>
              </w:rPr>
            </w:pPr>
          </w:p>
        </w:tc>
      </w:tr>
      <w:tr w:rsidR="00DA10F3" w:rsidRPr="00EF2F18" w14:paraId="71B13645" w14:textId="77777777" w:rsidTr="009B28D1">
        <w:trPr>
          <w:trHeight w:val="324"/>
        </w:trPr>
        <w:tc>
          <w:tcPr>
            <w:tcW w:w="2385" w:type="dxa"/>
            <w:vMerge/>
            <w:tcBorders>
              <w:top w:val="single" w:sz="4" w:space="0" w:color="auto"/>
              <w:left w:val="single" w:sz="4" w:space="0" w:color="auto"/>
              <w:bottom w:val="single" w:sz="4" w:space="0" w:color="auto"/>
              <w:right w:val="single" w:sz="4" w:space="0" w:color="auto"/>
            </w:tcBorders>
            <w:vAlign w:val="center"/>
            <w:hideMark/>
          </w:tcPr>
          <w:p w14:paraId="0A125E74"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211" w:type="dxa"/>
            <w:vMerge/>
            <w:tcBorders>
              <w:top w:val="single" w:sz="4" w:space="0" w:color="auto"/>
              <w:left w:val="single" w:sz="4" w:space="0" w:color="auto"/>
              <w:bottom w:val="single" w:sz="4" w:space="0" w:color="auto"/>
              <w:right w:val="single" w:sz="4" w:space="0" w:color="auto"/>
            </w:tcBorders>
            <w:vAlign w:val="center"/>
            <w:hideMark/>
          </w:tcPr>
          <w:p w14:paraId="7DBE43EE"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740FFB8"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39EEBDD"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902" w:type="dxa"/>
            <w:vMerge/>
            <w:tcBorders>
              <w:top w:val="single" w:sz="4" w:space="0" w:color="auto"/>
              <w:left w:val="single" w:sz="4" w:space="0" w:color="auto"/>
              <w:bottom w:val="single" w:sz="4" w:space="0" w:color="auto"/>
              <w:right w:val="single" w:sz="4" w:space="0" w:color="auto"/>
            </w:tcBorders>
            <w:vAlign w:val="center"/>
            <w:hideMark/>
          </w:tcPr>
          <w:p w14:paraId="62CB7C10"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3363588A"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107" w:type="dxa"/>
            <w:vMerge/>
            <w:tcBorders>
              <w:top w:val="single" w:sz="4" w:space="0" w:color="auto"/>
              <w:left w:val="single" w:sz="4" w:space="0" w:color="auto"/>
              <w:bottom w:val="single" w:sz="4" w:space="0" w:color="auto"/>
              <w:right w:val="single" w:sz="4" w:space="0" w:color="auto"/>
            </w:tcBorders>
            <w:vAlign w:val="center"/>
          </w:tcPr>
          <w:p w14:paraId="498D6330" w14:textId="77777777" w:rsidR="00DA10F3" w:rsidRPr="00EF2F18" w:rsidRDefault="00DA10F3" w:rsidP="00752CA0">
            <w:pPr>
              <w:spacing w:after="0"/>
              <w:jc w:val="right"/>
              <w:rPr>
                <w:rFonts w:eastAsia="Times New Roman" w:cs="Times New Roman"/>
                <w:color w:val="000000"/>
                <w:sz w:val="20"/>
                <w:szCs w:val="20"/>
                <w:lang w:val="sr-Cyrl-RS" w:eastAsia="sr-Cyrl-RS"/>
              </w:rPr>
            </w:pPr>
          </w:p>
        </w:tc>
        <w:tc>
          <w:tcPr>
            <w:tcW w:w="1074" w:type="dxa"/>
            <w:vMerge/>
            <w:tcBorders>
              <w:top w:val="single" w:sz="4" w:space="0" w:color="auto"/>
              <w:left w:val="single" w:sz="4" w:space="0" w:color="auto"/>
              <w:bottom w:val="single" w:sz="4" w:space="0" w:color="auto"/>
              <w:right w:val="single" w:sz="4" w:space="0" w:color="auto"/>
            </w:tcBorders>
            <w:vAlign w:val="center"/>
          </w:tcPr>
          <w:p w14:paraId="502310BD" w14:textId="77777777" w:rsidR="00DA10F3" w:rsidRPr="00EF2F18" w:rsidRDefault="00DA10F3" w:rsidP="00752CA0">
            <w:pPr>
              <w:spacing w:after="0"/>
              <w:jc w:val="right"/>
              <w:rPr>
                <w:rFonts w:eastAsia="Times New Roman" w:cs="Times New Roman"/>
                <w:color w:val="000000"/>
                <w:sz w:val="20"/>
                <w:szCs w:val="20"/>
                <w:lang w:val="sr-Cyrl-RS" w:eastAsia="sr-Cyrl-RS"/>
              </w:rPr>
            </w:pPr>
          </w:p>
        </w:tc>
        <w:tc>
          <w:tcPr>
            <w:tcW w:w="1428" w:type="dxa"/>
            <w:gridSpan w:val="2"/>
            <w:vMerge/>
            <w:tcBorders>
              <w:top w:val="single" w:sz="4" w:space="0" w:color="auto"/>
              <w:left w:val="single" w:sz="4" w:space="0" w:color="auto"/>
              <w:bottom w:val="single" w:sz="4" w:space="0" w:color="auto"/>
              <w:right w:val="single" w:sz="4" w:space="0" w:color="auto"/>
            </w:tcBorders>
            <w:vAlign w:val="center"/>
          </w:tcPr>
          <w:p w14:paraId="6C45F681" w14:textId="77777777" w:rsidR="00DA10F3" w:rsidRPr="00EF2F18" w:rsidRDefault="00DA10F3" w:rsidP="00752CA0">
            <w:pPr>
              <w:spacing w:after="0"/>
              <w:jc w:val="right"/>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530E9684" w14:textId="77777777" w:rsidR="00DA10F3" w:rsidRPr="00EF2F18" w:rsidRDefault="00DA10F3" w:rsidP="00752CA0">
            <w:pPr>
              <w:spacing w:after="0"/>
              <w:rPr>
                <w:rFonts w:eastAsia="Times New Roman" w:cs="Times New Roman"/>
                <w:color w:val="000000"/>
                <w:sz w:val="20"/>
                <w:szCs w:val="20"/>
                <w:lang w:val="sr-Cyrl-RS" w:eastAsia="sr-Cyrl-RS"/>
              </w:rPr>
            </w:pPr>
          </w:p>
        </w:tc>
      </w:tr>
      <w:tr w:rsidR="00DA10F3" w:rsidRPr="00EF2F18" w14:paraId="4E475143" w14:textId="77777777" w:rsidTr="009B28D1">
        <w:trPr>
          <w:trHeight w:val="996"/>
        </w:trPr>
        <w:tc>
          <w:tcPr>
            <w:tcW w:w="2385" w:type="dxa"/>
            <w:vMerge w:val="restart"/>
            <w:tcBorders>
              <w:top w:val="single" w:sz="4" w:space="0" w:color="auto"/>
              <w:left w:val="single" w:sz="4" w:space="0" w:color="auto"/>
              <w:bottom w:val="single" w:sz="4" w:space="0" w:color="auto"/>
              <w:right w:val="single" w:sz="4" w:space="0" w:color="auto"/>
            </w:tcBorders>
            <w:hideMark/>
          </w:tcPr>
          <w:p w14:paraId="367BD99F"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3.3.3.2. Реализација посебних програма испитивања стања и квалитета земљишта </w:t>
            </w:r>
          </w:p>
        </w:tc>
        <w:tc>
          <w:tcPr>
            <w:tcW w:w="1211" w:type="dxa"/>
            <w:vMerge w:val="restart"/>
            <w:tcBorders>
              <w:top w:val="single" w:sz="4" w:space="0" w:color="auto"/>
              <w:left w:val="single" w:sz="4" w:space="0" w:color="auto"/>
              <w:bottom w:val="single" w:sz="4" w:space="0" w:color="auto"/>
              <w:right w:val="single" w:sz="4" w:space="0" w:color="auto"/>
            </w:tcBorders>
            <w:hideMark/>
          </w:tcPr>
          <w:p w14:paraId="4858799C"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424" w:type="dxa"/>
            <w:vMerge w:val="restart"/>
            <w:tcBorders>
              <w:top w:val="single" w:sz="4" w:space="0" w:color="auto"/>
              <w:left w:val="single" w:sz="4" w:space="0" w:color="auto"/>
              <w:bottom w:val="single" w:sz="4" w:space="0" w:color="auto"/>
              <w:right w:val="single" w:sz="4" w:space="0" w:color="auto"/>
            </w:tcBorders>
            <w:hideMark/>
          </w:tcPr>
          <w:p w14:paraId="053E2F24"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АЗЖС, ПСУЗЖС, ЈЛС, НИО и акредитоване лабораторије</w:t>
            </w:r>
          </w:p>
        </w:tc>
        <w:tc>
          <w:tcPr>
            <w:tcW w:w="1545" w:type="dxa"/>
            <w:vMerge w:val="restart"/>
            <w:tcBorders>
              <w:top w:val="single" w:sz="4" w:space="0" w:color="auto"/>
              <w:left w:val="single" w:sz="4" w:space="0" w:color="auto"/>
              <w:bottom w:val="single" w:sz="4" w:space="0" w:color="auto"/>
              <w:right w:val="single" w:sz="4" w:space="0" w:color="auto"/>
            </w:tcBorders>
            <w:hideMark/>
          </w:tcPr>
          <w:p w14:paraId="3DA326E9"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902" w:type="dxa"/>
            <w:vMerge w:val="restart"/>
            <w:tcBorders>
              <w:top w:val="single" w:sz="4" w:space="0" w:color="auto"/>
              <w:left w:val="single" w:sz="4" w:space="0" w:color="auto"/>
              <w:bottom w:val="single" w:sz="4" w:space="0" w:color="auto"/>
              <w:right w:val="single" w:sz="4" w:space="0" w:color="auto"/>
            </w:tcBorders>
            <w:hideMark/>
          </w:tcPr>
          <w:p w14:paraId="37188047"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19" w:type="dxa"/>
            <w:vMerge w:val="restart"/>
            <w:tcBorders>
              <w:top w:val="single" w:sz="4" w:space="0" w:color="auto"/>
              <w:left w:val="single" w:sz="4" w:space="0" w:color="auto"/>
              <w:bottom w:val="single" w:sz="4" w:space="0" w:color="auto"/>
              <w:right w:val="single" w:sz="4" w:space="0" w:color="auto"/>
            </w:tcBorders>
            <w:hideMark/>
          </w:tcPr>
          <w:p w14:paraId="41FDF025" w14:textId="77777777" w:rsidR="00DA10F3" w:rsidRPr="00EF2F18" w:rsidRDefault="00DA10F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0406-560-0001-411</w:t>
            </w:r>
          </w:p>
        </w:tc>
        <w:tc>
          <w:tcPr>
            <w:tcW w:w="1107" w:type="dxa"/>
            <w:vMerge w:val="restart"/>
            <w:tcBorders>
              <w:top w:val="single" w:sz="4" w:space="0" w:color="auto"/>
              <w:left w:val="single" w:sz="4" w:space="0" w:color="auto"/>
              <w:bottom w:val="single" w:sz="4" w:space="0" w:color="auto"/>
              <w:right w:val="single" w:sz="4" w:space="0" w:color="auto"/>
            </w:tcBorders>
          </w:tcPr>
          <w:p w14:paraId="06DCD6C1" w14:textId="2FE8B108" w:rsidR="00DA10F3" w:rsidRPr="00EF2F18" w:rsidRDefault="00DA10F3" w:rsidP="00752CA0">
            <w:pPr>
              <w:spacing w:after="0"/>
              <w:jc w:val="right"/>
              <w:rPr>
                <w:rFonts w:eastAsia="Times New Roman" w:cs="Times New Roman"/>
                <w:color w:val="000000"/>
                <w:sz w:val="20"/>
                <w:szCs w:val="20"/>
                <w:lang w:val="sr-Cyrl-RS" w:eastAsia="sr-Cyrl-RS"/>
              </w:rPr>
            </w:pPr>
          </w:p>
        </w:tc>
        <w:tc>
          <w:tcPr>
            <w:tcW w:w="1074" w:type="dxa"/>
            <w:vMerge w:val="restart"/>
            <w:tcBorders>
              <w:top w:val="single" w:sz="4" w:space="0" w:color="auto"/>
              <w:left w:val="single" w:sz="4" w:space="0" w:color="auto"/>
              <w:bottom w:val="single" w:sz="4" w:space="0" w:color="auto"/>
              <w:right w:val="single" w:sz="4" w:space="0" w:color="auto"/>
            </w:tcBorders>
          </w:tcPr>
          <w:p w14:paraId="61275B44" w14:textId="6040C594" w:rsidR="00DA10F3" w:rsidRPr="00EF2F18" w:rsidRDefault="00DA10F3" w:rsidP="00752CA0">
            <w:pPr>
              <w:spacing w:after="0"/>
              <w:jc w:val="right"/>
              <w:rPr>
                <w:rFonts w:eastAsia="Times New Roman" w:cs="Times New Roman"/>
                <w:color w:val="000000"/>
                <w:sz w:val="20"/>
                <w:szCs w:val="20"/>
                <w:lang w:val="sr-Cyrl-RS" w:eastAsia="sr-Cyrl-RS"/>
              </w:rPr>
            </w:pPr>
          </w:p>
        </w:tc>
        <w:tc>
          <w:tcPr>
            <w:tcW w:w="1428" w:type="dxa"/>
            <w:gridSpan w:val="2"/>
            <w:vMerge w:val="restart"/>
            <w:tcBorders>
              <w:top w:val="single" w:sz="4" w:space="0" w:color="auto"/>
              <w:left w:val="single" w:sz="4" w:space="0" w:color="auto"/>
              <w:bottom w:val="single" w:sz="4" w:space="0" w:color="auto"/>
              <w:right w:val="single" w:sz="4" w:space="0" w:color="auto"/>
            </w:tcBorders>
          </w:tcPr>
          <w:p w14:paraId="3DE51F89" w14:textId="45942AF5" w:rsidR="00DA10F3" w:rsidRPr="00EF2F18" w:rsidRDefault="00DA10F3" w:rsidP="00752CA0">
            <w:pPr>
              <w:spacing w:after="0"/>
              <w:jc w:val="right"/>
              <w:rPr>
                <w:rFonts w:eastAsia="Times New Roman" w:cs="Times New Roman"/>
                <w:color w:val="000000"/>
                <w:sz w:val="20"/>
                <w:szCs w:val="20"/>
                <w:lang w:val="sr-Cyrl-RS" w:eastAsia="sr-Cyrl-RS"/>
              </w:rPr>
            </w:pPr>
          </w:p>
        </w:tc>
        <w:tc>
          <w:tcPr>
            <w:tcW w:w="236" w:type="dxa"/>
            <w:tcBorders>
              <w:left w:val="single" w:sz="4" w:space="0" w:color="auto"/>
            </w:tcBorders>
            <w:vAlign w:val="center"/>
            <w:hideMark/>
          </w:tcPr>
          <w:p w14:paraId="19F7B0D3" w14:textId="77777777" w:rsidR="00DA10F3" w:rsidRPr="00EF2F18" w:rsidRDefault="00DA10F3" w:rsidP="00752CA0">
            <w:pPr>
              <w:spacing w:after="0"/>
              <w:rPr>
                <w:rFonts w:eastAsia="Times New Roman" w:cs="Times New Roman"/>
                <w:sz w:val="20"/>
                <w:szCs w:val="20"/>
                <w:lang w:val="sr-Cyrl-RS" w:eastAsia="sr-Cyrl-RS"/>
              </w:rPr>
            </w:pPr>
          </w:p>
        </w:tc>
      </w:tr>
      <w:tr w:rsidR="00DA10F3" w:rsidRPr="00EF2F18" w14:paraId="6509AE3F" w14:textId="77777777" w:rsidTr="009B28D1">
        <w:trPr>
          <w:trHeight w:val="324"/>
        </w:trPr>
        <w:tc>
          <w:tcPr>
            <w:tcW w:w="2385" w:type="dxa"/>
            <w:vMerge/>
            <w:tcBorders>
              <w:top w:val="single" w:sz="4" w:space="0" w:color="auto"/>
              <w:left w:val="single" w:sz="4" w:space="0" w:color="auto"/>
              <w:bottom w:val="single" w:sz="4" w:space="0" w:color="auto"/>
              <w:right w:val="single" w:sz="4" w:space="0" w:color="auto"/>
            </w:tcBorders>
            <w:vAlign w:val="center"/>
            <w:hideMark/>
          </w:tcPr>
          <w:p w14:paraId="2105638A"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211" w:type="dxa"/>
            <w:vMerge/>
            <w:tcBorders>
              <w:top w:val="single" w:sz="4" w:space="0" w:color="auto"/>
              <w:left w:val="single" w:sz="4" w:space="0" w:color="auto"/>
              <w:bottom w:val="single" w:sz="4" w:space="0" w:color="auto"/>
              <w:right w:val="single" w:sz="4" w:space="0" w:color="auto"/>
            </w:tcBorders>
            <w:vAlign w:val="center"/>
            <w:hideMark/>
          </w:tcPr>
          <w:p w14:paraId="66C863B2"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30A59734"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BA6832D"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902" w:type="dxa"/>
            <w:vMerge/>
            <w:tcBorders>
              <w:top w:val="single" w:sz="4" w:space="0" w:color="auto"/>
              <w:left w:val="single" w:sz="4" w:space="0" w:color="auto"/>
              <w:bottom w:val="single" w:sz="4" w:space="0" w:color="auto"/>
              <w:right w:val="single" w:sz="4" w:space="0" w:color="auto"/>
            </w:tcBorders>
            <w:vAlign w:val="center"/>
            <w:hideMark/>
          </w:tcPr>
          <w:p w14:paraId="1E0334A9"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7C07ECAA"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107" w:type="dxa"/>
            <w:vMerge/>
            <w:tcBorders>
              <w:top w:val="single" w:sz="4" w:space="0" w:color="auto"/>
              <w:left w:val="single" w:sz="4" w:space="0" w:color="auto"/>
              <w:bottom w:val="single" w:sz="4" w:space="0" w:color="auto"/>
              <w:right w:val="single" w:sz="4" w:space="0" w:color="auto"/>
            </w:tcBorders>
            <w:vAlign w:val="center"/>
          </w:tcPr>
          <w:p w14:paraId="7E6D867C"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074" w:type="dxa"/>
            <w:vMerge/>
            <w:tcBorders>
              <w:top w:val="single" w:sz="4" w:space="0" w:color="auto"/>
              <w:left w:val="single" w:sz="4" w:space="0" w:color="auto"/>
              <w:bottom w:val="single" w:sz="4" w:space="0" w:color="auto"/>
              <w:right w:val="single" w:sz="4" w:space="0" w:color="auto"/>
            </w:tcBorders>
            <w:vAlign w:val="center"/>
          </w:tcPr>
          <w:p w14:paraId="4ACD4E90"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1428" w:type="dxa"/>
            <w:gridSpan w:val="2"/>
            <w:vMerge/>
            <w:tcBorders>
              <w:top w:val="single" w:sz="4" w:space="0" w:color="auto"/>
              <w:left w:val="single" w:sz="4" w:space="0" w:color="auto"/>
              <w:bottom w:val="single" w:sz="4" w:space="0" w:color="auto"/>
              <w:right w:val="single" w:sz="4" w:space="0" w:color="auto"/>
            </w:tcBorders>
            <w:vAlign w:val="center"/>
          </w:tcPr>
          <w:p w14:paraId="414BCC8B" w14:textId="77777777" w:rsidR="00DA10F3" w:rsidRPr="00EF2F18" w:rsidRDefault="00DA10F3" w:rsidP="00752CA0">
            <w:pPr>
              <w:spacing w:after="0"/>
              <w:rPr>
                <w:rFonts w:eastAsia="Times New Roman" w:cs="Times New Roman"/>
                <w:color w:val="000000"/>
                <w:sz w:val="20"/>
                <w:szCs w:val="20"/>
                <w:lang w:val="sr-Cyrl-RS" w:eastAsia="sr-Cyrl-RS"/>
              </w:rPr>
            </w:pPr>
          </w:p>
        </w:tc>
        <w:tc>
          <w:tcPr>
            <w:tcW w:w="236" w:type="dxa"/>
            <w:tcBorders>
              <w:top w:val="nil"/>
              <w:left w:val="single" w:sz="4" w:space="0" w:color="auto"/>
              <w:bottom w:val="nil"/>
              <w:right w:val="nil"/>
            </w:tcBorders>
            <w:noWrap/>
            <w:vAlign w:val="bottom"/>
            <w:hideMark/>
          </w:tcPr>
          <w:p w14:paraId="13F2CF5C" w14:textId="77777777" w:rsidR="00DA10F3" w:rsidRPr="00EF2F18" w:rsidRDefault="00DA10F3" w:rsidP="00752CA0">
            <w:pPr>
              <w:spacing w:after="0"/>
              <w:rPr>
                <w:rFonts w:eastAsia="Times New Roman" w:cs="Times New Roman"/>
                <w:color w:val="000000"/>
                <w:sz w:val="20"/>
                <w:szCs w:val="20"/>
                <w:lang w:val="sr-Cyrl-RS" w:eastAsia="sr-Cyrl-RS"/>
              </w:rPr>
            </w:pPr>
          </w:p>
        </w:tc>
      </w:tr>
    </w:tbl>
    <w:p w14:paraId="3F6E9F12" w14:textId="77777777" w:rsidR="007D7243" w:rsidRPr="00EF2F18" w:rsidRDefault="007D7243" w:rsidP="007D7243">
      <w:pPr>
        <w:spacing w:after="0"/>
        <w:rPr>
          <w:rFonts w:cs="Times New Roman"/>
          <w:sz w:val="20"/>
          <w:szCs w:val="20"/>
          <w:lang w:val="sr-Cyrl-RS"/>
        </w:rPr>
      </w:pPr>
    </w:p>
    <w:tbl>
      <w:tblPr>
        <w:tblW w:w="13498" w:type="dxa"/>
        <w:tblLook w:val="04A0" w:firstRow="1" w:lastRow="0" w:firstColumn="1" w:lastColumn="0" w:noHBand="0" w:noVBand="1"/>
      </w:tblPr>
      <w:tblGrid>
        <w:gridCol w:w="3238"/>
        <w:gridCol w:w="1280"/>
        <w:gridCol w:w="1280"/>
        <w:gridCol w:w="1006"/>
        <w:gridCol w:w="994"/>
        <w:gridCol w:w="1453"/>
        <w:gridCol w:w="1060"/>
        <w:gridCol w:w="1546"/>
        <w:gridCol w:w="1620"/>
        <w:gridCol w:w="21"/>
      </w:tblGrid>
      <w:tr w:rsidR="007D7243" w:rsidRPr="00EF2F18" w14:paraId="5ACC76A1" w14:textId="77777777" w:rsidTr="00752CA0">
        <w:trPr>
          <w:trHeight w:val="336"/>
        </w:trPr>
        <w:tc>
          <w:tcPr>
            <w:tcW w:w="13498"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11D95CDE"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3.3.4: Унапређење управљања контаминираним локацијама</w:t>
            </w:r>
          </w:p>
        </w:tc>
      </w:tr>
      <w:tr w:rsidR="007D7243" w:rsidRPr="00EF2F18" w14:paraId="400AF4FE" w14:textId="77777777" w:rsidTr="00752CA0">
        <w:trPr>
          <w:trHeight w:val="336"/>
        </w:trPr>
        <w:tc>
          <w:tcPr>
            <w:tcW w:w="13498"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70EFF15A"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0E86B4AC" w14:textId="77777777" w:rsidTr="00752CA0">
        <w:trPr>
          <w:trHeight w:val="336"/>
        </w:trPr>
        <w:tc>
          <w:tcPr>
            <w:tcW w:w="680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7F65924E" w14:textId="0C082471"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9B28D1"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–2028.</w:t>
            </w:r>
          </w:p>
        </w:tc>
        <w:tc>
          <w:tcPr>
            <w:tcW w:w="6694" w:type="dxa"/>
            <w:gridSpan w:val="6"/>
            <w:tcBorders>
              <w:top w:val="double" w:sz="6" w:space="0" w:color="auto"/>
              <w:left w:val="double" w:sz="6" w:space="0" w:color="auto"/>
              <w:bottom w:val="double" w:sz="6" w:space="0" w:color="auto"/>
              <w:right w:val="double" w:sz="6" w:space="0" w:color="auto"/>
            </w:tcBorders>
            <w:shd w:val="clear" w:color="000000" w:fill="F7CAAC"/>
            <w:vAlign w:val="center"/>
            <w:hideMark/>
          </w:tcPr>
          <w:p w14:paraId="76AAB8F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p>
        </w:tc>
      </w:tr>
      <w:tr w:rsidR="007D7243" w:rsidRPr="00EF2F18" w14:paraId="22B17EE9" w14:textId="77777777" w:rsidTr="00752CA0">
        <w:trPr>
          <w:trHeight w:val="336"/>
        </w:trPr>
        <w:tc>
          <w:tcPr>
            <w:tcW w:w="680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60CDF55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94" w:type="dxa"/>
            <w:gridSpan w:val="6"/>
            <w:tcBorders>
              <w:top w:val="double" w:sz="6" w:space="0" w:color="auto"/>
              <w:left w:val="double" w:sz="6" w:space="0" w:color="auto"/>
              <w:bottom w:val="double" w:sz="6" w:space="0" w:color="auto"/>
              <w:right w:val="double" w:sz="6" w:space="0" w:color="auto"/>
            </w:tcBorders>
            <w:shd w:val="clear" w:color="000000" w:fill="F7CAAC"/>
            <w:vAlign w:val="center"/>
            <w:hideMark/>
          </w:tcPr>
          <w:p w14:paraId="5849CFB0"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9B28D1" w:rsidRPr="00EF2F18" w14:paraId="675BF0F1" w14:textId="77777777" w:rsidTr="009B28D1">
        <w:trPr>
          <w:gridAfter w:val="1"/>
          <w:wAfter w:w="21" w:type="dxa"/>
          <w:trHeight w:val="816"/>
        </w:trPr>
        <w:tc>
          <w:tcPr>
            <w:tcW w:w="3238" w:type="dxa"/>
            <w:tcBorders>
              <w:top w:val="nil"/>
              <w:left w:val="double" w:sz="6" w:space="0" w:color="auto"/>
              <w:bottom w:val="double" w:sz="6" w:space="0" w:color="auto"/>
              <w:right w:val="single" w:sz="8" w:space="0" w:color="auto"/>
            </w:tcBorders>
            <w:shd w:val="clear" w:color="000000" w:fill="D9D9D9"/>
            <w:hideMark/>
          </w:tcPr>
          <w:p w14:paraId="0E5E80AC"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5A7AF9A9"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tcBorders>
              <w:top w:val="nil"/>
              <w:left w:val="nil"/>
              <w:bottom w:val="double" w:sz="6" w:space="0" w:color="auto"/>
              <w:right w:val="single" w:sz="8" w:space="0" w:color="auto"/>
            </w:tcBorders>
            <w:shd w:val="clear" w:color="000000" w:fill="D9D9D9"/>
            <w:hideMark/>
          </w:tcPr>
          <w:p w14:paraId="3AC8A48F"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3E5DC576"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453" w:type="dxa"/>
            <w:tcBorders>
              <w:top w:val="nil"/>
              <w:left w:val="nil"/>
              <w:bottom w:val="double" w:sz="6" w:space="0" w:color="auto"/>
              <w:right w:val="single" w:sz="8" w:space="0" w:color="auto"/>
            </w:tcBorders>
            <w:shd w:val="clear" w:color="000000" w:fill="D9D9D9"/>
            <w:hideMark/>
          </w:tcPr>
          <w:p w14:paraId="2E6D0C98"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060" w:type="dxa"/>
            <w:tcBorders>
              <w:top w:val="nil"/>
              <w:left w:val="nil"/>
              <w:bottom w:val="double" w:sz="6" w:space="0" w:color="auto"/>
              <w:right w:val="single" w:sz="8" w:space="0" w:color="auto"/>
            </w:tcBorders>
            <w:shd w:val="clear" w:color="000000" w:fill="D9D9D9"/>
            <w:hideMark/>
          </w:tcPr>
          <w:p w14:paraId="2888FD0F" w14:textId="17FB1FD5"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46" w:type="dxa"/>
            <w:tcBorders>
              <w:top w:val="nil"/>
              <w:left w:val="nil"/>
              <w:bottom w:val="double" w:sz="6" w:space="0" w:color="auto"/>
              <w:right w:val="single" w:sz="8" w:space="0" w:color="auto"/>
            </w:tcBorders>
            <w:shd w:val="clear" w:color="000000" w:fill="D9D9D9"/>
            <w:hideMark/>
          </w:tcPr>
          <w:p w14:paraId="656850A6"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tcBorders>
              <w:top w:val="nil"/>
              <w:left w:val="nil"/>
              <w:bottom w:val="double" w:sz="6" w:space="0" w:color="auto"/>
              <w:right w:val="double" w:sz="6" w:space="0" w:color="auto"/>
            </w:tcBorders>
            <w:shd w:val="clear" w:color="000000" w:fill="D9D9D9"/>
            <w:hideMark/>
          </w:tcPr>
          <w:p w14:paraId="6DEAE4E4" w14:textId="77777777"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E3725E" w:rsidRPr="00EF2F18" w14:paraId="1359EC71" w14:textId="77777777" w:rsidTr="00F85052">
        <w:trPr>
          <w:gridAfter w:val="1"/>
          <w:wAfter w:w="21" w:type="dxa"/>
          <w:trHeight w:val="684"/>
        </w:trPr>
        <w:tc>
          <w:tcPr>
            <w:tcW w:w="3238" w:type="dxa"/>
            <w:vMerge w:val="restart"/>
            <w:tcBorders>
              <w:top w:val="single" w:sz="4" w:space="0" w:color="auto"/>
              <w:left w:val="double" w:sz="6" w:space="0" w:color="auto"/>
              <w:bottom w:val="double" w:sz="6" w:space="0" w:color="000000"/>
              <w:right w:val="single" w:sz="8" w:space="0" w:color="auto"/>
            </w:tcBorders>
            <w:shd w:val="clear" w:color="000000" w:fill="FFFFFF"/>
            <w:hideMark/>
          </w:tcPr>
          <w:p w14:paraId="4D373FF7" w14:textId="77777777" w:rsidR="00E3725E" w:rsidRPr="00EF2F18" w:rsidRDefault="00E3725E"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Удео приоритетних контаминираних локација на којима су спроведени пројекти санације, ремедијације и рекултивације</w:t>
            </w:r>
          </w:p>
        </w:tc>
        <w:tc>
          <w:tcPr>
            <w:tcW w:w="1280"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5B9DCE94" w14:textId="77777777" w:rsidR="00E3725E" w:rsidRPr="00EF2F18" w:rsidRDefault="00E3725E"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280"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500AFA87" w14:textId="77777777" w:rsidR="00E3725E" w:rsidRPr="00EF2F18" w:rsidRDefault="00E3725E"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 Извештај о стању животне средине у РС</w:t>
            </w:r>
          </w:p>
        </w:tc>
        <w:tc>
          <w:tcPr>
            <w:tcW w:w="2000" w:type="dxa"/>
            <w:gridSpan w:val="2"/>
            <w:vMerge w:val="restart"/>
            <w:tcBorders>
              <w:top w:val="single" w:sz="4" w:space="0" w:color="auto"/>
              <w:left w:val="single" w:sz="8" w:space="0" w:color="auto"/>
              <w:right w:val="single" w:sz="8" w:space="0" w:color="000000"/>
            </w:tcBorders>
            <w:shd w:val="clear" w:color="000000" w:fill="FFFFFF"/>
            <w:hideMark/>
          </w:tcPr>
          <w:p w14:paraId="5039E30F" w14:textId="77777777" w:rsidR="00E3725E" w:rsidRPr="00EF2F18" w:rsidRDefault="00E3725E"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453"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57C8A45E" w14:textId="77777777" w:rsidR="00E3725E" w:rsidRPr="00EF2F18" w:rsidRDefault="00E3725E"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060" w:type="dxa"/>
            <w:tcBorders>
              <w:top w:val="single" w:sz="4" w:space="0" w:color="auto"/>
              <w:left w:val="nil"/>
              <w:bottom w:val="nil"/>
              <w:right w:val="nil"/>
            </w:tcBorders>
            <w:shd w:val="clear" w:color="000000" w:fill="FFFFFF"/>
            <w:hideMark/>
          </w:tcPr>
          <w:p w14:paraId="475695E5" w14:textId="555FDFE5" w:rsidR="00E3725E" w:rsidRPr="00EF2F18" w:rsidRDefault="00E3725E"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25</w:t>
            </w:r>
          </w:p>
        </w:tc>
        <w:tc>
          <w:tcPr>
            <w:tcW w:w="1546"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16B3D364" w14:textId="77777777" w:rsidR="00E3725E" w:rsidRPr="00EF2F18" w:rsidRDefault="00E3725E"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w:t>
            </w:r>
          </w:p>
        </w:tc>
        <w:tc>
          <w:tcPr>
            <w:tcW w:w="1620" w:type="dxa"/>
            <w:vMerge w:val="restart"/>
            <w:tcBorders>
              <w:top w:val="single" w:sz="4" w:space="0" w:color="auto"/>
              <w:left w:val="single" w:sz="8" w:space="0" w:color="auto"/>
              <w:bottom w:val="double" w:sz="6" w:space="0" w:color="000000"/>
              <w:right w:val="double" w:sz="6" w:space="0" w:color="auto"/>
            </w:tcBorders>
            <w:shd w:val="clear" w:color="000000" w:fill="FFFFFF"/>
            <w:hideMark/>
          </w:tcPr>
          <w:p w14:paraId="0BC15802" w14:textId="77777777" w:rsidR="00E3725E" w:rsidRPr="00EF2F18" w:rsidRDefault="00E3725E"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75</w:t>
            </w:r>
          </w:p>
        </w:tc>
      </w:tr>
      <w:tr w:rsidR="00E3725E" w:rsidRPr="00EF2F18" w14:paraId="44526403" w14:textId="77777777" w:rsidTr="00DA7351">
        <w:trPr>
          <w:gridAfter w:val="1"/>
          <w:wAfter w:w="21" w:type="dxa"/>
          <w:trHeight w:val="312"/>
        </w:trPr>
        <w:tc>
          <w:tcPr>
            <w:tcW w:w="3238" w:type="dxa"/>
            <w:vMerge/>
            <w:tcBorders>
              <w:top w:val="nil"/>
              <w:left w:val="double" w:sz="6" w:space="0" w:color="auto"/>
              <w:bottom w:val="double" w:sz="6" w:space="0" w:color="000000"/>
              <w:right w:val="single" w:sz="8" w:space="0" w:color="auto"/>
            </w:tcBorders>
            <w:vAlign w:val="center"/>
            <w:hideMark/>
          </w:tcPr>
          <w:p w14:paraId="7BD068DD"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280" w:type="dxa"/>
            <w:vMerge/>
            <w:tcBorders>
              <w:top w:val="nil"/>
              <w:left w:val="single" w:sz="8" w:space="0" w:color="auto"/>
              <w:bottom w:val="double" w:sz="6" w:space="0" w:color="000000"/>
              <w:right w:val="single" w:sz="8" w:space="0" w:color="auto"/>
            </w:tcBorders>
            <w:vAlign w:val="center"/>
            <w:hideMark/>
          </w:tcPr>
          <w:p w14:paraId="0553E0DF"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280" w:type="dxa"/>
            <w:vMerge/>
            <w:tcBorders>
              <w:top w:val="nil"/>
              <w:left w:val="single" w:sz="8" w:space="0" w:color="auto"/>
              <w:bottom w:val="double" w:sz="6" w:space="0" w:color="000000"/>
              <w:right w:val="single" w:sz="8" w:space="0" w:color="auto"/>
            </w:tcBorders>
            <w:vAlign w:val="center"/>
            <w:hideMark/>
          </w:tcPr>
          <w:p w14:paraId="7DE684C7"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2000" w:type="dxa"/>
            <w:gridSpan w:val="2"/>
            <w:vMerge/>
            <w:tcBorders>
              <w:left w:val="single" w:sz="8" w:space="0" w:color="auto"/>
              <w:right w:val="single" w:sz="8" w:space="0" w:color="000000"/>
            </w:tcBorders>
            <w:vAlign w:val="center"/>
            <w:hideMark/>
          </w:tcPr>
          <w:p w14:paraId="0F80C839"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453" w:type="dxa"/>
            <w:vMerge/>
            <w:tcBorders>
              <w:top w:val="nil"/>
              <w:left w:val="single" w:sz="8" w:space="0" w:color="auto"/>
              <w:bottom w:val="double" w:sz="6" w:space="0" w:color="000000"/>
              <w:right w:val="single" w:sz="8" w:space="0" w:color="auto"/>
            </w:tcBorders>
            <w:vAlign w:val="center"/>
            <w:hideMark/>
          </w:tcPr>
          <w:p w14:paraId="5A8DE4FC"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060" w:type="dxa"/>
            <w:tcBorders>
              <w:top w:val="nil"/>
              <w:left w:val="nil"/>
              <w:bottom w:val="nil"/>
              <w:right w:val="nil"/>
            </w:tcBorders>
            <w:shd w:val="clear" w:color="000000" w:fill="FFFFFF"/>
            <w:hideMark/>
          </w:tcPr>
          <w:p w14:paraId="10966CD2" w14:textId="77777777" w:rsidR="00E3725E" w:rsidRPr="00EF2F18" w:rsidRDefault="00E3725E"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546" w:type="dxa"/>
            <w:vMerge/>
            <w:tcBorders>
              <w:top w:val="nil"/>
              <w:left w:val="single" w:sz="8" w:space="0" w:color="auto"/>
              <w:bottom w:val="double" w:sz="6" w:space="0" w:color="000000"/>
              <w:right w:val="single" w:sz="8" w:space="0" w:color="auto"/>
            </w:tcBorders>
            <w:vAlign w:val="center"/>
            <w:hideMark/>
          </w:tcPr>
          <w:p w14:paraId="2EBF6F46"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620" w:type="dxa"/>
            <w:vMerge/>
            <w:tcBorders>
              <w:top w:val="nil"/>
              <w:left w:val="single" w:sz="8" w:space="0" w:color="auto"/>
              <w:bottom w:val="double" w:sz="6" w:space="0" w:color="000000"/>
              <w:right w:val="double" w:sz="6" w:space="0" w:color="auto"/>
            </w:tcBorders>
            <w:vAlign w:val="center"/>
            <w:hideMark/>
          </w:tcPr>
          <w:p w14:paraId="011CAE2B" w14:textId="77777777" w:rsidR="00E3725E" w:rsidRPr="00EF2F18" w:rsidRDefault="00E3725E" w:rsidP="00752CA0">
            <w:pPr>
              <w:spacing w:after="0"/>
              <w:rPr>
                <w:rFonts w:eastAsia="Times New Roman" w:cs="Times New Roman"/>
                <w:color w:val="000000"/>
                <w:sz w:val="20"/>
                <w:szCs w:val="20"/>
                <w:lang w:val="sr-Cyrl-RS" w:eastAsia="sr-Cyrl-RS"/>
              </w:rPr>
            </w:pPr>
          </w:p>
        </w:tc>
      </w:tr>
      <w:tr w:rsidR="00E3725E" w:rsidRPr="00EF2F18" w14:paraId="506B6A2B" w14:textId="77777777" w:rsidTr="00DA7351">
        <w:trPr>
          <w:gridAfter w:val="1"/>
          <w:wAfter w:w="21" w:type="dxa"/>
          <w:trHeight w:val="324"/>
        </w:trPr>
        <w:tc>
          <w:tcPr>
            <w:tcW w:w="3238" w:type="dxa"/>
            <w:vMerge/>
            <w:tcBorders>
              <w:top w:val="nil"/>
              <w:left w:val="double" w:sz="6" w:space="0" w:color="auto"/>
              <w:bottom w:val="nil"/>
              <w:right w:val="single" w:sz="8" w:space="0" w:color="auto"/>
            </w:tcBorders>
            <w:vAlign w:val="center"/>
            <w:hideMark/>
          </w:tcPr>
          <w:p w14:paraId="27D3B05E"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280" w:type="dxa"/>
            <w:vMerge/>
            <w:tcBorders>
              <w:top w:val="nil"/>
              <w:left w:val="single" w:sz="8" w:space="0" w:color="auto"/>
              <w:bottom w:val="nil"/>
              <w:right w:val="single" w:sz="8" w:space="0" w:color="auto"/>
            </w:tcBorders>
            <w:vAlign w:val="center"/>
            <w:hideMark/>
          </w:tcPr>
          <w:p w14:paraId="7F21CCF4"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280" w:type="dxa"/>
            <w:vMerge/>
            <w:tcBorders>
              <w:top w:val="nil"/>
              <w:left w:val="single" w:sz="8" w:space="0" w:color="auto"/>
              <w:bottom w:val="nil"/>
              <w:right w:val="single" w:sz="8" w:space="0" w:color="auto"/>
            </w:tcBorders>
            <w:vAlign w:val="center"/>
            <w:hideMark/>
          </w:tcPr>
          <w:p w14:paraId="4EC09F6E"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2000" w:type="dxa"/>
            <w:gridSpan w:val="2"/>
            <w:vMerge/>
            <w:tcBorders>
              <w:left w:val="single" w:sz="8" w:space="0" w:color="auto"/>
              <w:right w:val="single" w:sz="8" w:space="0" w:color="000000"/>
            </w:tcBorders>
            <w:vAlign w:val="center"/>
            <w:hideMark/>
          </w:tcPr>
          <w:p w14:paraId="4EB1234A"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453" w:type="dxa"/>
            <w:vMerge/>
            <w:tcBorders>
              <w:top w:val="nil"/>
              <w:left w:val="single" w:sz="8" w:space="0" w:color="auto"/>
              <w:bottom w:val="nil"/>
              <w:right w:val="single" w:sz="8" w:space="0" w:color="auto"/>
            </w:tcBorders>
            <w:vAlign w:val="center"/>
            <w:hideMark/>
          </w:tcPr>
          <w:p w14:paraId="7CA3B009"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060" w:type="dxa"/>
            <w:tcBorders>
              <w:top w:val="nil"/>
              <w:left w:val="nil"/>
              <w:bottom w:val="nil"/>
              <w:right w:val="nil"/>
            </w:tcBorders>
            <w:shd w:val="clear" w:color="000000" w:fill="FFFFFF"/>
            <w:hideMark/>
          </w:tcPr>
          <w:p w14:paraId="2EA54786" w14:textId="77777777" w:rsidR="00E3725E" w:rsidRPr="00EF2F18" w:rsidRDefault="00E3725E"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546" w:type="dxa"/>
            <w:vMerge/>
            <w:tcBorders>
              <w:top w:val="nil"/>
              <w:left w:val="single" w:sz="8" w:space="0" w:color="auto"/>
              <w:bottom w:val="nil"/>
              <w:right w:val="single" w:sz="8" w:space="0" w:color="auto"/>
            </w:tcBorders>
            <w:vAlign w:val="center"/>
            <w:hideMark/>
          </w:tcPr>
          <w:p w14:paraId="77FCB097"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620" w:type="dxa"/>
            <w:vMerge/>
            <w:tcBorders>
              <w:top w:val="nil"/>
              <w:left w:val="single" w:sz="8" w:space="0" w:color="auto"/>
              <w:bottom w:val="nil"/>
              <w:right w:val="double" w:sz="6" w:space="0" w:color="auto"/>
            </w:tcBorders>
            <w:vAlign w:val="center"/>
            <w:hideMark/>
          </w:tcPr>
          <w:p w14:paraId="340F7795" w14:textId="77777777" w:rsidR="00E3725E" w:rsidRPr="00EF2F18" w:rsidRDefault="00E3725E" w:rsidP="00752CA0">
            <w:pPr>
              <w:spacing w:after="0"/>
              <w:rPr>
                <w:rFonts w:eastAsia="Times New Roman" w:cs="Times New Roman"/>
                <w:color w:val="000000"/>
                <w:sz w:val="20"/>
                <w:szCs w:val="20"/>
                <w:lang w:val="sr-Cyrl-RS" w:eastAsia="sr-Cyrl-RS"/>
              </w:rPr>
            </w:pPr>
          </w:p>
        </w:tc>
      </w:tr>
      <w:tr w:rsidR="00E3725E" w:rsidRPr="00EF2F18" w14:paraId="5582CDF6" w14:textId="77777777" w:rsidTr="00DA7351">
        <w:trPr>
          <w:gridAfter w:val="1"/>
          <w:wAfter w:w="21" w:type="dxa"/>
          <w:trHeight w:val="324"/>
        </w:trPr>
        <w:tc>
          <w:tcPr>
            <w:tcW w:w="3238" w:type="dxa"/>
            <w:tcBorders>
              <w:top w:val="nil"/>
              <w:left w:val="double" w:sz="6" w:space="0" w:color="auto"/>
              <w:bottom w:val="double" w:sz="6" w:space="0" w:color="000000"/>
              <w:right w:val="single" w:sz="8" w:space="0" w:color="auto"/>
            </w:tcBorders>
            <w:vAlign w:val="center"/>
          </w:tcPr>
          <w:p w14:paraId="02025A90"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280" w:type="dxa"/>
            <w:tcBorders>
              <w:top w:val="nil"/>
              <w:left w:val="single" w:sz="8" w:space="0" w:color="auto"/>
              <w:bottom w:val="double" w:sz="6" w:space="0" w:color="000000"/>
              <w:right w:val="single" w:sz="8" w:space="0" w:color="auto"/>
            </w:tcBorders>
            <w:vAlign w:val="center"/>
          </w:tcPr>
          <w:p w14:paraId="2F58F764"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280" w:type="dxa"/>
            <w:tcBorders>
              <w:top w:val="nil"/>
              <w:left w:val="single" w:sz="8" w:space="0" w:color="auto"/>
              <w:bottom w:val="double" w:sz="6" w:space="0" w:color="000000"/>
              <w:right w:val="single" w:sz="8" w:space="0" w:color="auto"/>
            </w:tcBorders>
            <w:vAlign w:val="center"/>
          </w:tcPr>
          <w:p w14:paraId="03179033"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2000" w:type="dxa"/>
            <w:gridSpan w:val="2"/>
            <w:vMerge/>
            <w:tcBorders>
              <w:left w:val="single" w:sz="8" w:space="0" w:color="auto"/>
              <w:bottom w:val="double" w:sz="6" w:space="0" w:color="000000"/>
              <w:right w:val="single" w:sz="8" w:space="0" w:color="000000"/>
            </w:tcBorders>
            <w:vAlign w:val="center"/>
          </w:tcPr>
          <w:p w14:paraId="3A03A8FA"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453" w:type="dxa"/>
            <w:tcBorders>
              <w:top w:val="nil"/>
              <w:left w:val="single" w:sz="8" w:space="0" w:color="auto"/>
              <w:bottom w:val="double" w:sz="6" w:space="0" w:color="000000"/>
              <w:right w:val="single" w:sz="8" w:space="0" w:color="auto"/>
            </w:tcBorders>
            <w:vAlign w:val="center"/>
          </w:tcPr>
          <w:p w14:paraId="39765E5B"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060" w:type="dxa"/>
            <w:tcBorders>
              <w:top w:val="nil"/>
              <w:left w:val="nil"/>
              <w:bottom w:val="double" w:sz="6" w:space="0" w:color="auto"/>
              <w:right w:val="nil"/>
            </w:tcBorders>
            <w:shd w:val="clear" w:color="000000" w:fill="FFFFFF"/>
          </w:tcPr>
          <w:p w14:paraId="0D0EAA3E"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546" w:type="dxa"/>
            <w:tcBorders>
              <w:top w:val="nil"/>
              <w:left w:val="single" w:sz="8" w:space="0" w:color="auto"/>
              <w:bottom w:val="double" w:sz="6" w:space="0" w:color="000000"/>
              <w:right w:val="single" w:sz="8" w:space="0" w:color="auto"/>
            </w:tcBorders>
            <w:vAlign w:val="center"/>
          </w:tcPr>
          <w:p w14:paraId="06A5D68E" w14:textId="77777777" w:rsidR="00E3725E" w:rsidRPr="00EF2F18" w:rsidRDefault="00E3725E" w:rsidP="00752CA0">
            <w:pPr>
              <w:spacing w:after="0"/>
              <w:rPr>
                <w:rFonts w:eastAsia="Times New Roman" w:cs="Times New Roman"/>
                <w:color w:val="000000"/>
                <w:sz w:val="20"/>
                <w:szCs w:val="20"/>
                <w:lang w:val="sr-Cyrl-RS" w:eastAsia="sr-Cyrl-RS"/>
              </w:rPr>
            </w:pPr>
          </w:p>
        </w:tc>
        <w:tc>
          <w:tcPr>
            <w:tcW w:w="1620" w:type="dxa"/>
            <w:tcBorders>
              <w:top w:val="nil"/>
              <w:left w:val="single" w:sz="8" w:space="0" w:color="auto"/>
              <w:bottom w:val="double" w:sz="6" w:space="0" w:color="000000"/>
              <w:right w:val="double" w:sz="6" w:space="0" w:color="auto"/>
            </w:tcBorders>
            <w:vAlign w:val="center"/>
          </w:tcPr>
          <w:p w14:paraId="2324CABF" w14:textId="77777777" w:rsidR="00E3725E" w:rsidRPr="00EF2F18" w:rsidRDefault="00E3725E" w:rsidP="00752CA0">
            <w:pPr>
              <w:spacing w:after="0"/>
              <w:rPr>
                <w:rFonts w:eastAsia="Times New Roman" w:cs="Times New Roman"/>
                <w:color w:val="000000"/>
                <w:sz w:val="20"/>
                <w:szCs w:val="20"/>
                <w:lang w:val="sr-Cyrl-RS" w:eastAsia="sr-Cyrl-RS"/>
              </w:rPr>
            </w:pPr>
          </w:p>
        </w:tc>
      </w:tr>
    </w:tbl>
    <w:p w14:paraId="43D4C1B2" w14:textId="77777777" w:rsidR="007D7243" w:rsidRPr="00EF2F18" w:rsidRDefault="007D7243" w:rsidP="007D7243">
      <w:pPr>
        <w:spacing w:after="0"/>
        <w:rPr>
          <w:rFonts w:cs="Times New Roman"/>
          <w:sz w:val="20"/>
          <w:szCs w:val="20"/>
          <w:lang w:val="sr-Cyrl-RS"/>
        </w:rPr>
      </w:pPr>
    </w:p>
    <w:p w14:paraId="467DE62C" w14:textId="77777777" w:rsidR="007620E6" w:rsidRPr="00EF2F18" w:rsidRDefault="007620E6" w:rsidP="007D7243">
      <w:pPr>
        <w:spacing w:after="0"/>
        <w:rPr>
          <w:rFonts w:cs="Times New Roman"/>
          <w:sz w:val="20"/>
          <w:szCs w:val="20"/>
          <w:lang w:val="sr-Cyrl-RS"/>
        </w:rPr>
      </w:pPr>
    </w:p>
    <w:tbl>
      <w:tblPr>
        <w:tblW w:w="13494" w:type="dxa"/>
        <w:tblLayout w:type="fixed"/>
        <w:tblLook w:val="04A0" w:firstRow="1" w:lastRow="0" w:firstColumn="1" w:lastColumn="0" w:noHBand="0" w:noVBand="1"/>
      </w:tblPr>
      <w:tblGrid>
        <w:gridCol w:w="3800"/>
        <w:gridCol w:w="2414"/>
        <w:gridCol w:w="2223"/>
        <w:gridCol w:w="2430"/>
        <w:gridCol w:w="2627"/>
      </w:tblGrid>
      <w:tr w:rsidR="007D7243" w:rsidRPr="00EF2F18" w14:paraId="08D6711B" w14:textId="77777777" w:rsidTr="009040C9">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417ADD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Извор финансирања мере</w:t>
            </w:r>
          </w:p>
        </w:tc>
        <w:tc>
          <w:tcPr>
            <w:tcW w:w="2414"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B750BB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444E3F1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9B28D1" w:rsidRPr="00EF2F18" w14:paraId="3B20D88A" w14:textId="77777777" w:rsidTr="009040C9">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25BDCAF0"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2414" w:type="dxa"/>
            <w:vMerge/>
            <w:tcBorders>
              <w:top w:val="double" w:sz="6" w:space="0" w:color="auto"/>
              <w:left w:val="double" w:sz="6" w:space="0" w:color="auto"/>
              <w:bottom w:val="single" w:sz="8" w:space="0" w:color="000000"/>
              <w:right w:val="double" w:sz="6" w:space="0" w:color="auto"/>
            </w:tcBorders>
            <w:vAlign w:val="center"/>
            <w:hideMark/>
          </w:tcPr>
          <w:p w14:paraId="7D1F2084"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2223" w:type="dxa"/>
            <w:tcBorders>
              <w:top w:val="nil"/>
              <w:left w:val="nil"/>
              <w:bottom w:val="double" w:sz="6" w:space="0" w:color="auto"/>
              <w:right w:val="double" w:sz="6" w:space="0" w:color="auto"/>
            </w:tcBorders>
            <w:shd w:val="clear" w:color="000000" w:fill="A8D08D"/>
            <w:hideMark/>
          </w:tcPr>
          <w:p w14:paraId="6B489D73" w14:textId="0FA07934"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430" w:type="dxa"/>
            <w:tcBorders>
              <w:top w:val="nil"/>
              <w:left w:val="nil"/>
              <w:bottom w:val="double" w:sz="6" w:space="0" w:color="auto"/>
              <w:right w:val="double" w:sz="6" w:space="0" w:color="auto"/>
            </w:tcBorders>
            <w:shd w:val="clear" w:color="000000" w:fill="A8D08D"/>
            <w:hideMark/>
          </w:tcPr>
          <w:p w14:paraId="5BCD3086" w14:textId="007AFB80"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627" w:type="dxa"/>
            <w:tcBorders>
              <w:top w:val="nil"/>
              <w:left w:val="nil"/>
              <w:bottom w:val="double" w:sz="6" w:space="0" w:color="auto"/>
              <w:right w:val="double" w:sz="6" w:space="0" w:color="auto"/>
            </w:tcBorders>
            <w:shd w:val="clear" w:color="000000" w:fill="A8D08D"/>
            <w:hideMark/>
          </w:tcPr>
          <w:p w14:paraId="69CB664F" w14:textId="1F423892"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9B28D1" w:rsidRPr="00EF2F18" w14:paraId="6BABC90A" w14:textId="77777777" w:rsidTr="009040C9">
        <w:trPr>
          <w:trHeight w:val="312"/>
        </w:trPr>
        <w:tc>
          <w:tcPr>
            <w:tcW w:w="3800" w:type="dxa"/>
            <w:vMerge w:val="restart"/>
            <w:tcBorders>
              <w:top w:val="nil"/>
              <w:left w:val="double" w:sz="6" w:space="0" w:color="auto"/>
              <w:bottom w:val="double" w:sz="6" w:space="0" w:color="000000"/>
              <w:right w:val="double" w:sz="6" w:space="0" w:color="auto"/>
            </w:tcBorders>
            <w:hideMark/>
          </w:tcPr>
          <w:p w14:paraId="761FF8ED"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(МЗЖС)</w:t>
            </w:r>
          </w:p>
        </w:tc>
        <w:tc>
          <w:tcPr>
            <w:tcW w:w="2414" w:type="dxa"/>
            <w:tcBorders>
              <w:top w:val="nil"/>
              <w:left w:val="nil"/>
              <w:bottom w:val="nil"/>
              <w:right w:val="double" w:sz="6" w:space="0" w:color="auto"/>
            </w:tcBorders>
            <w:hideMark/>
          </w:tcPr>
          <w:p w14:paraId="439D9149"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0406-560-0006-424</w:t>
            </w:r>
          </w:p>
        </w:tc>
        <w:tc>
          <w:tcPr>
            <w:tcW w:w="2223" w:type="dxa"/>
            <w:tcBorders>
              <w:top w:val="nil"/>
              <w:left w:val="nil"/>
              <w:bottom w:val="nil"/>
              <w:right w:val="double" w:sz="6" w:space="0" w:color="auto"/>
            </w:tcBorders>
            <w:hideMark/>
          </w:tcPr>
          <w:p w14:paraId="14FD5068" w14:textId="42C8A240" w:rsidR="009B28D1" w:rsidRPr="00EF2F18" w:rsidRDefault="002E21E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375.000</w:t>
            </w:r>
          </w:p>
        </w:tc>
        <w:tc>
          <w:tcPr>
            <w:tcW w:w="2430" w:type="dxa"/>
            <w:tcBorders>
              <w:top w:val="nil"/>
              <w:left w:val="nil"/>
              <w:bottom w:val="nil"/>
              <w:right w:val="double" w:sz="6" w:space="0" w:color="auto"/>
            </w:tcBorders>
            <w:hideMark/>
          </w:tcPr>
          <w:p w14:paraId="5502634C" w14:textId="04E0B1DC" w:rsidR="009B28D1" w:rsidRPr="00EF2F18" w:rsidRDefault="004C0B55"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400.000</w:t>
            </w:r>
          </w:p>
        </w:tc>
        <w:tc>
          <w:tcPr>
            <w:tcW w:w="2627" w:type="dxa"/>
            <w:tcBorders>
              <w:top w:val="nil"/>
              <w:left w:val="nil"/>
              <w:bottom w:val="nil"/>
              <w:right w:val="double" w:sz="6" w:space="0" w:color="auto"/>
            </w:tcBorders>
            <w:hideMark/>
          </w:tcPr>
          <w:p w14:paraId="57A83951" w14:textId="085791AA" w:rsidR="009B28D1" w:rsidRPr="00EF2F18" w:rsidRDefault="009B28D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700.000</w:t>
            </w:r>
          </w:p>
        </w:tc>
      </w:tr>
      <w:tr w:rsidR="009B28D1" w:rsidRPr="00EF2F18" w14:paraId="6472A76B" w14:textId="77777777" w:rsidTr="009040C9">
        <w:trPr>
          <w:trHeight w:val="324"/>
        </w:trPr>
        <w:tc>
          <w:tcPr>
            <w:tcW w:w="3800" w:type="dxa"/>
            <w:vMerge/>
            <w:tcBorders>
              <w:top w:val="nil"/>
              <w:left w:val="double" w:sz="6" w:space="0" w:color="auto"/>
              <w:bottom w:val="double" w:sz="6" w:space="0" w:color="000000"/>
              <w:right w:val="double" w:sz="6" w:space="0" w:color="auto"/>
            </w:tcBorders>
            <w:hideMark/>
          </w:tcPr>
          <w:p w14:paraId="384C8510"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2414" w:type="dxa"/>
            <w:tcBorders>
              <w:top w:val="nil"/>
              <w:left w:val="nil"/>
              <w:bottom w:val="double" w:sz="6" w:space="0" w:color="auto"/>
              <w:right w:val="double" w:sz="6" w:space="0" w:color="auto"/>
            </w:tcBorders>
            <w:hideMark/>
          </w:tcPr>
          <w:p w14:paraId="6A99772C"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0406-560-0004-463</w:t>
            </w:r>
          </w:p>
        </w:tc>
        <w:tc>
          <w:tcPr>
            <w:tcW w:w="2223" w:type="dxa"/>
            <w:tcBorders>
              <w:top w:val="nil"/>
              <w:left w:val="nil"/>
              <w:bottom w:val="double" w:sz="6" w:space="0" w:color="auto"/>
              <w:right w:val="double" w:sz="6" w:space="0" w:color="auto"/>
            </w:tcBorders>
            <w:hideMark/>
          </w:tcPr>
          <w:p w14:paraId="2246C82C" w14:textId="4BC8C826" w:rsidR="009B28D1" w:rsidRPr="00EF2F18" w:rsidRDefault="00AC6CD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852.445</w:t>
            </w:r>
          </w:p>
        </w:tc>
        <w:tc>
          <w:tcPr>
            <w:tcW w:w="2430" w:type="dxa"/>
            <w:tcBorders>
              <w:top w:val="nil"/>
              <w:left w:val="nil"/>
              <w:bottom w:val="double" w:sz="6" w:space="0" w:color="auto"/>
              <w:right w:val="double" w:sz="6" w:space="0" w:color="auto"/>
            </w:tcBorders>
            <w:hideMark/>
          </w:tcPr>
          <w:p w14:paraId="107A01ED" w14:textId="77777777" w:rsidR="009B28D1" w:rsidRPr="00EF2F18" w:rsidRDefault="009B28D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1.300.000</w:t>
            </w:r>
          </w:p>
        </w:tc>
        <w:tc>
          <w:tcPr>
            <w:tcW w:w="2627" w:type="dxa"/>
            <w:tcBorders>
              <w:top w:val="nil"/>
              <w:left w:val="nil"/>
              <w:bottom w:val="double" w:sz="6" w:space="0" w:color="auto"/>
              <w:right w:val="double" w:sz="6" w:space="0" w:color="auto"/>
            </w:tcBorders>
            <w:hideMark/>
          </w:tcPr>
          <w:p w14:paraId="33A88E95" w14:textId="227BDF09" w:rsidR="009B28D1" w:rsidRPr="00EF2F18" w:rsidRDefault="009B28D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1.300.000</w:t>
            </w:r>
          </w:p>
        </w:tc>
      </w:tr>
      <w:tr w:rsidR="009040C9" w:rsidRPr="00EF2F18" w14:paraId="6BD7EDED" w14:textId="77777777" w:rsidTr="009040C9">
        <w:trPr>
          <w:trHeight w:val="336"/>
        </w:trPr>
        <w:tc>
          <w:tcPr>
            <w:tcW w:w="3800" w:type="dxa"/>
            <w:tcBorders>
              <w:top w:val="nil"/>
              <w:left w:val="double" w:sz="6" w:space="0" w:color="auto"/>
              <w:bottom w:val="double" w:sz="6" w:space="0" w:color="auto"/>
              <w:right w:val="double" w:sz="6" w:space="0" w:color="auto"/>
            </w:tcBorders>
            <w:hideMark/>
          </w:tcPr>
          <w:p w14:paraId="5687427F" w14:textId="77777777" w:rsidR="009040C9" w:rsidRPr="00EF2F18" w:rsidRDefault="009040C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2414" w:type="dxa"/>
            <w:tcBorders>
              <w:top w:val="nil"/>
              <w:left w:val="nil"/>
              <w:bottom w:val="double" w:sz="6" w:space="0" w:color="auto"/>
              <w:right w:val="double" w:sz="6" w:space="0" w:color="auto"/>
            </w:tcBorders>
          </w:tcPr>
          <w:p w14:paraId="1E0ED396" w14:textId="79AE301F" w:rsidR="009040C9" w:rsidRPr="00EF2F18" w:rsidRDefault="009040C9" w:rsidP="00752CA0">
            <w:pPr>
              <w:spacing w:after="0"/>
              <w:rPr>
                <w:rFonts w:eastAsia="Times New Roman" w:cs="Times New Roman"/>
                <w:color w:val="000000"/>
                <w:sz w:val="20"/>
                <w:szCs w:val="20"/>
                <w:lang w:val="sr-Cyrl-RS" w:eastAsia="sr-Cyrl-RS"/>
              </w:rPr>
            </w:pPr>
          </w:p>
        </w:tc>
        <w:tc>
          <w:tcPr>
            <w:tcW w:w="2223" w:type="dxa"/>
            <w:tcBorders>
              <w:top w:val="nil"/>
              <w:left w:val="nil"/>
              <w:bottom w:val="double" w:sz="6" w:space="0" w:color="auto"/>
              <w:right w:val="double" w:sz="6" w:space="0" w:color="auto"/>
            </w:tcBorders>
          </w:tcPr>
          <w:p w14:paraId="39D7E5FA" w14:textId="0EA8B82C" w:rsidR="009040C9" w:rsidRPr="00EF2F18" w:rsidRDefault="009040C9" w:rsidP="00752CA0">
            <w:pPr>
              <w:spacing w:after="0"/>
              <w:jc w:val="right"/>
              <w:rPr>
                <w:rFonts w:eastAsia="Times New Roman" w:cs="Times New Roman"/>
                <w:color w:val="000000"/>
                <w:sz w:val="20"/>
                <w:szCs w:val="20"/>
                <w:lang w:val="sr-Cyrl-RS" w:eastAsia="sr-Cyrl-RS"/>
              </w:rPr>
            </w:pPr>
          </w:p>
        </w:tc>
        <w:tc>
          <w:tcPr>
            <w:tcW w:w="2430" w:type="dxa"/>
            <w:tcBorders>
              <w:top w:val="nil"/>
              <w:left w:val="nil"/>
              <w:bottom w:val="double" w:sz="6" w:space="0" w:color="auto"/>
              <w:right w:val="double" w:sz="6" w:space="0" w:color="auto"/>
            </w:tcBorders>
          </w:tcPr>
          <w:p w14:paraId="2A9E8269" w14:textId="0679EDE9" w:rsidR="009040C9" w:rsidRPr="00EF2F18" w:rsidRDefault="009040C9" w:rsidP="00752CA0">
            <w:pPr>
              <w:spacing w:after="0"/>
              <w:jc w:val="right"/>
              <w:rPr>
                <w:rFonts w:eastAsia="Times New Roman" w:cs="Times New Roman"/>
                <w:color w:val="000000"/>
                <w:sz w:val="20"/>
                <w:szCs w:val="20"/>
                <w:lang w:val="sr-Cyrl-RS" w:eastAsia="sr-Cyrl-RS"/>
              </w:rPr>
            </w:pPr>
          </w:p>
        </w:tc>
        <w:tc>
          <w:tcPr>
            <w:tcW w:w="2627" w:type="dxa"/>
            <w:tcBorders>
              <w:top w:val="nil"/>
              <w:left w:val="nil"/>
              <w:bottom w:val="double" w:sz="6" w:space="0" w:color="auto"/>
              <w:right w:val="double" w:sz="6" w:space="0" w:color="auto"/>
            </w:tcBorders>
          </w:tcPr>
          <w:p w14:paraId="1DFDC0C7" w14:textId="74BFDAA3" w:rsidR="009040C9" w:rsidRPr="00EF2F18" w:rsidRDefault="009040C9" w:rsidP="00752CA0">
            <w:pPr>
              <w:spacing w:after="0"/>
              <w:jc w:val="right"/>
              <w:rPr>
                <w:rFonts w:eastAsia="Times New Roman" w:cs="Times New Roman"/>
                <w:color w:val="000000"/>
                <w:sz w:val="20"/>
                <w:szCs w:val="20"/>
                <w:lang w:val="sr-Cyrl-RS" w:eastAsia="sr-Cyrl-RS"/>
              </w:rPr>
            </w:pPr>
          </w:p>
        </w:tc>
      </w:tr>
    </w:tbl>
    <w:p w14:paraId="55CF925C" w14:textId="77777777" w:rsidR="007D7243" w:rsidRPr="00EF2F18" w:rsidRDefault="007D7243" w:rsidP="007D7243">
      <w:pPr>
        <w:spacing w:after="0"/>
        <w:rPr>
          <w:lang w:val="sr-Cyrl-RS"/>
        </w:rPr>
      </w:pPr>
    </w:p>
    <w:tbl>
      <w:tblPr>
        <w:tblW w:w="13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1167"/>
        <w:gridCol w:w="1366"/>
        <w:gridCol w:w="1182"/>
        <w:gridCol w:w="1382"/>
        <w:gridCol w:w="1428"/>
        <w:gridCol w:w="1222"/>
        <w:gridCol w:w="1420"/>
        <w:gridCol w:w="1509"/>
      </w:tblGrid>
      <w:tr w:rsidR="007D7243" w:rsidRPr="00EF2F18" w14:paraId="5E5FD34F" w14:textId="77777777" w:rsidTr="005242E8">
        <w:trPr>
          <w:trHeight w:val="710"/>
        </w:trPr>
        <w:tc>
          <w:tcPr>
            <w:tcW w:w="2765" w:type="dxa"/>
            <w:vMerge w:val="restart"/>
            <w:shd w:val="clear" w:color="000000" w:fill="FFF2CC"/>
            <w:hideMark/>
          </w:tcPr>
          <w:p w14:paraId="172EB79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167" w:type="dxa"/>
            <w:vMerge w:val="restart"/>
            <w:shd w:val="clear" w:color="000000" w:fill="FFF2CC"/>
            <w:hideMark/>
          </w:tcPr>
          <w:p w14:paraId="7646632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66" w:type="dxa"/>
            <w:vMerge w:val="restart"/>
            <w:shd w:val="clear" w:color="000000" w:fill="FFF2CC"/>
            <w:hideMark/>
          </w:tcPr>
          <w:p w14:paraId="0557226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7ACF31F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382" w:type="dxa"/>
            <w:vMerge w:val="restart"/>
            <w:shd w:val="clear" w:color="000000" w:fill="FFF2CC"/>
            <w:hideMark/>
          </w:tcPr>
          <w:p w14:paraId="79BCB03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28" w:type="dxa"/>
            <w:vMerge w:val="restart"/>
            <w:shd w:val="clear" w:color="000000" w:fill="FFF2CC"/>
            <w:hideMark/>
          </w:tcPr>
          <w:p w14:paraId="56C00B2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151" w:type="dxa"/>
            <w:gridSpan w:val="3"/>
            <w:shd w:val="clear" w:color="000000" w:fill="FFF2CC"/>
            <w:hideMark/>
          </w:tcPr>
          <w:p w14:paraId="2079092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5242E8" w:rsidRPr="00EF2F18" w14:paraId="5AF477BA" w14:textId="77777777" w:rsidTr="005242E8">
        <w:trPr>
          <w:trHeight w:val="314"/>
        </w:trPr>
        <w:tc>
          <w:tcPr>
            <w:tcW w:w="2765" w:type="dxa"/>
            <w:vMerge/>
            <w:vAlign w:val="center"/>
            <w:hideMark/>
          </w:tcPr>
          <w:p w14:paraId="1D3A70DE"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167" w:type="dxa"/>
            <w:vMerge/>
            <w:vAlign w:val="center"/>
            <w:hideMark/>
          </w:tcPr>
          <w:p w14:paraId="6608AF17"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366" w:type="dxa"/>
            <w:vMerge/>
            <w:vAlign w:val="center"/>
            <w:hideMark/>
          </w:tcPr>
          <w:p w14:paraId="7631F944"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182" w:type="dxa"/>
            <w:vMerge/>
            <w:vAlign w:val="center"/>
            <w:hideMark/>
          </w:tcPr>
          <w:p w14:paraId="7634A5D4"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382" w:type="dxa"/>
            <w:vMerge/>
            <w:vAlign w:val="center"/>
            <w:hideMark/>
          </w:tcPr>
          <w:p w14:paraId="5CCAA73B"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428" w:type="dxa"/>
            <w:vMerge/>
            <w:vAlign w:val="center"/>
            <w:hideMark/>
          </w:tcPr>
          <w:p w14:paraId="657E6DF4"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222" w:type="dxa"/>
            <w:shd w:val="clear" w:color="000000" w:fill="FFF2CC"/>
            <w:hideMark/>
          </w:tcPr>
          <w:p w14:paraId="2F4E4C08" w14:textId="3A5E899B"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420" w:type="dxa"/>
            <w:shd w:val="clear" w:color="000000" w:fill="FFF2CC"/>
            <w:hideMark/>
          </w:tcPr>
          <w:p w14:paraId="69C7A8D1" w14:textId="6EC0A563"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509" w:type="dxa"/>
            <w:shd w:val="clear" w:color="000000" w:fill="FFF2CC"/>
            <w:hideMark/>
          </w:tcPr>
          <w:p w14:paraId="2BA458EE" w14:textId="5FAD724D" w:rsidR="009B28D1" w:rsidRPr="00EF2F18" w:rsidRDefault="009B28D1"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5242E8" w:rsidRPr="00EF2F18" w14:paraId="7D04111F" w14:textId="77777777" w:rsidTr="005242E8">
        <w:trPr>
          <w:trHeight w:val="1293"/>
        </w:trPr>
        <w:tc>
          <w:tcPr>
            <w:tcW w:w="2765" w:type="dxa"/>
            <w:hideMark/>
          </w:tcPr>
          <w:p w14:paraId="6FA20F88" w14:textId="37F302FF"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3.3.4.1. Идентификација, прелиминарна истраживања, детаљна истраживања, процена ризика</w:t>
            </w:r>
            <w:r w:rsidR="00F85052">
              <w:rPr>
                <w:rFonts w:eastAsia="Times New Roman" w:cs="Times New Roman"/>
                <w:color w:val="000000"/>
                <w:sz w:val="20"/>
                <w:szCs w:val="20"/>
                <w:lang w:val="sr-Cyrl-RS" w:eastAsia="sr-Cyrl-RS"/>
              </w:rPr>
              <w:t>, санација и ремедијација конта</w:t>
            </w:r>
            <w:r w:rsidRPr="00EF2F18">
              <w:rPr>
                <w:rFonts w:eastAsia="Times New Roman" w:cs="Times New Roman"/>
                <w:color w:val="000000"/>
                <w:sz w:val="20"/>
                <w:szCs w:val="20"/>
                <w:lang w:val="sr-Cyrl-RS" w:eastAsia="sr-Cyrl-RS"/>
              </w:rPr>
              <w:t>минираних локација</w:t>
            </w:r>
          </w:p>
        </w:tc>
        <w:tc>
          <w:tcPr>
            <w:tcW w:w="1167" w:type="dxa"/>
            <w:hideMark/>
          </w:tcPr>
          <w:p w14:paraId="373AC300"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6" w:type="dxa"/>
            <w:hideMark/>
          </w:tcPr>
          <w:p w14:paraId="6457B4BC"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АЗЖС, ЈЛС, акредитоване лабораторије</w:t>
            </w:r>
          </w:p>
        </w:tc>
        <w:tc>
          <w:tcPr>
            <w:tcW w:w="1182" w:type="dxa"/>
            <w:hideMark/>
          </w:tcPr>
          <w:p w14:paraId="348EBDF2" w14:textId="77777777" w:rsidR="009B28D1" w:rsidRPr="00EF2F18" w:rsidRDefault="009B28D1" w:rsidP="0027699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 xml:space="preserve">4. </w:t>
            </w:r>
          </w:p>
          <w:p w14:paraId="6319B9B7" w14:textId="77777777" w:rsidR="009B28D1" w:rsidRPr="00EF2F18" w:rsidRDefault="009B28D1" w:rsidP="00276990">
            <w:pPr>
              <w:spacing w:after="0"/>
              <w:rPr>
                <w:rFonts w:eastAsia="Times New Roman" w:cs="Times New Roman"/>
                <w:sz w:val="20"/>
                <w:szCs w:val="20"/>
                <w:lang w:val="sr-Cyrl-RS" w:eastAsia="sr-Cyrl-RS"/>
              </w:rPr>
            </w:pPr>
            <w:r w:rsidRPr="00EF2F18">
              <w:rPr>
                <w:rFonts w:eastAsia="Times New Roman" w:cs="Times New Roman"/>
                <w:sz w:val="20"/>
                <w:szCs w:val="20"/>
                <w:lang w:val="sr-Cyrl-RS" w:eastAsia="sr-Cyrl-RS"/>
              </w:rPr>
              <w:t xml:space="preserve">квартал </w:t>
            </w:r>
          </w:p>
          <w:p w14:paraId="13BD730E" w14:textId="6CF68249" w:rsidR="009B28D1" w:rsidRPr="00EF2F18" w:rsidRDefault="009B28D1" w:rsidP="0027699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r w:rsidRPr="00EF2F18">
              <w:rPr>
                <w:rFonts w:eastAsia="Times New Roman" w:cs="Times New Roman"/>
                <w:color w:val="EE0000"/>
                <w:sz w:val="20"/>
                <w:szCs w:val="20"/>
                <w:lang w:val="sr-Cyrl-RS" w:eastAsia="sr-Cyrl-RS"/>
              </w:rPr>
              <w:t>.</w:t>
            </w:r>
          </w:p>
        </w:tc>
        <w:tc>
          <w:tcPr>
            <w:tcW w:w="1382" w:type="dxa"/>
            <w:hideMark/>
          </w:tcPr>
          <w:p w14:paraId="65F3A2FF"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428" w:type="dxa"/>
            <w:hideMark/>
          </w:tcPr>
          <w:p w14:paraId="4EC0F258"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0406-560-0006-424</w:t>
            </w:r>
          </w:p>
        </w:tc>
        <w:tc>
          <w:tcPr>
            <w:tcW w:w="1222" w:type="dxa"/>
            <w:hideMark/>
          </w:tcPr>
          <w:p w14:paraId="2650272F" w14:textId="35B0F0EC" w:rsidR="009B28D1" w:rsidRPr="00EF2F18" w:rsidRDefault="002E21E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375.000</w:t>
            </w:r>
          </w:p>
        </w:tc>
        <w:tc>
          <w:tcPr>
            <w:tcW w:w="1420" w:type="dxa"/>
            <w:hideMark/>
          </w:tcPr>
          <w:p w14:paraId="6BFC0545" w14:textId="1541EE54" w:rsidR="009B28D1" w:rsidRPr="00EF2F18" w:rsidRDefault="004C0B55"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400.000</w:t>
            </w:r>
          </w:p>
        </w:tc>
        <w:tc>
          <w:tcPr>
            <w:tcW w:w="1509" w:type="dxa"/>
            <w:hideMark/>
          </w:tcPr>
          <w:p w14:paraId="3E63280B" w14:textId="021C077A" w:rsidR="009B28D1" w:rsidRPr="00EF2F18" w:rsidRDefault="009B28D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700.000</w:t>
            </w:r>
          </w:p>
        </w:tc>
      </w:tr>
      <w:tr w:rsidR="005242E8" w:rsidRPr="00EF2F18" w14:paraId="0BDC7E06" w14:textId="77777777" w:rsidTr="005242E8">
        <w:trPr>
          <w:trHeight w:val="663"/>
        </w:trPr>
        <w:tc>
          <w:tcPr>
            <w:tcW w:w="2765" w:type="dxa"/>
            <w:vMerge w:val="restart"/>
            <w:hideMark/>
          </w:tcPr>
          <w:p w14:paraId="2011DE61" w14:textId="1DCE9879"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3.3.4.2. Израда и спровођење пројеката санације, затварањa и рекултивације несанитарних депонија</w:t>
            </w:r>
            <w:r w:rsidR="0053774E">
              <w:rPr>
                <w:rFonts w:eastAsia="Times New Roman" w:cs="Times New Roman"/>
                <w:color w:val="000000"/>
                <w:sz w:val="20"/>
                <w:szCs w:val="20"/>
                <w:lang w:val="sr-Cyrl-RS" w:eastAsia="sr-Cyrl-RS"/>
              </w:rPr>
              <w:t xml:space="preserve"> </w:t>
            </w:r>
            <w:r w:rsidRPr="00EF2F18">
              <w:rPr>
                <w:rFonts w:eastAsia="Times New Roman" w:cs="Times New Roman"/>
                <w:color w:val="000000"/>
                <w:sz w:val="20"/>
                <w:szCs w:val="20"/>
                <w:lang w:val="sr-Cyrl-RS" w:eastAsia="sr-Cyrl-RS"/>
              </w:rPr>
              <w:t>-сметлишта којима управљају ЈКП</w:t>
            </w:r>
          </w:p>
        </w:tc>
        <w:tc>
          <w:tcPr>
            <w:tcW w:w="1167" w:type="dxa"/>
            <w:vMerge w:val="restart"/>
            <w:hideMark/>
          </w:tcPr>
          <w:p w14:paraId="688CFC7D"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6" w:type="dxa"/>
            <w:vMerge w:val="restart"/>
            <w:hideMark/>
          </w:tcPr>
          <w:p w14:paraId="03BF2BAB" w14:textId="234E4FB5"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МФ, АЗЖС, ЈЛС, акредитоване лабораторије</w:t>
            </w:r>
          </w:p>
        </w:tc>
        <w:tc>
          <w:tcPr>
            <w:tcW w:w="1182" w:type="dxa"/>
            <w:vMerge w:val="restart"/>
            <w:hideMark/>
          </w:tcPr>
          <w:p w14:paraId="57FAF3F2"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4. квартал 2028. </w:t>
            </w:r>
          </w:p>
        </w:tc>
        <w:tc>
          <w:tcPr>
            <w:tcW w:w="1382" w:type="dxa"/>
            <w:tcBorders>
              <w:bottom w:val="nil"/>
            </w:tcBorders>
            <w:hideMark/>
          </w:tcPr>
          <w:p w14:paraId="516D66ED"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428" w:type="dxa"/>
            <w:vMerge w:val="restart"/>
            <w:hideMark/>
          </w:tcPr>
          <w:p w14:paraId="6D126E08" w14:textId="77777777" w:rsidR="009B28D1" w:rsidRPr="00EF2F18" w:rsidRDefault="009B28D1" w:rsidP="00752CA0">
            <w:pPr>
              <w:spacing w:after="0"/>
              <w:rPr>
                <w:rFonts w:eastAsia="Times New Roman" w:cs="Times New Roman"/>
                <w:color w:val="000000"/>
                <w:sz w:val="20"/>
                <w:szCs w:val="20"/>
                <w:highlight w:val="darkCyan"/>
                <w:lang w:val="sr-Cyrl-RS" w:eastAsia="sr-Cyrl-RS"/>
              </w:rPr>
            </w:pPr>
            <w:r w:rsidRPr="00EF2F18">
              <w:rPr>
                <w:rFonts w:eastAsia="Times New Roman" w:cs="Times New Roman"/>
                <w:color w:val="000000"/>
                <w:sz w:val="20"/>
                <w:szCs w:val="20"/>
                <w:lang w:val="sr-Cyrl-RS" w:eastAsia="sr-Cyrl-RS"/>
              </w:rPr>
              <w:t>0406-560-0004-463</w:t>
            </w:r>
          </w:p>
        </w:tc>
        <w:tc>
          <w:tcPr>
            <w:tcW w:w="1222" w:type="dxa"/>
            <w:vMerge w:val="restart"/>
            <w:hideMark/>
          </w:tcPr>
          <w:p w14:paraId="5ABF1166" w14:textId="6C8A9A33" w:rsidR="009B28D1" w:rsidRPr="00EF2F18" w:rsidRDefault="00AC6CD6" w:rsidP="00752CA0">
            <w:pPr>
              <w:spacing w:after="0"/>
              <w:jc w:val="right"/>
              <w:rPr>
                <w:rFonts w:eastAsia="Times New Roman" w:cs="Times New Roman"/>
                <w:color w:val="000000"/>
                <w:sz w:val="20"/>
                <w:szCs w:val="20"/>
                <w:highlight w:val="darkCyan"/>
                <w:lang w:val="sr-Cyrl-RS" w:eastAsia="sr-Cyrl-RS"/>
              </w:rPr>
            </w:pPr>
            <w:r w:rsidRPr="00EF2F18">
              <w:rPr>
                <w:rFonts w:eastAsia="Times New Roman" w:cs="Times New Roman"/>
                <w:color w:val="000000"/>
                <w:sz w:val="20"/>
                <w:szCs w:val="20"/>
                <w:lang w:val="sr-Cyrl-RS" w:eastAsia="sr-Cyrl-RS"/>
              </w:rPr>
              <w:t>852.445</w:t>
            </w:r>
          </w:p>
        </w:tc>
        <w:tc>
          <w:tcPr>
            <w:tcW w:w="1420" w:type="dxa"/>
            <w:vMerge w:val="restart"/>
            <w:hideMark/>
          </w:tcPr>
          <w:p w14:paraId="6F0B5CC7" w14:textId="77777777" w:rsidR="009B28D1" w:rsidRPr="00EF2F18" w:rsidRDefault="009B28D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1.300.000</w:t>
            </w:r>
          </w:p>
        </w:tc>
        <w:tc>
          <w:tcPr>
            <w:tcW w:w="1509" w:type="dxa"/>
            <w:vMerge w:val="restart"/>
            <w:hideMark/>
          </w:tcPr>
          <w:p w14:paraId="21F33F9F" w14:textId="05281030" w:rsidR="009B28D1" w:rsidRPr="00EF2F18" w:rsidRDefault="009B28D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1.300.000</w:t>
            </w:r>
          </w:p>
        </w:tc>
      </w:tr>
      <w:tr w:rsidR="005242E8" w:rsidRPr="00EF2F18" w14:paraId="4D4946BD" w14:textId="77777777" w:rsidTr="005242E8">
        <w:trPr>
          <w:trHeight w:val="302"/>
        </w:trPr>
        <w:tc>
          <w:tcPr>
            <w:tcW w:w="2765" w:type="dxa"/>
            <w:vMerge/>
            <w:vAlign w:val="center"/>
            <w:hideMark/>
          </w:tcPr>
          <w:p w14:paraId="24DB55B1"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167" w:type="dxa"/>
            <w:vMerge/>
            <w:vAlign w:val="center"/>
            <w:hideMark/>
          </w:tcPr>
          <w:p w14:paraId="0D7332E8"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366" w:type="dxa"/>
            <w:vMerge/>
            <w:vAlign w:val="center"/>
            <w:hideMark/>
          </w:tcPr>
          <w:p w14:paraId="1774AC53"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182" w:type="dxa"/>
            <w:vMerge/>
            <w:vAlign w:val="center"/>
            <w:hideMark/>
          </w:tcPr>
          <w:p w14:paraId="7203AEE9"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382" w:type="dxa"/>
            <w:tcBorders>
              <w:top w:val="nil"/>
              <w:bottom w:val="nil"/>
            </w:tcBorders>
            <w:hideMark/>
          </w:tcPr>
          <w:p w14:paraId="125A1AC8"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 ЈЛС</w:t>
            </w:r>
          </w:p>
        </w:tc>
        <w:tc>
          <w:tcPr>
            <w:tcW w:w="1428" w:type="dxa"/>
            <w:vMerge/>
            <w:vAlign w:val="center"/>
            <w:hideMark/>
          </w:tcPr>
          <w:p w14:paraId="25C22122"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222" w:type="dxa"/>
            <w:vMerge/>
            <w:vAlign w:val="center"/>
            <w:hideMark/>
          </w:tcPr>
          <w:p w14:paraId="2BDBDB32"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420" w:type="dxa"/>
            <w:vMerge/>
            <w:vAlign w:val="center"/>
            <w:hideMark/>
          </w:tcPr>
          <w:p w14:paraId="2C74EA60"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509" w:type="dxa"/>
            <w:vMerge/>
            <w:vAlign w:val="center"/>
            <w:hideMark/>
          </w:tcPr>
          <w:p w14:paraId="1C503D38" w14:textId="77777777" w:rsidR="009B28D1" w:rsidRPr="00EF2F18" w:rsidRDefault="009B28D1" w:rsidP="00752CA0">
            <w:pPr>
              <w:spacing w:after="0"/>
              <w:rPr>
                <w:rFonts w:eastAsia="Times New Roman" w:cs="Times New Roman"/>
                <w:color w:val="000000"/>
                <w:sz w:val="20"/>
                <w:szCs w:val="20"/>
                <w:lang w:val="sr-Cyrl-RS" w:eastAsia="sr-Cyrl-RS"/>
              </w:rPr>
            </w:pPr>
          </w:p>
        </w:tc>
      </w:tr>
      <w:tr w:rsidR="005242E8" w:rsidRPr="00EF2F18" w14:paraId="3DF66641" w14:textId="77777777" w:rsidTr="005242E8">
        <w:trPr>
          <w:trHeight w:val="314"/>
        </w:trPr>
        <w:tc>
          <w:tcPr>
            <w:tcW w:w="2765" w:type="dxa"/>
            <w:vMerge/>
            <w:vAlign w:val="center"/>
            <w:hideMark/>
          </w:tcPr>
          <w:p w14:paraId="0F2B9FBF"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167" w:type="dxa"/>
            <w:vMerge/>
            <w:vAlign w:val="center"/>
            <w:hideMark/>
          </w:tcPr>
          <w:p w14:paraId="179C291F"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366" w:type="dxa"/>
            <w:vMerge/>
            <w:vAlign w:val="center"/>
            <w:hideMark/>
          </w:tcPr>
          <w:p w14:paraId="5CE24FB8"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182" w:type="dxa"/>
            <w:vMerge/>
            <w:vAlign w:val="center"/>
            <w:hideMark/>
          </w:tcPr>
          <w:p w14:paraId="71192E4B"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382" w:type="dxa"/>
            <w:tcBorders>
              <w:top w:val="nil"/>
            </w:tcBorders>
            <w:hideMark/>
          </w:tcPr>
          <w:p w14:paraId="6E11D506"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428" w:type="dxa"/>
            <w:vMerge/>
            <w:vAlign w:val="center"/>
            <w:hideMark/>
          </w:tcPr>
          <w:p w14:paraId="3D264908"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222" w:type="dxa"/>
            <w:vMerge/>
            <w:vAlign w:val="center"/>
            <w:hideMark/>
          </w:tcPr>
          <w:p w14:paraId="41C3EC49"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420" w:type="dxa"/>
            <w:vMerge/>
            <w:vAlign w:val="center"/>
            <w:hideMark/>
          </w:tcPr>
          <w:p w14:paraId="144C7EDF"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509" w:type="dxa"/>
            <w:vMerge/>
            <w:vAlign w:val="center"/>
            <w:hideMark/>
          </w:tcPr>
          <w:p w14:paraId="55ABE17D" w14:textId="77777777" w:rsidR="009B28D1" w:rsidRPr="00EF2F18" w:rsidRDefault="009B28D1" w:rsidP="00752CA0">
            <w:pPr>
              <w:spacing w:after="0"/>
              <w:rPr>
                <w:rFonts w:eastAsia="Times New Roman" w:cs="Times New Roman"/>
                <w:color w:val="000000"/>
                <w:sz w:val="20"/>
                <w:szCs w:val="20"/>
                <w:lang w:val="sr-Cyrl-RS" w:eastAsia="sr-Cyrl-RS"/>
              </w:rPr>
            </w:pPr>
          </w:p>
        </w:tc>
      </w:tr>
      <w:tr w:rsidR="005242E8" w:rsidRPr="00EF2F18" w14:paraId="2DB1CA3D" w14:textId="77777777" w:rsidTr="005242E8">
        <w:trPr>
          <w:trHeight w:val="1549"/>
        </w:trPr>
        <w:tc>
          <w:tcPr>
            <w:tcW w:w="2765" w:type="dxa"/>
            <w:hideMark/>
          </w:tcPr>
          <w:p w14:paraId="30BDB065" w14:textId="6AF0B7A4"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3.3.4.3. Управљање рударским отпадом и јаловиштима кроз успос</w:t>
            </w:r>
            <w:r w:rsidR="00FF734A">
              <w:rPr>
                <w:rFonts w:eastAsia="Times New Roman" w:cs="Times New Roman"/>
                <w:color w:val="000000"/>
                <w:sz w:val="20"/>
                <w:szCs w:val="20"/>
                <w:lang w:val="sr-Cyrl-RS" w:eastAsia="sr-Cyrl-RS"/>
              </w:rPr>
              <w:t>тављени систем дозвола за управ</w:t>
            </w:r>
            <w:r w:rsidRPr="00EF2F18">
              <w:rPr>
                <w:rFonts w:eastAsia="Times New Roman" w:cs="Times New Roman"/>
                <w:color w:val="000000"/>
                <w:sz w:val="20"/>
                <w:szCs w:val="20"/>
                <w:lang w:val="sr-Cyrl-RS" w:eastAsia="sr-Cyrl-RS"/>
              </w:rPr>
              <w:t>љање рударским отпадом и успостављање јединствене базе података рударског отпада</w:t>
            </w:r>
          </w:p>
        </w:tc>
        <w:tc>
          <w:tcPr>
            <w:tcW w:w="1167" w:type="dxa"/>
            <w:hideMark/>
          </w:tcPr>
          <w:p w14:paraId="7824D1EE"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МРЕ</w:t>
            </w:r>
          </w:p>
        </w:tc>
        <w:tc>
          <w:tcPr>
            <w:tcW w:w="1366" w:type="dxa"/>
            <w:hideMark/>
          </w:tcPr>
          <w:p w14:paraId="37967CFD"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РЗС, рударске компаније</w:t>
            </w:r>
          </w:p>
        </w:tc>
        <w:tc>
          <w:tcPr>
            <w:tcW w:w="1182" w:type="dxa"/>
            <w:hideMark/>
          </w:tcPr>
          <w:p w14:paraId="2345D48C" w14:textId="7777777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4. квартал 2028. </w:t>
            </w:r>
          </w:p>
        </w:tc>
        <w:tc>
          <w:tcPr>
            <w:tcW w:w="1382" w:type="dxa"/>
            <w:hideMark/>
          </w:tcPr>
          <w:p w14:paraId="48F7C225" w14:textId="1CDBFE87" w:rsidR="009B28D1" w:rsidRPr="00EF2F18" w:rsidRDefault="009B28D1"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28" w:type="dxa"/>
            <w:hideMark/>
          </w:tcPr>
          <w:p w14:paraId="63DFE3A0" w14:textId="77777777" w:rsidR="009B28D1" w:rsidRPr="00EF2F18" w:rsidRDefault="009B28D1" w:rsidP="00752CA0">
            <w:pPr>
              <w:spacing w:after="0"/>
              <w:rPr>
                <w:rFonts w:eastAsia="Times New Roman" w:cs="Times New Roman"/>
                <w:color w:val="000000"/>
                <w:sz w:val="20"/>
                <w:szCs w:val="20"/>
                <w:lang w:val="sr-Cyrl-RS" w:eastAsia="sr-Cyrl-RS"/>
              </w:rPr>
            </w:pPr>
          </w:p>
        </w:tc>
        <w:tc>
          <w:tcPr>
            <w:tcW w:w="1222" w:type="dxa"/>
          </w:tcPr>
          <w:p w14:paraId="031F0211" w14:textId="2C5184AF" w:rsidR="009B28D1" w:rsidRPr="00EF2F18" w:rsidRDefault="009B28D1" w:rsidP="00752CA0">
            <w:pPr>
              <w:spacing w:after="0"/>
              <w:jc w:val="right"/>
              <w:rPr>
                <w:rFonts w:eastAsia="Times New Roman" w:cs="Times New Roman"/>
                <w:color w:val="000000"/>
                <w:sz w:val="20"/>
                <w:szCs w:val="20"/>
                <w:lang w:val="sr-Cyrl-RS" w:eastAsia="sr-Cyrl-RS"/>
              </w:rPr>
            </w:pPr>
          </w:p>
        </w:tc>
        <w:tc>
          <w:tcPr>
            <w:tcW w:w="1420" w:type="dxa"/>
          </w:tcPr>
          <w:p w14:paraId="579F03C4" w14:textId="3BE070BB" w:rsidR="009B28D1" w:rsidRPr="00EF2F18" w:rsidRDefault="009B28D1" w:rsidP="00752CA0">
            <w:pPr>
              <w:spacing w:after="0"/>
              <w:jc w:val="right"/>
              <w:rPr>
                <w:rFonts w:eastAsia="Times New Roman" w:cs="Times New Roman"/>
                <w:color w:val="000000"/>
                <w:sz w:val="20"/>
                <w:szCs w:val="20"/>
                <w:lang w:val="sr-Cyrl-RS" w:eastAsia="sr-Cyrl-RS"/>
              </w:rPr>
            </w:pPr>
          </w:p>
        </w:tc>
        <w:tc>
          <w:tcPr>
            <w:tcW w:w="1509" w:type="dxa"/>
          </w:tcPr>
          <w:p w14:paraId="0A605BE3" w14:textId="7C6EA5ED" w:rsidR="009B28D1" w:rsidRPr="00EF2F18" w:rsidRDefault="009B28D1" w:rsidP="00752CA0">
            <w:pPr>
              <w:spacing w:after="0"/>
              <w:jc w:val="right"/>
              <w:rPr>
                <w:rFonts w:eastAsia="Times New Roman" w:cs="Times New Roman"/>
                <w:color w:val="000000"/>
                <w:sz w:val="20"/>
                <w:szCs w:val="20"/>
                <w:lang w:val="sr-Cyrl-RS" w:eastAsia="sr-Cyrl-RS"/>
              </w:rPr>
            </w:pPr>
          </w:p>
        </w:tc>
      </w:tr>
    </w:tbl>
    <w:p w14:paraId="18A85789" w14:textId="0ECE6097" w:rsidR="007D7243" w:rsidRPr="00EF2F18" w:rsidRDefault="008B5A0F"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0D32E04A" w14:textId="7A475390" w:rsidR="007D7243" w:rsidRPr="00EF2F18" w:rsidRDefault="007D7243" w:rsidP="007D7243">
      <w:pPr>
        <w:tabs>
          <w:tab w:val="left" w:pos="1940"/>
        </w:tabs>
        <w:spacing w:after="0"/>
        <w:rPr>
          <w:rFonts w:cs="Times New Roman"/>
          <w:sz w:val="20"/>
          <w:szCs w:val="20"/>
          <w:lang w:val="sr-Cyrl-RS"/>
        </w:rPr>
      </w:pPr>
    </w:p>
    <w:tbl>
      <w:tblPr>
        <w:tblW w:w="13713" w:type="dxa"/>
        <w:tblCellMar>
          <w:top w:w="15" w:type="dxa"/>
        </w:tblCellMar>
        <w:tblLook w:val="04A0" w:firstRow="1" w:lastRow="0" w:firstColumn="1" w:lastColumn="0" w:noHBand="0" w:noVBand="1"/>
      </w:tblPr>
      <w:tblGrid>
        <w:gridCol w:w="3555"/>
        <w:gridCol w:w="1264"/>
        <w:gridCol w:w="1834"/>
        <w:gridCol w:w="1150"/>
        <w:gridCol w:w="1264"/>
        <w:gridCol w:w="1350"/>
        <w:gridCol w:w="1440"/>
        <w:gridCol w:w="1620"/>
        <w:gridCol w:w="9"/>
        <w:gridCol w:w="227"/>
      </w:tblGrid>
      <w:tr w:rsidR="007D7243" w:rsidRPr="00EF2F18" w14:paraId="07C7B4B1" w14:textId="77777777" w:rsidTr="005242E8">
        <w:trPr>
          <w:gridAfter w:val="1"/>
          <w:wAfter w:w="227" w:type="dxa"/>
          <w:trHeight w:val="528"/>
        </w:trPr>
        <w:tc>
          <w:tcPr>
            <w:tcW w:w="13486" w:type="dxa"/>
            <w:gridSpan w:val="9"/>
            <w:tcBorders>
              <w:top w:val="double" w:sz="6" w:space="0" w:color="auto"/>
              <w:left w:val="double" w:sz="6" w:space="0" w:color="auto"/>
              <w:bottom w:val="double" w:sz="6" w:space="0" w:color="auto"/>
              <w:right w:val="double" w:sz="6" w:space="0" w:color="auto"/>
            </w:tcBorders>
            <w:shd w:val="clear" w:color="000000" w:fill="C5E0B3"/>
            <w:hideMark/>
          </w:tcPr>
          <w:p w14:paraId="73D32F3A"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Посебан циљ 3.4: Превенција и контрола загађења из индустрије, интегрисано управљање хемикалијама и управљање ризиком од великих удеса који укључују опасне супстанце</w:t>
            </w:r>
          </w:p>
        </w:tc>
      </w:tr>
      <w:tr w:rsidR="007D7243" w:rsidRPr="00EF2F18" w14:paraId="229C2C73" w14:textId="77777777" w:rsidTr="005242E8">
        <w:trPr>
          <w:gridAfter w:val="1"/>
          <w:wAfter w:w="227" w:type="dxa"/>
          <w:trHeight w:val="324"/>
        </w:trPr>
        <w:tc>
          <w:tcPr>
            <w:tcW w:w="13486" w:type="dxa"/>
            <w:gridSpan w:val="9"/>
            <w:tcBorders>
              <w:top w:val="double" w:sz="6" w:space="0" w:color="auto"/>
              <w:left w:val="double" w:sz="6" w:space="0" w:color="auto"/>
              <w:bottom w:val="double" w:sz="6" w:space="0" w:color="auto"/>
              <w:right w:val="double" w:sz="6" w:space="0" w:color="auto"/>
            </w:tcBorders>
            <w:shd w:val="clear" w:color="000000" w:fill="C5E0B3"/>
            <w:hideMark/>
          </w:tcPr>
          <w:p w14:paraId="136B9E14"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Институција одговорна за координацију и извештавање: Министарство заштите животне средине (МЗЖС)</w:t>
            </w:r>
          </w:p>
        </w:tc>
      </w:tr>
      <w:tr w:rsidR="005242E8" w:rsidRPr="00EF2F18" w14:paraId="02B63B63" w14:textId="77777777" w:rsidTr="005242E8">
        <w:trPr>
          <w:gridAfter w:val="2"/>
          <w:wAfter w:w="236" w:type="dxa"/>
          <w:trHeight w:val="468"/>
        </w:trPr>
        <w:tc>
          <w:tcPr>
            <w:tcW w:w="3555"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5C6200AE"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36C1094C"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834"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268E8CA4"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5B635DC"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A3D214B"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5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67B7DC5"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0A94B8C0"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06804A7C"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242E8" w:rsidRPr="00EF2F18" w14:paraId="5D419621" w14:textId="77777777" w:rsidTr="005242E8">
        <w:trPr>
          <w:trHeight w:val="324"/>
        </w:trPr>
        <w:tc>
          <w:tcPr>
            <w:tcW w:w="3555" w:type="dxa"/>
            <w:vMerge/>
            <w:tcBorders>
              <w:top w:val="double" w:sz="6" w:space="0" w:color="auto"/>
              <w:left w:val="double" w:sz="6" w:space="0" w:color="auto"/>
              <w:bottom w:val="double" w:sz="6" w:space="0" w:color="auto"/>
              <w:right w:val="double" w:sz="6" w:space="0" w:color="auto"/>
            </w:tcBorders>
            <w:vAlign w:val="center"/>
            <w:hideMark/>
          </w:tcPr>
          <w:p w14:paraId="2410EB41"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381DEF7D"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834" w:type="dxa"/>
            <w:vMerge/>
            <w:tcBorders>
              <w:top w:val="double" w:sz="6" w:space="0" w:color="auto"/>
              <w:left w:val="double" w:sz="6" w:space="0" w:color="auto"/>
              <w:bottom w:val="double" w:sz="6" w:space="0" w:color="auto"/>
              <w:right w:val="double" w:sz="6" w:space="0" w:color="auto"/>
            </w:tcBorders>
            <w:vAlign w:val="center"/>
            <w:hideMark/>
          </w:tcPr>
          <w:p w14:paraId="6F7954D7"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1CB8B26B"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74A18584"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350" w:type="dxa"/>
            <w:vMerge/>
            <w:tcBorders>
              <w:top w:val="double" w:sz="6" w:space="0" w:color="auto"/>
              <w:left w:val="double" w:sz="6" w:space="0" w:color="auto"/>
              <w:bottom w:val="double" w:sz="6" w:space="0" w:color="auto"/>
              <w:right w:val="double" w:sz="6" w:space="0" w:color="auto"/>
            </w:tcBorders>
            <w:vAlign w:val="center"/>
            <w:hideMark/>
          </w:tcPr>
          <w:p w14:paraId="5CF0B06B"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18ACD782"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39D45983"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227AD4C7" w14:textId="77777777" w:rsidR="005242E8" w:rsidRPr="00EF2F18" w:rsidRDefault="005242E8" w:rsidP="00752CA0">
            <w:pPr>
              <w:spacing w:after="0"/>
              <w:jc w:val="center"/>
              <w:rPr>
                <w:rFonts w:eastAsia="Times New Roman" w:cs="Times New Roman"/>
                <w:color w:val="000000"/>
                <w:sz w:val="20"/>
                <w:szCs w:val="20"/>
                <w:lang w:val="sr-Cyrl-RS" w:eastAsia="sr-Cyrl-RS"/>
              </w:rPr>
            </w:pPr>
          </w:p>
        </w:tc>
      </w:tr>
      <w:tr w:rsidR="005242E8" w:rsidRPr="00EF2F18" w14:paraId="3158987C" w14:textId="77777777" w:rsidTr="005242E8">
        <w:trPr>
          <w:trHeight w:val="468"/>
        </w:trPr>
        <w:tc>
          <w:tcPr>
            <w:tcW w:w="355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82966E6" w14:textId="19188B16" w:rsidR="005242E8" w:rsidRPr="00EF2F18" w:rsidRDefault="005242E8"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постројења која су исходовала интегрисану дозволу у односу на број објављених захтева на годишњем нивоу</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75D6983" w14:textId="6987E8E9" w:rsidR="005242E8" w:rsidRPr="00EF2F18" w:rsidRDefault="005242E8" w:rsidP="007C5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83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5A585E7"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МЗЖС, подаци о интегрисаним дозволама</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7A0EDB69"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33</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7044BF3"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3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A7199C1"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3242800"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D1F6C41" w14:textId="77777777" w:rsidR="005242E8" w:rsidRPr="00EF2F18" w:rsidRDefault="005242E8"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50</w:t>
            </w:r>
          </w:p>
        </w:tc>
        <w:tc>
          <w:tcPr>
            <w:tcW w:w="236" w:type="dxa"/>
            <w:gridSpan w:val="2"/>
            <w:vAlign w:val="center"/>
            <w:hideMark/>
          </w:tcPr>
          <w:p w14:paraId="1988D4CE" w14:textId="77777777" w:rsidR="005242E8" w:rsidRPr="00EF2F18" w:rsidRDefault="005242E8" w:rsidP="00752CA0">
            <w:pPr>
              <w:spacing w:after="0"/>
              <w:rPr>
                <w:rFonts w:eastAsia="Times New Roman" w:cs="Times New Roman"/>
                <w:sz w:val="20"/>
                <w:szCs w:val="20"/>
                <w:lang w:val="sr-Cyrl-RS" w:eastAsia="sr-Cyrl-RS"/>
              </w:rPr>
            </w:pPr>
          </w:p>
        </w:tc>
      </w:tr>
      <w:tr w:rsidR="005242E8" w:rsidRPr="00EF2F18" w14:paraId="13C4F344" w14:textId="77777777" w:rsidTr="005242E8">
        <w:trPr>
          <w:trHeight w:val="324"/>
        </w:trPr>
        <w:tc>
          <w:tcPr>
            <w:tcW w:w="3555" w:type="dxa"/>
            <w:vMerge/>
            <w:tcBorders>
              <w:top w:val="double" w:sz="6" w:space="0" w:color="auto"/>
              <w:left w:val="double" w:sz="6" w:space="0" w:color="auto"/>
              <w:bottom w:val="double" w:sz="6" w:space="0" w:color="auto"/>
              <w:right w:val="double" w:sz="6" w:space="0" w:color="auto"/>
            </w:tcBorders>
            <w:vAlign w:val="center"/>
            <w:hideMark/>
          </w:tcPr>
          <w:p w14:paraId="2EDEA8FC"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2F05A084" w14:textId="77777777" w:rsidR="005242E8" w:rsidRPr="00EF2F18" w:rsidRDefault="005242E8" w:rsidP="007C514A">
            <w:pPr>
              <w:spacing w:after="0"/>
              <w:jc w:val="center"/>
              <w:rPr>
                <w:rFonts w:eastAsia="Times New Roman" w:cs="Times New Roman"/>
                <w:color w:val="000000"/>
                <w:sz w:val="20"/>
                <w:szCs w:val="20"/>
                <w:lang w:val="sr-Cyrl-RS" w:eastAsia="sr-Cyrl-RS"/>
              </w:rPr>
            </w:pPr>
          </w:p>
        </w:tc>
        <w:tc>
          <w:tcPr>
            <w:tcW w:w="1834" w:type="dxa"/>
            <w:vMerge/>
            <w:tcBorders>
              <w:top w:val="double" w:sz="6" w:space="0" w:color="auto"/>
              <w:left w:val="double" w:sz="6" w:space="0" w:color="auto"/>
              <w:bottom w:val="double" w:sz="6" w:space="0" w:color="auto"/>
              <w:right w:val="double" w:sz="6" w:space="0" w:color="auto"/>
            </w:tcBorders>
            <w:vAlign w:val="center"/>
            <w:hideMark/>
          </w:tcPr>
          <w:p w14:paraId="05EBC10C"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40599BB6"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48B7715B"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350" w:type="dxa"/>
            <w:vMerge/>
            <w:tcBorders>
              <w:top w:val="double" w:sz="6" w:space="0" w:color="auto"/>
              <w:left w:val="double" w:sz="6" w:space="0" w:color="auto"/>
              <w:bottom w:val="double" w:sz="6" w:space="0" w:color="auto"/>
              <w:right w:val="double" w:sz="6" w:space="0" w:color="auto"/>
            </w:tcBorders>
            <w:vAlign w:val="center"/>
            <w:hideMark/>
          </w:tcPr>
          <w:p w14:paraId="355DC8BD"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69EAD4DF"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70F56386"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10F7F6D5" w14:textId="77777777" w:rsidR="005242E8" w:rsidRPr="00EF2F18" w:rsidRDefault="005242E8" w:rsidP="00752CA0">
            <w:pPr>
              <w:spacing w:after="0"/>
              <w:jc w:val="right"/>
              <w:rPr>
                <w:rFonts w:eastAsia="Times New Roman" w:cs="Times New Roman"/>
                <w:color w:val="000000"/>
                <w:sz w:val="20"/>
                <w:szCs w:val="20"/>
                <w:lang w:val="sr-Cyrl-RS" w:eastAsia="sr-Cyrl-RS"/>
              </w:rPr>
            </w:pPr>
          </w:p>
        </w:tc>
      </w:tr>
      <w:tr w:rsidR="005242E8" w:rsidRPr="00EF2F18" w14:paraId="4D674764" w14:textId="77777777" w:rsidTr="005242E8">
        <w:trPr>
          <w:trHeight w:val="1260"/>
        </w:trPr>
        <w:tc>
          <w:tcPr>
            <w:tcW w:w="355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05B53FCA" w14:textId="77777777" w:rsidR="005242E8" w:rsidRPr="00EF2F18" w:rsidRDefault="005242E8"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великих удеса који укључују опасне супстанце, годишње</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55CD1D2" w14:textId="49BB4E69" w:rsidR="005242E8" w:rsidRPr="00EF2F18" w:rsidRDefault="005242E8" w:rsidP="007C514A">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број</w:t>
            </w:r>
          </w:p>
        </w:tc>
        <w:tc>
          <w:tcPr>
            <w:tcW w:w="183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4EA29ED"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информација о великом удесу достављена од стране оператера комплекса</w:t>
            </w:r>
          </w:p>
        </w:tc>
        <w:tc>
          <w:tcPr>
            <w:tcW w:w="11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6572B42"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19236BBB"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35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3BCA0A37"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44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0F6AC08"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23296C2" w14:textId="77777777" w:rsidR="005242E8" w:rsidRPr="00EF2F18" w:rsidRDefault="005242E8"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236" w:type="dxa"/>
            <w:gridSpan w:val="2"/>
            <w:vAlign w:val="center"/>
            <w:hideMark/>
          </w:tcPr>
          <w:p w14:paraId="09CE60E1" w14:textId="77777777" w:rsidR="005242E8" w:rsidRPr="00EF2F18" w:rsidRDefault="005242E8" w:rsidP="00752CA0">
            <w:pPr>
              <w:spacing w:after="0"/>
              <w:rPr>
                <w:rFonts w:eastAsia="Times New Roman" w:cs="Times New Roman"/>
                <w:sz w:val="20"/>
                <w:szCs w:val="20"/>
                <w:lang w:val="sr-Cyrl-RS" w:eastAsia="sr-Cyrl-RS"/>
              </w:rPr>
            </w:pPr>
          </w:p>
        </w:tc>
      </w:tr>
      <w:tr w:rsidR="005242E8" w:rsidRPr="00EF2F18" w14:paraId="1B64641F" w14:textId="77777777" w:rsidTr="005242E8">
        <w:trPr>
          <w:trHeight w:val="324"/>
        </w:trPr>
        <w:tc>
          <w:tcPr>
            <w:tcW w:w="3555" w:type="dxa"/>
            <w:vMerge/>
            <w:tcBorders>
              <w:top w:val="double" w:sz="6" w:space="0" w:color="auto"/>
              <w:left w:val="double" w:sz="6" w:space="0" w:color="auto"/>
              <w:bottom w:val="double" w:sz="6" w:space="0" w:color="auto"/>
              <w:right w:val="double" w:sz="6" w:space="0" w:color="auto"/>
            </w:tcBorders>
            <w:vAlign w:val="center"/>
            <w:hideMark/>
          </w:tcPr>
          <w:p w14:paraId="0E2AB540"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17781DA3"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834" w:type="dxa"/>
            <w:vMerge/>
            <w:tcBorders>
              <w:top w:val="double" w:sz="6" w:space="0" w:color="auto"/>
              <w:left w:val="double" w:sz="6" w:space="0" w:color="auto"/>
              <w:bottom w:val="double" w:sz="6" w:space="0" w:color="auto"/>
              <w:right w:val="double" w:sz="6" w:space="0" w:color="auto"/>
            </w:tcBorders>
            <w:vAlign w:val="center"/>
            <w:hideMark/>
          </w:tcPr>
          <w:p w14:paraId="7615B155"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150" w:type="dxa"/>
            <w:vMerge/>
            <w:tcBorders>
              <w:top w:val="double" w:sz="6" w:space="0" w:color="auto"/>
              <w:left w:val="double" w:sz="6" w:space="0" w:color="auto"/>
              <w:bottom w:val="double" w:sz="6" w:space="0" w:color="auto"/>
              <w:right w:val="double" w:sz="6" w:space="0" w:color="auto"/>
            </w:tcBorders>
            <w:vAlign w:val="center"/>
            <w:hideMark/>
          </w:tcPr>
          <w:p w14:paraId="3940EFC8"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0B3BA6B3"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350" w:type="dxa"/>
            <w:vMerge/>
            <w:tcBorders>
              <w:top w:val="double" w:sz="6" w:space="0" w:color="auto"/>
              <w:left w:val="double" w:sz="6" w:space="0" w:color="auto"/>
              <w:bottom w:val="double" w:sz="6" w:space="0" w:color="auto"/>
              <w:right w:val="double" w:sz="6" w:space="0" w:color="auto"/>
            </w:tcBorders>
            <w:vAlign w:val="center"/>
            <w:hideMark/>
          </w:tcPr>
          <w:p w14:paraId="09FFDED8"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440" w:type="dxa"/>
            <w:vMerge/>
            <w:tcBorders>
              <w:top w:val="double" w:sz="6" w:space="0" w:color="auto"/>
              <w:left w:val="double" w:sz="6" w:space="0" w:color="auto"/>
              <w:bottom w:val="double" w:sz="6" w:space="0" w:color="auto"/>
              <w:right w:val="double" w:sz="6" w:space="0" w:color="auto"/>
            </w:tcBorders>
            <w:vAlign w:val="center"/>
            <w:hideMark/>
          </w:tcPr>
          <w:p w14:paraId="3814B253"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0D09FA4A"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52D39E15" w14:textId="77777777" w:rsidR="005242E8" w:rsidRPr="00EF2F18" w:rsidRDefault="005242E8" w:rsidP="00752CA0">
            <w:pPr>
              <w:spacing w:after="0"/>
              <w:jc w:val="right"/>
              <w:rPr>
                <w:rFonts w:eastAsia="Times New Roman" w:cs="Times New Roman"/>
                <w:color w:val="000000"/>
                <w:sz w:val="20"/>
                <w:szCs w:val="20"/>
                <w:lang w:val="sr-Cyrl-RS" w:eastAsia="sr-Cyrl-RS"/>
              </w:rPr>
            </w:pPr>
          </w:p>
        </w:tc>
      </w:tr>
    </w:tbl>
    <w:p w14:paraId="7561C097" w14:textId="77777777" w:rsidR="007D7243" w:rsidRPr="00EF2F18" w:rsidRDefault="007D7243" w:rsidP="007D7243">
      <w:pPr>
        <w:spacing w:after="0"/>
        <w:rPr>
          <w:rFonts w:cs="Times New Roman"/>
          <w:sz w:val="20"/>
          <w:szCs w:val="20"/>
          <w:lang w:val="sr-Cyrl-RS"/>
        </w:rPr>
      </w:pPr>
    </w:p>
    <w:tbl>
      <w:tblPr>
        <w:tblW w:w="13713" w:type="dxa"/>
        <w:tblCellMar>
          <w:top w:w="15" w:type="dxa"/>
        </w:tblCellMar>
        <w:tblLook w:val="04A0" w:firstRow="1" w:lastRow="0" w:firstColumn="1" w:lastColumn="0" w:noHBand="0" w:noVBand="1"/>
      </w:tblPr>
      <w:tblGrid>
        <w:gridCol w:w="3086"/>
        <w:gridCol w:w="1239"/>
        <w:gridCol w:w="1621"/>
        <w:gridCol w:w="948"/>
        <w:gridCol w:w="919"/>
        <w:gridCol w:w="1519"/>
        <w:gridCol w:w="1175"/>
        <w:gridCol w:w="1260"/>
        <w:gridCol w:w="1710"/>
        <w:gridCol w:w="36"/>
        <w:gridCol w:w="200"/>
      </w:tblGrid>
      <w:tr w:rsidR="007D7243" w:rsidRPr="00EF2F18" w14:paraId="54F3535E" w14:textId="77777777" w:rsidTr="005242E8">
        <w:trPr>
          <w:gridAfter w:val="1"/>
          <w:wAfter w:w="200" w:type="dxa"/>
          <w:trHeight w:val="336"/>
        </w:trPr>
        <w:tc>
          <w:tcPr>
            <w:tcW w:w="13513"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42265E10"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3.4.1: Усаглашавање инсталација са најбољим доступним техникама</w:t>
            </w:r>
          </w:p>
        </w:tc>
      </w:tr>
      <w:tr w:rsidR="007D7243" w:rsidRPr="00EF2F18" w14:paraId="3A77BAAC" w14:textId="77777777" w:rsidTr="005242E8">
        <w:trPr>
          <w:gridAfter w:val="1"/>
          <w:wAfter w:w="200" w:type="dxa"/>
          <w:trHeight w:val="336"/>
        </w:trPr>
        <w:tc>
          <w:tcPr>
            <w:tcW w:w="13513" w:type="dxa"/>
            <w:gridSpan w:val="10"/>
            <w:tcBorders>
              <w:top w:val="double" w:sz="6" w:space="0" w:color="auto"/>
              <w:left w:val="double" w:sz="6" w:space="0" w:color="auto"/>
              <w:bottom w:val="double" w:sz="6" w:space="0" w:color="auto"/>
              <w:right w:val="double" w:sz="6" w:space="0" w:color="auto"/>
            </w:tcBorders>
            <w:shd w:val="clear" w:color="000000" w:fill="F7CAAC"/>
            <w:vAlign w:val="center"/>
            <w:hideMark/>
          </w:tcPr>
          <w:p w14:paraId="15D228E6"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3E61EF70" w14:textId="77777777" w:rsidTr="005242E8">
        <w:trPr>
          <w:gridAfter w:val="1"/>
          <w:wAfter w:w="200" w:type="dxa"/>
          <w:trHeight w:val="336"/>
        </w:trPr>
        <w:tc>
          <w:tcPr>
            <w:tcW w:w="689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1E413E64" w14:textId="35D3825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5242E8"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619" w:type="dxa"/>
            <w:gridSpan w:val="6"/>
            <w:tcBorders>
              <w:top w:val="double" w:sz="6" w:space="0" w:color="auto"/>
              <w:left w:val="double" w:sz="6" w:space="0" w:color="auto"/>
              <w:bottom w:val="double" w:sz="6" w:space="0" w:color="auto"/>
              <w:right w:val="double" w:sz="6" w:space="0" w:color="auto"/>
            </w:tcBorders>
            <w:shd w:val="clear" w:color="000000" w:fill="F7CAAC"/>
            <w:vAlign w:val="center"/>
            <w:hideMark/>
          </w:tcPr>
          <w:p w14:paraId="4803370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106693C9" w14:textId="77777777" w:rsidTr="005242E8">
        <w:trPr>
          <w:gridAfter w:val="1"/>
          <w:wAfter w:w="200" w:type="dxa"/>
          <w:trHeight w:val="336"/>
        </w:trPr>
        <w:tc>
          <w:tcPr>
            <w:tcW w:w="6894"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4E2B7FDE"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19" w:type="dxa"/>
            <w:gridSpan w:val="6"/>
            <w:tcBorders>
              <w:top w:val="double" w:sz="6" w:space="0" w:color="auto"/>
              <w:left w:val="double" w:sz="6" w:space="0" w:color="auto"/>
              <w:bottom w:val="double" w:sz="6" w:space="0" w:color="auto"/>
              <w:right w:val="double" w:sz="6" w:space="0" w:color="auto"/>
            </w:tcBorders>
            <w:shd w:val="clear" w:color="000000" w:fill="F7CAAC"/>
            <w:vAlign w:val="center"/>
            <w:hideMark/>
          </w:tcPr>
          <w:p w14:paraId="75D53BD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5242E8" w:rsidRPr="00EF2F18" w14:paraId="4CEDFB19" w14:textId="77777777" w:rsidTr="005242E8">
        <w:trPr>
          <w:gridAfter w:val="2"/>
          <w:wAfter w:w="236" w:type="dxa"/>
          <w:trHeight w:val="816"/>
        </w:trPr>
        <w:tc>
          <w:tcPr>
            <w:tcW w:w="3086" w:type="dxa"/>
            <w:tcBorders>
              <w:top w:val="nil"/>
              <w:left w:val="double" w:sz="6" w:space="0" w:color="auto"/>
              <w:bottom w:val="double" w:sz="6" w:space="0" w:color="auto"/>
              <w:right w:val="single" w:sz="8" w:space="0" w:color="auto"/>
            </w:tcBorders>
            <w:shd w:val="clear" w:color="000000" w:fill="D9D9D9"/>
            <w:hideMark/>
          </w:tcPr>
          <w:p w14:paraId="4A403B4B"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39" w:type="dxa"/>
            <w:tcBorders>
              <w:top w:val="nil"/>
              <w:left w:val="nil"/>
              <w:bottom w:val="double" w:sz="6" w:space="0" w:color="auto"/>
              <w:right w:val="single" w:sz="8" w:space="0" w:color="auto"/>
            </w:tcBorders>
            <w:shd w:val="clear" w:color="000000" w:fill="D9D9D9"/>
            <w:hideMark/>
          </w:tcPr>
          <w:p w14:paraId="1D2F8BB5"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621" w:type="dxa"/>
            <w:tcBorders>
              <w:top w:val="nil"/>
              <w:left w:val="nil"/>
              <w:bottom w:val="double" w:sz="6" w:space="0" w:color="auto"/>
              <w:right w:val="single" w:sz="8" w:space="0" w:color="auto"/>
            </w:tcBorders>
            <w:shd w:val="clear" w:color="000000" w:fill="D9D9D9"/>
            <w:hideMark/>
          </w:tcPr>
          <w:p w14:paraId="440F61F7"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67" w:type="dxa"/>
            <w:gridSpan w:val="2"/>
            <w:tcBorders>
              <w:top w:val="double" w:sz="6" w:space="0" w:color="auto"/>
              <w:left w:val="nil"/>
              <w:bottom w:val="double" w:sz="6" w:space="0" w:color="auto"/>
              <w:right w:val="single" w:sz="8" w:space="0" w:color="000000"/>
            </w:tcBorders>
            <w:shd w:val="clear" w:color="000000" w:fill="D9D9D9"/>
            <w:hideMark/>
          </w:tcPr>
          <w:p w14:paraId="1D2E17F3"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19" w:type="dxa"/>
            <w:tcBorders>
              <w:top w:val="nil"/>
              <w:left w:val="nil"/>
              <w:bottom w:val="double" w:sz="6" w:space="0" w:color="auto"/>
              <w:right w:val="single" w:sz="8" w:space="0" w:color="auto"/>
            </w:tcBorders>
            <w:shd w:val="clear" w:color="000000" w:fill="D9D9D9"/>
            <w:hideMark/>
          </w:tcPr>
          <w:p w14:paraId="0C59893E"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175" w:type="dxa"/>
            <w:tcBorders>
              <w:top w:val="nil"/>
              <w:left w:val="nil"/>
              <w:bottom w:val="double" w:sz="6" w:space="0" w:color="auto"/>
              <w:right w:val="nil"/>
            </w:tcBorders>
            <w:shd w:val="clear" w:color="000000" w:fill="D9D9D9"/>
            <w:hideMark/>
          </w:tcPr>
          <w:p w14:paraId="37BCD95B"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260" w:type="dxa"/>
            <w:tcBorders>
              <w:top w:val="nil"/>
              <w:left w:val="nil"/>
              <w:bottom w:val="double" w:sz="6" w:space="0" w:color="auto"/>
              <w:right w:val="single" w:sz="8" w:space="0" w:color="auto"/>
            </w:tcBorders>
            <w:shd w:val="clear" w:color="000000" w:fill="D9D9D9"/>
            <w:hideMark/>
          </w:tcPr>
          <w:p w14:paraId="62EB4BFA"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tcBorders>
              <w:top w:val="nil"/>
              <w:left w:val="nil"/>
              <w:bottom w:val="double" w:sz="6" w:space="0" w:color="auto"/>
              <w:right w:val="double" w:sz="6" w:space="0" w:color="auto"/>
            </w:tcBorders>
            <w:shd w:val="clear" w:color="000000" w:fill="D9D9D9"/>
            <w:hideMark/>
          </w:tcPr>
          <w:p w14:paraId="77CEA071"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242E8" w:rsidRPr="00EF2F18" w14:paraId="7F1D51CB" w14:textId="77777777" w:rsidTr="005242E8">
        <w:trPr>
          <w:gridAfter w:val="2"/>
          <w:wAfter w:w="236" w:type="dxa"/>
          <w:trHeight w:val="684"/>
        </w:trPr>
        <w:tc>
          <w:tcPr>
            <w:tcW w:w="3086"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60C6C539" w14:textId="77777777" w:rsidR="005242E8" w:rsidRPr="00EF2F18" w:rsidRDefault="005242E8"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Удео усклађених IPPC постројења, која су исходовала IPPC дозволу, са најбоље доступним техникама, изражено као средња вредност појединачног % усаглашености</w:t>
            </w:r>
          </w:p>
        </w:tc>
        <w:tc>
          <w:tcPr>
            <w:tcW w:w="1239"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488FF10"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621"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6ADDD1B"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МЗЖС, извори сертификациона тела</w:t>
            </w:r>
          </w:p>
        </w:tc>
        <w:tc>
          <w:tcPr>
            <w:tcW w:w="1867" w:type="dxa"/>
            <w:gridSpan w:val="2"/>
            <w:vMerge w:val="restart"/>
            <w:tcBorders>
              <w:top w:val="double" w:sz="6" w:space="0" w:color="auto"/>
              <w:left w:val="double" w:sz="6" w:space="0" w:color="auto"/>
              <w:bottom w:val="double" w:sz="6" w:space="0" w:color="auto"/>
              <w:right w:val="double" w:sz="6" w:space="0" w:color="auto"/>
            </w:tcBorders>
            <w:shd w:val="clear" w:color="000000" w:fill="FFFFFF"/>
            <w:hideMark/>
          </w:tcPr>
          <w:p w14:paraId="67083BE8"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91,7</w:t>
            </w:r>
          </w:p>
        </w:tc>
        <w:tc>
          <w:tcPr>
            <w:tcW w:w="1519"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1EF3116"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7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05D48BB"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93</w:t>
            </w:r>
          </w:p>
        </w:tc>
        <w:tc>
          <w:tcPr>
            <w:tcW w:w="126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55BC1688"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93,5</w:t>
            </w:r>
          </w:p>
        </w:tc>
        <w:tc>
          <w:tcPr>
            <w:tcW w:w="171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BB94F20" w14:textId="77777777" w:rsidR="005242E8" w:rsidRPr="00EF2F18" w:rsidRDefault="005242E8"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94</w:t>
            </w:r>
          </w:p>
        </w:tc>
      </w:tr>
      <w:tr w:rsidR="005242E8" w:rsidRPr="00EF2F18" w14:paraId="7E5448C9" w14:textId="77777777" w:rsidTr="005242E8">
        <w:trPr>
          <w:trHeight w:val="312"/>
        </w:trPr>
        <w:tc>
          <w:tcPr>
            <w:tcW w:w="3086" w:type="dxa"/>
            <w:vMerge/>
            <w:tcBorders>
              <w:top w:val="double" w:sz="6" w:space="0" w:color="auto"/>
              <w:left w:val="double" w:sz="6" w:space="0" w:color="auto"/>
              <w:bottom w:val="double" w:sz="6" w:space="0" w:color="auto"/>
              <w:right w:val="double" w:sz="6" w:space="0" w:color="auto"/>
            </w:tcBorders>
            <w:vAlign w:val="center"/>
            <w:hideMark/>
          </w:tcPr>
          <w:p w14:paraId="22D7CA6A"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39" w:type="dxa"/>
            <w:vMerge/>
            <w:tcBorders>
              <w:top w:val="double" w:sz="6" w:space="0" w:color="auto"/>
              <w:left w:val="double" w:sz="6" w:space="0" w:color="auto"/>
              <w:bottom w:val="double" w:sz="6" w:space="0" w:color="auto"/>
              <w:right w:val="double" w:sz="6" w:space="0" w:color="auto"/>
            </w:tcBorders>
            <w:vAlign w:val="center"/>
            <w:hideMark/>
          </w:tcPr>
          <w:p w14:paraId="4B7D0D1D"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621" w:type="dxa"/>
            <w:vMerge/>
            <w:tcBorders>
              <w:top w:val="double" w:sz="6" w:space="0" w:color="auto"/>
              <w:left w:val="double" w:sz="6" w:space="0" w:color="auto"/>
              <w:bottom w:val="double" w:sz="6" w:space="0" w:color="auto"/>
              <w:right w:val="double" w:sz="6" w:space="0" w:color="auto"/>
            </w:tcBorders>
            <w:vAlign w:val="center"/>
            <w:hideMark/>
          </w:tcPr>
          <w:p w14:paraId="176CEBC0"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867" w:type="dxa"/>
            <w:gridSpan w:val="2"/>
            <w:vMerge/>
            <w:tcBorders>
              <w:top w:val="double" w:sz="6" w:space="0" w:color="auto"/>
              <w:left w:val="double" w:sz="6" w:space="0" w:color="auto"/>
              <w:bottom w:val="double" w:sz="6" w:space="0" w:color="auto"/>
              <w:right w:val="double" w:sz="6" w:space="0" w:color="auto"/>
            </w:tcBorders>
            <w:vAlign w:val="center"/>
            <w:hideMark/>
          </w:tcPr>
          <w:p w14:paraId="489CF2E6"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519" w:type="dxa"/>
            <w:vMerge/>
            <w:tcBorders>
              <w:top w:val="double" w:sz="6" w:space="0" w:color="auto"/>
              <w:left w:val="double" w:sz="6" w:space="0" w:color="auto"/>
              <w:bottom w:val="double" w:sz="6" w:space="0" w:color="auto"/>
              <w:right w:val="double" w:sz="6" w:space="0" w:color="auto"/>
            </w:tcBorders>
            <w:vAlign w:val="center"/>
            <w:hideMark/>
          </w:tcPr>
          <w:p w14:paraId="481F4CB4"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175" w:type="dxa"/>
            <w:vMerge/>
            <w:tcBorders>
              <w:top w:val="double" w:sz="6" w:space="0" w:color="auto"/>
              <w:left w:val="double" w:sz="6" w:space="0" w:color="auto"/>
              <w:bottom w:val="double" w:sz="6" w:space="0" w:color="auto"/>
              <w:right w:val="double" w:sz="6" w:space="0" w:color="auto"/>
            </w:tcBorders>
            <w:vAlign w:val="center"/>
            <w:hideMark/>
          </w:tcPr>
          <w:p w14:paraId="50184CEB"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4F4BAB69"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24FBC565"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236" w:type="dxa"/>
            <w:gridSpan w:val="2"/>
            <w:tcBorders>
              <w:left w:val="double" w:sz="6" w:space="0" w:color="auto"/>
            </w:tcBorders>
            <w:noWrap/>
            <w:vAlign w:val="bottom"/>
            <w:hideMark/>
          </w:tcPr>
          <w:p w14:paraId="69D07CE5" w14:textId="77777777" w:rsidR="005242E8" w:rsidRPr="00EF2F18" w:rsidRDefault="005242E8" w:rsidP="00752CA0">
            <w:pPr>
              <w:spacing w:after="0"/>
              <w:jc w:val="center"/>
              <w:rPr>
                <w:rFonts w:eastAsia="Times New Roman" w:cs="Times New Roman"/>
                <w:color w:val="000000"/>
                <w:sz w:val="20"/>
                <w:szCs w:val="20"/>
                <w:lang w:val="sr-Cyrl-RS" w:eastAsia="sr-Cyrl-RS"/>
              </w:rPr>
            </w:pPr>
          </w:p>
        </w:tc>
      </w:tr>
      <w:tr w:rsidR="005242E8" w:rsidRPr="00EF2F18" w14:paraId="0F77DD1A" w14:textId="77777777" w:rsidTr="005242E8">
        <w:trPr>
          <w:trHeight w:val="324"/>
        </w:trPr>
        <w:tc>
          <w:tcPr>
            <w:tcW w:w="3086" w:type="dxa"/>
            <w:vMerge/>
            <w:tcBorders>
              <w:top w:val="double" w:sz="6" w:space="0" w:color="auto"/>
              <w:left w:val="double" w:sz="6" w:space="0" w:color="auto"/>
              <w:bottom w:val="double" w:sz="6" w:space="0" w:color="auto"/>
              <w:right w:val="double" w:sz="6" w:space="0" w:color="auto"/>
            </w:tcBorders>
            <w:vAlign w:val="center"/>
            <w:hideMark/>
          </w:tcPr>
          <w:p w14:paraId="027940EF"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39" w:type="dxa"/>
            <w:vMerge/>
            <w:tcBorders>
              <w:top w:val="double" w:sz="6" w:space="0" w:color="auto"/>
              <w:left w:val="double" w:sz="6" w:space="0" w:color="auto"/>
              <w:bottom w:val="double" w:sz="6" w:space="0" w:color="auto"/>
              <w:right w:val="double" w:sz="6" w:space="0" w:color="auto"/>
            </w:tcBorders>
            <w:vAlign w:val="center"/>
            <w:hideMark/>
          </w:tcPr>
          <w:p w14:paraId="00BCB252"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621" w:type="dxa"/>
            <w:vMerge/>
            <w:tcBorders>
              <w:top w:val="double" w:sz="6" w:space="0" w:color="auto"/>
              <w:left w:val="double" w:sz="6" w:space="0" w:color="auto"/>
              <w:bottom w:val="double" w:sz="6" w:space="0" w:color="auto"/>
              <w:right w:val="double" w:sz="6" w:space="0" w:color="auto"/>
            </w:tcBorders>
            <w:vAlign w:val="center"/>
            <w:hideMark/>
          </w:tcPr>
          <w:p w14:paraId="6211AEAF"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867" w:type="dxa"/>
            <w:gridSpan w:val="2"/>
            <w:vMerge/>
            <w:tcBorders>
              <w:top w:val="double" w:sz="6" w:space="0" w:color="auto"/>
              <w:left w:val="double" w:sz="6" w:space="0" w:color="auto"/>
              <w:bottom w:val="double" w:sz="6" w:space="0" w:color="auto"/>
              <w:right w:val="double" w:sz="6" w:space="0" w:color="auto"/>
            </w:tcBorders>
            <w:vAlign w:val="center"/>
            <w:hideMark/>
          </w:tcPr>
          <w:p w14:paraId="5B675791"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519" w:type="dxa"/>
            <w:vMerge/>
            <w:tcBorders>
              <w:top w:val="double" w:sz="6" w:space="0" w:color="auto"/>
              <w:left w:val="double" w:sz="6" w:space="0" w:color="auto"/>
              <w:bottom w:val="double" w:sz="6" w:space="0" w:color="auto"/>
              <w:right w:val="double" w:sz="6" w:space="0" w:color="auto"/>
            </w:tcBorders>
            <w:vAlign w:val="center"/>
            <w:hideMark/>
          </w:tcPr>
          <w:p w14:paraId="26974745"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175" w:type="dxa"/>
            <w:vMerge/>
            <w:tcBorders>
              <w:top w:val="double" w:sz="6" w:space="0" w:color="auto"/>
              <w:left w:val="double" w:sz="6" w:space="0" w:color="auto"/>
              <w:bottom w:val="double" w:sz="6" w:space="0" w:color="auto"/>
              <w:right w:val="double" w:sz="6" w:space="0" w:color="auto"/>
            </w:tcBorders>
            <w:vAlign w:val="center"/>
            <w:hideMark/>
          </w:tcPr>
          <w:p w14:paraId="554A6EDB"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260" w:type="dxa"/>
            <w:vMerge/>
            <w:tcBorders>
              <w:top w:val="double" w:sz="6" w:space="0" w:color="auto"/>
              <w:left w:val="double" w:sz="6" w:space="0" w:color="auto"/>
              <w:bottom w:val="double" w:sz="6" w:space="0" w:color="auto"/>
              <w:right w:val="double" w:sz="6" w:space="0" w:color="auto"/>
            </w:tcBorders>
            <w:vAlign w:val="center"/>
            <w:hideMark/>
          </w:tcPr>
          <w:p w14:paraId="238B9975"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3D8AE56F" w14:textId="77777777" w:rsidR="005242E8" w:rsidRPr="00EF2F18" w:rsidRDefault="005242E8" w:rsidP="00752CA0">
            <w:pPr>
              <w:spacing w:after="0"/>
              <w:rPr>
                <w:rFonts w:eastAsia="Times New Roman" w:cs="Times New Roman"/>
                <w:color w:val="000000"/>
                <w:sz w:val="20"/>
                <w:szCs w:val="20"/>
                <w:lang w:val="sr-Cyrl-RS" w:eastAsia="sr-Cyrl-RS"/>
              </w:rPr>
            </w:pPr>
          </w:p>
        </w:tc>
        <w:tc>
          <w:tcPr>
            <w:tcW w:w="236" w:type="dxa"/>
            <w:gridSpan w:val="2"/>
            <w:tcBorders>
              <w:left w:val="double" w:sz="6" w:space="0" w:color="auto"/>
            </w:tcBorders>
            <w:noWrap/>
            <w:vAlign w:val="bottom"/>
            <w:hideMark/>
          </w:tcPr>
          <w:p w14:paraId="1490BB8D" w14:textId="77777777" w:rsidR="005242E8" w:rsidRPr="00EF2F18" w:rsidRDefault="005242E8" w:rsidP="00752CA0">
            <w:pPr>
              <w:spacing w:after="0"/>
              <w:rPr>
                <w:rFonts w:eastAsia="Times New Roman" w:cs="Times New Roman"/>
                <w:sz w:val="20"/>
                <w:szCs w:val="20"/>
                <w:lang w:val="sr-Cyrl-RS" w:eastAsia="sr-Cyrl-RS"/>
              </w:rPr>
            </w:pPr>
          </w:p>
        </w:tc>
      </w:tr>
    </w:tbl>
    <w:p w14:paraId="0469EFDD" w14:textId="77777777" w:rsidR="007D7243" w:rsidRPr="00EF2F18" w:rsidRDefault="007D7243" w:rsidP="007D7243">
      <w:pPr>
        <w:spacing w:after="0"/>
        <w:rPr>
          <w:rFonts w:cs="Times New Roman"/>
          <w:sz w:val="20"/>
          <w:szCs w:val="20"/>
          <w:lang w:val="sr-Cyrl-RS"/>
        </w:rPr>
      </w:pPr>
    </w:p>
    <w:tbl>
      <w:tblPr>
        <w:tblW w:w="13494" w:type="dxa"/>
        <w:tblLook w:val="04A0" w:firstRow="1" w:lastRow="0" w:firstColumn="1" w:lastColumn="0" w:noHBand="0" w:noVBand="1"/>
      </w:tblPr>
      <w:tblGrid>
        <w:gridCol w:w="3800"/>
        <w:gridCol w:w="2414"/>
        <w:gridCol w:w="1820"/>
        <w:gridCol w:w="1820"/>
        <w:gridCol w:w="3623"/>
        <w:gridCol w:w="17"/>
      </w:tblGrid>
      <w:tr w:rsidR="007D7243" w:rsidRPr="00EF2F18" w14:paraId="790B0EDF" w14:textId="77777777" w:rsidTr="00752CA0">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F23945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14"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2FF1AD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4"/>
            <w:tcBorders>
              <w:top w:val="double" w:sz="6" w:space="0" w:color="auto"/>
              <w:left w:val="nil"/>
              <w:bottom w:val="double" w:sz="6" w:space="0" w:color="auto"/>
              <w:right w:val="double" w:sz="6" w:space="0" w:color="auto"/>
            </w:tcBorders>
            <w:shd w:val="clear" w:color="000000" w:fill="A8D08D"/>
            <w:hideMark/>
          </w:tcPr>
          <w:p w14:paraId="4FB54B0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4617AF" w:rsidRPr="00EF2F18" w14:paraId="16B5F89D" w14:textId="77777777" w:rsidTr="004617AF">
        <w:trPr>
          <w:gridAfter w:val="1"/>
          <w:wAfter w:w="17" w:type="dxa"/>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384672FA"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2414" w:type="dxa"/>
            <w:vMerge/>
            <w:tcBorders>
              <w:top w:val="double" w:sz="6" w:space="0" w:color="auto"/>
              <w:left w:val="double" w:sz="6" w:space="0" w:color="auto"/>
              <w:bottom w:val="single" w:sz="8" w:space="0" w:color="000000"/>
              <w:right w:val="double" w:sz="6" w:space="0" w:color="auto"/>
            </w:tcBorders>
            <w:vAlign w:val="center"/>
            <w:hideMark/>
          </w:tcPr>
          <w:p w14:paraId="01B5C54E"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820" w:type="dxa"/>
            <w:tcBorders>
              <w:top w:val="nil"/>
              <w:left w:val="nil"/>
              <w:bottom w:val="double" w:sz="6" w:space="0" w:color="auto"/>
              <w:right w:val="double" w:sz="6" w:space="0" w:color="auto"/>
            </w:tcBorders>
            <w:shd w:val="clear" w:color="000000" w:fill="A8D08D"/>
            <w:hideMark/>
          </w:tcPr>
          <w:p w14:paraId="14789D0B" w14:textId="33757651"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1820" w:type="dxa"/>
            <w:tcBorders>
              <w:top w:val="nil"/>
              <w:left w:val="nil"/>
              <w:bottom w:val="double" w:sz="6" w:space="0" w:color="auto"/>
              <w:right w:val="double" w:sz="6" w:space="0" w:color="auto"/>
            </w:tcBorders>
            <w:shd w:val="clear" w:color="000000" w:fill="A8D08D"/>
            <w:hideMark/>
          </w:tcPr>
          <w:p w14:paraId="722D7CB2" w14:textId="4F30B27B"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3623" w:type="dxa"/>
            <w:tcBorders>
              <w:top w:val="nil"/>
              <w:left w:val="nil"/>
              <w:bottom w:val="double" w:sz="6" w:space="0" w:color="auto"/>
              <w:right w:val="double" w:sz="6" w:space="0" w:color="auto"/>
            </w:tcBorders>
            <w:shd w:val="clear" w:color="000000" w:fill="A8D08D"/>
            <w:hideMark/>
          </w:tcPr>
          <w:p w14:paraId="5615A05D" w14:textId="511784C5" w:rsidR="004617AF" w:rsidRPr="00EF2F18" w:rsidRDefault="00963B12" w:rsidP="00963B12">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w:t>
            </w:r>
            <w:r w:rsidR="004617AF" w:rsidRPr="00EF2F18">
              <w:rPr>
                <w:rFonts w:eastAsia="Times New Roman" w:cs="Times New Roman"/>
                <w:sz w:val="20"/>
                <w:szCs w:val="20"/>
                <w:lang w:val="sr-Cyrl-RS" w:eastAsia="sr-Cyrl-RS"/>
              </w:rPr>
              <w:t xml:space="preserve"> 2028. године</w:t>
            </w:r>
          </w:p>
        </w:tc>
      </w:tr>
      <w:tr w:rsidR="004617AF" w:rsidRPr="00EF2F18" w14:paraId="6E33D039" w14:textId="77777777" w:rsidTr="004617AF">
        <w:trPr>
          <w:gridAfter w:val="1"/>
          <w:wAfter w:w="17" w:type="dxa"/>
          <w:trHeight w:val="324"/>
        </w:trPr>
        <w:tc>
          <w:tcPr>
            <w:tcW w:w="3800" w:type="dxa"/>
            <w:tcBorders>
              <w:top w:val="nil"/>
              <w:left w:val="double" w:sz="6" w:space="0" w:color="auto"/>
              <w:bottom w:val="double" w:sz="6" w:space="0" w:color="auto"/>
              <w:right w:val="double" w:sz="6" w:space="0" w:color="auto"/>
            </w:tcBorders>
            <w:vAlign w:val="center"/>
            <w:hideMark/>
          </w:tcPr>
          <w:p w14:paraId="5E0F56EE"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414" w:type="dxa"/>
            <w:tcBorders>
              <w:top w:val="nil"/>
              <w:left w:val="nil"/>
              <w:bottom w:val="double" w:sz="6" w:space="0" w:color="auto"/>
              <w:right w:val="double" w:sz="6" w:space="0" w:color="auto"/>
            </w:tcBorders>
            <w:vAlign w:val="center"/>
            <w:hideMark/>
          </w:tcPr>
          <w:p w14:paraId="0D86D5A3" w14:textId="77777777" w:rsidR="004617AF" w:rsidRPr="00EF2F18" w:rsidRDefault="004617AF"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0404-560-0002-411</w:t>
            </w:r>
          </w:p>
        </w:tc>
        <w:tc>
          <w:tcPr>
            <w:tcW w:w="1820" w:type="dxa"/>
            <w:tcBorders>
              <w:top w:val="nil"/>
              <w:left w:val="nil"/>
              <w:bottom w:val="double" w:sz="6" w:space="0" w:color="auto"/>
              <w:right w:val="double" w:sz="6" w:space="0" w:color="auto"/>
            </w:tcBorders>
            <w:vAlign w:val="center"/>
          </w:tcPr>
          <w:p w14:paraId="0D7FAC20" w14:textId="3686D6BC" w:rsidR="004617AF" w:rsidRPr="00EF2F18" w:rsidRDefault="004617AF" w:rsidP="00752CA0">
            <w:pPr>
              <w:spacing w:after="0"/>
              <w:jc w:val="right"/>
              <w:rPr>
                <w:rFonts w:eastAsia="Times New Roman" w:cs="Times New Roman"/>
                <w:color w:val="000000"/>
                <w:sz w:val="20"/>
                <w:szCs w:val="20"/>
                <w:lang w:val="sr-Cyrl-RS" w:eastAsia="sr-Cyrl-RS"/>
              </w:rPr>
            </w:pPr>
          </w:p>
        </w:tc>
        <w:tc>
          <w:tcPr>
            <w:tcW w:w="1820" w:type="dxa"/>
            <w:tcBorders>
              <w:top w:val="nil"/>
              <w:left w:val="nil"/>
              <w:bottom w:val="double" w:sz="6" w:space="0" w:color="auto"/>
              <w:right w:val="double" w:sz="6" w:space="0" w:color="auto"/>
            </w:tcBorders>
            <w:vAlign w:val="center"/>
          </w:tcPr>
          <w:p w14:paraId="75FB036A" w14:textId="4C2B5C75" w:rsidR="004617AF" w:rsidRPr="00EF2F18" w:rsidRDefault="004617AF" w:rsidP="00752CA0">
            <w:pPr>
              <w:spacing w:after="0"/>
              <w:jc w:val="right"/>
              <w:rPr>
                <w:rFonts w:eastAsia="Times New Roman" w:cs="Times New Roman"/>
                <w:color w:val="000000"/>
                <w:sz w:val="20"/>
                <w:szCs w:val="20"/>
                <w:lang w:val="sr-Cyrl-RS" w:eastAsia="sr-Cyrl-RS"/>
              </w:rPr>
            </w:pPr>
          </w:p>
        </w:tc>
        <w:tc>
          <w:tcPr>
            <w:tcW w:w="3623" w:type="dxa"/>
            <w:tcBorders>
              <w:top w:val="nil"/>
              <w:left w:val="nil"/>
              <w:bottom w:val="double" w:sz="6" w:space="0" w:color="auto"/>
              <w:right w:val="double" w:sz="6" w:space="0" w:color="auto"/>
            </w:tcBorders>
            <w:vAlign w:val="center"/>
          </w:tcPr>
          <w:p w14:paraId="39BEF7C3" w14:textId="3B086584" w:rsidR="004617AF" w:rsidRPr="00EF2F18" w:rsidRDefault="004617AF" w:rsidP="00752CA0">
            <w:pPr>
              <w:spacing w:after="0"/>
              <w:jc w:val="right"/>
              <w:rPr>
                <w:rFonts w:eastAsia="Times New Roman" w:cs="Times New Roman"/>
                <w:color w:val="000000"/>
                <w:sz w:val="20"/>
                <w:szCs w:val="20"/>
                <w:lang w:val="sr-Cyrl-RS" w:eastAsia="sr-Cyrl-RS"/>
              </w:rPr>
            </w:pPr>
          </w:p>
        </w:tc>
      </w:tr>
      <w:tr w:rsidR="004617AF" w:rsidRPr="00EF2F18" w14:paraId="4047A926" w14:textId="77777777" w:rsidTr="004617AF">
        <w:trPr>
          <w:gridAfter w:val="1"/>
          <w:wAfter w:w="17" w:type="dxa"/>
          <w:trHeight w:val="324"/>
        </w:trPr>
        <w:tc>
          <w:tcPr>
            <w:tcW w:w="3800" w:type="dxa"/>
            <w:tcBorders>
              <w:top w:val="nil"/>
              <w:left w:val="double" w:sz="6" w:space="0" w:color="auto"/>
              <w:bottom w:val="double" w:sz="6" w:space="0" w:color="auto"/>
              <w:right w:val="double" w:sz="6" w:space="0" w:color="auto"/>
            </w:tcBorders>
            <w:vAlign w:val="center"/>
          </w:tcPr>
          <w:p w14:paraId="54C8197C"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(МЗЖС)</w:t>
            </w:r>
          </w:p>
        </w:tc>
        <w:tc>
          <w:tcPr>
            <w:tcW w:w="2414" w:type="dxa"/>
            <w:tcBorders>
              <w:top w:val="nil"/>
              <w:left w:val="nil"/>
              <w:bottom w:val="double" w:sz="6" w:space="0" w:color="auto"/>
              <w:right w:val="double" w:sz="6" w:space="0" w:color="auto"/>
            </w:tcBorders>
            <w:vAlign w:val="center"/>
          </w:tcPr>
          <w:p w14:paraId="1B8690C7"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0404-560-0004-515</w:t>
            </w:r>
          </w:p>
          <w:p w14:paraId="146CD6E5" w14:textId="77777777" w:rsidR="004617AF" w:rsidRPr="00EF2F18" w:rsidRDefault="004617AF" w:rsidP="00752CA0">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0404-560-0002-423</w:t>
            </w:r>
          </w:p>
        </w:tc>
        <w:tc>
          <w:tcPr>
            <w:tcW w:w="1820" w:type="dxa"/>
            <w:tcBorders>
              <w:top w:val="nil"/>
              <w:left w:val="nil"/>
              <w:bottom w:val="double" w:sz="6" w:space="0" w:color="auto"/>
              <w:right w:val="double" w:sz="6" w:space="0" w:color="auto"/>
            </w:tcBorders>
          </w:tcPr>
          <w:p w14:paraId="60500ACC" w14:textId="28090061" w:rsidR="004617AF" w:rsidRPr="00EF2F18" w:rsidRDefault="004019F1"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19.200</w:t>
            </w:r>
          </w:p>
          <w:p w14:paraId="0DBDB611" w14:textId="138494E0"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4.800</w:t>
            </w:r>
          </w:p>
        </w:tc>
        <w:tc>
          <w:tcPr>
            <w:tcW w:w="1820" w:type="dxa"/>
            <w:tcBorders>
              <w:top w:val="nil"/>
              <w:left w:val="nil"/>
              <w:bottom w:val="double" w:sz="6" w:space="0" w:color="auto"/>
              <w:right w:val="double" w:sz="6" w:space="0" w:color="auto"/>
            </w:tcBorders>
          </w:tcPr>
          <w:p w14:paraId="1B013333"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59B43ACD" w14:textId="79BB2180"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4.800</w:t>
            </w:r>
          </w:p>
        </w:tc>
        <w:tc>
          <w:tcPr>
            <w:tcW w:w="3623" w:type="dxa"/>
            <w:tcBorders>
              <w:top w:val="nil"/>
              <w:left w:val="nil"/>
              <w:bottom w:val="double" w:sz="6" w:space="0" w:color="auto"/>
              <w:right w:val="double" w:sz="6" w:space="0" w:color="auto"/>
            </w:tcBorders>
          </w:tcPr>
          <w:p w14:paraId="19D3FE24"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34C9E44A" w14:textId="0C149649"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4.800</w:t>
            </w:r>
          </w:p>
        </w:tc>
      </w:tr>
      <w:tr w:rsidR="004617AF" w:rsidRPr="00EF2F18" w14:paraId="5C7FD3E1" w14:textId="77777777" w:rsidTr="004617AF">
        <w:trPr>
          <w:gridAfter w:val="1"/>
          <w:wAfter w:w="17" w:type="dxa"/>
          <w:trHeight w:val="336"/>
        </w:trPr>
        <w:tc>
          <w:tcPr>
            <w:tcW w:w="3800" w:type="dxa"/>
            <w:tcBorders>
              <w:top w:val="nil"/>
              <w:left w:val="double" w:sz="6" w:space="0" w:color="auto"/>
              <w:bottom w:val="double" w:sz="6" w:space="0" w:color="auto"/>
              <w:right w:val="double" w:sz="6" w:space="0" w:color="auto"/>
            </w:tcBorders>
            <w:vAlign w:val="center"/>
            <w:hideMark/>
          </w:tcPr>
          <w:p w14:paraId="1A0B4FAF" w14:textId="2134D978"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(ЕУ-ИПА/СИДА)</w:t>
            </w:r>
          </w:p>
          <w:p w14:paraId="1830EE79" w14:textId="331D89F5"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2414" w:type="dxa"/>
            <w:tcBorders>
              <w:top w:val="nil"/>
              <w:left w:val="nil"/>
              <w:bottom w:val="double" w:sz="6" w:space="0" w:color="auto"/>
              <w:right w:val="double" w:sz="6" w:space="0" w:color="auto"/>
            </w:tcBorders>
            <w:vAlign w:val="center"/>
            <w:hideMark/>
          </w:tcPr>
          <w:p w14:paraId="28395F5E"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820" w:type="dxa"/>
            <w:tcBorders>
              <w:top w:val="nil"/>
              <w:left w:val="nil"/>
              <w:bottom w:val="double" w:sz="6" w:space="0" w:color="auto"/>
              <w:right w:val="double" w:sz="6" w:space="0" w:color="auto"/>
            </w:tcBorders>
            <w:vAlign w:val="center"/>
            <w:hideMark/>
          </w:tcPr>
          <w:p w14:paraId="3F7CC0F1" w14:textId="1C8E13E0"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2.657</w:t>
            </w:r>
          </w:p>
        </w:tc>
        <w:tc>
          <w:tcPr>
            <w:tcW w:w="1820" w:type="dxa"/>
            <w:tcBorders>
              <w:top w:val="nil"/>
              <w:left w:val="nil"/>
              <w:bottom w:val="double" w:sz="6" w:space="0" w:color="auto"/>
              <w:right w:val="double" w:sz="6" w:space="0" w:color="auto"/>
            </w:tcBorders>
            <w:vAlign w:val="center"/>
            <w:hideMark/>
          </w:tcPr>
          <w:p w14:paraId="3002C2B5" w14:textId="27D0D2A4"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2.657</w:t>
            </w:r>
          </w:p>
        </w:tc>
        <w:tc>
          <w:tcPr>
            <w:tcW w:w="3623" w:type="dxa"/>
            <w:tcBorders>
              <w:top w:val="nil"/>
              <w:left w:val="nil"/>
              <w:bottom w:val="double" w:sz="6" w:space="0" w:color="auto"/>
              <w:right w:val="double" w:sz="6" w:space="0" w:color="auto"/>
            </w:tcBorders>
            <w:vAlign w:val="center"/>
            <w:hideMark/>
          </w:tcPr>
          <w:p w14:paraId="74F45578" w14:textId="005EDA62"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2.657</w:t>
            </w:r>
          </w:p>
        </w:tc>
      </w:tr>
    </w:tbl>
    <w:p w14:paraId="2EF03F2C" w14:textId="77777777" w:rsidR="007D7243" w:rsidRPr="00EF2F18" w:rsidRDefault="007D7243" w:rsidP="007D7243">
      <w:pPr>
        <w:spacing w:after="0"/>
        <w:rPr>
          <w:lang w:val="sr-Cyrl-RS"/>
        </w:rPr>
      </w:pP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1132"/>
        <w:gridCol w:w="1275"/>
        <w:gridCol w:w="1182"/>
        <w:gridCol w:w="1691"/>
        <w:gridCol w:w="1446"/>
        <w:gridCol w:w="1268"/>
        <w:gridCol w:w="1260"/>
        <w:gridCol w:w="1440"/>
      </w:tblGrid>
      <w:tr w:rsidR="007D7243" w:rsidRPr="00EF2F18" w14:paraId="1A3E37B7" w14:textId="77777777" w:rsidTr="004617AF">
        <w:trPr>
          <w:trHeight w:val="732"/>
        </w:trPr>
        <w:tc>
          <w:tcPr>
            <w:tcW w:w="2801" w:type="dxa"/>
            <w:vMerge w:val="restart"/>
            <w:shd w:val="clear" w:color="000000" w:fill="FFF2CC"/>
            <w:hideMark/>
          </w:tcPr>
          <w:p w14:paraId="51B44C0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132" w:type="dxa"/>
            <w:vMerge w:val="restart"/>
            <w:shd w:val="clear" w:color="000000" w:fill="FFF2CC"/>
            <w:hideMark/>
          </w:tcPr>
          <w:p w14:paraId="0CD6A37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5" w:type="dxa"/>
            <w:vMerge w:val="restart"/>
            <w:shd w:val="clear" w:color="000000" w:fill="FFF2CC"/>
            <w:hideMark/>
          </w:tcPr>
          <w:p w14:paraId="2149885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1D00140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270C05C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46" w:type="dxa"/>
            <w:vMerge w:val="restart"/>
            <w:shd w:val="clear" w:color="000000" w:fill="FFF2CC"/>
            <w:hideMark/>
          </w:tcPr>
          <w:p w14:paraId="1346DC4B"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968" w:type="dxa"/>
            <w:gridSpan w:val="3"/>
            <w:shd w:val="clear" w:color="000000" w:fill="FFF2CC"/>
            <w:hideMark/>
          </w:tcPr>
          <w:p w14:paraId="207DEEC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4617AF" w:rsidRPr="00EF2F18" w14:paraId="1553C14C" w14:textId="77777777" w:rsidTr="004617AF">
        <w:trPr>
          <w:trHeight w:val="441"/>
        </w:trPr>
        <w:tc>
          <w:tcPr>
            <w:tcW w:w="2801" w:type="dxa"/>
            <w:vMerge/>
            <w:vAlign w:val="center"/>
            <w:hideMark/>
          </w:tcPr>
          <w:p w14:paraId="5FEC1EC7"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132" w:type="dxa"/>
            <w:vMerge/>
            <w:vAlign w:val="center"/>
            <w:hideMark/>
          </w:tcPr>
          <w:p w14:paraId="00659416"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275" w:type="dxa"/>
            <w:vMerge/>
            <w:vAlign w:val="center"/>
            <w:hideMark/>
          </w:tcPr>
          <w:p w14:paraId="53EEB0A9"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182" w:type="dxa"/>
            <w:vMerge/>
            <w:vAlign w:val="center"/>
            <w:hideMark/>
          </w:tcPr>
          <w:p w14:paraId="06FC24BB"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691" w:type="dxa"/>
            <w:vMerge/>
            <w:vAlign w:val="center"/>
            <w:hideMark/>
          </w:tcPr>
          <w:p w14:paraId="1219D9ED"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446" w:type="dxa"/>
            <w:vMerge/>
            <w:vAlign w:val="center"/>
            <w:hideMark/>
          </w:tcPr>
          <w:p w14:paraId="04CA1139"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1268" w:type="dxa"/>
            <w:shd w:val="clear" w:color="000000" w:fill="FFF2CC"/>
            <w:hideMark/>
          </w:tcPr>
          <w:p w14:paraId="397B9883" w14:textId="49A7B5E2"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260" w:type="dxa"/>
            <w:shd w:val="clear" w:color="000000" w:fill="FFF2CC"/>
            <w:hideMark/>
          </w:tcPr>
          <w:p w14:paraId="5596BF0B" w14:textId="366416B7"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440" w:type="dxa"/>
            <w:shd w:val="clear" w:color="000000" w:fill="FFF2CC"/>
            <w:hideMark/>
          </w:tcPr>
          <w:p w14:paraId="132BE097" w14:textId="73934ABF"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4617AF" w:rsidRPr="00EF2F18" w14:paraId="1288F679" w14:textId="77777777" w:rsidTr="004617AF">
        <w:trPr>
          <w:trHeight w:val="1332"/>
        </w:trPr>
        <w:tc>
          <w:tcPr>
            <w:tcW w:w="2801" w:type="dxa"/>
            <w:hideMark/>
          </w:tcPr>
          <w:p w14:paraId="2D53FCB0" w14:textId="77777777" w:rsidR="004617AF"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3.4.1.1. Припрема предлога и спровођење процедуре за усвајање Закона о интегрисаном спречавању и</w:t>
            </w:r>
            <w:r w:rsidR="00FF734A">
              <w:rPr>
                <w:rFonts w:eastAsia="Times New Roman" w:cs="Times New Roman"/>
                <w:color w:val="000000"/>
                <w:sz w:val="20"/>
                <w:szCs w:val="20"/>
                <w:lang w:val="sr-Cyrl-RS" w:eastAsia="sr-Cyrl-RS"/>
              </w:rPr>
              <w:t xml:space="preserve"> </w:t>
            </w:r>
            <w:r w:rsidRPr="00EF2F18">
              <w:rPr>
                <w:rFonts w:eastAsia="Times New Roman" w:cs="Times New Roman"/>
                <w:color w:val="000000"/>
                <w:sz w:val="20"/>
                <w:szCs w:val="20"/>
                <w:lang w:val="sr-Cyrl-RS" w:eastAsia="sr-Cyrl-RS"/>
              </w:rPr>
              <w:t>контроли загађивања</w:t>
            </w:r>
          </w:p>
          <w:p w14:paraId="492B3C2D" w14:textId="7B05ECA2" w:rsidR="00B42F90" w:rsidRPr="00EF2F18" w:rsidRDefault="00B42F90" w:rsidP="00752CA0">
            <w:pPr>
              <w:spacing w:after="0"/>
              <w:rPr>
                <w:rFonts w:eastAsia="Times New Roman" w:cs="Times New Roman"/>
                <w:color w:val="000000"/>
                <w:sz w:val="20"/>
                <w:szCs w:val="20"/>
                <w:lang w:val="sr-Cyrl-RS" w:eastAsia="sr-Cyrl-RS"/>
              </w:rPr>
            </w:pPr>
          </w:p>
        </w:tc>
        <w:tc>
          <w:tcPr>
            <w:tcW w:w="1132" w:type="dxa"/>
            <w:hideMark/>
          </w:tcPr>
          <w:p w14:paraId="1AB073B3"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5" w:type="dxa"/>
            <w:hideMark/>
          </w:tcPr>
          <w:p w14:paraId="7E535C56"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5F0A45ED" w14:textId="0F1A6BF9" w:rsidR="004617AF" w:rsidRPr="00EF2F18" w:rsidRDefault="00FF734A" w:rsidP="00752CA0">
            <w:pPr>
              <w:spacing w:after="0"/>
              <w:rPr>
                <w:rFonts w:eastAsia="Times New Roman" w:cs="Times New Roman"/>
                <w:color w:val="000000"/>
                <w:sz w:val="20"/>
                <w:szCs w:val="20"/>
                <w:lang w:val="sr-Cyrl-RS" w:eastAsia="sr-Cyrl-RS"/>
              </w:rPr>
            </w:pPr>
            <w:r>
              <w:rPr>
                <w:rFonts w:eastAsia="Times New Roman" w:cs="Times New Roman"/>
                <w:color w:val="000000"/>
                <w:sz w:val="20"/>
                <w:szCs w:val="20"/>
                <w:lang w:val="sr-Cyrl-RS" w:eastAsia="sr-Cyrl-RS"/>
              </w:rPr>
              <w:t>3</w:t>
            </w:r>
            <w:r w:rsidR="004617AF" w:rsidRPr="00EF2F18">
              <w:rPr>
                <w:rFonts w:eastAsia="Times New Roman" w:cs="Times New Roman"/>
                <w:color w:val="000000"/>
                <w:sz w:val="20"/>
                <w:szCs w:val="20"/>
                <w:lang w:val="sr-Cyrl-RS" w:eastAsia="sr-Cyrl-RS"/>
              </w:rPr>
              <w:t>. квартал 2026.</w:t>
            </w:r>
          </w:p>
        </w:tc>
        <w:tc>
          <w:tcPr>
            <w:tcW w:w="1691" w:type="dxa"/>
            <w:hideMark/>
          </w:tcPr>
          <w:p w14:paraId="28298A83"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46" w:type="dxa"/>
            <w:hideMark/>
          </w:tcPr>
          <w:p w14:paraId="5CB38F44" w14:textId="77777777" w:rsidR="004617AF" w:rsidRPr="00EF2F18" w:rsidRDefault="004617AF"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0404-560-0002-411</w:t>
            </w:r>
          </w:p>
        </w:tc>
        <w:tc>
          <w:tcPr>
            <w:tcW w:w="1268" w:type="dxa"/>
          </w:tcPr>
          <w:p w14:paraId="6B2B30E7" w14:textId="7EC945BC" w:rsidR="004617AF" w:rsidRPr="00EF2F18" w:rsidRDefault="004617AF" w:rsidP="00752CA0">
            <w:pPr>
              <w:spacing w:after="0"/>
              <w:jc w:val="right"/>
              <w:rPr>
                <w:rFonts w:eastAsia="Times New Roman" w:cs="Times New Roman"/>
                <w:color w:val="000000"/>
                <w:sz w:val="20"/>
                <w:szCs w:val="20"/>
                <w:lang w:val="sr-Cyrl-RS" w:eastAsia="sr-Cyrl-RS"/>
              </w:rPr>
            </w:pPr>
          </w:p>
        </w:tc>
        <w:tc>
          <w:tcPr>
            <w:tcW w:w="1260" w:type="dxa"/>
          </w:tcPr>
          <w:p w14:paraId="7300086C" w14:textId="5BEF1A1A" w:rsidR="004617AF" w:rsidRPr="00EF2F18" w:rsidRDefault="004617AF" w:rsidP="00752CA0">
            <w:pPr>
              <w:spacing w:after="0"/>
              <w:jc w:val="right"/>
              <w:rPr>
                <w:rFonts w:eastAsia="Times New Roman" w:cs="Times New Roman"/>
                <w:color w:val="000000"/>
                <w:sz w:val="20"/>
                <w:szCs w:val="20"/>
                <w:lang w:val="sr-Cyrl-RS" w:eastAsia="sr-Cyrl-RS"/>
              </w:rPr>
            </w:pPr>
          </w:p>
        </w:tc>
        <w:tc>
          <w:tcPr>
            <w:tcW w:w="1440" w:type="dxa"/>
          </w:tcPr>
          <w:p w14:paraId="635016D6" w14:textId="1679DBBA" w:rsidR="004617AF" w:rsidRPr="00EF2F18" w:rsidRDefault="004617AF" w:rsidP="00752CA0">
            <w:pPr>
              <w:spacing w:after="0"/>
              <w:jc w:val="right"/>
              <w:rPr>
                <w:rFonts w:eastAsia="Times New Roman" w:cs="Times New Roman"/>
                <w:color w:val="000000"/>
                <w:sz w:val="20"/>
                <w:szCs w:val="20"/>
                <w:lang w:val="sr-Cyrl-RS" w:eastAsia="sr-Cyrl-RS"/>
              </w:rPr>
            </w:pPr>
          </w:p>
        </w:tc>
      </w:tr>
      <w:tr w:rsidR="004617AF" w:rsidRPr="00EF2F18" w14:paraId="6EF45737" w14:textId="77777777" w:rsidTr="004617AF">
        <w:trPr>
          <w:trHeight w:val="804"/>
        </w:trPr>
        <w:tc>
          <w:tcPr>
            <w:tcW w:w="2801" w:type="dxa"/>
            <w:hideMark/>
          </w:tcPr>
          <w:p w14:paraId="2B64348F"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3.4.1.2. Дигитализација поступака за добијање интегрисане дозволе и унапређења регистра </w:t>
            </w:r>
          </w:p>
        </w:tc>
        <w:tc>
          <w:tcPr>
            <w:tcW w:w="1132" w:type="dxa"/>
            <w:hideMark/>
          </w:tcPr>
          <w:p w14:paraId="3E41190E"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5" w:type="dxa"/>
            <w:hideMark/>
          </w:tcPr>
          <w:p w14:paraId="626B1662"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АЗЖС</w:t>
            </w:r>
          </w:p>
        </w:tc>
        <w:tc>
          <w:tcPr>
            <w:tcW w:w="1182" w:type="dxa"/>
            <w:hideMark/>
          </w:tcPr>
          <w:p w14:paraId="4146A7CF"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4EA093DA"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p w14:paraId="0155025E" w14:textId="77777777" w:rsidR="004617AF" w:rsidRPr="00EF2F18" w:rsidRDefault="004617AF" w:rsidP="00752CA0">
            <w:pPr>
              <w:spacing w:after="0"/>
              <w:rPr>
                <w:rFonts w:eastAsia="Times New Roman" w:cs="Times New Roman"/>
                <w:color w:val="000000"/>
                <w:sz w:val="20"/>
                <w:szCs w:val="20"/>
                <w:lang w:val="sr-Cyrl-RS" w:eastAsia="sr-Cyrl-RS"/>
              </w:rPr>
            </w:pPr>
          </w:p>
          <w:p w14:paraId="35488067" w14:textId="77777777" w:rsidR="004617AF" w:rsidRPr="00EF2F18" w:rsidRDefault="004617AF" w:rsidP="00752CA0">
            <w:pPr>
              <w:spacing w:after="0"/>
              <w:rPr>
                <w:rFonts w:eastAsia="Times New Roman" w:cs="Times New Roman"/>
                <w:color w:val="000000"/>
                <w:sz w:val="20"/>
                <w:szCs w:val="20"/>
                <w:lang w:val="sr-Cyrl-RS" w:eastAsia="sr-Cyrl-RS"/>
              </w:rPr>
            </w:pPr>
          </w:p>
          <w:p w14:paraId="708995F5" w14:textId="77777777" w:rsidR="004617AF" w:rsidRPr="00EF2F18" w:rsidRDefault="004617AF" w:rsidP="00752CA0">
            <w:pPr>
              <w:spacing w:after="0"/>
              <w:rPr>
                <w:rFonts w:eastAsia="Times New Roman" w:cs="Times New Roman"/>
                <w:color w:val="000000"/>
                <w:sz w:val="20"/>
                <w:szCs w:val="20"/>
                <w:lang w:val="sr-Cyrl-RS" w:eastAsia="sr-Cyrl-RS"/>
              </w:rPr>
            </w:pPr>
          </w:p>
          <w:p w14:paraId="76141CE4"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 ИПА)</w:t>
            </w:r>
          </w:p>
          <w:p w14:paraId="3972C85C" w14:textId="358358A8"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1446" w:type="dxa"/>
            <w:hideMark/>
          </w:tcPr>
          <w:p w14:paraId="037D47B5"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0404-560-0004-515</w:t>
            </w:r>
          </w:p>
          <w:p w14:paraId="7834911D"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0404-560-0002-423</w:t>
            </w:r>
          </w:p>
        </w:tc>
        <w:tc>
          <w:tcPr>
            <w:tcW w:w="1268" w:type="dxa"/>
            <w:hideMark/>
          </w:tcPr>
          <w:p w14:paraId="459EE859" w14:textId="4DA6A939" w:rsidR="004617AF" w:rsidRPr="00EF2F18" w:rsidRDefault="004617AF" w:rsidP="00752CA0">
            <w:pPr>
              <w:spacing w:after="0"/>
              <w:jc w:val="right"/>
              <w:rPr>
                <w:rFonts w:eastAsia="Times New Roman" w:cs="Times New Roman"/>
                <w:sz w:val="20"/>
                <w:szCs w:val="20"/>
                <w:lang w:val="sr-Cyrl-RS" w:eastAsia="sr-Cyrl-RS"/>
              </w:rPr>
            </w:pPr>
            <w:r w:rsidRPr="00EF2F18">
              <w:rPr>
                <w:rFonts w:eastAsia="Times New Roman" w:cs="Times New Roman"/>
                <w:sz w:val="20"/>
                <w:szCs w:val="20"/>
                <w:lang w:val="sr-Cyrl-RS" w:eastAsia="sr-Cyrl-RS"/>
              </w:rPr>
              <w:t>19.200</w:t>
            </w:r>
          </w:p>
          <w:p w14:paraId="7C446A9B"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67BAB910" w14:textId="77777777"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4.800</w:t>
            </w:r>
          </w:p>
          <w:p w14:paraId="015A854A"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56CC64E7"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08B81FA2" w14:textId="6092AD03"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tc>
        <w:tc>
          <w:tcPr>
            <w:tcW w:w="1260" w:type="dxa"/>
            <w:hideMark/>
          </w:tcPr>
          <w:p w14:paraId="1AA242BA"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5DE69360"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71B0BC1A" w14:textId="77777777"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4.800</w:t>
            </w:r>
          </w:p>
          <w:p w14:paraId="242D1B19"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078A4C61"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7175460D" w14:textId="78A83DBF"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tc>
        <w:tc>
          <w:tcPr>
            <w:tcW w:w="1440" w:type="dxa"/>
            <w:hideMark/>
          </w:tcPr>
          <w:p w14:paraId="3B0D54DD"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097D6ABF"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2B74C74D" w14:textId="5B7E01B6"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4.800</w:t>
            </w:r>
          </w:p>
          <w:p w14:paraId="3A0EAB5E"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36111950" w14:textId="77777777" w:rsidR="004617AF" w:rsidRPr="00EF2F18" w:rsidRDefault="004617AF" w:rsidP="00752CA0">
            <w:pPr>
              <w:spacing w:after="0"/>
              <w:jc w:val="right"/>
              <w:rPr>
                <w:rFonts w:eastAsia="Times New Roman" w:cs="Times New Roman"/>
                <w:color w:val="000000"/>
                <w:sz w:val="20"/>
                <w:szCs w:val="20"/>
                <w:lang w:val="sr-Cyrl-RS" w:eastAsia="sr-Cyrl-RS"/>
              </w:rPr>
            </w:pPr>
          </w:p>
          <w:p w14:paraId="5FD0F92F" w14:textId="17FD3BDA"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w:t>
            </w:r>
          </w:p>
        </w:tc>
      </w:tr>
      <w:tr w:rsidR="004617AF" w:rsidRPr="00EF2F18" w14:paraId="753C139E" w14:textId="77777777" w:rsidTr="004617AF">
        <w:trPr>
          <w:trHeight w:val="540"/>
        </w:trPr>
        <w:tc>
          <w:tcPr>
            <w:tcW w:w="2801" w:type="dxa"/>
            <w:hideMark/>
          </w:tcPr>
          <w:p w14:paraId="2EC2BC56"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3.4.1.3. Едукација оператера</w:t>
            </w:r>
          </w:p>
        </w:tc>
        <w:tc>
          <w:tcPr>
            <w:tcW w:w="1132" w:type="dxa"/>
            <w:hideMark/>
          </w:tcPr>
          <w:p w14:paraId="7FC003AF"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5" w:type="dxa"/>
            <w:hideMark/>
          </w:tcPr>
          <w:p w14:paraId="045A459E"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162D6763"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2E4F0C7F" w14:textId="192F1EF4"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 (ЕУ-ИПА / СИДА)</w:t>
            </w:r>
          </w:p>
          <w:p w14:paraId="529843CD" w14:textId="77CE81DA"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(средства не пролазе кроз буџет РС)</w:t>
            </w:r>
          </w:p>
          <w:p w14:paraId="66E40227" w14:textId="5C32B3AD" w:rsidR="004617AF" w:rsidRPr="00EF2F18" w:rsidRDefault="004617AF" w:rsidP="00752CA0">
            <w:pPr>
              <w:spacing w:after="0"/>
              <w:rPr>
                <w:rFonts w:eastAsia="Times New Roman" w:cs="Times New Roman"/>
                <w:color w:val="000000"/>
                <w:sz w:val="20"/>
                <w:szCs w:val="20"/>
                <w:lang w:val="sr-Cyrl-RS" w:eastAsia="sr-Cyrl-RS"/>
              </w:rPr>
            </w:pPr>
          </w:p>
        </w:tc>
        <w:tc>
          <w:tcPr>
            <w:tcW w:w="1446" w:type="dxa"/>
            <w:hideMark/>
          </w:tcPr>
          <w:p w14:paraId="54336D0E"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w:t>
            </w:r>
          </w:p>
        </w:tc>
        <w:tc>
          <w:tcPr>
            <w:tcW w:w="1268" w:type="dxa"/>
            <w:hideMark/>
          </w:tcPr>
          <w:p w14:paraId="10499EEB" w14:textId="321C672B"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1.457 </w:t>
            </w:r>
          </w:p>
        </w:tc>
        <w:tc>
          <w:tcPr>
            <w:tcW w:w="1260" w:type="dxa"/>
            <w:hideMark/>
          </w:tcPr>
          <w:p w14:paraId="73624A7A" w14:textId="015D433C"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1.457 </w:t>
            </w:r>
          </w:p>
        </w:tc>
        <w:tc>
          <w:tcPr>
            <w:tcW w:w="1440" w:type="dxa"/>
            <w:hideMark/>
          </w:tcPr>
          <w:p w14:paraId="1CD01180" w14:textId="7A231A3F"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1.457</w:t>
            </w:r>
          </w:p>
        </w:tc>
      </w:tr>
    </w:tbl>
    <w:p w14:paraId="1CC9967A" w14:textId="2E386421" w:rsidR="007D7243" w:rsidRPr="00EF2F18" w:rsidRDefault="008B5A0F"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26D40108" w14:textId="77777777" w:rsidR="008B5A0F" w:rsidRPr="00EF2F18" w:rsidRDefault="008B5A0F" w:rsidP="007D7243">
      <w:pPr>
        <w:spacing w:after="0"/>
        <w:rPr>
          <w:rFonts w:cs="Times New Roman"/>
          <w:sz w:val="20"/>
          <w:szCs w:val="20"/>
          <w:lang w:val="sr-Cyrl-RS"/>
        </w:rPr>
      </w:pPr>
    </w:p>
    <w:tbl>
      <w:tblPr>
        <w:tblW w:w="13567" w:type="dxa"/>
        <w:tblLook w:val="04A0" w:firstRow="1" w:lastRow="0" w:firstColumn="1" w:lastColumn="0" w:noHBand="0" w:noVBand="1"/>
      </w:tblPr>
      <w:tblGrid>
        <w:gridCol w:w="3296"/>
        <w:gridCol w:w="1276"/>
        <w:gridCol w:w="1337"/>
        <w:gridCol w:w="1008"/>
        <w:gridCol w:w="857"/>
        <w:gridCol w:w="1510"/>
        <w:gridCol w:w="1223"/>
        <w:gridCol w:w="1350"/>
        <w:gridCol w:w="1710"/>
      </w:tblGrid>
      <w:tr w:rsidR="007D7243" w:rsidRPr="00EF2F18" w14:paraId="6896430D" w14:textId="77777777" w:rsidTr="00595DB9">
        <w:trPr>
          <w:trHeight w:val="528"/>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7C9E8661"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3.4.2.: Јачање регулаторног и планског оквира и међуресорне координације за безбедно управљање хемикалијама током читавог њиховог употребног циклуса, у складу са договореним међународним стратешким оквирима</w:t>
            </w:r>
          </w:p>
        </w:tc>
      </w:tr>
      <w:tr w:rsidR="007D7243" w:rsidRPr="00EF2F18" w14:paraId="31AB5E64" w14:textId="77777777" w:rsidTr="00595DB9">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679747D3"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441E75DB" w14:textId="77777777" w:rsidTr="00595DB9">
        <w:trPr>
          <w:trHeight w:val="336"/>
        </w:trPr>
        <w:tc>
          <w:tcPr>
            <w:tcW w:w="6917"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1650FC05" w14:textId="1FF1E8A5"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Период спровођења: </w:t>
            </w:r>
            <w:r w:rsidR="00C81896" w:rsidRPr="00EF2F18">
              <w:rPr>
                <w:rFonts w:eastAsia="Times New Roman" w:cs="Times New Roman"/>
                <w:sz w:val="20"/>
                <w:szCs w:val="20"/>
                <w:lang w:val="sr-Cyrl-RS" w:eastAsia="sr-Cyrl-RS"/>
              </w:rPr>
              <w:t>2026-</w:t>
            </w:r>
            <w:r w:rsidRPr="00EF2F18">
              <w:rPr>
                <w:rFonts w:eastAsia="Times New Roman" w:cs="Times New Roman"/>
                <w:sz w:val="20"/>
                <w:szCs w:val="20"/>
                <w:lang w:val="sr-Cyrl-RS" w:eastAsia="sr-Cyrl-RS"/>
              </w:rPr>
              <w:t>2027.</w:t>
            </w:r>
          </w:p>
        </w:tc>
        <w:tc>
          <w:tcPr>
            <w:tcW w:w="6650"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3BE10F8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3EF27700" w14:textId="77777777" w:rsidTr="00595DB9">
        <w:trPr>
          <w:trHeight w:val="336"/>
        </w:trPr>
        <w:tc>
          <w:tcPr>
            <w:tcW w:w="6917"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5F9C2008"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650"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0385CC12"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595DB9" w:rsidRPr="00EF2F18" w14:paraId="7581D961" w14:textId="77777777" w:rsidTr="00595DB9">
        <w:trPr>
          <w:trHeight w:val="816"/>
        </w:trPr>
        <w:tc>
          <w:tcPr>
            <w:tcW w:w="3296" w:type="dxa"/>
            <w:tcBorders>
              <w:top w:val="nil"/>
              <w:left w:val="double" w:sz="6" w:space="0" w:color="auto"/>
              <w:bottom w:val="double" w:sz="6" w:space="0" w:color="auto"/>
              <w:right w:val="single" w:sz="8" w:space="0" w:color="auto"/>
            </w:tcBorders>
            <w:shd w:val="clear" w:color="000000" w:fill="D9D9D9"/>
            <w:hideMark/>
          </w:tcPr>
          <w:p w14:paraId="76CC1822"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76" w:type="dxa"/>
            <w:tcBorders>
              <w:top w:val="nil"/>
              <w:left w:val="nil"/>
              <w:bottom w:val="double" w:sz="6" w:space="0" w:color="auto"/>
              <w:right w:val="single" w:sz="8" w:space="0" w:color="auto"/>
            </w:tcBorders>
            <w:shd w:val="clear" w:color="000000" w:fill="D9D9D9"/>
            <w:hideMark/>
          </w:tcPr>
          <w:p w14:paraId="0EC6C817"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337" w:type="dxa"/>
            <w:tcBorders>
              <w:top w:val="nil"/>
              <w:left w:val="nil"/>
              <w:bottom w:val="double" w:sz="6" w:space="0" w:color="auto"/>
              <w:right w:val="single" w:sz="8" w:space="0" w:color="auto"/>
            </w:tcBorders>
            <w:shd w:val="clear" w:color="000000" w:fill="D9D9D9"/>
            <w:hideMark/>
          </w:tcPr>
          <w:p w14:paraId="7AF6D805"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65" w:type="dxa"/>
            <w:gridSpan w:val="2"/>
            <w:tcBorders>
              <w:top w:val="double" w:sz="6" w:space="0" w:color="auto"/>
              <w:left w:val="nil"/>
              <w:bottom w:val="double" w:sz="6" w:space="0" w:color="auto"/>
              <w:right w:val="single" w:sz="8" w:space="0" w:color="000000"/>
            </w:tcBorders>
            <w:shd w:val="clear" w:color="000000" w:fill="D9D9D9"/>
            <w:hideMark/>
          </w:tcPr>
          <w:p w14:paraId="6ACA2476"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10" w:type="dxa"/>
            <w:tcBorders>
              <w:top w:val="nil"/>
              <w:left w:val="nil"/>
              <w:bottom w:val="double" w:sz="6" w:space="0" w:color="auto"/>
              <w:right w:val="single" w:sz="8" w:space="0" w:color="auto"/>
            </w:tcBorders>
            <w:shd w:val="clear" w:color="000000" w:fill="D9D9D9"/>
            <w:hideMark/>
          </w:tcPr>
          <w:p w14:paraId="67E5AB64"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23" w:type="dxa"/>
            <w:tcBorders>
              <w:top w:val="nil"/>
              <w:left w:val="nil"/>
              <w:bottom w:val="double" w:sz="6" w:space="0" w:color="auto"/>
              <w:right w:val="nil"/>
            </w:tcBorders>
            <w:shd w:val="clear" w:color="000000" w:fill="D9D9D9"/>
            <w:hideMark/>
          </w:tcPr>
          <w:p w14:paraId="4FC52A6D"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tcBorders>
              <w:top w:val="nil"/>
              <w:left w:val="nil"/>
              <w:bottom w:val="double" w:sz="6" w:space="0" w:color="auto"/>
              <w:right w:val="single" w:sz="8" w:space="0" w:color="auto"/>
            </w:tcBorders>
            <w:shd w:val="clear" w:color="000000" w:fill="D9D9D9"/>
            <w:hideMark/>
          </w:tcPr>
          <w:p w14:paraId="59F984EB"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tcBorders>
              <w:top w:val="nil"/>
              <w:left w:val="nil"/>
              <w:bottom w:val="double" w:sz="6" w:space="0" w:color="auto"/>
              <w:right w:val="double" w:sz="6" w:space="0" w:color="auto"/>
            </w:tcBorders>
            <w:shd w:val="clear" w:color="000000" w:fill="D9D9D9"/>
            <w:hideMark/>
          </w:tcPr>
          <w:p w14:paraId="546D05BC"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95DB9" w:rsidRPr="00EF2F18" w14:paraId="27E72F61" w14:textId="77777777" w:rsidTr="00595DB9">
        <w:trPr>
          <w:trHeight w:val="540"/>
        </w:trPr>
        <w:tc>
          <w:tcPr>
            <w:tcW w:w="3296" w:type="dxa"/>
            <w:vMerge w:val="restart"/>
            <w:tcBorders>
              <w:top w:val="nil"/>
              <w:left w:val="double" w:sz="6" w:space="0" w:color="auto"/>
              <w:bottom w:val="double" w:sz="6" w:space="0" w:color="000000"/>
              <w:right w:val="single" w:sz="8" w:space="0" w:color="auto"/>
            </w:tcBorders>
            <w:shd w:val="clear" w:color="000000" w:fill="FFFFFF"/>
            <w:hideMark/>
          </w:tcPr>
          <w:p w14:paraId="117D6783" w14:textId="77777777" w:rsidR="00595DB9" w:rsidRPr="00EF2F18" w:rsidRDefault="00595DB9"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Број потврђених међународних мултилатералних споразума за управљање опасним отпадом и хемикалијама</w:t>
            </w:r>
          </w:p>
        </w:tc>
        <w:tc>
          <w:tcPr>
            <w:tcW w:w="1276" w:type="dxa"/>
            <w:vMerge w:val="restart"/>
            <w:tcBorders>
              <w:top w:val="nil"/>
              <w:left w:val="single" w:sz="8" w:space="0" w:color="auto"/>
              <w:bottom w:val="double" w:sz="6" w:space="0" w:color="000000"/>
              <w:right w:val="single" w:sz="8" w:space="0" w:color="auto"/>
            </w:tcBorders>
            <w:shd w:val="clear" w:color="000000" w:fill="FFFFFF"/>
            <w:hideMark/>
          </w:tcPr>
          <w:p w14:paraId="12F8B714" w14:textId="77777777" w:rsidR="00595DB9" w:rsidRPr="00EF2F18" w:rsidRDefault="00595DB9" w:rsidP="007C5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w:t>
            </w:r>
          </w:p>
        </w:tc>
        <w:tc>
          <w:tcPr>
            <w:tcW w:w="1337" w:type="dxa"/>
            <w:tcBorders>
              <w:top w:val="nil"/>
              <w:left w:val="nil"/>
              <w:bottom w:val="nil"/>
              <w:right w:val="single" w:sz="8" w:space="0" w:color="auto"/>
            </w:tcBorders>
            <w:shd w:val="clear" w:color="000000" w:fill="FFFFFF"/>
            <w:hideMark/>
          </w:tcPr>
          <w:p w14:paraId="6A942D5D"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Службени гласник РС,</w:t>
            </w:r>
          </w:p>
        </w:tc>
        <w:tc>
          <w:tcPr>
            <w:tcW w:w="1865" w:type="dxa"/>
            <w:gridSpan w:val="2"/>
            <w:vMerge w:val="restart"/>
            <w:tcBorders>
              <w:top w:val="double" w:sz="6" w:space="0" w:color="auto"/>
              <w:left w:val="single" w:sz="8" w:space="0" w:color="auto"/>
              <w:bottom w:val="double" w:sz="6" w:space="0" w:color="000000"/>
              <w:right w:val="single" w:sz="8" w:space="0" w:color="000000"/>
            </w:tcBorders>
            <w:shd w:val="clear" w:color="000000" w:fill="FFFFFF"/>
            <w:hideMark/>
          </w:tcPr>
          <w:p w14:paraId="519D4457"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w:t>
            </w:r>
          </w:p>
        </w:tc>
        <w:tc>
          <w:tcPr>
            <w:tcW w:w="1510" w:type="dxa"/>
            <w:vMerge w:val="restart"/>
            <w:tcBorders>
              <w:top w:val="nil"/>
              <w:left w:val="single" w:sz="8" w:space="0" w:color="auto"/>
              <w:bottom w:val="double" w:sz="6" w:space="0" w:color="000000"/>
              <w:right w:val="single" w:sz="8" w:space="0" w:color="auto"/>
            </w:tcBorders>
            <w:shd w:val="clear" w:color="000000" w:fill="FFFFFF"/>
            <w:hideMark/>
          </w:tcPr>
          <w:p w14:paraId="1953AB9A"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223" w:type="dxa"/>
            <w:vMerge w:val="restart"/>
            <w:tcBorders>
              <w:top w:val="nil"/>
              <w:left w:val="single" w:sz="8" w:space="0" w:color="auto"/>
              <w:bottom w:val="double" w:sz="6" w:space="0" w:color="000000"/>
              <w:right w:val="single" w:sz="8" w:space="0" w:color="auto"/>
            </w:tcBorders>
            <w:hideMark/>
          </w:tcPr>
          <w:p w14:paraId="0750E3F9"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5</w:t>
            </w:r>
          </w:p>
        </w:tc>
        <w:tc>
          <w:tcPr>
            <w:tcW w:w="1350" w:type="dxa"/>
            <w:vMerge w:val="restart"/>
            <w:tcBorders>
              <w:top w:val="nil"/>
              <w:left w:val="single" w:sz="8" w:space="0" w:color="auto"/>
              <w:bottom w:val="double" w:sz="6" w:space="0" w:color="000000"/>
              <w:right w:val="single" w:sz="8" w:space="0" w:color="auto"/>
            </w:tcBorders>
            <w:hideMark/>
          </w:tcPr>
          <w:p w14:paraId="4546875F"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w:t>
            </w:r>
          </w:p>
        </w:tc>
        <w:tc>
          <w:tcPr>
            <w:tcW w:w="1710" w:type="dxa"/>
            <w:vMerge w:val="restart"/>
            <w:tcBorders>
              <w:top w:val="nil"/>
              <w:left w:val="single" w:sz="8" w:space="0" w:color="auto"/>
              <w:bottom w:val="double" w:sz="6" w:space="0" w:color="000000"/>
              <w:right w:val="double" w:sz="6" w:space="0" w:color="auto"/>
            </w:tcBorders>
            <w:hideMark/>
          </w:tcPr>
          <w:p w14:paraId="3DC41F07"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8</w:t>
            </w:r>
          </w:p>
        </w:tc>
      </w:tr>
      <w:tr w:rsidR="00595DB9" w:rsidRPr="00EF2F18" w14:paraId="404D3156" w14:textId="77777777" w:rsidTr="00595DB9">
        <w:trPr>
          <w:trHeight w:val="1068"/>
        </w:trPr>
        <w:tc>
          <w:tcPr>
            <w:tcW w:w="3296" w:type="dxa"/>
            <w:vMerge/>
            <w:tcBorders>
              <w:top w:val="nil"/>
              <w:left w:val="double" w:sz="6" w:space="0" w:color="auto"/>
              <w:bottom w:val="double" w:sz="6" w:space="0" w:color="auto"/>
              <w:right w:val="single" w:sz="8" w:space="0" w:color="auto"/>
            </w:tcBorders>
            <w:vAlign w:val="center"/>
            <w:hideMark/>
          </w:tcPr>
          <w:p w14:paraId="6B115BED" w14:textId="77777777" w:rsidR="00595DB9" w:rsidRPr="00EF2F18" w:rsidRDefault="00595DB9" w:rsidP="00752CA0">
            <w:pPr>
              <w:spacing w:after="0"/>
              <w:rPr>
                <w:rFonts w:eastAsia="Times New Roman" w:cs="Times New Roman"/>
                <w:color w:val="000000"/>
                <w:sz w:val="20"/>
                <w:szCs w:val="20"/>
                <w:lang w:val="sr-Cyrl-RS" w:eastAsia="sr-Cyrl-RS"/>
              </w:rPr>
            </w:pPr>
          </w:p>
        </w:tc>
        <w:tc>
          <w:tcPr>
            <w:tcW w:w="1276" w:type="dxa"/>
            <w:vMerge/>
            <w:tcBorders>
              <w:top w:val="nil"/>
              <w:left w:val="single" w:sz="8" w:space="0" w:color="auto"/>
              <w:bottom w:val="double" w:sz="6" w:space="0" w:color="auto"/>
              <w:right w:val="single" w:sz="8" w:space="0" w:color="auto"/>
            </w:tcBorders>
            <w:vAlign w:val="center"/>
            <w:hideMark/>
          </w:tcPr>
          <w:p w14:paraId="14007C13" w14:textId="77777777" w:rsidR="00595DB9" w:rsidRPr="00EF2F18" w:rsidRDefault="00595DB9" w:rsidP="007C514A">
            <w:pPr>
              <w:spacing w:after="0"/>
              <w:jc w:val="center"/>
              <w:rPr>
                <w:rFonts w:eastAsia="Times New Roman" w:cs="Times New Roman"/>
                <w:color w:val="000000"/>
                <w:sz w:val="20"/>
                <w:szCs w:val="20"/>
                <w:lang w:val="sr-Cyrl-RS" w:eastAsia="sr-Cyrl-RS"/>
              </w:rPr>
            </w:pPr>
          </w:p>
        </w:tc>
        <w:tc>
          <w:tcPr>
            <w:tcW w:w="1337" w:type="dxa"/>
            <w:tcBorders>
              <w:top w:val="nil"/>
              <w:left w:val="nil"/>
              <w:bottom w:val="double" w:sz="6" w:space="0" w:color="auto"/>
              <w:right w:val="single" w:sz="8" w:space="0" w:color="auto"/>
            </w:tcBorders>
            <w:shd w:val="clear" w:color="000000" w:fill="FFFFFF"/>
            <w:hideMark/>
          </w:tcPr>
          <w:p w14:paraId="71A4AACF" w14:textId="53129F26" w:rsidR="00595DB9" w:rsidRPr="00EF2F18" w:rsidRDefault="008C6BA0" w:rsidP="008C6BA0">
            <w:pPr>
              <w:spacing w:after="0"/>
              <w:jc w:val="center"/>
              <w:rPr>
                <w:rFonts w:eastAsia="Times New Roman" w:cs="Times New Roman"/>
                <w:color w:val="000000"/>
                <w:sz w:val="20"/>
                <w:szCs w:val="20"/>
                <w:lang w:val="sr-Cyrl-RS" w:eastAsia="sr-Cyrl-RS"/>
              </w:rPr>
            </w:pPr>
            <w:r>
              <w:rPr>
                <w:rFonts w:eastAsia="Times New Roman" w:cs="Times New Roman"/>
                <w:sz w:val="20"/>
                <w:szCs w:val="20"/>
                <w:lang w:val="sr-Cyrl-RS" w:eastAsia="sr-Cyrl-RS"/>
              </w:rPr>
              <w:t>Извештај о сп</w:t>
            </w:r>
            <w:r w:rsidR="00595DB9" w:rsidRPr="00EF2F18">
              <w:rPr>
                <w:rFonts w:eastAsia="Times New Roman" w:cs="Times New Roman"/>
                <w:sz w:val="20"/>
                <w:szCs w:val="20"/>
                <w:lang w:val="sr-Cyrl-RS" w:eastAsia="sr-Cyrl-RS"/>
              </w:rPr>
              <w:t xml:space="preserve">ровођењу Плана рада Владе </w:t>
            </w:r>
          </w:p>
        </w:tc>
        <w:tc>
          <w:tcPr>
            <w:tcW w:w="1865" w:type="dxa"/>
            <w:gridSpan w:val="2"/>
            <w:vMerge/>
            <w:tcBorders>
              <w:top w:val="nil"/>
              <w:left w:val="nil"/>
              <w:bottom w:val="double" w:sz="6" w:space="0" w:color="auto"/>
              <w:right w:val="single" w:sz="8" w:space="0" w:color="auto"/>
            </w:tcBorders>
            <w:vAlign w:val="center"/>
            <w:hideMark/>
          </w:tcPr>
          <w:p w14:paraId="5539B318" w14:textId="77777777" w:rsidR="00595DB9" w:rsidRPr="00EF2F18" w:rsidRDefault="00595DB9" w:rsidP="00752CA0">
            <w:pPr>
              <w:spacing w:after="0"/>
              <w:rPr>
                <w:rFonts w:eastAsia="Times New Roman" w:cs="Times New Roman"/>
                <w:color w:val="000000"/>
                <w:sz w:val="20"/>
                <w:szCs w:val="20"/>
                <w:lang w:val="sr-Cyrl-RS" w:eastAsia="sr-Cyrl-RS"/>
              </w:rPr>
            </w:pPr>
          </w:p>
        </w:tc>
        <w:tc>
          <w:tcPr>
            <w:tcW w:w="1510" w:type="dxa"/>
            <w:vMerge/>
            <w:tcBorders>
              <w:top w:val="nil"/>
              <w:left w:val="single" w:sz="8" w:space="0" w:color="auto"/>
              <w:bottom w:val="double" w:sz="6" w:space="0" w:color="auto"/>
              <w:right w:val="single" w:sz="8" w:space="0" w:color="auto"/>
            </w:tcBorders>
            <w:vAlign w:val="center"/>
            <w:hideMark/>
          </w:tcPr>
          <w:p w14:paraId="21988F24" w14:textId="77777777" w:rsidR="00595DB9" w:rsidRPr="00EF2F18" w:rsidRDefault="00595DB9" w:rsidP="00752CA0">
            <w:pPr>
              <w:spacing w:after="0"/>
              <w:rPr>
                <w:rFonts w:eastAsia="Times New Roman" w:cs="Times New Roman"/>
                <w:color w:val="000000"/>
                <w:sz w:val="20"/>
                <w:szCs w:val="20"/>
                <w:lang w:val="sr-Cyrl-RS" w:eastAsia="sr-Cyrl-RS"/>
              </w:rPr>
            </w:pPr>
          </w:p>
        </w:tc>
        <w:tc>
          <w:tcPr>
            <w:tcW w:w="1223" w:type="dxa"/>
            <w:vMerge/>
            <w:tcBorders>
              <w:top w:val="nil"/>
              <w:left w:val="single" w:sz="8" w:space="0" w:color="auto"/>
              <w:bottom w:val="double" w:sz="6" w:space="0" w:color="auto"/>
              <w:right w:val="single" w:sz="8" w:space="0" w:color="auto"/>
            </w:tcBorders>
            <w:vAlign w:val="center"/>
            <w:hideMark/>
          </w:tcPr>
          <w:p w14:paraId="5432B1A9" w14:textId="77777777" w:rsidR="00595DB9" w:rsidRPr="00EF2F18" w:rsidRDefault="00595DB9" w:rsidP="00752CA0">
            <w:pPr>
              <w:spacing w:after="0"/>
              <w:rPr>
                <w:rFonts w:eastAsia="Times New Roman" w:cs="Times New Roman"/>
                <w:color w:val="000000"/>
                <w:sz w:val="20"/>
                <w:szCs w:val="20"/>
                <w:lang w:val="sr-Cyrl-RS" w:eastAsia="sr-Cyrl-RS"/>
              </w:rPr>
            </w:pPr>
          </w:p>
        </w:tc>
        <w:tc>
          <w:tcPr>
            <w:tcW w:w="1350" w:type="dxa"/>
            <w:vMerge/>
            <w:tcBorders>
              <w:top w:val="nil"/>
              <w:left w:val="single" w:sz="8" w:space="0" w:color="auto"/>
              <w:bottom w:val="double" w:sz="6" w:space="0" w:color="auto"/>
              <w:right w:val="single" w:sz="8" w:space="0" w:color="auto"/>
            </w:tcBorders>
            <w:vAlign w:val="center"/>
            <w:hideMark/>
          </w:tcPr>
          <w:p w14:paraId="37D68DDE" w14:textId="77777777" w:rsidR="00595DB9" w:rsidRPr="00EF2F18" w:rsidRDefault="00595DB9" w:rsidP="00752CA0">
            <w:pPr>
              <w:spacing w:after="0"/>
              <w:rPr>
                <w:rFonts w:eastAsia="Times New Roman" w:cs="Times New Roman"/>
                <w:color w:val="000000"/>
                <w:sz w:val="20"/>
                <w:szCs w:val="20"/>
                <w:lang w:val="sr-Cyrl-RS" w:eastAsia="sr-Cyrl-RS"/>
              </w:rPr>
            </w:pPr>
          </w:p>
        </w:tc>
        <w:tc>
          <w:tcPr>
            <w:tcW w:w="1710" w:type="dxa"/>
            <w:vMerge/>
            <w:tcBorders>
              <w:top w:val="nil"/>
              <w:left w:val="single" w:sz="8" w:space="0" w:color="auto"/>
              <w:bottom w:val="double" w:sz="6" w:space="0" w:color="auto"/>
              <w:right w:val="double" w:sz="6" w:space="0" w:color="auto"/>
            </w:tcBorders>
            <w:vAlign w:val="center"/>
            <w:hideMark/>
          </w:tcPr>
          <w:p w14:paraId="3D0D3F96" w14:textId="77777777" w:rsidR="00595DB9" w:rsidRPr="00EF2F18" w:rsidRDefault="00595DB9" w:rsidP="00752CA0">
            <w:pPr>
              <w:spacing w:after="0"/>
              <w:rPr>
                <w:rFonts w:eastAsia="Times New Roman" w:cs="Times New Roman"/>
                <w:color w:val="000000"/>
                <w:sz w:val="20"/>
                <w:szCs w:val="20"/>
                <w:lang w:val="sr-Cyrl-RS" w:eastAsia="sr-Cyrl-RS"/>
              </w:rPr>
            </w:pPr>
          </w:p>
        </w:tc>
      </w:tr>
      <w:tr w:rsidR="00595DB9" w:rsidRPr="00EF2F18" w14:paraId="30508822" w14:textId="77777777" w:rsidTr="00595DB9">
        <w:trPr>
          <w:trHeight w:val="1080"/>
        </w:trPr>
        <w:tc>
          <w:tcPr>
            <w:tcW w:w="3296" w:type="dxa"/>
            <w:tcBorders>
              <w:top w:val="double" w:sz="6" w:space="0" w:color="auto"/>
              <w:left w:val="double" w:sz="6" w:space="0" w:color="auto"/>
              <w:bottom w:val="double" w:sz="6" w:space="0" w:color="auto"/>
              <w:right w:val="double" w:sz="6" w:space="0" w:color="auto"/>
            </w:tcBorders>
            <w:shd w:val="clear" w:color="000000" w:fill="FFFFFF"/>
            <w:hideMark/>
          </w:tcPr>
          <w:p w14:paraId="6C6A93E5" w14:textId="77777777" w:rsidR="00595DB9" w:rsidRPr="00EF2F18" w:rsidRDefault="00595DB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Усвојен документ јавне политике о интегрисаном управљању хемикалијама и биоцидним производима</w:t>
            </w:r>
          </w:p>
        </w:tc>
        <w:tc>
          <w:tcPr>
            <w:tcW w:w="1276" w:type="dxa"/>
            <w:tcBorders>
              <w:top w:val="double" w:sz="6" w:space="0" w:color="auto"/>
              <w:left w:val="double" w:sz="6" w:space="0" w:color="auto"/>
              <w:bottom w:val="double" w:sz="6" w:space="0" w:color="auto"/>
              <w:right w:val="double" w:sz="6" w:space="0" w:color="auto"/>
            </w:tcBorders>
            <w:shd w:val="clear" w:color="000000" w:fill="FFFFFF"/>
            <w:hideMark/>
          </w:tcPr>
          <w:p w14:paraId="4FB8A85C" w14:textId="77777777" w:rsidR="00595DB9" w:rsidRPr="00EF2F18" w:rsidRDefault="00595DB9" w:rsidP="007C5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да/не</w:t>
            </w:r>
          </w:p>
        </w:tc>
        <w:tc>
          <w:tcPr>
            <w:tcW w:w="1337" w:type="dxa"/>
            <w:tcBorders>
              <w:top w:val="double" w:sz="6" w:space="0" w:color="auto"/>
              <w:left w:val="double" w:sz="6" w:space="0" w:color="auto"/>
              <w:bottom w:val="double" w:sz="6" w:space="0" w:color="auto"/>
              <w:right w:val="double" w:sz="6" w:space="0" w:color="auto"/>
            </w:tcBorders>
            <w:shd w:val="clear" w:color="000000" w:fill="FFFFFF"/>
            <w:hideMark/>
          </w:tcPr>
          <w:p w14:paraId="7A1FA81C" w14:textId="69757FA8" w:rsidR="00595DB9" w:rsidRPr="00EF2F18" w:rsidRDefault="00A7343B" w:rsidP="008C6BA0">
            <w:pPr>
              <w:spacing w:after="0"/>
              <w:jc w:val="center"/>
              <w:rPr>
                <w:rFonts w:eastAsia="Times New Roman" w:cs="Times New Roman"/>
                <w:color w:val="000000"/>
                <w:sz w:val="20"/>
                <w:szCs w:val="20"/>
                <w:lang w:val="sr-Cyrl-RS" w:eastAsia="sr-Cyrl-RS"/>
              </w:rPr>
            </w:pPr>
            <w:r>
              <w:rPr>
                <w:rFonts w:eastAsia="Times New Roman" w:cs="Times New Roman"/>
                <w:sz w:val="20"/>
                <w:szCs w:val="20"/>
                <w:lang w:val="sr-Cyrl-RS" w:eastAsia="sr-Cyrl-RS"/>
              </w:rPr>
              <w:t>Извештај о сп</w:t>
            </w:r>
            <w:r w:rsidR="00595DB9" w:rsidRPr="00EF2F18">
              <w:rPr>
                <w:rFonts w:eastAsia="Times New Roman" w:cs="Times New Roman"/>
                <w:sz w:val="20"/>
                <w:szCs w:val="20"/>
                <w:lang w:val="sr-Cyrl-RS" w:eastAsia="sr-Cyrl-RS"/>
              </w:rPr>
              <w:t xml:space="preserve">ровођењу Плана рада Владе </w:t>
            </w:r>
          </w:p>
        </w:tc>
        <w:tc>
          <w:tcPr>
            <w:tcW w:w="1865"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2B814072"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510" w:type="dxa"/>
            <w:tcBorders>
              <w:top w:val="double" w:sz="6" w:space="0" w:color="auto"/>
              <w:left w:val="double" w:sz="6" w:space="0" w:color="auto"/>
              <w:bottom w:val="double" w:sz="6" w:space="0" w:color="auto"/>
              <w:right w:val="double" w:sz="6" w:space="0" w:color="auto"/>
            </w:tcBorders>
            <w:shd w:val="clear" w:color="000000" w:fill="FFFFFF"/>
            <w:hideMark/>
          </w:tcPr>
          <w:p w14:paraId="18921C13"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223" w:type="dxa"/>
            <w:tcBorders>
              <w:top w:val="double" w:sz="6" w:space="0" w:color="auto"/>
              <w:left w:val="double" w:sz="6" w:space="0" w:color="auto"/>
              <w:bottom w:val="double" w:sz="6" w:space="0" w:color="auto"/>
              <w:right w:val="double" w:sz="6" w:space="0" w:color="auto"/>
            </w:tcBorders>
            <w:hideMark/>
          </w:tcPr>
          <w:p w14:paraId="4D93BFE6"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50" w:type="dxa"/>
            <w:tcBorders>
              <w:top w:val="double" w:sz="6" w:space="0" w:color="auto"/>
              <w:left w:val="double" w:sz="6" w:space="0" w:color="auto"/>
              <w:bottom w:val="double" w:sz="6" w:space="0" w:color="auto"/>
              <w:right w:val="double" w:sz="6" w:space="0" w:color="auto"/>
            </w:tcBorders>
            <w:hideMark/>
          </w:tcPr>
          <w:p w14:paraId="3835BBF6"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c>
          <w:tcPr>
            <w:tcW w:w="1710" w:type="dxa"/>
            <w:tcBorders>
              <w:top w:val="double" w:sz="6" w:space="0" w:color="auto"/>
              <w:left w:val="double" w:sz="6" w:space="0" w:color="auto"/>
              <w:bottom w:val="double" w:sz="6" w:space="0" w:color="auto"/>
              <w:right w:val="double" w:sz="6" w:space="0" w:color="auto"/>
            </w:tcBorders>
            <w:hideMark/>
          </w:tcPr>
          <w:p w14:paraId="0078AB4E" w14:textId="77777777" w:rsidR="00595DB9" w:rsidRPr="00EF2F18" w:rsidRDefault="00595DB9" w:rsidP="00752CA0">
            <w:pPr>
              <w:spacing w:after="0"/>
              <w:jc w:val="center"/>
              <w:rPr>
                <w:rFonts w:eastAsia="Times New Roman" w:cs="Times New Roman"/>
                <w:color w:val="000000"/>
                <w:sz w:val="20"/>
                <w:szCs w:val="20"/>
                <w:lang w:val="sr-Cyrl-RS" w:eastAsia="sr-Cyrl-RS"/>
              </w:rPr>
            </w:pPr>
            <w:r w:rsidRPr="00EF2F18">
              <w:rPr>
                <w:rFonts w:eastAsia="Times New Roman" w:cs="Times New Roman"/>
                <w:strike/>
                <w:color w:val="000000"/>
                <w:sz w:val="20"/>
                <w:szCs w:val="20"/>
                <w:lang w:val="sr-Cyrl-RS" w:eastAsia="sr-Cyrl-RS"/>
              </w:rPr>
              <w:t>-</w:t>
            </w:r>
          </w:p>
        </w:tc>
      </w:tr>
    </w:tbl>
    <w:p w14:paraId="1C834E0E" w14:textId="77777777" w:rsidR="007D7243" w:rsidRPr="00EF2F18" w:rsidRDefault="007D7243" w:rsidP="007D7243">
      <w:pPr>
        <w:spacing w:after="0"/>
        <w:rPr>
          <w:lang w:val="sr-Cyrl-RS"/>
        </w:rPr>
      </w:pPr>
    </w:p>
    <w:tbl>
      <w:tblPr>
        <w:tblW w:w="13567" w:type="dxa"/>
        <w:tblLook w:val="04A0" w:firstRow="1" w:lastRow="0" w:firstColumn="1" w:lastColumn="0" w:noHBand="0" w:noVBand="1"/>
      </w:tblPr>
      <w:tblGrid>
        <w:gridCol w:w="3800"/>
        <w:gridCol w:w="2480"/>
        <w:gridCol w:w="2337"/>
        <w:gridCol w:w="2250"/>
        <w:gridCol w:w="2693"/>
        <w:gridCol w:w="7"/>
      </w:tblGrid>
      <w:tr w:rsidR="007D7243" w:rsidRPr="00EF2F18" w14:paraId="3FF8C4DB" w14:textId="77777777" w:rsidTr="004617AF">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4563BEC"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B45C43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2E85040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4617AF" w:rsidRPr="00EF2F18" w14:paraId="49A92979" w14:textId="77777777" w:rsidTr="004617AF">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45A4DB80"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6085A473"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2337" w:type="dxa"/>
            <w:tcBorders>
              <w:top w:val="nil"/>
              <w:left w:val="nil"/>
              <w:bottom w:val="double" w:sz="6" w:space="0" w:color="auto"/>
              <w:right w:val="double" w:sz="6" w:space="0" w:color="auto"/>
            </w:tcBorders>
            <w:shd w:val="clear" w:color="000000" w:fill="A8D08D"/>
            <w:hideMark/>
          </w:tcPr>
          <w:p w14:paraId="3E7EFE0D" w14:textId="7C055099"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250" w:type="dxa"/>
            <w:tcBorders>
              <w:top w:val="nil"/>
              <w:left w:val="nil"/>
              <w:bottom w:val="double" w:sz="6" w:space="0" w:color="auto"/>
              <w:right w:val="double" w:sz="6" w:space="0" w:color="auto"/>
            </w:tcBorders>
            <w:shd w:val="clear" w:color="000000" w:fill="A8D08D"/>
            <w:hideMark/>
          </w:tcPr>
          <w:p w14:paraId="28E4FBCA" w14:textId="4842FE1C"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700" w:type="dxa"/>
            <w:gridSpan w:val="2"/>
            <w:tcBorders>
              <w:top w:val="nil"/>
              <w:left w:val="nil"/>
              <w:bottom w:val="double" w:sz="6" w:space="0" w:color="auto"/>
              <w:right w:val="double" w:sz="6" w:space="0" w:color="auto"/>
            </w:tcBorders>
            <w:shd w:val="clear" w:color="000000" w:fill="A8D08D"/>
            <w:hideMark/>
          </w:tcPr>
          <w:p w14:paraId="739C2E4D" w14:textId="2B90957D" w:rsidR="004617AF" w:rsidRPr="00EF2F18" w:rsidRDefault="004617AF"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4617AF" w:rsidRPr="00EF2F18" w14:paraId="20D45723" w14:textId="77777777" w:rsidTr="004617AF">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79A8D734" w14:textId="6337DAEE"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2480" w:type="dxa"/>
            <w:tcBorders>
              <w:top w:val="nil"/>
              <w:left w:val="nil"/>
              <w:bottom w:val="double" w:sz="6" w:space="0" w:color="auto"/>
              <w:right w:val="double" w:sz="6" w:space="0" w:color="auto"/>
            </w:tcBorders>
            <w:shd w:val="clear" w:color="000000" w:fill="FFFFFF"/>
            <w:hideMark/>
          </w:tcPr>
          <w:p w14:paraId="5D54D455" w14:textId="77777777" w:rsidR="004617AF" w:rsidRPr="00EF2F18" w:rsidRDefault="004617AF" w:rsidP="00752CA0">
            <w:pPr>
              <w:spacing w:after="0"/>
              <w:rPr>
                <w:rFonts w:eastAsia="Times New Roman" w:cs="Times New Roman"/>
                <w:color w:val="000000"/>
                <w:sz w:val="20"/>
                <w:szCs w:val="20"/>
                <w:lang w:val="sr-Cyrl-RS" w:eastAsia="sr-Cyrl-RS"/>
              </w:rPr>
            </w:pPr>
          </w:p>
        </w:tc>
        <w:tc>
          <w:tcPr>
            <w:tcW w:w="2337" w:type="dxa"/>
            <w:tcBorders>
              <w:top w:val="nil"/>
              <w:left w:val="nil"/>
              <w:bottom w:val="double" w:sz="6" w:space="0" w:color="auto"/>
              <w:right w:val="double" w:sz="6" w:space="0" w:color="auto"/>
            </w:tcBorders>
            <w:shd w:val="clear" w:color="000000" w:fill="FFFFFF"/>
            <w:hideMark/>
          </w:tcPr>
          <w:p w14:paraId="581AA55F" w14:textId="77777777"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11.727*</w:t>
            </w:r>
          </w:p>
        </w:tc>
        <w:tc>
          <w:tcPr>
            <w:tcW w:w="2250" w:type="dxa"/>
            <w:tcBorders>
              <w:top w:val="nil"/>
              <w:left w:val="nil"/>
              <w:bottom w:val="double" w:sz="6" w:space="0" w:color="auto"/>
              <w:right w:val="double" w:sz="6" w:space="0" w:color="auto"/>
            </w:tcBorders>
            <w:shd w:val="clear" w:color="000000" w:fill="FFFFFF"/>
            <w:hideMark/>
          </w:tcPr>
          <w:p w14:paraId="11470DCC" w14:textId="77777777"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700" w:type="dxa"/>
            <w:gridSpan w:val="2"/>
            <w:tcBorders>
              <w:top w:val="nil"/>
              <w:left w:val="nil"/>
              <w:bottom w:val="double" w:sz="6" w:space="0" w:color="auto"/>
              <w:right w:val="double" w:sz="6" w:space="0" w:color="auto"/>
            </w:tcBorders>
            <w:shd w:val="clear" w:color="000000" w:fill="FFFFFF"/>
            <w:hideMark/>
          </w:tcPr>
          <w:p w14:paraId="6DE90E3E" w14:textId="77777777" w:rsidR="004617AF" w:rsidRPr="00EF2F18" w:rsidRDefault="004617AF"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12.000* </w:t>
            </w:r>
          </w:p>
        </w:tc>
      </w:tr>
      <w:tr w:rsidR="004617AF" w:rsidRPr="00EF2F18" w14:paraId="2F76AC88" w14:textId="77777777" w:rsidTr="004617AF">
        <w:trPr>
          <w:trHeight w:val="324"/>
        </w:trPr>
        <w:tc>
          <w:tcPr>
            <w:tcW w:w="3800" w:type="dxa"/>
            <w:tcBorders>
              <w:top w:val="double" w:sz="6" w:space="0" w:color="auto"/>
              <w:left w:val="double" w:sz="6" w:space="0" w:color="auto"/>
              <w:bottom w:val="double" w:sz="6" w:space="0" w:color="auto"/>
              <w:right w:val="double" w:sz="6" w:space="0" w:color="auto"/>
            </w:tcBorders>
            <w:shd w:val="clear" w:color="000000" w:fill="FFFFFF"/>
          </w:tcPr>
          <w:p w14:paraId="0D1FA1E0"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480" w:type="dxa"/>
            <w:tcBorders>
              <w:top w:val="double" w:sz="6" w:space="0" w:color="auto"/>
              <w:left w:val="nil"/>
              <w:bottom w:val="double" w:sz="6" w:space="0" w:color="auto"/>
              <w:right w:val="double" w:sz="6" w:space="0" w:color="auto"/>
            </w:tcBorders>
            <w:shd w:val="clear" w:color="000000" w:fill="FFFFFF"/>
          </w:tcPr>
          <w:p w14:paraId="1191BEC8" w14:textId="77777777" w:rsidR="004617AF" w:rsidRPr="00EF2F18" w:rsidRDefault="004617AF"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0406-560-0002-411</w:t>
            </w:r>
          </w:p>
        </w:tc>
        <w:tc>
          <w:tcPr>
            <w:tcW w:w="2337" w:type="dxa"/>
            <w:tcBorders>
              <w:top w:val="double" w:sz="6" w:space="0" w:color="auto"/>
              <w:left w:val="nil"/>
              <w:bottom w:val="double" w:sz="6" w:space="0" w:color="auto"/>
              <w:right w:val="double" w:sz="6" w:space="0" w:color="auto"/>
            </w:tcBorders>
            <w:shd w:val="clear" w:color="000000" w:fill="FFFFFF"/>
          </w:tcPr>
          <w:p w14:paraId="77C2BD85" w14:textId="77777777" w:rsidR="004617AF" w:rsidRPr="00EF2F18" w:rsidRDefault="004617AF" w:rsidP="00752CA0">
            <w:pPr>
              <w:spacing w:after="0"/>
              <w:jc w:val="right"/>
              <w:rPr>
                <w:rFonts w:eastAsia="Times New Roman" w:cs="Times New Roman"/>
                <w:color w:val="000000"/>
                <w:sz w:val="20"/>
                <w:szCs w:val="20"/>
                <w:lang w:val="sr-Cyrl-RS" w:eastAsia="sr-Cyrl-RS"/>
              </w:rPr>
            </w:pPr>
          </w:p>
        </w:tc>
        <w:tc>
          <w:tcPr>
            <w:tcW w:w="2250" w:type="dxa"/>
            <w:tcBorders>
              <w:top w:val="double" w:sz="6" w:space="0" w:color="auto"/>
              <w:left w:val="nil"/>
              <w:bottom w:val="double" w:sz="6" w:space="0" w:color="auto"/>
              <w:right w:val="double" w:sz="6" w:space="0" w:color="auto"/>
            </w:tcBorders>
            <w:shd w:val="clear" w:color="000000" w:fill="FFFFFF"/>
          </w:tcPr>
          <w:p w14:paraId="04ED7C8C" w14:textId="77777777" w:rsidR="004617AF" w:rsidRPr="00EF2F18" w:rsidRDefault="004617AF" w:rsidP="00752CA0">
            <w:pPr>
              <w:spacing w:after="0"/>
              <w:jc w:val="right"/>
              <w:rPr>
                <w:rFonts w:eastAsia="Times New Roman" w:cs="Times New Roman"/>
                <w:color w:val="000000"/>
                <w:sz w:val="20"/>
                <w:szCs w:val="20"/>
                <w:lang w:val="sr-Cyrl-RS" w:eastAsia="sr-Cyrl-RS"/>
              </w:rPr>
            </w:pPr>
          </w:p>
        </w:tc>
        <w:tc>
          <w:tcPr>
            <w:tcW w:w="2700" w:type="dxa"/>
            <w:gridSpan w:val="2"/>
            <w:tcBorders>
              <w:top w:val="double" w:sz="6" w:space="0" w:color="auto"/>
              <w:left w:val="nil"/>
              <w:bottom w:val="double" w:sz="6" w:space="0" w:color="auto"/>
              <w:right w:val="double" w:sz="6" w:space="0" w:color="auto"/>
            </w:tcBorders>
            <w:shd w:val="clear" w:color="000000" w:fill="FFFFFF"/>
          </w:tcPr>
          <w:p w14:paraId="25CFC99F" w14:textId="77777777" w:rsidR="004617AF" w:rsidRPr="00EF2F18" w:rsidRDefault="004617AF" w:rsidP="00752CA0">
            <w:pPr>
              <w:spacing w:after="0"/>
              <w:jc w:val="right"/>
              <w:rPr>
                <w:rFonts w:eastAsia="Times New Roman" w:cs="Times New Roman"/>
                <w:color w:val="000000"/>
                <w:sz w:val="20"/>
                <w:szCs w:val="20"/>
                <w:lang w:val="sr-Cyrl-RS" w:eastAsia="sr-Cyrl-RS"/>
              </w:rPr>
            </w:pPr>
          </w:p>
        </w:tc>
      </w:tr>
    </w:tbl>
    <w:p w14:paraId="76C5BA17" w14:textId="77777777" w:rsidR="007D7243" w:rsidRPr="00EF2F18" w:rsidRDefault="007D7243" w:rsidP="007D7243">
      <w:pPr>
        <w:spacing w:after="0"/>
        <w:rPr>
          <w:lang w:val="sr-Cyrl-RS"/>
        </w:rPr>
      </w:pPr>
    </w:p>
    <w:tbl>
      <w:tblPr>
        <w:tblW w:w="1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1237"/>
        <w:gridCol w:w="1366"/>
        <w:gridCol w:w="1182"/>
        <w:gridCol w:w="1691"/>
        <w:gridCol w:w="1434"/>
        <w:gridCol w:w="1440"/>
        <w:gridCol w:w="1198"/>
        <w:gridCol w:w="1138"/>
        <w:gridCol w:w="299"/>
      </w:tblGrid>
      <w:tr w:rsidR="007D7243" w:rsidRPr="00EF2F18" w14:paraId="66B1475C" w14:textId="77777777" w:rsidTr="00DB37EB">
        <w:trPr>
          <w:gridAfter w:val="1"/>
          <w:wAfter w:w="299" w:type="dxa"/>
          <w:trHeight w:val="732"/>
        </w:trPr>
        <w:tc>
          <w:tcPr>
            <w:tcW w:w="2809" w:type="dxa"/>
            <w:vMerge w:val="restart"/>
            <w:shd w:val="clear" w:color="000000" w:fill="FFF2CC"/>
            <w:hideMark/>
          </w:tcPr>
          <w:p w14:paraId="1A80F8A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Назив активности:</w:t>
            </w:r>
          </w:p>
        </w:tc>
        <w:tc>
          <w:tcPr>
            <w:tcW w:w="1237" w:type="dxa"/>
            <w:vMerge w:val="restart"/>
            <w:shd w:val="clear" w:color="000000" w:fill="FFF2CC"/>
            <w:hideMark/>
          </w:tcPr>
          <w:p w14:paraId="60CFA82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366" w:type="dxa"/>
            <w:vMerge w:val="restart"/>
            <w:shd w:val="clear" w:color="000000" w:fill="FFF2CC"/>
            <w:hideMark/>
          </w:tcPr>
          <w:p w14:paraId="1973EF8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0FB93A2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4FF8CCC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34" w:type="dxa"/>
            <w:vMerge w:val="restart"/>
            <w:shd w:val="clear" w:color="000000" w:fill="FFF2CC"/>
            <w:hideMark/>
          </w:tcPr>
          <w:p w14:paraId="16D4A34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776" w:type="dxa"/>
            <w:gridSpan w:val="3"/>
            <w:shd w:val="clear" w:color="000000" w:fill="FFF2CC"/>
            <w:hideMark/>
          </w:tcPr>
          <w:p w14:paraId="768851A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DB37EB" w:rsidRPr="00EF2F18" w14:paraId="08A6768D" w14:textId="77777777" w:rsidTr="00DB37EB">
        <w:trPr>
          <w:gridAfter w:val="1"/>
          <w:wAfter w:w="299" w:type="dxa"/>
          <w:trHeight w:val="441"/>
        </w:trPr>
        <w:tc>
          <w:tcPr>
            <w:tcW w:w="2809" w:type="dxa"/>
            <w:vMerge/>
            <w:vAlign w:val="center"/>
            <w:hideMark/>
          </w:tcPr>
          <w:p w14:paraId="3A0B9094"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237" w:type="dxa"/>
            <w:vMerge/>
            <w:vAlign w:val="center"/>
            <w:hideMark/>
          </w:tcPr>
          <w:p w14:paraId="68B656C7"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366" w:type="dxa"/>
            <w:vMerge/>
            <w:vAlign w:val="center"/>
            <w:hideMark/>
          </w:tcPr>
          <w:p w14:paraId="362C0867"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182" w:type="dxa"/>
            <w:vMerge/>
            <w:vAlign w:val="center"/>
            <w:hideMark/>
          </w:tcPr>
          <w:p w14:paraId="524B37C6"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691" w:type="dxa"/>
            <w:vMerge/>
            <w:vAlign w:val="center"/>
            <w:hideMark/>
          </w:tcPr>
          <w:p w14:paraId="2AA79766"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434" w:type="dxa"/>
            <w:vMerge/>
            <w:vAlign w:val="center"/>
            <w:hideMark/>
          </w:tcPr>
          <w:p w14:paraId="7A67F02E"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440" w:type="dxa"/>
            <w:shd w:val="clear" w:color="000000" w:fill="FFF2CC"/>
            <w:hideMark/>
          </w:tcPr>
          <w:p w14:paraId="4A7244C2"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до 2026.</w:t>
            </w:r>
          </w:p>
        </w:tc>
        <w:tc>
          <w:tcPr>
            <w:tcW w:w="1198" w:type="dxa"/>
            <w:shd w:val="clear" w:color="000000" w:fill="FFF2CC"/>
            <w:hideMark/>
          </w:tcPr>
          <w:p w14:paraId="1CC4A3D7"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до 2027.</w:t>
            </w:r>
          </w:p>
        </w:tc>
        <w:tc>
          <w:tcPr>
            <w:tcW w:w="1138" w:type="dxa"/>
            <w:shd w:val="clear" w:color="000000" w:fill="FFF2CC"/>
            <w:hideMark/>
          </w:tcPr>
          <w:p w14:paraId="3ECE3A7C"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до 2028.</w:t>
            </w:r>
          </w:p>
        </w:tc>
      </w:tr>
      <w:tr w:rsidR="00DB37EB" w:rsidRPr="00EF2F18" w14:paraId="1436F015" w14:textId="77777777" w:rsidTr="00DB37EB">
        <w:trPr>
          <w:gridAfter w:val="1"/>
          <w:wAfter w:w="299" w:type="dxa"/>
          <w:trHeight w:val="1332"/>
        </w:trPr>
        <w:tc>
          <w:tcPr>
            <w:tcW w:w="2809" w:type="dxa"/>
            <w:hideMark/>
          </w:tcPr>
          <w:p w14:paraId="751EA7FB"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3.4.2.1. Усвајање ажурираног Националног имплементационог плана за спровођење Стокхолмске конвенције Републике Србије</w:t>
            </w:r>
          </w:p>
        </w:tc>
        <w:tc>
          <w:tcPr>
            <w:tcW w:w="1237" w:type="dxa"/>
            <w:hideMark/>
          </w:tcPr>
          <w:p w14:paraId="341F4132"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6" w:type="dxa"/>
            <w:hideMark/>
          </w:tcPr>
          <w:p w14:paraId="2E14DC21"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МО, МСП, МЗ, МРЕ, ИЗЈЗС, ПКС</w:t>
            </w:r>
          </w:p>
        </w:tc>
        <w:tc>
          <w:tcPr>
            <w:tcW w:w="1182" w:type="dxa"/>
            <w:hideMark/>
          </w:tcPr>
          <w:p w14:paraId="714DA3F8"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2027.</w:t>
            </w:r>
          </w:p>
        </w:tc>
        <w:tc>
          <w:tcPr>
            <w:tcW w:w="1691" w:type="dxa"/>
            <w:hideMark/>
          </w:tcPr>
          <w:p w14:paraId="4A9853F5" w14:textId="3B2F1152"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434" w:type="dxa"/>
          </w:tcPr>
          <w:p w14:paraId="50D9C960" w14:textId="0E2BA141" w:rsidR="00DB37EB" w:rsidRPr="00EF2F18" w:rsidRDefault="00DB37EB" w:rsidP="00752CA0">
            <w:pPr>
              <w:spacing w:after="0"/>
              <w:rPr>
                <w:rFonts w:eastAsia="Times New Roman" w:cs="Times New Roman"/>
                <w:color w:val="000000"/>
                <w:sz w:val="20"/>
                <w:szCs w:val="20"/>
                <w:lang w:val="sr-Cyrl-RS" w:eastAsia="sr-Cyrl-RS"/>
              </w:rPr>
            </w:pPr>
          </w:p>
        </w:tc>
        <w:tc>
          <w:tcPr>
            <w:tcW w:w="1440" w:type="dxa"/>
            <w:hideMark/>
          </w:tcPr>
          <w:p w14:paraId="3C0527E2" w14:textId="77777777" w:rsidR="00DB37EB" w:rsidRPr="00EF2F18" w:rsidRDefault="00DB37E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11.727*</w:t>
            </w:r>
          </w:p>
        </w:tc>
        <w:tc>
          <w:tcPr>
            <w:tcW w:w="1198" w:type="dxa"/>
          </w:tcPr>
          <w:p w14:paraId="2CD7E245" w14:textId="2F67ABA4" w:rsidR="00DB37EB" w:rsidRPr="00EF2F18" w:rsidRDefault="00DB37EB" w:rsidP="00752CA0">
            <w:pPr>
              <w:spacing w:after="0"/>
              <w:jc w:val="right"/>
              <w:rPr>
                <w:rFonts w:eastAsia="Times New Roman" w:cs="Times New Roman"/>
                <w:color w:val="000000"/>
                <w:sz w:val="20"/>
                <w:szCs w:val="20"/>
                <w:lang w:val="sr-Cyrl-RS" w:eastAsia="sr-Cyrl-RS"/>
              </w:rPr>
            </w:pPr>
          </w:p>
        </w:tc>
        <w:tc>
          <w:tcPr>
            <w:tcW w:w="1138" w:type="dxa"/>
          </w:tcPr>
          <w:p w14:paraId="71102A62" w14:textId="69F67808" w:rsidR="00DB37EB" w:rsidRPr="00EF2F18" w:rsidRDefault="00DB37EB" w:rsidP="00752CA0">
            <w:pPr>
              <w:spacing w:after="0"/>
              <w:jc w:val="right"/>
              <w:rPr>
                <w:rFonts w:eastAsia="Times New Roman" w:cs="Times New Roman"/>
                <w:color w:val="000000"/>
                <w:sz w:val="20"/>
                <w:szCs w:val="20"/>
                <w:lang w:val="sr-Cyrl-RS" w:eastAsia="sr-Cyrl-RS"/>
              </w:rPr>
            </w:pPr>
          </w:p>
        </w:tc>
      </w:tr>
      <w:tr w:rsidR="00DB37EB" w:rsidRPr="00EF2F18" w14:paraId="228659BA" w14:textId="77777777" w:rsidTr="00DB37EB">
        <w:trPr>
          <w:gridAfter w:val="1"/>
          <w:wAfter w:w="299" w:type="dxa"/>
          <w:trHeight w:val="996"/>
        </w:trPr>
        <w:tc>
          <w:tcPr>
            <w:tcW w:w="2809" w:type="dxa"/>
            <w:vMerge w:val="restart"/>
            <w:hideMark/>
          </w:tcPr>
          <w:p w14:paraId="01C3BE7F" w14:textId="44DBD0A5"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3.4.2.2. Формирање заједничког тела за интегрисано управљање хемикалијама</w:t>
            </w:r>
          </w:p>
        </w:tc>
        <w:tc>
          <w:tcPr>
            <w:tcW w:w="1237" w:type="dxa"/>
            <w:vMerge w:val="restart"/>
            <w:hideMark/>
          </w:tcPr>
          <w:p w14:paraId="4D6FAC8F"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6" w:type="dxa"/>
            <w:vMerge w:val="restart"/>
            <w:hideMark/>
          </w:tcPr>
          <w:p w14:paraId="503BBA0D"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 МПШВ, МРЕ, МНТРИ, НИО, ПКС, ОЦД</w:t>
            </w:r>
          </w:p>
        </w:tc>
        <w:tc>
          <w:tcPr>
            <w:tcW w:w="1182" w:type="dxa"/>
            <w:vMerge w:val="restart"/>
            <w:hideMark/>
          </w:tcPr>
          <w:p w14:paraId="1E5D55DF" w14:textId="7CDE40BE"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4. квартал 2027</w:t>
            </w:r>
          </w:p>
        </w:tc>
        <w:tc>
          <w:tcPr>
            <w:tcW w:w="1691" w:type="dxa"/>
            <w:vMerge w:val="restart"/>
            <w:hideMark/>
          </w:tcPr>
          <w:p w14:paraId="7DB41AFC"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34" w:type="dxa"/>
            <w:vMerge w:val="restart"/>
            <w:hideMark/>
          </w:tcPr>
          <w:p w14:paraId="017C20A0"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0406-560-0002-411</w:t>
            </w:r>
          </w:p>
        </w:tc>
        <w:tc>
          <w:tcPr>
            <w:tcW w:w="1440" w:type="dxa"/>
            <w:vMerge w:val="restart"/>
          </w:tcPr>
          <w:p w14:paraId="14BBBB55" w14:textId="28C27DFD" w:rsidR="00DB37EB" w:rsidRPr="00EF2F18" w:rsidRDefault="00DB37EB" w:rsidP="00752CA0">
            <w:pPr>
              <w:spacing w:after="0"/>
              <w:jc w:val="right"/>
              <w:rPr>
                <w:rFonts w:eastAsia="Times New Roman" w:cs="Times New Roman"/>
                <w:color w:val="000000"/>
                <w:sz w:val="20"/>
                <w:szCs w:val="20"/>
                <w:lang w:val="sr-Cyrl-RS" w:eastAsia="sr-Cyrl-RS"/>
              </w:rPr>
            </w:pPr>
          </w:p>
        </w:tc>
        <w:tc>
          <w:tcPr>
            <w:tcW w:w="1198" w:type="dxa"/>
            <w:vMerge w:val="restart"/>
          </w:tcPr>
          <w:p w14:paraId="010E6491" w14:textId="59A4F7C7" w:rsidR="00DB37EB" w:rsidRPr="00EF2F18" w:rsidRDefault="00DB37EB" w:rsidP="00752CA0">
            <w:pPr>
              <w:spacing w:after="0"/>
              <w:jc w:val="right"/>
              <w:rPr>
                <w:rFonts w:eastAsia="Times New Roman" w:cs="Times New Roman"/>
                <w:color w:val="000000"/>
                <w:sz w:val="20"/>
                <w:szCs w:val="20"/>
                <w:lang w:val="sr-Cyrl-RS" w:eastAsia="sr-Cyrl-RS"/>
              </w:rPr>
            </w:pPr>
          </w:p>
        </w:tc>
        <w:tc>
          <w:tcPr>
            <w:tcW w:w="1138" w:type="dxa"/>
            <w:vMerge w:val="restart"/>
          </w:tcPr>
          <w:p w14:paraId="2034BEBF" w14:textId="37307929" w:rsidR="00DB37EB" w:rsidRPr="00EF2F18" w:rsidRDefault="00DB37EB" w:rsidP="00752CA0">
            <w:pPr>
              <w:spacing w:after="0"/>
              <w:jc w:val="right"/>
              <w:rPr>
                <w:rFonts w:eastAsia="Times New Roman" w:cs="Times New Roman"/>
                <w:color w:val="000000"/>
                <w:sz w:val="20"/>
                <w:szCs w:val="20"/>
                <w:lang w:val="sr-Cyrl-RS" w:eastAsia="sr-Cyrl-RS"/>
              </w:rPr>
            </w:pPr>
          </w:p>
        </w:tc>
      </w:tr>
      <w:tr w:rsidR="00DB37EB" w:rsidRPr="00EF2F18" w14:paraId="053994F3" w14:textId="77777777" w:rsidTr="00DB37EB">
        <w:trPr>
          <w:trHeight w:val="324"/>
        </w:trPr>
        <w:tc>
          <w:tcPr>
            <w:tcW w:w="2809" w:type="dxa"/>
            <w:vMerge/>
            <w:vAlign w:val="center"/>
            <w:hideMark/>
          </w:tcPr>
          <w:p w14:paraId="172D01F9"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237" w:type="dxa"/>
            <w:vMerge/>
            <w:vAlign w:val="center"/>
            <w:hideMark/>
          </w:tcPr>
          <w:p w14:paraId="34B17949"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366" w:type="dxa"/>
            <w:vMerge/>
            <w:vAlign w:val="center"/>
            <w:hideMark/>
          </w:tcPr>
          <w:p w14:paraId="1786B878"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182" w:type="dxa"/>
            <w:vMerge/>
            <w:vAlign w:val="center"/>
            <w:hideMark/>
          </w:tcPr>
          <w:p w14:paraId="265F89FE"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691" w:type="dxa"/>
            <w:vMerge/>
            <w:vAlign w:val="center"/>
            <w:hideMark/>
          </w:tcPr>
          <w:p w14:paraId="3A3DAA2B"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434" w:type="dxa"/>
            <w:vMerge/>
            <w:vAlign w:val="center"/>
            <w:hideMark/>
          </w:tcPr>
          <w:p w14:paraId="6AB605BD"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440" w:type="dxa"/>
            <w:vMerge/>
            <w:vAlign w:val="center"/>
          </w:tcPr>
          <w:p w14:paraId="016AA1CA" w14:textId="77777777" w:rsidR="00DB37EB" w:rsidRPr="00EF2F18" w:rsidRDefault="00DB37EB" w:rsidP="00752CA0">
            <w:pPr>
              <w:spacing w:after="0"/>
              <w:jc w:val="right"/>
              <w:rPr>
                <w:rFonts w:eastAsia="Times New Roman" w:cs="Times New Roman"/>
                <w:color w:val="000000"/>
                <w:sz w:val="20"/>
                <w:szCs w:val="20"/>
                <w:lang w:val="sr-Cyrl-RS" w:eastAsia="sr-Cyrl-RS"/>
              </w:rPr>
            </w:pPr>
          </w:p>
        </w:tc>
        <w:tc>
          <w:tcPr>
            <w:tcW w:w="1198" w:type="dxa"/>
            <w:vMerge/>
            <w:vAlign w:val="center"/>
          </w:tcPr>
          <w:p w14:paraId="72CD6A04" w14:textId="77777777" w:rsidR="00DB37EB" w:rsidRPr="00EF2F18" w:rsidRDefault="00DB37EB" w:rsidP="00752CA0">
            <w:pPr>
              <w:spacing w:after="0"/>
              <w:jc w:val="right"/>
              <w:rPr>
                <w:rFonts w:eastAsia="Times New Roman" w:cs="Times New Roman"/>
                <w:color w:val="000000"/>
                <w:sz w:val="20"/>
                <w:szCs w:val="20"/>
                <w:lang w:val="sr-Cyrl-RS" w:eastAsia="sr-Cyrl-RS"/>
              </w:rPr>
            </w:pPr>
          </w:p>
        </w:tc>
        <w:tc>
          <w:tcPr>
            <w:tcW w:w="1138" w:type="dxa"/>
            <w:vMerge/>
            <w:vAlign w:val="center"/>
          </w:tcPr>
          <w:p w14:paraId="4D691F07" w14:textId="77777777" w:rsidR="00DB37EB" w:rsidRPr="00EF2F18" w:rsidRDefault="00DB37EB" w:rsidP="00752CA0">
            <w:pPr>
              <w:spacing w:after="0"/>
              <w:jc w:val="right"/>
              <w:rPr>
                <w:rFonts w:eastAsia="Times New Roman" w:cs="Times New Roman"/>
                <w:color w:val="000000"/>
                <w:sz w:val="20"/>
                <w:szCs w:val="20"/>
                <w:lang w:val="sr-Cyrl-RS" w:eastAsia="sr-Cyrl-RS"/>
              </w:rPr>
            </w:pPr>
          </w:p>
        </w:tc>
        <w:tc>
          <w:tcPr>
            <w:tcW w:w="299" w:type="dxa"/>
            <w:tcBorders>
              <w:top w:val="nil"/>
              <w:bottom w:val="nil"/>
              <w:right w:val="nil"/>
            </w:tcBorders>
            <w:noWrap/>
            <w:vAlign w:val="bottom"/>
            <w:hideMark/>
          </w:tcPr>
          <w:p w14:paraId="54D8336C" w14:textId="77777777" w:rsidR="00DB37EB" w:rsidRPr="00EF2F18" w:rsidRDefault="00DB37EB" w:rsidP="00752CA0">
            <w:pPr>
              <w:spacing w:after="0"/>
              <w:jc w:val="center"/>
              <w:rPr>
                <w:rFonts w:eastAsia="Times New Roman" w:cs="Times New Roman"/>
                <w:color w:val="000000"/>
                <w:sz w:val="20"/>
                <w:szCs w:val="20"/>
                <w:lang w:val="sr-Cyrl-RS" w:eastAsia="sr-Cyrl-RS"/>
              </w:rPr>
            </w:pPr>
          </w:p>
        </w:tc>
      </w:tr>
      <w:tr w:rsidR="00DB37EB" w:rsidRPr="00EF2F18" w14:paraId="09316500" w14:textId="77777777" w:rsidTr="00DB37EB">
        <w:trPr>
          <w:trHeight w:val="1596"/>
        </w:trPr>
        <w:tc>
          <w:tcPr>
            <w:tcW w:w="2809" w:type="dxa"/>
            <w:hideMark/>
          </w:tcPr>
          <w:p w14:paraId="0D13D22C"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3.4.2.4. Израда планског документа о интегрисаном управљању хемикалијама и биоцидним производима</w:t>
            </w:r>
          </w:p>
        </w:tc>
        <w:tc>
          <w:tcPr>
            <w:tcW w:w="1237" w:type="dxa"/>
            <w:hideMark/>
          </w:tcPr>
          <w:p w14:paraId="4C7295AF"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366" w:type="dxa"/>
            <w:hideMark/>
          </w:tcPr>
          <w:p w14:paraId="62E54126"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МО, МЗ, МПШВ, МРЕ, МНТРИ, НИО, ПКС, ОЦД</w:t>
            </w:r>
          </w:p>
        </w:tc>
        <w:tc>
          <w:tcPr>
            <w:tcW w:w="1182" w:type="dxa"/>
            <w:hideMark/>
          </w:tcPr>
          <w:p w14:paraId="10014233"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4. квартал 2027. </w:t>
            </w:r>
          </w:p>
        </w:tc>
        <w:tc>
          <w:tcPr>
            <w:tcW w:w="1691" w:type="dxa"/>
            <w:hideMark/>
          </w:tcPr>
          <w:p w14:paraId="1B554784" w14:textId="3D6F4436"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434" w:type="dxa"/>
          </w:tcPr>
          <w:p w14:paraId="31A55424" w14:textId="5A041DF2" w:rsidR="00DB37EB" w:rsidRPr="00EF2F18" w:rsidRDefault="00DB37EB" w:rsidP="00752CA0">
            <w:pPr>
              <w:spacing w:after="0"/>
              <w:rPr>
                <w:rFonts w:eastAsia="Times New Roman" w:cs="Times New Roman"/>
                <w:color w:val="000000"/>
                <w:sz w:val="20"/>
                <w:szCs w:val="20"/>
                <w:lang w:val="sr-Cyrl-RS" w:eastAsia="sr-Cyrl-RS"/>
              </w:rPr>
            </w:pPr>
          </w:p>
        </w:tc>
        <w:tc>
          <w:tcPr>
            <w:tcW w:w="1440" w:type="dxa"/>
          </w:tcPr>
          <w:p w14:paraId="5BFFC13B" w14:textId="097D5D1D" w:rsidR="00DB37EB" w:rsidRPr="00EF2F18" w:rsidRDefault="00DB37EB" w:rsidP="00752CA0">
            <w:pPr>
              <w:spacing w:after="0"/>
              <w:jc w:val="right"/>
              <w:rPr>
                <w:rFonts w:eastAsia="Times New Roman" w:cs="Times New Roman"/>
                <w:color w:val="000000"/>
                <w:sz w:val="20"/>
                <w:szCs w:val="20"/>
                <w:lang w:val="sr-Cyrl-RS" w:eastAsia="sr-Cyrl-RS"/>
              </w:rPr>
            </w:pPr>
          </w:p>
        </w:tc>
        <w:tc>
          <w:tcPr>
            <w:tcW w:w="1198" w:type="dxa"/>
          </w:tcPr>
          <w:p w14:paraId="7DA4E0DA" w14:textId="5ADDC938" w:rsidR="00DB37EB" w:rsidRPr="00EF2F18" w:rsidRDefault="00DB37EB" w:rsidP="00752CA0">
            <w:pPr>
              <w:spacing w:after="0"/>
              <w:jc w:val="right"/>
              <w:rPr>
                <w:rFonts w:eastAsia="Times New Roman" w:cs="Times New Roman"/>
                <w:color w:val="000000"/>
                <w:sz w:val="20"/>
                <w:szCs w:val="20"/>
                <w:lang w:val="sr-Cyrl-RS" w:eastAsia="sr-Cyrl-RS"/>
              </w:rPr>
            </w:pPr>
          </w:p>
        </w:tc>
        <w:tc>
          <w:tcPr>
            <w:tcW w:w="1138" w:type="dxa"/>
            <w:hideMark/>
          </w:tcPr>
          <w:p w14:paraId="39530508" w14:textId="77777777" w:rsidR="00DB37EB" w:rsidRPr="00EF2F18" w:rsidRDefault="00DB37EB"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12.000*</w:t>
            </w:r>
          </w:p>
        </w:tc>
        <w:tc>
          <w:tcPr>
            <w:tcW w:w="299" w:type="dxa"/>
            <w:tcBorders>
              <w:top w:val="nil"/>
              <w:bottom w:val="nil"/>
              <w:right w:val="nil"/>
            </w:tcBorders>
            <w:vAlign w:val="center"/>
            <w:hideMark/>
          </w:tcPr>
          <w:p w14:paraId="40F4C4DF" w14:textId="77777777" w:rsidR="00DB37EB" w:rsidRPr="00EF2F18" w:rsidRDefault="00DB37EB" w:rsidP="00752CA0">
            <w:pPr>
              <w:spacing w:after="0"/>
              <w:rPr>
                <w:rFonts w:eastAsia="Times New Roman" w:cs="Times New Roman"/>
                <w:sz w:val="20"/>
                <w:szCs w:val="20"/>
                <w:lang w:val="sr-Cyrl-RS" w:eastAsia="sr-Cyrl-RS"/>
              </w:rPr>
            </w:pPr>
          </w:p>
        </w:tc>
      </w:tr>
    </w:tbl>
    <w:p w14:paraId="46FC5723" w14:textId="09944823" w:rsidR="007D7243" w:rsidRPr="00EF2F18" w:rsidRDefault="000C410D"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697D1132" w14:textId="15494FEC" w:rsidR="000C410D" w:rsidRDefault="000C410D" w:rsidP="007D7243">
      <w:pPr>
        <w:spacing w:after="0"/>
        <w:rPr>
          <w:rFonts w:cs="Times New Roman"/>
          <w:sz w:val="20"/>
          <w:szCs w:val="20"/>
          <w:lang w:val="sr-Cyrl-RS"/>
        </w:rPr>
      </w:pPr>
    </w:p>
    <w:p w14:paraId="388BC51C" w14:textId="77777777" w:rsidR="00B12C9F" w:rsidRPr="00EF2F18" w:rsidRDefault="00B12C9F" w:rsidP="007D7243">
      <w:pPr>
        <w:spacing w:after="0"/>
        <w:rPr>
          <w:rFonts w:cs="Times New Roman"/>
          <w:sz w:val="20"/>
          <w:szCs w:val="20"/>
          <w:lang w:val="sr-Cyrl-RS"/>
        </w:rPr>
      </w:pPr>
    </w:p>
    <w:tbl>
      <w:tblPr>
        <w:tblW w:w="13657" w:type="dxa"/>
        <w:tblLook w:val="04A0" w:firstRow="1" w:lastRow="0" w:firstColumn="1" w:lastColumn="0" w:noHBand="0" w:noVBand="1"/>
      </w:tblPr>
      <w:tblGrid>
        <w:gridCol w:w="3295"/>
        <w:gridCol w:w="1276"/>
        <w:gridCol w:w="1337"/>
        <w:gridCol w:w="995"/>
        <w:gridCol w:w="991"/>
        <w:gridCol w:w="1510"/>
        <w:gridCol w:w="1283"/>
        <w:gridCol w:w="1350"/>
        <w:gridCol w:w="1603"/>
        <w:gridCol w:w="17"/>
      </w:tblGrid>
      <w:tr w:rsidR="007D7243" w:rsidRPr="00EF2F18" w14:paraId="143DE221" w14:textId="77777777" w:rsidTr="00DB37EB">
        <w:trPr>
          <w:gridAfter w:val="1"/>
          <w:wAfter w:w="17" w:type="dxa"/>
          <w:trHeight w:val="528"/>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59A7C503"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3.4.3.: Подизање капацитета државних органа и индустрије за избацивање из употребе опасних хемикалија (супстанци које изазивају забринутост укључујући и POPs хемикалије) и замену безбеднијим алтернативама</w:t>
            </w:r>
          </w:p>
        </w:tc>
      </w:tr>
      <w:tr w:rsidR="007D7243" w:rsidRPr="00EF2F18" w14:paraId="4139AC9E" w14:textId="77777777" w:rsidTr="00DB37EB">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2518BDE4"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25BFD51A" w14:textId="77777777" w:rsidTr="00DB37EB">
        <w:trPr>
          <w:gridAfter w:val="1"/>
          <w:wAfter w:w="17" w:type="dxa"/>
          <w:trHeight w:val="336"/>
        </w:trPr>
        <w:tc>
          <w:tcPr>
            <w:tcW w:w="6903"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5CA00C9A" w14:textId="7AC2E783"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C81896" w:rsidRPr="00EF2F18">
              <w:rPr>
                <w:rFonts w:eastAsia="Times New Roman" w:cs="Times New Roman"/>
                <w:sz w:val="20"/>
                <w:szCs w:val="20"/>
                <w:lang w:val="sr-Cyrl-RS" w:eastAsia="sr-Cyrl-RS"/>
              </w:rPr>
              <w:t>7</w:t>
            </w:r>
            <w:r w:rsidRPr="00EF2F18">
              <w:rPr>
                <w:rFonts w:eastAsia="Times New Roman" w:cs="Times New Roman"/>
                <w:sz w:val="20"/>
                <w:szCs w:val="20"/>
                <w:lang w:val="sr-Cyrl-RS" w:eastAsia="sr-Cyrl-RS"/>
              </w:rPr>
              <w:t>.</w:t>
            </w:r>
          </w:p>
        </w:tc>
        <w:tc>
          <w:tcPr>
            <w:tcW w:w="6737"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03105CAC"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информативно-едукативна</w:t>
            </w:r>
          </w:p>
        </w:tc>
      </w:tr>
      <w:tr w:rsidR="007D7243" w:rsidRPr="00EF2F18" w14:paraId="2DB6E415" w14:textId="77777777" w:rsidTr="00DB37EB">
        <w:trPr>
          <w:gridAfter w:val="1"/>
          <w:wAfter w:w="17" w:type="dxa"/>
          <w:trHeight w:val="336"/>
        </w:trPr>
        <w:tc>
          <w:tcPr>
            <w:tcW w:w="6903"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4B5F1D2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37"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1AEDBEA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DB37EB" w:rsidRPr="00EF2F18" w14:paraId="13B51269" w14:textId="77777777" w:rsidTr="00DB37EB">
        <w:trPr>
          <w:trHeight w:val="816"/>
        </w:trPr>
        <w:tc>
          <w:tcPr>
            <w:tcW w:w="3295" w:type="dxa"/>
            <w:tcBorders>
              <w:top w:val="nil"/>
              <w:left w:val="double" w:sz="6" w:space="0" w:color="auto"/>
              <w:bottom w:val="double" w:sz="6" w:space="0" w:color="auto"/>
              <w:right w:val="single" w:sz="8" w:space="0" w:color="auto"/>
            </w:tcBorders>
            <w:shd w:val="clear" w:color="000000" w:fill="D9D9D9"/>
            <w:hideMark/>
          </w:tcPr>
          <w:p w14:paraId="5C58B8F1"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76" w:type="dxa"/>
            <w:tcBorders>
              <w:top w:val="nil"/>
              <w:left w:val="nil"/>
              <w:bottom w:val="double" w:sz="6" w:space="0" w:color="auto"/>
              <w:right w:val="single" w:sz="8" w:space="0" w:color="auto"/>
            </w:tcBorders>
            <w:shd w:val="clear" w:color="000000" w:fill="D9D9D9"/>
            <w:hideMark/>
          </w:tcPr>
          <w:p w14:paraId="52BBE20C"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337" w:type="dxa"/>
            <w:tcBorders>
              <w:top w:val="nil"/>
              <w:left w:val="nil"/>
              <w:bottom w:val="double" w:sz="6" w:space="0" w:color="auto"/>
              <w:right w:val="single" w:sz="8" w:space="0" w:color="auto"/>
            </w:tcBorders>
            <w:shd w:val="clear" w:color="000000" w:fill="D9D9D9"/>
            <w:hideMark/>
          </w:tcPr>
          <w:p w14:paraId="0CDBC0CD"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986" w:type="dxa"/>
            <w:gridSpan w:val="2"/>
            <w:tcBorders>
              <w:top w:val="double" w:sz="6" w:space="0" w:color="auto"/>
              <w:left w:val="nil"/>
              <w:bottom w:val="double" w:sz="6" w:space="0" w:color="auto"/>
              <w:right w:val="single" w:sz="8" w:space="0" w:color="000000"/>
            </w:tcBorders>
            <w:shd w:val="clear" w:color="000000" w:fill="D9D9D9"/>
            <w:hideMark/>
          </w:tcPr>
          <w:p w14:paraId="6580352A"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10" w:type="dxa"/>
            <w:tcBorders>
              <w:top w:val="nil"/>
              <w:left w:val="nil"/>
              <w:bottom w:val="double" w:sz="6" w:space="0" w:color="auto"/>
              <w:right w:val="single" w:sz="8" w:space="0" w:color="auto"/>
            </w:tcBorders>
            <w:shd w:val="clear" w:color="000000" w:fill="D9D9D9"/>
            <w:hideMark/>
          </w:tcPr>
          <w:p w14:paraId="02846B0C"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83" w:type="dxa"/>
            <w:tcBorders>
              <w:top w:val="nil"/>
              <w:left w:val="nil"/>
              <w:bottom w:val="double" w:sz="6" w:space="0" w:color="auto"/>
              <w:right w:val="nil"/>
            </w:tcBorders>
            <w:shd w:val="clear" w:color="000000" w:fill="D9D9D9"/>
            <w:hideMark/>
          </w:tcPr>
          <w:p w14:paraId="26F7784A"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tcBorders>
              <w:top w:val="nil"/>
              <w:left w:val="nil"/>
              <w:bottom w:val="double" w:sz="6" w:space="0" w:color="auto"/>
              <w:right w:val="single" w:sz="8" w:space="0" w:color="auto"/>
            </w:tcBorders>
            <w:shd w:val="clear" w:color="000000" w:fill="D9D9D9"/>
            <w:hideMark/>
          </w:tcPr>
          <w:p w14:paraId="7ECE8678"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620" w:type="dxa"/>
            <w:gridSpan w:val="2"/>
            <w:tcBorders>
              <w:top w:val="nil"/>
              <w:left w:val="nil"/>
              <w:bottom w:val="double" w:sz="6" w:space="0" w:color="auto"/>
              <w:right w:val="double" w:sz="6" w:space="0" w:color="auto"/>
            </w:tcBorders>
            <w:shd w:val="clear" w:color="000000" w:fill="D9D9D9"/>
            <w:hideMark/>
          </w:tcPr>
          <w:p w14:paraId="5409B6C2"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DB37EB" w:rsidRPr="00EF2F18" w14:paraId="5B70F5B9" w14:textId="77777777" w:rsidTr="002D3ED7">
        <w:trPr>
          <w:trHeight w:val="324"/>
        </w:trPr>
        <w:tc>
          <w:tcPr>
            <w:tcW w:w="3295"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4900922" w14:textId="77777777"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Број привредних субјеката укључен у едукације подизања капацитета из области замене коришћења опасних хемикалија са безбеднијим алтернативама, укупно</w:t>
            </w:r>
          </w:p>
        </w:tc>
        <w:tc>
          <w:tcPr>
            <w:tcW w:w="1276"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44BB1FAA" w14:textId="723C7957" w:rsidR="00DB37EB" w:rsidRPr="00EF2F18" w:rsidRDefault="00DB37EB" w:rsidP="00733DE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број</w:t>
            </w:r>
          </w:p>
        </w:tc>
        <w:tc>
          <w:tcPr>
            <w:tcW w:w="1337" w:type="dxa"/>
            <w:tcBorders>
              <w:top w:val="single" w:sz="4" w:space="0" w:color="auto"/>
              <w:left w:val="double" w:sz="6" w:space="0" w:color="auto"/>
              <w:right w:val="double" w:sz="6" w:space="0" w:color="auto"/>
            </w:tcBorders>
            <w:shd w:val="clear" w:color="000000" w:fill="FFFFFF"/>
            <w:hideMark/>
          </w:tcPr>
          <w:p w14:paraId="59BA8D14"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МЗЖС</w:t>
            </w:r>
          </w:p>
        </w:tc>
        <w:tc>
          <w:tcPr>
            <w:tcW w:w="1986" w:type="dxa"/>
            <w:gridSpan w:val="2"/>
            <w:vMerge w:val="restart"/>
            <w:tcBorders>
              <w:top w:val="double" w:sz="6" w:space="0" w:color="auto"/>
              <w:left w:val="double" w:sz="6" w:space="0" w:color="auto"/>
              <w:bottom w:val="double" w:sz="6" w:space="0" w:color="auto"/>
              <w:right w:val="double" w:sz="6" w:space="0" w:color="auto"/>
            </w:tcBorders>
            <w:shd w:val="clear" w:color="000000" w:fill="FFFFFF"/>
            <w:hideMark/>
          </w:tcPr>
          <w:p w14:paraId="64C32DAD"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w:t>
            </w:r>
          </w:p>
        </w:tc>
        <w:tc>
          <w:tcPr>
            <w:tcW w:w="1510" w:type="dxa"/>
            <w:vMerge w:val="restart"/>
            <w:tcBorders>
              <w:top w:val="double" w:sz="6" w:space="0" w:color="auto"/>
              <w:left w:val="double" w:sz="6" w:space="0" w:color="auto"/>
              <w:bottom w:val="double" w:sz="6" w:space="0" w:color="auto"/>
              <w:right w:val="double" w:sz="6" w:space="0" w:color="auto"/>
            </w:tcBorders>
            <w:shd w:val="clear" w:color="000000" w:fill="FFFFFF"/>
            <w:hideMark/>
          </w:tcPr>
          <w:p w14:paraId="2EBC37E4"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283" w:type="dxa"/>
            <w:vMerge w:val="restart"/>
            <w:tcBorders>
              <w:top w:val="double" w:sz="6" w:space="0" w:color="auto"/>
              <w:left w:val="double" w:sz="6" w:space="0" w:color="auto"/>
              <w:bottom w:val="double" w:sz="6" w:space="0" w:color="auto"/>
              <w:right w:val="double" w:sz="6" w:space="0" w:color="auto"/>
            </w:tcBorders>
            <w:hideMark/>
          </w:tcPr>
          <w:p w14:paraId="2215F8BF"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350" w:type="dxa"/>
            <w:vMerge w:val="restart"/>
            <w:tcBorders>
              <w:top w:val="double" w:sz="6" w:space="0" w:color="auto"/>
              <w:left w:val="double" w:sz="6" w:space="0" w:color="auto"/>
              <w:bottom w:val="double" w:sz="6" w:space="0" w:color="auto"/>
              <w:right w:val="double" w:sz="6" w:space="0" w:color="auto"/>
            </w:tcBorders>
            <w:hideMark/>
          </w:tcPr>
          <w:p w14:paraId="3FF48B88"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w:t>
            </w:r>
          </w:p>
        </w:tc>
        <w:tc>
          <w:tcPr>
            <w:tcW w:w="1620" w:type="dxa"/>
            <w:gridSpan w:val="2"/>
            <w:vMerge w:val="restart"/>
            <w:tcBorders>
              <w:top w:val="double" w:sz="6" w:space="0" w:color="auto"/>
              <w:left w:val="double" w:sz="6" w:space="0" w:color="auto"/>
              <w:bottom w:val="double" w:sz="6" w:space="0" w:color="auto"/>
              <w:right w:val="double" w:sz="6" w:space="0" w:color="auto"/>
            </w:tcBorders>
            <w:hideMark/>
          </w:tcPr>
          <w:p w14:paraId="2399B993" w14:textId="77777777"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r>
      <w:tr w:rsidR="00DB37EB" w:rsidRPr="00EF2F18" w14:paraId="3E0EDFE9" w14:textId="77777777" w:rsidTr="00DB37EB">
        <w:trPr>
          <w:trHeight w:val="1377"/>
        </w:trPr>
        <w:tc>
          <w:tcPr>
            <w:tcW w:w="3295" w:type="dxa"/>
            <w:vMerge/>
            <w:tcBorders>
              <w:top w:val="double" w:sz="6" w:space="0" w:color="auto"/>
              <w:left w:val="double" w:sz="6" w:space="0" w:color="auto"/>
              <w:bottom w:val="double" w:sz="6" w:space="0" w:color="auto"/>
              <w:right w:val="double" w:sz="6" w:space="0" w:color="auto"/>
            </w:tcBorders>
            <w:vAlign w:val="center"/>
            <w:hideMark/>
          </w:tcPr>
          <w:p w14:paraId="178F9253"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276" w:type="dxa"/>
            <w:vMerge/>
            <w:tcBorders>
              <w:top w:val="double" w:sz="6" w:space="0" w:color="auto"/>
              <w:left w:val="double" w:sz="6" w:space="0" w:color="auto"/>
              <w:bottom w:val="double" w:sz="6" w:space="0" w:color="auto"/>
              <w:right w:val="double" w:sz="6" w:space="0" w:color="auto"/>
            </w:tcBorders>
            <w:vAlign w:val="center"/>
            <w:hideMark/>
          </w:tcPr>
          <w:p w14:paraId="79ED4501"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337" w:type="dxa"/>
            <w:tcBorders>
              <w:top w:val="nil"/>
              <w:left w:val="double" w:sz="6" w:space="0" w:color="auto"/>
              <w:bottom w:val="single" w:sz="4" w:space="0" w:color="auto"/>
              <w:right w:val="double" w:sz="6" w:space="0" w:color="auto"/>
            </w:tcBorders>
            <w:shd w:val="clear" w:color="000000" w:fill="FFFFFF"/>
            <w:hideMark/>
          </w:tcPr>
          <w:p w14:paraId="1E7D22D0" w14:textId="4421B8FF" w:rsidR="00DB37EB" w:rsidRPr="00EF2F18" w:rsidRDefault="00A7343B" w:rsidP="00752CA0">
            <w:pPr>
              <w:spacing w:after="0"/>
              <w:jc w:val="center"/>
              <w:rPr>
                <w:rFonts w:eastAsia="Times New Roman" w:cs="Times New Roman"/>
                <w:color w:val="000000"/>
                <w:sz w:val="20"/>
                <w:szCs w:val="20"/>
                <w:lang w:val="sr-Cyrl-RS" w:eastAsia="sr-Cyrl-RS"/>
              </w:rPr>
            </w:pPr>
            <w:r>
              <w:rPr>
                <w:rFonts w:eastAsia="Times New Roman" w:cs="Times New Roman"/>
                <w:sz w:val="20"/>
                <w:szCs w:val="20"/>
                <w:lang w:val="sr-Cyrl-RS" w:eastAsia="sr-Cyrl-RS"/>
              </w:rPr>
              <w:t>Извештај о сп</w:t>
            </w:r>
            <w:r w:rsidR="00DB37EB" w:rsidRPr="00EF2F18">
              <w:rPr>
                <w:rFonts w:eastAsia="Times New Roman" w:cs="Times New Roman"/>
                <w:sz w:val="20"/>
                <w:szCs w:val="20"/>
                <w:lang w:val="sr-Cyrl-RS" w:eastAsia="sr-Cyrl-RS"/>
              </w:rPr>
              <w:t>ровођењу Стратегије, листе учесника</w:t>
            </w:r>
          </w:p>
        </w:tc>
        <w:tc>
          <w:tcPr>
            <w:tcW w:w="1986" w:type="dxa"/>
            <w:gridSpan w:val="2"/>
            <w:vMerge/>
            <w:tcBorders>
              <w:top w:val="double" w:sz="6" w:space="0" w:color="auto"/>
              <w:left w:val="double" w:sz="6" w:space="0" w:color="auto"/>
              <w:bottom w:val="double" w:sz="6" w:space="0" w:color="auto"/>
              <w:right w:val="double" w:sz="6" w:space="0" w:color="auto"/>
            </w:tcBorders>
            <w:vAlign w:val="center"/>
            <w:hideMark/>
          </w:tcPr>
          <w:p w14:paraId="41AD4B52"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510" w:type="dxa"/>
            <w:vMerge/>
            <w:tcBorders>
              <w:top w:val="double" w:sz="6" w:space="0" w:color="auto"/>
              <w:left w:val="double" w:sz="6" w:space="0" w:color="auto"/>
              <w:bottom w:val="double" w:sz="6" w:space="0" w:color="auto"/>
              <w:right w:val="double" w:sz="6" w:space="0" w:color="auto"/>
            </w:tcBorders>
            <w:vAlign w:val="center"/>
            <w:hideMark/>
          </w:tcPr>
          <w:p w14:paraId="302F66C0"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283" w:type="dxa"/>
            <w:vMerge/>
            <w:tcBorders>
              <w:top w:val="double" w:sz="6" w:space="0" w:color="auto"/>
              <w:left w:val="double" w:sz="6" w:space="0" w:color="auto"/>
              <w:bottom w:val="double" w:sz="6" w:space="0" w:color="auto"/>
              <w:right w:val="double" w:sz="6" w:space="0" w:color="auto"/>
            </w:tcBorders>
            <w:vAlign w:val="center"/>
            <w:hideMark/>
          </w:tcPr>
          <w:p w14:paraId="13199A46"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350" w:type="dxa"/>
            <w:vMerge/>
            <w:tcBorders>
              <w:top w:val="double" w:sz="6" w:space="0" w:color="auto"/>
              <w:left w:val="double" w:sz="6" w:space="0" w:color="auto"/>
              <w:bottom w:val="double" w:sz="6" w:space="0" w:color="auto"/>
              <w:right w:val="double" w:sz="6" w:space="0" w:color="auto"/>
            </w:tcBorders>
            <w:vAlign w:val="center"/>
            <w:hideMark/>
          </w:tcPr>
          <w:p w14:paraId="58402BE5"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1620" w:type="dxa"/>
            <w:gridSpan w:val="2"/>
            <w:vMerge/>
            <w:tcBorders>
              <w:top w:val="double" w:sz="6" w:space="0" w:color="auto"/>
              <w:left w:val="double" w:sz="6" w:space="0" w:color="auto"/>
              <w:bottom w:val="double" w:sz="6" w:space="0" w:color="auto"/>
              <w:right w:val="double" w:sz="6" w:space="0" w:color="auto"/>
            </w:tcBorders>
            <w:vAlign w:val="center"/>
            <w:hideMark/>
          </w:tcPr>
          <w:p w14:paraId="30E0E06F" w14:textId="77777777" w:rsidR="00DB37EB" w:rsidRPr="00EF2F18" w:rsidRDefault="00DB37EB" w:rsidP="00752CA0">
            <w:pPr>
              <w:spacing w:after="0"/>
              <w:rPr>
                <w:rFonts w:eastAsia="Times New Roman" w:cs="Times New Roman"/>
                <w:color w:val="000000"/>
                <w:sz w:val="20"/>
                <w:szCs w:val="20"/>
                <w:lang w:val="sr-Cyrl-RS" w:eastAsia="sr-Cyrl-RS"/>
              </w:rPr>
            </w:pPr>
          </w:p>
        </w:tc>
      </w:tr>
    </w:tbl>
    <w:p w14:paraId="22203492" w14:textId="3F497FA4" w:rsidR="0050150F" w:rsidRPr="00EF2F18" w:rsidRDefault="0050150F" w:rsidP="007D7243">
      <w:pPr>
        <w:spacing w:after="0"/>
        <w:rPr>
          <w:rFonts w:cs="Times New Roman"/>
          <w:sz w:val="20"/>
          <w:szCs w:val="20"/>
          <w:lang w:val="sr-Cyrl-RS"/>
        </w:rPr>
      </w:pPr>
    </w:p>
    <w:tbl>
      <w:tblPr>
        <w:tblW w:w="13657" w:type="dxa"/>
        <w:tblLook w:val="04A0" w:firstRow="1" w:lastRow="0" w:firstColumn="1" w:lastColumn="0" w:noHBand="0" w:noVBand="1"/>
      </w:tblPr>
      <w:tblGrid>
        <w:gridCol w:w="3800"/>
        <w:gridCol w:w="2556"/>
        <w:gridCol w:w="2081"/>
        <w:gridCol w:w="2430"/>
        <w:gridCol w:w="2769"/>
        <w:gridCol w:w="21"/>
      </w:tblGrid>
      <w:tr w:rsidR="007D7243" w:rsidRPr="00EF2F18" w14:paraId="2D51B136" w14:textId="77777777" w:rsidTr="00DB37EB">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7211A6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BFE028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1AB5037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DB37EB" w:rsidRPr="00EF2F18" w14:paraId="23E56438" w14:textId="77777777" w:rsidTr="00DB37EB">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32083012"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7F28F901" w14:textId="77777777" w:rsidR="00DB37EB" w:rsidRPr="00EF2F18" w:rsidRDefault="00DB37EB" w:rsidP="00752CA0">
            <w:pPr>
              <w:spacing w:after="0"/>
              <w:rPr>
                <w:rFonts w:eastAsia="Times New Roman" w:cs="Times New Roman"/>
                <w:color w:val="000000"/>
                <w:sz w:val="20"/>
                <w:szCs w:val="20"/>
                <w:lang w:val="sr-Cyrl-RS" w:eastAsia="sr-Cyrl-RS"/>
              </w:rPr>
            </w:pPr>
          </w:p>
        </w:tc>
        <w:tc>
          <w:tcPr>
            <w:tcW w:w="2081" w:type="dxa"/>
            <w:tcBorders>
              <w:top w:val="nil"/>
              <w:left w:val="nil"/>
              <w:bottom w:val="double" w:sz="6" w:space="0" w:color="auto"/>
              <w:right w:val="double" w:sz="6" w:space="0" w:color="auto"/>
            </w:tcBorders>
            <w:shd w:val="clear" w:color="000000" w:fill="A8D08D"/>
            <w:hideMark/>
          </w:tcPr>
          <w:p w14:paraId="3E54B508" w14:textId="40C0E31D"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tcBorders>
              <w:top w:val="nil"/>
              <w:left w:val="nil"/>
              <w:bottom w:val="double" w:sz="6" w:space="0" w:color="auto"/>
              <w:right w:val="double" w:sz="6" w:space="0" w:color="auto"/>
            </w:tcBorders>
            <w:shd w:val="clear" w:color="000000" w:fill="A8D08D"/>
            <w:hideMark/>
          </w:tcPr>
          <w:p w14:paraId="52B1B83D" w14:textId="1C257EA6"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790" w:type="dxa"/>
            <w:gridSpan w:val="2"/>
            <w:tcBorders>
              <w:top w:val="nil"/>
              <w:left w:val="nil"/>
              <w:bottom w:val="double" w:sz="6" w:space="0" w:color="auto"/>
              <w:right w:val="double" w:sz="6" w:space="0" w:color="auto"/>
            </w:tcBorders>
            <w:shd w:val="clear" w:color="000000" w:fill="A8D08D"/>
            <w:hideMark/>
          </w:tcPr>
          <w:p w14:paraId="06F5EF2E" w14:textId="58CDB4A6" w:rsidR="00DB37EB" w:rsidRPr="00EF2F18" w:rsidRDefault="00DB37EB"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DB37EB" w:rsidRPr="00EF2F18" w14:paraId="1B23F67F" w14:textId="77777777" w:rsidTr="00DB37EB">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32428E23" w14:textId="42EACBD6" w:rsidR="00DB37EB" w:rsidRPr="00EF2F18" w:rsidRDefault="00DB37E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r w:rsidR="00367A3C" w:rsidRPr="00EF2F18">
              <w:rPr>
                <w:rFonts w:eastAsia="Times New Roman" w:cs="Times New Roman"/>
                <w:color w:val="000000"/>
                <w:sz w:val="20"/>
                <w:szCs w:val="20"/>
                <w:lang w:val="sr-Cyrl-RS" w:eastAsia="sr-Cyrl-RS"/>
              </w:rPr>
              <w:t xml:space="preserve"> *</w:t>
            </w:r>
          </w:p>
        </w:tc>
        <w:tc>
          <w:tcPr>
            <w:tcW w:w="2556" w:type="dxa"/>
            <w:tcBorders>
              <w:top w:val="nil"/>
              <w:left w:val="nil"/>
              <w:bottom w:val="double" w:sz="6" w:space="0" w:color="auto"/>
              <w:right w:val="double" w:sz="6" w:space="0" w:color="auto"/>
            </w:tcBorders>
            <w:shd w:val="clear" w:color="000000" w:fill="FFFFFF"/>
            <w:hideMark/>
          </w:tcPr>
          <w:p w14:paraId="3E53ADBB" w14:textId="449AAD47" w:rsidR="00DB37EB" w:rsidRPr="00EF2F18" w:rsidRDefault="00DB37EB" w:rsidP="00752CA0">
            <w:pPr>
              <w:spacing w:after="0"/>
              <w:rPr>
                <w:rFonts w:eastAsia="Times New Roman" w:cs="Times New Roman"/>
                <w:color w:val="000000"/>
                <w:sz w:val="20"/>
                <w:szCs w:val="20"/>
                <w:lang w:val="sr-Cyrl-RS" w:eastAsia="sr-Cyrl-RS"/>
              </w:rPr>
            </w:pPr>
          </w:p>
        </w:tc>
        <w:tc>
          <w:tcPr>
            <w:tcW w:w="2081" w:type="dxa"/>
            <w:tcBorders>
              <w:top w:val="nil"/>
              <w:left w:val="nil"/>
              <w:bottom w:val="double" w:sz="6" w:space="0" w:color="auto"/>
              <w:right w:val="double" w:sz="6" w:space="0" w:color="auto"/>
            </w:tcBorders>
            <w:shd w:val="clear" w:color="000000" w:fill="FFFFFF"/>
          </w:tcPr>
          <w:p w14:paraId="5252E391" w14:textId="16D21939" w:rsidR="00DB37EB" w:rsidRPr="00EF2F18" w:rsidRDefault="00DB37EB" w:rsidP="00752CA0">
            <w:pPr>
              <w:spacing w:after="0"/>
              <w:jc w:val="right"/>
              <w:rPr>
                <w:rFonts w:eastAsia="Times New Roman" w:cs="Times New Roman"/>
                <w:color w:val="000000"/>
                <w:sz w:val="20"/>
                <w:szCs w:val="20"/>
                <w:lang w:val="sr-Cyrl-RS" w:eastAsia="sr-Cyrl-RS"/>
              </w:rPr>
            </w:pPr>
          </w:p>
        </w:tc>
        <w:tc>
          <w:tcPr>
            <w:tcW w:w="2430" w:type="dxa"/>
            <w:tcBorders>
              <w:top w:val="nil"/>
              <w:left w:val="nil"/>
              <w:bottom w:val="double" w:sz="6" w:space="0" w:color="auto"/>
              <w:right w:val="double" w:sz="6" w:space="0" w:color="auto"/>
            </w:tcBorders>
            <w:shd w:val="clear" w:color="000000" w:fill="FFFFFF"/>
          </w:tcPr>
          <w:p w14:paraId="50F12224" w14:textId="206326BE" w:rsidR="00DB37EB" w:rsidRPr="00EF2F18" w:rsidRDefault="00DB37EB" w:rsidP="00752CA0">
            <w:pPr>
              <w:spacing w:after="0"/>
              <w:jc w:val="right"/>
              <w:rPr>
                <w:rFonts w:eastAsia="Times New Roman" w:cs="Times New Roman"/>
                <w:color w:val="000000"/>
                <w:sz w:val="20"/>
                <w:szCs w:val="20"/>
                <w:lang w:val="sr-Cyrl-RS" w:eastAsia="sr-Cyrl-RS"/>
              </w:rPr>
            </w:pPr>
          </w:p>
        </w:tc>
        <w:tc>
          <w:tcPr>
            <w:tcW w:w="2790" w:type="dxa"/>
            <w:gridSpan w:val="2"/>
            <w:tcBorders>
              <w:top w:val="nil"/>
              <w:left w:val="nil"/>
              <w:bottom w:val="double" w:sz="6" w:space="0" w:color="auto"/>
              <w:right w:val="double" w:sz="6" w:space="0" w:color="auto"/>
            </w:tcBorders>
            <w:shd w:val="clear" w:color="000000" w:fill="FFFFFF"/>
          </w:tcPr>
          <w:p w14:paraId="4DB7B191" w14:textId="6AFDA9AC" w:rsidR="00DB37EB" w:rsidRPr="00EF2F18" w:rsidRDefault="00DB37EB" w:rsidP="00752CA0">
            <w:pPr>
              <w:spacing w:after="0"/>
              <w:jc w:val="right"/>
              <w:rPr>
                <w:rFonts w:eastAsia="Times New Roman" w:cs="Times New Roman"/>
                <w:color w:val="000000"/>
                <w:sz w:val="20"/>
                <w:szCs w:val="20"/>
                <w:lang w:val="sr-Cyrl-RS" w:eastAsia="sr-Cyrl-RS"/>
              </w:rPr>
            </w:pPr>
          </w:p>
        </w:tc>
      </w:tr>
    </w:tbl>
    <w:p w14:paraId="4DB4326A" w14:textId="77777777" w:rsidR="007D7243" w:rsidRPr="00EF2F18" w:rsidRDefault="007D7243" w:rsidP="007D7243">
      <w:pPr>
        <w:tabs>
          <w:tab w:val="left" w:pos="2830"/>
        </w:tabs>
        <w:rPr>
          <w:rFonts w:cs="Times New Roman"/>
          <w:b/>
          <w:sz w:val="20"/>
          <w:szCs w:val="20"/>
          <w:lang w:val="sr-Cyrl-RS"/>
        </w:rPr>
      </w:pPr>
    </w:p>
    <w:tbl>
      <w:tblPr>
        <w:tblW w:w="13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1279"/>
        <w:gridCol w:w="1280"/>
        <w:gridCol w:w="1182"/>
        <w:gridCol w:w="1400"/>
        <w:gridCol w:w="1459"/>
        <w:gridCol w:w="1424"/>
        <w:gridCol w:w="1170"/>
        <w:gridCol w:w="1440"/>
        <w:gridCol w:w="35"/>
      </w:tblGrid>
      <w:tr w:rsidR="007D7243" w:rsidRPr="00EF2F18" w14:paraId="2C9D773F" w14:textId="77777777" w:rsidTr="00752CA0">
        <w:trPr>
          <w:trHeight w:val="732"/>
        </w:trPr>
        <w:tc>
          <w:tcPr>
            <w:tcW w:w="2951" w:type="dxa"/>
            <w:vMerge w:val="restart"/>
            <w:shd w:val="clear" w:color="000000" w:fill="FFF2CC"/>
            <w:hideMark/>
          </w:tcPr>
          <w:p w14:paraId="14FEE2E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9" w:type="dxa"/>
            <w:vMerge w:val="restart"/>
            <w:shd w:val="clear" w:color="000000" w:fill="FFF2CC"/>
            <w:hideMark/>
          </w:tcPr>
          <w:p w14:paraId="11537BF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80" w:type="dxa"/>
            <w:vMerge w:val="restart"/>
            <w:shd w:val="clear" w:color="000000" w:fill="FFF2CC"/>
            <w:hideMark/>
          </w:tcPr>
          <w:p w14:paraId="4AC716C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52C1DA0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71D5796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59" w:type="dxa"/>
            <w:vMerge w:val="restart"/>
            <w:shd w:val="clear" w:color="000000" w:fill="FFF2CC"/>
            <w:hideMark/>
          </w:tcPr>
          <w:p w14:paraId="259E8BB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69" w:type="dxa"/>
            <w:gridSpan w:val="4"/>
            <w:shd w:val="clear" w:color="000000" w:fill="FFF2CC"/>
            <w:hideMark/>
          </w:tcPr>
          <w:p w14:paraId="4E624FD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5015EA" w:rsidRPr="00EF2F18" w14:paraId="42BBBD4D" w14:textId="77777777" w:rsidTr="005015EA">
        <w:trPr>
          <w:gridAfter w:val="1"/>
          <w:wAfter w:w="35" w:type="dxa"/>
          <w:trHeight w:val="441"/>
        </w:trPr>
        <w:tc>
          <w:tcPr>
            <w:tcW w:w="2951" w:type="dxa"/>
            <w:vMerge/>
            <w:vAlign w:val="center"/>
            <w:hideMark/>
          </w:tcPr>
          <w:p w14:paraId="2FF46FB3"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79" w:type="dxa"/>
            <w:vMerge/>
            <w:vAlign w:val="center"/>
            <w:hideMark/>
          </w:tcPr>
          <w:p w14:paraId="4F6DE843"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80" w:type="dxa"/>
            <w:vMerge/>
            <w:vAlign w:val="center"/>
            <w:hideMark/>
          </w:tcPr>
          <w:p w14:paraId="4674420F"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82" w:type="dxa"/>
            <w:vMerge/>
            <w:vAlign w:val="center"/>
            <w:hideMark/>
          </w:tcPr>
          <w:p w14:paraId="75170C9E"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00" w:type="dxa"/>
            <w:vMerge/>
            <w:vAlign w:val="center"/>
            <w:hideMark/>
          </w:tcPr>
          <w:p w14:paraId="104BFB11"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59" w:type="dxa"/>
            <w:vMerge/>
            <w:vAlign w:val="center"/>
            <w:hideMark/>
          </w:tcPr>
          <w:p w14:paraId="4DEB83C8"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24" w:type="dxa"/>
            <w:shd w:val="clear" w:color="000000" w:fill="FFF2CC"/>
            <w:hideMark/>
          </w:tcPr>
          <w:p w14:paraId="1F895E2A" w14:textId="76D45E72"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170" w:type="dxa"/>
            <w:shd w:val="clear" w:color="000000" w:fill="FFF2CC"/>
            <w:hideMark/>
          </w:tcPr>
          <w:p w14:paraId="73EE360A" w14:textId="68BA6682"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2027.</w:t>
            </w:r>
          </w:p>
        </w:tc>
        <w:tc>
          <w:tcPr>
            <w:tcW w:w="1440" w:type="dxa"/>
            <w:shd w:val="clear" w:color="000000" w:fill="FFF2CC"/>
            <w:hideMark/>
          </w:tcPr>
          <w:p w14:paraId="149C1419" w14:textId="3647BB80"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5015EA" w:rsidRPr="00EF2F18" w14:paraId="6712F9A5" w14:textId="77777777" w:rsidTr="005015EA">
        <w:trPr>
          <w:gridAfter w:val="1"/>
          <w:wAfter w:w="35" w:type="dxa"/>
          <w:trHeight w:val="1860"/>
        </w:trPr>
        <w:tc>
          <w:tcPr>
            <w:tcW w:w="2951" w:type="dxa"/>
            <w:hideMark/>
          </w:tcPr>
          <w:p w14:paraId="375A11FC"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3.4.3.1. Подизање адекватних компетентности запослених у надлежном органу за управљање хемикалијама и биоцидним производима о процени ризика од хемикалија и процени алтернатива</w:t>
            </w:r>
          </w:p>
        </w:tc>
        <w:tc>
          <w:tcPr>
            <w:tcW w:w="1279" w:type="dxa"/>
            <w:hideMark/>
          </w:tcPr>
          <w:p w14:paraId="1570B050"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80" w:type="dxa"/>
            <w:hideMark/>
          </w:tcPr>
          <w:p w14:paraId="1F28B6A5"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НИО</w:t>
            </w:r>
          </w:p>
        </w:tc>
        <w:tc>
          <w:tcPr>
            <w:tcW w:w="1182" w:type="dxa"/>
            <w:hideMark/>
          </w:tcPr>
          <w:p w14:paraId="77F399A7" w14:textId="0C548EDE"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C81896" w:rsidRPr="00EF2F18">
              <w:rPr>
                <w:rFonts w:eastAsia="Times New Roman" w:cs="Times New Roman"/>
                <w:color w:val="000000"/>
                <w:sz w:val="20"/>
                <w:szCs w:val="20"/>
                <w:lang w:val="sr-Cyrl-RS" w:eastAsia="sr-Cyrl-RS"/>
              </w:rPr>
              <w:t>7</w:t>
            </w:r>
            <w:r w:rsidRPr="00EF2F18">
              <w:rPr>
                <w:rFonts w:eastAsia="Times New Roman" w:cs="Times New Roman"/>
                <w:color w:val="000000"/>
                <w:sz w:val="20"/>
                <w:szCs w:val="20"/>
                <w:lang w:val="sr-Cyrl-RS" w:eastAsia="sr-Cyrl-RS"/>
              </w:rPr>
              <w:t>.</w:t>
            </w:r>
          </w:p>
        </w:tc>
        <w:tc>
          <w:tcPr>
            <w:tcW w:w="1400" w:type="dxa"/>
            <w:hideMark/>
          </w:tcPr>
          <w:p w14:paraId="575A80F8" w14:textId="4CCCBD01" w:rsidR="005015EA" w:rsidRPr="00EF2F18" w:rsidRDefault="004C5C04"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459" w:type="dxa"/>
            <w:hideMark/>
          </w:tcPr>
          <w:p w14:paraId="46129A1D" w14:textId="7CF66324" w:rsidR="005015EA" w:rsidRPr="00EF2F18" w:rsidRDefault="005015EA" w:rsidP="00752CA0">
            <w:pPr>
              <w:spacing w:after="0"/>
              <w:rPr>
                <w:rFonts w:eastAsia="Times New Roman" w:cs="Times New Roman"/>
                <w:color w:val="000000"/>
                <w:sz w:val="20"/>
                <w:szCs w:val="20"/>
                <w:lang w:val="sr-Cyrl-RS" w:eastAsia="sr-Cyrl-RS"/>
              </w:rPr>
            </w:pPr>
          </w:p>
        </w:tc>
        <w:tc>
          <w:tcPr>
            <w:tcW w:w="1424" w:type="dxa"/>
          </w:tcPr>
          <w:p w14:paraId="2181062A" w14:textId="13B3933D" w:rsidR="005015EA" w:rsidRPr="00EF2F18" w:rsidRDefault="005015EA" w:rsidP="00752CA0">
            <w:pPr>
              <w:spacing w:after="0"/>
              <w:jc w:val="right"/>
              <w:rPr>
                <w:rFonts w:eastAsia="Times New Roman" w:cs="Times New Roman"/>
                <w:color w:val="000000"/>
                <w:sz w:val="20"/>
                <w:szCs w:val="20"/>
                <w:lang w:val="sr-Cyrl-RS" w:eastAsia="sr-Cyrl-RS"/>
              </w:rPr>
            </w:pPr>
          </w:p>
        </w:tc>
        <w:tc>
          <w:tcPr>
            <w:tcW w:w="1170" w:type="dxa"/>
          </w:tcPr>
          <w:p w14:paraId="6DD64349" w14:textId="48E8528C" w:rsidR="005015EA" w:rsidRPr="00EF2F18" w:rsidRDefault="005015EA" w:rsidP="00752CA0">
            <w:pPr>
              <w:spacing w:after="0"/>
              <w:jc w:val="right"/>
              <w:rPr>
                <w:rFonts w:eastAsia="Times New Roman" w:cs="Times New Roman"/>
                <w:color w:val="000000"/>
                <w:sz w:val="20"/>
                <w:szCs w:val="20"/>
                <w:lang w:val="sr-Cyrl-RS" w:eastAsia="sr-Cyrl-RS"/>
              </w:rPr>
            </w:pPr>
          </w:p>
        </w:tc>
        <w:tc>
          <w:tcPr>
            <w:tcW w:w="1440" w:type="dxa"/>
          </w:tcPr>
          <w:p w14:paraId="4FE0330A" w14:textId="151E5D27" w:rsidR="005015EA" w:rsidRPr="00EF2F18" w:rsidRDefault="005015EA" w:rsidP="00752CA0">
            <w:pPr>
              <w:spacing w:after="0"/>
              <w:jc w:val="right"/>
              <w:rPr>
                <w:rFonts w:eastAsia="Times New Roman" w:cs="Times New Roman"/>
                <w:color w:val="000000"/>
                <w:sz w:val="20"/>
                <w:szCs w:val="20"/>
                <w:lang w:val="sr-Cyrl-RS" w:eastAsia="sr-Cyrl-RS"/>
              </w:rPr>
            </w:pPr>
          </w:p>
        </w:tc>
      </w:tr>
      <w:tr w:rsidR="005015EA" w:rsidRPr="00EF2F18" w14:paraId="306D8B2D" w14:textId="77777777" w:rsidTr="005015EA">
        <w:trPr>
          <w:gridAfter w:val="1"/>
          <w:wAfter w:w="35" w:type="dxa"/>
          <w:trHeight w:val="1332"/>
        </w:trPr>
        <w:tc>
          <w:tcPr>
            <w:tcW w:w="2951" w:type="dxa"/>
            <w:hideMark/>
          </w:tcPr>
          <w:p w14:paraId="27B18B1A" w14:textId="3874289A"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3.4.3.2. Едукација привредних субјеката за употребу алата за идентификоване гране привреде из области доступних безбеднијих алтернатива</w:t>
            </w:r>
          </w:p>
        </w:tc>
        <w:tc>
          <w:tcPr>
            <w:tcW w:w="1279" w:type="dxa"/>
            <w:hideMark/>
          </w:tcPr>
          <w:p w14:paraId="6132234F"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80" w:type="dxa"/>
            <w:hideMark/>
          </w:tcPr>
          <w:p w14:paraId="5B8176BF"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ПКС, индустрија</w:t>
            </w:r>
          </w:p>
        </w:tc>
        <w:tc>
          <w:tcPr>
            <w:tcW w:w="1182" w:type="dxa"/>
            <w:hideMark/>
          </w:tcPr>
          <w:p w14:paraId="10B5708E" w14:textId="5BFC05B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w:t>
            </w:r>
            <w:r w:rsidR="00C81896" w:rsidRPr="00EF2F18">
              <w:rPr>
                <w:rFonts w:eastAsia="Times New Roman" w:cs="Times New Roman"/>
                <w:color w:val="000000"/>
                <w:sz w:val="20"/>
                <w:szCs w:val="20"/>
                <w:lang w:val="sr-Cyrl-RS" w:eastAsia="sr-Cyrl-RS"/>
              </w:rPr>
              <w:t>7</w:t>
            </w:r>
            <w:r w:rsidRPr="00EF2F18">
              <w:rPr>
                <w:rFonts w:eastAsia="Times New Roman" w:cs="Times New Roman"/>
                <w:color w:val="000000"/>
                <w:sz w:val="20"/>
                <w:szCs w:val="20"/>
                <w:lang w:val="sr-Cyrl-RS" w:eastAsia="sr-Cyrl-RS"/>
              </w:rPr>
              <w:t>.</w:t>
            </w:r>
          </w:p>
        </w:tc>
        <w:tc>
          <w:tcPr>
            <w:tcW w:w="1400" w:type="dxa"/>
            <w:hideMark/>
          </w:tcPr>
          <w:p w14:paraId="1BABB208" w14:textId="1D0D2316" w:rsidR="005015EA" w:rsidRPr="00EF2F18" w:rsidRDefault="004C5C04"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Донаторска средства*</w:t>
            </w:r>
          </w:p>
        </w:tc>
        <w:tc>
          <w:tcPr>
            <w:tcW w:w="1459" w:type="dxa"/>
          </w:tcPr>
          <w:p w14:paraId="24D9AA76" w14:textId="134660EE" w:rsidR="005015EA" w:rsidRPr="00EF2F18" w:rsidRDefault="005015EA" w:rsidP="00752CA0">
            <w:pPr>
              <w:spacing w:after="0"/>
              <w:rPr>
                <w:rFonts w:eastAsia="Times New Roman" w:cs="Times New Roman"/>
                <w:color w:val="000000"/>
                <w:sz w:val="20"/>
                <w:szCs w:val="20"/>
                <w:lang w:val="sr-Cyrl-RS" w:eastAsia="sr-Cyrl-RS"/>
              </w:rPr>
            </w:pPr>
          </w:p>
        </w:tc>
        <w:tc>
          <w:tcPr>
            <w:tcW w:w="1424" w:type="dxa"/>
          </w:tcPr>
          <w:p w14:paraId="6F1535C4" w14:textId="10E7202C" w:rsidR="005015EA" w:rsidRPr="00EF2F18" w:rsidRDefault="005015EA" w:rsidP="00752CA0">
            <w:pPr>
              <w:spacing w:after="0"/>
              <w:jc w:val="right"/>
              <w:rPr>
                <w:rFonts w:eastAsia="Times New Roman" w:cs="Times New Roman"/>
                <w:color w:val="000000"/>
                <w:sz w:val="20"/>
                <w:szCs w:val="20"/>
                <w:lang w:val="sr-Cyrl-RS" w:eastAsia="sr-Cyrl-RS"/>
              </w:rPr>
            </w:pPr>
          </w:p>
        </w:tc>
        <w:tc>
          <w:tcPr>
            <w:tcW w:w="1170" w:type="dxa"/>
          </w:tcPr>
          <w:p w14:paraId="1BBCA414" w14:textId="0EBD580A" w:rsidR="005015EA" w:rsidRPr="00EF2F18" w:rsidRDefault="005015EA" w:rsidP="00752CA0">
            <w:pPr>
              <w:spacing w:after="0"/>
              <w:jc w:val="right"/>
              <w:rPr>
                <w:rFonts w:eastAsia="Times New Roman" w:cs="Times New Roman"/>
                <w:color w:val="000000"/>
                <w:sz w:val="20"/>
                <w:szCs w:val="20"/>
                <w:lang w:val="sr-Cyrl-RS" w:eastAsia="sr-Cyrl-RS"/>
              </w:rPr>
            </w:pPr>
          </w:p>
        </w:tc>
        <w:tc>
          <w:tcPr>
            <w:tcW w:w="1440" w:type="dxa"/>
          </w:tcPr>
          <w:p w14:paraId="2EEF611E" w14:textId="7C922C60" w:rsidR="005015EA" w:rsidRPr="00EF2F18" w:rsidRDefault="005015EA" w:rsidP="00752CA0">
            <w:pPr>
              <w:spacing w:after="0"/>
              <w:jc w:val="right"/>
              <w:rPr>
                <w:rFonts w:eastAsia="Times New Roman" w:cs="Times New Roman"/>
                <w:color w:val="000000"/>
                <w:sz w:val="20"/>
                <w:szCs w:val="20"/>
                <w:lang w:val="sr-Cyrl-RS" w:eastAsia="sr-Cyrl-RS"/>
              </w:rPr>
            </w:pPr>
          </w:p>
        </w:tc>
      </w:tr>
    </w:tbl>
    <w:p w14:paraId="7580F790" w14:textId="4122B8DA" w:rsidR="007D7243" w:rsidRPr="00EF2F18" w:rsidRDefault="00A06F45" w:rsidP="007D7243">
      <w:pPr>
        <w:tabs>
          <w:tab w:val="left" w:pos="1940"/>
        </w:tabs>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C81A405" w14:textId="77777777" w:rsidR="00A06F45" w:rsidRPr="00EF2F18" w:rsidRDefault="00A06F45" w:rsidP="007D7243">
      <w:pPr>
        <w:tabs>
          <w:tab w:val="left" w:pos="1940"/>
        </w:tabs>
        <w:spacing w:after="0"/>
        <w:rPr>
          <w:rFonts w:cs="Times New Roman"/>
          <w:sz w:val="20"/>
          <w:szCs w:val="20"/>
          <w:lang w:val="sr-Cyrl-RS"/>
        </w:rPr>
      </w:pPr>
    </w:p>
    <w:p w14:paraId="61BCB71A" w14:textId="77777777" w:rsidR="00A06F45" w:rsidRPr="00EF2F18" w:rsidRDefault="00A06F45" w:rsidP="007D7243">
      <w:pPr>
        <w:tabs>
          <w:tab w:val="left" w:pos="1940"/>
        </w:tabs>
        <w:spacing w:after="0"/>
        <w:rPr>
          <w:rFonts w:cs="Times New Roman"/>
          <w:sz w:val="20"/>
          <w:szCs w:val="20"/>
          <w:lang w:val="sr-Cyrl-RS"/>
        </w:rPr>
      </w:pPr>
    </w:p>
    <w:tbl>
      <w:tblPr>
        <w:tblW w:w="13657" w:type="dxa"/>
        <w:tblLook w:val="04A0" w:firstRow="1" w:lastRow="0" w:firstColumn="1" w:lastColumn="0" w:noHBand="0" w:noVBand="1"/>
      </w:tblPr>
      <w:tblGrid>
        <w:gridCol w:w="3246"/>
        <w:gridCol w:w="1267"/>
        <w:gridCol w:w="1459"/>
        <w:gridCol w:w="1953"/>
        <w:gridCol w:w="1487"/>
        <w:gridCol w:w="1275"/>
        <w:gridCol w:w="1440"/>
        <w:gridCol w:w="1513"/>
        <w:gridCol w:w="17"/>
      </w:tblGrid>
      <w:tr w:rsidR="007D7243" w:rsidRPr="00EF2F18" w14:paraId="5B0BA3B3" w14:textId="77777777" w:rsidTr="005015EA">
        <w:trPr>
          <w:gridAfter w:val="1"/>
          <w:wAfter w:w="17" w:type="dxa"/>
          <w:trHeight w:val="336"/>
        </w:trPr>
        <w:tc>
          <w:tcPr>
            <w:tcW w:w="13640" w:type="dxa"/>
            <w:gridSpan w:val="8"/>
            <w:tcBorders>
              <w:top w:val="double" w:sz="6" w:space="0" w:color="auto"/>
              <w:left w:val="double" w:sz="6" w:space="0" w:color="auto"/>
              <w:bottom w:val="double" w:sz="6" w:space="0" w:color="auto"/>
              <w:right w:val="double" w:sz="6" w:space="0" w:color="auto"/>
            </w:tcBorders>
            <w:shd w:val="clear" w:color="000000" w:fill="F7CAAC"/>
            <w:vAlign w:val="center"/>
            <w:hideMark/>
          </w:tcPr>
          <w:p w14:paraId="6FA654AF"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 xml:space="preserve">Мера 3.4.4.: Контрола опасности од великих удеса </w:t>
            </w:r>
          </w:p>
        </w:tc>
      </w:tr>
      <w:tr w:rsidR="007D7243" w:rsidRPr="00EF2F18" w14:paraId="0FEC670B" w14:textId="77777777" w:rsidTr="005015EA">
        <w:trPr>
          <w:gridAfter w:val="1"/>
          <w:wAfter w:w="17" w:type="dxa"/>
          <w:trHeight w:val="336"/>
        </w:trPr>
        <w:tc>
          <w:tcPr>
            <w:tcW w:w="13640" w:type="dxa"/>
            <w:gridSpan w:val="8"/>
            <w:tcBorders>
              <w:top w:val="double" w:sz="6" w:space="0" w:color="auto"/>
              <w:left w:val="double" w:sz="6" w:space="0" w:color="auto"/>
              <w:bottom w:val="double" w:sz="6" w:space="0" w:color="auto"/>
              <w:right w:val="double" w:sz="6" w:space="0" w:color="auto"/>
            </w:tcBorders>
            <w:shd w:val="clear" w:color="000000" w:fill="F7CAAC"/>
            <w:vAlign w:val="center"/>
            <w:hideMark/>
          </w:tcPr>
          <w:p w14:paraId="6893FA0B"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 Министарство заштите животне средине</w:t>
            </w:r>
          </w:p>
        </w:tc>
      </w:tr>
      <w:tr w:rsidR="007D7243" w:rsidRPr="00EF2F18" w14:paraId="6678AE29" w14:textId="77777777" w:rsidTr="005015EA">
        <w:trPr>
          <w:gridAfter w:val="1"/>
          <w:wAfter w:w="17" w:type="dxa"/>
          <w:trHeight w:val="336"/>
        </w:trPr>
        <w:tc>
          <w:tcPr>
            <w:tcW w:w="5972" w:type="dxa"/>
            <w:gridSpan w:val="3"/>
            <w:tcBorders>
              <w:top w:val="double" w:sz="6" w:space="0" w:color="auto"/>
              <w:left w:val="double" w:sz="6" w:space="0" w:color="auto"/>
              <w:bottom w:val="double" w:sz="6" w:space="0" w:color="auto"/>
              <w:right w:val="double" w:sz="6" w:space="0" w:color="auto"/>
            </w:tcBorders>
            <w:shd w:val="clear" w:color="000000" w:fill="F7CAAC"/>
            <w:vAlign w:val="center"/>
            <w:hideMark/>
          </w:tcPr>
          <w:p w14:paraId="7B39CBD0" w14:textId="7CEEEB66"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Период спровођења: 202</w:t>
            </w:r>
            <w:r w:rsidR="005015EA" w:rsidRPr="00EF2F18">
              <w:rPr>
                <w:rFonts w:eastAsia="Times New Roman" w:cs="Times New Roman"/>
                <w:color w:val="000000"/>
                <w:sz w:val="20"/>
                <w:szCs w:val="20"/>
                <w:lang w:val="sr-Cyrl-RS" w:eastAsia="sr-Cyrl-RS"/>
              </w:rPr>
              <w:t>6</w:t>
            </w:r>
            <w:r w:rsidRPr="00EF2F18">
              <w:rPr>
                <w:rFonts w:eastAsia="Times New Roman" w:cs="Times New Roman"/>
                <w:color w:val="000000"/>
                <w:sz w:val="20"/>
                <w:szCs w:val="20"/>
                <w:lang w:val="sr-Cyrl-RS" w:eastAsia="sr-Cyrl-RS"/>
              </w:rPr>
              <w:t xml:space="preserve"> – 2028.</w:t>
            </w:r>
          </w:p>
        </w:tc>
        <w:tc>
          <w:tcPr>
            <w:tcW w:w="7668"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734CDAF4"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46C9BBBF" w14:textId="77777777" w:rsidTr="005015EA">
        <w:trPr>
          <w:gridAfter w:val="1"/>
          <w:wAfter w:w="17" w:type="dxa"/>
          <w:trHeight w:val="528"/>
        </w:trPr>
        <w:tc>
          <w:tcPr>
            <w:tcW w:w="5972" w:type="dxa"/>
            <w:gridSpan w:val="3"/>
            <w:tcBorders>
              <w:top w:val="double" w:sz="6" w:space="0" w:color="auto"/>
              <w:left w:val="double" w:sz="6" w:space="0" w:color="auto"/>
              <w:bottom w:val="double" w:sz="6" w:space="0" w:color="auto"/>
              <w:right w:val="double" w:sz="6" w:space="0" w:color="auto"/>
            </w:tcBorders>
            <w:shd w:val="clear" w:color="000000" w:fill="F7CAAC"/>
            <w:vAlign w:val="center"/>
            <w:hideMark/>
          </w:tcPr>
          <w:p w14:paraId="3EBE4DE9"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7668"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25BFB684" w14:textId="4B8F4145" w:rsidR="007D7243" w:rsidRPr="00EF2F18" w:rsidRDefault="007D7243" w:rsidP="00752CA0">
            <w:pPr>
              <w:spacing w:after="0"/>
              <w:rPr>
                <w:rFonts w:eastAsia="Times New Roman" w:cs="Times New Roman"/>
                <w:color w:val="000000"/>
                <w:sz w:val="20"/>
                <w:szCs w:val="20"/>
                <w:lang w:val="sr-Cyrl-RS" w:eastAsia="sr-Cyrl-RS"/>
              </w:rPr>
            </w:pPr>
          </w:p>
        </w:tc>
      </w:tr>
      <w:tr w:rsidR="005015EA" w:rsidRPr="00EF2F18" w14:paraId="7BB3936A" w14:textId="77777777" w:rsidTr="005015EA">
        <w:trPr>
          <w:trHeight w:val="816"/>
        </w:trPr>
        <w:tc>
          <w:tcPr>
            <w:tcW w:w="3246" w:type="dxa"/>
            <w:tcBorders>
              <w:top w:val="double" w:sz="6" w:space="0" w:color="auto"/>
              <w:left w:val="double" w:sz="6" w:space="0" w:color="auto"/>
              <w:bottom w:val="double" w:sz="6" w:space="0" w:color="auto"/>
              <w:right w:val="double" w:sz="6" w:space="0" w:color="auto"/>
            </w:tcBorders>
            <w:shd w:val="clear" w:color="000000" w:fill="D9D9D9"/>
            <w:hideMark/>
          </w:tcPr>
          <w:p w14:paraId="44346767"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67" w:type="dxa"/>
            <w:tcBorders>
              <w:top w:val="double" w:sz="6" w:space="0" w:color="auto"/>
              <w:left w:val="double" w:sz="6" w:space="0" w:color="auto"/>
              <w:bottom w:val="double" w:sz="6" w:space="0" w:color="auto"/>
              <w:right w:val="double" w:sz="6" w:space="0" w:color="auto"/>
            </w:tcBorders>
            <w:shd w:val="clear" w:color="000000" w:fill="D9D9D9"/>
            <w:hideMark/>
          </w:tcPr>
          <w:p w14:paraId="296FAC2B"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Jединица мере</w:t>
            </w:r>
          </w:p>
        </w:tc>
        <w:tc>
          <w:tcPr>
            <w:tcW w:w="1459" w:type="dxa"/>
            <w:tcBorders>
              <w:top w:val="double" w:sz="6" w:space="0" w:color="auto"/>
              <w:left w:val="double" w:sz="6" w:space="0" w:color="auto"/>
              <w:bottom w:val="double" w:sz="6" w:space="0" w:color="auto"/>
              <w:right w:val="double" w:sz="6" w:space="0" w:color="auto"/>
            </w:tcBorders>
            <w:shd w:val="clear" w:color="000000" w:fill="D9D9D9"/>
            <w:hideMark/>
          </w:tcPr>
          <w:p w14:paraId="3C2CA79E"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Извор провере</w:t>
            </w:r>
          </w:p>
        </w:tc>
        <w:tc>
          <w:tcPr>
            <w:tcW w:w="1953" w:type="dxa"/>
            <w:tcBorders>
              <w:top w:val="double" w:sz="6" w:space="0" w:color="auto"/>
              <w:left w:val="double" w:sz="6" w:space="0" w:color="auto"/>
              <w:bottom w:val="double" w:sz="6" w:space="0" w:color="auto"/>
              <w:right w:val="double" w:sz="6" w:space="0" w:color="auto"/>
            </w:tcBorders>
            <w:shd w:val="clear" w:color="000000" w:fill="D9D9D9"/>
            <w:hideMark/>
          </w:tcPr>
          <w:p w14:paraId="18272281"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Почетна вредност </w:t>
            </w:r>
          </w:p>
        </w:tc>
        <w:tc>
          <w:tcPr>
            <w:tcW w:w="1487" w:type="dxa"/>
            <w:tcBorders>
              <w:top w:val="double" w:sz="6" w:space="0" w:color="auto"/>
              <w:left w:val="double" w:sz="6" w:space="0" w:color="auto"/>
              <w:bottom w:val="double" w:sz="6" w:space="0" w:color="auto"/>
              <w:right w:val="double" w:sz="6" w:space="0" w:color="auto"/>
            </w:tcBorders>
            <w:shd w:val="clear" w:color="000000" w:fill="D9D9D9"/>
            <w:hideMark/>
          </w:tcPr>
          <w:p w14:paraId="30637AFE"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Базна година</w:t>
            </w:r>
          </w:p>
        </w:tc>
        <w:tc>
          <w:tcPr>
            <w:tcW w:w="1275" w:type="dxa"/>
            <w:tcBorders>
              <w:top w:val="double" w:sz="6" w:space="0" w:color="auto"/>
              <w:left w:val="double" w:sz="6" w:space="0" w:color="auto"/>
              <w:bottom w:val="double" w:sz="6" w:space="0" w:color="auto"/>
              <w:right w:val="double" w:sz="6" w:space="0" w:color="auto"/>
            </w:tcBorders>
            <w:shd w:val="clear" w:color="000000" w:fill="D9D9D9"/>
            <w:hideMark/>
          </w:tcPr>
          <w:p w14:paraId="7DDE1435"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440" w:type="dxa"/>
            <w:tcBorders>
              <w:top w:val="double" w:sz="6" w:space="0" w:color="auto"/>
              <w:left w:val="double" w:sz="6" w:space="0" w:color="auto"/>
              <w:bottom w:val="double" w:sz="6" w:space="0" w:color="auto"/>
              <w:right w:val="double" w:sz="6" w:space="0" w:color="auto"/>
            </w:tcBorders>
            <w:shd w:val="clear" w:color="000000" w:fill="D9D9D9"/>
            <w:hideMark/>
          </w:tcPr>
          <w:p w14:paraId="4BBA3229"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412320F1"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015EA" w:rsidRPr="00EF2F18" w14:paraId="795D760F" w14:textId="77777777" w:rsidTr="005015EA">
        <w:trPr>
          <w:trHeight w:val="1833"/>
        </w:trPr>
        <w:tc>
          <w:tcPr>
            <w:tcW w:w="3246" w:type="dxa"/>
            <w:tcBorders>
              <w:top w:val="double" w:sz="6" w:space="0" w:color="auto"/>
              <w:left w:val="double" w:sz="6" w:space="0" w:color="auto"/>
              <w:bottom w:val="double" w:sz="6" w:space="0" w:color="auto"/>
              <w:right w:val="double" w:sz="6" w:space="0" w:color="auto"/>
            </w:tcBorders>
            <w:hideMark/>
          </w:tcPr>
          <w:p w14:paraId="332B4FDB"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Удео Севесо комплекса за које је издата сагласност за документа захтевана законом у односу на укупан број идентификованих Севесо комплекса </w:t>
            </w:r>
          </w:p>
        </w:tc>
        <w:tc>
          <w:tcPr>
            <w:tcW w:w="1267" w:type="dxa"/>
            <w:tcBorders>
              <w:top w:val="double" w:sz="6" w:space="0" w:color="auto"/>
              <w:left w:val="double" w:sz="6" w:space="0" w:color="auto"/>
              <w:bottom w:val="double" w:sz="6" w:space="0" w:color="auto"/>
              <w:right w:val="double" w:sz="6" w:space="0" w:color="auto"/>
            </w:tcBorders>
            <w:hideMark/>
          </w:tcPr>
          <w:p w14:paraId="1FA35243"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59" w:type="dxa"/>
            <w:tcBorders>
              <w:top w:val="double" w:sz="6" w:space="0" w:color="auto"/>
              <w:left w:val="double" w:sz="6" w:space="0" w:color="auto"/>
              <w:bottom w:val="double" w:sz="6" w:space="0" w:color="auto"/>
              <w:right w:val="double" w:sz="6" w:space="0" w:color="auto"/>
            </w:tcBorders>
            <w:hideMark/>
          </w:tcPr>
          <w:p w14:paraId="579795AD"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подаци о издатим сагласностима који се не односе на ажурирана документа</w:t>
            </w:r>
          </w:p>
        </w:tc>
        <w:tc>
          <w:tcPr>
            <w:tcW w:w="1953" w:type="dxa"/>
            <w:tcBorders>
              <w:top w:val="double" w:sz="6" w:space="0" w:color="auto"/>
              <w:left w:val="double" w:sz="6" w:space="0" w:color="auto"/>
              <w:bottom w:val="double" w:sz="6" w:space="0" w:color="auto"/>
              <w:right w:val="double" w:sz="6" w:space="0" w:color="auto"/>
            </w:tcBorders>
            <w:hideMark/>
          </w:tcPr>
          <w:p w14:paraId="6D55F6AB"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94</w:t>
            </w:r>
          </w:p>
        </w:tc>
        <w:tc>
          <w:tcPr>
            <w:tcW w:w="1487" w:type="dxa"/>
            <w:tcBorders>
              <w:top w:val="double" w:sz="6" w:space="0" w:color="auto"/>
              <w:left w:val="double" w:sz="6" w:space="0" w:color="auto"/>
              <w:bottom w:val="double" w:sz="6" w:space="0" w:color="auto"/>
              <w:right w:val="double" w:sz="6" w:space="0" w:color="auto"/>
            </w:tcBorders>
            <w:hideMark/>
          </w:tcPr>
          <w:p w14:paraId="15E502BF"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75" w:type="dxa"/>
            <w:tcBorders>
              <w:top w:val="double" w:sz="6" w:space="0" w:color="auto"/>
              <w:left w:val="double" w:sz="6" w:space="0" w:color="auto"/>
              <w:bottom w:val="double" w:sz="6" w:space="0" w:color="auto"/>
              <w:right w:val="double" w:sz="6" w:space="0" w:color="auto"/>
            </w:tcBorders>
            <w:shd w:val="clear" w:color="000000" w:fill="FFFFFF"/>
            <w:hideMark/>
          </w:tcPr>
          <w:p w14:paraId="5F90AA55"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440" w:type="dxa"/>
            <w:tcBorders>
              <w:top w:val="double" w:sz="6" w:space="0" w:color="auto"/>
              <w:left w:val="double" w:sz="6" w:space="0" w:color="auto"/>
              <w:bottom w:val="double" w:sz="6" w:space="0" w:color="auto"/>
              <w:right w:val="double" w:sz="6" w:space="0" w:color="auto"/>
            </w:tcBorders>
            <w:shd w:val="clear" w:color="000000" w:fill="FFFFFF"/>
            <w:hideMark/>
          </w:tcPr>
          <w:p w14:paraId="4BE35AF7"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53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6C2598A2"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w:t>
            </w:r>
          </w:p>
        </w:tc>
      </w:tr>
    </w:tbl>
    <w:p w14:paraId="11871D5B" w14:textId="77777777" w:rsidR="007D7243" w:rsidRPr="00EF2F18" w:rsidRDefault="007D7243" w:rsidP="007D7243">
      <w:pPr>
        <w:tabs>
          <w:tab w:val="left" w:pos="1940"/>
        </w:tabs>
        <w:spacing w:after="0"/>
        <w:rPr>
          <w:rFonts w:cs="Times New Roman"/>
          <w:sz w:val="20"/>
          <w:szCs w:val="20"/>
          <w:lang w:val="sr-Cyrl-RS"/>
        </w:rPr>
      </w:pPr>
    </w:p>
    <w:tbl>
      <w:tblPr>
        <w:tblW w:w="13657" w:type="dxa"/>
        <w:tblLook w:val="04A0" w:firstRow="1" w:lastRow="0" w:firstColumn="1" w:lastColumn="0" w:noHBand="0" w:noVBand="1"/>
      </w:tblPr>
      <w:tblGrid>
        <w:gridCol w:w="3800"/>
        <w:gridCol w:w="2556"/>
        <w:gridCol w:w="2261"/>
        <w:gridCol w:w="2430"/>
        <w:gridCol w:w="2589"/>
        <w:gridCol w:w="21"/>
      </w:tblGrid>
      <w:tr w:rsidR="007D7243" w:rsidRPr="00EF2F18" w14:paraId="65BAA7C4" w14:textId="77777777" w:rsidTr="005015EA">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77DE1F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351584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62B570F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5015EA" w:rsidRPr="00EF2F18" w14:paraId="131894A5" w14:textId="77777777" w:rsidTr="005015EA">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44C2EF5B"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05655825"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261" w:type="dxa"/>
            <w:tcBorders>
              <w:top w:val="nil"/>
              <w:left w:val="nil"/>
              <w:bottom w:val="double" w:sz="6" w:space="0" w:color="auto"/>
              <w:right w:val="double" w:sz="6" w:space="0" w:color="auto"/>
            </w:tcBorders>
            <w:shd w:val="clear" w:color="000000" w:fill="A8D08D"/>
            <w:hideMark/>
          </w:tcPr>
          <w:p w14:paraId="5B38966E" w14:textId="4C0AB2BF"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430" w:type="dxa"/>
            <w:tcBorders>
              <w:top w:val="nil"/>
              <w:left w:val="nil"/>
              <w:bottom w:val="double" w:sz="6" w:space="0" w:color="auto"/>
              <w:right w:val="double" w:sz="6" w:space="0" w:color="auto"/>
            </w:tcBorders>
            <w:shd w:val="clear" w:color="000000" w:fill="A8D08D"/>
            <w:hideMark/>
          </w:tcPr>
          <w:p w14:paraId="24EFF166" w14:textId="0B30DF9F"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610" w:type="dxa"/>
            <w:gridSpan w:val="2"/>
            <w:tcBorders>
              <w:top w:val="nil"/>
              <w:left w:val="nil"/>
              <w:bottom w:val="double" w:sz="6" w:space="0" w:color="auto"/>
              <w:right w:val="double" w:sz="6" w:space="0" w:color="auto"/>
            </w:tcBorders>
            <w:shd w:val="clear" w:color="000000" w:fill="A8D08D"/>
            <w:hideMark/>
          </w:tcPr>
          <w:p w14:paraId="240C9E10" w14:textId="241084B2"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5015EA" w:rsidRPr="00EF2F18" w14:paraId="09B0D783" w14:textId="77777777" w:rsidTr="005015EA">
        <w:trPr>
          <w:trHeight w:val="324"/>
        </w:trPr>
        <w:tc>
          <w:tcPr>
            <w:tcW w:w="3800" w:type="dxa"/>
            <w:tcBorders>
              <w:top w:val="nil"/>
              <w:left w:val="double" w:sz="6" w:space="0" w:color="auto"/>
              <w:bottom w:val="double" w:sz="6" w:space="0" w:color="auto"/>
              <w:right w:val="double" w:sz="6" w:space="0" w:color="auto"/>
            </w:tcBorders>
            <w:shd w:val="clear" w:color="000000" w:fill="FFFFFF"/>
            <w:vAlign w:val="center"/>
            <w:hideMark/>
          </w:tcPr>
          <w:p w14:paraId="310B46B3"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sz w:val="20"/>
                <w:szCs w:val="20"/>
                <w:lang w:val="sr-Cyrl-RS" w:eastAsia="sr-Cyrl-RS"/>
              </w:rPr>
              <w:t xml:space="preserve"> (МЗЖС)</w:t>
            </w:r>
          </w:p>
        </w:tc>
        <w:tc>
          <w:tcPr>
            <w:tcW w:w="2556" w:type="dxa"/>
            <w:tcBorders>
              <w:top w:val="nil"/>
              <w:left w:val="nil"/>
              <w:bottom w:val="double" w:sz="6" w:space="0" w:color="auto"/>
              <w:right w:val="double" w:sz="6" w:space="0" w:color="auto"/>
            </w:tcBorders>
            <w:shd w:val="clear" w:color="000000" w:fill="FFFFFF"/>
            <w:vAlign w:val="center"/>
            <w:hideMark/>
          </w:tcPr>
          <w:p w14:paraId="18A402D1"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0404-560-0002-411</w:t>
            </w:r>
          </w:p>
        </w:tc>
        <w:tc>
          <w:tcPr>
            <w:tcW w:w="2261" w:type="dxa"/>
            <w:tcBorders>
              <w:top w:val="nil"/>
              <w:left w:val="nil"/>
              <w:bottom w:val="double" w:sz="6" w:space="0" w:color="auto"/>
              <w:right w:val="double" w:sz="6" w:space="0" w:color="auto"/>
            </w:tcBorders>
            <w:shd w:val="clear" w:color="000000" w:fill="FFFFFF"/>
            <w:vAlign w:val="center"/>
          </w:tcPr>
          <w:p w14:paraId="71DAC446" w14:textId="2B2FB5A2" w:rsidR="005015EA" w:rsidRPr="00EF2F18" w:rsidRDefault="005015EA" w:rsidP="00752CA0">
            <w:pPr>
              <w:spacing w:after="0"/>
              <w:jc w:val="right"/>
              <w:rPr>
                <w:rFonts w:eastAsia="Times New Roman" w:cs="Times New Roman"/>
                <w:color w:val="000000"/>
                <w:sz w:val="20"/>
                <w:szCs w:val="20"/>
                <w:lang w:val="sr-Cyrl-RS" w:eastAsia="sr-Cyrl-RS"/>
              </w:rPr>
            </w:pPr>
          </w:p>
        </w:tc>
        <w:tc>
          <w:tcPr>
            <w:tcW w:w="2430" w:type="dxa"/>
            <w:tcBorders>
              <w:top w:val="nil"/>
              <w:left w:val="nil"/>
              <w:bottom w:val="double" w:sz="6" w:space="0" w:color="auto"/>
              <w:right w:val="double" w:sz="6" w:space="0" w:color="auto"/>
            </w:tcBorders>
            <w:shd w:val="clear" w:color="000000" w:fill="FFFFFF"/>
            <w:vAlign w:val="center"/>
          </w:tcPr>
          <w:p w14:paraId="70A8A0D8" w14:textId="269E8A63" w:rsidR="005015EA" w:rsidRPr="00EF2F18" w:rsidRDefault="005015EA" w:rsidP="00752CA0">
            <w:pPr>
              <w:spacing w:after="0"/>
              <w:jc w:val="right"/>
              <w:rPr>
                <w:rFonts w:eastAsia="Times New Roman" w:cs="Times New Roman"/>
                <w:color w:val="000000"/>
                <w:sz w:val="20"/>
                <w:szCs w:val="20"/>
                <w:lang w:val="sr-Cyrl-RS" w:eastAsia="sr-Cyrl-RS"/>
              </w:rPr>
            </w:pPr>
          </w:p>
        </w:tc>
        <w:tc>
          <w:tcPr>
            <w:tcW w:w="2610" w:type="dxa"/>
            <w:gridSpan w:val="2"/>
            <w:tcBorders>
              <w:top w:val="nil"/>
              <w:left w:val="nil"/>
              <w:bottom w:val="double" w:sz="6" w:space="0" w:color="auto"/>
              <w:right w:val="double" w:sz="6" w:space="0" w:color="auto"/>
            </w:tcBorders>
            <w:shd w:val="clear" w:color="000000" w:fill="FFFFFF"/>
            <w:vAlign w:val="center"/>
          </w:tcPr>
          <w:p w14:paraId="102F8292" w14:textId="73D0A6DE" w:rsidR="005015EA" w:rsidRPr="00EF2F18" w:rsidRDefault="005015EA" w:rsidP="00752CA0">
            <w:pPr>
              <w:spacing w:after="0"/>
              <w:jc w:val="right"/>
              <w:rPr>
                <w:rFonts w:eastAsia="Times New Roman" w:cs="Times New Roman"/>
                <w:color w:val="000000"/>
                <w:sz w:val="20"/>
                <w:szCs w:val="20"/>
                <w:lang w:val="sr-Cyrl-RS" w:eastAsia="sr-Cyrl-RS"/>
              </w:rPr>
            </w:pPr>
          </w:p>
        </w:tc>
      </w:tr>
    </w:tbl>
    <w:p w14:paraId="67EE9D1F" w14:textId="77777777" w:rsidR="007D7243" w:rsidRPr="00EF2F18" w:rsidRDefault="007D7243" w:rsidP="007D7243">
      <w:pPr>
        <w:tabs>
          <w:tab w:val="left" w:pos="2830"/>
        </w:tabs>
        <w:rPr>
          <w:rFonts w:cs="Times New Roman"/>
          <w:b/>
          <w:sz w:val="20"/>
          <w:szCs w:val="20"/>
          <w:lang w:val="sr-Cyrl-RS"/>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257"/>
        <w:gridCol w:w="1275"/>
        <w:gridCol w:w="1182"/>
        <w:gridCol w:w="1691"/>
        <w:gridCol w:w="1447"/>
        <w:gridCol w:w="1377"/>
        <w:gridCol w:w="1170"/>
        <w:gridCol w:w="1440"/>
      </w:tblGrid>
      <w:tr w:rsidR="007D7243" w:rsidRPr="00EF2F18" w14:paraId="71DBFE39" w14:textId="77777777" w:rsidTr="005015EA">
        <w:trPr>
          <w:trHeight w:val="732"/>
        </w:trPr>
        <w:tc>
          <w:tcPr>
            <w:tcW w:w="2836" w:type="dxa"/>
            <w:vMerge w:val="restart"/>
            <w:shd w:val="clear" w:color="000000" w:fill="FFF2CC"/>
            <w:hideMark/>
          </w:tcPr>
          <w:p w14:paraId="480EADF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57" w:type="dxa"/>
            <w:vMerge w:val="restart"/>
            <w:shd w:val="clear" w:color="000000" w:fill="FFF2CC"/>
            <w:hideMark/>
          </w:tcPr>
          <w:p w14:paraId="7633BDC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75" w:type="dxa"/>
            <w:vMerge w:val="restart"/>
            <w:shd w:val="clear" w:color="000000" w:fill="FFF2CC"/>
            <w:hideMark/>
          </w:tcPr>
          <w:p w14:paraId="3A057E1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7FC26AA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60827B0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47" w:type="dxa"/>
            <w:vMerge w:val="restart"/>
            <w:shd w:val="clear" w:color="000000" w:fill="FFF2CC"/>
            <w:hideMark/>
          </w:tcPr>
          <w:p w14:paraId="08B5DCC3"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987" w:type="dxa"/>
            <w:gridSpan w:val="3"/>
            <w:shd w:val="clear" w:color="000000" w:fill="FFF2CC"/>
            <w:hideMark/>
          </w:tcPr>
          <w:p w14:paraId="43E2E0E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5015EA" w:rsidRPr="00EF2F18" w14:paraId="214E7936" w14:textId="77777777" w:rsidTr="005015EA">
        <w:trPr>
          <w:trHeight w:val="441"/>
        </w:trPr>
        <w:tc>
          <w:tcPr>
            <w:tcW w:w="2836" w:type="dxa"/>
            <w:vMerge/>
            <w:vAlign w:val="center"/>
            <w:hideMark/>
          </w:tcPr>
          <w:p w14:paraId="1FB4C2E6"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57" w:type="dxa"/>
            <w:vMerge/>
            <w:vAlign w:val="center"/>
            <w:hideMark/>
          </w:tcPr>
          <w:p w14:paraId="74A5C47F"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75" w:type="dxa"/>
            <w:vMerge/>
            <w:vAlign w:val="center"/>
            <w:hideMark/>
          </w:tcPr>
          <w:p w14:paraId="16703F44"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82" w:type="dxa"/>
            <w:vMerge/>
            <w:vAlign w:val="center"/>
            <w:hideMark/>
          </w:tcPr>
          <w:p w14:paraId="6B37C262"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691" w:type="dxa"/>
            <w:vMerge/>
            <w:vAlign w:val="center"/>
            <w:hideMark/>
          </w:tcPr>
          <w:p w14:paraId="552909A9"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47" w:type="dxa"/>
            <w:vMerge/>
            <w:vAlign w:val="center"/>
            <w:hideMark/>
          </w:tcPr>
          <w:p w14:paraId="22646D24"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377" w:type="dxa"/>
            <w:shd w:val="clear" w:color="000000" w:fill="FFF2CC"/>
            <w:hideMark/>
          </w:tcPr>
          <w:p w14:paraId="1B18696C" w14:textId="4F95B48B"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170" w:type="dxa"/>
            <w:shd w:val="clear" w:color="000000" w:fill="FFF2CC"/>
            <w:hideMark/>
          </w:tcPr>
          <w:p w14:paraId="129108FD" w14:textId="43A10A09"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shd w:val="clear" w:color="000000" w:fill="FFF2CC"/>
            <w:hideMark/>
          </w:tcPr>
          <w:p w14:paraId="61129797" w14:textId="7FEBD5D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5015EA" w:rsidRPr="00EF2F18" w14:paraId="2ED15C8A" w14:textId="77777777" w:rsidTr="005015EA">
        <w:trPr>
          <w:trHeight w:val="1846"/>
        </w:trPr>
        <w:tc>
          <w:tcPr>
            <w:tcW w:w="2836" w:type="dxa"/>
            <w:hideMark/>
          </w:tcPr>
          <w:p w14:paraId="5A8CE209"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3.4.4.1. Спровођење Севесо III Директиве (Закона о контроли опасности од великих удеса који укључују опасне супстанце), укључујући ажурирање регистра Севесо комплекса нижег и вишег реда</w:t>
            </w:r>
          </w:p>
        </w:tc>
        <w:tc>
          <w:tcPr>
            <w:tcW w:w="1257" w:type="dxa"/>
            <w:hideMark/>
          </w:tcPr>
          <w:p w14:paraId="69C84FCE"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275" w:type="dxa"/>
            <w:hideMark/>
          </w:tcPr>
          <w:p w14:paraId="44AA7830"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МУП, МГСИ, МРЕ, ЈЛС.</w:t>
            </w:r>
          </w:p>
        </w:tc>
        <w:tc>
          <w:tcPr>
            <w:tcW w:w="1182" w:type="dxa"/>
            <w:hideMark/>
          </w:tcPr>
          <w:p w14:paraId="5AD1A7EC"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691" w:type="dxa"/>
            <w:hideMark/>
          </w:tcPr>
          <w:p w14:paraId="3823E473"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w:t>
            </w:r>
          </w:p>
        </w:tc>
        <w:tc>
          <w:tcPr>
            <w:tcW w:w="1447" w:type="dxa"/>
            <w:hideMark/>
          </w:tcPr>
          <w:p w14:paraId="53FFCFD7" w14:textId="77777777" w:rsidR="005015EA" w:rsidRPr="00EF2F18" w:rsidRDefault="005015EA" w:rsidP="00752CA0">
            <w:pPr>
              <w:spacing w:after="0"/>
              <w:rPr>
                <w:rFonts w:eastAsia="Times New Roman" w:cs="Times New Roman"/>
                <w:color w:val="000000"/>
                <w:sz w:val="18"/>
                <w:szCs w:val="18"/>
                <w:lang w:val="sr-Cyrl-RS" w:eastAsia="sr-Cyrl-RS"/>
              </w:rPr>
            </w:pPr>
            <w:r w:rsidRPr="00EF2F18">
              <w:rPr>
                <w:rFonts w:eastAsia="Times New Roman" w:cs="Times New Roman"/>
                <w:color w:val="000000"/>
                <w:sz w:val="20"/>
                <w:szCs w:val="20"/>
                <w:lang w:val="sr-Cyrl-RS" w:eastAsia="sr-Cyrl-RS"/>
              </w:rPr>
              <w:t>0404-560-0002-411</w:t>
            </w:r>
          </w:p>
        </w:tc>
        <w:tc>
          <w:tcPr>
            <w:tcW w:w="1377" w:type="dxa"/>
          </w:tcPr>
          <w:p w14:paraId="6D80558A" w14:textId="67EAE255" w:rsidR="005015EA" w:rsidRPr="00EF2F18" w:rsidRDefault="005015EA" w:rsidP="00752CA0">
            <w:pPr>
              <w:spacing w:after="0"/>
              <w:jc w:val="right"/>
              <w:rPr>
                <w:rFonts w:eastAsia="Times New Roman" w:cs="Times New Roman"/>
                <w:color w:val="000000"/>
                <w:sz w:val="20"/>
                <w:szCs w:val="20"/>
                <w:lang w:val="sr-Cyrl-RS" w:eastAsia="sr-Cyrl-RS"/>
              </w:rPr>
            </w:pPr>
          </w:p>
        </w:tc>
        <w:tc>
          <w:tcPr>
            <w:tcW w:w="1170" w:type="dxa"/>
          </w:tcPr>
          <w:p w14:paraId="6F5E75EF" w14:textId="19AEF49D" w:rsidR="005015EA" w:rsidRPr="00EF2F18" w:rsidRDefault="005015EA" w:rsidP="00752CA0">
            <w:pPr>
              <w:spacing w:after="0"/>
              <w:jc w:val="right"/>
              <w:rPr>
                <w:rFonts w:eastAsia="Times New Roman" w:cs="Times New Roman"/>
                <w:color w:val="000000"/>
                <w:sz w:val="20"/>
                <w:szCs w:val="20"/>
                <w:lang w:val="sr-Cyrl-RS" w:eastAsia="sr-Cyrl-RS"/>
              </w:rPr>
            </w:pPr>
          </w:p>
        </w:tc>
        <w:tc>
          <w:tcPr>
            <w:tcW w:w="1440" w:type="dxa"/>
          </w:tcPr>
          <w:p w14:paraId="15DF33C2" w14:textId="029B44E7" w:rsidR="005015EA" w:rsidRPr="00EF2F18" w:rsidRDefault="005015EA" w:rsidP="00752CA0">
            <w:pPr>
              <w:spacing w:after="0"/>
              <w:jc w:val="right"/>
              <w:rPr>
                <w:rFonts w:eastAsia="Times New Roman" w:cs="Times New Roman"/>
                <w:color w:val="000000"/>
                <w:sz w:val="20"/>
                <w:szCs w:val="20"/>
                <w:lang w:val="sr-Cyrl-RS" w:eastAsia="sr-Cyrl-RS"/>
              </w:rPr>
            </w:pPr>
          </w:p>
        </w:tc>
      </w:tr>
    </w:tbl>
    <w:p w14:paraId="425233AD" w14:textId="70666D0C" w:rsidR="007D7243" w:rsidRPr="00EF2F18" w:rsidRDefault="000C410D" w:rsidP="007D7243">
      <w:pPr>
        <w:tabs>
          <w:tab w:val="left" w:pos="1940"/>
        </w:tabs>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A1B062B" w14:textId="77777777" w:rsidR="0050150F" w:rsidRPr="00EF2F18" w:rsidRDefault="0050150F" w:rsidP="007D7243">
      <w:pPr>
        <w:tabs>
          <w:tab w:val="left" w:pos="1940"/>
        </w:tabs>
        <w:spacing w:after="0"/>
        <w:rPr>
          <w:rFonts w:cs="Times New Roman"/>
          <w:sz w:val="20"/>
          <w:szCs w:val="20"/>
          <w:lang w:val="sr-Cyrl-RS"/>
        </w:rPr>
      </w:pPr>
    </w:p>
    <w:p w14:paraId="200CFA63" w14:textId="77777777" w:rsidR="0050150F" w:rsidRPr="00EF2F18" w:rsidRDefault="0050150F" w:rsidP="007D7243">
      <w:pPr>
        <w:tabs>
          <w:tab w:val="left" w:pos="1940"/>
        </w:tabs>
        <w:spacing w:after="0"/>
        <w:rPr>
          <w:rFonts w:cs="Times New Roman"/>
          <w:sz w:val="20"/>
          <w:szCs w:val="20"/>
          <w:lang w:val="sr-Cyrl-RS"/>
        </w:rPr>
      </w:pPr>
    </w:p>
    <w:tbl>
      <w:tblPr>
        <w:tblW w:w="13803" w:type="dxa"/>
        <w:tblLook w:val="04A0" w:firstRow="1" w:lastRow="0" w:firstColumn="1" w:lastColumn="0" w:noHBand="0" w:noVBand="1"/>
      </w:tblPr>
      <w:tblGrid>
        <w:gridCol w:w="3676"/>
        <w:gridCol w:w="1265"/>
        <w:gridCol w:w="1819"/>
        <w:gridCol w:w="1151"/>
        <w:gridCol w:w="1085"/>
        <w:gridCol w:w="1511"/>
        <w:gridCol w:w="1350"/>
        <w:gridCol w:w="1710"/>
        <w:gridCol w:w="43"/>
        <w:gridCol w:w="193"/>
      </w:tblGrid>
      <w:tr w:rsidR="007D7243" w:rsidRPr="00EF2F18" w14:paraId="088D2DB8" w14:textId="77777777" w:rsidTr="005015EA">
        <w:trPr>
          <w:gridAfter w:val="1"/>
          <w:wAfter w:w="193" w:type="dxa"/>
          <w:trHeight w:val="336"/>
        </w:trPr>
        <w:tc>
          <w:tcPr>
            <w:tcW w:w="13610" w:type="dxa"/>
            <w:gridSpan w:val="9"/>
            <w:tcBorders>
              <w:top w:val="double" w:sz="6" w:space="0" w:color="auto"/>
              <w:left w:val="double" w:sz="6" w:space="0" w:color="auto"/>
              <w:bottom w:val="double" w:sz="6" w:space="0" w:color="auto"/>
              <w:right w:val="double" w:sz="6" w:space="0" w:color="auto"/>
            </w:tcBorders>
            <w:shd w:val="clear" w:color="000000" w:fill="C5E0B3"/>
            <w:hideMark/>
          </w:tcPr>
          <w:p w14:paraId="66954BE3"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Посебан циљ 3.5: Смањење нивоа буке и заштита од нејонизујућег и јонизујућег зрачења</w:t>
            </w:r>
          </w:p>
        </w:tc>
      </w:tr>
      <w:tr w:rsidR="007D7243" w:rsidRPr="00EF2F18" w14:paraId="74B1BB2B" w14:textId="77777777" w:rsidTr="005015EA">
        <w:trPr>
          <w:gridAfter w:val="1"/>
          <w:wAfter w:w="193" w:type="dxa"/>
          <w:trHeight w:val="324"/>
        </w:trPr>
        <w:tc>
          <w:tcPr>
            <w:tcW w:w="13610" w:type="dxa"/>
            <w:gridSpan w:val="9"/>
            <w:tcBorders>
              <w:top w:val="double" w:sz="6" w:space="0" w:color="auto"/>
              <w:left w:val="double" w:sz="6" w:space="0" w:color="auto"/>
              <w:bottom w:val="double" w:sz="6" w:space="0" w:color="auto"/>
              <w:right w:val="double" w:sz="6" w:space="0" w:color="auto"/>
            </w:tcBorders>
            <w:shd w:val="clear" w:color="000000" w:fill="C5E0B3"/>
            <w:hideMark/>
          </w:tcPr>
          <w:p w14:paraId="2B1F8EB0" w14:textId="77777777" w:rsidR="007D7243" w:rsidRPr="00EF2F18" w:rsidRDefault="007D7243" w:rsidP="00752CA0">
            <w:pPr>
              <w:spacing w:after="0"/>
              <w:rPr>
                <w:rFonts w:eastAsia="Times New Roman" w:cs="Times New Roman"/>
                <w:color w:val="222222"/>
                <w:sz w:val="20"/>
                <w:szCs w:val="20"/>
                <w:lang w:val="sr-Cyrl-RS" w:eastAsia="sr-Cyrl-RS"/>
              </w:rPr>
            </w:pPr>
            <w:r w:rsidRPr="00EF2F18">
              <w:rPr>
                <w:rFonts w:eastAsia="Times New Roman" w:cs="Times New Roman"/>
                <w:color w:val="222222"/>
                <w:sz w:val="20"/>
                <w:szCs w:val="20"/>
                <w:lang w:val="sr-Cyrl-RS" w:eastAsia="sr-Cyrl-RS"/>
              </w:rPr>
              <w:t xml:space="preserve">Институција одговорна за координацију и извештавање: Министарство заштите животне средине </w:t>
            </w:r>
          </w:p>
        </w:tc>
      </w:tr>
      <w:tr w:rsidR="005015EA" w:rsidRPr="00EF2F18" w14:paraId="207401D9" w14:textId="77777777" w:rsidTr="005015EA">
        <w:trPr>
          <w:gridAfter w:val="2"/>
          <w:wAfter w:w="236" w:type="dxa"/>
          <w:trHeight w:val="468"/>
        </w:trPr>
        <w:tc>
          <w:tcPr>
            <w:tcW w:w="3676"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61665A87"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посебног циља </w:t>
            </w:r>
            <w:r w:rsidRPr="00EF2F18">
              <w:rPr>
                <w:rFonts w:eastAsia="Times New Roman" w:cs="Times New Roman"/>
                <w:i/>
                <w:iCs/>
                <w:color w:val="000000"/>
                <w:sz w:val="20"/>
                <w:szCs w:val="20"/>
                <w:lang w:val="sr-Cyrl-RS" w:eastAsia="sr-Cyrl-RS"/>
              </w:rPr>
              <w:t>(показатељ исхода)</w:t>
            </w:r>
          </w:p>
        </w:tc>
        <w:tc>
          <w:tcPr>
            <w:tcW w:w="1265"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2EABDB44"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819"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12077A9A"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151"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3F71094"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085"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843E52A"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511"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34B422DC"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35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DAA1E32"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025560EC"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015EA" w:rsidRPr="00EF2F18" w14:paraId="3A250F0F" w14:textId="77777777" w:rsidTr="005015EA">
        <w:trPr>
          <w:trHeight w:val="324"/>
        </w:trPr>
        <w:tc>
          <w:tcPr>
            <w:tcW w:w="3676" w:type="dxa"/>
            <w:vMerge/>
            <w:tcBorders>
              <w:top w:val="double" w:sz="6" w:space="0" w:color="auto"/>
              <w:left w:val="double" w:sz="6" w:space="0" w:color="auto"/>
              <w:bottom w:val="double" w:sz="6" w:space="0" w:color="auto"/>
              <w:right w:val="double" w:sz="6" w:space="0" w:color="auto"/>
            </w:tcBorders>
            <w:vAlign w:val="center"/>
            <w:hideMark/>
          </w:tcPr>
          <w:p w14:paraId="1D779995"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65" w:type="dxa"/>
            <w:vMerge/>
            <w:tcBorders>
              <w:top w:val="double" w:sz="6" w:space="0" w:color="auto"/>
              <w:left w:val="double" w:sz="6" w:space="0" w:color="auto"/>
              <w:bottom w:val="double" w:sz="6" w:space="0" w:color="auto"/>
              <w:right w:val="double" w:sz="6" w:space="0" w:color="auto"/>
            </w:tcBorders>
            <w:vAlign w:val="center"/>
            <w:hideMark/>
          </w:tcPr>
          <w:p w14:paraId="104BB901"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819" w:type="dxa"/>
            <w:vMerge/>
            <w:tcBorders>
              <w:top w:val="double" w:sz="6" w:space="0" w:color="auto"/>
              <w:left w:val="double" w:sz="6" w:space="0" w:color="auto"/>
              <w:bottom w:val="double" w:sz="6" w:space="0" w:color="auto"/>
              <w:right w:val="double" w:sz="6" w:space="0" w:color="auto"/>
            </w:tcBorders>
            <w:vAlign w:val="center"/>
            <w:hideMark/>
          </w:tcPr>
          <w:p w14:paraId="440526F7"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51" w:type="dxa"/>
            <w:vMerge/>
            <w:tcBorders>
              <w:top w:val="double" w:sz="6" w:space="0" w:color="auto"/>
              <w:left w:val="double" w:sz="6" w:space="0" w:color="auto"/>
              <w:bottom w:val="double" w:sz="6" w:space="0" w:color="auto"/>
              <w:right w:val="double" w:sz="6" w:space="0" w:color="auto"/>
            </w:tcBorders>
            <w:vAlign w:val="center"/>
            <w:hideMark/>
          </w:tcPr>
          <w:p w14:paraId="14B4B623"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085" w:type="dxa"/>
            <w:vMerge/>
            <w:tcBorders>
              <w:top w:val="double" w:sz="6" w:space="0" w:color="auto"/>
              <w:left w:val="double" w:sz="6" w:space="0" w:color="auto"/>
              <w:bottom w:val="double" w:sz="6" w:space="0" w:color="auto"/>
              <w:right w:val="double" w:sz="6" w:space="0" w:color="auto"/>
            </w:tcBorders>
            <w:vAlign w:val="center"/>
            <w:hideMark/>
          </w:tcPr>
          <w:p w14:paraId="73BC1F79"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511" w:type="dxa"/>
            <w:vMerge/>
            <w:tcBorders>
              <w:top w:val="double" w:sz="6" w:space="0" w:color="auto"/>
              <w:left w:val="double" w:sz="6" w:space="0" w:color="auto"/>
              <w:bottom w:val="double" w:sz="6" w:space="0" w:color="auto"/>
              <w:right w:val="double" w:sz="6" w:space="0" w:color="auto"/>
            </w:tcBorders>
            <w:vAlign w:val="center"/>
            <w:hideMark/>
          </w:tcPr>
          <w:p w14:paraId="761CD23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350" w:type="dxa"/>
            <w:vMerge/>
            <w:tcBorders>
              <w:top w:val="double" w:sz="6" w:space="0" w:color="auto"/>
              <w:left w:val="double" w:sz="6" w:space="0" w:color="auto"/>
              <w:bottom w:val="double" w:sz="6" w:space="0" w:color="auto"/>
              <w:right w:val="double" w:sz="6" w:space="0" w:color="auto"/>
            </w:tcBorders>
            <w:vAlign w:val="center"/>
            <w:hideMark/>
          </w:tcPr>
          <w:p w14:paraId="4AB87DAA"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710" w:type="dxa"/>
            <w:vMerge/>
            <w:tcBorders>
              <w:top w:val="double" w:sz="6" w:space="0" w:color="auto"/>
              <w:left w:val="double" w:sz="6" w:space="0" w:color="auto"/>
              <w:bottom w:val="double" w:sz="6" w:space="0" w:color="auto"/>
              <w:right w:val="double" w:sz="6" w:space="0" w:color="auto"/>
            </w:tcBorders>
            <w:vAlign w:val="center"/>
            <w:hideMark/>
          </w:tcPr>
          <w:p w14:paraId="22B9B0E9"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36" w:type="dxa"/>
            <w:gridSpan w:val="2"/>
            <w:tcBorders>
              <w:top w:val="nil"/>
              <w:left w:val="nil"/>
              <w:bottom w:val="nil"/>
              <w:right w:val="nil"/>
            </w:tcBorders>
            <w:noWrap/>
            <w:vAlign w:val="bottom"/>
            <w:hideMark/>
          </w:tcPr>
          <w:p w14:paraId="48C49F6E" w14:textId="77777777" w:rsidR="005015EA" w:rsidRPr="00EF2F18" w:rsidRDefault="005015EA" w:rsidP="00752CA0">
            <w:pPr>
              <w:spacing w:after="0"/>
              <w:jc w:val="center"/>
              <w:rPr>
                <w:rFonts w:eastAsia="Times New Roman" w:cs="Times New Roman"/>
                <w:color w:val="000000"/>
                <w:sz w:val="20"/>
                <w:szCs w:val="20"/>
                <w:lang w:val="sr-Cyrl-RS" w:eastAsia="sr-Cyrl-RS"/>
              </w:rPr>
            </w:pPr>
          </w:p>
        </w:tc>
      </w:tr>
      <w:tr w:rsidR="005015EA" w:rsidRPr="00EF2F18" w14:paraId="1A2804BD" w14:textId="77777777" w:rsidTr="005015EA">
        <w:trPr>
          <w:trHeight w:val="804"/>
        </w:trPr>
        <w:tc>
          <w:tcPr>
            <w:tcW w:w="3676" w:type="dxa"/>
            <w:tcBorders>
              <w:top w:val="double" w:sz="6" w:space="0" w:color="auto"/>
              <w:left w:val="double" w:sz="6" w:space="0" w:color="auto"/>
              <w:bottom w:val="double" w:sz="6" w:space="0" w:color="auto"/>
              <w:right w:val="double" w:sz="6" w:space="0" w:color="auto"/>
            </w:tcBorders>
            <w:shd w:val="clear" w:color="000000" w:fill="FFFFFF"/>
            <w:hideMark/>
          </w:tcPr>
          <w:p w14:paraId="3ABF92F5"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издатих сагласности на акциони план заштите од буке у животној средини, укупно</w:t>
            </w:r>
          </w:p>
        </w:tc>
        <w:tc>
          <w:tcPr>
            <w:tcW w:w="1265" w:type="dxa"/>
            <w:tcBorders>
              <w:top w:val="double" w:sz="6" w:space="0" w:color="auto"/>
              <w:left w:val="double" w:sz="6" w:space="0" w:color="auto"/>
              <w:bottom w:val="double" w:sz="6" w:space="0" w:color="auto"/>
              <w:right w:val="double" w:sz="6" w:space="0" w:color="auto"/>
            </w:tcBorders>
            <w:shd w:val="clear" w:color="000000" w:fill="FFFFFF"/>
            <w:hideMark/>
          </w:tcPr>
          <w:p w14:paraId="6275990B" w14:textId="0FD1A99F" w:rsidR="005015EA" w:rsidRPr="00EF2F18" w:rsidRDefault="005015EA" w:rsidP="007C514A">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број</w:t>
            </w:r>
          </w:p>
        </w:tc>
        <w:tc>
          <w:tcPr>
            <w:tcW w:w="1819" w:type="dxa"/>
            <w:tcBorders>
              <w:top w:val="double" w:sz="6" w:space="0" w:color="auto"/>
              <w:left w:val="double" w:sz="6" w:space="0" w:color="auto"/>
              <w:bottom w:val="double" w:sz="6" w:space="0" w:color="auto"/>
              <w:right w:val="double" w:sz="6" w:space="0" w:color="auto"/>
            </w:tcBorders>
            <w:shd w:val="clear" w:color="000000" w:fill="FFFFFF"/>
            <w:hideMark/>
          </w:tcPr>
          <w:p w14:paraId="547D253E"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АЗЖС, НЛИ 6.40</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600AAB17"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085" w:type="dxa"/>
            <w:tcBorders>
              <w:top w:val="double" w:sz="6" w:space="0" w:color="auto"/>
              <w:left w:val="double" w:sz="6" w:space="0" w:color="auto"/>
              <w:bottom w:val="double" w:sz="6" w:space="0" w:color="auto"/>
              <w:right w:val="double" w:sz="6" w:space="0" w:color="auto"/>
            </w:tcBorders>
            <w:shd w:val="clear" w:color="000000" w:fill="FFFFFF"/>
            <w:hideMark/>
          </w:tcPr>
          <w:p w14:paraId="14527CF5"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511" w:type="dxa"/>
            <w:tcBorders>
              <w:top w:val="double" w:sz="6" w:space="0" w:color="auto"/>
              <w:left w:val="double" w:sz="6" w:space="0" w:color="auto"/>
              <w:bottom w:val="double" w:sz="6" w:space="0" w:color="auto"/>
              <w:right w:val="double" w:sz="6" w:space="0" w:color="auto"/>
            </w:tcBorders>
            <w:shd w:val="clear" w:color="000000" w:fill="FFFFFF"/>
            <w:hideMark/>
          </w:tcPr>
          <w:p w14:paraId="2F2CA938"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5F64A3A1"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6</w:t>
            </w:r>
          </w:p>
        </w:tc>
        <w:tc>
          <w:tcPr>
            <w:tcW w:w="1710" w:type="dxa"/>
            <w:tcBorders>
              <w:top w:val="double" w:sz="6" w:space="0" w:color="auto"/>
              <w:left w:val="double" w:sz="6" w:space="0" w:color="auto"/>
              <w:bottom w:val="double" w:sz="6" w:space="0" w:color="auto"/>
              <w:right w:val="double" w:sz="6" w:space="0" w:color="auto"/>
            </w:tcBorders>
            <w:shd w:val="clear" w:color="000000" w:fill="FFFFFF"/>
            <w:hideMark/>
          </w:tcPr>
          <w:p w14:paraId="32E652F9"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7</w:t>
            </w:r>
          </w:p>
        </w:tc>
        <w:tc>
          <w:tcPr>
            <w:tcW w:w="236" w:type="dxa"/>
            <w:gridSpan w:val="2"/>
            <w:vAlign w:val="center"/>
            <w:hideMark/>
          </w:tcPr>
          <w:p w14:paraId="4909DB1F" w14:textId="77777777" w:rsidR="005015EA" w:rsidRPr="00EF2F18" w:rsidRDefault="005015EA" w:rsidP="00752CA0">
            <w:pPr>
              <w:spacing w:after="0"/>
              <w:rPr>
                <w:rFonts w:eastAsia="Times New Roman" w:cs="Times New Roman"/>
                <w:sz w:val="20"/>
                <w:szCs w:val="20"/>
                <w:lang w:val="sr-Cyrl-RS" w:eastAsia="sr-Cyrl-RS"/>
              </w:rPr>
            </w:pPr>
          </w:p>
        </w:tc>
      </w:tr>
      <w:tr w:rsidR="005015EA" w:rsidRPr="00EF2F18" w14:paraId="6DE00A3B" w14:textId="77777777" w:rsidTr="005015EA">
        <w:trPr>
          <w:trHeight w:val="552"/>
        </w:trPr>
        <w:tc>
          <w:tcPr>
            <w:tcW w:w="3676" w:type="dxa"/>
            <w:tcBorders>
              <w:top w:val="double" w:sz="6" w:space="0" w:color="auto"/>
              <w:left w:val="double" w:sz="6" w:space="0" w:color="auto"/>
              <w:bottom w:val="double" w:sz="6" w:space="0" w:color="auto"/>
              <w:right w:val="double" w:sz="6" w:space="0" w:color="auto"/>
            </w:tcBorders>
            <w:shd w:val="clear" w:color="000000" w:fill="FFFFFF"/>
            <w:hideMark/>
          </w:tcPr>
          <w:p w14:paraId="0C4A7D49"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Број извештаја систематских испитивања нејонизујућег зрачења, укупно</w:t>
            </w:r>
          </w:p>
        </w:tc>
        <w:tc>
          <w:tcPr>
            <w:tcW w:w="1265" w:type="dxa"/>
            <w:tcBorders>
              <w:top w:val="double" w:sz="6" w:space="0" w:color="auto"/>
              <w:left w:val="double" w:sz="6" w:space="0" w:color="auto"/>
              <w:bottom w:val="double" w:sz="6" w:space="0" w:color="auto"/>
              <w:right w:val="double" w:sz="6" w:space="0" w:color="auto"/>
            </w:tcBorders>
            <w:shd w:val="clear" w:color="000000" w:fill="FFFFFF"/>
            <w:hideMark/>
          </w:tcPr>
          <w:p w14:paraId="20B51CF5" w14:textId="2838E138" w:rsidR="005015EA" w:rsidRPr="00EF2F18" w:rsidRDefault="005015EA" w:rsidP="007C514A">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број</w:t>
            </w:r>
          </w:p>
        </w:tc>
        <w:tc>
          <w:tcPr>
            <w:tcW w:w="1819" w:type="dxa"/>
            <w:tcBorders>
              <w:top w:val="double" w:sz="6" w:space="0" w:color="auto"/>
              <w:left w:val="double" w:sz="6" w:space="0" w:color="auto"/>
              <w:bottom w:val="double" w:sz="6" w:space="0" w:color="auto"/>
              <w:right w:val="double" w:sz="6" w:space="0" w:color="auto"/>
            </w:tcBorders>
            <w:shd w:val="clear" w:color="000000" w:fill="FFFFFF"/>
            <w:hideMark/>
          </w:tcPr>
          <w:p w14:paraId="5F24A8C3"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МЗЖС </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1C6B1ECD"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w:t>
            </w:r>
          </w:p>
        </w:tc>
        <w:tc>
          <w:tcPr>
            <w:tcW w:w="1085" w:type="dxa"/>
            <w:tcBorders>
              <w:top w:val="double" w:sz="6" w:space="0" w:color="auto"/>
              <w:left w:val="double" w:sz="6" w:space="0" w:color="auto"/>
              <w:bottom w:val="double" w:sz="6" w:space="0" w:color="auto"/>
              <w:right w:val="double" w:sz="6" w:space="0" w:color="auto"/>
            </w:tcBorders>
            <w:shd w:val="clear" w:color="000000" w:fill="FFFFFF"/>
            <w:hideMark/>
          </w:tcPr>
          <w:p w14:paraId="54896FC5"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2023.</w:t>
            </w:r>
          </w:p>
        </w:tc>
        <w:tc>
          <w:tcPr>
            <w:tcW w:w="1511" w:type="dxa"/>
            <w:tcBorders>
              <w:top w:val="double" w:sz="6" w:space="0" w:color="auto"/>
              <w:left w:val="double" w:sz="6" w:space="0" w:color="auto"/>
              <w:bottom w:val="double" w:sz="6" w:space="0" w:color="auto"/>
              <w:right w:val="double" w:sz="6" w:space="0" w:color="auto"/>
            </w:tcBorders>
            <w:shd w:val="clear" w:color="000000" w:fill="FFFFFF"/>
            <w:hideMark/>
          </w:tcPr>
          <w:p w14:paraId="6BEBEC26"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54CF5E0C"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w:t>
            </w:r>
          </w:p>
        </w:tc>
        <w:tc>
          <w:tcPr>
            <w:tcW w:w="1710" w:type="dxa"/>
            <w:tcBorders>
              <w:top w:val="double" w:sz="6" w:space="0" w:color="auto"/>
              <w:left w:val="double" w:sz="6" w:space="0" w:color="auto"/>
              <w:bottom w:val="double" w:sz="6" w:space="0" w:color="auto"/>
              <w:right w:val="double" w:sz="6" w:space="0" w:color="auto"/>
            </w:tcBorders>
            <w:shd w:val="clear" w:color="000000" w:fill="FFFFFF"/>
            <w:hideMark/>
          </w:tcPr>
          <w:p w14:paraId="3257D019"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w:t>
            </w:r>
          </w:p>
        </w:tc>
        <w:tc>
          <w:tcPr>
            <w:tcW w:w="236" w:type="dxa"/>
            <w:gridSpan w:val="2"/>
            <w:vAlign w:val="center"/>
            <w:hideMark/>
          </w:tcPr>
          <w:p w14:paraId="6DD70B79" w14:textId="77777777" w:rsidR="005015EA" w:rsidRPr="00EF2F18" w:rsidRDefault="005015EA" w:rsidP="00752CA0">
            <w:pPr>
              <w:spacing w:after="0"/>
              <w:rPr>
                <w:rFonts w:eastAsia="Times New Roman" w:cs="Times New Roman"/>
                <w:sz w:val="20"/>
                <w:szCs w:val="20"/>
                <w:lang w:val="sr-Cyrl-RS" w:eastAsia="sr-Cyrl-RS"/>
              </w:rPr>
            </w:pPr>
          </w:p>
        </w:tc>
      </w:tr>
    </w:tbl>
    <w:p w14:paraId="46F55B37" w14:textId="77777777" w:rsidR="007D7243" w:rsidRPr="00EF2F18" w:rsidRDefault="007D7243" w:rsidP="007D7243">
      <w:pPr>
        <w:tabs>
          <w:tab w:val="left" w:pos="1940"/>
        </w:tabs>
        <w:spacing w:after="0"/>
        <w:rPr>
          <w:rFonts w:cs="Times New Roman"/>
          <w:sz w:val="20"/>
          <w:szCs w:val="20"/>
          <w:lang w:val="sr-Cyrl-RS"/>
        </w:rPr>
      </w:pPr>
    </w:p>
    <w:p w14:paraId="4DB92878"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287"/>
        <w:gridCol w:w="1170"/>
        <w:gridCol w:w="1783"/>
        <w:gridCol w:w="17"/>
      </w:tblGrid>
      <w:tr w:rsidR="007D7243" w:rsidRPr="00EF2F18" w14:paraId="18982B5B" w14:textId="77777777" w:rsidTr="005015EA">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5352551D"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3.5.1: Израда стратешких карата буке и акционих планова</w:t>
            </w:r>
          </w:p>
        </w:tc>
      </w:tr>
      <w:tr w:rsidR="007D7243" w:rsidRPr="00EF2F18" w14:paraId="182E0044" w14:textId="77777777" w:rsidTr="005015EA">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20C3F22A"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5B7406F0" w14:textId="77777777" w:rsidTr="005015EA">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37CCDD5C" w14:textId="5271A458"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5015EA"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760"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4954F62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0687331C" w14:textId="77777777" w:rsidTr="005015EA">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D3B1E0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60"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2FFC8BAD"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r>
      <w:tr w:rsidR="005015EA" w:rsidRPr="00EF2F18" w14:paraId="28099660" w14:textId="77777777" w:rsidTr="005015EA">
        <w:trPr>
          <w:trHeight w:val="816"/>
        </w:trPr>
        <w:tc>
          <w:tcPr>
            <w:tcW w:w="3320" w:type="dxa"/>
            <w:tcBorders>
              <w:top w:val="double" w:sz="6" w:space="0" w:color="auto"/>
              <w:left w:val="double" w:sz="6" w:space="0" w:color="auto"/>
              <w:bottom w:val="double" w:sz="6" w:space="0" w:color="auto"/>
              <w:right w:val="double" w:sz="6" w:space="0" w:color="auto"/>
            </w:tcBorders>
            <w:shd w:val="clear" w:color="000000" w:fill="D9D9D9"/>
            <w:hideMark/>
          </w:tcPr>
          <w:p w14:paraId="0BC062B0"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280" w:type="dxa"/>
            <w:tcBorders>
              <w:top w:val="double" w:sz="6" w:space="0" w:color="auto"/>
              <w:left w:val="double" w:sz="6" w:space="0" w:color="auto"/>
              <w:bottom w:val="double" w:sz="6" w:space="0" w:color="auto"/>
              <w:right w:val="double" w:sz="6" w:space="0" w:color="auto"/>
            </w:tcBorders>
            <w:shd w:val="clear" w:color="000000" w:fill="D9D9D9"/>
            <w:hideMark/>
          </w:tcPr>
          <w:p w14:paraId="6E969F2D"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80" w:type="dxa"/>
            <w:tcBorders>
              <w:top w:val="double" w:sz="6" w:space="0" w:color="auto"/>
              <w:left w:val="double" w:sz="6" w:space="0" w:color="auto"/>
              <w:bottom w:val="double" w:sz="6" w:space="0" w:color="auto"/>
              <w:right w:val="double" w:sz="6" w:space="0" w:color="auto"/>
            </w:tcBorders>
            <w:shd w:val="clear" w:color="000000" w:fill="D9D9D9"/>
            <w:hideMark/>
          </w:tcPr>
          <w:p w14:paraId="236565C1"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2000"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03FD5FE1"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Почетна вредност </w:t>
            </w:r>
          </w:p>
        </w:tc>
        <w:tc>
          <w:tcPr>
            <w:tcW w:w="1520" w:type="dxa"/>
            <w:tcBorders>
              <w:top w:val="double" w:sz="6" w:space="0" w:color="auto"/>
              <w:left w:val="double" w:sz="6" w:space="0" w:color="auto"/>
              <w:bottom w:val="double" w:sz="6" w:space="0" w:color="auto"/>
              <w:right w:val="double" w:sz="6" w:space="0" w:color="auto"/>
            </w:tcBorders>
            <w:shd w:val="clear" w:color="000000" w:fill="D9D9D9"/>
            <w:hideMark/>
          </w:tcPr>
          <w:p w14:paraId="2A53E825"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287" w:type="dxa"/>
            <w:tcBorders>
              <w:top w:val="double" w:sz="6" w:space="0" w:color="auto"/>
              <w:left w:val="double" w:sz="6" w:space="0" w:color="auto"/>
              <w:bottom w:val="double" w:sz="6" w:space="0" w:color="auto"/>
              <w:right w:val="double" w:sz="6" w:space="0" w:color="auto"/>
            </w:tcBorders>
            <w:shd w:val="clear" w:color="000000" w:fill="D9D9D9"/>
            <w:hideMark/>
          </w:tcPr>
          <w:p w14:paraId="725AAFE9"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170" w:type="dxa"/>
            <w:tcBorders>
              <w:top w:val="double" w:sz="6" w:space="0" w:color="auto"/>
              <w:left w:val="double" w:sz="6" w:space="0" w:color="auto"/>
              <w:bottom w:val="double" w:sz="6" w:space="0" w:color="auto"/>
              <w:right w:val="double" w:sz="6" w:space="0" w:color="auto"/>
            </w:tcBorders>
            <w:shd w:val="clear" w:color="000000" w:fill="D9D9D9"/>
            <w:hideMark/>
          </w:tcPr>
          <w:p w14:paraId="1C1B7A41"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800"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652DC5C9"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015EA" w:rsidRPr="00EF2F18" w14:paraId="0787BA1A" w14:textId="77777777" w:rsidTr="005015EA">
        <w:trPr>
          <w:trHeight w:val="552"/>
        </w:trPr>
        <w:tc>
          <w:tcPr>
            <w:tcW w:w="3320" w:type="dxa"/>
            <w:tcBorders>
              <w:top w:val="double" w:sz="6" w:space="0" w:color="auto"/>
              <w:left w:val="double" w:sz="6" w:space="0" w:color="auto"/>
              <w:bottom w:val="double" w:sz="6" w:space="0" w:color="auto"/>
              <w:right w:val="double" w:sz="6" w:space="0" w:color="auto"/>
            </w:tcBorders>
            <w:shd w:val="clear" w:color="000000" w:fill="FFFFFF"/>
            <w:hideMark/>
          </w:tcPr>
          <w:p w14:paraId="12DA9900"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lastRenderedPageBreak/>
              <w:t>Број израђених стратешких карата буке и акционих планова</w:t>
            </w:r>
          </w:p>
        </w:tc>
        <w:tc>
          <w:tcPr>
            <w:tcW w:w="1280" w:type="dxa"/>
            <w:tcBorders>
              <w:top w:val="double" w:sz="6" w:space="0" w:color="auto"/>
              <w:left w:val="double" w:sz="6" w:space="0" w:color="auto"/>
              <w:bottom w:val="double" w:sz="6" w:space="0" w:color="auto"/>
              <w:right w:val="double" w:sz="6" w:space="0" w:color="auto"/>
            </w:tcBorders>
            <w:shd w:val="clear" w:color="000000" w:fill="FFFFFF"/>
            <w:hideMark/>
          </w:tcPr>
          <w:p w14:paraId="672C4A59" w14:textId="5F8ABD1B"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број </w:t>
            </w:r>
          </w:p>
        </w:tc>
        <w:tc>
          <w:tcPr>
            <w:tcW w:w="1280" w:type="dxa"/>
            <w:tcBorders>
              <w:top w:val="double" w:sz="6" w:space="0" w:color="auto"/>
              <w:left w:val="double" w:sz="6" w:space="0" w:color="auto"/>
              <w:bottom w:val="double" w:sz="6" w:space="0" w:color="auto"/>
              <w:right w:val="double" w:sz="6" w:space="0" w:color="auto"/>
            </w:tcBorders>
            <w:shd w:val="clear" w:color="000000" w:fill="FFFFFF"/>
            <w:hideMark/>
          </w:tcPr>
          <w:p w14:paraId="292D1EC3"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МЗЖС</w:t>
            </w:r>
          </w:p>
        </w:tc>
        <w:tc>
          <w:tcPr>
            <w:tcW w:w="200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4301DDEE"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w:t>
            </w:r>
          </w:p>
        </w:tc>
        <w:tc>
          <w:tcPr>
            <w:tcW w:w="1520" w:type="dxa"/>
            <w:tcBorders>
              <w:top w:val="double" w:sz="6" w:space="0" w:color="auto"/>
              <w:left w:val="double" w:sz="6" w:space="0" w:color="auto"/>
              <w:bottom w:val="double" w:sz="6" w:space="0" w:color="auto"/>
              <w:right w:val="double" w:sz="6" w:space="0" w:color="auto"/>
            </w:tcBorders>
            <w:shd w:val="clear" w:color="000000" w:fill="FFFFFF"/>
            <w:hideMark/>
          </w:tcPr>
          <w:p w14:paraId="39ABCB0E"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287" w:type="dxa"/>
            <w:tcBorders>
              <w:top w:val="double" w:sz="6" w:space="0" w:color="auto"/>
              <w:left w:val="double" w:sz="6" w:space="0" w:color="auto"/>
              <w:bottom w:val="double" w:sz="6" w:space="0" w:color="auto"/>
              <w:right w:val="double" w:sz="6" w:space="0" w:color="auto"/>
            </w:tcBorders>
            <w:shd w:val="clear" w:color="000000" w:fill="FFFFFF"/>
            <w:hideMark/>
          </w:tcPr>
          <w:p w14:paraId="357D2E9D"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11</w:t>
            </w:r>
          </w:p>
        </w:tc>
        <w:tc>
          <w:tcPr>
            <w:tcW w:w="1170" w:type="dxa"/>
            <w:tcBorders>
              <w:top w:val="double" w:sz="6" w:space="0" w:color="auto"/>
              <w:left w:val="double" w:sz="6" w:space="0" w:color="auto"/>
              <w:bottom w:val="double" w:sz="6" w:space="0" w:color="auto"/>
              <w:right w:val="double" w:sz="6" w:space="0" w:color="auto"/>
            </w:tcBorders>
            <w:shd w:val="clear" w:color="000000" w:fill="FFFFFF"/>
            <w:hideMark/>
          </w:tcPr>
          <w:p w14:paraId="1E720006"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w:t>
            </w:r>
          </w:p>
        </w:tc>
        <w:tc>
          <w:tcPr>
            <w:tcW w:w="180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1677A87E"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14</w:t>
            </w:r>
          </w:p>
        </w:tc>
      </w:tr>
    </w:tbl>
    <w:p w14:paraId="7CFB2021" w14:textId="77777777" w:rsidR="007D7243" w:rsidRPr="00EF2F18" w:rsidRDefault="007D7243" w:rsidP="007D7243">
      <w:pPr>
        <w:spacing w:after="0"/>
        <w:rPr>
          <w:lang w:val="sr-Cyrl-RS"/>
        </w:rPr>
      </w:pPr>
    </w:p>
    <w:tbl>
      <w:tblPr>
        <w:tblW w:w="13657" w:type="dxa"/>
        <w:tblLook w:val="04A0" w:firstRow="1" w:lastRow="0" w:firstColumn="1" w:lastColumn="0" w:noHBand="0" w:noVBand="1"/>
      </w:tblPr>
      <w:tblGrid>
        <w:gridCol w:w="3800"/>
        <w:gridCol w:w="2556"/>
        <w:gridCol w:w="2171"/>
        <w:gridCol w:w="2520"/>
        <w:gridCol w:w="2610"/>
      </w:tblGrid>
      <w:tr w:rsidR="007D7243" w:rsidRPr="00EF2F18" w14:paraId="4D3AFC04" w14:textId="77777777" w:rsidTr="007620E6">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90C840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031EC1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301" w:type="dxa"/>
            <w:gridSpan w:val="3"/>
            <w:tcBorders>
              <w:top w:val="double" w:sz="6" w:space="0" w:color="auto"/>
              <w:left w:val="nil"/>
              <w:bottom w:val="double" w:sz="6" w:space="0" w:color="auto"/>
              <w:right w:val="double" w:sz="6" w:space="0" w:color="auto"/>
            </w:tcBorders>
            <w:shd w:val="clear" w:color="000000" w:fill="A8D08D"/>
            <w:hideMark/>
          </w:tcPr>
          <w:p w14:paraId="163A14C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5015EA" w:rsidRPr="00EF2F18" w14:paraId="6F5B2511" w14:textId="77777777" w:rsidTr="007620E6">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6AE30DBB"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2392C103"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171" w:type="dxa"/>
            <w:tcBorders>
              <w:top w:val="nil"/>
              <w:left w:val="nil"/>
              <w:bottom w:val="double" w:sz="6" w:space="0" w:color="auto"/>
              <w:right w:val="double" w:sz="6" w:space="0" w:color="auto"/>
            </w:tcBorders>
            <w:shd w:val="clear" w:color="000000" w:fill="A8D08D"/>
            <w:hideMark/>
          </w:tcPr>
          <w:p w14:paraId="2A26CD9F" w14:textId="4F0E9188"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520" w:type="dxa"/>
            <w:tcBorders>
              <w:top w:val="nil"/>
              <w:left w:val="nil"/>
              <w:bottom w:val="double" w:sz="6" w:space="0" w:color="auto"/>
              <w:right w:val="double" w:sz="6" w:space="0" w:color="auto"/>
            </w:tcBorders>
            <w:shd w:val="clear" w:color="000000" w:fill="A8D08D"/>
            <w:hideMark/>
          </w:tcPr>
          <w:p w14:paraId="2DAB245B" w14:textId="6A3BE9F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610" w:type="dxa"/>
            <w:tcBorders>
              <w:top w:val="nil"/>
              <w:left w:val="nil"/>
              <w:bottom w:val="double" w:sz="6" w:space="0" w:color="auto"/>
              <w:right w:val="double" w:sz="6" w:space="0" w:color="auto"/>
            </w:tcBorders>
            <w:shd w:val="clear" w:color="000000" w:fill="A8D08D"/>
            <w:hideMark/>
          </w:tcPr>
          <w:p w14:paraId="199E7780" w14:textId="6369AFAB"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5015EA" w:rsidRPr="00EF2F18" w14:paraId="5CC42D6C" w14:textId="77777777" w:rsidTr="007620E6">
        <w:trPr>
          <w:trHeight w:val="324"/>
        </w:trPr>
        <w:tc>
          <w:tcPr>
            <w:tcW w:w="3800" w:type="dxa"/>
            <w:tcBorders>
              <w:top w:val="nil"/>
              <w:left w:val="double" w:sz="6" w:space="0" w:color="auto"/>
              <w:bottom w:val="double" w:sz="6" w:space="0" w:color="auto"/>
              <w:right w:val="double" w:sz="6" w:space="0" w:color="auto"/>
            </w:tcBorders>
            <w:vAlign w:val="center"/>
            <w:hideMark/>
          </w:tcPr>
          <w:p w14:paraId="16A9E687"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средства/редовна издвајања (МЗЖС)</w:t>
            </w:r>
          </w:p>
        </w:tc>
        <w:tc>
          <w:tcPr>
            <w:tcW w:w="2556" w:type="dxa"/>
            <w:tcBorders>
              <w:top w:val="nil"/>
              <w:left w:val="nil"/>
              <w:bottom w:val="double" w:sz="6" w:space="0" w:color="auto"/>
              <w:right w:val="double" w:sz="6" w:space="0" w:color="auto"/>
            </w:tcBorders>
            <w:vAlign w:val="center"/>
            <w:hideMark/>
          </w:tcPr>
          <w:p w14:paraId="0EFD8B82"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0404-560-0002-411</w:t>
            </w:r>
          </w:p>
        </w:tc>
        <w:tc>
          <w:tcPr>
            <w:tcW w:w="2171" w:type="dxa"/>
            <w:tcBorders>
              <w:top w:val="nil"/>
              <w:left w:val="nil"/>
              <w:bottom w:val="double" w:sz="6" w:space="0" w:color="auto"/>
              <w:right w:val="double" w:sz="6" w:space="0" w:color="auto"/>
            </w:tcBorders>
            <w:vAlign w:val="center"/>
          </w:tcPr>
          <w:p w14:paraId="67073C6E" w14:textId="39005D20" w:rsidR="005015EA" w:rsidRPr="00EF2F18" w:rsidRDefault="005015EA" w:rsidP="00752CA0">
            <w:pPr>
              <w:spacing w:after="0"/>
              <w:jc w:val="right"/>
              <w:rPr>
                <w:rFonts w:eastAsia="Times New Roman" w:cs="Times New Roman"/>
                <w:color w:val="000000"/>
                <w:sz w:val="20"/>
                <w:szCs w:val="20"/>
                <w:lang w:val="sr-Cyrl-RS" w:eastAsia="sr-Cyrl-RS"/>
              </w:rPr>
            </w:pPr>
          </w:p>
        </w:tc>
        <w:tc>
          <w:tcPr>
            <w:tcW w:w="2520" w:type="dxa"/>
            <w:tcBorders>
              <w:top w:val="nil"/>
              <w:left w:val="nil"/>
              <w:bottom w:val="double" w:sz="6" w:space="0" w:color="auto"/>
              <w:right w:val="double" w:sz="6" w:space="0" w:color="auto"/>
            </w:tcBorders>
            <w:vAlign w:val="center"/>
          </w:tcPr>
          <w:p w14:paraId="1BA63AC1" w14:textId="5CA820D4" w:rsidR="005015EA" w:rsidRPr="00EF2F18" w:rsidRDefault="005015EA" w:rsidP="00752CA0">
            <w:pPr>
              <w:spacing w:after="0"/>
              <w:jc w:val="right"/>
              <w:rPr>
                <w:rFonts w:eastAsia="Times New Roman" w:cs="Times New Roman"/>
                <w:color w:val="000000"/>
                <w:sz w:val="20"/>
                <w:szCs w:val="20"/>
                <w:lang w:val="sr-Cyrl-RS" w:eastAsia="sr-Cyrl-RS"/>
              </w:rPr>
            </w:pPr>
          </w:p>
        </w:tc>
        <w:tc>
          <w:tcPr>
            <w:tcW w:w="2610" w:type="dxa"/>
            <w:tcBorders>
              <w:top w:val="nil"/>
              <w:left w:val="nil"/>
              <w:bottom w:val="double" w:sz="6" w:space="0" w:color="auto"/>
              <w:right w:val="double" w:sz="6" w:space="0" w:color="auto"/>
            </w:tcBorders>
            <w:vAlign w:val="center"/>
          </w:tcPr>
          <w:p w14:paraId="5328BC14" w14:textId="384C2805" w:rsidR="005015EA" w:rsidRPr="00EF2F18" w:rsidRDefault="005015EA" w:rsidP="00752CA0">
            <w:pPr>
              <w:spacing w:after="0"/>
              <w:jc w:val="right"/>
              <w:rPr>
                <w:rFonts w:eastAsia="Times New Roman" w:cs="Times New Roman"/>
                <w:color w:val="000000"/>
                <w:sz w:val="20"/>
                <w:szCs w:val="20"/>
                <w:lang w:val="sr-Cyrl-RS" w:eastAsia="sr-Cyrl-RS"/>
              </w:rPr>
            </w:pPr>
          </w:p>
        </w:tc>
      </w:tr>
      <w:tr w:rsidR="005015EA" w:rsidRPr="00EF2F18" w14:paraId="28378485" w14:textId="77777777" w:rsidTr="007620E6">
        <w:trPr>
          <w:trHeight w:val="336"/>
        </w:trPr>
        <w:tc>
          <w:tcPr>
            <w:tcW w:w="3800" w:type="dxa"/>
            <w:tcBorders>
              <w:top w:val="nil"/>
              <w:left w:val="double" w:sz="6" w:space="0" w:color="auto"/>
              <w:bottom w:val="double" w:sz="6" w:space="0" w:color="auto"/>
              <w:right w:val="double" w:sz="6" w:space="0" w:color="auto"/>
            </w:tcBorders>
            <w:vAlign w:val="center"/>
            <w:hideMark/>
          </w:tcPr>
          <w:p w14:paraId="6D0F601F" w14:textId="4733D042" w:rsidR="005015EA" w:rsidRPr="00EF2F18" w:rsidRDefault="00D34AF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Буџети обвезника израде стратешких карата буке и акционих планова</w:t>
            </w:r>
          </w:p>
        </w:tc>
        <w:tc>
          <w:tcPr>
            <w:tcW w:w="2556" w:type="dxa"/>
            <w:tcBorders>
              <w:top w:val="nil"/>
              <w:left w:val="nil"/>
              <w:bottom w:val="double" w:sz="6" w:space="0" w:color="auto"/>
              <w:right w:val="double" w:sz="6" w:space="0" w:color="auto"/>
            </w:tcBorders>
            <w:vAlign w:val="center"/>
            <w:hideMark/>
          </w:tcPr>
          <w:p w14:paraId="01E787F1"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2171" w:type="dxa"/>
            <w:tcBorders>
              <w:top w:val="nil"/>
              <w:left w:val="nil"/>
              <w:bottom w:val="double" w:sz="6" w:space="0" w:color="auto"/>
              <w:right w:val="double" w:sz="6" w:space="0" w:color="auto"/>
            </w:tcBorders>
            <w:vAlign w:val="center"/>
          </w:tcPr>
          <w:p w14:paraId="6001D8B3" w14:textId="09859D92" w:rsidR="005015EA" w:rsidRPr="00EF2F18" w:rsidRDefault="005015EA" w:rsidP="00752CA0">
            <w:pPr>
              <w:spacing w:after="0"/>
              <w:jc w:val="right"/>
              <w:rPr>
                <w:rFonts w:eastAsia="Times New Roman" w:cs="Times New Roman"/>
                <w:color w:val="000000"/>
                <w:sz w:val="20"/>
                <w:szCs w:val="20"/>
                <w:lang w:val="sr-Cyrl-RS" w:eastAsia="sr-Cyrl-RS"/>
              </w:rPr>
            </w:pPr>
          </w:p>
        </w:tc>
        <w:tc>
          <w:tcPr>
            <w:tcW w:w="2520" w:type="dxa"/>
            <w:tcBorders>
              <w:top w:val="nil"/>
              <w:left w:val="nil"/>
              <w:bottom w:val="double" w:sz="6" w:space="0" w:color="auto"/>
              <w:right w:val="double" w:sz="6" w:space="0" w:color="auto"/>
            </w:tcBorders>
            <w:vAlign w:val="center"/>
          </w:tcPr>
          <w:p w14:paraId="41E33C9E" w14:textId="6B391FCB" w:rsidR="005015EA" w:rsidRPr="00EF2F18" w:rsidRDefault="005015EA" w:rsidP="00752CA0">
            <w:pPr>
              <w:spacing w:after="0"/>
              <w:jc w:val="right"/>
              <w:rPr>
                <w:rFonts w:eastAsia="Times New Roman" w:cs="Times New Roman"/>
                <w:color w:val="000000"/>
                <w:sz w:val="20"/>
                <w:szCs w:val="20"/>
                <w:lang w:val="sr-Cyrl-RS" w:eastAsia="sr-Cyrl-RS"/>
              </w:rPr>
            </w:pPr>
          </w:p>
        </w:tc>
        <w:tc>
          <w:tcPr>
            <w:tcW w:w="2610" w:type="dxa"/>
            <w:tcBorders>
              <w:top w:val="nil"/>
              <w:left w:val="nil"/>
              <w:bottom w:val="double" w:sz="6" w:space="0" w:color="auto"/>
              <w:right w:val="double" w:sz="6" w:space="0" w:color="auto"/>
            </w:tcBorders>
            <w:vAlign w:val="center"/>
          </w:tcPr>
          <w:p w14:paraId="45996153" w14:textId="78F1B1A6" w:rsidR="005015EA" w:rsidRPr="00EF2F18" w:rsidRDefault="005015EA" w:rsidP="00752CA0">
            <w:pPr>
              <w:spacing w:after="0"/>
              <w:jc w:val="right"/>
              <w:rPr>
                <w:rFonts w:eastAsia="Times New Roman" w:cs="Times New Roman"/>
                <w:color w:val="000000"/>
                <w:sz w:val="20"/>
                <w:szCs w:val="20"/>
                <w:lang w:val="sr-Cyrl-RS" w:eastAsia="sr-Cyrl-RS"/>
              </w:rPr>
            </w:pPr>
          </w:p>
        </w:tc>
      </w:tr>
    </w:tbl>
    <w:p w14:paraId="74E3B436" w14:textId="77777777" w:rsidR="007D7243" w:rsidRPr="00EF2F18" w:rsidRDefault="007D7243" w:rsidP="007D7243">
      <w:pPr>
        <w:spacing w:after="0"/>
        <w:rPr>
          <w:lang w:val="sr-Cyrl-RS"/>
        </w:rPr>
      </w:pPr>
    </w:p>
    <w:tbl>
      <w:tblPr>
        <w:tblW w:w="13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1241"/>
        <w:gridCol w:w="1625"/>
        <w:gridCol w:w="1182"/>
        <w:gridCol w:w="1691"/>
        <w:gridCol w:w="1437"/>
        <w:gridCol w:w="1167"/>
        <w:gridCol w:w="1170"/>
        <w:gridCol w:w="1440"/>
        <w:gridCol w:w="35"/>
      </w:tblGrid>
      <w:tr w:rsidR="007D7243" w:rsidRPr="00EF2F18" w14:paraId="4376B303" w14:textId="77777777" w:rsidTr="005015EA">
        <w:trPr>
          <w:trHeight w:val="732"/>
        </w:trPr>
        <w:tc>
          <w:tcPr>
            <w:tcW w:w="2632" w:type="dxa"/>
            <w:vMerge w:val="restart"/>
            <w:shd w:val="clear" w:color="000000" w:fill="FFF2CC"/>
            <w:hideMark/>
          </w:tcPr>
          <w:p w14:paraId="5E8569E9"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41" w:type="dxa"/>
            <w:vMerge w:val="restart"/>
            <w:shd w:val="clear" w:color="000000" w:fill="FFF2CC"/>
            <w:hideMark/>
          </w:tcPr>
          <w:p w14:paraId="3F3CF7D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625" w:type="dxa"/>
            <w:vMerge w:val="restart"/>
            <w:shd w:val="clear" w:color="000000" w:fill="FFF2CC"/>
            <w:hideMark/>
          </w:tcPr>
          <w:p w14:paraId="20FDF2E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495BD63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691" w:type="dxa"/>
            <w:vMerge w:val="restart"/>
            <w:shd w:val="clear" w:color="000000" w:fill="FFF2CC"/>
            <w:hideMark/>
          </w:tcPr>
          <w:p w14:paraId="6336D1F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37" w:type="dxa"/>
            <w:vMerge w:val="restart"/>
            <w:shd w:val="clear" w:color="000000" w:fill="FFF2CC"/>
            <w:hideMark/>
          </w:tcPr>
          <w:p w14:paraId="492157C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3812" w:type="dxa"/>
            <w:gridSpan w:val="4"/>
            <w:shd w:val="clear" w:color="000000" w:fill="FFF2CC"/>
            <w:hideMark/>
          </w:tcPr>
          <w:p w14:paraId="1F315AD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r w:rsidRPr="00EF2F18">
              <w:rPr>
                <w:rFonts w:eastAsia="Times New Roman" w:cs="Times New Roman"/>
                <w:color w:val="000000"/>
                <w:sz w:val="20"/>
                <w:szCs w:val="20"/>
                <w:vertAlign w:val="superscript"/>
                <w:lang w:val="sr-Cyrl-RS" w:eastAsia="sr-Cyrl-RS"/>
              </w:rPr>
              <w:t xml:space="preserve"> </w:t>
            </w:r>
          </w:p>
        </w:tc>
      </w:tr>
      <w:tr w:rsidR="005015EA" w:rsidRPr="00EF2F18" w14:paraId="54C298CB" w14:textId="77777777" w:rsidTr="005015EA">
        <w:trPr>
          <w:gridAfter w:val="1"/>
          <w:wAfter w:w="35" w:type="dxa"/>
          <w:trHeight w:val="441"/>
        </w:trPr>
        <w:tc>
          <w:tcPr>
            <w:tcW w:w="2632" w:type="dxa"/>
            <w:vMerge/>
            <w:vAlign w:val="center"/>
            <w:hideMark/>
          </w:tcPr>
          <w:p w14:paraId="3BBE49D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41" w:type="dxa"/>
            <w:vMerge/>
            <w:vAlign w:val="center"/>
            <w:hideMark/>
          </w:tcPr>
          <w:p w14:paraId="0E229498"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625" w:type="dxa"/>
            <w:vMerge/>
            <w:vAlign w:val="center"/>
            <w:hideMark/>
          </w:tcPr>
          <w:p w14:paraId="5FAB518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82" w:type="dxa"/>
            <w:vMerge/>
            <w:vAlign w:val="center"/>
            <w:hideMark/>
          </w:tcPr>
          <w:p w14:paraId="4A6283E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691" w:type="dxa"/>
            <w:vMerge/>
            <w:vAlign w:val="center"/>
            <w:hideMark/>
          </w:tcPr>
          <w:p w14:paraId="406A033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37" w:type="dxa"/>
            <w:vMerge/>
            <w:vAlign w:val="center"/>
            <w:hideMark/>
          </w:tcPr>
          <w:p w14:paraId="3E0927F9"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67" w:type="dxa"/>
            <w:shd w:val="clear" w:color="000000" w:fill="FFF2CC"/>
            <w:hideMark/>
          </w:tcPr>
          <w:p w14:paraId="7C2F514F" w14:textId="25899CBF"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170" w:type="dxa"/>
            <w:shd w:val="clear" w:color="000000" w:fill="FFF2CC"/>
            <w:hideMark/>
          </w:tcPr>
          <w:p w14:paraId="3E4F2E66" w14:textId="11888AF8"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440" w:type="dxa"/>
            <w:shd w:val="clear" w:color="000000" w:fill="FFF2CC"/>
            <w:hideMark/>
          </w:tcPr>
          <w:p w14:paraId="7EB3DA17" w14:textId="6A527F26"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5015EA" w:rsidRPr="00EF2F18" w14:paraId="477CDC38" w14:textId="77777777" w:rsidTr="005015EA">
        <w:trPr>
          <w:gridAfter w:val="1"/>
          <w:wAfter w:w="35" w:type="dxa"/>
          <w:trHeight w:val="528"/>
        </w:trPr>
        <w:tc>
          <w:tcPr>
            <w:tcW w:w="2632" w:type="dxa"/>
            <w:vMerge w:val="restart"/>
            <w:hideMark/>
          </w:tcPr>
          <w:p w14:paraId="486C8813"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3.5.1.1. Израда и усвајање стратешких карата буке и акционих планова</w:t>
            </w:r>
          </w:p>
        </w:tc>
        <w:tc>
          <w:tcPr>
            <w:tcW w:w="1241" w:type="dxa"/>
            <w:vMerge w:val="restart"/>
            <w:hideMark/>
          </w:tcPr>
          <w:p w14:paraId="06AD2310"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p>
        </w:tc>
        <w:tc>
          <w:tcPr>
            <w:tcW w:w="1625" w:type="dxa"/>
            <w:vMerge w:val="restart"/>
            <w:hideMark/>
          </w:tcPr>
          <w:p w14:paraId="3B26CE57" w14:textId="365FF3AA" w:rsidR="005015EA" w:rsidRPr="001A203F" w:rsidRDefault="005015EA" w:rsidP="001A203F">
            <w:pPr>
              <w:spacing w:after="0"/>
              <w:rPr>
                <w:rFonts w:eastAsia="Times New Roman" w:cs="Times New Roman"/>
                <w:color w:val="000000"/>
                <w:sz w:val="19"/>
                <w:szCs w:val="19"/>
                <w:lang w:val="sr-Cyrl-RS" w:eastAsia="sr-Cyrl-RS"/>
              </w:rPr>
            </w:pPr>
            <w:r w:rsidRPr="001A203F">
              <w:rPr>
                <w:rFonts w:eastAsia="Times New Roman" w:cs="Times New Roman"/>
                <w:sz w:val="19"/>
                <w:szCs w:val="19"/>
                <w:lang w:val="sr-Cyrl-RS" w:eastAsia="sr-Cyrl-RS"/>
              </w:rPr>
              <w:t>АЗЖС, ЈЛС, „Путеви Србије</w:t>
            </w:r>
            <w:r w:rsidR="001A203F" w:rsidRPr="001A203F">
              <w:rPr>
                <w:rFonts w:eastAsia="Times New Roman" w:cs="Times New Roman"/>
                <w:sz w:val="19"/>
                <w:szCs w:val="19"/>
                <w:lang w:val="sr-Cyrl-RS" w:eastAsia="sr-Cyrl-RS"/>
              </w:rPr>
              <w:t>” д.о.о</w:t>
            </w:r>
            <w:r w:rsidR="00C250D2" w:rsidRPr="001A203F">
              <w:rPr>
                <w:rFonts w:eastAsia="Times New Roman" w:cs="Times New Roman"/>
                <w:sz w:val="19"/>
                <w:szCs w:val="19"/>
                <w:lang w:val="sr-Cyrl-RS" w:eastAsia="sr-Cyrl-RS"/>
              </w:rPr>
              <w:t>,</w:t>
            </w:r>
            <w:r w:rsidRPr="001A203F">
              <w:rPr>
                <w:rFonts w:eastAsia="Times New Roman" w:cs="Times New Roman"/>
                <w:sz w:val="19"/>
                <w:szCs w:val="19"/>
                <w:lang w:val="sr-Cyrl-RS" w:eastAsia="sr-Cyrl-RS"/>
              </w:rPr>
              <w:t xml:space="preserve"> „Инфрастуктур</w:t>
            </w:r>
            <w:r w:rsidR="001A203F" w:rsidRPr="001A203F">
              <w:rPr>
                <w:rFonts w:eastAsia="Times New Roman" w:cs="Times New Roman"/>
                <w:sz w:val="19"/>
                <w:szCs w:val="19"/>
                <w:lang w:val="sr-Cyrl-RS" w:eastAsia="sr-Cyrl-RS"/>
              </w:rPr>
              <w:t>а</w:t>
            </w:r>
            <w:r w:rsidRPr="001A203F">
              <w:rPr>
                <w:rFonts w:eastAsia="Times New Roman" w:cs="Times New Roman"/>
                <w:sz w:val="19"/>
                <w:szCs w:val="19"/>
                <w:lang w:val="sr-Cyrl-RS" w:eastAsia="sr-Cyrl-RS"/>
              </w:rPr>
              <w:t xml:space="preserve"> железнице Србије”</w:t>
            </w:r>
            <w:r w:rsidR="005C21EC" w:rsidRPr="001A203F">
              <w:rPr>
                <w:rFonts w:eastAsia="Times New Roman" w:cs="Times New Roman"/>
                <w:sz w:val="19"/>
                <w:szCs w:val="19"/>
                <w:lang w:val="sr-Cyrl-RS" w:eastAsia="sr-Cyrl-RS"/>
              </w:rPr>
              <w:t xml:space="preserve"> а.д</w:t>
            </w:r>
            <w:r w:rsidR="002C616C">
              <w:rPr>
                <w:rFonts w:eastAsia="Times New Roman" w:cs="Times New Roman"/>
                <w:sz w:val="19"/>
                <w:szCs w:val="19"/>
                <w:lang w:val="sr-Cyrl-RS" w:eastAsia="sr-Cyrl-RS"/>
              </w:rPr>
              <w:t>.</w:t>
            </w:r>
            <w:r w:rsidR="005C21EC" w:rsidRPr="001A203F">
              <w:rPr>
                <w:rFonts w:eastAsia="Times New Roman" w:cs="Times New Roman"/>
                <w:sz w:val="19"/>
                <w:szCs w:val="19"/>
                <w:lang w:val="sr-Cyrl-RS" w:eastAsia="sr-Cyrl-RS"/>
              </w:rPr>
              <w:t xml:space="preserve"> Београд,</w:t>
            </w:r>
            <w:r w:rsidRPr="001A203F">
              <w:rPr>
                <w:rFonts w:eastAsia="Times New Roman" w:cs="Times New Roman"/>
                <w:sz w:val="19"/>
                <w:szCs w:val="19"/>
                <w:lang w:val="sr-Cyrl-RS" w:eastAsia="sr-Cyrl-RS"/>
              </w:rPr>
              <w:t xml:space="preserve"> АД Аеродром Никола Тесла Београд </w:t>
            </w:r>
          </w:p>
        </w:tc>
        <w:tc>
          <w:tcPr>
            <w:tcW w:w="1182" w:type="dxa"/>
            <w:vMerge w:val="restart"/>
            <w:hideMark/>
          </w:tcPr>
          <w:p w14:paraId="5AC6BBEA" w14:textId="77777777" w:rsidR="005015EA" w:rsidRPr="001A203F" w:rsidRDefault="005015EA" w:rsidP="00752CA0">
            <w:pPr>
              <w:spacing w:after="0"/>
              <w:rPr>
                <w:rFonts w:eastAsia="Times New Roman" w:cs="Times New Roman"/>
                <w:color w:val="000000"/>
                <w:sz w:val="19"/>
                <w:szCs w:val="19"/>
                <w:lang w:val="sr-Cyrl-RS" w:eastAsia="sr-Cyrl-RS"/>
              </w:rPr>
            </w:pPr>
            <w:r w:rsidRPr="001A203F">
              <w:rPr>
                <w:rFonts w:eastAsia="Times New Roman" w:cs="Times New Roman"/>
                <w:color w:val="000000"/>
                <w:sz w:val="19"/>
                <w:szCs w:val="19"/>
                <w:lang w:val="sr-Cyrl-RS" w:eastAsia="sr-Cyrl-RS"/>
              </w:rPr>
              <w:t>4. квартал 2028.</w:t>
            </w:r>
          </w:p>
        </w:tc>
        <w:tc>
          <w:tcPr>
            <w:tcW w:w="1691" w:type="dxa"/>
            <w:tcBorders>
              <w:bottom w:val="nil"/>
            </w:tcBorders>
            <w:hideMark/>
          </w:tcPr>
          <w:p w14:paraId="1523F7D2" w14:textId="77777777" w:rsidR="005015EA" w:rsidRPr="001A203F" w:rsidRDefault="005015EA" w:rsidP="00752CA0">
            <w:pPr>
              <w:spacing w:after="0"/>
              <w:rPr>
                <w:rFonts w:eastAsia="Times New Roman" w:cs="Times New Roman"/>
                <w:color w:val="000000"/>
                <w:sz w:val="19"/>
                <w:szCs w:val="19"/>
                <w:lang w:val="sr-Cyrl-RS" w:eastAsia="sr-Cyrl-RS"/>
              </w:rPr>
            </w:pPr>
            <w:r w:rsidRPr="001A203F">
              <w:rPr>
                <w:rFonts w:eastAsia="Times New Roman" w:cs="Times New Roman"/>
                <w:color w:val="000000"/>
                <w:sz w:val="19"/>
                <w:szCs w:val="19"/>
                <w:lang w:val="sr-Cyrl-RS" w:eastAsia="sr-Cyrl-RS"/>
              </w:rPr>
              <w:t>Буџетска средства/редовна издвајања</w:t>
            </w:r>
          </w:p>
        </w:tc>
        <w:tc>
          <w:tcPr>
            <w:tcW w:w="1437" w:type="dxa"/>
            <w:vMerge w:val="restart"/>
            <w:hideMark/>
          </w:tcPr>
          <w:p w14:paraId="1FE6F7C7"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0404-560-0002-411</w:t>
            </w:r>
          </w:p>
        </w:tc>
        <w:tc>
          <w:tcPr>
            <w:tcW w:w="1167" w:type="dxa"/>
            <w:vMerge w:val="restart"/>
          </w:tcPr>
          <w:p w14:paraId="232A55F2" w14:textId="0A500300" w:rsidR="005015EA" w:rsidRPr="00EF2F18" w:rsidRDefault="005015EA" w:rsidP="00752CA0">
            <w:pPr>
              <w:spacing w:after="0"/>
              <w:jc w:val="right"/>
              <w:rPr>
                <w:rFonts w:eastAsia="Times New Roman" w:cs="Times New Roman"/>
                <w:color w:val="000000"/>
                <w:sz w:val="20"/>
                <w:szCs w:val="20"/>
                <w:lang w:val="sr-Cyrl-RS" w:eastAsia="sr-Cyrl-RS"/>
              </w:rPr>
            </w:pPr>
          </w:p>
        </w:tc>
        <w:tc>
          <w:tcPr>
            <w:tcW w:w="1170" w:type="dxa"/>
            <w:vMerge w:val="restart"/>
          </w:tcPr>
          <w:p w14:paraId="2A2FFB75" w14:textId="4C94FA38" w:rsidR="005015EA" w:rsidRPr="00EF2F18" w:rsidRDefault="005015EA" w:rsidP="00752CA0">
            <w:pPr>
              <w:spacing w:after="0"/>
              <w:jc w:val="right"/>
              <w:rPr>
                <w:rFonts w:eastAsia="Times New Roman" w:cs="Times New Roman"/>
                <w:color w:val="000000"/>
                <w:sz w:val="20"/>
                <w:szCs w:val="20"/>
                <w:lang w:val="sr-Cyrl-RS" w:eastAsia="sr-Cyrl-RS"/>
              </w:rPr>
            </w:pPr>
          </w:p>
        </w:tc>
        <w:tc>
          <w:tcPr>
            <w:tcW w:w="1440" w:type="dxa"/>
            <w:vMerge w:val="restart"/>
          </w:tcPr>
          <w:p w14:paraId="0DCE897B" w14:textId="1F81AB4A" w:rsidR="005015EA" w:rsidRPr="00EF2F18" w:rsidRDefault="005015EA" w:rsidP="00752CA0">
            <w:pPr>
              <w:spacing w:after="0"/>
              <w:jc w:val="right"/>
              <w:rPr>
                <w:rFonts w:eastAsia="Times New Roman" w:cs="Times New Roman"/>
                <w:color w:val="000000"/>
                <w:sz w:val="20"/>
                <w:szCs w:val="20"/>
                <w:lang w:val="sr-Cyrl-RS" w:eastAsia="sr-Cyrl-RS"/>
              </w:rPr>
            </w:pPr>
          </w:p>
        </w:tc>
      </w:tr>
      <w:tr w:rsidR="005015EA" w:rsidRPr="00EF2F18" w14:paraId="0EBF83E5" w14:textId="77777777" w:rsidTr="005015EA">
        <w:trPr>
          <w:gridAfter w:val="1"/>
          <w:wAfter w:w="35" w:type="dxa"/>
          <w:trHeight w:val="324"/>
        </w:trPr>
        <w:tc>
          <w:tcPr>
            <w:tcW w:w="2632" w:type="dxa"/>
            <w:vMerge/>
            <w:vAlign w:val="center"/>
            <w:hideMark/>
          </w:tcPr>
          <w:p w14:paraId="1C193473"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41" w:type="dxa"/>
            <w:vMerge/>
            <w:vAlign w:val="center"/>
            <w:hideMark/>
          </w:tcPr>
          <w:p w14:paraId="0DFDED08"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625" w:type="dxa"/>
            <w:vMerge/>
            <w:vAlign w:val="center"/>
            <w:hideMark/>
          </w:tcPr>
          <w:p w14:paraId="617B09CC" w14:textId="77777777" w:rsidR="005015EA" w:rsidRPr="001A203F" w:rsidRDefault="005015EA" w:rsidP="00752CA0">
            <w:pPr>
              <w:spacing w:after="0"/>
              <w:rPr>
                <w:rFonts w:eastAsia="Times New Roman" w:cs="Times New Roman"/>
                <w:color w:val="000000"/>
                <w:sz w:val="19"/>
                <w:szCs w:val="19"/>
                <w:lang w:val="sr-Cyrl-RS" w:eastAsia="sr-Cyrl-RS"/>
              </w:rPr>
            </w:pPr>
          </w:p>
        </w:tc>
        <w:tc>
          <w:tcPr>
            <w:tcW w:w="1182" w:type="dxa"/>
            <w:vMerge/>
            <w:vAlign w:val="center"/>
            <w:hideMark/>
          </w:tcPr>
          <w:p w14:paraId="4833B24C" w14:textId="77777777" w:rsidR="005015EA" w:rsidRPr="001A203F" w:rsidRDefault="005015EA" w:rsidP="00752CA0">
            <w:pPr>
              <w:spacing w:after="0"/>
              <w:rPr>
                <w:rFonts w:eastAsia="Times New Roman" w:cs="Times New Roman"/>
                <w:color w:val="000000"/>
                <w:sz w:val="19"/>
                <w:szCs w:val="19"/>
                <w:lang w:val="sr-Cyrl-RS" w:eastAsia="sr-Cyrl-RS"/>
              </w:rPr>
            </w:pPr>
          </w:p>
        </w:tc>
        <w:tc>
          <w:tcPr>
            <w:tcW w:w="1691" w:type="dxa"/>
            <w:tcBorders>
              <w:top w:val="nil"/>
            </w:tcBorders>
            <w:hideMark/>
          </w:tcPr>
          <w:p w14:paraId="024BE9A0" w14:textId="77777777" w:rsidR="005015EA" w:rsidRPr="001A203F" w:rsidRDefault="005015EA" w:rsidP="00752CA0">
            <w:pPr>
              <w:spacing w:after="0"/>
              <w:rPr>
                <w:rFonts w:eastAsia="Times New Roman" w:cs="Times New Roman"/>
                <w:sz w:val="19"/>
                <w:szCs w:val="19"/>
                <w:lang w:val="sr-Cyrl-RS" w:eastAsia="sr-Cyrl-RS"/>
              </w:rPr>
            </w:pPr>
          </w:p>
          <w:p w14:paraId="354E54B3" w14:textId="77777777" w:rsidR="005015EA" w:rsidRPr="001A203F" w:rsidRDefault="005015EA" w:rsidP="00752CA0">
            <w:pPr>
              <w:spacing w:after="0"/>
              <w:rPr>
                <w:rFonts w:eastAsia="Times New Roman" w:cs="Times New Roman"/>
                <w:color w:val="000000"/>
                <w:sz w:val="19"/>
                <w:szCs w:val="19"/>
                <w:lang w:val="sr-Cyrl-RS" w:eastAsia="sr-Cyrl-RS"/>
              </w:rPr>
            </w:pPr>
            <w:r w:rsidRPr="001A203F">
              <w:rPr>
                <w:rFonts w:eastAsia="Times New Roman" w:cs="Times New Roman"/>
                <w:sz w:val="19"/>
                <w:szCs w:val="19"/>
                <w:lang w:val="sr-Cyrl-RS" w:eastAsia="sr-Cyrl-RS"/>
              </w:rPr>
              <w:t xml:space="preserve">Буџети обвезника израде стратешких карата буке и акционих планова </w:t>
            </w:r>
          </w:p>
        </w:tc>
        <w:tc>
          <w:tcPr>
            <w:tcW w:w="1437" w:type="dxa"/>
            <w:vMerge/>
            <w:vAlign w:val="center"/>
            <w:hideMark/>
          </w:tcPr>
          <w:p w14:paraId="19142C0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67" w:type="dxa"/>
            <w:vMerge/>
            <w:vAlign w:val="center"/>
          </w:tcPr>
          <w:p w14:paraId="3DF66695"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70" w:type="dxa"/>
            <w:vMerge/>
            <w:vAlign w:val="center"/>
          </w:tcPr>
          <w:p w14:paraId="30CA3F31"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40" w:type="dxa"/>
            <w:vMerge/>
            <w:vAlign w:val="center"/>
          </w:tcPr>
          <w:p w14:paraId="59E70534" w14:textId="77777777" w:rsidR="005015EA" w:rsidRPr="00EF2F18" w:rsidRDefault="005015EA" w:rsidP="00752CA0">
            <w:pPr>
              <w:spacing w:after="0"/>
              <w:rPr>
                <w:rFonts w:eastAsia="Times New Roman" w:cs="Times New Roman"/>
                <w:color w:val="000000"/>
                <w:sz w:val="20"/>
                <w:szCs w:val="20"/>
                <w:lang w:val="sr-Cyrl-RS" w:eastAsia="sr-Cyrl-RS"/>
              </w:rPr>
            </w:pPr>
          </w:p>
        </w:tc>
      </w:tr>
    </w:tbl>
    <w:p w14:paraId="6433A029"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2366"/>
        <w:gridCol w:w="1653"/>
        <w:gridCol w:w="2369"/>
        <w:gridCol w:w="801"/>
        <w:gridCol w:w="684"/>
        <w:gridCol w:w="1147"/>
        <w:gridCol w:w="1397"/>
        <w:gridCol w:w="1530"/>
        <w:gridCol w:w="1693"/>
        <w:gridCol w:w="17"/>
      </w:tblGrid>
      <w:tr w:rsidR="007D7243" w:rsidRPr="00EF2F18" w14:paraId="705CD693" w14:textId="77777777" w:rsidTr="005015EA">
        <w:trPr>
          <w:gridAfter w:val="1"/>
          <w:wAfter w:w="17" w:type="dxa"/>
          <w:trHeight w:val="528"/>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2B943909"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Мера 3.5.2: Усклађивање регулативе из области заштите од нејонизујућих зрачења у складу са препорукама Савета Европе и Међународне комисије за заштиту од нејонизујућег зрачења</w:t>
            </w:r>
          </w:p>
        </w:tc>
      </w:tr>
      <w:tr w:rsidR="007D7243" w:rsidRPr="00EF2F18" w14:paraId="12AAAC72" w14:textId="77777777" w:rsidTr="005015EA">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34A0AA1B"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Министарство заштите животне средине </w:t>
            </w:r>
          </w:p>
        </w:tc>
      </w:tr>
      <w:tr w:rsidR="007D7243" w:rsidRPr="00EF2F18" w14:paraId="4F623ED2" w14:textId="77777777" w:rsidTr="005015EA">
        <w:trPr>
          <w:gridAfter w:val="1"/>
          <w:wAfter w:w="17" w:type="dxa"/>
          <w:trHeight w:val="336"/>
        </w:trPr>
        <w:tc>
          <w:tcPr>
            <w:tcW w:w="7189"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38A654B3" w14:textId="21B71519"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5015EA"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451"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600C3536"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регулаторна</w:t>
            </w:r>
          </w:p>
        </w:tc>
      </w:tr>
      <w:tr w:rsidR="007D7243" w:rsidRPr="00EF2F18" w14:paraId="4D225157" w14:textId="77777777" w:rsidTr="005015EA">
        <w:trPr>
          <w:gridAfter w:val="1"/>
          <w:wAfter w:w="17" w:type="dxa"/>
          <w:trHeight w:val="336"/>
        </w:trPr>
        <w:tc>
          <w:tcPr>
            <w:tcW w:w="7189"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710CED7"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451"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2ADBCBB3" w14:textId="5447E1ED"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w:t>
            </w:r>
            <w:r w:rsidR="00FA7222" w:rsidRPr="00EF2F18">
              <w:rPr>
                <w:rFonts w:eastAsia="Times New Roman" w:cs="Times New Roman"/>
                <w:color w:val="000000"/>
                <w:sz w:val="14"/>
                <w:szCs w:val="14"/>
                <w:lang w:val="sr-Cyrl-RS" w:eastAsia="sr-Cyrl-RS"/>
              </w:rPr>
              <w:t xml:space="preserve">  </w:t>
            </w:r>
            <w:r w:rsidRPr="00EF2F18">
              <w:rPr>
                <w:rFonts w:eastAsia="Times New Roman" w:cs="Times New Roman"/>
                <w:color w:val="000000"/>
                <w:sz w:val="20"/>
                <w:szCs w:val="20"/>
                <w:lang w:val="sr-Cyrl-RS" w:eastAsia="sr-Cyrl-RS"/>
              </w:rPr>
              <w:t>Правилник о границама излагања изворима нејонизујућих зрачења</w:t>
            </w:r>
          </w:p>
        </w:tc>
      </w:tr>
      <w:tr w:rsidR="005015EA" w:rsidRPr="00EF2F18" w14:paraId="4E6E5386" w14:textId="77777777" w:rsidTr="005015EA">
        <w:trPr>
          <w:trHeight w:val="816"/>
        </w:trPr>
        <w:tc>
          <w:tcPr>
            <w:tcW w:w="2366" w:type="dxa"/>
            <w:tcBorders>
              <w:top w:val="double" w:sz="6" w:space="0" w:color="auto"/>
              <w:left w:val="double" w:sz="6" w:space="0" w:color="auto"/>
              <w:bottom w:val="double" w:sz="6" w:space="0" w:color="auto"/>
              <w:right w:val="double" w:sz="6" w:space="0" w:color="auto"/>
            </w:tcBorders>
            <w:shd w:val="clear" w:color="000000" w:fill="D9D9D9"/>
            <w:hideMark/>
          </w:tcPr>
          <w:p w14:paraId="3897631A"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lastRenderedPageBreak/>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653" w:type="dxa"/>
            <w:tcBorders>
              <w:top w:val="double" w:sz="6" w:space="0" w:color="auto"/>
              <w:left w:val="double" w:sz="6" w:space="0" w:color="auto"/>
              <w:bottom w:val="double" w:sz="6" w:space="0" w:color="auto"/>
              <w:right w:val="double" w:sz="6" w:space="0" w:color="auto"/>
            </w:tcBorders>
            <w:shd w:val="clear" w:color="000000" w:fill="D9D9D9"/>
            <w:hideMark/>
          </w:tcPr>
          <w:p w14:paraId="22C1B6E3"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2369" w:type="dxa"/>
            <w:tcBorders>
              <w:top w:val="double" w:sz="6" w:space="0" w:color="auto"/>
              <w:left w:val="double" w:sz="6" w:space="0" w:color="auto"/>
              <w:bottom w:val="double" w:sz="6" w:space="0" w:color="auto"/>
              <w:right w:val="double" w:sz="6" w:space="0" w:color="auto"/>
            </w:tcBorders>
            <w:shd w:val="clear" w:color="000000" w:fill="D9D9D9"/>
            <w:hideMark/>
          </w:tcPr>
          <w:p w14:paraId="7C91DF27"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485"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032AE052"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Почетна вредност</w:t>
            </w:r>
          </w:p>
        </w:tc>
        <w:tc>
          <w:tcPr>
            <w:tcW w:w="1147" w:type="dxa"/>
            <w:tcBorders>
              <w:top w:val="double" w:sz="6" w:space="0" w:color="auto"/>
              <w:left w:val="double" w:sz="6" w:space="0" w:color="auto"/>
              <w:bottom w:val="double" w:sz="6" w:space="0" w:color="auto"/>
              <w:right w:val="double" w:sz="6" w:space="0" w:color="auto"/>
            </w:tcBorders>
            <w:shd w:val="clear" w:color="000000" w:fill="D9D9D9"/>
            <w:hideMark/>
          </w:tcPr>
          <w:p w14:paraId="1EEC54BA"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397" w:type="dxa"/>
            <w:tcBorders>
              <w:top w:val="double" w:sz="6" w:space="0" w:color="auto"/>
              <w:left w:val="double" w:sz="6" w:space="0" w:color="auto"/>
              <w:bottom w:val="double" w:sz="6" w:space="0" w:color="auto"/>
              <w:right w:val="double" w:sz="6" w:space="0" w:color="auto"/>
            </w:tcBorders>
            <w:shd w:val="clear" w:color="000000" w:fill="D9D9D9"/>
            <w:hideMark/>
          </w:tcPr>
          <w:p w14:paraId="6CA5EABB"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530" w:type="dxa"/>
            <w:tcBorders>
              <w:top w:val="double" w:sz="6" w:space="0" w:color="auto"/>
              <w:left w:val="double" w:sz="6" w:space="0" w:color="auto"/>
              <w:bottom w:val="double" w:sz="6" w:space="0" w:color="auto"/>
              <w:right w:val="double" w:sz="6" w:space="0" w:color="auto"/>
            </w:tcBorders>
            <w:shd w:val="clear" w:color="000000" w:fill="D9D9D9"/>
            <w:hideMark/>
          </w:tcPr>
          <w:p w14:paraId="342AEF43"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710"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6E29A365" w14:textId="77777777"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5015EA" w:rsidRPr="00EF2F18" w14:paraId="33FCEE0A" w14:textId="77777777" w:rsidTr="005015EA">
        <w:trPr>
          <w:trHeight w:val="1498"/>
        </w:trPr>
        <w:tc>
          <w:tcPr>
            <w:tcW w:w="2366" w:type="dxa"/>
            <w:tcBorders>
              <w:top w:val="double" w:sz="6" w:space="0" w:color="auto"/>
              <w:left w:val="double" w:sz="6" w:space="0" w:color="auto"/>
              <w:bottom w:val="double" w:sz="6" w:space="0" w:color="auto"/>
              <w:right w:val="double" w:sz="6" w:space="0" w:color="auto"/>
            </w:tcBorders>
            <w:shd w:val="clear" w:color="000000" w:fill="FFFFFF"/>
            <w:hideMark/>
          </w:tcPr>
          <w:p w14:paraId="79872301" w14:textId="77777777" w:rsidR="005015EA" w:rsidRPr="00EF2F18" w:rsidRDefault="005015EA" w:rsidP="001B614A">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Усвојени сви потребни прописи за усклађење са</w:t>
            </w:r>
            <w:r w:rsidRPr="00EF2F18">
              <w:rPr>
                <w:rFonts w:eastAsia="Times New Roman" w:cs="Times New Roman"/>
                <w:b/>
                <w:bCs/>
                <w:color w:val="000000"/>
                <w:sz w:val="20"/>
                <w:szCs w:val="20"/>
                <w:lang w:val="sr-Cyrl-RS" w:eastAsia="sr-Cyrl-RS"/>
              </w:rPr>
              <w:t xml:space="preserve"> </w:t>
            </w:r>
            <w:r w:rsidRPr="00EF2F18">
              <w:rPr>
                <w:rFonts w:eastAsia="Times New Roman" w:cs="Times New Roman"/>
                <w:color w:val="000000"/>
                <w:sz w:val="20"/>
                <w:szCs w:val="20"/>
                <w:lang w:val="sr-Cyrl-RS" w:eastAsia="sr-Cyrl-RS"/>
              </w:rPr>
              <w:t>препорукама Савета Европе и Међународне комисије за заштиту од нејонизујућег зрачења</w:t>
            </w:r>
          </w:p>
        </w:tc>
        <w:tc>
          <w:tcPr>
            <w:tcW w:w="1653" w:type="dxa"/>
            <w:tcBorders>
              <w:top w:val="double" w:sz="6" w:space="0" w:color="auto"/>
              <w:left w:val="double" w:sz="6" w:space="0" w:color="auto"/>
              <w:bottom w:val="double" w:sz="6" w:space="0" w:color="auto"/>
              <w:right w:val="double" w:sz="6" w:space="0" w:color="auto"/>
            </w:tcBorders>
            <w:shd w:val="clear" w:color="000000" w:fill="FFFFFF"/>
            <w:hideMark/>
          </w:tcPr>
          <w:p w14:paraId="5056C9B5" w14:textId="77777777"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не/делимично/да</w:t>
            </w:r>
          </w:p>
        </w:tc>
        <w:tc>
          <w:tcPr>
            <w:tcW w:w="2369" w:type="dxa"/>
            <w:tcBorders>
              <w:top w:val="double" w:sz="6" w:space="0" w:color="auto"/>
              <w:left w:val="double" w:sz="6" w:space="0" w:color="auto"/>
              <w:bottom w:val="double" w:sz="6" w:space="0" w:color="auto"/>
              <w:right w:val="double" w:sz="6" w:space="0" w:color="auto"/>
            </w:tcBorders>
            <w:shd w:val="clear" w:color="000000" w:fill="FFFFFF"/>
            <w:hideMark/>
          </w:tcPr>
          <w:p w14:paraId="2C8517C5" w14:textId="3818E79C"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Извештај о спровођењу</w:t>
            </w:r>
            <w:r w:rsidR="002C616C">
              <w:rPr>
                <w:rFonts w:eastAsia="Times New Roman" w:cs="Times New Roman"/>
                <w:color w:val="000000"/>
                <w:sz w:val="20"/>
                <w:szCs w:val="20"/>
                <w:lang w:val="sr-Cyrl-RS" w:eastAsia="sr-Cyrl-RS"/>
              </w:rPr>
              <w:t xml:space="preserve"> </w:t>
            </w:r>
            <w:r w:rsidRPr="00EF2F18">
              <w:rPr>
                <w:rFonts w:eastAsia="Times New Roman" w:cs="Times New Roman"/>
                <w:color w:val="000000"/>
                <w:sz w:val="20"/>
                <w:szCs w:val="20"/>
                <w:lang w:val="sr-Cyrl-RS" w:eastAsia="sr-Cyrl-RS"/>
              </w:rPr>
              <w:t>Националног програма за усвајање правн</w:t>
            </w:r>
            <w:r w:rsidR="002C616C">
              <w:rPr>
                <w:rFonts w:eastAsia="Times New Roman" w:cs="Times New Roman"/>
                <w:color w:val="000000"/>
                <w:sz w:val="20"/>
                <w:szCs w:val="20"/>
                <w:lang w:val="sr-Cyrl-RS" w:eastAsia="sr-Cyrl-RS"/>
              </w:rPr>
              <w:t>их тековина ЕУ (НПАА) 2022-2025</w:t>
            </w:r>
            <w:r w:rsidRPr="00EF2F18">
              <w:rPr>
                <w:rFonts w:eastAsia="Times New Roman" w:cs="Times New Roman"/>
                <w:color w:val="000000"/>
                <w:sz w:val="20"/>
                <w:szCs w:val="20"/>
                <w:lang w:val="sr-Cyrl-RS" w:eastAsia="sr-Cyrl-RS"/>
              </w:rPr>
              <w:t>, МЗЖС</w:t>
            </w:r>
          </w:p>
        </w:tc>
        <w:tc>
          <w:tcPr>
            <w:tcW w:w="1485"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08EDB371" w14:textId="77777777"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147" w:type="dxa"/>
            <w:tcBorders>
              <w:top w:val="double" w:sz="6" w:space="0" w:color="auto"/>
              <w:left w:val="double" w:sz="6" w:space="0" w:color="auto"/>
              <w:bottom w:val="double" w:sz="6" w:space="0" w:color="auto"/>
              <w:right w:val="double" w:sz="6" w:space="0" w:color="auto"/>
            </w:tcBorders>
            <w:shd w:val="clear" w:color="000000" w:fill="FFFFFF"/>
            <w:hideMark/>
          </w:tcPr>
          <w:p w14:paraId="2209A57C" w14:textId="77777777"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397" w:type="dxa"/>
            <w:tcBorders>
              <w:top w:val="double" w:sz="6" w:space="0" w:color="auto"/>
              <w:left w:val="double" w:sz="6" w:space="0" w:color="auto"/>
              <w:bottom w:val="double" w:sz="6" w:space="0" w:color="auto"/>
              <w:right w:val="double" w:sz="6" w:space="0" w:color="auto"/>
            </w:tcBorders>
            <w:shd w:val="clear" w:color="000000" w:fill="FFFFFF"/>
            <w:hideMark/>
          </w:tcPr>
          <w:p w14:paraId="0D71FCC7" w14:textId="77777777"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1530" w:type="dxa"/>
            <w:tcBorders>
              <w:top w:val="double" w:sz="6" w:space="0" w:color="auto"/>
              <w:left w:val="double" w:sz="6" w:space="0" w:color="auto"/>
              <w:bottom w:val="double" w:sz="6" w:space="0" w:color="auto"/>
              <w:right w:val="double" w:sz="6" w:space="0" w:color="auto"/>
            </w:tcBorders>
            <w:shd w:val="clear" w:color="000000" w:fill="FFFFFF"/>
            <w:hideMark/>
          </w:tcPr>
          <w:p w14:paraId="68FB1849" w14:textId="77777777"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171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03DF98FE" w14:textId="77777777" w:rsidR="005015EA" w:rsidRPr="00EF2F18" w:rsidRDefault="005015EA"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r>
    </w:tbl>
    <w:p w14:paraId="4D06D2F6" w14:textId="77777777" w:rsidR="0071648B" w:rsidRPr="00EF2F18" w:rsidRDefault="0071648B" w:rsidP="007D7243">
      <w:pPr>
        <w:spacing w:after="0"/>
        <w:rPr>
          <w:lang w:val="sr-Cyrl-RS"/>
        </w:rPr>
      </w:pPr>
    </w:p>
    <w:tbl>
      <w:tblPr>
        <w:tblW w:w="13657" w:type="dxa"/>
        <w:tblLook w:val="04A0" w:firstRow="1" w:lastRow="0" w:firstColumn="1" w:lastColumn="0" w:noHBand="0" w:noVBand="1"/>
      </w:tblPr>
      <w:tblGrid>
        <w:gridCol w:w="3800"/>
        <w:gridCol w:w="2556"/>
        <w:gridCol w:w="2171"/>
        <w:gridCol w:w="2430"/>
        <w:gridCol w:w="2679"/>
        <w:gridCol w:w="21"/>
      </w:tblGrid>
      <w:tr w:rsidR="007D7243" w:rsidRPr="00EF2F18" w14:paraId="6846E0AE" w14:textId="77777777" w:rsidTr="005015EA">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AE4FEB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E0C3D44"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36975FE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5015EA" w:rsidRPr="00EF2F18" w14:paraId="2D59BA55" w14:textId="77777777" w:rsidTr="005015EA">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02266328"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15B6B73F"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2171" w:type="dxa"/>
            <w:tcBorders>
              <w:top w:val="nil"/>
              <w:left w:val="nil"/>
              <w:bottom w:val="double" w:sz="6" w:space="0" w:color="auto"/>
              <w:right w:val="double" w:sz="6" w:space="0" w:color="auto"/>
            </w:tcBorders>
            <w:shd w:val="clear" w:color="000000" w:fill="A8D08D"/>
            <w:hideMark/>
          </w:tcPr>
          <w:p w14:paraId="37C667AD" w14:textId="59D26AA6"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 године</w:t>
            </w:r>
          </w:p>
        </w:tc>
        <w:tc>
          <w:tcPr>
            <w:tcW w:w="2430" w:type="dxa"/>
            <w:tcBorders>
              <w:top w:val="nil"/>
              <w:left w:val="nil"/>
              <w:bottom w:val="double" w:sz="6" w:space="0" w:color="auto"/>
              <w:right w:val="double" w:sz="6" w:space="0" w:color="auto"/>
            </w:tcBorders>
            <w:shd w:val="clear" w:color="000000" w:fill="A8D08D"/>
            <w:hideMark/>
          </w:tcPr>
          <w:p w14:paraId="51841776" w14:textId="07C892DF"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700" w:type="dxa"/>
            <w:gridSpan w:val="2"/>
            <w:tcBorders>
              <w:top w:val="nil"/>
              <w:left w:val="nil"/>
              <w:bottom w:val="double" w:sz="6" w:space="0" w:color="auto"/>
              <w:right w:val="double" w:sz="6" w:space="0" w:color="auto"/>
            </w:tcBorders>
            <w:shd w:val="clear" w:color="000000" w:fill="A8D08D"/>
            <w:hideMark/>
          </w:tcPr>
          <w:p w14:paraId="5384EBDF" w14:textId="748FF2F0"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5015EA" w:rsidRPr="00EF2F18" w14:paraId="0EFD64FA" w14:textId="77777777" w:rsidTr="005015EA">
        <w:trPr>
          <w:trHeight w:val="588"/>
        </w:trPr>
        <w:tc>
          <w:tcPr>
            <w:tcW w:w="3800" w:type="dxa"/>
            <w:tcBorders>
              <w:top w:val="nil"/>
              <w:left w:val="double" w:sz="6" w:space="0" w:color="auto"/>
              <w:bottom w:val="double" w:sz="6" w:space="0" w:color="auto"/>
              <w:right w:val="single" w:sz="4" w:space="0" w:color="auto"/>
            </w:tcBorders>
            <w:vAlign w:val="center"/>
          </w:tcPr>
          <w:p w14:paraId="0150E703" w14:textId="7CA2876F"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w:t>
            </w:r>
            <w:r w:rsidR="00DB5B8C" w:rsidRPr="00EF2F18">
              <w:rPr>
                <w:rFonts w:eastAsia="Times New Roman" w:cs="Times New Roman"/>
                <w:color w:val="000000"/>
                <w:sz w:val="20"/>
                <w:szCs w:val="20"/>
                <w:lang w:val="sr-Cyrl-RS" w:eastAsia="sr-Cyrl-RS"/>
              </w:rPr>
              <w:t>МЗЖС)</w:t>
            </w:r>
            <w:r w:rsidR="00DB5B8C" w:rsidRPr="00EF2F18" w:rsidDel="00D732D6">
              <w:rPr>
                <w:rFonts w:eastAsia="Times New Roman" w:cs="Times New Roman"/>
                <w:color w:val="000000"/>
                <w:sz w:val="20"/>
                <w:szCs w:val="20"/>
                <w:lang w:val="sr-Cyrl-RS" w:eastAsia="sr-Cyrl-RS"/>
              </w:rPr>
              <w:t xml:space="preserve"> </w:t>
            </w:r>
          </w:p>
        </w:tc>
        <w:tc>
          <w:tcPr>
            <w:tcW w:w="2556" w:type="dxa"/>
            <w:tcBorders>
              <w:top w:val="nil"/>
              <w:left w:val="single" w:sz="4" w:space="0" w:color="auto"/>
              <w:bottom w:val="double" w:sz="6" w:space="0" w:color="auto"/>
              <w:right w:val="single" w:sz="4" w:space="0" w:color="auto"/>
            </w:tcBorders>
            <w:vAlign w:val="center"/>
          </w:tcPr>
          <w:p w14:paraId="17BB00EF" w14:textId="70C6C129" w:rsidR="005015EA" w:rsidRPr="00EF2F18" w:rsidRDefault="00DB5B8C"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0405-</w:t>
            </w:r>
            <w:r w:rsidR="00756B47" w:rsidRPr="00EF2F18">
              <w:rPr>
                <w:rFonts w:eastAsia="Times New Roman" w:cs="Times New Roman"/>
                <w:color w:val="000000"/>
                <w:sz w:val="20"/>
                <w:szCs w:val="20"/>
                <w:lang w:val="sr-Cyrl-RS" w:eastAsia="sr-Cyrl-RS"/>
              </w:rPr>
              <w:t>560-</w:t>
            </w:r>
            <w:r w:rsidRPr="00EF2F18">
              <w:rPr>
                <w:rFonts w:eastAsia="Times New Roman" w:cs="Times New Roman"/>
                <w:color w:val="000000"/>
                <w:sz w:val="20"/>
                <w:szCs w:val="20"/>
                <w:lang w:val="sr-Cyrl-RS" w:eastAsia="sr-Cyrl-RS"/>
              </w:rPr>
              <w:t>0001-424</w:t>
            </w:r>
          </w:p>
        </w:tc>
        <w:tc>
          <w:tcPr>
            <w:tcW w:w="2171" w:type="dxa"/>
            <w:tcBorders>
              <w:top w:val="nil"/>
              <w:left w:val="single" w:sz="4" w:space="0" w:color="auto"/>
              <w:bottom w:val="double" w:sz="6" w:space="0" w:color="auto"/>
              <w:right w:val="single" w:sz="4" w:space="0" w:color="auto"/>
            </w:tcBorders>
            <w:vAlign w:val="center"/>
          </w:tcPr>
          <w:p w14:paraId="62CC9C7E" w14:textId="55A902FD" w:rsidR="005015EA" w:rsidRPr="00EF2F18" w:rsidRDefault="00DB5B8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tc>
        <w:tc>
          <w:tcPr>
            <w:tcW w:w="2430" w:type="dxa"/>
            <w:tcBorders>
              <w:top w:val="nil"/>
              <w:left w:val="single" w:sz="4" w:space="0" w:color="auto"/>
              <w:bottom w:val="double" w:sz="6" w:space="0" w:color="auto"/>
              <w:right w:val="single" w:sz="4" w:space="0" w:color="auto"/>
            </w:tcBorders>
            <w:vAlign w:val="center"/>
          </w:tcPr>
          <w:p w14:paraId="5E9C8AAD" w14:textId="4B614E1C" w:rsidR="005015EA" w:rsidRPr="00EF2F18" w:rsidRDefault="00DB5B8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tc>
        <w:tc>
          <w:tcPr>
            <w:tcW w:w="2700" w:type="dxa"/>
            <w:gridSpan w:val="2"/>
            <w:tcBorders>
              <w:top w:val="nil"/>
              <w:left w:val="single" w:sz="4" w:space="0" w:color="auto"/>
              <w:bottom w:val="double" w:sz="6" w:space="0" w:color="auto"/>
              <w:right w:val="double" w:sz="6" w:space="0" w:color="auto"/>
            </w:tcBorders>
            <w:vAlign w:val="center"/>
          </w:tcPr>
          <w:p w14:paraId="3681072F" w14:textId="777E3361" w:rsidR="005015EA" w:rsidRPr="00EF2F18" w:rsidRDefault="00DB5B8C"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12.000</w:t>
            </w:r>
          </w:p>
        </w:tc>
      </w:tr>
    </w:tbl>
    <w:p w14:paraId="7F520BE0" w14:textId="77777777" w:rsidR="007D7243" w:rsidRPr="00EF2F18" w:rsidRDefault="007D7243" w:rsidP="007D7243">
      <w:pPr>
        <w:spacing w:after="0"/>
        <w:jc w:val="right"/>
        <w:rPr>
          <w:rFonts w:cs="Times New Roman"/>
          <w:sz w:val="20"/>
          <w:szCs w:val="20"/>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1278"/>
        <w:gridCol w:w="1280"/>
        <w:gridCol w:w="1182"/>
        <w:gridCol w:w="1400"/>
        <w:gridCol w:w="1459"/>
        <w:gridCol w:w="1018"/>
        <w:gridCol w:w="1399"/>
        <w:gridCol w:w="1620"/>
      </w:tblGrid>
      <w:tr w:rsidR="007D7243" w:rsidRPr="00EF2F18" w14:paraId="21150669" w14:textId="77777777" w:rsidTr="005015EA">
        <w:trPr>
          <w:trHeight w:val="732"/>
        </w:trPr>
        <w:tc>
          <w:tcPr>
            <w:tcW w:w="2949" w:type="dxa"/>
            <w:vMerge w:val="restart"/>
            <w:shd w:val="clear" w:color="000000" w:fill="FFF2CC"/>
            <w:hideMark/>
          </w:tcPr>
          <w:p w14:paraId="099E7BB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8" w:type="dxa"/>
            <w:vMerge w:val="restart"/>
            <w:shd w:val="clear" w:color="000000" w:fill="FFF2CC"/>
            <w:hideMark/>
          </w:tcPr>
          <w:p w14:paraId="1FFDD77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80" w:type="dxa"/>
            <w:vMerge w:val="restart"/>
            <w:shd w:val="clear" w:color="000000" w:fill="FFF2CC"/>
            <w:hideMark/>
          </w:tcPr>
          <w:p w14:paraId="683F562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60D90E47"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02059A2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59" w:type="dxa"/>
            <w:vMerge w:val="restart"/>
            <w:shd w:val="clear" w:color="000000" w:fill="FFF2CC"/>
            <w:hideMark/>
          </w:tcPr>
          <w:p w14:paraId="2BF7944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37" w:type="dxa"/>
            <w:gridSpan w:val="3"/>
            <w:shd w:val="clear" w:color="000000" w:fill="FFF2CC"/>
            <w:hideMark/>
          </w:tcPr>
          <w:p w14:paraId="54000D8F"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p>
        </w:tc>
      </w:tr>
      <w:tr w:rsidR="005015EA" w:rsidRPr="00EF2F18" w14:paraId="09147BEE" w14:textId="77777777" w:rsidTr="005015EA">
        <w:trPr>
          <w:trHeight w:val="602"/>
        </w:trPr>
        <w:tc>
          <w:tcPr>
            <w:tcW w:w="2949" w:type="dxa"/>
            <w:vMerge/>
            <w:vAlign w:val="center"/>
            <w:hideMark/>
          </w:tcPr>
          <w:p w14:paraId="3EA3AD5B"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78" w:type="dxa"/>
            <w:vMerge/>
            <w:vAlign w:val="center"/>
            <w:hideMark/>
          </w:tcPr>
          <w:p w14:paraId="283E5347"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280" w:type="dxa"/>
            <w:vMerge/>
            <w:vAlign w:val="center"/>
            <w:hideMark/>
          </w:tcPr>
          <w:p w14:paraId="7A0D8EC0"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182" w:type="dxa"/>
            <w:vMerge/>
            <w:vAlign w:val="center"/>
            <w:hideMark/>
          </w:tcPr>
          <w:p w14:paraId="752A5249"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00" w:type="dxa"/>
            <w:vMerge/>
            <w:vAlign w:val="center"/>
            <w:hideMark/>
          </w:tcPr>
          <w:p w14:paraId="73A3A224"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459" w:type="dxa"/>
            <w:vMerge/>
            <w:vAlign w:val="center"/>
            <w:hideMark/>
          </w:tcPr>
          <w:p w14:paraId="6790475F" w14:textId="77777777" w:rsidR="005015EA" w:rsidRPr="00EF2F18" w:rsidRDefault="005015EA" w:rsidP="00752CA0">
            <w:pPr>
              <w:spacing w:after="0"/>
              <w:rPr>
                <w:rFonts w:eastAsia="Times New Roman" w:cs="Times New Roman"/>
                <w:color w:val="000000"/>
                <w:sz w:val="20"/>
                <w:szCs w:val="20"/>
                <w:lang w:val="sr-Cyrl-RS" w:eastAsia="sr-Cyrl-RS"/>
              </w:rPr>
            </w:pPr>
          </w:p>
        </w:tc>
        <w:tc>
          <w:tcPr>
            <w:tcW w:w="1018" w:type="dxa"/>
            <w:shd w:val="clear" w:color="000000" w:fill="FFF2CC"/>
            <w:hideMark/>
          </w:tcPr>
          <w:p w14:paraId="493DF078" w14:textId="3F92EF8F"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w:t>
            </w:r>
          </w:p>
        </w:tc>
        <w:tc>
          <w:tcPr>
            <w:tcW w:w="1399" w:type="dxa"/>
            <w:shd w:val="clear" w:color="000000" w:fill="FFF2CC"/>
            <w:hideMark/>
          </w:tcPr>
          <w:p w14:paraId="683EF7CB" w14:textId="42896E19"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1620" w:type="dxa"/>
            <w:shd w:val="clear" w:color="000000" w:fill="FFF2CC"/>
            <w:hideMark/>
          </w:tcPr>
          <w:p w14:paraId="52B51C88" w14:textId="2DEA70A4" w:rsidR="005015EA" w:rsidRPr="00EF2F18" w:rsidRDefault="005015EA"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5015EA" w:rsidRPr="00EF2F18" w14:paraId="1985E137" w14:textId="77777777" w:rsidTr="005015EA">
        <w:trPr>
          <w:trHeight w:val="804"/>
        </w:trPr>
        <w:tc>
          <w:tcPr>
            <w:tcW w:w="2949" w:type="dxa"/>
          </w:tcPr>
          <w:p w14:paraId="0A833A4C" w14:textId="5605B82C" w:rsidR="005015EA" w:rsidRPr="00EF2F18" w:rsidRDefault="005015EA" w:rsidP="00E335B7">
            <w:pPr>
              <w:spacing w:after="0"/>
              <w:rPr>
                <w:rFonts w:eastAsia="Times New Roman" w:cs="Times New Roman"/>
                <w:color w:val="000000"/>
                <w:sz w:val="20"/>
                <w:szCs w:val="20"/>
                <w:highlight w:val="yellow"/>
                <w:lang w:val="sr-Cyrl-RS" w:eastAsia="sr-Cyrl-RS"/>
              </w:rPr>
            </w:pPr>
            <w:r w:rsidRPr="00EF2F18">
              <w:rPr>
                <w:rFonts w:eastAsia="Times New Roman" w:cs="Times New Roman"/>
                <w:color w:val="000000"/>
                <w:sz w:val="20"/>
                <w:szCs w:val="20"/>
                <w:lang w:val="sr-Cyrl-RS" w:eastAsia="sr-Cyrl-RS"/>
              </w:rPr>
              <w:t>3.5.2.</w:t>
            </w:r>
            <w:r w:rsidR="002D36D9" w:rsidRPr="00EF2F18">
              <w:rPr>
                <w:rFonts w:eastAsia="Times New Roman" w:cs="Times New Roman"/>
                <w:color w:val="000000"/>
                <w:sz w:val="20"/>
                <w:szCs w:val="20"/>
                <w:lang w:val="sr-Cyrl-RS" w:eastAsia="sr-Cyrl-RS"/>
              </w:rPr>
              <w:t>1</w:t>
            </w:r>
            <w:r w:rsidRPr="00EF2F18">
              <w:rPr>
                <w:rFonts w:eastAsia="Times New Roman" w:cs="Times New Roman"/>
                <w:color w:val="000000"/>
                <w:sz w:val="20"/>
                <w:szCs w:val="20"/>
                <w:lang w:val="sr-Cyrl-RS" w:eastAsia="sr-Cyrl-RS"/>
              </w:rPr>
              <w:t>. Успостављање информационог система за електронско евидентирање извора нејонизујућег зрачења фаза 2 (електронска процедура која укључује изворе са Листе 2 Уредбе о утврђивању листе пројеката за које је обавезна процена утицаја и листе пројеката за које се може захтевати процена утицаја на животну средину („Сл</w:t>
            </w:r>
            <w:r w:rsidR="00E335B7">
              <w:rPr>
                <w:rFonts w:eastAsia="Times New Roman" w:cs="Times New Roman"/>
                <w:color w:val="000000"/>
                <w:sz w:val="20"/>
                <w:szCs w:val="20"/>
                <w:lang w:val="sr-Cyrl-RS" w:eastAsia="sr-Cyrl-RS"/>
              </w:rPr>
              <w:t>ужбени</w:t>
            </w:r>
            <w:r w:rsidRPr="00EF2F18">
              <w:rPr>
                <w:rFonts w:eastAsia="Times New Roman" w:cs="Times New Roman"/>
                <w:color w:val="000000"/>
                <w:sz w:val="20"/>
                <w:szCs w:val="20"/>
                <w:lang w:val="sr-Cyrl-RS" w:eastAsia="sr-Cyrl-RS"/>
              </w:rPr>
              <w:t xml:space="preserve"> гласник РС”, број 114/08))</w:t>
            </w:r>
          </w:p>
        </w:tc>
        <w:tc>
          <w:tcPr>
            <w:tcW w:w="1278" w:type="dxa"/>
          </w:tcPr>
          <w:p w14:paraId="67601AEC" w14:textId="39B022DD" w:rsidR="005015EA" w:rsidRPr="00EF2F18" w:rsidRDefault="00D732D6"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w:t>
            </w:r>
            <w:r w:rsidRPr="00EF2F18" w:rsidDel="00D732D6">
              <w:rPr>
                <w:rFonts w:eastAsia="Times New Roman" w:cs="Times New Roman"/>
                <w:color w:val="000000"/>
                <w:sz w:val="20"/>
                <w:szCs w:val="20"/>
                <w:lang w:val="sr-Cyrl-RS" w:eastAsia="sr-Cyrl-RS"/>
              </w:rPr>
              <w:t xml:space="preserve"> </w:t>
            </w:r>
          </w:p>
        </w:tc>
        <w:tc>
          <w:tcPr>
            <w:tcW w:w="1280" w:type="dxa"/>
          </w:tcPr>
          <w:p w14:paraId="6CF5BB1B" w14:textId="35365C64"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w:t>
            </w:r>
            <w:r w:rsidR="00D732D6" w:rsidRPr="00EF2F18">
              <w:rPr>
                <w:rFonts w:eastAsia="Times New Roman" w:cs="Times New Roman"/>
                <w:color w:val="000000"/>
                <w:sz w:val="20"/>
                <w:szCs w:val="20"/>
                <w:lang w:val="sr-Cyrl-RS" w:eastAsia="sr-Cyrl-RS"/>
              </w:rPr>
              <w:t>ИТ</w:t>
            </w:r>
          </w:p>
        </w:tc>
        <w:tc>
          <w:tcPr>
            <w:tcW w:w="1182" w:type="dxa"/>
          </w:tcPr>
          <w:p w14:paraId="2A17DFD0" w14:textId="01833595" w:rsidR="005015EA" w:rsidRPr="00EF2F18" w:rsidRDefault="00D732D6"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w:t>
            </w:r>
            <w:r w:rsidR="005015EA" w:rsidRPr="00EF2F18">
              <w:rPr>
                <w:rFonts w:eastAsia="Times New Roman" w:cs="Times New Roman"/>
                <w:color w:val="000000"/>
                <w:sz w:val="20"/>
                <w:szCs w:val="20"/>
                <w:lang w:val="sr-Cyrl-RS" w:eastAsia="sr-Cyrl-RS"/>
              </w:rPr>
              <w:t>. квартал 2026.</w:t>
            </w:r>
          </w:p>
        </w:tc>
        <w:tc>
          <w:tcPr>
            <w:tcW w:w="1400" w:type="dxa"/>
          </w:tcPr>
          <w:p w14:paraId="70F202B4" w14:textId="77777777" w:rsidR="005015EA" w:rsidRPr="00EF2F18" w:rsidRDefault="005015EA"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459" w:type="dxa"/>
          </w:tcPr>
          <w:p w14:paraId="10D823E1" w14:textId="7E3A7EC9" w:rsidR="005015EA" w:rsidRPr="00EF2F18" w:rsidRDefault="00D732D6"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0405</w:t>
            </w:r>
            <w:r w:rsidR="005015EA" w:rsidRPr="00EF2F18">
              <w:rPr>
                <w:rFonts w:eastAsia="Times New Roman" w:cs="Times New Roman"/>
                <w:color w:val="000000"/>
                <w:sz w:val="20"/>
                <w:szCs w:val="20"/>
                <w:lang w:val="sr-Cyrl-RS" w:eastAsia="sr-Cyrl-RS"/>
              </w:rPr>
              <w:t>-</w:t>
            </w:r>
            <w:r w:rsidR="009B6B86" w:rsidRPr="00EF2F18">
              <w:rPr>
                <w:rFonts w:eastAsia="Times New Roman" w:cs="Times New Roman"/>
                <w:color w:val="000000"/>
                <w:sz w:val="20"/>
                <w:szCs w:val="20"/>
                <w:lang w:val="sr-Cyrl-RS" w:eastAsia="sr-Cyrl-RS"/>
              </w:rPr>
              <w:t>560-</w:t>
            </w:r>
            <w:r w:rsidRPr="00EF2F18">
              <w:rPr>
                <w:rFonts w:eastAsia="Times New Roman" w:cs="Times New Roman"/>
                <w:color w:val="000000"/>
                <w:sz w:val="20"/>
                <w:szCs w:val="20"/>
                <w:lang w:val="sr-Cyrl-RS" w:eastAsia="sr-Cyrl-RS"/>
              </w:rPr>
              <w:t>0001</w:t>
            </w:r>
            <w:r w:rsidR="005015EA" w:rsidRPr="00EF2F18">
              <w:rPr>
                <w:rFonts w:eastAsia="Times New Roman" w:cs="Times New Roman"/>
                <w:color w:val="000000"/>
                <w:sz w:val="20"/>
                <w:szCs w:val="20"/>
                <w:lang w:val="sr-Cyrl-RS" w:eastAsia="sr-Cyrl-RS"/>
              </w:rPr>
              <w:t>-</w:t>
            </w:r>
            <w:r w:rsidRPr="00EF2F18">
              <w:rPr>
                <w:rFonts w:eastAsia="Times New Roman" w:cs="Times New Roman"/>
                <w:color w:val="000000"/>
                <w:sz w:val="20"/>
                <w:szCs w:val="20"/>
                <w:lang w:val="sr-Cyrl-RS" w:eastAsia="sr-Cyrl-RS"/>
              </w:rPr>
              <w:t>424</w:t>
            </w:r>
          </w:p>
        </w:tc>
        <w:tc>
          <w:tcPr>
            <w:tcW w:w="1018" w:type="dxa"/>
          </w:tcPr>
          <w:p w14:paraId="4907D683" w14:textId="28CCF0D0" w:rsidR="005015EA" w:rsidRPr="00EF2F18" w:rsidRDefault="00D732D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10.000 </w:t>
            </w:r>
          </w:p>
        </w:tc>
        <w:tc>
          <w:tcPr>
            <w:tcW w:w="1399" w:type="dxa"/>
          </w:tcPr>
          <w:p w14:paraId="4CBD3CE0" w14:textId="355EDDAE" w:rsidR="005015EA" w:rsidRPr="00EF2F18" w:rsidRDefault="00D732D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10.000</w:t>
            </w:r>
          </w:p>
        </w:tc>
        <w:tc>
          <w:tcPr>
            <w:tcW w:w="1620" w:type="dxa"/>
          </w:tcPr>
          <w:p w14:paraId="12D53CB0" w14:textId="01C1A322" w:rsidR="005015EA" w:rsidRPr="00EF2F18" w:rsidRDefault="00D732D6"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12.000</w:t>
            </w:r>
          </w:p>
        </w:tc>
      </w:tr>
    </w:tbl>
    <w:p w14:paraId="401DB413"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3043"/>
        <w:gridCol w:w="1653"/>
        <w:gridCol w:w="1279"/>
        <w:gridCol w:w="943"/>
        <w:gridCol w:w="910"/>
        <w:gridCol w:w="1414"/>
        <w:gridCol w:w="1155"/>
        <w:gridCol w:w="1730"/>
        <w:gridCol w:w="1513"/>
        <w:gridCol w:w="17"/>
      </w:tblGrid>
      <w:tr w:rsidR="007D7243" w:rsidRPr="00EF2F18" w14:paraId="57DAED89" w14:textId="77777777" w:rsidTr="002D36D9">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4E92267A"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lastRenderedPageBreak/>
              <w:t>Мера 3.5.3: Унапређење систематског праћења радиоактивности у животној средини и система правовремене најаве акцидента</w:t>
            </w:r>
          </w:p>
        </w:tc>
      </w:tr>
      <w:tr w:rsidR="007D7243" w:rsidRPr="00EF2F18" w14:paraId="5BFFE7E4" w14:textId="77777777" w:rsidTr="002D36D9">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04D78B19" w14:textId="77777777" w:rsidR="007D7243" w:rsidRPr="00EF2F18" w:rsidRDefault="007D7243" w:rsidP="00752CA0">
            <w:pPr>
              <w:spacing w:after="0"/>
              <w:rPr>
                <w:rFonts w:eastAsia="Times New Roman" w:cs="Times New Roman"/>
                <w:b/>
                <w:bCs/>
                <w:color w:val="000000"/>
                <w:sz w:val="20"/>
                <w:szCs w:val="20"/>
                <w:lang w:val="sr-Cyrl-RS" w:eastAsia="sr-Cyrl-RS"/>
              </w:rPr>
            </w:pPr>
            <w:r w:rsidRPr="00EF2F18">
              <w:rPr>
                <w:rFonts w:eastAsia="Times New Roman" w:cs="Times New Roman"/>
                <w:b/>
                <w:bCs/>
                <w:color w:val="000000"/>
                <w:sz w:val="20"/>
                <w:szCs w:val="20"/>
                <w:lang w:val="sr-Cyrl-RS" w:eastAsia="sr-Cyrl-RS"/>
              </w:rPr>
              <w:t>Институција одговорна за реализацију:</w:t>
            </w:r>
            <w:r w:rsidRPr="00EF2F18">
              <w:rPr>
                <w:rFonts w:eastAsia="Times New Roman" w:cs="Times New Roman"/>
                <w:color w:val="000000"/>
                <w:sz w:val="20"/>
                <w:szCs w:val="20"/>
                <w:lang w:val="sr-Cyrl-RS" w:eastAsia="sr-Cyrl-RS"/>
              </w:rPr>
              <w:t xml:space="preserve"> Директорат за радијациону и нуклеарну сигурност и безбедност Србије </w:t>
            </w:r>
          </w:p>
        </w:tc>
      </w:tr>
      <w:tr w:rsidR="007D7243" w:rsidRPr="00EF2F18" w14:paraId="3A4D413D" w14:textId="77777777" w:rsidTr="002D36D9">
        <w:trPr>
          <w:gridAfter w:val="1"/>
          <w:wAfter w:w="17" w:type="dxa"/>
          <w:trHeight w:val="336"/>
        </w:trPr>
        <w:tc>
          <w:tcPr>
            <w:tcW w:w="6918"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036FFD4F" w14:textId="12040EE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Период спровођења: 202</w:t>
            </w:r>
            <w:r w:rsidR="002D36D9" w:rsidRPr="00EF2F18">
              <w:rPr>
                <w:rFonts w:eastAsia="Times New Roman" w:cs="Times New Roman"/>
                <w:sz w:val="20"/>
                <w:szCs w:val="20"/>
                <w:lang w:val="sr-Cyrl-RS" w:eastAsia="sr-Cyrl-RS"/>
              </w:rPr>
              <w:t>6</w:t>
            </w:r>
            <w:r w:rsidRPr="00EF2F18">
              <w:rPr>
                <w:rFonts w:eastAsia="Times New Roman" w:cs="Times New Roman"/>
                <w:sz w:val="20"/>
                <w:szCs w:val="20"/>
                <w:lang w:val="sr-Cyrl-RS" w:eastAsia="sr-Cyrl-RS"/>
              </w:rPr>
              <w:t xml:space="preserve">–2028. </w:t>
            </w:r>
          </w:p>
        </w:tc>
        <w:tc>
          <w:tcPr>
            <w:tcW w:w="6722"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7A556D41"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Тип мере: Обезбеђивање добара и пружање услуга</w:t>
            </w:r>
          </w:p>
        </w:tc>
      </w:tr>
      <w:tr w:rsidR="007D7243" w:rsidRPr="00EF2F18" w14:paraId="7832652C" w14:textId="77777777" w:rsidTr="002D36D9">
        <w:trPr>
          <w:gridAfter w:val="1"/>
          <w:wAfter w:w="17" w:type="dxa"/>
          <w:trHeight w:val="336"/>
        </w:trPr>
        <w:tc>
          <w:tcPr>
            <w:tcW w:w="6918" w:type="dxa"/>
            <w:gridSpan w:val="4"/>
            <w:tcBorders>
              <w:top w:val="double" w:sz="6" w:space="0" w:color="auto"/>
              <w:left w:val="double" w:sz="6" w:space="0" w:color="auto"/>
              <w:bottom w:val="double" w:sz="6" w:space="0" w:color="auto"/>
              <w:right w:val="double" w:sz="6" w:space="0" w:color="auto"/>
            </w:tcBorders>
            <w:shd w:val="clear" w:color="000000" w:fill="F7CAAC"/>
            <w:vAlign w:val="center"/>
            <w:hideMark/>
          </w:tcPr>
          <w:p w14:paraId="40CC86EB" w14:textId="77777777" w:rsidR="007D7243" w:rsidRPr="00EF2F18" w:rsidRDefault="007D7243"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Прописи које је потребно изменити/усвојити за спровођење мере:</w:t>
            </w:r>
          </w:p>
        </w:tc>
        <w:tc>
          <w:tcPr>
            <w:tcW w:w="6722" w:type="dxa"/>
            <w:gridSpan w:val="5"/>
            <w:tcBorders>
              <w:top w:val="double" w:sz="6" w:space="0" w:color="auto"/>
              <w:left w:val="double" w:sz="6" w:space="0" w:color="auto"/>
              <w:bottom w:val="double" w:sz="6" w:space="0" w:color="auto"/>
              <w:right w:val="double" w:sz="6" w:space="0" w:color="auto"/>
            </w:tcBorders>
            <w:shd w:val="clear" w:color="000000" w:fill="F7CAAC"/>
            <w:vAlign w:val="center"/>
            <w:hideMark/>
          </w:tcPr>
          <w:p w14:paraId="0160C356" w14:textId="77777777" w:rsidR="007D7243" w:rsidRPr="00EF2F18" w:rsidRDefault="007D7243" w:rsidP="00313E8E">
            <w:pPr>
              <w:pStyle w:val="ListParagraph"/>
              <w:numPr>
                <w:ilvl w:val="0"/>
                <w:numId w:val="66"/>
              </w:numPr>
              <w:spacing w:after="0"/>
              <w:ind w:left="321" w:hanging="283"/>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Планска документа у области радијационе и нуклеарне сигурности</w:t>
            </w:r>
          </w:p>
        </w:tc>
      </w:tr>
      <w:tr w:rsidR="002D36D9" w:rsidRPr="00EF2F18" w14:paraId="67BC8D78" w14:textId="77777777" w:rsidTr="002D36D9">
        <w:trPr>
          <w:trHeight w:val="816"/>
        </w:trPr>
        <w:tc>
          <w:tcPr>
            <w:tcW w:w="3043" w:type="dxa"/>
            <w:tcBorders>
              <w:top w:val="double" w:sz="6" w:space="0" w:color="auto"/>
              <w:left w:val="double" w:sz="6" w:space="0" w:color="auto"/>
              <w:bottom w:val="double" w:sz="6" w:space="0" w:color="auto"/>
              <w:right w:val="double" w:sz="6" w:space="0" w:color="auto"/>
            </w:tcBorders>
            <w:shd w:val="clear" w:color="000000" w:fill="D9D9D9"/>
            <w:hideMark/>
          </w:tcPr>
          <w:p w14:paraId="40604C43"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Показатељ(и) на нивоу мере </w:t>
            </w:r>
            <w:r w:rsidRPr="00EF2F18">
              <w:rPr>
                <w:rFonts w:eastAsia="Times New Roman" w:cs="Times New Roman"/>
                <w:i/>
                <w:iCs/>
                <w:color w:val="000000"/>
                <w:sz w:val="20"/>
                <w:szCs w:val="20"/>
                <w:lang w:val="sr-Cyrl-RS" w:eastAsia="sr-Cyrl-RS"/>
              </w:rPr>
              <w:t>(показатељ резултата)</w:t>
            </w:r>
          </w:p>
        </w:tc>
        <w:tc>
          <w:tcPr>
            <w:tcW w:w="1653" w:type="dxa"/>
            <w:tcBorders>
              <w:top w:val="double" w:sz="6" w:space="0" w:color="auto"/>
              <w:left w:val="double" w:sz="6" w:space="0" w:color="auto"/>
              <w:bottom w:val="double" w:sz="6" w:space="0" w:color="auto"/>
              <w:right w:val="double" w:sz="6" w:space="0" w:color="auto"/>
            </w:tcBorders>
            <w:shd w:val="clear" w:color="000000" w:fill="D9D9D9"/>
            <w:hideMark/>
          </w:tcPr>
          <w:p w14:paraId="495A6E58"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Jединица мере</w:t>
            </w:r>
          </w:p>
        </w:tc>
        <w:tc>
          <w:tcPr>
            <w:tcW w:w="1279" w:type="dxa"/>
            <w:tcBorders>
              <w:top w:val="double" w:sz="6" w:space="0" w:color="auto"/>
              <w:left w:val="double" w:sz="6" w:space="0" w:color="auto"/>
              <w:bottom w:val="double" w:sz="6" w:space="0" w:color="auto"/>
              <w:right w:val="double" w:sz="6" w:space="0" w:color="auto"/>
            </w:tcBorders>
            <w:shd w:val="clear" w:color="000000" w:fill="D9D9D9"/>
            <w:hideMark/>
          </w:tcPr>
          <w:p w14:paraId="2D48152A"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провере</w:t>
            </w:r>
          </w:p>
        </w:tc>
        <w:tc>
          <w:tcPr>
            <w:tcW w:w="1853"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4160B503"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Почетна вредност</w:t>
            </w:r>
          </w:p>
        </w:tc>
        <w:tc>
          <w:tcPr>
            <w:tcW w:w="1414" w:type="dxa"/>
            <w:tcBorders>
              <w:top w:val="double" w:sz="6" w:space="0" w:color="auto"/>
              <w:left w:val="double" w:sz="6" w:space="0" w:color="auto"/>
              <w:bottom w:val="double" w:sz="6" w:space="0" w:color="auto"/>
              <w:right w:val="double" w:sz="6" w:space="0" w:color="auto"/>
            </w:tcBorders>
            <w:shd w:val="clear" w:color="000000" w:fill="D9D9D9"/>
            <w:hideMark/>
          </w:tcPr>
          <w:p w14:paraId="360D1C3E"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Базна година</w:t>
            </w:r>
          </w:p>
        </w:tc>
        <w:tc>
          <w:tcPr>
            <w:tcW w:w="1155" w:type="dxa"/>
            <w:tcBorders>
              <w:top w:val="double" w:sz="6" w:space="0" w:color="auto"/>
              <w:left w:val="double" w:sz="6" w:space="0" w:color="auto"/>
              <w:bottom w:val="double" w:sz="6" w:space="0" w:color="auto"/>
              <w:right w:val="double" w:sz="6" w:space="0" w:color="auto"/>
            </w:tcBorders>
            <w:shd w:val="clear" w:color="000000" w:fill="D9D9D9"/>
            <w:hideMark/>
          </w:tcPr>
          <w:p w14:paraId="3A7833DC"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2026.</w:t>
            </w:r>
          </w:p>
        </w:tc>
        <w:tc>
          <w:tcPr>
            <w:tcW w:w="1730" w:type="dxa"/>
            <w:tcBorders>
              <w:top w:val="double" w:sz="6" w:space="0" w:color="auto"/>
              <w:left w:val="double" w:sz="6" w:space="0" w:color="auto"/>
              <w:bottom w:val="double" w:sz="6" w:space="0" w:color="auto"/>
              <w:right w:val="double" w:sz="6" w:space="0" w:color="auto"/>
            </w:tcBorders>
            <w:shd w:val="clear" w:color="000000" w:fill="D9D9D9"/>
            <w:hideMark/>
          </w:tcPr>
          <w:p w14:paraId="306A47FA"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2027.</w:t>
            </w:r>
          </w:p>
        </w:tc>
        <w:tc>
          <w:tcPr>
            <w:tcW w:w="1530" w:type="dxa"/>
            <w:gridSpan w:val="2"/>
            <w:tcBorders>
              <w:top w:val="double" w:sz="6" w:space="0" w:color="auto"/>
              <w:left w:val="double" w:sz="6" w:space="0" w:color="auto"/>
              <w:bottom w:val="double" w:sz="6" w:space="0" w:color="auto"/>
              <w:right w:val="double" w:sz="6" w:space="0" w:color="auto"/>
            </w:tcBorders>
            <w:shd w:val="clear" w:color="000000" w:fill="D9D9D9"/>
            <w:hideMark/>
          </w:tcPr>
          <w:p w14:paraId="78581F7A"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Циљaна вредност у 2028.</w:t>
            </w:r>
          </w:p>
        </w:tc>
      </w:tr>
      <w:tr w:rsidR="002D36D9" w:rsidRPr="00EF2F18" w14:paraId="220B8D6F" w14:textId="77777777" w:rsidTr="002D36D9">
        <w:trPr>
          <w:trHeight w:val="1260"/>
        </w:trPr>
        <w:tc>
          <w:tcPr>
            <w:tcW w:w="3043" w:type="dxa"/>
            <w:tcBorders>
              <w:top w:val="double" w:sz="6" w:space="0" w:color="auto"/>
              <w:left w:val="double" w:sz="6" w:space="0" w:color="auto"/>
              <w:bottom w:val="double" w:sz="6" w:space="0" w:color="auto"/>
              <w:right w:val="double" w:sz="6" w:space="0" w:color="auto"/>
            </w:tcBorders>
            <w:shd w:val="clear" w:color="000000" w:fill="FFFFFF"/>
            <w:hideMark/>
          </w:tcPr>
          <w:p w14:paraId="478C2210"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Инсталиране нове мерне станице за потпуну покривеност целе територије Србије и нови систем за рано упозоравање на нуклеарни или радиолошки акцидент</w:t>
            </w:r>
          </w:p>
        </w:tc>
        <w:tc>
          <w:tcPr>
            <w:tcW w:w="1653" w:type="dxa"/>
            <w:tcBorders>
              <w:top w:val="double" w:sz="6" w:space="0" w:color="auto"/>
              <w:left w:val="double" w:sz="6" w:space="0" w:color="auto"/>
              <w:bottom w:val="double" w:sz="6" w:space="0" w:color="auto"/>
              <w:right w:val="double" w:sz="6" w:space="0" w:color="auto"/>
            </w:tcBorders>
            <w:shd w:val="clear" w:color="000000" w:fill="FFFFFF"/>
            <w:hideMark/>
          </w:tcPr>
          <w:p w14:paraId="6603A81C"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не/делимично/да</w:t>
            </w:r>
          </w:p>
        </w:tc>
        <w:tc>
          <w:tcPr>
            <w:tcW w:w="1279" w:type="dxa"/>
            <w:tcBorders>
              <w:top w:val="double" w:sz="6" w:space="0" w:color="auto"/>
              <w:left w:val="double" w:sz="6" w:space="0" w:color="auto"/>
              <w:bottom w:val="double" w:sz="6" w:space="0" w:color="auto"/>
              <w:right w:val="double" w:sz="6" w:space="0" w:color="auto"/>
            </w:tcBorders>
            <w:shd w:val="clear" w:color="000000" w:fill="FFFFFF"/>
            <w:hideMark/>
          </w:tcPr>
          <w:p w14:paraId="35553462"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Директорат за радијациону и нуклеарну сигурност и безбедност Србије</w:t>
            </w:r>
          </w:p>
        </w:tc>
        <w:tc>
          <w:tcPr>
            <w:tcW w:w="1853"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20C750E5"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не</w:t>
            </w:r>
          </w:p>
        </w:tc>
        <w:tc>
          <w:tcPr>
            <w:tcW w:w="1414" w:type="dxa"/>
            <w:tcBorders>
              <w:top w:val="double" w:sz="6" w:space="0" w:color="auto"/>
              <w:left w:val="double" w:sz="6" w:space="0" w:color="auto"/>
              <w:bottom w:val="double" w:sz="6" w:space="0" w:color="auto"/>
              <w:right w:val="double" w:sz="6" w:space="0" w:color="auto"/>
            </w:tcBorders>
            <w:shd w:val="clear" w:color="000000" w:fill="FFFFFF"/>
            <w:hideMark/>
          </w:tcPr>
          <w:p w14:paraId="19772B00"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2023.</w:t>
            </w:r>
          </w:p>
        </w:tc>
        <w:tc>
          <w:tcPr>
            <w:tcW w:w="1155" w:type="dxa"/>
            <w:tcBorders>
              <w:top w:val="double" w:sz="6" w:space="0" w:color="auto"/>
              <w:left w:val="double" w:sz="6" w:space="0" w:color="auto"/>
              <w:bottom w:val="double" w:sz="6" w:space="0" w:color="auto"/>
              <w:right w:val="double" w:sz="6" w:space="0" w:color="auto"/>
            </w:tcBorders>
            <w:shd w:val="clear" w:color="000000" w:fill="FFFFFF"/>
            <w:hideMark/>
          </w:tcPr>
          <w:p w14:paraId="5F22498D"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1730" w:type="dxa"/>
            <w:tcBorders>
              <w:top w:val="double" w:sz="6" w:space="0" w:color="auto"/>
              <w:left w:val="double" w:sz="6" w:space="0" w:color="auto"/>
              <w:bottom w:val="double" w:sz="6" w:space="0" w:color="auto"/>
              <w:right w:val="double" w:sz="6" w:space="0" w:color="auto"/>
            </w:tcBorders>
            <w:shd w:val="clear" w:color="000000" w:fill="FFFFFF"/>
            <w:hideMark/>
          </w:tcPr>
          <w:p w14:paraId="416C975D" w14:textId="77777777"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делимично</w:t>
            </w:r>
          </w:p>
        </w:tc>
        <w:tc>
          <w:tcPr>
            <w:tcW w:w="153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7DF7AF43" w14:textId="1A25E2EA" w:rsidR="002D36D9" w:rsidRPr="00EF2F18" w:rsidRDefault="002D36D9" w:rsidP="001B614A">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да</w:t>
            </w:r>
          </w:p>
        </w:tc>
      </w:tr>
    </w:tbl>
    <w:p w14:paraId="09D3DCF8" w14:textId="4E710191" w:rsidR="007D7243" w:rsidRPr="00EF2F18" w:rsidRDefault="007D7243" w:rsidP="007D7243">
      <w:pPr>
        <w:spacing w:after="0"/>
        <w:rPr>
          <w:lang w:val="sr-Cyrl-RS"/>
        </w:rPr>
      </w:pPr>
    </w:p>
    <w:tbl>
      <w:tblPr>
        <w:tblW w:w="13567" w:type="dxa"/>
        <w:tblLook w:val="04A0" w:firstRow="1" w:lastRow="0" w:firstColumn="1" w:lastColumn="0" w:noHBand="0" w:noVBand="1"/>
      </w:tblPr>
      <w:tblGrid>
        <w:gridCol w:w="3800"/>
        <w:gridCol w:w="2556"/>
        <w:gridCol w:w="2081"/>
        <w:gridCol w:w="2430"/>
        <w:gridCol w:w="2700"/>
      </w:tblGrid>
      <w:tr w:rsidR="007D7243" w:rsidRPr="00EF2F18" w14:paraId="30ED0534" w14:textId="77777777" w:rsidTr="002D36D9">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FD0D316"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93EC74A"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7211" w:type="dxa"/>
            <w:gridSpan w:val="3"/>
            <w:tcBorders>
              <w:top w:val="double" w:sz="6" w:space="0" w:color="auto"/>
              <w:left w:val="nil"/>
              <w:bottom w:val="double" w:sz="6" w:space="0" w:color="auto"/>
              <w:right w:val="double" w:sz="6" w:space="0" w:color="auto"/>
            </w:tcBorders>
            <w:shd w:val="clear" w:color="000000" w:fill="A8D08D"/>
            <w:hideMark/>
          </w:tcPr>
          <w:p w14:paraId="6870229E"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у 000 дин/еври.</w:t>
            </w:r>
          </w:p>
        </w:tc>
      </w:tr>
      <w:tr w:rsidR="002D36D9" w:rsidRPr="00EF2F18" w14:paraId="17C4B594" w14:textId="77777777" w:rsidTr="002D36D9">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0FED74C2"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23A4FA4A"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2081" w:type="dxa"/>
            <w:tcBorders>
              <w:top w:val="nil"/>
              <w:left w:val="nil"/>
              <w:bottom w:val="double" w:sz="6" w:space="0" w:color="auto"/>
              <w:right w:val="double" w:sz="6" w:space="0" w:color="auto"/>
            </w:tcBorders>
            <w:shd w:val="clear" w:color="000000" w:fill="A8D08D"/>
            <w:hideMark/>
          </w:tcPr>
          <w:p w14:paraId="4C0B8D9E" w14:textId="3727A109"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2026. године</w:t>
            </w:r>
          </w:p>
        </w:tc>
        <w:tc>
          <w:tcPr>
            <w:tcW w:w="2430" w:type="dxa"/>
            <w:tcBorders>
              <w:top w:val="nil"/>
              <w:left w:val="nil"/>
              <w:bottom w:val="double" w:sz="6" w:space="0" w:color="auto"/>
              <w:right w:val="double" w:sz="6" w:space="0" w:color="auto"/>
            </w:tcBorders>
            <w:shd w:val="clear" w:color="000000" w:fill="A8D08D"/>
            <w:hideMark/>
          </w:tcPr>
          <w:p w14:paraId="7244B991" w14:textId="383F056F"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 године</w:t>
            </w:r>
          </w:p>
        </w:tc>
        <w:tc>
          <w:tcPr>
            <w:tcW w:w="2700" w:type="dxa"/>
            <w:tcBorders>
              <w:top w:val="nil"/>
              <w:left w:val="nil"/>
              <w:bottom w:val="double" w:sz="6" w:space="0" w:color="auto"/>
              <w:right w:val="double" w:sz="6" w:space="0" w:color="auto"/>
            </w:tcBorders>
            <w:shd w:val="clear" w:color="000000" w:fill="A8D08D"/>
            <w:hideMark/>
          </w:tcPr>
          <w:p w14:paraId="518FE157" w14:textId="3E0CF092"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 године</w:t>
            </w:r>
          </w:p>
        </w:tc>
      </w:tr>
      <w:tr w:rsidR="002D36D9" w:rsidRPr="00EF2F18" w14:paraId="2B79D871" w14:textId="77777777" w:rsidTr="002D36D9">
        <w:trPr>
          <w:trHeight w:val="324"/>
        </w:trPr>
        <w:tc>
          <w:tcPr>
            <w:tcW w:w="3800" w:type="dxa"/>
            <w:tcBorders>
              <w:top w:val="nil"/>
              <w:left w:val="double" w:sz="6" w:space="0" w:color="auto"/>
              <w:bottom w:val="double" w:sz="6" w:space="0" w:color="auto"/>
              <w:right w:val="double" w:sz="6" w:space="0" w:color="auto"/>
            </w:tcBorders>
            <w:hideMark/>
          </w:tcPr>
          <w:p w14:paraId="7076A29D"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 (СРБАТОМ)</w:t>
            </w:r>
          </w:p>
        </w:tc>
        <w:tc>
          <w:tcPr>
            <w:tcW w:w="2556" w:type="dxa"/>
            <w:tcBorders>
              <w:top w:val="nil"/>
              <w:left w:val="nil"/>
              <w:bottom w:val="double" w:sz="6" w:space="0" w:color="auto"/>
              <w:right w:val="double" w:sz="6" w:space="0" w:color="auto"/>
            </w:tcBorders>
            <w:hideMark/>
          </w:tcPr>
          <w:p w14:paraId="1249558D" w14:textId="40CBE204"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0404-560-0005-451</w:t>
            </w:r>
          </w:p>
        </w:tc>
        <w:tc>
          <w:tcPr>
            <w:tcW w:w="2081" w:type="dxa"/>
            <w:tcBorders>
              <w:top w:val="nil"/>
              <w:left w:val="nil"/>
              <w:bottom w:val="double" w:sz="6" w:space="0" w:color="auto"/>
              <w:right w:val="double" w:sz="6" w:space="0" w:color="auto"/>
            </w:tcBorders>
            <w:hideMark/>
          </w:tcPr>
          <w:p w14:paraId="68D947B2" w14:textId="77777777"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17.850</w:t>
            </w:r>
          </w:p>
        </w:tc>
        <w:tc>
          <w:tcPr>
            <w:tcW w:w="2430" w:type="dxa"/>
            <w:tcBorders>
              <w:top w:val="nil"/>
              <w:left w:val="nil"/>
              <w:bottom w:val="double" w:sz="6" w:space="0" w:color="auto"/>
              <w:right w:val="double" w:sz="6" w:space="0" w:color="auto"/>
            </w:tcBorders>
            <w:hideMark/>
          </w:tcPr>
          <w:p w14:paraId="72A0540C" w14:textId="77777777"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17.850</w:t>
            </w:r>
          </w:p>
        </w:tc>
        <w:tc>
          <w:tcPr>
            <w:tcW w:w="2700" w:type="dxa"/>
            <w:tcBorders>
              <w:top w:val="nil"/>
              <w:left w:val="nil"/>
              <w:bottom w:val="double" w:sz="6" w:space="0" w:color="auto"/>
              <w:right w:val="double" w:sz="6" w:space="0" w:color="auto"/>
            </w:tcBorders>
            <w:hideMark/>
          </w:tcPr>
          <w:p w14:paraId="0BC54F24" w14:textId="0055FB4F"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17.850</w:t>
            </w:r>
          </w:p>
        </w:tc>
      </w:tr>
    </w:tbl>
    <w:p w14:paraId="7C714203" w14:textId="799E8B3C" w:rsidR="007D7243" w:rsidRDefault="007D7243" w:rsidP="007D7243">
      <w:pPr>
        <w:spacing w:after="0"/>
        <w:rPr>
          <w:lang w:val="sr-Cyrl-RS"/>
        </w:rPr>
      </w:pPr>
    </w:p>
    <w:p w14:paraId="52506BC4" w14:textId="54BC38C5" w:rsidR="00AA1C23" w:rsidRDefault="00AA1C23" w:rsidP="007D7243">
      <w:pPr>
        <w:spacing w:after="0"/>
        <w:rPr>
          <w:lang w:val="sr-Cyrl-RS"/>
        </w:rPr>
      </w:pPr>
    </w:p>
    <w:p w14:paraId="53DACF3B" w14:textId="77777777" w:rsidR="00AA1C23" w:rsidRPr="00EF2F18" w:rsidRDefault="00AA1C23" w:rsidP="007D7243">
      <w:pPr>
        <w:spacing w:after="0"/>
        <w:rPr>
          <w:lang w:val="sr-Cyrl-RS"/>
        </w:rP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1278"/>
        <w:gridCol w:w="1280"/>
        <w:gridCol w:w="1182"/>
        <w:gridCol w:w="1400"/>
        <w:gridCol w:w="1459"/>
        <w:gridCol w:w="1018"/>
        <w:gridCol w:w="1018"/>
        <w:gridCol w:w="2002"/>
      </w:tblGrid>
      <w:tr w:rsidR="007D7243" w:rsidRPr="00EF2F18" w14:paraId="53D20AE2" w14:textId="77777777" w:rsidTr="002D36D9">
        <w:trPr>
          <w:trHeight w:val="732"/>
        </w:trPr>
        <w:tc>
          <w:tcPr>
            <w:tcW w:w="2948" w:type="dxa"/>
            <w:vMerge w:val="restart"/>
            <w:shd w:val="clear" w:color="000000" w:fill="FFF2CC"/>
            <w:hideMark/>
          </w:tcPr>
          <w:p w14:paraId="1FFE5A9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Назив активности:</w:t>
            </w:r>
          </w:p>
        </w:tc>
        <w:tc>
          <w:tcPr>
            <w:tcW w:w="1278" w:type="dxa"/>
            <w:vMerge w:val="restart"/>
            <w:shd w:val="clear" w:color="000000" w:fill="FFF2CC"/>
            <w:hideMark/>
          </w:tcPr>
          <w:p w14:paraId="7BE5085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Орган који спроводи активност</w:t>
            </w:r>
          </w:p>
        </w:tc>
        <w:tc>
          <w:tcPr>
            <w:tcW w:w="1280" w:type="dxa"/>
            <w:vMerge w:val="restart"/>
            <w:shd w:val="clear" w:color="000000" w:fill="FFF2CC"/>
            <w:hideMark/>
          </w:tcPr>
          <w:p w14:paraId="1C7D32F8"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Oргани партнери у спровођењу активности</w:t>
            </w:r>
          </w:p>
        </w:tc>
        <w:tc>
          <w:tcPr>
            <w:tcW w:w="1182" w:type="dxa"/>
            <w:vMerge w:val="restart"/>
            <w:shd w:val="clear" w:color="000000" w:fill="FFF2CC"/>
            <w:hideMark/>
          </w:tcPr>
          <w:p w14:paraId="0A190D45"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Рок за завршетак активности</w:t>
            </w:r>
          </w:p>
        </w:tc>
        <w:tc>
          <w:tcPr>
            <w:tcW w:w="1400" w:type="dxa"/>
            <w:vMerge w:val="restart"/>
            <w:shd w:val="clear" w:color="000000" w:fill="FFF2CC"/>
            <w:hideMark/>
          </w:tcPr>
          <w:p w14:paraId="7E1EB3E1"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Извор финансирања</w:t>
            </w:r>
          </w:p>
        </w:tc>
        <w:tc>
          <w:tcPr>
            <w:tcW w:w="1459" w:type="dxa"/>
            <w:vMerge w:val="restart"/>
            <w:shd w:val="clear" w:color="000000" w:fill="FFF2CC"/>
            <w:hideMark/>
          </w:tcPr>
          <w:p w14:paraId="7AE7B832"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Веза са програмским буџетом</w:t>
            </w:r>
          </w:p>
        </w:tc>
        <w:tc>
          <w:tcPr>
            <w:tcW w:w="4038" w:type="dxa"/>
            <w:gridSpan w:val="3"/>
            <w:shd w:val="clear" w:color="000000" w:fill="FFF2CC"/>
            <w:hideMark/>
          </w:tcPr>
          <w:p w14:paraId="269240F0" w14:textId="77777777" w:rsidR="007D7243" w:rsidRPr="00EF2F18" w:rsidRDefault="007D7243" w:rsidP="00752CA0">
            <w:pPr>
              <w:spacing w:after="0"/>
              <w:jc w:val="center"/>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Укупна процењена финансијска средства по изворима у 000 дин/еври.</w:t>
            </w:r>
          </w:p>
        </w:tc>
      </w:tr>
      <w:tr w:rsidR="002D36D9" w:rsidRPr="00EF2F18" w14:paraId="74EFD258" w14:textId="77777777" w:rsidTr="002D36D9">
        <w:trPr>
          <w:trHeight w:val="441"/>
        </w:trPr>
        <w:tc>
          <w:tcPr>
            <w:tcW w:w="2948" w:type="dxa"/>
            <w:vMerge/>
            <w:vAlign w:val="center"/>
            <w:hideMark/>
          </w:tcPr>
          <w:p w14:paraId="3BF855D2"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1278" w:type="dxa"/>
            <w:vMerge/>
            <w:vAlign w:val="center"/>
            <w:hideMark/>
          </w:tcPr>
          <w:p w14:paraId="41012B56"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1280" w:type="dxa"/>
            <w:vMerge/>
            <w:vAlign w:val="center"/>
            <w:hideMark/>
          </w:tcPr>
          <w:p w14:paraId="64E8581C"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1182" w:type="dxa"/>
            <w:vMerge/>
            <w:vAlign w:val="center"/>
            <w:hideMark/>
          </w:tcPr>
          <w:p w14:paraId="40890A28"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1400" w:type="dxa"/>
            <w:vMerge/>
            <w:vAlign w:val="center"/>
            <w:hideMark/>
          </w:tcPr>
          <w:p w14:paraId="64576E28"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1459" w:type="dxa"/>
            <w:vMerge/>
            <w:vAlign w:val="center"/>
            <w:hideMark/>
          </w:tcPr>
          <w:p w14:paraId="0929D544" w14:textId="77777777" w:rsidR="002D36D9" w:rsidRPr="00EF2F18" w:rsidRDefault="002D36D9" w:rsidP="00752CA0">
            <w:pPr>
              <w:spacing w:after="0"/>
              <w:rPr>
                <w:rFonts w:eastAsia="Times New Roman" w:cs="Times New Roman"/>
                <w:color w:val="000000"/>
                <w:sz w:val="20"/>
                <w:szCs w:val="20"/>
                <w:lang w:val="sr-Cyrl-RS" w:eastAsia="sr-Cyrl-RS"/>
              </w:rPr>
            </w:pPr>
          </w:p>
        </w:tc>
        <w:tc>
          <w:tcPr>
            <w:tcW w:w="1018" w:type="dxa"/>
            <w:shd w:val="clear" w:color="000000" w:fill="FFF2CC"/>
            <w:hideMark/>
          </w:tcPr>
          <w:p w14:paraId="5A32C667" w14:textId="3782E518"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2026.</w:t>
            </w:r>
          </w:p>
        </w:tc>
        <w:tc>
          <w:tcPr>
            <w:tcW w:w="1018" w:type="dxa"/>
            <w:shd w:val="clear" w:color="000000" w:fill="FFF2CC"/>
            <w:hideMark/>
          </w:tcPr>
          <w:p w14:paraId="68F24E1C" w14:textId="7676A441"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2027.</w:t>
            </w:r>
          </w:p>
        </w:tc>
        <w:tc>
          <w:tcPr>
            <w:tcW w:w="2002" w:type="dxa"/>
            <w:shd w:val="clear" w:color="000000" w:fill="FFF2CC"/>
            <w:hideMark/>
          </w:tcPr>
          <w:p w14:paraId="32AB6935" w14:textId="4730A243" w:rsidR="002D36D9" w:rsidRPr="00EF2F18" w:rsidRDefault="002D36D9" w:rsidP="00752CA0">
            <w:pPr>
              <w:spacing w:after="0"/>
              <w:jc w:val="center"/>
              <w:rPr>
                <w:rFonts w:eastAsia="Times New Roman" w:cs="Times New Roman"/>
                <w:color w:val="000000"/>
                <w:sz w:val="20"/>
                <w:szCs w:val="20"/>
                <w:lang w:val="sr-Cyrl-RS" w:eastAsia="sr-Cyrl-RS"/>
              </w:rPr>
            </w:pPr>
            <w:r w:rsidRPr="00EF2F18">
              <w:rPr>
                <w:rFonts w:eastAsia="Times New Roman" w:cs="Times New Roman"/>
                <w:sz w:val="20"/>
                <w:szCs w:val="20"/>
                <w:lang w:val="sr-Cyrl-RS" w:eastAsia="sr-Cyrl-RS"/>
              </w:rPr>
              <w:t xml:space="preserve"> 2028.</w:t>
            </w:r>
          </w:p>
        </w:tc>
      </w:tr>
      <w:tr w:rsidR="002D36D9" w:rsidRPr="00EF2F18" w14:paraId="51FF177F" w14:textId="77777777" w:rsidTr="002D36D9">
        <w:trPr>
          <w:trHeight w:val="804"/>
        </w:trPr>
        <w:tc>
          <w:tcPr>
            <w:tcW w:w="2948" w:type="dxa"/>
            <w:hideMark/>
          </w:tcPr>
          <w:p w14:paraId="2F656DBC"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3.5.3.1. Спровођење мониторинга радиоактивности у животној средини</w:t>
            </w:r>
          </w:p>
        </w:tc>
        <w:tc>
          <w:tcPr>
            <w:tcW w:w="1278" w:type="dxa"/>
            <w:hideMark/>
          </w:tcPr>
          <w:p w14:paraId="612F9133"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СРБАТОМ</w:t>
            </w:r>
          </w:p>
        </w:tc>
        <w:tc>
          <w:tcPr>
            <w:tcW w:w="1280" w:type="dxa"/>
            <w:hideMark/>
          </w:tcPr>
          <w:p w14:paraId="78E22B70"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МЗЖС, МЗ, МНТРИ, МО, МУП</w:t>
            </w:r>
          </w:p>
        </w:tc>
        <w:tc>
          <w:tcPr>
            <w:tcW w:w="1182" w:type="dxa"/>
            <w:hideMark/>
          </w:tcPr>
          <w:p w14:paraId="17A966B2"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58D569A5"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xml:space="preserve">Буџетска средства </w:t>
            </w:r>
          </w:p>
        </w:tc>
        <w:tc>
          <w:tcPr>
            <w:tcW w:w="1459" w:type="dxa"/>
            <w:hideMark/>
          </w:tcPr>
          <w:p w14:paraId="0E42B483" w14:textId="48FDB05F"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0404-560-0005-451</w:t>
            </w:r>
          </w:p>
        </w:tc>
        <w:tc>
          <w:tcPr>
            <w:tcW w:w="1018" w:type="dxa"/>
            <w:hideMark/>
          </w:tcPr>
          <w:p w14:paraId="022DB624" w14:textId="77777777"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13.850</w:t>
            </w:r>
          </w:p>
        </w:tc>
        <w:tc>
          <w:tcPr>
            <w:tcW w:w="1018" w:type="dxa"/>
            <w:hideMark/>
          </w:tcPr>
          <w:p w14:paraId="2EB13BF3" w14:textId="77777777"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13.850</w:t>
            </w:r>
          </w:p>
        </w:tc>
        <w:tc>
          <w:tcPr>
            <w:tcW w:w="2002" w:type="dxa"/>
            <w:hideMark/>
          </w:tcPr>
          <w:p w14:paraId="6055ADF2" w14:textId="7D96AFA8"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13.850</w:t>
            </w:r>
          </w:p>
        </w:tc>
      </w:tr>
      <w:tr w:rsidR="002D36D9" w:rsidRPr="00EF2F18" w14:paraId="57F0202B" w14:textId="77777777" w:rsidTr="002D36D9">
        <w:trPr>
          <w:trHeight w:val="540"/>
        </w:trPr>
        <w:tc>
          <w:tcPr>
            <w:tcW w:w="2948" w:type="dxa"/>
            <w:hideMark/>
          </w:tcPr>
          <w:p w14:paraId="42354345"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3.5.3.2. Унапређење систeма ране најаве</w:t>
            </w:r>
          </w:p>
        </w:tc>
        <w:tc>
          <w:tcPr>
            <w:tcW w:w="1278" w:type="dxa"/>
            <w:hideMark/>
          </w:tcPr>
          <w:p w14:paraId="106289A2"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СРБАТОМ</w:t>
            </w:r>
          </w:p>
        </w:tc>
        <w:tc>
          <w:tcPr>
            <w:tcW w:w="1280" w:type="dxa"/>
            <w:hideMark/>
          </w:tcPr>
          <w:p w14:paraId="2F46BDFB"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 </w:t>
            </w:r>
          </w:p>
        </w:tc>
        <w:tc>
          <w:tcPr>
            <w:tcW w:w="1182" w:type="dxa"/>
            <w:hideMark/>
          </w:tcPr>
          <w:p w14:paraId="47F30D84"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 квартал 2028.</w:t>
            </w:r>
          </w:p>
        </w:tc>
        <w:tc>
          <w:tcPr>
            <w:tcW w:w="1400" w:type="dxa"/>
            <w:hideMark/>
          </w:tcPr>
          <w:p w14:paraId="525A57CB" w14:textId="77777777"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Буџетска средства</w:t>
            </w:r>
          </w:p>
        </w:tc>
        <w:tc>
          <w:tcPr>
            <w:tcW w:w="1459" w:type="dxa"/>
            <w:hideMark/>
          </w:tcPr>
          <w:p w14:paraId="6EE6F497" w14:textId="52F352BC" w:rsidR="002D36D9" w:rsidRPr="00EF2F18" w:rsidRDefault="002D36D9"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0404-560-0005-451</w:t>
            </w:r>
          </w:p>
        </w:tc>
        <w:tc>
          <w:tcPr>
            <w:tcW w:w="1018" w:type="dxa"/>
            <w:hideMark/>
          </w:tcPr>
          <w:p w14:paraId="5E441187" w14:textId="77777777"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4.000</w:t>
            </w:r>
          </w:p>
        </w:tc>
        <w:tc>
          <w:tcPr>
            <w:tcW w:w="1018" w:type="dxa"/>
            <w:hideMark/>
          </w:tcPr>
          <w:p w14:paraId="74615489" w14:textId="77777777"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4.000</w:t>
            </w:r>
          </w:p>
        </w:tc>
        <w:tc>
          <w:tcPr>
            <w:tcW w:w="2002" w:type="dxa"/>
            <w:hideMark/>
          </w:tcPr>
          <w:p w14:paraId="54F50C92" w14:textId="18DDB573" w:rsidR="002D36D9" w:rsidRPr="00EF2F18" w:rsidRDefault="002D36D9" w:rsidP="00752CA0">
            <w:pPr>
              <w:spacing w:after="0"/>
              <w:jc w:val="right"/>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4.000</w:t>
            </w:r>
          </w:p>
        </w:tc>
      </w:tr>
    </w:tbl>
    <w:p w14:paraId="320EF760" w14:textId="019C1765" w:rsidR="007D7243" w:rsidRPr="00EF2F18" w:rsidRDefault="00304D6D" w:rsidP="007D7243">
      <w:pPr>
        <w:rPr>
          <w:rFonts w:cs="Times New Roman"/>
          <w:sz w:val="20"/>
          <w:szCs w:val="20"/>
          <w:lang w:val="sr-Cyrl-RS"/>
        </w:rPr>
      </w:pPr>
      <w:r w:rsidRPr="00EF2F18">
        <w:rPr>
          <w:rFonts w:cs="Times New Roman"/>
          <w:sz w:val="20"/>
          <w:szCs w:val="20"/>
          <w:lang w:val="sr-Cyrl-RS"/>
        </w:rPr>
        <w:lastRenderedPageBreak/>
        <w:t>* Извори финансирања и/или средства још увек нису утврђени и/или обезбеђени.</w:t>
      </w:r>
    </w:p>
    <w:p w14:paraId="0334EAFB" w14:textId="77777777" w:rsidR="007D7243" w:rsidRPr="00EF2F18" w:rsidRDefault="007D7243" w:rsidP="007D7243">
      <w:pPr>
        <w:rPr>
          <w:rFonts w:cs="Times New Roman"/>
          <w:sz w:val="20"/>
          <w:szCs w:val="20"/>
          <w:lang w:val="sr-Cyrl-RS"/>
        </w:rPr>
      </w:pPr>
    </w:p>
    <w:tbl>
      <w:tblPr>
        <w:tblStyle w:val="TableGrid"/>
        <w:tblW w:w="13534" w:type="dxa"/>
        <w:tblLook w:val="04A0" w:firstRow="1" w:lastRow="0" w:firstColumn="1" w:lastColumn="0" w:noHBand="0" w:noVBand="1"/>
      </w:tblPr>
      <w:tblGrid>
        <w:gridCol w:w="4663"/>
        <w:gridCol w:w="1111"/>
        <w:gridCol w:w="1680"/>
        <w:gridCol w:w="1587"/>
        <w:gridCol w:w="1493"/>
        <w:gridCol w:w="1400"/>
        <w:gridCol w:w="1600"/>
      </w:tblGrid>
      <w:tr w:rsidR="007D7243" w:rsidRPr="00EF2F18" w14:paraId="56E4DEB5" w14:textId="77777777" w:rsidTr="00752CA0">
        <w:trPr>
          <w:trHeight w:val="454"/>
        </w:trPr>
        <w:tc>
          <w:tcPr>
            <w:tcW w:w="13534" w:type="dxa"/>
            <w:gridSpan w:val="7"/>
            <w:tcBorders>
              <w:top w:val="double" w:sz="4" w:space="0" w:color="auto"/>
              <w:left w:val="double" w:sz="4" w:space="0" w:color="auto"/>
              <w:right w:val="double" w:sz="4" w:space="0" w:color="auto"/>
            </w:tcBorders>
            <w:shd w:val="clear" w:color="auto" w:fill="DEEAF6" w:themeFill="accent1" w:themeFillTint="33"/>
          </w:tcPr>
          <w:p w14:paraId="20274F24" w14:textId="77777777" w:rsidR="007D7243" w:rsidRPr="00EF2F18" w:rsidRDefault="007D7243" w:rsidP="00752CA0">
            <w:pPr>
              <w:spacing w:after="0"/>
              <w:rPr>
                <w:rFonts w:cs="Times New Roman"/>
                <w:b/>
                <w:sz w:val="20"/>
                <w:szCs w:val="20"/>
                <w:lang w:val="sr-Cyrl-RS"/>
              </w:rPr>
            </w:pPr>
            <w:r w:rsidRPr="00EF2F18">
              <w:rPr>
                <w:rFonts w:cs="Times New Roman"/>
                <w:b/>
                <w:sz w:val="20"/>
                <w:szCs w:val="20"/>
                <w:lang w:val="sr-Cyrl-RS"/>
              </w:rPr>
              <w:t xml:space="preserve">Општи циљ 4: Унапређење заштите природе, очувања биодиверзитета и одрживо коришћење природних ресурса </w:t>
            </w:r>
          </w:p>
          <w:p w14:paraId="1F13D526" w14:textId="77777777" w:rsidR="007D7243" w:rsidRPr="00EF2F18" w:rsidRDefault="007D7243" w:rsidP="00752CA0">
            <w:pPr>
              <w:rPr>
                <w:rFonts w:cs="Times New Roman"/>
                <w:b/>
                <w:sz w:val="20"/>
                <w:szCs w:val="20"/>
                <w:lang w:val="sr-Cyrl-RS"/>
              </w:rPr>
            </w:pPr>
          </w:p>
        </w:tc>
      </w:tr>
      <w:tr w:rsidR="007D7243" w:rsidRPr="00EF2F18" w14:paraId="3B3A3BC3" w14:textId="77777777" w:rsidTr="00752CA0">
        <w:trPr>
          <w:trHeight w:val="424"/>
        </w:trPr>
        <w:tc>
          <w:tcPr>
            <w:tcW w:w="13534" w:type="dxa"/>
            <w:gridSpan w:val="7"/>
            <w:tcBorders>
              <w:top w:val="double" w:sz="4" w:space="0" w:color="auto"/>
            </w:tcBorders>
            <w:shd w:val="clear" w:color="auto" w:fill="DEEAF6" w:themeFill="accent1" w:themeFillTint="33"/>
          </w:tcPr>
          <w:p w14:paraId="25409FAB" w14:textId="77777777" w:rsidR="007D7243" w:rsidRPr="00EF2F18" w:rsidRDefault="007D7243" w:rsidP="00752CA0">
            <w:pPr>
              <w:rPr>
                <w:rFonts w:cs="Times New Roman"/>
                <w:sz w:val="20"/>
                <w:szCs w:val="20"/>
                <w:lang w:val="sr-Cyrl-RS"/>
              </w:rPr>
            </w:pPr>
            <w:r w:rsidRPr="00EF2F18">
              <w:rPr>
                <w:rFonts w:eastAsia="Times New Roman" w:cs="Times New Roman"/>
                <w:color w:val="222222"/>
                <w:sz w:val="20"/>
                <w:szCs w:val="20"/>
                <w:lang w:val="sr-Cyrl-RS"/>
              </w:rPr>
              <w:t xml:space="preserve">Институција одговорна за праћење и контролу реализације: </w:t>
            </w:r>
            <w:r w:rsidRPr="00EF2F18">
              <w:rPr>
                <w:rFonts w:cs="Times New Roman"/>
                <w:sz w:val="20"/>
                <w:szCs w:val="20"/>
                <w:lang w:val="sr-Cyrl-RS"/>
              </w:rPr>
              <w:t xml:space="preserve">Министарство заштите животне средине </w:t>
            </w:r>
          </w:p>
        </w:tc>
      </w:tr>
      <w:tr w:rsidR="007D7243" w:rsidRPr="00EF2F18" w14:paraId="0D156131" w14:textId="77777777" w:rsidTr="00752CA0">
        <w:trPr>
          <w:trHeight w:val="424"/>
        </w:trPr>
        <w:tc>
          <w:tcPr>
            <w:tcW w:w="4663" w:type="dxa"/>
            <w:tcBorders>
              <w:top w:val="double" w:sz="4" w:space="0" w:color="auto"/>
            </w:tcBorders>
            <w:shd w:val="clear" w:color="auto" w:fill="D9D9D9" w:themeFill="background1" w:themeFillShade="D9"/>
          </w:tcPr>
          <w:p w14:paraId="44137D1C"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 xml:space="preserve">Показатељ (и) на нивоу oпштег циља </w:t>
            </w:r>
            <w:r w:rsidRPr="00EF2F18">
              <w:rPr>
                <w:rFonts w:cs="Times New Roman"/>
                <w:i/>
                <w:sz w:val="20"/>
                <w:szCs w:val="20"/>
                <w:lang w:val="sr-Cyrl-RS"/>
              </w:rPr>
              <w:t>(показатељ eфекта)</w:t>
            </w:r>
          </w:p>
        </w:tc>
        <w:tc>
          <w:tcPr>
            <w:tcW w:w="1111" w:type="dxa"/>
            <w:tcBorders>
              <w:top w:val="double" w:sz="4" w:space="0" w:color="auto"/>
            </w:tcBorders>
            <w:shd w:val="clear" w:color="auto" w:fill="D9D9D9" w:themeFill="background1" w:themeFillShade="D9"/>
          </w:tcPr>
          <w:p w14:paraId="3AB369C6"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Jединица мере</w:t>
            </w:r>
          </w:p>
          <w:p w14:paraId="0FED992A" w14:textId="77777777" w:rsidR="007D7243" w:rsidRPr="00EF2F18" w:rsidRDefault="007D7243" w:rsidP="00752CA0">
            <w:pPr>
              <w:rPr>
                <w:rFonts w:cs="Times New Roman"/>
                <w:sz w:val="20"/>
                <w:szCs w:val="20"/>
                <w:lang w:val="sr-Cyrl-RS"/>
              </w:rPr>
            </w:pPr>
          </w:p>
        </w:tc>
        <w:tc>
          <w:tcPr>
            <w:tcW w:w="1680" w:type="dxa"/>
            <w:tcBorders>
              <w:top w:val="double" w:sz="4" w:space="0" w:color="auto"/>
            </w:tcBorders>
            <w:shd w:val="clear" w:color="auto" w:fill="D9D9D9" w:themeFill="background1" w:themeFillShade="D9"/>
          </w:tcPr>
          <w:p w14:paraId="291997A2"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Извор провере</w:t>
            </w:r>
          </w:p>
        </w:tc>
        <w:tc>
          <w:tcPr>
            <w:tcW w:w="1587" w:type="dxa"/>
            <w:tcBorders>
              <w:top w:val="double" w:sz="4" w:space="0" w:color="auto"/>
            </w:tcBorders>
            <w:shd w:val="clear" w:color="auto" w:fill="D9D9D9" w:themeFill="background1" w:themeFillShade="D9"/>
          </w:tcPr>
          <w:p w14:paraId="55DADE3E"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 xml:space="preserve">Почетна вредност </w:t>
            </w:r>
          </w:p>
        </w:tc>
        <w:tc>
          <w:tcPr>
            <w:tcW w:w="1493" w:type="dxa"/>
            <w:tcBorders>
              <w:top w:val="double" w:sz="4" w:space="0" w:color="auto"/>
            </w:tcBorders>
            <w:shd w:val="clear" w:color="auto" w:fill="D9D9D9" w:themeFill="background1" w:themeFillShade="D9"/>
          </w:tcPr>
          <w:p w14:paraId="488CD9CC"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 xml:space="preserve">Базна година </w:t>
            </w:r>
          </w:p>
        </w:tc>
        <w:tc>
          <w:tcPr>
            <w:tcW w:w="1400" w:type="dxa"/>
            <w:tcBorders>
              <w:top w:val="double" w:sz="4" w:space="0" w:color="auto"/>
            </w:tcBorders>
            <w:shd w:val="clear" w:color="auto" w:fill="D9D9D9" w:themeFill="background1" w:themeFillShade="D9"/>
          </w:tcPr>
          <w:p w14:paraId="5E8C48D0"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 xml:space="preserve">Циљaна вредност </w:t>
            </w:r>
          </w:p>
        </w:tc>
        <w:tc>
          <w:tcPr>
            <w:tcW w:w="1600" w:type="dxa"/>
            <w:tcBorders>
              <w:top w:val="double" w:sz="4" w:space="0" w:color="auto"/>
            </w:tcBorders>
            <w:shd w:val="clear" w:color="auto" w:fill="D9D9D9" w:themeFill="background1" w:themeFillShade="D9"/>
          </w:tcPr>
          <w:p w14:paraId="46D24E5F" w14:textId="77777777" w:rsidR="007D7243" w:rsidRPr="00EF2F18" w:rsidRDefault="007D7243" w:rsidP="00752CA0">
            <w:pPr>
              <w:rPr>
                <w:rFonts w:cs="Times New Roman"/>
                <w:sz w:val="20"/>
                <w:szCs w:val="20"/>
                <w:lang w:val="sr-Cyrl-RS"/>
              </w:rPr>
            </w:pPr>
            <w:r w:rsidRPr="00EF2F18">
              <w:rPr>
                <w:rFonts w:cs="Times New Roman"/>
                <w:sz w:val="20"/>
                <w:szCs w:val="20"/>
                <w:lang w:val="sr-Cyrl-RS"/>
              </w:rPr>
              <w:t xml:space="preserve">Последња година важења АП </w:t>
            </w:r>
          </w:p>
        </w:tc>
      </w:tr>
      <w:tr w:rsidR="007D7243" w:rsidRPr="00EF2F18" w14:paraId="25C0B98F" w14:textId="77777777" w:rsidTr="00752CA0">
        <w:trPr>
          <w:trHeight w:val="197"/>
        </w:trPr>
        <w:tc>
          <w:tcPr>
            <w:tcW w:w="4663" w:type="dxa"/>
            <w:tcBorders>
              <w:top w:val="double" w:sz="4" w:space="0" w:color="auto"/>
              <w:bottom w:val="single" w:sz="4" w:space="0" w:color="auto"/>
            </w:tcBorders>
            <w:shd w:val="clear" w:color="auto" w:fill="FFFFFF" w:themeFill="background1"/>
          </w:tcPr>
          <w:p w14:paraId="083E3DA4"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Удео територије под заштитом у односу на површину Републике Србијe</w:t>
            </w:r>
          </w:p>
        </w:tc>
        <w:tc>
          <w:tcPr>
            <w:tcW w:w="1111" w:type="dxa"/>
            <w:tcBorders>
              <w:top w:val="double" w:sz="4" w:space="0" w:color="auto"/>
              <w:bottom w:val="single" w:sz="4" w:space="0" w:color="auto"/>
            </w:tcBorders>
            <w:shd w:val="clear" w:color="auto" w:fill="FFFFFF" w:themeFill="background1"/>
          </w:tcPr>
          <w:p w14:paraId="56CF6FD4"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80" w:type="dxa"/>
            <w:tcBorders>
              <w:top w:val="double" w:sz="4" w:space="0" w:color="auto"/>
              <w:bottom w:val="single" w:sz="4" w:space="0" w:color="auto"/>
            </w:tcBorders>
            <w:shd w:val="clear" w:color="auto" w:fill="FFFFFF" w:themeFill="background1"/>
          </w:tcPr>
          <w:p w14:paraId="6F01FB25"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Национални регистар заштићених подручја</w:t>
            </w:r>
          </w:p>
        </w:tc>
        <w:tc>
          <w:tcPr>
            <w:tcW w:w="1587" w:type="dxa"/>
            <w:tcBorders>
              <w:top w:val="double" w:sz="4" w:space="0" w:color="auto"/>
              <w:bottom w:val="single" w:sz="4" w:space="0" w:color="auto"/>
            </w:tcBorders>
            <w:shd w:val="clear" w:color="auto" w:fill="FFFFFF" w:themeFill="background1"/>
          </w:tcPr>
          <w:p w14:paraId="3A0CA032"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9,53</w:t>
            </w:r>
          </w:p>
        </w:tc>
        <w:tc>
          <w:tcPr>
            <w:tcW w:w="1493" w:type="dxa"/>
            <w:tcBorders>
              <w:top w:val="double" w:sz="4" w:space="0" w:color="auto"/>
              <w:bottom w:val="single" w:sz="4" w:space="0" w:color="auto"/>
            </w:tcBorders>
            <w:shd w:val="clear" w:color="auto" w:fill="FFFFFF" w:themeFill="background1"/>
          </w:tcPr>
          <w:p w14:paraId="116A6B6B"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2023.</w:t>
            </w:r>
          </w:p>
        </w:tc>
        <w:tc>
          <w:tcPr>
            <w:tcW w:w="1400" w:type="dxa"/>
            <w:tcBorders>
              <w:top w:val="double" w:sz="4" w:space="0" w:color="auto"/>
              <w:bottom w:val="single" w:sz="4" w:space="0" w:color="auto"/>
            </w:tcBorders>
            <w:shd w:val="clear" w:color="auto" w:fill="FFFFFF" w:themeFill="background1"/>
          </w:tcPr>
          <w:p w14:paraId="3AA7A5C3"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13</w:t>
            </w:r>
          </w:p>
        </w:tc>
        <w:tc>
          <w:tcPr>
            <w:tcW w:w="1600" w:type="dxa"/>
            <w:tcBorders>
              <w:top w:val="double" w:sz="4" w:space="0" w:color="auto"/>
              <w:bottom w:val="single" w:sz="4" w:space="0" w:color="auto"/>
            </w:tcBorders>
            <w:shd w:val="clear" w:color="auto" w:fill="FFFFFF" w:themeFill="background1"/>
          </w:tcPr>
          <w:p w14:paraId="4C8F0507"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bl>
    <w:p w14:paraId="090348C5" w14:textId="77777777" w:rsidR="00382D07" w:rsidRPr="00EF2F18" w:rsidRDefault="00382D07" w:rsidP="007D7243">
      <w:pPr>
        <w:rPr>
          <w:rFonts w:cs="Times New Roman"/>
          <w:sz w:val="20"/>
          <w:szCs w:val="20"/>
          <w:lang w:val="sr-Cyrl-RS"/>
        </w:rPr>
      </w:pPr>
    </w:p>
    <w:tbl>
      <w:tblPr>
        <w:tblW w:w="13803" w:type="dxa"/>
        <w:tblCellMar>
          <w:top w:w="15" w:type="dxa"/>
        </w:tblCellMar>
        <w:tblLook w:val="04A0" w:firstRow="1" w:lastRow="0" w:firstColumn="1" w:lastColumn="0" w:noHBand="0" w:noVBand="1"/>
      </w:tblPr>
      <w:tblGrid>
        <w:gridCol w:w="3663"/>
        <w:gridCol w:w="1152"/>
        <w:gridCol w:w="1503"/>
        <w:gridCol w:w="1265"/>
        <w:gridCol w:w="1085"/>
        <w:gridCol w:w="1265"/>
        <w:gridCol w:w="1654"/>
        <w:gridCol w:w="1980"/>
        <w:gridCol w:w="236"/>
      </w:tblGrid>
      <w:tr w:rsidR="007D7243" w:rsidRPr="00EF2F18" w14:paraId="3FA0768B" w14:textId="77777777" w:rsidTr="002D36D9">
        <w:trPr>
          <w:gridAfter w:val="1"/>
          <w:wAfter w:w="236" w:type="dxa"/>
          <w:trHeight w:val="528"/>
        </w:trPr>
        <w:tc>
          <w:tcPr>
            <w:tcW w:w="13567" w:type="dxa"/>
            <w:gridSpan w:val="8"/>
            <w:tcBorders>
              <w:top w:val="double" w:sz="6" w:space="0" w:color="auto"/>
              <w:left w:val="double" w:sz="6" w:space="0" w:color="auto"/>
              <w:bottom w:val="double" w:sz="6" w:space="0" w:color="auto"/>
              <w:right w:val="double" w:sz="6" w:space="0" w:color="auto"/>
            </w:tcBorders>
            <w:shd w:val="clear" w:color="000000" w:fill="C5E0B3"/>
            <w:hideMark/>
          </w:tcPr>
          <w:p w14:paraId="7B9FE1A5" w14:textId="52BBCDF8"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4.1: Развијање ефикасног система управљања врстама, типовима станишта, заштићеним подручјима и еколошком мрежом укључујући и NATURA 2000</w:t>
            </w:r>
            <w:r w:rsidR="00FA7222" w:rsidRPr="00EF2F18">
              <w:rPr>
                <w:rFonts w:eastAsia="Times New Roman" w:cs="Times New Roman"/>
                <w:b/>
                <w:bCs/>
                <w:color w:val="000000"/>
                <w:sz w:val="20"/>
                <w:szCs w:val="20"/>
                <w:lang w:val="sr-Cyrl-RS" w:eastAsia="en-GB"/>
              </w:rPr>
              <w:t xml:space="preserve"> </w:t>
            </w:r>
            <w:r w:rsidRPr="00EF2F18">
              <w:rPr>
                <w:rFonts w:eastAsia="Times New Roman" w:cs="Times New Roman"/>
                <w:b/>
                <w:bCs/>
                <w:color w:val="000000"/>
                <w:sz w:val="20"/>
                <w:szCs w:val="20"/>
                <w:lang w:val="sr-Cyrl-RS" w:eastAsia="en-GB"/>
              </w:rPr>
              <w:t>и праћење стања кључних екосистемских услуга</w:t>
            </w:r>
          </w:p>
        </w:tc>
      </w:tr>
      <w:tr w:rsidR="007D7243" w:rsidRPr="00EF2F18" w14:paraId="6E32FAAB" w14:textId="77777777" w:rsidTr="002D36D9">
        <w:trPr>
          <w:gridAfter w:val="1"/>
          <w:wAfter w:w="236" w:type="dxa"/>
          <w:trHeight w:val="336"/>
        </w:trPr>
        <w:tc>
          <w:tcPr>
            <w:tcW w:w="13567" w:type="dxa"/>
            <w:gridSpan w:val="8"/>
            <w:tcBorders>
              <w:top w:val="double" w:sz="6" w:space="0" w:color="auto"/>
              <w:left w:val="double" w:sz="6" w:space="0" w:color="auto"/>
              <w:bottom w:val="double" w:sz="6" w:space="0" w:color="auto"/>
              <w:right w:val="double" w:sz="6" w:space="0" w:color="auto"/>
            </w:tcBorders>
            <w:shd w:val="clear" w:color="000000" w:fill="C5E0B3"/>
            <w:hideMark/>
          </w:tcPr>
          <w:p w14:paraId="09F0993A"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Институција одговорна за координацију и извештавање: Министарство заштите животне средине </w:t>
            </w:r>
          </w:p>
        </w:tc>
      </w:tr>
      <w:tr w:rsidR="002D36D9" w:rsidRPr="00EF2F18" w14:paraId="15ED8606" w14:textId="77777777" w:rsidTr="002D36D9">
        <w:trPr>
          <w:gridAfter w:val="1"/>
          <w:wAfter w:w="236" w:type="dxa"/>
          <w:trHeight w:val="468"/>
        </w:trPr>
        <w:tc>
          <w:tcPr>
            <w:tcW w:w="3663" w:type="dxa"/>
            <w:vMerge w:val="restart"/>
            <w:tcBorders>
              <w:top w:val="nil"/>
              <w:left w:val="double" w:sz="6" w:space="0" w:color="auto"/>
              <w:bottom w:val="double" w:sz="6" w:space="0" w:color="000000"/>
              <w:right w:val="single" w:sz="8" w:space="0" w:color="auto"/>
            </w:tcBorders>
            <w:shd w:val="clear" w:color="000000" w:fill="D9D9D9"/>
            <w:hideMark/>
          </w:tcPr>
          <w:p w14:paraId="34C75F98"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52" w:type="dxa"/>
            <w:vMerge w:val="restart"/>
            <w:tcBorders>
              <w:top w:val="nil"/>
              <w:left w:val="single" w:sz="8" w:space="0" w:color="auto"/>
              <w:bottom w:val="double" w:sz="6" w:space="0" w:color="000000"/>
              <w:right w:val="single" w:sz="8" w:space="0" w:color="auto"/>
            </w:tcBorders>
            <w:shd w:val="clear" w:color="000000" w:fill="D9D9D9"/>
            <w:hideMark/>
          </w:tcPr>
          <w:p w14:paraId="5FAB0C3B"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503" w:type="dxa"/>
            <w:vMerge w:val="restart"/>
            <w:tcBorders>
              <w:top w:val="nil"/>
              <w:left w:val="single" w:sz="8" w:space="0" w:color="auto"/>
              <w:bottom w:val="double" w:sz="6" w:space="0" w:color="000000"/>
              <w:right w:val="single" w:sz="8" w:space="0" w:color="auto"/>
            </w:tcBorders>
            <w:shd w:val="clear" w:color="000000" w:fill="D9D9D9"/>
            <w:hideMark/>
          </w:tcPr>
          <w:p w14:paraId="40010E3F"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265" w:type="dxa"/>
            <w:vMerge w:val="restart"/>
            <w:tcBorders>
              <w:top w:val="nil"/>
              <w:left w:val="single" w:sz="8" w:space="0" w:color="auto"/>
              <w:bottom w:val="double" w:sz="6" w:space="0" w:color="000000"/>
              <w:right w:val="single" w:sz="8" w:space="0" w:color="auto"/>
            </w:tcBorders>
            <w:shd w:val="clear" w:color="000000" w:fill="D9D9D9"/>
            <w:hideMark/>
          </w:tcPr>
          <w:p w14:paraId="038C666D"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085" w:type="dxa"/>
            <w:vMerge w:val="restart"/>
            <w:tcBorders>
              <w:top w:val="nil"/>
              <w:left w:val="single" w:sz="8" w:space="0" w:color="auto"/>
              <w:bottom w:val="double" w:sz="6" w:space="0" w:color="000000"/>
              <w:right w:val="single" w:sz="8" w:space="0" w:color="auto"/>
            </w:tcBorders>
            <w:shd w:val="clear" w:color="000000" w:fill="D9D9D9"/>
            <w:hideMark/>
          </w:tcPr>
          <w:p w14:paraId="3C42076A"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265" w:type="dxa"/>
            <w:vMerge w:val="restart"/>
            <w:tcBorders>
              <w:top w:val="nil"/>
              <w:left w:val="single" w:sz="8" w:space="0" w:color="auto"/>
              <w:bottom w:val="double" w:sz="6" w:space="0" w:color="000000"/>
              <w:right w:val="single" w:sz="8" w:space="0" w:color="auto"/>
            </w:tcBorders>
            <w:shd w:val="clear" w:color="000000" w:fill="D9D9D9"/>
            <w:hideMark/>
          </w:tcPr>
          <w:p w14:paraId="7F723EA4"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654" w:type="dxa"/>
            <w:vMerge w:val="restart"/>
            <w:tcBorders>
              <w:top w:val="nil"/>
              <w:left w:val="single" w:sz="8" w:space="0" w:color="auto"/>
              <w:bottom w:val="double" w:sz="6" w:space="0" w:color="000000"/>
              <w:right w:val="single" w:sz="8" w:space="0" w:color="auto"/>
            </w:tcBorders>
            <w:shd w:val="clear" w:color="000000" w:fill="D9D9D9"/>
            <w:hideMark/>
          </w:tcPr>
          <w:p w14:paraId="5CDA0C97"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980" w:type="dxa"/>
            <w:vMerge w:val="restart"/>
            <w:tcBorders>
              <w:top w:val="nil"/>
              <w:left w:val="single" w:sz="8" w:space="0" w:color="auto"/>
              <w:bottom w:val="double" w:sz="6" w:space="0" w:color="000000"/>
              <w:right w:val="double" w:sz="6" w:space="0" w:color="auto"/>
            </w:tcBorders>
            <w:shd w:val="clear" w:color="000000" w:fill="D9D9D9"/>
            <w:hideMark/>
          </w:tcPr>
          <w:p w14:paraId="3421F62A"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2D36D9" w:rsidRPr="00EF2F18" w14:paraId="279F8D80" w14:textId="77777777" w:rsidTr="002D36D9">
        <w:trPr>
          <w:trHeight w:val="324"/>
        </w:trPr>
        <w:tc>
          <w:tcPr>
            <w:tcW w:w="3663" w:type="dxa"/>
            <w:vMerge/>
            <w:tcBorders>
              <w:top w:val="nil"/>
              <w:left w:val="double" w:sz="6" w:space="0" w:color="auto"/>
              <w:bottom w:val="double" w:sz="6" w:space="0" w:color="000000"/>
              <w:right w:val="single" w:sz="8" w:space="0" w:color="auto"/>
            </w:tcBorders>
            <w:hideMark/>
          </w:tcPr>
          <w:p w14:paraId="543B42B6" w14:textId="77777777" w:rsidR="002D36D9" w:rsidRPr="00EF2F18" w:rsidRDefault="002D36D9" w:rsidP="00752CA0">
            <w:pPr>
              <w:spacing w:after="0"/>
              <w:rPr>
                <w:rFonts w:eastAsia="Times New Roman" w:cs="Times New Roman"/>
                <w:color w:val="000000"/>
                <w:sz w:val="20"/>
                <w:szCs w:val="20"/>
                <w:lang w:val="sr-Cyrl-RS" w:eastAsia="en-GB"/>
              </w:rPr>
            </w:pPr>
          </w:p>
        </w:tc>
        <w:tc>
          <w:tcPr>
            <w:tcW w:w="1152" w:type="dxa"/>
            <w:vMerge/>
            <w:tcBorders>
              <w:top w:val="nil"/>
              <w:left w:val="single" w:sz="8" w:space="0" w:color="auto"/>
              <w:bottom w:val="double" w:sz="6" w:space="0" w:color="000000"/>
              <w:right w:val="single" w:sz="8" w:space="0" w:color="auto"/>
            </w:tcBorders>
            <w:hideMark/>
          </w:tcPr>
          <w:p w14:paraId="007B123E" w14:textId="77777777" w:rsidR="002D36D9" w:rsidRPr="00EF2F18" w:rsidRDefault="002D36D9" w:rsidP="00752CA0">
            <w:pPr>
              <w:spacing w:after="0"/>
              <w:rPr>
                <w:rFonts w:eastAsia="Times New Roman" w:cs="Times New Roman"/>
                <w:color w:val="000000"/>
                <w:sz w:val="20"/>
                <w:szCs w:val="20"/>
                <w:lang w:val="sr-Cyrl-RS" w:eastAsia="en-GB"/>
              </w:rPr>
            </w:pPr>
          </w:p>
        </w:tc>
        <w:tc>
          <w:tcPr>
            <w:tcW w:w="1503" w:type="dxa"/>
            <w:vMerge/>
            <w:tcBorders>
              <w:top w:val="nil"/>
              <w:left w:val="single" w:sz="8" w:space="0" w:color="auto"/>
              <w:bottom w:val="double" w:sz="6" w:space="0" w:color="000000"/>
              <w:right w:val="single" w:sz="8" w:space="0" w:color="auto"/>
            </w:tcBorders>
            <w:hideMark/>
          </w:tcPr>
          <w:p w14:paraId="0C778B00" w14:textId="77777777" w:rsidR="002D36D9" w:rsidRPr="00EF2F18" w:rsidRDefault="002D36D9"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double" w:sz="6" w:space="0" w:color="000000"/>
              <w:right w:val="single" w:sz="8" w:space="0" w:color="auto"/>
            </w:tcBorders>
            <w:hideMark/>
          </w:tcPr>
          <w:p w14:paraId="611C3480" w14:textId="77777777" w:rsidR="002D36D9" w:rsidRPr="00EF2F18" w:rsidRDefault="002D36D9" w:rsidP="00752CA0">
            <w:pPr>
              <w:spacing w:after="0"/>
              <w:rPr>
                <w:rFonts w:eastAsia="Times New Roman" w:cs="Times New Roman"/>
                <w:color w:val="000000"/>
                <w:sz w:val="20"/>
                <w:szCs w:val="20"/>
                <w:lang w:val="sr-Cyrl-RS" w:eastAsia="en-GB"/>
              </w:rPr>
            </w:pPr>
          </w:p>
        </w:tc>
        <w:tc>
          <w:tcPr>
            <w:tcW w:w="1085" w:type="dxa"/>
            <w:vMerge/>
            <w:tcBorders>
              <w:top w:val="nil"/>
              <w:left w:val="single" w:sz="8" w:space="0" w:color="auto"/>
              <w:bottom w:val="double" w:sz="6" w:space="0" w:color="000000"/>
              <w:right w:val="single" w:sz="8" w:space="0" w:color="auto"/>
            </w:tcBorders>
            <w:hideMark/>
          </w:tcPr>
          <w:p w14:paraId="1216EC01" w14:textId="77777777" w:rsidR="002D36D9" w:rsidRPr="00EF2F18" w:rsidRDefault="002D36D9"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double" w:sz="6" w:space="0" w:color="000000"/>
              <w:right w:val="single" w:sz="8" w:space="0" w:color="auto"/>
            </w:tcBorders>
            <w:hideMark/>
          </w:tcPr>
          <w:p w14:paraId="0DFDEB9D" w14:textId="77777777" w:rsidR="002D36D9" w:rsidRPr="00EF2F18" w:rsidRDefault="002D36D9" w:rsidP="00752CA0">
            <w:pPr>
              <w:spacing w:after="0"/>
              <w:rPr>
                <w:rFonts w:eastAsia="Times New Roman" w:cs="Times New Roman"/>
                <w:color w:val="000000"/>
                <w:sz w:val="20"/>
                <w:szCs w:val="20"/>
                <w:lang w:val="sr-Cyrl-RS" w:eastAsia="en-GB"/>
              </w:rPr>
            </w:pPr>
          </w:p>
        </w:tc>
        <w:tc>
          <w:tcPr>
            <w:tcW w:w="1654" w:type="dxa"/>
            <w:vMerge/>
            <w:tcBorders>
              <w:top w:val="nil"/>
              <w:left w:val="single" w:sz="8" w:space="0" w:color="auto"/>
              <w:bottom w:val="double" w:sz="6" w:space="0" w:color="000000"/>
              <w:right w:val="single" w:sz="8" w:space="0" w:color="auto"/>
            </w:tcBorders>
            <w:hideMark/>
          </w:tcPr>
          <w:p w14:paraId="61449D55" w14:textId="77777777" w:rsidR="002D36D9" w:rsidRPr="00EF2F18" w:rsidRDefault="002D36D9" w:rsidP="00752CA0">
            <w:pPr>
              <w:spacing w:after="0"/>
              <w:rPr>
                <w:rFonts w:eastAsia="Times New Roman" w:cs="Times New Roman"/>
                <w:color w:val="000000"/>
                <w:sz w:val="20"/>
                <w:szCs w:val="20"/>
                <w:lang w:val="sr-Cyrl-RS" w:eastAsia="en-GB"/>
              </w:rPr>
            </w:pPr>
          </w:p>
        </w:tc>
        <w:tc>
          <w:tcPr>
            <w:tcW w:w="1980" w:type="dxa"/>
            <w:vMerge/>
            <w:tcBorders>
              <w:top w:val="nil"/>
              <w:left w:val="single" w:sz="8" w:space="0" w:color="auto"/>
              <w:bottom w:val="double" w:sz="6" w:space="0" w:color="000000"/>
              <w:right w:val="double" w:sz="6" w:space="0" w:color="auto"/>
            </w:tcBorders>
            <w:hideMark/>
          </w:tcPr>
          <w:p w14:paraId="2054A1AB" w14:textId="77777777" w:rsidR="002D36D9" w:rsidRPr="00EF2F18" w:rsidRDefault="002D36D9"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hideMark/>
          </w:tcPr>
          <w:p w14:paraId="69CAE427" w14:textId="77777777" w:rsidR="002D36D9" w:rsidRPr="00EF2F18" w:rsidRDefault="002D36D9" w:rsidP="00752CA0">
            <w:pPr>
              <w:spacing w:after="0"/>
              <w:rPr>
                <w:rFonts w:eastAsia="Times New Roman" w:cs="Times New Roman"/>
                <w:color w:val="000000"/>
                <w:sz w:val="20"/>
                <w:szCs w:val="20"/>
                <w:lang w:val="sr-Cyrl-RS" w:eastAsia="en-GB"/>
              </w:rPr>
            </w:pPr>
          </w:p>
        </w:tc>
      </w:tr>
      <w:tr w:rsidR="002D36D9" w:rsidRPr="00EF2F18" w14:paraId="46526568" w14:textId="77777777" w:rsidTr="00AA1C23">
        <w:trPr>
          <w:trHeight w:val="816"/>
        </w:trPr>
        <w:tc>
          <w:tcPr>
            <w:tcW w:w="3663" w:type="dxa"/>
            <w:tcBorders>
              <w:top w:val="single" w:sz="4" w:space="0" w:color="auto"/>
              <w:left w:val="single" w:sz="8" w:space="0" w:color="auto"/>
              <w:bottom w:val="single" w:sz="8" w:space="0" w:color="auto"/>
              <w:right w:val="single" w:sz="8" w:space="0" w:color="auto"/>
            </w:tcBorders>
            <w:shd w:val="clear" w:color="000000" w:fill="FFFFFF"/>
            <w:hideMark/>
          </w:tcPr>
          <w:p w14:paraId="2F043F7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еколошки значајних подручја од међународног и националног значаја у односу на површину Републике Србије</w:t>
            </w:r>
          </w:p>
        </w:tc>
        <w:tc>
          <w:tcPr>
            <w:tcW w:w="1152" w:type="dxa"/>
            <w:tcBorders>
              <w:top w:val="single" w:sz="4" w:space="0" w:color="auto"/>
              <w:left w:val="nil"/>
              <w:bottom w:val="single" w:sz="8" w:space="0" w:color="auto"/>
              <w:right w:val="single" w:sz="8" w:space="0" w:color="auto"/>
            </w:tcBorders>
            <w:shd w:val="clear" w:color="000000" w:fill="FFFFFF"/>
            <w:hideMark/>
          </w:tcPr>
          <w:p w14:paraId="51039B82"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w:t>
            </w:r>
          </w:p>
        </w:tc>
        <w:tc>
          <w:tcPr>
            <w:tcW w:w="1503" w:type="dxa"/>
            <w:tcBorders>
              <w:top w:val="single" w:sz="4" w:space="0" w:color="auto"/>
              <w:left w:val="nil"/>
              <w:bottom w:val="single" w:sz="8" w:space="0" w:color="auto"/>
              <w:right w:val="single" w:sz="8" w:space="0" w:color="auto"/>
            </w:tcBorders>
            <w:shd w:val="clear" w:color="000000" w:fill="FFFFFF"/>
            <w:hideMark/>
          </w:tcPr>
          <w:p w14:paraId="1271BDEB"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ЗЗПС</w:t>
            </w:r>
          </w:p>
        </w:tc>
        <w:tc>
          <w:tcPr>
            <w:tcW w:w="1265" w:type="dxa"/>
            <w:tcBorders>
              <w:top w:val="single" w:sz="4" w:space="0" w:color="auto"/>
              <w:left w:val="nil"/>
              <w:bottom w:val="single" w:sz="8" w:space="0" w:color="auto"/>
              <w:right w:val="single" w:sz="8" w:space="0" w:color="auto"/>
            </w:tcBorders>
            <w:shd w:val="clear" w:color="000000" w:fill="FFFFFF"/>
            <w:hideMark/>
          </w:tcPr>
          <w:p w14:paraId="308FA53B"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23</w:t>
            </w:r>
          </w:p>
        </w:tc>
        <w:tc>
          <w:tcPr>
            <w:tcW w:w="1085" w:type="dxa"/>
            <w:tcBorders>
              <w:top w:val="single" w:sz="4" w:space="0" w:color="auto"/>
              <w:left w:val="nil"/>
              <w:bottom w:val="single" w:sz="8" w:space="0" w:color="auto"/>
              <w:right w:val="single" w:sz="8" w:space="0" w:color="auto"/>
            </w:tcBorders>
            <w:shd w:val="clear" w:color="000000" w:fill="FFFFFF"/>
            <w:hideMark/>
          </w:tcPr>
          <w:p w14:paraId="11C29F81" w14:textId="29DF8CF3"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2022.</w:t>
            </w:r>
          </w:p>
        </w:tc>
        <w:tc>
          <w:tcPr>
            <w:tcW w:w="1265" w:type="dxa"/>
            <w:tcBorders>
              <w:top w:val="single" w:sz="4" w:space="0" w:color="auto"/>
              <w:left w:val="nil"/>
              <w:bottom w:val="single" w:sz="8" w:space="0" w:color="auto"/>
              <w:right w:val="single" w:sz="8" w:space="0" w:color="auto"/>
            </w:tcBorders>
            <w:shd w:val="clear" w:color="000000" w:fill="FFFFFF"/>
            <w:hideMark/>
          </w:tcPr>
          <w:p w14:paraId="798055E1"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26</w:t>
            </w:r>
          </w:p>
        </w:tc>
        <w:tc>
          <w:tcPr>
            <w:tcW w:w="1654" w:type="dxa"/>
            <w:tcBorders>
              <w:top w:val="single" w:sz="4" w:space="0" w:color="auto"/>
              <w:left w:val="nil"/>
              <w:bottom w:val="single" w:sz="8" w:space="0" w:color="auto"/>
              <w:right w:val="single" w:sz="8" w:space="0" w:color="auto"/>
            </w:tcBorders>
            <w:shd w:val="clear" w:color="000000" w:fill="FFFFFF"/>
            <w:hideMark/>
          </w:tcPr>
          <w:p w14:paraId="4B6B7F77"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27</w:t>
            </w:r>
          </w:p>
        </w:tc>
        <w:tc>
          <w:tcPr>
            <w:tcW w:w="1980" w:type="dxa"/>
            <w:tcBorders>
              <w:top w:val="single" w:sz="4" w:space="0" w:color="auto"/>
              <w:left w:val="nil"/>
              <w:bottom w:val="single" w:sz="8" w:space="0" w:color="auto"/>
              <w:right w:val="single" w:sz="8" w:space="0" w:color="auto"/>
            </w:tcBorders>
            <w:shd w:val="clear" w:color="000000" w:fill="FFFFFF"/>
            <w:hideMark/>
          </w:tcPr>
          <w:p w14:paraId="7605D344"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28</w:t>
            </w:r>
          </w:p>
        </w:tc>
        <w:tc>
          <w:tcPr>
            <w:tcW w:w="236" w:type="dxa"/>
            <w:hideMark/>
          </w:tcPr>
          <w:p w14:paraId="5886CC24" w14:textId="77777777" w:rsidR="002D36D9" w:rsidRPr="00EF2F18" w:rsidRDefault="002D36D9" w:rsidP="00752CA0">
            <w:pPr>
              <w:spacing w:after="0"/>
              <w:rPr>
                <w:rFonts w:eastAsia="Times New Roman" w:cs="Times New Roman"/>
                <w:sz w:val="20"/>
                <w:szCs w:val="20"/>
                <w:lang w:val="sr-Cyrl-RS" w:eastAsia="en-GB"/>
              </w:rPr>
            </w:pPr>
          </w:p>
        </w:tc>
      </w:tr>
      <w:tr w:rsidR="002D36D9" w:rsidRPr="00EF2F18" w14:paraId="3BA01FE8" w14:textId="77777777" w:rsidTr="002D36D9">
        <w:trPr>
          <w:trHeight w:val="996"/>
        </w:trPr>
        <w:tc>
          <w:tcPr>
            <w:tcW w:w="3663" w:type="dxa"/>
            <w:vMerge w:val="restart"/>
            <w:tcBorders>
              <w:top w:val="nil"/>
              <w:left w:val="single" w:sz="8" w:space="0" w:color="auto"/>
              <w:bottom w:val="single" w:sz="8" w:space="0" w:color="000000"/>
              <w:right w:val="single" w:sz="8" w:space="0" w:color="auto"/>
            </w:tcBorders>
            <w:shd w:val="clear" w:color="000000" w:fill="FFFFFF"/>
            <w:hideMark/>
          </w:tcPr>
          <w:p w14:paraId="620928F0"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Тренд популација птица шумских станишта </w:t>
            </w:r>
          </w:p>
        </w:tc>
        <w:tc>
          <w:tcPr>
            <w:tcW w:w="1152" w:type="dxa"/>
            <w:vMerge w:val="restart"/>
            <w:tcBorders>
              <w:top w:val="nil"/>
              <w:left w:val="single" w:sz="8" w:space="0" w:color="auto"/>
              <w:bottom w:val="single" w:sz="8" w:space="0" w:color="000000"/>
              <w:right w:val="single" w:sz="8" w:space="0" w:color="auto"/>
            </w:tcBorders>
            <w:shd w:val="clear" w:color="000000" w:fill="FFFFFF"/>
            <w:hideMark/>
          </w:tcPr>
          <w:p w14:paraId="14745715"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w:t>
            </w:r>
          </w:p>
        </w:tc>
        <w:tc>
          <w:tcPr>
            <w:tcW w:w="1503" w:type="dxa"/>
            <w:vMerge w:val="restart"/>
            <w:tcBorders>
              <w:top w:val="nil"/>
              <w:left w:val="single" w:sz="8" w:space="0" w:color="auto"/>
              <w:bottom w:val="single" w:sz="8" w:space="0" w:color="000000"/>
              <w:right w:val="single" w:sz="8" w:space="0" w:color="auto"/>
            </w:tcBorders>
            <w:shd w:val="clear" w:color="000000" w:fill="FFFFFF"/>
            <w:hideMark/>
          </w:tcPr>
          <w:p w14:paraId="4E3D7694"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тренду популација птица према типовима станишта</w:t>
            </w:r>
          </w:p>
        </w:tc>
        <w:tc>
          <w:tcPr>
            <w:tcW w:w="1265" w:type="dxa"/>
            <w:vMerge w:val="restart"/>
            <w:tcBorders>
              <w:top w:val="nil"/>
              <w:left w:val="single" w:sz="8" w:space="0" w:color="auto"/>
              <w:bottom w:val="single" w:sz="8" w:space="0" w:color="000000"/>
              <w:right w:val="single" w:sz="8" w:space="0" w:color="auto"/>
            </w:tcBorders>
            <w:shd w:val="clear" w:color="000000" w:fill="FFFFFF"/>
            <w:hideMark/>
          </w:tcPr>
          <w:p w14:paraId="26FADD37"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101,8</w:t>
            </w:r>
          </w:p>
        </w:tc>
        <w:tc>
          <w:tcPr>
            <w:tcW w:w="1085" w:type="dxa"/>
            <w:vMerge w:val="restart"/>
            <w:tcBorders>
              <w:top w:val="nil"/>
              <w:left w:val="single" w:sz="8" w:space="0" w:color="auto"/>
              <w:bottom w:val="single" w:sz="8" w:space="0" w:color="000000"/>
              <w:right w:val="single" w:sz="8" w:space="0" w:color="auto"/>
            </w:tcBorders>
            <w:shd w:val="clear" w:color="000000" w:fill="FFFFFF"/>
            <w:hideMark/>
          </w:tcPr>
          <w:p w14:paraId="01054B78" w14:textId="30824259"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2018.</w:t>
            </w:r>
          </w:p>
        </w:tc>
        <w:tc>
          <w:tcPr>
            <w:tcW w:w="1265" w:type="dxa"/>
            <w:vMerge w:val="restart"/>
            <w:tcBorders>
              <w:top w:val="nil"/>
              <w:left w:val="single" w:sz="8" w:space="0" w:color="auto"/>
              <w:bottom w:val="single" w:sz="8" w:space="0" w:color="000000"/>
              <w:right w:val="single" w:sz="8" w:space="0" w:color="auto"/>
            </w:tcBorders>
            <w:shd w:val="clear" w:color="000000" w:fill="FFFFFF"/>
            <w:hideMark/>
          </w:tcPr>
          <w:p w14:paraId="2DD2B8EC"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102,2</w:t>
            </w:r>
          </w:p>
        </w:tc>
        <w:tc>
          <w:tcPr>
            <w:tcW w:w="1654" w:type="dxa"/>
            <w:vMerge w:val="restart"/>
            <w:tcBorders>
              <w:top w:val="nil"/>
              <w:left w:val="single" w:sz="8" w:space="0" w:color="auto"/>
              <w:bottom w:val="single" w:sz="8" w:space="0" w:color="000000"/>
              <w:right w:val="single" w:sz="8" w:space="0" w:color="auto"/>
            </w:tcBorders>
            <w:shd w:val="clear" w:color="000000" w:fill="FFFFFF"/>
            <w:hideMark/>
          </w:tcPr>
          <w:p w14:paraId="080CF162"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102,4</w:t>
            </w:r>
          </w:p>
        </w:tc>
        <w:tc>
          <w:tcPr>
            <w:tcW w:w="1980" w:type="dxa"/>
            <w:vMerge w:val="restart"/>
            <w:tcBorders>
              <w:top w:val="nil"/>
              <w:left w:val="single" w:sz="8" w:space="0" w:color="auto"/>
              <w:bottom w:val="single" w:sz="8" w:space="0" w:color="000000"/>
              <w:right w:val="single" w:sz="8" w:space="0" w:color="auto"/>
            </w:tcBorders>
            <w:shd w:val="clear" w:color="000000" w:fill="FFFFFF"/>
            <w:hideMark/>
          </w:tcPr>
          <w:p w14:paraId="7394E031"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102,5</w:t>
            </w:r>
          </w:p>
        </w:tc>
        <w:tc>
          <w:tcPr>
            <w:tcW w:w="236" w:type="dxa"/>
            <w:hideMark/>
          </w:tcPr>
          <w:p w14:paraId="31699C5B" w14:textId="77777777" w:rsidR="002D36D9" w:rsidRPr="00EF2F18" w:rsidRDefault="002D36D9" w:rsidP="00752CA0">
            <w:pPr>
              <w:spacing w:after="0"/>
              <w:rPr>
                <w:rFonts w:eastAsia="Times New Roman" w:cs="Times New Roman"/>
                <w:sz w:val="20"/>
                <w:szCs w:val="20"/>
                <w:lang w:val="sr-Cyrl-RS" w:eastAsia="en-GB"/>
              </w:rPr>
            </w:pPr>
          </w:p>
        </w:tc>
      </w:tr>
      <w:tr w:rsidR="002D36D9" w:rsidRPr="00EF2F18" w14:paraId="14187818" w14:textId="77777777" w:rsidTr="002D36D9">
        <w:trPr>
          <w:trHeight w:val="324"/>
        </w:trPr>
        <w:tc>
          <w:tcPr>
            <w:tcW w:w="3663" w:type="dxa"/>
            <w:vMerge/>
            <w:tcBorders>
              <w:top w:val="nil"/>
              <w:left w:val="single" w:sz="8" w:space="0" w:color="auto"/>
              <w:bottom w:val="single" w:sz="8" w:space="0" w:color="000000"/>
              <w:right w:val="single" w:sz="8" w:space="0" w:color="auto"/>
            </w:tcBorders>
            <w:hideMark/>
          </w:tcPr>
          <w:p w14:paraId="08F4E0C0" w14:textId="77777777" w:rsidR="002D36D9" w:rsidRPr="00EF2F18" w:rsidRDefault="002D36D9" w:rsidP="00752CA0">
            <w:pPr>
              <w:spacing w:after="0"/>
              <w:rPr>
                <w:rFonts w:eastAsia="Times New Roman" w:cs="Times New Roman"/>
                <w:color w:val="000000"/>
                <w:sz w:val="20"/>
                <w:szCs w:val="20"/>
                <w:lang w:val="sr-Cyrl-RS" w:eastAsia="en-GB"/>
              </w:rPr>
            </w:pPr>
          </w:p>
        </w:tc>
        <w:tc>
          <w:tcPr>
            <w:tcW w:w="1152" w:type="dxa"/>
            <w:vMerge/>
            <w:tcBorders>
              <w:top w:val="nil"/>
              <w:left w:val="single" w:sz="8" w:space="0" w:color="auto"/>
              <w:bottom w:val="single" w:sz="8" w:space="0" w:color="000000"/>
              <w:right w:val="single" w:sz="8" w:space="0" w:color="auto"/>
            </w:tcBorders>
            <w:hideMark/>
          </w:tcPr>
          <w:p w14:paraId="355ED495" w14:textId="77777777" w:rsidR="002D36D9" w:rsidRPr="00EF2F18" w:rsidRDefault="002D36D9" w:rsidP="00752CA0">
            <w:pPr>
              <w:spacing w:after="0"/>
              <w:rPr>
                <w:rFonts w:eastAsia="Times New Roman" w:cs="Times New Roman"/>
                <w:color w:val="000000"/>
                <w:sz w:val="20"/>
                <w:szCs w:val="20"/>
                <w:lang w:val="sr-Cyrl-RS" w:eastAsia="en-GB"/>
              </w:rPr>
            </w:pPr>
          </w:p>
        </w:tc>
        <w:tc>
          <w:tcPr>
            <w:tcW w:w="1503" w:type="dxa"/>
            <w:vMerge/>
            <w:tcBorders>
              <w:top w:val="nil"/>
              <w:left w:val="single" w:sz="8" w:space="0" w:color="auto"/>
              <w:bottom w:val="single" w:sz="8" w:space="0" w:color="000000"/>
              <w:right w:val="single" w:sz="8" w:space="0" w:color="auto"/>
            </w:tcBorders>
            <w:hideMark/>
          </w:tcPr>
          <w:p w14:paraId="120E1FC3" w14:textId="77777777" w:rsidR="002D36D9" w:rsidRPr="00EF2F18" w:rsidRDefault="002D36D9"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hideMark/>
          </w:tcPr>
          <w:p w14:paraId="42E54831" w14:textId="77777777" w:rsidR="002D36D9" w:rsidRPr="00EF2F18" w:rsidRDefault="002D36D9" w:rsidP="00752CA0">
            <w:pPr>
              <w:spacing w:after="0"/>
              <w:rPr>
                <w:rFonts w:eastAsia="Times New Roman" w:cs="Times New Roman"/>
                <w:color w:val="000000"/>
                <w:sz w:val="20"/>
                <w:szCs w:val="20"/>
                <w:lang w:val="sr-Cyrl-RS" w:eastAsia="en-GB"/>
              </w:rPr>
            </w:pPr>
          </w:p>
        </w:tc>
        <w:tc>
          <w:tcPr>
            <w:tcW w:w="1085" w:type="dxa"/>
            <w:vMerge/>
            <w:tcBorders>
              <w:top w:val="nil"/>
              <w:left w:val="single" w:sz="8" w:space="0" w:color="auto"/>
              <w:bottom w:val="single" w:sz="8" w:space="0" w:color="000000"/>
              <w:right w:val="single" w:sz="8" w:space="0" w:color="auto"/>
            </w:tcBorders>
            <w:hideMark/>
          </w:tcPr>
          <w:p w14:paraId="710F5D29" w14:textId="77777777" w:rsidR="002D36D9" w:rsidRPr="00EF2F18" w:rsidRDefault="002D36D9"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hideMark/>
          </w:tcPr>
          <w:p w14:paraId="44597393" w14:textId="77777777" w:rsidR="002D36D9" w:rsidRPr="00EF2F18" w:rsidRDefault="002D36D9" w:rsidP="00752CA0">
            <w:pPr>
              <w:spacing w:after="0"/>
              <w:rPr>
                <w:rFonts w:eastAsia="Times New Roman" w:cs="Times New Roman"/>
                <w:color w:val="000000"/>
                <w:sz w:val="20"/>
                <w:szCs w:val="20"/>
                <w:lang w:val="sr-Cyrl-RS" w:eastAsia="en-GB"/>
              </w:rPr>
            </w:pPr>
          </w:p>
        </w:tc>
        <w:tc>
          <w:tcPr>
            <w:tcW w:w="1654" w:type="dxa"/>
            <w:vMerge/>
            <w:tcBorders>
              <w:top w:val="nil"/>
              <w:left w:val="single" w:sz="8" w:space="0" w:color="auto"/>
              <w:bottom w:val="single" w:sz="8" w:space="0" w:color="000000"/>
              <w:right w:val="single" w:sz="8" w:space="0" w:color="auto"/>
            </w:tcBorders>
            <w:hideMark/>
          </w:tcPr>
          <w:p w14:paraId="36B3B548" w14:textId="77777777" w:rsidR="002D36D9" w:rsidRPr="00EF2F18" w:rsidRDefault="002D36D9" w:rsidP="00752CA0">
            <w:pPr>
              <w:spacing w:after="0"/>
              <w:rPr>
                <w:rFonts w:eastAsia="Times New Roman" w:cs="Times New Roman"/>
                <w:color w:val="000000"/>
                <w:sz w:val="20"/>
                <w:szCs w:val="20"/>
                <w:lang w:val="sr-Cyrl-RS" w:eastAsia="en-GB"/>
              </w:rPr>
            </w:pPr>
          </w:p>
        </w:tc>
        <w:tc>
          <w:tcPr>
            <w:tcW w:w="1980" w:type="dxa"/>
            <w:vMerge/>
            <w:tcBorders>
              <w:top w:val="nil"/>
              <w:left w:val="single" w:sz="8" w:space="0" w:color="auto"/>
              <w:bottom w:val="single" w:sz="8" w:space="0" w:color="000000"/>
              <w:right w:val="single" w:sz="8" w:space="0" w:color="auto"/>
            </w:tcBorders>
            <w:hideMark/>
          </w:tcPr>
          <w:p w14:paraId="273E4DB2" w14:textId="77777777" w:rsidR="002D36D9" w:rsidRPr="00EF2F18" w:rsidRDefault="002D36D9"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hideMark/>
          </w:tcPr>
          <w:p w14:paraId="1C376488" w14:textId="77777777" w:rsidR="002D36D9" w:rsidRPr="00EF2F18" w:rsidRDefault="002D36D9" w:rsidP="00752CA0">
            <w:pPr>
              <w:spacing w:after="0"/>
              <w:jc w:val="center"/>
              <w:rPr>
                <w:rFonts w:eastAsia="Times New Roman" w:cs="Times New Roman"/>
                <w:color w:val="000000"/>
                <w:sz w:val="18"/>
                <w:szCs w:val="18"/>
                <w:lang w:val="sr-Cyrl-RS" w:eastAsia="en-GB"/>
              </w:rPr>
            </w:pPr>
          </w:p>
        </w:tc>
      </w:tr>
      <w:tr w:rsidR="002D36D9" w:rsidRPr="00EF2F18" w14:paraId="507E0C77" w14:textId="77777777" w:rsidTr="002D36D9">
        <w:trPr>
          <w:trHeight w:val="996"/>
        </w:trPr>
        <w:tc>
          <w:tcPr>
            <w:tcW w:w="3663" w:type="dxa"/>
            <w:vMerge w:val="restart"/>
            <w:tcBorders>
              <w:top w:val="nil"/>
              <w:left w:val="single" w:sz="8" w:space="0" w:color="auto"/>
              <w:bottom w:val="single" w:sz="8" w:space="0" w:color="000000"/>
              <w:right w:val="single" w:sz="8" w:space="0" w:color="auto"/>
            </w:tcBorders>
            <w:shd w:val="clear" w:color="000000" w:fill="FFFFFF"/>
            <w:hideMark/>
          </w:tcPr>
          <w:p w14:paraId="09C3FD86"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Тренд популација птица травних станишта</w:t>
            </w:r>
          </w:p>
        </w:tc>
        <w:tc>
          <w:tcPr>
            <w:tcW w:w="1152" w:type="dxa"/>
            <w:vMerge w:val="restart"/>
            <w:tcBorders>
              <w:top w:val="nil"/>
              <w:left w:val="single" w:sz="8" w:space="0" w:color="auto"/>
              <w:bottom w:val="single" w:sz="8" w:space="0" w:color="000000"/>
              <w:right w:val="single" w:sz="8" w:space="0" w:color="auto"/>
            </w:tcBorders>
            <w:shd w:val="clear" w:color="000000" w:fill="FFFFFF"/>
            <w:hideMark/>
          </w:tcPr>
          <w:p w14:paraId="3EE1B820"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03" w:type="dxa"/>
            <w:vMerge w:val="restart"/>
            <w:tcBorders>
              <w:top w:val="nil"/>
              <w:left w:val="single" w:sz="8" w:space="0" w:color="auto"/>
              <w:bottom w:val="single" w:sz="8" w:space="0" w:color="000000"/>
              <w:right w:val="single" w:sz="8" w:space="0" w:color="auto"/>
            </w:tcBorders>
            <w:shd w:val="clear" w:color="000000" w:fill="FFFFFF"/>
            <w:hideMark/>
          </w:tcPr>
          <w:p w14:paraId="7461712C"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тренду популација птица према типовима станишта</w:t>
            </w:r>
          </w:p>
        </w:tc>
        <w:tc>
          <w:tcPr>
            <w:tcW w:w="1265" w:type="dxa"/>
            <w:vMerge w:val="restart"/>
            <w:tcBorders>
              <w:top w:val="nil"/>
              <w:left w:val="single" w:sz="8" w:space="0" w:color="auto"/>
              <w:bottom w:val="single" w:sz="8" w:space="0" w:color="000000"/>
              <w:right w:val="single" w:sz="8" w:space="0" w:color="auto"/>
            </w:tcBorders>
            <w:shd w:val="clear" w:color="000000" w:fill="FFFFFF"/>
            <w:hideMark/>
          </w:tcPr>
          <w:p w14:paraId="593FA51C"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83,8</w:t>
            </w:r>
          </w:p>
        </w:tc>
        <w:tc>
          <w:tcPr>
            <w:tcW w:w="1085" w:type="dxa"/>
            <w:vMerge w:val="restart"/>
            <w:tcBorders>
              <w:top w:val="nil"/>
              <w:left w:val="single" w:sz="8" w:space="0" w:color="auto"/>
              <w:bottom w:val="single" w:sz="8" w:space="0" w:color="000000"/>
              <w:right w:val="single" w:sz="8" w:space="0" w:color="auto"/>
            </w:tcBorders>
            <w:shd w:val="clear" w:color="000000" w:fill="FFFFFF"/>
            <w:hideMark/>
          </w:tcPr>
          <w:p w14:paraId="79AE1463" w14:textId="13EAA834"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2018.</w:t>
            </w:r>
          </w:p>
        </w:tc>
        <w:tc>
          <w:tcPr>
            <w:tcW w:w="1265" w:type="dxa"/>
            <w:vMerge w:val="restart"/>
            <w:tcBorders>
              <w:top w:val="nil"/>
              <w:left w:val="single" w:sz="8" w:space="0" w:color="auto"/>
              <w:bottom w:val="single" w:sz="8" w:space="0" w:color="000000"/>
              <w:right w:val="single" w:sz="8" w:space="0" w:color="auto"/>
            </w:tcBorders>
            <w:shd w:val="clear" w:color="000000" w:fill="FFFFFF"/>
            <w:hideMark/>
          </w:tcPr>
          <w:p w14:paraId="0D497945"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84,5</w:t>
            </w:r>
          </w:p>
        </w:tc>
        <w:tc>
          <w:tcPr>
            <w:tcW w:w="1654" w:type="dxa"/>
            <w:vMerge w:val="restart"/>
            <w:tcBorders>
              <w:top w:val="nil"/>
              <w:left w:val="single" w:sz="8" w:space="0" w:color="auto"/>
              <w:bottom w:val="single" w:sz="8" w:space="0" w:color="000000"/>
              <w:right w:val="single" w:sz="8" w:space="0" w:color="auto"/>
            </w:tcBorders>
            <w:shd w:val="clear" w:color="000000" w:fill="FFFFFF"/>
            <w:hideMark/>
          </w:tcPr>
          <w:p w14:paraId="56BE03AA"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85</w:t>
            </w:r>
          </w:p>
        </w:tc>
        <w:tc>
          <w:tcPr>
            <w:tcW w:w="1980" w:type="dxa"/>
            <w:vMerge w:val="restart"/>
            <w:tcBorders>
              <w:top w:val="nil"/>
              <w:left w:val="single" w:sz="8" w:space="0" w:color="auto"/>
              <w:bottom w:val="single" w:sz="8" w:space="0" w:color="000000"/>
              <w:right w:val="single" w:sz="8" w:space="0" w:color="auto"/>
            </w:tcBorders>
            <w:shd w:val="clear" w:color="000000" w:fill="FFFFFF"/>
            <w:hideMark/>
          </w:tcPr>
          <w:p w14:paraId="529F620E"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85,5</w:t>
            </w:r>
          </w:p>
        </w:tc>
        <w:tc>
          <w:tcPr>
            <w:tcW w:w="236" w:type="dxa"/>
            <w:hideMark/>
          </w:tcPr>
          <w:p w14:paraId="47818FFF" w14:textId="77777777" w:rsidR="002D36D9" w:rsidRPr="00EF2F18" w:rsidRDefault="002D36D9" w:rsidP="00752CA0">
            <w:pPr>
              <w:spacing w:after="0"/>
              <w:rPr>
                <w:rFonts w:eastAsia="Times New Roman" w:cs="Times New Roman"/>
                <w:sz w:val="20"/>
                <w:szCs w:val="20"/>
                <w:lang w:val="sr-Cyrl-RS" w:eastAsia="en-GB"/>
              </w:rPr>
            </w:pPr>
          </w:p>
        </w:tc>
      </w:tr>
      <w:tr w:rsidR="002D36D9" w:rsidRPr="00EF2F18" w14:paraId="2580A036" w14:textId="77777777" w:rsidTr="002D36D9">
        <w:trPr>
          <w:trHeight w:val="324"/>
        </w:trPr>
        <w:tc>
          <w:tcPr>
            <w:tcW w:w="3663" w:type="dxa"/>
            <w:vMerge/>
            <w:tcBorders>
              <w:top w:val="nil"/>
              <w:left w:val="single" w:sz="8" w:space="0" w:color="auto"/>
              <w:bottom w:val="single" w:sz="8" w:space="0" w:color="000000"/>
              <w:right w:val="single" w:sz="8" w:space="0" w:color="auto"/>
            </w:tcBorders>
            <w:hideMark/>
          </w:tcPr>
          <w:p w14:paraId="0EB1217A" w14:textId="77777777" w:rsidR="002D36D9" w:rsidRPr="00EF2F18" w:rsidRDefault="002D36D9" w:rsidP="00752CA0">
            <w:pPr>
              <w:spacing w:after="0"/>
              <w:rPr>
                <w:rFonts w:eastAsia="Times New Roman" w:cs="Times New Roman"/>
                <w:color w:val="000000"/>
                <w:sz w:val="20"/>
                <w:szCs w:val="20"/>
                <w:lang w:val="sr-Cyrl-RS" w:eastAsia="en-GB"/>
              </w:rPr>
            </w:pPr>
          </w:p>
        </w:tc>
        <w:tc>
          <w:tcPr>
            <w:tcW w:w="1152" w:type="dxa"/>
            <w:vMerge/>
            <w:tcBorders>
              <w:top w:val="nil"/>
              <w:left w:val="single" w:sz="8" w:space="0" w:color="auto"/>
              <w:bottom w:val="single" w:sz="8" w:space="0" w:color="000000"/>
              <w:right w:val="single" w:sz="8" w:space="0" w:color="auto"/>
            </w:tcBorders>
            <w:hideMark/>
          </w:tcPr>
          <w:p w14:paraId="3C5DFC8B" w14:textId="77777777" w:rsidR="002D36D9" w:rsidRPr="00EF2F18" w:rsidRDefault="002D36D9" w:rsidP="00752CA0">
            <w:pPr>
              <w:spacing w:after="0"/>
              <w:rPr>
                <w:rFonts w:eastAsia="Times New Roman" w:cs="Times New Roman"/>
                <w:color w:val="000000"/>
                <w:sz w:val="20"/>
                <w:szCs w:val="20"/>
                <w:lang w:val="sr-Cyrl-RS" w:eastAsia="en-GB"/>
              </w:rPr>
            </w:pPr>
          </w:p>
        </w:tc>
        <w:tc>
          <w:tcPr>
            <w:tcW w:w="1503" w:type="dxa"/>
            <w:vMerge/>
            <w:tcBorders>
              <w:top w:val="nil"/>
              <w:left w:val="single" w:sz="8" w:space="0" w:color="auto"/>
              <w:bottom w:val="single" w:sz="8" w:space="0" w:color="000000"/>
              <w:right w:val="single" w:sz="8" w:space="0" w:color="auto"/>
            </w:tcBorders>
            <w:hideMark/>
          </w:tcPr>
          <w:p w14:paraId="7CAE3550" w14:textId="77777777" w:rsidR="002D36D9" w:rsidRPr="00EF2F18" w:rsidRDefault="002D36D9"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hideMark/>
          </w:tcPr>
          <w:p w14:paraId="42402F94" w14:textId="77777777" w:rsidR="002D36D9" w:rsidRPr="00EF2F18" w:rsidRDefault="002D36D9" w:rsidP="00752CA0">
            <w:pPr>
              <w:spacing w:after="0"/>
              <w:rPr>
                <w:rFonts w:eastAsia="Times New Roman" w:cs="Times New Roman"/>
                <w:color w:val="000000"/>
                <w:sz w:val="18"/>
                <w:szCs w:val="18"/>
                <w:lang w:val="sr-Cyrl-RS" w:eastAsia="en-GB"/>
              </w:rPr>
            </w:pPr>
          </w:p>
        </w:tc>
        <w:tc>
          <w:tcPr>
            <w:tcW w:w="1085" w:type="dxa"/>
            <w:vMerge/>
            <w:tcBorders>
              <w:top w:val="nil"/>
              <w:left w:val="single" w:sz="8" w:space="0" w:color="auto"/>
              <w:bottom w:val="single" w:sz="8" w:space="0" w:color="000000"/>
              <w:right w:val="single" w:sz="8" w:space="0" w:color="auto"/>
            </w:tcBorders>
            <w:hideMark/>
          </w:tcPr>
          <w:p w14:paraId="336E21CD" w14:textId="77777777" w:rsidR="002D36D9" w:rsidRPr="00EF2F18" w:rsidRDefault="002D36D9"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hideMark/>
          </w:tcPr>
          <w:p w14:paraId="3BF89514" w14:textId="77777777" w:rsidR="002D36D9" w:rsidRPr="00EF2F18" w:rsidRDefault="002D36D9" w:rsidP="00752CA0">
            <w:pPr>
              <w:spacing w:after="0"/>
              <w:rPr>
                <w:rFonts w:eastAsia="Times New Roman" w:cs="Times New Roman"/>
                <w:color w:val="000000"/>
                <w:sz w:val="18"/>
                <w:szCs w:val="18"/>
                <w:lang w:val="sr-Cyrl-RS" w:eastAsia="en-GB"/>
              </w:rPr>
            </w:pPr>
          </w:p>
        </w:tc>
        <w:tc>
          <w:tcPr>
            <w:tcW w:w="1654" w:type="dxa"/>
            <w:vMerge/>
            <w:tcBorders>
              <w:top w:val="nil"/>
              <w:left w:val="single" w:sz="8" w:space="0" w:color="auto"/>
              <w:bottom w:val="single" w:sz="8" w:space="0" w:color="000000"/>
              <w:right w:val="single" w:sz="8" w:space="0" w:color="auto"/>
            </w:tcBorders>
            <w:hideMark/>
          </w:tcPr>
          <w:p w14:paraId="4A7BEC18" w14:textId="77777777" w:rsidR="002D36D9" w:rsidRPr="00EF2F18" w:rsidRDefault="002D36D9" w:rsidP="00752CA0">
            <w:pPr>
              <w:spacing w:after="0"/>
              <w:rPr>
                <w:rFonts w:eastAsia="Times New Roman" w:cs="Times New Roman"/>
                <w:color w:val="000000"/>
                <w:sz w:val="18"/>
                <w:szCs w:val="18"/>
                <w:lang w:val="sr-Cyrl-RS" w:eastAsia="en-GB"/>
              </w:rPr>
            </w:pPr>
          </w:p>
        </w:tc>
        <w:tc>
          <w:tcPr>
            <w:tcW w:w="1980" w:type="dxa"/>
            <w:vMerge/>
            <w:tcBorders>
              <w:top w:val="nil"/>
              <w:left w:val="single" w:sz="8" w:space="0" w:color="auto"/>
              <w:bottom w:val="single" w:sz="8" w:space="0" w:color="000000"/>
              <w:right w:val="single" w:sz="8" w:space="0" w:color="auto"/>
            </w:tcBorders>
            <w:hideMark/>
          </w:tcPr>
          <w:p w14:paraId="0F1D27AB" w14:textId="77777777" w:rsidR="002D36D9" w:rsidRPr="00EF2F18" w:rsidRDefault="002D36D9" w:rsidP="00752CA0">
            <w:pPr>
              <w:spacing w:after="0"/>
              <w:rPr>
                <w:rFonts w:eastAsia="Times New Roman" w:cs="Times New Roman"/>
                <w:color w:val="000000"/>
                <w:sz w:val="18"/>
                <w:szCs w:val="18"/>
                <w:lang w:val="sr-Cyrl-RS" w:eastAsia="en-GB"/>
              </w:rPr>
            </w:pPr>
          </w:p>
        </w:tc>
        <w:tc>
          <w:tcPr>
            <w:tcW w:w="236" w:type="dxa"/>
            <w:tcBorders>
              <w:top w:val="nil"/>
              <w:left w:val="nil"/>
              <w:bottom w:val="nil"/>
              <w:right w:val="nil"/>
            </w:tcBorders>
            <w:noWrap/>
            <w:hideMark/>
          </w:tcPr>
          <w:p w14:paraId="6C878184" w14:textId="77777777" w:rsidR="002D36D9" w:rsidRPr="00EF2F18" w:rsidRDefault="002D36D9" w:rsidP="00752CA0">
            <w:pPr>
              <w:spacing w:after="0"/>
              <w:jc w:val="center"/>
              <w:rPr>
                <w:rFonts w:eastAsia="Times New Roman" w:cs="Times New Roman"/>
                <w:color w:val="000000"/>
                <w:sz w:val="18"/>
                <w:szCs w:val="18"/>
                <w:lang w:val="sr-Cyrl-RS" w:eastAsia="en-GB"/>
              </w:rPr>
            </w:pPr>
          </w:p>
        </w:tc>
      </w:tr>
    </w:tbl>
    <w:p w14:paraId="528F09D0" w14:textId="77777777" w:rsidR="007D7243" w:rsidRPr="00EF2F18" w:rsidRDefault="007D7243" w:rsidP="007D7243">
      <w:pPr>
        <w:spacing w:after="0"/>
        <w:rPr>
          <w:rFonts w:cs="Times New Roman"/>
          <w:sz w:val="20"/>
          <w:szCs w:val="20"/>
          <w:lang w:val="sr-Cyrl-RS"/>
        </w:rPr>
      </w:pPr>
    </w:p>
    <w:tbl>
      <w:tblPr>
        <w:tblW w:w="13567" w:type="dxa"/>
        <w:tblLook w:val="04A0" w:firstRow="1" w:lastRow="0" w:firstColumn="1" w:lastColumn="0" w:noHBand="0" w:noVBand="1"/>
      </w:tblPr>
      <w:tblGrid>
        <w:gridCol w:w="3238"/>
        <w:gridCol w:w="1280"/>
        <w:gridCol w:w="1280"/>
        <w:gridCol w:w="1006"/>
        <w:gridCol w:w="994"/>
        <w:gridCol w:w="1520"/>
        <w:gridCol w:w="1060"/>
        <w:gridCol w:w="1299"/>
        <w:gridCol w:w="1890"/>
      </w:tblGrid>
      <w:tr w:rsidR="007D7243" w:rsidRPr="00EF2F18" w14:paraId="274971E4" w14:textId="77777777" w:rsidTr="002D36D9">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478545E"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sz w:val="20"/>
                <w:szCs w:val="20"/>
                <w:lang w:val="sr-Cyrl-RS" w:eastAsia="en-GB"/>
              </w:rPr>
              <w:t>Мера 4.1.1: Смањење броја угрожених дивљих врста чији опстанак зависи од посебних мера заштите</w:t>
            </w:r>
          </w:p>
        </w:tc>
      </w:tr>
      <w:tr w:rsidR="007D7243" w:rsidRPr="00EF2F18" w14:paraId="5431D294" w14:textId="77777777" w:rsidTr="002D36D9">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47A30634"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5550D0D9" w14:textId="77777777" w:rsidTr="002D36D9">
        <w:trPr>
          <w:trHeight w:val="336"/>
        </w:trPr>
        <w:tc>
          <w:tcPr>
            <w:tcW w:w="6804"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66861DE" w14:textId="21C350D3"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2D36D9"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3" w:type="dxa"/>
            <w:gridSpan w:val="5"/>
            <w:tcBorders>
              <w:top w:val="double" w:sz="6" w:space="0" w:color="auto"/>
              <w:left w:val="nil"/>
              <w:bottom w:val="double" w:sz="6" w:space="0" w:color="auto"/>
              <w:right w:val="double" w:sz="6" w:space="0" w:color="auto"/>
            </w:tcBorders>
            <w:shd w:val="clear" w:color="000000" w:fill="F7CAAC"/>
            <w:hideMark/>
          </w:tcPr>
          <w:p w14:paraId="3D7F3CEB"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68E60C32" w14:textId="77777777" w:rsidTr="002D36D9">
        <w:trPr>
          <w:trHeight w:val="324"/>
        </w:trPr>
        <w:tc>
          <w:tcPr>
            <w:tcW w:w="6804" w:type="dxa"/>
            <w:gridSpan w:val="4"/>
            <w:vMerge w:val="restart"/>
            <w:tcBorders>
              <w:top w:val="double" w:sz="6" w:space="0" w:color="auto"/>
              <w:left w:val="double" w:sz="6" w:space="0" w:color="auto"/>
              <w:bottom w:val="double" w:sz="6" w:space="0" w:color="000000"/>
              <w:right w:val="double" w:sz="6" w:space="0" w:color="000000"/>
            </w:tcBorders>
            <w:shd w:val="clear" w:color="000000" w:fill="F7CAAC"/>
            <w:hideMark/>
          </w:tcPr>
          <w:p w14:paraId="1868E7A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3" w:type="dxa"/>
            <w:gridSpan w:val="5"/>
            <w:tcBorders>
              <w:top w:val="double" w:sz="6" w:space="0" w:color="auto"/>
              <w:left w:val="nil"/>
              <w:bottom w:val="nil"/>
              <w:right w:val="double" w:sz="6" w:space="0" w:color="auto"/>
            </w:tcBorders>
            <w:shd w:val="clear" w:color="000000" w:fill="F7CAAC"/>
            <w:hideMark/>
          </w:tcPr>
          <w:p w14:paraId="0B8ADA51" w14:textId="25E3C17F" w:rsidR="007D7243" w:rsidRPr="00EF2F18" w:rsidRDefault="007D7243" w:rsidP="00752CA0">
            <w:pPr>
              <w:spacing w:after="0"/>
              <w:ind w:firstLineChars="500" w:firstLine="1000"/>
              <w:rPr>
                <w:rFonts w:ascii="Symbol" w:eastAsia="Times New Roman" w:hAnsi="Symbol" w:cs="Times New Roman"/>
                <w:color w:val="000000"/>
                <w:sz w:val="20"/>
                <w:szCs w:val="20"/>
                <w:lang w:val="sr-Cyrl-RS" w:eastAsia="en-GB"/>
              </w:rPr>
            </w:pPr>
            <w:r w:rsidRPr="00EF2F18">
              <w:rPr>
                <w:rFonts w:ascii="Symbol" w:eastAsia="Times New Roman" w:hAnsi="Symbol" w:cs="Times New Roman"/>
                <w:color w:val="000000"/>
                <w:sz w:val="20"/>
                <w:szCs w:val="20"/>
                <w:lang w:val="sr-Cyrl-RS" w:eastAsia="en-GB"/>
              </w:rPr>
              <w:t></w:t>
            </w:r>
            <w:r w:rsidR="00FA7222" w:rsidRPr="00EF2F18">
              <w:rPr>
                <w:rFonts w:eastAsia="Times New Roman" w:cs="Times New Roman"/>
                <w:color w:val="000000"/>
                <w:sz w:val="14"/>
                <w:szCs w:val="14"/>
                <w:lang w:val="sr-Cyrl-RS" w:eastAsia="en-GB"/>
              </w:rPr>
              <w:t xml:space="preserve">  </w:t>
            </w:r>
            <w:r w:rsidRPr="00EF2F18">
              <w:rPr>
                <w:rFonts w:eastAsia="Times New Roman" w:cs="Times New Roman"/>
                <w:color w:val="000000"/>
                <w:sz w:val="20"/>
                <w:szCs w:val="20"/>
                <w:lang w:val="sr-Cyrl-RS" w:eastAsia="en-GB"/>
              </w:rPr>
              <w:t>Закон о заштити природе</w:t>
            </w:r>
          </w:p>
        </w:tc>
      </w:tr>
      <w:tr w:rsidR="007D7243" w:rsidRPr="00EF2F18" w14:paraId="5522A908" w14:textId="77777777" w:rsidTr="002D36D9">
        <w:trPr>
          <w:trHeight w:val="324"/>
        </w:trPr>
        <w:tc>
          <w:tcPr>
            <w:tcW w:w="6804" w:type="dxa"/>
            <w:gridSpan w:val="4"/>
            <w:vMerge/>
            <w:tcBorders>
              <w:top w:val="double" w:sz="6" w:space="0" w:color="auto"/>
              <w:left w:val="double" w:sz="6" w:space="0" w:color="auto"/>
              <w:bottom w:val="double" w:sz="6" w:space="0" w:color="000000"/>
              <w:right w:val="double" w:sz="6" w:space="0" w:color="000000"/>
            </w:tcBorders>
            <w:hideMark/>
          </w:tcPr>
          <w:p w14:paraId="5C6ED1E6" w14:textId="77777777" w:rsidR="007D7243" w:rsidRPr="00EF2F18" w:rsidRDefault="007D7243" w:rsidP="00752CA0">
            <w:pPr>
              <w:spacing w:after="0"/>
              <w:rPr>
                <w:rFonts w:eastAsia="Times New Roman" w:cs="Times New Roman"/>
                <w:color w:val="000000"/>
                <w:sz w:val="20"/>
                <w:szCs w:val="20"/>
                <w:lang w:val="sr-Cyrl-RS" w:eastAsia="en-GB"/>
              </w:rPr>
            </w:pPr>
          </w:p>
        </w:tc>
        <w:tc>
          <w:tcPr>
            <w:tcW w:w="6763" w:type="dxa"/>
            <w:gridSpan w:val="5"/>
            <w:tcBorders>
              <w:top w:val="nil"/>
              <w:left w:val="nil"/>
              <w:bottom w:val="double" w:sz="6" w:space="0" w:color="auto"/>
              <w:right w:val="double" w:sz="6" w:space="0" w:color="auto"/>
            </w:tcBorders>
            <w:shd w:val="clear" w:color="000000" w:fill="F7CAAC"/>
            <w:hideMark/>
          </w:tcPr>
          <w:p w14:paraId="22774870" w14:textId="47891C53" w:rsidR="007D7243" w:rsidRPr="00EF2F18" w:rsidRDefault="007D7243" w:rsidP="00752CA0">
            <w:pPr>
              <w:spacing w:after="0"/>
              <w:ind w:firstLineChars="500" w:firstLine="1000"/>
              <w:rPr>
                <w:rFonts w:ascii="Symbol" w:eastAsia="Times New Roman" w:hAnsi="Symbol" w:cs="Times New Roman"/>
                <w:color w:val="000000"/>
                <w:sz w:val="20"/>
                <w:szCs w:val="20"/>
                <w:lang w:val="sr-Cyrl-RS" w:eastAsia="en-GB"/>
              </w:rPr>
            </w:pPr>
            <w:r w:rsidRPr="00EF2F18">
              <w:rPr>
                <w:rFonts w:ascii="Symbol" w:eastAsia="Times New Roman" w:hAnsi="Symbol" w:cs="Times New Roman"/>
                <w:color w:val="000000"/>
                <w:sz w:val="20"/>
                <w:szCs w:val="20"/>
                <w:lang w:val="sr-Cyrl-RS" w:eastAsia="en-GB"/>
              </w:rPr>
              <w:t></w:t>
            </w:r>
            <w:r w:rsidR="00FA7222" w:rsidRPr="00EF2F18">
              <w:rPr>
                <w:rFonts w:eastAsia="Times New Roman" w:cs="Times New Roman"/>
                <w:color w:val="000000"/>
                <w:sz w:val="14"/>
                <w:szCs w:val="14"/>
                <w:lang w:val="sr-Cyrl-RS" w:eastAsia="en-GB"/>
              </w:rPr>
              <w:t xml:space="preserve">  </w:t>
            </w:r>
            <w:r w:rsidRPr="00EF2F18">
              <w:rPr>
                <w:rFonts w:eastAsia="Times New Roman" w:cs="Times New Roman"/>
                <w:color w:val="000000"/>
                <w:sz w:val="20"/>
                <w:szCs w:val="20"/>
                <w:lang w:val="sr-Cyrl-RS" w:eastAsia="en-GB"/>
              </w:rPr>
              <w:t>Правилник о заштићеним и строго заштићеним врстама</w:t>
            </w:r>
          </w:p>
        </w:tc>
      </w:tr>
      <w:tr w:rsidR="002D36D9" w:rsidRPr="00EF2F18" w14:paraId="1CA61777" w14:textId="77777777" w:rsidTr="002D36D9">
        <w:trPr>
          <w:trHeight w:val="816"/>
        </w:trPr>
        <w:tc>
          <w:tcPr>
            <w:tcW w:w="3238" w:type="dxa"/>
            <w:tcBorders>
              <w:top w:val="nil"/>
              <w:left w:val="double" w:sz="6" w:space="0" w:color="auto"/>
              <w:bottom w:val="double" w:sz="6" w:space="0" w:color="auto"/>
              <w:right w:val="single" w:sz="8" w:space="0" w:color="auto"/>
            </w:tcBorders>
            <w:shd w:val="clear" w:color="000000" w:fill="D9D9D9"/>
            <w:hideMark/>
          </w:tcPr>
          <w:p w14:paraId="2DBB8886"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0E7156BF"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2D199D9A"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4ABFE9F9"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3F7FC4CE"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646B82DA"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99" w:type="dxa"/>
            <w:tcBorders>
              <w:top w:val="nil"/>
              <w:left w:val="nil"/>
              <w:bottom w:val="double" w:sz="6" w:space="0" w:color="auto"/>
              <w:right w:val="single" w:sz="8" w:space="0" w:color="auto"/>
            </w:tcBorders>
            <w:shd w:val="clear" w:color="000000" w:fill="D9D9D9"/>
            <w:hideMark/>
          </w:tcPr>
          <w:p w14:paraId="0B87CBB3"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tcBorders>
              <w:top w:val="nil"/>
              <w:left w:val="nil"/>
              <w:bottom w:val="double" w:sz="6" w:space="0" w:color="auto"/>
              <w:right w:val="double" w:sz="6" w:space="0" w:color="auto"/>
            </w:tcBorders>
            <w:shd w:val="clear" w:color="000000" w:fill="D9D9D9"/>
            <w:hideMark/>
          </w:tcPr>
          <w:p w14:paraId="739E5815"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2D36D9" w:rsidRPr="00EF2F18" w14:paraId="0839C1A2" w14:textId="77777777" w:rsidTr="002D36D9">
        <w:trPr>
          <w:trHeight w:val="336"/>
        </w:trPr>
        <w:tc>
          <w:tcPr>
            <w:tcW w:w="3238" w:type="dxa"/>
            <w:tcBorders>
              <w:top w:val="double" w:sz="6" w:space="0" w:color="auto"/>
              <w:left w:val="double" w:sz="6" w:space="0" w:color="auto"/>
              <w:bottom w:val="single" w:sz="8" w:space="0" w:color="auto"/>
              <w:right w:val="single" w:sz="4" w:space="0" w:color="auto"/>
            </w:tcBorders>
            <w:shd w:val="clear" w:color="000000" w:fill="FFFFFF"/>
            <w:vAlign w:val="center"/>
            <w:hideMark/>
          </w:tcPr>
          <w:p w14:paraId="2ADEF132" w14:textId="77777777" w:rsidR="002D36D9" w:rsidRPr="00EF2F18" w:rsidRDefault="002D36D9" w:rsidP="00752CA0">
            <w:pPr>
              <w:spacing w:after="0"/>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Број строго заштићених врста</w:t>
            </w:r>
          </w:p>
        </w:tc>
        <w:tc>
          <w:tcPr>
            <w:tcW w:w="1280" w:type="dxa"/>
            <w:tcBorders>
              <w:top w:val="double" w:sz="6" w:space="0" w:color="auto"/>
              <w:left w:val="single" w:sz="4" w:space="0" w:color="auto"/>
              <w:bottom w:val="single" w:sz="8" w:space="0" w:color="auto"/>
              <w:right w:val="single" w:sz="4" w:space="0" w:color="auto"/>
            </w:tcBorders>
            <w:shd w:val="clear" w:color="000000" w:fill="FFFFFF"/>
            <w:vAlign w:val="center"/>
            <w:hideMark/>
          </w:tcPr>
          <w:p w14:paraId="45D7D126"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број</w:t>
            </w:r>
          </w:p>
        </w:tc>
        <w:tc>
          <w:tcPr>
            <w:tcW w:w="1280" w:type="dxa"/>
            <w:tcBorders>
              <w:top w:val="double" w:sz="6" w:space="0" w:color="auto"/>
              <w:left w:val="single" w:sz="4" w:space="0" w:color="auto"/>
              <w:bottom w:val="single" w:sz="8" w:space="0" w:color="auto"/>
              <w:right w:val="single" w:sz="4" w:space="0" w:color="auto"/>
            </w:tcBorders>
            <w:shd w:val="clear" w:color="000000" w:fill="FFFFFF"/>
            <w:vAlign w:val="center"/>
            <w:hideMark/>
          </w:tcPr>
          <w:p w14:paraId="037F6B4F"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w:t>
            </w:r>
          </w:p>
        </w:tc>
        <w:tc>
          <w:tcPr>
            <w:tcW w:w="2000" w:type="dxa"/>
            <w:gridSpan w:val="2"/>
            <w:tcBorders>
              <w:top w:val="double" w:sz="6" w:space="0" w:color="auto"/>
              <w:left w:val="single" w:sz="4" w:space="0" w:color="auto"/>
              <w:bottom w:val="single" w:sz="8" w:space="0" w:color="auto"/>
              <w:right w:val="single" w:sz="4" w:space="0" w:color="auto"/>
            </w:tcBorders>
            <w:shd w:val="clear" w:color="000000" w:fill="FFFFFF"/>
            <w:vAlign w:val="center"/>
            <w:hideMark/>
          </w:tcPr>
          <w:p w14:paraId="4A447AA2"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1784</w:t>
            </w:r>
          </w:p>
        </w:tc>
        <w:tc>
          <w:tcPr>
            <w:tcW w:w="1520" w:type="dxa"/>
            <w:tcBorders>
              <w:top w:val="double" w:sz="6" w:space="0" w:color="auto"/>
              <w:left w:val="single" w:sz="4" w:space="0" w:color="auto"/>
              <w:bottom w:val="single" w:sz="8" w:space="0" w:color="auto"/>
              <w:right w:val="single" w:sz="4" w:space="0" w:color="auto"/>
            </w:tcBorders>
            <w:shd w:val="clear" w:color="000000" w:fill="FFFFFF"/>
            <w:vAlign w:val="center"/>
            <w:hideMark/>
          </w:tcPr>
          <w:p w14:paraId="402176E3"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double" w:sz="6" w:space="0" w:color="auto"/>
              <w:left w:val="single" w:sz="4" w:space="0" w:color="auto"/>
              <w:bottom w:val="single" w:sz="8" w:space="0" w:color="auto"/>
              <w:right w:val="single" w:sz="4" w:space="0" w:color="auto"/>
            </w:tcBorders>
            <w:shd w:val="clear" w:color="000000" w:fill="FFFFFF"/>
            <w:vAlign w:val="center"/>
            <w:hideMark/>
          </w:tcPr>
          <w:p w14:paraId="083A70BA"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1.784</w:t>
            </w:r>
          </w:p>
        </w:tc>
        <w:tc>
          <w:tcPr>
            <w:tcW w:w="1299" w:type="dxa"/>
            <w:tcBorders>
              <w:top w:val="double" w:sz="6" w:space="0" w:color="auto"/>
              <w:left w:val="single" w:sz="4" w:space="0" w:color="auto"/>
              <w:bottom w:val="single" w:sz="8" w:space="0" w:color="auto"/>
              <w:right w:val="single" w:sz="4" w:space="0" w:color="auto"/>
            </w:tcBorders>
            <w:shd w:val="clear" w:color="000000" w:fill="FFFFFF"/>
            <w:vAlign w:val="center"/>
            <w:hideMark/>
          </w:tcPr>
          <w:p w14:paraId="45034C69"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1.784</w:t>
            </w:r>
          </w:p>
        </w:tc>
        <w:tc>
          <w:tcPr>
            <w:tcW w:w="1890" w:type="dxa"/>
            <w:tcBorders>
              <w:top w:val="double" w:sz="6" w:space="0" w:color="auto"/>
              <w:left w:val="single" w:sz="4" w:space="0" w:color="auto"/>
              <w:bottom w:val="single" w:sz="8" w:space="0" w:color="auto"/>
              <w:right w:val="double" w:sz="6" w:space="0" w:color="auto"/>
            </w:tcBorders>
            <w:shd w:val="clear" w:color="000000" w:fill="FFFFFF"/>
            <w:vAlign w:val="center"/>
            <w:hideMark/>
          </w:tcPr>
          <w:p w14:paraId="2A9744DE"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1.780</w:t>
            </w:r>
          </w:p>
        </w:tc>
      </w:tr>
      <w:tr w:rsidR="002D36D9" w:rsidRPr="00EF2F18" w14:paraId="003E0CBA" w14:textId="77777777" w:rsidTr="002D36D9">
        <w:trPr>
          <w:trHeight w:val="324"/>
        </w:trPr>
        <w:tc>
          <w:tcPr>
            <w:tcW w:w="3238" w:type="dxa"/>
            <w:tcBorders>
              <w:top w:val="single" w:sz="8" w:space="0" w:color="auto"/>
              <w:left w:val="double" w:sz="6" w:space="0" w:color="auto"/>
              <w:bottom w:val="double" w:sz="6" w:space="0" w:color="auto"/>
              <w:right w:val="single" w:sz="4" w:space="0" w:color="auto"/>
            </w:tcBorders>
            <w:shd w:val="clear" w:color="000000" w:fill="FFFFFF"/>
            <w:vAlign w:val="center"/>
            <w:hideMark/>
          </w:tcPr>
          <w:p w14:paraId="2AC6142F" w14:textId="77777777" w:rsidR="002D36D9" w:rsidRPr="00EF2F18" w:rsidRDefault="002D36D9" w:rsidP="00752CA0">
            <w:pPr>
              <w:spacing w:after="0"/>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Број заштићених врста</w:t>
            </w:r>
          </w:p>
        </w:tc>
        <w:tc>
          <w:tcPr>
            <w:tcW w:w="1280" w:type="dxa"/>
            <w:tcBorders>
              <w:top w:val="single" w:sz="8" w:space="0" w:color="auto"/>
              <w:left w:val="single" w:sz="4" w:space="0" w:color="auto"/>
              <w:bottom w:val="double" w:sz="6" w:space="0" w:color="auto"/>
              <w:right w:val="single" w:sz="4" w:space="0" w:color="auto"/>
            </w:tcBorders>
            <w:shd w:val="clear" w:color="000000" w:fill="FFFFFF"/>
            <w:vAlign w:val="center"/>
            <w:hideMark/>
          </w:tcPr>
          <w:p w14:paraId="0C01089F"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број</w:t>
            </w:r>
          </w:p>
        </w:tc>
        <w:tc>
          <w:tcPr>
            <w:tcW w:w="1280" w:type="dxa"/>
            <w:tcBorders>
              <w:top w:val="single" w:sz="8" w:space="0" w:color="auto"/>
              <w:left w:val="single" w:sz="4" w:space="0" w:color="auto"/>
              <w:bottom w:val="double" w:sz="6" w:space="0" w:color="auto"/>
              <w:right w:val="single" w:sz="4" w:space="0" w:color="auto"/>
            </w:tcBorders>
            <w:shd w:val="clear" w:color="000000" w:fill="FFFFFF"/>
            <w:vAlign w:val="center"/>
            <w:hideMark/>
          </w:tcPr>
          <w:p w14:paraId="1EB4826C"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w:t>
            </w:r>
          </w:p>
        </w:tc>
        <w:tc>
          <w:tcPr>
            <w:tcW w:w="2000" w:type="dxa"/>
            <w:gridSpan w:val="2"/>
            <w:tcBorders>
              <w:top w:val="single" w:sz="8" w:space="0" w:color="auto"/>
              <w:left w:val="single" w:sz="4" w:space="0" w:color="auto"/>
              <w:bottom w:val="double" w:sz="6" w:space="0" w:color="auto"/>
              <w:right w:val="single" w:sz="4" w:space="0" w:color="auto"/>
            </w:tcBorders>
            <w:shd w:val="clear" w:color="000000" w:fill="FFFFFF"/>
            <w:vAlign w:val="center"/>
            <w:hideMark/>
          </w:tcPr>
          <w:p w14:paraId="0DFC27BA"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865</w:t>
            </w:r>
          </w:p>
        </w:tc>
        <w:tc>
          <w:tcPr>
            <w:tcW w:w="1520" w:type="dxa"/>
            <w:tcBorders>
              <w:top w:val="single" w:sz="8" w:space="0" w:color="auto"/>
              <w:left w:val="single" w:sz="4" w:space="0" w:color="auto"/>
              <w:bottom w:val="double" w:sz="6" w:space="0" w:color="auto"/>
              <w:right w:val="single" w:sz="4" w:space="0" w:color="auto"/>
            </w:tcBorders>
            <w:shd w:val="clear" w:color="000000" w:fill="FFFFFF"/>
            <w:vAlign w:val="center"/>
            <w:hideMark/>
          </w:tcPr>
          <w:p w14:paraId="1D8CD0C8" w14:textId="7777777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single" w:sz="8" w:space="0" w:color="auto"/>
              <w:left w:val="single" w:sz="4" w:space="0" w:color="auto"/>
              <w:bottom w:val="double" w:sz="6" w:space="0" w:color="auto"/>
              <w:right w:val="single" w:sz="4" w:space="0" w:color="auto"/>
            </w:tcBorders>
            <w:shd w:val="clear" w:color="000000" w:fill="FFFFFF"/>
            <w:vAlign w:val="center"/>
            <w:hideMark/>
          </w:tcPr>
          <w:p w14:paraId="295C08F7"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865</w:t>
            </w:r>
          </w:p>
        </w:tc>
        <w:tc>
          <w:tcPr>
            <w:tcW w:w="1299" w:type="dxa"/>
            <w:tcBorders>
              <w:top w:val="single" w:sz="8" w:space="0" w:color="auto"/>
              <w:left w:val="single" w:sz="4" w:space="0" w:color="auto"/>
              <w:bottom w:val="double" w:sz="6" w:space="0" w:color="auto"/>
              <w:right w:val="single" w:sz="4" w:space="0" w:color="auto"/>
            </w:tcBorders>
            <w:shd w:val="clear" w:color="000000" w:fill="FFFFFF"/>
            <w:vAlign w:val="center"/>
            <w:hideMark/>
          </w:tcPr>
          <w:p w14:paraId="4AD0A487"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865</w:t>
            </w:r>
          </w:p>
        </w:tc>
        <w:tc>
          <w:tcPr>
            <w:tcW w:w="1890" w:type="dxa"/>
            <w:tcBorders>
              <w:top w:val="single" w:sz="8" w:space="0" w:color="auto"/>
              <w:left w:val="single" w:sz="4" w:space="0" w:color="auto"/>
              <w:bottom w:val="double" w:sz="6" w:space="0" w:color="auto"/>
              <w:right w:val="double" w:sz="6" w:space="0" w:color="auto"/>
            </w:tcBorders>
            <w:shd w:val="clear" w:color="000000" w:fill="FFFFFF"/>
            <w:vAlign w:val="center"/>
            <w:hideMark/>
          </w:tcPr>
          <w:p w14:paraId="41449CBE" w14:textId="77777777" w:rsidR="002D36D9" w:rsidRPr="00EF2F18" w:rsidRDefault="002D36D9" w:rsidP="00752CA0">
            <w:pPr>
              <w:spacing w:after="0"/>
              <w:jc w:val="center"/>
              <w:rPr>
                <w:rFonts w:eastAsia="Times New Roman" w:cs="Times New Roman"/>
                <w:color w:val="333333"/>
                <w:sz w:val="20"/>
                <w:szCs w:val="20"/>
                <w:lang w:val="sr-Cyrl-RS" w:eastAsia="en-GB"/>
              </w:rPr>
            </w:pPr>
            <w:r w:rsidRPr="00EF2F18">
              <w:rPr>
                <w:rFonts w:eastAsia="Times New Roman" w:cs="Times New Roman"/>
                <w:color w:val="333333"/>
                <w:sz w:val="20"/>
                <w:szCs w:val="20"/>
                <w:lang w:val="sr-Cyrl-RS" w:eastAsia="en-GB"/>
              </w:rPr>
              <w:t>860</w:t>
            </w:r>
          </w:p>
        </w:tc>
      </w:tr>
    </w:tbl>
    <w:p w14:paraId="677AFE08" w14:textId="6A08FED8" w:rsidR="007D7243" w:rsidRDefault="007D7243" w:rsidP="007D7243">
      <w:pPr>
        <w:spacing w:after="0"/>
        <w:rPr>
          <w:rFonts w:cs="Times New Roman"/>
          <w:sz w:val="20"/>
          <w:szCs w:val="20"/>
          <w:lang w:val="sr-Cyrl-RS"/>
        </w:rPr>
      </w:pPr>
    </w:p>
    <w:p w14:paraId="76259D06" w14:textId="743DFD63" w:rsidR="00B71584" w:rsidRDefault="00B71584" w:rsidP="007D7243">
      <w:pPr>
        <w:spacing w:after="0"/>
        <w:rPr>
          <w:rFonts w:cs="Times New Roman"/>
          <w:sz w:val="20"/>
          <w:szCs w:val="20"/>
          <w:lang w:val="sr-Cyrl-RS"/>
        </w:rPr>
      </w:pPr>
    </w:p>
    <w:p w14:paraId="092EC22B" w14:textId="4682CD3E" w:rsidR="00B71584" w:rsidRDefault="00B71584" w:rsidP="007D7243">
      <w:pPr>
        <w:spacing w:after="0"/>
        <w:rPr>
          <w:rFonts w:cs="Times New Roman"/>
          <w:sz w:val="20"/>
          <w:szCs w:val="20"/>
          <w:lang w:val="sr-Cyrl-RS"/>
        </w:rPr>
      </w:pPr>
    </w:p>
    <w:p w14:paraId="2308A695" w14:textId="0A5B48E1" w:rsidR="00B71584" w:rsidRDefault="00B71584" w:rsidP="007D7243">
      <w:pPr>
        <w:spacing w:after="0"/>
        <w:rPr>
          <w:rFonts w:cs="Times New Roman"/>
          <w:sz w:val="20"/>
          <w:szCs w:val="20"/>
          <w:lang w:val="sr-Cyrl-RS"/>
        </w:rPr>
      </w:pPr>
    </w:p>
    <w:p w14:paraId="6B0794C9" w14:textId="3FF8E5BD" w:rsidR="00B71584" w:rsidRDefault="00B71584" w:rsidP="007D7243">
      <w:pPr>
        <w:spacing w:after="0"/>
        <w:rPr>
          <w:rFonts w:cs="Times New Roman"/>
          <w:sz w:val="20"/>
          <w:szCs w:val="20"/>
          <w:lang w:val="sr-Cyrl-RS"/>
        </w:rPr>
      </w:pPr>
    </w:p>
    <w:p w14:paraId="4A926824" w14:textId="77777777" w:rsidR="00B71584" w:rsidRPr="00EF2F18" w:rsidRDefault="00B71584" w:rsidP="007D7243">
      <w:pPr>
        <w:spacing w:after="0"/>
        <w:rPr>
          <w:rFonts w:cs="Times New Roman"/>
          <w:sz w:val="20"/>
          <w:szCs w:val="20"/>
          <w:lang w:val="sr-Cyrl-RS"/>
        </w:rPr>
      </w:pPr>
    </w:p>
    <w:tbl>
      <w:tblPr>
        <w:tblW w:w="13590" w:type="dxa"/>
        <w:tblLook w:val="04A0" w:firstRow="1" w:lastRow="0" w:firstColumn="1" w:lastColumn="0" w:noHBand="0" w:noVBand="1"/>
      </w:tblPr>
      <w:tblGrid>
        <w:gridCol w:w="3663"/>
        <w:gridCol w:w="2480"/>
        <w:gridCol w:w="2384"/>
        <w:gridCol w:w="2250"/>
        <w:gridCol w:w="2790"/>
        <w:gridCol w:w="23"/>
      </w:tblGrid>
      <w:tr w:rsidR="007D7243" w:rsidRPr="00EF2F18" w14:paraId="7BD9D82B" w14:textId="77777777" w:rsidTr="00752CA0">
        <w:trPr>
          <w:trHeight w:val="336"/>
        </w:trPr>
        <w:tc>
          <w:tcPr>
            <w:tcW w:w="3663"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470572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4CCE1D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447" w:type="dxa"/>
            <w:gridSpan w:val="4"/>
            <w:tcBorders>
              <w:top w:val="double" w:sz="6" w:space="0" w:color="auto"/>
              <w:left w:val="nil"/>
              <w:bottom w:val="double" w:sz="6" w:space="0" w:color="auto"/>
              <w:right w:val="double" w:sz="6" w:space="0" w:color="auto"/>
            </w:tcBorders>
            <w:shd w:val="clear" w:color="000000" w:fill="A8D08D"/>
            <w:hideMark/>
          </w:tcPr>
          <w:p w14:paraId="12FFD6A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2D36D9" w:rsidRPr="00EF2F18" w14:paraId="3CBB66E4" w14:textId="77777777" w:rsidTr="002D36D9">
        <w:trPr>
          <w:gridAfter w:val="1"/>
          <w:wAfter w:w="23" w:type="dxa"/>
          <w:trHeight w:val="336"/>
        </w:trPr>
        <w:tc>
          <w:tcPr>
            <w:tcW w:w="3663" w:type="dxa"/>
            <w:vMerge/>
            <w:tcBorders>
              <w:top w:val="double" w:sz="6" w:space="0" w:color="auto"/>
              <w:left w:val="double" w:sz="6" w:space="0" w:color="auto"/>
              <w:bottom w:val="single" w:sz="8" w:space="0" w:color="000000"/>
              <w:right w:val="double" w:sz="6" w:space="0" w:color="auto"/>
            </w:tcBorders>
            <w:hideMark/>
          </w:tcPr>
          <w:p w14:paraId="6F46E939" w14:textId="77777777" w:rsidR="002D36D9" w:rsidRPr="00EF2F18" w:rsidRDefault="002D36D9"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hideMark/>
          </w:tcPr>
          <w:p w14:paraId="0E6E1670" w14:textId="77777777" w:rsidR="002D36D9" w:rsidRPr="00EF2F18" w:rsidRDefault="002D36D9" w:rsidP="00752CA0">
            <w:pPr>
              <w:spacing w:after="0"/>
              <w:rPr>
                <w:rFonts w:eastAsia="Times New Roman" w:cs="Times New Roman"/>
                <w:color w:val="000000"/>
                <w:sz w:val="20"/>
                <w:szCs w:val="20"/>
                <w:lang w:val="sr-Cyrl-RS" w:eastAsia="en-GB"/>
              </w:rPr>
            </w:pPr>
          </w:p>
        </w:tc>
        <w:tc>
          <w:tcPr>
            <w:tcW w:w="2384" w:type="dxa"/>
            <w:tcBorders>
              <w:top w:val="nil"/>
              <w:left w:val="nil"/>
              <w:bottom w:val="double" w:sz="6" w:space="0" w:color="auto"/>
              <w:right w:val="double" w:sz="6" w:space="0" w:color="auto"/>
            </w:tcBorders>
            <w:shd w:val="clear" w:color="000000" w:fill="A8D08D"/>
            <w:hideMark/>
          </w:tcPr>
          <w:p w14:paraId="5A0C6CDC" w14:textId="746D03A6"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250" w:type="dxa"/>
            <w:tcBorders>
              <w:top w:val="nil"/>
              <w:left w:val="nil"/>
              <w:bottom w:val="double" w:sz="6" w:space="0" w:color="auto"/>
              <w:right w:val="double" w:sz="6" w:space="0" w:color="auto"/>
            </w:tcBorders>
            <w:shd w:val="clear" w:color="000000" w:fill="A8D08D"/>
            <w:hideMark/>
          </w:tcPr>
          <w:p w14:paraId="29B9181A" w14:textId="3650663D"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790" w:type="dxa"/>
            <w:tcBorders>
              <w:top w:val="nil"/>
              <w:left w:val="nil"/>
              <w:bottom w:val="double" w:sz="6" w:space="0" w:color="auto"/>
              <w:right w:val="double" w:sz="6" w:space="0" w:color="auto"/>
            </w:tcBorders>
            <w:shd w:val="clear" w:color="000000" w:fill="A8D08D"/>
            <w:hideMark/>
          </w:tcPr>
          <w:p w14:paraId="3CDE71AA" w14:textId="4C2FBB95"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2D36D9" w:rsidRPr="00EF2F18" w14:paraId="1D66C5BD" w14:textId="77777777" w:rsidTr="002D36D9">
        <w:trPr>
          <w:gridAfter w:val="1"/>
          <w:wAfter w:w="23" w:type="dxa"/>
          <w:trHeight w:val="324"/>
        </w:trPr>
        <w:tc>
          <w:tcPr>
            <w:tcW w:w="3663" w:type="dxa"/>
            <w:tcBorders>
              <w:top w:val="nil"/>
              <w:left w:val="double" w:sz="6" w:space="0" w:color="auto"/>
              <w:bottom w:val="double" w:sz="6" w:space="0" w:color="auto"/>
              <w:right w:val="double" w:sz="6" w:space="0" w:color="auto"/>
            </w:tcBorders>
            <w:shd w:val="clear" w:color="000000" w:fill="FFFFFF"/>
            <w:hideMark/>
          </w:tcPr>
          <w:p w14:paraId="7C671463"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198618D2"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384" w:type="dxa"/>
            <w:tcBorders>
              <w:top w:val="nil"/>
              <w:left w:val="nil"/>
              <w:bottom w:val="double" w:sz="6" w:space="0" w:color="auto"/>
              <w:right w:val="double" w:sz="6" w:space="0" w:color="auto"/>
            </w:tcBorders>
          </w:tcPr>
          <w:p w14:paraId="7D954579" w14:textId="052ACDB2" w:rsidR="002D36D9" w:rsidRPr="00EF2F18" w:rsidRDefault="002D36D9" w:rsidP="00752CA0">
            <w:pPr>
              <w:spacing w:after="0"/>
              <w:jc w:val="right"/>
              <w:rPr>
                <w:rFonts w:eastAsia="Times New Roman" w:cs="Times New Roman"/>
                <w:color w:val="000000"/>
                <w:sz w:val="20"/>
                <w:szCs w:val="20"/>
                <w:lang w:val="sr-Cyrl-RS" w:eastAsia="en-GB"/>
              </w:rPr>
            </w:pPr>
          </w:p>
        </w:tc>
        <w:tc>
          <w:tcPr>
            <w:tcW w:w="2250" w:type="dxa"/>
            <w:tcBorders>
              <w:top w:val="nil"/>
              <w:left w:val="nil"/>
              <w:bottom w:val="double" w:sz="6" w:space="0" w:color="auto"/>
              <w:right w:val="double" w:sz="6" w:space="0" w:color="auto"/>
            </w:tcBorders>
          </w:tcPr>
          <w:p w14:paraId="62971CAE" w14:textId="6983ED12" w:rsidR="002D36D9" w:rsidRPr="00EF2F18" w:rsidRDefault="002D36D9" w:rsidP="00752CA0">
            <w:pPr>
              <w:spacing w:after="0"/>
              <w:jc w:val="right"/>
              <w:rPr>
                <w:rFonts w:eastAsia="Times New Roman" w:cs="Times New Roman"/>
                <w:color w:val="000000"/>
                <w:sz w:val="20"/>
                <w:szCs w:val="20"/>
                <w:lang w:val="sr-Cyrl-RS" w:eastAsia="en-GB"/>
              </w:rPr>
            </w:pPr>
          </w:p>
        </w:tc>
        <w:tc>
          <w:tcPr>
            <w:tcW w:w="2790" w:type="dxa"/>
            <w:tcBorders>
              <w:top w:val="nil"/>
              <w:left w:val="nil"/>
              <w:bottom w:val="double" w:sz="6" w:space="0" w:color="auto"/>
              <w:right w:val="double" w:sz="6" w:space="0" w:color="auto"/>
            </w:tcBorders>
            <w:shd w:val="clear" w:color="000000" w:fill="FFFFFF"/>
          </w:tcPr>
          <w:p w14:paraId="5A342470" w14:textId="4A6A4272" w:rsidR="002D36D9" w:rsidRPr="00EF2F18" w:rsidRDefault="002D36D9" w:rsidP="00752CA0">
            <w:pPr>
              <w:spacing w:after="0"/>
              <w:jc w:val="right"/>
              <w:rPr>
                <w:rFonts w:eastAsia="Times New Roman" w:cs="Times New Roman"/>
                <w:color w:val="000000"/>
                <w:sz w:val="20"/>
                <w:szCs w:val="20"/>
                <w:lang w:val="sr-Cyrl-RS" w:eastAsia="en-GB"/>
              </w:rPr>
            </w:pPr>
          </w:p>
        </w:tc>
      </w:tr>
      <w:tr w:rsidR="002D36D9" w:rsidRPr="00EF2F18" w14:paraId="5DA1CEBD" w14:textId="77777777" w:rsidTr="00AA1C23">
        <w:trPr>
          <w:gridAfter w:val="1"/>
          <w:wAfter w:w="23" w:type="dxa"/>
          <w:trHeight w:val="324"/>
        </w:trPr>
        <w:tc>
          <w:tcPr>
            <w:tcW w:w="3663" w:type="dxa"/>
            <w:vMerge w:val="restart"/>
            <w:tcBorders>
              <w:top w:val="single" w:sz="4" w:space="0" w:color="auto"/>
              <w:left w:val="double" w:sz="6" w:space="0" w:color="auto"/>
              <w:bottom w:val="double" w:sz="6" w:space="0" w:color="000000"/>
              <w:right w:val="double" w:sz="6" w:space="0" w:color="auto"/>
            </w:tcBorders>
            <w:shd w:val="clear" w:color="000000" w:fill="FFFFFF"/>
            <w:hideMark/>
          </w:tcPr>
          <w:p w14:paraId="0ABCB077"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tcBorders>
              <w:top w:val="single" w:sz="4" w:space="0" w:color="auto"/>
              <w:left w:val="nil"/>
              <w:bottom w:val="nil"/>
              <w:right w:val="double" w:sz="6" w:space="0" w:color="auto"/>
            </w:tcBorders>
            <w:shd w:val="clear" w:color="000000" w:fill="FFFFFF"/>
            <w:hideMark/>
          </w:tcPr>
          <w:p w14:paraId="03CA7FAE"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2384" w:type="dxa"/>
            <w:tcBorders>
              <w:top w:val="single" w:sz="4" w:space="0" w:color="auto"/>
              <w:left w:val="nil"/>
              <w:bottom w:val="nil"/>
              <w:right w:val="double" w:sz="6" w:space="0" w:color="auto"/>
            </w:tcBorders>
            <w:hideMark/>
          </w:tcPr>
          <w:p w14:paraId="728A6BD1" w14:textId="6F4F9473"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23.000</w:t>
            </w:r>
          </w:p>
        </w:tc>
        <w:tc>
          <w:tcPr>
            <w:tcW w:w="2250" w:type="dxa"/>
            <w:tcBorders>
              <w:top w:val="single" w:sz="4" w:space="0" w:color="auto"/>
              <w:left w:val="nil"/>
              <w:bottom w:val="nil"/>
              <w:right w:val="double" w:sz="6" w:space="0" w:color="auto"/>
            </w:tcBorders>
            <w:hideMark/>
          </w:tcPr>
          <w:p w14:paraId="435721FE" w14:textId="031C7875"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23.000</w:t>
            </w:r>
          </w:p>
        </w:tc>
        <w:tc>
          <w:tcPr>
            <w:tcW w:w="2790" w:type="dxa"/>
            <w:tcBorders>
              <w:top w:val="single" w:sz="4" w:space="0" w:color="auto"/>
              <w:left w:val="nil"/>
              <w:bottom w:val="nil"/>
              <w:right w:val="double" w:sz="6" w:space="0" w:color="auto"/>
            </w:tcBorders>
            <w:shd w:val="clear" w:color="000000" w:fill="FFFFFF"/>
            <w:hideMark/>
          </w:tcPr>
          <w:p w14:paraId="00BFEADD" w14:textId="262FFEC5"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23.000</w:t>
            </w:r>
          </w:p>
        </w:tc>
      </w:tr>
      <w:tr w:rsidR="002D36D9" w:rsidRPr="00EF2F18" w14:paraId="0C8AA3CC" w14:textId="77777777" w:rsidTr="002D36D9">
        <w:trPr>
          <w:gridAfter w:val="1"/>
          <w:wAfter w:w="23" w:type="dxa"/>
          <w:trHeight w:val="324"/>
        </w:trPr>
        <w:tc>
          <w:tcPr>
            <w:tcW w:w="3663" w:type="dxa"/>
            <w:vMerge/>
            <w:tcBorders>
              <w:top w:val="nil"/>
              <w:left w:val="double" w:sz="6" w:space="0" w:color="auto"/>
              <w:bottom w:val="double" w:sz="6" w:space="0" w:color="000000"/>
              <w:right w:val="double" w:sz="6" w:space="0" w:color="auto"/>
            </w:tcBorders>
            <w:hideMark/>
          </w:tcPr>
          <w:p w14:paraId="23851A2E" w14:textId="77777777" w:rsidR="002D36D9" w:rsidRPr="00EF2F18" w:rsidRDefault="002D36D9" w:rsidP="00752CA0">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shd w:val="clear" w:color="000000" w:fill="FFFFFF"/>
            <w:hideMark/>
          </w:tcPr>
          <w:p w14:paraId="7B829171"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0405-560-0001-451</w:t>
            </w:r>
          </w:p>
        </w:tc>
        <w:tc>
          <w:tcPr>
            <w:tcW w:w="2384" w:type="dxa"/>
            <w:tcBorders>
              <w:top w:val="nil"/>
              <w:left w:val="nil"/>
              <w:bottom w:val="double" w:sz="6" w:space="0" w:color="auto"/>
              <w:right w:val="double" w:sz="6" w:space="0" w:color="auto"/>
            </w:tcBorders>
            <w:hideMark/>
          </w:tcPr>
          <w:p w14:paraId="2A6F1E42"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2250" w:type="dxa"/>
            <w:tcBorders>
              <w:top w:val="nil"/>
              <w:left w:val="nil"/>
              <w:bottom w:val="double" w:sz="6" w:space="0" w:color="auto"/>
              <w:right w:val="double" w:sz="6" w:space="0" w:color="auto"/>
            </w:tcBorders>
            <w:hideMark/>
          </w:tcPr>
          <w:p w14:paraId="791E28C8"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2790" w:type="dxa"/>
            <w:tcBorders>
              <w:top w:val="nil"/>
              <w:left w:val="nil"/>
              <w:bottom w:val="double" w:sz="6" w:space="0" w:color="auto"/>
              <w:right w:val="double" w:sz="6" w:space="0" w:color="auto"/>
            </w:tcBorders>
            <w:shd w:val="clear" w:color="000000" w:fill="FFFFFF"/>
            <w:hideMark/>
          </w:tcPr>
          <w:p w14:paraId="150F71BA" w14:textId="73E8B42B" w:rsidR="002D36D9" w:rsidRPr="00EF2F18" w:rsidRDefault="002D36D9" w:rsidP="00752CA0">
            <w:pPr>
              <w:spacing w:after="0"/>
              <w:jc w:val="right"/>
              <w:rPr>
                <w:rFonts w:eastAsia="Times New Roman" w:cs="Times New Roman"/>
                <w:color w:val="000000"/>
                <w:sz w:val="20"/>
                <w:szCs w:val="20"/>
                <w:lang w:val="sr-Cyrl-RS" w:eastAsia="en-GB"/>
              </w:rPr>
            </w:pPr>
          </w:p>
        </w:tc>
      </w:tr>
    </w:tbl>
    <w:p w14:paraId="3DBA7791" w14:textId="77777777" w:rsidR="007D7243" w:rsidRPr="00EF2F18" w:rsidRDefault="007D7243" w:rsidP="007D7243">
      <w:pPr>
        <w:spacing w:after="0"/>
        <w:rPr>
          <w:sz w:val="20"/>
          <w:szCs w:val="20"/>
          <w:lang w:val="sr-Cyrl-RS"/>
        </w:rPr>
      </w:pPr>
    </w:p>
    <w:tbl>
      <w:tblPr>
        <w:tblW w:w="13585" w:type="dxa"/>
        <w:tblLook w:val="04A0" w:firstRow="1" w:lastRow="0" w:firstColumn="1" w:lastColumn="0" w:noHBand="0" w:noVBand="1"/>
      </w:tblPr>
      <w:tblGrid>
        <w:gridCol w:w="2623"/>
        <w:gridCol w:w="1231"/>
        <w:gridCol w:w="1362"/>
        <w:gridCol w:w="1323"/>
        <w:gridCol w:w="1691"/>
        <w:gridCol w:w="1521"/>
        <w:gridCol w:w="1206"/>
        <w:gridCol w:w="1260"/>
        <w:gridCol w:w="1350"/>
        <w:gridCol w:w="18"/>
      </w:tblGrid>
      <w:tr w:rsidR="007D7243" w:rsidRPr="00EF2F18" w14:paraId="24ACD661" w14:textId="77777777" w:rsidTr="002D36D9">
        <w:trPr>
          <w:trHeight w:val="732"/>
        </w:trPr>
        <w:tc>
          <w:tcPr>
            <w:tcW w:w="262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3589C0D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3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0B765F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36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6CFDCF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32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F5C017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7AFFCA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52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57C04B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834" w:type="dxa"/>
            <w:gridSpan w:val="4"/>
            <w:tcBorders>
              <w:top w:val="double" w:sz="6" w:space="0" w:color="auto"/>
              <w:left w:val="nil"/>
              <w:bottom w:val="single" w:sz="8" w:space="0" w:color="auto"/>
              <w:right w:val="double" w:sz="6" w:space="0" w:color="auto"/>
            </w:tcBorders>
            <w:shd w:val="clear" w:color="000000" w:fill="FFF2CC"/>
            <w:hideMark/>
          </w:tcPr>
          <w:p w14:paraId="41CE5C0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2D36D9" w:rsidRPr="00EF2F18" w14:paraId="360AEFF5" w14:textId="77777777" w:rsidTr="002D36D9">
        <w:trPr>
          <w:gridAfter w:val="1"/>
          <w:wAfter w:w="18" w:type="dxa"/>
          <w:trHeight w:val="324"/>
        </w:trPr>
        <w:tc>
          <w:tcPr>
            <w:tcW w:w="2623" w:type="dxa"/>
            <w:vMerge/>
            <w:tcBorders>
              <w:top w:val="double" w:sz="6" w:space="0" w:color="auto"/>
              <w:left w:val="double" w:sz="6" w:space="0" w:color="auto"/>
              <w:bottom w:val="single" w:sz="8" w:space="0" w:color="000000"/>
              <w:right w:val="single" w:sz="8" w:space="0" w:color="auto"/>
            </w:tcBorders>
            <w:vAlign w:val="center"/>
            <w:hideMark/>
          </w:tcPr>
          <w:p w14:paraId="15A90150" w14:textId="77777777" w:rsidR="002D36D9" w:rsidRPr="00EF2F18" w:rsidRDefault="002D36D9" w:rsidP="00752CA0">
            <w:pPr>
              <w:spacing w:after="0"/>
              <w:rPr>
                <w:rFonts w:eastAsia="Times New Roman" w:cs="Times New Roman"/>
                <w:color w:val="000000"/>
                <w:sz w:val="20"/>
                <w:szCs w:val="20"/>
                <w:lang w:val="sr-Cyrl-RS" w:eastAsia="en-GB"/>
              </w:rPr>
            </w:pPr>
          </w:p>
        </w:tc>
        <w:tc>
          <w:tcPr>
            <w:tcW w:w="1231" w:type="dxa"/>
            <w:vMerge/>
            <w:tcBorders>
              <w:top w:val="double" w:sz="6" w:space="0" w:color="auto"/>
              <w:left w:val="single" w:sz="8" w:space="0" w:color="auto"/>
              <w:bottom w:val="single" w:sz="8" w:space="0" w:color="000000"/>
              <w:right w:val="single" w:sz="8" w:space="0" w:color="auto"/>
            </w:tcBorders>
            <w:vAlign w:val="center"/>
            <w:hideMark/>
          </w:tcPr>
          <w:p w14:paraId="0FA404C6" w14:textId="77777777" w:rsidR="002D36D9" w:rsidRPr="00EF2F18" w:rsidRDefault="002D36D9" w:rsidP="00752CA0">
            <w:pPr>
              <w:spacing w:after="0"/>
              <w:rPr>
                <w:rFonts w:eastAsia="Times New Roman" w:cs="Times New Roman"/>
                <w:color w:val="000000"/>
                <w:sz w:val="20"/>
                <w:szCs w:val="20"/>
                <w:lang w:val="sr-Cyrl-RS" w:eastAsia="en-GB"/>
              </w:rPr>
            </w:pPr>
          </w:p>
        </w:tc>
        <w:tc>
          <w:tcPr>
            <w:tcW w:w="1362" w:type="dxa"/>
            <w:vMerge/>
            <w:tcBorders>
              <w:top w:val="double" w:sz="6" w:space="0" w:color="auto"/>
              <w:left w:val="single" w:sz="8" w:space="0" w:color="auto"/>
              <w:bottom w:val="single" w:sz="8" w:space="0" w:color="000000"/>
              <w:right w:val="single" w:sz="8" w:space="0" w:color="auto"/>
            </w:tcBorders>
            <w:vAlign w:val="center"/>
            <w:hideMark/>
          </w:tcPr>
          <w:p w14:paraId="2257E7F0" w14:textId="77777777" w:rsidR="002D36D9" w:rsidRPr="00EF2F18" w:rsidRDefault="002D36D9" w:rsidP="00752CA0">
            <w:pPr>
              <w:spacing w:after="0"/>
              <w:rPr>
                <w:rFonts w:eastAsia="Times New Roman" w:cs="Times New Roman"/>
                <w:color w:val="000000"/>
                <w:sz w:val="20"/>
                <w:szCs w:val="20"/>
                <w:lang w:val="sr-Cyrl-RS" w:eastAsia="en-GB"/>
              </w:rPr>
            </w:pPr>
          </w:p>
        </w:tc>
        <w:tc>
          <w:tcPr>
            <w:tcW w:w="1323" w:type="dxa"/>
            <w:vMerge/>
            <w:tcBorders>
              <w:top w:val="double" w:sz="6" w:space="0" w:color="auto"/>
              <w:left w:val="single" w:sz="8" w:space="0" w:color="auto"/>
              <w:bottom w:val="single" w:sz="8" w:space="0" w:color="000000"/>
              <w:right w:val="single" w:sz="8" w:space="0" w:color="auto"/>
            </w:tcBorders>
            <w:vAlign w:val="center"/>
            <w:hideMark/>
          </w:tcPr>
          <w:p w14:paraId="2169AB05" w14:textId="77777777" w:rsidR="002D36D9" w:rsidRPr="00EF2F18" w:rsidRDefault="002D36D9"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6DD2A792" w14:textId="77777777" w:rsidR="002D36D9" w:rsidRPr="00EF2F18" w:rsidRDefault="002D36D9" w:rsidP="00752CA0">
            <w:pPr>
              <w:spacing w:after="0"/>
              <w:rPr>
                <w:rFonts w:eastAsia="Times New Roman" w:cs="Times New Roman"/>
                <w:color w:val="000000"/>
                <w:sz w:val="20"/>
                <w:szCs w:val="20"/>
                <w:lang w:val="sr-Cyrl-RS" w:eastAsia="en-GB"/>
              </w:rPr>
            </w:pPr>
          </w:p>
        </w:tc>
        <w:tc>
          <w:tcPr>
            <w:tcW w:w="1521" w:type="dxa"/>
            <w:vMerge/>
            <w:tcBorders>
              <w:top w:val="double" w:sz="6" w:space="0" w:color="auto"/>
              <w:left w:val="single" w:sz="8" w:space="0" w:color="auto"/>
              <w:bottom w:val="single" w:sz="8" w:space="0" w:color="000000"/>
              <w:right w:val="single" w:sz="8" w:space="0" w:color="auto"/>
            </w:tcBorders>
            <w:vAlign w:val="center"/>
            <w:hideMark/>
          </w:tcPr>
          <w:p w14:paraId="45737430" w14:textId="77777777" w:rsidR="002D36D9" w:rsidRPr="00EF2F18" w:rsidRDefault="002D36D9" w:rsidP="00752CA0">
            <w:pPr>
              <w:spacing w:after="0"/>
              <w:rPr>
                <w:rFonts w:eastAsia="Times New Roman" w:cs="Times New Roman"/>
                <w:color w:val="000000"/>
                <w:sz w:val="20"/>
                <w:szCs w:val="20"/>
                <w:lang w:val="sr-Cyrl-RS" w:eastAsia="en-GB"/>
              </w:rPr>
            </w:pPr>
          </w:p>
        </w:tc>
        <w:tc>
          <w:tcPr>
            <w:tcW w:w="1206" w:type="dxa"/>
            <w:tcBorders>
              <w:top w:val="nil"/>
              <w:left w:val="nil"/>
              <w:bottom w:val="single" w:sz="8" w:space="0" w:color="auto"/>
              <w:right w:val="single" w:sz="8" w:space="0" w:color="auto"/>
            </w:tcBorders>
            <w:shd w:val="clear" w:color="000000" w:fill="FFF2CC"/>
            <w:hideMark/>
          </w:tcPr>
          <w:p w14:paraId="3E146864" w14:textId="43E53F9E"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2FF5ABA8" w14:textId="742B4937"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350" w:type="dxa"/>
            <w:tcBorders>
              <w:top w:val="nil"/>
              <w:left w:val="nil"/>
              <w:bottom w:val="single" w:sz="8" w:space="0" w:color="auto"/>
              <w:right w:val="double" w:sz="6" w:space="0" w:color="auto"/>
            </w:tcBorders>
            <w:shd w:val="clear" w:color="000000" w:fill="FFF2CC"/>
            <w:hideMark/>
          </w:tcPr>
          <w:p w14:paraId="7EC71203" w14:textId="3A035DDB" w:rsidR="002D36D9" w:rsidRPr="00EF2F18" w:rsidRDefault="002D36D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2D36D9" w:rsidRPr="00EF2F18" w14:paraId="089FEEEE" w14:textId="77777777" w:rsidTr="002D36D9">
        <w:trPr>
          <w:gridAfter w:val="1"/>
          <w:wAfter w:w="18" w:type="dxa"/>
          <w:trHeight w:val="1420"/>
        </w:trPr>
        <w:tc>
          <w:tcPr>
            <w:tcW w:w="2623" w:type="dxa"/>
            <w:tcBorders>
              <w:top w:val="nil"/>
              <w:left w:val="double" w:sz="6" w:space="0" w:color="auto"/>
              <w:bottom w:val="single" w:sz="8" w:space="0" w:color="auto"/>
              <w:right w:val="single" w:sz="8" w:space="0" w:color="auto"/>
            </w:tcBorders>
            <w:hideMark/>
          </w:tcPr>
          <w:p w14:paraId="5CA44F03" w14:textId="7610B54D" w:rsidR="002D36D9" w:rsidRPr="00EF2F18" w:rsidRDefault="002D36D9" w:rsidP="00752CA0">
            <w:pPr>
              <w:spacing w:after="0"/>
              <w:rPr>
                <w:rFonts w:eastAsia="Times New Roman" w:cs="Times New Roman"/>
                <w:color w:val="000000"/>
                <w:sz w:val="20"/>
                <w:szCs w:val="20"/>
                <w:highlight w:val="yellow"/>
                <w:lang w:val="sr-Cyrl-RS" w:eastAsia="en-GB"/>
              </w:rPr>
            </w:pPr>
            <w:r w:rsidRPr="00EF2F18">
              <w:rPr>
                <w:rFonts w:eastAsia="Times New Roman" w:cs="Times New Roman"/>
                <w:sz w:val="20"/>
                <w:szCs w:val="20"/>
                <w:lang w:val="sr-Cyrl-RS" w:eastAsia="en-GB" w:bidi="en-US"/>
              </w:rPr>
              <w:t>4.1.1.1. Нова категоризација заштите дивљих врста у складу са међународним стандардима и прописима ЕУ</w:t>
            </w:r>
          </w:p>
        </w:tc>
        <w:tc>
          <w:tcPr>
            <w:tcW w:w="1231" w:type="dxa"/>
            <w:tcBorders>
              <w:top w:val="nil"/>
              <w:left w:val="nil"/>
              <w:bottom w:val="single" w:sz="8" w:space="0" w:color="auto"/>
              <w:right w:val="single" w:sz="8" w:space="0" w:color="auto"/>
            </w:tcBorders>
            <w:hideMark/>
          </w:tcPr>
          <w:p w14:paraId="26780B1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nil"/>
              <w:left w:val="nil"/>
              <w:bottom w:val="single" w:sz="8" w:space="0" w:color="auto"/>
              <w:right w:val="single" w:sz="8" w:space="0" w:color="auto"/>
            </w:tcBorders>
            <w:hideMark/>
          </w:tcPr>
          <w:p w14:paraId="664E6BDC"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Управа за шуме, ЗЗПС, ПЗЗП</w:t>
            </w:r>
          </w:p>
        </w:tc>
        <w:tc>
          <w:tcPr>
            <w:tcW w:w="1323" w:type="dxa"/>
            <w:tcBorders>
              <w:top w:val="nil"/>
              <w:left w:val="nil"/>
              <w:bottom w:val="single" w:sz="8" w:space="0" w:color="auto"/>
              <w:right w:val="single" w:sz="8" w:space="0" w:color="auto"/>
            </w:tcBorders>
            <w:hideMark/>
          </w:tcPr>
          <w:p w14:paraId="698CD673" w14:textId="23F02AAF"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 квартал 2026.</w:t>
            </w:r>
          </w:p>
        </w:tc>
        <w:tc>
          <w:tcPr>
            <w:tcW w:w="1691" w:type="dxa"/>
            <w:tcBorders>
              <w:top w:val="nil"/>
              <w:left w:val="nil"/>
              <w:bottom w:val="single" w:sz="8" w:space="0" w:color="auto"/>
              <w:right w:val="single" w:sz="8" w:space="0" w:color="auto"/>
            </w:tcBorders>
            <w:hideMark/>
          </w:tcPr>
          <w:p w14:paraId="5B0BD976"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521" w:type="dxa"/>
            <w:tcBorders>
              <w:top w:val="nil"/>
              <w:left w:val="nil"/>
              <w:bottom w:val="single" w:sz="8" w:space="0" w:color="auto"/>
              <w:right w:val="single" w:sz="8" w:space="0" w:color="auto"/>
            </w:tcBorders>
            <w:hideMark/>
          </w:tcPr>
          <w:p w14:paraId="70A25BFB"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6" w:type="dxa"/>
            <w:tcBorders>
              <w:top w:val="nil"/>
              <w:left w:val="nil"/>
              <w:bottom w:val="single" w:sz="8" w:space="0" w:color="auto"/>
              <w:right w:val="single" w:sz="8" w:space="0" w:color="auto"/>
            </w:tcBorders>
          </w:tcPr>
          <w:p w14:paraId="2F363D94" w14:textId="6353F668" w:rsidR="002D36D9" w:rsidRPr="00EF2F18" w:rsidRDefault="002D36D9"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4EE52357" w14:textId="0A89CB96" w:rsidR="002D36D9" w:rsidRPr="00EF2F18" w:rsidRDefault="002D36D9"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4789B2DF" w14:textId="68C28C35" w:rsidR="002D36D9" w:rsidRPr="00EF2F18" w:rsidRDefault="002D36D9" w:rsidP="00752CA0">
            <w:pPr>
              <w:spacing w:after="0"/>
              <w:jc w:val="right"/>
              <w:rPr>
                <w:rFonts w:eastAsia="Times New Roman" w:cs="Times New Roman"/>
                <w:color w:val="000000"/>
                <w:sz w:val="20"/>
                <w:szCs w:val="20"/>
                <w:lang w:val="sr-Cyrl-RS" w:eastAsia="en-GB"/>
              </w:rPr>
            </w:pPr>
          </w:p>
        </w:tc>
      </w:tr>
      <w:tr w:rsidR="002D36D9" w:rsidRPr="00EF2F18" w14:paraId="1B9043C6" w14:textId="77777777" w:rsidTr="002D3ED7">
        <w:trPr>
          <w:gridAfter w:val="1"/>
          <w:wAfter w:w="18" w:type="dxa"/>
          <w:trHeight w:val="804"/>
        </w:trPr>
        <w:tc>
          <w:tcPr>
            <w:tcW w:w="2623" w:type="dxa"/>
            <w:tcBorders>
              <w:top w:val="single" w:sz="4" w:space="0" w:color="auto"/>
              <w:left w:val="double" w:sz="6" w:space="0" w:color="auto"/>
              <w:bottom w:val="single" w:sz="8" w:space="0" w:color="auto"/>
              <w:right w:val="single" w:sz="8" w:space="0" w:color="auto"/>
            </w:tcBorders>
            <w:hideMark/>
          </w:tcPr>
          <w:p w14:paraId="7A9DD2BC" w14:textId="39E0F272"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 xml:space="preserve">4.1.1.2. Измена/допуна Правилника о проглашењу и заштити строго заштићених врста </w:t>
            </w:r>
          </w:p>
        </w:tc>
        <w:tc>
          <w:tcPr>
            <w:tcW w:w="1231" w:type="dxa"/>
            <w:tcBorders>
              <w:top w:val="single" w:sz="4" w:space="0" w:color="auto"/>
              <w:left w:val="nil"/>
              <w:bottom w:val="single" w:sz="8" w:space="0" w:color="auto"/>
              <w:right w:val="single" w:sz="8" w:space="0" w:color="auto"/>
            </w:tcBorders>
            <w:hideMark/>
          </w:tcPr>
          <w:p w14:paraId="13AA71EE"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single" w:sz="4" w:space="0" w:color="auto"/>
              <w:left w:val="nil"/>
              <w:bottom w:val="single" w:sz="8" w:space="0" w:color="auto"/>
              <w:right w:val="single" w:sz="8" w:space="0" w:color="auto"/>
            </w:tcBorders>
            <w:hideMark/>
          </w:tcPr>
          <w:p w14:paraId="0CE18637"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Управа за шуме, НИО, ЗЗПС, ПЗЗП</w:t>
            </w:r>
          </w:p>
        </w:tc>
        <w:tc>
          <w:tcPr>
            <w:tcW w:w="1323" w:type="dxa"/>
            <w:tcBorders>
              <w:top w:val="single" w:sz="4" w:space="0" w:color="auto"/>
              <w:left w:val="nil"/>
              <w:bottom w:val="single" w:sz="8" w:space="0" w:color="auto"/>
              <w:right w:val="single" w:sz="8" w:space="0" w:color="auto"/>
            </w:tcBorders>
            <w:hideMark/>
          </w:tcPr>
          <w:p w14:paraId="42E69BC9"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single" w:sz="4" w:space="0" w:color="auto"/>
              <w:left w:val="nil"/>
              <w:bottom w:val="single" w:sz="8" w:space="0" w:color="auto"/>
              <w:right w:val="single" w:sz="8" w:space="0" w:color="auto"/>
            </w:tcBorders>
            <w:hideMark/>
          </w:tcPr>
          <w:p w14:paraId="23F34384"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521" w:type="dxa"/>
            <w:tcBorders>
              <w:top w:val="single" w:sz="4" w:space="0" w:color="auto"/>
              <w:left w:val="nil"/>
              <w:bottom w:val="single" w:sz="8" w:space="0" w:color="auto"/>
              <w:right w:val="single" w:sz="8" w:space="0" w:color="auto"/>
            </w:tcBorders>
            <w:hideMark/>
          </w:tcPr>
          <w:p w14:paraId="4671DC1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6" w:type="dxa"/>
            <w:tcBorders>
              <w:top w:val="single" w:sz="4" w:space="0" w:color="auto"/>
              <w:left w:val="nil"/>
              <w:bottom w:val="single" w:sz="8" w:space="0" w:color="auto"/>
              <w:right w:val="single" w:sz="8" w:space="0" w:color="auto"/>
            </w:tcBorders>
          </w:tcPr>
          <w:p w14:paraId="651B5722" w14:textId="1A5A8DAA" w:rsidR="002D36D9" w:rsidRPr="00EF2F18" w:rsidRDefault="002D36D9"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64EAB1E7" w14:textId="67EA15FE" w:rsidR="002D36D9" w:rsidRPr="00EF2F18" w:rsidRDefault="002D36D9" w:rsidP="00752CA0">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single" w:sz="8" w:space="0" w:color="auto"/>
              <w:right w:val="double" w:sz="6" w:space="0" w:color="auto"/>
            </w:tcBorders>
          </w:tcPr>
          <w:p w14:paraId="1AB7E31B" w14:textId="345CD1D1" w:rsidR="002D36D9" w:rsidRPr="00EF2F18" w:rsidRDefault="002D36D9" w:rsidP="00752CA0">
            <w:pPr>
              <w:spacing w:after="0"/>
              <w:jc w:val="right"/>
              <w:rPr>
                <w:rFonts w:eastAsia="Times New Roman" w:cs="Times New Roman"/>
                <w:color w:val="000000"/>
                <w:sz w:val="20"/>
                <w:szCs w:val="20"/>
                <w:lang w:val="sr-Cyrl-RS" w:eastAsia="en-GB"/>
              </w:rPr>
            </w:pPr>
          </w:p>
        </w:tc>
      </w:tr>
      <w:tr w:rsidR="002D36D9" w:rsidRPr="00EF2F18" w14:paraId="4C81B402" w14:textId="77777777" w:rsidTr="002D36D9">
        <w:trPr>
          <w:gridAfter w:val="1"/>
          <w:wAfter w:w="18" w:type="dxa"/>
          <w:trHeight w:val="540"/>
        </w:trPr>
        <w:tc>
          <w:tcPr>
            <w:tcW w:w="2623" w:type="dxa"/>
            <w:tcBorders>
              <w:top w:val="nil"/>
              <w:left w:val="double" w:sz="6" w:space="0" w:color="auto"/>
              <w:bottom w:val="single" w:sz="8" w:space="0" w:color="auto"/>
              <w:right w:val="single" w:sz="8" w:space="0" w:color="auto"/>
            </w:tcBorders>
            <w:hideMark/>
          </w:tcPr>
          <w:p w14:paraId="0884C8EB" w14:textId="7964DC86"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4.1.1.3. Доношење Црвених листа </w:t>
            </w:r>
          </w:p>
        </w:tc>
        <w:tc>
          <w:tcPr>
            <w:tcW w:w="1231" w:type="dxa"/>
            <w:tcBorders>
              <w:top w:val="nil"/>
              <w:left w:val="nil"/>
              <w:bottom w:val="single" w:sz="8" w:space="0" w:color="auto"/>
              <w:right w:val="single" w:sz="8" w:space="0" w:color="auto"/>
            </w:tcBorders>
            <w:hideMark/>
          </w:tcPr>
          <w:p w14:paraId="691C8582"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nil"/>
              <w:left w:val="nil"/>
              <w:bottom w:val="single" w:sz="8" w:space="0" w:color="auto"/>
              <w:right w:val="single" w:sz="8" w:space="0" w:color="auto"/>
            </w:tcBorders>
            <w:hideMark/>
          </w:tcPr>
          <w:p w14:paraId="063AB787"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НИО, ЗЗПС, ПЗЗП </w:t>
            </w:r>
          </w:p>
        </w:tc>
        <w:tc>
          <w:tcPr>
            <w:tcW w:w="1323" w:type="dxa"/>
            <w:tcBorders>
              <w:top w:val="nil"/>
              <w:left w:val="nil"/>
              <w:bottom w:val="single" w:sz="8" w:space="0" w:color="auto"/>
              <w:right w:val="single" w:sz="8" w:space="0" w:color="auto"/>
            </w:tcBorders>
            <w:hideMark/>
          </w:tcPr>
          <w:p w14:paraId="159F6DB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single" w:sz="8" w:space="0" w:color="auto"/>
              <w:right w:val="single" w:sz="8" w:space="0" w:color="auto"/>
            </w:tcBorders>
            <w:hideMark/>
          </w:tcPr>
          <w:p w14:paraId="2040DDC0"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521" w:type="dxa"/>
            <w:tcBorders>
              <w:top w:val="nil"/>
              <w:left w:val="nil"/>
              <w:bottom w:val="single" w:sz="8" w:space="0" w:color="auto"/>
              <w:right w:val="single" w:sz="8" w:space="0" w:color="auto"/>
            </w:tcBorders>
            <w:hideMark/>
          </w:tcPr>
          <w:p w14:paraId="7387C12D"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1206" w:type="dxa"/>
            <w:tcBorders>
              <w:top w:val="nil"/>
              <w:left w:val="nil"/>
              <w:bottom w:val="single" w:sz="8" w:space="0" w:color="auto"/>
              <w:right w:val="single" w:sz="8" w:space="0" w:color="auto"/>
            </w:tcBorders>
            <w:hideMark/>
          </w:tcPr>
          <w:p w14:paraId="493D13F2"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w:t>
            </w:r>
          </w:p>
        </w:tc>
        <w:tc>
          <w:tcPr>
            <w:tcW w:w="1260" w:type="dxa"/>
            <w:tcBorders>
              <w:top w:val="nil"/>
              <w:left w:val="nil"/>
              <w:bottom w:val="single" w:sz="8" w:space="0" w:color="auto"/>
              <w:right w:val="single" w:sz="8" w:space="0" w:color="auto"/>
            </w:tcBorders>
            <w:hideMark/>
          </w:tcPr>
          <w:p w14:paraId="4732F3E5"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w:t>
            </w:r>
          </w:p>
        </w:tc>
        <w:tc>
          <w:tcPr>
            <w:tcW w:w="1350" w:type="dxa"/>
            <w:tcBorders>
              <w:top w:val="nil"/>
              <w:left w:val="nil"/>
              <w:bottom w:val="single" w:sz="8" w:space="0" w:color="auto"/>
              <w:right w:val="double" w:sz="6" w:space="0" w:color="auto"/>
            </w:tcBorders>
            <w:hideMark/>
          </w:tcPr>
          <w:p w14:paraId="08C36EE3" w14:textId="0C86B08E"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w:t>
            </w:r>
          </w:p>
        </w:tc>
      </w:tr>
      <w:tr w:rsidR="002D36D9" w:rsidRPr="00EF2F18" w14:paraId="6CEFC507" w14:textId="77777777" w:rsidTr="002D36D9">
        <w:trPr>
          <w:gridAfter w:val="1"/>
          <w:wAfter w:w="18" w:type="dxa"/>
          <w:trHeight w:val="804"/>
        </w:trPr>
        <w:tc>
          <w:tcPr>
            <w:tcW w:w="2623" w:type="dxa"/>
            <w:tcBorders>
              <w:top w:val="nil"/>
              <w:left w:val="double" w:sz="6" w:space="0" w:color="auto"/>
              <w:bottom w:val="single" w:sz="8" w:space="0" w:color="auto"/>
              <w:right w:val="single" w:sz="8" w:space="0" w:color="auto"/>
            </w:tcBorders>
            <w:hideMark/>
          </w:tcPr>
          <w:p w14:paraId="26E39DC0"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4.1.1.4. Успостављање праћења показатеља ЦОР: Индекс Црвених листа (15.5.1.)</w:t>
            </w:r>
          </w:p>
        </w:tc>
        <w:tc>
          <w:tcPr>
            <w:tcW w:w="1231" w:type="dxa"/>
            <w:tcBorders>
              <w:top w:val="nil"/>
              <w:left w:val="nil"/>
              <w:bottom w:val="single" w:sz="8" w:space="0" w:color="auto"/>
              <w:right w:val="single" w:sz="8" w:space="0" w:color="auto"/>
            </w:tcBorders>
            <w:hideMark/>
          </w:tcPr>
          <w:p w14:paraId="05278D3E"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362" w:type="dxa"/>
            <w:tcBorders>
              <w:top w:val="nil"/>
              <w:left w:val="nil"/>
              <w:bottom w:val="single" w:sz="8" w:space="0" w:color="auto"/>
              <w:right w:val="single" w:sz="8" w:space="0" w:color="auto"/>
            </w:tcBorders>
            <w:hideMark/>
          </w:tcPr>
          <w:p w14:paraId="596249BB"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НИО, ЗЗПС, ПЗЗП</w:t>
            </w:r>
          </w:p>
        </w:tc>
        <w:tc>
          <w:tcPr>
            <w:tcW w:w="1323" w:type="dxa"/>
            <w:tcBorders>
              <w:top w:val="nil"/>
              <w:left w:val="nil"/>
              <w:bottom w:val="single" w:sz="8" w:space="0" w:color="auto"/>
              <w:right w:val="single" w:sz="8" w:space="0" w:color="auto"/>
            </w:tcBorders>
            <w:hideMark/>
          </w:tcPr>
          <w:p w14:paraId="2AB36C5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4050248A"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521" w:type="dxa"/>
            <w:tcBorders>
              <w:top w:val="nil"/>
              <w:left w:val="nil"/>
              <w:bottom w:val="single" w:sz="8" w:space="0" w:color="auto"/>
              <w:right w:val="single" w:sz="8" w:space="0" w:color="auto"/>
            </w:tcBorders>
            <w:hideMark/>
          </w:tcPr>
          <w:p w14:paraId="5D96A14A" w14:textId="45B30836"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6" w:type="dxa"/>
            <w:tcBorders>
              <w:top w:val="nil"/>
              <w:left w:val="nil"/>
              <w:bottom w:val="single" w:sz="8" w:space="0" w:color="auto"/>
              <w:right w:val="single" w:sz="8" w:space="0" w:color="auto"/>
            </w:tcBorders>
          </w:tcPr>
          <w:p w14:paraId="538A369D" w14:textId="0BAA4210" w:rsidR="002D36D9" w:rsidRPr="00EF2F18" w:rsidRDefault="002D36D9"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785E0DDB" w14:textId="609D3FED" w:rsidR="002D36D9" w:rsidRPr="00EF2F18" w:rsidRDefault="002D36D9"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4B468F2E" w14:textId="7BC9A954" w:rsidR="002D36D9" w:rsidRPr="00EF2F18" w:rsidRDefault="002D36D9" w:rsidP="00752CA0">
            <w:pPr>
              <w:spacing w:after="0"/>
              <w:jc w:val="right"/>
              <w:rPr>
                <w:rFonts w:eastAsia="Times New Roman" w:cs="Times New Roman"/>
                <w:color w:val="000000"/>
                <w:sz w:val="20"/>
                <w:szCs w:val="20"/>
                <w:lang w:val="sr-Cyrl-RS" w:eastAsia="en-GB"/>
              </w:rPr>
            </w:pPr>
          </w:p>
        </w:tc>
      </w:tr>
      <w:tr w:rsidR="002D36D9" w:rsidRPr="00EF2F18" w14:paraId="47FD532C" w14:textId="77777777" w:rsidTr="002D36D9">
        <w:trPr>
          <w:gridAfter w:val="1"/>
          <w:wAfter w:w="18" w:type="dxa"/>
          <w:trHeight w:val="540"/>
        </w:trPr>
        <w:tc>
          <w:tcPr>
            <w:tcW w:w="2623" w:type="dxa"/>
            <w:tcBorders>
              <w:top w:val="nil"/>
              <w:left w:val="double" w:sz="6" w:space="0" w:color="auto"/>
              <w:bottom w:val="single" w:sz="8" w:space="0" w:color="auto"/>
              <w:right w:val="single" w:sz="8" w:space="0" w:color="auto"/>
            </w:tcBorders>
            <w:hideMark/>
          </w:tcPr>
          <w:p w14:paraId="45669E45"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4.1.1.5. Доношење Националне листе инвазивнх врста</w:t>
            </w:r>
          </w:p>
        </w:tc>
        <w:tc>
          <w:tcPr>
            <w:tcW w:w="1231" w:type="dxa"/>
            <w:tcBorders>
              <w:top w:val="nil"/>
              <w:left w:val="nil"/>
              <w:bottom w:val="single" w:sz="8" w:space="0" w:color="auto"/>
              <w:right w:val="single" w:sz="8" w:space="0" w:color="auto"/>
            </w:tcBorders>
            <w:hideMark/>
          </w:tcPr>
          <w:p w14:paraId="0CD2994E"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nil"/>
              <w:left w:val="nil"/>
              <w:bottom w:val="single" w:sz="8" w:space="0" w:color="auto"/>
              <w:right w:val="single" w:sz="8" w:space="0" w:color="auto"/>
            </w:tcBorders>
            <w:hideMark/>
          </w:tcPr>
          <w:p w14:paraId="06500FD2"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 НИО, ЗЗПРС, ПЗЗП</w:t>
            </w:r>
          </w:p>
        </w:tc>
        <w:tc>
          <w:tcPr>
            <w:tcW w:w="1323" w:type="dxa"/>
            <w:tcBorders>
              <w:top w:val="nil"/>
              <w:left w:val="nil"/>
              <w:bottom w:val="single" w:sz="8" w:space="0" w:color="auto"/>
              <w:right w:val="single" w:sz="8" w:space="0" w:color="auto"/>
            </w:tcBorders>
            <w:hideMark/>
          </w:tcPr>
          <w:p w14:paraId="487B8D88" w14:textId="704C0629"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 квартал 2027.</w:t>
            </w:r>
          </w:p>
        </w:tc>
        <w:tc>
          <w:tcPr>
            <w:tcW w:w="1691" w:type="dxa"/>
            <w:tcBorders>
              <w:top w:val="nil"/>
              <w:left w:val="nil"/>
              <w:bottom w:val="single" w:sz="8" w:space="0" w:color="auto"/>
              <w:right w:val="single" w:sz="8" w:space="0" w:color="auto"/>
            </w:tcBorders>
            <w:hideMark/>
          </w:tcPr>
          <w:p w14:paraId="46F1749F"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521" w:type="dxa"/>
            <w:tcBorders>
              <w:top w:val="nil"/>
              <w:left w:val="nil"/>
              <w:bottom w:val="single" w:sz="8" w:space="0" w:color="auto"/>
              <w:right w:val="single" w:sz="8" w:space="0" w:color="auto"/>
            </w:tcBorders>
            <w:hideMark/>
          </w:tcPr>
          <w:p w14:paraId="3813C5EA"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6" w:type="dxa"/>
            <w:tcBorders>
              <w:top w:val="nil"/>
              <w:left w:val="nil"/>
              <w:bottom w:val="single" w:sz="8" w:space="0" w:color="auto"/>
              <w:right w:val="single" w:sz="8" w:space="0" w:color="auto"/>
            </w:tcBorders>
          </w:tcPr>
          <w:p w14:paraId="302049D9" w14:textId="0A84B355" w:rsidR="002D36D9" w:rsidRPr="00EF2F18" w:rsidRDefault="002D36D9"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61BDC3FA" w14:textId="49A2EDAC" w:rsidR="002D36D9" w:rsidRPr="00EF2F18" w:rsidRDefault="002D36D9"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481425DC" w14:textId="0271FD4C" w:rsidR="002D36D9" w:rsidRPr="00EF2F18" w:rsidRDefault="002D36D9" w:rsidP="00752CA0">
            <w:pPr>
              <w:spacing w:after="0"/>
              <w:jc w:val="right"/>
              <w:rPr>
                <w:rFonts w:eastAsia="Times New Roman" w:cs="Times New Roman"/>
                <w:color w:val="000000"/>
                <w:sz w:val="20"/>
                <w:szCs w:val="20"/>
                <w:lang w:val="sr-Cyrl-RS" w:eastAsia="en-GB"/>
              </w:rPr>
            </w:pPr>
          </w:p>
        </w:tc>
      </w:tr>
      <w:tr w:rsidR="002D36D9" w:rsidRPr="00EF2F18" w14:paraId="366B15AA" w14:textId="77777777" w:rsidTr="00B71584">
        <w:trPr>
          <w:gridAfter w:val="1"/>
          <w:wAfter w:w="18" w:type="dxa"/>
          <w:trHeight w:val="804"/>
        </w:trPr>
        <w:tc>
          <w:tcPr>
            <w:tcW w:w="2623" w:type="dxa"/>
            <w:tcBorders>
              <w:top w:val="single" w:sz="4" w:space="0" w:color="auto"/>
              <w:left w:val="double" w:sz="6" w:space="0" w:color="auto"/>
              <w:bottom w:val="single" w:sz="8" w:space="0" w:color="auto"/>
              <w:right w:val="single" w:sz="8" w:space="0" w:color="auto"/>
            </w:tcBorders>
            <w:hideMark/>
          </w:tcPr>
          <w:p w14:paraId="5C6C8830" w14:textId="47270E1C"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4.1.1.6. Доношење подзаконског акта за инвазивне врсте и њихово сузбијање</w:t>
            </w:r>
          </w:p>
        </w:tc>
        <w:tc>
          <w:tcPr>
            <w:tcW w:w="1231" w:type="dxa"/>
            <w:tcBorders>
              <w:top w:val="single" w:sz="4" w:space="0" w:color="auto"/>
              <w:left w:val="nil"/>
              <w:bottom w:val="single" w:sz="8" w:space="0" w:color="auto"/>
              <w:right w:val="single" w:sz="8" w:space="0" w:color="auto"/>
            </w:tcBorders>
            <w:hideMark/>
          </w:tcPr>
          <w:p w14:paraId="4AB18509"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single" w:sz="4" w:space="0" w:color="auto"/>
              <w:left w:val="nil"/>
              <w:bottom w:val="single" w:sz="8" w:space="0" w:color="auto"/>
              <w:right w:val="single" w:sz="8" w:space="0" w:color="auto"/>
            </w:tcBorders>
            <w:hideMark/>
          </w:tcPr>
          <w:p w14:paraId="17497DD1"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 ЗЗПРС, ПЗЗП</w:t>
            </w:r>
          </w:p>
        </w:tc>
        <w:tc>
          <w:tcPr>
            <w:tcW w:w="1323" w:type="dxa"/>
            <w:tcBorders>
              <w:top w:val="single" w:sz="4" w:space="0" w:color="auto"/>
              <w:left w:val="nil"/>
              <w:bottom w:val="single" w:sz="8" w:space="0" w:color="auto"/>
              <w:right w:val="single" w:sz="8" w:space="0" w:color="auto"/>
            </w:tcBorders>
            <w:hideMark/>
          </w:tcPr>
          <w:p w14:paraId="796C82B4" w14:textId="1A3DF0D3"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 квартал</w:t>
            </w:r>
            <w:r w:rsidR="00595DB9" w:rsidRPr="00EF2F18">
              <w:rPr>
                <w:rFonts w:eastAsia="Times New Roman" w:cs="Times New Roman"/>
                <w:sz w:val="20"/>
                <w:szCs w:val="20"/>
                <w:lang w:val="sr-Cyrl-RS" w:eastAsia="en-GB"/>
              </w:rPr>
              <w:t xml:space="preserve"> </w:t>
            </w:r>
            <w:r w:rsidRPr="00EF2F18">
              <w:rPr>
                <w:rFonts w:eastAsia="Times New Roman" w:cs="Times New Roman"/>
                <w:sz w:val="20"/>
                <w:szCs w:val="20"/>
                <w:lang w:val="sr-Cyrl-RS" w:eastAsia="en-GB"/>
              </w:rPr>
              <w:t>2027</w:t>
            </w:r>
            <w:r w:rsidRPr="00EF2F18">
              <w:rPr>
                <w:rFonts w:eastAsia="Times New Roman" w:cs="Times New Roman"/>
                <w:color w:val="EE0000"/>
                <w:sz w:val="20"/>
                <w:szCs w:val="20"/>
                <w:lang w:val="sr-Cyrl-RS" w:eastAsia="en-GB"/>
              </w:rPr>
              <w:t>.</w:t>
            </w:r>
          </w:p>
        </w:tc>
        <w:tc>
          <w:tcPr>
            <w:tcW w:w="1691" w:type="dxa"/>
            <w:tcBorders>
              <w:top w:val="single" w:sz="4" w:space="0" w:color="auto"/>
              <w:left w:val="nil"/>
              <w:bottom w:val="single" w:sz="8" w:space="0" w:color="auto"/>
              <w:right w:val="single" w:sz="8" w:space="0" w:color="auto"/>
            </w:tcBorders>
            <w:hideMark/>
          </w:tcPr>
          <w:p w14:paraId="52DF340B"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521" w:type="dxa"/>
            <w:tcBorders>
              <w:top w:val="single" w:sz="4" w:space="0" w:color="auto"/>
              <w:left w:val="nil"/>
              <w:bottom w:val="single" w:sz="8" w:space="0" w:color="auto"/>
              <w:right w:val="single" w:sz="8" w:space="0" w:color="auto"/>
            </w:tcBorders>
            <w:hideMark/>
          </w:tcPr>
          <w:p w14:paraId="57DC5F30"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6" w:type="dxa"/>
            <w:tcBorders>
              <w:top w:val="single" w:sz="4" w:space="0" w:color="auto"/>
              <w:left w:val="nil"/>
              <w:bottom w:val="single" w:sz="8" w:space="0" w:color="auto"/>
              <w:right w:val="single" w:sz="8" w:space="0" w:color="auto"/>
            </w:tcBorders>
          </w:tcPr>
          <w:p w14:paraId="7D3048AC" w14:textId="571DA200" w:rsidR="002D36D9" w:rsidRPr="00EF2F18" w:rsidRDefault="002D36D9"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4060F235" w14:textId="02C83ECB" w:rsidR="002D36D9" w:rsidRPr="00EF2F18" w:rsidRDefault="002D36D9" w:rsidP="00752CA0">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single" w:sz="8" w:space="0" w:color="auto"/>
              <w:right w:val="double" w:sz="6" w:space="0" w:color="auto"/>
            </w:tcBorders>
          </w:tcPr>
          <w:p w14:paraId="6238C1AE" w14:textId="6A0EF0CC" w:rsidR="002D36D9" w:rsidRPr="00EF2F18" w:rsidRDefault="002D36D9" w:rsidP="00752CA0">
            <w:pPr>
              <w:spacing w:after="0"/>
              <w:jc w:val="right"/>
              <w:rPr>
                <w:rFonts w:eastAsia="Times New Roman" w:cs="Times New Roman"/>
                <w:color w:val="000000"/>
                <w:sz w:val="20"/>
                <w:szCs w:val="20"/>
                <w:lang w:val="sr-Cyrl-RS" w:eastAsia="en-GB"/>
              </w:rPr>
            </w:pPr>
          </w:p>
        </w:tc>
      </w:tr>
      <w:tr w:rsidR="002D36D9" w:rsidRPr="00EF2F18" w14:paraId="2943453D" w14:textId="77777777" w:rsidTr="00AA1C23">
        <w:trPr>
          <w:gridAfter w:val="1"/>
          <w:wAfter w:w="18" w:type="dxa"/>
          <w:trHeight w:val="804"/>
        </w:trPr>
        <w:tc>
          <w:tcPr>
            <w:tcW w:w="2623" w:type="dxa"/>
            <w:tcBorders>
              <w:top w:val="nil"/>
              <w:left w:val="double" w:sz="6" w:space="0" w:color="auto"/>
              <w:bottom w:val="single" w:sz="8" w:space="0" w:color="auto"/>
              <w:right w:val="single" w:sz="8" w:space="0" w:color="auto"/>
            </w:tcBorders>
            <w:hideMark/>
          </w:tcPr>
          <w:p w14:paraId="452AF259"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4.1.1.7. Израда планова управљања за одређене категорије врста или одређене таксоне</w:t>
            </w:r>
          </w:p>
        </w:tc>
        <w:tc>
          <w:tcPr>
            <w:tcW w:w="1231" w:type="dxa"/>
            <w:tcBorders>
              <w:top w:val="nil"/>
              <w:left w:val="nil"/>
              <w:bottom w:val="single" w:sz="8" w:space="0" w:color="auto"/>
              <w:right w:val="single" w:sz="8" w:space="0" w:color="auto"/>
            </w:tcBorders>
            <w:hideMark/>
          </w:tcPr>
          <w:p w14:paraId="1BA02723"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nil"/>
              <w:left w:val="nil"/>
              <w:bottom w:val="single" w:sz="8" w:space="0" w:color="auto"/>
              <w:right w:val="single" w:sz="8" w:space="0" w:color="auto"/>
            </w:tcBorders>
            <w:hideMark/>
          </w:tcPr>
          <w:p w14:paraId="6A0A254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НИО, ЗЗПРС, ПЗЗП</w:t>
            </w:r>
          </w:p>
        </w:tc>
        <w:tc>
          <w:tcPr>
            <w:tcW w:w="1323" w:type="dxa"/>
            <w:tcBorders>
              <w:top w:val="nil"/>
              <w:left w:val="nil"/>
              <w:bottom w:val="single" w:sz="8" w:space="0" w:color="auto"/>
              <w:right w:val="single" w:sz="8" w:space="0" w:color="auto"/>
            </w:tcBorders>
            <w:hideMark/>
          </w:tcPr>
          <w:p w14:paraId="22452482"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single" w:sz="8" w:space="0" w:color="auto"/>
              <w:right w:val="single" w:sz="8" w:space="0" w:color="auto"/>
            </w:tcBorders>
            <w:hideMark/>
          </w:tcPr>
          <w:p w14:paraId="5196518A"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521" w:type="dxa"/>
            <w:tcBorders>
              <w:top w:val="single" w:sz="4" w:space="0" w:color="auto"/>
              <w:left w:val="nil"/>
              <w:bottom w:val="single" w:sz="8" w:space="0" w:color="auto"/>
              <w:right w:val="single" w:sz="8" w:space="0" w:color="auto"/>
            </w:tcBorders>
            <w:hideMark/>
          </w:tcPr>
          <w:p w14:paraId="0EC2EB76" w14:textId="7CB14930"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p w14:paraId="66CFB68D" w14:textId="77777777" w:rsidR="002D36D9" w:rsidRPr="00EF2F18" w:rsidRDefault="002D36D9" w:rsidP="00752CA0">
            <w:pPr>
              <w:spacing w:after="0"/>
              <w:rPr>
                <w:rFonts w:eastAsia="Times New Roman" w:cs="Times New Roman"/>
                <w:color w:val="000000"/>
                <w:sz w:val="20"/>
                <w:szCs w:val="20"/>
                <w:lang w:val="sr-Cyrl-RS" w:eastAsia="en-GB"/>
              </w:rPr>
            </w:pPr>
          </w:p>
          <w:p w14:paraId="499B3143"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0405-560-0001-451</w:t>
            </w:r>
          </w:p>
        </w:tc>
        <w:tc>
          <w:tcPr>
            <w:tcW w:w="1206" w:type="dxa"/>
            <w:tcBorders>
              <w:top w:val="single" w:sz="4" w:space="0" w:color="auto"/>
              <w:left w:val="nil"/>
              <w:bottom w:val="single" w:sz="8" w:space="0" w:color="auto"/>
              <w:right w:val="single" w:sz="8" w:space="0" w:color="auto"/>
            </w:tcBorders>
            <w:hideMark/>
          </w:tcPr>
          <w:p w14:paraId="5A405399"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p w14:paraId="70D403B3" w14:textId="77777777" w:rsidR="002D36D9" w:rsidRPr="00EF2F18" w:rsidRDefault="002D36D9" w:rsidP="00752CA0">
            <w:pPr>
              <w:spacing w:after="0"/>
              <w:jc w:val="right"/>
              <w:rPr>
                <w:rFonts w:eastAsia="Times New Roman" w:cs="Times New Roman"/>
                <w:color w:val="000000"/>
                <w:sz w:val="20"/>
                <w:szCs w:val="20"/>
                <w:lang w:val="sr-Cyrl-RS" w:eastAsia="en-GB"/>
              </w:rPr>
            </w:pPr>
          </w:p>
          <w:p w14:paraId="109ED22E" w14:textId="77777777" w:rsidR="002D36D9" w:rsidRPr="00EF2F18" w:rsidRDefault="002D36D9" w:rsidP="00752CA0">
            <w:pPr>
              <w:spacing w:after="0"/>
              <w:jc w:val="right"/>
              <w:rPr>
                <w:rFonts w:eastAsia="Times New Roman" w:cs="Times New Roman"/>
                <w:color w:val="000000"/>
                <w:sz w:val="20"/>
                <w:szCs w:val="20"/>
                <w:lang w:val="sr-Cyrl-RS" w:eastAsia="en-GB"/>
              </w:rPr>
            </w:pPr>
          </w:p>
          <w:p w14:paraId="37F1F4C5"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260" w:type="dxa"/>
            <w:tcBorders>
              <w:top w:val="single" w:sz="4" w:space="0" w:color="auto"/>
              <w:left w:val="nil"/>
              <w:bottom w:val="single" w:sz="8" w:space="0" w:color="auto"/>
              <w:right w:val="single" w:sz="8" w:space="0" w:color="auto"/>
            </w:tcBorders>
            <w:hideMark/>
          </w:tcPr>
          <w:p w14:paraId="5847FD09"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p w14:paraId="5CC32972" w14:textId="77777777" w:rsidR="002D36D9" w:rsidRPr="00EF2F18" w:rsidRDefault="002D36D9" w:rsidP="00752CA0">
            <w:pPr>
              <w:spacing w:after="0"/>
              <w:jc w:val="right"/>
              <w:rPr>
                <w:rFonts w:eastAsia="Times New Roman" w:cs="Times New Roman"/>
                <w:color w:val="000000"/>
                <w:sz w:val="20"/>
                <w:szCs w:val="20"/>
                <w:lang w:val="sr-Cyrl-RS" w:eastAsia="en-GB"/>
              </w:rPr>
            </w:pPr>
          </w:p>
          <w:p w14:paraId="4619D8D3" w14:textId="77777777" w:rsidR="002D36D9" w:rsidRPr="00EF2F18" w:rsidRDefault="002D36D9" w:rsidP="00752CA0">
            <w:pPr>
              <w:spacing w:after="0"/>
              <w:jc w:val="right"/>
              <w:rPr>
                <w:rFonts w:eastAsia="Times New Roman" w:cs="Times New Roman"/>
                <w:color w:val="000000"/>
                <w:sz w:val="20"/>
                <w:szCs w:val="20"/>
                <w:lang w:val="sr-Cyrl-RS" w:eastAsia="en-GB"/>
              </w:rPr>
            </w:pPr>
          </w:p>
          <w:p w14:paraId="689FEB65"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350" w:type="dxa"/>
            <w:tcBorders>
              <w:top w:val="single" w:sz="4" w:space="0" w:color="auto"/>
              <w:left w:val="nil"/>
              <w:bottom w:val="single" w:sz="8" w:space="0" w:color="auto"/>
              <w:right w:val="double" w:sz="6" w:space="0" w:color="auto"/>
            </w:tcBorders>
            <w:hideMark/>
          </w:tcPr>
          <w:p w14:paraId="5A166C3D" w14:textId="1A4D9479"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r>
      <w:tr w:rsidR="002D36D9" w:rsidRPr="00EF2F18" w14:paraId="6BF9C4D4" w14:textId="77777777" w:rsidTr="002D36D9">
        <w:trPr>
          <w:gridAfter w:val="1"/>
          <w:wAfter w:w="18" w:type="dxa"/>
          <w:trHeight w:val="804"/>
        </w:trPr>
        <w:tc>
          <w:tcPr>
            <w:tcW w:w="2623" w:type="dxa"/>
            <w:tcBorders>
              <w:top w:val="nil"/>
              <w:left w:val="double" w:sz="6" w:space="0" w:color="auto"/>
              <w:bottom w:val="double" w:sz="6" w:space="0" w:color="auto"/>
              <w:right w:val="single" w:sz="8" w:space="0" w:color="auto"/>
            </w:tcBorders>
            <w:hideMark/>
          </w:tcPr>
          <w:p w14:paraId="14C41047"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4.1.1.8. Развој мониторинга дивљих врста и станишта</w:t>
            </w:r>
          </w:p>
        </w:tc>
        <w:tc>
          <w:tcPr>
            <w:tcW w:w="1231" w:type="dxa"/>
            <w:tcBorders>
              <w:top w:val="nil"/>
              <w:left w:val="nil"/>
              <w:bottom w:val="double" w:sz="6" w:space="0" w:color="auto"/>
              <w:right w:val="single" w:sz="8" w:space="0" w:color="auto"/>
            </w:tcBorders>
            <w:hideMark/>
          </w:tcPr>
          <w:p w14:paraId="40B12279"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62" w:type="dxa"/>
            <w:tcBorders>
              <w:top w:val="nil"/>
              <w:left w:val="nil"/>
              <w:bottom w:val="double" w:sz="6" w:space="0" w:color="auto"/>
              <w:right w:val="single" w:sz="8" w:space="0" w:color="auto"/>
            </w:tcBorders>
            <w:hideMark/>
          </w:tcPr>
          <w:p w14:paraId="66845C03"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Управа за шуме, ЗЗПРС, </w:t>
            </w:r>
            <w:r w:rsidRPr="00EF2F18">
              <w:rPr>
                <w:rFonts w:eastAsia="Times New Roman" w:cs="Times New Roman"/>
                <w:color w:val="000000"/>
                <w:sz w:val="20"/>
                <w:szCs w:val="20"/>
                <w:lang w:val="sr-Cyrl-RS" w:eastAsia="en-GB"/>
              </w:rPr>
              <w:lastRenderedPageBreak/>
              <w:t>ПЗЗП, АЗЖС</w:t>
            </w:r>
          </w:p>
        </w:tc>
        <w:tc>
          <w:tcPr>
            <w:tcW w:w="1323" w:type="dxa"/>
            <w:tcBorders>
              <w:top w:val="nil"/>
              <w:left w:val="nil"/>
              <w:bottom w:val="double" w:sz="6" w:space="0" w:color="auto"/>
              <w:right w:val="single" w:sz="8" w:space="0" w:color="auto"/>
            </w:tcBorders>
            <w:hideMark/>
          </w:tcPr>
          <w:p w14:paraId="7ECADA0B"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4. квартал 2028.</w:t>
            </w:r>
          </w:p>
        </w:tc>
        <w:tc>
          <w:tcPr>
            <w:tcW w:w="1691" w:type="dxa"/>
            <w:tcBorders>
              <w:top w:val="nil"/>
              <w:left w:val="nil"/>
              <w:bottom w:val="double" w:sz="6" w:space="0" w:color="auto"/>
              <w:right w:val="single" w:sz="8" w:space="0" w:color="auto"/>
            </w:tcBorders>
            <w:hideMark/>
          </w:tcPr>
          <w:p w14:paraId="471BDAF8"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521" w:type="dxa"/>
            <w:tcBorders>
              <w:top w:val="nil"/>
              <w:left w:val="nil"/>
              <w:bottom w:val="double" w:sz="6" w:space="0" w:color="auto"/>
              <w:right w:val="single" w:sz="8" w:space="0" w:color="auto"/>
            </w:tcBorders>
            <w:hideMark/>
          </w:tcPr>
          <w:p w14:paraId="12AC496B" w14:textId="77777777" w:rsidR="002D36D9" w:rsidRPr="00EF2F18" w:rsidRDefault="002D36D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1206" w:type="dxa"/>
            <w:tcBorders>
              <w:top w:val="nil"/>
              <w:left w:val="nil"/>
              <w:bottom w:val="double" w:sz="6" w:space="0" w:color="auto"/>
              <w:right w:val="single" w:sz="8" w:space="0" w:color="auto"/>
            </w:tcBorders>
            <w:hideMark/>
          </w:tcPr>
          <w:p w14:paraId="0AB0E41A"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260" w:type="dxa"/>
            <w:tcBorders>
              <w:top w:val="nil"/>
              <w:left w:val="nil"/>
              <w:bottom w:val="double" w:sz="6" w:space="0" w:color="auto"/>
              <w:right w:val="single" w:sz="8" w:space="0" w:color="auto"/>
            </w:tcBorders>
            <w:hideMark/>
          </w:tcPr>
          <w:p w14:paraId="3F2B7610" w14:textId="77777777"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350" w:type="dxa"/>
            <w:tcBorders>
              <w:top w:val="nil"/>
              <w:left w:val="nil"/>
              <w:bottom w:val="double" w:sz="6" w:space="0" w:color="auto"/>
              <w:right w:val="double" w:sz="6" w:space="0" w:color="auto"/>
            </w:tcBorders>
            <w:hideMark/>
          </w:tcPr>
          <w:p w14:paraId="015D1BA2" w14:textId="2D45B5AF" w:rsidR="002D36D9" w:rsidRPr="00EF2F18" w:rsidRDefault="002D36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r>
    </w:tbl>
    <w:p w14:paraId="6800F4F2" w14:textId="62026DE8" w:rsidR="007D7243" w:rsidRPr="00EF2F18" w:rsidRDefault="00304D6D"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5F8F7975" w14:textId="77777777" w:rsidR="00304D6D" w:rsidRPr="00EF2F18" w:rsidRDefault="00304D6D"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197"/>
        <w:gridCol w:w="1440"/>
        <w:gridCol w:w="1603"/>
        <w:gridCol w:w="17"/>
      </w:tblGrid>
      <w:tr w:rsidR="007D7243" w:rsidRPr="00EF2F18" w14:paraId="336BAA29" w14:textId="77777777" w:rsidTr="00595DB9">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07C1DDEE"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4.1.2: Повећање површине заштићених подручја и унапређење управљања</w:t>
            </w:r>
          </w:p>
        </w:tc>
      </w:tr>
      <w:tr w:rsidR="007D7243" w:rsidRPr="00EF2F18" w14:paraId="727D989B" w14:textId="77777777" w:rsidTr="00595DB9">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446BB14C"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16EDDE0B" w14:textId="77777777" w:rsidTr="00595DB9">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7547701" w14:textId="77C94860"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595DB9"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5E66559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5144B209" w14:textId="77777777" w:rsidTr="00595DB9">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E6C063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51374AFD" w14:textId="367AFAC8" w:rsidR="007D7243" w:rsidRPr="00EF2F18" w:rsidRDefault="007D7243" w:rsidP="00752CA0">
            <w:pPr>
              <w:spacing w:after="0"/>
              <w:rPr>
                <w:rFonts w:ascii="Symbol" w:eastAsia="Times New Roman" w:hAnsi="Symbol" w:cs="Times New Roman"/>
                <w:color w:val="000000"/>
                <w:sz w:val="20"/>
                <w:szCs w:val="20"/>
                <w:lang w:val="sr-Cyrl-RS" w:eastAsia="en-GB"/>
              </w:rPr>
            </w:pPr>
            <w:r w:rsidRPr="00EF2F18">
              <w:rPr>
                <w:rFonts w:ascii="Symbol" w:eastAsia="Times New Roman" w:hAnsi="Symbol" w:cs="Times New Roman"/>
                <w:color w:val="000000"/>
                <w:sz w:val="20"/>
                <w:szCs w:val="20"/>
                <w:lang w:val="sr-Cyrl-RS" w:eastAsia="en-GB"/>
              </w:rPr>
              <w:t></w:t>
            </w:r>
            <w:r w:rsidR="00FA7222" w:rsidRPr="00EF2F18">
              <w:rPr>
                <w:rFonts w:eastAsia="Times New Roman" w:cs="Times New Roman"/>
                <w:color w:val="000000"/>
                <w:sz w:val="14"/>
                <w:szCs w:val="14"/>
                <w:lang w:val="sr-Cyrl-RS" w:eastAsia="en-GB"/>
              </w:rPr>
              <w:t xml:space="preserve">  </w:t>
            </w:r>
            <w:r w:rsidRPr="00EF2F18">
              <w:rPr>
                <w:rFonts w:eastAsia="Times New Roman" w:cs="Times New Roman"/>
                <w:color w:val="000000"/>
                <w:sz w:val="20"/>
                <w:szCs w:val="20"/>
                <w:lang w:val="sr-Cyrl-RS" w:eastAsia="en-GB"/>
              </w:rPr>
              <w:t>Закон о заштити природе</w:t>
            </w:r>
          </w:p>
        </w:tc>
      </w:tr>
      <w:tr w:rsidR="00595DB9" w:rsidRPr="00EF2F18" w14:paraId="2F473A55" w14:textId="77777777" w:rsidTr="00595DB9">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536EF336"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627546B1"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4825D99B"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6F19D8F6"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4DA54469"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197" w:type="dxa"/>
            <w:tcBorders>
              <w:top w:val="nil"/>
              <w:left w:val="nil"/>
              <w:bottom w:val="double" w:sz="6" w:space="0" w:color="auto"/>
              <w:right w:val="single" w:sz="8" w:space="0" w:color="auto"/>
            </w:tcBorders>
            <w:shd w:val="clear" w:color="000000" w:fill="D9D9D9"/>
            <w:hideMark/>
          </w:tcPr>
          <w:p w14:paraId="69C88D49"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440" w:type="dxa"/>
            <w:tcBorders>
              <w:top w:val="nil"/>
              <w:left w:val="nil"/>
              <w:bottom w:val="double" w:sz="6" w:space="0" w:color="auto"/>
              <w:right w:val="single" w:sz="8" w:space="0" w:color="auto"/>
            </w:tcBorders>
            <w:shd w:val="clear" w:color="000000" w:fill="D9D9D9"/>
            <w:hideMark/>
          </w:tcPr>
          <w:p w14:paraId="4DE10CCD"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gridSpan w:val="2"/>
            <w:tcBorders>
              <w:top w:val="nil"/>
              <w:left w:val="nil"/>
              <w:bottom w:val="double" w:sz="6" w:space="0" w:color="auto"/>
              <w:right w:val="double" w:sz="6" w:space="0" w:color="auto"/>
            </w:tcBorders>
            <w:shd w:val="clear" w:color="000000" w:fill="D9D9D9"/>
            <w:hideMark/>
          </w:tcPr>
          <w:p w14:paraId="4DB4E1CC"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595DB9" w:rsidRPr="00EF2F18" w14:paraId="20E8ABEA" w14:textId="77777777" w:rsidTr="00595DB9">
        <w:trPr>
          <w:trHeight w:val="816"/>
        </w:trPr>
        <w:tc>
          <w:tcPr>
            <w:tcW w:w="3320" w:type="dxa"/>
            <w:tcBorders>
              <w:top w:val="nil"/>
              <w:left w:val="double" w:sz="6" w:space="0" w:color="auto"/>
              <w:bottom w:val="single" w:sz="8" w:space="0" w:color="auto"/>
              <w:right w:val="single" w:sz="8" w:space="0" w:color="auto"/>
            </w:tcBorders>
            <w:shd w:val="clear" w:color="000000" w:fill="FFFFFF"/>
            <w:hideMark/>
          </w:tcPr>
          <w:p w14:paraId="5A95A5F2"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површине под заштитом и у поступку заштите у односу на површину Србије</w:t>
            </w:r>
          </w:p>
        </w:tc>
        <w:tc>
          <w:tcPr>
            <w:tcW w:w="1280" w:type="dxa"/>
            <w:tcBorders>
              <w:top w:val="nil"/>
              <w:left w:val="nil"/>
              <w:bottom w:val="single" w:sz="8" w:space="0" w:color="auto"/>
              <w:right w:val="single" w:sz="8" w:space="0" w:color="auto"/>
            </w:tcBorders>
            <w:shd w:val="clear" w:color="000000" w:fill="FFFFFF"/>
            <w:hideMark/>
          </w:tcPr>
          <w:p w14:paraId="3A0C114D"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w:t>
            </w:r>
          </w:p>
        </w:tc>
        <w:tc>
          <w:tcPr>
            <w:tcW w:w="1280" w:type="dxa"/>
            <w:tcBorders>
              <w:top w:val="nil"/>
              <w:left w:val="nil"/>
              <w:bottom w:val="single" w:sz="8" w:space="0" w:color="auto"/>
              <w:right w:val="single" w:sz="8" w:space="0" w:color="auto"/>
            </w:tcBorders>
            <w:shd w:val="clear" w:color="000000" w:fill="FFFFFF"/>
            <w:hideMark/>
          </w:tcPr>
          <w:p w14:paraId="7C008F62"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Извештај АЗЖС</w:t>
            </w:r>
          </w:p>
        </w:tc>
        <w:tc>
          <w:tcPr>
            <w:tcW w:w="2000" w:type="dxa"/>
            <w:gridSpan w:val="2"/>
            <w:tcBorders>
              <w:top w:val="double" w:sz="6" w:space="0" w:color="auto"/>
              <w:left w:val="nil"/>
              <w:bottom w:val="single" w:sz="8" w:space="0" w:color="auto"/>
              <w:right w:val="single" w:sz="8" w:space="0" w:color="000000"/>
            </w:tcBorders>
            <w:shd w:val="clear" w:color="000000" w:fill="FFFFFF"/>
            <w:hideMark/>
          </w:tcPr>
          <w:p w14:paraId="3C89AFB1"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11,2</w:t>
            </w:r>
          </w:p>
        </w:tc>
        <w:tc>
          <w:tcPr>
            <w:tcW w:w="1520" w:type="dxa"/>
            <w:tcBorders>
              <w:top w:val="nil"/>
              <w:left w:val="nil"/>
              <w:bottom w:val="single" w:sz="8" w:space="0" w:color="auto"/>
              <w:right w:val="single" w:sz="8" w:space="0" w:color="auto"/>
            </w:tcBorders>
            <w:shd w:val="clear" w:color="000000" w:fill="FFFFFF"/>
            <w:hideMark/>
          </w:tcPr>
          <w:p w14:paraId="0925F458"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97" w:type="dxa"/>
            <w:tcBorders>
              <w:top w:val="nil"/>
              <w:left w:val="single" w:sz="4" w:space="0" w:color="auto"/>
              <w:bottom w:val="single" w:sz="8" w:space="0" w:color="auto"/>
              <w:right w:val="single" w:sz="8" w:space="0" w:color="auto"/>
            </w:tcBorders>
            <w:shd w:val="clear" w:color="000000" w:fill="FFFFFF"/>
            <w:hideMark/>
          </w:tcPr>
          <w:p w14:paraId="0964A665"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12,5</w:t>
            </w:r>
          </w:p>
        </w:tc>
        <w:tc>
          <w:tcPr>
            <w:tcW w:w="1440" w:type="dxa"/>
            <w:tcBorders>
              <w:top w:val="nil"/>
              <w:left w:val="nil"/>
              <w:bottom w:val="single" w:sz="8" w:space="0" w:color="auto"/>
              <w:right w:val="single" w:sz="8" w:space="0" w:color="auto"/>
            </w:tcBorders>
            <w:shd w:val="clear" w:color="000000" w:fill="FFFFFF"/>
            <w:hideMark/>
          </w:tcPr>
          <w:p w14:paraId="75501E8B"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13</w:t>
            </w:r>
          </w:p>
        </w:tc>
        <w:tc>
          <w:tcPr>
            <w:tcW w:w="1620" w:type="dxa"/>
            <w:gridSpan w:val="2"/>
            <w:tcBorders>
              <w:top w:val="nil"/>
              <w:left w:val="nil"/>
              <w:bottom w:val="single" w:sz="8" w:space="0" w:color="auto"/>
              <w:right w:val="double" w:sz="6" w:space="0" w:color="auto"/>
            </w:tcBorders>
            <w:shd w:val="clear" w:color="000000" w:fill="FFFFFF"/>
            <w:hideMark/>
          </w:tcPr>
          <w:p w14:paraId="1DB0C0FF"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13,5</w:t>
            </w:r>
          </w:p>
        </w:tc>
      </w:tr>
      <w:tr w:rsidR="00595DB9" w:rsidRPr="00EF2F18" w14:paraId="1025A9FA" w14:textId="77777777" w:rsidTr="00595DB9">
        <w:trPr>
          <w:trHeight w:val="1068"/>
        </w:trPr>
        <w:tc>
          <w:tcPr>
            <w:tcW w:w="3320" w:type="dxa"/>
            <w:tcBorders>
              <w:top w:val="nil"/>
              <w:left w:val="double" w:sz="6" w:space="0" w:color="auto"/>
              <w:bottom w:val="double" w:sz="6" w:space="0" w:color="auto"/>
              <w:right w:val="single" w:sz="8" w:space="0" w:color="auto"/>
            </w:tcBorders>
            <w:shd w:val="clear" w:color="000000" w:fill="FFFFFF"/>
            <w:hideMark/>
          </w:tcPr>
          <w:p w14:paraId="1917E91B"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заштићених подручја која редовно користе стандардизоване алате за праћење ефективности управљања</w:t>
            </w:r>
          </w:p>
        </w:tc>
        <w:tc>
          <w:tcPr>
            <w:tcW w:w="1280" w:type="dxa"/>
            <w:tcBorders>
              <w:top w:val="nil"/>
              <w:left w:val="nil"/>
              <w:bottom w:val="double" w:sz="6" w:space="0" w:color="auto"/>
              <w:right w:val="single" w:sz="8" w:space="0" w:color="auto"/>
            </w:tcBorders>
            <w:shd w:val="clear" w:color="000000" w:fill="FFFFFF"/>
            <w:hideMark/>
          </w:tcPr>
          <w:p w14:paraId="45567405"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80" w:type="dxa"/>
            <w:tcBorders>
              <w:top w:val="nil"/>
              <w:left w:val="nil"/>
              <w:bottom w:val="double" w:sz="6" w:space="0" w:color="auto"/>
              <w:right w:val="single" w:sz="8" w:space="0" w:color="auto"/>
            </w:tcBorders>
            <w:shd w:val="clear" w:color="000000" w:fill="FFFFFF"/>
            <w:hideMark/>
          </w:tcPr>
          <w:p w14:paraId="20ADBB09"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Извештај ЗЗПС, Извештај ПЗЗП</w:t>
            </w:r>
          </w:p>
        </w:tc>
        <w:tc>
          <w:tcPr>
            <w:tcW w:w="2000" w:type="dxa"/>
            <w:gridSpan w:val="2"/>
            <w:tcBorders>
              <w:top w:val="single" w:sz="8" w:space="0" w:color="auto"/>
              <w:left w:val="nil"/>
              <w:bottom w:val="double" w:sz="6" w:space="0" w:color="auto"/>
              <w:right w:val="single" w:sz="8" w:space="0" w:color="000000"/>
            </w:tcBorders>
            <w:shd w:val="clear" w:color="000000" w:fill="FFFFFF"/>
            <w:hideMark/>
          </w:tcPr>
          <w:p w14:paraId="43ED0C3B"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77FB039B"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97" w:type="dxa"/>
            <w:tcBorders>
              <w:top w:val="nil"/>
              <w:left w:val="single" w:sz="4" w:space="0" w:color="auto"/>
              <w:bottom w:val="double" w:sz="6" w:space="0" w:color="auto"/>
              <w:right w:val="single" w:sz="8" w:space="0" w:color="auto"/>
            </w:tcBorders>
            <w:shd w:val="clear" w:color="000000" w:fill="FFFFFF"/>
            <w:hideMark/>
          </w:tcPr>
          <w:p w14:paraId="167D4B04"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w:t>
            </w:r>
          </w:p>
        </w:tc>
        <w:tc>
          <w:tcPr>
            <w:tcW w:w="1440" w:type="dxa"/>
            <w:tcBorders>
              <w:top w:val="nil"/>
              <w:left w:val="nil"/>
              <w:bottom w:val="double" w:sz="6" w:space="0" w:color="auto"/>
              <w:right w:val="single" w:sz="8" w:space="0" w:color="auto"/>
            </w:tcBorders>
            <w:shd w:val="clear" w:color="000000" w:fill="FFFFFF"/>
            <w:hideMark/>
          </w:tcPr>
          <w:p w14:paraId="5FB3A3C1"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c>
          <w:tcPr>
            <w:tcW w:w="1620" w:type="dxa"/>
            <w:gridSpan w:val="2"/>
            <w:tcBorders>
              <w:top w:val="nil"/>
              <w:left w:val="nil"/>
              <w:bottom w:val="double" w:sz="6" w:space="0" w:color="auto"/>
              <w:right w:val="double" w:sz="6" w:space="0" w:color="auto"/>
            </w:tcBorders>
            <w:shd w:val="clear" w:color="000000" w:fill="FFFFFF"/>
            <w:hideMark/>
          </w:tcPr>
          <w:p w14:paraId="099E1203" w14:textId="77777777"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w:t>
            </w:r>
          </w:p>
        </w:tc>
      </w:tr>
    </w:tbl>
    <w:p w14:paraId="0FF687BB" w14:textId="51438423" w:rsidR="007D7243" w:rsidRDefault="007D7243" w:rsidP="007D7243">
      <w:pPr>
        <w:spacing w:after="0"/>
        <w:rPr>
          <w:sz w:val="20"/>
          <w:szCs w:val="20"/>
          <w:lang w:val="sr-Cyrl-RS"/>
        </w:rPr>
      </w:pPr>
      <w:r w:rsidRPr="00EF2F18">
        <w:rPr>
          <w:sz w:val="20"/>
          <w:szCs w:val="20"/>
          <w:lang w:val="sr-Cyrl-RS"/>
        </w:rPr>
        <w:t xml:space="preserve"> </w:t>
      </w:r>
    </w:p>
    <w:p w14:paraId="2631244F" w14:textId="77777777" w:rsidR="00B71584" w:rsidRPr="00EF2F18" w:rsidRDefault="00B71584" w:rsidP="007D7243">
      <w:pPr>
        <w:spacing w:after="0"/>
        <w:rPr>
          <w:sz w:val="20"/>
          <w:szCs w:val="20"/>
          <w:lang w:val="sr-Cyrl-RS"/>
        </w:rPr>
      </w:pPr>
    </w:p>
    <w:tbl>
      <w:tblPr>
        <w:tblW w:w="13657" w:type="dxa"/>
        <w:tblLook w:val="04A0" w:firstRow="1" w:lastRow="0" w:firstColumn="1" w:lastColumn="0" w:noHBand="0" w:noVBand="1"/>
      </w:tblPr>
      <w:tblGrid>
        <w:gridCol w:w="3800"/>
        <w:gridCol w:w="2480"/>
        <w:gridCol w:w="2067"/>
        <w:gridCol w:w="2430"/>
        <w:gridCol w:w="2880"/>
      </w:tblGrid>
      <w:tr w:rsidR="007D7243" w:rsidRPr="00EF2F18" w14:paraId="6E51E779" w14:textId="77777777" w:rsidTr="00595DB9">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FC1D55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A22649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tcBorders>
              <w:top w:val="double" w:sz="6" w:space="0" w:color="auto"/>
              <w:left w:val="nil"/>
              <w:bottom w:val="double" w:sz="6" w:space="0" w:color="auto"/>
              <w:right w:val="double" w:sz="6" w:space="0" w:color="auto"/>
            </w:tcBorders>
            <w:shd w:val="clear" w:color="000000" w:fill="A8D08D"/>
            <w:hideMark/>
          </w:tcPr>
          <w:p w14:paraId="2479C39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595DB9" w:rsidRPr="00EF2F18" w14:paraId="001057A3" w14:textId="77777777" w:rsidTr="00595DB9">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572A08D0" w14:textId="77777777" w:rsidR="00595DB9" w:rsidRPr="00EF2F18" w:rsidRDefault="00595DB9"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02A0F725" w14:textId="77777777" w:rsidR="00595DB9" w:rsidRPr="00EF2F18" w:rsidRDefault="00595DB9" w:rsidP="00752CA0">
            <w:pPr>
              <w:spacing w:after="0"/>
              <w:rPr>
                <w:rFonts w:eastAsia="Times New Roman" w:cs="Times New Roman"/>
                <w:color w:val="000000"/>
                <w:sz w:val="20"/>
                <w:szCs w:val="20"/>
                <w:lang w:val="sr-Cyrl-RS" w:eastAsia="en-GB"/>
              </w:rPr>
            </w:pPr>
          </w:p>
        </w:tc>
        <w:tc>
          <w:tcPr>
            <w:tcW w:w="2067" w:type="dxa"/>
            <w:tcBorders>
              <w:top w:val="nil"/>
              <w:left w:val="nil"/>
              <w:bottom w:val="double" w:sz="6" w:space="0" w:color="auto"/>
              <w:right w:val="double" w:sz="6" w:space="0" w:color="auto"/>
            </w:tcBorders>
            <w:shd w:val="clear" w:color="000000" w:fill="A8D08D"/>
            <w:hideMark/>
          </w:tcPr>
          <w:p w14:paraId="580EC388" w14:textId="2B3777B0"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430" w:type="dxa"/>
            <w:tcBorders>
              <w:top w:val="nil"/>
              <w:left w:val="nil"/>
              <w:bottom w:val="double" w:sz="6" w:space="0" w:color="auto"/>
              <w:right w:val="double" w:sz="6" w:space="0" w:color="auto"/>
            </w:tcBorders>
            <w:shd w:val="clear" w:color="000000" w:fill="A8D08D"/>
            <w:hideMark/>
          </w:tcPr>
          <w:p w14:paraId="497027F9" w14:textId="447A01C1"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880" w:type="dxa"/>
            <w:tcBorders>
              <w:top w:val="nil"/>
              <w:left w:val="nil"/>
              <w:bottom w:val="double" w:sz="6" w:space="0" w:color="auto"/>
              <w:right w:val="double" w:sz="6" w:space="0" w:color="auto"/>
            </w:tcBorders>
            <w:shd w:val="clear" w:color="000000" w:fill="A8D08D"/>
            <w:hideMark/>
          </w:tcPr>
          <w:p w14:paraId="6EBA670D" w14:textId="43E42823"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595DB9" w:rsidRPr="00EF2F18" w14:paraId="79C150B4" w14:textId="77777777" w:rsidTr="00595DB9">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0DFEA9B6"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7DC16602"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067" w:type="dxa"/>
            <w:tcBorders>
              <w:top w:val="nil"/>
              <w:left w:val="nil"/>
              <w:bottom w:val="double" w:sz="6" w:space="0" w:color="auto"/>
              <w:right w:val="double" w:sz="6" w:space="0" w:color="auto"/>
            </w:tcBorders>
          </w:tcPr>
          <w:p w14:paraId="082CDDF5" w14:textId="1D4DFAF7" w:rsidR="00595DB9" w:rsidRPr="00EF2F18" w:rsidRDefault="00595DB9" w:rsidP="00752CA0">
            <w:pPr>
              <w:spacing w:after="0"/>
              <w:jc w:val="right"/>
              <w:rPr>
                <w:rFonts w:eastAsia="Times New Roman" w:cs="Times New Roman"/>
                <w:color w:val="000000"/>
                <w:sz w:val="20"/>
                <w:szCs w:val="20"/>
                <w:lang w:val="sr-Cyrl-RS" w:eastAsia="en-GB"/>
              </w:rPr>
            </w:pPr>
          </w:p>
        </w:tc>
        <w:tc>
          <w:tcPr>
            <w:tcW w:w="2430" w:type="dxa"/>
            <w:tcBorders>
              <w:top w:val="nil"/>
              <w:left w:val="nil"/>
              <w:bottom w:val="double" w:sz="6" w:space="0" w:color="auto"/>
              <w:right w:val="double" w:sz="6" w:space="0" w:color="auto"/>
            </w:tcBorders>
          </w:tcPr>
          <w:p w14:paraId="3C4BC311" w14:textId="4CF99174" w:rsidR="00595DB9" w:rsidRPr="00EF2F18" w:rsidRDefault="00595DB9" w:rsidP="00752CA0">
            <w:pPr>
              <w:spacing w:after="0"/>
              <w:jc w:val="right"/>
              <w:rPr>
                <w:rFonts w:eastAsia="Times New Roman" w:cs="Times New Roman"/>
                <w:color w:val="000000"/>
                <w:sz w:val="20"/>
                <w:szCs w:val="20"/>
                <w:lang w:val="sr-Cyrl-RS" w:eastAsia="en-GB"/>
              </w:rPr>
            </w:pPr>
          </w:p>
        </w:tc>
        <w:tc>
          <w:tcPr>
            <w:tcW w:w="2880" w:type="dxa"/>
            <w:tcBorders>
              <w:top w:val="nil"/>
              <w:left w:val="nil"/>
              <w:bottom w:val="double" w:sz="6" w:space="0" w:color="auto"/>
              <w:right w:val="double" w:sz="6" w:space="0" w:color="auto"/>
            </w:tcBorders>
            <w:shd w:val="clear" w:color="000000" w:fill="FFFFFF"/>
          </w:tcPr>
          <w:p w14:paraId="41872C75" w14:textId="5A38B80C" w:rsidR="00595DB9" w:rsidRPr="00EF2F18" w:rsidRDefault="00595DB9" w:rsidP="00752CA0">
            <w:pPr>
              <w:spacing w:after="0"/>
              <w:jc w:val="right"/>
              <w:rPr>
                <w:rFonts w:eastAsia="Times New Roman" w:cs="Times New Roman"/>
                <w:color w:val="000000"/>
                <w:sz w:val="20"/>
                <w:szCs w:val="20"/>
                <w:lang w:val="sr-Cyrl-RS" w:eastAsia="en-GB"/>
              </w:rPr>
            </w:pPr>
          </w:p>
        </w:tc>
      </w:tr>
      <w:tr w:rsidR="00595DB9" w:rsidRPr="00EF2F18" w14:paraId="69C5229E" w14:textId="77777777" w:rsidTr="00595DB9">
        <w:trPr>
          <w:trHeight w:val="324"/>
        </w:trPr>
        <w:tc>
          <w:tcPr>
            <w:tcW w:w="3800" w:type="dxa"/>
            <w:vMerge w:val="restart"/>
            <w:tcBorders>
              <w:top w:val="nil"/>
              <w:left w:val="double" w:sz="6" w:space="0" w:color="auto"/>
              <w:bottom w:val="double" w:sz="6" w:space="0" w:color="000000"/>
              <w:right w:val="double" w:sz="6" w:space="0" w:color="auto"/>
            </w:tcBorders>
            <w:shd w:val="clear" w:color="000000" w:fill="FFFFFF"/>
            <w:hideMark/>
          </w:tcPr>
          <w:p w14:paraId="0841FF2E"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tcBorders>
              <w:top w:val="nil"/>
              <w:left w:val="nil"/>
              <w:bottom w:val="nil"/>
              <w:right w:val="double" w:sz="6" w:space="0" w:color="auto"/>
            </w:tcBorders>
            <w:shd w:val="clear" w:color="000000" w:fill="FFFFFF"/>
            <w:hideMark/>
          </w:tcPr>
          <w:p w14:paraId="66E74FDD"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0405-560-0001-463</w:t>
            </w:r>
          </w:p>
        </w:tc>
        <w:tc>
          <w:tcPr>
            <w:tcW w:w="2067" w:type="dxa"/>
            <w:tcBorders>
              <w:top w:val="nil"/>
              <w:left w:val="nil"/>
              <w:bottom w:val="nil"/>
              <w:right w:val="double" w:sz="6" w:space="0" w:color="auto"/>
            </w:tcBorders>
            <w:hideMark/>
          </w:tcPr>
          <w:p w14:paraId="54CE9F62" w14:textId="77777777"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300.000</w:t>
            </w:r>
          </w:p>
        </w:tc>
        <w:tc>
          <w:tcPr>
            <w:tcW w:w="2430" w:type="dxa"/>
            <w:tcBorders>
              <w:top w:val="nil"/>
              <w:left w:val="nil"/>
              <w:bottom w:val="nil"/>
              <w:right w:val="double" w:sz="6" w:space="0" w:color="auto"/>
            </w:tcBorders>
            <w:hideMark/>
          </w:tcPr>
          <w:p w14:paraId="15C55B81" w14:textId="0E013FE3" w:rsidR="00595DB9" w:rsidRPr="00EF2F18" w:rsidRDefault="003332E3"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w:t>
            </w:r>
            <w:r w:rsidR="00595DB9" w:rsidRPr="00EF2F18">
              <w:rPr>
                <w:rFonts w:eastAsia="Times New Roman" w:cs="Times New Roman"/>
                <w:color w:val="000000"/>
                <w:sz w:val="20"/>
                <w:szCs w:val="20"/>
                <w:lang w:val="sr-Cyrl-RS" w:eastAsia="en-GB"/>
              </w:rPr>
              <w:t>.000</w:t>
            </w:r>
          </w:p>
        </w:tc>
        <w:tc>
          <w:tcPr>
            <w:tcW w:w="2880" w:type="dxa"/>
            <w:tcBorders>
              <w:top w:val="nil"/>
              <w:left w:val="nil"/>
              <w:bottom w:val="nil"/>
              <w:right w:val="double" w:sz="6" w:space="0" w:color="auto"/>
            </w:tcBorders>
            <w:shd w:val="clear" w:color="000000" w:fill="FFFFFF"/>
            <w:hideMark/>
          </w:tcPr>
          <w:p w14:paraId="4F5422BA" w14:textId="67610EA2"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300.000</w:t>
            </w:r>
          </w:p>
        </w:tc>
      </w:tr>
      <w:tr w:rsidR="00595DB9" w:rsidRPr="00EF2F18" w14:paraId="0CD2EEFC" w14:textId="77777777" w:rsidTr="00595DB9">
        <w:trPr>
          <w:trHeight w:val="324"/>
        </w:trPr>
        <w:tc>
          <w:tcPr>
            <w:tcW w:w="3800" w:type="dxa"/>
            <w:vMerge/>
            <w:tcBorders>
              <w:top w:val="nil"/>
              <w:left w:val="double" w:sz="6" w:space="0" w:color="auto"/>
              <w:bottom w:val="double" w:sz="6" w:space="0" w:color="000000"/>
              <w:right w:val="double" w:sz="6" w:space="0" w:color="auto"/>
            </w:tcBorders>
            <w:vAlign w:val="center"/>
            <w:hideMark/>
          </w:tcPr>
          <w:p w14:paraId="4ACDFA90" w14:textId="77777777" w:rsidR="00595DB9" w:rsidRPr="00EF2F18" w:rsidRDefault="00595DB9" w:rsidP="00752CA0">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shd w:val="clear" w:color="000000" w:fill="FFFFFF"/>
            <w:hideMark/>
          </w:tcPr>
          <w:p w14:paraId="5B12471E"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0405-560-0002-451</w:t>
            </w:r>
          </w:p>
          <w:p w14:paraId="673F3DCF" w14:textId="77777777" w:rsidR="00595DB9" w:rsidRPr="00EF2F18" w:rsidRDefault="00595DB9" w:rsidP="00752CA0">
            <w:pPr>
              <w:spacing w:after="0"/>
              <w:rPr>
                <w:rFonts w:eastAsia="Times New Roman" w:cs="Times New Roman"/>
                <w:color w:val="000000"/>
                <w:sz w:val="20"/>
                <w:szCs w:val="20"/>
                <w:lang w:val="sr-Cyrl-RS" w:eastAsia="en-GB"/>
              </w:rPr>
            </w:pPr>
          </w:p>
          <w:p w14:paraId="00332E55"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0405-560-0002-463</w:t>
            </w:r>
          </w:p>
        </w:tc>
        <w:tc>
          <w:tcPr>
            <w:tcW w:w="2067" w:type="dxa"/>
            <w:tcBorders>
              <w:top w:val="nil"/>
              <w:left w:val="nil"/>
              <w:bottom w:val="double" w:sz="6" w:space="0" w:color="auto"/>
              <w:right w:val="double" w:sz="6" w:space="0" w:color="auto"/>
            </w:tcBorders>
            <w:hideMark/>
          </w:tcPr>
          <w:p w14:paraId="70C07FCB" w14:textId="77777777"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p w14:paraId="4D7003AF" w14:textId="77777777" w:rsidR="009573FD" w:rsidRPr="00EF2F18" w:rsidRDefault="009573FD" w:rsidP="00752CA0">
            <w:pPr>
              <w:spacing w:after="0"/>
              <w:jc w:val="right"/>
              <w:rPr>
                <w:rFonts w:eastAsia="Times New Roman" w:cs="Times New Roman"/>
                <w:color w:val="000000"/>
                <w:sz w:val="20"/>
                <w:szCs w:val="20"/>
                <w:lang w:val="sr-Cyrl-RS" w:eastAsia="en-GB"/>
              </w:rPr>
            </w:pPr>
          </w:p>
          <w:p w14:paraId="05AFB1AB" w14:textId="1D469892" w:rsidR="009573FD" w:rsidRPr="00EF2F18" w:rsidRDefault="009573F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80.000</w:t>
            </w:r>
          </w:p>
        </w:tc>
        <w:tc>
          <w:tcPr>
            <w:tcW w:w="2430" w:type="dxa"/>
            <w:tcBorders>
              <w:top w:val="nil"/>
              <w:left w:val="nil"/>
              <w:bottom w:val="double" w:sz="6" w:space="0" w:color="auto"/>
              <w:right w:val="double" w:sz="6" w:space="0" w:color="auto"/>
            </w:tcBorders>
            <w:hideMark/>
          </w:tcPr>
          <w:p w14:paraId="403F9655" w14:textId="60FCAE7F" w:rsidR="00595DB9" w:rsidRPr="00EF2F18" w:rsidRDefault="00D0135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640</w:t>
            </w:r>
            <w:r w:rsidR="00595DB9" w:rsidRPr="00EF2F18">
              <w:rPr>
                <w:rFonts w:eastAsia="Times New Roman" w:cs="Times New Roman"/>
                <w:color w:val="000000"/>
                <w:sz w:val="20"/>
                <w:szCs w:val="20"/>
                <w:lang w:val="sr-Cyrl-RS" w:eastAsia="en-GB"/>
              </w:rPr>
              <w:t>.000</w:t>
            </w:r>
          </w:p>
        </w:tc>
        <w:tc>
          <w:tcPr>
            <w:tcW w:w="2880" w:type="dxa"/>
            <w:tcBorders>
              <w:top w:val="nil"/>
              <w:left w:val="nil"/>
              <w:bottom w:val="double" w:sz="6" w:space="0" w:color="auto"/>
              <w:right w:val="double" w:sz="6" w:space="0" w:color="auto"/>
            </w:tcBorders>
            <w:shd w:val="clear" w:color="000000" w:fill="FFFFFF"/>
            <w:hideMark/>
          </w:tcPr>
          <w:p w14:paraId="627710F8" w14:textId="117B3DE3"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tc>
      </w:tr>
    </w:tbl>
    <w:p w14:paraId="1326FAD0" w14:textId="77777777" w:rsidR="007D7243" w:rsidRPr="00EF2F18" w:rsidRDefault="007D7243" w:rsidP="007D7243">
      <w:pPr>
        <w:spacing w:after="0"/>
        <w:rPr>
          <w:sz w:val="20"/>
          <w:szCs w:val="20"/>
          <w:lang w:val="sr-Cyrl-RS"/>
        </w:rPr>
      </w:pPr>
    </w:p>
    <w:tbl>
      <w:tblPr>
        <w:tblW w:w="13657" w:type="dxa"/>
        <w:tblLook w:val="04A0" w:firstRow="1" w:lastRow="0" w:firstColumn="1" w:lastColumn="0" w:noHBand="0" w:noVBand="1"/>
      </w:tblPr>
      <w:tblGrid>
        <w:gridCol w:w="1883"/>
        <w:gridCol w:w="1127"/>
        <w:gridCol w:w="1279"/>
        <w:gridCol w:w="1273"/>
        <w:gridCol w:w="1691"/>
        <w:gridCol w:w="1340"/>
        <w:gridCol w:w="1554"/>
        <w:gridCol w:w="1710"/>
        <w:gridCol w:w="1791"/>
        <w:gridCol w:w="9"/>
      </w:tblGrid>
      <w:tr w:rsidR="007D7243" w:rsidRPr="00EF2F18" w14:paraId="755E0FFF" w14:textId="77777777" w:rsidTr="00595DB9">
        <w:trPr>
          <w:gridAfter w:val="1"/>
          <w:wAfter w:w="9" w:type="dxa"/>
          <w:trHeight w:val="732"/>
        </w:trPr>
        <w:tc>
          <w:tcPr>
            <w:tcW w:w="188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5970B90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12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478307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7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1E8320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27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3D4067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809E25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E3D2A4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5055" w:type="dxa"/>
            <w:gridSpan w:val="3"/>
            <w:tcBorders>
              <w:top w:val="double" w:sz="6" w:space="0" w:color="auto"/>
              <w:left w:val="nil"/>
              <w:bottom w:val="single" w:sz="8" w:space="0" w:color="auto"/>
              <w:right w:val="double" w:sz="6" w:space="0" w:color="auto"/>
            </w:tcBorders>
            <w:shd w:val="clear" w:color="000000" w:fill="FFF2CC"/>
            <w:hideMark/>
          </w:tcPr>
          <w:p w14:paraId="5B8AC2B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595DB9" w:rsidRPr="00EF2F18" w14:paraId="1619368F" w14:textId="77777777" w:rsidTr="00595DB9">
        <w:trPr>
          <w:trHeight w:val="324"/>
        </w:trPr>
        <w:tc>
          <w:tcPr>
            <w:tcW w:w="1883" w:type="dxa"/>
            <w:vMerge/>
            <w:tcBorders>
              <w:top w:val="double" w:sz="6" w:space="0" w:color="auto"/>
              <w:left w:val="double" w:sz="6" w:space="0" w:color="auto"/>
              <w:bottom w:val="single" w:sz="8" w:space="0" w:color="000000"/>
              <w:right w:val="single" w:sz="8" w:space="0" w:color="auto"/>
            </w:tcBorders>
            <w:vAlign w:val="center"/>
            <w:hideMark/>
          </w:tcPr>
          <w:p w14:paraId="34989815" w14:textId="77777777" w:rsidR="00595DB9" w:rsidRPr="00EF2F18" w:rsidRDefault="00595DB9" w:rsidP="00752CA0">
            <w:pPr>
              <w:spacing w:after="0"/>
              <w:rPr>
                <w:rFonts w:eastAsia="Times New Roman" w:cs="Times New Roman"/>
                <w:color w:val="000000"/>
                <w:sz w:val="20"/>
                <w:szCs w:val="20"/>
                <w:lang w:val="sr-Cyrl-RS" w:eastAsia="en-GB"/>
              </w:rPr>
            </w:pPr>
          </w:p>
        </w:tc>
        <w:tc>
          <w:tcPr>
            <w:tcW w:w="1127" w:type="dxa"/>
            <w:vMerge/>
            <w:tcBorders>
              <w:top w:val="double" w:sz="6" w:space="0" w:color="auto"/>
              <w:left w:val="single" w:sz="8" w:space="0" w:color="auto"/>
              <w:bottom w:val="single" w:sz="8" w:space="0" w:color="000000"/>
              <w:right w:val="single" w:sz="8" w:space="0" w:color="auto"/>
            </w:tcBorders>
            <w:vAlign w:val="center"/>
            <w:hideMark/>
          </w:tcPr>
          <w:p w14:paraId="5D0F2D93" w14:textId="77777777" w:rsidR="00595DB9" w:rsidRPr="00EF2F18" w:rsidRDefault="00595DB9" w:rsidP="00752CA0">
            <w:pPr>
              <w:spacing w:after="0"/>
              <w:rPr>
                <w:rFonts w:eastAsia="Times New Roman" w:cs="Times New Roman"/>
                <w:color w:val="000000"/>
                <w:sz w:val="20"/>
                <w:szCs w:val="20"/>
                <w:lang w:val="sr-Cyrl-RS" w:eastAsia="en-GB"/>
              </w:rPr>
            </w:pPr>
          </w:p>
        </w:tc>
        <w:tc>
          <w:tcPr>
            <w:tcW w:w="1279" w:type="dxa"/>
            <w:vMerge/>
            <w:tcBorders>
              <w:top w:val="double" w:sz="6" w:space="0" w:color="auto"/>
              <w:left w:val="single" w:sz="8" w:space="0" w:color="auto"/>
              <w:bottom w:val="single" w:sz="8" w:space="0" w:color="000000"/>
              <w:right w:val="single" w:sz="8" w:space="0" w:color="auto"/>
            </w:tcBorders>
            <w:vAlign w:val="center"/>
            <w:hideMark/>
          </w:tcPr>
          <w:p w14:paraId="2A545957" w14:textId="77777777" w:rsidR="00595DB9" w:rsidRPr="00EF2F18" w:rsidRDefault="00595DB9" w:rsidP="00752CA0">
            <w:pPr>
              <w:spacing w:after="0"/>
              <w:rPr>
                <w:rFonts w:eastAsia="Times New Roman" w:cs="Times New Roman"/>
                <w:color w:val="000000"/>
                <w:sz w:val="20"/>
                <w:szCs w:val="20"/>
                <w:lang w:val="sr-Cyrl-RS" w:eastAsia="en-GB"/>
              </w:rPr>
            </w:pPr>
          </w:p>
        </w:tc>
        <w:tc>
          <w:tcPr>
            <w:tcW w:w="1273" w:type="dxa"/>
            <w:vMerge/>
            <w:tcBorders>
              <w:top w:val="double" w:sz="6" w:space="0" w:color="auto"/>
              <w:left w:val="single" w:sz="8" w:space="0" w:color="auto"/>
              <w:bottom w:val="single" w:sz="8" w:space="0" w:color="000000"/>
              <w:right w:val="single" w:sz="8" w:space="0" w:color="auto"/>
            </w:tcBorders>
            <w:vAlign w:val="center"/>
            <w:hideMark/>
          </w:tcPr>
          <w:p w14:paraId="00F41887" w14:textId="77777777" w:rsidR="00595DB9" w:rsidRPr="00EF2F18" w:rsidRDefault="00595DB9"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2F5DB62E" w14:textId="77777777" w:rsidR="00595DB9" w:rsidRPr="00EF2F18" w:rsidRDefault="00595DB9"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3922D2F6" w14:textId="77777777" w:rsidR="00595DB9" w:rsidRPr="00EF2F18" w:rsidRDefault="00595DB9" w:rsidP="00752CA0">
            <w:pPr>
              <w:spacing w:after="0"/>
              <w:rPr>
                <w:rFonts w:eastAsia="Times New Roman" w:cs="Times New Roman"/>
                <w:color w:val="000000"/>
                <w:sz w:val="20"/>
                <w:szCs w:val="20"/>
                <w:lang w:val="sr-Cyrl-RS" w:eastAsia="en-GB"/>
              </w:rPr>
            </w:pPr>
          </w:p>
        </w:tc>
        <w:tc>
          <w:tcPr>
            <w:tcW w:w="1554" w:type="dxa"/>
            <w:tcBorders>
              <w:top w:val="nil"/>
              <w:left w:val="nil"/>
              <w:bottom w:val="single" w:sz="8" w:space="0" w:color="auto"/>
              <w:right w:val="single" w:sz="8" w:space="0" w:color="auto"/>
            </w:tcBorders>
            <w:shd w:val="clear" w:color="000000" w:fill="FFF2CC"/>
            <w:hideMark/>
          </w:tcPr>
          <w:p w14:paraId="1BBF1AB1" w14:textId="39436A00"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710" w:type="dxa"/>
            <w:tcBorders>
              <w:top w:val="nil"/>
              <w:left w:val="nil"/>
              <w:bottom w:val="single" w:sz="8" w:space="0" w:color="auto"/>
              <w:right w:val="single" w:sz="8" w:space="0" w:color="auto"/>
            </w:tcBorders>
            <w:shd w:val="clear" w:color="000000" w:fill="FFF2CC"/>
            <w:hideMark/>
          </w:tcPr>
          <w:p w14:paraId="0D6FA6AF" w14:textId="244A464D"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800" w:type="dxa"/>
            <w:gridSpan w:val="2"/>
            <w:tcBorders>
              <w:top w:val="nil"/>
              <w:left w:val="nil"/>
              <w:bottom w:val="single" w:sz="8" w:space="0" w:color="auto"/>
              <w:right w:val="double" w:sz="6" w:space="0" w:color="auto"/>
            </w:tcBorders>
            <w:shd w:val="clear" w:color="000000" w:fill="FFF2CC"/>
            <w:hideMark/>
          </w:tcPr>
          <w:p w14:paraId="0F5A4BC3" w14:textId="1E93B76E" w:rsidR="00595DB9" w:rsidRPr="00EF2F18" w:rsidRDefault="00595DB9"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595DB9" w:rsidRPr="00EF2F18" w14:paraId="515DCF0E" w14:textId="77777777" w:rsidTr="00595DB9">
        <w:trPr>
          <w:trHeight w:val="540"/>
        </w:trPr>
        <w:tc>
          <w:tcPr>
            <w:tcW w:w="1883" w:type="dxa"/>
            <w:tcBorders>
              <w:top w:val="nil"/>
              <w:left w:val="double" w:sz="6" w:space="0" w:color="auto"/>
              <w:bottom w:val="single" w:sz="8" w:space="0" w:color="auto"/>
              <w:right w:val="single" w:sz="8" w:space="0" w:color="auto"/>
            </w:tcBorders>
            <w:hideMark/>
          </w:tcPr>
          <w:p w14:paraId="604EC0B2" w14:textId="717775CE"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 xml:space="preserve">4.1.2.1. </w:t>
            </w:r>
            <w:r w:rsidRPr="00EF2F18">
              <w:rPr>
                <w:rFonts w:eastAsia="Times New Roman" w:cs="Times New Roman"/>
                <w:sz w:val="20"/>
                <w:szCs w:val="20"/>
                <w:lang w:val="sr-Cyrl-RS" w:eastAsia="en-GB" w:bidi="en-US"/>
              </w:rPr>
              <w:t>Доношење</w:t>
            </w:r>
            <w:r w:rsidR="00AA1C23">
              <w:rPr>
                <w:rFonts w:eastAsia="Times New Roman" w:cs="Times New Roman"/>
                <w:sz w:val="20"/>
                <w:szCs w:val="20"/>
                <w:lang w:val="sr-Cyrl-RS" w:eastAsia="en-GB" w:bidi="en-US"/>
              </w:rPr>
              <w:t xml:space="preserve"> </w:t>
            </w:r>
            <w:r w:rsidRPr="00EF2F18">
              <w:rPr>
                <w:rFonts w:eastAsia="Times New Roman" w:cs="Times New Roman"/>
                <w:sz w:val="20"/>
                <w:szCs w:val="20"/>
                <w:lang w:val="sr-Cyrl-RS" w:eastAsia="en-GB" w:bidi="en-US"/>
              </w:rPr>
              <w:t xml:space="preserve">Закона о заштити природе </w:t>
            </w:r>
          </w:p>
        </w:tc>
        <w:tc>
          <w:tcPr>
            <w:tcW w:w="1127" w:type="dxa"/>
            <w:tcBorders>
              <w:top w:val="nil"/>
              <w:left w:val="nil"/>
              <w:bottom w:val="single" w:sz="8" w:space="0" w:color="auto"/>
              <w:right w:val="single" w:sz="8" w:space="0" w:color="auto"/>
            </w:tcBorders>
            <w:hideMark/>
          </w:tcPr>
          <w:p w14:paraId="48436812"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9" w:type="dxa"/>
            <w:tcBorders>
              <w:top w:val="nil"/>
              <w:left w:val="nil"/>
              <w:bottom w:val="single" w:sz="8" w:space="0" w:color="auto"/>
              <w:right w:val="single" w:sz="8" w:space="0" w:color="auto"/>
            </w:tcBorders>
            <w:hideMark/>
          </w:tcPr>
          <w:p w14:paraId="5CFC5A98"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ЗЗПС, ПЗЗП </w:t>
            </w:r>
          </w:p>
        </w:tc>
        <w:tc>
          <w:tcPr>
            <w:tcW w:w="1273" w:type="dxa"/>
            <w:tcBorders>
              <w:top w:val="nil"/>
              <w:left w:val="nil"/>
              <w:bottom w:val="single" w:sz="8" w:space="0" w:color="auto"/>
              <w:right w:val="single" w:sz="8" w:space="0" w:color="auto"/>
            </w:tcBorders>
            <w:hideMark/>
          </w:tcPr>
          <w:p w14:paraId="582C742D" w14:textId="0840C421"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квартал</w:t>
            </w:r>
            <w:r w:rsidR="008144B4" w:rsidRPr="00EF2F18">
              <w:rPr>
                <w:rFonts w:eastAsia="Times New Roman" w:cs="Times New Roman"/>
                <w:sz w:val="20"/>
                <w:szCs w:val="20"/>
                <w:lang w:val="sr-Cyrl-RS" w:eastAsia="en-GB"/>
              </w:rPr>
              <w:t xml:space="preserve"> </w:t>
            </w:r>
            <w:r w:rsidRPr="00EF2F18">
              <w:rPr>
                <w:rFonts w:eastAsia="Times New Roman" w:cs="Times New Roman"/>
                <w:sz w:val="20"/>
                <w:szCs w:val="20"/>
                <w:lang w:val="sr-Cyrl-RS" w:eastAsia="en-GB"/>
              </w:rPr>
              <w:t>2026</w:t>
            </w:r>
            <w:r w:rsidR="008144B4" w:rsidRPr="00EF2F18">
              <w:rPr>
                <w:rFonts w:eastAsia="Times New Roman" w:cs="Times New Roman"/>
                <w:sz w:val="20"/>
                <w:szCs w:val="20"/>
                <w:lang w:val="sr-Cyrl-RS" w:eastAsia="en-GB"/>
              </w:rPr>
              <w:t>.</w:t>
            </w:r>
          </w:p>
        </w:tc>
        <w:tc>
          <w:tcPr>
            <w:tcW w:w="1691" w:type="dxa"/>
            <w:tcBorders>
              <w:top w:val="nil"/>
              <w:left w:val="nil"/>
              <w:bottom w:val="single" w:sz="8" w:space="0" w:color="auto"/>
              <w:right w:val="single" w:sz="8" w:space="0" w:color="auto"/>
            </w:tcBorders>
            <w:hideMark/>
          </w:tcPr>
          <w:p w14:paraId="3C71BEF6"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72B7AA52"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554" w:type="dxa"/>
            <w:tcBorders>
              <w:top w:val="nil"/>
              <w:left w:val="nil"/>
              <w:bottom w:val="single" w:sz="8" w:space="0" w:color="auto"/>
              <w:right w:val="single" w:sz="8" w:space="0" w:color="auto"/>
            </w:tcBorders>
          </w:tcPr>
          <w:p w14:paraId="35030031" w14:textId="4156692D" w:rsidR="00595DB9" w:rsidRPr="00EF2F18" w:rsidRDefault="00595DB9"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8" w:space="0" w:color="auto"/>
              <w:right w:val="single" w:sz="8" w:space="0" w:color="auto"/>
            </w:tcBorders>
          </w:tcPr>
          <w:p w14:paraId="4F2B2247" w14:textId="2923112B" w:rsidR="00595DB9" w:rsidRPr="00EF2F18" w:rsidRDefault="00595DB9" w:rsidP="00752CA0">
            <w:pPr>
              <w:spacing w:after="0"/>
              <w:jc w:val="right"/>
              <w:rPr>
                <w:rFonts w:eastAsia="Times New Roman" w:cs="Times New Roman"/>
                <w:color w:val="000000"/>
                <w:sz w:val="20"/>
                <w:szCs w:val="20"/>
                <w:lang w:val="sr-Cyrl-RS" w:eastAsia="en-GB"/>
              </w:rPr>
            </w:pPr>
          </w:p>
        </w:tc>
        <w:tc>
          <w:tcPr>
            <w:tcW w:w="1800" w:type="dxa"/>
            <w:gridSpan w:val="2"/>
            <w:tcBorders>
              <w:top w:val="nil"/>
              <w:left w:val="nil"/>
              <w:bottom w:val="single" w:sz="8" w:space="0" w:color="auto"/>
              <w:right w:val="double" w:sz="6" w:space="0" w:color="auto"/>
            </w:tcBorders>
          </w:tcPr>
          <w:p w14:paraId="44CEECC3" w14:textId="794A0EB4" w:rsidR="00595DB9" w:rsidRPr="00EF2F18" w:rsidRDefault="00595DB9" w:rsidP="00752CA0">
            <w:pPr>
              <w:spacing w:after="0"/>
              <w:jc w:val="right"/>
              <w:rPr>
                <w:rFonts w:eastAsia="Times New Roman" w:cs="Times New Roman"/>
                <w:color w:val="000000"/>
                <w:sz w:val="20"/>
                <w:szCs w:val="20"/>
                <w:lang w:val="sr-Cyrl-RS" w:eastAsia="en-GB"/>
              </w:rPr>
            </w:pPr>
          </w:p>
        </w:tc>
      </w:tr>
      <w:tr w:rsidR="00595DB9" w:rsidRPr="00EF2F18" w14:paraId="34C5933D" w14:textId="77777777" w:rsidTr="00595DB9">
        <w:trPr>
          <w:trHeight w:val="804"/>
        </w:trPr>
        <w:tc>
          <w:tcPr>
            <w:tcW w:w="1883" w:type="dxa"/>
            <w:tcBorders>
              <w:top w:val="nil"/>
              <w:left w:val="double" w:sz="6" w:space="0" w:color="auto"/>
              <w:bottom w:val="single" w:sz="8" w:space="0" w:color="auto"/>
              <w:right w:val="single" w:sz="8" w:space="0" w:color="auto"/>
            </w:tcBorders>
            <w:hideMark/>
          </w:tcPr>
          <w:p w14:paraId="16DD1A3D"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Pr="00EF2F18">
              <w:rPr>
                <w:rFonts w:eastAsia="Times New Roman" w:cs="Times New Roman"/>
                <w:color w:val="000000"/>
                <w:sz w:val="18"/>
                <w:szCs w:val="18"/>
                <w:lang w:val="sr-Cyrl-RS" w:eastAsia="en-GB"/>
              </w:rPr>
              <w:t>.1.2.2. Унапређење стандарда за израду докумената управљања заштићеним подручјима</w:t>
            </w:r>
          </w:p>
        </w:tc>
        <w:tc>
          <w:tcPr>
            <w:tcW w:w="1127" w:type="dxa"/>
            <w:tcBorders>
              <w:top w:val="nil"/>
              <w:left w:val="nil"/>
              <w:bottom w:val="single" w:sz="8" w:space="0" w:color="auto"/>
              <w:right w:val="single" w:sz="8" w:space="0" w:color="auto"/>
            </w:tcBorders>
            <w:hideMark/>
          </w:tcPr>
          <w:p w14:paraId="3B445AF2"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9" w:type="dxa"/>
            <w:tcBorders>
              <w:top w:val="nil"/>
              <w:left w:val="nil"/>
              <w:bottom w:val="single" w:sz="8" w:space="0" w:color="auto"/>
              <w:right w:val="single" w:sz="8" w:space="0" w:color="auto"/>
            </w:tcBorders>
            <w:hideMark/>
          </w:tcPr>
          <w:p w14:paraId="4861C603"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ЗЗПС, ПЗЗП </w:t>
            </w:r>
          </w:p>
        </w:tc>
        <w:tc>
          <w:tcPr>
            <w:tcW w:w="1273" w:type="dxa"/>
            <w:tcBorders>
              <w:top w:val="nil"/>
              <w:left w:val="nil"/>
              <w:bottom w:val="single" w:sz="8" w:space="0" w:color="auto"/>
              <w:right w:val="single" w:sz="8" w:space="0" w:color="auto"/>
            </w:tcBorders>
            <w:hideMark/>
          </w:tcPr>
          <w:p w14:paraId="69F64198" w14:textId="5CA97325"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квартал 2026</w:t>
            </w:r>
            <w:r w:rsidR="008144B4" w:rsidRPr="00EF2F18">
              <w:rPr>
                <w:rFonts w:eastAsia="Times New Roman" w:cs="Times New Roman"/>
                <w:sz w:val="20"/>
                <w:szCs w:val="20"/>
                <w:lang w:val="sr-Cyrl-RS" w:eastAsia="en-GB"/>
              </w:rPr>
              <w:t>.</w:t>
            </w:r>
          </w:p>
        </w:tc>
        <w:tc>
          <w:tcPr>
            <w:tcW w:w="1691" w:type="dxa"/>
            <w:tcBorders>
              <w:top w:val="nil"/>
              <w:left w:val="nil"/>
              <w:bottom w:val="single" w:sz="8" w:space="0" w:color="auto"/>
              <w:right w:val="single" w:sz="8" w:space="0" w:color="auto"/>
            </w:tcBorders>
            <w:hideMark/>
          </w:tcPr>
          <w:p w14:paraId="273F62A0"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45B75803"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554" w:type="dxa"/>
            <w:tcBorders>
              <w:top w:val="nil"/>
              <w:left w:val="nil"/>
              <w:bottom w:val="single" w:sz="8" w:space="0" w:color="auto"/>
              <w:right w:val="single" w:sz="8" w:space="0" w:color="auto"/>
            </w:tcBorders>
          </w:tcPr>
          <w:p w14:paraId="26BB0CD8" w14:textId="53F881C2" w:rsidR="00595DB9" w:rsidRPr="00EF2F18" w:rsidRDefault="00595DB9"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8" w:space="0" w:color="auto"/>
              <w:right w:val="single" w:sz="8" w:space="0" w:color="auto"/>
            </w:tcBorders>
          </w:tcPr>
          <w:p w14:paraId="70E88E03" w14:textId="5B6BDC8A" w:rsidR="00595DB9" w:rsidRPr="00EF2F18" w:rsidRDefault="00595DB9" w:rsidP="00752CA0">
            <w:pPr>
              <w:spacing w:after="0"/>
              <w:jc w:val="right"/>
              <w:rPr>
                <w:rFonts w:eastAsia="Times New Roman" w:cs="Times New Roman"/>
                <w:color w:val="000000"/>
                <w:sz w:val="20"/>
                <w:szCs w:val="20"/>
                <w:lang w:val="sr-Cyrl-RS" w:eastAsia="en-GB"/>
              </w:rPr>
            </w:pPr>
          </w:p>
        </w:tc>
        <w:tc>
          <w:tcPr>
            <w:tcW w:w="1800" w:type="dxa"/>
            <w:gridSpan w:val="2"/>
            <w:tcBorders>
              <w:top w:val="nil"/>
              <w:left w:val="nil"/>
              <w:bottom w:val="single" w:sz="8" w:space="0" w:color="auto"/>
              <w:right w:val="double" w:sz="6" w:space="0" w:color="auto"/>
            </w:tcBorders>
          </w:tcPr>
          <w:p w14:paraId="249CF73D" w14:textId="4795DDD4" w:rsidR="00595DB9" w:rsidRPr="00EF2F18" w:rsidRDefault="00595DB9" w:rsidP="00752CA0">
            <w:pPr>
              <w:spacing w:after="0"/>
              <w:jc w:val="right"/>
              <w:rPr>
                <w:rFonts w:eastAsia="Times New Roman" w:cs="Times New Roman"/>
                <w:color w:val="000000"/>
                <w:sz w:val="20"/>
                <w:szCs w:val="20"/>
                <w:lang w:val="sr-Cyrl-RS" w:eastAsia="en-GB"/>
              </w:rPr>
            </w:pPr>
          </w:p>
        </w:tc>
      </w:tr>
      <w:tr w:rsidR="00595DB9" w:rsidRPr="00EF2F18" w14:paraId="63424657" w14:textId="77777777" w:rsidTr="00AA07A4">
        <w:trPr>
          <w:trHeight w:val="804"/>
        </w:trPr>
        <w:tc>
          <w:tcPr>
            <w:tcW w:w="1883" w:type="dxa"/>
            <w:tcBorders>
              <w:top w:val="single" w:sz="4" w:space="0" w:color="auto"/>
              <w:left w:val="double" w:sz="6" w:space="0" w:color="auto"/>
              <w:bottom w:val="single" w:sz="8" w:space="0" w:color="auto"/>
              <w:right w:val="single" w:sz="8" w:space="0" w:color="auto"/>
            </w:tcBorders>
            <w:hideMark/>
          </w:tcPr>
          <w:p w14:paraId="1AAE47DB"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4.1.2.3. Континуирано проглашење нових и ревизија постојећих заштићених подручја</w:t>
            </w:r>
          </w:p>
        </w:tc>
        <w:tc>
          <w:tcPr>
            <w:tcW w:w="1127" w:type="dxa"/>
            <w:tcBorders>
              <w:top w:val="single" w:sz="4" w:space="0" w:color="auto"/>
              <w:left w:val="nil"/>
              <w:bottom w:val="single" w:sz="8" w:space="0" w:color="auto"/>
              <w:right w:val="single" w:sz="8" w:space="0" w:color="auto"/>
            </w:tcBorders>
            <w:hideMark/>
          </w:tcPr>
          <w:p w14:paraId="2B0754FB"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9" w:type="dxa"/>
            <w:tcBorders>
              <w:top w:val="single" w:sz="4" w:space="0" w:color="auto"/>
              <w:left w:val="nil"/>
              <w:bottom w:val="single" w:sz="8" w:space="0" w:color="auto"/>
              <w:right w:val="single" w:sz="8" w:space="0" w:color="auto"/>
            </w:tcBorders>
            <w:hideMark/>
          </w:tcPr>
          <w:p w14:paraId="5353F268" w14:textId="2D246821"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ЗЗПС, ПЗЗП, ПСУЗЖС, ЈЛС </w:t>
            </w:r>
          </w:p>
        </w:tc>
        <w:tc>
          <w:tcPr>
            <w:tcW w:w="1273" w:type="dxa"/>
            <w:tcBorders>
              <w:top w:val="single" w:sz="4" w:space="0" w:color="auto"/>
              <w:left w:val="nil"/>
              <w:bottom w:val="single" w:sz="8" w:space="0" w:color="auto"/>
              <w:right w:val="single" w:sz="8" w:space="0" w:color="auto"/>
            </w:tcBorders>
            <w:hideMark/>
          </w:tcPr>
          <w:p w14:paraId="568755B9"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20F08129"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nil"/>
              <w:bottom w:val="single" w:sz="8" w:space="0" w:color="auto"/>
              <w:right w:val="single" w:sz="8" w:space="0" w:color="auto"/>
            </w:tcBorders>
            <w:hideMark/>
          </w:tcPr>
          <w:p w14:paraId="4597CB66"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0405-560-0002-451</w:t>
            </w:r>
          </w:p>
          <w:p w14:paraId="6B62E929" w14:textId="77777777" w:rsidR="00595DB9" w:rsidRPr="00EF2F18" w:rsidRDefault="00595DB9" w:rsidP="00752CA0">
            <w:pPr>
              <w:spacing w:after="0"/>
              <w:rPr>
                <w:rFonts w:eastAsia="Times New Roman" w:cs="Times New Roman"/>
                <w:color w:val="000000"/>
                <w:sz w:val="20"/>
                <w:szCs w:val="20"/>
                <w:lang w:val="sr-Cyrl-RS" w:eastAsia="en-GB"/>
              </w:rPr>
            </w:pPr>
          </w:p>
          <w:p w14:paraId="4C97B351"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0405-560-0002-463</w:t>
            </w:r>
          </w:p>
        </w:tc>
        <w:tc>
          <w:tcPr>
            <w:tcW w:w="1554" w:type="dxa"/>
            <w:tcBorders>
              <w:top w:val="single" w:sz="4" w:space="0" w:color="auto"/>
              <w:left w:val="nil"/>
              <w:bottom w:val="single" w:sz="8" w:space="0" w:color="auto"/>
              <w:right w:val="single" w:sz="8" w:space="0" w:color="auto"/>
            </w:tcBorders>
            <w:hideMark/>
          </w:tcPr>
          <w:p w14:paraId="494E3F3F" w14:textId="77777777"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p w14:paraId="13921CDE" w14:textId="77777777" w:rsidR="002F171A" w:rsidRPr="00EF2F18" w:rsidRDefault="002F171A" w:rsidP="00752CA0">
            <w:pPr>
              <w:spacing w:after="0"/>
              <w:jc w:val="right"/>
              <w:rPr>
                <w:rFonts w:eastAsia="Times New Roman" w:cs="Times New Roman"/>
                <w:color w:val="000000"/>
                <w:sz w:val="20"/>
                <w:szCs w:val="20"/>
                <w:lang w:val="sr-Cyrl-RS" w:eastAsia="en-GB"/>
              </w:rPr>
            </w:pPr>
          </w:p>
          <w:p w14:paraId="70995308" w14:textId="77777777" w:rsidR="002F171A" w:rsidRPr="00EF2F18" w:rsidRDefault="002F171A" w:rsidP="00752CA0">
            <w:pPr>
              <w:spacing w:after="0"/>
              <w:jc w:val="right"/>
              <w:rPr>
                <w:rFonts w:eastAsia="Times New Roman" w:cs="Times New Roman"/>
                <w:color w:val="000000"/>
                <w:sz w:val="20"/>
                <w:szCs w:val="20"/>
                <w:lang w:val="sr-Cyrl-RS" w:eastAsia="en-GB"/>
              </w:rPr>
            </w:pPr>
          </w:p>
          <w:p w14:paraId="5E08A1BD" w14:textId="0AF955B6" w:rsidR="002F171A" w:rsidRPr="00EF2F18" w:rsidRDefault="002F171A" w:rsidP="002F171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r w:rsidR="00FA01F2" w:rsidRPr="00EF2F18">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80.000</w:t>
            </w:r>
          </w:p>
        </w:tc>
        <w:tc>
          <w:tcPr>
            <w:tcW w:w="1710" w:type="dxa"/>
            <w:tcBorders>
              <w:top w:val="single" w:sz="4" w:space="0" w:color="auto"/>
              <w:left w:val="nil"/>
              <w:bottom w:val="single" w:sz="8" w:space="0" w:color="auto"/>
              <w:right w:val="single" w:sz="8" w:space="0" w:color="auto"/>
            </w:tcBorders>
            <w:hideMark/>
          </w:tcPr>
          <w:p w14:paraId="41875841" w14:textId="58BF1F78" w:rsidR="00595DB9" w:rsidRPr="00EF2F18" w:rsidRDefault="00D0135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640</w:t>
            </w:r>
            <w:r w:rsidR="00595DB9" w:rsidRPr="00EF2F18">
              <w:rPr>
                <w:rFonts w:eastAsia="Times New Roman" w:cs="Times New Roman"/>
                <w:color w:val="000000"/>
                <w:sz w:val="20"/>
                <w:szCs w:val="20"/>
                <w:lang w:val="sr-Cyrl-RS" w:eastAsia="en-GB"/>
              </w:rPr>
              <w:t>.000</w:t>
            </w:r>
          </w:p>
          <w:p w14:paraId="55EA7070" w14:textId="77777777" w:rsidR="002F171A" w:rsidRPr="00EF2F18" w:rsidRDefault="002F171A" w:rsidP="00752CA0">
            <w:pPr>
              <w:spacing w:after="0"/>
              <w:jc w:val="right"/>
              <w:rPr>
                <w:rFonts w:eastAsia="Times New Roman" w:cs="Times New Roman"/>
                <w:color w:val="000000"/>
                <w:sz w:val="20"/>
                <w:szCs w:val="20"/>
                <w:lang w:val="sr-Cyrl-RS" w:eastAsia="en-GB"/>
              </w:rPr>
            </w:pPr>
          </w:p>
          <w:p w14:paraId="7705EA54" w14:textId="77777777" w:rsidR="002F171A" w:rsidRPr="00EF2F18" w:rsidRDefault="002F171A" w:rsidP="00752CA0">
            <w:pPr>
              <w:spacing w:after="0"/>
              <w:jc w:val="right"/>
              <w:rPr>
                <w:rFonts w:eastAsia="Times New Roman" w:cs="Times New Roman"/>
                <w:color w:val="000000"/>
                <w:sz w:val="20"/>
                <w:szCs w:val="20"/>
                <w:lang w:val="sr-Cyrl-RS" w:eastAsia="en-GB"/>
              </w:rPr>
            </w:pPr>
          </w:p>
          <w:p w14:paraId="0C31C90C" w14:textId="55884C75" w:rsidR="002F171A" w:rsidRPr="00EF2F18" w:rsidRDefault="002F171A" w:rsidP="00752CA0">
            <w:pPr>
              <w:spacing w:after="0"/>
              <w:jc w:val="right"/>
              <w:rPr>
                <w:rFonts w:eastAsia="Times New Roman" w:cs="Times New Roman"/>
                <w:color w:val="000000"/>
                <w:sz w:val="20"/>
                <w:szCs w:val="20"/>
                <w:lang w:val="sr-Cyrl-RS" w:eastAsia="en-GB"/>
              </w:rPr>
            </w:pPr>
          </w:p>
        </w:tc>
        <w:tc>
          <w:tcPr>
            <w:tcW w:w="1800" w:type="dxa"/>
            <w:gridSpan w:val="2"/>
            <w:tcBorders>
              <w:top w:val="single" w:sz="4" w:space="0" w:color="auto"/>
              <w:left w:val="nil"/>
              <w:bottom w:val="single" w:sz="8" w:space="0" w:color="auto"/>
              <w:right w:val="double" w:sz="6" w:space="0" w:color="auto"/>
            </w:tcBorders>
            <w:hideMark/>
          </w:tcPr>
          <w:p w14:paraId="7E02782F" w14:textId="3857DF9F"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p w14:paraId="348F97B8" w14:textId="77777777" w:rsidR="002F171A" w:rsidRPr="00EF2F18" w:rsidRDefault="002F171A" w:rsidP="00752CA0">
            <w:pPr>
              <w:spacing w:after="0"/>
              <w:jc w:val="right"/>
              <w:rPr>
                <w:rFonts w:eastAsia="Times New Roman" w:cs="Times New Roman"/>
                <w:color w:val="000000"/>
                <w:sz w:val="20"/>
                <w:szCs w:val="20"/>
                <w:lang w:val="sr-Cyrl-RS" w:eastAsia="en-GB"/>
              </w:rPr>
            </w:pPr>
          </w:p>
          <w:p w14:paraId="6542A258" w14:textId="77777777" w:rsidR="002F171A" w:rsidRPr="00EF2F18" w:rsidRDefault="002F171A" w:rsidP="00752CA0">
            <w:pPr>
              <w:spacing w:after="0"/>
              <w:jc w:val="right"/>
              <w:rPr>
                <w:rFonts w:eastAsia="Times New Roman" w:cs="Times New Roman"/>
                <w:color w:val="000000"/>
                <w:sz w:val="20"/>
                <w:szCs w:val="20"/>
                <w:lang w:val="sr-Cyrl-RS" w:eastAsia="en-GB"/>
              </w:rPr>
            </w:pPr>
          </w:p>
          <w:p w14:paraId="6CFA8EB9" w14:textId="68EA1545" w:rsidR="002F171A" w:rsidRPr="00EF2F18" w:rsidRDefault="002F171A" w:rsidP="00752CA0">
            <w:pPr>
              <w:spacing w:after="0"/>
              <w:jc w:val="right"/>
              <w:rPr>
                <w:rFonts w:eastAsia="Times New Roman" w:cs="Times New Roman"/>
                <w:color w:val="000000"/>
                <w:sz w:val="20"/>
                <w:szCs w:val="20"/>
                <w:lang w:val="sr-Cyrl-RS" w:eastAsia="en-GB"/>
              </w:rPr>
            </w:pPr>
          </w:p>
        </w:tc>
      </w:tr>
      <w:tr w:rsidR="00595DB9" w:rsidRPr="00EF2F18" w14:paraId="6A3F75D8" w14:textId="77777777" w:rsidTr="00595DB9">
        <w:trPr>
          <w:trHeight w:val="1332"/>
        </w:trPr>
        <w:tc>
          <w:tcPr>
            <w:tcW w:w="1883" w:type="dxa"/>
            <w:tcBorders>
              <w:top w:val="nil"/>
              <w:left w:val="double" w:sz="6" w:space="0" w:color="auto"/>
              <w:bottom w:val="single" w:sz="8" w:space="0" w:color="auto"/>
              <w:right w:val="single" w:sz="8" w:space="0" w:color="auto"/>
            </w:tcBorders>
            <w:hideMark/>
          </w:tcPr>
          <w:p w14:paraId="0091709E"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4.1.2.4. Израда студија заштите за нова подручја и ревизију постојећих</w:t>
            </w:r>
          </w:p>
        </w:tc>
        <w:tc>
          <w:tcPr>
            <w:tcW w:w="1127" w:type="dxa"/>
            <w:tcBorders>
              <w:top w:val="nil"/>
              <w:left w:val="nil"/>
              <w:bottom w:val="single" w:sz="8" w:space="0" w:color="auto"/>
              <w:right w:val="single" w:sz="8" w:space="0" w:color="auto"/>
            </w:tcBorders>
            <w:hideMark/>
          </w:tcPr>
          <w:p w14:paraId="669A1E49"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9" w:type="dxa"/>
            <w:tcBorders>
              <w:top w:val="nil"/>
              <w:left w:val="nil"/>
              <w:bottom w:val="single" w:sz="8" w:space="0" w:color="auto"/>
              <w:right w:val="single" w:sz="8" w:space="0" w:color="auto"/>
            </w:tcBorders>
            <w:hideMark/>
          </w:tcPr>
          <w:p w14:paraId="4188BBE6"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ЗЗПС, ПЗЗП </w:t>
            </w:r>
          </w:p>
        </w:tc>
        <w:tc>
          <w:tcPr>
            <w:tcW w:w="1273" w:type="dxa"/>
            <w:tcBorders>
              <w:top w:val="nil"/>
              <w:left w:val="nil"/>
              <w:bottom w:val="single" w:sz="8" w:space="0" w:color="auto"/>
              <w:right w:val="single" w:sz="8" w:space="0" w:color="auto"/>
            </w:tcBorders>
            <w:hideMark/>
          </w:tcPr>
          <w:p w14:paraId="359D42A4"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6D12707B"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Средства су дефинисана у оквиру активности 4.1.2.3 </w:t>
            </w:r>
          </w:p>
        </w:tc>
        <w:tc>
          <w:tcPr>
            <w:tcW w:w="1340" w:type="dxa"/>
            <w:tcBorders>
              <w:top w:val="nil"/>
              <w:left w:val="nil"/>
              <w:bottom w:val="single" w:sz="8" w:space="0" w:color="auto"/>
              <w:right w:val="single" w:sz="8" w:space="0" w:color="auto"/>
            </w:tcBorders>
          </w:tcPr>
          <w:p w14:paraId="777215E4" w14:textId="63E4182F" w:rsidR="00595DB9" w:rsidRPr="00EF2F18" w:rsidRDefault="00595DB9" w:rsidP="00752CA0">
            <w:pPr>
              <w:spacing w:after="0"/>
              <w:rPr>
                <w:rFonts w:eastAsia="Times New Roman" w:cs="Times New Roman"/>
                <w:color w:val="000000"/>
                <w:sz w:val="20"/>
                <w:szCs w:val="20"/>
                <w:lang w:val="sr-Cyrl-RS" w:eastAsia="en-GB"/>
              </w:rPr>
            </w:pPr>
          </w:p>
        </w:tc>
        <w:tc>
          <w:tcPr>
            <w:tcW w:w="1554" w:type="dxa"/>
            <w:tcBorders>
              <w:top w:val="nil"/>
              <w:left w:val="nil"/>
              <w:bottom w:val="single" w:sz="8" w:space="0" w:color="auto"/>
              <w:right w:val="single" w:sz="8" w:space="0" w:color="auto"/>
            </w:tcBorders>
          </w:tcPr>
          <w:p w14:paraId="289AA12C" w14:textId="3C11D7C0" w:rsidR="00595DB9" w:rsidRPr="00EF2F18" w:rsidRDefault="00595DB9"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8" w:space="0" w:color="auto"/>
              <w:right w:val="single" w:sz="8" w:space="0" w:color="auto"/>
            </w:tcBorders>
          </w:tcPr>
          <w:p w14:paraId="4F25DF8A" w14:textId="35B6ACD9" w:rsidR="00595DB9" w:rsidRPr="00EF2F18" w:rsidRDefault="00595DB9" w:rsidP="00752CA0">
            <w:pPr>
              <w:spacing w:after="0"/>
              <w:jc w:val="right"/>
              <w:rPr>
                <w:rFonts w:eastAsia="Times New Roman" w:cs="Times New Roman"/>
                <w:color w:val="000000"/>
                <w:sz w:val="20"/>
                <w:szCs w:val="20"/>
                <w:lang w:val="sr-Cyrl-RS" w:eastAsia="en-GB"/>
              </w:rPr>
            </w:pPr>
          </w:p>
        </w:tc>
        <w:tc>
          <w:tcPr>
            <w:tcW w:w="1800" w:type="dxa"/>
            <w:gridSpan w:val="2"/>
            <w:tcBorders>
              <w:top w:val="nil"/>
              <w:left w:val="nil"/>
              <w:bottom w:val="single" w:sz="8" w:space="0" w:color="auto"/>
              <w:right w:val="double" w:sz="6" w:space="0" w:color="auto"/>
            </w:tcBorders>
          </w:tcPr>
          <w:p w14:paraId="7AFD80B4" w14:textId="57E98C42" w:rsidR="00595DB9" w:rsidRPr="00EF2F18" w:rsidRDefault="00595DB9" w:rsidP="00752CA0">
            <w:pPr>
              <w:spacing w:after="0"/>
              <w:jc w:val="right"/>
              <w:rPr>
                <w:rFonts w:eastAsia="Times New Roman" w:cs="Times New Roman"/>
                <w:color w:val="000000"/>
                <w:sz w:val="20"/>
                <w:szCs w:val="20"/>
                <w:lang w:val="sr-Cyrl-RS" w:eastAsia="en-GB"/>
              </w:rPr>
            </w:pPr>
          </w:p>
        </w:tc>
      </w:tr>
      <w:tr w:rsidR="00595DB9" w:rsidRPr="00EF2F18" w14:paraId="38B12577" w14:textId="77777777" w:rsidTr="00595DB9">
        <w:trPr>
          <w:trHeight w:val="1320"/>
        </w:trPr>
        <w:tc>
          <w:tcPr>
            <w:tcW w:w="1883" w:type="dxa"/>
            <w:vMerge w:val="restart"/>
            <w:tcBorders>
              <w:top w:val="single" w:sz="8" w:space="0" w:color="auto"/>
              <w:left w:val="double" w:sz="6" w:space="0" w:color="auto"/>
              <w:bottom w:val="double" w:sz="6" w:space="0" w:color="000000"/>
              <w:right w:val="single" w:sz="8" w:space="0" w:color="auto"/>
            </w:tcBorders>
            <w:hideMark/>
          </w:tcPr>
          <w:p w14:paraId="1F98D46F"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4.1.2.5. Рестаурација / обновљење блиско природних станишта применом решења заснованих на природи</w:t>
            </w:r>
          </w:p>
        </w:tc>
        <w:tc>
          <w:tcPr>
            <w:tcW w:w="1127" w:type="dxa"/>
            <w:vMerge w:val="restart"/>
            <w:tcBorders>
              <w:top w:val="single" w:sz="8" w:space="0" w:color="auto"/>
              <w:left w:val="single" w:sz="8" w:space="0" w:color="auto"/>
              <w:bottom w:val="double" w:sz="6" w:space="0" w:color="000000"/>
              <w:right w:val="single" w:sz="8" w:space="0" w:color="auto"/>
            </w:tcBorders>
            <w:hideMark/>
          </w:tcPr>
          <w:p w14:paraId="451A6E8E"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9" w:type="dxa"/>
            <w:vMerge w:val="restart"/>
            <w:tcBorders>
              <w:top w:val="single" w:sz="8" w:space="0" w:color="auto"/>
              <w:left w:val="single" w:sz="8" w:space="0" w:color="auto"/>
              <w:bottom w:val="double" w:sz="6" w:space="0" w:color="000000"/>
              <w:right w:val="single" w:sz="8" w:space="0" w:color="auto"/>
            </w:tcBorders>
            <w:hideMark/>
          </w:tcPr>
          <w:p w14:paraId="22101B53"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ЗЗПС, ПЗЗП, Управљачи </w:t>
            </w:r>
          </w:p>
        </w:tc>
        <w:tc>
          <w:tcPr>
            <w:tcW w:w="1273" w:type="dxa"/>
            <w:vMerge w:val="restart"/>
            <w:tcBorders>
              <w:top w:val="single" w:sz="8" w:space="0" w:color="auto"/>
              <w:left w:val="single" w:sz="8" w:space="0" w:color="auto"/>
              <w:bottom w:val="double" w:sz="6" w:space="0" w:color="000000"/>
              <w:right w:val="single" w:sz="8" w:space="0" w:color="auto"/>
            </w:tcBorders>
            <w:hideMark/>
          </w:tcPr>
          <w:p w14:paraId="5EF4FB8B"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8" w:space="0" w:color="auto"/>
              <w:left w:val="nil"/>
              <w:bottom w:val="nil"/>
              <w:right w:val="single" w:sz="8" w:space="0" w:color="auto"/>
            </w:tcBorders>
            <w:hideMark/>
          </w:tcPr>
          <w:p w14:paraId="7762ECC4"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су дефинисана у оквиру активности 4.1.2.3</w:t>
            </w:r>
          </w:p>
        </w:tc>
        <w:tc>
          <w:tcPr>
            <w:tcW w:w="1340" w:type="dxa"/>
            <w:tcBorders>
              <w:top w:val="single" w:sz="8" w:space="0" w:color="auto"/>
              <w:left w:val="nil"/>
              <w:bottom w:val="nil"/>
              <w:right w:val="single" w:sz="8" w:space="0" w:color="auto"/>
            </w:tcBorders>
          </w:tcPr>
          <w:p w14:paraId="29222346" w14:textId="3C7ED984" w:rsidR="00595DB9" w:rsidRPr="00EF2F18" w:rsidRDefault="00595DB9" w:rsidP="00752CA0">
            <w:pPr>
              <w:spacing w:after="0"/>
              <w:rPr>
                <w:rFonts w:eastAsia="Times New Roman" w:cs="Times New Roman"/>
                <w:color w:val="000000"/>
                <w:sz w:val="20"/>
                <w:szCs w:val="20"/>
                <w:lang w:val="sr-Cyrl-RS" w:eastAsia="en-GB"/>
              </w:rPr>
            </w:pPr>
          </w:p>
        </w:tc>
        <w:tc>
          <w:tcPr>
            <w:tcW w:w="1554" w:type="dxa"/>
            <w:tcBorders>
              <w:top w:val="single" w:sz="8" w:space="0" w:color="auto"/>
              <w:left w:val="nil"/>
              <w:bottom w:val="nil"/>
              <w:right w:val="single" w:sz="8" w:space="0" w:color="auto"/>
            </w:tcBorders>
          </w:tcPr>
          <w:p w14:paraId="0551480E" w14:textId="5BCD84E3" w:rsidR="00595DB9" w:rsidRPr="00EF2F18" w:rsidRDefault="00595DB9" w:rsidP="00752CA0">
            <w:pPr>
              <w:spacing w:after="0"/>
              <w:jc w:val="right"/>
              <w:rPr>
                <w:rFonts w:eastAsia="Times New Roman" w:cs="Times New Roman"/>
                <w:color w:val="000000"/>
                <w:sz w:val="20"/>
                <w:szCs w:val="20"/>
                <w:lang w:val="sr-Cyrl-RS" w:eastAsia="en-GB"/>
              </w:rPr>
            </w:pPr>
          </w:p>
        </w:tc>
        <w:tc>
          <w:tcPr>
            <w:tcW w:w="1710" w:type="dxa"/>
            <w:tcBorders>
              <w:top w:val="single" w:sz="8" w:space="0" w:color="auto"/>
              <w:left w:val="nil"/>
              <w:bottom w:val="nil"/>
              <w:right w:val="single" w:sz="8" w:space="0" w:color="auto"/>
            </w:tcBorders>
          </w:tcPr>
          <w:p w14:paraId="1A45E9ED" w14:textId="22E239BB" w:rsidR="00595DB9" w:rsidRPr="00EF2F18" w:rsidRDefault="00595DB9" w:rsidP="00752CA0">
            <w:pPr>
              <w:spacing w:after="0"/>
              <w:jc w:val="right"/>
              <w:rPr>
                <w:rFonts w:eastAsia="Times New Roman" w:cs="Times New Roman"/>
                <w:color w:val="000000"/>
                <w:sz w:val="20"/>
                <w:szCs w:val="20"/>
                <w:lang w:val="sr-Cyrl-RS" w:eastAsia="en-GB"/>
              </w:rPr>
            </w:pPr>
          </w:p>
        </w:tc>
        <w:tc>
          <w:tcPr>
            <w:tcW w:w="1800" w:type="dxa"/>
            <w:gridSpan w:val="2"/>
            <w:tcBorders>
              <w:top w:val="single" w:sz="8" w:space="0" w:color="auto"/>
              <w:left w:val="nil"/>
              <w:bottom w:val="nil"/>
              <w:right w:val="double" w:sz="6" w:space="0" w:color="auto"/>
            </w:tcBorders>
          </w:tcPr>
          <w:p w14:paraId="072BDC5A" w14:textId="4080A90D" w:rsidR="00595DB9" w:rsidRPr="00EF2F18" w:rsidRDefault="00595DB9" w:rsidP="00752CA0">
            <w:pPr>
              <w:spacing w:after="0"/>
              <w:jc w:val="right"/>
              <w:rPr>
                <w:rFonts w:eastAsia="Times New Roman" w:cs="Times New Roman"/>
                <w:color w:val="000000"/>
                <w:sz w:val="20"/>
                <w:szCs w:val="20"/>
                <w:lang w:val="sr-Cyrl-RS" w:eastAsia="en-GB"/>
              </w:rPr>
            </w:pPr>
          </w:p>
        </w:tc>
      </w:tr>
      <w:tr w:rsidR="00595DB9" w:rsidRPr="00EF2F18" w14:paraId="79FC030D" w14:textId="77777777" w:rsidTr="00595DB9">
        <w:trPr>
          <w:trHeight w:val="312"/>
        </w:trPr>
        <w:tc>
          <w:tcPr>
            <w:tcW w:w="1883" w:type="dxa"/>
            <w:vMerge/>
            <w:tcBorders>
              <w:top w:val="nil"/>
              <w:left w:val="double" w:sz="6" w:space="0" w:color="auto"/>
              <w:bottom w:val="double" w:sz="6" w:space="0" w:color="000000"/>
              <w:right w:val="single" w:sz="8" w:space="0" w:color="auto"/>
            </w:tcBorders>
            <w:vAlign w:val="center"/>
            <w:hideMark/>
          </w:tcPr>
          <w:p w14:paraId="7EF7059E" w14:textId="77777777" w:rsidR="00595DB9" w:rsidRPr="00EF2F18" w:rsidRDefault="00595DB9" w:rsidP="00752CA0">
            <w:pPr>
              <w:spacing w:after="0"/>
              <w:rPr>
                <w:rFonts w:eastAsia="Times New Roman" w:cs="Times New Roman"/>
                <w:color w:val="000000"/>
                <w:sz w:val="20"/>
                <w:szCs w:val="20"/>
                <w:lang w:val="sr-Cyrl-RS" w:eastAsia="en-GB"/>
              </w:rPr>
            </w:pPr>
          </w:p>
        </w:tc>
        <w:tc>
          <w:tcPr>
            <w:tcW w:w="1127" w:type="dxa"/>
            <w:vMerge/>
            <w:tcBorders>
              <w:top w:val="nil"/>
              <w:left w:val="single" w:sz="8" w:space="0" w:color="auto"/>
              <w:bottom w:val="double" w:sz="6" w:space="0" w:color="000000"/>
              <w:right w:val="single" w:sz="8" w:space="0" w:color="auto"/>
            </w:tcBorders>
            <w:vAlign w:val="center"/>
            <w:hideMark/>
          </w:tcPr>
          <w:p w14:paraId="659F71DC" w14:textId="77777777" w:rsidR="00595DB9" w:rsidRPr="00EF2F18" w:rsidRDefault="00595DB9" w:rsidP="00752CA0">
            <w:pPr>
              <w:spacing w:after="0"/>
              <w:rPr>
                <w:rFonts w:eastAsia="Times New Roman" w:cs="Times New Roman"/>
                <w:color w:val="000000"/>
                <w:sz w:val="20"/>
                <w:szCs w:val="20"/>
                <w:lang w:val="sr-Cyrl-RS" w:eastAsia="en-GB"/>
              </w:rPr>
            </w:pPr>
          </w:p>
        </w:tc>
        <w:tc>
          <w:tcPr>
            <w:tcW w:w="1279" w:type="dxa"/>
            <w:vMerge/>
            <w:tcBorders>
              <w:top w:val="nil"/>
              <w:left w:val="single" w:sz="8" w:space="0" w:color="auto"/>
              <w:bottom w:val="double" w:sz="6" w:space="0" w:color="000000"/>
              <w:right w:val="single" w:sz="8" w:space="0" w:color="auto"/>
            </w:tcBorders>
            <w:vAlign w:val="center"/>
            <w:hideMark/>
          </w:tcPr>
          <w:p w14:paraId="30E001AE" w14:textId="77777777" w:rsidR="00595DB9" w:rsidRPr="00EF2F18" w:rsidRDefault="00595DB9" w:rsidP="00752CA0">
            <w:pPr>
              <w:spacing w:after="0"/>
              <w:rPr>
                <w:rFonts w:eastAsia="Times New Roman" w:cs="Times New Roman"/>
                <w:color w:val="000000"/>
                <w:sz w:val="20"/>
                <w:szCs w:val="20"/>
                <w:lang w:val="sr-Cyrl-RS" w:eastAsia="en-GB"/>
              </w:rPr>
            </w:pPr>
          </w:p>
        </w:tc>
        <w:tc>
          <w:tcPr>
            <w:tcW w:w="1273" w:type="dxa"/>
            <w:vMerge/>
            <w:tcBorders>
              <w:top w:val="nil"/>
              <w:left w:val="single" w:sz="8" w:space="0" w:color="auto"/>
              <w:bottom w:val="double" w:sz="6" w:space="0" w:color="000000"/>
              <w:right w:val="single" w:sz="8" w:space="0" w:color="auto"/>
            </w:tcBorders>
            <w:vAlign w:val="center"/>
            <w:hideMark/>
          </w:tcPr>
          <w:p w14:paraId="1CAD3440" w14:textId="77777777" w:rsidR="00595DB9" w:rsidRPr="00EF2F18" w:rsidRDefault="00595DB9" w:rsidP="00752CA0">
            <w:pPr>
              <w:spacing w:after="0"/>
              <w:rPr>
                <w:rFonts w:eastAsia="Times New Roman" w:cs="Times New Roman"/>
                <w:color w:val="000000"/>
                <w:sz w:val="20"/>
                <w:szCs w:val="20"/>
                <w:lang w:val="sr-Cyrl-RS" w:eastAsia="en-GB"/>
              </w:rPr>
            </w:pPr>
          </w:p>
        </w:tc>
        <w:tc>
          <w:tcPr>
            <w:tcW w:w="1691" w:type="dxa"/>
            <w:tcBorders>
              <w:top w:val="nil"/>
              <w:left w:val="nil"/>
              <w:bottom w:val="nil"/>
              <w:right w:val="single" w:sz="8" w:space="0" w:color="auto"/>
            </w:tcBorders>
            <w:hideMark/>
          </w:tcPr>
          <w:p w14:paraId="3BBA2C07"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340" w:type="dxa"/>
            <w:tcBorders>
              <w:top w:val="nil"/>
              <w:left w:val="nil"/>
              <w:bottom w:val="nil"/>
              <w:right w:val="single" w:sz="8" w:space="0" w:color="auto"/>
            </w:tcBorders>
          </w:tcPr>
          <w:p w14:paraId="7037EBE5" w14:textId="495C1F52" w:rsidR="00595DB9" w:rsidRPr="00EF2F18" w:rsidRDefault="00595DB9" w:rsidP="00752CA0">
            <w:pPr>
              <w:spacing w:after="0"/>
              <w:rPr>
                <w:rFonts w:eastAsia="Times New Roman" w:cs="Times New Roman"/>
                <w:color w:val="000000"/>
                <w:sz w:val="20"/>
                <w:szCs w:val="20"/>
                <w:lang w:val="sr-Cyrl-RS" w:eastAsia="en-GB"/>
              </w:rPr>
            </w:pPr>
          </w:p>
        </w:tc>
        <w:tc>
          <w:tcPr>
            <w:tcW w:w="1554" w:type="dxa"/>
            <w:tcBorders>
              <w:top w:val="nil"/>
              <w:left w:val="nil"/>
              <w:bottom w:val="nil"/>
              <w:right w:val="single" w:sz="8" w:space="0" w:color="auto"/>
            </w:tcBorders>
          </w:tcPr>
          <w:p w14:paraId="39E42E02" w14:textId="321B1A09" w:rsidR="00595DB9" w:rsidRPr="00EF2F18" w:rsidRDefault="00595DB9"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nil"/>
              <w:right w:val="single" w:sz="8" w:space="0" w:color="auto"/>
            </w:tcBorders>
          </w:tcPr>
          <w:p w14:paraId="01C5E124" w14:textId="5896F3FD" w:rsidR="00595DB9" w:rsidRPr="00EF2F18" w:rsidRDefault="00595DB9" w:rsidP="00752CA0">
            <w:pPr>
              <w:spacing w:after="0"/>
              <w:jc w:val="right"/>
              <w:rPr>
                <w:rFonts w:eastAsia="Times New Roman" w:cs="Times New Roman"/>
                <w:color w:val="000000"/>
                <w:sz w:val="20"/>
                <w:szCs w:val="20"/>
                <w:lang w:val="sr-Cyrl-RS" w:eastAsia="en-GB"/>
              </w:rPr>
            </w:pPr>
          </w:p>
        </w:tc>
        <w:tc>
          <w:tcPr>
            <w:tcW w:w="1800" w:type="dxa"/>
            <w:gridSpan w:val="2"/>
            <w:tcBorders>
              <w:top w:val="nil"/>
              <w:left w:val="nil"/>
              <w:bottom w:val="nil"/>
              <w:right w:val="double" w:sz="6" w:space="0" w:color="auto"/>
            </w:tcBorders>
          </w:tcPr>
          <w:p w14:paraId="1F5AD076" w14:textId="696B688E" w:rsidR="00595DB9" w:rsidRPr="00EF2F18" w:rsidRDefault="00595DB9" w:rsidP="00752CA0">
            <w:pPr>
              <w:spacing w:after="0"/>
              <w:jc w:val="right"/>
              <w:rPr>
                <w:rFonts w:eastAsia="Times New Roman" w:cs="Times New Roman"/>
                <w:color w:val="000000"/>
                <w:sz w:val="20"/>
                <w:szCs w:val="20"/>
                <w:lang w:val="sr-Cyrl-RS" w:eastAsia="en-GB"/>
              </w:rPr>
            </w:pPr>
          </w:p>
        </w:tc>
      </w:tr>
      <w:tr w:rsidR="00595DB9" w:rsidRPr="00EF2F18" w14:paraId="0D8134B6" w14:textId="77777777" w:rsidTr="00595DB9">
        <w:trPr>
          <w:trHeight w:val="528"/>
        </w:trPr>
        <w:tc>
          <w:tcPr>
            <w:tcW w:w="1883" w:type="dxa"/>
            <w:vMerge/>
            <w:tcBorders>
              <w:top w:val="nil"/>
              <w:left w:val="double" w:sz="6" w:space="0" w:color="auto"/>
              <w:bottom w:val="double" w:sz="4" w:space="0" w:color="auto"/>
              <w:right w:val="single" w:sz="8" w:space="0" w:color="auto"/>
            </w:tcBorders>
            <w:vAlign w:val="center"/>
            <w:hideMark/>
          </w:tcPr>
          <w:p w14:paraId="540E05CE" w14:textId="77777777" w:rsidR="00595DB9" w:rsidRPr="00EF2F18" w:rsidRDefault="00595DB9" w:rsidP="00752CA0">
            <w:pPr>
              <w:spacing w:after="0"/>
              <w:rPr>
                <w:rFonts w:eastAsia="Times New Roman" w:cs="Times New Roman"/>
                <w:color w:val="000000"/>
                <w:sz w:val="20"/>
                <w:szCs w:val="20"/>
                <w:lang w:val="sr-Cyrl-RS" w:eastAsia="en-GB"/>
              </w:rPr>
            </w:pPr>
          </w:p>
        </w:tc>
        <w:tc>
          <w:tcPr>
            <w:tcW w:w="1127" w:type="dxa"/>
            <w:vMerge/>
            <w:tcBorders>
              <w:top w:val="nil"/>
              <w:left w:val="single" w:sz="8" w:space="0" w:color="auto"/>
              <w:bottom w:val="double" w:sz="4" w:space="0" w:color="auto"/>
              <w:right w:val="single" w:sz="8" w:space="0" w:color="auto"/>
            </w:tcBorders>
            <w:vAlign w:val="center"/>
            <w:hideMark/>
          </w:tcPr>
          <w:p w14:paraId="390181E2" w14:textId="77777777" w:rsidR="00595DB9" w:rsidRPr="00EF2F18" w:rsidRDefault="00595DB9" w:rsidP="00752CA0">
            <w:pPr>
              <w:spacing w:after="0"/>
              <w:rPr>
                <w:rFonts w:eastAsia="Times New Roman" w:cs="Times New Roman"/>
                <w:color w:val="000000"/>
                <w:sz w:val="20"/>
                <w:szCs w:val="20"/>
                <w:lang w:val="sr-Cyrl-RS" w:eastAsia="en-GB"/>
              </w:rPr>
            </w:pPr>
          </w:p>
        </w:tc>
        <w:tc>
          <w:tcPr>
            <w:tcW w:w="1279" w:type="dxa"/>
            <w:vMerge/>
            <w:tcBorders>
              <w:top w:val="nil"/>
              <w:left w:val="single" w:sz="8" w:space="0" w:color="auto"/>
              <w:bottom w:val="double" w:sz="4" w:space="0" w:color="auto"/>
              <w:right w:val="single" w:sz="8" w:space="0" w:color="auto"/>
            </w:tcBorders>
            <w:vAlign w:val="center"/>
            <w:hideMark/>
          </w:tcPr>
          <w:p w14:paraId="09E090F9" w14:textId="77777777" w:rsidR="00595DB9" w:rsidRPr="00EF2F18" w:rsidRDefault="00595DB9" w:rsidP="00752CA0">
            <w:pPr>
              <w:spacing w:after="0"/>
              <w:rPr>
                <w:rFonts w:eastAsia="Times New Roman" w:cs="Times New Roman"/>
                <w:color w:val="000000"/>
                <w:sz w:val="20"/>
                <w:szCs w:val="20"/>
                <w:lang w:val="sr-Cyrl-RS" w:eastAsia="en-GB"/>
              </w:rPr>
            </w:pPr>
          </w:p>
        </w:tc>
        <w:tc>
          <w:tcPr>
            <w:tcW w:w="1273" w:type="dxa"/>
            <w:vMerge/>
            <w:tcBorders>
              <w:top w:val="nil"/>
              <w:left w:val="single" w:sz="8" w:space="0" w:color="auto"/>
              <w:bottom w:val="double" w:sz="4" w:space="0" w:color="auto"/>
              <w:right w:val="single" w:sz="8" w:space="0" w:color="auto"/>
            </w:tcBorders>
            <w:vAlign w:val="center"/>
            <w:hideMark/>
          </w:tcPr>
          <w:p w14:paraId="07265A15" w14:textId="77777777" w:rsidR="00595DB9" w:rsidRPr="00EF2F18" w:rsidRDefault="00595DB9" w:rsidP="00752CA0">
            <w:pPr>
              <w:spacing w:after="0"/>
              <w:rPr>
                <w:rFonts w:eastAsia="Times New Roman" w:cs="Times New Roman"/>
                <w:color w:val="000000"/>
                <w:sz w:val="20"/>
                <w:szCs w:val="20"/>
                <w:lang w:val="sr-Cyrl-RS" w:eastAsia="en-GB"/>
              </w:rPr>
            </w:pPr>
          </w:p>
        </w:tc>
        <w:tc>
          <w:tcPr>
            <w:tcW w:w="1691" w:type="dxa"/>
            <w:tcBorders>
              <w:top w:val="nil"/>
              <w:left w:val="nil"/>
              <w:bottom w:val="double" w:sz="4" w:space="0" w:color="auto"/>
              <w:right w:val="single" w:sz="8" w:space="0" w:color="auto"/>
            </w:tcBorders>
            <w:hideMark/>
          </w:tcPr>
          <w:p w14:paraId="655A7EE4"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double" w:sz="4" w:space="0" w:color="auto"/>
              <w:right w:val="single" w:sz="8" w:space="0" w:color="auto"/>
            </w:tcBorders>
            <w:hideMark/>
          </w:tcPr>
          <w:p w14:paraId="5BC2D18F" w14:textId="77777777" w:rsidR="00595DB9" w:rsidRPr="00EF2F18" w:rsidRDefault="00595DB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0405-560-0001-463</w:t>
            </w:r>
          </w:p>
        </w:tc>
        <w:tc>
          <w:tcPr>
            <w:tcW w:w="1554" w:type="dxa"/>
            <w:tcBorders>
              <w:top w:val="nil"/>
              <w:left w:val="nil"/>
              <w:bottom w:val="double" w:sz="4" w:space="0" w:color="auto"/>
              <w:right w:val="single" w:sz="8" w:space="0" w:color="auto"/>
            </w:tcBorders>
            <w:hideMark/>
          </w:tcPr>
          <w:p w14:paraId="5F48FA13" w14:textId="77777777"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300.000</w:t>
            </w:r>
          </w:p>
        </w:tc>
        <w:tc>
          <w:tcPr>
            <w:tcW w:w="1710" w:type="dxa"/>
            <w:tcBorders>
              <w:top w:val="nil"/>
              <w:left w:val="nil"/>
              <w:bottom w:val="double" w:sz="4" w:space="0" w:color="auto"/>
              <w:right w:val="single" w:sz="8" w:space="0" w:color="auto"/>
            </w:tcBorders>
            <w:hideMark/>
          </w:tcPr>
          <w:p w14:paraId="0DAE9B99" w14:textId="3727168F" w:rsidR="00595DB9" w:rsidRPr="00EF2F18" w:rsidRDefault="003332E3"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w:t>
            </w:r>
            <w:r w:rsidR="00595DB9" w:rsidRPr="00EF2F18">
              <w:rPr>
                <w:rFonts w:eastAsia="Times New Roman" w:cs="Times New Roman"/>
                <w:color w:val="000000"/>
                <w:sz w:val="20"/>
                <w:szCs w:val="20"/>
                <w:lang w:val="sr-Cyrl-RS" w:eastAsia="en-GB"/>
              </w:rPr>
              <w:t>.000</w:t>
            </w:r>
          </w:p>
        </w:tc>
        <w:tc>
          <w:tcPr>
            <w:tcW w:w="1800" w:type="dxa"/>
            <w:gridSpan w:val="2"/>
            <w:tcBorders>
              <w:top w:val="nil"/>
              <w:left w:val="nil"/>
              <w:bottom w:val="double" w:sz="4" w:space="0" w:color="auto"/>
              <w:right w:val="double" w:sz="6" w:space="0" w:color="auto"/>
            </w:tcBorders>
            <w:hideMark/>
          </w:tcPr>
          <w:p w14:paraId="7E93F73F" w14:textId="1E2AB4A6" w:rsidR="00595DB9" w:rsidRPr="00EF2F18" w:rsidRDefault="00595D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300.000</w:t>
            </w:r>
          </w:p>
        </w:tc>
      </w:tr>
    </w:tbl>
    <w:p w14:paraId="30CFD14E" w14:textId="2F245260" w:rsidR="007D7243" w:rsidRPr="00EF2F18" w:rsidRDefault="00304D6D"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5B82B5A5" w14:textId="77777777" w:rsidR="00382D07" w:rsidRPr="00EF2F18" w:rsidRDefault="00382D07"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197"/>
        <w:gridCol w:w="1260"/>
        <w:gridCol w:w="1783"/>
        <w:gridCol w:w="17"/>
      </w:tblGrid>
      <w:tr w:rsidR="007D7243" w:rsidRPr="00EF2F18" w14:paraId="46EEEB26" w14:textId="77777777" w:rsidTr="008144B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2F9D771A"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lastRenderedPageBreak/>
              <w:t>Мера 4.1.3: Унапређење функционалне еколошке мреже у Републици Србији</w:t>
            </w:r>
          </w:p>
        </w:tc>
      </w:tr>
      <w:tr w:rsidR="007D7243" w:rsidRPr="00EF2F18" w14:paraId="1C266747" w14:textId="77777777" w:rsidTr="008144B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6BFEE50"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0E547B7D" w14:textId="77777777" w:rsidTr="008144B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0854DE12" w14:textId="54D32B06"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8144B4"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 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3AD812C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4E97712C" w14:textId="77777777" w:rsidTr="008144B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A122A2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05E8C9EE" w14:textId="059B7BD6" w:rsidR="007D7243" w:rsidRPr="00EF2F18" w:rsidRDefault="007D7243" w:rsidP="00752CA0">
            <w:pPr>
              <w:spacing w:after="0"/>
              <w:rPr>
                <w:rFonts w:ascii="Symbol" w:eastAsia="Times New Roman" w:hAnsi="Symbol" w:cs="Times New Roman"/>
                <w:color w:val="000000"/>
                <w:sz w:val="20"/>
                <w:szCs w:val="20"/>
                <w:lang w:val="sr-Cyrl-RS" w:eastAsia="en-GB"/>
              </w:rPr>
            </w:pPr>
            <w:r w:rsidRPr="00EF2F18">
              <w:rPr>
                <w:rFonts w:ascii="Symbol" w:eastAsia="Times New Roman" w:hAnsi="Symbol" w:cs="Times New Roman"/>
                <w:color w:val="000000"/>
                <w:sz w:val="20"/>
                <w:szCs w:val="20"/>
                <w:lang w:val="sr-Cyrl-RS" w:eastAsia="en-GB"/>
              </w:rPr>
              <w:t></w:t>
            </w:r>
            <w:r w:rsidR="00FA7222" w:rsidRPr="00EF2F18">
              <w:rPr>
                <w:rFonts w:eastAsia="Times New Roman" w:cs="Times New Roman"/>
                <w:color w:val="000000"/>
                <w:sz w:val="14"/>
                <w:szCs w:val="14"/>
                <w:lang w:val="sr-Cyrl-RS" w:eastAsia="en-GB"/>
              </w:rPr>
              <w:t xml:space="preserve">  </w:t>
            </w:r>
            <w:r w:rsidRPr="00EF2F18">
              <w:rPr>
                <w:rFonts w:eastAsia="Times New Roman" w:cs="Times New Roman"/>
                <w:color w:val="000000"/>
                <w:sz w:val="20"/>
                <w:szCs w:val="20"/>
                <w:lang w:val="sr-Cyrl-RS" w:eastAsia="en-GB"/>
              </w:rPr>
              <w:t>Уредба о еколошкој мрежи</w:t>
            </w:r>
          </w:p>
        </w:tc>
      </w:tr>
      <w:tr w:rsidR="008144B4" w:rsidRPr="00EF2F18" w14:paraId="3240BE71" w14:textId="77777777" w:rsidTr="008144B4">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22DD8A4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280F028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62E130D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741A7CBE"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3730756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197" w:type="dxa"/>
            <w:tcBorders>
              <w:top w:val="nil"/>
              <w:left w:val="nil"/>
              <w:bottom w:val="double" w:sz="6" w:space="0" w:color="auto"/>
              <w:right w:val="nil"/>
            </w:tcBorders>
            <w:shd w:val="clear" w:color="000000" w:fill="D9D9D9"/>
            <w:hideMark/>
          </w:tcPr>
          <w:p w14:paraId="2185B27C"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60" w:type="dxa"/>
            <w:tcBorders>
              <w:top w:val="nil"/>
              <w:left w:val="nil"/>
              <w:bottom w:val="double" w:sz="6" w:space="0" w:color="auto"/>
              <w:right w:val="single" w:sz="8" w:space="0" w:color="auto"/>
            </w:tcBorders>
            <w:shd w:val="clear" w:color="000000" w:fill="D9D9D9"/>
            <w:hideMark/>
          </w:tcPr>
          <w:p w14:paraId="211D0AF4"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tcBorders>
              <w:top w:val="nil"/>
              <w:left w:val="nil"/>
              <w:bottom w:val="double" w:sz="6" w:space="0" w:color="auto"/>
              <w:right w:val="double" w:sz="6" w:space="0" w:color="auto"/>
            </w:tcBorders>
            <w:shd w:val="clear" w:color="000000" w:fill="D9D9D9"/>
            <w:hideMark/>
          </w:tcPr>
          <w:p w14:paraId="7239E63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8144B4" w:rsidRPr="00EF2F18" w14:paraId="41E0FED8" w14:textId="77777777" w:rsidTr="003F2DF7">
        <w:trPr>
          <w:trHeight w:val="1608"/>
        </w:trPr>
        <w:tc>
          <w:tcPr>
            <w:tcW w:w="3320" w:type="dxa"/>
            <w:tcBorders>
              <w:top w:val="single" w:sz="4" w:space="0" w:color="auto"/>
              <w:left w:val="double" w:sz="6" w:space="0" w:color="auto"/>
              <w:bottom w:val="single" w:sz="8" w:space="0" w:color="auto"/>
              <w:right w:val="single" w:sz="8" w:space="0" w:color="auto"/>
            </w:tcBorders>
            <w:shd w:val="clear" w:color="000000" w:fill="FFFFFF"/>
            <w:hideMark/>
          </w:tcPr>
          <w:p w14:paraId="78D6CA6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Укупан број врста за које су утврђена еколошки значајна подручја pSCIs (укупно за биљке, животиње и птице)</w:t>
            </w:r>
          </w:p>
        </w:tc>
        <w:tc>
          <w:tcPr>
            <w:tcW w:w="1280" w:type="dxa"/>
            <w:tcBorders>
              <w:top w:val="single" w:sz="4" w:space="0" w:color="auto"/>
              <w:left w:val="nil"/>
              <w:bottom w:val="single" w:sz="8" w:space="0" w:color="auto"/>
              <w:right w:val="single" w:sz="8" w:space="0" w:color="auto"/>
            </w:tcBorders>
            <w:shd w:val="clear" w:color="000000" w:fill="FFFFFF"/>
            <w:hideMark/>
          </w:tcPr>
          <w:p w14:paraId="631F5A4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single" w:sz="4" w:space="0" w:color="auto"/>
              <w:left w:val="nil"/>
              <w:bottom w:val="single" w:sz="8" w:space="0" w:color="auto"/>
              <w:right w:val="single" w:sz="8" w:space="0" w:color="auto"/>
            </w:tcBorders>
            <w:shd w:val="clear" w:color="000000" w:fill="FFFFFF"/>
            <w:hideMark/>
          </w:tcPr>
          <w:p w14:paraId="44D68099"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АЗЖС, Извештај ЗЗПС, Извештај ПЗЗП</w:t>
            </w:r>
          </w:p>
        </w:tc>
        <w:tc>
          <w:tcPr>
            <w:tcW w:w="2000" w:type="dxa"/>
            <w:gridSpan w:val="2"/>
            <w:tcBorders>
              <w:top w:val="single" w:sz="4" w:space="0" w:color="auto"/>
              <w:left w:val="nil"/>
              <w:bottom w:val="single" w:sz="8" w:space="0" w:color="auto"/>
              <w:right w:val="single" w:sz="8" w:space="0" w:color="000000"/>
            </w:tcBorders>
            <w:shd w:val="clear" w:color="000000" w:fill="FFFFFF"/>
            <w:hideMark/>
          </w:tcPr>
          <w:p w14:paraId="741059A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273</w:t>
            </w:r>
          </w:p>
        </w:tc>
        <w:tc>
          <w:tcPr>
            <w:tcW w:w="1520" w:type="dxa"/>
            <w:tcBorders>
              <w:top w:val="single" w:sz="4" w:space="0" w:color="auto"/>
              <w:left w:val="nil"/>
              <w:bottom w:val="single" w:sz="8" w:space="0" w:color="auto"/>
              <w:right w:val="single" w:sz="8" w:space="0" w:color="auto"/>
            </w:tcBorders>
            <w:shd w:val="clear" w:color="000000" w:fill="FFFFFF"/>
            <w:hideMark/>
          </w:tcPr>
          <w:p w14:paraId="324B4C7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97" w:type="dxa"/>
            <w:tcBorders>
              <w:top w:val="single" w:sz="4" w:space="0" w:color="auto"/>
              <w:left w:val="single" w:sz="4" w:space="0" w:color="auto"/>
              <w:bottom w:val="single" w:sz="8" w:space="0" w:color="auto"/>
              <w:right w:val="single" w:sz="8" w:space="0" w:color="auto"/>
            </w:tcBorders>
            <w:shd w:val="clear" w:color="000000" w:fill="FFFFFF"/>
            <w:hideMark/>
          </w:tcPr>
          <w:p w14:paraId="61C201D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278</w:t>
            </w:r>
          </w:p>
        </w:tc>
        <w:tc>
          <w:tcPr>
            <w:tcW w:w="1260" w:type="dxa"/>
            <w:tcBorders>
              <w:top w:val="single" w:sz="4" w:space="0" w:color="auto"/>
              <w:left w:val="nil"/>
              <w:bottom w:val="single" w:sz="8" w:space="0" w:color="auto"/>
              <w:right w:val="single" w:sz="8" w:space="0" w:color="auto"/>
            </w:tcBorders>
            <w:shd w:val="clear" w:color="000000" w:fill="FFFFFF"/>
            <w:hideMark/>
          </w:tcPr>
          <w:p w14:paraId="6ACDEA6D"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280</w:t>
            </w:r>
          </w:p>
        </w:tc>
        <w:tc>
          <w:tcPr>
            <w:tcW w:w="1800" w:type="dxa"/>
            <w:gridSpan w:val="2"/>
            <w:tcBorders>
              <w:top w:val="single" w:sz="4" w:space="0" w:color="auto"/>
              <w:left w:val="nil"/>
              <w:bottom w:val="single" w:sz="8" w:space="0" w:color="auto"/>
              <w:right w:val="double" w:sz="6" w:space="0" w:color="auto"/>
            </w:tcBorders>
            <w:shd w:val="clear" w:color="000000" w:fill="FFFFFF"/>
            <w:hideMark/>
          </w:tcPr>
          <w:p w14:paraId="78A73674"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282</w:t>
            </w:r>
          </w:p>
        </w:tc>
      </w:tr>
      <w:tr w:rsidR="008144B4" w:rsidRPr="00EF2F18" w14:paraId="4C44AF04" w14:textId="77777777" w:rsidTr="008144B4">
        <w:trPr>
          <w:trHeight w:val="1596"/>
        </w:trPr>
        <w:tc>
          <w:tcPr>
            <w:tcW w:w="3320" w:type="dxa"/>
            <w:tcBorders>
              <w:top w:val="nil"/>
              <w:left w:val="double" w:sz="6" w:space="0" w:color="auto"/>
              <w:bottom w:val="double" w:sz="6" w:space="0" w:color="auto"/>
              <w:right w:val="single" w:sz="8" w:space="0" w:color="auto"/>
            </w:tcBorders>
            <w:shd w:val="clear" w:color="000000" w:fill="FFFFFF"/>
            <w:hideMark/>
          </w:tcPr>
          <w:p w14:paraId="6F9D844D"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Укупан број типова станишта за које су утврђена еколошки значајна подручја pSPA</w:t>
            </w:r>
          </w:p>
        </w:tc>
        <w:tc>
          <w:tcPr>
            <w:tcW w:w="1280" w:type="dxa"/>
            <w:tcBorders>
              <w:top w:val="nil"/>
              <w:left w:val="nil"/>
              <w:bottom w:val="double" w:sz="6" w:space="0" w:color="auto"/>
              <w:right w:val="single" w:sz="8" w:space="0" w:color="auto"/>
            </w:tcBorders>
            <w:shd w:val="clear" w:color="000000" w:fill="FFFFFF"/>
            <w:hideMark/>
          </w:tcPr>
          <w:p w14:paraId="08E96407"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7CAF234D"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АЗЖС, Извештај ЗЗПС, Извештај ПЗЗП</w:t>
            </w:r>
          </w:p>
        </w:tc>
        <w:tc>
          <w:tcPr>
            <w:tcW w:w="2000" w:type="dxa"/>
            <w:gridSpan w:val="2"/>
            <w:tcBorders>
              <w:top w:val="single" w:sz="8" w:space="0" w:color="auto"/>
              <w:left w:val="nil"/>
              <w:bottom w:val="double" w:sz="6" w:space="0" w:color="auto"/>
              <w:right w:val="single" w:sz="8" w:space="0" w:color="000000"/>
            </w:tcBorders>
            <w:shd w:val="clear" w:color="000000" w:fill="FFFFFF"/>
            <w:hideMark/>
          </w:tcPr>
          <w:p w14:paraId="65EA3B1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w:t>
            </w:r>
          </w:p>
        </w:tc>
        <w:tc>
          <w:tcPr>
            <w:tcW w:w="1520" w:type="dxa"/>
            <w:tcBorders>
              <w:top w:val="nil"/>
              <w:left w:val="nil"/>
              <w:bottom w:val="double" w:sz="6" w:space="0" w:color="auto"/>
              <w:right w:val="single" w:sz="8" w:space="0" w:color="auto"/>
            </w:tcBorders>
            <w:shd w:val="clear" w:color="000000" w:fill="FFFFFF"/>
            <w:hideMark/>
          </w:tcPr>
          <w:p w14:paraId="65EA57A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97" w:type="dxa"/>
            <w:tcBorders>
              <w:top w:val="single" w:sz="8" w:space="0" w:color="auto"/>
              <w:left w:val="single" w:sz="4" w:space="0" w:color="auto"/>
              <w:bottom w:val="double" w:sz="6" w:space="0" w:color="auto"/>
              <w:right w:val="single" w:sz="8" w:space="0" w:color="auto"/>
            </w:tcBorders>
            <w:shd w:val="clear" w:color="000000" w:fill="FFFFFF"/>
            <w:hideMark/>
          </w:tcPr>
          <w:p w14:paraId="7C2A1CD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w:t>
            </w:r>
          </w:p>
        </w:tc>
        <w:tc>
          <w:tcPr>
            <w:tcW w:w="1260" w:type="dxa"/>
            <w:tcBorders>
              <w:top w:val="nil"/>
              <w:left w:val="nil"/>
              <w:bottom w:val="double" w:sz="6" w:space="0" w:color="auto"/>
              <w:right w:val="single" w:sz="8" w:space="0" w:color="auto"/>
            </w:tcBorders>
            <w:shd w:val="clear" w:color="000000" w:fill="FFFFFF"/>
            <w:hideMark/>
          </w:tcPr>
          <w:p w14:paraId="76A11AF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65</w:t>
            </w:r>
          </w:p>
        </w:tc>
        <w:tc>
          <w:tcPr>
            <w:tcW w:w="1800" w:type="dxa"/>
            <w:gridSpan w:val="2"/>
            <w:tcBorders>
              <w:top w:val="nil"/>
              <w:left w:val="nil"/>
              <w:bottom w:val="double" w:sz="6" w:space="0" w:color="auto"/>
              <w:right w:val="double" w:sz="6" w:space="0" w:color="auto"/>
            </w:tcBorders>
            <w:shd w:val="clear" w:color="000000" w:fill="FFFFFF"/>
            <w:hideMark/>
          </w:tcPr>
          <w:p w14:paraId="1D93DAFC"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66</w:t>
            </w:r>
          </w:p>
        </w:tc>
      </w:tr>
    </w:tbl>
    <w:p w14:paraId="01FB1282" w14:textId="77777777" w:rsidR="007D7243" w:rsidRPr="00EF2F18" w:rsidRDefault="007D7243" w:rsidP="007D7243">
      <w:pPr>
        <w:spacing w:after="0"/>
        <w:rPr>
          <w:rFonts w:cs="Times New Roman"/>
          <w:sz w:val="20"/>
          <w:szCs w:val="20"/>
          <w:lang w:val="sr-Cyrl-RS"/>
        </w:rPr>
      </w:pPr>
    </w:p>
    <w:p w14:paraId="7568B6BC" w14:textId="77777777" w:rsidR="00382D07" w:rsidRPr="00EF2F18" w:rsidRDefault="00382D07" w:rsidP="007D7243">
      <w:pPr>
        <w:spacing w:after="0"/>
        <w:rPr>
          <w:rFonts w:cs="Times New Roman"/>
          <w:sz w:val="20"/>
          <w:szCs w:val="20"/>
          <w:lang w:val="sr-Cyrl-RS"/>
        </w:rPr>
      </w:pPr>
    </w:p>
    <w:tbl>
      <w:tblPr>
        <w:tblW w:w="13585" w:type="dxa"/>
        <w:tblLook w:val="04A0" w:firstRow="1" w:lastRow="0" w:firstColumn="1" w:lastColumn="0" w:noHBand="0" w:noVBand="1"/>
      </w:tblPr>
      <w:tblGrid>
        <w:gridCol w:w="3946"/>
        <w:gridCol w:w="2480"/>
        <w:gridCol w:w="2551"/>
        <w:gridCol w:w="2160"/>
        <w:gridCol w:w="2430"/>
        <w:gridCol w:w="18"/>
      </w:tblGrid>
      <w:tr w:rsidR="007D7243" w:rsidRPr="00EF2F18" w14:paraId="7088385E" w14:textId="77777777" w:rsidTr="00752CA0">
        <w:trPr>
          <w:trHeight w:val="336"/>
        </w:trPr>
        <w:tc>
          <w:tcPr>
            <w:tcW w:w="394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801C7D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75C48F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159" w:type="dxa"/>
            <w:gridSpan w:val="4"/>
            <w:tcBorders>
              <w:top w:val="double" w:sz="6" w:space="0" w:color="auto"/>
              <w:left w:val="nil"/>
              <w:bottom w:val="double" w:sz="6" w:space="0" w:color="auto"/>
              <w:right w:val="double" w:sz="6" w:space="0" w:color="auto"/>
            </w:tcBorders>
            <w:shd w:val="clear" w:color="000000" w:fill="A8D08D"/>
            <w:hideMark/>
          </w:tcPr>
          <w:p w14:paraId="4A671B1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8144B4" w:rsidRPr="00EF2F18" w14:paraId="5476B7D6" w14:textId="77777777" w:rsidTr="008144B4">
        <w:trPr>
          <w:gridAfter w:val="1"/>
          <w:wAfter w:w="18" w:type="dxa"/>
          <w:trHeight w:val="336"/>
        </w:trPr>
        <w:tc>
          <w:tcPr>
            <w:tcW w:w="3946" w:type="dxa"/>
            <w:vMerge/>
            <w:tcBorders>
              <w:top w:val="double" w:sz="6" w:space="0" w:color="auto"/>
              <w:left w:val="double" w:sz="6" w:space="0" w:color="auto"/>
              <w:bottom w:val="single" w:sz="8" w:space="0" w:color="000000"/>
              <w:right w:val="double" w:sz="6" w:space="0" w:color="auto"/>
            </w:tcBorders>
            <w:hideMark/>
          </w:tcPr>
          <w:p w14:paraId="34E7729F" w14:textId="77777777" w:rsidR="008144B4" w:rsidRPr="00EF2F18" w:rsidRDefault="008144B4"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hideMark/>
          </w:tcPr>
          <w:p w14:paraId="2E251CFF" w14:textId="77777777" w:rsidR="008144B4" w:rsidRPr="00EF2F18" w:rsidRDefault="008144B4" w:rsidP="00752CA0">
            <w:pPr>
              <w:spacing w:after="0"/>
              <w:rPr>
                <w:rFonts w:eastAsia="Times New Roman" w:cs="Times New Roman"/>
                <w:color w:val="000000"/>
                <w:sz w:val="20"/>
                <w:szCs w:val="20"/>
                <w:lang w:val="sr-Cyrl-RS" w:eastAsia="en-GB"/>
              </w:rPr>
            </w:pPr>
          </w:p>
        </w:tc>
        <w:tc>
          <w:tcPr>
            <w:tcW w:w="2551" w:type="dxa"/>
            <w:tcBorders>
              <w:top w:val="nil"/>
              <w:left w:val="nil"/>
              <w:bottom w:val="double" w:sz="6" w:space="0" w:color="auto"/>
              <w:right w:val="double" w:sz="6" w:space="0" w:color="auto"/>
            </w:tcBorders>
            <w:shd w:val="clear" w:color="000000" w:fill="A8D08D"/>
            <w:hideMark/>
          </w:tcPr>
          <w:p w14:paraId="15148EEB" w14:textId="6276DFFB"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50BB9035" w14:textId="6CFF4A1C"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430" w:type="dxa"/>
            <w:tcBorders>
              <w:top w:val="nil"/>
              <w:left w:val="nil"/>
              <w:bottom w:val="double" w:sz="6" w:space="0" w:color="auto"/>
              <w:right w:val="double" w:sz="6" w:space="0" w:color="auto"/>
            </w:tcBorders>
            <w:shd w:val="clear" w:color="000000" w:fill="A8D08D"/>
            <w:hideMark/>
          </w:tcPr>
          <w:p w14:paraId="46981BFE" w14:textId="3D44AD63"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8144B4" w:rsidRPr="00EF2F18" w14:paraId="7ECFA7DF" w14:textId="77777777" w:rsidTr="008144B4">
        <w:trPr>
          <w:gridAfter w:val="1"/>
          <w:wAfter w:w="18" w:type="dxa"/>
          <w:trHeight w:val="324"/>
        </w:trPr>
        <w:tc>
          <w:tcPr>
            <w:tcW w:w="3946" w:type="dxa"/>
            <w:tcBorders>
              <w:top w:val="nil"/>
              <w:left w:val="double" w:sz="6" w:space="0" w:color="auto"/>
              <w:bottom w:val="double" w:sz="6" w:space="0" w:color="auto"/>
              <w:right w:val="double" w:sz="6" w:space="0" w:color="auto"/>
            </w:tcBorders>
            <w:shd w:val="clear" w:color="000000" w:fill="FFFFFF"/>
            <w:hideMark/>
          </w:tcPr>
          <w:p w14:paraId="69778167"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28AC458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551" w:type="dxa"/>
            <w:tcBorders>
              <w:top w:val="nil"/>
              <w:left w:val="nil"/>
              <w:bottom w:val="double" w:sz="6" w:space="0" w:color="auto"/>
              <w:right w:val="double" w:sz="6" w:space="0" w:color="auto"/>
            </w:tcBorders>
          </w:tcPr>
          <w:p w14:paraId="532DCD1A" w14:textId="5C4739BE" w:rsidR="008144B4" w:rsidRPr="00EF2F18" w:rsidRDefault="008144B4" w:rsidP="00752CA0">
            <w:pPr>
              <w:spacing w:after="0"/>
              <w:jc w:val="right"/>
              <w:rPr>
                <w:rFonts w:eastAsia="Times New Roman" w:cs="Times New Roman"/>
                <w:color w:val="000000"/>
                <w:sz w:val="20"/>
                <w:szCs w:val="20"/>
                <w:lang w:val="sr-Cyrl-RS" w:eastAsia="en-GB"/>
              </w:rPr>
            </w:pPr>
          </w:p>
        </w:tc>
        <w:tc>
          <w:tcPr>
            <w:tcW w:w="2160" w:type="dxa"/>
            <w:tcBorders>
              <w:top w:val="nil"/>
              <w:left w:val="nil"/>
              <w:bottom w:val="double" w:sz="6" w:space="0" w:color="auto"/>
              <w:right w:val="double" w:sz="6" w:space="0" w:color="auto"/>
            </w:tcBorders>
          </w:tcPr>
          <w:p w14:paraId="1F222F98" w14:textId="69E6F4B9" w:rsidR="008144B4" w:rsidRPr="00EF2F18" w:rsidRDefault="008144B4" w:rsidP="00752CA0">
            <w:pPr>
              <w:spacing w:after="0"/>
              <w:jc w:val="right"/>
              <w:rPr>
                <w:rFonts w:eastAsia="Times New Roman" w:cs="Times New Roman"/>
                <w:color w:val="000000"/>
                <w:sz w:val="20"/>
                <w:szCs w:val="20"/>
                <w:lang w:val="sr-Cyrl-RS" w:eastAsia="en-GB"/>
              </w:rPr>
            </w:pPr>
          </w:p>
        </w:tc>
        <w:tc>
          <w:tcPr>
            <w:tcW w:w="2430" w:type="dxa"/>
            <w:tcBorders>
              <w:top w:val="nil"/>
              <w:left w:val="nil"/>
              <w:bottom w:val="double" w:sz="6" w:space="0" w:color="auto"/>
              <w:right w:val="double" w:sz="6" w:space="0" w:color="auto"/>
            </w:tcBorders>
            <w:shd w:val="clear" w:color="000000" w:fill="FFFFFF"/>
          </w:tcPr>
          <w:p w14:paraId="7D88A931" w14:textId="6E2A5AB6"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20A55B9B" w14:textId="77777777" w:rsidTr="008144B4">
        <w:trPr>
          <w:gridAfter w:val="1"/>
          <w:wAfter w:w="18" w:type="dxa"/>
          <w:trHeight w:val="324"/>
        </w:trPr>
        <w:tc>
          <w:tcPr>
            <w:tcW w:w="3946" w:type="dxa"/>
            <w:tcBorders>
              <w:top w:val="nil"/>
              <w:left w:val="double" w:sz="6" w:space="0" w:color="auto"/>
              <w:bottom w:val="double" w:sz="6" w:space="0" w:color="auto"/>
              <w:right w:val="double" w:sz="6" w:space="0" w:color="auto"/>
            </w:tcBorders>
            <w:shd w:val="clear" w:color="000000" w:fill="FFFFFF"/>
          </w:tcPr>
          <w:p w14:paraId="7F68059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tcBorders>
              <w:top w:val="nil"/>
              <w:left w:val="nil"/>
              <w:bottom w:val="double" w:sz="6" w:space="0" w:color="auto"/>
              <w:right w:val="double" w:sz="6" w:space="0" w:color="auto"/>
            </w:tcBorders>
            <w:shd w:val="clear" w:color="000000" w:fill="FFFFFF"/>
          </w:tcPr>
          <w:p w14:paraId="54AAEA70"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2551" w:type="dxa"/>
            <w:tcBorders>
              <w:top w:val="nil"/>
              <w:left w:val="nil"/>
              <w:bottom w:val="double" w:sz="6" w:space="0" w:color="auto"/>
              <w:right w:val="double" w:sz="6" w:space="0" w:color="auto"/>
            </w:tcBorders>
          </w:tcPr>
          <w:p w14:paraId="1A015F6D"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2160" w:type="dxa"/>
            <w:tcBorders>
              <w:top w:val="nil"/>
              <w:left w:val="nil"/>
              <w:bottom w:val="double" w:sz="6" w:space="0" w:color="auto"/>
              <w:right w:val="double" w:sz="6" w:space="0" w:color="auto"/>
            </w:tcBorders>
          </w:tcPr>
          <w:p w14:paraId="41B688C7"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2430" w:type="dxa"/>
            <w:tcBorders>
              <w:top w:val="nil"/>
              <w:left w:val="nil"/>
              <w:bottom w:val="double" w:sz="6" w:space="0" w:color="auto"/>
              <w:right w:val="double" w:sz="6" w:space="0" w:color="auto"/>
            </w:tcBorders>
            <w:shd w:val="clear" w:color="000000" w:fill="FFFFFF"/>
          </w:tcPr>
          <w:p w14:paraId="12AA0C45" w14:textId="5C85500D"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r>
      <w:tr w:rsidR="008144B4" w:rsidRPr="00EF2F18" w14:paraId="403A0B49" w14:textId="77777777" w:rsidTr="008144B4">
        <w:trPr>
          <w:gridAfter w:val="1"/>
          <w:wAfter w:w="18" w:type="dxa"/>
          <w:trHeight w:val="336"/>
        </w:trPr>
        <w:tc>
          <w:tcPr>
            <w:tcW w:w="3946" w:type="dxa"/>
            <w:tcBorders>
              <w:top w:val="nil"/>
              <w:left w:val="double" w:sz="6" w:space="0" w:color="auto"/>
              <w:bottom w:val="double" w:sz="6" w:space="0" w:color="auto"/>
              <w:right w:val="double" w:sz="6" w:space="0" w:color="auto"/>
            </w:tcBorders>
            <w:shd w:val="clear" w:color="000000" w:fill="FFFFFF"/>
            <w:hideMark/>
          </w:tcPr>
          <w:p w14:paraId="02B8070E"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tcBorders>
              <w:top w:val="nil"/>
              <w:left w:val="nil"/>
              <w:bottom w:val="double" w:sz="6" w:space="0" w:color="auto"/>
              <w:right w:val="double" w:sz="6" w:space="0" w:color="auto"/>
            </w:tcBorders>
            <w:shd w:val="clear" w:color="000000" w:fill="FFFFFF"/>
            <w:hideMark/>
          </w:tcPr>
          <w:p w14:paraId="68F34AF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0405-560-0002-451</w:t>
            </w:r>
          </w:p>
        </w:tc>
        <w:tc>
          <w:tcPr>
            <w:tcW w:w="2551" w:type="dxa"/>
            <w:tcBorders>
              <w:top w:val="nil"/>
              <w:left w:val="nil"/>
              <w:bottom w:val="double" w:sz="6" w:space="0" w:color="auto"/>
              <w:right w:val="double" w:sz="6" w:space="0" w:color="auto"/>
            </w:tcBorders>
            <w:hideMark/>
          </w:tcPr>
          <w:p w14:paraId="2AC4364F"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2160" w:type="dxa"/>
            <w:tcBorders>
              <w:top w:val="nil"/>
              <w:left w:val="nil"/>
              <w:bottom w:val="double" w:sz="6" w:space="0" w:color="auto"/>
              <w:right w:val="double" w:sz="6" w:space="0" w:color="auto"/>
            </w:tcBorders>
            <w:hideMark/>
          </w:tcPr>
          <w:p w14:paraId="446447A5"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2430" w:type="dxa"/>
            <w:tcBorders>
              <w:top w:val="nil"/>
              <w:left w:val="nil"/>
              <w:bottom w:val="double" w:sz="6" w:space="0" w:color="auto"/>
              <w:right w:val="double" w:sz="6" w:space="0" w:color="auto"/>
            </w:tcBorders>
            <w:shd w:val="clear" w:color="000000" w:fill="FFFFFF"/>
            <w:hideMark/>
          </w:tcPr>
          <w:p w14:paraId="561D61B4" w14:textId="015CE721"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r>
    </w:tbl>
    <w:p w14:paraId="0DCFC1A5" w14:textId="77777777" w:rsidR="007D7243" w:rsidRPr="00EF2F18" w:rsidRDefault="007D7243" w:rsidP="007D7243">
      <w:pPr>
        <w:spacing w:after="0"/>
        <w:rPr>
          <w:sz w:val="20"/>
          <w:szCs w:val="20"/>
          <w:lang w:val="sr-Cyrl-RS"/>
        </w:rPr>
      </w:pPr>
    </w:p>
    <w:tbl>
      <w:tblPr>
        <w:tblW w:w="13567" w:type="dxa"/>
        <w:tblLook w:val="04A0" w:firstRow="1" w:lastRow="0" w:firstColumn="1" w:lastColumn="0" w:noHBand="0" w:noVBand="1"/>
      </w:tblPr>
      <w:tblGrid>
        <w:gridCol w:w="2613"/>
        <w:gridCol w:w="1244"/>
        <w:gridCol w:w="1371"/>
        <w:gridCol w:w="1323"/>
        <w:gridCol w:w="1691"/>
        <w:gridCol w:w="1340"/>
        <w:gridCol w:w="1285"/>
        <w:gridCol w:w="1260"/>
        <w:gridCol w:w="1440"/>
      </w:tblGrid>
      <w:tr w:rsidR="007D7243" w:rsidRPr="00EF2F18" w14:paraId="580617EB" w14:textId="77777777" w:rsidTr="008144B4">
        <w:trPr>
          <w:trHeight w:val="732"/>
        </w:trPr>
        <w:tc>
          <w:tcPr>
            <w:tcW w:w="261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76448D6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44"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EF1F75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37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3ABC5A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32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FCACF8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288D79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6C3C2B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985" w:type="dxa"/>
            <w:gridSpan w:val="3"/>
            <w:tcBorders>
              <w:top w:val="double" w:sz="6" w:space="0" w:color="auto"/>
              <w:left w:val="nil"/>
              <w:bottom w:val="single" w:sz="8" w:space="0" w:color="auto"/>
              <w:right w:val="double" w:sz="6" w:space="0" w:color="auto"/>
            </w:tcBorders>
            <w:shd w:val="clear" w:color="000000" w:fill="FFF2CC"/>
            <w:hideMark/>
          </w:tcPr>
          <w:p w14:paraId="5F12319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8144B4" w:rsidRPr="00EF2F18" w14:paraId="1D3B4314" w14:textId="77777777" w:rsidTr="008144B4">
        <w:trPr>
          <w:trHeight w:val="324"/>
        </w:trPr>
        <w:tc>
          <w:tcPr>
            <w:tcW w:w="2613" w:type="dxa"/>
            <w:vMerge/>
            <w:tcBorders>
              <w:top w:val="double" w:sz="6" w:space="0" w:color="auto"/>
              <w:left w:val="double" w:sz="6" w:space="0" w:color="auto"/>
              <w:bottom w:val="single" w:sz="8" w:space="0" w:color="000000"/>
              <w:right w:val="single" w:sz="8" w:space="0" w:color="auto"/>
            </w:tcBorders>
            <w:vAlign w:val="center"/>
            <w:hideMark/>
          </w:tcPr>
          <w:p w14:paraId="7CD081F0" w14:textId="77777777" w:rsidR="008144B4" w:rsidRPr="00EF2F18" w:rsidRDefault="008144B4" w:rsidP="00752CA0">
            <w:pPr>
              <w:spacing w:after="0"/>
              <w:rPr>
                <w:rFonts w:eastAsia="Times New Roman" w:cs="Times New Roman"/>
                <w:color w:val="000000"/>
                <w:sz w:val="20"/>
                <w:szCs w:val="20"/>
                <w:lang w:val="sr-Cyrl-RS" w:eastAsia="en-GB"/>
              </w:rPr>
            </w:pPr>
          </w:p>
        </w:tc>
        <w:tc>
          <w:tcPr>
            <w:tcW w:w="1244" w:type="dxa"/>
            <w:vMerge/>
            <w:tcBorders>
              <w:top w:val="double" w:sz="6" w:space="0" w:color="auto"/>
              <w:left w:val="single" w:sz="8" w:space="0" w:color="auto"/>
              <w:bottom w:val="single" w:sz="8" w:space="0" w:color="000000"/>
              <w:right w:val="single" w:sz="8" w:space="0" w:color="auto"/>
            </w:tcBorders>
            <w:vAlign w:val="center"/>
            <w:hideMark/>
          </w:tcPr>
          <w:p w14:paraId="6615BFC8" w14:textId="77777777" w:rsidR="008144B4" w:rsidRPr="00EF2F18" w:rsidRDefault="008144B4" w:rsidP="00752CA0">
            <w:pPr>
              <w:spacing w:after="0"/>
              <w:rPr>
                <w:rFonts w:eastAsia="Times New Roman" w:cs="Times New Roman"/>
                <w:color w:val="000000"/>
                <w:sz w:val="20"/>
                <w:szCs w:val="20"/>
                <w:lang w:val="sr-Cyrl-RS" w:eastAsia="en-GB"/>
              </w:rPr>
            </w:pPr>
          </w:p>
        </w:tc>
        <w:tc>
          <w:tcPr>
            <w:tcW w:w="1371" w:type="dxa"/>
            <w:vMerge/>
            <w:tcBorders>
              <w:top w:val="double" w:sz="6" w:space="0" w:color="auto"/>
              <w:left w:val="single" w:sz="8" w:space="0" w:color="auto"/>
              <w:bottom w:val="single" w:sz="8" w:space="0" w:color="000000"/>
              <w:right w:val="single" w:sz="8" w:space="0" w:color="auto"/>
            </w:tcBorders>
            <w:vAlign w:val="center"/>
            <w:hideMark/>
          </w:tcPr>
          <w:p w14:paraId="6B6B5590" w14:textId="77777777" w:rsidR="008144B4" w:rsidRPr="00EF2F18" w:rsidRDefault="008144B4" w:rsidP="00752CA0">
            <w:pPr>
              <w:spacing w:after="0"/>
              <w:rPr>
                <w:rFonts w:eastAsia="Times New Roman" w:cs="Times New Roman"/>
                <w:color w:val="000000"/>
                <w:sz w:val="20"/>
                <w:szCs w:val="20"/>
                <w:lang w:val="sr-Cyrl-RS" w:eastAsia="en-GB"/>
              </w:rPr>
            </w:pPr>
          </w:p>
        </w:tc>
        <w:tc>
          <w:tcPr>
            <w:tcW w:w="1323" w:type="dxa"/>
            <w:vMerge/>
            <w:tcBorders>
              <w:top w:val="double" w:sz="6" w:space="0" w:color="auto"/>
              <w:left w:val="single" w:sz="8" w:space="0" w:color="auto"/>
              <w:bottom w:val="single" w:sz="8" w:space="0" w:color="000000"/>
              <w:right w:val="single" w:sz="8" w:space="0" w:color="auto"/>
            </w:tcBorders>
            <w:vAlign w:val="center"/>
            <w:hideMark/>
          </w:tcPr>
          <w:p w14:paraId="0FBE6376" w14:textId="77777777" w:rsidR="008144B4" w:rsidRPr="00EF2F18" w:rsidRDefault="008144B4"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15FA59F2" w14:textId="77777777" w:rsidR="008144B4" w:rsidRPr="00EF2F18" w:rsidRDefault="008144B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4059559B" w14:textId="77777777" w:rsidR="008144B4" w:rsidRPr="00EF2F18" w:rsidRDefault="008144B4" w:rsidP="00752CA0">
            <w:pPr>
              <w:spacing w:after="0"/>
              <w:rPr>
                <w:rFonts w:eastAsia="Times New Roman" w:cs="Times New Roman"/>
                <w:color w:val="000000"/>
                <w:sz w:val="20"/>
                <w:szCs w:val="20"/>
                <w:lang w:val="sr-Cyrl-RS" w:eastAsia="en-GB"/>
              </w:rPr>
            </w:pPr>
          </w:p>
        </w:tc>
        <w:tc>
          <w:tcPr>
            <w:tcW w:w="1285" w:type="dxa"/>
            <w:tcBorders>
              <w:top w:val="nil"/>
              <w:left w:val="nil"/>
              <w:bottom w:val="single" w:sz="8" w:space="0" w:color="auto"/>
              <w:right w:val="single" w:sz="8" w:space="0" w:color="auto"/>
            </w:tcBorders>
            <w:shd w:val="clear" w:color="000000" w:fill="FFF2CC"/>
            <w:hideMark/>
          </w:tcPr>
          <w:p w14:paraId="37C83BF1" w14:textId="34B23B9A"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p>
        </w:tc>
        <w:tc>
          <w:tcPr>
            <w:tcW w:w="1260" w:type="dxa"/>
            <w:tcBorders>
              <w:top w:val="nil"/>
              <w:left w:val="nil"/>
              <w:bottom w:val="single" w:sz="8" w:space="0" w:color="auto"/>
              <w:right w:val="single" w:sz="8" w:space="0" w:color="auto"/>
            </w:tcBorders>
            <w:shd w:val="clear" w:color="000000" w:fill="FFF2CC"/>
            <w:hideMark/>
          </w:tcPr>
          <w:p w14:paraId="17B0627F" w14:textId="56524633" w:rsidR="008144B4" w:rsidRPr="00EF2F18" w:rsidRDefault="0003056B" w:rsidP="0003056B">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8144B4" w:rsidRPr="00EF2F18">
              <w:rPr>
                <w:rFonts w:eastAsia="Times New Roman" w:cs="Times New Roman"/>
                <w:sz w:val="20"/>
                <w:szCs w:val="20"/>
                <w:lang w:val="sr-Cyrl-RS" w:eastAsia="en-GB"/>
              </w:rPr>
              <w:t xml:space="preserve"> 2027.</w:t>
            </w:r>
          </w:p>
        </w:tc>
        <w:tc>
          <w:tcPr>
            <w:tcW w:w="1440" w:type="dxa"/>
            <w:tcBorders>
              <w:top w:val="nil"/>
              <w:left w:val="nil"/>
              <w:bottom w:val="single" w:sz="8" w:space="0" w:color="auto"/>
              <w:right w:val="double" w:sz="6" w:space="0" w:color="auto"/>
            </w:tcBorders>
            <w:shd w:val="clear" w:color="000000" w:fill="FFF2CC"/>
            <w:hideMark/>
          </w:tcPr>
          <w:p w14:paraId="64BF62B9" w14:textId="332FB84D"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w:t>
            </w:r>
          </w:p>
        </w:tc>
      </w:tr>
      <w:tr w:rsidR="008144B4" w:rsidRPr="00EF2F18" w14:paraId="417BB735" w14:textId="77777777" w:rsidTr="008144B4">
        <w:trPr>
          <w:trHeight w:val="1332"/>
        </w:trPr>
        <w:tc>
          <w:tcPr>
            <w:tcW w:w="2613" w:type="dxa"/>
            <w:tcBorders>
              <w:top w:val="nil"/>
              <w:left w:val="double" w:sz="6" w:space="0" w:color="auto"/>
              <w:bottom w:val="single" w:sz="8" w:space="0" w:color="auto"/>
              <w:right w:val="single" w:sz="8" w:space="0" w:color="auto"/>
            </w:tcBorders>
            <w:hideMark/>
          </w:tcPr>
          <w:p w14:paraId="05891103"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4.1.3.1. Израда и/или ревизија референтне листе за врсте и станишта еколошке мреже и повећање територије еколошке мреже</w:t>
            </w:r>
          </w:p>
        </w:tc>
        <w:tc>
          <w:tcPr>
            <w:tcW w:w="1244" w:type="dxa"/>
            <w:tcBorders>
              <w:top w:val="nil"/>
              <w:left w:val="nil"/>
              <w:bottom w:val="single" w:sz="8" w:space="0" w:color="auto"/>
              <w:right w:val="single" w:sz="8" w:space="0" w:color="auto"/>
            </w:tcBorders>
            <w:hideMark/>
          </w:tcPr>
          <w:p w14:paraId="765E6326"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nil"/>
              <w:left w:val="nil"/>
              <w:bottom w:val="single" w:sz="8" w:space="0" w:color="auto"/>
              <w:right w:val="single" w:sz="8" w:space="0" w:color="auto"/>
            </w:tcBorders>
            <w:hideMark/>
          </w:tcPr>
          <w:p w14:paraId="1E0E9873"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НИО, ЗЗПС, ПЗЗП</w:t>
            </w:r>
          </w:p>
        </w:tc>
        <w:tc>
          <w:tcPr>
            <w:tcW w:w="1323" w:type="dxa"/>
            <w:tcBorders>
              <w:top w:val="nil"/>
              <w:left w:val="nil"/>
              <w:bottom w:val="single" w:sz="8" w:space="0" w:color="auto"/>
              <w:right w:val="single" w:sz="8" w:space="0" w:color="auto"/>
            </w:tcBorders>
            <w:hideMark/>
          </w:tcPr>
          <w:p w14:paraId="30FB4021" w14:textId="72F32899"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квартал 2026.</w:t>
            </w:r>
          </w:p>
        </w:tc>
        <w:tc>
          <w:tcPr>
            <w:tcW w:w="1691" w:type="dxa"/>
            <w:tcBorders>
              <w:top w:val="nil"/>
              <w:left w:val="nil"/>
              <w:bottom w:val="single" w:sz="8" w:space="0" w:color="auto"/>
              <w:right w:val="single" w:sz="8" w:space="0" w:color="auto"/>
            </w:tcBorders>
            <w:hideMark/>
          </w:tcPr>
          <w:p w14:paraId="31D80F5A"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single" w:sz="8" w:space="0" w:color="auto"/>
              <w:right w:val="single" w:sz="8" w:space="0" w:color="auto"/>
            </w:tcBorders>
            <w:hideMark/>
          </w:tcPr>
          <w:p w14:paraId="48D1AF9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1285" w:type="dxa"/>
            <w:tcBorders>
              <w:top w:val="nil"/>
              <w:left w:val="nil"/>
              <w:bottom w:val="single" w:sz="8" w:space="0" w:color="auto"/>
              <w:right w:val="single" w:sz="8" w:space="0" w:color="auto"/>
            </w:tcBorders>
            <w:hideMark/>
          </w:tcPr>
          <w:p w14:paraId="6361D045"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260" w:type="dxa"/>
            <w:tcBorders>
              <w:top w:val="nil"/>
              <w:left w:val="nil"/>
              <w:bottom w:val="single" w:sz="8" w:space="0" w:color="auto"/>
              <w:right w:val="single" w:sz="8" w:space="0" w:color="auto"/>
            </w:tcBorders>
            <w:hideMark/>
          </w:tcPr>
          <w:p w14:paraId="3A7FCD1F"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440" w:type="dxa"/>
            <w:tcBorders>
              <w:top w:val="nil"/>
              <w:left w:val="nil"/>
              <w:bottom w:val="single" w:sz="8" w:space="0" w:color="auto"/>
              <w:right w:val="double" w:sz="6" w:space="0" w:color="auto"/>
            </w:tcBorders>
            <w:hideMark/>
          </w:tcPr>
          <w:p w14:paraId="53ECE0DF" w14:textId="641B9FBF"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r>
      <w:tr w:rsidR="008144B4" w:rsidRPr="00EF2F18" w14:paraId="522CD633" w14:textId="77777777" w:rsidTr="003F2DF7">
        <w:trPr>
          <w:trHeight w:val="804"/>
        </w:trPr>
        <w:tc>
          <w:tcPr>
            <w:tcW w:w="2613" w:type="dxa"/>
            <w:tcBorders>
              <w:top w:val="single" w:sz="4" w:space="0" w:color="auto"/>
              <w:left w:val="double" w:sz="6" w:space="0" w:color="auto"/>
              <w:bottom w:val="single" w:sz="8" w:space="0" w:color="auto"/>
              <w:right w:val="single" w:sz="8" w:space="0" w:color="auto"/>
            </w:tcBorders>
            <w:hideMark/>
          </w:tcPr>
          <w:p w14:paraId="4230512F" w14:textId="75697448"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4.1.3.2. </w:t>
            </w:r>
            <w:r w:rsidRPr="00EF2F18">
              <w:rPr>
                <w:rFonts w:eastAsia="Times New Roman" w:cs="Times New Roman"/>
                <w:sz w:val="20"/>
                <w:szCs w:val="20"/>
                <w:lang w:val="sr-Cyrl-RS" w:eastAsia="en-GB"/>
              </w:rPr>
              <w:t>Израда Уредбе о Оцени прихватљивости за еколошку мрежу</w:t>
            </w:r>
          </w:p>
        </w:tc>
        <w:tc>
          <w:tcPr>
            <w:tcW w:w="1244" w:type="dxa"/>
            <w:tcBorders>
              <w:top w:val="single" w:sz="4" w:space="0" w:color="auto"/>
              <w:left w:val="nil"/>
              <w:bottom w:val="single" w:sz="8" w:space="0" w:color="auto"/>
              <w:right w:val="single" w:sz="8" w:space="0" w:color="auto"/>
            </w:tcBorders>
            <w:hideMark/>
          </w:tcPr>
          <w:p w14:paraId="52A74540"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single" w:sz="4" w:space="0" w:color="auto"/>
              <w:left w:val="nil"/>
              <w:bottom w:val="single" w:sz="8" w:space="0" w:color="auto"/>
              <w:right w:val="single" w:sz="8" w:space="0" w:color="auto"/>
            </w:tcBorders>
            <w:hideMark/>
          </w:tcPr>
          <w:p w14:paraId="7618858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w:t>
            </w:r>
          </w:p>
        </w:tc>
        <w:tc>
          <w:tcPr>
            <w:tcW w:w="1323" w:type="dxa"/>
            <w:tcBorders>
              <w:top w:val="single" w:sz="4" w:space="0" w:color="auto"/>
              <w:left w:val="nil"/>
              <w:bottom w:val="single" w:sz="8" w:space="0" w:color="auto"/>
              <w:right w:val="single" w:sz="8" w:space="0" w:color="auto"/>
            </w:tcBorders>
            <w:hideMark/>
          </w:tcPr>
          <w:p w14:paraId="25C7B815" w14:textId="121106D3"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квартал 2026.</w:t>
            </w:r>
          </w:p>
        </w:tc>
        <w:tc>
          <w:tcPr>
            <w:tcW w:w="1691" w:type="dxa"/>
            <w:tcBorders>
              <w:top w:val="single" w:sz="4" w:space="0" w:color="auto"/>
              <w:left w:val="nil"/>
              <w:bottom w:val="single" w:sz="8" w:space="0" w:color="auto"/>
              <w:right w:val="single" w:sz="8" w:space="0" w:color="auto"/>
            </w:tcBorders>
            <w:hideMark/>
          </w:tcPr>
          <w:p w14:paraId="79EDB2E6"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2EF5276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85" w:type="dxa"/>
            <w:tcBorders>
              <w:top w:val="single" w:sz="4" w:space="0" w:color="auto"/>
              <w:left w:val="nil"/>
              <w:bottom w:val="single" w:sz="8" w:space="0" w:color="auto"/>
              <w:right w:val="single" w:sz="8" w:space="0" w:color="auto"/>
            </w:tcBorders>
          </w:tcPr>
          <w:p w14:paraId="769D0DBB" w14:textId="13BC5CC8" w:rsidR="008144B4" w:rsidRPr="00EF2F18" w:rsidRDefault="008144B4"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0224C762" w14:textId="2C31F623" w:rsidR="008144B4" w:rsidRPr="00EF2F18" w:rsidRDefault="008144B4" w:rsidP="00752CA0">
            <w:pPr>
              <w:spacing w:after="0"/>
              <w:jc w:val="right"/>
              <w:rPr>
                <w:rFonts w:eastAsia="Times New Roman" w:cs="Times New Roman"/>
                <w:color w:val="000000"/>
                <w:sz w:val="20"/>
                <w:szCs w:val="20"/>
                <w:lang w:val="sr-Cyrl-RS" w:eastAsia="en-GB"/>
              </w:rPr>
            </w:pPr>
          </w:p>
        </w:tc>
        <w:tc>
          <w:tcPr>
            <w:tcW w:w="1440" w:type="dxa"/>
            <w:tcBorders>
              <w:top w:val="single" w:sz="4" w:space="0" w:color="auto"/>
              <w:left w:val="nil"/>
              <w:bottom w:val="single" w:sz="8" w:space="0" w:color="auto"/>
              <w:right w:val="double" w:sz="6" w:space="0" w:color="auto"/>
            </w:tcBorders>
          </w:tcPr>
          <w:p w14:paraId="5801A53C" w14:textId="2D3D855C"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0851AF85" w14:textId="77777777" w:rsidTr="008144B4">
        <w:trPr>
          <w:trHeight w:val="1332"/>
        </w:trPr>
        <w:tc>
          <w:tcPr>
            <w:tcW w:w="2613" w:type="dxa"/>
            <w:tcBorders>
              <w:top w:val="nil"/>
              <w:left w:val="double" w:sz="6" w:space="0" w:color="auto"/>
              <w:bottom w:val="single" w:sz="8" w:space="0" w:color="auto"/>
              <w:right w:val="single" w:sz="8" w:space="0" w:color="auto"/>
            </w:tcBorders>
            <w:hideMark/>
          </w:tcPr>
          <w:p w14:paraId="1D22467C" w14:textId="079DF71B"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4.1.3.3. </w:t>
            </w:r>
            <w:r w:rsidRPr="00EF2F18">
              <w:rPr>
                <w:rFonts w:eastAsia="Times New Roman" w:cs="Times New Roman"/>
                <w:sz w:val="20"/>
                <w:szCs w:val="20"/>
                <w:lang w:val="sr-Cyrl-RS" w:eastAsia="en-GB"/>
              </w:rPr>
              <w:t>Доношење нове Уредбе о еколошкој мрежи Републике Србије укључујући потенцијална Natura 2000 подручја</w:t>
            </w:r>
          </w:p>
        </w:tc>
        <w:tc>
          <w:tcPr>
            <w:tcW w:w="1244" w:type="dxa"/>
            <w:tcBorders>
              <w:top w:val="nil"/>
              <w:left w:val="nil"/>
              <w:bottom w:val="single" w:sz="8" w:space="0" w:color="auto"/>
              <w:right w:val="single" w:sz="8" w:space="0" w:color="auto"/>
            </w:tcBorders>
            <w:hideMark/>
          </w:tcPr>
          <w:p w14:paraId="46F6C25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nil"/>
              <w:left w:val="nil"/>
              <w:bottom w:val="single" w:sz="8" w:space="0" w:color="auto"/>
              <w:right w:val="single" w:sz="8" w:space="0" w:color="auto"/>
            </w:tcBorders>
            <w:hideMark/>
          </w:tcPr>
          <w:p w14:paraId="038B2FE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w:t>
            </w:r>
          </w:p>
        </w:tc>
        <w:tc>
          <w:tcPr>
            <w:tcW w:w="1323" w:type="dxa"/>
            <w:tcBorders>
              <w:top w:val="nil"/>
              <w:left w:val="nil"/>
              <w:bottom w:val="single" w:sz="8" w:space="0" w:color="auto"/>
              <w:right w:val="single" w:sz="8" w:space="0" w:color="auto"/>
            </w:tcBorders>
            <w:hideMark/>
          </w:tcPr>
          <w:p w14:paraId="7C0B8987" w14:textId="77777777" w:rsidR="008144B4" w:rsidRPr="00EF2F18" w:rsidRDefault="008144B4" w:rsidP="00752CA0">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4. квартал</w:t>
            </w:r>
          </w:p>
          <w:p w14:paraId="0DBA24D0" w14:textId="4C733D82"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p>
        </w:tc>
        <w:tc>
          <w:tcPr>
            <w:tcW w:w="1691" w:type="dxa"/>
            <w:tcBorders>
              <w:top w:val="nil"/>
              <w:left w:val="nil"/>
              <w:bottom w:val="single" w:sz="8" w:space="0" w:color="auto"/>
              <w:right w:val="single" w:sz="8" w:space="0" w:color="auto"/>
            </w:tcBorders>
            <w:hideMark/>
          </w:tcPr>
          <w:p w14:paraId="3922FC4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0E342867"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85" w:type="dxa"/>
            <w:tcBorders>
              <w:top w:val="nil"/>
              <w:left w:val="nil"/>
              <w:bottom w:val="single" w:sz="8" w:space="0" w:color="auto"/>
              <w:right w:val="single" w:sz="8" w:space="0" w:color="auto"/>
            </w:tcBorders>
          </w:tcPr>
          <w:p w14:paraId="20A453BD" w14:textId="1182D3B2" w:rsidR="008144B4" w:rsidRPr="00EF2F18" w:rsidRDefault="008144B4"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5B2D3A40" w14:textId="65F8B69F" w:rsidR="008144B4" w:rsidRPr="00EF2F18" w:rsidRDefault="008144B4"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double" w:sz="6" w:space="0" w:color="auto"/>
            </w:tcBorders>
          </w:tcPr>
          <w:p w14:paraId="712089C1" w14:textId="03A82DFB"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2B1D2073" w14:textId="77777777" w:rsidTr="008144B4">
        <w:trPr>
          <w:trHeight w:val="1332"/>
        </w:trPr>
        <w:tc>
          <w:tcPr>
            <w:tcW w:w="2613" w:type="dxa"/>
            <w:tcBorders>
              <w:top w:val="nil"/>
              <w:left w:val="double" w:sz="6" w:space="0" w:color="auto"/>
              <w:bottom w:val="single" w:sz="8" w:space="0" w:color="auto"/>
              <w:right w:val="single" w:sz="8" w:space="0" w:color="auto"/>
            </w:tcBorders>
            <w:hideMark/>
          </w:tcPr>
          <w:p w14:paraId="40C74547"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4.1.3.4. Развој планова за управљање еколошки значајним подручјима РС и њихово интегрисање у европску еколошку мрежу</w:t>
            </w:r>
          </w:p>
        </w:tc>
        <w:tc>
          <w:tcPr>
            <w:tcW w:w="1244" w:type="dxa"/>
            <w:tcBorders>
              <w:top w:val="nil"/>
              <w:left w:val="nil"/>
              <w:bottom w:val="single" w:sz="8" w:space="0" w:color="auto"/>
              <w:right w:val="single" w:sz="8" w:space="0" w:color="auto"/>
            </w:tcBorders>
            <w:hideMark/>
          </w:tcPr>
          <w:p w14:paraId="37B984F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nil"/>
              <w:left w:val="nil"/>
              <w:bottom w:val="single" w:sz="8" w:space="0" w:color="auto"/>
              <w:right w:val="single" w:sz="8" w:space="0" w:color="auto"/>
            </w:tcBorders>
            <w:hideMark/>
          </w:tcPr>
          <w:p w14:paraId="632EDF3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 Управљачи</w:t>
            </w:r>
          </w:p>
        </w:tc>
        <w:tc>
          <w:tcPr>
            <w:tcW w:w="1323" w:type="dxa"/>
            <w:tcBorders>
              <w:top w:val="nil"/>
              <w:left w:val="nil"/>
              <w:bottom w:val="single" w:sz="8" w:space="0" w:color="auto"/>
              <w:right w:val="single" w:sz="8" w:space="0" w:color="auto"/>
            </w:tcBorders>
            <w:hideMark/>
          </w:tcPr>
          <w:p w14:paraId="1835C82D"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691" w:type="dxa"/>
            <w:tcBorders>
              <w:top w:val="nil"/>
              <w:left w:val="nil"/>
              <w:bottom w:val="single" w:sz="8" w:space="0" w:color="auto"/>
              <w:right w:val="single" w:sz="8" w:space="0" w:color="auto"/>
            </w:tcBorders>
            <w:hideMark/>
          </w:tcPr>
          <w:p w14:paraId="624D2A9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single" w:sz="8" w:space="0" w:color="auto"/>
              <w:right w:val="single" w:sz="8" w:space="0" w:color="auto"/>
            </w:tcBorders>
            <w:hideMark/>
          </w:tcPr>
          <w:p w14:paraId="4568685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0405-560-0002-451</w:t>
            </w:r>
          </w:p>
        </w:tc>
        <w:tc>
          <w:tcPr>
            <w:tcW w:w="1285" w:type="dxa"/>
            <w:tcBorders>
              <w:top w:val="nil"/>
              <w:left w:val="nil"/>
              <w:bottom w:val="single" w:sz="8" w:space="0" w:color="auto"/>
              <w:right w:val="single" w:sz="8" w:space="0" w:color="auto"/>
            </w:tcBorders>
            <w:hideMark/>
          </w:tcPr>
          <w:p w14:paraId="0D8AC225"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260" w:type="dxa"/>
            <w:tcBorders>
              <w:top w:val="nil"/>
              <w:left w:val="nil"/>
              <w:bottom w:val="single" w:sz="8" w:space="0" w:color="auto"/>
              <w:right w:val="single" w:sz="8" w:space="0" w:color="auto"/>
            </w:tcBorders>
            <w:hideMark/>
          </w:tcPr>
          <w:p w14:paraId="1F46BB9E"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c>
          <w:tcPr>
            <w:tcW w:w="1440" w:type="dxa"/>
            <w:tcBorders>
              <w:top w:val="nil"/>
              <w:left w:val="nil"/>
              <w:bottom w:val="single" w:sz="8" w:space="0" w:color="auto"/>
              <w:right w:val="double" w:sz="6" w:space="0" w:color="auto"/>
            </w:tcBorders>
            <w:hideMark/>
          </w:tcPr>
          <w:p w14:paraId="77985C62" w14:textId="12CC5C86"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tc>
      </w:tr>
      <w:tr w:rsidR="008144B4" w:rsidRPr="00EF2F18" w14:paraId="7CA8A094" w14:textId="77777777" w:rsidTr="00B721C1">
        <w:trPr>
          <w:trHeight w:val="804"/>
        </w:trPr>
        <w:tc>
          <w:tcPr>
            <w:tcW w:w="2613" w:type="dxa"/>
            <w:tcBorders>
              <w:top w:val="single" w:sz="4" w:space="0" w:color="auto"/>
              <w:left w:val="double" w:sz="6" w:space="0" w:color="auto"/>
              <w:bottom w:val="single" w:sz="8" w:space="0" w:color="auto"/>
              <w:right w:val="single" w:sz="8" w:space="0" w:color="auto"/>
            </w:tcBorders>
            <w:hideMark/>
          </w:tcPr>
          <w:p w14:paraId="1772B79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4.1.3.5. Израда стандардних образаца података (СДФ) за еколошки значајна подручја</w:t>
            </w:r>
          </w:p>
        </w:tc>
        <w:tc>
          <w:tcPr>
            <w:tcW w:w="1244" w:type="dxa"/>
            <w:tcBorders>
              <w:top w:val="single" w:sz="4" w:space="0" w:color="auto"/>
              <w:left w:val="nil"/>
              <w:bottom w:val="single" w:sz="8" w:space="0" w:color="auto"/>
              <w:right w:val="single" w:sz="8" w:space="0" w:color="auto"/>
            </w:tcBorders>
            <w:hideMark/>
          </w:tcPr>
          <w:p w14:paraId="26F8FCB6"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single" w:sz="4" w:space="0" w:color="auto"/>
              <w:left w:val="nil"/>
              <w:bottom w:val="single" w:sz="8" w:space="0" w:color="auto"/>
              <w:right w:val="single" w:sz="8" w:space="0" w:color="auto"/>
            </w:tcBorders>
            <w:hideMark/>
          </w:tcPr>
          <w:p w14:paraId="39038D16"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 Управљачи</w:t>
            </w:r>
          </w:p>
        </w:tc>
        <w:tc>
          <w:tcPr>
            <w:tcW w:w="1323" w:type="dxa"/>
            <w:tcBorders>
              <w:top w:val="single" w:sz="4" w:space="0" w:color="auto"/>
              <w:left w:val="nil"/>
              <w:bottom w:val="single" w:sz="8" w:space="0" w:color="auto"/>
              <w:right w:val="single" w:sz="8" w:space="0" w:color="auto"/>
            </w:tcBorders>
            <w:hideMark/>
          </w:tcPr>
          <w:p w14:paraId="58485CF5"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6B23064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39B4EBD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85" w:type="dxa"/>
            <w:tcBorders>
              <w:top w:val="single" w:sz="4" w:space="0" w:color="auto"/>
              <w:left w:val="nil"/>
              <w:bottom w:val="single" w:sz="8" w:space="0" w:color="auto"/>
              <w:right w:val="single" w:sz="8" w:space="0" w:color="auto"/>
            </w:tcBorders>
          </w:tcPr>
          <w:p w14:paraId="68FC655E" w14:textId="08225948" w:rsidR="008144B4" w:rsidRPr="00EF2F18" w:rsidRDefault="008144B4"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35C9A3B0" w14:textId="48EB5B82" w:rsidR="008144B4" w:rsidRPr="00EF2F18" w:rsidRDefault="008144B4" w:rsidP="00752CA0">
            <w:pPr>
              <w:spacing w:after="0"/>
              <w:jc w:val="right"/>
              <w:rPr>
                <w:rFonts w:eastAsia="Times New Roman" w:cs="Times New Roman"/>
                <w:color w:val="000000"/>
                <w:sz w:val="20"/>
                <w:szCs w:val="20"/>
                <w:lang w:val="sr-Cyrl-RS" w:eastAsia="en-GB"/>
              </w:rPr>
            </w:pPr>
          </w:p>
        </w:tc>
        <w:tc>
          <w:tcPr>
            <w:tcW w:w="1440" w:type="dxa"/>
            <w:tcBorders>
              <w:top w:val="single" w:sz="4" w:space="0" w:color="auto"/>
              <w:left w:val="nil"/>
              <w:bottom w:val="single" w:sz="8" w:space="0" w:color="auto"/>
              <w:right w:val="double" w:sz="6" w:space="0" w:color="auto"/>
            </w:tcBorders>
          </w:tcPr>
          <w:p w14:paraId="139956EE" w14:textId="1571C6FC"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7243C8CC" w14:textId="77777777" w:rsidTr="008144B4">
        <w:trPr>
          <w:trHeight w:val="804"/>
        </w:trPr>
        <w:tc>
          <w:tcPr>
            <w:tcW w:w="2613" w:type="dxa"/>
            <w:tcBorders>
              <w:top w:val="nil"/>
              <w:left w:val="double" w:sz="6" w:space="0" w:color="auto"/>
              <w:bottom w:val="single" w:sz="8" w:space="0" w:color="auto"/>
              <w:right w:val="single" w:sz="8" w:space="0" w:color="auto"/>
            </w:tcBorders>
            <w:hideMark/>
          </w:tcPr>
          <w:p w14:paraId="6C254FD7"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4.1.3.6. Успостављање и просторна идентификација еколошких коридора </w:t>
            </w:r>
          </w:p>
        </w:tc>
        <w:tc>
          <w:tcPr>
            <w:tcW w:w="1244" w:type="dxa"/>
            <w:tcBorders>
              <w:top w:val="nil"/>
              <w:left w:val="nil"/>
              <w:bottom w:val="single" w:sz="8" w:space="0" w:color="auto"/>
              <w:right w:val="single" w:sz="8" w:space="0" w:color="auto"/>
            </w:tcBorders>
            <w:hideMark/>
          </w:tcPr>
          <w:p w14:paraId="6E74D18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nil"/>
              <w:left w:val="nil"/>
              <w:bottom w:val="single" w:sz="8" w:space="0" w:color="auto"/>
              <w:right w:val="single" w:sz="8" w:space="0" w:color="auto"/>
            </w:tcBorders>
            <w:hideMark/>
          </w:tcPr>
          <w:p w14:paraId="129733F0"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w:t>
            </w:r>
          </w:p>
        </w:tc>
        <w:tc>
          <w:tcPr>
            <w:tcW w:w="1323" w:type="dxa"/>
            <w:tcBorders>
              <w:top w:val="nil"/>
              <w:left w:val="nil"/>
              <w:bottom w:val="single" w:sz="8" w:space="0" w:color="auto"/>
              <w:right w:val="single" w:sz="8" w:space="0" w:color="auto"/>
            </w:tcBorders>
            <w:hideMark/>
          </w:tcPr>
          <w:p w14:paraId="4DB03675"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7C261026"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5B46865A"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85" w:type="dxa"/>
            <w:tcBorders>
              <w:top w:val="nil"/>
              <w:left w:val="nil"/>
              <w:bottom w:val="single" w:sz="8" w:space="0" w:color="auto"/>
              <w:right w:val="single" w:sz="8" w:space="0" w:color="auto"/>
            </w:tcBorders>
          </w:tcPr>
          <w:p w14:paraId="13A0F7FA" w14:textId="02D1B272" w:rsidR="008144B4" w:rsidRPr="00EF2F18" w:rsidRDefault="008144B4"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2155EB4B" w14:textId="481C5ABC" w:rsidR="008144B4" w:rsidRPr="00EF2F18" w:rsidRDefault="008144B4"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double" w:sz="6" w:space="0" w:color="auto"/>
            </w:tcBorders>
          </w:tcPr>
          <w:p w14:paraId="78305BEF" w14:textId="12C91AF8"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072BB2C6" w14:textId="77777777" w:rsidTr="008144B4">
        <w:trPr>
          <w:trHeight w:val="1332"/>
        </w:trPr>
        <w:tc>
          <w:tcPr>
            <w:tcW w:w="2613" w:type="dxa"/>
            <w:tcBorders>
              <w:top w:val="nil"/>
              <w:left w:val="double" w:sz="6" w:space="0" w:color="auto"/>
              <w:bottom w:val="single" w:sz="8" w:space="0" w:color="auto"/>
              <w:right w:val="single" w:sz="8" w:space="0" w:color="auto"/>
            </w:tcBorders>
            <w:hideMark/>
          </w:tcPr>
          <w:p w14:paraId="2D7B2662"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4.1.3.7. Континуирано праћење површина (ha) на којима је извршена промена намене из грађевинског у пољопривредно или шумско земљиште</w:t>
            </w:r>
          </w:p>
        </w:tc>
        <w:tc>
          <w:tcPr>
            <w:tcW w:w="1244" w:type="dxa"/>
            <w:tcBorders>
              <w:top w:val="nil"/>
              <w:left w:val="nil"/>
              <w:bottom w:val="single" w:sz="8" w:space="0" w:color="auto"/>
              <w:right w:val="single" w:sz="8" w:space="0" w:color="auto"/>
            </w:tcBorders>
            <w:hideMark/>
          </w:tcPr>
          <w:p w14:paraId="687C4335"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nil"/>
              <w:left w:val="nil"/>
              <w:bottom w:val="single" w:sz="8" w:space="0" w:color="auto"/>
              <w:right w:val="single" w:sz="8" w:space="0" w:color="auto"/>
            </w:tcBorders>
            <w:hideMark/>
          </w:tcPr>
          <w:p w14:paraId="022B3EA5"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РГЗ</w:t>
            </w:r>
          </w:p>
        </w:tc>
        <w:tc>
          <w:tcPr>
            <w:tcW w:w="1323" w:type="dxa"/>
            <w:tcBorders>
              <w:top w:val="nil"/>
              <w:left w:val="nil"/>
              <w:bottom w:val="single" w:sz="8" w:space="0" w:color="auto"/>
              <w:right w:val="single" w:sz="8" w:space="0" w:color="auto"/>
            </w:tcBorders>
            <w:hideMark/>
          </w:tcPr>
          <w:p w14:paraId="500EF31E"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6891A20F"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36031A5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85" w:type="dxa"/>
            <w:tcBorders>
              <w:top w:val="nil"/>
              <w:left w:val="nil"/>
              <w:bottom w:val="single" w:sz="8" w:space="0" w:color="auto"/>
              <w:right w:val="single" w:sz="8" w:space="0" w:color="auto"/>
            </w:tcBorders>
          </w:tcPr>
          <w:p w14:paraId="4F46B503" w14:textId="38344087" w:rsidR="008144B4" w:rsidRPr="00EF2F18" w:rsidRDefault="008144B4"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669B05AF" w14:textId="2A5273E1" w:rsidR="008144B4" w:rsidRPr="00EF2F18" w:rsidRDefault="008144B4"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double" w:sz="6" w:space="0" w:color="auto"/>
            </w:tcBorders>
          </w:tcPr>
          <w:p w14:paraId="6436035B" w14:textId="35A587AB"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3E3C9A8D" w14:textId="77777777" w:rsidTr="008144B4">
        <w:trPr>
          <w:trHeight w:val="1860"/>
        </w:trPr>
        <w:tc>
          <w:tcPr>
            <w:tcW w:w="2613" w:type="dxa"/>
            <w:tcBorders>
              <w:top w:val="nil"/>
              <w:left w:val="double" w:sz="6" w:space="0" w:color="auto"/>
              <w:bottom w:val="double" w:sz="6" w:space="0" w:color="auto"/>
              <w:right w:val="single" w:sz="8" w:space="0" w:color="auto"/>
            </w:tcBorders>
            <w:hideMark/>
          </w:tcPr>
          <w:p w14:paraId="3275FAF2" w14:textId="77777777" w:rsidR="008144B4" w:rsidRPr="00EF2F18" w:rsidRDefault="008144B4" w:rsidP="00752CA0">
            <w:pPr>
              <w:spacing w:after="0"/>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4.1.3.8. Континуирано праћење површина (ha) на којима је извршена промена начина коришћења (катастарске културе) из обрадивог пољопривредног у необрадиво пољопривредно земљиште</w:t>
            </w:r>
          </w:p>
        </w:tc>
        <w:tc>
          <w:tcPr>
            <w:tcW w:w="1244" w:type="dxa"/>
            <w:tcBorders>
              <w:top w:val="nil"/>
              <w:left w:val="nil"/>
              <w:bottom w:val="double" w:sz="6" w:space="0" w:color="auto"/>
              <w:right w:val="single" w:sz="8" w:space="0" w:color="auto"/>
            </w:tcBorders>
            <w:hideMark/>
          </w:tcPr>
          <w:p w14:paraId="7328E56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71" w:type="dxa"/>
            <w:tcBorders>
              <w:top w:val="nil"/>
              <w:left w:val="nil"/>
              <w:bottom w:val="double" w:sz="6" w:space="0" w:color="auto"/>
              <w:right w:val="single" w:sz="8" w:space="0" w:color="auto"/>
            </w:tcBorders>
            <w:hideMark/>
          </w:tcPr>
          <w:p w14:paraId="02F5E2A3" w14:textId="65DD17D8"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РГЗ </w:t>
            </w:r>
          </w:p>
        </w:tc>
        <w:tc>
          <w:tcPr>
            <w:tcW w:w="1323" w:type="dxa"/>
            <w:tcBorders>
              <w:top w:val="nil"/>
              <w:left w:val="nil"/>
              <w:bottom w:val="double" w:sz="6" w:space="0" w:color="auto"/>
              <w:right w:val="single" w:sz="8" w:space="0" w:color="auto"/>
            </w:tcBorders>
            <w:hideMark/>
          </w:tcPr>
          <w:p w14:paraId="2E043380"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72387663"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hideMark/>
          </w:tcPr>
          <w:p w14:paraId="7B22B05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85" w:type="dxa"/>
            <w:tcBorders>
              <w:top w:val="nil"/>
              <w:left w:val="nil"/>
              <w:bottom w:val="double" w:sz="6" w:space="0" w:color="auto"/>
              <w:right w:val="single" w:sz="8" w:space="0" w:color="auto"/>
            </w:tcBorders>
          </w:tcPr>
          <w:p w14:paraId="6E25A949" w14:textId="7F861E13" w:rsidR="008144B4" w:rsidRPr="00EF2F18" w:rsidRDefault="008144B4"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double" w:sz="6" w:space="0" w:color="auto"/>
              <w:right w:val="single" w:sz="8" w:space="0" w:color="auto"/>
            </w:tcBorders>
          </w:tcPr>
          <w:p w14:paraId="35DC3E0C" w14:textId="23B20568" w:rsidR="008144B4" w:rsidRPr="00EF2F18" w:rsidRDefault="008144B4"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double" w:sz="6" w:space="0" w:color="auto"/>
              <w:right w:val="double" w:sz="6" w:space="0" w:color="auto"/>
            </w:tcBorders>
          </w:tcPr>
          <w:p w14:paraId="5D4514D2" w14:textId="5074962C" w:rsidR="008144B4" w:rsidRPr="00EF2F18" w:rsidRDefault="008144B4" w:rsidP="00752CA0">
            <w:pPr>
              <w:spacing w:after="0"/>
              <w:jc w:val="right"/>
              <w:rPr>
                <w:rFonts w:eastAsia="Times New Roman" w:cs="Times New Roman"/>
                <w:color w:val="000000"/>
                <w:sz w:val="20"/>
                <w:szCs w:val="20"/>
                <w:lang w:val="sr-Cyrl-RS" w:eastAsia="en-GB"/>
              </w:rPr>
            </w:pPr>
          </w:p>
        </w:tc>
      </w:tr>
    </w:tbl>
    <w:p w14:paraId="3601DA08" w14:textId="22775839" w:rsidR="007D7243" w:rsidRPr="00EF2F18" w:rsidRDefault="00304D6D"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430E6C71" w14:textId="1C3BB919" w:rsidR="00304D6D" w:rsidRDefault="00304D6D" w:rsidP="007D7243">
      <w:pPr>
        <w:spacing w:after="0"/>
        <w:rPr>
          <w:rFonts w:cs="Times New Roman"/>
          <w:sz w:val="20"/>
          <w:szCs w:val="20"/>
          <w:lang w:val="sr-Cyrl-RS"/>
        </w:rPr>
      </w:pPr>
    </w:p>
    <w:p w14:paraId="3A38AC5B" w14:textId="06B10D18" w:rsidR="005749B6" w:rsidRDefault="005749B6" w:rsidP="007D7243">
      <w:pPr>
        <w:spacing w:after="0"/>
        <w:rPr>
          <w:rFonts w:cs="Times New Roman"/>
          <w:sz w:val="20"/>
          <w:szCs w:val="20"/>
          <w:lang w:val="sr-Cyrl-RS"/>
        </w:rPr>
      </w:pPr>
    </w:p>
    <w:p w14:paraId="514FF7A2" w14:textId="6F170E70" w:rsidR="005749B6" w:rsidRDefault="005749B6" w:rsidP="007D7243">
      <w:pPr>
        <w:spacing w:after="0"/>
        <w:rPr>
          <w:rFonts w:cs="Times New Roman"/>
          <w:sz w:val="20"/>
          <w:szCs w:val="20"/>
          <w:lang w:val="sr-Cyrl-RS"/>
        </w:rPr>
      </w:pPr>
    </w:p>
    <w:p w14:paraId="6291D419" w14:textId="75B02614" w:rsidR="005749B6" w:rsidRDefault="005749B6" w:rsidP="007D7243">
      <w:pPr>
        <w:spacing w:after="0"/>
        <w:rPr>
          <w:rFonts w:cs="Times New Roman"/>
          <w:sz w:val="20"/>
          <w:szCs w:val="20"/>
          <w:lang w:val="sr-Cyrl-RS"/>
        </w:rPr>
      </w:pPr>
    </w:p>
    <w:p w14:paraId="01B1CBE6" w14:textId="77777777" w:rsidR="005749B6" w:rsidRPr="00EF2F18" w:rsidRDefault="005749B6"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377"/>
        <w:gridCol w:w="1080"/>
        <w:gridCol w:w="1783"/>
        <w:gridCol w:w="17"/>
      </w:tblGrid>
      <w:tr w:rsidR="007D7243" w:rsidRPr="00EF2F18" w14:paraId="6E6F6E35" w14:textId="77777777" w:rsidTr="008144B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00163156"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4.1.4: Интеграција заштите природе и очувања биодиверзитета у друге секторе</w:t>
            </w:r>
          </w:p>
        </w:tc>
      </w:tr>
      <w:tr w:rsidR="007D7243" w:rsidRPr="00EF2F18" w14:paraId="14B2A6D3" w14:textId="77777777" w:rsidTr="008144B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43E3C969"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5D8CA28F" w14:textId="77777777" w:rsidTr="008144B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24B6B2CA" w14:textId="748B90BD"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743C4B"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0FF5A376" w14:textId="249E71EF" w:rsidR="007D7243" w:rsidRPr="00EF2F18" w:rsidRDefault="005749B6" w:rsidP="00752CA0">
            <w:pPr>
              <w:spacing w:after="0"/>
              <w:rPr>
                <w:rFonts w:eastAsia="Times New Roman" w:cs="Times New Roman"/>
                <w:color w:val="000000"/>
                <w:sz w:val="20"/>
                <w:szCs w:val="20"/>
                <w:lang w:val="sr-Cyrl-RS" w:eastAsia="en-GB"/>
              </w:rPr>
            </w:pPr>
            <w:r>
              <w:rPr>
                <w:rFonts w:eastAsia="Times New Roman" w:cs="Times New Roman"/>
                <w:color w:val="000000"/>
                <w:sz w:val="20"/>
                <w:szCs w:val="20"/>
                <w:lang w:val="sr-Cyrl-RS" w:eastAsia="en-GB"/>
              </w:rPr>
              <w:t>Тип мере: информативно-</w:t>
            </w:r>
            <w:r w:rsidR="007D7243" w:rsidRPr="00EF2F18">
              <w:rPr>
                <w:rFonts w:eastAsia="Times New Roman" w:cs="Times New Roman"/>
                <w:color w:val="000000"/>
                <w:sz w:val="20"/>
                <w:szCs w:val="20"/>
                <w:lang w:val="sr-Cyrl-RS" w:eastAsia="en-GB"/>
              </w:rPr>
              <w:t>едукативна</w:t>
            </w:r>
          </w:p>
        </w:tc>
      </w:tr>
      <w:tr w:rsidR="007D7243" w:rsidRPr="00EF2F18" w14:paraId="1AEB8343" w14:textId="77777777" w:rsidTr="008144B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774526BB"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32EBCB85"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8144B4" w:rsidRPr="00EF2F18" w14:paraId="2240E0E8" w14:textId="77777777" w:rsidTr="008144B4">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581761ED"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1414B0F8"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78D5D4D6"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3E52FF2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1113DDF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377" w:type="dxa"/>
            <w:tcBorders>
              <w:top w:val="nil"/>
              <w:left w:val="nil"/>
              <w:bottom w:val="double" w:sz="6" w:space="0" w:color="auto"/>
              <w:right w:val="nil"/>
            </w:tcBorders>
            <w:shd w:val="clear" w:color="000000" w:fill="D9D9D9"/>
            <w:hideMark/>
          </w:tcPr>
          <w:p w14:paraId="690EE59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080" w:type="dxa"/>
            <w:tcBorders>
              <w:top w:val="nil"/>
              <w:left w:val="nil"/>
              <w:bottom w:val="double" w:sz="6" w:space="0" w:color="auto"/>
              <w:right w:val="single" w:sz="8" w:space="0" w:color="auto"/>
            </w:tcBorders>
            <w:shd w:val="clear" w:color="000000" w:fill="D9D9D9"/>
            <w:hideMark/>
          </w:tcPr>
          <w:p w14:paraId="7B8A274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tcBorders>
              <w:top w:val="nil"/>
              <w:left w:val="nil"/>
              <w:bottom w:val="double" w:sz="6" w:space="0" w:color="auto"/>
              <w:right w:val="double" w:sz="6" w:space="0" w:color="auto"/>
            </w:tcBorders>
            <w:shd w:val="clear" w:color="000000" w:fill="D9D9D9"/>
            <w:hideMark/>
          </w:tcPr>
          <w:p w14:paraId="7E1261D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8144B4" w:rsidRPr="00EF2F18" w14:paraId="3B4D36B0" w14:textId="77777777" w:rsidTr="008144B4">
        <w:trPr>
          <w:trHeight w:val="1344"/>
        </w:trPr>
        <w:tc>
          <w:tcPr>
            <w:tcW w:w="3320" w:type="dxa"/>
            <w:tcBorders>
              <w:top w:val="nil"/>
              <w:left w:val="double" w:sz="6" w:space="0" w:color="auto"/>
              <w:bottom w:val="single" w:sz="8" w:space="0" w:color="auto"/>
              <w:right w:val="single" w:sz="8" w:space="0" w:color="auto"/>
            </w:tcBorders>
            <w:shd w:val="clear" w:color="000000" w:fill="FFFFFF"/>
            <w:vAlign w:val="center"/>
            <w:hideMark/>
          </w:tcPr>
          <w:p w14:paraId="2E00EFB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Број докумената јавне политике у другим областима планирања који интегришу заштиту природе и очување биодиверзитета у друге секторске политике</w:t>
            </w:r>
          </w:p>
        </w:tc>
        <w:tc>
          <w:tcPr>
            <w:tcW w:w="1280" w:type="dxa"/>
            <w:tcBorders>
              <w:top w:val="nil"/>
              <w:left w:val="nil"/>
              <w:bottom w:val="single" w:sz="8" w:space="0" w:color="auto"/>
              <w:right w:val="single" w:sz="8" w:space="0" w:color="auto"/>
            </w:tcBorders>
            <w:shd w:val="clear" w:color="000000" w:fill="FFFFFF"/>
            <w:hideMark/>
          </w:tcPr>
          <w:p w14:paraId="74F9D5C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single" w:sz="8" w:space="0" w:color="auto"/>
              <w:right w:val="single" w:sz="8" w:space="0" w:color="auto"/>
            </w:tcBorders>
            <w:shd w:val="clear" w:color="000000" w:fill="FFFFFF"/>
            <w:hideMark/>
          </w:tcPr>
          <w:p w14:paraId="2F8A8B3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 РСЈП</w:t>
            </w:r>
          </w:p>
        </w:tc>
        <w:tc>
          <w:tcPr>
            <w:tcW w:w="2000" w:type="dxa"/>
            <w:gridSpan w:val="2"/>
            <w:tcBorders>
              <w:top w:val="double" w:sz="6" w:space="0" w:color="auto"/>
              <w:left w:val="nil"/>
              <w:bottom w:val="single" w:sz="8" w:space="0" w:color="auto"/>
              <w:right w:val="single" w:sz="8" w:space="0" w:color="000000"/>
            </w:tcBorders>
            <w:shd w:val="clear" w:color="000000" w:fill="FFFFFF"/>
            <w:hideMark/>
          </w:tcPr>
          <w:p w14:paraId="710B4359"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w:t>
            </w:r>
          </w:p>
        </w:tc>
        <w:tc>
          <w:tcPr>
            <w:tcW w:w="1520" w:type="dxa"/>
            <w:tcBorders>
              <w:top w:val="nil"/>
              <w:left w:val="nil"/>
              <w:bottom w:val="single" w:sz="8" w:space="0" w:color="auto"/>
              <w:right w:val="single" w:sz="8" w:space="0" w:color="auto"/>
            </w:tcBorders>
            <w:shd w:val="clear" w:color="000000" w:fill="FFFFFF"/>
            <w:hideMark/>
          </w:tcPr>
          <w:p w14:paraId="58239807"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377" w:type="dxa"/>
            <w:tcBorders>
              <w:top w:val="double" w:sz="6" w:space="0" w:color="auto"/>
              <w:left w:val="single" w:sz="4" w:space="0" w:color="auto"/>
              <w:bottom w:val="single" w:sz="8" w:space="0" w:color="auto"/>
              <w:right w:val="single" w:sz="8" w:space="0" w:color="auto"/>
            </w:tcBorders>
            <w:shd w:val="clear" w:color="000000" w:fill="FFFFFF"/>
            <w:hideMark/>
          </w:tcPr>
          <w:p w14:paraId="663C3BD1"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19</w:t>
            </w:r>
          </w:p>
        </w:tc>
        <w:tc>
          <w:tcPr>
            <w:tcW w:w="1080" w:type="dxa"/>
            <w:tcBorders>
              <w:top w:val="nil"/>
              <w:left w:val="nil"/>
              <w:bottom w:val="single" w:sz="8" w:space="0" w:color="auto"/>
              <w:right w:val="single" w:sz="8" w:space="0" w:color="auto"/>
            </w:tcBorders>
            <w:shd w:val="clear" w:color="000000" w:fill="FFFFFF"/>
            <w:hideMark/>
          </w:tcPr>
          <w:p w14:paraId="2FCFBD1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c>
          <w:tcPr>
            <w:tcW w:w="1800" w:type="dxa"/>
            <w:gridSpan w:val="2"/>
            <w:tcBorders>
              <w:top w:val="nil"/>
              <w:left w:val="nil"/>
              <w:bottom w:val="single" w:sz="8" w:space="0" w:color="auto"/>
              <w:right w:val="double" w:sz="6" w:space="0" w:color="auto"/>
            </w:tcBorders>
            <w:shd w:val="clear" w:color="000000" w:fill="FFFFFF"/>
            <w:hideMark/>
          </w:tcPr>
          <w:p w14:paraId="4F95A7A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22</w:t>
            </w:r>
          </w:p>
        </w:tc>
      </w:tr>
      <w:tr w:rsidR="008144B4" w:rsidRPr="00EF2F18" w14:paraId="37005635" w14:textId="77777777" w:rsidTr="008144B4">
        <w:trPr>
          <w:trHeight w:val="804"/>
        </w:trPr>
        <w:tc>
          <w:tcPr>
            <w:tcW w:w="3320" w:type="dxa"/>
            <w:tcBorders>
              <w:top w:val="nil"/>
              <w:left w:val="double" w:sz="6" w:space="0" w:color="auto"/>
              <w:bottom w:val="double" w:sz="6" w:space="0" w:color="auto"/>
              <w:right w:val="single" w:sz="8" w:space="0" w:color="auto"/>
            </w:tcBorders>
            <w:shd w:val="clear" w:color="000000" w:fill="FFFFFF"/>
            <w:vAlign w:val="center"/>
            <w:hideMark/>
          </w:tcPr>
          <w:p w14:paraId="1C37DE4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Број научно-истраживачких пројеката из области биодиверзитета и заштите природе, укупно</w:t>
            </w:r>
          </w:p>
        </w:tc>
        <w:tc>
          <w:tcPr>
            <w:tcW w:w="1280" w:type="dxa"/>
            <w:tcBorders>
              <w:top w:val="nil"/>
              <w:left w:val="nil"/>
              <w:bottom w:val="double" w:sz="6" w:space="0" w:color="auto"/>
              <w:right w:val="single" w:sz="8" w:space="0" w:color="auto"/>
            </w:tcBorders>
            <w:shd w:val="clear" w:color="000000" w:fill="FFFFFF"/>
            <w:hideMark/>
          </w:tcPr>
          <w:p w14:paraId="2657D3B7"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1261DF9C"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МНТРИ</w:t>
            </w:r>
          </w:p>
        </w:tc>
        <w:tc>
          <w:tcPr>
            <w:tcW w:w="2000" w:type="dxa"/>
            <w:gridSpan w:val="2"/>
            <w:tcBorders>
              <w:top w:val="single" w:sz="8" w:space="0" w:color="auto"/>
              <w:left w:val="nil"/>
              <w:bottom w:val="double" w:sz="6" w:space="0" w:color="auto"/>
              <w:right w:val="single" w:sz="8" w:space="0" w:color="000000"/>
            </w:tcBorders>
            <w:shd w:val="clear" w:color="000000" w:fill="FFFFFF"/>
            <w:hideMark/>
          </w:tcPr>
          <w:p w14:paraId="4FCC2C2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c>
          <w:tcPr>
            <w:tcW w:w="1520" w:type="dxa"/>
            <w:tcBorders>
              <w:top w:val="nil"/>
              <w:left w:val="nil"/>
              <w:bottom w:val="double" w:sz="6" w:space="0" w:color="auto"/>
              <w:right w:val="single" w:sz="8" w:space="0" w:color="auto"/>
            </w:tcBorders>
            <w:shd w:val="clear" w:color="000000" w:fill="FFFFFF"/>
            <w:hideMark/>
          </w:tcPr>
          <w:p w14:paraId="66C5BA4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377" w:type="dxa"/>
            <w:tcBorders>
              <w:top w:val="single" w:sz="8" w:space="0" w:color="auto"/>
              <w:left w:val="single" w:sz="4" w:space="0" w:color="auto"/>
              <w:bottom w:val="double" w:sz="6" w:space="0" w:color="auto"/>
              <w:right w:val="single" w:sz="8" w:space="0" w:color="auto"/>
            </w:tcBorders>
            <w:shd w:val="clear" w:color="000000" w:fill="FFFFFF"/>
            <w:hideMark/>
          </w:tcPr>
          <w:p w14:paraId="4F09181E"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p>
        </w:tc>
        <w:tc>
          <w:tcPr>
            <w:tcW w:w="1080" w:type="dxa"/>
            <w:tcBorders>
              <w:top w:val="nil"/>
              <w:left w:val="nil"/>
              <w:bottom w:val="double" w:sz="6" w:space="0" w:color="auto"/>
              <w:right w:val="single" w:sz="8" w:space="0" w:color="auto"/>
            </w:tcBorders>
            <w:shd w:val="clear" w:color="000000" w:fill="FFFFFF"/>
            <w:hideMark/>
          </w:tcPr>
          <w:p w14:paraId="2AEF0E0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w:t>
            </w:r>
          </w:p>
        </w:tc>
        <w:tc>
          <w:tcPr>
            <w:tcW w:w="1800" w:type="dxa"/>
            <w:gridSpan w:val="2"/>
            <w:tcBorders>
              <w:top w:val="nil"/>
              <w:left w:val="nil"/>
              <w:bottom w:val="double" w:sz="6" w:space="0" w:color="auto"/>
              <w:right w:val="double" w:sz="6" w:space="0" w:color="auto"/>
            </w:tcBorders>
            <w:shd w:val="clear" w:color="000000" w:fill="FFFFFF"/>
            <w:hideMark/>
          </w:tcPr>
          <w:p w14:paraId="2FFA78FD"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w:t>
            </w:r>
          </w:p>
        </w:tc>
      </w:tr>
    </w:tbl>
    <w:p w14:paraId="22F7EFFE" w14:textId="77777777" w:rsidR="007D7243" w:rsidRPr="00EF2F18" w:rsidRDefault="007D7243" w:rsidP="007D7243">
      <w:pPr>
        <w:spacing w:after="0"/>
        <w:rPr>
          <w:sz w:val="20"/>
          <w:szCs w:val="20"/>
          <w:lang w:val="sr-Cyrl-RS"/>
        </w:rPr>
      </w:pPr>
      <w:r w:rsidRPr="00EF2F18">
        <w:rPr>
          <w:sz w:val="20"/>
          <w:szCs w:val="20"/>
          <w:lang w:val="sr-Cyrl-RS"/>
        </w:rPr>
        <w:t xml:space="preserve"> </w:t>
      </w:r>
    </w:p>
    <w:tbl>
      <w:tblPr>
        <w:tblW w:w="13567" w:type="dxa"/>
        <w:tblLook w:val="04A0" w:firstRow="1" w:lastRow="0" w:firstColumn="1" w:lastColumn="0" w:noHBand="0" w:noVBand="1"/>
      </w:tblPr>
      <w:tblGrid>
        <w:gridCol w:w="3800"/>
        <w:gridCol w:w="2480"/>
        <w:gridCol w:w="2247"/>
        <w:gridCol w:w="2160"/>
        <w:gridCol w:w="2873"/>
        <w:gridCol w:w="7"/>
      </w:tblGrid>
      <w:tr w:rsidR="007D7243" w:rsidRPr="00EF2F18" w14:paraId="3B028EAE" w14:textId="77777777" w:rsidTr="008144B4">
        <w:trPr>
          <w:gridAfter w:val="1"/>
          <w:wAfter w:w="7" w:type="dxa"/>
          <w:trHeight w:val="336"/>
        </w:trPr>
        <w:tc>
          <w:tcPr>
            <w:tcW w:w="3800" w:type="dxa"/>
            <w:vMerge w:val="restart"/>
            <w:tcBorders>
              <w:top w:val="double" w:sz="6" w:space="0" w:color="auto"/>
              <w:left w:val="double" w:sz="6" w:space="0" w:color="auto"/>
              <w:bottom w:val="double" w:sz="6" w:space="0" w:color="000000"/>
              <w:right w:val="double" w:sz="6" w:space="0" w:color="auto"/>
            </w:tcBorders>
            <w:shd w:val="clear" w:color="000000" w:fill="A8D08D"/>
            <w:hideMark/>
          </w:tcPr>
          <w:p w14:paraId="1CBEBAB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double" w:sz="6" w:space="0" w:color="000000"/>
              <w:right w:val="double" w:sz="6" w:space="0" w:color="auto"/>
            </w:tcBorders>
            <w:shd w:val="clear" w:color="000000" w:fill="A8D08D"/>
            <w:hideMark/>
          </w:tcPr>
          <w:p w14:paraId="5C0DD75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1A0B352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8144B4" w:rsidRPr="00EF2F18" w14:paraId="3BFCC50E" w14:textId="77777777" w:rsidTr="008144B4">
        <w:trPr>
          <w:trHeight w:val="336"/>
        </w:trPr>
        <w:tc>
          <w:tcPr>
            <w:tcW w:w="3800" w:type="dxa"/>
            <w:vMerge/>
            <w:tcBorders>
              <w:top w:val="double" w:sz="6" w:space="0" w:color="auto"/>
              <w:left w:val="double" w:sz="6" w:space="0" w:color="auto"/>
              <w:bottom w:val="double" w:sz="6" w:space="0" w:color="000000"/>
              <w:right w:val="double" w:sz="6" w:space="0" w:color="auto"/>
            </w:tcBorders>
            <w:vAlign w:val="center"/>
            <w:hideMark/>
          </w:tcPr>
          <w:p w14:paraId="6C287290" w14:textId="77777777" w:rsidR="008144B4" w:rsidRPr="00EF2F18" w:rsidRDefault="008144B4"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double" w:sz="6" w:space="0" w:color="000000"/>
              <w:right w:val="double" w:sz="6" w:space="0" w:color="auto"/>
            </w:tcBorders>
            <w:vAlign w:val="center"/>
            <w:hideMark/>
          </w:tcPr>
          <w:p w14:paraId="66BFF7D8" w14:textId="77777777" w:rsidR="008144B4" w:rsidRPr="00EF2F18" w:rsidRDefault="008144B4" w:rsidP="00752CA0">
            <w:pPr>
              <w:spacing w:after="0"/>
              <w:rPr>
                <w:rFonts w:eastAsia="Times New Roman" w:cs="Times New Roman"/>
                <w:color w:val="000000"/>
                <w:sz w:val="20"/>
                <w:szCs w:val="20"/>
                <w:lang w:val="sr-Cyrl-RS" w:eastAsia="en-GB"/>
              </w:rPr>
            </w:pPr>
          </w:p>
        </w:tc>
        <w:tc>
          <w:tcPr>
            <w:tcW w:w="2247" w:type="dxa"/>
            <w:tcBorders>
              <w:top w:val="nil"/>
              <w:left w:val="nil"/>
              <w:bottom w:val="double" w:sz="6" w:space="0" w:color="auto"/>
              <w:right w:val="double" w:sz="6" w:space="0" w:color="auto"/>
            </w:tcBorders>
            <w:shd w:val="clear" w:color="000000" w:fill="A8D08D"/>
            <w:hideMark/>
          </w:tcPr>
          <w:p w14:paraId="6381C5FC" w14:textId="71D638A2"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04954611" w14:textId="513A876C"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880" w:type="dxa"/>
            <w:gridSpan w:val="2"/>
            <w:tcBorders>
              <w:top w:val="nil"/>
              <w:left w:val="nil"/>
              <w:bottom w:val="double" w:sz="6" w:space="0" w:color="auto"/>
              <w:right w:val="double" w:sz="6" w:space="0" w:color="auto"/>
            </w:tcBorders>
            <w:shd w:val="clear" w:color="000000" w:fill="A8D08D"/>
            <w:hideMark/>
          </w:tcPr>
          <w:p w14:paraId="6DADB4C4" w14:textId="77FBA0CE"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8144B4" w:rsidRPr="00EF2F18" w14:paraId="1066E967" w14:textId="77777777" w:rsidTr="008144B4">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6B207BAE"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5835BAFF"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247" w:type="dxa"/>
            <w:tcBorders>
              <w:top w:val="nil"/>
              <w:left w:val="nil"/>
              <w:bottom w:val="double" w:sz="6" w:space="0" w:color="auto"/>
              <w:right w:val="double" w:sz="6" w:space="0" w:color="auto"/>
            </w:tcBorders>
          </w:tcPr>
          <w:p w14:paraId="426D80ED" w14:textId="5EBD237A" w:rsidR="008144B4" w:rsidRPr="00EF2F18" w:rsidRDefault="008144B4" w:rsidP="00752CA0">
            <w:pPr>
              <w:spacing w:after="0"/>
              <w:jc w:val="right"/>
              <w:rPr>
                <w:rFonts w:eastAsia="Times New Roman" w:cs="Times New Roman"/>
                <w:color w:val="000000"/>
                <w:sz w:val="20"/>
                <w:szCs w:val="20"/>
                <w:lang w:val="sr-Cyrl-RS" w:eastAsia="en-GB"/>
              </w:rPr>
            </w:pPr>
          </w:p>
        </w:tc>
        <w:tc>
          <w:tcPr>
            <w:tcW w:w="2160" w:type="dxa"/>
            <w:tcBorders>
              <w:top w:val="nil"/>
              <w:left w:val="nil"/>
              <w:bottom w:val="double" w:sz="6" w:space="0" w:color="auto"/>
              <w:right w:val="double" w:sz="6" w:space="0" w:color="auto"/>
            </w:tcBorders>
          </w:tcPr>
          <w:p w14:paraId="7DF7D398" w14:textId="5B296965" w:rsidR="008144B4" w:rsidRPr="00EF2F18" w:rsidRDefault="008144B4" w:rsidP="00752CA0">
            <w:pPr>
              <w:spacing w:after="0"/>
              <w:jc w:val="right"/>
              <w:rPr>
                <w:rFonts w:eastAsia="Times New Roman" w:cs="Times New Roman"/>
                <w:color w:val="000000"/>
                <w:sz w:val="20"/>
                <w:szCs w:val="20"/>
                <w:lang w:val="sr-Cyrl-RS" w:eastAsia="en-GB"/>
              </w:rPr>
            </w:pPr>
          </w:p>
        </w:tc>
        <w:tc>
          <w:tcPr>
            <w:tcW w:w="2880" w:type="dxa"/>
            <w:gridSpan w:val="2"/>
            <w:tcBorders>
              <w:top w:val="nil"/>
              <w:left w:val="nil"/>
              <w:bottom w:val="double" w:sz="6" w:space="0" w:color="auto"/>
              <w:right w:val="double" w:sz="6" w:space="0" w:color="auto"/>
            </w:tcBorders>
            <w:shd w:val="clear" w:color="000000" w:fill="FFFFFF"/>
          </w:tcPr>
          <w:p w14:paraId="277D63B5" w14:textId="442F06EC" w:rsidR="008144B4" w:rsidRPr="00EF2F18" w:rsidRDefault="008144B4" w:rsidP="00752CA0">
            <w:pPr>
              <w:spacing w:after="0"/>
              <w:jc w:val="right"/>
              <w:rPr>
                <w:rFonts w:eastAsia="Times New Roman" w:cs="Times New Roman"/>
                <w:color w:val="000000"/>
                <w:sz w:val="20"/>
                <w:szCs w:val="20"/>
                <w:lang w:val="sr-Cyrl-RS" w:eastAsia="en-GB"/>
              </w:rPr>
            </w:pPr>
          </w:p>
        </w:tc>
      </w:tr>
    </w:tbl>
    <w:p w14:paraId="5714D54E" w14:textId="77777777" w:rsidR="007D7243" w:rsidRPr="00EF2F18" w:rsidRDefault="007D7243" w:rsidP="007D7243">
      <w:pPr>
        <w:spacing w:after="0"/>
        <w:rPr>
          <w:sz w:val="20"/>
          <w:szCs w:val="20"/>
          <w:lang w:val="sr-Cyrl-RS"/>
        </w:rPr>
      </w:pPr>
    </w:p>
    <w:tbl>
      <w:tblPr>
        <w:tblW w:w="13585" w:type="dxa"/>
        <w:tblLook w:val="04A0" w:firstRow="1" w:lastRow="0" w:firstColumn="1" w:lastColumn="0" w:noHBand="0" w:noVBand="1"/>
      </w:tblPr>
      <w:tblGrid>
        <w:gridCol w:w="2867"/>
        <w:gridCol w:w="1249"/>
        <w:gridCol w:w="1237"/>
        <w:gridCol w:w="1182"/>
        <w:gridCol w:w="1691"/>
        <w:gridCol w:w="1340"/>
        <w:gridCol w:w="1301"/>
        <w:gridCol w:w="1170"/>
        <w:gridCol w:w="1530"/>
        <w:gridCol w:w="18"/>
      </w:tblGrid>
      <w:tr w:rsidR="007D7243" w:rsidRPr="00EF2F18" w14:paraId="7D576154" w14:textId="77777777" w:rsidTr="008144B4">
        <w:trPr>
          <w:trHeight w:val="732"/>
        </w:trPr>
        <w:tc>
          <w:tcPr>
            <w:tcW w:w="2867"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5547F6B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4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4D09B1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3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1DB1F5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E4F3AB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08BF84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4BFF94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19" w:type="dxa"/>
            <w:gridSpan w:val="4"/>
            <w:tcBorders>
              <w:top w:val="double" w:sz="6" w:space="0" w:color="auto"/>
              <w:left w:val="nil"/>
              <w:bottom w:val="single" w:sz="8" w:space="0" w:color="auto"/>
              <w:right w:val="double" w:sz="6" w:space="0" w:color="auto"/>
            </w:tcBorders>
            <w:shd w:val="clear" w:color="000000" w:fill="FFF2CC"/>
            <w:hideMark/>
          </w:tcPr>
          <w:p w14:paraId="03CA276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8144B4" w:rsidRPr="00EF2F18" w14:paraId="0A1BF364" w14:textId="77777777" w:rsidTr="008144B4">
        <w:trPr>
          <w:gridAfter w:val="1"/>
          <w:wAfter w:w="18" w:type="dxa"/>
          <w:trHeight w:val="324"/>
        </w:trPr>
        <w:tc>
          <w:tcPr>
            <w:tcW w:w="2867" w:type="dxa"/>
            <w:vMerge/>
            <w:tcBorders>
              <w:top w:val="double" w:sz="6" w:space="0" w:color="auto"/>
              <w:left w:val="double" w:sz="6" w:space="0" w:color="auto"/>
              <w:bottom w:val="single" w:sz="8" w:space="0" w:color="000000"/>
              <w:right w:val="single" w:sz="8" w:space="0" w:color="auto"/>
            </w:tcBorders>
            <w:vAlign w:val="center"/>
            <w:hideMark/>
          </w:tcPr>
          <w:p w14:paraId="1C3DC077" w14:textId="77777777" w:rsidR="008144B4" w:rsidRPr="00EF2F18" w:rsidRDefault="008144B4" w:rsidP="00752CA0">
            <w:pPr>
              <w:spacing w:after="0"/>
              <w:rPr>
                <w:rFonts w:eastAsia="Times New Roman" w:cs="Times New Roman"/>
                <w:color w:val="000000"/>
                <w:sz w:val="20"/>
                <w:szCs w:val="20"/>
                <w:lang w:val="sr-Cyrl-RS" w:eastAsia="en-GB"/>
              </w:rPr>
            </w:pPr>
          </w:p>
        </w:tc>
        <w:tc>
          <w:tcPr>
            <w:tcW w:w="1249" w:type="dxa"/>
            <w:vMerge/>
            <w:tcBorders>
              <w:top w:val="double" w:sz="6" w:space="0" w:color="auto"/>
              <w:left w:val="single" w:sz="8" w:space="0" w:color="auto"/>
              <w:bottom w:val="single" w:sz="8" w:space="0" w:color="000000"/>
              <w:right w:val="single" w:sz="8" w:space="0" w:color="auto"/>
            </w:tcBorders>
            <w:vAlign w:val="center"/>
            <w:hideMark/>
          </w:tcPr>
          <w:p w14:paraId="080D4CE8" w14:textId="77777777" w:rsidR="008144B4" w:rsidRPr="00EF2F18" w:rsidRDefault="008144B4" w:rsidP="00752CA0">
            <w:pPr>
              <w:spacing w:after="0"/>
              <w:rPr>
                <w:rFonts w:eastAsia="Times New Roman" w:cs="Times New Roman"/>
                <w:color w:val="000000"/>
                <w:sz w:val="20"/>
                <w:szCs w:val="20"/>
                <w:lang w:val="sr-Cyrl-RS" w:eastAsia="en-GB"/>
              </w:rPr>
            </w:pPr>
          </w:p>
        </w:tc>
        <w:tc>
          <w:tcPr>
            <w:tcW w:w="1237" w:type="dxa"/>
            <w:vMerge/>
            <w:tcBorders>
              <w:top w:val="double" w:sz="6" w:space="0" w:color="auto"/>
              <w:left w:val="single" w:sz="8" w:space="0" w:color="auto"/>
              <w:bottom w:val="single" w:sz="8" w:space="0" w:color="000000"/>
              <w:right w:val="single" w:sz="8" w:space="0" w:color="auto"/>
            </w:tcBorders>
            <w:vAlign w:val="center"/>
            <w:hideMark/>
          </w:tcPr>
          <w:p w14:paraId="014C1230" w14:textId="77777777" w:rsidR="008144B4" w:rsidRPr="00EF2F18" w:rsidRDefault="008144B4"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5E626DDD" w14:textId="77777777" w:rsidR="008144B4" w:rsidRPr="00EF2F18" w:rsidRDefault="008144B4"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011D9A7F" w14:textId="77777777" w:rsidR="008144B4" w:rsidRPr="00EF2F18" w:rsidRDefault="008144B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67BCA598" w14:textId="77777777" w:rsidR="008144B4" w:rsidRPr="00EF2F18" w:rsidRDefault="008144B4" w:rsidP="00752CA0">
            <w:pPr>
              <w:spacing w:after="0"/>
              <w:rPr>
                <w:rFonts w:eastAsia="Times New Roman" w:cs="Times New Roman"/>
                <w:color w:val="000000"/>
                <w:sz w:val="20"/>
                <w:szCs w:val="20"/>
                <w:lang w:val="sr-Cyrl-RS" w:eastAsia="en-GB"/>
              </w:rPr>
            </w:pPr>
          </w:p>
        </w:tc>
        <w:tc>
          <w:tcPr>
            <w:tcW w:w="1301" w:type="dxa"/>
            <w:tcBorders>
              <w:top w:val="nil"/>
              <w:left w:val="nil"/>
              <w:bottom w:val="single" w:sz="8" w:space="0" w:color="auto"/>
              <w:right w:val="single" w:sz="8" w:space="0" w:color="auto"/>
            </w:tcBorders>
            <w:shd w:val="clear" w:color="000000" w:fill="FFF2CC"/>
            <w:hideMark/>
          </w:tcPr>
          <w:p w14:paraId="16DA8F4F" w14:textId="578F4B61"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59B88E2F" w14:textId="06E5A4CA"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18337BAA" w14:textId="2CB371CF"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8144B4" w:rsidRPr="00EF2F18" w14:paraId="66083B93" w14:textId="77777777" w:rsidTr="008144B4">
        <w:trPr>
          <w:gridAfter w:val="1"/>
          <w:wAfter w:w="18" w:type="dxa"/>
          <w:trHeight w:val="1332"/>
        </w:trPr>
        <w:tc>
          <w:tcPr>
            <w:tcW w:w="2867" w:type="dxa"/>
            <w:tcBorders>
              <w:top w:val="nil"/>
              <w:left w:val="double" w:sz="6" w:space="0" w:color="auto"/>
              <w:bottom w:val="single" w:sz="8" w:space="0" w:color="auto"/>
              <w:right w:val="single" w:sz="8" w:space="0" w:color="auto"/>
            </w:tcBorders>
            <w:hideMark/>
          </w:tcPr>
          <w:p w14:paraId="6D54F38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4.1.4.1. Израда смерница за интегрисање заштите природе и биодиверзитета у релевантно национално законодавство и стандарде</w:t>
            </w:r>
          </w:p>
        </w:tc>
        <w:tc>
          <w:tcPr>
            <w:tcW w:w="1249" w:type="dxa"/>
            <w:tcBorders>
              <w:top w:val="nil"/>
              <w:left w:val="nil"/>
              <w:bottom w:val="single" w:sz="8" w:space="0" w:color="auto"/>
              <w:right w:val="single" w:sz="8" w:space="0" w:color="auto"/>
            </w:tcBorders>
            <w:hideMark/>
          </w:tcPr>
          <w:p w14:paraId="6F0E9432"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w:t>
            </w:r>
          </w:p>
        </w:tc>
        <w:tc>
          <w:tcPr>
            <w:tcW w:w="1237" w:type="dxa"/>
            <w:tcBorders>
              <w:top w:val="nil"/>
              <w:left w:val="nil"/>
              <w:bottom w:val="single" w:sz="8" w:space="0" w:color="auto"/>
              <w:right w:val="single" w:sz="8" w:space="0" w:color="auto"/>
            </w:tcBorders>
            <w:hideMark/>
          </w:tcPr>
          <w:p w14:paraId="1D58379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РСЈП, ЗЗПС, ПЗЗП</w:t>
            </w:r>
          </w:p>
        </w:tc>
        <w:tc>
          <w:tcPr>
            <w:tcW w:w="1182" w:type="dxa"/>
            <w:tcBorders>
              <w:top w:val="nil"/>
              <w:left w:val="nil"/>
              <w:bottom w:val="single" w:sz="8" w:space="0" w:color="auto"/>
              <w:right w:val="single" w:sz="8" w:space="0" w:color="auto"/>
            </w:tcBorders>
            <w:hideMark/>
          </w:tcPr>
          <w:p w14:paraId="5C58F48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5BA95E4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0B934422"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301" w:type="dxa"/>
            <w:tcBorders>
              <w:top w:val="nil"/>
              <w:left w:val="nil"/>
              <w:bottom w:val="single" w:sz="8" w:space="0" w:color="auto"/>
              <w:right w:val="single" w:sz="8" w:space="0" w:color="auto"/>
            </w:tcBorders>
          </w:tcPr>
          <w:p w14:paraId="1FCDA2DF" w14:textId="39CF48BD" w:rsidR="008144B4" w:rsidRPr="00EF2F18" w:rsidRDefault="008144B4"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2EEE1017" w14:textId="05521A80" w:rsidR="008144B4" w:rsidRPr="00EF2F18" w:rsidRDefault="008144B4"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7DEC1C57" w14:textId="27085282"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29DEBCDA" w14:textId="77777777" w:rsidTr="00F23C39">
        <w:trPr>
          <w:gridAfter w:val="1"/>
          <w:wAfter w:w="18" w:type="dxa"/>
          <w:trHeight w:val="1860"/>
        </w:trPr>
        <w:tc>
          <w:tcPr>
            <w:tcW w:w="2867" w:type="dxa"/>
            <w:tcBorders>
              <w:top w:val="single" w:sz="4" w:space="0" w:color="auto"/>
              <w:left w:val="double" w:sz="6" w:space="0" w:color="auto"/>
              <w:bottom w:val="single" w:sz="8" w:space="0" w:color="auto"/>
              <w:right w:val="single" w:sz="8" w:space="0" w:color="auto"/>
            </w:tcBorders>
            <w:hideMark/>
          </w:tcPr>
          <w:p w14:paraId="64E26DE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4.1.4.2. Израда препорука за укључивање обавеза заштите природног и културног наслеђа у секторима просторног планирања, пољопривреде, рударства, водопривреде, грађевинарства, енергетике, саобраћаја и туризма</w:t>
            </w:r>
          </w:p>
        </w:tc>
        <w:tc>
          <w:tcPr>
            <w:tcW w:w="1249" w:type="dxa"/>
            <w:tcBorders>
              <w:top w:val="single" w:sz="4" w:space="0" w:color="auto"/>
              <w:left w:val="nil"/>
              <w:bottom w:val="single" w:sz="8" w:space="0" w:color="auto"/>
              <w:right w:val="single" w:sz="8" w:space="0" w:color="auto"/>
            </w:tcBorders>
            <w:hideMark/>
          </w:tcPr>
          <w:p w14:paraId="5D9F78F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37" w:type="dxa"/>
            <w:tcBorders>
              <w:top w:val="single" w:sz="4" w:space="0" w:color="auto"/>
              <w:left w:val="nil"/>
              <w:bottom w:val="single" w:sz="8" w:space="0" w:color="auto"/>
              <w:right w:val="single" w:sz="8" w:space="0" w:color="auto"/>
            </w:tcBorders>
            <w:hideMark/>
          </w:tcPr>
          <w:p w14:paraId="49F1204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 МРЕ, МГСИ, МПросвете, МТО, ЗЗПС, ПЗЗП</w:t>
            </w:r>
          </w:p>
        </w:tc>
        <w:tc>
          <w:tcPr>
            <w:tcW w:w="1182" w:type="dxa"/>
            <w:tcBorders>
              <w:top w:val="single" w:sz="4" w:space="0" w:color="auto"/>
              <w:left w:val="nil"/>
              <w:bottom w:val="single" w:sz="8" w:space="0" w:color="auto"/>
              <w:right w:val="single" w:sz="8" w:space="0" w:color="auto"/>
            </w:tcBorders>
            <w:hideMark/>
          </w:tcPr>
          <w:p w14:paraId="426F4D1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42EDE970"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3C21455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301" w:type="dxa"/>
            <w:tcBorders>
              <w:top w:val="single" w:sz="4" w:space="0" w:color="auto"/>
              <w:left w:val="nil"/>
              <w:bottom w:val="single" w:sz="8" w:space="0" w:color="auto"/>
              <w:right w:val="single" w:sz="8" w:space="0" w:color="auto"/>
            </w:tcBorders>
          </w:tcPr>
          <w:p w14:paraId="2083620B" w14:textId="47634273" w:rsidR="008144B4" w:rsidRPr="00EF2F18" w:rsidRDefault="008144B4" w:rsidP="00752CA0">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6B55035B" w14:textId="712C3111" w:rsidR="008144B4" w:rsidRPr="00EF2F18" w:rsidRDefault="008144B4" w:rsidP="00752CA0">
            <w:pPr>
              <w:spacing w:after="0"/>
              <w:jc w:val="right"/>
              <w:rPr>
                <w:rFonts w:eastAsia="Times New Roman" w:cs="Times New Roman"/>
                <w:color w:val="000000"/>
                <w:sz w:val="20"/>
                <w:szCs w:val="20"/>
                <w:lang w:val="sr-Cyrl-RS" w:eastAsia="en-GB"/>
              </w:rPr>
            </w:pPr>
          </w:p>
        </w:tc>
        <w:tc>
          <w:tcPr>
            <w:tcW w:w="1530" w:type="dxa"/>
            <w:tcBorders>
              <w:top w:val="single" w:sz="4" w:space="0" w:color="auto"/>
              <w:left w:val="nil"/>
              <w:bottom w:val="single" w:sz="8" w:space="0" w:color="auto"/>
              <w:right w:val="double" w:sz="6" w:space="0" w:color="auto"/>
            </w:tcBorders>
          </w:tcPr>
          <w:p w14:paraId="376E9F36" w14:textId="36E10290"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6111DACB" w14:textId="77777777" w:rsidTr="008144B4">
        <w:trPr>
          <w:gridAfter w:val="1"/>
          <w:wAfter w:w="18" w:type="dxa"/>
          <w:trHeight w:val="1332"/>
        </w:trPr>
        <w:tc>
          <w:tcPr>
            <w:tcW w:w="2867" w:type="dxa"/>
            <w:tcBorders>
              <w:top w:val="nil"/>
              <w:left w:val="double" w:sz="6" w:space="0" w:color="auto"/>
              <w:bottom w:val="single" w:sz="8" w:space="0" w:color="auto"/>
              <w:right w:val="single" w:sz="8" w:space="0" w:color="auto"/>
            </w:tcBorders>
            <w:hideMark/>
          </w:tcPr>
          <w:p w14:paraId="60FFAFB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4.1.4.3. Анализа програма академских студија у области екологије, заштите природе, и заштите животне средине (у аспектима заштите природе)</w:t>
            </w:r>
          </w:p>
        </w:tc>
        <w:tc>
          <w:tcPr>
            <w:tcW w:w="1249" w:type="dxa"/>
            <w:tcBorders>
              <w:top w:val="nil"/>
              <w:left w:val="nil"/>
              <w:bottom w:val="single" w:sz="8" w:space="0" w:color="auto"/>
              <w:right w:val="single" w:sz="8" w:space="0" w:color="auto"/>
            </w:tcBorders>
            <w:hideMark/>
          </w:tcPr>
          <w:p w14:paraId="4C03F17E"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37" w:type="dxa"/>
            <w:tcBorders>
              <w:top w:val="nil"/>
              <w:left w:val="nil"/>
              <w:bottom w:val="single" w:sz="8" w:space="0" w:color="auto"/>
              <w:right w:val="single" w:sz="8" w:space="0" w:color="auto"/>
            </w:tcBorders>
            <w:hideMark/>
          </w:tcPr>
          <w:p w14:paraId="4E54409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МПросвете</w:t>
            </w:r>
          </w:p>
        </w:tc>
        <w:tc>
          <w:tcPr>
            <w:tcW w:w="1182" w:type="dxa"/>
            <w:tcBorders>
              <w:top w:val="nil"/>
              <w:left w:val="nil"/>
              <w:bottom w:val="single" w:sz="8" w:space="0" w:color="auto"/>
              <w:right w:val="single" w:sz="8" w:space="0" w:color="auto"/>
            </w:tcBorders>
            <w:hideMark/>
          </w:tcPr>
          <w:p w14:paraId="113EEE8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365236D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0B0EC8F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301" w:type="dxa"/>
            <w:tcBorders>
              <w:top w:val="nil"/>
              <w:left w:val="nil"/>
              <w:bottom w:val="single" w:sz="8" w:space="0" w:color="auto"/>
              <w:right w:val="single" w:sz="8" w:space="0" w:color="auto"/>
            </w:tcBorders>
          </w:tcPr>
          <w:p w14:paraId="3BAE835D" w14:textId="6D112F2E" w:rsidR="008144B4" w:rsidRPr="00EF2F18" w:rsidRDefault="008144B4"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30F25F0D" w14:textId="0CF34E58" w:rsidR="008144B4" w:rsidRPr="00EF2F18" w:rsidRDefault="008144B4"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5D354E83" w14:textId="0009A45E"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58DEDB33" w14:textId="77777777" w:rsidTr="008144B4">
        <w:trPr>
          <w:gridAfter w:val="1"/>
          <w:wAfter w:w="18" w:type="dxa"/>
          <w:trHeight w:val="804"/>
        </w:trPr>
        <w:tc>
          <w:tcPr>
            <w:tcW w:w="2867" w:type="dxa"/>
            <w:tcBorders>
              <w:top w:val="nil"/>
              <w:left w:val="double" w:sz="6" w:space="0" w:color="auto"/>
              <w:bottom w:val="double" w:sz="6" w:space="0" w:color="auto"/>
              <w:right w:val="single" w:sz="8" w:space="0" w:color="auto"/>
            </w:tcBorders>
            <w:hideMark/>
          </w:tcPr>
          <w:p w14:paraId="05038A7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4.1.4.4. Формирање Савета корисника у свим заштићеним подручјима</w:t>
            </w:r>
          </w:p>
        </w:tc>
        <w:tc>
          <w:tcPr>
            <w:tcW w:w="1249" w:type="dxa"/>
            <w:tcBorders>
              <w:top w:val="nil"/>
              <w:left w:val="nil"/>
              <w:bottom w:val="double" w:sz="6" w:space="0" w:color="auto"/>
              <w:right w:val="single" w:sz="8" w:space="0" w:color="auto"/>
            </w:tcBorders>
            <w:hideMark/>
          </w:tcPr>
          <w:p w14:paraId="73E3E692"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37" w:type="dxa"/>
            <w:tcBorders>
              <w:top w:val="nil"/>
              <w:left w:val="nil"/>
              <w:bottom w:val="double" w:sz="6" w:space="0" w:color="auto"/>
              <w:right w:val="single" w:sz="8" w:space="0" w:color="auto"/>
            </w:tcBorders>
            <w:hideMark/>
          </w:tcPr>
          <w:p w14:paraId="09116C19"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Управљачи</w:t>
            </w:r>
          </w:p>
        </w:tc>
        <w:tc>
          <w:tcPr>
            <w:tcW w:w="1182" w:type="dxa"/>
            <w:tcBorders>
              <w:top w:val="nil"/>
              <w:left w:val="nil"/>
              <w:bottom w:val="double" w:sz="6" w:space="0" w:color="auto"/>
              <w:right w:val="single" w:sz="8" w:space="0" w:color="auto"/>
            </w:tcBorders>
            <w:hideMark/>
          </w:tcPr>
          <w:p w14:paraId="7C6CB4B3"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double" w:sz="6" w:space="0" w:color="auto"/>
              <w:right w:val="single" w:sz="8" w:space="0" w:color="auto"/>
            </w:tcBorders>
            <w:hideMark/>
          </w:tcPr>
          <w:p w14:paraId="715D2B03"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hideMark/>
          </w:tcPr>
          <w:p w14:paraId="1E481930"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301" w:type="dxa"/>
            <w:tcBorders>
              <w:top w:val="nil"/>
              <w:left w:val="nil"/>
              <w:bottom w:val="double" w:sz="6" w:space="0" w:color="auto"/>
              <w:right w:val="single" w:sz="8" w:space="0" w:color="auto"/>
            </w:tcBorders>
            <w:hideMark/>
          </w:tcPr>
          <w:p w14:paraId="10323693"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70" w:type="dxa"/>
            <w:tcBorders>
              <w:top w:val="nil"/>
              <w:left w:val="nil"/>
              <w:bottom w:val="double" w:sz="6" w:space="0" w:color="auto"/>
              <w:right w:val="single" w:sz="8" w:space="0" w:color="auto"/>
            </w:tcBorders>
            <w:hideMark/>
          </w:tcPr>
          <w:p w14:paraId="71646B9C"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530" w:type="dxa"/>
            <w:tcBorders>
              <w:top w:val="nil"/>
              <w:left w:val="nil"/>
              <w:bottom w:val="double" w:sz="6" w:space="0" w:color="auto"/>
              <w:right w:val="double" w:sz="6" w:space="0" w:color="auto"/>
            </w:tcBorders>
            <w:hideMark/>
          </w:tcPr>
          <w:p w14:paraId="34812114" w14:textId="77777777" w:rsidR="008144B4" w:rsidRPr="00EF2F18" w:rsidRDefault="008144B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bl>
    <w:p w14:paraId="788C12AF"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287"/>
        <w:gridCol w:w="1260"/>
        <w:gridCol w:w="1693"/>
        <w:gridCol w:w="17"/>
      </w:tblGrid>
      <w:tr w:rsidR="007D7243" w:rsidRPr="00EF2F18" w14:paraId="4652CFFE" w14:textId="77777777" w:rsidTr="008144B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0B5B7A4"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4.1.5: Успостављање одрживог коришћења екосистемских услуга и праћење одрживог коришћења изабраних услуга</w:t>
            </w:r>
          </w:p>
        </w:tc>
      </w:tr>
      <w:tr w:rsidR="007D7243" w:rsidRPr="00EF2F18" w14:paraId="53AE2F87" w14:textId="77777777" w:rsidTr="008144B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72020CB3"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3A92EA74" w14:textId="77777777" w:rsidTr="008144B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C623BA9" w14:textId="56457FDE"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8144B4"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3F97B8A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 едукативна</w:t>
            </w:r>
          </w:p>
        </w:tc>
      </w:tr>
      <w:tr w:rsidR="007D7243" w:rsidRPr="00EF2F18" w14:paraId="2095D889" w14:textId="77777777" w:rsidTr="008144B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139488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7DA0E59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8144B4" w:rsidRPr="00EF2F18" w14:paraId="1E503575" w14:textId="77777777" w:rsidTr="008144B4">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2FA0B63E"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437C446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115857F8"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05337BF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2326A4E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287" w:type="dxa"/>
            <w:tcBorders>
              <w:top w:val="nil"/>
              <w:left w:val="nil"/>
              <w:bottom w:val="double" w:sz="6" w:space="0" w:color="auto"/>
              <w:right w:val="nil"/>
            </w:tcBorders>
            <w:shd w:val="clear" w:color="000000" w:fill="D9D9D9"/>
            <w:hideMark/>
          </w:tcPr>
          <w:p w14:paraId="7320BF9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60" w:type="dxa"/>
            <w:tcBorders>
              <w:top w:val="nil"/>
              <w:left w:val="nil"/>
              <w:bottom w:val="double" w:sz="6" w:space="0" w:color="auto"/>
              <w:right w:val="single" w:sz="8" w:space="0" w:color="auto"/>
            </w:tcBorders>
            <w:shd w:val="clear" w:color="000000" w:fill="D9D9D9"/>
            <w:hideMark/>
          </w:tcPr>
          <w:p w14:paraId="4A62577F"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tcBorders>
              <w:top w:val="nil"/>
              <w:left w:val="nil"/>
              <w:bottom w:val="double" w:sz="6" w:space="0" w:color="auto"/>
              <w:right w:val="double" w:sz="6" w:space="0" w:color="auto"/>
            </w:tcBorders>
            <w:shd w:val="clear" w:color="000000" w:fill="D9D9D9"/>
            <w:hideMark/>
          </w:tcPr>
          <w:p w14:paraId="39C38EF6"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8144B4" w:rsidRPr="00EF2F18" w14:paraId="076160E9" w14:textId="77777777" w:rsidTr="008144B4">
        <w:trPr>
          <w:trHeight w:val="1344"/>
        </w:trPr>
        <w:tc>
          <w:tcPr>
            <w:tcW w:w="3320" w:type="dxa"/>
            <w:tcBorders>
              <w:top w:val="nil"/>
              <w:left w:val="double" w:sz="6" w:space="0" w:color="auto"/>
              <w:bottom w:val="double" w:sz="6" w:space="0" w:color="auto"/>
              <w:right w:val="single" w:sz="8" w:space="0" w:color="auto"/>
            </w:tcBorders>
            <w:shd w:val="clear" w:color="000000" w:fill="FFFFFF"/>
            <w:hideMark/>
          </w:tcPr>
          <w:p w14:paraId="061F84ED"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Максимално дозвољена количина сакупљених дивљих врста, годишње – лековито биље</w:t>
            </w:r>
          </w:p>
        </w:tc>
        <w:tc>
          <w:tcPr>
            <w:tcW w:w="1280" w:type="dxa"/>
            <w:tcBorders>
              <w:top w:val="nil"/>
              <w:left w:val="nil"/>
              <w:bottom w:val="double" w:sz="6" w:space="0" w:color="auto"/>
              <w:right w:val="single" w:sz="8" w:space="0" w:color="auto"/>
            </w:tcBorders>
            <w:shd w:val="clear" w:color="000000" w:fill="FFFFFF"/>
            <w:hideMark/>
          </w:tcPr>
          <w:p w14:paraId="023B2D27"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тона</w:t>
            </w:r>
          </w:p>
        </w:tc>
        <w:tc>
          <w:tcPr>
            <w:tcW w:w="1280" w:type="dxa"/>
            <w:tcBorders>
              <w:top w:val="nil"/>
              <w:left w:val="nil"/>
              <w:bottom w:val="double" w:sz="6" w:space="0" w:color="auto"/>
              <w:right w:val="single" w:sz="8" w:space="0" w:color="auto"/>
            </w:tcBorders>
            <w:shd w:val="clear" w:color="000000" w:fill="FFFFFF"/>
            <w:hideMark/>
          </w:tcPr>
          <w:p w14:paraId="333FD55C"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 АЗЖС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32E8FA0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2.700</w:t>
            </w:r>
          </w:p>
        </w:tc>
        <w:tc>
          <w:tcPr>
            <w:tcW w:w="1520" w:type="dxa"/>
            <w:tcBorders>
              <w:top w:val="nil"/>
              <w:left w:val="nil"/>
              <w:bottom w:val="double" w:sz="6" w:space="0" w:color="auto"/>
              <w:right w:val="single" w:sz="8" w:space="0" w:color="auto"/>
            </w:tcBorders>
            <w:shd w:val="clear" w:color="000000" w:fill="FFFFFF"/>
            <w:hideMark/>
          </w:tcPr>
          <w:p w14:paraId="2ECB98BC"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01E1B991"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2.650</w:t>
            </w:r>
          </w:p>
        </w:tc>
        <w:tc>
          <w:tcPr>
            <w:tcW w:w="1260" w:type="dxa"/>
            <w:tcBorders>
              <w:top w:val="nil"/>
              <w:left w:val="nil"/>
              <w:bottom w:val="double" w:sz="6" w:space="0" w:color="auto"/>
              <w:right w:val="single" w:sz="8" w:space="0" w:color="auto"/>
            </w:tcBorders>
            <w:shd w:val="clear" w:color="000000" w:fill="FFFFFF"/>
            <w:hideMark/>
          </w:tcPr>
          <w:p w14:paraId="4B98AB18"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2.600</w:t>
            </w:r>
          </w:p>
        </w:tc>
        <w:tc>
          <w:tcPr>
            <w:tcW w:w="1710" w:type="dxa"/>
            <w:gridSpan w:val="2"/>
            <w:tcBorders>
              <w:top w:val="nil"/>
              <w:left w:val="nil"/>
              <w:bottom w:val="double" w:sz="6" w:space="0" w:color="auto"/>
              <w:right w:val="double" w:sz="6" w:space="0" w:color="auto"/>
            </w:tcBorders>
            <w:shd w:val="clear" w:color="000000" w:fill="FFFFFF"/>
            <w:hideMark/>
          </w:tcPr>
          <w:p w14:paraId="3AE8932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2.600</w:t>
            </w:r>
          </w:p>
        </w:tc>
      </w:tr>
      <w:tr w:rsidR="008144B4" w:rsidRPr="00EF2F18" w14:paraId="0CFB32A5" w14:textId="77777777" w:rsidTr="00892FDC">
        <w:trPr>
          <w:trHeight w:val="1344"/>
        </w:trPr>
        <w:tc>
          <w:tcPr>
            <w:tcW w:w="3320" w:type="dxa"/>
            <w:tcBorders>
              <w:top w:val="single" w:sz="4" w:space="0" w:color="auto"/>
              <w:left w:val="double" w:sz="6" w:space="0" w:color="auto"/>
              <w:bottom w:val="double" w:sz="6" w:space="0" w:color="auto"/>
              <w:right w:val="single" w:sz="8" w:space="0" w:color="auto"/>
            </w:tcBorders>
            <w:shd w:val="clear" w:color="000000" w:fill="FFFFFF"/>
            <w:hideMark/>
          </w:tcPr>
          <w:p w14:paraId="3DCF9127"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Максимално дозвољена количина сакупљених дивљих врста, годишње - печурка</w:t>
            </w:r>
          </w:p>
        </w:tc>
        <w:tc>
          <w:tcPr>
            <w:tcW w:w="1280" w:type="dxa"/>
            <w:tcBorders>
              <w:top w:val="single" w:sz="4" w:space="0" w:color="auto"/>
              <w:left w:val="nil"/>
              <w:bottom w:val="double" w:sz="6" w:space="0" w:color="auto"/>
              <w:right w:val="single" w:sz="8" w:space="0" w:color="auto"/>
            </w:tcBorders>
            <w:shd w:val="clear" w:color="000000" w:fill="FFFFFF"/>
            <w:hideMark/>
          </w:tcPr>
          <w:p w14:paraId="5F005C1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тона</w:t>
            </w:r>
          </w:p>
        </w:tc>
        <w:tc>
          <w:tcPr>
            <w:tcW w:w="1280" w:type="dxa"/>
            <w:tcBorders>
              <w:top w:val="single" w:sz="4" w:space="0" w:color="auto"/>
              <w:left w:val="nil"/>
              <w:bottom w:val="double" w:sz="6" w:space="0" w:color="auto"/>
              <w:right w:val="single" w:sz="8" w:space="0" w:color="auto"/>
            </w:tcBorders>
            <w:shd w:val="clear" w:color="000000" w:fill="FFFFFF"/>
            <w:hideMark/>
          </w:tcPr>
          <w:p w14:paraId="2BD9867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 АЗЖС</w:t>
            </w:r>
          </w:p>
        </w:tc>
        <w:tc>
          <w:tcPr>
            <w:tcW w:w="2000" w:type="dxa"/>
            <w:gridSpan w:val="2"/>
            <w:tcBorders>
              <w:top w:val="single" w:sz="4" w:space="0" w:color="auto"/>
              <w:left w:val="nil"/>
              <w:bottom w:val="double" w:sz="6" w:space="0" w:color="auto"/>
              <w:right w:val="single" w:sz="8" w:space="0" w:color="000000"/>
            </w:tcBorders>
            <w:shd w:val="clear" w:color="000000" w:fill="FFFFFF"/>
            <w:hideMark/>
          </w:tcPr>
          <w:p w14:paraId="53077DB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4.400</w:t>
            </w:r>
          </w:p>
        </w:tc>
        <w:tc>
          <w:tcPr>
            <w:tcW w:w="1520" w:type="dxa"/>
            <w:tcBorders>
              <w:top w:val="single" w:sz="4" w:space="0" w:color="auto"/>
              <w:left w:val="nil"/>
              <w:bottom w:val="double" w:sz="6" w:space="0" w:color="auto"/>
              <w:right w:val="single" w:sz="8" w:space="0" w:color="auto"/>
            </w:tcBorders>
            <w:shd w:val="clear" w:color="000000" w:fill="FFFFFF"/>
            <w:hideMark/>
          </w:tcPr>
          <w:p w14:paraId="616E6EB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287" w:type="dxa"/>
            <w:tcBorders>
              <w:top w:val="single" w:sz="4" w:space="0" w:color="auto"/>
              <w:left w:val="single" w:sz="4" w:space="0" w:color="auto"/>
              <w:bottom w:val="double" w:sz="6" w:space="0" w:color="auto"/>
              <w:right w:val="single" w:sz="8" w:space="0" w:color="auto"/>
            </w:tcBorders>
            <w:shd w:val="clear" w:color="000000" w:fill="FFFFFF"/>
            <w:hideMark/>
          </w:tcPr>
          <w:p w14:paraId="2441308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4.350</w:t>
            </w:r>
          </w:p>
        </w:tc>
        <w:tc>
          <w:tcPr>
            <w:tcW w:w="1260" w:type="dxa"/>
            <w:tcBorders>
              <w:top w:val="single" w:sz="4" w:space="0" w:color="auto"/>
              <w:left w:val="nil"/>
              <w:bottom w:val="double" w:sz="6" w:space="0" w:color="auto"/>
              <w:right w:val="single" w:sz="8" w:space="0" w:color="auto"/>
            </w:tcBorders>
            <w:shd w:val="clear" w:color="000000" w:fill="FFFFFF"/>
            <w:hideMark/>
          </w:tcPr>
          <w:p w14:paraId="73EEA96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4.300</w:t>
            </w:r>
          </w:p>
        </w:tc>
        <w:tc>
          <w:tcPr>
            <w:tcW w:w="1710" w:type="dxa"/>
            <w:gridSpan w:val="2"/>
            <w:tcBorders>
              <w:top w:val="single" w:sz="4" w:space="0" w:color="auto"/>
              <w:left w:val="nil"/>
              <w:bottom w:val="double" w:sz="6" w:space="0" w:color="auto"/>
              <w:right w:val="double" w:sz="6" w:space="0" w:color="auto"/>
            </w:tcBorders>
            <w:shd w:val="clear" w:color="000000" w:fill="FFFFFF"/>
            <w:hideMark/>
          </w:tcPr>
          <w:p w14:paraId="25E63E9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4.300</w:t>
            </w:r>
          </w:p>
        </w:tc>
      </w:tr>
      <w:tr w:rsidR="008144B4" w:rsidRPr="00EF2F18" w14:paraId="31522E2C" w14:textId="77777777" w:rsidTr="008144B4">
        <w:trPr>
          <w:trHeight w:val="1344"/>
        </w:trPr>
        <w:tc>
          <w:tcPr>
            <w:tcW w:w="3320" w:type="dxa"/>
            <w:tcBorders>
              <w:top w:val="nil"/>
              <w:left w:val="double" w:sz="6" w:space="0" w:color="auto"/>
              <w:bottom w:val="double" w:sz="6" w:space="0" w:color="auto"/>
              <w:right w:val="single" w:sz="8" w:space="0" w:color="auto"/>
            </w:tcBorders>
            <w:shd w:val="clear" w:color="000000" w:fill="FFFFFF"/>
            <w:hideMark/>
          </w:tcPr>
          <w:p w14:paraId="1BD2A1F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Максимално дозвољена количина сакупљених дивљих врста, годишње - пужеви</w:t>
            </w:r>
          </w:p>
        </w:tc>
        <w:tc>
          <w:tcPr>
            <w:tcW w:w="1280" w:type="dxa"/>
            <w:tcBorders>
              <w:top w:val="nil"/>
              <w:left w:val="nil"/>
              <w:bottom w:val="double" w:sz="6" w:space="0" w:color="auto"/>
              <w:right w:val="single" w:sz="8" w:space="0" w:color="auto"/>
            </w:tcBorders>
            <w:shd w:val="clear" w:color="000000" w:fill="FFFFFF"/>
            <w:hideMark/>
          </w:tcPr>
          <w:p w14:paraId="7A9D034E"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тона</w:t>
            </w:r>
          </w:p>
        </w:tc>
        <w:tc>
          <w:tcPr>
            <w:tcW w:w="1280" w:type="dxa"/>
            <w:tcBorders>
              <w:top w:val="nil"/>
              <w:left w:val="nil"/>
              <w:bottom w:val="double" w:sz="6" w:space="0" w:color="auto"/>
              <w:right w:val="single" w:sz="8" w:space="0" w:color="auto"/>
            </w:tcBorders>
            <w:shd w:val="clear" w:color="000000" w:fill="FFFFFF"/>
            <w:hideMark/>
          </w:tcPr>
          <w:p w14:paraId="7494C177"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 АЗЖС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09CEF56F"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1.100</w:t>
            </w:r>
          </w:p>
        </w:tc>
        <w:tc>
          <w:tcPr>
            <w:tcW w:w="1520" w:type="dxa"/>
            <w:tcBorders>
              <w:top w:val="nil"/>
              <w:left w:val="nil"/>
              <w:bottom w:val="double" w:sz="6" w:space="0" w:color="auto"/>
              <w:right w:val="single" w:sz="8" w:space="0" w:color="auto"/>
            </w:tcBorders>
            <w:shd w:val="clear" w:color="000000" w:fill="FFFFFF"/>
            <w:hideMark/>
          </w:tcPr>
          <w:p w14:paraId="63AA58E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2C4EA1C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1.070</w:t>
            </w:r>
          </w:p>
        </w:tc>
        <w:tc>
          <w:tcPr>
            <w:tcW w:w="1260" w:type="dxa"/>
            <w:tcBorders>
              <w:top w:val="nil"/>
              <w:left w:val="nil"/>
              <w:bottom w:val="double" w:sz="6" w:space="0" w:color="auto"/>
              <w:right w:val="single" w:sz="8" w:space="0" w:color="auto"/>
            </w:tcBorders>
            <w:shd w:val="clear" w:color="000000" w:fill="FFFFFF"/>
            <w:hideMark/>
          </w:tcPr>
          <w:p w14:paraId="5FA0DB48"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1.060</w:t>
            </w:r>
          </w:p>
        </w:tc>
        <w:tc>
          <w:tcPr>
            <w:tcW w:w="1710" w:type="dxa"/>
            <w:gridSpan w:val="2"/>
            <w:tcBorders>
              <w:top w:val="nil"/>
              <w:left w:val="nil"/>
              <w:bottom w:val="double" w:sz="6" w:space="0" w:color="auto"/>
              <w:right w:val="double" w:sz="6" w:space="0" w:color="auto"/>
            </w:tcBorders>
            <w:shd w:val="clear" w:color="000000" w:fill="FFFFFF"/>
            <w:hideMark/>
          </w:tcPr>
          <w:p w14:paraId="3909356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1.050</w:t>
            </w:r>
          </w:p>
        </w:tc>
      </w:tr>
    </w:tbl>
    <w:p w14:paraId="38C21697" w14:textId="77777777" w:rsidR="007D7243" w:rsidRPr="00EF2F18" w:rsidRDefault="007D7243" w:rsidP="007D7243">
      <w:pPr>
        <w:spacing w:after="0"/>
        <w:rPr>
          <w:sz w:val="20"/>
          <w:szCs w:val="20"/>
          <w:lang w:val="sr-Cyrl-RS"/>
        </w:rPr>
      </w:pPr>
    </w:p>
    <w:tbl>
      <w:tblPr>
        <w:tblW w:w="13567" w:type="dxa"/>
        <w:tblLook w:val="04A0" w:firstRow="1" w:lastRow="0" w:firstColumn="1" w:lastColumn="0" w:noHBand="0" w:noVBand="1"/>
      </w:tblPr>
      <w:tblGrid>
        <w:gridCol w:w="3800"/>
        <w:gridCol w:w="2480"/>
        <w:gridCol w:w="2337"/>
        <w:gridCol w:w="2340"/>
        <w:gridCol w:w="2603"/>
        <w:gridCol w:w="7"/>
      </w:tblGrid>
      <w:tr w:rsidR="007D7243" w:rsidRPr="00EF2F18" w14:paraId="4C3B383D" w14:textId="77777777" w:rsidTr="008144B4">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8E9791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FD675B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616DCC1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8144B4" w:rsidRPr="00EF2F18" w14:paraId="63C6E439" w14:textId="77777777" w:rsidTr="008144B4">
        <w:trPr>
          <w:trHeight w:val="336"/>
        </w:trPr>
        <w:tc>
          <w:tcPr>
            <w:tcW w:w="3800" w:type="dxa"/>
            <w:vMerge/>
            <w:tcBorders>
              <w:top w:val="double" w:sz="6" w:space="0" w:color="auto"/>
              <w:left w:val="double" w:sz="6" w:space="0" w:color="auto"/>
              <w:bottom w:val="single" w:sz="8" w:space="0" w:color="000000"/>
              <w:right w:val="double" w:sz="6" w:space="0" w:color="auto"/>
            </w:tcBorders>
            <w:hideMark/>
          </w:tcPr>
          <w:p w14:paraId="16E96A9B" w14:textId="77777777" w:rsidR="008144B4" w:rsidRPr="00EF2F18" w:rsidRDefault="008144B4"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hideMark/>
          </w:tcPr>
          <w:p w14:paraId="13AB8C1C" w14:textId="77777777" w:rsidR="008144B4" w:rsidRPr="00EF2F18" w:rsidRDefault="008144B4"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shd w:val="clear" w:color="000000" w:fill="A8D08D"/>
            <w:hideMark/>
          </w:tcPr>
          <w:p w14:paraId="00E6115D" w14:textId="2DF033D1" w:rsidR="008144B4"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8144B4" w:rsidRPr="00EF2F18">
              <w:rPr>
                <w:rFonts w:eastAsia="Times New Roman" w:cs="Times New Roman"/>
                <w:sz w:val="20"/>
                <w:szCs w:val="20"/>
                <w:lang w:val="sr-Cyrl-RS" w:eastAsia="en-GB"/>
              </w:rPr>
              <w:t xml:space="preserve"> 2026. године</w:t>
            </w:r>
          </w:p>
        </w:tc>
        <w:tc>
          <w:tcPr>
            <w:tcW w:w="2340" w:type="dxa"/>
            <w:tcBorders>
              <w:top w:val="nil"/>
              <w:left w:val="nil"/>
              <w:bottom w:val="double" w:sz="6" w:space="0" w:color="auto"/>
              <w:right w:val="double" w:sz="6" w:space="0" w:color="auto"/>
            </w:tcBorders>
            <w:shd w:val="clear" w:color="000000" w:fill="A8D08D"/>
            <w:hideMark/>
          </w:tcPr>
          <w:p w14:paraId="1534DF2D" w14:textId="7D7AB380"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610" w:type="dxa"/>
            <w:gridSpan w:val="2"/>
            <w:tcBorders>
              <w:top w:val="nil"/>
              <w:left w:val="nil"/>
              <w:bottom w:val="double" w:sz="6" w:space="0" w:color="auto"/>
              <w:right w:val="double" w:sz="6" w:space="0" w:color="auto"/>
            </w:tcBorders>
            <w:shd w:val="clear" w:color="000000" w:fill="A8D08D"/>
            <w:hideMark/>
          </w:tcPr>
          <w:p w14:paraId="28627247" w14:textId="646694EE"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8144B4" w:rsidRPr="00EF2F18" w14:paraId="3AA61126" w14:textId="77777777" w:rsidTr="008144B4">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602E396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685D331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337" w:type="dxa"/>
            <w:tcBorders>
              <w:top w:val="nil"/>
              <w:left w:val="nil"/>
              <w:bottom w:val="double" w:sz="6" w:space="0" w:color="auto"/>
              <w:right w:val="double" w:sz="6" w:space="0" w:color="auto"/>
            </w:tcBorders>
          </w:tcPr>
          <w:p w14:paraId="1BB6859D" w14:textId="6D81C20C" w:rsidR="008144B4" w:rsidRPr="00EF2F18" w:rsidRDefault="008144B4" w:rsidP="00752CA0">
            <w:pPr>
              <w:spacing w:after="0"/>
              <w:jc w:val="right"/>
              <w:rPr>
                <w:rFonts w:eastAsia="Times New Roman" w:cs="Times New Roman"/>
                <w:color w:val="000000"/>
                <w:sz w:val="20"/>
                <w:szCs w:val="20"/>
                <w:lang w:val="sr-Cyrl-RS" w:eastAsia="en-GB"/>
              </w:rPr>
            </w:pPr>
          </w:p>
        </w:tc>
        <w:tc>
          <w:tcPr>
            <w:tcW w:w="2340" w:type="dxa"/>
            <w:tcBorders>
              <w:top w:val="nil"/>
              <w:left w:val="nil"/>
              <w:bottom w:val="double" w:sz="6" w:space="0" w:color="auto"/>
              <w:right w:val="double" w:sz="6" w:space="0" w:color="auto"/>
            </w:tcBorders>
          </w:tcPr>
          <w:p w14:paraId="4430A1D7" w14:textId="0EA1BAA3" w:rsidR="008144B4" w:rsidRPr="00EF2F18" w:rsidRDefault="008144B4" w:rsidP="00752CA0">
            <w:pPr>
              <w:spacing w:after="0"/>
              <w:jc w:val="right"/>
              <w:rPr>
                <w:rFonts w:eastAsia="Times New Roman" w:cs="Times New Roman"/>
                <w:color w:val="000000"/>
                <w:sz w:val="20"/>
                <w:szCs w:val="20"/>
                <w:lang w:val="sr-Cyrl-RS" w:eastAsia="en-GB"/>
              </w:rPr>
            </w:pPr>
          </w:p>
        </w:tc>
        <w:tc>
          <w:tcPr>
            <w:tcW w:w="2610" w:type="dxa"/>
            <w:gridSpan w:val="2"/>
            <w:tcBorders>
              <w:top w:val="nil"/>
              <w:left w:val="nil"/>
              <w:bottom w:val="double" w:sz="6" w:space="0" w:color="auto"/>
              <w:right w:val="double" w:sz="6" w:space="0" w:color="auto"/>
            </w:tcBorders>
            <w:shd w:val="clear" w:color="000000" w:fill="FFFFFF"/>
          </w:tcPr>
          <w:p w14:paraId="18BD8BBA" w14:textId="2866E667" w:rsidR="008144B4" w:rsidRPr="00EF2F18" w:rsidRDefault="008144B4" w:rsidP="00752CA0">
            <w:pPr>
              <w:spacing w:after="0"/>
              <w:jc w:val="right"/>
              <w:rPr>
                <w:rFonts w:eastAsia="Times New Roman" w:cs="Times New Roman"/>
                <w:color w:val="000000"/>
                <w:sz w:val="20"/>
                <w:szCs w:val="20"/>
                <w:lang w:val="sr-Cyrl-RS" w:eastAsia="en-GB"/>
              </w:rPr>
            </w:pPr>
          </w:p>
        </w:tc>
      </w:tr>
    </w:tbl>
    <w:p w14:paraId="0FECA996" w14:textId="3699FB65" w:rsidR="007D7243" w:rsidRPr="00EF2F18" w:rsidRDefault="007D7243" w:rsidP="007D7243">
      <w:pPr>
        <w:rPr>
          <w:rFonts w:cs="Times New Roman"/>
          <w:sz w:val="20"/>
          <w:szCs w:val="20"/>
          <w:lang w:val="sr-Cyrl-RS"/>
        </w:rPr>
      </w:pPr>
    </w:p>
    <w:p w14:paraId="4C4E2D8E" w14:textId="77777777" w:rsidR="0041705F" w:rsidRPr="00EF2F18" w:rsidRDefault="0041705F" w:rsidP="007D7243">
      <w:pPr>
        <w:rPr>
          <w:rFonts w:cs="Times New Roman"/>
          <w:sz w:val="20"/>
          <w:szCs w:val="20"/>
          <w:lang w:val="sr-Cyrl-RS"/>
        </w:rPr>
      </w:pPr>
    </w:p>
    <w:tbl>
      <w:tblPr>
        <w:tblW w:w="13567" w:type="dxa"/>
        <w:tblLook w:val="04A0" w:firstRow="1" w:lastRow="0" w:firstColumn="1" w:lastColumn="0" w:noHBand="0" w:noVBand="1"/>
      </w:tblPr>
      <w:tblGrid>
        <w:gridCol w:w="2691"/>
        <w:gridCol w:w="1259"/>
        <w:gridCol w:w="1384"/>
        <w:gridCol w:w="1182"/>
        <w:gridCol w:w="1691"/>
        <w:gridCol w:w="1340"/>
        <w:gridCol w:w="1320"/>
        <w:gridCol w:w="1170"/>
        <w:gridCol w:w="1530"/>
      </w:tblGrid>
      <w:tr w:rsidR="007D7243" w:rsidRPr="00EF2F18" w14:paraId="30F32D49" w14:textId="77777777" w:rsidTr="008144B4">
        <w:trPr>
          <w:trHeight w:val="732"/>
        </w:trPr>
        <w:tc>
          <w:tcPr>
            <w:tcW w:w="2691"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05329D9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1D5336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384"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B21C61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9B8573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FF7A0A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9DA997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20" w:type="dxa"/>
            <w:gridSpan w:val="3"/>
            <w:tcBorders>
              <w:top w:val="double" w:sz="6" w:space="0" w:color="auto"/>
              <w:left w:val="nil"/>
              <w:bottom w:val="single" w:sz="8" w:space="0" w:color="auto"/>
              <w:right w:val="double" w:sz="6" w:space="0" w:color="auto"/>
            </w:tcBorders>
            <w:shd w:val="clear" w:color="000000" w:fill="FFF2CC"/>
            <w:hideMark/>
          </w:tcPr>
          <w:p w14:paraId="323EDEB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8144B4" w:rsidRPr="00EF2F18" w14:paraId="7A29EEE7" w14:textId="77777777" w:rsidTr="008144B4">
        <w:trPr>
          <w:trHeight w:val="324"/>
        </w:trPr>
        <w:tc>
          <w:tcPr>
            <w:tcW w:w="2691" w:type="dxa"/>
            <w:vMerge/>
            <w:tcBorders>
              <w:top w:val="double" w:sz="6" w:space="0" w:color="auto"/>
              <w:left w:val="double" w:sz="6" w:space="0" w:color="auto"/>
              <w:bottom w:val="single" w:sz="8" w:space="0" w:color="000000"/>
              <w:right w:val="single" w:sz="8" w:space="0" w:color="auto"/>
            </w:tcBorders>
            <w:vAlign w:val="center"/>
            <w:hideMark/>
          </w:tcPr>
          <w:p w14:paraId="7C1D0755" w14:textId="77777777" w:rsidR="008144B4" w:rsidRPr="00EF2F18" w:rsidRDefault="008144B4" w:rsidP="00752CA0">
            <w:pPr>
              <w:spacing w:after="0"/>
              <w:rPr>
                <w:rFonts w:eastAsia="Times New Roman" w:cs="Times New Roman"/>
                <w:color w:val="000000"/>
                <w:sz w:val="20"/>
                <w:szCs w:val="20"/>
                <w:lang w:val="sr-Cyrl-RS" w:eastAsia="en-GB"/>
              </w:rPr>
            </w:pPr>
          </w:p>
        </w:tc>
        <w:tc>
          <w:tcPr>
            <w:tcW w:w="1259" w:type="dxa"/>
            <w:vMerge/>
            <w:tcBorders>
              <w:top w:val="double" w:sz="6" w:space="0" w:color="auto"/>
              <w:left w:val="single" w:sz="8" w:space="0" w:color="auto"/>
              <w:bottom w:val="single" w:sz="8" w:space="0" w:color="000000"/>
              <w:right w:val="single" w:sz="8" w:space="0" w:color="auto"/>
            </w:tcBorders>
            <w:vAlign w:val="center"/>
            <w:hideMark/>
          </w:tcPr>
          <w:p w14:paraId="00AF4277" w14:textId="77777777" w:rsidR="008144B4" w:rsidRPr="00EF2F18" w:rsidRDefault="008144B4" w:rsidP="00752CA0">
            <w:pPr>
              <w:spacing w:after="0"/>
              <w:rPr>
                <w:rFonts w:eastAsia="Times New Roman" w:cs="Times New Roman"/>
                <w:color w:val="000000"/>
                <w:sz w:val="20"/>
                <w:szCs w:val="20"/>
                <w:lang w:val="sr-Cyrl-RS" w:eastAsia="en-GB"/>
              </w:rPr>
            </w:pPr>
          </w:p>
        </w:tc>
        <w:tc>
          <w:tcPr>
            <w:tcW w:w="1384" w:type="dxa"/>
            <w:vMerge/>
            <w:tcBorders>
              <w:top w:val="double" w:sz="6" w:space="0" w:color="auto"/>
              <w:left w:val="single" w:sz="8" w:space="0" w:color="auto"/>
              <w:bottom w:val="single" w:sz="8" w:space="0" w:color="000000"/>
              <w:right w:val="single" w:sz="8" w:space="0" w:color="auto"/>
            </w:tcBorders>
            <w:vAlign w:val="center"/>
            <w:hideMark/>
          </w:tcPr>
          <w:p w14:paraId="5E958900" w14:textId="77777777" w:rsidR="008144B4" w:rsidRPr="00EF2F18" w:rsidRDefault="008144B4"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29B5A091" w14:textId="77777777" w:rsidR="008144B4" w:rsidRPr="00EF2F18" w:rsidRDefault="008144B4"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37DD9845" w14:textId="77777777" w:rsidR="008144B4" w:rsidRPr="00EF2F18" w:rsidRDefault="008144B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4B274E61" w14:textId="77777777" w:rsidR="008144B4" w:rsidRPr="00EF2F18" w:rsidRDefault="008144B4" w:rsidP="00752CA0">
            <w:pPr>
              <w:spacing w:after="0"/>
              <w:rPr>
                <w:rFonts w:eastAsia="Times New Roman" w:cs="Times New Roman"/>
                <w:color w:val="000000"/>
                <w:sz w:val="20"/>
                <w:szCs w:val="20"/>
                <w:lang w:val="sr-Cyrl-RS" w:eastAsia="en-GB"/>
              </w:rPr>
            </w:pPr>
          </w:p>
        </w:tc>
        <w:tc>
          <w:tcPr>
            <w:tcW w:w="1320" w:type="dxa"/>
            <w:tcBorders>
              <w:top w:val="nil"/>
              <w:left w:val="nil"/>
              <w:bottom w:val="single" w:sz="8" w:space="0" w:color="auto"/>
              <w:right w:val="single" w:sz="8" w:space="0" w:color="auto"/>
            </w:tcBorders>
            <w:shd w:val="clear" w:color="000000" w:fill="FFF2CC"/>
            <w:hideMark/>
          </w:tcPr>
          <w:p w14:paraId="3FF2C5BC" w14:textId="2DD90438"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5F98A05A" w14:textId="6A9EBF4D"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w:t>
            </w:r>
          </w:p>
        </w:tc>
        <w:tc>
          <w:tcPr>
            <w:tcW w:w="1530" w:type="dxa"/>
            <w:tcBorders>
              <w:top w:val="nil"/>
              <w:left w:val="nil"/>
              <w:bottom w:val="single" w:sz="8" w:space="0" w:color="auto"/>
              <w:right w:val="double" w:sz="6" w:space="0" w:color="auto"/>
            </w:tcBorders>
            <w:shd w:val="clear" w:color="000000" w:fill="FFF2CC"/>
            <w:hideMark/>
          </w:tcPr>
          <w:p w14:paraId="7D4C7B7A" w14:textId="7E1E772F"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8144B4" w:rsidRPr="00EF2F18" w14:paraId="37DD905E" w14:textId="77777777" w:rsidTr="00383185">
        <w:trPr>
          <w:trHeight w:val="804"/>
        </w:trPr>
        <w:tc>
          <w:tcPr>
            <w:tcW w:w="2691" w:type="dxa"/>
            <w:tcBorders>
              <w:top w:val="single" w:sz="4" w:space="0" w:color="auto"/>
              <w:left w:val="double" w:sz="6" w:space="0" w:color="auto"/>
              <w:bottom w:val="single" w:sz="8" w:space="0" w:color="auto"/>
              <w:right w:val="single" w:sz="8" w:space="0" w:color="auto"/>
            </w:tcBorders>
            <w:hideMark/>
          </w:tcPr>
          <w:p w14:paraId="35BF103A"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4.1.5.1. Доношење прописа о коришћењу природних ресурса са аспекта екосистемских услуга</w:t>
            </w:r>
          </w:p>
        </w:tc>
        <w:tc>
          <w:tcPr>
            <w:tcW w:w="1259" w:type="dxa"/>
            <w:tcBorders>
              <w:top w:val="single" w:sz="4" w:space="0" w:color="auto"/>
              <w:left w:val="nil"/>
              <w:bottom w:val="single" w:sz="8" w:space="0" w:color="auto"/>
              <w:right w:val="single" w:sz="8" w:space="0" w:color="auto"/>
            </w:tcBorders>
            <w:hideMark/>
          </w:tcPr>
          <w:p w14:paraId="7DDE41B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84" w:type="dxa"/>
            <w:tcBorders>
              <w:top w:val="single" w:sz="4" w:space="0" w:color="auto"/>
              <w:left w:val="nil"/>
              <w:bottom w:val="single" w:sz="8" w:space="0" w:color="auto"/>
              <w:right w:val="single" w:sz="8" w:space="0" w:color="auto"/>
            </w:tcBorders>
            <w:hideMark/>
          </w:tcPr>
          <w:p w14:paraId="528C99C5"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Управа за шуме, ЗЗПС, ПЗЗП</w:t>
            </w:r>
          </w:p>
        </w:tc>
        <w:tc>
          <w:tcPr>
            <w:tcW w:w="1182" w:type="dxa"/>
            <w:tcBorders>
              <w:top w:val="single" w:sz="4" w:space="0" w:color="auto"/>
              <w:left w:val="nil"/>
              <w:bottom w:val="single" w:sz="8" w:space="0" w:color="auto"/>
              <w:right w:val="single" w:sz="8" w:space="0" w:color="auto"/>
            </w:tcBorders>
            <w:hideMark/>
          </w:tcPr>
          <w:p w14:paraId="76F3F7B3"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087285C4"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2C826DDF"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320" w:type="dxa"/>
            <w:tcBorders>
              <w:top w:val="single" w:sz="4" w:space="0" w:color="auto"/>
              <w:left w:val="nil"/>
              <w:bottom w:val="single" w:sz="8" w:space="0" w:color="auto"/>
              <w:right w:val="single" w:sz="8" w:space="0" w:color="auto"/>
            </w:tcBorders>
          </w:tcPr>
          <w:p w14:paraId="6606879F" w14:textId="2A762A10" w:rsidR="008144B4" w:rsidRPr="00EF2F18" w:rsidRDefault="008144B4" w:rsidP="00752CA0">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238DB994" w14:textId="04401BC6" w:rsidR="008144B4" w:rsidRPr="00EF2F18" w:rsidRDefault="008144B4" w:rsidP="00752CA0">
            <w:pPr>
              <w:spacing w:after="0"/>
              <w:jc w:val="right"/>
              <w:rPr>
                <w:rFonts w:eastAsia="Times New Roman" w:cs="Times New Roman"/>
                <w:color w:val="000000"/>
                <w:sz w:val="20"/>
                <w:szCs w:val="20"/>
                <w:lang w:val="sr-Cyrl-RS" w:eastAsia="en-GB"/>
              </w:rPr>
            </w:pPr>
          </w:p>
        </w:tc>
        <w:tc>
          <w:tcPr>
            <w:tcW w:w="1530" w:type="dxa"/>
            <w:tcBorders>
              <w:top w:val="single" w:sz="4" w:space="0" w:color="auto"/>
              <w:left w:val="nil"/>
              <w:bottom w:val="single" w:sz="8" w:space="0" w:color="auto"/>
              <w:right w:val="double" w:sz="6" w:space="0" w:color="auto"/>
            </w:tcBorders>
          </w:tcPr>
          <w:p w14:paraId="0F151BF0" w14:textId="025E22B7" w:rsidR="008144B4" w:rsidRPr="00EF2F18" w:rsidRDefault="008144B4" w:rsidP="00752CA0">
            <w:pPr>
              <w:spacing w:after="0"/>
              <w:jc w:val="right"/>
              <w:rPr>
                <w:rFonts w:eastAsia="Times New Roman" w:cs="Times New Roman"/>
                <w:color w:val="000000"/>
                <w:sz w:val="20"/>
                <w:szCs w:val="20"/>
                <w:lang w:val="sr-Cyrl-RS" w:eastAsia="en-GB"/>
              </w:rPr>
            </w:pPr>
          </w:p>
        </w:tc>
      </w:tr>
      <w:tr w:rsidR="008144B4" w:rsidRPr="00EF2F18" w14:paraId="6CA9B641" w14:textId="77777777" w:rsidTr="008144B4">
        <w:trPr>
          <w:trHeight w:val="1068"/>
        </w:trPr>
        <w:tc>
          <w:tcPr>
            <w:tcW w:w="2691" w:type="dxa"/>
            <w:tcBorders>
              <w:top w:val="nil"/>
              <w:left w:val="double" w:sz="6" w:space="0" w:color="auto"/>
              <w:bottom w:val="double" w:sz="6" w:space="0" w:color="auto"/>
              <w:right w:val="single" w:sz="8" w:space="0" w:color="auto"/>
            </w:tcBorders>
            <w:hideMark/>
          </w:tcPr>
          <w:p w14:paraId="49F8393E"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4.1.5.2. Дефинисање методологије за процену и праћење стања екосистемских услуга </w:t>
            </w:r>
          </w:p>
        </w:tc>
        <w:tc>
          <w:tcPr>
            <w:tcW w:w="1259" w:type="dxa"/>
            <w:tcBorders>
              <w:top w:val="nil"/>
              <w:left w:val="nil"/>
              <w:bottom w:val="double" w:sz="6" w:space="0" w:color="auto"/>
              <w:right w:val="single" w:sz="8" w:space="0" w:color="auto"/>
            </w:tcBorders>
            <w:hideMark/>
          </w:tcPr>
          <w:p w14:paraId="52B8EA38"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84" w:type="dxa"/>
            <w:tcBorders>
              <w:top w:val="nil"/>
              <w:left w:val="nil"/>
              <w:bottom w:val="double" w:sz="6" w:space="0" w:color="auto"/>
              <w:right w:val="single" w:sz="8" w:space="0" w:color="auto"/>
            </w:tcBorders>
            <w:hideMark/>
          </w:tcPr>
          <w:p w14:paraId="1AFE595C"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w:t>
            </w:r>
          </w:p>
        </w:tc>
        <w:tc>
          <w:tcPr>
            <w:tcW w:w="1182" w:type="dxa"/>
            <w:tcBorders>
              <w:top w:val="nil"/>
              <w:left w:val="nil"/>
              <w:bottom w:val="double" w:sz="6" w:space="0" w:color="auto"/>
              <w:right w:val="single" w:sz="8" w:space="0" w:color="auto"/>
            </w:tcBorders>
            <w:hideMark/>
          </w:tcPr>
          <w:p w14:paraId="2AB6F14B"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4753A00A"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hideMark/>
          </w:tcPr>
          <w:p w14:paraId="6E2F78A5"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320" w:type="dxa"/>
            <w:tcBorders>
              <w:top w:val="nil"/>
              <w:left w:val="nil"/>
              <w:bottom w:val="double" w:sz="6" w:space="0" w:color="auto"/>
              <w:right w:val="single" w:sz="8" w:space="0" w:color="auto"/>
            </w:tcBorders>
          </w:tcPr>
          <w:p w14:paraId="2709B528" w14:textId="5F2B37DF" w:rsidR="008144B4" w:rsidRPr="00EF2F18" w:rsidRDefault="008144B4"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double" w:sz="6" w:space="0" w:color="auto"/>
              <w:right w:val="single" w:sz="8" w:space="0" w:color="auto"/>
            </w:tcBorders>
          </w:tcPr>
          <w:p w14:paraId="3A77909B" w14:textId="1885C6E0" w:rsidR="008144B4" w:rsidRPr="00EF2F18" w:rsidRDefault="008144B4"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double" w:sz="6" w:space="0" w:color="auto"/>
              <w:right w:val="double" w:sz="6" w:space="0" w:color="auto"/>
            </w:tcBorders>
          </w:tcPr>
          <w:p w14:paraId="17F35251" w14:textId="70668771" w:rsidR="008144B4" w:rsidRPr="00EF2F18" w:rsidRDefault="008144B4" w:rsidP="00752CA0">
            <w:pPr>
              <w:spacing w:after="0"/>
              <w:jc w:val="right"/>
              <w:rPr>
                <w:rFonts w:eastAsia="Times New Roman" w:cs="Times New Roman"/>
                <w:color w:val="000000"/>
                <w:sz w:val="20"/>
                <w:szCs w:val="20"/>
                <w:lang w:val="sr-Cyrl-RS" w:eastAsia="en-GB"/>
              </w:rPr>
            </w:pPr>
          </w:p>
        </w:tc>
      </w:tr>
    </w:tbl>
    <w:p w14:paraId="24F182FC" w14:textId="77777777" w:rsidR="00382D07" w:rsidRPr="00EF2F18" w:rsidRDefault="00382D07" w:rsidP="007D7243">
      <w:pPr>
        <w:rPr>
          <w:rFonts w:cs="Times New Roman"/>
          <w:sz w:val="20"/>
          <w:szCs w:val="20"/>
          <w:lang w:val="sr-Cyrl-RS"/>
        </w:rPr>
      </w:pPr>
    </w:p>
    <w:tbl>
      <w:tblPr>
        <w:tblW w:w="13567" w:type="dxa"/>
        <w:tblLook w:val="04A0" w:firstRow="1" w:lastRow="0" w:firstColumn="1" w:lastColumn="0" w:noHBand="0" w:noVBand="1"/>
      </w:tblPr>
      <w:tblGrid>
        <w:gridCol w:w="3320"/>
        <w:gridCol w:w="1280"/>
        <w:gridCol w:w="1280"/>
        <w:gridCol w:w="1000"/>
        <w:gridCol w:w="894"/>
        <w:gridCol w:w="1520"/>
        <w:gridCol w:w="1060"/>
        <w:gridCol w:w="1593"/>
        <w:gridCol w:w="1595"/>
        <w:gridCol w:w="25"/>
      </w:tblGrid>
      <w:tr w:rsidR="007D7243" w:rsidRPr="00EF2F18" w14:paraId="198F01C6" w14:textId="77777777" w:rsidTr="00EA7147">
        <w:trPr>
          <w:gridAfter w:val="1"/>
          <w:wAfter w:w="25" w:type="dxa"/>
          <w:trHeight w:val="612"/>
        </w:trPr>
        <w:tc>
          <w:tcPr>
            <w:tcW w:w="13542"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68B5029"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4.1.6: Успостављање праћења утицаја климатских промена на биодиверзитет и утицај биодиверзитета на ублажавање ефеката климатских промена</w:t>
            </w:r>
          </w:p>
        </w:tc>
      </w:tr>
      <w:tr w:rsidR="007D7243" w:rsidRPr="00EF2F18" w14:paraId="29B65B66" w14:textId="77777777" w:rsidTr="00EA7147">
        <w:trPr>
          <w:gridAfter w:val="1"/>
          <w:wAfter w:w="25" w:type="dxa"/>
          <w:trHeight w:val="336"/>
        </w:trPr>
        <w:tc>
          <w:tcPr>
            <w:tcW w:w="13542"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1E43CA58"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684B723C" w14:textId="77777777" w:rsidTr="00EA7147">
        <w:trPr>
          <w:gridAfter w:val="1"/>
          <w:wAfter w:w="25"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3DD3231" w14:textId="5641B3E3"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8144B4"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662" w:type="dxa"/>
            <w:gridSpan w:val="5"/>
            <w:tcBorders>
              <w:top w:val="double" w:sz="6" w:space="0" w:color="auto"/>
              <w:left w:val="nil"/>
              <w:bottom w:val="double" w:sz="6" w:space="0" w:color="auto"/>
              <w:right w:val="double" w:sz="6" w:space="0" w:color="auto"/>
            </w:tcBorders>
            <w:shd w:val="clear" w:color="000000" w:fill="F7CAAC"/>
            <w:hideMark/>
          </w:tcPr>
          <w:p w14:paraId="67DB6F58"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22065DA3" w14:textId="77777777" w:rsidTr="00EA7147">
        <w:trPr>
          <w:gridAfter w:val="1"/>
          <w:wAfter w:w="25"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16A5DE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62" w:type="dxa"/>
            <w:gridSpan w:val="5"/>
            <w:tcBorders>
              <w:top w:val="double" w:sz="6" w:space="0" w:color="auto"/>
              <w:left w:val="nil"/>
              <w:bottom w:val="double" w:sz="6" w:space="0" w:color="auto"/>
              <w:right w:val="double" w:sz="6" w:space="0" w:color="auto"/>
            </w:tcBorders>
            <w:shd w:val="clear" w:color="000000" w:fill="F7CAAC"/>
            <w:hideMark/>
          </w:tcPr>
          <w:p w14:paraId="58A08B2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8144B4" w:rsidRPr="00EF2F18" w14:paraId="33777C55" w14:textId="77777777" w:rsidTr="00EA7147">
        <w:trPr>
          <w:trHeight w:val="1035"/>
        </w:trPr>
        <w:tc>
          <w:tcPr>
            <w:tcW w:w="3320" w:type="dxa"/>
            <w:tcBorders>
              <w:top w:val="nil"/>
              <w:left w:val="double" w:sz="6" w:space="0" w:color="auto"/>
              <w:bottom w:val="double" w:sz="6" w:space="0" w:color="auto"/>
              <w:right w:val="single" w:sz="8" w:space="0" w:color="auto"/>
            </w:tcBorders>
            <w:shd w:val="clear" w:color="000000" w:fill="D9D9D9"/>
            <w:hideMark/>
          </w:tcPr>
          <w:p w14:paraId="6942F839"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4939A3E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4350F4A3"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894" w:type="dxa"/>
            <w:gridSpan w:val="2"/>
            <w:tcBorders>
              <w:top w:val="double" w:sz="6" w:space="0" w:color="auto"/>
              <w:left w:val="nil"/>
              <w:bottom w:val="double" w:sz="6" w:space="0" w:color="auto"/>
              <w:right w:val="single" w:sz="8" w:space="0" w:color="000000"/>
            </w:tcBorders>
            <w:shd w:val="clear" w:color="000000" w:fill="D9D9D9"/>
            <w:hideMark/>
          </w:tcPr>
          <w:p w14:paraId="13C5DB66"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287E84C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0BEA488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93" w:type="dxa"/>
            <w:tcBorders>
              <w:top w:val="nil"/>
              <w:left w:val="nil"/>
              <w:bottom w:val="double" w:sz="6" w:space="0" w:color="auto"/>
              <w:right w:val="single" w:sz="8" w:space="0" w:color="auto"/>
            </w:tcBorders>
            <w:shd w:val="clear" w:color="000000" w:fill="D9D9D9"/>
            <w:hideMark/>
          </w:tcPr>
          <w:p w14:paraId="35EC0302"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gridSpan w:val="2"/>
            <w:tcBorders>
              <w:top w:val="nil"/>
              <w:left w:val="nil"/>
              <w:bottom w:val="double" w:sz="6" w:space="0" w:color="auto"/>
              <w:right w:val="double" w:sz="6" w:space="0" w:color="auto"/>
            </w:tcBorders>
            <w:shd w:val="clear" w:color="000000" w:fill="D9D9D9"/>
            <w:hideMark/>
          </w:tcPr>
          <w:p w14:paraId="3A3C3985"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8144B4" w:rsidRPr="00EF2F18" w14:paraId="1CFDC541" w14:textId="77777777" w:rsidTr="00EA7147">
        <w:trPr>
          <w:trHeight w:val="2393"/>
        </w:trPr>
        <w:tc>
          <w:tcPr>
            <w:tcW w:w="3320" w:type="dxa"/>
            <w:tcBorders>
              <w:top w:val="nil"/>
              <w:left w:val="double" w:sz="6" w:space="0" w:color="auto"/>
              <w:bottom w:val="double" w:sz="6" w:space="0" w:color="auto"/>
              <w:right w:val="single" w:sz="8" w:space="0" w:color="auto"/>
            </w:tcBorders>
            <w:shd w:val="clear" w:color="000000" w:fill="FFFFFF"/>
            <w:hideMark/>
          </w:tcPr>
          <w:p w14:paraId="09E99AA1" w14:textId="77777777" w:rsidR="008144B4" w:rsidRPr="00EF2F18" w:rsidRDefault="008144B4"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Број развијених индикатора прилагођавања и ублажавања ефеката климатских промена на природне екосистеме и дивље врсте флоре и фауне осетљиве и отпорне на климатске промене, укупно</w:t>
            </w:r>
          </w:p>
        </w:tc>
        <w:tc>
          <w:tcPr>
            <w:tcW w:w="1280" w:type="dxa"/>
            <w:tcBorders>
              <w:top w:val="nil"/>
              <w:left w:val="nil"/>
              <w:bottom w:val="double" w:sz="6" w:space="0" w:color="auto"/>
              <w:right w:val="single" w:sz="8" w:space="0" w:color="auto"/>
            </w:tcBorders>
            <w:shd w:val="clear" w:color="000000" w:fill="FFFFFF"/>
            <w:hideMark/>
          </w:tcPr>
          <w:p w14:paraId="61DDCC7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14FA7B27"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Извештај МРЕ, Извештај АЗЖС, Извештај ЗЗПС, Извештај ПЗЗП, Извештаји Управљача</w:t>
            </w:r>
          </w:p>
        </w:tc>
        <w:tc>
          <w:tcPr>
            <w:tcW w:w="1894" w:type="dxa"/>
            <w:gridSpan w:val="2"/>
            <w:tcBorders>
              <w:top w:val="double" w:sz="6" w:space="0" w:color="auto"/>
              <w:left w:val="nil"/>
              <w:bottom w:val="double" w:sz="6" w:space="0" w:color="auto"/>
              <w:right w:val="single" w:sz="8" w:space="0" w:color="000000"/>
            </w:tcBorders>
            <w:shd w:val="clear" w:color="000000" w:fill="FFFFFF"/>
            <w:hideMark/>
          </w:tcPr>
          <w:p w14:paraId="6853534B"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5FAF5310"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060" w:type="dxa"/>
            <w:tcBorders>
              <w:top w:val="nil"/>
              <w:left w:val="single" w:sz="4" w:space="0" w:color="auto"/>
              <w:bottom w:val="double" w:sz="6" w:space="0" w:color="auto"/>
              <w:right w:val="single" w:sz="8" w:space="0" w:color="auto"/>
            </w:tcBorders>
            <w:shd w:val="clear" w:color="000000" w:fill="FFFFFF"/>
            <w:hideMark/>
          </w:tcPr>
          <w:p w14:paraId="34B05B89"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c>
          <w:tcPr>
            <w:tcW w:w="1593" w:type="dxa"/>
            <w:tcBorders>
              <w:top w:val="nil"/>
              <w:left w:val="nil"/>
              <w:bottom w:val="double" w:sz="6" w:space="0" w:color="auto"/>
              <w:right w:val="single" w:sz="8" w:space="0" w:color="auto"/>
            </w:tcBorders>
            <w:shd w:val="clear" w:color="000000" w:fill="FFFFFF"/>
            <w:hideMark/>
          </w:tcPr>
          <w:p w14:paraId="6CB45ACD"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c>
          <w:tcPr>
            <w:tcW w:w="1620" w:type="dxa"/>
            <w:gridSpan w:val="2"/>
            <w:tcBorders>
              <w:top w:val="nil"/>
              <w:left w:val="nil"/>
              <w:bottom w:val="double" w:sz="6" w:space="0" w:color="auto"/>
              <w:right w:val="double" w:sz="6" w:space="0" w:color="auto"/>
            </w:tcBorders>
            <w:shd w:val="clear" w:color="000000" w:fill="FFFFFF"/>
            <w:hideMark/>
          </w:tcPr>
          <w:p w14:paraId="5E0C67FA" w14:textId="77777777" w:rsidR="008144B4" w:rsidRPr="00EF2F18" w:rsidRDefault="008144B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p>
        </w:tc>
      </w:tr>
    </w:tbl>
    <w:p w14:paraId="4E850383" w14:textId="77777777" w:rsidR="007D7243" w:rsidRPr="00EF2F18" w:rsidRDefault="007D7243" w:rsidP="007D7243">
      <w:pPr>
        <w:spacing w:after="0"/>
        <w:rPr>
          <w:sz w:val="20"/>
          <w:szCs w:val="20"/>
          <w:lang w:val="sr-Cyrl-RS"/>
        </w:rPr>
      </w:pPr>
      <w:r w:rsidRPr="00EF2F18">
        <w:rPr>
          <w:sz w:val="20"/>
          <w:szCs w:val="20"/>
          <w:lang w:val="sr-Cyrl-RS"/>
        </w:rPr>
        <w:t xml:space="preserve"> </w:t>
      </w:r>
    </w:p>
    <w:p w14:paraId="0CE83FB6" w14:textId="77777777" w:rsidR="007620E6" w:rsidRPr="00EF2F18" w:rsidRDefault="007620E6" w:rsidP="007D7243">
      <w:pPr>
        <w:spacing w:after="0"/>
        <w:rPr>
          <w:sz w:val="20"/>
          <w:szCs w:val="20"/>
          <w:lang w:val="sr-Cyrl-RS"/>
        </w:rPr>
      </w:pPr>
    </w:p>
    <w:p w14:paraId="03A64BEF" w14:textId="77777777" w:rsidR="007620E6" w:rsidRPr="00EF2F18" w:rsidRDefault="007620E6" w:rsidP="007D7243">
      <w:pPr>
        <w:spacing w:after="0"/>
        <w:rPr>
          <w:sz w:val="20"/>
          <w:szCs w:val="20"/>
          <w:lang w:val="sr-Cyrl-RS"/>
        </w:rPr>
      </w:pPr>
    </w:p>
    <w:p w14:paraId="48B8C1B4" w14:textId="77777777" w:rsidR="007620E6" w:rsidRPr="00EF2F18" w:rsidRDefault="007620E6" w:rsidP="007D7243">
      <w:pPr>
        <w:spacing w:after="0"/>
        <w:rPr>
          <w:sz w:val="20"/>
          <w:szCs w:val="20"/>
          <w:lang w:val="sr-Cyrl-RS"/>
        </w:rPr>
      </w:pPr>
    </w:p>
    <w:p w14:paraId="5FF03EAA" w14:textId="77777777" w:rsidR="007620E6" w:rsidRPr="00EF2F18" w:rsidRDefault="007620E6" w:rsidP="007D7243">
      <w:pPr>
        <w:spacing w:after="0"/>
        <w:rPr>
          <w:sz w:val="20"/>
          <w:szCs w:val="20"/>
          <w:lang w:val="sr-Cyrl-RS"/>
        </w:rPr>
      </w:pPr>
    </w:p>
    <w:tbl>
      <w:tblPr>
        <w:tblW w:w="13567" w:type="dxa"/>
        <w:tblLook w:val="04A0" w:firstRow="1" w:lastRow="0" w:firstColumn="1" w:lastColumn="0" w:noHBand="0" w:noVBand="1"/>
      </w:tblPr>
      <w:tblGrid>
        <w:gridCol w:w="3800"/>
        <w:gridCol w:w="2480"/>
        <w:gridCol w:w="1820"/>
        <w:gridCol w:w="2587"/>
        <w:gridCol w:w="2873"/>
        <w:gridCol w:w="7"/>
      </w:tblGrid>
      <w:tr w:rsidR="007D7243" w:rsidRPr="00EF2F18" w14:paraId="3312407D" w14:textId="77777777" w:rsidTr="00EA7147">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FE49B9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03107D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540731E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A7147" w:rsidRPr="00EF2F18" w14:paraId="6D767EFA" w14:textId="77777777" w:rsidTr="00EA7147">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5E40BF85" w14:textId="77777777" w:rsidR="00EA7147" w:rsidRPr="00EF2F18" w:rsidRDefault="00EA7147"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75002F6C" w14:textId="77777777" w:rsidR="00EA7147" w:rsidRPr="00EF2F18" w:rsidRDefault="00EA7147"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5B588B1F" w14:textId="39B92D18"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587" w:type="dxa"/>
            <w:tcBorders>
              <w:top w:val="nil"/>
              <w:left w:val="nil"/>
              <w:bottom w:val="double" w:sz="6" w:space="0" w:color="auto"/>
              <w:right w:val="double" w:sz="6" w:space="0" w:color="auto"/>
            </w:tcBorders>
            <w:shd w:val="clear" w:color="000000" w:fill="A8D08D"/>
            <w:hideMark/>
          </w:tcPr>
          <w:p w14:paraId="6EDE0ECF" w14:textId="793B25EF"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880" w:type="dxa"/>
            <w:gridSpan w:val="2"/>
            <w:tcBorders>
              <w:top w:val="nil"/>
              <w:left w:val="nil"/>
              <w:bottom w:val="double" w:sz="6" w:space="0" w:color="auto"/>
              <w:right w:val="double" w:sz="6" w:space="0" w:color="auto"/>
            </w:tcBorders>
            <w:shd w:val="clear" w:color="000000" w:fill="A8D08D"/>
            <w:hideMark/>
          </w:tcPr>
          <w:p w14:paraId="57EB0047" w14:textId="2D85AFD4"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A7147" w:rsidRPr="00EF2F18" w14:paraId="52B54D76" w14:textId="77777777" w:rsidTr="00EA7147">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75F23F31"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696F3D19"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820" w:type="dxa"/>
            <w:tcBorders>
              <w:top w:val="nil"/>
              <w:left w:val="nil"/>
              <w:bottom w:val="double" w:sz="6" w:space="0" w:color="auto"/>
              <w:right w:val="double" w:sz="6" w:space="0" w:color="auto"/>
            </w:tcBorders>
          </w:tcPr>
          <w:p w14:paraId="572F1278" w14:textId="6721710F" w:rsidR="00EA7147" w:rsidRPr="00EF2F18" w:rsidRDefault="00EA7147" w:rsidP="00752CA0">
            <w:pPr>
              <w:spacing w:after="0"/>
              <w:jc w:val="right"/>
              <w:rPr>
                <w:rFonts w:eastAsia="Times New Roman" w:cs="Times New Roman"/>
                <w:color w:val="000000"/>
                <w:sz w:val="20"/>
                <w:szCs w:val="20"/>
                <w:lang w:val="sr-Cyrl-RS" w:eastAsia="en-GB"/>
              </w:rPr>
            </w:pPr>
          </w:p>
        </w:tc>
        <w:tc>
          <w:tcPr>
            <w:tcW w:w="2587" w:type="dxa"/>
            <w:tcBorders>
              <w:top w:val="nil"/>
              <w:left w:val="nil"/>
              <w:bottom w:val="double" w:sz="6" w:space="0" w:color="auto"/>
              <w:right w:val="double" w:sz="6" w:space="0" w:color="auto"/>
            </w:tcBorders>
          </w:tcPr>
          <w:p w14:paraId="43E45A56" w14:textId="13A97606" w:rsidR="00EA7147" w:rsidRPr="00EF2F18" w:rsidRDefault="00EA7147" w:rsidP="00752CA0">
            <w:pPr>
              <w:spacing w:after="0"/>
              <w:jc w:val="right"/>
              <w:rPr>
                <w:rFonts w:eastAsia="Times New Roman" w:cs="Times New Roman"/>
                <w:color w:val="000000"/>
                <w:sz w:val="20"/>
                <w:szCs w:val="20"/>
                <w:lang w:val="sr-Cyrl-RS" w:eastAsia="en-GB"/>
              </w:rPr>
            </w:pPr>
          </w:p>
        </w:tc>
        <w:tc>
          <w:tcPr>
            <w:tcW w:w="2880" w:type="dxa"/>
            <w:gridSpan w:val="2"/>
            <w:tcBorders>
              <w:top w:val="nil"/>
              <w:left w:val="nil"/>
              <w:bottom w:val="double" w:sz="6" w:space="0" w:color="auto"/>
              <w:right w:val="double" w:sz="6" w:space="0" w:color="auto"/>
            </w:tcBorders>
            <w:shd w:val="clear" w:color="000000" w:fill="FFFFFF"/>
          </w:tcPr>
          <w:p w14:paraId="2A6A7FCB" w14:textId="6B400FC2" w:rsidR="00EA7147" w:rsidRPr="00EF2F18" w:rsidRDefault="00EA7147" w:rsidP="00752CA0">
            <w:pPr>
              <w:spacing w:after="0"/>
              <w:jc w:val="right"/>
              <w:rPr>
                <w:rFonts w:eastAsia="Times New Roman" w:cs="Times New Roman"/>
                <w:color w:val="000000"/>
                <w:sz w:val="20"/>
                <w:szCs w:val="20"/>
                <w:lang w:val="sr-Cyrl-RS" w:eastAsia="en-GB"/>
              </w:rPr>
            </w:pPr>
          </w:p>
        </w:tc>
      </w:tr>
      <w:tr w:rsidR="00EA7147" w:rsidRPr="00EF2F18" w14:paraId="4AED859F" w14:textId="77777777" w:rsidTr="00EA7147">
        <w:trPr>
          <w:trHeight w:val="522"/>
        </w:trPr>
        <w:tc>
          <w:tcPr>
            <w:tcW w:w="3800" w:type="dxa"/>
            <w:tcBorders>
              <w:top w:val="nil"/>
              <w:left w:val="double" w:sz="6" w:space="0" w:color="auto"/>
              <w:bottom w:val="double" w:sz="6" w:space="0" w:color="auto"/>
              <w:right w:val="double" w:sz="6" w:space="0" w:color="auto"/>
            </w:tcBorders>
            <w:shd w:val="clear" w:color="000000" w:fill="FFFFFF"/>
            <w:hideMark/>
          </w:tcPr>
          <w:p w14:paraId="26F402FC"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p w14:paraId="106982FC" w14:textId="1BFC8E9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sr-Cyrl-RS"/>
              </w:rPr>
              <w:t>(средства не пролазе кроз буџет РС)</w:t>
            </w:r>
          </w:p>
        </w:tc>
        <w:tc>
          <w:tcPr>
            <w:tcW w:w="2480" w:type="dxa"/>
            <w:tcBorders>
              <w:top w:val="nil"/>
              <w:left w:val="nil"/>
              <w:bottom w:val="double" w:sz="6" w:space="0" w:color="auto"/>
              <w:right w:val="double" w:sz="6" w:space="0" w:color="auto"/>
            </w:tcBorders>
            <w:shd w:val="clear" w:color="000000" w:fill="FFFFFF"/>
            <w:hideMark/>
          </w:tcPr>
          <w:p w14:paraId="3AD2AC3A" w14:textId="41023E75" w:rsidR="00EA7147" w:rsidRPr="00EF2F18" w:rsidRDefault="00EA7147" w:rsidP="00752CA0">
            <w:pPr>
              <w:spacing w:after="0"/>
              <w:rPr>
                <w:rFonts w:eastAsia="Times New Roman" w:cs="Times New Roman"/>
                <w:color w:val="000000"/>
                <w:sz w:val="18"/>
                <w:szCs w:val="18"/>
                <w:lang w:val="sr-Cyrl-RS" w:eastAsia="en-GB"/>
              </w:rPr>
            </w:pPr>
          </w:p>
        </w:tc>
        <w:tc>
          <w:tcPr>
            <w:tcW w:w="1820" w:type="dxa"/>
            <w:tcBorders>
              <w:top w:val="nil"/>
              <w:left w:val="nil"/>
              <w:bottom w:val="double" w:sz="6" w:space="0" w:color="auto"/>
              <w:right w:val="double" w:sz="6" w:space="0" w:color="auto"/>
            </w:tcBorders>
            <w:hideMark/>
          </w:tcPr>
          <w:p w14:paraId="31D27F95" w14:textId="77777777" w:rsidR="00EA7147" w:rsidRPr="00EF2F18" w:rsidRDefault="00EA7147"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2.212</w:t>
            </w:r>
          </w:p>
        </w:tc>
        <w:tc>
          <w:tcPr>
            <w:tcW w:w="2587" w:type="dxa"/>
            <w:tcBorders>
              <w:top w:val="nil"/>
              <w:left w:val="nil"/>
              <w:bottom w:val="double" w:sz="6" w:space="0" w:color="auto"/>
              <w:right w:val="double" w:sz="6" w:space="0" w:color="auto"/>
            </w:tcBorders>
          </w:tcPr>
          <w:p w14:paraId="737553BD" w14:textId="5C8C4009" w:rsidR="00EA7147" w:rsidRPr="00EF2F18" w:rsidRDefault="00EA7147" w:rsidP="00752CA0">
            <w:pPr>
              <w:spacing w:after="0"/>
              <w:jc w:val="right"/>
              <w:rPr>
                <w:rFonts w:eastAsia="Times New Roman" w:cs="Times New Roman"/>
                <w:color w:val="000000"/>
                <w:sz w:val="20"/>
                <w:szCs w:val="20"/>
                <w:lang w:val="sr-Cyrl-RS" w:eastAsia="en-GB"/>
              </w:rPr>
            </w:pPr>
          </w:p>
        </w:tc>
        <w:tc>
          <w:tcPr>
            <w:tcW w:w="2880" w:type="dxa"/>
            <w:gridSpan w:val="2"/>
            <w:tcBorders>
              <w:top w:val="nil"/>
              <w:left w:val="nil"/>
              <w:bottom w:val="double" w:sz="6" w:space="0" w:color="auto"/>
              <w:right w:val="double" w:sz="6" w:space="0" w:color="auto"/>
            </w:tcBorders>
            <w:shd w:val="clear" w:color="000000" w:fill="FFFFFF"/>
          </w:tcPr>
          <w:p w14:paraId="771A66FA" w14:textId="2A962167" w:rsidR="00EA7147" w:rsidRPr="00EF2F18" w:rsidRDefault="00EA7147" w:rsidP="00752CA0">
            <w:pPr>
              <w:spacing w:after="0"/>
              <w:jc w:val="right"/>
              <w:rPr>
                <w:rFonts w:eastAsia="Times New Roman" w:cs="Times New Roman"/>
                <w:color w:val="000000"/>
                <w:sz w:val="20"/>
                <w:szCs w:val="20"/>
                <w:lang w:val="sr-Cyrl-RS" w:eastAsia="en-GB"/>
              </w:rPr>
            </w:pPr>
          </w:p>
        </w:tc>
      </w:tr>
    </w:tbl>
    <w:p w14:paraId="04757D7A" w14:textId="77777777" w:rsidR="00382D07" w:rsidRPr="00EF2F18" w:rsidRDefault="00382D07" w:rsidP="007D7243">
      <w:pPr>
        <w:rPr>
          <w:rFonts w:cs="Times New Roman"/>
          <w:sz w:val="20"/>
          <w:szCs w:val="20"/>
          <w:lang w:val="sr-Cyrl-RS"/>
        </w:rPr>
      </w:pPr>
    </w:p>
    <w:tbl>
      <w:tblPr>
        <w:tblW w:w="13803" w:type="dxa"/>
        <w:tblCellMar>
          <w:top w:w="15" w:type="dxa"/>
        </w:tblCellMar>
        <w:tblLook w:val="04A0" w:firstRow="1" w:lastRow="0" w:firstColumn="1" w:lastColumn="0" w:noHBand="0" w:noVBand="1"/>
      </w:tblPr>
      <w:tblGrid>
        <w:gridCol w:w="2861"/>
        <w:gridCol w:w="1244"/>
        <w:gridCol w:w="1259"/>
        <w:gridCol w:w="1182"/>
        <w:gridCol w:w="1691"/>
        <w:gridCol w:w="1340"/>
        <w:gridCol w:w="1200"/>
        <w:gridCol w:w="1170"/>
        <w:gridCol w:w="1620"/>
        <w:gridCol w:w="236"/>
      </w:tblGrid>
      <w:tr w:rsidR="007D7243" w:rsidRPr="00EF2F18" w14:paraId="54140214" w14:textId="77777777" w:rsidTr="00EA7147">
        <w:trPr>
          <w:gridAfter w:val="1"/>
          <w:wAfter w:w="236" w:type="dxa"/>
          <w:trHeight w:val="732"/>
        </w:trPr>
        <w:tc>
          <w:tcPr>
            <w:tcW w:w="2861"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55379B9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44"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158703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5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8D65DC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2D7722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E4429F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80B187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990" w:type="dxa"/>
            <w:gridSpan w:val="3"/>
            <w:tcBorders>
              <w:top w:val="double" w:sz="6" w:space="0" w:color="auto"/>
              <w:left w:val="nil"/>
              <w:bottom w:val="single" w:sz="8" w:space="0" w:color="auto"/>
              <w:right w:val="double" w:sz="6" w:space="0" w:color="auto"/>
            </w:tcBorders>
            <w:shd w:val="clear" w:color="000000" w:fill="FFF2CC"/>
            <w:hideMark/>
          </w:tcPr>
          <w:p w14:paraId="7CB5589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A7147" w:rsidRPr="00EF2F18" w14:paraId="1F199435" w14:textId="77777777" w:rsidTr="00EA7147">
        <w:trPr>
          <w:gridAfter w:val="1"/>
          <w:wAfter w:w="236" w:type="dxa"/>
          <w:trHeight w:val="324"/>
        </w:trPr>
        <w:tc>
          <w:tcPr>
            <w:tcW w:w="2861" w:type="dxa"/>
            <w:vMerge/>
            <w:tcBorders>
              <w:top w:val="double" w:sz="6" w:space="0" w:color="auto"/>
              <w:left w:val="double" w:sz="6" w:space="0" w:color="auto"/>
              <w:bottom w:val="single" w:sz="8" w:space="0" w:color="000000"/>
              <w:right w:val="single" w:sz="8" w:space="0" w:color="auto"/>
            </w:tcBorders>
            <w:vAlign w:val="center"/>
            <w:hideMark/>
          </w:tcPr>
          <w:p w14:paraId="1EA08AB7" w14:textId="77777777" w:rsidR="00EA7147" w:rsidRPr="00EF2F18" w:rsidRDefault="00EA7147" w:rsidP="00752CA0">
            <w:pPr>
              <w:spacing w:after="0"/>
              <w:rPr>
                <w:rFonts w:eastAsia="Times New Roman" w:cs="Times New Roman"/>
                <w:color w:val="000000"/>
                <w:sz w:val="20"/>
                <w:szCs w:val="20"/>
                <w:lang w:val="sr-Cyrl-RS" w:eastAsia="en-GB"/>
              </w:rPr>
            </w:pPr>
          </w:p>
        </w:tc>
        <w:tc>
          <w:tcPr>
            <w:tcW w:w="1244" w:type="dxa"/>
            <w:vMerge/>
            <w:tcBorders>
              <w:top w:val="double" w:sz="6" w:space="0" w:color="auto"/>
              <w:left w:val="single" w:sz="8" w:space="0" w:color="auto"/>
              <w:bottom w:val="single" w:sz="8" w:space="0" w:color="000000"/>
              <w:right w:val="single" w:sz="8" w:space="0" w:color="auto"/>
            </w:tcBorders>
            <w:vAlign w:val="center"/>
            <w:hideMark/>
          </w:tcPr>
          <w:p w14:paraId="0FF652F8" w14:textId="77777777" w:rsidR="00EA7147" w:rsidRPr="00EF2F18" w:rsidRDefault="00EA7147" w:rsidP="00752CA0">
            <w:pPr>
              <w:spacing w:after="0"/>
              <w:rPr>
                <w:rFonts w:eastAsia="Times New Roman" w:cs="Times New Roman"/>
                <w:color w:val="000000"/>
                <w:sz w:val="20"/>
                <w:szCs w:val="20"/>
                <w:lang w:val="sr-Cyrl-RS" w:eastAsia="en-GB"/>
              </w:rPr>
            </w:pPr>
          </w:p>
        </w:tc>
        <w:tc>
          <w:tcPr>
            <w:tcW w:w="1259" w:type="dxa"/>
            <w:vMerge/>
            <w:tcBorders>
              <w:top w:val="double" w:sz="6" w:space="0" w:color="auto"/>
              <w:left w:val="single" w:sz="8" w:space="0" w:color="auto"/>
              <w:bottom w:val="single" w:sz="8" w:space="0" w:color="000000"/>
              <w:right w:val="single" w:sz="8" w:space="0" w:color="auto"/>
            </w:tcBorders>
            <w:vAlign w:val="center"/>
            <w:hideMark/>
          </w:tcPr>
          <w:p w14:paraId="77D9A851" w14:textId="77777777" w:rsidR="00EA7147" w:rsidRPr="00EF2F18" w:rsidRDefault="00EA7147"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741B1C6A" w14:textId="77777777" w:rsidR="00EA7147" w:rsidRPr="00EF2F18" w:rsidRDefault="00EA7147"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4F1E0B6A" w14:textId="77777777" w:rsidR="00EA7147" w:rsidRPr="00EF2F18" w:rsidRDefault="00EA7147"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4EA8B38E" w14:textId="77777777" w:rsidR="00EA7147" w:rsidRPr="00EF2F18" w:rsidRDefault="00EA7147" w:rsidP="00752CA0">
            <w:pPr>
              <w:spacing w:after="0"/>
              <w:rPr>
                <w:rFonts w:eastAsia="Times New Roman" w:cs="Times New Roman"/>
                <w:color w:val="000000"/>
                <w:sz w:val="20"/>
                <w:szCs w:val="20"/>
                <w:lang w:val="sr-Cyrl-RS" w:eastAsia="en-GB"/>
              </w:rPr>
            </w:pPr>
          </w:p>
        </w:tc>
        <w:tc>
          <w:tcPr>
            <w:tcW w:w="1200" w:type="dxa"/>
            <w:tcBorders>
              <w:top w:val="nil"/>
              <w:left w:val="nil"/>
              <w:bottom w:val="single" w:sz="8" w:space="0" w:color="auto"/>
              <w:right w:val="single" w:sz="8" w:space="0" w:color="auto"/>
            </w:tcBorders>
            <w:shd w:val="clear" w:color="000000" w:fill="FFF2CC"/>
            <w:hideMark/>
          </w:tcPr>
          <w:p w14:paraId="626C561F" w14:textId="7B484CAC"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7130D73F" w14:textId="17A3A128"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620" w:type="dxa"/>
            <w:tcBorders>
              <w:top w:val="nil"/>
              <w:left w:val="nil"/>
              <w:bottom w:val="single" w:sz="8" w:space="0" w:color="auto"/>
              <w:right w:val="double" w:sz="6" w:space="0" w:color="auto"/>
            </w:tcBorders>
            <w:shd w:val="clear" w:color="000000" w:fill="FFF2CC"/>
            <w:hideMark/>
          </w:tcPr>
          <w:p w14:paraId="79BE92FB" w14:textId="339D1145"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EA7147" w:rsidRPr="00EF2F18" w14:paraId="699E3571" w14:textId="77777777" w:rsidTr="00EA7147">
        <w:trPr>
          <w:gridAfter w:val="1"/>
          <w:wAfter w:w="236" w:type="dxa"/>
          <w:trHeight w:val="2052"/>
        </w:trPr>
        <w:tc>
          <w:tcPr>
            <w:tcW w:w="2861" w:type="dxa"/>
            <w:vMerge w:val="restart"/>
            <w:tcBorders>
              <w:top w:val="nil"/>
              <w:left w:val="double" w:sz="6" w:space="0" w:color="auto"/>
              <w:bottom w:val="single" w:sz="8" w:space="0" w:color="000000"/>
              <w:right w:val="single" w:sz="8" w:space="0" w:color="auto"/>
            </w:tcBorders>
            <w:hideMark/>
          </w:tcPr>
          <w:p w14:paraId="335773D2"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4.1.6.1. Дефинисање методологија и индикатора, броја врста, станишта и екосистема на којима се врши праћење утицаја климатских промена на биодиверзитет и израда националне процене осетљивости биодиверзитета на климатске промене</w:t>
            </w:r>
          </w:p>
        </w:tc>
        <w:tc>
          <w:tcPr>
            <w:tcW w:w="1244" w:type="dxa"/>
            <w:vMerge w:val="restart"/>
            <w:tcBorders>
              <w:top w:val="nil"/>
              <w:left w:val="single" w:sz="8" w:space="0" w:color="auto"/>
              <w:bottom w:val="single" w:sz="8" w:space="0" w:color="000000"/>
              <w:right w:val="single" w:sz="8" w:space="0" w:color="auto"/>
            </w:tcBorders>
            <w:hideMark/>
          </w:tcPr>
          <w:p w14:paraId="3D030C77"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59" w:type="dxa"/>
            <w:vMerge w:val="restart"/>
            <w:tcBorders>
              <w:top w:val="nil"/>
              <w:left w:val="single" w:sz="8" w:space="0" w:color="auto"/>
              <w:bottom w:val="single" w:sz="8" w:space="0" w:color="000000"/>
              <w:right w:val="single" w:sz="8" w:space="0" w:color="auto"/>
            </w:tcBorders>
            <w:hideMark/>
          </w:tcPr>
          <w:p w14:paraId="39020E84"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МРЕ, АЗЖС, ЗЗПС, ПЗЗП, Управљачи</w:t>
            </w:r>
          </w:p>
        </w:tc>
        <w:tc>
          <w:tcPr>
            <w:tcW w:w="1182" w:type="dxa"/>
            <w:vMerge w:val="restart"/>
            <w:tcBorders>
              <w:top w:val="nil"/>
              <w:left w:val="single" w:sz="8" w:space="0" w:color="auto"/>
              <w:bottom w:val="single" w:sz="8" w:space="0" w:color="000000"/>
              <w:right w:val="single" w:sz="8" w:space="0" w:color="auto"/>
            </w:tcBorders>
            <w:hideMark/>
          </w:tcPr>
          <w:p w14:paraId="1EF3BD44"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vMerge w:val="restart"/>
            <w:tcBorders>
              <w:top w:val="nil"/>
              <w:left w:val="single" w:sz="8" w:space="0" w:color="auto"/>
              <w:bottom w:val="single" w:sz="8" w:space="0" w:color="000000"/>
              <w:right w:val="single" w:sz="8" w:space="0" w:color="auto"/>
            </w:tcBorders>
            <w:hideMark/>
          </w:tcPr>
          <w:p w14:paraId="529AB1C7"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p w14:paraId="0C493E7C" w14:textId="1B933BDC"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sr-Cyrl-RS"/>
              </w:rPr>
              <w:t>(средства не пролазе кроз буџет РС)</w:t>
            </w:r>
          </w:p>
          <w:p w14:paraId="07B08EFB" w14:textId="77777777" w:rsidR="00EA7147" w:rsidRPr="00EF2F18" w:rsidRDefault="00EA7147" w:rsidP="00752CA0">
            <w:pPr>
              <w:spacing w:after="0"/>
              <w:rPr>
                <w:rFonts w:eastAsia="Times New Roman" w:cs="Times New Roman"/>
                <w:color w:val="000000"/>
                <w:sz w:val="20"/>
                <w:szCs w:val="20"/>
                <w:lang w:val="sr-Cyrl-RS" w:eastAsia="en-GB"/>
              </w:rPr>
            </w:pPr>
          </w:p>
        </w:tc>
        <w:tc>
          <w:tcPr>
            <w:tcW w:w="1340" w:type="dxa"/>
            <w:vMerge w:val="restart"/>
            <w:tcBorders>
              <w:top w:val="nil"/>
              <w:left w:val="single" w:sz="8" w:space="0" w:color="auto"/>
              <w:bottom w:val="single" w:sz="8" w:space="0" w:color="000000"/>
              <w:right w:val="single" w:sz="8" w:space="0" w:color="auto"/>
            </w:tcBorders>
          </w:tcPr>
          <w:p w14:paraId="1B69EC48" w14:textId="22993983" w:rsidR="00EA7147" w:rsidRPr="00EF2F18" w:rsidRDefault="00EA7147" w:rsidP="00752CA0">
            <w:pPr>
              <w:spacing w:after="0"/>
              <w:rPr>
                <w:rFonts w:eastAsia="Times New Roman" w:cs="Times New Roman"/>
                <w:color w:val="000000"/>
                <w:sz w:val="20"/>
                <w:szCs w:val="20"/>
                <w:lang w:val="sr-Cyrl-RS" w:eastAsia="en-GB"/>
              </w:rPr>
            </w:pPr>
          </w:p>
        </w:tc>
        <w:tc>
          <w:tcPr>
            <w:tcW w:w="1200" w:type="dxa"/>
            <w:vMerge w:val="restart"/>
            <w:tcBorders>
              <w:top w:val="nil"/>
              <w:left w:val="single" w:sz="8" w:space="0" w:color="auto"/>
              <w:bottom w:val="single" w:sz="8" w:space="0" w:color="000000"/>
              <w:right w:val="single" w:sz="8" w:space="0" w:color="auto"/>
            </w:tcBorders>
            <w:hideMark/>
          </w:tcPr>
          <w:p w14:paraId="3EFD725E" w14:textId="77777777" w:rsidR="00EA7147" w:rsidRPr="00EF2F18" w:rsidRDefault="00EA7147"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2.212</w:t>
            </w:r>
          </w:p>
        </w:tc>
        <w:tc>
          <w:tcPr>
            <w:tcW w:w="1170" w:type="dxa"/>
            <w:vMerge w:val="restart"/>
            <w:tcBorders>
              <w:top w:val="nil"/>
              <w:left w:val="single" w:sz="8" w:space="0" w:color="auto"/>
              <w:bottom w:val="single" w:sz="8" w:space="0" w:color="000000"/>
              <w:right w:val="single" w:sz="8" w:space="0" w:color="auto"/>
            </w:tcBorders>
          </w:tcPr>
          <w:p w14:paraId="1C19441C" w14:textId="57884A5A" w:rsidR="00EA7147" w:rsidRPr="00EF2F18" w:rsidRDefault="00EA7147" w:rsidP="00752CA0">
            <w:pPr>
              <w:spacing w:after="0"/>
              <w:jc w:val="right"/>
              <w:rPr>
                <w:rFonts w:eastAsia="Times New Roman" w:cs="Times New Roman"/>
                <w:color w:val="000000"/>
                <w:sz w:val="20"/>
                <w:szCs w:val="20"/>
                <w:lang w:val="sr-Cyrl-RS" w:eastAsia="en-GB"/>
              </w:rPr>
            </w:pPr>
          </w:p>
        </w:tc>
        <w:tc>
          <w:tcPr>
            <w:tcW w:w="1620" w:type="dxa"/>
            <w:vMerge w:val="restart"/>
            <w:tcBorders>
              <w:top w:val="nil"/>
              <w:left w:val="single" w:sz="8" w:space="0" w:color="auto"/>
              <w:bottom w:val="single" w:sz="8" w:space="0" w:color="000000"/>
              <w:right w:val="double" w:sz="6" w:space="0" w:color="auto"/>
            </w:tcBorders>
          </w:tcPr>
          <w:p w14:paraId="1056B659" w14:textId="10639643" w:rsidR="00EA7147" w:rsidRPr="00EF2F18" w:rsidRDefault="00EA7147" w:rsidP="00752CA0">
            <w:pPr>
              <w:spacing w:after="0"/>
              <w:jc w:val="right"/>
              <w:rPr>
                <w:rFonts w:eastAsia="Times New Roman" w:cs="Times New Roman"/>
                <w:color w:val="000000"/>
                <w:sz w:val="20"/>
                <w:szCs w:val="20"/>
                <w:lang w:val="sr-Cyrl-RS" w:eastAsia="en-GB"/>
              </w:rPr>
            </w:pPr>
          </w:p>
        </w:tc>
      </w:tr>
      <w:tr w:rsidR="00EA7147" w:rsidRPr="00EF2F18" w14:paraId="42BE4450" w14:textId="77777777" w:rsidTr="00EA7147">
        <w:trPr>
          <w:trHeight w:val="70"/>
        </w:trPr>
        <w:tc>
          <w:tcPr>
            <w:tcW w:w="2861" w:type="dxa"/>
            <w:vMerge/>
            <w:tcBorders>
              <w:top w:val="nil"/>
              <w:left w:val="double" w:sz="6" w:space="0" w:color="auto"/>
              <w:bottom w:val="single" w:sz="8" w:space="0" w:color="000000"/>
              <w:right w:val="single" w:sz="8" w:space="0" w:color="auto"/>
            </w:tcBorders>
            <w:vAlign w:val="center"/>
            <w:hideMark/>
          </w:tcPr>
          <w:p w14:paraId="75752A55" w14:textId="77777777" w:rsidR="00EA7147" w:rsidRPr="00EF2F18" w:rsidRDefault="00EA7147" w:rsidP="00752CA0">
            <w:pPr>
              <w:spacing w:after="0"/>
              <w:rPr>
                <w:rFonts w:eastAsia="Times New Roman" w:cs="Times New Roman"/>
                <w:color w:val="000000"/>
                <w:sz w:val="20"/>
                <w:szCs w:val="20"/>
                <w:lang w:val="sr-Cyrl-RS" w:eastAsia="en-GB"/>
              </w:rPr>
            </w:pPr>
          </w:p>
        </w:tc>
        <w:tc>
          <w:tcPr>
            <w:tcW w:w="1244" w:type="dxa"/>
            <w:vMerge/>
            <w:tcBorders>
              <w:top w:val="nil"/>
              <w:left w:val="single" w:sz="8" w:space="0" w:color="auto"/>
              <w:bottom w:val="single" w:sz="8" w:space="0" w:color="000000"/>
              <w:right w:val="single" w:sz="8" w:space="0" w:color="auto"/>
            </w:tcBorders>
            <w:vAlign w:val="center"/>
            <w:hideMark/>
          </w:tcPr>
          <w:p w14:paraId="2AE5E981" w14:textId="77777777" w:rsidR="00EA7147" w:rsidRPr="00EF2F18" w:rsidRDefault="00EA7147" w:rsidP="00752CA0">
            <w:pPr>
              <w:spacing w:after="0"/>
              <w:rPr>
                <w:rFonts w:eastAsia="Times New Roman" w:cs="Times New Roman"/>
                <w:color w:val="000000"/>
                <w:sz w:val="20"/>
                <w:szCs w:val="20"/>
                <w:lang w:val="sr-Cyrl-RS" w:eastAsia="en-GB"/>
              </w:rPr>
            </w:pPr>
          </w:p>
        </w:tc>
        <w:tc>
          <w:tcPr>
            <w:tcW w:w="1259" w:type="dxa"/>
            <w:vMerge/>
            <w:tcBorders>
              <w:top w:val="nil"/>
              <w:left w:val="single" w:sz="8" w:space="0" w:color="auto"/>
              <w:bottom w:val="single" w:sz="8" w:space="0" w:color="000000"/>
              <w:right w:val="single" w:sz="8" w:space="0" w:color="auto"/>
            </w:tcBorders>
            <w:vAlign w:val="center"/>
            <w:hideMark/>
          </w:tcPr>
          <w:p w14:paraId="513BBF9F" w14:textId="77777777" w:rsidR="00EA7147" w:rsidRPr="00EF2F18" w:rsidRDefault="00EA7147"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single" w:sz="8" w:space="0" w:color="000000"/>
              <w:right w:val="single" w:sz="8" w:space="0" w:color="auto"/>
            </w:tcBorders>
            <w:vAlign w:val="center"/>
            <w:hideMark/>
          </w:tcPr>
          <w:p w14:paraId="7C3314B8" w14:textId="77777777" w:rsidR="00EA7147" w:rsidRPr="00EF2F18" w:rsidRDefault="00EA7147" w:rsidP="00752CA0">
            <w:pPr>
              <w:spacing w:after="0"/>
              <w:rPr>
                <w:rFonts w:eastAsia="Times New Roman" w:cs="Times New Roman"/>
                <w:color w:val="000000"/>
                <w:sz w:val="20"/>
                <w:szCs w:val="20"/>
                <w:lang w:val="sr-Cyrl-RS" w:eastAsia="en-GB"/>
              </w:rPr>
            </w:pPr>
          </w:p>
        </w:tc>
        <w:tc>
          <w:tcPr>
            <w:tcW w:w="1691" w:type="dxa"/>
            <w:vMerge/>
            <w:tcBorders>
              <w:top w:val="nil"/>
              <w:left w:val="single" w:sz="8" w:space="0" w:color="auto"/>
              <w:bottom w:val="single" w:sz="8" w:space="0" w:color="000000"/>
              <w:right w:val="single" w:sz="8" w:space="0" w:color="auto"/>
            </w:tcBorders>
            <w:vAlign w:val="center"/>
            <w:hideMark/>
          </w:tcPr>
          <w:p w14:paraId="4EAECE81" w14:textId="77777777" w:rsidR="00EA7147" w:rsidRPr="00EF2F18" w:rsidRDefault="00EA7147" w:rsidP="00752CA0">
            <w:pPr>
              <w:spacing w:after="0"/>
              <w:rPr>
                <w:rFonts w:eastAsia="Times New Roman" w:cs="Times New Roman"/>
                <w:color w:val="000000"/>
                <w:sz w:val="20"/>
                <w:szCs w:val="20"/>
                <w:lang w:val="sr-Cyrl-RS" w:eastAsia="en-GB"/>
              </w:rPr>
            </w:pPr>
          </w:p>
        </w:tc>
        <w:tc>
          <w:tcPr>
            <w:tcW w:w="1340" w:type="dxa"/>
            <w:vMerge/>
            <w:tcBorders>
              <w:top w:val="nil"/>
              <w:left w:val="single" w:sz="8" w:space="0" w:color="auto"/>
              <w:bottom w:val="single" w:sz="8" w:space="0" w:color="000000"/>
              <w:right w:val="single" w:sz="8" w:space="0" w:color="auto"/>
            </w:tcBorders>
            <w:vAlign w:val="center"/>
            <w:hideMark/>
          </w:tcPr>
          <w:p w14:paraId="233507DA" w14:textId="77777777" w:rsidR="00EA7147" w:rsidRPr="00EF2F18" w:rsidRDefault="00EA7147" w:rsidP="00752CA0">
            <w:pPr>
              <w:spacing w:after="0"/>
              <w:rPr>
                <w:rFonts w:eastAsia="Times New Roman" w:cs="Times New Roman"/>
                <w:color w:val="000000"/>
                <w:sz w:val="20"/>
                <w:szCs w:val="20"/>
                <w:lang w:val="sr-Cyrl-RS" w:eastAsia="en-GB"/>
              </w:rPr>
            </w:pPr>
          </w:p>
        </w:tc>
        <w:tc>
          <w:tcPr>
            <w:tcW w:w="1200" w:type="dxa"/>
            <w:vMerge/>
            <w:tcBorders>
              <w:top w:val="nil"/>
              <w:left w:val="single" w:sz="8" w:space="0" w:color="auto"/>
              <w:bottom w:val="single" w:sz="8" w:space="0" w:color="000000"/>
              <w:right w:val="single" w:sz="8" w:space="0" w:color="auto"/>
            </w:tcBorders>
            <w:vAlign w:val="center"/>
            <w:hideMark/>
          </w:tcPr>
          <w:p w14:paraId="3CC7819C" w14:textId="77777777" w:rsidR="00EA7147" w:rsidRPr="00EF2F18" w:rsidRDefault="00EA7147" w:rsidP="00752CA0">
            <w:pPr>
              <w:spacing w:after="0"/>
              <w:jc w:val="right"/>
              <w:rPr>
                <w:rFonts w:eastAsia="Times New Roman" w:cs="Times New Roman"/>
                <w:color w:val="000000"/>
                <w:sz w:val="20"/>
                <w:szCs w:val="20"/>
                <w:lang w:val="sr-Cyrl-RS" w:eastAsia="en-GB"/>
              </w:rPr>
            </w:pPr>
          </w:p>
        </w:tc>
        <w:tc>
          <w:tcPr>
            <w:tcW w:w="1170" w:type="dxa"/>
            <w:vMerge/>
            <w:tcBorders>
              <w:top w:val="nil"/>
              <w:left w:val="single" w:sz="8" w:space="0" w:color="auto"/>
              <w:bottom w:val="single" w:sz="8" w:space="0" w:color="000000"/>
              <w:right w:val="single" w:sz="8" w:space="0" w:color="auto"/>
            </w:tcBorders>
            <w:vAlign w:val="center"/>
          </w:tcPr>
          <w:p w14:paraId="4CC41BA2" w14:textId="77777777" w:rsidR="00EA7147" w:rsidRPr="00EF2F18" w:rsidRDefault="00EA7147" w:rsidP="00752CA0">
            <w:pPr>
              <w:spacing w:after="0"/>
              <w:jc w:val="right"/>
              <w:rPr>
                <w:rFonts w:eastAsia="Times New Roman" w:cs="Times New Roman"/>
                <w:color w:val="000000"/>
                <w:sz w:val="20"/>
                <w:szCs w:val="20"/>
                <w:lang w:val="sr-Cyrl-RS" w:eastAsia="en-GB"/>
              </w:rPr>
            </w:pPr>
          </w:p>
        </w:tc>
        <w:tc>
          <w:tcPr>
            <w:tcW w:w="1620" w:type="dxa"/>
            <w:vMerge/>
            <w:tcBorders>
              <w:top w:val="nil"/>
              <w:left w:val="single" w:sz="8" w:space="0" w:color="auto"/>
              <w:bottom w:val="single" w:sz="8" w:space="0" w:color="000000"/>
              <w:right w:val="double" w:sz="6" w:space="0" w:color="auto"/>
            </w:tcBorders>
            <w:vAlign w:val="center"/>
          </w:tcPr>
          <w:p w14:paraId="1A64E727" w14:textId="77777777" w:rsidR="00EA7147" w:rsidRPr="00EF2F18" w:rsidRDefault="00EA7147" w:rsidP="00752CA0">
            <w:pPr>
              <w:spacing w:after="0"/>
              <w:jc w:val="right"/>
              <w:rPr>
                <w:rFonts w:eastAsia="Times New Roman" w:cs="Times New Roman"/>
                <w:color w:val="000000"/>
                <w:sz w:val="20"/>
                <w:szCs w:val="20"/>
                <w:lang w:val="sr-Cyrl-RS" w:eastAsia="en-GB"/>
              </w:rPr>
            </w:pPr>
          </w:p>
        </w:tc>
        <w:tc>
          <w:tcPr>
            <w:tcW w:w="236" w:type="dxa"/>
            <w:tcBorders>
              <w:top w:val="nil"/>
              <w:left w:val="nil"/>
              <w:bottom w:val="nil"/>
            </w:tcBorders>
            <w:noWrap/>
            <w:vAlign w:val="bottom"/>
            <w:hideMark/>
          </w:tcPr>
          <w:p w14:paraId="2C0479B8" w14:textId="77777777" w:rsidR="00EA7147" w:rsidRPr="00EF2F18" w:rsidRDefault="00EA7147" w:rsidP="00752CA0">
            <w:pPr>
              <w:spacing w:after="0"/>
              <w:rPr>
                <w:rFonts w:eastAsia="Times New Roman" w:cs="Times New Roman"/>
                <w:color w:val="000000"/>
                <w:sz w:val="20"/>
                <w:szCs w:val="20"/>
                <w:lang w:val="sr-Cyrl-RS" w:eastAsia="en-GB"/>
              </w:rPr>
            </w:pPr>
          </w:p>
        </w:tc>
      </w:tr>
      <w:tr w:rsidR="00EA7147" w:rsidRPr="00EF2F18" w14:paraId="52B5F280" w14:textId="77777777" w:rsidTr="00EA7147">
        <w:trPr>
          <w:trHeight w:val="1068"/>
        </w:trPr>
        <w:tc>
          <w:tcPr>
            <w:tcW w:w="2861" w:type="dxa"/>
            <w:tcBorders>
              <w:top w:val="nil"/>
              <w:left w:val="double" w:sz="6" w:space="0" w:color="auto"/>
              <w:bottom w:val="single" w:sz="8" w:space="0" w:color="auto"/>
              <w:right w:val="single" w:sz="8" w:space="0" w:color="auto"/>
            </w:tcBorders>
            <w:hideMark/>
          </w:tcPr>
          <w:p w14:paraId="184F7AF2"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4.1.6.2. Успостављање нових индикатора за осетљиве/отпорне врсте флоре и фауне на климатске промене</w:t>
            </w:r>
          </w:p>
        </w:tc>
        <w:tc>
          <w:tcPr>
            <w:tcW w:w="1244" w:type="dxa"/>
            <w:tcBorders>
              <w:top w:val="nil"/>
              <w:left w:val="nil"/>
              <w:bottom w:val="single" w:sz="8" w:space="0" w:color="auto"/>
              <w:right w:val="single" w:sz="8" w:space="0" w:color="auto"/>
            </w:tcBorders>
            <w:hideMark/>
          </w:tcPr>
          <w:p w14:paraId="3C2C4D23"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59" w:type="dxa"/>
            <w:tcBorders>
              <w:top w:val="nil"/>
              <w:left w:val="nil"/>
              <w:bottom w:val="single" w:sz="8" w:space="0" w:color="auto"/>
              <w:right w:val="single" w:sz="8" w:space="0" w:color="auto"/>
            </w:tcBorders>
            <w:hideMark/>
          </w:tcPr>
          <w:p w14:paraId="0A980C8A"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МРЕ, АЗЖС, ЗЗПС, ПЗЗП, Управљачи</w:t>
            </w:r>
          </w:p>
        </w:tc>
        <w:tc>
          <w:tcPr>
            <w:tcW w:w="1182" w:type="dxa"/>
            <w:tcBorders>
              <w:top w:val="nil"/>
              <w:left w:val="nil"/>
              <w:bottom w:val="single" w:sz="8" w:space="0" w:color="auto"/>
              <w:right w:val="single" w:sz="8" w:space="0" w:color="auto"/>
            </w:tcBorders>
            <w:hideMark/>
          </w:tcPr>
          <w:p w14:paraId="0625AEED"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6EB474B0"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1BED85CA"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0" w:type="dxa"/>
            <w:tcBorders>
              <w:top w:val="nil"/>
              <w:left w:val="nil"/>
              <w:bottom w:val="single" w:sz="8" w:space="0" w:color="auto"/>
              <w:right w:val="single" w:sz="8" w:space="0" w:color="auto"/>
            </w:tcBorders>
          </w:tcPr>
          <w:p w14:paraId="62CBDA9A" w14:textId="137640F6" w:rsidR="00EA7147" w:rsidRPr="00EF2F18" w:rsidRDefault="00EA7147"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418E3EA8" w14:textId="2005A421" w:rsidR="00EA7147" w:rsidRPr="00EF2F18" w:rsidRDefault="00EA7147" w:rsidP="00752CA0">
            <w:pPr>
              <w:spacing w:after="0"/>
              <w:jc w:val="right"/>
              <w:rPr>
                <w:rFonts w:eastAsia="Times New Roman" w:cs="Times New Roman"/>
                <w:color w:val="000000"/>
                <w:sz w:val="20"/>
                <w:szCs w:val="20"/>
                <w:lang w:val="sr-Cyrl-RS" w:eastAsia="en-GB"/>
              </w:rPr>
            </w:pPr>
          </w:p>
        </w:tc>
        <w:tc>
          <w:tcPr>
            <w:tcW w:w="1620" w:type="dxa"/>
            <w:tcBorders>
              <w:top w:val="nil"/>
              <w:left w:val="nil"/>
              <w:bottom w:val="single" w:sz="8" w:space="0" w:color="auto"/>
              <w:right w:val="double" w:sz="6" w:space="0" w:color="auto"/>
            </w:tcBorders>
          </w:tcPr>
          <w:p w14:paraId="0906956A" w14:textId="6CCD6E19" w:rsidR="00EA7147" w:rsidRPr="00EF2F18" w:rsidRDefault="00EA7147" w:rsidP="00752CA0">
            <w:pPr>
              <w:spacing w:after="0"/>
              <w:jc w:val="right"/>
              <w:rPr>
                <w:rFonts w:eastAsia="Times New Roman" w:cs="Times New Roman"/>
                <w:color w:val="000000"/>
                <w:sz w:val="20"/>
                <w:szCs w:val="20"/>
                <w:lang w:val="sr-Cyrl-RS" w:eastAsia="en-GB"/>
              </w:rPr>
            </w:pPr>
          </w:p>
        </w:tc>
        <w:tc>
          <w:tcPr>
            <w:tcW w:w="236" w:type="dxa"/>
            <w:vAlign w:val="center"/>
            <w:hideMark/>
          </w:tcPr>
          <w:p w14:paraId="5C9EC9F0" w14:textId="77777777" w:rsidR="00EA7147" w:rsidRPr="00EF2F18" w:rsidRDefault="00EA7147" w:rsidP="00752CA0">
            <w:pPr>
              <w:spacing w:after="0"/>
              <w:rPr>
                <w:rFonts w:eastAsia="Times New Roman" w:cs="Times New Roman"/>
                <w:sz w:val="20"/>
                <w:szCs w:val="20"/>
                <w:lang w:val="sr-Cyrl-RS" w:eastAsia="en-GB"/>
              </w:rPr>
            </w:pPr>
          </w:p>
        </w:tc>
      </w:tr>
      <w:tr w:rsidR="00EA7147" w:rsidRPr="00EF2F18" w14:paraId="5B32CF26" w14:textId="77777777" w:rsidTr="00EA7147">
        <w:trPr>
          <w:trHeight w:val="1068"/>
        </w:trPr>
        <w:tc>
          <w:tcPr>
            <w:tcW w:w="2861" w:type="dxa"/>
            <w:tcBorders>
              <w:top w:val="nil"/>
              <w:left w:val="double" w:sz="6" w:space="0" w:color="auto"/>
              <w:bottom w:val="single" w:sz="8" w:space="0" w:color="auto"/>
              <w:right w:val="single" w:sz="8" w:space="0" w:color="auto"/>
            </w:tcBorders>
            <w:hideMark/>
          </w:tcPr>
          <w:p w14:paraId="2924EB13"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4.1.6.3. Развијање и спровођење модела специфичних поступака заштита врста и станишта осетљивих на климатске промене </w:t>
            </w:r>
          </w:p>
        </w:tc>
        <w:tc>
          <w:tcPr>
            <w:tcW w:w="1244" w:type="dxa"/>
            <w:tcBorders>
              <w:top w:val="nil"/>
              <w:left w:val="nil"/>
              <w:bottom w:val="single" w:sz="8" w:space="0" w:color="auto"/>
              <w:right w:val="single" w:sz="8" w:space="0" w:color="auto"/>
            </w:tcBorders>
            <w:hideMark/>
          </w:tcPr>
          <w:p w14:paraId="085AF1D3"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59" w:type="dxa"/>
            <w:tcBorders>
              <w:top w:val="nil"/>
              <w:left w:val="nil"/>
              <w:bottom w:val="single" w:sz="8" w:space="0" w:color="auto"/>
              <w:right w:val="single" w:sz="8" w:space="0" w:color="auto"/>
            </w:tcBorders>
            <w:hideMark/>
          </w:tcPr>
          <w:p w14:paraId="23FBEECA"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МРЕ, АЗЖС, ЗЗПС, ПЗЗП, Управљачи</w:t>
            </w:r>
          </w:p>
        </w:tc>
        <w:tc>
          <w:tcPr>
            <w:tcW w:w="1182" w:type="dxa"/>
            <w:tcBorders>
              <w:top w:val="nil"/>
              <w:left w:val="nil"/>
              <w:bottom w:val="single" w:sz="8" w:space="0" w:color="auto"/>
              <w:right w:val="single" w:sz="8" w:space="0" w:color="auto"/>
            </w:tcBorders>
            <w:hideMark/>
          </w:tcPr>
          <w:p w14:paraId="13048BA2"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306D8DEF"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75EAD99F"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0" w:type="dxa"/>
            <w:tcBorders>
              <w:top w:val="nil"/>
              <w:left w:val="nil"/>
              <w:bottom w:val="single" w:sz="8" w:space="0" w:color="auto"/>
              <w:right w:val="single" w:sz="8" w:space="0" w:color="auto"/>
            </w:tcBorders>
          </w:tcPr>
          <w:p w14:paraId="4A506200" w14:textId="3E2C3AC0" w:rsidR="00EA7147" w:rsidRPr="00EF2F18" w:rsidRDefault="00EA7147"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08CC82C1" w14:textId="4F45A733" w:rsidR="00EA7147" w:rsidRPr="00EF2F18" w:rsidRDefault="00EA7147" w:rsidP="00752CA0">
            <w:pPr>
              <w:spacing w:after="0"/>
              <w:jc w:val="right"/>
              <w:rPr>
                <w:rFonts w:eastAsia="Times New Roman" w:cs="Times New Roman"/>
                <w:color w:val="000000"/>
                <w:sz w:val="20"/>
                <w:szCs w:val="20"/>
                <w:lang w:val="sr-Cyrl-RS" w:eastAsia="en-GB"/>
              </w:rPr>
            </w:pPr>
          </w:p>
        </w:tc>
        <w:tc>
          <w:tcPr>
            <w:tcW w:w="1620" w:type="dxa"/>
            <w:tcBorders>
              <w:top w:val="nil"/>
              <w:left w:val="nil"/>
              <w:bottom w:val="single" w:sz="8" w:space="0" w:color="auto"/>
              <w:right w:val="double" w:sz="6" w:space="0" w:color="auto"/>
            </w:tcBorders>
          </w:tcPr>
          <w:p w14:paraId="28C0D70B" w14:textId="2C5EE360" w:rsidR="00EA7147" w:rsidRPr="00EF2F18" w:rsidRDefault="00EA7147" w:rsidP="00752CA0">
            <w:pPr>
              <w:spacing w:after="0"/>
              <w:jc w:val="right"/>
              <w:rPr>
                <w:rFonts w:eastAsia="Times New Roman" w:cs="Times New Roman"/>
                <w:color w:val="000000"/>
                <w:sz w:val="20"/>
                <w:szCs w:val="20"/>
                <w:lang w:val="sr-Cyrl-RS" w:eastAsia="en-GB"/>
              </w:rPr>
            </w:pPr>
          </w:p>
        </w:tc>
        <w:tc>
          <w:tcPr>
            <w:tcW w:w="236" w:type="dxa"/>
            <w:vAlign w:val="center"/>
            <w:hideMark/>
          </w:tcPr>
          <w:p w14:paraId="09068BEE" w14:textId="77777777" w:rsidR="00EA7147" w:rsidRPr="00EF2F18" w:rsidRDefault="00EA7147" w:rsidP="00752CA0">
            <w:pPr>
              <w:spacing w:after="0"/>
              <w:rPr>
                <w:rFonts w:eastAsia="Times New Roman" w:cs="Times New Roman"/>
                <w:sz w:val="20"/>
                <w:szCs w:val="20"/>
                <w:lang w:val="sr-Cyrl-RS" w:eastAsia="en-GB"/>
              </w:rPr>
            </w:pPr>
          </w:p>
        </w:tc>
      </w:tr>
      <w:tr w:rsidR="00EA7147" w:rsidRPr="00EF2F18" w14:paraId="3716C6BB" w14:textId="77777777" w:rsidTr="00383185">
        <w:trPr>
          <w:trHeight w:val="732"/>
        </w:trPr>
        <w:tc>
          <w:tcPr>
            <w:tcW w:w="2861" w:type="dxa"/>
            <w:vMerge w:val="restart"/>
            <w:tcBorders>
              <w:top w:val="single" w:sz="4" w:space="0" w:color="auto"/>
              <w:left w:val="double" w:sz="6" w:space="0" w:color="auto"/>
              <w:bottom w:val="double" w:sz="6" w:space="0" w:color="000000"/>
              <w:right w:val="single" w:sz="8" w:space="0" w:color="auto"/>
            </w:tcBorders>
            <w:hideMark/>
          </w:tcPr>
          <w:p w14:paraId="4741CCA8"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4.1.6.4. Планирање и припрема пројеката за примену решења заснованих на природи (Nature based solutions)</w:t>
            </w:r>
          </w:p>
        </w:tc>
        <w:tc>
          <w:tcPr>
            <w:tcW w:w="1244" w:type="dxa"/>
            <w:vMerge w:val="restart"/>
            <w:tcBorders>
              <w:top w:val="single" w:sz="4" w:space="0" w:color="auto"/>
              <w:left w:val="single" w:sz="8" w:space="0" w:color="auto"/>
              <w:bottom w:val="double" w:sz="6" w:space="0" w:color="000000"/>
              <w:right w:val="single" w:sz="8" w:space="0" w:color="auto"/>
            </w:tcBorders>
            <w:hideMark/>
          </w:tcPr>
          <w:p w14:paraId="4255196E"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59" w:type="dxa"/>
            <w:vMerge w:val="restart"/>
            <w:tcBorders>
              <w:top w:val="single" w:sz="4" w:space="0" w:color="auto"/>
              <w:left w:val="single" w:sz="8" w:space="0" w:color="auto"/>
              <w:bottom w:val="double" w:sz="6" w:space="0" w:color="000000"/>
              <w:right w:val="single" w:sz="8" w:space="0" w:color="auto"/>
            </w:tcBorders>
            <w:hideMark/>
          </w:tcPr>
          <w:p w14:paraId="55BD66FA"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МРЕ, АЗЖС, ЗЗПС, ПЗЗП, Управљачи</w:t>
            </w:r>
          </w:p>
        </w:tc>
        <w:tc>
          <w:tcPr>
            <w:tcW w:w="1182" w:type="dxa"/>
            <w:vMerge w:val="restart"/>
            <w:tcBorders>
              <w:top w:val="single" w:sz="4" w:space="0" w:color="auto"/>
              <w:left w:val="single" w:sz="8" w:space="0" w:color="auto"/>
              <w:bottom w:val="double" w:sz="6" w:space="0" w:color="000000"/>
              <w:right w:val="single" w:sz="8" w:space="0" w:color="auto"/>
            </w:tcBorders>
            <w:hideMark/>
          </w:tcPr>
          <w:p w14:paraId="5E2472BD"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vMerge w:val="restart"/>
            <w:tcBorders>
              <w:top w:val="single" w:sz="4" w:space="0" w:color="auto"/>
              <w:left w:val="single" w:sz="8" w:space="0" w:color="auto"/>
              <w:bottom w:val="double" w:sz="6" w:space="0" w:color="000000"/>
              <w:right w:val="single" w:sz="8" w:space="0" w:color="auto"/>
            </w:tcBorders>
            <w:hideMark/>
          </w:tcPr>
          <w:p w14:paraId="3752A868"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vMerge w:val="restart"/>
            <w:tcBorders>
              <w:top w:val="single" w:sz="4" w:space="0" w:color="auto"/>
              <w:left w:val="single" w:sz="8" w:space="0" w:color="auto"/>
              <w:bottom w:val="double" w:sz="6" w:space="0" w:color="000000"/>
              <w:right w:val="single" w:sz="8" w:space="0" w:color="auto"/>
            </w:tcBorders>
            <w:hideMark/>
          </w:tcPr>
          <w:p w14:paraId="79137F43"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00" w:type="dxa"/>
            <w:vMerge w:val="restart"/>
            <w:tcBorders>
              <w:top w:val="single" w:sz="4" w:space="0" w:color="auto"/>
              <w:left w:val="single" w:sz="8" w:space="0" w:color="auto"/>
              <w:bottom w:val="double" w:sz="6" w:space="0" w:color="000000"/>
              <w:right w:val="single" w:sz="8" w:space="0" w:color="auto"/>
            </w:tcBorders>
          </w:tcPr>
          <w:p w14:paraId="101D0C91" w14:textId="538A140C" w:rsidR="00EA7147" w:rsidRPr="00EF2F18" w:rsidRDefault="00EA7147" w:rsidP="00752CA0">
            <w:pPr>
              <w:spacing w:after="0"/>
              <w:jc w:val="right"/>
              <w:rPr>
                <w:rFonts w:eastAsia="Times New Roman" w:cs="Times New Roman"/>
                <w:color w:val="000000"/>
                <w:sz w:val="20"/>
                <w:szCs w:val="20"/>
                <w:lang w:val="sr-Cyrl-RS" w:eastAsia="en-GB"/>
              </w:rPr>
            </w:pPr>
          </w:p>
        </w:tc>
        <w:tc>
          <w:tcPr>
            <w:tcW w:w="1170" w:type="dxa"/>
            <w:vMerge w:val="restart"/>
            <w:tcBorders>
              <w:top w:val="single" w:sz="4" w:space="0" w:color="auto"/>
              <w:left w:val="single" w:sz="8" w:space="0" w:color="auto"/>
              <w:bottom w:val="double" w:sz="6" w:space="0" w:color="000000"/>
              <w:right w:val="single" w:sz="8" w:space="0" w:color="auto"/>
            </w:tcBorders>
          </w:tcPr>
          <w:p w14:paraId="4577BE76" w14:textId="0AFE297B" w:rsidR="00EA7147" w:rsidRPr="00EF2F18" w:rsidRDefault="00EA7147" w:rsidP="00752CA0">
            <w:pPr>
              <w:spacing w:after="0"/>
              <w:jc w:val="right"/>
              <w:rPr>
                <w:rFonts w:eastAsia="Times New Roman" w:cs="Times New Roman"/>
                <w:color w:val="000000"/>
                <w:sz w:val="20"/>
                <w:szCs w:val="20"/>
                <w:lang w:val="sr-Cyrl-RS" w:eastAsia="en-GB"/>
              </w:rPr>
            </w:pPr>
          </w:p>
        </w:tc>
        <w:tc>
          <w:tcPr>
            <w:tcW w:w="1620" w:type="dxa"/>
            <w:vMerge w:val="restart"/>
            <w:tcBorders>
              <w:top w:val="single" w:sz="4" w:space="0" w:color="auto"/>
              <w:left w:val="single" w:sz="8" w:space="0" w:color="auto"/>
              <w:bottom w:val="double" w:sz="6" w:space="0" w:color="000000"/>
              <w:right w:val="double" w:sz="6" w:space="0" w:color="auto"/>
            </w:tcBorders>
          </w:tcPr>
          <w:p w14:paraId="1DD2A004" w14:textId="63FD644F" w:rsidR="00EA7147" w:rsidRPr="00EF2F18" w:rsidRDefault="00EA7147" w:rsidP="00752CA0">
            <w:pPr>
              <w:spacing w:after="0"/>
              <w:jc w:val="right"/>
              <w:rPr>
                <w:rFonts w:eastAsia="Times New Roman" w:cs="Times New Roman"/>
                <w:color w:val="000000"/>
                <w:sz w:val="20"/>
                <w:szCs w:val="20"/>
                <w:lang w:val="sr-Cyrl-RS" w:eastAsia="en-GB"/>
              </w:rPr>
            </w:pPr>
          </w:p>
        </w:tc>
        <w:tc>
          <w:tcPr>
            <w:tcW w:w="236" w:type="dxa"/>
            <w:vAlign w:val="center"/>
            <w:hideMark/>
          </w:tcPr>
          <w:p w14:paraId="3451898D" w14:textId="77777777" w:rsidR="00EA7147" w:rsidRPr="00EF2F18" w:rsidRDefault="00EA7147" w:rsidP="00752CA0">
            <w:pPr>
              <w:spacing w:after="0"/>
              <w:rPr>
                <w:rFonts w:eastAsia="Times New Roman" w:cs="Times New Roman"/>
                <w:sz w:val="20"/>
                <w:szCs w:val="20"/>
                <w:lang w:val="sr-Cyrl-RS" w:eastAsia="en-GB"/>
              </w:rPr>
            </w:pPr>
          </w:p>
        </w:tc>
      </w:tr>
      <w:tr w:rsidR="00EA7147" w:rsidRPr="00EF2F18" w14:paraId="7BF9DC4D" w14:textId="77777777" w:rsidTr="00EA7147">
        <w:trPr>
          <w:trHeight w:val="324"/>
        </w:trPr>
        <w:tc>
          <w:tcPr>
            <w:tcW w:w="2861" w:type="dxa"/>
            <w:vMerge/>
            <w:tcBorders>
              <w:top w:val="nil"/>
              <w:left w:val="double" w:sz="6" w:space="0" w:color="auto"/>
              <w:bottom w:val="double" w:sz="6" w:space="0" w:color="000000"/>
              <w:right w:val="single" w:sz="8" w:space="0" w:color="auto"/>
            </w:tcBorders>
            <w:vAlign w:val="center"/>
            <w:hideMark/>
          </w:tcPr>
          <w:p w14:paraId="7FD2CBF9" w14:textId="77777777" w:rsidR="00EA7147" w:rsidRPr="00EF2F18" w:rsidRDefault="00EA7147" w:rsidP="00752CA0">
            <w:pPr>
              <w:spacing w:after="0"/>
              <w:rPr>
                <w:rFonts w:eastAsia="Times New Roman" w:cs="Times New Roman"/>
                <w:color w:val="000000"/>
                <w:sz w:val="20"/>
                <w:szCs w:val="20"/>
                <w:lang w:val="sr-Cyrl-RS" w:eastAsia="en-GB"/>
              </w:rPr>
            </w:pPr>
          </w:p>
        </w:tc>
        <w:tc>
          <w:tcPr>
            <w:tcW w:w="1244" w:type="dxa"/>
            <w:vMerge/>
            <w:tcBorders>
              <w:top w:val="nil"/>
              <w:left w:val="single" w:sz="8" w:space="0" w:color="auto"/>
              <w:bottom w:val="double" w:sz="6" w:space="0" w:color="000000"/>
              <w:right w:val="single" w:sz="8" w:space="0" w:color="auto"/>
            </w:tcBorders>
            <w:vAlign w:val="center"/>
            <w:hideMark/>
          </w:tcPr>
          <w:p w14:paraId="54E7F9B4" w14:textId="77777777" w:rsidR="00EA7147" w:rsidRPr="00EF2F18" w:rsidRDefault="00EA7147" w:rsidP="00752CA0">
            <w:pPr>
              <w:spacing w:after="0"/>
              <w:rPr>
                <w:rFonts w:eastAsia="Times New Roman" w:cs="Times New Roman"/>
                <w:color w:val="000000"/>
                <w:sz w:val="20"/>
                <w:szCs w:val="20"/>
                <w:lang w:val="sr-Cyrl-RS" w:eastAsia="en-GB"/>
              </w:rPr>
            </w:pPr>
          </w:p>
        </w:tc>
        <w:tc>
          <w:tcPr>
            <w:tcW w:w="1259" w:type="dxa"/>
            <w:vMerge/>
            <w:tcBorders>
              <w:top w:val="nil"/>
              <w:left w:val="single" w:sz="8" w:space="0" w:color="auto"/>
              <w:bottom w:val="double" w:sz="6" w:space="0" w:color="000000"/>
              <w:right w:val="single" w:sz="8" w:space="0" w:color="auto"/>
            </w:tcBorders>
            <w:vAlign w:val="center"/>
            <w:hideMark/>
          </w:tcPr>
          <w:p w14:paraId="62635E1B" w14:textId="77777777" w:rsidR="00EA7147" w:rsidRPr="00EF2F18" w:rsidRDefault="00EA7147"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double" w:sz="6" w:space="0" w:color="000000"/>
              <w:right w:val="single" w:sz="8" w:space="0" w:color="auto"/>
            </w:tcBorders>
            <w:vAlign w:val="center"/>
            <w:hideMark/>
          </w:tcPr>
          <w:p w14:paraId="191E2B58" w14:textId="77777777" w:rsidR="00EA7147" w:rsidRPr="00EF2F18" w:rsidRDefault="00EA7147" w:rsidP="00752CA0">
            <w:pPr>
              <w:spacing w:after="0"/>
              <w:rPr>
                <w:rFonts w:eastAsia="Times New Roman" w:cs="Times New Roman"/>
                <w:color w:val="000000"/>
                <w:sz w:val="20"/>
                <w:szCs w:val="20"/>
                <w:lang w:val="sr-Cyrl-RS" w:eastAsia="en-GB"/>
              </w:rPr>
            </w:pPr>
          </w:p>
        </w:tc>
        <w:tc>
          <w:tcPr>
            <w:tcW w:w="1691" w:type="dxa"/>
            <w:vMerge/>
            <w:tcBorders>
              <w:top w:val="nil"/>
              <w:left w:val="single" w:sz="8" w:space="0" w:color="auto"/>
              <w:bottom w:val="double" w:sz="6" w:space="0" w:color="000000"/>
              <w:right w:val="single" w:sz="8" w:space="0" w:color="auto"/>
            </w:tcBorders>
            <w:vAlign w:val="center"/>
            <w:hideMark/>
          </w:tcPr>
          <w:p w14:paraId="35719A46" w14:textId="77777777" w:rsidR="00EA7147" w:rsidRPr="00EF2F18" w:rsidRDefault="00EA7147" w:rsidP="00752CA0">
            <w:pPr>
              <w:spacing w:after="0"/>
              <w:rPr>
                <w:rFonts w:eastAsia="Times New Roman" w:cs="Times New Roman"/>
                <w:color w:val="000000"/>
                <w:sz w:val="20"/>
                <w:szCs w:val="20"/>
                <w:lang w:val="sr-Cyrl-RS" w:eastAsia="en-GB"/>
              </w:rPr>
            </w:pPr>
          </w:p>
        </w:tc>
        <w:tc>
          <w:tcPr>
            <w:tcW w:w="1340" w:type="dxa"/>
            <w:vMerge/>
            <w:tcBorders>
              <w:top w:val="nil"/>
              <w:left w:val="single" w:sz="8" w:space="0" w:color="auto"/>
              <w:bottom w:val="double" w:sz="6" w:space="0" w:color="000000"/>
              <w:right w:val="single" w:sz="8" w:space="0" w:color="auto"/>
            </w:tcBorders>
            <w:vAlign w:val="center"/>
            <w:hideMark/>
          </w:tcPr>
          <w:p w14:paraId="623837F5" w14:textId="77777777" w:rsidR="00EA7147" w:rsidRPr="00EF2F18" w:rsidRDefault="00EA7147" w:rsidP="00752CA0">
            <w:pPr>
              <w:spacing w:after="0"/>
              <w:rPr>
                <w:rFonts w:eastAsia="Times New Roman" w:cs="Times New Roman"/>
                <w:color w:val="000000"/>
                <w:sz w:val="20"/>
                <w:szCs w:val="20"/>
                <w:lang w:val="sr-Cyrl-RS" w:eastAsia="en-GB"/>
              </w:rPr>
            </w:pPr>
          </w:p>
        </w:tc>
        <w:tc>
          <w:tcPr>
            <w:tcW w:w="1200" w:type="dxa"/>
            <w:vMerge/>
            <w:tcBorders>
              <w:top w:val="nil"/>
              <w:left w:val="single" w:sz="8" w:space="0" w:color="auto"/>
              <w:bottom w:val="double" w:sz="6" w:space="0" w:color="000000"/>
              <w:right w:val="single" w:sz="8" w:space="0" w:color="auto"/>
            </w:tcBorders>
            <w:vAlign w:val="center"/>
          </w:tcPr>
          <w:p w14:paraId="040F784F" w14:textId="77777777" w:rsidR="00EA7147" w:rsidRPr="00EF2F18" w:rsidRDefault="00EA7147" w:rsidP="00752CA0">
            <w:pPr>
              <w:spacing w:after="0"/>
              <w:rPr>
                <w:rFonts w:eastAsia="Times New Roman" w:cs="Times New Roman"/>
                <w:color w:val="000000"/>
                <w:sz w:val="20"/>
                <w:szCs w:val="20"/>
                <w:lang w:val="sr-Cyrl-RS" w:eastAsia="en-GB"/>
              </w:rPr>
            </w:pPr>
          </w:p>
        </w:tc>
        <w:tc>
          <w:tcPr>
            <w:tcW w:w="1170" w:type="dxa"/>
            <w:vMerge/>
            <w:tcBorders>
              <w:top w:val="nil"/>
              <w:left w:val="single" w:sz="8" w:space="0" w:color="auto"/>
              <w:bottom w:val="double" w:sz="6" w:space="0" w:color="000000"/>
              <w:right w:val="single" w:sz="8" w:space="0" w:color="auto"/>
            </w:tcBorders>
            <w:vAlign w:val="center"/>
          </w:tcPr>
          <w:p w14:paraId="6087331B" w14:textId="77777777" w:rsidR="00EA7147" w:rsidRPr="00EF2F18" w:rsidRDefault="00EA7147" w:rsidP="00752CA0">
            <w:pPr>
              <w:spacing w:after="0"/>
              <w:rPr>
                <w:rFonts w:eastAsia="Times New Roman" w:cs="Times New Roman"/>
                <w:color w:val="000000"/>
                <w:sz w:val="20"/>
                <w:szCs w:val="20"/>
                <w:lang w:val="sr-Cyrl-RS" w:eastAsia="en-GB"/>
              </w:rPr>
            </w:pPr>
          </w:p>
        </w:tc>
        <w:tc>
          <w:tcPr>
            <w:tcW w:w="1620" w:type="dxa"/>
            <w:vMerge/>
            <w:tcBorders>
              <w:top w:val="nil"/>
              <w:left w:val="single" w:sz="8" w:space="0" w:color="auto"/>
              <w:bottom w:val="double" w:sz="6" w:space="0" w:color="000000"/>
              <w:right w:val="double" w:sz="6" w:space="0" w:color="auto"/>
            </w:tcBorders>
            <w:vAlign w:val="center"/>
          </w:tcPr>
          <w:p w14:paraId="3DC08CCB" w14:textId="77777777" w:rsidR="00EA7147" w:rsidRPr="00EF2F18" w:rsidRDefault="00EA7147" w:rsidP="00752CA0">
            <w:pPr>
              <w:spacing w:after="0"/>
              <w:rPr>
                <w:rFonts w:eastAsia="Times New Roman" w:cs="Times New Roman"/>
                <w:color w:val="000000"/>
                <w:sz w:val="20"/>
                <w:szCs w:val="20"/>
                <w:lang w:val="sr-Cyrl-RS" w:eastAsia="en-GB"/>
              </w:rPr>
            </w:pPr>
          </w:p>
        </w:tc>
        <w:tc>
          <w:tcPr>
            <w:tcW w:w="236" w:type="dxa"/>
            <w:tcBorders>
              <w:top w:val="nil"/>
              <w:left w:val="nil"/>
              <w:bottom w:val="nil"/>
            </w:tcBorders>
            <w:noWrap/>
            <w:vAlign w:val="bottom"/>
            <w:hideMark/>
          </w:tcPr>
          <w:p w14:paraId="1EE61680" w14:textId="77777777" w:rsidR="00EA7147" w:rsidRPr="00EF2F18" w:rsidRDefault="00EA7147" w:rsidP="00752CA0">
            <w:pPr>
              <w:spacing w:after="0"/>
              <w:rPr>
                <w:rFonts w:eastAsia="Times New Roman" w:cs="Times New Roman"/>
                <w:color w:val="000000"/>
                <w:sz w:val="20"/>
                <w:szCs w:val="20"/>
                <w:lang w:val="sr-Cyrl-RS" w:eastAsia="en-GB"/>
              </w:rPr>
            </w:pPr>
          </w:p>
        </w:tc>
      </w:tr>
    </w:tbl>
    <w:p w14:paraId="3B8571D4" w14:textId="1093DC08" w:rsidR="007D7243" w:rsidRPr="00EF2F18" w:rsidRDefault="00DE7698" w:rsidP="007D7243">
      <w:pPr>
        <w:spacing w:after="0"/>
        <w:rPr>
          <w:rFonts w:cs="Times New Roman"/>
          <w:sz w:val="20"/>
          <w:szCs w:val="20"/>
          <w:lang w:val="sr-Cyrl-RS"/>
        </w:rPr>
      </w:pPr>
      <w:r w:rsidRPr="00EF2F18">
        <w:rPr>
          <w:rFonts w:cs="Times New Roman"/>
          <w:sz w:val="20"/>
          <w:szCs w:val="20"/>
          <w:lang w:val="sr-Cyrl-RS"/>
        </w:rPr>
        <w:t>** Наведена средства су обухваћена у усвојеном Акционом плану Програма прилагођавања на измењене климатске услове.</w:t>
      </w:r>
    </w:p>
    <w:p w14:paraId="78CAEAFD" w14:textId="6AA98876" w:rsidR="00DE7698" w:rsidRDefault="00DE7698" w:rsidP="007D7243">
      <w:pPr>
        <w:spacing w:after="0"/>
        <w:rPr>
          <w:rFonts w:cs="Times New Roman"/>
          <w:sz w:val="20"/>
          <w:szCs w:val="20"/>
          <w:lang w:val="sr-Cyrl-RS"/>
        </w:rPr>
      </w:pPr>
    </w:p>
    <w:p w14:paraId="04E50C35" w14:textId="6E866B38" w:rsidR="0012465C" w:rsidRDefault="0012465C" w:rsidP="007D7243">
      <w:pPr>
        <w:spacing w:after="0"/>
        <w:rPr>
          <w:rFonts w:cs="Times New Roman"/>
          <w:sz w:val="20"/>
          <w:szCs w:val="20"/>
          <w:lang w:val="sr-Cyrl-RS"/>
        </w:rPr>
      </w:pPr>
    </w:p>
    <w:p w14:paraId="35CC3B61" w14:textId="04671713" w:rsidR="0012465C" w:rsidRDefault="0012465C" w:rsidP="007D7243">
      <w:pPr>
        <w:spacing w:after="0"/>
        <w:rPr>
          <w:rFonts w:cs="Times New Roman"/>
          <w:sz w:val="20"/>
          <w:szCs w:val="20"/>
          <w:lang w:val="sr-Cyrl-RS"/>
        </w:rPr>
      </w:pPr>
    </w:p>
    <w:p w14:paraId="01ECF9BD" w14:textId="77777777" w:rsidR="0012465C" w:rsidRPr="00EF2F18" w:rsidRDefault="0012465C"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197"/>
        <w:gridCol w:w="1260"/>
        <w:gridCol w:w="1783"/>
        <w:gridCol w:w="17"/>
      </w:tblGrid>
      <w:tr w:rsidR="007D7243" w:rsidRPr="00EF2F18" w14:paraId="2A7F716B" w14:textId="77777777" w:rsidTr="00EA7147">
        <w:trPr>
          <w:gridAfter w:val="1"/>
          <w:wAfter w:w="17" w:type="dxa"/>
          <w:trHeight w:val="6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096CB599"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4.1.7: Унапређење правног оквира усклађивањем са међународним уговорима и законодавством Европске уније у области заштите природе</w:t>
            </w:r>
          </w:p>
        </w:tc>
      </w:tr>
      <w:tr w:rsidR="007D7243" w:rsidRPr="00EF2F18" w14:paraId="01D1693E" w14:textId="77777777" w:rsidTr="00EA7147">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762EF09B"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0CEF3F80" w14:textId="77777777" w:rsidTr="00EA7147">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9BF179C" w14:textId="7B4361A9"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F47AD6"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12F99C56"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12CFD07A" w14:textId="77777777" w:rsidTr="00EA7147">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163C41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7B65FE0A"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A7147" w:rsidRPr="00EF2F18" w14:paraId="28632BDA" w14:textId="77777777" w:rsidTr="00F47AD6">
        <w:trPr>
          <w:trHeight w:val="816"/>
        </w:trPr>
        <w:tc>
          <w:tcPr>
            <w:tcW w:w="3320" w:type="dxa"/>
            <w:tcBorders>
              <w:top w:val="nil"/>
              <w:left w:val="double" w:sz="6" w:space="0" w:color="auto"/>
              <w:bottom w:val="single" w:sz="8" w:space="0" w:color="auto"/>
              <w:right w:val="single" w:sz="8" w:space="0" w:color="auto"/>
            </w:tcBorders>
            <w:shd w:val="clear" w:color="000000" w:fill="D9D9D9"/>
            <w:hideMark/>
          </w:tcPr>
          <w:p w14:paraId="497DA220"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single" w:sz="8" w:space="0" w:color="auto"/>
              <w:right w:val="single" w:sz="8" w:space="0" w:color="auto"/>
            </w:tcBorders>
            <w:shd w:val="clear" w:color="000000" w:fill="D9D9D9"/>
            <w:hideMark/>
          </w:tcPr>
          <w:p w14:paraId="73C17C3D"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single" w:sz="8" w:space="0" w:color="auto"/>
              <w:right w:val="single" w:sz="8" w:space="0" w:color="auto"/>
            </w:tcBorders>
            <w:shd w:val="clear" w:color="000000" w:fill="D9D9D9"/>
            <w:hideMark/>
          </w:tcPr>
          <w:p w14:paraId="60C82F76"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single" w:sz="8" w:space="0" w:color="auto"/>
              <w:right w:val="single" w:sz="8" w:space="0" w:color="000000"/>
            </w:tcBorders>
            <w:shd w:val="clear" w:color="000000" w:fill="D9D9D9"/>
            <w:hideMark/>
          </w:tcPr>
          <w:p w14:paraId="7AD1B315"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single" w:sz="8" w:space="0" w:color="auto"/>
              <w:right w:val="single" w:sz="8" w:space="0" w:color="auto"/>
            </w:tcBorders>
            <w:shd w:val="clear" w:color="000000" w:fill="D9D9D9"/>
            <w:hideMark/>
          </w:tcPr>
          <w:p w14:paraId="59D01813"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197" w:type="dxa"/>
            <w:tcBorders>
              <w:top w:val="nil"/>
              <w:left w:val="nil"/>
              <w:bottom w:val="single" w:sz="8" w:space="0" w:color="auto"/>
              <w:right w:val="nil"/>
            </w:tcBorders>
            <w:shd w:val="clear" w:color="000000" w:fill="D9D9D9"/>
            <w:hideMark/>
          </w:tcPr>
          <w:p w14:paraId="55212D24"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60" w:type="dxa"/>
            <w:tcBorders>
              <w:top w:val="nil"/>
              <w:left w:val="nil"/>
              <w:bottom w:val="single" w:sz="8" w:space="0" w:color="auto"/>
              <w:right w:val="single" w:sz="8" w:space="0" w:color="auto"/>
            </w:tcBorders>
            <w:shd w:val="clear" w:color="000000" w:fill="D9D9D9"/>
            <w:hideMark/>
          </w:tcPr>
          <w:p w14:paraId="74CD8F5F"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tcBorders>
              <w:top w:val="nil"/>
              <w:left w:val="nil"/>
              <w:bottom w:val="single" w:sz="8" w:space="0" w:color="auto"/>
              <w:right w:val="double" w:sz="6" w:space="0" w:color="auto"/>
            </w:tcBorders>
            <w:shd w:val="clear" w:color="000000" w:fill="D9D9D9"/>
            <w:hideMark/>
          </w:tcPr>
          <w:p w14:paraId="0D0232CA"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A7147" w:rsidRPr="00EF2F18" w14:paraId="250D1009" w14:textId="77777777" w:rsidTr="00F47AD6">
        <w:trPr>
          <w:trHeight w:val="1068"/>
        </w:trPr>
        <w:tc>
          <w:tcPr>
            <w:tcW w:w="3320" w:type="dxa"/>
            <w:tcBorders>
              <w:top w:val="nil"/>
              <w:left w:val="double" w:sz="6" w:space="0" w:color="auto"/>
              <w:bottom w:val="single" w:sz="8" w:space="0" w:color="auto"/>
              <w:right w:val="single" w:sz="8" w:space="0" w:color="auto"/>
            </w:tcBorders>
            <w:shd w:val="clear" w:color="000000" w:fill="FFFFFF"/>
            <w:hideMark/>
          </w:tcPr>
          <w:p w14:paraId="7F961412"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националних прописа усклађених са међународним уговорима у области биодиверзитета</w:t>
            </w:r>
          </w:p>
        </w:tc>
        <w:tc>
          <w:tcPr>
            <w:tcW w:w="1280" w:type="dxa"/>
            <w:tcBorders>
              <w:top w:val="nil"/>
              <w:left w:val="nil"/>
              <w:bottom w:val="single" w:sz="8" w:space="0" w:color="auto"/>
              <w:right w:val="single" w:sz="8" w:space="0" w:color="auto"/>
            </w:tcBorders>
            <w:shd w:val="clear" w:color="000000" w:fill="FFFFFF"/>
            <w:hideMark/>
          </w:tcPr>
          <w:p w14:paraId="3B8CFA7D"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80" w:type="dxa"/>
            <w:tcBorders>
              <w:top w:val="nil"/>
              <w:left w:val="nil"/>
              <w:bottom w:val="single" w:sz="8" w:space="0" w:color="auto"/>
              <w:right w:val="single" w:sz="8" w:space="0" w:color="auto"/>
            </w:tcBorders>
            <w:shd w:val="clear" w:color="000000" w:fill="FFFFFF"/>
            <w:hideMark/>
          </w:tcPr>
          <w:p w14:paraId="2A72624E"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ЗЗПРС, ПЗЗП, АЗЖС, МСП, МЕИ</w:t>
            </w:r>
          </w:p>
        </w:tc>
        <w:tc>
          <w:tcPr>
            <w:tcW w:w="2000" w:type="dxa"/>
            <w:gridSpan w:val="2"/>
            <w:tcBorders>
              <w:top w:val="single" w:sz="8" w:space="0" w:color="auto"/>
              <w:left w:val="nil"/>
              <w:bottom w:val="single" w:sz="8" w:space="0" w:color="auto"/>
              <w:right w:val="single" w:sz="8" w:space="0" w:color="000000"/>
            </w:tcBorders>
            <w:shd w:val="clear" w:color="000000" w:fill="FFFFFF"/>
            <w:hideMark/>
          </w:tcPr>
          <w:p w14:paraId="01321C76"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85</w:t>
            </w:r>
          </w:p>
        </w:tc>
        <w:tc>
          <w:tcPr>
            <w:tcW w:w="1520" w:type="dxa"/>
            <w:tcBorders>
              <w:top w:val="nil"/>
              <w:left w:val="nil"/>
              <w:bottom w:val="single" w:sz="8" w:space="0" w:color="auto"/>
              <w:right w:val="single" w:sz="8" w:space="0" w:color="auto"/>
            </w:tcBorders>
            <w:shd w:val="clear" w:color="000000" w:fill="FFFFFF"/>
            <w:hideMark/>
          </w:tcPr>
          <w:p w14:paraId="7A7A9156"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97" w:type="dxa"/>
            <w:tcBorders>
              <w:top w:val="nil"/>
              <w:left w:val="single" w:sz="8" w:space="0" w:color="auto"/>
              <w:bottom w:val="single" w:sz="8" w:space="0" w:color="auto"/>
              <w:right w:val="single" w:sz="8" w:space="0" w:color="auto"/>
            </w:tcBorders>
            <w:shd w:val="clear" w:color="000000" w:fill="FFFFFF"/>
            <w:hideMark/>
          </w:tcPr>
          <w:p w14:paraId="21CDDF23"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86</w:t>
            </w:r>
          </w:p>
        </w:tc>
        <w:tc>
          <w:tcPr>
            <w:tcW w:w="1260" w:type="dxa"/>
            <w:tcBorders>
              <w:top w:val="nil"/>
              <w:left w:val="nil"/>
              <w:bottom w:val="single" w:sz="8" w:space="0" w:color="auto"/>
              <w:right w:val="single" w:sz="8" w:space="0" w:color="auto"/>
            </w:tcBorders>
            <w:shd w:val="clear" w:color="000000" w:fill="FFFFFF"/>
            <w:hideMark/>
          </w:tcPr>
          <w:p w14:paraId="71F5F783"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87</w:t>
            </w:r>
          </w:p>
        </w:tc>
        <w:tc>
          <w:tcPr>
            <w:tcW w:w="1800" w:type="dxa"/>
            <w:gridSpan w:val="2"/>
            <w:tcBorders>
              <w:top w:val="nil"/>
              <w:left w:val="nil"/>
              <w:bottom w:val="single" w:sz="8" w:space="0" w:color="auto"/>
              <w:right w:val="double" w:sz="6" w:space="0" w:color="auto"/>
            </w:tcBorders>
            <w:shd w:val="clear" w:color="000000" w:fill="FFFFFF"/>
            <w:hideMark/>
          </w:tcPr>
          <w:p w14:paraId="04254678"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87</w:t>
            </w:r>
          </w:p>
        </w:tc>
      </w:tr>
      <w:tr w:rsidR="00EA7147" w:rsidRPr="00EF2F18" w14:paraId="6DBEB6BD" w14:textId="77777777" w:rsidTr="00F47AD6">
        <w:trPr>
          <w:trHeight w:val="1068"/>
        </w:trPr>
        <w:tc>
          <w:tcPr>
            <w:tcW w:w="3320" w:type="dxa"/>
            <w:tcBorders>
              <w:top w:val="nil"/>
              <w:left w:val="double" w:sz="6" w:space="0" w:color="auto"/>
              <w:bottom w:val="double" w:sz="6" w:space="0" w:color="auto"/>
              <w:right w:val="single" w:sz="8" w:space="0" w:color="auto"/>
            </w:tcBorders>
            <w:shd w:val="clear" w:color="000000" w:fill="FFFFFF"/>
            <w:hideMark/>
          </w:tcPr>
          <w:p w14:paraId="012CE3B8" w14:textId="77777777" w:rsidR="00EA7147" w:rsidRPr="00EF2F18" w:rsidRDefault="00EA7147"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Удео транспонованог ЕУ законодавства у национално законодавство за заштиту природе</w:t>
            </w:r>
          </w:p>
        </w:tc>
        <w:tc>
          <w:tcPr>
            <w:tcW w:w="1280" w:type="dxa"/>
            <w:tcBorders>
              <w:top w:val="nil"/>
              <w:left w:val="nil"/>
              <w:bottom w:val="double" w:sz="6" w:space="0" w:color="auto"/>
              <w:right w:val="single" w:sz="8" w:space="0" w:color="auto"/>
            </w:tcBorders>
            <w:shd w:val="clear" w:color="000000" w:fill="FFFFFF"/>
            <w:hideMark/>
          </w:tcPr>
          <w:p w14:paraId="3228B108"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80" w:type="dxa"/>
            <w:tcBorders>
              <w:top w:val="nil"/>
              <w:left w:val="nil"/>
              <w:bottom w:val="double" w:sz="6" w:space="0" w:color="auto"/>
              <w:right w:val="single" w:sz="8" w:space="0" w:color="auto"/>
            </w:tcBorders>
            <w:shd w:val="clear" w:color="000000" w:fill="FFFFFF"/>
            <w:hideMark/>
          </w:tcPr>
          <w:p w14:paraId="5E1C59AC"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ЗЗПРС, ПЗЗП, АЗЖС, МСП, МЕИ</w:t>
            </w:r>
          </w:p>
        </w:tc>
        <w:tc>
          <w:tcPr>
            <w:tcW w:w="2000" w:type="dxa"/>
            <w:gridSpan w:val="2"/>
            <w:tcBorders>
              <w:top w:val="single" w:sz="8" w:space="0" w:color="auto"/>
              <w:left w:val="nil"/>
              <w:bottom w:val="double" w:sz="6" w:space="0" w:color="auto"/>
              <w:right w:val="single" w:sz="8" w:space="0" w:color="000000"/>
            </w:tcBorders>
            <w:shd w:val="clear" w:color="000000" w:fill="FFFFFF"/>
            <w:hideMark/>
          </w:tcPr>
          <w:p w14:paraId="00A8F1B2"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85</w:t>
            </w:r>
          </w:p>
        </w:tc>
        <w:tc>
          <w:tcPr>
            <w:tcW w:w="1520" w:type="dxa"/>
            <w:tcBorders>
              <w:top w:val="nil"/>
              <w:left w:val="nil"/>
              <w:bottom w:val="double" w:sz="6" w:space="0" w:color="auto"/>
              <w:right w:val="single" w:sz="8" w:space="0" w:color="auto"/>
            </w:tcBorders>
            <w:shd w:val="clear" w:color="000000" w:fill="FFFFFF"/>
            <w:hideMark/>
          </w:tcPr>
          <w:p w14:paraId="6C4CD922"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97" w:type="dxa"/>
            <w:tcBorders>
              <w:top w:val="nil"/>
              <w:left w:val="single" w:sz="8" w:space="0" w:color="auto"/>
              <w:bottom w:val="double" w:sz="6" w:space="0" w:color="auto"/>
              <w:right w:val="single" w:sz="8" w:space="0" w:color="auto"/>
            </w:tcBorders>
            <w:shd w:val="clear" w:color="000000" w:fill="FFFFFF"/>
            <w:hideMark/>
          </w:tcPr>
          <w:p w14:paraId="47B9ECF2"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86</w:t>
            </w:r>
          </w:p>
        </w:tc>
        <w:tc>
          <w:tcPr>
            <w:tcW w:w="1260" w:type="dxa"/>
            <w:tcBorders>
              <w:top w:val="nil"/>
              <w:left w:val="nil"/>
              <w:bottom w:val="double" w:sz="6" w:space="0" w:color="auto"/>
              <w:right w:val="single" w:sz="8" w:space="0" w:color="auto"/>
            </w:tcBorders>
            <w:shd w:val="clear" w:color="000000" w:fill="FFFFFF"/>
            <w:hideMark/>
          </w:tcPr>
          <w:p w14:paraId="42C3E31F"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87</w:t>
            </w:r>
          </w:p>
        </w:tc>
        <w:tc>
          <w:tcPr>
            <w:tcW w:w="1800" w:type="dxa"/>
            <w:gridSpan w:val="2"/>
            <w:tcBorders>
              <w:top w:val="nil"/>
              <w:left w:val="nil"/>
              <w:bottom w:val="double" w:sz="6" w:space="0" w:color="auto"/>
              <w:right w:val="double" w:sz="6" w:space="0" w:color="auto"/>
            </w:tcBorders>
            <w:shd w:val="clear" w:color="000000" w:fill="FFFFFF"/>
            <w:hideMark/>
          </w:tcPr>
          <w:p w14:paraId="6FECE29E" w14:textId="77777777" w:rsidR="00EA7147" w:rsidRPr="00EF2F18" w:rsidRDefault="00EA7147"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87</w:t>
            </w:r>
          </w:p>
        </w:tc>
      </w:tr>
    </w:tbl>
    <w:p w14:paraId="48756DDD" w14:textId="1984FE0E" w:rsidR="007D7243" w:rsidRDefault="007D7243" w:rsidP="007D7243">
      <w:pPr>
        <w:spacing w:after="0"/>
        <w:rPr>
          <w:rFonts w:cs="Times New Roman"/>
          <w:sz w:val="20"/>
          <w:szCs w:val="20"/>
          <w:lang w:val="sr-Cyrl-RS"/>
        </w:rPr>
      </w:pPr>
    </w:p>
    <w:p w14:paraId="1E132D50" w14:textId="433F9654" w:rsidR="00AA1C23" w:rsidRDefault="00AA1C23" w:rsidP="007D7243">
      <w:pPr>
        <w:spacing w:after="0"/>
        <w:rPr>
          <w:rFonts w:cs="Times New Roman"/>
          <w:sz w:val="20"/>
          <w:szCs w:val="20"/>
          <w:lang w:val="sr-Cyrl-RS"/>
        </w:rPr>
      </w:pPr>
    </w:p>
    <w:p w14:paraId="7976DCF8" w14:textId="77777777" w:rsidR="00AA1C23" w:rsidRPr="00EF2F18" w:rsidRDefault="00AA1C23" w:rsidP="007D7243">
      <w:pPr>
        <w:spacing w:after="0"/>
        <w:rPr>
          <w:rFonts w:cs="Times New Roman"/>
          <w:sz w:val="20"/>
          <w:szCs w:val="20"/>
          <w:lang w:val="sr-Cyrl-RS"/>
        </w:rPr>
      </w:pPr>
    </w:p>
    <w:tbl>
      <w:tblPr>
        <w:tblW w:w="13657" w:type="dxa"/>
        <w:tblLook w:val="04A0" w:firstRow="1" w:lastRow="0" w:firstColumn="1" w:lastColumn="0" w:noHBand="0" w:noVBand="1"/>
      </w:tblPr>
      <w:tblGrid>
        <w:gridCol w:w="3800"/>
        <w:gridCol w:w="2556"/>
        <w:gridCol w:w="2351"/>
        <w:gridCol w:w="2160"/>
        <w:gridCol w:w="2769"/>
        <w:gridCol w:w="21"/>
      </w:tblGrid>
      <w:tr w:rsidR="007D7243" w:rsidRPr="00EF2F18" w14:paraId="44E90791" w14:textId="77777777" w:rsidTr="00F47AD6">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C04A53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942A7A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4D25F9B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47AD6" w:rsidRPr="00EF2F18" w14:paraId="0851AEE4" w14:textId="77777777" w:rsidTr="00F47AD6">
        <w:trPr>
          <w:trHeight w:val="336"/>
        </w:trPr>
        <w:tc>
          <w:tcPr>
            <w:tcW w:w="3800" w:type="dxa"/>
            <w:vMerge/>
            <w:tcBorders>
              <w:top w:val="double" w:sz="6" w:space="0" w:color="auto"/>
              <w:left w:val="double" w:sz="6" w:space="0" w:color="auto"/>
              <w:bottom w:val="single" w:sz="8" w:space="0" w:color="000000"/>
              <w:right w:val="double" w:sz="6" w:space="0" w:color="auto"/>
            </w:tcBorders>
            <w:hideMark/>
          </w:tcPr>
          <w:p w14:paraId="3AD420B7" w14:textId="77777777" w:rsidR="00F47AD6" w:rsidRPr="00EF2F18" w:rsidRDefault="00F47AD6" w:rsidP="00752CA0">
            <w:pPr>
              <w:spacing w:after="0"/>
              <w:rPr>
                <w:rFonts w:eastAsia="Times New Roman" w:cs="Times New Roman"/>
                <w:color w:val="000000"/>
                <w:sz w:val="20"/>
                <w:szCs w:val="20"/>
                <w:lang w:val="sr-Cyrl-RS" w:eastAsia="en-GB"/>
              </w:rPr>
            </w:pPr>
          </w:p>
        </w:tc>
        <w:tc>
          <w:tcPr>
            <w:tcW w:w="2556" w:type="dxa"/>
            <w:vMerge/>
            <w:tcBorders>
              <w:top w:val="double" w:sz="6" w:space="0" w:color="auto"/>
              <w:left w:val="double" w:sz="6" w:space="0" w:color="auto"/>
              <w:bottom w:val="single" w:sz="8" w:space="0" w:color="000000"/>
              <w:right w:val="double" w:sz="6" w:space="0" w:color="auto"/>
            </w:tcBorders>
            <w:hideMark/>
          </w:tcPr>
          <w:p w14:paraId="76F7DA8D" w14:textId="77777777" w:rsidR="00F47AD6" w:rsidRPr="00EF2F18" w:rsidRDefault="00F47AD6" w:rsidP="00752CA0">
            <w:pPr>
              <w:spacing w:after="0"/>
              <w:rPr>
                <w:rFonts w:eastAsia="Times New Roman" w:cs="Times New Roman"/>
                <w:color w:val="000000"/>
                <w:sz w:val="20"/>
                <w:szCs w:val="20"/>
                <w:lang w:val="sr-Cyrl-RS" w:eastAsia="en-GB"/>
              </w:rPr>
            </w:pPr>
          </w:p>
        </w:tc>
        <w:tc>
          <w:tcPr>
            <w:tcW w:w="2351" w:type="dxa"/>
            <w:tcBorders>
              <w:top w:val="nil"/>
              <w:left w:val="nil"/>
              <w:bottom w:val="double" w:sz="6" w:space="0" w:color="auto"/>
              <w:right w:val="double" w:sz="6" w:space="0" w:color="auto"/>
            </w:tcBorders>
            <w:shd w:val="clear" w:color="000000" w:fill="A8D08D"/>
            <w:hideMark/>
          </w:tcPr>
          <w:p w14:paraId="1381FC80" w14:textId="6C02E6F8"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7CC07B3C" w14:textId="769FDB99"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790" w:type="dxa"/>
            <w:gridSpan w:val="2"/>
            <w:tcBorders>
              <w:top w:val="nil"/>
              <w:left w:val="nil"/>
              <w:bottom w:val="double" w:sz="6" w:space="0" w:color="auto"/>
              <w:right w:val="double" w:sz="6" w:space="0" w:color="auto"/>
            </w:tcBorders>
            <w:shd w:val="clear" w:color="000000" w:fill="A8D08D"/>
            <w:hideMark/>
          </w:tcPr>
          <w:p w14:paraId="7F44AA99" w14:textId="57E030A1"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F47AD6" w:rsidRPr="00EF2F18" w14:paraId="49BB44F9" w14:textId="77777777" w:rsidTr="00F47AD6">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40AF055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556" w:type="dxa"/>
            <w:tcBorders>
              <w:top w:val="nil"/>
              <w:left w:val="nil"/>
              <w:bottom w:val="double" w:sz="6" w:space="0" w:color="auto"/>
              <w:right w:val="double" w:sz="6" w:space="0" w:color="auto"/>
            </w:tcBorders>
            <w:shd w:val="clear" w:color="000000" w:fill="FFFFFF"/>
            <w:hideMark/>
          </w:tcPr>
          <w:p w14:paraId="156BDFE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351" w:type="dxa"/>
            <w:tcBorders>
              <w:top w:val="nil"/>
              <w:left w:val="nil"/>
              <w:bottom w:val="double" w:sz="6" w:space="0" w:color="auto"/>
              <w:right w:val="double" w:sz="6" w:space="0" w:color="auto"/>
            </w:tcBorders>
            <w:hideMark/>
          </w:tcPr>
          <w:p w14:paraId="3220E892"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160" w:type="dxa"/>
            <w:tcBorders>
              <w:top w:val="nil"/>
              <w:left w:val="nil"/>
              <w:bottom w:val="double" w:sz="6" w:space="0" w:color="auto"/>
              <w:right w:val="double" w:sz="6" w:space="0" w:color="auto"/>
            </w:tcBorders>
            <w:hideMark/>
          </w:tcPr>
          <w:p w14:paraId="33870294"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790" w:type="dxa"/>
            <w:gridSpan w:val="2"/>
            <w:tcBorders>
              <w:top w:val="nil"/>
              <w:left w:val="nil"/>
              <w:bottom w:val="double" w:sz="6" w:space="0" w:color="auto"/>
              <w:right w:val="double" w:sz="6" w:space="0" w:color="auto"/>
            </w:tcBorders>
            <w:shd w:val="clear" w:color="000000" w:fill="FFFFFF"/>
            <w:hideMark/>
          </w:tcPr>
          <w:p w14:paraId="5D7AC3ED"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bl>
    <w:p w14:paraId="3051D12F" w14:textId="584ACB51" w:rsidR="007D7243" w:rsidRDefault="007D7243" w:rsidP="007D7243">
      <w:pPr>
        <w:spacing w:after="0"/>
        <w:rPr>
          <w:rFonts w:cs="Times New Roman"/>
          <w:sz w:val="20"/>
          <w:szCs w:val="20"/>
          <w:lang w:val="sr-Cyrl-RS"/>
        </w:rPr>
      </w:pPr>
    </w:p>
    <w:p w14:paraId="4866C3C2" w14:textId="2E70C862" w:rsidR="0012465C" w:rsidRDefault="0012465C" w:rsidP="007D7243">
      <w:pPr>
        <w:spacing w:after="0"/>
        <w:rPr>
          <w:rFonts w:cs="Times New Roman"/>
          <w:sz w:val="20"/>
          <w:szCs w:val="20"/>
          <w:lang w:val="sr-Cyrl-RS"/>
        </w:rPr>
      </w:pPr>
    </w:p>
    <w:p w14:paraId="37C41977" w14:textId="41A327CA" w:rsidR="0012465C" w:rsidRDefault="0012465C" w:rsidP="007D7243">
      <w:pPr>
        <w:spacing w:after="0"/>
        <w:rPr>
          <w:rFonts w:cs="Times New Roman"/>
          <w:sz w:val="20"/>
          <w:szCs w:val="20"/>
          <w:lang w:val="sr-Cyrl-RS"/>
        </w:rPr>
      </w:pPr>
    </w:p>
    <w:p w14:paraId="2B3A4E1F" w14:textId="3F9E88CD" w:rsidR="0012465C" w:rsidRDefault="0012465C" w:rsidP="007D7243">
      <w:pPr>
        <w:spacing w:after="0"/>
        <w:rPr>
          <w:rFonts w:cs="Times New Roman"/>
          <w:sz w:val="20"/>
          <w:szCs w:val="20"/>
          <w:lang w:val="sr-Cyrl-RS"/>
        </w:rPr>
      </w:pPr>
    </w:p>
    <w:p w14:paraId="3FF2F01F" w14:textId="508F7B3A" w:rsidR="0012465C" w:rsidRDefault="0012465C" w:rsidP="007D7243">
      <w:pPr>
        <w:spacing w:after="0"/>
        <w:rPr>
          <w:rFonts w:cs="Times New Roman"/>
          <w:sz w:val="20"/>
          <w:szCs w:val="20"/>
          <w:lang w:val="sr-Cyrl-RS"/>
        </w:rPr>
      </w:pPr>
    </w:p>
    <w:p w14:paraId="2B774F1E" w14:textId="77777777" w:rsidR="0012465C" w:rsidRPr="00EF2F18" w:rsidRDefault="0012465C" w:rsidP="007D7243">
      <w:pPr>
        <w:spacing w:after="0"/>
        <w:rPr>
          <w:rFonts w:cs="Times New Roman"/>
          <w:sz w:val="20"/>
          <w:szCs w:val="20"/>
          <w:lang w:val="sr-Cyrl-RS"/>
        </w:rPr>
      </w:pPr>
    </w:p>
    <w:tbl>
      <w:tblPr>
        <w:tblW w:w="13657" w:type="dxa"/>
        <w:tblLook w:val="04A0" w:firstRow="1" w:lastRow="0" w:firstColumn="1" w:lastColumn="0" w:noHBand="0" w:noVBand="1"/>
      </w:tblPr>
      <w:tblGrid>
        <w:gridCol w:w="2871"/>
        <w:gridCol w:w="1250"/>
        <w:gridCol w:w="1353"/>
        <w:gridCol w:w="1182"/>
        <w:gridCol w:w="1691"/>
        <w:gridCol w:w="1340"/>
        <w:gridCol w:w="1270"/>
        <w:gridCol w:w="1170"/>
        <w:gridCol w:w="1508"/>
        <w:gridCol w:w="22"/>
      </w:tblGrid>
      <w:tr w:rsidR="007D7243" w:rsidRPr="00EF2F18" w14:paraId="3A029B9A" w14:textId="77777777" w:rsidTr="00F47AD6">
        <w:trPr>
          <w:gridAfter w:val="1"/>
          <w:wAfter w:w="22" w:type="dxa"/>
          <w:trHeight w:val="732"/>
        </w:trPr>
        <w:tc>
          <w:tcPr>
            <w:tcW w:w="2871"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4DD2D1E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BCBCFA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35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4EB1F9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B28252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E26D4B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2BC22A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948" w:type="dxa"/>
            <w:gridSpan w:val="3"/>
            <w:tcBorders>
              <w:top w:val="double" w:sz="6" w:space="0" w:color="auto"/>
              <w:left w:val="nil"/>
              <w:bottom w:val="single" w:sz="8" w:space="0" w:color="auto"/>
              <w:right w:val="double" w:sz="6" w:space="0" w:color="auto"/>
            </w:tcBorders>
            <w:shd w:val="clear" w:color="000000" w:fill="FFF2CC"/>
            <w:hideMark/>
          </w:tcPr>
          <w:p w14:paraId="1689A81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47AD6" w:rsidRPr="00EF2F18" w14:paraId="7C78D534" w14:textId="77777777" w:rsidTr="00F47AD6">
        <w:trPr>
          <w:trHeight w:val="324"/>
        </w:trPr>
        <w:tc>
          <w:tcPr>
            <w:tcW w:w="2871" w:type="dxa"/>
            <w:vMerge/>
            <w:tcBorders>
              <w:top w:val="double" w:sz="6" w:space="0" w:color="auto"/>
              <w:left w:val="double" w:sz="6" w:space="0" w:color="auto"/>
              <w:bottom w:val="single" w:sz="8" w:space="0" w:color="000000"/>
              <w:right w:val="single" w:sz="8" w:space="0" w:color="auto"/>
            </w:tcBorders>
            <w:vAlign w:val="center"/>
            <w:hideMark/>
          </w:tcPr>
          <w:p w14:paraId="11183897" w14:textId="77777777" w:rsidR="00F47AD6" w:rsidRPr="00EF2F18" w:rsidRDefault="00F47AD6" w:rsidP="00752CA0">
            <w:pPr>
              <w:spacing w:after="0"/>
              <w:rPr>
                <w:rFonts w:eastAsia="Times New Roman" w:cs="Times New Roman"/>
                <w:color w:val="000000"/>
                <w:sz w:val="20"/>
                <w:szCs w:val="20"/>
                <w:lang w:val="sr-Cyrl-RS" w:eastAsia="en-GB"/>
              </w:rPr>
            </w:pPr>
          </w:p>
        </w:tc>
        <w:tc>
          <w:tcPr>
            <w:tcW w:w="1250" w:type="dxa"/>
            <w:vMerge/>
            <w:tcBorders>
              <w:top w:val="double" w:sz="6" w:space="0" w:color="auto"/>
              <w:left w:val="single" w:sz="8" w:space="0" w:color="auto"/>
              <w:bottom w:val="single" w:sz="8" w:space="0" w:color="000000"/>
              <w:right w:val="single" w:sz="8" w:space="0" w:color="auto"/>
            </w:tcBorders>
            <w:vAlign w:val="center"/>
            <w:hideMark/>
          </w:tcPr>
          <w:p w14:paraId="693FC3EE" w14:textId="77777777" w:rsidR="00F47AD6" w:rsidRPr="00EF2F18" w:rsidRDefault="00F47AD6" w:rsidP="00752CA0">
            <w:pPr>
              <w:spacing w:after="0"/>
              <w:rPr>
                <w:rFonts w:eastAsia="Times New Roman" w:cs="Times New Roman"/>
                <w:color w:val="000000"/>
                <w:sz w:val="20"/>
                <w:szCs w:val="20"/>
                <w:lang w:val="sr-Cyrl-RS" w:eastAsia="en-GB"/>
              </w:rPr>
            </w:pPr>
          </w:p>
        </w:tc>
        <w:tc>
          <w:tcPr>
            <w:tcW w:w="1353" w:type="dxa"/>
            <w:vMerge/>
            <w:tcBorders>
              <w:top w:val="double" w:sz="6" w:space="0" w:color="auto"/>
              <w:left w:val="single" w:sz="8" w:space="0" w:color="auto"/>
              <w:bottom w:val="single" w:sz="8" w:space="0" w:color="000000"/>
              <w:right w:val="single" w:sz="8" w:space="0" w:color="auto"/>
            </w:tcBorders>
            <w:vAlign w:val="center"/>
            <w:hideMark/>
          </w:tcPr>
          <w:p w14:paraId="4E4C81D0" w14:textId="77777777" w:rsidR="00F47AD6" w:rsidRPr="00EF2F18" w:rsidRDefault="00F47AD6"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681CE82B" w14:textId="77777777" w:rsidR="00F47AD6" w:rsidRPr="00EF2F18" w:rsidRDefault="00F47AD6"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3803B122" w14:textId="77777777" w:rsidR="00F47AD6" w:rsidRPr="00EF2F18" w:rsidRDefault="00F47AD6"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00AF3455" w14:textId="77777777" w:rsidR="00F47AD6" w:rsidRPr="00EF2F18" w:rsidRDefault="00F47AD6" w:rsidP="00752CA0">
            <w:pPr>
              <w:spacing w:after="0"/>
              <w:rPr>
                <w:rFonts w:eastAsia="Times New Roman" w:cs="Times New Roman"/>
                <w:color w:val="000000"/>
                <w:sz w:val="20"/>
                <w:szCs w:val="20"/>
                <w:lang w:val="sr-Cyrl-RS" w:eastAsia="en-GB"/>
              </w:rPr>
            </w:pPr>
          </w:p>
        </w:tc>
        <w:tc>
          <w:tcPr>
            <w:tcW w:w="1270" w:type="dxa"/>
            <w:tcBorders>
              <w:top w:val="nil"/>
              <w:left w:val="nil"/>
              <w:bottom w:val="single" w:sz="8" w:space="0" w:color="auto"/>
              <w:right w:val="single" w:sz="8" w:space="0" w:color="auto"/>
            </w:tcBorders>
            <w:shd w:val="clear" w:color="000000" w:fill="FFF2CC"/>
            <w:hideMark/>
          </w:tcPr>
          <w:p w14:paraId="65C15D33" w14:textId="45E37828"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46215D9F" w14:textId="11D91958"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gridSpan w:val="2"/>
            <w:tcBorders>
              <w:top w:val="nil"/>
              <w:left w:val="nil"/>
              <w:bottom w:val="single" w:sz="8" w:space="0" w:color="auto"/>
              <w:right w:val="double" w:sz="6" w:space="0" w:color="auto"/>
            </w:tcBorders>
            <w:shd w:val="clear" w:color="000000" w:fill="FFF2CC"/>
            <w:hideMark/>
          </w:tcPr>
          <w:p w14:paraId="09116C6A" w14:textId="4045DAE0"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F47AD6" w:rsidRPr="00EF2F18" w14:paraId="0DB255E5" w14:textId="77777777" w:rsidTr="00F47AD6">
        <w:trPr>
          <w:trHeight w:val="1068"/>
        </w:trPr>
        <w:tc>
          <w:tcPr>
            <w:tcW w:w="2871" w:type="dxa"/>
            <w:tcBorders>
              <w:top w:val="nil"/>
              <w:left w:val="double" w:sz="6" w:space="0" w:color="auto"/>
              <w:bottom w:val="single" w:sz="8" w:space="0" w:color="auto"/>
              <w:right w:val="single" w:sz="8" w:space="0" w:color="auto"/>
            </w:tcBorders>
            <w:hideMark/>
          </w:tcPr>
          <w:p w14:paraId="42981CA8"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4.1.7.1. Усклађивање националних прописа за примену међународних уговора о заштити животне </w:t>
            </w:r>
            <w:r w:rsidRPr="00EF2F18">
              <w:rPr>
                <w:rFonts w:eastAsia="Times New Roman" w:cs="Times New Roman"/>
                <w:color w:val="000000"/>
                <w:sz w:val="20"/>
                <w:szCs w:val="20"/>
                <w:lang w:val="sr-Cyrl-RS" w:eastAsia="en-GB"/>
              </w:rPr>
              <w:lastRenderedPageBreak/>
              <w:t>средине у области биодиверзитета</w:t>
            </w:r>
          </w:p>
        </w:tc>
        <w:tc>
          <w:tcPr>
            <w:tcW w:w="1250" w:type="dxa"/>
            <w:tcBorders>
              <w:top w:val="nil"/>
              <w:left w:val="nil"/>
              <w:bottom w:val="single" w:sz="8" w:space="0" w:color="auto"/>
              <w:right w:val="single" w:sz="8" w:space="0" w:color="auto"/>
            </w:tcBorders>
            <w:hideMark/>
          </w:tcPr>
          <w:p w14:paraId="6090411B"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МЗЖС</w:t>
            </w:r>
          </w:p>
        </w:tc>
        <w:tc>
          <w:tcPr>
            <w:tcW w:w="1353" w:type="dxa"/>
            <w:tcBorders>
              <w:top w:val="nil"/>
              <w:left w:val="nil"/>
              <w:bottom w:val="single" w:sz="8" w:space="0" w:color="auto"/>
              <w:right w:val="single" w:sz="8" w:space="0" w:color="auto"/>
            </w:tcBorders>
            <w:hideMark/>
          </w:tcPr>
          <w:p w14:paraId="191E8E1D"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ЗЗПРС, ПЗЗП, АЗЖС, МСП, МЕИ</w:t>
            </w:r>
          </w:p>
        </w:tc>
        <w:tc>
          <w:tcPr>
            <w:tcW w:w="1182" w:type="dxa"/>
            <w:tcBorders>
              <w:top w:val="nil"/>
              <w:left w:val="nil"/>
              <w:bottom w:val="single" w:sz="8" w:space="0" w:color="auto"/>
              <w:right w:val="single" w:sz="8" w:space="0" w:color="auto"/>
            </w:tcBorders>
            <w:hideMark/>
          </w:tcPr>
          <w:p w14:paraId="443EB831"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352CF87B"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194567DE"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70" w:type="dxa"/>
            <w:tcBorders>
              <w:top w:val="nil"/>
              <w:left w:val="nil"/>
              <w:bottom w:val="single" w:sz="8" w:space="0" w:color="auto"/>
              <w:right w:val="single" w:sz="8" w:space="0" w:color="auto"/>
            </w:tcBorders>
          </w:tcPr>
          <w:p w14:paraId="3E7ECD5F" w14:textId="77F73457" w:rsidR="00F47AD6" w:rsidRPr="00EF2F18" w:rsidRDefault="00F47AD6"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21998217" w14:textId="67FD356B"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gridSpan w:val="2"/>
            <w:tcBorders>
              <w:top w:val="nil"/>
              <w:left w:val="nil"/>
              <w:bottom w:val="single" w:sz="8" w:space="0" w:color="auto"/>
              <w:right w:val="double" w:sz="6" w:space="0" w:color="auto"/>
            </w:tcBorders>
          </w:tcPr>
          <w:p w14:paraId="19207843" w14:textId="1164EDA3"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5F723F06" w14:textId="77777777" w:rsidTr="00F47AD6">
        <w:trPr>
          <w:trHeight w:val="1068"/>
        </w:trPr>
        <w:tc>
          <w:tcPr>
            <w:tcW w:w="2871" w:type="dxa"/>
            <w:tcBorders>
              <w:top w:val="nil"/>
              <w:left w:val="double" w:sz="6" w:space="0" w:color="auto"/>
              <w:bottom w:val="single" w:sz="8" w:space="0" w:color="auto"/>
              <w:right w:val="single" w:sz="8" w:space="0" w:color="auto"/>
            </w:tcBorders>
            <w:hideMark/>
          </w:tcPr>
          <w:p w14:paraId="0D95E47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4.1.7.2. Усклађивање секторских прописа са прописима ЕУ о заштити животне средине у области заштите природе</w:t>
            </w:r>
          </w:p>
        </w:tc>
        <w:tc>
          <w:tcPr>
            <w:tcW w:w="1250" w:type="dxa"/>
            <w:tcBorders>
              <w:top w:val="nil"/>
              <w:left w:val="nil"/>
              <w:bottom w:val="single" w:sz="8" w:space="0" w:color="auto"/>
              <w:right w:val="single" w:sz="8" w:space="0" w:color="auto"/>
            </w:tcBorders>
            <w:hideMark/>
          </w:tcPr>
          <w:p w14:paraId="4A6AA4DD"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53" w:type="dxa"/>
            <w:tcBorders>
              <w:top w:val="nil"/>
              <w:left w:val="nil"/>
              <w:bottom w:val="single" w:sz="8" w:space="0" w:color="auto"/>
              <w:right w:val="single" w:sz="8" w:space="0" w:color="auto"/>
            </w:tcBorders>
            <w:hideMark/>
          </w:tcPr>
          <w:p w14:paraId="784380E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ЗЗПРС, ПЗЗП, АЗЖС, МСП, МЕИ</w:t>
            </w:r>
          </w:p>
        </w:tc>
        <w:tc>
          <w:tcPr>
            <w:tcW w:w="1182" w:type="dxa"/>
            <w:tcBorders>
              <w:top w:val="nil"/>
              <w:left w:val="nil"/>
              <w:bottom w:val="single" w:sz="8" w:space="0" w:color="auto"/>
              <w:right w:val="single" w:sz="8" w:space="0" w:color="auto"/>
            </w:tcBorders>
            <w:hideMark/>
          </w:tcPr>
          <w:p w14:paraId="50B44CB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2FEF2667"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04A0F9D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70" w:type="dxa"/>
            <w:tcBorders>
              <w:top w:val="nil"/>
              <w:left w:val="nil"/>
              <w:bottom w:val="single" w:sz="8" w:space="0" w:color="auto"/>
              <w:right w:val="single" w:sz="8" w:space="0" w:color="auto"/>
            </w:tcBorders>
          </w:tcPr>
          <w:p w14:paraId="40A0FAAA" w14:textId="21B17434" w:rsidR="00F47AD6" w:rsidRPr="00EF2F18" w:rsidRDefault="00F47AD6"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7ABD2033" w14:textId="1516AB2C"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gridSpan w:val="2"/>
            <w:tcBorders>
              <w:top w:val="nil"/>
              <w:left w:val="nil"/>
              <w:bottom w:val="single" w:sz="8" w:space="0" w:color="auto"/>
              <w:right w:val="double" w:sz="6" w:space="0" w:color="auto"/>
            </w:tcBorders>
          </w:tcPr>
          <w:p w14:paraId="44893991" w14:textId="5016C880"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0CD9975F" w14:textId="77777777" w:rsidTr="00F47AD6">
        <w:trPr>
          <w:trHeight w:val="1068"/>
        </w:trPr>
        <w:tc>
          <w:tcPr>
            <w:tcW w:w="2871" w:type="dxa"/>
            <w:tcBorders>
              <w:top w:val="nil"/>
              <w:left w:val="double" w:sz="6" w:space="0" w:color="auto"/>
              <w:bottom w:val="single" w:sz="8" w:space="0" w:color="auto"/>
              <w:right w:val="single" w:sz="8" w:space="0" w:color="auto"/>
            </w:tcBorders>
            <w:hideMark/>
          </w:tcPr>
          <w:p w14:paraId="3CE8B0BB"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4.1.7.3. Континуирано праћење имплементације међунарoдних уговора закључених у оквиру Савета Европе</w:t>
            </w:r>
          </w:p>
        </w:tc>
        <w:tc>
          <w:tcPr>
            <w:tcW w:w="1250" w:type="dxa"/>
            <w:tcBorders>
              <w:top w:val="nil"/>
              <w:left w:val="nil"/>
              <w:bottom w:val="single" w:sz="8" w:space="0" w:color="auto"/>
              <w:right w:val="single" w:sz="8" w:space="0" w:color="auto"/>
            </w:tcBorders>
            <w:hideMark/>
          </w:tcPr>
          <w:p w14:paraId="45D0D0D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53" w:type="dxa"/>
            <w:tcBorders>
              <w:top w:val="nil"/>
              <w:left w:val="nil"/>
              <w:bottom w:val="single" w:sz="8" w:space="0" w:color="auto"/>
              <w:right w:val="single" w:sz="8" w:space="0" w:color="auto"/>
            </w:tcBorders>
            <w:hideMark/>
          </w:tcPr>
          <w:p w14:paraId="76E7EECA"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ЗЗПРС, ПЗЗП, АЗЖС, МСП, МЕИ</w:t>
            </w:r>
          </w:p>
        </w:tc>
        <w:tc>
          <w:tcPr>
            <w:tcW w:w="1182" w:type="dxa"/>
            <w:tcBorders>
              <w:top w:val="nil"/>
              <w:left w:val="nil"/>
              <w:bottom w:val="single" w:sz="8" w:space="0" w:color="auto"/>
              <w:right w:val="single" w:sz="8" w:space="0" w:color="auto"/>
            </w:tcBorders>
            <w:hideMark/>
          </w:tcPr>
          <w:p w14:paraId="3AC0A7CE"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0BF25D6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6BF54061"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70" w:type="dxa"/>
            <w:tcBorders>
              <w:top w:val="nil"/>
              <w:left w:val="nil"/>
              <w:bottom w:val="single" w:sz="8" w:space="0" w:color="auto"/>
              <w:right w:val="single" w:sz="8" w:space="0" w:color="auto"/>
            </w:tcBorders>
          </w:tcPr>
          <w:p w14:paraId="1E550506" w14:textId="7B6F1100" w:rsidR="00F47AD6" w:rsidRPr="00EF2F18" w:rsidRDefault="00F47AD6"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3EAE7ED0" w14:textId="0DD33A45"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gridSpan w:val="2"/>
            <w:tcBorders>
              <w:top w:val="nil"/>
              <w:left w:val="nil"/>
              <w:bottom w:val="single" w:sz="8" w:space="0" w:color="auto"/>
              <w:right w:val="double" w:sz="6" w:space="0" w:color="auto"/>
            </w:tcBorders>
          </w:tcPr>
          <w:p w14:paraId="4743BDEA" w14:textId="01860750"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3AAAE2EC" w14:textId="77777777" w:rsidTr="00F47AD6">
        <w:trPr>
          <w:trHeight w:val="1068"/>
        </w:trPr>
        <w:tc>
          <w:tcPr>
            <w:tcW w:w="2871" w:type="dxa"/>
            <w:tcBorders>
              <w:top w:val="nil"/>
              <w:left w:val="double" w:sz="6" w:space="0" w:color="auto"/>
              <w:bottom w:val="double" w:sz="6" w:space="0" w:color="auto"/>
              <w:right w:val="single" w:sz="8" w:space="0" w:color="auto"/>
            </w:tcBorders>
            <w:hideMark/>
          </w:tcPr>
          <w:p w14:paraId="1290D76E"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4.1.7.4. Активно учествовање у раду регионалне радне групе за биодиверзитет за Југо-источну Европу</w:t>
            </w:r>
          </w:p>
        </w:tc>
        <w:tc>
          <w:tcPr>
            <w:tcW w:w="1250" w:type="dxa"/>
            <w:tcBorders>
              <w:top w:val="nil"/>
              <w:left w:val="nil"/>
              <w:bottom w:val="double" w:sz="6" w:space="0" w:color="auto"/>
              <w:right w:val="single" w:sz="8" w:space="0" w:color="auto"/>
            </w:tcBorders>
            <w:hideMark/>
          </w:tcPr>
          <w:p w14:paraId="59A5481D"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53" w:type="dxa"/>
            <w:tcBorders>
              <w:top w:val="nil"/>
              <w:left w:val="nil"/>
              <w:bottom w:val="double" w:sz="6" w:space="0" w:color="auto"/>
              <w:right w:val="single" w:sz="8" w:space="0" w:color="auto"/>
            </w:tcBorders>
            <w:hideMark/>
          </w:tcPr>
          <w:p w14:paraId="34CC605F"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ЗЗПРС, ПЗЗП, АЗЖС, МСП, МЕИ</w:t>
            </w:r>
          </w:p>
        </w:tc>
        <w:tc>
          <w:tcPr>
            <w:tcW w:w="1182" w:type="dxa"/>
            <w:tcBorders>
              <w:top w:val="nil"/>
              <w:left w:val="nil"/>
              <w:bottom w:val="double" w:sz="6" w:space="0" w:color="auto"/>
              <w:right w:val="single" w:sz="8" w:space="0" w:color="auto"/>
            </w:tcBorders>
            <w:hideMark/>
          </w:tcPr>
          <w:p w14:paraId="1F99DC34"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6CA1798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hideMark/>
          </w:tcPr>
          <w:p w14:paraId="09BF0FB3"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70" w:type="dxa"/>
            <w:tcBorders>
              <w:top w:val="nil"/>
              <w:left w:val="nil"/>
              <w:bottom w:val="double" w:sz="6" w:space="0" w:color="auto"/>
              <w:right w:val="single" w:sz="8" w:space="0" w:color="auto"/>
            </w:tcBorders>
          </w:tcPr>
          <w:p w14:paraId="3E1F0865" w14:textId="6E0D265E" w:rsidR="00F47AD6" w:rsidRPr="00EF2F18" w:rsidRDefault="00F47AD6"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double" w:sz="6" w:space="0" w:color="auto"/>
              <w:right w:val="single" w:sz="8" w:space="0" w:color="auto"/>
            </w:tcBorders>
          </w:tcPr>
          <w:p w14:paraId="4791E7FB" w14:textId="3B881151"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gridSpan w:val="2"/>
            <w:tcBorders>
              <w:top w:val="nil"/>
              <w:left w:val="nil"/>
              <w:bottom w:val="double" w:sz="6" w:space="0" w:color="auto"/>
              <w:right w:val="double" w:sz="6" w:space="0" w:color="auto"/>
            </w:tcBorders>
          </w:tcPr>
          <w:p w14:paraId="437D5822" w14:textId="76371E08" w:rsidR="00F47AD6" w:rsidRPr="00EF2F18" w:rsidRDefault="00F47AD6" w:rsidP="00752CA0">
            <w:pPr>
              <w:spacing w:after="0"/>
              <w:jc w:val="right"/>
              <w:rPr>
                <w:rFonts w:eastAsia="Times New Roman" w:cs="Times New Roman"/>
                <w:color w:val="000000"/>
                <w:sz w:val="20"/>
                <w:szCs w:val="20"/>
                <w:lang w:val="sr-Cyrl-RS" w:eastAsia="en-GB"/>
              </w:rPr>
            </w:pPr>
          </w:p>
        </w:tc>
      </w:tr>
    </w:tbl>
    <w:p w14:paraId="48D05804" w14:textId="77777777" w:rsidR="007D7243" w:rsidRPr="00EF2F18" w:rsidRDefault="007D7243" w:rsidP="007D7243">
      <w:pPr>
        <w:rPr>
          <w:rFonts w:cs="Times New Roman"/>
          <w:sz w:val="20"/>
          <w:szCs w:val="20"/>
          <w:lang w:val="sr-Cyrl-RS"/>
        </w:rPr>
      </w:pPr>
    </w:p>
    <w:p w14:paraId="35D02A2A" w14:textId="26FE4CF4" w:rsidR="00AA1C23" w:rsidRDefault="00AA1C23" w:rsidP="007D7243">
      <w:pPr>
        <w:rPr>
          <w:rFonts w:cs="Times New Roman"/>
          <w:sz w:val="20"/>
          <w:szCs w:val="20"/>
          <w:lang w:val="sr-Cyrl-RS"/>
        </w:rPr>
      </w:pPr>
    </w:p>
    <w:p w14:paraId="630B9F0B" w14:textId="77777777" w:rsidR="00AA1C23" w:rsidRPr="00EF2F18" w:rsidRDefault="00AA1C23" w:rsidP="007D7243">
      <w:pPr>
        <w:rPr>
          <w:rFonts w:cs="Times New Roman"/>
          <w:sz w:val="20"/>
          <w:szCs w:val="20"/>
          <w:lang w:val="sr-Cyrl-RS"/>
        </w:rPr>
      </w:pPr>
    </w:p>
    <w:tbl>
      <w:tblPr>
        <w:tblW w:w="13893" w:type="dxa"/>
        <w:tblLook w:val="04A0" w:firstRow="1" w:lastRow="0" w:firstColumn="1" w:lastColumn="0" w:noHBand="0" w:noVBand="1"/>
      </w:tblPr>
      <w:tblGrid>
        <w:gridCol w:w="3377"/>
        <w:gridCol w:w="1152"/>
        <w:gridCol w:w="1491"/>
        <w:gridCol w:w="1266"/>
        <w:gridCol w:w="1511"/>
        <w:gridCol w:w="1350"/>
        <w:gridCol w:w="1530"/>
        <w:gridCol w:w="1980"/>
        <w:gridCol w:w="236"/>
      </w:tblGrid>
      <w:tr w:rsidR="007D7243" w:rsidRPr="00EF2F18" w14:paraId="3DC59CFC" w14:textId="77777777" w:rsidTr="00F47AD6">
        <w:trPr>
          <w:gridAfter w:val="1"/>
          <w:wAfter w:w="236" w:type="dxa"/>
          <w:trHeight w:val="336"/>
        </w:trPr>
        <w:tc>
          <w:tcPr>
            <w:tcW w:w="13657" w:type="dxa"/>
            <w:gridSpan w:val="8"/>
            <w:tcBorders>
              <w:top w:val="double" w:sz="6" w:space="0" w:color="auto"/>
              <w:left w:val="double" w:sz="6" w:space="0" w:color="auto"/>
              <w:bottom w:val="single" w:sz="8" w:space="0" w:color="auto"/>
              <w:right w:val="double" w:sz="6" w:space="0" w:color="auto"/>
            </w:tcBorders>
            <w:shd w:val="clear" w:color="000000" w:fill="C5E0B3"/>
            <w:hideMark/>
          </w:tcPr>
          <w:p w14:paraId="14F2B2E4"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4.2: Одрживо управљање шумама, дивљачи и рибљим фондом</w:t>
            </w:r>
          </w:p>
        </w:tc>
      </w:tr>
      <w:tr w:rsidR="007D7243" w:rsidRPr="00EF2F18" w14:paraId="47AA51F0" w14:textId="77777777" w:rsidTr="00F47AD6">
        <w:trPr>
          <w:gridAfter w:val="1"/>
          <w:wAfter w:w="236" w:type="dxa"/>
          <w:trHeight w:val="324"/>
        </w:trPr>
        <w:tc>
          <w:tcPr>
            <w:tcW w:w="13657" w:type="dxa"/>
            <w:gridSpan w:val="8"/>
            <w:tcBorders>
              <w:top w:val="single" w:sz="8" w:space="0" w:color="auto"/>
              <w:left w:val="double" w:sz="6" w:space="0" w:color="auto"/>
              <w:bottom w:val="single" w:sz="8" w:space="0" w:color="auto"/>
              <w:right w:val="double" w:sz="6" w:space="0" w:color="auto"/>
            </w:tcBorders>
            <w:shd w:val="clear" w:color="000000" w:fill="C5E0B3"/>
            <w:hideMark/>
          </w:tcPr>
          <w:p w14:paraId="61244650"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 xml:space="preserve">Институција одговорна за координацију и извештавање: </w:t>
            </w:r>
            <w:r w:rsidRPr="00EF2F18">
              <w:rPr>
                <w:rFonts w:eastAsia="Times New Roman" w:cs="Times New Roman"/>
                <w:color w:val="000000"/>
                <w:sz w:val="20"/>
                <w:szCs w:val="20"/>
                <w:lang w:val="sr-Cyrl-RS" w:eastAsia="en-GB"/>
              </w:rPr>
              <w:t xml:space="preserve">Министарство пољопривреде, шумарства и водопривреде </w:t>
            </w:r>
          </w:p>
        </w:tc>
      </w:tr>
      <w:tr w:rsidR="00F47AD6" w:rsidRPr="00EF2F18" w14:paraId="5AFEFEA6" w14:textId="77777777" w:rsidTr="00F47AD6">
        <w:trPr>
          <w:gridAfter w:val="1"/>
          <w:wAfter w:w="236" w:type="dxa"/>
          <w:trHeight w:val="468"/>
        </w:trPr>
        <w:tc>
          <w:tcPr>
            <w:tcW w:w="3377" w:type="dxa"/>
            <w:vMerge w:val="restart"/>
            <w:tcBorders>
              <w:top w:val="nil"/>
              <w:left w:val="double" w:sz="6" w:space="0" w:color="auto"/>
              <w:bottom w:val="double" w:sz="6" w:space="0" w:color="000000"/>
              <w:right w:val="single" w:sz="8" w:space="0" w:color="auto"/>
            </w:tcBorders>
            <w:shd w:val="clear" w:color="000000" w:fill="D9D9D9"/>
            <w:hideMark/>
          </w:tcPr>
          <w:p w14:paraId="6C164D1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52" w:type="dxa"/>
            <w:vMerge w:val="restart"/>
            <w:tcBorders>
              <w:top w:val="nil"/>
              <w:left w:val="single" w:sz="8" w:space="0" w:color="auto"/>
              <w:bottom w:val="double" w:sz="6" w:space="0" w:color="000000"/>
              <w:right w:val="single" w:sz="8" w:space="0" w:color="auto"/>
            </w:tcBorders>
            <w:shd w:val="clear" w:color="000000" w:fill="D9D9D9"/>
            <w:hideMark/>
          </w:tcPr>
          <w:p w14:paraId="2E982A39"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491" w:type="dxa"/>
            <w:vMerge w:val="restart"/>
            <w:tcBorders>
              <w:top w:val="nil"/>
              <w:left w:val="single" w:sz="8" w:space="0" w:color="auto"/>
              <w:bottom w:val="double" w:sz="6" w:space="0" w:color="000000"/>
              <w:right w:val="single" w:sz="8" w:space="0" w:color="auto"/>
            </w:tcBorders>
            <w:shd w:val="clear" w:color="000000" w:fill="D9D9D9"/>
            <w:hideMark/>
          </w:tcPr>
          <w:p w14:paraId="1E988F7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266" w:type="dxa"/>
            <w:vMerge w:val="restart"/>
            <w:tcBorders>
              <w:top w:val="nil"/>
              <w:left w:val="single" w:sz="8" w:space="0" w:color="auto"/>
              <w:bottom w:val="double" w:sz="6" w:space="0" w:color="000000"/>
              <w:right w:val="single" w:sz="8" w:space="0" w:color="auto"/>
            </w:tcBorders>
            <w:shd w:val="clear" w:color="000000" w:fill="D9D9D9"/>
            <w:hideMark/>
          </w:tcPr>
          <w:p w14:paraId="5DC4C25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11" w:type="dxa"/>
            <w:vMerge w:val="restart"/>
            <w:tcBorders>
              <w:top w:val="nil"/>
              <w:left w:val="single" w:sz="8" w:space="0" w:color="auto"/>
              <w:bottom w:val="double" w:sz="6" w:space="0" w:color="000000"/>
              <w:right w:val="single" w:sz="8" w:space="0" w:color="auto"/>
            </w:tcBorders>
            <w:shd w:val="clear" w:color="000000" w:fill="D9D9D9"/>
            <w:hideMark/>
          </w:tcPr>
          <w:p w14:paraId="6061467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350" w:type="dxa"/>
            <w:vMerge w:val="restart"/>
            <w:tcBorders>
              <w:top w:val="nil"/>
              <w:left w:val="single" w:sz="8" w:space="0" w:color="auto"/>
              <w:bottom w:val="double" w:sz="6" w:space="0" w:color="000000"/>
              <w:right w:val="single" w:sz="8" w:space="0" w:color="auto"/>
            </w:tcBorders>
            <w:shd w:val="clear" w:color="000000" w:fill="D9D9D9"/>
            <w:hideMark/>
          </w:tcPr>
          <w:p w14:paraId="43F37D5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30" w:type="dxa"/>
            <w:vMerge w:val="restart"/>
            <w:tcBorders>
              <w:top w:val="nil"/>
              <w:left w:val="single" w:sz="8" w:space="0" w:color="auto"/>
              <w:bottom w:val="double" w:sz="6" w:space="0" w:color="000000"/>
              <w:right w:val="single" w:sz="8" w:space="0" w:color="auto"/>
            </w:tcBorders>
            <w:shd w:val="clear" w:color="000000" w:fill="D9D9D9"/>
            <w:hideMark/>
          </w:tcPr>
          <w:p w14:paraId="6F1C756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980" w:type="dxa"/>
            <w:vMerge w:val="restart"/>
            <w:tcBorders>
              <w:top w:val="nil"/>
              <w:left w:val="single" w:sz="8" w:space="0" w:color="auto"/>
              <w:bottom w:val="double" w:sz="6" w:space="0" w:color="000000"/>
              <w:right w:val="double" w:sz="6" w:space="0" w:color="auto"/>
            </w:tcBorders>
            <w:shd w:val="clear" w:color="000000" w:fill="D9D9D9"/>
            <w:hideMark/>
          </w:tcPr>
          <w:p w14:paraId="31D1DC59"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47AD6" w:rsidRPr="00EF2F18" w14:paraId="5544C2B5" w14:textId="77777777" w:rsidTr="00F47AD6">
        <w:trPr>
          <w:trHeight w:val="324"/>
        </w:trPr>
        <w:tc>
          <w:tcPr>
            <w:tcW w:w="3377" w:type="dxa"/>
            <w:vMerge/>
            <w:tcBorders>
              <w:top w:val="nil"/>
              <w:left w:val="double" w:sz="6" w:space="0" w:color="auto"/>
              <w:bottom w:val="double" w:sz="6" w:space="0" w:color="000000"/>
              <w:right w:val="single" w:sz="8" w:space="0" w:color="auto"/>
            </w:tcBorders>
            <w:vAlign w:val="center"/>
            <w:hideMark/>
          </w:tcPr>
          <w:p w14:paraId="037C089D" w14:textId="77777777" w:rsidR="00F47AD6" w:rsidRPr="00EF2F18" w:rsidRDefault="00F47AD6" w:rsidP="00752CA0">
            <w:pPr>
              <w:spacing w:after="0"/>
              <w:rPr>
                <w:rFonts w:eastAsia="Times New Roman" w:cs="Times New Roman"/>
                <w:color w:val="000000"/>
                <w:sz w:val="20"/>
                <w:szCs w:val="20"/>
                <w:lang w:val="sr-Cyrl-RS" w:eastAsia="en-GB"/>
              </w:rPr>
            </w:pPr>
          </w:p>
        </w:tc>
        <w:tc>
          <w:tcPr>
            <w:tcW w:w="1152" w:type="dxa"/>
            <w:vMerge/>
            <w:tcBorders>
              <w:top w:val="nil"/>
              <w:left w:val="single" w:sz="8" w:space="0" w:color="auto"/>
              <w:bottom w:val="double" w:sz="6" w:space="0" w:color="000000"/>
              <w:right w:val="single" w:sz="8" w:space="0" w:color="auto"/>
            </w:tcBorders>
            <w:vAlign w:val="center"/>
            <w:hideMark/>
          </w:tcPr>
          <w:p w14:paraId="48632E80" w14:textId="77777777" w:rsidR="00F47AD6" w:rsidRPr="00EF2F18" w:rsidRDefault="00F47AD6" w:rsidP="00752CA0">
            <w:pPr>
              <w:spacing w:after="0"/>
              <w:rPr>
                <w:rFonts w:eastAsia="Times New Roman" w:cs="Times New Roman"/>
                <w:color w:val="000000"/>
                <w:sz w:val="20"/>
                <w:szCs w:val="20"/>
                <w:lang w:val="sr-Cyrl-RS" w:eastAsia="en-GB"/>
              </w:rPr>
            </w:pPr>
          </w:p>
        </w:tc>
        <w:tc>
          <w:tcPr>
            <w:tcW w:w="1491" w:type="dxa"/>
            <w:vMerge/>
            <w:tcBorders>
              <w:top w:val="nil"/>
              <w:left w:val="single" w:sz="8" w:space="0" w:color="auto"/>
              <w:bottom w:val="double" w:sz="6" w:space="0" w:color="000000"/>
              <w:right w:val="single" w:sz="8" w:space="0" w:color="auto"/>
            </w:tcBorders>
            <w:vAlign w:val="center"/>
            <w:hideMark/>
          </w:tcPr>
          <w:p w14:paraId="1FFBB892" w14:textId="77777777" w:rsidR="00F47AD6" w:rsidRPr="00EF2F18" w:rsidRDefault="00F47AD6" w:rsidP="00752CA0">
            <w:pPr>
              <w:spacing w:after="0"/>
              <w:rPr>
                <w:rFonts w:eastAsia="Times New Roman" w:cs="Times New Roman"/>
                <w:color w:val="000000"/>
                <w:sz w:val="20"/>
                <w:szCs w:val="20"/>
                <w:lang w:val="sr-Cyrl-RS" w:eastAsia="en-GB"/>
              </w:rPr>
            </w:pPr>
          </w:p>
        </w:tc>
        <w:tc>
          <w:tcPr>
            <w:tcW w:w="1266" w:type="dxa"/>
            <w:vMerge/>
            <w:tcBorders>
              <w:top w:val="nil"/>
              <w:left w:val="single" w:sz="8" w:space="0" w:color="auto"/>
              <w:bottom w:val="double" w:sz="6" w:space="0" w:color="000000"/>
              <w:right w:val="single" w:sz="8" w:space="0" w:color="auto"/>
            </w:tcBorders>
            <w:vAlign w:val="center"/>
            <w:hideMark/>
          </w:tcPr>
          <w:p w14:paraId="16E48B3D" w14:textId="77777777" w:rsidR="00F47AD6" w:rsidRPr="00EF2F18" w:rsidRDefault="00F47AD6" w:rsidP="00752CA0">
            <w:pPr>
              <w:spacing w:after="0"/>
              <w:rPr>
                <w:rFonts w:eastAsia="Times New Roman" w:cs="Times New Roman"/>
                <w:color w:val="000000"/>
                <w:sz w:val="20"/>
                <w:szCs w:val="20"/>
                <w:lang w:val="sr-Cyrl-RS" w:eastAsia="en-GB"/>
              </w:rPr>
            </w:pPr>
          </w:p>
        </w:tc>
        <w:tc>
          <w:tcPr>
            <w:tcW w:w="1511" w:type="dxa"/>
            <w:vMerge/>
            <w:tcBorders>
              <w:top w:val="nil"/>
              <w:left w:val="single" w:sz="8" w:space="0" w:color="auto"/>
              <w:bottom w:val="double" w:sz="6" w:space="0" w:color="000000"/>
              <w:right w:val="single" w:sz="8" w:space="0" w:color="auto"/>
            </w:tcBorders>
            <w:vAlign w:val="center"/>
            <w:hideMark/>
          </w:tcPr>
          <w:p w14:paraId="58BE609A" w14:textId="77777777" w:rsidR="00F47AD6" w:rsidRPr="00EF2F18" w:rsidRDefault="00F47AD6" w:rsidP="00752CA0">
            <w:pPr>
              <w:spacing w:after="0"/>
              <w:rPr>
                <w:rFonts w:eastAsia="Times New Roman" w:cs="Times New Roman"/>
                <w:color w:val="000000"/>
                <w:sz w:val="20"/>
                <w:szCs w:val="20"/>
                <w:lang w:val="sr-Cyrl-RS" w:eastAsia="en-GB"/>
              </w:rPr>
            </w:pPr>
          </w:p>
        </w:tc>
        <w:tc>
          <w:tcPr>
            <w:tcW w:w="1350" w:type="dxa"/>
            <w:vMerge/>
            <w:tcBorders>
              <w:top w:val="nil"/>
              <w:left w:val="single" w:sz="8" w:space="0" w:color="auto"/>
              <w:bottom w:val="double" w:sz="6" w:space="0" w:color="000000"/>
              <w:right w:val="single" w:sz="8" w:space="0" w:color="auto"/>
            </w:tcBorders>
            <w:vAlign w:val="center"/>
            <w:hideMark/>
          </w:tcPr>
          <w:p w14:paraId="266EED50" w14:textId="77777777" w:rsidR="00F47AD6" w:rsidRPr="00EF2F18" w:rsidRDefault="00F47AD6" w:rsidP="00752CA0">
            <w:pPr>
              <w:spacing w:after="0"/>
              <w:rPr>
                <w:rFonts w:eastAsia="Times New Roman" w:cs="Times New Roman"/>
                <w:color w:val="000000"/>
                <w:sz w:val="20"/>
                <w:szCs w:val="20"/>
                <w:lang w:val="sr-Cyrl-RS" w:eastAsia="en-GB"/>
              </w:rPr>
            </w:pPr>
          </w:p>
        </w:tc>
        <w:tc>
          <w:tcPr>
            <w:tcW w:w="1530" w:type="dxa"/>
            <w:vMerge/>
            <w:tcBorders>
              <w:top w:val="nil"/>
              <w:left w:val="single" w:sz="8" w:space="0" w:color="auto"/>
              <w:bottom w:val="double" w:sz="6" w:space="0" w:color="000000"/>
              <w:right w:val="single" w:sz="8" w:space="0" w:color="auto"/>
            </w:tcBorders>
            <w:vAlign w:val="center"/>
            <w:hideMark/>
          </w:tcPr>
          <w:p w14:paraId="0892EFC1" w14:textId="77777777" w:rsidR="00F47AD6" w:rsidRPr="00EF2F18" w:rsidRDefault="00F47AD6" w:rsidP="00752CA0">
            <w:pPr>
              <w:spacing w:after="0"/>
              <w:rPr>
                <w:rFonts w:eastAsia="Times New Roman" w:cs="Times New Roman"/>
                <w:color w:val="000000"/>
                <w:sz w:val="20"/>
                <w:szCs w:val="20"/>
                <w:lang w:val="sr-Cyrl-RS" w:eastAsia="en-GB"/>
              </w:rPr>
            </w:pPr>
          </w:p>
        </w:tc>
        <w:tc>
          <w:tcPr>
            <w:tcW w:w="1980" w:type="dxa"/>
            <w:vMerge/>
            <w:tcBorders>
              <w:top w:val="nil"/>
              <w:left w:val="single" w:sz="8" w:space="0" w:color="auto"/>
              <w:bottom w:val="double" w:sz="6" w:space="0" w:color="000000"/>
              <w:right w:val="double" w:sz="6" w:space="0" w:color="auto"/>
            </w:tcBorders>
            <w:vAlign w:val="center"/>
            <w:hideMark/>
          </w:tcPr>
          <w:p w14:paraId="080482DA" w14:textId="77777777" w:rsidR="00F47AD6" w:rsidRPr="00EF2F18" w:rsidRDefault="00F47AD6" w:rsidP="00752CA0">
            <w:pPr>
              <w:spacing w:after="0"/>
              <w:rPr>
                <w:rFonts w:eastAsia="Times New Roman" w:cs="Times New Roman"/>
                <w:color w:val="000000"/>
                <w:sz w:val="20"/>
                <w:szCs w:val="20"/>
                <w:lang w:val="sr-Cyrl-RS" w:eastAsia="en-GB"/>
              </w:rPr>
            </w:pPr>
          </w:p>
        </w:tc>
        <w:tc>
          <w:tcPr>
            <w:tcW w:w="236" w:type="dxa"/>
            <w:tcBorders>
              <w:top w:val="nil"/>
              <w:left w:val="nil"/>
            </w:tcBorders>
            <w:noWrap/>
            <w:vAlign w:val="bottom"/>
            <w:hideMark/>
          </w:tcPr>
          <w:p w14:paraId="301CA077" w14:textId="77777777" w:rsidR="00F47AD6" w:rsidRPr="00EF2F18" w:rsidRDefault="00F47AD6" w:rsidP="00752CA0">
            <w:pPr>
              <w:spacing w:after="0"/>
              <w:rPr>
                <w:rFonts w:eastAsia="Times New Roman" w:cs="Times New Roman"/>
                <w:color w:val="000000"/>
                <w:sz w:val="20"/>
                <w:szCs w:val="20"/>
                <w:lang w:val="sr-Cyrl-RS" w:eastAsia="en-GB"/>
              </w:rPr>
            </w:pPr>
          </w:p>
        </w:tc>
      </w:tr>
      <w:tr w:rsidR="00F47AD6" w:rsidRPr="00EF2F18" w14:paraId="6FDB9DCE" w14:textId="77777777" w:rsidTr="00383185">
        <w:trPr>
          <w:trHeight w:val="552"/>
        </w:trPr>
        <w:tc>
          <w:tcPr>
            <w:tcW w:w="3377" w:type="dxa"/>
            <w:tcBorders>
              <w:top w:val="single" w:sz="4" w:space="0" w:color="auto"/>
              <w:left w:val="double" w:sz="6" w:space="0" w:color="auto"/>
              <w:bottom w:val="single" w:sz="8" w:space="0" w:color="auto"/>
              <w:right w:val="single" w:sz="8" w:space="0" w:color="auto"/>
            </w:tcBorders>
            <w:shd w:val="clear" w:color="000000" w:fill="FFFFFF"/>
            <w:hideMark/>
          </w:tcPr>
          <w:p w14:paraId="49EE6C8D"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Удео површине под шумама у односу на површину Републике Србије</w:t>
            </w:r>
          </w:p>
        </w:tc>
        <w:tc>
          <w:tcPr>
            <w:tcW w:w="1152" w:type="dxa"/>
            <w:tcBorders>
              <w:top w:val="single" w:sz="4" w:space="0" w:color="auto"/>
              <w:left w:val="nil"/>
              <w:bottom w:val="single" w:sz="8" w:space="0" w:color="auto"/>
              <w:right w:val="single" w:sz="8" w:space="0" w:color="auto"/>
            </w:tcBorders>
            <w:shd w:val="clear" w:color="000000" w:fill="FFFFFF"/>
            <w:hideMark/>
          </w:tcPr>
          <w:p w14:paraId="5AC72C0C"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w:t>
            </w:r>
          </w:p>
        </w:tc>
        <w:tc>
          <w:tcPr>
            <w:tcW w:w="1491" w:type="dxa"/>
            <w:tcBorders>
              <w:top w:val="single" w:sz="4" w:space="0" w:color="auto"/>
              <w:left w:val="nil"/>
              <w:bottom w:val="single" w:sz="8" w:space="0" w:color="auto"/>
              <w:right w:val="single" w:sz="8" w:space="0" w:color="auto"/>
            </w:tcBorders>
            <w:shd w:val="clear" w:color="000000" w:fill="FFFFFF"/>
            <w:hideMark/>
          </w:tcPr>
          <w:p w14:paraId="25F1A57F"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Управа за шуме</w:t>
            </w:r>
          </w:p>
        </w:tc>
        <w:tc>
          <w:tcPr>
            <w:tcW w:w="1266" w:type="dxa"/>
            <w:tcBorders>
              <w:top w:val="single" w:sz="4" w:space="0" w:color="auto"/>
              <w:left w:val="nil"/>
              <w:bottom w:val="single" w:sz="8" w:space="0" w:color="auto"/>
              <w:right w:val="single" w:sz="8" w:space="0" w:color="auto"/>
            </w:tcBorders>
            <w:shd w:val="clear" w:color="000000" w:fill="FFFFFF"/>
            <w:hideMark/>
          </w:tcPr>
          <w:p w14:paraId="4266CA82"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39</w:t>
            </w:r>
          </w:p>
        </w:tc>
        <w:tc>
          <w:tcPr>
            <w:tcW w:w="1511" w:type="dxa"/>
            <w:tcBorders>
              <w:top w:val="single" w:sz="4" w:space="0" w:color="auto"/>
              <w:left w:val="nil"/>
              <w:bottom w:val="single" w:sz="8" w:space="0" w:color="auto"/>
              <w:right w:val="single" w:sz="8" w:space="0" w:color="auto"/>
            </w:tcBorders>
            <w:shd w:val="clear" w:color="000000" w:fill="FFFFFF"/>
            <w:hideMark/>
          </w:tcPr>
          <w:p w14:paraId="7C73C11A"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350" w:type="dxa"/>
            <w:tcBorders>
              <w:top w:val="single" w:sz="4" w:space="0" w:color="auto"/>
              <w:left w:val="nil"/>
              <w:bottom w:val="single" w:sz="8" w:space="0" w:color="auto"/>
              <w:right w:val="single" w:sz="8" w:space="0" w:color="auto"/>
            </w:tcBorders>
            <w:shd w:val="clear" w:color="000000" w:fill="FFFFFF"/>
            <w:hideMark/>
          </w:tcPr>
          <w:p w14:paraId="1E614393"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39</w:t>
            </w:r>
          </w:p>
        </w:tc>
        <w:tc>
          <w:tcPr>
            <w:tcW w:w="1530" w:type="dxa"/>
            <w:tcBorders>
              <w:top w:val="single" w:sz="4" w:space="0" w:color="auto"/>
              <w:left w:val="nil"/>
              <w:bottom w:val="single" w:sz="8" w:space="0" w:color="auto"/>
              <w:right w:val="single" w:sz="8" w:space="0" w:color="auto"/>
            </w:tcBorders>
            <w:shd w:val="clear" w:color="000000" w:fill="FFFFFF"/>
            <w:hideMark/>
          </w:tcPr>
          <w:p w14:paraId="146A122E"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39</w:t>
            </w:r>
          </w:p>
        </w:tc>
        <w:tc>
          <w:tcPr>
            <w:tcW w:w="1980" w:type="dxa"/>
            <w:tcBorders>
              <w:top w:val="single" w:sz="4" w:space="0" w:color="auto"/>
              <w:left w:val="nil"/>
              <w:bottom w:val="single" w:sz="8" w:space="0" w:color="auto"/>
              <w:right w:val="double" w:sz="6" w:space="0" w:color="auto"/>
            </w:tcBorders>
            <w:shd w:val="clear" w:color="000000" w:fill="FFFFFF"/>
            <w:hideMark/>
          </w:tcPr>
          <w:p w14:paraId="444835E5"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w:t>
            </w:r>
          </w:p>
        </w:tc>
        <w:tc>
          <w:tcPr>
            <w:tcW w:w="236" w:type="dxa"/>
            <w:vAlign w:val="center"/>
            <w:hideMark/>
          </w:tcPr>
          <w:p w14:paraId="21485B19" w14:textId="77777777" w:rsidR="00F47AD6" w:rsidRPr="00EF2F18" w:rsidRDefault="00F47AD6" w:rsidP="00752CA0">
            <w:pPr>
              <w:spacing w:after="0"/>
              <w:rPr>
                <w:rFonts w:eastAsia="Times New Roman" w:cs="Times New Roman"/>
                <w:sz w:val="20"/>
                <w:szCs w:val="20"/>
                <w:lang w:val="sr-Cyrl-RS" w:eastAsia="en-GB"/>
              </w:rPr>
            </w:pPr>
          </w:p>
        </w:tc>
      </w:tr>
      <w:tr w:rsidR="00F47AD6" w:rsidRPr="00EF2F18" w14:paraId="156ED99E" w14:textId="77777777" w:rsidTr="00F47AD6">
        <w:trPr>
          <w:trHeight w:val="552"/>
        </w:trPr>
        <w:tc>
          <w:tcPr>
            <w:tcW w:w="3377" w:type="dxa"/>
            <w:tcBorders>
              <w:top w:val="nil"/>
              <w:left w:val="double" w:sz="6" w:space="0" w:color="auto"/>
              <w:bottom w:val="single" w:sz="8" w:space="0" w:color="auto"/>
              <w:right w:val="single" w:sz="8" w:space="0" w:color="auto"/>
            </w:tcBorders>
            <w:shd w:val="clear" w:color="000000" w:fill="FFFFFF"/>
          </w:tcPr>
          <w:p w14:paraId="62BA7B00" w14:textId="5AD375FC" w:rsidR="00F47AD6" w:rsidRPr="00EF2F18" w:rsidRDefault="00F47AD6" w:rsidP="000D4ECA">
            <w:pPr>
              <w:spacing w:after="0"/>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Однос бројности и излова популација главних ловних врста, годишње</w:t>
            </w:r>
            <w:r w:rsidR="00B12C9F">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 срна</w:t>
            </w:r>
          </w:p>
        </w:tc>
        <w:tc>
          <w:tcPr>
            <w:tcW w:w="1152" w:type="dxa"/>
            <w:tcBorders>
              <w:top w:val="nil"/>
              <w:left w:val="nil"/>
              <w:bottom w:val="single" w:sz="8" w:space="0" w:color="auto"/>
              <w:right w:val="single" w:sz="8" w:space="0" w:color="auto"/>
            </w:tcBorders>
            <w:shd w:val="clear" w:color="000000" w:fill="FFFFFF"/>
          </w:tcPr>
          <w:p w14:paraId="270D90EF" w14:textId="12B24F6E" w:rsidR="00F47AD6" w:rsidRPr="00EF2F18" w:rsidRDefault="00F47AD6" w:rsidP="000D4ECA">
            <w:pPr>
              <w:spacing w:after="0"/>
              <w:jc w:val="center"/>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w:t>
            </w:r>
          </w:p>
        </w:tc>
        <w:tc>
          <w:tcPr>
            <w:tcW w:w="1491" w:type="dxa"/>
            <w:tcBorders>
              <w:top w:val="nil"/>
              <w:left w:val="nil"/>
              <w:bottom w:val="single" w:sz="8" w:space="0" w:color="auto"/>
              <w:right w:val="single" w:sz="8" w:space="0" w:color="auto"/>
            </w:tcBorders>
            <w:shd w:val="clear" w:color="000000" w:fill="FFFFFF"/>
          </w:tcPr>
          <w:p w14:paraId="4E7DE3CF" w14:textId="5D9DDA58" w:rsidR="00F47AD6" w:rsidRPr="00EF2F18" w:rsidRDefault="00F47AD6" w:rsidP="000D4ECA">
            <w:pPr>
              <w:spacing w:after="0"/>
              <w:jc w:val="center"/>
              <w:rPr>
                <w:rFonts w:eastAsia="Times New Roman" w:cs="Times New Roman"/>
                <w:color w:val="000000" w:themeColor="text1"/>
                <w:sz w:val="20"/>
                <w:szCs w:val="20"/>
                <w:lang w:val="sr-Cyrl-RS" w:eastAsia="en-GB"/>
              </w:rPr>
            </w:pPr>
            <w:r w:rsidRPr="00EF2F18">
              <w:rPr>
                <w:rFonts w:eastAsia="Times New Roman" w:cs="Times New Roman"/>
                <w:color w:val="000000"/>
                <w:sz w:val="20"/>
                <w:szCs w:val="20"/>
                <w:lang w:val="sr-Cyrl-RS" w:eastAsia="en-GB"/>
              </w:rPr>
              <w:t>Управа за шуме, ЗЗПРС, ПЗЗП</w:t>
            </w:r>
            <w:r w:rsidRPr="00EF2F18" w:rsidDel="00D22765">
              <w:rPr>
                <w:rFonts w:eastAsia="Times New Roman" w:cs="Times New Roman"/>
                <w:sz w:val="20"/>
                <w:szCs w:val="20"/>
                <w:highlight w:val="cyan"/>
                <w:lang w:val="sr-Cyrl-RS" w:eastAsia="en-GB"/>
              </w:rPr>
              <w:t xml:space="preserve"> </w:t>
            </w:r>
          </w:p>
        </w:tc>
        <w:tc>
          <w:tcPr>
            <w:tcW w:w="1266" w:type="dxa"/>
            <w:tcBorders>
              <w:top w:val="nil"/>
              <w:left w:val="nil"/>
              <w:bottom w:val="single" w:sz="8" w:space="0" w:color="auto"/>
              <w:right w:val="single" w:sz="8" w:space="0" w:color="auto"/>
            </w:tcBorders>
            <w:shd w:val="clear" w:color="000000" w:fill="FFFFFF"/>
          </w:tcPr>
          <w:p w14:paraId="4E9964E0" w14:textId="0BCE4254"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cs="Times New Roman"/>
                <w:sz w:val="20"/>
                <w:szCs w:val="20"/>
                <w:lang w:val="sr-Cyrl-RS"/>
              </w:rPr>
              <w:t>5,02</w:t>
            </w:r>
          </w:p>
        </w:tc>
        <w:tc>
          <w:tcPr>
            <w:tcW w:w="1511" w:type="dxa"/>
            <w:tcBorders>
              <w:top w:val="nil"/>
              <w:left w:val="nil"/>
              <w:bottom w:val="single" w:sz="8" w:space="0" w:color="auto"/>
              <w:right w:val="single" w:sz="8" w:space="0" w:color="auto"/>
            </w:tcBorders>
            <w:shd w:val="clear" w:color="000000" w:fill="FFFFFF"/>
          </w:tcPr>
          <w:p w14:paraId="6DBFB5B2" w14:textId="02D35AA0" w:rsidR="00F47AD6" w:rsidRPr="00EF2F18" w:rsidRDefault="00F47AD6" w:rsidP="000D4ECA">
            <w:pPr>
              <w:spacing w:after="0"/>
              <w:jc w:val="center"/>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2023.</w:t>
            </w:r>
          </w:p>
        </w:tc>
        <w:tc>
          <w:tcPr>
            <w:tcW w:w="1350" w:type="dxa"/>
            <w:tcBorders>
              <w:top w:val="nil"/>
              <w:left w:val="nil"/>
              <w:bottom w:val="single" w:sz="8" w:space="0" w:color="auto"/>
              <w:right w:val="single" w:sz="8" w:space="0" w:color="auto"/>
            </w:tcBorders>
            <w:shd w:val="clear" w:color="000000" w:fill="FFFFFF"/>
          </w:tcPr>
          <w:p w14:paraId="47CCB3CB"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5,12</w:t>
            </w:r>
          </w:p>
          <w:p w14:paraId="19A7C205" w14:textId="131A5355"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530" w:type="dxa"/>
            <w:tcBorders>
              <w:top w:val="nil"/>
              <w:left w:val="nil"/>
              <w:bottom w:val="single" w:sz="8" w:space="0" w:color="auto"/>
              <w:right w:val="single" w:sz="8" w:space="0" w:color="auto"/>
            </w:tcBorders>
            <w:shd w:val="clear" w:color="000000" w:fill="FFFFFF"/>
          </w:tcPr>
          <w:p w14:paraId="73FB9C86"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5,17</w:t>
            </w:r>
          </w:p>
          <w:p w14:paraId="53CB05DE" w14:textId="16B0A6CF"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980" w:type="dxa"/>
            <w:tcBorders>
              <w:top w:val="nil"/>
              <w:left w:val="nil"/>
              <w:bottom w:val="single" w:sz="8" w:space="0" w:color="auto"/>
              <w:right w:val="double" w:sz="6" w:space="0" w:color="auto"/>
            </w:tcBorders>
            <w:shd w:val="clear" w:color="000000" w:fill="FFFFFF"/>
          </w:tcPr>
          <w:p w14:paraId="11FC1CDB"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5,22</w:t>
            </w:r>
          </w:p>
          <w:p w14:paraId="2EACFD80" w14:textId="0FEBC63E"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36" w:type="dxa"/>
            <w:vAlign w:val="center"/>
          </w:tcPr>
          <w:p w14:paraId="3D85E7E6" w14:textId="77777777" w:rsidR="00F47AD6" w:rsidRPr="00EF2F18" w:rsidRDefault="00F47AD6" w:rsidP="000D4ECA">
            <w:pPr>
              <w:spacing w:after="0"/>
              <w:rPr>
                <w:rFonts w:eastAsia="Times New Roman" w:cs="Times New Roman"/>
                <w:sz w:val="20"/>
                <w:szCs w:val="20"/>
                <w:lang w:val="sr-Cyrl-RS" w:eastAsia="en-GB"/>
              </w:rPr>
            </w:pPr>
          </w:p>
        </w:tc>
      </w:tr>
      <w:tr w:rsidR="00F47AD6" w:rsidRPr="00EF2F18" w14:paraId="10FF8BAC" w14:textId="77777777" w:rsidTr="00F47AD6">
        <w:trPr>
          <w:trHeight w:val="552"/>
        </w:trPr>
        <w:tc>
          <w:tcPr>
            <w:tcW w:w="3377" w:type="dxa"/>
            <w:tcBorders>
              <w:top w:val="nil"/>
              <w:left w:val="double" w:sz="6" w:space="0" w:color="auto"/>
              <w:bottom w:val="single" w:sz="8" w:space="0" w:color="auto"/>
              <w:right w:val="single" w:sz="8" w:space="0" w:color="auto"/>
            </w:tcBorders>
            <w:shd w:val="clear" w:color="000000" w:fill="FFFFFF"/>
          </w:tcPr>
          <w:p w14:paraId="781C3046" w14:textId="1392AF3B" w:rsidR="00F47AD6" w:rsidRPr="00EF2F18" w:rsidRDefault="00F47AD6" w:rsidP="000D4ECA">
            <w:pPr>
              <w:spacing w:after="0"/>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lastRenderedPageBreak/>
              <w:t>Однос бројности и излова популација главних ловних врста, годишње</w:t>
            </w:r>
            <w:r w:rsidR="00B12C9F">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 дивља свиња</w:t>
            </w:r>
          </w:p>
        </w:tc>
        <w:tc>
          <w:tcPr>
            <w:tcW w:w="1152" w:type="dxa"/>
            <w:tcBorders>
              <w:top w:val="nil"/>
              <w:left w:val="nil"/>
              <w:bottom w:val="single" w:sz="8" w:space="0" w:color="auto"/>
              <w:right w:val="single" w:sz="8" w:space="0" w:color="auto"/>
            </w:tcBorders>
            <w:shd w:val="clear" w:color="000000" w:fill="FFFFFF"/>
          </w:tcPr>
          <w:p w14:paraId="6C74EEE4" w14:textId="02244101" w:rsidR="00F47AD6" w:rsidRPr="00EF2F18" w:rsidRDefault="00F47AD6" w:rsidP="000D4ECA">
            <w:pPr>
              <w:spacing w:after="0"/>
              <w:jc w:val="center"/>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w:t>
            </w:r>
          </w:p>
        </w:tc>
        <w:tc>
          <w:tcPr>
            <w:tcW w:w="1491" w:type="dxa"/>
            <w:tcBorders>
              <w:top w:val="nil"/>
              <w:left w:val="nil"/>
              <w:bottom w:val="single" w:sz="8" w:space="0" w:color="auto"/>
              <w:right w:val="single" w:sz="8" w:space="0" w:color="auto"/>
            </w:tcBorders>
            <w:shd w:val="clear" w:color="000000" w:fill="FFFFFF"/>
          </w:tcPr>
          <w:p w14:paraId="5CFD8575" w14:textId="43DE6229" w:rsidR="00F47AD6" w:rsidRPr="00EF2F18" w:rsidRDefault="00F47AD6" w:rsidP="000D4ECA">
            <w:pPr>
              <w:spacing w:after="0"/>
              <w:jc w:val="center"/>
              <w:rPr>
                <w:rFonts w:eastAsia="Times New Roman" w:cs="Times New Roman"/>
                <w:color w:val="000000" w:themeColor="text1"/>
                <w:sz w:val="20"/>
                <w:szCs w:val="20"/>
                <w:lang w:val="sr-Cyrl-RS" w:eastAsia="en-GB"/>
              </w:rPr>
            </w:pPr>
            <w:r w:rsidRPr="00EF2F18">
              <w:rPr>
                <w:rFonts w:eastAsia="Times New Roman" w:cs="Times New Roman"/>
                <w:color w:val="000000"/>
                <w:sz w:val="20"/>
                <w:szCs w:val="20"/>
                <w:lang w:val="sr-Cyrl-RS" w:eastAsia="en-GB"/>
              </w:rPr>
              <w:t>Управа за шуме, ЗЗПРС, ПЗЗП</w:t>
            </w:r>
          </w:p>
        </w:tc>
        <w:tc>
          <w:tcPr>
            <w:tcW w:w="1266" w:type="dxa"/>
            <w:tcBorders>
              <w:top w:val="nil"/>
              <w:left w:val="nil"/>
              <w:bottom w:val="single" w:sz="8" w:space="0" w:color="auto"/>
              <w:right w:val="single" w:sz="8" w:space="0" w:color="auto"/>
            </w:tcBorders>
            <w:shd w:val="clear" w:color="000000" w:fill="FFFFFF"/>
          </w:tcPr>
          <w:p w14:paraId="04F5B140" w14:textId="45688B79"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cs="Times New Roman"/>
                <w:sz w:val="20"/>
                <w:szCs w:val="20"/>
                <w:lang w:val="sr-Cyrl-RS"/>
              </w:rPr>
              <w:t>29,40</w:t>
            </w:r>
          </w:p>
        </w:tc>
        <w:tc>
          <w:tcPr>
            <w:tcW w:w="1511" w:type="dxa"/>
            <w:tcBorders>
              <w:top w:val="nil"/>
              <w:left w:val="nil"/>
              <w:bottom w:val="single" w:sz="8" w:space="0" w:color="auto"/>
              <w:right w:val="single" w:sz="8" w:space="0" w:color="auto"/>
            </w:tcBorders>
            <w:shd w:val="clear" w:color="000000" w:fill="FFFFFF"/>
          </w:tcPr>
          <w:p w14:paraId="609D8C43" w14:textId="56BB83DC" w:rsidR="00F47AD6" w:rsidRPr="00EF2F18" w:rsidRDefault="00F47AD6" w:rsidP="000D4ECA">
            <w:pPr>
              <w:spacing w:after="0"/>
              <w:jc w:val="center"/>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2023.</w:t>
            </w:r>
          </w:p>
        </w:tc>
        <w:tc>
          <w:tcPr>
            <w:tcW w:w="1350" w:type="dxa"/>
            <w:tcBorders>
              <w:top w:val="nil"/>
              <w:left w:val="nil"/>
              <w:bottom w:val="single" w:sz="8" w:space="0" w:color="auto"/>
              <w:right w:val="single" w:sz="8" w:space="0" w:color="auto"/>
            </w:tcBorders>
            <w:shd w:val="clear" w:color="000000" w:fill="FFFFFF"/>
          </w:tcPr>
          <w:p w14:paraId="7845B6A3" w14:textId="122C9FD2"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w:t>
            </w:r>
          </w:p>
        </w:tc>
        <w:tc>
          <w:tcPr>
            <w:tcW w:w="1530" w:type="dxa"/>
            <w:tcBorders>
              <w:top w:val="nil"/>
              <w:left w:val="nil"/>
              <w:bottom w:val="single" w:sz="8" w:space="0" w:color="auto"/>
              <w:right w:val="single" w:sz="8" w:space="0" w:color="auto"/>
            </w:tcBorders>
            <w:shd w:val="clear" w:color="000000" w:fill="FFFFFF"/>
          </w:tcPr>
          <w:p w14:paraId="257C9336" w14:textId="54FBEA45"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30.30</w:t>
            </w:r>
          </w:p>
        </w:tc>
        <w:tc>
          <w:tcPr>
            <w:tcW w:w="1980" w:type="dxa"/>
            <w:tcBorders>
              <w:top w:val="nil"/>
              <w:left w:val="nil"/>
              <w:bottom w:val="single" w:sz="8" w:space="0" w:color="auto"/>
              <w:right w:val="double" w:sz="6" w:space="0" w:color="auto"/>
            </w:tcBorders>
            <w:shd w:val="clear" w:color="000000" w:fill="FFFFFF"/>
          </w:tcPr>
          <w:p w14:paraId="37284C2B" w14:textId="5F572EA2"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30,60</w:t>
            </w:r>
          </w:p>
        </w:tc>
        <w:tc>
          <w:tcPr>
            <w:tcW w:w="236" w:type="dxa"/>
            <w:vAlign w:val="center"/>
          </w:tcPr>
          <w:p w14:paraId="1FFEE763" w14:textId="77777777" w:rsidR="00F47AD6" w:rsidRPr="00EF2F18" w:rsidRDefault="00F47AD6" w:rsidP="000D4ECA">
            <w:pPr>
              <w:spacing w:after="0"/>
              <w:rPr>
                <w:rFonts w:eastAsia="Times New Roman" w:cs="Times New Roman"/>
                <w:sz w:val="20"/>
                <w:szCs w:val="20"/>
                <w:lang w:val="sr-Cyrl-RS" w:eastAsia="en-GB"/>
              </w:rPr>
            </w:pPr>
          </w:p>
        </w:tc>
      </w:tr>
      <w:tr w:rsidR="00F47AD6" w:rsidRPr="00EF2F18" w14:paraId="21B2F4C0" w14:textId="77777777" w:rsidTr="00F47AD6">
        <w:trPr>
          <w:trHeight w:val="552"/>
        </w:trPr>
        <w:tc>
          <w:tcPr>
            <w:tcW w:w="3377" w:type="dxa"/>
            <w:tcBorders>
              <w:top w:val="nil"/>
              <w:left w:val="double" w:sz="6" w:space="0" w:color="auto"/>
              <w:bottom w:val="single" w:sz="8" w:space="0" w:color="auto"/>
              <w:right w:val="single" w:sz="8" w:space="0" w:color="auto"/>
            </w:tcBorders>
            <w:shd w:val="clear" w:color="000000" w:fill="FFFFFF"/>
          </w:tcPr>
          <w:p w14:paraId="7967FCC6" w14:textId="151C8822" w:rsidR="00F47AD6" w:rsidRPr="00EF2F18" w:rsidRDefault="00F47AD6" w:rsidP="000D4ECA">
            <w:pPr>
              <w:spacing w:after="0"/>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Однос бројности и излова популација главних ловних врста, годишње</w:t>
            </w:r>
            <w:r w:rsidR="00B12C9F">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 зец</w:t>
            </w:r>
          </w:p>
        </w:tc>
        <w:tc>
          <w:tcPr>
            <w:tcW w:w="1152" w:type="dxa"/>
            <w:tcBorders>
              <w:top w:val="nil"/>
              <w:left w:val="nil"/>
              <w:bottom w:val="single" w:sz="8" w:space="0" w:color="auto"/>
              <w:right w:val="single" w:sz="8" w:space="0" w:color="auto"/>
            </w:tcBorders>
            <w:shd w:val="clear" w:color="000000" w:fill="FFFFFF"/>
          </w:tcPr>
          <w:p w14:paraId="25593C2E" w14:textId="074B3944" w:rsidR="00F47AD6" w:rsidRPr="00EF2F18" w:rsidRDefault="00F47AD6" w:rsidP="000D4ECA">
            <w:pPr>
              <w:spacing w:after="0"/>
              <w:jc w:val="center"/>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w:t>
            </w:r>
          </w:p>
        </w:tc>
        <w:tc>
          <w:tcPr>
            <w:tcW w:w="1491" w:type="dxa"/>
            <w:tcBorders>
              <w:top w:val="nil"/>
              <w:left w:val="nil"/>
              <w:bottom w:val="single" w:sz="8" w:space="0" w:color="auto"/>
              <w:right w:val="single" w:sz="8" w:space="0" w:color="auto"/>
            </w:tcBorders>
            <w:shd w:val="clear" w:color="000000" w:fill="FFFFFF"/>
          </w:tcPr>
          <w:p w14:paraId="6B667B1D" w14:textId="6BE09E92" w:rsidR="00F47AD6" w:rsidRPr="00EF2F18" w:rsidRDefault="00F47AD6" w:rsidP="000D4ECA">
            <w:pPr>
              <w:spacing w:after="0"/>
              <w:jc w:val="center"/>
              <w:rPr>
                <w:rFonts w:eastAsia="Times New Roman" w:cs="Times New Roman"/>
                <w:color w:val="000000" w:themeColor="text1"/>
                <w:sz w:val="20"/>
                <w:szCs w:val="20"/>
                <w:lang w:val="sr-Cyrl-RS" w:eastAsia="en-GB"/>
              </w:rPr>
            </w:pPr>
            <w:r w:rsidRPr="00EF2F18">
              <w:rPr>
                <w:rFonts w:eastAsia="Times New Roman" w:cs="Times New Roman"/>
                <w:color w:val="000000"/>
                <w:sz w:val="20"/>
                <w:szCs w:val="20"/>
                <w:lang w:val="sr-Cyrl-RS" w:eastAsia="en-GB"/>
              </w:rPr>
              <w:t>Управа за шуме, ЗЗПРС, ПЗЗП</w:t>
            </w:r>
          </w:p>
        </w:tc>
        <w:tc>
          <w:tcPr>
            <w:tcW w:w="1266" w:type="dxa"/>
            <w:tcBorders>
              <w:top w:val="nil"/>
              <w:left w:val="nil"/>
              <w:bottom w:val="single" w:sz="8" w:space="0" w:color="auto"/>
              <w:right w:val="single" w:sz="8" w:space="0" w:color="auto"/>
            </w:tcBorders>
            <w:shd w:val="clear" w:color="000000" w:fill="FFFFFF"/>
          </w:tcPr>
          <w:p w14:paraId="558DEF89" w14:textId="23304213"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cs="Times New Roman"/>
                <w:sz w:val="20"/>
                <w:szCs w:val="20"/>
                <w:lang w:val="sr-Cyrl-RS"/>
              </w:rPr>
              <w:t>3,43</w:t>
            </w:r>
          </w:p>
        </w:tc>
        <w:tc>
          <w:tcPr>
            <w:tcW w:w="1511" w:type="dxa"/>
            <w:tcBorders>
              <w:top w:val="nil"/>
              <w:left w:val="nil"/>
              <w:bottom w:val="single" w:sz="8" w:space="0" w:color="auto"/>
              <w:right w:val="single" w:sz="8" w:space="0" w:color="auto"/>
            </w:tcBorders>
            <w:shd w:val="clear" w:color="000000" w:fill="FFFFFF"/>
          </w:tcPr>
          <w:p w14:paraId="412B391B" w14:textId="0D639046" w:rsidR="00F47AD6" w:rsidRPr="00EF2F18" w:rsidRDefault="00F47AD6" w:rsidP="000D4ECA">
            <w:pPr>
              <w:spacing w:after="0"/>
              <w:jc w:val="center"/>
              <w:rPr>
                <w:rFonts w:eastAsia="Times New Roman" w:cs="Times New Roman"/>
                <w:sz w:val="20"/>
                <w:szCs w:val="20"/>
                <w:lang w:val="sr-Cyrl-RS" w:eastAsia="en-GB"/>
              </w:rPr>
            </w:pPr>
            <w:r w:rsidRPr="00EF2F18">
              <w:rPr>
                <w:rFonts w:eastAsia="Times New Roman" w:cs="Times New Roman"/>
                <w:color w:val="000000"/>
                <w:sz w:val="20"/>
                <w:szCs w:val="20"/>
                <w:lang w:val="sr-Cyrl-RS" w:eastAsia="en-GB"/>
              </w:rPr>
              <w:t>2023.</w:t>
            </w:r>
          </w:p>
        </w:tc>
        <w:tc>
          <w:tcPr>
            <w:tcW w:w="1350" w:type="dxa"/>
            <w:tcBorders>
              <w:top w:val="nil"/>
              <w:left w:val="nil"/>
              <w:bottom w:val="single" w:sz="8" w:space="0" w:color="auto"/>
              <w:right w:val="single" w:sz="8" w:space="0" w:color="auto"/>
            </w:tcBorders>
            <w:shd w:val="clear" w:color="000000" w:fill="FFFFFF"/>
          </w:tcPr>
          <w:p w14:paraId="0B7CD8CD" w14:textId="56DC459A"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3,50</w:t>
            </w:r>
          </w:p>
        </w:tc>
        <w:tc>
          <w:tcPr>
            <w:tcW w:w="1530" w:type="dxa"/>
            <w:tcBorders>
              <w:top w:val="nil"/>
              <w:left w:val="nil"/>
              <w:bottom w:val="single" w:sz="8" w:space="0" w:color="auto"/>
              <w:right w:val="single" w:sz="8" w:space="0" w:color="auto"/>
            </w:tcBorders>
            <w:shd w:val="clear" w:color="000000" w:fill="FFFFFF"/>
          </w:tcPr>
          <w:p w14:paraId="4F95EED0" w14:textId="5B66FE42"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3,53</w:t>
            </w:r>
          </w:p>
        </w:tc>
        <w:tc>
          <w:tcPr>
            <w:tcW w:w="1980" w:type="dxa"/>
            <w:tcBorders>
              <w:top w:val="nil"/>
              <w:left w:val="nil"/>
              <w:bottom w:val="single" w:sz="8" w:space="0" w:color="auto"/>
              <w:right w:val="double" w:sz="6" w:space="0" w:color="auto"/>
            </w:tcBorders>
            <w:shd w:val="clear" w:color="000000" w:fill="FFFFFF"/>
          </w:tcPr>
          <w:p w14:paraId="45F78032" w14:textId="19351799"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3,57</w:t>
            </w:r>
          </w:p>
        </w:tc>
        <w:tc>
          <w:tcPr>
            <w:tcW w:w="236" w:type="dxa"/>
            <w:vAlign w:val="center"/>
          </w:tcPr>
          <w:p w14:paraId="42FDE7D0" w14:textId="77777777" w:rsidR="00F47AD6" w:rsidRPr="00EF2F18" w:rsidRDefault="00F47AD6" w:rsidP="000D4ECA">
            <w:pPr>
              <w:spacing w:after="0"/>
              <w:rPr>
                <w:rFonts w:eastAsia="Times New Roman" w:cs="Times New Roman"/>
                <w:sz w:val="20"/>
                <w:szCs w:val="20"/>
                <w:lang w:val="sr-Cyrl-RS" w:eastAsia="en-GB"/>
              </w:rPr>
            </w:pPr>
          </w:p>
        </w:tc>
      </w:tr>
      <w:tr w:rsidR="00F47AD6" w:rsidRPr="00EF2F18" w14:paraId="38E6A783" w14:textId="77777777" w:rsidTr="00F47AD6">
        <w:trPr>
          <w:trHeight w:val="555"/>
        </w:trPr>
        <w:tc>
          <w:tcPr>
            <w:tcW w:w="3377" w:type="dxa"/>
            <w:tcBorders>
              <w:top w:val="nil"/>
              <w:left w:val="double" w:sz="6" w:space="0" w:color="auto"/>
              <w:bottom w:val="single" w:sz="8" w:space="0" w:color="auto"/>
              <w:right w:val="single" w:sz="8" w:space="0" w:color="auto"/>
            </w:tcBorders>
            <w:shd w:val="clear" w:color="000000" w:fill="FFFFFF"/>
          </w:tcPr>
          <w:p w14:paraId="5741CBDD" w14:textId="7AE8CA22" w:rsidR="00F47AD6" w:rsidRPr="00EF2F18" w:rsidRDefault="00F47AD6" w:rsidP="000D4ECA">
            <w:pPr>
              <w:spacing w:after="0"/>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Однос бројности и излова популација главних ловних врста, годишње</w:t>
            </w:r>
            <w:r w:rsidR="00B12C9F">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 препелица</w:t>
            </w:r>
          </w:p>
        </w:tc>
        <w:tc>
          <w:tcPr>
            <w:tcW w:w="1152" w:type="dxa"/>
            <w:tcBorders>
              <w:top w:val="nil"/>
              <w:left w:val="nil"/>
              <w:bottom w:val="single" w:sz="8" w:space="0" w:color="auto"/>
              <w:right w:val="single" w:sz="8" w:space="0" w:color="auto"/>
            </w:tcBorders>
            <w:shd w:val="clear" w:color="000000" w:fill="FFFFFF"/>
          </w:tcPr>
          <w:p w14:paraId="1236CA02" w14:textId="6AD20C1B"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w:t>
            </w:r>
          </w:p>
        </w:tc>
        <w:tc>
          <w:tcPr>
            <w:tcW w:w="1491" w:type="dxa"/>
            <w:tcBorders>
              <w:top w:val="nil"/>
              <w:left w:val="nil"/>
              <w:bottom w:val="single" w:sz="8" w:space="0" w:color="auto"/>
              <w:right w:val="single" w:sz="8" w:space="0" w:color="auto"/>
            </w:tcBorders>
            <w:shd w:val="clear" w:color="000000" w:fill="FFFFFF"/>
          </w:tcPr>
          <w:p w14:paraId="5AF077B5" w14:textId="17274C37"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Управа за шуме, ЗЗПРС, ПЗЗП</w:t>
            </w:r>
          </w:p>
        </w:tc>
        <w:tc>
          <w:tcPr>
            <w:tcW w:w="1266" w:type="dxa"/>
            <w:tcBorders>
              <w:top w:val="nil"/>
              <w:left w:val="nil"/>
              <w:bottom w:val="single" w:sz="8" w:space="0" w:color="auto"/>
              <w:right w:val="single" w:sz="8" w:space="0" w:color="auto"/>
            </w:tcBorders>
            <w:shd w:val="clear" w:color="000000" w:fill="FFFFFF"/>
          </w:tcPr>
          <w:p w14:paraId="562D3172" w14:textId="59A39CBE"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cs="Times New Roman"/>
                <w:sz w:val="20"/>
                <w:szCs w:val="20"/>
                <w:lang w:val="sr-Cyrl-RS"/>
              </w:rPr>
              <w:t>3,01</w:t>
            </w:r>
          </w:p>
        </w:tc>
        <w:tc>
          <w:tcPr>
            <w:tcW w:w="1511" w:type="dxa"/>
            <w:tcBorders>
              <w:top w:val="nil"/>
              <w:left w:val="nil"/>
              <w:bottom w:val="single" w:sz="8" w:space="0" w:color="auto"/>
              <w:right w:val="single" w:sz="8" w:space="0" w:color="auto"/>
            </w:tcBorders>
            <w:shd w:val="clear" w:color="000000" w:fill="FFFFFF"/>
          </w:tcPr>
          <w:p w14:paraId="1ECEC253" w14:textId="74C0F8CA"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2023.</w:t>
            </w:r>
          </w:p>
        </w:tc>
        <w:tc>
          <w:tcPr>
            <w:tcW w:w="1350" w:type="dxa"/>
            <w:tcBorders>
              <w:top w:val="nil"/>
              <w:left w:val="nil"/>
              <w:bottom w:val="single" w:sz="8" w:space="0" w:color="auto"/>
              <w:right w:val="single" w:sz="8" w:space="0" w:color="auto"/>
            </w:tcBorders>
            <w:shd w:val="clear" w:color="000000" w:fill="FFFFFF"/>
          </w:tcPr>
          <w:p w14:paraId="44E8DA0E" w14:textId="11215054"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3,07</w:t>
            </w:r>
          </w:p>
        </w:tc>
        <w:tc>
          <w:tcPr>
            <w:tcW w:w="1530" w:type="dxa"/>
            <w:tcBorders>
              <w:top w:val="nil"/>
              <w:left w:val="nil"/>
              <w:bottom w:val="single" w:sz="8" w:space="0" w:color="auto"/>
              <w:right w:val="single" w:sz="8" w:space="0" w:color="auto"/>
            </w:tcBorders>
            <w:shd w:val="clear" w:color="000000" w:fill="FFFFFF"/>
          </w:tcPr>
          <w:p w14:paraId="34021172" w14:textId="46135D5D"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3,10</w:t>
            </w:r>
          </w:p>
        </w:tc>
        <w:tc>
          <w:tcPr>
            <w:tcW w:w="1980" w:type="dxa"/>
            <w:tcBorders>
              <w:top w:val="nil"/>
              <w:left w:val="nil"/>
              <w:bottom w:val="single" w:sz="8" w:space="0" w:color="auto"/>
              <w:right w:val="double" w:sz="6" w:space="0" w:color="auto"/>
            </w:tcBorders>
            <w:shd w:val="clear" w:color="000000" w:fill="FFFFFF"/>
          </w:tcPr>
          <w:p w14:paraId="4E640B65" w14:textId="6FF1911F"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3,13</w:t>
            </w:r>
          </w:p>
        </w:tc>
        <w:tc>
          <w:tcPr>
            <w:tcW w:w="236" w:type="dxa"/>
            <w:vAlign w:val="center"/>
            <w:hideMark/>
          </w:tcPr>
          <w:p w14:paraId="6F15F862" w14:textId="77777777" w:rsidR="00F47AD6" w:rsidRPr="00EF2F18" w:rsidRDefault="00F47AD6" w:rsidP="000D4ECA">
            <w:pPr>
              <w:spacing w:after="0"/>
              <w:rPr>
                <w:rFonts w:eastAsia="Times New Roman" w:cs="Times New Roman"/>
                <w:sz w:val="20"/>
                <w:szCs w:val="20"/>
                <w:lang w:val="sr-Cyrl-RS" w:eastAsia="en-GB"/>
              </w:rPr>
            </w:pPr>
          </w:p>
        </w:tc>
      </w:tr>
      <w:tr w:rsidR="00F47AD6" w:rsidRPr="00EF2F18" w14:paraId="646059C4" w14:textId="77777777" w:rsidTr="00F47AD6">
        <w:trPr>
          <w:trHeight w:val="540"/>
        </w:trPr>
        <w:tc>
          <w:tcPr>
            <w:tcW w:w="3377" w:type="dxa"/>
            <w:tcBorders>
              <w:top w:val="nil"/>
              <w:left w:val="double" w:sz="6" w:space="0" w:color="auto"/>
              <w:bottom w:val="double" w:sz="6" w:space="0" w:color="auto"/>
              <w:right w:val="single" w:sz="8" w:space="0" w:color="auto"/>
            </w:tcBorders>
            <w:shd w:val="clear" w:color="000000" w:fill="FFFFFF"/>
            <w:hideMark/>
          </w:tcPr>
          <w:p w14:paraId="03B5134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Број врста риба за које је трајно или привремено забрањен улов, укупно</w:t>
            </w:r>
          </w:p>
        </w:tc>
        <w:tc>
          <w:tcPr>
            <w:tcW w:w="1152" w:type="dxa"/>
            <w:tcBorders>
              <w:top w:val="nil"/>
              <w:left w:val="nil"/>
              <w:bottom w:val="double" w:sz="6" w:space="0" w:color="auto"/>
              <w:right w:val="single" w:sz="8" w:space="0" w:color="auto"/>
            </w:tcBorders>
            <w:shd w:val="clear" w:color="000000" w:fill="FFFFFF"/>
            <w:hideMark/>
          </w:tcPr>
          <w:p w14:paraId="54B03CB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број</w:t>
            </w:r>
          </w:p>
        </w:tc>
        <w:tc>
          <w:tcPr>
            <w:tcW w:w="1491" w:type="dxa"/>
            <w:tcBorders>
              <w:top w:val="nil"/>
              <w:left w:val="nil"/>
              <w:bottom w:val="double" w:sz="6" w:space="0" w:color="auto"/>
              <w:right w:val="single" w:sz="8" w:space="0" w:color="auto"/>
            </w:tcBorders>
            <w:shd w:val="clear" w:color="000000" w:fill="FFFFFF"/>
            <w:hideMark/>
          </w:tcPr>
          <w:p w14:paraId="08170B3C"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ЗЗПРС, ПЗЗП</w:t>
            </w:r>
          </w:p>
        </w:tc>
        <w:tc>
          <w:tcPr>
            <w:tcW w:w="1266" w:type="dxa"/>
            <w:tcBorders>
              <w:top w:val="nil"/>
              <w:left w:val="nil"/>
              <w:bottom w:val="double" w:sz="6" w:space="0" w:color="auto"/>
              <w:right w:val="single" w:sz="8" w:space="0" w:color="auto"/>
            </w:tcBorders>
            <w:shd w:val="clear" w:color="000000" w:fill="FFFFFF"/>
            <w:hideMark/>
          </w:tcPr>
          <w:p w14:paraId="7716B7D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45</w:t>
            </w:r>
          </w:p>
        </w:tc>
        <w:tc>
          <w:tcPr>
            <w:tcW w:w="1511" w:type="dxa"/>
            <w:tcBorders>
              <w:top w:val="nil"/>
              <w:left w:val="nil"/>
              <w:bottom w:val="double" w:sz="6" w:space="0" w:color="auto"/>
              <w:right w:val="single" w:sz="8" w:space="0" w:color="auto"/>
            </w:tcBorders>
            <w:shd w:val="clear" w:color="000000" w:fill="FFFFFF"/>
            <w:hideMark/>
          </w:tcPr>
          <w:p w14:paraId="3D97920A"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350" w:type="dxa"/>
            <w:tcBorders>
              <w:top w:val="nil"/>
              <w:left w:val="nil"/>
              <w:bottom w:val="double" w:sz="6" w:space="0" w:color="auto"/>
              <w:right w:val="single" w:sz="8" w:space="0" w:color="auto"/>
            </w:tcBorders>
            <w:shd w:val="clear" w:color="000000" w:fill="FFFFFF"/>
            <w:hideMark/>
          </w:tcPr>
          <w:p w14:paraId="4225E151"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46</w:t>
            </w:r>
          </w:p>
        </w:tc>
        <w:tc>
          <w:tcPr>
            <w:tcW w:w="1530" w:type="dxa"/>
            <w:tcBorders>
              <w:top w:val="nil"/>
              <w:left w:val="nil"/>
              <w:bottom w:val="double" w:sz="6" w:space="0" w:color="auto"/>
              <w:right w:val="single" w:sz="8" w:space="0" w:color="auto"/>
            </w:tcBorders>
            <w:shd w:val="clear" w:color="000000" w:fill="FFFFFF"/>
            <w:hideMark/>
          </w:tcPr>
          <w:p w14:paraId="4241C42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46</w:t>
            </w:r>
          </w:p>
        </w:tc>
        <w:tc>
          <w:tcPr>
            <w:tcW w:w="1980" w:type="dxa"/>
            <w:tcBorders>
              <w:top w:val="nil"/>
              <w:left w:val="nil"/>
              <w:bottom w:val="double" w:sz="6" w:space="0" w:color="auto"/>
              <w:right w:val="double" w:sz="6" w:space="0" w:color="auto"/>
            </w:tcBorders>
            <w:shd w:val="clear" w:color="000000" w:fill="FFFFFF"/>
            <w:hideMark/>
          </w:tcPr>
          <w:p w14:paraId="700F034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47</w:t>
            </w:r>
          </w:p>
        </w:tc>
        <w:tc>
          <w:tcPr>
            <w:tcW w:w="236" w:type="dxa"/>
            <w:vAlign w:val="center"/>
            <w:hideMark/>
          </w:tcPr>
          <w:p w14:paraId="0AFE99D6" w14:textId="77777777" w:rsidR="00F47AD6" w:rsidRPr="00EF2F18" w:rsidRDefault="00F47AD6" w:rsidP="00752CA0">
            <w:pPr>
              <w:spacing w:after="0"/>
              <w:rPr>
                <w:rFonts w:eastAsia="Times New Roman" w:cs="Times New Roman"/>
                <w:sz w:val="20"/>
                <w:szCs w:val="20"/>
                <w:lang w:val="sr-Cyrl-RS" w:eastAsia="en-GB"/>
              </w:rPr>
            </w:pPr>
          </w:p>
        </w:tc>
      </w:tr>
    </w:tbl>
    <w:p w14:paraId="5F60A8CA"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060"/>
        <w:gridCol w:w="1307"/>
        <w:gridCol w:w="1873"/>
        <w:gridCol w:w="17"/>
      </w:tblGrid>
      <w:tr w:rsidR="007D7243" w:rsidRPr="00EF2F18" w14:paraId="7AE8DD79" w14:textId="77777777" w:rsidTr="00F47AD6">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1A383F80"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4.2.1: Имплементација концепта природи блиског газдовања шумама у сектору шумарства</w:t>
            </w:r>
          </w:p>
        </w:tc>
      </w:tr>
      <w:tr w:rsidR="007D7243" w:rsidRPr="00EF2F18" w14:paraId="647B097C" w14:textId="77777777" w:rsidTr="00F47AD6">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2857234"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7D7243" w:rsidRPr="00EF2F18" w14:paraId="7159AF0E" w14:textId="77777777" w:rsidTr="00F47AD6">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F27B6A8" w14:textId="1CE92BA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F47AD6"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1197385B"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информативно-едукативне</w:t>
            </w:r>
          </w:p>
        </w:tc>
      </w:tr>
      <w:tr w:rsidR="007D7243" w:rsidRPr="00EF2F18" w14:paraId="7B4CBD90" w14:textId="77777777" w:rsidTr="00F47AD6">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89DAE8A"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743DA0BF"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47AD6" w:rsidRPr="00EF2F18" w14:paraId="4E246B0E" w14:textId="77777777" w:rsidTr="00F47AD6">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4A113905"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11C54A7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58C65BF2"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4CC22CE7"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50417987"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7E9A83C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07" w:type="dxa"/>
            <w:tcBorders>
              <w:top w:val="nil"/>
              <w:left w:val="nil"/>
              <w:bottom w:val="double" w:sz="6" w:space="0" w:color="auto"/>
              <w:right w:val="single" w:sz="8" w:space="0" w:color="auto"/>
            </w:tcBorders>
            <w:shd w:val="clear" w:color="000000" w:fill="D9D9D9"/>
            <w:hideMark/>
          </w:tcPr>
          <w:p w14:paraId="08BE2E2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gridSpan w:val="2"/>
            <w:tcBorders>
              <w:top w:val="nil"/>
              <w:left w:val="nil"/>
              <w:bottom w:val="double" w:sz="6" w:space="0" w:color="auto"/>
              <w:right w:val="double" w:sz="6" w:space="0" w:color="auto"/>
            </w:tcBorders>
            <w:shd w:val="clear" w:color="000000" w:fill="D9D9D9"/>
            <w:hideMark/>
          </w:tcPr>
          <w:p w14:paraId="02FD6550"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47AD6" w:rsidRPr="00EF2F18" w14:paraId="2BF8E606" w14:textId="77777777" w:rsidTr="00F47AD6">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662BCC61" w14:textId="593B5A63"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Површина под шумама у којима је имплементиран концепт природи блиског газдовања </w:t>
            </w:r>
          </w:p>
        </w:tc>
        <w:tc>
          <w:tcPr>
            <w:tcW w:w="1280" w:type="dxa"/>
            <w:tcBorders>
              <w:top w:val="nil"/>
              <w:left w:val="nil"/>
              <w:bottom w:val="double" w:sz="6" w:space="0" w:color="auto"/>
              <w:right w:val="single" w:sz="8" w:space="0" w:color="auto"/>
            </w:tcBorders>
            <w:shd w:val="clear" w:color="000000" w:fill="FFFFFF"/>
            <w:hideMark/>
          </w:tcPr>
          <w:p w14:paraId="394CA358" w14:textId="1676B690"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hа</w:t>
            </w:r>
          </w:p>
        </w:tc>
        <w:tc>
          <w:tcPr>
            <w:tcW w:w="1280" w:type="dxa"/>
            <w:tcBorders>
              <w:top w:val="nil"/>
              <w:left w:val="nil"/>
              <w:bottom w:val="double" w:sz="6" w:space="0" w:color="auto"/>
              <w:right w:val="single" w:sz="8" w:space="0" w:color="auto"/>
            </w:tcBorders>
            <w:shd w:val="clear" w:color="000000" w:fill="FFFFFF"/>
            <w:hideMark/>
          </w:tcPr>
          <w:p w14:paraId="4C233558" w14:textId="21A7266F"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Управа за шуме</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7DC24AA8"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21B6F922"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060" w:type="dxa"/>
            <w:tcBorders>
              <w:top w:val="double" w:sz="6" w:space="0" w:color="auto"/>
              <w:left w:val="single" w:sz="4" w:space="0" w:color="auto"/>
              <w:bottom w:val="double" w:sz="6" w:space="0" w:color="auto"/>
              <w:right w:val="single" w:sz="8" w:space="0" w:color="auto"/>
            </w:tcBorders>
            <w:shd w:val="clear" w:color="000000" w:fill="FFFFFF"/>
            <w:hideMark/>
          </w:tcPr>
          <w:p w14:paraId="6B6EC93C"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300.000</w:t>
            </w:r>
          </w:p>
        </w:tc>
        <w:tc>
          <w:tcPr>
            <w:tcW w:w="1307" w:type="dxa"/>
            <w:tcBorders>
              <w:top w:val="nil"/>
              <w:left w:val="nil"/>
              <w:bottom w:val="double" w:sz="6" w:space="0" w:color="auto"/>
              <w:right w:val="single" w:sz="8" w:space="0" w:color="auto"/>
            </w:tcBorders>
            <w:shd w:val="clear" w:color="000000" w:fill="FFFFFF"/>
            <w:hideMark/>
          </w:tcPr>
          <w:p w14:paraId="142AFBF5"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400.000</w:t>
            </w:r>
          </w:p>
        </w:tc>
        <w:tc>
          <w:tcPr>
            <w:tcW w:w="1890" w:type="dxa"/>
            <w:gridSpan w:val="2"/>
            <w:tcBorders>
              <w:top w:val="nil"/>
              <w:left w:val="nil"/>
              <w:bottom w:val="double" w:sz="6" w:space="0" w:color="auto"/>
              <w:right w:val="double" w:sz="6" w:space="0" w:color="auto"/>
            </w:tcBorders>
            <w:shd w:val="clear" w:color="000000" w:fill="FFFFFF"/>
            <w:hideMark/>
          </w:tcPr>
          <w:p w14:paraId="5010B4E7" w14:textId="77777777"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tc>
      </w:tr>
    </w:tbl>
    <w:p w14:paraId="069D416F" w14:textId="60EAA4CB" w:rsidR="007D7243" w:rsidRDefault="007D7243" w:rsidP="007D7243">
      <w:pPr>
        <w:spacing w:after="0"/>
        <w:rPr>
          <w:sz w:val="20"/>
          <w:szCs w:val="20"/>
          <w:lang w:val="sr-Cyrl-RS"/>
        </w:rPr>
      </w:pPr>
      <w:r w:rsidRPr="00EF2F18">
        <w:rPr>
          <w:sz w:val="20"/>
          <w:szCs w:val="20"/>
          <w:lang w:val="sr-Cyrl-RS"/>
        </w:rPr>
        <w:t xml:space="preserve"> </w:t>
      </w:r>
    </w:p>
    <w:p w14:paraId="24C0F7A2" w14:textId="3FD5C780" w:rsidR="0012465C" w:rsidRDefault="0012465C" w:rsidP="007D7243">
      <w:pPr>
        <w:spacing w:after="0"/>
        <w:rPr>
          <w:sz w:val="20"/>
          <w:szCs w:val="20"/>
          <w:lang w:val="sr-Cyrl-RS"/>
        </w:rPr>
      </w:pPr>
    </w:p>
    <w:p w14:paraId="0753427C" w14:textId="435EAF28" w:rsidR="0012465C" w:rsidRDefault="0012465C" w:rsidP="007D7243">
      <w:pPr>
        <w:spacing w:after="0"/>
        <w:rPr>
          <w:sz w:val="20"/>
          <w:szCs w:val="20"/>
          <w:lang w:val="sr-Cyrl-RS"/>
        </w:rPr>
      </w:pPr>
    </w:p>
    <w:p w14:paraId="227267A0" w14:textId="106D12C2" w:rsidR="0012465C" w:rsidRDefault="0012465C" w:rsidP="007D7243">
      <w:pPr>
        <w:spacing w:after="0"/>
        <w:rPr>
          <w:sz w:val="20"/>
          <w:szCs w:val="20"/>
          <w:lang w:val="sr-Cyrl-RS"/>
        </w:rPr>
      </w:pPr>
    </w:p>
    <w:p w14:paraId="43754EE7" w14:textId="77777777" w:rsidR="0012465C" w:rsidRPr="00EF2F18" w:rsidRDefault="0012465C" w:rsidP="007D7243">
      <w:pPr>
        <w:spacing w:after="0"/>
        <w:rPr>
          <w:sz w:val="20"/>
          <w:szCs w:val="20"/>
          <w:lang w:val="sr-Cyrl-RS"/>
        </w:rPr>
      </w:pPr>
    </w:p>
    <w:tbl>
      <w:tblPr>
        <w:tblW w:w="13657" w:type="dxa"/>
        <w:tblLook w:val="04A0" w:firstRow="1" w:lastRow="0" w:firstColumn="1" w:lastColumn="0" w:noHBand="0" w:noVBand="1"/>
      </w:tblPr>
      <w:tblGrid>
        <w:gridCol w:w="3800"/>
        <w:gridCol w:w="2556"/>
        <w:gridCol w:w="2351"/>
        <w:gridCol w:w="2430"/>
        <w:gridCol w:w="2499"/>
        <w:gridCol w:w="21"/>
      </w:tblGrid>
      <w:tr w:rsidR="007D7243" w:rsidRPr="00EF2F18" w14:paraId="32B7ADCA" w14:textId="77777777" w:rsidTr="00F47AD6">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9E3FD3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A76022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3C3E07A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47AD6" w:rsidRPr="00EF2F18" w14:paraId="067A35AB" w14:textId="77777777" w:rsidTr="00F47AD6">
        <w:trPr>
          <w:trHeight w:val="336"/>
        </w:trPr>
        <w:tc>
          <w:tcPr>
            <w:tcW w:w="3800" w:type="dxa"/>
            <w:vMerge/>
            <w:tcBorders>
              <w:top w:val="double" w:sz="6" w:space="0" w:color="auto"/>
              <w:left w:val="double" w:sz="6" w:space="0" w:color="auto"/>
              <w:bottom w:val="single" w:sz="8" w:space="0" w:color="000000"/>
              <w:right w:val="double" w:sz="6" w:space="0" w:color="auto"/>
            </w:tcBorders>
            <w:hideMark/>
          </w:tcPr>
          <w:p w14:paraId="4B92F35A" w14:textId="77777777" w:rsidR="00F47AD6" w:rsidRPr="00EF2F18" w:rsidRDefault="00F47AD6" w:rsidP="00752CA0">
            <w:pPr>
              <w:spacing w:after="0"/>
              <w:rPr>
                <w:rFonts w:eastAsia="Times New Roman" w:cs="Times New Roman"/>
                <w:color w:val="000000"/>
                <w:sz w:val="20"/>
                <w:szCs w:val="20"/>
                <w:lang w:val="sr-Cyrl-RS" w:eastAsia="en-GB"/>
              </w:rPr>
            </w:pPr>
          </w:p>
        </w:tc>
        <w:tc>
          <w:tcPr>
            <w:tcW w:w="2556" w:type="dxa"/>
            <w:vMerge/>
            <w:tcBorders>
              <w:top w:val="double" w:sz="6" w:space="0" w:color="auto"/>
              <w:left w:val="double" w:sz="6" w:space="0" w:color="auto"/>
              <w:bottom w:val="single" w:sz="8" w:space="0" w:color="000000"/>
              <w:right w:val="double" w:sz="6" w:space="0" w:color="auto"/>
            </w:tcBorders>
            <w:hideMark/>
          </w:tcPr>
          <w:p w14:paraId="5F8E9CC9" w14:textId="77777777" w:rsidR="00F47AD6" w:rsidRPr="00EF2F18" w:rsidRDefault="00F47AD6" w:rsidP="00752CA0">
            <w:pPr>
              <w:spacing w:after="0"/>
              <w:rPr>
                <w:rFonts w:eastAsia="Times New Roman" w:cs="Times New Roman"/>
                <w:color w:val="000000"/>
                <w:sz w:val="20"/>
                <w:szCs w:val="20"/>
                <w:lang w:val="sr-Cyrl-RS" w:eastAsia="en-GB"/>
              </w:rPr>
            </w:pPr>
          </w:p>
        </w:tc>
        <w:tc>
          <w:tcPr>
            <w:tcW w:w="2351" w:type="dxa"/>
            <w:tcBorders>
              <w:top w:val="nil"/>
              <w:left w:val="nil"/>
              <w:bottom w:val="double" w:sz="6" w:space="0" w:color="auto"/>
              <w:right w:val="double" w:sz="6" w:space="0" w:color="auto"/>
            </w:tcBorders>
            <w:shd w:val="clear" w:color="000000" w:fill="A8D08D"/>
            <w:hideMark/>
          </w:tcPr>
          <w:p w14:paraId="0E933F89" w14:textId="57802092"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 године</w:t>
            </w:r>
          </w:p>
        </w:tc>
        <w:tc>
          <w:tcPr>
            <w:tcW w:w="2430" w:type="dxa"/>
            <w:tcBorders>
              <w:top w:val="nil"/>
              <w:left w:val="nil"/>
              <w:bottom w:val="double" w:sz="6" w:space="0" w:color="auto"/>
              <w:right w:val="double" w:sz="6" w:space="0" w:color="auto"/>
            </w:tcBorders>
            <w:shd w:val="clear" w:color="000000" w:fill="A8D08D"/>
            <w:hideMark/>
          </w:tcPr>
          <w:p w14:paraId="41F93553" w14:textId="6BE0D015"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520" w:type="dxa"/>
            <w:gridSpan w:val="2"/>
            <w:tcBorders>
              <w:top w:val="nil"/>
              <w:left w:val="nil"/>
              <w:bottom w:val="double" w:sz="6" w:space="0" w:color="auto"/>
              <w:right w:val="double" w:sz="6" w:space="0" w:color="auto"/>
            </w:tcBorders>
            <w:shd w:val="clear" w:color="000000" w:fill="A8D08D"/>
            <w:hideMark/>
          </w:tcPr>
          <w:p w14:paraId="107F80BB" w14:textId="30B2D41D"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F47AD6" w:rsidRPr="00EF2F18" w14:paraId="15570215" w14:textId="77777777" w:rsidTr="00F67270">
        <w:trPr>
          <w:trHeight w:val="324"/>
        </w:trPr>
        <w:tc>
          <w:tcPr>
            <w:tcW w:w="3800" w:type="dxa"/>
            <w:tcBorders>
              <w:top w:val="single" w:sz="4" w:space="0" w:color="auto"/>
              <w:left w:val="double" w:sz="6" w:space="0" w:color="auto"/>
              <w:bottom w:val="double" w:sz="6" w:space="0" w:color="auto"/>
              <w:right w:val="double" w:sz="6" w:space="0" w:color="auto"/>
            </w:tcBorders>
            <w:hideMark/>
          </w:tcPr>
          <w:p w14:paraId="1969894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(МПВШ)</w:t>
            </w:r>
          </w:p>
        </w:tc>
        <w:tc>
          <w:tcPr>
            <w:tcW w:w="2556" w:type="dxa"/>
            <w:tcBorders>
              <w:top w:val="single" w:sz="4" w:space="0" w:color="auto"/>
              <w:left w:val="nil"/>
              <w:bottom w:val="double" w:sz="6" w:space="0" w:color="auto"/>
              <w:right w:val="double" w:sz="6" w:space="0" w:color="auto"/>
            </w:tcBorders>
            <w:hideMark/>
          </w:tcPr>
          <w:p w14:paraId="00C476C9" w14:textId="77777777" w:rsidR="00F47AD6" w:rsidRPr="00EF2F18" w:rsidRDefault="00F47AD6" w:rsidP="00752CA0">
            <w:pPr>
              <w:spacing w:after="0"/>
              <w:rPr>
                <w:rFonts w:eastAsia="Times New Roman" w:cs="Times New Roman"/>
                <w:color w:val="000000"/>
                <w:sz w:val="20"/>
                <w:szCs w:val="20"/>
                <w:lang w:val="sr-Cyrl-RS" w:eastAsia="en-GB"/>
              </w:rPr>
            </w:pPr>
          </w:p>
        </w:tc>
        <w:tc>
          <w:tcPr>
            <w:tcW w:w="2351" w:type="dxa"/>
            <w:tcBorders>
              <w:top w:val="single" w:sz="4" w:space="0" w:color="auto"/>
              <w:left w:val="nil"/>
              <w:bottom w:val="double" w:sz="6" w:space="0" w:color="auto"/>
              <w:right w:val="double" w:sz="6" w:space="0" w:color="auto"/>
            </w:tcBorders>
            <w:hideMark/>
          </w:tcPr>
          <w:p w14:paraId="056C5BFA"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430" w:type="dxa"/>
            <w:tcBorders>
              <w:top w:val="single" w:sz="4" w:space="0" w:color="auto"/>
              <w:left w:val="nil"/>
              <w:bottom w:val="double" w:sz="6" w:space="0" w:color="auto"/>
              <w:right w:val="double" w:sz="6" w:space="0" w:color="auto"/>
            </w:tcBorders>
            <w:hideMark/>
          </w:tcPr>
          <w:p w14:paraId="29113165"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520" w:type="dxa"/>
            <w:gridSpan w:val="2"/>
            <w:tcBorders>
              <w:top w:val="single" w:sz="4" w:space="0" w:color="auto"/>
              <w:left w:val="nil"/>
              <w:bottom w:val="double" w:sz="6" w:space="0" w:color="auto"/>
              <w:right w:val="double" w:sz="6" w:space="0" w:color="auto"/>
            </w:tcBorders>
            <w:hideMark/>
          </w:tcPr>
          <w:p w14:paraId="13A0A7EE"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382D07" w:rsidRPr="00EF2F18" w14:paraId="76E46B18" w14:textId="77777777" w:rsidTr="00C1286C">
        <w:trPr>
          <w:trHeight w:val="324"/>
        </w:trPr>
        <w:tc>
          <w:tcPr>
            <w:tcW w:w="3800" w:type="dxa"/>
            <w:tcBorders>
              <w:top w:val="double" w:sz="6" w:space="0" w:color="auto"/>
              <w:left w:val="double" w:sz="6" w:space="0" w:color="auto"/>
              <w:bottom w:val="double" w:sz="6" w:space="0" w:color="auto"/>
              <w:right w:val="double" w:sz="6" w:space="0" w:color="auto"/>
            </w:tcBorders>
          </w:tcPr>
          <w:p w14:paraId="3ECCAA7D" w14:textId="46AB21D5" w:rsidR="00382D07" w:rsidRPr="00EF2F18" w:rsidRDefault="003B2B45"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Буџетска средства (МПШВ)</w:t>
            </w:r>
          </w:p>
        </w:tc>
        <w:tc>
          <w:tcPr>
            <w:tcW w:w="2556" w:type="dxa"/>
            <w:tcBorders>
              <w:top w:val="double" w:sz="6" w:space="0" w:color="auto"/>
              <w:left w:val="nil"/>
              <w:bottom w:val="double" w:sz="6" w:space="0" w:color="auto"/>
              <w:right w:val="double" w:sz="6" w:space="0" w:color="auto"/>
            </w:tcBorders>
          </w:tcPr>
          <w:p w14:paraId="4CB56376" w14:textId="4B94C2A6" w:rsidR="00382D07" w:rsidRPr="00EF2F18" w:rsidRDefault="003B2B45"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0106-420-0002-451</w:t>
            </w:r>
          </w:p>
        </w:tc>
        <w:tc>
          <w:tcPr>
            <w:tcW w:w="2351" w:type="dxa"/>
            <w:tcBorders>
              <w:top w:val="double" w:sz="6" w:space="0" w:color="auto"/>
              <w:left w:val="nil"/>
              <w:bottom w:val="double" w:sz="6" w:space="0" w:color="auto"/>
              <w:right w:val="double" w:sz="6" w:space="0" w:color="auto"/>
            </w:tcBorders>
          </w:tcPr>
          <w:p w14:paraId="65B58ED7" w14:textId="6CD56EE4" w:rsidR="00382D07" w:rsidRPr="00EF2F18" w:rsidRDefault="003B2B45"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tc>
        <w:tc>
          <w:tcPr>
            <w:tcW w:w="2430" w:type="dxa"/>
            <w:tcBorders>
              <w:top w:val="double" w:sz="6" w:space="0" w:color="auto"/>
              <w:left w:val="nil"/>
              <w:bottom w:val="double" w:sz="6" w:space="0" w:color="auto"/>
              <w:right w:val="double" w:sz="6" w:space="0" w:color="auto"/>
            </w:tcBorders>
          </w:tcPr>
          <w:p w14:paraId="0135BA4E" w14:textId="3A947C61" w:rsidR="00382D07" w:rsidRPr="00EF2F18" w:rsidRDefault="003B2B45"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6.000</w:t>
            </w:r>
          </w:p>
        </w:tc>
        <w:tc>
          <w:tcPr>
            <w:tcW w:w="2520" w:type="dxa"/>
            <w:gridSpan w:val="2"/>
            <w:tcBorders>
              <w:top w:val="double" w:sz="6" w:space="0" w:color="auto"/>
              <w:left w:val="nil"/>
              <w:bottom w:val="double" w:sz="6" w:space="0" w:color="auto"/>
              <w:right w:val="double" w:sz="6" w:space="0" w:color="auto"/>
            </w:tcBorders>
          </w:tcPr>
          <w:p w14:paraId="053900E8" w14:textId="6E67263B" w:rsidR="00382D07" w:rsidRPr="00EF2F18" w:rsidRDefault="003B2B45"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6.000</w:t>
            </w:r>
          </w:p>
        </w:tc>
      </w:tr>
    </w:tbl>
    <w:p w14:paraId="45F7ACB1" w14:textId="77777777" w:rsidR="007D7243" w:rsidRPr="00EF2F18" w:rsidRDefault="007D7243" w:rsidP="007D7243">
      <w:pPr>
        <w:spacing w:after="0"/>
        <w:rPr>
          <w:sz w:val="20"/>
          <w:szCs w:val="20"/>
          <w:lang w:val="sr-Cyrl-RS"/>
        </w:rPr>
      </w:pPr>
    </w:p>
    <w:tbl>
      <w:tblPr>
        <w:tblW w:w="13747" w:type="dxa"/>
        <w:tblLayout w:type="fixed"/>
        <w:tblLook w:val="04A0" w:firstRow="1" w:lastRow="0" w:firstColumn="1" w:lastColumn="0" w:noHBand="0" w:noVBand="1"/>
      </w:tblPr>
      <w:tblGrid>
        <w:gridCol w:w="3040"/>
        <w:gridCol w:w="1274"/>
        <w:gridCol w:w="1333"/>
        <w:gridCol w:w="1182"/>
        <w:gridCol w:w="1399"/>
        <w:gridCol w:w="1340"/>
        <w:gridCol w:w="1389"/>
        <w:gridCol w:w="1260"/>
        <w:gridCol w:w="1530"/>
      </w:tblGrid>
      <w:tr w:rsidR="007D7243" w:rsidRPr="00EF2F18" w14:paraId="054313A9" w14:textId="77777777" w:rsidTr="00F47AD6">
        <w:trPr>
          <w:trHeight w:val="732"/>
        </w:trPr>
        <w:tc>
          <w:tcPr>
            <w:tcW w:w="3040"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49A8E85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74"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FE53DB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33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87CC07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4EF5C6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39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DB7F15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4B1A8D6"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179" w:type="dxa"/>
            <w:gridSpan w:val="3"/>
            <w:tcBorders>
              <w:top w:val="double" w:sz="6" w:space="0" w:color="auto"/>
              <w:left w:val="nil"/>
              <w:bottom w:val="single" w:sz="8" w:space="0" w:color="auto"/>
              <w:right w:val="double" w:sz="6" w:space="0" w:color="auto"/>
            </w:tcBorders>
            <w:shd w:val="clear" w:color="000000" w:fill="FFF2CC"/>
            <w:hideMark/>
          </w:tcPr>
          <w:p w14:paraId="1EA6EF9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47AD6" w:rsidRPr="00EF2F18" w14:paraId="44D52EC3" w14:textId="77777777" w:rsidTr="00F47AD6">
        <w:trPr>
          <w:trHeight w:val="324"/>
        </w:trPr>
        <w:tc>
          <w:tcPr>
            <w:tcW w:w="3040" w:type="dxa"/>
            <w:vMerge/>
            <w:tcBorders>
              <w:top w:val="double" w:sz="6" w:space="0" w:color="auto"/>
              <w:left w:val="double" w:sz="6" w:space="0" w:color="auto"/>
              <w:bottom w:val="single" w:sz="8" w:space="0" w:color="000000"/>
              <w:right w:val="single" w:sz="8" w:space="0" w:color="auto"/>
            </w:tcBorders>
            <w:vAlign w:val="center"/>
            <w:hideMark/>
          </w:tcPr>
          <w:p w14:paraId="7955E1A7" w14:textId="77777777" w:rsidR="00F47AD6" w:rsidRPr="00EF2F18" w:rsidRDefault="00F47AD6" w:rsidP="00752CA0">
            <w:pPr>
              <w:spacing w:after="0"/>
              <w:rPr>
                <w:rFonts w:eastAsia="Times New Roman" w:cs="Times New Roman"/>
                <w:color w:val="000000"/>
                <w:sz w:val="20"/>
                <w:szCs w:val="20"/>
                <w:lang w:val="sr-Cyrl-RS" w:eastAsia="en-GB"/>
              </w:rPr>
            </w:pPr>
          </w:p>
        </w:tc>
        <w:tc>
          <w:tcPr>
            <w:tcW w:w="1274" w:type="dxa"/>
            <w:vMerge/>
            <w:tcBorders>
              <w:top w:val="double" w:sz="6" w:space="0" w:color="auto"/>
              <w:left w:val="single" w:sz="8" w:space="0" w:color="auto"/>
              <w:bottom w:val="single" w:sz="8" w:space="0" w:color="000000"/>
              <w:right w:val="single" w:sz="8" w:space="0" w:color="auto"/>
            </w:tcBorders>
            <w:vAlign w:val="center"/>
            <w:hideMark/>
          </w:tcPr>
          <w:p w14:paraId="6EBECAC3" w14:textId="77777777" w:rsidR="00F47AD6" w:rsidRPr="00EF2F18" w:rsidRDefault="00F47AD6" w:rsidP="00752CA0">
            <w:pPr>
              <w:spacing w:after="0"/>
              <w:rPr>
                <w:rFonts w:eastAsia="Times New Roman" w:cs="Times New Roman"/>
                <w:color w:val="000000"/>
                <w:sz w:val="20"/>
                <w:szCs w:val="20"/>
                <w:lang w:val="sr-Cyrl-RS" w:eastAsia="en-GB"/>
              </w:rPr>
            </w:pPr>
          </w:p>
        </w:tc>
        <w:tc>
          <w:tcPr>
            <w:tcW w:w="1333" w:type="dxa"/>
            <w:vMerge/>
            <w:tcBorders>
              <w:top w:val="double" w:sz="6" w:space="0" w:color="auto"/>
              <w:left w:val="single" w:sz="8" w:space="0" w:color="auto"/>
              <w:bottom w:val="single" w:sz="8" w:space="0" w:color="000000"/>
              <w:right w:val="single" w:sz="8" w:space="0" w:color="auto"/>
            </w:tcBorders>
            <w:vAlign w:val="center"/>
            <w:hideMark/>
          </w:tcPr>
          <w:p w14:paraId="287587DD" w14:textId="77777777" w:rsidR="00F47AD6" w:rsidRPr="00EF2F18" w:rsidRDefault="00F47AD6"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3FE9E7DA" w14:textId="77777777" w:rsidR="00F47AD6" w:rsidRPr="00EF2F18" w:rsidRDefault="00F47AD6" w:rsidP="00752CA0">
            <w:pPr>
              <w:spacing w:after="0"/>
              <w:rPr>
                <w:rFonts w:eastAsia="Times New Roman" w:cs="Times New Roman"/>
                <w:color w:val="000000"/>
                <w:sz w:val="20"/>
                <w:szCs w:val="20"/>
                <w:lang w:val="sr-Cyrl-RS" w:eastAsia="en-GB"/>
              </w:rPr>
            </w:pPr>
          </w:p>
        </w:tc>
        <w:tc>
          <w:tcPr>
            <w:tcW w:w="1399" w:type="dxa"/>
            <w:vMerge/>
            <w:tcBorders>
              <w:top w:val="double" w:sz="6" w:space="0" w:color="auto"/>
              <w:left w:val="single" w:sz="8" w:space="0" w:color="auto"/>
              <w:bottom w:val="single" w:sz="8" w:space="0" w:color="000000"/>
              <w:right w:val="single" w:sz="8" w:space="0" w:color="auto"/>
            </w:tcBorders>
            <w:vAlign w:val="center"/>
            <w:hideMark/>
          </w:tcPr>
          <w:p w14:paraId="0B706360" w14:textId="77777777" w:rsidR="00F47AD6" w:rsidRPr="00EF2F18" w:rsidRDefault="00F47AD6"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71A110CB" w14:textId="77777777" w:rsidR="00F47AD6" w:rsidRPr="00EF2F18" w:rsidRDefault="00F47AD6" w:rsidP="00752CA0">
            <w:pPr>
              <w:spacing w:after="0"/>
              <w:rPr>
                <w:rFonts w:eastAsia="Times New Roman" w:cs="Times New Roman"/>
                <w:color w:val="000000"/>
                <w:sz w:val="20"/>
                <w:szCs w:val="20"/>
                <w:lang w:val="sr-Cyrl-RS" w:eastAsia="en-GB"/>
              </w:rPr>
            </w:pPr>
          </w:p>
        </w:tc>
        <w:tc>
          <w:tcPr>
            <w:tcW w:w="1389" w:type="dxa"/>
            <w:tcBorders>
              <w:top w:val="nil"/>
              <w:left w:val="nil"/>
              <w:bottom w:val="single" w:sz="8" w:space="0" w:color="auto"/>
              <w:right w:val="single" w:sz="8" w:space="0" w:color="auto"/>
            </w:tcBorders>
            <w:shd w:val="clear" w:color="000000" w:fill="FFF2CC"/>
            <w:hideMark/>
          </w:tcPr>
          <w:p w14:paraId="7CF08181" w14:textId="4939C011"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31A537B0" w14:textId="248C7FC6" w:rsidR="00F47AD6" w:rsidRPr="00EF2F18" w:rsidRDefault="00F47AD6"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963B12" w:rsidRPr="00EF2F18">
              <w:rPr>
                <w:rFonts w:eastAsia="Times New Roman" w:cs="Times New Roman"/>
                <w:sz w:val="20"/>
                <w:szCs w:val="20"/>
                <w:lang w:val="sr-Cyrl-RS" w:eastAsia="en-GB"/>
              </w:rPr>
              <w:t xml:space="preserve">     </w:t>
            </w:r>
            <w:r w:rsidRPr="00EF2F18">
              <w:rPr>
                <w:rFonts w:eastAsia="Times New Roman" w:cs="Times New Roman"/>
                <w:sz w:val="20"/>
                <w:szCs w:val="20"/>
                <w:lang w:val="sr-Cyrl-RS" w:eastAsia="en-GB"/>
              </w:rPr>
              <w:t>2027.</w:t>
            </w:r>
          </w:p>
        </w:tc>
        <w:tc>
          <w:tcPr>
            <w:tcW w:w="1530" w:type="dxa"/>
            <w:tcBorders>
              <w:top w:val="nil"/>
              <w:left w:val="nil"/>
              <w:bottom w:val="single" w:sz="8" w:space="0" w:color="auto"/>
              <w:right w:val="double" w:sz="6" w:space="0" w:color="auto"/>
            </w:tcBorders>
            <w:shd w:val="clear" w:color="000000" w:fill="FFF2CC"/>
            <w:hideMark/>
          </w:tcPr>
          <w:p w14:paraId="2A561E4D" w14:textId="3ACFEAAD"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F47AD6" w:rsidRPr="00EF2F18" w14:paraId="0C36359E" w14:textId="77777777" w:rsidTr="00F47AD6">
        <w:trPr>
          <w:trHeight w:val="1332"/>
        </w:trPr>
        <w:tc>
          <w:tcPr>
            <w:tcW w:w="3040" w:type="dxa"/>
            <w:tcBorders>
              <w:top w:val="nil"/>
              <w:left w:val="double" w:sz="6" w:space="0" w:color="auto"/>
              <w:bottom w:val="single" w:sz="8" w:space="0" w:color="auto"/>
              <w:right w:val="single" w:sz="8" w:space="0" w:color="auto"/>
            </w:tcBorders>
            <w:hideMark/>
          </w:tcPr>
          <w:p w14:paraId="416FD0EC" w14:textId="53A04960"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4.2.1.1. Примена упутстава за газдовање ш</w:t>
            </w:r>
            <w:r w:rsidR="005C45F8">
              <w:rPr>
                <w:rFonts w:eastAsia="Times New Roman" w:cs="Times New Roman"/>
                <w:color w:val="000000"/>
                <w:sz w:val="20"/>
                <w:szCs w:val="20"/>
                <w:lang w:val="sr-Cyrl-RS" w:eastAsia="en-GB"/>
              </w:rPr>
              <w:t>умама у складу са концептом при</w:t>
            </w:r>
            <w:r w:rsidRPr="00EF2F18">
              <w:rPr>
                <w:rFonts w:eastAsia="Times New Roman" w:cs="Times New Roman"/>
                <w:color w:val="000000"/>
                <w:sz w:val="20"/>
                <w:szCs w:val="20"/>
                <w:lang w:val="sr-Cyrl-RS" w:eastAsia="en-GB"/>
              </w:rPr>
              <w:t>р</w:t>
            </w:r>
            <w:r w:rsidR="005C45F8">
              <w:rPr>
                <w:rFonts w:eastAsia="Times New Roman" w:cs="Times New Roman"/>
                <w:color w:val="000000"/>
                <w:sz w:val="20"/>
                <w:szCs w:val="20"/>
                <w:lang w:val="sr-Cyrl-RS" w:eastAsia="en-GB"/>
              </w:rPr>
              <w:t>о</w:t>
            </w:r>
            <w:r w:rsidRPr="00EF2F18">
              <w:rPr>
                <w:rFonts w:eastAsia="Times New Roman" w:cs="Times New Roman"/>
                <w:color w:val="000000"/>
                <w:sz w:val="20"/>
                <w:szCs w:val="20"/>
                <w:lang w:val="sr-Cyrl-RS" w:eastAsia="en-GB"/>
              </w:rPr>
              <w:t>ди блиског газдовања</w:t>
            </w:r>
          </w:p>
        </w:tc>
        <w:tc>
          <w:tcPr>
            <w:tcW w:w="1274" w:type="dxa"/>
            <w:tcBorders>
              <w:top w:val="nil"/>
              <w:left w:val="nil"/>
              <w:bottom w:val="single" w:sz="8" w:space="0" w:color="auto"/>
              <w:right w:val="single" w:sz="8" w:space="0" w:color="auto"/>
            </w:tcBorders>
            <w:hideMark/>
          </w:tcPr>
          <w:p w14:paraId="79AEBEA7"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33" w:type="dxa"/>
            <w:tcBorders>
              <w:top w:val="nil"/>
              <w:left w:val="nil"/>
              <w:bottom w:val="single" w:sz="8" w:space="0" w:color="auto"/>
              <w:right w:val="single" w:sz="8" w:space="0" w:color="auto"/>
            </w:tcBorders>
            <w:hideMark/>
          </w:tcPr>
          <w:p w14:paraId="3FD51377" w14:textId="77777777" w:rsidR="00F47AD6" w:rsidRPr="00EF2F18" w:rsidRDefault="00F47AD6" w:rsidP="00752CA0">
            <w:pPr>
              <w:spacing w:after="0"/>
              <w:rPr>
                <w:rFonts w:eastAsia="Times New Roman" w:cs="Times New Roman"/>
                <w:color w:val="000000"/>
                <w:sz w:val="20"/>
                <w:szCs w:val="20"/>
                <w:lang w:val="sr-Cyrl-RS" w:eastAsia="en-GB"/>
              </w:rPr>
            </w:pPr>
            <w:bookmarkStart w:id="174" w:name="RANGE!C178"/>
            <w:r w:rsidRPr="00EF2F18">
              <w:rPr>
                <w:rFonts w:eastAsia="Times New Roman" w:cs="Times New Roman"/>
                <w:sz w:val="20"/>
                <w:szCs w:val="20"/>
                <w:lang w:val="sr-Cyrl-RS" w:eastAsia="en-GB"/>
              </w:rPr>
              <w:t>МЗЖС, Управа за шуме, УПЗ, Агенција за просторно планирање</w:t>
            </w:r>
            <w:bookmarkEnd w:id="174"/>
            <w:r w:rsidRPr="00EF2F18">
              <w:rPr>
                <w:rFonts w:eastAsia="Times New Roman" w:cs="Times New Roman"/>
                <w:sz w:val="20"/>
                <w:szCs w:val="20"/>
                <w:lang w:val="sr-Cyrl-RS" w:eastAsia="en-GB"/>
              </w:rPr>
              <w:t>, ЗЗПС, ПЗЗП</w:t>
            </w:r>
          </w:p>
        </w:tc>
        <w:tc>
          <w:tcPr>
            <w:tcW w:w="1182" w:type="dxa"/>
            <w:tcBorders>
              <w:top w:val="nil"/>
              <w:left w:val="nil"/>
              <w:bottom w:val="single" w:sz="8" w:space="0" w:color="auto"/>
              <w:right w:val="single" w:sz="8" w:space="0" w:color="auto"/>
            </w:tcBorders>
            <w:hideMark/>
          </w:tcPr>
          <w:p w14:paraId="6C588D6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 квартал 2028. </w:t>
            </w:r>
          </w:p>
        </w:tc>
        <w:tc>
          <w:tcPr>
            <w:tcW w:w="1399" w:type="dxa"/>
            <w:tcBorders>
              <w:top w:val="nil"/>
              <w:left w:val="nil"/>
              <w:bottom w:val="single" w:sz="8" w:space="0" w:color="auto"/>
              <w:right w:val="single" w:sz="8" w:space="0" w:color="auto"/>
            </w:tcBorders>
            <w:hideMark/>
          </w:tcPr>
          <w:p w14:paraId="1C349137"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27B3AFD7" w14:textId="77777777" w:rsidR="00F47AD6" w:rsidRPr="00EF2F18" w:rsidRDefault="00F47AD6" w:rsidP="00752CA0">
            <w:pPr>
              <w:spacing w:after="0"/>
              <w:rPr>
                <w:rFonts w:eastAsia="Times New Roman" w:cs="Times New Roman"/>
                <w:color w:val="000000"/>
                <w:sz w:val="20"/>
                <w:szCs w:val="20"/>
                <w:lang w:val="sr-Cyrl-RS" w:eastAsia="en-GB"/>
              </w:rPr>
            </w:pPr>
          </w:p>
        </w:tc>
        <w:tc>
          <w:tcPr>
            <w:tcW w:w="1389" w:type="dxa"/>
            <w:tcBorders>
              <w:top w:val="nil"/>
              <w:left w:val="nil"/>
              <w:bottom w:val="single" w:sz="8" w:space="0" w:color="auto"/>
              <w:right w:val="single" w:sz="8" w:space="0" w:color="auto"/>
            </w:tcBorders>
          </w:tcPr>
          <w:p w14:paraId="0FF34E60" w14:textId="7A5933FA" w:rsidR="00F47AD6" w:rsidRPr="00EF2F18" w:rsidRDefault="00F47AD6"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04126AEE" w14:textId="149D8738"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519CECD3" w14:textId="2BE1E867"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0A856753" w14:textId="77777777" w:rsidTr="00F47AD6">
        <w:trPr>
          <w:trHeight w:val="1068"/>
        </w:trPr>
        <w:tc>
          <w:tcPr>
            <w:tcW w:w="3040" w:type="dxa"/>
            <w:tcBorders>
              <w:top w:val="nil"/>
              <w:left w:val="double" w:sz="6" w:space="0" w:color="auto"/>
              <w:bottom w:val="single" w:sz="8" w:space="0" w:color="auto"/>
              <w:right w:val="single" w:sz="8" w:space="0" w:color="auto"/>
            </w:tcBorders>
            <w:hideMark/>
          </w:tcPr>
          <w:p w14:paraId="16B3B58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4.2.1.2. Континуирана едукација запослених у сектору шумарства кроз активности Коморе инжењера шумарства</w:t>
            </w:r>
          </w:p>
        </w:tc>
        <w:tc>
          <w:tcPr>
            <w:tcW w:w="1274" w:type="dxa"/>
            <w:tcBorders>
              <w:top w:val="nil"/>
              <w:left w:val="nil"/>
              <w:bottom w:val="single" w:sz="8" w:space="0" w:color="auto"/>
              <w:right w:val="single" w:sz="8" w:space="0" w:color="auto"/>
            </w:tcBorders>
            <w:hideMark/>
          </w:tcPr>
          <w:p w14:paraId="0746FE2B"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33" w:type="dxa"/>
            <w:tcBorders>
              <w:top w:val="nil"/>
              <w:left w:val="nil"/>
              <w:bottom w:val="single" w:sz="8" w:space="0" w:color="auto"/>
              <w:right w:val="single" w:sz="8" w:space="0" w:color="auto"/>
            </w:tcBorders>
            <w:hideMark/>
          </w:tcPr>
          <w:p w14:paraId="4991651A"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Управа за шуме, Комора инжењера шумарства</w:t>
            </w:r>
          </w:p>
        </w:tc>
        <w:tc>
          <w:tcPr>
            <w:tcW w:w="1182" w:type="dxa"/>
            <w:tcBorders>
              <w:top w:val="nil"/>
              <w:left w:val="nil"/>
              <w:bottom w:val="single" w:sz="8" w:space="0" w:color="auto"/>
              <w:right w:val="single" w:sz="8" w:space="0" w:color="auto"/>
            </w:tcBorders>
            <w:hideMark/>
          </w:tcPr>
          <w:p w14:paraId="69E07A1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399" w:type="dxa"/>
            <w:tcBorders>
              <w:top w:val="nil"/>
              <w:left w:val="nil"/>
              <w:bottom w:val="single" w:sz="8" w:space="0" w:color="auto"/>
              <w:right w:val="single" w:sz="8" w:space="0" w:color="auto"/>
            </w:tcBorders>
            <w:hideMark/>
          </w:tcPr>
          <w:p w14:paraId="63B9013F" w14:textId="29C94BA5"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single" w:sz="8" w:space="0" w:color="auto"/>
              <w:right w:val="single" w:sz="8" w:space="0" w:color="auto"/>
            </w:tcBorders>
            <w:hideMark/>
          </w:tcPr>
          <w:p w14:paraId="55BD467C" w14:textId="77777777" w:rsidR="00F47AD6" w:rsidRPr="00EF2F18" w:rsidRDefault="001503A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0106-420-0002-451</w:t>
            </w:r>
          </w:p>
          <w:p w14:paraId="4B71CADE" w14:textId="7F869FB4" w:rsidR="001503AB" w:rsidRPr="00EF2F18" w:rsidRDefault="001503AB" w:rsidP="00752CA0">
            <w:pPr>
              <w:spacing w:after="0"/>
              <w:rPr>
                <w:rFonts w:eastAsia="Times New Roman" w:cs="Times New Roman"/>
                <w:color w:val="000000"/>
                <w:sz w:val="20"/>
                <w:szCs w:val="20"/>
                <w:lang w:val="sr-Cyrl-RS" w:eastAsia="en-GB"/>
              </w:rPr>
            </w:pPr>
          </w:p>
        </w:tc>
        <w:tc>
          <w:tcPr>
            <w:tcW w:w="1389" w:type="dxa"/>
            <w:tcBorders>
              <w:top w:val="nil"/>
              <w:left w:val="nil"/>
              <w:bottom w:val="single" w:sz="8" w:space="0" w:color="auto"/>
              <w:right w:val="single" w:sz="8" w:space="0" w:color="auto"/>
            </w:tcBorders>
          </w:tcPr>
          <w:p w14:paraId="5AC5583A" w14:textId="77777777" w:rsidR="00F47AD6" w:rsidRPr="00EF2F18" w:rsidRDefault="001503A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p w14:paraId="47AB8EA2" w14:textId="3D87E384" w:rsidR="001503AB" w:rsidRPr="00EF2F18" w:rsidRDefault="001503AB" w:rsidP="001503AB">
            <w:pPr>
              <w:spacing w:after="0"/>
              <w:jc w:val="center"/>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1B8BC155" w14:textId="2FA72180" w:rsidR="00F47AD6" w:rsidRPr="00EF2F18" w:rsidRDefault="001503A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tc>
        <w:tc>
          <w:tcPr>
            <w:tcW w:w="1530" w:type="dxa"/>
            <w:tcBorders>
              <w:top w:val="nil"/>
              <w:left w:val="nil"/>
              <w:bottom w:val="single" w:sz="8" w:space="0" w:color="auto"/>
              <w:right w:val="double" w:sz="6" w:space="0" w:color="auto"/>
            </w:tcBorders>
          </w:tcPr>
          <w:p w14:paraId="5B84A39B" w14:textId="3AB112C1" w:rsidR="00F47AD6" w:rsidRPr="00EF2F18" w:rsidRDefault="001503A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tc>
      </w:tr>
      <w:tr w:rsidR="00F47AD6" w:rsidRPr="00EF2F18" w14:paraId="5E799122" w14:textId="77777777" w:rsidTr="00F47AD6">
        <w:trPr>
          <w:trHeight w:val="547"/>
        </w:trPr>
        <w:tc>
          <w:tcPr>
            <w:tcW w:w="3040" w:type="dxa"/>
            <w:tcBorders>
              <w:top w:val="nil"/>
              <w:left w:val="double" w:sz="6" w:space="0" w:color="auto"/>
              <w:bottom w:val="double" w:sz="6" w:space="0" w:color="auto"/>
              <w:right w:val="single" w:sz="8" w:space="0" w:color="auto"/>
            </w:tcBorders>
            <w:hideMark/>
          </w:tcPr>
          <w:p w14:paraId="3AD991DA"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4.2.1.3. Спровођење јавне едукације сопственика шума</w:t>
            </w:r>
          </w:p>
        </w:tc>
        <w:tc>
          <w:tcPr>
            <w:tcW w:w="1274" w:type="dxa"/>
            <w:tcBorders>
              <w:top w:val="nil"/>
              <w:left w:val="nil"/>
              <w:bottom w:val="double" w:sz="6" w:space="0" w:color="auto"/>
              <w:right w:val="single" w:sz="8" w:space="0" w:color="auto"/>
            </w:tcBorders>
            <w:hideMark/>
          </w:tcPr>
          <w:p w14:paraId="47BD229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33" w:type="dxa"/>
            <w:tcBorders>
              <w:top w:val="nil"/>
              <w:left w:val="nil"/>
              <w:bottom w:val="double" w:sz="6" w:space="0" w:color="auto"/>
              <w:right w:val="single" w:sz="8" w:space="0" w:color="auto"/>
            </w:tcBorders>
            <w:hideMark/>
          </w:tcPr>
          <w:p w14:paraId="3DE52F95"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МЗЖС, Управа за шуме, Удружења приватних </w:t>
            </w:r>
            <w:r w:rsidRPr="00B12C9F">
              <w:rPr>
                <w:rFonts w:eastAsia="Times New Roman" w:cs="Times New Roman"/>
                <w:color w:val="000000"/>
                <w:sz w:val="16"/>
                <w:szCs w:val="16"/>
                <w:lang w:val="sr-Cyrl-RS" w:eastAsia="en-GB"/>
              </w:rPr>
              <w:t>шумовласника</w:t>
            </w:r>
          </w:p>
        </w:tc>
        <w:tc>
          <w:tcPr>
            <w:tcW w:w="1182" w:type="dxa"/>
            <w:tcBorders>
              <w:top w:val="nil"/>
              <w:left w:val="nil"/>
              <w:bottom w:val="double" w:sz="6" w:space="0" w:color="auto"/>
              <w:right w:val="single" w:sz="8" w:space="0" w:color="auto"/>
            </w:tcBorders>
            <w:hideMark/>
          </w:tcPr>
          <w:p w14:paraId="1C5F4577"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399" w:type="dxa"/>
            <w:tcBorders>
              <w:top w:val="nil"/>
              <w:left w:val="nil"/>
              <w:bottom w:val="double" w:sz="6" w:space="0" w:color="auto"/>
              <w:right w:val="single" w:sz="8" w:space="0" w:color="auto"/>
            </w:tcBorders>
            <w:hideMark/>
          </w:tcPr>
          <w:p w14:paraId="0DF8B402" w14:textId="218157C3"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double" w:sz="6" w:space="0" w:color="auto"/>
              <w:right w:val="single" w:sz="8" w:space="0" w:color="auto"/>
            </w:tcBorders>
            <w:hideMark/>
          </w:tcPr>
          <w:p w14:paraId="191E7909" w14:textId="22D1F345" w:rsidR="00F47AD6" w:rsidRPr="00EF2F18" w:rsidRDefault="001503A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0106-420-0002-451</w:t>
            </w:r>
          </w:p>
        </w:tc>
        <w:tc>
          <w:tcPr>
            <w:tcW w:w="1389" w:type="dxa"/>
            <w:tcBorders>
              <w:top w:val="nil"/>
              <w:left w:val="nil"/>
              <w:bottom w:val="double" w:sz="6" w:space="0" w:color="auto"/>
              <w:right w:val="single" w:sz="8" w:space="0" w:color="auto"/>
            </w:tcBorders>
          </w:tcPr>
          <w:p w14:paraId="05EE9B4F" w14:textId="52B8C282" w:rsidR="00F47AD6" w:rsidRPr="00EF2F18" w:rsidRDefault="00F47AD6"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double" w:sz="6" w:space="0" w:color="auto"/>
              <w:right w:val="single" w:sz="8" w:space="0" w:color="auto"/>
            </w:tcBorders>
          </w:tcPr>
          <w:p w14:paraId="2DC8E8FC" w14:textId="086B0ABE" w:rsidR="00F47AD6" w:rsidRPr="00EF2F18" w:rsidRDefault="001503A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c>
          <w:tcPr>
            <w:tcW w:w="1530" w:type="dxa"/>
            <w:tcBorders>
              <w:top w:val="nil"/>
              <w:left w:val="nil"/>
              <w:bottom w:val="double" w:sz="6" w:space="0" w:color="auto"/>
              <w:right w:val="double" w:sz="6" w:space="0" w:color="auto"/>
            </w:tcBorders>
          </w:tcPr>
          <w:p w14:paraId="0F9EE9BC" w14:textId="7EA181C0" w:rsidR="00F47AD6" w:rsidRPr="00EF2F18" w:rsidRDefault="001503A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r>
    </w:tbl>
    <w:p w14:paraId="78C1BC42" w14:textId="77777777" w:rsidR="007D7243" w:rsidRPr="00EF2F18" w:rsidRDefault="007D7243" w:rsidP="007D7243">
      <w:pPr>
        <w:spacing w:after="0"/>
        <w:rPr>
          <w:rFonts w:cs="Times New Roman"/>
          <w:sz w:val="20"/>
          <w:szCs w:val="20"/>
          <w:lang w:val="sr-Cyrl-RS"/>
        </w:rPr>
      </w:pPr>
    </w:p>
    <w:tbl>
      <w:tblPr>
        <w:tblW w:w="137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1000"/>
        <w:gridCol w:w="1520"/>
        <w:gridCol w:w="1377"/>
        <w:gridCol w:w="1170"/>
        <w:gridCol w:w="1800"/>
      </w:tblGrid>
      <w:tr w:rsidR="007D7243" w:rsidRPr="00EF2F18" w14:paraId="75A93512" w14:textId="77777777" w:rsidTr="00F47AD6">
        <w:trPr>
          <w:trHeight w:val="336"/>
        </w:trPr>
        <w:tc>
          <w:tcPr>
            <w:tcW w:w="13747" w:type="dxa"/>
            <w:gridSpan w:val="9"/>
            <w:shd w:val="clear" w:color="000000" w:fill="F7CAAC"/>
            <w:hideMark/>
          </w:tcPr>
          <w:p w14:paraId="3B603A4B" w14:textId="77777777" w:rsidR="007D7243" w:rsidRPr="00EF2F18" w:rsidRDefault="007D7243" w:rsidP="00752CA0">
            <w:pPr>
              <w:spacing w:after="0"/>
              <w:rPr>
                <w:rFonts w:eastAsia="Times New Roman" w:cs="Times New Roman"/>
                <w:b/>
                <w:bCs/>
                <w:color w:val="000000"/>
                <w:sz w:val="20"/>
                <w:szCs w:val="20"/>
                <w:lang w:val="sr-Cyrl-RS" w:eastAsia="en-GB"/>
              </w:rPr>
            </w:pPr>
            <w:bookmarkStart w:id="175" w:name="RANGE!A199"/>
            <w:r w:rsidRPr="00EF2F18">
              <w:rPr>
                <w:rFonts w:eastAsia="Times New Roman" w:cs="Times New Roman"/>
                <w:b/>
                <w:bCs/>
                <w:color w:val="000000"/>
                <w:sz w:val="20"/>
                <w:szCs w:val="20"/>
                <w:lang w:val="sr-Cyrl-RS" w:eastAsia="en-GB"/>
              </w:rPr>
              <w:t xml:space="preserve">Мера 4.2.2: Развој најбоље праксе одрживог управљања популацијама дивљачи у ловиштима и осталим ресурсима у ловству </w:t>
            </w:r>
            <w:bookmarkEnd w:id="175"/>
          </w:p>
        </w:tc>
      </w:tr>
      <w:tr w:rsidR="007D7243" w:rsidRPr="00EF2F18" w14:paraId="1C673BCE" w14:textId="77777777" w:rsidTr="00F47AD6">
        <w:trPr>
          <w:trHeight w:val="336"/>
        </w:trPr>
        <w:tc>
          <w:tcPr>
            <w:tcW w:w="13747" w:type="dxa"/>
            <w:gridSpan w:val="9"/>
            <w:shd w:val="clear" w:color="000000" w:fill="F7CAAC"/>
            <w:hideMark/>
          </w:tcPr>
          <w:p w14:paraId="7765EDF8" w14:textId="441D7B5A"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w:t>
            </w:r>
            <w:r w:rsidR="005C45F8">
              <w:rPr>
                <w:rFonts w:eastAsia="Times New Roman" w:cs="Times New Roman"/>
                <w:color w:val="000000"/>
                <w:sz w:val="20"/>
                <w:szCs w:val="20"/>
                <w:lang w:val="sr-Cyrl-RS" w:eastAsia="en-GB"/>
              </w:rPr>
              <w:t>ољопривреде, шумарства и водопри</w:t>
            </w:r>
            <w:r w:rsidRPr="00EF2F18">
              <w:rPr>
                <w:rFonts w:eastAsia="Times New Roman" w:cs="Times New Roman"/>
                <w:color w:val="000000"/>
                <w:sz w:val="20"/>
                <w:szCs w:val="20"/>
                <w:lang w:val="sr-Cyrl-RS" w:eastAsia="en-GB"/>
              </w:rPr>
              <w:t>вреде – Управа за шуме</w:t>
            </w:r>
          </w:p>
        </w:tc>
      </w:tr>
      <w:tr w:rsidR="007D7243" w:rsidRPr="00EF2F18" w14:paraId="3CE001B3" w14:textId="77777777" w:rsidTr="00F47AD6">
        <w:trPr>
          <w:trHeight w:val="336"/>
        </w:trPr>
        <w:tc>
          <w:tcPr>
            <w:tcW w:w="6880" w:type="dxa"/>
            <w:gridSpan w:val="4"/>
            <w:shd w:val="clear" w:color="000000" w:fill="F7CAAC"/>
            <w:hideMark/>
          </w:tcPr>
          <w:p w14:paraId="3F6E194A" w14:textId="5B0ED1DE"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F47AD6"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867" w:type="dxa"/>
            <w:gridSpan w:val="5"/>
            <w:shd w:val="clear" w:color="000000" w:fill="F7CAAC"/>
            <w:hideMark/>
          </w:tcPr>
          <w:p w14:paraId="7DCD0259"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01A3F806" w14:textId="77777777" w:rsidTr="00F47AD6">
        <w:trPr>
          <w:trHeight w:val="336"/>
        </w:trPr>
        <w:tc>
          <w:tcPr>
            <w:tcW w:w="6880" w:type="dxa"/>
            <w:gridSpan w:val="4"/>
            <w:shd w:val="clear" w:color="000000" w:fill="F7CAAC"/>
            <w:hideMark/>
          </w:tcPr>
          <w:p w14:paraId="78AE031F"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867" w:type="dxa"/>
            <w:gridSpan w:val="5"/>
            <w:shd w:val="clear" w:color="000000" w:fill="F7CAAC"/>
            <w:hideMark/>
          </w:tcPr>
          <w:p w14:paraId="46BAA6F6" w14:textId="4E637D6E" w:rsidR="007D7243" w:rsidRPr="00EF2F18" w:rsidRDefault="007D7243" w:rsidP="00752CA0">
            <w:pPr>
              <w:spacing w:after="0"/>
              <w:ind w:firstLineChars="500" w:firstLine="1000"/>
              <w:rPr>
                <w:rFonts w:ascii="Symbol" w:eastAsia="Times New Roman" w:hAnsi="Symbol" w:cs="Times New Roman"/>
                <w:color w:val="000000"/>
                <w:sz w:val="20"/>
                <w:szCs w:val="20"/>
                <w:lang w:val="sr-Cyrl-RS" w:eastAsia="en-GB"/>
              </w:rPr>
            </w:pPr>
            <w:r w:rsidRPr="00EF2F18">
              <w:rPr>
                <w:rFonts w:ascii="Symbol" w:eastAsia="Times New Roman" w:hAnsi="Symbol" w:cs="Times New Roman"/>
                <w:color w:val="000000"/>
                <w:sz w:val="20"/>
                <w:szCs w:val="20"/>
                <w:lang w:val="sr-Cyrl-RS" w:eastAsia="en-GB"/>
              </w:rPr>
              <w:t></w:t>
            </w:r>
            <w:r w:rsidR="00FA7222" w:rsidRPr="00EF2F18">
              <w:rPr>
                <w:rFonts w:eastAsia="Times New Roman" w:cs="Times New Roman"/>
                <w:color w:val="000000"/>
                <w:sz w:val="14"/>
                <w:szCs w:val="14"/>
                <w:lang w:val="sr-Cyrl-RS" w:eastAsia="en-GB"/>
              </w:rPr>
              <w:t xml:space="preserve">  </w:t>
            </w:r>
            <w:r w:rsidRPr="00EF2F18">
              <w:rPr>
                <w:rFonts w:eastAsia="Times New Roman" w:cs="Times New Roman"/>
                <w:color w:val="000000"/>
                <w:sz w:val="20"/>
                <w:szCs w:val="20"/>
                <w:lang w:val="sr-Cyrl-RS" w:eastAsia="en-GB"/>
              </w:rPr>
              <w:t>Закон о дивљачи и ловству</w:t>
            </w:r>
          </w:p>
        </w:tc>
      </w:tr>
      <w:tr w:rsidR="00F47AD6" w:rsidRPr="00EF2F18" w14:paraId="33A7C501" w14:textId="77777777" w:rsidTr="00F47AD6">
        <w:trPr>
          <w:trHeight w:val="816"/>
        </w:trPr>
        <w:tc>
          <w:tcPr>
            <w:tcW w:w="3320" w:type="dxa"/>
            <w:shd w:val="clear" w:color="000000" w:fill="D9D9D9"/>
            <w:hideMark/>
          </w:tcPr>
          <w:p w14:paraId="01E71867" w14:textId="26299329" w:rsidR="00F47AD6" w:rsidRPr="00EF2F18" w:rsidRDefault="00F47AD6" w:rsidP="000D4ECA">
            <w:pPr>
              <w:spacing w:after="0"/>
              <w:jc w:val="center"/>
              <w:rPr>
                <w:rFonts w:eastAsia="Times New Roman" w:cs="Times New Roman"/>
                <w:i/>
                <w:iCs/>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p w14:paraId="4D731C69" w14:textId="77777777" w:rsidR="00F47AD6" w:rsidRPr="00EF2F18" w:rsidRDefault="00F47AD6" w:rsidP="00752CA0">
            <w:pPr>
              <w:spacing w:after="0"/>
              <w:jc w:val="center"/>
              <w:rPr>
                <w:rFonts w:eastAsia="Times New Roman" w:cs="Times New Roman"/>
                <w:i/>
                <w:iCs/>
                <w:color w:val="000000"/>
                <w:sz w:val="20"/>
                <w:szCs w:val="20"/>
                <w:lang w:val="sr-Cyrl-RS" w:eastAsia="en-GB"/>
              </w:rPr>
            </w:pPr>
          </w:p>
          <w:p w14:paraId="0A6EAAB1" w14:textId="77777777" w:rsidR="00F47AD6" w:rsidRPr="00EF2F18" w:rsidRDefault="00F47AD6" w:rsidP="00752CA0">
            <w:pPr>
              <w:spacing w:after="0"/>
              <w:jc w:val="center"/>
              <w:rPr>
                <w:rFonts w:eastAsia="Times New Roman" w:cs="Times New Roman"/>
                <w:color w:val="000000"/>
                <w:sz w:val="20"/>
                <w:szCs w:val="20"/>
                <w:lang w:val="sr-Cyrl-RS" w:eastAsia="en-GB"/>
              </w:rPr>
            </w:pPr>
          </w:p>
        </w:tc>
        <w:tc>
          <w:tcPr>
            <w:tcW w:w="1280" w:type="dxa"/>
            <w:shd w:val="clear" w:color="000000" w:fill="D9D9D9"/>
            <w:hideMark/>
          </w:tcPr>
          <w:p w14:paraId="5296F7BB"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shd w:val="clear" w:color="000000" w:fill="D9D9D9"/>
            <w:hideMark/>
          </w:tcPr>
          <w:p w14:paraId="04AAA574"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shd w:val="clear" w:color="000000" w:fill="D9D9D9"/>
            <w:hideMark/>
          </w:tcPr>
          <w:p w14:paraId="219A0D23"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shd w:val="clear" w:color="000000" w:fill="D9D9D9"/>
            <w:hideMark/>
          </w:tcPr>
          <w:p w14:paraId="2DF6C1D2"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377" w:type="dxa"/>
            <w:shd w:val="clear" w:color="000000" w:fill="D9D9D9"/>
            <w:hideMark/>
          </w:tcPr>
          <w:p w14:paraId="4E840E54"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170" w:type="dxa"/>
            <w:shd w:val="clear" w:color="000000" w:fill="D9D9D9"/>
            <w:hideMark/>
          </w:tcPr>
          <w:p w14:paraId="3B2678DE"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shd w:val="clear" w:color="000000" w:fill="D9D9D9"/>
            <w:hideMark/>
          </w:tcPr>
          <w:p w14:paraId="4DF7BA02"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47AD6" w:rsidRPr="00EF2F18" w14:paraId="290295DD" w14:textId="77777777" w:rsidTr="00F47AD6">
        <w:trPr>
          <w:trHeight w:val="664"/>
        </w:trPr>
        <w:tc>
          <w:tcPr>
            <w:tcW w:w="3320" w:type="dxa"/>
          </w:tcPr>
          <w:p w14:paraId="463D8EE1" w14:textId="5F4BD183"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Унапређен мониторинг популација ловних врста дивљачи</w:t>
            </w:r>
          </w:p>
        </w:tc>
        <w:tc>
          <w:tcPr>
            <w:tcW w:w="1280" w:type="dxa"/>
          </w:tcPr>
          <w:p w14:paraId="429F2D92" w14:textId="7AB16B6C"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не/да</w:t>
            </w:r>
          </w:p>
        </w:tc>
        <w:tc>
          <w:tcPr>
            <w:tcW w:w="1280" w:type="dxa"/>
          </w:tcPr>
          <w:p w14:paraId="6FA42017" w14:textId="03731077" w:rsidR="00F47AD6" w:rsidRPr="00EF2F18" w:rsidRDefault="00F47AD6" w:rsidP="000D4ECA">
            <w:pPr>
              <w:spacing w:after="0"/>
              <w:jc w:val="center"/>
              <w:rPr>
                <w:rFonts w:eastAsia="Times New Roman" w:cs="Times New Roman"/>
                <w:color w:val="000000"/>
                <w:sz w:val="20"/>
                <w:szCs w:val="20"/>
                <w:highlight w:val="cyan"/>
                <w:lang w:val="sr-Cyrl-RS" w:eastAsia="en-GB"/>
              </w:rPr>
            </w:pPr>
            <w:r w:rsidRPr="00EF2F18">
              <w:rPr>
                <w:rFonts w:eastAsia="Times New Roman" w:cs="Times New Roman"/>
                <w:color w:val="000000"/>
                <w:sz w:val="20"/>
                <w:szCs w:val="20"/>
                <w:lang w:val="sr-Cyrl-RS" w:eastAsia="en-GB"/>
              </w:rPr>
              <w:t>Управа за шуме</w:t>
            </w:r>
          </w:p>
        </w:tc>
        <w:tc>
          <w:tcPr>
            <w:tcW w:w="2000" w:type="dxa"/>
            <w:gridSpan w:val="2"/>
          </w:tcPr>
          <w:p w14:paraId="066FFB55" w14:textId="704B4D04"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520" w:type="dxa"/>
          </w:tcPr>
          <w:p w14:paraId="1109B1CA" w14:textId="13D67D9B" w:rsidR="00F47AD6" w:rsidRPr="00EF2F18" w:rsidRDefault="00F47AD6" w:rsidP="000D4ECA">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2024.</w:t>
            </w:r>
          </w:p>
        </w:tc>
        <w:tc>
          <w:tcPr>
            <w:tcW w:w="1377" w:type="dxa"/>
          </w:tcPr>
          <w:p w14:paraId="67BBF9E9" w14:textId="7BA73F3E" w:rsidR="00F47AD6" w:rsidRPr="00EF2F18" w:rsidRDefault="00F47AD6" w:rsidP="000D4ECA">
            <w:pPr>
              <w:spacing w:after="0"/>
              <w:jc w:val="center"/>
              <w:rPr>
                <w:rFonts w:eastAsia="Times New Roman" w:cs="Times New Roman"/>
                <w:color w:val="000000"/>
                <w:sz w:val="20"/>
                <w:szCs w:val="20"/>
                <w:highlight w:val="red"/>
                <w:lang w:val="sr-Cyrl-RS" w:eastAsia="en-GB"/>
              </w:rPr>
            </w:pPr>
            <w:r w:rsidRPr="00EF2F18">
              <w:rPr>
                <w:rFonts w:eastAsia="Times New Roman" w:cs="Times New Roman"/>
                <w:color w:val="000000"/>
                <w:sz w:val="20"/>
                <w:szCs w:val="20"/>
                <w:lang w:val="sr-Cyrl-RS" w:eastAsia="en-GB"/>
              </w:rPr>
              <w:t>не</w:t>
            </w:r>
          </w:p>
        </w:tc>
        <w:tc>
          <w:tcPr>
            <w:tcW w:w="1170" w:type="dxa"/>
          </w:tcPr>
          <w:p w14:paraId="316F5B0D" w14:textId="5A3223AF" w:rsidR="00F47AD6" w:rsidRPr="00EF2F18" w:rsidRDefault="00F47AD6" w:rsidP="000D4ECA">
            <w:pPr>
              <w:spacing w:after="0"/>
              <w:jc w:val="center"/>
              <w:rPr>
                <w:rFonts w:eastAsia="Times New Roman" w:cs="Times New Roman"/>
                <w:color w:val="000000"/>
                <w:sz w:val="20"/>
                <w:szCs w:val="20"/>
                <w:highlight w:val="red"/>
                <w:lang w:val="sr-Cyrl-RS" w:eastAsia="en-GB"/>
              </w:rPr>
            </w:pPr>
            <w:r w:rsidRPr="00EF2F18">
              <w:rPr>
                <w:rFonts w:eastAsia="Times New Roman" w:cs="Times New Roman"/>
                <w:color w:val="000000"/>
                <w:sz w:val="20"/>
                <w:szCs w:val="20"/>
                <w:lang w:val="sr-Cyrl-RS" w:eastAsia="en-GB"/>
              </w:rPr>
              <w:t>не</w:t>
            </w:r>
          </w:p>
        </w:tc>
        <w:tc>
          <w:tcPr>
            <w:tcW w:w="1800" w:type="dxa"/>
          </w:tcPr>
          <w:p w14:paraId="0E568A41" w14:textId="508FDBA5" w:rsidR="00F47AD6" w:rsidRPr="00EF2F18" w:rsidRDefault="00F47AD6" w:rsidP="000D4ECA">
            <w:pPr>
              <w:spacing w:after="0"/>
              <w:jc w:val="center"/>
              <w:rPr>
                <w:rFonts w:eastAsia="Times New Roman" w:cs="Times New Roman"/>
                <w:color w:val="000000"/>
                <w:sz w:val="20"/>
                <w:szCs w:val="20"/>
                <w:highlight w:val="red"/>
                <w:lang w:val="sr-Cyrl-RS" w:eastAsia="en-GB"/>
              </w:rPr>
            </w:pPr>
            <w:r w:rsidRPr="00EF2F18">
              <w:rPr>
                <w:rFonts w:eastAsia="Times New Roman" w:cs="Times New Roman"/>
                <w:color w:val="000000"/>
                <w:sz w:val="20"/>
                <w:szCs w:val="20"/>
                <w:lang w:val="sr-Cyrl-RS" w:eastAsia="en-GB"/>
              </w:rPr>
              <w:t>да</w:t>
            </w:r>
          </w:p>
        </w:tc>
      </w:tr>
    </w:tbl>
    <w:p w14:paraId="193E0EF6" w14:textId="77777777" w:rsidR="007D7243" w:rsidRPr="00EF2F18" w:rsidRDefault="007D7243" w:rsidP="007D7243">
      <w:pPr>
        <w:spacing w:after="0"/>
        <w:rPr>
          <w:rFonts w:cs="Times New Roman"/>
          <w:sz w:val="20"/>
          <w:szCs w:val="20"/>
          <w:lang w:val="sr-Cyrl-RS"/>
        </w:rPr>
      </w:pPr>
    </w:p>
    <w:p w14:paraId="54A3CC89" w14:textId="77777777" w:rsidR="00E15FD4" w:rsidRPr="00EF2F18" w:rsidRDefault="00E15FD4" w:rsidP="007D7243">
      <w:pPr>
        <w:spacing w:after="0"/>
        <w:rPr>
          <w:rFonts w:cs="Times New Roman"/>
          <w:sz w:val="20"/>
          <w:szCs w:val="20"/>
          <w:lang w:val="sr-Cyrl-RS"/>
        </w:rPr>
      </w:pPr>
    </w:p>
    <w:p w14:paraId="39ED8995" w14:textId="77777777" w:rsidR="00E15FD4" w:rsidRPr="00EF2F18" w:rsidRDefault="00E15FD4" w:rsidP="007D7243">
      <w:pPr>
        <w:spacing w:after="0"/>
        <w:rPr>
          <w:rFonts w:cs="Times New Roman"/>
          <w:sz w:val="20"/>
          <w:szCs w:val="20"/>
          <w:lang w:val="sr-Cyrl-RS"/>
        </w:rPr>
      </w:pPr>
    </w:p>
    <w:p w14:paraId="68567880" w14:textId="77777777" w:rsidR="00E15FD4" w:rsidRPr="00EF2F18" w:rsidRDefault="00E15FD4" w:rsidP="007D7243">
      <w:pPr>
        <w:spacing w:after="0"/>
        <w:rPr>
          <w:rFonts w:cs="Times New Roman"/>
          <w:sz w:val="20"/>
          <w:szCs w:val="20"/>
          <w:lang w:val="sr-Cyrl-RS"/>
        </w:rPr>
      </w:pPr>
    </w:p>
    <w:tbl>
      <w:tblPr>
        <w:tblW w:w="13747" w:type="dxa"/>
        <w:tblLook w:val="04A0" w:firstRow="1" w:lastRow="0" w:firstColumn="1" w:lastColumn="0" w:noHBand="0" w:noVBand="1"/>
      </w:tblPr>
      <w:tblGrid>
        <w:gridCol w:w="3946"/>
        <w:gridCol w:w="2480"/>
        <w:gridCol w:w="2191"/>
        <w:gridCol w:w="2340"/>
        <w:gridCol w:w="2790"/>
      </w:tblGrid>
      <w:tr w:rsidR="007D7243" w:rsidRPr="00EF2F18" w14:paraId="7D21AEC6" w14:textId="77777777" w:rsidTr="00F47AD6">
        <w:trPr>
          <w:trHeight w:val="336"/>
        </w:trPr>
        <w:tc>
          <w:tcPr>
            <w:tcW w:w="394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CD0A73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BABDD7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21" w:type="dxa"/>
            <w:gridSpan w:val="3"/>
            <w:tcBorders>
              <w:top w:val="double" w:sz="6" w:space="0" w:color="auto"/>
              <w:left w:val="nil"/>
              <w:bottom w:val="double" w:sz="6" w:space="0" w:color="auto"/>
              <w:right w:val="double" w:sz="6" w:space="0" w:color="auto"/>
            </w:tcBorders>
            <w:shd w:val="clear" w:color="000000" w:fill="A8D08D"/>
            <w:hideMark/>
          </w:tcPr>
          <w:p w14:paraId="3B5D15F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47AD6" w:rsidRPr="00EF2F18" w14:paraId="4D1096FF" w14:textId="77777777" w:rsidTr="00F47AD6">
        <w:trPr>
          <w:trHeight w:val="336"/>
        </w:trPr>
        <w:tc>
          <w:tcPr>
            <w:tcW w:w="3946" w:type="dxa"/>
            <w:vMerge/>
            <w:tcBorders>
              <w:top w:val="double" w:sz="6" w:space="0" w:color="auto"/>
              <w:left w:val="double" w:sz="6" w:space="0" w:color="auto"/>
              <w:bottom w:val="single" w:sz="8" w:space="0" w:color="000000"/>
              <w:right w:val="double" w:sz="6" w:space="0" w:color="auto"/>
            </w:tcBorders>
            <w:hideMark/>
          </w:tcPr>
          <w:p w14:paraId="103AEBA7" w14:textId="77777777" w:rsidR="00F47AD6" w:rsidRPr="00EF2F18" w:rsidRDefault="00F47AD6"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hideMark/>
          </w:tcPr>
          <w:p w14:paraId="3F6F13C0" w14:textId="77777777" w:rsidR="00F47AD6" w:rsidRPr="00EF2F18" w:rsidRDefault="00F47AD6" w:rsidP="00752CA0">
            <w:pPr>
              <w:spacing w:after="0"/>
              <w:rPr>
                <w:rFonts w:eastAsia="Times New Roman" w:cs="Times New Roman"/>
                <w:color w:val="000000"/>
                <w:sz w:val="20"/>
                <w:szCs w:val="20"/>
                <w:lang w:val="sr-Cyrl-RS" w:eastAsia="en-GB"/>
              </w:rPr>
            </w:pPr>
          </w:p>
        </w:tc>
        <w:tc>
          <w:tcPr>
            <w:tcW w:w="2191" w:type="dxa"/>
            <w:tcBorders>
              <w:top w:val="nil"/>
              <w:left w:val="nil"/>
              <w:bottom w:val="double" w:sz="6" w:space="0" w:color="auto"/>
              <w:right w:val="double" w:sz="6" w:space="0" w:color="auto"/>
            </w:tcBorders>
            <w:shd w:val="clear" w:color="000000" w:fill="A8D08D"/>
            <w:hideMark/>
          </w:tcPr>
          <w:p w14:paraId="216CD3CD" w14:textId="6348187A"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340" w:type="dxa"/>
            <w:tcBorders>
              <w:top w:val="nil"/>
              <w:left w:val="nil"/>
              <w:bottom w:val="double" w:sz="6" w:space="0" w:color="auto"/>
              <w:right w:val="double" w:sz="6" w:space="0" w:color="auto"/>
            </w:tcBorders>
            <w:shd w:val="clear" w:color="000000" w:fill="A8D08D"/>
            <w:hideMark/>
          </w:tcPr>
          <w:p w14:paraId="670612B9" w14:textId="2C592AB2"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790" w:type="dxa"/>
            <w:tcBorders>
              <w:top w:val="nil"/>
              <w:left w:val="nil"/>
              <w:bottom w:val="double" w:sz="6" w:space="0" w:color="auto"/>
              <w:right w:val="double" w:sz="6" w:space="0" w:color="auto"/>
            </w:tcBorders>
            <w:shd w:val="clear" w:color="000000" w:fill="A8D08D"/>
            <w:hideMark/>
          </w:tcPr>
          <w:p w14:paraId="6F092656" w14:textId="4DA3E53D"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F47AD6" w:rsidRPr="00EF2F18" w14:paraId="439CF836" w14:textId="77777777" w:rsidTr="00C1286C">
        <w:trPr>
          <w:trHeight w:val="324"/>
        </w:trPr>
        <w:tc>
          <w:tcPr>
            <w:tcW w:w="3946" w:type="dxa"/>
            <w:tcBorders>
              <w:top w:val="nil"/>
              <w:left w:val="double" w:sz="6" w:space="0" w:color="auto"/>
              <w:bottom w:val="double" w:sz="6" w:space="0" w:color="auto"/>
              <w:right w:val="double" w:sz="6" w:space="0" w:color="auto"/>
            </w:tcBorders>
            <w:shd w:val="clear" w:color="000000" w:fill="FFFFFF"/>
            <w:hideMark/>
          </w:tcPr>
          <w:p w14:paraId="3A82F1D3"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(МПВШ)</w:t>
            </w:r>
          </w:p>
          <w:p w14:paraId="107D81E4" w14:textId="7A1098B2" w:rsidR="00761EF2" w:rsidRPr="00EF2F18" w:rsidRDefault="00761EF2" w:rsidP="00752CA0">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shd w:val="clear" w:color="000000" w:fill="FFFFFF"/>
            <w:hideMark/>
          </w:tcPr>
          <w:p w14:paraId="39ECC5B8" w14:textId="77777777" w:rsidR="00F47AD6" w:rsidRPr="00EF2F18" w:rsidRDefault="00F47AD6" w:rsidP="00752CA0">
            <w:pPr>
              <w:spacing w:after="0"/>
              <w:rPr>
                <w:rFonts w:eastAsia="Times New Roman" w:cs="Times New Roman"/>
                <w:color w:val="000000"/>
                <w:sz w:val="20"/>
                <w:szCs w:val="20"/>
                <w:lang w:val="sr-Cyrl-RS" w:eastAsia="en-GB"/>
              </w:rPr>
            </w:pPr>
          </w:p>
        </w:tc>
        <w:tc>
          <w:tcPr>
            <w:tcW w:w="2191" w:type="dxa"/>
            <w:tcBorders>
              <w:top w:val="nil"/>
              <w:left w:val="nil"/>
              <w:bottom w:val="double" w:sz="6" w:space="0" w:color="auto"/>
              <w:right w:val="double" w:sz="6" w:space="0" w:color="auto"/>
            </w:tcBorders>
            <w:shd w:val="clear" w:color="000000" w:fill="FFFFFF"/>
          </w:tcPr>
          <w:p w14:paraId="3C69B1EB" w14:textId="212DC40C" w:rsidR="00F47AD6" w:rsidRPr="00EF2F18" w:rsidRDefault="00F47AD6" w:rsidP="00752CA0">
            <w:pPr>
              <w:spacing w:after="0"/>
              <w:jc w:val="right"/>
              <w:rPr>
                <w:rFonts w:eastAsia="Times New Roman" w:cs="Times New Roman"/>
                <w:color w:val="000000"/>
                <w:sz w:val="20"/>
                <w:szCs w:val="20"/>
                <w:lang w:val="sr-Cyrl-RS" w:eastAsia="en-GB"/>
              </w:rPr>
            </w:pPr>
          </w:p>
        </w:tc>
        <w:tc>
          <w:tcPr>
            <w:tcW w:w="2340" w:type="dxa"/>
            <w:tcBorders>
              <w:top w:val="nil"/>
              <w:left w:val="nil"/>
              <w:bottom w:val="double" w:sz="6" w:space="0" w:color="auto"/>
              <w:right w:val="double" w:sz="6" w:space="0" w:color="auto"/>
            </w:tcBorders>
            <w:shd w:val="clear" w:color="000000" w:fill="FFFFFF"/>
          </w:tcPr>
          <w:p w14:paraId="3DDB604F" w14:textId="14552309" w:rsidR="00F47AD6" w:rsidRPr="00EF2F18" w:rsidRDefault="00F47AD6" w:rsidP="00752CA0">
            <w:pPr>
              <w:spacing w:after="0"/>
              <w:jc w:val="right"/>
              <w:rPr>
                <w:rFonts w:eastAsia="Times New Roman" w:cs="Times New Roman"/>
                <w:color w:val="000000"/>
                <w:sz w:val="20"/>
                <w:szCs w:val="20"/>
                <w:lang w:val="sr-Cyrl-RS" w:eastAsia="en-GB"/>
              </w:rPr>
            </w:pPr>
          </w:p>
        </w:tc>
        <w:tc>
          <w:tcPr>
            <w:tcW w:w="2790" w:type="dxa"/>
            <w:tcBorders>
              <w:top w:val="nil"/>
              <w:left w:val="nil"/>
              <w:bottom w:val="double" w:sz="6" w:space="0" w:color="auto"/>
              <w:right w:val="double" w:sz="6" w:space="0" w:color="auto"/>
            </w:tcBorders>
            <w:shd w:val="clear" w:color="000000" w:fill="FFFFFF"/>
          </w:tcPr>
          <w:p w14:paraId="30EA0C0A" w14:textId="77777777" w:rsidR="00F47AD6" w:rsidRPr="00EF2F18" w:rsidRDefault="00F47AD6" w:rsidP="00752CA0">
            <w:pPr>
              <w:spacing w:after="0"/>
              <w:jc w:val="right"/>
              <w:rPr>
                <w:rFonts w:eastAsia="Times New Roman" w:cs="Times New Roman"/>
                <w:color w:val="000000"/>
                <w:sz w:val="20"/>
                <w:szCs w:val="20"/>
                <w:lang w:val="sr-Cyrl-RS" w:eastAsia="en-GB"/>
              </w:rPr>
            </w:pPr>
          </w:p>
          <w:p w14:paraId="5501C014" w14:textId="77777777" w:rsidR="00761EF2" w:rsidRPr="00EF2F18" w:rsidRDefault="00761EF2" w:rsidP="00752CA0">
            <w:pPr>
              <w:spacing w:after="0"/>
              <w:jc w:val="right"/>
              <w:rPr>
                <w:rFonts w:eastAsia="Times New Roman" w:cs="Times New Roman"/>
                <w:color w:val="000000"/>
                <w:sz w:val="20"/>
                <w:szCs w:val="20"/>
                <w:lang w:val="sr-Cyrl-RS" w:eastAsia="en-GB"/>
              </w:rPr>
            </w:pPr>
          </w:p>
          <w:p w14:paraId="240A8BAC" w14:textId="69BEE218" w:rsidR="00761EF2" w:rsidRPr="00EF2F18" w:rsidRDefault="00761EF2" w:rsidP="00752CA0">
            <w:pPr>
              <w:spacing w:after="0"/>
              <w:jc w:val="right"/>
              <w:rPr>
                <w:rFonts w:eastAsia="Times New Roman" w:cs="Times New Roman"/>
                <w:color w:val="000000"/>
                <w:sz w:val="20"/>
                <w:szCs w:val="20"/>
                <w:lang w:val="sr-Cyrl-RS" w:eastAsia="en-GB"/>
              </w:rPr>
            </w:pPr>
          </w:p>
        </w:tc>
      </w:tr>
      <w:tr w:rsidR="00E15FD4" w:rsidRPr="00EF2F18" w14:paraId="59ADD76E" w14:textId="77777777" w:rsidTr="00C1286C">
        <w:trPr>
          <w:trHeight w:val="324"/>
        </w:trPr>
        <w:tc>
          <w:tcPr>
            <w:tcW w:w="3946" w:type="dxa"/>
            <w:tcBorders>
              <w:top w:val="double" w:sz="6" w:space="0" w:color="auto"/>
              <w:left w:val="double" w:sz="6" w:space="0" w:color="auto"/>
              <w:bottom w:val="double" w:sz="6" w:space="0" w:color="auto"/>
              <w:right w:val="double" w:sz="6" w:space="0" w:color="auto"/>
            </w:tcBorders>
            <w:shd w:val="clear" w:color="000000" w:fill="FFFFFF"/>
          </w:tcPr>
          <w:p w14:paraId="7C5624C5" w14:textId="48E36EBD" w:rsidR="00E00098" w:rsidRPr="00EF2F18" w:rsidRDefault="00E00098" w:rsidP="00E00098">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00D34AFC" w:rsidRPr="00EF2F18">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(МПВШ)</w:t>
            </w:r>
          </w:p>
          <w:p w14:paraId="2A6411F0" w14:textId="5AF48F41" w:rsidR="00E15FD4" w:rsidRPr="00EF2F18" w:rsidRDefault="00E15FD4" w:rsidP="00752CA0">
            <w:pPr>
              <w:spacing w:after="0"/>
              <w:rPr>
                <w:rFonts w:eastAsia="Times New Roman" w:cs="Times New Roman"/>
                <w:color w:val="000000"/>
                <w:sz w:val="20"/>
                <w:szCs w:val="20"/>
                <w:lang w:val="sr-Cyrl-RS" w:eastAsia="en-GB"/>
              </w:rPr>
            </w:pPr>
          </w:p>
        </w:tc>
        <w:tc>
          <w:tcPr>
            <w:tcW w:w="2480" w:type="dxa"/>
            <w:tcBorders>
              <w:top w:val="double" w:sz="6" w:space="0" w:color="auto"/>
              <w:left w:val="nil"/>
              <w:bottom w:val="double" w:sz="6" w:space="0" w:color="auto"/>
              <w:right w:val="double" w:sz="6" w:space="0" w:color="auto"/>
            </w:tcBorders>
            <w:shd w:val="clear" w:color="000000" w:fill="FFFFFF"/>
          </w:tcPr>
          <w:p w14:paraId="5C10E4D9" w14:textId="3D22C577" w:rsidR="00E15FD4" w:rsidRPr="00EF2F18" w:rsidRDefault="00E00098"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0106-420-0002-451</w:t>
            </w:r>
          </w:p>
        </w:tc>
        <w:tc>
          <w:tcPr>
            <w:tcW w:w="2191" w:type="dxa"/>
            <w:tcBorders>
              <w:top w:val="double" w:sz="6" w:space="0" w:color="auto"/>
              <w:left w:val="nil"/>
              <w:bottom w:val="double" w:sz="6" w:space="0" w:color="auto"/>
              <w:right w:val="double" w:sz="6" w:space="0" w:color="auto"/>
            </w:tcBorders>
            <w:shd w:val="clear" w:color="000000" w:fill="FFFFFF"/>
          </w:tcPr>
          <w:p w14:paraId="0F284FAC" w14:textId="77777777" w:rsidR="00E15FD4" w:rsidRPr="00EF2F18" w:rsidRDefault="00E15FD4" w:rsidP="00752CA0">
            <w:pPr>
              <w:spacing w:after="0"/>
              <w:jc w:val="right"/>
              <w:rPr>
                <w:rFonts w:eastAsia="Times New Roman" w:cs="Times New Roman"/>
                <w:color w:val="000000"/>
                <w:sz w:val="20"/>
                <w:szCs w:val="20"/>
                <w:lang w:val="sr-Cyrl-RS" w:eastAsia="en-GB"/>
              </w:rPr>
            </w:pPr>
          </w:p>
        </w:tc>
        <w:tc>
          <w:tcPr>
            <w:tcW w:w="2340" w:type="dxa"/>
            <w:tcBorders>
              <w:top w:val="double" w:sz="6" w:space="0" w:color="auto"/>
              <w:left w:val="nil"/>
              <w:bottom w:val="double" w:sz="6" w:space="0" w:color="auto"/>
              <w:right w:val="double" w:sz="6" w:space="0" w:color="auto"/>
            </w:tcBorders>
            <w:shd w:val="clear" w:color="000000" w:fill="FFFFFF"/>
          </w:tcPr>
          <w:p w14:paraId="1885301C" w14:textId="77777777" w:rsidR="00E15FD4" w:rsidRPr="00EF2F18" w:rsidRDefault="00E15FD4" w:rsidP="00752CA0">
            <w:pPr>
              <w:spacing w:after="0"/>
              <w:jc w:val="right"/>
              <w:rPr>
                <w:rFonts w:eastAsia="Times New Roman" w:cs="Times New Roman"/>
                <w:color w:val="000000"/>
                <w:sz w:val="20"/>
                <w:szCs w:val="20"/>
                <w:lang w:val="sr-Cyrl-RS" w:eastAsia="en-GB"/>
              </w:rPr>
            </w:pPr>
          </w:p>
        </w:tc>
        <w:tc>
          <w:tcPr>
            <w:tcW w:w="2790" w:type="dxa"/>
            <w:tcBorders>
              <w:top w:val="double" w:sz="6" w:space="0" w:color="auto"/>
              <w:left w:val="nil"/>
              <w:bottom w:val="double" w:sz="6" w:space="0" w:color="auto"/>
              <w:right w:val="double" w:sz="6" w:space="0" w:color="auto"/>
            </w:tcBorders>
            <w:shd w:val="clear" w:color="000000" w:fill="FFFFFF"/>
          </w:tcPr>
          <w:p w14:paraId="17680777" w14:textId="732896F6" w:rsidR="00E15FD4" w:rsidRPr="00EF2F18" w:rsidRDefault="00E00098"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10.000</w:t>
            </w:r>
          </w:p>
          <w:p w14:paraId="4893659B" w14:textId="4D17A3F7" w:rsidR="00E00098" w:rsidRPr="00EF2F18" w:rsidRDefault="00E00098" w:rsidP="00752CA0">
            <w:pPr>
              <w:spacing w:after="0"/>
              <w:jc w:val="right"/>
              <w:rPr>
                <w:rFonts w:eastAsia="Times New Roman" w:cs="Times New Roman"/>
                <w:color w:val="000000"/>
                <w:sz w:val="20"/>
                <w:szCs w:val="20"/>
                <w:lang w:val="sr-Cyrl-RS" w:eastAsia="en-GB"/>
              </w:rPr>
            </w:pPr>
          </w:p>
        </w:tc>
      </w:tr>
    </w:tbl>
    <w:p w14:paraId="77EB0854" w14:textId="77777777" w:rsidR="007D7243" w:rsidRPr="00EF2F18" w:rsidRDefault="007D7243" w:rsidP="007D7243">
      <w:pPr>
        <w:spacing w:after="0"/>
        <w:rPr>
          <w:rFonts w:cs="Times New Roman"/>
          <w:sz w:val="20"/>
          <w:szCs w:val="20"/>
          <w:lang w:val="sr-Cyrl-RS"/>
        </w:rPr>
      </w:pPr>
    </w:p>
    <w:tbl>
      <w:tblPr>
        <w:tblW w:w="13747" w:type="dxa"/>
        <w:tblLook w:val="04A0" w:firstRow="1" w:lastRow="0" w:firstColumn="1" w:lastColumn="0" w:noHBand="0" w:noVBand="1"/>
      </w:tblPr>
      <w:tblGrid>
        <w:gridCol w:w="3011"/>
        <w:gridCol w:w="1257"/>
        <w:gridCol w:w="1240"/>
        <w:gridCol w:w="1182"/>
        <w:gridCol w:w="1691"/>
        <w:gridCol w:w="1340"/>
        <w:gridCol w:w="1326"/>
        <w:gridCol w:w="1170"/>
        <w:gridCol w:w="1504"/>
        <w:gridCol w:w="26"/>
      </w:tblGrid>
      <w:tr w:rsidR="007D7243" w:rsidRPr="00EF2F18" w14:paraId="2B26B832" w14:textId="77777777" w:rsidTr="00F47AD6">
        <w:trPr>
          <w:gridAfter w:val="1"/>
          <w:wAfter w:w="26" w:type="dxa"/>
          <w:trHeight w:val="732"/>
        </w:trPr>
        <w:tc>
          <w:tcPr>
            <w:tcW w:w="3011"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0EAB811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485267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320FFB6"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3FEE59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4BA06E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FA899B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00" w:type="dxa"/>
            <w:gridSpan w:val="3"/>
            <w:tcBorders>
              <w:top w:val="double" w:sz="6" w:space="0" w:color="auto"/>
              <w:left w:val="nil"/>
              <w:bottom w:val="single" w:sz="8" w:space="0" w:color="auto"/>
              <w:right w:val="double" w:sz="6" w:space="0" w:color="auto"/>
            </w:tcBorders>
            <w:shd w:val="clear" w:color="000000" w:fill="FFF2CC"/>
            <w:hideMark/>
          </w:tcPr>
          <w:p w14:paraId="121E301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47AD6" w:rsidRPr="00EF2F18" w14:paraId="354AF204" w14:textId="77777777" w:rsidTr="00F47AD6">
        <w:trPr>
          <w:trHeight w:val="324"/>
        </w:trPr>
        <w:tc>
          <w:tcPr>
            <w:tcW w:w="3011" w:type="dxa"/>
            <w:vMerge/>
            <w:tcBorders>
              <w:top w:val="double" w:sz="6" w:space="0" w:color="auto"/>
              <w:left w:val="double" w:sz="6" w:space="0" w:color="auto"/>
              <w:bottom w:val="single" w:sz="8" w:space="0" w:color="000000"/>
              <w:right w:val="single" w:sz="8" w:space="0" w:color="auto"/>
            </w:tcBorders>
            <w:vAlign w:val="center"/>
            <w:hideMark/>
          </w:tcPr>
          <w:p w14:paraId="07751C9A" w14:textId="77777777" w:rsidR="00F47AD6" w:rsidRPr="00EF2F18" w:rsidRDefault="00F47AD6" w:rsidP="00752CA0">
            <w:pPr>
              <w:spacing w:after="0"/>
              <w:rPr>
                <w:rFonts w:eastAsia="Times New Roman" w:cs="Times New Roman"/>
                <w:color w:val="000000"/>
                <w:sz w:val="20"/>
                <w:szCs w:val="20"/>
                <w:lang w:val="sr-Cyrl-RS" w:eastAsia="en-GB"/>
              </w:rPr>
            </w:pPr>
          </w:p>
        </w:tc>
        <w:tc>
          <w:tcPr>
            <w:tcW w:w="1257" w:type="dxa"/>
            <w:vMerge/>
            <w:tcBorders>
              <w:top w:val="double" w:sz="6" w:space="0" w:color="auto"/>
              <w:left w:val="single" w:sz="8" w:space="0" w:color="auto"/>
              <w:bottom w:val="single" w:sz="8" w:space="0" w:color="000000"/>
              <w:right w:val="single" w:sz="8" w:space="0" w:color="auto"/>
            </w:tcBorders>
            <w:vAlign w:val="center"/>
            <w:hideMark/>
          </w:tcPr>
          <w:p w14:paraId="32D6E988" w14:textId="77777777" w:rsidR="00F47AD6" w:rsidRPr="00EF2F18" w:rsidRDefault="00F47AD6"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79C9D8F9" w14:textId="77777777" w:rsidR="00F47AD6" w:rsidRPr="00EF2F18" w:rsidRDefault="00F47AD6"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4F95CF1A" w14:textId="77777777" w:rsidR="00F47AD6" w:rsidRPr="00EF2F18" w:rsidRDefault="00F47AD6"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41370205" w14:textId="77777777" w:rsidR="00F47AD6" w:rsidRPr="00EF2F18" w:rsidRDefault="00F47AD6"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76555108" w14:textId="77777777" w:rsidR="00F47AD6" w:rsidRPr="00EF2F18" w:rsidRDefault="00F47AD6" w:rsidP="00752CA0">
            <w:pPr>
              <w:spacing w:after="0"/>
              <w:rPr>
                <w:rFonts w:eastAsia="Times New Roman" w:cs="Times New Roman"/>
                <w:color w:val="000000"/>
                <w:sz w:val="20"/>
                <w:szCs w:val="20"/>
                <w:lang w:val="sr-Cyrl-RS" w:eastAsia="en-GB"/>
              </w:rPr>
            </w:pPr>
          </w:p>
        </w:tc>
        <w:tc>
          <w:tcPr>
            <w:tcW w:w="1326" w:type="dxa"/>
            <w:tcBorders>
              <w:top w:val="nil"/>
              <w:left w:val="nil"/>
              <w:bottom w:val="single" w:sz="8" w:space="0" w:color="auto"/>
              <w:right w:val="single" w:sz="8" w:space="0" w:color="auto"/>
            </w:tcBorders>
            <w:shd w:val="clear" w:color="000000" w:fill="FFF2CC"/>
            <w:hideMark/>
          </w:tcPr>
          <w:p w14:paraId="5C4DC9AE" w14:textId="73374439"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2F3F06A8" w14:textId="226DD589"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gridSpan w:val="2"/>
            <w:tcBorders>
              <w:top w:val="nil"/>
              <w:left w:val="nil"/>
              <w:bottom w:val="single" w:sz="8" w:space="0" w:color="auto"/>
              <w:right w:val="double" w:sz="6" w:space="0" w:color="auto"/>
            </w:tcBorders>
            <w:shd w:val="clear" w:color="000000" w:fill="FFF2CC"/>
            <w:hideMark/>
          </w:tcPr>
          <w:p w14:paraId="1FEF2AD5" w14:textId="6ECC8A08"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F47AD6" w:rsidRPr="00EF2F18" w14:paraId="4068E1A8" w14:textId="77777777" w:rsidTr="00F47AD6">
        <w:trPr>
          <w:trHeight w:val="547"/>
        </w:trPr>
        <w:tc>
          <w:tcPr>
            <w:tcW w:w="3011" w:type="dxa"/>
            <w:tcBorders>
              <w:top w:val="nil"/>
              <w:left w:val="double" w:sz="6" w:space="0" w:color="auto"/>
              <w:bottom w:val="single" w:sz="8" w:space="0" w:color="auto"/>
              <w:right w:val="single" w:sz="8" w:space="0" w:color="auto"/>
            </w:tcBorders>
            <w:hideMark/>
          </w:tcPr>
          <w:p w14:paraId="1733459E"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4.2.2.1. Измене и допуне Закона о ловству у делу који се односи на унапређење мониторинга популација ловних врста дивљачи</w:t>
            </w:r>
          </w:p>
        </w:tc>
        <w:tc>
          <w:tcPr>
            <w:tcW w:w="1257" w:type="dxa"/>
            <w:tcBorders>
              <w:top w:val="nil"/>
              <w:left w:val="nil"/>
              <w:bottom w:val="single" w:sz="8" w:space="0" w:color="auto"/>
              <w:right w:val="single" w:sz="8" w:space="0" w:color="auto"/>
            </w:tcBorders>
            <w:hideMark/>
          </w:tcPr>
          <w:p w14:paraId="250280C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nil"/>
              <w:left w:val="nil"/>
              <w:bottom w:val="single" w:sz="8" w:space="0" w:color="auto"/>
              <w:right w:val="single" w:sz="8" w:space="0" w:color="auto"/>
            </w:tcBorders>
            <w:hideMark/>
          </w:tcPr>
          <w:p w14:paraId="6C13764F"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 МУП, ЗЗПРС, ПЗЗП, Управа за шуме, АЗЖС, Ловачки савез Србије</w:t>
            </w:r>
          </w:p>
        </w:tc>
        <w:tc>
          <w:tcPr>
            <w:tcW w:w="1182" w:type="dxa"/>
            <w:tcBorders>
              <w:top w:val="nil"/>
              <w:left w:val="nil"/>
              <w:bottom w:val="single" w:sz="8" w:space="0" w:color="auto"/>
              <w:right w:val="single" w:sz="8" w:space="0" w:color="auto"/>
            </w:tcBorders>
            <w:hideMark/>
          </w:tcPr>
          <w:p w14:paraId="41AEA5FE"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6422CD53"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tcPr>
          <w:p w14:paraId="262BD101" w14:textId="77777777" w:rsidR="00F47AD6" w:rsidRPr="00EF2F18" w:rsidRDefault="00F47AD6" w:rsidP="00752CA0">
            <w:pPr>
              <w:spacing w:after="0"/>
              <w:rPr>
                <w:rFonts w:eastAsia="Times New Roman" w:cs="Times New Roman"/>
                <w:color w:val="000000"/>
                <w:sz w:val="20"/>
                <w:szCs w:val="20"/>
                <w:lang w:val="sr-Cyrl-RS" w:eastAsia="en-GB"/>
              </w:rPr>
            </w:pPr>
          </w:p>
        </w:tc>
        <w:tc>
          <w:tcPr>
            <w:tcW w:w="1326" w:type="dxa"/>
            <w:tcBorders>
              <w:top w:val="nil"/>
              <w:left w:val="nil"/>
              <w:bottom w:val="single" w:sz="8" w:space="0" w:color="auto"/>
              <w:right w:val="single" w:sz="8" w:space="0" w:color="auto"/>
            </w:tcBorders>
          </w:tcPr>
          <w:p w14:paraId="1C1785DC" w14:textId="0AB884AD" w:rsidR="00F47AD6" w:rsidRPr="00EF2F18" w:rsidRDefault="00F47AD6"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4D77107A" w14:textId="102F8972"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gridSpan w:val="2"/>
            <w:tcBorders>
              <w:top w:val="nil"/>
              <w:left w:val="nil"/>
              <w:bottom w:val="single" w:sz="8" w:space="0" w:color="auto"/>
              <w:right w:val="double" w:sz="6" w:space="0" w:color="auto"/>
            </w:tcBorders>
          </w:tcPr>
          <w:p w14:paraId="6BC00411" w14:textId="63D8D350"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6DB28A92" w14:textId="77777777" w:rsidTr="00F67270">
        <w:trPr>
          <w:trHeight w:val="1173"/>
        </w:trPr>
        <w:tc>
          <w:tcPr>
            <w:tcW w:w="3011" w:type="dxa"/>
            <w:tcBorders>
              <w:top w:val="single" w:sz="4" w:space="0" w:color="auto"/>
              <w:left w:val="double" w:sz="6" w:space="0" w:color="auto"/>
              <w:bottom w:val="single" w:sz="8" w:space="0" w:color="auto"/>
              <w:right w:val="single" w:sz="8" w:space="0" w:color="auto"/>
            </w:tcBorders>
          </w:tcPr>
          <w:p w14:paraId="3B41BCF7" w14:textId="02661218"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4.2.2.2. Утврђивање и унапређење методологије бонитирања и процене капацитета станишта</w:t>
            </w:r>
          </w:p>
        </w:tc>
        <w:tc>
          <w:tcPr>
            <w:tcW w:w="1257" w:type="dxa"/>
            <w:tcBorders>
              <w:top w:val="single" w:sz="4" w:space="0" w:color="auto"/>
              <w:left w:val="nil"/>
              <w:bottom w:val="single" w:sz="8" w:space="0" w:color="auto"/>
              <w:right w:val="single" w:sz="8" w:space="0" w:color="auto"/>
            </w:tcBorders>
          </w:tcPr>
          <w:p w14:paraId="63FB33E8" w14:textId="20D0C783"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single" w:sz="4" w:space="0" w:color="auto"/>
              <w:left w:val="nil"/>
              <w:bottom w:val="single" w:sz="8" w:space="0" w:color="auto"/>
              <w:right w:val="single" w:sz="8" w:space="0" w:color="auto"/>
            </w:tcBorders>
          </w:tcPr>
          <w:p w14:paraId="370345DD" w14:textId="0482A731" w:rsidR="00F47AD6" w:rsidRPr="00EF2F18" w:rsidRDefault="00F47AD6" w:rsidP="000D4ECA">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МЗЖС, Ловачки савез Србије, АЗЖС</w:t>
            </w:r>
          </w:p>
        </w:tc>
        <w:tc>
          <w:tcPr>
            <w:tcW w:w="1182" w:type="dxa"/>
            <w:tcBorders>
              <w:top w:val="single" w:sz="4" w:space="0" w:color="auto"/>
              <w:left w:val="nil"/>
              <w:bottom w:val="single" w:sz="8" w:space="0" w:color="auto"/>
              <w:right w:val="single" w:sz="8" w:space="0" w:color="auto"/>
            </w:tcBorders>
          </w:tcPr>
          <w:p w14:paraId="139C0F6C" w14:textId="2354A891"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tcPr>
          <w:p w14:paraId="6508576E" w14:textId="01D38B23"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tcPr>
          <w:p w14:paraId="0C0F15D1" w14:textId="77777777" w:rsidR="00F47AD6" w:rsidRPr="00EF2F18" w:rsidRDefault="00F47AD6" w:rsidP="000D4ECA">
            <w:pPr>
              <w:spacing w:after="0"/>
              <w:rPr>
                <w:rFonts w:eastAsia="Times New Roman" w:cs="Times New Roman"/>
                <w:color w:val="000000"/>
                <w:sz w:val="20"/>
                <w:szCs w:val="20"/>
                <w:lang w:val="sr-Cyrl-RS" w:eastAsia="en-GB"/>
              </w:rPr>
            </w:pPr>
          </w:p>
        </w:tc>
        <w:tc>
          <w:tcPr>
            <w:tcW w:w="1326" w:type="dxa"/>
            <w:tcBorders>
              <w:top w:val="single" w:sz="4" w:space="0" w:color="auto"/>
              <w:left w:val="nil"/>
              <w:bottom w:val="single" w:sz="8" w:space="0" w:color="auto"/>
              <w:right w:val="single" w:sz="8" w:space="0" w:color="auto"/>
            </w:tcBorders>
          </w:tcPr>
          <w:p w14:paraId="4B2A4CD1" w14:textId="77777777" w:rsidR="00F47AD6" w:rsidRPr="00EF2F18" w:rsidRDefault="00F47AD6" w:rsidP="000D4ECA">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30D1DBC6" w14:textId="77777777" w:rsidR="00F47AD6" w:rsidRPr="00EF2F18" w:rsidRDefault="00F47AD6" w:rsidP="000D4ECA">
            <w:pPr>
              <w:spacing w:after="0"/>
              <w:jc w:val="right"/>
              <w:rPr>
                <w:rFonts w:eastAsia="Times New Roman" w:cs="Times New Roman"/>
                <w:color w:val="000000"/>
                <w:sz w:val="20"/>
                <w:szCs w:val="20"/>
                <w:lang w:val="sr-Cyrl-RS" w:eastAsia="en-GB"/>
              </w:rPr>
            </w:pPr>
          </w:p>
        </w:tc>
        <w:tc>
          <w:tcPr>
            <w:tcW w:w="1530" w:type="dxa"/>
            <w:gridSpan w:val="2"/>
            <w:tcBorders>
              <w:top w:val="single" w:sz="4" w:space="0" w:color="auto"/>
              <w:left w:val="nil"/>
              <w:bottom w:val="single" w:sz="8" w:space="0" w:color="auto"/>
              <w:right w:val="double" w:sz="6" w:space="0" w:color="auto"/>
            </w:tcBorders>
          </w:tcPr>
          <w:p w14:paraId="7DE8F957" w14:textId="77777777" w:rsidR="00F47AD6" w:rsidRPr="00EF2F18" w:rsidRDefault="00F47AD6" w:rsidP="000D4ECA">
            <w:pPr>
              <w:spacing w:after="0"/>
              <w:jc w:val="right"/>
              <w:rPr>
                <w:rFonts w:eastAsia="Times New Roman" w:cs="Times New Roman"/>
                <w:color w:val="000000"/>
                <w:sz w:val="20"/>
                <w:szCs w:val="20"/>
                <w:lang w:val="sr-Cyrl-RS" w:eastAsia="en-GB"/>
              </w:rPr>
            </w:pPr>
          </w:p>
        </w:tc>
      </w:tr>
      <w:tr w:rsidR="00F47AD6" w:rsidRPr="00EF2F18" w14:paraId="2A834E39" w14:textId="77777777" w:rsidTr="00A25CE0">
        <w:trPr>
          <w:trHeight w:val="689"/>
        </w:trPr>
        <w:tc>
          <w:tcPr>
            <w:tcW w:w="3011" w:type="dxa"/>
            <w:tcBorders>
              <w:top w:val="single" w:sz="8" w:space="0" w:color="auto"/>
              <w:left w:val="double" w:sz="6" w:space="0" w:color="auto"/>
              <w:bottom w:val="double" w:sz="4" w:space="0" w:color="auto"/>
              <w:right w:val="single" w:sz="8" w:space="0" w:color="auto"/>
            </w:tcBorders>
            <w:hideMark/>
          </w:tcPr>
          <w:p w14:paraId="12A5D003" w14:textId="555029A1"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4.2.2.3. Унапређење система контроле издавања ловних исправа</w:t>
            </w:r>
          </w:p>
        </w:tc>
        <w:tc>
          <w:tcPr>
            <w:tcW w:w="1257" w:type="dxa"/>
            <w:tcBorders>
              <w:top w:val="single" w:sz="8" w:space="0" w:color="auto"/>
              <w:left w:val="nil"/>
              <w:bottom w:val="double" w:sz="4" w:space="0" w:color="auto"/>
              <w:right w:val="single" w:sz="8" w:space="0" w:color="auto"/>
            </w:tcBorders>
            <w:hideMark/>
          </w:tcPr>
          <w:p w14:paraId="7E29BEBB" w14:textId="77777777"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single" w:sz="8" w:space="0" w:color="auto"/>
              <w:left w:val="nil"/>
              <w:bottom w:val="double" w:sz="4" w:space="0" w:color="auto"/>
              <w:right w:val="single" w:sz="8" w:space="0" w:color="auto"/>
            </w:tcBorders>
            <w:hideMark/>
          </w:tcPr>
          <w:p w14:paraId="2286FC41" w14:textId="77777777"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 МУП, ЗЗПРС, ПЗЗП, Управа за шуме, АЗЖС, Ловачки савез Србије</w:t>
            </w:r>
          </w:p>
        </w:tc>
        <w:tc>
          <w:tcPr>
            <w:tcW w:w="1182" w:type="dxa"/>
            <w:tcBorders>
              <w:top w:val="single" w:sz="8" w:space="0" w:color="auto"/>
              <w:left w:val="nil"/>
              <w:bottom w:val="double" w:sz="4" w:space="0" w:color="auto"/>
              <w:right w:val="single" w:sz="8" w:space="0" w:color="auto"/>
            </w:tcBorders>
            <w:hideMark/>
          </w:tcPr>
          <w:p w14:paraId="2F8807E1" w14:textId="77777777" w:rsidR="00F47AD6" w:rsidRPr="00EF2F18" w:rsidRDefault="00F47AD6"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8" w:space="0" w:color="auto"/>
              <w:left w:val="nil"/>
              <w:bottom w:val="double" w:sz="4" w:space="0" w:color="auto"/>
              <w:right w:val="single" w:sz="8" w:space="0" w:color="auto"/>
            </w:tcBorders>
            <w:hideMark/>
          </w:tcPr>
          <w:p w14:paraId="10A31A68" w14:textId="157A9823" w:rsidR="009223D0" w:rsidRPr="00EF2F18" w:rsidRDefault="00B05155" w:rsidP="00555F7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8" w:space="0" w:color="auto"/>
              <w:left w:val="nil"/>
              <w:bottom w:val="double" w:sz="4" w:space="0" w:color="auto"/>
              <w:right w:val="single" w:sz="8" w:space="0" w:color="auto"/>
            </w:tcBorders>
          </w:tcPr>
          <w:p w14:paraId="5C38CF30" w14:textId="278146A0" w:rsidR="00F47AD6" w:rsidRPr="00EF2F18" w:rsidRDefault="00B05155" w:rsidP="000D4EC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0106-420-0002-451</w:t>
            </w:r>
          </w:p>
        </w:tc>
        <w:tc>
          <w:tcPr>
            <w:tcW w:w="1326" w:type="dxa"/>
            <w:tcBorders>
              <w:top w:val="single" w:sz="8" w:space="0" w:color="auto"/>
              <w:left w:val="nil"/>
              <w:bottom w:val="double" w:sz="4" w:space="0" w:color="auto"/>
              <w:right w:val="single" w:sz="8" w:space="0" w:color="auto"/>
            </w:tcBorders>
          </w:tcPr>
          <w:p w14:paraId="3607549D" w14:textId="014F6775" w:rsidR="00F47AD6" w:rsidRPr="00EF2F18" w:rsidRDefault="00F47AD6" w:rsidP="000D4ECA">
            <w:pPr>
              <w:spacing w:after="0"/>
              <w:jc w:val="right"/>
              <w:rPr>
                <w:rFonts w:eastAsia="Times New Roman" w:cs="Times New Roman"/>
                <w:color w:val="000000"/>
                <w:sz w:val="20"/>
                <w:szCs w:val="20"/>
                <w:lang w:val="sr-Cyrl-RS" w:eastAsia="en-GB"/>
              </w:rPr>
            </w:pPr>
          </w:p>
        </w:tc>
        <w:tc>
          <w:tcPr>
            <w:tcW w:w="1170" w:type="dxa"/>
            <w:tcBorders>
              <w:top w:val="single" w:sz="8" w:space="0" w:color="auto"/>
              <w:left w:val="nil"/>
              <w:bottom w:val="double" w:sz="4" w:space="0" w:color="auto"/>
              <w:right w:val="single" w:sz="8" w:space="0" w:color="auto"/>
            </w:tcBorders>
          </w:tcPr>
          <w:p w14:paraId="5245C9D3" w14:textId="47E3981D" w:rsidR="00F47AD6" w:rsidRPr="00EF2F18" w:rsidRDefault="00F47AD6" w:rsidP="000D4ECA">
            <w:pPr>
              <w:spacing w:after="0"/>
              <w:jc w:val="right"/>
              <w:rPr>
                <w:rFonts w:eastAsia="Times New Roman" w:cs="Times New Roman"/>
                <w:color w:val="000000"/>
                <w:sz w:val="20"/>
                <w:szCs w:val="20"/>
                <w:lang w:val="sr-Cyrl-RS" w:eastAsia="en-GB"/>
              </w:rPr>
            </w:pPr>
          </w:p>
        </w:tc>
        <w:tc>
          <w:tcPr>
            <w:tcW w:w="1530" w:type="dxa"/>
            <w:gridSpan w:val="2"/>
            <w:tcBorders>
              <w:top w:val="single" w:sz="8" w:space="0" w:color="auto"/>
              <w:left w:val="nil"/>
              <w:bottom w:val="double" w:sz="4" w:space="0" w:color="auto"/>
              <w:right w:val="double" w:sz="6" w:space="0" w:color="auto"/>
            </w:tcBorders>
          </w:tcPr>
          <w:p w14:paraId="5ACF2923" w14:textId="2F5BF9C5" w:rsidR="009223D0" w:rsidRPr="00EF2F18" w:rsidRDefault="009223D0" w:rsidP="00A22FFF">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10.000</w:t>
            </w:r>
          </w:p>
          <w:p w14:paraId="5A5C85BB" w14:textId="523130C0" w:rsidR="009223D0" w:rsidRPr="00EF2F18" w:rsidRDefault="009223D0" w:rsidP="000D4ECA">
            <w:pPr>
              <w:spacing w:after="0"/>
              <w:jc w:val="right"/>
              <w:rPr>
                <w:rFonts w:eastAsia="Times New Roman" w:cs="Times New Roman"/>
                <w:color w:val="000000"/>
                <w:sz w:val="20"/>
                <w:szCs w:val="20"/>
                <w:lang w:val="sr-Cyrl-RS" w:eastAsia="en-GB"/>
              </w:rPr>
            </w:pPr>
          </w:p>
        </w:tc>
      </w:tr>
    </w:tbl>
    <w:p w14:paraId="0A5C9AC8" w14:textId="77777777" w:rsidR="007D7243" w:rsidRPr="00EF2F18" w:rsidRDefault="007D7243" w:rsidP="007D7243">
      <w:pPr>
        <w:spacing w:after="0"/>
        <w:rPr>
          <w:rFonts w:cs="Times New Roman"/>
          <w:sz w:val="20"/>
          <w:szCs w:val="20"/>
          <w:lang w:val="sr-Cyrl-RS"/>
        </w:rPr>
      </w:pPr>
    </w:p>
    <w:p w14:paraId="43C55080" w14:textId="77777777" w:rsidR="00A25CE0" w:rsidRPr="00EF2F18" w:rsidRDefault="00A25CE0" w:rsidP="007D7243">
      <w:pPr>
        <w:spacing w:after="0"/>
        <w:rPr>
          <w:rFonts w:cs="Times New Roman"/>
          <w:sz w:val="20"/>
          <w:szCs w:val="20"/>
          <w:lang w:val="sr-Cyrl-RS"/>
        </w:rPr>
      </w:pPr>
    </w:p>
    <w:tbl>
      <w:tblPr>
        <w:tblW w:w="137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1000"/>
        <w:gridCol w:w="1520"/>
        <w:gridCol w:w="1377"/>
        <w:gridCol w:w="1350"/>
        <w:gridCol w:w="1620"/>
      </w:tblGrid>
      <w:tr w:rsidR="007D7243" w:rsidRPr="00EF2F18" w14:paraId="3430FF28" w14:textId="77777777" w:rsidTr="00F47AD6">
        <w:trPr>
          <w:trHeight w:val="336"/>
        </w:trPr>
        <w:tc>
          <w:tcPr>
            <w:tcW w:w="13747" w:type="dxa"/>
            <w:gridSpan w:val="9"/>
            <w:shd w:val="clear" w:color="000000" w:fill="F7CAAC"/>
            <w:hideMark/>
          </w:tcPr>
          <w:p w14:paraId="1DAA955E"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4.2.3: Заштита и одрживо коришћење рибљег фонда</w:t>
            </w:r>
          </w:p>
        </w:tc>
      </w:tr>
      <w:tr w:rsidR="007D7243" w:rsidRPr="00EF2F18" w14:paraId="22323A8B" w14:textId="77777777" w:rsidTr="00F47AD6">
        <w:trPr>
          <w:trHeight w:val="336"/>
        </w:trPr>
        <w:tc>
          <w:tcPr>
            <w:tcW w:w="13747" w:type="dxa"/>
            <w:gridSpan w:val="9"/>
            <w:shd w:val="clear" w:color="000000" w:fill="F7CAAC"/>
            <w:hideMark/>
          </w:tcPr>
          <w:p w14:paraId="56B96A5C"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31264792" w14:textId="77777777" w:rsidTr="00F47AD6">
        <w:trPr>
          <w:trHeight w:val="336"/>
        </w:trPr>
        <w:tc>
          <w:tcPr>
            <w:tcW w:w="6880" w:type="dxa"/>
            <w:gridSpan w:val="4"/>
            <w:shd w:val="clear" w:color="000000" w:fill="F7CAAC"/>
            <w:hideMark/>
          </w:tcPr>
          <w:p w14:paraId="7BFCA848" w14:textId="33DBCD66"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F47AD6"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867" w:type="dxa"/>
            <w:gridSpan w:val="5"/>
            <w:shd w:val="clear" w:color="000000" w:fill="F7CAAC"/>
            <w:hideMark/>
          </w:tcPr>
          <w:p w14:paraId="26D0BE6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0F1F97DC" w14:textId="77777777" w:rsidTr="00F47AD6">
        <w:trPr>
          <w:trHeight w:val="336"/>
        </w:trPr>
        <w:tc>
          <w:tcPr>
            <w:tcW w:w="6880" w:type="dxa"/>
            <w:gridSpan w:val="4"/>
            <w:shd w:val="clear" w:color="000000" w:fill="F7CAAC"/>
            <w:hideMark/>
          </w:tcPr>
          <w:p w14:paraId="24947C1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867" w:type="dxa"/>
            <w:gridSpan w:val="5"/>
            <w:shd w:val="clear" w:color="000000" w:fill="F7CAAC"/>
            <w:hideMark/>
          </w:tcPr>
          <w:p w14:paraId="6F684B59"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47AD6" w:rsidRPr="00EF2F18" w14:paraId="4AD00B2B" w14:textId="77777777" w:rsidTr="00F47AD6">
        <w:trPr>
          <w:trHeight w:val="816"/>
        </w:trPr>
        <w:tc>
          <w:tcPr>
            <w:tcW w:w="3320" w:type="dxa"/>
            <w:shd w:val="clear" w:color="000000" w:fill="D9D9D9"/>
            <w:hideMark/>
          </w:tcPr>
          <w:p w14:paraId="4A119695"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shd w:val="clear" w:color="000000" w:fill="D9D9D9"/>
            <w:hideMark/>
          </w:tcPr>
          <w:p w14:paraId="1FCAACCB"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shd w:val="clear" w:color="000000" w:fill="D9D9D9"/>
            <w:hideMark/>
          </w:tcPr>
          <w:p w14:paraId="3D53B95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shd w:val="clear" w:color="000000" w:fill="D9D9D9"/>
            <w:hideMark/>
          </w:tcPr>
          <w:p w14:paraId="4FFA3764"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shd w:val="clear" w:color="000000" w:fill="D9D9D9"/>
            <w:hideMark/>
          </w:tcPr>
          <w:p w14:paraId="4D2BC9A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377" w:type="dxa"/>
            <w:shd w:val="clear" w:color="000000" w:fill="D9D9D9"/>
            <w:hideMark/>
          </w:tcPr>
          <w:p w14:paraId="193C2992"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50" w:type="dxa"/>
            <w:shd w:val="clear" w:color="000000" w:fill="D9D9D9"/>
            <w:hideMark/>
          </w:tcPr>
          <w:p w14:paraId="3413952A"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shd w:val="clear" w:color="000000" w:fill="D9D9D9"/>
            <w:hideMark/>
          </w:tcPr>
          <w:p w14:paraId="6E4E3EE7"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47AD6" w:rsidRPr="00EF2F18" w14:paraId="7CA8C0E9" w14:textId="77777777" w:rsidTr="00F47AD6">
        <w:trPr>
          <w:trHeight w:val="135"/>
        </w:trPr>
        <w:tc>
          <w:tcPr>
            <w:tcW w:w="3320" w:type="dxa"/>
            <w:shd w:val="clear" w:color="000000" w:fill="FFFFFF"/>
            <w:hideMark/>
          </w:tcPr>
          <w:p w14:paraId="2A495627"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Излов рибе из привредног риболова</w:t>
            </w:r>
          </w:p>
        </w:tc>
        <w:tc>
          <w:tcPr>
            <w:tcW w:w="1280" w:type="dxa"/>
            <w:shd w:val="clear" w:color="000000" w:fill="FFFFFF"/>
            <w:hideMark/>
          </w:tcPr>
          <w:p w14:paraId="5A7ACE5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тона</w:t>
            </w:r>
          </w:p>
        </w:tc>
        <w:tc>
          <w:tcPr>
            <w:tcW w:w="1280" w:type="dxa"/>
            <w:shd w:val="clear" w:color="000000" w:fill="FFFFFF"/>
            <w:hideMark/>
          </w:tcPr>
          <w:p w14:paraId="344BA877"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АЗЖС</w:t>
            </w:r>
          </w:p>
        </w:tc>
        <w:tc>
          <w:tcPr>
            <w:tcW w:w="2000" w:type="dxa"/>
            <w:gridSpan w:val="2"/>
            <w:shd w:val="clear" w:color="000000" w:fill="FFFFFF"/>
            <w:hideMark/>
          </w:tcPr>
          <w:p w14:paraId="558ABF89"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959</w:t>
            </w:r>
          </w:p>
        </w:tc>
        <w:tc>
          <w:tcPr>
            <w:tcW w:w="1520" w:type="dxa"/>
            <w:shd w:val="clear" w:color="000000" w:fill="FFFFFF"/>
            <w:hideMark/>
          </w:tcPr>
          <w:p w14:paraId="46E2D099"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hideMark/>
          </w:tcPr>
          <w:p w14:paraId="4E7B1317"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980</w:t>
            </w:r>
          </w:p>
          <w:p w14:paraId="62983118"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350" w:type="dxa"/>
            <w:hideMark/>
          </w:tcPr>
          <w:p w14:paraId="03A05A7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990</w:t>
            </w:r>
          </w:p>
          <w:p w14:paraId="39BB1432"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620" w:type="dxa"/>
            <w:hideMark/>
          </w:tcPr>
          <w:p w14:paraId="590285E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p w14:paraId="50D7AA30"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47AD6" w:rsidRPr="00EF2F18" w14:paraId="5E63C1D0" w14:textId="77777777" w:rsidTr="00F47AD6">
        <w:trPr>
          <w:trHeight w:val="540"/>
        </w:trPr>
        <w:tc>
          <w:tcPr>
            <w:tcW w:w="3320" w:type="dxa"/>
            <w:shd w:val="clear" w:color="000000" w:fill="FFFFFF"/>
            <w:hideMark/>
          </w:tcPr>
          <w:p w14:paraId="70FDA3CD"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Излов рибе из рекреативног риболова</w:t>
            </w:r>
          </w:p>
        </w:tc>
        <w:tc>
          <w:tcPr>
            <w:tcW w:w="1280" w:type="dxa"/>
            <w:shd w:val="clear" w:color="000000" w:fill="FFFFFF"/>
            <w:hideMark/>
          </w:tcPr>
          <w:p w14:paraId="4D81E4BC"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тона</w:t>
            </w:r>
          </w:p>
        </w:tc>
        <w:tc>
          <w:tcPr>
            <w:tcW w:w="1280" w:type="dxa"/>
            <w:shd w:val="clear" w:color="000000" w:fill="FFFFFF"/>
            <w:hideMark/>
          </w:tcPr>
          <w:p w14:paraId="0B30E47B"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АЗЖС</w:t>
            </w:r>
          </w:p>
        </w:tc>
        <w:tc>
          <w:tcPr>
            <w:tcW w:w="2000" w:type="dxa"/>
            <w:gridSpan w:val="2"/>
            <w:shd w:val="clear" w:color="000000" w:fill="FFFFFF"/>
            <w:hideMark/>
          </w:tcPr>
          <w:p w14:paraId="6DB9F08A"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1.420</w:t>
            </w:r>
          </w:p>
        </w:tc>
        <w:tc>
          <w:tcPr>
            <w:tcW w:w="1520" w:type="dxa"/>
            <w:shd w:val="clear" w:color="000000" w:fill="FFFFFF"/>
            <w:hideMark/>
          </w:tcPr>
          <w:p w14:paraId="114DBE45"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hideMark/>
          </w:tcPr>
          <w:p w14:paraId="1B917311"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1.500</w:t>
            </w:r>
          </w:p>
        </w:tc>
        <w:tc>
          <w:tcPr>
            <w:tcW w:w="1350" w:type="dxa"/>
            <w:hideMark/>
          </w:tcPr>
          <w:p w14:paraId="35F8168A"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1.500</w:t>
            </w:r>
          </w:p>
        </w:tc>
        <w:tc>
          <w:tcPr>
            <w:tcW w:w="1620" w:type="dxa"/>
            <w:hideMark/>
          </w:tcPr>
          <w:p w14:paraId="09856AE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1.500</w:t>
            </w:r>
          </w:p>
        </w:tc>
      </w:tr>
      <w:tr w:rsidR="00F47AD6" w:rsidRPr="00EF2F18" w14:paraId="0BE89B3B" w14:textId="77777777" w:rsidTr="00F47AD6">
        <w:trPr>
          <w:trHeight w:val="477"/>
        </w:trPr>
        <w:tc>
          <w:tcPr>
            <w:tcW w:w="3320" w:type="dxa"/>
            <w:shd w:val="clear" w:color="000000" w:fill="FFFFFF"/>
            <w:hideMark/>
          </w:tcPr>
          <w:p w14:paraId="340F3FD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Број издатих дозвола за привредни и рекреативни риболов</w:t>
            </w:r>
          </w:p>
        </w:tc>
        <w:tc>
          <w:tcPr>
            <w:tcW w:w="1280" w:type="dxa"/>
            <w:shd w:val="clear" w:color="000000" w:fill="FFFFFF"/>
            <w:hideMark/>
          </w:tcPr>
          <w:p w14:paraId="48114844"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shd w:val="clear" w:color="000000" w:fill="FFFFFF"/>
            <w:hideMark/>
          </w:tcPr>
          <w:p w14:paraId="5A0E29C6"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АЗЖС, РЗС</w:t>
            </w:r>
          </w:p>
        </w:tc>
        <w:tc>
          <w:tcPr>
            <w:tcW w:w="2000" w:type="dxa"/>
            <w:gridSpan w:val="2"/>
            <w:shd w:val="clear" w:color="000000" w:fill="FFFFFF"/>
            <w:hideMark/>
          </w:tcPr>
          <w:p w14:paraId="6C657F4C"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94.568</w:t>
            </w:r>
          </w:p>
        </w:tc>
        <w:tc>
          <w:tcPr>
            <w:tcW w:w="1520" w:type="dxa"/>
            <w:shd w:val="clear" w:color="000000" w:fill="FFFFFF"/>
            <w:hideMark/>
          </w:tcPr>
          <w:p w14:paraId="0CD175CE"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hideMark/>
          </w:tcPr>
          <w:p w14:paraId="385C3FA3"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93.500</w:t>
            </w:r>
          </w:p>
          <w:p w14:paraId="460215D3"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350" w:type="dxa"/>
            <w:hideMark/>
          </w:tcPr>
          <w:p w14:paraId="590C0FAD"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93.000</w:t>
            </w:r>
          </w:p>
          <w:p w14:paraId="3EC23963"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620" w:type="dxa"/>
            <w:hideMark/>
          </w:tcPr>
          <w:p w14:paraId="3C206721"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92.500</w:t>
            </w:r>
          </w:p>
          <w:p w14:paraId="42212080" w14:textId="7777777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bl>
    <w:p w14:paraId="7597D9E8" w14:textId="7FFF89F3" w:rsidR="007D7243" w:rsidRDefault="007D7243" w:rsidP="007D7243">
      <w:pPr>
        <w:spacing w:after="0"/>
        <w:rPr>
          <w:sz w:val="20"/>
          <w:szCs w:val="20"/>
          <w:lang w:val="sr-Cyrl-RS"/>
        </w:rPr>
      </w:pPr>
    </w:p>
    <w:p w14:paraId="095C3148" w14:textId="0319AADF" w:rsidR="0012465C" w:rsidRDefault="0012465C" w:rsidP="007D7243">
      <w:pPr>
        <w:spacing w:after="0"/>
        <w:rPr>
          <w:sz w:val="20"/>
          <w:szCs w:val="20"/>
          <w:lang w:val="sr-Cyrl-RS"/>
        </w:rPr>
      </w:pPr>
    </w:p>
    <w:p w14:paraId="0ABCDC5F" w14:textId="77777777" w:rsidR="0012465C" w:rsidRPr="00EF2F18" w:rsidRDefault="0012465C" w:rsidP="007D7243">
      <w:pPr>
        <w:spacing w:after="0"/>
        <w:rPr>
          <w:sz w:val="20"/>
          <w:szCs w:val="20"/>
          <w:lang w:val="sr-Cyrl-RS"/>
        </w:rPr>
      </w:pPr>
    </w:p>
    <w:tbl>
      <w:tblPr>
        <w:tblW w:w="13657" w:type="dxa"/>
        <w:tblLook w:val="04A0" w:firstRow="1" w:lastRow="0" w:firstColumn="1" w:lastColumn="0" w:noHBand="0" w:noVBand="1"/>
      </w:tblPr>
      <w:tblGrid>
        <w:gridCol w:w="3800"/>
        <w:gridCol w:w="2556"/>
        <w:gridCol w:w="2531"/>
        <w:gridCol w:w="2250"/>
        <w:gridCol w:w="2499"/>
        <w:gridCol w:w="21"/>
      </w:tblGrid>
      <w:tr w:rsidR="007D7243" w:rsidRPr="00EF2F18" w14:paraId="2026C8B4" w14:textId="77777777" w:rsidTr="00F47AD6">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D8F915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7C6A9F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4B7344E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47AD6" w:rsidRPr="00EF2F18" w14:paraId="6E53061F" w14:textId="77777777" w:rsidTr="00F47AD6">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0AEE6E1F" w14:textId="77777777" w:rsidR="00F47AD6" w:rsidRPr="00EF2F18" w:rsidRDefault="00F47AD6" w:rsidP="00752CA0">
            <w:pPr>
              <w:spacing w:after="0"/>
              <w:rPr>
                <w:rFonts w:eastAsia="Times New Roman" w:cs="Times New Roman"/>
                <w:color w:val="000000"/>
                <w:sz w:val="20"/>
                <w:szCs w:val="20"/>
                <w:lang w:val="sr-Cyrl-RS" w:eastAsia="en-GB"/>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78034EBC" w14:textId="77777777" w:rsidR="00F47AD6" w:rsidRPr="00EF2F18" w:rsidRDefault="00F47AD6" w:rsidP="00752CA0">
            <w:pPr>
              <w:spacing w:after="0"/>
              <w:rPr>
                <w:rFonts w:eastAsia="Times New Roman" w:cs="Times New Roman"/>
                <w:color w:val="000000"/>
                <w:sz w:val="20"/>
                <w:szCs w:val="20"/>
                <w:lang w:val="sr-Cyrl-RS" w:eastAsia="en-GB"/>
              </w:rPr>
            </w:pPr>
          </w:p>
        </w:tc>
        <w:tc>
          <w:tcPr>
            <w:tcW w:w="2531" w:type="dxa"/>
            <w:tcBorders>
              <w:top w:val="nil"/>
              <w:left w:val="nil"/>
              <w:bottom w:val="double" w:sz="6" w:space="0" w:color="auto"/>
              <w:right w:val="double" w:sz="6" w:space="0" w:color="auto"/>
            </w:tcBorders>
            <w:shd w:val="clear" w:color="000000" w:fill="A8D08D"/>
            <w:hideMark/>
          </w:tcPr>
          <w:p w14:paraId="7191E86A" w14:textId="0DEEE6B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250" w:type="dxa"/>
            <w:tcBorders>
              <w:top w:val="nil"/>
              <w:left w:val="nil"/>
              <w:bottom w:val="double" w:sz="6" w:space="0" w:color="auto"/>
              <w:right w:val="double" w:sz="6" w:space="0" w:color="auto"/>
            </w:tcBorders>
            <w:shd w:val="clear" w:color="000000" w:fill="A8D08D"/>
            <w:hideMark/>
          </w:tcPr>
          <w:p w14:paraId="058E2D09" w14:textId="5A3D84F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520" w:type="dxa"/>
            <w:gridSpan w:val="2"/>
            <w:tcBorders>
              <w:top w:val="nil"/>
              <w:left w:val="nil"/>
              <w:bottom w:val="double" w:sz="6" w:space="0" w:color="auto"/>
              <w:right w:val="double" w:sz="6" w:space="0" w:color="auto"/>
            </w:tcBorders>
            <w:shd w:val="clear" w:color="000000" w:fill="A8D08D"/>
            <w:hideMark/>
          </w:tcPr>
          <w:p w14:paraId="3A6275EE" w14:textId="249D9667"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F47AD6" w:rsidRPr="00EF2F18" w14:paraId="690BF920" w14:textId="77777777" w:rsidTr="00F47AD6">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021ECB3A"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556" w:type="dxa"/>
            <w:tcBorders>
              <w:top w:val="nil"/>
              <w:left w:val="nil"/>
              <w:bottom w:val="double" w:sz="6" w:space="0" w:color="auto"/>
              <w:right w:val="double" w:sz="6" w:space="0" w:color="auto"/>
            </w:tcBorders>
            <w:shd w:val="clear" w:color="000000" w:fill="FFFFFF"/>
            <w:hideMark/>
          </w:tcPr>
          <w:p w14:paraId="72671C33"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2531" w:type="dxa"/>
            <w:tcBorders>
              <w:top w:val="nil"/>
              <w:left w:val="nil"/>
              <w:bottom w:val="double" w:sz="6" w:space="0" w:color="auto"/>
              <w:right w:val="double" w:sz="6" w:space="0" w:color="auto"/>
            </w:tcBorders>
            <w:shd w:val="clear" w:color="000000" w:fill="FFFFFF"/>
          </w:tcPr>
          <w:p w14:paraId="588D5F96" w14:textId="387E4AA7" w:rsidR="00F47AD6" w:rsidRPr="00EF2F18" w:rsidRDefault="00F47AD6" w:rsidP="00752CA0">
            <w:pPr>
              <w:spacing w:after="0"/>
              <w:jc w:val="right"/>
              <w:rPr>
                <w:rFonts w:eastAsia="Times New Roman" w:cs="Times New Roman"/>
                <w:color w:val="000000"/>
                <w:sz w:val="20"/>
                <w:szCs w:val="20"/>
                <w:lang w:val="sr-Cyrl-RS" w:eastAsia="en-GB"/>
              </w:rPr>
            </w:pPr>
          </w:p>
        </w:tc>
        <w:tc>
          <w:tcPr>
            <w:tcW w:w="2250" w:type="dxa"/>
            <w:tcBorders>
              <w:top w:val="nil"/>
              <w:left w:val="nil"/>
              <w:bottom w:val="double" w:sz="6" w:space="0" w:color="auto"/>
              <w:right w:val="double" w:sz="6" w:space="0" w:color="auto"/>
            </w:tcBorders>
            <w:shd w:val="clear" w:color="000000" w:fill="FFFFFF"/>
          </w:tcPr>
          <w:p w14:paraId="4298F1B5" w14:textId="7BE5C332" w:rsidR="00F47AD6" w:rsidRPr="00EF2F18" w:rsidRDefault="00F47AD6" w:rsidP="00752CA0">
            <w:pPr>
              <w:spacing w:after="0"/>
              <w:jc w:val="right"/>
              <w:rPr>
                <w:rFonts w:eastAsia="Times New Roman" w:cs="Times New Roman"/>
                <w:color w:val="000000"/>
                <w:sz w:val="20"/>
                <w:szCs w:val="20"/>
                <w:lang w:val="sr-Cyrl-RS" w:eastAsia="en-GB"/>
              </w:rPr>
            </w:pPr>
          </w:p>
        </w:tc>
        <w:tc>
          <w:tcPr>
            <w:tcW w:w="2520" w:type="dxa"/>
            <w:gridSpan w:val="2"/>
            <w:tcBorders>
              <w:top w:val="nil"/>
              <w:left w:val="nil"/>
              <w:bottom w:val="double" w:sz="6" w:space="0" w:color="auto"/>
              <w:right w:val="double" w:sz="6" w:space="0" w:color="auto"/>
            </w:tcBorders>
            <w:shd w:val="clear" w:color="000000" w:fill="FFFFFF"/>
          </w:tcPr>
          <w:p w14:paraId="007D7C08" w14:textId="3355C14F"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33581536" w14:textId="77777777" w:rsidTr="00F47AD6">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0B611FA4"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Буџетска средства (МЗЖС)</w:t>
            </w:r>
          </w:p>
        </w:tc>
        <w:tc>
          <w:tcPr>
            <w:tcW w:w="2556" w:type="dxa"/>
            <w:tcBorders>
              <w:top w:val="nil"/>
              <w:left w:val="nil"/>
              <w:bottom w:val="double" w:sz="6" w:space="0" w:color="auto"/>
              <w:right w:val="double" w:sz="6" w:space="0" w:color="auto"/>
            </w:tcBorders>
            <w:shd w:val="clear" w:color="000000" w:fill="FFFFFF"/>
            <w:hideMark/>
          </w:tcPr>
          <w:p w14:paraId="28077B72"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2531" w:type="dxa"/>
            <w:tcBorders>
              <w:top w:val="nil"/>
              <w:left w:val="nil"/>
              <w:bottom w:val="double" w:sz="6" w:space="0" w:color="auto"/>
              <w:right w:val="double" w:sz="6" w:space="0" w:color="auto"/>
            </w:tcBorders>
            <w:hideMark/>
          </w:tcPr>
          <w:p w14:paraId="1B7B9F30"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w:t>
            </w:r>
          </w:p>
        </w:tc>
        <w:tc>
          <w:tcPr>
            <w:tcW w:w="2250" w:type="dxa"/>
            <w:tcBorders>
              <w:top w:val="nil"/>
              <w:left w:val="nil"/>
              <w:bottom w:val="double" w:sz="6" w:space="0" w:color="auto"/>
              <w:right w:val="double" w:sz="6" w:space="0" w:color="auto"/>
            </w:tcBorders>
            <w:hideMark/>
          </w:tcPr>
          <w:p w14:paraId="7096C655"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w:t>
            </w:r>
          </w:p>
        </w:tc>
        <w:tc>
          <w:tcPr>
            <w:tcW w:w="2520" w:type="dxa"/>
            <w:gridSpan w:val="2"/>
            <w:tcBorders>
              <w:top w:val="nil"/>
              <w:left w:val="nil"/>
              <w:bottom w:val="double" w:sz="6" w:space="0" w:color="auto"/>
              <w:right w:val="double" w:sz="6" w:space="0" w:color="auto"/>
            </w:tcBorders>
            <w:shd w:val="clear" w:color="000000" w:fill="FFFFFF"/>
            <w:hideMark/>
          </w:tcPr>
          <w:p w14:paraId="6343992C" w14:textId="298C497F"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w:t>
            </w:r>
          </w:p>
        </w:tc>
      </w:tr>
    </w:tbl>
    <w:p w14:paraId="5532857E" w14:textId="77777777" w:rsidR="007D7243" w:rsidRPr="00EF2F18" w:rsidRDefault="007D7243" w:rsidP="007D7243">
      <w:pPr>
        <w:spacing w:after="0"/>
        <w:rPr>
          <w:sz w:val="20"/>
          <w:szCs w:val="20"/>
          <w:lang w:val="sr-Cyrl-RS"/>
        </w:rPr>
      </w:pPr>
    </w:p>
    <w:tbl>
      <w:tblPr>
        <w:tblW w:w="13657" w:type="dxa"/>
        <w:tblLook w:val="04A0" w:firstRow="1" w:lastRow="0" w:firstColumn="1" w:lastColumn="0" w:noHBand="0" w:noVBand="1"/>
      </w:tblPr>
      <w:tblGrid>
        <w:gridCol w:w="2937"/>
        <w:gridCol w:w="1253"/>
        <w:gridCol w:w="1240"/>
        <w:gridCol w:w="1182"/>
        <w:gridCol w:w="1691"/>
        <w:gridCol w:w="1340"/>
        <w:gridCol w:w="1224"/>
        <w:gridCol w:w="1260"/>
        <w:gridCol w:w="1530"/>
      </w:tblGrid>
      <w:tr w:rsidR="007D7243" w:rsidRPr="00EF2F18" w14:paraId="53E9ED63" w14:textId="77777777" w:rsidTr="00F47AD6">
        <w:trPr>
          <w:trHeight w:val="732"/>
        </w:trPr>
        <w:tc>
          <w:tcPr>
            <w:tcW w:w="2937"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0E381A8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95F5CA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A724CC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DF9686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42640A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A8B4AB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14" w:type="dxa"/>
            <w:gridSpan w:val="3"/>
            <w:tcBorders>
              <w:top w:val="double" w:sz="6" w:space="0" w:color="auto"/>
              <w:left w:val="nil"/>
              <w:bottom w:val="single" w:sz="8" w:space="0" w:color="auto"/>
              <w:right w:val="double" w:sz="6" w:space="0" w:color="auto"/>
            </w:tcBorders>
            <w:shd w:val="clear" w:color="000000" w:fill="FFF2CC"/>
            <w:hideMark/>
          </w:tcPr>
          <w:p w14:paraId="0CBD441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47AD6" w:rsidRPr="00EF2F18" w14:paraId="192A0CC3" w14:textId="77777777" w:rsidTr="00F35214">
        <w:trPr>
          <w:trHeight w:val="324"/>
        </w:trPr>
        <w:tc>
          <w:tcPr>
            <w:tcW w:w="2937" w:type="dxa"/>
            <w:vMerge/>
            <w:tcBorders>
              <w:top w:val="double" w:sz="6" w:space="0" w:color="auto"/>
              <w:left w:val="double" w:sz="6" w:space="0" w:color="auto"/>
              <w:bottom w:val="single" w:sz="8" w:space="0" w:color="000000"/>
              <w:right w:val="single" w:sz="8" w:space="0" w:color="auto"/>
            </w:tcBorders>
            <w:vAlign w:val="center"/>
            <w:hideMark/>
          </w:tcPr>
          <w:p w14:paraId="5044D04C" w14:textId="77777777" w:rsidR="00F47AD6" w:rsidRPr="00EF2F18" w:rsidRDefault="00F47AD6" w:rsidP="00752CA0">
            <w:pPr>
              <w:spacing w:after="0"/>
              <w:rPr>
                <w:rFonts w:eastAsia="Times New Roman" w:cs="Times New Roman"/>
                <w:color w:val="000000"/>
                <w:sz w:val="20"/>
                <w:szCs w:val="20"/>
                <w:lang w:val="sr-Cyrl-RS" w:eastAsia="en-GB"/>
              </w:rPr>
            </w:pPr>
          </w:p>
        </w:tc>
        <w:tc>
          <w:tcPr>
            <w:tcW w:w="1253" w:type="dxa"/>
            <w:vMerge/>
            <w:tcBorders>
              <w:top w:val="double" w:sz="6" w:space="0" w:color="auto"/>
              <w:left w:val="single" w:sz="8" w:space="0" w:color="auto"/>
              <w:bottom w:val="single" w:sz="8" w:space="0" w:color="000000"/>
              <w:right w:val="single" w:sz="8" w:space="0" w:color="auto"/>
            </w:tcBorders>
            <w:vAlign w:val="center"/>
            <w:hideMark/>
          </w:tcPr>
          <w:p w14:paraId="7AF7CB92" w14:textId="77777777" w:rsidR="00F47AD6" w:rsidRPr="00EF2F18" w:rsidRDefault="00F47AD6"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0F49A9B0" w14:textId="77777777" w:rsidR="00F47AD6" w:rsidRPr="00EF2F18" w:rsidRDefault="00F47AD6"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17FF6BFA" w14:textId="77777777" w:rsidR="00F47AD6" w:rsidRPr="00EF2F18" w:rsidRDefault="00F47AD6"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3CDE21A6" w14:textId="77777777" w:rsidR="00F47AD6" w:rsidRPr="00EF2F18" w:rsidRDefault="00F47AD6"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30BDB040" w14:textId="77777777" w:rsidR="00F47AD6" w:rsidRPr="00EF2F18" w:rsidRDefault="00F47AD6" w:rsidP="00752CA0">
            <w:pPr>
              <w:spacing w:after="0"/>
              <w:rPr>
                <w:rFonts w:eastAsia="Times New Roman" w:cs="Times New Roman"/>
                <w:color w:val="000000"/>
                <w:sz w:val="20"/>
                <w:szCs w:val="20"/>
                <w:lang w:val="sr-Cyrl-RS" w:eastAsia="en-GB"/>
              </w:rPr>
            </w:pPr>
          </w:p>
        </w:tc>
        <w:tc>
          <w:tcPr>
            <w:tcW w:w="1224" w:type="dxa"/>
            <w:tcBorders>
              <w:top w:val="nil"/>
              <w:left w:val="nil"/>
              <w:bottom w:val="single" w:sz="8" w:space="0" w:color="auto"/>
              <w:right w:val="single" w:sz="8" w:space="0" w:color="auto"/>
            </w:tcBorders>
            <w:shd w:val="clear" w:color="000000" w:fill="FFF2CC"/>
            <w:hideMark/>
          </w:tcPr>
          <w:p w14:paraId="674C9BFB" w14:textId="7CD677ED"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0108E4BF" w14:textId="4F390534"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4D3C30D4" w14:textId="0AEEE7AB" w:rsidR="00F47AD6" w:rsidRPr="00EF2F18" w:rsidRDefault="00F47AD6"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F47AD6" w:rsidRPr="00EF2F18" w14:paraId="783F4F93" w14:textId="77777777" w:rsidTr="00F35214">
        <w:trPr>
          <w:trHeight w:val="804"/>
        </w:trPr>
        <w:tc>
          <w:tcPr>
            <w:tcW w:w="2937" w:type="dxa"/>
            <w:tcBorders>
              <w:top w:val="nil"/>
              <w:left w:val="double" w:sz="6" w:space="0" w:color="auto"/>
              <w:bottom w:val="single" w:sz="8" w:space="0" w:color="auto"/>
              <w:right w:val="single" w:sz="8" w:space="0" w:color="auto"/>
            </w:tcBorders>
            <w:hideMark/>
          </w:tcPr>
          <w:p w14:paraId="7D38485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4.2.3.1. Измена Наредбе о мерама за очување и заштиту рибљег фонда</w:t>
            </w:r>
          </w:p>
        </w:tc>
        <w:tc>
          <w:tcPr>
            <w:tcW w:w="1253" w:type="dxa"/>
            <w:tcBorders>
              <w:top w:val="nil"/>
              <w:left w:val="nil"/>
              <w:bottom w:val="single" w:sz="8" w:space="0" w:color="auto"/>
              <w:right w:val="single" w:sz="8" w:space="0" w:color="auto"/>
            </w:tcBorders>
            <w:hideMark/>
          </w:tcPr>
          <w:p w14:paraId="733B1D18"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3DD8219F"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МУП</w:t>
            </w:r>
          </w:p>
        </w:tc>
        <w:tc>
          <w:tcPr>
            <w:tcW w:w="1182" w:type="dxa"/>
            <w:tcBorders>
              <w:top w:val="nil"/>
              <w:left w:val="nil"/>
              <w:bottom w:val="single" w:sz="8" w:space="0" w:color="auto"/>
              <w:right w:val="single" w:sz="8" w:space="0" w:color="auto"/>
            </w:tcBorders>
            <w:hideMark/>
          </w:tcPr>
          <w:p w14:paraId="278EAD00"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278FA37B"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4C7F6E4A"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0405-560-0001-411</w:t>
            </w:r>
          </w:p>
        </w:tc>
        <w:tc>
          <w:tcPr>
            <w:tcW w:w="1224" w:type="dxa"/>
            <w:tcBorders>
              <w:top w:val="nil"/>
              <w:left w:val="nil"/>
              <w:bottom w:val="single" w:sz="8" w:space="0" w:color="auto"/>
              <w:right w:val="single" w:sz="8" w:space="0" w:color="auto"/>
            </w:tcBorders>
          </w:tcPr>
          <w:p w14:paraId="36CC783C" w14:textId="094A8152" w:rsidR="00F47AD6" w:rsidRPr="00EF2F18" w:rsidRDefault="00F47AD6"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5D2D5A94" w14:textId="70F5304A" w:rsidR="00F47AD6" w:rsidRPr="00EF2F18" w:rsidRDefault="00F47AD6"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2FF8D63B" w14:textId="472EFEE3" w:rsidR="00F47AD6" w:rsidRPr="00EF2F18" w:rsidRDefault="00F47AD6" w:rsidP="00752CA0">
            <w:pPr>
              <w:spacing w:after="0"/>
              <w:jc w:val="right"/>
              <w:rPr>
                <w:rFonts w:eastAsia="Times New Roman" w:cs="Times New Roman"/>
                <w:color w:val="000000"/>
                <w:sz w:val="20"/>
                <w:szCs w:val="20"/>
                <w:lang w:val="sr-Cyrl-RS" w:eastAsia="en-GB"/>
              </w:rPr>
            </w:pPr>
          </w:p>
        </w:tc>
      </w:tr>
      <w:tr w:rsidR="00F47AD6" w:rsidRPr="00EF2F18" w14:paraId="136069D1" w14:textId="77777777" w:rsidTr="00F35214">
        <w:trPr>
          <w:trHeight w:val="804"/>
        </w:trPr>
        <w:tc>
          <w:tcPr>
            <w:tcW w:w="2937" w:type="dxa"/>
            <w:tcBorders>
              <w:top w:val="nil"/>
              <w:left w:val="double" w:sz="6" w:space="0" w:color="auto"/>
              <w:bottom w:val="double" w:sz="6" w:space="0" w:color="auto"/>
              <w:right w:val="single" w:sz="8" w:space="0" w:color="auto"/>
            </w:tcBorders>
            <w:hideMark/>
          </w:tcPr>
          <w:p w14:paraId="2FDCB8CF"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4.2.3.2. Унапређивање континуиране едукације у циљу заштите рибљег фонда</w:t>
            </w:r>
          </w:p>
        </w:tc>
        <w:tc>
          <w:tcPr>
            <w:tcW w:w="1253" w:type="dxa"/>
            <w:tcBorders>
              <w:top w:val="nil"/>
              <w:left w:val="nil"/>
              <w:bottom w:val="double" w:sz="6" w:space="0" w:color="auto"/>
              <w:right w:val="single" w:sz="8" w:space="0" w:color="auto"/>
            </w:tcBorders>
            <w:hideMark/>
          </w:tcPr>
          <w:p w14:paraId="41AAA129"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double" w:sz="6" w:space="0" w:color="auto"/>
              <w:right w:val="single" w:sz="8" w:space="0" w:color="auto"/>
            </w:tcBorders>
            <w:hideMark/>
          </w:tcPr>
          <w:p w14:paraId="49F57211"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МУП, ПСУЗЖС ЗЗПС</w:t>
            </w:r>
          </w:p>
        </w:tc>
        <w:tc>
          <w:tcPr>
            <w:tcW w:w="1182" w:type="dxa"/>
            <w:tcBorders>
              <w:top w:val="nil"/>
              <w:left w:val="nil"/>
              <w:bottom w:val="double" w:sz="6" w:space="0" w:color="auto"/>
              <w:right w:val="single" w:sz="8" w:space="0" w:color="auto"/>
            </w:tcBorders>
            <w:hideMark/>
          </w:tcPr>
          <w:p w14:paraId="6825DDA6"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0FB52397"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double" w:sz="6" w:space="0" w:color="auto"/>
              <w:right w:val="single" w:sz="8" w:space="0" w:color="auto"/>
            </w:tcBorders>
            <w:hideMark/>
          </w:tcPr>
          <w:p w14:paraId="33231C1E" w14:textId="77777777" w:rsidR="00F47AD6" w:rsidRPr="00EF2F18" w:rsidRDefault="00F47AD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0405-560-0001-424</w:t>
            </w:r>
          </w:p>
        </w:tc>
        <w:tc>
          <w:tcPr>
            <w:tcW w:w="1224" w:type="dxa"/>
            <w:tcBorders>
              <w:top w:val="nil"/>
              <w:left w:val="nil"/>
              <w:bottom w:val="double" w:sz="6" w:space="0" w:color="auto"/>
              <w:right w:val="single" w:sz="8" w:space="0" w:color="auto"/>
            </w:tcBorders>
            <w:hideMark/>
          </w:tcPr>
          <w:p w14:paraId="76BDDB1E"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w:t>
            </w:r>
          </w:p>
        </w:tc>
        <w:tc>
          <w:tcPr>
            <w:tcW w:w="1260" w:type="dxa"/>
            <w:tcBorders>
              <w:top w:val="nil"/>
              <w:left w:val="nil"/>
              <w:bottom w:val="double" w:sz="6" w:space="0" w:color="auto"/>
              <w:right w:val="single" w:sz="8" w:space="0" w:color="auto"/>
            </w:tcBorders>
            <w:hideMark/>
          </w:tcPr>
          <w:p w14:paraId="6C8C09AD" w14:textId="77777777"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w:t>
            </w:r>
          </w:p>
        </w:tc>
        <w:tc>
          <w:tcPr>
            <w:tcW w:w="1530" w:type="dxa"/>
            <w:tcBorders>
              <w:top w:val="nil"/>
              <w:left w:val="nil"/>
              <w:bottom w:val="double" w:sz="6" w:space="0" w:color="auto"/>
              <w:right w:val="double" w:sz="6" w:space="0" w:color="auto"/>
            </w:tcBorders>
            <w:hideMark/>
          </w:tcPr>
          <w:p w14:paraId="535C34BF" w14:textId="7E5F4FFB" w:rsidR="00F47AD6" w:rsidRPr="00EF2F18" w:rsidRDefault="00F47A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w:t>
            </w:r>
          </w:p>
        </w:tc>
      </w:tr>
    </w:tbl>
    <w:p w14:paraId="74C83603" w14:textId="64852560" w:rsidR="007D7243" w:rsidRPr="00EF2F18" w:rsidRDefault="00304D6D"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4B0ABAB4" w14:textId="77777777" w:rsidR="00A25CE0" w:rsidRPr="00EF2F18" w:rsidRDefault="00A25CE0" w:rsidP="007D7243">
      <w:pPr>
        <w:spacing w:after="0"/>
        <w:rPr>
          <w:rFonts w:cs="Times New Roman"/>
          <w:sz w:val="20"/>
          <w:szCs w:val="20"/>
          <w:lang w:val="sr-Cyrl-RS"/>
        </w:rPr>
      </w:pPr>
    </w:p>
    <w:p w14:paraId="01F033D4" w14:textId="77777777" w:rsidR="00A25CE0" w:rsidRPr="00EF2F18" w:rsidRDefault="00A25CE0" w:rsidP="007D7243">
      <w:pPr>
        <w:spacing w:after="0"/>
        <w:rPr>
          <w:rFonts w:cs="Times New Roman"/>
          <w:sz w:val="20"/>
          <w:szCs w:val="20"/>
          <w:lang w:val="sr-Cyrl-RS"/>
        </w:rPr>
      </w:pPr>
    </w:p>
    <w:tbl>
      <w:tblPr>
        <w:tblStyle w:val="TableGrid"/>
        <w:tblW w:w="1367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4805"/>
        <w:gridCol w:w="1111"/>
        <w:gridCol w:w="1680"/>
        <w:gridCol w:w="1587"/>
        <w:gridCol w:w="1493"/>
        <w:gridCol w:w="1400"/>
        <w:gridCol w:w="1601"/>
      </w:tblGrid>
      <w:tr w:rsidR="007D7243" w:rsidRPr="00EF2F18" w14:paraId="38C6FFE0" w14:textId="77777777" w:rsidTr="00752CA0">
        <w:trPr>
          <w:trHeight w:val="454"/>
        </w:trPr>
        <w:tc>
          <w:tcPr>
            <w:tcW w:w="13677" w:type="dxa"/>
            <w:gridSpan w:val="7"/>
            <w:shd w:val="clear" w:color="auto" w:fill="DEEAF6" w:themeFill="accent1" w:themeFillTint="33"/>
          </w:tcPr>
          <w:p w14:paraId="3FCD0F0B" w14:textId="77777777" w:rsidR="007D7243" w:rsidRPr="00EF2F18" w:rsidRDefault="007D7243" w:rsidP="00752CA0">
            <w:pPr>
              <w:rPr>
                <w:rFonts w:cs="Times New Roman"/>
                <w:b/>
                <w:sz w:val="20"/>
                <w:szCs w:val="20"/>
                <w:lang w:val="sr-Cyrl-RS"/>
              </w:rPr>
            </w:pPr>
            <w:r w:rsidRPr="00EF2F18">
              <w:rPr>
                <w:rFonts w:cs="Times New Roman"/>
                <w:b/>
                <w:sz w:val="20"/>
                <w:szCs w:val="20"/>
                <w:lang w:val="sr-Cyrl-RS"/>
              </w:rPr>
              <w:t>Општи циљ 5: Раст доприноса пољопривредно - прехрамбеног сектора очувању животне средине и повећању отпорности на измењене климатске услове</w:t>
            </w:r>
          </w:p>
        </w:tc>
      </w:tr>
      <w:tr w:rsidR="007D7243" w:rsidRPr="00EF2F18" w14:paraId="1AD72DE0" w14:textId="77777777" w:rsidTr="00752CA0">
        <w:trPr>
          <w:trHeight w:val="424"/>
        </w:trPr>
        <w:tc>
          <w:tcPr>
            <w:tcW w:w="13677" w:type="dxa"/>
            <w:gridSpan w:val="7"/>
            <w:shd w:val="clear" w:color="auto" w:fill="DEEAF6" w:themeFill="accent1" w:themeFillTint="33"/>
            <w:vAlign w:val="center"/>
          </w:tcPr>
          <w:p w14:paraId="4552F6E9" w14:textId="77777777" w:rsidR="007D7243" w:rsidRPr="00EF2F18" w:rsidRDefault="007D7243" w:rsidP="00752CA0">
            <w:pPr>
              <w:rPr>
                <w:rFonts w:cs="Times New Roman"/>
                <w:bCs/>
                <w:sz w:val="20"/>
                <w:szCs w:val="20"/>
                <w:lang w:val="sr-Cyrl-RS"/>
              </w:rPr>
            </w:pPr>
            <w:r w:rsidRPr="00EF2F18">
              <w:rPr>
                <w:rFonts w:eastAsia="Times New Roman" w:cs="Times New Roman"/>
                <w:bCs/>
                <w:color w:val="222222"/>
                <w:sz w:val="20"/>
                <w:szCs w:val="20"/>
                <w:lang w:val="sr-Cyrl-RS"/>
              </w:rPr>
              <w:t xml:space="preserve">Институција одговорна за праћење и контролу реализације: </w:t>
            </w:r>
            <w:r w:rsidRPr="00EF2F18">
              <w:rPr>
                <w:rFonts w:cs="Times New Roman"/>
                <w:bCs/>
                <w:sz w:val="20"/>
                <w:szCs w:val="20"/>
                <w:lang w:val="sr-Cyrl-RS"/>
              </w:rPr>
              <w:t xml:space="preserve">Министарство пољопривреде, шумарства и водопривреде </w:t>
            </w:r>
          </w:p>
        </w:tc>
      </w:tr>
      <w:tr w:rsidR="007D7243" w:rsidRPr="00EF2F18" w14:paraId="4479337C" w14:textId="77777777" w:rsidTr="00752CA0">
        <w:trPr>
          <w:trHeight w:val="424"/>
        </w:trPr>
        <w:tc>
          <w:tcPr>
            <w:tcW w:w="4805" w:type="dxa"/>
            <w:shd w:val="clear" w:color="auto" w:fill="D9D9D9" w:themeFill="background1" w:themeFillShade="D9"/>
          </w:tcPr>
          <w:p w14:paraId="4C07AD10"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 xml:space="preserve">Показатељ (и) на нивоу oпштег циља </w:t>
            </w:r>
            <w:r w:rsidRPr="00EF2F18">
              <w:rPr>
                <w:rFonts w:cs="Times New Roman"/>
                <w:i/>
                <w:sz w:val="20"/>
                <w:szCs w:val="20"/>
                <w:lang w:val="sr-Cyrl-RS"/>
              </w:rPr>
              <w:t>(показатељ eфекта)</w:t>
            </w:r>
          </w:p>
        </w:tc>
        <w:tc>
          <w:tcPr>
            <w:tcW w:w="1111" w:type="dxa"/>
            <w:shd w:val="clear" w:color="auto" w:fill="D9D9D9" w:themeFill="background1" w:themeFillShade="D9"/>
          </w:tcPr>
          <w:p w14:paraId="5D870B9D"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Jединица мере</w:t>
            </w:r>
          </w:p>
          <w:p w14:paraId="20D566D8" w14:textId="77777777" w:rsidR="007D7243" w:rsidRPr="00EF2F18" w:rsidRDefault="007D7243" w:rsidP="00752CA0">
            <w:pPr>
              <w:jc w:val="center"/>
              <w:rPr>
                <w:rFonts w:cs="Times New Roman"/>
                <w:sz w:val="20"/>
                <w:szCs w:val="20"/>
                <w:lang w:val="sr-Cyrl-RS"/>
              </w:rPr>
            </w:pPr>
          </w:p>
        </w:tc>
        <w:tc>
          <w:tcPr>
            <w:tcW w:w="1680" w:type="dxa"/>
            <w:shd w:val="clear" w:color="auto" w:fill="D9D9D9" w:themeFill="background1" w:themeFillShade="D9"/>
          </w:tcPr>
          <w:p w14:paraId="35D73A05"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Извор провере</w:t>
            </w:r>
          </w:p>
        </w:tc>
        <w:tc>
          <w:tcPr>
            <w:tcW w:w="1587" w:type="dxa"/>
            <w:shd w:val="clear" w:color="auto" w:fill="D9D9D9" w:themeFill="background1" w:themeFillShade="D9"/>
          </w:tcPr>
          <w:p w14:paraId="1CD9AB95"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Почетна вредност</w:t>
            </w:r>
          </w:p>
        </w:tc>
        <w:tc>
          <w:tcPr>
            <w:tcW w:w="1493" w:type="dxa"/>
            <w:shd w:val="clear" w:color="auto" w:fill="D9D9D9" w:themeFill="background1" w:themeFillShade="D9"/>
          </w:tcPr>
          <w:p w14:paraId="65983DD5"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Базна година</w:t>
            </w:r>
          </w:p>
        </w:tc>
        <w:tc>
          <w:tcPr>
            <w:tcW w:w="1400" w:type="dxa"/>
            <w:shd w:val="clear" w:color="auto" w:fill="D9D9D9" w:themeFill="background1" w:themeFillShade="D9"/>
          </w:tcPr>
          <w:p w14:paraId="1C88F1E4"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Циљaна вредност</w:t>
            </w:r>
          </w:p>
        </w:tc>
        <w:tc>
          <w:tcPr>
            <w:tcW w:w="1600" w:type="dxa"/>
            <w:shd w:val="clear" w:color="auto" w:fill="D9D9D9" w:themeFill="background1" w:themeFillShade="D9"/>
          </w:tcPr>
          <w:p w14:paraId="4CB485AE"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Последња година важења АП</w:t>
            </w:r>
          </w:p>
        </w:tc>
      </w:tr>
      <w:tr w:rsidR="007D7243" w:rsidRPr="00EF2F18" w14:paraId="3BCEFCE6" w14:textId="77777777" w:rsidTr="00752CA0">
        <w:trPr>
          <w:trHeight w:val="197"/>
        </w:trPr>
        <w:tc>
          <w:tcPr>
            <w:tcW w:w="4805" w:type="dxa"/>
            <w:shd w:val="clear" w:color="auto" w:fill="FFFFFF" w:themeFill="background1"/>
          </w:tcPr>
          <w:p w14:paraId="78B8FCA0" w14:textId="77777777" w:rsidR="007D7243" w:rsidRPr="00EF2F18" w:rsidRDefault="007D7243" w:rsidP="00752CA0">
            <w:pPr>
              <w:spacing w:after="0"/>
              <w:rPr>
                <w:rFonts w:eastAsia="Arial" w:cs="Times New Roman"/>
                <w:color w:val="000000"/>
                <w:sz w:val="20"/>
                <w:szCs w:val="20"/>
                <w:lang w:val="sr-Cyrl-RS"/>
              </w:rPr>
            </w:pPr>
            <w:r w:rsidRPr="00EF2F18">
              <w:rPr>
                <w:rFonts w:eastAsia="Arial" w:cs="Times New Roman"/>
                <w:color w:val="000000"/>
                <w:sz w:val="20"/>
                <w:szCs w:val="20"/>
                <w:lang w:val="sr-Cyrl-RS"/>
              </w:rPr>
              <w:t xml:space="preserve">Садржај органског угљеника у пољопривредном земљишту </w:t>
            </w:r>
          </w:p>
        </w:tc>
        <w:tc>
          <w:tcPr>
            <w:tcW w:w="1111" w:type="dxa"/>
            <w:shd w:val="clear" w:color="auto" w:fill="FFFFFF" w:themeFill="background1"/>
          </w:tcPr>
          <w:p w14:paraId="6BC08B7F"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eastAsia="Arial" w:cs="Times New Roman"/>
                <w:color w:val="000000"/>
                <w:sz w:val="20"/>
                <w:szCs w:val="20"/>
                <w:lang w:val="sr-Cyrl-RS"/>
              </w:rPr>
              <w:t>%</w:t>
            </w:r>
          </w:p>
        </w:tc>
        <w:tc>
          <w:tcPr>
            <w:tcW w:w="1680" w:type="dxa"/>
            <w:shd w:val="clear" w:color="auto" w:fill="FFFFFF" w:themeFill="background1"/>
          </w:tcPr>
          <w:p w14:paraId="54B46D43" w14:textId="77777777" w:rsidR="007D7243" w:rsidRPr="00EF2F18" w:rsidRDefault="007D7243" w:rsidP="00752CA0">
            <w:pPr>
              <w:spacing w:after="0"/>
              <w:rPr>
                <w:rFonts w:cs="Times New Roman"/>
                <w:color w:val="FF0000"/>
                <w:sz w:val="20"/>
                <w:szCs w:val="20"/>
                <w:lang w:val="sr-Cyrl-RS"/>
              </w:rPr>
            </w:pPr>
            <w:r w:rsidRPr="00EF2F18">
              <w:rPr>
                <w:rFonts w:eastAsia="Arial" w:cs="Times New Roman"/>
                <w:color w:val="000000"/>
                <w:sz w:val="20"/>
                <w:szCs w:val="20"/>
                <w:lang w:val="sr-Cyrl-RS"/>
              </w:rPr>
              <w:t xml:space="preserve">Извештај о стању животне средине </w:t>
            </w:r>
          </w:p>
        </w:tc>
        <w:tc>
          <w:tcPr>
            <w:tcW w:w="1587" w:type="dxa"/>
            <w:shd w:val="clear" w:color="auto" w:fill="FFFFFF" w:themeFill="background1"/>
          </w:tcPr>
          <w:p w14:paraId="28D0935C" w14:textId="09D4BB96" w:rsidR="007D7243" w:rsidRPr="00EF2F18" w:rsidRDefault="007D7243" w:rsidP="00752CA0">
            <w:pPr>
              <w:spacing w:after="0"/>
              <w:jc w:val="center"/>
              <w:rPr>
                <w:rFonts w:eastAsia="Arial" w:cs="Times New Roman"/>
                <w:color w:val="000000"/>
                <w:sz w:val="20"/>
                <w:szCs w:val="20"/>
                <w:lang w:val="sr-Cyrl-RS"/>
              </w:rPr>
            </w:pPr>
            <w:r w:rsidRPr="00EF2F18">
              <w:rPr>
                <w:rFonts w:eastAsia="Arial" w:cs="Times New Roman"/>
                <w:color w:val="000000"/>
                <w:sz w:val="20"/>
                <w:szCs w:val="20"/>
                <w:lang w:val="sr-Cyrl-RS"/>
              </w:rPr>
              <w:t>1,80</w:t>
            </w:r>
            <w:r w:rsidR="00FA7222" w:rsidRPr="00EF2F18">
              <w:rPr>
                <w:rFonts w:eastAsia="Arial" w:cs="Times New Roman"/>
                <w:color w:val="000000"/>
                <w:sz w:val="20"/>
                <w:szCs w:val="20"/>
                <w:lang w:val="sr-Cyrl-RS"/>
              </w:rPr>
              <w:t xml:space="preserve"> </w:t>
            </w:r>
          </w:p>
          <w:p w14:paraId="64B1F91A" w14:textId="77777777" w:rsidR="007D7243" w:rsidRPr="00EF2F18" w:rsidRDefault="007D7243" w:rsidP="00752CA0">
            <w:pPr>
              <w:spacing w:after="0"/>
              <w:jc w:val="center"/>
              <w:rPr>
                <w:rFonts w:cs="Times New Roman"/>
                <w:color w:val="FF0000"/>
                <w:sz w:val="20"/>
                <w:szCs w:val="20"/>
                <w:lang w:val="sr-Cyrl-RS"/>
              </w:rPr>
            </w:pPr>
          </w:p>
        </w:tc>
        <w:tc>
          <w:tcPr>
            <w:tcW w:w="1493" w:type="dxa"/>
            <w:shd w:val="clear" w:color="auto" w:fill="FFFFFF" w:themeFill="background1"/>
          </w:tcPr>
          <w:p w14:paraId="1AAE3BA1"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2019.</w:t>
            </w:r>
          </w:p>
        </w:tc>
        <w:tc>
          <w:tcPr>
            <w:tcW w:w="1400" w:type="dxa"/>
            <w:shd w:val="clear" w:color="auto" w:fill="FFFFFF" w:themeFill="background1"/>
          </w:tcPr>
          <w:p w14:paraId="29325985"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1,9</w:t>
            </w:r>
          </w:p>
        </w:tc>
        <w:tc>
          <w:tcPr>
            <w:tcW w:w="1600" w:type="dxa"/>
            <w:shd w:val="clear" w:color="auto" w:fill="FFFFFF" w:themeFill="background1"/>
          </w:tcPr>
          <w:p w14:paraId="0BA1087B"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r w:rsidR="007D7243" w:rsidRPr="00EF2F18" w14:paraId="34C9428C" w14:textId="77777777" w:rsidTr="00752CA0">
        <w:trPr>
          <w:trHeight w:val="197"/>
        </w:trPr>
        <w:tc>
          <w:tcPr>
            <w:tcW w:w="4805" w:type="dxa"/>
            <w:shd w:val="clear" w:color="auto" w:fill="FFFFFF" w:themeFill="background1"/>
          </w:tcPr>
          <w:p w14:paraId="0EC8CF76" w14:textId="77777777" w:rsidR="007D7243" w:rsidRPr="00EF2F18" w:rsidRDefault="007D7243" w:rsidP="00752CA0">
            <w:pPr>
              <w:spacing w:after="0"/>
              <w:rPr>
                <w:rFonts w:eastAsia="Arial" w:cs="Times New Roman"/>
                <w:color w:val="000000"/>
                <w:sz w:val="20"/>
                <w:szCs w:val="20"/>
                <w:lang w:val="sr-Cyrl-RS"/>
              </w:rPr>
            </w:pPr>
            <w:r w:rsidRPr="00EF2F18">
              <w:rPr>
                <w:rFonts w:eastAsia="Arial" w:cs="Times New Roman"/>
                <w:color w:val="000000"/>
                <w:sz w:val="20"/>
                <w:szCs w:val="20"/>
                <w:lang w:val="sr-Cyrl-RS"/>
              </w:rPr>
              <w:t xml:space="preserve">Реализована подршка инвестицијама у физичке ресурсе газдинстава и праксе повољне по животну средину </w:t>
            </w:r>
          </w:p>
        </w:tc>
        <w:tc>
          <w:tcPr>
            <w:tcW w:w="1111" w:type="dxa"/>
            <w:shd w:val="clear" w:color="auto" w:fill="FFFFFF" w:themeFill="background1"/>
          </w:tcPr>
          <w:p w14:paraId="48CB956B"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eastAsia="Arial" w:cs="Times New Roman"/>
                <w:color w:val="000000"/>
                <w:sz w:val="20"/>
                <w:szCs w:val="20"/>
                <w:lang w:val="sr-Cyrl-RS"/>
              </w:rPr>
              <w:t>мил. ЕУР годишње</w:t>
            </w:r>
          </w:p>
        </w:tc>
        <w:tc>
          <w:tcPr>
            <w:tcW w:w="1680" w:type="dxa"/>
            <w:shd w:val="clear" w:color="auto" w:fill="FFFFFF" w:themeFill="background1"/>
          </w:tcPr>
          <w:p w14:paraId="45300283" w14:textId="77777777" w:rsidR="007D7243" w:rsidRPr="00EF2F18" w:rsidRDefault="007D7243" w:rsidP="00752CA0">
            <w:pPr>
              <w:spacing w:after="0"/>
              <w:rPr>
                <w:rFonts w:cs="Times New Roman"/>
                <w:sz w:val="20"/>
                <w:szCs w:val="20"/>
                <w:lang w:val="sr-Cyrl-RS"/>
              </w:rPr>
            </w:pPr>
            <w:r w:rsidRPr="00EF2F18">
              <w:rPr>
                <w:rFonts w:eastAsia="Arial" w:cs="Times New Roman"/>
                <w:color w:val="000000"/>
                <w:sz w:val="20"/>
                <w:szCs w:val="20"/>
                <w:lang w:val="sr-Cyrl-RS"/>
              </w:rPr>
              <w:t>МПШВ</w:t>
            </w:r>
          </w:p>
        </w:tc>
        <w:tc>
          <w:tcPr>
            <w:tcW w:w="1587" w:type="dxa"/>
            <w:shd w:val="clear" w:color="auto" w:fill="FFFFFF" w:themeFill="background1"/>
          </w:tcPr>
          <w:p w14:paraId="5DDD30DB" w14:textId="77777777" w:rsidR="007D7243" w:rsidRPr="00EF2F18" w:rsidRDefault="007D7243" w:rsidP="00752CA0">
            <w:pPr>
              <w:spacing w:after="0"/>
              <w:jc w:val="center"/>
              <w:rPr>
                <w:rFonts w:cs="Times New Roman"/>
                <w:sz w:val="20"/>
                <w:szCs w:val="20"/>
                <w:lang w:val="sr-Cyrl-RS"/>
              </w:rPr>
            </w:pPr>
            <w:r w:rsidRPr="00EF2F18">
              <w:rPr>
                <w:rFonts w:cs="Times New Roman"/>
                <w:sz w:val="20"/>
                <w:szCs w:val="20"/>
                <w:lang w:val="sr-Cyrl-RS"/>
              </w:rPr>
              <w:t>16,0</w:t>
            </w:r>
          </w:p>
          <w:p w14:paraId="09A83686" w14:textId="77777777" w:rsidR="007D7243" w:rsidRPr="00EF2F18" w:rsidRDefault="007D7243" w:rsidP="00752CA0">
            <w:pPr>
              <w:spacing w:after="0"/>
              <w:jc w:val="center"/>
              <w:rPr>
                <w:rFonts w:cs="Times New Roman"/>
                <w:sz w:val="20"/>
                <w:szCs w:val="20"/>
                <w:lang w:val="sr-Cyrl-RS"/>
              </w:rPr>
            </w:pPr>
          </w:p>
        </w:tc>
        <w:tc>
          <w:tcPr>
            <w:tcW w:w="1493" w:type="dxa"/>
            <w:shd w:val="clear" w:color="auto" w:fill="FFFFFF" w:themeFill="background1"/>
          </w:tcPr>
          <w:p w14:paraId="15407AEA"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2022.</w:t>
            </w:r>
          </w:p>
        </w:tc>
        <w:tc>
          <w:tcPr>
            <w:tcW w:w="1400" w:type="dxa"/>
            <w:shd w:val="clear" w:color="auto" w:fill="FFFFFF" w:themeFill="background1"/>
          </w:tcPr>
          <w:p w14:paraId="65B81A61" w14:textId="77777777" w:rsidR="007D7243" w:rsidRPr="00EF2F18" w:rsidRDefault="007D7243" w:rsidP="00752CA0">
            <w:pPr>
              <w:shd w:val="clear" w:color="auto" w:fill="FFFFFF" w:themeFill="background1"/>
              <w:jc w:val="center"/>
              <w:rPr>
                <w:rFonts w:cs="Times New Roman"/>
                <w:bCs/>
                <w:color w:val="FF0000"/>
                <w:sz w:val="20"/>
                <w:szCs w:val="20"/>
                <w:lang w:val="sr-Cyrl-RS"/>
              </w:rPr>
            </w:pPr>
            <w:r w:rsidRPr="00EF2F18">
              <w:rPr>
                <w:rFonts w:cs="Times New Roman"/>
                <w:bCs/>
                <w:sz w:val="20"/>
                <w:szCs w:val="20"/>
                <w:lang w:val="sr-Cyrl-RS"/>
              </w:rPr>
              <w:t>30</w:t>
            </w:r>
          </w:p>
        </w:tc>
        <w:tc>
          <w:tcPr>
            <w:tcW w:w="1600" w:type="dxa"/>
            <w:shd w:val="clear" w:color="auto" w:fill="FFFFFF" w:themeFill="background1"/>
          </w:tcPr>
          <w:p w14:paraId="62D8DDFE"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bl>
    <w:p w14:paraId="280AD691" w14:textId="77777777" w:rsidR="007D7243" w:rsidRPr="00EF2F18" w:rsidRDefault="007D7243" w:rsidP="007D7243">
      <w:pPr>
        <w:tabs>
          <w:tab w:val="left" w:pos="1940"/>
        </w:tabs>
        <w:spacing w:after="0"/>
        <w:rPr>
          <w:rFonts w:cs="Times New Roman"/>
          <w:b/>
          <w:sz w:val="20"/>
          <w:szCs w:val="20"/>
          <w:lang w:val="sr-Cyrl-RS"/>
        </w:rPr>
      </w:pPr>
    </w:p>
    <w:tbl>
      <w:tblPr>
        <w:tblW w:w="13893" w:type="dxa"/>
        <w:tblLook w:val="04A0" w:firstRow="1" w:lastRow="0" w:firstColumn="1" w:lastColumn="0" w:noHBand="0" w:noVBand="1"/>
      </w:tblPr>
      <w:tblGrid>
        <w:gridCol w:w="3578"/>
        <w:gridCol w:w="1151"/>
        <w:gridCol w:w="1505"/>
        <w:gridCol w:w="1264"/>
        <w:gridCol w:w="1299"/>
        <w:gridCol w:w="1620"/>
        <w:gridCol w:w="1350"/>
        <w:gridCol w:w="1871"/>
        <w:gridCol w:w="19"/>
        <w:gridCol w:w="236"/>
      </w:tblGrid>
      <w:tr w:rsidR="007D7243" w:rsidRPr="00EF2F18" w14:paraId="32596CF0" w14:textId="77777777" w:rsidTr="00F35214">
        <w:trPr>
          <w:gridAfter w:val="2"/>
          <w:wAfter w:w="255" w:type="dxa"/>
          <w:trHeight w:val="336"/>
        </w:trPr>
        <w:tc>
          <w:tcPr>
            <w:tcW w:w="13638" w:type="dxa"/>
            <w:gridSpan w:val="8"/>
            <w:tcBorders>
              <w:top w:val="double" w:sz="6" w:space="0" w:color="auto"/>
              <w:left w:val="double" w:sz="6" w:space="0" w:color="auto"/>
              <w:bottom w:val="double" w:sz="6" w:space="0" w:color="auto"/>
              <w:right w:val="double" w:sz="6" w:space="0" w:color="auto"/>
            </w:tcBorders>
            <w:shd w:val="clear" w:color="000000" w:fill="C5E0B3"/>
            <w:hideMark/>
          </w:tcPr>
          <w:p w14:paraId="42D64D1F"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5.1: Одржива примарна производња и безбедност хране применом технологија и пракси погодних за животну средину</w:t>
            </w:r>
          </w:p>
        </w:tc>
      </w:tr>
      <w:tr w:rsidR="007D7243" w:rsidRPr="00EF2F18" w14:paraId="5A296994" w14:textId="77777777" w:rsidTr="00F35214">
        <w:trPr>
          <w:gridAfter w:val="2"/>
          <w:wAfter w:w="255" w:type="dxa"/>
          <w:trHeight w:val="324"/>
        </w:trPr>
        <w:tc>
          <w:tcPr>
            <w:tcW w:w="13638" w:type="dxa"/>
            <w:gridSpan w:val="8"/>
            <w:tcBorders>
              <w:top w:val="double" w:sz="6" w:space="0" w:color="auto"/>
              <w:left w:val="double" w:sz="6" w:space="0" w:color="auto"/>
              <w:bottom w:val="double" w:sz="6" w:space="0" w:color="auto"/>
              <w:right w:val="double" w:sz="6" w:space="0" w:color="auto"/>
            </w:tcBorders>
            <w:shd w:val="clear" w:color="000000" w:fill="C5E0B3"/>
            <w:hideMark/>
          </w:tcPr>
          <w:p w14:paraId="2BB5026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Институција одговорна за координацију и извештавање: Министарство пољопривреде, шумарства и водопривреде </w:t>
            </w:r>
          </w:p>
        </w:tc>
      </w:tr>
      <w:tr w:rsidR="00F35214" w:rsidRPr="00EF2F18" w14:paraId="5FA97EAC" w14:textId="77777777" w:rsidTr="00F35214">
        <w:trPr>
          <w:gridAfter w:val="1"/>
          <w:wAfter w:w="236" w:type="dxa"/>
          <w:trHeight w:val="468"/>
        </w:trPr>
        <w:tc>
          <w:tcPr>
            <w:tcW w:w="3578"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01C435E6"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51"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5F5477F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505"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68A4C0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264"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429322C6"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299"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21A9E04C"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62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F5194C8"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50" w:type="dxa"/>
            <w:vMerge w:val="restart"/>
            <w:tcBorders>
              <w:top w:val="double" w:sz="6" w:space="0" w:color="auto"/>
              <w:left w:val="double" w:sz="6" w:space="0" w:color="auto"/>
              <w:bottom w:val="double" w:sz="6" w:space="0" w:color="auto"/>
              <w:right w:val="double" w:sz="6" w:space="0" w:color="auto"/>
            </w:tcBorders>
            <w:shd w:val="clear" w:color="000000" w:fill="D9D9D9"/>
            <w:hideMark/>
          </w:tcPr>
          <w:p w14:paraId="77C5B3D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gridSpan w:val="2"/>
            <w:vMerge w:val="restart"/>
            <w:tcBorders>
              <w:top w:val="double" w:sz="6" w:space="0" w:color="auto"/>
              <w:left w:val="double" w:sz="6" w:space="0" w:color="auto"/>
              <w:bottom w:val="double" w:sz="6" w:space="0" w:color="auto"/>
              <w:right w:val="double" w:sz="6" w:space="0" w:color="auto"/>
            </w:tcBorders>
            <w:shd w:val="clear" w:color="000000" w:fill="D9D9D9"/>
            <w:hideMark/>
          </w:tcPr>
          <w:p w14:paraId="7692252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35214" w:rsidRPr="00EF2F18" w14:paraId="1AAEF645" w14:textId="77777777" w:rsidTr="00F35214">
        <w:trPr>
          <w:trHeight w:val="324"/>
        </w:trPr>
        <w:tc>
          <w:tcPr>
            <w:tcW w:w="3578" w:type="dxa"/>
            <w:vMerge/>
            <w:tcBorders>
              <w:top w:val="double" w:sz="6" w:space="0" w:color="auto"/>
              <w:left w:val="double" w:sz="6" w:space="0" w:color="auto"/>
              <w:bottom w:val="double" w:sz="6" w:space="0" w:color="auto"/>
              <w:right w:val="double" w:sz="6" w:space="0" w:color="auto"/>
            </w:tcBorders>
            <w:vAlign w:val="center"/>
            <w:hideMark/>
          </w:tcPr>
          <w:p w14:paraId="046D7D68" w14:textId="77777777" w:rsidR="00F35214" w:rsidRPr="00EF2F18" w:rsidRDefault="00F35214" w:rsidP="00752CA0">
            <w:pPr>
              <w:spacing w:after="0"/>
              <w:rPr>
                <w:rFonts w:eastAsia="Times New Roman" w:cs="Times New Roman"/>
                <w:color w:val="000000"/>
                <w:sz w:val="20"/>
                <w:szCs w:val="20"/>
                <w:lang w:val="sr-Cyrl-RS" w:eastAsia="en-GB"/>
              </w:rPr>
            </w:pPr>
          </w:p>
        </w:tc>
        <w:tc>
          <w:tcPr>
            <w:tcW w:w="1151" w:type="dxa"/>
            <w:vMerge/>
            <w:tcBorders>
              <w:top w:val="double" w:sz="6" w:space="0" w:color="auto"/>
              <w:left w:val="double" w:sz="6" w:space="0" w:color="auto"/>
              <w:bottom w:val="double" w:sz="6" w:space="0" w:color="auto"/>
              <w:right w:val="double" w:sz="6" w:space="0" w:color="auto"/>
            </w:tcBorders>
            <w:vAlign w:val="center"/>
            <w:hideMark/>
          </w:tcPr>
          <w:p w14:paraId="7770A7FD" w14:textId="77777777" w:rsidR="00F35214" w:rsidRPr="00EF2F18" w:rsidRDefault="00F35214" w:rsidP="00752CA0">
            <w:pPr>
              <w:spacing w:after="0"/>
              <w:rPr>
                <w:rFonts w:eastAsia="Times New Roman" w:cs="Times New Roman"/>
                <w:color w:val="000000"/>
                <w:sz w:val="20"/>
                <w:szCs w:val="20"/>
                <w:lang w:val="sr-Cyrl-RS" w:eastAsia="en-GB"/>
              </w:rPr>
            </w:pPr>
          </w:p>
        </w:tc>
        <w:tc>
          <w:tcPr>
            <w:tcW w:w="1505" w:type="dxa"/>
            <w:vMerge/>
            <w:tcBorders>
              <w:top w:val="double" w:sz="6" w:space="0" w:color="auto"/>
              <w:left w:val="double" w:sz="6" w:space="0" w:color="auto"/>
              <w:bottom w:val="double" w:sz="6" w:space="0" w:color="auto"/>
              <w:right w:val="double" w:sz="6" w:space="0" w:color="auto"/>
            </w:tcBorders>
            <w:vAlign w:val="center"/>
            <w:hideMark/>
          </w:tcPr>
          <w:p w14:paraId="37E9915E" w14:textId="77777777" w:rsidR="00F35214" w:rsidRPr="00EF2F18" w:rsidRDefault="00F35214" w:rsidP="00752CA0">
            <w:pPr>
              <w:spacing w:after="0"/>
              <w:rPr>
                <w:rFonts w:eastAsia="Times New Roman" w:cs="Times New Roman"/>
                <w:color w:val="000000"/>
                <w:sz w:val="20"/>
                <w:szCs w:val="20"/>
                <w:lang w:val="sr-Cyrl-RS" w:eastAsia="en-GB"/>
              </w:rPr>
            </w:pPr>
          </w:p>
        </w:tc>
        <w:tc>
          <w:tcPr>
            <w:tcW w:w="1264" w:type="dxa"/>
            <w:vMerge/>
            <w:tcBorders>
              <w:top w:val="double" w:sz="6" w:space="0" w:color="auto"/>
              <w:left w:val="double" w:sz="6" w:space="0" w:color="auto"/>
              <w:bottom w:val="double" w:sz="6" w:space="0" w:color="auto"/>
              <w:right w:val="double" w:sz="6" w:space="0" w:color="auto"/>
            </w:tcBorders>
            <w:vAlign w:val="center"/>
            <w:hideMark/>
          </w:tcPr>
          <w:p w14:paraId="167A91C0" w14:textId="77777777" w:rsidR="00F35214" w:rsidRPr="00EF2F18" w:rsidRDefault="00F35214" w:rsidP="00752CA0">
            <w:pPr>
              <w:spacing w:after="0"/>
              <w:rPr>
                <w:rFonts w:eastAsia="Times New Roman" w:cs="Times New Roman"/>
                <w:color w:val="000000"/>
                <w:sz w:val="20"/>
                <w:szCs w:val="20"/>
                <w:lang w:val="sr-Cyrl-RS" w:eastAsia="en-GB"/>
              </w:rPr>
            </w:pPr>
          </w:p>
        </w:tc>
        <w:tc>
          <w:tcPr>
            <w:tcW w:w="1299" w:type="dxa"/>
            <w:vMerge/>
            <w:tcBorders>
              <w:top w:val="double" w:sz="6" w:space="0" w:color="auto"/>
              <w:left w:val="double" w:sz="6" w:space="0" w:color="auto"/>
              <w:bottom w:val="double" w:sz="6" w:space="0" w:color="auto"/>
              <w:right w:val="double" w:sz="6" w:space="0" w:color="auto"/>
            </w:tcBorders>
            <w:vAlign w:val="center"/>
            <w:hideMark/>
          </w:tcPr>
          <w:p w14:paraId="77363AFA" w14:textId="77777777" w:rsidR="00F35214" w:rsidRPr="00EF2F18" w:rsidRDefault="00F35214" w:rsidP="00752CA0">
            <w:pPr>
              <w:spacing w:after="0"/>
              <w:rPr>
                <w:rFonts w:eastAsia="Times New Roman" w:cs="Times New Roman"/>
                <w:color w:val="000000"/>
                <w:sz w:val="20"/>
                <w:szCs w:val="20"/>
                <w:lang w:val="sr-Cyrl-RS" w:eastAsia="en-GB"/>
              </w:rPr>
            </w:pPr>
          </w:p>
        </w:tc>
        <w:tc>
          <w:tcPr>
            <w:tcW w:w="1620" w:type="dxa"/>
            <w:vMerge/>
            <w:tcBorders>
              <w:top w:val="double" w:sz="6" w:space="0" w:color="auto"/>
              <w:left w:val="double" w:sz="6" w:space="0" w:color="auto"/>
              <w:bottom w:val="double" w:sz="6" w:space="0" w:color="auto"/>
              <w:right w:val="double" w:sz="6" w:space="0" w:color="auto"/>
            </w:tcBorders>
            <w:vAlign w:val="center"/>
            <w:hideMark/>
          </w:tcPr>
          <w:p w14:paraId="6307F633" w14:textId="77777777" w:rsidR="00F35214" w:rsidRPr="00EF2F18" w:rsidRDefault="00F35214" w:rsidP="00752CA0">
            <w:pPr>
              <w:spacing w:after="0"/>
              <w:rPr>
                <w:rFonts w:eastAsia="Times New Roman" w:cs="Times New Roman"/>
                <w:color w:val="000000"/>
                <w:sz w:val="20"/>
                <w:szCs w:val="20"/>
                <w:lang w:val="sr-Cyrl-RS" w:eastAsia="en-GB"/>
              </w:rPr>
            </w:pPr>
          </w:p>
        </w:tc>
        <w:tc>
          <w:tcPr>
            <w:tcW w:w="1350" w:type="dxa"/>
            <w:vMerge/>
            <w:tcBorders>
              <w:top w:val="double" w:sz="6" w:space="0" w:color="auto"/>
              <w:left w:val="double" w:sz="6" w:space="0" w:color="auto"/>
              <w:bottom w:val="double" w:sz="6" w:space="0" w:color="auto"/>
              <w:right w:val="double" w:sz="6" w:space="0" w:color="auto"/>
            </w:tcBorders>
            <w:vAlign w:val="center"/>
            <w:hideMark/>
          </w:tcPr>
          <w:p w14:paraId="437CF2D8" w14:textId="77777777" w:rsidR="00F35214" w:rsidRPr="00EF2F18" w:rsidRDefault="00F35214" w:rsidP="00752CA0">
            <w:pPr>
              <w:spacing w:after="0"/>
              <w:rPr>
                <w:rFonts w:eastAsia="Times New Roman" w:cs="Times New Roman"/>
                <w:color w:val="000000"/>
                <w:sz w:val="20"/>
                <w:szCs w:val="20"/>
                <w:lang w:val="sr-Cyrl-RS" w:eastAsia="en-GB"/>
              </w:rPr>
            </w:pPr>
          </w:p>
        </w:tc>
        <w:tc>
          <w:tcPr>
            <w:tcW w:w="1890" w:type="dxa"/>
            <w:gridSpan w:val="2"/>
            <w:vMerge/>
            <w:tcBorders>
              <w:top w:val="double" w:sz="6" w:space="0" w:color="auto"/>
              <w:left w:val="double" w:sz="6" w:space="0" w:color="auto"/>
              <w:bottom w:val="double" w:sz="6" w:space="0" w:color="auto"/>
              <w:right w:val="double" w:sz="6" w:space="0" w:color="auto"/>
            </w:tcBorders>
            <w:vAlign w:val="center"/>
            <w:hideMark/>
          </w:tcPr>
          <w:p w14:paraId="2B7D2D06" w14:textId="77777777" w:rsidR="00F35214" w:rsidRPr="00EF2F18" w:rsidRDefault="00F35214"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vAlign w:val="bottom"/>
            <w:hideMark/>
          </w:tcPr>
          <w:p w14:paraId="7C350FE0" w14:textId="77777777" w:rsidR="00F35214" w:rsidRPr="00EF2F18" w:rsidRDefault="00F35214" w:rsidP="00752CA0">
            <w:pPr>
              <w:spacing w:after="0"/>
              <w:rPr>
                <w:rFonts w:eastAsia="Times New Roman" w:cs="Times New Roman"/>
                <w:color w:val="000000"/>
                <w:sz w:val="20"/>
                <w:szCs w:val="20"/>
                <w:lang w:val="sr-Cyrl-RS" w:eastAsia="en-GB"/>
              </w:rPr>
            </w:pPr>
          </w:p>
        </w:tc>
      </w:tr>
      <w:tr w:rsidR="00F35214" w:rsidRPr="00EF2F18" w14:paraId="48B91D6C" w14:textId="77777777" w:rsidTr="00F35214">
        <w:trPr>
          <w:trHeight w:val="1116"/>
        </w:trPr>
        <w:tc>
          <w:tcPr>
            <w:tcW w:w="3578" w:type="dxa"/>
            <w:tcBorders>
              <w:top w:val="double" w:sz="6" w:space="0" w:color="auto"/>
              <w:left w:val="double" w:sz="6" w:space="0" w:color="auto"/>
              <w:bottom w:val="double" w:sz="6" w:space="0" w:color="auto"/>
              <w:right w:val="double" w:sz="6" w:space="0" w:color="auto"/>
            </w:tcBorders>
            <w:shd w:val="clear" w:color="000000" w:fill="FFFFFF"/>
            <w:hideMark/>
          </w:tcPr>
          <w:p w14:paraId="452A6C24"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мерних места чија вредност просечне годишње концентрације нитрата (NO</w:t>
            </w:r>
            <w:r w:rsidRPr="00EF2F18">
              <w:rPr>
                <w:rFonts w:eastAsia="Times New Roman" w:cs="Times New Roman"/>
                <w:color w:val="000000"/>
                <w:sz w:val="20"/>
                <w:szCs w:val="20"/>
                <w:vertAlign w:val="subscript"/>
                <w:lang w:val="sr-Cyrl-RS" w:eastAsia="en-GB"/>
              </w:rPr>
              <w:t>3</w:t>
            </w:r>
            <w:r w:rsidRPr="00EF2F18">
              <w:rPr>
                <w:rFonts w:eastAsia="Times New Roman" w:cs="Times New Roman"/>
                <w:color w:val="000000"/>
                <w:sz w:val="20"/>
                <w:szCs w:val="20"/>
                <w:lang w:val="sr-Cyrl-RS" w:eastAsia="en-GB"/>
              </w:rPr>
              <w:t xml:space="preserve">) у подземним водама не прелази граничну вредност од 50 mg/l </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078367F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05" w:type="dxa"/>
            <w:tcBorders>
              <w:top w:val="double" w:sz="6" w:space="0" w:color="auto"/>
              <w:left w:val="double" w:sz="6" w:space="0" w:color="auto"/>
              <w:bottom w:val="double" w:sz="6" w:space="0" w:color="auto"/>
              <w:right w:val="double" w:sz="6" w:space="0" w:color="auto"/>
            </w:tcBorders>
            <w:shd w:val="clear" w:color="000000" w:fill="FFFFFF"/>
            <w:hideMark/>
          </w:tcPr>
          <w:p w14:paraId="57381BC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w:t>
            </w:r>
          </w:p>
        </w:tc>
        <w:tc>
          <w:tcPr>
            <w:tcW w:w="1264" w:type="dxa"/>
            <w:tcBorders>
              <w:top w:val="double" w:sz="6" w:space="0" w:color="auto"/>
              <w:left w:val="double" w:sz="6" w:space="0" w:color="auto"/>
              <w:bottom w:val="double" w:sz="6" w:space="0" w:color="auto"/>
              <w:right w:val="double" w:sz="6" w:space="0" w:color="auto"/>
            </w:tcBorders>
            <w:shd w:val="clear" w:color="000000" w:fill="FFFFFF"/>
            <w:hideMark/>
          </w:tcPr>
          <w:p w14:paraId="1E8DE80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299" w:type="dxa"/>
            <w:tcBorders>
              <w:top w:val="double" w:sz="6" w:space="0" w:color="auto"/>
              <w:left w:val="double" w:sz="6" w:space="0" w:color="auto"/>
              <w:bottom w:val="double" w:sz="6" w:space="0" w:color="auto"/>
              <w:right w:val="double" w:sz="6" w:space="0" w:color="auto"/>
            </w:tcBorders>
            <w:shd w:val="clear" w:color="000000" w:fill="FFFFFF"/>
            <w:hideMark/>
          </w:tcPr>
          <w:p w14:paraId="450BF6E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2021.</w:t>
            </w:r>
          </w:p>
        </w:tc>
        <w:tc>
          <w:tcPr>
            <w:tcW w:w="1620" w:type="dxa"/>
            <w:tcBorders>
              <w:top w:val="double" w:sz="6" w:space="0" w:color="auto"/>
              <w:left w:val="double" w:sz="6" w:space="0" w:color="auto"/>
              <w:bottom w:val="double" w:sz="6" w:space="0" w:color="auto"/>
              <w:right w:val="double" w:sz="6" w:space="0" w:color="auto"/>
            </w:tcBorders>
            <w:shd w:val="clear" w:color="000000" w:fill="FFFFFF"/>
            <w:hideMark/>
          </w:tcPr>
          <w:p w14:paraId="0A03353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381E123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89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74ACC20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236" w:type="dxa"/>
            <w:vAlign w:val="center"/>
            <w:hideMark/>
          </w:tcPr>
          <w:p w14:paraId="229BA942" w14:textId="77777777" w:rsidR="00F35214" w:rsidRPr="00EF2F18" w:rsidRDefault="00F35214" w:rsidP="00752CA0">
            <w:pPr>
              <w:spacing w:after="0"/>
              <w:rPr>
                <w:rFonts w:eastAsia="Times New Roman" w:cs="Times New Roman"/>
                <w:sz w:val="20"/>
                <w:szCs w:val="20"/>
                <w:lang w:val="sr-Cyrl-RS" w:eastAsia="en-GB"/>
              </w:rPr>
            </w:pPr>
          </w:p>
        </w:tc>
      </w:tr>
      <w:tr w:rsidR="00F35214" w:rsidRPr="00EF2F18" w14:paraId="4D92028C" w14:textId="77777777" w:rsidTr="00F35214">
        <w:trPr>
          <w:trHeight w:val="1080"/>
        </w:trPr>
        <w:tc>
          <w:tcPr>
            <w:tcW w:w="3578" w:type="dxa"/>
            <w:tcBorders>
              <w:top w:val="double" w:sz="6" w:space="0" w:color="auto"/>
              <w:left w:val="double" w:sz="6" w:space="0" w:color="auto"/>
              <w:bottom w:val="double" w:sz="6" w:space="0" w:color="auto"/>
              <w:right w:val="double" w:sz="6" w:space="0" w:color="auto"/>
            </w:tcBorders>
            <w:shd w:val="clear" w:color="000000" w:fill="FFFFFF"/>
            <w:hideMark/>
          </w:tcPr>
          <w:p w14:paraId="00AA86EA"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Удео мерних места чија вредност просечне годишње суме пестицида у подземним водама не прелази граничну вредност од 0,5 µg/l </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290667D8"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05" w:type="dxa"/>
            <w:tcBorders>
              <w:top w:val="double" w:sz="6" w:space="0" w:color="auto"/>
              <w:left w:val="double" w:sz="6" w:space="0" w:color="auto"/>
              <w:bottom w:val="double" w:sz="6" w:space="0" w:color="auto"/>
              <w:right w:val="double" w:sz="6" w:space="0" w:color="auto"/>
            </w:tcBorders>
            <w:shd w:val="clear" w:color="000000" w:fill="FFFFFF"/>
            <w:hideMark/>
          </w:tcPr>
          <w:p w14:paraId="75CAA31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w:t>
            </w:r>
          </w:p>
        </w:tc>
        <w:tc>
          <w:tcPr>
            <w:tcW w:w="1264" w:type="dxa"/>
            <w:tcBorders>
              <w:top w:val="double" w:sz="6" w:space="0" w:color="auto"/>
              <w:left w:val="double" w:sz="6" w:space="0" w:color="auto"/>
              <w:bottom w:val="double" w:sz="6" w:space="0" w:color="auto"/>
              <w:right w:val="double" w:sz="6" w:space="0" w:color="auto"/>
            </w:tcBorders>
            <w:shd w:val="clear" w:color="000000" w:fill="FFFFFF"/>
            <w:hideMark/>
          </w:tcPr>
          <w:p w14:paraId="79DF4B4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299" w:type="dxa"/>
            <w:tcBorders>
              <w:top w:val="double" w:sz="6" w:space="0" w:color="auto"/>
              <w:left w:val="double" w:sz="6" w:space="0" w:color="auto"/>
              <w:bottom w:val="double" w:sz="6" w:space="0" w:color="auto"/>
              <w:right w:val="double" w:sz="6" w:space="0" w:color="auto"/>
            </w:tcBorders>
            <w:shd w:val="clear" w:color="000000" w:fill="FFFFFF"/>
            <w:hideMark/>
          </w:tcPr>
          <w:p w14:paraId="0657177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2021.</w:t>
            </w:r>
          </w:p>
        </w:tc>
        <w:tc>
          <w:tcPr>
            <w:tcW w:w="1620" w:type="dxa"/>
            <w:tcBorders>
              <w:top w:val="double" w:sz="6" w:space="0" w:color="auto"/>
              <w:left w:val="double" w:sz="6" w:space="0" w:color="auto"/>
              <w:bottom w:val="double" w:sz="6" w:space="0" w:color="auto"/>
              <w:right w:val="double" w:sz="6" w:space="0" w:color="auto"/>
            </w:tcBorders>
            <w:shd w:val="clear" w:color="000000" w:fill="FFFFFF"/>
            <w:hideMark/>
          </w:tcPr>
          <w:p w14:paraId="17A47AEC"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1C0C65C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89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22A89BE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236" w:type="dxa"/>
            <w:vAlign w:val="center"/>
            <w:hideMark/>
          </w:tcPr>
          <w:p w14:paraId="3971608E" w14:textId="77777777" w:rsidR="00F35214" w:rsidRPr="00EF2F18" w:rsidRDefault="00F35214" w:rsidP="00752CA0">
            <w:pPr>
              <w:spacing w:after="0"/>
              <w:rPr>
                <w:rFonts w:eastAsia="Times New Roman" w:cs="Times New Roman"/>
                <w:sz w:val="20"/>
                <w:szCs w:val="20"/>
                <w:lang w:val="sr-Cyrl-RS" w:eastAsia="en-GB"/>
              </w:rPr>
            </w:pPr>
          </w:p>
        </w:tc>
      </w:tr>
      <w:tr w:rsidR="00F35214" w:rsidRPr="00EF2F18" w14:paraId="485ED2DD" w14:textId="77777777" w:rsidTr="00F35214">
        <w:trPr>
          <w:trHeight w:val="1344"/>
        </w:trPr>
        <w:tc>
          <w:tcPr>
            <w:tcW w:w="3578" w:type="dxa"/>
            <w:tcBorders>
              <w:top w:val="double" w:sz="6" w:space="0" w:color="auto"/>
              <w:left w:val="double" w:sz="6" w:space="0" w:color="auto"/>
              <w:bottom w:val="double" w:sz="6" w:space="0" w:color="auto"/>
              <w:right w:val="double" w:sz="6" w:space="0" w:color="auto"/>
            </w:tcBorders>
            <w:shd w:val="clear" w:color="000000" w:fill="FFFFFF"/>
            <w:hideMark/>
          </w:tcPr>
          <w:p w14:paraId="7578A254" w14:textId="7C2D1735"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мерних места чија вредност просечне годишње концентрације нитрата у површинским водама (NO3-N) не прелази граничну вредност од 3 mg/l </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2FF858D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05" w:type="dxa"/>
            <w:tcBorders>
              <w:top w:val="double" w:sz="6" w:space="0" w:color="auto"/>
              <w:left w:val="double" w:sz="6" w:space="0" w:color="auto"/>
              <w:bottom w:val="double" w:sz="6" w:space="0" w:color="auto"/>
              <w:right w:val="double" w:sz="6" w:space="0" w:color="auto"/>
            </w:tcBorders>
            <w:shd w:val="clear" w:color="000000" w:fill="FFFFFF"/>
            <w:hideMark/>
          </w:tcPr>
          <w:p w14:paraId="65741DC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w:t>
            </w:r>
          </w:p>
        </w:tc>
        <w:tc>
          <w:tcPr>
            <w:tcW w:w="1264" w:type="dxa"/>
            <w:tcBorders>
              <w:top w:val="double" w:sz="6" w:space="0" w:color="auto"/>
              <w:left w:val="double" w:sz="6" w:space="0" w:color="auto"/>
              <w:bottom w:val="double" w:sz="6" w:space="0" w:color="auto"/>
              <w:right w:val="double" w:sz="6" w:space="0" w:color="auto"/>
            </w:tcBorders>
            <w:shd w:val="clear" w:color="000000" w:fill="FFFFFF"/>
            <w:hideMark/>
          </w:tcPr>
          <w:p w14:paraId="32A6F239"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96,15</w:t>
            </w:r>
          </w:p>
        </w:tc>
        <w:tc>
          <w:tcPr>
            <w:tcW w:w="1299" w:type="dxa"/>
            <w:tcBorders>
              <w:top w:val="double" w:sz="6" w:space="0" w:color="auto"/>
              <w:left w:val="double" w:sz="6" w:space="0" w:color="auto"/>
              <w:bottom w:val="double" w:sz="6" w:space="0" w:color="auto"/>
              <w:right w:val="double" w:sz="6" w:space="0" w:color="auto"/>
            </w:tcBorders>
            <w:shd w:val="clear" w:color="000000" w:fill="FFFFFF"/>
            <w:hideMark/>
          </w:tcPr>
          <w:p w14:paraId="49A73E8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2021.</w:t>
            </w:r>
          </w:p>
        </w:tc>
        <w:tc>
          <w:tcPr>
            <w:tcW w:w="1620" w:type="dxa"/>
            <w:tcBorders>
              <w:top w:val="double" w:sz="6" w:space="0" w:color="auto"/>
              <w:left w:val="double" w:sz="6" w:space="0" w:color="auto"/>
              <w:bottom w:val="double" w:sz="6" w:space="0" w:color="auto"/>
              <w:right w:val="double" w:sz="6" w:space="0" w:color="auto"/>
            </w:tcBorders>
            <w:shd w:val="clear" w:color="000000" w:fill="FFFFFF"/>
            <w:hideMark/>
          </w:tcPr>
          <w:p w14:paraId="56C6103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95,3</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076818F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95,8</w:t>
            </w:r>
          </w:p>
        </w:tc>
        <w:tc>
          <w:tcPr>
            <w:tcW w:w="189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3F91BA08"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96,3</w:t>
            </w:r>
          </w:p>
        </w:tc>
        <w:tc>
          <w:tcPr>
            <w:tcW w:w="236" w:type="dxa"/>
            <w:vAlign w:val="center"/>
            <w:hideMark/>
          </w:tcPr>
          <w:p w14:paraId="549A8EA2" w14:textId="77777777" w:rsidR="00F35214" w:rsidRPr="00EF2F18" w:rsidRDefault="00F35214" w:rsidP="00752CA0">
            <w:pPr>
              <w:spacing w:after="0"/>
              <w:rPr>
                <w:rFonts w:eastAsia="Times New Roman" w:cs="Times New Roman"/>
                <w:sz w:val="20"/>
                <w:szCs w:val="20"/>
                <w:lang w:val="sr-Cyrl-RS" w:eastAsia="en-GB"/>
              </w:rPr>
            </w:pPr>
          </w:p>
        </w:tc>
      </w:tr>
      <w:tr w:rsidR="00F35214" w:rsidRPr="00EF2F18" w14:paraId="0DBE5D1F" w14:textId="77777777" w:rsidTr="00F35214">
        <w:trPr>
          <w:trHeight w:val="1080"/>
        </w:trPr>
        <w:tc>
          <w:tcPr>
            <w:tcW w:w="3578" w:type="dxa"/>
            <w:tcBorders>
              <w:top w:val="double" w:sz="6" w:space="0" w:color="auto"/>
              <w:left w:val="double" w:sz="6" w:space="0" w:color="auto"/>
              <w:bottom w:val="double" w:sz="6" w:space="0" w:color="auto"/>
              <w:right w:val="double" w:sz="6" w:space="0" w:color="auto"/>
            </w:tcBorders>
            <w:shd w:val="clear" w:color="000000" w:fill="FFFFFF"/>
            <w:hideMark/>
          </w:tcPr>
          <w:p w14:paraId="78CC4558"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мерних места чија просечна годишња концентрација сваког пестицида у површинским водама не прелази дозвољену граничну вредност </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4F8D31BC"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05" w:type="dxa"/>
            <w:tcBorders>
              <w:top w:val="double" w:sz="6" w:space="0" w:color="auto"/>
              <w:left w:val="double" w:sz="6" w:space="0" w:color="auto"/>
              <w:bottom w:val="double" w:sz="6" w:space="0" w:color="auto"/>
              <w:right w:val="double" w:sz="6" w:space="0" w:color="auto"/>
            </w:tcBorders>
            <w:shd w:val="clear" w:color="000000" w:fill="FFFFFF"/>
            <w:hideMark/>
          </w:tcPr>
          <w:p w14:paraId="76B9E15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w:t>
            </w:r>
          </w:p>
        </w:tc>
        <w:tc>
          <w:tcPr>
            <w:tcW w:w="1264" w:type="dxa"/>
            <w:tcBorders>
              <w:top w:val="double" w:sz="6" w:space="0" w:color="auto"/>
              <w:left w:val="double" w:sz="6" w:space="0" w:color="auto"/>
              <w:bottom w:val="double" w:sz="6" w:space="0" w:color="auto"/>
              <w:right w:val="double" w:sz="6" w:space="0" w:color="auto"/>
            </w:tcBorders>
            <w:shd w:val="clear" w:color="000000" w:fill="FFFFFF"/>
            <w:hideMark/>
          </w:tcPr>
          <w:p w14:paraId="5407DED0"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97,44</w:t>
            </w:r>
          </w:p>
        </w:tc>
        <w:tc>
          <w:tcPr>
            <w:tcW w:w="1299" w:type="dxa"/>
            <w:tcBorders>
              <w:top w:val="double" w:sz="6" w:space="0" w:color="auto"/>
              <w:left w:val="double" w:sz="6" w:space="0" w:color="auto"/>
              <w:bottom w:val="double" w:sz="6" w:space="0" w:color="auto"/>
              <w:right w:val="double" w:sz="6" w:space="0" w:color="auto"/>
            </w:tcBorders>
            <w:shd w:val="clear" w:color="000000" w:fill="FFFFFF"/>
            <w:hideMark/>
          </w:tcPr>
          <w:p w14:paraId="4CFBC19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2021.</w:t>
            </w:r>
          </w:p>
        </w:tc>
        <w:tc>
          <w:tcPr>
            <w:tcW w:w="1620" w:type="dxa"/>
            <w:tcBorders>
              <w:top w:val="double" w:sz="6" w:space="0" w:color="auto"/>
              <w:left w:val="double" w:sz="6" w:space="0" w:color="auto"/>
              <w:bottom w:val="double" w:sz="6" w:space="0" w:color="auto"/>
              <w:right w:val="double" w:sz="6" w:space="0" w:color="auto"/>
            </w:tcBorders>
            <w:shd w:val="clear" w:color="000000" w:fill="FFFFFF"/>
            <w:hideMark/>
          </w:tcPr>
          <w:p w14:paraId="7B3C9B6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5F21C8B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89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2E1D93F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236" w:type="dxa"/>
            <w:vAlign w:val="center"/>
            <w:hideMark/>
          </w:tcPr>
          <w:p w14:paraId="3FC1ED6E" w14:textId="77777777" w:rsidR="00F35214" w:rsidRPr="00EF2F18" w:rsidRDefault="00F35214" w:rsidP="00752CA0">
            <w:pPr>
              <w:spacing w:after="0"/>
              <w:rPr>
                <w:rFonts w:eastAsia="Times New Roman" w:cs="Times New Roman"/>
                <w:sz w:val="20"/>
                <w:szCs w:val="20"/>
                <w:lang w:val="sr-Cyrl-RS" w:eastAsia="en-GB"/>
              </w:rPr>
            </w:pPr>
          </w:p>
        </w:tc>
      </w:tr>
      <w:tr w:rsidR="00F35214" w:rsidRPr="00EF2F18" w14:paraId="5395471A" w14:textId="77777777" w:rsidTr="00F35214">
        <w:trPr>
          <w:trHeight w:val="1080"/>
        </w:trPr>
        <w:tc>
          <w:tcPr>
            <w:tcW w:w="3578" w:type="dxa"/>
            <w:tcBorders>
              <w:top w:val="double" w:sz="6" w:space="0" w:color="auto"/>
              <w:left w:val="double" w:sz="6" w:space="0" w:color="auto"/>
              <w:bottom w:val="double" w:sz="6" w:space="0" w:color="auto"/>
              <w:right w:val="double" w:sz="6" w:space="0" w:color="auto"/>
            </w:tcBorders>
            <w:shd w:val="clear" w:color="000000" w:fill="FFFFFF"/>
            <w:hideMark/>
          </w:tcPr>
          <w:p w14:paraId="5B071EAA"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Површина пољопривредног земљишта под уговорима о заштити животне средине и/или климе</w:t>
            </w:r>
          </w:p>
        </w:tc>
        <w:tc>
          <w:tcPr>
            <w:tcW w:w="1151" w:type="dxa"/>
            <w:tcBorders>
              <w:top w:val="double" w:sz="6" w:space="0" w:color="auto"/>
              <w:left w:val="double" w:sz="6" w:space="0" w:color="auto"/>
              <w:bottom w:val="double" w:sz="6" w:space="0" w:color="auto"/>
              <w:right w:val="double" w:sz="6" w:space="0" w:color="auto"/>
            </w:tcBorders>
            <w:shd w:val="clear" w:color="000000" w:fill="FFFFFF"/>
            <w:hideMark/>
          </w:tcPr>
          <w:p w14:paraId="3B3046A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ha </w:t>
            </w:r>
          </w:p>
        </w:tc>
        <w:tc>
          <w:tcPr>
            <w:tcW w:w="1505" w:type="dxa"/>
            <w:tcBorders>
              <w:top w:val="double" w:sz="6" w:space="0" w:color="auto"/>
              <w:left w:val="double" w:sz="6" w:space="0" w:color="auto"/>
              <w:bottom w:val="double" w:sz="6" w:space="0" w:color="auto"/>
              <w:right w:val="double" w:sz="6" w:space="0" w:color="auto"/>
            </w:tcBorders>
            <w:shd w:val="clear" w:color="000000" w:fill="FFFFFF"/>
            <w:hideMark/>
          </w:tcPr>
          <w:p w14:paraId="46129DC0" w14:textId="2D943A35" w:rsidR="00F35214" w:rsidRPr="0012465C" w:rsidRDefault="00F35214" w:rsidP="00752CA0">
            <w:pPr>
              <w:spacing w:after="0"/>
              <w:jc w:val="center"/>
              <w:rPr>
                <w:rFonts w:eastAsia="Times New Roman" w:cs="Times New Roman"/>
                <w:color w:val="000000"/>
                <w:sz w:val="16"/>
                <w:szCs w:val="16"/>
                <w:lang w:val="sr-Cyrl-RS" w:eastAsia="en-GB"/>
              </w:rPr>
            </w:pPr>
            <w:r w:rsidRPr="0012465C">
              <w:rPr>
                <w:rFonts w:eastAsia="Times New Roman" w:cs="Times New Roman"/>
                <w:color w:val="000000"/>
                <w:sz w:val="16"/>
                <w:szCs w:val="16"/>
                <w:lang w:val="sr-Cyrl-RS" w:eastAsia="en-GB"/>
              </w:rPr>
              <w:t>Годишњи извештај о спровођењу ИПАРД програма (пројекција ИПАРД-а 3500 ha do 2027)</w:t>
            </w:r>
          </w:p>
        </w:tc>
        <w:tc>
          <w:tcPr>
            <w:tcW w:w="1264" w:type="dxa"/>
            <w:tcBorders>
              <w:top w:val="double" w:sz="6" w:space="0" w:color="auto"/>
              <w:left w:val="double" w:sz="6" w:space="0" w:color="auto"/>
              <w:bottom w:val="double" w:sz="6" w:space="0" w:color="auto"/>
              <w:right w:val="double" w:sz="6" w:space="0" w:color="auto"/>
            </w:tcBorders>
            <w:shd w:val="clear" w:color="000000" w:fill="FFFFFF"/>
            <w:hideMark/>
          </w:tcPr>
          <w:p w14:paraId="533AB3FA"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299" w:type="dxa"/>
            <w:tcBorders>
              <w:top w:val="double" w:sz="6" w:space="0" w:color="auto"/>
              <w:left w:val="double" w:sz="6" w:space="0" w:color="auto"/>
              <w:bottom w:val="double" w:sz="6" w:space="0" w:color="auto"/>
              <w:right w:val="double" w:sz="6" w:space="0" w:color="auto"/>
            </w:tcBorders>
            <w:shd w:val="clear" w:color="000000" w:fill="FFFFFF"/>
            <w:hideMark/>
          </w:tcPr>
          <w:p w14:paraId="0E1766E0"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2022.</w:t>
            </w:r>
          </w:p>
        </w:tc>
        <w:tc>
          <w:tcPr>
            <w:tcW w:w="1620" w:type="dxa"/>
            <w:tcBorders>
              <w:top w:val="double" w:sz="6" w:space="0" w:color="auto"/>
              <w:left w:val="double" w:sz="6" w:space="0" w:color="auto"/>
              <w:bottom w:val="double" w:sz="6" w:space="0" w:color="auto"/>
              <w:right w:val="double" w:sz="6" w:space="0" w:color="auto"/>
            </w:tcBorders>
            <w:shd w:val="clear" w:color="000000" w:fill="FFFFFF"/>
            <w:hideMark/>
          </w:tcPr>
          <w:p w14:paraId="47CD1D5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2.000</w:t>
            </w:r>
          </w:p>
        </w:tc>
        <w:tc>
          <w:tcPr>
            <w:tcW w:w="1350" w:type="dxa"/>
            <w:tcBorders>
              <w:top w:val="double" w:sz="6" w:space="0" w:color="auto"/>
              <w:left w:val="double" w:sz="6" w:space="0" w:color="auto"/>
              <w:bottom w:val="double" w:sz="6" w:space="0" w:color="auto"/>
              <w:right w:val="double" w:sz="6" w:space="0" w:color="auto"/>
            </w:tcBorders>
            <w:shd w:val="clear" w:color="000000" w:fill="FFFFFF"/>
            <w:hideMark/>
          </w:tcPr>
          <w:p w14:paraId="22EC931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3.500</w:t>
            </w:r>
          </w:p>
        </w:tc>
        <w:tc>
          <w:tcPr>
            <w:tcW w:w="1890" w:type="dxa"/>
            <w:gridSpan w:val="2"/>
            <w:tcBorders>
              <w:top w:val="double" w:sz="6" w:space="0" w:color="auto"/>
              <w:left w:val="double" w:sz="6" w:space="0" w:color="auto"/>
              <w:bottom w:val="double" w:sz="6" w:space="0" w:color="auto"/>
              <w:right w:val="double" w:sz="6" w:space="0" w:color="auto"/>
            </w:tcBorders>
            <w:shd w:val="clear" w:color="000000" w:fill="FFFFFF"/>
            <w:hideMark/>
          </w:tcPr>
          <w:p w14:paraId="68D2A69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3.500</w:t>
            </w:r>
          </w:p>
        </w:tc>
        <w:tc>
          <w:tcPr>
            <w:tcW w:w="236" w:type="dxa"/>
            <w:vAlign w:val="center"/>
            <w:hideMark/>
          </w:tcPr>
          <w:p w14:paraId="744D4677" w14:textId="77777777" w:rsidR="00F35214" w:rsidRPr="00EF2F18" w:rsidRDefault="00F35214" w:rsidP="00752CA0">
            <w:pPr>
              <w:spacing w:after="0"/>
              <w:rPr>
                <w:rFonts w:eastAsia="Times New Roman" w:cs="Times New Roman"/>
                <w:sz w:val="20"/>
                <w:szCs w:val="20"/>
                <w:lang w:val="sr-Cyrl-RS" w:eastAsia="en-GB"/>
              </w:rPr>
            </w:pPr>
          </w:p>
        </w:tc>
      </w:tr>
    </w:tbl>
    <w:p w14:paraId="20D5A4A9" w14:textId="77777777" w:rsidR="007D7243" w:rsidRPr="00EF2F18" w:rsidRDefault="007D7243" w:rsidP="007D7243">
      <w:pPr>
        <w:tabs>
          <w:tab w:val="left" w:pos="1940"/>
        </w:tabs>
        <w:spacing w:after="0"/>
        <w:rPr>
          <w:rFonts w:cs="Times New Roman"/>
          <w:b/>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109"/>
        <w:gridCol w:w="1687"/>
        <w:gridCol w:w="1243"/>
        <w:gridCol w:w="953"/>
        <w:gridCol w:w="927"/>
        <w:gridCol w:w="1433"/>
        <w:gridCol w:w="1044"/>
        <w:gridCol w:w="1371"/>
        <w:gridCol w:w="1873"/>
        <w:gridCol w:w="17"/>
      </w:tblGrid>
      <w:tr w:rsidR="007D7243" w:rsidRPr="00EF2F18" w14:paraId="7EDE9EB3" w14:textId="77777777" w:rsidTr="00F35214">
        <w:trPr>
          <w:gridAfter w:val="1"/>
          <w:wAfter w:w="17" w:type="dxa"/>
          <w:trHeight w:val="336"/>
        </w:trPr>
        <w:tc>
          <w:tcPr>
            <w:tcW w:w="13640" w:type="dxa"/>
            <w:gridSpan w:val="9"/>
            <w:shd w:val="clear" w:color="000000" w:fill="F7CAAC"/>
            <w:hideMark/>
          </w:tcPr>
          <w:p w14:paraId="3F1AB6AB"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5.1.1: Унапређење правног оквира у области пољопривреде везаних за заштиту животне средине и климатске промене</w:t>
            </w:r>
          </w:p>
        </w:tc>
      </w:tr>
      <w:tr w:rsidR="007D7243" w:rsidRPr="00EF2F18" w14:paraId="3C15B52F" w14:textId="77777777" w:rsidTr="00F35214">
        <w:trPr>
          <w:gridAfter w:val="1"/>
          <w:wAfter w:w="17" w:type="dxa"/>
          <w:trHeight w:val="336"/>
        </w:trPr>
        <w:tc>
          <w:tcPr>
            <w:tcW w:w="13640" w:type="dxa"/>
            <w:gridSpan w:val="9"/>
            <w:shd w:val="clear" w:color="000000" w:fill="F7CAAC"/>
            <w:hideMark/>
          </w:tcPr>
          <w:p w14:paraId="3D7B3E66" w14:textId="0140A67A"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w:t>
            </w:r>
            <w:r w:rsidR="00FA7222" w:rsidRPr="00EF2F18">
              <w:rPr>
                <w:rFonts w:eastAsia="Times New Roman" w:cs="Times New Roman"/>
                <w:color w:val="000000"/>
                <w:sz w:val="20"/>
                <w:szCs w:val="20"/>
                <w:lang w:val="sr-Cyrl-RS" w:eastAsia="en-GB"/>
              </w:rPr>
              <w:t xml:space="preserve"> </w:t>
            </w:r>
          </w:p>
        </w:tc>
      </w:tr>
      <w:tr w:rsidR="007D7243" w:rsidRPr="00EF2F18" w14:paraId="7C2ED153" w14:textId="77777777" w:rsidTr="00F35214">
        <w:trPr>
          <w:gridAfter w:val="1"/>
          <w:wAfter w:w="17" w:type="dxa"/>
          <w:trHeight w:val="336"/>
        </w:trPr>
        <w:tc>
          <w:tcPr>
            <w:tcW w:w="6992" w:type="dxa"/>
            <w:gridSpan w:val="4"/>
            <w:shd w:val="clear" w:color="000000" w:fill="F7CAAC"/>
            <w:hideMark/>
          </w:tcPr>
          <w:p w14:paraId="27D495A8" w14:textId="2D262248"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F35214"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648" w:type="dxa"/>
            <w:gridSpan w:val="5"/>
            <w:shd w:val="clear" w:color="000000" w:fill="F7CAAC"/>
            <w:hideMark/>
          </w:tcPr>
          <w:p w14:paraId="217E0FBF"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Тип мере: регулаторна </w:t>
            </w:r>
          </w:p>
        </w:tc>
      </w:tr>
      <w:tr w:rsidR="007D7243" w:rsidRPr="00EF2F18" w14:paraId="37718FD0" w14:textId="77777777" w:rsidTr="00F35214">
        <w:trPr>
          <w:gridAfter w:val="1"/>
          <w:wAfter w:w="17" w:type="dxa"/>
          <w:trHeight w:val="336"/>
        </w:trPr>
        <w:tc>
          <w:tcPr>
            <w:tcW w:w="6992" w:type="dxa"/>
            <w:gridSpan w:val="4"/>
            <w:shd w:val="clear" w:color="000000" w:fill="F7CAAC"/>
            <w:hideMark/>
          </w:tcPr>
          <w:p w14:paraId="2B214D2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48" w:type="dxa"/>
            <w:gridSpan w:val="5"/>
            <w:shd w:val="clear" w:color="000000" w:fill="F7CAAC"/>
            <w:hideMark/>
          </w:tcPr>
          <w:p w14:paraId="379A59B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p>
        </w:tc>
      </w:tr>
      <w:tr w:rsidR="00F35214" w:rsidRPr="00EF2F18" w14:paraId="020E27E2" w14:textId="77777777" w:rsidTr="00F35214">
        <w:trPr>
          <w:trHeight w:val="816"/>
        </w:trPr>
        <w:tc>
          <w:tcPr>
            <w:tcW w:w="3109" w:type="dxa"/>
            <w:shd w:val="clear" w:color="000000" w:fill="D9D9D9"/>
            <w:hideMark/>
          </w:tcPr>
          <w:p w14:paraId="1AA6E479"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687" w:type="dxa"/>
            <w:shd w:val="clear" w:color="000000" w:fill="D9D9D9"/>
            <w:hideMark/>
          </w:tcPr>
          <w:p w14:paraId="0F97BB7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243" w:type="dxa"/>
            <w:shd w:val="clear" w:color="000000" w:fill="D9D9D9"/>
            <w:hideMark/>
          </w:tcPr>
          <w:p w14:paraId="4B0099D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880" w:type="dxa"/>
            <w:gridSpan w:val="2"/>
            <w:shd w:val="clear" w:color="000000" w:fill="D9D9D9"/>
            <w:hideMark/>
          </w:tcPr>
          <w:p w14:paraId="711A37AC"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433" w:type="dxa"/>
            <w:shd w:val="clear" w:color="000000" w:fill="D9D9D9"/>
            <w:hideMark/>
          </w:tcPr>
          <w:p w14:paraId="15D6C3A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44" w:type="dxa"/>
            <w:shd w:val="clear" w:color="000000" w:fill="D9D9D9"/>
            <w:hideMark/>
          </w:tcPr>
          <w:p w14:paraId="2DEB311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71" w:type="dxa"/>
            <w:shd w:val="clear" w:color="000000" w:fill="D9D9D9"/>
            <w:hideMark/>
          </w:tcPr>
          <w:p w14:paraId="32C7133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gridSpan w:val="2"/>
            <w:shd w:val="clear" w:color="000000" w:fill="D9D9D9"/>
            <w:hideMark/>
          </w:tcPr>
          <w:p w14:paraId="1A386F2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35214" w:rsidRPr="00EF2F18" w14:paraId="6ECD6C53" w14:textId="77777777" w:rsidTr="00F35214">
        <w:trPr>
          <w:trHeight w:val="816"/>
        </w:trPr>
        <w:tc>
          <w:tcPr>
            <w:tcW w:w="3109" w:type="dxa"/>
            <w:shd w:val="clear" w:color="000000" w:fill="FFFFFF"/>
            <w:hideMark/>
          </w:tcPr>
          <w:p w14:paraId="741CB95A"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Примена свих мера подршке пољопривреди и руралном развоју предвиђених ИПАРД III програмом</w:t>
            </w:r>
          </w:p>
        </w:tc>
        <w:tc>
          <w:tcPr>
            <w:tcW w:w="1687" w:type="dxa"/>
            <w:shd w:val="clear" w:color="000000" w:fill="FFFFFF"/>
            <w:hideMark/>
          </w:tcPr>
          <w:p w14:paraId="0CFFB101" w14:textId="33E68E5C"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да/делимично/не</w:t>
            </w:r>
          </w:p>
        </w:tc>
        <w:tc>
          <w:tcPr>
            <w:tcW w:w="1243" w:type="dxa"/>
            <w:shd w:val="clear" w:color="000000" w:fill="FFFFFF"/>
            <w:hideMark/>
          </w:tcPr>
          <w:p w14:paraId="48362EC8" w14:textId="74CCCB85"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880" w:type="dxa"/>
            <w:gridSpan w:val="2"/>
            <w:shd w:val="clear" w:color="000000" w:fill="FFFFFF"/>
            <w:hideMark/>
          </w:tcPr>
          <w:p w14:paraId="61AD8A11" w14:textId="25BBC92F"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433" w:type="dxa"/>
            <w:shd w:val="clear" w:color="000000" w:fill="FFFFFF"/>
            <w:hideMark/>
          </w:tcPr>
          <w:p w14:paraId="59969F1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044" w:type="dxa"/>
            <w:shd w:val="clear" w:color="000000" w:fill="FFFFFF"/>
            <w:hideMark/>
          </w:tcPr>
          <w:p w14:paraId="0B23B258" w14:textId="1F86D9BC"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1371" w:type="dxa"/>
            <w:shd w:val="clear" w:color="000000" w:fill="FFFFFF"/>
            <w:hideMark/>
          </w:tcPr>
          <w:p w14:paraId="737D8221" w14:textId="705D75F8"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1890" w:type="dxa"/>
            <w:gridSpan w:val="2"/>
            <w:shd w:val="clear" w:color="000000" w:fill="FFFFFF"/>
            <w:hideMark/>
          </w:tcPr>
          <w:p w14:paraId="30F62A9C" w14:textId="7741EC1D"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r>
    </w:tbl>
    <w:p w14:paraId="59C19B32" w14:textId="77777777" w:rsidR="007D7243" w:rsidRPr="00EF2F18" w:rsidRDefault="007D7243" w:rsidP="007D7243">
      <w:pPr>
        <w:spacing w:after="0"/>
        <w:rPr>
          <w:sz w:val="20"/>
          <w:szCs w:val="20"/>
          <w:lang w:val="sr-Cyrl-RS"/>
        </w:rPr>
      </w:pPr>
      <w:r w:rsidRPr="00EF2F18">
        <w:rPr>
          <w:sz w:val="20"/>
          <w:szCs w:val="20"/>
          <w:lang w:val="sr-Cyrl-RS"/>
        </w:rPr>
        <w:t xml:space="preserve"> </w:t>
      </w: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946"/>
        <w:gridCol w:w="2410"/>
        <w:gridCol w:w="2261"/>
        <w:gridCol w:w="2340"/>
        <w:gridCol w:w="2700"/>
      </w:tblGrid>
      <w:tr w:rsidR="007D7243" w:rsidRPr="00EF2F18" w14:paraId="2D685AA4" w14:textId="77777777" w:rsidTr="00F35214">
        <w:trPr>
          <w:trHeight w:val="336"/>
        </w:trPr>
        <w:tc>
          <w:tcPr>
            <w:tcW w:w="3946" w:type="dxa"/>
            <w:vMerge w:val="restart"/>
            <w:shd w:val="clear" w:color="000000" w:fill="A8D08D"/>
            <w:hideMark/>
          </w:tcPr>
          <w:p w14:paraId="736BAE7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410" w:type="dxa"/>
            <w:vMerge w:val="restart"/>
            <w:shd w:val="clear" w:color="000000" w:fill="A8D08D"/>
            <w:hideMark/>
          </w:tcPr>
          <w:p w14:paraId="0512161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301" w:type="dxa"/>
            <w:gridSpan w:val="3"/>
            <w:shd w:val="clear" w:color="000000" w:fill="A8D08D"/>
            <w:hideMark/>
          </w:tcPr>
          <w:p w14:paraId="21E6C6E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35214" w:rsidRPr="00EF2F18" w14:paraId="43B14D75" w14:textId="77777777" w:rsidTr="00F35214">
        <w:trPr>
          <w:trHeight w:val="336"/>
        </w:trPr>
        <w:tc>
          <w:tcPr>
            <w:tcW w:w="3946" w:type="dxa"/>
            <w:vMerge/>
            <w:vAlign w:val="center"/>
            <w:hideMark/>
          </w:tcPr>
          <w:p w14:paraId="176A0233" w14:textId="77777777" w:rsidR="00F35214" w:rsidRPr="00EF2F18" w:rsidRDefault="00F35214" w:rsidP="00752CA0">
            <w:pPr>
              <w:spacing w:after="0"/>
              <w:rPr>
                <w:rFonts w:eastAsia="Times New Roman" w:cs="Times New Roman"/>
                <w:color w:val="000000"/>
                <w:sz w:val="20"/>
                <w:szCs w:val="20"/>
                <w:lang w:val="sr-Cyrl-RS" w:eastAsia="en-GB"/>
              </w:rPr>
            </w:pPr>
          </w:p>
        </w:tc>
        <w:tc>
          <w:tcPr>
            <w:tcW w:w="2410" w:type="dxa"/>
            <w:vMerge/>
            <w:vAlign w:val="center"/>
            <w:hideMark/>
          </w:tcPr>
          <w:p w14:paraId="58E30FFB" w14:textId="77777777" w:rsidR="00F35214" w:rsidRPr="00EF2F18" w:rsidRDefault="00F35214" w:rsidP="00752CA0">
            <w:pPr>
              <w:spacing w:after="0"/>
              <w:rPr>
                <w:rFonts w:eastAsia="Times New Roman" w:cs="Times New Roman"/>
                <w:color w:val="000000"/>
                <w:sz w:val="20"/>
                <w:szCs w:val="20"/>
                <w:lang w:val="sr-Cyrl-RS" w:eastAsia="en-GB"/>
              </w:rPr>
            </w:pPr>
          </w:p>
        </w:tc>
        <w:tc>
          <w:tcPr>
            <w:tcW w:w="2261" w:type="dxa"/>
            <w:shd w:val="clear" w:color="000000" w:fill="A8D08D"/>
            <w:hideMark/>
          </w:tcPr>
          <w:p w14:paraId="16BA419D" w14:textId="7704AAD0"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 године</w:t>
            </w:r>
          </w:p>
        </w:tc>
        <w:tc>
          <w:tcPr>
            <w:tcW w:w="2340" w:type="dxa"/>
            <w:shd w:val="clear" w:color="000000" w:fill="A8D08D"/>
            <w:hideMark/>
          </w:tcPr>
          <w:p w14:paraId="0273E826" w14:textId="43B28B7C"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2027. године</w:t>
            </w:r>
          </w:p>
        </w:tc>
        <w:tc>
          <w:tcPr>
            <w:tcW w:w="2700" w:type="dxa"/>
            <w:shd w:val="clear" w:color="000000" w:fill="A8D08D"/>
            <w:hideMark/>
          </w:tcPr>
          <w:p w14:paraId="339DB18D" w14:textId="49F8CEF3"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 године</w:t>
            </w:r>
          </w:p>
        </w:tc>
      </w:tr>
      <w:tr w:rsidR="00F35214" w:rsidRPr="00EF2F18" w14:paraId="58367BB2" w14:textId="77777777" w:rsidTr="00F35214">
        <w:trPr>
          <w:trHeight w:val="336"/>
        </w:trPr>
        <w:tc>
          <w:tcPr>
            <w:tcW w:w="3946" w:type="dxa"/>
            <w:shd w:val="clear" w:color="000000" w:fill="FFFFFF"/>
            <w:hideMark/>
          </w:tcPr>
          <w:p w14:paraId="7AC0BEE4" w14:textId="7689C1AC" w:rsidR="00F35214" w:rsidRPr="00EF2F18" w:rsidRDefault="00F35214" w:rsidP="0083678C">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00186093" w:rsidRPr="00EF2F18">
              <w:rPr>
                <w:rFonts w:eastAsia="Times New Roman" w:cs="Times New Roman"/>
                <w:color w:val="000000"/>
                <w:sz w:val="20"/>
                <w:szCs w:val="20"/>
                <w:lang w:val="sr-Cyrl-RS" w:eastAsia="sr-Cyrl-RS"/>
              </w:rPr>
              <w:t xml:space="preserve"> </w:t>
            </w:r>
            <w:r w:rsidRPr="00EF2F18">
              <w:rPr>
                <w:rFonts w:eastAsia="Times New Roman" w:cs="Times New Roman"/>
                <w:color w:val="000000"/>
                <w:sz w:val="20"/>
                <w:szCs w:val="20"/>
                <w:lang w:val="sr-Cyrl-RS" w:eastAsia="en-GB"/>
              </w:rPr>
              <w:t xml:space="preserve"> (МПШВ)</w:t>
            </w:r>
          </w:p>
        </w:tc>
        <w:tc>
          <w:tcPr>
            <w:tcW w:w="2410" w:type="dxa"/>
            <w:shd w:val="clear" w:color="000000" w:fill="FFFFFF"/>
            <w:hideMark/>
          </w:tcPr>
          <w:p w14:paraId="4F6834ED" w14:textId="3CC98D4F" w:rsidR="00F35214" w:rsidRPr="00EF2F18" w:rsidRDefault="00F35214" w:rsidP="0083678C">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2261" w:type="dxa"/>
            <w:shd w:val="clear" w:color="000000" w:fill="FFFFFF"/>
          </w:tcPr>
          <w:p w14:paraId="3E1E5657" w14:textId="1920993A" w:rsidR="00F35214" w:rsidRPr="00EF2F18" w:rsidRDefault="00F35214" w:rsidP="0083678C">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71.058</w:t>
            </w:r>
          </w:p>
        </w:tc>
        <w:tc>
          <w:tcPr>
            <w:tcW w:w="2340" w:type="dxa"/>
          </w:tcPr>
          <w:p w14:paraId="2CE32558" w14:textId="095E4C2C" w:rsidR="00F35214" w:rsidRPr="00EF2F18" w:rsidRDefault="00F35214" w:rsidP="0083678C">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409.189</w:t>
            </w:r>
          </w:p>
        </w:tc>
        <w:tc>
          <w:tcPr>
            <w:tcW w:w="2700" w:type="dxa"/>
          </w:tcPr>
          <w:p w14:paraId="211C5D5D" w14:textId="7AB1B1DC" w:rsidR="00F35214" w:rsidRPr="00EF2F18" w:rsidRDefault="000B5C8E" w:rsidP="0083678C">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552</w:t>
            </w:r>
            <w:r w:rsidR="00F35214"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371</w:t>
            </w:r>
          </w:p>
        </w:tc>
      </w:tr>
      <w:tr w:rsidR="00F35214" w:rsidRPr="00EF2F18" w14:paraId="137BC19D" w14:textId="77777777" w:rsidTr="00F35214">
        <w:trPr>
          <w:trHeight w:val="336"/>
        </w:trPr>
        <w:tc>
          <w:tcPr>
            <w:tcW w:w="3946" w:type="dxa"/>
            <w:shd w:val="clear" w:color="000000" w:fill="FFFFFF"/>
          </w:tcPr>
          <w:p w14:paraId="44F24CB0" w14:textId="11E57399" w:rsidR="00F35214" w:rsidRPr="00EF2F18" w:rsidRDefault="00F35214" w:rsidP="0083678C">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(ЕУ ИПАРД)</w:t>
            </w:r>
          </w:p>
        </w:tc>
        <w:tc>
          <w:tcPr>
            <w:tcW w:w="2410" w:type="dxa"/>
            <w:shd w:val="clear" w:color="000000" w:fill="FFFFFF"/>
          </w:tcPr>
          <w:p w14:paraId="1E74E3CA" w14:textId="2299C17E" w:rsidR="00F35214" w:rsidRPr="00EF2F18" w:rsidRDefault="00F35214" w:rsidP="0083678C">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2261" w:type="dxa"/>
            <w:shd w:val="clear" w:color="000000" w:fill="FFFFFF"/>
          </w:tcPr>
          <w:p w14:paraId="714CAAAC" w14:textId="645F215F" w:rsidR="00F35214" w:rsidRPr="00EF2F18" w:rsidRDefault="00F35214" w:rsidP="0083678C">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489.394</w:t>
            </w:r>
          </w:p>
        </w:tc>
        <w:tc>
          <w:tcPr>
            <w:tcW w:w="2340" w:type="dxa"/>
          </w:tcPr>
          <w:p w14:paraId="253C7668" w14:textId="309035F8" w:rsidR="00F35214" w:rsidRPr="00EF2F18" w:rsidRDefault="00F35214" w:rsidP="0083678C">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1.558.334</w:t>
            </w:r>
          </w:p>
        </w:tc>
        <w:tc>
          <w:tcPr>
            <w:tcW w:w="2700" w:type="dxa"/>
          </w:tcPr>
          <w:p w14:paraId="1B97393E" w14:textId="65CA626A" w:rsidR="00F35214" w:rsidRPr="00EF2F18" w:rsidRDefault="000B5C8E" w:rsidP="0083678C">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r w:rsidR="00F35214"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088</w:t>
            </w:r>
            <w:r w:rsidR="00F35214"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707</w:t>
            </w:r>
          </w:p>
        </w:tc>
      </w:tr>
    </w:tbl>
    <w:p w14:paraId="3D343D5F" w14:textId="77777777" w:rsidR="007D7243" w:rsidRPr="00EF2F18" w:rsidRDefault="007D7243" w:rsidP="007D7243">
      <w:pPr>
        <w:spacing w:after="0"/>
        <w:rPr>
          <w:sz w:val="20"/>
          <w:szCs w:val="20"/>
          <w:lang w:val="sr-Cyrl-RS"/>
        </w:rPr>
      </w:pPr>
    </w:p>
    <w:p w14:paraId="182339F5"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2840"/>
        <w:gridCol w:w="1360"/>
        <w:gridCol w:w="1279"/>
        <w:gridCol w:w="1182"/>
        <w:gridCol w:w="1676"/>
        <w:gridCol w:w="1340"/>
        <w:gridCol w:w="1100"/>
        <w:gridCol w:w="1350"/>
        <w:gridCol w:w="1500"/>
        <w:gridCol w:w="30"/>
      </w:tblGrid>
      <w:tr w:rsidR="007D7243" w:rsidRPr="00EF2F18" w14:paraId="6BD2EA94" w14:textId="77777777" w:rsidTr="00F35214">
        <w:trPr>
          <w:gridAfter w:val="1"/>
          <w:wAfter w:w="30" w:type="dxa"/>
          <w:trHeight w:val="732"/>
        </w:trPr>
        <w:tc>
          <w:tcPr>
            <w:tcW w:w="2840"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A733AA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36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19EF46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27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A1339C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9BAA9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676"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4ECE21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A94CE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3950" w:type="dxa"/>
            <w:gridSpan w:val="3"/>
            <w:tcBorders>
              <w:top w:val="double" w:sz="6" w:space="0" w:color="auto"/>
              <w:left w:val="nil"/>
              <w:bottom w:val="single" w:sz="8" w:space="0" w:color="auto"/>
              <w:right w:val="double" w:sz="6" w:space="0" w:color="auto"/>
            </w:tcBorders>
            <w:shd w:val="clear" w:color="000000" w:fill="FFF2CC"/>
            <w:hideMark/>
          </w:tcPr>
          <w:p w14:paraId="2FF8835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35214" w:rsidRPr="00EF2F18" w14:paraId="6F4D3407" w14:textId="77777777" w:rsidTr="00F35214">
        <w:trPr>
          <w:trHeight w:val="324"/>
        </w:trPr>
        <w:tc>
          <w:tcPr>
            <w:tcW w:w="2840" w:type="dxa"/>
            <w:vMerge/>
            <w:tcBorders>
              <w:top w:val="double" w:sz="6" w:space="0" w:color="auto"/>
              <w:left w:val="double" w:sz="6" w:space="0" w:color="auto"/>
              <w:bottom w:val="single" w:sz="8" w:space="0" w:color="000000"/>
              <w:right w:val="single" w:sz="8" w:space="0" w:color="auto"/>
            </w:tcBorders>
            <w:vAlign w:val="center"/>
            <w:hideMark/>
          </w:tcPr>
          <w:p w14:paraId="157E3165" w14:textId="77777777" w:rsidR="00F35214" w:rsidRPr="00EF2F18" w:rsidRDefault="00F35214" w:rsidP="00752CA0">
            <w:pPr>
              <w:spacing w:after="0"/>
              <w:rPr>
                <w:rFonts w:eastAsia="Times New Roman" w:cs="Times New Roman"/>
                <w:color w:val="000000"/>
                <w:sz w:val="20"/>
                <w:szCs w:val="20"/>
                <w:lang w:val="sr-Cyrl-RS" w:eastAsia="en-GB"/>
              </w:rPr>
            </w:pPr>
          </w:p>
        </w:tc>
        <w:tc>
          <w:tcPr>
            <w:tcW w:w="1360" w:type="dxa"/>
            <w:vMerge/>
            <w:tcBorders>
              <w:top w:val="double" w:sz="6" w:space="0" w:color="auto"/>
              <w:left w:val="single" w:sz="8" w:space="0" w:color="auto"/>
              <w:bottom w:val="single" w:sz="8" w:space="0" w:color="000000"/>
              <w:right w:val="single" w:sz="8" w:space="0" w:color="auto"/>
            </w:tcBorders>
            <w:vAlign w:val="center"/>
            <w:hideMark/>
          </w:tcPr>
          <w:p w14:paraId="2539AC76" w14:textId="77777777" w:rsidR="00F35214" w:rsidRPr="00EF2F18" w:rsidRDefault="00F35214" w:rsidP="00752CA0">
            <w:pPr>
              <w:spacing w:after="0"/>
              <w:rPr>
                <w:rFonts w:eastAsia="Times New Roman" w:cs="Times New Roman"/>
                <w:color w:val="000000"/>
                <w:sz w:val="20"/>
                <w:szCs w:val="20"/>
                <w:lang w:val="sr-Cyrl-RS" w:eastAsia="en-GB"/>
              </w:rPr>
            </w:pPr>
          </w:p>
        </w:tc>
        <w:tc>
          <w:tcPr>
            <w:tcW w:w="1279" w:type="dxa"/>
            <w:vMerge/>
            <w:tcBorders>
              <w:top w:val="double" w:sz="6" w:space="0" w:color="auto"/>
              <w:left w:val="single" w:sz="8" w:space="0" w:color="auto"/>
              <w:bottom w:val="single" w:sz="8" w:space="0" w:color="000000"/>
              <w:right w:val="single" w:sz="8" w:space="0" w:color="auto"/>
            </w:tcBorders>
            <w:vAlign w:val="center"/>
            <w:hideMark/>
          </w:tcPr>
          <w:p w14:paraId="3099EA42" w14:textId="77777777" w:rsidR="00F35214" w:rsidRPr="00EF2F18" w:rsidRDefault="00F35214"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1BBCB315" w14:textId="77777777" w:rsidR="00F35214" w:rsidRPr="00EF2F18" w:rsidRDefault="00F35214" w:rsidP="00752CA0">
            <w:pPr>
              <w:spacing w:after="0"/>
              <w:rPr>
                <w:rFonts w:eastAsia="Times New Roman" w:cs="Times New Roman"/>
                <w:color w:val="000000"/>
                <w:sz w:val="20"/>
                <w:szCs w:val="20"/>
                <w:lang w:val="sr-Cyrl-RS" w:eastAsia="en-GB"/>
              </w:rPr>
            </w:pPr>
          </w:p>
        </w:tc>
        <w:tc>
          <w:tcPr>
            <w:tcW w:w="1676" w:type="dxa"/>
            <w:vMerge/>
            <w:tcBorders>
              <w:top w:val="double" w:sz="6" w:space="0" w:color="auto"/>
              <w:left w:val="single" w:sz="8" w:space="0" w:color="auto"/>
              <w:bottom w:val="single" w:sz="8" w:space="0" w:color="000000"/>
              <w:right w:val="single" w:sz="8" w:space="0" w:color="auto"/>
            </w:tcBorders>
            <w:vAlign w:val="center"/>
            <w:hideMark/>
          </w:tcPr>
          <w:p w14:paraId="312EDC96" w14:textId="77777777" w:rsidR="00F35214" w:rsidRPr="00EF2F18" w:rsidRDefault="00F3521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6DD1238E" w14:textId="77777777" w:rsidR="00F35214" w:rsidRPr="00EF2F18" w:rsidRDefault="00F35214" w:rsidP="00752CA0">
            <w:pPr>
              <w:spacing w:after="0"/>
              <w:rPr>
                <w:rFonts w:eastAsia="Times New Roman" w:cs="Times New Roman"/>
                <w:color w:val="000000"/>
                <w:sz w:val="20"/>
                <w:szCs w:val="20"/>
                <w:lang w:val="sr-Cyrl-RS" w:eastAsia="en-GB"/>
              </w:rPr>
            </w:pPr>
          </w:p>
        </w:tc>
        <w:tc>
          <w:tcPr>
            <w:tcW w:w="1100" w:type="dxa"/>
            <w:tcBorders>
              <w:top w:val="nil"/>
              <w:left w:val="nil"/>
              <w:bottom w:val="single" w:sz="8" w:space="0" w:color="auto"/>
              <w:right w:val="single" w:sz="8" w:space="0" w:color="auto"/>
            </w:tcBorders>
            <w:shd w:val="clear" w:color="000000" w:fill="FFF2CC"/>
            <w:hideMark/>
          </w:tcPr>
          <w:p w14:paraId="4A6AFABF" w14:textId="44E0272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350" w:type="dxa"/>
            <w:tcBorders>
              <w:top w:val="nil"/>
              <w:left w:val="nil"/>
              <w:bottom w:val="single" w:sz="8" w:space="0" w:color="auto"/>
              <w:right w:val="single" w:sz="8" w:space="0" w:color="auto"/>
            </w:tcBorders>
            <w:shd w:val="clear" w:color="000000" w:fill="FFF2CC"/>
            <w:hideMark/>
          </w:tcPr>
          <w:p w14:paraId="05225725" w14:textId="6249992C"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w:t>
            </w:r>
          </w:p>
        </w:tc>
        <w:tc>
          <w:tcPr>
            <w:tcW w:w="1530" w:type="dxa"/>
            <w:gridSpan w:val="2"/>
            <w:tcBorders>
              <w:top w:val="nil"/>
              <w:left w:val="nil"/>
              <w:bottom w:val="single" w:sz="8" w:space="0" w:color="auto"/>
              <w:right w:val="double" w:sz="6" w:space="0" w:color="auto"/>
            </w:tcBorders>
            <w:shd w:val="clear" w:color="000000" w:fill="FFF2CC"/>
            <w:hideMark/>
          </w:tcPr>
          <w:p w14:paraId="1175CD2F" w14:textId="7DBD92F1"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F35214" w:rsidRPr="00EF2F18" w14:paraId="7E2BD64B" w14:textId="77777777" w:rsidTr="00F35214">
        <w:trPr>
          <w:trHeight w:val="1068"/>
        </w:trPr>
        <w:tc>
          <w:tcPr>
            <w:tcW w:w="2840" w:type="dxa"/>
            <w:tcBorders>
              <w:top w:val="nil"/>
              <w:left w:val="double" w:sz="6" w:space="0" w:color="auto"/>
              <w:bottom w:val="single" w:sz="8" w:space="0" w:color="auto"/>
              <w:right w:val="single" w:sz="8" w:space="0" w:color="auto"/>
            </w:tcBorders>
            <w:hideMark/>
          </w:tcPr>
          <w:p w14:paraId="7FD1D3F8"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5.1.1.1. Акредитација IPARD агроеколошко-климатске мере (мера 4) </w:t>
            </w:r>
          </w:p>
        </w:tc>
        <w:tc>
          <w:tcPr>
            <w:tcW w:w="1360" w:type="dxa"/>
            <w:tcBorders>
              <w:top w:val="nil"/>
              <w:left w:val="nil"/>
              <w:bottom w:val="single" w:sz="8" w:space="0" w:color="auto"/>
              <w:right w:val="single" w:sz="8" w:space="0" w:color="auto"/>
            </w:tcBorders>
            <w:hideMark/>
          </w:tcPr>
          <w:p w14:paraId="2FBDD2CC" w14:textId="09DB752F"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МПШВ/УАП</w:t>
            </w:r>
          </w:p>
        </w:tc>
        <w:tc>
          <w:tcPr>
            <w:tcW w:w="1279" w:type="dxa"/>
            <w:tcBorders>
              <w:top w:val="nil"/>
              <w:left w:val="nil"/>
              <w:bottom w:val="single" w:sz="8" w:space="0" w:color="auto"/>
              <w:right w:val="single" w:sz="8" w:space="0" w:color="auto"/>
            </w:tcBorders>
            <w:hideMark/>
          </w:tcPr>
          <w:p w14:paraId="204C9FC6"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Удружења произвођача органских производа</w:t>
            </w:r>
          </w:p>
        </w:tc>
        <w:tc>
          <w:tcPr>
            <w:tcW w:w="1182" w:type="dxa"/>
            <w:tcBorders>
              <w:top w:val="nil"/>
              <w:left w:val="nil"/>
              <w:bottom w:val="single" w:sz="8" w:space="0" w:color="auto"/>
              <w:right w:val="single" w:sz="8" w:space="0" w:color="auto"/>
            </w:tcBorders>
            <w:hideMark/>
          </w:tcPr>
          <w:p w14:paraId="369A233B" w14:textId="0E45EE5D"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195A37"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w:t>
            </w:r>
          </w:p>
        </w:tc>
        <w:tc>
          <w:tcPr>
            <w:tcW w:w="1676" w:type="dxa"/>
            <w:tcBorders>
              <w:top w:val="nil"/>
              <w:left w:val="nil"/>
              <w:bottom w:val="single" w:sz="8" w:space="0" w:color="auto"/>
              <w:right w:val="single" w:sz="8" w:space="0" w:color="auto"/>
            </w:tcBorders>
            <w:hideMark/>
          </w:tcPr>
          <w:p w14:paraId="61604FEC" w14:textId="08774A8E" w:rsidR="00F35214" w:rsidRPr="00EF2F18" w:rsidRDefault="00F35214"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t>Буџетска средства</w:t>
            </w:r>
          </w:p>
          <w:p w14:paraId="66B8C557" w14:textId="77777777" w:rsidR="00F35214" w:rsidRPr="00EF2F18" w:rsidRDefault="00F35214" w:rsidP="00752CA0">
            <w:pPr>
              <w:spacing w:after="0"/>
              <w:rPr>
                <w:rFonts w:eastAsia="Times New Roman" w:cs="Times New Roman"/>
                <w:color w:val="000000"/>
                <w:sz w:val="20"/>
                <w:szCs w:val="20"/>
                <w:lang w:val="sr-Cyrl-RS" w:eastAsia="sr-Cyrl-RS"/>
              </w:rPr>
            </w:pPr>
          </w:p>
          <w:p w14:paraId="52466008" w14:textId="1FBD591D"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(ЕУ ИПАРД)</w:t>
            </w:r>
          </w:p>
        </w:tc>
        <w:tc>
          <w:tcPr>
            <w:tcW w:w="1340" w:type="dxa"/>
            <w:tcBorders>
              <w:top w:val="nil"/>
              <w:left w:val="nil"/>
              <w:bottom w:val="single" w:sz="8" w:space="0" w:color="auto"/>
              <w:right w:val="single" w:sz="8" w:space="0" w:color="auto"/>
            </w:tcBorders>
            <w:hideMark/>
          </w:tcPr>
          <w:p w14:paraId="15D4BA13"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p w14:paraId="36657AF6" w14:textId="77777777" w:rsidR="00F35214" w:rsidRPr="00EF2F18" w:rsidRDefault="00F35214" w:rsidP="00752CA0">
            <w:pPr>
              <w:spacing w:after="0"/>
              <w:rPr>
                <w:rFonts w:eastAsia="Times New Roman" w:cs="Times New Roman"/>
                <w:color w:val="000000"/>
                <w:sz w:val="20"/>
                <w:szCs w:val="20"/>
                <w:lang w:val="sr-Cyrl-RS" w:eastAsia="en-GB"/>
              </w:rPr>
            </w:pPr>
          </w:p>
          <w:p w14:paraId="70DEE553" w14:textId="7E12163D"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1100" w:type="dxa"/>
            <w:tcBorders>
              <w:top w:val="nil"/>
              <w:left w:val="nil"/>
              <w:bottom w:val="single" w:sz="8" w:space="0" w:color="auto"/>
              <w:right w:val="single" w:sz="8" w:space="0" w:color="auto"/>
            </w:tcBorders>
          </w:tcPr>
          <w:p w14:paraId="5B332F92" w14:textId="77777777" w:rsidR="00F35214" w:rsidRPr="00EF2F18" w:rsidRDefault="00F3521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45.041</w:t>
            </w:r>
          </w:p>
          <w:p w14:paraId="08A489CA" w14:textId="77777777" w:rsidR="00F35214" w:rsidRPr="00EF2F18" w:rsidRDefault="00F35214" w:rsidP="00752CA0">
            <w:pPr>
              <w:spacing w:after="0"/>
              <w:jc w:val="right"/>
              <w:rPr>
                <w:rFonts w:eastAsia="Times New Roman" w:cs="Times New Roman"/>
                <w:color w:val="000000"/>
                <w:sz w:val="20"/>
                <w:szCs w:val="20"/>
                <w:lang w:val="sr-Cyrl-RS" w:eastAsia="en-GB"/>
              </w:rPr>
            </w:pPr>
          </w:p>
          <w:p w14:paraId="56E83052" w14:textId="77777777" w:rsidR="00F35214" w:rsidRPr="00EF2F18" w:rsidRDefault="00F35214" w:rsidP="00752CA0">
            <w:pPr>
              <w:spacing w:after="0"/>
              <w:jc w:val="right"/>
              <w:rPr>
                <w:rFonts w:eastAsia="Times New Roman" w:cs="Times New Roman"/>
                <w:color w:val="000000"/>
                <w:sz w:val="20"/>
                <w:szCs w:val="20"/>
                <w:lang w:val="sr-Cyrl-RS" w:eastAsia="en-GB"/>
              </w:rPr>
            </w:pPr>
          </w:p>
          <w:p w14:paraId="41EB7EBD" w14:textId="651EA3F9" w:rsidR="00F35214" w:rsidRPr="00EF2F18" w:rsidRDefault="00F3521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255.234</w:t>
            </w:r>
          </w:p>
        </w:tc>
        <w:tc>
          <w:tcPr>
            <w:tcW w:w="1350" w:type="dxa"/>
            <w:tcBorders>
              <w:top w:val="nil"/>
              <w:left w:val="nil"/>
              <w:bottom w:val="single" w:sz="8" w:space="0" w:color="auto"/>
              <w:right w:val="single" w:sz="8" w:space="0" w:color="auto"/>
            </w:tcBorders>
          </w:tcPr>
          <w:p w14:paraId="2935D6A2" w14:textId="77777777" w:rsidR="00F35214" w:rsidRPr="00EF2F18" w:rsidRDefault="00F3521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47.933</w:t>
            </w:r>
          </w:p>
          <w:p w14:paraId="3AAA8BE2" w14:textId="77777777" w:rsidR="00F35214" w:rsidRPr="00EF2F18" w:rsidRDefault="00F35214" w:rsidP="00752CA0">
            <w:pPr>
              <w:spacing w:after="0"/>
              <w:jc w:val="right"/>
              <w:rPr>
                <w:rFonts w:eastAsia="Times New Roman" w:cs="Times New Roman"/>
                <w:color w:val="000000"/>
                <w:sz w:val="20"/>
                <w:szCs w:val="20"/>
                <w:lang w:val="sr-Cyrl-RS" w:eastAsia="en-GB"/>
              </w:rPr>
            </w:pPr>
          </w:p>
          <w:p w14:paraId="785E5314" w14:textId="77777777" w:rsidR="00F35214" w:rsidRPr="00EF2F18" w:rsidRDefault="00F35214" w:rsidP="00752CA0">
            <w:pPr>
              <w:spacing w:after="0"/>
              <w:jc w:val="right"/>
              <w:rPr>
                <w:rFonts w:eastAsia="Times New Roman" w:cs="Times New Roman"/>
                <w:color w:val="000000"/>
                <w:sz w:val="20"/>
                <w:szCs w:val="20"/>
                <w:lang w:val="sr-Cyrl-RS" w:eastAsia="en-GB"/>
              </w:rPr>
            </w:pPr>
          </w:p>
          <w:p w14:paraId="0269EF22" w14:textId="63856AE3" w:rsidR="00F35214" w:rsidRPr="00EF2F18" w:rsidRDefault="00F35214"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271.625</w:t>
            </w:r>
          </w:p>
        </w:tc>
        <w:tc>
          <w:tcPr>
            <w:tcW w:w="1530" w:type="dxa"/>
            <w:gridSpan w:val="2"/>
            <w:tcBorders>
              <w:top w:val="nil"/>
              <w:left w:val="nil"/>
              <w:bottom w:val="single" w:sz="8" w:space="0" w:color="auto"/>
              <w:right w:val="double" w:sz="6" w:space="0" w:color="auto"/>
            </w:tcBorders>
          </w:tcPr>
          <w:p w14:paraId="33000BAC" w14:textId="77777777" w:rsidR="00F35214" w:rsidRPr="00EF2F18" w:rsidRDefault="00195A37"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68.181</w:t>
            </w:r>
          </w:p>
          <w:p w14:paraId="788DECE9" w14:textId="77777777" w:rsidR="00195A37" w:rsidRPr="00EF2F18" w:rsidRDefault="00195A37" w:rsidP="00752CA0">
            <w:pPr>
              <w:spacing w:after="0"/>
              <w:jc w:val="right"/>
              <w:rPr>
                <w:rFonts w:eastAsia="Times New Roman" w:cs="Times New Roman"/>
                <w:color w:val="000000"/>
                <w:sz w:val="20"/>
                <w:szCs w:val="20"/>
                <w:lang w:val="sr-Cyrl-RS" w:eastAsia="en-GB"/>
              </w:rPr>
            </w:pPr>
          </w:p>
          <w:p w14:paraId="1CA51171" w14:textId="77777777" w:rsidR="00195A37" w:rsidRPr="00EF2F18" w:rsidRDefault="00195A37" w:rsidP="00752CA0">
            <w:pPr>
              <w:spacing w:after="0"/>
              <w:jc w:val="right"/>
              <w:rPr>
                <w:rFonts w:eastAsia="Times New Roman" w:cs="Times New Roman"/>
                <w:color w:val="000000"/>
                <w:sz w:val="20"/>
                <w:szCs w:val="20"/>
                <w:lang w:val="sr-Cyrl-RS" w:eastAsia="en-GB"/>
              </w:rPr>
            </w:pPr>
          </w:p>
          <w:p w14:paraId="35078FFE" w14:textId="030B120F" w:rsidR="00195A37" w:rsidRPr="00EF2F18" w:rsidRDefault="00195A37"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386.364</w:t>
            </w:r>
          </w:p>
        </w:tc>
      </w:tr>
      <w:tr w:rsidR="00F35214" w:rsidRPr="00EF2F18" w14:paraId="48058716" w14:textId="77777777" w:rsidTr="00F67270">
        <w:trPr>
          <w:trHeight w:val="804"/>
        </w:trPr>
        <w:tc>
          <w:tcPr>
            <w:tcW w:w="2840" w:type="dxa"/>
            <w:tcBorders>
              <w:top w:val="single" w:sz="4" w:space="0" w:color="auto"/>
              <w:left w:val="double" w:sz="6" w:space="0" w:color="auto"/>
              <w:bottom w:val="single" w:sz="8" w:space="0" w:color="auto"/>
              <w:right w:val="single" w:sz="8" w:space="0" w:color="auto"/>
            </w:tcBorders>
            <w:hideMark/>
          </w:tcPr>
          <w:p w14:paraId="72C8F5FA" w14:textId="7008D5E6"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5.1.1.2. Акредитација IPARD мере 6 - подршка руралној јавној инфраструк</w:t>
            </w:r>
            <w:r w:rsidR="00F4115B">
              <w:rPr>
                <w:rFonts w:eastAsia="Times New Roman" w:cs="Times New Roman"/>
                <w:color w:val="000000"/>
                <w:sz w:val="20"/>
                <w:szCs w:val="20"/>
                <w:lang w:val="sr-Cyrl-RS" w:eastAsia="en-GB"/>
              </w:rPr>
              <w:t>т</w:t>
            </w:r>
            <w:r w:rsidRPr="00EF2F18">
              <w:rPr>
                <w:rFonts w:eastAsia="Times New Roman" w:cs="Times New Roman"/>
                <w:color w:val="000000"/>
                <w:sz w:val="20"/>
                <w:szCs w:val="20"/>
                <w:lang w:val="sr-Cyrl-RS" w:eastAsia="en-GB"/>
              </w:rPr>
              <w:t>ури</w:t>
            </w:r>
          </w:p>
        </w:tc>
        <w:tc>
          <w:tcPr>
            <w:tcW w:w="1360" w:type="dxa"/>
            <w:tcBorders>
              <w:top w:val="single" w:sz="4" w:space="0" w:color="auto"/>
              <w:left w:val="nil"/>
              <w:bottom w:val="single" w:sz="8" w:space="0" w:color="auto"/>
              <w:right w:val="single" w:sz="8" w:space="0" w:color="auto"/>
            </w:tcBorders>
            <w:hideMark/>
          </w:tcPr>
          <w:p w14:paraId="2291660B" w14:textId="4AA866A0"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МПШВ/УАП</w:t>
            </w:r>
          </w:p>
        </w:tc>
        <w:tc>
          <w:tcPr>
            <w:tcW w:w="1279" w:type="dxa"/>
            <w:tcBorders>
              <w:top w:val="single" w:sz="4" w:space="0" w:color="auto"/>
              <w:left w:val="nil"/>
              <w:bottom w:val="single" w:sz="8" w:space="0" w:color="auto"/>
              <w:right w:val="single" w:sz="8" w:space="0" w:color="auto"/>
            </w:tcBorders>
            <w:hideMark/>
          </w:tcPr>
          <w:p w14:paraId="3F046EF7" w14:textId="77777777"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ЈЛС</w:t>
            </w:r>
          </w:p>
        </w:tc>
        <w:tc>
          <w:tcPr>
            <w:tcW w:w="1182" w:type="dxa"/>
            <w:tcBorders>
              <w:top w:val="single" w:sz="4" w:space="0" w:color="auto"/>
              <w:left w:val="nil"/>
              <w:bottom w:val="single" w:sz="8" w:space="0" w:color="auto"/>
              <w:right w:val="single" w:sz="8" w:space="0" w:color="auto"/>
            </w:tcBorders>
            <w:hideMark/>
          </w:tcPr>
          <w:p w14:paraId="2821D1B3" w14:textId="77777777"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76" w:type="dxa"/>
            <w:tcBorders>
              <w:top w:val="single" w:sz="4" w:space="0" w:color="auto"/>
              <w:left w:val="nil"/>
              <w:bottom w:val="single" w:sz="8" w:space="0" w:color="auto"/>
              <w:right w:val="single" w:sz="8" w:space="0" w:color="auto"/>
            </w:tcBorders>
            <w:hideMark/>
          </w:tcPr>
          <w:p w14:paraId="2825C882" w14:textId="6373D052" w:rsidR="00F35214" w:rsidRPr="00EF2F18" w:rsidRDefault="00F35214" w:rsidP="00F424BE">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t>Буџетска средства</w:t>
            </w:r>
          </w:p>
          <w:p w14:paraId="5BFF2E6E" w14:textId="77777777" w:rsidR="00F35214" w:rsidRPr="00EF2F18" w:rsidRDefault="00F35214" w:rsidP="00F424BE">
            <w:pPr>
              <w:spacing w:after="0"/>
              <w:rPr>
                <w:rFonts w:eastAsia="Times New Roman" w:cs="Times New Roman"/>
                <w:color w:val="000000"/>
                <w:sz w:val="20"/>
                <w:szCs w:val="20"/>
                <w:lang w:val="sr-Cyrl-RS" w:eastAsia="sr-Cyrl-RS"/>
              </w:rPr>
            </w:pPr>
          </w:p>
          <w:p w14:paraId="34767CF2" w14:textId="4E008194"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(ЕУ ИПАРД)</w:t>
            </w:r>
          </w:p>
        </w:tc>
        <w:tc>
          <w:tcPr>
            <w:tcW w:w="1340" w:type="dxa"/>
            <w:tcBorders>
              <w:top w:val="single" w:sz="4" w:space="0" w:color="auto"/>
              <w:left w:val="nil"/>
              <w:bottom w:val="single" w:sz="8" w:space="0" w:color="auto"/>
              <w:right w:val="single" w:sz="8" w:space="0" w:color="auto"/>
            </w:tcBorders>
            <w:hideMark/>
          </w:tcPr>
          <w:p w14:paraId="294BFF8D" w14:textId="77777777"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p w14:paraId="4A4A00FA" w14:textId="77777777" w:rsidR="00F35214" w:rsidRPr="00EF2F18" w:rsidRDefault="00F35214" w:rsidP="00F424BE">
            <w:pPr>
              <w:spacing w:after="0"/>
              <w:rPr>
                <w:rFonts w:eastAsia="Times New Roman" w:cs="Times New Roman"/>
                <w:color w:val="000000"/>
                <w:sz w:val="20"/>
                <w:szCs w:val="20"/>
                <w:lang w:val="sr-Cyrl-RS" w:eastAsia="en-GB"/>
              </w:rPr>
            </w:pPr>
          </w:p>
          <w:p w14:paraId="40A41D3E" w14:textId="06BE12CD" w:rsidR="00F35214" w:rsidRPr="00EF2F18" w:rsidRDefault="00F35214" w:rsidP="00F42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1100" w:type="dxa"/>
            <w:tcBorders>
              <w:top w:val="single" w:sz="4" w:space="0" w:color="auto"/>
              <w:left w:val="nil"/>
              <w:bottom w:val="single" w:sz="8" w:space="0" w:color="auto"/>
              <w:right w:val="single" w:sz="8" w:space="0" w:color="auto"/>
            </w:tcBorders>
          </w:tcPr>
          <w:p w14:paraId="459CBEAB" w14:textId="4BFF61D4" w:rsidR="00F35214" w:rsidRPr="00EF2F18" w:rsidRDefault="00F35214" w:rsidP="00F424BE">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single" w:sz="8" w:space="0" w:color="auto"/>
              <w:right w:val="single" w:sz="8" w:space="0" w:color="auto"/>
            </w:tcBorders>
          </w:tcPr>
          <w:p w14:paraId="2CE61C9D" w14:textId="77777777" w:rsidR="00F35214" w:rsidRPr="00EF2F18" w:rsidRDefault="00F35214" w:rsidP="00F424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327.433</w:t>
            </w:r>
          </w:p>
          <w:p w14:paraId="12E48635" w14:textId="77777777" w:rsidR="00F35214" w:rsidRPr="00EF2F18" w:rsidRDefault="00F35214" w:rsidP="00F424BE">
            <w:pPr>
              <w:spacing w:after="0"/>
              <w:jc w:val="right"/>
              <w:rPr>
                <w:rFonts w:eastAsia="Times New Roman" w:cs="Times New Roman"/>
                <w:color w:val="000000"/>
                <w:sz w:val="20"/>
                <w:szCs w:val="20"/>
                <w:lang w:val="sr-Cyrl-RS" w:eastAsia="en-GB"/>
              </w:rPr>
            </w:pPr>
          </w:p>
          <w:p w14:paraId="0BEDB87C" w14:textId="77777777" w:rsidR="00F35214" w:rsidRPr="00EF2F18" w:rsidRDefault="00F35214" w:rsidP="00F424BE">
            <w:pPr>
              <w:spacing w:after="0"/>
              <w:jc w:val="right"/>
              <w:rPr>
                <w:rFonts w:eastAsia="Times New Roman" w:cs="Times New Roman"/>
                <w:color w:val="000000"/>
                <w:sz w:val="20"/>
                <w:szCs w:val="20"/>
                <w:lang w:val="sr-Cyrl-RS" w:eastAsia="en-GB"/>
              </w:rPr>
            </w:pPr>
          </w:p>
          <w:p w14:paraId="294B82A9" w14:textId="44E3FB58" w:rsidR="00F35214" w:rsidRPr="00EF2F18" w:rsidRDefault="00F35214" w:rsidP="00F424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982.301</w:t>
            </w:r>
          </w:p>
        </w:tc>
        <w:tc>
          <w:tcPr>
            <w:tcW w:w="1530" w:type="dxa"/>
            <w:gridSpan w:val="2"/>
            <w:tcBorders>
              <w:top w:val="single" w:sz="4" w:space="0" w:color="auto"/>
              <w:left w:val="nil"/>
              <w:bottom w:val="single" w:sz="8" w:space="0" w:color="auto"/>
              <w:right w:val="double" w:sz="6" w:space="0" w:color="auto"/>
            </w:tcBorders>
          </w:tcPr>
          <w:p w14:paraId="3FAE91BC" w14:textId="77777777" w:rsidR="00F35214" w:rsidRPr="00EF2F18" w:rsidRDefault="00F35214" w:rsidP="00F424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442.562</w:t>
            </w:r>
          </w:p>
          <w:p w14:paraId="1CC3FC60" w14:textId="77777777" w:rsidR="00F35214" w:rsidRPr="00EF2F18" w:rsidRDefault="00F35214" w:rsidP="00F424BE">
            <w:pPr>
              <w:spacing w:after="0"/>
              <w:jc w:val="right"/>
              <w:rPr>
                <w:rFonts w:eastAsia="Times New Roman" w:cs="Times New Roman"/>
                <w:color w:val="000000"/>
                <w:sz w:val="20"/>
                <w:szCs w:val="20"/>
                <w:lang w:val="sr-Cyrl-RS" w:eastAsia="en-GB"/>
              </w:rPr>
            </w:pPr>
          </w:p>
          <w:p w14:paraId="25B5BDA0" w14:textId="77777777" w:rsidR="00F35214" w:rsidRPr="00EF2F18" w:rsidRDefault="00F35214" w:rsidP="00F424BE">
            <w:pPr>
              <w:spacing w:after="0"/>
              <w:jc w:val="right"/>
              <w:rPr>
                <w:rFonts w:eastAsia="Times New Roman" w:cs="Times New Roman"/>
                <w:color w:val="000000"/>
                <w:sz w:val="20"/>
                <w:szCs w:val="20"/>
                <w:lang w:val="sr-Cyrl-RS" w:eastAsia="en-GB"/>
              </w:rPr>
            </w:pPr>
          </w:p>
          <w:p w14:paraId="50E04D62" w14:textId="792E33A2" w:rsidR="00F35214" w:rsidRPr="00EF2F18" w:rsidRDefault="00F35214" w:rsidP="00F424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1.327.687</w:t>
            </w:r>
          </w:p>
        </w:tc>
      </w:tr>
      <w:tr w:rsidR="00F35214" w:rsidRPr="00EF2F18" w14:paraId="1236DD82" w14:textId="77777777" w:rsidTr="00A25CE0">
        <w:trPr>
          <w:trHeight w:val="540"/>
        </w:trPr>
        <w:tc>
          <w:tcPr>
            <w:tcW w:w="2840" w:type="dxa"/>
            <w:tcBorders>
              <w:top w:val="nil"/>
              <w:left w:val="double" w:sz="6" w:space="0" w:color="auto"/>
              <w:right w:val="single" w:sz="8" w:space="0" w:color="auto"/>
            </w:tcBorders>
            <w:hideMark/>
          </w:tcPr>
          <w:p w14:paraId="171C32B5" w14:textId="77777777"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5.1.1.3. Акредитација IPARD мере 5 – </w:t>
            </w:r>
            <w:r w:rsidRPr="00EF2F18">
              <w:rPr>
                <w:rFonts w:eastAsia="Times New Roman" w:cs="Times New Roman"/>
                <w:i/>
                <w:iCs/>
                <w:color w:val="000000"/>
                <w:sz w:val="20"/>
                <w:szCs w:val="20"/>
                <w:lang w:val="sr-Cyrl-RS" w:eastAsia="en-GB"/>
              </w:rPr>
              <w:t>LEADER</w:t>
            </w:r>
            <w:r w:rsidRPr="00EF2F18">
              <w:rPr>
                <w:rFonts w:eastAsia="Times New Roman" w:cs="Times New Roman"/>
                <w:color w:val="000000"/>
                <w:sz w:val="20"/>
                <w:szCs w:val="20"/>
                <w:lang w:val="sr-Cyrl-RS" w:eastAsia="en-GB"/>
              </w:rPr>
              <w:t xml:space="preserve"> приступ</w:t>
            </w:r>
          </w:p>
        </w:tc>
        <w:tc>
          <w:tcPr>
            <w:tcW w:w="1360" w:type="dxa"/>
            <w:tcBorders>
              <w:top w:val="nil"/>
              <w:left w:val="nil"/>
              <w:right w:val="single" w:sz="8" w:space="0" w:color="auto"/>
            </w:tcBorders>
            <w:hideMark/>
          </w:tcPr>
          <w:p w14:paraId="2FD209D2" w14:textId="3FD94601"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МПШВ/УАП</w:t>
            </w:r>
          </w:p>
        </w:tc>
        <w:tc>
          <w:tcPr>
            <w:tcW w:w="1279" w:type="dxa"/>
            <w:tcBorders>
              <w:top w:val="nil"/>
              <w:left w:val="nil"/>
              <w:right w:val="single" w:sz="8" w:space="0" w:color="auto"/>
            </w:tcBorders>
            <w:hideMark/>
          </w:tcPr>
          <w:p w14:paraId="27CF7C61" w14:textId="77777777"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82" w:type="dxa"/>
            <w:tcBorders>
              <w:top w:val="nil"/>
              <w:left w:val="nil"/>
              <w:right w:val="single" w:sz="8" w:space="0" w:color="auto"/>
            </w:tcBorders>
            <w:hideMark/>
          </w:tcPr>
          <w:p w14:paraId="5DE36CD4" w14:textId="233DDC07"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195A37" w:rsidRPr="00EF2F18">
              <w:rPr>
                <w:rFonts w:eastAsia="Times New Roman" w:cs="Times New Roman"/>
                <w:color w:val="000000"/>
                <w:sz w:val="20"/>
                <w:szCs w:val="20"/>
                <w:lang w:val="sr-Cyrl-RS" w:eastAsia="en-GB"/>
              </w:rPr>
              <w:t>7</w:t>
            </w:r>
            <w:r w:rsidRPr="00EF2F18">
              <w:rPr>
                <w:rFonts w:eastAsia="Times New Roman" w:cs="Times New Roman"/>
                <w:color w:val="000000"/>
                <w:sz w:val="20"/>
                <w:szCs w:val="20"/>
                <w:lang w:val="sr-Cyrl-RS" w:eastAsia="en-GB"/>
              </w:rPr>
              <w:t>.</w:t>
            </w:r>
          </w:p>
        </w:tc>
        <w:tc>
          <w:tcPr>
            <w:tcW w:w="1676" w:type="dxa"/>
            <w:tcBorders>
              <w:top w:val="nil"/>
              <w:left w:val="nil"/>
              <w:right w:val="single" w:sz="8" w:space="0" w:color="auto"/>
            </w:tcBorders>
            <w:hideMark/>
          </w:tcPr>
          <w:p w14:paraId="78D2E7D0" w14:textId="6D0BD678"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right w:val="single" w:sz="8" w:space="0" w:color="auto"/>
            </w:tcBorders>
            <w:hideMark/>
          </w:tcPr>
          <w:p w14:paraId="4E141EDB" w14:textId="0DE0A685"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1100" w:type="dxa"/>
            <w:tcBorders>
              <w:top w:val="nil"/>
              <w:left w:val="nil"/>
              <w:right w:val="single" w:sz="8" w:space="0" w:color="auto"/>
            </w:tcBorders>
          </w:tcPr>
          <w:p w14:paraId="0E4E05F0" w14:textId="77777777" w:rsidR="00F35214" w:rsidRPr="00EF2F18" w:rsidRDefault="00F35214" w:rsidP="00BD1D9A">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26.017</w:t>
            </w:r>
          </w:p>
          <w:p w14:paraId="466D2A22" w14:textId="77777777" w:rsidR="00F35214" w:rsidRPr="00EF2F18" w:rsidRDefault="00F35214" w:rsidP="00BD1D9A">
            <w:pPr>
              <w:spacing w:after="0"/>
              <w:jc w:val="right"/>
              <w:rPr>
                <w:rFonts w:eastAsia="Times New Roman" w:cs="Times New Roman"/>
                <w:color w:val="000000"/>
                <w:sz w:val="20"/>
                <w:szCs w:val="20"/>
                <w:lang w:val="sr-Cyrl-RS" w:eastAsia="en-GB"/>
              </w:rPr>
            </w:pPr>
          </w:p>
          <w:p w14:paraId="4E5CACD4" w14:textId="31BF34D0" w:rsidR="00F35214" w:rsidRPr="00EF2F18" w:rsidRDefault="00F35214" w:rsidP="00BD1D9A">
            <w:pPr>
              <w:spacing w:after="0"/>
              <w:jc w:val="right"/>
              <w:rPr>
                <w:rFonts w:eastAsia="Times New Roman" w:cs="Times New Roman"/>
                <w:color w:val="000000"/>
                <w:sz w:val="20"/>
                <w:szCs w:val="20"/>
                <w:lang w:val="sr-Cyrl-RS" w:eastAsia="en-GB"/>
              </w:rPr>
            </w:pPr>
          </w:p>
        </w:tc>
        <w:tc>
          <w:tcPr>
            <w:tcW w:w="1350" w:type="dxa"/>
            <w:tcBorders>
              <w:top w:val="nil"/>
              <w:left w:val="nil"/>
              <w:right w:val="single" w:sz="8" w:space="0" w:color="auto"/>
            </w:tcBorders>
          </w:tcPr>
          <w:p w14:paraId="545F0D5E" w14:textId="64F64592" w:rsidR="00F35214" w:rsidRPr="00EF2F18" w:rsidRDefault="00F35214" w:rsidP="00BD1D9A">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33.823</w:t>
            </w:r>
          </w:p>
        </w:tc>
        <w:tc>
          <w:tcPr>
            <w:tcW w:w="1530" w:type="dxa"/>
            <w:gridSpan w:val="2"/>
            <w:tcBorders>
              <w:top w:val="nil"/>
              <w:left w:val="nil"/>
              <w:right w:val="double" w:sz="6" w:space="0" w:color="auto"/>
            </w:tcBorders>
          </w:tcPr>
          <w:p w14:paraId="5D90AC82" w14:textId="50C36872" w:rsidR="00F35214" w:rsidRPr="00EF2F18" w:rsidRDefault="00F35214" w:rsidP="00BD1D9A">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41.628</w:t>
            </w:r>
          </w:p>
        </w:tc>
      </w:tr>
      <w:tr w:rsidR="00F35214" w:rsidRPr="00EF2F18" w14:paraId="5195728B" w14:textId="77777777" w:rsidTr="00A25CE0">
        <w:trPr>
          <w:trHeight w:val="540"/>
        </w:trPr>
        <w:tc>
          <w:tcPr>
            <w:tcW w:w="2840" w:type="dxa"/>
            <w:tcBorders>
              <w:top w:val="nil"/>
              <w:left w:val="double" w:sz="6" w:space="0" w:color="auto"/>
              <w:bottom w:val="double" w:sz="6" w:space="0" w:color="auto"/>
              <w:right w:val="single" w:sz="8" w:space="0" w:color="auto"/>
            </w:tcBorders>
          </w:tcPr>
          <w:p w14:paraId="1B8DAB6B" w14:textId="77777777" w:rsidR="00F35214" w:rsidRPr="00EF2F18" w:rsidRDefault="00F35214" w:rsidP="00BD1D9A">
            <w:pPr>
              <w:spacing w:after="0"/>
              <w:rPr>
                <w:rFonts w:eastAsia="Times New Roman" w:cs="Times New Roman"/>
                <w:color w:val="000000"/>
                <w:sz w:val="20"/>
                <w:szCs w:val="20"/>
                <w:lang w:val="sr-Cyrl-RS" w:eastAsia="en-GB"/>
              </w:rPr>
            </w:pPr>
          </w:p>
        </w:tc>
        <w:tc>
          <w:tcPr>
            <w:tcW w:w="1360" w:type="dxa"/>
            <w:tcBorders>
              <w:top w:val="nil"/>
              <w:left w:val="nil"/>
              <w:bottom w:val="double" w:sz="6" w:space="0" w:color="auto"/>
              <w:right w:val="single" w:sz="8" w:space="0" w:color="auto"/>
            </w:tcBorders>
          </w:tcPr>
          <w:p w14:paraId="24F5DD26" w14:textId="77777777" w:rsidR="00F35214" w:rsidRPr="00EF2F18" w:rsidRDefault="00F35214" w:rsidP="00BD1D9A">
            <w:pPr>
              <w:spacing w:after="0"/>
              <w:rPr>
                <w:rFonts w:eastAsia="Times New Roman" w:cs="Times New Roman"/>
                <w:color w:val="000000"/>
                <w:sz w:val="20"/>
                <w:szCs w:val="20"/>
                <w:lang w:val="sr-Cyrl-RS" w:eastAsia="en-GB"/>
              </w:rPr>
            </w:pPr>
          </w:p>
        </w:tc>
        <w:tc>
          <w:tcPr>
            <w:tcW w:w="1279" w:type="dxa"/>
            <w:tcBorders>
              <w:top w:val="nil"/>
              <w:left w:val="nil"/>
              <w:bottom w:val="double" w:sz="6" w:space="0" w:color="auto"/>
              <w:right w:val="single" w:sz="8" w:space="0" w:color="auto"/>
            </w:tcBorders>
          </w:tcPr>
          <w:p w14:paraId="0731B3E7" w14:textId="77777777" w:rsidR="00F35214" w:rsidRPr="00EF2F18" w:rsidRDefault="00F35214" w:rsidP="00BD1D9A">
            <w:pPr>
              <w:spacing w:after="0"/>
              <w:rPr>
                <w:rFonts w:eastAsia="Times New Roman" w:cs="Times New Roman"/>
                <w:color w:val="000000"/>
                <w:sz w:val="20"/>
                <w:szCs w:val="20"/>
                <w:lang w:val="sr-Cyrl-RS" w:eastAsia="en-GB"/>
              </w:rPr>
            </w:pPr>
          </w:p>
        </w:tc>
        <w:tc>
          <w:tcPr>
            <w:tcW w:w="1182" w:type="dxa"/>
            <w:tcBorders>
              <w:top w:val="nil"/>
              <w:left w:val="nil"/>
              <w:bottom w:val="double" w:sz="6" w:space="0" w:color="auto"/>
              <w:right w:val="single" w:sz="8" w:space="0" w:color="auto"/>
            </w:tcBorders>
          </w:tcPr>
          <w:p w14:paraId="18CF6822" w14:textId="77777777" w:rsidR="00F35214" w:rsidRPr="00EF2F18" w:rsidRDefault="00F35214" w:rsidP="00BD1D9A">
            <w:pPr>
              <w:spacing w:after="0"/>
              <w:rPr>
                <w:rFonts w:eastAsia="Times New Roman" w:cs="Times New Roman"/>
                <w:color w:val="000000"/>
                <w:sz w:val="20"/>
                <w:szCs w:val="20"/>
                <w:lang w:val="sr-Cyrl-RS" w:eastAsia="en-GB"/>
              </w:rPr>
            </w:pPr>
          </w:p>
        </w:tc>
        <w:tc>
          <w:tcPr>
            <w:tcW w:w="1676" w:type="dxa"/>
            <w:tcBorders>
              <w:top w:val="nil"/>
              <w:left w:val="nil"/>
              <w:bottom w:val="double" w:sz="6" w:space="0" w:color="auto"/>
              <w:right w:val="single" w:sz="8" w:space="0" w:color="auto"/>
            </w:tcBorders>
          </w:tcPr>
          <w:p w14:paraId="67DA9134" w14:textId="46EB53E5"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(ЕУ ИПАРД)</w:t>
            </w:r>
          </w:p>
        </w:tc>
        <w:tc>
          <w:tcPr>
            <w:tcW w:w="1340" w:type="dxa"/>
            <w:tcBorders>
              <w:top w:val="nil"/>
              <w:left w:val="nil"/>
              <w:bottom w:val="double" w:sz="6" w:space="0" w:color="auto"/>
              <w:right w:val="single" w:sz="8" w:space="0" w:color="auto"/>
            </w:tcBorders>
          </w:tcPr>
          <w:p w14:paraId="47016237" w14:textId="7C7FD7CB" w:rsidR="00F35214" w:rsidRPr="00EF2F18" w:rsidRDefault="00F35214" w:rsidP="00BD1D9A">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1100" w:type="dxa"/>
            <w:tcBorders>
              <w:top w:val="nil"/>
              <w:left w:val="nil"/>
              <w:bottom w:val="double" w:sz="6" w:space="0" w:color="auto"/>
              <w:right w:val="single" w:sz="8" w:space="0" w:color="auto"/>
            </w:tcBorders>
          </w:tcPr>
          <w:p w14:paraId="753CC7A4" w14:textId="4F867005" w:rsidR="00F35214" w:rsidRPr="00EF2F18" w:rsidRDefault="00F35214" w:rsidP="00BD1D9A">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234.160</w:t>
            </w:r>
          </w:p>
        </w:tc>
        <w:tc>
          <w:tcPr>
            <w:tcW w:w="1350" w:type="dxa"/>
            <w:tcBorders>
              <w:top w:val="nil"/>
              <w:left w:val="nil"/>
              <w:bottom w:val="double" w:sz="6" w:space="0" w:color="auto"/>
              <w:right w:val="single" w:sz="8" w:space="0" w:color="auto"/>
            </w:tcBorders>
          </w:tcPr>
          <w:p w14:paraId="37C3D8DD" w14:textId="73845198" w:rsidR="00F35214" w:rsidRPr="00EF2F18" w:rsidRDefault="00F35214" w:rsidP="00BD1D9A">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304.408</w:t>
            </w:r>
          </w:p>
        </w:tc>
        <w:tc>
          <w:tcPr>
            <w:tcW w:w="1530" w:type="dxa"/>
            <w:gridSpan w:val="2"/>
            <w:tcBorders>
              <w:top w:val="nil"/>
              <w:left w:val="nil"/>
              <w:bottom w:val="double" w:sz="6" w:space="0" w:color="auto"/>
              <w:right w:val="double" w:sz="6" w:space="0" w:color="auto"/>
            </w:tcBorders>
          </w:tcPr>
          <w:p w14:paraId="6F635A8B" w14:textId="363B35FF" w:rsidR="00F35214" w:rsidRPr="00EF2F18" w:rsidRDefault="00F35214" w:rsidP="00BD1D9A">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374.656</w:t>
            </w:r>
          </w:p>
        </w:tc>
      </w:tr>
    </w:tbl>
    <w:p w14:paraId="0ACC8620"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060"/>
        <w:gridCol w:w="1577"/>
        <w:gridCol w:w="1603"/>
        <w:gridCol w:w="17"/>
      </w:tblGrid>
      <w:tr w:rsidR="007D7243" w:rsidRPr="00EF2F18" w14:paraId="7B8CDE57" w14:textId="77777777" w:rsidTr="00F35214">
        <w:trPr>
          <w:gridAfter w:val="1"/>
          <w:wAfter w:w="17" w:type="dxa"/>
          <w:trHeight w:val="381"/>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34224DB" w14:textId="1F5DC484"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5.1.2: Јачање капацитета институција за спровођење прописа у области заштите животне средине у пољопривредно- прехрамбеном сектору</w:t>
            </w:r>
            <w:r w:rsidR="00FA7222" w:rsidRPr="00EF2F18">
              <w:rPr>
                <w:rFonts w:eastAsia="Times New Roman" w:cs="Times New Roman"/>
                <w:b/>
                <w:bCs/>
                <w:color w:val="000000"/>
                <w:sz w:val="20"/>
                <w:szCs w:val="20"/>
                <w:lang w:val="sr-Cyrl-RS" w:eastAsia="en-GB"/>
              </w:rPr>
              <w:t xml:space="preserve"> </w:t>
            </w:r>
          </w:p>
        </w:tc>
      </w:tr>
      <w:tr w:rsidR="007D7243" w:rsidRPr="00EF2F18" w14:paraId="7357F6E0" w14:textId="77777777" w:rsidTr="00F3521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63AA850" w14:textId="62C49F6C"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w:t>
            </w:r>
            <w:r w:rsidR="00FA7222" w:rsidRPr="00EF2F18">
              <w:rPr>
                <w:rFonts w:eastAsia="Times New Roman" w:cs="Times New Roman"/>
                <w:color w:val="000000"/>
                <w:sz w:val="20"/>
                <w:szCs w:val="20"/>
                <w:lang w:val="sr-Cyrl-RS" w:eastAsia="en-GB"/>
              </w:rPr>
              <w:t xml:space="preserve"> </w:t>
            </w:r>
          </w:p>
        </w:tc>
      </w:tr>
      <w:tr w:rsidR="007D7243" w:rsidRPr="00EF2F18" w14:paraId="68D80EBC" w14:textId="77777777" w:rsidTr="00F3521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0A6EC35" w14:textId="170CC7FB"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F35214"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6EC07868" w14:textId="0851B476" w:rsidR="007D7243" w:rsidRPr="00EF2F18" w:rsidRDefault="009B58F7" w:rsidP="00752CA0">
            <w:pPr>
              <w:spacing w:after="0"/>
              <w:rPr>
                <w:rFonts w:eastAsia="Times New Roman" w:cs="Times New Roman"/>
                <w:color w:val="000000"/>
                <w:sz w:val="20"/>
                <w:szCs w:val="20"/>
                <w:lang w:val="sr-Cyrl-RS" w:eastAsia="en-GB"/>
              </w:rPr>
            </w:pPr>
            <w:r>
              <w:rPr>
                <w:rFonts w:eastAsia="Times New Roman" w:cs="Times New Roman"/>
                <w:color w:val="000000"/>
                <w:sz w:val="20"/>
                <w:szCs w:val="20"/>
                <w:lang w:val="sr-Cyrl-RS" w:eastAsia="en-GB"/>
              </w:rPr>
              <w:t>Тип мере: институционално-управљачко-</w:t>
            </w:r>
            <w:r w:rsidR="007D7243" w:rsidRPr="00EF2F18">
              <w:rPr>
                <w:rFonts w:eastAsia="Times New Roman" w:cs="Times New Roman"/>
                <w:color w:val="000000"/>
                <w:sz w:val="20"/>
                <w:szCs w:val="20"/>
                <w:lang w:val="sr-Cyrl-RS" w:eastAsia="en-GB"/>
              </w:rPr>
              <w:t>организациона</w:t>
            </w:r>
          </w:p>
        </w:tc>
      </w:tr>
      <w:tr w:rsidR="007D7243" w:rsidRPr="00EF2F18" w14:paraId="7A4530BF" w14:textId="77777777" w:rsidTr="00F35214">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43BA444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5BDAF71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35214" w:rsidRPr="00EF2F18" w14:paraId="3FD684A3" w14:textId="77777777" w:rsidTr="00F35214">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4B6C0CF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0B3A4A0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5637CB4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357D8A7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2C355810"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6FA7F89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77" w:type="dxa"/>
            <w:tcBorders>
              <w:top w:val="nil"/>
              <w:left w:val="nil"/>
              <w:bottom w:val="double" w:sz="6" w:space="0" w:color="auto"/>
              <w:right w:val="single" w:sz="8" w:space="0" w:color="auto"/>
            </w:tcBorders>
            <w:shd w:val="clear" w:color="000000" w:fill="D9D9D9"/>
            <w:hideMark/>
          </w:tcPr>
          <w:p w14:paraId="19F8697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gridSpan w:val="2"/>
            <w:tcBorders>
              <w:top w:val="nil"/>
              <w:left w:val="nil"/>
              <w:bottom w:val="double" w:sz="6" w:space="0" w:color="auto"/>
              <w:right w:val="double" w:sz="6" w:space="0" w:color="auto"/>
            </w:tcBorders>
            <w:shd w:val="clear" w:color="000000" w:fill="D9D9D9"/>
            <w:hideMark/>
          </w:tcPr>
          <w:p w14:paraId="69F38F8A"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35214" w:rsidRPr="00EF2F18" w14:paraId="3DB26391" w14:textId="77777777" w:rsidTr="00F35214">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23AB4373" w14:textId="1E421DB6"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идентификованих преступа у односу на број извршених контрола </w:t>
            </w:r>
          </w:p>
        </w:tc>
        <w:tc>
          <w:tcPr>
            <w:tcW w:w="1280" w:type="dxa"/>
            <w:tcBorders>
              <w:top w:val="nil"/>
              <w:left w:val="nil"/>
              <w:bottom w:val="double" w:sz="6" w:space="0" w:color="auto"/>
              <w:right w:val="single" w:sz="8" w:space="0" w:color="auto"/>
            </w:tcBorders>
            <w:shd w:val="clear" w:color="000000" w:fill="FFFFFF"/>
            <w:hideMark/>
          </w:tcPr>
          <w:p w14:paraId="7C474B4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80" w:type="dxa"/>
            <w:tcBorders>
              <w:top w:val="nil"/>
              <w:left w:val="nil"/>
              <w:bottom w:val="double" w:sz="6" w:space="0" w:color="auto"/>
              <w:right w:val="single" w:sz="8" w:space="0" w:color="auto"/>
            </w:tcBorders>
            <w:shd w:val="clear" w:color="000000" w:fill="FFFFFF"/>
            <w:hideMark/>
          </w:tcPr>
          <w:p w14:paraId="561F949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раду инспекције</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149569A9"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4,4</w:t>
            </w:r>
          </w:p>
        </w:tc>
        <w:tc>
          <w:tcPr>
            <w:tcW w:w="1520" w:type="dxa"/>
            <w:tcBorders>
              <w:top w:val="nil"/>
              <w:left w:val="nil"/>
              <w:bottom w:val="double" w:sz="6" w:space="0" w:color="auto"/>
              <w:right w:val="single" w:sz="8" w:space="0" w:color="auto"/>
            </w:tcBorders>
            <w:shd w:val="clear" w:color="000000" w:fill="FFFFFF"/>
            <w:hideMark/>
          </w:tcPr>
          <w:p w14:paraId="4303405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060" w:type="dxa"/>
            <w:tcBorders>
              <w:top w:val="double" w:sz="6" w:space="0" w:color="auto"/>
              <w:left w:val="single" w:sz="4" w:space="0" w:color="auto"/>
              <w:bottom w:val="double" w:sz="6" w:space="0" w:color="auto"/>
              <w:right w:val="single" w:sz="4" w:space="0" w:color="auto"/>
            </w:tcBorders>
            <w:shd w:val="clear" w:color="000000" w:fill="FFFFFF"/>
            <w:hideMark/>
          </w:tcPr>
          <w:p w14:paraId="7A2D8E1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3,7</w:t>
            </w:r>
          </w:p>
        </w:tc>
        <w:tc>
          <w:tcPr>
            <w:tcW w:w="1577" w:type="dxa"/>
            <w:tcBorders>
              <w:top w:val="double" w:sz="6" w:space="0" w:color="auto"/>
              <w:left w:val="single" w:sz="4" w:space="0" w:color="auto"/>
              <w:bottom w:val="double" w:sz="6" w:space="0" w:color="auto"/>
              <w:right w:val="single" w:sz="4" w:space="0" w:color="auto"/>
            </w:tcBorders>
            <w:shd w:val="clear" w:color="000000" w:fill="FFFFFF"/>
            <w:hideMark/>
          </w:tcPr>
          <w:p w14:paraId="40B1D676"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w:t>
            </w:r>
          </w:p>
        </w:tc>
        <w:tc>
          <w:tcPr>
            <w:tcW w:w="1620" w:type="dxa"/>
            <w:gridSpan w:val="2"/>
            <w:tcBorders>
              <w:top w:val="double" w:sz="6" w:space="0" w:color="auto"/>
              <w:left w:val="single" w:sz="4" w:space="0" w:color="auto"/>
              <w:bottom w:val="double" w:sz="6" w:space="0" w:color="auto"/>
              <w:right w:val="double" w:sz="6" w:space="0" w:color="auto"/>
            </w:tcBorders>
            <w:shd w:val="clear" w:color="000000" w:fill="FFFFFF"/>
            <w:hideMark/>
          </w:tcPr>
          <w:p w14:paraId="017D4450"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3,3</w:t>
            </w:r>
          </w:p>
        </w:tc>
      </w:tr>
    </w:tbl>
    <w:p w14:paraId="7FA2757C" w14:textId="77777777" w:rsidR="007D7243" w:rsidRPr="00EF2F18" w:rsidRDefault="007D7243" w:rsidP="007D7243">
      <w:pPr>
        <w:spacing w:after="0"/>
        <w:rPr>
          <w:rFonts w:cs="Times New Roman"/>
          <w:sz w:val="20"/>
          <w:szCs w:val="20"/>
          <w:lang w:val="sr-Cyrl-RS"/>
        </w:rPr>
      </w:pPr>
    </w:p>
    <w:tbl>
      <w:tblPr>
        <w:tblW w:w="13636" w:type="dxa"/>
        <w:tblLook w:val="04A0" w:firstRow="1" w:lastRow="0" w:firstColumn="1" w:lastColumn="0" w:noHBand="0" w:noVBand="1"/>
      </w:tblPr>
      <w:tblGrid>
        <w:gridCol w:w="3800"/>
        <w:gridCol w:w="2556"/>
        <w:gridCol w:w="2261"/>
        <w:gridCol w:w="1980"/>
        <w:gridCol w:w="2970"/>
        <w:gridCol w:w="69"/>
      </w:tblGrid>
      <w:tr w:rsidR="007D7243" w:rsidRPr="00EF2F18" w14:paraId="16D553E5" w14:textId="77777777" w:rsidTr="00752CA0">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6820A1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5CABBF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280" w:type="dxa"/>
            <w:gridSpan w:val="4"/>
            <w:tcBorders>
              <w:top w:val="double" w:sz="6" w:space="0" w:color="auto"/>
              <w:left w:val="nil"/>
              <w:bottom w:val="double" w:sz="6" w:space="0" w:color="auto"/>
              <w:right w:val="double" w:sz="6" w:space="0" w:color="auto"/>
            </w:tcBorders>
            <w:shd w:val="clear" w:color="000000" w:fill="A8D08D"/>
            <w:hideMark/>
          </w:tcPr>
          <w:p w14:paraId="1D9922B6"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35214" w:rsidRPr="00EF2F18" w14:paraId="5E7AA491" w14:textId="77777777" w:rsidTr="00F35214">
        <w:trPr>
          <w:gridAfter w:val="1"/>
          <w:wAfter w:w="69" w:type="dxa"/>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11003F60" w14:textId="77777777" w:rsidR="00F35214" w:rsidRPr="00EF2F18" w:rsidRDefault="00F35214" w:rsidP="00752CA0">
            <w:pPr>
              <w:spacing w:after="0"/>
              <w:rPr>
                <w:rFonts w:eastAsia="Times New Roman" w:cs="Times New Roman"/>
                <w:color w:val="000000"/>
                <w:sz w:val="20"/>
                <w:szCs w:val="20"/>
                <w:lang w:val="sr-Cyrl-RS" w:eastAsia="en-GB"/>
              </w:rPr>
            </w:pPr>
          </w:p>
        </w:tc>
        <w:tc>
          <w:tcPr>
            <w:tcW w:w="2556" w:type="dxa"/>
            <w:vMerge/>
            <w:tcBorders>
              <w:top w:val="double" w:sz="6" w:space="0" w:color="auto"/>
              <w:left w:val="double" w:sz="6" w:space="0" w:color="auto"/>
              <w:bottom w:val="single" w:sz="8" w:space="0" w:color="000000"/>
              <w:right w:val="double" w:sz="6" w:space="0" w:color="auto"/>
            </w:tcBorders>
            <w:vAlign w:val="center"/>
            <w:hideMark/>
          </w:tcPr>
          <w:p w14:paraId="518C0EC8" w14:textId="77777777" w:rsidR="00F35214" w:rsidRPr="00EF2F18" w:rsidRDefault="00F35214" w:rsidP="00752CA0">
            <w:pPr>
              <w:spacing w:after="0"/>
              <w:rPr>
                <w:rFonts w:eastAsia="Times New Roman" w:cs="Times New Roman"/>
                <w:color w:val="000000"/>
                <w:sz w:val="20"/>
                <w:szCs w:val="20"/>
                <w:lang w:val="sr-Cyrl-RS" w:eastAsia="en-GB"/>
              </w:rPr>
            </w:pPr>
          </w:p>
        </w:tc>
        <w:tc>
          <w:tcPr>
            <w:tcW w:w="2261" w:type="dxa"/>
            <w:tcBorders>
              <w:top w:val="nil"/>
              <w:left w:val="nil"/>
              <w:bottom w:val="double" w:sz="6" w:space="0" w:color="auto"/>
              <w:right w:val="double" w:sz="6" w:space="0" w:color="auto"/>
            </w:tcBorders>
            <w:shd w:val="clear" w:color="000000" w:fill="A8D08D"/>
            <w:hideMark/>
          </w:tcPr>
          <w:p w14:paraId="32A31345" w14:textId="66B639C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 године</w:t>
            </w:r>
          </w:p>
        </w:tc>
        <w:tc>
          <w:tcPr>
            <w:tcW w:w="1980" w:type="dxa"/>
            <w:tcBorders>
              <w:top w:val="nil"/>
              <w:left w:val="nil"/>
              <w:bottom w:val="double" w:sz="6" w:space="0" w:color="auto"/>
              <w:right w:val="double" w:sz="6" w:space="0" w:color="auto"/>
            </w:tcBorders>
            <w:shd w:val="clear" w:color="000000" w:fill="A8D08D"/>
            <w:hideMark/>
          </w:tcPr>
          <w:p w14:paraId="3527045A" w14:textId="05786D8D"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 године</w:t>
            </w:r>
          </w:p>
        </w:tc>
        <w:tc>
          <w:tcPr>
            <w:tcW w:w="2970" w:type="dxa"/>
            <w:tcBorders>
              <w:top w:val="nil"/>
              <w:left w:val="nil"/>
              <w:bottom w:val="double" w:sz="6" w:space="0" w:color="auto"/>
              <w:right w:val="double" w:sz="6" w:space="0" w:color="auto"/>
            </w:tcBorders>
            <w:shd w:val="clear" w:color="000000" w:fill="A8D08D"/>
            <w:hideMark/>
          </w:tcPr>
          <w:p w14:paraId="34DEB2B5" w14:textId="01F34916"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 године</w:t>
            </w:r>
          </w:p>
        </w:tc>
      </w:tr>
      <w:tr w:rsidR="00F35214" w:rsidRPr="00EF2F18" w14:paraId="664A28BE" w14:textId="77777777" w:rsidTr="00F35214">
        <w:trPr>
          <w:gridAfter w:val="1"/>
          <w:wAfter w:w="69" w:type="dxa"/>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22082E36"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(МПШВ)</w:t>
            </w:r>
          </w:p>
        </w:tc>
        <w:tc>
          <w:tcPr>
            <w:tcW w:w="2556" w:type="dxa"/>
            <w:tcBorders>
              <w:top w:val="nil"/>
              <w:left w:val="nil"/>
              <w:bottom w:val="double" w:sz="6" w:space="0" w:color="auto"/>
              <w:right w:val="double" w:sz="6" w:space="0" w:color="auto"/>
            </w:tcBorders>
            <w:shd w:val="clear" w:color="000000" w:fill="FFFFFF"/>
            <w:hideMark/>
          </w:tcPr>
          <w:p w14:paraId="2EE197CC" w14:textId="77777777" w:rsidR="00F35214" w:rsidRPr="00EF2F18" w:rsidRDefault="00F35214" w:rsidP="00752CA0">
            <w:pPr>
              <w:spacing w:after="0"/>
              <w:rPr>
                <w:rFonts w:eastAsia="Times New Roman" w:cs="Times New Roman"/>
                <w:color w:val="000000"/>
                <w:sz w:val="20"/>
                <w:szCs w:val="20"/>
                <w:lang w:val="sr-Cyrl-RS" w:eastAsia="en-GB"/>
              </w:rPr>
            </w:pPr>
          </w:p>
        </w:tc>
        <w:tc>
          <w:tcPr>
            <w:tcW w:w="2261" w:type="dxa"/>
            <w:tcBorders>
              <w:top w:val="nil"/>
              <w:left w:val="nil"/>
              <w:bottom w:val="double" w:sz="6" w:space="0" w:color="auto"/>
              <w:right w:val="double" w:sz="6" w:space="0" w:color="auto"/>
            </w:tcBorders>
          </w:tcPr>
          <w:p w14:paraId="6F70F596" w14:textId="0BAFFCD9" w:rsidR="00F35214" w:rsidRPr="00EF2F18" w:rsidRDefault="00F35214" w:rsidP="00752CA0">
            <w:pPr>
              <w:spacing w:after="0"/>
              <w:jc w:val="right"/>
              <w:rPr>
                <w:rFonts w:eastAsia="Times New Roman" w:cs="Times New Roman"/>
                <w:color w:val="000000"/>
                <w:sz w:val="20"/>
                <w:szCs w:val="20"/>
                <w:lang w:val="sr-Cyrl-RS" w:eastAsia="en-GB"/>
              </w:rPr>
            </w:pPr>
          </w:p>
        </w:tc>
        <w:tc>
          <w:tcPr>
            <w:tcW w:w="1980" w:type="dxa"/>
            <w:tcBorders>
              <w:top w:val="nil"/>
              <w:left w:val="nil"/>
              <w:bottom w:val="double" w:sz="6" w:space="0" w:color="auto"/>
              <w:right w:val="double" w:sz="6" w:space="0" w:color="auto"/>
            </w:tcBorders>
          </w:tcPr>
          <w:p w14:paraId="5B8A6E81" w14:textId="2E303D64" w:rsidR="00F35214" w:rsidRPr="00EF2F18" w:rsidRDefault="00F35214" w:rsidP="00752CA0">
            <w:pPr>
              <w:spacing w:after="0"/>
              <w:jc w:val="right"/>
              <w:rPr>
                <w:rFonts w:eastAsia="Times New Roman" w:cs="Times New Roman"/>
                <w:color w:val="000000"/>
                <w:sz w:val="20"/>
                <w:szCs w:val="20"/>
                <w:lang w:val="sr-Cyrl-RS" w:eastAsia="en-GB"/>
              </w:rPr>
            </w:pPr>
          </w:p>
        </w:tc>
        <w:tc>
          <w:tcPr>
            <w:tcW w:w="2970" w:type="dxa"/>
            <w:tcBorders>
              <w:top w:val="nil"/>
              <w:left w:val="nil"/>
              <w:bottom w:val="double" w:sz="6" w:space="0" w:color="auto"/>
              <w:right w:val="double" w:sz="6" w:space="0" w:color="auto"/>
            </w:tcBorders>
            <w:shd w:val="clear" w:color="000000" w:fill="FFFFFF"/>
          </w:tcPr>
          <w:p w14:paraId="68BE442C" w14:textId="4A8367C1" w:rsidR="00F35214" w:rsidRPr="00EF2F18" w:rsidRDefault="00F35214" w:rsidP="00752CA0">
            <w:pPr>
              <w:spacing w:after="0"/>
              <w:jc w:val="right"/>
              <w:rPr>
                <w:rFonts w:eastAsia="Times New Roman" w:cs="Times New Roman"/>
                <w:color w:val="000000"/>
                <w:sz w:val="20"/>
                <w:szCs w:val="20"/>
                <w:lang w:val="sr-Cyrl-RS" w:eastAsia="en-GB"/>
              </w:rPr>
            </w:pPr>
          </w:p>
        </w:tc>
      </w:tr>
    </w:tbl>
    <w:p w14:paraId="3C189850" w14:textId="0122B1CD" w:rsidR="007D7243" w:rsidRDefault="007D7243" w:rsidP="007D7243">
      <w:pPr>
        <w:spacing w:after="0"/>
        <w:jc w:val="right"/>
        <w:rPr>
          <w:rFonts w:cs="Times New Roman"/>
          <w:sz w:val="20"/>
          <w:szCs w:val="20"/>
          <w:lang w:val="sr-Cyrl-RS"/>
        </w:rPr>
      </w:pPr>
    </w:p>
    <w:p w14:paraId="2B0BB07C" w14:textId="77777777" w:rsidR="00CC4491" w:rsidRPr="00EF2F18" w:rsidRDefault="00CC4491" w:rsidP="007D7243">
      <w:pPr>
        <w:spacing w:after="0"/>
        <w:jc w:val="right"/>
        <w:rPr>
          <w:rFonts w:cs="Times New Roman"/>
          <w:sz w:val="20"/>
          <w:szCs w:val="20"/>
          <w:lang w:val="sr-Cyrl-RS"/>
        </w:rPr>
      </w:pPr>
    </w:p>
    <w:tbl>
      <w:tblPr>
        <w:tblW w:w="13657" w:type="dxa"/>
        <w:tblLook w:val="04A0" w:firstRow="1" w:lastRow="0" w:firstColumn="1" w:lastColumn="0" w:noHBand="0" w:noVBand="1"/>
      </w:tblPr>
      <w:tblGrid>
        <w:gridCol w:w="2948"/>
        <w:gridCol w:w="1254"/>
        <w:gridCol w:w="1240"/>
        <w:gridCol w:w="1182"/>
        <w:gridCol w:w="1691"/>
        <w:gridCol w:w="1340"/>
        <w:gridCol w:w="993"/>
        <w:gridCol w:w="1659"/>
        <w:gridCol w:w="1350"/>
      </w:tblGrid>
      <w:tr w:rsidR="007D7243" w:rsidRPr="00EF2F18" w14:paraId="5E80A9B1" w14:textId="77777777" w:rsidTr="00F35214">
        <w:trPr>
          <w:trHeight w:val="732"/>
        </w:trPr>
        <w:tc>
          <w:tcPr>
            <w:tcW w:w="2948"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6981B1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254"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455108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67376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8C60F2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1408B6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431FE9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4002" w:type="dxa"/>
            <w:gridSpan w:val="3"/>
            <w:tcBorders>
              <w:top w:val="double" w:sz="6" w:space="0" w:color="auto"/>
              <w:left w:val="nil"/>
              <w:bottom w:val="single" w:sz="8" w:space="0" w:color="auto"/>
              <w:right w:val="double" w:sz="6" w:space="0" w:color="auto"/>
            </w:tcBorders>
            <w:shd w:val="clear" w:color="000000" w:fill="FFF2CC"/>
            <w:hideMark/>
          </w:tcPr>
          <w:p w14:paraId="1D01860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35214" w:rsidRPr="00EF2F18" w14:paraId="7B43F576" w14:textId="77777777" w:rsidTr="00EF0900">
        <w:trPr>
          <w:trHeight w:val="324"/>
        </w:trPr>
        <w:tc>
          <w:tcPr>
            <w:tcW w:w="2948" w:type="dxa"/>
            <w:vMerge/>
            <w:tcBorders>
              <w:top w:val="double" w:sz="6" w:space="0" w:color="auto"/>
              <w:left w:val="double" w:sz="6" w:space="0" w:color="auto"/>
              <w:bottom w:val="single" w:sz="8" w:space="0" w:color="000000"/>
              <w:right w:val="single" w:sz="8" w:space="0" w:color="auto"/>
            </w:tcBorders>
            <w:vAlign w:val="center"/>
            <w:hideMark/>
          </w:tcPr>
          <w:p w14:paraId="08FAC6A4" w14:textId="77777777" w:rsidR="00F35214" w:rsidRPr="00EF2F18" w:rsidRDefault="00F35214" w:rsidP="00752CA0">
            <w:pPr>
              <w:spacing w:after="0"/>
              <w:rPr>
                <w:rFonts w:eastAsia="Times New Roman" w:cs="Times New Roman"/>
                <w:color w:val="000000"/>
                <w:sz w:val="20"/>
                <w:szCs w:val="20"/>
                <w:lang w:val="sr-Cyrl-RS" w:eastAsia="en-GB"/>
              </w:rPr>
            </w:pPr>
          </w:p>
        </w:tc>
        <w:tc>
          <w:tcPr>
            <w:tcW w:w="1254" w:type="dxa"/>
            <w:vMerge/>
            <w:tcBorders>
              <w:top w:val="double" w:sz="6" w:space="0" w:color="auto"/>
              <w:left w:val="single" w:sz="8" w:space="0" w:color="auto"/>
              <w:bottom w:val="single" w:sz="8" w:space="0" w:color="000000"/>
              <w:right w:val="single" w:sz="8" w:space="0" w:color="auto"/>
            </w:tcBorders>
            <w:vAlign w:val="center"/>
            <w:hideMark/>
          </w:tcPr>
          <w:p w14:paraId="17A3452B" w14:textId="77777777" w:rsidR="00F35214" w:rsidRPr="00EF2F18" w:rsidRDefault="00F35214"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6DA12FF3" w14:textId="77777777" w:rsidR="00F35214" w:rsidRPr="00EF2F18" w:rsidRDefault="00F35214"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5BB9795B" w14:textId="77777777" w:rsidR="00F35214" w:rsidRPr="00EF2F18" w:rsidRDefault="00F35214"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75719077" w14:textId="77777777" w:rsidR="00F35214" w:rsidRPr="00EF2F18" w:rsidRDefault="00F3521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20C02177" w14:textId="77777777" w:rsidR="00F35214" w:rsidRPr="00EF2F18" w:rsidRDefault="00F35214"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shd w:val="clear" w:color="000000" w:fill="FFF2CC"/>
            <w:hideMark/>
          </w:tcPr>
          <w:p w14:paraId="2C97B790" w14:textId="6044C7A3" w:rsidR="00F35214" w:rsidRPr="00EF2F18" w:rsidRDefault="00F35214" w:rsidP="00963B1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659" w:type="dxa"/>
            <w:tcBorders>
              <w:top w:val="nil"/>
              <w:left w:val="nil"/>
              <w:bottom w:val="single" w:sz="8" w:space="0" w:color="auto"/>
              <w:right w:val="single" w:sz="8" w:space="0" w:color="auto"/>
            </w:tcBorders>
            <w:shd w:val="clear" w:color="000000" w:fill="FFF2CC"/>
            <w:hideMark/>
          </w:tcPr>
          <w:p w14:paraId="5369E7CD" w14:textId="6AC8EA89"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2027.</w:t>
            </w:r>
          </w:p>
        </w:tc>
        <w:tc>
          <w:tcPr>
            <w:tcW w:w="1350" w:type="dxa"/>
            <w:tcBorders>
              <w:top w:val="nil"/>
              <w:left w:val="nil"/>
              <w:bottom w:val="single" w:sz="8" w:space="0" w:color="auto"/>
              <w:right w:val="double" w:sz="6" w:space="0" w:color="auto"/>
            </w:tcBorders>
            <w:shd w:val="clear" w:color="000000" w:fill="FFF2CC"/>
            <w:hideMark/>
          </w:tcPr>
          <w:p w14:paraId="20EE912B" w14:textId="2F682FC2"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F35214" w:rsidRPr="00EF2F18" w14:paraId="1C45BC66" w14:textId="77777777" w:rsidTr="00EF0900">
        <w:trPr>
          <w:trHeight w:val="1068"/>
        </w:trPr>
        <w:tc>
          <w:tcPr>
            <w:tcW w:w="2948" w:type="dxa"/>
            <w:tcBorders>
              <w:top w:val="nil"/>
              <w:left w:val="double" w:sz="6" w:space="0" w:color="auto"/>
              <w:bottom w:val="single" w:sz="8" w:space="0" w:color="auto"/>
              <w:right w:val="single" w:sz="8" w:space="0" w:color="auto"/>
            </w:tcBorders>
            <w:hideMark/>
          </w:tcPr>
          <w:p w14:paraId="792C9DB5"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5.1.2.1. Попуњен предвиђени број радних места у инспекцијским службама, неопходан за пуну имплементацију законодавства</w:t>
            </w:r>
          </w:p>
        </w:tc>
        <w:tc>
          <w:tcPr>
            <w:tcW w:w="1254" w:type="dxa"/>
            <w:tcBorders>
              <w:top w:val="nil"/>
              <w:left w:val="nil"/>
              <w:bottom w:val="single" w:sz="8" w:space="0" w:color="auto"/>
              <w:right w:val="single" w:sz="8" w:space="0" w:color="auto"/>
            </w:tcBorders>
            <w:hideMark/>
          </w:tcPr>
          <w:p w14:paraId="3FAB340C"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MПШВ</w:t>
            </w:r>
          </w:p>
        </w:tc>
        <w:tc>
          <w:tcPr>
            <w:tcW w:w="1240" w:type="dxa"/>
            <w:tcBorders>
              <w:top w:val="nil"/>
              <w:left w:val="nil"/>
              <w:bottom w:val="single" w:sz="8" w:space="0" w:color="auto"/>
              <w:right w:val="single" w:sz="8" w:space="0" w:color="auto"/>
            </w:tcBorders>
            <w:hideMark/>
          </w:tcPr>
          <w:p w14:paraId="25F87D9D"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82" w:type="dxa"/>
            <w:tcBorders>
              <w:top w:val="nil"/>
              <w:left w:val="nil"/>
              <w:bottom w:val="single" w:sz="8" w:space="0" w:color="auto"/>
              <w:right w:val="single" w:sz="8" w:space="0" w:color="auto"/>
            </w:tcBorders>
            <w:hideMark/>
          </w:tcPr>
          <w:p w14:paraId="48F7ADED"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60D83849"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tcPr>
          <w:p w14:paraId="61F42488" w14:textId="77777777" w:rsidR="00F35214" w:rsidRPr="00EF2F18" w:rsidRDefault="00F35214"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tcPr>
          <w:p w14:paraId="687F71EF" w14:textId="377A367F" w:rsidR="00F35214" w:rsidRPr="00EF2F18" w:rsidRDefault="00F35214" w:rsidP="00752CA0">
            <w:pPr>
              <w:spacing w:after="0"/>
              <w:jc w:val="right"/>
              <w:rPr>
                <w:rFonts w:eastAsia="Times New Roman" w:cs="Times New Roman"/>
                <w:color w:val="000000"/>
                <w:sz w:val="20"/>
                <w:szCs w:val="20"/>
                <w:lang w:val="sr-Cyrl-RS" w:eastAsia="en-GB"/>
              </w:rPr>
            </w:pPr>
          </w:p>
        </w:tc>
        <w:tc>
          <w:tcPr>
            <w:tcW w:w="1659" w:type="dxa"/>
            <w:tcBorders>
              <w:top w:val="nil"/>
              <w:left w:val="nil"/>
              <w:bottom w:val="single" w:sz="8" w:space="0" w:color="auto"/>
              <w:right w:val="single" w:sz="8" w:space="0" w:color="auto"/>
            </w:tcBorders>
          </w:tcPr>
          <w:p w14:paraId="7C42DD6C" w14:textId="4A0185E3" w:rsidR="00F35214" w:rsidRPr="00EF2F18" w:rsidRDefault="00F35214"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2C358540" w14:textId="6BD0F2DA" w:rsidR="00F35214" w:rsidRPr="00EF2F18" w:rsidRDefault="00F35214" w:rsidP="00752CA0">
            <w:pPr>
              <w:spacing w:after="0"/>
              <w:jc w:val="right"/>
              <w:rPr>
                <w:rFonts w:eastAsia="Times New Roman" w:cs="Times New Roman"/>
                <w:color w:val="000000"/>
                <w:sz w:val="20"/>
                <w:szCs w:val="20"/>
                <w:lang w:val="sr-Cyrl-RS" w:eastAsia="en-GB"/>
              </w:rPr>
            </w:pPr>
          </w:p>
        </w:tc>
      </w:tr>
      <w:tr w:rsidR="00F35214" w:rsidRPr="00EF2F18" w14:paraId="6E21C1B7" w14:textId="77777777" w:rsidTr="00EF0900">
        <w:trPr>
          <w:trHeight w:val="804"/>
        </w:trPr>
        <w:tc>
          <w:tcPr>
            <w:tcW w:w="2948" w:type="dxa"/>
            <w:tcBorders>
              <w:top w:val="nil"/>
              <w:left w:val="double" w:sz="6" w:space="0" w:color="auto"/>
              <w:bottom w:val="single" w:sz="8" w:space="0" w:color="auto"/>
              <w:right w:val="single" w:sz="8" w:space="0" w:color="auto"/>
            </w:tcBorders>
            <w:hideMark/>
          </w:tcPr>
          <w:p w14:paraId="3A5947DB"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5.1.2.2. Континуирана обука и усавршавање кадрова у инспекцијским службама</w:t>
            </w:r>
          </w:p>
        </w:tc>
        <w:tc>
          <w:tcPr>
            <w:tcW w:w="1254" w:type="dxa"/>
            <w:tcBorders>
              <w:top w:val="nil"/>
              <w:left w:val="nil"/>
              <w:bottom w:val="single" w:sz="8" w:space="0" w:color="auto"/>
              <w:right w:val="single" w:sz="8" w:space="0" w:color="auto"/>
            </w:tcBorders>
            <w:hideMark/>
          </w:tcPr>
          <w:p w14:paraId="0E267C3F"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MПШВ</w:t>
            </w:r>
          </w:p>
        </w:tc>
        <w:tc>
          <w:tcPr>
            <w:tcW w:w="1240" w:type="dxa"/>
            <w:tcBorders>
              <w:top w:val="nil"/>
              <w:left w:val="nil"/>
              <w:bottom w:val="single" w:sz="8" w:space="0" w:color="auto"/>
              <w:right w:val="single" w:sz="8" w:space="0" w:color="auto"/>
            </w:tcBorders>
            <w:hideMark/>
          </w:tcPr>
          <w:p w14:paraId="75792EA3" w14:textId="6C9A8D7E"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АЗЖС</w:t>
            </w:r>
          </w:p>
        </w:tc>
        <w:tc>
          <w:tcPr>
            <w:tcW w:w="1182" w:type="dxa"/>
            <w:tcBorders>
              <w:top w:val="nil"/>
              <w:left w:val="nil"/>
              <w:bottom w:val="single" w:sz="8" w:space="0" w:color="auto"/>
              <w:right w:val="single" w:sz="8" w:space="0" w:color="auto"/>
            </w:tcBorders>
            <w:hideMark/>
          </w:tcPr>
          <w:p w14:paraId="44FF146E"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08BFAB7D"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tcPr>
          <w:p w14:paraId="3C2280A0" w14:textId="23B0A3AA" w:rsidR="00F35214" w:rsidRPr="00EF2F18" w:rsidRDefault="00F35214"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tcPr>
          <w:p w14:paraId="1C645476" w14:textId="712E12CC" w:rsidR="00F35214" w:rsidRPr="00EF2F18" w:rsidRDefault="00F35214" w:rsidP="00752CA0">
            <w:pPr>
              <w:spacing w:after="0"/>
              <w:jc w:val="right"/>
              <w:rPr>
                <w:rFonts w:eastAsia="Times New Roman" w:cs="Times New Roman"/>
                <w:color w:val="000000"/>
                <w:sz w:val="20"/>
                <w:szCs w:val="20"/>
                <w:lang w:val="sr-Cyrl-RS" w:eastAsia="en-GB"/>
              </w:rPr>
            </w:pPr>
          </w:p>
        </w:tc>
        <w:tc>
          <w:tcPr>
            <w:tcW w:w="1659" w:type="dxa"/>
            <w:tcBorders>
              <w:top w:val="nil"/>
              <w:left w:val="nil"/>
              <w:bottom w:val="single" w:sz="8" w:space="0" w:color="auto"/>
              <w:right w:val="single" w:sz="8" w:space="0" w:color="auto"/>
            </w:tcBorders>
          </w:tcPr>
          <w:p w14:paraId="5008E525" w14:textId="426D2B97" w:rsidR="00F35214" w:rsidRPr="00EF2F18" w:rsidRDefault="00F35214"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004B91B7" w14:textId="4549FC9F" w:rsidR="00F35214" w:rsidRPr="00EF2F18" w:rsidRDefault="00F35214" w:rsidP="00752CA0">
            <w:pPr>
              <w:spacing w:after="0"/>
              <w:jc w:val="right"/>
              <w:rPr>
                <w:rFonts w:eastAsia="Times New Roman" w:cs="Times New Roman"/>
                <w:color w:val="000000"/>
                <w:sz w:val="20"/>
                <w:szCs w:val="20"/>
                <w:lang w:val="sr-Cyrl-RS" w:eastAsia="en-GB"/>
              </w:rPr>
            </w:pPr>
          </w:p>
        </w:tc>
      </w:tr>
      <w:tr w:rsidR="00F35214" w:rsidRPr="00EF2F18" w14:paraId="71BD27DA" w14:textId="77777777" w:rsidTr="00EF0900">
        <w:trPr>
          <w:trHeight w:val="540"/>
        </w:trPr>
        <w:tc>
          <w:tcPr>
            <w:tcW w:w="2948" w:type="dxa"/>
            <w:tcBorders>
              <w:top w:val="nil"/>
              <w:left w:val="double" w:sz="6" w:space="0" w:color="auto"/>
              <w:bottom w:val="single" w:sz="8" w:space="0" w:color="auto"/>
              <w:right w:val="single" w:sz="8" w:space="0" w:color="auto"/>
            </w:tcBorders>
            <w:hideMark/>
          </w:tcPr>
          <w:p w14:paraId="20117814"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5.1.2.3. Техничко-технолошко опремање инспекцијских служби</w:t>
            </w:r>
          </w:p>
        </w:tc>
        <w:tc>
          <w:tcPr>
            <w:tcW w:w="1254" w:type="dxa"/>
            <w:tcBorders>
              <w:top w:val="nil"/>
              <w:left w:val="nil"/>
              <w:bottom w:val="single" w:sz="8" w:space="0" w:color="auto"/>
              <w:right w:val="single" w:sz="8" w:space="0" w:color="auto"/>
            </w:tcBorders>
            <w:hideMark/>
          </w:tcPr>
          <w:p w14:paraId="59385D06"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MПШВ</w:t>
            </w:r>
          </w:p>
        </w:tc>
        <w:tc>
          <w:tcPr>
            <w:tcW w:w="1240" w:type="dxa"/>
            <w:tcBorders>
              <w:top w:val="nil"/>
              <w:left w:val="nil"/>
              <w:bottom w:val="single" w:sz="8" w:space="0" w:color="auto"/>
              <w:right w:val="single" w:sz="8" w:space="0" w:color="auto"/>
            </w:tcBorders>
            <w:hideMark/>
          </w:tcPr>
          <w:p w14:paraId="62558D23"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82" w:type="dxa"/>
            <w:tcBorders>
              <w:top w:val="nil"/>
              <w:left w:val="nil"/>
              <w:bottom w:val="single" w:sz="8" w:space="0" w:color="auto"/>
              <w:right w:val="single" w:sz="8" w:space="0" w:color="auto"/>
            </w:tcBorders>
            <w:hideMark/>
          </w:tcPr>
          <w:p w14:paraId="07146F61"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360192C9" w14:textId="15D7349E"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sr-Cyrl-RS"/>
              </w:rPr>
              <w:t>*</w:t>
            </w:r>
          </w:p>
        </w:tc>
        <w:tc>
          <w:tcPr>
            <w:tcW w:w="1340" w:type="dxa"/>
            <w:tcBorders>
              <w:top w:val="nil"/>
              <w:left w:val="nil"/>
              <w:bottom w:val="single" w:sz="8" w:space="0" w:color="auto"/>
              <w:right w:val="single" w:sz="8" w:space="0" w:color="auto"/>
            </w:tcBorders>
          </w:tcPr>
          <w:p w14:paraId="75690BD9" w14:textId="77777777" w:rsidR="00F35214" w:rsidRPr="00EF2F18" w:rsidRDefault="00F35214"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tcPr>
          <w:p w14:paraId="2B89DAA4" w14:textId="4D4D54DA" w:rsidR="00F35214" w:rsidRPr="00EF2F18" w:rsidRDefault="00F35214" w:rsidP="00752CA0">
            <w:pPr>
              <w:spacing w:after="0"/>
              <w:jc w:val="right"/>
              <w:rPr>
                <w:rFonts w:eastAsia="Times New Roman" w:cs="Times New Roman"/>
                <w:color w:val="000000"/>
                <w:sz w:val="20"/>
                <w:szCs w:val="20"/>
                <w:lang w:val="sr-Cyrl-RS" w:eastAsia="en-GB"/>
              </w:rPr>
            </w:pPr>
          </w:p>
        </w:tc>
        <w:tc>
          <w:tcPr>
            <w:tcW w:w="1659" w:type="dxa"/>
            <w:tcBorders>
              <w:top w:val="nil"/>
              <w:left w:val="nil"/>
              <w:bottom w:val="single" w:sz="8" w:space="0" w:color="auto"/>
              <w:right w:val="single" w:sz="8" w:space="0" w:color="auto"/>
            </w:tcBorders>
          </w:tcPr>
          <w:p w14:paraId="629581F8" w14:textId="6675B929" w:rsidR="00F35214" w:rsidRPr="00EF2F18" w:rsidRDefault="00F35214"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1CA7F05F" w14:textId="407F15D7" w:rsidR="00F35214" w:rsidRPr="00EF2F18" w:rsidRDefault="00F35214" w:rsidP="00752CA0">
            <w:pPr>
              <w:spacing w:after="0"/>
              <w:jc w:val="right"/>
              <w:rPr>
                <w:rFonts w:eastAsia="Times New Roman" w:cs="Times New Roman"/>
                <w:color w:val="000000"/>
                <w:sz w:val="20"/>
                <w:szCs w:val="20"/>
                <w:lang w:val="sr-Cyrl-RS" w:eastAsia="en-GB"/>
              </w:rPr>
            </w:pPr>
          </w:p>
        </w:tc>
      </w:tr>
      <w:tr w:rsidR="00F35214" w:rsidRPr="00EF2F18" w14:paraId="129B6CED" w14:textId="77777777" w:rsidTr="00EF0900">
        <w:trPr>
          <w:trHeight w:val="1068"/>
        </w:trPr>
        <w:tc>
          <w:tcPr>
            <w:tcW w:w="2948" w:type="dxa"/>
            <w:tcBorders>
              <w:top w:val="nil"/>
              <w:left w:val="double" w:sz="6" w:space="0" w:color="auto"/>
              <w:bottom w:val="single" w:sz="8" w:space="0" w:color="auto"/>
              <w:right w:val="single" w:sz="8" w:space="0" w:color="auto"/>
            </w:tcBorders>
            <w:hideMark/>
          </w:tcPr>
          <w:p w14:paraId="00AED102" w14:textId="1A29A2CC"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5.1.2.4. Иницирање формирања координационе радне групе за превенцију и сузбијање илегалног промета средстава за заштиту биља</w:t>
            </w:r>
          </w:p>
        </w:tc>
        <w:tc>
          <w:tcPr>
            <w:tcW w:w="1254" w:type="dxa"/>
            <w:tcBorders>
              <w:top w:val="nil"/>
              <w:left w:val="nil"/>
              <w:bottom w:val="single" w:sz="8" w:space="0" w:color="auto"/>
              <w:right w:val="single" w:sz="8" w:space="0" w:color="auto"/>
            </w:tcBorders>
            <w:hideMark/>
          </w:tcPr>
          <w:p w14:paraId="4D94E21D" w14:textId="4A573829"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nil"/>
              <w:left w:val="nil"/>
              <w:bottom w:val="single" w:sz="8" w:space="0" w:color="auto"/>
              <w:right w:val="single" w:sz="8" w:space="0" w:color="auto"/>
            </w:tcBorders>
            <w:hideMark/>
          </w:tcPr>
          <w:p w14:paraId="63B348B4" w14:textId="77777777"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82" w:type="dxa"/>
            <w:tcBorders>
              <w:top w:val="nil"/>
              <w:left w:val="nil"/>
              <w:bottom w:val="single" w:sz="8" w:space="0" w:color="auto"/>
              <w:right w:val="single" w:sz="8" w:space="0" w:color="auto"/>
            </w:tcBorders>
            <w:hideMark/>
          </w:tcPr>
          <w:p w14:paraId="6FF90258" w14:textId="593F36AD" w:rsidR="00F35214" w:rsidRPr="00EF2F18" w:rsidRDefault="007D6439"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r w:rsidR="00F35214" w:rsidRPr="00EF2F18">
              <w:rPr>
                <w:rFonts w:eastAsia="Times New Roman" w:cs="Times New Roman"/>
                <w:color w:val="000000"/>
                <w:sz w:val="20"/>
                <w:szCs w:val="20"/>
                <w:lang w:val="sr-Cyrl-RS" w:eastAsia="en-GB"/>
              </w:rPr>
              <w:t xml:space="preserve"> квартал 2026.</w:t>
            </w:r>
          </w:p>
        </w:tc>
        <w:tc>
          <w:tcPr>
            <w:tcW w:w="1691" w:type="dxa"/>
            <w:tcBorders>
              <w:top w:val="nil"/>
              <w:left w:val="nil"/>
              <w:bottom w:val="single" w:sz="8" w:space="0" w:color="auto"/>
              <w:right w:val="single" w:sz="8" w:space="0" w:color="auto"/>
            </w:tcBorders>
            <w:hideMark/>
          </w:tcPr>
          <w:p w14:paraId="3EDBEBD2" w14:textId="77777777"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tcPr>
          <w:p w14:paraId="15F2A8E4" w14:textId="77777777" w:rsidR="00F35214" w:rsidRPr="00EF2F18" w:rsidRDefault="00F35214" w:rsidP="000D14BD">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tcPr>
          <w:p w14:paraId="28847CD0" w14:textId="33600848" w:rsidR="00F35214" w:rsidRPr="00EF2F18" w:rsidRDefault="00F35214" w:rsidP="000D14BD">
            <w:pPr>
              <w:spacing w:after="0"/>
              <w:jc w:val="right"/>
              <w:rPr>
                <w:rFonts w:eastAsia="Times New Roman" w:cs="Times New Roman"/>
                <w:color w:val="000000"/>
                <w:sz w:val="20"/>
                <w:szCs w:val="20"/>
                <w:lang w:val="sr-Cyrl-RS" w:eastAsia="en-GB"/>
              </w:rPr>
            </w:pPr>
          </w:p>
        </w:tc>
        <w:tc>
          <w:tcPr>
            <w:tcW w:w="1659" w:type="dxa"/>
            <w:tcBorders>
              <w:top w:val="nil"/>
              <w:left w:val="nil"/>
              <w:bottom w:val="single" w:sz="8" w:space="0" w:color="auto"/>
              <w:right w:val="single" w:sz="8" w:space="0" w:color="auto"/>
            </w:tcBorders>
          </w:tcPr>
          <w:p w14:paraId="7DB502F0" w14:textId="4ED097E5" w:rsidR="00F35214" w:rsidRPr="00EF2F18" w:rsidRDefault="00F35214" w:rsidP="000D14BD">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double" w:sz="6" w:space="0" w:color="auto"/>
            </w:tcBorders>
          </w:tcPr>
          <w:p w14:paraId="243EA70D" w14:textId="317ACB28" w:rsidR="00F35214" w:rsidRPr="00EF2F18" w:rsidRDefault="00F35214" w:rsidP="000D14BD">
            <w:pPr>
              <w:spacing w:after="0"/>
              <w:jc w:val="right"/>
              <w:rPr>
                <w:rFonts w:eastAsia="Times New Roman" w:cs="Times New Roman"/>
                <w:color w:val="000000"/>
                <w:sz w:val="20"/>
                <w:szCs w:val="20"/>
                <w:lang w:val="sr-Cyrl-RS" w:eastAsia="en-GB"/>
              </w:rPr>
            </w:pPr>
          </w:p>
        </w:tc>
      </w:tr>
      <w:tr w:rsidR="00F35214" w:rsidRPr="00EF2F18" w14:paraId="62566FCF" w14:textId="77777777" w:rsidTr="00EF0900">
        <w:trPr>
          <w:trHeight w:val="804"/>
        </w:trPr>
        <w:tc>
          <w:tcPr>
            <w:tcW w:w="2948" w:type="dxa"/>
            <w:tcBorders>
              <w:top w:val="nil"/>
              <w:left w:val="double" w:sz="6" w:space="0" w:color="auto"/>
              <w:bottom w:val="double" w:sz="6" w:space="0" w:color="auto"/>
              <w:right w:val="single" w:sz="8" w:space="0" w:color="auto"/>
            </w:tcBorders>
            <w:hideMark/>
          </w:tcPr>
          <w:p w14:paraId="6FAE7359" w14:textId="24F6CC0A"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5.1.2.5. Подршка креирању инструкције за поступање у случајевима еколошког криминала</w:t>
            </w:r>
          </w:p>
        </w:tc>
        <w:tc>
          <w:tcPr>
            <w:tcW w:w="1254" w:type="dxa"/>
            <w:tcBorders>
              <w:top w:val="nil"/>
              <w:left w:val="nil"/>
              <w:bottom w:val="double" w:sz="6" w:space="0" w:color="auto"/>
              <w:right w:val="single" w:sz="8" w:space="0" w:color="auto"/>
            </w:tcBorders>
            <w:hideMark/>
          </w:tcPr>
          <w:p w14:paraId="128C0077" w14:textId="7C30142E"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nil"/>
              <w:left w:val="nil"/>
              <w:bottom w:val="double" w:sz="6" w:space="0" w:color="auto"/>
              <w:right w:val="single" w:sz="8" w:space="0" w:color="auto"/>
            </w:tcBorders>
            <w:hideMark/>
          </w:tcPr>
          <w:p w14:paraId="1FFA94B2" w14:textId="77777777"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82" w:type="dxa"/>
            <w:tcBorders>
              <w:top w:val="nil"/>
              <w:left w:val="nil"/>
              <w:bottom w:val="double" w:sz="6" w:space="0" w:color="auto"/>
              <w:right w:val="single" w:sz="8" w:space="0" w:color="auto"/>
            </w:tcBorders>
            <w:hideMark/>
          </w:tcPr>
          <w:p w14:paraId="6B2744BB" w14:textId="5B83308E"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 квартал 2026.</w:t>
            </w:r>
          </w:p>
        </w:tc>
        <w:tc>
          <w:tcPr>
            <w:tcW w:w="1691" w:type="dxa"/>
            <w:tcBorders>
              <w:top w:val="nil"/>
              <w:left w:val="nil"/>
              <w:bottom w:val="double" w:sz="6" w:space="0" w:color="auto"/>
              <w:right w:val="single" w:sz="8" w:space="0" w:color="auto"/>
            </w:tcBorders>
            <w:hideMark/>
          </w:tcPr>
          <w:p w14:paraId="5C84B27E" w14:textId="77777777" w:rsidR="00F35214" w:rsidRPr="00EF2F18" w:rsidRDefault="00F35214" w:rsidP="000D14B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tcPr>
          <w:p w14:paraId="69C06FA7" w14:textId="77777777" w:rsidR="00F35214" w:rsidRPr="00EF2F18" w:rsidRDefault="00F35214" w:rsidP="000D14BD">
            <w:pPr>
              <w:spacing w:after="0"/>
              <w:rPr>
                <w:rFonts w:eastAsia="Times New Roman" w:cs="Times New Roman"/>
                <w:color w:val="000000"/>
                <w:sz w:val="20"/>
                <w:szCs w:val="20"/>
                <w:lang w:val="sr-Cyrl-RS" w:eastAsia="en-GB"/>
              </w:rPr>
            </w:pPr>
          </w:p>
        </w:tc>
        <w:tc>
          <w:tcPr>
            <w:tcW w:w="993" w:type="dxa"/>
            <w:tcBorders>
              <w:top w:val="nil"/>
              <w:left w:val="nil"/>
              <w:bottom w:val="double" w:sz="6" w:space="0" w:color="auto"/>
              <w:right w:val="single" w:sz="8" w:space="0" w:color="auto"/>
            </w:tcBorders>
          </w:tcPr>
          <w:p w14:paraId="02E7AB7F" w14:textId="7FFFB04C" w:rsidR="00F35214" w:rsidRPr="00EF2F18" w:rsidRDefault="00F35214" w:rsidP="000D14BD">
            <w:pPr>
              <w:spacing w:after="0"/>
              <w:jc w:val="right"/>
              <w:rPr>
                <w:rFonts w:eastAsia="Times New Roman" w:cs="Times New Roman"/>
                <w:color w:val="000000"/>
                <w:sz w:val="20"/>
                <w:szCs w:val="20"/>
                <w:lang w:val="sr-Cyrl-RS" w:eastAsia="en-GB"/>
              </w:rPr>
            </w:pPr>
          </w:p>
        </w:tc>
        <w:tc>
          <w:tcPr>
            <w:tcW w:w="1659" w:type="dxa"/>
            <w:tcBorders>
              <w:top w:val="nil"/>
              <w:left w:val="nil"/>
              <w:bottom w:val="double" w:sz="6" w:space="0" w:color="auto"/>
              <w:right w:val="single" w:sz="8" w:space="0" w:color="auto"/>
            </w:tcBorders>
          </w:tcPr>
          <w:p w14:paraId="0CAADAD7" w14:textId="174CFFD8" w:rsidR="00F35214" w:rsidRPr="00EF2F18" w:rsidRDefault="00F35214" w:rsidP="000D14BD">
            <w:pPr>
              <w:spacing w:after="0"/>
              <w:jc w:val="right"/>
              <w:rPr>
                <w:rFonts w:eastAsia="Times New Roman" w:cs="Times New Roman"/>
                <w:color w:val="000000"/>
                <w:sz w:val="20"/>
                <w:szCs w:val="20"/>
                <w:lang w:val="sr-Cyrl-RS" w:eastAsia="en-GB"/>
              </w:rPr>
            </w:pPr>
          </w:p>
        </w:tc>
        <w:tc>
          <w:tcPr>
            <w:tcW w:w="1350" w:type="dxa"/>
            <w:tcBorders>
              <w:top w:val="nil"/>
              <w:left w:val="nil"/>
              <w:bottom w:val="double" w:sz="6" w:space="0" w:color="auto"/>
              <w:right w:val="double" w:sz="6" w:space="0" w:color="auto"/>
            </w:tcBorders>
          </w:tcPr>
          <w:p w14:paraId="119A2A53" w14:textId="24E599E0" w:rsidR="00F35214" w:rsidRPr="00EF2F18" w:rsidRDefault="00F35214" w:rsidP="000D14BD">
            <w:pPr>
              <w:spacing w:after="0"/>
              <w:jc w:val="right"/>
              <w:rPr>
                <w:rFonts w:eastAsia="Times New Roman" w:cs="Times New Roman"/>
                <w:color w:val="000000"/>
                <w:sz w:val="20"/>
                <w:szCs w:val="20"/>
                <w:lang w:val="sr-Cyrl-RS" w:eastAsia="en-GB"/>
              </w:rPr>
            </w:pPr>
          </w:p>
        </w:tc>
      </w:tr>
    </w:tbl>
    <w:p w14:paraId="290C3599" w14:textId="502FE03A" w:rsidR="007D7243" w:rsidRPr="00EF2F18" w:rsidRDefault="00053FD8"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352E66F0" w14:textId="77777777" w:rsidR="00053FD8" w:rsidRPr="00EF2F18" w:rsidRDefault="00053FD8" w:rsidP="007D7243">
      <w:pPr>
        <w:spacing w:after="0"/>
        <w:rPr>
          <w:rFonts w:cs="Times New Roman"/>
          <w:sz w:val="20"/>
          <w:szCs w:val="20"/>
          <w:lang w:val="sr-Cyrl-RS"/>
        </w:rPr>
      </w:pPr>
    </w:p>
    <w:tbl>
      <w:tblPr>
        <w:tblW w:w="13657" w:type="dxa"/>
        <w:tblLook w:val="04A0" w:firstRow="1" w:lastRow="0" w:firstColumn="1" w:lastColumn="0" w:noHBand="0" w:noVBand="1"/>
      </w:tblPr>
      <w:tblGrid>
        <w:gridCol w:w="3193"/>
        <w:gridCol w:w="1261"/>
        <w:gridCol w:w="1262"/>
        <w:gridCol w:w="974"/>
        <w:gridCol w:w="958"/>
        <w:gridCol w:w="1472"/>
        <w:gridCol w:w="1155"/>
        <w:gridCol w:w="1155"/>
        <w:gridCol w:w="2210"/>
        <w:gridCol w:w="17"/>
      </w:tblGrid>
      <w:tr w:rsidR="007D7243" w:rsidRPr="00EF2F18" w14:paraId="0EE14E78" w14:textId="77777777" w:rsidTr="00F35214">
        <w:trPr>
          <w:gridAfter w:val="1"/>
          <w:wAfter w:w="17" w:type="dxa"/>
          <w:trHeight w:val="552"/>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4710533" w14:textId="1C30100C"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5.1.3: Јачање капацитета за</w:t>
            </w:r>
            <w:r w:rsidR="00FA7222" w:rsidRPr="00EF2F18">
              <w:rPr>
                <w:rFonts w:eastAsia="Times New Roman" w:cs="Times New Roman"/>
                <w:b/>
                <w:bCs/>
                <w:color w:val="000000"/>
                <w:sz w:val="20"/>
                <w:szCs w:val="20"/>
                <w:lang w:val="sr-Cyrl-RS" w:eastAsia="en-GB"/>
              </w:rPr>
              <w:t xml:space="preserve"> </w:t>
            </w:r>
            <w:r w:rsidRPr="00EF2F18">
              <w:rPr>
                <w:rFonts w:eastAsia="Times New Roman" w:cs="Times New Roman"/>
                <w:b/>
                <w:bCs/>
                <w:color w:val="000000"/>
                <w:sz w:val="20"/>
                <w:szCs w:val="20"/>
                <w:lang w:val="sr-Cyrl-RS" w:eastAsia="en-GB"/>
              </w:rPr>
              <w:t>информисано одлучивање и управљање у области заштите животне средине у пољопривредно-прехрамбеном сектору</w:t>
            </w:r>
          </w:p>
        </w:tc>
      </w:tr>
      <w:tr w:rsidR="007D7243" w:rsidRPr="00EF2F18" w14:paraId="3E294CFE" w14:textId="77777777" w:rsidTr="00F3521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748C1C5F"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7D7243" w:rsidRPr="00EF2F18" w14:paraId="739ABE0A" w14:textId="77777777" w:rsidTr="00F35214">
        <w:trPr>
          <w:gridAfter w:val="1"/>
          <w:wAfter w:w="17" w:type="dxa"/>
          <w:trHeight w:val="336"/>
        </w:trPr>
        <w:tc>
          <w:tcPr>
            <w:tcW w:w="669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17B7614" w14:textId="4416A648"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F35214"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950" w:type="dxa"/>
            <w:gridSpan w:val="5"/>
            <w:tcBorders>
              <w:top w:val="double" w:sz="6" w:space="0" w:color="auto"/>
              <w:left w:val="nil"/>
              <w:bottom w:val="double" w:sz="6" w:space="0" w:color="auto"/>
              <w:right w:val="double" w:sz="6" w:space="0" w:color="auto"/>
            </w:tcBorders>
            <w:shd w:val="clear" w:color="000000" w:fill="F7CAAC"/>
            <w:hideMark/>
          </w:tcPr>
          <w:p w14:paraId="086DB3E3" w14:textId="2931E22B" w:rsidR="007D7243" w:rsidRPr="00EF2F18" w:rsidRDefault="00CC4491" w:rsidP="00752CA0">
            <w:pPr>
              <w:spacing w:after="0"/>
              <w:rPr>
                <w:rFonts w:eastAsia="Times New Roman" w:cs="Times New Roman"/>
                <w:color w:val="000000"/>
                <w:sz w:val="20"/>
                <w:szCs w:val="20"/>
                <w:lang w:val="sr-Cyrl-RS" w:eastAsia="en-GB"/>
              </w:rPr>
            </w:pPr>
            <w:r>
              <w:rPr>
                <w:rFonts w:eastAsia="Times New Roman" w:cs="Times New Roman"/>
                <w:color w:val="000000"/>
                <w:sz w:val="20"/>
                <w:szCs w:val="20"/>
                <w:lang w:val="sr-Cyrl-RS" w:eastAsia="en-GB"/>
              </w:rPr>
              <w:t>Тип мере: институционално-управљачко-</w:t>
            </w:r>
            <w:r w:rsidR="007D7243" w:rsidRPr="00EF2F18">
              <w:rPr>
                <w:rFonts w:eastAsia="Times New Roman" w:cs="Times New Roman"/>
                <w:color w:val="000000"/>
                <w:sz w:val="20"/>
                <w:szCs w:val="20"/>
                <w:lang w:val="sr-Cyrl-RS" w:eastAsia="en-GB"/>
              </w:rPr>
              <w:t>организациона</w:t>
            </w:r>
          </w:p>
        </w:tc>
      </w:tr>
      <w:tr w:rsidR="007D7243" w:rsidRPr="00EF2F18" w14:paraId="02743B9F" w14:textId="77777777" w:rsidTr="00F35214">
        <w:trPr>
          <w:gridAfter w:val="1"/>
          <w:wAfter w:w="17" w:type="dxa"/>
          <w:trHeight w:val="336"/>
        </w:trPr>
        <w:tc>
          <w:tcPr>
            <w:tcW w:w="669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27976C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950" w:type="dxa"/>
            <w:gridSpan w:val="5"/>
            <w:tcBorders>
              <w:top w:val="double" w:sz="6" w:space="0" w:color="auto"/>
              <w:left w:val="nil"/>
              <w:bottom w:val="double" w:sz="6" w:space="0" w:color="auto"/>
              <w:right w:val="double" w:sz="6" w:space="0" w:color="auto"/>
            </w:tcBorders>
            <w:shd w:val="clear" w:color="000000" w:fill="F7CAAC"/>
            <w:hideMark/>
          </w:tcPr>
          <w:p w14:paraId="58CE6E8F"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35214" w:rsidRPr="00EF2F18" w14:paraId="3A6F7EAF" w14:textId="77777777" w:rsidTr="00E54ACB">
        <w:trPr>
          <w:trHeight w:val="816"/>
        </w:trPr>
        <w:tc>
          <w:tcPr>
            <w:tcW w:w="3193" w:type="dxa"/>
            <w:tcBorders>
              <w:top w:val="single" w:sz="4" w:space="0" w:color="auto"/>
              <w:left w:val="double" w:sz="6" w:space="0" w:color="auto"/>
              <w:bottom w:val="double" w:sz="6" w:space="0" w:color="auto"/>
              <w:right w:val="single" w:sz="8" w:space="0" w:color="auto"/>
            </w:tcBorders>
            <w:shd w:val="clear" w:color="000000" w:fill="D9D9D9"/>
            <w:hideMark/>
          </w:tcPr>
          <w:p w14:paraId="401FE3C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61" w:type="dxa"/>
            <w:tcBorders>
              <w:top w:val="single" w:sz="4" w:space="0" w:color="auto"/>
              <w:left w:val="nil"/>
              <w:bottom w:val="double" w:sz="6" w:space="0" w:color="auto"/>
              <w:right w:val="single" w:sz="8" w:space="0" w:color="auto"/>
            </w:tcBorders>
            <w:shd w:val="clear" w:color="000000" w:fill="D9D9D9"/>
            <w:hideMark/>
          </w:tcPr>
          <w:p w14:paraId="227333A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262" w:type="dxa"/>
            <w:tcBorders>
              <w:top w:val="single" w:sz="4" w:space="0" w:color="auto"/>
              <w:left w:val="nil"/>
              <w:bottom w:val="double" w:sz="6" w:space="0" w:color="auto"/>
              <w:right w:val="single" w:sz="8" w:space="0" w:color="auto"/>
            </w:tcBorders>
            <w:shd w:val="clear" w:color="000000" w:fill="D9D9D9"/>
            <w:hideMark/>
          </w:tcPr>
          <w:p w14:paraId="389141AB"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32" w:type="dxa"/>
            <w:gridSpan w:val="2"/>
            <w:tcBorders>
              <w:top w:val="single" w:sz="4" w:space="0" w:color="auto"/>
              <w:left w:val="nil"/>
              <w:bottom w:val="double" w:sz="6" w:space="0" w:color="auto"/>
              <w:right w:val="single" w:sz="8" w:space="0" w:color="000000"/>
            </w:tcBorders>
            <w:shd w:val="clear" w:color="000000" w:fill="D9D9D9"/>
            <w:hideMark/>
          </w:tcPr>
          <w:p w14:paraId="3791193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472" w:type="dxa"/>
            <w:tcBorders>
              <w:top w:val="single" w:sz="4" w:space="0" w:color="auto"/>
              <w:left w:val="nil"/>
              <w:bottom w:val="double" w:sz="6" w:space="0" w:color="auto"/>
              <w:right w:val="single" w:sz="8" w:space="0" w:color="auto"/>
            </w:tcBorders>
            <w:shd w:val="clear" w:color="000000" w:fill="D9D9D9"/>
            <w:hideMark/>
          </w:tcPr>
          <w:p w14:paraId="5480E929"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155" w:type="dxa"/>
            <w:tcBorders>
              <w:top w:val="single" w:sz="4" w:space="0" w:color="auto"/>
              <w:left w:val="nil"/>
              <w:bottom w:val="double" w:sz="6" w:space="0" w:color="auto"/>
              <w:right w:val="nil"/>
            </w:tcBorders>
            <w:shd w:val="clear" w:color="000000" w:fill="D9D9D9"/>
            <w:hideMark/>
          </w:tcPr>
          <w:p w14:paraId="1DA6447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155" w:type="dxa"/>
            <w:tcBorders>
              <w:top w:val="single" w:sz="4" w:space="0" w:color="auto"/>
              <w:left w:val="nil"/>
              <w:bottom w:val="double" w:sz="6" w:space="0" w:color="auto"/>
              <w:right w:val="single" w:sz="8" w:space="0" w:color="auto"/>
            </w:tcBorders>
            <w:shd w:val="clear" w:color="000000" w:fill="D9D9D9"/>
            <w:hideMark/>
          </w:tcPr>
          <w:p w14:paraId="0E9E44C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2227" w:type="dxa"/>
            <w:gridSpan w:val="2"/>
            <w:tcBorders>
              <w:top w:val="single" w:sz="4" w:space="0" w:color="auto"/>
              <w:left w:val="nil"/>
              <w:bottom w:val="double" w:sz="6" w:space="0" w:color="auto"/>
              <w:right w:val="double" w:sz="6" w:space="0" w:color="auto"/>
            </w:tcBorders>
            <w:shd w:val="clear" w:color="000000" w:fill="D9D9D9"/>
            <w:hideMark/>
          </w:tcPr>
          <w:p w14:paraId="68C075A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35214" w:rsidRPr="00EF2F18" w14:paraId="313674D8" w14:textId="77777777" w:rsidTr="00F67270">
        <w:trPr>
          <w:trHeight w:val="1080"/>
        </w:trPr>
        <w:tc>
          <w:tcPr>
            <w:tcW w:w="3193" w:type="dxa"/>
            <w:tcBorders>
              <w:top w:val="single" w:sz="4" w:space="0" w:color="auto"/>
              <w:left w:val="double" w:sz="6" w:space="0" w:color="auto"/>
              <w:bottom w:val="double" w:sz="6" w:space="0" w:color="auto"/>
              <w:right w:val="single" w:sz="8" w:space="0" w:color="auto"/>
            </w:tcBorders>
            <w:shd w:val="clear" w:color="000000" w:fill="FFFFFF"/>
            <w:hideMark/>
          </w:tcPr>
          <w:p w14:paraId="625BDDAF"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Унапређен систем за праћење стања животне средине и ризика по животну средину од стране пољопривреде</w:t>
            </w:r>
          </w:p>
        </w:tc>
        <w:tc>
          <w:tcPr>
            <w:tcW w:w="1261" w:type="dxa"/>
            <w:tcBorders>
              <w:top w:val="single" w:sz="4" w:space="0" w:color="auto"/>
              <w:left w:val="nil"/>
              <w:bottom w:val="double" w:sz="6" w:space="0" w:color="auto"/>
              <w:right w:val="single" w:sz="8" w:space="0" w:color="auto"/>
            </w:tcBorders>
            <w:shd w:val="clear" w:color="000000" w:fill="FFFFFF"/>
            <w:hideMark/>
          </w:tcPr>
          <w:p w14:paraId="795461CE" w14:textId="1C97EE05"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да/не</w:t>
            </w:r>
          </w:p>
        </w:tc>
        <w:tc>
          <w:tcPr>
            <w:tcW w:w="1262" w:type="dxa"/>
            <w:tcBorders>
              <w:top w:val="single" w:sz="4" w:space="0" w:color="auto"/>
              <w:left w:val="nil"/>
              <w:bottom w:val="double" w:sz="6" w:space="0" w:color="auto"/>
              <w:right w:val="single" w:sz="8" w:space="0" w:color="auto"/>
            </w:tcBorders>
            <w:shd w:val="clear" w:color="000000" w:fill="FFFFFF"/>
            <w:hideMark/>
          </w:tcPr>
          <w:p w14:paraId="353916D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 о стању животне средине</w:t>
            </w:r>
          </w:p>
        </w:tc>
        <w:tc>
          <w:tcPr>
            <w:tcW w:w="1932" w:type="dxa"/>
            <w:gridSpan w:val="2"/>
            <w:tcBorders>
              <w:top w:val="single" w:sz="4" w:space="0" w:color="auto"/>
              <w:left w:val="nil"/>
              <w:bottom w:val="double" w:sz="6" w:space="0" w:color="auto"/>
              <w:right w:val="single" w:sz="8" w:space="0" w:color="000000"/>
            </w:tcBorders>
            <w:shd w:val="clear" w:color="000000" w:fill="FFFFFF"/>
            <w:hideMark/>
          </w:tcPr>
          <w:p w14:paraId="6A2F2660"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472" w:type="dxa"/>
            <w:tcBorders>
              <w:top w:val="single" w:sz="4" w:space="0" w:color="auto"/>
              <w:left w:val="nil"/>
              <w:bottom w:val="double" w:sz="6" w:space="0" w:color="auto"/>
              <w:right w:val="single" w:sz="8" w:space="0" w:color="auto"/>
            </w:tcBorders>
            <w:shd w:val="clear" w:color="000000" w:fill="FFFFFF"/>
            <w:hideMark/>
          </w:tcPr>
          <w:p w14:paraId="2DE02803"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155" w:type="dxa"/>
            <w:tcBorders>
              <w:top w:val="single" w:sz="4" w:space="0" w:color="auto"/>
              <w:left w:val="single" w:sz="4" w:space="0" w:color="auto"/>
              <w:bottom w:val="double" w:sz="6" w:space="0" w:color="auto"/>
              <w:right w:val="single" w:sz="8" w:space="0" w:color="auto"/>
            </w:tcBorders>
            <w:shd w:val="clear" w:color="000000" w:fill="FFFFFF"/>
            <w:hideMark/>
          </w:tcPr>
          <w:p w14:paraId="41BACCC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делимично</w:t>
            </w:r>
          </w:p>
        </w:tc>
        <w:tc>
          <w:tcPr>
            <w:tcW w:w="1155" w:type="dxa"/>
            <w:tcBorders>
              <w:top w:val="single" w:sz="4" w:space="0" w:color="auto"/>
              <w:left w:val="nil"/>
              <w:bottom w:val="double" w:sz="6" w:space="0" w:color="auto"/>
              <w:right w:val="single" w:sz="8" w:space="0" w:color="auto"/>
            </w:tcBorders>
            <w:shd w:val="clear" w:color="000000" w:fill="FFFFFF"/>
            <w:hideMark/>
          </w:tcPr>
          <w:p w14:paraId="364FE87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делимично</w:t>
            </w:r>
          </w:p>
        </w:tc>
        <w:tc>
          <w:tcPr>
            <w:tcW w:w="2227" w:type="dxa"/>
            <w:gridSpan w:val="2"/>
            <w:tcBorders>
              <w:top w:val="single" w:sz="4" w:space="0" w:color="auto"/>
              <w:left w:val="nil"/>
              <w:bottom w:val="double" w:sz="6" w:space="0" w:color="auto"/>
              <w:right w:val="double" w:sz="6" w:space="0" w:color="auto"/>
            </w:tcBorders>
            <w:shd w:val="clear" w:color="000000" w:fill="FFFFFF"/>
            <w:hideMark/>
          </w:tcPr>
          <w:p w14:paraId="3295A06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r>
    </w:tbl>
    <w:p w14:paraId="236DC2DB" w14:textId="646311B7" w:rsidR="007620E6" w:rsidRPr="00EF2F18" w:rsidRDefault="007620E6" w:rsidP="007D7243">
      <w:pPr>
        <w:spacing w:after="0"/>
        <w:rPr>
          <w:rFonts w:cs="Times New Roman"/>
          <w:sz w:val="20"/>
          <w:szCs w:val="20"/>
          <w:lang w:val="sr-Cyrl-RS"/>
        </w:rPr>
      </w:pPr>
    </w:p>
    <w:p w14:paraId="53B14E75" w14:textId="77777777" w:rsidR="007620E6" w:rsidRPr="00EF2F18" w:rsidRDefault="007620E6" w:rsidP="007D7243">
      <w:pPr>
        <w:spacing w:after="0"/>
        <w:rPr>
          <w:rFonts w:cs="Times New Roman"/>
          <w:sz w:val="20"/>
          <w:szCs w:val="20"/>
          <w:lang w:val="sr-Cyrl-RS"/>
        </w:rPr>
      </w:pPr>
    </w:p>
    <w:tbl>
      <w:tblPr>
        <w:tblW w:w="13567" w:type="dxa"/>
        <w:tblLook w:val="04A0" w:firstRow="1" w:lastRow="0" w:firstColumn="1" w:lastColumn="0" w:noHBand="0" w:noVBand="1"/>
      </w:tblPr>
      <w:tblGrid>
        <w:gridCol w:w="3800"/>
        <w:gridCol w:w="2480"/>
        <w:gridCol w:w="2247"/>
        <w:gridCol w:w="2610"/>
        <w:gridCol w:w="2423"/>
        <w:gridCol w:w="7"/>
      </w:tblGrid>
      <w:tr w:rsidR="007D7243" w:rsidRPr="00EF2F18" w14:paraId="64C8564B" w14:textId="77777777" w:rsidTr="00F35214">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010A45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97DE47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1DB285E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35214" w:rsidRPr="00EF2F18" w14:paraId="24342DCD" w14:textId="77777777" w:rsidTr="00F35214">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74A377D9" w14:textId="77777777" w:rsidR="00F35214" w:rsidRPr="00EF2F18" w:rsidRDefault="00F35214"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3E39C2A8" w14:textId="77777777" w:rsidR="00F35214" w:rsidRPr="00EF2F18" w:rsidRDefault="00F35214" w:rsidP="00752CA0">
            <w:pPr>
              <w:spacing w:after="0"/>
              <w:rPr>
                <w:rFonts w:eastAsia="Times New Roman" w:cs="Times New Roman"/>
                <w:color w:val="000000"/>
                <w:sz w:val="20"/>
                <w:szCs w:val="20"/>
                <w:lang w:val="sr-Cyrl-RS" w:eastAsia="en-GB"/>
              </w:rPr>
            </w:pPr>
          </w:p>
        </w:tc>
        <w:tc>
          <w:tcPr>
            <w:tcW w:w="2247" w:type="dxa"/>
            <w:tcBorders>
              <w:top w:val="nil"/>
              <w:left w:val="nil"/>
              <w:bottom w:val="double" w:sz="6" w:space="0" w:color="auto"/>
              <w:right w:val="double" w:sz="6" w:space="0" w:color="auto"/>
            </w:tcBorders>
            <w:shd w:val="clear" w:color="000000" w:fill="A8D08D"/>
            <w:hideMark/>
          </w:tcPr>
          <w:p w14:paraId="5B5032DA" w14:textId="4732C539"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2026. године</w:t>
            </w:r>
          </w:p>
        </w:tc>
        <w:tc>
          <w:tcPr>
            <w:tcW w:w="2610" w:type="dxa"/>
            <w:tcBorders>
              <w:top w:val="nil"/>
              <w:left w:val="nil"/>
              <w:bottom w:val="double" w:sz="6" w:space="0" w:color="auto"/>
              <w:right w:val="double" w:sz="6" w:space="0" w:color="auto"/>
            </w:tcBorders>
            <w:shd w:val="clear" w:color="000000" w:fill="A8D08D"/>
            <w:hideMark/>
          </w:tcPr>
          <w:p w14:paraId="2EBBCEA8" w14:textId="35C7FD20"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2027. године</w:t>
            </w:r>
          </w:p>
        </w:tc>
        <w:tc>
          <w:tcPr>
            <w:tcW w:w="2430" w:type="dxa"/>
            <w:gridSpan w:val="2"/>
            <w:tcBorders>
              <w:top w:val="nil"/>
              <w:left w:val="nil"/>
              <w:bottom w:val="double" w:sz="6" w:space="0" w:color="auto"/>
              <w:right w:val="double" w:sz="6" w:space="0" w:color="auto"/>
            </w:tcBorders>
            <w:shd w:val="clear" w:color="000000" w:fill="A8D08D"/>
            <w:hideMark/>
          </w:tcPr>
          <w:p w14:paraId="75F3C75D" w14:textId="2FC91471"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 године</w:t>
            </w:r>
          </w:p>
        </w:tc>
      </w:tr>
      <w:tr w:rsidR="00F35214" w:rsidRPr="00EF2F18" w14:paraId="455FF7D6" w14:textId="77777777" w:rsidTr="00F35214">
        <w:trPr>
          <w:trHeight w:val="336"/>
        </w:trPr>
        <w:tc>
          <w:tcPr>
            <w:tcW w:w="3800" w:type="dxa"/>
            <w:tcBorders>
              <w:top w:val="nil"/>
              <w:left w:val="double" w:sz="6" w:space="0" w:color="auto"/>
              <w:bottom w:val="double" w:sz="6" w:space="0" w:color="auto"/>
              <w:right w:val="double" w:sz="6" w:space="0" w:color="auto"/>
            </w:tcBorders>
            <w:shd w:val="clear" w:color="000000" w:fill="FFFFFF"/>
          </w:tcPr>
          <w:p w14:paraId="5D557724"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 (МПШВ)</w:t>
            </w:r>
          </w:p>
        </w:tc>
        <w:tc>
          <w:tcPr>
            <w:tcW w:w="2480" w:type="dxa"/>
            <w:tcBorders>
              <w:top w:val="double" w:sz="6" w:space="0" w:color="auto"/>
              <w:left w:val="nil"/>
              <w:bottom w:val="double" w:sz="6" w:space="0" w:color="auto"/>
              <w:right w:val="double" w:sz="6" w:space="0" w:color="auto"/>
            </w:tcBorders>
            <w:shd w:val="clear" w:color="000000" w:fill="FFFFFF"/>
          </w:tcPr>
          <w:p w14:paraId="32C89B56" w14:textId="77777777" w:rsidR="00F35214" w:rsidRPr="00EF2F18" w:rsidRDefault="00F35214" w:rsidP="00752CA0">
            <w:pPr>
              <w:spacing w:after="0"/>
              <w:rPr>
                <w:rFonts w:eastAsia="Times New Roman" w:cs="Times New Roman"/>
                <w:color w:val="000000"/>
                <w:sz w:val="20"/>
                <w:szCs w:val="20"/>
                <w:lang w:val="sr-Cyrl-RS" w:eastAsia="en-GB"/>
              </w:rPr>
            </w:pPr>
          </w:p>
        </w:tc>
        <w:tc>
          <w:tcPr>
            <w:tcW w:w="2247" w:type="dxa"/>
            <w:tcBorders>
              <w:top w:val="nil"/>
              <w:left w:val="nil"/>
              <w:bottom w:val="double" w:sz="6" w:space="0" w:color="auto"/>
              <w:right w:val="double" w:sz="6" w:space="0" w:color="auto"/>
            </w:tcBorders>
          </w:tcPr>
          <w:p w14:paraId="6340409F" w14:textId="77777777" w:rsidR="00F35214" w:rsidRPr="00EF2F18" w:rsidRDefault="00F35214" w:rsidP="00752CA0">
            <w:pPr>
              <w:spacing w:after="0"/>
              <w:jc w:val="right"/>
              <w:rPr>
                <w:rFonts w:eastAsia="Times New Roman" w:cs="Times New Roman"/>
                <w:color w:val="000000"/>
                <w:sz w:val="20"/>
                <w:szCs w:val="20"/>
                <w:lang w:val="sr-Cyrl-RS" w:eastAsia="en-GB"/>
              </w:rPr>
            </w:pPr>
          </w:p>
        </w:tc>
        <w:tc>
          <w:tcPr>
            <w:tcW w:w="2610" w:type="dxa"/>
            <w:tcBorders>
              <w:top w:val="nil"/>
              <w:left w:val="nil"/>
              <w:bottom w:val="double" w:sz="6" w:space="0" w:color="auto"/>
              <w:right w:val="double" w:sz="6" w:space="0" w:color="auto"/>
            </w:tcBorders>
          </w:tcPr>
          <w:p w14:paraId="32FBEFA0" w14:textId="77777777" w:rsidR="00F35214" w:rsidRPr="00EF2F18" w:rsidRDefault="00F35214" w:rsidP="00752CA0">
            <w:pPr>
              <w:spacing w:after="0"/>
              <w:jc w:val="right"/>
              <w:rPr>
                <w:rFonts w:eastAsia="Times New Roman" w:cs="Times New Roman"/>
                <w:color w:val="000000"/>
                <w:sz w:val="20"/>
                <w:szCs w:val="20"/>
                <w:lang w:val="sr-Cyrl-RS" w:eastAsia="en-GB"/>
              </w:rPr>
            </w:pPr>
          </w:p>
        </w:tc>
        <w:tc>
          <w:tcPr>
            <w:tcW w:w="2430" w:type="dxa"/>
            <w:gridSpan w:val="2"/>
            <w:tcBorders>
              <w:top w:val="nil"/>
              <w:left w:val="nil"/>
              <w:bottom w:val="double" w:sz="6" w:space="0" w:color="auto"/>
              <w:right w:val="double" w:sz="6" w:space="0" w:color="auto"/>
            </w:tcBorders>
            <w:shd w:val="clear" w:color="000000" w:fill="FFFFFF"/>
          </w:tcPr>
          <w:p w14:paraId="06249B21" w14:textId="77777777" w:rsidR="00F35214" w:rsidRPr="00EF2F18" w:rsidRDefault="00F35214" w:rsidP="00752CA0">
            <w:pPr>
              <w:spacing w:after="0"/>
              <w:jc w:val="right"/>
              <w:rPr>
                <w:rFonts w:eastAsia="Times New Roman" w:cs="Times New Roman"/>
                <w:color w:val="000000"/>
                <w:sz w:val="20"/>
                <w:szCs w:val="20"/>
                <w:lang w:val="sr-Cyrl-RS" w:eastAsia="en-GB"/>
              </w:rPr>
            </w:pPr>
          </w:p>
        </w:tc>
      </w:tr>
      <w:tr w:rsidR="00F35214" w:rsidRPr="00EF2F18" w14:paraId="23843994" w14:textId="77777777" w:rsidTr="00F35214">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0DB3A516" w14:textId="6CD66286"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2480" w:type="dxa"/>
            <w:tcBorders>
              <w:top w:val="nil"/>
              <w:left w:val="nil"/>
              <w:bottom w:val="double" w:sz="6" w:space="0" w:color="auto"/>
              <w:right w:val="double" w:sz="6" w:space="0" w:color="auto"/>
            </w:tcBorders>
            <w:shd w:val="clear" w:color="000000" w:fill="FFFFFF"/>
            <w:hideMark/>
          </w:tcPr>
          <w:p w14:paraId="3FD0F663"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247" w:type="dxa"/>
            <w:tcBorders>
              <w:top w:val="nil"/>
              <w:left w:val="nil"/>
              <w:bottom w:val="double" w:sz="6" w:space="0" w:color="auto"/>
              <w:right w:val="double" w:sz="6" w:space="0" w:color="auto"/>
            </w:tcBorders>
          </w:tcPr>
          <w:p w14:paraId="7BACA074" w14:textId="1694DB9F" w:rsidR="00F35214" w:rsidRPr="00EF2F18" w:rsidRDefault="00F35214" w:rsidP="00752CA0">
            <w:pPr>
              <w:spacing w:after="0"/>
              <w:jc w:val="right"/>
              <w:rPr>
                <w:rFonts w:eastAsia="Times New Roman" w:cs="Times New Roman"/>
                <w:color w:val="000000"/>
                <w:sz w:val="20"/>
                <w:szCs w:val="20"/>
                <w:lang w:val="sr-Cyrl-RS" w:eastAsia="en-GB"/>
              </w:rPr>
            </w:pPr>
          </w:p>
        </w:tc>
        <w:tc>
          <w:tcPr>
            <w:tcW w:w="2610" w:type="dxa"/>
            <w:tcBorders>
              <w:top w:val="nil"/>
              <w:left w:val="nil"/>
              <w:bottom w:val="double" w:sz="6" w:space="0" w:color="auto"/>
              <w:right w:val="double" w:sz="6" w:space="0" w:color="auto"/>
            </w:tcBorders>
          </w:tcPr>
          <w:p w14:paraId="28946DF7" w14:textId="373C123F" w:rsidR="00F35214" w:rsidRPr="00EF2F18" w:rsidRDefault="00F35214" w:rsidP="00752CA0">
            <w:pPr>
              <w:spacing w:after="0"/>
              <w:jc w:val="right"/>
              <w:rPr>
                <w:rFonts w:eastAsia="Times New Roman" w:cs="Times New Roman"/>
                <w:color w:val="000000"/>
                <w:sz w:val="20"/>
                <w:szCs w:val="20"/>
                <w:lang w:val="sr-Cyrl-RS" w:eastAsia="en-GB"/>
              </w:rPr>
            </w:pPr>
          </w:p>
        </w:tc>
        <w:tc>
          <w:tcPr>
            <w:tcW w:w="2430" w:type="dxa"/>
            <w:gridSpan w:val="2"/>
            <w:tcBorders>
              <w:top w:val="nil"/>
              <w:left w:val="nil"/>
              <w:bottom w:val="double" w:sz="6" w:space="0" w:color="auto"/>
              <w:right w:val="double" w:sz="6" w:space="0" w:color="auto"/>
            </w:tcBorders>
            <w:shd w:val="clear" w:color="000000" w:fill="FFFFFF"/>
          </w:tcPr>
          <w:p w14:paraId="614B5EE4" w14:textId="2438EF2B" w:rsidR="00F35214" w:rsidRPr="00EF2F18" w:rsidRDefault="00F35214" w:rsidP="00752CA0">
            <w:pPr>
              <w:spacing w:after="0"/>
              <w:jc w:val="right"/>
              <w:rPr>
                <w:rFonts w:eastAsia="Times New Roman" w:cs="Times New Roman"/>
                <w:color w:val="000000"/>
                <w:sz w:val="20"/>
                <w:szCs w:val="20"/>
                <w:lang w:val="sr-Cyrl-RS" w:eastAsia="en-GB"/>
              </w:rPr>
            </w:pPr>
          </w:p>
        </w:tc>
      </w:tr>
    </w:tbl>
    <w:p w14:paraId="2E51A2A3" w14:textId="055503A9" w:rsidR="00382D07" w:rsidRPr="00EF2F18" w:rsidRDefault="00382D07" w:rsidP="007D7243">
      <w:pPr>
        <w:spacing w:after="0"/>
        <w:rPr>
          <w:rFonts w:cs="Times New Roman"/>
          <w:sz w:val="20"/>
          <w:szCs w:val="20"/>
          <w:lang w:val="sr-Cyrl-RS"/>
        </w:rPr>
      </w:pPr>
    </w:p>
    <w:p w14:paraId="7BE80087" w14:textId="77777777" w:rsidR="00382D07" w:rsidRPr="00EF2F18" w:rsidRDefault="00382D07" w:rsidP="007D7243">
      <w:pPr>
        <w:spacing w:after="0"/>
        <w:rPr>
          <w:rFonts w:cs="Times New Roman"/>
          <w:sz w:val="20"/>
          <w:szCs w:val="20"/>
          <w:lang w:val="sr-Cyrl-RS"/>
        </w:rPr>
      </w:pPr>
    </w:p>
    <w:tbl>
      <w:tblPr>
        <w:tblW w:w="13658" w:type="dxa"/>
        <w:tblLook w:val="04A0" w:firstRow="1" w:lastRow="0" w:firstColumn="1" w:lastColumn="0" w:noHBand="0" w:noVBand="1"/>
      </w:tblPr>
      <w:tblGrid>
        <w:gridCol w:w="2719"/>
        <w:gridCol w:w="1215"/>
        <w:gridCol w:w="1349"/>
        <w:gridCol w:w="1182"/>
        <w:gridCol w:w="1785"/>
        <w:gridCol w:w="1716"/>
        <w:gridCol w:w="1171"/>
        <w:gridCol w:w="1170"/>
        <w:gridCol w:w="1351"/>
      </w:tblGrid>
      <w:tr w:rsidR="00EF0900" w:rsidRPr="00EF2F18" w14:paraId="492AE0ED" w14:textId="77777777" w:rsidTr="00EF0900">
        <w:trPr>
          <w:trHeight w:val="732"/>
        </w:trPr>
        <w:tc>
          <w:tcPr>
            <w:tcW w:w="2719"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316B9C61"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215"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85B014B"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34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64D5BBC"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0C50BB3"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785"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25E81AF"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716"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EA1DE22"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3692" w:type="dxa"/>
            <w:gridSpan w:val="3"/>
            <w:tcBorders>
              <w:top w:val="double" w:sz="6" w:space="0" w:color="auto"/>
              <w:left w:val="nil"/>
              <w:bottom w:val="single" w:sz="8" w:space="0" w:color="auto"/>
              <w:right w:val="double" w:sz="6" w:space="0" w:color="auto"/>
            </w:tcBorders>
            <w:shd w:val="clear" w:color="000000" w:fill="FFF2CC"/>
            <w:hideMark/>
          </w:tcPr>
          <w:p w14:paraId="42D38F3D"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F0900" w:rsidRPr="00EF2F18" w14:paraId="40DB3885" w14:textId="77777777" w:rsidTr="00EF0900">
        <w:trPr>
          <w:trHeight w:val="324"/>
        </w:trPr>
        <w:tc>
          <w:tcPr>
            <w:tcW w:w="2719" w:type="dxa"/>
            <w:vMerge/>
            <w:tcBorders>
              <w:top w:val="double" w:sz="6" w:space="0" w:color="auto"/>
              <w:left w:val="double" w:sz="6" w:space="0" w:color="auto"/>
              <w:bottom w:val="single" w:sz="8" w:space="0" w:color="000000"/>
              <w:right w:val="single" w:sz="8" w:space="0" w:color="auto"/>
            </w:tcBorders>
            <w:vAlign w:val="center"/>
            <w:hideMark/>
          </w:tcPr>
          <w:p w14:paraId="0D03CA74" w14:textId="77777777" w:rsidR="00EF0900" w:rsidRPr="00EF2F18" w:rsidRDefault="00EF0900" w:rsidP="00752CA0">
            <w:pPr>
              <w:spacing w:after="0"/>
              <w:rPr>
                <w:rFonts w:eastAsia="Times New Roman" w:cs="Times New Roman"/>
                <w:color w:val="000000"/>
                <w:sz w:val="20"/>
                <w:szCs w:val="20"/>
                <w:lang w:val="sr-Cyrl-RS" w:eastAsia="en-GB"/>
              </w:rPr>
            </w:pPr>
          </w:p>
        </w:tc>
        <w:tc>
          <w:tcPr>
            <w:tcW w:w="1215" w:type="dxa"/>
            <w:vMerge/>
            <w:tcBorders>
              <w:top w:val="double" w:sz="6" w:space="0" w:color="auto"/>
              <w:left w:val="single" w:sz="8" w:space="0" w:color="auto"/>
              <w:bottom w:val="single" w:sz="8" w:space="0" w:color="000000"/>
              <w:right w:val="single" w:sz="8" w:space="0" w:color="auto"/>
            </w:tcBorders>
            <w:vAlign w:val="center"/>
            <w:hideMark/>
          </w:tcPr>
          <w:p w14:paraId="657A7C43" w14:textId="77777777" w:rsidR="00EF0900" w:rsidRPr="00EF2F18" w:rsidRDefault="00EF0900" w:rsidP="00752CA0">
            <w:pPr>
              <w:spacing w:after="0"/>
              <w:rPr>
                <w:rFonts w:eastAsia="Times New Roman" w:cs="Times New Roman"/>
                <w:color w:val="000000"/>
                <w:sz w:val="20"/>
                <w:szCs w:val="20"/>
                <w:lang w:val="sr-Cyrl-RS" w:eastAsia="en-GB"/>
              </w:rPr>
            </w:pPr>
          </w:p>
        </w:tc>
        <w:tc>
          <w:tcPr>
            <w:tcW w:w="1349" w:type="dxa"/>
            <w:vMerge/>
            <w:tcBorders>
              <w:top w:val="double" w:sz="6" w:space="0" w:color="auto"/>
              <w:left w:val="single" w:sz="8" w:space="0" w:color="auto"/>
              <w:bottom w:val="single" w:sz="8" w:space="0" w:color="000000"/>
              <w:right w:val="single" w:sz="8" w:space="0" w:color="auto"/>
            </w:tcBorders>
            <w:vAlign w:val="center"/>
            <w:hideMark/>
          </w:tcPr>
          <w:p w14:paraId="26FDF20E" w14:textId="77777777" w:rsidR="00EF0900" w:rsidRPr="00EF2F18" w:rsidRDefault="00EF0900"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773BC326" w14:textId="77777777" w:rsidR="00EF0900" w:rsidRPr="00EF2F18" w:rsidRDefault="00EF0900" w:rsidP="00752CA0">
            <w:pPr>
              <w:spacing w:after="0"/>
              <w:rPr>
                <w:rFonts w:eastAsia="Times New Roman" w:cs="Times New Roman"/>
                <w:color w:val="000000"/>
                <w:sz w:val="20"/>
                <w:szCs w:val="20"/>
                <w:lang w:val="sr-Cyrl-RS" w:eastAsia="en-GB"/>
              </w:rPr>
            </w:pPr>
          </w:p>
        </w:tc>
        <w:tc>
          <w:tcPr>
            <w:tcW w:w="1785" w:type="dxa"/>
            <w:vMerge/>
            <w:tcBorders>
              <w:top w:val="double" w:sz="6" w:space="0" w:color="auto"/>
              <w:left w:val="single" w:sz="8" w:space="0" w:color="auto"/>
              <w:bottom w:val="single" w:sz="8" w:space="0" w:color="000000"/>
              <w:right w:val="single" w:sz="8" w:space="0" w:color="auto"/>
            </w:tcBorders>
            <w:vAlign w:val="center"/>
            <w:hideMark/>
          </w:tcPr>
          <w:p w14:paraId="4ABA6E42" w14:textId="77777777" w:rsidR="00EF0900" w:rsidRPr="00EF2F18" w:rsidRDefault="00EF0900" w:rsidP="00752CA0">
            <w:pPr>
              <w:spacing w:after="0"/>
              <w:rPr>
                <w:rFonts w:eastAsia="Times New Roman" w:cs="Times New Roman"/>
                <w:color w:val="000000"/>
                <w:sz w:val="20"/>
                <w:szCs w:val="20"/>
                <w:lang w:val="sr-Cyrl-RS" w:eastAsia="en-GB"/>
              </w:rPr>
            </w:pPr>
          </w:p>
        </w:tc>
        <w:tc>
          <w:tcPr>
            <w:tcW w:w="1716" w:type="dxa"/>
            <w:vMerge/>
            <w:tcBorders>
              <w:top w:val="double" w:sz="6" w:space="0" w:color="auto"/>
              <w:left w:val="single" w:sz="8" w:space="0" w:color="auto"/>
              <w:bottom w:val="single" w:sz="8" w:space="0" w:color="000000"/>
              <w:right w:val="single" w:sz="8" w:space="0" w:color="auto"/>
            </w:tcBorders>
            <w:vAlign w:val="center"/>
            <w:hideMark/>
          </w:tcPr>
          <w:p w14:paraId="6D24B1B7" w14:textId="77777777" w:rsidR="00EF0900" w:rsidRPr="00EF2F18" w:rsidRDefault="00EF0900" w:rsidP="00752CA0">
            <w:pPr>
              <w:spacing w:after="0"/>
              <w:rPr>
                <w:rFonts w:eastAsia="Times New Roman" w:cs="Times New Roman"/>
                <w:color w:val="000000"/>
                <w:sz w:val="20"/>
                <w:szCs w:val="20"/>
                <w:lang w:val="sr-Cyrl-RS" w:eastAsia="en-GB"/>
              </w:rPr>
            </w:pPr>
          </w:p>
        </w:tc>
        <w:tc>
          <w:tcPr>
            <w:tcW w:w="1171" w:type="dxa"/>
            <w:tcBorders>
              <w:top w:val="nil"/>
              <w:left w:val="nil"/>
              <w:bottom w:val="single" w:sz="8" w:space="0" w:color="auto"/>
              <w:right w:val="single" w:sz="8" w:space="0" w:color="auto"/>
            </w:tcBorders>
            <w:shd w:val="clear" w:color="000000" w:fill="FFF2CC"/>
            <w:hideMark/>
          </w:tcPr>
          <w:p w14:paraId="4EA2742F" w14:textId="42AEF705"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495000BF" w14:textId="2FF84766" w:rsidR="00EF0900"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r w:rsidR="00EF0900" w:rsidRPr="00EF2F18">
              <w:rPr>
                <w:rFonts w:eastAsia="Times New Roman" w:cs="Times New Roman"/>
                <w:color w:val="000000"/>
                <w:sz w:val="20"/>
                <w:szCs w:val="20"/>
                <w:lang w:val="sr-Cyrl-RS" w:eastAsia="en-GB"/>
              </w:rPr>
              <w:t>2027.</w:t>
            </w:r>
          </w:p>
        </w:tc>
        <w:tc>
          <w:tcPr>
            <w:tcW w:w="1351" w:type="dxa"/>
            <w:tcBorders>
              <w:top w:val="nil"/>
              <w:left w:val="nil"/>
              <w:bottom w:val="single" w:sz="8" w:space="0" w:color="auto"/>
              <w:right w:val="double" w:sz="6" w:space="0" w:color="auto"/>
            </w:tcBorders>
            <w:shd w:val="clear" w:color="000000" w:fill="FFF2CC"/>
            <w:hideMark/>
          </w:tcPr>
          <w:p w14:paraId="1D3978C7" w14:textId="102D431C"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EF0900" w:rsidRPr="00EF2F18" w14:paraId="2275163D" w14:textId="77777777" w:rsidTr="00EF0900">
        <w:trPr>
          <w:trHeight w:val="2316"/>
        </w:trPr>
        <w:tc>
          <w:tcPr>
            <w:tcW w:w="2719" w:type="dxa"/>
            <w:vMerge w:val="restart"/>
            <w:tcBorders>
              <w:top w:val="nil"/>
              <w:left w:val="double" w:sz="6" w:space="0" w:color="auto"/>
              <w:bottom w:val="single" w:sz="8" w:space="0" w:color="000000"/>
              <w:right w:val="single" w:sz="8" w:space="0" w:color="auto"/>
            </w:tcBorders>
            <w:hideMark/>
          </w:tcPr>
          <w:p w14:paraId="35141212"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5.1.3.1. Израда студија за идентификацију (мапирање) пољопривредних површина под ризиком од загађења земљишта и подземних вода прекомерном употребом средстава за исхрану биља и средстава за заштиту биља, подручја под ризиком од ерозије, смањења органске материје, заслањивања, клизишта и набијања земљишта </w:t>
            </w:r>
          </w:p>
        </w:tc>
        <w:tc>
          <w:tcPr>
            <w:tcW w:w="1215" w:type="dxa"/>
            <w:vMerge w:val="restart"/>
            <w:tcBorders>
              <w:top w:val="nil"/>
              <w:left w:val="single" w:sz="8" w:space="0" w:color="auto"/>
              <w:bottom w:val="single" w:sz="8" w:space="0" w:color="000000"/>
              <w:right w:val="single" w:sz="8" w:space="0" w:color="auto"/>
            </w:tcBorders>
            <w:hideMark/>
          </w:tcPr>
          <w:p w14:paraId="5E060884"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49" w:type="dxa"/>
            <w:vMerge w:val="restart"/>
            <w:tcBorders>
              <w:top w:val="nil"/>
              <w:left w:val="single" w:sz="8" w:space="0" w:color="auto"/>
              <w:bottom w:val="single" w:sz="8" w:space="0" w:color="000000"/>
              <w:right w:val="single" w:sz="8" w:space="0" w:color="auto"/>
            </w:tcBorders>
            <w:hideMark/>
          </w:tcPr>
          <w:p w14:paraId="288190D6"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МПШВ, НИО</w:t>
            </w:r>
          </w:p>
        </w:tc>
        <w:tc>
          <w:tcPr>
            <w:tcW w:w="1182" w:type="dxa"/>
            <w:vMerge w:val="restart"/>
            <w:tcBorders>
              <w:top w:val="nil"/>
              <w:left w:val="single" w:sz="8" w:space="0" w:color="auto"/>
              <w:bottom w:val="single" w:sz="8" w:space="0" w:color="000000"/>
              <w:right w:val="single" w:sz="8" w:space="0" w:color="auto"/>
            </w:tcBorders>
            <w:hideMark/>
          </w:tcPr>
          <w:p w14:paraId="0D9E3644" w14:textId="074279C7" w:rsidR="00EF0900" w:rsidRPr="00EF2F18" w:rsidRDefault="0063096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00EF0900" w:rsidRPr="00EF2F18">
              <w:rPr>
                <w:rFonts w:eastAsia="Times New Roman" w:cs="Times New Roman"/>
                <w:color w:val="000000"/>
                <w:sz w:val="20"/>
                <w:szCs w:val="20"/>
                <w:lang w:val="sr-Cyrl-RS" w:eastAsia="en-GB"/>
              </w:rPr>
              <w:t>. квартал 2026.</w:t>
            </w:r>
          </w:p>
        </w:tc>
        <w:tc>
          <w:tcPr>
            <w:tcW w:w="1785" w:type="dxa"/>
            <w:vMerge w:val="restart"/>
            <w:tcBorders>
              <w:top w:val="nil"/>
              <w:left w:val="single" w:sz="8" w:space="0" w:color="auto"/>
              <w:bottom w:val="single" w:sz="8" w:space="0" w:color="000000"/>
              <w:right w:val="single" w:sz="8" w:space="0" w:color="auto"/>
            </w:tcBorders>
            <w:hideMark/>
          </w:tcPr>
          <w:p w14:paraId="09947DFD" w14:textId="318A3CF4" w:rsidR="00EF0900" w:rsidRPr="00EF2F18" w:rsidRDefault="0063096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Донаторска средства </w:t>
            </w:r>
            <w:r w:rsidR="00EF0900" w:rsidRPr="00EF2F18">
              <w:rPr>
                <w:rFonts w:eastAsia="Times New Roman" w:cs="Times New Roman"/>
                <w:color w:val="000000"/>
                <w:sz w:val="20"/>
                <w:szCs w:val="20"/>
                <w:lang w:val="sr-Cyrl-RS" w:eastAsia="en-GB"/>
              </w:rPr>
              <w:t>*</w:t>
            </w:r>
          </w:p>
        </w:tc>
        <w:tc>
          <w:tcPr>
            <w:tcW w:w="1716" w:type="dxa"/>
            <w:vMerge w:val="restart"/>
            <w:tcBorders>
              <w:top w:val="nil"/>
              <w:left w:val="single" w:sz="8" w:space="0" w:color="auto"/>
              <w:bottom w:val="single" w:sz="8" w:space="0" w:color="000000"/>
              <w:right w:val="single" w:sz="8" w:space="0" w:color="auto"/>
            </w:tcBorders>
            <w:hideMark/>
          </w:tcPr>
          <w:p w14:paraId="20B1F7A1" w14:textId="15CF93B5" w:rsidR="00EF0900" w:rsidRPr="00EF2F18" w:rsidRDefault="00EF0900" w:rsidP="00752CA0">
            <w:pPr>
              <w:spacing w:after="0"/>
              <w:rPr>
                <w:rFonts w:eastAsia="Times New Roman" w:cs="Times New Roman"/>
                <w:color w:val="000000"/>
                <w:sz w:val="18"/>
                <w:szCs w:val="18"/>
                <w:lang w:val="sr-Cyrl-RS" w:eastAsia="en-GB"/>
              </w:rPr>
            </w:pPr>
          </w:p>
        </w:tc>
        <w:tc>
          <w:tcPr>
            <w:tcW w:w="1171" w:type="dxa"/>
            <w:vMerge w:val="restart"/>
            <w:tcBorders>
              <w:top w:val="nil"/>
              <w:left w:val="single" w:sz="8" w:space="0" w:color="auto"/>
              <w:bottom w:val="single" w:sz="8" w:space="0" w:color="000000"/>
              <w:right w:val="single" w:sz="8" w:space="0" w:color="auto"/>
            </w:tcBorders>
          </w:tcPr>
          <w:p w14:paraId="47002B25" w14:textId="0F3F8ED8" w:rsidR="00EF0900" w:rsidRPr="00EF2F18" w:rsidRDefault="00EF0900" w:rsidP="00752CA0">
            <w:pPr>
              <w:spacing w:after="0"/>
              <w:jc w:val="right"/>
              <w:rPr>
                <w:rFonts w:eastAsia="Times New Roman" w:cs="Times New Roman"/>
                <w:color w:val="000000"/>
                <w:sz w:val="20"/>
                <w:szCs w:val="20"/>
                <w:lang w:val="sr-Cyrl-RS" w:eastAsia="en-GB"/>
              </w:rPr>
            </w:pPr>
          </w:p>
        </w:tc>
        <w:tc>
          <w:tcPr>
            <w:tcW w:w="1170" w:type="dxa"/>
            <w:vMerge w:val="restart"/>
            <w:tcBorders>
              <w:top w:val="nil"/>
              <w:left w:val="single" w:sz="8" w:space="0" w:color="auto"/>
              <w:bottom w:val="single" w:sz="8" w:space="0" w:color="000000"/>
              <w:right w:val="single" w:sz="8" w:space="0" w:color="auto"/>
            </w:tcBorders>
          </w:tcPr>
          <w:p w14:paraId="6C83FB96" w14:textId="02F1BF2B" w:rsidR="00EF0900" w:rsidRPr="00EF2F18" w:rsidRDefault="00EF0900" w:rsidP="00752CA0">
            <w:pPr>
              <w:spacing w:after="0"/>
              <w:jc w:val="right"/>
              <w:rPr>
                <w:rFonts w:eastAsia="Times New Roman" w:cs="Times New Roman"/>
                <w:color w:val="000000"/>
                <w:sz w:val="20"/>
                <w:szCs w:val="20"/>
                <w:lang w:val="sr-Cyrl-RS" w:eastAsia="en-GB"/>
              </w:rPr>
            </w:pPr>
          </w:p>
        </w:tc>
        <w:tc>
          <w:tcPr>
            <w:tcW w:w="1351" w:type="dxa"/>
            <w:vMerge w:val="restart"/>
            <w:tcBorders>
              <w:top w:val="nil"/>
              <w:left w:val="single" w:sz="8" w:space="0" w:color="auto"/>
              <w:bottom w:val="single" w:sz="8" w:space="0" w:color="000000"/>
              <w:right w:val="double" w:sz="6" w:space="0" w:color="auto"/>
            </w:tcBorders>
          </w:tcPr>
          <w:p w14:paraId="1E579ED5" w14:textId="54956933"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7360A880" w14:textId="77777777" w:rsidTr="00EF0900">
        <w:trPr>
          <w:trHeight w:val="458"/>
        </w:trPr>
        <w:tc>
          <w:tcPr>
            <w:tcW w:w="2719" w:type="dxa"/>
            <w:vMerge/>
            <w:tcBorders>
              <w:top w:val="nil"/>
              <w:left w:val="double" w:sz="6" w:space="0" w:color="auto"/>
              <w:bottom w:val="single" w:sz="8" w:space="0" w:color="000000"/>
              <w:right w:val="single" w:sz="8" w:space="0" w:color="auto"/>
            </w:tcBorders>
            <w:vAlign w:val="center"/>
            <w:hideMark/>
          </w:tcPr>
          <w:p w14:paraId="00E2F93B" w14:textId="77777777" w:rsidR="00EF0900" w:rsidRPr="00EF2F18" w:rsidRDefault="00EF0900" w:rsidP="00752CA0">
            <w:pPr>
              <w:spacing w:after="0"/>
              <w:rPr>
                <w:rFonts w:eastAsia="Times New Roman" w:cs="Times New Roman"/>
                <w:color w:val="000000"/>
                <w:sz w:val="20"/>
                <w:szCs w:val="20"/>
                <w:lang w:val="sr-Cyrl-RS" w:eastAsia="en-GB"/>
              </w:rPr>
            </w:pPr>
          </w:p>
        </w:tc>
        <w:tc>
          <w:tcPr>
            <w:tcW w:w="1215" w:type="dxa"/>
            <w:vMerge/>
            <w:tcBorders>
              <w:top w:val="nil"/>
              <w:left w:val="single" w:sz="8" w:space="0" w:color="auto"/>
              <w:bottom w:val="single" w:sz="8" w:space="0" w:color="000000"/>
              <w:right w:val="single" w:sz="8" w:space="0" w:color="auto"/>
            </w:tcBorders>
            <w:vAlign w:val="center"/>
            <w:hideMark/>
          </w:tcPr>
          <w:p w14:paraId="1E800276" w14:textId="77777777" w:rsidR="00EF0900" w:rsidRPr="00EF2F18" w:rsidRDefault="00EF0900" w:rsidP="00752CA0">
            <w:pPr>
              <w:spacing w:after="0"/>
              <w:rPr>
                <w:rFonts w:eastAsia="Times New Roman" w:cs="Times New Roman"/>
                <w:color w:val="000000"/>
                <w:sz w:val="20"/>
                <w:szCs w:val="20"/>
                <w:lang w:val="sr-Cyrl-RS" w:eastAsia="en-GB"/>
              </w:rPr>
            </w:pPr>
          </w:p>
        </w:tc>
        <w:tc>
          <w:tcPr>
            <w:tcW w:w="1349" w:type="dxa"/>
            <w:vMerge/>
            <w:tcBorders>
              <w:top w:val="nil"/>
              <w:left w:val="single" w:sz="8" w:space="0" w:color="auto"/>
              <w:bottom w:val="single" w:sz="8" w:space="0" w:color="000000"/>
              <w:right w:val="single" w:sz="8" w:space="0" w:color="auto"/>
            </w:tcBorders>
            <w:vAlign w:val="center"/>
            <w:hideMark/>
          </w:tcPr>
          <w:p w14:paraId="2FEB1AEC" w14:textId="77777777" w:rsidR="00EF0900" w:rsidRPr="00EF2F18" w:rsidRDefault="00EF0900"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single" w:sz="8" w:space="0" w:color="000000"/>
              <w:right w:val="single" w:sz="8" w:space="0" w:color="auto"/>
            </w:tcBorders>
            <w:vAlign w:val="center"/>
            <w:hideMark/>
          </w:tcPr>
          <w:p w14:paraId="69749B99" w14:textId="77777777" w:rsidR="00EF0900" w:rsidRPr="00EF2F18" w:rsidRDefault="00EF0900" w:rsidP="00752CA0">
            <w:pPr>
              <w:spacing w:after="0"/>
              <w:rPr>
                <w:rFonts w:eastAsia="Times New Roman" w:cs="Times New Roman"/>
                <w:color w:val="000000"/>
                <w:sz w:val="20"/>
                <w:szCs w:val="20"/>
                <w:lang w:val="sr-Cyrl-RS" w:eastAsia="en-GB"/>
              </w:rPr>
            </w:pPr>
          </w:p>
        </w:tc>
        <w:tc>
          <w:tcPr>
            <w:tcW w:w="1785" w:type="dxa"/>
            <w:vMerge/>
            <w:tcBorders>
              <w:top w:val="nil"/>
              <w:left w:val="single" w:sz="8" w:space="0" w:color="auto"/>
              <w:bottom w:val="single" w:sz="8" w:space="0" w:color="000000"/>
              <w:right w:val="single" w:sz="8" w:space="0" w:color="auto"/>
            </w:tcBorders>
            <w:vAlign w:val="center"/>
            <w:hideMark/>
          </w:tcPr>
          <w:p w14:paraId="39822632" w14:textId="77777777" w:rsidR="00EF0900" w:rsidRPr="00EF2F18" w:rsidRDefault="00EF0900" w:rsidP="00752CA0">
            <w:pPr>
              <w:spacing w:after="0"/>
              <w:rPr>
                <w:rFonts w:eastAsia="Times New Roman" w:cs="Times New Roman"/>
                <w:color w:val="000000"/>
                <w:sz w:val="20"/>
                <w:szCs w:val="20"/>
                <w:lang w:val="sr-Cyrl-RS" w:eastAsia="en-GB"/>
              </w:rPr>
            </w:pPr>
          </w:p>
        </w:tc>
        <w:tc>
          <w:tcPr>
            <w:tcW w:w="1716" w:type="dxa"/>
            <w:vMerge/>
            <w:tcBorders>
              <w:top w:val="nil"/>
              <w:left w:val="single" w:sz="8" w:space="0" w:color="auto"/>
              <w:bottom w:val="single" w:sz="8" w:space="0" w:color="000000"/>
              <w:right w:val="single" w:sz="8" w:space="0" w:color="auto"/>
            </w:tcBorders>
            <w:vAlign w:val="center"/>
            <w:hideMark/>
          </w:tcPr>
          <w:p w14:paraId="510013A5" w14:textId="77777777" w:rsidR="00EF0900" w:rsidRPr="00EF2F18" w:rsidRDefault="00EF0900" w:rsidP="00752CA0">
            <w:pPr>
              <w:spacing w:after="0"/>
              <w:rPr>
                <w:rFonts w:eastAsia="Times New Roman" w:cs="Times New Roman"/>
                <w:color w:val="000000"/>
                <w:sz w:val="18"/>
                <w:szCs w:val="18"/>
                <w:lang w:val="sr-Cyrl-RS" w:eastAsia="en-GB"/>
              </w:rPr>
            </w:pPr>
          </w:p>
        </w:tc>
        <w:tc>
          <w:tcPr>
            <w:tcW w:w="1171" w:type="dxa"/>
            <w:vMerge/>
            <w:tcBorders>
              <w:top w:val="nil"/>
              <w:left w:val="single" w:sz="8" w:space="0" w:color="auto"/>
              <w:bottom w:val="single" w:sz="8" w:space="0" w:color="000000"/>
              <w:right w:val="single" w:sz="8" w:space="0" w:color="auto"/>
            </w:tcBorders>
            <w:vAlign w:val="center"/>
          </w:tcPr>
          <w:p w14:paraId="615CC972" w14:textId="77777777" w:rsidR="00EF0900" w:rsidRPr="00EF2F18" w:rsidRDefault="00EF0900" w:rsidP="00752CA0">
            <w:pPr>
              <w:spacing w:after="0"/>
              <w:jc w:val="right"/>
              <w:rPr>
                <w:rFonts w:eastAsia="Times New Roman" w:cs="Times New Roman"/>
                <w:color w:val="000000"/>
                <w:sz w:val="20"/>
                <w:szCs w:val="20"/>
                <w:lang w:val="sr-Cyrl-RS" w:eastAsia="en-GB"/>
              </w:rPr>
            </w:pPr>
          </w:p>
        </w:tc>
        <w:tc>
          <w:tcPr>
            <w:tcW w:w="1170" w:type="dxa"/>
            <w:vMerge/>
            <w:tcBorders>
              <w:top w:val="nil"/>
              <w:left w:val="single" w:sz="8" w:space="0" w:color="auto"/>
              <w:bottom w:val="single" w:sz="8" w:space="0" w:color="000000"/>
              <w:right w:val="single" w:sz="8" w:space="0" w:color="auto"/>
            </w:tcBorders>
            <w:vAlign w:val="center"/>
          </w:tcPr>
          <w:p w14:paraId="3FA8FFF1" w14:textId="77777777" w:rsidR="00EF0900" w:rsidRPr="00EF2F18" w:rsidRDefault="00EF0900" w:rsidP="00752CA0">
            <w:pPr>
              <w:spacing w:after="0"/>
              <w:jc w:val="right"/>
              <w:rPr>
                <w:rFonts w:eastAsia="Times New Roman" w:cs="Times New Roman"/>
                <w:color w:val="000000"/>
                <w:sz w:val="20"/>
                <w:szCs w:val="20"/>
                <w:lang w:val="sr-Cyrl-RS" w:eastAsia="en-GB"/>
              </w:rPr>
            </w:pPr>
          </w:p>
        </w:tc>
        <w:tc>
          <w:tcPr>
            <w:tcW w:w="1351" w:type="dxa"/>
            <w:vMerge/>
            <w:tcBorders>
              <w:top w:val="nil"/>
              <w:left w:val="single" w:sz="8" w:space="0" w:color="auto"/>
              <w:bottom w:val="single" w:sz="8" w:space="0" w:color="000000"/>
              <w:right w:val="double" w:sz="6" w:space="0" w:color="auto"/>
            </w:tcBorders>
            <w:vAlign w:val="center"/>
          </w:tcPr>
          <w:p w14:paraId="516F9F1C" w14:textId="77777777"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3046C661" w14:textId="77777777" w:rsidTr="00CC4491">
        <w:trPr>
          <w:trHeight w:val="1332"/>
        </w:trPr>
        <w:tc>
          <w:tcPr>
            <w:tcW w:w="2719" w:type="dxa"/>
            <w:tcBorders>
              <w:top w:val="single" w:sz="4" w:space="0" w:color="auto"/>
              <w:left w:val="double" w:sz="6" w:space="0" w:color="auto"/>
              <w:bottom w:val="single" w:sz="8" w:space="0" w:color="auto"/>
              <w:right w:val="single" w:sz="8" w:space="0" w:color="auto"/>
            </w:tcBorders>
            <w:hideMark/>
          </w:tcPr>
          <w:p w14:paraId="5369D7D8" w14:textId="2953B909"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5.1.3.2. Мапирање подручја високе природне вредности за пољопривреду (HNVF) и усвајање Уредбе о разграничењу подручја високе природне вредности</w:t>
            </w:r>
          </w:p>
        </w:tc>
        <w:tc>
          <w:tcPr>
            <w:tcW w:w="1215" w:type="dxa"/>
            <w:tcBorders>
              <w:top w:val="single" w:sz="4" w:space="0" w:color="auto"/>
              <w:left w:val="nil"/>
              <w:bottom w:val="single" w:sz="8" w:space="0" w:color="auto"/>
              <w:right w:val="single" w:sz="8" w:space="0" w:color="auto"/>
            </w:tcBorders>
            <w:hideMark/>
          </w:tcPr>
          <w:p w14:paraId="1E8A48D2"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49" w:type="dxa"/>
            <w:tcBorders>
              <w:top w:val="single" w:sz="4" w:space="0" w:color="auto"/>
              <w:left w:val="nil"/>
              <w:bottom w:val="single" w:sz="8" w:space="0" w:color="auto"/>
              <w:right w:val="single" w:sz="8" w:space="0" w:color="auto"/>
            </w:tcBorders>
            <w:hideMark/>
          </w:tcPr>
          <w:p w14:paraId="3A18617A"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НИО</w:t>
            </w:r>
          </w:p>
        </w:tc>
        <w:tc>
          <w:tcPr>
            <w:tcW w:w="1182" w:type="dxa"/>
            <w:tcBorders>
              <w:top w:val="single" w:sz="4" w:space="0" w:color="auto"/>
              <w:left w:val="nil"/>
              <w:bottom w:val="single" w:sz="8" w:space="0" w:color="auto"/>
              <w:right w:val="single" w:sz="8" w:space="0" w:color="auto"/>
            </w:tcBorders>
            <w:hideMark/>
          </w:tcPr>
          <w:p w14:paraId="54606035"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785" w:type="dxa"/>
            <w:tcBorders>
              <w:top w:val="single" w:sz="4" w:space="0" w:color="auto"/>
              <w:left w:val="nil"/>
              <w:bottom w:val="single" w:sz="8" w:space="0" w:color="auto"/>
              <w:right w:val="single" w:sz="8" w:space="0" w:color="auto"/>
            </w:tcBorders>
            <w:hideMark/>
          </w:tcPr>
          <w:p w14:paraId="1057B7C2" w14:textId="778EB1F3"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716" w:type="dxa"/>
            <w:tcBorders>
              <w:top w:val="single" w:sz="4" w:space="0" w:color="auto"/>
              <w:left w:val="nil"/>
              <w:bottom w:val="single" w:sz="8" w:space="0" w:color="auto"/>
              <w:right w:val="single" w:sz="8" w:space="0" w:color="auto"/>
            </w:tcBorders>
            <w:hideMark/>
          </w:tcPr>
          <w:p w14:paraId="1031538A"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71" w:type="dxa"/>
            <w:tcBorders>
              <w:top w:val="single" w:sz="4" w:space="0" w:color="auto"/>
              <w:left w:val="nil"/>
              <w:bottom w:val="single" w:sz="8" w:space="0" w:color="auto"/>
              <w:right w:val="single" w:sz="8" w:space="0" w:color="auto"/>
            </w:tcBorders>
          </w:tcPr>
          <w:p w14:paraId="77B74555" w14:textId="2EA950EC" w:rsidR="00EF0900" w:rsidRPr="00EF2F18" w:rsidRDefault="00EF0900" w:rsidP="00752CA0">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4CEBD2A7" w14:textId="0E31FC50" w:rsidR="00EF0900" w:rsidRPr="00EF2F18" w:rsidRDefault="00EF0900" w:rsidP="00752CA0">
            <w:pPr>
              <w:spacing w:after="0"/>
              <w:jc w:val="right"/>
              <w:rPr>
                <w:rFonts w:eastAsia="Times New Roman" w:cs="Times New Roman"/>
                <w:color w:val="000000"/>
                <w:sz w:val="20"/>
                <w:szCs w:val="20"/>
                <w:lang w:val="sr-Cyrl-RS" w:eastAsia="en-GB"/>
              </w:rPr>
            </w:pPr>
          </w:p>
        </w:tc>
        <w:tc>
          <w:tcPr>
            <w:tcW w:w="1351" w:type="dxa"/>
            <w:tcBorders>
              <w:top w:val="single" w:sz="4" w:space="0" w:color="auto"/>
              <w:left w:val="nil"/>
              <w:bottom w:val="single" w:sz="8" w:space="0" w:color="auto"/>
              <w:right w:val="double" w:sz="6" w:space="0" w:color="auto"/>
            </w:tcBorders>
          </w:tcPr>
          <w:p w14:paraId="0DFD256A" w14:textId="4A2F2883"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2B0DBDD7" w14:textId="77777777" w:rsidTr="00EF0900">
        <w:trPr>
          <w:trHeight w:val="1596"/>
        </w:trPr>
        <w:tc>
          <w:tcPr>
            <w:tcW w:w="2719" w:type="dxa"/>
            <w:tcBorders>
              <w:top w:val="nil"/>
              <w:left w:val="double" w:sz="6" w:space="0" w:color="auto"/>
              <w:bottom w:val="single" w:sz="8" w:space="0" w:color="auto"/>
              <w:right w:val="single" w:sz="8" w:space="0" w:color="auto"/>
            </w:tcBorders>
            <w:hideMark/>
          </w:tcPr>
          <w:p w14:paraId="2635525A" w14:textId="405B660D"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5.1.3.3. Израда студија о попису биљних врста, карактеризацији, идентификација типова станишта, процена степена угрожености врста, станишта и животних заједница</w:t>
            </w:r>
          </w:p>
        </w:tc>
        <w:tc>
          <w:tcPr>
            <w:tcW w:w="1215" w:type="dxa"/>
            <w:tcBorders>
              <w:top w:val="nil"/>
              <w:left w:val="nil"/>
              <w:bottom w:val="single" w:sz="8" w:space="0" w:color="auto"/>
              <w:right w:val="single" w:sz="8" w:space="0" w:color="auto"/>
            </w:tcBorders>
            <w:hideMark/>
          </w:tcPr>
          <w:p w14:paraId="66A51BBD"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49" w:type="dxa"/>
            <w:tcBorders>
              <w:top w:val="nil"/>
              <w:left w:val="nil"/>
              <w:bottom w:val="single" w:sz="8" w:space="0" w:color="auto"/>
              <w:right w:val="single" w:sz="8" w:space="0" w:color="auto"/>
            </w:tcBorders>
            <w:hideMark/>
          </w:tcPr>
          <w:p w14:paraId="672601B7"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НИО</w:t>
            </w:r>
          </w:p>
        </w:tc>
        <w:tc>
          <w:tcPr>
            <w:tcW w:w="1182" w:type="dxa"/>
            <w:tcBorders>
              <w:top w:val="nil"/>
              <w:left w:val="nil"/>
              <w:bottom w:val="single" w:sz="8" w:space="0" w:color="auto"/>
              <w:right w:val="single" w:sz="8" w:space="0" w:color="auto"/>
            </w:tcBorders>
            <w:hideMark/>
          </w:tcPr>
          <w:p w14:paraId="381CC470" w14:textId="4D7850B6" w:rsidR="00EF0900" w:rsidRPr="00EF2F18" w:rsidRDefault="0063096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00EF0900" w:rsidRPr="00EF2F18">
              <w:rPr>
                <w:rFonts w:eastAsia="Times New Roman" w:cs="Times New Roman"/>
                <w:color w:val="000000"/>
                <w:sz w:val="20"/>
                <w:szCs w:val="20"/>
                <w:lang w:val="sr-Cyrl-RS" w:eastAsia="en-GB"/>
              </w:rPr>
              <w:t xml:space="preserve"> квартал 2026.</w:t>
            </w:r>
          </w:p>
        </w:tc>
        <w:tc>
          <w:tcPr>
            <w:tcW w:w="1785" w:type="dxa"/>
            <w:tcBorders>
              <w:top w:val="nil"/>
              <w:left w:val="nil"/>
              <w:bottom w:val="single" w:sz="8" w:space="0" w:color="auto"/>
              <w:right w:val="single" w:sz="8" w:space="0" w:color="auto"/>
            </w:tcBorders>
            <w:hideMark/>
          </w:tcPr>
          <w:p w14:paraId="42A8D94D" w14:textId="384DC079"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716" w:type="dxa"/>
            <w:tcBorders>
              <w:top w:val="nil"/>
              <w:left w:val="nil"/>
              <w:bottom w:val="single" w:sz="8" w:space="0" w:color="auto"/>
              <w:right w:val="single" w:sz="8" w:space="0" w:color="auto"/>
            </w:tcBorders>
            <w:hideMark/>
          </w:tcPr>
          <w:p w14:paraId="62A525EE"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71" w:type="dxa"/>
            <w:tcBorders>
              <w:top w:val="nil"/>
              <w:left w:val="nil"/>
              <w:bottom w:val="single" w:sz="8" w:space="0" w:color="auto"/>
              <w:right w:val="single" w:sz="8" w:space="0" w:color="auto"/>
            </w:tcBorders>
          </w:tcPr>
          <w:p w14:paraId="2A5F7BBE" w14:textId="20FF15BB" w:rsidR="00EF0900" w:rsidRPr="00EF2F18" w:rsidRDefault="00EF0900"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2C1AE4A4" w14:textId="559A7172" w:rsidR="00EF0900" w:rsidRPr="00EF2F18" w:rsidRDefault="00EF0900" w:rsidP="00752CA0">
            <w:pPr>
              <w:spacing w:after="0"/>
              <w:jc w:val="right"/>
              <w:rPr>
                <w:rFonts w:eastAsia="Times New Roman" w:cs="Times New Roman"/>
                <w:color w:val="000000"/>
                <w:sz w:val="20"/>
                <w:szCs w:val="20"/>
                <w:lang w:val="sr-Cyrl-RS" w:eastAsia="en-GB"/>
              </w:rPr>
            </w:pPr>
          </w:p>
        </w:tc>
        <w:tc>
          <w:tcPr>
            <w:tcW w:w="1351" w:type="dxa"/>
            <w:tcBorders>
              <w:top w:val="nil"/>
              <w:left w:val="nil"/>
              <w:bottom w:val="single" w:sz="8" w:space="0" w:color="auto"/>
              <w:right w:val="double" w:sz="6" w:space="0" w:color="auto"/>
            </w:tcBorders>
          </w:tcPr>
          <w:p w14:paraId="1EC23F65" w14:textId="722D797C"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0A436A2B" w14:textId="77777777" w:rsidTr="00EF0900">
        <w:trPr>
          <w:trHeight w:val="1068"/>
        </w:trPr>
        <w:tc>
          <w:tcPr>
            <w:tcW w:w="2719" w:type="dxa"/>
            <w:tcBorders>
              <w:top w:val="nil"/>
              <w:left w:val="double" w:sz="6" w:space="0" w:color="auto"/>
              <w:bottom w:val="single" w:sz="8" w:space="0" w:color="auto"/>
              <w:right w:val="single" w:sz="8" w:space="0" w:color="auto"/>
            </w:tcBorders>
            <w:hideMark/>
          </w:tcPr>
          <w:p w14:paraId="4938A537" w14:textId="0A3F3D04"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5.1.3.4. Унапређење информационих система за праћење тренда популација биљних и животињских генетичких ресурса</w:t>
            </w:r>
          </w:p>
        </w:tc>
        <w:tc>
          <w:tcPr>
            <w:tcW w:w="1215" w:type="dxa"/>
            <w:tcBorders>
              <w:top w:val="nil"/>
              <w:left w:val="nil"/>
              <w:bottom w:val="single" w:sz="8" w:space="0" w:color="auto"/>
              <w:right w:val="single" w:sz="8" w:space="0" w:color="auto"/>
            </w:tcBorders>
            <w:hideMark/>
          </w:tcPr>
          <w:p w14:paraId="1D270D18"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49" w:type="dxa"/>
            <w:tcBorders>
              <w:top w:val="nil"/>
              <w:left w:val="nil"/>
              <w:bottom w:val="single" w:sz="8" w:space="0" w:color="auto"/>
              <w:right w:val="single" w:sz="8" w:space="0" w:color="auto"/>
            </w:tcBorders>
            <w:hideMark/>
          </w:tcPr>
          <w:p w14:paraId="7E2E0A96"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НИО</w:t>
            </w:r>
          </w:p>
        </w:tc>
        <w:tc>
          <w:tcPr>
            <w:tcW w:w="1182" w:type="dxa"/>
            <w:tcBorders>
              <w:top w:val="nil"/>
              <w:left w:val="nil"/>
              <w:bottom w:val="single" w:sz="8" w:space="0" w:color="auto"/>
              <w:right w:val="single" w:sz="8" w:space="0" w:color="auto"/>
            </w:tcBorders>
            <w:hideMark/>
          </w:tcPr>
          <w:p w14:paraId="47591786"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785" w:type="dxa"/>
            <w:tcBorders>
              <w:top w:val="nil"/>
              <w:left w:val="nil"/>
              <w:bottom w:val="single" w:sz="8" w:space="0" w:color="auto"/>
              <w:right w:val="single" w:sz="8" w:space="0" w:color="auto"/>
            </w:tcBorders>
          </w:tcPr>
          <w:p w14:paraId="3FE85369" w14:textId="19DDABEA"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716" w:type="dxa"/>
            <w:tcBorders>
              <w:top w:val="nil"/>
              <w:left w:val="nil"/>
              <w:bottom w:val="single" w:sz="8" w:space="0" w:color="auto"/>
              <w:right w:val="single" w:sz="8" w:space="0" w:color="auto"/>
            </w:tcBorders>
          </w:tcPr>
          <w:p w14:paraId="4ED4B3EB" w14:textId="166436BD" w:rsidR="00EF0900" w:rsidRPr="00EF2F18" w:rsidRDefault="00EF0900" w:rsidP="008F18E3">
            <w:pPr>
              <w:spacing w:after="0"/>
              <w:rPr>
                <w:rFonts w:eastAsia="Times New Roman" w:cs="Times New Roman"/>
                <w:color w:val="000000"/>
                <w:sz w:val="18"/>
                <w:szCs w:val="18"/>
                <w:lang w:val="sr-Cyrl-RS" w:eastAsia="en-GB"/>
              </w:rPr>
            </w:pPr>
          </w:p>
        </w:tc>
        <w:tc>
          <w:tcPr>
            <w:tcW w:w="1171" w:type="dxa"/>
            <w:tcBorders>
              <w:top w:val="nil"/>
              <w:left w:val="nil"/>
              <w:bottom w:val="single" w:sz="8" w:space="0" w:color="auto"/>
              <w:right w:val="single" w:sz="8" w:space="0" w:color="auto"/>
            </w:tcBorders>
          </w:tcPr>
          <w:p w14:paraId="171EEDF7" w14:textId="363F502B" w:rsidR="00EF0900" w:rsidRPr="00EF2F18" w:rsidRDefault="00EF0900" w:rsidP="008F18E3">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189BE3FD" w14:textId="072875E4" w:rsidR="00EF0900" w:rsidRPr="00EF2F18" w:rsidRDefault="00EF0900" w:rsidP="008F18E3">
            <w:pPr>
              <w:spacing w:after="0"/>
              <w:jc w:val="right"/>
              <w:rPr>
                <w:rFonts w:eastAsia="Times New Roman" w:cs="Times New Roman"/>
                <w:color w:val="000000"/>
                <w:sz w:val="20"/>
                <w:szCs w:val="20"/>
                <w:lang w:val="sr-Cyrl-RS" w:eastAsia="en-GB"/>
              </w:rPr>
            </w:pPr>
          </w:p>
        </w:tc>
        <w:tc>
          <w:tcPr>
            <w:tcW w:w="1351" w:type="dxa"/>
            <w:tcBorders>
              <w:top w:val="nil"/>
              <w:left w:val="nil"/>
              <w:bottom w:val="single" w:sz="8" w:space="0" w:color="auto"/>
              <w:right w:val="double" w:sz="6" w:space="0" w:color="auto"/>
            </w:tcBorders>
          </w:tcPr>
          <w:p w14:paraId="2F8630C9" w14:textId="6D483BBB" w:rsidR="00EF0900" w:rsidRPr="00EF2F18" w:rsidRDefault="00EF0900" w:rsidP="008F18E3">
            <w:pPr>
              <w:spacing w:after="0"/>
              <w:jc w:val="right"/>
              <w:rPr>
                <w:rFonts w:eastAsia="Times New Roman" w:cs="Times New Roman"/>
                <w:color w:val="000000"/>
                <w:sz w:val="20"/>
                <w:szCs w:val="20"/>
                <w:lang w:val="sr-Cyrl-RS" w:eastAsia="en-GB"/>
              </w:rPr>
            </w:pPr>
          </w:p>
        </w:tc>
      </w:tr>
      <w:tr w:rsidR="00EF0900" w:rsidRPr="00EF2F18" w14:paraId="2F0669A1" w14:textId="77777777" w:rsidTr="00EF0900">
        <w:trPr>
          <w:trHeight w:val="1195"/>
        </w:trPr>
        <w:tc>
          <w:tcPr>
            <w:tcW w:w="2719" w:type="dxa"/>
            <w:tcBorders>
              <w:top w:val="nil"/>
              <w:left w:val="double" w:sz="6" w:space="0" w:color="auto"/>
              <w:bottom w:val="single" w:sz="8" w:space="0" w:color="auto"/>
              <w:right w:val="single" w:sz="8" w:space="0" w:color="auto"/>
            </w:tcBorders>
            <w:hideMark/>
          </w:tcPr>
          <w:p w14:paraId="574CB662" w14:textId="25D4EA75"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5.1.3.5. Креирање система прикупљања података о потрошњи средстава за заштиту биља и средстава за исхрану биља </w:t>
            </w:r>
          </w:p>
        </w:tc>
        <w:tc>
          <w:tcPr>
            <w:tcW w:w="1215" w:type="dxa"/>
            <w:tcBorders>
              <w:top w:val="nil"/>
              <w:left w:val="nil"/>
              <w:bottom w:val="single" w:sz="8" w:space="0" w:color="auto"/>
              <w:right w:val="single" w:sz="8" w:space="0" w:color="auto"/>
            </w:tcBorders>
            <w:hideMark/>
          </w:tcPr>
          <w:p w14:paraId="34FDA15F"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49" w:type="dxa"/>
            <w:tcBorders>
              <w:top w:val="nil"/>
              <w:left w:val="nil"/>
              <w:bottom w:val="single" w:sz="8" w:space="0" w:color="auto"/>
              <w:right w:val="single" w:sz="8" w:space="0" w:color="auto"/>
            </w:tcBorders>
            <w:hideMark/>
          </w:tcPr>
          <w:p w14:paraId="01249634"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НИО</w:t>
            </w:r>
          </w:p>
        </w:tc>
        <w:tc>
          <w:tcPr>
            <w:tcW w:w="1182" w:type="dxa"/>
            <w:tcBorders>
              <w:top w:val="nil"/>
              <w:left w:val="nil"/>
              <w:bottom w:val="single" w:sz="8" w:space="0" w:color="auto"/>
              <w:right w:val="single" w:sz="8" w:space="0" w:color="auto"/>
            </w:tcBorders>
            <w:hideMark/>
          </w:tcPr>
          <w:p w14:paraId="73A2F073"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785" w:type="dxa"/>
            <w:tcBorders>
              <w:top w:val="nil"/>
              <w:left w:val="nil"/>
              <w:bottom w:val="single" w:sz="8" w:space="0" w:color="auto"/>
              <w:right w:val="single" w:sz="8" w:space="0" w:color="auto"/>
            </w:tcBorders>
            <w:hideMark/>
          </w:tcPr>
          <w:p w14:paraId="4CEF6862"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716" w:type="dxa"/>
            <w:tcBorders>
              <w:top w:val="nil"/>
              <w:left w:val="nil"/>
              <w:bottom w:val="single" w:sz="8" w:space="0" w:color="auto"/>
              <w:right w:val="single" w:sz="8" w:space="0" w:color="auto"/>
            </w:tcBorders>
            <w:hideMark/>
          </w:tcPr>
          <w:p w14:paraId="17845FAE" w14:textId="218538B3" w:rsidR="00EF0900" w:rsidRPr="00EF2F18" w:rsidRDefault="00EF0900" w:rsidP="008F18E3">
            <w:pPr>
              <w:spacing w:after="0"/>
              <w:rPr>
                <w:rFonts w:eastAsia="Times New Roman" w:cs="Times New Roman"/>
                <w:color w:val="000000"/>
                <w:sz w:val="20"/>
                <w:szCs w:val="20"/>
                <w:lang w:val="sr-Cyrl-RS" w:eastAsia="en-GB"/>
              </w:rPr>
            </w:pPr>
          </w:p>
        </w:tc>
        <w:tc>
          <w:tcPr>
            <w:tcW w:w="1171" w:type="dxa"/>
            <w:tcBorders>
              <w:top w:val="nil"/>
              <w:left w:val="nil"/>
              <w:bottom w:val="single" w:sz="8" w:space="0" w:color="auto"/>
              <w:right w:val="single" w:sz="8" w:space="0" w:color="auto"/>
            </w:tcBorders>
          </w:tcPr>
          <w:p w14:paraId="4D6A82D2" w14:textId="01CE56F7" w:rsidR="00EF0900" w:rsidRPr="00EF2F18" w:rsidRDefault="00EF0900" w:rsidP="008F18E3">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0A29A156" w14:textId="7D069D52" w:rsidR="00EF0900" w:rsidRPr="00EF2F18" w:rsidRDefault="00EF0900" w:rsidP="008F18E3">
            <w:pPr>
              <w:spacing w:after="0"/>
              <w:jc w:val="right"/>
              <w:rPr>
                <w:rFonts w:eastAsia="Times New Roman" w:cs="Times New Roman"/>
                <w:color w:val="000000"/>
                <w:sz w:val="20"/>
                <w:szCs w:val="20"/>
                <w:lang w:val="sr-Cyrl-RS" w:eastAsia="en-GB"/>
              </w:rPr>
            </w:pPr>
          </w:p>
        </w:tc>
        <w:tc>
          <w:tcPr>
            <w:tcW w:w="1351" w:type="dxa"/>
            <w:tcBorders>
              <w:top w:val="nil"/>
              <w:left w:val="nil"/>
              <w:bottom w:val="single" w:sz="8" w:space="0" w:color="auto"/>
              <w:right w:val="double" w:sz="6" w:space="0" w:color="auto"/>
            </w:tcBorders>
          </w:tcPr>
          <w:p w14:paraId="7A1F1B0F" w14:textId="265098E7" w:rsidR="00EF0900" w:rsidRPr="00EF2F18" w:rsidRDefault="00EF0900" w:rsidP="008F18E3">
            <w:pPr>
              <w:spacing w:after="0"/>
              <w:jc w:val="right"/>
              <w:rPr>
                <w:rFonts w:eastAsia="Times New Roman" w:cs="Times New Roman"/>
                <w:color w:val="000000"/>
                <w:sz w:val="20"/>
                <w:szCs w:val="20"/>
                <w:lang w:val="sr-Cyrl-RS" w:eastAsia="en-GB"/>
              </w:rPr>
            </w:pPr>
          </w:p>
        </w:tc>
      </w:tr>
      <w:tr w:rsidR="00EF0900" w:rsidRPr="00EF2F18" w14:paraId="6E3EDD55" w14:textId="77777777" w:rsidTr="00EF0900">
        <w:trPr>
          <w:trHeight w:val="1955"/>
        </w:trPr>
        <w:tc>
          <w:tcPr>
            <w:tcW w:w="2719" w:type="dxa"/>
            <w:tcBorders>
              <w:top w:val="nil"/>
              <w:left w:val="double" w:sz="6" w:space="0" w:color="auto"/>
              <w:bottom w:val="single" w:sz="8" w:space="0" w:color="auto"/>
              <w:right w:val="single" w:sz="8" w:space="0" w:color="auto"/>
            </w:tcBorders>
          </w:tcPr>
          <w:p w14:paraId="240F1211" w14:textId="5689DEEC"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5.1.3.6. Креирање и/или ажурирање система прикупљања података о квалитету пољопривредног земљишта и вода за наводњавање кроз контролу максимално дозвољене количине опасних и штетних материја у земљишту и води за наводњавање</w:t>
            </w:r>
          </w:p>
        </w:tc>
        <w:tc>
          <w:tcPr>
            <w:tcW w:w="1215" w:type="dxa"/>
            <w:tcBorders>
              <w:top w:val="nil"/>
              <w:left w:val="nil"/>
              <w:bottom w:val="single" w:sz="8" w:space="0" w:color="auto"/>
              <w:right w:val="single" w:sz="8" w:space="0" w:color="auto"/>
            </w:tcBorders>
          </w:tcPr>
          <w:p w14:paraId="7134E213"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49" w:type="dxa"/>
            <w:tcBorders>
              <w:top w:val="nil"/>
              <w:left w:val="nil"/>
              <w:bottom w:val="single" w:sz="8" w:space="0" w:color="auto"/>
              <w:right w:val="single" w:sz="8" w:space="0" w:color="auto"/>
            </w:tcBorders>
          </w:tcPr>
          <w:p w14:paraId="14D1F32F" w14:textId="77777777" w:rsidR="00EF0900" w:rsidRPr="00EF2F18" w:rsidRDefault="00EF0900" w:rsidP="008F18E3">
            <w:pPr>
              <w:spacing w:after="0"/>
              <w:rPr>
                <w:rFonts w:eastAsia="Times New Roman" w:cs="Times New Roman"/>
                <w:color w:val="000000"/>
                <w:sz w:val="20"/>
                <w:szCs w:val="20"/>
                <w:lang w:val="sr-Cyrl-RS" w:eastAsia="en-GB"/>
              </w:rPr>
            </w:pPr>
          </w:p>
        </w:tc>
        <w:tc>
          <w:tcPr>
            <w:tcW w:w="1182" w:type="dxa"/>
            <w:tcBorders>
              <w:top w:val="nil"/>
              <w:left w:val="nil"/>
              <w:bottom w:val="single" w:sz="8" w:space="0" w:color="auto"/>
              <w:right w:val="single" w:sz="8" w:space="0" w:color="auto"/>
            </w:tcBorders>
          </w:tcPr>
          <w:p w14:paraId="556B045A" w14:textId="6D2B345C"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785" w:type="dxa"/>
            <w:tcBorders>
              <w:top w:val="nil"/>
              <w:left w:val="nil"/>
              <w:bottom w:val="single" w:sz="8" w:space="0" w:color="auto"/>
              <w:right w:val="single" w:sz="8" w:space="0" w:color="auto"/>
            </w:tcBorders>
          </w:tcPr>
          <w:p w14:paraId="0592C5F8"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716" w:type="dxa"/>
            <w:tcBorders>
              <w:top w:val="nil"/>
              <w:left w:val="nil"/>
              <w:bottom w:val="single" w:sz="8" w:space="0" w:color="auto"/>
              <w:right w:val="single" w:sz="8" w:space="0" w:color="auto"/>
            </w:tcBorders>
          </w:tcPr>
          <w:p w14:paraId="6AC16354" w14:textId="77777777" w:rsidR="00EF0900" w:rsidRPr="00EF2F18" w:rsidRDefault="00EF0900" w:rsidP="008F18E3">
            <w:pPr>
              <w:spacing w:after="0"/>
              <w:rPr>
                <w:rFonts w:eastAsia="Times New Roman" w:cs="Times New Roman"/>
                <w:color w:val="000000"/>
                <w:sz w:val="20"/>
                <w:szCs w:val="20"/>
                <w:lang w:val="sr-Cyrl-RS" w:eastAsia="en-GB"/>
              </w:rPr>
            </w:pPr>
          </w:p>
        </w:tc>
        <w:tc>
          <w:tcPr>
            <w:tcW w:w="1171" w:type="dxa"/>
            <w:tcBorders>
              <w:top w:val="nil"/>
              <w:left w:val="nil"/>
              <w:bottom w:val="single" w:sz="8" w:space="0" w:color="auto"/>
              <w:right w:val="single" w:sz="8" w:space="0" w:color="auto"/>
            </w:tcBorders>
          </w:tcPr>
          <w:p w14:paraId="32021BE9" w14:textId="77777777" w:rsidR="00EF0900" w:rsidRPr="00EF2F18" w:rsidRDefault="00EF0900" w:rsidP="008F18E3">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15F5760A" w14:textId="77777777" w:rsidR="00EF0900" w:rsidRPr="00EF2F18" w:rsidRDefault="00EF0900" w:rsidP="008F18E3">
            <w:pPr>
              <w:spacing w:after="0"/>
              <w:jc w:val="right"/>
              <w:rPr>
                <w:rFonts w:eastAsia="Times New Roman" w:cs="Times New Roman"/>
                <w:color w:val="000000"/>
                <w:sz w:val="20"/>
                <w:szCs w:val="20"/>
                <w:lang w:val="sr-Cyrl-RS" w:eastAsia="en-GB"/>
              </w:rPr>
            </w:pPr>
          </w:p>
        </w:tc>
        <w:tc>
          <w:tcPr>
            <w:tcW w:w="1351" w:type="dxa"/>
            <w:tcBorders>
              <w:top w:val="nil"/>
              <w:left w:val="nil"/>
              <w:bottom w:val="single" w:sz="8" w:space="0" w:color="auto"/>
              <w:right w:val="double" w:sz="6" w:space="0" w:color="auto"/>
            </w:tcBorders>
          </w:tcPr>
          <w:p w14:paraId="04BE208C" w14:textId="77777777" w:rsidR="00EF0900" w:rsidRPr="00EF2F18" w:rsidRDefault="00EF0900" w:rsidP="008F18E3">
            <w:pPr>
              <w:spacing w:after="0"/>
              <w:jc w:val="right"/>
              <w:rPr>
                <w:rFonts w:eastAsia="Times New Roman" w:cs="Times New Roman"/>
                <w:color w:val="000000"/>
                <w:sz w:val="20"/>
                <w:szCs w:val="20"/>
                <w:lang w:val="sr-Cyrl-RS" w:eastAsia="en-GB"/>
              </w:rPr>
            </w:pPr>
          </w:p>
        </w:tc>
      </w:tr>
      <w:tr w:rsidR="00EF0900" w:rsidRPr="00EF2F18" w14:paraId="3EEADD9A" w14:textId="77777777" w:rsidTr="00242D28">
        <w:trPr>
          <w:trHeight w:val="540"/>
        </w:trPr>
        <w:tc>
          <w:tcPr>
            <w:tcW w:w="2719" w:type="dxa"/>
            <w:tcBorders>
              <w:top w:val="single" w:sz="4" w:space="0" w:color="auto"/>
              <w:left w:val="double" w:sz="6" w:space="0" w:color="auto"/>
              <w:bottom w:val="double" w:sz="6" w:space="0" w:color="auto"/>
              <w:right w:val="single" w:sz="8" w:space="0" w:color="auto"/>
            </w:tcBorders>
            <w:hideMark/>
          </w:tcPr>
          <w:p w14:paraId="7CBDFAEA" w14:textId="024672F2"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5.1.3.7. Успостављање и одржавање система IACS/LPIS</w:t>
            </w:r>
          </w:p>
        </w:tc>
        <w:tc>
          <w:tcPr>
            <w:tcW w:w="1215" w:type="dxa"/>
            <w:tcBorders>
              <w:top w:val="single" w:sz="4" w:space="0" w:color="auto"/>
              <w:left w:val="nil"/>
              <w:bottom w:val="double" w:sz="6" w:space="0" w:color="auto"/>
              <w:right w:val="single" w:sz="8" w:space="0" w:color="auto"/>
            </w:tcBorders>
            <w:hideMark/>
          </w:tcPr>
          <w:p w14:paraId="1F4FD8B9"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49" w:type="dxa"/>
            <w:tcBorders>
              <w:top w:val="single" w:sz="4" w:space="0" w:color="auto"/>
              <w:left w:val="nil"/>
              <w:bottom w:val="double" w:sz="6" w:space="0" w:color="auto"/>
              <w:right w:val="single" w:sz="8" w:space="0" w:color="auto"/>
            </w:tcBorders>
            <w:hideMark/>
          </w:tcPr>
          <w:p w14:paraId="5539F278"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НИО, РГЗ</w:t>
            </w:r>
          </w:p>
        </w:tc>
        <w:tc>
          <w:tcPr>
            <w:tcW w:w="1182" w:type="dxa"/>
            <w:tcBorders>
              <w:top w:val="single" w:sz="4" w:space="0" w:color="auto"/>
              <w:left w:val="nil"/>
              <w:bottom w:val="double" w:sz="6" w:space="0" w:color="auto"/>
              <w:right w:val="single" w:sz="8" w:space="0" w:color="auto"/>
            </w:tcBorders>
            <w:hideMark/>
          </w:tcPr>
          <w:p w14:paraId="2B17C774" w14:textId="77777777"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 квартал 2027.</w:t>
            </w:r>
          </w:p>
        </w:tc>
        <w:tc>
          <w:tcPr>
            <w:tcW w:w="1785" w:type="dxa"/>
            <w:tcBorders>
              <w:top w:val="single" w:sz="4" w:space="0" w:color="auto"/>
              <w:left w:val="nil"/>
              <w:bottom w:val="double" w:sz="6" w:space="0" w:color="auto"/>
              <w:right w:val="single" w:sz="8" w:space="0" w:color="auto"/>
            </w:tcBorders>
            <w:hideMark/>
          </w:tcPr>
          <w:p w14:paraId="4A4B6928" w14:textId="0EDCFE93" w:rsidR="00EF0900" w:rsidRPr="00EF2F18" w:rsidRDefault="00EF0900" w:rsidP="008F18E3">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716" w:type="dxa"/>
            <w:tcBorders>
              <w:top w:val="single" w:sz="4" w:space="0" w:color="auto"/>
              <w:left w:val="nil"/>
              <w:bottom w:val="double" w:sz="6" w:space="0" w:color="auto"/>
              <w:right w:val="single" w:sz="8" w:space="0" w:color="auto"/>
            </w:tcBorders>
          </w:tcPr>
          <w:p w14:paraId="4A0E1054" w14:textId="44A5AC61" w:rsidR="00EF0900" w:rsidRPr="00EF2F18" w:rsidRDefault="00EF0900" w:rsidP="008F18E3">
            <w:pPr>
              <w:spacing w:after="0"/>
              <w:rPr>
                <w:rFonts w:eastAsia="Times New Roman" w:cs="Times New Roman"/>
                <w:color w:val="000000"/>
                <w:sz w:val="20"/>
                <w:szCs w:val="20"/>
                <w:lang w:val="sr-Cyrl-RS" w:eastAsia="en-GB"/>
              </w:rPr>
            </w:pPr>
          </w:p>
        </w:tc>
        <w:tc>
          <w:tcPr>
            <w:tcW w:w="1171" w:type="dxa"/>
            <w:tcBorders>
              <w:top w:val="single" w:sz="4" w:space="0" w:color="auto"/>
              <w:left w:val="nil"/>
              <w:bottom w:val="double" w:sz="6" w:space="0" w:color="auto"/>
              <w:right w:val="single" w:sz="8" w:space="0" w:color="auto"/>
            </w:tcBorders>
          </w:tcPr>
          <w:p w14:paraId="18953678" w14:textId="0FF85370" w:rsidR="00EF0900" w:rsidRPr="00EF2F18" w:rsidRDefault="00EF0900" w:rsidP="008F18E3">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double" w:sz="6" w:space="0" w:color="auto"/>
              <w:right w:val="single" w:sz="8" w:space="0" w:color="auto"/>
            </w:tcBorders>
          </w:tcPr>
          <w:p w14:paraId="2F5745CE" w14:textId="31EDEF0B" w:rsidR="00EF0900" w:rsidRPr="00EF2F18" w:rsidRDefault="00EF0900" w:rsidP="008F18E3">
            <w:pPr>
              <w:spacing w:after="0"/>
              <w:jc w:val="right"/>
              <w:rPr>
                <w:rFonts w:eastAsia="Times New Roman" w:cs="Times New Roman"/>
                <w:color w:val="000000"/>
                <w:sz w:val="20"/>
                <w:szCs w:val="20"/>
                <w:lang w:val="sr-Cyrl-RS" w:eastAsia="en-GB"/>
              </w:rPr>
            </w:pPr>
          </w:p>
        </w:tc>
        <w:tc>
          <w:tcPr>
            <w:tcW w:w="1351" w:type="dxa"/>
            <w:tcBorders>
              <w:top w:val="single" w:sz="4" w:space="0" w:color="auto"/>
              <w:left w:val="nil"/>
              <w:bottom w:val="double" w:sz="6" w:space="0" w:color="auto"/>
              <w:right w:val="single" w:sz="8" w:space="0" w:color="auto"/>
            </w:tcBorders>
          </w:tcPr>
          <w:p w14:paraId="421DA9C1" w14:textId="7F426A1E" w:rsidR="00EF0900" w:rsidRPr="00EF2F18" w:rsidRDefault="00EF0900" w:rsidP="008F18E3">
            <w:pPr>
              <w:spacing w:after="0"/>
              <w:jc w:val="right"/>
              <w:rPr>
                <w:rFonts w:eastAsia="Times New Roman" w:cs="Times New Roman"/>
                <w:color w:val="000000"/>
                <w:sz w:val="20"/>
                <w:szCs w:val="20"/>
                <w:lang w:val="sr-Cyrl-RS" w:eastAsia="en-GB"/>
              </w:rPr>
            </w:pPr>
          </w:p>
        </w:tc>
      </w:tr>
    </w:tbl>
    <w:p w14:paraId="3FB22C87" w14:textId="202CF819" w:rsidR="007620E6" w:rsidRPr="00EF2F18" w:rsidRDefault="00573FE5"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17596D8" w14:textId="77777777" w:rsidR="004A7FBD" w:rsidRPr="00EF2F18" w:rsidRDefault="004A7FBD" w:rsidP="007D7243">
      <w:pPr>
        <w:spacing w:after="0"/>
        <w:rPr>
          <w:rFonts w:cs="Times New Roman"/>
          <w:sz w:val="20"/>
          <w:szCs w:val="20"/>
          <w:lang w:val="sr-Cyrl-RS"/>
        </w:rPr>
      </w:pPr>
    </w:p>
    <w:tbl>
      <w:tblPr>
        <w:tblW w:w="13657" w:type="dxa"/>
        <w:tblLook w:val="04A0" w:firstRow="1" w:lastRow="0" w:firstColumn="1" w:lastColumn="0" w:noHBand="0" w:noVBand="1"/>
      </w:tblPr>
      <w:tblGrid>
        <w:gridCol w:w="3310"/>
        <w:gridCol w:w="1278"/>
        <w:gridCol w:w="1300"/>
        <w:gridCol w:w="998"/>
        <w:gridCol w:w="997"/>
        <w:gridCol w:w="1517"/>
        <w:gridCol w:w="1060"/>
        <w:gridCol w:w="1487"/>
        <w:gridCol w:w="1693"/>
        <w:gridCol w:w="17"/>
      </w:tblGrid>
      <w:tr w:rsidR="007D7243" w:rsidRPr="00EF2F18" w14:paraId="26F18858" w14:textId="77777777" w:rsidTr="00F3521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79756005"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5.1.4: Подршка примени иновативних технологија повољних за животну средину и нових метода пољопривредне производње</w:t>
            </w:r>
          </w:p>
        </w:tc>
      </w:tr>
      <w:tr w:rsidR="007D7243" w:rsidRPr="00EF2F18" w14:paraId="2A820C39" w14:textId="77777777" w:rsidTr="00F35214">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1B085A6F"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7D7243" w:rsidRPr="00EF2F18" w14:paraId="0D5D0692" w14:textId="77777777" w:rsidTr="00F35214">
        <w:trPr>
          <w:gridAfter w:val="1"/>
          <w:wAfter w:w="17" w:type="dxa"/>
          <w:trHeight w:val="336"/>
        </w:trPr>
        <w:tc>
          <w:tcPr>
            <w:tcW w:w="6886"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A1BAD83" w14:textId="5A483B19"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F35214"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754" w:type="dxa"/>
            <w:gridSpan w:val="5"/>
            <w:tcBorders>
              <w:top w:val="double" w:sz="6" w:space="0" w:color="auto"/>
              <w:left w:val="nil"/>
              <w:bottom w:val="double" w:sz="6" w:space="0" w:color="auto"/>
              <w:right w:val="double" w:sz="6" w:space="0" w:color="auto"/>
            </w:tcBorders>
            <w:shd w:val="clear" w:color="000000" w:fill="F7CAAC"/>
            <w:hideMark/>
          </w:tcPr>
          <w:p w14:paraId="72DC6D6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7D7243" w:rsidRPr="00EF2F18" w14:paraId="2E6C0E45" w14:textId="77777777" w:rsidTr="00F35214">
        <w:trPr>
          <w:gridAfter w:val="1"/>
          <w:wAfter w:w="17" w:type="dxa"/>
          <w:trHeight w:val="336"/>
        </w:trPr>
        <w:tc>
          <w:tcPr>
            <w:tcW w:w="6886"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44D1CAE8"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Прописи које је потребно изменити/усвојити за спровођење мере:</w:t>
            </w:r>
          </w:p>
        </w:tc>
        <w:tc>
          <w:tcPr>
            <w:tcW w:w="6754" w:type="dxa"/>
            <w:gridSpan w:val="5"/>
            <w:tcBorders>
              <w:top w:val="double" w:sz="6" w:space="0" w:color="auto"/>
              <w:left w:val="nil"/>
              <w:bottom w:val="double" w:sz="6" w:space="0" w:color="auto"/>
              <w:right w:val="double" w:sz="6" w:space="0" w:color="auto"/>
            </w:tcBorders>
            <w:shd w:val="clear" w:color="000000" w:fill="F7CAAC"/>
            <w:hideMark/>
          </w:tcPr>
          <w:p w14:paraId="3F620524"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35214" w:rsidRPr="00EF2F18" w14:paraId="2CAB4CEA" w14:textId="77777777" w:rsidTr="00F35214">
        <w:trPr>
          <w:trHeight w:val="816"/>
        </w:trPr>
        <w:tc>
          <w:tcPr>
            <w:tcW w:w="3310" w:type="dxa"/>
            <w:tcBorders>
              <w:top w:val="nil"/>
              <w:left w:val="double" w:sz="6" w:space="0" w:color="auto"/>
              <w:bottom w:val="double" w:sz="6" w:space="0" w:color="auto"/>
              <w:right w:val="single" w:sz="8" w:space="0" w:color="auto"/>
            </w:tcBorders>
            <w:shd w:val="clear" w:color="000000" w:fill="D9D9D9"/>
            <w:hideMark/>
          </w:tcPr>
          <w:p w14:paraId="026C3EE4"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78" w:type="dxa"/>
            <w:tcBorders>
              <w:top w:val="nil"/>
              <w:left w:val="nil"/>
              <w:bottom w:val="double" w:sz="6" w:space="0" w:color="auto"/>
              <w:right w:val="single" w:sz="8" w:space="0" w:color="auto"/>
            </w:tcBorders>
            <w:shd w:val="clear" w:color="000000" w:fill="D9D9D9"/>
            <w:hideMark/>
          </w:tcPr>
          <w:p w14:paraId="0DB571CB"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300" w:type="dxa"/>
            <w:tcBorders>
              <w:top w:val="nil"/>
              <w:left w:val="nil"/>
              <w:bottom w:val="double" w:sz="6" w:space="0" w:color="auto"/>
              <w:right w:val="single" w:sz="8" w:space="0" w:color="auto"/>
            </w:tcBorders>
            <w:shd w:val="clear" w:color="000000" w:fill="D9D9D9"/>
            <w:hideMark/>
          </w:tcPr>
          <w:p w14:paraId="04DB3EBC"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95" w:type="dxa"/>
            <w:gridSpan w:val="2"/>
            <w:tcBorders>
              <w:top w:val="double" w:sz="6" w:space="0" w:color="auto"/>
              <w:left w:val="nil"/>
              <w:bottom w:val="double" w:sz="6" w:space="0" w:color="auto"/>
              <w:right w:val="single" w:sz="8" w:space="0" w:color="000000"/>
            </w:tcBorders>
            <w:shd w:val="clear" w:color="000000" w:fill="D9D9D9"/>
            <w:hideMark/>
          </w:tcPr>
          <w:p w14:paraId="6A026F70"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517" w:type="dxa"/>
            <w:tcBorders>
              <w:top w:val="nil"/>
              <w:left w:val="nil"/>
              <w:bottom w:val="double" w:sz="6" w:space="0" w:color="auto"/>
              <w:right w:val="single" w:sz="8" w:space="0" w:color="auto"/>
            </w:tcBorders>
            <w:shd w:val="clear" w:color="000000" w:fill="D9D9D9"/>
            <w:hideMark/>
          </w:tcPr>
          <w:p w14:paraId="7A79FDEA"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1B6252C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487" w:type="dxa"/>
            <w:tcBorders>
              <w:top w:val="nil"/>
              <w:left w:val="nil"/>
              <w:bottom w:val="double" w:sz="6" w:space="0" w:color="auto"/>
              <w:right w:val="single" w:sz="8" w:space="0" w:color="auto"/>
            </w:tcBorders>
            <w:shd w:val="clear" w:color="000000" w:fill="D9D9D9"/>
            <w:hideMark/>
          </w:tcPr>
          <w:p w14:paraId="260E55B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tcBorders>
              <w:top w:val="nil"/>
              <w:left w:val="nil"/>
              <w:bottom w:val="double" w:sz="6" w:space="0" w:color="auto"/>
              <w:right w:val="double" w:sz="6" w:space="0" w:color="auto"/>
            </w:tcBorders>
            <w:shd w:val="clear" w:color="000000" w:fill="D9D9D9"/>
            <w:hideMark/>
          </w:tcPr>
          <w:p w14:paraId="0EFA2006"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35214" w:rsidRPr="00EF2F18" w14:paraId="6ED7AAA2" w14:textId="77777777" w:rsidTr="00F35214">
        <w:trPr>
          <w:trHeight w:val="1940"/>
        </w:trPr>
        <w:tc>
          <w:tcPr>
            <w:tcW w:w="3310" w:type="dxa"/>
            <w:tcBorders>
              <w:top w:val="double" w:sz="6" w:space="0" w:color="auto"/>
              <w:left w:val="double" w:sz="6" w:space="0" w:color="auto"/>
              <w:bottom w:val="double" w:sz="6" w:space="0" w:color="auto"/>
              <w:right w:val="single" w:sz="8" w:space="0" w:color="auto"/>
            </w:tcBorders>
            <w:shd w:val="clear" w:color="000000" w:fill="FFFFFF"/>
            <w:hideMark/>
          </w:tcPr>
          <w:p w14:paraId="42B27277" w14:textId="030FDBB5"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субјеката у пољопривредно-прехрамбеном сек</w:t>
            </w:r>
            <w:r w:rsidR="003A1B39">
              <w:rPr>
                <w:rFonts w:eastAsia="Times New Roman" w:cs="Times New Roman"/>
                <w:color w:val="000000"/>
                <w:sz w:val="20"/>
                <w:szCs w:val="20"/>
                <w:lang w:val="sr-Cyrl-RS" w:eastAsia="en-GB"/>
              </w:rPr>
              <w:t>т</w:t>
            </w:r>
            <w:r w:rsidR="00433BB9">
              <w:rPr>
                <w:rFonts w:eastAsia="Times New Roman" w:cs="Times New Roman"/>
                <w:color w:val="000000"/>
                <w:sz w:val="20"/>
                <w:szCs w:val="20"/>
                <w:lang w:val="sr-Cyrl-RS" w:eastAsia="en-GB"/>
              </w:rPr>
              <w:t>о</w:t>
            </w:r>
            <w:r w:rsidRPr="00EF2F18">
              <w:rPr>
                <w:rFonts w:eastAsia="Times New Roman" w:cs="Times New Roman"/>
                <w:color w:val="000000"/>
                <w:sz w:val="20"/>
                <w:szCs w:val="20"/>
                <w:lang w:val="sr-Cyrl-RS" w:eastAsia="en-GB"/>
              </w:rPr>
              <w:t>ру подржаних за инвестиције у модернизацију механизације, опреме и објеката од значаја за смањење негативног утицаја на животну средину и прилагођавање на измењене климатске услове из националног буџета, годишње</w:t>
            </w:r>
          </w:p>
        </w:tc>
        <w:tc>
          <w:tcPr>
            <w:tcW w:w="1278" w:type="dxa"/>
            <w:tcBorders>
              <w:top w:val="double" w:sz="6" w:space="0" w:color="auto"/>
              <w:left w:val="nil"/>
              <w:bottom w:val="double" w:sz="6" w:space="0" w:color="auto"/>
              <w:right w:val="single" w:sz="8" w:space="0" w:color="auto"/>
            </w:tcBorders>
            <w:shd w:val="clear" w:color="000000" w:fill="FFFFFF"/>
            <w:hideMark/>
          </w:tcPr>
          <w:p w14:paraId="52DE27AE" w14:textId="32CDE535"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w:t>
            </w:r>
          </w:p>
        </w:tc>
        <w:tc>
          <w:tcPr>
            <w:tcW w:w="1300" w:type="dxa"/>
            <w:tcBorders>
              <w:top w:val="double" w:sz="6" w:space="0" w:color="auto"/>
              <w:left w:val="nil"/>
              <w:bottom w:val="double" w:sz="6" w:space="0" w:color="auto"/>
              <w:right w:val="single" w:sz="8" w:space="0" w:color="auto"/>
            </w:tcBorders>
            <w:shd w:val="clear" w:color="000000" w:fill="FFFFFF"/>
            <w:hideMark/>
          </w:tcPr>
          <w:p w14:paraId="2FA51FF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95" w:type="dxa"/>
            <w:gridSpan w:val="2"/>
            <w:tcBorders>
              <w:top w:val="double" w:sz="6" w:space="0" w:color="auto"/>
              <w:left w:val="nil"/>
              <w:bottom w:val="double" w:sz="6" w:space="0" w:color="auto"/>
              <w:right w:val="single" w:sz="8" w:space="0" w:color="000000"/>
            </w:tcBorders>
            <w:shd w:val="clear" w:color="000000" w:fill="FFFFFF"/>
            <w:hideMark/>
          </w:tcPr>
          <w:p w14:paraId="6CC92EA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1.895</w:t>
            </w:r>
          </w:p>
        </w:tc>
        <w:tc>
          <w:tcPr>
            <w:tcW w:w="1517" w:type="dxa"/>
            <w:tcBorders>
              <w:top w:val="double" w:sz="6" w:space="0" w:color="auto"/>
              <w:left w:val="nil"/>
              <w:bottom w:val="double" w:sz="6" w:space="0" w:color="auto"/>
              <w:right w:val="single" w:sz="4" w:space="0" w:color="auto"/>
            </w:tcBorders>
            <w:shd w:val="clear" w:color="000000" w:fill="FFFFFF"/>
            <w:hideMark/>
          </w:tcPr>
          <w:p w14:paraId="7D10E07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060" w:type="dxa"/>
            <w:tcBorders>
              <w:top w:val="double" w:sz="6" w:space="0" w:color="auto"/>
              <w:left w:val="single" w:sz="4" w:space="0" w:color="auto"/>
              <w:bottom w:val="double" w:sz="6" w:space="0" w:color="auto"/>
              <w:right w:val="single" w:sz="8" w:space="0" w:color="auto"/>
            </w:tcBorders>
            <w:shd w:val="clear" w:color="000000" w:fill="FFFFFF"/>
            <w:hideMark/>
          </w:tcPr>
          <w:p w14:paraId="7186395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2.400</w:t>
            </w:r>
          </w:p>
        </w:tc>
        <w:tc>
          <w:tcPr>
            <w:tcW w:w="1487" w:type="dxa"/>
            <w:tcBorders>
              <w:top w:val="double" w:sz="6" w:space="0" w:color="auto"/>
              <w:left w:val="nil"/>
              <w:bottom w:val="double" w:sz="6" w:space="0" w:color="auto"/>
              <w:right w:val="single" w:sz="8" w:space="0" w:color="auto"/>
            </w:tcBorders>
            <w:shd w:val="clear" w:color="000000" w:fill="FFFFFF"/>
            <w:hideMark/>
          </w:tcPr>
          <w:p w14:paraId="4553C2E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2.600</w:t>
            </w:r>
          </w:p>
        </w:tc>
        <w:tc>
          <w:tcPr>
            <w:tcW w:w="1710" w:type="dxa"/>
            <w:gridSpan w:val="2"/>
            <w:tcBorders>
              <w:top w:val="double" w:sz="6" w:space="0" w:color="auto"/>
              <w:left w:val="nil"/>
              <w:bottom w:val="double" w:sz="6" w:space="0" w:color="auto"/>
              <w:right w:val="double" w:sz="6" w:space="0" w:color="auto"/>
            </w:tcBorders>
            <w:shd w:val="clear" w:color="000000" w:fill="FFFFFF"/>
            <w:hideMark/>
          </w:tcPr>
          <w:p w14:paraId="39683C2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2.800</w:t>
            </w:r>
          </w:p>
        </w:tc>
      </w:tr>
      <w:tr w:rsidR="00F35214" w:rsidRPr="00EF2F18" w14:paraId="31C3F721" w14:textId="77777777" w:rsidTr="00F35214">
        <w:trPr>
          <w:trHeight w:val="1940"/>
        </w:trPr>
        <w:tc>
          <w:tcPr>
            <w:tcW w:w="3310" w:type="dxa"/>
            <w:tcBorders>
              <w:top w:val="nil"/>
              <w:left w:val="double" w:sz="6" w:space="0" w:color="auto"/>
              <w:bottom w:val="double" w:sz="6" w:space="0" w:color="auto"/>
              <w:right w:val="single" w:sz="8" w:space="0" w:color="auto"/>
            </w:tcBorders>
            <w:shd w:val="clear" w:color="000000" w:fill="FFFFFF"/>
            <w:hideMark/>
          </w:tcPr>
          <w:p w14:paraId="62B9F13A" w14:textId="5164A161"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w:t>
            </w:r>
            <w:r w:rsidRPr="00EF2F18">
              <w:rPr>
                <w:rFonts w:eastAsia="Times New Roman" w:cs="Times New Roman"/>
                <w:color w:val="000000"/>
                <w:sz w:val="18"/>
                <w:szCs w:val="18"/>
                <w:lang w:val="sr-Cyrl-RS" w:eastAsia="en-GB"/>
              </w:rPr>
              <w:t>субјеката у пољопривредно-прехрамбеном сек</w:t>
            </w:r>
            <w:r w:rsidR="00433BB9">
              <w:rPr>
                <w:rFonts w:eastAsia="Times New Roman" w:cs="Times New Roman"/>
                <w:color w:val="000000"/>
                <w:sz w:val="18"/>
                <w:szCs w:val="18"/>
                <w:lang w:val="sr-Cyrl-RS" w:eastAsia="en-GB"/>
              </w:rPr>
              <w:t>то</w:t>
            </w:r>
            <w:r w:rsidRPr="00EF2F18">
              <w:rPr>
                <w:rFonts w:eastAsia="Times New Roman" w:cs="Times New Roman"/>
                <w:color w:val="000000"/>
                <w:sz w:val="18"/>
                <w:szCs w:val="18"/>
                <w:lang w:val="sr-Cyrl-RS" w:eastAsia="en-GB"/>
              </w:rPr>
              <w:t xml:space="preserve">ру </w:t>
            </w:r>
            <w:r w:rsidRPr="00EF2F18">
              <w:rPr>
                <w:rFonts w:eastAsia="Times New Roman" w:cs="Times New Roman"/>
                <w:color w:val="000000"/>
                <w:sz w:val="20"/>
                <w:szCs w:val="20"/>
                <w:lang w:val="sr-Cyrl-RS" w:eastAsia="en-GB"/>
              </w:rPr>
              <w:t>подржаних за инвестиције у модернизацију механизације, опреме и објеката од значаја за смањење негативног утицаја на животну средину и прилагођавање на измењене климатске услове из ИПАРД-а, годишње</w:t>
            </w:r>
          </w:p>
        </w:tc>
        <w:tc>
          <w:tcPr>
            <w:tcW w:w="1278" w:type="dxa"/>
            <w:tcBorders>
              <w:top w:val="nil"/>
              <w:left w:val="nil"/>
              <w:bottom w:val="double" w:sz="6" w:space="0" w:color="auto"/>
              <w:right w:val="single" w:sz="8" w:space="0" w:color="auto"/>
            </w:tcBorders>
            <w:shd w:val="clear" w:color="000000" w:fill="FFFFFF"/>
            <w:hideMark/>
          </w:tcPr>
          <w:p w14:paraId="126818F6" w14:textId="417E3265"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w:t>
            </w:r>
          </w:p>
        </w:tc>
        <w:tc>
          <w:tcPr>
            <w:tcW w:w="1300" w:type="dxa"/>
            <w:tcBorders>
              <w:top w:val="nil"/>
              <w:left w:val="nil"/>
              <w:bottom w:val="double" w:sz="6" w:space="0" w:color="auto"/>
              <w:right w:val="single" w:sz="8" w:space="0" w:color="auto"/>
            </w:tcBorders>
            <w:shd w:val="clear" w:color="000000" w:fill="FFFFFF"/>
            <w:hideMark/>
          </w:tcPr>
          <w:p w14:paraId="3E92558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Годишњи извештај о спровођењу ИПАРД програма</w:t>
            </w:r>
          </w:p>
        </w:tc>
        <w:tc>
          <w:tcPr>
            <w:tcW w:w="1995" w:type="dxa"/>
            <w:gridSpan w:val="2"/>
            <w:tcBorders>
              <w:top w:val="double" w:sz="6" w:space="0" w:color="auto"/>
              <w:left w:val="nil"/>
              <w:bottom w:val="double" w:sz="6" w:space="0" w:color="auto"/>
              <w:right w:val="single" w:sz="8" w:space="0" w:color="000000"/>
            </w:tcBorders>
            <w:shd w:val="clear" w:color="000000" w:fill="FFFFFF"/>
            <w:hideMark/>
          </w:tcPr>
          <w:p w14:paraId="0EE7224A"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1.014</w:t>
            </w:r>
          </w:p>
        </w:tc>
        <w:tc>
          <w:tcPr>
            <w:tcW w:w="1517" w:type="dxa"/>
            <w:tcBorders>
              <w:top w:val="nil"/>
              <w:left w:val="nil"/>
              <w:bottom w:val="double" w:sz="6" w:space="0" w:color="auto"/>
              <w:right w:val="single" w:sz="8" w:space="0" w:color="auto"/>
            </w:tcBorders>
            <w:shd w:val="clear" w:color="000000" w:fill="FFFFFF"/>
            <w:hideMark/>
          </w:tcPr>
          <w:p w14:paraId="541B1DF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060" w:type="dxa"/>
            <w:tcBorders>
              <w:top w:val="nil"/>
              <w:left w:val="nil"/>
              <w:bottom w:val="double" w:sz="6" w:space="0" w:color="auto"/>
              <w:right w:val="single" w:sz="8" w:space="0" w:color="auto"/>
            </w:tcBorders>
            <w:shd w:val="clear" w:color="000000" w:fill="FFFFFF"/>
            <w:hideMark/>
          </w:tcPr>
          <w:p w14:paraId="383EDC6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1.414</w:t>
            </w:r>
          </w:p>
        </w:tc>
        <w:tc>
          <w:tcPr>
            <w:tcW w:w="1487" w:type="dxa"/>
            <w:tcBorders>
              <w:top w:val="nil"/>
              <w:left w:val="nil"/>
              <w:bottom w:val="double" w:sz="6" w:space="0" w:color="auto"/>
              <w:right w:val="single" w:sz="8" w:space="0" w:color="auto"/>
            </w:tcBorders>
            <w:shd w:val="clear" w:color="000000" w:fill="FFFFFF"/>
            <w:hideMark/>
          </w:tcPr>
          <w:p w14:paraId="5E9A3029"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1.464</w:t>
            </w:r>
          </w:p>
        </w:tc>
        <w:tc>
          <w:tcPr>
            <w:tcW w:w="1710" w:type="dxa"/>
            <w:gridSpan w:val="2"/>
            <w:tcBorders>
              <w:top w:val="nil"/>
              <w:left w:val="nil"/>
              <w:bottom w:val="double" w:sz="6" w:space="0" w:color="auto"/>
              <w:right w:val="double" w:sz="6" w:space="0" w:color="auto"/>
            </w:tcBorders>
            <w:shd w:val="clear" w:color="000000" w:fill="FFFFFF"/>
            <w:hideMark/>
          </w:tcPr>
          <w:p w14:paraId="5C367F71"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1.574</w:t>
            </w:r>
          </w:p>
        </w:tc>
      </w:tr>
    </w:tbl>
    <w:p w14:paraId="4C89E64F" w14:textId="41063DD4" w:rsidR="009B58F7" w:rsidRDefault="009B58F7" w:rsidP="007D7243">
      <w:pPr>
        <w:spacing w:after="0"/>
        <w:rPr>
          <w:rFonts w:cs="Times New Roman"/>
          <w:sz w:val="20"/>
          <w:szCs w:val="20"/>
          <w:lang w:val="sr-Cyrl-RS"/>
        </w:rPr>
      </w:pPr>
    </w:p>
    <w:p w14:paraId="2D1F00A0" w14:textId="77777777" w:rsidR="009B58F7" w:rsidRPr="00EF2F18" w:rsidRDefault="009B58F7" w:rsidP="007D7243">
      <w:pPr>
        <w:spacing w:after="0"/>
        <w:rPr>
          <w:rFonts w:cs="Times New Roman"/>
          <w:sz w:val="20"/>
          <w:szCs w:val="20"/>
          <w:lang w:val="sr-Cyrl-RS"/>
        </w:rPr>
      </w:pPr>
    </w:p>
    <w:tbl>
      <w:tblPr>
        <w:tblW w:w="13657" w:type="dxa"/>
        <w:tblLook w:val="04A0" w:firstRow="1" w:lastRow="0" w:firstColumn="1" w:lastColumn="0" w:noHBand="0" w:noVBand="1"/>
      </w:tblPr>
      <w:tblGrid>
        <w:gridCol w:w="3800"/>
        <w:gridCol w:w="2556"/>
        <w:gridCol w:w="1820"/>
        <w:gridCol w:w="2331"/>
        <w:gridCol w:w="3129"/>
        <w:gridCol w:w="21"/>
      </w:tblGrid>
      <w:tr w:rsidR="007D7243" w:rsidRPr="00EF2F18" w14:paraId="75DBFB1F" w14:textId="77777777" w:rsidTr="00F35214">
        <w:trPr>
          <w:gridAfter w:val="1"/>
          <w:wAfter w:w="21"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E2E227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55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AEDF57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45EED13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35214" w:rsidRPr="00EF2F18" w14:paraId="7BB38932" w14:textId="77777777" w:rsidTr="00F35214">
        <w:trPr>
          <w:trHeight w:val="336"/>
        </w:trPr>
        <w:tc>
          <w:tcPr>
            <w:tcW w:w="3800" w:type="dxa"/>
            <w:vMerge/>
            <w:tcBorders>
              <w:top w:val="double" w:sz="6" w:space="0" w:color="auto"/>
              <w:left w:val="double" w:sz="6" w:space="0" w:color="auto"/>
              <w:bottom w:val="single" w:sz="8" w:space="0" w:color="000000"/>
              <w:right w:val="double" w:sz="6" w:space="0" w:color="auto"/>
            </w:tcBorders>
            <w:hideMark/>
          </w:tcPr>
          <w:p w14:paraId="133DC88E" w14:textId="77777777" w:rsidR="00F35214" w:rsidRPr="00EF2F18" w:rsidRDefault="00F35214" w:rsidP="00752CA0">
            <w:pPr>
              <w:spacing w:after="0"/>
              <w:rPr>
                <w:rFonts w:eastAsia="Times New Roman" w:cs="Times New Roman"/>
                <w:color w:val="000000"/>
                <w:sz w:val="20"/>
                <w:szCs w:val="20"/>
                <w:lang w:val="sr-Cyrl-RS" w:eastAsia="en-GB"/>
              </w:rPr>
            </w:pPr>
          </w:p>
        </w:tc>
        <w:tc>
          <w:tcPr>
            <w:tcW w:w="2556" w:type="dxa"/>
            <w:vMerge/>
            <w:tcBorders>
              <w:top w:val="double" w:sz="6" w:space="0" w:color="auto"/>
              <w:left w:val="double" w:sz="6" w:space="0" w:color="auto"/>
              <w:bottom w:val="single" w:sz="8" w:space="0" w:color="000000"/>
              <w:right w:val="double" w:sz="6" w:space="0" w:color="auto"/>
            </w:tcBorders>
            <w:hideMark/>
          </w:tcPr>
          <w:p w14:paraId="44439F77" w14:textId="77777777" w:rsidR="00F35214" w:rsidRPr="00EF2F18" w:rsidRDefault="00F35214"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2A0E89B0" w14:textId="67458CFD"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2026. године</w:t>
            </w:r>
          </w:p>
        </w:tc>
        <w:tc>
          <w:tcPr>
            <w:tcW w:w="2331" w:type="dxa"/>
            <w:tcBorders>
              <w:top w:val="nil"/>
              <w:left w:val="nil"/>
              <w:bottom w:val="double" w:sz="6" w:space="0" w:color="auto"/>
              <w:right w:val="double" w:sz="6" w:space="0" w:color="auto"/>
            </w:tcBorders>
            <w:shd w:val="clear" w:color="000000" w:fill="A8D08D"/>
            <w:hideMark/>
          </w:tcPr>
          <w:p w14:paraId="0AC4E142" w14:textId="6BA24AF5"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 године</w:t>
            </w:r>
          </w:p>
        </w:tc>
        <w:tc>
          <w:tcPr>
            <w:tcW w:w="3150" w:type="dxa"/>
            <w:gridSpan w:val="2"/>
            <w:tcBorders>
              <w:top w:val="nil"/>
              <w:left w:val="nil"/>
              <w:bottom w:val="double" w:sz="6" w:space="0" w:color="auto"/>
              <w:right w:val="double" w:sz="6" w:space="0" w:color="auto"/>
            </w:tcBorders>
            <w:shd w:val="clear" w:color="000000" w:fill="A8D08D"/>
            <w:hideMark/>
          </w:tcPr>
          <w:p w14:paraId="3E025CEB" w14:textId="63DE34B6"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 године</w:t>
            </w:r>
          </w:p>
        </w:tc>
      </w:tr>
      <w:tr w:rsidR="00F35214" w:rsidRPr="00EF2F18" w14:paraId="1EE5B659" w14:textId="77777777" w:rsidTr="00F35214">
        <w:trPr>
          <w:trHeight w:val="324"/>
        </w:trPr>
        <w:tc>
          <w:tcPr>
            <w:tcW w:w="3800" w:type="dxa"/>
            <w:tcBorders>
              <w:top w:val="nil"/>
              <w:left w:val="double" w:sz="6" w:space="0" w:color="auto"/>
              <w:bottom w:val="double" w:sz="6" w:space="0" w:color="auto"/>
              <w:right w:val="double" w:sz="6" w:space="0" w:color="auto"/>
            </w:tcBorders>
            <w:shd w:val="clear" w:color="000000" w:fill="FFFFFF"/>
            <w:vAlign w:val="center"/>
            <w:hideMark/>
          </w:tcPr>
          <w:p w14:paraId="31A33D99" w14:textId="4F1F152F" w:rsidR="00F35214" w:rsidRPr="00EF2F18" w:rsidRDefault="00F35214" w:rsidP="004A2F41">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(МПШВ)</w:t>
            </w:r>
          </w:p>
        </w:tc>
        <w:tc>
          <w:tcPr>
            <w:tcW w:w="2556" w:type="dxa"/>
            <w:tcBorders>
              <w:top w:val="nil"/>
              <w:left w:val="nil"/>
              <w:bottom w:val="double" w:sz="6" w:space="0" w:color="auto"/>
              <w:right w:val="double" w:sz="6" w:space="0" w:color="auto"/>
            </w:tcBorders>
            <w:shd w:val="clear" w:color="000000" w:fill="FFFFFF"/>
            <w:vAlign w:val="center"/>
            <w:hideMark/>
          </w:tcPr>
          <w:p w14:paraId="5E7EE8ED" w14:textId="4A720F81" w:rsidR="00F35214" w:rsidRPr="00EF2F18" w:rsidRDefault="00F35214" w:rsidP="004A2F41">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tc>
        <w:tc>
          <w:tcPr>
            <w:tcW w:w="1820" w:type="dxa"/>
            <w:tcBorders>
              <w:top w:val="nil"/>
              <w:left w:val="nil"/>
              <w:bottom w:val="double" w:sz="6" w:space="0" w:color="auto"/>
              <w:right w:val="double" w:sz="6" w:space="0" w:color="auto"/>
            </w:tcBorders>
            <w:vAlign w:val="center"/>
          </w:tcPr>
          <w:p w14:paraId="2811B09B" w14:textId="471FF01B" w:rsidR="00F35214" w:rsidRPr="00EF2F18" w:rsidRDefault="00C7598B" w:rsidP="004A2F41">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tc>
        <w:tc>
          <w:tcPr>
            <w:tcW w:w="2331" w:type="dxa"/>
            <w:tcBorders>
              <w:top w:val="nil"/>
              <w:left w:val="nil"/>
              <w:bottom w:val="double" w:sz="6" w:space="0" w:color="auto"/>
              <w:right w:val="double" w:sz="6" w:space="0" w:color="auto"/>
            </w:tcBorders>
            <w:vAlign w:val="center"/>
          </w:tcPr>
          <w:p w14:paraId="49B0F96F" w14:textId="744CB952" w:rsidR="00F35214" w:rsidRPr="00EF2F18" w:rsidRDefault="00F35214" w:rsidP="004A2F41">
            <w:pPr>
              <w:spacing w:after="0"/>
              <w:jc w:val="right"/>
              <w:rPr>
                <w:rFonts w:eastAsia="Times New Roman" w:cs="Times New Roman"/>
                <w:color w:val="000000"/>
                <w:sz w:val="20"/>
                <w:szCs w:val="20"/>
                <w:lang w:val="sr-Cyrl-RS" w:eastAsia="en-GB"/>
              </w:rPr>
            </w:pPr>
          </w:p>
        </w:tc>
        <w:tc>
          <w:tcPr>
            <w:tcW w:w="3150" w:type="dxa"/>
            <w:gridSpan w:val="2"/>
            <w:tcBorders>
              <w:top w:val="nil"/>
              <w:left w:val="nil"/>
              <w:bottom w:val="double" w:sz="6" w:space="0" w:color="auto"/>
              <w:right w:val="double" w:sz="6" w:space="0" w:color="auto"/>
            </w:tcBorders>
            <w:shd w:val="clear" w:color="000000" w:fill="FFFFFF"/>
            <w:vAlign w:val="center"/>
          </w:tcPr>
          <w:p w14:paraId="255DE9F9" w14:textId="28418309" w:rsidR="00F35214" w:rsidRPr="00EF2F18" w:rsidRDefault="00F35214" w:rsidP="004A2F41">
            <w:pPr>
              <w:spacing w:after="0"/>
              <w:jc w:val="right"/>
              <w:rPr>
                <w:rFonts w:eastAsia="Times New Roman" w:cs="Times New Roman"/>
                <w:color w:val="000000"/>
                <w:sz w:val="20"/>
                <w:szCs w:val="20"/>
                <w:lang w:val="sr-Cyrl-RS" w:eastAsia="en-GB"/>
              </w:rPr>
            </w:pPr>
          </w:p>
        </w:tc>
      </w:tr>
    </w:tbl>
    <w:p w14:paraId="1FAC934B" w14:textId="63A14F11" w:rsidR="00630969" w:rsidRPr="00EF2F18" w:rsidRDefault="00630969" w:rsidP="007D7243">
      <w:pPr>
        <w:spacing w:after="0"/>
        <w:rPr>
          <w:rFonts w:cs="Times New Roman"/>
          <w:sz w:val="20"/>
          <w:szCs w:val="20"/>
          <w:lang w:val="sr-Cyrl-RS"/>
        </w:rPr>
      </w:pPr>
    </w:p>
    <w:tbl>
      <w:tblPr>
        <w:tblW w:w="13893" w:type="dxa"/>
        <w:tblCellMar>
          <w:top w:w="15" w:type="dxa"/>
        </w:tblCellMar>
        <w:tblLook w:val="04A0" w:firstRow="1" w:lastRow="0" w:firstColumn="1" w:lastColumn="0" w:noHBand="0" w:noVBand="1"/>
      </w:tblPr>
      <w:tblGrid>
        <w:gridCol w:w="2904"/>
        <w:gridCol w:w="1247"/>
        <w:gridCol w:w="1373"/>
        <w:gridCol w:w="1182"/>
        <w:gridCol w:w="1691"/>
        <w:gridCol w:w="1340"/>
        <w:gridCol w:w="1220"/>
        <w:gridCol w:w="1350"/>
        <w:gridCol w:w="1350"/>
        <w:gridCol w:w="236"/>
      </w:tblGrid>
      <w:tr w:rsidR="007D7243" w:rsidRPr="00EF2F18" w14:paraId="282AF575" w14:textId="77777777" w:rsidTr="00F35214">
        <w:trPr>
          <w:gridAfter w:val="1"/>
          <w:wAfter w:w="236" w:type="dxa"/>
          <w:trHeight w:val="732"/>
        </w:trPr>
        <w:tc>
          <w:tcPr>
            <w:tcW w:w="2904"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766BADF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24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BFD549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37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0A1F9F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0FE866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F767D1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FAB037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3920" w:type="dxa"/>
            <w:gridSpan w:val="3"/>
            <w:tcBorders>
              <w:top w:val="double" w:sz="6" w:space="0" w:color="auto"/>
              <w:left w:val="nil"/>
              <w:bottom w:val="single" w:sz="8" w:space="0" w:color="auto"/>
              <w:right w:val="double" w:sz="6" w:space="0" w:color="auto"/>
            </w:tcBorders>
            <w:shd w:val="clear" w:color="000000" w:fill="FFF2CC"/>
            <w:hideMark/>
          </w:tcPr>
          <w:p w14:paraId="5EB02FE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35214" w:rsidRPr="00EF2F18" w14:paraId="2BF6B7C6" w14:textId="77777777" w:rsidTr="00EF0900">
        <w:trPr>
          <w:gridAfter w:val="1"/>
          <w:wAfter w:w="236" w:type="dxa"/>
          <w:trHeight w:val="324"/>
        </w:trPr>
        <w:tc>
          <w:tcPr>
            <w:tcW w:w="2904" w:type="dxa"/>
            <w:vMerge/>
            <w:tcBorders>
              <w:top w:val="double" w:sz="6" w:space="0" w:color="auto"/>
              <w:left w:val="double" w:sz="6" w:space="0" w:color="auto"/>
              <w:bottom w:val="single" w:sz="8" w:space="0" w:color="000000"/>
              <w:right w:val="single" w:sz="8" w:space="0" w:color="auto"/>
            </w:tcBorders>
            <w:hideMark/>
          </w:tcPr>
          <w:p w14:paraId="13174DFE" w14:textId="77777777" w:rsidR="00F35214" w:rsidRPr="00EF2F18" w:rsidRDefault="00F35214" w:rsidP="00752CA0">
            <w:pPr>
              <w:spacing w:after="0"/>
              <w:rPr>
                <w:rFonts w:eastAsia="Times New Roman" w:cs="Times New Roman"/>
                <w:color w:val="000000"/>
                <w:sz w:val="20"/>
                <w:szCs w:val="20"/>
                <w:lang w:val="sr-Cyrl-RS" w:eastAsia="en-GB"/>
              </w:rPr>
            </w:pPr>
          </w:p>
        </w:tc>
        <w:tc>
          <w:tcPr>
            <w:tcW w:w="1247" w:type="dxa"/>
            <w:vMerge/>
            <w:tcBorders>
              <w:top w:val="double" w:sz="6" w:space="0" w:color="auto"/>
              <w:left w:val="single" w:sz="8" w:space="0" w:color="auto"/>
              <w:bottom w:val="single" w:sz="8" w:space="0" w:color="000000"/>
              <w:right w:val="single" w:sz="8" w:space="0" w:color="auto"/>
            </w:tcBorders>
            <w:hideMark/>
          </w:tcPr>
          <w:p w14:paraId="0017BD81" w14:textId="77777777" w:rsidR="00F35214" w:rsidRPr="00EF2F18" w:rsidRDefault="00F35214" w:rsidP="00752CA0">
            <w:pPr>
              <w:spacing w:after="0"/>
              <w:rPr>
                <w:rFonts w:eastAsia="Times New Roman" w:cs="Times New Roman"/>
                <w:color w:val="000000"/>
                <w:sz w:val="20"/>
                <w:szCs w:val="20"/>
                <w:lang w:val="sr-Cyrl-RS" w:eastAsia="en-GB"/>
              </w:rPr>
            </w:pPr>
          </w:p>
        </w:tc>
        <w:tc>
          <w:tcPr>
            <w:tcW w:w="1373" w:type="dxa"/>
            <w:vMerge/>
            <w:tcBorders>
              <w:top w:val="double" w:sz="6" w:space="0" w:color="auto"/>
              <w:left w:val="single" w:sz="8" w:space="0" w:color="auto"/>
              <w:bottom w:val="single" w:sz="8" w:space="0" w:color="000000"/>
              <w:right w:val="single" w:sz="8" w:space="0" w:color="auto"/>
            </w:tcBorders>
            <w:hideMark/>
          </w:tcPr>
          <w:p w14:paraId="29CDA221" w14:textId="77777777" w:rsidR="00F35214" w:rsidRPr="00EF2F18" w:rsidRDefault="00F35214"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hideMark/>
          </w:tcPr>
          <w:p w14:paraId="50D1A288" w14:textId="77777777" w:rsidR="00F35214" w:rsidRPr="00EF2F18" w:rsidRDefault="00F35214"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hideMark/>
          </w:tcPr>
          <w:p w14:paraId="15551B05" w14:textId="77777777" w:rsidR="00F35214" w:rsidRPr="00EF2F18" w:rsidRDefault="00F3521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hideMark/>
          </w:tcPr>
          <w:p w14:paraId="7CFA3999" w14:textId="77777777" w:rsidR="00F35214" w:rsidRPr="00EF2F18" w:rsidRDefault="00F35214" w:rsidP="00752CA0">
            <w:pPr>
              <w:spacing w:after="0"/>
              <w:rPr>
                <w:rFonts w:eastAsia="Times New Roman" w:cs="Times New Roman"/>
                <w:color w:val="000000"/>
                <w:sz w:val="20"/>
                <w:szCs w:val="20"/>
                <w:lang w:val="sr-Cyrl-RS" w:eastAsia="en-GB"/>
              </w:rPr>
            </w:pPr>
          </w:p>
        </w:tc>
        <w:tc>
          <w:tcPr>
            <w:tcW w:w="1220" w:type="dxa"/>
            <w:tcBorders>
              <w:top w:val="nil"/>
              <w:left w:val="nil"/>
              <w:bottom w:val="single" w:sz="8" w:space="0" w:color="auto"/>
              <w:right w:val="single" w:sz="8" w:space="0" w:color="auto"/>
            </w:tcBorders>
            <w:shd w:val="clear" w:color="000000" w:fill="FFF2CC"/>
            <w:hideMark/>
          </w:tcPr>
          <w:p w14:paraId="2E50FD98" w14:textId="2F537E83"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350" w:type="dxa"/>
            <w:tcBorders>
              <w:top w:val="nil"/>
              <w:left w:val="nil"/>
              <w:bottom w:val="single" w:sz="8" w:space="0" w:color="auto"/>
              <w:right w:val="single" w:sz="8" w:space="0" w:color="auto"/>
            </w:tcBorders>
            <w:shd w:val="clear" w:color="000000" w:fill="FFF2CC"/>
            <w:hideMark/>
          </w:tcPr>
          <w:p w14:paraId="741D8748" w14:textId="16DF893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w:t>
            </w:r>
          </w:p>
        </w:tc>
        <w:tc>
          <w:tcPr>
            <w:tcW w:w="1350" w:type="dxa"/>
            <w:tcBorders>
              <w:top w:val="nil"/>
              <w:left w:val="nil"/>
              <w:bottom w:val="single" w:sz="8" w:space="0" w:color="auto"/>
              <w:right w:val="double" w:sz="6" w:space="0" w:color="auto"/>
            </w:tcBorders>
            <w:shd w:val="clear" w:color="000000" w:fill="FFF2CC"/>
            <w:hideMark/>
          </w:tcPr>
          <w:p w14:paraId="2BDBD7E8" w14:textId="410AE4FB"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F35214" w:rsidRPr="00EF2F18" w14:paraId="6F3499C7" w14:textId="77777777" w:rsidTr="00EF0900">
        <w:trPr>
          <w:gridAfter w:val="1"/>
          <w:wAfter w:w="236" w:type="dxa"/>
          <w:trHeight w:val="2580"/>
        </w:trPr>
        <w:tc>
          <w:tcPr>
            <w:tcW w:w="2904" w:type="dxa"/>
            <w:vMerge w:val="restart"/>
            <w:tcBorders>
              <w:top w:val="nil"/>
              <w:left w:val="double" w:sz="6" w:space="0" w:color="auto"/>
              <w:bottom w:val="double" w:sz="6" w:space="0" w:color="000000"/>
              <w:right w:val="single" w:sz="8" w:space="0" w:color="auto"/>
            </w:tcBorders>
            <w:hideMark/>
          </w:tcPr>
          <w:p w14:paraId="32F4EE43"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 xml:space="preserve">5.1.4.1. Годишња додела подстицаја за инвестиције у физичку имовину пољопривредних газдинства кроз улагања у основна средства и модернизацију опреме и објеката за смањење негативног утицаја на животну средину и прилагођавање на измењене климатске услове у приоритетним секторима примарне биљне и сточарске производње </w:t>
            </w:r>
          </w:p>
        </w:tc>
        <w:tc>
          <w:tcPr>
            <w:tcW w:w="1247" w:type="dxa"/>
            <w:vMerge w:val="restart"/>
            <w:tcBorders>
              <w:top w:val="nil"/>
              <w:left w:val="single" w:sz="8" w:space="0" w:color="auto"/>
              <w:bottom w:val="double" w:sz="6" w:space="0" w:color="000000"/>
              <w:right w:val="single" w:sz="8" w:space="0" w:color="auto"/>
            </w:tcBorders>
            <w:hideMark/>
          </w:tcPr>
          <w:p w14:paraId="7965572E"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73" w:type="dxa"/>
            <w:vMerge w:val="restart"/>
            <w:tcBorders>
              <w:top w:val="nil"/>
              <w:left w:val="single" w:sz="8" w:space="0" w:color="auto"/>
              <w:bottom w:val="double" w:sz="6" w:space="0" w:color="000000"/>
              <w:right w:val="single" w:sz="8" w:space="0" w:color="auto"/>
            </w:tcBorders>
            <w:hideMark/>
          </w:tcPr>
          <w:p w14:paraId="3FCE6D8E"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w:t>
            </w:r>
          </w:p>
        </w:tc>
        <w:tc>
          <w:tcPr>
            <w:tcW w:w="1182" w:type="dxa"/>
            <w:vMerge w:val="restart"/>
            <w:tcBorders>
              <w:top w:val="nil"/>
              <w:left w:val="single" w:sz="8" w:space="0" w:color="auto"/>
              <w:bottom w:val="double" w:sz="6" w:space="0" w:color="000000"/>
              <w:right w:val="single" w:sz="8" w:space="0" w:color="auto"/>
            </w:tcBorders>
            <w:hideMark/>
          </w:tcPr>
          <w:p w14:paraId="6D4DC583"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vMerge w:val="restart"/>
            <w:tcBorders>
              <w:top w:val="nil"/>
              <w:left w:val="single" w:sz="8" w:space="0" w:color="auto"/>
              <w:bottom w:val="double" w:sz="6" w:space="0" w:color="000000"/>
              <w:right w:val="single" w:sz="8" w:space="0" w:color="auto"/>
            </w:tcBorders>
            <w:hideMark/>
          </w:tcPr>
          <w:p w14:paraId="5B9F2621" w14:textId="767C865C" w:rsidR="00F35214" w:rsidRPr="00EF2F18" w:rsidRDefault="00F35214" w:rsidP="00752CA0">
            <w:pPr>
              <w:spacing w:after="0"/>
              <w:rPr>
                <w:rFonts w:eastAsia="Times New Roman" w:cs="Times New Roman"/>
                <w:color w:val="000000"/>
                <w:sz w:val="20"/>
                <w:szCs w:val="20"/>
                <w:highlight w:val="red"/>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vMerge w:val="restart"/>
            <w:tcBorders>
              <w:top w:val="nil"/>
              <w:left w:val="single" w:sz="8" w:space="0" w:color="auto"/>
              <w:bottom w:val="double" w:sz="6" w:space="0" w:color="000000"/>
              <w:right w:val="single" w:sz="8" w:space="0" w:color="auto"/>
            </w:tcBorders>
            <w:hideMark/>
          </w:tcPr>
          <w:p w14:paraId="03869D6E" w14:textId="441C3528" w:rsidR="00F35214" w:rsidRPr="00EF2F18" w:rsidRDefault="00F35214" w:rsidP="00752CA0">
            <w:pPr>
              <w:spacing w:after="0"/>
              <w:rPr>
                <w:rFonts w:eastAsia="Times New Roman" w:cs="Times New Roman"/>
                <w:color w:val="000000"/>
                <w:sz w:val="20"/>
                <w:szCs w:val="20"/>
                <w:highlight w:val="red"/>
                <w:lang w:val="sr-Cyrl-RS" w:eastAsia="en-GB"/>
              </w:rPr>
            </w:pPr>
            <w:r w:rsidRPr="00EF2F18">
              <w:rPr>
                <w:rFonts w:eastAsia="Times New Roman" w:cs="Times New Roman"/>
                <w:color w:val="000000"/>
                <w:sz w:val="20"/>
                <w:szCs w:val="20"/>
                <w:lang w:val="sr-Cyrl-RS" w:eastAsia="en-GB"/>
              </w:rPr>
              <w:t>0103-420-0002-451</w:t>
            </w:r>
          </w:p>
        </w:tc>
        <w:tc>
          <w:tcPr>
            <w:tcW w:w="1220" w:type="dxa"/>
            <w:vMerge w:val="restart"/>
            <w:tcBorders>
              <w:top w:val="nil"/>
              <w:left w:val="single" w:sz="8" w:space="0" w:color="auto"/>
              <w:bottom w:val="double" w:sz="6" w:space="0" w:color="000000"/>
              <w:right w:val="single" w:sz="8" w:space="0" w:color="auto"/>
            </w:tcBorders>
          </w:tcPr>
          <w:p w14:paraId="1074B315" w14:textId="12785314" w:rsidR="00F35214" w:rsidRPr="00EF2F18" w:rsidRDefault="00B10B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500.000</w:t>
            </w:r>
          </w:p>
        </w:tc>
        <w:tc>
          <w:tcPr>
            <w:tcW w:w="1350" w:type="dxa"/>
            <w:vMerge w:val="restart"/>
            <w:tcBorders>
              <w:top w:val="nil"/>
              <w:left w:val="single" w:sz="8" w:space="0" w:color="auto"/>
              <w:bottom w:val="double" w:sz="6" w:space="0" w:color="000000"/>
              <w:right w:val="single" w:sz="8" w:space="0" w:color="auto"/>
            </w:tcBorders>
          </w:tcPr>
          <w:p w14:paraId="6806E679" w14:textId="46CD294E" w:rsidR="00F35214" w:rsidRPr="00EF2F18" w:rsidRDefault="00F35214" w:rsidP="00752CA0">
            <w:pPr>
              <w:spacing w:after="0"/>
              <w:jc w:val="right"/>
              <w:rPr>
                <w:rFonts w:eastAsia="Times New Roman" w:cs="Times New Roman"/>
                <w:color w:val="000000"/>
                <w:sz w:val="20"/>
                <w:szCs w:val="20"/>
                <w:lang w:val="sr-Cyrl-RS" w:eastAsia="en-GB"/>
              </w:rPr>
            </w:pPr>
          </w:p>
        </w:tc>
        <w:tc>
          <w:tcPr>
            <w:tcW w:w="1350" w:type="dxa"/>
            <w:vMerge w:val="restart"/>
            <w:tcBorders>
              <w:top w:val="nil"/>
              <w:left w:val="single" w:sz="8" w:space="0" w:color="auto"/>
              <w:bottom w:val="double" w:sz="6" w:space="0" w:color="000000"/>
              <w:right w:val="double" w:sz="6" w:space="0" w:color="auto"/>
            </w:tcBorders>
          </w:tcPr>
          <w:p w14:paraId="6BC4927C" w14:textId="0C9EE53E" w:rsidR="00F35214" w:rsidRPr="00EF2F18" w:rsidRDefault="00F35214" w:rsidP="00752CA0">
            <w:pPr>
              <w:spacing w:after="0"/>
              <w:jc w:val="right"/>
              <w:rPr>
                <w:rFonts w:eastAsia="Times New Roman" w:cs="Times New Roman"/>
                <w:color w:val="000000"/>
                <w:sz w:val="20"/>
                <w:szCs w:val="20"/>
                <w:lang w:val="sr-Cyrl-RS" w:eastAsia="en-GB"/>
              </w:rPr>
            </w:pPr>
          </w:p>
        </w:tc>
      </w:tr>
      <w:tr w:rsidR="00F35214" w:rsidRPr="00EF2F18" w14:paraId="30FAD7F4" w14:textId="77777777" w:rsidTr="00EF0900">
        <w:trPr>
          <w:trHeight w:val="324"/>
        </w:trPr>
        <w:tc>
          <w:tcPr>
            <w:tcW w:w="2904" w:type="dxa"/>
            <w:vMerge/>
            <w:tcBorders>
              <w:top w:val="nil"/>
              <w:left w:val="double" w:sz="6" w:space="0" w:color="auto"/>
              <w:bottom w:val="double" w:sz="6" w:space="0" w:color="000000"/>
              <w:right w:val="single" w:sz="8" w:space="0" w:color="auto"/>
            </w:tcBorders>
            <w:hideMark/>
          </w:tcPr>
          <w:p w14:paraId="4FFC5583" w14:textId="77777777" w:rsidR="00F35214" w:rsidRPr="00EF2F18" w:rsidRDefault="00F35214" w:rsidP="00752CA0">
            <w:pPr>
              <w:spacing w:after="0"/>
              <w:rPr>
                <w:rFonts w:eastAsia="Times New Roman" w:cs="Times New Roman"/>
                <w:color w:val="000000"/>
                <w:sz w:val="20"/>
                <w:szCs w:val="20"/>
                <w:lang w:val="sr-Cyrl-RS" w:eastAsia="en-GB"/>
              </w:rPr>
            </w:pPr>
          </w:p>
        </w:tc>
        <w:tc>
          <w:tcPr>
            <w:tcW w:w="1247" w:type="dxa"/>
            <w:vMerge/>
            <w:tcBorders>
              <w:top w:val="nil"/>
              <w:left w:val="single" w:sz="8" w:space="0" w:color="auto"/>
              <w:bottom w:val="double" w:sz="6" w:space="0" w:color="000000"/>
              <w:right w:val="single" w:sz="8" w:space="0" w:color="auto"/>
            </w:tcBorders>
            <w:hideMark/>
          </w:tcPr>
          <w:p w14:paraId="1E6963ED" w14:textId="77777777" w:rsidR="00F35214" w:rsidRPr="00EF2F18" w:rsidRDefault="00F35214" w:rsidP="00752CA0">
            <w:pPr>
              <w:spacing w:after="0"/>
              <w:rPr>
                <w:rFonts w:eastAsia="Times New Roman" w:cs="Times New Roman"/>
                <w:color w:val="000000"/>
                <w:sz w:val="20"/>
                <w:szCs w:val="20"/>
                <w:lang w:val="sr-Cyrl-RS" w:eastAsia="en-GB"/>
              </w:rPr>
            </w:pPr>
          </w:p>
        </w:tc>
        <w:tc>
          <w:tcPr>
            <w:tcW w:w="1373" w:type="dxa"/>
            <w:vMerge/>
            <w:tcBorders>
              <w:top w:val="nil"/>
              <w:left w:val="single" w:sz="8" w:space="0" w:color="auto"/>
              <w:bottom w:val="double" w:sz="6" w:space="0" w:color="000000"/>
              <w:right w:val="single" w:sz="8" w:space="0" w:color="auto"/>
            </w:tcBorders>
            <w:hideMark/>
          </w:tcPr>
          <w:p w14:paraId="4C2B2CB3" w14:textId="77777777" w:rsidR="00F35214" w:rsidRPr="00EF2F18" w:rsidRDefault="00F35214"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double" w:sz="6" w:space="0" w:color="000000"/>
              <w:right w:val="single" w:sz="8" w:space="0" w:color="auto"/>
            </w:tcBorders>
            <w:hideMark/>
          </w:tcPr>
          <w:p w14:paraId="2F5EB24F" w14:textId="77777777" w:rsidR="00F35214" w:rsidRPr="00EF2F18" w:rsidRDefault="00F35214" w:rsidP="00752CA0">
            <w:pPr>
              <w:spacing w:after="0"/>
              <w:rPr>
                <w:rFonts w:eastAsia="Times New Roman" w:cs="Times New Roman"/>
                <w:color w:val="000000"/>
                <w:sz w:val="20"/>
                <w:szCs w:val="20"/>
                <w:lang w:val="sr-Cyrl-RS" w:eastAsia="en-GB"/>
              </w:rPr>
            </w:pPr>
          </w:p>
        </w:tc>
        <w:tc>
          <w:tcPr>
            <w:tcW w:w="1691" w:type="dxa"/>
            <w:vMerge/>
            <w:tcBorders>
              <w:top w:val="nil"/>
              <w:left w:val="single" w:sz="8" w:space="0" w:color="auto"/>
              <w:bottom w:val="double" w:sz="6" w:space="0" w:color="000000"/>
              <w:right w:val="single" w:sz="8" w:space="0" w:color="auto"/>
            </w:tcBorders>
            <w:hideMark/>
          </w:tcPr>
          <w:p w14:paraId="5EEB4E06" w14:textId="77777777" w:rsidR="00F35214" w:rsidRPr="00EF2F18" w:rsidRDefault="00F35214" w:rsidP="00752CA0">
            <w:pPr>
              <w:spacing w:after="0"/>
              <w:rPr>
                <w:rFonts w:eastAsia="Times New Roman" w:cs="Times New Roman"/>
                <w:color w:val="000000"/>
                <w:sz w:val="20"/>
                <w:szCs w:val="20"/>
                <w:lang w:val="sr-Cyrl-RS" w:eastAsia="en-GB"/>
              </w:rPr>
            </w:pPr>
          </w:p>
        </w:tc>
        <w:tc>
          <w:tcPr>
            <w:tcW w:w="1340" w:type="dxa"/>
            <w:vMerge/>
            <w:tcBorders>
              <w:top w:val="nil"/>
              <w:left w:val="single" w:sz="8" w:space="0" w:color="auto"/>
              <w:bottom w:val="double" w:sz="6" w:space="0" w:color="000000"/>
              <w:right w:val="single" w:sz="8" w:space="0" w:color="auto"/>
            </w:tcBorders>
            <w:hideMark/>
          </w:tcPr>
          <w:p w14:paraId="041D2768" w14:textId="77777777" w:rsidR="00F35214" w:rsidRPr="00EF2F18" w:rsidRDefault="00F35214" w:rsidP="00752CA0">
            <w:pPr>
              <w:spacing w:after="0"/>
              <w:rPr>
                <w:rFonts w:eastAsia="Times New Roman" w:cs="Times New Roman"/>
                <w:color w:val="000000"/>
                <w:sz w:val="20"/>
                <w:szCs w:val="20"/>
                <w:lang w:val="sr-Cyrl-RS" w:eastAsia="en-GB"/>
              </w:rPr>
            </w:pPr>
          </w:p>
        </w:tc>
        <w:tc>
          <w:tcPr>
            <w:tcW w:w="1220" w:type="dxa"/>
            <w:vMerge/>
            <w:tcBorders>
              <w:top w:val="nil"/>
              <w:left w:val="single" w:sz="8" w:space="0" w:color="auto"/>
              <w:bottom w:val="double" w:sz="6" w:space="0" w:color="000000"/>
              <w:right w:val="single" w:sz="8" w:space="0" w:color="auto"/>
            </w:tcBorders>
          </w:tcPr>
          <w:p w14:paraId="00777E70" w14:textId="77777777" w:rsidR="00F35214" w:rsidRPr="00EF2F18" w:rsidRDefault="00F35214" w:rsidP="00752CA0">
            <w:pPr>
              <w:spacing w:after="0"/>
              <w:rPr>
                <w:rFonts w:eastAsia="Times New Roman" w:cs="Times New Roman"/>
                <w:color w:val="000000"/>
                <w:sz w:val="20"/>
                <w:szCs w:val="20"/>
                <w:lang w:val="sr-Cyrl-RS" w:eastAsia="en-GB"/>
              </w:rPr>
            </w:pPr>
          </w:p>
        </w:tc>
        <w:tc>
          <w:tcPr>
            <w:tcW w:w="1350" w:type="dxa"/>
            <w:vMerge/>
            <w:tcBorders>
              <w:top w:val="nil"/>
              <w:left w:val="single" w:sz="8" w:space="0" w:color="auto"/>
              <w:bottom w:val="double" w:sz="6" w:space="0" w:color="000000"/>
              <w:right w:val="single" w:sz="8" w:space="0" w:color="auto"/>
            </w:tcBorders>
          </w:tcPr>
          <w:p w14:paraId="033A40D2" w14:textId="77777777" w:rsidR="00F35214" w:rsidRPr="00EF2F18" w:rsidRDefault="00F35214" w:rsidP="00752CA0">
            <w:pPr>
              <w:spacing w:after="0"/>
              <w:rPr>
                <w:rFonts w:eastAsia="Times New Roman" w:cs="Times New Roman"/>
                <w:color w:val="000000"/>
                <w:sz w:val="20"/>
                <w:szCs w:val="20"/>
                <w:lang w:val="sr-Cyrl-RS" w:eastAsia="en-GB"/>
              </w:rPr>
            </w:pPr>
          </w:p>
        </w:tc>
        <w:tc>
          <w:tcPr>
            <w:tcW w:w="1350" w:type="dxa"/>
            <w:vMerge/>
            <w:tcBorders>
              <w:top w:val="nil"/>
              <w:left w:val="single" w:sz="8" w:space="0" w:color="auto"/>
              <w:bottom w:val="double" w:sz="6" w:space="0" w:color="000000"/>
              <w:right w:val="double" w:sz="6" w:space="0" w:color="auto"/>
            </w:tcBorders>
          </w:tcPr>
          <w:p w14:paraId="6CD55942" w14:textId="77777777" w:rsidR="00F35214" w:rsidRPr="00EF2F18" w:rsidRDefault="00F35214"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hideMark/>
          </w:tcPr>
          <w:p w14:paraId="4FCE1B51" w14:textId="77777777" w:rsidR="00F35214" w:rsidRPr="00EF2F18" w:rsidRDefault="00F35214" w:rsidP="00752CA0">
            <w:pPr>
              <w:spacing w:after="0"/>
              <w:rPr>
                <w:rFonts w:eastAsia="Times New Roman" w:cs="Times New Roman"/>
                <w:color w:val="000000"/>
                <w:sz w:val="20"/>
                <w:szCs w:val="20"/>
                <w:lang w:val="sr-Cyrl-RS" w:eastAsia="en-GB"/>
              </w:rPr>
            </w:pPr>
          </w:p>
        </w:tc>
      </w:tr>
    </w:tbl>
    <w:p w14:paraId="223B8A34"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3310"/>
        <w:gridCol w:w="1279"/>
        <w:gridCol w:w="1300"/>
        <w:gridCol w:w="998"/>
        <w:gridCol w:w="997"/>
        <w:gridCol w:w="1516"/>
        <w:gridCol w:w="1060"/>
        <w:gridCol w:w="1060"/>
        <w:gridCol w:w="2137"/>
      </w:tblGrid>
      <w:tr w:rsidR="00F35214" w:rsidRPr="00EF2F18" w14:paraId="4935388F" w14:textId="77777777" w:rsidTr="00EF0900">
        <w:trPr>
          <w:trHeight w:val="336"/>
        </w:trPr>
        <w:tc>
          <w:tcPr>
            <w:tcW w:w="1365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131A935" w14:textId="77777777" w:rsidR="00F35214" w:rsidRPr="00EF2F18" w:rsidRDefault="00F35214"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5.1.5: Подстицање и промоција органске производње</w:t>
            </w:r>
          </w:p>
        </w:tc>
      </w:tr>
      <w:tr w:rsidR="00F35214" w:rsidRPr="00EF2F18" w14:paraId="1C15C55D" w14:textId="77777777" w:rsidTr="00EF0900">
        <w:trPr>
          <w:trHeight w:val="336"/>
        </w:trPr>
        <w:tc>
          <w:tcPr>
            <w:tcW w:w="1365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19C7ABC8" w14:textId="77777777" w:rsidR="00F35214" w:rsidRPr="00EF2F18" w:rsidRDefault="00F35214"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F35214" w:rsidRPr="00EF2F18" w14:paraId="705EA3A6" w14:textId="77777777" w:rsidTr="00EF0900">
        <w:trPr>
          <w:trHeight w:val="336"/>
        </w:trPr>
        <w:tc>
          <w:tcPr>
            <w:tcW w:w="6887"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0A4152FC" w14:textId="64E453AD"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2026-2028.</w:t>
            </w:r>
          </w:p>
        </w:tc>
        <w:tc>
          <w:tcPr>
            <w:tcW w:w="6770" w:type="dxa"/>
            <w:gridSpan w:val="5"/>
            <w:tcBorders>
              <w:top w:val="double" w:sz="6" w:space="0" w:color="auto"/>
              <w:left w:val="nil"/>
              <w:bottom w:val="double" w:sz="6" w:space="0" w:color="auto"/>
              <w:right w:val="double" w:sz="6" w:space="0" w:color="auto"/>
            </w:tcBorders>
            <w:shd w:val="clear" w:color="000000" w:fill="F7CAAC"/>
            <w:hideMark/>
          </w:tcPr>
          <w:p w14:paraId="07194AFE"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F35214" w:rsidRPr="00EF2F18" w14:paraId="3A71727D" w14:textId="77777777" w:rsidTr="00EF0900">
        <w:trPr>
          <w:trHeight w:val="336"/>
        </w:trPr>
        <w:tc>
          <w:tcPr>
            <w:tcW w:w="6887"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79B90C0A"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70" w:type="dxa"/>
            <w:gridSpan w:val="5"/>
            <w:tcBorders>
              <w:top w:val="double" w:sz="6" w:space="0" w:color="auto"/>
              <w:left w:val="nil"/>
              <w:bottom w:val="double" w:sz="6" w:space="0" w:color="auto"/>
              <w:right w:val="double" w:sz="6" w:space="0" w:color="auto"/>
            </w:tcBorders>
            <w:shd w:val="clear" w:color="000000" w:fill="F7CAAC"/>
            <w:hideMark/>
          </w:tcPr>
          <w:p w14:paraId="4B0FDBD6" w14:textId="77777777" w:rsidR="00F35214" w:rsidRPr="00EF2F18" w:rsidRDefault="00F35214"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F35214" w:rsidRPr="00EF2F18" w14:paraId="4E587449" w14:textId="77777777" w:rsidTr="00EF0900">
        <w:trPr>
          <w:trHeight w:val="816"/>
        </w:trPr>
        <w:tc>
          <w:tcPr>
            <w:tcW w:w="3310" w:type="dxa"/>
            <w:tcBorders>
              <w:top w:val="nil"/>
              <w:left w:val="double" w:sz="6" w:space="0" w:color="auto"/>
              <w:bottom w:val="double" w:sz="6" w:space="0" w:color="auto"/>
              <w:right w:val="single" w:sz="8" w:space="0" w:color="auto"/>
            </w:tcBorders>
            <w:shd w:val="clear" w:color="000000" w:fill="D9D9D9"/>
            <w:hideMark/>
          </w:tcPr>
          <w:p w14:paraId="2D4205C5"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79" w:type="dxa"/>
            <w:tcBorders>
              <w:top w:val="nil"/>
              <w:left w:val="nil"/>
              <w:bottom w:val="double" w:sz="6" w:space="0" w:color="auto"/>
              <w:right w:val="single" w:sz="8" w:space="0" w:color="auto"/>
            </w:tcBorders>
            <w:shd w:val="clear" w:color="000000" w:fill="D9D9D9"/>
            <w:hideMark/>
          </w:tcPr>
          <w:p w14:paraId="58E420AB"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300" w:type="dxa"/>
            <w:tcBorders>
              <w:top w:val="nil"/>
              <w:left w:val="nil"/>
              <w:bottom w:val="double" w:sz="6" w:space="0" w:color="auto"/>
              <w:right w:val="single" w:sz="8" w:space="0" w:color="auto"/>
            </w:tcBorders>
            <w:shd w:val="clear" w:color="000000" w:fill="D9D9D9"/>
            <w:hideMark/>
          </w:tcPr>
          <w:p w14:paraId="42C6329D"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95" w:type="dxa"/>
            <w:gridSpan w:val="2"/>
            <w:tcBorders>
              <w:top w:val="double" w:sz="6" w:space="0" w:color="auto"/>
              <w:left w:val="nil"/>
              <w:bottom w:val="double" w:sz="6" w:space="0" w:color="auto"/>
              <w:right w:val="single" w:sz="8" w:space="0" w:color="000000"/>
            </w:tcBorders>
            <w:shd w:val="clear" w:color="000000" w:fill="D9D9D9"/>
            <w:hideMark/>
          </w:tcPr>
          <w:p w14:paraId="4890797E"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516" w:type="dxa"/>
            <w:tcBorders>
              <w:top w:val="nil"/>
              <w:left w:val="nil"/>
              <w:bottom w:val="double" w:sz="6" w:space="0" w:color="auto"/>
              <w:right w:val="single" w:sz="8" w:space="0" w:color="auto"/>
            </w:tcBorders>
            <w:shd w:val="clear" w:color="000000" w:fill="D9D9D9"/>
            <w:hideMark/>
          </w:tcPr>
          <w:p w14:paraId="6991A30C"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26F642EF"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060" w:type="dxa"/>
            <w:tcBorders>
              <w:top w:val="nil"/>
              <w:left w:val="nil"/>
              <w:bottom w:val="double" w:sz="6" w:space="0" w:color="auto"/>
              <w:right w:val="single" w:sz="8" w:space="0" w:color="auto"/>
            </w:tcBorders>
            <w:shd w:val="clear" w:color="000000" w:fill="D9D9D9"/>
            <w:hideMark/>
          </w:tcPr>
          <w:p w14:paraId="5072A1F7"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2137" w:type="dxa"/>
            <w:tcBorders>
              <w:top w:val="nil"/>
              <w:left w:val="nil"/>
              <w:bottom w:val="double" w:sz="6" w:space="0" w:color="auto"/>
              <w:right w:val="double" w:sz="6" w:space="0" w:color="auto"/>
            </w:tcBorders>
            <w:shd w:val="clear" w:color="000000" w:fill="D9D9D9"/>
            <w:hideMark/>
          </w:tcPr>
          <w:p w14:paraId="58BC6416"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F35214" w:rsidRPr="00EF2F18" w14:paraId="0798FABB" w14:textId="77777777" w:rsidTr="009B58F7">
        <w:trPr>
          <w:trHeight w:val="638"/>
        </w:trPr>
        <w:tc>
          <w:tcPr>
            <w:tcW w:w="3310" w:type="dxa"/>
            <w:tcBorders>
              <w:top w:val="single" w:sz="4" w:space="0" w:color="auto"/>
              <w:left w:val="double" w:sz="6" w:space="0" w:color="auto"/>
              <w:bottom w:val="double" w:sz="6" w:space="0" w:color="auto"/>
              <w:right w:val="single" w:sz="8" w:space="0" w:color="auto"/>
            </w:tcBorders>
            <w:shd w:val="clear" w:color="000000" w:fill="FFFFFF"/>
            <w:hideMark/>
          </w:tcPr>
          <w:p w14:paraId="3271FB9F" w14:textId="0646DD27" w:rsidR="00F35214" w:rsidRPr="00EF2F18" w:rsidRDefault="00F35214"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Сертификована површина под органском производњом </w:t>
            </w:r>
          </w:p>
        </w:tc>
        <w:tc>
          <w:tcPr>
            <w:tcW w:w="1279" w:type="dxa"/>
            <w:tcBorders>
              <w:top w:val="single" w:sz="4" w:space="0" w:color="auto"/>
              <w:left w:val="nil"/>
              <w:bottom w:val="double" w:sz="6" w:space="0" w:color="auto"/>
              <w:right w:val="single" w:sz="8" w:space="0" w:color="auto"/>
            </w:tcBorders>
            <w:shd w:val="clear" w:color="000000" w:fill="FFFFFF"/>
            <w:hideMark/>
          </w:tcPr>
          <w:p w14:paraId="59CEDA34" w14:textId="52259D10"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hа</w:t>
            </w:r>
          </w:p>
        </w:tc>
        <w:tc>
          <w:tcPr>
            <w:tcW w:w="1300" w:type="dxa"/>
            <w:tcBorders>
              <w:top w:val="single" w:sz="4" w:space="0" w:color="auto"/>
              <w:left w:val="nil"/>
              <w:bottom w:val="double" w:sz="6" w:space="0" w:color="auto"/>
              <w:right w:val="single" w:sz="8" w:space="0" w:color="auto"/>
            </w:tcBorders>
            <w:shd w:val="clear" w:color="000000" w:fill="FFFFFF"/>
            <w:hideMark/>
          </w:tcPr>
          <w:p w14:paraId="6F95D5C1" w14:textId="1B66B5BD"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95" w:type="dxa"/>
            <w:gridSpan w:val="2"/>
            <w:tcBorders>
              <w:top w:val="single" w:sz="4" w:space="0" w:color="auto"/>
              <w:left w:val="nil"/>
              <w:bottom w:val="double" w:sz="6" w:space="0" w:color="auto"/>
              <w:right w:val="single" w:sz="8" w:space="0" w:color="000000"/>
            </w:tcBorders>
            <w:shd w:val="clear" w:color="000000" w:fill="FFFFFF"/>
            <w:hideMark/>
          </w:tcPr>
          <w:p w14:paraId="62363749" w14:textId="0C8FEB06" w:rsidR="00F35214" w:rsidRPr="00EF2F18" w:rsidRDefault="001C29BE"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14.835</w:t>
            </w:r>
          </w:p>
        </w:tc>
        <w:tc>
          <w:tcPr>
            <w:tcW w:w="1516" w:type="dxa"/>
            <w:tcBorders>
              <w:top w:val="single" w:sz="4" w:space="0" w:color="auto"/>
              <w:left w:val="nil"/>
              <w:bottom w:val="double" w:sz="6" w:space="0" w:color="auto"/>
              <w:right w:val="single" w:sz="8" w:space="0" w:color="auto"/>
            </w:tcBorders>
            <w:shd w:val="clear" w:color="000000" w:fill="FFFFFF"/>
            <w:hideMark/>
          </w:tcPr>
          <w:p w14:paraId="54F3D432" w14:textId="1EB84A04"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2024.</w:t>
            </w:r>
          </w:p>
        </w:tc>
        <w:tc>
          <w:tcPr>
            <w:tcW w:w="1060" w:type="dxa"/>
            <w:tcBorders>
              <w:top w:val="single" w:sz="4" w:space="0" w:color="auto"/>
              <w:left w:val="single" w:sz="4" w:space="0" w:color="auto"/>
              <w:bottom w:val="double" w:sz="6" w:space="0" w:color="auto"/>
              <w:right w:val="single" w:sz="8" w:space="0" w:color="auto"/>
            </w:tcBorders>
            <w:shd w:val="clear" w:color="000000" w:fill="FFFFFF"/>
            <w:hideMark/>
          </w:tcPr>
          <w:p w14:paraId="58095475" w14:textId="3B454C92"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cs="Times New Roman"/>
                <w:sz w:val="20"/>
                <w:szCs w:val="20"/>
                <w:lang w:val="sr-Cyrl-RS"/>
              </w:rPr>
              <w:t>24.100</w:t>
            </w:r>
          </w:p>
        </w:tc>
        <w:tc>
          <w:tcPr>
            <w:tcW w:w="1060" w:type="dxa"/>
            <w:tcBorders>
              <w:top w:val="single" w:sz="4" w:space="0" w:color="auto"/>
              <w:left w:val="nil"/>
              <w:bottom w:val="double" w:sz="6" w:space="0" w:color="auto"/>
              <w:right w:val="single" w:sz="8" w:space="0" w:color="auto"/>
            </w:tcBorders>
            <w:shd w:val="clear" w:color="000000" w:fill="FFFFFF"/>
            <w:hideMark/>
          </w:tcPr>
          <w:p w14:paraId="78F9FE8B" w14:textId="06907488"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cs="Times New Roman"/>
                <w:sz w:val="20"/>
                <w:szCs w:val="20"/>
                <w:lang w:val="sr-Cyrl-RS"/>
              </w:rPr>
              <w:t>26.500</w:t>
            </w:r>
          </w:p>
        </w:tc>
        <w:tc>
          <w:tcPr>
            <w:tcW w:w="2137" w:type="dxa"/>
            <w:tcBorders>
              <w:top w:val="single" w:sz="4" w:space="0" w:color="auto"/>
              <w:left w:val="nil"/>
              <w:bottom w:val="double" w:sz="6" w:space="0" w:color="auto"/>
              <w:right w:val="double" w:sz="6" w:space="0" w:color="auto"/>
            </w:tcBorders>
            <w:shd w:val="clear" w:color="000000" w:fill="FFFFFF"/>
            <w:hideMark/>
          </w:tcPr>
          <w:p w14:paraId="29A705DF" w14:textId="39FA7399"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29.150</w:t>
            </w:r>
          </w:p>
        </w:tc>
      </w:tr>
      <w:tr w:rsidR="00F35214" w:rsidRPr="00EF2F18" w14:paraId="212BB349" w14:textId="77777777" w:rsidTr="00EF0900">
        <w:trPr>
          <w:trHeight w:val="732"/>
        </w:trPr>
        <w:tc>
          <w:tcPr>
            <w:tcW w:w="3310" w:type="dxa"/>
            <w:vMerge w:val="restart"/>
            <w:tcBorders>
              <w:top w:val="nil"/>
              <w:left w:val="double" w:sz="6" w:space="0" w:color="auto"/>
              <w:bottom w:val="double" w:sz="6" w:space="0" w:color="000000"/>
              <w:right w:val="single" w:sz="8" w:space="0" w:color="auto"/>
            </w:tcBorders>
            <w:shd w:val="clear" w:color="000000" w:fill="FFFFFF"/>
            <w:hideMark/>
          </w:tcPr>
          <w:p w14:paraId="12D78CB0" w14:textId="018A8764" w:rsidR="00F35214" w:rsidRPr="00EF2F18" w:rsidRDefault="00F35214"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површине под органском производњом укупно КПЗ </w:t>
            </w:r>
          </w:p>
        </w:tc>
        <w:tc>
          <w:tcPr>
            <w:tcW w:w="1279" w:type="dxa"/>
            <w:vMerge w:val="restart"/>
            <w:tcBorders>
              <w:top w:val="nil"/>
              <w:left w:val="single" w:sz="8" w:space="0" w:color="auto"/>
              <w:bottom w:val="double" w:sz="6" w:space="0" w:color="000000"/>
              <w:right w:val="single" w:sz="8" w:space="0" w:color="auto"/>
            </w:tcBorders>
            <w:shd w:val="clear" w:color="000000" w:fill="FFFFFF"/>
            <w:hideMark/>
          </w:tcPr>
          <w:p w14:paraId="723CEA9D" w14:textId="4532FC0B"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00" w:type="dxa"/>
            <w:vMerge w:val="restart"/>
            <w:tcBorders>
              <w:top w:val="nil"/>
              <w:left w:val="single" w:sz="8" w:space="0" w:color="auto"/>
              <w:bottom w:val="double" w:sz="6" w:space="0" w:color="000000"/>
              <w:right w:val="single" w:sz="8" w:space="0" w:color="auto"/>
            </w:tcBorders>
            <w:shd w:val="clear" w:color="000000" w:fill="FFFFFF"/>
            <w:hideMark/>
          </w:tcPr>
          <w:p w14:paraId="26018F75" w14:textId="12E347FA"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95" w:type="dxa"/>
            <w:gridSpan w:val="2"/>
            <w:vMerge w:val="restart"/>
            <w:tcBorders>
              <w:top w:val="double" w:sz="6" w:space="0" w:color="auto"/>
              <w:left w:val="single" w:sz="8" w:space="0" w:color="auto"/>
              <w:bottom w:val="double" w:sz="6" w:space="0" w:color="000000"/>
              <w:right w:val="single" w:sz="8" w:space="0" w:color="000000"/>
            </w:tcBorders>
            <w:shd w:val="clear" w:color="000000" w:fill="FFFFFF"/>
            <w:hideMark/>
          </w:tcPr>
          <w:p w14:paraId="24E95040" w14:textId="0AE92E10"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0,8</w:t>
            </w:r>
          </w:p>
        </w:tc>
        <w:tc>
          <w:tcPr>
            <w:tcW w:w="1516" w:type="dxa"/>
            <w:vMerge w:val="restart"/>
            <w:tcBorders>
              <w:top w:val="nil"/>
              <w:left w:val="single" w:sz="8" w:space="0" w:color="auto"/>
              <w:bottom w:val="double" w:sz="6" w:space="0" w:color="000000"/>
              <w:right w:val="single" w:sz="8" w:space="0" w:color="auto"/>
            </w:tcBorders>
            <w:shd w:val="clear" w:color="000000" w:fill="FFFFFF"/>
            <w:hideMark/>
          </w:tcPr>
          <w:p w14:paraId="25B86B70" w14:textId="3AAAD525"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2024.</w:t>
            </w:r>
          </w:p>
        </w:tc>
        <w:tc>
          <w:tcPr>
            <w:tcW w:w="1060" w:type="dxa"/>
            <w:tcBorders>
              <w:top w:val="nil"/>
              <w:left w:val="single" w:sz="8" w:space="0" w:color="auto"/>
              <w:bottom w:val="nil"/>
              <w:right w:val="single" w:sz="8" w:space="0" w:color="auto"/>
            </w:tcBorders>
            <w:shd w:val="clear" w:color="000000" w:fill="FFFFFF"/>
            <w:hideMark/>
          </w:tcPr>
          <w:p w14:paraId="70AB5887" w14:textId="65FDD3B9"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0,90</w:t>
            </w:r>
          </w:p>
        </w:tc>
        <w:tc>
          <w:tcPr>
            <w:tcW w:w="1060" w:type="dxa"/>
            <w:tcBorders>
              <w:top w:val="nil"/>
              <w:left w:val="nil"/>
              <w:bottom w:val="nil"/>
              <w:right w:val="single" w:sz="8" w:space="0" w:color="auto"/>
            </w:tcBorders>
            <w:shd w:val="clear" w:color="000000" w:fill="FFFFFF"/>
            <w:hideMark/>
          </w:tcPr>
          <w:p w14:paraId="78702E72" w14:textId="68A0A2A3"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1,0</w:t>
            </w:r>
          </w:p>
        </w:tc>
        <w:tc>
          <w:tcPr>
            <w:tcW w:w="2137" w:type="dxa"/>
            <w:tcBorders>
              <w:top w:val="nil"/>
              <w:left w:val="nil"/>
              <w:bottom w:val="nil"/>
              <w:right w:val="double" w:sz="6" w:space="0" w:color="auto"/>
            </w:tcBorders>
            <w:shd w:val="clear" w:color="000000" w:fill="FFFFFF"/>
            <w:hideMark/>
          </w:tcPr>
          <w:p w14:paraId="02B2D1EA" w14:textId="1D7DB502" w:rsidR="00F35214" w:rsidRPr="00EF2F18" w:rsidRDefault="00F35214" w:rsidP="0012364D">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1,2</w:t>
            </w:r>
          </w:p>
        </w:tc>
      </w:tr>
      <w:tr w:rsidR="00F35214" w:rsidRPr="00EF2F18" w14:paraId="492620AB" w14:textId="77777777" w:rsidTr="00EF0900">
        <w:trPr>
          <w:trHeight w:val="324"/>
        </w:trPr>
        <w:tc>
          <w:tcPr>
            <w:tcW w:w="3310" w:type="dxa"/>
            <w:vMerge/>
            <w:tcBorders>
              <w:top w:val="nil"/>
              <w:left w:val="double" w:sz="6" w:space="0" w:color="auto"/>
              <w:bottom w:val="double" w:sz="6" w:space="0" w:color="000000"/>
              <w:right w:val="single" w:sz="8" w:space="0" w:color="auto"/>
            </w:tcBorders>
            <w:vAlign w:val="center"/>
            <w:hideMark/>
          </w:tcPr>
          <w:p w14:paraId="2489B09F" w14:textId="77777777" w:rsidR="00F35214" w:rsidRPr="00EF2F18" w:rsidRDefault="00F35214" w:rsidP="00752CA0">
            <w:pPr>
              <w:spacing w:after="0"/>
              <w:rPr>
                <w:rFonts w:eastAsia="Times New Roman" w:cs="Times New Roman"/>
                <w:color w:val="000000"/>
                <w:sz w:val="20"/>
                <w:szCs w:val="20"/>
                <w:lang w:val="sr-Cyrl-RS" w:eastAsia="en-GB"/>
              </w:rPr>
            </w:pPr>
          </w:p>
        </w:tc>
        <w:tc>
          <w:tcPr>
            <w:tcW w:w="1279" w:type="dxa"/>
            <w:vMerge/>
            <w:tcBorders>
              <w:top w:val="nil"/>
              <w:left w:val="single" w:sz="8" w:space="0" w:color="auto"/>
              <w:bottom w:val="double" w:sz="6" w:space="0" w:color="000000"/>
              <w:right w:val="single" w:sz="8" w:space="0" w:color="auto"/>
            </w:tcBorders>
            <w:vAlign w:val="center"/>
            <w:hideMark/>
          </w:tcPr>
          <w:p w14:paraId="5149779D" w14:textId="77777777" w:rsidR="00F35214" w:rsidRPr="00EF2F18" w:rsidRDefault="00F35214" w:rsidP="00752CA0">
            <w:pPr>
              <w:spacing w:after="0"/>
              <w:rPr>
                <w:rFonts w:eastAsia="Times New Roman" w:cs="Times New Roman"/>
                <w:color w:val="000000"/>
                <w:sz w:val="20"/>
                <w:szCs w:val="20"/>
                <w:lang w:val="sr-Cyrl-RS" w:eastAsia="en-GB"/>
              </w:rPr>
            </w:pPr>
          </w:p>
        </w:tc>
        <w:tc>
          <w:tcPr>
            <w:tcW w:w="1300" w:type="dxa"/>
            <w:vMerge/>
            <w:tcBorders>
              <w:top w:val="nil"/>
              <w:left w:val="single" w:sz="8" w:space="0" w:color="auto"/>
              <w:bottom w:val="double" w:sz="6" w:space="0" w:color="000000"/>
              <w:right w:val="single" w:sz="8" w:space="0" w:color="auto"/>
            </w:tcBorders>
            <w:vAlign w:val="center"/>
            <w:hideMark/>
          </w:tcPr>
          <w:p w14:paraId="0A7E9030" w14:textId="77777777" w:rsidR="00F35214" w:rsidRPr="00EF2F18" w:rsidRDefault="00F35214" w:rsidP="00752CA0">
            <w:pPr>
              <w:spacing w:after="0"/>
              <w:rPr>
                <w:rFonts w:eastAsia="Times New Roman" w:cs="Times New Roman"/>
                <w:color w:val="000000"/>
                <w:sz w:val="20"/>
                <w:szCs w:val="20"/>
                <w:lang w:val="sr-Cyrl-RS" w:eastAsia="en-GB"/>
              </w:rPr>
            </w:pPr>
          </w:p>
        </w:tc>
        <w:tc>
          <w:tcPr>
            <w:tcW w:w="1995" w:type="dxa"/>
            <w:gridSpan w:val="2"/>
            <w:vMerge/>
            <w:tcBorders>
              <w:top w:val="double" w:sz="6" w:space="0" w:color="auto"/>
              <w:left w:val="single" w:sz="8" w:space="0" w:color="auto"/>
              <w:bottom w:val="double" w:sz="6" w:space="0" w:color="000000"/>
              <w:right w:val="single" w:sz="8" w:space="0" w:color="000000"/>
            </w:tcBorders>
            <w:vAlign w:val="center"/>
            <w:hideMark/>
          </w:tcPr>
          <w:p w14:paraId="346E4639" w14:textId="77777777" w:rsidR="00F35214" w:rsidRPr="00EF2F18" w:rsidRDefault="00F35214" w:rsidP="00752CA0">
            <w:pPr>
              <w:spacing w:after="0"/>
              <w:rPr>
                <w:rFonts w:eastAsia="Times New Roman" w:cs="Times New Roman"/>
                <w:color w:val="000000"/>
                <w:sz w:val="20"/>
                <w:szCs w:val="20"/>
                <w:lang w:val="sr-Cyrl-RS" w:eastAsia="en-GB"/>
              </w:rPr>
            </w:pPr>
          </w:p>
        </w:tc>
        <w:tc>
          <w:tcPr>
            <w:tcW w:w="1516" w:type="dxa"/>
            <w:vMerge/>
            <w:tcBorders>
              <w:top w:val="nil"/>
              <w:left w:val="single" w:sz="8" w:space="0" w:color="auto"/>
              <w:bottom w:val="double" w:sz="6" w:space="0" w:color="000000"/>
              <w:right w:val="single" w:sz="8" w:space="0" w:color="auto"/>
            </w:tcBorders>
            <w:vAlign w:val="center"/>
            <w:hideMark/>
          </w:tcPr>
          <w:p w14:paraId="0588C8CF" w14:textId="77777777" w:rsidR="00F35214" w:rsidRPr="00EF2F18" w:rsidRDefault="00F35214" w:rsidP="00752CA0">
            <w:pPr>
              <w:spacing w:after="0"/>
              <w:rPr>
                <w:rFonts w:eastAsia="Times New Roman" w:cs="Times New Roman"/>
                <w:color w:val="000000"/>
                <w:sz w:val="20"/>
                <w:szCs w:val="20"/>
                <w:lang w:val="sr-Cyrl-RS" w:eastAsia="en-GB"/>
              </w:rPr>
            </w:pPr>
          </w:p>
        </w:tc>
        <w:tc>
          <w:tcPr>
            <w:tcW w:w="1060" w:type="dxa"/>
            <w:tcBorders>
              <w:top w:val="nil"/>
              <w:left w:val="nil"/>
              <w:bottom w:val="double" w:sz="6" w:space="0" w:color="auto"/>
              <w:right w:val="nil"/>
            </w:tcBorders>
            <w:shd w:val="clear" w:color="000000" w:fill="FFFFFF"/>
          </w:tcPr>
          <w:p w14:paraId="6B8C6757" w14:textId="69BBE45F" w:rsidR="00F35214" w:rsidRPr="00EF2F18" w:rsidRDefault="00F35214" w:rsidP="00752CA0">
            <w:pPr>
              <w:spacing w:after="0"/>
              <w:jc w:val="center"/>
              <w:rPr>
                <w:rFonts w:eastAsia="Times New Roman" w:cs="Times New Roman"/>
                <w:color w:val="000000"/>
                <w:sz w:val="20"/>
                <w:szCs w:val="20"/>
                <w:lang w:val="sr-Cyrl-RS" w:eastAsia="en-GB"/>
              </w:rPr>
            </w:pPr>
          </w:p>
        </w:tc>
        <w:tc>
          <w:tcPr>
            <w:tcW w:w="1060" w:type="dxa"/>
            <w:tcBorders>
              <w:top w:val="nil"/>
              <w:left w:val="single" w:sz="8" w:space="0" w:color="auto"/>
              <w:bottom w:val="double" w:sz="6" w:space="0" w:color="auto"/>
              <w:right w:val="single" w:sz="8" w:space="0" w:color="auto"/>
            </w:tcBorders>
            <w:shd w:val="clear" w:color="000000" w:fill="FFFFFF"/>
          </w:tcPr>
          <w:p w14:paraId="04657303" w14:textId="1E2AC45D" w:rsidR="00F35214" w:rsidRPr="00EF2F18" w:rsidRDefault="00F35214" w:rsidP="00752CA0">
            <w:pPr>
              <w:spacing w:after="0"/>
              <w:jc w:val="center"/>
              <w:rPr>
                <w:rFonts w:eastAsia="Times New Roman" w:cs="Times New Roman"/>
                <w:color w:val="000000"/>
                <w:sz w:val="20"/>
                <w:szCs w:val="20"/>
                <w:lang w:val="sr-Cyrl-RS" w:eastAsia="en-GB"/>
              </w:rPr>
            </w:pPr>
          </w:p>
        </w:tc>
        <w:tc>
          <w:tcPr>
            <w:tcW w:w="2137" w:type="dxa"/>
            <w:tcBorders>
              <w:top w:val="nil"/>
              <w:left w:val="nil"/>
              <w:bottom w:val="double" w:sz="6" w:space="0" w:color="auto"/>
              <w:right w:val="single" w:sz="8" w:space="0" w:color="auto"/>
            </w:tcBorders>
            <w:shd w:val="clear" w:color="000000" w:fill="FFFFFF"/>
          </w:tcPr>
          <w:p w14:paraId="42F9FE0D" w14:textId="0F828B68" w:rsidR="00F35214" w:rsidRPr="00EF2F18" w:rsidRDefault="00F35214" w:rsidP="00752CA0">
            <w:pPr>
              <w:spacing w:after="0"/>
              <w:jc w:val="center"/>
              <w:rPr>
                <w:rFonts w:eastAsia="Times New Roman" w:cs="Times New Roman"/>
                <w:color w:val="000000"/>
                <w:sz w:val="20"/>
                <w:szCs w:val="20"/>
                <w:lang w:val="sr-Cyrl-RS" w:eastAsia="en-GB"/>
              </w:rPr>
            </w:pPr>
          </w:p>
        </w:tc>
      </w:tr>
    </w:tbl>
    <w:p w14:paraId="56C0140A" w14:textId="77777777" w:rsidR="007D7243" w:rsidRPr="00EF2F18" w:rsidRDefault="007D7243" w:rsidP="007D7243">
      <w:pPr>
        <w:spacing w:after="0"/>
        <w:rPr>
          <w:sz w:val="20"/>
          <w:szCs w:val="20"/>
          <w:lang w:val="sr-Cyrl-RS"/>
        </w:rPr>
      </w:pPr>
      <w:r w:rsidRPr="00EF2F18">
        <w:rPr>
          <w:sz w:val="20"/>
          <w:szCs w:val="20"/>
          <w:lang w:val="sr-Cyrl-RS"/>
        </w:rPr>
        <w:t xml:space="preserve"> </w:t>
      </w: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0"/>
        <w:gridCol w:w="2480"/>
        <w:gridCol w:w="1820"/>
        <w:gridCol w:w="1820"/>
        <w:gridCol w:w="3737"/>
      </w:tblGrid>
      <w:tr w:rsidR="007D7243" w:rsidRPr="00EF2F18" w14:paraId="7BB90461" w14:textId="77777777" w:rsidTr="00C1286C">
        <w:trPr>
          <w:trHeight w:val="336"/>
        </w:trPr>
        <w:tc>
          <w:tcPr>
            <w:tcW w:w="3800" w:type="dxa"/>
            <w:vMerge w:val="restart"/>
            <w:shd w:val="clear" w:color="000000" w:fill="A8D08D"/>
            <w:hideMark/>
          </w:tcPr>
          <w:p w14:paraId="21CDAE4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480" w:type="dxa"/>
            <w:vMerge w:val="restart"/>
            <w:shd w:val="clear" w:color="000000" w:fill="A8D08D"/>
            <w:hideMark/>
          </w:tcPr>
          <w:p w14:paraId="6AA2DFA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377" w:type="dxa"/>
            <w:gridSpan w:val="3"/>
            <w:shd w:val="clear" w:color="000000" w:fill="A8D08D"/>
            <w:hideMark/>
          </w:tcPr>
          <w:p w14:paraId="056B2D6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F35214" w:rsidRPr="00EF2F18" w14:paraId="68E54AA3" w14:textId="77777777" w:rsidTr="00C1286C">
        <w:trPr>
          <w:trHeight w:val="336"/>
        </w:trPr>
        <w:tc>
          <w:tcPr>
            <w:tcW w:w="3800" w:type="dxa"/>
            <w:vMerge/>
            <w:vAlign w:val="center"/>
            <w:hideMark/>
          </w:tcPr>
          <w:p w14:paraId="03EA0024" w14:textId="77777777" w:rsidR="00F35214" w:rsidRPr="00EF2F18" w:rsidRDefault="00F35214" w:rsidP="00752CA0">
            <w:pPr>
              <w:spacing w:after="0"/>
              <w:rPr>
                <w:rFonts w:eastAsia="Times New Roman" w:cs="Times New Roman"/>
                <w:color w:val="000000"/>
                <w:sz w:val="20"/>
                <w:szCs w:val="20"/>
                <w:lang w:val="sr-Cyrl-RS" w:eastAsia="en-GB"/>
              </w:rPr>
            </w:pPr>
          </w:p>
        </w:tc>
        <w:tc>
          <w:tcPr>
            <w:tcW w:w="2480" w:type="dxa"/>
            <w:vMerge/>
            <w:vAlign w:val="center"/>
            <w:hideMark/>
          </w:tcPr>
          <w:p w14:paraId="43142524" w14:textId="77777777" w:rsidR="00F35214" w:rsidRPr="00EF2F18" w:rsidRDefault="00F35214" w:rsidP="00752CA0">
            <w:pPr>
              <w:spacing w:after="0"/>
              <w:rPr>
                <w:rFonts w:eastAsia="Times New Roman" w:cs="Times New Roman"/>
                <w:color w:val="000000"/>
                <w:sz w:val="20"/>
                <w:szCs w:val="20"/>
                <w:lang w:val="sr-Cyrl-RS" w:eastAsia="en-GB"/>
              </w:rPr>
            </w:pPr>
          </w:p>
        </w:tc>
        <w:tc>
          <w:tcPr>
            <w:tcW w:w="1820" w:type="dxa"/>
            <w:shd w:val="clear" w:color="000000" w:fill="A8D08D"/>
            <w:hideMark/>
          </w:tcPr>
          <w:p w14:paraId="4CE427FF" w14:textId="2FC32FD0"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 године</w:t>
            </w:r>
          </w:p>
        </w:tc>
        <w:tc>
          <w:tcPr>
            <w:tcW w:w="1820" w:type="dxa"/>
            <w:shd w:val="clear" w:color="000000" w:fill="A8D08D"/>
            <w:hideMark/>
          </w:tcPr>
          <w:p w14:paraId="67DF4883" w14:textId="2C2FEB96"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 године</w:t>
            </w:r>
          </w:p>
        </w:tc>
        <w:tc>
          <w:tcPr>
            <w:tcW w:w="3737" w:type="dxa"/>
            <w:shd w:val="clear" w:color="000000" w:fill="A8D08D"/>
            <w:hideMark/>
          </w:tcPr>
          <w:p w14:paraId="7BEDB27C" w14:textId="18CB407D"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 године</w:t>
            </w:r>
          </w:p>
        </w:tc>
      </w:tr>
      <w:tr w:rsidR="00F35214" w:rsidRPr="00EF2F18" w14:paraId="21641614" w14:textId="77777777" w:rsidTr="00C1286C">
        <w:trPr>
          <w:trHeight w:val="324"/>
        </w:trPr>
        <w:tc>
          <w:tcPr>
            <w:tcW w:w="3800" w:type="dxa"/>
            <w:shd w:val="clear" w:color="000000" w:fill="FFFFFF"/>
            <w:hideMark/>
          </w:tcPr>
          <w:p w14:paraId="3F6D3857" w14:textId="223B72E8" w:rsidR="00F35214" w:rsidRPr="00EF2F18" w:rsidRDefault="00F35214"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(МПШВ)</w:t>
            </w:r>
          </w:p>
        </w:tc>
        <w:tc>
          <w:tcPr>
            <w:tcW w:w="2480" w:type="dxa"/>
            <w:shd w:val="clear" w:color="000000" w:fill="FFFFFF"/>
            <w:vAlign w:val="center"/>
          </w:tcPr>
          <w:p w14:paraId="5C173560" w14:textId="3AAFA66E" w:rsidR="00F35214" w:rsidRPr="00EF2F18" w:rsidRDefault="00F35214"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tc>
        <w:tc>
          <w:tcPr>
            <w:tcW w:w="1820" w:type="dxa"/>
            <w:vAlign w:val="center"/>
          </w:tcPr>
          <w:p w14:paraId="7ABBE23C" w14:textId="0853E9AA" w:rsidR="00F35214" w:rsidRPr="00EF2F18" w:rsidRDefault="00C7598B" w:rsidP="0012364D">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200.000</w:t>
            </w:r>
          </w:p>
        </w:tc>
        <w:tc>
          <w:tcPr>
            <w:tcW w:w="1820" w:type="dxa"/>
            <w:vAlign w:val="center"/>
          </w:tcPr>
          <w:p w14:paraId="14E31468" w14:textId="65ADEB44" w:rsidR="00F35214" w:rsidRPr="00EF2F18" w:rsidRDefault="00F35214" w:rsidP="0012364D">
            <w:pPr>
              <w:spacing w:after="0"/>
              <w:jc w:val="right"/>
              <w:rPr>
                <w:rFonts w:eastAsia="Times New Roman" w:cs="Times New Roman"/>
                <w:color w:val="000000"/>
                <w:sz w:val="20"/>
                <w:szCs w:val="20"/>
                <w:lang w:val="sr-Cyrl-RS" w:eastAsia="en-GB"/>
              </w:rPr>
            </w:pPr>
          </w:p>
        </w:tc>
        <w:tc>
          <w:tcPr>
            <w:tcW w:w="3737" w:type="dxa"/>
            <w:shd w:val="clear" w:color="000000" w:fill="FFFFFF"/>
            <w:vAlign w:val="center"/>
          </w:tcPr>
          <w:p w14:paraId="66929B7E" w14:textId="2B04794B" w:rsidR="00F35214" w:rsidRPr="00EF2F18" w:rsidRDefault="00F35214" w:rsidP="0012364D">
            <w:pPr>
              <w:spacing w:after="0"/>
              <w:jc w:val="right"/>
              <w:rPr>
                <w:rFonts w:eastAsia="Times New Roman" w:cs="Times New Roman"/>
                <w:color w:val="000000"/>
                <w:sz w:val="20"/>
                <w:szCs w:val="20"/>
                <w:lang w:val="sr-Cyrl-RS" w:eastAsia="en-GB"/>
              </w:rPr>
            </w:pPr>
          </w:p>
        </w:tc>
      </w:tr>
    </w:tbl>
    <w:p w14:paraId="17AFC6EC"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2884"/>
        <w:gridCol w:w="1252"/>
        <w:gridCol w:w="1240"/>
        <w:gridCol w:w="1182"/>
        <w:gridCol w:w="1691"/>
        <w:gridCol w:w="1340"/>
        <w:gridCol w:w="990"/>
        <w:gridCol w:w="1278"/>
        <w:gridCol w:w="1800"/>
      </w:tblGrid>
      <w:tr w:rsidR="007D7243" w:rsidRPr="00EF2F18" w14:paraId="336D4047" w14:textId="77777777" w:rsidTr="00C1286C">
        <w:trPr>
          <w:trHeight w:val="732"/>
        </w:trPr>
        <w:tc>
          <w:tcPr>
            <w:tcW w:w="2884"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4D6F146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25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96F07B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386DB5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799110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62F794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64CB86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4068" w:type="dxa"/>
            <w:gridSpan w:val="3"/>
            <w:tcBorders>
              <w:top w:val="double" w:sz="6" w:space="0" w:color="auto"/>
              <w:left w:val="nil"/>
              <w:bottom w:val="single" w:sz="8" w:space="0" w:color="auto"/>
              <w:right w:val="double" w:sz="6" w:space="0" w:color="auto"/>
            </w:tcBorders>
            <w:shd w:val="clear" w:color="000000" w:fill="FFF2CC"/>
            <w:hideMark/>
          </w:tcPr>
          <w:p w14:paraId="084AAA2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F35214" w:rsidRPr="00EF2F18" w14:paraId="300A6502" w14:textId="77777777" w:rsidTr="00C1286C">
        <w:trPr>
          <w:trHeight w:val="324"/>
        </w:trPr>
        <w:tc>
          <w:tcPr>
            <w:tcW w:w="2884" w:type="dxa"/>
            <w:vMerge/>
            <w:tcBorders>
              <w:top w:val="double" w:sz="6" w:space="0" w:color="auto"/>
              <w:left w:val="double" w:sz="6" w:space="0" w:color="auto"/>
              <w:bottom w:val="single" w:sz="8" w:space="0" w:color="000000"/>
              <w:right w:val="single" w:sz="8" w:space="0" w:color="auto"/>
            </w:tcBorders>
            <w:vAlign w:val="center"/>
            <w:hideMark/>
          </w:tcPr>
          <w:p w14:paraId="0147B58B" w14:textId="77777777" w:rsidR="00F35214" w:rsidRPr="00EF2F18" w:rsidRDefault="00F35214" w:rsidP="00752CA0">
            <w:pPr>
              <w:spacing w:after="0"/>
              <w:rPr>
                <w:rFonts w:eastAsia="Times New Roman" w:cs="Times New Roman"/>
                <w:color w:val="000000"/>
                <w:sz w:val="20"/>
                <w:szCs w:val="20"/>
                <w:lang w:val="sr-Cyrl-RS" w:eastAsia="en-GB"/>
              </w:rPr>
            </w:pPr>
          </w:p>
        </w:tc>
        <w:tc>
          <w:tcPr>
            <w:tcW w:w="1252" w:type="dxa"/>
            <w:vMerge/>
            <w:tcBorders>
              <w:top w:val="double" w:sz="6" w:space="0" w:color="auto"/>
              <w:left w:val="single" w:sz="8" w:space="0" w:color="auto"/>
              <w:bottom w:val="single" w:sz="8" w:space="0" w:color="000000"/>
              <w:right w:val="single" w:sz="8" w:space="0" w:color="auto"/>
            </w:tcBorders>
            <w:vAlign w:val="center"/>
            <w:hideMark/>
          </w:tcPr>
          <w:p w14:paraId="370C4F7E" w14:textId="77777777" w:rsidR="00F35214" w:rsidRPr="00EF2F18" w:rsidRDefault="00F35214"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6E525EE0" w14:textId="77777777" w:rsidR="00F35214" w:rsidRPr="00EF2F18" w:rsidRDefault="00F35214"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690EB554" w14:textId="77777777" w:rsidR="00F35214" w:rsidRPr="00EF2F18" w:rsidRDefault="00F35214"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744F3E64" w14:textId="77777777" w:rsidR="00F35214" w:rsidRPr="00EF2F18" w:rsidRDefault="00F35214"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1F196B3B" w14:textId="77777777" w:rsidR="00F35214" w:rsidRPr="00EF2F18" w:rsidRDefault="00F35214" w:rsidP="00752CA0">
            <w:pPr>
              <w:spacing w:after="0"/>
              <w:rPr>
                <w:rFonts w:eastAsia="Times New Roman" w:cs="Times New Roman"/>
                <w:color w:val="000000"/>
                <w:sz w:val="20"/>
                <w:szCs w:val="20"/>
                <w:lang w:val="sr-Cyrl-RS" w:eastAsia="en-GB"/>
              </w:rPr>
            </w:pPr>
          </w:p>
        </w:tc>
        <w:tc>
          <w:tcPr>
            <w:tcW w:w="990" w:type="dxa"/>
            <w:tcBorders>
              <w:top w:val="nil"/>
              <w:left w:val="nil"/>
              <w:bottom w:val="single" w:sz="8" w:space="0" w:color="auto"/>
              <w:right w:val="single" w:sz="8" w:space="0" w:color="auto"/>
            </w:tcBorders>
            <w:shd w:val="clear" w:color="000000" w:fill="FFF2CC"/>
            <w:hideMark/>
          </w:tcPr>
          <w:p w14:paraId="2A27CDA9" w14:textId="0CE6096F"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278" w:type="dxa"/>
            <w:tcBorders>
              <w:top w:val="nil"/>
              <w:left w:val="nil"/>
              <w:bottom w:val="single" w:sz="8" w:space="0" w:color="auto"/>
              <w:right w:val="single" w:sz="8" w:space="0" w:color="auto"/>
            </w:tcBorders>
            <w:shd w:val="clear" w:color="000000" w:fill="FFF2CC"/>
            <w:hideMark/>
          </w:tcPr>
          <w:p w14:paraId="54099932"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 2027.</w:t>
            </w:r>
          </w:p>
        </w:tc>
        <w:tc>
          <w:tcPr>
            <w:tcW w:w="1800" w:type="dxa"/>
            <w:tcBorders>
              <w:top w:val="nil"/>
              <w:left w:val="nil"/>
              <w:bottom w:val="single" w:sz="8" w:space="0" w:color="auto"/>
              <w:right w:val="double" w:sz="6" w:space="0" w:color="auto"/>
            </w:tcBorders>
            <w:shd w:val="clear" w:color="000000" w:fill="FFF2CC"/>
            <w:hideMark/>
          </w:tcPr>
          <w:p w14:paraId="0F46F3FA" w14:textId="77777777" w:rsidR="00F35214" w:rsidRPr="00EF2F18" w:rsidRDefault="00F35214"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 2028.</w:t>
            </w:r>
          </w:p>
        </w:tc>
      </w:tr>
      <w:tr w:rsidR="00F35214" w:rsidRPr="00EF2F18" w14:paraId="2B2526E0" w14:textId="77777777" w:rsidTr="00C1286C">
        <w:trPr>
          <w:trHeight w:val="804"/>
        </w:trPr>
        <w:tc>
          <w:tcPr>
            <w:tcW w:w="2884" w:type="dxa"/>
            <w:tcBorders>
              <w:top w:val="nil"/>
              <w:left w:val="double" w:sz="6" w:space="0" w:color="auto"/>
              <w:bottom w:val="double" w:sz="6" w:space="0" w:color="auto"/>
              <w:right w:val="single" w:sz="8" w:space="0" w:color="auto"/>
            </w:tcBorders>
            <w:hideMark/>
          </w:tcPr>
          <w:p w14:paraId="19D1D77E" w14:textId="77777777" w:rsidR="00F35214" w:rsidRPr="00EF2F18" w:rsidRDefault="00F35214"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5.1.5.1. Годишња додела подстицаја за органску производњу</w:t>
            </w:r>
          </w:p>
        </w:tc>
        <w:tc>
          <w:tcPr>
            <w:tcW w:w="1252" w:type="dxa"/>
            <w:tcBorders>
              <w:top w:val="nil"/>
              <w:left w:val="nil"/>
              <w:bottom w:val="double" w:sz="6" w:space="0" w:color="auto"/>
              <w:right w:val="single" w:sz="8" w:space="0" w:color="auto"/>
            </w:tcBorders>
            <w:hideMark/>
          </w:tcPr>
          <w:p w14:paraId="2244C77B" w14:textId="77777777" w:rsidR="00F35214" w:rsidRPr="00EF2F18" w:rsidRDefault="00F35214"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nil"/>
              <w:left w:val="nil"/>
              <w:bottom w:val="double" w:sz="6" w:space="0" w:color="auto"/>
              <w:right w:val="single" w:sz="8" w:space="0" w:color="auto"/>
            </w:tcBorders>
            <w:hideMark/>
          </w:tcPr>
          <w:p w14:paraId="43A570D5" w14:textId="77777777" w:rsidR="00F35214" w:rsidRPr="00EF2F18" w:rsidRDefault="00F35214"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w:t>
            </w:r>
          </w:p>
        </w:tc>
        <w:tc>
          <w:tcPr>
            <w:tcW w:w="1182" w:type="dxa"/>
            <w:tcBorders>
              <w:top w:val="nil"/>
              <w:left w:val="nil"/>
              <w:bottom w:val="double" w:sz="6" w:space="0" w:color="auto"/>
              <w:right w:val="single" w:sz="8" w:space="0" w:color="auto"/>
            </w:tcBorders>
            <w:hideMark/>
          </w:tcPr>
          <w:p w14:paraId="3CE6693B" w14:textId="77777777" w:rsidR="00F35214" w:rsidRPr="00EF2F18" w:rsidRDefault="00F35214"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6E5FCBB5" w14:textId="5DB3EEF1" w:rsidR="00F35214" w:rsidRPr="00EF2F18" w:rsidRDefault="00F35214"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double" w:sz="6" w:space="0" w:color="auto"/>
              <w:right w:val="single" w:sz="8" w:space="0" w:color="auto"/>
            </w:tcBorders>
          </w:tcPr>
          <w:p w14:paraId="6C16BF56" w14:textId="35F3D942" w:rsidR="00F35214" w:rsidRPr="00EF2F18" w:rsidRDefault="00F35214"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tc>
        <w:tc>
          <w:tcPr>
            <w:tcW w:w="990" w:type="dxa"/>
            <w:tcBorders>
              <w:top w:val="nil"/>
              <w:left w:val="nil"/>
              <w:bottom w:val="double" w:sz="6" w:space="0" w:color="auto"/>
              <w:right w:val="single" w:sz="8" w:space="0" w:color="auto"/>
            </w:tcBorders>
          </w:tcPr>
          <w:p w14:paraId="701FCE52" w14:textId="202E7392" w:rsidR="00F35214" w:rsidRPr="00EF2F18" w:rsidRDefault="00B10BB9" w:rsidP="00C1286C">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200.000</w:t>
            </w:r>
          </w:p>
        </w:tc>
        <w:tc>
          <w:tcPr>
            <w:tcW w:w="1278" w:type="dxa"/>
            <w:tcBorders>
              <w:top w:val="nil"/>
              <w:left w:val="nil"/>
              <w:bottom w:val="double" w:sz="6" w:space="0" w:color="auto"/>
              <w:right w:val="single" w:sz="8" w:space="0" w:color="auto"/>
            </w:tcBorders>
          </w:tcPr>
          <w:p w14:paraId="0F3B1295" w14:textId="01912080" w:rsidR="00F35214" w:rsidRPr="00EF2F18" w:rsidRDefault="00F35214" w:rsidP="00700AEE">
            <w:pPr>
              <w:spacing w:after="0"/>
              <w:jc w:val="right"/>
              <w:rPr>
                <w:rFonts w:eastAsia="Times New Roman" w:cs="Times New Roman"/>
                <w:color w:val="000000"/>
                <w:sz w:val="20"/>
                <w:szCs w:val="20"/>
                <w:lang w:val="sr-Cyrl-RS" w:eastAsia="en-GB"/>
              </w:rPr>
            </w:pPr>
          </w:p>
        </w:tc>
        <w:tc>
          <w:tcPr>
            <w:tcW w:w="1800" w:type="dxa"/>
            <w:tcBorders>
              <w:top w:val="nil"/>
              <w:left w:val="nil"/>
              <w:bottom w:val="double" w:sz="6" w:space="0" w:color="auto"/>
              <w:right w:val="double" w:sz="6" w:space="0" w:color="auto"/>
            </w:tcBorders>
          </w:tcPr>
          <w:p w14:paraId="68449C18" w14:textId="7D84A1C9" w:rsidR="00F35214" w:rsidRPr="00EF2F18" w:rsidRDefault="00F35214" w:rsidP="00700AEE">
            <w:pPr>
              <w:spacing w:after="0"/>
              <w:jc w:val="right"/>
              <w:rPr>
                <w:rFonts w:eastAsia="Times New Roman" w:cs="Times New Roman"/>
                <w:color w:val="000000"/>
                <w:sz w:val="20"/>
                <w:szCs w:val="20"/>
                <w:lang w:val="sr-Cyrl-RS" w:eastAsia="en-GB"/>
              </w:rPr>
            </w:pPr>
          </w:p>
        </w:tc>
      </w:tr>
    </w:tbl>
    <w:p w14:paraId="4B513744" w14:textId="77777777" w:rsidR="007D7243" w:rsidRPr="00EF2F18" w:rsidRDefault="007D7243" w:rsidP="007D7243">
      <w:pPr>
        <w:tabs>
          <w:tab w:val="left" w:pos="1940"/>
        </w:tabs>
        <w:spacing w:after="0"/>
        <w:rPr>
          <w:rFonts w:cs="Times New Roman"/>
          <w:sz w:val="20"/>
          <w:szCs w:val="20"/>
          <w:lang w:val="sr-Cyrl-RS"/>
        </w:rPr>
      </w:pPr>
    </w:p>
    <w:p w14:paraId="1BAFCE6D" w14:textId="77777777" w:rsidR="008B3EBF" w:rsidRPr="00EF2F18" w:rsidRDefault="008B3EBF" w:rsidP="008B3EBF">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58604A12" w14:textId="77777777" w:rsidR="008B3EBF" w:rsidRPr="00EF2F18" w:rsidRDefault="008B3EBF" w:rsidP="007D7243">
      <w:pPr>
        <w:tabs>
          <w:tab w:val="left" w:pos="1940"/>
        </w:tabs>
        <w:spacing w:after="0"/>
        <w:rPr>
          <w:rFonts w:cs="Times New Roman"/>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11"/>
        <w:gridCol w:w="1278"/>
        <w:gridCol w:w="1300"/>
        <w:gridCol w:w="998"/>
        <w:gridCol w:w="997"/>
        <w:gridCol w:w="1516"/>
        <w:gridCol w:w="1377"/>
        <w:gridCol w:w="1170"/>
        <w:gridCol w:w="1693"/>
        <w:gridCol w:w="17"/>
      </w:tblGrid>
      <w:tr w:rsidR="007D7243" w:rsidRPr="00EF2F18" w14:paraId="7FBA52E6" w14:textId="77777777" w:rsidTr="00CC76FE">
        <w:trPr>
          <w:gridAfter w:val="1"/>
          <w:wAfter w:w="17" w:type="dxa"/>
          <w:trHeight w:val="336"/>
        </w:trPr>
        <w:tc>
          <w:tcPr>
            <w:tcW w:w="13640" w:type="dxa"/>
            <w:gridSpan w:val="9"/>
            <w:shd w:val="clear" w:color="000000" w:fill="F7CAAC"/>
            <w:hideMark/>
          </w:tcPr>
          <w:p w14:paraId="1327B3AE" w14:textId="77777777" w:rsidR="00900B46" w:rsidRPr="00EF2F18" w:rsidRDefault="00900B46" w:rsidP="00752CA0">
            <w:pPr>
              <w:spacing w:after="0"/>
              <w:rPr>
                <w:rFonts w:eastAsia="Times New Roman" w:cs="Times New Roman"/>
                <w:b/>
                <w:bCs/>
                <w:color w:val="000000"/>
                <w:sz w:val="20"/>
                <w:szCs w:val="20"/>
                <w:lang w:val="sr-Cyrl-RS" w:eastAsia="en-GB"/>
              </w:rPr>
            </w:pPr>
          </w:p>
          <w:p w14:paraId="05C20805" w14:textId="34649EAA"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5.1.6: Подршка очувању агробиодиверзитета</w:t>
            </w:r>
          </w:p>
        </w:tc>
      </w:tr>
      <w:tr w:rsidR="007D7243" w:rsidRPr="00EF2F18" w14:paraId="09B34629" w14:textId="77777777" w:rsidTr="00CC76FE">
        <w:trPr>
          <w:gridAfter w:val="1"/>
          <w:wAfter w:w="17" w:type="dxa"/>
          <w:trHeight w:val="336"/>
        </w:trPr>
        <w:tc>
          <w:tcPr>
            <w:tcW w:w="13640" w:type="dxa"/>
            <w:gridSpan w:val="9"/>
            <w:shd w:val="clear" w:color="000000" w:fill="F7CAAC"/>
            <w:hideMark/>
          </w:tcPr>
          <w:p w14:paraId="2A0B2C67"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7D7243" w:rsidRPr="00EF2F18" w14:paraId="69C2E852" w14:textId="77777777" w:rsidTr="00CC76FE">
        <w:trPr>
          <w:gridAfter w:val="1"/>
          <w:wAfter w:w="17" w:type="dxa"/>
          <w:trHeight w:val="336"/>
        </w:trPr>
        <w:tc>
          <w:tcPr>
            <w:tcW w:w="6887" w:type="dxa"/>
            <w:gridSpan w:val="4"/>
            <w:shd w:val="clear" w:color="000000" w:fill="F7CAAC"/>
            <w:hideMark/>
          </w:tcPr>
          <w:p w14:paraId="3D974519" w14:textId="4971CDEB"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CC76FE"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753" w:type="dxa"/>
            <w:gridSpan w:val="5"/>
            <w:shd w:val="clear" w:color="000000" w:fill="F7CAAC"/>
            <w:hideMark/>
          </w:tcPr>
          <w:p w14:paraId="6F429E6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7D7243" w:rsidRPr="00EF2F18" w14:paraId="1EDD6DB2" w14:textId="77777777" w:rsidTr="00CC76FE">
        <w:trPr>
          <w:gridAfter w:val="1"/>
          <w:wAfter w:w="17" w:type="dxa"/>
          <w:trHeight w:val="336"/>
        </w:trPr>
        <w:tc>
          <w:tcPr>
            <w:tcW w:w="6887" w:type="dxa"/>
            <w:gridSpan w:val="4"/>
            <w:shd w:val="clear" w:color="000000" w:fill="F7CAAC"/>
            <w:hideMark/>
          </w:tcPr>
          <w:p w14:paraId="7557800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53" w:type="dxa"/>
            <w:gridSpan w:val="5"/>
            <w:shd w:val="clear" w:color="000000" w:fill="F7CAAC"/>
            <w:hideMark/>
          </w:tcPr>
          <w:p w14:paraId="38D6ADF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C76FE" w:rsidRPr="00EF2F18" w14:paraId="095C7DBC" w14:textId="77777777" w:rsidTr="00CC76FE">
        <w:trPr>
          <w:trHeight w:val="816"/>
        </w:trPr>
        <w:tc>
          <w:tcPr>
            <w:tcW w:w="3311" w:type="dxa"/>
            <w:shd w:val="clear" w:color="000000" w:fill="D9D9D9"/>
            <w:hideMark/>
          </w:tcPr>
          <w:p w14:paraId="2FC614A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78" w:type="dxa"/>
            <w:shd w:val="clear" w:color="000000" w:fill="D9D9D9"/>
            <w:hideMark/>
          </w:tcPr>
          <w:p w14:paraId="5D129C4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300" w:type="dxa"/>
            <w:shd w:val="clear" w:color="000000" w:fill="D9D9D9"/>
            <w:hideMark/>
          </w:tcPr>
          <w:p w14:paraId="2E028C0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95" w:type="dxa"/>
            <w:gridSpan w:val="2"/>
            <w:shd w:val="clear" w:color="000000" w:fill="D9D9D9"/>
            <w:hideMark/>
          </w:tcPr>
          <w:p w14:paraId="32C233B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516" w:type="dxa"/>
            <w:shd w:val="clear" w:color="000000" w:fill="D9D9D9"/>
            <w:hideMark/>
          </w:tcPr>
          <w:p w14:paraId="5F46F18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377" w:type="dxa"/>
            <w:shd w:val="clear" w:color="000000" w:fill="D9D9D9"/>
            <w:hideMark/>
          </w:tcPr>
          <w:p w14:paraId="4309157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170" w:type="dxa"/>
            <w:shd w:val="clear" w:color="000000" w:fill="D9D9D9"/>
            <w:hideMark/>
          </w:tcPr>
          <w:p w14:paraId="4E88A02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shd w:val="clear" w:color="000000" w:fill="D9D9D9"/>
            <w:hideMark/>
          </w:tcPr>
          <w:p w14:paraId="6A7443D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6FC88FD3" w14:textId="77777777" w:rsidTr="00CC76FE">
        <w:trPr>
          <w:trHeight w:val="1344"/>
        </w:trPr>
        <w:tc>
          <w:tcPr>
            <w:tcW w:w="3311" w:type="dxa"/>
            <w:shd w:val="clear" w:color="000000" w:fill="FFFFFF"/>
            <w:hideMark/>
          </w:tcPr>
          <w:p w14:paraId="3C503FDB"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Укупан број биљних генетичких ресурса за храну и пољопривреду који су осигурани у објектима за средњорочну или дугорочну конзервацију </w:t>
            </w:r>
          </w:p>
        </w:tc>
        <w:tc>
          <w:tcPr>
            <w:tcW w:w="1278" w:type="dxa"/>
            <w:shd w:val="clear" w:color="000000" w:fill="FFFFFF"/>
            <w:hideMark/>
          </w:tcPr>
          <w:p w14:paraId="6DAE94FD" w14:textId="79426EED"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300" w:type="dxa"/>
            <w:shd w:val="clear" w:color="000000" w:fill="FFFFFF"/>
            <w:hideMark/>
          </w:tcPr>
          <w:p w14:paraId="5D96A55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РЗС</w:t>
            </w:r>
          </w:p>
        </w:tc>
        <w:tc>
          <w:tcPr>
            <w:tcW w:w="1995" w:type="dxa"/>
            <w:gridSpan w:val="2"/>
            <w:shd w:val="clear" w:color="000000" w:fill="FFFFFF"/>
            <w:hideMark/>
          </w:tcPr>
          <w:p w14:paraId="77520F7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5.588</w:t>
            </w:r>
          </w:p>
        </w:tc>
        <w:tc>
          <w:tcPr>
            <w:tcW w:w="1516" w:type="dxa"/>
            <w:shd w:val="clear" w:color="000000" w:fill="FFFFFF"/>
            <w:hideMark/>
          </w:tcPr>
          <w:p w14:paraId="2229052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shd w:val="clear" w:color="000000" w:fill="FFFFFF"/>
            <w:hideMark/>
          </w:tcPr>
          <w:p w14:paraId="31A2115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6.500</w:t>
            </w:r>
          </w:p>
        </w:tc>
        <w:tc>
          <w:tcPr>
            <w:tcW w:w="1170" w:type="dxa"/>
            <w:shd w:val="clear" w:color="000000" w:fill="FFFFFF"/>
            <w:hideMark/>
          </w:tcPr>
          <w:p w14:paraId="3180605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6.750</w:t>
            </w:r>
          </w:p>
        </w:tc>
        <w:tc>
          <w:tcPr>
            <w:tcW w:w="1710" w:type="dxa"/>
            <w:gridSpan w:val="2"/>
            <w:shd w:val="clear" w:color="000000" w:fill="FFFFFF"/>
            <w:hideMark/>
          </w:tcPr>
          <w:p w14:paraId="24FBED3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7.000</w:t>
            </w:r>
          </w:p>
        </w:tc>
      </w:tr>
      <w:tr w:rsidR="00CC76FE" w:rsidRPr="00EF2F18" w14:paraId="7CE4FB59" w14:textId="77777777" w:rsidTr="00CC76FE">
        <w:trPr>
          <w:trHeight w:val="1344"/>
        </w:trPr>
        <w:tc>
          <w:tcPr>
            <w:tcW w:w="3311" w:type="dxa"/>
            <w:shd w:val="clear" w:color="000000" w:fill="FFFFFF"/>
            <w:hideMark/>
          </w:tcPr>
          <w:p w14:paraId="7C4295F9"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Укупан број животињских генетичких ресурса за храну и пољопривреду који су осигурани у објектима за средњорочну или дугорочну конзервацију</w:t>
            </w:r>
          </w:p>
        </w:tc>
        <w:tc>
          <w:tcPr>
            <w:tcW w:w="1278" w:type="dxa"/>
            <w:shd w:val="clear" w:color="000000" w:fill="FFFFFF"/>
            <w:hideMark/>
          </w:tcPr>
          <w:p w14:paraId="21806945" w14:textId="56836CBF"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300" w:type="dxa"/>
            <w:shd w:val="clear" w:color="000000" w:fill="FFFFFF"/>
            <w:hideMark/>
          </w:tcPr>
          <w:p w14:paraId="565340A0"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РЗС</w:t>
            </w:r>
          </w:p>
        </w:tc>
        <w:tc>
          <w:tcPr>
            <w:tcW w:w="1995" w:type="dxa"/>
            <w:gridSpan w:val="2"/>
            <w:shd w:val="clear" w:color="000000" w:fill="FFFFFF"/>
            <w:hideMark/>
          </w:tcPr>
          <w:p w14:paraId="52E31BA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16" w:type="dxa"/>
            <w:shd w:val="clear" w:color="000000" w:fill="FFFFFF"/>
            <w:hideMark/>
          </w:tcPr>
          <w:p w14:paraId="6DA9CF1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shd w:val="clear" w:color="000000" w:fill="FFFFFF"/>
            <w:hideMark/>
          </w:tcPr>
          <w:p w14:paraId="387EDC4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p>
        </w:tc>
        <w:tc>
          <w:tcPr>
            <w:tcW w:w="1170" w:type="dxa"/>
            <w:shd w:val="clear" w:color="000000" w:fill="FFFFFF"/>
            <w:hideMark/>
          </w:tcPr>
          <w:p w14:paraId="75D6A35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p>
        </w:tc>
        <w:tc>
          <w:tcPr>
            <w:tcW w:w="1710" w:type="dxa"/>
            <w:gridSpan w:val="2"/>
            <w:shd w:val="clear" w:color="000000" w:fill="FFFFFF"/>
            <w:hideMark/>
          </w:tcPr>
          <w:p w14:paraId="4645C00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w:t>
            </w:r>
          </w:p>
        </w:tc>
      </w:tr>
      <w:tr w:rsidR="00CC76FE" w:rsidRPr="00EF2F18" w14:paraId="277F7D5B" w14:textId="77777777" w:rsidTr="00CC76FE">
        <w:trPr>
          <w:trHeight w:val="552"/>
        </w:trPr>
        <w:tc>
          <w:tcPr>
            <w:tcW w:w="3311" w:type="dxa"/>
            <w:shd w:val="clear" w:color="000000" w:fill="FFFFFF"/>
            <w:hideMark/>
          </w:tcPr>
          <w:p w14:paraId="778B7C9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локалних раса класификованих као расе угрожене од нестајања </w:t>
            </w:r>
          </w:p>
        </w:tc>
        <w:tc>
          <w:tcPr>
            <w:tcW w:w="1278" w:type="dxa"/>
            <w:shd w:val="clear" w:color="000000" w:fill="FFFFFF"/>
            <w:hideMark/>
          </w:tcPr>
          <w:p w14:paraId="3D3899D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00" w:type="dxa"/>
            <w:shd w:val="clear" w:color="000000" w:fill="FFFFFF"/>
            <w:hideMark/>
          </w:tcPr>
          <w:p w14:paraId="3F72518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РЗС</w:t>
            </w:r>
          </w:p>
        </w:tc>
        <w:tc>
          <w:tcPr>
            <w:tcW w:w="1995" w:type="dxa"/>
            <w:gridSpan w:val="2"/>
            <w:shd w:val="clear" w:color="000000" w:fill="FFFFFF"/>
            <w:hideMark/>
          </w:tcPr>
          <w:p w14:paraId="1FAE770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84</w:t>
            </w:r>
          </w:p>
        </w:tc>
        <w:tc>
          <w:tcPr>
            <w:tcW w:w="1516" w:type="dxa"/>
            <w:shd w:val="clear" w:color="000000" w:fill="FFFFFF"/>
            <w:hideMark/>
          </w:tcPr>
          <w:p w14:paraId="0318BF8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shd w:val="clear" w:color="000000" w:fill="FFFFFF"/>
            <w:hideMark/>
          </w:tcPr>
          <w:p w14:paraId="111AE79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w:t>
            </w:r>
          </w:p>
        </w:tc>
        <w:tc>
          <w:tcPr>
            <w:tcW w:w="1170" w:type="dxa"/>
            <w:shd w:val="clear" w:color="000000" w:fill="FFFFFF"/>
            <w:hideMark/>
          </w:tcPr>
          <w:p w14:paraId="503460B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w:t>
            </w:r>
          </w:p>
        </w:tc>
        <w:tc>
          <w:tcPr>
            <w:tcW w:w="1710" w:type="dxa"/>
            <w:gridSpan w:val="2"/>
            <w:shd w:val="clear" w:color="000000" w:fill="FFFFFF"/>
            <w:hideMark/>
          </w:tcPr>
          <w:p w14:paraId="046EBE1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w:t>
            </w:r>
          </w:p>
        </w:tc>
      </w:tr>
      <w:tr w:rsidR="00CC76FE" w:rsidRPr="00EF2F18" w14:paraId="2A19BAE2" w14:textId="77777777" w:rsidTr="00CC76FE">
        <w:trPr>
          <w:trHeight w:val="816"/>
        </w:trPr>
        <w:tc>
          <w:tcPr>
            <w:tcW w:w="3311" w:type="dxa"/>
            <w:shd w:val="clear" w:color="000000" w:fill="FFFFFF"/>
            <w:hideMark/>
          </w:tcPr>
          <w:p w14:paraId="60F8CF58"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 xml:space="preserve">Укупно пољопривредног земљишта под уговорима о заштити животне средине и/или климе </w:t>
            </w:r>
          </w:p>
        </w:tc>
        <w:tc>
          <w:tcPr>
            <w:tcW w:w="1278" w:type="dxa"/>
            <w:shd w:val="clear" w:color="000000" w:fill="FFFFFF"/>
            <w:hideMark/>
          </w:tcPr>
          <w:p w14:paraId="4437412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hа</w:t>
            </w:r>
          </w:p>
        </w:tc>
        <w:tc>
          <w:tcPr>
            <w:tcW w:w="1300" w:type="dxa"/>
            <w:shd w:val="clear" w:color="000000" w:fill="FFFFFF"/>
            <w:hideMark/>
          </w:tcPr>
          <w:p w14:paraId="16CB5B5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95" w:type="dxa"/>
            <w:gridSpan w:val="2"/>
            <w:shd w:val="clear" w:color="000000" w:fill="FFFFFF"/>
            <w:hideMark/>
          </w:tcPr>
          <w:p w14:paraId="127D1C10"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16" w:type="dxa"/>
            <w:shd w:val="clear" w:color="000000" w:fill="FFFFFF"/>
            <w:hideMark/>
          </w:tcPr>
          <w:p w14:paraId="64AA4F6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377" w:type="dxa"/>
            <w:shd w:val="clear" w:color="000000" w:fill="FFFFFF"/>
            <w:hideMark/>
          </w:tcPr>
          <w:p w14:paraId="60046D3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c>
          <w:tcPr>
            <w:tcW w:w="1170" w:type="dxa"/>
            <w:shd w:val="clear" w:color="000000" w:fill="FFFFFF"/>
            <w:hideMark/>
          </w:tcPr>
          <w:p w14:paraId="24DEB16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3.500</w:t>
            </w:r>
          </w:p>
        </w:tc>
        <w:tc>
          <w:tcPr>
            <w:tcW w:w="1710" w:type="dxa"/>
            <w:gridSpan w:val="2"/>
            <w:shd w:val="clear" w:color="000000" w:fill="FFFFFF"/>
            <w:hideMark/>
          </w:tcPr>
          <w:p w14:paraId="0E4938E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3.500</w:t>
            </w:r>
          </w:p>
        </w:tc>
      </w:tr>
    </w:tbl>
    <w:p w14:paraId="38234153" w14:textId="77777777" w:rsidR="007D7243" w:rsidRPr="00625049" w:rsidRDefault="007D7243" w:rsidP="007D7243">
      <w:pPr>
        <w:spacing w:after="0"/>
        <w:rPr>
          <w:rFonts w:cs="Times New Roman"/>
          <w:sz w:val="12"/>
          <w:szCs w:val="12"/>
          <w:lang w:val="sr-Cyrl-RS"/>
        </w:rPr>
      </w:pPr>
    </w:p>
    <w:tbl>
      <w:tblPr>
        <w:tblW w:w="13893" w:type="dxa"/>
        <w:tblLook w:val="04A0" w:firstRow="1" w:lastRow="0" w:firstColumn="1" w:lastColumn="0" w:noHBand="0" w:noVBand="1"/>
      </w:tblPr>
      <w:tblGrid>
        <w:gridCol w:w="2573"/>
        <w:gridCol w:w="672"/>
        <w:gridCol w:w="525"/>
        <w:gridCol w:w="1358"/>
        <w:gridCol w:w="748"/>
        <w:gridCol w:w="493"/>
        <w:gridCol w:w="1297"/>
        <w:gridCol w:w="115"/>
        <w:gridCol w:w="292"/>
        <w:gridCol w:w="1493"/>
        <w:gridCol w:w="255"/>
        <w:gridCol w:w="979"/>
        <w:gridCol w:w="846"/>
        <w:gridCol w:w="481"/>
        <w:gridCol w:w="1440"/>
        <w:gridCol w:w="326"/>
      </w:tblGrid>
      <w:tr w:rsidR="007D7243" w:rsidRPr="00EF2F18" w14:paraId="7C42E404" w14:textId="77777777" w:rsidTr="00EF0900">
        <w:trPr>
          <w:gridAfter w:val="1"/>
          <w:wAfter w:w="326" w:type="dxa"/>
          <w:trHeight w:val="336"/>
        </w:trPr>
        <w:tc>
          <w:tcPr>
            <w:tcW w:w="3245" w:type="dxa"/>
            <w:gridSpan w:val="2"/>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B8DE31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631" w:type="dxa"/>
            <w:gridSpan w:val="3"/>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D4DF6A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691" w:type="dxa"/>
            <w:gridSpan w:val="10"/>
            <w:tcBorders>
              <w:top w:val="double" w:sz="6" w:space="0" w:color="auto"/>
              <w:left w:val="nil"/>
              <w:bottom w:val="double" w:sz="6" w:space="0" w:color="auto"/>
              <w:right w:val="double" w:sz="6" w:space="0" w:color="auto"/>
            </w:tcBorders>
            <w:shd w:val="clear" w:color="000000" w:fill="A8D08D"/>
            <w:hideMark/>
          </w:tcPr>
          <w:p w14:paraId="42FCEDF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C76FE" w:rsidRPr="00EF2F18" w14:paraId="0D7AF203" w14:textId="77777777" w:rsidTr="00EF0900">
        <w:trPr>
          <w:gridAfter w:val="1"/>
          <w:wAfter w:w="326" w:type="dxa"/>
          <w:trHeight w:val="336"/>
        </w:trPr>
        <w:tc>
          <w:tcPr>
            <w:tcW w:w="3245" w:type="dxa"/>
            <w:gridSpan w:val="2"/>
            <w:vMerge/>
            <w:tcBorders>
              <w:top w:val="double" w:sz="6" w:space="0" w:color="auto"/>
              <w:left w:val="double" w:sz="6" w:space="0" w:color="auto"/>
              <w:bottom w:val="single" w:sz="8" w:space="0" w:color="000000"/>
              <w:right w:val="double" w:sz="6" w:space="0" w:color="auto"/>
            </w:tcBorders>
            <w:vAlign w:val="center"/>
            <w:hideMark/>
          </w:tcPr>
          <w:p w14:paraId="2D3256E1" w14:textId="77777777" w:rsidR="00CC76FE" w:rsidRPr="00EF2F18" w:rsidRDefault="00CC76FE" w:rsidP="00752CA0">
            <w:pPr>
              <w:spacing w:after="0"/>
              <w:rPr>
                <w:rFonts w:eastAsia="Times New Roman" w:cs="Times New Roman"/>
                <w:color w:val="000000"/>
                <w:sz w:val="20"/>
                <w:szCs w:val="20"/>
                <w:lang w:val="sr-Cyrl-RS" w:eastAsia="en-GB"/>
              </w:rPr>
            </w:pPr>
          </w:p>
        </w:tc>
        <w:tc>
          <w:tcPr>
            <w:tcW w:w="2631" w:type="dxa"/>
            <w:gridSpan w:val="3"/>
            <w:vMerge/>
            <w:tcBorders>
              <w:top w:val="double" w:sz="6" w:space="0" w:color="auto"/>
              <w:left w:val="double" w:sz="6" w:space="0" w:color="auto"/>
              <w:bottom w:val="single" w:sz="8" w:space="0" w:color="000000"/>
              <w:right w:val="double" w:sz="6" w:space="0" w:color="auto"/>
            </w:tcBorders>
            <w:vAlign w:val="center"/>
            <w:hideMark/>
          </w:tcPr>
          <w:p w14:paraId="7F3BBF17" w14:textId="77777777" w:rsidR="00CC76FE" w:rsidRPr="00EF2F18" w:rsidRDefault="00CC76FE" w:rsidP="00752CA0">
            <w:pPr>
              <w:spacing w:after="0"/>
              <w:rPr>
                <w:rFonts w:eastAsia="Times New Roman" w:cs="Times New Roman"/>
                <w:color w:val="000000"/>
                <w:sz w:val="20"/>
                <w:szCs w:val="20"/>
                <w:lang w:val="sr-Cyrl-RS" w:eastAsia="en-GB"/>
              </w:rPr>
            </w:pPr>
          </w:p>
        </w:tc>
        <w:tc>
          <w:tcPr>
            <w:tcW w:w="1790" w:type="dxa"/>
            <w:gridSpan w:val="2"/>
            <w:tcBorders>
              <w:top w:val="nil"/>
              <w:left w:val="nil"/>
              <w:bottom w:val="double" w:sz="6" w:space="0" w:color="auto"/>
              <w:right w:val="double" w:sz="6" w:space="0" w:color="auto"/>
            </w:tcBorders>
            <w:shd w:val="clear" w:color="000000" w:fill="A8D08D"/>
            <w:hideMark/>
          </w:tcPr>
          <w:p w14:paraId="62F3CC47" w14:textId="66939B95"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2026. године</w:t>
            </w:r>
          </w:p>
        </w:tc>
        <w:tc>
          <w:tcPr>
            <w:tcW w:w="2155" w:type="dxa"/>
            <w:gridSpan w:val="4"/>
            <w:tcBorders>
              <w:top w:val="nil"/>
              <w:left w:val="nil"/>
              <w:bottom w:val="double" w:sz="6" w:space="0" w:color="auto"/>
              <w:right w:val="double" w:sz="6" w:space="0" w:color="auto"/>
            </w:tcBorders>
            <w:shd w:val="clear" w:color="000000" w:fill="A8D08D"/>
            <w:hideMark/>
          </w:tcPr>
          <w:p w14:paraId="3DF0BCA0" w14:textId="5572DBE8"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2027. године</w:t>
            </w:r>
          </w:p>
        </w:tc>
        <w:tc>
          <w:tcPr>
            <w:tcW w:w="3746" w:type="dxa"/>
            <w:gridSpan w:val="4"/>
            <w:tcBorders>
              <w:top w:val="nil"/>
              <w:left w:val="nil"/>
              <w:bottom w:val="double" w:sz="6" w:space="0" w:color="auto"/>
              <w:right w:val="double" w:sz="6" w:space="0" w:color="auto"/>
            </w:tcBorders>
            <w:shd w:val="clear" w:color="000000" w:fill="A8D08D"/>
            <w:hideMark/>
          </w:tcPr>
          <w:p w14:paraId="57811121" w14:textId="5EBC19A9"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2028. године</w:t>
            </w:r>
          </w:p>
        </w:tc>
      </w:tr>
      <w:tr w:rsidR="00CC76FE" w:rsidRPr="00EF2F18" w14:paraId="173D8ACC" w14:textId="77777777" w:rsidTr="00EF0900">
        <w:trPr>
          <w:gridAfter w:val="1"/>
          <w:wAfter w:w="326" w:type="dxa"/>
          <w:trHeight w:val="324"/>
        </w:trPr>
        <w:tc>
          <w:tcPr>
            <w:tcW w:w="3245" w:type="dxa"/>
            <w:gridSpan w:val="2"/>
            <w:tcBorders>
              <w:top w:val="nil"/>
              <w:left w:val="double" w:sz="6" w:space="0" w:color="auto"/>
              <w:bottom w:val="single" w:sz="4" w:space="0" w:color="auto"/>
              <w:right w:val="double" w:sz="6" w:space="0" w:color="auto"/>
            </w:tcBorders>
            <w:shd w:val="clear" w:color="000000" w:fill="FFFFFF"/>
            <w:hideMark/>
          </w:tcPr>
          <w:p w14:paraId="40A31A75" w14:textId="77777777" w:rsidR="00CC76FE" w:rsidRPr="00EF2F18" w:rsidRDefault="00CC76FE"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(МПШВ)</w:t>
            </w:r>
          </w:p>
        </w:tc>
        <w:tc>
          <w:tcPr>
            <w:tcW w:w="2631" w:type="dxa"/>
            <w:gridSpan w:val="3"/>
            <w:tcBorders>
              <w:top w:val="nil"/>
              <w:left w:val="nil"/>
              <w:bottom w:val="single" w:sz="4" w:space="0" w:color="auto"/>
              <w:right w:val="double" w:sz="6" w:space="0" w:color="auto"/>
            </w:tcBorders>
            <w:shd w:val="clear" w:color="000000" w:fill="FFFFFF"/>
            <w:hideMark/>
          </w:tcPr>
          <w:p w14:paraId="7DECB6E4" w14:textId="77777777" w:rsidR="00CC76FE" w:rsidRPr="00EF2F18" w:rsidRDefault="00CC76FE"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p w14:paraId="6EBAEEE1" w14:textId="374FD69B" w:rsidR="00CC76FE" w:rsidRPr="00EF2F18" w:rsidRDefault="00CC76FE"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p w14:paraId="4C3ACB47" w14:textId="38B1ED43" w:rsidR="00CC76FE" w:rsidRPr="00EF2F18" w:rsidRDefault="00CC76FE" w:rsidP="0012364D">
            <w:pPr>
              <w:spacing w:after="0"/>
              <w:rPr>
                <w:rFonts w:eastAsia="Times New Roman" w:cs="Times New Roman"/>
                <w:color w:val="000000"/>
                <w:sz w:val="20"/>
                <w:szCs w:val="20"/>
                <w:lang w:val="sr-Cyrl-RS" w:eastAsia="en-GB"/>
              </w:rPr>
            </w:pPr>
          </w:p>
        </w:tc>
        <w:tc>
          <w:tcPr>
            <w:tcW w:w="1790" w:type="dxa"/>
            <w:gridSpan w:val="2"/>
            <w:tcBorders>
              <w:top w:val="nil"/>
              <w:left w:val="nil"/>
              <w:bottom w:val="single" w:sz="4" w:space="0" w:color="auto"/>
              <w:right w:val="double" w:sz="6" w:space="0" w:color="auto"/>
            </w:tcBorders>
            <w:hideMark/>
          </w:tcPr>
          <w:p w14:paraId="21485817" w14:textId="1B74C5E4" w:rsidR="00CC76FE" w:rsidRPr="00EF2F18" w:rsidRDefault="00C7598B" w:rsidP="0012364D">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160.000</w:t>
            </w:r>
          </w:p>
          <w:p w14:paraId="252A3133" w14:textId="1DF4345E" w:rsidR="00CC76FE" w:rsidRPr="00EF2F18" w:rsidRDefault="00CC76FE" w:rsidP="0012364D">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64.038</w:t>
            </w:r>
          </w:p>
        </w:tc>
        <w:tc>
          <w:tcPr>
            <w:tcW w:w="2155" w:type="dxa"/>
            <w:gridSpan w:val="4"/>
            <w:tcBorders>
              <w:top w:val="nil"/>
              <w:left w:val="nil"/>
              <w:bottom w:val="single" w:sz="4" w:space="0" w:color="auto"/>
              <w:right w:val="double" w:sz="6" w:space="0" w:color="auto"/>
            </w:tcBorders>
          </w:tcPr>
          <w:p w14:paraId="5EAE38C8" w14:textId="0D3D721B" w:rsidR="00CC76FE" w:rsidRPr="00EF2F18" w:rsidRDefault="00CC76FE" w:rsidP="00B8319D">
            <w:pPr>
              <w:spacing w:after="0"/>
              <w:jc w:val="right"/>
              <w:rPr>
                <w:rFonts w:eastAsia="Times New Roman" w:cs="Times New Roman"/>
                <w:color w:val="000000"/>
                <w:sz w:val="20"/>
                <w:szCs w:val="20"/>
                <w:lang w:val="sr-Cyrl-RS" w:eastAsia="en-GB"/>
              </w:rPr>
            </w:pPr>
          </w:p>
        </w:tc>
        <w:tc>
          <w:tcPr>
            <w:tcW w:w="3746" w:type="dxa"/>
            <w:gridSpan w:val="4"/>
            <w:tcBorders>
              <w:top w:val="nil"/>
              <w:left w:val="nil"/>
              <w:bottom w:val="single" w:sz="4" w:space="0" w:color="auto"/>
              <w:right w:val="double" w:sz="6" w:space="0" w:color="auto"/>
            </w:tcBorders>
            <w:shd w:val="clear" w:color="000000" w:fill="FFFFFF"/>
          </w:tcPr>
          <w:p w14:paraId="5CC546E4" w14:textId="3C89CAFF" w:rsidR="00CC76FE" w:rsidRPr="00EF2F18" w:rsidRDefault="00CC76FE" w:rsidP="0012364D">
            <w:pPr>
              <w:spacing w:after="0"/>
              <w:jc w:val="right"/>
              <w:rPr>
                <w:rFonts w:eastAsia="Times New Roman" w:cs="Times New Roman"/>
                <w:color w:val="000000"/>
                <w:sz w:val="20"/>
                <w:szCs w:val="20"/>
                <w:lang w:val="sr-Cyrl-RS" w:eastAsia="en-GB"/>
              </w:rPr>
            </w:pPr>
          </w:p>
        </w:tc>
      </w:tr>
      <w:tr w:rsidR="00CC76FE" w:rsidRPr="00EF2F18" w14:paraId="1229AB33" w14:textId="77777777" w:rsidTr="00EF0900">
        <w:trPr>
          <w:gridAfter w:val="1"/>
          <w:wAfter w:w="326" w:type="dxa"/>
          <w:trHeight w:val="324"/>
        </w:trPr>
        <w:tc>
          <w:tcPr>
            <w:tcW w:w="3245" w:type="dxa"/>
            <w:gridSpan w:val="2"/>
            <w:tcBorders>
              <w:top w:val="nil"/>
              <w:left w:val="double" w:sz="6" w:space="0" w:color="auto"/>
              <w:bottom w:val="single" w:sz="4" w:space="0" w:color="auto"/>
              <w:right w:val="double" w:sz="6" w:space="0" w:color="auto"/>
            </w:tcBorders>
            <w:shd w:val="clear" w:color="000000" w:fill="FFFFFF"/>
          </w:tcPr>
          <w:p w14:paraId="62491468" w14:textId="3FCCC0B7" w:rsidR="00CC76FE" w:rsidRPr="00EF2F18" w:rsidRDefault="00CC76FE"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(ЕУ ИПАРД)</w:t>
            </w:r>
          </w:p>
        </w:tc>
        <w:tc>
          <w:tcPr>
            <w:tcW w:w="2631" w:type="dxa"/>
            <w:gridSpan w:val="3"/>
            <w:tcBorders>
              <w:top w:val="nil"/>
              <w:left w:val="nil"/>
              <w:bottom w:val="single" w:sz="4" w:space="0" w:color="auto"/>
              <w:right w:val="double" w:sz="6" w:space="0" w:color="auto"/>
            </w:tcBorders>
            <w:shd w:val="clear" w:color="000000" w:fill="FFFFFF"/>
          </w:tcPr>
          <w:p w14:paraId="28A0C874" w14:textId="7BEEB1F3" w:rsidR="00CC76FE" w:rsidRPr="00EF2F18" w:rsidRDefault="00CC76FE" w:rsidP="0012364D">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tc>
        <w:tc>
          <w:tcPr>
            <w:tcW w:w="1790" w:type="dxa"/>
            <w:gridSpan w:val="2"/>
            <w:tcBorders>
              <w:top w:val="nil"/>
              <w:left w:val="nil"/>
              <w:bottom w:val="single" w:sz="4" w:space="0" w:color="auto"/>
              <w:right w:val="double" w:sz="6" w:space="0" w:color="auto"/>
            </w:tcBorders>
          </w:tcPr>
          <w:p w14:paraId="3FB5F552" w14:textId="74BCAF03" w:rsidR="00CC76FE" w:rsidRPr="00EF2F18" w:rsidRDefault="00CC76FE" w:rsidP="0012364D">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119.112</w:t>
            </w:r>
          </w:p>
        </w:tc>
        <w:tc>
          <w:tcPr>
            <w:tcW w:w="2155" w:type="dxa"/>
            <w:gridSpan w:val="4"/>
            <w:tcBorders>
              <w:top w:val="nil"/>
              <w:left w:val="nil"/>
              <w:bottom w:val="single" w:sz="4" w:space="0" w:color="auto"/>
              <w:right w:val="double" w:sz="6" w:space="0" w:color="auto"/>
            </w:tcBorders>
          </w:tcPr>
          <w:p w14:paraId="42910E13" w14:textId="77777777" w:rsidR="00CC76FE" w:rsidRPr="00EF2F18" w:rsidRDefault="00CC76FE" w:rsidP="00B8319D">
            <w:pPr>
              <w:spacing w:after="0"/>
              <w:jc w:val="right"/>
              <w:rPr>
                <w:rFonts w:eastAsia="Times New Roman" w:cs="Times New Roman"/>
                <w:color w:val="000000"/>
                <w:sz w:val="20"/>
                <w:szCs w:val="20"/>
                <w:lang w:val="sr-Cyrl-RS" w:eastAsia="en-GB"/>
              </w:rPr>
            </w:pPr>
          </w:p>
        </w:tc>
        <w:tc>
          <w:tcPr>
            <w:tcW w:w="3746" w:type="dxa"/>
            <w:gridSpan w:val="4"/>
            <w:tcBorders>
              <w:top w:val="nil"/>
              <w:left w:val="nil"/>
              <w:bottom w:val="single" w:sz="4" w:space="0" w:color="auto"/>
              <w:right w:val="double" w:sz="6" w:space="0" w:color="auto"/>
            </w:tcBorders>
            <w:shd w:val="clear" w:color="000000" w:fill="FFFFFF"/>
          </w:tcPr>
          <w:p w14:paraId="51D5CD16" w14:textId="77777777" w:rsidR="00CC76FE" w:rsidRPr="00EF2F18" w:rsidRDefault="00CC76FE" w:rsidP="0012364D">
            <w:pPr>
              <w:spacing w:after="0"/>
              <w:jc w:val="right"/>
              <w:rPr>
                <w:rFonts w:eastAsia="Times New Roman" w:cs="Times New Roman"/>
                <w:color w:val="000000"/>
                <w:sz w:val="20"/>
                <w:szCs w:val="20"/>
                <w:lang w:val="sr-Cyrl-RS" w:eastAsia="en-GB"/>
              </w:rPr>
            </w:pPr>
          </w:p>
        </w:tc>
      </w:tr>
      <w:tr w:rsidR="007D7243" w:rsidRPr="00EF2F18" w14:paraId="48DB4590" w14:textId="77777777" w:rsidTr="00EF0900">
        <w:trPr>
          <w:gridAfter w:val="1"/>
          <w:wAfter w:w="326" w:type="dxa"/>
          <w:trHeight w:val="324"/>
        </w:trPr>
        <w:tc>
          <w:tcPr>
            <w:tcW w:w="3245" w:type="dxa"/>
            <w:gridSpan w:val="2"/>
            <w:tcBorders>
              <w:top w:val="double" w:sz="6" w:space="0" w:color="auto"/>
              <w:bottom w:val="double" w:sz="6" w:space="0" w:color="auto"/>
            </w:tcBorders>
            <w:shd w:val="clear" w:color="000000" w:fill="FFFFFF"/>
          </w:tcPr>
          <w:p w14:paraId="0B62E2DC" w14:textId="4E04A39A" w:rsidR="00625049" w:rsidRDefault="00625049" w:rsidP="00752CA0">
            <w:pPr>
              <w:spacing w:after="0"/>
              <w:rPr>
                <w:rFonts w:eastAsia="Times New Roman" w:cs="Times New Roman"/>
                <w:color w:val="000000"/>
                <w:sz w:val="12"/>
                <w:szCs w:val="12"/>
                <w:lang w:val="sr-Cyrl-RS" w:eastAsia="en-GB"/>
              </w:rPr>
            </w:pPr>
          </w:p>
          <w:p w14:paraId="57C2A5E3" w14:textId="77777777" w:rsidR="00625049" w:rsidRDefault="00625049" w:rsidP="00752CA0">
            <w:pPr>
              <w:spacing w:after="0"/>
              <w:rPr>
                <w:rFonts w:eastAsia="Times New Roman" w:cs="Times New Roman"/>
                <w:color w:val="000000"/>
                <w:sz w:val="12"/>
                <w:szCs w:val="12"/>
                <w:lang w:val="sr-Cyrl-RS" w:eastAsia="en-GB"/>
              </w:rPr>
            </w:pPr>
          </w:p>
          <w:p w14:paraId="4ABB64C2" w14:textId="77777777" w:rsidR="00625049" w:rsidRDefault="00625049" w:rsidP="00752CA0">
            <w:pPr>
              <w:spacing w:after="0"/>
              <w:rPr>
                <w:rFonts w:eastAsia="Times New Roman" w:cs="Times New Roman"/>
                <w:color w:val="000000"/>
                <w:sz w:val="12"/>
                <w:szCs w:val="12"/>
                <w:lang w:val="sr-Cyrl-RS" w:eastAsia="en-GB"/>
              </w:rPr>
            </w:pPr>
          </w:p>
          <w:p w14:paraId="22AA225A" w14:textId="77777777" w:rsidR="00625049" w:rsidRDefault="00625049" w:rsidP="00752CA0">
            <w:pPr>
              <w:spacing w:after="0"/>
              <w:rPr>
                <w:rFonts w:eastAsia="Times New Roman" w:cs="Times New Roman"/>
                <w:color w:val="000000"/>
                <w:sz w:val="12"/>
                <w:szCs w:val="12"/>
                <w:lang w:val="sr-Cyrl-RS" w:eastAsia="en-GB"/>
              </w:rPr>
            </w:pPr>
          </w:p>
          <w:p w14:paraId="61F69CA2" w14:textId="77777777" w:rsidR="00625049" w:rsidRDefault="00625049" w:rsidP="00752CA0">
            <w:pPr>
              <w:spacing w:after="0"/>
              <w:rPr>
                <w:rFonts w:eastAsia="Times New Roman" w:cs="Times New Roman"/>
                <w:color w:val="000000"/>
                <w:sz w:val="12"/>
                <w:szCs w:val="12"/>
                <w:lang w:val="sr-Cyrl-RS" w:eastAsia="en-GB"/>
              </w:rPr>
            </w:pPr>
          </w:p>
          <w:p w14:paraId="5FA77FAD" w14:textId="77777777" w:rsidR="00625049" w:rsidRDefault="00625049" w:rsidP="00752CA0">
            <w:pPr>
              <w:spacing w:after="0"/>
              <w:rPr>
                <w:rFonts w:eastAsia="Times New Roman" w:cs="Times New Roman"/>
                <w:color w:val="000000"/>
                <w:sz w:val="12"/>
                <w:szCs w:val="12"/>
                <w:lang w:val="sr-Cyrl-RS" w:eastAsia="en-GB"/>
              </w:rPr>
            </w:pPr>
          </w:p>
          <w:p w14:paraId="74CEA687" w14:textId="77777777" w:rsidR="00625049" w:rsidRDefault="00625049" w:rsidP="00752CA0">
            <w:pPr>
              <w:spacing w:after="0"/>
              <w:rPr>
                <w:rFonts w:eastAsia="Times New Roman" w:cs="Times New Roman"/>
                <w:color w:val="000000"/>
                <w:sz w:val="12"/>
                <w:szCs w:val="12"/>
                <w:lang w:val="sr-Cyrl-RS" w:eastAsia="en-GB"/>
              </w:rPr>
            </w:pPr>
          </w:p>
          <w:p w14:paraId="1018A32F" w14:textId="77777777" w:rsidR="00625049" w:rsidRDefault="00625049" w:rsidP="00752CA0">
            <w:pPr>
              <w:spacing w:after="0"/>
              <w:rPr>
                <w:rFonts w:eastAsia="Times New Roman" w:cs="Times New Roman"/>
                <w:color w:val="000000"/>
                <w:sz w:val="12"/>
                <w:szCs w:val="12"/>
                <w:lang w:val="sr-Cyrl-RS" w:eastAsia="en-GB"/>
              </w:rPr>
            </w:pPr>
          </w:p>
          <w:p w14:paraId="684BC057" w14:textId="77777777" w:rsidR="00625049" w:rsidRDefault="00625049" w:rsidP="00752CA0">
            <w:pPr>
              <w:spacing w:after="0"/>
              <w:rPr>
                <w:rFonts w:eastAsia="Times New Roman" w:cs="Times New Roman"/>
                <w:color w:val="000000"/>
                <w:sz w:val="12"/>
                <w:szCs w:val="12"/>
                <w:lang w:val="sr-Cyrl-RS" w:eastAsia="en-GB"/>
              </w:rPr>
            </w:pPr>
          </w:p>
          <w:p w14:paraId="2F027227" w14:textId="1C6EF8CE" w:rsidR="00625049" w:rsidRPr="00625049" w:rsidRDefault="00625049" w:rsidP="00752CA0">
            <w:pPr>
              <w:spacing w:after="0"/>
              <w:rPr>
                <w:rFonts w:eastAsia="Times New Roman" w:cs="Times New Roman"/>
                <w:color w:val="000000"/>
                <w:sz w:val="12"/>
                <w:szCs w:val="12"/>
                <w:lang w:val="sr-Cyrl-RS" w:eastAsia="en-GB"/>
              </w:rPr>
            </w:pPr>
          </w:p>
        </w:tc>
        <w:tc>
          <w:tcPr>
            <w:tcW w:w="2631" w:type="dxa"/>
            <w:gridSpan w:val="3"/>
            <w:tcBorders>
              <w:top w:val="double" w:sz="6" w:space="0" w:color="auto"/>
              <w:bottom w:val="double" w:sz="6" w:space="0" w:color="auto"/>
            </w:tcBorders>
            <w:shd w:val="clear" w:color="000000" w:fill="FFFFFF"/>
          </w:tcPr>
          <w:p w14:paraId="0BE204EF" w14:textId="77777777" w:rsidR="007D7243" w:rsidRPr="00EF2F18" w:rsidRDefault="007D7243" w:rsidP="00752CA0">
            <w:pPr>
              <w:spacing w:after="0"/>
              <w:rPr>
                <w:rFonts w:eastAsia="Times New Roman" w:cs="Times New Roman"/>
                <w:color w:val="000000"/>
                <w:sz w:val="20"/>
                <w:szCs w:val="20"/>
                <w:lang w:val="sr-Cyrl-RS" w:eastAsia="en-GB"/>
              </w:rPr>
            </w:pPr>
          </w:p>
        </w:tc>
        <w:tc>
          <w:tcPr>
            <w:tcW w:w="1905" w:type="dxa"/>
            <w:gridSpan w:val="3"/>
            <w:tcBorders>
              <w:top w:val="double" w:sz="6" w:space="0" w:color="auto"/>
              <w:bottom w:val="double" w:sz="6" w:space="0" w:color="auto"/>
            </w:tcBorders>
          </w:tcPr>
          <w:p w14:paraId="78E3F23A" w14:textId="77777777" w:rsidR="007D7243" w:rsidRPr="00EF2F18" w:rsidRDefault="007D7243" w:rsidP="00752CA0">
            <w:pPr>
              <w:spacing w:after="0"/>
              <w:jc w:val="right"/>
              <w:rPr>
                <w:rFonts w:eastAsia="Times New Roman" w:cs="Times New Roman"/>
                <w:color w:val="000000"/>
                <w:sz w:val="20"/>
                <w:szCs w:val="20"/>
                <w:lang w:val="sr-Cyrl-RS" w:eastAsia="en-GB"/>
              </w:rPr>
            </w:pPr>
          </w:p>
        </w:tc>
        <w:tc>
          <w:tcPr>
            <w:tcW w:w="1785" w:type="dxa"/>
            <w:gridSpan w:val="2"/>
            <w:tcBorders>
              <w:top w:val="double" w:sz="6" w:space="0" w:color="auto"/>
              <w:bottom w:val="double" w:sz="6" w:space="0" w:color="auto"/>
            </w:tcBorders>
          </w:tcPr>
          <w:p w14:paraId="5BD09E1E" w14:textId="77777777" w:rsidR="007D7243" w:rsidRPr="00EF2F18" w:rsidRDefault="007D7243" w:rsidP="00752CA0">
            <w:pPr>
              <w:spacing w:after="0"/>
              <w:jc w:val="right"/>
              <w:rPr>
                <w:rFonts w:eastAsia="Times New Roman" w:cs="Times New Roman"/>
                <w:color w:val="000000"/>
                <w:sz w:val="20"/>
                <w:szCs w:val="20"/>
                <w:lang w:val="sr-Cyrl-RS" w:eastAsia="en-GB"/>
              </w:rPr>
            </w:pPr>
          </w:p>
        </w:tc>
        <w:tc>
          <w:tcPr>
            <w:tcW w:w="2080" w:type="dxa"/>
            <w:gridSpan w:val="3"/>
            <w:tcBorders>
              <w:top w:val="double" w:sz="6" w:space="0" w:color="auto"/>
              <w:bottom w:val="double" w:sz="6" w:space="0" w:color="auto"/>
            </w:tcBorders>
          </w:tcPr>
          <w:p w14:paraId="6D4ED942" w14:textId="77777777" w:rsidR="007D7243" w:rsidRPr="00EF2F18" w:rsidRDefault="007D7243" w:rsidP="00752CA0">
            <w:pPr>
              <w:spacing w:after="0"/>
              <w:jc w:val="right"/>
              <w:rPr>
                <w:rFonts w:eastAsia="Times New Roman" w:cs="Times New Roman"/>
                <w:color w:val="000000"/>
                <w:sz w:val="20"/>
                <w:szCs w:val="20"/>
                <w:lang w:val="sr-Cyrl-RS" w:eastAsia="en-GB"/>
              </w:rPr>
            </w:pPr>
          </w:p>
        </w:tc>
        <w:tc>
          <w:tcPr>
            <w:tcW w:w="1921" w:type="dxa"/>
            <w:gridSpan w:val="2"/>
            <w:tcBorders>
              <w:top w:val="double" w:sz="6" w:space="0" w:color="auto"/>
              <w:bottom w:val="double" w:sz="6" w:space="0" w:color="auto"/>
            </w:tcBorders>
            <w:shd w:val="clear" w:color="000000" w:fill="FFFFFF"/>
          </w:tcPr>
          <w:p w14:paraId="04F1BC8E" w14:textId="77777777" w:rsidR="007D7243" w:rsidRPr="00EF2F18" w:rsidRDefault="007D7243" w:rsidP="00752CA0">
            <w:pPr>
              <w:spacing w:after="0"/>
              <w:jc w:val="right"/>
              <w:rPr>
                <w:rFonts w:eastAsia="Times New Roman" w:cs="Times New Roman"/>
                <w:color w:val="000000"/>
                <w:sz w:val="20"/>
                <w:szCs w:val="20"/>
                <w:lang w:val="sr-Cyrl-RS" w:eastAsia="en-GB"/>
              </w:rPr>
            </w:pPr>
          </w:p>
        </w:tc>
      </w:tr>
      <w:tr w:rsidR="007D7243" w:rsidRPr="00EF2F18" w14:paraId="01360189" w14:textId="77777777" w:rsidTr="00EF0900">
        <w:tblPrEx>
          <w:tblCellMar>
            <w:top w:w="15" w:type="dxa"/>
          </w:tblCellMar>
        </w:tblPrEx>
        <w:trPr>
          <w:gridAfter w:val="1"/>
          <w:wAfter w:w="326" w:type="dxa"/>
          <w:trHeight w:val="732"/>
        </w:trPr>
        <w:tc>
          <w:tcPr>
            <w:tcW w:w="257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F08851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197" w:type="dxa"/>
            <w:gridSpan w:val="2"/>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4E5E2A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358"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233DAD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241" w:type="dxa"/>
            <w:gridSpan w:val="2"/>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A5FEF6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704" w:type="dxa"/>
            <w:gridSpan w:val="3"/>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D6F44B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748" w:type="dxa"/>
            <w:gridSpan w:val="2"/>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0AAF5B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3746" w:type="dxa"/>
            <w:gridSpan w:val="4"/>
            <w:tcBorders>
              <w:top w:val="double" w:sz="6" w:space="0" w:color="auto"/>
              <w:left w:val="nil"/>
              <w:bottom w:val="single" w:sz="8" w:space="0" w:color="auto"/>
              <w:right w:val="double" w:sz="6" w:space="0" w:color="auto"/>
            </w:tcBorders>
            <w:shd w:val="clear" w:color="000000" w:fill="FFF2CC"/>
            <w:hideMark/>
          </w:tcPr>
          <w:p w14:paraId="39A16F4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C76FE" w:rsidRPr="00EF2F18" w14:paraId="00F33358" w14:textId="77777777" w:rsidTr="00EF0900">
        <w:tblPrEx>
          <w:tblCellMar>
            <w:top w:w="15" w:type="dxa"/>
          </w:tblCellMar>
        </w:tblPrEx>
        <w:trPr>
          <w:gridAfter w:val="1"/>
          <w:wAfter w:w="326" w:type="dxa"/>
          <w:trHeight w:val="324"/>
        </w:trPr>
        <w:tc>
          <w:tcPr>
            <w:tcW w:w="2573" w:type="dxa"/>
            <w:vMerge/>
            <w:tcBorders>
              <w:top w:val="double" w:sz="6" w:space="0" w:color="auto"/>
              <w:left w:val="double" w:sz="6" w:space="0" w:color="auto"/>
              <w:bottom w:val="single" w:sz="8" w:space="0" w:color="000000"/>
              <w:right w:val="single" w:sz="8" w:space="0" w:color="auto"/>
            </w:tcBorders>
            <w:vAlign w:val="center"/>
            <w:hideMark/>
          </w:tcPr>
          <w:p w14:paraId="0FE59973" w14:textId="77777777" w:rsidR="00CC76FE" w:rsidRPr="00EF2F18" w:rsidRDefault="00CC76FE" w:rsidP="00752CA0">
            <w:pPr>
              <w:spacing w:after="0"/>
              <w:rPr>
                <w:rFonts w:eastAsia="Times New Roman" w:cs="Times New Roman"/>
                <w:color w:val="000000"/>
                <w:sz w:val="20"/>
                <w:szCs w:val="20"/>
                <w:lang w:val="sr-Cyrl-RS" w:eastAsia="en-GB"/>
              </w:rPr>
            </w:pPr>
          </w:p>
        </w:tc>
        <w:tc>
          <w:tcPr>
            <w:tcW w:w="1197" w:type="dxa"/>
            <w:gridSpan w:val="2"/>
            <w:vMerge/>
            <w:tcBorders>
              <w:top w:val="double" w:sz="6" w:space="0" w:color="auto"/>
              <w:left w:val="single" w:sz="8" w:space="0" w:color="auto"/>
              <w:bottom w:val="single" w:sz="8" w:space="0" w:color="000000"/>
              <w:right w:val="single" w:sz="8" w:space="0" w:color="auto"/>
            </w:tcBorders>
            <w:vAlign w:val="center"/>
            <w:hideMark/>
          </w:tcPr>
          <w:p w14:paraId="763C787D" w14:textId="77777777" w:rsidR="00CC76FE" w:rsidRPr="00EF2F18" w:rsidRDefault="00CC76FE" w:rsidP="00752CA0">
            <w:pPr>
              <w:spacing w:after="0"/>
              <w:rPr>
                <w:rFonts w:eastAsia="Times New Roman" w:cs="Times New Roman"/>
                <w:color w:val="000000"/>
                <w:sz w:val="20"/>
                <w:szCs w:val="20"/>
                <w:lang w:val="sr-Cyrl-RS" w:eastAsia="en-GB"/>
              </w:rPr>
            </w:pPr>
          </w:p>
        </w:tc>
        <w:tc>
          <w:tcPr>
            <w:tcW w:w="1358" w:type="dxa"/>
            <w:vMerge/>
            <w:tcBorders>
              <w:top w:val="double" w:sz="6" w:space="0" w:color="auto"/>
              <w:left w:val="single" w:sz="8" w:space="0" w:color="auto"/>
              <w:bottom w:val="single" w:sz="8" w:space="0" w:color="000000"/>
              <w:right w:val="single" w:sz="8" w:space="0" w:color="auto"/>
            </w:tcBorders>
            <w:vAlign w:val="center"/>
            <w:hideMark/>
          </w:tcPr>
          <w:p w14:paraId="08E74318" w14:textId="77777777" w:rsidR="00CC76FE" w:rsidRPr="00EF2F18" w:rsidRDefault="00CC76FE" w:rsidP="00752CA0">
            <w:pPr>
              <w:spacing w:after="0"/>
              <w:rPr>
                <w:rFonts w:eastAsia="Times New Roman" w:cs="Times New Roman"/>
                <w:color w:val="000000"/>
                <w:sz w:val="20"/>
                <w:szCs w:val="20"/>
                <w:lang w:val="sr-Cyrl-RS" w:eastAsia="en-GB"/>
              </w:rPr>
            </w:pPr>
          </w:p>
        </w:tc>
        <w:tc>
          <w:tcPr>
            <w:tcW w:w="1241" w:type="dxa"/>
            <w:gridSpan w:val="2"/>
            <w:vMerge/>
            <w:tcBorders>
              <w:top w:val="double" w:sz="6" w:space="0" w:color="auto"/>
              <w:left w:val="single" w:sz="8" w:space="0" w:color="auto"/>
              <w:bottom w:val="single" w:sz="8" w:space="0" w:color="000000"/>
              <w:right w:val="single" w:sz="8" w:space="0" w:color="auto"/>
            </w:tcBorders>
            <w:vAlign w:val="center"/>
            <w:hideMark/>
          </w:tcPr>
          <w:p w14:paraId="2B05AC56" w14:textId="77777777" w:rsidR="00CC76FE" w:rsidRPr="00EF2F18" w:rsidRDefault="00CC76FE" w:rsidP="00752CA0">
            <w:pPr>
              <w:spacing w:after="0"/>
              <w:rPr>
                <w:rFonts w:eastAsia="Times New Roman" w:cs="Times New Roman"/>
                <w:color w:val="000000"/>
                <w:sz w:val="20"/>
                <w:szCs w:val="20"/>
                <w:lang w:val="sr-Cyrl-RS" w:eastAsia="en-GB"/>
              </w:rPr>
            </w:pPr>
          </w:p>
        </w:tc>
        <w:tc>
          <w:tcPr>
            <w:tcW w:w="1704" w:type="dxa"/>
            <w:gridSpan w:val="3"/>
            <w:vMerge/>
            <w:tcBorders>
              <w:top w:val="double" w:sz="6" w:space="0" w:color="auto"/>
              <w:left w:val="single" w:sz="8" w:space="0" w:color="auto"/>
              <w:bottom w:val="single" w:sz="8" w:space="0" w:color="000000"/>
              <w:right w:val="single" w:sz="8" w:space="0" w:color="auto"/>
            </w:tcBorders>
            <w:vAlign w:val="center"/>
            <w:hideMark/>
          </w:tcPr>
          <w:p w14:paraId="13B13710" w14:textId="77777777" w:rsidR="00CC76FE" w:rsidRPr="00EF2F18" w:rsidRDefault="00CC76FE" w:rsidP="00752CA0">
            <w:pPr>
              <w:spacing w:after="0"/>
              <w:rPr>
                <w:rFonts w:eastAsia="Times New Roman" w:cs="Times New Roman"/>
                <w:color w:val="000000"/>
                <w:sz w:val="20"/>
                <w:szCs w:val="20"/>
                <w:lang w:val="sr-Cyrl-RS" w:eastAsia="en-GB"/>
              </w:rPr>
            </w:pPr>
          </w:p>
        </w:tc>
        <w:tc>
          <w:tcPr>
            <w:tcW w:w="1748" w:type="dxa"/>
            <w:gridSpan w:val="2"/>
            <w:vMerge/>
            <w:tcBorders>
              <w:top w:val="double" w:sz="6" w:space="0" w:color="auto"/>
              <w:left w:val="single" w:sz="8" w:space="0" w:color="auto"/>
              <w:bottom w:val="single" w:sz="8" w:space="0" w:color="000000"/>
              <w:right w:val="single" w:sz="8" w:space="0" w:color="auto"/>
            </w:tcBorders>
            <w:vAlign w:val="center"/>
            <w:hideMark/>
          </w:tcPr>
          <w:p w14:paraId="109A0FCC" w14:textId="77777777" w:rsidR="00CC76FE" w:rsidRPr="00EF2F18" w:rsidRDefault="00CC76FE" w:rsidP="00752CA0">
            <w:pPr>
              <w:spacing w:after="0"/>
              <w:rPr>
                <w:rFonts w:eastAsia="Times New Roman" w:cs="Times New Roman"/>
                <w:color w:val="000000"/>
                <w:sz w:val="20"/>
                <w:szCs w:val="20"/>
                <w:lang w:val="sr-Cyrl-RS" w:eastAsia="en-GB"/>
              </w:rPr>
            </w:pPr>
          </w:p>
        </w:tc>
        <w:tc>
          <w:tcPr>
            <w:tcW w:w="979" w:type="dxa"/>
            <w:tcBorders>
              <w:top w:val="nil"/>
              <w:left w:val="nil"/>
              <w:bottom w:val="single" w:sz="8" w:space="0" w:color="auto"/>
              <w:right w:val="single" w:sz="8" w:space="0" w:color="auto"/>
            </w:tcBorders>
            <w:shd w:val="clear" w:color="000000" w:fill="FFF2CC"/>
            <w:hideMark/>
          </w:tcPr>
          <w:p w14:paraId="5C7E4B89" w14:textId="0E735B35"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2026.</w:t>
            </w:r>
          </w:p>
        </w:tc>
        <w:tc>
          <w:tcPr>
            <w:tcW w:w="1327" w:type="dxa"/>
            <w:gridSpan w:val="2"/>
            <w:tcBorders>
              <w:top w:val="nil"/>
              <w:left w:val="nil"/>
              <w:bottom w:val="single" w:sz="8" w:space="0" w:color="auto"/>
              <w:right w:val="single" w:sz="8" w:space="0" w:color="auto"/>
            </w:tcBorders>
            <w:shd w:val="clear" w:color="000000" w:fill="FFF2CC"/>
            <w:hideMark/>
          </w:tcPr>
          <w:p w14:paraId="7424A4E1" w14:textId="67DC1476"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w:t>
            </w:r>
          </w:p>
        </w:tc>
        <w:tc>
          <w:tcPr>
            <w:tcW w:w="1440" w:type="dxa"/>
            <w:tcBorders>
              <w:top w:val="nil"/>
              <w:left w:val="nil"/>
              <w:bottom w:val="single" w:sz="8" w:space="0" w:color="auto"/>
              <w:right w:val="double" w:sz="6" w:space="0" w:color="auto"/>
            </w:tcBorders>
            <w:shd w:val="clear" w:color="000000" w:fill="FFF2CC"/>
            <w:hideMark/>
          </w:tcPr>
          <w:p w14:paraId="3CD63670" w14:textId="70D3C3DA"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CC76FE" w:rsidRPr="00EF2F18" w14:paraId="43725C68" w14:textId="77777777" w:rsidTr="005A33E0">
        <w:tblPrEx>
          <w:tblCellMar>
            <w:top w:w="15" w:type="dxa"/>
          </w:tblCellMar>
        </w:tblPrEx>
        <w:trPr>
          <w:gridAfter w:val="1"/>
          <w:wAfter w:w="326" w:type="dxa"/>
          <w:trHeight w:val="1332"/>
        </w:trPr>
        <w:tc>
          <w:tcPr>
            <w:tcW w:w="2573" w:type="dxa"/>
            <w:tcBorders>
              <w:top w:val="single" w:sz="4" w:space="0" w:color="auto"/>
              <w:left w:val="double" w:sz="6" w:space="0" w:color="auto"/>
              <w:bottom w:val="single" w:sz="8" w:space="0" w:color="auto"/>
              <w:right w:val="single" w:sz="8" w:space="0" w:color="auto"/>
            </w:tcBorders>
            <w:hideMark/>
          </w:tcPr>
          <w:p w14:paraId="0D05637B"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5.1.6.1. Годишња додела подстицаја за очување биљних и животињских генетских ресурса у банци гена и на пољопривредним газдинствима</w:t>
            </w:r>
          </w:p>
        </w:tc>
        <w:tc>
          <w:tcPr>
            <w:tcW w:w="1197" w:type="dxa"/>
            <w:gridSpan w:val="2"/>
            <w:tcBorders>
              <w:top w:val="single" w:sz="4" w:space="0" w:color="auto"/>
              <w:left w:val="nil"/>
              <w:bottom w:val="single" w:sz="8" w:space="0" w:color="auto"/>
              <w:right w:val="single" w:sz="8" w:space="0" w:color="auto"/>
            </w:tcBorders>
            <w:hideMark/>
          </w:tcPr>
          <w:p w14:paraId="22C6151E"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58" w:type="dxa"/>
            <w:tcBorders>
              <w:top w:val="single" w:sz="4" w:space="0" w:color="auto"/>
              <w:left w:val="nil"/>
              <w:bottom w:val="single" w:sz="8" w:space="0" w:color="auto"/>
              <w:right w:val="single" w:sz="8" w:space="0" w:color="auto"/>
            </w:tcBorders>
            <w:hideMark/>
          </w:tcPr>
          <w:p w14:paraId="2424DE0E"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ДНРЛ</w:t>
            </w:r>
          </w:p>
        </w:tc>
        <w:tc>
          <w:tcPr>
            <w:tcW w:w="1241" w:type="dxa"/>
            <w:gridSpan w:val="2"/>
            <w:tcBorders>
              <w:top w:val="single" w:sz="4" w:space="0" w:color="auto"/>
              <w:left w:val="nil"/>
              <w:bottom w:val="single" w:sz="8" w:space="0" w:color="auto"/>
              <w:right w:val="single" w:sz="8" w:space="0" w:color="auto"/>
            </w:tcBorders>
            <w:hideMark/>
          </w:tcPr>
          <w:p w14:paraId="3567791E"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704" w:type="dxa"/>
            <w:gridSpan w:val="3"/>
            <w:tcBorders>
              <w:top w:val="single" w:sz="4" w:space="0" w:color="auto"/>
              <w:left w:val="nil"/>
              <w:bottom w:val="single" w:sz="8" w:space="0" w:color="auto"/>
              <w:right w:val="single" w:sz="8" w:space="0" w:color="auto"/>
            </w:tcBorders>
            <w:hideMark/>
          </w:tcPr>
          <w:p w14:paraId="5D9E54AB"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748" w:type="dxa"/>
            <w:gridSpan w:val="2"/>
            <w:tcBorders>
              <w:top w:val="single" w:sz="4" w:space="0" w:color="auto"/>
              <w:left w:val="nil"/>
              <w:bottom w:val="single" w:sz="8" w:space="0" w:color="auto"/>
              <w:right w:val="single" w:sz="8" w:space="0" w:color="auto"/>
            </w:tcBorders>
            <w:hideMark/>
          </w:tcPr>
          <w:p w14:paraId="1E230156" w14:textId="05CF7718"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tc>
        <w:tc>
          <w:tcPr>
            <w:tcW w:w="979" w:type="dxa"/>
            <w:tcBorders>
              <w:top w:val="single" w:sz="4" w:space="0" w:color="auto"/>
              <w:left w:val="nil"/>
              <w:bottom w:val="single" w:sz="8" w:space="0" w:color="auto"/>
              <w:right w:val="single" w:sz="8" w:space="0" w:color="auto"/>
            </w:tcBorders>
          </w:tcPr>
          <w:p w14:paraId="7FB72E19" w14:textId="7E90CCED" w:rsidR="00CC76FE" w:rsidRPr="00EF2F18" w:rsidRDefault="00B10BB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160.000</w:t>
            </w:r>
          </w:p>
        </w:tc>
        <w:tc>
          <w:tcPr>
            <w:tcW w:w="1327" w:type="dxa"/>
            <w:gridSpan w:val="2"/>
            <w:tcBorders>
              <w:top w:val="single" w:sz="4" w:space="0" w:color="auto"/>
              <w:left w:val="nil"/>
              <w:bottom w:val="single" w:sz="8" w:space="0" w:color="auto"/>
              <w:right w:val="single" w:sz="8" w:space="0" w:color="auto"/>
            </w:tcBorders>
          </w:tcPr>
          <w:p w14:paraId="31707A88" w14:textId="553C705A" w:rsidR="00CC76FE" w:rsidRPr="00EF2F18" w:rsidRDefault="00CC76FE" w:rsidP="00752CA0">
            <w:pPr>
              <w:spacing w:after="0"/>
              <w:jc w:val="right"/>
              <w:rPr>
                <w:rFonts w:eastAsia="Times New Roman" w:cs="Times New Roman"/>
                <w:color w:val="000000"/>
                <w:sz w:val="20"/>
                <w:szCs w:val="20"/>
                <w:lang w:val="sr-Cyrl-RS" w:eastAsia="en-GB"/>
              </w:rPr>
            </w:pPr>
          </w:p>
        </w:tc>
        <w:tc>
          <w:tcPr>
            <w:tcW w:w="1440" w:type="dxa"/>
            <w:tcBorders>
              <w:top w:val="single" w:sz="4" w:space="0" w:color="auto"/>
              <w:left w:val="nil"/>
              <w:bottom w:val="single" w:sz="8" w:space="0" w:color="auto"/>
              <w:right w:val="double" w:sz="6" w:space="0" w:color="auto"/>
            </w:tcBorders>
          </w:tcPr>
          <w:p w14:paraId="43197A37" w14:textId="2854B8A6" w:rsidR="00CC76FE" w:rsidRPr="00EF2F18" w:rsidRDefault="00CC76FE" w:rsidP="00752CA0">
            <w:pPr>
              <w:spacing w:after="0"/>
              <w:jc w:val="right"/>
              <w:rPr>
                <w:rFonts w:eastAsia="Times New Roman" w:cs="Times New Roman"/>
                <w:color w:val="000000"/>
                <w:sz w:val="20"/>
                <w:szCs w:val="20"/>
                <w:lang w:val="sr-Cyrl-RS" w:eastAsia="en-GB"/>
              </w:rPr>
            </w:pPr>
          </w:p>
        </w:tc>
      </w:tr>
      <w:tr w:rsidR="00CC76FE" w:rsidRPr="00EF2F18" w14:paraId="77E6F7DA" w14:textId="77777777" w:rsidTr="006D5666">
        <w:tblPrEx>
          <w:tblCellMar>
            <w:top w:w="15" w:type="dxa"/>
          </w:tblCellMar>
        </w:tblPrEx>
        <w:trPr>
          <w:gridAfter w:val="1"/>
          <w:wAfter w:w="326" w:type="dxa"/>
          <w:trHeight w:val="732"/>
        </w:trPr>
        <w:tc>
          <w:tcPr>
            <w:tcW w:w="2573" w:type="dxa"/>
            <w:vMerge w:val="restart"/>
            <w:tcBorders>
              <w:top w:val="single" w:sz="4" w:space="0" w:color="auto"/>
              <w:left w:val="double" w:sz="6" w:space="0" w:color="auto"/>
              <w:bottom w:val="double" w:sz="6" w:space="0" w:color="000000"/>
              <w:right w:val="single" w:sz="8" w:space="0" w:color="auto"/>
            </w:tcBorders>
            <w:hideMark/>
          </w:tcPr>
          <w:p w14:paraId="154FE61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5.1.6.2. Годишња додела подршке за Агро-еколошко-климатску меру и органску производњу ИПАРД III програма</w:t>
            </w:r>
          </w:p>
        </w:tc>
        <w:tc>
          <w:tcPr>
            <w:tcW w:w="1197" w:type="dxa"/>
            <w:gridSpan w:val="2"/>
            <w:vMerge w:val="restart"/>
            <w:tcBorders>
              <w:top w:val="single" w:sz="4" w:space="0" w:color="auto"/>
              <w:left w:val="single" w:sz="8" w:space="0" w:color="auto"/>
              <w:bottom w:val="double" w:sz="6" w:space="0" w:color="000000"/>
              <w:right w:val="single" w:sz="8" w:space="0" w:color="auto"/>
            </w:tcBorders>
            <w:hideMark/>
          </w:tcPr>
          <w:p w14:paraId="353BA254"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358" w:type="dxa"/>
            <w:vMerge w:val="restart"/>
            <w:tcBorders>
              <w:top w:val="single" w:sz="4" w:space="0" w:color="auto"/>
              <w:left w:val="single" w:sz="8" w:space="0" w:color="auto"/>
              <w:bottom w:val="double" w:sz="6" w:space="0" w:color="000000"/>
              <w:right w:val="single" w:sz="8" w:space="0" w:color="auto"/>
            </w:tcBorders>
            <w:hideMark/>
          </w:tcPr>
          <w:p w14:paraId="4BCF4868"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w:t>
            </w:r>
          </w:p>
        </w:tc>
        <w:tc>
          <w:tcPr>
            <w:tcW w:w="1241" w:type="dxa"/>
            <w:gridSpan w:val="2"/>
            <w:vMerge w:val="restart"/>
            <w:tcBorders>
              <w:top w:val="single" w:sz="4" w:space="0" w:color="auto"/>
              <w:left w:val="single" w:sz="8" w:space="0" w:color="auto"/>
              <w:bottom w:val="double" w:sz="6" w:space="0" w:color="000000"/>
              <w:right w:val="single" w:sz="8" w:space="0" w:color="auto"/>
            </w:tcBorders>
            <w:hideMark/>
          </w:tcPr>
          <w:p w14:paraId="6A199A17"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704" w:type="dxa"/>
            <w:gridSpan w:val="3"/>
            <w:vMerge w:val="restart"/>
            <w:tcBorders>
              <w:top w:val="single" w:sz="4" w:space="0" w:color="auto"/>
              <w:left w:val="single" w:sz="8" w:space="0" w:color="auto"/>
              <w:bottom w:val="double" w:sz="6" w:space="0" w:color="000000"/>
              <w:right w:val="single" w:sz="8" w:space="0" w:color="auto"/>
            </w:tcBorders>
            <w:hideMark/>
          </w:tcPr>
          <w:p w14:paraId="07697C12"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p w14:paraId="71723ABD" w14:textId="77777777" w:rsidR="00CC76FE" w:rsidRPr="00EF2F18" w:rsidRDefault="00CC76FE" w:rsidP="00752CA0">
            <w:pPr>
              <w:spacing w:after="0"/>
              <w:rPr>
                <w:rFonts w:eastAsia="Times New Roman" w:cs="Times New Roman"/>
                <w:color w:val="000000"/>
                <w:sz w:val="20"/>
                <w:szCs w:val="20"/>
                <w:lang w:val="sr-Cyrl-RS" w:eastAsia="en-GB"/>
              </w:rPr>
            </w:pPr>
          </w:p>
          <w:p w14:paraId="73395C2A" w14:textId="15227B92"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(ЕУ ИПАРД)</w:t>
            </w:r>
          </w:p>
        </w:tc>
        <w:tc>
          <w:tcPr>
            <w:tcW w:w="1748" w:type="dxa"/>
            <w:gridSpan w:val="2"/>
            <w:vMerge w:val="restart"/>
            <w:tcBorders>
              <w:top w:val="single" w:sz="4" w:space="0" w:color="auto"/>
              <w:left w:val="single" w:sz="8" w:space="0" w:color="auto"/>
              <w:bottom w:val="double" w:sz="6" w:space="0" w:color="000000"/>
              <w:right w:val="single" w:sz="8" w:space="0" w:color="auto"/>
            </w:tcBorders>
            <w:hideMark/>
          </w:tcPr>
          <w:p w14:paraId="055ABC23"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p w14:paraId="0E247FC5" w14:textId="77777777" w:rsidR="00CC76FE" w:rsidRPr="00EF2F18" w:rsidRDefault="00CC76FE" w:rsidP="00752CA0">
            <w:pPr>
              <w:spacing w:after="0"/>
              <w:rPr>
                <w:rFonts w:eastAsia="Times New Roman" w:cs="Times New Roman"/>
                <w:color w:val="000000"/>
                <w:sz w:val="20"/>
                <w:szCs w:val="20"/>
                <w:lang w:val="sr-Cyrl-RS" w:eastAsia="en-GB"/>
              </w:rPr>
            </w:pPr>
          </w:p>
          <w:p w14:paraId="556AA5F8" w14:textId="776DFA79"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0103-420-4005-451</w:t>
            </w:r>
          </w:p>
          <w:p w14:paraId="7A91A21A" w14:textId="2786E8CF" w:rsidR="00CC76FE" w:rsidRPr="00EF2F18" w:rsidRDefault="00CC76FE" w:rsidP="00752CA0">
            <w:pPr>
              <w:spacing w:after="0"/>
              <w:rPr>
                <w:rFonts w:eastAsia="Times New Roman" w:cs="Times New Roman"/>
                <w:color w:val="000000"/>
                <w:sz w:val="20"/>
                <w:szCs w:val="20"/>
                <w:lang w:val="sr-Cyrl-RS" w:eastAsia="en-GB"/>
              </w:rPr>
            </w:pPr>
          </w:p>
        </w:tc>
        <w:tc>
          <w:tcPr>
            <w:tcW w:w="979" w:type="dxa"/>
            <w:vMerge w:val="restart"/>
            <w:tcBorders>
              <w:top w:val="single" w:sz="4" w:space="0" w:color="auto"/>
              <w:left w:val="single" w:sz="8" w:space="0" w:color="auto"/>
              <w:bottom w:val="double" w:sz="6" w:space="0" w:color="000000"/>
              <w:right w:val="single" w:sz="8" w:space="0" w:color="auto"/>
            </w:tcBorders>
            <w:hideMark/>
          </w:tcPr>
          <w:p w14:paraId="4FDC919B" w14:textId="77777777" w:rsidR="00CC76FE" w:rsidRPr="00EF2F18" w:rsidRDefault="00CC76FE" w:rsidP="00C60B9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64.038</w:t>
            </w:r>
          </w:p>
          <w:p w14:paraId="0C74BF93" w14:textId="77777777" w:rsidR="00CC76FE" w:rsidRPr="00EF2F18" w:rsidRDefault="00CC76FE" w:rsidP="00C60B96">
            <w:pPr>
              <w:spacing w:after="0"/>
              <w:jc w:val="right"/>
              <w:rPr>
                <w:rFonts w:eastAsia="Times New Roman" w:cs="Times New Roman"/>
                <w:color w:val="000000"/>
                <w:sz w:val="20"/>
                <w:szCs w:val="20"/>
                <w:lang w:val="sr-Cyrl-RS" w:eastAsia="en-GB"/>
              </w:rPr>
            </w:pPr>
          </w:p>
          <w:p w14:paraId="1970E2C4" w14:textId="77777777" w:rsidR="00CC76FE" w:rsidRPr="00EF2F18" w:rsidRDefault="00CC76FE" w:rsidP="00C60B96">
            <w:pPr>
              <w:spacing w:after="0"/>
              <w:jc w:val="right"/>
              <w:rPr>
                <w:rFonts w:eastAsia="Times New Roman" w:cs="Times New Roman"/>
                <w:color w:val="000000"/>
                <w:sz w:val="20"/>
                <w:szCs w:val="20"/>
                <w:lang w:val="sr-Cyrl-RS" w:eastAsia="en-GB"/>
              </w:rPr>
            </w:pPr>
          </w:p>
          <w:p w14:paraId="115B9381" w14:textId="33522951" w:rsidR="00CC76FE" w:rsidRPr="00EF2F18" w:rsidRDefault="00CC76FE" w:rsidP="00C60B9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119.112</w:t>
            </w:r>
          </w:p>
        </w:tc>
        <w:tc>
          <w:tcPr>
            <w:tcW w:w="1327" w:type="dxa"/>
            <w:gridSpan w:val="2"/>
            <w:vMerge w:val="restart"/>
            <w:tcBorders>
              <w:top w:val="single" w:sz="4" w:space="0" w:color="auto"/>
              <w:left w:val="single" w:sz="8" w:space="0" w:color="auto"/>
              <w:bottom w:val="double" w:sz="6" w:space="0" w:color="000000"/>
              <w:right w:val="single" w:sz="8" w:space="0" w:color="auto"/>
            </w:tcBorders>
          </w:tcPr>
          <w:p w14:paraId="01366AC6" w14:textId="0DFDA92B" w:rsidR="00CC76FE" w:rsidRPr="00EF2F18" w:rsidRDefault="00CC76FE" w:rsidP="00752CA0">
            <w:pPr>
              <w:spacing w:after="0"/>
              <w:jc w:val="right"/>
              <w:rPr>
                <w:rFonts w:eastAsia="Times New Roman" w:cs="Times New Roman"/>
                <w:color w:val="000000"/>
                <w:sz w:val="20"/>
                <w:szCs w:val="20"/>
                <w:lang w:val="sr-Cyrl-RS" w:eastAsia="en-GB"/>
              </w:rPr>
            </w:pPr>
          </w:p>
        </w:tc>
        <w:tc>
          <w:tcPr>
            <w:tcW w:w="1440" w:type="dxa"/>
            <w:vMerge w:val="restart"/>
            <w:tcBorders>
              <w:top w:val="single" w:sz="4" w:space="0" w:color="auto"/>
              <w:left w:val="single" w:sz="8" w:space="0" w:color="auto"/>
              <w:bottom w:val="double" w:sz="6" w:space="0" w:color="000000"/>
              <w:right w:val="double" w:sz="6" w:space="0" w:color="auto"/>
            </w:tcBorders>
          </w:tcPr>
          <w:p w14:paraId="1FAAD62B" w14:textId="17EA2E44" w:rsidR="00CC76FE" w:rsidRPr="00EF2F18" w:rsidRDefault="00CC76FE" w:rsidP="00752CA0">
            <w:pPr>
              <w:spacing w:after="0"/>
              <w:jc w:val="right"/>
              <w:rPr>
                <w:rFonts w:eastAsia="Times New Roman" w:cs="Times New Roman"/>
                <w:color w:val="000000"/>
                <w:sz w:val="20"/>
                <w:szCs w:val="20"/>
                <w:lang w:val="sr-Cyrl-RS" w:eastAsia="en-GB"/>
              </w:rPr>
            </w:pPr>
          </w:p>
        </w:tc>
      </w:tr>
      <w:tr w:rsidR="00CC76FE" w:rsidRPr="00EF2F18" w14:paraId="203EC8BE" w14:textId="77777777" w:rsidTr="00EF0900">
        <w:tblPrEx>
          <w:tblCellMar>
            <w:top w:w="15" w:type="dxa"/>
          </w:tblCellMar>
        </w:tblPrEx>
        <w:trPr>
          <w:trHeight w:val="324"/>
        </w:trPr>
        <w:tc>
          <w:tcPr>
            <w:tcW w:w="2573" w:type="dxa"/>
            <w:vMerge/>
            <w:tcBorders>
              <w:top w:val="nil"/>
              <w:left w:val="double" w:sz="6" w:space="0" w:color="auto"/>
              <w:bottom w:val="double" w:sz="6" w:space="0" w:color="000000"/>
              <w:right w:val="single" w:sz="8" w:space="0" w:color="auto"/>
            </w:tcBorders>
            <w:vAlign w:val="center"/>
            <w:hideMark/>
          </w:tcPr>
          <w:p w14:paraId="72BF4F6E" w14:textId="77777777" w:rsidR="00CC76FE" w:rsidRPr="00EF2F18" w:rsidRDefault="00CC76FE" w:rsidP="00752CA0">
            <w:pPr>
              <w:spacing w:after="0"/>
              <w:rPr>
                <w:rFonts w:eastAsia="Times New Roman" w:cs="Times New Roman"/>
                <w:color w:val="000000"/>
                <w:sz w:val="20"/>
                <w:szCs w:val="20"/>
                <w:lang w:val="sr-Cyrl-RS" w:eastAsia="en-GB"/>
              </w:rPr>
            </w:pPr>
          </w:p>
        </w:tc>
        <w:tc>
          <w:tcPr>
            <w:tcW w:w="1197" w:type="dxa"/>
            <w:gridSpan w:val="2"/>
            <w:vMerge/>
            <w:tcBorders>
              <w:top w:val="nil"/>
              <w:left w:val="single" w:sz="8" w:space="0" w:color="auto"/>
              <w:bottom w:val="double" w:sz="6" w:space="0" w:color="000000"/>
              <w:right w:val="single" w:sz="8" w:space="0" w:color="auto"/>
            </w:tcBorders>
            <w:vAlign w:val="center"/>
            <w:hideMark/>
          </w:tcPr>
          <w:p w14:paraId="3057207B" w14:textId="77777777" w:rsidR="00CC76FE" w:rsidRPr="00EF2F18" w:rsidRDefault="00CC76FE" w:rsidP="00752CA0">
            <w:pPr>
              <w:spacing w:after="0"/>
              <w:rPr>
                <w:rFonts w:eastAsia="Times New Roman" w:cs="Times New Roman"/>
                <w:color w:val="000000"/>
                <w:sz w:val="20"/>
                <w:szCs w:val="20"/>
                <w:lang w:val="sr-Cyrl-RS" w:eastAsia="en-GB"/>
              </w:rPr>
            </w:pPr>
          </w:p>
        </w:tc>
        <w:tc>
          <w:tcPr>
            <w:tcW w:w="1358" w:type="dxa"/>
            <w:vMerge/>
            <w:tcBorders>
              <w:top w:val="nil"/>
              <w:left w:val="single" w:sz="8" w:space="0" w:color="auto"/>
              <w:bottom w:val="double" w:sz="6" w:space="0" w:color="000000"/>
              <w:right w:val="single" w:sz="8" w:space="0" w:color="auto"/>
            </w:tcBorders>
            <w:vAlign w:val="center"/>
            <w:hideMark/>
          </w:tcPr>
          <w:p w14:paraId="1985C95B" w14:textId="77777777" w:rsidR="00CC76FE" w:rsidRPr="00EF2F18" w:rsidRDefault="00CC76FE" w:rsidP="00752CA0">
            <w:pPr>
              <w:spacing w:after="0"/>
              <w:rPr>
                <w:rFonts w:eastAsia="Times New Roman" w:cs="Times New Roman"/>
                <w:color w:val="000000"/>
                <w:sz w:val="20"/>
                <w:szCs w:val="20"/>
                <w:lang w:val="sr-Cyrl-RS" w:eastAsia="en-GB"/>
              </w:rPr>
            </w:pPr>
          </w:p>
        </w:tc>
        <w:tc>
          <w:tcPr>
            <w:tcW w:w="1241" w:type="dxa"/>
            <w:gridSpan w:val="2"/>
            <w:vMerge/>
            <w:tcBorders>
              <w:top w:val="nil"/>
              <w:left w:val="single" w:sz="8" w:space="0" w:color="auto"/>
              <w:bottom w:val="double" w:sz="6" w:space="0" w:color="000000"/>
              <w:right w:val="single" w:sz="8" w:space="0" w:color="auto"/>
            </w:tcBorders>
            <w:vAlign w:val="center"/>
            <w:hideMark/>
          </w:tcPr>
          <w:p w14:paraId="3C8A6427" w14:textId="77777777" w:rsidR="00CC76FE" w:rsidRPr="00EF2F18" w:rsidRDefault="00CC76FE" w:rsidP="00752CA0">
            <w:pPr>
              <w:spacing w:after="0"/>
              <w:rPr>
                <w:rFonts w:eastAsia="Times New Roman" w:cs="Times New Roman"/>
                <w:color w:val="000000"/>
                <w:sz w:val="20"/>
                <w:szCs w:val="20"/>
                <w:lang w:val="sr-Cyrl-RS" w:eastAsia="en-GB"/>
              </w:rPr>
            </w:pPr>
          </w:p>
        </w:tc>
        <w:tc>
          <w:tcPr>
            <w:tcW w:w="1704" w:type="dxa"/>
            <w:gridSpan w:val="3"/>
            <w:vMerge/>
            <w:tcBorders>
              <w:top w:val="nil"/>
              <w:left w:val="single" w:sz="8" w:space="0" w:color="auto"/>
              <w:bottom w:val="double" w:sz="6" w:space="0" w:color="000000"/>
              <w:right w:val="single" w:sz="8" w:space="0" w:color="auto"/>
            </w:tcBorders>
            <w:vAlign w:val="center"/>
            <w:hideMark/>
          </w:tcPr>
          <w:p w14:paraId="2430F992" w14:textId="77777777" w:rsidR="00CC76FE" w:rsidRPr="00EF2F18" w:rsidRDefault="00CC76FE" w:rsidP="00752CA0">
            <w:pPr>
              <w:spacing w:after="0"/>
              <w:rPr>
                <w:rFonts w:eastAsia="Times New Roman" w:cs="Times New Roman"/>
                <w:color w:val="000000"/>
                <w:sz w:val="20"/>
                <w:szCs w:val="20"/>
                <w:lang w:val="sr-Cyrl-RS" w:eastAsia="en-GB"/>
              </w:rPr>
            </w:pPr>
          </w:p>
        </w:tc>
        <w:tc>
          <w:tcPr>
            <w:tcW w:w="1748" w:type="dxa"/>
            <w:gridSpan w:val="2"/>
            <w:vMerge/>
            <w:tcBorders>
              <w:top w:val="nil"/>
              <w:left w:val="single" w:sz="8" w:space="0" w:color="auto"/>
              <w:bottom w:val="double" w:sz="6" w:space="0" w:color="000000"/>
              <w:right w:val="single" w:sz="8" w:space="0" w:color="auto"/>
            </w:tcBorders>
            <w:vAlign w:val="center"/>
            <w:hideMark/>
          </w:tcPr>
          <w:p w14:paraId="05E321DF" w14:textId="77777777" w:rsidR="00CC76FE" w:rsidRPr="00EF2F18" w:rsidRDefault="00CC76FE" w:rsidP="00752CA0">
            <w:pPr>
              <w:spacing w:after="0"/>
              <w:rPr>
                <w:rFonts w:eastAsia="Times New Roman" w:cs="Times New Roman"/>
                <w:color w:val="000000"/>
                <w:sz w:val="20"/>
                <w:szCs w:val="20"/>
                <w:lang w:val="sr-Cyrl-RS" w:eastAsia="en-GB"/>
              </w:rPr>
            </w:pPr>
          </w:p>
        </w:tc>
        <w:tc>
          <w:tcPr>
            <w:tcW w:w="979" w:type="dxa"/>
            <w:vMerge/>
            <w:tcBorders>
              <w:top w:val="nil"/>
              <w:left w:val="single" w:sz="8" w:space="0" w:color="auto"/>
              <w:bottom w:val="double" w:sz="6" w:space="0" w:color="000000"/>
              <w:right w:val="single" w:sz="8" w:space="0" w:color="auto"/>
            </w:tcBorders>
            <w:vAlign w:val="center"/>
            <w:hideMark/>
          </w:tcPr>
          <w:p w14:paraId="3FFDE7FB" w14:textId="77777777" w:rsidR="00CC76FE" w:rsidRPr="00EF2F18" w:rsidRDefault="00CC76FE" w:rsidP="00752CA0">
            <w:pPr>
              <w:spacing w:after="0"/>
              <w:rPr>
                <w:rFonts w:eastAsia="Times New Roman" w:cs="Times New Roman"/>
                <w:color w:val="000000"/>
                <w:sz w:val="20"/>
                <w:szCs w:val="20"/>
                <w:lang w:val="sr-Cyrl-RS" w:eastAsia="en-GB"/>
              </w:rPr>
            </w:pPr>
          </w:p>
        </w:tc>
        <w:tc>
          <w:tcPr>
            <w:tcW w:w="1327" w:type="dxa"/>
            <w:gridSpan w:val="2"/>
            <w:vMerge/>
            <w:tcBorders>
              <w:top w:val="nil"/>
              <w:left w:val="single" w:sz="8" w:space="0" w:color="auto"/>
              <w:bottom w:val="double" w:sz="6" w:space="0" w:color="000000"/>
              <w:right w:val="single" w:sz="8" w:space="0" w:color="auto"/>
            </w:tcBorders>
            <w:vAlign w:val="center"/>
          </w:tcPr>
          <w:p w14:paraId="0AB95D3B" w14:textId="77777777" w:rsidR="00CC76FE" w:rsidRPr="00EF2F18" w:rsidRDefault="00CC76FE" w:rsidP="00752CA0">
            <w:pPr>
              <w:spacing w:after="0"/>
              <w:rPr>
                <w:rFonts w:eastAsia="Times New Roman" w:cs="Times New Roman"/>
                <w:color w:val="000000"/>
                <w:sz w:val="20"/>
                <w:szCs w:val="20"/>
                <w:lang w:val="sr-Cyrl-RS" w:eastAsia="en-GB"/>
              </w:rPr>
            </w:pPr>
          </w:p>
        </w:tc>
        <w:tc>
          <w:tcPr>
            <w:tcW w:w="1440" w:type="dxa"/>
            <w:vMerge/>
            <w:tcBorders>
              <w:top w:val="nil"/>
              <w:left w:val="single" w:sz="8" w:space="0" w:color="auto"/>
              <w:bottom w:val="double" w:sz="6" w:space="0" w:color="000000"/>
              <w:right w:val="double" w:sz="6" w:space="0" w:color="auto"/>
            </w:tcBorders>
            <w:vAlign w:val="center"/>
          </w:tcPr>
          <w:p w14:paraId="043A5A22" w14:textId="77777777" w:rsidR="00CC76FE" w:rsidRPr="00EF2F18" w:rsidRDefault="00CC76FE" w:rsidP="00752CA0">
            <w:pPr>
              <w:spacing w:after="0"/>
              <w:rPr>
                <w:rFonts w:eastAsia="Times New Roman" w:cs="Times New Roman"/>
                <w:color w:val="000000"/>
                <w:sz w:val="20"/>
                <w:szCs w:val="20"/>
                <w:lang w:val="sr-Cyrl-RS" w:eastAsia="en-GB"/>
              </w:rPr>
            </w:pPr>
          </w:p>
        </w:tc>
        <w:tc>
          <w:tcPr>
            <w:tcW w:w="326" w:type="dxa"/>
            <w:tcBorders>
              <w:top w:val="nil"/>
              <w:left w:val="nil"/>
              <w:bottom w:val="nil"/>
              <w:right w:val="nil"/>
            </w:tcBorders>
            <w:noWrap/>
            <w:vAlign w:val="bottom"/>
            <w:hideMark/>
          </w:tcPr>
          <w:p w14:paraId="4DA07895" w14:textId="77777777" w:rsidR="00CC76FE" w:rsidRPr="00EF2F18" w:rsidRDefault="00CC76FE" w:rsidP="00752CA0">
            <w:pPr>
              <w:spacing w:after="0"/>
              <w:rPr>
                <w:rFonts w:eastAsia="Times New Roman" w:cs="Times New Roman"/>
                <w:color w:val="000000"/>
                <w:sz w:val="20"/>
                <w:szCs w:val="20"/>
                <w:lang w:val="sr-Cyrl-RS" w:eastAsia="en-GB"/>
              </w:rPr>
            </w:pPr>
          </w:p>
        </w:tc>
      </w:tr>
    </w:tbl>
    <w:p w14:paraId="7761943D" w14:textId="7E5B2A1B" w:rsidR="00630969" w:rsidRPr="00EF2F18" w:rsidRDefault="00630969" w:rsidP="007D7243">
      <w:pPr>
        <w:spacing w:after="0"/>
        <w:rPr>
          <w:rFonts w:cs="Times New Roman"/>
          <w:sz w:val="20"/>
          <w:szCs w:val="20"/>
          <w:lang w:val="sr-Cyrl-RS"/>
        </w:rPr>
      </w:pPr>
    </w:p>
    <w:tbl>
      <w:tblPr>
        <w:tblW w:w="13803" w:type="dxa"/>
        <w:tblLook w:val="04A0" w:firstRow="1" w:lastRow="0" w:firstColumn="1" w:lastColumn="0" w:noHBand="0" w:noVBand="1"/>
      </w:tblPr>
      <w:tblGrid>
        <w:gridCol w:w="3379"/>
        <w:gridCol w:w="1264"/>
        <w:gridCol w:w="1300"/>
        <w:gridCol w:w="983"/>
        <w:gridCol w:w="958"/>
        <w:gridCol w:w="1477"/>
        <w:gridCol w:w="1054"/>
        <w:gridCol w:w="1442"/>
        <w:gridCol w:w="1710"/>
        <w:gridCol w:w="16"/>
        <w:gridCol w:w="220"/>
      </w:tblGrid>
      <w:tr w:rsidR="007D7243" w:rsidRPr="00EF2F18" w14:paraId="478070F2" w14:textId="77777777" w:rsidTr="00CC76FE">
        <w:trPr>
          <w:gridAfter w:val="1"/>
          <w:wAfter w:w="220" w:type="dxa"/>
          <w:trHeight w:val="528"/>
        </w:trPr>
        <w:tc>
          <w:tcPr>
            <w:tcW w:w="13583" w:type="dxa"/>
            <w:gridSpan w:val="10"/>
            <w:tcBorders>
              <w:top w:val="double" w:sz="6" w:space="0" w:color="auto"/>
              <w:left w:val="double" w:sz="6" w:space="0" w:color="auto"/>
              <w:bottom w:val="double" w:sz="6" w:space="0" w:color="auto"/>
              <w:right w:val="double" w:sz="6" w:space="0" w:color="auto"/>
            </w:tcBorders>
            <w:shd w:val="clear" w:color="000000" w:fill="F7CAAC"/>
            <w:hideMark/>
          </w:tcPr>
          <w:p w14:paraId="7B7B628B"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 xml:space="preserve">Мера 5.1.7: Унапређење капацитета за креирање и трансфер знања и информација у области заштите животне средине и климатских промена </w:t>
            </w:r>
          </w:p>
        </w:tc>
      </w:tr>
      <w:tr w:rsidR="007D7243" w:rsidRPr="00EF2F18" w14:paraId="4E35E702" w14:textId="77777777" w:rsidTr="00CC76FE">
        <w:trPr>
          <w:gridAfter w:val="1"/>
          <w:wAfter w:w="220" w:type="dxa"/>
          <w:trHeight w:val="336"/>
        </w:trPr>
        <w:tc>
          <w:tcPr>
            <w:tcW w:w="13583" w:type="dxa"/>
            <w:gridSpan w:val="10"/>
            <w:tcBorders>
              <w:top w:val="double" w:sz="6" w:space="0" w:color="auto"/>
              <w:left w:val="double" w:sz="6" w:space="0" w:color="auto"/>
              <w:bottom w:val="double" w:sz="6" w:space="0" w:color="auto"/>
              <w:right w:val="double" w:sz="6" w:space="0" w:color="auto"/>
            </w:tcBorders>
            <w:shd w:val="clear" w:color="000000" w:fill="F7CAAC"/>
            <w:hideMark/>
          </w:tcPr>
          <w:p w14:paraId="2579D6E5"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lastRenderedPageBreak/>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7D7243" w:rsidRPr="00EF2F18" w14:paraId="13D49349" w14:textId="77777777" w:rsidTr="00CC76FE">
        <w:trPr>
          <w:gridAfter w:val="1"/>
          <w:wAfter w:w="220" w:type="dxa"/>
          <w:trHeight w:val="336"/>
        </w:trPr>
        <w:tc>
          <w:tcPr>
            <w:tcW w:w="6926"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04EC0D13" w14:textId="4E183675"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CC76FE"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657" w:type="dxa"/>
            <w:gridSpan w:val="6"/>
            <w:tcBorders>
              <w:top w:val="double" w:sz="6" w:space="0" w:color="auto"/>
              <w:left w:val="nil"/>
              <w:bottom w:val="double" w:sz="6" w:space="0" w:color="auto"/>
              <w:right w:val="double" w:sz="6" w:space="0" w:color="auto"/>
            </w:tcBorders>
            <w:shd w:val="clear" w:color="000000" w:fill="F7CAAC"/>
            <w:hideMark/>
          </w:tcPr>
          <w:p w14:paraId="6EBE411B" w14:textId="15FC775B" w:rsidR="007D7243" w:rsidRPr="00EF2F18" w:rsidRDefault="00BF256A" w:rsidP="00752CA0">
            <w:pPr>
              <w:spacing w:after="0"/>
              <w:rPr>
                <w:rFonts w:eastAsia="Times New Roman" w:cs="Times New Roman"/>
                <w:color w:val="000000"/>
                <w:sz w:val="20"/>
                <w:szCs w:val="20"/>
                <w:lang w:val="sr-Cyrl-RS" w:eastAsia="en-GB"/>
              </w:rPr>
            </w:pPr>
            <w:r>
              <w:rPr>
                <w:rFonts w:eastAsia="Times New Roman" w:cs="Times New Roman"/>
                <w:color w:val="000000"/>
                <w:sz w:val="20"/>
                <w:szCs w:val="20"/>
                <w:lang w:val="sr-Cyrl-RS" w:eastAsia="en-GB"/>
              </w:rPr>
              <w:t>Тип мере: информативно-</w:t>
            </w:r>
            <w:r w:rsidR="007D7243" w:rsidRPr="00EF2F18">
              <w:rPr>
                <w:rFonts w:eastAsia="Times New Roman" w:cs="Times New Roman"/>
                <w:color w:val="000000"/>
                <w:sz w:val="20"/>
                <w:szCs w:val="20"/>
                <w:lang w:val="sr-Cyrl-RS" w:eastAsia="en-GB"/>
              </w:rPr>
              <w:t>едукативна</w:t>
            </w:r>
          </w:p>
        </w:tc>
      </w:tr>
      <w:tr w:rsidR="007D7243" w:rsidRPr="00EF2F18" w14:paraId="00AB6FC0" w14:textId="77777777" w:rsidTr="00CC76FE">
        <w:trPr>
          <w:gridAfter w:val="1"/>
          <w:wAfter w:w="220" w:type="dxa"/>
          <w:trHeight w:val="336"/>
        </w:trPr>
        <w:tc>
          <w:tcPr>
            <w:tcW w:w="6926"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D230F5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57" w:type="dxa"/>
            <w:gridSpan w:val="6"/>
            <w:tcBorders>
              <w:top w:val="double" w:sz="6" w:space="0" w:color="auto"/>
              <w:left w:val="nil"/>
              <w:bottom w:val="double" w:sz="6" w:space="0" w:color="auto"/>
              <w:right w:val="double" w:sz="6" w:space="0" w:color="auto"/>
            </w:tcBorders>
            <w:shd w:val="clear" w:color="000000" w:fill="F7CAAC"/>
            <w:hideMark/>
          </w:tcPr>
          <w:p w14:paraId="251062CF"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C76FE" w:rsidRPr="00EF2F18" w14:paraId="4A4BAA69" w14:textId="77777777" w:rsidTr="00CC76FE">
        <w:trPr>
          <w:gridAfter w:val="2"/>
          <w:wAfter w:w="236" w:type="dxa"/>
          <w:trHeight w:val="816"/>
        </w:trPr>
        <w:tc>
          <w:tcPr>
            <w:tcW w:w="3379" w:type="dxa"/>
            <w:tcBorders>
              <w:top w:val="nil"/>
              <w:left w:val="double" w:sz="6" w:space="0" w:color="auto"/>
              <w:bottom w:val="double" w:sz="6" w:space="0" w:color="auto"/>
              <w:right w:val="single" w:sz="8" w:space="0" w:color="auto"/>
            </w:tcBorders>
            <w:shd w:val="clear" w:color="000000" w:fill="D9D9D9"/>
            <w:hideMark/>
          </w:tcPr>
          <w:p w14:paraId="4BEAD65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64" w:type="dxa"/>
            <w:tcBorders>
              <w:top w:val="nil"/>
              <w:left w:val="nil"/>
              <w:bottom w:val="double" w:sz="6" w:space="0" w:color="auto"/>
              <w:right w:val="single" w:sz="8" w:space="0" w:color="auto"/>
            </w:tcBorders>
            <w:shd w:val="clear" w:color="000000" w:fill="D9D9D9"/>
            <w:hideMark/>
          </w:tcPr>
          <w:p w14:paraId="0B2DAD4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300" w:type="dxa"/>
            <w:tcBorders>
              <w:top w:val="nil"/>
              <w:left w:val="nil"/>
              <w:bottom w:val="double" w:sz="6" w:space="0" w:color="auto"/>
              <w:right w:val="single" w:sz="8" w:space="0" w:color="auto"/>
            </w:tcBorders>
            <w:shd w:val="clear" w:color="000000" w:fill="D9D9D9"/>
            <w:hideMark/>
          </w:tcPr>
          <w:p w14:paraId="725D9B1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41" w:type="dxa"/>
            <w:gridSpan w:val="2"/>
            <w:tcBorders>
              <w:top w:val="double" w:sz="6" w:space="0" w:color="auto"/>
              <w:left w:val="nil"/>
              <w:bottom w:val="double" w:sz="6" w:space="0" w:color="auto"/>
              <w:right w:val="single" w:sz="8" w:space="0" w:color="000000"/>
            </w:tcBorders>
            <w:shd w:val="clear" w:color="000000" w:fill="D9D9D9"/>
            <w:hideMark/>
          </w:tcPr>
          <w:p w14:paraId="0C14A05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477" w:type="dxa"/>
            <w:tcBorders>
              <w:top w:val="nil"/>
              <w:left w:val="nil"/>
              <w:bottom w:val="double" w:sz="6" w:space="0" w:color="auto"/>
              <w:right w:val="single" w:sz="8" w:space="0" w:color="auto"/>
            </w:tcBorders>
            <w:shd w:val="clear" w:color="000000" w:fill="D9D9D9"/>
            <w:hideMark/>
          </w:tcPr>
          <w:p w14:paraId="0E573C2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54" w:type="dxa"/>
            <w:tcBorders>
              <w:top w:val="nil"/>
              <w:left w:val="nil"/>
              <w:bottom w:val="double" w:sz="6" w:space="0" w:color="auto"/>
              <w:right w:val="nil"/>
            </w:tcBorders>
            <w:shd w:val="clear" w:color="000000" w:fill="D9D9D9"/>
            <w:hideMark/>
          </w:tcPr>
          <w:p w14:paraId="0BE4263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442" w:type="dxa"/>
            <w:tcBorders>
              <w:top w:val="nil"/>
              <w:left w:val="nil"/>
              <w:bottom w:val="double" w:sz="6" w:space="0" w:color="auto"/>
              <w:right w:val="single" w:sz="8" w:space="0" w:color="auto"/>
            </w:tcBorders>
            <w:shd w:val="clear" w:color="000000" w:fill="D9D9D9"/>
            <w:hideMark/>
          </w:tcPr>
          <w:p w14:paraId="4A9B017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tcBorders>
              <w:top w:val="nil"/>
              <w:left w:val="nil"/>
              <w:bottom w:val="double" w:sz="6" w:space="0" w:color="auto"/>
              <w:right w:val="double" w:sz="6" w:space="0" w:color="auto"/>
            </w:tcBorders>
            <w:shd w:val="clear" w:color="000000" w:fill="D9D9D9"/>
            <w:hideMark/>
          </w:tcPr>
          <w:p w14:paraId="37942B3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6FED29A1" w14:textId="77777777" w:rsidTr="00CC76FE">
        <w:trPr>
          <w:gridAfter w:val="2"/>
          <w:wAfter w:w="236" w:type="dxa"/>
          <w:trHeight w:val="1080"/>
        </w:trPr>
        <w:tc>
          <w:tcPr>
            <w:tcW w:w="3379" w:type="dxa"/>
            <w:tcBorders>
              <w:top w:val="nil"/>
              <w:left w:val="double" w:sz="6" w:space="0" w:color="auto"/>
              <w:bottom w:val="double" w:sz="6" w:space="0" w:color="auto"/>
              <w:right w:val="single" w:sz="8" w:space="0" w:color="auto"/>
            </w:tcBorders>
            <w:shd w:val="clear" w:color="000000" w:fill="FFFFFF"/>
            <w:hideMark/>
          </w:tcPr>
          <w:p w14:paraId="53D56386" w14:textId="276F6D08"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Смањење удела тровања пестицидима у укупном броју тровања </w:t>
            </w:r>
          </w:p>
        </w:tc>
        <w:tc>
          <w:tcPr>
            <w:tcW w:w="1264" w:type="dxa"/>
            <w:tcBorders>
              <w:top w:val="nil"/>
              <w:left w:val="nil"/>
              <w:bottom w:val="double" w:sz="6" w:space="0" w:color="auto"/>
              <w:right w:val="single" w:sz="8" w:space="0" w:color="auto"/>
            </w:tcBorders>
            <w:shd w:val="clear" w:color="000000" w:fill="FFFFFF"/>
            <w:hideMark/>
          </w:tcPr>
          <w:p w14:paraId="3C57DC4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00" w:type="dxa"/>
            <w:tcBorders>
              <w:top w:val="nil"/>
              <w:left w:val="nil"/>
              <w:bottom w:val="double" w:sz="6" w:space="0" w:color="auto"/>
              <w:right w:val="single" w:sz="8" w:space="0" w:color="auto"/>
            </w:tcBorders>
            <w:shd w:val="clear" w:color="000000" w:fill="FFFFFF"/>
            <w:hideMark/>
          </w:tcPr>
          <w:p w14:paraId="11AB60E6"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Годишњак Центра за контролу тровања</w:t>
            </w:r>
          </w:p>
        </w:tc>
        <w:tc>
          <w:tcPr>
            <w:tcW w:w="1941" w:type="dxa"/>
            <w:gridSpan w:val="2"/>
            <w:tcBorders>
              <w:top w:val="double" w:sz="6" w:space="0" w:color="auto"/>
              <w:left w:val="nil"/>
              <w:bottom w:val="double" w:sz="6" w:space="0" w:color="auto"/>
              <w:right w:val="single" w:sz="8" w:space="0" w:color="000000"/>
            </w:tcBorders>
            <w:shd w:val="clear" w:color="000000" w:fill="FFFFFF"/>
            <w:hideMark/>
          </w:tcPr>
          <w:p w14:paraId="76B112B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w:t>
            </w:r>
          </w:p>
        </w:tc>
        <w:tc>
          <w:tcPr>
            <w:tcW w:w="1477" w:type="dxa"/>
            <w:tcBorders>
              <w:top w:val="nil"/>
              <w:left w:val="nil"/>
              <w:bottom w:val="double" w:sz="6" w:space="0" w:color="auto"/>
              <w:right w:val="single" w:sz="8" w:space="0" w:color="auto"/>
            </w:tcBorders>
            <w:shd w:val="clear" w:color="000000" w:fill="FFFFFF"/>
            <w:hideMark/>
          </w:tcPr>
          <w:p w14:paraId="0229164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054" w:type="dxa"/>
            <w:tcBorders>
              <w:top w:val="double" w:sz="6" w:space="0" w:color="auto"/>
              <w:left w:val="single" w:sz="4" w:space="0" w:color="auto"/>
              <w:bottom w:val="double" w:sz="6" w:space="0" w:color="auto"/>
              <w:right w:val="single" w:sz="8" w:space="0" w:color="auto"/>
            </w:tcBorders>
            <w:shd w:val="clear" w:color="000000" w:fill="FFFFFF"/>
            <w:hideMark/>
          </w:tcPr>
          <w:p w14:paraId="438FD78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24</w:t>
            </w:r>
          </w:p>
        </w:tc>
        <w:tc>
          <w:tcPr>
            <w:tcW w:w="1442" w:type="dxa"/>
            <w:tcBorders>
              <w:top w:val="nil"/>
              <w:left w:val="nil"/>
              <w:bottom w:val="double" w:sz="6" w:space="0" w:color="auto"/>
              <w:right w:val="single" w:sz="8" w:space="0" w:color="auto"/>
            </w:tcBorders>
            <w:shd w:val="clear" w:color="000000" w:fill="FFFFFF"/>
            <w:hideMark/>
          </w:tcPr>
          <w:p w14:paraId="004BB03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22</w:t>
            </w:r>
          </w:p>
        </w:tc>
        <w:tc>
          <w:tcPr>
            <w:tcW w:w="1710" w:type="dxa"/>
            <w:tcBorders>
              <w:top w:val="nil"/>
              <w:left w:val="nil"/>
              <w:bottom w:val="double" w:sz="6" w:space="0" w:color="auto"/>
              <w:right w:val="double" w:sz="6" w:space="0" w:color="auto"/>
            </w:tcBorders>
            <w:shd w:val="clear" w:color="000000" w:fill="FFFFFF"/>
            <w:hideMark/>
          </w:tcPr>
          <w:p w14:paraId="72B39F2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r>
      <w:tr w:rsidR="00CC76FE" w:rsidRPr="00EF2F18" w14:paraId="72A324F3" w14:textId="77777777" w:rsidTr="00CC76FE">
        <w:trPr>
          <w:gridAfter w:val="2"/>
          <w:wAfter w:w="236" w:type="dxa"/>
          <w:trHeight w:val="816"/>
        </w:trPr>
        <w:tc>
          <w:tcPr>
            <w:tcW w:w="3379" w:type="dxa"/>
            <w:tcBorders>
              <w:top w:val="nil"/>
              <w:left w:val="double" w:sz="6" w:space="0" w:color="auto"/>
              <w:bottom w:val="double" w:sz="6" w:space="0" w:color="auto"/>
              <w:right w:val="single" w:sz="8" w:space="0" w:color="auto"/>
            </w:tcBorders>
            <w:shd w:val="clear" w:color="000000" w:fill="FFFFFF"/>
            <w:hideMark/>
          </w:tcPr>
          <w:p w14:paraId="7862EFF5" w14:textId="5B7596BA"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корисника услуга Прогнозно -извештајне службе (ПИС-а), годишње </w:t>
            </w:r>
          </w:p>
        </w:tc>
        <w:tc>
          <w:tcPr>
            <w:tcW w:w="1264" w:type="dxa"/>
            <w:tcBorders>
              <w:top w:val="nil"/>
              <w:left w:val="nil"/>
              <w:bottom w:val="double" w:sz="6" w:space="0" w:color="auto"/>
              <w:right w:val="single" w:sz="8" w:space="0" w:color="auto"/>
            </w:tcBorders>
            <w:shd w:val="clear" w:color="000000" w:fill="FFFFFF"/>
            <w:hideMark/>
          </w:tcPr>
          <w:p w14:paraId="069C8E8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300" w:type="dxa"/>
            <w:tcBorders>
              <w:top w:val="nil"/>
              <w:left w:val="nil"/>
              <w:bottom w:val="double" w:sz="6" w:space="0" w:color="auto"/>
              <w:right w:val="single" w:sz="8" w:space="0" w:color="auto"/>
            </w:tcBorders>
            <w:shd w:val="clear" w:color="000000" w:fill="FFFFFF"/>
            <w:hideMark/>
          </w:tcPr>
          <w:p w14:paraId="3F159D80"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41" w:type="dxa"/>
            <w:gridSpan w:val="2"/>
            <w:tcBorders>
              <w:top w:val="double" w:sz="6" w:space="0" w:color="auto"/>
              <w:left w:val="nil"/>
              <w:bottom w:val="double" w:sz="6" w:space="0" w:color="auto"/>
              <w:right w:val="single" w:sz="8" w:space="0" w:color="000000"/>
            </w:tcBorders>
            <w:shd w:val="clear" w:color="000000" w:fill="FFFFFF"/>
            <w:hideMark/>
          </w:tcPr>
          <w:p w14:paraId="3B480F0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5.972</w:t>
            </w:r>
          </w:p>
        </w:tc>
        <w:tc>
          <w:tcPr>
            <w:tcW w:w="1477" w:type="dxa"/>
            <w:tcBorders>
              <w:top w:val="nil"/>
              <w:left w:val="nil"/>
              <w:bottom w:val="double" w:sz="6" w:space="0" w:color="auto"/>
              <w:right w:val="single" w:sz="8" w:space="0" w:color="auto"/>
            </w:tcBorders>
            <w:shd w:val="clear" w:color="000000" w:fill="FFFFFF"/>
            <w:hideMark/>
          </w:tcPr>
          <w:p w14:paraId="5674EC4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2020.</w:t>
            </w:r>
          </w:p>
        </w:tc>
        <w:tc>
          <w:tcPr>
            <w:tcW w:w="1054" w:type="dxa"/>
            <w:tcBorders>
              <w:top w:val="nil"/>
              <w:left w:val="single" w:sz="4" w:space="0" w:color="auto"/>
              <w:bottom w:val="double" w:sz="6" w:space="0" w:color="auto"/>
              <w:right w:val="single" w:sz="8" w:space="0" w:color="auto"/>
            </w:tcBorders>
            <w:shd w:val="clear" w:color="000000" w:fill="FFFFFF"/>
            <w:hideMark/>
          </w:tcPr>
          <w:p w14:paraId="4498D40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11.000</w:t>
            </w:r>
          </w:p>
        </w:tc>
        <w:tc>
          <w:tcPr>
            <w:tcW w:w="1442" w:type="dxa"/>
            <w:tcBorders>
              <w:top w:val="nil"/>
              <w:left w:val="nil"/>
              <w:bottom w:val="double" w:sz="6" w:space="0" w:color="auto"/>
              <w:right w:val="single" w:sz="8" w:space="0" w:color="auto"/>
            </w:tcBorders>
            <w:shd w:val="clear" w:color="000000" w:fill="FFFFFF"/>
            <w:hideMark/>
          </w:tcPr>
          <w:p w14:paraId="360A634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13.000</w:t>
            </w:r>
          </w:p>
        </w:tc>
        <w:tc>
          <w:tcPr>
            <w:tcW w:w="1710" w:type="dxa"/>
            <w:tcBorders>
              <w:top w:val="nil"/>
              <w:left w:val="nil"/>
              <w:bottom w:val="double" w:sz="6" w:space="0" w:color="auto"/>
              <w:right w:val="double" w:sz="6" w:space="0" w:color="auto"/>
            </w:tcBorders>
            <w:shd w:val="clear" w:color="000000" w:fill="FFFFFF"/>
            <w:hideMark/>
          </w:tcPr>
          <w:p w14:paraId="478FCC7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15.000</w:t>
            </w:r>
          </w:p>
        </w:tc>
      </w:tr>
      <w:tr w:rsidR="00CC76FE" w:rsidRPr="00EF2F18" w14:paraId="224BB916" w14:textId="77777777" w:rsidTr="005F5572">
        <w:trPr>
          <w:gridAfter w:val="2"/>
          <w:wAfter w:w="236" w:type="dxa"/>
          <w:trHeight w:val="732"/>
        </w:trPr>
        <w:tc>
          <w:tcPr>
            <w:tcW w:w="3379" w:type="dxa"/>
            <w:vMerge w:val="restart"/>
            <w:tcBorders>
              <w:top w:val="single" w:sz="4" w:space="0" w:color="auto"/>
              <w:left w:val="double" w:sz="6" w:space="0" w:color="auto"/>
              <w:bottom w:val="double" w:sz="6" w:space="0" w:color="000000"/>
              <w:right w:val="single" w:sz="8" w:space="0" w:color="auto"/>
            </w:tcBorders>
            <w:shd w:val="clear" w:color="000000" w:fill="FFFFFF"/>
            <w:hideMark/>
          </w:tcPr>
          <w:p w14:paraId="77CD81EC"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реализованих</w:t>
            </w:r>
            <w:r w:rsidRPr="00EF2F18">
              <w:rPr>
                <w:rFonts w:eastAsia="Times New Roman" w:cs="Times New Roman"/>
                <w:b/>
                <w:bCs/>
                <w:color w:val="000000"/>
                <w:sz w:val="20"/>
                <w:szCs w:val="20"/>
                <w:lang w:val="sr-Cyrl-RS" w:eastAsia="en-GB"/>
              </w:rPr>
              <w:t xml:space="preserve"> </w:t>
            </w:r>
            <w:r w:rsidRPr="00EF2F18">
              <w:rPr>
                <w:rFonts w:eastAsia="Times New Roman" w:cs="Times New Roman"/>
                <w:color w:val="000000"/>
                <w:sz w:val="20"/>
                <w:szCs w:val="20"/>
                <w:lang w:val="sr-Cyrl-RS" w:eastAsia="en-GB"/>
              </w:rPr>
              <w:t>едукативних модула за пољопривредне саветодавце из области заштите биља на тему интегралне заштите биља</w:t>
            </w:r>
            <w:r w:rsidRPr="00EF2F18">
              <w:rPr>
                <w:rFonts w:eastAsia="Times New Roman" w:cs="Times New Roman"/>
                <w:color w:val="008080"/>
                <w:sz w:val="20"/>
                <w:szCs w:val="20"/>
                <w:u w:val="single"/>
                <w:lang w:val="sr-Cyrl-RS" w:eastAsia="en-GB"/>
              </w:rPr>
              <w:t xml:space="preserve"> </w:t>
            </w:r>
          </w:p>
        </w:tc>
        <w:tc>
          <w:tcPr>
            <w:tcW w:w="1264"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21FE407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w:t>
            </w:r>
          </w:p>
        </w:tc>
        <w:tc>
          <w:tcPr>
            <w:tcW w:w="1300"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31FC915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41" w:type="dxa"/>
            <w:gridSpan w:val="2"/>
            <w:vMerge w:val="restart"/>
            <w:tcBorders>
              <w:top w:val="single" w:sz="4" w:space="0" w:color="auto"/>
              <w:left w:val="single" w:sz="8" w:space="0" w:color="auto"/>
              <w:bottom w:val="double" w:sz="6" w:space="0" w:color="000000"/>
              <w:right w:val="single" w:sz="8" w:space="0" w:color="000000"/>
            </w:tcBorders>
            <w:shd w:val="clear" w:color="000000" w:fill="FFFFFF"/>
            <w:hideMark/>
          </w:tcPr>
          <w:p w14:paraId="41617F1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w:t>
            </w:r>
          </w:p>
        </w:tc>
        <w:tc>
          <w:tcPr>
            <w:tcW w:w="1477"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54557B2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2020.</w:t>
            </w:r>
          </w:p>
        </w:tc>
        <w:tc>
          <w:tcPr>
            <w:tcW w:w="1054" w:type="dxa"/>
            <w:vMerge w:val="restart"/>
            <w:tcBorders>
              <w:top w:val="single" w:sz="4" w:space="0" w:color="auto"/>
              <w:left w:val="single" w:sz="4" w:space="0" w:color="auto"/>
              <w:bottom w:val="double" w:sz="6" w:space="0" w:color="000000"/>
              <w:right w:val="single" w:sz="8" w:space="0" w:color="auto"/>
            </w:tcBorders>
            <w:shd w:val="clear" w:color="000000" w:fill="FFFFFF"/>
            <w:hideMark/>
          </w:tcPr>
          <w:p w14:paraId="7C50F3A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w:t>
            </w:r>
          </w:p>
        </w:tc>
        <w:tc>
          <w:tcPr>
            <w:tcW w:w="1442" w:type="dxa"/>
            <w:vMerge w:val="restart"/>
            <w:tcBorders>
              <w:top w:val="single" w:sz="4" w:space="0" w:color="auto"/>
              <w:left w:val="single" w:sz="8" w:space="0" w:color="auto"/>
              <w:bottom w:val="double" w:sz="6" w:space="0" w:color="000000"/>
              <w:right w:val="single" w:sz="8" w:space="0" w:color="auto"/>
            </w:tcBorders>
            <w:shd w:val="clear" w:color="000000" w:fill="FFFFFF"/>
            <w:hideMark/>
          </w:tcPr>
          <w:p w14:paraId="489F981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w:t>
            </w:r>
          </w:p>
        </w:tc>
        <w:tc>
          <w:tcPr>
            <w:tcW w:w="1710" w:type="dxa"/>
            <w:vMerge w:val="restart"/>
            <w:tcBorders>
              <w:top w:val="single" w:sz="4" w:space="0" w:color="auto"/>
              <w:left w:val="single" w:sz="8" w:space="0" w:color="auto"/>
              <w:bottom w:val="double" w:sz="6" w:space="0" w:color="000000"/>
              <w:right w:val="double" w:sz="6" w:space="0" w:color="auto"/>
            </w:tcBorders>
            <w:shd w:val="clear" w:color="000000" w:fill="FFFFFF"/>
            <w:hideMark/>
          </w:tcPr>
          <w:p w14:paraId="2D9AAF81"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w:t>
            </w:r>
          </w:p>
        </w:tc>
      </w:tr>
      <w:tr w:rsidR="00CC76FE" w:rsidRPr="00EF2F18" w14:paraId="090BE312" w14:textId="77777777" w:rsidTr="00CC76FE">
        <w:trPr>
          <w:trHeight w:val="324"/>
        </w:trPr>
        <w:tc>
          <w:tcPr>
            <w:tcW w:w="3379" w:type="dxa"/>
            <w:vMerge/>
            <w:tcBorders>
              <w:top w:val="nil"/>
              <w:left w:val="double" w:sz="6" w:space="0" w:color="auto"/>
              <w:bottom w:val="double" w:sz="6" w:space="0" w:color="000000"/>
              <w:right w:val="single" w:sz="8" w:space="0" w:color="auto"/>
            </w:tcBorders>
            <w:vAlign w:val="center"/>
            <w:hideMark/>
          </w:tcPr>
          <w:p w14:paraId="4E0856EF" w14:textId="77777777" w:rsidR="00CC76FE" w:rsidRPr="00EF2F18" w:rsidRDefault="00CC76FE" w:rsidP="00752CA0">
            <w:pPr>
              <w:spacing w:after="0"/>
              <w:rPr>
                <w:rFonts w:eastAsia="Times New Roman" w:cs="Times New Roman"/>
                <w:color w:val="000000"/>
                <w:sz w:val="20"/>
                <w:szCs w:val="20"/>
                <w:lang w:val="sr-Cyrl-RS" w:eastAsia="en-GB"/>
              </w:rPr>
            </w:pPr>
          </w:p>
        </w:tc>
        <w:tc>
          <w:tcPr>
            <w:tcW w:w="1264" w:type="dxa"/>
            <w:vMerge/>
            <w:tcBorders>
              <w:top w:val="nil"/>
              <w:left w:val="single" w:sz="8" w:space="0" w:color="auto"/>
              <w:bottom w:val="double" w:sz="6" w:space="0" w:color="000000"/>
              <w:right w:val="single" w:sz="8" w:space="0" w:color="auto"/>
            </w:tcBorders>
            <w:vAlign w:val="center"/>
            <w:hideMark/>
          </w:tcPr>
          <w:p w14:paraId="30FBF5C7" w14:textId="77777777" w:rsidR="00CC76FE" w:rsidRPr="00EF2F18" w:rsidRDefault="00CC76FE" w:rsidP="00752CA0">
            <w:pPr>
              <w:spacing w:after="0"/>
              <w:rPr>
                <w:rFonts w:eastAsia="Times New Roman" w:cs="Times New Roman"/>
                <w:color w:val="000000"/>
                <w:sz w:val="20"/>
                <w:szCs w:val="20"/>
                <w:lang w:val="sr-Cyrl-RS" w:eastAsia="en-GB"/>
              </w:rPr>
            </w:pPr>
          </w:p>
        </w:tc>
        <w:tc>
          <w:tcPr>
            <w:tcW w:w="1300" w:type="dxa"/>
            <w:vMerge/>
            <w:tcBorders>
              <w:top w:val="nil"/>
              <w:left w:val="single" w:sz="8" w:space="0" w:color="auto"/>
              <w:bottom w:val="double" w:sz="6" w:space="0" w:color="000000"/>
              <w:right w:val="single" w:sz="8" w:space="0" w:color="auto"/>
            </w:tcBorders>
            <w:vAlign w:val="center"/>
            <w:hideMark/>
          </w:tcPr>
          <w:p w14:paraId="4D109CCC" w14:textId="77777777" w:rsidR="00CC76FE" w:rsidRPr="00EF2F18" w:rsidRDefault="00CC76FE" w:rsidP="00752CA0">
            <w:pPr>
              <w:spacing w:after="0"/>
              <w:rPr>
                <w:rFonts w:eastAsia="Times New Roman" w:cs="Times New Roman"/>
                <w:color w:val="000000"/>
                <w:sz w:val="20"/>
                <w:szCs w:val="20"/>
                <w:lang w:val="sr-Cyrl-RS" w:eastAsia="en-GB"/>
              </w:rPr>
            </w:pPr>
          </w:p>
        </w:tc>
        <w:tc>
          <w:tcPr>
            <w:tcW w:w="1941" w:type="dxa"/>
            <w:gridSpan w:val="2"/>
            <w:vMerge/>
            <w:tcBorders>
              <w:top w:val="double" w:sz="6" w:space="0" w:color="auto"/>
              <w:left w:val="single" w:sz="8" w:space="0" w:color="auto"/>
              <w:bottom w:val="double" w:sz="6" w:space="0" w:color="000000"/>
              <w:right w:val="single" w:sz="8" w:space="0" w:color="000000"/>
            </w:tcBorders>
            <w:vAlign w:val="center"/>
            <w:hideMark/>
          </w:tcPr>
          <w:p w14:paraId="115C1F38" w14:textId="77777777" w:rsidR="00CC76FE" w:rsidRPr="00EF2F18" w:rsidRDefault="00CC76FE" w:rsidP="00752CA0">
            <w:pPr>
              <w:spacing w:after="0"/>
              <w:rPr>
                <w:rFonts w:eastAsia="Times New Roman" w:cs="Times New Roman"/>
                <w:color w:val="000000"/>
                <w:sz w:val="20"/>
                <w:szCs w:val="20"/>
                <w:lang w:val="sr-Cyrl-RS" w:eastAsia="en-GB"/>
              </w:rPr>
            </w:pPr>
          </w:p>
        </w:tc>
        <w:tc>
          <w:tcPr>
            <w:tcW w:w="1477" w:type="dxa"/>
            <w:vMerge/>
            <w:tcBorders>
              <w:top w:val="nil"/>
              <w:left w:val="single" w:sz="8" w:space="0" w:color="auto"/>
              <w:bottom w:val="double" w:sz="6" w:space="0" w:color="000000"/>
              <w:right w:val="single" w:sz="8" w:space="0" w:color="auto"/>
            </w:tcBorders>
            <w:vAlign w:val="center"/>
            <w:hideMark/>
          </w:tcPr>
          <w:p w14:paraId="16266A68" w14:textId="77777777" w:rsidR="00CC76FE" w:rsidRPr="00EF2F18" w:rsidRDefault="00CC76FE" w:rsidP="00752CA0">
            <w:pPr>
              <w:spacing w:after="0"/>
              <w:rPr>
                <w:rFonts w:eastAsia="Times New Roman" w:cs="Times New Roman"/>
                <w:color w:val="000000"/>
                <w:sz w:val="20"/>
                <w:szCs w:val="20"/>
                <w:lang w:val="sr-Cyrl-RS" w:eastAsia="en-GB"/>
              </w:rPr>
            </w:pPr>
          </w:p>
        </w:tc>
        <w:tc>
          <w:tcPr>
            <w:tcW w:w="1054" w:type="dxa"/>
            <w:vMerge/>
            <w:tcBorders>
              <w:top w:val="nil"/>
              <w:left w:val="single" w:sz="4" w:space="0" w:color="auto"/>
              <w:bottom w:val="double" w:sz="6" w:space="0" w:color="000000"/>
              <w:right w:val="single" w:sz="8" w:space="0" w:color="auto"/>
            </w:tcBorders>
            <w:vAlign w:val="center"/>
            <w:hideMark/>
          </w:tcPr>
          <w:p w14:paraId="00E2EF05" w14:textId="77777777" w:rsidR="00CC76FE" w:rsidRPr="00EF2F18" w:rsidRDefault="00CC76FE" w:rsidP="00752CA0">
            <w:pPr>
              <w:spacing w:after="0"/>
              <w:rPr>
                <w:rFonts w:eastAsia="Times New Roman" w:cs="Times New Roman"/>
                <w:color w:val="000000"/>
                <w:sz w:val="20"/>
                <w:szCs w:val="20"/>
                <w:lang w:val="sr-Cyrl-RS" w:eastAsia="en-GB"/>
              </w:rPr>
            </w:pPr>
          </w:p>
        </w:tc>
        <w:tc>
          <w:tcPr>
            <w:tcW w:w="1442" w:type="dxa"/>
            <w:vMerge/>
            <w:tcBorders>
              <w:top w:val="nil"/>
              <w:left w:val="single" w:sz="8" w:space="0" w:color="auto"/>
              <w:bottom w:val="double" w:sz="6" w:space="0" w:color="000000"/>
              <w:right w:val="single" w:sz="8" w:space="0" w:color="auto"/>
            </w:tcBorders>
            <w:vAlign w:val="center"/>
            <w:hideMark/>
          </w:tcPr>
          <w:p w14:paraId="1CF83BE1" w14:textId="77777777" w:rsidR="00CC76FE" w:rsidRPr="00EF2F18" w:rsidRDefault="00CC76FE" w:rsidP="00752CA0">
            <w:pPr>
              <w:spacing w:after="0"/>
              <w:rPr>
                <w:rFonts w:eastAsia="Times New Roman" w:cs="Times New Roman"/>
                <w:color w:val="000000"/>
                <w:sz w:val="20"/>
                <w:szCs w:val="20"/>
                <w:lang w:val="sr-Cyrl-RS" w:eastAsia="en-GB"/>
              </w:rPr>
            </w:pPr>
          </w:p>
        </w:tc>
        <w:tc>
          <w:tcPr>
            <w:tcW w:w="1710" w:type="dxa"/>
            <w:vMerge/>
            <w:tcBorders>
              <w:top w:val="nil"/>
              <w:left w:val="single" w:sz="8" w:space="0" w:color="auto"/>
              <w:bottom w:val="double" w:sz="6" w:space="0" w:color="000000"/>
              <w:right w:val="double" w:sz="6" w:space="0" w:color="auto"/>
            </w:tcBorders>
            <w:vAlign w:val="center"/>
            <w:hideMark/>
          </w:tcPr>
          <w:p w14:paraId="7A1DEEE4" w14:textId="77777777" w:rsidR="00CC76FE" w:rsidRPr="00EF2F18" w:rsidRDefault="00CC76FE" w:rsidP="00752CA0">
            <w:pPr>
              <w:spacing w:after="0"/>
              <w:rPr>
                <w:rFonts w:eastAsia="Times New Roman" w:cs="Times New Roman"/>
                <w:color w:val="000000"/>
                <w:sz w:val="20"/>
                <w:szCs w:val="20"/>
                <w:lang w:val="sr-Cyrl-RS" w:eastAsia="en-GB"/>
              </w:rPr>
            </w:pPr>
          </w:p>
        </w:tc>
        <w:tc>
          <w:tcPr>
            <w:tcW w:w="236" w:type="dxa"/>
            <w:gridSpan w:val="2"/>
            <w:tcBorders>
              <w:top w:val="nil"/>
              <w:left w:val="nil"/>
              <w:bottom w:val="nil"/>
              <w:right w:val="nil"/>
            </w:tcBorders>
            <w:noWrap/>
            <w:vAlign w:val="bottom"/>
            <w:hideMark/>
          </w:tcPr>
          <w:p w14:paraId="6962A975" w14:textId="77777777" w:rsidR="00CC76FE" w:rsidRPr="00EF2F18" w:rsidRDefault="00CC76FE" w:rsidP="00752CA0">
            <w:pPr>
              <w:spacing w:after="0"/>
              <w:jc w:val="center"/>
              <w:rPr>
                <w:rFonts w:eastAsia="Times New Roman" w:cs="Times New Roman"/>
                <w:color w:val="000000"/>
                <w:sz w:val="20"/>
                <w:szCs w:val="20"/>
                <w:lang w:val="sr-Cyrl-RS" w:eastAsia="en-GB"/>
              </w:rPr>
            </w:pPr>
          </w:p>
        </w:tc>
      </w:tr>
      <w:tr w:rsidR="00CC76FE" w:rsidRPr="00EF2F18" w14:paraId="6E828499" w14:textId="77777777" w:rsidTr="00BF256A">
        <w:trPr>
          <w:trHeight w:val="816"/>
        </w:trPr>
        <w:tc>
          <w:tcPr>
            <w:tcW w:w="3379" w:type="dxa"/>
            <w:tcBorders>
              <w:top w:val="single" w:sz="4" w:space="0" w:color="auto"/>
              <w:left w:val="double" w:sz="6" w:space="0" w:color="auto"/>
              <w:bottom w:val="double" w:sz="6" w:space="0" w:color="auto"/>
              <w:right w:val="single" w:sz="8" w:space="0" w:color="auto"/>
            </w:tcBorders>
            <w:shd w:val="clear" w:color="000000" w:fill="FFFFFF"/>
            <w:hideMark/>
          </w:tcPr>
          <w:p w14:paraId="2812DCCB"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едукованих саветодаваца годишње из области заштите биља на тему интегралне заштите биља</w:t>
            </w:r>
          </w:p>
        </w:tc>
        <w:tc>
          <w:tcPr>
            <w:tcW w:w="1264" w:type="dxa"/>
            <w:tcBorders>
              <w:top w:val="single" w:sz="4" w:space="0" w:color="auto"/>
              <w:left w:val="nil"/>
              <w:bottom w:val="double" w:sz="6" w:space="0" w:color="auto"/>
              <w:right w:val="single" w:sz="8" w:space="0" w:color="auto"/>
            </w:tcBorders>
            <w:shd w:val="clear" w:color="000000" w:fill="FFFFFF"/>
            <w:hideMark/>
          </w:tcPr>
          <w:p w14:paraId="76AD148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w:t>
            </w:r>
          </w:p>
        </w:tc>
        <w:tc>
          <w:tcPr>
            <w:tcW w:w="1300" w:type="dxa"/>
            <w:tcBorders>
              <w:top w:val="single" w:sz="4" w:space="0" w:color="auto"/>
              <w:left w:val="nil"/>
              <w:bottom w:val="double" w:sz="6" w:space="0" w:color="auto"/>
              <w:right w:val="single" w:sz="8" w:space="0" w:color="auto"/>
            </w:tcBorders>
            <w:shd w:val="clear" w:color="000000" w:fill="FFFFFF"/>
            <w:hideMark/>
          </w:tcPr>
          <w:p w14:paraId="68F8CB5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941" w:type="dxa"/>
            <w:gridSpan w:val="2"/>
            <w:tcBorders>
              <w:top w:val="single" w:sz="4" w:space="0" w:color="auto"/>
              <w:left w:val="nil"/>
              <w:bottom w:val="double" w:sz="6" w:space="0" w:color="auto"/>
              <w:right w:val="single" w:sz="8" w:space="0" w:color="000000"/>
            </w:tcBorders>
            <w:shd w:val="clear" w:color="000000" w:fill="FFFFFF"/>
            <w:hideMark/>
          </w:tcPr>
          <w:p w14:paraId="2B9DBC3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w:t>
            </w:r>
          </w:p>
        </w:tc>
        <w:tc>
          <w:tcPr>
            <w:tcW w:w="1477" w:type="dxa"/>
            <w:tcBorders>
              <w:top w:val="single" w:sz="4" w:space="0" w:color="auto"/>
              <w:left w:val="nil"/>
              <w:bottom w:val="double" w:sz="6" w:space="0" w:color="auto"/>
              <w:right w:val="single" w:sz="8" w:space="0" w:color="auto"/>
            </w:tcBorders>
            <w:shd w:val="clear" w:color="000000" w:fill="FFFFFF"/>
            <w:hideMark/>
          </w:tcPr>
          <w:p w14:paraId="5D4A949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2020.</w:t>
            </w:r>
          </w:p>
        </w:tc>
        <w:tc>
          <w:tcPr>
            <w:tcW w:w="1054" w:type="dxa"/>
            <w:tcBorders>
              <w:top w:val="single" w:sz="4" w:space="0" w:color="auto"/>
              <w:left w:val="single" w:sz="4" w:space="0" w:color="auto"/>
              <w:bottom w:val="double" w:sz="6" w:space="0" w:color="auto"/>
              <w:right w:val="single" w:sz="8" w:space="0" w:color="auto"/>
            </w:tcBorders>
            <w:shd w:val="clear" w:color="000000" w:fill="FFFFFF"/>
            <w:hideMark/>
          </w:tcPr>
          <w:p w14:paraId="01AC3D9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95</w:t>
            </w:r>
          </w:p>
        </w:tc>
        <w:tc>
          <w:tcPr>
            <w:tcW w:w="1442" w:type="dxa"/>
            <w:tcBorders>
              <w:top w:val="single" w:sz="4" w:space="0" w:color="auto"/>
              <w:left w:val="nil"/>
              <w:bottom w:val="double" w:sz="6" w:space="0" w:color="auto"/>
              <w:right w:val="single" w:sz="8" w:space="0" w:color="auto"/>
            </w:tcBorders>
            <w:shd w:val="clear" w:color="000000" w:fill="FFFFFF"/>
            <w:hideMark/>
          </w:tcPr>
          <w:p w14:paraId="47C332B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95</w:t>
            </w:r>
          </w:p>
        </w:tc>
        <w:tc>
          <w:tcPr>
            <w:tcW w:w="1710" w:type="dxa"/>
            <w:tcBorders>
              <w:top w:val="single" w:sz="4" w:space="0" w:color="auto"/>
              <w:left w:val="nil"/>
              <w:bottom w:val="double" w:sz="6" w:space="0" w:color="auto"/>
              <w:right w:val="double" w:sz="6" w:space="0" w:color="auto"/>
            </w:tcBorders>
            <w:shd w:val="clear" w:color="000000" w:fill="FFFFFF"/>
            <w:hideMark/>
          </w:tcPr>
          <w:p w14:paraId="267CF85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236" w:type="dxa"/>
            <w:gridSpan w:val="2"/>
            <w:vAlign w:val="center"/>
            <w:hideMark/>
          </w:tcPr>
          <w:p w14:paraId="2350D184" w14:textId="77777777" w:rsidR="00CC76FE" w:rsidRPr="00EF2F18" w:rsidRDefault="00CC76FE" w:rsidP="00752CA0">
            <w:pPr>
              <w:spacing w:after="0"/>
              <w:rPr>
                <w:rFonts w:eastAsia="Times New Roman" w:cs="Times New Roman"/>
                <w:sz w:val="20"/>
                <w:szCs w:val="20"/>
                <w:lang w:val="sr-Cyrl-RS" w:eastAsia="en-GB"/>
              </w:rPr>
            </w:pPr>
          </w:p>
        </w:tc>
      </w:tr>
    </w:tbl>
    <w:p w14:paraId="7C3A9610" w14:textId="0824F905" w:rsidR="00FE6D0F" w:rsidRPr="00EF2F18" w:rsidRDefault="00FE6D0F" w:rsidP="007D7243">
      <w:pPr>
        <w:tabs>
          <w:tab w:val="left" w:pos="1940"/>
        </w:tabs>
        <w:spacing w:after="0"/>
        <w:rPr>
          <w:rFonts w:cs="Times New Roman"/>
          <w:sz w:val="20"/>
          <w:szCs w:val="20"/>
          <w:lang w:val="sr-Cyrl-RS"/>
        </w:rPr>
      </w:pPr>
    </w:p>
    <w:p w14:paraId="6D310314" w14:textId="77777777" w:rsidR="00FE6D0F" w:rsidRPr="00EF2F18" w:rsidRDefault="00FE6D0F" w:rsidP="007D7243">
      <w:pPr>
        <w:tabs>
          <w:tab w:val="left" w:pos="1940"/>
        </w:tabs>
        <w:spacing w:after="0"/>
        <w:rPr>
          <w:rFonts w:cs="Times New Roman"/>
          <w:sz w:val="20"/>
          <w:szCs w:val="20"/>
          <w:lang w:val="sr-Cyrl-RS"/>
        </w:rPr>
      </w:pPr>
    </w:p>
    <w:tbl>
      <w:tblPr>
        <w:tblW w:w="13567" w:type="dxa"/>
        <w:tblLook w:val="04A0" w:firstRow="1" w:lastRow="0" w:firstColumn="1" w:lastColumn="0" w:noHBand="0" w:noVBand="1"/>
      </w:tblPr>
      <w:tblGrid>
        <w:gridCol w:w="3800"/>
        <w:gridCol w:w="2480"/>
        <w:gridCol w:w="1820"/>
        <w:gridCol w:w="2497"/>
        <w:gridCol w:w="2963"/>
        <w:gridCol w:w="7"/>
      </w:tblGrid>
      <w:tr w:rsidR="007D7243" w:rsidRPr="00EF2F18" w14:paraId="36565025" w14:textId="77777777" w:rsidTr="00CC76FE">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8CF484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314C1B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7E58F906"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C76FE" w:rsidRPr="00EF2F18" w14:paraId="581E5822" w14:textId="77777777" w:rsidTr="00CC76FE">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284D63C0" w14:textId="77777777" w:rsidR="00CC76FE" w:rsidRPr="00EF2F18" w:rsidRDefault="00CC76FE"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3BF87B17" w14:textId="77777777" w:rsidR="00CC76FE" w:rsidRPr="00EF2F18" w:rsidRDefault="00CC76FE"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29E77690" w14:textId="2C89DDC1"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 године</w:t>
            </w:r>
          </w:p>
        </w:tc>
        <w:tc>
          <w:tcPr>
            <w:tcW w:w="2497" w:type="dxa"/>
            <w:tcBorders>
              <w:top w:val="nil"/>
              <w:left w:val="nil"/>
              <w:bottom w:val="double" w:sz="6" w:space="0" w:color="auto"/>
              <w:right w:val="double" w:sz="6" w:space="0" w:color="auto"/>
            </w:tcBorders>
            <w:shd w:val="clear" w:color="000000" w:fill="A8D08D"/>
            <w:hideMark/>
          </w:tcPr>
          <w:p w14:paraId="2FBC2A23" w14:textId="4FFAD8B3"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 године</w:t>
            </w:r>
          </w:p>
        </w:tc>
        <w:tc>
          <w:tcPr>
            <w:tcW w:w="2970" w:type="dxa"/>
            <w:gridSpan w:val="2"/>
            <w:tcBorders>
              <w:top w:val="nil"/>
              <w:left w:val="nil"/>
              <w:bottom w:val="double" w:sz="6" w:space="0" w:color="auto"/>
              <w:right w:val="double" w:sz="6" w:space="0" w:color="auto"/>
            </w:tcBorders>
            <w:shd w:val="clear" w:color="000000" w:fill="A8D08D"/>
            <w:hideMark/>
          </w:tcPr>
          <w:p w14:paraId="60A9408D" w14:textId="733E4FA1" w:rsidR="00CC76FE"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r w:rsidR="00CC76FE" w:rsidRPr="00EF2F18">
              <w:rPr>
                <w:rFonts w:eastAsia="Times New Roman" w:cs="Times New Roman"/>
                <w:color w:val="000000"/>
                <w:sz w:val="20"/>
                <w:szCs w:val="20"/>
                <w:lang w:val="sr-Cyrl-RS" w:eastAsia="en-GB"/>
              </w:rPr>
              <w:t xml:space="preserve"> 2028. године</w:t>
            </w:r>
          </w:p>
        </w:tc>
      </w:tr>
      <w:tr w:rsidR="00CC76FE" w:rsidRPr="00EF2F18" w14:paraId="44670BE2" w14:textId="77777777" w:rsidTr="003821D6">
        <w:trPr>
          <w:trHeight w:val="324"/>
        </w:trPr>
        <w:tc>
          <w:tcPr>
            <w:tcW w:w="3800" w:type="dxa"/>
            <w:tcBorders>
              <w:top w:val="nil"/>
              <w:left w:val="double" w:sz="6" w:space="0" w:color="auto"/>
              <w:bottom w:val="nil"/>
              <w:right w:val="double" w:sz="6" w:space="0" w:color="auto"/>
            </w:tcBorders>
            <w:shd w:val="clear" w:color="000000" w:fill="FFFFFF"/>
            <w:hideMark/>
          </w:tcPr>
          <w:p w14:paraId="1F27F44F" w14:textId="4B2DAD8E"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(МПШВ)</w:t>
            </w:r>
          </w:p>
        </w:tc>
        <w:tc>
          <w:tcPr>
            <w:tcW w:w="2480" w:type="dxa"/>
            <w:tcBorders>
              <w:top w:val="nil"/>
              <w:left w:val="nil"/>
              <w:bottom w:val="nil"/>
              <w:right w:val="double" w:sz="6" w:space="0" w:color="auto"/>
            </w:tcBorders>
            <w:shd w:val="clear" w:color="000000" w:fill="FFFFFF"/>
            <w:hideMark/>
          </w:tcPr>
          <w:p w14:paraId="5AD43A03" w14:textId="60A33EF5"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0102-420-0002-451</w:t>
            </w:r>
          </w:p>
        </w:tc>
        <w:tc>
          <w:tcPr>
            <w:tcW w:w="1820" w:type="dxa"/>
            <w:tcBorders>
              <w:top w:val="nil"/>
              <w:left w:val="nil"/>
              <w:bottom w:val="nil"/>
              <w:right w:val="double" w:sz="6" w:space="0" w:color="auto"/>
            </w:tcBorders>
          </w:tcPr>
          <w:p w14:paraId="308C61EF" w14:textId="4717F6A4" w:rsidR="00CC76FE" w:rsidRPr="00EF2F18" w:rsidRDefault="00CC76F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w:t>
            </w:r>
          </w:p>
        </w:tc>
        <w:tc>
          <w:tcPr>
            <w:tcW w:w="2497" w:type="dxa"/>
            <w:tcBorders>
              <w:top w:val="nil"/>
              <w:left w:val="nil"/>
              <w:bottom w:val="nil"/>
              <w:right w:val="double" w:sz="6" w:space="0" w:color="auto"/>
            </w:tcBorders>
          </w:tcPr>
          <w:p w14:paraId="1495CA85" w14:textId="319A51E2" w:rsidR="00CC76FE" w:rsidRPr="00EF2F18" w:rsidRDefault="00CC76F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w:t>
            </w:r>
          </w:p>
        </w:tc>
        <w:tc>
          <w:tcPr>
            <w:tcW w:w="2970" w:type="dxa"/>
            <w:gridSpan w:val="2"/>
            <w:tcBorders>
              <w:top w:val="nil"/>
              <w:left w:val="nil"/>
              <w:bottom w:val="nil"/>
              <w:right w:val="double" w:sz="6" w:space="0" w:color="auto"/>
            </w:tcBorders>
            <w:shd w:val="clear" w:color="000000" w:fill="FFFFFF"/>
          </w:tcPr>
          <w:p w14:paraId="518708BD" w14:textId="1C9CD4E7" w:rsidR="00CC76FE" w:rsidRPr="00EF2F18" w:rsidRDefault="00C7598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w:t>
            </w:r>
          </w:p>
        </w:tc>
      </w:tr>
      <w:tr w:rsidR="003821D6" w:rsidRPr="00EF2F18" w14:paraId="5BA010FC" w14:textId="77777777" w:rsidTr="00CC76FE">
        <w:trPr>
          <w:trHeight w:val="324"/>
        </w:trPr>
        <w:tc>
          <w:tcPr>
            <w:tcW w:w="3800" w:type="dxa"/>
            <w:tcBorders>
              <w:top w:val="nil"/>
              <w:left w:val="double" w:sz="6" w:space="0" w:color="auto"/>
              <w:bottom w:val="double" w:sz="6" w:space="0" w:color="auto"/>
              <w:right w:val="double" w:sz="6" w:space="0" w:color="auto"/>
            </w:tcBorders>
            <w:shd w:val="clear" w:color="000000" w:fill="FFFFFF"/>
          </w:tcPr>
          <w:p w14:paraId="0FCF92DD" w14:textId="77777777" w:rsidR="003821D6" w:rsidRPr="00EF2F18" w:rsidRDefault="003821D6" w:rsidP="00752CA0">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shd w:val="clear" w:color="000000" w:fill="FFFFFF"/>
          </w:tcPr>
          <w:p w14:paraId="2941D2D9" w14:textId="7A999093" w:rsidR="003821D6" w:rsidRPr="00EF2F18" w:rsidRDefault="00D34AF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0101-420-0004-423</w:t>
            </w:r>
          </w:p>
        </w:tc>
        <w:tc>
          <w:tcPr>
            <w:tcW w:w="1820" w:type="dxa"/>
            <w:tcBorders>
              <w:top w:val="nil"/>
              <w:left w:val="nil"/>
              <w:bottom w:val="double" w:sz="6" w:space="0" w:color="auto"/>
              <w:right w:val="double" w:sz="6" w:space="0" w:color="auto"/>
            </w:tcBorders>
          </w:tcPr>
          <w:p w14:paraId="5D4288E6" w14:textId="4E35982D" w:rsidR="003821D6" w:rsidRPr="00EF2F18" w:rsidRDefault="003821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10.899</w:t>
            </w:r>
          </w:p>
        </w:tc>
        <w:tc>
          <w:tcPr>
            <w:tcW w:w="2497" w:type="dxa"/>
            <w:tcBorders>
              <w:top w:val="nil"/>
              <w:left w:val="nil"/>
              <w:bottom w:val="double" w:sz="6" w:space="0" w:color="auto"/>
              <w:right w:val="double" w:sz="6" w:space="0" w:color="auto"/>
            </w:tcBorders>
          </w:tcPr>
          <w:p w14:paraId="5C8AD6FD" w14:textId="457ABA1F" w:rsidR="003821D6" w:rsidRPr="00EF2F18" w:rsidRDefault="003821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11.444</w:t>
            </w:r>
          </w:p>
        </w:tc>
        <w:tc>
          <w:tcPr>
            <w:tcW w:w="2970" w:type="dxa"/>
            <w:gridSpan w:val="2"/>
            <w:tcBorders>
              <w:top w:val="nil"/>
              <w:left w:val="nil"/>
              <w:bottom w:val="double" w:sz="6" w:space="0" w:color="auto"/>
              <w:right w:val="double" w:sz="6" w:space="0" w:color="auto"/>
            </w:tcBorders>
            <w:shd w:val="clear" w:color="000000" w:fill="FFFFFF"/>
          </w:tcPr>
          <w:p w14:paraId="55669647" w14:textId="429F8DFC" w:rsidR="003821D6" w:rsidRPr="00EF2F18" w:rsidRDefault="003821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12.017</w:t>
            </w:r>
          </w:p>
        </w:tc>
      </w:tr>
    </w:tbl>
    <w:p w14:paraId="403FB30B" w14:textId="77777777" w:rsidR="007D7243" w:rsidRPr="00EF2F18" w:rsidRDefault="007D7243" w:rsidP="007D7243">
      <w:pPr>
        <w:tabs>
          <w:tab w:val="left" w:pos="1940"/>
        </w:tabs>
        <w:spacing w:after="0"/>
        <w:rPr>
          <w:rFonts w:cs="Times New Roman"/>
          <w:sz w:val="20"/>
          <w:szCs w:val="20"/>
          <w:lang w:val="sr-Cyrl-RS"/>
        </w:rPr>
      </w:pPr>
    </w:p>
    <w:tbl>
      <w:tblPr>
        <w:tblW w:w="13494" w:type="dxa"/>
        <w:tblLook w:val="04A0" w:firstRow="1" w:lastRow="0" w:firstColumn="1" w:lastColumn="0" w:noHBand="0" w:noVBand="1"/>
      </w:tblPr>
      <w:tblGrid>
        <w:gridCol w:w="2829"/>
        <w:gridCol w:w="1253"/>
        <w:gridCol w:w="1239"/>
        <w:gridCol w:w="1182"/>
        <w:gridCol w:w="1691"/>
        <w:gridCol w:w="1340"/>
        <w:gridCol w:w="1243"/>
        <w:gridCol w:w="1170"/>
        <w:gridCol w:w="1530"/>
        <w:gridCol w:w="17"/>
      </w:tblGrid>
      <w:tr w:rsidR="007D7243" w:rsidRPr="00EF2F18" w14:paraId="6E655C5F" w14:textId="77777777" w:rsidTr="00BB2BC5">
        <w:trPr>
          <w:trHeight w:val="732"/>
        </w:trPr>
        <w:tc>
          <w:tcPr>
            <w:tcW w:w="2829"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66C493F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Назив активности:</w:t>
            </w:r>
          </w:p>
        </w:tc>
        <w:tc>
          <w:tcPr>
            <w:tcW w:w="125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E6C9AC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23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77ACBC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CE7E14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6B9B6FB" w14:textId="77777777" w:rsidR="007D7243" w:rsidRPr="00EF2F18" w:rsidRDefault="007D7243" w:rsidP="00752CA0">
            <w:pPr>
              <w:spacing w:after="0"/>
              <w:jc w:val="center"/>
              <w:rPr>
                <w:rFonts w:eastAsia="Times New Roman" w:cs="Times New Roman"/>
                <w:color w:val="000000"/>
                <w:sz w:val="20"/>
                <w:szCs w:val="20"/>
                <w:highlight w:val="yellow"/>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DADADC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3960" w:type="dxa"/>
            <w:gridSpan w:val="4"/>
            <w:tcBorders>
              <w:top w:val="double" w:sz="6" w:space="0" w:color="auto"/>
              <w:left w:val="nil"/>
              <w:bottom w:val="single" w:sz="8" w:space="0" w:color="auto"/>
              <w:right w:val="double" w:sz="6" w:space="0" w:color="auto"/>
            </w:tcBorders>
            <w:shd w:val="clear" w:color="000000" w:fill="FFF2CC"/>
            <w:hideMark/>
          </w:tcPr>
          <w:p w14:paraId="1AEF6E4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C76FE" w:rsidRPr="00EF2F18" w14:paraId="239D6806" w14:textId="77777777" w:rsidTr="00CC76FE">
        <w:trPr>
          <w:gridAfter w:val="1"/>
          <w:wAfter w:w="17" w:type="dxa"/>
          <w:trHeight w:val="324"/>
        </w:trPr>
        <w:tc>
          <w:tcPr>
            <w:tcW w:w="2829" w:type="dxa"/>
            <w:vMerge/>
            <w:tcBorders>
              <w:top w:val="double" w:sz="6" w:space="0" w:color="auto"/>
              <w:left w:val="double" w:sz="6" w:space="0" w:color="auto"/>
              <w:bottom w:val="single" w:sz="8" w:space="0" w:color="000000"/>
              <w:right w:val="single" w:sz="8" w:space="0" w:color="auto"/>
            </w:tcBorders>
            <w:vAlign w:val="center"/>
            <w:hideMark/>
          </w:tcPr>
          <w:p w14:paraId="4195A185" w14:textId="77777777" w:rsidR="00CC76FE" w:rsidRPr="00EF2F18" w:rsidRDefault="00CC76FE" w:rsidP="00752CA0">
            <w:pPr>
              <w:spacing w:after="0"/>
              <w:rPr>
                <w:rFonts w:eastAsia="Times New Roman" w:cs="Times New Roman"/>
                <w:color w:val="000000"/>
                <w:sz w:val="20"/>
                <w:szCs w:val="20"/>
                <w:lang w:val="sr-Cyrl-RS" w:eastAsia="en-GB"/>
              </w:rPr>
            </w:pPr>
          </w:p>
        </w:tc>
        <w:tc>
          <w:tcPr>
            <w:tcW w:w="1253" w:type="dxa"/>
            <w:vMerge/>
            <w:tcBorders>
              <w:top w:val="double" w:sz="6" w:space="0" w:color="auto"/>
              <w:left w:val="single" w:sz="8" w:space="0" w:color="auto"/>
              <w:bottom w:val="single" w:sz="8" w:space="0" w:color="000000"/>
              <w:right w:val="single" w:sz="8" w:space="0" w:color="auto"/>
            </w:tcBorders>
            <w:vAlign w:val="center"/>
            <w:hideMark/>
          </w:tcPr>
          <w:p w14:paraId="246252A5" w14:textId="77777777" w:rsidR="00CC76FE" w:rsidRPr="00EF2F18" w:rsidRDefault="00CC76FE" w:rsidP="00752CA0">
            <w:pPr>
              <w:spacing w:after="0"/>
              <w:rPr>
                <w:rFonts w:eastAsia="Times New Roman" w:cs="Times New Roman"/>
                <w:color w:val="000000"/>
                <w:sz w:val="20"/>
                <w:szCs w:val="20"/>
                <w:lang w:val="sr-Cyrl-RS" w:eastAsia="en-GB"/>
              </w:rPr>
            </w:pPr>
          </w:p>
        </w:tc>
        <w:tc>
          <w:tcPr>
            <w:tcW w:w="1239" w:type="dxa"/>
            <w:vMerge/>
            <w:tcBorders>
              <w:top w:val="double" w:sz="6" w:space="0" w:color="auto"/>
              <w:left w:val="single" w:sz="8" w:space="0" w:color="auto"/>
              <w:bottom w:val="single" w:sz="8" w:space="0" w:color="000000"/>
              <w:right w:val="single" w:sz="8" w:space="0" w:color="auto"/>
            </w:tcBorders>
            <w:vAlign w:val="center"/>
            <w:hideMark/>
          </w:tcPr>
          <w:p w14:paraId="6B0949EC" w14:textId="77777777" w:rsidR="00CC76FE" w:rsidRPr="00EF2F18" w:rsidRDefault="00CC76FE"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5E65D599" w14:textId="77777777" w:rsidR="00CC76FE" w:rsidRPr="00EF2F18" w:rsidRDefault="00CC76FE"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03C039F5" w14:textId="77777777" w:rsidR="00CC76FE" w:rsidRPr="00EF2F18" w:rsidRDefault="00CC76FE" w:rsidP="00752CA0">
            <w:pPr>
              <w:spacing w:after="0"/>
              <w:rPr>
                <w:rFonts w:eastAsia="Times New Roman" w:cs="Times New Roman"/>
                <w:color w:val="000000"/>
                <w:sz w:val="20"/>
                <w:szCs w:val="20"/>
                <w:highlight w:val="yellow"/>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007C2AA6" w14:textId="77777777" w:rsidR="00CC76FE" w:rsidRPr="00EF2F18" w:rsidRDefault="00CC76FE" w:rsidP="00752CA0">
            <w:pPr>
              <w:spacing w:after="0"/>
              <w:rPr>
                <w:rFonts w:eastAsia="Times New Roman" w:cs="Times New Roman"/>
                <w:color w:val="000000"/>
                <w:sz w:val="20"/>
                <w:szCs w:val="20"/>
                <w:lang w:val="sr-Cyrl-RS" w:eastAsia="en-GB"/>
              </w:rPr>
            </w:pPr>
          </w:p>
        </w:tc>
        <w:tc>
          <w:tcPr>
            <w:tcW w:w="1243" w:type="dxa"/>
            <w:tcBorders>
              <w:top w:val="nil"/>
              <w:left w:val="nil"/>
              <w:bottom w:val="single" w:sz="8" w:space="0" w:color="auto"/>
              <w:right w:val="single" w:sz="8" w:space="0" w:color="auto"/>
            </w:tcBorders>
            <w:shd w:val="clear" w:color="000000" w:fill="FFF2CC"/>
            <w:hideMark/>
          </w:tcPr>
          <w:p w14:paraId="6D47B528" w14:textId="66C5A914"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72FDAAAD" w14:textId="03945A3B"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0889A576" w14:textId="1ED07AD0"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CC76FE" w:rsidRPr="00EF2F18" w14:paraId="36AFEFD1" w14:textId="77777777" w:rsidTr="00CC76FE">
        <w:trPr>
          <w:gridAfter w:val="1"/>
          <w:wAfter w:w="17" w:type="dxa"/>
          <w:trHeight w:val="2388"/>
        </w:trPr>
        <w:tc>
          <w:tcPr>
            <w:tcW w:w="2829" w:type="dxa"/>
            <w:tcBorders>
              <w:top w:val="nil"/>
              <w:left w:val="double" w:sz="6" w:space="0" w:color="auto"/>
              <w:bottom w:val="single" w:sz="8" w:space="0" w:color="auto"/>
              <w:right w:val="single" w:sz="8" w:space="0" w:color="auto"/>
            </w:tcBorders>
            <w:hideMark/>
          </w:tcPr>
          <w:p w14:paraId="68AC84F2" w14:textId="13E107B8"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5.1.7.1. Годишња додела подстицаја за подизање свести пољопривредних произвођача о правилној и безбедној употреби средстава за заштиту и исхрану биља, о климатским променама и заштити биодиверзитета кроз годишње обуке и информативне кампање</w:t>
            </w:r>
          </w:p>
        </w:tc>
        <w:tc>
          <w:tcPr>
            <w:tcW w:w="1253" w:type="dxa"/>
            <w:tcBorders>
              <w:top w:val="nil"/>
              <w:left w:val="nil"/>
              <w:bottom w:val="single" w:sz="8" w:space="0" w:color="auto"/>
              <w:right w:val="single" w:sz="8" w:space="0" w:color="auto"/>
            </w:tcBorders>
            <w:hideMark/>
          </w:tcPr>
          <w:p w14:paraId="3D751ECB"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39" w:type="dxa"/>
            <w:tcBorders>
              <w:top w:val="nil"/>
              <w:left w:val="nil"/>
              <w:bottom w:val="single" w:sz="8" w:space="0" w:color="auto"/>
              <w:right w:val="single" w:sz="8" w:space="0" w:color="auto"/>
            </w:tcBorders>
            <w:hideMark/>
          </w:tcPr>
          <w:p w14:paraId="512B1448"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ВШУ, НИО</w:t>
            </w:r>
          </w:p>
        </w:tc>
        <w:tc>
          <w:tcPr>
            <w:tcW w:w="1182" w:type="dxa"/>
            <w:tcBorders>
              <w:top w:val="nil"/>
              <w:left w:val="nil"/>
              <w:bottom w:val="single" w:sz="8" w:space="0" w:color="auto"/>
              <w:right w:val="single" w:sz="8" w:space="0" w:color="auto"/>
            </w:tcBorders>
            <w:hideMark/>
          </w:tcPr>
          <w:p w14:paraId="7CB5F362"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6B46DFA6" w14:textId="326C290F" w:rsidR="00CC76FE" w:rsidRPr="00EF2F18" w:rsidRDefault="00CC76FE" w:rsidP="00752CA0">
            <w:pPr>
              <w:spacing w:after="0"/>
              <w:rPr>
                <w:rFonts w:eastAsia="Times New Roman" w:cs="Times New Roman"/>
                <w:color w:val="000000"/>
                <w:sz w:val="20"/>
                <w:szCs w:val="20"/>
                <w:highlight w:val="yellow"/>
                <w:lang w:val="sr-Cyrl-RS" w:eastAsia="en-GB"/>
              </w:rPr>
            </w:pPr>
            <w:r w:rsidRPr="00EF2F18">
              <w:rPr>
                <w:rFonts w:eastAsia="Times New Roman" w:cs="Times New Roman"/>
                <w:color w:val="000000"/>
                <w:sz w:val="20"/>
                <w:szCs w:val="20"/>
                <w:lang w:val="sr-Cyrl-RS" w:eastAsia="en-GB"/>
              </w:rPr>
              <w:t>*</w:t>
            </w:r>
          </w:p>
        </w:tc>
        <w:tc>
          <w:tcPr>
            <w:tcW w:w="1340" w:type="dxa"/>
            <w:tcBorders>
              <w:top w:val="nil"/>
              <w:left w:val="nil"/>
              <w:bottom w:val="single" w:sz="8" w:space="0" w:color="auto"/>
              <w:right w:val="single" w:sz="8" w:space="0" w:color="auto"/>
            </w:tcBorders>
            <w:hideMark/>
          </w:tcPr>
          <w:p w14:paraId="18FED69F" w14:textId="77777777" w:rsidR="00CC76FE" w:rsidRPr="00EF2F18" w:rsidRDefault="00CC76FE" w:rsidP="00752CA0">
            <w:pPr>
              <w:spacing w:after="0"/>
              <w:rPr>
                <w:rFonts w:eastAsia="Times New Roman" w:cs="Times New Roman"/>
                <w:color w:val="000000"/>
                <w:sz w:val="20"/>
                <w:szCs w:val="20"/>
                <w:lang w:val="sr-Cyrl-RS" w:eastAsia="en-GB"/>
              </w:rPr>
            </w:pPr>
          </w:p>
        </w:tc>
        <w:tc>
          <w:tcPr>
            <w:tcW w:w="1243" w:type="dxa"/>
            <w:tcBorders>
              <w:top w:val="nil"/>
              <w:left w:val="nil"/>
              <w:bottom w:val="single" w:sz="8" w:space="0" w:color="auto"/>
              <w:right w:val="single" w:sz="8" w:space="0" w:color="auto"/>
            </w:tcBorders>
          </w:tcPr>
          <w:p w14:paraId="549DE29F" w14:textId="4759FA02" w:rsidR="00CC76FE" w:rsidRPr="00EF2F18" w:rsidRDefault="00CC76FE"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480BC427" w14:textId="657151BF" w:rsidR="00CC76FE" w:rsidRPr="00EF2F18" w:rsidRDefault="00CC76FE"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0670F692" w14:textId="44AE153B" w:rsidR="00CC76FE" w:rsidRPr="00EF2F18" w:rsidRDefault="00CC76FE" w:rsidP="00752CA0">
            <w:pPr>
              <w:spacing w:after="0"/>
              <w:jc w:val="right"/>
              <w:rPr>
                <w:rFonts w:eastAsia="Times New Roman" w:cs="Times New Roman"/>
                <w:color w:val="000000"/>
                <w:sz w:val="20"/>
                <w:szCs w:val="20"/>
                <w:lang w:val="sr-Cyrl-RS" w:eastAsia="en-GB"/>
              </w:rPr>
            </w:pPr>
          </w:p>
        </w:tc>
      </w:tr>
      <w:tr w:rsidR="00CC76FE" w:rsidRPr="00EF2F18" w14:paraId="1A74BD2A" w14:textId="77777777" w:rsidTr="00060B72">
        <w:trPr>
          <w:gridAfter w:val="1"/>
          <w:wAfter w:w="17" w:type="dxa"/>
          <w:trHeight w:val="2124"/>
        </w:trPr>
        <w:tc>
          <w:tcPr>
            <w:tcW w:w="2829" w:type="dxa"/>
            <w:tcBorders>
              <w:top w:val="single" w:sz="4" w:space="0" w:color="auto"/>
              <w:left w:val="double" w:sz="6" w:space="0" w:color="auto"/>
              <w:bottom w:val="single" w:sz="8" w:space="0" w:color="auto"/>
              <w:right w:val="single" w:sz="8" w:space="0" w:color="auto"/>
            </w:tcBorders>
            <w:hideMark/>
          </w:tcPr>
          <w:p w14:paraId="16900849" w14:textId="11733DDF"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5.1.7.2. Годишња додела подстицаја за обуку управљача заштићених подручја и корисника пољопривредног земљишта у заштићеним подручјима о специфичним пољопривредним праксама у заштићеним подручјима</w:t>
            </w:r>
          </w:p>
        </w:tc>
        <w:tc>
          <w:tcPr>
            <w:tcW w:w="1253" w:type="dxa"/>
            <w:tcBorders>
              <w:top w:val="single" w:sz="4" w:space="0" w:color="auto"/>
              <w:left w:val="nil"/>
              <w:bottom w:val="single" w:sz="8" w:space="0" w:color="auto"/>
              <w:right w:val="single" w:sz="8" w:space="0" w:color="auto"/>
            </w:tcBorders>
            <w:hideMark/>
          </w:tcPr>
          <w:p w14:paraId="2E9A8674"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39" w:type="dxa"/>
            <w:tcBorders>
              <w:top w:val="single" w:sz="4" w:space="0" w:color="auto"/>
              <w:left w:val="nil"/>
              <w:bottom w:val="single" w:sz="8" w:space="0" w:color="auto"/>
              <w:right w:val="single" w:sz="8" w:space="0" w:color="auto"/>
            </w:tcBorders>
            <w:hideMark/>
          </w:tcPr>
          <w:p w14:paraId="7924D0E0"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ВШУ, НИО</w:t>
            </w:r>
          </w:p>
        </w:tc>
        <w:tc>
          <w:tcPr>
            <w:tcW w:w="1182" w:type="dxa"/>
            <w:tcBorders>
              <w:top w:val="single" w:sz="4" w:space="0" w:color="auto"/>
              <w:left w:val="nil"/>
              <w:bottom w:val="single" w:sz="8" w:space="0" w:color="auto"/>
              <w:right w:val="single" w:sz="8" w:space="0" w:color="auto"/>
            </w:tcBorders>
            <w:hideMark/>
          </w:tcPr>
          <w:p w14:paraId="146E1F2F"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5FAF00A6" w14:textId="3B3EF39C"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nil"/>
              <w:bottom w:val="single" w:sz="8" w:space="0" w:color="auto"/>
              <w:right w:val="single" w:sz="8" w:space="0" w:color="auto"/>
            </w:tcBorders>
            <w:hideMark/>
          </w:tcPr>
          <w:p w14:paraId="57B8D172" w14:textId="3144E62C"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0102-420-0002-451</w:t>
            </w:r>
          </w:p>
        </w:tc>
        <w:tc>
          <w:tcPr>
            <w:tcW w:w="1243" w:type="dxa"/>
            <w:tcBorders>
              <w:top w:val="single" w:sz="4" w:space="0" w:color="auto"/>
              <w:left w:val="nil"/>
              <w:bottom w:val="single" w:sz="8" w:space="0" w:color="auto"/>
              <w:right w:val="single" w:sz="8" w:space="0" w:color="auto"/>
            </w:tcBorders>
          </w:tcPr>
          <w:p w14:paraId="2971A8EC" w14:textId="5ABE30D3" w:rsidR="00CC76FE" w:rsidRPr="00EF2F18" w:rsidRDefault="00CC76F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w:t>
            </w:r>
          </w:p>
        </w:tc>
        <w:tc>
          <w:tcPr>
            <w:tcW w:w="1170" w:type="dxa"/>
            <w:tcBorders>
              <w:top w:val="single" w:sz="4" w:space="0" w:color="auto"/>
              <w:left w:val="nil"/>
              <w:bottom w:val="single" w:sz="8" w:space="0" w:color="auto"/>
              <w:right w:val="single" w:sz="8" w:space="0" w:color="auto"/>
            </w:tcBorders>
          </w:tcPr>
          <w:p w14:paraId="086A3563" w14:textId="7C8ACB53" w:rsidR="00CC76FE" w:rsidRPr="00EF2F18" w:rsidRDefault="00CC76F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w:t>
            </w:r>
          </w:p>
        </w:tc>
        <w:tc>
          <w:tcPr>
            <w:tcW w:w="1530" w:type="dxa"/>
            <w:tcBorders>
              <w:top w:val="single" w:sz="4" w:space="0" w:color="auto"/>
              <w:left w:val="nil"/>
              <w:bottom w:val="single" w:sz="8" w:space="0" w:color="auto"/>
              <w:right w:val="double" w:sz="6" w:space="0" w:color="auto"/>
            </w:tcBorders>
          </w:tcPr>
          <w:p w14:paraId="6D8ECDA9" w14:textId="47AA06EA" w:rsidR="00CC76FE" w:rsidRPr="00EF2F18" w:rsidRDefault="00EA1FF8"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8.000</w:t>
            </w:r>
          </w:p>
        </w:tc>
      </w:tr>
      <w:tr w:rsidR="001C29BE" w:rsidRPr="00EF2F18" w14:paraId="329C4DD7" w14:textId="77777777" w:rsidTr="00CF0CDF">
        <w:trPr>
          <w:gridAfter w:val="1"/>
          <w:wAfter w:w="17" w:type="dxa"/>
          <w:trHeight w:val="1596"/>
        </w:trPr>
        <w:tc>
          <w:tcPr>
            <w:tcW w:w="2829" w:type="dxa"/>
            <w:tcBorders>
              <w:top w:val="single" w:sz="4" w:space="0" w:color="auto"/>
              <w:left w:val="double" w:sz="6" w:space="0" w:color="auto"/>
              <w:bottom w:val="single" w:sz="8" w:space="0" w:color="auto"/>
              <w:right w:val="single" w:sz="8" w:space="0" w:color="auto"/>
            </w:tcBorders>
            <w:hideMark/>
          </w:tcPr>
          <w:p w14:paraId="0B89B5F9" w14:textId="1BCF1D11" w:rsidR="001C29BE" w:rsidRPr="00EF2F18" w:rsidRDefault="001C29BE" w:rsidP="001C29BE">
            <w:pPr>
              <w:spacing w:after="0"/>
              <w:rPr>
                <w:rFonts w:eastAsia="Times New Roman" w:cs="Times New Roman"/>
                <w:color w:val="000000"/>
                <w:sz w:val="20"/>
                <w:szCs w:val="20"/>
                <w:lang w:val="sr-Cyrl-RS" w:eastAsia="en-GB"/>
              </w:rPr>
            </w:pPr>
            <w:bookmarkStart w:id="176" w:name="_Hlk203065797"/>
            <w:r w:rsidRPr="00EF2F18">
              <w:rPr>
                <w:rFonts w:eastAsia="Times New Roman" w:cs="Times New Roman"/>
                <w:color w:val="000000"/>
                <w:sz w:val="20"/>
                <w:szCs w:val="20"/>
                <w:lang w:val="sr-Cyrl-RS" w:eastAsia="en-GB"/>
              </w:rPr>
              <w:t>5.1.7.3 Подизање јавне свести о значају органске пољопривреде кроз информативне кампање, промоције у школама и на манифестацијама</w:t>
            </w:r>
            <w:bookmarkEnd w:id="176"/>
          </w:p>
        </w:tc>
        <w:tc>
          <w:tcPr>
            <w:tcW w:w="1253" w:type="dxa"/>
            <w:tcBorders>
              <w:top w:val="single" w:sz="4" w:space="0" w:color="auto"/>
              <w:left w:val="nil"/>
              <w:bottom w:val="single" w:sz="8" w:space="0" w:color="auto"/>
              <w:right w:val="single" w:sz="8" w:space="0" w:color="auto"/>
            </w:tcBorders>
          </w:tcPr>
          <w:p w14:paraId="3D16D066" w14:textId="69B2A6F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39" w:type="dxa"/>
            <w:tcBorders>
              <w:top w:val="single" w:sz="4" w:space="0" w:color="auto"/>
              <w:left w:val="nil"/>
              <w:bottom w:val="single" w:sz="8" w:space="0" w:color="auto"/>
              <w:right w:val="single" w:sz="8" w:space="0" w:color="auto"/>
            </w:tcBorders>
            <w:hideMark/>
          </w:tcPr>
          <w:p w14:paraId="2F45A2B6"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ВШУ, НИО, АП, ОЦД</w:t>
            </w:r>
          </w:p>
        </w:tc>
        <w:tc>
          <w:tcPr>
            <w:tcW w:w="1182" w:type="dxa"/>
            <w:tcBorders>
              <w:top w:val="single" w:sz="4" w:space="0" w:color="auto"/>
              <w:left w:val="nil"/>
              <w:bottom w:val="single" w:sz="8" w:space="0" w:color="auto"/>
              <w:right w:val="single" w:sz="8" w:space="0" w:color="auto"/>
            </w:tcBorders>
            <w:hideMark/>
          </w:tcPr>
          <w:p w14:paraId="1D7FE8CD"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4F12BB4A" w14:textId="3B4CE240"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nil"/>
              <w:bottom w:val="single" w:sz="8" w:space="0" w:color="auto"/>
              <w:right w:val="single" w:sz="8" w:space="0" w:color="auto"/>
            </w:tcBorders>
            <w:hideMark/>
          </w:tcPr>
          <w:p w14:paraId="1CA7F647" w14:textId="31147391" w:rsidR="001C29BE" w:rsidRPr="00EF2F18" w:rsidRDefault="00B10BB9"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0101-420-0004-423</w:t>
            </w:r>
          </w:p>
        </w:tc>
        <w:tc>
          <w:tcPr>
            <w:tcW w:w="1243" w:type="dxa"/>
            <w:tcBorders>
              <w:top w:val="single" w:sz="4" w:space="0" w:color="auto"/>
              <w:left w:val="nil"/>
              <w:bottom w:val="single" w:sz="8" w:space="0" w:color="auto"/>
              <w:right w:val="single" w:sz="8" w:space="0" w:color="auto"/>
            </w:tcBorders>
          </w:tcPr>
          <w:p w14:paraId="76A04B37" w14:textId="4537F79F" w:rsidR="001C29BE" w:rsidRPr="00EF2F18" w:rsidRDefault="001C29BE" w:rsidP="001C29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10.899</w:t>
            </w:r>
          </w:p>
        </w:tc>
        <w:tc>
          <w:tcPr>
            <w:tcW w:w="1170" w:type="dxa"/>
            <w:tcBorders>
              <w:top w:val="single" w:sz="4" w:space="0" w:color="auto"/>
              <w:left w:val="nil"/>
              <w:bottom w:val="single" w:sz="8" w:space="0" w:color="auto"/>
              <w:right w:val="single" w:sz="8" w:space="0" w:color="auto"/>
            </w:tcBorders>
          </w:tcPr>
          <w:p w14:paraId="7E726F64" w14:textId="471A0D24" w:rsidR="001C29BE" w:rsidRPr="00EF2F18" w:rsidRDefault="001C29BE" w:rsidP="001C29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11.444</w:t>
            </w:r>
          </w:p>
        </w:tc>
        <w:tc>
          <w:tcPr>
            <w:tcW w:w="1530" w:type="dxa"/>
            <w:tcBorders>
              <w:top w:val="single" w:sz="4" w:space="0" w:color="auto"/>
              <w:left w:val="nil"/>
              <w:bottom w:val="single" w:sz="8" w:space="0" w:color="auto"/>
              <w:right w:val="double" w:sz="6" w:space="0" w:color="auto"/>
            </w:tcBorders>
          </w:tcPr>
          <w:p w14:paraId="07285D9F" w14:textId="1FF82847" w:rsidR="001C29BE" w:rsidRPr="00EF2F18" w:rsidRDefault="001C29BE" w:rsidP="001C29B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12.017</w:t>
            </w:r>
          </w:p>
        </w:tc>
      </w:tr>
      <w:tr w:rsidR="001C29BE" w:rsidRPr="00EF2F18" w14:paraId="70F96A16" w14:textId="77777777" w:rsidTr="00CC76FE">
        <w:trPr>
          <w:gridAfter w:val="1"/>
          <w:wAfter w:w="17" w:type="dxa"/>
          <w:trHeight w:val="2124"/>
        </w:trPr>
        <w:tc>
          <w:tcPr>
            <w:tcW w:w="2829" w:type="dxa"/>
            <w:tcBorders>
              <w:top w:val="nil"/>
              <w:left w:val="double" w:sz="6" w:space="0" w:color="auto"/>
              <w:bottom w:val="single" w:sz="8" w:space="0" w:color="auto"/>
              <w:right w:val="single" w:sz="8" w:space="0" w:color="auto"/>
            </w:tcBorders>
            <w:hideMark/>
          </w:tcPr>
          <w:p w14:paraId="6556201B" w14:textId="1592DEA3"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5.1.7.4. Годишња додела подстицаја за промоцију и примену иновативних решења у области пољопривредно-прехрамбеног ланца, укључујући дигитализацију и друге праксе везане за ублажавање и прилагођавање на климатске промене</w:t>
            </w:r>
          </w:p>
        </w:tc>
        <w:tc>
          <w:tcPr>
            <w:tcW w:w="1253" w:type="dxa"/>
            <w:tcBorders>
              <w:top w:val="nil"/>
              <w:left w:val="nil"/>
              <w:bottom w:val="single" w:sz="8" w:space="0" w:color="auto"/>
              <w:right w:val="single" w:sz="8" w:space="0" w:color="auto"/>
            </w:tcBorders>
            <w:hideMark/>
          </w:tcPr>
          <w:p w14:paraId="341AAA37"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39" w:type="dxa"/>
            <w:tcBorders>
              <w:top w:val="nil"/>
              <w:left w:val="nil"/>
              <w:bottom w:val="single" w:sz="8" w:space="0" w:color="auto"/>
              <w:right w:val="single" w:sz="8" w:space="0" w:color="auto"/>
            </w:tcBorders>
            <w:hideMark/>
          </w:tcPr>
          <w:p w14:paraId="7E00C3DD"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ВШУ, НИО, АП, ОЦД</w:t>
            </w:r>
          </w:p>
        </w:tc>
        <w:tc>
          <w:tcPr>
            <w:tcW w:w="1182" w:type="dxa"/>
            <w:tcBorders>
              <w:top w:val="nil"/>
              <w:left w:val="nil"/>
              <w:bottom w:val="single" w:sz="8" w:space="0" w:color="auto"/>
              <w:right w:val="single" w:sz="8" w:space="0" w:color="auto"/>
            </w:tcBorders>
            <w:hideMark/>
          </w:tcPr>
          <w:p w14:paraId="7E66E4DA"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4C666ADE" w14:textId="31FD36C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40" w:type="dxa"/>
            <w:tcBorders>
              <w:top w:val="nil"/>
              <w:left w:val="nil"/>
              <w:bottom w:val="single" w:sz="8" w:space="0" w:color="auto"/>
              <w:right w:val="single" w:sz="8" w:space="0" w:color="auto"/>
            </w:tcBorders>
            <w:hideMark/>
          </w:tcPr>
          <w:p w14:paraId="101EA13D" w14:textId="77777777" w:rsidR="001C29BE" w:rsidRPr="00EF2F18" w:rsidRDefault="001C29BE" w:rsidP="001C29BE">
            <w:pPr>
              <w:spacing w:after="0"/>
              <w:rPr>
                <w:rFonts w:eastAsia="Times New Roman" w:cs="Times New Roman"/>
                <w:color w:val="000000"/>
                <w:sz w:val="20"/>
                <w:szCs w:val="20"/>
                <w:lang w:val="sr-Cyrl-RS" w:eastAsia="en-GB"/>
              </w:rPr>
            </w:pPr>
          </w:p>
        </w:tc>
        <w:tc>
          <w:tcPr>
            <w:tcW w:w="1243" w:type="dxa"/>
            <w:tcBorders>
              <w:top w:val="nil"/>
              <w:left w:val="nil"/>
              <w:bottom w:val="single" w:sz="8" w:space="0" w:color="auto"/>
              <w:right w:val="single" w:sz="8" w:space="0" w:color="auto"/>
            </w:tcBorders>
          </w:tcPr>
          <w:p w14:paraId="175FFAEE" w14:textId="40014B61" w:rsidR="001C29BE" w:rsidRPr="00EF2F18" w:rsidRDefault="001C29BE" w:rsidP="001C29BE">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582A2812" w14:textId="4236810B" w:rsidR="001C29BE" w:rsidRPr="00EF2F18" w:rsidRDefault="001C29BE" w:rsidP="001C29BE">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64502071" w14:textId="38983503" w:rsidR="001C29BE" w:rsidRPr="00EF2F18" w:rsidRDefault="001C29BE" w:rsidP="001C29BE">
            <w:pPr>
              <w:spacing w:after="0"/>
              <w:jc w:val="right"/>
              <w:rPr>
                <w:rFonts w:eastAsia="Times New Roman" w:cs="Times New Roman"/>
                <w:color w:val="000000"/>
                <w:sz w:val="20"/>
                <w:szCs w:val="20"/>
                <w:lang w:val="sr-Cyrl-RS" w:eastAsia="en-GB"/>
              </w:rPr>
            </w:pPr>
          </w:p>
        </w:tc>
      </w:tr>
      <w:tr w:rsidR="001C29BE" w:rsidRPr="00EF2F18" w14:paraId="1BDA5655" w14:textId="77777777" w:rsidTr="00CC76FE">
        <w:trPr>
          <w:gridAfter w:val="1"/>
          <w:wAfter w:w="17" w:type="dxa"/>
          <w:trHeight w:val="1596"/>
        </w:trPr>
        <w:tc>
          <w:tcPr>
            <w:tcW w:w="2829" w:type="dxa"/>
            <w:tcBorders>
              <w:top w:val="nil"/>
              <w:left w:val="double" w:sz="6" w:space="0" w:color="auto"/>
              <w:bottom w:val="double" w:sz="6" w:space="0" w:color="auto"/>
              <w:right w:val="single" w:sz="8" w:space="0" w:color="auto"/>
            </w:tcBorders>
            <w:hideMark/>
          </w:tcPr>
          <w:p w14:paraId="2B67C26F" w14:textId="3E73D048"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5.1.7.5. Годишња додела подстицаја за промоцију примене традиционалних знања, пракси и производа у циљу очувања и валоризације традиционалних сорти и раса</w:t>
            </w:r>
          </w:p>
        </w:tc>
        <w:tc>
          <w:tcPr>
            <w:tcW w:w="1253" w:type="dxa"/>
            <w:tcBorders>
              <w:top w:val="nil"/>
              <w:left w:val="nil"/>
              <w:bottom w:val="double" w:sz="6" w:space="0" w:color="auto"/>
              <w:right w:val="single" w:sz="8" w:space="0" w:color="auto"/>
            </w:tcBorders>
            <w:hideMark/>
          </w:tcPr>
          <w:p w14:paraId="469ADA4A"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39" w:type="dxa"/>
            <w:tcBorders>
              <w:top w:val="nil"/>
              <w:left w:val="nil"/>
              <w:bottom w:val="double" w:sz="6" w:space="0" w:color="auto"/>
              <w:right w:val="single" w:sz="8" w:space="0" w:color="auto"/>
            </w:tcBorders>
            <w:hideMark/>
          </w:tcPr>
          <w:p w14:paraId="3DB52B0A"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ВШУ, НИО, АП, ОЦД</w:t>
            </w:r>
          </w:p>
        </w:tc>
        <w:tc>
          <w:tcPr>
            <w:tcW w:w="1182" w:type="dxa"/>
            <w:tcBorders>
              <w:top w:val="nil"/>
              <w:left w:val="nil"/>
              <w:bottom w:val="double" w:sz="6" w:space="0" w:color="auto"/>
              <w:right w:val="single" w:sz="8" w:space="0" w:color="auto"/>
            </w:tcBorders>
            <w:hideMark/>
          </w:tcPr>
          <w:p w14:paraId="6A40F685" w14:textId="77777777" w:rsidR="001C29BE" w:rsidRPr="00EF2F18" w:rsidRDefault="001C29BE" w:rsidP="001C29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593E4EFD" w14:textId="5A2B330E" w:rsidR="001C29BE" w:rsidRPr="00EF2F18" w:rsidRDefault="001C29BE" w:rsidP="001C29BE">
            <w:pPr>
              <w:spacing w:after="0"/>
              <w:rPr>
                <w:rFonts w:eastAsia="Times New Roman" w:cs="Times New Roman"/>
                <w:color w:val="000000"/>
                <w:sz w:val="20"/>
                <w:szCs w:val="20"/>
                <w:highlight w:val="yellow"/>
                <w:lang w:val="sr-Cyrl-RS" w:eastAsia="en-GB"/>
              </w:rPr>
            </w:pPr>
            <w:r w:rsidRPr="00EF2F18">
              <w:rPr>
                <w:rFonts w:eastAsia="Times New Roman" w:cs="Times New Roman"/>
                <w:color w:val="000000"/>
                <w:sz w:val="20"/>
                <w:szCs w:val="20"/>
                <w:lang w:val="sr-Cyrl-RS" w:eastAsia="en-GB"/>
              </w:rPr>
              <w:t>*</w:t>
            </w:r>
          </w:p>
        </w:tc>
        <w:tc>
          <w:tcPr>
            <w:tcW w:w="1340" w:type="dxa"/>
            <w:tcBorders>
              <w:top w:val="nil"/>
              <w:left w:val="nil"/>
              <w:bottom w:val="double" w:sz="6" w:space="0" w:color="auto"/>
              <w:right w:val="single" w:sz="8" w:space="0" w:color="auto"/>
            </w:tcBorders>
            <w:hideMark/>
          </w:tcPr>
          <w:p w14:paraId="466937B8" w14:textId="77777777" w:rsidR="001C29BE" w:rsidRPr="00EF2F18" w:rsidRDefault="001C29BE" w:rsidP="001C29BE">
            <w:pPr>
              <w:spacing w:after="0"/>
              <w:rPr>
                <w:rFonts w:eastAsia="Times New Roman" w:cs="Times New Roman"/>
                <w:color w:val="000000"/>
                <w:sz w:val="20"/>
                <w:szCs w:val="20"/>
                <w:lang w:val="sr-Cyrl-RS" w:eastAsia="en-GB"/>
              </w:rPr>
            </w:pPr>
          </w:p>
        </w:tc>
        <w:tc>
          <w:tcPr>
            <w:tcW w:w="1243" w:type="dxa"/>
            <w:tcBorders>
              <w:top w:val="nil"/>
              <w:left w:val="nil"/>
              <w:bottom w:val="double" w:sz="6" w:space="0" w:color="auto"/>
              <w:right w:val="single" w:sz="8" w:space="0" w:color="auto"/>
            </w:tcBorders>
          </w:tcPr>
          <w:p w14:paraId="7AA1F8E3" w14:textId="7B272E6E" w:rsidR="001C29BE" w:rsidRPr="00EF2F18" w:rsidRDefault="001C29BE" w:rsidP="001C29BE">
            <w:pPr>
              <w:spacing w:after="0"/>
              <w:jc w:val="right"/>
              <w:rPr>
                <w:rFonts w:eastAsia="Times New Roman" w:cs="Times New Roman"/>
                <w:color w:val="000000"/>
                <w:sz w:val="20"/>
                <w:szCs w:val="20"/>
                <w:lang w:val="sr-Cyrl-RS" w:eastAsia="en-GB"/>
              </w:rPr>
            </w:pPr>
          </w:p>
        </w:tc>
        <w:tc>
          <w:tcPr>
            <w:tcW w:w="1170" w:type="dxa"/>
            <w:tcBorders>
              <w:top w:val="nil"/>
              <w:left w:val="nil"/>
              <w:bottom w:val="double" w:sz="6" w:space="0" w:color="auto"/>
              <w:right w:val="single" w:sz="8" w:space="0" w:color="auto"/>
            </w:tcBorders>
          </w:tcPr>
          <w:p w14:paraId="32D60D75" w14:textId="32A83C89" w:rsidR="001C29BE" w:rsidRPr="00EF2F18" w:rsidRDefault="001C29BE" w:rsidP="001C29BE">
            <w:pPr>
              <w:spacing w:after="0"/>
              <w:jc w:val="right"/>
              <w:rPr>
                <w:rFonts w:eastAsia="Times New Roman" w:cs="Times New Roman"/>
                <w:color w:val="000000"/>
                <w:sz w:val="20"/>
                <w:szCs w:val="20"/>
                <w:lang w:val="sr-Cyrl-RS" w:eastAsia="en-GB"/>
              </w:rPr>
            </w:pPr>
          </w:p>
        </w:tc>
        <w:tc>
          <w:tcPr>
            <w:tcW w:w="1530" w:type="dxa"/>
            <w:tcBorders>
              <w:top w:val="nil"/>
              <w:left w:val="nil"/>
              <w:bottom w:val="double" w:sz="6" w:space="0" w:color="auto"/>
              <w:right w:val="double" w:sz="6" w:space="0" w:color="auto"/>
            </w:tcBorders>
          </w:tcPr>
          <w:p w14:paraId="58CF180B" w14:textId="2C040E60" w:rsidR="001C29BE" w:rsidRPr="00EF2F18" w:rsidRDefault="001C29BE" w:rsidP="001C29BE">
            <w:pPr>
              <w:spacing w:after="0"/>
              <w:jc w:val="right"/>
              <w:rPr>
                <w:rFonts w:eastAsia="Times New Roman" w:cs="Times New Roman"/>
                <w:color w:val="000000"/>
                <w:sz w:val="20"/>
                <w:szCs w:val="20"/>
                <w:lang w:val="sr-Cyrl-RS" w:eastAsia="en-GB"/>
              </w:rPr>
            </w:pPr>
          </w:p>
        </w:tc>
      </w:tr>
    </w:tbl>
    <w:p w14:paraId="3F7D4BEE" w14:textId="7A18A507" w:rsidR="007620E6" w:rsidRDefault="00053FD8"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1E7FE878" w14:textId="39E882BC" w:rsidR="000A7896" w:rsidRDefault="000A7896" w:rsidP="007D7243">
      <w:pPr>
        <w:spacing w:after="0"/>
        <w:rPr>
          <w:rFonts w:cs="Times New Roman"/>
          <w:sz w:val="20"/>
          <w:szCs w:val="20"/>
          <w:lang w:val="sr-Cyrl-RS"/>
        </w:rPr>
      </w:pPr>
    </w:p>
    <w:p w14:paraId="14FB5EC1" w14:textId="1EB93579" w:rsidR="000A7896" w:rsidRPr="00EF2F18" w:rsidRDefault="000A7896" w:rsidP="007D7243">
      <w:pPr>
        <w:spacing w:after="0"/>
        <w:rPr>
          <w:rFonts w:cs="Times New Roman"/>
          <w:sz w:val="20"/>
          <w:szCs w:val="20"/>
          <w:lang w:val="sr-Cyrl-RS"/>
        </w:rPr>
      </w:pPr>
    </w:p>
    <w:p w14:paraId="78EED041" w14:textId="77777777" w:rsidR="00053FD8" w:rsidRPr="00EF2F18" w:rsidRDefault="00053FD8" w:rsidP="007D7243">
      <w:pPr>
        <w:spacing w:after="0"/>
        <w:rPr>
          <w:rFonts w:cs="Times New Roman"/>
          <w:sz w:val="20"/>
          <w:szCs w:val="20"/>
          <w:lang w:val="sr-Cyrl-RS"/>
        </w:rPr>
      </w:pPr>
    </w:p>
    <w:tbl>
      <w:tblPr>
        <w:tblW w:w="13726" w:type="dxa"/>
        <w:tblLayout w:type="fixed"/>
        <w:tblLook w:val="04A0" w:firstRow="1" w:lastRow="0" w:firstColumn="1" w:lastColumn="0" w:noHBand="0" w:noVBand="1"/>
      </w:tblPr>
      <w:tblGrid>
        <w:gridCol w:w="3392"/>
        <w:gridCol w:w="1002"/>
        <w:gridCol w:w="1507"/>
        <w:gridCol w:w="1264"/>
        <w:gridCol w:w="1084"/>
        <w:gridCol w:w="1264"/>
        <w:gridCol w:w="1997"/>
        <w:gridCol w:w="1980"/>
        <w:gridCol w:w="236"/>
      </w:tblGrid>
      <w:tr w:rsidR="007D7243" w:rsidRPr="00EF2F18" w14:paraId="28C5054F" w14:textId="77777777" w:rsidTr="00EF0900">
        <w:trPr>
          <w:gridAfter w:val="1"/>
          <w:wAfter w:w="236" w:type="dxa"/>
          <w:trHeight w:val="528"/>
        </w:trPr>
        <w:tc>
          <w:tcPr>
            <w:tcW w:w="13490" w:type="dxa"/>
            <w:gridSpan w:val="8"/>
            <w:tcBorders>
              <w:top w:val="double" w:sz="6" w:space="0" w:color="auto"/>
              <w:left w:val="single" w:sz="8" w:space="0" w:color="auto"/>
              <w:bottom w:val="single" w:sz="8" w:space="0" w:color="auto"/>
              <w:right w:val="double" w:sz="6" w:space="0" w:color="auto"/>
            </w:tcBorders>
            <w:shd w:val="clear" w:color="000000" w:fill="C5E0B3"/>
            <w:hideMark/>
          </w:tcPr>
          <w:p w14:paraId="77FFBB65" w14:textId="0798F60D"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5.2: Унапређење одрживо</w:t>
            </w:r>
            <w:r w:rsidR="004979CE">
              <w:rPr>
                <w:rFonts w:eastAsia="Times New Roman" w:cs="Times New Roman"/>
                <w:b/>
                <w:bCs/>
                <w:color w:val="000000"/>
                <w:sz w:val="20"/>
                <w:szCs w:val="20"/>
                <w:lang w:val="sr-Cyrl-RS" w:eastAsia="en-GB"/>
              </w:rPr>
              <w:t>сти руралних средина кроз диверс</w:t>
            </w:r>
            <w:r w:rsidRPr="00EF2F18">
              <w:rPr>
                <w:rFonts w:eastAsia="Times New Roman" w:cs="Times New Roman"/>
                <w:b/>
                <w:bCs/>
                <w:color w:val="000000"/>
                <w:sz w:val="20"/>
                <w:szCs w:val="20"/>
                <w:lang w:val="sr-Cyrl-RS" w:eastAsia="en-GB"/>
              </w:rPr>
              <w:t>ификацију руралне економије, изградњу руралне инфраструктуре и заштиту животне средине и очување руралних предела</w:t>
            </w:r>
          </w:p>
        </w:tc>
      </w:tr>
      <w:tr w:rsidR="007D7243" w:rsidRPr="00EF2F18" w14:paraId="4B6E0CEA" w14:textId="77777777" w:rsidTr="00EF0900">
        <w:trPr>
          <w:gridAfter w:val="1"/>
          <w:wAfter w:w="236" w:type="dxa"/>
          <w:trHeight w:val="324"/>
        </w:trPr>
        <w:tc>
          <w:tcPr>
            <w:tcW w:w="13490" w:type="dxa"/>
            <w:gridSpan w:val="8"/>
            <w:tcBorders>
              <w:top w:val="single" w:sz="8" w:space="0" w:color="auto"/>
              <w:left w:val="single" w:sz="8" w:space="0" w:color="auto"/>
              <w:bottom w:val="single" w:sz="8" w:space="0" w:color="auto"/>
              <w:right w:val="double" w:sz="6" w:space="0" w:color="auto"/>
            </w:tcBorders>
            <w:shd w:val="clear" w:color="000000" w:fill="C5E0B3"/>
            <w:hideMark/>
          </w:tcPr>
          <w:p w14:paraId="296965AB"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 xml:space="preserve">Институција одговорна за координацију и извештавање: </w:t>
            </w:r>
            <w:r w:rsidRPr="00EF2F18">
              <w:rPr>
                <w:rFonts w:eastAsia="Times New Roman" w:cs="Times New Roman"/>
                <w:color w:val="000000"/>
                <w:sz w:val="20"/>
                <w:szCs w:val="20"/>
                <w:lang w:val="sr-Cyrl-RS" w:eastAsia="en-GB"/>
              </w:rPr>
              <w:t xml:space="preserve">Министарство пољопривреде, шумарства и водопривреде </w:t>
            </w:r>
          </w:p>
        </w:tc>
      </w:tr>
      <w:tr w:rsidR="00CC76FE" w:rsidRPr="00EF2F18" w14:paraId="543C0045" w14:textId="77777777" w:rsidTr="00CC76FE">
        <w:trPr>
          <w:gridAfter w:val="1"/>
          <w:wAfter w:w="236" w:type="dxa"/>
          <w:trHeight w:val="468"/>
        </w:trPr>
        <w:tc>
          <w:tcPr>
            <w:tcW w:w="3392" w:type="dxa"/>
            <w:vMerge w:val="restart"/>
            <w:tcBorders>
              <w:top w:val="nil"/>
              <w:left w:val="single" w:sz="8" w:space="0" w:color="auto"/>
              <w:bottom w:val="single" w:sz="8" w:space="0" w:color="000000"/>
              <w:right w:val="single" w:sz="8" w:space="0" w:color="auto"/>
            </w:tcBorders>
            <w:shd w:val="clear" w:color="000000" w:fill="D9D9D9"/>
            <w:hideMark/>
          </w:tcPr>
          <w:p w14:paraId="57F244E6"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002" w:type="dxa"/>
            <w:vMerge w:val="restart"/>
            <w:tcBorders>
              <w:top w:val="nil"/>
              <w:left w:val="single" w:sz="8" w:space="0" w:color="auto"/>
              <w:bottom w:val="single" w:sz="8" w:space="0" w:color="000000"/>
              <w:right w:val="single" w:sz="8" w:space="0" w:color="auto"/>
            </w:tcBorders>
            <w:shd w:val="clear" w:color="000000" w:fill="D9D9D9"/>
            <w:hideMark/>
          </w:tcPr>
          <w:p w14:paraId="044A07D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507" w:type="dxa"/>
            <w:vMerge w:val="restart"/>
            <w:tcBorders>
              <w:top w:val="nil"/>
              <w:left w:val="single" w:sz="8" w:space="0" w:color="auto"/>
              <w:bottom w:val="single" w:sz="8" w:space="0" w:color="000000"/>
              <w:right w:val="single" w:sz="8" w:space="0" w:color="auto"/>
            </w:tcBorders>
            <w:shd w:val="clear" w:color="000000" w:fill="D9D9D9"/>
            <w:hideMark/>
          </w:tcPr>
          <w:p w14:paraId="271CA11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264" w:type="dxa"/>
            <w:vMerge w:val="restart"/>
            <w:tcBorders>
              <w:top w:val="nil"/>
              <w:left w:val="single" w:sz="8" w:space="0" w:color="auto"/>
              <w:bottom w:val="single" w:sz="8" w:space="0" w:color="000000"/>
              <w:right w:val="single" w:sz="8" w:space="0" w:color="auto"/>
            </w:tcBorders>
            <w:shd w:val="clear" w:color="000000" w:fill="D9D9D9"/>
            <w:hideMark/>
          </w:tcPr>
          <w:p w14:paraId="105D009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084" w:type="dxa"/>
            <w:vMerge w:val="restart"/>
            <w:tcBorders>
              <w:top w:val="nil"/>
              <w:left w:val="single" w:sz="8" w:space="0" w:color="auto"/>
              <w:bottom w:val="single" w:sz="8" w:space="0" w:color="000000"/>
              <w:right w:val="single" w:sz="8" w:space="0" w:color="auto"/>
            </w:tcBorders>
            <w:shd w:val="clear" w:color="000000" w:fill="D9D9D9"/>
            <w:hideMark/>
          </w:tcPr>
          <w:p w14:paraId="5AEB954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264" w:type="dxa"/>
            <w:vMerge w:val="restart"/>
            <w:tcBorders>
              <w:top w:val="nil"/>
              <w:left w:val="single" w:sz="8" w:space="0" w:color="auto"/>
              <w:bottom w:val="single" w:sz="8" w:space="0" w:color="000000"/>
              <w:right w:val="single" w:sz="8" w:space="0" w:color="auto"/>
            </w:tcBorders>
            <w:shd w:val="clear" w:color="000000" w:fill="D9D9D9"/>
            <w:hideMark/>
          </w:tcPr>
          <w:p w14:paraId="56ADBF6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997" w:type="dxa"/>
            <w:vMerge w:val="restart"/>
            <w:tcBorders>
              <w:top w:val="nil"/>
              <w:left w:val="single" w:sz="8" w:space="0" w:color="auto"/>
              <w:bottom w:val="single" w:sz="8" w:space="0" w:color="000000"/>
              <w:right w:val="single" w:sz="8" w:space="0" w:color="auto"/>
            </w:tcBorders>
            <w:shd w:val="clear" w:color="000000" w:fill="D9D9D9"/>
            <w:hideMark/>
          </w:tcPr>
          <w:p w14:paraId="6295643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980" w:type="dxa"/>
            <w:vMerge w:val="restart"/>
            <w:tcBorders>
              <w:top w:val="nil"/>
              <w:left w:val="single" w:sz="8" w:space="0" w:color="auto"/>
              <w:bottom w:val="single" w:sz="8" w:space="0" w:color="000000"/>
              <w:right w:val="double" w:sz="6" w:space="0" w:color="auto"/>
            </w:tcBorders>
            <w:shd w:val="clear" w:color="000000" w:fill="D9D9D9"/>
            <w:hideMark/>
          </w:tcPr>
          <w:p w14:paraId="1832142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5EE07263" w14:textId="77777777" w:rsidTr="00CC76FE">
        <w:trPr>
          <w:trHeight w:val="324"/>
        </w:trPr>
        <w:tc>
          <w:tcPr>
            <w:tcW w:w="3392" w:type="dxa"/>
            <w:vMerge/>
            <w:tcBorders>
              <w:top w:val="nil"/>
              <w:left w:val="single" w:sz="8" w:space="0" w:color="auto"/>
              <w:bottom w:val="single" w:sz="8" w:space="0" w:color="000000"/>
              <w:right w:val="single" w:sz="8" w:space="0" w:color="auto"/>
            </w:tcBorders>
            <w:vAlign w:val="center"/>
            <w:hideMark/>
          </w:tcPr>
          <w:p w14:paraId="1CE34AAF" w14:textId="77777777" w:rsidR="00CC76FE" w:rsidRPr="00EF2F18" w:rsidRDefault="00CC76FE" w:rsidP="00752CA0">
            <w:pPr>
              <w:spacing w:after="0"/>
              <w:rPr>
                <w:rFonts w:eastAsia="Times New Roman" w:cs="Times New Roman"/>
                <w:color w:val="000000"/>
                <w:sz w:val="20"/>
                <w:szCs w:val="20"/>
                <w:lang w:val="sr-Cyrl-RS" w:eastAsia="en-GB"/>
              </w:rPr>
            </w:pPr>
          </w:p>
        </w:tc>
        <w:tc>
          <w:tcPr>
            <w:tcW w:w="1002" w:type="dxa"/>
            <w:vMerge/>
            <w:tcBorders>
              <w:top w:val="nil"/>
              <w:left w:val="single" w:sz="8" w:space="0" w:color="auto"/>
              <w:bottom w:val="single" w:sz="8" w:space="0" w:color="000000"/>
              <w:right w:val="single" w:sz="8" w:space="0" w:color="auto"/>
            </w:tcBorders>
            <w:vAlign w:val="center"/>
            <w:hideMark/>
          </w:tcPr>
          <w:p w14:paraId="56B4D977" w14:textId="77777777" w:rsidR="00CC76FE" w:rsidRPr="00EF2F18" w:rsidRDefault="00CC76FE" w:rsidP="00752CA0">
            <w:pPr>
              <w:spacing w:after="0"/>
              <w:rPr>
                <w:rFonts w:eastAsia="Times New Roman" w:cs="Times New Roman"/>
                <w:color w:val="000000"/>
                <w:sz w:val="20"/>
                <w:szCs w:val="20"/>
                <w:lang w:val="sr-Cyrl-RS" w:eastAsia="en-GB"/>
              </w:rPr>
            </w:pPr>
          </w:p>
        </w:tc>
        <w:tc>
          <w:tcPr>
            <w:tcW w:w="1507" w:type="dxa"/>
            <w:vMerge/>
            <w:tcBorders>
              <w:top w:val="nil"/>
              <w:left w:val="single" w:sz="8" w:space="0" w:color="auto"/>
              <w:bottom w:val="single" w:sz="8" w:space="0" w:color="000000"/>
              <w:right w:val="single" w:sz="8" w:space="0" w:color="auto"/>
            </w:tcBorders>
            <w:vAlign w:val="center"/>
            <w:hideMark/>
          </w:tcPr>
          <w:p w14:paraId="7307856A" w14:textId="77777777" w:rsidR="00CC76FE" w:rsidRPr="00EF2F18" w:rsidRDefault="00CC76FE" w:rsidP="00752CA0">
            <w:pPr>
              <w:spacing w:after="0"/>
              <w:rPr>
                <w:rFonts w:eastAsia="Times New Roman" w:cs="Times New Roman"/>
                <w:color w:val="000000"/>
                <w:sz w:val="20"/>
                <w:szCs w:val="20"/>
                <w:lang w:val="sr-Cyrl-RS" w:eastAsia="en-GB"/>
              </w:rPr>
            </w:pPr>
          </w:p>
        </w:tc>
        <w:tc>
          <w:tcPr>
            <w:tcW w:w="1264" w:type="dxa"/>
            <w:vMerge/>
            <w:tcBorders>
              <w:top w:val="nil"/>
              <w:left w:val="single" w:sz="8" w:space="0" w:color="auto"/>
              <w:bottom w:val="single" w:sz="8" w:space="0" w:color="000000"/>
              <w:right w:val="single" w:sz="8" w:space="0" w:color="auto"/>
            </w:tcBorders>
            <w:vAlign w:val="center"/>
            <w:hideMark/>
          </w:tcPr>
          <w:p w14:paraId="029635E3" w14:textId="77777777" w:rsidR="00CC76FE" w:rsidRPr="00EF2F18" w:rsidRDefault="00CC76FE" w:rsidP="00752CA0">
            <w:pPr>
              <w:spacing w:after="0"/>
              <w:rPr>
                <w:rFonts w:eastAsia="Times New Roman" w:cs="Times New Roman"/>
                <w:color w:val="000000"/>
                <w:sz w:val="20"/>
                <w:szCs w:val="20"/>
                <w:lang w:val="sr-Cyrl-RS" w:eastAsia="en-GB"/>
              </w:rPr>
            </w:pPr>
          </w:p>
        </w:tc>
        <w:tc>
          <w:tcPr>
            <w:tcW w:w="1084" w:type="dxa"/>
            <w:vMerge/>
            <w:tcBorders>
              <w:top w:val="nil"/>
              <w:left w:val="single" w:sz="8" w:space="0" w:color="auto"/>
              <w:bottom w:val="single" w:sz="8" w:space="0" w:color="000000"/>
              <w:right w:val="single" w:sz="8" w:space="0" w:color="auto"/>
            </w:tcBorders>
            <w:vAlign w:val="center"/>
            <w:hideMark/>
          </w:tcPr>
          <w:p w14:paraId="579DFB0A" w14:textId="77777777" w:rsidR="00CC76FE" w:rsidRPr="00EF2F18" w:rsidRDefault="00CC76FE" w:rsidP="00752CA0">
            <w:pPr>
              <w:spacing w:after="0"/>
              <w:rPr>
                <w:rFonts w:eastAsia="Times New Roman" w:cs="Times New Roman"/>
                <w:color w:val="000000"/>
                <w:sz w:val="20"/>
                <w:szCs w:val="20"/>
                <w:lang w:val="sr-Cyrl-RS" w:eastAsia="en-GB"/>
              </w:rPr>
            </w:pPr>
          </w:p>
        </w:tc>
        <w:tc>
          <w:tcPr>
            <w:tcW w:w="1264" w:type="dxa"/>
            <w:vMerge/>
            <w:tcBorders>
              <w:top w:val="nil"/>
              <w:left w:val="single" w:sz="8" w:space="0" w:color="auto"/>
              <w:bottom w:val="single" w:sz="8" w:space="0" w:color="000000"/>
              <w:right w:val="single" w:sz="8" w:space="0" w:color="auto"/>
            </w:tcBorders>
            <w:vAlign w:val="center"/>
            <w:hideMark/>
          </w:tcPr>
          <w:p w14:paraId="42299B0A" w14:textId="77777777" w:rsidR="00CC76FE" w:rsidRPr="00EF2F18" w:rsidRDefault="00CC76FE" w:rsidP="00752CA0">
            <w:pPr>
              <w:spacing w:after="0"/>
              <w:rPr>
                <w:rFonts w:eastAsia="Times New Roman" w:cs="Times New Roman"/>
                <w:color w:val="000000"/>
                <w:sz w:val="20"/>
                <w:szCs w:val="20"/>
                <w:lang w:val="sr-Cyrl-RS" w:eastAsia="en-GB"/>
              </w:rPr>
            </w:pPr>
          </w:p>
        </w:tc>
        <w:tc>
          <w:tcPr>
            <w:tcW w:w="1997" w:type="dxa"/>
            <w:vMerge/>
            <w:tcBorders>
              <w:top w:val="nil"/>
              <w:left w:val="single" w:sz="8" w:space="0" w:color="auto"/>
              <w:bottom w:val="single" w:sz="8" w:space="0" w:color="000000"/>
              <w:right w:val="single" w:sz="8" w:space="0" w:color="auto"/>
            </w:tcBorders>
            <w:vAlign w:val="center"/>
            <w:hideMark/>
          </w:tcPr>
          <w:p w14:paraId="512D9E48" w14:textId="77777777" w:rsidR="00CC76FE" w:rsidRPr="00EF2F18" w:rsidRDefault="00CC76FE" w:rsidP="00752CA0">
            <w:pPr>
              <w:spacing w:after="0"/>
              <w:rPr>
                <w:rFonts w:eastAsia="Times New Roman" w:cs="Times New Roman"/>
                <w:color w:val="000000"/>
                <w:sz w:val="20"/>
                <w:szCs w:val="20"/>
                <w:lang w:val="sr-Cyrl-RS" w:eastAsia="en-GB"/>
              </w:rPr>
            </w:pPr>
          </w:p>
        </w:tc>
        <w:tc>
          <w:tcPr>
            <w:tcW w:w="1980" w:type="dxa"/>
            <w:vMerge/>
            <w:tcBorders>
              <w:top w:val="nil"/>
              <w:left w:val="single" w:sz="8" w:space="0" w:color="auto"/>
              <w:bottom w:val="single" w:sz="8" w:space="0" w:color="000000"/>
              <w:right w:val="double" w:sz="6" w:space="0" w:color="auto"/>
            </w:tcBorders>
            <w:vAlign w:val="center"/>
            <w:hideMark/>
          </w:tcPr>
          <w:p w14:paraId="5E1E0D37" w14:textId="77777777" w:rsidR="00CC76FE" w:rsidRPr="00EF2F18" w:rsidRDefault="00CC76FE"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vAlign w:val="bottom"/>
            <w:hideMark/>
          </w:tcPr>
          <w:p w14:paraId="41EDE7BF" w14:textId="77777777" w:rsidR="00CC76FE" w:rsidRPr="00EF2F18" w:rsidRDefault="00CC76FE" w:rsidP="00752CA0">
            <w:pPr>
              <w:spacing w:after="0"/>
              <w:rPr>
                <w:rFonts w:eastAsia="Times New Roman" w:cs="Times New Roman"/>
                <w:color w:val="000000"/>
                <w:sz w:val="20"/>
                <w:szCs w:val="20"/>
                <w:lang w:val="sr-Cyrl-RS" w:eastAsia="en-GB"/>
              </w:rPr>
            </w:pPr>
          </w:p>
        </w:tc>
      </w:tr>
      <w:tr w:rsidR="00CC76FE" w:rsidRPr="00EF2F18" w14:paraId="32FE46B3" w14:textId="77777777" w:rsidTr="00CC76FE">
        <w:trPr>
          <w:trHeight w:val="804"/>
        </w:trPr>
        <w:tc>
          <w:tcPr>
            <w:tcW w:w="3392" w:type="dxa"/>
            <w:tcBorders>
              <w:top w:val="nil"/>
              <w:left w:val="single" w:sz="8" w:space="0" w:color="auto"/>
              <w:bottom w:val="double" w:sz="6" w:space="0" w:color="auto"/>
              <w:right w:val="single" w:sz="8" w:space="0" w:color="auto"/>
            </w:tcBorders>
            <w:shd w:val="clear" w:color="000000" w:fill="FFFFFF"/>
            <w:hideMark/>
          </w:tcPr>
          <w:p w14:paraId="63911E4C"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подржаних пројеката за развој руралне инфраструктуре, укупно</w:t>
            </w:r>
          </w:p>
        </w:tc>
        <w:tc>
          <w:tcPr>
            <w:tcW w:w="1002" w:type="dxa"/>
            <w:tcBorders>
              <w:top w:val="nil"/>
              <w:left w:val="nil"/>
              <w:bottom w:val="double" w:sz="6" w:space="0" w:color="auto"/>
              <w:right w:val="single" w:sz="8" w:space="0" w:color="auto"/>
            </w:tcBorders>
            <w:shd w:val="clear" w:color="000000" w:fill="FFFFFF"/>
            <w:hideMark/>
          </w:tcPr>
          <w:p w14:paraId="51443DB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507" w:type="dxa"/>
            <w:tcBorders>
              <w:top w:val="nil"/>
              <w:left w:val="nil"/>
              <w:bottom w:val="double" w:sz="6" w:space="0" w:color="auto"/>
              <w:right w:val="single" w:sz="8" w:space="0" w:color="auto"/>
            </w:tcBorders>
            <w:shd w:val="clear" w:color="000000" w:fill="FFFFFF"/>
            <w:hideMark/>
          </w:tcPr>
          <w:p w14:paraId="4201B70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УАП, МПШВ</w:t>
            </w:r>
          </w:p>
        </w:tc>
        <w:tc>
          <w:tcPr>
            <w:tcW w:w="1264" w:type="dxa"/>
            <w:tcBorders>
              <w:top w:val="nil"/>
              <w:left w:val="nil"/>
              <w:bottom w:val="double" w:sz="6" w:space="0" w:color="auto"/>
              <w:right w:val="single" w:sz="8" w:space="0" w:color="auto"/>
            </w:tcBorders>
            <w:shd w:val="clear" w:color="000000" w:fill="FFFFFF"/>
            <w:hideMark/>
          </w:tcPr>
          <w:p w14:paraId="56D878C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17</w:t>
            </w:r>
          </w:p>
        </w:tc>
        <w:tc>
          <w:tcPr>
            <w:tcW w:w="1084" w:type="dxa"/>
            <w:tcBorders>
              <w:top w:val="nil"/>
              <w:left w:val="nil"/>
              <w:bottom w:val="double" w:sz="6" w:space="0" w:color="auto"/>
              <w:right w:val="single" w:sz="8" w:space="0" w:color="auto"/>
            </w:tcBorders>
            <w:shd w:val="clear" w:color="000000" w:fill="FFFFFF"/>
            <w:hideMark/>
          </w:tcPr>
          <w:p w14:paraId="499EBC0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264" w:type="dxa"/>
            <w:tcBorders>
              <w:top w:val="nil"/>
              <w:left w:val="nil"/>
              <w:bottom w:val="double" w:sz="6" w:space="0" w:color="auto"/>
              <w:right w:val="single" w:sz="8" w:space="0" w:color="auto"/>
            </w:tcBorders>
            <w:shd w:val="clear" w:color="000000" w:fill="FFFFFF"/>
            <w:hideMark/>
          </w:tcPr>
          <w:p w14:paraId="32D8F6A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w:t>
            </w:r>
          </w:p>
        </w:tc>
        <w:tc>
          <w:tcPr>
            <w:tcW w:w="1997" w:type="dxa"/>
            <w:tcBorders>
              <w:top w:val="nil"/>
              <w:left w:val="nil"/>
              <w:bottom w:val="double" w:sz="6" w:space="0" w:color="auto"/>
              <w:right w:val="single" w:sz="8" w:space="0" w:color="auto"/>
            </w:tcBorders>
            <w:shd w:val="clear" w:color="000000" w:fill="FFFFFF"/>
            <w:hideMark/>
          </w:tcPr>
          <w:p w14:paraId="487A64B1"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35</w:t>
            </w:r>
          </w:p>
        </w:tc>
        <w:tc>
          <w:tcPr>
            <w:tcW w:w="1980" w:type="dxa"/>
            <w:tcBorders>
              <w:top w:val="nil"/>
              <w:left w:val="nil"/>
              <w:bottom w:val="double" w:sz="6" w:space="0" w:color="auto"/>
              <w:right w:val="double" w:sz="6" w:space="0" w:color="auto"/>
            </w:tcBorders>
            <w:shd w:val="clear" w:color="000000" w:fill="FFFFFF"/>
            <w:hideMark/>
          </w:tcPr>
          <w:p w14:paraId="1A75AAD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w:t>
            </w:r>
          </w:p>
        </w:tc>
        <w:tc>
          <w:tcPr>
            <w:tcW w:w="236" w:type="dxa"/>
            <w:vAlign w:val="center"/>
            <w:hideMark/>
          </w:tcPr>
          <w:p w14:paraId="2F282ACA" w14:textId="77777777" w:rsidR="00CC76FE" w:rsidRPr="00EF2F18" w:rsidRDefault="00CC76FE" w:rsidP="00752CA0">
            <w:pPr>
              <w:spacing w:after="0"/>
              <w:rPr>
                <w:rFonts w:eastAsia="Times New Roman" w:cs="Times New Roman"/>
                <w:sz w:val="20"/>
                <w:szCs w:val="20"/>
                <w:lang w:val="sr-Cyrl-RS" w:eastAsia="en-GB"/>
              </w:rPr>
            </w:pPr>
          </w:p>
        </w:tc>
      </w:tr>
      <w:tr w:rsidR="00CC76FE" w:rsidRPr="00EF2F18" w14:paraId="2CE8032B" w14:textId="77777777" w:rsidTr="000A7896">
        <w:trPr>
          <w:trHeight w:val="816"/>
        </w:trPr>
        <w:tc>
          <w:tcPr>
            <w:tcW w:w="3392" w:type="dxa"/>
            <w:tcBorders>
              <w:top w:val="single" w:sz="4" w:space="0" w:color="auto"/>
              <w:left w:val="single" w:sz="8" w:space="0" w:color="auto"/>
              <w:bottom w:val="double" w:sz="6" w:space="0" w:color="auto"/>
              <w:right w:val="single" w:sz="8" w:space="0" w:color="auto"/>
            </w:tcBorders>
            <w:shd w:val="clear" w:color="000000" w:fill="FFFFFF"/>
            <w:hideMark/>
          </w:tcPr>
          <w:p w14:paraId="5FEB0729"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инсталисаних капацитета електрана на биомасу / биогас у укупној инсталисаној снази* </w:t>
            </w:r>
          </w:p>
        </w:tc>
        <w:tc>
          <w:tcPr>
            <w:tcW w:w="1002" w:type="dxa"/>
            <w:tcBorders>
              <w:top w:val="single" w:sz="4" w:space="0" w:color="auto"/>
              <w:left w:val="nil"/>
              <w:bottom w:val="double" w:sz="6" w:space="0" w:color="auto"/>
              <w:right w:val="single" w:sz="8" w:space="0" w:color="auto"/>
            </w:tcBorders>
            <w:shd w:val="clear" w:color="000000" w:fill="FFFFFF"/>
            <w:hideMark/>
          </w:tcPr>
          <w:p w14:paraId="567E8A5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07" w:type="dxa"/>
            <w:tcBorders>
              <w:top w:val="single" w:sz="4" w:space="0" w:color="auto"/>
              <w:left w:val="nil"/>
              <w:bottom w:val="double" w:sz="6" w:space="0" w:color="auto"/>
              <w:right w:val="single" w:sz="8" w:space="0" w:color="auto"/>
            </w:tcBorders>
            <w:shd w:val="clear" w:color="000000" w:fill="FFFFFF"/>
            <w:hideMark/>
          </w:tcPr>
          <w:p w14:paraId="4F8DC1E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АЕРС</w:t>
            </w:r>
          </w:p>
        </w:tc>
        <w:tc>
          <w:tcPr>
            <w:tcW w:w="1264" w:type="dxa"/>
            <w:tcBorders>
              <w:top w:val="single" w:sz="4" w:space="0" w:color="auto"/>
              <w:left w:val="nil"/>
              <w:bottom w:val="double" w:sz="6" w:space="0" w:color="auto"/>
              <w:right w:val="single" w:sz="8" w:space="0" w:color="auto"/>
            </w:tcBorders>
            <w:shd w:val="clear" w:color="000000" w:fill="FFFFFF"/>
            <w:hideMark/>
          </w:tcPr>
          <w:p w14:paraId="0C55CC9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0,5</w:t>
            </w:r>
          </w:p>
        </w:tc>
        <w:tc>
          <w:tcPr>
            <w:tcW w:w="1084" w:type="dxa"/>
            <w:tcBorders>
              <w:top w:val="single" w:sz="4" w:space="0" w:color="auto"/>
              <w:left w:val="nil"/>
              <w:bottom w:val="double" w:sz="6" w:space="0" w:color="auto"/>
              <w:right w:val="single" w:sz="8" w:space="0" w:color="auto"/>
            </w:tcBorders>
            <w:shd w:val="clear" w:color="000000" w:fill="FFFFFF"/>
            <w:hideMark/>
          </w:tcPr>
          <w:p w14:paraId="52974DE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264" w:type="dxa"/>
            <w:tcBorders>
              <w:top w:val="single" w:sz="4" w:space="0" w:color="auto"/>
              <w:left w:val="nil"/>
              <w:bottom w:val="double" w:sz="6" w:space="0" w:color="auto"/>
              <w:right w:val="single" w:sz="8" w:space="0" w:color="auto"/>
            </w:tcBorders>
            <w:shd w:val="clear" w:color="000000" w:fill="FFFFFF"/>
            <w:hideMark/>
          </w:tcPr>
          <w:p w14:paraId="7AA19F4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1,3</w:t>
            </w:r>
          </w:p>
        </w:tc>
        <w:tc>
          <w:tcPr>
            <w:tcW w:w="1997" w:type="dxa"/>
            <w:tcBorders>
              <w:top w:val="single" w:sz="4" w:space="0" w:color="auto"/>
              <w:left w:val="nil"/>
              <w:bottom w:val="double" w:sz="6" w:space="0" w:color="auto"/>
              <w:right w:val="single" w:sz="8" w:space="0" w:color="auto"/>
            </w:tcBorders>
            <w:shd w:val="clear" w:color="000000" w:fill="FFFFFF"/>
            <w:hideMark/>
          </w:tcPr>
          <w:p w14:paraId="25693CD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w:t>
            </w:r>
          </w:p>
        </w:tc>
        <w:tc>
          <w:tcPr>
            <w:tcW w:w="1980" w:type="dxa"/>
            <w:tcBorders>
              <w:top w:val="single" w:sz="4" w:space="0" w:color="auto"/>
              <w:left w:val="nil"/>
              <w:bottom w:val="double" w:sz="6" w:space="0" w:color="auto"/>
              <w:right w:val="double" w:sz="6" w:space="0" w:color="auto"/>
            </w:tcBorders>
            <w:shd w:val="clear" w:color="000000" w:fill="FFFFFF"/>
            <w:hideMark/>
          </w:tcPr>
          <w:p w14:paraId="514FE54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w:t>
            </w:r>
          </w:p>
        </w:tc>
        <w:tc>
          <w:tcPr>
            <w:tcW w:w="236" w:type="dxa"/>
            <w:vAlign w:val="center"/>
            <w:hideMark/>
          </w:tcPr>
          <w:p w14:paraId="011C11EB" w14:textId="77777777" w:rsidR="00CC76FE" w:rsidRPr="00EF2F18" w:rsidRDefault="00CC76FE" w:rsidP="00752CA0">
            <w:pPr>
              <w:spacing w:after="0"/>
              <w:rPr>
                <w:rFonts w:eastAsia="Times New Roman" w:cs="Times New Roman"/>
                <w:sz w:val="20"/>
                <w:szCs w:val="20"/>
                <w:lang w:val="sr-Cyrl-RS" w:eastAsia="en-GB"/>
              </w:rPr>
            </w:pPr>
          </w:p>
        </w:tc>
      </w:tr>
    </w:tbl>
    <w:p w14:paraId="15A75CEF" w14:textId="77777777" w:rsidR="007D7243" w:rsidRPr="00EF2F18" w:rsidRDefault="007D7243" w:rsidP="007D7243">
      <w:pPr>
        <w:tabs>
          <w:tab w:val="left" w:pos="1940"/>
        </w:tabs>
        <w:spacing w:after="0"/>
        <w:rPr>
          <w:rFonts w:cs="Times New Roman"/>
          <w:sz w:val="20"/>
          <w:szCs w:val="20"/>
          <w:lang w:val="sr-Cyrl-RS"/>
        </w:rPr>
      </w:pPr>
      <w:r w:rsidRPr="00EF2F18">
        <w:rPr>
          <w:rFonts w:cs="Times New Roman"/>
          <w:sz w:val="20"/>
          <w:szCs w:val="20"/>
          <w:lang w:val="sr-Cyrl-RS"/>
        </w:rPr>
        <w:t>*</w:t>
      </w:r>
      <w:r w:rsidRPr="00EF2F18">
        <w:rPr>
          <w:lang w:val="sr-Cyrl-RS"/>
        </w:rPr>
        <w:t xml:space="preserve"> </w:t>
      </w:r>
      <w:r w:rsidRPr="00EF2F18">
        <w:rPr>
          <w:rFonts w:cs="Times New Roman"/>
          <w:sz w:val="20"/>
          <w:szCs w:val="20"/>
          <w:lang w:val="sr-Cyrl-RS"/>
        </w:rPr>
        <w:t>Структура производних капацитета електрана на биомасу и биогас (без територије АПКМ) је 0,5% (ове електране су све прикључене на дистрибутивни систем)</w:t>
      </w:r>
    </w:p>
    <w:p w14:paraId="50A4FF0F" w14:textId="77777777" w:rsidR="007D7243" w:rsidRPr="00EF2F18" w:rsidRDefault="007D7243" w:rsidP="007D7243">
      <w:pPr>
        <w:tabs>
          <w:tab w:val="left" w:pos="1940"/>
        </w:tabs>
        <w:spacing w:after="0"/>
        <w:rPr>
          <w:rFonts w:cs="Times New Roman"/>
          <w:sz w:val="20"/>
          <w:szCs w:val="20"/>
          <w:lang w:val="sr-Cyrl-RS"/>
        </w:rPr>
      </w:pPr>
    </w:p>
    <w:tbl>
      <w:tblPr>
        <w:tblW w:w="13477" w:type="dxa"/>
        <w:tblLook w:val="04A0" w:firstRow="1" w:lastRow="0" w:firstColumn="1" w:lastColumn="0" w:noHBand="0" w:noVBand="1"/>
      </w:tblPr>
      <w:tblGrid>
        <w:gridCol w:w="3238"/>
        <w:gridCol w:w="1278"/>
        <w:gridCol w:w="1300"/>
        <w:gridCol w:w="1007"/>
        <w:gridCol w:w="988"/>
        <w:gridCol w:w="1517"/>
        <w:gridCol w:w="1060"/>
        <w:gridCol w:w="1379"/>
        <w:gridCol w:w="1710"/>
      </w:tblGrid>
      <w:tr w:rsidR="007D7243" w:rsidRPr="00EF2F18" w14:paraId="13608ECB" w14:textId="77777777" w:rsidTr="00EF0900">
        <w:trPr>
          <w:trHeight w:val="336"/>
        </w:trPr>
        <w:tc>
          <w:tcPr>
            <w:tcW w:w="1347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4D9D22A"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lastRenderedPageBreak/>
              <w:t>Мера 5.2.1: Подршка инвестицијама у производњу енергије из обновљивих извора на пољопривредним газдинствима</w:t>
            </w:r>
          </w:p>
        </w:tc>
      </w:tr>
      <w:tr w:rsidR="007D7243" w:rsidRPr="00EF2F18" w14:paraId="55913441" w14:textId="77777777" w:rsidTr="00EF0900">
        <w:trPr>
          <w:trHeight w:val="336"/>
        </w:trPr>
        <w:tc>
          <w:tcPr>
            <w:tcW w:w="1347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7A52CD0C"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рударства и енергетике </w:t>
            </w:r>
          </w:p>
        </w:tc>
      </w:tr>
      <w:tr w:rsidR="007D7243" w:rsidRPr="00EF2F18" w14:paraId="1C2FB893" w14:textId="77777777" w:rsidTr="00EF0900">
        <w:trPr>
          <w:trHeight w:val="336"/>
        </w:trPr>
        <w:tc>
          <w:tcPr>
            <w:tcW w:w="6823"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E8E74DC" w14:textId="232C40E0"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CC76FE"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654" w:type="dxa"/>
            <w:gridSpan w:val="5"/>
            <w:tcBorders>
              <w:top w:val="double" w:sz="6" w:space="0" w:color="auto"/>
              <w:left w:val="nil"/>
              <w:bottom w:val="double" w:sz="6" w:space="0" w:color="auto"/>
              <w:right w:val="double" w:sz="6" w:space="0" w:color="auto"/>
            </w:tcBorders>
            <w:shd w:val="clear" w:color="000000" w:fill="F7CAAC"/>
            <w:hideMark/>
          </w:tcPr>
          <w:p w14:paraId="7A25EE3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7D7243" w:rsidRPr="00EF2F18" w14:paraId="51E4D985" w14:textId="77777777" w:rsidTr="00EF0900">
        <w:trPr>
          <w:trHeight w:val="336"/>
        </w:trPr>
        <w:tc>
          <w:tcPr>
            <w:tcW w:w="6823"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6DC8B318"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54" w:type="dxa"/>
            <w:gridSpan w:val="5"/>
            <w:tcBorders>
              <w:top w:val="double" w:sz="6" w:space="0" w:color="auto"/>
              <w:left w:val="nil"/>
              <w:bottom w:val="double" w:sz="6" w:space="0" w:color="auto"/>
              <w:right w:val="double" w:sz="6" w:space="0" w:color="auto"/>
            </w:tcBorders>
            <w:shd w:val="clear" w:color="000000" w:fill="F7CAAC"/>
            <w:hideMark/>
          </w:tcPr>
          <w:p w14:paraId="478B9BCD"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C76FE" w:rsidRPr="00EF2F18" w14:paraId="40067C03" w14:textId="77777777" w:rsidTr="00EF0900">
        <w:trPr>
          <w:trHeight w:val="816"/>
        </w:trPr>
        <w:tc>
          <w:tcPr>
            <w:tcW w:w="3238" w:type="dxa"/>
            <w:tcBorders>
              <w:top w:val="nil"/>
              <w:left w:val="double" w:sz="6" w:space="0" w:color="auto"/>
              <w:bottom w:val="double" w:sz="6" w:space="0" w:color="auto"/>
              <w:right w:val="single" w:sz="8" w:space="0" w:color="auto"/>
            </w:tcBorders>
            <w:shd w:val="clear" w:color="000000" w:fill="D9D9D9"/>
            <w:hideMark/>
          </w:tcPr>
          <w:p w14:paraId="5379992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78" w:type="dxa"/>
            <w:tcBorders>
              <w:top w:val="nil"/>
              <w:left w:val="nil"/>
              <w:bottom w:val="double" w:sz="6" w:space="0" w:color="auto"/>
              <w:right w:val="single" w:sz="8" w:space="0" w:color="auto"/>
            </w:tcBorders>
            <w:shd w:val="clear" w:color="000000" w:fill="D9D9D9"/>
            <w:hideMark/>
          </w:tcPr>
          <w:p w14:paraId="7AF6800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300" w:type="dxa"/>
            <w:tcBorders>
              <w:top w:val="nil"/>
              <w:left w:val="nil"/>
              <w:bottom w:val="double" w:sz="6" w:space="0" w:color="auto"/>
              <w:right w:val="single" w:sz="8" w:space="0" w:color="auto"/>
            </w:tcBorders>
            <w:shd w:val="clear" w:color="000000" w:fill="D9D9D9"/>
            <w:hideMark/>
          </w:tcPr>
          <w:p w14:paraId="5D9B8D1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95" w:type="dxa"/>
            <w:gridSpan w:val="2"/>
            <w:tcBorders>
              <w:top w:val="double" w:sz="6" w:space="0" w:color="auto"/>
              <w:left w:val="nil"/>
              <w:bottom w:val="double" w:sz="6" w:space="0" w:color="auto"/>
              <w:right w:val="single" w:sz="8" w:space="0" w:color="000000"/>
            </w:tcBorders>
            <w:shd w:val="clear" w:color="000000" w:fill="D9D9D9"/>
            <w:hideMark/>
          </w:tcPr>
          <w:p w14:paraId="337FF2A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517" w:type="dxa"/>
            <w:tcBorders>
              <w:top w:val="nil"/>
              <w:left w:val="nil"/>
              <w:bottom w:val="double" w:sz="6" w:space="0" w:color="auto"/>
              <w:right w:val="single" w:sz="8" w:space="0" w:color="auto"/>
            </w:tcBorders>
            <w:shd w:val="clear" w:color="000000" w:fill="D9D9D9"/>
            <w:hideMark/>
          </w:tcPr>
          <w:p w14:paraId="4E8C1DC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2CE018F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79" w:type="dxa"/>
            <w:tcBorders>
              <w:top w:val="nil"/>
              <w:left w:val="nil"/>
              <w:bottom w:val="double" w:sz="6" w:space="0" w:color="auto"/>
              <w:right w:val="single" w:sz="8" w:space="0" w:color="auto"/>
            </w:tcBorders>
            <w:shd w:val="clear" w:color="000000" w:fill="D9D9D9"/>
            <w:hideMark/>
          </w:tcPr>
          <w:p w14:paraId="2C2A9CC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tcBorders>
              <w:top w:val="nil"/>
              <w:left w:val="nil"/>
              <w:bottom w:val="double" w:sz="6" w:space="0" w:color="auto"/>
              <w:right w:val="double" w:sz="6" w:space="0" w:color="auto"/>
            </w:tcBorders>
            <w:shd w:val="clear" w:color="000000" w:fill="D9D9D9"/>
            <w:hideMark/>
          </w:tcPr>
          <w:p w14:paraId="79CCC74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430F90D1" w14:textId="77777777" w:rsidTr="00EF0900">
        <w:trPr>
          <w:trHeight w:val="1080"/>
        </w:trPr>
        <w:tc>
          <w:tcPr>
            <w:tcW w:w="3238" w:type="dxa"/>
            <w:tcBorders>
              <w:top w:val="nil"/>
              <w:left w:val="double" w:sz="6" w:space="0" w:color="auto"/>
              <w:bottom w:val="double" w:sz="6" w:space="0" w:color="auto"/>
              <w:right w:val="single" w:sz="8" w:space="0" w:color="auto"/>
            </w:tcBorders>
            <w:shd w:val="clear" w:color="000000" w:fill="FFFFFF"/>
            <w:hideMark/>
          </w:tcPr>
          <w:p w14:paraId="53D04AFE"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подржаних инвестиција у инсталације за обновљиву енергију за потрошњу на газдинству: соларна енергија, биомаса, биогас, укупно</w:t>
            </w:r>
          </w:p>
        </w:tc>
        <w:tc>
          <w:tcPr>
            <w:tcW w:w="1278" w:type="dxa"/>
            <w:tcBorders>
              <w:top w:val="nil"/>
              <w:left w:val="nil"/>
              <w:bottom w:val="double" w:sz="6" w:space="0" w:color="auto"/>
              <w:right w:val="single" w:sz="8" w:space="0" w:color="auto"/>
            </w:tcBorders>
            <w:shd w:val="clear" w:color="000000" w:fill="FFFFFF"/>
            <w:hideMark/>
          </w:tcPr>
          <w:p w14:paraId="78D9CC2F" w14:textId="17F1750A"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300" w:type="dxa"/>
            <w:tcBorders>
              <w:top w:val="nil"/>
              <w:left w:val="nil"/>
              <w:bottom w:val="double" w:sz="6" w:space="0" w:color="auto"/>
              <w:right w:val="single" w:sz="8" w:space="0" w:color="auto"/>
            </w:tcBorders>
            <w:shd w:val="clear" w:color="000000" w:fill="FFFFFF"/>
            <w:hideMark/>
          </w:tcPr>
          <w:p w14:paraId="567B261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МРЕ</w:t>
            </w:r>
          </w:p>
        </w:tc>
        <w:tc>
          <w:tcPr>
            <w:tcW w:w="1995" w:type="dxa"/>
            <w:gridSpan w:val="2"/>
            <w:tcBorders>
              <w:top w:val="double" w:sz="6" w:space="0" w:color="auto"/>
              <w:left w:val="nil"/>
              <w:bottom w:val="double" w:sz="6" w:space="0" w:color="auto"/>
              <w:right w:val="single" w:sz="8" w:space="0" w:color="000000"/>
            </w:tcBorders>
            <w:shd w:val="clear" w:color="000000" w:fill="FFFFFF"/>
            <w:hideMark/>
          </w:tcPr>
          <w:p w14:paraId="4D70A29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w:t>
            </w:r>
          </w:p>
        </w:tc>
        <w:tc>
          <w:tcPr>
            <w:tcW w:w="1517" w:type="dxa"/>
            <w:tcBorders>
              <w:top w:val="double" w:sz="6" w:space="0" w:color="auto"/>
              <w:left w:val="nil"/>
              <w:bottom w:val="double" w:sz="6" w:space="0" w:color="auto"/>
              <w:right w:val="single" w:sz="4" w:space="0" w:color="auto"/>
            </w:tcBorders>
            <w:shd w:val="clear" w:color="000000" w:fill="FFFFFF"/>
            <w:hideMark/>
          </w:tcPr>
          <w:p w14:paraId="751B103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060" w:type="dxa"/>
            <w:tcBorders>
              <w:top w:val="double" w:sz="6" w:space="0" w:color="auto"/>
              <w:left w:val="single" w:sz="4" w:space="0" w:color="auto"/>
              <w:bottom w:val="double" w:sz="6" w:space="0" w:color="auto"/>
              <w:right w:val="single" w:sz="4" w:space="0" w:color="auto"/>
            </w:tcBorders>
            <w:shd w:val="clear" w:color="000000" w:fill="FFFFFF"/>
            <w:hideMark/>
          </w:tcPr>
          <w:p w14:paraId="154BCB0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w:t>
            </w:r>
          </w:p>
        </w:tc>
        <w:tc>
          <w:tcPr>
            <w:tcW w:w="1379" w:type="dxa"/>
            <w:tcBorders>
              <w:top w:val="double" w:sz="6" w:space="0" w:color="auto"/>
              <w:left w:val="single" w:sz="4" w:space="0" w:color="auto"/>
              <w:bottom w:val="double" w:sz="6" w:space="0" w:color="auto"/>
              <w:right w:val="single" w:sz="4" w:space="0" w:color="auto"/>
            </w:tcBorders>
            <w:shd w:val="clear" w:color="000000" w:fill="FFFFFF"/>
            <w:hideMark/>
          </w:tcPr>
          <w:p w14:paraId="17B8FE7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17</w:t>
            </w:r>
          </w:p>
        </w:tc>
        <w:tc>
          <w:tcPr>
            <w:tcW w:w="1710" w:type="dxa"/>
            <w:tcBorders>
              <w:top w:val="double" w:sz="6" w:space="0" w:color="auto"/>
              <w:left w:val="single" w:sz="4" w:space="0" w:color="auto"/>
              <w:bottom w:val="double" w:sz="6" w:space="0" w:color="auto"/>
              <w:right w:val="double" w:sz="6" w:space="0" w:color="auto"/>
            </w:tcBorders>
            <w:shd w:val="clear" w:color="000000" w:fill="FFFFFF"/>
            <w:hideMark/>
          </w:tcPr>
          <w:p w14:paraId="2F07388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r>
    </w:tbl>
    <w:p w14:paraId="4733879A" w14:textId="77777777" w:rsidR="007D7243" w:rsidRPr="00EF2F18" w:rsidRDefault="007D7243" w:rsidP="007D7243">
      <w:pPr>
        <w:tabs>
          <w:tab w:val="left" w:pos="1940"/>
        </w:tabs>
        <w:spacing w:after="0"/>
        <w:rPr>
          <w:rFonts w:cs="Times New Roman"/>
          <w:sz w:val="20"/>
          <w:szCs w:val="20"/>
          <w:lang w:val="sr-Cyrl-RS"/>
        </w:rPr>
      </w:pPr>
    </w:p>
    <w:tbl>
      <w:tblPr>
        <w:tblW w:w="13567" w:type="dxa"/>
        <w:tblLook w:val="04A0" w:firstRow="1" w:lastRow="0" w:firstColumn="1" w:lastColumn="0" w:noHBand="0" w:noVBand="1"/>
      </w:tblPr>
      <w:tblGrid>
        <w:gridCol w:w="3800"/>
        <w:gridCol w:w="2480"/>
        <w:gridCol w:w="1820"/>
        <w:gridCol w:w="1820"/>
        <w:gridCol w:w="3640"/>
        <w:gridCol w:w="7"/>
      </w:tblGrid>
      <w:tr w:rsidR="007D7243" w:rsidRPr="00EF2F18" w14:paraId="49ED222A" w14:textId="77777777" w:rsidTr="00CC76FE">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EE60B7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A51C87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2E85467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C76FE" w:rsidRPr="00EF2F18" w14:paraId="718BCC78" w14:textId="77777777" w:rsidTr="00CC76FE">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2944846B" w14:textId="77777777" w:rsidR="00CC76FE" w:rsidRPr="00EF2F18" w:rsidRDefault="00CC76FE"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4498CA92" w14:textId="77777777" w:rsidR="00CC76FE" w:rsidRPr="00EF2F18" w:rsidRDefault="00CC76FE"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7F947D7B" w14:textId="20DF870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 године</w:t>
            </w:r>
          </w:p>
        </w:tc>
        <w:tc>
          <w:tcPr>
            <w:tcW w:w="1820" w:type="dxa"/>
            <w:tcBorders>
              <w:top w:val="nil"/>
              <w:left w:val="nil"/>
              <w:bottom w:val="double" w:sz="6" w:space="0" w:color="auto"/>
              <w:right w:val="double" w:sz="6" w:space="0" w:color="auto"/>
            </w:tcBorders>
            <w:shd w:val="clear" w:color="000000" w:fill="A8D08D"/>
            <w:hideMark/>
          </w:tcPr>
          <w:p w14:paraId="7E9EDC4E" w14:textId="0C78654C"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 године</w:t>
            </w:r>
          </w:p>
        </w:tc>
        <w:tc>
          <w:tcPr>
            <w:tcW w:w="3647" w:type="dxa"/>
            <w:gridSpan w:val="2"/>
            <w:tcBorders>
              <w:top w:val="nil"/>
              <w:left w:val="nil"/>
              <w:bottom w:val="double" w:sz="6" w:space="0" w:color="auto"/>
              <w:right w:val="double" w:sz="6" w:space="0" w:color="auto"/>
            </w:tcBorders>
            <w:shd w:val="clear" w:color="000000" w:fill="A8D08D"/>
            <w:hideMark/>
          </w:tcPr>
          <w:p w14:paraId="2F7689A8" w14:textId="37DD0E0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2028. године</w:t>
            </w:r>
          </w:p>
        </w:tc>
      </w:tr>
      <w:tr w:rsidR="00CC76FE" w:rsidRPr="00EF2F18" w14:paraId="5E1BA4E5" w14:textId="77777777" w:rsidTr="00CC76FE">
        <w:trPr>
          <w:trHeight w:val="324"/>
        </w:trPr>
        <w:tc>
          <w:tcPr>
            <w:tcW w:w="3800" w:type="dxa"/>
            <w:tcBorders>
              <w:top w:val="nil"/>
              <w:left w:val="double" w:sz="6" w:space="0" w:color="auto"/>
              <w:bottom w:val="double" w:sz="6" w:space="0" w:color="auto"/>
              <w:right w:val="double" w:sz="6" w:space="0" w:color="auto"/>
            </w:tcBorders>
            <w:hideMark/>
          </w:tcPr>
          <w:p w14:paraId="1B2FFAA7" w14:textId="4E83ABEA" w:rsidR="00CC76FE" w:rsidRPr="00EF2F18" w:rsidRDefault="00CC76FE" w:rsidP="00752CA0">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hideMark/>
          </w:tcPr>
          <w:p w14:paraId="1AAF913E" w14:textId="77777777" w:rsidR="00CC76FE" w:rsidRPr="00EF2F18" w:rsidRDefault="00CC76FE"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tcPr>
          <w:p w14:paraId="7770077D" w14:textId="376C57B1" w:rsidR="00CC76FE" w:rsidRPr="00EF2F18" w:rsidRDefault="00CC76FE" w:rsidP="00752CA0">
            <w:pPr>
              <w:spacing w:after="0"/>
              <w:jc w:val="right"/>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tcPr>
          <w:p w14:paraId="1FDC2E1D" w14:textId="25292B3C" w:rsidR="00CC76FE" w:rsidRPr="00EF2F18" w:rsidRDefault="00CC76FE" w:rsidP="00752CA0">
            <w:pPr>
              <w:spacing w:after="0"/>
              <w:jc w:val="right"/>
              <w:rPr>
                <w:rFonts w:eastAsia="Times New Roman" w:cs="Times New Roman"/>
                <w:color w:val="000000"/>
                <w:sz w:val="20"/>
                <w:szCs w:val="20"/>
                <w:lang w:val="sr-Cyrl-RS" w:eastAsia="en-GB"/>
              </w:rPr>
            </w:pPr>
          </w:p>
        </w:tc>
        <w:tc>
          <w:tcPr>
            <w:tcW w:w="3647" w:type="dxa"/>
            <w:gridSpan w:val="2"/>
            <w:tcBorders>
              <w:top w:val="nil"/>
              <w:left w:val="nil"/>
              <w:bottom w:val="double" w:sz="6" w:space="0" w:color="auto"/>
              <w:right w:val="double" w:sz="6" w:space="0" w:color="auto"/>
            </w:tcBorders>
          </w:tcPr>
          <w:p w14:paraId="5CE1D0FF" w14:textId="2654FAE0" w:rsidR="00CC76FE" w:rsidRPr="00EF2F18" w:rsidRDefault="00CC76FE" w:rsidP="00752CA0">
            <w:pPr>
              <w:spacing w:after="0"/>
              <w:jc w:val="right"/>
              <w:rPr>
                <w:rFonts w:eastAsia="Times New Roman" w:cs="Times New Roman"/>
                <w:color w:val="000000"/>
                <w:sz w:val="20"/>
                <w:szCs w:val="20"/>
                <w:lang w:val="sr-Cyrl-RS" w:eastAsia="en-GB"/>
              </w:rPr>
            </w:pPr>
          </w:p>
        </w:tc>
      </w:tr>
    </w:tbl>
    <w:p w14:paraId="6591D25C" w14:textId="77777777" w:rsidR="007D7243" w:rsidRPr="00EF2F18" w:rsidRDefault="007D7243" w:rsidP="007D7243">
      <w:pPr>
        <w:tabs>
          <w:tab w:val="left" w:pos="1940"/>
        </w:tabs>
        <w:spacing w:after="0"/>
        <w:rPr>
          <w:rFonts w:cs="Times New Roman"/>
          <w:sz w:val="20"/>
          <w:szCs w:val="20"/>
          <w:lang w:val="sr-Cyrl-RS"/>
        </w:rPr>
      </w:pPr>
    </w:p>
    <w:tbl>
      <w:tblPr>
        <w:tblW w:w="13567" w:type="dxa"/>
        <w:tblLayout w:type="fixed"/>
        <w:tblLook w:val="04A0" w:firstRow="1" w:lastRow="0" w:firstColumn="1" w:lastColumn="0" w:noHBand="0" w:noVBand="1"/>
      </w:tblPr>
      <w:tblGrid>
        <w:gridCol w:w="3096"/>
        <w:gridCol w:w="1271"/>
        <w:gridCol w:w="1139"/>
        <w:gridCol w:w="1182"/>
        <w:gridCol w:w="1399"/>
        <w:gridCol w:w="1340"/>
        <w:gridCol w:w="1027"/>
        <w:gridCol w:w="1313"/>
        <w:gridCol w:w="1800"/>
      </w:tblGrid>
      <w:tr w:rsidR="007D7243" w:rsidRPr="00EF2F18" w14:paraId="3358A79E" w14:textId="77777777" w:rsidTr="00CC76FE">
        <w:trPr>
          <w:trHeight w:val="732"/>
        </w:trPr>
        <w:tc>
          <w:tcPr>
            <w:tcW w:w="3096"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640063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27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13B29F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13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5C50B1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Oргани партнери у </w:t>
            </w:r>
            <w:r w:rsidRPr="00694F76">
              <w:rPr>
                <w:rFonts w:eastAsia="Times New Roman" w:cs="Times New Roman"/>
                <w:color w:val="000000"/>
                <w:sz w:val="18"/>
                <w:szCs w:val="18"/>
                <w:lang w:val="sr-Cyrl-RS" w:eastAsia="en-GB"/>
              </w:rPr>
              <w:t>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346896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39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41328B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0EA41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4140" w:type="dxa"/>
            <w:gridSpan w:val="3"/>
            <w:tcBorders>
              <w:top w:val="double" w:sz="6" w:space="0" w:color="auto"/>
              <w:left w:val="nil"/>
              <w:bottom w:val="single" w:sz="8" w:space="0" w:color="auto"/>
              <w:right w:val="double" w:sz="6" w:space="0" w:color="auto"/>
            </w:tcBorders>
            <w:shd w:val="clear" w:color="000000" w:fill="FFF2CC"/>
            <w:hideMark/>
          </w:tcPr>
          <w:p w14:paraId="02B9F78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C76FE" w:rsidRPr="00EF2F18" w14:paraId="47B7E1DD" w14:textId="77777777" w:rsidTr="00CC76FE">
        <w:trPr>
          <w:trHeight w:val="324"/>
        </w:trPr>
        <w:tc>
          <w:tcPr>
            <w:tcW w:w="3096" w:type="dxa"/>
            <w:vMerge/>
            <w:tcBorders>
              <w:top w:val="double" w:sz="6" w:space="0" w:color="auto"/>
              <w:left w:val="double" w:sz="6" w:space="0" w:color="auto"/>
              <w:bottom w:val="single" w:sz="8" w:space="0" w:color="000000"/>
              <w:right w:val="single" w:sz="8" w:space="0" w:color="auto"/>
            </w:tcBorders>
            <w:vAlign w:val="center"/>
            <w:hideMark/>
          </w:tcPr>
          <w:p w14:paraId="6B232221" w14:textId="77777777" w:rsidR="00CC76FE" w:rsidRPr="00EF2F18" w:rsidRDefault="00CC76FE" w:rsidP="00752CA0">
            <w:pPr>
              <w:spacing w:after="0"/>
              <w:rPr>
                <w:rFonts w:eastAsia="Times New Roman" w:cs="Times New Roman"/>
                <w:color w:val="000000"/>
                <w:sz w:val="20"/>
                <w:szCs w:val="20"/>
                <w:lang w:val="sr-Cyrl-RS" w:eastAsia="en-GB"/>
              </w:rPr>
            </w:pPr>
          </w:p>
        </w:tc>
        <w:tc>
          <w:tcPr>
            <w:tcW w:w="1271" w:type="dxa"/>
            <w:vMerge/>
            <w:tcBorders>
              <w:top w:val="double" w:sz="6" w:space="0" w:color="auto"/>
              <w:left w:val="single" w:sz="8" w:space="0" w:color="auto"/>
              <w:bottom w:val="single" w:sz="8" w:space="0" w:color="000000"/>
              <w:right w:val="single" w:sz="8" w:space="0" w:color="auto"/>
            </w:tcBorders>
            <w:vAlign w:val="center"/>
            <w:hideMark/>
          </w:tcPr>
          <w:p w14:paraId="3DE132A4" w14:textId="77777777" w:rsidR="00CC76FE" w:rsidRPr="00EF2F18" w:rsidRDefault="00CC76FE" w:rsidP="00752CA0">
            <w:pPr>
              <w:spacing w:after="0"/>
              <w:rPr>
                <w:rFonts w:eastAsia="Times New Roman" w:cs="Times New Roman"/>
                <w:color w:val="000000"/>
                <w:sz w:val="20"/>
                <w:szCs w:val="20"/>
                <w:lang w:val="sr-Cyrl-RS" w:eastAsia="en-GB"/>
              </w:rPr>
            </w:pPr>
          </w:p>
        </w:tc>
        <w:tc>
          <w:tcPr>
            <w:tcW w:w="1139" w:type="dxa"/>
            <w:vMerge/>
            <w:tcBorders>
              <w:top w:val="double" w:sz="6" w:space="0" w:color="auto"/>
              <w:left w:val="single" w:sz="8" w:space="0" w:color="auto"/>
              <w:bottom w:val="single" w:sz="8" w:space="0" w:color="000000"/>
              <w:right w:val="single" w:sz="8" w:space="0" w:color="auto"/>
            </w:tcBorders>
            <w:vAlign w:val="center"/>
            <w:hideMark/>
          </w:tcPr>
          <w:p w14:paraId="036091BA" w14:textId="77777777" w:rsidR="00CC76FE" w:rsidRPr="00EF2F18" w:rsidRDefault="00CC76FE"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2AC33F60" w14:textId="77777777" w:rsidR="00CC76FE" w:rsidRPr="00EF2F18" w:rsidRDefault="00CC76FE" w:rsidP="00752CA0">
            <w:pPr>
              <w:spacing w:after="0"/>
              <w:rPr>
                <w:rFonts w:eastAsia="Times New Roman" w:cs="Times New Roman"/>
                <w:color w:val="000000"/>
                <w:sz w:val="20"/>
                <w:szCs w:val="20"/>
                <w:lang w:val="sr-Cyrl-RS" w:eastAsia="en-GB"/>
              </w:rPr>
            </w:pPr>
          </w:p>
        </w:tc>
        <w:tc>
          <w:tcPr>
            <w:tcW w:w="1399" w:type="dxa"/>
            <w:vMerge/>
            <w:tcBorders>
              <w:top w:val="double" w:sz="6" w:space="0" w:color="auto"/>
              <w:left w:val="single" w:sz="8" w:space="0" w:color="auto"/>
              <w:bottom w:val="single" w:sz="8" w:space="0" w:color="000000"/>
              <w:right w:val="single" w:sz="8" w:space="0" w:color="auto"/>
            </w:tcBorders>
            <w:vAlign w:val="center"/>
            <w:hideMark/>
          </w:tcPr>
          <w:p w14:paraId="1F62FF33" w14:textId="77777777" w:rsidR="00CC76FE" w:rsidRPr="00EF2F18" w:rsidRDefault="00CC76FE"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33E4F948" w14:textId="77777777" w:rsidR="00CC76FE" w:rsidRPr="00EF2F18" w:rsidRDefault="00CC76FE" w:rsidP="00752CA0">
            <w:pPr>
              <w:spacing w:after="0"/>
              <w:rPr>
                <w:rFonts w:eastAsia="Times New Roman" w:cs="Times New Roman"/>
                <w:color w:val="000000"/>
                <w:sz w:val="20"/>
                <w:szCs w:val="20"/>
                <w:lang w:val="sr-Cyrl-RS" w:eastAsia="en-GB"/>
              </w:rPr>
            </w:pPr>
          </w:p>
        </w:tc>
        <w:tc>
          <w:tcPr>
            <w:tcW w:w="1027" w:type="dxa"/>
            <w:tcBorders>
              <w:top w:val="nil"/>
              <w:left w:val="nil"/>
              <w:bottom w:val="single" w:sz="8" w:space="0" w:color="auto"/>
              <w:right w:val="single" w:sz="8" w:space="0" w:color="auto"/>
            </w:tcBorders>
            <w:shd w:val="clear" w:color="000000" w:fill="FFF2CC"/>
            <w:hideMark/>
          </w:tcPr>
          <w:p w14:paraId="0458DA2D" w14:textId="004C17A0"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313" w:type="dxa"/>
            <w:tcBorders>
              <w:top w:val="nil"/>
              <w:left w:val="nil"/>
              <w:bottom w:val="single" w:sz="8" w:space="0" w:color="auto"/>
              <w:right w:val="single" w:sz="8" w:space="0" w:color="auto"/>
            </w:tcBorders>
            <w:shd w:val="clear" w:color="000000" w:fill="FFF2CC"/>
            <w:hideMark/>
          </w:tcPr>
          <w:p w14:paraId="5FB6B61B" w14:textId="7876A94B"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2027.</w:t>
            </w:r>
          </w:p>
        </w:tc>
        <w:tc>
          <w:tcPr>
            <w:tcW w:w="1800" w:type="dxa"/>
            <w:tcBorders>
              <w:top w:val="nil"/>
              <w:left w:val="nil"/>
              <w:bottom w:val="single" w:sz="8" w:space="0" w:color="auto"/>
              <w:right w:val="double" w:sz="6" w:space="0" w:color="auto"/>
            </w:tcBorders>
            <w:shd w:val="clear" w:color="000000" w:fill="FFF2CC"/>
            <w:hideMark/>
          </w:tcPr>
          <w:p w14:paraId="7F7507C4" w14:textId="4F2F1F85"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w:t>
            </w:r>
          </w:p>
        </w:tc>
      </w:tr>
      <w:tr w:rsidR="00CC76FE" w:rsidRPr="00EF2F18" w14:paraId="7C37526E" w14:textId="77777777" w:rsidTr="00694F76">
        <w:trPr>
          <w:trHeight w:val="2364"/>
        </w:trPr>
        <w:tc>
          <w:tcPr>
            <w:tcW w:w="3096" w:type="dxa"/>
            <w:tcBorders>
              <w:top w:val="single" w:sz="4" w:space="0" w:color="auto"/>
              <w:left w:val="double" w:sz="6" w:space="0" w:color="auto"/>
              <w:bottom w:val="double" w:sz="6" w:space="0" w:color="auto"/>
              <w:right w:val="single" w:sz="8" w:space="0" w:color="auto"/>
            </w:tcBorders>
            <w:hideMark/>
          </w:tcPr>
          <w:p w14:paraId="7460B845" w14:textId="47DBA396"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5.2.1.1. Годишња додела подстицаја инвестицијама за производњу електричне енергије из обновљивих извора субјектима у пољопривредно-прехрамбеном сек</w:t>
            </w:r>
            <w:r w:rsidR="00E33D25">
              <w:rPr>
                <w:rFonts w:eastAsia="Times New Roman" w:cs="Times New Roman"/>
                <w:color w:val="000000"/>
                <w:sz w:val="20"/>
                <w:szCs w:val="20"/>
                <w:lang w:val="sr-Cyrl-RS" w:eastAsia="en-GB"/>
              </w:rPr>
              <w:t>то</w:t>
            </w:r>
            <w:r w:rsidRPr="00EF2F18">
              <w:rPr>
                <w:rFonts w:eastAsia="Times New Roman" w:cs="Times New Roman"/>
                <w:color w:val="000000"/>
                <w:sz w:val="20"/>
                <w:szCs w:val="20"/>
                <w:lang w:val="sr-Cyrl-RS" w:eastAsia="en-GB"/>
              </w:rPr>
              <w:t>ру (посебно за соларну енергију, постројења на биомасу и котлове за сагоревање биомасе, пост</w:t>
            </w:r>
            <w:r w:rsidR="00B649CF">
              <w:rPr>
                <w:rFonts w:eastAsia="Times New Roman" w:cs="Times New Roman"/>
                <w:color w:val="000000"/>
                <w:sz w:val="20"/>
                <w:szCs w:val="20"/>
                <w:lang w:val="sr-Cyrl-RS" w:eastAsia="en-GB"/>
              </w:rPr>
              <w:t>р</w:t>
            </w:r>
            <w:r w:rsidRPr="00EF2F18">
              <w:rPr>
                <w:rFonts w:eastAsia="Times New Roman" w:cs="Times New Roman"/>
                <w:color w:val="000000"/>
                <w:sz w:val="20"/>
                <w:szCs w:val="20"/>
                <w:lang w:val="sr-Cyrl-RS" w:eastAsia="en-GB"/>
              </w:rPr>
              <w:t xml:space="preserve">ојења за биогас) </w:t>
            </w:r>
          </w:p>
        </w:tc>
        <w:tc>
          <w:tcPr>
            <w:tcW w:w="1271" w:type="dxa"/>
            <w:tcBorders>
              <w:top w:val="single" w:sz="4" w:space="0" w:color="auto"/>
              <w:left w:val="nil"/>
              <w:bottom w:val="double" w:sz="6" w:space="0" w:color="auto"/>
              <w:right w:val="single" w:sz="8" w:space="0" w:color="auto"/>
            </w:tcBorders>
            <w:hideMark/>
          </w:tcPr>
          <w:p w14:paraId="3D8A18D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МРЕ</w:t>
            </w:r>
          </w:p>
        </w:tc>
        <w:tc>
          <w:tcPr>
            <w:tcW w:w="1139" w:type="dxa"/>
            <w:tcBorders>
              <w:top w:val="single" w:sz="4" w:space="0" w:color="auto"/>
              <w:left w:val="nil"/>
              <w:bottom w:val="double" w:sz="6" w:space="0" w:color="auto"/>
              <w:right w:val="single" w:sz="8" w:space="0" w:color="auto"/>
            </w:tcBorders>
            <w:hideMark/>
          </w:tcPr>
          <w:p w14:paraId="75E8C267"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 МТО, ПСПВШ, ПКС, ЈЛС</w:t>
            </w:r>
          </w:p>
        </w:tc>
        <w:tc>
          <w:tcPr>
            <w:tcW w:w="1182" w:type="dxa"/>
            <w:tcBorders>
              <w:top w:val="single" w:sz="4" w:space="0" w:color="auto"/>
              <w:left w:val="nil"/>
              <w:bottom w:val="double" w:sz="6" w:space="0" w:color="auto"/>
              <w:right w:val="single" w:sz="8" w:space="0" w:color="auto"/>
            </w:tcBorders>
            <w:hideMark/>
          </w:tcPr>
          <w:p w14:paraId="7D76EDB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399" w:type="dxa"/>
            <w:tcBorders>
              <w:top w:val="single" w:sz="4" w:space="0" w:color="auto"/>
              <w:left w:val="nil"/>
              <w:bottom w:val="double" w:sz="6" w:space="0" w:color="auto"/>
              <w:right w:val="single" w:sz="8" w:space="0" w:color="auto"/>
            </w:tcBorders>
            <w:hideMark/>
          </w:tcPr>
          <w:p w14:paraId="568B6378" w14:textId="343C64CE"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40" w:type="dxa"/>
            <w:tcBorders>
              <w:top w:val="single" w:sz="4" w:space="0" w:color="auto"/>
              <w:left w:val="nil"/>
              <w:bottom w:val="double" w:sz="6" w:space="0" w:color="auto"/>
              <w:right w:val="single" w:sz="8" w:space="0" w:color="auto"/>
            </w:tcBorders>
            <w:hideMark/>
          </w:tcPr>
          <w:p w14:paraId="3C73DD84" w14:textId="77777777" w:rsidR="00CC76FE" w:rsidRPr="00EF2F18" w:rsidRDefault="00CC76FE" w:rsidP="00752CA0">
            <w:pPr>
              <w:spacing w:after="0"/>
              <w:rPr>
                <w:rFonts w:eastAsia="Times New Roman" w:cs="Times New Roman"/>
                <w:color w:val="000000"/>
                <w:sz w:val="20"/>
                <w:szCs w:val="20"/>
                <w:lang w:val="sr-Cyrl-RS" w:eastAsia="en-GB"/>
              </w:rPr>
            </w:pPr>
          </w:p>
        </w:tc>
        <w:tc>
          <w:tcPr>
            <w:tcW w:w="1027" w:type="dxa"/>
            <w:tcBorders>
              <w:top w:val="single" w:sz="4" w:space="0" w:color="auto"/>
              <w:left w:val="nil"/>
              <w:bottom w:val="double" w:sz="6" w:space="0" w:color="auto"/>
              <w:right w:val="single" w:sz="8" w:space="0" w:color="auto"/>
            </w:tcBorders>
          </w:tcPr>
          <w:p w14:paraId="33355219" w14:textId="1449619E" w:rsidR="00CC76FE" w:rsidRPr="00EF2F18" w:rsidRDefault="00CC76FE" w:rsidP="00752CA0">
            <w:pPr>
              <w:spacing w:after="0"/>
              <w:jc w:val="right"/>
              <w:rPr>
                <w:rFonts w:eastAsia="Times New Roman" w:cs="Times New Roman"/>
                <w:color w:val="000000"/>
                <w:sz w:val="20"/>
                <w:szCs w:val="20"/>
                <w:lang w:val="sr-Cyrl-RS" w:eastAsia="en-GB"/>
              </w:rPr>
            </w:pPr>
          </w:p>
        </w:tc>
        <w:tc>
          <w:tcPr>
            <w:tcW w:w="1313" w:type="dxa"/>
            <w:tcBorders>
              <w:top w:val="single" w:sz="4" w:space="0" w:color="auto"/>
              <w:left w:val="nil"/>
              <w:bottom w:val="double" w:sz="6" w:space="0" w:color="auto"/>
              <w:right w:val="single" w:sz="8" w:space="0" w:color="auto"/>
            </w:tcBorders>
          </w:tcPr>
          <w:p w14:paraId="1F9B6000" w14:textId="5B743606" w:rsidR="00CC76FE" w:rsidRPr="00EF2F18" w:rsidRDefault="00CC76FE" w:rsidP="00752CA0">
            <w:pPr>
              <w:spacing w:after="0"/>
              <w:jc w:val="right"/>
              <w:rPr>
                <w:rFonts w:eastAsia="Times New Roman" w:cs="Times New Roman"/>
                <w:color w:val="000000"/>
                <w:sz w:val="20"/>
                <w:szCs w:val="20"/>
                <w:lang w:val="sr-Cyrl-RS" w:eastAsia="en-GB"/>
              </w:rPr>
            </w:pPr>
          </w:p>
        </w:tc>
        <w:tc>
          <w:tcPr>
            <w:tcW w:w="1800" w:type="dxa"/>
            <w:tcBorders>
              <w:top w:val="single" w:sz="4" w:space="0" w:color="auto"/>
              <w:left w:val="nil"/>
              <w:bottom w:val="double" w:sz="6" w:space="0" w:color="auto"/>
              <w:right w:val="double" w:sz="6" w:space="0" w:color="auto"/>
            </w:tcBorders>
          </w:tcPr>
          <w:p w14:paraId="26BEAE74" w14:textId="30878E8B" w:rsidR="00CC76FE" w:rsidRPr="00EF2F18" w:rsidRDefault="00CC76FE" w:rsidP="00752CA0">
            <w:pPr>
              <w:spacing w:after="0"/>
              <w:jc w:val="right"/>
              <w:rPr>
                <w:rFonts w:eastAsia="Times New Roman" w:cs="Times New Roman"/>
                <w:color w:val="000000"/>
                <w:sz w:val="20"/>
                <w:szCs w:val="20"/>
                <w:lang w:val="sr-Cyrl-RS" w:eastAsia="en-GB"/>
              </w:rPr>
            </w:pPr>
          </w:p>
        </w:tc>
      </w:tr>
    </w:tbl>
    <w:p w14:paraId="7162524D" w14:textId="6577C23B" w:rsidR="007D7243" w:rsidRPr="00EF2F18" w:rsidRDefault="00573FE5" w:rsidP="007D7243">
      <w:pPr>
        <w:spacing w:after="0"/>
        <w:rPr>
          <w:rFonts w:cs="Times New Roman"/>
          <w:sz w:val="20"/>
          <w:szCs w:val="20"/>
          <w:lang w:val="sr-Cyrl-RS"/>
        </w:rPr>
      </w:pPr>
      <w:r w:rsidRPr="00EF2F18">
        <w:rPr>
          <w:rFonts w:cs="Times New Roman"/>
          <w:sz w:val="20"/>
          <w:szCs w:val="20"/>
          <w:lang w:val="sr-Cyrl-RS"/>
        </w:rPr>
        <w:lastRenderedPageBreak/>
        <w:t>* Извори финансирања и/или средства још увек нису утврђени и/или обезбеђени.</w:t>
      </w:r>
    </w:p>
    <w:p w14:paraId="6BB26B17" w14:textId="77777777" w:rsidR="00573FE5" w:rsidRPr="00EF2F18" w:rsidRDefault="00573FE5" w:rsidP="007D7243">
      <w:pPr>
        <w:spacing w:after="0"/>
        <w:rPr>
          <w:rFonts w:cs="Times New Roman"/>
          <w:sz w:val="20"/>
          <w:szCs w:val="20"/>
          <w:lang w:val="sr-Cyrl-RS"/>
        </w:rPr>
      </w:pPr>
    </w:p>
    <w:tbl>
      <w:tblPr>
        <w:tblW w:w="13657" w:type="dxa"/>
        <w:tblLook w:val="04A0" w:firstRow="1" w:lastRow="0" w:firstColumn="1" w:lastColumn="0" w:noHBand="0" w:noVBand="1"/>
      </w:tblPr>
      <w:tblGrid>
        <w:gridCol w:w="3310"/>
        <w:gridCol w:w="1279"/>
        <w:gridCol w:w="1300"/>
        <w:gridCol w:w="998"/>
        <w:gridCol w:w="997"/>
        <w:gridCol w:w="1516"/>
        <w:gridCol w:w="1060"/>
        <w:gridCol w:w="1397"/>
        <w:gridCol w:w="1783"/>
        <w:gridCol w:w="17"/>
      </w:tblGrid>
      <w:tr w:rsidR="007D7243" w:rsidRPr="00EF2F18" w14:paraId="5DB28815" w14:textId="77777777" w:rsidTr="00CC76FE">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3FC360D"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 xml:space="preserve">Мера 5.2.2: Подршка изградњи руралне инфраструктуре, заштити животне средине и очувању руралних предела </w:t>
            </w:r>
          </w:p>
        </w:tc>
      </w:tr>
      <w:tr w:rsidR="007D7243" w:rsidRPr="00EF2F18" w14:paraId="296580DC" w14:textId="77777777" w:rsidTr="00CC76FE">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251B7508"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пољопривреде, шумарства и водопривреде </w:t>
            </w:r>
          </w:p>
        </w:tc>
      </w:tr>
      <w:tr w:rsidR="007D7243" w:rsidRPr="00EF2F18" w14:paraId="0D0D5575" w14:textId="77777777" w:rsidTr="00CC76FE">
        <w:trPr>
          <w:gridAfter w:val="1"/>
          <w:wAfter w:w="17" w:type="dxa"/>
          <w:trHeight w:val="336"/>
        </w:trPr>
        <w:tc>
          <w:tcPr>
            <w:tcW w:w="6887"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60D404E" w14:textId="67F891AB"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Период спровођења: 202</w:t>
            </w:r>
            <w:r w:rsidR="00CC76FE"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-2028.</w:t>
            </w:r>
          </w:p>
        </w:tc>
        <w:tc>
          <w:tcPr>
            <w:tcW w:w="6753" w:type="dxa"/>
            <w:gridSpan w:val="5"/>
            <w:tcBorders>
              <w:top w:val="double" w:sz="6" w:space="0" w:color="auto"/>
              <w:left w:val="nil"/>
              <w:bottom w:val="double" w:sz="6" w:space="0" w:color="auto"/>
              <w:right w:val="double" w:sz="6" w:space="0" w:color="auto"/>
            </w:tcBorders>
            <w:shd w:val="clear" w:color="000000" w:fill="F7CAAC"/>
            <w:hideMark/>
          </w:tcPr>
          <w:p w14:paraId="3568B5A5"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7D7243" w:rsidRPr="00EF2F18" w14:paraId="6032F554" w14:textId="77777777" w:rsidTr="00CC76FE">
        <w:trPr>
          <w:gridAfter w:val="1"/>
          <w:wAfter w:w="17" w:type="dxa"/>
          <w:trHeight w:val="336"/>
        </w:trPr>
        <w:tc>
          <w:tcPr>
            <w:tcW w:w="6887"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3942D2A"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53" w:type="dxa"/>
            <w:gridSpan w:val="5"/>
            <w:tcBorders>
              <w:top w:val="double" w:sz="6" w:space="0" w:color="auto"/>
              <w:left w:val="nil"/>
              <w:bottom w:val="double" w:sz="6" w:space="0" w:color="auto"/>
              <w:right w:val="double" w:sz="6" w:space="0" w:color="auto"/>
            </w:tcBorders>
            <w:shd w:val="clear" w:color="000000" w:fill="F7CAAC"/>
            <w:hideMark/>
          </w:tcPr>
          <w:p w14:paraId="76957EEB"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C76FE" w:rsidRPr="00EF2F18" w14:paraId="3FB88926" w14:textId="77777777" w:rsidTr="00CC76FE">
        <w:trPr>
          <w:trHeight w:val="816"/>
        </w:trPr>
        <w:tc>
          <w:tcPr>
            <w:tcW w:w="3310" w:type="dxa"/>
            <w:tcBorders>
              <w:top w:val="nil"/>
              <w:left w:val="double" w:sz="6" w:space="0" w:color="auto"/>
              <w:bottom w:val="double" w:sz="6" w:space="0" w:color="auto"/>
              <w:right w:val="single" w:sz="8" w:space="0" w:color="auto"/>
            </w:tcBorders>
            <w:shd w:val="clear" w:color="000000" w:fill="D9D9D9"/>
            <w:hideMark/>
          </w:tcPr>
          <w:p w14:paraId="1DFA9061"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79" w:type="dxa"/>
            <w:tcBorders>
              <w:top w:val="nil"/>
              <w:left w:val="nil"/>
              <w:bottom w:val="double" w:sz="6" w:space="0" w:color="auto"/>
              <w:right w:val="single" w:sz="8" w:space="0" w:color="auto"/>
            </w:tcBorders>
            <w:shd w:val="clear" w:color="000000" w:fill="D9D9D9"/>
            <w:hideMark/>
          </w:tcPr>
          <w:p w14:paraId="30818C31"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Jединица мере</w:t>
            </w:r>
          </w:p>
        </w:tc>
        <w:tc>
          <w:tcPr>
            <w:tcW w:w="1300" w:type="dxa"/>
            <w:tcBorders>
              <w:top w:val="nil"/>
              <w:left w:val="nil"/>
              <w:bottom w:val="double" w:sz="6" w:space="0" w:color="auto"/>
              <w:right w:val="single" w:sz="8" w:space="0" w:color="auto"/>
            </w:tcBorders>
            <w:shd w:val="clear" w:color="000000" w:fill="D9D9D9"/>
            <w:hideMark/>
          </w:tcPr>
          <w:p w14:paraId="74EBFB0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провере</w:t>
            </w:r>
          </w:p>
        </w:tc>
        <w:tc>
          <w:tcPr>
            <w:tcW w:w="1995" w:type="dxa"/>
            <w:gridSpan w:val="2"/>
            <w:tcBorders>
              <w:top w:val="double" w:sz="6" w:space="0" w:color="auto"/>
              <w:left w:val="nil"/>
              <w:bottom w:val="double" w:sz="6" w:space="0" w:color="auto"/>
              <w:right w:val="single" w:sz="8" w:space="0" w:color="000000"/>
            </w:tcBorders>
            <w:shd w:val="clear" w:color="000000" w:fill="D9D9D9"/>
            <w:hideMark/>
          </w:tcPr>
          <w:p w14:paraId="1C0B3E5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Почетна вредност</w:t>
            </w:r>
          </w:p>
        </w:tc>
        <w:tc>
          <w:tcPr>
            <w:tcW w:w="1516" w:type="dxa"/>
            <w:tcBorders>
              <w:top w:val="nil"/>
              <w:left w:val="nil"/>
              <w:bottom w:val="double" w:sz="6" w:space="0" w:color="auto"/>
              <w:right w:val="single" w:sz="8" w:space="0" w:color="auto"/>
            </w:tcBorders>
            <w:shd w:val="clear" w:color="000000" w:fill="D9D9D9"/>
            <w:hideMark/>
          </w:tcPr>
          <w:p w14:paraId="7662C1E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65C49E0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97" w:type="dxa"/>
            <w:tcBorders>
              <w:top w:val="nil"/>
              <w:left w:val="nil"/>
              <w:bottom w:val="double" w:sz="6" w:space="0" w:color="auto"/>
              <w:right w:val="single" w:sz="8" w:space="0" w:color="auto"/>
            </w:tcBorders>
            <w:shd w:val="clear" w:color="000000" w:fill="D9D9D9"/>
            <w:hideMark/>
          </w:tcPr>
          <w:p w14:paraId="42EE952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tcBorders>
              <w:top w:val="nil"/>
              <w:left w:val="nil"/>
              <w:bottom w:val="double" w:sz="6" w:space="0" w:color="auto"/>
              <w:right w:val="double" w:sz="6" w:space="0" w:color="auto"/>
            </w:tcBorders>
            <w:shd w:val="clear" w:color="000000" w:fill="D9D9D9"/>
            <w:hideMark/>
          </w:tcPr>
          <w:p w14:paraId="55DDF97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23AB3195" w14:textId="77777777" w:rsidTr="00CC76FE">
        <w:trPr>
          <w:trHeight w:val="1080"/>
        </w:trPr>
        <w:tc>
          <w:tcPr>
            <w:tcW w:w="3310" w:type="dxa"/>
            <w:tcBorders>
              <w:top w:val="nil"/>
              <w:left w:val="double" w:sz="6" w:space="0" w:color="auto"/>
              <w:bottom w:val="double" w:sz="6" w:space="0" w:color="auto"/>
              <w:right w:val="single" w:sz="8" w:space="0" w:color="auto"/>
            </w:tcBorders>
            <w:shd w:val="clear" w:color="000000" w:fill="FFFFFF"/>
            <w:hideMark/>
          </w:tcPr>
          <w:p w14:paraId="257249C1" w14:textId="77777777" w:rsidR="00CC76FE" w:rsidRPr="00EF2F18" w:rsidRDefault="00CC76FE" w:rsidP="00752CA0">
            <w:pPr>
              <w:spacing w:after="0"/>
              <w:rPr>
                <w:rFonts w:eastAsia="Times New Roman" w:cs="Times New Roman"/>
                <w:color w:val="000000"/>
                <w:sz w:val="20"/>
                <w:szCs w:val="20"/>
                <w:lang w:val="sr-Cyrl-RS" w:eastAsia="en-GB"/>
              </w:rPr>
            </w:pPr>
            <w:bookmarkStart w:id="177" w:name="_Hlk203078623"/>
            <w:r w:rsidRPr="00EF2F18">
              <w:rPr>
                <w:rFonts w:eastAsia="Times New Roman" w:cs="Times New Roman"/>
                <w:color w:val="000000"/>
                <w:sz w:val="20"/>
                <w:szCs w:val="20"/>
                <w:lang w:val="sr-Cyrl-RS" w:eastAsia="en-GB"/>
              </w:rPr>
              <w:t>Број подржаних пројеката локалне инфраструктуре из ИПАРД програма</w:t>
            </w:r>
          </w:p>
        </w:tc>
        <w:tc>
          <w:tcPr>
            <w:tcW w:w="1279" w:type="dxa"/>
            <w:tcBorders>
              <w:top w:val="nil"/>
              <w:left w:val="nil"/>
              <w:bottom w:val="double" w:sz="6" w:space="0" w:color="auto"/>
              <w:right w:val="single" w:sz="8" w:space="0" w:color="auto"/>
            </w:tcBorders>
            <w:shd w:val="clear" w:color="000000" w:fill="FFFFFF"/>
            <w:hideMark/>
          </w:tcPr>
          <w:p w14:paraId="2C842783" w14:textId="1E46A76D"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w:t>
            </w:r>
          </w:p>
        </w:tc>
        <w:tc>
          <w:tcPr>
            <w:tcW w:w="1300" w:type="dxa"/>
            <w:tcBorders>
              <w:top w:val="nil"/>
              <w:left w:val="nil"/>
              <w:bottom w:val="double" w:sz="6" w:space="0" w:color="auto"/>
              <w:right w:val="single" w:sz="8" w:space="0" w:color="auto"/>
            </w:tcBorders>
            <w:shd w:val="clear" w:color="000000" w:fill="FFFFFF"/>
            <w:hideMark/>
          </w:tcPr>
          <w:p w14:paraId="64ECA17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Годишњи извештај о спровођењу ИПАРД програма</w:t>
            </w:r>
          </w:p>
        </w:tc>
        <w:tc>
          <w:tcPr>
            <w:tcW w:w="1995" w:type="dxa"/>
            <w:gridSpan w:val="2"/>
            <w:tcBorders>
              <w:top w:val="double" w:sz="6" w:space="0" w:color="auto"/>
              <w:left w:val="nil"/>
              <w:bottom w:val="double" w:sz="6" w:space="0" w:color="auto"/>
              <w:right w:val="single" w:sz="8" w:space="0" w:color="000000"/>
            </w:tcBorders>
            <w:shd w:val="clear" w:color="000000" w:fill="FFFFFF"/>
            <w:hideMark/>
          </w:tcPr>
          <w:p w14:paraId="64FBE42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16" w:type="dxa"/>
            <w:tcBorders>
              <w:top w:val="nil"/>
              <w:left w:val="nil"/>
              <w:bottom w:val="double" w:sz="6" w:space="0" w:color="auto"/>
              <w:right w:val="single" w:sz="8" w:space="0" w:color="auto"/>
            </w:tcBorders>
            <w:shd w:val="clear" w:color="000000" w:fill="FFFFFF"/>
            <w:hideMark/>
          </w:tcPr>
          <w:p w14:paraId="2E6D227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060" w:type="dxa"/>
            <w:tcBorders>
              <w:top w:val="double" w:sz="6" w:space="0" w:color="auto"/>
              <w:left w:val="single" w:sz="4" w:space="0" w:color="auto"/>
              <w:bottom w:val="double" w:sz="6" w:space="0" w:color="auto"/>
              <w:right w:val="single" w:sz="8" w:space="0" w:color="auto"/>
            </w:tcBorders>
            <w:shd w:val="clear" w:color="000000" w:fill="FFFFFF"/>
            <w:hideMark/>
          </w:tcPr>
          <w:p w14:paraId="5BC6EA26"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97" w:type="dxa"/>
            <w:tcBorders>
              <w:top w:val="nil"/>
              <w:left w:val="nil"/>
              <w:bottom w:val="double" w:sz="6" w:space="0" w:color="auto"/>
              <w:right w:val="single" w:sz="8" w:space="0" w:color="auto"/>
            </w:tcBorders>
            <w:shd w:val="clear" w:color="000000" w:fill="FFFFFF"/>
            <w:hideMark/>
          </w:tcPr>
          <w:p w14:paraId="7911910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12</w:t>
            </w:r>
          </w:p>
        </w:tc>
        <w:tc>
          <w:tcPr>
            <w:tcW w:w="1800" w:type="dxa"/>
            <w:gridSpan w:val="2"/>
            <w:tcBorders>
              <w:top w:val="nil"/>
              <w:left w:val="nil"/>
              <w:bottom w:val="double" w:sz="6" w:space="0" w:color="auto"/>
              <w:right w:val="double" w:sz="6" w:space="0" w:color="auto"/>
            </w:tcBorders>
            <w:shd w:val="clear" w:color="000000" w:fill="FFFFFF"/>
            <w:hideMark/>
          </w:tcPr>
          <w:p w14:paraId="31F51EC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w:t>
            </w:r>
          </w:p>
        </w:tc>
      </w:tr>
      <w:tr w:rsidR="00CC76FE" w:rsidRPr="00EF2F18" w14:paraId="2503E225" w14:textId="77777777" w:rsidTr="00A600B8">
        <w:trPr>
          <w:trHeight w:val="816"/>
        </w:trPr>
        <w:tc>
          <w:tcPr>
            <w:tcW w:w="3310" w:type="dxa"/>
            <w:tcBorders>
              <w:top w:val="single" w:sz="4" w:space="0" w:color="auto"/>
              <w:left w:val="single" w:sz="4" w:space="0" w:color="auto"/>
              <w:bottom w:val="double" w:sz="6" w:space="0" w:color="auto"/>
              <w:right w:val="single" w:sz="8" w:space="0" w:color="auto"/>
            </w:tcBorders>
            <w:shd w:val="clear" w:color="000000" w:fill="FFFFFF"/>
            <w:hideMark/>
          </w:tcPr>
          <w:p w14:paraId="7999E0D1"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локалних стратегија руралног развоја из ИПАРД програма</w:t>
            </w:r>
          </w:p>
        </w:tc>
        <w:tc>
          <w:tcPr>
            <w:tcW w:w="1279" w:type="dxa"/>
            <w:tcBorders>
              <w:top w:val="single" w:sz="4" w:space="0" w:color="auto"/>
              <w:left w:val="nil"/>
              <w:bottom w:val="double" w:sz="6" w:space="0" w:color="auto"/>
              <w:right w:val="single" w:sz="8" w:space="0" w:color="auto"/>
            </w:tcBorders>
            <w:shd w:val="clear" w:color="000000" w:fill="FFFFFF"/>
            <w:hideMark/>
          </w:tcPr>
          <w:p w14:paraId="1F529AE7" w14:textId="48B6A5E0"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300" w:type="dxa"/>
            <w:tcBorders>
              <w:top w:val="single" w:sz="4" w:space="0" w:color="auto"/>
              <w:left w:val="nil"/>
              <w:bottom w:val="double" w:sz="6" w:space="0" w:color="auto"/>
              <w:right w:val="single" w:sz="8" w:space="0" w:color="auto"/>
            </w:tcBorders>
            <w:shd w:val="clear" w:color="000000" w:fill="FFFFFF"/>
            <w:hideMark/>
          </w:tcPr>
          <w:p w14:paraId="3F0D55D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Годишњи извештај о спровођењу ИПАРД програма</w:t>
            </w:r>
          </w:p>
        </w:tc>
        <w:tc>
          <w:tcPr>
            <w:tcW w:w="1995" w:type="dxa"/>
            <w:gridSpan w:val="2"/>
            <w:tcBorders>
              <w:top w:val="single" w:sz="4" w:space="0" w:color="auto"/>
              <w:left w:val="nil"/>
              <w:bottom w:val="double" w:sz="6" w:space="0" w:color="auto"/>
              <w:right w:val="single" w:sz="8" w:space="0" w:color="000000"/>
            </w:tcBorders>
            <w:shd w:val="clear" w:color="000000" w:fill="FFFFFF"/>
            <w:hideMark/>
          </w:tcPr>
          <w:p w14:paraId="7DA26B8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16" w:type="dxa"/>
            <w:tcBorders>
              <w:top w:val="single" w:sz="4" w:space="0" w:color="auto"/>
              <w:left w:val="nil"/>
              <w:bottom w:val="double" w:sz="6" w:space="0" w:color="auto"/>
              <w:right w:val="single" w:sz="8" w:space="0" w:color="auto"/>
            </w:tcBorders>
            <w:shd w:val="clear" w:color="000000" w:fill="FFFFFF"/>
            <w:hideMark/>
          </w:tcPr>
          <w:p w14:paraId="5B04C94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060" w:type="dxa"/>
            <w:tcBorders>
              <w:top w:val="single" w:sz="4" w:space="0" w:color="auto"/>
              <w:left w:val="single" w:sz="4" w:space="0" w:color="auto"/>
              <w:bottom w:val="double" w:sz="6" w:space="0" w:color="auto"/>
              <w:right w:val="single" w:sz="8" w:space="0" w:color="auto"/>
            </w:tcBorders>
            <w:shd w:val="clear" w:color="000000" w:fill="FFFFFF"/>
            <w:hideMark/>
          </w:tcPr>
          <w:p w14:paraId="65F7CBC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w:t>
            </w:r>
          </w:p>
        </w:tc>
        <w:tc>
          <w:tcPr>
            <w:tcW w:w="1397" w:type="dxa"/>
            <w:tcBorders>
              <w:top w:val="single" w:sz="4" w:space="0" w:color="auto"/>
              <w:left w:val="nil"/>
              <w:bottom w:val="double" w:sz="6" w:space="0" w:color="auto"/>
              <w:right w:val="single" w:sz="8" w:space="0" w:color="auto"/>
            </w:tcBorders>
            <w:shd w:val="clear" w:color="000000" w:fill="FFFFFF"/>
            <w:hideMark/>
          </w:tcPr>
          <w:p w14:paraId="6E523A6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19</w:t>
            </w:r>
          </w:p>
        </w:tc>
        <w:tc>
          <w:tcPr>
            <w:tcW w:w="1800" w:type="dxa"/>
            <w:gridSpan w:val="2"/>
            <w:tcBorders>
              <w:top w:val="single" w:sz="4" w:space="0" w:color="auto"/>
              <w:left w:val="nil"/>
              <w:bottom w:val="double" w:sz="6" w:space="0" w:color="auto"/>
              <w:right w:val="double" w:sz="6" w:space="0" w:color="auto"/>
            </w:tcBorders>
            <w:shd w:val="clear" w:color="000000" w:fill="FFFFFF"/>
            <w:hideMark/>
          </w:tcPr>
          <w:p w14:paraId="6396A34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r>
      <w:bookmarkEnd w:id="177"/>
    </w:tbl>
    <w:p w14:paraId="2107741E" w14:textId="77777777" w:rsidR="007D7243" w:rsidRPr="00EF2F18" w:rsidRDefault="007D7243" w:rsidP="007D7243">
      <w:pPr>
        <w:spacing w:after="0"/>
        <w:rPr>
          <w:rFonts w:cs="Times New Roman"/>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0"/>
        <w:gridCol w:w="2480"/>
        <w:gridCol w:w="2157"/>
        <w:gridCol w:w="2070"/>
        <w:gridCol w:w="3150"/>
      </w:tblGrid>
      <w:tr w:rsidR="007D7243" w:rsidRPr="00EF2F18" w14:paraId="0D0BD694" w14:textId="77777777" w:rsidTr="00EF0900">
        <w:trPr>
          <w:trHeight w:val="336"/>
        </w:trPr>
        <w:tc>
          <w:tcPr>
            <w:tcW w:w="3800" w:type="dxa"/>
            <w:vMerge w:val="restart"/>
            <w:shd w:val="clear" w:color="000000" w:fill="A8D08D"/>
            <w:hideMark/>
          </w:tcPr>
          <w:p w14:paraId="35FE721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 мере</w:t>
            </w:r>
          </w:p>
        </w:tc>
        <w:tc>
          <w:tcPr>
            <w:tcW w:w="2480" w:type="dxa"/>
            <w:vMerge w:val="restart"/>
            <w:shd w:val="clear" w:color="000000" w:fill="A8D08D"/>
            <w:hideMark/>
          </w:tcPr>
          <w:p w14:paraId="7D6C02B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7377" w:type="dxa"/>
            <w:gridSpan w:val="3"/>
            <w:shd w:val="clear" w:color="000000" w:fill="A8D08D"/>
            <w:hideMark/>
          </w:tcPr>
          <w:p w14:paraId="33B049C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C76FE" w:rsidRPr="00EF2F18" w14:paraId="4A382968" w14:textId="77777777" w:rsidTr="00EF0900">
        <w:trPr>
          <w:trHeight w:val="336"/>
        </w:trPr>
        <w:tc>
          <w:tcPr>
            <w:tcW w:w="3800" w:type="dxa"/>
            <w:vMerge/>
            <w:vAlign w:val="center"/>
            <w:hideMark/>
          </w:tcPr>
          <w:p w14:paraId="1A339979" w14:textId="77777777" w:rsidR="00CC76FE" w:rsidRPr="00EF2F18" w:rsidRDefault="00CC76FE" w:rsidP="00752CA0">
            <w:pPr>
              <w:spacing w:after="0"/>
              <w:rPr>
                <w:rFonts w:eastAsia="Times New Roman" w:cs="Times New Roman"/>
                <w:color w:val="000000"/>
                <w:sz w:val="20"/>
                <w:szCs w:val="20"/>
                <w:lang w:val="sr-Cyrl-RS" w:eastAsia="en-GB"/>
              </w:rPr>
            </w:pPr>
          </w:p>
        </w:tc>
        <w:tc>
          <w:tcPr>
            <w:tcW w:w="2480" w:type="dxa"/>
            <w:vMerge/>
            <w:vAlign w:val="center"/>
            <w:hideMark/>
          </w:tcPr>
          <w:p w14:paraId="48938927" w14:textId="77777777" w:rsidR="00CC76FE" w:rsidRPr="00EF2F18" w:rsidRDefault="00CC76FE" w:rsidP="00752CA0">
            <w:pPr>
              <w:spacing w:after="0"/>
              <w:rPr>
                <w:rFonts w:eastAsia="Times New Roman" w:cs="Times New Roman"/>
                <w:color w:val="000000"/>
                <w:sz w:val="20"/>
                <w:szCs w:val="20"/>
                <w:lang w:val="sr-Cyrl-RS" w:eastAsia="en-GB"/>
              </w:rPr>
            </w:pPr>
          </w:p>
        </w:tc>
        <w:tc>
          <w:tcPr>
            <w:tcW w:w="2157" w:type="dxa"/>
            <w:shd w:val="clear" w:color="000000" w:fill="A8D08D"/>
            <w:hideMark/>
          </w:tcPr>
          <w:p w14:paraId="57BDA832" w14:textId="6BB30202"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 године</w:t>
            </w:r>
          </w:p>
        </w:tc>
        <w:tc>
          <w:tcPr>
            <w:tcW w:w="2070" w:type="dxa"/>
            <w:shd w:val="clear" w:color="000000" w:fill="A8D08D"/>
            <w:hideMark/>
          </w:tcPr>
          <w:p w14:paraId="21EA7AE8" w14:textId="0828B109" w:rsidR="00CC76FE"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r w:rsidR="00CC76FE" w:rsidRPr="00EF2F18">
              <w:rPr>
                <w:rFonts w:eastAsia="Times New Roman" w:cs="Times New Roman"/>
                <w:color w:val="000000"/>
                <w:sz w:val="20"/>
                <w:szCs w:val="20"/>
                <w:lang w:val="sr-Cyrl-RS" w:eastAsia="en-GB"/>
              </w:rPr>
              <w:t xml:space="preserve"> 2027. године</w:t>
            </w:r>
          </w:p>
        </w:tc>
        <w:tc>
          <w:tcPr>
            <w:tcW w:w="3150" w:type="dxa"/>
            <w:shd w:val="clear" w:color="000000" w:fill="A8D08D"/>
            <w:hideMark/>
          </w:tcPr>
          <w:p w14:paraId="3B79C99C" w14:textId="07C57963"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2028. године</w:t>
            </w:r>
          </w:p>
        </w:tc>
      </w:tr>
      <w:tr w:rsidR="00CC76FE" w:rsidRPr="00EF2F18" w14:paraId="5FF23EFF" w14:textId="77777777" w:rsidTr="00EF0900">
        <w:trPr>
          <w:trHeight w:val="324"/>
        </w:trPr>
        <w:tc>
          <w:tcPr>
            <w:tcW w:w="3800" w:type="dxa"/>
            <w:hideMark/>
          </w:tcPr>
          <w:p w14:paraId="67995C69" w14:textId="4238CF38" w:rsidR="00CC76FE" w:rsidRPr="00EF2F18" w:rsidRDefault="00CC76FE"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(МПШВ)</w:t>
            </w:r>
          </w:p>
        </w:tc>
        <w:tc>
          <w:tcPr>
            <w:tcW w:w="2480" w:type="dxa"/>
            <w:hideMark/>
          </w:tcPr>
          <w:p w14:paraId="017B1BFD" w14:textId="2B13C899" w:rsidR="00CC76FE" w:rsidRPr="00EF2F18" w:rsidRDefault="00CC76FE"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tc>
        <w:tc>
          <w:tcPr>
            <w:tcW w:w="2157" w:type="dxa"/>
            <w:hideMark/>
          </w:tcPr>
          <w:p w14:paraId="3055AFCC" w14:textId="034F5B9E" w:rsidR="00CC76FE" w:rsidRPr="00EF2F18" w:rsidRDefault="003821D6" w:rsidP="00700AE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400.000</w:t>
            </w:r>
          </w:p>
        </w:tc>
        <w:tc>
          <w:tcPr>
            <w:tcW w:w="2070" w:type="dxa"/>
          </w:tcPr>
          <w:p w14:paraId="6245E76B" w14:textId="46F8000E" w:rsidR="00CC76FE" w:rsidRPr="00EF2F18" w:rsidRDefault="003821D6" w:rsidP="00700AE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3150" w:type="dxa"/>
          </w:tcPr>
          <w:p w14:paraId="2ECBEA8F" w14:textId="3326ECEF" w:rsidR="00CC76FE" w:rsidRPr="00EF2F18" w:rsidRDefault="003821D6" w:rsidP="00700AEE">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r>
      <w:tr w:rsidR="00CC76FE" w:rsidRPr="00EF2F18" w14:paraId="0A65236C" w14:textId="77777777" w:rsidTr="00EF0900">
        <w:trPr>
          <w:trHeight w:val="336"/>
        </w:trPr>
        <w:tc>
          <w:tcPr>
            <w:tcW w:w="3800" w:type="dxa"/>
            <w:hideMark/>
          </w:tcPr>
          <w:p w14:paraId="6B67AEAD" w14:textId="77777777" w:rsidR="00CC76FE" w:rsidRPr="00EF2F18" w:rsidRDefault="00CC76FE" w:rsidP="00700AE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2480" w:type="dxa"/>
            <w:hideMark/>
          </w:tcPr>
          <w:p w14:paraId="03A50E39" w14:textId="69F9E27E" w:rsidR="00CC76FE" w:rsidRPr="00EF2F18" w:rsidRDefault="00CC76FE" w:rsidP="00700AEE">
            <w:pPr>
              <w:spacing w:after="0"/>
              <w:rPr>
                <w:rFonts w:eastAsia="Times New Roman" w:cs="Times New Roman"/>
                <w:color w:val="000000"/>
                <w:sz w:val="20"/>
                <w:szCs w:val="20"/>
                <w:lang w:val="sr-Cyrl-RS" w:eastAsia="en-GB"/>
              </w:rPr>
            </w:pPr>
          </w:p>
        </w:tc>
        <w:tc>
          <w:tcPr>
            <w:tcW w:w="2157" w:type="dxa"/>
            <w:hideMark/>
          </w:tcPr>
          <w:p w14:paraId="449C8D59" w14:textId="7DE95221" w:rsidR="00CC76FE" w:rsidRPr="00EF2F18" w:rsidRDefault="00CC76FE" w:rsidP="00700AEE">
            <w:pPr>
              <w:spacing w:after="0"/>
              <w:jc w:val="right"/>
              <w:rPr>
                <w:rFonts w:eastAsia="Times New Roman" w:cs="Times New Roman"/>
                <w:color w:val="000000"/>
                <w:sz w:val="20"/>
                <w:szCs w:val="20"/>
                <w:lang w:val="sr-Cyrl-RS" w:eastAsia="en-GB"/>
              </w:rPr>
            </w:pPr>
          </w:p>
        </w:tc>
        <w:tc>
          <w:tcPr>
            <w:tcW w:w="2070" w:type="dxa"/>
            <w:hideMark/>
          </w:tcPr>
          <w:p w14:paraId="44E76460" w14:textId="7B00C0AF" w:rsidR="00CC76FE" w:rsidRPr="00EF2F18" w:rsidRDefault="00CC76FE" w:rsidP="00700AEE">
            <w:pPr>
              <w:spacing w:after="0"/>
              <w:jc w:val="right"/>
              <w:rPr>
                <w:rFonts w:eastAsia="Times New Roman" w:cs="Times New Roman"/>
                <w:color w:val="000000"/>
                <w:sz w:val="20"/>
                <w:szCs w:val="20"/>
                <w:lang w:val="sr-Cyrl-RS" w:eastAsia="en-GB"/>
              </w:rPr>
            </w:pPr>
          </w:p>
        </w:tc>
        <w:tc>
          <w:tcPr>
            <w:tcW w:w="3150" w:type="dxa"/>
            <w:hideMark/>
          </w:tcPr>
          <w:p w14:paraId="7C0296EE" w14:textId="66ECEDC9" w:rsidR="00CC76FE" w:rsidRPr="00EF2F18" w:rsidRDefault="00CC76FE" w:rsidP="00700AEE">
            <w:pPr>
              <w:spacing w:after="0"/>
              <w:jc w:val="right"/>
              <w:rPr>
                <w:rFonts w:eastAsia="Times New Roman" w:cs="Times New Roman"/>
                <w:color w:val="000000"/>
                <w:sz w:val="20"/>
                <w:szCs w:val="20"/>
                <w:lang w:val="sr-Cyrl-RS" w:eastAsia="en-GB"/>
              </w:rPr>
            </w:pPr>
          </w:p>
        </w:tc>
      </w:tr>
    </w:tbl>
    <w:p w14:paraId="650C9C8E" w14:textId="77777777" w:rsidR="007D7243" w:rsidRPr="00EF2F18" w:rsidRDefault="007D7243" w:rsidP="007D7243">
      <w:pPr>
        <w:spacing w:after="0"/>
        <w:rPr>
          <w:rFonts w:cs="Times New Roman"/>
          <w:sz w:val="20"/>
          <w:szCs w:val="20"/>
          <w:lang w:val="sr-Cyrl-RS"/>
        </w:rPr>
      </w:pPr>
    </w:p>
    <w:tbl>
      <w:tblPr>
        <w:tblW w:w="13657" w:type="dxa"/>
        <w:tblLook w:val="04A0" w:firstRow="1" w:lastRow="0" w:firstColumn="1" w:lastColumn="0" w:noHBand="0" w:noVBand="1"/>
      </w:tblPr>
      <w:tblGrid>
        <w:gridCol w:w="2826"/>
        <w:gridCol w:w="1259"/>
        <w:gridCol w:w="1240"/>
        <w:gridCol w:w="1182"/>
        <w:gridCol w:w="1691"/>
        <w:gridCol w:w="1340"/>
        <w:gridCol w:w="1002"/>
        <w:gridCol w:w="1407"/>
        <w:gridCol w:w="1710"/>
      </w:tblGrid>
      <w:tr w:rsidR="00CC76FE" w:rsidRPr="00EF2F18" w14:paraId="34B91C5B" w14:textId="77777777" w:rsidTr="00EF0900">
        <w:trPr>
          <w:trHeight w:val="732"/>
        </w:trPr>
        <w:tc>
          <w:tcPr>
            <w:tcW w:w="2826"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FDEE7E0"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Назив активности:</w:t>
            </w:r>
          </w:p>
        </w:tc>
        <w:tc>
          <w:tcPr>
            <w:tcW w:w="125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572529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DD853D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F15FE4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9C9D8F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F9470E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Веза са програмским буџетом</w:t>
            </w:r>
          </w:p>
        </w:tc>
        <w:tc>
          <w:tcPr>
            <w:tcW w:w="4119" w:type="dxa"/>
            <w:gridSpan w:val="3"/>
            <w:tcBorders>
              <w:top w:val="double" w:sz="6" w:space="0" w:color="auto"/>
              <w:left w:val="nil"/>
              <w:bottom w:val="single" w:sz="8" w:space="0" w:color="auto"/>
              <w:right w:val="double" w:sz="6" w:space="0" w:color="auto"/>
            </w:tcBorders>
            <w:shd w:val="clear" w:color="000000" w:fill="FFF2CC"/>
            <w:hideMark/>
          </w:tcPr>
          <w:p w14:paraId="2CBB9E6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C76FE" w:rsidRPr="00EF2F18" w14:paraId="249EDABA" w14:textId="77777777" w:rsidTr="00EF0900">
        <w:trPr>
          <w:trHeight w:val="324"/>
        </w:trPr>
        <w:tc>
          <w:tcPr>
            <w:tcW w:w="2826" w:type="dxa"/>
            <w:vMerge/>
            <w:tcBorders>
              <w:top w:val="double" w:sz="6" w:space="0" w:color="auto"/>
              <w:left w:val="double" w:sz="6" w:space="0" w:color="auto"/>
              <w:bottom w:val="single" w:sz="8" w:space="0" w:color="000000"/>
              <w:right w:val="single" w:sz="8" w:space="0" w:color="auto"/>
            </w:tcBorders>
            <w:vAlign w:val="center"/>
            <w:hideMark/>
          </w:tcPr>
          <w:p w14:paraId="3C818C5A" w14:textId="77777777" w:rsidR="00CC76FE" w:rsidRPr="00EF2F18" w:rsidRDefault="00CC76FE" w:rsidP="00752CA0">
            <w:pPr>
              <w:spacing w:after="0"/>
              <w:rPr>
                <w:rFonts w:eastAsia="Times New Roman" w:cs="Times New Roman"/>
                <w:color w:val="000000"/>
                <w:sz w:val="20"/>
                <w:szCs w:val="20"/>
                <w:lang w:val="sr-Cyrl-RS" w:eastAsia="en-GB"/>
              </w:rPr>
            </w:pPr>
          </w:p>
        </w:tc>
        <w:tc>
          <w:tcPr>
            <w:tcW w:w="1259" w:type="dxa"/>
            <w:vMerge/>
            <w:tcBorders>
              <w:top w:val="double" w:sz="6" w:space="0" w:color="auto"/>
              <w:left w:val="single" w:sz="8" w:space="0" w:color="auto"/>
              <w:bottom w:val="single" w:sz="8" w:space="0" w:color="000000"/>
              <w:right w:val="single" w:sz="8" w:space="0" w:color="auto"/>
            </w:tcBorders>
            <w:vAlign w:val="center"/>
            <w:hideMark/>
          </w:tcPr>
          <w:p w14:paraId="50F22280" w14:textId="77777777" w:rsidR="00CC76FE" w:rsidRPr="00EF2F18" w:rsidRDefault="00CC76FE"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74225F1D" w14:textId="77777777" w:rsidR="00CC76FE" w:rsidRPr="00EF2F18" w:rsidRDefault="00CC76FE"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65A7DAD6" w14:textId="77777777" w:rsidR="00CC76FE" w:rsidRPr="00EF2F18" w:rsidRDefault="00CC76FE"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738334F5" w14:textId="77777777" w:rsidR="00CC76FE" w:rsidRPr="00EF2F18" w:rsidRDefault="00CC76FE"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0B938674" w14:textId="77777777" w:rsidR="00CC76FE" w:rsidRPr="00EF2F18" w:rsidRDefault="00CC76FE" w:rsidP="00752CA0">
            <w:pPr>
              <w:spacing w:after="0"/>
              <w:rPr>
                <w:rFonts w:eastAsia="Times New Roman" w:cs="Times New Roman"/>
                <w:color w:val="000000"/>
                <w:sz w:val="20"/>
                <w:szCs w:val="20"/>
                <w:lang w:val="sr-Cyrl-RS" w:eastAsia="en-GB"/>
              </w:rPr>
            </w:pPr>
          </w:p>
        </w:tc>
        <w:tc>
          <w:tcPr>
            <w:tcW w:w="1002" w:type="dxa"/>
            <w:tcBorders>
              <w:top w:val="nil"/>
              <w:left w:val="nil"/>
              <w:bottom w:val="single" w:sz="8" w:space="0" w:color="auto"/>
              <w:right w:val="single" w:sz="8" w:space="0" w:color="auto"/>
            </w:tcBorders>
            <w:shd w:val="clear" w:color="000000" w:fill="FFF2CC"/>
            <w:hideMark/>
          </w:tcPr>
          <w:p w14:paraId="69AFB683" w14:textId="387BE834"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2026.</w:t>
            </w:r>
          </w:p>
        </w:tc>
        <w:tc>
          <w:tcPr>
            <w:tcW w:w="1407" w:type="dxa"/>
            <w:tcBorders>
              <w:top w:val="nil"/>
              <w:left w:val="nil"/>
              <w:bottom w:val="single" w:sz="8" w:space="0" w:color="auto"/>
              <w:right w:val="single" w:sz="8" w:space="0" w:color="auto"/>
            </w:tcBorders>
            <w:shd w:val="clear" w:color="000000" w:fill="FFF2CC"/>
            <w:hideMark/>
          </w:tcPr>
          <w:p w14:paraId="14F9B741" w14:textId="65AF8B08"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2027.</w:t>
            </w:r>
          </w:p>
        </w:tc>
        <w:tc>
          <w:tcPr>
            <w:tcW w:w="1710" w:type="dxa"/>
            <w:tcBorders>
              <w:top w:val="nil"/>
              <w:left w:val="nil"/>
              <w:bottom w:val="single" w:sz="8" w:space="0" w:color="auto"/>
              <w:right w:val="double" w:sz="6" w:space="0" w:color="auto"/>
            </w:tcBorders>
            <w:shd w:val="clear" w:color="000000" w:fill="FFF2CC"/>
            <w:hideMark/>
          </w:tcPr>
          <w:p w14:paraId="4AF7EF29" w14:textId="171F3F6C"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2028.</w:t>
            </w:r>
          </w:p>
        </w:tc>
      </w:tr>
      <w:tr w:rsidR="00CC76FE" w:rsidRPr="00EF2F18" w14:paraId="03D55B66" w14:textId="77777777" w:rsidTr="00EF0900">
        <w:trPr>
          <w:trHeight w:val="1860"/>
        </w:trPr>
        <w:tc>
          <w:tcPr>
            <w:tcW w:w="2826" w:type="dxa"/>
            <w:tcBorders>
              <w:top w:val="nil"/>
              <w:left w:val="double" w:sz="6" w:space="0" w:color="auto"/>
              <w:bottom w:val="single" w:sz="8" w:space="0" w:color="auto"/>
              <w:right w:val="single" w:sz="8" w:space="0" w:color="auto"/>
            </w:tcBorders>
            <w:hideMark/>
          </w:tcPr>
          <w:p w14:paraId="7D39DB72" w14:textId="0FCDFB69"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5.2.2.1. Оснаживање капацитета ЈЛС и локалних акционих група за повлачење средстава за подстицаје развоју руралне инфраструктуре и LEADER, кроз информативне кампање и обуке запослених</w:t>
            </w:r>
          </w:p>
        </w:tc>
        <w:tc>
          <w:tcPr>
            <w:tcW w:w="1259" w:type="dxa"/>
            <w:tcBorders>
              <w:top w:val="nil"/>
              <w:left w:val="nil"/>
              <w:bottom w:val="single" w:sz="8" w:space="0" w:color="auto"/>
              <w:right w:val="single" w:sz="8" w:space="0" w:color="auto"/>
            </w:tcBorders>
            <w:hideMark/>
          </w:tcPr>
          <w:p w14:paraId="2FA4A85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nil"/>
              <w:left w:val="nil"/>
              <w:bottom w:val="single" w:sz="8" w:space="0" w:color="auto"/>
              <w:right w:val="single" w:sz="8" w:space="0" w:color="auto"/>
            </w:tcBorders>
            <w:hideMark/>
          </w:tcPr>
          <w:p w14:paraId="5ADBCCA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МТО, СКГО</w:t>
            </w:r>
          </w:p>
        </w:tc>
        <w:tc>
          <w:tcPr>
            <w:tcW w:w="1182" w:type="dxa"/>
            <w:tcBorders>
              <w:top w:val="nil"/>
              <w:left w:val="nil"/>
              <w:bottom w:val="single" w:sz="8" w:space="0" w:color="auto"/>
              <w:right w:val="single" w:sz="8" w:space="0" w:color="auto"/>
            </w:tcBorders>
            <w:hideMark/>
          </w:tcPr>
          <w:p w14:paraId="3D480155" w14:textId="69215FE4" w:rsidR="00CC76FE" w:rsidRPr="00EF2F18" w:rsidRDefault="007D6439"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r w:rsidR="00CC76FE" w:rsidRPr="00EF2F18">
              <w:rPr>
                <w:rFonts w:eastAsia="Times New Roman" w:cs="Times New Roman"/>
                <w:color w:val="000000"/>
                <w:sz w:val="20"/>
                <w:szCs w:val="20"/>
                <w:lang w:val="sr-Cyrl-RS" w:eastAsia="en-GB"/>
              </w:rPr>
              <w:t>. квартал 2026.</w:t>
            </w:r>
          </w:p>
        </w:tc>
        <w:tc>
          <w:tcPr>
            <w:tcW w:w="1691" w:type="dxa"/>
            <w:tcBorders>
              <w:top w:val="nil"/>
              <w:left w:val="nil"/>
              <w:bottom w:val="single" w:sz="8" w:space="0" w:color="auto"/>
              <w:right w:val="single" w:sz="8" w:space="0" w:color="auto"/>
            </w:tcBorders>
            <w:hideMark/>
          </w:tcPr>
          <w:p w14:paraId="0E67F6B8"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nil"/>
              <w:left w:val="nil"/>
              <w:bottom w:val="single" w:sz="8" w:space="0" w:color="auto"/>
              <w:right w:val="single" w:sz="8" w:space="0" w:color="auto"/>
            </w:tcBorders>
            <w:hideMark/>
          </w:tcPr>
          <w:p w14:paraId="4570A658" w14:textId="4D39A76D" w:rsidR="00CC76FE" w:rsidRPr="00EF2F18" w:rsidRDefault="00CC76FE" w:rsidP="00752CA0">
            <w:pPr>
              <w:spacing w:after="0"/>
              <w:rPr>
                <w:rFonts w:eastAsia="Times New Roman" w:cs="Times New Roman"/>
                <w:color w:val="000000"/>
                <w:sz w:val="20"/>
                <w:szCs w:val="20"/>
                <w:lang w:val="sr-Cyrl-RS" w:eastAsia="en-GB"/>
              </w:rPr>
            </w:pPr>
          </w:p>
        </w:tc>
        <w:tc>
          <w:tcPr>
            <w:tcW w:w="1002" w:type="dxa"/>
            <w:tcBorders>
              <w:top w:val="nil"/>
              <w:left w:val="nil"/>
              <w:bottom w:val="single" w:sz="8" w:space="0" w:color="auto"/>
              <w:right w:val="single" w:sz="8" w:space="0" w:color="auto"/>
            </w:tcBorders>
            <w:hideMark/>
          </w:tcPr>
          <w:p w14:paraId="5931464E" w14:textId="5153D251" w:rsidR="00CC76FE" w:rsidRPr="00EF2F18" w:rsidRDefault="00CC76FE" w:rsidP="00752CA0">
            <w:pPr>
              <w:spacing w:after="0"/>
              <w:jc w:val="right"/>
              <w:rPr>
                <w:rFonts w:eastAsia="Times New Roman" w:cs="Times New Roman"/>
                <w:color w:val="000000"/>
                <w:sz w:val="20"/>
                <w:szCs w:val="20"/>
                <w:lang w:val="sr-Cyrl-RS" w:eastAsia="en-GB"/>
              </w:rPr>
            </w:pPr>
          </w:p>
        </w:tc>
        <w:tc>
          <w:tcPr>
            <w:tcW w:w="1407" w:type="dxa"/>
            <w:tcBorders>
              <w:top w:val="nil"/>
              <w:left w:val="nil"/>
              <w:bottom w:val="single" w:sz="8" w:space="0" w:color="auto"/>
              <w:right w:val="single" w:sz="8" w:space="0" w:color="auto"/>
            </w:tcBorders>
            <w:hideMark/>
          </w:tcPr>
          <w:p w14:paraId="5262F6AD" w14:textId="17B84000" w:rsidR="00CC76FE" w:rsidRPr="00EF2F18" w:rsidRDefault="00CC76FE"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8" w:space="0" w:color="auto"/>
              <w:right w:val="double" w:sz="6" w:space="0" w:color="auto"/>
            </w:tcBorders>
            <w:hideMark/>
          </w:tcPr>
          <w:p w14:paraId="399E2A9B" w14:textId="127BF9EC" w:rsidR="00CC76FE" w:rsidRPr="00EF2F18" w:rsidRDefault="00CC76FE" w:rsidP="00752CA0">
            <w:pPr>
              <w:spacing w:after="0"/>
              <w:jc w:val="right"/>
              <w:rPr>
                <w:rFonts w:eastAsia="Times New Roman" w:cs="Times New Roman"/>
                <w:color w:val="000000"/>
                <w:sz w:val="20"/>
                <w:szCs w:val="20"/>
                <w:lang w:val="sr-Cyrl-RS" w:eastAsia="en-GB"/>
              </w:rPr>
            </w:pPr>
          </w:p>
        </w:tc>
      </w:tr>
      <w:tr w:rsidR="00CC76FE" w:rsidRPr="00EF2F18" w14:paraId="7C54750C" w14:textId="77777777" w:rsidTr="00EF0900">
        <w:trPr>
          <w:trHeight w:val="1596"/>
        </w:trPr>
        <w:tc>
          <w:tcPr>
            <w:tcW w:w="2826" w:type="dxa"/>
            <w:tcBorders>
              <w:top w:val="nil"/>
              <w:left w:val="double" w:sz="6" w:space="0" w:color="auto"/>
              <w:bottom w:val="double" w:sz="6" w:space="0" w:color="auto"/>
              <w:right w:val="single" w:sz="8" w:space="0" w:color="auto"/>
            </w:tcBorders>
            <w:hideMark/>
          </w:tcPr>
          <w:p w14:paraId="2B1FF86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5.2.2.2. Годишњи подстицаји инвестицијама у руралну инфраструктуру (сеоски водоводи и канализација, управљање отпадом, сеоски и атарски путеви, обновљиви извори енергије)</w:t>
            </w:r>
          </w:p>
        </w:tc>
        <w:tc>
          <w:tcPr>
            <w:tcW w:w="1259" w:type="dxa"/>
            <w:tcBorders>
              <w:top w:val="nil"/>
              <w:left w:val="nil"/>
              <w:bottom w:val="double" w:sz="6" w:space="0" w:color="auto"/>
              <w:right w:val="single" w:sz="8" w:space="0" w:color="auto"/>
            </w:tcBorders>
            <w:hideMark/>
          </w:tcPr>
          <w:p w14:paraId="048A330F"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w:t>
            </w:r>
          </w:p>
        </w:tc>
        <w:tc>
          <w:tcPr>
            <w:tcW w:w="1240" w:type="dxa"/>
            <w:tcBorders>
              <w:top w:val="nil"/>
              <w:left w:val="nil"/>
              <w:bottom w:val="double" w:sz="6" w:space="0" w:color="auto"/>
              <w:right w:val="single" w:sz="8" w:space="0" w:color="auto"/>
            </w:tcBorders>
            <w:hideMark/>
          </w:tcPr>
          <w:p w14:paraId="44D58889"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ПСПВШ, АПВ, ЈЛС, МТО</w:t>
            </w:r>
          </w:p>
        </w:tc>
        <w:tc>
          <w:tcPr>
            <w:tcW w:w="1182" w:type="dxa"/>
            <w:tcBorders>
              <w:top w:val="nil"/>
              <w:left w:val="nil"/>
              <w:bottom w:val="double" w:sz="6" w:space="0" w:color="auto"/>
              <w:right w:val="single" w:sz="8" w:space="0" w:color="auto"/>
            </w:tcBorders>
            <w:hideMark/>
          </w:tcPr>
          <w:p w14:paraId="4EE3D18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14EAE9A3" w14:textId="18727B13"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double" w:sz="6" w:space="0" w:color="auto"/>
              <w:right w:val="single" w:sz="8" w:space="0" w:color="auto"/>
            </w:tcBorders>
            <w:hideMark/>
          </w:tcPr>
          <w:p w14:paraId="1311DCC6" w14:textId="0A013E6D"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0103-420-0002-451</w:t>
            </w:r>
          </w:p>
        </w:tc>
        <w:tc>
          <w:tcPr>
            <w:tcW w:w="1002" w:type="dxa"/>
            <w:tcBorders>
              <w:top w:val="nil"/>
              <w:left w:val="nil"/>
              <w:bottom w:val="double" w:sz="6" w:space="0" w:color="auto"/>
              <w:right w:val="single" w:sz="8" w:space="0" w:color="auto"/>
            </w:tcBorders>
            <w:hideMark/>
          </w:tcPr>
          <w:p w14:paraId="2F4F4124" w14:textId="247AC593" w:rsidR="00CC76FE" w:rsidRPr="00EF2F18" w:rsidRDefault="00CC76FE"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400.000</w:t>
            </w:r>
          </w:p>
        </w:tc>
        <w:tc>
          <w:tcPr>
            <w:tcW w:w="1407" w:type="dxa"/>
            <w:tcBorders>
              <w:top w:val="nil"/>
              <w:left w:val="nil"/>
              <w:bottom w:val="double" w:sz="6" w:space="0" w:color="auto"/>
              <w:right w:val="single" w:sz="8" w:space="0" w:color="auto"/>
            </w:tcBorders>
            <w:hideMark/>
          </w:tcPr>
          <w:p w14:paraId="0E82D82D" w14:textId="5F54E31A" w:rsidR="00CC76FE" w:rsidRPr="00EF2F18" w:rsidRDefault="003821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710" w:type="dxa"/>
            <w:tcBorders>
              <w:top w:val="nil"/>
              <w:left w:val="nil"/>
              <w:bottom w:val="double" w:sz="6" w:space="0" w:color="auto"/>
              <w:right w:val="single" w:sz="8" w:space="0" w:color="auto"/>
            </w:tcBorders>
          </w:tcPr>
          <w:p w14:paraId="4CABDE82" w14:textId="5699433F" w:rsidR="00CC76FE" w:rsidRPr="00EF2F18" w:rsidRDefault="003821D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r>
    </w:tbl>
    <w:p w14:paraId="4F1B5641" w14:textId="7EADF354" w:rsidR="007D7243" w:rsidRPr="00EF2F18" w:rsidRDefault="00573FE5" w:rsidP="007D7243">
      <w:pPr>
        <w:spacing w:after="0"/>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2F9F0B4F" w14:textId="77777777" w:rsidR="00A25CE0" w:rsidRPr="00EF2F18" w:rsidRDefault="00A25CE0" w:rsidP="007D7243">
      <w:pPr>
        <w:spacing w:after="0"/>
        <w:rPr>
          <w:rFonts w:cs="Times New Roman"/>
          <w:b/>
          <w:bCs/>
          <w:sz w:val="20"/>
          <w:szCs w:val="20"/>
          <w:lang w:val="sr-Cyrl-RS"/>
        </w:rPr>
      </w:pPr>
    </w:p>
    <w:p w14:paraId="66C8D00E" w14:textId="77777777" w:rsidR="007D7243" w:rsidRPr="00EF2F18" w:rsidRDefault="007D7243" w:rsidP="007D7243">
      <w:pPr>
        <w:spacing w:after="0"/>
        <w:rPr>
          <w:rFonts w:cs="Times New Roman"/>
          <w:sz w:val="20"/>
          <w:szCs w:val="20"/>
          <w:lang w:val="sr-Cyrl-RS"/>
        </w:rPr>
      </w:pPr>
    </w:p>
    <w:tbl>
      <w:tblPr>
        <w:tblStyle w:val="TableGrid"/>
        <w:tblW w:w="13630"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4361"/>
        <w:gridCol w:w="1653"/>
        <w:gridCol w:w="1634"/>
        <w:gridCol w:w="1409"/>
        <w:gridCol w:w="1428"/>
        <w:gridCol w:w="1361"/>
        <w:gridCol w:w="1772"/>
        <w:gridCol w:w="12"/>
      </w:tblGrid>
      <w:tr w:rsidR="007D7243" w:rsidRPr="00EF2F18" w14:paraId="50D900D3" w14:textId="77777777" w:rsidTr="00752CA0">
        <w:trPr>
          <w:trHeight w:val="454"/>
        </w:trPr>
        <w:tc>
          <w:tcPr>
            <w:tcW w:w="13630" w:type="dxa"/>
            <w:gridSpan w:val="8"/>
            <w:shd w:val="clear" w:color="auto" w:fill="DEEAF6" w:themeFill="accent1" w:themeFillTint="33"/>
          </w:tcPr>
          <w:p w14:paraId="40E29E20" w14:textId="77777777" w:rsidR="007D7243" w:rsidRPr="00EF2F18" w:rsidRDefault="007D7243" w:rsidP="00752CA0">
            <w:pPr>
              <w:rPr>
                <w:rFonts w:cs="Times New Roman"/>
                <w:b/>
                <w:sz w:val="20"/>
                <w:szCs w:val="20"/>
                <w:lang w:val="sr-Cyrl-RS"/>
              </w:rPr>
            </w:pPr>
            <w:r w:rsidRPr="00EF2F18">
              <w:rPr>
                <w:rFonts w:cs="Times New Roman"/>
                <w:b/>
                <w:sz w:val="20"/>
                <w:szCs w:val="20"/>
                <w:lang w:val="sr-Cyrl-RS"/>
              </w:rPr>
              <w:t xml:space="preserve">Општи циљ 6: </w:t>
            </w:r>
            <w:r w:rsidRPr="00EF2F18">
              <w:rPr>
                <w:rFonts w:cs="Times New Roman"/>
                <w:b/>
                <w:bCs/>
                <w:sz w:val="20"/>
                <w:szCs w:val="20"/>
                <w:lang w:val="sr-Cyrl-RS"/>
              </w:rPr>
              <w:t xml:space="preserve">Унапређење интегрисаног приступа заштити и управљању животном средином у складу са међународним и ЕУ стандардима </w:t>
            </w:r>
          </w:p>
        </w:tc>
      </w:tr>
      <w:tr w:rsidR="007D7243" w:rsidRPr="00EF2F18" w14:paraId="436FABD5" w14:textId="77777777" w:rsidTr="00752CA0">
        <w:trPr>
          <w:trHeight w:val="424"/>
        </w:trPr>
        <w:tc>
          <w:tcPr>
            <w:tcW w:w="13630" w:type="dxa"/>
            <w:gridSpan w:val="8"/>
            <w:shd w:val="clear" w:color="auto" w:fill="DEEAF6" w:themeFill="accent1" w:themeFillTint="33"/>
            <w:vAlign w:val="center"/>
          </w:tcPr>
          <w:p w14:paraId="30017845" w14:textId="77777777" w:rsidR="007D7243" w:rsidRPr="00EF2F18" w:rsidRDefault="007D7243" w:rsidP="00752CA0">
            <w:pPr>
              <w:rPr>
                <w:rFonts w:cs="Times New Roman"/>
                <w:sz w:val="20"/>
                <w:szCs w:val="20"/>
                <w:lang w:val="sr-Cyrl-RS"/>
              </w:rPr>
            </w:pPr>
            <w:r w:rsidRPr="00EF2F18">
              <w:rPr>
                <w:rFonts w:eastAsia="Times New Roman" w:cs="Times New Roman"/>
                <w:color w:val="222222"/>
                <w:sz w:val="20"/>
                <w:szCs w:val="20"/>
                <w:lang w:val="sr-Cyrl-RS"/>
              </w:rPr>
              <w:t xml:space="preserve">Институција одговорна за праћење и контролу реализације: </w:t>
            </w:r>
            <w:r w:rsidRPr="00EF2F18">
              <w:rPr>
                <w:rFonts w:cs="Times New Roman"/>
                <w:sz w:val="20"/>
                <w:szCs w:val="20"/>
                <w:lang w:val="sr-Cyrl-RS"/>
              </w:rPr>
              <w:t xml:space="preserve">Министарство заштите животне средине </w:t>
            </w:r>
          </w:p>
        </w:tc>
      </w:tr>
      <w:tr w:rsidR="007D7243" w:rsidRPr="00EF2F18" w14:paraId="23C06D12" w14:textId="77777777" w:rsidTr="00752CA0">
        <w:trPr>
          <w:gridAfter w:val="1"/>
          <w:wAfter w:w="12" w:type="dxa"/>
          <w:trHeight w:val="424"/>
        </w:trPr>
        <w:tc>
          <w:tcPr>
            <w:tcW w:w="4361" w:type="dxa"/>
            <w:shd w:val="clear" w:color="auto" w:fill="D9D9D9" w:themeFill="background1" w:themeFillShade="D9"/>
          </w:tcPr>
          <w:p w14:paraId="2E1FF022"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 xml:space="preserve">Показатељ (и) на нивоу oпштег циља </w:t>
            </w:r>
            <w:r w:rsidRPr="00EF2F18">
              <w:rPr>
                <w:rFonts w:cs="Times New Roman"/>
                <w:i/>
                <w:sz w:val="20"/>
                <w:szCs w:val="20"/>
                <w:lang w:val="sr-Cyrl-RS"/>
              </w:rPr>
              <w:t>(показатељ eфекта)</w:t>
            </w:r>
          </w:p>
        </w:tc>
        <w:tc>
          <w:tcPr>
            <w:tcW w:w="1653" w:type="dxa"/>
            <w:shd w:val="clear" w:color="auto" w:fill="D9D9D9" w:themeFill="background1" w:themeFillShade="D9"/>
          </w:tcPr>
          <w:p w14:paraId="1A4C1575"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Jединица мере</w:t>
            </w:r>
          </w:p>
          <w:p w14:paraId="73DFD975" w14:textId="77777777" w:rsidR="007D7243" w:rsidRPr="00EF2F18" w:rsidRDefault="007D7243" w:rsidP="00752CA0">
            <w:pPr>
              <w:jc w:val="center"/>
              <w:rPr>
                <w:rFonts w:cs="Times New Roman"/>
                <w:sz w:val="20"/>
                <w:szCs w:val="20"/>
                <w:lang w:val="sr-Cyrl-RS"/>
              </w:rPr>
            </w:pPr>
          </w:p>
        </w:tc>
        <w:tc>
          <w:tcPr>
            <w:tcW w:w="1634" w:type="dxa"/>
            <w:shd w:val="clear" w:color="auto" w:fill="D9D9D9" w:themeFill="background1" w:themeFillShade="D9"/>
          </w:tcPr>
          <w:p w14:paraId="6DA640EE"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Извор провере</w:t>
            </w:r>
          </w:p>
        </w:tc>
        <w:tc>
          <w:tcPr>
            <w:tcW w:w="1409" w:type="dxa"/>
            <w:shd w:val="clear" w:color="auto" w:fill="D9D9D9" w:themeFill="background1" w:themeFillShade="D9"/>
          </w:tcPr>
          <w:p w14:paraId="1E15EC2A"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Почетна вредност</w:t>
            </w:r>
          </w:p>
        </w:tc>
        <w:tc>
          <w:tcPr>
            <w:tcW w:w="1428" w:type="dxa"/>
            <w:shd w:val="clear" w:color="auto" w:fill="D9D9D9" w:themeFill="background1" w:themeFillShade="D9"/>
          </w:tcPr>
          <w:p w14:paraId="4A11CAEB"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Базна година</w:t>
            </w:r>
          </w:p>
        </w:tc>
        <w:tc>
          <w:tcPr>
            <w:tcW w:w="1361" w:type="dxa"/>
            <w:shd w:val="clear" w:color="auto" w:fill="D9D9D9" w:themeFill="background1" w:themeFillShade="D9"/>
          </w:tcPr>
          <w:p w14:paraId="27A27409"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Циљaна вредност</w:t>
            </w:r>
          </w:p>
        </w:tc>
        <w:tc>
          <w:tcPr>
            <w:tcW w:w="1772" w:type="dxa"/>
            <w:shd w:val="clear" w:color="auto" w:fill="D9D9D9" w:themeFill="background1" w:themeFillShade="D9"/>
          </w:tcPr>
          <w:p w14:paraId="1E4A4EDE" w14:textId="77777777" w:rsidR="007D7243" w:rsidRPr="00EF2F18" w:rsidRDefault="007D7243" w:rsidP="00752CA0">
            <w:pPr>
              <w:jc w:val="center"/>
              <w:rPr>
                <w:rFonts w:cs="Times New Roman"/>
                <w:sz w:val="20"/>
                <w:szCs w:val="20"/>
                <w:lang w:val="sr-Cyrl-RS"/>
              </w:rPr>
            </w:pPr>
            <w:r w:rsidRPr="00EF2F18">
              <w:rPr>
                <w:rFonts w:cs="Times New Roman"/>
                <w:sz w:val="20"/>
                <w:szCs w:val="20"/>
                <w:lang w:val="sr-Cyrl-RS"/>
              </w:rPr>
              <w:t>Последња година важења АП</w:t>
            </w:r>
          </w:p>
        </w:tc>
      </w:tr>
      <w:tr w:rsidR="007D7243" w:rsidRPr="00EF2F18" w14:paraId="02E5A10E" w14:textId="77777777" w:rsidTr="00752CA0">
        <w:trPr>
          <w:gridAfter w:val="1"/>
          <w:wAfter w:w="12" w:type="dxa"/>
          <w:trHeight w:val="197"/>
        </w:trPr>
        <w:tc>
          <w:tcPr>
            <w:tcW w:w="4361" w:type="dxa"/>
            <w:shd w:val="clear" w:color="auto" w:fill="FFFFFF" w:themeFill="background1"/>
          </w:tcPr>
          <w:p w14:paraId="28251DE3"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У потпуности примењено хоризонтално законодавство ЕУ</w:t>
            </w:r>
          </w:p>
        </w:tc>
        <w:tc>
          <w:tcPr>
            <w:tcW w:w="1653" w:type="dxa"/>
            <w:shd w:val="clear" w:color="auto" w:fill="FFFFFF" w:themeFill="background1"/>
          </w:tcPr>
          <w:p w14:paraId="32F858D8"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eastAsia="Arial" w:cs="Times New Roman"/>
                <w:color w:val="000000"/>
                <w:sz w:val="20"/>
                <w:szCs w:val="20"/>
                <w:lang w:val="sr-Cyrl-RS"/>
              </w:rPr>
              <w:t>да/делимично/не</w:t>
            </w:r>
          </w:p>
        </w:tc>
        <w:tc>
          <w:tcPr>
            <w:tcW w:w="1634" w:type="dxa"/>
            <w:shd w:val="clear" w:color="auto" w:fill="FFFFFF" w:themeFill="background1"/>
          </w:tcPr>
          <w:p w14:paraId="7C7525F7"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eastAsia="Calibri" w:cs="Times New Roman"/>
                <w:color w:val="000000"/>
                <w:kern w:val="24"/>
                <w:sz w:val="18"/>
                <w:szCs w:val="18"/>
                <w:lang w:val="sr-Cyrl-RS"/>
              </w:rPr>
              <w:t>МЗЖС</w:t>
            </w:r>
          </w:p>
        </w:tc>
        <w:tc>
          <w:tcPr>
            <w:tcW w:w="1409" w:type="dxa"/>
            <w:shd w:val="clear" w:color="auto" w:fill="FFFFFF" w:themeFill="background1"/>
          </w:tcPr>
          <w:p w14:paraId="353E6A38"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eastAsia="Arial" w:cs="Times New Roman"/>
                <w:color w:val="000000"/>
                <w:sz w:val="20"/>
                <w:szCs w:val="20"/>
                <w:lang w:val="sr-Cyrl-RS"/>
              </w:rPr>
              <w:t>делимично</w:t>
            </w:r>
          </w:p>
        </w:tc>
        <w:tc>
          <w:tcPr>
            <w:tcW w:w="1428" w:type="dxa"/>
            <w:shd w:val="clear" w:color="auto" w:fill="FFFFFF" w:themeFill="background1"/>
          </w:tcPr>
          <w:p w14:paraId="367DB8FE"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2022.</w:t>
            </w:r>
          </w:p>
        </w:tc>
        <w:tc>
          <w:tcPr>
            <w:tcW w:w="1361" w:type="dxa"/>
            <w:shd w:val="clear" w:color="auto" w:fill="FFFFFF" w:themeFill="background1"/>
          </w:tcPr>
          <w:p w14:paraId="102EA92A"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да</w:t>
            </w:r>
          </w:p>
        </w:tc>
        <w:tc>
          <w:tcPr>
            <w:tcW w:w="1772" w:type="dxa"/>
            <w:shd w:val="clear" w:color="auto" w:fill="FFFFFF" w:themeFill="background1"/>
          </w:tcPr>
          <w:p w14:paraId="691C6F45"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r w:rsidR="007D7243" w:rsidRPr="00EF2F18" w14:paraId="3321E4F7" w14:textId="77777777" w:rsidTr="00752CA0">
        <w:trPr>
          <w:gridAfter w:val="1"/>
          <w:wAfter w:w="12" w:type="dxa"/>
          <w:trHeight w:val="197"/>
        </w:trPr>
        <w:tc>
          <w:tcPr>
            <w:tcW w:w="4361" w:type="dxa"/>
            <w:shd w:val="clear" w:color="auto" w:fill="FFFFFF" w:themeFill="background1"/>
          </w:tcPr>
          <w:p w14:paraId="3E605AA5" w14:textId="77777777" w:rsidR="007D7243" w:rsidRPr="00EF2F18" w:rsidRDefault="007D7243" w:rsidP="00752CA0">
            <w:pPr>
              <w:shd w:val="clear" w:color="auto" w:fill="FFFFFF" w:themeFill="background1"/>
              <w:rPr>
                <w:rFonts w:cs="Times New Roman"/>
                <w:sz w:val="20"/>
                <w:szCs w:val="20"/>
                <w:lang w:val="sr-Cyrl-RS"/>
              </w:rPr>
            </w:pPr>
            <w:r w:rsidRPr="00EF2F18">
              <w:rPr>
                <w:rFonts w:cs="Times New Roman"/>
                <w:sz w:val="20"/>
                <w:szCs w:val="20"/>
                <w:lang w:val="sr-Cyrl-RS"/>
              </w:rPr>
              <w:t xml:space="preserve">Учешће трошкова за заштиту животне средине у бруто домаћем производу </w:t>
            </w:r>
          </w:p>
        </w:tc>
        <w:tc>
          <w:tcPr>
            <w:tcW w:w="1653" w:type="dxa"/>
            <w:shd w:val="clear" w:color="auto" w:fill="FFFFFF" w:themeFill="background1"/>
          </w:tcPr>
          <w:p w14:paraId="11824D81"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w:t>
            </w:r>
          </w:p>
        </w:tc>
        <w:tc>
          <w:tcPr>
            <w:tcW w:w="1634" w:type="dxa"/>
            <w:shd w:val="clear" w:color="auto" w:fill="FFFFFF" w:themeFill="background1"/>
          </w:tcPr>
          <w:p w14:paraId="4EE40503"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РЗС</w:t>
            </w:r>
          </w:p>
        </w:tc>
        <w:tc>
          <w:tcPr>
            <w:tcW w:w="1409" w:type="dxa"/>
            <w:shd w:val="clear" w:color="auto" w:fill="FFFFFF" w:themeFill="background1"/>
          </w:tcPr>
          <w:p w14:paraId="1CA111F1"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1</w:t>
            </w:r>
          </w:p>
        </w:tc>
        <w:tc>
          <w:tcPr>
            <w:tcW w:w="1428" w:type="dxa"/>
            <w:shd w:val="clear" w:color="auto" w:fill="FFFFFF" w:themeFill="background1"/>
          </w:tcPr>
          <w:p w14:paraId="6A3A19D3"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2022.</w:t>
            </w:r>
          </w:p>
        </w:tc>
        <w:tc>
          <w:tcPr>
            <w:tcW w:w="1361" w:type="dxa"/>
            <w:shd w:val="clear" w:color="auto" w:fill="FFFFFF" w:themeFill="background1"/>
          </w:tcPr>
          <w:p w14:paraId="51FD943C"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w:t>
            </w:r>
          </w:p>
        </w:tc>
        <w:tc>
          <w:tcPr>
            <w:tcW w:w="1772" w:type="dxa"/>
            <w:shd w:val="clear" w:color="auto" w:fill="FFFFFF" w:themeFill="background1"/>
          </w:tcPr>
          <w:p w14:paraId="082CA0CF" w14:textId="77777777" w:rsidR="007D7243" w:rsidRPr="00EF2F18" w:rsidRDefault="007D7243" w:rsidP="00752CA0">
            <w:pPr>
              <w:shd w:val="clear" w:color="auto" w:fill="FFFFFF" w:themeFill="background1"/>
              <w:jc w:val="center"/>
              <w:rPr>
                <w:rFonts w:cs="Times New Roman"/>
                <w:sz w:val="20"/>
                <w:szCs w:val="20"/>
                <w:lang w:val="sr-Cyrl-RS"/>
              </w:rPr>
            </w:pPr>
            <w:r w:rsidRPr="00EF2F18">
              <w:rPr>
                <w:rFonts w:cs="Times New Roman"/>
                <w:sz w:val="20"/>
                <w:szCs w:val="20"/>
                <w:lang w:val="sr-Cyrl-RS"/>
              </w:rPr>
              <w:t>2028.</w:t>
            </w:r>
          </w:p>
        </w:tc>
      </w:tr>
    </w:tbl>
    <w:p w14:paraId="3659A150" w14:textId="77777777" w:rsidR="007D7243" w:rsidRPr="00EF2F18" w:rsidRDefault="007D7243" w:rsidP="007D7243">
      <w:pPr>
        <w:rPr>
          <w:rFonts w:cs="Times New Roman"/>
          <w:sz w:val="20"/>
          <w:szCs w:val="20"/>
          <w:lang w:val="sr-Cyrl-RS"/>
        </w:rPr>
      </w:pPr>
    </w:p>
    <w:tbl>
      <w:tblPr>
        <w:tblW w:w="13906" w:type="dxa"/>
        <w:tblLook w:val="04A0" w:firstRow="1" w:lastRow="0" w:firstColumn="1" w:lastColumn="0" w:noHBand="0" w:noVBand="1"/>
      </w:tblPr>
      <w:tblGrid>
        <w:gridCol w:w="3576"/>
        <w:gridCol w:w="1152"/>
        <w:gridCol w:w="1500"/>
        <w:gridCol w:w="1265"/>
        <w:gridCol w:w="1085"/>
        <w:gridCol w:w="1265"/>
        <w:gridCol w:w="1577"/>
        <w:gridCol w:w="2229"/>
        <w:gridCol w:w="21"/>
        <w:gridCol w:w="236"/>
      </w:tblGrid>
      <w:tr w:rsidR="007D7243" w:rsidRPr="00EF2F18" w14:paraId="1698003C" w14:textId="77777777" w:rsidTr="00CC76FE">
        <w:trPr>
          <w:gridAfter w:val="2"/>
          <w:wAfter w:w="257" w:type="dxa"/>
          <w:trHeight w:val="336"/>
        </w:trPr>
        <w:tc>
          <w:tcPr>
            <w:tcW w:w="13649" w:type="dxa"/>
            <w:gridSpan w:val="8"/>
            <w:tcBorders>
              <w:top w:val="double" w:sz="6" w:space="0" w:color="auto"/>
              <w:left w:val="single" w:sz="8" w:space="0" w:color="auto"/>
              <w:bottom w:val="single" w:sz="8" w:space="0" w:color="auto"/>
              <w:right w:val="double" w:sz="6" w:space="0" w:color="auto"/>
            </w:tcBorders>
            <w:shd w:val="clear" w:color="000000" w:fill="C5E0B3"/>
            <w:hideMark/>
          </w:tcPr>
          <w:p w14:paraId="278E3BC7"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6.1: Подизање капацитета и нивоа знања за примену ЕУ стандарда и Зелене агенде на свим нивоима</w:t>
            </w:r>
          </w:p>
        </w:tc>
      </w:tr>
      <w:tr w:rsidR="007D7243" w:rsidRPr="00EF2F18" w14:paraId="22E975D3" w14:textId="77777777" w:rsidTr="00CC76FE">
        <w:trPr>
          <w:gridAfter w:val="2"/>
          <w:wAfter w:w="257" w:type="dxa"/>
          <w:trHeight w:val="324"/>
        </w:trPr>
        <w:tc>
          <w:tcPr>
            <w:tcW w:w="13649" w:type="dxa"/>
            <w:gridSpan w:val="8"/>
            <w:tcBorders>
              <w:top w:val="single" w:sz="8" w:space="0" w:color="auto"/>
              <w:left w:val="single" w:sz="8" w:space="0" w:color="auto"/>
              <w:bottom w:val="single" w:sz="8" w:space="0" w:color="auto"/>
              <w:right w:val="double" w:sz="6" w:space="0" w:color="auto"/>
            </w:tcBorders>
            <w:shd w:val="clear" w:color="000000" w:fill="C5E0B3"/>
            <w:hideMark/>
          </w:tcPr>
          <w:p w14:paraId="604DC77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Институција одговорна за координацију и извештавање: Министарство заштите животне средине </w:t>
            </w:r>
          </w:p>
        </w:tc>
      </w:tr>
      <w:tr w:rsidR="00CC76FE" w:rsidRPr="00EF2F18" w14:paraId="5AA54A74" w14:textId="77777777" w:rsidTr="00CC76FE">
        <w:trPr>
          <w:gridAfter w:val="1"/>
          <w:wAfter w:w="236" w:type="dxa"/>
          <w:trHeight w:val="468"/>
        </w:trPr>
        <w:tc>
          <w:tcPr>
            <w:tcW w:w="3576" w:type="dxa"/>
            <w:vMerge w:val="restart"/>
            <w:tcBorders>
              <w:top w:val="nil"/>
              <w:left w:val="single" w:sz="8" w:space="0" w:color="auto"/>
              <w:bottom w:val="single" w:sz="8" w:space="0" w:color="000000"/>
              <w:right w:val="single" w:sz="8" w:space="0" w:color="auto"/>
            </w:tcBorders>
            <w:shd w:val="clear" w:color="000000" w:fill="D9D9D9"/>
            <w:hideMark/>
          </w:tcPr>
          <w:p w14:paraId="7159DA7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52" w:type="dxa"/>
            <w:vMerge w:val="restart"/>
            <w:tcBorders>
              <w:top w:val="nil"/>
              <w:left w:val="single" w:sz="8" w:space="0" w:color="auto"/>
              <w:bottom w:val="single" w:sz="8" w:space="0" w:color="000000"/>
              <w:right w:val="single" w:sz="8" w:space="0" w:color="auto"/>
            </w:tcBorders>
            <w:shd w:val="clear" w:color="000000" w:fill="D9D9D9"/>
            <w:hideMark/>
          </w:tcPr>
          <w:p w14:paraId="1F1F1DF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500" w:type="dxa"/>
            <w:vMerge w:val="restart"/>
            <w:tcBorders>
              <w:top w:val="nil"/>
              <w:left w:val="single" w:sz="8" w:space="0" w:color="auto"/>
              <w:bottom w:val="single" w:sz="8" w:space="0" w:color="000000"/>
              <w:right w:val="single" w:sz="8" w:space="0" w:color="auto"/>
            </w:tcBorders>
            <w:shd w:val="clear" w:color="000000" w:fill="D9D9D9"/>
            <w:hideMark/>
          </w:tcPr>
          <w:p w14:paraId="07CE381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265" w:type="dxa"/>
            <w:vMerge w:val="restart"/>
            <w:tcBorders>
              <w:top w:val="nil"/>
              <w:left w:val="single" w:sz="8" w:space="0" w:color="auto"/>
              <w:bottom w:val="single" w:sz="8" w:space="0" w:color="000000"/>
              <w:right w:val="single" w:sz="8" w:space="0" w:color="auto"/>
            </w:tcBorders>
            <w:shd w:val="clear" w:color="000000" w:fill="D9D9D9"/>
            <w:hideMark/>
          </w:tcPr>
          <w:p w14:paraId="0D49D71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085" w:type="dxa"/>
            <w:vMerge w:val="restart"/>
            <w:tcBorders>
              <w:top w:val="nil"/>
              <w:left w:val="single" w:sz="8" w:space="0" w:color="auto"/>
              <w:bottom w:val="single" w:sz="8" w:space="0" w:color="000000"/>
              <w:right w:val="single" w:sz="8" w:space="0" w:color="auto"/>
            </w:tcBorders>
            <w:shd w:val="clear" w:color="000000" w:fill="D9D9D9"/>
            <w:hideMark/>
          </w:tcPr>
          <w:p w14:paraId="64CE65CD"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265" w:type="dxa"/>
            <w:vMerge w:val="restart"/>
            <w:tcBorders>
              <w:top w:val="nil"/>
              <w:left w:val="single" w:sz="8" w:space="0" w:color="auto"/>
              <w:bottom w:val="single" w:sz="8" w:space="0" w:color="000000"/>
              <w:right w:val="single" w:sz="8" w:space="0" w:color="auto"/>
            </w:tcBorders>
            <w:shd w:val="clear" w:color="000000" w:fill="D9D9D9"/>
            <w:hideMark/>
          </w:tcPr>
          <w:p w14:paraId="533A059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77" w:type="dxa"/>
            <w:vMerge w:val="restart"/>
            <w:tcBorders>
              <w:top w:val="nil"/>
              <w:left w:val="single" w:sz="8" w:space="0" w:color="auto"/>
              <w:bottom w:val="single" w:sz="8" w:space="0" w:color="000000"/>
              <w:right w:val="single" w:sz="8" w:space="0" w:color="auto"/>
            </w:tcBorders>
            <w:shd w:val="clear" w:color="000000" w:fill="D9D9D9"/>
            <w:hideMark/>
          </w:tcPr>
          <w:p w14:paraId="73F5E093"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2250" w:type="dxa"/>
            <w:gridSpan w:val="2"/>
            <w:vMerge w:val="restart"/>
            <w:tcBorders>
              <w:top w:val="nil"/>
              <w:left w:val="single" w:sz="8" w:space="0" w:color="auto"/>
              <w:bottom w:val="single" w:sz="8" w:space="0" w:color="000000"/>
              <w:right w:val="double" w:sz="6" w:space="0" w:color="auto"/>
            </w:tcBorders>
            <w:shd w:val="clear" w:color="000000" w:fill="D9D9D9"/>
            <w:hideMark/>
          </w:tcPr>
          <w:p w14:paraId="3AB55C5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65ED01D4" w14:textId="77777777" w:rsidTr="00CC76FE">
        <w:trPr>
          <w:trHeight w:val="324"/>
        </w:trPr>
        <w:tc>
          <w:tcPr>
            <w:tcW w:w="3576" w:type="dxa"/>
            <w:vMerge/>
            <w:tcBorders>
              <w:top w:val="nil"/>
              <w:left w:val="single" w:sz="8" w:space="0" w:color="auto"/>
              <w:bottom w:val="single" w:sz="8" w:space="0" w:color="000000"/>
              <w:right w:val="single" w:sz="8" w:space="0" w:color="auto"/>
            </w:tcBorders>
            <w:vAlign w:val="center"/>
            <w:hideMark/>
          </w:tcPr>
          <w:p w14:paraId="122628D9" w14:textId="77777777" w:rsidR="00CC76FE" w:rsidRPr="00EF2F18" w:rsidRDefault="00CC76FE" w:rsidP="00752CA0">
            <w:pPr>
              <w:spacing w:after="0"/>
              <w:rPr>
                <w:rFonts w:eastAsia="Times New Roman" w:cs="Times New Roman"/>
                <w:color w:val="000000"/>
                <w:sz w:val="20"/>
                <w:szCs w:val="20"/>
                <w:lang w:val="sr-Cyrl-RS" w:eastAsia="en-GB"/>
              </w:rPr>
            </w:pPr>
          </w:p>
        </w:tc>
        <w:tc>
          <w:tcPr>
            <w:tcW w:w="1152" w:type="dxa"/>
            <w:vMerge/>
            <w:tcBorders>
              <w:top w:val="nil"/>
              <w:left w:val="single" w:sz="8" w:space="0" w:color="auto"/>
              <w:bottom w:val="single" w:sz="8" w:space="0" w:color="000000"/>
              <w:right w:val="single" w:sz="8" w:space="0" w:color="auto"/>
            </w:tcBorders>
            <w:vAlign w:val="center"/>
            <w:hideMark/>
          </w:tcPr>
          <w:p w14:paraId="5CF9C51A" w14:textId="77777777" w:rsidR="00CC76FE" w:rsidRPr="00EF2F18" w:rsidRDefault="00CC76FE" w:rsidP="00752CA0">
            <w:pPr>
              <w:spacing w:after="0"/>
              <w:rPr>
                <w:rFonts w:eastAsia="Times New Roman" w:cs="Times New Roman"/>
                <w:color w:val="000000"/>
                <w:sz w:val="20"/>
                <w:szCs w:val="20"/>
                <w:lang w:val="sr-Cyrl-RS" w:eastAsia="en-GB"/>
              </w:rPr>
            </w:pPr>
          </w:p>
        </w:tc>
        <w:tc>
          <w:tcPr>
            <w:tcW w:w="1500" w:type="dxa"/>
            <w:vMerge/>
            <w:tcBorders>
              <w:top w:val="nil"/>
              <w:left w:val="single" w:sz="8" w:space="0" w:color="auto"/>
              <w:bottom w:val="single" w:sz="8" w:space="0" w:color="000000"/>
              <w:right w:val="single" w:sz="8" w:space="0" w:color="auto"/>
            </w:tcBorders>
            <w:vAlign w:val="center"/>
            <w:hideMark/>
          </w:tcPr>
          <w:p w14:paraId="750B6017" w14:textId="77777777" w:rsidR="00CC76FE" w:rsidRPr="00EF2F18" w:rsidRDefault="00CC76FE"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vAlign w:val="center"/>
            <w:hideMark/>
          </w:tcPr>
          <w:p w14:paraId="507256E7" w14:textId="77777777" w:rsidR="00CC76FE" w:rsidRPr="00EF2F18" w:rsidRDefault="00CC76FE" w:rsidP="00752CA0">
            <w:pPr>
              <w:spacing w:after="0"/>
              <w:rPr>
                <w:rFonts w:eastAsia="Times New Roman" w:cs="Times New Roman"/>
                <w:color w:val="000000"/>
                <w:sz w:val="20"/>
                <w:szCs w:val="20"/>
                <w:lang w:val="sr-Cyrl-RS" w:eastAsia="en-GB"/>
              </w:rPr>
            </w:pPr>
          </w:p>
        </w:tc>
        <w:tc>
          <w:tcPr>
            <w:tcW w:w="1085" w:type="dxa"/>
            <w:vMerge/>
            <w:tcBorders>
              <w:top w:val="nil"/>
              <w:left w:val="single" w:sz="8" w:space="0" w:color="auto"/>
              <w:bottom w:val="single" w:sz="8" w:space="0" w:color="000000"/>
              <w:right w:val="single" w:sz="8" w:space="0" w:color="auto"/>
            </w:tcBorders>
            <w:vAlign w:val="center"/>
            <w:hideMark/>
          </w:tcPr>
          <w:p w14:paraId="4D7CC232" w14:textId="77777777" w:rsidR="00CC76FE" w:rsidRPr="00EF2F18" w:rsidRDefault="00CC76FE"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vAlign w:val="center"/>
            <w:hideMark/>
          </w:tcPr>
          <w:p w14:paraId="2656260C" w14:textId="77777777" w:rsidR="00CC76FE" w:rsidRPr="00EF2F18" w:rsidRDefault="00CC76FE" w:rsidP="00752CA0">
            <w:pPr>
              <w:spacing w:after="0"/>
              <w:rPr>
                <w:rFonts w:eastAsia="Times New Roman" w:cs="Times New Roman"/>
                <w:color w:val="000000"/>
                <w:sz w:val="20"/>
                <w:szCs w:val="20"/>
                <w:lang w:val="sr-Cyrl-RS" w:eastAsia="en-GB"/>
              </w:rPr>
            </w:pPr>
          </w:p>
        </w:tc>
        <w:tc>
          <w:tcPr>
            <w:tcW w:w="1577" w:type="dxa"/>
            <w:vMerge/>
            <w:tcBorders>
              <w:top w:val="nil"/>
              <w:left w:val="single" w:sz="8" w:space="0" w:color="auto"/>
              <w:bottom w:val="single" w:sz="8" w:space="0" w:color="000000"/>
              <w:right w:val="single" w:sz="8" w:space="0" w:color="auto"/>
            </w:tcBorders>
            <w:vAlign w:val="center"/>
            <w:hideMark/>
          </w:tcPr>
          <w:p w14:paraId="51FE5A0C" w14:textId="77777777" w:rsidR="00CC76FE" w:rsidRPr="00EF2F18" w:rsidRDefault="00CC76FE" w:rsidP="00752CA0">
            <w:pPr>
              <w:spacing w:after="0"/>
              <w:rPr>
                <w:rFonts w:eastAsia="Times New Roman" w:cs="Times New Roman"/>
                <w:color w:val="000000"/>
                <w:sz w:val="20"/>
                <w:szCs w:val="20"/>
                <w:lang w:val="sr-Cyrl-RS" w:eastAsia="en-GB"/>
              </w:rPr>
            </w:pPr>
          </w:p>
        </w:tc>
        <w:tc>
          <w:tcPr>
            <w:tcW w:w="2250" w:type="dxa"/>
            <w:gridSpan w:val="2"/>
            <w:vMerge/>
            <w:tcBorders>
              <w:top w:val="nil"/>
              <w:left w:val="single" w:sz="8" w:space="0" w:color="auto"/>
              <w:bottom w:val="single" w:sz="8" w:space="0" w:color="000000"/>
              <w:right w:val="double" w:sz="6" w:space="0" w:color="auto"/>
            </w:tcBorders>
            <w:vAlign w:val="center"/>
            <w:hideMark/>
          </w:tcPr>
          <w:p w14:paraId="25D16756" w14:textId="77777777" w:rsidR="00CC76FE" w:rsidRPr="00EF2F18" w:rsidRDefault="00CC76FE"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vAlign w:val="bottom"/>
            <w:hideMark/>
          </w:tcPr>
          <w:p w14:paraId="6D761413" w14:textId="77777777" w:rsidR="00CC76FE" w:rsidRPr="00EF2F18" w:rsidRDefault="00CC76FE" w:rsidP="00752CA0">
            <w:pPr>
              <w:spacing w:after="0"/>
              <w:rPr>
                <w:rFonts w:eastAsia="Times New Roman" w:cs="Times New Roman"/>
                <w:color w:val="000000"/>
                <w:sz w:val="20"/>
                <w:szCs w:val="20"/>
                <w:lang w:val="sr-Cyrl-RS" w:eastAsia="en-GB"/>
              </w:rPr>
            </w:pPr>
          </w:p>
        </w:tc>
      </w:tr>
      <w:tr w:rsidR="00CC76FE" w:rsidRPr="00EF2F18" w14:paraId="1D0612ED" w14:textId="77777777" w:rsidTr="00CC76FE">
        <w:trPr>
          <w:trHeight w:val="804"/>
        </w:trPr>
        <w:tc>
          <w:tcPr>
            <w:tcW w:w="3576" w:type="dxa"/>
            <w:tcBorders>
              <w:top w:val="nil"/>
              <w:left w:val="single" w:sz="8" w:space="0" w:color="auto"/>
              <w:bottom w:val="double" w:sz="6" w:space="0" w:color="auto"/>
              <w:right w:val="single" w:sz="8" w:space="0" w:color="auto"/>
            </w:tcBorders>
            <w:shd w:val="clear" w:color="000000" w:fill="FFFFFF"/>
            <w:hideMark/>
          </w:tcPr>
          <w:p w14:paraId="506C15A1"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полазника акредитованих обука организованих на свим нивоима, годишње</w:t>
            </w:r>
          </w:p>
        </w:tc>
        <w:tc>
          <w:tcPr>
            <w:tcW w:w="1152" w:type="dxa"/>
            <w:tcBorders>
              <w:top w:val="nil"/>
              <w:left w:val="nil"/>
              <w:bottom w:val="double" w:sz="6" w:space="0" w:color="auto"/>
              <w:right w:val="single" w:sz="8" w:space="0" w:color="auto"/>
            </w:tcBorders>
            <w:shd w:val="clear" w:color="000000" w:fill="FFFFFF"/>
            <w:hideMark/>
          </w:tcPr>
          <w:p w14:paraId="5D86A5B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број</w:t>
            </w:r>
          </w:p>
        </w:tc>
        <w:tc>
          <w:tcPr>
            <w:tcW w:w="1500" w:type="dxa"/>
            <w:tcBorders>
              <w:top w:val="nil"/>
              <w:left w:val="nil"/>
              <w:bottom w:val="double" w:sz="6" w:space="0" w:color="auto"/>
              <w:right w:val="single" w:sz="8" w:space="0" w:color="auto"/>
            </w:tcBorders>
            <w:shd w:val="clear" w:color="000000" w:fill="FFFFFF"/>
            <w:hideMark/>
          </w:tcPr>
          <w:p w14:paraId="1191453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Извештаји МЗЖС, АЗЖС, НАЈУ</w:t>
            </w:r>
          </w:p>
        </w:tc>
        <w:tc>
          <w:tcPr>
            <w:tcW w:w="1265" w:type="dxa"/>
            <w:tcBorders>
              <w:top w:val="nil"/>
              <w:left w:val="nil"/>
              <w:bottom w:val="double" w:sz="6" w:space="0" w:color="auto"/>
              <w:right w:val="single" w:sz="8" w:space="0" w:color="auto"/>
            </w:tcBorders>
            <w:shd w:val="clear" w:color="000000" w:fill="FFFFFF"/>
            <w:hideMark/>
          </w:tcPr>
          <w:p w14:paraId="0D1904A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085" w:type="dxa"/>
            <w:tcBorders>
              <w:top w:val="nil"/>
              <w:left w:val="nil"/>
              <w:bottom w:val="double" w:sz="6" w:space="0" w:color="auto"/>
              <w:right w:val="single" w:sz="8" w:space="0" w:color="auto"/>
            </w:tcBorders>
            <w:shd w:val="clear" w:color="000000" w:fill="FFFFFF"/>
            <w:hideMark/>
          </w:tcPr>
          <w:p w14:paraId="13D3706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265" w:type="dxa"/>
            <w:tcBorders>
              <w:top w:val="nil"/>
              <w:left w:val="nil"/>
              <w:bottom w:val="double" w:sz="6" w:space="0" w:color="auto"/>
              <w:right w:val="single" w:sz="8" w:space="0" w:color="auto"/>
            </w:tcBorders>
            <w:shd w:val="clear" w:color="000000" w:fill="FFFFFF"/>
            <w:hideMark/>
          </w:tcPr>
          <w:p w14:paraId="03A9C5C5"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1577" w:type="dxa"/>
            <w:tcBorders>
              <w:top w:val="nil"/>
              <w:left w:val="nil"/>
              <w:bottom w:val="double" w:sz="6" w:space="0" w:color="auto"/>
              <w:right w:val="single" w:sz="8" w:space="0" w:color="auto"/>
            </w:tcBorders>
            <w:shd w:val="clear" w:color="000000" w:fill="FFFFFF"/>
            <w:hideMark/>
          </w:tcPr>
          <w:p w14:paraId="2314C8EC"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2250" w:type="dxa"/>
            <w:gridSpan w:val="2"/>
            <w:tcBorders>
              <w:top w:val="nil"/>
              <w:left w:val="nil"/>
              <w:bottom w:val="double" w:sz="6" w:space="0" w:color="auto"/>
              <w:right w:val="double" w:sz="6" w:space="0" w:color="auto"/>
            </w:tcBorders>
            <w:shd w:val="clear" w:color="000000" w:fill="FFFFFF"/>
            <w:hideMark/>
          </w:tcPr>
          <w:p w14:paraId="6F6CBB9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236" w:type="dxa"/>
            <w:vAlign w:val="center"/>
            <w:hideMark/>
          </w:tcPr>
          <w:p w14:paraId="39661A27" w14:textId="77777777" w:rsidR="00CC76FE" w:rsidRPr="00EF2F18" w:rsidRDefault="00CC76FE" w:rsidP="00752CA0">
            <w:pPr>
              <w:spacing w:after="0"/>
              <w:rPr>
                <w:rFonts w:eastAsia="Times New Roman" w:cs="Times New Roman"/>
                <w:sz w:val="20"/>
                <w:szCs w:val="20"/>
                <w:lang w:val="sr-Cyrl-RS" w:eastAsia="en-GB"/>
              </w:rPr>
            </w:pPr>
          </w:p>
        </w:tc>
      </w:tr>
    </w:tbl>
    <w:p w14:paraId="0D10CFE3" w14:textId="77777777" w:rsidR="007D7243" w:rsidRPr="00EF2F18" w:rsidRDefault="007D7243" w:rsidP="007D7243">
      <w:pPr>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060"/>
        <w:gridCol w:w="1577"/>
        <w:gridCol w:w="1603"/>
        <w:gridCol w:w="17"/>
      </w:tblGrid>
      <w:tr w:rsidR="007D7243" w:rsidRPr="00EF2F18" w14:paraId="091C116A" w14:textId="77777777" w:rsidTr="00CC76FE">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903FD5F"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 xml:space="preserve">Мера 6.1.1: Јачање капацитета институција на републичком, покрајинском и локалном нивоу </w:t>
            </w:r>
          </w:p>
        </w:tc>
      </w:tr>
      <w:tr w:rsidR="007D7243" w:rsidRPr="00EF2F18" w14:paraId="3EC52C30" w14:textId="77777777" w:rsidTr="00CC76FE">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14D4B234"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6D3E6FC6" w14:textId="77777777" w:rsidTr="00CC76FE">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2D3D093A" w14:textId="0047EF5B"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BF0002"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1997BD1B"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Тип мере: институционално управљачко организациона</w:t>
            </w:r>
          </w:p>
        </w:tc>
      </w:tr>
      <w:tr w:rsidR="007D7243" w:rsidRPr="00EF2F18" w14:paraId="63DE610B" w14:textId="77777777" w:rsidTr="00CC76FE">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0F52FD4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7DCAB06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C76FE" w:rsidRPr="00EF2F18" w14:paraId="078BA41F" w14:textId="77777777" w:rsidTr="00EF0900">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653DC620"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0DE69F62"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637D1956"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5141F4EC"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520" w:type="dxa"/>
            <w:tcBorders>
              <w:top w:val="nil"/>
              <w:left w:val="nil"/>
              <w:bottom w:val="double" w:sz="6" w:space="0" w:color="auto"/>
              <w:right w:val="single" w:sz="8" w:space="0" w:color="auto"/>
            </w:tcBorders>
            <w:shd w:val="clear" w:color="000000" w:fill="D9D9D9"/>
            <w:hideMark/>
          </w:tcPr>
          <w:p w14:paraId="6A5DE529"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79836C4B"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77" w:type="dxa"/>
            <w:tcBorders>
              <w:top w:val="nil"/>
              <w:left w:val="nil"/>
              <w:bottom w:val="double" w:sz="6" w:space="0" w:color="auto"/>
              <w:right w:val="single" w:sz="8" w:space="0" w:color="auto"/>
            </w:tcBorders>
            <w:shd w:val="clear" w:color="000000" w:fill="D9D9D9"/>
            <w:hideMark/>
          </w:tcPr>
          <w:p w14:paraId="41DE776D"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gridSpan w:val="2"/>
            <w:tcBorders>
              <w:top w:val="nil"/>
              <w:left w:val="nil"/>
              <w:bottom w:val="double" w:sz="6" w:space="0" w:color="auto"/>
              <w:right w:val="double" w:sz="6" w:space="0" w:color="auto"/>
            </w:tcBorders>
            <w:shd w:val="clear" w:color="000000" w:fill="D9D9D9"/>
            <w:hideMark/>
          </w:tcPr>
          <w:p w14:paraId="0E9865F2"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C76FE" w:rsidRPr="00EF2F18" w14:paraId="42B37681" w14:textId="77777777" w:rsidTr="00CA6AF3">
        <w:trPr>
          <w:trHeight w:val="1080"/>
        </w:trPr>
        <w:tc>
          <w:tcPr>
            <w:tcW w:w="3320" w:type="dxa"/>
            <w:tcBorders>
              <w:top w:val="single" w:sz="4" w:space="0" w:color="auto"/>
              <w:left w:val="double" w:sz="6" w:space="0" w:color="auto"/>
              <w:bottom w:val="double" w:sz="6" w:space="0" w:color="auto"/>
              <w:right w:val="single" w:sz="8" w:space="0" w:color="auto"/>
            </w:tcBorders>
            <w:shd w:val="clear" w:color="000000" w:fill="FFFFFF"/>
            <w:hideMark/>
          </w:tcPr>
          <w:p w14:paraId="1323FD60"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спроведених програма за јачање капацитета државних институција, годишње </w:t>
            </w:r>
          </w:p>
        </w:tc>
        <w:tc>
          <w:tcPr>
            <w:tcW w:w="1280" w:type="dxa"/>
            <w:tcBorders>
              <w:top w:val="single" w:sz="4" w:space="0" w:color="auto"/>
              <w:left w:val="nil"/>
              <w:bottom w:val="double" w:sz="6" w:space="0" w:color="auto"/>
              <w:right w:val="single" w:sz="8" w:space="0" w:color="auto"/>
            </w:tcBorders>
            <w:shd w:val="clear" w:color="000000" w:fill="FFFFFF"/>
            <w:hideMark/>
          </w:tcPr>
          <w:p w14:paraId="66BC039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single" w:sz="4" w:space="0" w:color="auto"/>
              <w:left w:val="nil"/>
              <w:bottom w:val="double" w:sz="6" w:space="0" w:color="auto"/>
              <w:right w:val="single" w:sz="8" w:space="0" w:color="auto"/>
            </w:tcBorders>
            <w:shd w:val="clear" w:color="000000" w:fill="FFFFFF"/>
            <w:hideMark/>
          </w:tcPr>
          <w:p w14:paraId="55E3C9F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НАЈУ</w:t>
            </w:r>
          </w:p>
        </w:tc>
        <w:tc>
          <w:tcPr>
            <w:tcW w:w="2000" w:type="dxa"/>
            <w:gridSpan w:val="2"/>
            <w:tcBorders>
              <w:top w:val="single" w:sz="4" w:space="0" w:color="auto"/>
              <w:left w:val="nil"/>
              <w:bottom w:val="double" w:sz="6" w:space="0" w:color="auto"/>
              <w:right w:val="single" w:sz="8" w:space="0" w:color="000000"/>
            </w:tcBorders>
            <w:shd w:val="clear" w:color="000000" w:fill="FFFFFF"/>
            <w:hideMark/>
          </w:tcPr>
          <w:p w14:paraId="1EC9104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520" w:type="dxa"/>
            <w:tcBorders>
              <w:top w:val="single" w:sz="4" w:space="0" w:color="auto"/>
              <w:left w:val="nil"/>
              <w:bottom w:val="double" w:sz="6" w:space="0" w:color="auto"/>
              <w:right w:val="single" w:sz="8" w:space="0" w:color="auto"/>
            </w:tcBorders>
            <w:shd w:val="clear" w:color="000000" w:fill="FFFFFF"/>
            <w:hideMark/>
          </w:tcPr>
          <w:p w14:paraId="228363EB"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single" w:sz="4" w:space="0" w:color="auto"/>
              <w:left w:val="single" w:sz="4" w:space="0" w:color="auto"/>
              <w:bottom w:val="double" w:sz="6" w:space="0" w:color="auto"/>
              <w:right w:val="single" w:sz="8" w:space="0" w:color="auto"/>
            </w:tcBorders>
            <w:shd w:val="clear" w:color="000000" w:fill="FFFFFF"/>
            <w:hideMark/>
          </w:tcPr>
          <w:p w14:paraId="10DE58FF"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c>
          <w:tcPr>
            <w:tcW w:w="1577" w:type="dxa"/>
            <w:tcBorders>
              <w:top w:val="single" w:sz="4" w:space="0" w:color="auto"/>
              <w:left w:val="nil"/>
              <w:bottom w:val="double" w:sz="6" w:space="0" w:color="auto"/>
              <w:right w:val="single" w:sz="8" w:space="0" w:color="auto"/>
            </w:tcBorders>
            <w:shd w:val="clear" w:color="000000" w:fill="FFFFFF"/>
            <w:hideMark/>
          </w:tcPr>
          <w:p w14:paraId="3D08E0D7"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c>
          <w:tcPr>
            <w:tcW w:w="1620" w:type="dxa"/>
            <w:gridSpan w:val="2"/>
            <w:tcBorders>
              <w:top w:val="single" w:sz="4" w:space="0" w:color="auto"/>
              <w:left w:val="nil"/>
              <w:bottom w:val="double" w:sz="6" w:space="0" w:color="auto"/>
              <w:right w:val="double" w:sz="6" w:space="0" w:color="auto"/>
            </w:tcBorders>
            <w:shd w:val="clear" w:color="000000" w:fill="FFFFFF"/>
            <w:hideMark/>
          </w:tcPr>
          <w:p w14:paraId="18A66669"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r>
      <w:tr w:rsidR="00CC76FE" w:rsidRPr="00EF2F18" w14:paraId="61F91050" w14:textId="77777777" w:rsidTr="00EF0900">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79D5FAB7" w14:textId="77777777" w:rsidR="00CC76FE" w:rsidRPr="00EF2F18" w:rsidRDefault="00CC76F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новозапослених службеника, укупно</w:t>
            </w:r>
          </w:p>
        </w:tc>
        <w:tc>
          <w:tcPr>
            <w:tcW w:w="1280" w:type="dxa"/>
            <w:tcBorders>
              <w:top w:val="nil"/>
              <w:left w:val="nil"/>
              <w:bottom w:val="double" w:sz="6" w:space="0" w:color="auto"/>
              <w:right w:val="single" w:sz="8" w:space="0" w:color="auto"/>
            </w:tcBorders>
            <w:shd w:val="clear" w:color="000000" w:fill="FFFFFF"/>
            <w:hideMark/>
          </w:tcPr>
          <w:p w14:paraId="2100461A"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228E2498"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421EAA32"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317</w:t>
            </w:r>
          </w:p>
        </w:tc>
        <w:tc>
          <w:tcPr>
            <w:tcW w:w="1520" w:type="dxa"/>
            <w:tcBorders>
              <w:top w:val="nil"/>
              <w:left w:val="nil"/>
              <w:bottom w:val="double" w:sz="6" w:space="0" w:color="auto"/>
              <w:right w:val="single" w:sz="8" w:space="0" w:color="auto"/>
            </w:tcBorders>
            <w:shd w:val="clear" w:color="000000" w:fill="FFFFFF"/>
            <w:hideMark/>
          </w:tcPr>
          <w:p w14:paraId="2D7404E0"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2024.</w:t>
            </w:r>
          </w:p>
        </w:tc>
        <w:tc>
          <w:tcPr>
            <w:tcW w:w="1060" w:type="dxa"/>
            <w:tcBorders>
              <w:top w:val="double" w:sz="6" w:space="0" w:color="auto"/>
              <w:left w:val="single" w:sz="4" w:space="0" w:color="auto"/>
              <w:bottom w:val="double" w:sz="6" w:space="0" w:color="auto"/>
              <w:right w:val="single" w:sz="8" w:space="0" w:color="auto"/>
            </w:tcBorders>
            <w:shd w:val="clear" w:color="000000" w:fill="FFFFFF"/>
            <w:hideMark/>
          </w:tcPr>
          <w:p w14:paraId="2F5E0F7E"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370</w:t>
            </w:r>
          </w:p>
        </w:tc>
        <w:tc>
          <w:tcPr>
            <w:tcW w:w="1577" w:type="dxa"/>
            <w:tcBorders>
              <w:top w:val="nil"/>
              <w:left w:val="nil"/>
              <w:bottom w:val="double" w:sz="6" w:space="0" w:color="auto"/>
              <w:right w:val="single" w:sz="8" w:space="0" w:color="auto"/>
            </w:tcBorders>
            <w:shd w:val="clear" w:color="000000" w:fill="FFFFFF"/>
            <w:hideMark/>
          </w:tcPr>
          <w:p w14:paraId="46852C71"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390</w:t>
            </w:r>
          </w:p>
        </w:tc>
        <w:tc>
          <w:tcPr>
            <w:tcW w:w="1620" w:type="dxa"/>
            <w:gridSpan w:val="2"/>
            <w:tcBorders>
              <w:top w:val="nil"/>
              <w:left w:val="nil"/>
              <w:bottom w:val="double" w:sz="6" w:space="0" w:color="auto"/>
              <w:right w:val="double" w:sz="6" w:space="0" w:color="auto"/>
            </w:tcBorders>
            <w:shd w:val="clear" w:color="000000" w:fill="FFFFFF"/>
            <w:hideMark/>
          </w:tcPr>
          <w:p w14:paraId="7E06B274" w14:textId="77777777" w:rsidR="00CC76FE" w:rsidRPr="00EF2F18" w:rsidRDefault="00CC76FE"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419</w:t>
            </w:r>
          </w:p>
        </w:tc>
      </w:tr>
    </w:tbl>
    <w:p w14:paraId="2AF3B6CA" w14:textId="77777777" w:rsidR="007D7243" w:rsidRPr="00EF2F18" w:rsidRDefault="007D7243" w:rsidP="007D7243">
      <w:pPr>
        <w:rPr>
          <w:rFonts w:cs="Times New Roman"/>
          <w:sz w:val="20"/>
          <w:szCs w:val="20"/>
          <w:lang w:val="sr-Cyrl-RS"/>
        </w:rPr>
      </w:pPr>
    </w:p>
    <w:p w14:paraId="73FFB36E" w14:textId="77777777" w:rsidR="00FE6D0F" w:rsidRPr="00EF2F18" w:rsidRDefault="00FE6D0F" w:rsidP="007D7243">
      <w:pPr>
        <w:rPr>
          <w:rFonts w:cs="Times New Roman"/>
          <w:sz w:val="20"/>
          <w:szCs w:val="20"/>
          <w:lang w:val="sr-Cyrl-RS"/>
        </w:rPr>
      </w:pPr>
    </w:p>
    <w:tbl>
      <w:tblPr>
        <w:tblW w:w="13567" w:type="dxa"/>
        <w:tblLook w:val="04A0" w:firstRow="1" w:lastRow="0" w:firstColumn="1" w:lastColumn="0" w:noHBand="0" w:noVBand="1"/>
      </w:tblPr>
      <w:tblGrid>
        <w:gridCol w:w="3800"/>
        <w:gridCol w:w="2480"/>
        <w:gridCol w:w="2517"/>
        <w:gridCol w:w="2160"/>
        <w:gridCol w:w="2603"/>
        <w:gridCol w:w="7"/>
      </w:tblGrid>
      <w:tr w:rsidR="007D7243" w:rsidRPr="00EF2F18" w14:paraId="2EF8DC84" w14:textId="77777777" w:rsidTr="00BF0002">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2B8222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D03D41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26EB611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BF0002" w:rsidRPr="00EF2F18" w14:paraId="0DC0FF00" w14:textId="77777777" w:rsidTr="00BF0002">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1C308507" w14:textId="77777777" w:rsidR="00BF0002" w:rsidRPr="00EF2F18" w:rsidRDefault="00BF0002"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0C6C258D" w14:textId="77777777" w:rsidR="00BF0002" w:rsidRPr="00EF2F18" w:rsidRDefault="00BF0002" w:rsidP="00752CA0">
            <w:pPr>
              <w:spacing w:after="0"/>
              <w:rPr>
                <w:rFonts w:eastAsia="Times New Roman" w:cs="Times New Roman"/>
                <w:color w:val="000000"/>
                <w:sz w:val="20"/>
                <w:szCs w:val="20"/>
                <w:lang w:val="sr-Cyrl-RS" w:eastAsia="en-GB"/>
              </w:rPr>
            </w:pPr>
          </w:p>
        </w:tc>
        <w:tc>
          <w:tcPr>
            <w:tcW w:w="2517" w:type="dxa"/>
            <w:tcBorders>
              <w:top w:val="nil"/>
              <w:left w:val="nil"/>
              <w:bottom w:val="double" w:sz="6" w:space="0" w:color="auto"/>
              <w:right w:val="double" w:sz="6" w:space="0" w:color="auto"/>
            </w:tcBorders>
            <w:shd w:val="clear" w:color="000000" w:fill="A8D08D"/>
            <w:hideMark/>
          </w:tcPr>
          <w:p w14:paraId="3256F0D8" w14:textId="78E1816A"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4C625041" w14:textId="49E7A622"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610" w:type="dxa"/>
            <w:gridSpan w:val="2"/>
            <w:tcBorders>
              <w:top w:val="nil"/>
              <w:left w:val="nil"/>
              <w:bottom w:val="double" w:sz="6" w:space="0" w:color="auto"/>
              <w:right w:val="double" w:sz="6" w:space="0" w:color="auto"/>
            </w:tcBorders>
            <w:shd w:val="clear" w:color="000000" w:fill="A8D08D"/>
            <w:hideMark/>
          </w:tcPr>
          <w:p w14:paraId="72ADB9E2" w14:textId="00E60A20"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BF0002" w:rsidRPr="00EF2F18" w14:paraId="3F23C6A5" w14:textId="77777777" w:rsidTr="00BF0002">
        <w:trPr>
          <w:trHeight w:val="324"/>
        </w:trPr>
        <w:tc>
          <w:tcPr>
            <w:tcW w:w="3800" w:type="dxa"/>
            <w:tcBorders>
              <w:top w:val="nil"/>
              <w:left w:val="double" w:sz="6" w:space="0" w:color="auto"/>
              <w:bottom w:val="double" w:sz="6" w:space="0" w:color="auto"/>
              <w:right w:val="double" w:sz="6" w:space="0" w:color="auto"/>
            </w:tcBorders>
            <w:shd w:val="clear" w:color="000000" w:fill="FFFFFF"/>
            <w:vAlign w:val="center"/>
            <w:hideMark/>
          </w:tcPr>
          <w:p w14:paraId="40036C0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средства/редовна издвајања (МЗЖС)</w:t>
            </w:r>
          </w:p>
        </w:tc>
        <w:tc>
          <w:tcPr>
            <w:tcW w:w="2480" w:type="dxa"/>
            <w:tcBorders>
              <w:top w:val="nil"/>
              <w:left w:val="nil"/>
              <w:bottom w:val="double" w:sz="6" w:space="0" w:color="auto"/>
              <w:right w:val="double" w:sz="6" w:space="0" w:color="auto"/>
            </w:tcBorders>
            <w:shd w:val="clear" w:color="000000" w:fill="FFFFFF"/>
            <w:vAlign w:val="center"/>
            <w:hideMark/>
          </w:tcPr>
          <w:p w14:paraId="5E5532B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2517" w:type="dxa"/>
            <w:tcBorders>
              <w:top w:val="nil"/>
              <w:left w:val="nil"/>
              <w:bottom w:val="double" w:sz="6" w:space="0" w:color="auto"/>
              <w:right w:val="double" w:sz="6" w:space="0" w:color="auto"/>
            </w:tcBorders>
            <w:shd w:val="clear" w:color="000000" w:fill="FFFFFF"/>
            <w:vAlign w:val="center"/>
            <w:hideMark/>
          </w:tcPr>
          <w:p w14:paraId="66357661"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160" w:type="dxa"/>
            <w:tcBorders>
              <w:top w:val="nil"/>
              <w:left w:val="nil"/>
              <w:bottom w:val="double" w:sz="6" w:space="0" w:color="auto"/>
              <w:right w:val="double" w:sz="6" w:space="0" w:color="auto"/>
            </w:tcBorders>
            <w:shd w:val="clear" w:color="000000" w:fill="FFFFFF"/>
            <w:vAlign w:val="center"/>
            <w:hideMark/>
          </w:tcPr>
          <w:p w14:paraId="2C0B4892"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610" w:type="dxa"/>
            <w:gridSpan w:val="2"/>
            <w:tcBorders>
              <w:top w:val="nil"/>
              <w:left w:val="nil"/>
              <w:bottom w:val="double" w:sz="6" w:space="0" w:color="auto"/>
              <w:right w:val="double" w:sz="6" w:space="0" w:color="auto"/>
            </w:tcBorders>
            <w:shd w:val="clear" w:color="000000" w:fill="FFFFFF"/>
            <w:vAlign w:val="center"/>
            <w:hideMark/>
          </w:tcPr>
          <w:p w14:paraId="47EBE101"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BF0002" w:rsidRPr="00EF2F18" w14:paraId="0C7960B0" w14:textId="77777777" w:rsidTr="00BF0002">
        <w:trPr>
          <w:trHeight w:val="336"/>
        </w:trPr>
        <w:tc>
          <w:tcPr>
            <w:tcW w:w="3800" w:type="dxa"/>
            <w:tcBorders>
              <w:top w:val="double" w:sz="6" w:space="0" w:color="auto"/>
              <w:left w:val="double" w:sz="6" w:space="0" w:color="auto"/>
              <w:bottom w:val="double" w:sz="6" w:space="0" w:color="auto"/>
              <w:right w:val="double" w:sz="6" w:space="0" w:color="auto"/>
            </w:tcBorders>
            <w:shd w:val="clear" w:color="000000" w:fill="FFFFFF"/>
            <w:vAlign w:val="center"/>
          </w:tcPr>
          <w:p w14:paraId="4D88846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2480" w:type="dxa"/>
            <w:tcBorders>
              <w:top w:val="double" w:sz="6" w:space="0" w:color="auto"/>
              <w:left w:val="nil"/>
              <w:bottom w:val="double" w:sz="6" w:space="0" w:color="auto"/>
              <w:right w:val="double" w:sz="6" w:space="0" w:color="auto"/>
            </w:tcBorders>
            <w:shd w:val="clear" w:color="000000" w:fill="FFFFFF"/>
            <w:vAlign w:val="center"/>
          </w:tcPr>
          <w:p w14:paraId="094B8B02" w14:textId="77777777" w:rsidR="00BF0002" w:rsidRPr="00EF2F18" w:rsidRDefault="00BF0002" w:rsidP="00752CA0">
            <w:pPr>
              <w:spacing w:after="0"/>
              <w:rPr>
                <w:rFonts w:eastAsia="Times New Roman" w:cs="Times New Roman"/>
                <w:color w:val="000000"/>
                <w:sz w:val="20"/>
                <w:szCs w:val="20"/>
                <w:lang w:val="sr-Cyrl-RS" w:eastAsia="en-GB"/>
              </w:rPr>
            </w:pPr>
          </w:p>
        </w:tc>
        <w:tc>
          <w:tcPr>
            <w:tcW w:w="2517" w:type="dxa"/>
            <w:tcBorders>
              <w:top w:val="double" w:sz="6" w:space="0" w:color="auto"/>
              <w:left w:val="nil"/>
              <w:bottom w:val="double" w:sz="6" w:space="0" w:color="auto"/>
              <w:right w:val="double" w:sz="6" w:space="0" w:color="auto"/>
            </w:tcBorders>
            <w:shd w:val="clear" w:color="000000" w:fill="FFFFFF"/>
            <w:vAlign w:val="center"/>
          </w:tcPr>
          <w:p w14:paraId="21CE55CF" w14:textId="77777777" w:rsidR="00BF0002" w:rsidRPr="00EF2F18" w:rsidRDefault="00BF0002" w:rsidP="00752CA0">
            <w:pPr>
              <w:spacing w:after="0"/>
              <w:jc w:val="right"/>
              <w:rPr>
                <w:rFonts w:eastAsia="Times New Roman" w:cs="Times New Roman"/>
                <w:color w:val="000000"/>
                <w:sz w:val="20"/>
                <w:szCs w:val="20"/>
                <w:lang w:val="sr-Cyrl-RS" w:eastAsia="en-GB"/>
              </w:rPr>
            </w:pPr>
          </w:p>
        </w:tc>
        <w:tc>
          <w:tcPr>
            <w:tcW w:w="2160" w:type="dxa"/>
            <w:tcBorders>
              <w:top w:val="double" w:sz="6" w:space="0" w:color="auto"/>
              <w:left w:val="nil"/>
              <w:bottom w:val="double" w:sz="6" w:space="0" w:color="auto"/>
              <w:right w:val="double" w:sz="6" w:space="0" w:color="auto"/>
            </w:tcBorders>
            <w:vAlign w:val="center"/>
          </w:tcPr>
          <w:p w14:paraId="03BEAB83" w14:textId="77777777" w:rsidR="00BF0002" w:rsidRPr="00EF2F18" w:rsidRDefault="00BF0002" w:rsidP="00752CA0">
            <w:pPr>
              <w:spacing w:after="0"/>
              <w:jc w:val="right"/>
              <w:rPr>
                <w:rFonts w:eastAsia="Times New Roman" w:cs="Times New Roman"/>
                <w:color w:val="000000"/>
                <w:sz w:val="20"/>
                <w:szCs w:val="20"/>
                <w:lang w:val="sr-Cyrl-RS" w:eastAsia="en-GB"/>
              </w:rPr>
            </w:pPr>
          </w:p>
        </w:tc>
        <w:tc>
          <w:tcPr>
            <w:tcW w:w="2610" w:type="dxa"/>
            <w:gridSpan w:val="2"/>
            <w:tcBorders>
              <w:top w:val="double" w:sz="6" w:space="0" w:color="auto"/>
              <w:left w:val="nil"/>
              <w:bottom w:val="double" w:sz="6" w:space="0" w:color="auto"/>
              <w:right w:val="double" w:sz="6" w:space="0" w:color="auto"/>
            </w:tcBorders>
            <w:vAlign w:val="center"/>
          </w:tcPr>
          <w:p w14:paraId="44C674BD" w14:textId="77777777" w:rsidR="00BF0002" w:rsidRPr="00EF2F18" w:rsidRDefault="00BF0002" w:rsidP="00752CA0">
            <w:pPr>
              <w:spacing w:after="0"/>
              <w:jc w:val="right"/>
              <w:rPr>
                <w:rFonts w:eastAsia="Times New Roman" w:cs="Times New Roman"/>
                <w:color w:val="000000"/>
                <w:sz w:val="20"/>
                <w:szCs w:val="20"/>
                <w:lang w:val="sr-Cyrl-RS" w:eastAsia="en-GB"/>
              </w:rPr>
            </w:pPr>
          </w:p>
        </w:tc>
      </w:tr>
    </w:tbl>
    <w:p w14:paraId="277EF43D" w14:textId="77777777" w:rsidR="007D7243" w:rsidRPr="00EF2F18" w:rsidRDefault="007D7243" w:rsidP="007D7243">
      <w:pPr>
        <w:rPr>
          <w:sz w:val="20"/>
          <w:szCs w:val="20"/>
          <w:lang w:val="sr-Cyrl-RS"/>
        </w:rPr>
      </w:pPr>
      <w:r w:rsidRPr="00EF2F18">
        <w:rPr>
          <w:sz w:val="20"/>
          <w:szCs w:val="20"/>
          <w:lang w:val="sr-Cyrl-RS"/>
        </w:rPr>
        <w:t xml:space="preserve"> </w:t>
      </w:r>
    </w:p>
    <w:tbl>
      <w:tblPr>
        <w:tblW w:w="13548" w:type="dxa"/>
        <w:tblLook w:val="04A0" w:firstRow="1" w:lastRow="0" w:firstColumn="1" w:lastColumn="0" w:noHBand="0" w:noVBand="1"/>
      </w:tblPr>
      <w:tblGrid>
        <w:gridCol w:w="2953"/>
        <w:gridCol w:w="1278"/>
        <w:gridCol w:w="1241"/>
        <w:gridCol w:w="1182"/>
        <w:gridCol w:w="1400"/>
        <w:gridCol w:w="1340"/>
        <w:gridCol w:w="1383"/>
        <w:gridCol w:w="1350"/>
        <w:gridCol w:w="1421"/>
      </w:tblGrid>
      <w:tr w:rsidR="00BF0002" w:rsidRPr="00EF2F18" w14:paraId="6ABC013B" w14:textId="77777777" w:rsidTr="00BF0002">
        <w:trPr>
          <w:trHeight w:val="732"/>
        </w:trPr>
        <w:tc>
          <w:tcPr>
            <w:tcW w:w="295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4C6C99C2"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78"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D5379E5"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6783EE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E11EF5F"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40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118E5FB"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33B9930"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154" w:type="dxa"/>
            <w:gridSpan w:val="3"/>
            <w:tcBorders>
              <w:top w:val="double" w:sz="6" w:space="0" w:color="auto"/>
              <w:left w:val="nil"/>
              <w:bottom w:val="single" w:sz="8" w:space="0" w:color="auto"/>
              <w:right w:val="double" w:sz="6" w:space="0" w:color="auto"/>
            </w:tcBorders>
            <w:shd w:val="clear" w:color="000000" w:fill="FFF2CC"/>
            <w:hideMark/>
          </w:tcPr>
          <w:p w14:paraId="30709976"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BF0002" w:rsidRPr="00EF2F18" w14:paraId="051DB06D" w14:textId="77777777" w:rsidTr="00BF0002">
        <w:trPr>
          <w:trHeight w:val="324"/>
        </w:trPr>
        <w:tc>
          <w:tcPr>
            <w:tcW w:w="2953" w:type="dxa"/>
            <w:vMerge/>
            <w:tcBorders>
              <w:top w:val="double" w:sz="6" w:space="0" w:color="auto"/>
              <w:left w:val="double" w:sz="6" w:space="0" w:color="auto"/>
              <w:bottom w:val="single" w:sz="8" w:space="0" w:color="000000"/>
              <w:right w:val="single" w:sz="8" w:space="0" w:color="auto"/>
            </w:tcBorders>
            <w:vAlign w:val="center"/>
            <w:hideMark/>
          </w:tcPr>
          <w:p w14:paraId="49882B92" w14:textId="77777777" w:rsidR="00BF0002" w:rsidRPr="00EF2F18" w:rsidRDefault="00BF0002" w:rsidP="00752CA0">
            <w:pPr>
              <w:spacing w:after="0"/>
              <w:rPr>
                <w:rFonts w:eastAsia="Times New Roman" w:cs="Times New Roman"/>
                <w:color w:val="000000"/>
                <w:sz w:val="20"/>
                <w:szCs w:val="20"/>
                <w:lang w:val="sr-Cyrl-RS" w:eastAsia="en-GB"/>
              </w:rPr>
            </w:pPr>
          </w:p>
        </w:tc>
        <w:tc>
          <w:tcPr>
            <w:tcW w:w="1278" w:type="dxa"/>
            <w:vMerge/>
            <w:tcBorders>
              <w:top w:val="double" w:sz="6" w:space="0" w:color="auto"/>
              <w:left w:val="single" w:sz="8" w:space="0" w:color="auto"/>
              <w:bottom w:val="single" w:sz="8" w:space="0" w:color="000000"/>
              <w:right w:val="single" w:sz="8" w:space="0" w:color="auto"/>
            </w:tcBorders>
            <w:vAlign w:val="center"/>
            <w:hideMark/>
          </w:tcPr>
          <w:p w14:paraId="07FC528A" w14:textId="77777777" w:rsidR="00BF0002" w:rsidRPr="00EF2F18" w:rsidRDefault="00BF0002" w:rsidP="00752CA0">
            <w:pPr>
              <w:spacing w:after="0"/>
              <w:rPr>
                <w:rFonts w:eastAsia="Times New Roman" w:cs="Times New Roman"/>
                <w:color w:val="000000"/>
                <w:sz w:val="20"/>
                <w:szCs w:val="20"/>
                <w:lang w:val="sr-Cyrl-RS" w:eastAsia="en-GB"/>
              </w:rPr>
            </w:pPr>
          </w:p>
        </w:tc>
        <w:tc>
          <w:tcPr>
            <w:tcW w:w="1241" w:type="dxa"/>
            <w:vMerge/>
            <w:tcBorders>
              <w:top w:val="double" w:sz="6" w:space="0" w:color="auto"/>
              <w:left w:val="single" w:sz="8" w:space="0" w:color="auto"/>
              <w:bottom w:val="single" w:sz="8" w:space="0" w:color="000000"/>
              <w:right w:val="single" w:sz="8" w:space="0" w:color="auto"/>
            </w:tcBorders>
            <w:vAlign w:val="center"/>
            <w:hideMark/>
          </w:tcPr>
          <w:p w14:paraId="75F72B15"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263CB240" w14:textId="77777777" w:rsidR="00BF0002" w:rsidRPr="00EF2F18" w:rsidRDefault="00BF0002" w:rsidP="00752CA0">
            <w:pPr>
              <w:spacing w:after="0"/>
              <w:rPr>
                <w:rFonts w:eastAsia="Times New Roman" w:cs="Times New Roman"/>
                <w:color w:val="000000"/>
                <w:sz w:val="20"/>
                <w:szCs w:val="20"/>
                <w:lang w:val="sr-Cyrl-RS" w:eastAsia="en-GB"/>
              </w:rPr>
            </w:pPr>
          </w:p>
        </w:tc>
        <w:tc>
          <w:tcPr>
            <w:tcW w:w="1400" w:type="dxa"/>
            <w:vMerge/>
            <w:tcBorders>
              <w:top w:val="double" w:sz="6" w:space="0" w:color="auto"/>
              <w:left w:val="single" w:sz="8" w:space="0" w:color="auto"/>
              <w:bottom w:val="single" w:sz="8" w:space="0" w:color="000000"/>
              <w:right w:val="single" w:sz="8" w:space="0" w:color="auto"/>
            </w:tcBorders>
            <w:vAlign w:val="center"/>
            <w:hideMark/>
          </w:tcPr>
          <w:p w14:paraId="018F1134" w14:textId="77777777" w:rsidR="00BF0002" w:rsidRPr="00EF2F18" w:rsidRDefault="00BF0002"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6893A419" w14:textId="77777777" w:rsidR="00BF0002" w:rsidRPr="00EF2F18" w:rsidRDefault="00BF0002" w:rsidP="00752CA0">
            <w:pPr>
              <w:spacing w:after="0"/>
              <w:rPr>
                <w:rFonts w:eastAsia="Times New Roman" w:cs="Times New Roman"/>
                <w:color w:val="000000"/>
                <w:sz w:val="20"/>
                <w:szCs w:val="20"/>
                <w:lang w:val="sr-Cyrl-RS" w:eastAsia="en-GB"/>
              </w:rPr>
            </w:pPr>
          </w:p>
        </w:tc>
        <w:tc>
          <w:tcPr>
            <w:tcW w:w="1383" w:type="dxa"/>
            <w:tcBorders>
              <w:top w:val="nil"/>
              <w:left w:val="nil"/>
              <w:bottom w:val="single" w:sz="8" w:space="0" w:color="auto"/>
              <w:right w:val="single" w:sz="8" w:space="0" w:color="auto"/>
            </w:tcBorders>
            <w:shd w:val="clear" w:color="000000" w:fill="FFF2CC"/>
            <w:hideMark/>
          </w:tcPr>
          <w:p w14:paraId="5FBE6BBF" w14:textId="33481976" w:rsidR="00BF0002"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BF0002" w:rsidRPr="00EF2F18">
              <w:rPr>
                <w:rFonts w:eastAsia="Times New Roman" w:cs="Times New Roman"/>
                <w:sz w:val="20"/>
                <w:szCs w:val="20"/>
                <w:lang w:val="sr-Cyrl-RS" w:eastAsia="en-GB"/>
              </w:rPr>
              <w:t xml:space="preserve"> 2026.</w:t>
            </w:r>
          </w:p>
        </w:tc>
        <w:tc>
          <w:tcPr>
            <w:tcW w:w="1350" w:type="dxa"/>
            <w:tcBorders>
              <w:top w:val="nil"/>
              <w:left w:val="nil"/>
              <w:bottom w:val="single" w:sz="8" w:space="0" w:color="auto"/>
              <w:right w:val="single" w:sz="8" w:space="0" w:color="auto"/>
            </w:tcBorders>
            <w:shd w:val="clear" w:color="000000" w:fill="FFF2CC"/>
            <w:hideMark/>
          </w:tcPr>
          <w:p w14:paraId="27386CFC" w14:textId="664C05DF"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w:t>
            </w:r>
          </w:p>
        </w:tc>
        <w:tc>
          <w:tcPr>
            <w:tcW w:w="1421" w:type="dxa"/>
            <w:tcBorders>
              <w:top w:val="nil"/>
              <w:left w:val="nil"/>
              <w:bottom w:val="single" w:sz="8" w:space="0" w:color="auto"/>
              <w:right w:val="double" w:sz="6" w:space="0" w:color="auto"/>
            </w:tcBorders>
            <w:shd w:val="clear" w:color="000000" w:fill="FFF2CC"/>
            <w:hideMark/>
          </w:tcPr>
          <w:p w14:paraId="3AB9CDEC" w14:textId="58C6B169"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w:t>
            </w:r>
          </w:p>
        </w:tc>
      </w:tr>
      <w:tr w:rsidR="00BF0002" w:rsidRPr="00EF2F18" w14:paraId="3F135E55" w14:textId="77777777" w:rsidTr="00BF0002">
        <w:trPr>
          <w:trHeight w:val="1068"/>
        </w:trPr>
        <w:tc>
          <w:tcPr>
            <w:tcW w:w="2953" w:type="dxa"/>
            <w:tcBorders>
              <w:top w:val="nil"/>
              <w:left w:val="double" w:sz="6" w:space="0" w:color="auto"/>
              <w:bottom w:val="single" w:sz="8" w:space="0" w:color="auto"/>
              <w:right w:val="single" w:sz="8" w:space="0" w:color="auto"/>
            </w:tcBorders>
            <w:hideMark/>
          </w:tcPr>
          <w:p w14:paraId="464939F2" w14:textId="7A1BA4F4"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6.1.1.1. Ревизија анализе потребних капацитета и њихове попуњености за примену законодавства усклађеног са ЕУ</w:t>
            </w:r>
          </w:p>
        </w:tc>
        <w:tc>
          <w:tcPr>
            <w:tcW w:w="1278" w:type="dxa"/>
            <w:tcBorders>
              <w:top w:val="nil"/>
              <w:left w:val="nil"/>
              <w:bottom w:val="single" w:sz="8" w:space="0" w:color="auto"/>
              <w:right w:val="single" w:sz="8" w:space="0" w:color="auto"/>
            </w:tcBorders>
            <w:hideMark/>
          </w:tcPr>
          <w:p w14:paraId="0240C5F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1" w:type="dxa"/>
            <w:tcBorders>
              <w:top w:val="nil"/>
              <w:left w:val="nil"/>
              <w:bottom w:val="single" w:sz="8" w:space="0" w:color="auto"/>
              <w:right w:val="single" w:sz="8" w:space="0" w:color="auto"/>
            </w:tcBorders>
            <w:hideMark/>
          </w:tcPr>
          <w:p w14:paraId="09F67DE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АПВ</w:t>
            </w:r>
          </w:p>
        </w:tc>
        <w:tc>
          <w:tcPr>
            <w:tcW w:w="1182" w:type="dxa"/>
            <w:tcBorders>
              <w:top w:val="nil"/>
              <w:left w:val="nil"/>
              <w:bottom w:val="single" w:sz="8" w:space="0" w:color="auto"/>
              <w:right w:val="single" w:sz="8" w:space="0" w:color="auto"/>
            </w:tcBorders>
            <w:hideMark/>
          </w:tcPr>
          <w:p w14:paraId="5048C81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400" w:type="dxa"/>
            <w:tcBorders>
              <w:top w:val="nil"/>
              <w:left w:val="nil"/>
              <w:bottom w:val="single" w:sz="8" w:space="0" w:color="auto"/>
              <w:right w:val="single" w:sz="8" w:space="0" w:color="auto"/>
            </w:tcBorders>
            <w:hideMark/>
          </w:tcPr>
          <w:p w14:paraId="1331A5B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nil"/>
              <w:left w:val="nil"/>
              <w:bottom w:val="single" w:sz="8" w:space="0" w:color="auto"/>
              <w:right w:val="single" w:sz="8" w:space="0" w:color="auto"/>
            </w:tcBorders>
            <w:hideMark/>
          </w:tcPr>
          <w:p w14:paraId="72AE4573" w14:textId="77777777" w:rsidR="00BF0002" w:rsidRPr="00EF2F18" w:rsidRDefault="00BF0002" w:rsidP="00752CA0">
            <w:pPr>
              <w:spacing w:after="0"/>
              <w:rPr>
                <w:rFonts w:eastAsia="Times New Roman" w:cs="Times New Roman"/>
                <w:color w:val="000000"/>
                <w:sz w:val="20"/>
                <w:szCs w:val="20"/>
                <w:lang w:val="sr-Cyrl-RS" w:eastAsia="en-GB"/>
              </w:rPr>
            </w:pPr>
          </w:p>
        </w:tc>
        <w:tc>
          <w:tcPr>
            <w:tcW w:w="1383" w:type="dxa"/>
            <w:tcBorders>
              <w:top w:val="nil"/>
              <w:left w:val="nil"/>
              <w:bottom w:val="single" w:sz="8" w:space="0" w:color="auto"/>
              <w:right w:val="single" w:sz="8" w:space="0" w:color="auto"/>
            </w:tcBorders>
          </w:tcPr>
          <w:p w14:paraId="1D8D4F59" w14:textId="0AF19E4B"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5129D16A" w14:textId="7CEC2919" w:rsidR="00BF0002" w:rsidRPr="00EF2F18" w:rsidRDefault="00BF0002" w:rsidP="00752CA0">
            <w:pPr>
              <w:spacing w:after="0"/>
              <w:jc w:val="right"/>
              <w:rPr>
                <w:rFonts w:eastAsia="Times New Roman" w:cs="Times New Roman"/>
                <w:color w:val="000000"/>
                <w:sz w:val="20"/>
                <w:szCs w:val="20"/>
                <w:lang w:val="sr-Cyrl-RS" w:eastAsia="en-GB"/>
              </w:rPr>
            </w:pPr>
          </w:p>
        </w:tc>
        <w:tc>
          <w:tcPr>
            <w:tcW w:w="1421" w:type="dxa"/>
            <w:tcBorders>
              <w:top w:val="nil"/>
              <w:left w:val="nil"/>
              <w:bottom w:val="single" w:sz="8" w:space="0" w:color="auto"/>
              <w:right w:val="double" w:sz="6" w:space="0" w:color="auto"/>
            </w:tcBorders>
          </w:tcPr>
          <w:p w14:paraId="4C539F4E" w14:textId="50C6FD31"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00AC5F62" w14:textId="77777777" w:rsidTr="00BF0002">
        <w:trPr>
          <w:trHeight w:val="1068"/>
        </w:trPr>
        <w:tc>
          <w:tcPr>
            <w:tcW w:w="2953" w:type="dxa"/>
            <w:tcBorders>
              <w:top w:val="nil"/>
              <w:left w:val="double" w:sz="6" w:space="0" w:color="auto"/>
              <w:bottom w:val="single" w:sz="8" w:space="0" w:color="auto"/>
              <w:right w:val="single" w:sz="8" w:space="0" w:color="auto"/>
            </w:tcBorders>
            <w:hideMark/>
          </w:tcPr>
          <w:p w14:paraId="6516CB67" w14:textId="7B53646B"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6.1.1.2. Ревизија анализе потреба и попуњавање капацитета органа ЈЛС надлежних за заштиту животне средине</w:t>
            </w:r>
          </w:p>
        </w:tc>
        <w:tc>
          <w:tcPr>
            <w:tcW w:w="1278" w:type="dxa"/>
            <w:tcBorders>
              <w:top w:val="nil"/>
              <w:left w:val="nil"/>
              <w:bottom w:val="single" w:sz="8" w:space="0" w:color="auto"/>
              <w:right w:val="single" w:sz="8" w:space="0" w:color="auto"/>
            </w:tcBorders>
            <w:hideMark/>
          </w:tcPr>
          <w:p w14:paraId="3686172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1" w:type="dxa"/>
            <w:tcBorders>
              <w:top w:val="nil"/>
              <w:left w:val="nil"/>
              <w:bottom w:val="single" w:sz="8" w:space="0" w:color="auto"/>
              <w:right w:val="single" w:sz="8" w:space="0" w:color="auto"/>
            </w:tcBorders>
            <w:hideMark/>
          </w:tcPr>
          <w:p w14:paraId="5133A3E9" w14:textId="06181210"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ЈЛС, СКГО</w:t>
            </w:r>
          </w:p>
        </w:tc>
        <w:tc>
          <w:tcPr>
            <w:tcW w:w="1182" w:type="dxa"/>
            <w:tcBorders>
              <w:top w:val="nil"/>
              <w:left w:val="nil"/>
              <w:bottom w:val="single" w:sz="8" w:space="0" w:color="auto"/>
              <w:right w:val="single" w:sz="8" w:space="0" w:color="auto"/>
            </w:tcBorders>
            <w:hideMark/>
          </w:tcPr>
          <w:p w14:paraId="452412F0"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13F74D3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nil"/>
              <w:left w:val="nil"/>
              <w:bottom w:val="single" w:sz="8" w:space="0" w:color="auto"/>
              <w:right w:val="single" w:sz="8" w:space="0" w:color="auto"/>
            </w:tcBorders>
            <w:hideMark/>
          </w:tcPr>
          <w:p w14:paraId="115B0504" w14:textId="77777777" w:rsidR="00BF0002" w:rsidRPr="00EF2F18" w:rsidRDefault="00BF0002" w:rsidP="00752CA0">
            <w:pPr>
              <w:spacing w:after="0"/>
              <w:rPr>
                <w:rFonts w:eastAsia="Times New Roman" w:cs="Times New Roman"/>
                <w:color w:val="000000"/>
                <w:sz w:val="20"/>
                <w:szCs w:val="20"/>
                <w:lang w:val="sr-Cyrl-RS" w:eastAsia="en-GB"/>
              </w:rPr>
            </w:pPr>
          </w:p>
        </w:tc>
        <w:tc>
          <w:tcPr>
            <w:tcW w:w="1383" w:type="dxa"/>
            <w:tcBorders>
              <w:top w:val="nil"/>
              <w:left w:val="nil"/>
              <w:bottom w:val="single" w:sz="8" w:space="0" w:color="auto"/>
              <w:right w:val="single" w:sz="8" w:space="0" w:color="auto"/>
            </w:tcBorders>
          </w:tcPr>
          <w:p w14:paraId="750AD56D" w14:textId="3F638FB8"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3BAAA485" w14:textId="0FD6D2D9" w:rsidR="00BF0002" w:rsidRPr="00EF2F18" w:rsidRDefault="00BF0002" w:rsidP="00752CA0">
            <w:pPr>
              <w:spacing w:after="0"/>
              <w:jc w:val="right"/>
              <w:rPr>
                <w:rFonts w:eastAsia="Times New Roman" w:cs="Times New Roman"/>
                <w:color w:val="000000"/>
                <w:sz w:val="20"/>
                <w:szCs w:val="20"/>
                <w:lang w:val="sr-Cyrl-RS" w:eastAsia="en-GB"/>
              </w:rPr>
            </w:pPr>
          </w:p>
        </w:tc>
        <w:tc>
          <w:tcPr>
            <w:tcW w:w="1421" w:type="dxa"/>
            <w:tcBorders>
              <w:top w:val="nil"/>
              <w:left w:val="nil"/>
              <w:bottom w:val="single" w:sz="8" w:space="0" w:color="auto"/>
              <w:right w:val="double" w:sz="6" w:space="0" w:color="auto"/>
            </w:tcBorders>
          </w:tcPr>
          <w:p w14:paraId="1C7647C7" w14:textId="5D5137CE"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25C62A69" w14:textId="77777777" w:rsidTr="0084170D">
        <w:trPr>
          <w:trHeight w:val="1596"/>
        </w:trPr>
        <w:tc>
          <w:tcPr>
            <w:tcW w:w="2953" w:type="dxa"/>
            <w:tcBorders>
              <w:top w:val="single" w:sz="4" w:space="0" w:color="auto"/>
              <w:left w:val="double" w:sz="6" w:space="0" w:color="auto"/>
              <w:bottom w:val="single" w:sz="8" w:space="0" w:color="auto"/>
              <w:right w:val="single" w:sz="8" w:space="0" w:color="auto"/>
            </w:tcBorders>
            <w:hideMark/>
          </w:tcPr>
          <w:p w14:paraId="6FD3EE04" w14:textId="4223378C"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6.1.1.3. Израда програма за стручно усавршавање службеника и континуирано спровођење обука за унапређење знања, вештина и компетенција из области Зелене агенде </w:t>
            </w:r>
          </w:p>
        </w:tc>
        <w:tc>
          <w:tcPr>
            <w:tcW w:w="1278" w:type="dxa"/>
            <w:tcBorders>
              <w:top w:val="single" w:sz="4" w:space="0" w:color="auto"/>
              <w:left w:val="nil"/>
              <w:bottom w:val="single" w:sz="8" w:space="0" w:color="auto"/>
              <w:right w:val="single" w:sz="8" w:space="0" w:color="auto"/>
            </w:tcBorders>
            <w:hideMark/>
          </w:tcPr>
          <w:p w14:paraId="305F113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1" w:type="dxa"/>
            <w:tcBorders>
              <w:top w:val="single" w:sz="4" w:space="0" w:color="auto"/>
              <w:left w:val="nil"/>
              <w:bottom w:val="single" w:sz="8" w:space="0" w:color="auto"/>
              <w:right w:val="single" w:sz="8" w:space="0" w:color="auto"/>
            </w:tcBorders>
            <w:hideMark/>
          </w:tcPr>
          <w:p w14:paraId="4A24DA8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НАЈУ, АПВ, СКГО, ЈЛС. </w:t>
            </w:r>
          </w:p>
        </w:tc>
        <w:tc>
          <w:tcPr>
            <w:tcW w:w="1182" w:type="dxa"/>
            <w:tcBorders>
              <w:top w:val="single" w:sz="4" w:space="0" w:color="auto"/>
              <w:left w:val="nil"/>
              <w:bottom w:val="single" w:sz="8" w:space="0" w:color="auto"/>
              <w:right w:val="single" w:sz="8" w:space="0" w:color="auto"/>
            </w:tcBorders>
            <w:hideMark/>
          </w:tcPr>
          <w:p w14:paraId="02E03B9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single" w:sz="8" w:space="0" w:color="auto"/>
              <w:right w:val="single" w:sz="8" w:space="0" w:color="auto"/>
            </w:tcBorders>
            <w:hideMark/>
          </w:tcPr>
          <w:p w14:paraId="6F5A114D"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Буџетска средства </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6D5698D4"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383" w:type="dxa"/>
            <w:tcBorders>
              <w:top w:val="single" w:sz="4" w:space="0" w:color="auto"/>
              <w:left w:val="nil"/>
              <w:bottom w:val="single" w:sz="8" w:space="0" w:color="auto"/>
              <w:right w:val="single" w:sz="8" w:space="0" w:color="auto"/>
            </w:tcBorders>
          </w:tcPr>
          <w:p w14:paraId="4DC96ABB" w14:textId="65D61151"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single" w:sz="8" w:space="0" w:color="auto"/>
              <w:right w:val="single" w:sz="8" w:space="0" w:color="auto"/>
            </w:tcBorders>
          </w:tcPr>
          <w:p w14:paraId="43105B8E" w14:textId="3A659370" w:rsidR="00BF0002" w:rsidRPr="00EF2F18" w:rsidRDefault="00BF0002" w:rsidP="00752CA0">
            <w:pPr>
              <w:spacing w:after="0"/>
              <w:jc w:val="right"/>
              <w:rPr>
                <w:rFonts w:eastAsia="Times New Roman" w:cs="Times New Roman"/>
                <w:color w:val="000000"/>
                <w:sz w:val="20"/>
                <w:szCs w:val="20"/>
                <w:lang w:val="sr-Cyrl-RS" w:eastAsia="en-GB"/>
              </w:rPr>
            </w:pPr>
          </w:p>
        </w:tc>
        <w:tc>
          <w:tcPr>
            <w:tcW w:w="1421" w:type="dxa"/>
            <w:tcBorders>
              <w:top w:val="single" w:sz="4" w:space="0" w:color="auto"/>
              <w:left w:val="nil"/>
              <w:bottom w:val="single" w:sz="8" w:space="0" w:color="auto"/>
              <w:right w:val="double" w:sz="6" w:space="0" w:color="auto"/>
            </w:tcBorders>
          </w:tcPr>
          <w:p w14:paraId="65952555" w14:textId="71573A54"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34EA97D7" w14:textId="77777777" w:rsidTr="00BF0002">
        <w:trPr>
          <w:trHeight w:val="1596"/>
        </w:trPr>
        <w:tc>
          <w:tcPr>
            <w:tcW w:w="2953" w:type="dxa"/>
            <w:tcBorders>
              <w:top w:val="nil"/>
              <w:left w:val="single" w:sz="8" w:space="0" w:color="auto"/>
              <w:bottom w:val="single" w:sz="8" w:space="0" w:color="auto"/>
              <w:right w:val="single" w:sz="8" w:space="0" w:color="auto"/>
            </w:tcBorders>
            <w:hideMark/>
          </w:tcPr>
          <w:p w14:paraId="3E55D3A3" w14:textId="72C8F095"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6.1.1.4. Припрема водича за спровођење прописа за унапређење информисања ЈЛС о донетим прописима у области заштите животне средине и њиховој примени</w:t>
            </w:r>
          </w:p>
        </w:tc>
        <w:tc>
          <w:tcPr>
            <w:tcW w:w="1278" w:type="dxa"/>
            <w:tcBorders>
              <w:top w:val="nil"/>
              <w:left w:val="nil"/>
              <w:bottom w:val="single" w:sz="8" w:space="0" w:color="auto"/>
              <w:right w:val="single" w:sz="8" w:space="0" w:color="auto"/>
            </w:tcBorders>
            <w:hideMark/>
          </w:tcPr>
          <w:p w14:paraId="7DA4F7B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1" w:type="dxa"/>
            <w:tcBorders>
              <w:top w:val="nil"/>
              <w:left w:val="nil"/>
              <w:bottom w:val="single" w:sz="8" w:space="0" w:color="auto"/>
              <w:right w:val="single" w:sz="8" w:space="0" w:color="auto"/>
            </w:tcBorders>
            <w:hideMark/>
          </w:tcPr>
          <w:p w14:paraId="3CC03013"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ЈЛС, СКГО</w:t>
            </w:r>
          </w:p>
        </w:tc>
        <w:tc>
          <w:tcPr>
            <w:tcW w:w="1182" w:type="dxa"/>
            <w:tcBorders>
              <w:top w:val="nil"/>
              <w:left w:val="nil"/>
              <w:bottom w:val="single" w:sz="8" w:space="0" w:color="auto"/>
              <w:right w:val="single" w:sz="8" w:space="0" w:color="auto"/>
            </w:tcBorders>
            <w:hideMark/>
          </w:tcPr>
          <w:p w14:paraId="340127D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2B621BE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Буџетска средства </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6DD53A9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383" w:type="dxa"/>
            <w:tcBorders>
              <w:top w:val="nil"/>
              <w:left w:val="nil"/>
              <w:bottom w:val="single" w:sz="8" w:space="0" w:color="auto"/>
              <w:right w:val="single" w:sz="8" w:space="0" w:color="auto"/>
            </w:tcBorders>
          </w:tcPr>
          <w:p w14:paraId="53B552E8" w14:textId="2F9EE54A"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6E3A6C8A" w14:textId="10127854" w:rsidR="00BF0002" w:rsidRPr="00EF2F18" w:rsidRDefault="00BF0002" w:rsidP="00752CA0">
            <w:pPr>
              <w:spacing w:after="0"/>
              <w:jc w:val="right"/>
              <w:rPr>
                <w:rFonts w:eastAsia="Times New Roman" w:cs="Times New Roman"/>
                <w:color w:val="000000"/>
                <w:sz w:val="20"/>
                <w:szCs w:val="20"/>
                <w:lang w:val="sr-Cyrl-RS" w:eastAsia="en-GB"/>
              </w:rPr>
            </w:pPr>
          </w:p>
        </w:tc>
        <w:tc>
          <w:tcPr>
            <w:tcW w:w="1421" w:type="dxa"/>
            <w:tcBorders>
              <w:top w:val="nil"/>
              <w:left w:val="nil"/>
              <w:bottom w:val="single" w:sz="8" w:space="0" w:color="auto"/>
              <w:right w:val="double" w:sz="6" w:space="0" w:color="auto"/>
            </w:tcBorders>
          </w:tcPr>
          <w:p w14:paraId="5262D74D" w14:textId="5B3EB77F"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1A8F2F62" w14:textId="77777777" w:rsidTr="006C248D">
        <w:trPr>
          <w:trHeight w:val="1332"/>
        </w:trPr>
        <w:tc>
          <w:tcPr>
            <w:tcW w:w="2953" w:type="dxa"/>
            <w:tcBorders>
              <w:top w:val="single" w:sz="4" w:space="0" w:color="auto"/>
              <w:left w:val="single" w:sz="8" w:space="0" w:color="auto"/>
              <w:bottom w:val="single" w:sz="8" w:space="0" w:color="auto"/>
              <w:right w:val="single" w:sz="8" w:space="0" w:color="auto"/>
            </w:tcBorders>
            <w:hideMark/>
          </w:tcPr>
          <w:p w14:paraId="26CFD80B" w14:textId="3ED15D40"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6.1.1.5. Спровођење програма обука релевантних актера за јачање капацитета у контексту миграција и заштите животне средине и климатских промена</w:t>
            </w:r>
          </w:p>
        </w:tc>
        <w:tc>
          <w:tcPr>
            <w:tcW w:w="1278" w:type="dxa"/>
            <w:tcBorders>
              <w:top w:val="single" w:sz="4" w:space="0" w:color="auto"/>
              <w:left w:val="nil"/>
              <w:bottom w:val="single" w:sz="8" w:space="0" w:color="auto"/>
              <w:right w:val="single" w:sz="8" w:space="0" w:color="auto"/>
            </w:tcBorders>
            <w:hideMark/>
          </w:tcPr>
          <w:p w14:paraId="0E9FD5A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1" w:type="dxa"/>
            <w:tcBorders>
              <w:top w:val="single" w:sz="4" w:space="0" w:color="auto"/>
              <w:left w:val="nil"/>
              <w:bottom w:val="single" w:sz="8" w:space="0" w:color="auto"/>
              <w:right w:val="single" w:sz="8" w:space="0" w:color="auto"/>
            </w:tcBorders>
            <w:hideMark/>
          </w:tcPr>
          <w:p w14:paraId="24D4D963"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ИОМ</w:t>
            </w:r>
          </w:p>
        </w:tc>
        <w:tc>
          <w:tcPr>
            <w:tcW w:w="1182" w:type="dxa"/>
            <w:tcBorders>
              <w:top w:val="single" w:sz="4" w:space="0" w:color="auto"/>
              <w:left w:val="nil"/>
              <w:bottom w:val="single" w:sz="8" w:space="0" w:color="auto"/>
              <w:right w:val="single" w:sz="8" w:space="0" w:color="auto"/>
            </w:tcBorders>
            <w:hideMark/>
          </w:tcPr>
          <w:p w14:paraId="14A483C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single" w:sz="8" w:space="0" w:color="auto"/>
              <w:right w:val="single" w:sz="8" w:space="0" w:color="auto"/>
            </w:tcBorders>
            <w:hideMark/>
          </w:tcPr>
          <w:p w14:paraId="065F665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single" w:sz="4" w:space="0" w:color="auto"/>
              <w:left w:val="nil"/>
              <w:bottom w:val="single" w:sz="8" w:space="0" w:color="auto"/>
              <w:right w:val="single" w:sz="8" w:space="0" w:color="auto"/>
            </w:tcBorders>
          </w:tcPr>
          <w:p w14:paraId="14E51E26" w14:textId="68350061" w:rsidR="00BF0002" w:rsidRPr="00EF2F18" w:rsidRDefault="00BF0002" w:rsidP="00752CA0">
            <w:pPr>
              <w:spacing w:after="0"/>
              <w:rPr>
                <w:rFonts w:eastAsia="Times New Roman" w:cs="Times New Roman"/>
                <w:color w:val="000000"/>
                <w:sz w:val="20"/>
                <w:szCs w:val="20"/>
                <w:lang w:val="sr-Cyrl-RS" w:eastAsia="en-GB"/>
              </w:rPr>
            </w:pPr>
          </w:p>
        </w:tc>
        <w:tc>
          <w:tcPr>
            <w:tcW w:w="1383" w:type="dxa"/>
            <w:tcBorders>
              <w:top w:val="single" w:sz="4" w:space="0" w:color="auto"/>
              <w:left w:val="nil"/>
              <w:bottom w:val="single" w:sz="8" w:space="0" w:color="auto"/>
              <w:right w:val="single" w:sz="8" w:space="0" w:color="auto"/>
            </w:tcBorders>
          </w:tcPr>
          <w:p w14:paraId="34C260C9" w14:textId="3B50F72E"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single" w:sz="8" w:space="0" w:color="auto"/>
              <w:right w:val="single" w:sz="8" w:space="0" w:color="auto"/>
            </w:tcBorders>
          </w:tcPr>
          <w:p w14:paraId="2007D5B7" w14:textId="6408A93A" w:rsidR="00BF0002" w:rsidRPr="00EF2F18" w:rsidRDefault="00BF0002" w:rsidP="00752CA0">
            <w:pPr>
              <w:spacing w:after="0"/>
              <w:jc w:val="right"/>
              <w:rPr>
                <w:rFonts w:eastAsia="Times New Roman" w:cs="Times New Roman"/>
                <w:color w:val="000000"/>
                <w:sz w:val="20"/>
                <w:szCs w:val="20"/>
                <w:lang w:val="sr-Cyrl-RS" w:eastAsia="en-GB"/>
              </w:rPr>
            </w:pPr>
          </w:p>
        </w:tc>
        <w:tc>
          <w:tcPr>
            <w:tcW w:w="1421" w:type="dxa"/>
            <w:tcBorders>
              <w:top w:val="single" w:sz="4" w:space="0" w:color="auto"/>
              <w:left w:val="nil"/>
              <w:bottom w:val="single" w:sz="8" w:space="0" w:color="auto"/>
              <w:right w:val="single" w:sz="8" w:space="0" w:color="auto"/>
            </w:tcBorders>
          </w:tcPr>
          <w:p w14:paraId="679E8706" w14:textId="65C8D10C"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6F9C93E7" w14:textId="77777777" w:rsidTr="00BF0002">
        <w:trPr>
          <w:trHeight w:val="1332"/>
        </w:trPr>
        <w:tc>
          <w:tcPr>
            <w:tcW w:w="2953" w:type="dxa"/>
            <w:tcBorders>
              <w:top w:val="nil"/>
              <w:left w:val="single" w:sz="8" w:space="0" w:color="auto"/>
              <w:bottom w:val="single" w:sz="8" w:space="0" w:color="auto"/>
              <w:right w:val="single" w:sz="8" w:space="0" w:color="auto"/>
            </w:tcBorders>
            <w:hideMark/>
          </w:tcPr>
          <w:p w14:paraId="021988D0" w14:textId="0BA41194"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6.1.1.6. Обуке за државне службенике о правима деце у области животне средине и обавезама државе према Конвенцији о правима детета.</w:t>
            </w:r>
          </w:p>
        </w:tc>
        <w:tc>
          <w:tcPr>
            <w:tcW w:w="1278" w:type="dxa"/>
            <w:tcBorders>
              <w:top w:val="nil"/>
              <w:left w:val="nil"/>
              <w:bottom w:val="single" w:sz="8" w:space="0" w:color="auto"/>
              <w:right w:val="single" w:sz="8" w:space="0" w:color="auto"/>
            </w:tcBorders>
            <w:hideMark/>
          </w:tcPr>
          <w:p w14:paraId="28A24E9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1" w:type="dxa"/>
            <w:tcBorders>
              <w:top w:val="nil"/>
              <w:left w:val="nil"/>
              <w:bottom w:val="single" w:sz="8" w:space="0" w:color="auto"/>
              <w:right w:val="single" w:sz="8" w:space="0" w:color="auto"/>
            </w:tcBorders>
            <w:hideMark/>
          </w:tcPr>
          <w:p w14:paraId="75AE6F3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УНИЦЕФ</w:t>
            </w:r>
          </w:p>
        </w:tc>
        <w:tc>
          <w:tcPr>
            <w:tcW w:w="1182" w:type="dxa"/>
            <w:tcBorders>
              <w:top w:val="nil"/>
              <w:left w:val="nil"/>
              <w:bottom w:val="single" w:sz="8" w:space="0" w:color="auto"/>
              <w:right w:val="single" w:sz="8" w:space="0" w:color="auto"/>
            </w:tcBorders>
            <w:hideMark/>
          </w:tcPr>
          <w:p w14:paraId="3FEE93B0"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nil"/>
              <w:left w:val="nil"/>
              <w:bottom w:val="single" w:sz="8" w:space="0" w:color="auto"/>
              <w:right w:val="single" w:sz="8" w:space="0" w:color="auto"/>
            </w:tcBorders>
            <w:hideMark/>
          </w:tcPr>
          <w:p w14:paraId="3EA48BA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nil"/>
              <w:left w:val="nil"/>
              <w:bottom w:val="single" w:sz="8" w:space="0" w:color="auto"/>
              <w:right w:val="single" w:sz="8" w:space="0" w:color="auto"/>
            </w:tcBorders>
          </w:tcPr>
          <w:p w14:paraId="498E286F" w14:textId="545C6A58" w:rsidR="00BF0002" w:rsidRPr="00EF2F18" w:rsidRDefault="00BF0002" w:rsidP="00752CA0">
            <w:pPr>
              <w:spacing w:after="0"/>
              <w:rPr>
                <w:rFonts w:eastAsia="Times New Roman" w:cs="Times New Roman"/>
                <w:color w:val="000000"/>
                <w:sz w:val="20"/>
                <w:szCs w:val="20"/>
                <w:lang w:val="sr-Cyrl-RS" w:eastAsia="en-GB"/>
              </w:rPr>
            </w:pPr>
          </w:p>
        </w:tc>
        <w:tc>
          <w:tcPr>
            <w:tcW w:w="1383" w:type="dxa"/>
            <w:tcBorders>
              <w:top w:val="nil"/>
              <w:left w:val="nil"/>
              <w:bottom w:val="single" w:sz="8" w:space="0" w:color="auto"/>
              <w:right w:val="single" w:sz="8" w:space="0" w:color="auto"/>
            </w:tcBorders>
          </w:tcPr>
          <w:p w14:paraId="6DB20EF3" w14:textId="6A8085C9"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62F47E4E" w14:textId="232556D2" w:rsidR="00BF0002" w:rsidRPr="00EF2F18" w:rsidRDefault="00BF0002" w:rsidP="00752CA0">
            <w:pPr>
              <w:spacing w:after="0"/>
              <w:jc w:val="right"/>
              <w:rPr>
                <w:rFonts w:eastAsia="Times New Roman" w:cs="Times New Roman"/>
                <w:color w:val="000000"/>
                <w:sz w:val="20"/>
                <w:szCs w:val="20"/>
                <w:lang w:val="sr-Cyrl-RS" w:eastAsia="en-GB"/>
              </w:rPr>
            </w:pPr>
          </w:p>
        </w:tc>
        <w:tc>
          <w:tcPr>
            <w:tcW w:w="1421" w:type="dxa"/>
            <w:tcBorders>
              <w:top w:val="nil"/>
              <w:left w:val="nil"/>
              <w:bottom w:val="single" w:sz="8" w:space="0" w:color="auto"/>
              <w:right w:val="single" w:sz="8" w:space="0" w:color="auto"/>
            </w:tcBorders>
          </w:tcPr>
          <w:p w14:paraId="589E6441" w14:textId="7E050F35" w:rsidR="00BF0002" w:rsidRPr="00EF2F18" w:rsidRDefault="00BF0002" w:rsidP="00752CA0">
            <w:pPr>
              <w:spacing w:after="0"/>
              <w:jc w:val="right"/>
              <w:rPr>
                <w:rFonts w:eastAsia="Times New Roman" w:cs="Times New Roman"/>
                <w:color w:val="000000"/>
                <w:sz w:val="20"/>
                <w:szCs w:val="20"/>
                <w:lang w:val="sr-Cyrl-RS" w:eastAsia="en-GB"/>
              </w:rPr>
            </w:pPr>
          </w:p>
        </w:tc>
      </w:tr>
    </w:tbl>
    <w:p w14:paraId="1E04D7AA" w14:textId="6CE053D1" w:rsidR="00A25CE0" w:rsidRPr="006722AE" w:rsidRDefault="00573FE5" w:rsidP="007D7243">
      <w:pPr>
        <w:rPr>
          <w:rFonts w:cs="Times New Roman"/>
          <w:sz w:val="20"/>
          <w:szCs w:val="20"/>
          <w:lang w:val="sr-Cyrl-RS"/>
        </w:rPr>
      </w:pPr>
      <w:r w:rsidRPr="00EF2F18">
        <w:rPr>
          <w:rFonts w:cs="Times New Roman"/>
          <w:sz w:val="20"/>
          <w:szCs w:val="20"/>
          <w:lang w:val="sr-Cyrl-RS"/>
        </w:rPr>
        <w:t xml:space="preserve">* Извори финансирања и/или средства још увек </w:t>
      </w:r>
      <w:r w:rsidR="006722AE">
        <w:rPr>
          <w:rFonts w:cs="Times New Roman"/>
          <w:sz w:val="20"/>
          <w:szCs w:val="20"/>
          <w:lang w:val="sr-Cyrl-RS"/>
        </w:rPr>
        <w:t>нису утврђени и/или обезбеђени.</w:t>
      </w: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1000"/>
        <w:gridCol w:w="1520"/>
        <w:gridCol w:w="1060"/>
        <w:gridCol w:w="1487"/>
        <w:gridCol w:w="1693"/>
        <w:gridCol w:w="17"/>
      </w:tblGrid>
      <w:tr w:rsidR="007D7243" w:rsidRPr="00EF2F18" w14:paraId="61714597" w14:textId="77777777" w:rsidTr="00BF0002">
        <w:trPr>
          <w:gridAfter w:val="1"/>
          <w:wAfter w:w="17" w:type="dxa"/>
          <w:trHeight w:val="336"/>
        </w:trPr>
        <w:tc>
          <w:tcPr>
            <w:tcW w:w="13640" w:type="dxa"/>
            <w:gridSpan w:val="9"/>
            <w:shd w:val="clear" w:color="000000" w:fill="F7CAAC"/>
            <w:hideMark/>
          </w:tcPr>
          <w:p w14:paraId="70575553"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6.1.2: Унапређење инспекцијског надзора</w:t>
            </w:r>
          </w:p>
        </w:tc>
      </w:tr>
      <w:tr w:rsidR="007D7243" w:rsidRPr="00EF2F18" w14:paraId="59996B3B" w14:textId="77777777" w:rsidTr="00BF0002">
        <w:trPr>
          <w:gridAfter w:val="1"/>
          <w:wAfter w:w="17" w:type="dxa"/>
          <w:trHeight w:val="336"/>
        </w:trPr>
        <w:tc>
          <w:tcPr>
            <w:tcW w:w="13640" w:type="dxa"/>
            <w:gridSpan w:val="9"/>
            <w:shd w:val="clear" w:color="000000" w:fill="F7CAAC"/>
            <w:hideMark/>
          </w:tcPr>
          <w:p w14:paraId="5187962F"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5867C0AD" w14:textId="77777777" w:rsidTr="00BF0002">
        <w:trPr>
          <w:gridAfter w:val="1"/>
          <w:wAfter w:w="17" w:type="dxa"/>
          <w:trHeight w:val="336"/>
        </w:trPr>
        <w:tc>
          <w:tcPr>
            <w:tcW w:w="6880" w:type="dxa"/>
            <w:gridSpan w:val="4"/>
            <w:shd w:val="clear" w:color="000000" w:fill="F7CAAC"/>
            <w:hideMark/>
          </w:tcPr>
          <w:p w14:paraId="6DB38E52" w14:textId="14246259"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743C4B"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shd w:val="clear" w:color="000000" w:fill="F7CAAC"/>
            <w:hideMark/>
          </w:tcPr>
          <w:p w14:paraId="1C67E27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 едукативна</w:t>
            </w:r>
          </w:p>
        </w:tc>
      </w:tr>
      <w:tr w:rsidR="007D7243" w:rsidRPr="00EF2F18" w14:paraId="45BD223E" w14:textId="77777777" w:rsidTr="00BF0002">
        <w:trPr>
          <w:gridAfter w:val="1"/>
          <w:wAfter w:w="17" w:type="dxa"/>
          <w:trHeight w:val="336"/>
        </w:trPr>
        <w:tc>
          <w:tcPr>
            <w:tcW w:w="6880" w:type="dxa"/>
            <w:gridSpan w:val="4"/>
            <w:shd w:val="clear" w:color="000000" w:fill="F7CAAC"/>
            <w:hideMark/>
          </w:tcPr>
          <w:p w14:paraId="1F5797B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shd w:val="clear" w:color="000000" w:fill="F7CAAC"/>
            <w:hideMark/>
          </w:tcPr>
          <w:p w14:paraId="7E636240"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BF0002" w:rsidRPr="00EF2F18" w14:paraId="3B6ADB53" w14:textId="77777777" w:rsidTr="00BF0002">
        <w:trPr>
          <w:trHeight w:val="816"/>
        </w:trPr>
        <w:tc>
          <w:tcPr>
            <w:tcW w:w="3320" w:type="dxa"/>
            <w:shd w:val="clear" w:color="000000" w:fill="D9D9D9"/>
            <w:hideMark/>
          </w:tcPr>
          <w:p w14:paraId="03D77B12"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shd w:val="clear" w:color="000000" w:fill="D9D9D9"/>
            <w:hideMark/>
          </w:tcPr>
          <w:p w14:paraId="7C990D25"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shd w:val="clear" w:color="000000" w:fill="D9D9D9"/>
            <w:hideMark/>
          </w:tcPr>
          <w:p w14:paraId="169A39B5"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shd w:val="clear" w:color="000000" w:fill="D9D9D9"/>
            <w:hideMark/>
          </w:tcPr>
          <w:p w14:paraId="35A49292"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shd w:val="clear" w:color="000000" w:fill="D9D9D9"/>
            <w:hideMark/>
          </w:tcPr>
          <w:p w14:paraId="0597BF43"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shd w:val="clear" w:color="000000" w:fill="D9D9D9"/>
            <w:hideMark/>
          </w:tcPr>
          <w:p w14:paraId="409638BC"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487" w:type="dxa"/>
            <w:shd w:val="clear" w:color="000000" w:fill="D9D9D9"/>
            <w:hideMark/>
          </w:tcPr>
          <w:p w14:paraId="5E0B5CC9"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shd w:val="clear" w:color="000000" w:fill="D9D9D9"/>
            <w:hideMark/>
          </w:tcPr>
          <w:p w14:paraId="74F378B6"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BF0002" w:rsidRPr="00EF2F18" w14:paraId="559ED51B" w14:textId="77777777" w:rsidTr="00BF0002">
        <w:trPr>
          <w:trHeight w:val="816"/>
        </w:trPr>
        <w:tc>
          <w:tcPr>
            <w:tcW w:w="3320" w:type="dxa"/>
            <w:shd w:val="clear" w:color="000000" w:fill="FFFFFF"/>
            <w:hideMark/>
          </w:tcPr>
          <w:p w14:paraId="0D6CC6B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спроведених програма за јачање капацитета инспекције на свим нивоима, годишње </w:t>
            </w:r>
          </w:p>
        </w:tc>
        <w:tc>
          <w:tcPr>
            <w:tcW w:w="1280" w:type="dxa"/>
            <w:shd w:val="clear" w:color="000000" w:fill="FFFFFF"/>
            <w:hideMark/>
          </w:tcPr>
          <w:p w14:paraId="210FF981"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shd w:val="clear" w:color="000000" w:fill="FFFFFF"/>
            <w:hideMark/>
          </w:tcPr>
          <w:p w14:paraId="7CE384FA"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2000" w:type="dxa"/>
            <w:gridSpan w:val="2"/>
            <w:shd w:val="clear" w:color="000000" w:fill="FFFFFF"/>
            <w:hideMark/>
          </w:tcPr>
          <w:p w14:paraId="3F717716"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520" w:type="dxa"/>
            <w:shd w:val="clear" w:color="000000" w:fill="FFFFFF"/>
            <w:hideMark/>
          </w:tcPr>
          <w:p w14:paraId="7EF26207"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shd w:val="clear" w:color="000000" w:fill="FFFFFF"/>
            <w:hideMark/>
          </w:tcPr>
          <w:p w14:paraId="3FF17383"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w:t>
            </w:r>
          </w:p>
        </w:tc>
        <w:tc>
          <w:tcPr>
            <w:tcW w:w="1487" w:type="dxa"/>
            <w:shd w:val="clear" w:color="000000" w:fill="FFFFFF"/>
            <w:hideMark/>
          </w:tcPr>
          <w:p w14:paraId="2CE94ABF"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w:t>
            </w:r>
          </w:p>
        </w:tc>
        <w:tc>
          <w:tcPr>
            <w:tcW w:w="1710" w:type="dxa"/>
            <w:gridSpan w:val="2"/>
            <w:shd w:val="clear" w:color="000000" w:fill="FFFFFF"/>
            <w:hideMark/>
          </w:tcPr>
          <w:p w14:paraId="0CE5594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w:t>
            </w:r>
          </w:p>
        </w:tc>
      </w:tr>
    </w:tbl>
    <w:p w14:paraId="49623E41" w14:textId="77777777" w:rsidR="007D7243" w:rsidRPr="00EF2F18" w:rsidRDefault="007D7243" w:rsidP="007D7243">
      <w:pPr>
        <w:rPr>
          <w:sz w:val="20"/>
          <w:szCs w:val="20"/>
          <w:lang w:val="sr-Cyrl-RS"/>
        </w:rPr>
      </w:pPr>
    </w:p>
    <w:tbl>
      <w:tblPr>
        <w:tblW w:w="13657" w:type="dxa"/>
        <w:tblLook w:val="04A0" w:firstRow="1" w:lastRow="0" w:firstColumn="1" w:lastColumn="0" w:noHBand="0" w:noVBand="1"/>
      </w:tblPr>
      <w:tblGrid>
        <w:gridCol w:w="3800"/>
        <w:gridCol w:w="2414"/>
        <w:gridCol w:w="1820"/>
        <w:gridCol w:w="2743"/>
        <w:gridCol w:w="2880"/>
      </w:tblGrid>
      <w:tr w:rsidR="007D7243" w:rsidRPr="00EF2F18" w14:paraId="655E8CE4" w14:textId="77777777" w:rsidTr="00EF0900">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8FB2E76"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14"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7323F7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443" w:type="dxa"/>
            <w:gridSpan w:val="3"/>
            <w:tcBorders>
              <w:top w:val="double" w:sz="6" w:space="0" w:color="auto"/>
              <w:left w:val="nil"/>
              <w:bottom w:val="double" w:sz="6" w:space="0" w:color="auto"/>
              <w:right w:val="double" w:sz="6" w:space="0" w:color="auto"/>
            </w:tcBorders>
            <w:shd w:val="clear" w:color="000000" w:fill="A8D08D"/>
            <w:hideMark/>
          </w:tcPr>
          <w:p w14:paraId="1DB9362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BF0002" w:rsidRPr="00EF2F18" w14:paraId="6AA04AAD" w14:textId="77777777" w:rsidTr="00EF0900">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774FFF29" w14:textId="77777777" w:rsidR="00BF0002" w:rsidRPr="00EF2F18" w:rsidRDefault="00BF0002" w:rsidP="00752CA0">
            <w:pPr>
              <w:spacing w:after="0"/>
              <w:rPr>
                <w:rFonts w:eastAsia="Times New Roman" w:cs="Times New Roman"/>
                <w:color w:val="000000"/>
                <w:sz w:val="20"/>
                <w:szCs w:val="20"/>
                <w:lang w:val="sr-Cyrl-RS" w:eastAsia="en-GB"/>
              </w:rPr>
            </w:pPr>
          </w:p>
        </w:tc>
        <w:tc>
          <w:tcPr>
            <w:tcW w:w="2414" w:type="dxa"/>
            <w:vMerge/>
            <w:tcBorders>
              <w:top w:val="double" w:sz="6" w:space="0" w:color="auto"/>
              <w:left w:val="double" w:sz="6" w:space="0" w:color="auto"/>
              <w:bottom w:val="single" w:sz="8" w:space="0" w:color="000000"/>
              <w:right w:val="double" w:sz="6" w:space="0" w:color="auto"/>
            </w:tcBorders>
            <w:vAlign w:val="center"/>
            <w:hideMark/>
          </w:tcPr>
          <w:p w14:paraId="52FCBD28" w14:textId="77777777" w:rsidR="00BF0002" w:rsidRPr="00EF2F18" w:rsidRDefault="00BF0002"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01899957" w14:textId="29CA87E8"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743" w:type="dxa"/>
            <w:tcBorders>
              <w:top w:val="nil"/>
              <w:left w:val="nil"/>
              <w:bottom w:val="double" w:sz="6" w:space="0" w:color="auto"/>
              <w:right w:val="double" w:sz="6" w:space="0" w:color="auto"/>
            </w:tcBorders>
            <w:shd w:val="clear" w:color="000000" w:fill="A8D08D"/>
            <w:hideMark/>
          </w:tcPr>
          <w:p w14:paraId="16CC5861" w14:textId="17A9C82A"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880" w:type="dxa"/>
            <w:tcBorders>
              <w:top w:val="nil"/>
              <w:left w:val="nil"/>
              <w:bottom w:val="double" w:sz="6" w:space="0" w:color="auto"/>
              <w:right w:val="double" w:sz="6" w:space="0" w:color="auto"/>
            </w:tcBorders>
            <w:shd w:val="clear" w:color="000000" w:fill="A8D08D"/>
            <w:hideMark/>
          </w:tcPr>
          <w:p w14:paraId="38673670" w14:textId="6BE69BDB"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BF0002" w:rsidRPr="00EF2F18" w14:paraId="66468512" w14:textId="77777777" w:rsidTr="00EF0900">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225DCB3B" w14:textId="6D410854"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14" w:type="dxa"/>
            <w:tcBorders>
              <w:top w:val="nil"/>
              <w:left w:val="nil"/>
              <w:bottom w:val="double" w:sz="6" w:space="0" w:color="auto"/>
              <w:right w:val="double" w:sz="6" w:space="0" w:color="auto"/>
            </w:tcBorders>
            <w:shd w:val="clear" w:color="000000" w:fill="FFFFFF"/>
            <w:hideMark/>
          </w:tcPr>
          <w:p w14:paraId="034A5DF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0404-560-0003-411</w:t>
            </w:r>
          </w:p>
        </w:tc>
        <w:tc>
          <w:tcPr>
            <w:tcW w:w="1820" w:type="dxa"/>
            <w:tcBorders>
              <w:top w:val="nil"/>
              <w:left w:val="nil"/>
              <w:bottom w:val="double" w:sz="6" w:space="0" w:color="auto"/>
              <w:right w:val="double" w:sz="6" w:space="0" w:color="auto"/>
            </w:tcBorders>
          </w:tcPr>
          <w:p w14:paraId="67477483" w14:textId="30409F97" w:rsidR="00BF0002" w:rsidRPr="00EF2F18" w:rsidRDefault="00BF0002" w:rsidP="00752CA0">
            <w:pPr>
              <w:spacing w:after="0"/>
              <w:jc w:val="right"/>
              <w:rPr>
                <w:rFonts w:eastAsia="Times New Roman" w:cs="Times New Roman"/>
                <w:color w:val="000000"/>
                <w:sz w:val="20"/>
                <w:szCs w:val="20"/>
                <w:lang w:val="sr-Cyrl-RS" w:eastAsia="en-GB"/>
              </w:rPr>
            </w:pPr>
          </w:p>
        </w:tc>
        <w:tc>
          <w:tcPr>
            <w:tcW w:w="2743" w:type="dxa"/>
            <w:tcBorders>
              <w:top w:val="nil"/>
              <w:left w:val="nil"/>
              <w:bottom w:val="double" w:sz="6" w:space="0" w:color="auto"/>
              <w:right w:val="double" w:sz="6" w:space="0" w:color="auto"/>
            </w:tcBorders>
          </w:tcPr>
          <w:p w14:paraId="3B4DC27F" w14:textId="23813E52" w:rsidR="00BF0002" w:rsidRPr="00EF2F18" w:rsidRDefault="00BF0002" w:rsidP="00752CA0">
            <w:pPr>
              <w:spacing w:after="0"/>
              <w:jc w:val="right"/>
              <w:rPr>
                <w:rFonts w:eastAsia="Times New Roman" w:cs="Times New Roman"/>
                <w:color w:val="000000"/>
                <w:sz w:val="20"/>
                <w:szCs w:val="20"/>
                <w:lang w:val="sr-Cyrl-RS" w:eastAsia="en-GB"/>
              </w:rPr>
            </w:pPr>
          </w:p>
        </w:tc>
        <w:tc>
          <w:tcPr>
            <w:tcW w:w="2880" w:type="dxa"/>
            <w:tcBorders>
              <w:top w:val="nil"/>
              <w:left w:val="nil"/>
              <w:bottom w:val="double" w:sz="6" w:space="0" w:color="auto"/>
              <w:right w:val="double" w:sz="6" w:space="0" w:color="auto"/>
            </w:tcBorders>
            <w:shd w:val="clear" w:color="000000" w:fill="FFFFFF"/>
          </w:tcPr>
          <w:p w14:paraId="312B541C" w14:textId="5424D160"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2000B5C6" w14:textId="77777777" w:rsidTr="00EF0900">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3A6BE7A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14" w:type="dxa"/>
            <w:tcBorders>
              <w:top w:val="nil"/>
              <w:left w:val="nil"/>
              <w:bottom w:val="double" w:sz="6" w:space="0" w:color="auto"/>
              <w:right w:val="double" w:sz="6" w:space="0" w:color="auto"/>
            </w:tcBorders>
            <w:shd w:val="clear" w:color="000000" w:fill="FFFFFF"/>
            <w:hideMark/>
          </w:tcPr>
          <w:p w14:paraId="58A2723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0404-560-0003-423</w:t>
            </w:r>
          </w:p>
        </w:tc>
        <w:tc>
          <w:tcPr>
            <w:tcW w:w="1820" w:type="dxa"/>
            <w:tcBorders>
              <w:top w:val="nil"/>
              <w:left w:val="nil"/>
              <w:bottom w:val="double" w:sz="6" w:space="0" w:color="auto"/>
              <w:right w:val="double" w:sz="6" w:space="0" w:color="auto"/>
            </w:tcBorders>
            <w:hideMark/>
          </w:tcPr>
          <w:p w14:paraId="06064247" w14:textId="0C48B9F6" w:rsidR="00BF0002" w:rsidRPr="00EF2F18" w:rsidRDefault="00AE568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r w:rsidR="00BF0002" w:rsidRPr="00EF2F18">
              <w:rPr>
                <w:rFonts w:eastAsia="Times New Roman" w:cs="Times New Roman"/>
                <w:color w:val="000000"/>
                <w:sz w:val="20"/>
                <w:szCs w:val="20"/>
                <w:lang w:val="sr-Cyrl-RS" w:eastAsia="en-GB"/>
              </w:rPr>
              <w:t>.000</w:t>
            </w:r>
          </w:p>
        </w:tc>
        <w:tc>
          <w:tcPr>
            <w:tcW w:w="2743" w:type="dxa"/>
            <w:tcBorders>
              <w:top w:val="nil"/>
              <w:left w:val="nil"/>
              <w:bottom w:val="double" w:sz="6" w:space="0" w:color="auto"/>
              <w:right w:val="double" w:sz="6" w:space="0" w:color="auto"/>
            </w:tcBorders>
            <w:hideMark/>
          </w:tcPr>
          <w:p w14:paraId="39295384" w14:textId="58DA8161" w:rsidR="00BF0002" w:rsidRPr="00EF2F18" w:rsidRDefault="00FB7FB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r w:rsidR="00BF0002" w:rsidRPr="00EF2F18">
              <w:rPr>
                <w:rFonts w:eastAsia="Times New Roman" w:cs="Times New Roman"/>
                <w:color w:val="000000"/>
                <w:sz w:val="20"/>
                <w:szCs w:val="20"/>
                <w:lang w:val="sr-Cyrl-RS" w:eastAsia="en-GB"/>
              </w:rPr>
              <w:t>.000</w:t>
            </w:r>
          </w:p>
        </w:tc>
        <w:tc>
          <w:tcPr>
            <w:tcW w:w="2880" w:type="dxa"/>
            <w:tcBorders>
              <w:top w:val="nil"/>
              <w:left w:val="nil"/>
              <w:bottom w:val="double" w:sz="6" w:space="0" w:color="auto"/>
              <w:right w:val="double" w:sz="6" w:space="0" w:color="auto"/>
            </w:tcBorders>
            <w:shd w:val="clear" w:color="000000" w:fill="FFFFFF"/>
            <w:hideMark/>
          </w:tcPr>
          <w:p w14:paraId="0175D1DD" w14:textId="2AEA9E2F" w:rsidR="00BF0002" w:rsidRPr="00EF2F18" w:rsidRDefault="00FB7FB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r w:rsidR="00BF0002" w:rsidRPr="00EF2F18">
              <w:rPr>
                <w:rFonts w:eastAsia="Times New Roman" w:cs="Times New Roman"/>
                <w:color w:val="000000"/>
                <w:sz w:val="20"/>
                <w:szCs w:val="20"/>
                <w:lang w:val="sr-Cyrl-RS" w:eastAsia="en-GB"/>
              </w:rPr>
              <w:t>.000</w:t>
            </w:r>
          </w:p>
        </w:tc>
      </w:tr>
      <w:tr w:rsidR="00BF0002" w:rsidRPr="00EF2F18" w14:paraId="0EA67B75" w14:textId="77777777" w:rsidTr="00EF0900">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564A200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 ЈЛС</w:t>
            </w:r>
          </w:p>
        </w:tc>
        <w:tc>
          <w:tcPr>
            <w:tcW w:w="2414" w:type="dxa"/>
            <w:tcBorders>
              <w:top w:val="nil"/>
              <w:left w:val="nil"/>
              <w:bottom w:val="double" w:sz="6" w:space="0" w:color="auto"/>
              <w:right w:val="double" w:sz="6" w:space="0" w:color="auto"/>
            </w:tcBorders>
            <w:shd w:val="clear" w:color="000000" w:fill="FFFFFF"/>
          </w:tcPr>
          <w:p w14:paraId="74BBB399" w14:textId="484E87EC" w:rsidR="00BF0002" w:rsidRPr="00EF2F18" w:rsidRDefault="00BF0002"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tcPr>
          <w:p w14:paraId="13657AC6" w14:textId="2DCDD6D8" w:rsidR="00BF0002" w:rsidRPr="00EF2F18" w:rsidRDefault="00BF0002" w:rsidP="00752CA0">
            <w:pPr>
              <w:spacing w:after="0"/>
              <w:jc w:val="right"/>
              <w:rPr>
                <w:rFonts w:eastAsia="Times New Roman" w:cs="Times New Roman"/>
                <w:color w:val="000000"/>
                <w:sz w:val="20"/>
                <w:szCs w:val="20"/>
                <w:lang w:val="sr-Cyrl-RS" w:eastAsia="en-GB"/>
              </w:rPr>
            </w:pPr>
          </w:p>
        </w:tc>
        <w:tc>
          <w:tcPr>
            <w:tcW w:w="2743" w:type="dxa"/>
            <w:tcBorders>
              <w:top w:val="nil"/>
              <w:left w:val="nil"/>
              <w:bottom w:val="double" w:sz="6" w:space="0" w:color="auto"/>
              <w:right w:val="double" w:sz="6" w:space="0" w:color="auto"/>
            </w:tcBorders>
          </w:tcPr>
          <w:p w14:paraId="3723B2D4" w14:textId="6DB75892" w:rsidR="00BF0002" w:rsidRPr="00EF2F18" w:rsidRDefault="00BF0002" w:rsidP="00752CA0">
            <w:pPr>
              <w:spacing w:after="0"/>
              <w:jc w:val="right"/>
              <w:rPr>
                <w:rFonts w:eastAsia="Times New Roman" w:cs="Times New Roman"/>
                <w:color w:val="000000"/>
                <w:sz w:val="20"/>
                <w:szCs w:val="20"/>
                <w:lang w:val="sr-Cyrl-RS" w:eastAsia="en-GB"/>
              </w:rPr>
            </w:pPr>
          </w:p>
        </w:tc>
        <w:tc>
          <w:tcPr>
            <w:tcW w:w="2880" w:type="dxa"/>
            <w:tcBorders>
              <w:top w:val="nil"/>
              <w:left w:val="nil"/>
              <w:bottom w:val="double" w:sz="6" w:space="0" w:color="auto"/>
              <w:right w:val="double" w:sz="6" w:space="0" w:color="auto"/>
            </w:tcBorders>
            <w:shd w:val="clear" w:color="000000" w:fill="FFFFFF"/>
          </w:tcPr>
          <w:p w14:paraId="6F9051FE" w14:textId="71192BEF" w:rsidR="00BF0002" w:rsidRPr="00EF2F18" w:rsidRDefault="00BF0002" w:rsidP="00752CA0">
            <w:pPr>
              <w:spacing w:after="0"/>
              <w:jc w:val="right"/>
              <w:rPr>
                <w:rFonts w:eastAsia="Times New Roman" w:cs="Times New Roman"/>
                <w:color w:val="000000"/>
                <w:sz w:val="20"/>
                <w:szCs w:val="20"/>
                <w:lang w:val="sr-Cyrl-RS" w:eastAsia="en-GB"/>
              </w:rPr>
            </w:pPr>
          </w:p>
        </w:tc>
      </w:tr>
    </w:tbl>
    <w:p w14:paraId="23DAE67C" w14:textId="77777777" w:rsidR="007D7243" w:rsidRPr="00EF2F18" w:rsidRDefault="007D7243" w:rsidP="007D7243">
      <w:pPr>
        <w:rPr>
          <w:sz w:val="20"/>
          <w:szCs w:val="20"/>
          <w:lang w:val="sr-Cyrl-RS"/>
        </w:rPr>
      </w:pPr>
    </w:p>
    <w:tbl>
      <w:tblPr>
        <w:tblW w:w="13547" w:type="dxa"/>
        <w:tblLook w:val="04A0" w:firstRow="1" w:lastRow="0" w:firstColumn="1" w:lastColumn="0" w:noHBand="0" w:noVBand="1"/>
      </w:tblPr>
      <w:tblGrid>
        <w:gridCol w:w="2954"/>
        <w:gridCol w:w="1279"/>
        <w:gridCol w:w="1240"/>
        <w:gridCol w:w="1182"/>
        <w:gridCol w:w="1400"/>
        <w:gridCol w:w="1340"/>
        <w:gridCol w:w="1038"/>
        <w:gridCol w:w="1424"/>
        <w:gridCol w:w="1690"/>
      </w:tblGrid>
      <w:tr w:rsidR="00BF0002" w:rsidRPr="00EF2F18" w14:paraId="1179786A" w14:textId="77777777" w:rsidTr="00FE6D0F">
        <w:trPr>
          <w:trHeight w:val="675"/>
        </w:trPr>
        <w:tc>
          <w:tcPr>
            <w:tcW w:w="2954"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FC8F89E"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7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BF68981"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C061E56"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1C6A87A"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40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D3A24FD"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AA9E17D"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152" w:type="dxa"/>
            <w:gridSpan w:val="3"/>
            <w:tcBorders>
              <w:top w:val="double" w:sz="6" w:space="0" w:color="auto"/>
              <w:left w:val="nil"/>
              <w:bottom w:val="single" w:sz="8" w:space="0" w:color="auto"/>
              <w:right w:val="double" w:sz="6" w:space="0" w:color="auto"/>
            </w:tcBorders>
            <w:shd w:val="clear" w:color="000000" w:fill="FFF2CC"/>
            <w:hideMark/>
          </w:tcPr>
          <w:p w14:paraId="723C619B"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BF0002" w:rsidRPr="00EF2F18" w14:paraId="6FD596B1" w14:textId="77777777" w:rsidTr="00BF0002">
        <w:trPr>
          <w:trHeight w:val="324"/>
        </w:trPr>
        <w:tc>
          <w:tcPr>
            <w:tcW w:w="2954" w:type="dxa"/>
            <w:vMerge/>
            <w:tcBorders>
              <w:top w:val="double" w:sz="6" w:space="0" w:color="auto"/>
              <w:left w:val="double" w:sz="6" w:space="0" w:color="auto"/>
              <w:bottom w:val="single" w:sz="8" w:space="0" w:color="000000"/>
              <w:right w:val="single" w:sz="8" w:space="0" w:color="auto"/>
            </w:tcBorders>
            <w:vAlign w:val="center"/>
            <w:hideMark/>
          </w:tcPr>
          <w:p w14:paraId="7C0D2CC8" w14:textId="77777777" w:rsidR="00BF0002" w:rsidRPr="00EF2F18" w:rsidRDefault="00BF0002" w:rsidP="00752CA0">
            <w:pPr>
              <w:spacing w:after="0"/>
              <w:rPr>
                <w:rFonts w:eastAsia="Times New Roman" w:cs="Times New Roman"/>
                <w:color w:val="000000"/>
                <w:sz w:val="20"/>
                <w:szCs w:val="20"/>
                <w:lang w:val="sr-Cyrl-RS" w:eastAsia="en-GB"/>
              </w:rPr>
            </w:pPr>
          </w:p>
        </w:tc>
        <w:tc>
          <w:tcPr>
            <w:tcW w:w="1279" w:type="dxa"/>
            <w:vMerge/>
            <w:tcBorders>
              <w:top w:val="double" w:sz="6" w:space="0" w:color="auto"/>
              <w:left w:val="single" w:sz="8" w:space="0" w:color="auto"/>
              <w:bottom w:val="single" w:sz="8" w:space="0" w:color="000000"/>
              <w:right w:val="single" w:sz="8" w:space="0" w:color="auto"/>
            </w:tcBorders>
            <w:vAlign w:val="center"/>
            <w:hideMark/>
          </w:tcPr>
          <w:p w14:paraId="207BF04A" w14:textId="77777777" w:rsidR="00BF0002" w:rsidRPr="00EF2F18" w:rsidRDefault="00BF0002"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4DBE15A2"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1050BE06" w14:textId="77777777" w:rsidR="00BF0002" w:rsidRPr="00EF2F18" w:rsidRDefault="00BF0002" w:rsidP="00752CA0">
            <w:pPr>
              <w:spacing w:after="0"/>
              <w:rPr>
                <w:rFonts w:eastAsia="Times New Roman" w:cs="Times New Roman"/>
                <w:color w:val="000000"/>
                <w:sz w:val="20"/>
                <w:szCs w:val="20"/>
                <w:lang w:val="sr-Cyrl-RS" w:eastAsia="en-GB"/>
              </w:rPr>
            </w:pPr>
          </w:p>
        </w:tc>
        <w:tc>
          <w:tcPr>
            <w:tcW w:w="1400" w:type="dxa"/>
            <w:vMerge/>
            <w:tcBorders>
              <w:top w:val="double" w:sz="6" w:space="0" w:color="auto"/>
              <w:left w:val="single" w:sz="8" w:space="0" w:color="auto"/>
              <w:bottom w:val="single" w:sz="8" w:space="0" w:color="000000"/>
              <w:right w:val="single" w:sz="8" w:space="0" w:color="auto"/>
            </w:tcBorders>
            <w:vAlign w:val="center"/>
            <w:hideMark/>
          </w:tcPr>
          <w:p w14:paraId="04969B50" w14:textId="77777777" w:rsidR="00BF0002" w:rsidRPr="00EF2F18" w:rsidRDefault="00BF0002"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20D10935" w14:textId="77777777" w:rsidR="00BF0002" w:rsidRPr="00EF2F18" w:rsidRDefault="00BF0002" w:rsidP="00752CA0">
            <w:pPr>
              <w:spacing w:after="0"/>
              <w:rPr>
                <w:rFonts w:eastAsia="Times New Roman" w:cs="Times New Roman"/>
                <w:color w:val="000000"/>
                <w:sz w:val="20"/>
                <w:szCs w:val="20"/>
                <w:lang w:val="sr-Cyrl-RS" w:eastAsia="en-GB"/>
              </w:rPr>
            </w:pPr>
          </w:p>
        </w:tc>
        <w:tc>
          <w:tcPr>
            <w:tcW w:w="1038" w:type="dxa"/>
            <w:tcBorders>
              <w:top w:val="nil"/>
              <w:left w:val="nil"/>
              <w:bottom w:val="single" w:sz="8" w:space="0" w:color="auto"/>
              <w:right w:val="single" w:sz="8" w:space="0" w:color="auto"/>
            </w:tcBorders>
            <w:shd w:val="clear" w:color="000000" w:fill="FFF2CC"/>
            <w:hideMark/>
          </w:tcPr>
          <w:p w14:paraId="52076E1F" w14:textId="3A10B6FA"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424" w:type="dxa"/>
            <w:tcBorders>
              <w:top w:val="nil"/>
              <w:left w:val="nil"/>
              <w:bottom w:val="single" w:sz="8" w:space="0" w:color="auto"/>
              <w:right w:val="single" w:sz="8" w:space="0" w:color="auto"/>
            </w:tcBorders>
            <w:shd w:val="clear" w:color="000000" w:fill="FFF2CC"/>
            <w:hideMark/>
          </w:tcPr>
          <w:p w14:paraId="02187375" w14:textId="7B844CFC"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w:t>
            </w:r>
          </w:p>
        </w:tc>
        <w:tc>
          <w:tcPr>
            <w:tcW w:w="1690" w:type="dxa"/>
            <w:tcBorders>
              <w:top w:val="nil"/>
              <w:left w:val="nil"/>
              <w:bottom w:val="single" w:sz="8" w:space="0" w:color="auto"/>
              <w:right w:val="double" w:sz="6" w:space="0" w:color="auto"/>
            </w:tcBorders>
            <w:shd w:val="clear" w:color="000000" w:fill="FFF2CC"/>
            <w:hideMark/>
          </w:tcPr>
          <w:p w14:paraId="7F11FAF5" w14:textId="73EEB78F"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w:t>
            </w:r>
          </w:p>
        </w:tc>
      </w:tr>
      <w:tr w:rsidR="00BF0002" w:rsidRPr="00EF2F18" w14:paraId="77DA9F73" w14:textId="77777777" w:rsidTr="00BF0002">
        <w:trPr>
          <w:trHeight w:val="1068"/>
        </w:trPr>
        <w:tc>
          <w:tcPr>
            <w:tcW w:w="2954" w:type="dxa"/>
            <w:tcBorders>
              <w:top w:val="nil"/>
              <w:left w:val="double" w:sz="6" w:space="0" w:color="auto"/>
              <w:bottom w:val="single" w:sz="8" w:space="0" w:color="auto"/>
              <w:right w:val="single" w:sz="8" w:space="0" w:color="auto"/>
            </w:tcBorders>
            <w:hideMark/>
          </w:tcPr>
          <w:p w14:paraId="700307A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6.1.2.1. Анализа проблема у спровођењу Закона о инспекцијском надзору и иницијативе за измене и допуне</w:t>
            </w:r>
          </w:p>
        </w:tc>
        <w:tc>
          <w:tcPr>
            <w:tcW w:w="1279" w:type="dxa"/>
            <w:tcBorders>
              <w:top w:val="nil"/>
              <w:left w:val="nil"/>
              <w:bottom w:val="single" w:sz="8" w:space="0" w:color="auto"/>
              <w:right w:val="single" w:sz="8" w:space="0" w:color="auto"/>
            </w:tcBorders>
            <w:hideMark/>
          </w:tcPr>
          <w:p w14:paraId="3F49552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7B559282" w14:textId="77777777" w:rsidR="00BF0002" w:rsidRPr="00EF2F18" w:rsidRDefault="00BF0002" w:rsidP="00752CA0">
            <w:pPr>
              <w:spacing w:after="0"/>
              <w:rPr>
                <w:rFonts w:eastAsia="Times New Roman" w:cs="Times New Roman"/>
                <w:color w:val="000000"/>
                <w:sz w:val="20"/>
                <w:szCs w:val="20"/>
                <w:lang w:val="sr-Cyrl-RS" w:eastAsia="en-GB"/>
              </w:rPr>
            </w:pPr>
            <w:bookmarkStart w:id="178" w:name="RANGE!C264"/>
            <w:r w:rsidRPr="00EF2F18">
              <w:rPr>
                <w:rFonts w:eastAsia="Times New Roman" w:cs="Times New Roman"/>
                <w:color w:val="000000"/>
                <w:sz w:val="20"/>
                <w:szCs w:val="20"/>
                <w:lang w:val="sr-Cyrl-RS" w:eastAsia="en-GB"/>
              </w:rPr>
              <w:t>МДУЛС, МПШВ, МГСИ, МРЕ</w:t>
            </w:r>
            <w:bookmarkEnd w:id="178"/>
          </w:p>
        </w:tc>
        <w:tc>
          <w:tcPr>
            <w:tcW w:w="1182" w:type="dxa"/>
            <w:tcBorders>
              <w:top w:val="nil"/>
              <w:left w:val="nil"/>
              <w:bottom w:val="single" w:sz="8" w:space="0" w:color="auto"/>
              <w:right w:val="single" w:sz="8" w:space="0" w:color="auto"/>
            </w:tcBorders>
            <w:hideMark/>
          </w:tcPr>
          <w:p w14:paraId="1CE28C6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3A30F29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Буџетска средства </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02D7FE14"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0404-560-0003-411</w:t>
            </w:r>
          </w:p>
        </w:tc>
        <w:tc>
          <w:tcPr>
            <w:tcW w:w="1038" w:type="dxa"/>
            <w:tcBorders>
              <w:top w:val="nil"/>
              <w:left w:val="nil"/>
              <w:bottom w:val="single" w:sz="8" w:space="0" w:color="auto"/>
              <w:right w:val="single" w:sz="8" w:space="0" w:color="auto"/>
            </w:tcBorders>
          </w:tcPr>
          <w:p w14:paraId="7620BCD2" w14:textId="507415C4" w:rsidR="00BF0002" w:rsidRPr="00EF2F18" w:rsidRDefault="00BF0002" w:rsidP="00752CA0">
            <w:pPr>
              <w:spacing w:after="0"/>
              <w:jc w:val="right"/>
              <w:rPr>
                <w:rFonts w:eastAsia="Times New Roman" w:cs="Times New Roman"/>
                <w:color w:val="000000"/>
                <w:sz w:val="20"/>
                <w:szCs w:val="20"/>
                <w:lang w:val="sr-Cyrl-RS" w:eastAsia="en-GB"/>
              </w:rPr>
            </w:pPr>
          </w:p>
        </w:tc>
        <w:tc>
          <w:tcPr>
            <w:tcW w:w="1424" w:type="dxa"/>
            <w:tcBorders>
              <w:top w:val="nil"/>
              <w:left w:val="nil"/>
              <w:bottom w:val="single" w:sz="8" w:space="0" w:color="auto"/>
              <w:right w:val="single" w:sz="8" w:space="0" w:color="auto"/>
            </w:tcBorders>
          </w:tcPr>
          <w:p w14:paraId="60F8A924" w14:textId="1DBC00B6" w:rsidR="00BF0002" w:rsidRPr="00EF2F18" w:rsidRDefault="00BF0002" w:rsidP="00752CA0">
            <w:pPr>
              <w:spacing w:after="0"/>
              <w:jc w:val="right"/>
              <w:rPr>
                <w:rFonts w:eastAsia="Times New Roman" w:cs="Times New Roman"/>
                <w:color w:val="000000"/>
                <w:sz w:val="20"/>
                <w:szCs w:val="20"/>
                <w:lang w:val="sr-Cyrl-RS" w:eastAsia="en-GB"/>
              </w:rPr>
            </w:pPr>
          </w:p>
        </w:tc>
        <w:tc>
          <w:tcPr>
            <w:tcW w:w="1690" w:type="dxa"/>
            <w:tcBorders>
              <w:top w:val="nil"/>
              <w:left w:val="nil"/>
              <w:bottom w:val="single" w:sz="8" w:space="0" w:color="auto"/>
              <w:right w:val="double" w:sz="6" w:space="0" w:color="auto"/>
            </w:tcBorders>
          </w:tcPr>
          <w:p w14:paraId="3E7DB6CD" w14:textId="07C14D38"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65872A5F" w14:textId="77777777" w:rsidTr="00BF0002">
        <w:trPr>
          <w:trHeight w:val="2124"/>
        </w:trPr>
        <w:tc>
          <w:tcPr>
            <w:tcW w:w="2954" w:type="dxa"/>
            <w:tcBorders>
              <w:top w:val="nil"/>
              <w:left w:val="double" w:sz="6" w:space="0" w:color="auto"/>
              <w:bottom w:val="single" w:sz="8" w:space="0" w:color="auto"/>
              <w:right w:val="single" w:sz="8" w:space="0" w:color="auto"/>
            </w:tcBorders>
            <w:hideMark/>
          </w:tcPr>
          <w:p w14:paraId="1923FBD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6.1.2.2. Израда анализе капацитета инспекцијских служби, делотворности инспекцијског надзора и потреба за унапређењем координације инспекцијских служби и финансијских ресурса за унапређење инспекцијског надзора.</w:t>
            </w:r>
          </w:p>
        </w:tc>
        <w:tc>
          <w:tcPr>
            <w:tcW w:w="1279" w:type="dxa"/>
            <w:tcBorders>
              <w:top w:val="nil"/>
              <w:left w:val="nil"/>
              <w:bottom w:val="single" w:sz="8" w:space="0" w:color="auto"/>
              <w:right w:val="single" w:sz="8" w:space="0" w:color="auto"/>
            </w:tcBorders>
            <w:hideMark/>
          </w:tcPr>
          <w:p w14:paraId="1480FA5D"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33118F69"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 МГСИ, МРЕ</w:t>
            </w:r>
          </w:p>
        </w:tc>
        <w:tc>
          <w:tcPr>
            <w:tcW w:w="1182" w:type="dxa"/>
            <w:tcBorders>
              <w:top w:val="nil"/>
              <w:left w:val="nil"/>
              <w:bottom w:val="single" w:sz="8" w:space="0" w:color="auto"/>
              <w:right w:val="single" w:sz="8" w:space="0" w:color="auto"/>
            </w:tcBorders>
            <w:hideMark/>
          </w:tcPr>
          <w:p w14:paraId="43B78FE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7417715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single" w:sz="8" w:space="0" w:color="auto"/>
              <w:right w:val="single" w:sz="8" w:space="0" w:color="auto"/>
            </w:tcBorders>
            <w:hideMark/>
          </w:tcPr>
          <w:p w14:paraId="426334AD"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0404-560-0003-423</w:t>
            </w:r>
          </w:p>
        </w:tc>
        <w:tc>
          <w:tcPr>
            <w:tcW w:w="1038" w:type="dxa"/>
            <w:tcBorders>
              <w:top w:val="nil"/>
              <w:left w:val="nil"/>
              <w:bottom w:val="single" w:sz="8" w:space="0" w:color="auto"/>
              <w:right w:val="single" w:sz="8" w:space="0" w:color="auto"/>
            </w:tcBorders>
          </w:tcPr>
          <w:p w14:paraId="6098CE40" w14:textId="5D12B728" w:rsidR="00BF0002" w:rsidRPr="00EF2F18" w:rsidRDefault="00AE568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700</w:t>
            </w:r>
          </w:p>
        </w:tc>
        <w:tc>
          <w:tcPr>
            <w:tcW w:w="1424" w:type="dxa"/>
            <w:tcBorders>
              <w:top w:val="nil"/>
              <w:left w:val="nil"/>
              <w:bottom w:val="single" w:sz="8" w:space="0" w:color="auto"/>
              <w:right w:val="single" w:sz="8" w:space="0" w:color="auto"/>
            </w:tcBorders>
          </w:tcPr>
          <w:p w14:paraId="612D4B95" w14:textId="4E441A6F" w:rsidR="00BF0002" w:rsidRPr="00EF2F18" w:rsidRDefault="00FB7FB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c>
          <w:tcPr>
            <w:tcW w:w="1690" w:type="dxa"/>
            <w:tcBorders>
              <w:top w:val="nil"/>
              <w:left w:val="nil"/>
              <w:bottom w:val="single" w:sz="8" w:space="0" w:color="auto"/>
              <w:right w:val="double" w:sz="6" w:space="0" w:color="auto"/>
            </w:tcBorders>
          </w:tcPr>
          <w:p w14:paraId="21B98745" w14:textId="25B6E9BF" w:rsidR="00BF0002" w:rsidRPr="00EF2F18" w:rsidRDefault="00FB7FB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r>
      <w:tr w:rsidR="00BF0002" w:rsidRPr="00EF2F18" w14:paraId="7D1C001E" w14:textId="77777777" w:rsidTr="00532140">
        <w:trPr>
          <w:trHeight w:val="1860"/>
        </w:trPr>
        <w:tc>
          <w:tcPr>
            <w:tcW w:w="2954" w:type="dxa"/>
            <w:tcBorders>
              <w:top w:val="single" w:sz="4" w:space="0" w:color="auto"/>
              <w:left w:val="double" w:sz="6" w:space="0" w:color="auto"/>
              <w:bottom w:val="single" w:sz="8" w:space="0" w:color="auto"/>
              <w:right w:val="single" w:sz="8" w:space="0" w:color="auto"/>
            </w:tcBorders>
            <w:hideMark/>
          </w:tcPr>
          <w:p w14:paraId="0D71633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6.1.2.3. Јачање капацитета за спровођење инспекцијског надзора у области заштите животне средине на републичком и покрајинском нивоу, кроз њихово опремање, обуку и подстицање превентивног рада</w:t>
            </w:r>
          </w:p>
        </w:tc>
        <w:tc>
          <w:tcPr>
            <w:tcW w:w="1279" w:type="dxa"/>
            <w:tcBorders>
              <w:top w:val="single" w:sz="4" w:space="0" w:color="auto"/>
              <w:left w:val="nil"/>
              <w:bottom w:val="single" w:sz="8" w:space="0" w:color="auto"/>
              <w:right w:val="single" w:sz="8" w:space="0" w:color="auto"/>
            </w:tcBorders>
            <w:hideMark/>
          </w:tcPr>
          <w:p w14:paraId="51F8139D"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single" w:sz="4" w:space="0" w:color="auto"/>
              <w:left w:val="nil"/>
              <w:bottom w:val="single" w:sz="8" w:space="0" w:color="auto"/>
              <w:right w:val="single" w:sz="8" w:space="0" w:color="auto"/>
            </w:tcBorders>
            <w:hideMark/>
          </w:tcPr>
          <w:p w14:paraId="351557A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АПВ, НАЈУ</w:t>
            </w:r>
          </w:p>
        </w:tc>
        <w:tc>
          <w:tcPr>
            <w:tcW w:w="1182" w:type="dxa"/>
            <w:tcBorders>
              <w:top w:val="single" w:sz="4" w:space="0" w:color="auto"/>
              <w:left w:val="nil"/>
              <w:bottom w:val="single" w:sz="8" w:space="0" w:color="auto"/>
              <w:right w:val="single" w:sz="8" w:space="0" w:color="auto"/>
            </w:tcBorders>
            <w:hideMark/>
          </w:tcPr>
          <w:p w14:paraId="0ED1B2C3"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single" w:sz="8" w:space="0" w:color="auto"/>
              <w:right w:val="single" w:sz="8" w:space="0" w:color="auto"/>
            </w:tcBorders>
            <w:hideMark/>
          </w:tcPr>
          <w:p w14:paraId="1DC3A2A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nil"/>
              <w:bottom w:val="single" w:sz="8" w:space="0" w:color="auto"/>
              <w:right w:val="single" w:sz="8" w:space="0" w:color="auto"/>
            </w:tcBorders>
            <w:hideMark/>
          </w:tcPr>
          <w:p w14:paraId="7544BDC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0404-560-0003-423</w:t>
            </w:r>
          </w:p>
        </w:tc>
        <w:tc>
          <w:tcPr>
            <w:tcW w:w="1038" w:type="dxa"/>
            <w:tcBorders>
              <w:top w:val="single" w:sz="4" w:space="0" w:color="auto"/>
              <w:left w:val="nil"/>
              <w:bottom w:val="single" w:sz="8" w:space="0" w:color="auto"/>
              <w:right w:val="single" w:sz="8" w:space="0" w:color="auto"/>
            </w:tcBorders>
            <w:hideMark/>
          </w:tcPr>
          <w:p w14:paraId="096124CB" w14:textId="32095A7D" w:rsidR="00BF0002" w:rsidRPr="00EF2F18" w:rsidRDefault="00AE568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700</w:t>
            </w:r>
          </w:p>
        </w:tc>
        <w:tc>
          <w:tcPr>
            <w:tcW w:w="1424" w:type="dxa"/>
            <w:tcBorders>
              <w:top w:val="single" w:sz="4" w:space="0" w:color="auto"/>
              <w:left w:val="nil"/>
              <w:bottom w:val="single" w:sz="8" w:space="0" w:color="auto"/>
              <w:right w:val="single" w:sz="8" w:space="0" w:color="auto"/>
            </w:tcBorders>
            <w:hideMark/>
          </w:tcPr>
          <w:p w14:paraId="6ECD2D73"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c>
          <w:tcPr>
            <w:tcW w:w="1690" w:type="dxa"/>
            <w:tcBorders>
              <w:top w:val="single" w:sz="4" w:space="0" w:color="auto"/>
              <w:left w:val="nil"/>
              <w:bottom w:val="single" w:sz="8" w:space="0" w:color="auto"/>
              <w:right w:val="double" w:sz="6" w:space="0" w:color="auto"/>
            </w:tcBorders>
            <w:hideMark/>
          </w:tcPr>
          <w:p w14:paraId="50558D56" w14:textId="7531FA8F"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r>
      <w:tr w:rsidR="00BF0002" w:rsidRPr="00EF2F18" w14:paraId="016177A4" w14:textId="77777777" w:rsidTr="00BF0002">
        <w:trPr>
          <w:trHeight w:val="2004"/>
        </w:trPr>
        <w:tc>
          <w:tcPr>
            <w:tcW w:w="2954" w:type="dxa"/>
            <w:vMerge w:val="restart"/>
            <w:tcBorders>
              <w:top w:val="nil"/>
              <w:left w:val="single" w:sz="8" w:space="0" w:color="auto"/>
              <w:bottom w:val="single" w:sz="8" w:space="0" w:color="000000"/>
              <w:right w:val="single" w:sz="8" w:space="0" w:color="auto"/>
            </w:tcBorders>
            <w:hideMark/>
          </w:tcPr>
          <w:p w14:paraId="363D83F9"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bidi="en-US"/>
              </w:rPr>
              <w:t>6.1.2.4. Континуирано спровођење програма унапређења рада инспекцијских служби у ингеренцији ЈЛС кроз њихово опремање, обуку и подстицање превентивног рада, као и побољшање координације са централним нивоом и међусекторске координације на нивоу општина</w:t>
            </w:r>
          </w:p>
        </w:tc>
        <w:tc>
          <w:tcPr>
            <w:tcW w:w="1279" w:type="dxa"/>
            <w:vMerge w:val="restart"/>
            <w:tcBorders>
              <w:top w:val="nil"/>
              <w:left w:val="single" w:sz="8" w:space="0" w:color="auto"/>
              <w:bottom w:val="single" w:sz="8" w:space="0" w:color="000000"/>
              <w:right w:val="single" w:sz="8" w:space="0" w:color="auto"/>
            </w:tcBorders>
            <w:hideMark/>
          </w:tcPr>
          <w:p w14:paraId="70FCB1B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vMerge w:val="restart"/>
            <w:tcBorders>
              <w:top w:val="nil"/>
              <w:left w:val="single" w:sz="8" w:space="0" w:color="auto"/>
              <w:bottom w:val="single" w:sz="8" w:space="0" w:color="000000"/>
              <w:right w:val="single" w:sz="8" w:space="0" w:color="auto"/>
            </w:tcBorders>
            <w:hideMark/>
          </w:tcPr>
          <w:p w14:paraId="293A6D2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МПШВ, МГСИ, МРЕ, ЈЛС, СКГО</w:t>
            </w:r>
          </w:p>
        </w:tc>
        <w:tc>
          <w:tcPr>
            <w:tcW w:w="1182" w:type="dxa"/>
            <w:vMerge w:val="restart"/>
            <w:tcBorders>
              <w:top w:val="nil"/>
              <w:left w:val="single" w:sz="8" w:space="0" w:color="auto"/>
              <w:bottom w:val="single" w:sz="8" w:space="0" w:color="000000"/>
              <w:right w:val="single" w:sz="8" w:space="0" w:color="auto"/>
            </w:tcBorders>
            <w:hideMark/>
          </w:tcPr>
          <w:p w14:paraId="417B6470"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 квартал 2028. </w:t>
            </w:r>
          </w:p>
        </w:tc>
        <w:tc>
          <w:tcPr>
            <w:tcW w:w="1400" w:type="dxa"/>
            <w:tcBorders>
              <w:top w:val="nil"/>
              <w:left w:val="nil"/>
              <w:bottom w:val="nil"/>
              <w:right w:val="single" w:sz="8" w:space="0" w:color="auto"/>
            </w:tcBorders>
            <w:hideMark/>
          </w:tcPr>
          <w:p w14:paraId="08E310A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p w14:paraId="12C745E0" w14:textId="77777777" w:rsidR="00BF0002" w:rsidRPr="00EF2F18" w:rsidRDefault="00BF0002" w:rsidP="00752CA0">
            <w:pPr>
              <w:spacing w:after="0"/>
              <w:rPr>
                <w:rFonts w:eastAsia="Times New Roman" w:cs="Times New Roman"/>
                <w:color w:val="000000"/>
                <w:sz w:val="20"/>
                <w:szCs w:val="20"/>
                <w:lang w:val="sr-Cyrl-RS" w:eastAsia="en-GB"/>
              </w:rPr>
            </w:pPr>
          </w:p>
          <w:p w14:paraId="35C8F7A7" w14:textId="77777777" w:rsidR="00BF0002" w:rsidRPr="00EF2F18" w:rsidRDefault="00BF0002" w:rsidP="00752CA0">
            <w:pPr>
              <w:spacing w:after="0"/>
              <w:rPr>
                <w:rFonts w:eastAsia="Times New Roman" w:cs="Times New Roman"/>
                <w:color w:val="000000"/>
                <w:sz w:val="20"/>
                <w:szCs w:val="20"/>
                <w:lang w:val="sr-Cyrl-RS" w:eastAsia="en-GB"/>
              </w:rPr>
            </w:pPr>
          </w:p>
        </w:tc>
        <w:tc>
          <w:tcPr>
            <w:tcW w:w="1340" w:type="dxa"/>
            <w:vMerge w:val="restart"/>
            <w:tcBorders>
              <w:top w:val="nil"/>
              <w:left w:val="single" w:sz="8" w:space="0" w:color="auto"/>
              <w:bottom w:val="single" w:sz="8" w:space="0" w:color="000000"/>
              <w:right w:val="single" w:sz="8" w:space="0" w:color="auto"/>
            </w:tcBorders>
            <w:hideMark/>
          </w:tcPr>
          <w:p w14:paraId="79D188C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0404-560-0003-423</w:t>
            </w:r>
          </w:p>
        </w:tc>
        <w:tc>
          <w:tcPr>
            <w:tcW w:w="1038" w:type="dxa"/>
            <w:tcBorders>
              <w:top w:val="nil"/>
              <w:left w:val="nil"/>
              <w:bottom w:val="nil"/>
              <w:right w:val="single" w:sz="8" w:space="0" w:color="auto"/>
            </w:tcBorders>
            <w:hideMark/>
          </w:tcPr>
          <w:p w14:paraId="1A713748" w14:textId="2BE148E6" w:rsidR="00BF0002" w:rsidRPr="00EF2F18" w:rsidRDefault="00AE568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1424" w:type="dxa"/>
            <w:tcBorders>
              <w:top w:val="nil"/>
              <w:left w:val="nil"/>
              <w:bottom w:val="nil"/>
              <w:right w:val="single" w:sz="8" w:space="0" w:color="auto"/>
            </w:tcBorders>
            <w:hideMark/>
          </w:tcPr>
          <w:p w14:paraId="04628287"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c>
          <w:tcPr>
            <w:tcW w:w="1690" w:type="dxa"/>
            <w:tcBorders>
              <w:top w:val="nil"/>
              <w:left w:val="nil"/>
              <w:bottom w:val="nil"/>
              <w:right w:val="single" w:sz="8" w:space="0" w:color="auto"/>
            </w:tcBorders>
            <w:hideMark/>
          </w:tcPr>
          <w:p w14:paraId="52361F74" w14:textId="1966264E"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r>
      <w:tr w:rsidR="00BF0002" w:rsidRPr="00EF2F18" w14:paraId="4CEF710A" w14:textId="77777777" w:rsidTr="00BF0002">
        <w:trPr>
          <w:trHeight w:val="324"/>
        </w:trPr>
        <w:tc>
          <w:tcPr>
            <w:tcW w:w="2954" w:type="dxa"/>
            <w:vMerge/>
            <w:tcBorders>
              <w:top w:val="nil"/>
              <w:left w:val="single" w:sz="8" w:space="0" w:color="auto"/>
              <w:bottom w:val="single" w:sz="8" w:space="0" w:color="000000"/>
              <w:right w:val="single" w:sz="8" w:space="0" w:color="auto"/>
            </w:tcBorders>
            <w:vAlign w:val="center"/>
            <w:hideMark/>
          </w:tcPr>
          <w:p w14:paraId="13378188" w14:textId="77777777" w:rsidR="00BF0002" w:rsidRPr="00EF2F18" w:rsidRDefault="00BF0002" w:rsidP="00752CA0">
            <w:pPr>
              <w:spacing w:after="0"/>
              <w:rPr>
                <w:rFonts w:eastAsia="Times New Roman" w:cs="Times New Roman"/>
                <w:color w:val="000000"/>
                <w:sz w:val="20"/>
                <w:szCs w:val="20"/>
                <w:lang w:val="sr-Cyrl-RS" w:eastAsia="en-GB"/>
              </w:rPr>
            </w:pPr>
          </w:p>
        </w:tc>
        <w:tc>
          <w:tcPr>
            <w:tcW w:w="1279" w:type="dxa"/>
            <w:vMerge/>
            <w:tcBorders>
              <w:top w:val="nil"/>
              <w:left w:val="single" w:sz="8" w:space="0" w:color="auto"/>
              <w:bottom w:val="single" w:sz="8" w:space="0" w:color="000000"/>
              <w:right w:val="single" w:sz="8" w:space="0" w:color="auto"/>
            </w:tcBorders>
            <w:vAlign w:val="center"/>
            <w:hideMark/>
          </w:tcPr>
          <w:p w14:paraId="537105AA" w14:textId="77777777" w:rsidR="00BF0002" w:rsidRPr="00EF2F18" w:rsidRDefault="00BF0002" w:rsidP="00752CA0">
            <w:pPr>
              <w:spacing w:after="0"/>
              <w:rPr>
                <w:rFonts w:eastAsia="Times New Roman" w:cs="Times New Roman"/>
                <w:color w:val="000000"/>
                <w:sz w:val="20"/>
                <w:szCs w:val="20"/>
                <w:lang w:val="sr-Cyrl-RS" w:eastAsia="en-GB"/>
              </w:rPr>
            </w:pPr>
          </w:p>
        </w:tc>
        <w:tc>
          <w:tcPr>
            <w:tcW w:w="1240" w:type="dxa"/>
            <w:vMerge/>
            <w:tcBorders>
              <w:top w:val="nil"/>
              <w:left w:val="single" w:sz="8" w:space="0" w:color="auto"/>
              <w:bottom w:val="single" w:sz="8" w:space="0" w:color="000000"/>
              <w:right w:val="single" w:sz="8" w:space="0" w:color="auto"/>
            </w:tcBorders>
            <w:vAlign w:val="center"/>
            <w:hideMark/>
          </w:tcPr>
          <w:p w14:paraId="31F32622"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single" w:sz="8" w:space="0" w:color="000000"/>
              <w:right w:val="single" w:sz="8" w:space="0" w:color="auto"/>
            </w:tcBorders>
            <w:vAlign w:val="center"/>
            <w:hideMark/>
          </w:tcPr>
          <w:p w14:paraId="580AC090" w14:textId="77777777" w:rsidR="00BF0002" w:rsidRPr="00EF2F18" w:rsidRDefault="00BF0002" w:rsidP="00752CA0">
            <w:pPr>
              <w:spacing w:after="0"/>
              <w:rPr>
                <w:rFonts w:eastAsia="Times New Roman" w:cs="Times New Roman"/>
                <w:color w:val="000000"/>
                <w:sz w:val="20"/>
                <w:szCs w:val="20"/>
                <w:lang w:val="sr-Cyrl-RS" w:eastAsia="en-GB"/>
              </w:rPr>
            </w:pPr>
          </w:p>
        </w:tc>
        <w:tc>
          <w:tcPr>
            <w:tcW w:w="1400" w:type="dxa"/>
            <w:tcBorders>
              <w:top w:val="nil"/>
              <w:left w:val="nil"/>
              <w:bottom w:val="single" w:sz="8" w:space="0" w:color="auto"/>
              <w:right w:val="single" w:sz="8" w:space="0" w:color="auto"/>
            </w:tcBorders>
            <w:hideMark/>
          </w:tcPr>
          <w:p w14:paraId="2F8A48D4"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 ЈЛС</w:t>
            </w:r>
          </w:p>
        </w:tc>
        <w:tc>
          <w:tcPr>
            <w:tcW w:w="1340" w:type="dxa"/>
            <w:vMerge/>
            <w:tcBorders>
              <w:top w:val="nil"/>
              <w:left w:val="single" w:sz="8" w:space="0" w:color="auto"/>
              <w:bottom w:val="single" w:sz="8" w:space="0" w:color="000000"/>
              <w:right w:val="single" w:sz="8" w:space="0" w:color="auto"/>
            </w:tcBorders>
            <w:vAlign w:val="center"/>
            <w:hideMark/>
          </w:tcPr>
          <w:p w14:paraId="6718B1CC" w14:textId="77777777" w:rsidR="00BF0002" w:rsidRPr="00EF2F18" w:rsidRDefault="00BF0002" w:rsidP="00752CA0">
            <w:pPr>
              <w:spacing w:after="0"/>
              <w:rPr>
                <w:rFonts w:eastAsia="Times New Roman" w:cs="Times New Roman"/>
                <w:color w:val="000000"/>
                <w:sz w:val="20"/>
                <w:szCs w:val="20"/>
                <w:lang w:val="sr-Cyrl-RS" w:eastAsia="en-GB"/>
              </w:rPr>
            </w:pPr>
          </w:p>
        </w:tc>
        <w:tc>
          <w:tcPr>
            <w:tcW w:w="1038" w:type="dxa"/>
            <w:tcBorders>
              <w:top w:val="nil"/>
              <w:left w:val="nil"/>
              <w:bottom w:val="single" w:sz="8" w:space="0" w:color="auto"/>
              <w:right w:val="single" w:sz="8" w:space="0" w:color="auto"/>
            </w:tcBorders>
          </w:tcPr>
          <w:p w14:paraId="3969D592" w14:textId="673327B7" w:rsidR="00BF0002" w:rsidRPr="00EF2F18" w:rsidRDefault="00BF0002" w:rsidP="00752CA0">
            <w:pPr>
              <w:spacing w:after="0"/>
              <w:rPr>
                <w:rFonts w:eastAsia="Times New Roman" w:cs="Times New Roman"/>
                <w:color w:val="000000"/>
                <w:sz w:val="20"/>
                <w:szCs w:val="20"/>
                <w:lang w:val="sr-Cyrl-RS" w:eastAsia="en-GB"/>
              </w:rPr>
            </w:pPr>
          </w:p>
        </w:tc>
        <w:tc>
          <w:tcPr>
            <w:tcW w:w="1424" w:type="dxa"/>
            <w:tcBorders>
              <w:top w:val="nil"/>
              <w:left w:val="nil"/>
              <w:bottom w:val="single" w:sz="8" w:space="0" w:color="auto"/>
              <w:right w:val="single" w:sz="8" w:space="0" w:color="auto"/>
            </w:tcBorders>
          </w:tcPr>
          <w:p w14:paraId="2C33228C" w14:textId="6B599843" w:rsidR="00BF0002" w:rsidRPr="00EF2F18" w:rsidRDefault="00BF0002" w:rsidP="00752CA0">
            <w:pPr>
              <w:spacing w:after="0"/>
              <w:rPr>
                <w:rFonts w:eastAsia="Times New Roman" w:cs="Times New Roman"/>
                <w:color w:val="000000"/>
                <w:sz w:val="20"/>
                <w:szCs w:val="20"/>
                <w:lang w:val="sr-Cyrl-RS" w:eastAsia="en-GB"/>
              </w:rPr>
            </w:pPr>
          </w:p>
        </w:tc>
        <w:tc>
          <w:tcPr>
            <w:tcW w:w="1690" w:type="dxa"/>
            <w:tcBorders>
              <w:top w:val="nil"/>
              <w:left w:val="nil"/>
              <w:bottom w:val="single" w:sz="8" w:space="0" w:color="auto"/>
              <w:right w:val="single" w:sz="8" w:space="0" w:color="auto"/>
            </w:tcBorders>
          </w:tcPr>
          <w:p w14:paraId="40C12CE7" w14:textId="1AD7FEE0" w:rsidR="00BF0002" w:rsidRPr="00EF2F18" w:rsidRDefault="00BF0002" w:rsidP="00752CA0">
            <w:pPr>
              <w:spacing w:after="0"/>
              <w:rPr>
                <w:rFonts w:eastAsia="Times New Roman" w:cs="Times New Roman"/>
                <w:color w:val="000000"/>
                <w:sz w:val="20"/>
                <w:szCs w:val="20"/>
                <w:lang w:val="sr-Cyrl-RS" w:eastAsia="en-GB"/>
              </w:rPr>
            </w:pPr>
          </w:p>
        </w:tc>
      </w:tr>
    </w:tbl>
    <w:p w14:paraId="18D0783C" w14:textId="1849C76E" w:rsidR="007D7243" w:rsidRPr="00EF2F18" w:rsidRDefault="00573FE5" w:rsidP="007D7243">
      <w:pPr>
        <w:rPr>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42FE02B3" w14:textId="77777777" w:rsidR="00573FE5" w:rsidRPr="00EF2F18" w:rsidRDefault="00573FE5" w:rsidP="007D7243">
      <w:pPr>
        <w:rPr>
          <w:lang w:val="sr-Cyrl-RS"/>
        </w:rPr>
      </w:pPr>
    </w:p>
    <w:tbl>
      <w:tblPr>
        <w:tblW w:w="13567" w:type="dxa"/>
        <w:tblLook w:val="04A0" w:firstRow="1" w:lastRow="0" w:firstColumn="1" w:lastColumn="0" w:noHBand="0" w:noVBand="1"/>
      </w:tblPr>
      <w:tblGrid>
        <w:gridCol w:w="3320"/>
        <w:gridCol w:w="1280"/>
        <w:gridCol w:w="1280"/>
        <w:gridCol w:w="1000"/>
        <w:gridCol w:w="894"/>
        <w:gridCol w:w="1520"/>
        <w:gridCol w:w="1060"/>
        <w:gridCol w:w="1503"/>
        <w:gridCol w:w="1685"/>
        <w:gridCol w:w="25"/>
      </w:tblGrid>
      <w:tr w:rsidR="007D7243" w:rsidRPr="00EF2F18" w14:paraId="15935EF8" w14:textId="77777777" w:rsidTr="00EE692D">
        <w:trPr>
          <w:gridAfter w:val="1"/>
          <w:wAfter w:w="25" w:type="dxa"/>
          <w:trHeight w:val="336"/>
        </w:trPr>
        <w:tc>
          <w:tcPr>
            <w:tcW w:w="13542"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10A142FB"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 xml:space="preserve">Мера 6.1.3: Унапређење капацитета за стратешку процену, процену утицаја на животну средину и оцену прихватљивости </w:t>
            </w:r>
          </w:p>
        </w:tc>
      </w:tr>
      <w:tr w:rsidR="007D7243" w:rsidRPr="00EF2F18" w14:paraId="423A08EF" w14:textId="77777777" w:rsidTr="00EE692D">
        <w:trPr>
          <w:gridAfter w:val="1"/>
          <w:wAfter w:w="25" w:type="dxa"/>
          <w:trHeight w:val="336"/>
        </w:trPr>
        <w:tc>
          <w:tcPr>
            <w:tcW w:w="13542"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1AF0405"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lastRenderedPageBreak/>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4DAB031B" w14:textId="77777777" w:rsidTr="00EE692D">
        <w:trPr>
          <w:gridAfter w:val="1"/>
          <w:wAfter w:w="25"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47759FDA" w14:textId="3B5ADDFD"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BF0002"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662" w:type="dxa"/>
            <w:gridSpan w:val="5"/>
            <w:tcBorders>
              <w:top w:val="double" w:sz="6" w:space="0" w:color="auto"/>
              <w:left w:val="nil"/>
              <w:bottom w:val="double" w:sz="6" w:space="0" w:color="auto"/>
              <w:right w:val="double" w:sz="6" w:space="0" w:color="auto"/>
            </w:tcBorders>
            <w:shd w:val="clear" w:color="000000" w:fill="F7CAAC"/>
            <w:hideMark/>
          </w:tcPr>
          <w:p w14:paraId="06823EA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 едукативна</w:t>
            </w:r>
          </w:p>
        </w:tc>
      </w:tr>
      <w:tr w:rsidR="007D7243" w:rsidRPr="00EF2F18" w14:paraId="7CC393EB" w14:textId="77777777" w:rsidTr="00EE692D">
        <w:trPr>
          <w:gridAfter w:val="1"/>
          <w:wAfter w:w="25"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4A30C9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62" w:type="dxa"/>
            <w:gridSpan w:val="5"/>
            <w:tcBorders>
              <w:top w:val="double" w:sz="6" w:space="0" w:color="auto"/>
              <w:left w:val="nil"/>
              <w:bottom w:val="double" w:sz="6" w:space="0" w:color="auto"/>
              <w:right w:val="double" w:sz="6" w:space="0" w:color="auto"/>
            </w:tcBorders>
            <w:shd w:val="clear" w:color="000000" w:fill="F7CAAC"/>
            <w:hideMark/>
          </w:tcPr>
          <w:p w14:paraId="6E27826D"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E692D" w:rsidRPr="00EF2F18" w14:paraId="2E3D27EE" w14:textId="77777777" w:rsidTr="00EE692D">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760E962E"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28A44DA3"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4243217C"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894" w:type="dxa"/>
            <w:gridSpan w:val="2"/>
            <w:tcBorders>
              <w:top w:val="double" w:sz="6" w:space="0" w:color="auto"/>
              <w:left w:val="nil"/>
              <w:bottom w:val="double" w:sz="6" w:space="0" w:color="auto"/>
              <w:right w:val="single" w:sz="8" w:space="0" w:color="000000"/>
            </w:tcBorders>
            <w:shd w:val="clear" w:color="000000" w:fill="D9D9D9"/>
            <w:hideMark/>
          </w:tcPr>
          <w:p w14:paraId="24685F86"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53256A79"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1069FD95"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03" w:type="dxa"/>
            <w:tcBorders>
              <w:top w:val="nil"/>
              <w:left w:val="nil"/>
              <w:bottom w:val="double" w:sz="6" w:space="0" w:color="auto"/>
              <w:right w:val="single" w:sz="8" w:space="0" w:color="auto"/>
            </w:tcBorders>
            <w:shd w:val="clear" w:color="000000" w:fill="D9D9D9"/>
            <w:hideMark/>
          </w:tcPr>
          <w:p w14:paraId="4D31E823"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tcBorders>
              <w:top w:val="nil"/>
              <w:left w:val="nil"/>
              <w:bottom w:val="double" w:sz="6" w:space="0" w:color="auto"/>
              <w:right w:val="double" w:sz="6" w:space="0" w:color="auto"/>
            </w:tcBorders>
            <w:shd w:val="clear" w:color="000000" w:fill="D9D9D9"/>
            <w:hideMark/>
          </w:tcPr>
          <w:p w14:paraId="0EA36A99"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E692D" w:rsidRPr="00EF2F18" w14:paraId="0AC8899F" w14:textId="77777777" w:rsidTr="00EE692D">
        <w:trPr>
          <w:trHeight w:val="1332"/>
        </w:trPr>
        <w:tc>
          <w:tcPr>
            <w:tcW w:w="3320" w:type="dxa"/>
            <w:tcBorders>
              <w:top w:val="nil"/>
              <w:left w:val="double" w:sz="6" w:space="0" w:color="auto"/>
              <w:bottom w:val="double" w:sz="6" w:space="0" w:color="auto"/>
              <w:right w:val="single" w:sz="8" w:space="0" w:color="auto"/>
            </w:tcBorders>
            <w:shd w:val="clear" w:color="000000" w:fill="FFFFFF"/>
            <w:hideMark/>
          </w:tcPr>
          <w:p w14:paraId="7B319FB6"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издатих сертификата за успешно завршене обуке, на свим нивоима (републичком, покрајинском и локалном) годишње</w:t>
            </w:r>
          </w:p>
        </w:tc>
        <w:tc>
          <w:tcPr>
            <w:tcW w:w="1280" w:type="dxa"/>
            <w:tcBorders>
              <w:top w:val="nil"/>
              <w:left w:val="nil"/>
              <w:bottom w:val="double" w:sz="6" w:space="0" w:color="auto"/>
              <w:right w:val="single" w:sz="8" w:space="0" w:color="auto"/>
            </w:tcBorders>
            <w:shd w:val="clear" w:color="000000" w:fill="FFFFFF"/>
            <w:hideMark/>
          </w:tcPr>
          <w:p w14:paraId="39C9098C"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70800038" w14:textId="77777777" w:rsidR="00EE692D" w:rsidRPr="00EF2F18" w:rsidRDefault="00EE692D"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 Извештај о реализацији програма обука</w:t>
            </w:r>
          </w:p>
        </w:tc>
        <w:tc>
          <w:tcPr>
            <w:tcW w:w="1894" w:type="dxa"/>
            <w:gridSpan w:val="2"/>
            <w:tcBorders>
              <w:top w:val="double" w:sz="6" w:space="0" w:color="auto"/>
              <w:left w:val="nil"/>
              <w:bottom w:val="double" w:sz="6" w:space="0" w:color="auto"/>
              <w:right w:val="single" w:sz="8" w:space="0" w:color="000000"/>
            </w:tcBorders>
            <w:shd w:val="clear" w:color="000000" w:fill="FFFFFF"/>
            <w:hideMark/>
          </w:tcPr>
          <w:p w14:paraId="799565AB"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736A3EBD"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nil"/>
              <w:left w:val="single" w:sz="8" w:space="0" w:color="auto"/>
              <w:bottom w:val="double" w:sz="6" w:space="0" w:color="auto"/>
              <w:right w:val="single" w:sz="8" w:space="0" w:color="auto"/>
            </w:tcBorders>
            <w:shd w:val="clear" w:color="000000" w:fill="FFFFFF"/>
            <w:hideMark/>
          </w:tcPr>
          <w:p w14:paraId="6A11F91A"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w:t>
            </w:r>
          </w:p>
        </w:tc>
        <w:tc>
          <w:tcPr>
            <w:tcW w:w="1503" w:type="dxa"/>
            <w:tcBorders>
              <w:top w:val="nil"/>
              <w:left w:val="nil"/>
              <w:bottom w:val="double" w:sz="6" w:space="0" w:color="auto"/>
              <w:right w:val="single" w:sz="8" w:space="0" w:color="auto"/>
            </w:tcBorders>
            <w:shd w:val="clear" w:color="000000" w:fill="FFFFFF"/>
            <w:hideMark/>
          </w:tcPr>
          <w:p w14:paraId="4E8E41B2"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w:t>
            </w:r>
          </w:p>
        </w:tc>
        <w:tc>
          <w:tcPr>
            <w:tcW w:w="1710" w:type="dxa"/>
            <w:gridSpan w:val="2"/>
            <w:tcBorders>
              <w:top w:val="nil"/>
              <w:left w:val="nil"/>
              <w:bottom w:val="double" w:sz="6" w:space="0" w:color="auto"/>
              <w:right w:val="double" w:sz="6" w:space="0" w:color="auto"/>
            </w:tcBorders>
            <w:shd w:val="clear" w:color="000000" w:fill="FFFFFF"/>
            <w:hideMark/>
          </w:tcPr>
          <w:p w14:paraId="427B2F0B"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r>
    </w:tbl>
    <w:p w14:paraId="4A545D52" w14:textId="77777777" w:rsidR="007D7243" w:rsidRPr="00EF2F18" w:rsidRDefault="007D7243" w:rsidP="007D7243">
      <w:pPr>
        <w:rPr>
          <w:rFonts w:cs="Times New Roman"/>
          <w:sz w:val="20"/>
          <w:szCs w:val="20"/>
          <w:lang w:val="sr-Cyrl-RS"/>
        </w:rPr>
      </w:pPr>
    </w:p>
    <w:tbl>
      <w:tblPr>
        <w:tblW w:w="13567" w:type="dxa"/>
        <w:tblLook w:val="04A0" w:firstRow="1" w:lastRow="0" w:firstColumn="1" w:lastColumn="0" w:noHBand="0" w:noVBand="1"/>
      </w:tblPr>
      <w:tblGrid>
        <w:gridCol w:w="3800"/>
        <w:gridCol w:w="2480"/>
        <w:gridCol w:w="2337"/>
        <w:gridCol w:w="2160"/>
        <w:gridCol w:w="2783"/>
        <w:gridCol w:w="7"/>
      </w:tblGrid>
      <w:tr w:rsidR="007D7243" w:rsidRPr="00EF2F18" w14:paraId="7F32E7A0" w14:textId="77777777" w:rsidTr="00EE692D">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18CF45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786C0D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47A0CF06"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E692D" w:rsidRPr="00EF2F18" w14:paraId="511A8151" w14:textId="77777777" w:rsidTr="00EE692D">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5EECEC25" w14:textId="77777777" w:rsidR="00EE692D" w:rsidRPr="00EF2F18" w:rsidRDefault="00EE692D"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422C2D92" w14:textId="77777777" w:rsidR="00EE692D" w:rsidRPr="00EF2F18" w:rsidRDefault="00EE692D"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shd w:val="clear" w:color="000000" w:fill="A8D08D"/>
            <w:hideMark/>
          </w:tcPr>
          <w:p w14:paraId="40E0AC79" w14:textId="5D9DE751"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 године</w:t>
            </w:r>
          </w:p>
        </w:tc>
        <w:tc>
          <w:tcPr>
            <w:tcW w:w="2160" w:type="dxa"/>
            <w:tcBorders>
              <w:top w:val="nil"/>
              <w:left w:val="nil"/>
              <w:bottom w:val="double" w:sz="6" w:space="0" w:color="auto"/>
              <w:right w:val="double" w:sz="6" w:space="0" w:color="auto"/>
            </w:tcBorders>
            <w:shd w:val="clear" w:color="000000" w:fill="A8D08D"/>
            <w:hideMark/>
          </w:tcPr>
          <w:p w14:paraId="06458344" w14:textId="2D09FD98"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790" w:type="dxa"/>
            <w:gridSpan w:val="2"/>
            <w:tcBorders>
              <w:top w:val="nil"/>
              <w:left w:val="nil"/>
              <w:bottom w:val="double" w:sz="6" w:space="0" w:color="auto"/>
              <w:right w:val="double" w:sz="6" w:space="0" w:color="auto"/>
            </w:tcBorders>
            <w:shd w:val="clear" w:color="000000" w:fill="A8D08D"/>
            <w:hideMark/>
          </w:tcPr>
          <w:p w14:paraId="33C96AFF" w14:textId="3CAD3F7B"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E692D" w:rsidRPr="00EF2F18" w14:paraId="108E3F1D" w14:textId="77777777" w:rsidTr="00EE692D">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00DFE19D"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hideMark/>
          </w:tcPr>
          <w:p w14:paraId="27DEE7B4"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2337" w:type="dxa"/>
            <w:tcBorders>
              <w:top w:val="nil"/>
              <w:left w:val="nil"/>
              <w:bottom w:val="double" w:sz="6" w:space="0" w:color="auto"/>
              <w:right w:val="double" w:sz="6" w:space="0" w:color="auto"/>
            </w:tcBorders>
          </w:tcPr>
          <w:p w14:paraId="16545E4E" w14:textId="6D0C5B3A" w:rsidR="00EE692D" w:rsidRPr="00EF2F18" w:rsidRDefault="00EE692D" w:rsidP="00752CA0">
            <w:pPr>
              <w:spacing w:after="0"/>
              <w:jc w:val="right"/>
              <w:rPr>
                <w:rFonts w:eastAsia="Times New Roman" w:cs="Times New Roman"/>
                <w:color w:val="000000"/>
                <w:sz w:val="20"/>
                <w:szCs w:val="20"/>
                <w:lang w:val="sr-Cyrl-RS" w:eastAsia="en-GB"/>
              </w:rPr>
            </w:pPr>
          </w:p>
        </w:tc>
        <w:tc>
          <w:tcPr>
            <w:tcW w:w="2160" w:type="dxa"/>
            <w:tcBorders>
              <w:top w:val="nil"/>
              <w:left w:val="nil"/>
              <w:bottom w:val="double" w:sz="6" w:space="0" w:color="auto"/>
              <w:right w:val="double" w:sz="6" w:space="0" w:color="auto"/>
            </w:tcBorders>
          </w:tcPr>
          <w:p w14:paraId="3DB28A86" w14:textId="47E6670E" w:rsidR="00EE692D" w:rsidRPr="00EF2F18" w:rsidRDefault="00EE692D" w:rsidP="00752CA0">
            <w:pPr>
              <w:spacing w:after="0"/>
              <w:jc w:val="right"/>
              <w:rPr>
                <w:rFonts w:eastAsia="Times New Roman" w:cs="Times New Roman"/>
                <w:color w:val="000000"/>
                <w:sz w:val="20"/>
                <w:szCs w:val="20"/>
                <w:lang w:val="sr-Cyrl-RS" w:eastAsia="en-GB"/>
              </w:rPr>
            </w:pPr>
          </w:p>
        </w:tc>
        <w:tc>
          <w:tcPr>
            <w:tcW w:w="2790" w:type="dxa"/>
            <w:gridSpan w:val="2"/>
            <w:tcBorders>
              <w:top w:val="nil"/>
              <w:left w:val="nil"/>
              <w:bottom w:val="double" w:sz="6" w:space="0" w:color="auto"/>
              <w:right w:val="double" w:sz="6" w:space="0" w:color="auto"/>
            </w:tcBorders>
            <w:shd w:val="clear" w:color="000000" w:fill="FFFFFF"/>
          </w:tcPr>
          <w:p w14:paraId="05791102" w14:textId="346954C9"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25A35012" w14:textId="77777777" w:rsidTr="00EE692D">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3C17F6A7"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tcBorders>
              <w:top w:val="nil"/>
              <w:left w:val="nil"/>
              <w:bottom w:val="double" w:sz="6" w:space="0" w:color="auto"/>
              <w:right w:val="double" w:sz="6" w:space="0" w:color="auto"/>
            </w:tcBorders>
            <w:shd w:val="clear" w:color="000000" w:fill="FFFFFF"/>
            <w:hideMark/>
          </w:tcPr>
          <w:p w14:paraId="7E5E4A91"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0404-560-0004-515</w:t>
            </w:r>
          </w:p>
          <w:p w14:paraId="025F9E15"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0404-560-0002-423</w:t>
            </w:r>
          </w:p>
        </w:tc>
        <w:tc>
          <w:tcPr>
            <w:tcW w:w="2337" w:type="dxa"/>
            <w:tcBorders>
              <w:top w:val="nil"/>
              <w:left w:val="nil"/>
              <w:bottom w:val="double" w:sz="6" w:space="0" w:color="auto"/>
              <w:right w:val="double" w:sz="6" w:space="0" w:color="auto"/>
            </w:tcBorders>
            <w:hideMark/>
          </w:tcPr>
          <w:p w14:paraId="1F0154A9"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p w14:paraId="11199823"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w:t>
            </w:r>
          </w:p>
        </w:tc>
        <w:tc>
          <w:tcPr>
            <w:tcW w:w="2160" w:type="dxa"/>
            <w:tcBorders>
              <w:top w:val="nil"/>
              <w:left w:val="nil"/>
              <w:bottom w:val="double" w:sz="6" w:space="0" w:color="auto"/>
              <w:right w:val="double" w:sz="6" w:space="0" w:color="auto"/>
            </w:tcBorders>
            <w:hideMark/>
          </w:tcPr>
          <w:p w14:paraId="1DEE27CC"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p w14:paraId="54796F9C"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w:t>
            </w:r>
          </w:p>
        </w:tc>
        <w:tc>
          <w:tcPr>
            <w:tcW w:w="2790" w:type="dxa"/>
            <w:gridSpan w:val="2"/>
            <w:tcBorders>
              <w:top w:val="nil"/>
              <w:left w:val="nil"/>
              <w:bottom w:val="double" w:sz="6" w:space="0" w:color="auto"/>
              <w:right w:val="double" w:sz="6" w:space="0" w:color="auto"/>
            </w:tcBorders>
            <w:shd w:val="clear" w:color="000000" w:fill="FFFFFF"/>
            <w:hideMark/>
          </w:tcPr>
          <w:p w14:paraId="51BB9DD8"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E692D" w:rsidRPr="00EF2F18" w14:paraId="630BFBBC" w14:textId="77777777" w:rsidTr="00EE692D">
        <w:trPr>
          <w:trHeight w:val="336"/>
        </w:trPr>
        <w:tc>
          <w:tcPr>
            <w:tcW w:w="3800" w:type="dxa"/>
            <w:tcBorders>
              <w:top w:val="nil"/>
              <w:left w:val="double" w:sz="6" w:space="0" w:color="auto"/>
              <w:bottom w:val="double" w:sz="6" w:space="0" w:color="auto"/>
              <w:right w:val="double" w:sz="6" w:space="0" w:color="auto"/>
            </w:tcBorders>
            <w:shd w:val="clear" w:color="000000" w:fill="FFFFFF"/>
            <w:hideMark/>
          </w:tcPr>
          <w:p w14:paraId="05438BE6"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 ЈЛС</w:t>
            </w:r>
          </w:p>
        </w:tc>
        <w:tc>
          <w:tcPr>
            <w:tcW w:w="2480" w:type="dxa"/>
            <w:tcBorders>
              <w:top w:val="nil"/>
              <w:left w:val="nil"/>
              <w:bottom w:val="double" w:sz="6" w:space="0" w:color="auto"/>
              <w:right w:val="double" w:sz="6" w:space="0" w:color="auto"/>
            </w:tcBorders>
            <w:shd w:val="clear" w:color="000000" w:fill="FFFFFF"/>
          </w:tcPr>
          <w:p w14:paraId="0B5AA35E" w14:textId="44D06D91" w:rsidR="00EE692D" w:rsidRPr="00EF2F18" w:rsidRDefault="00EE692D"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tcPr>
          <w:p w14:paraId="5D0924E2" w14:textId="7B45E2AE" w:rsidR="00EE692D" w:rsidRPr="00EF2F18" w:rsidRDefault="00EE692D" w:rsidP="00752CA0">
            <w:pPr>
              <w:spacing w:after="0"/>
              <w:jc w:val="right"/>
              <w:rPr>
                <w:rFonts w:eastAsia="Times New Roman" w:cs="Times New Roman"/>
                <w:color w:val="000000"/>
                <w:sz w:val="20"/>
                <w:szCs w:val="20"/>
                <w:lang w:val="sr-Cyrl-RS" w:eastAsia="en-GB"/>
              </w:rPr>
            </w:pPr>
          </w:p>
        </w:tc>
        <w:tc>
          <w:tcPr>
            <w:tcW w:w="2160" w:type="dxa"/>
            <w:tcBorders>
              <w:top w:val="nil"/>
              <w:left w:val="nil"/>
              <w:bottom w:val="double" w:sz="6" w:space="0" w:color="auto"/>
              <w:right w:val="double" w:sz="6" w:space="0" w:color="auto"/>
            </w:tcBorders>
          </w:tcPr>
          <w:p w14:paraId="42D8EBB6" w14:textId="306DB1AC" w:rsidR="00EE692D" w:rsidRPr="00EF2F18" w:rsidRDefault="00EE692D" w:rsidP="00752CA0">
            <w:pPr>
              <w:spacing w:after="0"/>
              <w:jc w:val="right"/>
              <w:rPr>
                <w:rFonts w:eastAsia="Times New Roman" w:cs="Times New Roman"/>
                <w:color w:val="000000"/>
                <w:sz w:val="20"/>
                <w:szCs w:val="20"/>
                <w:lang w:val="sr-Cyrl-RS" w:eastAsia="en-GB"/>
              </w:rPr>
            </w:pPr>
          </w:p>
        </w:tc>
        <w:tc>
          <w:tcPr>
            <w:tcW w:w="2790" w:type="dxa"/>
            <w:gridSpan w:val="2"/>
            <w:tcBorders>
              <w:top w:val="nil"/>
              <w:left w:val="nil"/>
              <w:bottom w:val="double" w:sz="6" w:space="0" w:color="auto"/>
              <w:right w:val="double" w:sz="6" w:space="0" w:color="auto"/>
            </w:tcBorders>
            <w:shd w:val="clear" w:color="000000" w:fill="FFFFFF"/>
          </w:tcPr>
          <w:p w14:paraId="16D77764" w14:textId="48CE610B"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56CF4B55" w14:textId="77777777" w:rsidTr="00EE692D">
        <w:trPr>
          <w:trHeight w:val="336"/>
        </w:trPr>
        <w:tc>
          <w:tcPr>
            <w:tcW w:w="3800" w:type="dxa"/>
            <w:tcBorders>
              <w:top w:val="double" w:sz="6" w:space="0" w:color="auto"/>
              <w:left w:val="double" w:sz="6" w:space="0" w:color="auto"/>
              <w:bottom w:val="double" w:sz="6" w:space="0" w:color="auto"/>
              <w:right w:val="double" w:sz="6" w:space="0" w:color="auto"/>
            </w:tcBorders>
            <w:shd w:val="clear" w:color="000000" w:fill="FFFFFF"/>
          </w:tcPr>
          <w:p w14:paraId="59152880" w14:textId="3DC8F451" w:rsidR="00EE692D" w:rsidRPr="00EF2F18" w:rsidRDefault="00EE692D" w:rsidP="00752CA0">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Донаторска средства (ЕУ ИПА)</w:t>
            </w:r>
          </w:p>
          <w:p w14:paraId="5DC55547" w14:textId="40E1D34D" w:rsidR="00EE692D" w:rsidRPr="00EF2F18" w:rsidRDefault="00EE692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(средства не пролазе кроз буџет РС)</w:t>
            </w:r>
          </w:p>
        </w:tc>
        <w:tc>
          <w:tcPr>
            <w:tcW w:w="2480" w:type="dxa"/>
            <w:tcBorders>
              <w:top w:val="double" w:sz="6" w:space="0" w:color="auto"/>
              <w:left w:val="nil"/>
              <w:bottom w:val="double" w:sz="6" w:space="0" w:color="auto"/>
              <w:right w:val="double" w:sz="6" w:space="0" w:color="auto"/>
            </w:tcBorders>
            <w:shd w:val="clear" w:color="000000" w:fill="FFFFFF"/>
          </w:tcPr>
          <w:p w14:paraId="766579E7" w14:textId="77777777" w:rsidR="00EE692D" w:rsidRPr="00EF2F18" w:rsidRDefault="00EE692D" w:rsidP="00752CA0">
            <w:pPr>
              <w:spacing w:after="0"/>
              <w:rPr>
                <w:rFonts w:eastAsia="Times New Roman" w:cs="Times New Roman"/>
                <w:color w:val="000000"/>
                <w:sz w:val="20"/>
                <w:szCs w:val="20"/>
                <w:lang w:val="sr-Cyrl-RS" w:eastAsia="en-GB"/>
              </w:rPr>
            </w:pPr>
          </w:p>
        </w:tc>
        <w:tc>
          <w:tcPr>
            <w:tcW w:w="2337" w:type="dxa"/>
            <w:tcBorders>
              <w:top w:val="double" w:sz="6" w:space="0" w:color="auto"/>
              <w:left w:val="nil"/>
              <w:bottom w:val="double" w:sz="6" w:space="0" w:color="auto"/>
              <w:right w:val="double" w:sz="6" w:space="0" w:color="auto"/>
            </w:tcBorders>
          </w:tcPr>
          <w:p w14:paraId="3346046C" w14:textId="77777777" w:rsidR="00EE692D" w:rsidRPr="00EF2F18" w:rsidRDefault="00EE692D" w:rsidP="00752CA0">
            <w:pPr>
              <w:spacing w:after="0"/>
              <w:jc w:val="right"/>
              <w:rPr>
                <w:rFonts w:eastAsia="Times New Roman" w:cs="Times New Roman"/>
                <w:color w:val="000000"/>
                <w:sz w:val="20"/>
                <w:szCs w:val="20"/>
                <w:lang w:val="sr-Cyrl-RS" w:eastAsia="en-GB"/>
              </w:rPr>
            </w:pPr>
          </w:p>
        </w:tc>
        <w:tc>
          <w:tcPr>
            <w:tcW w:w="2160" w:type="dxa"/>
            <w:tcBorders>
              <w:top w:val="double" w:sz="6" w:space="0" w:color="auto"/>
              <w:left w:val="nil"/>
              <w:bottom w:val="double" w:sz="6" w:space="0" w:color="auto"/>
              <w:right w:val="double" w:sz="6" w:space="0" w:color="auto"/>
            </w:tcBorders>
          </w:tcPr>
          <w:p w14:paraId="20246E51" w14:textId="77777777" w:rsidR="00EE692D" w:rsidRPr="00EF2F18" w:rsidRDefault="00EE692D" w:rsidP="00752CA0">
            <w:pPr>
              <w:spacing w:after="0"/>
              <w:jc w:val="right"/>
              <w:rPr>
                <w:rFonts w:eastAsia="Times New Roman" w:cs="Times New Roman"/>
                <w:color w:val="000000"/>
                <w:sz w:val="20"/>
                <w:szCs w:val="20"/>
                <w:lang w:val="sr-Cyrl-RS" w:eastAsia="en-GB"/>
              </w:rPr>
            </w:pPr>
          </w:p>
        </w:tc>
        <w:tc>
          <w:tcPr>
            <w:tcW w:w="2790" w:type="dxa"/>
            <w:gridSpan w:val="2"/>
            <w:tcBorders>
              <w:top w:val="double" w:sz="6" w:space="0" w:color="auto"/>
              <w:left w:val="nil"/>
              <w:bottom w:val="double" w:sz="6" w:space="0" w:color="auto"/>
              <w:right w:val="double" w:sz="6" w:space="0" w:color="auto"/>
            </w:tcBorders>
            <w:shd w:val="clear" w:color="000000" w:fill="FFFFFF"/>
          </w:tcPr>
          <w:p w14:paraId="30A8CD0D" w14:textId="77777777" w:rsidR="00EE692D" w:rsidRPr="00EF2F18" w:rsidRDefault="00EE692D" w:rsidP="00752CA0">
            <w:pPr>
              <w:spacing w:after="0"/>
              <w:jc w:val="right"/>
              <w:rPr>
                <w:rFonts w:eastAsia="Times New Roman" w:cs="Times New Roman"/>
                <w:color w:val="000000"/>
                <w:sz w:val="20"/>
                <w:szCs w:val="20"/>
                <w:lang w:val="sr-Cyrl-RS" w:eastAsia="en-GB"/>
              </w:rPr>
            </w:pPr>
          </w:p>
        </w:tc>
      </w:tr>
    </w:tbl>
    <w:p w14:paraId="368A8B20" w14:textId="675189D6" w:rsidR="00FE6D0F" w:rsidRPr="00EF2F18" w:rsidRDefault="00FE6D0F" w:rsidP="007D7243">
      <w:pPr>
        <w:rPr>
          <w:rFonts w:cs="Times New Roman"/>
          <w:sz w:val="20"/>
          <w:szCs w:val="20"/>
          <w:lang w:val="sr-Cyrl-RS"/>
        </w:rPr>
      </w:pPr>
    </w:p>
    <w:p w14:paraId="60884E19" w14:textId="77777777" w:rsidR="00FE6D0F" w:rsidRPr="00EF2F18" w:rsidRDefault="00FE6D0F" w:rsidP="007D7243">
      <w:pPr>
        <w:rPr>
          <w:rFonts w:cs="Times New Roman"/>
          <w:sz w:val="20"/>
          <w:szCs w:val="20"/>
          <w:lang w:val="sr-Cyrl-RS"/>
        </w:rPr>
      </w:pPr>
    </w:p>
    <w:p w14:paraId="076DCDDF" w14:textId="77777777" w:rsidR="00FE6D0F" w:rsidRPr="00EF2F18" w:rsidRDefault="00FE6D0F" w:rsidP="007D7243">
      <w:pPr>
        <w:rPr>
          <w:rFonts w:cs="Times New Roman"/>
          <w:sz w:val="20"/>
          <w:szCs w:val="20"/>
          <w:lang w:val="sr-Cyrl-RS"/>
        </w:rPr>
      </w:pPr>
    </w:p>
    <w:tbl>
      <w:tblPr>
        <w:tblW w:w="4875" w:type="pct"/>
        <w:tblLook w:val="04A0" w:firstRow="1" w:lastRow="0" w:firstColumn="1" w:lastColumn="0" w:noHBand="0" w:noVBand="1"/>
      </w:tblPr>
      <w:tblGrid>
        <w:gridCol w:w="3277"/>
        <w:gridCol w:w="1326"/>
        <w:gridCol w:w="1326"/>
        <w:gridCol w:w="1264"/>
        <w:gridCol w:w="1744"/>
        <w:gridCol w:w="1340"/>
        <w:gridCol w:w="1487"/>
        <w:gridCol w:w="947"/>
        <w:gridCol w:w="855"/>
      </w:tblGrid>
      <w:tr w:rsidR="007D7243" w:rsidRPr="00EF2F18" w14:paraId="24F02C78" w14:textId="77777777" w:rsidTr="00743C4B">
        <w:trPr>
          <w:trHeight w:val="732"/>
        </w:trPr>
        <w:tc>
          <w:tcPr>
            <w:tcW w:w="1224" w:type="pct"/>
            <w:vMerge w:val="restart"/>
            <w:tcBorders>
              <w:top w:val="double" w:sz="6" w:space="0" w:color="auto"/>
              <w:left w:val="double" w:sz="6" w:space="0" w:color="auto"/>
              <w:bottom w:val="single" w:sz="8" w:space="0" w:color="000000"/>
              <w:right w:val="single" w:sz="8" w:space="0" w:color="auto"/>
            </w:tcBorders>
            <w:shd w:val="clear" w:color="000000" w:fill="FFF2CC"/>
            <w:hideMark/>
          </w:tcPr>
          <w:p w14:paraId="668B548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505" w:type="pct"/>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A36370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505" w:type="pct"/>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CE9D0A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482" w:type="pct"/>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0F73B1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659" w:type="pct"/>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7A39F3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365" w:type="pct"/>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B1F554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1260" w:type="pct"/>
            <w:gridSpan w:val="3"/>
            <w:tcBorders>
              <w:top w:val="double" w:sz="6" w:space="0" w:color="auto"/>
              <w:left w:val="nil"/>
              <w:bottom w:val="single" w:sz="8" w:space="0" w:color="auto"/>
              <w:right w:val="double" w:sz="6" w:space="0" w:color="auto"/>
            </w:tcBorders>
            <w:shd w:val="clear" w:color="000000" w:fill="FFF2CC"/>
            <w:hideMark/>
          </w:tcPr>
          <w:p w14:paraId="5C18227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743C4B" w:rsidRPr="00EF2F18" w14:paraId="1AAA370E" w14:textId="77777777" w:rsidTr="00743C4B">
        <w:trPr>
          <w:trHeight w:val="324"/>
        </w:trPr>
        <w:tc>
          <w:tcPr>
            <w:tcW w:w="1224" w:type="pct"/>
            <w:vMerge/>
            <w:tcBorders>
              <w:top w:val="double" w:sz="6" w:space="0" w:color="auto"/>
              <w:left w:val="double" w:sz="6" w:space="0" w:color="auto"/>
              <w:bottom w:val="single" w:sz="8" w:space="0" w:color="000000"/>
              <w:right w:val="single" w:sz="8" w:space="0" w:color="auto"/>
            </w:tcBorders>
            <w:vAlign w:val="center"/>
            <w:hideMark/>
          </w:tcPr>
          <w:p w14:paraId="2CE6B244" w14:textId="77777777" w:rsidR="00743C4B" w:rsidRPr="00EF2F18" w:rsidRDefault="00743C4B" w:rsidP="00752CA0">
            <w:pPr>
              <w:spacing w:after="0"/>
              <w:rPr>
                <w:rFonts w:eastAsia="Times New Roman" w:cs="Times New Roman"/>
                <w:color w:val="000000"/>
                <w:sz w:val="20"/>
                <w:szCs w:val="20"/>
                <w:lang w:val="sr-Cyrl-RS" w:eastAsia="en-GB"/>
              </w:rPr>
            </w:pPr>
          </w:p>
        </w:tc>
        <w:tc>
          <w:tcPr>
            <w:tcW w:w="505" w:type="pct"/>
            <w:vMerge/>
            <w:tcBorders>
              <w:top w:val="double" w:sz="6" w:space="0" w:color="auto"/>
              <w:left w:val="single" w:sz="8" w:space="0" w:color="auto"/>
              <w:bottom w:val="single" w:sz="8" w:space="0" w:color="000000"/>
              <w:right w:val="single" w:sz="8" w:space="0" w:color="auto"/>
            </w:tcBorders>
            <w:vAlign w:val="center"/>
            <w:hideMark/>
          </w:tcPr>
          <w:p w14:paraId="295196CC" w14:textId="77777777" w:rsidR="00743C4B" w:rsidRPr="00EF2F18" w:rsidRDefault="00743C4B" w:rsidP="00752CA0">
            <w:pPr>
              <w:spacing w:after="0"/>
              <w:rPr>
                <w:rFonts w:eastAsia="Times New Roman" w:cs="Times New Roman"/>
                <w:color w:val="000000"/>
                <w:sz w:val="20"/>
                <w:szCs w:val="20"/>
                <w:lang w:val="sr-Cyrl-RS" w:eastAsia="en-GB"/>
              </w:rPr>
            </w:pPr>
          </w:p>
        </w:tc>
        <w:tc>
          <w:tcPr>
            <w:tcW w:w="505" w:type="pct"/>
            <w:vMerge/>
            <w:tcBorders>
              <w:top w:val="double" w:sz="6" w:space="0" w:color="auto"/>
              <w:left w:val="single" w:sz="8" w:space="0" w:color="auto"/>
              <w:bottom w:val="single" w:sz="8" w:space="0" w:color="000000"/>
              <w:right w:val="single" w:sz="8" w:space="0" w:color="auto"/>
            </w:tcBorders>
            <w:vAlign w:val="center"/>
            <w:hideMark/>
          </w:tcPr>
          <w:p w14:paraId="3A12DD83" w14:textId="77777777" w:rsidR="00743C4B" w:rsidRPr="00EF2F18" w:rsidRDefault="00743C4B" w:rsidP="00752CA0">
            <w:pPr>
              <w:spacing w:after="0"/>
              <w:rPr>
                <w:rFonts w:eastAsia="Times New Roman" w:cs="Times New Roman"/>
                <w:color w:val="000000"/>
                <w:sz w:val="20"/>
                <w:szCs w:val="20"/>
                <w:lang w:val="sr-Cyrl-RS" w:eastAsia="en-GB"/>
              </w:rPr>
            </w:pPr>
          </w:p>
        </w:tc>
        <w:tc>
          <w:tcPr>
            <w:tcW w:w="482" w:type="pct"/>
            <w:vMerge/>
            <w:tcBorders>
              <w:top w:val="double" w:sz="6" w:space="0" w:color="auto"/>
              <w:left w:val="single" w:sz="8" w:space="0" w:color="auto"/>
              <w:bottom w:val="single" w:sz="8" w:space="0" w:color="000000"/>
              <w:right w:val="single" w:sz="8" w:space="0" w:color="auto"/>
            </w:tcBorders>
            <w:vAlign w:val="center"/>
            <w:hideMark/>
          </w:tcPr>
          <w:p w14:paraId="00C8B66C" w14:textId="77777777" w:rsidR="00743C4B" w:rsidRPr="00EF2F18" w:rsidRDefault="00743C4B" w:rsidP="00752CA0">
            <w:pPr>
              <w:spacing w:after="0"/>
              <w:rPr>
                <w:rFonts w:eastAsia="Times New Roman" w:cs="Times New Roman"/>
                <w:color w:val="000000"/>
                <w:sz w:val="20"/>
                <w:szCs w:val="20"/>
                <w:lang w:val="sr-Cyrl-RS" w:eastAsia="en-GB"/>
              </w:rPr>
            </w:pPr>
          </w:p>
        </w:tc>
        <w:tc>
          <w:tcPr>
            <w:tcW w:w="659" w:type="pct"/>
            <w:vMerge/>
            <w:tcBorders>
              <w:top w:val="double" w:sz="6" w:space="0" w:color="auto"/>
              <w:left w:val="single" w:sz="8" w:space="0" w:color="auto"/>
              <w:bottom w:val="single" w:sz="8" w:space="0" w:color="000000"/>
              <w:right w:val="single" w:sz="8" w:space="0" w:color="auto"/>
            </w:tcBorders>
            <w:vAlign w:val="center"/>
            <w:hideMark/>
          </w:tcPr>
          <w:p w14:paraId="2F0AF9D1" w14:textId="77777777" w:rsidR="00743C4B" w:rsidRPr="00EF2F18" w:rsidRDefault="00743C4B" w:rsidP="00752CA0">
            <w:pPr>
              <w:spacing w:after="0"/>
              <w:rPr>
                <w:rFonts w:eastAsia="Times New Roman" w:cs="Times New Roman"/>
                <w:color w:val="000000"/>
                <w:sz w:val="20"/>
                <w:szCs w:val="20"/>
                <w:lang w:val="sr-Cyrl-RS" w:eastAsia="en-GB"/>
              </w:rPr>
            </w:pPr>
          </w:p>
        </w:tc>
        <w:tc>
          <w:tcPr>
            <w:tcW w:w="365" w:type="pct"/>
            <w:vMerge/>
            <w:tcBorders>
              <w:top w:val="double" w:sz="6" w:space="0" w:color="auto"/>
              <w:left w:val="single" w:sz="8" w:space="0" w:color="auto"/>
              <w:bottom w:val="single" w:sz="8" w:space="0" w:color="000000"/>
              <w:right w:val="single" w:sz="8" w:space="0" w:color="auto"/>
            </w:tcBorders>
            <w:vAlign w:val="center"/>
            <w:hideMark/>
          </w:tcPr>
          <w:p w14:paraId="531EA3B0" w14:textId="77777777" w:rsidR="00743C4B" w:rsidRPr="00EF2F18" w:rsidRDefault="00743C4B" w:rsidP="00752CA0">
            <w:pPr>
              <w:spacing w:after="0"/>
              <w:rPr>
                <w:rFonts w:eastAsia="Times New Roman" w:cs="Times New Roman"/>
                <w:color w:val="000000"/>
                <w:sz w:val="20"/>
                <w:szCs w:val="20"/>
                <w:lang w:val="sr-Cyrl-RS" w:eastAsia="en-GB"/>
              </w:rPr>
            </w:pPr>
          </w:p>
        </w:tc>
        <w:tc>
          <w:tcPr>
            <w:tcW w:w="564" w:type="pct"/>
            <w:tcBorders>
              <w:top w:val="nil"/>
              <w:left w:val="nil"/>
              <w:bottom w:val="single" w:sz="8" w:space="0" w:color="auto"/>
              <w:right w:val="single" w:sz="8" w:space="0" w:color="auto"/>
            </w:tcBorders>
            <w:shd w:val="clear" w:color="000000" w:fill="FFF2CC"/>
            <w:hideMark/>
          </w:tcPr>
          <w:p w14:paraId="4A40D8B0" w14:textId="3A68E845" w:rsidR="00743C4B" w:rsidRPr="00EF2F18" w:rsidRDefault="00743C4B"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p>
        </w:tc>
        <w:tc>
          <w:tcPr>
            <w:tcW w:w="365" w:type="pct"/>
            <w:tcBorders>
              <w:top w:val="nil"/>
              <w:left w:val="nil"/>
              <w:bottom w:val="single" w:sz="8" w:space="0" w:color="auto"/>
              <w:right w:val="single" w:sz="8" w:space="0" w:color="auto"/>
            </w:tcBorders>
            <w:shd w:val="clear" w:color="000000" w:fill="FFF2CC"/>
            <w:hideMark/>
          </w:tcPr>
          <w:p w14:paraId="34C5A57D" w14:textId="4AAD161A" w:rsidR="00743C4B" w:rsidRPr="00EF2F18" w:rsidRDefault="00743C4B"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331" w:type="pct"/>
            <w:tcBorders>
              <w:top w:val="nil"/>
              <w:left w:val="nil"/>
              <w:bottom w:val="single" w:sz="8" w:space="0" w:color="auto"/>
              <w:right w:val="double" w:sz="6" w:space="0" w:color="auto"/>
            </w:tcBorders>
            <w:shd w:val="clear" w:color="000000" w:fill="FFF2CC"/>
            <w:hideMark/>
          </w:tcPr>
          <w:p w14:paraId="1D6A862D" w14:textId="0FDA5BEF" w:rsidR="00743C4B" w:rsidRPr="00EF2F18" w:rsidRDefault="00743C4B"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w:t>
            </w:r>
          </w:p>
        </w:tc>
      </w:tr>
      <w:tr w:rsidR="00743C4B" w:rsidRPr="00EF2F18" w14:paraId="5801BAD4" w14:textId="77777777" w:rsidTr="00743C4B">
        <w:trPr>
          <w:trHeight w:val="2124"/>
        </w:trPr>
        <w:tc>
          <w:tcPr>
            <w:tcW w:w="1224" w:type="pct"/>
            <w:tcBorders>
              <w:top w:val="nil"/>
              <w:left w:val="double" w:sz="6" w:space="0" w:color="auto"/>
              <w:bottom w:val="single" w:sz="8" w:space="0" w:color="auto"/>
              <w:right w:val="single" w:sz="8" w:space="0" w:color="auto"/>
            </w:tcBorders>
            <w:hideMark/>
          </w:tcPr>
          <w:p w14:paraId="0F0ECB3D"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lastRenderedPageBreak/>
              <w:t>6.1.3.1. Израда централнe базе података и централног веб портала за обавештавање јавности и електронски приступ документима у области процене утицаја на животну средину и стратешке процене утицаја на животну средину и о исходима поступака</w:t>
            </w:r>
          </w:p>
        </w:tc>
        <w:tc>
          <w:tcPr>
            <w:tcW w:w="505" w:type="pct"/>
            <w:tcBorders>
              <w:top w:val="nil"/>
              <w:left w:val="nil"/>
              <w:bottom w:val="single" w:sz="8" w:space="0" w:color="auto"/>
              <w:right w:val="single" w:sz="8" w:space="0" w:color="auto"/>
            </w:tcBorders>
            <w:hideMark/>
          </w:tcPr>
          <w:p w14:paraId="45978AA6"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505" w:type="pct"/>
            <w:tcBorders>
              <w:top w:val="nil"/>
              <w:left w:val="nil"/>
              <w:bottom w:val="single" w:sz="8" w:space="0" w:color="auto"/>
              <w:right w:val="single" w:sz="8" w:space="0" w:color="auto"/>
            </w:tcBorders>
            <w:hideMark/>
          </w:tcPr>
          <w:p w14:paraId="61AED194"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482" w:type="pct"/>
            <w:tcBorders>
              <w:top w:val="nil"/>
              <w:left w:val="nil"/>
              <w:bottom w:val="single" w:sz="8" w:space="0" w:color="auto"/>
              <w:right w:val="single" w:sz="8" w:space="0" w:color="auto"/>
            </w:tcBorders>
            <w:hideMark/>
          </w:tcPr>
          <w:p w14:paraId="0AAAFB5A"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659" w:type="pct"/>
            <w:tcBorders>
              <w:top w:val="nil"/>
              <w:left w:val="nil"/>
              <w:bottom w:val="single" w:sz="8" w:space="0" w:color="auto"/>
              <w:right w:val="single" w:sz="8" w:space="0" w:color="auto"/>
            </w:tcBorders>
            <w:hideMark/>
          </w:tcPr>
          <w:p w14:paraId="5C796457"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365" w:type="pct"/>
            <w:tcBorders>
              <w:top w:val="nil"/>
              <w:left w:val="nil"/>
              <w:bottom w:val="single" w:sz="8" w:space="0" w:color="auto"/>
              <w:right w:val="single" w:sz="8" w:space="0" w:color="auto"/>
            </w:tcBorders>
            <w:hideMark/>
          </w:tcPr>
          <w:p w14:paraId="380B43BC"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0404-560-0004-515</w:t>
            </w:r>
          </w:p>
          <w:p w14:paraId="23324CE1" w14:textId="77777777" w:rsidR="00743C4B" w:rsidRPr="00EF2F18" w:rsidRDefault="00743C4B" w:rsidP="00752CA0">
            <w:pPr>
              <w:spacing w:after="0"/>
              <w:rPr>
                <w:rFonts w:eastAsia="Times New Roman" w:cs="Times New Roman"/>
                <w:color w:val="000000"/>
                <w:sz w:val="20"/>
                <w:szCs w:val="20"/>
                <w:lang w:val="sr-Cyrl-RS" w:eastAsia="en-GB"/>
              </w:rPr>
            </w:pPr>
          </w:p>
          <w:p w14:paraId="5BBC1573"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0404-560-0002-423</w:t>
            </w:r>
          </w:p>
        </w:tc>
        <w:tc>
          <w:tcPr>
            <w:tcW w:w="564" w:type="pct"/>
            <w:tcBorders>
              <w:top w:val="nil"/>
              <w:left w:val="nil"/>
              <w:bottom w:val="single" w:sz="8" w:space="0" w:color="auto"/>
              <w:right w:val="single" w:sz="8" w:space="0" w:color="auto"/>
            </w:tcBorders>
            <w:hideMark/>
          </w:tcPr>
          <w:p w14:paraId="7B156948" w14:textId="77777777" w:rsidR="00743C4B" w:rsidRPr="00EF2F18" w:rsidRDefault="00743C4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p w14:paraId="7F74DE32" w14:textId="77777777" w:rsidR="00743C4B" w:rsidRPr="00EF2F18" w:rsidRDefault="00743C4B" w:rsidP="00752CA0">
            <w:pPr>
              <w:spacing w:after="0"/>
              <w:jc w:val="right"/>
              <w:rPr>
                <w:rFonts w:eastAsia="Times New Roman" w:cs="Times New Roman"/>
                <w:color w:val="000000"/>
                <w:sz w:val="20"/>
                <w:szCs w:val="20"/>
                <w:lang w:val="sr-Cyrl-RS" w:eastAsia="en-GB"/>
              </w:rPr>
            </w:pPr>
          </w:p>
          <w:p w14:paraId="417D2BDC" w14:textId="77777777" w:rsidR="00743C4B" w:rsidRPr="00EF2F18" w:rsidRDefault="00743C4B" w:rsidP="00752CA0">
            <w:pPr>
              <w:spacing w:after="0"/>
              <w:jc w:val="right"/>
              <w:rPr>
                <w:rFonts w:eastAsia="Times New Roman" w:cs="Times New Roman"/>
                <w:color w:val="000000"/>
                <w:sz w:val="20"/>
                <w:szCs w:val="20"/>
                <w:lang w:val="sr-Cyrl-RS" w:eastAsia="en-GB"/>
              </w:rPr>
            </w:pPr>
          </w:p>
          <w:p w14:paraId="7A086EF6" w14:textId="77777777" w:rsidR="00743C4B" w:rsidRPr="00EF2F18" w:rsidRDefault="00743C4B" w:rsidP="00752CA0">
            <w:pPr>
              <w:spacing w:after="0"/>
              <w:jc w:val="right"/>
              <w:rPr>
                <w:rFonts w:eastAsia="Times New Roman" w:cs="Times New Roman"/>
                <w:color w:val="000000"/>
                <w:sz w:val="20"/>
                <w:szCs w:val="20"/>
                <w:lang w:val="sr-Cyrl-RS" w:eastAsia="en-GB"/>
              </w:rPr>
            </w:pPr>
          </w:p>
          <w:p w14:paraId="3095BD9E" w14:textId="77777777" w:rsidR="00743C4B" w:rsidRPr="00EF2F18" w:rsidRDefault="00743C4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w:t>
            </w:r>
          </w:p>
        </w:tc>
        <w:tc>
          <w:tcPr>
            <w:tcW w:w="365" w:type="pct"/>
            <w:tcBorders>
              <w:top w:val="nil"/>
              <w:left w:val="nil"/>
              <w:bottom w:val="single" w:sz="8" w:space="0" w:color="auto"/>
              <w:right w:val="single" w:sz="8" w:space="0" w:color="auto"/>
            </w:tcBorders>
            <w:hideMark/>
          </w:tcPr>
          <w:p w14:paraId="7B981FC0" w14:textId="77777777" w:rsidR="00743C4B" w:rsidRPr="00EF2F18" w:rsidRDefault="00743C4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w:t>
            </w:r>
          </w:p>
          <w:p w14:paraId="16070249" w14:textId="77777777" w:rsidR="00743C4B" w:rsidRPr="00EF2F18" w:rsidRDefault="00743C4B" w:rsidP="00752CA0">
            <w:pPr>
              <w:spacing w:after="0"/>
              <w:jc w:val="right"/>
              <w:rPr>
                <w:rFonts w:eastAsia="Times New Roman" w:cs="Times New Roman"/>
                <w:color w:val="000000"/>
                <w:sz w:val="20"/>
                <w:szCs w:val="20"/>
                <w:lang w:val="sr-Cyrl-RS" w:eastAsia="en-GB"/>
              </w:rPr>
            </w:pPr>
          </w:p>
          <w:p w14:paraId="25EF75F9" w14:textId="77777777" w:rsidR="00743C4B" w:rsidRPr="00EF2F18" w:rsidRDefault="00743C4B" w:rsidP="00752CA0">
            <w:pPr>
              <w:spacing w:after="0"/>
              <w:jc w:val="right"/>
              <w:rPr>
                <w:rFonts w:eastAsia="Times New Roman" w:cs="Times New Roman"/>
                <w:color w:val="000000"/>
                <w:sz w:val="20"/>
                <w:szCs w:val="20"/>
                <w:lang w:val="sr-Cyrl-RS" w:eastAsia="en-GB"/>
              </w:rPr>
            </w:pPr>
          </w:p>
          <w:p w14:paraId="6E8DA7EC" w14:textId="77777777" w:rsidR="00743C4B" w:rsidRPr="00EF2F18" w:rsidRDefault="00743C4B" w:rsidP="00752CA0">
            <w:pPr>
              <w:spacing w:after="0"/>
              <w:jc w:val="right"/>
              <w:rPr>
                <w:rFonts w:eastAsia="Times New Roman" w:cs="Times New Roman"/>
                <w:color w:val="000000"/>
                <w:sz w:val="20"/>
                <w:szCs w:val="20"/>
                <w:lang w:val="sr-Cyrl-RS" w:eastAsia="en-GB"/>
              </w:rPr>
            </w:pPr>
          </w:p>
          <w:p w14:paraId="4B6FFA1A" w14:textId="77777777" w:rsidR="00743C4B" w:rsidRPr="00EF2F18" w:rsidRDefault="00743C4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w:t>
            </w:r>
          </w:p>
        </w:tc>
        <w:tc>
          <w:tcPr>
            <w:tcW w:w="331" w:type="pct"/>
            <w:tcBorders>
              <w:top w:val="nil"/>
              <w:left w:val="nil"/>
              <w:bottom w:val="single" w:sz="8" w:space="0" w:color="auto"/>
              <w:right w:val="double" w:sz="6" w:space="0" w:color="auto"/>
            </w:tcBorders>
            <w:hideMark/>
          </w:tcPr>
          <w:p w14:paraId="21DA8A8B" w14:textId="77777777" w:rsidR="00743C4B" w:rsidRPr="00EF2F18" w:rsidRDefault="00743C4B"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743C4B" w:rsidRPr="00EF2F18" w14:paraId="2A638A3F" w14:textId="77777777" w:rsidTr="00743C4B">
        <w:trPr>
          <w:trHeight w:val="1212"/>
        </w:trPr>
        <w:tc>
          <w:tcPr>
            <w:tcW w:w="1224" w:type="pct"/>
            <w:vMerge w:val="restart"/>
            <w:tcBorders>
              <w:top w:val="nil"/>
              <w:left w:val="double" w:sz="6" w:space="0" w:color="auto"/>
              <w:bottom w:val="single" w:sz="8" w:space="0" w:color="000000"/>
              <w:right w:val="single" w:sz="8" w:space="0" w:color="auto"/>
            </w:tcBorders>
            <w:hideMark/>
          </w:tcPr>
          <w:p w14:paraId="55694A08"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6.1.3.2. Организација консултативних радионица за ЈЛС уз подршку Министарства ради унапређења координације у области процене утицаја на животну средину и стратешке процене утицаја на животну средину, периодично</w:t>
            </w:r>
          </w:p>
        </w:tc>
        <w:tc>
          <w:tcPr>
            <w:tcW w:w="505" w:type="pct"/>
            <w:vMerge w:val="restart"/>
            <w:tcBorders>
              <w:top w:val="nil"/>
              <w:left w:val="single" w:sz="8" w:space="0" w:color="auto"/>
              <w:bottom w:val="single" w:sz="8" w:space="0" w:color="000000"/>
              <w:right w:val="single" w:sz="8" w:space="0" w:color="auto"/>
            </w:tcBorders>
            <w:hideMark/>
          </w:tcPr>
          <w:p w14:paraId="4349E7C7"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505" w:type="pct"/>
            <w:vMerge w:val="restart"/>
            <w:tcBorders>
              <w:top w:val="nil"/>
              <w:left w:val="single" w:sz="8" w:space="0" w:color="auto"/>
              <w:bottom w:val="single" w:sz="8" w:space="0" w:color="000000"/>
              <w:right w:val="single" w:sz="8" w:space="0" w:color="auto"/>
            </w:tcBorders>
            <w:hideMark/>
          </w:tcPr>
          <w:p w14:paraId="054D9317"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ЈЛС</w:t>
            </w:r>
          </w:p>
        </w:tc>
        <w:tc>
          <w:tcPr>
            <w:tcW w:w="482" w:type="pct"/>
            <w:vMerge w:val="restart"/>
            <w:tcBorders>
              <w:top w:val="nil"/>
              <w:left w:val="single" w:sz="8" w:space="0" w:color="auto"/>
              <w:bottom w:val="single" w:sz="8" w:space="0" w:color="000000"/>
              <w:right w:val="single" w:sz="8" w:space="0" w:color="auto"/>
            </w:tcBorders>
            <w:hideMark/>
          </w:tcPr>
          <w:p w14:paraId="0C108C03"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659" w:type="pct"/>
            <w:vMerge w:val="restart"/>
            <w:tcBorders>
              <w:top w:val="nil"/>
              <w:left w:val="single" w:sz="8" w:space="0" w:color="auto"/>
              <w:bottom w:val="single" w:sz="8" w:space="0" w:color="000000"/>
              <w:right w:val="single" w:sz="8" w:space="0" w:color="auto"/>
            </w:tcBorders>
            <w:hideMark/>
          </w:tcPr>
          <w:p w14:paraId="71D7FA78"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365" w:type="pct"/>
            <w:tcBorders>
              <w:top w:val="nil"/>
              <w:left w:val="nil"/>
              <w:bottom w:val="nil"/>
              <w:right w:val="single" w:sz="8" w:space="0" w:color="auto"/>
            </w:tcBorders>
            <w:hideMark/>
          </w:tcPr>
          <w:p w14:paraId="05B0D452"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564" w:type="pct"/>
            <w:vMerge w:val="restart"/>
            <w:tcBorders>
              <w:top w:val="nil"/>
              <w:left w:val="single" w:sz="8" w:space="0" w:color="auto"/>
              <w:bottom w:val="single" w:sz="8" w:space="0" w:color="000000"/>
              <w:right w:val="single" w:sz="8" w:space="0" w:color="auto"/>
            </w:tcBorders>
          </w:tcPr>
          <w:p w14:paraId="56BD7A46" w14:textId="31170F6B" w:rsidR="00743C4B" w:rsidRPr="00EF2F18" w:rsidRDefault="00743C4B" w:rsidP="00752CA0">
            <w:pPr>
              <w:spacing w:after="0"/>
              <w:jc w:val="right"/>
              <w:rPr>
                <w:rFonts w:eastAsia="Times New Roman" w:cs="Times New Roman"/>
                <w:color w:val="000000"/>
                <w:sz w:val="20"/>
                <w:szCs w:val="20"/>
                <w:lang w:val="sr-Cyrl-RS" w:eastAsia="en-GB"/>
              </w:rPr>
            </w:pPr>
          </w:p>
        </w:tc>
        <w:tc>
          <w:tcPr>
            <w:tcW w:w="365" w:type="pct"/>
            <w:vMerge w:val="restart"/>
            <w:tcBorders>
              <w:top w:val="nil"/>
              <w:left w:val="single" w:sz="8" w:space="0" w:color="auto"/>
              <w:bottom w:val="single" w:sz="8" w:space="0" w:color="000000"/>
              <w:right w:val="single" w:sz="8" w:space="0" w:color="auto"/>
            </w:tcBorders>
          </w:tcPr>
          <w:p w14:paraId="3E08B628" w14:textId="10128222" w:rsidR="00743C4B" w:rsidRPr="00EF2F18" w:rsidRDefault="00743C4B" w:rsidP="00752CA0">
            <w:pPr>
              <w:spacing w:after="0"/>
              <w:jc w:val="right"/>
              <w:rPr>
                <w:rFonts w:eastAsia="Times New Roman" w:cs="Times New Roman"/>
                <w:color w:val="000000"/>
                <w:sz w:val="20"/>
                <w:szCs w:val="20"/>
                <w:lang w:val="sr-Cyrl-RS" w:eastAsia="en-GB"/>
              </w:rPr>
            </w:pPr>
          </w:p>
        </w:tc>
        <w:tc>
          <w:tcPr>
            <w:tcW w:w="331" w:type="pct"/>
            <w:vMerge w:val="restart"/>
            <w:tcBorders>
              <w:top w:val="nil"/>
              <w:left w:val="single" w:sz="8" w:space="0" w:color="auto"/>
              <w:bottom w:val="single" w:sz="8" w:space="0" w:color="000000"/>
              <w:right w:val="double" w:sz="6" w:space="0" w:color="auto"/>
            </w:tcBorders>
          </w:tcPr>
          <w:p w14:paraId="6F40F77E" w14:textId="558FFE10" w:rsidR="00743C4B" w:rsidRPr="00EF2F18" w:rsidRDefault="00743C4B" w:rsidP="00752CA0">
            <w:pPr>
              <w:spacing w:after="0"/>
              <w:jc w:val="right"/>
              <w:rPr>
                <w:rFonts w:eastAsia="Times New Roman" w:cs="Times New Roman"/>
                <w:color w:val="000000"/>
                <w:sz w:val="20"/>
                <w:szCs w:val="20"/>
                <w:lang w:val="sr-Cyrl-RS" w:eastAsia="en-GB"/>
              </w:rPr>
            </w:pPr>
          </w:p>
        </w:tc>
      </w:tr>
      <w:tr w:rsidR="00743C4B" w:rsidRPr="00EF2F18" w14:paraId="4E6EA517" w14:textId="77777777" w:rsidTr="001664F3">
        <w:trPr>
          <w:trHeight w:val="312"/>
        </w:trPr>
        <w:tc>
          <w:tcPr>
            <w:tcW w:w="1224" w:type="pct"/>
            <w:vMerge/>
            <w:tcBorders>
              <w:top w:val="single" w:sz="4" w:space="0" w:color="auto"/>
              <w:left w:val="double" w:sz="6" w:space="0" w:color="auto"/>
              <w:bottom w:val="single" w:sz="8" w:space="0" w:color="000000"/>
              <w:right w:val="single" w:sz="8" w:space="0" w:color="auto"/>
            </w:tcBorders>
            <w:vAlign w:val="center"/>
            <w:hideMark/>
          </w:tcPr>
          <w:p w14:paraId="47BB54E6" w14:textId="77777777" w:rsidR="00743C4B" w:rsidRPr="00EF2F18" w:rsidRDefault="00743C4B" w:rsidP="00752CA0">
            <w:pPr>
              <w:spacing w:after="0"/>
              <w:rPr>
                <w:rFonts w:eastAsia="Times New Roman" w:cs="Times New Roman"/>
                <w:color w:val="000000"/>
                <w:sz w:val="20"/>
                <w:szCs w:val="20"/>
                <w:lang w:val="sr-Cyrl-RS" w:eastAsia="en-GB"/>
              </w:rPr>
            </w:pPr>
          </w:p>
        </w:tc>
        <w:tc>
          <w:tcPr>
            <w:tcW w:w="505" w:type="pct"/>
            <w:vMerge/>
            <w:tcBorders>
              <w:top w:val="single" w:sz="4" w:space="0" w:color="auto"/>
              <w:left w:val="single" w:sz="8" w:space="0" w:color="auto"/>
              <w:bottom w:val="single" w:sz="8" w:space="0" w:color="000000"/>
              <w:right w:val="single" w:sz="8" w:space="0" w:color="auto"/>
            </w:tcBorders>
            <w:vAlign w:val="center"/>
            <w:hideMark/>
          </w:tcPr>
          <w:p w14:paraId="78B4D65D" w14:textId="77777777" w:rsidR="00743C4B" w:rsidRPr="00EF2F18" w:rsidRDefault="00743C4B" w:rsidP="00752CA0">
            <w:pPr>
              <w:spacing w:after="0"/>
              <w:rPr>
                <w:rFonts w:eastAsia="Times New Roman" w:cs="Times New Roman"/>
                <w:color w:val="000000"/>
                <w:sz w:val="20"/>
                <w:szCs w:val="20"/>
                <w:lang w:val="sr-Cyrl-RS" w:eastAsia="en-GB"/>
              </w:rPr>
            </w:pPr>
          </w:p>
        </w:tc>
        <w:tc>
          <w:tcPr>
            <w:tcW w:w="505" w:type="pct"/>
            <w:vMerge/>
            <w:tcBorders>
              <w:top w:val="single" w:sz="4" w:space="0" w:color="auto"/>
              <w:left w:val="single" w:sz="8" w:space="0" w:color="auto"/>
              <w:bottom w:val="single" w:sz="8" w:space="0" w:color="000000"/>
              <w:right w:val="single" w:sz="8" w:space="0" w:color="auto"/>
            </w:tcBorders>
            <w:vAlign w:val="center"/>
            <w:hideMark/>
          </w:tcPr>
          <w:p w14:paraId="4C90B3AE" w14:textId="77777777" w:rsidR="00743C4B" w:rsidRPr="00EF2F18" w:rsidRDefault="00743C4B" w:rsidP="00752CA0">
            <w:pPr>
              <w:spacing w:after="0"/>
              <w:rPr>
                <w:rFonts w:eastAsia="Times New Roman" w:cs="Times New Roman"/>
                <w:color w:val="000000"/>
                <w:sz w:val="20"/>
                <w:szCs w:val="20"/>
                <w:lang w:val="sr-Cyrl-RS" w:eastAsia="en-GB"/>
              </w:rPr>
            </w:pPr>
          </w:p>
        </w:tc>
        <w:tc>
          <w:tcPr>
            <w:tcW w:w="482" w:type="pct"/>
            <w:vMerge/>
            <w:tcBorders>
              <w:top w:val="single" w:sz="4" w:space="0" w:color="auto"/>
              <w:left w:val="single" w:sz="8" w:space="0" w:color="auto"/>
              <w:bottom w:val="single" w:sz="8" w:space="0" w:color="000000"/>
              <w:right w:val="single" w:sz="8" w:space="0" w:color="auto"/>
            </w:tcBorders>
            <w:vAlign w:val="center"/>
            <w:hideMark/>
          </w:tcPr>
          <w:p w14:paraId="664A0AD3" w14:textId="77777777" w:rsidR="00743C4B" w:rsidRPr="00EF2F18" w:rsidRDefault="00743C4B" w:rsidP="00752CA0">
            <w:pPr>
              <w:spacing w:after="0"/>
              <w:rPr>
                <w:rFonts w:eastAsia="Times New Roman" w:cs="Times New Roman"/>
                <w:color w:val="000000"/>
                <w:sz w:val="20"/>
                <w:szCs w:val="20"/>
                <w:lang w:val="sr-Cyrl-RS" w:eastAsia="en-GB"/>
              </w:rPr>
            </w:pPr>
          </w:p>
        </w:tc>
        <w:tc>
          <w:tcPr>
            <w:tcW w:w="659" w:type="pct"/>
            <w:vMerge/>
            <w:tcBorders>
              <w:top w:val="single" w:sz="4" w:space="0" w:color="auto"/>
              <w:left w:val="single" w:sz="8" w:space="0" w:color="auto"/>
              <w:bottom w:val="single" w:sz="8" w:space="0" w:color="000000"/>
              <w:right w:val="single" w:sz="8" w:space="0" w:color="auto"/>
            </w:tcBorders>
            <w:vAlign w:val="center"/>
            <w:hideMark/>
          </w:tcPr>
          <w:p w14:paraId="418E4114" w14:textId="77777777" w:rsidR="00743C4B" w:rsidRPr="00EF2F18" w:rsidRDefault="00743C4B" w:rsidP="00752CA0">
            <w:pPr>
              <w:spacing w:after="0"/>
              <w:rPr>
                <w:rFonts w:eastAsia="Times New Roman" w:cs="Times New Roman"/>
                <w:color w:val="000000"/>
                <w:sz w:val="20"/>
                <w:szCs w:val="20"/>
                <w:lang w:val="sr-Cyrl-RS" w:eastAsia="en-GB"/>
              </w:rPr>
            </w:pPr>
          </w:p>
        </w:tc>
        <w:tc>
          <w:tcPr>
            <w:tcW w:w="365" w:type="pct"/>
            <w:tcBorders>
              <w:top w:val="single" w:sz="4" w:space="0" w:color="auto"/>
              <w:left w:val="nil"/>
              <w:bottom w:val="nil"/>
              <w:right w:val="single" w:sz="8" w:space="0" w:color="auto"/>
            </w:tcBorders>
            <w:hideMark/>
          </w:tcPr>
          <w:p w14:paraId="096382D9" w14:textId="0B08396F" w:rsidR="00743C4B" w:rsidRPr="00EF2F18" w:rsidRDefault="00743C4B" w:rsidP="00752CA0">
            <w:pPr>
              <w:spacing w:after="0"/>
              <w:rPr>
                <w:rFonts w:eastAsia="Times New Roman" w:cs="Times New Roman"/>
                <w:color w:val="000000"/>
                <w:sz w:val="20"/>
                <w:szCs w:val="20"/>
                <w:lang w:val="sr-Cyrl-RS" w:eastAsia="en-GB"/>
              </w:rPr>
            </w:pPr>
          </w:p>
        </w:tc>
        <w:tc>
          <w:tcPr>
            <w:tcW w:w="564" w:type="pct"/>
            <w:vMerge/>
            <w:tcBorders>
              <w:top w:val="single" w:sz="4" w:space="0" w:color="auto"/>
              <w:left w:val="single" w:sz="8" w:space="0" w:color="auto"/>
              <w:bottom w:val="single" w:sz="8" w:space="0" w:color="000000"/>
              <w:right w:val="single" w:sz="8" w:space="0" w:color="auto"/>
            </w:tcBorders>
            <w:vAlign w:val="center"/>
          </w:tcPr>
          <w:p w14:paraId="0305887D" w14:textId="77777777" w:rsidR="00743C4B" w:rsidRPr="00EF2F18" w:rsidRDefault="00743C4B" w:rsidP="00752CA0">
            <w:pPr>
              <w:spacing w:after="0"/>
              <w:jc w:val="right"/>
              <w:rPr>
                <w:rFonts w:eastAsia="Times New Roman" w:cs="Times New Roman"/>
                <w:color w:val="000000"/>
                <w:sz w:val="20"/>
                <w:szCs w:val="20"/>
                <w:lang w:val="sr-Cyrl-RS" w:eastAsia="en-GB"/>
              </w:rPr>
            </w:pPr>
          </w:p>
        </w:tc>
        <w:tc>
          <w:tcPr>
            <w:tcW w:w="365" w:type="pct"/>
            <w:vMerge/>
            <w:tcBorders>
              <w:top w:val="single" w:sz="4" w:space="0" w:color="auto"/>
              <w:left w:val="single" w:sz="8" w:space="0" w:color="auto"/>
              <w:bottom w:val="single" w:sz="8" w:space="0" w:color="000000"/>
              <w:right w:val="single" w:sz="8" w:space="0" w:color="auto"/>
            </w:tcBorders>
            <w:vAlign w:val="center"/>
          </w:tcPr>
          <w:p w14:paraId="0651E49A" w14:textId="77777777" w:rsidR="00743C4B" w:rsidRPr="00EF2F18" w:rsidRDefault="00743C4B" w:rsidP="00752CA0">
            <w:pPr>
              <w:spacing w:after="0"/>
              <w:jc w:val="right"/>
              <w:rPr>
                <w:rFonts w:eastAsia="Times New Roman" w:cs="Times New Roman"/>
                <w:color w:val="000000"/>
                <w:sz w:val="20"/>
                <w:szCs w:val="20"/>
                <w:lang w:val="sr-Cyrl-RS" w:eastAsia="en-GB"/>
              </w:rPr>
            </w:pPr>
          </w:p>
        </w:tc>
        <w:tc>
          <w:tcPr>
            <w:tcW w:w="331" w:type="pct"/>
            <w:vMerge/>
            <w:tcBorders>
              <w:top w:val="single" w:sz="4" w:space="0" w:color="auto"/>
              <w:left w:val="single" w:sz="8" w:space="0" w:color="auto"/>
              <w:bottom w:val="single" w:sz="8" w:space="0" w:color="000000"/>
              <w:right w:val="double" w:sz="6" w:space="0" w:color="auto"/>
            </w:tcBorders>
            <w:vAlign w:val="center"/>
          </w:tcPr>
          <w:p w14:paraId="0EBB9C7A" w14:textId="77777777" w:rsidR="00743C4B" w:rsidRPr="00EF2F18" w:rsidRDefault="00743C4B" w:rsidP="00752CA0">
            <w:pPr>
              <w:spacing w:after="0"/>
              <w:jc w:val="right"/>
              <w:rPr>
                <w:rFonts w:eastAsia="Times New Roman" w:cs="Times New Roman"/>
                <w:color w:val="000000"/>
                <w:sz w:val="20"/>
                <w:szCs w:val="20"/>
                <w:lang w:val="sr-Cyrl-RS" w:eastAsia="en-GB"/>
              </w:rPr>
            </w:pPr>
          </w:p>
        </w:tc>
      </w:tr>
      <w:tr w:rsidR="00743C4B" w:rsidRPr="00EF2F18" w14:paraId="578227EC" w14:textId="77777777" w:rsidTr="00FE6D0F">
        <w:trPr>
          <w:trHeight w:val="340"/>
        </w:trPr>
        <w:tc>
          <w:tcPr>
            <w:tcW w:w="1224" w:type="pct"/>
            <w:vMerge/>
            <w:tcBorders>
              <w:top w:val="nil"/>
              <w:left w:val="double" w:sz="6" w:space="0" w:color="auto"/>
              <w:bottom w:val="single" w:sz="8" w:space="0" w:color="000000"/>
              <w:right w:val="single" w:sz="8" w:space="0" w:color="auto"/>
            </w:tcBorders>
            <w:vAlign w:val="center"/>
            <w:hideMark/>
          </w:tcPr>
          <w:p w14:paraId="05C03777" w14:textId="77777777" w:rsidR="00743C4B" w:rsidRPr="00EF2F18" w:rsidRDefault="00743C4B" w:rsidP="00752CA0">
            <w:pPr>
              <w:spacing w:after="0"/>
              <w:rPr>
                <w:rFonts w:eastAsia="Times New Roman" w:cs="Times New Roman"/>
                <w:color w:val="000000"/>
                <w:sz w:val="20"/>
                <w:szCs w:val="20"/>
                <w:lang w:val="sr-Cyrl-RS" w:eastAsia="en-GB"/>
              </w:rPr>
            </w:pPr>
          </w:p>
        </w:tc>
        <w:tc>
          <w:tcPr>
            <w:tcW w:w="505" w:type="pct"/>
            <w:vMerge/>
            <w:tcBorders>
              <w:top w:val="nil"/>
              <w:left w:val="single" w:sz="8" w:space="0" w:color="auto"/>
              <w:bottom w:val="single" w:sz="8" w:space="0" w:color="000000"/>
              <w:right w:val="single" w:sz="8" w:space="0" w:color="auto"/>
            </w:tcBorders>
            <w:vAlign w:val="center"/>
            <w:hideMark/>
          </w:tcPr>
          <w:p w14:paraId="3A1C92C4" w14:textId="77777777" w:rsidR="00743C4B" w:rsidRPr="00EF2F18" w:rsidRDefault="00743C4B" w:rsidP="00752CA0">
            <w:pPr>
              <w:spacing w:after="0"/>
              <w:rPr>
                <w:rFonts w:eastAsia="Times New Roman" w:cs="Times New Roman"/>
                <w:color w:val="000000"/>
                <w:sz w:val="20"/>
                <w:szCs w:val="20"/>
                <w:lang w:val="sr-Cyrl-RS" w:eastAsia="en-GB"/>
              </w:rPr>
            </w:pPr>
          </w:p>
        </w:tc>
        <w:tc>
          <w:tcPr>
            <w:tcW w:w="505" w:type="pct"/>
            <w:vMerge/>
            <w:tcBorders>
              <w:top w:val="nil"/>
              <w:left w:val="single" w:sz="8" w:space="0" w:color="auto"/>
              <w:bottom w:val="single" w:sz="8" w:space="0" w:color="000000"/>
              <w:right w:val="single" w:sz="8" w:space="0" w:color="auto"/>
            </w:tcBorders>
            <w:vAlign w:val="center"/>
            <w:hideMark/>
          </w:tcPr>
          <w:p w14:paraId="75374E6E" w14:textId="77777777" w:rsidR="00743C4B" w:rsidRPr="00EF2F18" w:rsidRDefault="00743C4B" w:rsidP="00752CA0">
            <w:pPr>
              <w:spacing w:after="0"/>
              <w:rPr>
                <w:rFonts w:eastAsia="Times New Roman" w:cs="Times New Roman"/>
                <w:color w:val="000000"/>
                <w:sz w:val="20"/>
                <w:szCs w:val="20"/>
                <w:lang w:val="sr-Cyrl-RS" w:eastAsia="en-GB"/>
              </w:rPr>
            </w:pPr>
          </w:p>
        </w:tc>
        <w:tc>
          <w:tcPr>
            <w:tcW w:w="482" w:type="pct"/>
            <w:vMerge/>
            <w:tcBorders>
              <w:top w:val="nil"/>
              <w:left w:val="single" w:sz="8" w:space="0" w:color="auto"/>
              <w:bottom w:val="single" w:sz="8" w:space="0" w:color="000000"/>
              <w:right w:val="single" w:sz="8" w:space="0" w:color="auto"/>
            </w:tcBorders>
            <w:vAlign w:val="center"/>
            <w:hideMark/>
          </w:tcPr>
          <w:p w14:paraId="65C8BB02" w14:textId="77777777" w:rsidR="00743C4B" w:rsidRPr="00EF2F18" w:rsidRDefault="00743C4B" w:rsidP="00752CA0">
            <w:pPr>
              <w:spacing w:after="0"/>
              <w:rPr>
                <w:rFonts w:eastAsia="Times New Roman" w:cs="Times New Roman"/>
                <w:color w:val="000000"/>
                <w:sz w:val="20"/>
                <w:szCs w:val="20"/>
                <w:lang w:val="sr-Cyrl-RS" w:eastAsia="en-GB"/>
              </w:rPr>
            </w:pPr>
          </w:p>
        </w:tc>
        <w:tc>
          <w:tcPr>
            <w:tcW w:w="659" w:type="pct"/>
            <w:vMerge/>
            <w:tcBorders>
              <w:top w:val="nil"/>
              <w:left w:val="single" w:sz="8" w:space="0" w:color="auto"/>
              <w:bottom w:val="single" w:sz="8" w:space="0" w:color="000000"/>
              <w:right w:val="single" w:sz="8" w:space="0" w:color="auto"/>
            </w:tcBorders>
            <w:vAlign w:val="center"/>
            <w:hideMark/>
          </w:tcPr>
          <w:p w14:paraId="60BB2F0A" w14:textId="77777777" w:rsidR="00743C4B" w:rsidRPr="00EF2F18" w:rsidRDefault="00743C4B" w:rsidP="00752CA0">
            <w:pPr>
              <w:spacing w:after="0"/>
              <w:rPr>
                <w:rFonts w:eastAsia="Times New Roman" w:cs="Times New Roman"/>
                <w:color w:val="000000"/>
                <w:sz w:val="20"/>
                <w:szCs w:val="20"/>
                <w:lang w:val="sr-Cyrl-RS" w:eastAsia="en-GB"/>
              </w:rPr>
            </w:pPr>
          </w:p>
        </w:tc>
        <w:tc>
          <w:tcPr>
            <w:tcW w:w="365" w:type="pct"/>
            <w:tcBorders>
              <w:top w:val="nil"/>
              <w:left w:val="nil"/>
              <w:bottom w:val="single" w:sz="8" w:space="0" w:color="auto"/>
              <w:right w:val="single" w:sz="8" w:space="0" w:color="auto"/>
            </w:tcBorders>
            <w:hideMark/>
          </w:tcPr>
          <w:p w14:paraId="08088161"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 ЈЛС</w:t>
            </w:r>
          </w:p>
        </w:tc>
        <w:tc>
          <w:tcPr>
            <w:tcW w:w="564" w:type="pct"/>
            <w:vMerge/>
            <w:tcBorders>
              <w:top w:val="nil"/>
              <w:left w:val="single" w:sz="8" w:space="0" w:color="auto"/>
              <w:bottom w:val="single" w:sz="8" w:space="0" w:color="000000"/>
              <w:right w:val="single" w:sz="8" w:space="0" w:color="auto"/>
            </w:tcBorders>
            <w:vAlign w:val="center"/>
          </w:tcPr>
          <w:p w14:paraId="568B745F" w14:textId="77777777" w:rsidR="00743C4B" w:rsidRPr="00EF2F18" w:rsidRDefault="00743C4B" w:rsidP="00752CA0">
            <w:pPr>
              <w:spacing w:after="0"/>
              <w:jc w:val="right"/>
              <w:rPr>
                <w:rFonts w:eastAsia="Times New Roman" w:cs="Times New Roman"/>
                <w:color w:val="000000"/>
                <w:sz w:val="20"/>
                <w:szCs w:val="20"/>
                <w:lang w:val="sr-Cyrl-RS" w:eastAsia="en-GB"/>
              </w:rPr>
            </w:pPr>
          </w:p>
        </w:tc>
        <w:tc>
          <w:tcPr>
            <w:tcW w:w="365" w:type="pct"/>
            <w:vMerge/>
            <w:tcBorders>
              <w:top w:val="nil"/>
              <w:left w:val="single" w:sz="8" w:space="0" w:color="auto"/>
              <w:bottom w:val="single" w:sz="8" w:space="0" w:color="000000"/>
              <w:right w:val="single" w:sz="8" w:space="0" w:color="auto"/>
            </w:tcBorders>
            <w:vAlign w:val="center"/>
          </w:tcPr>
          <w:p w14:paraId="3EFC4A89" w14:textId="77777777" w:rsidR="00743C4B" w:rsidRPr="00EF2F18" w:rsidRDefault="00743C4B" w:rsidP="00752CA0">
            <w:pPr>
              <w:spacing w:after="0"/>
              <w:jc w:val="right"/>
              <w:rPr>
                <w:rFonts w:eastAsia="Times New Roman" w:cs="Times New Roman"/>
                <w:color w:val="000000"/>
                <w:sz w:val="20"/>
                <w:szCs w:val="20"/>
                <w:lang w:val="sr-Cyrl-RS" w:eastAsia="en-GB"/>
              </w:rPr>
            </w:pPr>
          </w:p>
        </w:tc>
        <w:tc>
          <w:tcPr>
            <w:tcW w:w="331" w:type="pct"/>
            <w:vMerge/>
            <w:tcBorders>
              <w:top w:val="nil"/>
              <w:left w:val="single" w:sz="8" w:space="0" w:color="auto"/>
              <w:bottom w:val="single" w:sz="8" w:space="0" w:color="000000"/>
              <w:right w:val="double" w:sz="6" w:space="0" w:color="auto"/>
            </w:tcBorders>
            <w:vAlign w:val="center"/>
          </w:tcPr>
          <w:p w14:paraId="6FC4446E" w14:textId="77777777" w:rsidR="00743C4B" w:rsidRPr="00EF2F18" w:rsidRDefault="00743C4B" w:rsidP="00752CA0">
            <w:pPr>
              <w:spacing w:after="0"/>
              <w:jc w:val="right"/>
              <w:rPr>
                <w:rFonts w:eastAsia="Times New Roman" w:cs="Times New Roman"/>
                <w:color w:val="000000"/>
                <w:sz w:val="20"/>
                <w:szCs w:val="20"/>
                <w:lang w:val="sr-Cyrl-RS" w:eastAsia="en-GB"/>
              </w:rPr>
            </w:pPr>
          </w:p>
        </w:tc>
      </w:tr>
      <w:tr w:rsidR="00743C4B" w:rsidRPr="00EF2F18" w14:paraId="617AFBEF" w14:textId="77777777" w:rsidTr="00FE6D0F">
        <w:trPr>
          <w:trHeight w:val="1177"/>
        </w:trPr>
        <w:tc>
          <w:tcPr>
            <w:tcW w:w="1224" w:type="pct"/>
            <w:tcBorders>
              <w:top w:val="nil"/>
              <w:left w:val="double" w:sz="6" w:space="0" w:color="auto"/>
              <w:bottom w:val="single" w:sz="8" w:space="0" w:color="auto"/>
              <w:right w:val="single" w:sz="8" w:space="0" w:color="auto"/>
            </w:tcBorders>
            <w:hideMark/>
          </w:tcPr>
          <w:p w14:paraId="37425B3B" w14:textId="77777777" w:rsidR="00743C4B" w:rsidRPr="00EF2F18" w:rsidRDefault="00743C4B" w:rsidP="00FC45E4">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6.1.3.3. Повећање броја запослених који раде на пословима стратешке процене и процене утицаја на животну средину на републичком нивоу</w:t>
            </w:r>
          </w:p>
        </w:tc>
        <w:tc>
          <w:tcPr>
            <w:tcW w:w="505" w:type="pct"/>
            <w:tcBorders>
              <w:top w:val="nil"/>
              <w:left w:val="nil"/>
              <w:bottom w:val="single" w:sz="8" w:space="0" w:color="auto"/>
              <w:right w:val="single" w:sz="8" w:space="0" w:color="auto"/>
            </w:tcBorders>
            <w:hideMark/>
          </w:tcPr>
          <w:p w14:paraId="07B2BFC0" w14:textId="2D704FFF" w:rsidR="00743C4B" w:rsidRPr="00EF2F18" w:rsidRDefault="00743C4B" w:rsidP="00FC45E4">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505" w:type="pct"/>
            <w:tcBorders>
              <w:top w:val="nil"/>
              <w:left w:val="nil"/>
              <w:bottom w:val="single" w:sz="8" w:space="0" w:color="auto"/>
              <w:right w:val="single" w:sz="8" w:space="0" w:color="auto"/>
            </w:tcBorders>
            <w:hideMark/>
          </w:tcPr>
          <w:p w14:paraId="6F72F001" w14:textId="77777777" w:rsidR="00743C4B" w:rsidRPr="00EF2F18" w:rsidRDefault="00743C4B" w:rsidP="00FC45E4">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w:t>
            </w:r>
          </w:p>
        </w:tc>
        <w:tc>
          <w:tcPr>
            <w:tcW w:w="482" w:type="pct"/>
            <w:tcBorders>
              <w:top w:val="nil"/>
              <w:left w:val="nil"/>
              <w:bottom w:val="single" w:sz="8" w:space="0" w:color="auto"/>
              <w:right w:val="single" w:sz="8" w:space="0" w:color="auto"/>
            </w:tcBorders>
            <w:hideMark/>
          </w:tcPr>
          <w:p w14:paraId="276E4C9A" w14:textId="6479A60F" w:rsidR="00743C4B" w:rsidRPr="00EF2F18" w:rsidRDefault="00942F6A" w:rsidP="00FC45E4">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3</w:t>
            </w:r>
            <w:r w:rsidR="00743C4B" w:rsidRPr="00EF2F18">
              <w:rPr>
                <w:rFonts w:eastAsia="Times New Roman" w:cs="Times New Roman"/>
                <w:sz w:val="20"/>
                <w:szCs w:val="20"/>
                <w:lang w:val="sr-Cyrl-RS" w:eastAsia="en-GB"/>
              </w:rPr>
              <w:t>. квартал 2026.</w:t>
            </w:r>
          </w:p>
        </w:tc>
        <w:tc>
          <w:tcPr>
            <w:tcW w:w="659" w:type="pct"/>
            <w:tcBorders>
              <w:top w:val="nil"/>
              <w:left w:val="nil"/>
              <w:bottom w:val="single" w:sz="8" w:space="0" w:color="auto"/>
              <w:right w:val="single" w:sz="8" w:space="0" w:color="auto"/>
            </w:tcBorders>
            <w:hideMark/>
          </w:tcPr>
          <w:p w14:paraId="4D7D7BB3" w14:textId="7C2BE529" w:rsidR="00743C4B" w:rsidRPr="00EF2F18" w:rsidRDefault="00743C4B" w:rsidP="00FC45E4">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365" w:type="pct"/>
            <w:tcBorders>
              <w:top w:val="nil"/>
              <w:left w:val="nil"/>
              <w:bottom w:val="single" w:sz="8" w:space="0" w:color="auto"/>
              <w:right w:val="single" w:sz="8" w:space="0" w:color="auto"/>
            </w:tcBorders>
            <w:hideMark/>
          </w:tcPr>
          <w:p w14:paraId="7DE60E67" w14:textId="266F5B6A" w:rsidR="00743C4B" w:rsidRPr="00EF2F18" w:rsidRDefault="00743C4B" w:rsidP="00053FD8">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564" w:type="pct"/>
            <w:tcBorders>
              <w:top w:val="nil"/>
              <w:left w:val="nil"/>
              <w:bottom w:val="single" w:sz="8" w:space="0" w:color="auto"/>
              <w:right w:val="single" w:sz="8" w:space="0" w:color="auto"/>
            </w:tcBorders>
          </w:tcPr>
          <w:p w14:paraId="5048FDC0" w14:textId="4C640C02" w:rsidR="00743C4B" w:rsidRPr="00EF2F18" w:rsidRDefault="00743C4B" w:rsidP="00FC45E4">
            <w:pPr>
              <w:spacing w:after="0"/>
              <w:jc w:val="right"/>
              <w:rPr>
                <w:rFonts w:eastAsia="Times New Roman" w:cs="Times New Roman"/>
                <w:color w:val="000000"/>
                <w:sz w:val="20"/>
                <w:szCs w:val="20"/>
                <w:lang w:val="sr-Cyrl-RS" w:eastAsia="en-GB"/>
              </w:rPr>
            </w:pPr>
          </w:p>
        </w:tc>
        <w:tc>
          <w:tcPr>
            <w:tcW w:w="365" w:type="pct"/>
            <w:tcBorders>
              <w:top w:val="nil"/>
              <w:left w:val="nil"/>
              <w:bottom w:val="single" w:sz="8" w:space="0" w:color="auto"/>
              <w:right w:val="single" w:sz="8" w:space="0" w:color="auto"/>
            </w:tcBorders>
          </w:tcPr>
          <w:p w14:paraId="1B3B8FC9" w14:textId="2C1212B2" w:rsidR="00743C4B" w:rsidRPr="00EF2F18" w:rsidRDefault="00743C4B" w:rsidP="00FC45E4">
            <w:pPr>
              <w:spacing w:after="0"/>
              <w:jc w:val="right"/>
              <w:rPr>
                <w:rFonts w:eastAsia="Times New Roman" w:cs="Times New Roman"/>
                <w:color w:val="000000"/>
                <w:sz w:val="20"/>
                <w:szCs w:val="20"/>
                <w:lang w:val="sr-Cyrl-RS" w:eastAsia="en-GB"/>
              </w:rPr>
            </w:pPr>
          </w:p>
        </w:tc>
        <w:tc>
          <w:tcPr>
            <w:tcW w:w="331" w:type="pct"/>
            <w:tcBorders>
              <w:top w:val="nil"/>
              <w:left w:val="nil"/>
              <w:bottom w:val="single" w:sz="8" w:space="0" w:color="auto"/>
              <w:right w:val="double" w:sz="6" w:space="0" w:color="auto"/>
            </w:tcBorders>
          </w:tcPr>
          <w:p w14:paraId="5707CE1C" w14:textId="00969656" w:rsidR="00743C4B" w:rsidRPr="00EF2F18" w:rsidRDefault="00743C4B" w:rsidP="00FC45E4">
            <w:pPr>
              <w:spacing w:after="0"/>
              <w:jc w:val="right"/>
              <w:rPr>
                <w:rFonts w:eastAsia="Times New Roman" w:cs="Times New Roman"/>
                <w:color w:val="000000"/>
                <w:sz w:val="20"/>
                <w:szCs w:val="20"/>
                <w:lang w:val="sr-Cyrl-RS" w:eastAsia="en-GB"/>
              </w:rPr>
            </w:pPr>
          </w:p>
        </w:tc>
      </w:tr>
      <w:tr w:rsidR="00743C4B" w:rsidRPr="00EF2F18" w14:paraId="0C89F701" w14:textId="77777777" w:rsidTr="00C70271">
        <w:trPr>
          <w:trHeight w:val="973"/>
        </w:trPr>
        <w:tc>
          <w:tcPr>
            <w:tcW w:w="1224" w:type="pct"/>
            <w:tcBorders>
              <w:top w:val="nil"/>
              <w:left w:val="double" w:sz="6" w:space="0" w:color="auto"/>
              <w:bottom w:val="double" w:sz="6" w:space="0" w:color="auto"/>
              <w:right w:val="single" w:sz="8" w:space="0" w:color="auto"/>
            </w:tcBorders>
            <w:hideMark/>
          </w:tcPr>
          <w:p w14:paraId="461FF204"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 xml:space="preserve">6.1.3.4. Израда смерница/упутстава/приручника за спровођење стратешке процене и процене утицаја на животну средину, укључујући и oцену прихватљивости </w:t>
            </w:r>
          </w:p>
        </w:tc>
        <w:tc>
          <w:tcPr>
            <w:tcW w:w="505" w:type="pct"/>
            <w:tcBorders>
              <w:top w:val="nil"/>
              <w:left w:val="nil"/>
              <w:bottom w:val="double" w:sz="6" w:space="0" w:color="auto"/>
              <w:right w:val="single" w:sz="8" w:space="0" w:color="auto"/>
            </w:tcBorders>
            <w:hideMark/>
          </w:tcPr>
          <w:p w14:paraId="52945666"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505" w:type="pct"/>
            <w:tcBorders>
              <w:top w:val="nil"/>
              <w:left w:val="nil"/>
              <w:bottom w:val="double" w:sz="6" w:space="0" w:color="auto"/>
              <w:right w:val="single" w:sz="8" w:space="0" w:color="auto"/>
            </w:tcBorders>
            <w:hideMark/>
          </w:tcPr>
          <w:p w14:paraId="1FC363D1"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ЗЗПС, ПЗЗП</w:t>
            </w:r>
          </w:p>
        </w:tc>
        <w:tc>
          <w:tcPr>
            <w:tcW w:w="482" w:type="pct"/>
            <w:tcBorders>
              <w:top w:val="nil"/>
              <w:left w:val="nil"/>
              <w:bottom w:val="double" w:sz="6" w:space="0" w:color="auto"/>
              <w:right w:val="single" w:sz="8" w:space="0" w:color="auto"/>
            </w:tcBorders>
            <w:hideMark/>
          </w:tcPr>
          <w:p w14:paraId="25D91DD2" w14:textId="6332C678"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квартал 2026.</w:t>
            </w:r>
          </w:p>
        </w:tc>
        <w:tc>
          <w:tcPr>
            <w:tcW w:w="659" w:type="pct"/>
            <w:tcBorders>
              <w:top w:val="nil"/>
              <w:left w:val="nil"/>
              <w:bottom w:val="double" w:sz="6" w:space="0" w:color="auto"/>
              <w:right w:val="single" w:sz="8" w:space="0" w:color="auto"/>
            </w:tcBorders>
            <w:hideMark/>
          </w:tcPr>
          <w:p w14:paraId="1559D36A"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p w14:paraId="32103FFB" w14:textId="77777777" w:rsidR="00743C4B" w:rsidRPr="00EF2F18" w:rsidRDefault="00743C4B" w:rsidP="00752CA0">
            <w:pPr>
              <w:spacing w:after="0"/>
              <w:rPr>
                <w:rFonts w:eastAsia="Times New Roman" w:cs="Times New Roman"/>
                <w:color w:val="000000"/>
                <w:sz w:val="20"/>
                <w:szCs w:val="20"/>
                <w:lang w:val="sr-Cyrl-RS" w:eastAsia="en-GB"/>
              </w:rPr>
            </w:pPr>
          </w:p>
          <w:p w14:paraId="46A88D8F" w14:textId="77777777" w:rsidR="00743C4B" w:rsidRPr="00EF2F18" w:rsidRDefault="00743C4B" w:rsidP="00752CA0">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Донаторска средства (ЕУ ИПА)</w:t>
            </w:r>
          </w:p>
          <w:p w14:paraId="34735C0C" w14:textId="76221EC8" w:rsidR="00743C4B" w:rsidRPr="00EF2F18" w:rsidRDefault="00743C4B"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(сре</w:t>
            </w:r>
            <w:r w:rsidR="006722AE">
              <w:rPr>
                <w:rFonts w:eastAsia="Times New Roman" w:cs="Times New Roman"/>
                <w:color w:val="000000"/>
                <w:sz w:val="20"/>
                <w:szCs w:val="20"/>
                <w:lang w:val="sr-Cyrl-RS" w:eastAsia="sr-Cyrl-RS"/>
              </w:rPr>
              <w:t>дства не пролазе кроз буџет РС)</w:t>
            </w:r>
          </w:p>
        </w:tc>
        <w:tc>
          <w:tcPr>
            <w:tcW w:w="365" w:type="pct"/>
            <w:tcBorders>
              <w:top w:val="nil"/>
              <w:left w:val="nil"/>
              <w:bottom w:val="double" w:sz="6" w:space="0" w:color="auto"/>
              <w:right w:val="single" w:sz="8" w:space="0" w:color="auto"/>
            </w:tcBorders>
            <w:hideMark/>
          </w:tcPr>
          <w:p w14:paraId="6BE4F4BB"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p w14:paraId="03AC0A7A" w14:textId="77777777" w:rsidR="00743C4B" w:rsidRPr="00EF2F18" w:rsidRDefault="00743C4B" w:rsidP="00752CA0">
            <w:pPr>
              <w:spacing w:after="0"/>
              <w:rPr>
                <w:rFonts w:eastAsia="Times New Roman" w:cs="Times New Roman"/>
                <w:color w:val="000000"/>
                <w:sz w:val="20"/>
                <w:szCs w:val="20"/>
                <w:lang w:val="sr-Cyrl-RS" w:eastAsia="en-GB"/>
              </w:rPr>
            </w:pPr>
          </w:p>
          <w:p w14:paraId="209D2FDB" w14:textId="77777777" w:rsidR="00743C4B" w:rsidRPr="00EF2F18" w:rsidRDefault="00743C4B" w:rsidP="00752CA0">
            <w:pPr>
              <w:spacing w:after="0"/>
              <w:rPr>
                <w:rFonts w:eastAsia="Times New Roman" w:cs="Times New Roman"/>
                <w:color w:val="000000"/>
                <w:sz w:val="20"/>
                <w:szCs w:val="20"/>
                <w:lang w:val="sr-Cyrl-RS" w:eastAsia="en-GB"/>
              </w:rPr>
            </w:pPr>
          </w:p>
          <w:p w14:paraId="489F065C" w14:textId="3874A785" w:rsidR="00743C4B" w:rsidRPr="00EF2F18" w:rsidRDefault="00743C4B" w:rsidP="00752CA0">
            <w:pPr>
              <w:spacing w:after="0"/>
              <w:rPr>
                <w:rFonts w:eastAsia="Times New Roman" w:cs="Times New Roman"/>
                <w:color w:val="000000"/>
                <w:sz w:val="20"/>
                <w:szCs w:val="20"/>
                <w:lang w:val="sr-Cyrl-RS" w:eastAsia="en-GB"/>
              </w:rPr>
            </w:pPr>
          </w:p>
        </w:tc>
        <w:tc>
          <w:tcPr>
            <w:tcW w:w="564" w:type="pct"/>
            <w:tcBorders>
              <w:top w:val="nil"/>
              <w:left w:val="nil"/>
              <w:bottom w:val="double" w:sz="6" w:space="0" w:color="auto"/>
              <w:right w:val="single" w:sz="8" w:space="0" w:color="auto"/>
            </w:tcBorders>
          </w:tcPr>
          <w:p w14:paraId="4EC12331" w14:textId="1EB6170E" w:rsidR="00743C4B" w:rsidRPr="00EF2F18" w:rsidRDefault="00743C4B" w:rsidP="00752CA0">
            <w:pPr>
              <w:spacing w:after="0"/>
              <w:jc w:val="right"/>
              <w:rPr>
                <w:rFonts w:eastAsia="Times New Roman" w:cs="Times New Roman"/>
                <w:color w:val="000000"/>
                <w:sz w:val="20"/>
                <w:szCs w:val="20"/>
                <w:lang w:val="sr-Cyrl-RS" w:eastAsia="en-GB"/>
              </w:rPr>
            </w:pPr>
          </w:p>
        </w:tc>
        <w:tc>
          <w:tcPr>
            <w:tcW w:w="365" w:type="pct"/>
            <w:tcBorders>
              <w:top w:val="nil"/>
              <w:left w:val="nil"/>
              <w:bottom w:val="double" w:sz="6" w:space="0" w:color="auto"/>
              <w:right w:val="single" w:sz="8" w:space="0" w:color="auto"/>
            </w:tcBorders>
          </w:tcPr>
          <w:p w14:paraId="626FEE8F" w14:textId="00AD983D" w:rsidR="00743C4B" w:rsidRPr="00EF2F18" w:rsidRDefault="00743C4B" w:rsidP="00752CA0">
            <w:pPr>
              <w:spacing w:after="0"/>
              <w:jc w:val="right"/>
              <w:rPr>
                <w:rFonts w:eastAsia="Times New Roman" w:cs="Times New Roman"/>
                <w:color w:val="000000"/>
                <w:sz w:val="20"/>
                <w:szCs w:val="20"/>
                <w:lang w:val="sr-Cyrl-RS" w:eastAsia="en-GB"/>
              </w:rPr>
            </w:pPr>
          </w:p>
        </w:tc>
        <w:tc>
          <w:tcPr>
            <w:tcW w:w="331" w:type="pct"/>
            <w:tcBorders>
              <w:top w:val="nil"/>
              <w:left w:val="nil"/>
              <w:bottom w:val="double" w:sz="6" w:space="0" w:color="auto"/>
              <w:right w:val="double" w:sz="6" w:space="0" w:color="auto"/>
            </w:tcBorders>
          </w:tcPr>
          <w:p w14:paraId="7B1FC308" w14:textId="2F0C29D5" w:rsidR="00743C4B" w:rsidRPr="00EF2F18" w:rsidRDefault="00743C4B" w:rsidP="00752CA0">
            <w:pPr>
              <w:spacing w:after="0"/>
              <w:jc w:val="right"/>
              <w:rPr>
                <w:rFonts w:eastAsia="Times New Roman" w:cs="Times New Roman"/>
                <w:color w:val="000000"/>
                <w:sz w:val="20"/>
                <w:szCs w:val="20"/>
                <w:lang w:val="sr-Cyrl-RS" w:eastAsia="en-GB"/>
              </w:rPr>
            </w:pPr>
          </w:p>
        </w:tc>
      </w:tr>
    </w:tbl>
    <w:p w14:paraId="23D5A6D3" w14:textId="3F702781" w:rsidR="007D7243" w:rsidRPr="00EF2F18" w:rsidRDefault="00573FE5"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6DBDE530" w14:textId="77777777" w:rsidR="00630969" w:rsidRPr="00EF2F18" w:rsidRDefault="00630969" w:rsidP="007D7243">
      <w:pPr>
        <w:rPr>
          <w:rFonts w:cs="Times New Roman"/>
          <w:sz w:val="20"/>
          <w:szCs w:val="20"/>
          <w:lang w:val="sr-Cyrl-RS"/>
        </w:rPr>
      </w:pPr>
    </w:p>
    <w:tbl>
      <w:tblPr>
        <w:tblW w:w="13567" w:type="dxa"/>
        <w:tblLook w:val="04A0" w:firstRow="1" w:lastRow="0" w:firstColumn="1" w:lastColumn="0" w:noHBand="0" w:noVBand="1"/>
      </w:tblPr>
      <w:tblGrid>
        <w:gridCol w:w="3320"/>
        <w:gridCol w:w="1280"/>
        <w:gridCol w:w="1280"/>
        <w:gridCol w:w="1000"/>
        <w:gridCol w:w="1000"/>
        <w:gridCol w:w="1520"/>
        <w:gridCol w:w="1377"/>
        <w:gridCol w:w="1350"/>
        <w:gridCol w:w="1440"/>
      </w:tblGrid>
      <w:tr w:rsidR="007D7243" w:rsidRPr="00EF2F18" w14:paraId="48D56A71" w14:textId="77777777" w:rsidTr="00EF0900">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66DAEBD"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6.1.4: Подршка развоју и примени научних и иновативних пројеката за зелену транзицију</w:t>
            </w:r>
          </w:p>
        </w:tc>
      </w:tr>
      <w:tr w:rsidR="007D7243" w:rsidRPr="00EF2F18" w14:paraId="35BF3BC9" w14:textId="77777777" w:rsidTr="00EF0900">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E614C77"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lastRenderedPageBreak/>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6C95D996" w14:textId="77777777" w:rsidTr="00EF0900">
        <w:trPr>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04655D99" w14:textId="7A768DEF"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EE692D"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687" w:type="dxa"/>
            <w:gridSpan w:val="5"/>
            <w:tcBorders>
              <w:top w:val="double" w:sz="6" w:space="0" w:color="auto"/>
              <w:left w:val="nil"/>
              <w:bottom w:val="double" w:sz="6" w:space="0" w:color="auto"/>
              <w:right w:val="double" w:sz="6" w:space="0" w:color="auto"/>
            </w:tcBorders>
            <w:shd w:val="clear" w:color="000000" w:fill="F7CAAC"/>
            <w:hideMark/>
          </w:tcPr>
          <w:p w14:paraId="3FC46650"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7D7243" w:rsidRPr="00EF2F18" w14:paraId="1C53BD5E" w14:textId="77777777" w:rsidTr="00EF0900">
        <w:trPr>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4BC9371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87" w:type="dxa"/>
            <w:gridSpan w:val="5"/>
            <w:tcBorders>
              <w:top w:val="double" w:sz="6" w:space="0" w:color="auto"/>
              <w:left w:val="nil"/>
              <w:bottom w:val="double" w:sz="6" w:space="0" w:color="auto"/>
              <w:right w:val="double" w:sz="6" w:space="0" w:color="auto"/>
            </w:tcBorders>
            <w:shd w:val="clear" w:color="000000" w:fill="F7CAAC"/>
            <w:hideMark/>
          </w:tcPr>
          <w:p w14:paraId="01545BD5"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E692D" w:rsidRPr="00EF2F18" w14:paraId="6B57A2B6" w14:textId="77777777" w:rsidTr="00EF0900">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53948176"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033767B2"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7F91CEF5"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17BD8F29"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5E29CF91"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377" w:type="dxa"/>
            <w:tcBorders>
              <w:top w:val="nil"/>
              <w:left w:val="nil"/>
              <w:bottom w:val="double" w:sz="6" w:space="0" w:color="auto"/>
              <w:right w:val="nil"/>
            </w:tcBorders>
            <w:shd w:val="clear" w:color="000000" w:fill="D9D9D9"/>
            <w:hideMark/>
          </w:tcPr>
          <w:p w14:paraId="56128757"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50" w:type="dxa"/>
            <w:tcBorders>
              <w:top w:val="nil"/>
              <w:left w:val="nil"/>
              <w:bottom w:val="double" w:sz="6" w:space="0" w:color="auto"/>
              <w:right w:val="single" w:sz="8" w:space="0" w:color="auto"/>
            </w:tcBorders>
            <w:shd w:val="clear" w:color="000000" w:fill="D9D9D9"/>
            <w:hideMark/>
          </w:tcPr>
          <w:p w14:paraId="1FDEF7D0"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440" w:type="dxa"/>
            <w:tcBorders>
              <w:top w:val="nil"/>
              <w:left w:val="nil"/>
              <w:bottom w:val="double" w:sz="6" w:space="0" w:color="auto"/>
              <w:right w:val="double" w:sz="6" w:space="0" w:color="auto"/>
            </w:tcBorders>
            <w:shd w:val="clear" w:color="000000" w:fill="D9D9D9"/>
            <w:hideMark/>
          </w:tcPr>
          <w:p w14:paraId="47D5ACEC"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E692D" w:rsidRPr="00EF2F18" w14:paraId="43FA6974" w14:textId="77777777" w:rsidTr="00EF0900">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1C0A1D2D"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подржаних пројеката у области иновација за зелену транзицију, годишње</w:t>
            </w:r>
          </w:p>
        </w:tc>
        <w:tc>
          <w:tcPr>
            <w:tcW w:w="1280" w:type="dxa"/>
            <w:tcBorders>
              <w:top w:val="nil"/>
              <w:left w:val="nil"/>
              <w:bottom w:val="double" w:sz="6" w:space="0" w:color="auto"/>
              <w:right w:val="single" w:sz="8" w:space="0" w:color="auto"/>
            </w:tcBorders>
            <w:shd w:val="clear" w:color="000000" w:fill="FFFFFF"/>
            <w:hideMark/>
          </w:tcPr>
          <w:p w14:paraId="4B0E00F8"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7347F7B7" w14:textId="77777777" w:rsidR="00EE692D" w:rsidRPr="00EF2F18" w:rsidRDefault="00EE692D"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2AF72E94"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67C2AA6C"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377" w:type="dxa"/>
            <w:tcBorders>
              <w:top w:val="double" w:sz="6" w:space="0" w:color="auto"/>
              <w:left w:val="single" w:sz="4" w:space="0" w:color="auto"/>
              <w:bottom w:val="double" w:sz="6" w:space="0" w:color="auto"/>
              <w:right w:val="single" w:sz="8" w:space="0" w:color="auto"/>
            </w:tcBorders>
            <w:shd w:val="clear" w:color="000000" w:fill="FFFFFF"/>
            <w:hideMark/>
          </w:tcPr>
          <w:p w14:paraId="4AF1F690"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w:t>
            </w:r>
          </w:p>
        </w:tc>
        <w:tc>
          <w:tcPr>
            <w:tcW w:w="1350" w:type="dxa"/>
            <w:tcBorders>
              <w:top w:val="nil"/>
              <w:left w:val="nil"/>
              <w:bottom w:val="double" w:sz="6" w:space="0" w:color="auto"/>
              <w:right w:val="single" w:sz="8" w:space="0" w:color="auto"/>
            </w:tcBorders>
            <w:shd w:val="clear" w:color="000000" w:fill="FFFFFF"/>
            <w:hideMark/>
          </w:tcPr>
          <w:p w14:paraId="3F8CD3B8"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w:t>
            </w:r>
          </w:p>
        </w:tc>
        <w:tc>
          <w:tcPr>
            <w:tcW w:w="1440" w:type="dxa"/>
            <w:tcBorders>
              <w:top w:val="nil"/>
              <w:left w:val="nil"/>
              <w:bottom w:val="double" w:sz="6" w:space="0" w:color="auto"/>
              <w:right w:val="double" w:sz="6" w:space="0" w:color="auto"/>
            </w:tcBorders>
            <w:shd w:val="clear" w:color="000000" w:fill="FFFFFF"/>
            <w:hideMark/>
          </w:tcPr>
          <w:p w14:paraId="18A318C8"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w:t>
            </w:r>
          </w:p>
        </w:tc>
      </w:tr>
    </w:tbl>
    <w:p w14:paraId="78AC54D7" w14:textId="77777777" w:rsidR="007D7243" w:rsidRPr="00EF2F18" w:rsidRDefault="007D7243" w:rsidP="007D7243">
      <w:pPr>
        <w:rPr>
          <w:rFonts w:cs="Times New Roman"/>
          <w:sz w:val="20"/>
          <w:szCs w:val="20"/>
          <w:lang w:val="sr-Cyrl-RS"/>
        </w:rPr>
      </w:pPr>
    </w:p>
    <w:p w14:paraId="7E8DACF3" w14:textId="77777777" w:rsidR="007620E6" w:rsidRPr="00EF2F18" w:rsidRDefault="007620E6" w:rsidP="007D7243">
      <w:pPr>
        <w:rPr>
          <w:rFonts w:cs="Times New Roman"/>
          <w:sz w:val="20"/>
          <w:szCs w:val="20"/>
          <w:lang w:val="sr-Cyrl-RS"/>
        </w:rPr>
      </w:pPr>
    </w:p>
    <w:tbl>
      <w:tblPr>
        <w:tblW w:w="1356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0"/>
        <w:gridCol w:w="2480"/>
        <w:gridCol w:w="2427"/>
        <w:gridCol w:w="2250"/>
        <w:gridCol w:w="2603"/>
        <w:gridCol w:w="7"/>
      </w:tblGrid>
      <w:tr w:rsidR="007D7243" w:rsidRPr="00EF2F18" w14:paraId="732C2ED6" w14:textId="77777777" w:rsidTr="00EE692D">
        <w:trPr>
          <w:gridAfter w:val="1"/>
          <w:wAfter w:w="7" w:type="dxa"/>
          <w:trHeight w:val="336"/>
        </w:trPr>
        <w:tc>
          <w:tcPr>
            <w:tcW w:w="3800" w:type="dxa"/>
            <w:vMerge w:val="restart"/>
            <w:shd w:val="clear" w:color="000000" w:fill="A8D08D"/>
            <w:hideMark/>
          </w:tcPr>
          <w:p w14:paraId="063FA3C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shd w:val="clear" w:color="000000" w:fill="A8D08D"/>
            <w:hideMark/>
          </w:tcPr>
          <w:p w14:paraId="527BFEA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shd w:val="clear" w:color="000000" w:fill="A8D08D"/>
            <w:hideMark/>
          </w:tcPr>
          <w:p w14:paraId="79E577A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E692D" w:rsidRPr="00EF2F18" w14:paraId="1F937D7C" w14:textId="77777777" w:rsidTr="00EE692D">
        <w:trPr>
          <w:trHeight w:val="336"/>
        </w:trPr>
        <w:tc>
          <w:tcPr>
            <w:tcW w:w="3800" w:type="dxa"/>
            <w:vMerge/>
            <w:vAlign w:val="center"/>
            <w:hideMark/>
          </w:tcPr>
          <w:p w14:paraId="010DBA9D" w14:textId="77777777" w:rsidR="00EE692D" w:rsidRPr="00EF2F18" w:rsidRDefault="00EE692D" w:rsidP="00752CA0">
            <w:pPr>
              <w:spacing w:after="0"/>
              <w:rPr>
                <w:rFonts w:eastAsia="Times New Roman" w:cs="Times New Roman"/>
                <w:color w:val="000000"/>
                <w:sz w:val="20"/>
                <w:szCs w:val="20"/>
                <w:lang w:val="sr-Cyrl-RS" w:eastAsia="en-GB"/>
              </w:rPr>
            </w:pPr>
          </w:p>
        </w:tc>
        <w:tc>
          <w:tcPr>
            <w:tcW w:w="2480" w:type="dxa"/>
            <w:vMerge/>
            <w:vAlign w:val="center"/>
            <w:hideMark/>
          </w:tcPr>
          <w:p w14:paraId="06BCB7AF" w14:textId="77777777" w:rsidR="00EE692D" w:rsidRPr="00EF2F18" w:rsidRDefault="00EE692D" w:rsidP="00752CA0">
            <w:pPr>
              <w:spacing w:after="0"/>
              <w:rPr>
                <w:rFonts w:eastAsia="Times New Roman" w:cs="Times New Roman"/>
                <w:color w:val="000000"/>
                <w:sz w:val="20"/>
                <w:szCs w:val="20"/>
                <w:lang w:val="sr-Cyrl-RS" w:eastAsia="en-GB"/>
              </w:rPr>
            </w:pPr>
          </w:p>
        </w:tc>
        <w:tc>
          <w:tcPr>
            <w:tcW w:w="2427" w:type="dxa"/>
            <w:shd w:val="clear" w:color="000000" w:fill="A8D08D"/>
            <w:hideMark/>
          </w:tcPr>
          <w:p w14:paraId="6753E4A0" w14:textId="3FB97710"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250" w:type="dxa"/>
            <w:shd w:val="clear" w:color="000000" w:fill="A8D08D"/>
            <w:hideMark/>
          </w:tcPr>
          <w:p w14:paraId="1876B5F1" w14:textId="5C010EE9"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610" w:type="dxa"/>
            <w:gridSpan w:val="2"/>
            <w:shd w:val="clear" w:color="000000" w:fill="A8D08D"/>
            <w:hideMark/>
          </w:tcPr>
          <w:p w14:paraId="1D2E983F" w14:textId="0C5EEED2"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E692D" w:rsidRPr="00EF2F18" w14:paraId="1DB8DB6B" w14:textId="77777777" w:rsidTr="00EE692D">
        <w:trPr>
          <w:trHeight w:val="336"/>
        </w:trPr>
        <w:tc>
          <w:tcPr>
            <w:tcW w:w="3800" w:type="dxa"/>
            <w:shd w:val="clear" w:color="000000" w:fill="FFFFFF"/>
            <w:vAlign w:val="center"/>
            <w:hideMark/>
          </w:tcPr>
          <w:p w14:paraId="7841B44B"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shd w:val="clear" w:color="000000" w:fill="FFFFFF"/>
            <w:vAlign w:val="center"/>
            <w:hideMark/>
          </w:tcPr>
          <w:p w14:paraId="0BAE8E92"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0405-560-4011-462</w:t>
            </w:r>
          </w:p>
        </w:tc>
        <w:tc>
          <w:tcPr>
            <w:tcW w:w="2427" w:type="dxa"/>
            <w:vAlign w:val="center"/>
            <w:hideMark/>
          </w:tcPr>
          <w:p w14:paraId="15A2DA98"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56.633</w:t>
            </w:r>
          </w:p>
        </w:tc>
        <w:tc>
          <w:tcPr>
            <w:tcW w:w="2250" w:type="dxa"/>
            <w:vAlign w:val="center"/>
          </w:tcPr>
          <w:p w14:paraId="23A8B1A4" w14:textId="5A41F84B" w:rsidR="00EE692D" w:rsidRPr="00EF2F18" w:rsidRDefault="00EE692D" w:rsidP="00752CA0">
            <w:pPr>
              <w:spacing w:after="0"/>
              <w:jc w:val="right"/>
              <w:rPr>
                <w:rFonts w:eastAsia="Times New Roman" w:cs="Times New Roman"/>
                <w:color w:val="000000"/>
                <w:sz w:val="20"/>
                <w:szCs w:val="20"/>
                <w:lang w:val="sr-Cyrl-RS" w:eastAsia="en-GB"/>
              </w:rPr>
            </w:pPr>
          </w:p>
        </w:tc>
        <w:tc>
          <w:tcPr>
            <w:tcW w:w="2610" w:type="dxa"/>
            <w:gridSpan w:val="2"/>
            <w:shd w:val="clear" w:color="000000" w:fill="FFFFFF"/>
            <w:vAlign w:val="center"/>
          </w:tcPr>
          <w:p w14:paraId="19B3B1CE" w14:textId="496F9F60"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7E1E58BA" w14:textId="77777777" w:rsidTr="00EE692D">
        <w:trPr>
          <w:trHeight w:val="336"/>
        </w:trPr>
        <w:tc>
          <w:tcPr>
            <w:tcW w:w="3800" w:type="dxa"/>
            <w:shd w:val="clear" w:color="000000" w:fill="FFFFFF"/>
            <w:vAlign w:val="center"/>
            <w:hideMark/>
          </w:tcPr>
          <w:p w14:paraId="57C65875" w14:textId="21D23A95"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(УНДП)</w:t>
            </w:r>
          </w:p>
        </w:tc>
        <w:tc>
          <w:tcPr>
            <w:tcW w:w="2480" w:type="dxa"/>
            <w:shd w:val="clear" w:color="000000" w:fill="FFFFFF"/>
            <w:vAlign w:val="center"/>
            <w:hideMark/>
          </w:tcPr>
          <w:p w14:paraId="6F3C705F"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0405-560-4011-423</w:t>
            </w:r>
          </w:p>
        </w:tc>
        <w:tc>
          <w:tcPr>
            <w:tcW w:w="2427" w:type="dxa"/>
            <w:vAlign w:val="center"/>
            <w:hideMark/>
          </w:tcPr>
          <w:p w14:paraId="7F700FD2" w14:textId="5F3D0FDF" w:rsidR="00EE692D" w:rsidRPr="00EF2F18" w:rsidRDefault="00D91D1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1.500</w:t>
            </w:r>
          </w:p>
        </w:tc>
        <w:tc>
          <w:tcPr>
            <w:tcW w:w="2250" w:type="dxa"/>
            <w:vAlign w:val="center"/>
          </w:tcPr>
          <w:p w14:paraId="091BDB03" w14:textId="05D8E4E7" w:rsidR="00EE692D" w:rsidRPr="00EF2F18" w:rsidRDefault="00EE692D" w:rsidP="00752CA0">
            <w:pPr>
              <w:spacing w:after="0"/>
              <w:jc w:val="right"/>
              <w:rPr>
                <w:rFonts w:eastAsia="Times New Roman" w:cs="Times New Roman"/>
                <w:color w:val="000000"/>
                <w:sz w:val="20"/>
                <w:szCs w:val="20"/>
                <w:lang w:val="sr-Cyrl-RS" w:eastAsia="en-GB"/>
              </w:rPr>
            </w:pPr>
          </w:p>
        </w:tc>
        <w:tc>
          <w:tcPr>
            <w:tcW w:w="2610" w:type="dxa"/>
            <w:gridSpan w:val="2"/>
            <w:shd w:val="clear" w:color="000000" w:fill="FFFFFF"/>
            <w:vAlign w:val="center"/>
          </w:tcPr>
          <w:p w14:paraId="0CADAEFA" w14:textId="308BFF96" w:rsidR="00EE692D" w:rsidRPr="00EF2F18" w:rsidRDefault="00EE692D" w:rsidP="00752CA0">
            <w:pPr>
              <w:spacing w:after="0"/>
              <w:jc w:val="right"/>
              <w:rPr>
                <w:rFonts w:eastAsia="Times New Roman" w:cs="Times New Roman"/>
                <w:color w:val="000000"/>
                <w:sz w:val="20"/>
                <w:szCs w:val="20"/>
                <w:lang w:val="sr-Cyrl-RS" w:eastAsia="en-GB"/>
              </w:rPr>
            </w:pPr>
          </w:p>
        </w:tc>
      </w:tr>
    </w:tbl>
    <w:p w14:paraId="6D3EC257" w14:textId="77777777" w:rsidR="007D7243" w:rsidRPr="00EF2F18" w:rsidRDefault="007D7243" w:rsidP="007D7243">
      <w:pPr>
        <w:rPr>
          <w:rFonts w:cs="Times New Roman"/>
          <w:sz w:val="20"/>
          <w:szCs w:val="20"/>
          <w:lang w:val="sr-Cyrl-RS"/>
        </w:rPr>
      </w:pPr>
    </w:p>
    <w:tbl>
      <w:tblPr>
        <w:tblW w:w="13658" w:type="dxa"/>
        <w:tblLook w:val="04A0" w:firstRow="1" w:lastRow="0" w:firstColumn="1" w:lastColumn="0" w:noHBand="0" w:noVBand="1"/>
      </w:tblPr>
      <w:tblGrid>
        <w:gridCol w:w="2983"/>
        <w:gridCol w:w="1261"/>
        <w:gridCol w:w="1420"/>
        <w:gridCol w:w="1182"/>
        <w:gridCol w:w="1396"/>
        <w:gridCol w:w="1340"/>
        <w:gridCol w:w="1015"/>
        <w:gridCol w:w="1530"/>
        <w:gridCol w:w="1531"/>
      </w:tblGrid>
      <w:tr w:rsidR="007D7243" w:rsidRPr="00EF2F18" w14:paraId="381D8B0D" w14:textId="77777777" w:rsidTr="00EE692D">
        <w:trPr>
          <w:trHeight w:val="732"/>
        </w:trPr>
        <w:tc>
          <w:tcPr>
            <w:tcW w:w="298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BB27DA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6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98BB88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42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033D23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F153FE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396"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D4187B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600488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76" w:type="dxa"/>
            <w:gridSpan w:val="3"/>
            <w:tcBorders>
              <w:top w:val="double" w:sz="6" w:space="0" w:color="auto"/>
              <w:left w:val="nil"/>
              <w:bottom w:val="single" w:sz="8" w:space="0" w:color="auto"/>
              <w:right w:val="double" w:sz="6" w:space="0" w:color="auto"/>
            </w:tcBorders>
            <w:shd w:val="clear" w:color="000000" w:fill="FFF2CC"/>
            <w:hideMark/>
          </w:tcPr>
          <w:p w14:paraId="23EC379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E692D" w:rsidRPr="00EF2F18" w14:paraId="4F39604C" w14:textId="77777777" w:rsidTr="00E67F4F">
        <w:trPr>
          <w:trHeight w:val="324"/>
        </w:trPr>
        <w:tc>
          <w:tcPr>
            <w:tcW w:w="2983" w:type="dxa"/>
            <w:vMerge/>
            <w:tcBorders>
              <w:top w:val="double" w:sz="6" w:space="0" w:color="auto"/>
              <w:left w:val="double" w:sz="6" w:space="0" w:color="auto"/>
              <w:bottom w:val="single" w:sz="8" w:space="0" w:color="000000"/>
              <w:right w:val="single" w:sz="8" w:space="0" w:color="auto"/>
            </w:tcBorders>
            <w:vAlign w:val="center"/>
            <w:hideMark/>
          </w:tcPr>
          <w:p w14:paraId="606C3A7A" w14:textId="77777777" w:rsidR="00EE692D" w:rsidRPr="00EF2F18" w:rsidRDefault="00EE692D" w:rsidP="00752CA0">
            <w:pPr>
              <w:spacing w:after="0"/>
              <w:rPr>
                <w:rFonts w:eastAsia="Times New Roman" w:cs="Times New Roman"/>
                <w:color w:val="000000"/>
                <w:sz w:val="20"/>
                <w:szCs w:val="20"/>
                <w:lang w:val="sr-Cyrl-RS" w:eastAsia="en-GB"/>
              </w:rPr>
            </w:pPr>
          </w:p>
        </w:tc>
        <w:tc>
          <w:tcPr>
            <w:tcW w:w="1261" w:type="dxa"/>
            <w:vMerge/>
            <w:tcBorders>
              <w:top w:val="double" w:sz="6" w:space="0" w:color="auto"/>
              <w:left w:val="single" w:sz="8" w:space="0" w:color="auto"/>
              <w:bottom w:val="single" w:sz="8" w:space="0" w:color="000000"/>
              <w:right w:val="single" w:sz="8" w:space="0" w:color="auto"/>
            </w:tcBorders>
            <w:vAlign w:val="center"/>
            <w:hideMark/>
          </w:tcPr>
          <w:p w14:paraId="330C4279" w14:textId="77777777" w:rsidR="00EE692D" w:rsidRPr="00EF2F18" w:rsidRDefault="00EE692D" w:rsidP="00752CA0">
            <w:pPr>
              <w:spacing w:after="0"/>
              <w:rPr>
                <w:rFonts w:eastAsia="Times New Roman" w:cs="Times New Roman"/>
                <w:color w:val="000000"/>
                <w:sz w:val="20"/>
                <w:szCs w:val="20"/>
                <w:lang w:val="sr-Cyrl-RS" w:eastAsia="en-GB"/>
              </w:rPr>
            </w:pPr>
          </w:p>
        </w:tc>
        <w:tc>
          <w:tcPr>
            <w:tcW w:w="1420" w:type="dxa"/>
            <w:vMerge/>
            <w:tcBorders>
              <w:top w:val="double" w:sz="6" w:space="0" w:color="auto"/>
              <w:left w:val="single" w:sz="8" w:space="0" w:color="auto"/>
              <w:bottom w:val="single" w:sz="8" w:space="0" w:color="000000"/>
              <w:right w:val="single" w:sz="8" w:space="0" w:color="auto"/>
            </w:tcBorders>
            <w:vAlign w:val="center"/>
            <w:hideMark/>
          </w:tcPr>
          <w:p w14:paraId="785EE1DD" w14:textId="77777777" w:rsidR="00EE692D" w:rsidRPr="00EF2F18" w:rsidRDefault="00EE692D"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6B0BC72E" w14:textId="77777777" w:rsidR="00EE692D" w:rsidRPr="00EF2F18" w:rsidRDefault="00EE692D" w:rsidP="00752CA0">
            <w:pPr>
              <w:spacing w:after="0"/>
              <w:rPr>
                <w:rFonts w:eastAsia="Times New Roman" w:cs="Times New Roman"/>
                <w:color w:val="000000"/>
                <w:sz w:val="20"/>
                <w:szCs w:val="20"/>
                <w:lang w:val="sr-Cyrl-RS" w:eastAsia="en-GB"/>
              </w:rPr>
            </w:pPr>
          </w:p>
        </w:tc>
        <w:tc>
          <w:tcPr>
            <w:tcW w:w="1396" w:type="dxa"/>
            <w:vMerge/>
            <w:tcBorders>
              <w:top w:val="double" w:sz="6" w:space="0" w:color="auto"/>
              <w:left w:val="single" w:sz="8" w:space="0" w:color="auto"/>
              <w:bottom w:val="single" w:sz="8" w:space="0" w:color="000000"/>
              <w:right w:val="single" w:sz="8" w:space="0" w:color="auto"/>
            </w:tcBorders>
            <w:vAlign w:val="center"/>
            <w:hideMark/>
          </w:tcPr>
          <w:p w14:paraId="3DE51F21" w14:textId="77777777" w:rsidR="00EE692D" w:rsidRPr="00EF2F18" w:rsidRDefault="00EE692D"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19E812BA" w14:textId="77777777" w:rsidR="00EE692D" w:rsidRPr="00EF2F18" w:rsidRDefault="00EE692D" w:rsidP="00752CA0">
            <w:pPr>
              <w:spacing w:after="0"/>
              <w:rPr>
                <w:rFonts w:eastAsia="Times New Roman" w:cs="Times New Roman"/>
                <w:color w:val="000000"/>
                <w:sz w:val="20"/>
                <w:szCs w:val="20"/>
                <w:lang w:val="sr-Cyrl-RS" w:eastAsia="en-GB"/>
              </w:rPr>
            </w:pPr>
          </w:p>
        </w:tc>
        <w:tc>
          <w:tcPr>
            <w:tcW w:w="1015" w:type="dxa"/>
            <w:tcBorders>
              <w:top w:val="nil"/>
              <w:left w:val="nil"/>
              <w:bottom w:val="single" w:sz="8" w:space="0" w:color="auto"/>
              <w:right w:val="single" w:sz="8" w:space="0" w:color="auto"/>
            </w:tcBorders>
            <w:shd w:val="clear" w:color="000000" w:fill="FFF2CC"/>
            <w:hideMark/>
          </w:tcPr>
          <w:p w14:paraId="1A7437A5" w14:textId="57C3F95A"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p>
        </w:tc>
        <w:tc>
          <w:tcPr>
            <w:tcW w:w="1530" w:type="dxa"/>
            <w:tcBorders>
              <w:top w:val="nil"/>
              <w:left w:val="nil"/>
              <w:bottom w:val="single" w:sz="8" w:space="0" w:color="auto"/>
              <w:right w:val="single" w:sz="8" w:space="0" w:color="auto"/>
            </w:tcBorders>
            <w:shd w:val="clear" w:color="000000" w:fill="FFF2CC"/>
            <w:hideMark/>
          </w:tcPr>
          <w:p w14:paraId="7787705B" w14:textId="3B10399B"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1" w:type="dxa"/>
            <w:tcBorders>
              <w:top w:val="nil"/>
              <w:left w:val="nil"/>
              <w:bottom w:val="single" w:sz="8" w:space="0" w:color="auto"/>
              <w:right w:val="double" w:sz="6" w:space="0" w:color="auto"/>
            </w:tcBorders>
            <w:shd w:val="clear" w:color="000000" w:fill="FFF2CC"/>
            <w:hideMark/>
          </w:tcPr>
          <w:p w14:paraId="21EE54D6" w14:textId="74E8064C"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w:t>
            </w:r>
          </w:p>
        </w:tc>
      </w:tr>
      <w:tr w:rsidR="00EE692D" w:rsidRPr="00EF2F18" w14:paraId="1220E62B" w14:textId="77777777" w:rsidTr="00E67F4F">
        <w:trPr>
          <w:trHeight w:val="996"/>
        </w:trPr>
        <w:tc>
          <w:tcPr>
            <w:tcW w:w="2983" w:type="dxa"/>
            <w:vMerge w:val="restart"/>
            <w:tcBorders>
              <w:top w:val="nil"/>
              <w:left w:val="double" w:sz="6" w:space="0" w:color="auto"/>
              <w:bottom w:val="single" w:sz="8" w:space="0" w:color="000000"/>
              <w:right w:val="single" w:sz="8" w:space="0" w:color="auto"/>
            </w:tcBorders>
            <w:hideMark/>
          </w:tcPr>
          <w:p w14:paraId="6730132E"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6.1.4.1. Креирање промотивне платформе за организацију и спровођење обука за учешће у позивима за подршку пројеката за зелену транзицију</w:t>
            </w:r>
          </w:p>
        </w:tc>
        <w:tc>
          <w:tcPr>
            <w:tcW w:w="1261" w:type="dxa"/>
            <w:vMerge w:val="restart"/>
            <w:tcBorders>
              <w:top w:val="nil"/>
              <w:left w:val="single" w:sz="8" w:space="0" w:color="auto"/>
              <w:bottom w:val="single" w:sz="8" w:space="0" w:color="000000"/>
              <w:right w:val="single" w:sz="8" w:space="0" w:color="auto"/>
            </w:tcBorders>
            <w:hideMark/>
          </w:tcPr>
          <w:p w14:paraId="3A5CC82B"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420" w:type="dxa"/>
            <w:vMerge w:val="restart"/>
            <w:tcBorders>
              <w:top w:val="nil"/>
              <w:left w:val="single" w:sz="8" w:space="0" w:color="auto"/>
              <w:bottom w:val="single" w:sz="8" w:space="0" w:color="000000"/>
              <w:right w:val="single" w:sz="8" w:space="0" w:color="auto"/>
            </w:tcBorders>
            <w:hideMark/>
          </w:tcPr>
          <w:p w14:paraId="1477E826"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Фонд за науку, МНТРИ, универзитети и друге НИО</w:t>
            </w:r>
          </w:p>
        </w:tc>
        <w:tc>
          <w:tcPr>
            <w:tcW w:w="1182" w:type="dxa"/>
            <w:vMerge w:val="restart"/>
            <w:tcBorders>
              <w:top w:val="nil"/>
              <w:left w:val="single" w:sz="8" w:space="0" w:color="auto"/>
              <w:bottom w:val="single" w:sz="8" w:space="0" w:color="000000"/>
              <w:right w:val="single" w:sz="8" w:space="0" w:color="auto"/>
            </w:tcBorders>
            <w:hideMark/>
          </w:tcPr>
          <w:p w14:paraId="5711BB11"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396" w:type="dxa"/>
            <w:vMerge w:val="restart"/>
            <w:tcBorders>
              <w:top w:val="nil"/>
              <w:left w:val="single" w:sz="8" w:space="0" w:color="auto"/>
              <w:bottom w:val="single" w:sz="8" w:space="0" w:color="000000"/>
              <w:right w:val="single" w:sz="8" w:space="0" w:color="auto"/>
            </w:tcBorders>
            <w:hideMark/>
          </w:tcPr>
          <w:p w14:paraId="5E425D08" w14:textId="40194269"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 (УНДП)</w:t>
            </w:r>
          </w:p>
        </w:tc>
        <w:tc>
          <w:tcPr>
            <w:tcW w:w="1340" w:type="dxa"/>
            <w:vMerge w:val="restart"/>
            <w:tcBorders>
              <w:top w:val="nil"/>
              <w:left w:val="single" w:sz="8" w:space="0" w:color="auto"/>
              <w:bottom w:val="single" w:sz="8" w:space="0" w:color="000000"/>
              <w:right w:val="single" w:sz="8" w:space="0" w:color="auto"/>
            </w:tcBorders>
            <w:hideMark/>
          </w:tcPr>
          <w:p w14:paraId="32F7DE4A"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0405-560-4011-423</w:t>
            </w:r>
          </w:p>
        </w:tc>
        <w:tc>
          <w:tcPr>
            <w:tcW w:w="1015" w:type="dxa"/>
            <w:vMerge w:val="restart"/>
            <w:tcBorders>
              <w:top w:val="nil"/>
              <w:left w:val="single" w:sz="8" w:space="0" w:color="auto"/>
              <w:bottom w:val="single" w:sz="8" w:space="0" w:color="000000"/>
              <w:right w:val="single" w:sz="8" w:space="0" w:color="auto"/>
            </w:tcBorders>
            <w:hideMark/>
          </w:tcPr>
          <w:p w14:paraId="23158A60"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1.500</w:t>
            </w:r>
          </w:p>
        </w:tc>
        <w:tc>
          <w:tcPr>
            <w:tcW w:w="1530" w:type="dxa"/>
            <w:vMerge w:val="restart"/>
            <w:tcBorders>
              <w:top w:val="nil"/>
              <w:left w:val="single" w:sz="8" w:space="0" w:color="auto"/>
              <w:bottom w:val="single" w:sz="8" w:space="0" w:color="000000"/>
              <w:right w:val="single" w:sz="8" w:space="0" w:color="auto"/>
            </w:tcBorders>
          </w:tcPr>
          <w:p w14:paraId="0C6A5773" w14:textId="7B8821F7" w:rsidR="00EE692D" w:rsidRPr="00EF2F18" w:rsidRDefault="00EE692D" w:rsidP="00752CA0">
            <w:pPr>
              <w:spacing w:after="0"/>
              <w:jc w:val="right"/>
              <w:rPr>
                <w:rFonts w:eastAsia="Times New Roman" w:cs="Times New Roman"/>
                <w:color w:val="000000"/>
                <w:sz w:val="20"/>
                <w:szCs w:val="20"/>
                <w:lang w:val="sr-Cyrl-RS" w:eastAsia="en-GB"/>
              </w:rPr>
            </w:pPr>
          </w:p>
        </w:tc>
        <w:tc>
          <w:tcPr>
            <w:tcW w:w="1531" w:type="dxa"/>
            <w:vMerge w:val="restart"/>
            <w:tcBorders>
              <w:top w:val="nil"/>
              <w:left w:val="single" w:sz="8" w:space="0" w:color="auto"/>
              <w:bottom w:val="single" w:sz="8" w:space="0" w:color="000000"/>
              <w:right w:val="double" w:sz="6" w:space="0" w:color="auto"/>
            </w:tcBorders>
          </w:tcPr>
          <w:p w14:paraId="66A990B2" w14:textId="5B2A2988"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6A94A90A" w14:textId="77777777" w:rsidTr="00C1286C">
        <w:trPr>
          <w:trHeight w:val="458"/>
        </w:trPr>
        <w:tc>
          <w:tcPr>
            <w:tcW w:w="2983" w:type="dxa"/>
            <w:vMerge/>
            <w:tcBorders>
              <w:top w:val="nil"/>
              <w:left w:val="double" w:sz="6" w:space="0" w:color="auto"/>
              <w:bottom w:val="single" w:sz="8" w:space="0" w:color="000000"/>
              <w:right w:val="single" w:sz="8" w:space="0" w:color="auto"/>
            </w:tcBorders>
            <w:vAlign w:val="center"/>
            <w:hideMark/>
          </w:tcPr>
          <w:p w14:paraId="132AA982" w14:textId="77777777" w:rsidR="00EE692D" w:rsidRPr="00EF2F18" w:rsidRDefault="00EE692D" w:rsidP="00752CA0">
            <w:pPr>
              <w:spacing w:after="0"/>
              <w:rPr>
                <w:rFonts w:eastAsia="Times New Roman" w:cs="Times New Roman"/>
                <w:color w:val="000000"/>
                <w:sz w:val="20"/>
                <w:szCs w:val="20"/>
                <w:lang w:val="sr-Cyrl-RS" w:eastAsia="en-GB"/>
              </w:rPr>
            </w:pPr>
          </w:p>
        </w:tc>
        <w:tc>
          <w:tcPr>
            <w:tcW w:w="1261" w:type="dxa"/>
            <w:vMerge/>
            <w:tcBorders>
              <w:top w:val="nil"/>
              <w:left w:val="single" w:sz="8" w:space="0" w:color="auto"/>
              <w:bottom w:val="single" w:sz="8" w:space="0" w:color="000000"/>
              <w:right w:val="single" w:sz="8" w:space="0" w:color="auto"/>
            </w:tcBorders>
            <w:vAlign w:val="center"/>
            <w:hideMark/>
          </w:tcPr>
          <w:p w14:paraId="66B5A84E" w14:textId="77777777" w:rsidR="00EE692D" w:rsidRPr="00EF2F18" w:rsidRDefault="00EE692D" w:rsidP="00752CA0">
            <w:pPr>
              <w:spacing w:after="0"/>
              <w:rPr>
                <w:rFonts w:eastAsia="Times New Roman" w:cs="Times New Roman"/>
                <w:color w:val="000000"/>
                <w:sz w:val="20"/>
                <w:szCs w:val="20"/>
                <w:lang w:val="sr-Cyrl-RS" w:eastAsia="en-GB"/>
              </w:rPr>
            </w:pPr>
          </w:p>
        </w:tc>
        <w:tc>
          <w:tcPr>
            <w:tcW w:w="1420" w:type="dxa"/>
            <w:vMerge/>
            <w:tcBorders>
              <w:top w:val="nil"/>
              <w:left w:val="single" w:sz="8" w:space="0" w:color="auto"/>
              <w:bottom w:val="single" w:sz="8" w:space="0" w:color="000000"/>
              <w:right w:val="single" w:sz="8" w:space="0" w:color="auto"/>
            </w:tcBorders>
            <w:vAlign w:val="center"/>
            <w:hideMark/>
          </w:tcPr>
          <w:p w14:paraId="6206AE7F" w14:textId="77777777" w:rsidR="00EE692D" w:rsidRPr="00EF2F18" w:rsidRDefault="00EE692D"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single" w:sz="8" w:space="0" w:color="000000"/>
              <w:right w:val="single" w:sz="8" w:space="0" w:color="auto"/>
            </w:tcBorders>
            <w:vAlign w:val="center"/>
            <w:hideMark/>
          </w:tcPr>
          <w:p w14:paraId="35612923" w14:textId="77777777" w:rsidR="00EE692D" w:rsidRPr="00EF2F18" w:rsidRDefault="00EE692D" w:rsidP="00752CA0">
            <w:pPr>
              <w:spacing w:after="0"/>
              <w:rPr>
                <w:rFonts w:eastAsia="Times New Roman" w:cs="Times New Roman"/>
                <w:color w:val="000000"/>
                <w:sz w:val="20"/>
                <w:szCs w:val="20"/>
                <w:lang w:val="sr-Cyrl-RS" w:eastAsia="en-GB"/>
              </w:rPr>
            </w:pPr>
          </w:p>
        </w:tc>
        <w:tc>
          <w:tcPr>
            <w:tcW w:w="1396" w:type="dxa"/>
            <w:vMerge/>
            <w:tcBorders>
              <w:top w:val="nil"/>
              <w:left w:val="single" w:sz="8" w:space="0" w:color="auto"/>
              <w:bottom w:val="single" w:sz="8" w:space="0" w:color="000000"/>
              <w:right w:val="single" w:sz="8" w:space="0" w:color="auto"/>
            </w:tcBorders>
            <w:vAlign w:val="center"/>
            <w:hideMark/>
          </w:tcPr>
          <w:p w14:paraId="6B73E5E0" w14:textId="77777777" w:rsidR="00EE692D" w:rsidRPr="00EF2F18" w:rsidRDefault="00EE692D" w:rsidP="00752CA0">
            <w:pPr>
              <w:spacing w:after="0"/>
              <w:rPr>
                <w:rFonts w:eastAsia="Times New Roman" w:cs="Times New Roman"/>
                <w:color w:val="000000"/>
                <w:sz w:val="20"/>
                <w:szCs w:val="20"/>
                <w:lang w:val="sr-Cyrl-RS" w:eastAsia="en-GB"/>
              </w:rPr>
            </w:pPr>
          </w:p>
        </w:tc>
        <w:tc>
          <w:tcPr>
            <w:tcW w:w="1340" w:type="dxa"/>
            <w:vMerge/>
            <w:tcBorders>
              <w:top w:val="nil"/>
              <w:left w:val="single" w:sz="8" w:space="0" w:color="auto"/>
              <w:bottom w:val="single" w:sz="8" w:space="0" w:color="000000"/>
              <w:right w:val="single" w:sz="8" w:space="0" w:color="auto"/>
            </w:tcBorders>
            <w:vAlign w:val="center"/>
            <w:hideMark/>
          </w:tcPr>
          <w:p w14:paraId="5846AB20" w14:textId="77777777" w:rsidR="00EE692D" w:rsidRPr="00EF2F18" w:rsidRDefault="00EE692D" w:rsidP="00752CA0">
            <w:pPr>
              <w:spacing w:after="0"/>
              <w:rPr>
                <w:rFonts w:eastAsia="Times New Roman" w:cs="Times New Roman"/>
                <w:color w:val="000000"/>
                <w:sz w:val="20"/>
                <w:szCs w:val="20"/>
                <w:lang w:val="sr-Cyrl-RS" w:eastAsia="en-GB"/>
              </w:rPr>
            </w:pPr>
          </w:p>
        </w:tc>
        <w:tc>
          <w:tcPr>
            <w:tcW w:w="1015" w:type="dxa"/>
            <w:vMerge/>
            <w:tcBorders>
              <w:top w:val="nil"/>
              <w:left w:val="single" w:sz="8" w:space="0" w:color="auto"/>
              <w:bottom w:val="single" w:sz="8" w:space="0" w:color="000000"/>
              <w:right w:val="single" w:sz="8" w:space="0" w:color="auto"/>
            </w:tcBorders>
            <w:vAlign w:val="center"/>
            <w:hideMark/>
          </w:tcPr>
          <w:p w14:paraId="1F64DF0B" w14:textId="77777777" w:rsidR="00EE692D" w:rsidRPr="00EF2F18" w:rsidRDefault="00EE692D" w:rsidP="00752CA0">
            <w:pPr>
              <w:spacing w:after="0"/>
              <w:jc w:val="right"/>
              <w:rPr>
                <w:rFonts w:eastAsia="Times New Roman" w:cs="Times New Roman"/>
                <w:color w:val="000000"/>
                <w:sz w:val="20"/>
                <w:szCs w:val="20"/>
                <w:lang w:val="sr-Cyrl-RS" w:eastAsia="en-GB"/>
              </w:rPr>
            </w:pPr>
          </w:p>
        </w:tc>
        <w:tc>
          <w:tcPr>
            <w:tcW w:w="1530" w:type="dxa"/>
            <w:vMerge/>
            <w:tcBorders>
              <w:top w:val="nil"/>
              <w:left w:val="single" w:sz="8" w:space="0" w:color="auto"/>
              <w:bottom w:val="single" w:sz="8" w:space="0" w:color="000000"/>
              <w:right w:val="single" w:sz="8" w:space="0" w:color="auto"/>
            </w:tcBorders>
            <w:vAlign w:val="center"/>
          </w:tcPr>
          <w:p w14:paraId="7BCD6CCE" w14:textId="77777777" w:rsidR="00EE692D" w:rsidRPr="00EF2F18" w:rsidRDefault="00EE692D" w:rsidP="00752CA0">
            <w:pPr>
              <w:spacing w:after="0"/>
              <w:jc w:val="right"/>
              <w:rPr>
                <w:rFonts w:eastAsia="Times New Roman" w:cs="Times New Roman"/>
                <w:color w:val="000000"/>
                <w:sz w:val="20"/>
                <w:szCs w:val="20"/>
                <w:lang w:val="sr-Cyrl-RS" w:eastAsia="en-GB"/>
              </w:rPr>
            </w:pPr>
          </w:p>
        </w:tc>
        <w:tc>
          <w:tcPr>
            <w:tcW w:w="1531" w:type="dxa"/>
            <w:vMerge/>
            <w:tcBorders>
              <w:top w:val="nil"/>
              <w:left w:val="single" w:sz="8" w:space="0" w:color="auto"/>
              <w:bottom w:val="single" w:sz="8" w:space="0" w:color="000000"/>
              <w:right w:val="double" w:sz="6" w:space="0" w:color="auto"/>
            </w:tcBorders>
            <w:vAlign w:val="center"/>
          </w:tcPr>
          <w:p w14:paraId="12D40370" w14:textId="77777777"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209B5711" w14:textId="77777777" w:rsidTr="00C1286C">
        <w:trPr>
          <w:trHeight w:val="772"/>
        </w:trPr>
        <w:tc>
          <w:tcPr>
            <w:tcW w:w="2983" w:type="dxa"/>
            <w:tcBorders>
              <w:top w:val="single" w:sz="8" w:space="0" w:color="000000"/>
              <w:left w:val="double" w:sz="6" w:space="0" w:color="auto"/>
              <w:bottom w:val="double" w:sz="4" w:space="0" w:color="000000"/>
              <w:right w:val="single" w:sz="8" w:space="0" w:color="000000"/>
            </w:tcBorders>
            <w:hideMark/>
          </w:tcPr>
          <w:p w14:paraId="6425DE2A"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6.1.4.2. Припрема годишњих програма за подршку иновативних пројеката за </w:t>
            </w:r>
            <w:r w:rsidRPr="00EF2F18">
              <w:rPr>
                <w:rFonts w:eastAsia="Times New Roman" w:cs="Times New Roman"/>
                <w:color w:val="000000"/>
                <w:sz w:val="20"/>
                <w:szCs w:val="20"/>
                <w:lang w:val="sr-Cyrl-RS" w:eastAsia="en-GB"/>
              </w:rPr>
              <w:lastRenderedPageBreak/>
              <w:t xml:space="preserve">зелену транзицију и њихово спровођење </w:t>
            </w:r>
          </w:p>
        </w:tc>
        <w:tc>
          <w:tcPr>
            <w:tcW w:w="1261" w:type="dxa"/>
            <w:tcBorders>
              <w:top w:val="single" w:sz="8" w:space="0" w:color="000000"/>
              <w:left w:val="single" w:sz="8" w:space="0" w:color="000000"/>
              <w:bottom w:val="double" w:sz="4" w:space="0" w:color="000000"/>
              <w:right w:val="single" w:sz="8" w:space="0" w:color="000000"/>
            </w:tcBorders>
            <w:hideMark/>
          </w:tcPr>
          <w:p w14:paraId="1BC8E2ED"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МЗЖС</w:t>
            </w:r>
          </w:p>
        </w:tc>
        <w:tc>
          <w:tcPr>
            <w:tcW w:w="1420" w:type="dxa"/>
            <w:tcBorders>
              <w:top w:val="single" w:sz="8" w:space="0" w:color="000000"/>
              <w:left w:val="single" w:sz="8" w:space="0" w:color="000000"/>
              <w:bottom w:val="double" w:sz="4" w:space="0" w:color="000000"/>
              <w:right w:val="single" w:sz="8" w:space="0" w:color="000000"/>
            </w:tcBorders>
            <w:hideMark/>
          </w:tcPr>
          <w:p w14:paraId="04B666A2"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Фонд за науку, МНТРИ, </w:t>
            </w:r>
            <w:r w:rsidRPr="00EF2F18">
              <w:rPr>
                <w:rFonts w:eastAsia="Times New Roman" w:cs="Times New Roman"/>
                <w:color w:val="000000"/>
                <w:sz w:val="20"/>
                <w:szCs w:val="20"/>
                <w:lang w:val="sr-Cyrl-RS" w:eastAsia="en-GB"/>
              </w:rPr>
              <w:lastRenderedPageBreak/>
              <w:t>универзитети, привреда и друге НИО</w:t>
            </w:r>
          </w:p>
        </w:tc>
        <w:tc>
          <w:tcPr>
            <w:tcW w:w="1182" w:type="dxa"/>
            <w:tcBorders>
              <w:top w:val="single" w:sz="8" w:space="0" w:color="000000"/>
              <w:left w:val="single" w:sz="8" w:space="0" w:color="000000"/>
              <w:bottom w:val="double" w:sz="4" w:space="0" w:color="000000"/>
              <w:right w:val="single" w:sz="8" w:space="0" w:color="000000"/>
            </w:tcBorders>
            <w:hideMark/>
          </w:tcPr>
          <w:p w14:paraId="648C01BB"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4. квартал 2028.</w:t>
            </w:r>
          </w:p>
        </w:tc>
        <w:tc>
          <w:tcPr>
            <w:tcW w:w="1396" w:type="dxa"/>
            <w:tcBorders>
              <w:top w:val="single" w:sz="8" w:space="0" w:color="000000"/>
              <w:left w:val="single" w:sz="8" w:space="0" w:color="000000"/>
              <w:bottom w:val="double" w:sz="4" w:space="0" w:color="000000"/>
              <w:right w:val="single" w:sz="8" w:space="0" w:color="000000"/>
            </w:tcBorders>
            <w:hideMark/>
          </w:tcPr>
          <w:p w14:paraId="3DB73327"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p w14:paraId="35B1A0C4" w14:textId="77777777" w:rsidR="009B6B86" w:rsidRPr="00EF2F18" w:rsidRDefault="009B6B86" w:rsidP="00752CA0">
            <w:pPr>
              <w:spacing w:after="0"/>
              <w:rPr>
                <w:rFonts w:eastAsia="Times New Roman" w:cs="Times New Roman"/>
                <w:color w:val="000000"/>
                <w:sz w:val="20"/>
                <w:szCs w:val="20"/>
                <w:lang w:val="sr-Cyrl-RS" w:eastAsia="en-GB"/>
              </w:rPr>
            </w:pPr>
          </w:p>
          <w:p w14:paraId="6A2B5B91" w14:textId="5F21E5A4" w:rsidR="00E67F4F" w:rsidRPr="00EF2F18" w:rsidRDefault="00F42ECD" w:rsidP="00F363D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Донаторска средства (УНДП)*</w:t>
            </w:r>
          </w:p>
        </w:tc>
        <w:tc>
          <w:tcPr>
            <w:tcW w:w="1340" w:type="dxa"/>
            <w:tcBorders>
              <w:top w:val="single" w:sz="8" w:space="0" w:color="000000"/>
              <w:left w:val="single" w:sz="8" w:space="0" w:color="000000"/>
              <w:bottom w:val="double" w:sz="4" w:space="0" w:color="000000"/>
              <w:right w:val="single" w:sz="8" w:space="0" w:color="000000"/>
            </w:tcBorders>
            <w:hideMark/>
          </w:tcPr>
          <w:p w14:paraId="4376AE74"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0405-560-4011-462</w:t>
            </w:r>
          </w:p>
          <w:p w14:paraId="7D51610E" w14:textId="77777777" w:rsidR="00E67F4F" w:rsidRPr="00EF2F18" w:rsidRDefault="00E67F4F" w:rsidP="00752CA0">
            <w:pPr>
              <w:spacing w:after="0"/>
              <w:rPr>
                <w:rFonts w:eastAsia="Times New Roman" w:cs="Times New Roman"/>
                <w:color w:val="000000"/>
                <w:sz w:val="20"/>
                <w:szCs w:val="20"/>
                <w:lang w:val="sr-Cyrl-RS" w:eastAsia="en-GB"/>
              </w:rPr>
            </w:pPr>
          </w:p>
          <w:p w14:paraId="1C64B473" w14:textId="6BF0BFF0" w:rsidR="00E67F4F" w:rsidRPr="00EF2F18" w:rsidRDefault="00E67F4F" w:rsidP="00752CA0">
            <w:pPr>
              <w:spacing w:after="0"/>
              <w:rPr>
                <w:rFonts w:eastAsia="Times New Roman" w:cs="Times New Roman"/>
                <w:color w:val="000000"/>
                <w:sz w:val="20"/>
                <w:szCs w:val="20"/>
                <w:lang w:val="sr-Cyrl-RS" w:eastAsia="en-GB"/>
              </w:rPr>
            </w:pPr>
          </w:p>
        </w:tc>
        <w:tc>
          <w:tcPr>
            <w:tcW w:w="1015" w:type="dxa"/>
            <w:tcBorders>
              <w:top w:val="single" w:sz="8" w:space="0" w:color="000000"/>
              <w:left w:val="single" w:sz="8" w:space="0" w:color="000000"/>
              <w:bottom w:val="double" w:sz="4" w:space="0" w:color="000000"/>
              <w:right w:val="single" w:sz="8" w:space="0" w:color="000000"/>
            </w:tcBorders>
            <w:hideMark/>
          </w:tcPr>
          <w:p w14:paraId="70D1DCAD" w14:textId="77777777" w:rsidR="00EE692D" w:rsidRPr="00EF2F18" w:rsidRDefault="00EE692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56.633</w:t>
            </w:r>
          </w:p>
          <w:p w14:paraId="682532F2" w14:textId="77777777" w:rsidR="00B34D5C" w:rsidRPr="00EF2F18" w:rsidRDefault="00B34D5C" w:rsidP="00752CA0">
            <w:pPr>
              <w:spacing w:after="0"/>
              <w:jc w:val="right"/>
              <w:rPr>
                <w:rFonts w:eastAsia="Times New Roman" w:cs="Times New Roman"/>
                <w:color w:val="000000"/>
                <w:sz w:val="20"/>
                <w:szCs w:val="20"/>
                <w:lang w:val="sr-Cyrl-RS" w:eastAsia="en-GB"/>
              </w:rPr>
            </w:pPr>
          </w:p>
          <w:p w14:paraId="54726EFA" w14:textId="77777777" w:rsidR="00B34D5C" w:rsidRPr="00EF2F18" w:rsidRDefault="00B34D5C" w:rsidP="00752CA0">
            <w:pPr>
              <w:spacing w:after="0"/>
              <w:jc w:val="right"/>
              <w:rPr>
                <w:rFonts w:eastAsia="Times New Roman" w:cs="Times New Roman"/>
                <w:color w:val="000000"/>
                <w:sz w:val="20"/>
                <w:szCs w:val="20"/>
                <w:lang w:val="sr-Cyrl-RS" w:eastAsia="en-GB"/>
              </w:rPr>
            </w:pPr>
          </w:p>
          <w:p w14:paraId="5B36DECE" w14:textId="77777777" w:rsidR="00B34D5C" w:rsidRPr="00EF2F18" w:rsidRDefault="00B34D5C" w:rsidP="00F363D2">
            <w:pPr>
              <w:spacing w:after="0"/>
              <w:jc w:val="right"/>
              <w:rPr>
                <w:rFonts w:eastAsia="Times New Roman" w:cs="Times New Roman"/>
                <w:color w:val="000000"/>
                <w:sz w:val="20"/>
                <w:szCs w:val="20"/>
                <w:lang w:val="sr-Cyrl-RS" w:eastAsia="en-GB"/>
              </w:rPr>
            </w:pPr>
          </w:p>
        </w:tc>
        <w:tc>
          <w:tcPr>
            <w:tcW w:w="1530" w:type="dxa"/>
            <w:tcBorders>
              <w:top w:val="single" w:sz="8" w:space="0" w:color="000000"/>
              <w:left w:val="single" w:sz="8" w:space="0" w:color="000000"/>
              <w:bottom w:val="double" w:sz="4" w:space="0" w:color="000000"/>
              <w:right w:val="single" w:sz="8" w:space="0" w:color="auto"/>
            </w:tcBorders>
          </w:tcPr>
          <w:p w14:paraId="292523F5" w14:textId="77777777" w:rsidR="00EE692D" w:rsidRPr="00EF2F18" w:rsidRDefault="00EE692D" w:rsidP="00752CA0">
            <w:pPr>
              <w:spacing w:after="0"/>
              <w:jc w:val="right"/>
              <w:rPr>
                <w:rFonts w:eastAsia="Times New Roman" w:cs="Times New Roman"/>
                <w:color w:val="000000"/>
                <w:sz w:val="20"/>
                <w:szCs w:val="20"/>
                <w:lang w:val="sr-Cyrl-RS" w:eastAsia="en-GB"/>
              </w:rPr>
            </w:pPr>
          </w:p>
          <w:p w14:paraId="2BA27142" w14:textId="77777777" w:rsidR="00630969" w:rsidRPr="00EF2F18" w:rsidRDefault="00630969" w:rsidP="00752CA0">
            <w:pPr>
              <w:spacing w:after="0"/>
              <w:jc w:val="right"/>
              <w:rPr>
                <w:rFonts w:eastAsia="Times New Roman" w:cs="Times New Roman"/>
                <w:color w:val="000000"/>
                <w:sz w:val="20"/>
                <w:szCs w:val="20"/>
                <w:lang w:val="sr-Cyrl-RS" w:eastAsia="en-GB"/>
              </w:rPr>
            </w:pPr>
          </w:p>
          <w:p w14:paraId="4DC2D025" w14:textId="77777777" w:rsidR="00630969" w:rsidRPr="00EF2F18" w:rsidRDefault="00630969" w:rsidP="00752CA0">
            <w:pPr>
              <w:spacing w:after="0"/>
              <w:jc w:val="right"/>
              <w:rPr>
                <w:rFonts w:eastAsia="Times New Roman" w:cs="Times New Roman"/>
                <w:color w:val="000000"/>
                <w:sz w:val="20"/>
                <w:szCs w:val="20"/>
                <w:lang w:val="sr-Cyrl-RS" w:eastAsia="en-GB"/>
              </w:rPr>
            </w:pPr>
          </w:p>
          <w:p w14:paraId="630E5B00" w14:textId="4F1EA6D7" w:rsidR="00630969" w:rsidRPr="00EF2F18" w:rsidRDefault="00630969" w:rsidP="00752CA0">
            <w:pPr>
              <w:spacing w:after="0"/>
              <w:jc w:val="right"/>
              <w:rPr>
                <w:rFonts w:eastAsia="Times New Roman" w:cs="Times New Roman"/>
                <w:color w:val="000000"/>
                <w:sz w:val="20"/>
                <w:szCs w:val="20"/>
                <w:lang w:val="sr-Cyrl-RS" w:eastAsia="en-GB"/>
              </w:rPr>
            </w:pPr>
          </w:p>
        </w:tc>
        <w:tc>
          <w:tcPr>
            <w:tcW w:w="1531" w:type="dxa"/>
            <w:tcBorders>
              <w:top w:val="single" w:sz="8" w:space="0" w:color="000000"/>
              <w:left w:val="single" w:sz="8" w:space="0" w:color="auto"/>
              <w:bottom w:val="double" w:sz="4" w:space="0" w:color="000000"/>
              <w:right w:val="double" w:sz="6" w:space="0" w:color="auto"/>
            </w:tcBorders>
          </w:tcPr>
          <w:p w14:paraId="38C60ADB" w14:textId="2FDF4DF5" w:rsidR="00EE692D" w:rsidRPr="00EF2F18" w:rsidRDefault="00EE692D" w:rsidP="00752CA0">
            <w:pPr>
              <w:spacing w:after="0"/>
              <w:jc w:val="right"/>
              <w:rPr>
                <w:rFonts w:eastAsia="Times New Roman" w:cs="Times New Roman"/>
                <w:color w:val="000000"/>
                <w:sz w:val="20"/>
                <w:szCs w:val="20"/>
                <w:lang w:val="sr-Cyrl-RS" w:eastAsia="en-GB"/>
              </w:rPr>
            </w:pPr>
          </w:p>
        </w:tc>
      </w:tr>
    </w:tbl>
    <w:p w14:paraId="3B6B3020" w14:textId="3E96F0A2" w:rsidR="007D7243" w:rsidRPr="00EF2F18" w:rsidRDefault="00573FE5"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54E54B81" w14:textId="77777777" w:rsidR="00573FE5" w:rsidRPr="00EF2F18" w:rsidRDefault="00573FE5" w:rsidP="007D7243">
      <w:pPr>
        <w:rPr>
          <w:rFonts w:cs="Times New Roman"/>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1000"/>
        <w:gridCol w:w="1520"/>
        <w:gridCol w:w="1060"/>
        <w:gridCol w:w="1397"/>
        <w:gridCol w:w="1783"/>
        <w:gridCol w:w="17"/>
      </w:tblGrid>
      <w:tr w:rsidR="007D7243" w:rsidRPr="00EF2F18" w14:paraId="256B0CC3" w14:textId="77777777" w:rsidTr="00EE692D">
        <w:trPr>
          <w:gridAfter w:val="1"/>
          <w:wAfter w:w="17" w:type="dxa"/>
          <w:trHeight w:val="336"/>
        </w:trPr>
        <w:tc>
          <w:tcPr>
            <w:tcW w:w="13640" w:type="dxa"/>
            <w:gridSpan w:val="9"/>
            <w:shd w:val="clear" w:color="000000" w:fill="F7CAAC"/>
            <w:hideMark/>
          </w:tcPr>
          <w:p w14:paraId="1A22001D"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6.1.5: Подршка даљем развоју формалног образовања за животну средину и одрживи развој</w:t>
            </w:r>
          </w:p>
        </w:tc>
      </w:tr>
      <w:tr w:rsidR="007D7243" w:rsidRPr="00EF2F18" w14:paraId="12BC5524" w14:textId="77777777" w:rsidTr="00EE692D">
        <w:trPr>
          <w:gridAfter w:val="1"/>
          <w:wAfter w:w="17" w:type="dxa"/>
          <w:trHeight w:val="336"/>
        </w:trPr>
        <w:tc>
          <w:tcPr>
            <w:tcW w:w="13640" w:type="dxa"/>
            <w:gridSpan w:val="9"/>
            <w:shd w:val="clear" w:color="000000" w:fill="F7CAAC"/>
            <w:hideMark/>
          </w:tcPr>
          <w:p w14:paraId="16D55F79"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5F50E4D8" w14:textId="77777777" w:rsidTr="00EE692D">
        <w:trPr>
          <w:gridAfter w:val="1"/>
          <w:wAfter w:w="17" w:type="dxa"/>
          <w:trHeight w:val="336"/>
        </w:trPr>
        <w:tc>
          <w:tcPr>
            <w:tcW w:w="6880" w:type="dxa"/>
            <w:gridSpan w:val="4"/>
            <w:shd w:val="clear" w:color="000000" w:fill="F7CAAC"/>
            <w:hideMark/>
          </w:tcPr>
          <w:p w14:paraId="5E1AF1AF" w14:textId="10700552"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EE692D"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shd w:val="clear" w:color="000000" w:fill="F7CAAC"/>
            <w:hideMark/>
          </w:tcPr>
          <w:p w14:paraId="4AB6BBD6"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 едукативна</w:t>
            </w:r>
          </w:p>
        </w:tc>
      </w:tr>
      <w:tr w:rsidR="007D7243" w:rsidRPr="00EF2F18" w14:paraId="462BD44A" w14:textId="77777777" w:rsidTr="00EE692D">
        <w:trPr>
          <w:gridAfter w:val="1"/>
          <w:wAfter w:w="17" w:type="dxa"/>
          <w:trHeight w:val="336"/>
        </w:trPr>
        <w:tc>
          <w:tcPr>
            <w:tcW w:w="6880" w:type="dxa"/>
            <w:gridSpan w:val="4"/>
            <w:shd w:val="clear" w:color="000000" w:fill="F7CAAC"/>
            <w:hideMark/>
          </w:tcPr>
          <w:p w14:paraId="3D682615"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shd w:val="clear" w:color="000000" w:fill="F7CAAC"/>
            <w:hideMark/>
          </w:tcPr>
          <w:p w14:paraId="5F89D7E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E692D" w:rsidRPr="00EF2F18" w14:paraId="621B8872" w14:textId="77777777" w:rsidTr="00EE692D">
        <w:trPr>
          <w:trHeight w:val="816"/>
        </w:trPr>
        <w:tc>
          <w:tcPr>
            <w:tcW w:w="3320" w:type="dxa"/>
            <w:shd w:val="clear" w:color="000000" w:fill="D9D9D9"/>
            <w:hideMark/>
          </w:tcPr>
          <w:p w14:paraId="1A7BF6E6"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shd w:val="clear" w:color="000000" w:fill="D9D9D9"/>
            <w:hideMark/>
          </w:tcPr>
          <w:p w14:paraId="20BB8B21"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shd w:val="clear" w:color="000000" w:fill="D9D9D9"/>
            <w:hideMark/>
          </w:tcPr>
          <w:p w14:paraId="55D545F5"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shd w:val="clear" w:color="000000" w:fill="D9D9D9"/>
            <w:hideMark/>
          </w:tcPr>
          <w:p w14:paraId="71E9A117"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shd w:val="clear" w:color="000000" w:fill="D9D9D9"/>
            <w:hideMark/>
          </w:tcPr>
          <w:p w14:paraId="2AD5EE6F"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shd w:val="clear" w:color="000000" w:fill="D9D9D9"/>
            <w:hideMark/>
          </w:tcPr>
          <w:p w14:paraId="7A3B02CA"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97" w:type="dxa"/>
            <w:shd w:val="clear" w:color="000000" w:fill="D9D9D9"/>
            <w:hideMark/>
          </w:tcPr>
          <w:p w14:paraId="44E6EE80"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shd w:val="clear" w:color="000000" w:fill="D9D9D9"/>
            <w:hideMark/>
          </w:tcPr>
          <w:p w14:paraId="6A588CB9"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E692D" w:rsidRPr="00EF2F18" w14:paraId="106B17D8" w14:textId="77777777" w:rsidTr="00EE692D">
        <w:trPr>
          <w:trHeight w:val="816"/>
        </w:trPr>
        <w:tc>
          <w:tcPr>
            <w:tcW w:w="3320" w:type="dxa"/>
            <w:shd w:val="clear" w:color="000000" w:fill="FFFFFF"/>
            <w:hideMark/>
          </w:tcPr>
          <w:p w14:paraId="554E6530"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нових студијских програма о заштити животне средине </w:t>
            </w:r>
            <w:r w:rsidRPr="00EF2F18">
              <w:rPr>
                <w:rFonts w:eastAsia="Times New Roman" w:cs="Times New Roman"/>
                <w:color w:val="000000"/>
                <w:sz w:val="18"/>
                <w:szCs w:val="18"/>
                <w:lang w:val="sr-Cyrl-RS" w:eastAsia="en-GB"/>
              </w:rPr>
              <w:t>и одрживог развоја</w:t>
            </w:r>
            <w:r w:rsidRPr="00EF2F18">
              <w:rPr>
                <w:rFonts w:eastAsia="Times New Roman" w:cs="Times New Roman"/>
                <w:color w:val="000000"/>
                <w:sz w:val="20"/>
                <w:szCs w:val="20"/>
                <w:lang w:val="sr-Cyrl-RS" w:eastAsia="en-GB"/>
              </w:rPr>
              <w:t>, укупно</w:t>
            </w:r>
          </w:p>
        </w:tc>
        <w:tc>
          <w:tcPr>
            <w:tcW w:w="1280" w:type="dxa"/>
            <w:shd w:val="clear" w:color="000000" w:fill="FFFFFF"/>
            <w:hideMark/>
          </w:tcPr>
          <w:p w14:paraId="3B8CD23B"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shd w:val="clear" w:color="000000" w:fill="FFFFFF"/>
            <w:hideMark/>
          </w:tcPr>
          <w:p w14:paraId="2469FB93" w14:textId="77777777" w:rsidR="00EE692D" w:rsidRPr="00EF2F18" w:rsidRDefault="00EE692D"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ЗУОВ</w:t>
            </w:r>
          </w:p>
        </w:tc>
        <w:tc>
          <w:tcPr>
            <w:tcW w:w="2000" w:type="dxa"/>
            <w:gridSpan w:val="2"/>
            <w:shd w:val="clear" w:color="000000" w:fill="FFFFFF"/>
            <w:hideMark/>
          </w:tcPr>
          <w:p w14:paraId="10E4FD96"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520" w:type="dxa"/>
            <w:shd w:val="clear" w:color="000000" w:fill="FFFFFF"/>
            <w:hideMark/>
          </w:tcPr>
          <w:p w14:paraId="3BE12C66"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shd w:val="clear" w:color="000000" w:fill="FFFFFF"/>
            <w:hideMark/>
          </w:tcPr>
          <w:p w14:paraId="3536FA53"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97" w:type="dxa"/>
            <w:shd w:val="clear" w:color="000000" w:fill="FFFFFF"/>
            <w:hideMark/>
          </w:tcPr>
          <w:p w14:paraId="192E0870"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c>
          <w:tcPr>
            <w:tcW w:w="1800" w:type="dxa"/>
            <w:gridSpan w:val="2"/>
            <w:shd w:val="clear" w:color="000000" w:fill="FFFFFF"/>
            <w:hideMark/>
          </w:tcPr>
          <w:p w14:paraId="160672B4"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r>
    </w:tbl>
    <w:p w14:paraId="777E72A3" w14:textId="77777777" w:rsidR="007D7243" w:rsidRPr="00EF2F18" w:rsidRDefault="007D7243" w:rsidP="007D7243">
      <w:pPr>
        <w:rPr>
          <w:rFonts w:cs="Times New Roman"/>
          <w:sz w:val="20"/>
          <w:szCs w:val="20"/>
          <w:lang w:val="sr-Cyrl-RS"/>
        </w:rPr>
      </w:pPr>
    </w:p>
    <w:tbl>
      <w:tblPr>
        <w:tblW w:w="13657" w:type="dxa"/>
        <w:tblLook w:val="04A0" w:firstRow="1" w:lastRow="0" w:firstColumn="1" w:lastColumn="0" w:noHBand="0" w:noVBand="1"/>
      </w:tblPr>
      <w:tblGrid>
        <w:gridCol w:w="3946"/>
        <w:gridCol w:w="2410"/>
        <w:gridCol w:w="1820"/>
        <w:gridCol w:w="2511"/>
        <w:gridCol w:w="2949"/>
        <w:gridCol w:w="21"/>
      </w:tblGrid>
      <w:tr w:rsidR="007D7243" w:rsidRPr="00EF2F18" w14:paraId="27ED6218" w14:textId="77777777" w:rsidTr="00EE692D">
        <w:trPr>
          <w:gridAfter w:val="1"/>
          <w:wAfter w:w="21" w:type="dxa"/>
          <w:trHeight w:val="336"/>
        </w:trPr>
        <w:tc>
          <w:tcPr>
            <w:tcW w:w="3946"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900C7C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1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DFC30B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0EE5FB7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E692D" w:rsidRPr="00EF2F18" w14:paraId="45CA2564" w14:textId="77777777" w:rsidTr="00EE692D">
        <w:trPr>
          <w:trHeight w:val="336"/>
        </w:trPr>
        <w:tc>
          <w:tcPr>
            <w:tcW w:w="3946" w:type="dxa"/>
            <w:vMerge/>
            <w:tcBorders>
              <w:top w:val="double" w:sz="6" w:space="0" w:color="auto"/>
              <w:left w:val="double" w:sz="6" w:space="0" w:color="auto"/>
              <w:bottom w:val="single" w:sz="8" w:space="0" w:color="000000"/>
              <w:right w:val="double" w:sz="6" w:space="0" w:color="auto"/>
            </w:tcBorders>
            <w:hideMark/>
          </w:tcPr>
          <w:p w14:paraId="58D90656" w14:textId="77777777" w:rsidR="00EE692D" w:rsidRPr="00EF2F18" w:rsidRDefault="00EE692D" w:rsidP="00752CA0">
            <w:pPr>
              <w:spacing w:after="0"/>
              <w:rPr>
                <w:rFonts w:eastAsia="Times New Roman" w:cs="Times New Roman"/>
                <w:color w:val="000000"/>
                <w:sz w:val="20"/>
                <w:szCs w:val="20"/>
                <w:lang w:val="sr-Cyrl-RS" w:eastAsia="en-GB"/>
              </w:rPr>
            </w:pPr>
          </w:p>
        </w:tc>
        <w:tc>
          <w:tcPr>
            <w:tcW w:w="2410" w:type="dxa"/>
            <w:vMerge/>
            <w:tcBorders>
              <w:top w:val="double" w:sz="6" w:space="0" w:color="auto"/>
              <w:left w:val="double" w:sz="6" w:space="0" w:color="auto"/>
              <w:bottom w:val="single" w:sz="8" w:space="0" w:color="000000"/>
              <w:right w:val="double" w:sz="6" w:space="0" w:color="auto"/>
            </w:tcBorders>
            <w:hideMark/>
          </w:tcPr>
          <w:p w14:paraId="18D5065C" w14:textId="77777777" w:rsidR="00EE692D" w:rsidRPr="00EF2F18" w:rsidRDefault="00EE692D"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20593191" w14:textId="67E4E1B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511" w:type="dxa"/>
            <w:tcBorders>
              <w:top w:val="nil"/>
              <w:left w:val="nil"/>
              <w:bottom w:val="double" w:sz="6" w:space="0" w:color="auto"/>
              <w:right w:val="double" w:sz="6" w:space="0" w:color="auto"/>
            </w:tcBorders>
            <w:shd w:val="clear" w:color="000000" w:fill="A8D08D"/>
            <w:hideMark/>
          </w:tcPr>
          <w:p w14:paraId="18CF44D2" w14:textId="2D39506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970" w:type="dxa"/>
            <w:gridSpan w:val="2"/>
            <w:tcBorders>
              <w:top w:val="nil"/>
              <w:left w:val="nil"/>
              <w:bottom w:val="double" w:sz="6" w:space="0" w:color="auto"/>
              <w:right w:val="double" w:sz="6" w:space="0" w:color="auto"/>
            </w:tcBorders>
            <w:shd w:val="clear" w:color="000000" w:fill="A8D08D"/>
            <w:hideMark/>
          </w:tcPr>
          <w:p w14:paraId="628FE828" w14:textId="2460A2E8"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E692D" w:rsidRPr="00EF2F18" w14:paraId="7F1C680B" w14:textId="77777777" w:rsidTr="00EE692D">
        <w:trPr>
          <w:trHeight w:val="324"/>
        </w:trPr>
        <w:tc>
          <w:tcPr>
            <w:tcW w:w="3946" w:type="dxa"/>
            <w:tcBorders>
              <w:top w:val="nil"/>
              <w:left w:val="double" w:sz="6" w:space="0" w:color="auto"/>
              <w:bottom w:val="double" w:sz="6" w:space="0" w:color="auto"/>
              <w:right w:val="double" w:sz="6" w:space="0" w:color="auto"/>
            </w:tcBorders>
            <w:shd w:val="clear" w:color="000000" w:fill="FFFFFF"/>
            <w:hideMark/>
          </w:tcPr>
          <w:p w14:paraId="77094584"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10" w:type="dxa"/>
            <w:tcBorders>
              <w:top w:val="nil"/>
              <w:left w:val="nil"/>
              <w:bottom w:val="double" w:sz="6" w:space="0" w:color="auto"/>
              <w:right w:val="double" w:sz="6" w:space="0" w:color="auto"/>
            </w:tcBorders>
            <w:shd w:val="clear" w:color="000000" w:fill="FFFFFF"/>
            <w:hideMark/>
          </w:tcPr>
          <w:p w14:paraId="39BCD124"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820" w:type="dxa"/>
            <w:tcBorders>
              <w:top w:val="nil"/>
              <w:left w:val="nil"/>
              <w:bottom w:val="double" w:sz="6" w:space="0" w:color="auto"/>
              <w:right w:val="double" w:sz="6" w:space="0" w:color="auto"/>
            </w:tcBorders>
          </w:tcPr>
          <w:p w14:paraId="4CD752FB" w14:textId="06DC8DA2" w:rsidR="00EE692D" w:rsidRPr="00EF2F18" w:rsidRDefault="00EE692D" w:rsidP="00752CA0">
            <w:pPr>
              <w:spacing w:after="0"/>
              <w:jc w:val="right"/>
              <w:rPr>
                <w:rFonts w:eastAsia="Times New Roman" w:cs="Times New Roman"/>
                <w:color w:val="000000"/>
                <w:sz w:val="20"/>
                <w:szCs w:val="20"/>
                <w:lang w:val="sr-Cyrl-RS" w:eastAsia="en-GB"/>
              </w:rPr>
            </w:pPr>
          </w:p>
        </w:tc>
        <w:tc>
          <w:tcPr>
            <w:tcW w:w="2511" w:type="dxa"/>
            <w:tcBorders>
              <w:top w:val="nil"/>
              <w:left w:val="nil"/>
              <w:bottom w:val="double" w:sz="6" w:space="0" w:color="auto"/>
              <w:right w:val="double" w:sz="6" w:space="0" w:color="auto"/>
            </w:tcBorders>
          </w:tcPr>
          <w:p w14:paraId="7B9733AF" w14:textId="60DFDADF" w:rsidR="00EE692D" w:rsidRPr="00EF2F18" w:rsidRDefault="00EE692D" w:rsidP="00752CA0">
            <w:pPr>
              <w:spacing w:after="0"/>
              <w:jc w:val="right"/>
              <w:rPr>
                <w:rFonts w:eastAsia="Times New Roman" w:cs="Times New Roman"/>
                <w:color w:val="000000"/>
                <w:sz w:val="20"/>
                <w:szCs w:val="20"/>
                <w:lang w:val="sr-Cyrl-RS" w:eastAsia="en-GB"/>
              </w:rPr>
            </w:pPr>
          </w:p>
        </w:tc>
        <w:tc>
          <w:tcPr>
            <w:tcW w:w="2970" w:type="dxa"/>
            <w:gridSpan w:val="2"/>
            <w:tcBorders>
              <w:top w:val="nil"/>
              <w:left w:val="nil"/>
              <w:bottom w:val="double" w:sz="6" w:space="0" w:color="auto"/>
              <w:right w:val="double" w:sz="6" w:space="0" w:color="auto"/>
            </w:tcBorders>
            <w:shd w:val="clear" w:color="000000" w:fill="FFFFFF"/>
          </w:tcPr>
          <w:p w14:paraId="72A6ABDE" w14:textId="6F31B454" w:rsidR="00EE692D" w:rsidRPr="00EF2F18" w:rsidRDefault="00EE692D" w:rsidP="00752CA0">
            <w:pPr>
              <w:spacing w:after="0"/>
              <w:jc w:val="right"/>
              <w:rPr>
                <w:rFonts w:eastAsia="Times New Roman" w:cs="Times New Roman"/>
                <w:color w:val="000000"/>
                <w:sz w:val="20"/>
                <w:szCs w:val="20"/>
                <w:lang w:val="sr-Cyrl-RS" w:eastAsia="en-GB"/>
              </w:rPr>
            </w:pPr>
          </w:p>
        </w:tc>
      </w:tr>
    </w:tbl>
    <w:p w14:paraId="7FD06CB2" w14:textId="77777777" w:rsidR="007D7243" w:rsidRPr="00EF2F18" w:rsidRDefault="007D7243" w:rsidP="007D7243">
      <w:pPr>
        <w:rPr>
          <w:sz w:val="20"/>
          <w:szCs w:val="20"/>
          <w:lang w:val="sr-Cyrl-RS"/>
        </w:rPr>
      </w:pPr>
      <w:r w:rsidRPr="00EF2F18">
        <w:rPr>
          <w:sz w:val="20"/>
          <w:szCs w:val="20"/>
          <w:lang w:val="sr-Cyrl-RS"/>
        </w:rPr>
        <w:t xml:space="preserve"> </w:t>
      </w:r>
    </w:p>
    <w:p w14:paraId="5147ED89" w14:textId="77777777" w:rsidR="00630969" w:rsidRPr="00EF2F18" w:rsidRDefault="00630969" w:rsidP="007D7243">
      <w:pPr>
        <w:rPr>
          <w:sz w:val="20"/>
          <w:szCs w:val="20"/>
          <w:lang w:val="sr-Cyrl-RS"/>
        </w:rPr>
      </w:pPr>
    </w:p>
    <w:tbl>
      <w:tblPr>
        <w:tblW w:w="13893" w:type="dxa"/>
        <w:tblLook w:val="04A0" w:firstRow="1" w:lastRow="0" w:firstColumn="1" w:lastColumn="0" w:noHBand="0" w:noVBand="1"/>
      </w:tblPr>
      <w:tblGrid>
        <w:gridCol w:w="2828"/>
        <w:gridCol w:w="1237"/>
        <w:gridCol w:w="1531"/>
        <w:gridCol w:w="1182"/>
        <w:gridCol w:w="1691"/>
        <w:gridCol w:w="1340"/>
        <w:gridCol w:w="1148"/>
        <w:gridCol w:w="1080"/>
        <w:gridCol w:w="1620"/>
        <w:gridCol w:w="236"/>
      </w:tblGrid>
      <w:tr w:rsidR="007D7243" w:rsidRPr="00EF2F18" w14:paraId="511ED686" w14:textId="77777777" w:rsidTr="00E67F4F">
        <w:trPr>
          <w:gridAfter w:val="1"/>
          <w:wAfter w:w="236" w:type="dxa"/>
          <w:trHeight w:val="732"/>
        </w:trPr>
        <w:tc>
          <w:tcPr>
            <w:tcW w:w="2828"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79E6EED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3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B66540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53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FB3406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AB991E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C1FC58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9EAA29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848" w:type="dxa"/>
            <w:gridSpan w:val="3"/>
            <w:tcBorders>
              <w:top w:val="double" w:sz="6" w:space="0" w:color="auto"/>
              <w:left w:val="nil"/>
              <w:bottom w:val="single" w:sz="8" w:space="0" w:color="auto"/>
              <w:right w:val="double" w:sz="6" w:space="0" w:color="auto"/>
            </w:tcBorders>
            <w:shd w:val="clear" w:color="000000" w:fill="FFF2CC"/>
            <w:hideMark/>
          </w:tcPr>
          <w:p w14:paraId="596D4C8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67F4F" w:rsidRPr="00EF2F18" w14:paraId="401B5CB6" w14:textId="77777777" w:rsidTr="00E67F4F">
        <w:trPr>
          <w:gridAfter w:val="1"/>
          <w:wAfter w:w="236" w:type="dxa"/>
          <w:trHeight w:val="324"/>
        </w:trPr>
        <w:tc>
          <w:tcPr>
            <w:tcW w:w="2828" w:type="dxa"/>
            <w:vMerge/>
            <w:tcBorders>
              <w:top w:val="double" w:sz="6" w:space="0" w:color="auto"/>
              <w:left w:val="double" w:sz="6" w:space="0" w:color="auto"/>
              <w:bottom w:val="single" w:sz="8" w:space="0" w:color="000000"/>
              <w:right w:val="single" w:sz="8" w:space="0" w:color="auto"/>
            </w:tcBorders>
            <w:vAlign w:val="center"/>
            <w:hideMark/>
          </w:tcPr>
          <w:p w14:paraId="2718C4F2" w14:textId="77777777" w:rsidR="00E67F4F" w:rsidRPr="00EF2F18" w:rsidRDefault="00E67F4F" w:rsidP="00752CA0">
            <w:pPr>
              <w:spacing w:after="0"/>
              <w:rPr>
                <w:rFonts w:eastAsia="Times New Roman" w:cs="Times New Roman"/>
                <w:color w:val="000000"/>
                <w:sz w:val="20"/>
                <w:szCs w:val="20"/>
                <w:lang w:val="sr-Cyrl-RS" w:eastAsia="en-GB"/>
              </w:rPr>
            </w:pPr>
          </w:p>
        </w:tc>
        <w:tc>
          <w:tcPr>
            <w:tcW w:w="1237" w:type="dxa"/>
            <w:vMerge/>
            <w:tcBorders>
              <w:top w:val="double" w:sz="6" w:space="0" w:color="auto"/>
              <w:left w:val="single" w:sz="8" w:space="0" w:color="auto"/>
              <w:bottom w:val="single" w:sz="8" w:space="0" w:color="000000"/>
              <w:right w:val="single" w:sz="8" w:space="0" w:color="auto"/>
            </w:tcBorders>
            <w:vAlign w:val="center"/>
            <w:hideMark/>
          </w:tcPr>
          <w:p w14:paraId="7C4851D3" w14:textId="77777777" w:rsidR="00E67F4F" w:rsidRPr="00EF2F18" w:rsidRDefault="00E67F4F" w:rsidP="00752CA0">
            <w:pPr>
              <w:spacing w:after="0"/>
              <w:rPr>
                <w:rFonts w:eastAsia="Times New Roman" w:cs="Times New Roman"/>
                <w:color w:val="000000"/>
                <w:sz w:val="20"/>
                <w:szCs w:val="20"/>
                <w:lang w:val="sr-Cyrl-RS" w:eastAsia="en-GB"/>
              </w:rPr>
            </w:pPr>
          </w:p>
        </w:tc>
        <w:tc>
          <w:tcPr>
            <w:tcW w:w="1531" w:type="dxa"/>
            <w:vMerge/>
            <w:tcBorders>
              <w:top w:val="double" w:sz="6" w:space="0" w:color="auto"/>
              <w:left w:val="single" w:sz="8" w:space="0" w:color="auto"/>
              <w:bottom w:val="single" w:sz="8" w:space="0" w:color="000000"/>
              <w:right w:val="single" w:sz="8" w:space="0" w:color="auto"/>
            </w:tcBorders>
            <w:vAlign w:val="center"/>
            <w:hideMark/>
          </w:tcPr>
          <w:p w14:paraId="7D780AA7" w14:textId="77777777" w:rsidR="00E67F4F" w:rsidRPr="00EF2F18" w:rsidRDefault="00E67F4F"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013DA461" w14:textId="77777777" w:rsidR="00E67F4F" w:rsidRPr="00EF2F18" w:rsidRDefault="00E67F4F"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34D7CC85" w14:textId="77777777" w:rsidR="00E67F4F" w:rsidRPr="00EF2F18" w:rsidRDefault="00E67F4F"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55CDD565" w14:textId="77777777" w:rsidR="00E67F4F" w:rsidRPr="00EF2F18" w:rsidRDefault="00E67F4F" w:rsidP="00752CA0">
            <w:pPr>
              <w:spacing w:after="0"/>
              <w:rPr>
                <w:rFonts w:eastAsia="Times New Roman" w:cs="Times New Roman"/>
                <w:color w:val="000000"/>
                <w:sz w:val="20"/>
                <w:szCs w:val="20"/>
                <w:lang w:val="sr-Cyrl-RS" w:eastAsia="en-GB"/>
              </w:rPr>
            </w:pPr>
          </w:p>
        </w:tc>
        <w:tc>
          <w:tcPr>
            <w:tcW w:w="1148" w:type="dxa"/>
            <w:tcBorders>
              <w:top w:val="nil"/>
              <w:left w:val="nil"/>
              <w:bottom w:val="single" w:sz="8" w:space="0" w:color="auto"/>
              <w:right w:val="single" w:sz="8" w:space="0" w:color="auto"/>
            </w:tcBorders>
            <w:shd w:val="clear" w:color="000000" w:fill="FFF2CC"/>
            <w:hideMark/>
          </w:tcPr>
          <w:p w14:paraId="5D4FF801" w14:textId="50AA41AF"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080" w:type="dxa"/>
            <w:tcBorders>
              <w:top w:val="nil"/>
              <w:left w:val="nil"/>
              <w:bottom w:val="single" w:sz="8" w:space="0" w:color="auto"/>
              <w:right w:val="single" w:sz="8" w:space="0" w:color="auto"/>
            </w:tcBorders>
            <w:shd w:val="clear" w:color="000000" w:fill="FFF2CC"/>
            <w:hideMark/>
          </w:tcPr>
          <w:p w14:paraId="5FEA2696" w14:textId="4F095ECE"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620" w:type="dxa"/>
            <w:tcBorders>
              <w:top w:val="nil"/>
              <w:left w:val="nil"/>
              <w:bottom w:val="single" w:sz="8" w:space="0" w:color="auto"/>
              <w:right w:val="double" w:sz="6" w:space="0" w:color="auto"/>
            </w:tcBorders>
            <w:shd w:val="clear" w:color="000000" w:fill="FFF2CC"/>
            <w:hideMark/>
          </w:tcPr>
          <w:p w14:paraId="34D73BBC" w14:textId="03B8FC8E" w:rsidR="00E67F4F"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E67F4F" w:rsidRPr="00EF2F18">
              <w:rPr>
                <w:rFonts w:eastAsia="Times New Roman" w:cs="Times New Roman"/>
                <w:sz w:val="20"/>
                <w:szCs w:val="20"/>
                <w:lang w:val="sr-Cyrl-RS" w:eastAsia="en-GB"/>
              </w:rPr>
              <w:t xml:space="preserve"> 2028.</w:t>
            </w:r>
          </w:p>
        </w:tc>
      </w:tr>
      <w:tr w:rsidR="00E67F4F" w:rsidRPr="00EF2F18" w14:paraId="505E02C7" w14:textId="77777777" w:rsidTr="003C7B33">
        <w:trPr>
          <w:gridAfter w:val="1"/>
          <w:wAfter w:w="236" w:type="dxa"/>
          <w:trHeight w:val="1860"/>
        </w:trPr>
        <w:tc>
          <w:tcPr>
            <w:tcW w:w="2828" w:type="dxa"/>
            <w:tcBorders>
              <w:top w:val="single" w:sz="4" w:space="0" w:color="auto"/>
              <w:left w:val="double" w:sz="6" w:space="0" w:color="auto"/>
              <w:bottom w:val="single" w:sz="8" w:space="0" w:color="auto"/>
              <w:right w:val="single" w:sz="8" w:space="0" w:color="auto"/>
            </w:tcBorders>
            <w:hideMark/>
          </w:tcPr>
          <w:p w14:paraId="74C07B8B"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lastRenderedPageBreak/>
              <w:t>6.1.5.1. Успостављање и спровођење редовних консултација о формалном образовању за одрживи развој са циљним групама: универзитетима, привредом, и другим учесницима</w:t>
            </w:r>
          </w:p>
        </w:tc>
        <w:tc>
          <w:tcPr>
            <w:tcW w:w="1237" w:type="dxa"/>
            <w:tcBorders>
              <w:top w:val="single" w:sz="4" w:space="0" w:color="auto"/>
              <w:left w:val="nil"/>
              <w:bottom w:val="single" w:sz="8" w:space="0" w:color="auto"/>
              <w:right w:val="single" w:sz="8" w:space="0" w:color="auto"/>
            </w:tcBorders>
            <w:hideMark/>
          </w:tcPr>
          <w:p w14:paraId="1750840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531" w:type="dxa"/>
            <w:tcBorders>
              <w:top w:val="single" w:sz="4" w:space="0" w:color="auto"/>
              <w:left w:val="nil"/>
              <w:bottom w:val="single" w:sz="8" w:space="0" w:color="auto"/>
              <w:right w:val="single" w:sz="8" w:space="0" w:color="auto"/>
            </w:tcBorders>
            <w:hideMark/>
          </w:tcPr>
          <w:p w14:paraId="06E4BB43"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МНТРИ, МПросвете, универзитети и друге заинтересоване стране, ЗУОВ</w:t>
            </w:r>
          </w:p>
        </w:tc>
        <w:tc>
          <w:tcPr>
            <w:tcW w:w="1182" w:type="dxa"/>
            <w:tcBorders>
              <w:top w:val="single" w:sz="4" w:space="0" w:color="auto"/>
              <w:left w:val="nil"/>
              <w:bottom w:val="single" w:sz="8" w:space="0" w:color="auto"/>
              <w:right w:val="single" w:sz="8" w:space="0" w:color="auto"/>
            </w:tcBorders>
            <w:hideMark/>
          </w:tcPr>
          <w:p w14:paraId="0FF0A2D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single" w:sz="8" w:space="0" w:color="auto"/>
              <w:right w:val="single" w:sz="8" w:space="0" w:color="auto"/>
            </w:tcBorders>
            <w:hideMark/>
          </w:tcPr>
          <w:p w14:paraId="1DA450C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43BC8683"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148" w:type="dxa"/>
            <w:tcBorders>
              <w:top w:val="single" w:sz="4" w:space="0" w:color="auto"/>
              <w:left w:val="nil"/>
              <w:bottom w:val="single" w:sz="8" w:space="0" w:color="auto"/>
              <w:right w:val="single" w:sz="8" w:space="0" w:color="auto"/>
            </w:tcBorders>
          </w:tcPr>
          <w:p w14:paraId="22699841" w14:textId="205E6675" w:rsidR="00E67F4F" w:rsidRPr="00EF2F18" w:rsidRDefault="00E67F4F" w:rsidP="00752CA0">
            <w:pPr>
              <w:spacing w:after="0"/>
              <w:jc w:val="right"/>
              <w:rPr>
                <w:rFonts w:eastAsia="Times New Roman" w:cs="Times New Roman"/>
                <w:color w:val="000000"/>
                <w:sz w:val="20"/>
                <w:szCs w:val="20"/>
                <w:lang w:val="sr-Cyrl-RS" w:eastAsia="en-GB"/>
              </w:rPr>
            </w:pPr>
          </w:p>
        </w:tc>
        <w:tc>
          <w:tcPr>
            <w:tcW w:w="1080" w:type="dxa"/>
            <w:tcBorders>
              <w:top w:val="single" w:sz="4" w:space="0" w:color="auto"/>
              <w:left w:val="nil"/>
              <w:bottom w:val="single" w:sz="8" w:space="0" w:color="auto"/>
              <w:right w:val="single" w:sz="8" w:space="0" w:color="auto"/>
            </w:tcBorders>
          </w:tcPr>
          <w:p w14:paraId="4802ABF0" w14:textId="5589BE82"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tcBorders>
              <w:top w:val="single" w:sz="4" w:space="0" w:color="auto"/>
              <w:left w:val="nil"/>
              <w:bottom w:val="single" w:sz="8" w:space="0" w:color="auto"/>
              <w:right w:val="double" w:sz="6" w:space="0" w:color="auto"/>
            </w:tcBorders>
          </w:tcPr>
          <w:p w14:paraId="298AE41D" w14:textId="6CD2295D"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04B00EE5" w14:textId="77777777" w:rsidTr="00E67F4F">
        <w:trPr>
          <w:gridAfter w:val="1"/>
          <w:wAfter w:w="236" w:type="dxa"/>
          <w:trHeight w:val="1260"/>
        </w:trPr>
        <w:tc>
          <w:tcPr>
            <w:tcW w:w="2828" w:type="dxa"/>
            <w:vMerge w:val="restart"/>
            <w:tcBorders>
              <w:top w:val="nil"/>
              <w:left w:val="double" w:sz="6" w:space="0" w:color="auto"/>
              <w:bottom w:val="single" w:sz="8" w:space="0" w:color="000000"/>
              <w:right w:val="single" w:sz="8" w:space="0" w:color="auto"/>
            </w:tcBorders>
            <w:hideMark/>
          </w:tcPr>
          <w:p w14:paraId="419D68C1"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6.1.5.2. Израда препорука за унапређење студијских програма и курикулима у области климатских промена</w:t>
            </w:r>
          </w:p>
        </w:tc>
        <w:tc>
          <w:tcPr>
            <w:tcW w:w="1237" w:type="dxa"/>
            <w:vMerge w:val="restart"/>
            <w:tcBorders>
              <w:top w:val="nil"/>
              <w:left w:val="single" w:sz="8" w:space="0" w:color="auto"/>
              <w:bottom w:val="single" w:sz="8" w:space="0" w:color="000000"/>
              <w:right w:val="single" w:sz="8" w:space="0" w:color="auto"/>
            </w:tcBorders>
            <w:hideMark/>
          </w:tcPr>
          <w:p w14:paraId="4EC8937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531" w:type="dxa"/>
            <w:vMerge w:val="restart"/>
            <w:tcBorders>
              <w:top w:val="nil"/>
              <w:left w:val="single" w:sz="8" w:space="0" w:color="auto"/>
              <w:bottom w:val="single" w:sz="8" w:space="0" w:color="000000"/>
              <w:right w:val="single" w:sz="8" w:space="0" w:color="auto"/>
            </w:tcBorders>
            <w:hideMark/>
          </w:tcPr>
          <w:p w14:paraId="7FCF51B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МНТРИ, МПросвете, универзитети и друге заинтересоване стране</w:t>
            </w:r>
          </w:p>
        </w:tc>
        <w:tc>
          <w:tcPr>
            <w:tcW w:w="1182" w:type="dxa"/>
            <w:vMerge w:val="restart"/>
            <w:tcBorders>
              <w:top w:val="nil"/>
              <w:left w:val="single" w:sz="8" w:space="0" w:color="auto"/>
              <w:bottom w:val="single" w:sz="8" w:space="0" w:color="000000"/>
              <w:right w:val="single" w:sz="8" w:space="0" w:color="auto"/>
            </w:tcBorders>
            <w:hideMark/>
          </w:tcPr>
          <w:p w14:paraId="4F7FC15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vMerge w:val="restart"/>
            <w:tcBorders>
              <w:top w:val="nil"/>
              <w:left w:val="single" w:sz="8" w:space="0" w:color="auto"/>
              <w:bottom w:val="single" w:sz="8" w:space="0" w:color="000000"/>
              <w:right w:val="single" w:sz="8" w:space="0" w:color="auto"/>
            </w:tcBorders>
            <w:hideMark/>
          </w:tcPr>
          <w:p w14:paraId="7329D071"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vMerge w:val="restart"/>
            <w:tcBorders>
              <w:top w:val="nil"/>
              <w:left w:val="single" w:sz="8" w:space="0" w:color="auto"/>
              <w:bottom w:val="single" w:sz="8" w:space="0" w:color="000000"/>
              <w:right w:val="single" w:sz="8" w:space="0" w:color="auto"/>
            </w:tcBorders>
            <w:hideMark/>
          </w:tcPr>
          <w:p w14:paraId="262E801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148" w:type="dxa"/>
            <w:vMerge w:val="restart"/>
            <w:tcBorders>
              <w:top w:val="nil"/>
              <w:left w:val="single" w:sz="8" w:space="0" w:color="auto"/>
              <w:bottom w:val="single" w:sz="8" w:space="0" w:color="000000"/>
              <w:right w:val="single" w:sz="8" w:space="0" w:color="auto"/>
            </w:tcBorders>
          </w:tcPr>
          <w:p w14:paraId="17D4C073" w14:textId="76205EA9" w:rsidR="00E67F4F" w:rsidRPr="00EF2F18" w:rsidRDefault="00E67F4F" w:rsidP="00752CA0">
            <w:pPr>
              <w:spacing w:after="0"/>
              <w:jc w:val="right"/>
              <w:rPr>
                <w:rFonts w:eastAsia="Times New Roman" w:cs="Times New Roman"/>
                <w:color w:val="000000"/>
                <w:sz w:val="20"/>
                <w:szCs w:val="20"/>
                <w:lang w:val="sr-Cyrl-RS" w:eastAsia="en-GB"/>
              </w:rPr>
            </w:pPr>
          </w:p>
        </w:tc>
        <w:tc>
          <w:tcPr>
            <w:tcW w:w="1080" w:type="dxa"/>
            <w:vMerge w:val="restart"/>
            <w:tcBorders>
              <w:top w:val="nil"/>
              <w:left w:val="single" w:sz="8" w:space="0" w:color="auto"/>
              <w:bottom w:val="single" w:sz="8" w:space="0" w:color="000000"/>
              <w:right w:val="single" w:sz="8" w:space="0" w:color="auto"/>
            </w:tcBorders>
          </w:tcPr>
          <w:p w14:paraId="57E7C5E1" w14:textId="7F7CE9C0"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vMerge w:val="restart"/>
            <w:tcBorders>
              <w:top w:val="nil"/>
              <w:left w:val="single" w:sz="8" w:space="0" w:color="auto"/>
              <w:bottom w:val="single" w:sz="8" w:space="0" w:color="000000"/>
              <w:right w:val="double" w:sz="6" w:space="0" w:color="auto"/>
            </w:tcBorders>
          </w:tcPr>
          <w:p w14:paraId="719F3B3A" w14:textId="29A3799B"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22992535" w14:textId="77777777" w:rsidTr="00E67F4F">
        <w:trPr>
          <w:trHeight w:val="324"/>
        </w:trPr>
        <w:tc>
          <w:tcPr>
            <w:tcW w:w="2828" w:type="dxa"/>
            <w:vMerge/>
            <w:tcBorders>
              <w:top w:val="nil"/>
              <w:left w:val="double" w:sz="6" w:space="0" w:color="auto"/>
              <w:bottom w:val="single" w:sz="8" w:space="0" w:color="000000"/>
              <w:right w:val="single" w:sz="8" w:space="0" w:color="auto"/>
            </w:tcBorders>
            <w:vAlign w:val="center"/>
            <w:hideMark/>
          </w:tcPr>
          <w:p w14:paraId="71380D2D" w14:textId="77777777" w:rsidR="00E67F4F" w:rsidRPr="00EF2F18" w:rsidRDefault="00E67F4F" w:rsidP="00752CA0">
            <w:pPr>
              <w:spacing w:after="0"/>
              <w:rPr>
                <w:rFonts w:eastAsia="Times New Roman" w:cs="Times New Roman"/>
                <w:color w:val="000000"/>
                <w:sz w:val="20"/>
                <w:szCs w:val="20"/>
                <w:lang w:val="sr-Cyrl-RS" w:eastAsia="en-GB"/>
              </w:rPr>
            </w:pPr>
          </w:p>
        </w:tc>
        <w:tc>
          <w:tcPr>
            <w:tcW w:w="1237" w:type="dxa"/>
            <w:vMerge/>
            <w:tcBorders>
              <w:top w:val="nil"/>
              <w:left w:val="single" w:sz="8" w:space="0" w:color="auto"/>
              <w:bottom w:val="single" w:sz="8" w:space="0" w:color="000000"/>
              <w:right w:val="single" w:sz="8" w:space="0" w:color="auto"/>
            </w:tcBorders>
            <w:vAlign w:val="center"/>
            <w:hideMark/>
          </w:tcPr>
          <w:p w14:paraId="0E5E7B13" w14:textId="77777777" w:rsidR="00E67F4F" w:rsidRPr="00EF2F18" w:rsidRDefault="00E67F4F" w:rsidP="00752CA0">
            <w:pPr>
              <w:spacing w:after="0"/>
              <w:rPr>
                <w:rFonts w:eastAsia="Times New Roman" w:cs="Times New Roman"/>
                <w:color w:val="000000"/>
                <w:sz w:val="20"/>
                <w:szCs w:val="20"/>
                <w:lang w:val="sr-Cyrl-RS" w:eastAsia="en-GB"/>
              </w:rPr>
            </w:pPr>
          </w:p>
        </w:tc>
        <w:tc>
          <w:tcPr>
            <w:tcW w:w="1531" w:type="dxa"/>
            <w:vMerge/>
            <w:tcBorders>
              <w:top w:val="nil"/>
              <w:left w:val="single" w:sz="8" w:space="0" w:color="auto"/>
              <w:bottom w:val="single" w:sz="8" w:space="0" w:color="000000"/>
              <w:right w:val="single" w:sz="8" w:space="0" w:color="auto"/>
            </w:tcBorders>
            <w:vAlign w:val="center"/>
            <w:hideMark/>
          </w:tcPr>
          <w:p w14:paraId="59A447F7" w14:textId="77777777" w:rsidR="00E67F4F" w:rsidRPr="00EF2F18" w:rsidRDefault="00E67F4F"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single" w:sz="8" w:space="0" w:color="000000"/>
              <w:right w:val="single" w:sz="8" w:space="0" w:color="auto"/>
            </w:tcBorders>
            <w:vAlign w:val="center"/>
            <w:hideMark/>
          </w:tcPr>
          <w:p w14:paraId="0E69B430" w14:textId="77777777" w:rsidR="00E67F4F" w:rsidRPr="00EF2F18" w:rsidRDefault="00E67F4F" w:rsidP="00752CA0">
            <w:pPr>
              <w:spacing w:after="0"/>
              <w:rPr>
                <w:rFonts w:eastAsia="Times New Roman" w:cs="Times New Roman"/>
                <w:color w:val="000000"/>
                <w:sz w:val="20"/>
                <w:szCs w:val="20"/>
                <w:lang w:val="sr-Cyrl-RS" w:eastAsia="en-GB"/>
              </w:rPr>
            </w:pPr>
          </w:p>
        </w:tc>
        <w:tc>
          <w:tcPr>
            <w:tcW w:w="1691" w:type="dxa"/>
            <w:vMerge/>
            <w:tcBorders>
              <w:top w:val="nil"/>
              <w:left w:val="single" w:sz="8" w:space="0" w:color="auto"/>
              <w:bottom w:val="single" w:sz="8" w:space="0" w:color="000000"/>
              <w:right w:val="single" w:sz="8" w:space="0" w:color="auto"/>
            </w:tcBorders>
            <w:vAlign w:val="center"/>
            <w:hideMark/>
          </w:tcPr>
          <w:p w14:paraId="083246AB" w14:textId="77777777" w:rsidR="00E67F4F" w:rsidRPr="00EF2F18" w:rsidRDefault="00E67F4F" w:rsidP="00752CA0">
            <w:pPr>
              <w:spacing w:after="0"/>
              <w:rPr>
                <w:rFonts w:eastAsia="Times New Roman" w:cs="Times New Roman"/>
                <w:color w:val="000000"/>
                <w:sz w:val="20"/>
                <w:szCs w:val="20"/>
                <w:lang w:val="sr-Cyrl-RS" w:eastAsia="en-GB"/>
              </w:rPr>
            </w:pPr>
          </w:p>
        </w:tc>
        <w:tc>
          <w:tcPr>
            <w:tcW w:w="1340" w:type="dxa"/>
            <w:vMerge/>
            <w:tcBorders>
              <w:top w:val="nil"/>
              <w:left w:val="single" w:sz="8" w:space="0" w:color="auto"/>
              <w:bottom w:val="single" w:sz="8" w:space="0" w:color="000000"/>
              <w:right w:val="single" w:sz="8" w:space="0" w:color="auto"/>
            </w:tcBorders>
            <w:vAlign w:val="center"/>
            <w:hideMark/>
          </w:tcPr>
          <w:p w14:paraId="0BCDCE90" w14:textId="77777777" w:rsidR="00E67F4F" w:rsidRPr="00EF2F18" w:rsidRDefault="00E67F4F" w:rsidP="00752CA0">
            <w:pPr>
              <w:spacing w:after="0"/>
              <w:rPr>
                <w:rFonts w:eastAsia="Times New Roman" w:cs="Times New Roman"/>
                <w:color w:val="000000"/>
                <w:sz w:val="20"/>
                <w:szCs w:val="20"/>
                <w:lang w:val="sr-Cyrl-RS" w:eastAsia="en-GB"/>
              </w:rPr>
            </w:pPr>
          </w:p>
        </w:tc>
        <w:tc>
          <w:tcPr>
            <w:tcW w:w="1148" w:type="dxa"/>
            <w:vMerge/>
            <w:tcBorders>
              <w:top w:val="nil"/>
              <w:left w:val="single" w:sz="8" w:space="0" w:color="auto"/>
              <w:bottom w:val="single" w:sz="8" w:space="0" w:color="000000"/>
              <w:right w:val="single" w:sz="8" w:space="0" w:color="auto"/>
            </w:tcBorders>
            <w:vAlign w:val="center"/>
          </w:tcPr>
          <w:p w14:paraId="760C1216" w14:textId="77777777" w:rsidR="00E67F4F" w:rsidRPr="00EF2F18" w:rsidRDefault="00E67F4F" w:rsidP="00752CA0">
            <w:pPr>
              <w:spacing w:after="0"/>
              <w:jc w:val="right"/>
              <w:rPr>
                <w:rFonts w:eastAsia="Times New Roman" w:cs="Times New Roman"/>
                <w:color w:val="000000"/>
                <w:sz w:val="20"/>
                <w:szCs w:val="20"/>
                <w:lang w:val="sr-Cyrl-RS" w:eastAsia="en-GB"/>
              </w:rPr>
            </w:pPr>
          </w:p>
        </w:tc>
        <w:tc>
          <w:tcPr>
            <w:tcW w:w="1080" w:type="dxa"/>
            <w:vMerge/>
            <w:tcBorders>
              <w:top w:val="nil"/>
              <w:left w:val="single" w:sz="8" w:space="0" w:color="auto"/>
              <w:bottom w:val="single" w:sz="8" w:space="0" w:color="000000"/>
              <w:right w:val="single" w:sz="8" w:space="0" w:color="auto"/>
            </w:tcBorders>
            <w:vAlign w:val="center"/>
          </w:tcPr>
          <w:p w14:paraId="481EBED1" w14:textId="77777777"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vMerge/>
            <w:tcBorders>
              <w:top w:val="nil"/>
              <w:left w:val="single" w:sz="8" w:space="0" w:color="auto"/>
              <w:bottom w:val="single" w:sz="8" w:space="0" w:color="000000"/>
              <w:right w:val="double" w:sz="6" w:space="0" w:color="auto"/>
            </w:tcBorders>
            <w:vAlign w:val="center"/>
          </w:tcPr>
          <w:p w14:paraId="5E8B3642" w14:textId="77777777" w:rsidR="00E67F4F" w:rsidRPr="00EF2F18" w:rsidRDefault="00E67F4F" w:rsidP="00752CA0">
            <w:pPr>
              <w:spacing w:after="0"/>
              <w:jc w:val="right"/>
              <w:rPr>
                <w:rFonts w:eastAsia="Times New Roman" w:cs="Times New Roman"/>
                <w:color w:val="000000"/>
                <w:sz w:val="20"/>
                <w:szCs w:val="20"/>
                <w:lang w:val="sr-Cyrl-RS" w:eastAsia="en-GB"/>
              </w:rPr>
            </w:pPr>
          </w:p>
        </w:tc>
        <w:tc>
          <w:tcPr>
            <w:tcW w:w="236" w:type="dxa"/>
            <w:tcBorders>
              <w:top w:val="nil"/>
              <w:left w:val="nil"/>
              <w:bottom w:val="nil"/>
              <w:right w:val="nil"/>
            </w:tcBorders>
            <w:noWrap/>
            <w:vAlign w:val="bottom"/>
            <w:hideMark/>
          </w:tcPr>
          <w:p w14:paraId="1DAD761E" w14:textId="77777777" w:rsidR="00E67F4F" w:rsidRPr="00EF2F18" w:rsidRDefault="00E67F4F" w:rsidP="00752CA0">
            <w:pPr>
              <w:spacing w:after="0"/>
              <w:rPr>
                <w:rFonts w:eastAsia="Times New Roman" w:cs="Times New Roman"/>
                <w:color w:val="000000"/>
                <w:sz w:val="20"/>
                <w:szCs w:val="20"/>
                <w:lang w:val="sr-Cyrl-RS" w:eastAsia="en-GB"/>
              </w:rPr>
            </w:pPr>
          </w:p>
        </w:tc>
      </w:tr>
      <w:tr w:rsidR="00E67F4F" w:rsidRPr="00EF2F18" w14:paraId="34EC5AB2" w14:textId="77777777" w:rsidTr="001664F3">
        <w:trPr>
          <w:trHeight w:val="1068"/>
        </w:trPr>
        <w:tc>
          <w:tcPr>
            <w:tcW w:w="2828" w:type="dxa"/>
            <w:tcBorders>
              <w:top w:val="single" w:sz="4" w:space="0" w:color="auto"/>
              <w:left w:val="double" w:sz="6" w:space="0" w:color="auto"/>
              <w:bottom w:val="double" w:sz="6" w:space="0" w:color="auto"/>
              <w:right w:val="single" w:sz="8" w:space="0" w:color="auto"/>
            </w:tcBorders>
            <w:hideMark/>
          </w:tcPr>
          <w:p w14:paraId="6835209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 xml:space="preserve">6.1.5.3 Подршка реализацији акредитованих студијских програма Универзитета у Београду о климатским променама </w:t>
            </w:r>
          </w:p>
        </w:tc>
        <w:tc>
          <w:tcPr>
            <w:tcW w:w="1237" w:type="dxa"/>
            <w:tcBorders>
              <w:top w:val="single" w:sz="4" w:space="0" w:color="auto"/>
              <w:left w:val="nil"/>
              <w:bottom w:val="double" w:sz="6" w:space="0" w:color="auto"/>
              <w:right w:val="single" w:sz="8" w:space="0" w:color="auto"/>
            </w:tcBorders>
            <w:hideMark/>
          </w:tcPr>
          <w:p w14:paraId="593045D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531" w:type="dxa"/>
            <w:tcBorders>
              <w:top w:val="single" w:sz="4" w:space="0" w:color="auto"/>
              <w:left w:val="nil"/>
              <w:bottom w:val="double" w:sz="6" w:space="0" w:color="auto"/>
              <w:right w:val="single" w:sz="8" w:space="0" w:color="auto"/>
            </w:tcBorders>
            <w:hideMark/>
          </w:tcPr>
          <w:p w14:paraId="2BF4A5D9"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МПросвете, НИО, ВШУ, МНТРИ, НАТ</w:t>
            </w:r>
          </w:p>
        </w:tc>
        <w:tc>
          <w:tcPr>
            <w:tcW w:w="1182" w:type="dxa"/>
            <w:tcBorders>
              <w:top w:val="single" w:sz="4" w:space="0" w:color="auto"/>
              <w:left w:val="nil"/>
              <w:bottom w:val="double" w:sz="6" w:space="0" w:color="auto"/>
              <w:right w:val="single" w:sz="8" w:space="0" w:color="auto"/>
            </w:tcBorders>
            <w:hideMark/>
          </w:tcPr>
          <w:p w14:paraId="638B2DA7"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single" w:sz="4" w:space="0" w:color="auto"/>
              <w:left w:val="nil"/>
              <w:bottom w:val="double" w:sz="6" w:space="0" w:color="auto"/>
              <w:right w:val="single" w:sz="8" w:space="0" w:color="auto"/>
            </w:tcBorders>
            <w:hideMark/>
          </w:tcPr>
          <w:p w14:paraId="6D6345D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double" w:sz="6" w:space="0" w:color="auto"/>
              <w:right w:val="single" w:sz="8" w:space="0" w:color="auto"/>
            </w:tcBorders>
            <w:hideMark/>
          </w:tcPr>
          <w:p w14:paraId="147C4C9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148" w:type="dxa"/>
            <w:tcBorders>
              <w:top w:val="single" w:sz="4" w:space="0" w:color="auto"/>
              <w:left w:val="nil"/>
              <w:bottom w:val="double" w:sz="6" w:space="0" w:color="auto"/>
              <w:right w:val="single" w:sz="8" w:space="0" w:color="auto"/>
            </w:tcBorders>
          </w:tcPr>
          <w:p w14:paraId="1C637C78" w14:textId="0562CCDA" w:rsidR="00E67F4F" w:rsidRPr="00EF2F18" w:rsidRDefault="00E67F4F" w:rsidP="00752CA0">
            <w:pPr>
              <w:spacing w:after="0"/>
              <w:jc w:val="right"/>
              <w:rPr>
                <w:rFonts w:eastAsia="Times New Roman" w:cs="Times New Roman"/>
                <w:color w:val="000000"/>
                <w:sz w:val="20"/>
                <w:szCs w:val="20"/>
                <w:lang w:val="sr-Cyrl-RS" w:eastAsia="en-GB"/>
              </w:rPr>
            </w:pPr>
          </w:p>
        </w:tc>
        <w:tc>
          <w:tcPr>
            <w:tcW w:w="1080" w:type="dxa"/>
            <w:tcBorders>
              <w:top w:val="single" w:sz="4" w:space="0" w:color="auto"/>
              <w:left w:val="nil"/>
              <w:bottom w:val="double" w:sz="6" w:space="0" w:color="auto"/>
              <w:right w:val="single" w:sz="8" w:space="0" w:color="auto"/>
            </w:tcBorders>
          </w:tcPr>
          <w:p w14:paraId="2FAAC9C2" w14:textId="4DA31B80"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tcBorders>
              <w:top w:val="single" w:sz="4" w:space="0" w:color="auto"/>
              <w:left w:val="nil"/>
              <w:bottom w:val="double" w:sz="6" w:space="0" w:color="auto"/>
              <w:right w:val="double" w:sz="6" w:space="0" w:color="auto"/>
            </w:tcBorders>
          </w:tcPr>
          <w:p w14:paraId="460AD9DD" w14:textId="5EF08ECC" w:rsidR="00E67F4F" w:rsidRPr="00EF2F18" w:rsidRDefault="00E67F4F" w:rsidP="00752CA0">
            <w:pPr>
              <w:spacing w:after="0"/>
              <w:jc w:val="right"/>
              <w:rPr>
                <w:rFonts w:eastAsia="Times New Roman" w:cs="Times New Roman"/>
                <w:color w:val="000000"/>
                <w:sz w:val="20"/>
                <w:szCs w:val="20"/>
                <w:lang w:val="sr-Cyrl-RS" w:eastAsia="en-GB"/>
              </w:rPr>
            </w:pPr>
          </w:p>
        </w:tc>
        <w:tc>
          <w:tcPr>
            <w:tcW w:w="236" w:type="dxa"/>
            <w:vAlign w:val="center"/>
            <w:hideMark/>
          </w:tcPr>
          <w:p w14:paraId="2954CA94" w14:textId="77777777" w:rsidR="00E67F4F" w:rsidRPr="00EF2F18" w:rsidRDefault="00E67F4F" w:rsidP="00752CA0">
            <w:pPr>
              <w:spacing w:after="0"/>
              <w:rPr>
                <w:rFonts w:eastAsia="Times New Roman" w:cs="Times New Roman"/>
                <w:sz w:val="20"/>
                <w:szCs w:val="20"/>
                <w:lang w:val="sr-Cyrl-RS" w:eastAsia="en-GB"/>
              </w:rPr>
            </w:pPr>
          </w:p>
        </w:tc>
      </w:tr>
    </w:tbl>
    <w:p w14:paraId="6A602AB7" w14:textId="77777777" w:rsidR="007D7243" w:rsidRPr="00EF2F18" w:rsidRDefault="007D7243" w:rsidP="007D7243">
      <w:pPr>
        <w:rPr>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060"/>
        <w:gridCol w:w="1487"/>
        <w:gridCol w:w="1693"/>
        <w:gridCol w:w="17"/>
      </w:tblGrid>
      <w:tr w:rsidR="007D7243" w:rsidRPr="00EF2F18" w14:paraId="4FBB0B47" w14:textId="77777777" w:rsidTr="00E67F4F">
        <w:trPr>
          <w:gridAfter w:val="1"/>
          <w:wAfter w:w="17" w:type="dxa"/>
          <w:trHeight w:val="528"/>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06539656"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6.1.6: Подизање свести и нивоа знања заинтересованих страна и јавности о значају животне средине, одрживог развоја и климатских промена</w:t>
            </w:r>
          </w:p>
        </w:tc>
      </w:tr>
      <w:tr w:rsidR="007D7243" w:rsidRPr="00EF2F18" w14:paraId="54A38B1E" w14:textId="77777777" w:rsidTr="00E67F4F">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5AC78CF"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3B805523" w14:textId="77777777" w:rsidTr="00E67F4F">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211CE9A6" w14:textId="1B7AB821"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E67F4F"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6D3C406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 едукативна</w:t>
            </w:r>
          </w:p>
        </w:tc>
      </w:tr>
      <w:tr w:rsidR="007D7243" w:rsidRPr="00EF2F18" w14:paraId="6A6CF19D" w14:textId="77777777" w:rsidTr="00E67F4F">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454EFAC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01F68C3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67F4F" w:rsidRPr="00EF2F18" w14:paraId="65337495" w14:textId="77777777" w:rsidTr="00E67F4F">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707E0E9E"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2F03BA89"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3D17EC6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59D585C2"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6F7948D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double" w:sz="6" w:space="0" w:color="auto"/>
              <w:bottom w:val="double" w:sz="6" w:space="0" w:color="auto"/>
              <w:right w:val="nil"/>
            </w:tcBorders>
            <w:shd w:val="clear" w:color="000000" w:fill="D9D9D9"/>
            <w:hideMark/>
          </w:tcPr>
          <w:p w14:paraId="091531A3"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487" w:type="dxa"/>
            <w:tcBorders>
              <w:top w:val="nil"/>
              <w:left w:val="nil"/>
              <w:bottom w:val="double" w:sz="6" w:space="0" w:color="auto"/>
              <w:right w:val="single" w:sz="8" w:space="0" w:color="auto"/>
            </w:tcBorders>
            <w:shd w:val="clear" w:color="000000" w:fill="D9D9D9"/>
            <w:hideMark/>
          </w:tcPr>
          <w:p w14:paraId="0D1DF569"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tcBorders>
              <w:top w:val="nil"/>
              <w:left w:val="nil"/>
              <w:bottom w:val="double" w:sz="6" w:space="0" w:color="auto"/>
              <w:right w:val="double" w:sz="6" w:space="0" w:color="auto"/>
            </w:tcBorders>
            <w:shd w:val="clear" w:color="000000" w:fill="D9D9D9"/>
            <w:hideMark/>
          </w:tcPr>
          <w:p w14:paraId="515C83A7"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67F4F" w:rsidRPr="00EF2F18" w14:paraId="3D6F9556" w14:textId="77777777" w:rsidTr="00E67F4F">
        <w:trPr>
          <w:trHeight w:val="468"/>
        </w:trPr>
        <w:tc>
          <w:tcPr>
            <w:tcW w:w="3320" w:type="dxa"/>
            <w:vMerge w:val="restart"/>
            <w:tcBorders>
              <w:top w:val="nil"/>
              <w:left w:val="double" w:sz="6" w:space="0" w:color="auto"/>
              <w:bottom w:val="double" w:sz="6" w:space="0" w:color="000000"/>
              <w:right w:val="single" w:sz="8" w:space="0" w:color="auto"/>
            </w:tcBorders>
            <w:shd w:val="clear" w:color="000000" w:fill="FFFFFF"/>
            <w:hideMark/>
          </w:tcPr>
          <w:p w14:paraId="020C6CF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организованих кампања за заинтересоване стране и јавност, годишње</w:t>
            </w:r>
          </w:p>
        </w:tc>
        <w:tc>
          <w:tcPr>
            <w:tcW w:w="1280" w:type="dxa"/>
            <w:vMerge w:val="restart"/>
            <w:tcBorders>
              <w:top w:val="nil"/>
              <w:left w:val="single" w:sz="8" w:space="0" w:color="auto"/>
              <w:bottom w:val="double" w:sz="6" w:space="0" w:color="000000"/>
              <w:right w:val="single" w:sz="8" w:space="0" w:color="auto"/>
            </w:tcBorders>
            <w:shd w:val="clear" w:color="000000" w:fill="FFFFFF"/>
            <w:hideMark/>
          </w:tcPr>
          <w:p w14:paraId="31BC3A36"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vMerge w:val="restart"/>
            <w:tcBorders>
              <w:top w:val="nil"/>
              <w:left w:val="single" w:sz="8" w:space="0" w:color="auto"/>
              <w:bottom w:val="double" w:sz="6" w:space="0" w:color="000000"/>
              <w:right w:val="single" w:sz="8" w:space="0" w:color="auto"/>
            </w:tcBorders>
            <w:shd w:val="clear" w:color="000000" w:fill="FFFFFF"/>
            <w:hideMark/>
          </w:tcPr>
          <w:p w14:paraId="1D11E93C" w14:textId="77777777" w:rsidR="00E67F4F" w:rsidRPr="00EF2F18" w:rsidRDefault="00E67F4F"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w:t>
            </w:r>
          </w:p>
        </w:tc>
        <w:tc>
          <w:tcPr>
            <w:tcW w:w="2000" w:type="dxa"/>
            <w:gridSpan w:val="2"/>
            <w:vMerge w:val="restart"/>
            <w:tcBorders>
              <w:top w:val="double" w:sz="6" w:space="0" w:color="auto"/>
              <w:left w:val="single" w:sz="8" w:space="0" w:color="auto"/>
              <w:bottom w:val="double" w:sz="6" w:space="0" w:color="000000"/>
              <w:right w:val="single" w:sz="8" w:space="0" w:color="000000"/>
            </w:tcBorders>
            <w:shd w:val="clear" w:color="000000" w:fill="FFFFFF"/>
            <w:hideMark/>
          </w:tcPr>
          <w:p w14:paraId="532D7571"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0</w:t>
            </w:r>
          </w:p>
        </w:tc>
        <w:tc>
          <w:tcPr>
            <w:tcW w:w="1520" w:type="dxa"/>
            <w:vMerge w:val="restart"/>
            <w:tcBorders>
              <w:top w:val="nil"/>
              <w:left w:val="single" w:sz="8" w:space="0" w:color="auto"/>
              <w:bottom w:val="double" w:sz="6" w:space="0" w:color="000000"/>
              <w:right w:val="single" w:sz="8" w:space="0" w:color="auto"/>
            </w:tcBorders>
            <w:shd w:val="clear" w:color="000000" w:fill="FFFFFF"/>
            <w:hideMark/>
          </w:tcPr>
          <w:p w14:paraId="11FF574E"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double" w:sz="6" w:space="0" w:color="auto"/>
              <w:left w:val="single" w:sz="4" w:space="0" w:color="auto"/>
              <w:right w:val="single" w:sz="8" w:space="0" w:color="auto"/>
            </w:tcBorders>
            <w:shd w:val="clear" w:color="000000" w:fill="FFFFFF"/>
            <w:hideMark/>
          </w:tcPr>
          <w:p w14:paraId="212AEF52"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c>
          <w:tcPr>
            <w:tcW w:w="1487" w:type="dxa"/>
            <w:tcBorders>
              <w:top w:val="nil"/>
              <w:left w:val="nil"/>
              <w:bottom w:val="nil"/>
              <w:right w:val="single" w:sz="8" w:space="0" w:color="auto"/>
            </w:tcBorders>
            <w:shd w:val="clear" w:color="000000" w:fill="FFFFFF"/>
            <w:hideMark/>
          </w:tcPr>
          <w:p w14:paraId="072BE15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c>
          <w:tcPr>
            <w:tcW w:w="1710" w:type="dxa"/>
            <w:gridSpan w:val="2"/>
            <w:tcBorders>
              <w:top w:val="nil"/>
              <w:left w:val="nil"/>
              <w:bottom w:val="nil"/>
              <w:right w:val="double" w:sz="6" w:space="0" w:color="auto"/>
            </w:tcBorders>
            <w:shd w:val="clear" w:color="000000" w:fill="FFFFFF"/>
            <w:hideMark/>
          </w:tcPr>
          <w:p w14:paraId="3970F4E4"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r>
      <w:tr w:rsidR="00E67F4F" w:rsidRPr="00EF2F18" w14:paraId="4FCF207E" w14:textId="77777777" w:rsidTr="00E67F4F">
        <w:trPr>
          <w:trHeight w:val="324"/>
        </w:trPr>
        <w:tc>
          <w:tcPr>
            <w:tcW w:w="3320" w:type="dxa"/>
            <w:vMerge/>
            <w:tcBorders>
              <w:top w:val="nil"/>
              <w:left w:val="double" w:sz="6" w:space="0" w:color="auto"/>
              <w:bottom w:val="double" w:sz="6" w:space="0" w:color="000000"/>
              <w:right w:val="single" w:sz="8" w:space="0" w:color="auto"/>
            </w:tcBorders>
            <w:vAlign w:val="center"/>
            <w:hideMark/>
          </w:tcPr>
          <w:p w14:paraId="7CC0DB28" w14:textId="77777777" w:rsidR="00E67F4F" w:rsidRPr="00EF2F18" w:rsidRDefault="00E67F4F" w:rsidP="00752CA0">
            <w:pPr>
              <w:spacing w:after="0"/>
              <w:rPr>
                <w:rFonts w:eastAsia="Times New Roman" w:cs="Times New Roman"/>
                <w:color w:val="000000"/>
                <w:sz w:val="20"/>
                <w:szCs w:val="20"/>
                <w:lang w:val="sr-Cyrl-RS" w:eastAsia="en-GB"/>
              </w:rPr>
            </w:pPr>
          </w:p>
        </w:tc>
        <w:tc>
          <w:tcPr>
            <w:tcW w:w="1280" w:type="dxa"/>
            <w:vMerge/>
            <w:tcBorders>
              <w:top w:val="nil"/>
              <w:left w:val="single" w:sz="8" w:space="0" w:color="auto"/>
              <w:bottom w:val="double" w:sz="6" w:space="0" w:color="000000"/>
              <w:right w:val="single" w:sz="8" w:space="0" w:color="auto"/>
            </w:tcBorders>
            <w:vAlign w:val="center"/>
            <w:hideMark/>
          </w:tcPr>
          <w:p w14:paraId="0DA48259" w14:textId="77777777" w:rsidR="00E67F4F" w:rsidRPr="00EF2F18" w:rsidRDefault="00E67F4F" w:rsidP="00752CA0">
            <w:pPr>
              <w:spacing w:after="0"/>
              <w:rPr>
                <w:rFonts w:eastAsia="Times New Roman" w:cs="Times New Roman"/>
                <w:color w:val="000000"/>
                <w:sz w:val="20"/>
                <w:szCs w:val="20"/>
                <w:lang w:val="sr-Cyrl-RS" w:eastAsia="en-GB"/>
              </w:rPr>
            </w:pPr>
          </w:p>
        </w:tc>
        <w:tc>
          <w:tcPr>
            <w:tcW w:w="1280" w:type="dxa"/>
            <w:vMerge/>
            <w:tcBorders>
              <w:top w:val="nil"/>
              <w:left w:val="single" w:sz="8" w:space="0" w:color="auto"/>
              <w:bottom w:val="double" w:sz="6" w:space="0" w:color="000000"/>
              <w:right w:val="single" w:sz="8" w:space="0" w:color="auto"/>
            </w:tcBorders>
            <w:vAlign w:val="center"/>
            <w:hideMark/>
          </w:tcPr>
          <w:p w14:paraId="7B294AB3" w14:textId="77777777" w:rsidR="00E67F4F" w:rsidRPr="00EF2F18" w:rsidRDefault="00E67F4F" w:rsidP="00752CA0">
            <w:pPr>
              <w:spacing w:after="0"/>
              <w:rPr>
                <w:rFonts w:eastAsia="Times New Roman" w:cs="Times New Roman"/>
                <w:color w:val="000000"/>
                <w:sz w:val="18"/>
                <w:szCs w:val="18"/>
                <w:lang w:val="sr-Cyrl-RS" w:eastAsia="en-GB"/>
              </w:rPr>
            </w:pPr>
          </w:p>
        </w:tc>
        <w:tc>
          <w:tcPr>
            <w:tcW w:w="2000" w:type="dxa"/>
            <w:gridSpan w:val="2"/>
            <w:vMerge/>
            <w:tcBorders>
              <w:top w:val="double" w:sz="6" w:space="0" w:color="auto"/>
              <w:left w:val="single" w:sz="8" w:space="0" w:color="auto"/>
              <w:bottom w:val="double" w:sz="6" w:space="0" w:color="000000"/>
              <w:right w:val="single" w:sz="8" w:space="0" w:color="000000"/>
            </w:tcBorders>
            <w:vAlign w:val="center"/>
            <w:hideMark/>
          </w:tcPr>
          <w:p w14:paraId="7A23A1F8" w14:textId="77777777" w:rsidR="00E67F4F" w:rsidRPr="00EF2F18" w:rsidRDefault="00E67F4F" w:rsidP="00752CA0">
            <w:pPr>
              <w:spacing w:after="0"/>
              <w:rPr>
                <w:rFonts w:eastAsia="Times New Roman" w:cs="Times New Roman"/>
                <w:color w:val="000000"/>
                <w:sz w:val="20"/>
                <w:szCs w:val="20"/>
                <w:lang w:val="sr-Cyrl-RS" w:eastAsia="en-GB"/>
              </w:rPr>
            </w:pPr>
          </w:p>
        </w:tc>
        <w:tc>
          <w:tcPr>
            <w:tcW w:w="1520" w:type="dxa"/>
            <w:vMerge/>
            <w:tcBorders>
              <w:top w:val="nil"/>
              <w:left w:val="single" w:sz="8" w:space="0" w:color="auto"/>
              <w:bottom w:val="double" w:sz="6" w:space="0" w:color="000000"/>
              <w:right w:val="single" w:sz="8" w:space="0" w:color="auto"/>
            </w:tcBorders>
            <w:vAlign w:val="center"/>
            <w:hideMark/>
          </w:tcPr>
          <w:p w14:paraId="4409AB7E" w14:textId="77777777" w:rsidR="00E67F4F" w:rsidRPr="00EF2F18" w:rsidRDefault="00E67F4F" w:rsidP="00752CA0">
            <w:pPr>
              <w:spacing w:after="0"/>
              <w:rPr>
                <w:rFonts w:eastAsia="Times New Roman" w:cs="Times New Roman"/>
                <w:color w:val="000000"/>
                <w:sz w:val="20"/>
                <w:szCs w:val="20"/>
                <w:lang w:val="sr-Cyrl-RS" w:eastAsia="en-GB"/>
              </w:rPr>
            </w:pPr>
          </w:p>
        </w:tc>
        <w:tc>
          <w:tcPr>
            <w:tcW w:w="1060" w:type="dxa"/>
            <w:tcBorders>
              <w:top w:val="nil"/>
              <w:left w:val="single" w:sz="4" w:space="0" w:color="auto"/>
              <w:bottom w:val="double" w:sz="4" w:space="0" w:color="auto"/>
              <w:right w:val="single" w:sz="8" w:space="0" w:color="auto"/>
            </w:tcBorders>
            <w:shd w:val="clear" w:color="000000" w:fill="FFFFFF"/>
            <w:vAlign w:val="center"/>
            <w:hideMark/>
          </w:tcPr>
          <w:p w14:paraId="4F0A0D4B"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487" w:type="dxa"/>
            <w:tcBorders>
              <w:top w:val="nil"/>
              <w:left w:val="nil"/>
              <w:bottom w:val="double" w:sz="6" w:space="0" w:color="auto"/>
              <w:right w:val="single" w:sz="8" w:space="0" w:color="auto"/>
            </w:tcBorders>
            <w:shd w:val="clear" w:color="000000" w:fill="FFFFFF"/>
            <w:vAlign w:val="center"/>
            <w:hideMark/>
          </w:tcPr>
          <w:p w14:paraId="4FACD55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710" w:type="dxa"/>
            <w:gridSpan w:val="2"/>
            <w:tcBorders>
              <w:top w:val="nil"/>
              <w:left w:val="nil"/>
              <w:bottom w:val="double" w:sz="6" w:space="0" w:color="auto"/>
              <w:right w:val="double" w:sz="6" w:space="0" w:color="auto"/>
            </w:tcBorders>
            <w:shd w:val="clear" w:color="000000" w:fill="FFFFFF"/>
            <w:vAlign w:val="center"/>
            <w:hideMark/>
          </w:tcPr>
          <w:p w14:paraId="3480E49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bl>
    <w:p w14:paraId="581E6A39" w14:textId="77777777" w:rsidR="007D7243" w:rsidRPr="00EF2F18" w:rsidRDefault="007D7243" w:rsidP="007D7243">
      <w:pPr>
        <w:rPr>
          <w:sz w:val="20"/>
          <w:szCs w:val="20"/>
          <w:lang w:val="sr-Cyrl-RS"/>
        </w:rPr>
      </w:pPr>
    </w:p>
    <w:tbl>
      <w:tblPr>
        <w:tblW w:w="13657" w:type="dxa"/>
        <w:tblLook w:val="04A0" w:firstRow="1" w:lastRow="0" w:firstColumn="1" w:lastColumn="0" w:noHBand="0" w:noVBand="1"/>
      </w:tblPr>
      <w:tblGrid>
        <w:gridCol w:w="3800"/>
        <w:gridCol w:w="2480"/>
        <w:gridCol w:w="1820"/>
        <w:gridCol w:w="2497"/>
        <w:gridCol w:w="3060"/>
      </w:tblGrid>
      <w:tr w:rsidR="007D7243" w:rsidRPr="00EF2F18" w14:paraId="4E9D51D4" w14:textId="77777777" w:rsidTr="00EF0900">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21DDEE7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A130CD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tcBorders>
              <w:top w:val="double" w:sz="6" w:space="0" w:color="auto"/>
              <w:left w:val="nil"/>
              <w:bottom w:val="double" w:sz="6" w:space="0" w:color="auto"/>
              <w:right w:val="double" w:sz="6" w:space="0" w:color="auto"/>
            </w:tcBorders>
            <w:shd w:val="clear" w:color="000000" w:fill="A8D08D"/>
            <w:hideMark/>
          </w:tcPr>
          <w:p w14:paraId="27DFC53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67F4F" w:rsidRPr="00EF2F18" w14:paraId="14E098EA" w14:textId="77777777" w:rsidTr="00EF0900">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0459081D" w14:textId="77777777" w:rsidR="00E67F4F" w:rsidRPr="00EF2F18" w:rsidRDefault="00E67F4F"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6698E8B2" w14:textId="77777777" w:rsidR="00E67F4F" w:rsidRPr="00EF2F18" w:rsidRDefault="00E67F4F"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61C6E4BD" w14:textId="04FE9676"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497" w:type="dxa"/>
            <w:tcBorders>
              <w:top w:val="nil"/>
              <w:left w:val="nil"/>
              <w:bottom w:val="double" w:sz="6" w:space="0" w:color="auto"/>
              <w:right w:val="double" w:sz="6" w:space="0" w:color="auto"/>
            </w:tcBorders>
            <w:shd w:val="clear" w:color="000000" w:fill="A8D08D"/>
            <w:hideMark/>
          </w:tcPr>
          <w:p w14:paraId="2642090B" w14:textId="58D54013"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3060" w:type="dxa"/>
            <w:tcBorders>
              <w:top w:val="nil"/>
              <w:left w:val="nil"/>
              <w:bottom w:val="double" w:sz="6" w:space="0" w:color="auto"/>
              <w:right w:val="double" w:sz="6" w:space="0" w:color="auto"/>
            </w:tcBorders>
            <w:shd w:val="clear" w:color="000000" w:fill="A8D08D"/>
            <w:hideMark/>
          </w:tcPr>
          <w:p w14:paraId="4E61B16E" w14:textId="37EC072C"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67F4F" w:rsidRPr="00EF2F18" w14:paraId="6A05A15F" w14:textId="77777777" w:rsidTr="00EF0900">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0756F53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tcBorders>
              <w:top w:val="nil"/>
              <w:left w:val="nil"/>
              <w:bottom w:val="double" w:sz="6" w:space="0" w:color="auto"/>
              <w:right w:val="double" w:sz="6" w:space="0" w:color="auto"/>
            </w:tcBorders>
            <w:shd w:val="clear" w:color="000000" w:fill="FFFFFF"/>
            <w:hideMark/>
          </w:tcPr>
          <w:p w14:paraId="2E0A1F44" w14:textId="707881DB" w:rsidR="00E67F4F" w:rsidRPr="00EF2F18" w:rsidRDefault="0010617A"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0404-560-0016-481</w:t>
            </w:r>
          </w:p>
        </w:tc>
        <w:tc>
          <w:tcPr>
            <w:tcW w:w="1820" w:type="dxa"/>
            <w:tcBorders>
              <w:top w:val="nil"/>
              <w:left w:val="nil"/>
              <w:bottom w:val="double" w:sz="6" w:space="0" w:color="auto"/>
              <w:right w:val="double" w:sz="6" w:space="0" w:color="auto"/>
            </w:tcBorders>
            <w:hideMark/>
          </w:tcPr>
          <w:p w14:paraId="1A6AA65B" w14:textId="7CB67113" w:rsidR="00E67F4F" w:rsidRPr="00EF2F18" w:rsidRDefault="00B550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w:t>
            </w:r>
          </w:p>
        </w:tc>
        <w:tc>
          <w:tcPr>
            <w:tcW w:w="2497" w:type="dxa"/>
            <w:tcBorders>
              <w:top w:val="nil"/>
              <w:left w:val="nil"/>
              <w:bottom w:val="double" w:sz="6" w:space="0" w:color="auto"/>
              <w:right w:val="double" w:sz="6" w:space="0" w:color="auto"/>
            </w:tcBorders>
            <w:hideMark/>
          </w:tcPr>
          <w:p w14:paraId="087CB925"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w:t>
            </w:r>
          </w:p>
        </w:tc>
        <w:tc>
          <w:tcPr>
            <w:tcW w:w="3060" w:type="dxa"/>
            <w:tcBorders>
              <w:top w:val="nil"/>
              <w:left w:val="nil"/>
              <w:bottom w:val="double" w:sz="6" w:space="0" w:color="auto"/>
              <w:right w:val="double" w:sz="6" w:space="0" w:color="auto"/>
            </w:tcBorders>
            <w:shd w:val="clear" w:color="000000" w:fill="FFFFFF"/>
            <w:hideMark/>
          </w:tcPr>
          <w:p w14:paraId="33D769E1" w14:textId="0D14D3C2"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w:t>
            </w:r>
          </w:p>
        </w:tc>
      </w:tr>
    </w:tbl>
    <w:p w14:paraId="258CC342" w14:textId="77777777" w:rsidR="007D7243" w:rsidRPr="00EF2F18" w:rsidRDefault="007D7243" w:rsidP="007D7243">
      <w:pPr>
        <w:rPr>
          <w:sz w:val="20"/>
          <w:szCs w:val="20"/>
          <w:lang w:val="sr-Cyrl-RS"/>
        </w:rPr>
      </w:pPr>
      <w:r w:rsidRPr="00EF2F18">
        <w:rPr>
          <w:sz w:val="20"/>
          <w:szCs w:val="20"/>
          <w:lang w:val="sr-Cyrl-RS"/>
        </w:rPr>
        <w:t xml:space="preserve"> </w:t>
      </w:r>
    </w:p>
    <w:tbl>
      <w:tblPr>
        <w:tblW w:w="13657" w:type="dxa"/>
        <w:tblLayout w:type="fixed"/>
        <w:tblLook w:val="04A0" w:firstRow="1" w:lastRow="0" w:firstColumn="1" w:lastColumn="0" w:noHBand="0" w:noVBand="1"/>
      </w:tblPr>
      <w:tblGrid>
        <w:gridCol w:w="3126"/>
        <w:gridCol w:w="1103"/>
        <w:gridCol w:w="1242"/>
        <w:gridCol w:w="1182"/>
        <w:gridCol w:w="1400"/>
        <w:gridCol w:w="1340"/>
        <w:gridCol w:w="1384"/>
        <w:gridCol w:w="1260"/>
        <w:gridCol w:w="1620"/>
      </w:tblGrid>
      <w:tr w:rsidR="00E67F4F" w:rsidRPr="00EF2F18" w14:paraId="0E0B4F78" w14:textId="77777777" w:rsidTr="00EF0900">
        <w:trPr>
          <w:trHeight w:val="732"/>
        </w:trPr>
        <w:tc>
          <w:tcPr>
            <w:tcW w:w="3126"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42B93D8"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10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6D394C8"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DFF8D8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FE5D739"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40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F7E9BB8"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728BEFB"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264" w:type="dxa"/>
            <w:gridSpan w:val="3"/>
            <w:tcBorders>
              <w:top w:val="double" w:sz="6" w:space="0" w:color="auto"/>
              <w:left w:val="nil"/>
              <w:bottom w:val="single" w:sz="8" w:space="0" w:color="auto"/>
              <w:right w:val="double" w:sz="6" w:space="0" w:color="auto"/>
            </w:tcBorders>
            <w:shd w:val="clear" w:color="000000" w:fill="FFF2CC"/>
            <w:hideMark/>
          </w:tcPr>
          <w:p w14:paraId="6133748E"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67F4F" w:rsidRPr="00EF2F18" w14:paraId="73C4F3C5" w14:textId="77777777" w:rsidTr="00EF0900">
        <w:trPr>
          <w:trHeight w:val="324"/>
        </w:trPr>
        <w:tc>
          <w:tcPr>
            <w:tcW w:w="3126" w:type="dxa"/>
            <w:vMerge/>
            <w:tcBorders>
              <w:top w:val="double" w:sz="6" w:space="0" w:color="auto"/>
              <w:left w:val="double" w:sz="6" w:space="0" w:color="auto"/>
              <w:bottom w:val="single" w:sz="8" w:space="0" w:color="000000"/>
              <w:right w:val="single" w:sz="8" w:space="0" w:color="auto"/>
            </w:tcBorders>
            <w:vAlign w:val="center"/>
            <w:hideMark/>
          </w:tcPr>
          <w:p w14:paraId="62F466F0" w14:textId="77777777" w:rsidR="00E67F4F" w:rsidRPr="00EF2F18" w:rsidRDefault="00E67F4F" w:rsidP="00752CA0">
            <w:pPr>
              <w:spacing w:after="0"/>
              <w:rPr>
                <w:rFonts w:eastAsia="Times New Roman" w:cs="Times New Roman"/>
                <w:color w:val="000000"/>
                <w:sz w:val="20"/>
                <w:szCs w:val="20"/>
                <w:lang w:val="sr-Cyrl-RS" w:eastAsia="en-GB"/>
              </w:rPr>
            </w:pPr>
          </w:p>
        </w:tc>
        <w:tc>
          <w:tcPr>
            <w:tcW w:w="1103" w:type="dxa"/>
            <w:vMerge/>
            <w:tcBorders>
              <w:top w:val="double" w:sz="6" w:space="0" w:color="auto"/>
              <w:left w:val="single" w:sz="8" w:space="0" w:color="auto"/>
              <w:bottom w:val="single" w:sz="8" w:space="0" w:color="000000"/>
              <w:right w:val="single" w:sz="8" w:space="0" w:color="auto"/>
            </w:tcBorders>
            <w:vAlign w:val="center"/>
            <w:hideMark/>
          </w:tcPr>
          <w:p w14:paraId="551DF5CE" w14:textId="77777777" w:rsidR="00E67F4F" w:rsidRPr="00EF2F18" w:rsidRDefault="00E67F4F" w:rsidP="00752CA0">
            <w:pPr>
              <w:spacing w:after="0"/>
              <w:rPr>
                <w:rFonts w:eastAsia="Times New Roman" w:cs="Times New Roman"/>
                <w:color w:val="000000"/>
                <w:sz w:val="20"/>
                <w:szCs w:val="20"/>
                <w:lang w:val="sr-Cyrl-RS" w:eastAsia="en-GB"/>
              </w:rPr>
            </w:pPr>
          </w:p>
        </w:tc>
        <w:tc>
          <w:tcPr>
            <w:tcW w:w="1242" w:type="dxa"/>
            <w:vMerge/>
            <w:tcBorders>
              <w:top w:val="double" w:sz="6" w:space="0" w:color="auto"/>
              <w:left w:val="single" w:sz="8" w:space="0" w:color="auto"/>
              <w:bottom w:val="single" w:sz="8" w:space="0" w:color="000000"/>
              <w:right w:val="single" w:sz="8" w:space="0" w:color="auto"/>
            </w:tcBorders>
            <w:vAlign w:val="center"/>
            <w:hideMark/>
          </w:tcPr>
          <w:p w14:paraId="796BB9E6" w14:textId="77777777" w:rsidR="00E67F4F" w:rsidRPr="00EF2F18" w:rsidRDefault="00E67F4F"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34C79322" w14:textId="77777777" w:rsidR="00E67F4F" w:rsidRPr="00EF2F18" w:rsidRDefault="00E67F4F" w:rsidP="00752CA0">
            <w:pPr>
              <w:spacing w:after="0"/>
              <w:rPr>
                <w:rFonts w:eastAsia="Times New Roman" w:cs="Times New Roman"/>
                <w:color w:val="000000"/>
                <w:sz w:val="20"/>
                <w:szCs w:val="20"/>
                <w:lang w:val="sr-Cyrl-RS" w:eastAsia="en-GB"/>
              </w:rPr>
            </w:pPr>
          </w:p>
        </w:tc>
        <w:tc>
          <w:tcPr>
            <w:tcW w:w="1400" w:type="dxa"/>
            <w:vMerge/>
            <w:tcBorders>
              <w:top w:val="double" w:sz="6" w:space="0" w:color="auto"/>
              <w:left w:val="single" w:sz="8" w:space="0" w:color="auto"/>
              <w:bottom w:val="single" w:sz="8" w:space="0" w:color="000000"/>
              <w:right w:val="single" w:sz="8" w:space="0" w:color="auto"/>
            </w:tcBorders>
            <w:vAlign w:val="center"/>
            <w:hideMark/>
          </w:tcPr>
          <w:p w14:paraId="67644C73" w14:textId="77777777" w:rsidR="00E67F4F" w:rsidRPr="00EF2F18" w:rsidRDefault="00E67F4F"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0DD5D476" w14:textId="77777777" w:rsidR="00E67F4F" w:rsidRPr="00EF2F18" w:rsidRDefault="00E67F4F" w:rsidP="00752CA0">
            <w:pPr>
              <w:spacing w:after="0"/>
              <w:rPr>
                <w:rFonts w:eastAsia="Times New Roman" w:cs="Times New Roman"/>
                <w:color w:val="000000"/>
                <w:sz w:val="20"/>
                <w:szCs w:val="20"/>
                <w:lang w:val="sr-Cyrl-RS" w:eastAsia="en-GB"/>
              </w:rPr>
            </w:pPr>
          </w:p>
        </w:tc>
        <w:tc>
          <w:tcPr>
            <w:tcW w:w="1384" w:type="dxa"/>
            <w:tcBorders>
              <w:top w:val="nil"/>
              <w:left w:val="nil"/>
              <w:bottom w:val="single" w:sz="8" w:space="0" w:color="auto"/>
              <w:right w:val="single" w:sz="8" w:space="0" w:color="auto"/>
            </w:tcBorders>
            <w:shd w:val="clear" w:color="000000" w:fill="FFF2CC"/>
            <w:hideMark/>
          </w:tcPr>
          <w:p w14:paraId="5F86FF16" w14:textId="3781B0B0"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58F4D1F9" w14:textId="6ABB35F8"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620" w:type="dxa"/>
            <w:tcBorders>
              <w:top w:val="nil"/>
              <w:left w:val="nil"/>
              <w:bottom w:val="single" w:sz="8" w:space="0" w:color="auto"/>
              <w:right w:val="double" w:sz="6" w:space="0" w:color="auto"/>
            </w:tcBorders>
            <w:shd w:val="clear" w:color="000000" w:fill="FFF2CC"/>
            <w:hideMark/>
          </w:tcPr>
          <w:p w14:paraId="43281546" w14:textId="790D7DEC"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E67F4F" w:rsidRPr="00EF2F18" w14:paraId="2B9F0E3D" w14:textId="77777777" w:rsidTr="001664F3">
        <w:trPr>
          <w:trHeight w:val="3180"/>
        </w:trPr>
        <w:tc>
          <w:tcPr>
            <w:tcW w:w="3126" w:type="dxa"/>
            <w:tcBorders>
              <w:top w:val="single" w:sz="4" w:space="0" w:color="auto"/>
              <w:left w:val="double" w:sz="6" w:space="0" w:color="auto"/>
              <w:bottom w:val="single" w:sz="8" w:space="0" w:color="auto"/>
              <w:right w:val="single" w:sz="8" w:space="0" w:color="auto"/>
            </w:tcBorders>
            <w:hideMark/>
          </w:tcPr>
          <w:p w14:paraId="65C8C87F" w14:textId="13E2B89C"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 xml:space="preserve">6.1.6.1. Систематска и континуирана подршка унапређивању неформалног образовања о животној средини, одрживом развоју и климатским променама, кроз организовање кампања за подизање нивоа свести и развијања еколошке културе, помоћ грађанима у процесу развоја вештина и ставова, као и у стицању знања за доношење одлука од значаја за животну средину </w:t>
            </w:r>
          </w:p>
        </w:tc>
        <w:tc>
          <w:tcPr>
            <w:tcW w:w="1103" w:type="dxa"/>
            <w:tcBorders>
              <w:top w:val="single" w:sz="4" w:space="0" w:color="auto"/>
              <w:left w:val="nil"/>
              <w:bottom w:val="single" w:sz="8" w:space="0" w:color="auto"/>
              <w:right w:val="single" w:sz="8" w:space="0" w:color="auto"/>
            </w:tcBorders>
            <w:hideMark/>
          </w:tcPr>
          <w:p w14:paraId="62C09AC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2" w:type="dxa"/>
            <w:tcBorders>
              <w:top w:val="single" w:sz="4" w:space="0" w:color="auto"/>
              <w:left w:val="nil"/>
              <w:bottom w:val="single" w:sz="8" w:space="0" w:color="auto"/>
              <w:right w:val="single" w:sz="8" w:space="0" w:color="auto"/>
            </w:tcBorders>
            <w:hideMark/>
          </w:tcPr>
          <w:p w14:paraId="11FDF087"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w:t>
            </w:r>
          </w:p>
        </w:tc>
        <w:tc>
          <w:tcPr>
            <w:tcW w:w="1182" w:type="dxa"/>
            <w:tcBorders>
              <w:top w:val="single" w:sz="4" w:space="0" w:color="auto"/>
              <w:left w:val="nil"/>
              <w:bottom w:val="single" w:sz="8" w:space="0" w:color="auto"/>
              <w:right w:val="single" w:sz="8" w:space="0" w:color="auto"/>
            </w:tcBorders>
            <w:hideMark/>
          </w:tcPr>
          <w:p w14:paraId="56011BA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single" w:sz="8" w:space="0" w:color="auto"/>
              <w:right w:val="single" w:sz="8" w:space="0" w:color="auto"/>
            </w:tcBorders>
            <w:hideMark/>
          </w:tcPr>
          <w:p w14:paraId="038F6AE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nil"/>
              <w:bottom w:val="single" w:sz="8" w:space="0" w:color="auto"/>
              <w:right w:val="single" w:sz="8" w:space="0" w:color="auto"/>
            </w:tcBorders>
            <w:hideMark/>
          </w:tcPr>
          <w:p w14:paraId="3004FC75" w14:textId="62C20FB0"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w:t>
            </w:r>
            <w:r w:rsidR="00F76E07" w:rsidRPr="00EF2F18">
              <w:rPr>
                <w:rFonts w:eastAsia="Times New Roman" w:cs="Times New Roman"/>
                <w:color w:val="000000"/>
                <w:sz w:val="20"/>
                <w:szCs w:val="20"/>
                <w:lang w:val="sr-Cyrl-RS" w:eastAsia="en-GB"/>
              </w:rPr>
              <w:t>4</w:t>
            </w:r>
            <w:r w:rsidRPr="00EF2F18">
              <w:rPr>
                <w:rFonts w:eastAsia="Times New Roman" w:cs="Times New Roman"/>
                <w:color w:val="000000"/>
                <w:sz w:val="20"/>
                <w:szCs w:val="20"/>
                <w:lang w:val="sr-Cyrl-RS" w:eastAsia="en-GB"/>
              </w:rPr>
              <w:t>-560-00</w:t>
            </w:r>
            <w:r w:rsidR="00F76E07" w:rsidRPr="00EF2F18">
              <w:rPr>
                <w:rFonts w:eastAsia="Times New Roman" w:cs="Times New Roman"/>
                <w:color w:val="000000"/>
                <w:sz w:val="20"/>
                <w:szCs w:val="20"/>
                <w:lang w:val="sr-Cyrl-RS" w:eastAsia="en-GB"/>
              </w:rPr>
              <w:t>16</w:t>
            </w:r>
            <w:r w:rsidRPr="00EF2F18">
              <w:rPr>
                <w:rFonts w:eastAsia="Times New Roman" w:cs="Times New Roman"/>
                <w:color w:val="000000"/>
                <w:sz w:val="20"/>
                <w:szCs w:val="20"/>
                <w:lang w:val="sr-Cyrl-RS" w:eastAsia="en-GB"/>
              </w:rPr>
              <w:t>-481</w:t>
            </w:r>
          </w:p>
        </w:tc>
        <w:tc>
          <w:tcPr>
            <w:tcW w:w="1384" w:type="dxa"/>
            <w:tcBorders>
              <w:top w:val="single" w:sz="4" w:space="0" w:color="auto"/>
              <w:left w:val="nil"/>
              <w:bottom w:val="single" w:sz="8" w:space="0" w:color="auto"/>
              <w:right w:val="single" w:sz="8" w:space="0" w:color="auto"/>
            </w:tcBorders>
            <w:hideMark/>
          </w:tcPr>
          <w:p w14:paraId="59C5C442" w14:textId="7E1CD7B7" w:rsidR="00E67F4F" w:rsidRPr="00EF2F18" w:rsidRDefault="00B550D9"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30.000</w:t>
            </w:r>
          </w:p>
        </w:tc>
        <w:tc>
          <w:tcPr>
            <w:tcW w:w="1260" w:type="dxa"/>
            <w:tcBorders>
              <w:top w:val="single" w:sz="4" w:space="0" w:color="auto"/>
              <w:left w:val="nil"/>
              <w:bottom w:val="single" w:sz="8" w:space="0" w:color="auto"/>
              <w:right w:val="single" w:sz="8" w:space="0" w:color="auto"/>
            </w:tcBorders>
            <w:hideMark/>
          </w:tcPr>
          <w:p w14:paraId="1306F3B1"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w:t>
            </w:r>
          </w:p>
        </w:tc>
        <w:tc>
          <w:tcPr>
            <w:tcW w:w="1620" w:type="dxa"/>
            <w:tcBorders>
              <w:top w:val="single" w:sz="4" w:space="0" w:color="auto"/>
              <w:left w:val="nil"/>
              <w:bottom w:val="single" w:sz="8" w:space="0" w:color="auto"/>
              <w:right w:val="double" w:sz="6" w:space="0" w:color="auto"/>
            </w:tcBorders>
            <w:hideMark/>
          </w:tcPr>
          <w:p w14:paraId="0CBF8D5E" w14:textId="1B079611"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50.000</w:t>
            </w:r>
          </w:p>
        </w:tc>
      </w:tr>
      <w:tr w:rsidR="00E67F4F" w:rsidRPr="00EF2F18" w14:paraId="36560D16" w14:textId="77777777" w:rsidTr="00EF0900">
        <w:trPr>
          <w:trHeight w:val="1596"/>
        </w:trPr>
        <w:tc>
          <w:tcPr>
            <w:tcW w:w="3126" w:type="dxa"/>
            <w:tcBorders>
              <w:top w:val="nil"/>
              <w:left w:val="double" w:sz="6" w:space="0" w:color="auto"/>
              <w:bottom w:val="single" w:sz="8" w:space="0" w:color="auto"/>
              <w:right w:val="single" w:sz="8" w:space="0" w:color="auto"/>
            </w:tcBorders>
            <w:hideMark/>
          </w:tcPr>
          <w:p w14:paraId="0FF211C1"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6.1.6.2. Унапређење сарадње институција са организацијама цивилног друштва на развоју и спровођењу неформалног образовања за животну средину и одрживи развој</w:t>
            </w:r>
          </w:p>
        </w:tc>
        <w:tc>
          <w:tcPr>
            <w:tcW w:w="1103" w:type="dxa"/>
            <w:tcBorders>
              <w:top w:val="nil"/>
              <w:left w:val="nil"/>
              <w:bottom w:val="single" w:sz="8" w:space="0" w:color="auto"/>
              <w:right w:val="single" w:sz="8" w:space="0" w:color="auto"/>
            </w:tcBorders>
            <w:hideMark/>
          </w:tcPr>
          <w:p w14:paraId="549FD98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2" w:type="dxa"/>
            <w:tcBorders>
              <w:top w:val="nil"/>
              <w:left w:val="nil"/>
              <w:bottom w:val="single" w:sz="8" w:space="0" w:color="auto"/>
              <w:right w:val="single" w:sz="8" w:space="0" w:color="auto"/>
            </w:tcBorders>
            <w:hideMark/>
          </w:tcPr>
          <w:p w14:paraId="1369D82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 МЉМПДД, МТО</w:t>
            </w:r>
          </w:p>
        </w:tc>
        <w:tc>
          <w:tcPr>
            <w:tcW w:w="1182" w:type="dxa"/>
            <w:tcBorders>
              <w:top w:val="nil"/>
              <w:left w:val="nil"/>
              <w:bottom w:val="single" w:sz="8" w:space="0" w:color="auto"/>
              <w:right w:val="single" w:sz="8" w:space="0" w:color="auto"/>
            </w:tcBorders>
            <w:hideMark/>
          </w:tcPr>
          <w:p w14:paraId="5E96398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442965A1" w14:textId="192C74F3"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r w:rsidR="00094D0E">
              <w:rPr>
                <w:rFonts w:eastAsia="Times New Roman" w:cs="Times New Roman"/>
                <w:color w:val="000000"/>
                <w:sz w:val="20"/>
                <w:szCs w:val="20"/>
                <w:lang w:val="sr-Cyrl-RS" w:eastAsia="en-GB"/>
              </w:rPr>
              <w:t>.</w:t>
            </w:r>
          </w:p>
        </w:tc>
        <w:tc>
          <w:tcPr>
            <w:tcW w:w="1340" w:type="dxa"/>
            <w:tcBorders>
              <w:top w:val="nil"/>
              <w:left w:val="nil"/>
              <w:bottom w:val="single" w:sz="8" w:space="0" w:color="auto"/>
              <w:right w:val="single" w:sz="8" w:space="0" w:color="auto"/>
            </w:tcBorders>
          </w:tcPr>
          <w:p w14:paraId="032CA1D1" w14:textId="61BA0139" w:rsidR="00E67F4F" w:rsidRPr="00EF2F18" w:rsidRDefault="00E67F4F" w:rsidP="00752CA0">
            <w:pPr>
              <w:spacing w:after="0"/>
              <w:rPr>
                <w:rFonts w:eastAsia="Times New Roman" w:cs="Times New Roman"/>
                <w:color w:val="000000"/>
                <w:sz w:val="20"/>
                <w:szCs w:val="20"/>
                <w:lang w:val="sr-Cyrl-RS" w:eastAsia="en-GB"/>
              </w:rPr>
            </w:pPr>
          </w:p>
        </w:tc>
        <w:tc>
          <w:tcPr>
            <w:tcW w:w="1384" w:type="dxa"/>
            <w:tcBorders>
              <w:top w:val="nil"/>
              <w:left w:val="nil"/>
              <w:bottom w:val="single" w:sz="8" w:space="0" w:color="auto"/>
              <w:right w:val="single" w:sz="8" w:space="0" w:color="auto"/>
            </w:tcBorders>
          </w:tcPr>
          <w:p w14:paraId="11218DB8" w14:textId="69145610"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4F46817E" w14:textId="6C508BE9"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tcBorders>
              <w:top w:val="nil"/>
              <w:left w:val="nil"/>
              <w:bottom w:val="single" w:sz="8" w:space="0" w:color="auto"/>
              <w:right w:val="double" w:sz="6" w:space="0" w:color="auto"/>
            </w:tcBorders>
          </w:tcPr>
          <w:p w14:paraId="5EE29AB5" w14:textId="17D1F27E"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623C4502" w14:textId="77777777" w:rsidTr="00EF0900">
        <w:trPr>
          <w:trHeight w:val="1332"/>
        </w:trPr>
        <w:tc>
          <w:tcPr>
            <w:tcW w:w="3126" w:type="dxa"/>
            <w:tcBorders>
              <w:top w:val="nil"/>
              <w:left w:val="double" w:sz="6" w:space="0" w:color="auto"/>
              <w:bottom w:val="single" w:sz="8" w:space="0" w:color="auto"/>
              <w:right w:val="single" w:sz="8" w:space="0" w:color="auto"/>
            </w:tcBorders>
            <w:hideMark/>
          </w:tcPr>
          <w:p w14:paraId="1E40DE16"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6.1.6.3. Јачање сарадње са удружењима грађана и неформалним групама на локалном нивоу на промоцији Зелене агенде</w:t>
            </w:r>
          </w:p>
        </w:tc>
        <w:tc>
          <w:tcPr>
            <w:tcW w:w="1103" w:type="dxa"/>
            <w:tcBorders>
              <w:top w:val="nil"/>
              <w:left w:val="nil"/>
              <w:bottom w:val="single" w:sz="8" w:space="0" w:color="auto"/>
              <w:right w:val="single" w:sz="8" w:space="0" w:color="auto"/>
            </w:tcBorders>
            <w:hideMark/>
          </w:tcPr>
          <w:p w14:paraId="3994A45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2" w:type="dxa"/>
            <w:tcBorders>
              <w:top w:val="nil"/>
              <w:left w:val="nil"/>
              <w:bottom w:val="single" w:sz="8" w:space="0" w:color="auto"/>
              <w:right w:val="single" w:sz="8" w:space="0" w:color="auto"/>
            </w:tcBorders>
            <w:hideMark/>
          </w:tcPr>
          <w:p w14:paraId="1671A035"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ЈЛС, ОЦД, МЉМПДД</w:t>
            </w:r>
          </w:p>
        </w:tc>
        <w:tc>
          <w:tcPr>
            <w:tcW w:w="1182" w:type="dxa"/>
            <w:tcBorders>
              <w:top w:val="nil"/>
              <w:left w:val="nil"/>
              <w:bottom w:val="single" w:sz="8" w:space="0" w:color="auto"/>
              <w:right w:val="single" w:sz="8" w:space="0" w:color="auto"/>
            </w:tcBorders>
            <w:hideMark/>
          </w:tcPr>
          <w:p w14:paraId="201BDBB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67C983E6" w14:textId="18A90489"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r w:rsidR="00094D0E">
              <w:rPr>
                <w:rFonts w:eastAsia="Times New Roman" w:cs="Times New Roman"/>
                <w:color w:val="000000"/>
                <w:sz w:val="20"/>
                <w:szCs w:val="20"/>
                <w:lang w:val="sr-Cyrl-RS" w:eastAsia="en-GB"/>
              </w:rPr>
              <w:t>.</w:t>
            </w:r>
          </w:p>
        </w:tc>
        <w:tc>
          <w:tcPr>
            <w:tcW w:w="1340" w:type="dxa"/>
            <w:tcBorders>
              <w:top w:val="nil"/>
              <w:left w:val="nil"/>
              <w:bottom w:val="single" w:sz="8" w:space="0" w:color="auto"/>
              <w:right w:val="single" w:sz="8" w:space="0" w:color="auto"/>
            </w:tcBorders>
          </w:tcPr>
          <w:p w14:paraId="38D60F22" w14:textId="37CDD028" w:rsidR="00E67F4F" w:rsidRPr="00EF2F18" w:rsidRDefault="00E67F4F" w:rsidP="00752CA0">
            <w:pPr>
              <w:spacing w:after="0"/>
              <w:rPr>
                <w:rFonts w:eastAsia="Times New Roman" w:cs="Times New Roman"/>
                <w:color w:val="000000"/>
                <w:sz w:val="20"/>
                <w:szCs w:val="20"/>
                <w:lang w:val="sr-Cyrl-RS" w:eastAsia="en-GB"/>
              </w:rPr>
            </w:pPr>
          </w:p>
        </w:tc>
        <w:tc>
          <w:tcPr>
            <w:tcW w:w="1384" w:type="dxa"/>
            <w:tcBorders>
              <w:top w:val="nil"/>
              <w:left w:val="nil"/>
              <w:bottom w:val="single" w:sz="8" w:space="0" w:color="auto"/>
              <w:right w:val="single" w:sz="8" w:space="0" w:color="auto"/>
            </w:tcBorders>
          </w:tcPr>
          <w:p w14:paraId="72E96EA5" w14:textId="4DA33EA5"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0046A668" w14:textId="47B38933"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tcBorders>
              <w:top w:val="nil"/>
              <w:left w:val="nil"/>
              <w:bottom w:val="single" w:sz="8" w:space="0" w:color="auto"/>
              <w:right w:val="double" w:sz="6" w:space="0" w:color="auto"/>
            </w:tcBorders>
          </w:tcPr>
          <w:p w14:paraId="316A9E00" w14:textId="664D89FC"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7C8AEDE9" w14:textId="77777777" w:rsidTr="00C52402">
        <w:trPr>
          <w:trHeight w:val="1332"/>
        </w:trPr>
        <w:tc>
          <w:tcPr>
            <w:tcW w:w="3126" w:type="dxa"/>
            <w:tcBorders>
              <w:top w:val="single" w:sz="4" w:space="0" w:color="auto"/>
              <w:left w:val="double" w:sz="6" w:space="0" w:color="auto"/>
              <w:bottom w:val="single" w:sz="8" w:space="0" w:color="auto"/>
              <w:right w:val="single" w:sz="8" w:space="0" w:color="auto"/>
            </w:tcBorders>
            <w:hideMark/>
          </w:tcPr>
          <w:p w14:paraId="3D30523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6.1.6.4. Израда програма и континуирано спровођење обука у области Зелене агенде за различите заинтересоване стране и осетљиве друштвене групе</w:t>
            </w:r>
          </w:p>
        </w:tc>
        <w:tc>
          <w:tcPr>
            <w:tcW w:w="1103" w:type="dxa"/>
            <w:tcBorders>
              <w:top w:val="single" w:sz="4" w:space="0" w:color="auto"/>
              <w:left w:val="nil"/>
              <w:bottom w:val="single" w:sz="8" w:space="0" w:color="auto"/>
              <w:right w:val="single" w:sz="8" w:space="0" w:color="auto"/>
            </w:tcBorders>
            <w:hideMark/>
          </w:tcPr>
          <w:p w14:paraId="01CFD95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2" w:type="dxa"/>
            <w:tcBorders>
              <w:top w:val="single" w:sz="4" w:space="0" w:color="auto"/>
              <w:left w:val="nil"/>
              <w:bottom w:val="single" w:sz="8" w:space="0" w:color="auto"/>
              <w:right w:val="single" w:sz="8" w:space="0" w:color="auto"/>
            </w:tcBorders>
            <w:hideMark/>
          </w:tcPr>
          <w:p w14:paraId="1DD07BC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w:t>
            </w:r>
          </w:p>
        </w:tc>
        <w:tc>
          <w:tcPr>
            <w:tcW w:w="1182" w:type="dxa"/>
            <w:tcBorders>
              <w:top w:val="single" w:sz="4" w:space="0" w:color="auto"/>
              <w:left w:val="nil"/>
              <w:bottom w:val="single" w:sz="8" w:space="0" w:color="auto"/>
              <w:right w:val="single" w:sz="8" w:space="0" w:color="auto"/>
            </w:tcBorders>
            <w:hideMark/>
          </w:tcPr>
          <w:p w14:paraId="622A219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single" w:sz="8" w:space="0" w:color="auto"/>
              <w:right w:val="single" w:sz="8" w:space="0" w:color="auto"/>
            </w:tcBorders>
            <w:hideMark/>
          </w:tcPr>
          <w:p w14:paraId="05589972" w14:textId="537984F8"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r w:rsidR="00094D0E">
              <w:rPr>
                <w:rFonts w:eastAsia="Times New Roman" w:cs="Times New Roman"/>
                <w:color w:val="000000"/>
                <w:sz w:val="20"/>
                <w:szCs w:val="20"/>
                <w:lang w:val="sr-Cyrl-RS" w:eastAsia="en-GB"/>
              </w:rPr>
              <w:t>.</w:t>
            </w:r>
          </w:p>
        </w:tc>
        <w:tc>
          <w:tcPr>
            <w:tcW w:w="1340" w:type="dxa"/>
            <w:tcBorders>
              <w:top w:val="single" w:sz="4" w:space="0" w:color="auto"/>
              <w:left w:val="nil"/>
              <w:bottom w:val="single" w:sz="8" w:space="0" w:color="auto"/>
              <w:right w:val="single" w:sz="8" w:space="0" w:color="auto"/>
            </w:tcBorders>
          </w:tcPr>
          <w:p w14:paraId="3303653C" w14:textId="6DB7704F" w:rsidR="00E67F4F" w:rsidRPr="00EF2F18" w:rsidRDefault="00E67F4F" w:rsidP="00752CA0">
            <w:pPr>
              <w:spacing w:after="0"/>
              <w:rPr>
                <w:rFonts w:eastAsia="Times New Roman" w:cs="Times New Roman"/>
                <w:color w:val="000000"/>
                <w:sz w:val="20"/>
                <w:szCs w:val="20"/>
                <w:lang w:val="sr-Cyrl-RS" w:eastAsia="en-GB"/>
              </w:rPr>
            </w:pPr>
          </w:p>
        </w:tc>
        <w:tc>
          <w:tcPr>
            <w:tcW w:w="1384" w:type="dxa"/>
            <w:tcBorders>
              <w:top w:val="single" w:sz="4" w:space="0" w:color="auto"/>
              <w:left w:val="nil"/>
              <w:bottom w:val="single" w:sz="8" w:space="0" w:color="auto"/>
              <w:right w:val="single" w:sz="8" w:space="0" w:color="auto"/>
            </w:tcBorders>
          </w:tcPr>
          <w:p w14:paraId="17DB222D" w14:textId="7BE42031"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4CBAE4ED" w14:textId="05B13FAA"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tcBorders>
              <w:top w:val="single" w:sz="4" w:space="0" w:color="auto"/>
              <w:left w:val="nil"/>
              <w:bottom w:val="single" w:sz="8" w:space="0" w:color="auto"/>
              <w:right w:val="double" w:sz="6" w:space="0" w:color="auto"/>
            </w:tcBorders>
          </w:tcPr>
          <w:p w14:paraId="38ED2400" w14:textId="498EC891"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017CBF4F" w14:textId="77777777" w:rsidTr="001664F3">
        <w:trPr>
          <w:trHeight w:val="2388"/>
        </w:trPr>
        <w:tc>
          <w:tcPr>
            <w:tcW w:w="3126" w:type="dxa"/>
            <w:tcBorders>
              <w:top w:val="single" w:sz="4" w:space="0" w:color="auto"/>
              <w:left w:val="double" w:sz="6" w:space="0" w:color="auto"/>
              <w:bottom w:val="single" w:sz="8" w:space="0" w:color="auto"/>
              <w:right w:val="single" w:sz="8" w:space="0" w:color="auto"/>
            </w:tcBorders>
            <w:hideMark/>
          </w:tcPr>
          <w:p w14:paraId="78D602A5"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6.1.6.5. Промоција и континуирана подршка активностима усмереним ка подизању свести о значају заштите животне средине и климатским променама и регионалне сарадње кроз Зелену агенду (националне и локалне кампање, истраживање ставова јавног мњења и др.)</w:t>
            </w:r>
          </w:p>
        </w:tc>
        <w:tc>
          <w:tcPr>
            <w:tcW w:w="1103" w:type="dxa"/>
            <w:tcBorders>
              <w:top w:val="single" w:sz="4" w:space="0" w:color="auto"/>
              <w:left w:val="nil"/>
              <w:bottom w:val="single" w:sz="8" w:space="0" w:color="auto"/>
              <w:right w:val="single" w:sz="8" w:space="0" w:color="auto"/>
            </w:tcBorders>
            <w:hideMark/>
          </w:tcPr>
          <w:p w14:paraId="45306FA6"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2" w:type="dxa"/>
            <w:tcBorders>
              <w:top w:val="single" w:sz="4" w:space="0" w:color="auto"/>
              <w:left w:val="nil"/>
              <w:bottom w:val="single" w:sz="8" w:space="0" w:color="auto"/>
              <w:right w:val="single" w:sz="8" w:space="0" w:color="auto"/>
            </w:tcBorders>
            <w:hideMark/>
          </w:tcPr>
          <w:p w14:paraId="6E3808F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 медији</w:t>
            </w:r>
          </w:p>
        </w:tc>
        <w:tc>
          <w:tcPr>
            <w:tcW w:w="1182" w:type="dxa"/>
            <w:tcBorders>
              <w:top w:val="single" w:sz="4" w:space="0" w:color="auto"/>
              <w:left w:val="nil"/>
              <w:bottom w:val="single" w:sz="8" w:space="0" w:color="auto"/>
              <w:right w:val="single" w:sz="8" w:space="0" w:color="auto"/>
            </w:tcBorders>
            <w:hideMark/>
          </w:tcPr>
          <w:p w14:paraId="76BC1D5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single" w:sz="8" w:space="0" w:color="auto"/>
              <w:right w:val="single" w:sz="8" w:space="0" w:color="auto"/>
            </w:tcBorders>
            <w:hideMark/>
          </w:tcPr>
          <w:p w14:paraId="29BF0633" w14:textId="1BCD3483"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r w:rsidR="00094D0E">
              <w:rPr>
                <w:rFonts w:eastAsia="Times New Roman" w:cs="Times New Roman"/>
                <w:color w:val="000000"/>
                <w:sz w:val="20"/>
                <w:szCs w:val="20"/>
                <w:lang w:val="sr-Cyrl-RS" w:eastAsia="en-GB"/>
              </w:rPr>
              <w:t>.</w:t>
            </w:r>
          </w:p>
        </w:tc>
        <w:tc>
          <w:tcPr>
            <w:tcW w:w="1340" w:type="dxa"/>
            <w:tcBorders>
              <w:top w:val="single" w:sz="4" w:space="0" w:color="auto"/>
              <w:left w:val="nil"/>
              <w:bottom w:val="single" w:sz="8" w:space="0" w:color="auto"/>
              <w:right w:val="single" w:sz="8" w:space="0" w:color="auto"/>
            </w:tcBorders>
          </w:tcPr>
          <w:p w14:paraId="205D99C9" w14:textId="43A66693" w:rsidR="00E67F4F" w:rsidRPr="00EF2F18" w:rsidRDefault="00E67F4F" w:rsidP="00752CA0">
            <w:pPr>
              <w:spacing w:after="0"/>
              <w:rPr>
                <w:rFonts w:eastAsia="Times New Roman" w:cs="Times New Roman"/>
                <w:color w:val="000000"/>
                <w:sz w:val="20"/>
                <w:szCs w:val="20"/>
                <w:lang w:val="sr-Cyrl-RS" w:eastAsia="en-GB"/>
              </w:rPr>
            </w:pPr>
          </w:p>
        </w:tc>
        <w:tc>
          <w:tcPr>
            <w:tcW w:w="1384" w:type="dxa"/>
            <w:tcBorders>
              <w:top w:val="single" w:sz="4" w:space="0" w:color="auto"/>
              <w:left w:val="nil"/>
              <w:bottom w:val="single" w:sz="8" w:space="0" w:color="auto"/>
              <w:right w:val="single" w:sz="8" w:space="0" w:color="auto"/>
            </w:tcBorders>
          </w:tcPr>
          <w:p w14:paraId="41E183E5" w14:textId="7EDB71B7"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038DB3CC" w14:textId="3FAA2F0A" w:rsidR="00E67F4F" w:rsidRPr="00EF2F18" w:rsidRDefault="00E67F4F" w:rsidP="00752CA0">
            <w:pPr>
              <w:spacing w:after="0"/>
              <w:jc w:val="right"/>
              <w:rPr>
                <w:rFonts w:eastAsia="Times New Roman" w:cs="Times New Roman"/>
                <w:color w:val="000000"/>
                <w:sz w:val="20"/>
                <w:szCs w:val="20"/>
                <w:lang w:val="sr-Cyrl-RS" w:eastAsia="en-GB"/>
              </w:rPr>
            </w:pPr>
          </w:p>
        </w:tc>
        <w:tc>
          <w:tcPr>
            <w:tcW w:w="1620" w:type="dxa"/>
            <w:tcBorders>
              <w:top w:val="single" w:sz="4" w:space="0" w:color="auto"/>
              <w:left w:val="nil"/>
              <w:bottom w:val="single" w:sz="8" w:space="0" w:color="auto"/>
              <w:right w:val="single" w:sz="8" w:space="0" w:color="auto"/>
            </w:tcBorders>
          </w:tcPr>
          <w:p w14:paraId="6E375726" w14:textId="5E4607E8" w:rsidR="00E67F4F" w:rsidRPr="00EF2F18" w:rsidRDefault="00E67F4F" w:rsidP="00752CA0">
            <w:pPr>
              <w:spacing w:after="0"/>
              <w:jc w:val="right"/>
              <w:rPr>
                <w:rFonts w:eastAsia="Times New Roman" w:cs="Times New Roman"/>
                <w:color w:val="000000"/>
                <w:sz w:val="20"/>
                <w:szCs w:val="20"/>
                <w:lang w:val="sr-Cyrl-RS" w:eastAsia="en-GB"/>
              </w:rPr>
            </w:pPr>
          </w:p>
        </w:tc>
      </w:tr>
    </w:tbl>
    <w:p w14:paraId="29C3F6FE" w14:textId="57899025" w:rsidR="007D7243" w:rsidRPr="00EF2F18" w:rsidRDefault="00573FE5"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567F692" w14:textId="77777777" w:rsidR="00573FE5" w:rsidRPr="00EF2F18" w:rsidRDefault="00573FE5" w:rsidP="007D7243">
      <w:pPr>
        <w:rPr>
          <w:sz w:val="20"/>
          <w:szCs w:val="20"/>
          <w:lang w:val="sr-Cyrl-RS"/>
        </w:rPr>
      </w:pPr>
    </w:p>
    <w:tbl>
      <w:tblPr>
        <w:tblW w:w="13657" w:type="dxa"/>
        <w:tblLook w:val="04A0" w:firstRow="1" w:lastRow="0" w:firstColumn="1" w:lastColumn="0" w:noHBand="0" w:noVBand="1"/>
      </w:tblPr>
      <w:tblGrid>
        <w:gridCol w:w="2931"/>
        <w:gridCol w:w="1653"/>
        <w:gridCol w:w="1495"/>
        <w:gridCol w:w="871"/>
        <w:gridCol w:w="791"/>
        <w:gridCol w:w="1279"/>
        <w:gridCol w:w="1155"/>
        <w:gridCol w:w="1592"/>
        <w:gridCol w:w="1873"/>
        <w:gridCol w:w="17"/>
      </w:tblGrid>
      <w:tr w:rsidR="007D7243" w:rsidRPr="00EF2F18" w14:paraId="0A5F3963" w14:textId="77777777" w:rsidTr="00E67F4F">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DE73814"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6.1.7: Укључивање родне и антидискриминационе перспективе у јавне политике, планове и пројекте у области заштите животне средине</w:t>
            </w:r>
          </w:p>
        </w:tc>
      </w:tr>
      <w:tr w:rsidR="007D7243" w:rsidRPr="00EF2F18" w14:paraId="055B4F0F" w14:textId="77777777" w:rsidTr="00E67F4F">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02294C28"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5B2BD0CD" w14:textId="77777777" w:rsidTr="00E67F4F">
        <w:trPr>
          <w:gridAfter w:val="1"/>
          <w:wAfter w:w="17" w:type="dxa"/>
          <w:trHeight w:val="336"/>
        </w:trPr>
        <w:tc>
          <w:tcPr>
            <w:tcW w:w="695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AF4B298" w14:textId="2CCF42FC"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E67F4F"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690" w:type="dxa"/>
            <w:gridSpan w:val="5"/>
            <w:tcBorders>
              <w:top w:val="double" w:sz="6" w:space="0" w:color="auto"/>
              <w:left w:val="nil"/>
              <w:bottom w:val="double" w:sz="6" w:space="0" w:color="auto"/>
              <w:right w:val="double" w:sz="6" w:space="0" w:color="auto"/>
            </w:tcBorders>
            <w:shd w:val="clear" w:color="000000" w:fill="F7CAAC"/>
            <w:hideMark/>
          </w:tcPr>
          <w:p w14:paraId="387427E8" w14:textId="374E7C87" w:rsidR="007D7243" w:rsidRPr="00EF2F18" w:rsidRDefault="007D7243" w:rsidP="001534F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w:t>
            </w:r>
            <w:r w:rsidR="001534F6"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едукативна</w:t>
            </w:r>
          </w:p>
        </w:tc>
      </w:tr>
      <w:tr w:rsidR="007D7243" w:rsidRPr="00EF2F18" w14:paraId="66A0490B" w14:textId="77777777" w:rsidTr="00E67F4F">
        <w:trPr>
          <w:gridAfter w:val="1"/>
          <w:wAfter w:w="17" w:type="dxa"/>
          <w:trHeight w:val="336"/>
        </w:trPr>
        <w:tc>
          <w:tcPr>
            <w:tcW w:w="695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AF61EA4"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90" w:type="dxa"/>
            <w:gridSpan w:val="5"/>
            <w:tcBorders>
              <w:top w:val="double" w:sz="6" w:space="0" w:color="auto"/>
              <w:left w:val="nil"/>
              <w:bottom w:val="double" w:sz="6" w:space="0" w:color="auto"/>
              <w:right w:val="double" w:sz="6" w:space="0" w:color="auto"/>
            </w:tcBorders>
            <w:shd w:val="clear" w:color="000000" w:fill="F7CAAC"/>
            <w:hideMark/>
          </w:tcPr>
          <w:p w14:paraId="0F024F1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67F4F" w:rsidRPr="00EF2F18" w14:paraId="141A10D9" w14:textId="77777777" w:rsidTr="00E67F4F">
        <w:trPr>
          <w:trHeight w:val="816"/>
        </w:trPr>
        <w:tc>
          <w:tcPr>
            <w:tcW w:w="2931" w:type="dxa"/>
            <w:tcBorders>
              <w:top w:val="nil"/>
              <w:left w:val="double" w:sz="6" w:space="0" w:color="auto"/>
              <w:bottom w:val="double" w:sz="6" w:space="0" w:color="auto"/>
              <w:right w:val="single" w:sz="8" w:space="0" w:color="auto"/>
            </w:tcBorders>
            <w:shd w:val="clear" w:color="000000" w:fill="D9D9D9"/>
            <w:hideMark/>
          </w:tcPr>
          <w:p w14:paraId="2E1F0D3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653" w:type="dxa"/>
            <w:tcBorders>
              <w:top w:val="nil"/>
              <w:left w:val="nil"/>
              <w:bottom w:val="double" w:sz="6" w:space="0" w:color="auto"/>
              <w:right w:val="single" w:sz="8" w:space="0" w:color="auto"/>
            </w:tcBorders>
            <w:shd w:val="clear" w:color="000000" w:fill="D9D9D9"/>
            <w:hideMark/>
          </w:tcPr>
          <w:p w14:paraId="784B48ED"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495" w:type="dxa"/>
            <w:tcBorders>
              <w:top w:val="nil"/>
              <w:left w:val="nil"/>
              <w:bottom w:val="double" w:sz="6" w:space="0" w:color="auto"/>
              <w:right w:val="single" w:sz="8" w:space="0" w:color="auto"/>
            </w:tcBorders>
            <w:shd w:val="clear" w:color="000000" w:fill="D9D9D9"/>
            <w:hideMark/>
          </w:tcPr>
          <w:p w14:paraId="7B39AAA6"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662" w:type="dxa"/>
            <w:gridSpan w:val="2"/>
            <w:tcBorders>
              <w:top w:val="double" w:sz="6" w:space="0" w:color="auto"/>
              <w:left w:val="nil"/>
              <w:bottom w:val="double" w:sz="6" w:space="0" w:color="auto"/>
              <w:right w:val="single" w:sz="8" w:space="0" w:color="000000"/>
            </w:tcBorders>
            <w:shd w:val="clear" w:color="000000" w:fill="D9D9D9"/>
            <w:hideMark/>
          </w:tcPr>
          <w:p w14:paraId="6E549A90"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279" w:type="dxa"/>
            <w:tcBorders>
              <w:top w:val="nil"/>
              <w:left w:val="nil"/>
              <w:bottom w:val="double" w:sz="6" w:space="0" w:color="auto"/>
              <w:right w:val="single" w:sz="8" w:space="0" w:color="auto"/>
            </w:tcBorders>
            <w:shd w:val="clear" w:color="000000" w:fill="D9D9D9"/>
            <w:hideMark/>
          </w:tcPr>
          <w:p w14:paraId="3EBA74AF"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155" w:type="dxa"/>
            <w:tcBorders>
              <w:top w:val="nil"/>
              <w:left w:val="nil"/>
              <w:bottom w:val="double" w:sz="6" w:space="0" w:color="auto"/>
              <w:right w:val="nil"/>
            </w:tcBorders>
            <w:shd w:val="clear" w:color="000000" w:fill="D9D9D9"/>
            <w:hideMark/>
          </w:tcPr>
          <w:p w14:paraId="36A00C68"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92" w:type="dxa"/>
            <w:tcBorders>
              <w:top w:val="nil"/>
              <w:left w:val="nil"/>
              <w:bottom w:val="double" w:sz="6" w:space="0" w:color="auto"/>
              <w:right w:val="single" w:sz="8" w:space="0" w:color="auto"/>
            </w:tcBorders>
            <w:shd w:val="clear" w:color="000000" w:fill="D9D9D9"/>
            <w:hideMark/>
          </w:tcPr>
          <w:p w14:paraId="3508D5D0"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gridSpan w:val="2"/>
            <w:tcBorders>
              <w:top w:val="nil"/>
              <w:left w:val="nil"/>
              <w:bottom w:val="double" w:sz="6" w:space="0" w:color="auto"/>
              <w:right w:val="double" w:sz="6" w:space="0" w:color="auto"/>
            </w:tcBorders>
            <w:shd w:val="clear" w:color="000000" w:fill="D9D9D9"/>
            <w:hideMark/>
          </w:tcPr>
          <w:p w14:paraId="2EFF52D9"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67F4F" w:rsidRPr="00EF2F18" w14:paraId="5850AD6E" w14:textId="77777777" w:rsidTr="00E67F4F">
        <w:trPr>
          <w:trHeight w:val="1548"/>
        </w:trPr>
        <w:tc>
          <w:tcPr>
            <w:tcW w:w="2931" w:type="dxa"/>
            <w:tcBorders>
              <w:top w:val="nil"/>
              <w:left w:val="double" w:sz="6" w:space="0" w:color="auto"/>
              <w:bottom w:val="double" w:sz="6" w:space="0" w:color="000000"/>
              <w:right w:val="single" w:sz="8" w:space="0" w:color="auto"/>
            </w:tcBorders>
            <w:shd w:val="clear" w:color="000000" w:fill="FFFFFF"/>
            <w:hideMark/>
          </w:tcPr>
          <w:p w14:paraId="4705094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Укључена родна и антидискриминациона перспектива у нове документе јавних политика у области заштите животне средине</w:t>
            </w:r>
          </w:p>
        </w:tc>
        <w:tc>
          <w:tcPr>
            <w:tcW w:w="1653" w:type="dxa"/>
            <w:tcBorders>
              <w:top w:val="nil"/>
              <w:left w:val="single" w:sz="8" w:space="0" w:color="auto"/>
              <w:bottom w:val="double" w:sz="6" w:space="0" w:color="000000"/>
              <w:right w:val="single" w:sz="8" w:space="0" w:color="auto"/>
            </w:tcBorders>
            <w:shd w:val="clear" w:color="000000" w:fill="FFFFFF"/>
            <w:hideMark/>
          </w:tcPr>
          <w:p w14:paraId="2741EEB1"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не/делимично/да</w:t>
            </w:r>
          </w:p>
        </w:tc>
        <w:tc>
          <w:tcPr>
            <w:tcW w:w="1495" w:type="dxa"/>
            <w:tcBorders>
              <w:top w:val="nil"/>
              <w:left w:val="nil"/>
              <w:bottom w:val="double" w:sz="4" w:space="0" w:color="auto"/>
              <w:right w:val="single" w:sz="8" w:space="0" w:color="auto"/>
            </w:tcBorders>
            <w:shd w:val="clear" w:color="000000" w:fill="FFFFFF"/>
            <w:hideMark/>
          </w:tcPr>
          <w:p w14:paraId="276EC67B" w14:textId="77777777" w:rsidR="00E67F4F" w:rsidRPr="00EF2F18" w:rsidRDefault="00E67F4F"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Годишњи извештај о остваривању родне равноправности, МЗЖС</w:t>
            </w:r>
          </w:p>
        </w:tc>
        <w:tc>
          <w:tcPr>
            <w:tcW w:w="1662" w:type="dxa"/>
            <w:gridSpan w:val="2"/>
            <w:tcBorders>
              <w:top w:val="double" w:sz="6" w:space="0" w:color="auto"/>
              <w:left w:val="single" w:sz="8" w:space="0" w:color="auto"/>
              <w:bottom w:val="double" w:sz="6" w:space="0" w:color="000000"/>
              <w:right w:val="single" w:sz="8" w:space="0" w:color="000000"/>
            </w:tcBorders>
            <w:shd w:val="clear" w:color="000000" w:fill="FFFFFF"/>
            <w:hideMark/>
          </w:tcPr>
          <w:p w14:paraId="5FC12FC7"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не</w:t>
            </w:r>
          </w:p>
        </w:tc>
        <w:tc>
          <w:tcPr>
            <w:tcW w:w="1279" w:type="dxa"/>
            <w:tcBorders>
              <w:top w:val="nil"/>
              <w:left w:val="single" w:sz="8" w:space="0" w:color="auto"/>
              <w:bottom w:val="double" w:sz="6" w:space="0" w:color="000000"/>
              <w:right w:val="single" w:sz="8" w:space="0" w:color="auto"/>
            </w:tcBorders>
            <w:shd w:val="clear" w:color="000000" w:fill="FFFFFF"/>
            <w:hideMark/>
          </w:tcPr>
          <w:p w14:paraId="1152CFFE"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155" w:type="dxa"/>
            <w:tcBorders>
              <w:top w:val="nil"/>
              <w:left w:val="single" w:sz="8" w:space="0" w:color="auto"/>
              <w:bottom w:val="double" w:sz="4" w:space="0" w:color="auto"/>
              <w:right w:val="single" w:sz="8" w:space="0" w:color="auto"/>
            </w:tcBorders>
            <w:shd w:val="clear" w:color="000000" w:fill="FFFFFF"/>
            <w:hideMark/>
          </w:tcPr>
          <w:p w14:paraId="3729C9F8"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делимично</w:t>
            </w:r>
          </w:p>
        </w:tc>
        <w:tc>
          <w:tcPr>
            <w:tcW w:w="1592" w:type="dxa"/>
            <w:tcBorders>
              <w:top w:val="nil"/>
              <w:left w:val="nil"/>
              <w:bottom w:val="double" w:sz="4" w:space="0" w:color="auto"/>
              <w:right w:val="single" w:sz="8" w:space="0" w:color="auto"/>
            </w:tcBorders>
            <w:shd w:val="clear" w:color="000000" w:fill="FFFFFF"/>
            <w:hideMark/>
          </w:tcPr>
          <w:p w14:paraId="593604E3"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делимично</w:t>
            </w:r>
          </w:p>
        </w:tc>
        <w:tc>
          <w:tcPr>
            <w:tcW w:w="1890" w:type="dxa"/>
            <w:gridSpan w:val="2"/>
            <w:tcBorders>
              <w:top w:val="nil"/>
              <w:left w:val="nil"/>
              <w:bottom w:val="double" w:sz="4" w:space="0" w:color="auto"/>
              <w:right w:val="double" w:sz="6" w:space="0" w:color="auto"/>
            </w:tcBorders>
            <w:shd w:val="clear" w:color="000000" w:fill="FFFFFF"/>
            <w:hideMark/>
          </w:tcPr>
          <w:p w14:paraId="0866517C"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делимично</w:t>
            </w:r>
          </w:p>
        </w:tc>
      </w:tr>
      <w:tr w:rsidR="00E67F4F" w:rsidRPr="00EF2F18" w14:paraId="473412DF" w14:textId="77777777" w:rsidTr="00094D0E">
        <w:trPr>
          <w:trHeight w:val="1500"/>
        </w:trPr>
        <w:tc>
          <w:tcPr>
            <w:tcW w:w="2931" w:type="dxa"/>
            <w:tcBorders>
              <w:top w:val="single" w:sz="4" w:space="0" w:color="auto"/>
              <w:left w:val="double" w:sz="6" w:space="0" w:color="auto"/>
              <w:bottom w:val="double" w:sz="6" w:space="0" w:color="000000"/>
              <w:right w:val="single" w:sz="8" w:space="0" w:color="auto"/>
            </w:tcBorders>
            <w:shd w:val="clear" w:color="000000" w:fill="FFFFFF"/>
            <w:hideMark/>
          </w:tcPr>
          <w:p w14:paraId="2A1A355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Број реализованих родно одговорних пројеката које спроводе или финансирају државни органи надлежни за питања у области заштите животне средине, годишње</w:t>
            </w:r>
          </w:p>
        </w:tc>
        <w:tc>
          <w:tcPr>
            <w:tcW w:w="1653" w:type="dxa"/>
            <w:tcBorders>
              <w:top w:val="single" w:sz="4" w:space="0" w:color="auto"/>
              <w:left w:val="single" w:sz="8" w:space="0" w:color="auto"/>
              <w:bottom w:val="double" w:sz="6" w:space="0" w:color="000000"/>
              <w:right w:val="single" w:sz="8" w:space="0" w:color="auto"/>
            </w:tcBorders>
            <w:shd w:val="clear" w:color="000000" w:fill="FFFFFF"/>
            <w:hideMark/>
          </w:tcPr>
          <w:p w14:paraId="4A7C54E5"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495" w:type="dxa"/>
            <w:tcBorders>
              <w:top w:val="single" w:sz="4" w:space="0" w:color="auto"/>
              <w:left w:val="nil"/>
              <w:bottom w:val="double" w:sz="4" w:space="0" w:color="auto"/>
              <w:right w:val="single" w:sz="8" w:space="0" w:color="auto"/>
            </w:tcBorders>
            <w:shd w:val="clear" w:color="000000" w:fill="FFFFFF"/>
            <w:hideMark/>
          </w:tcPr>
          <w:p w14:paraId="1ED1A152" w14:textId="77777777" w:rsidR="00E67F4F" w:rsidRPr="00EF2F18" w:rsidRDefault="00E67F4F"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Годишњи извештај о остваривању родне равноправности, МЗЖС</w:t>
            </w:r>
          </w:p>
        </w:tc>
        <w:tc>
          <w:tcPr>
            <w:tcW w:w="1662" w:type="dxa"/>
            <w:gridSpan w:val="2"/>
            <w:tcBorders>
              <w:top w:val="single" w:sz="4" w:space="0" w:color="auto"/>
              <w:left w:val="single" w:sz="8" w:space="0" w:color="auto"/>
              <w:bottom w:val="double" w:sz="4" w:space="0" w:color="auto"/>
              <w:right w:val="single" w:sz="8" w:space="0" w:color="000000"/>
            </w:tcBorders>
            <w:shd w:val="clear" w:color="000000" w:fill="FFFFFF"/>
            <w:hideMark/>
          </w:tcPr>
          <w:p w14:paraId="6B268F3E"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279" w:type="dxa"/>
            <w:tcBorders>
              <w:top w:val="single" w:sz="4" w:space="0" w:color="auto"/>
              <w:left w:val="single" w:sz="8" w:space="0" w:color="auto"/>
              <w:bottom w:val="double" w:sz="4" w:space="0" w:color="auto"/>
              <w:right w:val="single" w:sz="8" w:space="0" w:color="auto"/>
            </w:tcBorders>
            <w:shd w:val="clear" w:color="000000" w:fill="FFFFFF"/>
            <w:hideMark/>
          </w:tcPr>
          <w:p w14:paraId="4152302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155" w:type="dxa"/>
            <w:tcBorders>
              <w:top w:val="double" w:sz="4" w:space="0" w:color="auto"/>
              <w:left w:val="single" w:sz="8" w:space="0" w:color="auto"/>
              <w:bottom w:val="double" w:sz="4" w:space="0" w:color="auto"/>
              <w:right w:val="single" w:sz="8" w:space="0" w:color="auto"/>
            </w:tcBorders>
            <w:shd w:val="clear" w:color="000000" w:fill="FFFFFF"/>
            <w:hideMark/>
          </w:tcPr>
          <w:p w14:paraId="0EFC3773" w14:textId="71792725"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1</w:t>
            </w:r>
          </w:p>
        </w:tc>
        <w:tc>
          <w:tcPr>
            <w:tcW w:w="1592" w:type="dxa"/>
            <w:tcBorders>
              <w:top w:val="double" w:sz="4" w:space="0" w:color="auto"/>
              <w:left w:val="nil"/>
              <w:bottom w:val="double" w:sz="4" w:space="0" w:color="auto"/>
              <w:right w:val="single" w:sz="8" w:space="0" w:color="auto"/>
            </w:tcBorders>
            <w:shd w:val="clear" w:color="000000" w:fill="FFFFFF"/>
            <w:hideMark/>
          </w:tcPr>
          <w:p w14:paraId="7CE7DF4F"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c>
          <w:tcPr>
            <w:tcW w:w="1890" w:type="dxa"/>
            <w:gridSpan w:val="2"/>
            <w:tcBorders>
              <w:top w:val="double" w:sz="4" w:space="0" w:color="auto"/>
              <w:left w:val="nil"/>
              <w:bottom w:val="double" w:sz="4" w:space="0" w:color="auto"/>
              <w:right w:val="double" w:sz="6" w:space="0" w:color="auto"/>
            </w:tcBorders>
            <w:shd w:val="clear" w:color="000000" w:fill="FFFFFF"/>
            <w:hideMark/>
          </w:tcPr>
          <w:p w14:paraId="666EE42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r>
      <w:tr w:rsidR="00E67F4F" w:rsidRPr="00EF2F18" w14:paraId="593ECB5A" w14:textId="77777777" w:rsidTr="001664F3">
        <w:trPr>
          <w:trHeight w:val="1620"/>
        </w:trPr>
        <w:tc>
          <w:tcPr>
            <w:tcW w:w="2931" w:type="dxa"/>
            <w:tcBorders>
              <w:top w:val="single" w:sz="4" w:space="0" w:color="auto"/>
              <w:left w:val="double" w:sz="6" w:space="0" w:color="auto"/>
              <w:bottom w:val="double" w:sz="6" w:space="0" w:color="auto"/>
              <w:right w:val="single" w:sz="8" w:space="0" w:color="auto"/>
            </w:tcBorders>
            <w:shd w:val="clear" w:color="000000" w:fill="FFFFFF"/>
            <w:hideMark/>
          </w:tcPr>
          <w:p w14:paraId="33C4D94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обучених представника и представница органа државне управе, локалне самоуправе и организација цивилног друштва за родно одговорно планирање и спровођење јавних политика и пројеката у области заштите животне средине (исказан по полу), годишње</w:t>
            </w:r>
          </w:p>
        </w:tc>
        <w:tc>
          <w:tcPr>
            <w:tcW w:w="1653" w:type="dxa"/>
            <w:tcBorders>
              <w:top w:val="single" w:sz="4" w:space="0" w:color="auto"/>
              <w:left w:val="single" w:sz="8" w:space="0" w:color="auto"/>
              <w:bottom w:val="double" w:sz="6" w:space="0" w:color="auto"/>
              <w:right w:val="single" w:sz="8" w:space="0" w:color="auto"/>
            </w:tcBorders>
            <w:shd w:val="clear" w:color="000000" w:fill="FFFFFF"/>
            <w:hideMark/>
          </w:tcPr>
          <w:p w14:paraId="21CFE0E5"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495" w:type="dxa"/>
            <w:tcBorders>
              <w:top w:val="double" w:sz="4" w:space="0" w:color="auto"/>
              <w:left w:val="nil"/>
              <w:bottom w:val="double" w:sz="6" w:space="0" w:color="auto"/>
              <w:right w:val="single" w:sz="8" w:space="0" w:color="auto"/>
            </w:tcBorders>
            <w:shd w:val="clear" w:color="000000" w:fill="FFFFFF"/>
            <w:hideMark/>
          </w:tcPr>
          <w:p w14:paraId="3EF366D7" w14:textId="77777777" w:rsidR="00E67F4F" w:rsidRPr="00EF2F18" w:rsidRDefault="00E67F4F"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Годишњи извештај о остваривању родне равноправности, МЗЖС</w:t>
            </w:r>
          </w:p>
        </w:tc>
        <w:tc>
          <w:tcPr>
            <w:tcW w:w="1662" w:type="dxa"/>
            <w:gridSpan w:val="2"/>
            <w:tcBorders>
              <w:top w:val="double" w:sz="4" w:space="0" w:color="auto"/>
              <w:left w:val="single" w:sz="8" w:space="0" w:color="auto"/>
              <w:bottom w:val="double" w:sz="6" w:space="0" w:color="auto"/>
              <w:right w:val="single" w:sz="8" w:space="0" w:color="000000"/>
            </w:tcBorders>
            <w:shd w:val="clear" w:color="000000" w:fill="FFFFFF"/>
            <w:hideMark/>
          </w:tcPr>
          <w:p w14:paraId="1ABD220C"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279" w:type="dxa"/>
            <w:tcBorders>
              <w:top w:val="double" w:sz="4" w:space="0" w:color="auto"/>
              <w:left w:val="single" w:sz="8" w:space="0" w:color="auto"/>
              <w:bottom w:val="double" w:sz="6" w:space="0" w:color="auto"/>
              <w:right w:val="single" w:sz="8" w:space="0" w:color="auto"/>
            </w:tcBorders>
            <w:shd w:val="clear" w:color="000000" w:fill="FFFFFF"/>
            <w:hideMark/>
          </w:tcPr>
          <w:p w14:paraId="64CFD4F6"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155" w:type="dxa"/>
            <w:tcBorders>
              <w:top w:val="double" w:sz="4" w:space="0" w:color="auto"/>
              <w:left w:val="single" w:sz="8" w:space="0" w:color="auto"/>
              <w:bottom w:val="double" w:sz="6" w:space="0" w:color="auto"/>
              <w:right w:val="single" w:sz="8" w:space="0" w:color="auto"/>
            </w:tcBorders>
            <w:shd w:val="clear" w:color="000000" w:fill="FFFFFF"/>
            <w:hideMark/>
          </w:tcPr>
          <w:p w14:paraId="25A2B102"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w:t>
            </w:r>
          </w:p>
        </w:tc>
        <w:tc>
          <w:tcPr>
            <w:tcW w:w="1592" w:type="dxa"/>
            <w:tcBorders>
              <w:top w:val="double" w:sz="4" w:space="0" w:color="auto"/>
              <w:left w:val="nil"/>
              <w:bottom w:val="double" w:sz="6" w:space="0" w:color="auto"/>
              <w:right w:val="single" w:sz="8" w:space="0" w:color="auto"/>
            </w:tcBorders>
            <w:shd w:val="clear" w:color="000000" w:fill="FFFFFF"/>
            <w:hideMark/>
          </w:tcPr>
          <w:p w14:paraId="6D6D4F99"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w:t>
            </w:r>
          </w:p>
        </w:tc>
        <w:tc>
          <w:tcPr>
            <w:tcW w:w="1890" w:type="dxa"/>
            <w:gridSpan w:val="2"/>
            <w:tcBorders>
              <w:top w:val="double" w:sz="4" w:space="0" w:color="auto"/>
              <w:left w:val="nil"/>
              <w:bottom w:val="double" w:sz="6" w:space="0" w:color="auto"/>
              <w:right w:val="double" w:sz="6" w:space="0" w:color="auto"/>
            </w:tcBorders>
            <w:shd w:val="clear" w:color="000000" w:fill="FFFFFF"/>
            <w:hideMark/>
          </w:tcPr>
          <w:p w14:paraId="1593916D"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w:t>
            </w:r>
          </w:p>
        </w:tc>
      </w:tr>
    </w:tbl>
    <w:p w14:paraId="590C23D8" w14:textId="77777777" w:rsidR="007D7243" w:rsidRPr="00EF2F18" w:rsidRDefault="007D7243" w:rsidP="007D7243">
      <w:pPr>
        <w:rPr>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0"/>
        <w:gridCol w:w="2480"/>
        <w:gridCol w:w="1820"/>
        <w:gridCol w:w="2587"/>
        <w:gridCol w:w="2970"/>
      </w:tblGrid>
      <w:tr w:rsidR="007D7243" w:rsidRPr="00EF2F18" w14:paraId="6F7CB205" w14:textId="77777777" w:rsidTr="00EF0900">
        <w:trPr>
          <w:trHeight w:val="336"/>
        </w:trPr>
        <w:tc>
          <w:tcPr>
            <w:tcW w:w="3800" w:type="dxa"/>
            <w:vMerge w:val="restart"/>
            <w:shd w:val="clear" w:color="000000" w:fill="A8D08D"/>
            <w:hideMark/>
          </w:tcPr>
          <w:p w14:paraId="41C801B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shd w:val="clear" w:color="000000" w:fill="A8D08D"/>
            <w:hideMark/>
          </w:tcPr>
          <w:p w14:paraId="30F79B8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shd w:val="clear" w:color="000000" w:fill="A8D08D"/>
            <w:hideMark/>
          </w:tcPr>
          <w:p w14:paraId="2617860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67F4F" w:rsidRPr="00EF2F18" w14:paraId="237239A9" w14:textId="77777777" w:rsidTr="00EF0900">
        <w:trPr>
          <w:trHeight w:val="336"/>
        </w:trPr>
        <w:tc>
          <w:tcPr>
            <w:tcW w:w="3800" w:type="dxa"/>
            <w:vMerge/>
            <w:vAlign w:val="center"/>
            <w:hideMark/>
          </w:tcPr>
          <w:p w14:paraId="1DC66BF8" w14:textId="77777777" w:rsidR="00E67F4F" w:rsidRPr="00EF2F18" w:rsidRDefault="00E67F4F" w:rsidP="00752CA0">
            <w:pPr>
              <w:spacing w:after="0"/>
              <w:rPr>
                <w:rFonts w:eastAsia="Times New Roman" w:cs="Times New Roman"/>
                <w:color w:val="000000"/>
                <w:sz w:val="20"/>
                <w:szCs w:val="20"/>
                <w:lang w:val="sr-Cyrl-RS" w:eastAsia="en-GB"/>
              </w:rPr>
            </w:pPr>
          </w:p>
        </w:tc>
        <w:tc>
          <w:tcPr>
            <w:tcW w:w="2480" w:type="dxa"/>
            <w:vMerge/>
            <w:vAlign w:val="center"/>
            <w:hideMark/>
          </w:tcPr>
          <w:p w14:paraId="6028D033" w14:textId="77777777" w:rsidR="00E67F4F" w:rsidRPr="00EF2F18" w:rsidRDefault="00E67F4F" w:rsidP="00752CA0">
            <w:pPr>
              <w:spacing w:after="0"/>
              <w:rPr>
                <w:rFonts w:eastAsia="Times New Roman" w:cs="Times New Roman"/>
                <w:color w:val="000000"/>
                <w:sz w:val="20"/>
                <w:szCs w:val="20"/>
                <w:lang w:val="sr-Cyrl-RS" w:eastAsia="en-GB"/>
              </w:rPr>
            </w:pPr>
          </w:p>
        </w:tc>
        <w:tc>
          <w:tcPr>
            <w:tcW w:w="1820" w:type="dxa"/>
            <w:shd w:val="clear" w:color="000000" w:fill="A8D08D"/>
            <w:hideMark/>
          </w:tcPr>
          <w:p w14:paraId="5006C4DC" w14:textId="0CBD76CD"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 године</w:t>
            </w:r>
          </w:p>
        </w:tc>
        <w:tc>
          <w:tcPr>
            <w:tcW w:w="2587" w:type="dxa"/>
            <w:shd w:val="clear" w:color="000000" w:fill="A8D08D"/>
            <w:hideMark/>
          </w:tcPr>
          <w:p w14:paraId="2EBB0F94" w14:textId="5981A0E0"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970" w:type="dxa"/>
            <w:shd w:val="clear" w:color="000000" w:fill="A8D08D"/>
            <w:hideMark/>
          </w:tcPr>
          <w:p w14:paraId="59516A92" w14:textId="3ABA37A2"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67F4F" w:rsidRPr="00EF2F18" w14:paraId="4AC511B0" w14:textId="77777777" w:rsidTr="00EF0900">
        <w:trPr>
          <w:trHeight w:val="324"/>
        </w:trPr>
        <w:tc>
          <w:tcPr>
            <w:tcW w:w="3800" w:type="dxa"/>
            <w:shd w:val="clear" w:color="000000" w:fill="FFFFFF"/>
            <w:hideMark/>
          </w:tcPr>
          <w:p w14:paraId="701ABAF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shd w:val="clear" w:color="000000" w:fill="FFFFFF"/>
            <w:hideMark/>
          </w:tcPr>
          <w:p w14:paraId="4C83AD3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820" w:type="dxa"/>
            <w:hideMark/>
          </w:tcPr>
          <w:p w14:paraId="0EB81C44"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587" w:type="dxa"/>
            <w:hideMark/>
          </w:tcPr>
          <w:p w14:paraId="48212442"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970" w:type="dxa"/>
            <w:shd w:val="clear" w:color="000000" w:fill="FFFFFF"/>
            <w:hideMark/>
          </w:tcPr>
          <w:p w14:paraId="3A78E3B9"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67F4F" w:rsidRPr="00EF2F18" w14:paraId="24729A8D" w14:textId="77777777" w:rsidTr="00EF0900">
        <w:trPr>
          <w:trHeight w:val="437"/>
        </w:trPr>
        <w:tc>
          <w:tcPr>
            <w:tcW w:w="3800" w:type="dxa"/>
            <w:shd w:val="clear" w:color="000000" w:fill="FFFFFF"/>
            <w:hideMark/>
          </w:tcPr>
          <w:p w14:paraId="054472D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(МЗЖС)</w:t>
            </w:r>
          </w:p>
        </w:tc>
        <w:tc>
          <w:tcPr>
            <w:tcW w:w="2480" w:type="dxa"/>
            <w:shd w:val="clear" w:color="000000" w:fill="FFFFFF"/>
            <w:hideMark/>
          </w:tcPr>
          <w:p w14:paraId="2DF67D25"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0404-560-0004-423</w:t>
            </w:r>
          </w:p>
        </w:tc>
        <w:tc>
          <w:tcPr>
            <w:tcW w:w="1820" w:type="dxa"/>
            <w:hideMark/>
          </w:tcPr>
          <w:p w14:paraId="7DD22621"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2587" w:type="dxa"/>
            <w:hideMark/>
          </w:tcPr>
          <w:p w14:paraId="020DBA93"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2970" w:type="dxa"/>
            <w:shd w:val="clear" w:color="000000" w:fill="FFFFFF"/>
            <w:hideMark/>
          </w:tcPr>
          <w:p w14:paraId="63BB532C" w14:textId="502C2B51"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r>
    </w:tbl>
    <w:p w14:paraId="49BD984E" w14:textId="77777777" w:rsidR="00630969" w:rsidRPr="00EF2F18" w:rsidRDefault="00630969" w:rsidP="007D7243">
      <w:pPr>
        <w:rPr>
          <w:sz w:val="20"/>
          <w:szCs w:val="20"/>
          <w:lang w:val="sr-Cyrl-RS"/>
        </w:rPr>
      </w:pPr>
    </w:p>
    <w:tbl>
      <w:tblPr>
        <w:tblW w:w="13657" w:type="dxa"/>
        <w:tblLook w:val="04A0" w:firstRow="1" w:lastRow="0" w:firstColumn="1" w:lastColumn="0" w:noHBand="0" w:noVBand="1"/>
      </w:tblPr>
      <w:tblGrid>
        <w:gridCol w:w="2823"/>
        <w:gridCol w:w="1258"/>
        <w:gridCol w:w="1240"/>
        <w:gridCol w:w="1182"/>
        <w:gridCol w:w="1691"/>
        <w:gridCol w:w="1340"/>
        <w:gridCol w:w="1423"/>
        <w:gridCol w:w="1170"/>
        <w:gridCol w:w="1530"/>
      </w:tblGrid>
      <w:tr w:rsidR="007D7243" w:rsidRPr="00EF2F18" w14:paraId="6B253D48" w14:textId="77777777" w:rsidTr="00EF0900">
        <w:trPr>
          <w:trHeight w:val="732"/>
        </w:trPr>
        <w:tc>
          <w:tcPr>
            <w:tcW w:w="2823"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5E905F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8"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795BA7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61ECE0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6D3C7B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5A1FFD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2E0A9B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123" w:type="dxa"/>
            <w:gridSpan w:val="3"/>
            <w:tcBorders>
              <w:top w:val="double" w:sz="6" w:space="0" w:color="auto"/>
              <w:left w:val="nil"/>
              <w:bottom w:val="single" w:sz="8" w:space="0" w:color="auto"/>
              <w:right w:val="double" w:sz="6" w:space="0" w:color="auto"/>
            </w:tcBorders>
            <w:shd w:val="clear" w:color="000000" w:fill="FFF2CC"/>
            <w:hideMark/>
          </w:tcPr>
          <w:p w14:paraId="0FDB4CF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67F4F" w:rsidRPr="00EF2F18" w14:paraId="575DCEFF" w14:textId="77777777" w:rsidTr="00EF0900">
        <w:trPr>
          <w:trHeight w:val="324"/>
        </w:trPr>
        <w:tc>
          <w:tcPr>
            <w:tcW w:w="2823" w:type="dxa"/>
            <w:vMerge/>
            <w:tcBorders>
              <w:top w:val="double" w:sz="6" w:space="0" w:color="auto"/>
              <w:left w:val="double" w:sz="6" w:space="0" w:color="auto"/>
              <w:bottom w:val="single" w:sz="8" w:space="0" w:color="000000"/>
              <w:right w:val="single" w:sz="8" w:space="0" w:color="auto"/>
            </w:tcBorders>
            <w:vAlign w:val="center"/>
            <w:hideMark/>
          </w:tcPr>
          <w:p w14:paraId="0EACD5EA" w14:textId="77777777" w:rsidR="00E67F4F" w:rsidRPr="00EF2F18" w:rsidRDefault="00E67F4F" w:rsidP="00752CA0">
            <w:pPr>
              <w:spacing w:after="0"/>
              <w:rPr>
                <w:rFonts w:eastAsia="Times New Roman" w:cs="Times New Roman"/>
                <w:color w:val="000000"/>
                <w:sz w:val="20"/>
                <w:szCs w:val="20"/>
                <w:lang w:val="sr-Cyrl-RS" w:eastAsia="en-GB"/>
              </w:rPr>
            </w:pPr>
          </w:p>
        </w:tc>
        <w:tc>
          <w:tcPr>
            <w:tcW w:w="1258" w:type="dxa"/>
            <w:vMerge/>
            <w:tcBorders>
              <w:top w:val="double" w:sz="6" w:space="0" w:color="auto"/>
              <w:left w:val="single" w:sz="8" w:space="0" w:color="auto"/>
              <w:bottom w:val="single" w:sz="8" w:space="0" w:color="000000"/>
              <w:right w:val="single" w:sz="8" w:space="0" w:color="auto"/>
            </w:tcBorders>
            <w:vAlign w:val="center"/>
            <w:hideMark/>
          </w:tcPr>
          <w:p w14:paraId="17973512" w14:textId="77777777" w:rsidR="00E67F4F" w:rsidRPr="00EF2F18" w:rsidRDefault="00E67F4F"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1EDBBCD2" w14:textId="77777777" w:rsidR="00E67F4F" w:rsidRPr="00EF2F18" w:rsidRDefault="00E67F4F"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6EE7907D" w14:textId="77777777" w:rsidR="00E67F4F" w:rsidRPr="00EF2F18" w:rsidRDefault="00E67F4F"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449F0133" w14:textId="77777777" w:rsidR="00E67F4F" w:rsidRPr="00EF2F18" w:rsidRDefault="00E67F4F"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22FDC9AF" w14:textId="77777777" w:rsidR="00E67F4F" w:rsidRPr="00EF2F18" w:rsidRDefault="00E67F4F" w:rsidP="00752CA0">
            <w:pPr>
              <w:spacing w:after="0"/>
              <w:rPr>
                <w:rFonts w:eastAsia="Times New Roman" w:cs="Times New Roman"/>
                <w:color w:val="000000"/>
                <w:sz w:val="20"/>
                <w:szCs w:val="20"/>
                <w:lang w:val="sr-Cyrl-RS" w:eastAsia="en-GB"/>
              </w:rPr>
            </w:pPr>
          </w:p>
        </w:tc>
        <w:tc>
          <w:tcPr>
            <w:tcW w:w="1423" w:type="dxa"/>
            <w:tcBorders>
              <w:top w:val="nil"/>
              <w:left w:val="nil"/>
              <w:bottom w:val="single" w:sz="8" w:space="0" w:color="auto"/>
              <w:right w:val="single" w:sz="8" w:space="0" w:color="auto"/>
            </w:tcBorders>
            <w:shd w:val="clear" w:color="000000" w:fill="FFF2CC"/>
            <w:hideMark/>
          </w:tcPr>
          <w:p w14:paraId="1252917C" w14:textId="1970AFC5"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04A404A9" w14:textId="7B36C044"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23538D3B" w14:textId="4CC0CE4E"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E67F4F" w:rsidRPr="00EF2F18" w14:paraId="776DE20E" w14:textId="77777777" w:rsidTr="005F3003">
        <w:trPr>
          <w:trHeight w:val="1596"/>
        </w:trPr>
        <w:tc>
          <w:tcPr>
            <w:tcW w:w="2823" w:type="dxa"/>
            <w:tcBorders>
              <w:top w:val="single" w:sz="4" w:space="0" w:color="auto"/>
              <w:left w:val="double" w:sz="6" w:space="0" w:color="auto"/>
              <w:bottom w:val="single" w:sz="8" w:space="0" w:color="auto"/>
              <w:right w:val="single" w:sz="8" w:space="0" w:color="auto"/>
            </w:tcBorders>
            <w:hideMark/>
          </w:tcPr>
          <w:p w14:paraId="44DB002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lastRenderedPageBreak/>
              <w:t>6.1.7.1. Припрема и објављивање смерница за родно одговорно планирање и спровођење докумената јавних политика, планова и пројеката у области заштите животне средине</w:t>
            </w:r>
          </w:p>
        </w:tc>
        <w:tc>
          <w:tcPr>
            <w:tcW w:w="1258" w:type="dxa"/>
            <w:tcBorders>
              <w:top w:val="single" w:sz="4" w:space="0" w:color="auto"/>
              <w:left w:val="nil"/>
              <w:bottom w:val="single" w:sz="8" w:space="0" w:color="auto"/>
              <w:right w:val="single" w:sz="8" w:space="0" w:color="auto"/>
            </w:tcBorders>
            <w:hideMark/>
          </w:tcPr>
          <w:p w14:paraId="20A29BA3"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single" w:sz="4" w:space="0" w:color="auto"/>
              <w:left w:val="nil"/>
              <w:bottom w:val="single" w:sz="8" w:space="0" w:color="auto"/>
              <w:right w:val="single" w:sz="8" w:space="0" w:color="auto"/>
            </w:tcBorders>
            <w:hideMark/>
          </w:tcPr>
          <w:p w14:paraId="1939752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МРЗБСП, МЉМПДД, ПЗР, ОЦД</w:t>
            </w:r>
          </w:p>
        </w:tc>
        <w:tc>
          <w:tcPr>
            <w:tcW w:w="1182" w:type="dxa"/>
            <w:tcBorders>
              <w:top w:val="single" w:sz="4" w:space="0" w:color="auto"/>
              <w:left w:val="nil"/>
              <w:bottom w:val="single" w:sz="8" w:space="0" w:color="auto"/>
              <w:right w:val="single" w:sz="8" w:space="0" w:color="auto"/>
            </w:tcBorders>
            <w:hideMark/>
          </w:tcPr>
          <w:p w14:paraId="4C508188" w14:textId="22E2CD7A" w:rsidR="00E67F4F" w:rsidRPr="00EF2F18" w:rsidRDefault="005127F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00E67F4F" w:rsidRPr="00EF2F18">
              <w:rPr>
                <w:rFonts w:eastAsia="Times New Roman" w:cs="Times New Roman"/>
                <w:color w:val="000000"/>
                <w:sz w:val="20"/>
                <w:szCs w:val="20"/>
                <w:lang w:val="sr-Cyrl-RS" w:eastAsia="en-GB"/>
              </w:rPr>
              <w:t xml:space="preserve"> квартал 202</w:t>
            </w:r>
            <w:r w:rsidRPr="00EF2F18">
              <w:rPr>
                <w:rFonts w:eastAsia="Times New Roman" w:cs="Times New Roman"/>
                <w:color w:val="000000"/>
                <w:sz w:val="20"/>
                <w:szCs w:val="20"/>
                <w:lang w:val="sr-Cyrl-RS" w:eastAsia="en-GB"/>
              </w:rPr>
              <w:t>7</w:t>
            </w:r>
            <w:r w:rsidR="00E67F4F" w:rsidRPr="00EF2F18">
              <w:rPr>
                <w:rFonts w:eastAsia="Times New Roman" w:cs="Times New Roman"/>
                <w:color w:val="000000"/>
                <w:sz w:val="20"/>
                <w:szCs w:val="20"/>
                <w:lang w:val="sr-Cyrl-RS" w:eastAsia="en-GB"/>
              </w:rPr>
              <w:t xml:space="preserve">. </w:t>
            </w:r>
          </w:p>
        </w:tc>
        <w:tc>
          <w:tcPr>
            <w:tcW w:w="1691" w:type="dxa"/>
            <w:tcBorders>
              <w:top w:val="single" w:sz="4" w:space="0" w:color="auto"/>
              <w:left w:val="nil"/>
              <w:bottom w:val="single" w:sz="8" w:space="0" w:color="auto"/>
              <w:right w:val="single" w:sz="8" w:space="0" w:color="auto"/>
            </w:tcBorders>
            <w:hideMark/>
          </w:tcPr>
          <w:p w14:paraId="47861DD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7F3490DB"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423" w:type="dxa"/>
            <w:tcBorders>
              <w:top w:val="single" w:sz="4" w:space="0" w:color="auto"/>
              <w:left w:val="nil"/>
              <w:bottom w:val="single" w:sz="8" w:space="0" w:color="auto"/>
              <w:right w:val="single" w:sz="8" w:space="0" w:color="auto"/>
            </w:tcBorders>
          </w:tcPr>
          <w:p w14:paraId="66056C09" w14:textId="1C32B2F4" w:rsidR="00E67F4F" w:rsidRPr="00EF2F18" w:rsidRDefault="00E67F4F" w:rsidP="00752CA0">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790E8BCE" w14:textId="45EC7AE0" w:rsidR="00E67F4F" w:rsidRPr="00EF2F18" w:rsidRDefault="00E67F4F" w:rsidP="00752CA0">
            <w:pPr>
              <w:spacing w:after="0"/>
              <w:jc w:val="right"/>
              <w:rPr>
                <w:rFonts w:eastAsia="Times New Roman" w:cs="Times New Roman"/>
                <w:color w:val="000000"/>
                <w:sz w:val="20"/>
                <w:szCs w:val="20"/>
                <w:lang w:val="sr-Cyrl-RS" w:eastAsia="en-GB"/>
              </w:rPr>
            </w:pPr>
          </w:p>
        </w:tc>
        <w:tc>
          <w:tcPr>
            <w:tcW w:w="1530" w:type="dxa"/>
            <w:tcBorders>
              <w:top w:val="single" w:sz="4" w:space="0" w:color="auto"/>
              <w:left w:val="nil"/>
              <w:bottom w:val="single" w:sz="8" w:space="0" w:color="auto"/>
              <w:right w:val="double" w:sz="6" w:space="0" w:color="auto"/>
            </w:tcBorders>
          </w:tcPr>
          <w:p w14:paraId="3E164550" w14:textId="315C887A"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4CABC90D" w14:textId="77777777" w:rsidTr="001664F3">
        <w:trPr>
          <w:trHeight w:val="2124"/>
        </w:trPr>
        <w:tc>
          <w:tcPr>
            <w:tcW w:w="2823" w:type="dxa"/>
            <w:tcBorders>
              <w:top w:val="single" w:sz="4" w:space="0" w:color="auto"/>
              <w:left w:val="double" w:sz="6" w:space="0" w:color="auto"/>
              <w:bottom w:val="single" w:sz="8" w:space="0" w:color="auto"/>
              <w:right w:val="single" w:sz="8" w:space="0" w:color="auto"/>
            </w:tcBorders>
            <w:hideMark/>
          </w:tcPr>
          <w:p w14:paraId="4D8624AD" w14:textId="737DEAE6"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6.1.7.2. Прикупљање и анализа родно осетљивих података (разврстаних по полу, старосном добу и другим личним својствима) у вези са питањима животне средине и припрема препорука за унапређење остваривања родне равноправности</w:t>
            </w:r>
          </w:p>
        </w:tc>
        <w:tc>
          <w:tcPr>
            <w:tcW w:w="1258" w:type="dxa"/>
            <w:tcBorders>
              <w:top w:val="single" w:sz="4" w:space="0" w:color="auto"/>
              <w:left w:val="nil"/>
              <w:bottom w:val="single" w:sz="8" w:space="0" w:color="auto"/>
              <w:right w:val="single" w:sz="8" w:space="0" w:color="auto"/>
            </w:tcBorders>
            <w:hideMark/>
          </w:tcPr>
          <w:p w14:paraId="2E39E8C6"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single" w:sz="4" w:space="0" w:color="auto"/>
              <w:left w:val="nil"/>
              <w:bottom w:val="single" w:sz="8" w:space="0" w:color="auto"/>
              <w:right w:val="single" w:sz="8" w:space="0" w:color="auto"/>
            </w:tcBorders>
            <w:hideMark/>
          </w:tcPr>
          <w:p w14:paraId="7EA3CB4B"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МРЗБСП, МЉМПДД, ПЗР, ОЦД</w:t>
            </w:r>
          </w:p>
        </w:tc>
        <w:tc>
          <w:tcPr>
            <w:tcW w:w="1182" w:type="dxa"/>
            <w:tcBorders>
              <w:top w:val="single" w:sz="4" w:space="0" w:color="auto"/>
              <w:left w:val="nil"/>
              <w:bottom w:val="single" w:sz="8" w:space="0" w:color="auto"/>
              <w:right w:val="single" w:sz="8" w:space="0" w:color="auto"/>
            </w:tcBorders>
            <w:hideMark/>
          </w:tcPr>
          <w:p w14:paraId="6CBAF481" w14:textId="5D92DC1A" w:rsidR="00E67F4F" w:rsidRPr="00EF2F18" w:rsidRDefault="005127F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w:t>
            </w:r>
            <w:r w:rsidR="00E67F4F" w:rsidRPr="00EF2F18">
              <w:rPr>
                <w:rFonts w:eastAsia="Times New Roman" w:cs="Times New Roman"/>
                <w:color w:val="000000"/>
                <w:sz w:val="20"/>
                <w:szCs w:val="20"/>
                <w:lang w:val="sr-Cyrl-RS" w:eastAsia="en-GB"/>
              </w:rPr>
              <w:t xml:space="preserve">. квартал </w:t>
            </w:r>
            <w:r w:rsidR="00E67F4F" w:rsidRPr="00EF2F18">
              <w:rPr>
                <w:rFonts w:eastAsia="Times New Roman" w:cs="Times New Roman"/>
                <w:sz w:val="20"/>
                <w:szCs w:val="20"/>
                <w:lang w:val="sr-Cyrl-RS" w:eastAsia="en-GB"/>
              </w:rPr>
              <w:t>202</w:t>
            </w:r>
            <w:r w:rsidRPr="00EF2F18">
              <w:rPr>
                <w:rFonts w:eastAsia="Times New Roman" w:cs="Times New Roman"/>
                <w:sz w:val="20"/>
                <w:szCs w:val="20"/>
                <w:lang w:val="sr-Cyrl-RS" w:eastAsia="en-GB"/>
              </w:rPr>
              <w:t>7.</w:t>
            </w:r>
          </w:p>
        </w:tc>
        <w:tc>
          <w:tcPr>
            <w:tcW w:w="1691" w:type="dxa"/>
            <w:tcBorders>
              <w:top w:val="single" w:sz="4" w:space="0" w:color="auto"/>
              <w:left w:val="nil"/>
              <w:bottom w:val="single" w:sz="8" w:space="0" w:color="auto"/>
              <w:right w:val="single" w:sz="8" w:space="0" w:color="auto"/>
            </w:tcBorders>
            <w:hideMark/>
          </w:tcPr>
          <w:p w14:paraId="5B42E73B"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30ADB1B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423" w:type="dxa"/>
            <w:tcBorders>
              <w:top w:val="single" w:sz="4" w:space="0" w:color="auto"/>
              <w:left w:val="nil"/>
              <w:bottom w:val="single" w:sz="8" w:space="0" w:color="auto"/>
              <w:right w:val="single" w:sz="8" w:space="0" w:color="auto"/>
            </w:tcBorders>
          </w:tcPr>
          <w:p w14:paraId="63683A90" w14:textId="6E2EA80C" w:rsidR="00E67F4F" w:rsidRPr="00EF2F18" w:rsidRDefault="00E67F4F" w:rsidP="00752CA0">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309B92F6" w14:textId="4B7BF9E5" w:rsidR="00E67F4F" w:rsidRPr="00EF2F18" w:rsidRDefault="00E67F4F" w:rsidP="00752CA0">
            <w:pPr>
              <w:spacing w:after="0"/>
              <w:jc w:val="right"/>
              <w:rPr>
                <w:rFonts w:eastAsia="Times New Roman" w:cs="Times New Roman"/>
                <w:color w:val="000000"/>
                <w:sz w:val="20"/>
                <w:szCs w:val="20"/>
                <w:lang w:val="sr-Cyrl-RS" w:eastAsia="en-GB"/>
              </w:rPr>
            </w:pPr>
          </w:p>
        </w:tc>
        <w:tc>
          <w:tcPr>
            <w:tcW w:w="1530" w:type="dxa"/>
            <w:tcBorders>
              <w:top w:val="single" w:sz="4" w:space="0" w:color="auto"/>
              <w:left w:val="nil"/>
              <w:bottom w:val="single" w:sz="8" w:space="0" w:color="auto"/>
              <w:right w:val="double" w:sz="6" w:space="0" w:color="auto"/>
            </w:tcBorders>
          </w:tcPr>
          <w:p w14:paraId="5B61A961" w14:textId="2AB70D0A"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158926F7" w14:textId="77777777" w:rsidTr="00EF0900">
        <w:trPr>
          <w:trHeight w:val="2388"/>
        </w:trPr>
        <w:tc>
          <w:tcPr>
            <w:tcW w:w="2823" w:type="dxa"/>
            <w:tcBorders>
              <w:top w:val="nil"/>
              <w:left w:val="double" w:sz="6" w:space="0" w:color="auto"/>
              <w:bottom w:val="single" w:sz="8" w:space="0" w:color="auto"/>
              <w:right w:val="single" w:sz="8" w:space="0" w:color="auto"/>
            </w:tcBorders>
            <w:hideMark/>
          </w:tcPr>
          <w:p w14:paraId="754CD741"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6.1.7.3. Израда програма обука за родно одговорно планирање и спровођење планских докумената и пројеката у области заштите животне средине за представнике и представнице органа јавне управе (државних органа, органа АП и ЈЛС) и њихово периодично ажурирање</w:t>
            </w:r>
          </w:p>
        </w:tc>
        <w:tc>
          <w:tcPr>
            <w:tcW w:w="1258" w:type="dxa"/>
            <w:tcBorders>
              <w:top w:val="nil"/>
              <w:left w:val="nil"/>
              <w:bottom w:val="single" w:sz="8" w:space="0" w:color="auto"/>
              <w:right w:val="single" w:sz="8" w:space="0" w:color="auto"/>
            </w:tcBorders>
            <w:hideMark/>
          </w:tcPr>
          <w:p w14:paraId="1FEAC92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0D33D6C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МРЗБСП, МЉМПДД, ПЗР, ОЦД, НАЈУ, РСЈП</w:t>
            </w:r>
          </w:p>
        </w:tc>
        <w:tc>
          <w:tcPr>
            <w:tcW w:w="1182" w:type="dxa"/>
            <w:tcBorders>
              <w:top w:val="nil"/>
              <w:left w:val="nil"/>
              <w:bottom w:val="single" w:sz="8" w:space="0" w:color="auto"/>
              <w:right w:val="single" w:sz="8" w:space="0" w:color="auto"/>
            </w:tcBorders>
            <w:hideMark/>
          </w:tcPr>
          <w:p w14:paraId="18C36291" w14:textId="723D9A83" w:rsidR="00E67F4F" w:rsidRPr="00EF2F18" w:rsidRDefault="005127F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00E67F4F" w:rsidRPr="00EF2F18">
              <w:rPr>
                <w:rFonts w:eastAsia="Times New Roman" w:cs="Times New Roman"/>
                <w:color w:val="000000"/>
                <w:sz w:val="20"/>
                <w:szCs w:val="20"/>
                <w:lang w:val="sr-Cyrl-RS" w:eastAsia="en-GB"/>
              </w:rPr>
              <w:t>. квартал 202</w:t>
            </w:r>
            <w:r w:rsidRPr="00EF2F18">
              <w:rPr>
                <w:rFonts w:eastAsia="Times New Roman" w:cs="Times New Roman"/>
                <w:color w:val="000000"/>
                <w:sz w:val="20"/>
                <w:szCs w:val="20"/>
                <w:lang w:val="sr-Cyrl-RS" w:eastAsia="en-GB"/>
              </w:rPr>
              <w:t>7</w:t>
            </w:r>
            <w:r w:rsidR="00E67F4F" w:rsidRPr="00EF2F18">
              <w:rPr>
                <w:rFonts w:eastAsia="Times New Roman" w:cs="Times New Roman"/>
                <w:color w:val="000000"/>
                <w:sz w:val="20"/>
                <w:szCs w:val="20"/>
                <w:lang w:val="sr-Cyrl-RS" w:eastAsia="en-GB"/>
              </w:rPr>
              <w:t>.</w:t>
            </w:r>
          </w:p>
        </w:tc>
        <w:tc>
          <w:tcPr>
            <w:tcW w:w="1691" w:type="dxa"/>
            <w:tcBorders>
              <w:top w:val="nil"/>
              <w:left w:val="nil"/>
              <w:bottom w:val="single" w:sz="8" w:space="0" w:color="auto"/>
              <w:right w:val="single" w:sz="8" w:space="0" w:color="auto"/>
            </w:tcBorders>
            <w:hideMark/>
          </w:tcPr>
          <w:p w14:paraId="1AA91917"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6434349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423" w:type="dxa"/>
            <w:tcBorders>
              <w:top w:val="nil"/>
              <w:left w:val="nil"/>
              <w:bottom w:val="single" w:sz="8" w:space="0" w:color="auto"/>
              <w:right w:val="single" w:sz="8" w:space="0" w:color="auto"/>
            </w:tcBorders>
          </w:tcPr>
          <w:p w14:paraId="5F5CAA2F" w14:textId="4F489B9A" w:rsidR="00E67F4F" w:rsidRPr="00EF2F18" w:rsidRDefault="00E67F4F"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00F9C8EF" w14:textId="119D0154" w:rsidR="00E67F4F" w:rsidRPr="00EF2F18" w:rsidRDefault="00E67F4F"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099E35F8" w14:textId="69FC5D87"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51F4E9C2" w14:textId="77777777" w:rsidTr="00EF0900">
        <w:trPr>
          <w:trHeight w:val="2124"/>
        </w:trPr>
        <w:tc>
          <w:tcPr>
            <w:tcW w:w="2823" w:type="dxa"/>
            <w:tcBorders>
              <w:top w:val="nil"/>
              <w:left w:val="double" w:sz="6" w:space="0" w:color="auto"/>
              <w:bottom w:val="single" w:sz="8" w:space="0" w:color="auto"/>
              <w:right w:val="single" w:sz="8" w:space="0" w:color="auto"/>
            </w:tcBorders>
            <w:hideMark/>
          </w:tcPr>
          <w:p w14:paraId="49A895B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6.1.7.4. Континуирано спровођење обука за родно одговорно планирање и спровођење планских докумената и пројеката у области заштите животне за представнике и представнице органа јавне управе (државних органа, органа АП и ЈЛС)</w:t>
            </w:r>
          </w:p>
        </w:tc>
        <w:tc>
          <w:tcPr>
            <w:tcW w:w="1258" w:type="dxa"/>
            <w:tcBorders>
              <w:top w:val="nil"/>
              <w:left w:val="nil"/>
              <w:bottom w:val="single" w:sz="8" w:space="0" w:color="auto"/>
              <w:right w:val="single" w:sz="8" w:space="0" w:color="auto"/>
            </w:tcBorders>
            <w:hideMark/>
          </w:tcPr>
          <w:p w14:paraId="6384E76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7CAE796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МРЗБСП, МЉМПДД, ПЗР, ОЦД, НАЈУ</w:t>
            </w:r>
          </w:p>
        </w:tc>
        <w:tc>
          <w:tcPr>
            <w:tcW w:w="1182" w:type="dxa"/>
            <w:tcBorders>
              <w:top w:val="nil"/>
              <w:left w:val="nil"/>
              <w:bottom w:val="single" w:sz="8" w:space="0" w:color="auto"/>
              <w:right w:val="single" w:sz="8" w:space="0" w:color="auto"/>
            </w:tcBorders>
            <w:hideMark/>
          </w:tcPr>
          <w:p w14:paraId="4C74C24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 квартал 2028. </w:t>
            </w:r>
          </w:p>
        </w:tc>
        <w:tc>
          <w:tcPr>
            <w:tcW w:w="1691" w:type="dxa"/>
            <w:tcBorders>
              <w:top w:val="nil"/>
              <w:left w:val="nil"/>
              <w:bottom w:val="single" w:sz="8" w:space="0" w:color="auto"/>
              <w:right w:val="single" w:sz="8" w:space="0" w:color="auto"/>
            </w:tcBorders>
            <w:hideMark/>
          </w:tcPr>
          <w:p w14:paraId="364E17D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nil"/>
              <w:left w:val="nil"/>
              <w:bottom w:val="single" w:sz="8" w:space="0" w:color="auto"/>
              <w:right w:val="single" w:sz="8" w:space="0" w:color="auto"/>
            </w:tcBorders>
            <w:hideMark/>
          </w:tcPr>
          <w:p w14:paraId="6CF5DBE9"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0404-560-0004-423</w:t>
            </w:r>
          </w:p>
        </w:tc>
        <w:tc>
          <w:tcPr>
            <w:tcW w:w="1423" w:type="dxa"/>
            <w:tcBorders>
              <w:top w:val="nil"/>
              <w:left w:val="nil"/>
              <w:bottom w:val="single" w:sz="8" w:space="0" w:color="auto"/>
              <w:right w:val="single" w:sz="8" w:space="0" w:color="auto"/>
            </w:tcBorders>
            <w:hideMark/>
          </w:tcPr>
          <w:p w14:paraId="0BDE5908"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1170" w:type="dxa"/>
            <w:tcBorders>
              <w:top w:val="nil"/>
              <w:left w:val="nil"/>
              <w:bottom w:val="single" w:sz="8" w:space="0" w:color="auto"/>
              <w:right w:val="single" w:sz="8" w:space="0" w:color="auto"/>
            </w:tcBorders>
            <w:hideMark/>
          </w:tcPr>
          <w:p w14:paraId="6C0A487E"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c>
          <w:tcPr>
            <w:tcW w:w="1530" w:type="dxa"/>
            <w:tcBorders>
              <w:top w:val="nil"/>
              <w:left w:val="nil"/>
              <w:bottom w:val="single" w:sz="8" w:space="0" w:color="auto"/>
              <w:right w:val="double" w:sz="6" w:space="0" w:color="auto"/>
            </w:tcBorders>
            <w:hideMark/>
          </w:tcPr>
          <w:p w14:paraId="618BF9A4" w14:textId="524F8849"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600</w:t>
            </w:r>
          </w:p>
        </w:tc>
      </w:tr>
      <w:tr w:rsidR="00E67F4F" w:rsidRPr="00EF2F18" w14:paraId="53BE6EE8" w14:textId="77777777" w:rsidTr="001664F3">
        <w:trPr>
          <w:trHeight w:val="2652"/>
        </w:trPr>
        <w:tc>
          <w:tcPr>
            <w:tcW w:w="2823" w:type="dxa"/>
            <w:tcBorders>
              <w:top w:val="single" w:sz="4" w:space="0" w:color="auto"/>
              <w:left w:val="double" w:sz="6" w:space="0" w:color="auto"/>
              <w:bottom w:val="single" w:sz="8" w:space="0" w:color="auto"/>
              <w:right w:val="single" w:sz="8" w:space="0" w:color="auto"/>
            </w:tcBorders>
            <w:hideMark/>
          </w:tcPr>
          <w:p w14:paraId="3BB8A7D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lastRenderedPageBreak/>
              <w:t>6.1.7.5. Израда програма обука за родно одговорно планирање и спровођење планских докумената и пројеката у области заштите животне за представнике и представнице организација цивилног друштва које се баве питањима заштите животне средине и њихово периодично ажурирање</w:t>
            </w:r>
          </w:p>
        </w:tc>
        <w:tc>
          <w:tcPr>
            <w:tcW w:w="1258" w:type="dxa"/>
            <w:tcBorders>
              <w:top w:val="single" w:sz="4" w:space="0" w:color="auto"/>
              <w:left w:val="nil"/>
              <w:bottom w:val="single" w:sz="8" w:space="0" w:color="auto"/>
              <w:right w:val="single" w:sz="8" w:space="0" w:color="auto"/>
            </w:tcBorders>
            <w:hideMark/>
          </w:tcPr>
          <w:p w14:paraId="360CDB2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single" w:sz="4" w:space="0" w:color="auto"/>
              <w:left w:val="nil"/>
              <w:bottom w:val="single" w:sz="8" w:space="0" w:color="auto"/>
              <w:right w:val="single" w:sz="8" w:space="0" w:color="auto"/>
            </w:tcBorders>
            <w:hideMark/>
          </w:tcPr>
          <w:p w14:paraId="2640F39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МРЗБСП, МЉМПДД, ПЗР, ОЦД</w:t>
            </w:r>
          </w:p>
        </w:tc>
        <w:tc>
          <w:tcPr>
            <w:tcW w:w="1182" w:type="dxa"/>
            <w:tcBorders>
              <w:top w:val="single" w:sz="4" w:space="0" w:color="auto"/>
              <w:left w:val="nil"/>
              <w:bottom w:val="single" w:sz="8" w:space="0" w:color="auto"/>
              <w:right w:val="single" w:sz="8" w:space="0" w:color="auto"/>
            </w:tcBorders>
            <w:hideMark/>
          </w:tcPr>
          <w:p w14:paraId="24CCA738" w14:textId="613DC19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5127F2" w:rsidRPr="00EF2F18">
              <w:rPr>
                <w:rFonts w:eastAsia="Times New Roman" w:cs="Times New Roman"/>
                <w:color w:val="000000"/>
                <w:sz w:val="20"/>
                <w:szCs w:val="20"/>
                <w:lang w:val="sr-Cyrl-RS" w:eastAsia="en-GB"/>
              </w:rPr>
              <w:t>8</w:t>
            </w:r>
            <w:r w:rsidRPr="00EF2F18">
              <w:rPr>
                <w:rFonts w:eastAsia="Times New Roman" w:cs="Times New Roman"/>
                <w:color w:val="000000"/>
                <w:sz w:val="20"/>
                <w:szCs w:val="20"/>
                <w:lang w:val="sr-Cyrl-RS" w:eastAsia="en-GB"/>
              </w:rPr>
              <w:t xml:space="preserve">. </w:t>
            </w:r>
          </w:p>
        </w:tc>
        <w:tc>
          <w:tcPr>
            <w:tcW w:w="1691" w:type="dxa"/>
            <w:tcBorders>
              <w:top w:val="single" w:sz="4" w:space="0" w:color="auto"/>
              <w:left w:val="nil"/>
              <w:bottom w:val="single" w:sz="8" w:space="0" w:color="auto"/>
              <w:right w:val="single" w:sz="8" w:space="0" w:color="auto"/>
            </w:tcBorders>
            <w:hideMark/>
          </w:tcPr>
          <w:p w14:paraId="5A37C2E5"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p>
        </w:tc>
        <w:tc>
          <w:tcPr>
            <w:tcW w:w="1340" w:type="dxa"/>
            <w:tcBorders>
              <w:top w:val="single" w:sz="4" w:space="0" w:color="auto"/>
              <w:left w:val="nil"/>
              <w:bottom w:val="single" w:sz="8" w:space="0" w:color="auto"/>
              <w:right w:val="single" w:sz="8" w:space="0" w:color="auto"/>
            </w:tcBorders>
          </w:tcPr>
          <w:p w14:paraId="283CA3D5" w14:textId="073D9F94" w:rsidR="00E67F4F" w:rsidRPr="00EF2F18" w:rsidRDefault="00E67F4F" w:rsidP="00752CA0">
            <w:pPr>
              <w:spacing w:after="0"/>
              <w:rPr>
                <w:rFonts w:eastAsia="Times New Roman" w:cs="Times New Roman"/>
                <w:color w:val="000000"/>
                <w:sz w:val="20"/>
                <w:szCs w:val="20"/>
                <w:lang w:val="sr-Cyrl-RS" w:eastAsia="en-GB"/>
              </w:rPr>
            </w:pPr>
          </w:p>
        </w:tc>
        <w:tc>
          <w:tcPr>
            <w:tcW w:w="1423" w:type="dxa"/>
            <w:tcBorders>
              <w:top w:val="single" w:sz="4" w:space="0" w:color="auto"/>
              <w:left w:val="nil"/>
              <w:bottom w:val="single" w:sz="8" w:space="0" w:color="auto"/>
              <w:right w:val="single" w:sz="8" w:space="0" w:color="auto"/>
            </w:tcBorders>
          </w:tcPr>
          <w:p w14:paraId="17DA69E8" w14:textId="5514F5FA" w:rsidR="00E67F4F" w:rsidRPr="00EF2F18" w:rsidRDefault="00E67F4F" w:rsidP="00752CA0">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311DB183" w14:textId="3B194FBE" w:rsidR="00E67F4F" w:rsidRPr="00EF2F18" w:rsidRDefault="00E67F4F" w:rsidP="00752CA0">
            <w:pPr>
              <w:spacing w:after="0"/>
              <w:jc w:val="right"/>
              <w:rPr>
                <w:rFonts w:eastAsia="Times New Roman" w:cs="Times New Roman"/>
                <w:color w:val="000000"/>
                <w:sz w:val="20"/>
                <w:szCs w:val="20"/>
                <w:lang w:val="sr-Cyrl-RS" w:eastAsia="en-GB"/>
              </w:rPr>
            </w:pPr>
          </w:p>
        </w:tc>
        <w:tc>
          <w:tcPr>
            <w:tcW w:w="1530" w:type="dxa"/>
            <w:tcBorders>
              <w:top w:val="single" w:sz="4" w:space="0" w:color="auto"/>
              <w:left w:val="nil"/>
              <w:bottom w:val="single" w:sz="8" w:space="0" w:color="auto"/>
              <w:right w:val="double" w:sz="6" w:space="0" w:color="auto"/>
            </w:tcBorders>
          </w:tcPr>
          <w:p w14:paraId="5B2FCC53" w14:textId="4CDC50EC"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69DBC4BD" w14:textId="77777777" w:rsidTr="00EF0900">
        <w:trPr>
          <w:trHeight w:val="2652"/>
        </w:trPr>
        <w:tc>
          <w:tcPr>
            <w:tcW w:w="2823" w:type="dxa"/>
            <w:tcBorders>
              <w:top w:val="nil"/>
              <w:left w:val="double" w:sz="6" w:space="0" w:color="auto"/>
              <w:bottom w:val="single" w:sz="8" w:space="0" w:color="auto"/>
              <w:right w:val="single" w:sz="8" w:space="0" w:color="auto"/>
            </w:tcBorders>
            <w:hideMark/>
          </w:tcPr>
          <w:p w14:paraId="4BB1A38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6.1.7.6. Континуирано спровођење обука за родно одговорно планирање и спровођење планских докумената и пројеката у области заштите животне за представнике и представнице организација цивилног друштва које се баве питањима заштите животне средине и њихово периодично ажурирање</w:t>
            </w:r>
          </w:p>
        </w:tc>
        <w:tc>
          <w:tcPr>
            <w:tcW w:w="1258" w:type="dxa"/>
            <w:tcBorders>
              <w:top w:val="nil"/>
              <w:left w:val="nil"/>
              <w:bottom w:val="single" w:sz="8" w:space="0" w:color="auto"/>
              <w:right w:val="single" w:sz="8" w:space="0" w:color="auto"/>
            </w:tcBorders>
            <w:hideMark/>
          </w:tcPr>
          <w:p w14:paraId="78DC604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3966F1B1"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МРЗБСП, МЉМПДД, ПЗР, ОЦД</w:t>
            </w:r>
          </w:p>
        </w:tc>
        <w:tc>
          <w:tcPr>
            <w:tcW w:w="1182" w:type="dxa"/>
            <w:tcBorders>
              <w:top w:val="nil"/>
              <w:left w:val="nil"/>
              <w:bottom w:val="single" w:sz="8" w:space="0" w:color="auto"/>
              <w:right w:val="single" w:sz="8" w:space="0" w:color="auto"/>
            </w:tcBorders>
            <w:hideMark/>
          </w:tcPr>
          <w:p w14:paraId="3D52E20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hideMark/>
          </w:tcPr>
          <w:p w14:paraId="2FB6E2E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p>
        </w:tc>
        <w:tc>
          <w:tcPr>
            <w:tcW w:w="1340" w:type="dxa"/>
            <w:tcBorders>
              <w:top w:val="nil"/>
              <w:left w:val="nil"/>
              <w:bottom w:val="single" w:sz="8" w:space="0" w:color="auto"/>
              <w:right w:val="single" w:sz="8" w:space="0" w:color="auto"/>
            </w:tcBorders>
          </w:tcPr>
          <w:p w14:paraId="162B1A53" w14:textId="7C036793" w:rsidR="00E67F4F" w:rsidRPr="00EF2F18" w:rsidRDefault="00E67F4F" w:rsidP="00752CA0">
            <w:pPr>
              <w:spacing w:after="0"/>
              <w:rPr>
                <w:rFonts w:eastAsia="Times New Roman" w:cs="Times New Roman"/>
                <w:color w:val="000000"/>
                <w:sz w:val="20"/>
                <w:szCs w:val="20"/>
                <w:lang w:val="sr-Cyrl-RS" w:eastAsia="en-GB"/>
              </w:rPr>
            </w:pPr>
          </w:p>
        </w:tc>
        <w:tc>
          <w:tcPr>
            <w:tcW w:w="1423" w:type="dxa"/>
            <w:tcBorders>
              <w:top w:val="nil"/>
              <w:left w:val="nil"/>
              <w:bottom w:val="single" w:sz="8" w:space="0" w:color="auto"/>
              <w:right w:val="single" w:sz="8" w:space="0" w:color="auto"/>
            </w:tcBorders>
          </w:tcPr>
          <w:p w14:paraId="4FF4E27A" w14:textId="36A74670" w:rsidR="00E67F4F" w:rsidRPr="00EF2F18" w:rsidRDefault="00E67F4F"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00A1412F" w14:textId="70C7A8E5" w:rsidR="00E67F4F" w:rsidRPr="00EF2F18" w:rsidRDefault="00E67F4F"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454E59E7" w14:textId="621F95EE"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7A4062CE" w14:textId="77777777" w:rsidTr="00EF0900">
        <w:trPr>
          <w:trHeight w:val="3180"/>
        </w:trPr>
        <w:tc>
          <w:tcPr>
            <w:tcW w:w="2823" w:type="dxa"/>
            <w:tcBorders>
              <w:top w:val="nil"/>
              <w:left w:val="double" w:sz="6" w:space="0" w:color="auto"/>
              <w:bottom w:val="double" w:sz="6" w:space="0" w:color="auto"/>
              <w:right w:val="single" w:sz="8" w:space="0" w:color="auto"/>
            </w:tcBorders>
            <w:hideMark/>
          </w:tcPr>
          <w:p w14:paraId="2F17797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6.1.7.7. Континуирано спровођење едукативних, информативних и промотивних програма и кампања за подстицање равноправног учешћа жена и мушкараца и охрабривања представника и представница осетљивих друштвених група да се активно укључе у процесе доношења одлука о питањима управљања животном средином и одрживог развоја</w:t>
            </w:r>
          </w:p>
        </w:tc>
        <w:tc>
          <w:tcPr>
            <w:tcW w:w="1258" w:type="dxa"/>
            <w:tcBorders>
              <w:top w:val="nil"/>
              <w:left w:val="nil"/>
              <w:bottom w:val="double" w:sz="6" w:space="0" w:color="auto"/>
              <w:right w:val="single" w:sz="8" w:space="0" w:color="auto"/>
            </w:tcBorders>
            <w:hideMark/>
          </w:tcPr>
          <w:p w14:paraId="329B151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double" w:sz="6" w:space="0" w:color="auto"/>
              <w:right w:val="single" w:sz="8" w:space="0" w:color="auto"/>
            </w:tcBorders>
            <w:hideMark/>
          </w:tcPr>
          <w:p w14:paraId="02858EF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МБПД, , МРЗБСП, МЉМПДД, ПЗР, ОЦД</w:t>
            </w:r>
          </w:p>
        </w:tc>
        <w:tc>
          <w:tcPr>
            <w:tcW w:w="1182" w:type="dxa"/>
            <w:tcBorders>
              <w:top w:val="nil"/>
              <w:left w:val="nil"/>
              <w:bottom w:val="double" w:sz="6" w:space="0" w:color="auto"/>
              <w:right w:val="single" w:sz="8" w:space="0" w:color="auto"/>
            </w:tcBorders>
            <w:hideMark/>
          </w:tcPr>
          <w:p w14:paraId="58CA719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6975BD13"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Средства дефинисана у оквиру активности 6.1.6.1</w:t>
            </w:r>
          </w:p>
        </w:tc>
        <w:tc>
          <w:tcPr>
            <w:tcW w:w="1340" w:type="dxa"/>
            <w:tcBorders>
              <w:top w:val="nil"/>
              <w:left w:val="nil"/>
              <w:bottom w:val="double" w:sz="6" w:space="0" w:color="auto"/>
              <w:right w:val="single" w:sz="8" w:space="0" w:color="auto"/>
            </w:tcBorders>
          </w:tcPr>
          <w:p w14:paraId="64E36A5A" w14:textId="24B898A9" w:rsidR="00E67F4F" w:rsidRPr="00EF2F18" w:rsidRDefault="00E67F4F" w:rsidP="00752CA0">
            <w:pPr>
              <w:spacing w:after="0"/>
              <w:rPr>
                <w:rFonts w:eastAsia="Times New Roman" w:cs="Times New Roman"/>
                <w:color w:val="000000"/>
                <w:sz w:val="20"/>
                <w:szCs w:val="20"/>
                <w:lang w:val="sr-Cyrl-RS" w:eastAsia="en-GB"/>
              </w:rPr>
            </w:pPr>
          </w:p>
        </w:tc>
        <w:tc>
          <w:tcPr>
            <w:tcW w:w="1423" w:type="dxa"/>
            <w:tcBorders>
              <w:top w:val="nil"/>
              <w:left w:val="nil"/>
              <w:bottom w:val="double" w:sz="6" w:space="0" w:color="auto"/>
              <w:right w:val="single" w:sz="8" w:space="0" w:color="auto"/>
            </w:tcBorders>
          </w:tcPr>
          <w:p w14:paraId="0F7783BC" w14:textId="43CA52CA" w:rsidR="00E67F4F" w:rsidRPr="00EF2F18" w:rsidRDefault="00E67F4F"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double" w:sz="6" w:space="0" w:color="auto"/>
              <w:right w:val="single" w:sz="8" w:space="0" w:color="auto"/>
            </w:tcBorders>
          </w:tcPr>
          <w:p w14:paraId="77058DD9" w14:textId="64AFB547" w:rsidR="00E67F4F" w:rsidRPr="00EF2F18" w:rsidRDefault="00E67F4F"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double" w:sz="6" w:space="0" w:color="auto"/>
              <w:right w:val="double" w:sz="6" w:space="0" w:color="auto"/>
            </w:tcBorders>
          </w:tcPr>
          <w:p w14:paraId="2B1FB3C5" w14:textId="29A9730E" w:rsidR="00E67F4F" w:rsidRPr="00EF2F18" w:rsidRDefault="00E67F4F" w:rsidP="00752CA0">
            <w:pPr>
              <w:spacing w:after="0"/>
              <w:jc w:val="right"/>
              <w:rPr>
                <w:rFonts w:eastAsia="Times New Roman" w:cs="Times New Roman"/>
                <w:color w:val="000000"/>
                <w:sz w:val="20"/>
                <w:szCs w:val="20"/>
                <w:lang w:val="sr-Cyrl-RS" w:eastAsia="en-GB"/>
              </w:rPr>
            </w:pPr>
          </w:p>
        </w:tc>
      </w:tr>
    </w:tbl>
    <w:p w14:paraId="131B7BAA" w14:textId="50E8A304" w:rsidR="007D7243" w:rsidRPr="00EF2F18" w:rsidRDefault="00E32B0A"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2CC04338" w14:textId="77777777" w:rsidR="00630969" w:rsidRPr="00EF2F18" w:rsidRDefault="00630969" w:rsidP="007D7243">
      <w:pPr>
        <w:rPr>
          <w:sz w:val="20"/>
          <w:szCs w:val="20"/>
          <w:lang w:val="sr-Cyrl-RS"/>
        </w:rPr>
      </w:pPr>
    </w:p>
    <w:tbl>
      <w:tblPr>
        <w:tblW w:w="13657" w:type="dxa"/>
        <w:tblLook w:val="04A0" w:firstRow="1" w:lastRow="0" w:firstColumn="1" w:lastColumn="0" w:noHBand="0" w:noVBand="1"/>
      </w:tblPr>
      <w:tblGrid>
        <w:gridCol w:w="3148"/>
        <w:gridCol w:w="1653"/>
        <w:gridCol w:w="1288"/>
        <w:gridCol w:w="971"/>
        <w:gridCol w:w="945"/>
        <w:gridCol w:w="1447"/>
        <w:gridCol w:w="1047"/>
        <w:gridCol w:w="1178"/>
        <w:gridCol w:w="1963"/>
        <w:gridCol w:w="17"/>
      </w:tblGrid>
      <w:tr w:rsidR="007D7243" w:rsidRPr="00EF2F18" w14:paraId="32DF31A4" w14:textId="77777777" w:rsidTr="00E67F4F">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2063E1EE"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6.1.8: Усклађивање са хоризонталним законодавством ЕУ</w:t>
            </w:r>
          </w:p>
        </w:tc>
      </w:tr>
      <w:tr w:rsidR="007D7243" w:rsidRPr="00EF2F18" w14:paraId="4C4B382F" w14:textId="77777777" w:rsidTr="00E67F4F">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78033AD"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Cs w:val="24"/>
                <w:lang w:val="sr-Cyrl-RS" w:eastAsia="en-GB"/>
              </w:rPr>
              <w:t xml:space="preserve"> </w:t>
            </w:r>
            <w:r w:rsidRPr="00EF2F18">
              <w:rPr>
                <w:rFonts w:eastAsia="Times New Roman" w:cs="Times New Roman"/>
                <w:color w:val="222222"/>
                <w:sz w:val="20"/>
                <w:szCs w:val="20"/>
                <w:lang w:val="sr-Cyrl-RS" w:eastAsia="en-GB"/>
              </w:rPr>
              <w:t>Министарство заштите животне средине</w:t>
            </w:r>
            <w:r w:rsidRPr="00EF2F18">
              <w:rPr>
                <w:rFonts w:eastAsia="Times New Roman" w:cs="Times New Roman"/>
                <w:color w:val="000000"/>
                <w:sz w:val="20"/>
                <w:szCs w:val="20"/>
                <w:lang w:val="sr-Cyrl-RS" w:eastAsia="en-GB"/>
              </w:rPr>
              <w:t xml:space="preserve"> (МЗЖС)</w:t>
            </w:r>
          </w:p>
        </w:tc>
      </w:tr>
      <w:tr w:rsidR="007D7243" w:rsidRPr="00EF2F18" w14:paraId="3DD955FE" w14:textId="77777777" w:rsidTr="00E67F4F">
        <w:trPr>
          <w:gridAfter w:val="1"/>
          <w:wAfter w:w="17" w:type="dxa"/>
          <w:trHeight w:val="336"/>
        </w:trPr>
        <w:tc>
          <w:tcPr>
            <w:tcW w:w="706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7CB72FB9" w14:textId="58598ACF"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sz w:val="20"/>
                <w:szCs w:val="20"/>
                <w:lang w:val="sr-Cyrl-RS" w:eastAsia="en-GB"/>
              </w:rPr>
              <w:t>Период спровођења: 202</w:t>
            </w:r>
            <w:r w:rsidR="00E67F4F" w:rsidRPr="00EF2F18">
              <w:rPr>
                <w:rFonts w:eastAsia="Times New Roman" w:cs="Times New Roman"/>
                <w:color w:val="000000" w:themeColor="text1"/>
                <w:sz w:val="20"/>
                <w:szCs w:val="20"/>
                <w:lang w:val="sr-Cyrl-RS" w:eastAsia="en-GB"/>
              </w:rPr>
              <w:t>6</w:t>
            </w:r>
            <w:r w:rsidRPr="00EF2F18">
              <w:rPr>
                <w:rFonts w:eastAsia="Times New Roman" w:cs="Times New Roman"/>
                <w:color w:val="000000" w:themeColor="text1"/>
                <w:sz w:val="20"/>
                <w:szCs w:val="20"/>
                <w:lang w:val="sr-Cyrl-RS" w:eastAsia="en-GB"/>
              </w:rPr>
              <w:t>-2028.</w:t>
            </w:r>
          </w:p>
        </w:tc>
        <w:tc>
          <w:tcPr>
            <w:tcW w:w="6580" w:type="dxa"/>
            <w:gridSpan w:val="5"/>
            <w:tcBorders>
              <w:top w:val="double" w:sz="6" w:space="0" w:color="auto"/>
              <w:left w:val="nil"/>
              <w:bottom w:val="double" w:sz="6" w:space="0" w:color="auto"/>
              <w:right w:val="double" w:sz="6" w:space="0" w:color="auto"/>
            </w:tcBorders>
            <w:shd w:val="clear" w:color="000000" w:fill="F7CAAC"/>
            <w:hideMark/>
          </w:tcPr>
          <w:p w14:paraId="1AAEC57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7511D282" w14:textId="77777777" w:rsidTr="00E67F4F">
        <w:trPr>
          <w:gridAfter w:val="1"/>
          <w:wAfter w:w="17" w:type="dxa"/>
          <w:trHeight w:val="336"/>
        </w:trPr>
        <w:tc>
          <w:tcPr>
            <w:tcW w:w="706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5C4D839"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580" w:type="dxa"/>
            <w:gridSpan w:val="5"/>
            <w:tcBorders>
              <w:top w:val="double" w:sz="6" w:space="0" w:color="auto"/>
              <w:left w:val="nil"/>
              <w:bottom w:val="double" w:sz="6" w:space="0" w:color="auto"/>
              <w:right w:val="double" w:sz="6" w:space="0" w:color="auto"/>
            </w:tcBorders>
            <w:shd w:val="clear" w:color="000000" w:fill="F7CAAC"/>
            <w:hideMark/>
          </w:tcPr>
          <w:p w14:paraId="7BA7F29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67F4F" w:rsidRPr="00EF2F18" w14:paraId="367D20A9" w14:textId="77777777" w:rsidTr="00E67F4F">
        <w:trPr>
          <w:trHeight w:val="816"/>
        </w:trPr>
        <w:tc>
          <w:tcPr>
            <w:tcW w:w="3148" w:type="dxa"/>
            <w:tcBorders>
              <w:top w:val="nil"/>
              <w:left w:val="double" w:sz="6" w:space="0" w:color="auto"/>
              <w:bottom w:val="double" w:sz="6" w:space="0" w:color="auto"/>
              <w:right w:val="single" w:sz="8" w:space="0" w:color="auto"/>
            </w:tcBorders>
            <w:shd w:val="clear" w:color="000000" w:fill="D9D9D9"/>
            <w:hideMark/>
          </w:tcPr>
          <w:p w14:paraId="47C5AEA7"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653" w:type="dxa"/>
            <w:tcBorders>
              <w:top w:val="nil"/>
              <w:left w:val="nil"/>
              <w:bottom w:val="double" w:sz="6" w:space="0" w:color="auto"/>
              <w:right w:val="single" w:sz="8" w:space="0" w:color="auto"/>
            </w:tcBorders>
            <w:shd w:val="clear" w:color="000000" w:fill="D9D9D9"/>
            <w:hideMark/>
          </w:tcPr>
          <w:p w14:paraId="05CA0607"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8" w:type="dxa"/>
            <w:tcBorders>
              <w:top w:val="nil"/>
              <w:left w:val="nil"/>
              <w:bottom w:val="double" w:sz="6" w:space="0" w:color="auto"/>
              <w:right w:val="single" w:sz="8" w:space="0" w:color="auto"/>
            </w:tcBorders>
            <w:shd w:val="clear" w:color="000000" w:fill="D9D9D9"/>
            <w:hideMark/>
          </w:tcPr>
          <w:p w14:paraId="3255E75A"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916" w:type="dxa"/>
            <w:gridSpan w:val="2"/>
            <w:tcBorders>
              <w:top w:val="double" w:sz="6" w:space="0" w:color="auto"/>
              <w:left w:val="nil"/>
              <w:bottom w:val="double" w:sz="6" w:space="0" w:color="auto"/>
              <w:right w:val="single" w:sz="8" w:space="0" w:color="000000"/>
            </w:tcBorders>
            <w:shd w:val="clear" w:color="000000" w:fill="D9D9D9"/>
            <w:hideMark/>
          </w:tcPr>
          <w:p w14:paraId="24993300"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447" w:type="dxa"/>
            <w:tcBorders>
              <w:top w:val="nil"/>
              <w:left w:val="nil"/>
              <w:bottom w:val="double" w:sz="6" w:space="0" w:color="auto"/>
              <w:right w:val="single" w:sz="8" w:space="0" w:color="auto"/>
            </w:tcBorders>
            <w:shd w:val="clear" w:color="000000" w:fill="D9D9D9"/>
            <w:hideMark/>
          </w:tcPr>
          <w:p w14:paraId="24464F88"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47" w:type="dxa"/>
            <w:tcBorders>
              <w:top w:val="nil"/>
              <w:left w:val="nil"/>
              <w:bottom w:val="double" w:sz="6" w:space="0" w:color="auto"/>
              <w:right w:val="nil"/>
            </w:tcBorders>
            <w:shd w:val="clear" w:color="000000" w:fill="D9D9D9"/>
            <w:hideMark/>
          </w:tcPr>
          <w:p w14:paraId="3874C3F1"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178" w:type="dxa"/>
            <w:tcBorders>
              <w:top w:val="nil"/>
              <w:left w:val="nil"/>
              <w:bottom w:val="double" w:sz="6" w:space="0" w:color="auto"/>
              <w:right w:val="single" w:sz="8" w:space="0" w:color="auto"/>
            </w:tcBorders>
            <w:shd w:val="clear" w:color="000000" w:fill="D9D9D9"/>
            <w:hideMark/>
          </w:tcPr>
          <w:p w14:paraId="728DB8F5"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980" w:type="dxa"/>
            <w:gridSpan w:val="2"/>
            <w:tcBorders>
              <w:top w:val="nil"/>
              <w:left w:val="nil"/>
              <w:bottom w:val="double" w:sz="6" w:space="0" w:color="auto"/>
              <w:right w:val="double" w:sz="6" w:space="0" w:color="auto"/>
            </w:tcBorders>
            <w:shd w:val="clear" w:color="000000" w:fill="D9D9D9"/>
            <w:hideMark/>
          </w:tcPr>
          <w:p w14:paraId="41FD88FD"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67F4F" w:rsidRPr="00EF2F18" w14:paraId="68828BF8" w14:textId="77777777" w:rsidTr="00E67F4F">
        <w:trPr>
          <w:trHeight w:val="816"/>
        </w:trPr>
        <w:tc>
          <w:tcPr>
            <w:tcW w:w="3148" w:type="dxa"/>
            <w:tcBorders>
              <w:top w:val="nil"/>
              <w:left w:val="double" w:sz="6" w:space="0" w:color="auto"/>
              <w:bottom w:val="double" w:sz="6" w:space="0" w:color="auto"/>
              <w:right w:val="single" w:sz="8" w:space="0" w:color="auto"/>
            </w:tcBorders>
            <w:shd w:val="clear" w:color="000000" w:fill="FFFFFF"/>
            <w:hideMark/>
          </w:tcPr>
          <w:p w14:paraId="795AC98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усклађени са хоризонталним законодавством ЕУ</w:t>
            </w:r>
          </w:p>
        </w:tc>
        <w:tc>
          <w:tcPr>
            <w:tcW w:w="1653" w:type="dxa"/>
            <w:tcBorders>
              <w:top w:val="nil"/>
              <w:left w:val="nil"/>
              <w:bottom w:val="double" w:sz="6" w:space="0" w:color="auto"/>
              <w:right w:val="single" w:sz="8" w:space="0" w:color="auto"/>
            </w:tcBorders>
            <w:shd w:val="clear" w:color="000000" w:fill="FFFFFF"/>
            <w:hideMark/>
          </w:tcPr>
          <w:p w14:paraId="2AF36ECF"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не/делимично/да</w:t>
            </w:r>
          </w:p>
        </w:tc>
        <w:tc>
          <w:tcPr>
            <w:tcW w:w="1288" w:type="dxa"/>
            <w:tcBorders>
              <w:top w:val="nil"/>
              <w:left w:val="nil"/>
              <w:bottom w:val="double" w:sz="6" w:space="0" w:color="auto"/>
              <w:right w:val="single" w:sz="8" w:space="0" w:color="auto"/>
            </w:tcBorders>
            <w:shd w:val="clear" w:color="000000" w:fill="FFFFFF"/>
            <w:hideMark/>
          </w:tcPr>
          <w:p w14:paraId="57EEB86A" w14:textId="77777777" w:rsidR="00E67F4F" w:rsidRPr="00EF2F18" w:rsidRDefault="00E67F4F"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 xml:space="preserve">Информатори о раду надлежних органа </w:t>
            </w:r>
          </w:p>
        </w:tc>
        <w:tc>
          <w:tcPr>
            <w:tcW w:w="1916" w:type="dxa"/>
            <w:gridSpan w:val="2"/>
            <w:tcBorders>
              <w:top w:val="double" w:sz="6" w:space="0" w:color="auto"/>
              <w:left w:val="nil"/>
              <w:bottom w:val="double" w:sz="6" w:space="0" w:color="auto"/>
              <w:right w:val="single" w:sz="8" w:space="0" w:color="000000"/>
            </w:tcBorders>
            <w:shd w:val="clear" w:color="000000" w:fill="FFFFFF"/>
            <w:hideMark/>
          </w:tcPr>
          <w:p w14:paraId="7C25A3B4"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делимично</w:t>
            </w:r>
          </w:p>
        </w:tc>
        <w:tc>
          <w:tcPr>
            <w:tcW w:w="1447" w:type="dxa"/>
            <w:tcBorders>
              <w:top w:val="nil"/>
              <w:left w:val="nil"/>
              <w:bottom w:val="double" w:sz="6" w:space="0" w:color="auto"/>
              <w:right w:val="single" w:sz="8" w:space="0" w:color="auto"/>
            </w:tcBorders>
            <w:shd w:val="clear" w:color="000000" w:fill="FFFFFF"/>
            <w:hideMark/>
          </w:tcPr>
          <w:p w14:paraId="4B06317E"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47" w:type="dxa"/>
            <w:tcBorders>
              <w:top w:val="nil"/>
              <w:left w:val="single" w:sz="4" w:space="0" w:color="auto"/>
              <w:bottom w:val="double" w:sz="6" w:space="0" w:color="auto"/>
              <w:right w:val="single" w:sz="8" w:space="0" w:color="auto"/>
            </w:tcBorders>
            <w:shd w:val="clear" w:color="000000" w:fill="FFFFFF"/>
            <w:hideMark/>
          </w:tcPr>
          <w:p w14:paraId="3448C2C7"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p>
        </w:tc>
        <w:tc>
          <w:tcPr>
            <w:tcW w:w="1178" w:type="dxa"/>
            <w:tcBorders>
              <w:top w:val="nil"/>
              <w:left w:val="nil"/>
              <w:bottom w:val="double" w:sz="6" w:space="0" w:color="auto"/>
              <w:right w:val="single" w:sz="8" w:space="0" w:color="auto"/>
            </w:tcBorders>
            <w:shd w:val="clear" w:color="000000" w:fill="FFFFFF"/>
            <w:hideMark/>
          </w:tcPr>
          <w:p w14:paraId="66651AE4"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980" w:type="dxa"/>
            <w:gridSpan w:val="2"/>
            <w:tcBorders>
              <w:top w:val="nil"/>
              <w:left w:val="nil"/>
              <w:bottom w:val="double" w:sz="6" w:space="0" w:color="auto"/>
              <w:right w:val="double" w:sz="6" w:space="0" w:color="auto"/>
            </w:tcBorders>
            <w:shd w:val="clear" w:color="000000" w:fill="FFFFFF"/>
            <w:hideMark/>
          </w:tcPr>
          <w:p w14:paraId="4FC58B6C" w14:textId="777777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r>
    </w:tbl>
    <w:p w14:paraId="21BA30F9" w14:textId="77777777" w:rsidR="00630969" w:rsidRPr="00EF2F18" w:rsidRDefault="00630969" w:rsidP="007D7243">
      <w:pPr>
        <w:rPr>
          <w:rFonts w:cs="Times New Roman"/>
          <w:sz w:val="20"/>
          <w:szCs w:val="20"/>
          <w:lang w:val="sr-Cyrl-RS"/>
        </w:rPr>
      </w:pPr>
    </w:p>
    <w:tbl>
      <w:tblPr>
        <w:tblW w:w="13657" w:type="dxa"/>
        <w:tblLook w:val="04A0" w:firstRow="1" w:lastRow="0" w:firstColumn="1" w:lastColumn="0" w:noHBand="0" w:noVBand="1"/>
      </w:tblPr>
      <w:tblGrid>
        <w:gridCol w:w="3800"/>
        <w:gridCol w:w="2480"/>
        <w:gridCol w:w="1820"/>
        <w:gridCol w:w="2497"/>
        <w:gridCol w:w="3060"/>
      </w:tblGrid>
      <w:tr w:rsidR="007D7243" w:rsidRPr="00EF2F18" w14:paraId="6D17E39E" w14:textId="77777777" w:rsidTr="00EF0900">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0E41ED1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232069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tcBorders>
              <w:top w:val="double" w:sz="6" w:space="0" w:color="auto"/>
              <w:left w:val="nil"/>
              <w:bottom w:val="double" w:sz="6" w:space="0" w:color="auto"/>
              <w:right w:val="double" w:sz="6" w:space="0" w:color="auto"/>
            </w:tcBorders>
            <w:shd w:val="clear" w:color="000000" w:fill="A8D08D"/>
            <w:hideMark/>
          </w:tcPr>
          <w:p w14:paraId="2433AA4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67F4F" w:rsidRPr="00EF2F18" w14:paraId="0D2B6BF1" w14:textId="77777777" w:rsidTr="00EF0900">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48841A56" w14:textId="77777777" w:rsidR="00E67F4F" w:rsidRPr="00EF2F18" w:rsidRDefault="00E67F4F"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0EF32B7D" w14:textId="77777777" w:rsidR="00E67F4F" w:rsidRPr="00EF2F18" w:rsidRDefault="00E67F4F"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78FE2A9B" w14:textId="65366CEA"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497" w:type="dxa"/>
            <w:tcBorders>
              <w:top w:val="nil"/>
              <w:left w:val="nil"/>
              <w:bottom w:val="double" w:sz="6" w:space="0" w:color="auto"/>
              <w:right w:val="double" w:sz="6" w:space="0" w:color="auto"/>
            </w:tcBorders>
            <w:shd w:val="clear" w:color="000000" w:fill="A8D08D"/>
            <w:hideMark/>
          </w:tcPr>
          <w:p w14:paraId="49B58547" w14:textId="5423C958"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3060" w:type="dxa"/>
            <w:tcBorders>
              <w:top w:val="nil"/>
              <w:left w:val="nil"/>
              <w:bottom w:val="double" w:sz="6" w:space="0" w:color="auto"/>
              <w:right w:val="double" w:sz="6" w:space="0" w:color="auto"/>
            </w:tcBorders>
            <w:shd w:val="clear" w:color="000000" w:fill="A8D08D"/>
            <w:hideMark/>
          </w:tcPr>
          <w:p w14:paraId="53C6D021" w14:textId="45ED506B"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67F4F" w:rsidRPr="00EF2F18" w14:paraId="3B4BAC8B" w14:textId="77777777" w:rsidTr="00EF0900">
        <w:trPr>
          <w:trHeight w:val="324"/>
        </w:trPr>
        <w:tc>
          <w:tcPr>
            <w:tcW w:w="3800" w:type="dxa"/>
            <w:tcBorders>
              <w:top w:val="nil"/>
              <w:left w:val="double" w:sz="6" w:space="0" w:color="auto"/>
              <w:bottom w:val="double" w:sz="6" w:space="0" w:color="auto"/>
              <w:right w:val="double" w:sz="6" w:space="0" w:color="auto"/>
            </w:tcBorders>
            <w:shd w:val="clear" w:color="000000" w:fill="FFFFFF"/>
            <w:vAlign w:val="center"/>
            <w:hideMark/>
          </w:tcPr>
          <w:p w14:paraId="55D8A9E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shd w:val="clear" w:color="000000" w:fill="FFFFFF"/>
            <w:vAlign w:val="center"/>
            <w:hideMark/>
          </w:tcPr>
          <w:p w14:paraId="73FA18D1"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820" w:type="dxa"/>
            <w:tcBorders>
              <w:top w:val="nil"/>
              <w:left w:val="nil"/>
              <w:bottom w:val="double" w:sz="6" w:space="0" w:color="auto"/>
              <w:right w:val="double" w:sz="6" w:space="0" w:color="auto"/>
            </w:tcBorders>
            <w:vAlign w:val="center"/>
            <w:hideMark/>
          </w:tcPr>
          <w:p w14:paraId="28417330"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497" w:type="dxa"/>
            <w:tcBorders>
              <w:top w:val="nil"/>
              <w:left w:val="nil"/>
              <w:bottom w:val="double" w:sz="6" w:space="0" w:color="auto"/>
              <w:right w:val="double" w:sz="6" w:space="0" w:color="auto"/>
            </w:tcBorders>
            <w:vAlign w:val="center"/>
            <w:hideMark/>
          </w:tcPr>
          <w:p w14:paraId="71ECB906"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3060" w:type="dxa"/>
            <w:tcBorders>
              <w:top w:val="nil"/>
              <w:left w:val="nil"/>
              <w:bottom w:val="double" w:sz="6" w:space="0" w:color="auto"/>
              <w:right w:val="double" w:sz="6" w:space="0" w:color="auto"/>
            </w:tcBorders>
            <w:shd w:val="clear" w:color="000000" w:fill="FFFFFF"/>
            <w:vAlign w:val="center"/>
            <w:hideMark/>
          </w:tcPr>
          <w:p w14:paraId="21830B0D"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67F4F" w:rsidRPr="00EF2F18" w14:paraId="0F9FAA0F" w14:textId="77777777" w:rsidTr="00EF0900">
        <w:trPr>
          <w:trHeight w:val="336"/>
        </w:trPr>
        <w:tc>
          <w:tcPr>
            <w:tcW w:w="3800" w:type="dxa"/>
            <w:tcBorders>
              <w:top w:val="nil"/>
              <w:left w:val="double" w:sz="6" w:space="0" w:color="auto"/>
              <w:bottom w:val="double" w:sz="4" w:space="0" w:color="auto"/>
              <w:right w:val="double" w:sz="6" w:space="0" w:color="auto"/>
            </w:tcBorders>
            <w:shd w:val="clear" w:color="000000" w:fill="FFFFFF"/>
            <w:vAlign w:val="center"/>
            <w:hideMark/>
          </w:tcPr>
          <w:p w14:paraId="61271A86" w14:textId="3DDE9A14"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(РГЗ)</w:t>
            </w:r>
          </w:p>
        </w:tc>
        <w:tc>
          <w:tcPr>
            <w:tcW w:w="2480" w:type="dxa"/>
            <w:tcBorders>
              <w:top w:val="nil"/>
              <w:left w:val="nil"/>
              <w:bottom w:val="double" w:sz="4" w:space="0" w:color="auto"/>
              <w:right w:val="double" w:sz="6" w:space="0" w:color="auto"/>
            </w:tcBorders>
            <w:shd w:val="clear" w:color="000000" w:fill="FFFFFF"/>
            <w:vAlign w:val="center"/>
            <w:hideMark/>
          </w:tcPr>
          <w:p w14:paraId="34317234" w14:textId="77777777" w:rsidR="00E67F4F" w:rsidRPr="00EF2F18" w:rsidRDefault="00E67F4F" w:rsidP="00752CA0">
            <w:pPr>
              <w:spacing w:after="0"/>
              <w:rPr>
                <w:rFonts w:eastAsia="Times New Roman" w:cs="Times New Roman"/>
                <w:color w:val="000000"/>
                <w:sz w:val="20"/>
                <w:szCs w:val="20"/>
                <w:lang w:val="sr-Cyrl-RS" w:eastAsia="en-GB"/>
              </w:rPr>
            </w:pPr>
          </w:p>
        </w:tc>
        <w:tc>
          <w:tcPr>
            <w:tcW w:w="1820" w:type="dxa"/>
            <w:tcBorders>
              <w:top w:val="nil"/>
              <w:left w:val="nil"/>
              <w:bottom w:val="double" w:sz="4" w:space="0" w:color="auto"/>
              <w:right w:val="double" w:sz="6" w:space="0" w:color="auto"/>
            </w:tcBorders>
            <w:vAlign w:val="center"/>
            <w:hideMark/>
          </w:tcPr>
          <w:p w14:paraId="0A002480"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497" w:type="dxa"/>
            <w:tcBorders>
              <w:top w:val="nil"/>
              <w:left w:val="nil"/>
              <w:bottom w:val="double" w:sz="4" w:space="0" w:color="auto"/>
              <w:right w:val="double" w:sz="6" w:space="0" w:color="auto"/>
            </w:tcBorders>
            <w:vAlign w:val="center"/>
            <w:hideMark/>
          </w:tcPr>
          <w:p w14:paraId="4284F60D"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3060" w:type="dxa"/>
            <w:tcBorders>
              <w:top w:val="nil"/>
              <w:left w:val="nil"/>
              <w:bottom w:val="double" w:sz="4" w:space="0" w:color="auto"/>
              <w:right w:val="double" w:sz="6" w:space="0" w:color="auto"/>
            </w:tcBorders>
            <w:shd w:val="clear" w:color="000000" w:fill="FFFFFF"/>
            <w:vAlign w:val="center"/>
            <w:hideMark/>
          </w:tcPr>
          <w:p w14:paraId="01E0295E" w14:textId="77777777" w:rsidR="00E67F4F" w:rsidRPr="00EF2F18" w:rsidRDefault="00E67F4F"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67F4F" w:rsidRPr="00EF2F18" w14:paraId="05D3F789" w14:textId="77777777" w:rsidTr="00EF0900">
        <w:trPr>
          <w:trHeight w:val="336"/>
        </w:trPr>
        <w:tc>
          <w:tcPr>
            <w:tcW w:w="3800" w:type="dxa"/>
            <w:tcBorders>
              <w:top w:val="nil"/>
              <w:left w:val="double" w:sz="6" w:space="0" w:color="auto"/>
              <w:bottom w:val="double" w:sz="4" w:space="0" w:color="auto"/>
              <w:right w:val="double" w:sz="6" w:space="0" w:color="auto"/>
            </w:tcBorders>
            <w:shd w:val="clear" w:color="000000" w:fill="FFFFFF"/>
            <w:vAlign w:val="center"/>
          </w:tcPr>
          <w:p w14:paraId="17DEDA4B" w14:textId="3EE054E5"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 (МПравде)</w:t>
            </w:r>
          </w:p>
        </w:tc>
        <w:tc>
          <w:tcPr>
            <w:tcW w:w="2480" w:type="dxa"/>
            <w:tcBorders>
              <w:top w:val="nil"/>
              <w:left w:val="nil"/>
              <w:bottom w:val="double" w:sz="4" w:space="0" w:color="auto"/>
              <w:right w:val="double" w:sz="6" w:space="0" w:color="auto"/>
            </w:tcBorders>
            <w:shd w:val="clear" w:color="000000" w:fill="FFFFFF"/>
            <w:vAlign w:val="center"/>
          </w:tcPr>
          <w:p w14:paraId="5B692006" w14:textId="77777777" w:rsidR="00E67F4F" w:rsidRPr="00EF2F18" w:rsidRDefault="00E67F4F" w:rsidP="00752CA0">
            <w:pPr>
              <w:spacing w:after="0"/>
              <w:rPr>
                <w:rFonts w:eastAsia="Times New Roman" w:cs="Times New Roman"/>
                <w:color w:val="000000"/>
                <w:sz w:val="20"/>
                <w:szCs w:val="20"/>
                <w:lang w:val="sr-Cyrl-RS" w:eastAsia="en-GB"/>
              </w:rPr>
            </w:pPr>
          </w:p>
        </w:tc>
        <w:tc>
          <w:tcPr>
            <w:tcW w:w="1820" w:type="dxa"/>
            <w:tcBorders>
              <w:top w:val="nil"/>
              <w:left w:val="nil"/>
              <w:bottom w:val="double" w:sz="4" w:space="0" w:color="auto"/>
              <w:right w:val="double" w:sz="6" w:space="0" w:color="auto"/>
            </w:tcBorders>
            <w:vAlign w:val="center"/>
          </w:tcPr>
          <w:p w14:paraId="3D238110" w14:textId="77777777" w:rsidR="00E67F4F" w:rsidRPr="00EF2F18" w:rsidRDefault="00E67F4F" w:rsidP="00752CA0">
            <w:pPr>
              <w:spacing w:after="0"/>
              <w:jc w:val="right"/>
              <w:rPr>
                <w:rFonts w:eastAsia="Times New Roman" w:cs="Times New Roman"/>
                <w:color w:val="000000"/>
                <w:sz w:val="20"/>
                <w:szCs w:val="20"/>
                <w:lang w:val="sr-Cyrl-RS" w:eastAsia="en-GB"/>
              </w:rPr>
            </w:pPr>
          </w:p>
        </w:tc>
        <w:tc>
          <w:tcPr>
            <w:tcW w:w="2497" w:type="dxa"/>
            <w:tcBorders>
              <w:top w:val="nil"/>
              <w:left w:val="nil"/>
              <w:bottom w:val="double" w:sz="4" w:space="0" w:color="auto"/>
              <w:right w:val="double" w:sz="6" w:space="0" w:color="auto"/>
            </w:tcBorders>
            <w:vAlign w:val="center"/>
          </w:tcPr>
          <w:p w14:paraId="161B29FE" w14:textId="77777777" w:rsidR="00E67F4F" w:rsidRPr="00EF2F18" w:rsidRDefault="00E67F4F" w:rsidP="00752CA0">
            <w:pPr>
              <w:spacing w:after="0"/>
              <w:jc w:val="right"/>
              <w:rPr>
                <w:rFonts w:eastAsia="Times New Roman" w:cs="Times New Roman"/>
                <w:color w:val="000000"/>
                <w:sz w:val="20"/>
                <w:szCs w:val="20"/>
                <w:lang w:val="sr-Cyrl-RS" w:eastAsia="en-GB"/>
              </w:rPr>
            </w:pPr>
          </w:p>
        </w:tc>
        <w:tc>
          <w:tcPr>
            <w:tcW w:w="3060" w:type="dxa"/>
            <w:tcBorders>
              <w:top w:val="nil"/>
              <w:left w:val="nil"/>
              <w:bottom w:val="double" w:sz="4" w:space="0" w:color="auto"/>
              <w:right w:val="double" w:sz="6" w:space="0" w:color="auto"/>
            </w:tcBorders>
            <w:shd w:val="clear" w:color="000000" w:fill="FFFFFF"/>
            <w:vAlign w:val="center"/>
          </w:tcPr>
          <w:p w14:paraId="2B26AD52" w14:textId="77777777"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45637F2E" w14:textId="77777777" w:rsidTr="00EF0900">
        <w:trPr>
          <w:trHeight w:val="336"/>
        </w:trPr>
        <w:tc>
          <w:tcPr>
            <w:tcW w:w="3800" w:type="dxa"/>
            <w:tcBorders>
              <w:top w:val="double" w:sz="4" w:space="0" w:color="auto"/>
              <w:left w:val="double" w:sz="6" w:space="0" w:color="auto"/>
              <w:bottom w:val="double" w:sz="6" w:space="0" w:color="auto"/>
              <w:right w:val="double" w:sz="6" w:space="0" w:color="auto"/>
            </w:tcBorders>
            <w:shd w:val="clear" w:color="000000" w:fill="FFFFFF"/>
            <w:vAlign w:val="center"/>
          </w:tcPr>
          <w:p w14:paraId="341F9C91" w14:textId="63F625D3"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sr-Cyrl-RS"/>
              </w:rPr>
              <w:t>Примања од иностраних задуживања</w:t>
            </w:r>
          </w:p>
        </w:tc>
        <w:tc>
          <w:tcPr>
            <w:tcW w:w="2480" w:type="dxa"/>
            <w:tcBorders>
              <w:top w:val="double" w:sz="4" w:space="0" w:color="auto"/>
              <w:left w:val="nil"/>
              <w:bottom w:val="double" w:sz="6" w:space="0" w:color="auto"/>
              <w:right w:val="double" w:sz="6" w:space="0" w:color="auto"/>
            </w:tcBorders>
            <w:shd w:val="clear" w:color="000000" w:fill="FFFFFF"/>
            <w:vAlign w:val="center"/>
          </w:tcPr>
          <w:p w14:paraId="3F7575D5"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1102-410-4002-515</w:t>
            </w:r>
          </w:p>
          <w:p w14:paraId="3BC64157" w14:textId="4995A6C8"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1102-410-4002-423</w:t>
            </w:r>
          </w:p>
        </w:tc>
        <w:tc>
          <w:tcPr>
            <w:tcW w:w="1820" w:type="dxa"/>
            <w:tcBorders>
              <w:top w:val="double" w:sz="4" w:space="0" w:color="auto"/>
              <w:left w:val="nil"/>
              <w:bottom w:val="double" w:sz="6" w:space="0" w:color="auto"/>
              <w:right w:val="double" w:sz="6" w:space="0" w:color="auto"/>
            </w:tcBorders>
            <w:vAlign w:val="center"/>
          </w:tcPr>
          <w:p w14:paraId="3D5301D6" w14:textId="5F012AFC" w:rsidR="00E67F4F" w:rsidRPr="00EF2F18" w:rsidRDefault="00852AD6"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58.582</w:t>
            </w:r>
          </w:p>
          <w:p w14:paraId="15A13551" w14:textId="77777777" w:rsidR="00E67F4F" w:rsidRPr="00EF2F18" w:rsidRDefault="00E67F4F" w:rsidP="00752CA0">
            <w:pPr>
              <w:spacing w:after="0"/>
              <w:jc w:val="right"/>
              <w:rPr>
                <w:rFonts w:eastAsia="Times New Roman" w:cs="Times New Roman"/>
                <w:color w:val="000000"/>
                <w:sz w:val="20"/>
                <w:szCs w:val="20"/>
                <w:lang w:val="sr-Cyrl-RS" w:eastAsia="en-GB"/>
              </w:rPr>
            </w:pPr>
          </w:p>
        </w:tc>
        <w:tc>
          <w:tcPr>
            <w:tcW w:w="2497" w:type="dxa"/>
            <w:tcBorders>
              <w:top w:val="double" w:sz="4" w:space="0" w:color="auto"/>
              <w:left w:val="nil"/>
              <w:bottom w:val="double" w:sz="6" w:space="0" w:color="auto"/>
              <w:right w:val="double" w:sz="6" w:space="0" w:color="auto"/>
            </w:tcBorders>
            <w:vAlign w:val="center"/>
          </w:tcPr>
          <w:p w14:paraId="64DAC5F0" w14:textId="368CDE40" w:rsidR="00E67F4F" w:rsidRPr="00EF2F18" w:rsidRDefault="00F83F89"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r w:rsidR="00FD03D3" w:rsidRPr="00EF2F18">
              <w:rPr>
                <w:rFonts w:eastAsia="Times New Roman" w:cs="Times New Roman"/>
                <w:color w:val="000000"/>
                <w:sz w:val="20"/>
                <w:szCs w:val="20"/>
                <w:lang w:val="sr-Cyrl-RS" w:eastAsia="en-GB"/>
              </w:rPr>
              <w:t>1</w:t>
            </w:r>
          </w:p>
          <w:p w14:paraId="64871068" w14:textId="37E874E9" w:rsidR="00E67F4F" w:rsidRPr="00EF2F18" w:rsidRDefault="00E67F4F"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23.432,8</w:t>
            </w:r>
          </w:p>
        </w:tc>
        <w:tc>
          <w:tcPr>
            <w:tcW w:w="3060" w:type="dxa"/>
            <w:tcBorders>
              <w:top w:val="double" w:sz="4" w:space="0" w:color="auto"/>
              <w:left w:val="nil"/>
              <w:bottom w:val="double" w:sz="6" w:space="0" w:color="auto"/>
              <w:right w:val="double" w:sz="6" w:space="0" w:color="auto"/>
            </w:tcBorders>
            <w:shd w:val="clear" w:color="000000" w:fill="FFFFFF"/>
            <w:vAlign w:val="center"/>
          </w:tcPr>
          <w:p w14:paraId="3250E53F" w14:textId="7F28D605" w:rsidR="00E67F4F" w:rsidRPr="00EF2F18" w:rsidRDefault="00F83F89"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98.33</w:t>
            </w:r>
            <w:r w:rsidR="00FD03D3" w:rsidRPr="00EF2F18">
              <w:rPr>
                <w:rFonts w:eastAsia="Times New Roman" w:cs="Times New Roman"/>
                <w:color w:val="000000"/>
                <w:sz w:val="20"/>
                <w:szCs w:val="20"/>
                <w:lang w:val="sr-Cyrl-RS" w:eastAsia="en-GB"/>
              </w:rPr>
              <w:t>4,6*</w:t>
            </w:r>
          </w:p>
          <w:p w14:paraId="2C8D5786" w14:textId="6477695E" w:rsidR="00E67F4F" w:rsidRPr="00EF2F18" w:rsidRDefault="00E67F4F"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11.716,4*</w:t>
            </w:r>
          </w:p>
        </w:tc>
      </w:tr>
    </w:tbl>
    <w:p w14:paraId="7B4BA9AF" w14:textId="77777777" w:rsidR="007D7243" w:rsidRPr="00EF2F18" w:rsidRDefault="007D7243" w:rsidP="007D7243">
      <w:pPr>
        <w:rPr>
          <w:sz w:val="20"/>
          <w:szCs w:val="20"/>
          <w:lang w:val="sr-Cyrl-RS"/>
        </w:rPr>
      </w:pPr>
      <w:r w:rsidRPr="00EF2F18">
        <w:rPr>
          <w:sz w:val="20"/>
          <w:szCs w:val="20"/>
          <w:lang w:val="sr-Cyrl-RS"/>
        </w:rPr>
        <w:t xml:space="preserve"> </w:t>
      </w:r>
    </w:p>
    <w:tbl>
      <w:tblPr>
        <w:tblW w:w="13665" w:type="dxa"/>
        <w:tblLook w:val="04A0" w:firstRow="1" w:lastRow="0" w:firstColumn="1" w:lastColumn="0" w:noHBand="0" w:noVBand="1"/>
      </w:tblPr>
      <w:tblGrid>
        <w:gridCol w:w="2549"/>
        <w:gridCol w:w="1209"/>
        <w:gridCol w:w="1244"/>
        <w:gridCol w:w="1273"/>
        <w:gridCol w:w="1994"/>
        <w:gridCol w:w="1340"/>
        <w:gridCol w:w="1086"/>
        <w:gridCol w:w="1260"/>
        <w:gridCol w:w="1710"/>
      </w:tblGrid>
      <w:tr w:rsidR="007D7243" w:rsidRPr="00EF2F18" w14:paraId="2E734F8D" w14:textId="77777777" w:rsidTr="00EF0900">
        <w:trPr>
          <w:trHeight w:val="636"/>
        </w:trPr>
        <w:tc>
          <w:tcPr>
            <w:tcW w:w="2549" w:type="dxa"/>
            <w:vMerge w:val="restart"/>
            <w:tcBorders>
              <w:top w:val="double" w:sz="4" w:space="0" w:color="auto"/>
              <w:left w:val="double" w:sz="4" w:space="0" w:color="auto"/>
              <w:bottom w:val="single" w:sz="4" w:space="0" w:color="000000"/>
              <w:right w:val="single" w:sz="4" w:space="0" w:color="auto"/>
            </w:tcBorders>
            <w:shd w:val="clear" w:color="000000" w:fill="FFF2CC"/>
            <w:hideMark/>
          </w:tcPr>
          <w:p w14:paraId="20B9A42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09" w:type="dxa"/>
            <w:vMerge w:val="restart"/>
            <w:tcBorders>
              <w:top w:val="double" w:sz="4" w:space="0" w:color="auto"/>
              <w:left w:val="single" w:sz="4" w:space="0" w:color="auto"/>
              <w:bottom w:val="single" w:sz="4" w:space="0" w:color="000000"/>
              <w:right w:val="single" w:sz="4" w:space="0" w:color="auto"/>
            </w:tcBorders>
            <w:shd w:val="clear" w:color="000000" w:fill="FFF2CC"/>
            <w:hideMark/>
          </w:tcPr>
          <w:p w14:paraId="0CDC00B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4" w:type="dxa"/>
            <w:vMerge w:val="restart"/>
            <w:tcBorders>
              <w:top w:val="double" w:sz="4" w:space="0" w:color="auto"/>
              <w:left w:val="single" w:sz="4" w:space="0" w:color="auto"/>
              <w:bottom w:val="single" w:sz="4" w:space="0" w:color="000000"/>
              <w:right w:val="single" w:sz="4" w:space="0" w:color="auto"/>
            </w:tcBorders>
            <w:shd w:val="clear" w:color="000000" w:fill="FFF2CC"/>
            <w:hideMark/>
          </w:tcPr>
          <w:p w14:paraId="6F14CA1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273" w:type="dxa"/>
            <w:vMerge w:val="restart"/>
            <w:tcBorders>
              <w:top w:val="double" w:sz="4" w:space="0" w:color="auto"/>
              <w:left w:val="single" w:sz="4" w:space="0" w:color="auto"/>
              <w:bottom w:val="single" w:sz="4" w:space="0" w:color="000000"/>
              <w:right w:val="single" w:sz="4" w:space="0" w:color="auto"/>
            </w:tcBorders>
            <w:shd w:val="clear" w:color="000000" w:fill="FFF2CC"/>
            <w:hideMark/>
          </w:tcPr>
          <w:p w14:paraId="0B9AC5F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994" w:type="dxa"/>
            <w:vMerge w:val="restart"/>
            <w:tcBorders>
              <w:top w:val="double" w:sz="4" w:space="0" w:color="auto"/>
              <w:left w:val="single" w:sz="4" w:space="0" w:color="auto"/>
              <w:bottom w:val="single" w:sz="4" w:space="0" w:color="000000"/>
              <w:right w:val="single" w:sz="4" w:space="0" w:color="auto"/>
            </w:tcBorders>
            <w:shd w:val="clear" w:color="000000" w:fill="FFF2CC"/>
            <w:hideMark/>
          </w:tcPr>
          <w:p w14:paraId="4BA9E30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4" w:space="0" w:color="auto"/>
              <w:left w:val="single" w:sz="4" w:space="0" w:color="auto"/>
              <w:bottom w:val="single" w:sz="4" w:space="0" w:color="000000"/>
              <w:right w:val="single" w:sz="4" w:space="0" w:color="auto"/>
            </w:tcBorders>
            <w:shd w:val="clear" w:color="000000" w:fill="FFF2CC"/>
            <w:hideMark/>
          </w:tcPr>
          <w:p w14:paraId="4F769FB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56" w:type="dxa"/>
            <w:gridSpan w:val="3"/>
            <w:tcBorders>
              <w:top w:val="double" w:sz="4" w:space="0" w:color="auto"/>
              <w:left w:val="nil"/>
              <w:bottom w:val="single" w:sz="4" w:space="0" w:color="auto"/>
              <w:right w:val="double" w:sz="4" w:space="0" w:color="auto"/>
            </w:tcBorders>
            <w:shd w:val="clear" w:color="000000" w:fill="FFF2CC"/>
            <w:hideMark/>
          </w:tcPr>
          <w:p w14:paraId="14DAF19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67F4F" w:rsidRPr="00EF2F18" w14:paraId="36F96557" w14:textId="77777777" w:rsidTr="00EF0900">
        <w:trPr>
          <w:trHeight w:val="492"/>
        </w:trPr>
        <w:tc>
          <w:tcPr>
            <w:tcW w:w="2549" w:type="dxa"/>
            <w:vMerge/>
            <w:tcBorders>
              <w:top w:val="single" w:sz="4" w:space="0" w:color="auto"/>
              <w:left w:val="double" w:sz="4" w:space="0" w:color="auto"/>
              <w:bottom w:val="single" w:sz="4" w:space="0" w:color="000000"/>
              <w:right w:val="single" w:sz="4" w:space="0" w:color="auto"/>
            </w:tcBorders>
            <w:vAlign w:val="center"/>
            <w:hideMark/>
          </w:tcPr>
          <w:p w14:paraId="18BFAD51" w14:textId="77777777" w:rsidR="00E67F4F" w:rsidRPr="00EF2F18" w:rsidRDefault="00E67F4F" w:rsidP="00752CA0">
            <w:pPr>
              <w:spacing w:after="0"/>
              <w:rPr>
                <w:rFonts w:eastAsia="Times New Roman" w:cs="Times New Roman"/>
                <w:color w:val="000000"/>
                <w:sz w:val="20"/>
                <w:szCs w:val="20"/>
                <w:lang w:val="sr-Cyrl-RS" w:eastAsia="en-GB"/>
              </w:rPr>
            </w:pPr>
          </w:p>
        </w:tc>
        <w:tc>
          <w:tcPr>
            <w:tcW w:w="1209" w:type="dxa"/>
            <w:vMerge/>
            <w:tcBorders>
              <w:top w:val="single" w:sz="4" w:space="0" w:color="auto"/>
              <w:left w:val="single" w:sz="4" w:space="0" w:color="auto"/>
              <w:bottom w:val="single" w:sz="4" w:space="0" w:color="000000"/>
              <w:right w:val="single" w:sz="4" w:space="0" w:color="auto"/>
            </w:tcBorders>
            <w:vAlign w:val="center"/>
            <w:hideMark/>
          </w:tcPr>
          <w:p w14:paraId="0C68AEC8" w14:textId="77777777" w:rsidR="00E67F4F" w:rsidRPr="00EF2F18" w:rsidRDefault="00E67F4F" w:rsidP="00752CA0">
            <w:pPr>
              <w:spacing w:after="0"/>
              <w:rPr>
                <w:rFonts w:eastAsia="Times New Roman" w:cs="Times New Roman"/>
                <w:color w:val="000000"/>
                <w:sz w:val="20"/>
                <w:szCs w:val="20"/>
                <w:lang w:val="sr-Cyrl-RS" w:eastAsia="en-GB"/>
              </w:rPr>
            </w:pPr>
          </w:p>
        </w:tc>
        <w:tc>
          <w:tcPr>
            <w:tcW w:w="1244" w:type="dxa"/>
            <w:vMerge/>
            <w:tcBorders>
              <w:top w:val="single" w:sz="4" w:space="0" w:color="auto"/>
              <w:left w:val="single" w:sz="4" w:space="0" w:color="auto"/>
              <w:bottom w:val="single" w:sz="4" w:space="0" w:color="000000"/>
              <w:right w:val="single" w:sz="4" w:space="0" w:color="auto"/>
            </w:tcBorders>
            <w:vAlign w:val="center"/>
            <w:hideMark/>
          </w:tcPr>
          <w:p w14:paraId="2705E488" w14:textId="77777777" w:rsidR="00E67F4F" w:rsidRPr="00EF2F18" w:rsidRDefault="00E67F4F" w:rsidP="00752CA0">
            <w:pPr>
              <w:spacing w:after="0"/>
              <w:rPr>
                <w:rFonts w:eastAsia="Times New Roman" w:cs="Times New Roman"/>
                <w:color w:val="000000"/>
                <w:sz w:val="20"/>
                <w:szCs w:val="20"/>
                <w:lang w:val="sr-Cyrl-RS" w:eastAsia="en-GB"/>
              </w:rPr>
            </w:pPr>
          </w:p>
        </w:tc>
        <w:tc>
          <w:tcPr>
            <w:tcW w:w="1273" w:type="dxa"/>
            <w:vMerge/>
            <w:tcBorders>
              <w:top w:val="single" w:sz="4" w:space="0" w:color="auto"/>
              <w:left w:val="single" w:sz="4" w:space="0" w:color="auto"/>
              <w:bottom w:val="single" w:sz="4" w:space="0" w:color="000000"/>
              <w:right w:val="single" w:sz="4" w:space="0" w:color="auto"/>
            </w:tcBorders>
            <w:vAlign w:val="center"/>
            <w:hideMark/>
          </w:tcPr>
          <w:p w14:paraId="281CFFE3" w14:textId="77777777" w:rsidR="00E67F4F" w:rsidRPr="00EF2F18" w:rsidRDefault="00E67F4F" w:rsidP="00752CA0">
            <w:pPr>
              <w:spacing w:after="0"/>
              <w:rPr>
                <w:rFonts w:eastAsia="Times New Roman" w:cs="Times New Roman"/>
                <w:color w:val="000000"/>
                <w:sz w:val="20"/>
                <w:szCs w:val="20"/>
                <w:lang w:val="sr-Cyrl-RS" w:eastAsia="en-GB"/>
              </w:rPr>
            </w:pPr>
          </w:p>
        </w:tc>
        <w:tc>
          <w:tcPr>
            <w:tcW w:w="1994" w:type="dxa"/>
            <w:vMerge/>
            <w:tcBorders>
              <w:top w:val="single" w:sz="4" w:space="0" w:color="auto"/>
              <w:left w:val="single" w:sz="4" w:space="0" w:color="auto"/>
              <w:bottom w:val="single" w:sz="4" w:space="0" w:color="000000"/>
              <w:right w:val="single" w:sz="4" w:space="0" w:color="auto"/>
            </w:tcBorders>
            <w:vAlign w:val="center"/>
            <w:hideMark/>
          </w:tcPr>
          <w:p w14:paraId="7B917011" w14:textId="77777777" w:rsidR="00E67F4F" w:rsidRPr="00EF2F18" w:rsidRDefault="00E67F4F" w:rsidP="00752CA0">
            <w:pPr>
              <w:spacing w:after="0"/>
              <w:rPr>
                <w:rFonts w:eastAsia="Times New Roman" w:cs="Times New Roman"/>
                <w:color w:val="000000"/>
                <w:sz w:val="20"/>
                <w:szCs w:val="20"/>
                <w:lang w:val="sr-Cyrl-RS" w:eastAsia="en-GB"/>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14:paraId="15853CC1" w14:textId="77777777" w:rsidR="00E67F4F" w:rsidRPr="00EF2F18" w:rsidRDefault="00E67F4F" w:rsidP="00752CA0">
            <w:pPr>
              <w:spacing w:after="0"/>
              <w:rPr>
                <w:rFonts w:eastAsia="Times New Roman" w:cs="Times New Roman"/>
                <w:color w:val="000000"/>
                <w:sz w:val="20"/>
                <w:szCs w:val="20"/>
                <w:lang w:val="sr-Cyrl-RS" w:eastAsia="en-GB"/>
              </w:rPr>
            </w:pPr>
          </w:p>
        </w:tc>
        <w:tc>
          <w:tcPr>
            <w:tcW w:w="1086" w:type="dxa"/>
            <w:tcBorders>
              <w:top w:val="nil"/>
              <w:left w:val="nil"/>
              <w:bottom w:val="single" w:sz="4" w:space="0" w:color="auto"/>
              <w:right w:val="single" w:sz="4" w:space="0" w:color="auto"/>
            </w:tcBorders>
            <w:shd w:val="clear" w:color="000000" w:fill="FFF2CC"/>
            <w:hideMark/>
          </w:tcPr>
          <w:p w14:paraId="31C3A37D" w14:textId="0BA6E9FF"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4" w:space="0" w:color="auto"/>
              <w:right w:val="single" w:sz="4" w:space="0" w:color="auto"/>
            </w:tcBorders>
            <w:shd w:val="clear" w:color="000000" w:fill="FFF2CC"/>
            <w:hideMark/>
          </w:tcPr>
          <w:p w14:paraId="3963C282" w14:textId="43A5CE77" w:rsidR="00E67F4F" w:rsidRPr="00EF2F18" w:rsidRDefault="00E67F4F"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710" w:type="dxa"/>
            <w:tcBorders>
              <w:top w:val="nil"/>
              <w:left w:val="nil"/>
              <w:bottom w:val="single" w:sz="4" w:space="0" w:color="auto"/>
              <w:right w:val="double" w:sz="4" w:space="0" w:color="auto"/>
            </w:tcBorders>
            <w:shd w:val="clear" w:color="000000" w:fill="FFF2CC"/>
            <w:hideMark/>
          </w:tcPr>
          <w:p w14:paraId="4329D5BC" w14:textId="34EA23B0" w:rsidR="00E67F4F"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E67F4F" w:rsidRPr="00EF2F18">
              <w:rPr>
                <w:rFonts w:eastAsia="Times New Roman" w:cs="Times New Roman"/>
                <w:sz w:val="20"/>
                <w:szCs w:val="20"/>
                <w:lang w:val="sr-Cyrl-RS" w:eastAsia="en-GB"/>
              </w:rPr>
              <w:t xml:space="preserve"> 2028.</w:t>
            </w:r>
          </w:p>
        </w:tc>
      </w:tr>
      <w:tr w:rsidR="00E67F4F" w:rsidRPr="00EF2F18" w14:paraId="6824E702" w14:textId="77777777" w:rsidTr="001664F3">
        <w:trPr>
          <w:trHeight w:val="1848"/>
        </w:trPr>
        <w:tc>
          <w:tcPr>
            <w:tcW w:w="2549" w:type="dxa"/>
            <w:tcBorders>
              <w:top w:val="single" w:sz="4" w:space="0" w:color="auto"/>
              <w:left w:val="double" w:sz="4" w:space="0" w:color="auto"/>
              <w:bottom w:val="single" w:sz="4" w:space="0" w:color="auto"/>
              <w:right w:val="single" w:sz="4" w:space="0" w:color="auto"/>
            </w:tcBorders>
            <w:hideMark/>
          </w:tcPr>
          <w:p w14:paraId="79051C60" w14:textId="6B7B93A5"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lastRenderedPageBreak/>
              <w:t>6.1.8.</w:t>
            </w:r>
            <w:r w:rsidR="00DC4004" w:rsidRPr="00EF2F18">
              <w:rPr>
                <w:rFonts w:eastAsia="Times New Roman" w:cs="Times New Roman"/>
                <w:color w:val="000000" w:themeColor="text1"/>
                <w:kern w:val="24"/>
                <w:sz w:val="20"/>
                <w:szCs w:val="20"/>
                <w:lang w:val="sr-Cyrl-RS" w:eastAsia="en-GB"/>
              </w:rPr>
              <w:t>1</w:t>
            </w:r>
            <w:r w:rsidRPr="00EF2F18">
              <w:rPr>
                <w:rFonts w:eastAsia="Times New Roman" w:cs="Times New Roman"/>
                <w:color w:val="000000" w:themeColor="text1"/>
                <w:kern w:val="24"/>
                <w:sz w:val="20"/>
                <w:szCs w:val="20"/>
                <w:lang w:val="sr-Cyrl-RS" w:eastAsia="en-GB"/>
              </w:rPr>
              <w:t xml:space="preserve">. </w:t>
            </w:r>
            <w:r w:rsidRPr="00EF2F18">
              <w:rPr>
                <w:rFonts w:eastAsia="Times New Roman" w:cs="Times New Roman"/>
                <w:color w:val="000000"/>
                <w:kern w:val="24"/>
                <w:sz w:val="20"/>
                <w:szCs w:val="20"/>
                <w:lang w:val="sr-Cyrl-RS" w:eastAsia="en-GB"/>
              </w:rPr>
              <w:t>Израда анализа за сагледавање могућности за унапређење садржаја студија о процени утицаја на животну средину и стратешке процене утицаја на животну средину и доношење подзаконског акта</w:t>
            </w:r>
          </w:p>
        </w:tc>
        <w:tc>
          <w:tcPr>
            <w:tcW w:w="1209" w:type="dxa"/>
            <w:tcBorders>
              <w:top w:val="single" w:sz="4" w:space="0" w:color="auto"/>
              <w:left w:val="nil"/>
              <w:bottom w:val="single" w:sz="4" w:space="0" w:color="auto"/>
              <w:right w:val="single" w:sz="4" w:space="0" w:color="auto"/>
            </w:tcBorders>
            <w:hideMark/>
          </w:tcPr>
          <w:p w14:paraId="541E92D3"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4" w:type="dxa"/>
            <w:tcBorders>
              <w:top w:val="single" w:sz="4" w:space="0" w:color="auto"/>
              <w:left w:val="nil"/>
              <w:bottom w:val="single" w:sz="4" w:space="0" w:color="auto"/>
              <w:right w:val="single" w:sz="4" w:space="0" w:color="auto"/>
            </w:tcBorders>
            <w:hideMark/>
          </w:tcPr>
          <w:p w14:paraId="33F37D8C"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w:t>
            </w:r>
          </w:p>
        </w:tc>
        <w:tc>
          <w:tcPr>
            <w:tcW w:w="1273" w:type="dxa"/>
            <w:tcBorders>
              <w:top w:val="single" w:sz="4" w:space="0" w:color="auto"/>
              <w:left w:val="nil"/>
              <w:bottom w:val="single" w:sz="4" w:space="0" w:color="auto"/>
              <w:right w:val="single" w:sz="4" w:space="0" w:color="auto"/>
            </w:tcBorders>
            <w:hideMark/>
          </w:tcPr>
          <w:p w14:paraId="1F2435FC" w14:textId="6C25175B"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 квартал 2026</w:t>
            </w:r>
            <w:r w:rsidR="00AC090C" w:rsidRPr="00EF2F18">
              <w:rPr>
                <w:rFonts w:eastAsia="Times New Roman" w:cs="Times New Roman"/>
                <w:sz w:val="20"/>
                <w:szCs w:val="20"/>
                <w:lang w:val="sr-Cyrl-RS" w:eastAsia="en-GB"/>
              </w:rPr>
              <w:t>.</w:t>
            </w:r>
          </w:p>
        </w:tc>
        <w:tc>
          <w:tcPr>
            <w:tcW w:w="1994" w:type="dxa"/>
            <w:tcBorders>
              <w:top w:val="single" w:sz="4" w:space="0" w:color="auto"/>
              <w:left w:val="nil"/>
              <w:bottom w:val="single" w:sz="4" w:space="0" w:color="auto"/>
              <w:right w:val="single" w:sz="4" w:space="0" w:color="auto"/>
            </w:tcBorders>
            <w:hideMark/>
          </w:tcPr>
          <w:p w14:paraId="4B37BB05"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4" w:space="0" w:color="auto"/>
              <w:right w:val="single" w:sz="4" w:space="0" w:color="auto"/>
            </w:tcBorders>
            <w:hideMark/>
          </w:tcPr>
          <w:p w14:paraId="340E8AA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086" w:type="dxa"/>
            <w:tcBorders>
              <w:top w:val="single" w:sz="4" w:space="0" w:color="auto"/>
              <w:left w:val="nil"/>
              <w:bottom w:val="single" w:sz="4" w:space="0" w:color="auto"/>
              <w:right w:val="single" w:sz="4" w:space="0" w:color="auto"/>
            </w:tcBorders>
          </w:tcPr>
          <w:p w14:paraId="4EE70BD4" w14:textId="379B25BE"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4" w:space="0" w:color="auto"/>
              <w:right w:val="single" w:sz="4" w:space="0" w:color="auto"/>
            </w:tcBorders>
          </w:tcPr>
          <w:p w14:paraId="10BD9C5C" w14:textId="1120EFC5"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single" w:sz="4" w:space="0" w:color="auto"/>
              <w:left w:val="nil"/>
              <w:bottom w:val="single" w:sz="4" w:space="0" w:color="auto"/>
              <w:right w:val="double" w:sz="4" w:space="0" w:color="auto"/>
            </w:tcBorders>
          </w:tcPr>
          <w:p w14:paraId="55242ED1" w14:textId="0A80FAC4"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1EE237F3" w14:textId="77777777" w:rsidTr="00EF0900">
        <w:trPr>
          <w:trHeight w:val="2904"/>
        </w:trPr>
        <w:tc>
          <w:tcPr>
            <w:tcW w:w="2549" w:type="dxa"/>
            <w:tcBorders>
              <w:top w:val="nil"/>
              <w:left w:val="double" w:sz="4" w:space="0" w:color="auto"/>
              <w:bottom w:val="single" w:sz="4" w:space="0" w:color="auto"/>
              <w:right w:val="single" w:sz="4" w:space="0" w:color="auto"/>
            </w:tcBorders>
            <w:hideMark/>
          </w:tcPr>
          <w:p w14:paraId="4B5C755D" w14:textId="5D41022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6.1.8.</w:t>
            </w:r>
            <w:r w:rsidR="00DC4004" w:rsidRPr="00EF2F18">
              <w:rPr>
                <w:rFonts w:eastAsia="Times New Roman" w:cs="Times New Roman"/>
                <w:color w:val="000000"/>
                <w:sz w:val="20"/>
                <w:szCs w:val="20"/>
                <w:lang w:val="sr-Cyrl-RS" w:eastAsia="en-GB"/>
              </w:rPr>
              <w:t>2</w:t>
            </w:r>
            <w:r w:rsidRPr="00EF2F18">
              <w:rPr>
                <w:rFonts w:eastAsia="Times New Roman" w:cs="Times New Roman"/>
                <w:color w:val="000000"/>
                <w:sz w:val="20"/>
                <w:szCs w:val="20"/>
                <w:lang w:val="sr-Cyrl-RS" w:eastAsia="en-GB"/>
              </w:rPr>
              <w:t xml:space="preserve">. Припрема и усвајање подзаконских аката за Закон о процени утицаја на животну средину који уређују поступак јавног увида, обавештавања, презентацији и јавној расправи, листу пројеката, садржај студије, садржину захтева за оцену о потреби, обиму и садржају, раду техничке комисије и јавни регистар </w:t>
            </w:r>
          </w:p>
        </w:tc>
        <w:tc>
          <w:tcPr>
            <w:tcW w:w="1209" w:type="dxa"/>
            <w:tcBorders>
              <w:top w:val="nil"/>
              <w:left w:val="nil"/>
              <w:bottom w:val="single" w:sz="4" w:space="0" w:color="auto"/>
              <w:right w:val="single" w:sz="4" w:space="0" w:color="auto"/>
            </w:tcBorders>
            <w:hideMark/>
          </w:tcPr>
          <w:p w14:paraId="350F5B8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МЗЖС </w:t>
            </w:r>
          </w:p>
        </w:tc>
        <w:tc>
          <w:tcPr>
            <w:tcW w:w="1244" w:type="dxa"/>
            <w:tcBorders>
              <w:top w:val="nil"/>
              <w:left w:val="nil"/>
              <w:bottom w:val="single" w:sz="4" w:space="0" w:color="auto"/>
              <w:right w:val="single" w:sz="4" w:space="0" w:color="auto"/>
            </w:tcBorders>
            <w:hideMark/>
          </w:tcPr>
          <w:p w14:paraId="2938509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w:t>
            </w:r>
          </w:p>
        </w:tc>
        <w:tc>
          <w:tcPr>
            <w:tcW w:w="1273" w:type="dxa"/>
            <w:tcBorders>
              <w:top w:val="nil"/>
              <w:left w:val="nil"/>
              <w:bottom w:val="single" w:sz="4" w:space="0" w:color="auto"/>
              <w:right w:val="single" w:sz="4" w:space="0" w:color="auto"/>
            </w:tcBorders>
            <w:hideMark/>
          </w:tcPr>
          <w:p w14:paraId="357CD3B8" w14:textId="77777777" w:rsidR="00AC090C" w:rsidRPr="00EF2F18" w:rsidRDefault="00E67F4F" w:rsidP="00752CA0">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4. квартал</w:t>
            </w:r>
          </w:p>
          <w:p w14:paraId="7077BFC9" w14:textId="339B6958"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r w:rsidR="00AC090C" w:rsidRPr="00EF2F18">
              <w:rPr>
                <w:rFonts w:eastAsia="Times New Roman" w:cs="Times New Roman"/>
                <w:sz w:val="20"/>
                <w:szCs w:val="20"/>
                <w:lang w:val="sr-Cyrl-RS" w:eastAsia="en-GB"/>
              </w:rPr>
              <w:t>.</w:t>
            </w:r>
          </w:p>
        </w:tc>
        <w:tc>
          <w:tcPr>
            <w:tcW w:w="1994" w:type="dxa"/>
            <w:tcBorders>
              <w:top w:val="nil"/>
              <w:left w:val="nil"/>
              <w:bottom w:val="single" w:sz="4" w:space="0" w:color="auto"/>
              <w:right w:val="single" w:sz="4" w:space="0" w:color="auto"/>
            </w:tcBorders>
            <w:hideMark/>
          </w:tcPr>
          <w:p w14:paraId="3D057E8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4" w:space="0" w:color="auto"/>
              <w:right w:val="single" w:sz="4" w:space="0" w:color="auto"/>
            </w:tcBorders>
            <w:hideMark/>
          </w:tcPr>
          <w:p w14:paraId="16D4BCD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086" w:type="dxa"/>
            <w:tcBorders>
              <w:top w:val="nil"/>
              <w:left w:val="nil"/>
              <w:bottom w:val="single" w:sz="4" w:space="0" w:color="auto"/>
              <w:right w:val="single" w:sz="4" w:space="0" w:color="auto"/>
            </w:tcBorders>
          </w:tcPr>
          <w:p w14:paraId="10F1C890" w14:textId="62018400"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4" w:space="0" w:color="auto"/>
              <w:right w:val="single" w:sz="4" w:space="0" w:color="auto"/>
            </w:tcBorders>
          </w:tcPr>
          <w:p w14:paraId="26A7F5A2" w14:textId="1CE03FEF"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4" w:space="0" w:color="auto"/>
              <w:right w:val="double" w:sz="4" w:space="0" w:color="auto"/>
            </w:tcBorders>
          </w:tcPr>
          <w:p w14:paraId="14871FF8" w14:textId="02449A4D"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3385B69F" w14:textId="77777777" w:rsidTr="00EF0900">
        <w:trPr>
          <w:trHeight w:val="1584"/>
        </w:trPr>
        <w:tc>
          <w:tcPr>
            <w:tcW w:w="2549" w:type="dxa"/>
            <w:tcBorders>
              <w:top w:val="nil"/>
              <w:left w:val="double" w:sz="4" w:space="0" w:color="auto"/>
              <w:bottom w:val="single" w:sz="4" w:space="0" w:color="auto"/>
              <w:right w:val="single" w:sz="4" w:space="0" w:color="auto"/>
            </w:tcBorders>
            <w:hideMark/>
          </w:tcPr>
          <w:p w14:paraId="67892A5C" w14:textId="6B3E609B"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6.1.8.</w:t>
            </w:r>
            <w:r w:rsidR="00DC4004" w:rsidRPr="00EF2F18">
              <w:rPr>
                <w:rFonts w:eastAsia="Times New Roman" w:cs="Times New Roman"/>
                <w:color w:val="000000"/>
                <w:sz w:val="20"/>
                <w:szCs w:val="20"/>
                <w:lang w:val="sr-Cyrl-RS" w:eastAsia="en-GB"/>
              </w:rPr>
              <w:t>3</w:t>
            </w:r>
            <w:r w:rsidRPr="00EF2F18">
              <w:rPr>
                <w:rFonts w:eastAsia="Times New Roman" w:cs="Times New Roman"/>
                <w:color w:val="000000"/>
                <w:sz w:val="20"/>
                <w:szCs w:val="20"/>
                <w:lang w:val="sr-Cyrl-RS" w:eastAsia="en-GB"/>
              </w:rPr>
              <w:t>. Припрема предлога измена и упућивање иницијативе за интегрисање инструмента стратешке процене утицаја у друге законе који нису у надлежности заштите животне средине</w:t>
            </w:r>
          </w:p>
        </w:tc>
        <w:tc>
          <w:tcPr>
            <w:tcW w:w="1209" w:type="dxa"/>
            <w:tcBorders>
              <w:top w:val="nil"/>
              <w:left w:val="nil"/>
              <w:bottom w:val="single" w:sz="4" w:space="0" w:color="auto"/>
              <w:right w:val="single" w:sz="4" w:space="0" w:color="auto"/>
            </w:tcBorders>
            <w:hideMark/>
          </w:tcPr>
          <w:p w14:paraId="142AF766"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4" w:type="dxa"/>
            <w:tcBorders>
              <w:top w:val="nil"/>
              <w:left w:val="nil"/>
              <w:bottom w:val="single" w:sz="4" w:space="0" w:color="auto"/>
              <w:right w:val="single" w:sz="4" w:space="0" w:color="auto"/>
            </w:tcBorders>
            <w:hideMark/>
          </w:tcPr>
          <w:p w14:paraId="4F61ADB7" w14:textId="77777777" w:rsidR="00E67F4F" w:rsidRPr="00EF2F18" w:rsidRDefault="00E67F4F" w:rsidP="00752CA0">
            <w:pPr>
              <w:spacing w:after="0"/>
              <w:rPr>
                <w:rFonts w:eastAsia="Times New Roman" w:cs="Times New Roman"/>
                <w:color w:val="000000"/>
                <w:sz w:val="20"/>
                <w:szCs w:val="20"/>
                <w:lang w:val="sr-Cyrl-RS" w:eastAsia="en-GB"/>
              </w:rPr>
            </w:pPr>
          </w:p>
        </w:tc>
        <w:tc>
          <w:tcPr>
            <w:tcW w:w="1273" w:type="dxa"/>
            <w:tcBorders>
              <w:top w:val="nil"/>
              <w:left w:val="nil"/>
              <w:bottom w:val="single" w:sz="4" w:space="0" w:color="auto"/>
              <w:right w:val="single" w:sz="4" w:space="0" w:color="auto"/>
            </w:tcBorders>
            <w:hideMark/>
          </w:tcPr>
          <w:p w14:paraId="71521F04"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994" w:type="dxa"/>
            <w:tcBorders>
              <w:top w:val="nil"/>
              <w:left w:val="nil"/>
              <w:bottom w:val="single" w:sz="4" w:space="0" w:color="auto"/>
              <w:right w:val="single" w:sz="4" w:space="0" w:color="auto"/>
            </w:tcBorders>
            <w:hideMark/>
          </w:tcPr>
          <w:p w14:paraId="767CDEF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4" w:space="0" w:color="auto"/>
              <w:right w:val="single" w:sz="4" w:space="0" w:color="auto"/>
            </w:tcBorders>
            <w:hideMark/>
          </w:tcPr>
          <w:p w14:paraId="2F8306D8"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086" w:type="dxa"/>
            <w:tcBorders>
              <w:top w:val="nil"/>
              <w:left w:val="nil"/>
              <w:bottom w:val="single" w:sz="4" w:space="0" w:color="auto"/>
              <w:right w:val="single" w:sz="4" w:space="0" w:color="auto"/>
            </w:tcBorders>
          </w:tcPr>
          <w:p w14:paraId="344634D2" w14:textId="5B52E401"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4" w:space="0" w:color="auto"/>
              <w:right w:val="single" w:sz="4" w:space="0" w:color="auto"/>
            </w:tcBorders>
          </w:tcPr>
          <w:p w14:paraId="04652A98" w14:textId="46FC6246"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4" w:space="0" w:color="auto"/>
              <w:right w:val="double" w:sz="4" w:space="0" w:color="auto"/>
            </w:tcBorders>
          </w:tcPr>
          <w:p w14:paraId="381FB594" w14:textId="647065C0"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3138669C" w14:textId="77777777" w:rsidTr="001664F3">
        <w:trPr>
          <w:trHeight w:val="1848"/>
        </w:trPr>
        <w:tc>
          <w:tcPr>
            <w:tcW w:w="2549" w:type="dxa"/>
            <w:tcBorders>
              <w:top w:val="single" w:sz="4" w:space="0" w:color="auto"/>
              <w:left w:val="double" w:sz="4" w:space="0" w:color="auto"/>
              <w:bottom w:val="single" w:sz="4" w:space="0" w:color="auto"/>
              <w:right w:val="single" w:sz="4" w:space="0" w:color="auto"/>
            </w:tcBorders>
            <w:hideMark/>
          </w:tcPr>
          <w:p w14:paraId="2BBBD305" w14:textId="33D3DDFB"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lastRenderedPageBreak/>
              <w:t>6.1.8.</w:t>
            </w:r>
            <w:r w:rsidR="00DC4004" w:rsidRPr="00EF2F18">
              <w:rPr>
                <w:rFonts w:eastAsia="Times New Roman" w:cs="Times New Roman"/>
                <w:color w:val="000000" w:themeColor="text1"/>
                <w:kern w:val="2"/>
                <w:sz w:val="20"/>
                <w:szCs w:val="20"/>
                <w:lang w:val="sr-Cyrl-RS" w:eastAsia="en-GB"/>
              </w:rPr>
              <w:t>4</w:t>
            </w:r>
            <w:r w:rsidRPr="00EF2F18">
              <w:rPr>
                <w:rFonts w:eastAsia="Times New Roman" w:cs="Times New Roman"/>
                <w:color w:val="000000" w:themeColor="text1"/>
                <w:kern w:val="2"/>
                <w:sz w:val="20"/>
                <w:szCs w:val="20"/>
                <w:lang w:val="sr-Cyrl-RS" w:eastAsia="en-GB"/>
              </w:rPr>
              <w:t xml:space="preserve">. Припрема предлога измена и упућивање иницијативе за усклађивање прописа у другим секторима са прописима о заштити животне средине, нарочито у вези процене утицаја на животну средину </w:t>
            </w:r>
          </w:p>
        </w:tc>
        <w:tc>
          <w:tcPr>
            <w:tcW w:w="1209" w:type="dxa"/>
            <w:tcBorders>
              <w:top w:val="single" w:sz="4" w:space="0" w:color="auto"/>
              <w:left w:val="nil"/>
              <w:bottom w:val="single" w:sz="4" w:space="0" w:color="auto"/>
              <w:right w:val="single" w:sz="4" w:space="0" w:color="auto"/>
            </w:tcBorders>
            <w:hideMark/>
          </w:tcPr>
          <w:p w14:paraId="5F9B37D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4" w:type="dxa"/>
            <w:tcBorders>
              <w:top w:val="single" w:sz="4" w:space="0" w:color="auto"/>
              <w:left w:val="nil"/>
              <w:bottom w:val="single" w:sz="4" w:space="0" w:color="auto"/>
              <w:right w:val="single" w:sz="4" w:space="0" w:color="auto"/>
            </w:tcBorders>
            <w:hideMark/>
          </w:tcPr>
          <w:p w14:paraId="60B90DF6" w14:textId="77777777" w:rsidR="00E67F4F" w:rsidRPr="00EF2F18" w:rsidRDefault="00E67F4F" w:rsidP="00752CA0">
            <w:pPr>
              <w:spacing w:after="0"/>
              <w:rPr>
                <w:rFonts w:eastAsia="Times New Roman" w:cs="Times New Roman"/>
                <w:color w:val="000000"/>
                <w:sz w:val="20"/>
                <w:szCs w:val="20"/>
                <w:lang w:val="sr-Cyrl-RS" w:eastAsia="en-GB"/>
              </w:rPr>
            </w:pPr>
          </w:p>
        </w:tc>
        <w:tc>
          <w:tcPr>
            <w:tcW w:w="1273" w:type="dxa"/>
            <w:tcBorders>
              <w:top w:val="single" w:sz="4" w:space="0" w:color="auto"/>
              <w:left w:val="nil"/>
              <w:bottom w:val="single" w:sz="4" w:space="0" w:color="auto"/>
              <w:right w:val="single" w:sz="4" w:space="0" w:color="auto"/>
            </w:tcBorders>
            <w:hideMark/>
          </w:tcPr>
          <w:p w14:paraId="365989A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994" w:type="dxa"/>
            <w:tcBorders>
              <w:top w:val="single" w:sz="4" w:space="0" w:color="auto"/>
              <w:left w:val="nil"/>
              <w:bottom w:val="single" w:sz="4" w:space="0" w:color="auto"/>
              <w:right w:val="single" w:sz="4" w:space="0" w:color="auto"/>
            </w:tcBorders>
            <w:hideMark/>
          </w:tcPr>
          <w:p w14:paraId="2403C6F5"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4" w:space="0" w:color="auto"/>
              <w:right w:val="single" w:sz="4" w:space="0" w:color="auto"/>
            </w:tcBorders>
            <w:hideMark/>
          </w:tcPr>
          <w:p w14:paraId="3FF46A5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086" w:type="dxa"/>
            <w:tcBorders>
              <w:top w:val="single" w:sz="4" w:space="0" w:color="auto"/>
              <w:left w:val="nil"/>
              <w:bottom w:val="single" w:sz="4" w:space="0" w:color="auto"/>
              <w:right w:val="single" w:sz="4" w:space="0" w:color="auto"/>
            </w:tcBorders>
          </w:tcPr>
          <w:p w14:paraId="623C466D" w14:textId="3C0922B8"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4" w:space="0" w:color="auto"/>
              <w:right w:val="single" w:sz="4" w:space="0" w:color="auto"/>
            </w:tcBorders>
          </w:tcPr>
          <w:p w14:paraId="3D669E43" w14:textId="3B65660F"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single" w:sz="4" w:space="0" w:color="auto"/>
              <w:left w:val="nil"/>
              <w:bottom w:val="single" w:sz="4" w:space="0" w:color="auto"/>
              <w:right w:val="double" w:sz="4" w:space="0" w:color="auto"/>
            </w:tcBorders>
          </w:tcPr>
          <w:p w14:paraId="24D241F0" w14:textId="62DFB667"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37A99BE5" w14:textId="77777777" w:rsidTr="00EF0900">
        <w:trPr>
          <w:trHeight w:val="1056"/>
        </w:trPr>
        <w:tc>
          <w:tcPr>
            <w:tcW w:w="2549" w:type="dxa"/>
            <w:tcBorders>
              <w:top w:val="nil"/>
              <w:left w:val="double" w:sz="4" w:space="0" w:color="auto"/>
              <w:bottom w:val="single" w:sz="4" w:space="0" w:color="auto"/>
              <w:right w:val="single" w:sz="4" w:space="0" w:color="auto"/>
            </w:tcBorders>
            <w:hideMark/>
          </w:tcPr>
          <w:p w14:paraId="5BC54104" w14:textId="79D3493C"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6.1.8.</w:t>
            </w:r>
            <w:r w:rsidR="00DC4004" w:rsidRPr="00EF2F18">
              <w:rPr>
                <w:rFonts w:eastAsia="Times New Roman" w:cs="Times New Roman"/>
                <w:color w:val="000000" w:themeColor="text1"/>
                <w:kern w:val="2"/>
                <w:sz w:val="20"/>
                <w:szCs w:val="20"/>
                <w:lang w:val="sr-Cyrl-RS" w:eastAsia="en-GB"/>
              </w:rPr>
              <w:t>5</w:t>
            </w:r>
            <w:r w:rsidRPr="00EF2F18">
              <w:rPr>
                <w:rFonts w:eastAsia="Times New Roman" w:cs="Times New Roman"/>
                <w:color w:val="000000" w:themeColor="text1"/>
                <w:kern w:val="2"/>
                <w:sz w:val="20"/>
                <w:szCs w:val="20"/>
                <w:lang w:val="sr-Cyrl-RS" w:eastAsia="en-GB"/>
              </w:rPr>
              <w:t>. Измене Кривичног законика ради усклађивања са Директивом ЕУ 2024/1203 о заштити животне средине путем кривичног права</w:t>
            </w:r>
          </w:p>
        </w:tc>
        <w:tc>
          <w:tcPr>
            <w:tcW w:w="1209" w:type="dxa"/>
            <w:tcBorders>
              <w:top w:val="nil"/>
              <w:left w:val="nil"/>
              <w:bottom w:val="single" w:sz="4" w:space="0" w:color="auto"/>
              <w:right w:val="single" w:sz="4" w:space="0" w:color="auto"/>
            </w:tcBorders>
            <w:hideMark/>
          </w:tcPr>
          <w:p w14:paraId="395C2832"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МПравде </w:t>
            </w:r>
          </w:p>
        </w:tc>
        <w:tc>
          <w:tcPr>
            <w:tcW w:w="1244" w:type="dxa"/>
            <w:tcBorders>
              <w:top w:val="nil"/>
              <w:left w:val="nil"/>
              <w:bottom w:val="single" w:sz="4" w:space="0" w:color="auto"/>
              <w:right w:val="single" w:sz="4" w:space="0" w:color="auto"/>
            </w:tcBorders>
            <w:hideMark/>
          </w:tcPr>
          <w:p w14:paraId="1F7ED5AA"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ОЦД</w:t>
            </w:r>
          </w:p>
        </w:tc>
        <w:tc>
          <w:tcPr>
            <w:tcW w:w="1273" w:type="dxa"/>
            <w:tcBorders>
              <w:top w:val="nil"/>
              <w:left w:val="nil"/>
              <w:bottom w:val="single" w:sz="4" w:space="0" w:color="auto"/>
              <w:right w:val="single" w:sz="4" w:space="0" w:color="auto"/>
            </w:tcBorders>
            <w:hideMark/>
          </w:tcPr>
          <w:p w14:paraId="77798BAC" w14:textId="29E47AC5" w:rsidR="00E67F4F" w:rsidRPr="00EF2F18" w:rsidRDefault="0017758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r w:rsidR="00E67F4F" w:rsidRPr="00EF2F18">
              <w:rPr>
                <w:rFonts w:eastAsia="Times New Roman" w:cs="Times New Roman"/>
                <w:color w:val="000000"/>
                <w:sz w:val="20"/>
                <w:szCs w:val="20"/>
                <w:lang w:val="sr-Cyrl-RS" w:eastAsia="en-GB"/>
              </w:rPr>
              <w:t xml:space="preserve"> квартал.</w:t>
            </w:r>
          </w:p>
          <w:p w14:paraId="5FD7A9E1" w14:textId="12E61B18"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2026.</w:t>
            </w:r>
          </w:p>
        </w:tc>
        <w:tc>
          <w:tcPr>
            <w:tcW w:w="1994" w:type="dxa"/>
            <w:tcBorders>
              <w:top w:val="nil"/>
              <w:left w:val="nil"/>
              <w:bottom w:val="single" w:sz="4" w:space="0" w:color="auto"/>
              <w:right w:val="single" w:sz="4" w:space="0" w:color="auto"/>
            </w:tcBorders>
            <w:hideMark/>
          </w:tcPr>
          <w:p w14:paraId="6F9D15BF"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4" w:space="0" w:color="auto"/>
              <w:right w:val="single" w:sz="4" w:space="0" w:color="auto"/>
            </w:tcBorders>
          </w:tcPr>
          <w:p w14:paraId="785827A3" w14:textId="3E7C95F6" w:rsidR="00E67F4F" w:rsidRPr="00EF2F18" w:rsidRDefault="00E67F4F" w:rsidP="00752CA0">
            <w:pPr>
              <w:spacing w:after="0"/>
              <w:rPr>
                <w:rFonts w:eastAsia="Times New Roman" w:cs="Times New Roman"/>
                <w:color w:val="000000"/>
                <w:sz w:val="20"/>
                <w:szCs w:val="20"/>
                <w:lang w:val="sr-Cyrl-RS" w:eastAsia="en-GB"/>
              </w:rPr>
            </w:pPr>
          </w:p>
        </w:tc>
        <w:tc>
          <w:tcPr>
            <w:tcW w:w="1086" w:type="dxa"/>
            <w:tcBorders>
              <w:top w:val="nil"/>
              <w:left w:val="nil"/>
              <w:bottom w:val="single" w:sz="4" w:space="0" w:color="auto"/>
              <w:right w:val="single" w:sz="4" w:space="0" w:color="auto"/>
            </w:tcBorders>
          </w:tcPr>
          <w:p w14:paraId="2CE5C0A9" w14:textId="3C88D69B"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4" w:space="0" w:color="auto"/>
              <w:right w:val="single" w:sz="4" w:space="0" w:color="auto"/>
            </w:tcBorders>
          </w:tcPr>
          <w:p w14:paraId="051CD6AF" w14:textId="39DBB3AD"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4" w:space="0" w:color="auto"/>
              <w:right w:val="double" w:sz="4" w:space="0" w:color="auto"/>
            </w:tcBorders>
          </w:tcPr>
          <w:p w14:paraId="3E64AF65" w14:textId="3674CCA5"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62962B27" w14:textId="77777777" w:rsidTr="00EF0900">
        <w:trPr>
          <w:trHeight w:val="1848"/>
        </w:trPr>
        <w:tc>
          <w:tcPr>
            <w:tcW w:w="2549" w:type="dxa"/>
            <w:tcBorders>
              <w:top w:val="nil"/>
              <w:left w:val="double" w:sz="4" w:space="0" w:color="auto"/>
              <w:bottom w:val="single" w:sz="4" w:space="0" w:color="auto"/>
              <w:right w:val="single" w:sz="4" w:space="0" w:color="auto"/>
            </w:tcBorders>
            <w:hideMark/>
          </w:tcPr>
          <w:p w14:paraId="00CE70BE" w14:textId="4FAA12C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6.1.8.</w:t>
            </w:r>
            <w:r w:rsidR="00DC4004" w:rsidRPr="00EF2F18">
              <w:rPr>
                <w:rFonts w:eastAsia="Times New Roman" w:cs="Times New Roman"/>
                <w:color w:val="000000" w:themeColor="text1"/>
                <w:kern w:val="2"/>
                <w:sz w:val="20"/>
                <w:szCs w:val="20"/>
                <w:lang w:val="sr-Cyrl-RS" w:eastAsia="en-GB"/>
              </w:rPr>
              <w:t>6</w:t>
            </w:r>
            <w:r w:rsidRPr="00EF2F18">
              <w:rPr>
                <w:rFonts w:eastAsia="Times New Roman" w:cs="Times New Roman"/>
                <w:color w:val="000000" w:themeColor="text1"/>
                <w:kern w:val="2"/>
                <w:sz w:val="20"/>
                <w:szCs w:val="20"/>
                <w:lang w:val="sr-Cyrl-RS" w:eastAsia="en-GB"/>
              </w:rPr>
              <w:t xml:space="preserve">. Припрема и усвајање Закона о одговорности за штету према животној средини и одговарајућих подзаконских аката ради усклађивања са захтевима Директиве о одговорности за штету према животној средини </w:t>
            </w:r>
          </w:p>
        </w:tc>
        <w:tc>
          <w:tcPr>
            <w:tcW w:w="1209" w:type="dxa"/>
            <w:tcBorders>
              <w:top w:val="nil"/>
              <w:left w:val="nil"/>
              <w:bottom w:val="single" w:sz="4" w:space="0" w:color="auto"/>
              <w:right w:val="single" w:sz="4" w:space="0" w:color="auto"/>
            </w:tcBorders>
            <w:hideMark/>
          </w:tcPr>
          <w:p w14:paraId="0AC7E69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МЗЖС </w:t>
            </w:r>
          </w:p>
        </w:tc>
        <w:tc>
          <w:tcPr>
            <w:tcW w:w="1244" w:type="dxa"/>
            <w:tcBorders>
              <w:top w:val="nil"/>
              <w:left w:val="nil"/>
              <w:bottom w:val="single" w:sz="4" w:space="0" w:color="auto"/>
              <w:right w:val="single" w:sz="4" w:space="0" w:color="auto"/>
            </w:tcBorders>
            <w:hideMark/>
          </w:tcPr>
          <w:p w14:paraId="31E6FAB7"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OЦД</w:t>
            </w:r>
          </w:p>
        </w:tc>
        <w:tc>
          <w:tcPr>
            <w:tcW w:w="1273" w:type="dxa"/>
            <w:tcBorders>
              <w:top w:val="nil"/>
              <w:left w:val="nil"/>
              <w:bottom w:val="single" w:sz="4" w:space="0" w:color="auto"/>
              <w:right w:val="single" w:sz="4" w:space="0" w:color="auto"/>
            </w:tcBorders>
            <w:hideMark/>
          </w:tcPr>
          <w:p w14:paraId="052D101E"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994" w:type="dxa"/>
            <w:tcBorders>
              <w:top w:val="nil"/>
              <w:left w:val="nil"/>
              <w:bottom w:val="single" w:sz="4" w:space="0" w:color="auto"/>
              <w:right w:val="single" w:sz="4" w:space="0" w:color="auto"/>
            </w:tcBorders>
            <w:hideMark/>
          </w:tcPr>
          <w:p w14:paraId="2CD011A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4" w:space="0" w:color="auto"/>
              <w:right w:val="single" w:sz="4" w:space="0" w:color="auto"/>
            </w:tcBorders>
            <w:hideMark/>
          </w:tcPr>
          <w:p w14:paraId="4540E43B"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0404-560-0004-411</w:t>
            </w:r>
          </w:p>
        </w:tc>
        <w:tc>
          <w:tcPr>
            <w:tcW w:w="1086" w:type="dxa"/>
            <w:tcBorders>
              <w:top w:val="nil"/>
              <w:left w:val="nil"/>
              <w:bottom w:val="single" w:sz="4" w:space="0" w:color="auto"/>
              <w:right w:val="single" w:sz="4" w:space="0" w:color="auto"/>
            </w:tcBorders>
          </w:tcPr>
          <w:p w14:paraId="0C6208C7" w14:textId="398A284C"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4" w:space="0" w:color="auto"/>
              <w:right w:val="single" w:sz="4" w:space="0" w:color="auto"/>
            </w:tcBorders>
          </w:tcPr>
          <w:p w14:paraId="27F7829A" w14:textId="3614082B"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4" w:space="0" w:color="auto"/>
              <w:right w:val="double" w:sz="4" w:space="0" w:color="auto"/>
            </w:tcBorders>
          </w:tcPr>
          <w:p w14:paraId="5D5A0C49" w14:textId="0624350E"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139E9E53" w14:textId="77777777" w:rsidTr="00EF0900">
        <w:trPr>
          <w:trHeight w:val="2688"/>
        </w:trPr>
        <w:tc>
          <w:tcPr>
            <w:tcW w:w="2549" w:type="dxa"/>
            <w:tcBorders>
              <w:top w:val="nil"/>
              <w:left w:val="double" w:sz="4" w:space="0" w:color="auto"/>
              <w:bottom w:val="single" w:sz="4" w:space="0" w:color="auto"/>
              <w:right w:val="single" w:sz="4" w:space="0" w:color="auto"/>
            </w:tcBorders>
            <w:hideMark/>
          </w:tcPr>
          <w:p w14:paraId="360260D1" w14:textId="6FA94332" w:rsidR="00E67F4F" w:rsidRPr="00EF2F18" w:rsidRDefault="00E67F4F" w:rsidP="00752CA0">
            <w:pPr>
              <w:spacing w:after="0"/>
              <w:rPr>
                <w:rFonts w:eastAsia="Times New Roman" w:cs="Times New Roman"/>
                <w:color w:val="000000"/>
                <w:sz w:val="20"/>
                <w:szCs w:val="20"/>
                <w:highlight w:val="yellow"/>
                <w:lang w:val="sr-Cyrl-RS" w:eastAsia="en-GB"/>
              </w:rPr>
            </w:pPr>
            <w:r w:rsidRPr="00EF2F18">
              <w:rPr>
                <w:rFonts w:eastAsia="Times New Roman" w:cs="Times New Roman"/>
                <w:color w:val="000000"/>
                <w:sz w:val="20"/>
                <w:szCs w:val="20"/>
                <w:lang w:val="sr-Cyrl-RS" w:eastAsia="en-GB"/>
              </w:rPr>
              <w:t>6.1.8</w:t>
            </w:r>
            <w:r w:rsidR="00DC4004" w:rsidRPr="00EF2F18">
              <w:rPr>
                <w:rFonts w:eastAsia="Times New Roman" w:cs="Times New Roman"/>
                <w:color w:val="000000"/>
                <w:sz w:val="20"/>
                <w:szCs w:val="20"/>
                <w:lang w:val="sr-Cyrl-RS" w:eastAsia="en-GB"/>
              </w:rPr>
              <w:t>.7</w:t>
            </w:r>
            <w:r w:rsidRPr="00EF2F18">
              <w:rPr>
                <w:rFonts w:eastAsia="Times New Roman" w:cs="Times New Roman"/>
                <w:color w:val="000000"/>
                <w:sz w:val="20"/>
                <w:szCs w:val="20"/>
                <w:lang w:val="sr-Cyrl-RS" w:eastAsia="en-GB"/>
              </w:rPr>
              <w:t xml:space="preserve">. </w:t>
            </w:r>
            <w:r w:rsidR="00491EE4" w:rsidRPr="00EF2F18">
              <w:rPr>
                <w:rFonts w:eastAsia="Times New Roman" w:cs="Times New Roman"/>
                <w:color w:val="000000"/>
                <w:sz w:val="20"/>
                <w:szCs w:val="20"/>
                <w:lang w:val="sr-Cyrl-RS" w:eastAsia="en-GB"/>
              </w:rPr>
              <w:t>Усвајање и измена и допуна прописа којима се успоставља земљишна администрација као функционално-правни систем  који подржава имплементацију INSPIRE Директиве и релевантне европске иницијативе и којим се идентификују геоподаци кључни за имплементацију Зелене агенде</w:t>
            </w:r>
          </w:p>
        </w:tc>
        <w:tc>
          <w:tcPr>
            <w:tcW w:w="1209" w:type="dxa"/>
            <w:tcBorders>
              <w:top w:val="nil"/>
              <w:left w:val="nil"/>
              <w:bottom w:val="single" w:sz="4" w:space="0" w:color="auto"/>
              <w:right w:val="single" w:sz="4" w:space="0" w:color="auto"/>
            </w:tcBorders>
            <w:hideMark/>
          </w:tcPr>
          <w:p w14:paraId="1449101D"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РГЗ</w:t>
            </w:r>
          </w:p>
        </w:tc>
        <w:tc>
          <w:tcPr>
            <w:tcW w:w="1244" w:type="dxa"/>
            <w:tcBorders>
              <w:top w:val="nil"/>
              <w:left w:val="nil"/>
              <w:bottom w:val="single" w:sz="4" w:space="0" w:color="auto"/>
              <w:right w:val="single" w:sz="4" w:space="0" w:color="auto"/>
            </w:tcBorders>
            <w:hideMark/>
          </w:tcPr>
          <w:p w14:paraId="51FBE860" w14:textId="7777777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r w:rsidRPr="00EF2F18">
              <w:rPr>
                <w:rFonts w:cs="Times New Roman"/>
                <w:sz w:val="20"/>
                <w:szCs w:val="20"/>
                <w:lang w:val="sr-Cyrl-RS"/>
              </w:rPr>
              <w:t>МЗЖС</w:t>
            </w:r>
          </w:p>
        </w:tc>
        <w:tc>
          <w:tcPr>
            <w:tcW w:w="1273" w:type="dxa"/>
            <w:tcBorders>
              <w:top w:val="nil"/>
              <w:left w:val="nil"/>
              <w:bottom w:val="single" w:sz="4" w:space="0" w:color="auto"/>
              <w:right w:val="single" w:sz="4" w:space="0" w:color="auto"/>
            </w:tcBorders>
            <w:hideMark/>
          </w:tcPr>
          <w:p w14:paraId="480E7B6C" w14:textId="0CAD0717"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w:t>
            </w:r>
            <w:r w:rsidR="00491EE4" w:rsidRPr="00EF2F18">
              <w:rPr>
                <w:rFonts w:eastAsia="Times New Roman" w:cs="Times New Roman"/>
                <w:color w:val="000000"/>
                <w:sz w:val="20"/>
                <w:szCs w:val="20"/>
                <w:lang w:val="sr-Cyrl-RS" w:eastAsia="en-GB"/>
              </w:rPr>
              <w:t>2</w:t>
            </w:r>
            <w:r w:rsidR="002A4612" w:rsidRPr="00EF2F18">
              <w:rPr>
                <w:rFonts w:eastAsia="Times New Roman" w:cs="Times New Roman"/>
                <w:color w:val="000000"/>
                <w:sz w:val="20"/>
                <w:szCs w:val="20"/>
                <w:lang w:val="sr-Cyrl-RS" w:eastAsia="en-GB"/>
              </w:rPr>
              <w:t>7.</w:t>
            </w:r>
          </w:p>
        </w:tc>
        <w:tc>
          <w:tcPr>
            <w:tcW w:w="1994" w:type="dxa"/>
            <w:tcBorders>
              <w:top w:val="nil"/>
              <w:left w:val="nil"/>
              <w:bottom w:val="single" w:sz="4" w:space="0" w:color="auto"/>
              <w:right w:val="single" w:sz="4" w:space="0" w:color="auto"/>
            </w:tcBorders>
            <w:hideMark/>
          </w:tcPr>
          <w:p w14:paraId="6EA1C230" w14:textId="39827CC2" w:rsidR="00E67F4F" w:rsidRPr="00EF2F18" w:rsidRDefault="00E67F4F"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4" w:space="0" w:color="auto"/>
              <w:right w:val="single" w:sz="4" w:space="0" w:color="auto"/>
            </w:tcBorders>
          </w:tcPr>
          <w:p w14:paraId="4EA3911D" w14:textId="20F34130" w:rsidR="00E67F4F" w:rsidRPr="00EF2F18" w:rsidRDefault="00E67F4F" w:rsidP="00752CA0">
            <w:pPr>
              <w:spacing w:after="0"/>
              <w:rPr>
                <w:rFonts w:eastAsia="Times New Roman" w:cs="Times New Roman"/>
                <w:color w:val="000000"/>
                <w:sz w:val="20"/>
                <w:szCs w:val="20"/>
                <w:lang w:val="sr-Cyrl-RS" w:eastAsia="en-GB"/>
              </w:rPr>
            </w:pPr>
          </w:p>
        </w:tc>
        <w:tc>
          <w:tcPr>
            <w:tcW w:w="1086" w:type="dxa"/>
            <w:tcBorders>
              <w:top w:val="nil"/>
              <w:left w:val="nil"/>
              <w:bottom w:val="single" w:sz="4" w:space="0" w:color="auto"/>
              <w:right w:val="single" w:sz="4" w:space="0" w:color="auto"/>
            </w:tcBorders>
          </w:tcPr>
          <w:p w14:paraId="300ED737" w14:textId="12FF720E" w:rsidR="00E67F4F" w:rsidRPr="00EF2F18" w:rsidRDefault="00E67F4F"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4" w:space="0" w:color="auto"/>
              <w:right w:val="single" w:sz="4" w:space="0" w:color="auto"/>
            </w:tcBorders>
          </w:tcPr>
          <w:p w14:paraId="446337EA" w14:textId="74EBBEB1" w:rsidR="00E67F4F" w:rsidRPr="00EF2F18" w:rsidRDefault="00E67F4F"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4" w:space="0" w:color="auto"/>
              <w:right w:val="double" w:sz="4" w:space="0" w:color="auto"/>
            </w:tcBorders>
          </w:tcPr>
          <w:p w14:paraId="2D64EB2B" w14:textId="0F6370D1" w:rsidR="00E67F4F" w:rsidRPr="00EF2F18" w:rsidRDefault="00E67F4F" w:rsidP="00752CA0">
            <w:pPr>
              <w:spacing w:after="0"/>
              <w:jc w:val="right"/>
              <w:rPr>
                <w:rFonts w:eastAsia="Times New Roman" w:cs="Times New Roman"/>
                <w:color w:val="000000"/>
                <w:sz w:val="20"/>
                <w:szCs w:val="20"/>
                <w:lang w:val="sr-Cyrl-RS" w:eastAsia="en-GB"/>
              </w:rPr>
            </w:pPr>
          </w:p>
        </w:tc>
      </w:tr>
      <w:tr w:rsidR="00E67F4F" w:rsidRPr="00EF2F18" w14:paraId="773EE301" w14:textId="77777777" w:rsidTr="001664F3">
        <w:trPr>
          <w:trHeight w:val="1848"/>
        </w:trPr>
        <w:tc>
          <w:tcPr>
            <w:tcW w:w="2549" w:type="dxa"/>
            <w:tcBorders>
              <w:top w:val="single" w:sz="4" w:space="0" w:color="auto"/>
              <w:left w:val="double" w:sz="4" w:space="0" w:color="auto"/>
              <w:bottom w:val="single" w:sz="4" w:space="0" w:color="auto"/>
              <w:right w:val="single" w:sz="4" w:space="0" w:color="auto"/>
            </w:tcBorders>
            <w:hideMark/>
          </w:tcPr>
          <w:p w14:paraId="472C977D" w14:textId="62C38D3D"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6.1.8.</w:t>
            </w:r>
            <w:r w:rsidR="00DC4004" w:rsidRPr="00EF2F18">
              <w:rPr>
                <w:rFonts w:eastAsia="Times New Roman" w:cs="Times New Roman"/>
                <w:color w:val="000000"/>
                <w:sz w:val="20"/>
                <w:szCs w:val="20"/>
                <w:lang w:val="sr-Cyrl-RS" w:eastAsia="en-GB"/>
              </w:rPr>
              <w:t>8</w:t>
            </w:r>
            <w:r w:rsidRPr="00EF2F18">
              <w:rPr>
                <w:rFonts w:eastAsia="Times New Roman" w:cs="Times New Roman"/>
                <w:color w:val="000000"/>
                <w:sz w:val="20"/>
                <w:szCs w:val="20"/>
                <w:lang w:val="sr-Cyrl-RS" w:eastAsia="en-GB"/>
              </w:rPr>
              <w:t xml:space="preserve">. Надограђивање и функционално унапређење апликативног решења за публиковање и коришћење података и метаподатака на националном геопорталу значајних за имплементацију Зелене агенде </w:t>
            </w:r>
          </w:p>
        </w:tc>
        <w:tc>
          <w:tcPr>
            <w:tcW w:w="1209" w:type="dxa"/>
            <w:tcBorders>
              <w:top w:val="single" w:sz="4" w:space="0" w:color="auto"/>
              <w:left w:val="nil"/>
              <w:bottom w:val="single" w:sz="4" w:space="0" w:color="auto"/>
              <w:right w:val="single" w:sz="4" w:space="0" w:color="auto"/>
            </w:tcBorders>
            <w:hideMark/>
          </w:tcPr>
          <w:p w14:paraId="14BC7F3D"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РГЗ</w:t>
            </w:r>
          </w:p>
        </w:tc>
        <w:tc>
          <w:tcPr>
            <w:tcW w:w="1244" w:type="dxa"/>
            <w:tcBorders>
              <w:top w:val="single" w:sz="4" w:space="0" w:color="auto"/>
              <w:left w:val="nil"/>
              <w:bottom w:val="single" w:sz="4" w:space="0" w:color="auto"/>
              <w:right w:val="single" w:sz="4" w:space="0" w:color="auto"/>
            </w:tcBorders>
            <w:hideMark/>
          </w:tcPr>
          <w:p w14:paraId="1E69FF0F"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r w:rsidRPr="00EF2F18">
              <w:rPr>
                <w:rFonts w:cs="Times New Roman"/>
                <w:sz w:val="20"/>
                <w:szCs w:val="20"/>
                <w:lang w:val="sr-Cyrl-RS"/>
              </w:rPr>
              <w:t>МЗЖС</w:t>
            </w:r>
          </w:p>
        </w:tc>
        <w:tc>
          <w:tcPr>
            <w:tcW w:w="1273" w:type="dxa"/>
            <w:tcBorders>
              <w:top w:val="single" w:sz="4" w:space="0" w:color="auto"/>
              <w:left w:val="nil"/>
              <w:bottom w:val="single" w:sz="4" w:space="0" w:color="auto"/>
              <w:right w:val="single" w:sz="4" w:space="0" w:color="auto"/>
            </w:tcBorders>
            <w:hideMark/>
          </w:tcPr>
          <w:p w14:paraId="636AA941"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994" w:type="dxa"/>
            <w:tcBorders>
              <w:top w:val="single" w:sz="4" w:space="0" w:color="auto"/>
              <w:left w:val="nil"/>
              <w:bottom w:val="single" w:sz="4" w:space="0" w:color="auto"/>
              <w:right w:val="single" w:sz="4" w:space="0" w:color="auto"/>
            </w:tcBorders>
            <w:hideMark/>
          </w:tcPr>
          <w:p w14:paraId="4BA67775" w14:textId="77777777" w:rsidR="00E67F4F" w:rsidRPr="00EF2F18" w:rsidRDefault="00E67F4F" w:rsidP="000F7A86">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Примања од иностраних задуживања</w:t>
            </w:r>
          </w:p>
          <w:p w14:paraId="0DEC1568" w14:textId="574709CE" w:rsidR="00E67F4F" w:rsidRPr="00EF2F18" w:rsidRDefault="00E67F4F" w:rsidP="000F7A86">
            <w:pPr>
              <w:spacing w:after="0"/>
              <w:rPr>
                <w:rFonts w:eastAsia="Times New Roman" w:cs="Times New Roman"/>
                <w:color w:val="000000"/>
                <w:sz w:val="20"/>
                <w:szCs w:val="20"/>
                <w:lang w:val="sr-Cyrl-RS" w:eastAsia="en-GB"/>
              </w:rPr>
            </w:pPr>
          </w:p>
        </w:tc>
        <w:tc>
          <w:tcPr>
            <w:tcW w:w="1340" w:type="dxa"/>
            <w:tcBorders>
              <w:top w:val="single" w:sz="4" w:space="0" w:color="auto"/>
              <w:left w:val="nil"/>
              <w:bottom w:val="single" w:sz="4" w:space="0" w:color="auto"/>
              <w:right w:val="single" w:sz="4" w:space="0" w:color="auto"/>
            </w:tcBorders>
          </w:tcPr>
          <w:p w14:paraId="34FDF4BF" w14:textId="7D2AC9F8"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1102-410-4002-515</w:t>
            </w:r>
          </w:p>
        </w:tc>
        <w:tc>
          <w:tcPr>
            <w:tcW w:w="1086" w:type="dxa"/>
            <w:tcBorders>
              <w:top w:val="single" w:sz="4" w:space="0" w:color="auto"/>
              <w:left w:val="nil"/>
              <w:bottom w:val="single" w:sz="4" w:space="0" w:color="auto"/>
              <w:right w:val="single" w:sz="4" w:space="0" w:color="auto"/>
            </w:tcBorders>
          </w:tcPr>
          <w:p w14:paraId="46E41D63" w14:textId="723A35CF" w:rsidR="00E67F4F" w:rsidRPr="00EF2F18" w:rsidRDefault="00E67F4F"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11.716,4</w:t>
            </w:r>
          </w:p>
        </w:tc>
        <w:tc>
          <w:tcPr>
            <w:tcW w:w="1260" w:type="dxa"/>
            <w:tcBorders>
              <w:top w:val="single" w:sz="4" w:space="0" w:color="auto"/>
              <w:left w:val="nil"/>
              <w:bottom w:val="single" w:sz="4" w:space="0" w:color="auto"/>
              <w:right w:val="single" w:sz="4" w:space="0" w:color="auto"/>
            </w:tcBorders>
          </w:tcPr>
          <w:p w14:paraId="38483B47" w14:textId="174FC212" w:rsidR="00E67F4F" w:rsidRPr="00EF2F18" w:rsidRDefault="009223D0"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c>
          <w:tcPr>
            <w:tcW w:w="1710" w:type="dxa"/>
            <w:tcBorders>
              <w:top w:val="single" w:sz="4" w:space="0" w:color="auto"/>
              <w:left w:val="nil"/>
              <w:bottom w:val="single" w:sz="4" w:space="0" w:color="auto"/>
              <w:right w:val="double" w:sz="4" w:space="0" w:color="auto"/>
            </w:tcBorders>
          </w:tcPr>
          <w:p w14:paraId="4616E43D" w14:textId="69D4FDC2" w:rsidR="00E67F4F" w:rsidRPr="00EF2F18" w:rsidRDefault="009223D0"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22.604,4</w:t>
            </w:r>
            <w:r w:rsidR="00E67F4F" w:rsidRPr="00EF2F18">
              <w:rPr>
                <w:rFonts w:eastAsia="Times New Roman" w:cs="Times New Roman"/>
                <w:color w:val="000000"/>
                <w:sz w:val="20"/>
                <w:szCs w:val="20"/>
                <w:lang w:val="sr-Cyrl-RS" w:eastAsia="en-GB"/>
              </w:rPr>
              <w:t>*</w:t>
            </w:r>
          </w:p>
        </w:tc>
      </w:tr>
      <w:tr w:rsidR="00E67F4F" w:rsidRPr="00EF2F18" w14:paraId="7858D4D8" w14:textId="77777777" w:rsidTr="00EF0900">
        <w:trPr>
          <w:trHeight w:val="1320"/>
        </w:trPr>
        <w:tc>
          <w:tcPr>
            <w:tcW w:w="2549" w:type="dxa"/>
            <w:tcBorders>
              <w:top w:val="nil"/>
              <w:left w:val="double" w:sz="4" w:space="0" w:color="auto"/>
              <w:bottom w:val="single" w:sz="4" w:space="0" w:color="auto"/>
              <w:right w:val="single" w:sz="4" w:space="0" w:color="auto"/>
            </w:tcBorders>
            <w:hideMark/>
          </w:tcPr>
          <w:p w14:paraId="42979E51" w14:textId="4BEC23E1"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6.1.8.</w:t>
            </w:r>
            <w:r w:rsidR="00DC4004" w:rsidRPr="00EF2F18">
              <w:rPr>
                <w:rFonts w:eastAsia="Times New Roman" w:cs="Times New Roman"/>
                <w:color w:val="000000"/>
                <w:sz w:val="20"/>
                <w:szCs w:val="20"/>
                <w:lang w:val="sr-Cyrl-RS" w:eastAsia="en-GB"/>
              </w:rPr>
              <w:t>9</w:t>
            </w:r>
            <w:r w:rsidRPr="00EF2F18">
              <w:rPr>
                <w:rFonts w:eastAsia="Times New Roman" w:cs="Times New Roman"/>
                <w:color w:val="000000"/>
                <w:sz w:val="20"/>
                <w:szCs w:val="20"/>
                <w:lang w:val="sr-Cyrl-RS" w:eastAsia="en-GB"/>
              </w:rPr>
              <w:t xml:space="preserve">. </w:t>
            </w:r>
            <w:r w:rsidR="00491EE4" w:rsidRPr="00EF2F18">
              <w:rPr>
                <w:rFonts w:eastAsia="Times New Roman" w:cs="Times New Roman"/>
                <w:color w:val="000000"/>
                <w:sz w:val="20"/>
                <w:szCs w:val="20"/>
                <w:lang w:val="sr-Cyrl-RS" w:eastAsia="en-GB"/>
              </w:rPr>
              <w:t>Унапређење продукционог и  дистрибуционог система просторних и непросторних података и сервиса значајних за имплементацију Зелене агенде, укључујући  управљање ризицима од катастрофа и другим подацима од значаја за одрживо управљање ресурсима и планирање просторног развоја</w:t>
            </w:r>
          </w:p>
        </w:tc>
        <w:tc>
          <w:tcPr>
            <w:tcW w:w="1209" w:type="dxa"/>
            <w:tcBorders>
              <w:top w:val="nil"/>
              <w:left w:val="nil"/>
              <w:bottom w:val="single" w:sz="4" w:space="0" w:color="auto"/>
              <w:right w:val="single" w:sz="4" w:space="0" w:color="auto"/>
            </w:tcBorders>
            <w:hideMark/>
          </w:tcPr>
          <w:p w14:paraId="4DA15421"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РГЗ</w:t>
            </w:r>
          </w:p>
        </w:tc>
        <w:tc>
          <w:tcPr>
            <w:tcW w:w="1244" w:type="dxa"/>
            <w:tcBorders>
              <w:top w:val="nil"/>
              <w:left w:val="nil"/>
              <w:bottom w:val="single" w:sz="4" w:space="0" w:color="auto"/>
              <w:right w:val="single" w:sz="4" w:space="0" w:color="auto"/>
            </w:tcBorders>
            <w:hideMark/>
          </w:tcPr>
          <w:p w14:paraId="41255380"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r w:rsidRPr="00EF2F18">
              <w:rPr>
                <w:rFonts w:cs="Times New Roman"/>
                <w:sz w:val="20"/>
                <w:szCs w:val="20"/>
                <w:lang w:val="sr-Cyrl-RS"/>
              </w:rPr>
              <w:t>МЗЖС</w:t>
            </w:r>
          </w:p>
        </w:tc>
        <w:tc>
          <w:tcPr>
            <w:tcW w:w="1273" w:type="dxa"/>
            <w:tcBorders>
              <w:top w:val="nil"/>
              <w:left w:val="nil"/>
              <w:bottom w:val="single" w:sz="4" w:space="0" w:color="auto"/>
              <w:right w:val="single" w:sz="4" w:space="0" w:color="auto"/>
            </w:tcBorders>
            <w:hideMark/>
          </w:tcPr>
          <w:p w14:paraId="5001235A"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994" w:type="dxa"/>
            <w:tcBorders>
              <w:top w:val="nil"/>
              <w:left w:val="nil"/>
              <w:bottom w:val="single" w:sz="4" w:space="0" w:color="auto"/>
              <w:right w:val="single" w:sz="4" w:space="0" w:color="auto"/>
            </w:tcBorders>
            <w:hideMark/>
          </w:tcPr>
          <w:p w14:paraId="291A0DB8" w14:textId="77777777" w:rsidR="00E67F4F" w:rsidRPr="00EF2F18" w:rsidRDefault="00E67F4F" w:rsidP="000F7A86">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sr-Cyrl-RS"/>
              </w:rPr>
              <w:t>Примања од иностраних задуживања</w:t>
            </w:r>
          </w:p>
          <w:p w14:paraId="56B602F8" w14:textId="5B500278" w:rsidR="00E67F4F" w:rsidRPr="00EF2F18" w:rsidRDefault="00E67F4F" w:rsidP="000F7A86">
            <w:pPr>
              <w:spacing w:after="0"/>
              <w:rPr>
                <w:rFonts w:eastAsia="Times New Roman" w:cs="Times New Roman"/>
                <w:color w:val="000000"/>
                <w:sz w:val="20"/>
                <w:szCs w:val="20"/>
                <w:lang w:val="sr-Cyrl-RS" w:eastAsia="en-GB"/>
              </w:rPr>
            </w:pPr>
          </w:p>
        </w:tc>
        <w:tc>
          <w:tcPr>
            <w:tcW w:w="1340" w:type="dxa"/>
            <w:tcBorders>
              <w:top w:val="nil"/>
              <w:left w:val="nil"/>
              <w:bottom w:val="single" w:sz="4" w:space="0" w:color="auto"/>
              <w:right w:val="single" w:sz="4" w:space="0" w:color="auto"/>
            </w:tcBorders>
          </w:tcPr>
          <w:p w14:paraId="1F9CC4AE" w14:textId="288BFD6B"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1102-410-4002-515</w:t>
            </w:r>
          </w:p>
        </w:tc>
        <w:tc>
          <w:tcPr>
            <w:tcW w:w="1086" w:type="dxa"/>
            <w:tcBorders>
              <w:top w:val="nil"/>
              <w:left w:val="nil"/>
              <w:bottom w:val="single" w:sz="4" w:space="0" w:color="auto"/>
              <w:right w:val="single" w:sz="4" w:space="0" w:color="auto"/>
            </w:tcBorders>
          </w:tcPr>
          <w:p w14:paraId="05315AB1" w14:textId="78704B92" w:rsidR="00E67F4F" w:rsidRPr="00EF2F18" w:rsidRDefault="00E67F4F"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46.865,6</w:t>
            </w:r>
          </w:p>
        </w:tc>
        <w:tc>
          <w:tcPr>
            <w:tcW w:w="1260" w:type="dxa"/>
            <w:tcBorders>
              <w:top w:val="nil"/>
              <w:left w:val="nil"/>
              <w:bottom w:val="single" w:sz="4" w:space="0" w:color="auto"/>
              <w:right w:val="single" w:sz="4" w:space="0" w:color="auto"/>
            </w:tcBorders>
          </w:tcPr>
          <w:p w14:paraId="5170DB84" w14:textId="2B17F7C9" w:rsidR="00E67F4F" w:rsidRPr="00EF2F18" w:rsidRDefault="009223D0"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18.001</w:t>
            </w:r>
          </w:p>
        </w:tc>
        <w:tc>
          <w:tcPr>
            <w:tcW w:w="1710" w:type="dxa"/>
            <w:tcBorders>
              <w:top w:val="nil"/>
              <w:left w:val="nil"/>
              <w:bottom w:val="single" w:sz="4" w:space="0" w:color="auto"/>
              <w:right w:val="double" w:sz="4" w:space="0" w:color="auto"/>
            </w:tcBorders>
          </w:tcPr>
          <w:p w14:paraId="71A23F07" w14:textId="51899A9B" w:rsidR="00E67F4F" w:rsidRPr="00EF2F18" w:rsidRDefault="009223D0"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75.730,2</w:t>
            </w:r>
            <w:r w:rsidR="00E67F4F" w:rsidRPr="00EF2F18">
              <w:rPr>
                <w:rFonts w:eastAsia="Times New Roman" w:cs="Times New Roman"/>
                <w:color w:val="000000"/>
                <w:sz w:val="20"/>
                <w:szCs w:val="20"/>
                <w:lang w:val="sr-Cyrl-RS" w:eastAsia="en-GB"/>
              </w:rPr>
              <w:t>*</w:t>
            </w:r>
          </w:p>
        </w:tc>
      </w:tr>
      <w:tr w:rsidR="00E67F4F" w:rsidRPr="00EF2F18" w14:paraId="3C61DD23" w14:textId="77777777" w:rsidTr="00EF0900">
        <w:trPr>
          <w:trHeight w:val="792"/>
        </w:trPr>
        <w:tc>
          <w:tcPr>
            <w:tcW w:w="2549" w:type="dxa"/>
            <w:tcBorders>
              <w:top w:val="nil"/>
              <w:left w:val="double" w:sz="4" w:space="0" w:color="auto"/>
              <w:bottom w:val="double" w:sz="4" w:space="0" w:color="auto"/>
              <w:right w:val="single" w:sz="4" w:space="0" w:color="auto"/>
            </w:tcBorders>
            <w:hideMark/>
          </w:tcPr>
          <w:p w14:paraId="7574244D" w14:textId="67B6CB11"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6.1.8.1</w:t>
            </w:r>
            <w:r w:rsidR="00491EE4" w:rsidRPr="00EF2F18">
              <w:rPr>
                <w:rFonts w:eastAsia="Times New Roman" w:cs="Times New Roman"/>
                <w:color w:val="000000"/>
                <w:sz w:val="20"/>
                <w:szCs w:val="20"/>
                <w:lang w:val="sr-Cyrl-RS" w:eastAsia="en-GB"/>
              </w:rPr>
              <w:t>0</w:t>
            </w:r>
            <w:r w:rsidRPr="00EF2F18">
              <w:rPr>
                <w:rFonts w:eastAsia="Times New Roman" w:cs="Times New Roman"/>
                <w:color w:val="000000"/>
                <w:sz w:val="20"/>
                <w:szCs w:val="20"/>
                <w:lang w:val="sr-Cyrl-RS" w:eastAsia="en-GB"/>
              </w:rPr>
              <w:t>. Реструктуирање постојећег Центра за управљање геопросторним подацима</w:t>
            </w:r>
          </w:p>
        </w:tc>
        <w:tc>
          <w:tcPr>
            <w:tcW w:w="1209" w:type="dxa"/>
            <w:tcBorders>
              <w:top w:val="nil"/>
              <w:left w:val="nil"/>
              <w:bottom w:val="double" w:sz="4" w:space="0" w:color="auto"/>
              <w:right w:val="single" w:sz="4" w:space="0" w:color="auto"/>
            </w:tcBorders>
            <w:hideMark/>
          </w:tcPr>
          <w:p w14:paraId="03A197F6"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РГЗ</w:t>
            </w:r>
          </w:p>
        </w:tc>
        <w:tc>
          <w:tcPr>
            <w:tcW w:w="1244" w:type="dxa"/>
            <w:tcBorders>
              <w:top w:val="nil"/>
              <w:left w:val="nil"/>
              <w:bottom w:val="double" w:sz="4" w:space="0" w:color="auto"/>
              <w:right w:val="single" w:sz="4" w:space="0" w:color="auto"/>
            </w:tcBorders>
            <w:hideMark/>
          </w:tcPr>
          <w:p w14:paraId="694F60C0"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cs="Times New Roman"/>
                <w:sz w:val="20"/>
                <w:szCs w:val="20"/>
                <w:lang w:val="sr-Cyrl-RS"/>
              </w:rPr>
              <w:t>МФ, МГСИ, МЗЖС, субјекти НИГП-а</w:t>
            </w:r>
          </w:p>
        </w:tc>
        <w:tc>
          <w:tcPr>
            <w:tcW w:w="1273" w:type="dxa"/>
            <w:tcBorders>
              <w:top w:val="nil"/>
              <w:left w:val="nil"/>
              <w:bottom w:val="double" w:sz="4" w:space="0" w:color="auto"/>
              <w:right w:val="single" w:sz="4" w:space="0" w:color="auto"/>
            </w:tcBorders>
            <w:hideMark/>
          </w:tcPr>
          <w:p w14:paraId="253FA248" w14:textId="77777777"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994" w:type="dxa"/>
            <w:tcBorders>
              <w:top w:val="nil"/>
              <w:left w:val="nil"/>
              <w:bottom w:val="double" w:sz="4" w:space="0" w:color="auto"/>
              <w:right w:val="single" w:sz="4" w:space="0" w:color="auto"/>
            </w:tcBorders>
            <w:hideMark/>
          </w:tcPr>
          <w:p w14:paraId="154179A7" w14:textId="00D06808"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sr-Cyrl-RS"/>
              </w:rPr>
              <w:t>Примања од иностраних задуживања</w:t>
            </w:r>
          </w:p>
        </w:tc>
        <w:tc>
          <w:tcPr>
            <w:tcW w:w="1340" w:type="dxa"/>
            <w:tcBorders>
              <w:top w:val="nil"/>
              <w:left w:val="nil"/>
              <w:bottom w:val="double" w:sz="4" w:space="0" w:color="auto"/>
              <w:right w:val="single" w:sz="4" w:space="0" w:color="auto"/>
            </w:tcBorders>
          </w:tcPr>
          <w:p w14:paraId="0BE4B8D0" w14:textId="43C87BA4" w:rsidR="00E67F4F" w:rsidRPr="00EF2F18" w:rsidRDefault="00E67F4F" w:rsidP="000F7A8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1102-410-4002-423</w:t>
            </w:r>
          </w:p>
        </w:tc>
        <w:tc>
          <w:tcPr>
            <w:tcW w:w="1086" w:type="dxa"/>
            <w:tcBorders>
              <w:top w:val="nil"/>
              <w:left w:val="nil"/>
              <w:bottom w:val="double" w:sz="4" w:space="0" w:color="auto"/>
              <w:right w:val="single" w:sz="4" w:space="0" w:color="auto"/>
            </w:tcBorders>
          </w:tcPr>
          <w:p w14:paraId="78C6BDD1" w14:textId="56371EF7" w:rsidR="00E67F4F" w:rsidRPr="00EF2F18" w:rsidRDefault="00E67F4F" w:rsidP="000F7A86">
            <w:pPr>
              <w:spacing w:after="0"/>
              <w:jc w:val="right"/>
              <w:rPr>
                <w:rFonts w:eastAsia="Times New Roman" w:cs="Times New Roman"/>
                <w:color w:val="000000"/>
                <w:sz w:val="20"/>
                <w:szCs w:val="20"/>
                <w:lang w:val="sr-Cyrl-RS" w:eastAsia="en-GB"/>
              </w:rPr>
            </w:pPr>
          </w:p>
        </w:tc>
        <w:tc>
          <w:tcPr>
            <w:tcW w:w="1260" w:type="dxa"/>
            <w:tcBorders>
              <w:top w:val="nil"/>
              <w:left w:val="nil"/>
              <w:bottom w:val="double" w:sz="4" w:space="0" w:color="auto"/>
              <w:right w:val="single" w:sz="4" w:space="0" w:color="auto"/>
            </w:tcBorders>
          </w:tcPr>
          <w:p w14:paraId="7B6CF97A" w14:textId="379A8566" w:rsidR="00E67F4F" w:rsidRPr="00EF2F18" w:rsidRDefault="00E67F4F"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23.432,8</w:t>
            </w:r>
          </w:p>
        </w:tc>
        <w:tc>
          <w:tcPr>
            <w:tcW w:w="1710" w:type="dxa"/>
            <w:tcBorders>
              <w:top w:val="nil"/>
              <w:left w:val="nil"/>
              <w:bottom w:val="double" w:sz="4" w:space="0" w:color="auto"/>
              <w:right w:val="double" w:sz="4" w:space="0" w:color="auto"/>
            </w:tcBorders>
          </w:tcPr>
          <w:p w14:paraId="1EABB595" w14:textId="3DFC6C2D" w:rsidR="00E67F4F" w:rsidRPr="00EF2F18" w:rsidRDefault="00E67F4F" w:rsidP="000F7A86">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11.716,4*</w:t>
            </w:r>
          </w:p>
        </w:tc>
      </w:tr>
    </w:tbl>
    <w:p w14:paraId="116D508C" w14:textId="2BE23BBE" w:rsidR="007D7243" w:rsidRPr="00EF2F18" w:rsidRDefault="00E32B0A"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CB00D72" w14:textId="77777777" w:rsidR="00E32B0A" w:rsidRPr="00EF2F18" w:rsidRDefault="00E32B0A" w:rsidP="007D7243">
      <w:pPr>
        <w:rPr>
          <w:sz w:val="20"/>
          <w:szCs w:val="20"/>
          <w:lang w:val="sr-Cyrl-RS"/>
        </w:rPr>
      </w:pPr>
    </w:p>
    <w:tbl>
      <w:tblPr>
        <w:tblW w:w="13893" w:type="dxa"/>
        <w:tblLook w:val="04A0" w:firstRow="1" w:lastRow="0" w:firstColumn="1" w:lastColumn="0" w:noHBand="0" w:noVBand="1"/>
      </w:tblPr>
      <w:tblGrid>
        <w:gridCol w:w="3611"/>
        <w:gridCol w:w="1148"/>
        <w:gridCol w:w="1499"/>
        <w:gridCol w:w="1260"/>
        <w:gridCol w:w="1080"/>
        <w:gridCol w:w="1639"/>
        <w:gridCol w:w="1350"/>
        <w:gridCol w:w="2051"/>
        <w:gridCol w:w="19"/>
        <w:gridCol w:w="236"/>
      </w:tblGrid>
      <w:tr w:rsidR="007D7243" w:rsidRPr="00EF2F18" w14:paraId="0C3E1630" w14:textId="77777777" w:rsidTr="00AC090C">
        <w:trPr>
          <w:gridAfter w:val="2"/>
          <w:wAfter w:w="255" w:type="dxa"/>
          <w:trHeight w:val="528"/>
        </w:trPr>
        <w:tc>
          <w:tcPr>
            <w:tcW w:w="13638" w:type="dxa"/>
            <w:gridSpan w:val="8"/>
            <w:tcBorders>
              <w:top w:val="double" w:sz="6" w:space="0" w:color="auto"/>
              <w:left w:val="double" w:sz="6" w:space="0" w:color="auto"/>
              <w:bottom w:val="single" w:sz="8" w:space="0" w:color="auto"/>
              <w:right w:val="double" w:sz="6" w:space="0" w:color="auto"/>
            </w:tcBorders>
            <w:shd w:val="clear" w:color="000000" w:fill="C5E0B3"/>
            <w:hideMark/>
          </w:tcPr>
          <w:p w14:paraId="29B7D39E"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6.2: Обезбеђивање заштите права на здраву и очувану животну средину, приступa информацијама, учешћа јавности у доношењу одлука и правнe заштитe у питањима у вези са животном средином</w:t>
            </w:r>
          </w:p>
        </w:tc>
      </w:tr>
      <w:tr w:rsidR="007D7243" w:rsidRPr="00EF2F18" w14:paraId="45021CDE" w14:textId="77777777" w:rsidTr="00AC090C">
        <w:trPr>
          <w:gridAfter w:val="2"/>
          <w:wAfter w:w="255" w:type="dxa"/>
          <w:trHeight w:val="324"/>
        </w:trPr>
        <w:tc>
          <w:tcPr>
            <w:tcW w:w="13638" w:type="dxa"/>
            <w:gridSpan w:val="8"/>
            <w:tcBorders>
              <w:top w:val="single" w:sz="8" w:space="0" w:color="auto"/>
              <w:left w:val="double" w:sz="6" w:space="0" w:color="auto"/>
              <w:bottom w:val="single" w:sz="8" w:space="0" w:color="auto"/>
              <w:right w:val="double" w:sz="6" w:space="0" w:color="auto"/>
            </w:tcBorders>
            <w:shd w:val="clear" w:color="000000" w:fill="C5E0B3"/>
            <w:hideMark/>
          </w:tcPr>
          <w:p w14:paraId="44E5F558"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 xml:space="preserve">Институција одговорна за координацију и извештавање: Министарство заштите животне средине </w:t>
            </w:r>
          </w:p>
        </w:tc>
      </w:tr>
      <w:tr w:rsidR="00AC090C" w:rsidRPr="00EF2F18" w14:paraId="2DDBC805" w14:textId="77777777" w:rsidTr="00AC090C">
        <w:trPr>
          <w:gridAfter w:val="1"/>
          <w:wAfter w:w="236" w:type="dxa"/>
          <w:trHeight w:val="468"/>
        </w:trPr>
        <w:tc>
          <w:tcPr>
            <w:tcW w:w="3611" w:type="dxa"/>
            <w:vMerge w:val="restart"/>
            <w:tcBorders>
              <w:top w:val="nil"/>
              <w:left w:val="double" w:sz="6" w:space="0" w:color="auto"/>
              <w:bottom w:val="single" w:sz="8" w:space="0" w:color="000000"/>
              <w:right w:val="single" w:sz="8" w:space="0" w:color="auto"/>
            </w:tcBorders>
            <w:shd w:val="clear" w:color="000000" w:fill="D9D9D9"/>
            <w:hideMark/>
          </w:tcPr>
          <w:p w14:paraId="7D1A39B3"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48" w:type="dxa"/>
            <w:vMerge w:val="restart"/>
            <w:tcBorders>
              <w:top w:val="nil"/>
              <w:left w:val="single" w:sz="8" w:space="0" w:color="auto"/>
              <w:bottom w:val="single" w:sz="8" w:space="0" w:color="000000"/>
              <w:right w:val="single" w:sz="8" w:space="0" w:color="auto"/>
            </w:tcBorders>
            <w:shd w:val="clear" w:color="000000" w:fill="D9D9D9"/>
            <w:hideMark/>
          </w:tcPr>
          <w:p w14:paraId="72248C0C"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499" w:type="dxa"/>
            <w:vMerge w:val="restart"/>
            <w:tcBorders>
              <w:top w:val="nil"/>
              <w:left w:val="single" w:sz="8" w:space="0" w:color="auto"/>
              <w:bottom w:val="single" w:sz="8" w:space="0" w:color="000000"/>
              <w:right w:val="single" w:sz="8" w:space="0" w:color="auto"/>
            </w:tcBorders>
            <w:shd w:val="clear" w:color="000000" w:fill="D9D9D9"/>
            <w:hideMark/>
          </w:tcPr>
          <w:p w14:paraId="7F1DAAA8"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260" w:type="dxa"/>
            <w:vMerge w:val="restart"/>
            <w:tcBorders>
              <w:top w:val="nil"/>
              <w:left w:val="single" w:sz="8" w:space="0" w:color="auto"/>
              <w:bottom w:val="single" w:sz="8" w:space="0" w:color="000000"/>
              <w:right w:val="single" w:sz="8" w:space="0" w:color="auto"/>
            </w:tcBorders>
            <w:shd w:val="clear" w:color="000000" w:fill="D9D9D9"/>
            <w:hideMark/>
          </w:tcPr>
          <w:p w14:paraId="3028EA70"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080" w:type="dxa"/>
            <w:vMerge w:val="restart"/>
            <w:tcBorders>
              <w:top w:val="nil"/>
              <w:left w:val="single" w:sz="8" w:space="0" w:color="auto"/>
              <w:bottom w:val="single" w:sz="8" w:space="0" w:color="000000"/>
              <w:right w:val="single" w:sz="8" w:space="0" w:color="auto"/>
            </w:tcBorders>
            <w:shd w:val="clear" w:color="000000" w:fill="D9D9D9"/>
            <w:hideMark/>
          </w:tcPr>
          <w:p w14:paraId="2CB6AAD2"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639" w:type="dxa"/>
            <w:vMerge w:val="restart"/>
            <w:tcBorders>
              <w:top w:val="nil"/>
              <w:left w:val="single" w:sz="8" w:space="0" w:color="auto"/>
              <w:bottom w:val="single" w:sz="8" w:space="0" w:color="000000"/>
              <w:right w:val="single" w:sz="8" w:space="0" w:color="auto"/>
            </w:tcBorders>
            <w:shd w:val="clear" w:color="000000" w:fill="D9D9D9"/>
            <w:hideMark/>
          </w:tcPr>
          <w:p w14:paraId="5B8724AF"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50" w:type="dxa"/>
            <w:vMerge w:val="restart"/>
            <w:tcBorders>
              <w:top w:val="nil"/>
              <w:left w:val="single" w:sz="8" w:space="0" w:color="auto"/>
              <w:bottom w:val="single" w:sz="8" w:space="0" w:color="000000"/>
              <w:right w:val="single" w:sz="8" w:space="0" w:color="auto"/>
            </w:tcBorders>
            <w:shd w:val="clear" w:color="000000" w:fill="D9D9D9"/>
            <w:hideMark/>
          </w:tcPr>
          <w:p w14:paraId="6A973B58"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2070" w:type="dxa"/>
            <w:gridSpan w:val="2"/>
            <w:vMerge w:val="restart"/>
            <w:tcBorders>
              <w:top w:val="nil"/>
              <w:left w:val="single" w:sz="8" w:space="0" w:color="auto"/>
              <w:bottom w:val="single" w:sz="8" w:space="0" w:color="000000"/>
              <w:right w:val="double" w:sz="6" w:space="0" w:color="auto"/>
            </w:tcBorders>
            <w:shd w:val="clear" w:color="000000" w:fill="D9D9D9"/>
            <w:hideMark/>
          </w:tcPr>
          <w:p w14:paraId="46CC7CC7"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AC090C" w:rsidRPr="00EF2F18" w14:paraId="36DE7C4A" w14:textId="77777777" w:rsidTr="00AC090C">
        <w:trPr>
          <w:trHeight w:val="324"/>
        </w:trPr>
        <w:tc>
          <w:tcPr>
            <w:tcW w:w="3611" w:type="dxa"/>
            <w:vMerge/>
            <w:tcBorders>
              <w:top w:val="nil"/>
              <w:left w:val="double" w:sz="6" w:space="0" w:color="auto"/>
              <w:bottom w:val="single" w:sz="8" w:space="0" w:color="000000"/>
              <w:right w:val="single" w:sz="8" w:space="0" w:color="auto"/>
            </w:tcBorders>
            <w:hideMark/>
          </w:tcPr>
          <w:p w14:paraId="6395269B" w14:textId="77777777" w:rsidR="00AC090C" w:rsidRPr="00EF2F18" w:rsidRDefault="00AC090C" w:rsidP="00752CA0">
            <w:pPr>
              <w:spacing w:after="0"/>
              <w:rPr>
                <w:rFonts w:eastAsia="Times New Roman" w:cs="Times New Roman"/>
                <w:color w:val="000000"/>
                <w:sz w:val="20"/>
                <w:szCs w:val="20"/>
                <w:lang w:val="sr-Cyrl-RS" w:eastAsia="en-GB"/>
              </w:rPr>
            </w:pPr>
          </w:p>
        </w:tc>
        <w:tc>
          <w:tcPr>
            <w:tcW w:w="1148" w:type="dxa"/>
            <w:vMerge/>
            <w:tcBorders>
              <w:top w:val="nil"/>
              <w:left w:val="single" w:sz="8" w:space="0" w:color="auto"/>
              <w:bottom w:val="single" w:sz="8" w:space="0" w:color="000000"/>
              <w:right w:val="single" w:sz="8" w:space="0" w:color="auto"/>
            </w:tcBorders>
            <w:hideMark/>
          </w:tcPr>
          <w:p w14:paraId="6BF6EA63" w14:textId="77777777" w:rsidR="00AC090C" w:rsidRPr="00EF2F18" w:rsidRDefault="00AC090C" w:rsidP="00752CA0">
            <w:pPr>
              <w:spacing w:after="0"/>
              <w:rPr>
                <w:rFonts w:eastAsia="Times New Roman" w:cs="Times New Roman"/>
                <w:color w:val="000000"/>
                <w:sz w:val="20"/>
                <w:szCs w:val="20"/>
                <w:lang w:val="sr-Cyrl-RS" w:eastAsia="en-GB"/>
              </w:rPr>
            </w:pPr>
          </w:p>
        </w:tc>
        <w:tc>
          <w:tcPr>
            <w:tcW w:w="1499" w:type="dxa"/>
            <w:vMerge/>
            <w:tcBorders>
              <w:top w:val="nil"/>
              <w:left w:val="single" w:sz="8" w:space="0" w:color="auto"/>
              <w:bottom w:val="single" w:sz="8" w:space="0" w:color="000000"/>
              <w:right w:val="single" w:sz="8" w:space="0" w:color="auto"/>
            </w:tcBorders>
            <w:hideMark/>
          </w:tcPr>
          <w:p w14:paraId="7A8ACF3F" w14:textId="77777777" w:rsidR="00AC090C" w:rsidRPr="00EF2F18" w:rsidRDefault="00AC090C" w:rsidP="00752CA0">
            <w:pPr>
              <w:spacing w:after="0"/>
              <w:rPr>
                <w:rFonts w:eastAsia="Times New Roman" w:cs="Times New Roman"/>
                <w:color w:val="000000"/>
                <w:sz w:val="20"/>
                <w:szCs w:val="20"/>
                <w:lang w:val="sr-Cyrl-RS" w:eastAsia="en-GB"/>
              </w:rPr>
            </w:pPr>
          </w:p>
        </w:tc>
        <w:tc>
          <w:tcPr>
            <w:tcW w:w="1260" w:type="dxa"/>
            <w:vMerge/>
            <w:tcBorders>
              <w:top w:val="nil"/>
              <w:left w:val="single" w:sz="8" w:space="0" w:color="auto"/>
              <w:bottom w:val="single" w:sz="8" w:space="0" w:color="000000"/>
              <w:right w:val="single" w:sz="8" w:space="0" w:color="auto"/>
            </w:tcBorders>
            <w:hideMark/>
          </w:tcPr>
          <w:p w14:paraId="3A3DAAAF" w14:textId="77777777" w:rsidR="00AC090C" w:rsidRPr="00EF2F18" w:rsidRDefault="00AC090C" w:rsidP="00752CA0">
            <w:pPr>
              <w:spacing w:after="0"/>
              <w:rPr>
                <w:rFonts w:eastAsia="Times New Roman" w:cs="Times New Roman"/>
                <w:color w:val="000000"/>
                <w:sz w:val="20"/>
                <w:szCs w:val="20"/>
                <w:lang w:val="sr-Cyrl-RS" w:eastAsia="en-GB"/>
              </w:rPr>
            </w:pPr>
          </w:p>
        </w:tc>
        <w:tc>
          <w:tcPr>
            <w:tcW w:w="1080" w:type="dxa"/>
            <w:vMerge/>
            <w:tcBorders>
              <w:top w:val="nil"/>
              <w:left w:val="single" w:sz="8" w:space="0" w:color="auto"/>
              <w:bottom w:val="single" w:sz="8" w:space="0" w:color="000000"/>
              <w:right w:val="single" w:sz="8" w:space="0" w:color="auto"/>
            </w:tcBorders>
            <w:hideMark/>
          </w:tcPr>
          <w:p w14:paraId="6AC9CCB8" w14:textId="77777777" w:rsidR="00AC090C" w:rsidRPr="00EF2F18" w:rsidRDefault="00AC090C" w:rsidP="00752CA0">
            <w:pPr>
              <w:spacing w:after="0"/>
              <w:rPr>
                <w:rFonts w:eastAsia="Times New Roman" w:cs="Times New Roman"/>
                <w:color w:val="000000"/>
                <w:sz w:val="20"/>
                <w:szCs w:val="20"/>
                <w:lang w:val="sr-Cyrl-RS" w:eastAsia="en-GB"/>
              </w:rPr>
            </w:pPr>
          </w:p>
        </w:tc>
        <w:tc>
          <w:tcPr>
            <w:tcW w:w="1639" w:type="dxa"/>
            <w:vMerge/>
            <w:tcBorders>
              <w:top w:val="nil"/>
              <w:left w:val="single" w:sz="8" w:space="0" w:color="auto"/>
              <w:bottom w:val="single" w:sz="8" w:space="0" w:color="000000"/>
              <w:right w:val="single" w:sz="8" w:space="0" w:color="auto"/>
            </w:tcBorders>
            <w:hideMark/>
          </w:tcPr>
          <w:p w14:paraId="050A63F0" w14:textId="77777777" w:rsidR="00AC090C" w:rsidRPr="00EF2F18" w:rsidRDefault="00AC090C" w:rsidP="00752CA0">
            <w:pPr>
              <w:spacing w:after="0"/>
              <w:rPr>
                <w:rFonts w:eastAsia="Times New Roman" w:cs="Times New Roman"/>
                <w:color w:val="000000"/>
                <w:sz w:val="20"/>
                <w:szCs w:val="20"/>
                <w:lang w:val="sr-Cyrl-RS" w:eastAsia="en-GB"/>
              </w:rPr>
            </w:pPr>
          </w:p>
        </w:tc>
        <w:tc>
          <w:tcPr>
            <w:tcW w:w="1350" w:type="dxa"/>
            <w:vMerge/>
            <w:tcBorders>
              <w:top w:val="nil"/>
              <w:left w:val="single" w:sz="8" w:space="0" w:color="auto"/>
              <w:bottom w:val="single" w:sz="8" w:space="0" w:color="000000"/>
              <w:right w:val="single" w:sz="8" w:space="0" w:color="auto"/>
            </w:tcBorders>
            <w:hideMark/>
          </w:tcPr>
          <w:p w14:paraId="7AA89EE3" w14:textId="77777777" w:rsidR="00AC090C" w:rsidRPr="00EF2F18" w:rsidRDefault="00AC090C" w:rsidP="00752CA0">
            <w:pPr>
              <w:spacing w:after="0"/>
              <w:rPr>
                <w:rFonts w:eastAsia="Times New Roman" w:cs="Times New Roman"/>
                <w:color w:val="000000"/>
                <w:sz w:val="20"/>
                <w:szCs w:val="20"/>
                <w:lang w:val="sr-Cyrl-RS" w:eastAsia="en-GB"/>
              </w:rPr>
            </w:pPr>
          </w:p>
        </w:tc>
        <w:tc>
          <w:tcPr>
            <w:tcW w:w="2070" w:type="dxa"/>
            <w:gridSpan w:val="2"/>
            <w:vMerge/>
            <w:tcBorders>
              <w:top w:val="nil"/>
              <w:left w:val="single" w:sz="8" w:space="0" w:color="auto"/>
              <w:bottom w:val="single" w:sz="8" w:space="0" w:color="000000"/>
              <w:right w:val="double" w:sz="6" w:space="0" w:color="auto"/>
            </w:tcBorders>
            <w:hideMark/>
          </w:tcPr>
          <w:p w14:paraId="31E46D37" w14:textId="77777777" w:rsidR="00AC090C" w:rsidRPr="00EF2F18" w:rsidRDefault="00AC090C" w:rsidP="00752CA0">
            <w:pPr>
              <w:spacing w:after="0"/>
              <w:rPr>
                <w:rFonts w:eastAsia="Times New Roman" w:cs="Times New Roman"/>
                <w:color w:val="000000"/>
                <w:sz w:val="20"/>
                <w:szCs w:val="20"/>
                <w:lang w:val="sr-Cyrl-RS" w:eastAsia="en-GB"/>
              </w:rPr>
            </w:pPr>
          </w:p>
        </w:tc>
        <w:tc>
          <w:tcPr>
            <w:tcW w:w="236" w:type="dxa"/>
            <w:tcBorders>
              <w:top w:val="nil"/>
              <w:left w:val="nil"/>
              <w:bottom w:val="nil"/>
              <w:right w:val="nil"/>
            </w:tcBorders>
            <w:noWrap/>
            <w:vAlign w:val="bottom"/>
            <w:hideMark/>
          </w:tcPr>
          <w:p w14:paraId="233EAF79" w14:textId="77777777" w:rsidR="00AC090C" w:rsidRPr="00EF2F18" w:rsidRDefault="00AC090C" w:rsidP="00752CA0">
            <w:pPr>
              <w:spacing w:after="0"/>
              <w:rPr>
                <w:rFonts w:eastAsia="Times New Roman" w:cs="Times New Roman"/>
                <w:color w:val="000000"/>
                <w:sz w:val="20"/>
                <w:szCs w:val="20"/>
                <w:lang w:val="sr-Cyrl-RS" w:eastAsia="en-GB"/>
              </w:rPr>
            </w:pPr>
          </w:p>
        </w:tc>
      </w:tr>
      <w:tr w:rsidR="00AC090C" w:rsidRPr="00EF2F18" w14:paraId="49C8E860" w14:textId="77777777" w:rsidTr="007C6BCA">
        <w:trPr>
          <w:trHeight w:val="1068"/>
        </w:trPr>
        <w:tc>
          <w:tcPr>
            <w:tcW w:w="3611" w:type="dxa"/>
            <w:tcBorders>
              <w:top w:val="single" w:sz="4" w:space="0" w:color="auto"/>
              <w:left w:val="double" w:sz="6" w:space="0" w:color="auto"/>
              <w:bottom w:val="double" w:sz="6" w:space="0" w:color="auto"/>
              <w:right w:val="single" w:sz="8" w:space="0" w:color="auto"/>
            </w:tcBorders>
            <w:shd w:val="clear" w:color="000000" w:fill="FFFFFF"/>
            <w:hideMark/>
          </w:tcPr>
          <w:p w14:paraId="1052F9BA" w14:textId="03C824E5"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Удео решених проблема који су препознати у претходном извештају о спровођењу Архуске конвенције,</w:t>
            </w:r>
            <w:r w:rsidR="00C5153F">
              <w:rPr>
                <w:rFonts w:eastAsia="Times New Roman" w:cs="Times New Roman"/>
                <w:sz w:val="20"/>
                <w:szCs w:val="20"/>
                <w:lang w:val="sr-Cyrl-RS" w:eastAsia="en-GB"/>
              </w:rPr>
              <w:t xml:space="preserve"> </w:t>
            </w:r>
            <w:r w:rsidRPr="00EF2F18">
              <w:rPr>
                <w:rFonts w:eastAsia="Times New Roman" w:cs="Times New Roman"/>
                <w:sz w:val="20"/>
                <w:szCs w:val="20"/>
                <w:lang w:val="sr-Cyrl-RS" w:eastAsia="en-GB"/>
              </w:rPr>
              <w:t>четворогодишње</w:t>
            </w:r>
          </w:p>
        </w:tc>
        <w:tc>
          <w:tcPr>
            <w:tcW w:w="1148" w:type="dxa"/>
            <w:tcBorders>
              <w:top w:val="single" w:sz="4" w:space="0" w:color="auto"/>
              <w:left w:val="nil"/>
              <w:bottom w:val="double" w:sz="6" w:space="0" w:color="auto"/>
              <w:right w:val="single" w:sz="8" w:space="0" w:color="auto"/>
            </w:tcBorders>
            <w:shd w:val="clear" w:color="000000" w:fill="FFFFFF"/>
            <w:hideMark/>
          </w:tcPr>
          <w:p w14:paraId="5A431C0D"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w:t>
            </w:r>
          </w:p>
        </w:tc>
        <w:tc>
          <w:tcPr>
            <w:tcW w:w="1499" w:type="dxa"/>
            <w:tcBorders>
              <w:top w:val="single" w:sz="4" w:space="0" w:color="auto"/>
              <w:left w:val="nil"/>
              <w:bottom w:val="double" w:sz="6" w:space="0" w:color="auto"/>
              <w:right w:val="single" w:sz="8" w:space="0" w:color="auto"/>
            </w:tcBorders>
            <w:shd w:val="clear" w:color="000000" w:fill="FFFFFF"/>
            <w:hideMark/>
          </w:tcPr>
          <w:p w14:paraId="5B980380" w14:textId="77777777" w:rsidR="00AC090C" w:rsidRPr="00EF2F18" w:rsidRDefault="00AC090C" w:rsidP="00752CA0">
            <w:pPr>
              <w:spacing w:after="0"/>
              <w:rPr>
                <w:rFonts w:eastAsia="Times New Roman" w:cs="Times New Roman"/>
                <w:color w:val="000000"/>
                <w:sz w:val="18"/>
                <w:szCs w:val="18"/>
                <w:lang w:val="sr-Cyrl-RS" w:eastAsia="en-GB"/>
              </w:rPr>
            </w:pPr>
            <w:r w:rsidRPr="00EF2F18">
              <w:rPr>
                <w:rFonts w:eastAsia="Times New Roman" w:cs="Times New Roman"/>
                <w:color w:val="000000"/>
                <w:sz w:val="20"/>
                <w:szCs w:val="20"/>
                <w:lang w:val="sr-Cyrl-RS" w:eastAsia="en-GB"/>
              </w:rPr>
              <w:t>Извештај о спровођењу Архуске конвенције</w:t>
            </w:r>
          </w:p>
        </w:tc>
        <w:tc>
          <w:tcPr>
            <w:tcW w:w="1260" w:type="dxa"/>
            <w:tcBorders>
              <w:top w:val="single" w:sz="4" w:space="0" w:color="auto"/>
              <w:left w:val="nil"/>
              <w:bottom w:val="double" w:sz="6" w:space="0" w:color="auto"/>
              <w:right w:val="single" w:sz="8" w:space="0" w:color="auto"/>
            </w:tcBorders>
            <w:shd w:val="clear" w:color="000000" w:fill="FFFFFF"/>
            <w:hideMark/>
          </w:tcPr>
          <w:p w14:paraId="71CB2B1A"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080" w:type="dxa"/>
            <w:tcBorders>
              <w:top w:val="single" w:sz="4" w:space="0" w:color="auto"/>
              <w:left w:val="nil"/>
              <w:bottom w:val="double" w:sz="6" w:space="0" w:color="auto"/>
              <w:right w:val="single" w:sz="8" w:space="0" w:color="auto"/>
            </w:tcBorders>
            <w:shd w:val="clear" w:color="000000" w:fill="FFFFFF"/>
            <w:hideMark/>
          </w:tcPr>
          <w:p w14:paraId="1A4169FA"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639" w:type="dxa"/>
            <w:tcBorders>
              <w:top w:val="single" w:sz="4" w:space="0" w:color="auto"/>
              <w:left w:val="nil"/>
              <w:bottom w:val="double" w:sz="6" w:space="0" w:color="auto"/>
              <w:right w:val="single" w:sz="8" w:space="0" w:color="auto"/>
            </w:tcBorders>
            <w:shd w:val="clear" w:color="000000" w:fill="FFFFFF"/>
            <w:hideMark/>
          </w:tcPr>
          <w:p w14:paraId="2E25E001"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350" w:type="dxa"/>
            <w:tcBorders>
              <w:top w:val="single" w:sz="4" w:space="0" w:color="auto"/>
              <w:left w:val="nil"/>
              <w:bottom w:val="double" w:sz="6" w:space="0" w:color="auto"/>
              <w:right w:val="single" w:sz="8" w:space="0" w:color="auto"/>
            </w:tcBorders>
            <w:shd w:val="clear" w:color="000000" w:fill="FFFFFF"/>
            <w:hideMark/>
          </w:tcPr>
          <w:p w14:paraId="7E0F648B"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2070" w:type="dxa"/>
            <w:gridSpan w:val="2"/>
            <w:tcBorders>
              <w:top w:val="single" w:sz="4" w:space="0" w:color="auto"/>
              <w:left w:val="nil"/>
              <w:bottom w:val="double" w:sz="6" w:space="0" w:color="auto"/>
              <w:right w:val="double" w:sz="6" w:space="0" w:color="auto"/>
            </w:tcBorders>
            <w:shd w:val="clear" w:color="000000" w:fill="FFFFFF"/>
            <w:hideMark/>
          </w:tcPr>
          <w:p w14:paraId="2F913510"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236" w:type="dxa"/>
            <w:vAlign w:val="center"/>
            <w:hideMark/>
          </w:tcPr>
          <w:p w14:paraId="70AD775C" w14:textId="77777777" w:rsidR="00AC090C" w:rsidRPr="00EF2F18" w:rsidRDefault="00AC090C" w:rsidP="00752CA0">
            <w:pPr>
              <w:spacing w:after="0"/>
              <w:rPr>
                <w:rFonts w:eastAsia="Times New Roman" w:cs="Times New Roman"/>
                <w:sz w:val="20"/>
                <w:szCs w:val="20"/>
                <w:lang w:val="sr-Cyrl-RS" w:eastAsia="en-GB"/>
              </w:rPr>
            </w:pPr>
          </w:p>
        </w:tc>
      </w:tr>
    </w:tbl>
    <w:p w14:paraId="3B8790B4" w14:textId="77777777" w:rsidR="007D7243" w:rsidRPr="00EF2F18" w:rsidRDefault="007D7243" w:rsidP="007D7243">
      <w:pPr>
        <w:tabs>
          <w:tab w:val="left" w:pos="1940"/>
        </w:tabs>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060"/>
        <w:gridCol w:w="1397"/>
        <w:gridCol w:w="1783"/>
        <w:gridCol w:w="17"/>
      </w:tblGrid>
      <w:tr w:rsidR="007D7243" w:rsidRPr="00EF2F18" w14:paraId="23C20A11" w14:textId="77777777" w:rsidTr="00AC090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AC71D75"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 xml:space="preserve">Мера 6.2.1: Јачање капацитета за примену Архуске конвенције и подизање знања и свести заинтересованих страна о значају њене примене </w:t>
            </w:r>
          </w:p>
        </w:tc>
      </w:tr>
      <w:tr w:rsidR="007D7243" w:rsidRPr="00EF2F18" w14:paraId="7F43E423" w14:textId="77777777" w:rsidTr="00AC090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608EB9D"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22545CDC" w14:textId="77777777" w:rsidTr="00AC090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6A940773" w14:textId="15F07488"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AC090C"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4BEEC6FB"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 едукативна</w:t>
            </w:r>
          </w:p>
        </w:tc>
      </w:tr>
      <w:tr w:rsidR="007D7243" w:rsidRPr="00EF2F18" w14:paraId="1533BE9E" w14:textId="77777777" w:rsidTr="00AC090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97B16F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222C368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AC090C" w:rsidRPr="00EF2F18" w14:paraId="35E66F7F" w14:textId="77777777" w:rsidTr="00AC090C">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7D247F5F"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7C3766C1"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746DF511"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395F903A"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520" w:type="dxa"/>
            <w:tcBorders>
              <w:top w:val="nil"/>
              <w:left w:val="nil"/>
              <w:bottom w:val="double" w:sz="6" w:space="0" w:color="auto"/>
              <w:right w:val="single" w:sz="8" w:space="0" w:color="auto"/>
            </w:tcBorders>
            <w:shd w:val="clear" w:color="000000" w:fill="D9D9D9"/>
            <w:hideMark/>
          </w:tcPr>
          <w:p w14:paraId="222CCF13"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1A0C1818"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97" w:type="dxa"/>
            <w:tcBorders>
              <w:top w:val="nil"/>
              <w:left w:val="nil"/>
              <w:bottom w:val="double" w:sz="6" w:space="0" w:color="auto"/>
              <w:right w:val="single" w:sz="8" w:space="0" w:color="auto"/>
            </w:tcBorders>
            <w:shd w:val="clear" w:color="000000" w:fill="D9D9D9"/>
            <w:hideMark/>
          </w:tcPr>
          <w:p w14:paraId="5D050A1D"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tcBorders>
              <w:top w:val="nil"/>
              <w:left w:val="nil"/>
              <w:bottom w:val="double" w:sz="6" w:space="0" w:color="auto"/>
              <w:right w:val="double" w:sz="6" w:space="0" w:color="auto"/>
            </w:tcBorders>
            <w:shd w:val="clear" w:color="000000" w:fill="D9D9D9"/>
            <w:hideMark/>
          </w:tcPr>
          <w:p w14:paraId="2561D99F"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AC090C" w:rsidRPr="00EF2F18" w14:paraId="56862196" w14:textId="77777777" w:rsidTr="00AC090C">
        <w:trPr>
          <w:trHeight w:val="1080"/>
        </w:trPr>
        <w:tc>
          <w:tcPr>
            <w:tcW w:w="3320" w:type="dxa"/>
            <w:tcBorders>
              <w:top w:val="nil"/>
              <w:left w:val="double" w:sz="6" w:space="0" w:color="auto"/>
              <w:bottom w:val="double" w:sz="6" w:space="0" w:color="auto"/>
              <w:right w:val="single" w:sz="8" w:space="0" w:color="auto"/>
            </w:tcBorders>
            <w:shd w:val="clear" w:color="000000" w:fill="FFFFFF"/>
            <w:hideMark/>
          </w:tcPr>
          <w:p w14:paraId="64502098"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годишње обучених представника јавне управе, јавних служби и предузећа, разврстан по полу</w:t>
            </w:r>
          </w:p>
        </w:tc>
        <w:tc>
          <w:tcPr>
            <w:tcW w:w="1280" w:type="dxa"/>
            <w:tcBorders>
              <w:top w:val="nil"/>
              <w:left w:val="nil"/>
              <w:bottom w:val="double" w:sz="6" w:space="0" w:color="auto"/>
              <w:right w:val="single" w:sz="8" w:space="0" w:color="auto"/>
            </w:tcBorders>
            <w:shd w:val="clear" w:color="000000" w:fill="FFFFFF"/>
            <w:hideMark/>
          </w:tcPr>
          <w:p w14:paraId="70FF4FAB"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0DA034E8" w14:textId="77777777" w:rsidR="00AC090C" w:rsidRPr="00EF2F18" w:rsidRDefault="00AC090C"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561A5D68"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4C7E304E"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double" w:sz="6" w:space="0" w:color="auto"/>
              <w:left w:val="single" w:sz="4" w:space="0" w:color="auto"/>
              <w:bottom w:val="double" w:sz="6" w:space="0" w:color="auto"/>
              <w:right w:val="single" w:sz="8" w:space="0" w:color="auto"/>
            </w:tcBorders>
            <w:shd w:val="clear" w:color="000000" w:fill="FFFFFF"/>
            <w:hideMark/>
          </w:tcPr>
          <w:p w14:paraId="1DD57ADA"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397" w:type="dxa"/>
            <w:tcBorders>
              <w:top w:val="nil"/>
              <w:left w:val="nil"/>
              <w:bottom w:val="double" w:sz="6" w:space="0" w:color="auto"/>
              <w:right w:val="single" w:sz="8" w:space="0" w:color="auto"/>
            </w:tcBorders>
            <w:shd w:val="clear" w:color="000000" w:fill="FFFFFF"/>
            <w:hideMark/>
          </w:tcPr>
          <w:p w14:paraId="21D6C833"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800" w:type="dxa"/>
            <w:gridSpan w:val="2"/>
            <w:tcBorders>
              <w:top w:val="nil"/>
              <w:left w:val="nil"/>
              <w:bottom w:val="double" w:sz="6" w:space="0" w:color="auto"/>
              <w:right w:val="double" w:sz="6" w:space="0" w:color="auto"/>
            </w:tcBorders>
            <w:shd w:val="clear" w:color="000000" w:fill="FFFFFF"/>
            <w:hideMark/>
          </w:tcPr>
          <w:p w14:paraId="47CB1F8C"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r>
      <w:tr w:rsidR="00AC090C" w:rsidRPr="00EF2F18" w14:paraId="2D1AAD36" w14:textId="77777777" w:rsidTr="00AC090C">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72C36EA0"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годишње обучених представника заинтересованих страна, разврстан по полу</w:t>
            </w:r>
          </w:p>
        </w:tc>
        <w:tc>
          <w:tcPr>
            <w:tcW w:w="1280" w:type="dxa"/>
            <w:tcBorders>
              <w:top w:val="nil"/>
              <w:left w:val="nil"/>
              <w:bottom w:val="double" w:sz="6" w:space="0" w:color="auto"/>
              <w:right w:val="single" w:sz="8" w:space="0" w:color="auto"/>
            </w:tcBorders>
            <w:shd w:val="clear" w:color="000000" w:fill="FFFFFF"/>
            <w:hideMark/>
          </w:tcPr>
          <w:p w14:paraId="4E77E8FC"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6931E4EF" w14:textId="77777777" w:rsidR="00AC090C" w:rsidRPr="00EF2F18" w:rsidRDefault="00AC090C"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3A28996A"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42924343"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nil"/>
              <w:left w:val="single" w:sz="4" w:space="0" w:color="auto"/>
              <w:bottom w:val="double" w:sz="6" w:space="0" w:color="auto"/>
              <w:right w:val="single" w:sz="8" w:space="0" w:color="auto"/>
            </w:tcBorders>
            <w:shd w:val="clear" w:color="000000" w:fill="FFFFFF"/>
            <w:hideMark/>
          </w:tcPr>
          <w:p w14:paraId="13765D50"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397" w:type="dxa"/>
            <w:tcBorders>
              <w:top w:val="nil"/>
              <w:left w:val="nil"/>
              <w:bottom w:val="double" w:sz="6" w:space="0" w:color="auto"/>
              <w:right w:val="single" w:sz="8" w:space="0" w:color="auto"/>
            </w:tcBorders>
            <w:shd w:val="clear" w:color="000000" w:fill="FFFFFF"/>
            <w:hideMark/>
          </w:tcPr>
          <w:p w14:paraId="3EE67438"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800" w:type="dxa"/>
            <w:gridSpan w:val="2"/>
            <w:tcBorders>
              <w:top w:val="nil"/>
              <w:left w:val="nil"/>
              <w:bottom w:val="double" w:sz="6" w:space="0" w:color="auto"/>
              <w:right w:val="double" w:sz="6" w:space="0" w:color="auto"/>
            </w:tcBorders>
            <w:shd w:val="clear" w:color="000000" w:fill="FFFFFF"/>
            <w:hideMark/>
          </w:tcPr>
          <w:p w14:paraId="2A056C5B" w14:textId="77777777"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r>
    </w:tbl>
    <w:p w14:paraId="7373B566" w14:textId="77777777" w:rsidR="007D7243" w:rsidRPr="00EF2F18" w:rsidRDefault="007D7243" w:rsidP="007D7243">
      <w:pPr>
        <w:tabs>
          <w:tab w:val="left" w:pos="1940"/>
        </w:tabs>
        <w:rPr>
          <w:rFonts w:cs="Times New Roman"/>
          <w:sz w:val="20"/>
          <w:szCs w:val="20"/>
          <w:lang w:val="sr-Cyrl-RS"/>
        </w:rPr>
      </w:pPr>
    </w:p>
    <w:tbl>
      <w:tblPr>
        <w:tblW w:w="13567" w:type="dxa"/>
        <w:tblLook w:val="04A0" w:firstRow="1" w:lastRow="0" w:firstColumn="1" w:lastColumn="0" w:noHBand="0" w:noVBand="1"/>
      </w:tblPr>
      <w:tblGrid>
        <w:gridCol w:w="3800"/>
        <w:gridCol w:w="2480"/>
        <w:gridCol w:w="1820"/>
        <w:gridCol w:w="2317"/>
        <w:gridCol w:w="3143"/>
        <w:gridCol w:w="7"/>
      </w:tblGrid>
      <w:tr w:rsidR="007D7243" w:rsidRPr="00EF2F18" w14:paraId="212BAE6C" w14:textId="77777777" w:rsidTr="00AC090C">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903008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337A88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49496EC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AC090C" w:rsidRPr="00EF2F18" w14:paraId="2297BF96" w14:textId="77777777" w:rsidTr="00AC090C">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23CF2ED1" w14:textId="77777777" w:rsidR="00AC090C" w:rsidRPr="00EF2F18" w:rsidRDefault="00AC090C"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5E43C9A3" w14:textId="77777777" w:rsidR="00AC090C" w:rsidRPr="00EF2F18" w:rsidRDefault="00AC090C"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077952FA" w14:textId="3FC2E5EC"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 године</w:t>
            </w:r>
          </w:p>
        </w:tc>
        <w:tc>
          <w:tcPr>
            <w:tcW w:w="2317" w:type="dxa"/>
            <w:tcBorders>
              <w:top w:val="nil"/>
              <w:left w:val="nil"/>
              <w:bottom w:val="double" w:sz="6" w:space="0" w:color="auto"/>
              <w:right w:val="double" w:sz="6" w:space="0" w:color="auto"/>
            </w:tcBorders>
            <w:shd w:val="clear" w:color="000000" w:fill="A8D08D"/>
            <w:hideMark/>
          </w:tcPr>
          <w:p w14:paraId="5470E323" w14:textId="74296714"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3150" w:type="dxa"/>
            <w:gridSpan w:val="2"/>
            <w:tcBorders>
              <w:top w:val="nil"/>
              <w:left w:val="nil"/>
              <w:bottom w:val="double" w:sz="6" w:space="0" w:color="auto"/>
              <w:right w:val="double" w:sz="6" w:space="0" w:color="auto"/>
            </w:tcBorders>
            <w:shd w:val="clear" w:color="000000" w:fill="A8D08D"/>
            <w:hideMark/>
          </w:tcPr>
          <w:p w14:paraId="09C696E7" w14:textId="3ED6ACB2" w:rsidR="00AC090C" w:rsidRPr="00EF2F18" w:rsidRDefault="00AC090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 године</w:t>
            </w:r>
          </w:p>
        </w:tc>
      </w:tr>
      <w:tr w:rsidR="000F0738" w:rsidRPr="00EF2F18" w14:paraId="4F3E64AE" w14:textId="77777777" w:rsidTr="00AC090C">
        <w:trPr>
          <w:trHeight w:val="324"/>
        </w:trPr>
        <w:tc>
          <w:tcPr>
            <w:tcW w:w="3800" w:type="dxa"/>
            <w:tcBorders>
              <w:top w:val="nil"/>
              <w:left w:val="double" w:sz="6" w:space="0" w:color="auto"/>
              <w:bottom w:val="double" w:sz="6" w:space="0" w:color="auto"/>
              <w:right w:val="double" w:sz="6" w:space="0" w:color="auto"/>
            </w:tcBorders>
          </w:tcPr>
          <w:p w14:paraId="6F5FCA39" w14:textId="79E1A26E" w:rsidR="000F0738" w:rsidRPr="00EF2F18" w:rsidRDefault="000F0738"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средства/редовна издвајања (МЗЖС)</w:t>
            </w:r>
          </w:p>
        </w:tc>
        <w:tc>
          <w:tcPr>
            <w:tcW w:w="2480" w:type="dxa"/>
            <w:tcBorders>
              <w:top w:val="nil"/>
              <w:left w:val="nil"/>
              <w:bottom w:val="double" w:sz="6" w:space="0" w:color="auto"/>
              <w:right w:val="double" w:sz="6" w:space="0" w:color="auto"/>
            </w:tcBorders>
          </w:tcPr>
          <w:p w14:paraId="48DDD78E" w14:textId="702B7C19" w:rsidR="000F0738" w:rsidRPr="00EF2F18" w:rsidRDefault="000F0738"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820" w:type="dxa"/>
            <w:tcBorders>
              <w:top w:val="nil"/>
              <w:left w:val="nil"/>
              <w:bottom w:val="double" w:sz="6" w:space="0" w:color="auto"/>
              <w:right w:val="double" w:sz="6" w:space="0" w:color="auto"/>
            </w:tcBorders>
          </w:tcPr>
          <w:p w14:paraId="01A34AF7" w14:textId="77777777" w:rsidR="000F0738" w:rsidRPr="00EF2F18" w:rsidRDefault="000F0738" w:rsidP="00752CA0">
            <w:pPr>
              <w:spacing w:after="0"/>
              <w:jc w:val="right"/>
              <w:rPr>
                <w:rFonts w:eastAsia="Times New Roman" w:cs="Times New Roman"/>
                <w:color w:val="000000"/>
                <w:sz w:val="20"/>
                <w:szCs w:val="20"/>
                <w:lang w:val="sr-Cyrl-RS" w:eastAsia="en-GB"/>
              </w:rPr>
            </w:pPr>
          </w:p>
        </w:tc>
        <w:tc>
          <w:tcPr>
            <w:tcW w:w="2317" w:type="dxa"/>
            <w:tcBorders>
              <w:top w:val="nil"/>
              <w:left w:val="nil"/>
              <w:bottom w:val="double" w:sz="6" w:space="0" w:color="auto"/>
              <w:right w:val="double" w:sz="6" w:space="0" w:color="auto"/>
            </w:tcBorders>
          </w:tcPr>
          <w:p w14:paraId="707F9A2D" w14:textId="77777777" w:rsidR="000F0738" w:rsidRPr="00EF2F18" w:rsidRDefault="000F0738" w:rsidP="00752CA0">
            <w:pPr>
              <w:spacing w:after="0"/>
              <w:jc w:val="right"/>
              <w:rPr>
                <w:rFonts w:eastAsia="Times New Roman" w:cs="Times New Roman"/>
                <w:color w:val="000000"/>
                <w:sz w:val="20"/>
                <w:szCs w:val="20"/>
                <w:lang w:val="sr-Cyrl-RS" w:eastAsia="en-GB"/>
              </w:rPr>
            </w:pPr>
          </w:p>
        </w:tc>
        <w:tc>
          <w:tcPr>
            <w:tcW w:w="3150" w:type="dxa"/>
            <w:gridSpan w:val="2"/>
            <w:tcBorders>
              <w:top w:val="nil"/>
              <w:left w:val="nil"/>
              <w:bottom w:val="double" w:sz="6" w:space="0" w:color="auto"/>
              <w:right w:val="double" w:sz="6" w:space="0" w:color="auto"/>
            </w:tcBorders>
          </w:tcPr>
          <w:p w14:paraId="6A4AB63E" w14:textId="77777777" w:rsidR="000F0738" w:rsidRPr="00EF2F18" w:rsidRDefault="000F0738" w:rsidP="00752CA0">
            <w:pPr>
              <w:spacing w:after="0"/>
              <w:jc w:val="right"/>
              <w:rPr>
                <w:rFonts w:eastAsia="Times New Roman" w:cs="Times New Roman"/>
                <w:color w:val="000000"/>
                <w:sz w:val="20"/>
                <w:szCs w:val="20"/>
                <w:lang w:val="sr-Cyrl-RS" w:eastAsia="en-GB"/>
              </w:rPr>
            </w:pPr>
          </w:p>
        </w:tc>
      </w:tr>
      <w:tr w:rsidR="00AC090C" w:rsidRPr="00EF2F18" w14:paraId="0AF8D4EB" w14:textId="77777777" w:rsidTr="00AC090C">
        <w:trPr>
          <w:trHeight w:val="324"/>
        </w:trPr>
        <w:tc>
          <w:tcPr>
            <w:tcW w:w="3800" w:type="dxa"/>
            <w:tcBorders>
              <w:top w:val="nil"/>
              <w:left w:val="double" w:sz="6" w:space="0" w:color="auto"/>
              <w:bottom w:val="double" w:sz="6" w:space="0" w:color="auto"/>
              <w:right w:val="double" w:sz="6" w:space="0" w:color="auto"/>
            </w:tcBorders>
            <w:hideMark/>
          </w:tcPr>
          <w:p w14:paraId="329DA2A7" w14:textId="2617FB0E"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2480" w:type="dxa"/>
            <w:tcBorders>
              <w:top w:val="nil"/>
              <w:left w:val="nil"/>
              <w:bottom w:val="double" w:sz="6" w:space="0" w:color="auto"/>
              <w:right w:val="double" w:sz="6" w:space="0" w:color="auto"/>
            </w:tcBorders>
            <w:hideMark/>
          </w:tcPr>
          <w:p w14:paraId="6475AD3E" w14:textId="77777777" w:rsidR="00AC090C" w:rsidRPr="00EF2F18" w:rsidRDefault="00AC090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820" w:type="dxa"/>
            <w:tcBorders>
              <w:top w:val="nil"/>
              <w:left w:val="nil"/>
              <w:bottom w:val="double" w:sz="6" w:space="0" w:color="auto"/>
              <w:right w:val="double" w:sz="6" w:space="0" w:color="auto"/>
            </w:tcBorders>
          </w:tcPr>
          <w:p w14:paraId="1344C04D" w14:textId="5285DAFC" w:rsidR="00AC090C" w:rsidRPr="00EF2F18" w:rsidRDefault="00AC090C" w:rsidP="00752CA0">
            <w:pPr>
              <w:spacing w:after="0"/>
              <w:jc w:val="right"/>
              <w:rPr>
                <w:rFonts w:eastAsia="Times New Roman" w:cs="Times New Roman"/>
                <w:color w:val="000000"/>
                <w:sz w:val="20"/>
                <w:szCs w:val="20"/>
                <w:lang w:val="sr-Cyrl-RS" w:eastAsia="en-GB"/>
              </w:rPr>
            </w:pPr>
          </w:p>
        </w:tc>
        <w:tc>
          <w:tcPr>
            <w:tcW w:w="2317" w:type="dxa"/>
            <w:tcBorders>
              <w:top w:val="nil"/>
              <w:left w:val="nil"/>
              <w:bottom w:val="double" w:sz="6" w:space="0" w:color="auto"/>
              <w:right w:val="double" w:sz="6" w:space="0" w:color="auto"/>
            </w:tcBorders>
          </w:tcPr>
          <w:p w14:paraId="4F91FC40" w14:textId="2D954507" w:rsidR="00AC090C" w:rsidRPr="00EF2F18" w:rsidRDefault="00AC090C" w:rsidP="00752CA0">
            <w:pPr>
              <w:spacing w:after="0"/>
              <w:jc w:val="right"/>
              <w:rPr>
                <w:rFonts w:eastAsia="Times New Roman" w:cs="Times New Roman"/>
                <w:color w:val="000000"/>
                <w:sz w:val="20"/>
                <w:szCs w:val="20"/>
                <w:lang w:val="sr-Cyrl-RS" w:eastAsia="en-GB"/>
              </w:rPr>
            </w:pPr>
          </w:p>
        </w:tc>
        <w:tc>
          <w:tcPr>
            <w:tcW w:w="3150" w:type="dxa"/>
            <w:gridSpan w:val="2"/>
            <w:tcBorders>
              <w:top w:val="nil"/>
              <w:left w:val="nil"/>
              <w:bottom w:val="double" w:sz="6" w:space="0" w:color="auto"/>
              <w:right w:val="double" w:sz="6" w:space="0" w:color="auto"/>
            </w:tcBorders>
          </w:tcPr>
          <w:p w14:paraId="2E86F885" w14:textId="300AE8E4" w:rsidR="00AC090C" w:rsidRPr="00EF2F18" w:rsidRDefault="00AC090C" w:rsidP="00752CA0">
            <w:pPr>
              <w:spacing w:after="0"/>
              <w:jc w:val="right"/>
              <w:rPr>
                <w:rFonts w:eastAsia="Times New Roman" w:cs="Times New Roman"/>
                <w:color w:val="000000"/>
                <w:sz w:val="20"/>
                <w:szCs w:val="20"/>
                <w:lang w:val="sr-Cyrl-RS" w:eastAsia="en-GB"/>
              </w:rPr>
            </w:pPr>
          </w:p>
        </w:tc>
      </w:tr>
    </w:tbl>
    <w:p w14:paraId="070D039B" w14:textId="77777777" w:rsidR="007D7243" w:rsidRPr="00EF2F18" w:rsidRDefault="007D7243" w:rsidP="007D7243">
      <w:pPr>
        <w:rPr>
          <w:rFonts w:cs="Times New Roman"/>
          <w:sz w:val="20"/>
          <w:szCs w:val="20"/>
          <w:lang w:val="sr-Cyrl-RS"/>
        </w:rPr>
      </w:pPr>
    </w:p>
    <w:tbl>
      <w:tblPr>
        <w:tblW w:w="13567" w:type="dxa"/>
        <w:tblLook w:val="04A0" w:firstRow="1" w:lastRow="0" w:firstColumn="1" w:lastColumn="0" w:noHBand="0" w:noVBand="1"/>
      </w:tblPr>
      <w:tblGrid>
        <w:gridCol w:w="2968"/>
        <w:gridCol w:w="1252"/>
        <w:gridCol w:w="1237"/>
        <w:gridCol w:w="1182"/>
        <w:gridCol w:w="1691"/>
        <w:gridCol w:w="1340"/>
        <w:gridCol w:w="1197"/>
        <w:gridCol w:w="1260"/>
        <w:gridCol w:w="1440"/>
      </w:tblGrid>
      <w:tr w:rsidR="007D7243" w:rsidRPr="00EF2F18" w14:paraId="73A9B8E5" w14:textId="77777777" w:rsidTr="00EF0900">
        <w:trPr>
          <w:trHeight w:val="732"/>
        </w:trPr>
        <w:tc>
          <w:tcPr>
            <w:tcW w:w="2968"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95008A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5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69DDF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3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75360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1A5A61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AE0D4F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E57963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897" w:type="dxa"/>
            <w:gridSpan w:val="3"/>
            <w:tcBorders>
              <w:top w:val="double" w:sz="6" w:space="0" w:color="auto"/>
              <w:left w:val="nil"/>
              <w:bottom w:val="single" w:sz="8" w:space="0" w:color="auto"/>
              <w:right w:val="double" w:sz="6" w:space="0" w:color="auto"/>
            </w:tcBorders>
            <w:shd w:val="clear" w:color="000000" w:fill="FFF2CC"/>
            <w:hideMark/>
          </w:tcPr>
          <w:p w14:paraId="512AD7E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F0900" w:rsidRPr="00EF2F18" w14:paraId="599FE1B9" w14:textId="77777777" w:rsidTr="00EF0900">
        <w:trPr>
          <w:trHeight w:val="324"/>
        </w:trPr>
        <w:tc>
          <w:tcPr>
            <w:tcW w:w="2968" w:type="dxa"/>
            <w:vMerge/>
            <w:tcBorders>
              <w:top w:val="double" w:sz="6" w:space="0" w:color="auto"/>
              <w:left w:val="double" w:sz="6" w:space="0" w:color="auto"/>
              <w:bottom w:val="single" w:sz="8" w:space="0" w:color="000000"/>
              <w:right w:val="single" w:sz="8" w:space="0" w:color="auto"/>
            </w:tcBorders>
            <w:vAlign w:val="center"/>
            <w:hideMark/>
          </w:tcPr>
          <w:p w14:paraId="51270C52" w14:textId="77777777" w:rsidR="00EF0900" w:rsidRPr="00EF2F18" w:rsidRDefault="00EF0900" w:rsidP="00752CA0">
            <w:pPr>
              <w:spacing w:after="0"/>
              <w:rPr>
                <w:rFonts w:eastAsia="Times New Roman" w:cs="Times New Roman"/>
                <w:color w:val="000000"/>
                <w:sz w:val="20"/>
                <w:szCs w:val="20"/>
                <w:lang w:val="sr-Cyrl-RS" w:eastAsia="en-GB"/>
              </w:rPr>
            </w:pPr>
          </w:p>
        </w:tc>
        <w:tc>
          <w:tcPr>
            <w:tcW w:w="1252" w:type="dxa"/>
            <w:vMerge/>
            <w:tcBorders>
              <w:top w:val="double" w:sz="6" w:space="0" w:color="auto"/>
              <w:left w:val="single" w:sz="8" w:space="0" w:color="auto"/>
              <w:bottom w:val="single" w:sz="8" w:space="0" w:color="000000"/>
              <w:right w:val="single" w:sz="8" w:space="0" w:color="auto"/>
            </w:tcBorders>
            <w:vAlign w:val="center"/>
            <w:hideMark/>
          </w:tcPr>
          <w:p w14:paraId="62108B9D" w14:textId="77777777" w:rsidR="00EF0900" w:rsidRPr="00EF2F18" w:rsidRDefault="00EF0900" w:rsidP="00752CA0">
            <w:pPr>
              <w:spacing w:after="0"/>
              <w:rPr>
                <w:rFonts w:eastAsia="Times New Roman" w:cs="Times New Roman"/>
                <w:color w:val="000000"/>
                <w:sz w:val="20"/>
                <w:szCs w:val="20"/>
                <w:lang w:val="sr-Cyrl-RS" w:eastAsia="en-GB"/>
              </w:rPr>
            </w:pPr>
          </w:p>
        </w:tc>
        <w:tc>
          <w:tcPr>
            <w:tcW w:w="1237" w:type="dxa"/>
            <w:vMerge/>
            <w:tcBorders>
              <w:top w:val="double" w:sz="6" w:space="0" w:color="auto"/>
              <w:left w:val="single" w:sz="8" w:space="0" w:color="auto"/>
              <w:bottom w:val="single" w:sz="8" w:space="0" w:color="000000"/>
              <w:right w:val="single" w:sz="8" w:space="0" w:color="auto"/>
            </w:tcBorders>
            <w:vAlign w:val="center"/>
            <w:hideMark/>
          </w:tcPr>
          <w:p w14:paraId="2FC90078" w14:textId="77777777" w:rsidR="00EF0900" w:rsidRPr="00EF2F18" w:rsidRDefault="00EF0900"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4D23CDCA" w14:textId="77777777" w:rsidR="00EF0900" w:rsidRPr="00EF2F18" w:rsidRDefault="00EF0900"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719AA22F" w14:textId="77777777" w:rsidR="00EF0900" w:rsidRPr="00EF2F18" w:rsidRDefault="00EF0900"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544CE32D" w14:textId="77777777" w:rsidR="00EF0900" w:rsidRPr="00EF2F18" w:rsidRDefault="00EF0900" w:rsidP="00752CA0">
            <w:pPr>
              <w:spacing w:after="0"/>
              <w:rPr>
                <w:rFonts w:eastAsia="Times New Roman" w:cs="Times New Roman"/>
                <w:color w:val="000000"/>
                <w:sz w:val="20"/>
                <w:szCs w:val="20"/>
                <w:lang w:val="sr-Cyrl-RS" w:eastAsia="en-GB"/>
              </w:rPr>
            </w:pPr>
          </w:p>
        </w:tc>
        <w:tc>
          <w:tcPr>
            <w:tcW w:w="1197" w:type="dxa"/>
            <w:tcBorders>
              <w:top w:val="nil"/>
              <w:left w:val="nil"/>
              <w:bottom w:val="single" w:sz="8" w:space="0" w:color="auto"/>
              <w:right w:val="single" w:sz="8" w:space="0" w:color="auto"/>
            </w:tcBorders>
            <w:shd w:val="clear" w:color="000000" w:fill="FFF2CC"/>
            <w:hideMark/>
          </w:tcPr>
          <w:p w14:paraId="2EC2478E" w14:textId="7BE377CF"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6E3FD233" w14:textId="0228ABB3"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440" w:type="dxa"/>
            <w:tcBorders>
              <w:top w:val="nil"/>
              <w:left w:val="nil"/>
              <w:bottom w:val="single" w:sz="8" w:space="0" w:color="auto"/>
              <w:right w:val="double" w:sz="6" w:space="0" w:color="auto"/>
            </w:tcBorders>
            <w:shd w:val="clear" w:color="000000" w:fill="FFF2CC"/>
            <w:hideMark/>
          </w:tcPr>
          <w:p w14:paraId="216FD089" w14:textId="257E612B"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EF0900" w:rsidRPr="00EF2F18" w14:paraId="126EFB62" w14:textId="77777777" w:rsidTr="00EF0900">
        <w:trPr>
          <w:trHeight w:val="1596"/>
        </w:trPr>
        <w:tc>
          <w:tcPr>
            <w:tcW w:w="2968" w:type="dxa"/>
            <w:tcBorders>
              <w:top w:val="nil"/>
              <w:left w:val="double" w:sz="6" w:space="0" w:color="auto"/>
              <w:bottom w:val="single" w:sz="8" w:space="0" w:color="auto"/>
              <w:right w:val="single" w:sz="8" w:space="0" w:color="auto"/>
            </w:tcBorders>
            <w:hideMark/>
          </w:tcPr>
          <w:p w14:paraId="65A35AC2"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6.2.1.1. Израда анализе институционалног оквира и улоге регионалних и локалних заједница и удружења за примену прописа од значаја за примену Архуске конвенције</w:t>
            </w:r>
          </w:p>
        </w:tc>
        <w:tc>
          <w:tcPr>
            <w:tcW w:w="1252" w:type="dxa"/>
            <w:tcBorders>
              <w:top w:val="nil"/>
              <w:left w:val="nil"/>
              <w:bottom w:val="single" w:sz="8" w:space="0" w:color="auto"/>
              <w:right w:val="single" w:sz="8" w:space="0" w:color="auto"/>
            </w:tcBorders>
            <w:hideMark/>
          </w:tcPr>
          <w:p w14:paraId="46DDBB8A"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37" w:type="dxa"/>
            <w:tcBorders>
              <w:top w:val="nil"/>
              <w:left w:val="nil"/>
              <w:bottom w:val="single" w:sz="8" w:space="0" w:color="auto"/>
              <w:right w:val="single" w:sz="8" w:space="0" w:color="auto"/>
            </w:tcBorders>
            <w:hideMark/>
          </w:tcPr>
          <w:p w14:paraId="437068A9"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ОЦД </w:t>
            </w:r>
          </w:p>
        </w:tc>
        <w:tc>
          <w:tcPr>
            <w:tcW w:w="1182" w:type="dxa"/>
            <w:tcBorders>
              <w:top w:val="nil"/>
              <w:left w:val="nil"/>
              <w:bottom w:val="single" w:sz="8" w:space="0" w:color="auto"/>
              <w:right w:val="single" w:sz="8" w:space="0" w:color="auto"/>
            </w:tcBorders>
            <w:hideMark/>
          </w:tcPr>
          <w:p w14:paraId="4A6BF8D4" w14:textId="6FA880FC" w:rsidR="00EF0900" w:rsidRPr="00EF2F18" w:rsidRDefault="00503EE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00EF0900" w:rsidRPr="00EF2F18">
              <w:rPr>
                <w:rFonts w:eastAsia="Times New Roman" w:cs="Times New Roman"/>
                <w:color w:val="000000"/>
                <w:sz w:val="20"/>
                <w:szCs w:val="20"/>
                <w:lang w:val="sr-Cyrl-RS" w:eastAsia="en-GB"/>
              </w:rPr>
              <w:t>. квартал 202</w:t>
            </w:r>
            <w:r w:rsidRPr="00EF2F18">
              <w:rPr>
                <w:rFonts w:eastAsia="Times New Roman" w:cs="Times New Roman"/>
                <w:color w:val="000000"/>
                <w:sz w:val="20"/>
                <w:szCs w:val="20"/>
                <w:lang w:val="sr-Cyrl-RS" w:eastAsia="en-GB"/>
              </w:rPr>
              <w:t>7</w:t>
            </w:r>
            <w:r w:rsidR="00EF0900" w:rsidRPr="00EF2F18">
              <w:rPr>
                <w:rFonts w:eastAsia="Times New Roman" w:cs="Times New Roman"/>
                <w:color w:val="000000"/>
                <w:sz w:val="20"/>
                <w:szCs w:val="20"/>
                <w:lang w:val="sr-Cyrl-RS" w:eastAsia="en-GB"/>
              </w:rPr>
              <w:t>.</w:t>
            </w:r>
          </w:p>
        </w:tc>
        <w:tc>
          <w:tcPr>
            <w:tcW w:w="1691" w:type="dxa"/>
            <w:tcBorders>
              <w:top w:val="nil"/>
              <w:left w:val="nil"/>
              <w:bottom w:val="single" w:sz="8" w:space="0" w:color="auto"/>
              <w:right w:val="single" w:sz="8" w:space="0" w:color="auto"/>
            </w:tcBorders>
            <w:hideMark/>
          </w:tcPr>
          <w:p w14:paraId="2B35CA43"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средства/редовна издвајања</w:t>
            </w:r>
          </w:p>
        </w:tc>
        <w:tc>
          <w:tcPr>
            <w:tcW w:w="1340" w:type="dxa"/>
            <w:tcBorders>
              <w:top w:val="nil"/>
              <w:left w:val="nil"/>
              <w:bottom w:val="single" w:sz="8" w:space="0" w:color="auto"/>
              <w:right w:val="single" w:sz="8" w:space="0" w:color="auto"/>
            </w:tcBorders>
            <w:hideMark/>
          </w:tcPr>
          <w:p w14:paraId="499D3FBC"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197" w:type="dxa"/>
            <w:tcBorders>
              <w:top w:val="nil"/>
              <w:left w:val="nil"/>
              <w:bottom w:val="single" w:sz="8" w:space="0" w:color="auto"/>
              <w:right w:val="single" w:sz="8" w:space="0" w:color="auto"/>
            </w:tcBorders>
          </w:tcPr>
          <w:p w14:paraId="75CB0A64" w14:textId="37DAE3D1" w:rsidR="00EF0900" w:rsidRPr="00EF2F18" w:rsidRDefault="00EF0900"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095A9910" w14:textId="42865E42" w:rsidR="00EF0900" w:rsidRPr="00EF2F18" w:rsidRDefault="00EF0900"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double" w:sz="6" w:space="0" w:color="auto"/>
            </w:tcBorders>
          </w:tcPr>
          <w:p w14:paraId="73AEC2AA" w14:textId="742ECD49"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0A2E8921" w14:textId="77777777" w:rsidTr="00EF0900">
        <w:trPr>
          <w:trHeight w:val="804"/>
        </w:trPr>
        <w:tc>
          <w:tcPr>
            <w:tcW w:w="2968" w:type="dxa"/>
            <w:tcBorders>
              <w:top w:val="nil"/>
              <w:left w:val="double" w:sz="6" w:space="0" w:color="auto"/>
              <w:bottom w:val="single" w:sz="8" w:space="0" w:color="auto"/>
              <w:right w:val="single" w:sz="8" w:space="0" w:color="auto"/>
            </w:tcBorders>
            <w:hideMark/>
          </w:tcPr>
          <w:p w14:paraId="46AE8963"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6.2.1.2. Израда анализе за дугорочну процену капацитета за примену Архуске конвенције</w:t>
            </w:r>
          </w:p>
        </w:tc>
        <w:tc>
          <w:tcPr>
            <w:tcW w:w="1252" w:type="dxa"/>
            <w:tcBorders>
              <w:top w:val="nil"/>
              <w:left w:val="nil"/>
              <w:bottom w:val="single" w:sz="8" w:space="0" w:color="auto"/>
              <w:right w:val="single" w:sz="8" w:space="0" w:color="auto"/>
            </w:tcBorders>
            <w:hideMark/>
          </w:tcPr>
          <w:p w14:paraId="30D969F1"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37" w:type="dxa"/>
            <w:tcBorders>
              <w:top w:val="nil"/>
              <w:left w:val="nil"/>
              <w:bottom w:val="single" w:sz="8" w:space="0" w:color="auto"/>
              <w:right w:val="single" w:sz="8" w:space="0" w:color="auto"/>
            </w:tcBorders>
            <w:hideMark/>
          </w:tcPr>
          <w:p w14:paraId="1FC20743"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w:t>
            </w:r>
          </w:p>
        </w:tc>
        <w:tc>
          <w:tcPr>
            <w:tcW w:w="1182" w:type="dxa"/>
            <w:tcBorders>
              <w:top w:val="nil"/>
              <w:left w:val="nil"/>
              <w:bottom w:val="single" w:sz="8" w:space="0" w:color="auto"/>
              <w:right w:val="single" w:sz="8" w:space="0" w:color="auto"/>
            </w:tcBorders>
            <w:hideMark/>
          </w:tcPr>
          <w:p w14:paraId="719D5E78" w14:textId="70FAFA51"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4.квартал 2026.</w:t>
            </w:r>
          </w:p>
        </w:tc>
        <w:tc>
          <w:tcPr>
            <w:tcW w:w="1691" w:type="dxa"/>
            <w:tcBorders>
              <w:top w:val="nil"/>
              <w:left w:val="nil"/>
              <w:bottom w:val="single" w:sz="8" w:space="0" w:color="auto"/>
              <w:right w:val="single" w:sz="8" w:space="0" w:color="auto"/>
            </w:tcBorders>
            <w:hideMark/>
          </w:tcPr>
          <w:p w14:paraId="3D3E0639" w14:textId="1C355AB9"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nil"/>
              <w:left w:val="nil"/>
              <w:bottom w:val="single" w:sz="8" w:space="0" w:color="auto"/>
              <w:right w:val="single" w:sz="8" w:space="0" w:color="auto"/>
            </w:tcBorders>
          </w:tcPr>
          <w:p w14:paraId="0F819074" w14:textId="3FE0BE1D" w:rsidR="00EF0900" w:rsidRPr="00EF2F18" w:rsidRDefault="00EF0900" w:rsidP="00752CA0">
            <w:pPr>
              <w:spacing w:after="0"/>
              <w:rPr>
                <w:rFonts w:eastAsia="Times New Roman" w:cs="Times New Roman"/>
                <w:color w:val="000000"/>
                <w:sz w:val="20"/>
                <w:szCs w:val="20"/>
                <w:highlight w:val="yellow"/>
                <w:lang w:val="sr-Cyrl-RS" w:eastAsia="en-GB"/>
              </w:rPr>
            </w:pPr>
          </w:p>
        </w:tc>
        <w:tc>
          <w:tcPr>
            <w:tcW w:w="1197" w:type="dxa"/>
            <w:tcBorders>
              <w:top w:val="nil"/>
              <w:left w:val="nil"/>
              <w:bottom w:val="single" w:sz="8" w:space="0" w:color="auto"/>
              <w:right w:val="single" w:sz="8" w:space="0" w:color="auto"/>
            </w:tcBorders>
          </w:tcPr>
          <w:p w14:paraId="2E8263DC" w14:textId="46516354" w:rsidR="00EF0900" w:rsidRPr="00EF2F18" w:rsidRDefault="00EF0900"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5B3DB2BB" w14:textId="00B1F6B0" w:rsidR="00EF0900" w:rsidRPr="00EF2F18" w:rsidRDefault="00EF0900"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double" w:sz="6" w:space="0" w:color="auto"/>
            </w:tcBorders>
          </w:tcPr>
          <w:p w14:paraId="68FE9888" w14:textId="58D1B8F8"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2C131018" w14:textId="77777777" w:rsidTr="00EF0900">
        <w:trPr>
          <w:trHeight w:val="1596"/>
        </w:trPr>
        <w:tc>
          <w:tcPr>
            <w:tcW w:w="2968" w:type="dxa"/>
            <w:tcBorders>
              <w:top w:val="nil"/>
              <w:left w:val="double" w:sz="6" w:space="0" w:color="auto"/>
              <w:bottom w:val="double" w:sz="6" w:space="0" w:color="auto"/>
              <w:right w:val="single" w:sz="8" w:space="0" w:color="auto"/>
            </w:tcBorders>
            <w:hideMark/>
          </w:tcPr>
          <w:p w14:paraId="364F63CC"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6.2.1.3. Израда програма обуке са радним материјалом и њихово периодично ажурирање за државне службенике, службенике ЈЛС и заинтересоване стране и континуирано спровођење обука</w:t>
            </w:r>
          </w:p>
        </w:tc>
        <w:tc>
          <w:tcPr>
            <w:tcW w:w="1252" w:type="dxa"/>
            <w:tcBorders>
              <w:top w:val="nil"/>
              <w:left w:val="nil"/>
              <w:bottom w:val="double" w:sz="6" w:space="0" w:color="auto"/>
              <w:right w:val="single" w:sz="8" w:space="0" w:color="auto"/>
            </w:tcBorders>
            <w:hideMark/>
          </w:tcPr>
          <w:p w14:paraId="1EB4546A"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37" w:type="dxa"/>
            <w:tcBorders>
              <w:top w:val="nil"/>
              <w:left w:val="nil"/>
              <w:bottom w:val="double" w:sz="6" w:space="0" w:color="auto"/>
              <w:right w:val="single" w:sz="8" w:space="0" w:color="auto"/>
            </w:tcBorders>
            <w:hideMark/>
          </w:tcPr>
          <w:p w14:paraId="07172F0B"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ОЦД</w:t>
            </w:r>
          </w:p>
        </w:tc>
        <w:tc>
          <w:tcPr>
            <w:tcW w:w="1182" w:type="dxa"/>
            <w:tcBorders>
              <w:top w:val="nil"/>
              <w:left w:val="nil"/>
              <w:bottom w:val="double" w:sz="6" w:space="0" w:color="auto"/>
              <w:right w:val="single" w:sz="8" w:space="0" w:color="auto"/>
            </w:tcBorders>
            <w:hideMark/>
          </w:tcPr>
          <w:p w14:paraId="1F7465E1"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double" w:sz="6" w:space="0" w:color="auto"/>
              <w:right w:val="single" w:sz="8" w:space="0" w:color="auto"/>
            </w:tcBorders>
            <w:hideMark/>
          </w:tcPr>
          <w:p w14:paraId="4F753B02"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средства/редовна издвајања</w:t>
            </w:r>
          </w:p>
        </w:tc>
        <w:tc>
          <w:tcPr>
            <w:tcW w:w="1340" w:type="dxa"/>
            <w:tcBorders>
              <w:top w:val="nil"/>
              <w:left w:val="nil"/>
              <w:bottom w:val="double" w:sz="6" w:space="0" w:color="auto"/>
              <w:right w:val="single" w:sz="8" w:space="0" w:color="auto"/>
            </w:tcBorders>
            <w:hideMark/>
          </w:tcPr>
          <w:p w14:paraId="5F65A67F"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197" w:type="dxa"/>
            <w:tcBorders>
              <w:top w:val="nil"/>
              <w:left w:val="nil"/>
              <w:bottom w:val="double" w:sz="6" w:space="0" w:color="auto"/>
              <w:right w:val="single" w:sz="8" w:space="0" w:color="auto"/>
            </w:tcBorders>
          </w:tcPr>
          <w:p w14:paraId="025B8404" w14:textId="5E6A28C3" w:rsidR="00EF0900" w:rsidRPr="00EF2F18" w:rsidRDefault="00EF0900"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double" w:sz="6" w:space="0" w:color="auto"/>
              <w:right w:val="single" w:sz="8" w:space="0" w:color="auto"/>
            </w:tcBorders>
          </w:tcPr>
          <w:p w14:paraId="0BE43D43" w14:textId="60E2231E" w:rsidR="00EF0900" w:rsidRPr="00EF2F18" w:rsidRDefault="00EF0900"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double" w:sz="6" w:space="0" w:color="auto"/>
              <w:right w:val="double" w:sz="6" w:space="0" w:color="auto"/>
            </w:tcBorders>
          </w:tcPr>
          <w:p w14:paraId="4E0EE279" w14:textId="3B5C597F" w:rsidR="00EF0900" w:rsidRPr="00EF2F18" w:rsidRDefault="00EF0900" w:rsidP="00752CA0">
            <w:pPr>
              <w:spacing w:after="0"/>
              <w:jc w:val="right"/>
              <w:rPr>
                <w:rFonts w:eastAsia="Times New Roman" w:cs="Times New Roman"/>
                <w:color w:val="000000"/>
                <w:sz w:val="20"/>
                <w:szCs w:val="20"/>
                <w:lang w:val="sr-Cyrl-RS" w:eastAsia="en-GB"/>
              </w:rPr>
            </w:pPr>
          </w:p>
        </w:tc>
      </w:tr>
    </w:tbl>
    <w:p w14:paraId="725D3298" w14:textId="44E2CA9C" w:rsidR="007D7243" w:rsidRPr="00EF2F18" w:rsidRDefault="00021365"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tbl>
      <w:tblPr>
        <w:tblW w:w="1356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1000"/>
        <w:gridCol w:w="1520"/>
        <w:gridCol w:w="1060"/>
        <w:gridCol w:w="1060"/>
        <w:gridCol w:w="2047"/>
      </w:tblGrid>
      <w:tr w:rsidR="007D7243" w:rsidRPr="00EF2F18" w14:paraId="2E4C4784" w14:textId="77777777" w:rsidTr="00EF0900">
        <w:trPr>
          <w:trHeight w:val="336"/>
        </w:trPr>
        <w:tc>
          <w:tcPr>
            <w:tcW w:w="13567" w:type="dxa"/>
            <w:gridSpan w:val="9"/>
            <w:shd w:val="clear" w:color="000000" w:fill="F7CAAC"/>
            <w:hideMark/>
          </w:tcPr>
          <w:p w14:paraId="7C6AF52A"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6.2.2: Обезбеђивање објављивања података и информација о животној средини</w:t>
            </w:r>
          </w:p>
        </w:tc>
      </w:tr>
      <w:tr w:rsidR="007D7243" w:rsidRPr="00EF2F18" w14:paraId="7015469B" w14:textId="77777777" w:rsidTr="00EF0900">
        <w:trPr>
          <w:trHeight w:val="336"/>
        </w:trPr>
        <w:tc>
          <w:tcPr>
            <w:tcW w:w="13567" w:type="dxa"/>
            <w:gridSpan w:val="9"/>
            <w:shd w:val="clear" w:color="000000" w:fill="F7CAAC"/>
            <w:hideMark/>
          </w:tcPr>
          <w:p w14:paraId="3F606526"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Агенција за заштиту животне средине </w:t>
            </w:r>
          </w:p>
        </w:tc>
      </w:tr>
      <w:tr w:rsidR="007D7243" w:rsidRPr="00EF2F18" w14:paraId="0C9FDDBD" w14:textId="77777777" w:rsidTr="00EF0900">
        <w:trPr>
          <w:trHeight w:val="336"/>
        </w:trPr>
        <w:tc>
          <w:tcPr>
            <w:tcW w:w="6880" w:type="dxa"/>
            <w:gridSpan w:val="4"/>
            <w:shd w:val="clear" w:color="000000" w:fill="F7CAAC"/>
            <w:hideMark/>
          </w:tcPr>
          <w:p w14:paraId="7B42A669" w14:textId="731884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743C4B"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687" w:type="dxa"/>
            <w:gridSpan w:val="5"/>
            <w:shd w:val="clear" w:color="000000" w:fill="F7CAAC"/>
            <w:hideMark/>
          </w:tcPr>
          <w:p w14:paraId="46F6FEF5" w14:textId="265A1896" w:rsidR="007D7243" w:rsidRPr="00EF2F18" w:rsidRDefault="007D7243" w:rsidP="001534F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w:t>
            </w:r>
            <w:r w:rsidR="001534F6"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едукативна</w:t>
            </w:r>
          </w:p>
        </w:tc>
      </w:tr>
      <w:tr w:rsidR="007D7243" w:rsidRPr="00EF2F18" w14:paraId="589A008C" w14:textId="77777777" w:rsidTr="00EF0900">
        <w:trPr>
          <w:trHeight w:val="336"/>
        </w:trPr>
        <w:tc>
          <w:tcPr>
            <w:tcW w:w="6880" w:type="dxa"/>
            <w:gridSpan w:val="4"/>
            <w:shd w:val="clear" w:color="000000" w:fill="F7CAAC"/>
            <w:hideMark/>
          </w:tcPr>
          <w:p w14:paraId="6C0A623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87" w:type="dxa"/>
            <w:gridSpan w:val="5"/>
            <w:shd w:val="clear" w:color="000000" w:fill="F7CAAC"/>
            <w:hideMark/>
          </w:tcPr>
          <w:p w14:paraId="6567C268"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F0900" w:rsidRPr="00EF2F18" w14:paraId="074E6DEF" w14:textId="77777777" w:rsidTr="00EF0900">
        <w:trPr>
          <w:trHeight w:val="816"/>
        </w:trPr>
        <w:tc>
          <w:tcPr>
            <w:tcW w:w="3320" w:type="dxa"/>
            <w:shd w:val="clear" w:color="000000" w:fill="D9D9D9"/>
            <w:hideMark/>
          </w:tcPr>
          <w:p w14:paraId="2713E2DD"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shd w:val="clear" w:color="000000" w:fill="D9D9D9"/>
            <w:hideMark/>
          </w:tcPr>
          <w:p w14:paraId="40F2F042"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shd w:val="clear" w:color="000000" w:fill="D9D9D9"/>
            <w:hideMark/>
          </w:tcPr>
          <w:p w14:paraId="42F7E1C1"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shd w:val="clear" w:color="000000" w:fill="D9D9D9"/>
            <w:hideMark/>
          </w:tcPr>
          <w:p w14:paraId="3A9C716B"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520" w:type="dxa"/>
            <w:shd w:val="clear" w:color="000000" w:fill="D9D9D9"/>
            <w:hideMark/>
          </w:tcPr>
          <w:p w14:paraId="1EB7FA94"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shd w:val="clear" w:color="000000" w:fill="D9D9D9"/>
            <w:hideMark/>
          </w:tcPr>
          <w:p w14:paraId="1CE51AEC"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060" w:type="dxa"/>
            <w:shd w:val="clear" w:color="000000" w:fill="D9D9D9"/>
            <w:hideMark/>
          </w:tcPr>
          <w:p w14:paraId="1C46878F"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2047" w:type="dxa"/>
            <w:shd w:val="clear" w:color="000000" w:fill="D9D9D9"/>
            <w:hideMark/>
          </w:tcPr>
          <w:p w14:paraId="58CB38C9"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F0900" w:rsidRPr="00EF2F18" w14:paraId="62F62F74" w14:textId="77777777" w:rsidTr="00EF0900">
        <w:trPr>
          <w:trHeight w:val="552"/>
        </w:trPr>
        <w:tc>
          <w:tcPr>
            <w:tcW w:w="3320" w:type="dxa"/>
            <w:shd w:val="clear" w:color="000000" w:fill="FFFFFF"/>
            <w:hideMark/>
          </w:tcPr>
          <w:p w14:paraId="66DC276A"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Број нових скупова информација и података, годишње </w:t>
            </w:r>
          </w:p>
        </w:tc>
        <w:tc>
          <w:tcPr>
            <w:tcW w:w="1280" w:type="dxa"/>
            <w:shd w:val="clear" w:color="000000" w:fill="FFFFFF"/>
            <w:hideMark/>
          </w:tcPr>
          <w:p w14:paraId="26E0F330"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shd w:val="clear" w:color="000000" w:fill="FFFFFF"/>
            <w:hideMark/>
          </w:tcPr>
          <w:p w14:paraId="1EDE3E93" w14:textId="77777777" w:rsidR="00EF0900" w:rsidRPr="00EF2F18" w:rsidRDefault="00EF0900"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Извештаји АЗЖС</w:t>
            </w:r>
          </w:p>
        </w:tc>
        <w:tc>
          <w:tcPr>
            <w:tcW w:w="2000" w:type="dxa"/>
            <w:gridSpan w:val="2"/>
            <w:shd w:val="clear" w:color="000000" w:fill="FFFFFF"/>
            <w:hideMark/>
          </w:tcPr>
          <w:p w14:paraId="4F13417A"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shd w:val="clear" w:color="000000" w:fill="FFFFFF"/>
            <w:hideMark/>
          </w:tcPr>
          <w:p w14:paraId="30C3C860"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hideMark/>
          </w:tcPr>
          <w:p w14:paraId="0C12C99F"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c>
          <w:tcPr>
            <w:tcW w:w="1060" w:type="dxa"/>
            <w:hideMark/>
          </w:tcPr>
          <w:p w14:paraId="47CD8857"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c>
          <w:tcPr>
            <w:tcW w:w="2047" w:type="dxa"/>
            <w:hideMark/>
          </w:tcPr>
          <w:p w14:paraId="32F4588F" w14:textId="77777777"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w:t>
            </w:r>
          </w:p>
        </w:tc>
      </w:tr>
    </w:tbl>
    <w:p w14:paraId="19875640" w14:textId="77777777" w:rsidR="007D7243" w:rsidRPr="00EF2F18" w:rsidRDefault="007D7243" w:rsidP="007D7243">
      <w:pPr>
        <w:rPr>
          <w:rFonts w:cs="Times New Roman"/>
          <w:sz w:val="20"/>
          <w:szCs w:val="20"/>
          <w:lang w:val="sr-Cyrl-RS"/>
        </w:rPr>
      </w:pPr>
    </w:p>
    <w:tbl>
      <w:tblPr>
        <w:tblW w:w="13567" w:type="dxa"/>
        <w:tblLook w:val="04A0" w:firstRow="1" w:lastRow="0" w:firstColumn="1" w:lastColumn="0" w:noHBand="0" w:noVBand="1"/>
      </w:tblPr>
      <w:tblGrid>
        <w:gridCol w:w="3800"/>
        <w:gridCol w:w="2480"/>
        <w:gridCol w:w="2427"/>
        <w:gridCol w:w="2160"/>
        <w:gridCol w:w="2693"/>
        <w:gridCol w:w="7"/>
      </w:tblGrid>
      <w:tr w:rsidR="007D7243" w:rsidRPr="00EF2F18" w14:paraId="506A2126" w14:textId="77777777" w:rsidTr="00EF0900">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804984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353FE5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2851425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F0900" w:rsidRPr="00EF2F18" w14:paraId="132A0A00" w14:textId="77777777" w:rsidTr="00EF0900">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12869516" w14:textId="77777777" w:rsidR="00EF0900" w:rsidRPr="00EF2F18" w:rsidRDefault="00EF0900"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50121E25" w14:textId="77777777" w:rsidR="00EF0900" w:rsidRPr="00EF2F18" w:rsidRDefault="00EF0900" w:rsidP="00752CA0">
            <w:pPr>
              <w:spacing w:after="0"/>
              <w:rPr>
                <w:rFonts w:eastAsia="Times New Roman" w:cs="Times New Roman"/>
                <w:color w:val="000000"/>
                <w:sz w:val="20"/>
                <w:szCs w:val="20"/>
                <w:lang w:val="sr-Cyrl-RS" w:eastAsia="en-GB"/>
              </w:rPr>
            </w:pPr>
          </w:p>
        </w:tc>
        <w:tc>
          <w:tcPr>
            <w:tcW w:w="2427" w:type="dxa"/>
            <w:tcBorders>
              <w:top w:val="nil"/>
              <w:left w:val="nil"/>
              <w:bottom w:val="double" w:sz="6" w:space="0" w:color="auto"/>
              <w:right w:val="double" w:sz="6" w:space="0" w:color="auto"/>
            </w:tcBorders>
            <w:shd w:val="clear" w:color="000000" w:fill="A8D08D"/>
            <w:hideMark/>
          </w:tcPr>
          <w:p w14:paraId="4D09D07B" w14:textId="655FEA7E"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0C8FE7A9" w14:textId="2DF04E7F"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700" w:type="dxa"/>
            <w:gridSpan w:val="2"/>
            <w:tcBorders>
              <w:top w:val="nil"/>
              <w:left w:val="nil"/>
              <w:bottom w:val="double" w:sz="6" w:space="0" w:color="auto"/>
              <w:right w:val="double" w:sz="6" w:space="0" w:color="auto"/>
            </w:tcBorders>
            <w:shd w:val="clear" w:color="000000" w:fill="A8D08D"/>
            <w:hideMark/>
          </w:tcPr>
          <w:p w14:paraId="07B7043B" w14:textId="5B45A7F6"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F0900" w:rsidRPr="00EF2F18" w14:paraId="3009F84A" w14:textId="77777777" w:rsidTr="00EF0900">
        <w:trPr>
          <w:trHeight w:val="336"/>
        </w:trPr>
        <w:tc>
          <w:tcPr>
            <w:tcW w:w="3800" w:type="dxa"/>
            <w:tcBorders>
              <w:top w:val="nil"/>
              <w:left w:val="double" w:sz="6" w:space="0" w:color="auto"/>
              <w:bottom w:val="double" w:sz="6" w:space="0" w:color="auto"/>
              <w:right w:val="double" w:sz="6" w:space="0" w:color="auto"/>
            </w:tcBorders>
            <w:shd w:val="clear" w:color="000000" w:fill="FFFFFF"/>
          </w:tcPr>
          <w:p w14:paraId="51D891FB" w14:textId="236CD2E0" w:rsidR="00EF0900" w:rsidRPr="00EF2F18" w:rsidRDefault="00EF0900" w:rsidP="00B57D8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/редовна издвајања (АЗЖС)</w:t>
            </w:r>
          </w:p>
        </w:tc>
        <w:tc>
          <w:tcPr>
            <w:tcW w:w="2480" w:type="dxa"/>
            <w:tcBorders>
              <w:top w:val="nil"/>
              <w:left w:val="nil"/>
              <w:bottom w:val="double" w:sz="6" w:space="0" w:color="auto"/>
              <w:right w:val="double" w:sz="6" w:space="0" w:color="auto"/>
            </w:tcBorders>
            <w:shd w:val="clear" w:color="000000" w:fill="FFFFFF"/>
          </w:tcPr>
          <w:p w14:paraId="7C6521FF" w14:textId="2D497E06" w:rsidR="00EF0900" w:rsidRPr="00EF2F18" w:rsidRDefault="00EF0900" w:rsidP="00B57D82">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tc>
        <w:tc>
          <w:tcPr>
            <w:tcW w:w="2427" w:type="dxa"/>
            <w:tcBorders>
              <w:top w:val="nil"/>
              <w:left w:val="nil"/>
              <w:bottom w:val="double" w:sz="6" w:space="0" w:color="auto"/>
              <w:right w:val="double" w:sz="6" w:space="0" w:color="auto"/>
            </w:tcBorders>
          </w:tcPr>
          <w:p w14:paraId="09E3189E" w14:textId="77777777" w:rsidR="00EF0900" w:rsidRPr="00EF2F18" w:rsidRDefault="00EF0900" w:rsidP="00B57D82">
            <w:pPr>
              <w:spacing w:after="0"/>
              <w:jc w:val="right"/>
              <w:rPr>
                <w:rFonts w:eastAsia="Times New Roman" w:cs="Times New Roman"/>
                <w:color w:val="000000"/>
                <w:sz w:val="20"/>
                <w:szCs w:val="20"/>
                <w:lang w:val="sr-Cyrl-RS" w:eastAsia="en-GB"/>
              </w:rPr>
            </w:pPr>
          </w:p>
        </w:tc>
        <w:tc>
          <w:tcPr>
            <w:tcW w:w="2160" w:type="dxa"/>
            <w:tcBorders>
              <w:top w:val="nil"/>
              <w:left w:val="nil"/>
              <w:bottom w:val="double" w:sz="6" w:space="0" w:color="auto"/>
              <w:right w:val="double" w:sz="6" w:space="0" w:color="auto"/>
            </w:tcBorders>
          </w:tcPr>
          <w:p w14:paraId="68340A1C" w14:textId="77777777" w:rsidR="00EF0900" w:rsidRPr="00EF2F18" w:rsidRDefault="00EF0900" w:rsidP="00B57D82">
            <w:pPr>
              <w:spacing w:after="0"/>
              <w:jc w:val="right"/>
              <w:rPr>
                <w:rFonts w:eastAsia="Times New Roman" w:cs="Times New Roman"/>
                <w:color w:val="000000"/>
                <w:sz w:val="20"/>
                <w:szCs w:val="20"/>
                <w:lang w:val="sr-Cyrl-RS" w:eastAsia="en-GB"/>
              </w:rPr>
            </w:pPr>
          </w:p>
        </w:tc>
        <w:tc>
          <w:tcPr>
            <w:tcW w:w="2700" w:type="dxa"/>
            <w:gridSpan w:val="2"/>
            <w:tcBorders>
              <w:top w:val="nil"/>
              <w:left w:val="nil"/>
              <w:bottom w:val="double" w:sz="6" w:space="0" w:color="auto"/>
              <w:right w:val="double" w:sz="6" w:space="0" w:color="auto"/>
            </w:tcBorders>
            <w:shd w:val="clear" w:color="000000" w:fill="FFFFFF"/>
          </w:tcPr>
          <w:p w14:paraId="2F74D486" w14:textId="77777777" w:rsidR="00EF0900" w:rsidRPr="00EF2F18" w:rsidRDefault="00EF0900" w:rsidP="00B57D82">
            <w:pPr>
              <w:spacing w:after="0"/>
              <w:jc w:val="right"/>
              <w:rPr>
                <w:rFonts w:eastAsia="Times New Roman" w:cs="Times New Roman"/>
                <w:color w:val="000000"/>
                <w:sz w:val="20"/>
                <w:szCs w:val="20"/>
                <w:lang w:val="sr-Cyrl-RS" w:eastAsia="en-GB"/>
              </w:rPr>
            </w:pPr>
          </w:p>
        </w:tc>
      </w:tr>
    </w:tbl>
    <w:p w14:paraId="545DC411" w14:textId="0446848E" w:rsidR="00630969" w:rsidRPr="00EF2F18" w:rsidRDefault="007D7243" w:rsidP="007D7243">
      <w:pPr>
        <w:rPr>
          <w:sz w:val="20"/>
          <w:szCs w:val="20"/>
          <w:lang w:val="sr-Cyrl-RS"/>
        </w:rPr>
      </w:pPr>
      <w:r w:rsidRPr="00EF2F18">
        <w:rPr>
          <w:sz w:val="20"/>
          <w:szCs w:val="20"/>
          <w:lang w:val="sr-Cyrl-RS"/>
        </w:rPr>
        <w:t xml:space="preserve"> </w:t>
      </w:r>
    </w:p>
    <w:tbl>
      <w:tblPr>
        <w:tblW w:w="13567" w:type="dxa"/>
        <w:tblLook w:val="04A0" w:firstRow="1" w:lastRow="0" w:firstColumn="1" w:lastColumn="0" w:noHBand="0" w:noVBand="1"/>
      </w:tblPr>
      <w:tblGrid>
        <w:gridCol w:w="3078"/>
        <w:gridCol w:w="1272"/>
        <w:gridCol w:w="1240"/>
        <w:gridCol w:w="1182"/>
        <w:gridCol w:w="1399"/>
        <w:gridCol w:w="1340"/>
        <w:gridCol w:w="1266"/>
        <w:gridCol w:w="1170"/>
        <w:gridCol w:w="1620"/>
      </w:tblGrid>
      <w:tr w:rsidR="007D7243" w:rsidRPr="00EF2F18" w14:paraId="2C056D8C" w14:textId="77777777" w:rsidTr="00EF0900">
        <w:trPr>
          <w:trHeight w:val="732"/>
        </w:trPr>
        <w:tc>
          <w:tcPr>
            <w:tcW w:w="3078"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297F6F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7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AEAB1F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8B9D56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C3BA7C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39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79F75D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B77E9E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56" w:type="dxa"/>
            <w:gridSpan w:val="3"/>
            <w:tcBorders>
              <w:top w:val="double" w:sz="6" w:space="0" w:color="auto"/>
              <w:left w:val="nil"/>
              <w:bottom w:val="single" w:sz="8" w:space="0" w:color="auto"/>
              <w:right w:val="double" w:sz="6" w:space="0" w:color="auto"/>
            </w:tcBorders>
            <w:shd w:val="clear" w:color="000000" w:fill="FFF2CC"/>
            <w:hideMark/>
          </w:tcPr>
          <w:p w14:paraId="5255435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F0900" w:rsidRPr="00EF2F18" w14:paraId="5A10AD3A" w14:textId="77777777" w:rsidTr="00CF69DC">
        <w:trPr>
          <w:trHeight w:val="324"/>
        </w:trPr>
        <w:tc>
          <w:tcPr>
            <w:tcW w:w="3078" w:type="dxa"/>
            <w:vMerge/>
            <w:tcBorders>
              <w:top w:val="double" w:sz="6" w:space="0" w:color="auto"/>
              <w:left w:val="double" w:sz="6" w:space="0" w:color="auto"/>
              <w:bottom w:val="single" w:sz="8" w:space="0" w:color="000000"/>
              <w:right w:val="single" w:sz="8" w:space="0" w:color="auto"/>
            </w:tcBorders>
            <w:vAlign w:val="center"/>
            <w:hideMark/>
          </w:tcPr>
          <w:p w14:paraId="674860E2" w14:textId="77777777" w:rsidR="00EF0900" w:rsidRPr="00EF2F18" w:rsidRDefault="00EF0900" w:rsidP="00752CA0">
            <w:pPr>
              <w:spacing w:after="0"/>
              <w:rPr>
                <w:rFonts w:eastAsia="Times New Roman" w:cs="Times New Roman"/>
                <w:color w:val="000000"/>
                <w:sz w:val="20"/>
                <w:szCs w:val="20"/>
                <w:lang w:val="sr-Cyrl-RS" w:eastAsia="en-GB"/>
              </w:rPr>
            </w:pPr>
          </w:p>
        </w:tc>
        <w:tc>
          <w:tcPr>
            <w:tcW w:w="1272" w:type="dxa"/>
            <w:vMerge/>
            <w:tcBorders>
              <w:top w:val="double" w:sz="6" w:space="0" w:color="auto"/>
              <w:left w:val="single" w:sz="8" w:space="0" w:color="auto"/>
              <w:bottom w:val="single" w:sz="8" w:space="0" w:color="000000"/>
              <w:right w:val="single" w:sz="8" w:space="0" w:color="auto"/>
            </w:tcBorders>
            <w:vAlign w:val="center"/>
            <w:hideMark/>
          </w:tcPr>
          <w:p w14:paraId="5EB9B3D0" w14:textId="77777777" w:rsidR="00EF0900" w:rsidRPr="00EF2F18" w:rsidRDefault="00EF0900"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15341A1E" w14:textId="77777777" w:rsidR="00EF0900" w:rsidRPr="00EF2F18" w:rsidRDefault="00EF0900"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0ADAA56D" w14:textId="77777777" w:rsidR="00EF0900" w:rsidRPr="00EF2F18" w:rsidRDefault="00EF0900" w:rsidP="00752CA0">
            <w:pPr>
              <w:spacing w:after="0"/>
              <w:rPr>
                <w:rFonts w:eastAsia="Times New Roman" w:cs="Times New Roman"/>
                <w:color w:val="000000"/>
                <w:sz w:val="20"/>
                <w:szCs w:val="20"/>
                <w:lang w:val="sr-Cyrl-RS" w:eastAsia="en-GB"/>
              </w:rPr>
            </w:pPr>
          </w:p>
        </w:tc>
        <w:tc>
          <w:tcPr>
            <w:tcW w:w="1399" w:type="dxa"/>
            <w:vMerge/>
            <w:tcBorders>
              <w:top w:val="double" w:sz="6" w:space="0" w:color="auto"/>
              <w:left w:val="single" w:sz="8" w:space="0" w:color="auto"/>
              <w:bottom w:val="single" w:sz="8" w:space="0" w:color="000000"/>
              <w:right w:val="single" w:sz="8" w:space="0" w:color="auto"/>
            </w:tcBorders>
            <w:vAlign w:val="center"/>
            <w:hideMark/>
          </w:tcPr>
          <w:p w14:paraId="010906BE" w14:textId="77777777" w:rsidR="00EF0900" w:rsidRPr="00EF2F18" w:rsidRDefault="00EF0900"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525446B8" w14:textId="77777777" w:rsidR="00EF0900" w:rsidRPr="00EF2F18" w:rsidRDefault="00EF0900" w:rsidP="00752CA0">
            <w:pPr>
              <w:spacing w:after="0"/>
              <w:rPr>
                <w:rFonts w:eastAsia="Times New Roman" w:cs="Times New Roman"/>
                <w:color w:val="000000"/>
                <w:sz w:val="20"/>
                <w:szCs w:val="20"/>
                <w:lang w:val="sr-Cyrl-RS" w:eastAsia="en-GB"/>
              </w:rPr>
            </w:pPr>
          </w:p>
        </w:tc>
        <w:tc>
          <w:tcPr>
            <w:tcW w:w="1266" w:type="dxa"/>
            <w:tcBorders>
              <w:top w:val="nil"/>
              <w:left w:val="nil"/>
              <w:bottom w:val="single" w:sz="8" w:space="0" w:color="auto"/>
              <w:right w:val="single" w:sz="8" w:space="0" w:color="auto"/>
            </w:tcBorders>
            <w:shd w:val="clear" w:color="000000" w:fill="FFF2CC"/>
            <w:hideMark/>
          </w:tcPr>
          <w:p w14:paraId="0DC2F3B5" w14:textId="0DE74A4E"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0B0C16C9" w14:textId="3059F41B"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w:t>
            </w:r>
          </w:p>
        </w:tc>
        <w:tc>
          <w:tcPr>
            <w:tcW w:w="1620" w:type="dxa"/>
            <w:tcBorders>
              <w:top w:val="nil"/>
              <w:left w:val="nil"/>
              <w:bottom w:val="single" w:sz="8" w:space="0" w:color="auto"/>
              <w:right w:val="double" w:sz="6" w:space="0" w:color="auto"/>
            </w:tcBorders>
            <w:shd w:val="clear" w:color="000000" w:fill="FFF2CC"/>
            <w:hideMark/>
          </w:tcPr>
          <w:p w14:paraId="69D2E10D" w14:textId="5A00A588" w:rsidR="00EF0900" w:rsidRPr="00EF2F18" w:rsidRDefault="00EF0900"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EF0900" w:rsidRPr="00EF2F18" w14:paraId="6795982E" w14:textId="77777777" w:rsidTr="00630969">
        <w:trPr>
          <w:trHeight w:val="3607"/>
        </w:trPr>
        <w:tc>
          <w:tcPr>
            <w:tcW w:w="3078" w:type="dxa"/>
            <w:tcBorders>
              <w:top w:val="nil"/>
              <w:left w:val="double" w:sz="6" w:space="0" w:color="auto"/>
              <w:bottom w:val="single" w:sz="8" w:space="0" w:color="auto"/>
              <w:right w:val="single" w:sz="8" w:space="0" w:color="auto"/>
            </w:tcBorders>
            <w:hideMark/>
          </w:tcPr>
          <w:p w14:paraId="4CD26D6D"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6.2.2.1. Унапређење националног метарегистра и проширење скупа информација о типовима и обиму документације, информација и прикупљених и вођених података, институцијама у чијем поседу се налазе подаци или које су надлежне за њихово чување, линковима ка документима и подацима доступним на Интернету, као и о особама за контакт и процедурама за подношење захтева за приступ подацима који нису доступни на Интернету</w:t>
            </w:r>
          </w:p>
        </w:tc>
        <w:tc>
          <w:tcPr>
            <w:tcW w:w="1272" w:type="dxa"/>
            <w:tcBorders>
              <w:top w:val="nil"/>
              <w:left w:val="nil"/>
              <w:bottom w:val="single" w:sz="8" w:space="0" w:color="auto"/>
              <w:right w:val="single" w:sz="8" w:space="0" w:color="auto"/>
            </w:tcBorders>
            <w:hideMark/>
          </w:tcPr>
          <w:p w14:paraId="3FBCC2E4"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240" w:type="dxa"/>
            <w:tcBorders>
              <w:top w:val="nil"/>
              <w:left w:val="nil"/>
              <w:bottom w:val="single" w:sz="8" w:space="0" w:color="auto"/>
              <w:right w:val="single" w:sz="8" w:space="0" w:color="auto"/>
            </w:tcBorders>
            <w:hideMark/>
          </w:tcPr>
          <w:p w14:paraId="478D8BEE"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ЈЛС, ПИЈЗЗПЛ</w:t>
            </w:r>
          </w:p>
        </w:tc>
        <w:tc>
          <w:tcPr>
            <w:tcW w:w="1182" w:type="dxa"/>
            <w:tcBorders>
              <w:top w:val="nil"/>
              <w:left w:val="nil"/>
              <w:bottom w:val="single" w:sz="8" w:space="0" w:color="auto"/>
              <w:right w:val="single" w:sz="8" w:space="0" w:color="auto"/>
            </w:tcBorders>
            <w:hideMark/>
          </w:tcPr>
          <w:p w14:paraId="1C3E00E8" w14:textId="77777777"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399" w:type="dxa"/>
            <w:tcBorders>
              <w:top w:val="nil"/>
              <w:left w:val="nil"/>
              <w:bottom w:val="single" w:sz="8" w:space="0" w:color="auto"/>
              <w:right w:val="single" w:sz="8" w:space="0" w:color="auto"/>
            </w:tcBorders>
            <w:hideMark/>
          </w:tcPr>
          <w:p w14:paraId="11B576C9" w14:textId="5C095C29"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/редовна издвајања (АЗЖС)</w:t>
            </w:r>
          </w:p>
        </w:tc>
        <w:tc>
          <w:tcPr>
            <w:tcW w:w="1340" w:type="dxa"/>
            <w:tcBorders>
              <w:top w:val="nil"/>
              <w:left w:val="nil"/>
              <w:bottom w:val="single" w:sz="8" w:space="0" w:color="auto"/>
              <w:right w:val="single" w:sz="8" w:space="0" w:color="auto"/>
            </w:tcBorders>
            <w:hideMark/>
          </w:tcPr>
          <w:p w14:paraId="799AC0D4" w14:textId="27B8ACE1" w:rsidR="00EF0900" w:rsidRPr="00EF2F18" w:rsidRDefault="00EF090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tc>
        <w:tc>
          <w:tcPr>
            <w:tcW w:w="1266" w:type="dxa"/>
            <w:tcBorders>
              <w:top w:val="nil"/>
              <w:left w:val="nil"/>
              <w:bottom w:val="single" w:sz="8" w:space="0" w:color="auto"/>
              <w:right w:val="single" w:sz="8" w:space="0" w:color="auto"/>
            </w:tcBorders>
          </w:tcPr>
          <w:p w14:paraId="164E0FC2" w14:textId="72CCF705" w:rsidR="00EF0900" w:rsidRPr="00EF2F18" w:rsidRDefault="00EF0900"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4BBF3249" w14:textId="553678E3" w:rsidR="00EF0900" w:rsidRPr="00EF2F18" w:rsidRDefault="00EF0900" w:rsidP="00752CA0">
            <w:pPr>
              <w:spacing w:after="0"/>
              <w:jc w:val="right"/>
              <w:rPr>
                <w:rFonts w:eastAsia="Times New Roman" w:cs="Times New Roman"/>
                <w:color w:val="000000"/>
                <w:sz w:val="20"/>
                <w:szCs w:val="20"/>
                <w:lang w:val="sr-Cyrl-RS" w:eastAsia="en-GB"/>
              </w:rPr>
            </w:pPr>
          </w:p>
        </w:tc>
        <w:tc>
          <w:tcPr>
            <w:tcW w:w="1620" w:type="dxa"/>
            <w:tcBorders>
              <w:top w:val="nil"/>
              <w:left w:val="nil"/>
              <w:bottom w:val="single" w:sz="8" w:space="0" w:color="auto"/>
              <w:right w:val="double" w:sz="6" w:space="0" w:color="auto"/>
            </w:tcBorders>
          </w:tcPr>
          <w:p w14:paraId="00F8E5D4" w14:textId="2BEA43C4" w:rsidR="00EF0900" w:rsidRPr="00EF2F18" w:rsidRDefault="00EF0900" w:rsidP="00752CA0">
            <w:pPr>
              <w:spacing w:after="0"/>
              <w:jc w:val="right"/>
              <w:rPr>
                <w:rFonts w:eastAsia="Times New Roman" w:cs="Times New Roman"/>
                <w:color w:val="000000"/>
                <w:sz w:val="20"/>
                <w:szCs w:val="20"/>
                <w:lang w:val="sr-Cyrl-RS" w:eastAsia="en-GB"/>
              </w:rPr>
            </w:pPr>
          </w:p>
        </w:tc>
      </w:tr>
      <w:tr w:rsidR="00EF0900" w:rsidRPr="00EF2F18" w14:paraId="04EED5CE" w14:textId="77777777" w:rsidTr="007A61EC">
        <w:trPr>
          <w:trHeight w:val="2320"/>
        </w:trPr>
        <w:tc>
          <w:tcPr>
            <w:tcW w:w="3078" w:type="dxa"/>
            <w:tcBorders>
              <w:top w:val="single" w:sz="4" w:space="0" w:color="auto"/>
              <w:left w:val="double" w:sz="6" w:space="0" w:color="auto"/>
              <w:bottom w:val="single" w:sz="8" w:space="0" w:color="auto"/>
              <w:right w:val="single" w:sz="8" w:space="0" w:color="auto"/>
            </w:tcBorders>
            <w:hideMark/>
          </w:tcPr>
          <w:p w14:paraId="70FC1651"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lastRenderedPageBreak/>
              <w:t xml:space="preserve">6.2.2.2. Унапређење система за извештавање о стању животне средине, комуникације и дисеминације и усклађивање са Стратегијом Европске агенције за животну средину (ЕЕА) - Европске мреже за информације и посматрање животне средине (Еионет) 2021-2030, </w:t>
            </w:r>
          </w:p>
        </w:tc>
        <w:tc>
          <w:tcPr>
            <w:tcW w:w="1272" w:type="dxa"/>
            <w:tcBorders>
              <w:top w:val="single" w:sz="4" w:space="0" w:color="auto"/>
              <w:left w:val="nil"/>
              <w:bottom w:val="single" w:sz="8" w:space="0" w:color="auto"/>
              <w:right w:val="single" w:sz="8" w:space="0" w:color="auto"/>
            </w:tcBorders>
            <w:hideMark/>
          </w:tcPr>
          <w:p w14:paraId="11F12587"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АЗЖС </w:t>
            </w:r>
          </w:p>
        </w:tc>
        <w:tc>
          <w:tcPr>
            <w:tcW w:w="1240" w:type="dxa"/>
            <w:tcBorders>
              <w:top w:val="single" w:sz="4" w:space="0" w:color="auto"/>
              <w:left w:val="nil"/>
              <w:bottom w:val="single" w:sz="8" w:space="0" w:color="auto"/>
              <w:right w:val="single" w:sz="8" w:space="0" w:color="auto"/>
            </w:tcBorders>
            <w:hideMark/>
          </w:tcPr>
          <w:p w14:paraId="6B396882"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ЈЛС, ПИЈЗЗПЛ</w:t>
            </w:r>
          </w:p>
        </w:tc>
        <w:tc>
          <w:tcPr>
            <w:tcW w:w="1182" w:type="dxa"/>
            <w:tcBorders>
              <w:top w:val="single" w:sz="4" w:space="0" w:color="auto"/>
              <w:left w:val="nil"/>
              <w:bottom w:val="single" w:sz="8" w:space="0" w:color="auto"/>
              <w:right w:val="single" w:sz="8" w:space="0" w:color="auto"/>
            </w:tcBorders>
            <w:hideMark/>
          </w:tcPr>
          <w:p w14:paraId="146B3379"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399" w:type="dxa"/>
            <w:tcBorders>
              <w:top w:val="single" w:sz="4" w:space="0" w:color="auto"/>
              <w:left w:val="nil"/>
              <w:bottom w:val="single" w:sz="8" w:space="0" w:color="auto"/>
              <w:right w:val="single" w:sz="8" w:space="0" w:color="auto"/>
            </w:tcBorders>
            <w:hideMark/>
          </w:tcPr>
          <w:p w14:paraId="6FA26054" w14:textId="50696068"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 /редовна издвајања (АЗЖС)</w:t>
            </w:r>
          </w:p>
        </w:tc>
        <w:tc>
          <w:tcPr>
            <w:tcW w:w="1340" w:type="dxa"/>
            <w:tcBorders>
              <w:top w:val="single" w:sz="4" w:space="0" w:color="auto"/>
              <w:left w:val="nil"/>
              <w:bottom w:val="single" w:sz="8" w:space="0" w:color="auto"/>
              <w:right w:val="single" w:sz="8" w:space="0" w:color="auto"/>
            </w:tcBorders>
          </w:tcPr>
          <w:p w14:paraId="43565945" w14:textId="46C652E3"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tc>
        <w:tc>
          <w:tcPr>
            <w:tcW w:w="1266" w:type="dxa"/>
            <w:tcBorders>
              <w:top w:val="single" w:sz="4" w:space="0" w:color="auto"/>
              <w:left w:val="nil"/>
              <w:bottom w:val="single" w:sz="8" w:space="0" w:color="auto"/>
              <w:right w:val="single" w:sz="8" w:space="0" w:color="auto"/>
            </w:tcBorders>
          </w:tcPr>
          <w:p w14:paraId="6B92CC0D" w14:textId="116597CE" w:rsidR="00EF0900" w:rsidRPr="00EF2F18" w:rsidRDefault="00EF0900" w:rsidP="00FF04BE">
            <w:pPr>
              <w:spacing w:after="0"/>
              <w:jc w:val="right"/>
              <w:rPr>
                <w:rFonts w:eastAsia="Times New Roman" w:cs="Times New Roman"/>
                <w:color w:val="000000"/>
                <w:sz w:val="20"/>
                <w:szCs w:val="20"/>
                <w:lang w:val="sr-Cyrl-RS" w:eastAsia="en-GB"/>
              </w:rPr>
            </w:pPr>
          </w:p>
        </w:tc>
        <w:tc>
          <w:tcPr>
            <w:tcW w:w="1170" w:type="dxa"/>
            <w:tcBorders>
              <w:top w:val="single" w:sz="4" w:space="0" w:color="auto"/>
              <w:left w:val="nil"/>
              <w:bottom w:val="single" w:sz="8" w:space="0" w:color="auto"/>
              <w:right w:val="single" w:sz="8" w:space="0" w:color="auto"/>
            </w:tcBorders>
          </w:tcPr>
          <w:p w14:paraId="79AB0149" w14:textId="23F537AC" w:rsidR="00EF0900" w:rsidRPr="00EF2F18" w:rsidRDefault="00EF0900" w:rsidP="00FF04BE">
            <w:pPr>
              <w:spacing w:after="0"/>
              <w:jc w:val="right"/>
              <w:rPr>
                <w:rFonts w:eastAsia="Times New Roman" w:cs="Times New Roman"/>
                <w:color w:val="000000"/>
                <w:sz w:val="20"/>
                <w:szCs w:val="20"/>
                <w:lang w:val="sr-Cyrl-RS" w:eastAsia="en-GB"/>
              </w:rPr>
            </w:pPr>
          </w:p>
        </w:tc>
        <w:tc>
          <w:tcPr>
            <w:tcW w:w="1620" w:type="dxa"/>
            <w:tcBorders>
              <w:top w:val="single" w:sz="4" w:space="0" w:color="auto"/>
              <w:left w:val="nil"/>
              <w:bottom w:val="single" w:sz="8" w:space="0" w:color="auto"/>
              <w:right w:val="double" w:sz="6" w:space="0" w:color="auto"/>
            </w:tcBorders>
          </w:tcPr>
          <w:p w14:paraId="305D4362" w14:textId="25C88FA2" w:rsidR="00EF0900" w:rsidRPr="00EF2F18" w:rsidRDefault="00EF0900" w:rsidP="00FF04BE">
            <w:pPr>
              <w:spacing w:after="0"/>
              <w:jc w:val="right"/>
              <w:rPr>
                <w:rFonts w:eastAsia="Times New Roman" w:cs="Times New Roman"/>
                <w:color w:val="000000"/>
                <w:sz w:val="20"/>
                <w:szCs w:val="20"/>
                <w:lang w:val="sr-Cyrl-RS" w:eastAsia="en-GB"/>
              </w:rPr>
            </w:pPr>
          </w:p>
        </w:tc>
      </w:tr>
      <w:tr w:rsidR="00EF0900" w:rsidRPr="00EF2F18" w14:paraId="35FA320E" w14:textId="77777777" w:rsidTr="00CF69DC">
        <w:trPr>
          <w:trHeight w:val="1596"/>
        </w:trPr>
        <w:tc>
          <w:tcPr>
            <w:tcW w:w="3078" w:type="dxa"/>
            <w:tcBorders>
              <w:top w:val="nil"/>
              <w:left w:val="double" w:sz="6" w:space="0" w:color="auto"/>
              <w:bottom w:val="double" w:sz="6" w:space="0" w:color="auto"/>
              <w:right w:val="single" w:sz="8" w:space="0" w:color="auto"/>
            </w:tcBorders>
            <w:hideMark/>
          </w:tcPr>
          <w:p w14:paraId="598CF316"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6.2.2.3. Пружање подршке јединицама локалне самоуправе за унапређивање вођења података, извештавања и дистрибуције и објављивања информација и података о стању животне средине</w:t>
            </w:r>
          </w:p>
        </w:tc>
        <w:tc>
          <w:tcPr>
            <w:tcW w:w="1272" w:type="dxa"/>
            <w:tcBorders>
              <w:top w:val="nil"/>
              <w:left w:val="nil"/>
              <w:bottom w:val="double" w:sz="6" w:space="0" w:color="auto"/>
              <w:right w:val="single" w:sz="8" w:space="0" w:color="auto"/>
            </w:tcBorders>
            <w:hideMark/>
          </w:tcPr>
          <w:p w14:paraId="0F567620"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АЗЖС </w:t>
            </w:r>
          </w:p>
        </w:tc>
        <w:tc>
          <w:tcPr>
            <w:tcW w:w="1240" w:type="dxa"/>
            <w:tcBorders>
              <w:top w:val="nil"/>
              <w:left w:val="nil"/>
              <w:bottom w:val="double" w:sz="6" w:space="0" w:color="auto"/>
              <w:right w:val="single" w:sz="8" w:space="0" w:color="auto"/>
            </w:tcBorders>
            <w:hideMark/>
          </w:tcPr>
          <w:p w14:paraId="02FE6905"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ЈЛС</w:t>
            </w:r>
          </w:p>
        </w:tc>
        <w:tc>
          <w:tcPr>
            <w:tcW w:w="1182" w:type="dxa"/>
            <w:tcBorders>
              <w:top w:val="nil"/>
              <w:left w:val="nil"/>
              <w:bottom w:val="double" w:sz="6" w:space="0" w:color="auto"/>
              <w:right w:val="single" w:sz="8" w:space="0" w:color="auto"/>
            </w:tcBorders>
            <w:hideMark/>
          </w:tcPr>
          <w:p w14:paraId="750F8B8D" w14:textId="77777777" w:rsidR="00EF0900" w:rsidRPr="00EF2F18" w:rsidRDefault="00EF0900"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399" w:type="dxa"/>
            <w:tcBorders>
              <w:top w:val="nil"/>
              <w:left w:val="nil"/>
              <w:bottom w:val="double" w:sz="6" w:space="0" w:color="auto"/>
              <w:right w:val="single" w:sz="8" w:space="0" w:color="auto"/>
            </w:tcBorders>
            <w:hideMark/>
          </w:tcPr>
          <w:p w14:paraId="70699CE7" w14:textId="40C4C535" w:rsidR="00EF0900" w:rsidRPr="00EF2F18" w:rsidRDefault="0005257B"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Буџетска средства /редовна издвајања (АЗЖС) </w:t>
            </w:r>
          </w:p>
        </w:tc>
        <w:tc>
          <w:tcPr>
            <w:tcW w:w="1340" w:type="dxa"/>
            <w:tcBorders>
              <w:top w:val="nil"/>
              <w:left w:val="nil"/>
              <w:bottom w:val="double" w:sz="6" w:space="0" w:color="auto"/>
              <w:right w:val="single" w:sz="8" w:space="0" w:color="auto"/>
            </w:tcBorders>
          </w:tcPr>
          <w:p w14:paraId="1EB5446E" w14:textId="230D5F05" w:rsidR="00EF0900" w:rsidRPr="00EF2F18" w:rsidRDefault="0005257B" w:rsidP="00FF04BE">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tc>
        <w:tc>
          <w:tcPr>
            <w:tcW w:w="1266" w:type="dxa"/>
            <w:tcBorders>
              <w:top w:val="nil"/>
              <w:left w:val="nil"/>
              <w:bottom w:val="double" w:sz="6" w:space="0" w:color="auto"/>
              <w:right w:val="single" w:sz="8" w:space="0" w:color="auto"/>
            </w:tcBorders>
            <w:hideMark/>
          </w:tcPr>
          <w:p w14:paraId="75211264" w14:textId="1F151B46" w:rsidR="00EF0900" w:rsidRPr="00EF2F18" w:rsidRDefault="00EF0900" w:rsidP="00FF04BE">
            <w:pPr>
              <w:spacing w:after="0"/>
              <w:jc w:val="right"/>
              <w:rPr>
                <w:rFonts w:eastAsia="Times New Roman" w:cs="Times New Roman"/>
                <w:color w:val="000000"/>
                <w:sz w:val="20"/>
                <w:szCs w:val="20"/>
                <w:lang w:val="sr-Cyrl-RS" w:eastAsia="en-GB"/>
              </w:rPr>
            </w:pPr>
          </w:p>
        </w:tc>
        <w:tc>
          <w:tcPr>
            <w:tcW w:w="1170" w:type="dxa"/>
            <w:tcBorders>
              <w:top w:val="nil"/>
              <w:left w:val="nil"/>
              <w:bottom w:val="double" w:sz="6" w:space="0" w:color="auto"/>
              <w:right w:val="single" w:sz="8" w:space="0" w:color="auto"/>
            </w:tcBorders>
            <w:hideMark/>
          </w:tcPr>
          <w:p w14:paraId="10CB80B0" w14:textId="7C700E79" w:rsidR="00EF0900" w:rsidRPr="00EF2F18" w:rsidRDefault="00EF0900" w:rsidP="00FF04BE">
            <w:pPr>
              <w:spacing w:after="0"/>
              <w:jc w:val="right"/>
              <w:rPr>
                <w:rFonts w:eastAsia="Times New Roman" w:cs="Times New Roman"/>
                <w:color w:val="000000"/>
                <w:sz w:val="20"/>
                <w:szCs w:val="20"/>
                <w:lang w:val="sr-Cyrl-RS" w:eastAsia="en-GB"/>
              </w:rPr>
            </w:pPr>
          </w:p>
        </w:tc>
        <w:tc>
          <w:tcPr>
            <w:tcW w:w="1620" w:type="dxa"/>
            <w:tcBorders>
              <w:top w:val="nil"/>
              <w:left w:val="nil"/>
              <w:bottom w:val="double" w:sz="6" w:space="0" w:color="auto"/>
              <w:right w:val="double" w:sz="6" w:space="0" w:color="auto"/>
            </w:tcBorders>
            <w:hideMark/>
          </w:tcPr>
          <w:p w14:paraId="6A14AB3D" w14:textId="14788A5A" w:rsidR="00EF0900" w:rsidRPr="00EF2F18" w:rsidRDefault="00EF0900" w:rsidP="00FF04BE">
            <w:pPr>
              <w:spacing w:after="0"/>
              <w:jc w:val="right"/>
              <w:rPr>
                <w:rFonts w:eastAsia="Times New Roman" w:cs="Times New Roman"/>
                <w:color w:val="000000"/>
                <w:sz w:val="20"/>
                <w:szCs w:val="20"/>
                <w:lang w:val="sr-Cyrl-RS" w:eastAsia="en-GB"/>
              </w:rPr>
            </w:pPr>
          </w:p>
        </w:tc>
      </w:tr>
    </w:tbl>
    <w:p w14:paraId="5A5F1654" w14:textId="4150EC9E" w:rsidR="007D7243" w:rsidRPr="00EF2F18" w:rsidRDefault="00021365"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507BD594" w14:textId="77777777" w:rsidR="007D7243" w:rsidRPr="00EF2F18" w:rsidRDefault="007D7243" w:rsidP="007D7243">
      <w:pPr>
        <w:rPr>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287"/>
        <w:gridCol w:w="1350"/>
        <w:gridCol w:w="1603"/>
        <w:gridCol w:w="17"/>
      </w:tblGrid>
      <w:tr w:rsidR="007D7243" w:rsidRPr="00EF2F18" w14:paraId="31743EB7" w14:textId="77777777" w:rsidTr="00CF69D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9BD6263"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 xml:space="preserve">Мера 6.2.3: Подизање капацитета заинтересованих страна за учешће у процесима доношења одлука о питањима у вези са животном средином </w:t>
            </w:r>
          </w:p>
        </w:tc>
      </w:tr>
      <w:tr w:rsidR="007D7243" w:rsidRPr="00EF2F18" w14:paraId="5A9C5DCC" w14:textId="77777777" w:rsidTr="00CF69D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396C8A6"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291CE290" w14:textId="77777777" w:rsidTr="00CF69D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3BC73E9D" w14:textId="20CF8214"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743C4B"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65B9EF44" w14:textId="4ACE2674" w:rsidR="007D7243" w:rsidRPr="00EF2F18" w:rsidRDefault="007D7243" w:rsidP="001534F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w:t>
            </w:r>
            <w:r w:rsidR="001534F6"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едукативна</w:t>
            </w:r>
          </w:p>
        </w:tc>
      </w:tr>
      <w:tr w:rsidR="007D7243" w:rsidRPr="00EF2F18" w14:paraId="2B5C24E7" w14:textId="77777777" w:rsidTr="00CF69D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542C868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4B30D4AF"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F69DC" w:rsidRPr="00EF2F18" w14:paraId="4CAD186C" w14:textId="77777777" w:rsidTr="00CF69DC">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090077E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7204A56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374AE52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4F4680A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5EC2854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287" w:type="dxa"/>
            <w:tcBorders>
              <w:top w:val="nil"/>
              <w:left w:val="nil"/>
              <w:bottom w:val="double" w:sz="6" w:space="0" w:color="auto"/>
              <w:right w:val="nil"/>
            </w:tcBorders>
            <w:shd w:val="clear" w:color="000000" w:fill="D9D9D9"/>
            <w:hideMark/>
          </w:tcPr>
          <w:p w14:paraId="49BD654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50" w:type="dxa"/>
            <w:tcBorders>
              <w:top w:val="nil"/>
              <w:left w:val="nil"/>
              <w:bottom w:val="double" w:sz="6" w:space="0" w:color="auto"/>
              <w:right w:val="single" w:sz="8" w:space="0" w:color="auto"/>
            </w:tcBorders>
            <w:shd w:val="clear" w:color="000000" w:fill="D9D9D9"/>
            <w:hideMark/>
          </w:tcPr>
          <w:p w14:paraId="01E281B4"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gridSpan w:val="2"/>
            <w:tcBorders>
              <w:top w:val="nil"/>
              <w:left w:val="nil"/>
              <w:bottom w:val="double" w:sz="6" w:space="0" w:color="auto"/>
              <w:right w:val="double" w:sz="6" w:space="0" w:color="auto"/>
            </w:tcBorders>
            <w:shd w:val="clear" w:color="000000" w:fill="D9D9D9"/>
            <w:hideMark/>
          </w:tcPr>
          <w:p w14:paraId="69967901"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F69DC" w:rsidRPr="00EF2F18" w14:paraId="380FD801" w14:textId="77777777" w:rsidTr="00CF69DC">
        <w:trPr>
          <w:trHeight w:val="1080"/>
        </w:trPr>
        <w:tc>
          <w:tcPr>
            <w:tcW w:w="3320" w:type="dxa"/>
            <w:tcBorders>
              <w:top w:val="nil"/>
              <w:left w:val="double" w:sz="6" w:space="0" w:color="auto"/>
              <w:bottom w:val="double" w:sz="6" w:space="0" w:color="auto"/>
              <w:right w:val="single" w:sz="8" w:space="0" w:color="auto"/>
            </w:tcBorders>
            <w:shd w:val="clear" w:color="000000" w:fill="FFFFFF"/>
            <w:hideMark/>
          </w:tcPr>
          <w:p w14:paraId="278EB7C9"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годишње обучених представника организација цивилног друштва за учешће у доношењу одлука, разврстан по полу</w:t>
            </w:r>
          </w:p>
        </w:tc>
        <w:tc>
          <w:tcPr>
            <w:tcW w:w="1280" w:type="dxa"/>
            <w:tcBorders>
              <w:top w:val="nil"/>
              <w:left w:val="nil"/>
              <w:bottom w:val="double" w:sz="6" w:space="0" w:color="auto"/>
              <w:right w:val="single" w:sz="8" w:space="0" w:color="auto"/>
            </w:tcBorders>
            <w:shd w:val="clear" w:color="000000" w:fill="FFFFFF"/>
            <w:hideMark/>
          </w:tcPr>
          <w:p w14:paraId="292D579D"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4B86E159" w14:textId="77777777" w:rsidR="00CF69DC" w:rsidRPr="00EF2F18" w:rsidRDefault="00CF69DC"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107FFFD5"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19864275"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5A753FF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350" w:type="dxa"/>
            <w:tcBorders>
              <w:top w:val="nil"/>
              <w:left w:val="nil"/>
              <w:bottom w:val="double" w:sz="6" w:space="0" w:color="auto"/>
              <w:right w:val="single" w:sz="8" w:space="0" w:color="auto"/>
            </w:tcBorders>
            <w:shd w:val="clear" w:color="000000" w:fill="FFFFFF"/>
            <w:hideMark/>
          </w:tcPr>
          <w:p w14:paraId="5F231E7F"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c>
          <w:tcPr>
            <w:tcW w:w="1620" w:type="dxa"/>
            <w:gridSpan w:val="2"/>
            <w:tcBorders>
              <w:top w:val="nil"/>
              <w:left w:val="nil"/>
              <w:bottom w:val="double" w:sz="6" w:space="0" w:color="auto"/>
              <w:right w:val="double" w:sz="6" w:space="0" w:color="auto"/>
            </w:tcBorders>
            <w:shd w:val="clear" w:color="000000" w:fill="FFFFFF"/>
            <w:hideMark/>
          </w:tcPr>
          <w:p w14:paraId="6155EA71"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r>
    </w:tbl>
    <w:p w14:paraId="52DE67DE" w14:textId="77777777" w:rsidR="007D7243" w:rsidRPr="00EF2F18" w:rsidRDefault="007D7243" w:rsidP="007D7243">
      <w:pPr>
        <w:rPr>
          <w:sz w:val="20"/>
          <w:szCs w:val="20"/>
          <w:lang w:val="sr-Cyrl-RS"/>
        </w:rPr>
      </w:pPr>
    </w:p>
    <w:tbl>
      <w:tblPr>
        <w:tblW w:w="13657" w:type="dxa"/>
        <w:tblLook w:val="04A0" w:firstRow="1" w:lastRow="0" w:firstColumn="1" w:lastColumn="0" w:noHBand="0" w:noVBand="1"/>
      </w:tblPr>
      <w:tblGrid>
        <w:gridCol w:w="3800"/>
        <w:gridCol w:w="2480"/>
        <w:gridCol w:w="2337"/>
        <w:gridCol w:w="2340"/>
        <w:gridCol w:w="2700"/>
      </w:tblGrid>
      <w:tr w:rsidR="007D7243" w:rsidRPr="00EF2F18" w14:paraId="25D9F6DD" w14:textId="77777777" w:rsidTr="00CF69DC">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394390C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015258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tcBorders>
              <w:top w:val="double" w:sz="6" w:space="0" w:color="auto"/>
              <w:left w:val="nil"/>
              <w:bottom w:val="double" w:sz="6" w:space="0" w:color="auto"/>
              <w:right w:val="double" w:sz="6" w:space="0" w:color="auto"/>
            </w:tcBorders>
            <w:shd w:val="clear" w:color="000000" w:fill="A8D08D"/>
            <w:hideMark/>
          </w:tcPr>
          <w:p w14:paraId="764DE86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F69DC" w:rsidRPr="00EF2F18" w14:paraId="610579E7" w14:textId="77777777" w:rsidTr="00CF69DC">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35E0335C" w14:textId="77777777" w:rsidR="00CF69DC" w:rsidRPr="00EF2F18" w:rsidRDefault="00CF69DC"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751F174D" w14:textId="77777777" w:rsidR="00CF69DC" w:rsidRPr="00EF2F18" w:rsidRDefault="00CF69DC"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shd w:val="clear" w:color="000000" w:fill="A8D08D"/>
            <w:hideMark/>
          </w:tcPr>
          <w:p w14:paraId="28E68C38" w14:textId="2808D2D9"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340" w:type="dxa"/>
            <w:tcBorders>
              <w:top w:val="nil"/>
              <w:left w:val="nil"/>
              <w:bottom w:val="double" w:sz="6" w:space="0" w:color="auto"/>
              <w:right w:val="double" w:sz="6" w:space="0" w:color="auto"/>
            </w:tcBorders>
            <w:shd w:val="clear" w:color="000000" w:fill="A8D08D"/>
            <w:hideMark/>
          </w:tcPr>
          <w:p w14:paraId="2F9E037B" w14:textId="54B5355D"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700" w:type="dxa"/>
            <w:tcBorders>
              <w:top w:val="nil"/>
              <w:left w:val="nil"/>
              <w:bottom w:val="double" w:sz="6" w:space="0" w:color="auto"/>
              <w:right w:val="double" w:sz="6" w:space="0" w:color="auto"/>
            </w:tcBorders>
            <w:shd w:val="clear" w:color="000000" w:fill="A8D08D"/>
            <w:hideMark/>
          </w:tcPr>
          <w:p w14:paraId="5BF855EE" w14:textId="469E4572"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CF69DC" w:rsidRPr="00EF2F18" w14:paraId="16FB0194" w14:textId="77777777" w:rsidTr="00CF69DC">
        <w:trPr>
          <w:trHeight w:val="324"/>
        </w:trPr>
        <w:tc>
          <w:tcPr>
            <w:tcW w:w="3800" w:type="dxa"/>
            <w:tcBorders>
              <w:top w:val="nil"/>
              <w:left w:val="double" w:sz="6" w:space="0" w:color="auto"/>
              <w:bottom w:val="double" w:sz="6" w:space="0" w:color="auto"/>
              <w:right w:val="double" w:sz="6" w:space="0" w:color="auto"/>
            </w:tcBorders>
            <w:hideMark/>
          </w:tcPr>
          <w:p w14:paraId="2A22891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(МЗЖС)</w:t>
            </w:r>
          </w:p>
        </w:tc>
        <w:tc>
          <w:tcPr>
            <w:tcW w:w="2480" w:type="dxa"/>
            <w:tcBorders>
              <w:top w:val="nil"/>
              <w:left w:val="nil"/>
              <w:bottom w:val="double" w:sz="6" w:space="0" w:color="auto"/>
              <w:right w:val="double" w:sz="6" w:space="0" w:color="auto"/>
            </w:tcBorders>
            <w:hideMark/>
          </w:tcPr>
          <w:p w14:paraId="09F1AF44"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2337" w:type="dxa"/>
            <w:tcBorders>
              <w:top w:val="nil"/>
              <w:left w:val="nil"/>
              <w:bottom w:val="double" w:sz="6" w:space="0" w:color="auto"/>
              <w:right w:val="double" w:sz="6" w:space="0" w:color="auto"/>
            </w:tcBorders>
          </w:tcPr>
          <w:p w14:paraId="28655809" w14:textId="422D4665" w:rsidR="00CF69DC" w:rsidRPr="00EF2F18" w:rsidRDefault="00CF69DC" w:rsidP="00752CA0">
            <w:pPr>
              <w:spacing w:after="0"/>
              <w:jc w:val="right"/>
              <w:rPr>
                <w:rFonts w:eastAsia="Times New Roman" w:cs="Times New Roman"/>
                <w:color w:val="000000"/>
                <w:sz w:val="20"/>
                <w:szCs w:val="20"/>
                <w:lang w:val="sr-Cyrl-RS" w:eastAsia="en-GB"/>
              </w:rPr>
            </w:pPr>
          </w:p>
        </w:tc>
        <w:tc>
          <w:tcPr>
            <w:tcW w:w="2340" w:type="dxa"/>
            <w:tcBorders>
              <w:top w:val="nil"/>
              <w:left w:val="nil"/>
              <w:bottom w:val="double" w:sz="6" w:space="0" w:color="auto"/>
              <w:right w:val="double" w:sz="6" w:space="0" w:color="auto"/>
            </w:tcBorders>
          </w:tcPr>
          <w:p w14:paraId="52EF288F" w14:textId="5E3569EB" w:rsidR="00CF69DC" w:rsidRPr="00EF2F18" w:rsidRDefault="00CF69DC" w:rsidP="00752CA0">
            <w:pPr>
              <w:spacing w:after="0"/>
              <w:jc w:val="right"/>
              <w:rPr>
                <w:rFonts w:eastAsia="Times New Roman" w:cs="Times New Roman"/>
                <w:color w:val="000000"/>
                <w:sz w:val="20"/>
                <w:szCs w:val="20"/>
                <w:lang w:val="sr-Cyrl-RS" w:eastAsia="en-GB"/>
              </w:rPr>
            </w:pPr>
          </w:p>
        </w:tc>
        <w:tc>
          <w:tcPr>
            <w:tcW w:w="2700" w:type="dxa"/>
            <w:tcBorders>
              <w:top w:val="nil"/>
              <w:left w:val="nil"/>
              <w:bottom w:val="double" w:sz="6" w:space="0" w:color="auto"/>
              <w:right w:val="double" w:sz="6" w:space="0" w:color="auto"/>
            </w:tcBorders>
          </w:tcPr>
          <w:p w14:paraId="3BF3E73E" w14:textId="0C060689"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568798ED" w14:textId="77777777" w:rsidTr="00CF69DC">
        <w:trPr>
          <w:trHeight w:val="324"/>
        </w:trPr>
        <w:tc>
          <w:tcPr>
            <w:tcW w:w="3800" w:type="dxa"/>
            <w:tcBorders>
              <w:top w:val="double" w:sz="6" w:space="0" w:color="auto"/>
              <w:left w:val="double" w:sz="6" w:space="0" w:color="auto"/>
              <w:bottom w:val="double" w:sz="6" w:space="0" w:color="auto"/>
              <w:right w:val="double" w:sz="6" w:space="0" w:color="auto"/>
            </w:tcBorders>
          </w:tcPr>
          <w:p w14:paraId="36784C41"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Донаторска средства*</w:t>
            </w:r>
          </w:p>
        </w:tc>
        <w:tc>
          <w:tcPr>
            <w:tcW w:w="2480" w:type="dxa"/>
            <w:tcBorders>
              <w:top w:val="double" w:sz="6" w:space="0" w:color="auto"/>
              <w:left w:val="nil"/>
              <w:bottom w:val="double" w:sz="6" w:space="0" w:color="auto"/>
              <w:right w:val="double" w:sz="6" w:space="0" w:color="auto"/>
            </w:tcBorders>
          </w:tcPr>
          <w:p w14:paraId="40122A03" w14:textId="77777777" w:rsidR="00CF69DC" w:rsidRPr="00EF2F18" w:rsidRDefault="00CF69DC" w:rsidP="00752CA0">
            <w:pPr>
              <w:spacing w:after="0"/>
              <w:rPr>
                <w:rFonts w:eastAsia="Times New Roman" w:cs="Times New Roman"/>
                <w:color w:val="000000"/>
                <w:sz w:val="20"/>
                <w:szCs w:val="20"/>
                <w:lang w:val="sr-Cyrl-RS" w:eastAsia="en-GB"/>
              </w:rPr>
            </w:pPr>
          </w:p>
        </w:tc>
        <w:tc>
          <w:tcPr>
            <w:tcW w:w="2337" w:type="dxa"/>
            <w:tcBorders>
              <w:top w:val="double" w:sz="6" w:space="0" w:color="auto"/>
              <w:left w:val="nil"/>
              <w:bottom w:val="double" w:sz="6" w:space="0" w:color="auto"/>
              <w:right w:val="double" w:sz="6" w:space="0" w:color="auto"/>
            </w:tcBorders>
          </w:tcPr>
          <w:p w14:paraId="74FF78BA" w14:textId="77777777" w:rsidR="00CF69DC" w:rsidRPr="00EF2F18" w:rsidRDefault="00CF69DC" w:rsidP="00752CA0">
            <w:pPr>
              <w:spacing w:after="0"/>
              <w:jc w:val="right"/>
              <w:rPr>
                <w:rFonts w:eastAsia="Times New Roman" w:cs="Times New Roman"/>
                <w:color w:val="000000"/>
                <w:sz w:val="20"/>
                <w:szCs w:val="20"/>
                <w:lang w:val="sr-Cyrl-RS" w:eastAsia="en-GB"/>
              </w:rPr>
            </w:pPr>
          </w:p>
        </w:tc>
        <w:tc>
          <w:tcPr>
            <w:tcW w:w="2340" w:type="dxa"/>
            <w:tcBorders>
              <w:top w:val="double" w:sz="6" w:space="0" w:color="auto"/>
              <w:left w:val="nil"/>
              <w:bottom w:val="double" w:sz="6" w:space="0" w:color="auto"/>
              <w:right w:val="double" w:sz="6" w:space="0" w:color="auto"/>
            </w:tcBorders>
          </w:tcPr>
          <w:p w14:paraId="07C76352" w14:textId="77777777" w:rsidR="00CF69DC" w:rsidRPr="00EF2F18" w:rsidRDefault="00CF69DC" w:rsidP="00752CA0">
            <w:pPr>
              <w:spacing w:after="0"/>
              <w:jc w:val="right"/>
              <w:rPr>
                <w:rFonts w:eastAsia="Times New Roman" w:cs="Times New Roman"/>
                <w:color w:val="000000"/>
                <w:sz w:val="20"/>
                <w:szCs w:val="20"/>
                <w:lang w:val="sr-Cyrl-RS" w:eastAsia="en-GB"/>
              </w:rPr>
            </w:pPr>
          </w:p>
        </w:tc>
        <w:tc>
          <w:tcPr>
            <w:tcW w:w="2700" w:type="dxa"/>
            <w:tcBorders>
              <w:top w:val="double" w:sz="6" w:space="0" w:color="auto"/>
              <w:left w:val="nil"/>
              <w:bottom w:val="double" w:sz="6" w:space="0" w:color="auto"/>
              <w:right w:val="double" w:sz="6" w:space="0" w:color="auto"/>
            </w:tcBorders>
          </w:tcPr>
          <w:p w14:paraId="0739FC10" w14:textId="77777777" w:rsidR="00CF69DC" w:rsidRPr="00EF2F18" w:rsidRDefault="00CF69DC" w:rsidP="00752CA0">
            <w:pPr>
              <w:spacing w:after="0"/>
              <w:jc w:val="right"/>
              <w:rPr>
                <w:rFonts w:eastAsia="Times New Roman" w:cs="Times New Roman"/>
                <w:color w:val="000000"/>
                <w:sz w:val="20"/>
                <w:szCs w:val="20"/>
                <w:lang w:val="sr-Cyrl-RS" w:eastAsia="en-GB"/>
              </w:rPr>
            </w:pPr>
          </w:p>
        </w:tc>
      </w:tr>
    </w:tbl>
    <w:p w14:paraId="2B028EE5" w14:textId="77777777" w:rsidR="007D7243" w:rsidRPr="00EF2F18" w:rsidRDefault="007D7243" w:rsidP="007D7243">
      <w:pPr>
        <w:rPr>
          <w:sz w:val="20"/>
          <w:szCs w:val="20"/>
          <w:lang w:val="sr-Cyrl-RS"/>
        </w:rPr>
      </w:pPr>
      <w:r w:rsidRPr="00EF2F18">
        <w:rPr>
          <w:sz w:val="20"/>
          <w:szCs w:val="20"/>
          <w:lang w:val="sr-Cyrl-RS"/>
        </w:rPr>
        <w:t xml:space="preserve"> </w:t>
      </w:r>
    </w:p>
    <w:p w14:paraId="6FB280FC" w14:textId="77777777" w:rsidR="00630969" w:rsidRPr="00EF2F18" w:rsidRDefault="00630969" w:rsidP="007D7243">
      <w:pPr>
        <w:rPr>
          <w:sz w:val="20"/>
          <w:szCs w:val="20"/>
          <w:lang w:val="sr-Cyrl-RS"/>
        </w:rPr>
      </w:pPr>
    </w:p>
    <w:tbl>
      <w:tblPr>
        <w:tblW w:w="13657" w:type="dxa"/>
        <w:tblLayout w:type="fixed"/>
        <w:tblLook w:val="04A0" w:firstRow="1" w:lastRow="0" w:firstColumn="1" w:lastColumn="0" w:noHBand="0" w:noVBand="1"/>
      </w:tblPr>
      <w:tblGrid>
        <w:gridCol w:w="2954"/>
        <w:gridCol w:w="1278"/>
        <w:gridCol w:w="1274"/>
        <w:gridCol w:w="1182"/>
        <w:gridCol w:w="1400"/>
        <w:gridCol w:w="1403"/>
        <w:gridCol w:w="1196"/>
        <w:gridCol w:w="1350"/>
        <w:gridCol w:w="1606"/>
        <w:gridCol w:w="14"/>
      </w:tblGrid>
      <w:tr w:rsidR="007D7243" w:rsidRPr="00EF2F18" w14:paraId="67812F83" w14:textId="77777777" w:rsidTr="00CF69DC">
        <w:trPr>
          <w:gridAfter w:val="1"/>
          <w:wAfter w:w="14" w:type="dxa"/>
          <w:trHeight w:val="732"/>
        </w:trPr>
        <w:tc>
          <w:tcPr>
            <w:tcW w:w="2954"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1C30B60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78"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3C3949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74"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128363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EB532F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40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87072F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40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CF81E2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152" w:type="dxa"/>
            <w:gridSpan w:val="3"/>
            <w:tcBorders>
              <w:top w:val="double" w:sz="6" w:space="0" w:color="auto"/>
              <w:left w:val="nil"/>
              <w:bottom w:val="single" w:sz="8" w:space="0" w:color="auto"/>
              <w:right w:val="double" w:sz="6" w:space="0" w:color="auto"/>
            </w:tcBorders>
            <w:shd w:val="clear" w:color="000000" w:fill="FFF2CC"/>
            <w:hideMark/>
          </w:tcPr>
          <w:p w14:paraId="05AA0B5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F69DC" w:rsidRPr="00EF2F18" w14:paraId="66B5D87F" w14:textId="77777777" w:rsidTr="00CF69DC">
        <w:trPr>
          <w:trHeight w:val="324"/>
        </w:trPr>
        <w:tc>
          <w:tcPr>
            <w:tcW w:w="2954" w:type="dxa"/>
            <w:vMerge/>
            <w:tcBorders>
              <w:top w:val="double" w:sz="6" w:space="0" w:color="auto"/>
              <w:left w:val="double" w:sz="6" w:space="0" w:color="auto"/>
              <w:bottom w:val="single" w:sz="8" w:space="0" w:color="000000"/>
              <w:right w:val="single" w:sz="8" w:space="0" w:color="auto"/>
            </w:tcBorders>
            <w:vAlign w:val="center"/>
            <w:hideMark/>
          </w:tcPr>
          <w:p w14:paraId="6208B5EA" w14:textId="77777777" w:rsidR="00CF69DC" w:rsidRPr="00EF2F18" w:rsidRDefault="00CF69DC" w:rsidP="00752CA0">
            <w:pPr>
              <w:spacing w:after="0"/>
              <w:rPr>
                <w:rFonts w:eastAsia="Times New Roman" w:cs="Times New Roman"/>
                <w:color w:val="000000"/>
                <w:sz w:val="20"/>
                <w:szCs w:val="20"/>
                <w:lang w:val="sr-Cyrl-RS" w:eastAsia="en-GB"/>
              </w:rPr>
            </w:pPr>
          </w:p>
        </w:tc>
        <w:tc>
          <w:tcPr>
            <w:tcW w:w="1278" w:type="dxa"/>
            <w:vMerge/>
            <w:tcBorders>
              <w:top w:val="double" w:sz="6" w:space="0" w:color="auto"/>
              <w:left w:val="single" w:sz="8" w:space="0" w:color="auto"/>
              <w:bottom w:val="single" w:sz="8" w:space="0" w:color="000000"/>
              <w:right w:val="single" w:sz="8" w:space="0" w:color="auto"/>
            </w:tcBorders>
            <w:vAlign w:val="center"/>
            <w:hideMark/>
          </w:tcPr>
          <w:p w14:paraId="0337BF7B" w14:textId="77777777" w:rsidR="00CF69DC" w:rsidRPr="00EF2F18" w:rsidRDefault="00CF69DC" w:rsidP="00752CA0">
            <w:pPr>
              <w:spacing w:after="0"/>
              <w:rPr>
                <w:rFonts w:eastAsia="Times New Roman" w:cs="Times New Roman"/>
                <w:color w:val="000000"/>
                <w:sz w:val="20"/>
                <w:szCs w:val="20"/>
                <w:lang w:val="sr-Cyrl-RS" w:eastAsia="en-GB"/>
              </w:rPr>
            </w:pPr>
          </w:p>
        </w:tc>
        <w:tc>
          <w:tcPr>
            <w:tcW w:w="1274" w:type="dxa"/>
            <w:vMerge/>
            <w:tcBorders>
              <w:top w:val="double" w:sz="6" w:space="0" w:color="auto"/>
              <w:left w:val="single" w:sz="8" w:space="0" w:color="auto"/>
              <w:bottom w:val="single" w:sz="8" w:space="0" w:color="000000"/>
              <w:right w:val="single" w:sz="8" w:space="0" w:color="auto"/>
            </w:tcBorders>
            <w:vAlign w:val="center"/>
            <w:hideMark/>
          </w:tcPr>
          <w:p w14:paraId="0CB993A0" w14:textId="77777777" w:rsidR="00CF69DC" w:rsidRPr="00EF2F18" w:rsidRDefault="00CF69DC"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46610E9C" w14:textId="77777777" w:rsidR="00CF69DC" w:rsidRPr="00EF2F18" w:rsidRDefault="00CF69DC" w:rsidP="00752CA0">
            <w:pPr>
              <w:spacing w:after="0"/>
              <w:rPr>
                <w:rFonts w:eastAsia="Times New Roman" w:cs="Times New Roman"/>
                <w:color w:val="000000"/>
                <w:sz w:val="20"/>
                <w:szCs w:val="20"/>
                <w:lang w:val="sr-Cyrl-RS" w:eastAsia="en-GB"/>
              </w:rPr>
            </w:pPr>
          </w:p>
        </w:tc>
        <w:tc>
          <w:tcPr>
            <w:tcW w:w="1400" w:type="dxa"/>
            <w:vMerge/>
            <w:tcBorders>
              <w:top w:val="double" w:sz="6" w:space="0" w:color="auto"/>
              <w:left w:val="single" w:sz="8" w:space="0" w:color="auto"/>
              <w:bottom w:val="single" w:sz="8" w:space="0" w:color="000000"/>
              <w:right w:val="single" w:sz="8" w:space="0" w:color="auto"/>
            </w:tcBorders>
            <w:vAlign w:val="center"/>
            <w:hideMark/>
          </w:tcPr>
          <w:p w14:paraId="147A4AF6" w14:textId="77777777" w:rsidR="00CF69DC" w:rsidRPr="00EF2F18" w:rsidRDefault="00CF69DC" w:rsidP="00752CA0">
            <w:pPr>
              <w:spacing w:after="0"/>
              <w:rPr>
                <w:rFonts w:eastAsia="Times New Roman" w:cs="Times New Roman"/>
                <w:color w:val="000000"/>
                <w:sz w:val="20"/>
                <w:szCs w:val="20"/>
                <w:lang w:val="sr-Cyrl-RS" w:eastAsia="en-GB"/>
              </w:rPr>
            </w:pPr>
          </w:p>
        </w:tc>
        <w:tc>
          <w:tcPr>
            <w:tcW w:w="1403" w:type="dxa"/>
            <w:vMerge/>
            <w:tcBorders>
              <w:top w:val="double" w:sz="6" w:space="0" w:color="auto"/>
              <w:left w:val="single" w:sz="8" w:space="0" w:color="auto"/>
              <w:bottom w:val="single" w:sz="8" w:space="0" w:color="000000"/>
              <w:right w:val="single" w:sz="8" w:space="0" w:color="auto"/>
            </w:tcBorders>
            <w:vAlign w:val="center"/>
            <w:hideMark/>
          </w:tcPr>
          <w:p w14:paraId="329A70D2" w14:textId="77777777" w:rsidR="00CF69DC" w:rsidRPr="00EF2F18" w:rsidRDefault="00CF69DC" w:rsidP="00752CA0">
            <w:pPr>
              <w:spacing w:after="0"/>
              <w:rPr>
                <w:rFonts w:eastAsia="Times New Roman" w:cs="Times New Roman"/>
                <w:color w:val="000000"/>
                <w:sz w:val="20"/>
                <w:szCs w:val="20"/>
                <w:lang w:val="sr-Cyrl-RS" w:eastAsia="en-GB"/>
              </w:rPr>
            </w:pPr>
          </w:p>
        </w:tc>
        <w:tc>
          <w:tcPr>
            <w:tcW w:w="1196" w:type="dxa"/>
            <w:tcBorders>
              <w:top w:val="nil"/>
              <w:left w:val="nil"/>
              <w:bottom w:val="single" w:sz="8" w:space="0" w:color="auto"/>
              <w:right w:val="single" w:sz="8" w:space="0" w:color="auto"/>
            </w:tcBorders>
            <w:shd w:val="clear" w:color="000000" w:fill="FFF2CC"/>
            <w:hideMark/>
          </w:tcPr>
          <w:p w14:paraId="5D9D056B" w14:textId="2F5D2FFD"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350" w:type="dxa"/>
            <w:tcBorders>
              <w:top w:val="nil"/>
              <w:left w:val="nil"/>
              <w:bottom w:val="single" w:sz="8" w:space="0" w:color="auto"/>
              <w:right w:val="single" w:sz="8" w:space="0" w:color="auto"/>
            </w:tcBorders>
            <w:shd w:val="clear" w:color="000000" w:fill="FFF2CC"/>
            <w:hideMark/>
          </w:tcPr>
          <w:p w14:paraId="6BE5C458" w14:textId="125DD5F1"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620" w:type="dxa"/>
            <w:gridSpan w:val="2"/>
            <w:tcBorders>
              <w:top w:val="nil"/>
              <w:left w:val="nil"/>
              <w:bottom w:val="single" w:sz="8" w:space="0" w:color="auto"/>
              <w:right w:val="double" w:sz="6" w:space="0" w:color="auto"/>
            </w:tcBorders>
            <w:shd w:val="clear" w:color="000000" w:fill="FFF2CC"/>
            <w:hideMark/>
          </w:tcPr>
          <w:p w14:paraId="68AA4214" w14:textId="5A242C8A"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CF69DC" w:rsidRPr="00EF2F18" w14:paraId="331F0BE9" w14:textId="77777777" w:rsidTr="00CF69DC">
        <w:trPr>
          <w:trHeight w:val="2320"/>
        </w:trPr>
        <w:tc>
          <w:tcPr>
            <w:tcW w:w="2954" w:type="dxa"/>
            <w:tcBorders>
              <w:top w:val="nil"/>
              <w:left w:val="double" w:sz="6" w:space="0" w:color="auto"/>
              <w:bottom w:val="single" w:sz="8" w:space="0" w:color="auto"/>
              <w:right w:val="single" w:sz="8" w:space="0" w:color="auto"/>
            </w:tcBorders>
            <w:hideMark/>
          </w:tcPr>
          <w:p w14:paraId="693F7B2B"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6.2.3.1. Израда смерница за органе надлежне за заштиту животне средине и привреду у циљу идентификовања и раног укључивања заинтересоване јавности (посебно ОЦД и осетљивих друштвених група) у процесе доношења одлука о питањима у вези са животном средином</w:t>
            </w:r>
          </w:p>
        </w:tc>
        <w:tc>
          <w:tcPr>
            <w:tcW w:w="1278" w:type="dxa"/>
            <w:tcBorders>
              <w:top w:val="nil"/>
              <w:left w:val="nil"/>
              <w:bottom w:val="single" w:sz="8" w:space="0" w:color="auto"/>
              <w:right w:val="single" w:sz="8" w:space="0" w:color="auto"/>
            </w:tcBorders>
            <w:hideMark/>
          </w:tcPr>
          <w:p w14:paraId="4365043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4" w:type="dxa"/>
            <w:tcBorders>
              <w:top w:val="nil"/>
              <w:left w:val="nil"/>
              <w:bottom w:val="single" w:sz="8" w:space="0" w:color="auto"/>
              <w:right w:val="single" w:sz="8" w:space="0" w:color="auto"/>
            </w:tcBorders>
            <w:hideMark/>
          </w:tcPr>
          <w:p w14:paraId="155F01BB"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ЈЛС, ОЦД, СКГО, МЉМПДД</w:t>
            </w:r>
          </w:p>
        </w:tc>
        <w:tc>
          <w:tcPr>
            <w:tcW w:w="1182" w:type="dxa"/>
            <w:tcBorders>
              <w:top w:val="nil"/>
              <w:left w:val="nil"/>
              <w:bottom w:val="single" w:sz="8" w:space="0" w:color="auto"/>
              <w:right w:val="single" w:sz="8" w:space="0" w:color="auto"/>
            </w:tcBorders>
            <w:hideMark/>
          </w:tcPr>
          <w:p w14:paraId="78D2174E"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400" w:type="dxa"/>
            <w:tcBorders>
              <w:top w:val="nil"/>
              <w:left w:val="nil"/>
              <w:bottom w:val="single" w:sz="8" w:space="0" w:color="auto"/>
              <w:right w:val="single" w:sz="8" w:space="0" w:color="auto"/>
            </w:tcBorders>
            <w:hideMark/>
          </w:tcPr>
          <w:p w14:paraId="2ED50A44"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403" w:type="dxa"/>
            <w:tcBorders>
              <w:top w:val="nil"/>
              <w:left w:val="nil"/>
              <w:bottom w:val="single" w:sz="8" w:space="0" w:color="auto"/>
              <w:right w:val="single" w:sz="8" w:space="0" w:color="auto"/>
            </w:tcBorders>
            <w:hideMark/>
          </w:tcPr>
          <w:p w14:paraId="3DF7A127" w14:textId="77777777" w:rsidR="00CF69DC" w:rsidRPr="00EF2F18" w:rsidRDefault="00CF69DC" w:rsidP="00752CA0">
            <w:pPr>
              <w:spacing w:after="0"/>
              <w:ind w:left="2" w:hanging="2"/>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196" w:type="dxa"/>
            <w:tcBorders>
              <w:top w:val="nil"/>
              <w:left w:val="nil"/>
              <w:bottom w:val="single" w:sz="8" w:space="0" w:color="auto"/>
              <w:right w:val="single" w:sz="8" w:space="0" w:color="auto"/>
            </w:tcBorders>
          </w:tcPr>
          <w:p w14:paraId="5093C5A1" w14:textId="357AD169" w:rsidR="00CF69DC" w:rsidRPr="00EF2F18" w:rsidRDefault="00CF69DC"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5011937E" w14:textId="695D25AA" w:rsidR="00CF69DC" w:rsidRPr="00EF2F18" w:rsidRDefault="00CF69DC" w:rsidP="00752CA0">
            <w:pPr>
              <w:spacing w:after="0"/>
              <w:jc w:val="right"/>
              <w:rPr>
                <w:rFonts w:eastAsia="Times New Roman" w:cs="Times New Roman"/>
                <w:color w:val="000000"/>
                <w:sz w:val="20"/>
                <w:szCs w:val="20"/>
                <w:lang w:val="sr-Cyrl-RS" w:eastAsia="en-GB"/>
              </w:rPr>
            </w:pPr>
          </w:p>
        </w:tc>
        <w:tc>
          <w:tcPr>
            <w:tcW w:w="1620" w:type="dxa"/>
            <w:gridSpan w:val="2"/>
            <w:tcBorders>
              <w:top w:val="nil"/>
              <w:left w:val="nil"/>
              <w:bottom w:val="single" w:sz="8" w:space="0" w:color="auto"/>
              <w:right w:val="double" w:sz="6" w:space="0" w:color="auto"/>
            </w:tcBorders>
          </w:tcPr>
          <w:p w14:paraId="4D543917" w14:textId="47A03D51"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680F07B8" w14:textId="77777777" w:rsidTr="00CF69DC">
        <w:trPr>
          <w:trHeight w:val="1068"/>
        </w:trPr>
        <w:tc>
          <w:tcPr>
            <w:tcW w:w="2954" w:type="dxa"/>
            <w:tcBorders>
              <w:top w:val="nil"/>
              <w:left w:val="double" w:sz="6" w:space="0" w:color="auto"/>
              <w:bottom w:val="single" w:sz="8" w:space="0" w:color="auto"/>
              <w:right w:val="single" w:sz="8" w:space="0" w:color="auto"/>
            </w:tcBorders>
            <w:hideMark/>
          </w:tcPr>
          <w:p w14:paraId="4918BA58"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6.2.3.2. Израда регистра заинтересоване јавности на националном, покрајинском и на нивоу ЈЛС</w:t>
            </w:r>
          </w:p>
        </w:tc>
        <w:tc>
          <w:tcPr>
            <w:tcW w:w="1278" w:type="dxa"/>
            <w:tcBorders>
              <w:top w:val="nil"/>
              <w:left w:val="nil"/>
              <w:bottom w:val="single" w:sz="8" w:space="0" w:color="auto"/>
              <w:right w:val="single" w:sz="8" w:space="0" w:color="auto"/>
            </w:tcBorders>
            <w:hideMark/>
          </w:tcPr>
          <w:p w14:paraId="54B18D7F"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4" w:type="dxa"/>
            <w:tcBorders>
              <w:top w:val="nil"/>
              <w:left w:val="nil"/>
              <w:bottom w:val="single" w:sz="8" w:space="0" w:color="auto"/>
              <w:right w:val="single" w:sz="8" w:space="0" w:color="auto"/>
            </w:tcBorders>
            <w:hideMark/>
          </w:tcPr>
          <w:p w14:paraId="3A8E1E9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АПВ, ЈЛС, ОЦД</w:t>
            </w:r>
          </w:p>
        </w:tc>
        <w:tc>
          <w:tcPr>
            <w:tcW w:w="1182" w:type="dxa"/>
            <w:tcBorders>
              <w:top w:val="nil"/>
              <w:left w:val="nil"/>
              <w:bottom w:val="single" w:sz="8" w:space="0" w:color="auto"/>
              <w:right w:val="single" w:sz="8" w:space="0" w:color="auto"/>
            </w:tcBorders>
            <w:hideMark/>
          </w:tcPr>
          <w:p w14:paraId="7381F15B" w14:textId="5B153548" w:rsidR="00CF69DC" w:rsidRPr="00EF2F18" w:rsidRDefault="00CF69DC" w:rsidP="00752CA0">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4. квартал</w:t>
            </w:r>
          </w:p>
          <w:p w14:paraId="7937B448" w14:textId="3517F795"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p>
        </w:tc>
        <w:tc>
          <w:tcPr>
            <w:tcW w:w="1400" w:type="dxa"/>
            <w:tcBorders>
              <w:top w:val="nil"/>
              <w:left w:val="nil"/>
              <w:bottom w:val="single" w:sz="8" w:space="0" w:color="auto"/>
              <w:right w:val="single" w:sz="8" w:space="0" w:color="auto"/>
            </w:tcBorders>
            <w:hideMark/>
          </w:tcPr>
          <w:p w14:paraId="690C27E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Донаторска средства*</w:t>
            </w:r>
          </w:p>
          <w:p w14:paraId="12641C4B" w14:textId="77777777" w:rsidR="00CF69DC" w:rsidRPr="00EF2F18" w:rsidRDefault="00CF69DC" w:rsidP="00752CA0">
            <w:pPr>
              <w:spacing w:after="0"/>
              <w:rPr>
                <w:rFonts w:eastAsia="Times New Roman" w:cs="Times New Roman"/>
                <w:color w:val="000000"/>
                <w:sz w:val="20"/>
                <w:szCs w:val="20"/>
                <w:lang w:val="sr-Cyrl-RS" w:eastAsia="en-GB"/>
              </w:rPr>
            </w:pPr>
          </w:p>
        </w:tc>
        <w:tc>
          <w:tcPr>
            <w:tcW w:w="1403" w:type="dxa"/>
            <w:tcBorders>
              <w:top w:val="nil"/>
              <w:left w:val="nil"/>
              <w:bottom w:val="single" w:sz="8" w:space="0" w:color="auto"/>
              <w:right w:val="single" w:sz="8" w:space="0" w:color="auto"/>
            </w:tcBorders>
          </w:tcPr>
          <w:p w14:paraId="259E2C62" w14:textId="77777777" w:rsidR="00CF69DC" w:rsidRPr="00EF2F18" w:rsidRDefault="00CF69DC" w:rsidP="00752CA0">
            <w:pPr>
              <w:spacing w:after="0"/>
              <w:rPr>
                <w:rFonts w:eastAsia="Times New Roman" w:cs="Times New Roman"/>
                <w:color w:val="000000"/>
                <w:sz w:val="20"/>
                <w:szCs w:val="20"/>
                <w:lang w:val="sr-Cyrl-RS" w:eastAsia="en-GB"/>
              </w:rPr>
            </w:pPr>
          </w:p>
        </w:tc>
        <w:tc>
          <w:tcPr>
            <w:tcW w:w="1196" w:type="dxa"/>
            <w:tcBorders>
              <w:top w:val="nil"/>
              <w:left w:val="nil"/>
              <w:bottom w:val="single" w:sz="8" w:space="0" w:color="auto"/>
              <w:right w:val="single" w:sz="8" w:space="0" w:color="auto"/>
            </w:tcBorders>
          </w:tcPr>
          <w:p w14:paraId="2CB12247" w14:textId="53B83AB5" w:rsidR="00CF69DC" w:rsidRPr="00EF2F18" w:rsidRDefault="00CF69DC"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227CCD98" w14:textId="353F2D43" w:rsidR="00CF69DC" w:rsidRPr="00EF2F18" w:rsidRDefault="00CF69DC" w:rsidP="00752CA0">
            <w:pPr>
              <w:spacing w:after="0"/>
              <w:jc w:val="right"/>
              <w:rPr>
                <w:rFonts w:eastAsia="Times New Roman" w:cs="Times New Roman"/>
                <w:color w:val="000000"/>
                <w:sz w:val="20"/>
                <w:szCs w:val="20"/>
                <w:lang w:val="sr-Cyrl-RS" w:eastAsia="en-GB"/>
              </w:rPr>
            </w:pPr>
          </w:p>
        </w:tc>
        <w:tc>
          <w:tcPr>
            <w:tcW w:w="1620" w:type="dxa"/>
            <w:gridSpan w:val="2"/>
            <w:tcBorders>
              <w:top w:val="nil"/>
              <w:left w:val="nil"/>
              <w:bottom w:val="single" w:sz="8" w:space="0" w:color="auto"/>
              <w:right w:val="double" w:sz="6" w:space="0" w:color="auto"/>
            </w:tcBorders>
          </w:tcPr>
          <w:p w14:paraId="28E804DB" w14:textId="4A8D994E"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0F35CAF3" w14:textId="77777777" w:rsidTr="00C43845">
        <w:trPr>
          <w:trHeight w:val="2124"/>
        </w:trPr>
        <w:tc>
          <w:tcPr>
            <w:tcW w:w="2954" w:type="dxa"/>
            <w:tcBorders>
              <w:top w:val="single" w:sz="4" w:space="0" w:color="auto"/>
              <w:left w:val="double" w:sz="6" w:space="0" w:color="auto"/>
              <w:bottom w:val="double" w:sz="6" w:space="0" w:color="auto"/>
              <w:right w:val="single" w:sz="8" w:space="0" w:color="auto"/>
            </w:tcBorders>
            <w:hideMark/>
          </w:tcPr>
          <w:p w14:paraId="23A80698"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6.2.3.3. Израда периодичних процена ефеката учешћа јавности и квалитета процедура у примени – израда анализе делотворности учешћа јавности и укључивања доприноса јавности у исходе донетих одлука по питањима животне средине</w:t>
            </w:r>
          </w:p>
        </w:tc>
        <w:tc>
          <w:tcPr>
            <w:tcW w:w="1278" w:type="dxa"/>
            <w:tcBorders>
              <w:top w:val="single" w:sz="4" w:space="0" w:color="auto"/>
              <w:left w:val="nil"/>
              <w:bottom w:val="double" w:sz="6" w:space="0" w:color="auto"/>
              <w:right w:val="single" w:sz="8" w:space="0" w:color="auto"/>
            </w:tcBorders>
            <w:hideMark/>
          </w:tcPr>
          <w:p w14:paraId="0011CC84"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74" w:type="dxa"/>
            <w:tcBorders>
              <w:top w:val="single" w:sz="4" w:space="0" w:color="auto"/>
              <w:left w:val="nil"/>
              <w:bottom w:val="double" w:sz="6" w:space="0" w:color="auto"/>
              <w:right w:val="single" w:sz="8" w:space="0" w:color="auto"/>
            </w:tcBorders>
            <w:hideMark/>
          </w:tcPr>
          <w:p w14:paraId="45DF888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ЈЛС, ОЦД, СКГО</w:t>
            </w:r>
          </w:p>
        </w:tc>
        <w:tc>
          <w:tcPr>
            <w:tcW w:w="1182" w:type="dxa"/>
            <w:tcBorders>
              <w:top w:val="single" w:sz="4" w:space="0" w:color="auto"/>
              <w:left w:val="nil"/>
              <w:bottom w:val="double" w:sz="6" w:space="0" w:color="auto"/>
              <w:right w:val="single" w:sz="8" w:space="0" w:color="auto"/>
            </w:tcBorders>
            <w:hideMark/>
          </w:tcPr>
          <w:p w14:paraId="2B85225F"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single" w:sz="4" w:space="0" w:color="auto"/>
              <w:left w:val="nil"/>
              <w:bottom w:val="double" w:sz="6" w:space="0" w:color="auto"/>
              <w:right w:val="single" w:sz="8" w:space="0" w:color="auto"/>
            </w:tcBorders>
            <w:hideMark/>
          </w:tcPr>
          <w:p w14:paraId="2D8465A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Донаторска средства*</w:t>
            </w:r>
          </w:p>
        </w:tc>
        <w:tc>
          <w:tcPr>
            <w:tcW w:w="1403" w:type="dxa"/>
            <w:tcBorders>
              <w:top w:val="single" w:sz="4" w:space="0" w:color="auto"/>
              <w:left w:val="nil"/>
              <w:bottom w:val="double" w:sz="6" w:space="0" w:color="auto"/>
              <w:right w:val="single" w:sz="8" w:space="0" w:color="auto"/>
            </w:tcBorders>
          </w:tcPr>
          <w:p w14:paraId="4B3BF0DC" w14:textId="77777777" w:rsidR="00CF69DC" w:rsidRPr="00EF2F18" w:rsidRDefault="00CF69DC" w:rsidP="00752CA0">
            <w:pPr>
              <w:spacing w:after="0"/>
              <w:rPr>
                <w:rFonts w:eastAsia="Times New Roman" w:cs="Times New Roman"/>
                <w:color w:val="000000"/>
                <w:sz w:val="20"/>
                <w:szCs w:val="20"/>
                <w:lang w:val="sr-Cyrl-RS" w:eastAsia="en-GB"/>
              </w:rPr>
            </w:pPr>
          </w:p>
        </w:tc>
        <w:tc>
          <w:tcPr>
            <w:tcW w:w="1196" w:type="dxa"/>
            <w:tcBorders>
              <w:top w:val="single" w:sz="4" w:space="0" w:color="auto"/>
              <w:left w:val="nil"/>
              <w:bottom w:val="double" w:sz="6" w:space="0" w:color="auto"/>
              <w:right w:val="single" w:sz="8" w:space="0" w:color="auto"/>
            </w:tcBorders>
          </w:tcPr>
          <w:p w14:paraId="2C16F05D" w14:textId="4C600026" w:rsidR="00CF69DC" w:rsidRPr="00EF2F18" w:rsidRDefault="00CF69DC" w:rsidP="00752CA0">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double" w:sz="6" w:space="0" w:color="auto"/>
              <w:right w:val="single" w:sz="8" w:space="0" w:color="auto"/>
            </w:tcBorders>
          </w:tcPr>
          <w:p w14:paraId="070FF069" w14:textId="10A606CF" w:rsidR="00CF69DC" w:rsidRPr="00EF2F18" w:rsidRDefault="00CF69DC" w:rsidP="00752CA0">
            <w:pPr>
              <w:spacing w:after="0"/>
              <w:jc w:val="right"/>
              <w:rPr>
                <w:rFonts w:eastAsia="Times New Roman" w:cs="Times New Roman"/>
                <w:color w:val="000000"/>
                <w:sz w:val="20"/>
                <w:szCs w:val="20"/>
                <w:lang w:val="sr-Cyrl-RS" w:eastAsia="en-GB"/>
              </w:rPr>
            </w:pPr>
          </w:p>
        </w:tc>
        <w:tc>
          <w:tcPr>
            <w:tcW w:w="1620" w:type="dxa"/>
            <w:gridSpan w:val="2"/>
            <w:tcBorders>
              <w:top w:val="single" w:sz="4" w:space="0" w:color="auto"/>
              <w:left w:val="nil"/>
              <w:bottom w:val="double" w:sz="6" w:space="0" w:color="auto"/>
              <w:right w:val="double" w:sz="6" w:space="0" w:color="auto"/>
            </w:tcBorders>
          </w:tcPr>
          <w:p w14:paraId="0986B0B5" w14:textId="6AE5E599" w:rsidR="00CF69DC" w:rsidRPr="00EF2F18" w:rsidRDefault="00CF69DC" w:rsidP="00752CA0">
            <w:pPr>
              <w:spacing w:after="0"/>
              <w:jc w:val="right"/>
              <w:rPr>
                <w:rFonts w:eastAsia="Times New Roman" w:cs="Times New Roman"/>
                <w:color w:val="000000"/>
                <w:sz w:val="20"/>
                <w:szCs w:val="20"/>
                <w:lang w:val="sr-Cyrl-RS" w:eastAsia="en-GB"/>
              </w:rPr>
            </w:pPr>
          </w:p>
        </w:tc>
      </w:tr>
    </w:tbl>
    <w:p w14:paraId="1DB792CA" w14:textId="3C0FB994" w:rsidR="007D7243" w:rsidRPr="00EF2F18" w:rsidRDefault="00021365"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1857807D" w14:textId="77777777" w:rsidR="00021365" w:rsidRPr="00EF2F18" w:rsidRDefault="00021365" w:rsidP="007D7243">
      <w:pPr>
        <w:rPr>
          <w:sz w:val="20"/>
          <w:szCs w:val="20"/>
          <w:lang w:val="sr-Cyrl-RS"/>
        </w:rPr>
      </w:pPr>
    </w:p>
    <w:tbl>
      <w:tblPr>
        <w:tblW w:w="13747" w:type="dxa"/>
        <w:tblLook w:val="04A0" w:firstRow="1" w:lastRow="0" w:firstColumn="1" w:lastColumn="0" w:noHBand="0" w:noVBand="1"/>
      </w:tblPr>
      <w:tblGrid>
        <w:gridCol w:w="3168"/>
        <w:gridCol w:w="1653"/>
        <w:gridCol w:w="1254"/>
        <w:gridCol w:w="966"/>
        <w:gridCol w:w="949"/>
        <w:gridCol w:w="1458"/>
        <w:gridCol w:w="1329"/>
        <w:gridCol w:w="1350"/>
        <w:gridCol w:w="1620"/>
      </w:tblGrid>
      <w:tr w:rsidR="007D7243" w:rsidRPr="00EF2F18" w14:paraId="241568A4" w14:textId="77777777" w:rsidTr="00CF69DC">
        <w:trPr>
          <w:trHeight w:val="336"/>
        </w:trPr>
        <w:tc>
          <w:tcPr>
            <w:tcW w:w="1374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2686FFF0"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6.2.4: Усклађивање терминологије, закона и процедура са Архуском конвенцијом и релевантним одредбама законодавства ЕУ</w:t>
            </w:r>
          </w:p>
        </w:tc>
      </w:tr>
      <w:tr w:rsidR="007D7243" w:rsidRPr="00EF2F18" w14:paraId="3BBFF1FD" w14:textId="77777777" w:rsidTr="00CF69DC">
        <w:trPr>
          <w:trHeight w:val="336"/>
        </w:trPr>
        <w:tc>
          <w:tcPr>
            <w:tcW w:w="1374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645C15DF"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2D77C9B5" w14:textId="77777777" w:rsidTr="00CF69DC">
        <w:trPr>
          <w:trHeight w:val="336"/>
        </w:trPr>
        <w:tc>
          <w:tcPr>
            <w:tcW w:w="7041"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4DB358EA" w14:textId="3D79E9C9"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743C4B"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-2027.</w:t>
            </w:r>
          </w:p>
        </w:tc>
        <w:tc>
          <w:tcPr>
            <w:tcW w:w="6706" w:type="dxa"/>
            <w:gridSpan w:val="5"/>
            <w:tcBorders>
              <w:top w:val="double" w:sz="6" w:space="0" w:color="auto"/>
              <w:left w:val="nil"/>
              <w:bottom w:val="double" w:sz="6" w:space="0" w:color="auto"/>
              <w:right w:val="double" w:sz="6" w:space="0" w:color="auto"/>
            </w:tcBorders>
            <w:shd w:val="clear" w:color="000000" w:fill="F7CAAC"/>
            <w:hideMark/>
          </w:tcPr>
          <w:p w14:paraId="7466F95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4E420756" w14:textId="77777777" w:rsidTr="00CF69DC">
        <w:trPr>
          <w:trHeight w:val="336"/>
        </w:trPr>
        <w:tc>
          <w:tcPr>
            <w:tcW w:w="7041"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6781F599"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06" w:type="dxa"/>
            <w:gridSpan w:val="5"/>
            <w:tcBorders>
              <w:top w:val="double" w:sz="6" w:space="0" w:color="auto"/>
              <w:left w:val="nil"/>
              <w:bottom w:val="double" w:sz="6" w:space="0" w:color="auto"/>
              <w:right w:val="double" w:sz="6" w:space="0" w:color="auto"/>
            </w:tcBorders>
            <w:shd w:val="clear" w:color="000000" w:fill="F7CAAC"/>
            <w:hideMark/>
          </w:tcPr>
          <w:p w14:paraId="7FB7EE68"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F69DC" w:rsidRPr="00EF2F18" w14:paraId="7C6D1154" w14:textId="77777777" w:rsidTr="00CF69DC">
        <w:trPr>
          <w:trHeight w:val="816"/>
        </w:trPr>
        <w:tc>
          <w:tcPr>
            <w:tcW w:w="3168" w:type="dxa"/>
            <w:tcBorders>
              <w:top w:val="nil"/>
              <w:left w:val="double" w:sz="6" w:space="0" w:color="auto"/>
              <w:bottom w:val="double" w:sz="6" w:space="0" w:color="auto"/>
              <w:right w:val="single" w:sz="8" w:space="0" w:color="auto"/>
            </w:tcBorders>
            <w:shd w:val="clear" w:color="000000" w:fill="D9D9D9"/>
            <w:hideMark/>
          </w:tcPr>
          <w:p w14:paraId="56205C5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653" w:type="dxa"/>
            <w:tcBorders>
              <w:top w:val="nil"/>
              <w:left w:val="nil"/>
              <w:bottom w:val="double" w:sz="6" w:space="0" w:color="auto"/>
              <w:right w:val="single" w:sz="8" w:space="0" w:color="auto"/>
            </w:tcBorders>
            <w:shd w:val="clear" w:color="000000" w:fill="D9D9D9"/>
            <w:hideMark/>
          </w:tcPr>
          <w:p w14:paraId="32823C6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54" w:type="dxa"/>
            <w:tcBorders>
              <w:top w:val="nil"/>
              <w:left w:val="nil"/>
              <w:bottom w:val="double" w:sz="6" w:space="0" w:color="auto"/>
              <w:right w:val="single" w:sz="8" w:space="0" w:color="auto"/>
            </w:tcBorders>
            <w:shd w:val="clear" w:color="000000" w:fill="D9D9D9"/>
            <w:hideMark/>
          </w:tcPr>
          <w:p w14:paraId="495354D7"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915" w:type="dxa"/>
            <w:gridSpan w:val="2"/>
            <w:tcBorders>
              <w:top w:val="double" w:sz="6" w:space="0" w:color="auto"/>
              <w:left w:val="nil"/>
              <w:bottom w:val="double" w:sz="6" w:space="0" w:color="auto"/>
              <w:right w:val="single" w:sz="8" w:space="0" w:color="000000"/>
            </w:tcBorders>
            <w:shd w:val="clear" w:color="000000" w:fill="D9D9D9"/>
            <w:hideMark/>
          </w:tcPr>
          <w:p w14:paraId="1CEAA2C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458" w:type="dxa"/>
            <w:tcBorders>
              <w:top w:val="nil"/>
              <w:left w:val="nil"/>
              <w:bottom w:val="double" w:sz="6" w:space="0" w:color="auto"/>
              <w:right w:val="single" w:sz="8" w:space="0" w:color="auto"/>
            </w:tcBorders>
            <w:shd w:val="clear" w:color="000000" w:fill="D9D9D9"/>
            <w:hideMark/>
          </w:tcPr>
          <w:p w14:paraId="7072C07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329" w:type="dxa"/>
            <w:tcBorders>
              <w:top w:val="nil"/>
              <w:left w:val="nil"/>
              <w:bottom w:val="double" w:sz="6" w:space="0" w:color="auto"/>
              <w:right w:val="nil"/>
            </w:tcBorders>
            <w:shd w:val="clear" w:color="000000" w:fill="D9D9D9"/>
            <w:hideMark/>
          </w:tcPr>
          <w:p w14:paraId="4E56CC0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50" w:type="dxa"/>
            <w:tcBorders>
              <w:top w:val="nil"/>
              <w:left w:val="nil"/>
              <w:bottom w:val="double" w:sz="6" w:space="0" w:color="auto"/>
              <w:right w:val="single" w:sz="8" w:space="0" w:color="auto"/>
            </w:tcBorders>
            <w:shd w:val="clear" w:color="000000" w:fill="D9D9D9"/>
            <w:hideMark/>
          </w:tcPr>
          <w:p w14:paraId="72DCF37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tcBorders>
              <w:top w:val="nil"/>
              <w:left w:val="nil"/>
              <w:bottom w:val="double" w:sz="6" w:space="0" w:color="auto"/>
              <w:right w:val="double" w:sz="6" w:space="0" w:color="auto"/>
            </w:tcBorders>
            <w:shd w:val="clear" w:color="000000" w:fill="D9D9D9"/>
            <w:hideMark/>
          </w:tcPr>
          <w:p w14:paraId="21740EE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F69DC" w:rsidRPr="00EF2F18" w14:paraId="32D5BC49" w14:textId="77777777" w:rsidTr="00CF69DC">
        <w:trPr>
          <w:trHeight w:val="1080"/>
        </w:trPr>
        <w:tc>
          <w:tcPr>
            <w:tcW w:w="3168" w:type="dxa"/>
            <w:tcBorders>
              <w:top w:val="nil"/>
              <w:left w:val="double" w:sz="6" w:space="0" w:color="auto"/>
              <w:bottom w:val="double" w:sz="6" w:space="0" w:color="auto"/>
              <w:right w:val="single" w:sz="8" w:space="0" w:color="auto"/>
            </w:tcBorders>
            <w:shd w:val="clear" w:color="000000" w:fill="FFFFFF"/>
            <w:hideMark/>
          </w:tcPr>
          <w:p w14:paraId="7F3EBA0C"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Сви релевантни закони усклађени са Архуском конвенцијом и релевантним одредбама законодавства ЕУ</w:t>
            </w:r>
          </w:p>
        </w:tc>
        <w:tc>
          <w:tcPr>
            <w:tcW w:w="1653" w:type="dxa"/>
            <w:tcBorders>
              <w:top w:val="nil"/>
              <w:left w:val="nil"/>
              <w:bottom w:val="double" w:sz="6" w:space="0" w:color="auto"/>
              <w:right w:val="single" w:sz="8" w:space="0" w:color="auto"/>
            </w:tcBorders>
            <w:shd w:val="clear" w:color="000000" w:fill="FFFFFF"/>
            <w:hideMark/>
          </w:tcPr>
          <w:p w14:paraId="24746C5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не/делимично/да</w:t>
            </w:r>
          </w:p>
        </w:tc>
        <w:tc>
          <w:tcPr>
            <w:tcW w:w="1254" w:type="dxa"/>
            <w:tcBorders>
              <w:top w:val="nil"/>
              <w:left w:val="nil"/>
              <w:bottom w:val="double" w:sz="6" w:space="0" w:color="auto"/>
              <w:right w:val="single" w:sz="8" w:space="0" w:color="auto"/>
            </w:tcBorders>
            <w:shd w:val="clear" w:color="000000" w:fill="FFFFFF"/>
            <w:hideMark/>
          </w:tcPr>
          <w:p w14:paraId="216D7444" w14:textId="77777777" w:rsidR="00CF69DC" w:rsidRPr="00EF2F18" w:rsidRDefault="00CF69DC"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МЗЖС</w:t>
            </w:r>
          </w:p>
        </w:tc>
        <w:tc>
          <w:tcPr>
            <w:tcW w:w="1915" w:type="dxa"/>
            <w:gridSpan w:val="2"/>
            <w:tcBorders>
              <w:top w:val="double" w:sz="6" w:space="0" w:color="auto"/>
              <w:left w:val="nil"/>
              <w:bottom w:val="double" w:sz="6" w:space="0" w:color="auto"/>
              <w:right w:val="single" w:sz="8" w:space="0" w:color="000000"/>
            </w:tcBorders>
            <w:shd w:val="clear" w:color="000000" w:fill="FFFFFF"/>
            <w:hideMark/>
          </w:tcPr>
          <w:p w14:paraId="7F1217AF"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458" w:type="dxa"/>
            <w:tcBorders>
              <w:top w:val="nil"/>
              <w:left w:val="nil"/>
              <w:bottom w:val="double" w:sz="6" w:space="0" w:color="auto"/>
              <w:right w:val="single" w:sz="8" w:space="0" w:color="auto"/>
            </w:tcBorders>
            <w:shd w:val="clear" w:color="000000" w:fill="FFFFFF"/>
            <w:hideMark/>
          </w:tcPr>
          <w:p w14:paraId="7423A39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329" w:type="dxa"/>
            <w:tcBorders>
              <w:top w:val="double" w:sz="6" w:space="0" w:color="auto"/>
              <w:left w:val="single" w:sz="4" w:space="0" w:color="auto"/>
              <w:bottom w:val="double" w:sz="6" w:space="0" w:color="auto"/>
              <w:right w:val="single" w:sz="8" w:space="0" w:color="auto"/>
            </w:tcBorders>
            <w:shd w:val="clear" w:color="000000" w:fill="FFFFFF"/>
            <w:hideMark/>
          </w:tcPr>
          <w:p w14:paraId="788D0E6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50" w:type="dxa"/>
            <w:tcBorders>
              <w:top w:val="nil"/>
              <w:left w:val="nil"/>
              <w:bottom w:val="double" w:sz="6" w:space="0" w:color="auto"/>
              <w:right w:val="single" w:sz="8" w:space="0" w:color="auto"/>
            </w:tcBorders>
            <w:shd w:val="clear" w:color="000000" w:fill="FFFFFF"/>
            <w:hideMark/>
          </w:tcPr>
          <w:p w14:paraId="566EED65"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1620" w:type="dxa"/>
            <w:tcBorders>
              <w:top w:val="nil"/>
              <w:left w:val="nil"/>
              <w:bottom w:val="double" w:sz="6" w:space="0" w:color="auto"/>
              <w:right w:val="double" w:sz="6" w:space="0" w:color="auto"/>
            </w:tcBorders>
            <w:shd w:val="clear" w:color="000000" w:fill="FFFFFF"/>
            <w:hideMark/>
          </w:tcPr>
          <w:p w14:paraId="7896235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r>
    </w:tbl>
    <w:p w14:paraId="4CA4F8B0" w14:textId="77777777" w:rsidR="007D7243" w:rsidRPr="00EF2F18" w:rsidRDefault="007D7243" w:rsidP="007D7243">
      <w:pPr>
        <w:rPr>
          <w:rFonts w:cs="Times New Roman"/>
          <w:sz w:val="20"/>
          <w:szCs w:val="20"/>
          <w:lang w:val="sr-Cyrl-RS"/>
        </w:rPr>
      </w:pPr>
    </w:p>
    <w:tbl>
      <w:tblPr>
        <w:tblW w:w="4940" w:type="pct"/>
        <w:tblLook w:val="04A0" w:firstRow="1" w:lastRow="0" w:firstColumn="1" w:lastColumn="0" w:noHBand="0" w:noVBand="1"/>
      </w:tblPr>
      <w:tblGrid>
        <w:gridCol w:w="4468"/>
        <w:gridCol w:w="2917"/>
        <w:gridCol w:w="2139"/>
        <w:gridCol w:w="2139"/>
        <w:gridCol w:w="2084"/>
      </w:tblGrid>
      <w:tr w:rsidR="007D7243" w:rsidRPr="00EF2F18" w14:paraId="77D04D8D" w14:textId="77777777" w:rsidTr="00743C4B">
        <w:trPr>
          <w:trHeight w:val="336"/>
        </w:trPr>
        <w:tc>
          <w:tcPr>
            <w:tcW w:w="1625" w:type="pct"/>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FE54C4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1061" w:type="pct"/>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AAD3A68"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2315" w:type="pct"/>
            <w:gridSpan w:val="3"/>
            <w:tcBorders>
              <w:top w:val="double" w:sz="6" w:space="0" w:color="auto"/>
              <w:left w:val="nil"/>
              <w:bottom w:val="double" w:sz="6" w:space="0" w:color="auto"/>
              <w:right w:val="double" w:sz="6" w:space="0" w:color="auto"/>
            </w:tcBorders>
            <w:shd w:val="clear" w:color="000000" w:fill="A8D08D"/>
            <w:hideMark/>
          </w:tcPr>
          <w:p w14:paraId="72A67B2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743C4B" w:rsidRPr="00EF2F18" w14:paraId="709881B6" w14:textId="77777777" w:rsidTr="00743C4B">
        <w:trPr>
          <w:trHeight w:val="336"/>
        </w:trPr>
        <w:tc>
          <w:tcPr>
            <w:tcW w:w="1625" w:type="pct"/>
            <w:vMerge/>
            <w:tcBorders>
              <w:top w:val="double" w:sz="6" w:space="0" w:color="auto"/>
              <w:left w:val="double" w:sz="6" w:space="0" w:color="auto"/>
              <w:bottom w:val="single" w:sz="8" w:space="0" w:color="000000"/>
              <w:right w:val="double" w:sz="6" w:space="0" w:color="auto"/>
            </w:tcBorders>
            <w:vAlign w:val="center"/>
            <w:hideMark/>
          </w:tcPr>
          <w:p w14:paraId="0D3C231F" w14:textId="77777777" w:rsidR="00743C4B" w:rsidRPr="00EF2F18" w:rsidRDefault="00743C4B" w:rsidP="00752CA0">
            <w:pPr>
              <w:spacing w:after="0"/>
              <w:rPr>
                <w:rFonts w:eastAsia="Times New Roman" w:cs="Times New Roman"/>
                <w:color w:val="000000"/>
                <w:sz w:val="20"/>
                <w:szCs w:val="20"/>
                <w:lang w:val="sr-Cyrl-RS" w:eastAsia="en-GB"/>
              </w:rPr>
            </w:pPr>
          </w:p>
        </w:tc>
        <w:tc>
          <w:tcPr>
            <w:tcW w:w="1061" w:type="pct"/>
            <w:vMerge/>
            <w:tcBorders>
              <w:top w:val="double" w:sz="6" w:space="0" w:color="auto"/>
              <w:left w:val="double" w:sz="6" w:space="0" w:color="auto"/>
              <w:bottom w:val="single" w:sz="8" w:space="0" w:color="000000"/>
              <w:right w:val="double" w:sz="6" w:space="0" w:color="auto"/>
            </w:tcBorders>
            <w:vAlign w:val="center"/>
            <w:hideMark/>
          </w:tcPr>
          <w:p w14:paraId="571C0A57" w14:textId="77777777" w:rsidR="00743C4B" w:rsidRPr="00EF2F18" w:rsidRDefault="00743C4B" w:rsidP="00752CA0">
            <w:pPr>
              <w:spacing w:after="0"/>
              <w:rPr>
                <w:rFonts w:eastAsia="Times New Roman" w:cs="Times New Roman"/>
                <w:color w:val="000000"/>
                <w:sz w:val="20"/>
                <w:szCs w:val="20"/>
                <w:lang w:val="sr-Cyrl-RS" w:eastAsia="en-GB"/>
              </w:rPr>
            </w:pPr>
          </w:p>
        </w:tc>
        <w:tc>
          <w:tcPr>
            <w:tcW w:w="778" w:type="pct"/>
            <w:tcBorders>
              <w:top w:val="nil"/>
              <w:left w:val="nil"/>
              <w:bottom w:val="double" w:sz="6" w:space="0" w:color="auto"/>
              <w:right w:val="double" w:sz="6" w:space="0" w:color="auto"/>
            </w:tcBorders>
            <w:shd w:val="clear" w:color="000000" w:fill="A8D08D"/>
            <w:hideMark/>
          </w:tcPr>
          <w:p w14:paraId="5DB0A924" w14:textId="3F4CB921" w:rsidR="00743C4B" w:rsidRPr="00EF2F18" w:rsidRDefault="00743C4B"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778" w:type="pct"/>
            <w:tcBorders>
              <w:top w:val="nil"/>
              <w:left w:val="nil"/>
              <w:bottom w:val="double" w:sz="6" w:space="0" w:color="auto"/>
              <w:right w:val="double" w:sz="6" w:space="0" w:color="auto"/>
            </w:tcBorders>
            <w:shd w:val="clear" w:color="000000" w:fill="A8D08D"/>
            <w:hideMark/>
          </w:tcPr>
          <w:p w14:paraId="5D55A3B1" w14:textId="73865776" w:rsidR="00743C4B" w:rsidRPr="00EF2F18" w:rsidRDefault="00743C4B"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758" w:type="pct"/>
            <w:tcBorders>
              <w:top w:val="nil"/>
              <w:left w:val="nil"/>
              <w:bottom w:val="double" w:sz="6" w:space="0" w:color="auto"/>
              <w:right w:val="double" w:sz="6" w:space="0" w:color="auto"/>
            </w:tcBorders>
            <w:shd w:val="clear" w:color="000000" w:fill="A8D08D"/>
            <w:hideMark/>
          </w:tcPr>
          <w:p w14:paraId="3975A06E" w14:textId="4CC7FE99" w:rsidR="00743C4B" w:rsidRPr="00EF2F18" w:rsidRDefault="00743C4B"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743C4B" w:rsidRPr="00EF2F18" w14:paraId="456EC3E7" w14:textId="77777777" w:rsidTr="00743C4B">
        <w:trPr>
          <w:trHeight w:val="324"/>
        </w:trPr>
        <w:tc>
          <w:tcPr>
            <w:tcW w:w="1625" w:type="pct"/>
            <w:tcBorders>
              <w:top w:val="nil"/>
              <w:left w:val="double" w:sz="6" w:space="0" w:color="auto"/>
              <w:bottom w:val="double" w:sz="6" w:space="0" w:color="auto"/>
              <w:right w:val="double" w:sz="6" w:space="0" w:color="auto"/>
            </w:tcBorders>
            <w:hideMark/>
          </w:tcPr>
          <w:p w14:paraId="25B51695"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061" w:type="pct"/>
            <w:tcBorders>
              <w:top w:val="nil"/>
              <w:left w:val="nil"/>
              <w:bottom w:val="double" w:sz="6" w:space="0" w:color="auto"/>
              <w:right w:val="double" w:sz="6" w:space="0" w:color="auto"/>
            </w:tcBorders>
            <w:hideMark/>
          </w:tcPr>
          <w:p w14:paraId="2F302886"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778" w:type="pct"/>
            <w:tcBorders>
              <w:top w:val="nil"/>
              <w:left w:val="nil"/>
              <w:bottom w:val="double" w:sz="6" w:space="0" w:color="auto"/>
              <w:right w:val="double" w:sz="6" w:space="0" w:color="auto"/>
            </w:tcBorders>
          </w:tcPr>
          <w:p w14:paraId="487E239F" w14:textId="57C41B97" w:rsidR="00743C4B" w:rsidRPr="00EF2F18" w:rsidRDefault="00743C4B" w:rsidP="00752CA0">
            <w:pPr>
              <w:spacing w:after="0"/>
              <w:jc w:val="right"/>
              <w:rPr>
                <w:rFonts w:eastAsia="Times New Roman" w:cs="Times New Roman"/>
                <w:color w:val="000000"/>
                <w:sz w:val="20"/>
                <w:szCs w:val="20"/>
                <w:lang w:val="sr-Cyrl-RS" w:eastAsia="en-GB"/>
              </w:rPr>
            </w:pPr>
          </w:p>
        </w:tc>
        <w:tc>
          <w:tcPr>
            <w:tcW w:w="778" w:type="pct"/>
            <w:tcBorders>
              <w:top w:val="nil"/>
              <w:left w:val="nil"/>
              <w:bottom w:val="double" w:sz="6" w:space="0" w:color="auto"/>
              <w:right w:val="double" w:sz="6" w:space="0" w:color="auto"/>
            </w:tcBorders>
          </w:tcPr>
          <w:p w14:paraId="2A296E1E" w14:textId="3F7DCA3B" w:rsidR="00743C4B" w:rsidRPr="00EF2F18" w:rsidRDefault="00743C4B" w:rsidP="00752CA0">
            <w:pPr>
              <w:spacing w:after="0"/>
              <w:jc w:val="right"/>
              <w:rPr>
                <w:rFonts w:eastAsia="Times New Roman" w:cs="Times New Roman"/>
                <w:color w:val="000000"/>
                <w:sz w:val="20"/>
                <w:szCs w:val="20"/>
                <w:lang w:val="sr-Cyrl-RS" w:eastAsia="en-GB"/>
              </w:rPr>
            </w:pPr>
          </w:p>
        </w:tc>
        <w:tc>
          <w:tcPr>
            <w:tcW w:w="758" w:type="pct"/>
            <w:tcBorders>
              <w:top w:val="nil"/>
              <w:left w:val="nil"/>
              <w:bottom w:val="double" w:sz="6" w:space="0" w:color="auto"/>
              <w:right w:val="double" w:sz="6" w:space="0" w:color="auto"/>
            </w:tcBorders>
          </w:tcPr>
          <w:p w14:paraId="12724932" w14:textId="4B8B7113" w:rsidR="00743C4B" w:rsidRPr="00EF2F18" w:rsidRDefault="00743C4B" w:rsidP="00752CA0">
            <w:pPr>
              <w:spacing w:after="0"/>
              <w:jc w:val="right"/>
              <w:rPr>
                <w:rFonts w:eastAsia="Times New Roman" w:cs="Times New Roman"/>
                <w:color w:val="000000"/>
                <w:sz w:val="20"/>
                <w:szCs w:val="20"/>
                <w:lang w:val="sr-Cyrl-RS" w:eastAsia="en-GB"/>
              </w:rPr>
            </w:pPr>
          </w:p>
        </w:tc>
      </w:tr>
      <w:tr w:rsidR="00743C4B" w:rsidRPr="00EF2F18" w14:paraId="323B341F" w14:textId="77777777" w:rsidTr="00743C4B">
        <w:trPr>
          <w:trHeight w:val="324"/>
        </w:trPr>
        <w:tc>
          <w:tcPr>
            <w:tcW w:w="1625" w:type="pct"/>
            <w:tcBorders>
              <w:top w:val="double" w:sz="6" w:space="0" w:color="auto"/>
              <w:left w:val="double" w:sz="6" w:space="0" w:color="auto"/>
              <w:bottom w:val="double" w:sz="6" w:space="0" w:color="auto"/>
              <w:right w:val="double" w:sz="6" w:space="0" w:color="auto"/>
            </w:tcBorders>
          </w:tcPr>
          <w:p w14:paraId="455E4C5C" w14:textId="77777777" w:rsidR="00743C4B" w:rsidRPr="00EF2F18" w:rsidRDefault="00743C4B"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Донаторска средства*</w:t>
            </w:r>
          </w:p>
        </w:tc>
        <w:tc>
          <w:tcPr>
            <w:tcW w:w="1061" w:type="pct"/>
            <w:tcBorders>
              <w:top w:val="double" w:sz="6" w:space="0" w:color="auto"/>
              <w:left w:val="nil"/>
              <w:bottom w:val="double" w:sz="6" w:space="0" w:color="auto"/>
              <w:right w:val="double" w:sz="6" w:space="0" w:color="auto"/>
            </w:tcBorders>
          </w:tcPr>
          <w:p w14:paraId="4DA43E49" w14:textId="77777777" w:rsidR="00743C4B" w:rsidRPr="00EF2F18" w:rsidRDefault="00743C4B" w:rsidP="00752CA0">
            <w:pPr>
              <w:spacing w:after="0"/>
              <w:rPr>
                <w:rFonts w:eastAsia="Times New Roman" w:cs="Times New Roman"/>
                <w:color w:val="000000"/>
                <w:sz w:val="20"/>
                <w:szCs w:val="20"/>
                <w:lang w:val="sr-Cyrl-RS" w:eastAsia="en-GB"/>
              </w:rPr>
            </w:pPr>
          </w:p>
        </w:tc>
        <w:tc>
          <w:tcPr>
            <w:tcW w:w="778" w:type="pct"/>
            <w:tcBorders>
              <w:top w:val="double" w:sz="6" w:space="0" w:color="auto"/>
              <w:left w:val="nil"/>
              <w:bottom w:val="double" w:sz="6" w:space="0" w:color="auto"/>
              <w:right w:val="double" w:sz="6" w:space="0" w:color="auto"/>
            </w:tcBorders>
          </w:tcPr>
          <w:p w14:paraId="76E84EE6" w14:textId="77777777" w:rsidR="00743C4B" w:rsidRPr="00EF2F18" w:rsidRDefault="00743C4B" w:rsidP="00752CA0">
            <w:pPr>
              <w:spacing w:after="0"/>
              <w:jc w:val="right"/>
              <w:rPr>
                <w:rFonts w:eastAsia="Times New Roman" w:cs="Times New Roman"/>
                <w:color w:val="000000"/>
                <w:sz w:val="20"/>
                <w:szCs w:val="20"/>
                <w:lang w:val="sr-Cyrl-RS" w:eastAsia="en-GB"/>
              </w:rPr>
            </w:pPr>
          </w:p>
        </w:tc>
        <w:tc>
          <w:tcPr>
            <w:tcW w:w="778" w:type="pct"/>
            <w:tcBorders>
              <w:top w:val="double" w:sz="6" w:space="0" w:color="auto"/>
              <w:left w:val="nil"/>
              <w:bottom w:val="double" w:sz="6" w:space="0" w:color="auto"/>
              <w:right w:val="double" w:sz="6" w:space="0" w:color="auto"/>
            </w:tcBorders>
          </w:tcPr>
          <w:p w14:paraId="4927BD46" w14:textId="77777777" w:rsidR="00743C4B" w:rsidRPr="00EF2F18" w:rsidRDefault="00743C4B" w:rsidP="00752CA0">
            <w:pPr>
              <w:spacing w:after="0"/>
              <w:jc w:val="right"/>
              <w:rPr>
                <w:rFonts w:eastAsia="Times New Roman" w:cs="Times New Roman"/>
                <w:color w:val="000000"/>
                <w:sz w:val="20"/>
                <w:szCs w:val="20"/>
                <w:lang w:val="sr-Cyrl-RS" w:eastAsia="en-GB"/>
              </w:rPr>
            </w:pPr>
          </w:p>
        </w:tc>
        <w:tc>
          <w:tcPr>
            <w:tcW w:w="758" w:type="pct"/>
            <w:tcBorders>
              <w:top w:val="double" w:sz="6" w:space="0" w:color="auto"/>
              <w:left w:val="nil"/>
              <w:bottom w:val="double" w:sz="6" w:space="0" w:color="auto"/>
              <w:right w:val="double" w:sz="6" w:space="0" w:color="auto"/>
            </w:tcBorders>
          </w:tcPr>
          <w:p w14:paraId="1494F9AE" w14:textId="77777777" w:rsidR="00743C4B" w:rsidRPr="00EF2F18" w:rsidRDefault="00743C4B" w:rsidP="00752CA0">
            <w:pPr>
              <w:spacing w:after="0"/>
              <w:jc w:val="right"/>
              <w:rPr>
                <w:rFonts w:eastAsia="Times New Roman" w:cs="Times New Roman"/>
                <w:color w:val="000000"/>
                <w:sz w:val="20"/>
                <w:szCs w:val="20"/>
                <w:lang w:val="sr-Cyrl-RS" w:eastAsia="en-GB"/>
              </w:rPr>
            </w:pPr>
          </w:p>
        </w:tc>
      </w:tr>
    </w:tbl>
    <w:p w14:paraId="244B4DAC" w14:textId="77777777" w:rsidR="007D7243" w:rsidRPr="00EF2F18" w:rsidRDefault="007D7243" w:rsidP="007D7243">
      <w:pPr>
        <w:rPr>
          <w:sz w:val="20"/>
          <w:szCs w:val="20"/>
          <w:lang w:val="sr-Cyrl-RS"/>
        </w:rPr>
      </w:pPr>
      <w:r w:rsidRPr="00EF2F18">
        <w:rPr>
          <w:sz w:val="20"/>
          <w:szCs w:val="20"/>
          <w:lang w:val="sr-Cyrl-RS"/>
        </w:rPr>
        <w:t xml:space="preserve"> </w:t>
      </w:r>
    </w:p>
    <w:tbl>
      <w:tblPr>
        <w:tblW w:w="13657" w:type="dxa"/>
        <w:tblLook w:val="04A0" w:firstRow="1" w:lastRow="0" w:firstColumn="1" w:lastColumn="0" w:noHBand="0" w:noVBand="1"/>
      </w:tblPr>
      <w:tblGrid>
        <w:gridCol w:w="2981"/>
        <w:gridCol w:w="1259"/>
        <w:gridCol w:w="1240"/>
        <w:gridCol w:w="1182"/>
        <w:gridCol w:w="1691"/>
        <w:gridCol w:w="1340"/>
        <w:gridCol w:w="1264"/>
        <w:gridCol w:w="1260"/>
        <w:gridCol w:w="1440"/>
      </w:tblGrid>
      <w:tr w:rsidR="00CF69DC" w:rsidRPr="00EF2F18" w14:paraId="07B99082" w14:textId="77777777" w:rsidTr="00CF69DC">
        <w:trPr>
          <w:trHeight w:val="732"/>
        </w:trPr>
        <w:tc>
          <w:tcPr>
            <w:tcW w:w="2981"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77EF931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59"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CEB418F"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83EE13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F51F144"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5A176B9"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5479D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964" w:type="dxa"/>
            <w:gridSpan w:val="3"/>
            <w:tcBorders>
              <w:top w:val="double" w:sz="6" w:space="0" w:color="auto"/>
              <w:left w:val="nil"/>
              <w:bottom w:val="single" w:sz="8" w:space="0" w:color="auto"/>
              <w:right w:val="double" w:sz="6" w:space="0" w:color="auto"/>
            </w:tcBorders>
            <w:shd w:val="clear" w:color="000000" w:fill="FFF2CC"/>
            <w:hideMark/>
          </w:tcPr>
          <w:p w14:paraId="79D1FBE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F69DC" w:rsidRPr="00EF2F18" w14:paraId="4B3B19C5" w14:textId="77777777" w:rsidTr="00CF69DC">
        <w:trPr>
          <w:trHeight w:val="324"/>
        </w:trPr>
        <w:tc>
          <w:tcPr>
            <w:tcW w:w="2981" w:type="dxa"/>
            <w:vMerge/>
            <w:tcBorders>
              <w:top w:val="double" w:sz="6" w:space="0" w:color="auto"/>
              <w:left w:val="double" w:sz="6" w:space="0" w:color="auto"/>
              <w:bottom w:val="single" w:sz="8" w:space="0" w:color="000000"/>
              <w:right w:val="single" w:sz="8" w:space="0" w:color="auto"/>
            </w:tcBorders>
            <w:vAlign w:val="center"/>
            <w:hideMark/>
          </w:tcPr>
          <w:p w14:paraId="74E978B5" w14:textId="77777777" w:rsidR="00CF69DC" w:rsidRPr="00EF2F18" w:rsidRDefault="00CF69DC" w:rsidP="00752CA0">
            <w:pPr>
              <w:spacing w:after="0"/>
              <w:rPr>
                <w:rFonts w:eastAsia="Times New Roman" w:cs="Times New Roman"/>
                <w:color w:val="000000"/>
                <w:sz w:val="20"/>
                <w:szCs w:val="20"/>
                <w:lang w:val="sr-Cyrl-RS" w:eastAsia="en-GB"/>
              </w:rPr>
            </w:pPr>
          </w:p>
        </w:tc>
        <w:tc>
          <w:tcPr>
            <w:tcW w:w="1259" w:type="dxa"/>
            <w:vMerge/>
            <w:tcBorders>
              <w:top w:val="double" w:sz="6" w:space="0" w:color="auto"/>
              <w:left w:val="single" w:sz="8" w:space="0" w:color="auto"/>
              <w:bottom w:val="single" w:sz="8" w:space="0" w:color="000000"/>
              <w:right w:val="single" w:sz="8" w:space="0" w:color="auto"/>
            </w:tcBorders>
            <w:vAlign w:val="center"/>
            <w:hideMark/>
          </w:tcPr>
          <w:p w14:paraId="3BC89B69" w14:textId="77777777" w:rsidR="00CF69DC" w:rsidRPr="00EF2F18" w:rsidRDefault="00CF69DC"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19FED51A" w14:textId="77777777" w:rsidR="00CF69DC" w:rsidRPr="00EF2F18" w:rsidRDefault="00CF69DC"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604204A2" w14:textId="77777777" w:rsidR="00CF69DC" w:rsidRPr="00EF2F18" w:rsidRDefault="00CF69DC"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5FB8B1E9" w14:textId="77777777" w:rsidR="00CF69DC" w:rsidRPr="00EF2F18" w:rsidRDefault="00CF69DC"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4B8E2989" w14:textId="77777777" w:rsidR="00CF69DC" w:rsidRPr="00EF2F18" w:rsidRDefault="00CF69DC" w:rsidP="00752CA0">
            <w:pPr>
              <w:spacing w:after="0"/>
              <w:rPr>
                <w:rFonts w:eastAsia="Times New Roman" w:cs="Times New Roman"/>
                <w:color w:val="000000"/>
                <w:sz w:val="20"/>
                <w:szCs w:val="20"/>
                <w:lang w:val="sr-Cyrl-RS" w:eastAsia="en-GB"/>
              </w:rPr>
            </w:pPr>
          </w:p>
        </w:tc>
        <w:tc>
          <w:tcPr>
            <w:tcW w:w="1264" w:type="dxa"/>
            <w:tcBorders>
              <w:top w:val="nil"/>
              <w:left w:val="nil"/>
              <w:bottom w:val="single" w:sz="8" w:space="0" w:color="auto"/>
              <w:right w:val="single" w:sz="8" w:space="0" w:color="auto"/>
            </w:tcBorders>
            <w:shd w:val="clear" w:color="000000" w:fill="FFF2CC"/>
            <w:hideMark/>
          </w:tcPr>
          <w:p w14:paraId="49179A23" w14:textId="3A4C41B9"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2981041D" w14:textId="607209DF"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w:t>
            </w:r>
          </w:p>
        </w:tc>
        <w:tc>
          <w:tcPr>
            <w:tcW w:w="1440" w:type="dxa"/>
            <w:tcBorders>
              <w:top w:val="nil"/>
              <w:left w:val="nil"/>
              <w:bottom w:val="single" w:sz="8" w:space="0" w:color="auto"/>
              <w:right w:val="double" w:sz="6" w:space="0" w:color="auto"/>
            </w:tcBorders>
            <w:shd w:val="clear" w:color="000000" w:fill="FFF2CC"/>
            <w:hideMark/>
          </w:tcPr>
          <w:p w14:paraId="55878661" w14:textId="7B6774AC"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CF69DC" w:rsidRPr="00EF2F18" w14:paraId="779D0011" w14:textId="77777777" w:rsidTr="00CF69DC">
        <w:trPr>
          <w:trHeight w:val="1519"/>
        </w:trPr>
        <w:tc>
          <w:tcPr>
            <w:tcW w:w="2981" w:type="dxa"/>
            <w:tcBorders>
              <w:top w:val="nil"/>
              <w:left w:val="double" w:sz="6" w:space="0" w:color="auto"/>
              <w:bottom w:val="single" w:sz="8" w:space="0" w:color="auto"/>
              <w:right w:val="single" w:sz="8" w:space="0" w:color="auto"/>
            </w:tcBorders>
            <w:hideMark/>
          </w:tcPr>
          <w:p w14:paraId="35586EF0" w14:textId="6ABD5ED8" w:rsidR="00CF69DC" w:rsidRPr="00EF2F18" w:rsidRDefault="00CF69DC" w:rsidP="00752CA0">
            <w:pPr>
              <w:spacing w:after="0"/>
              <w:rPr>
                <w:rFonts w:eastAsia="Times New Roman" w:cs="Times New Roman"/>
                <w:color w:val="000000" w:themeColor="text1"/>
                <w:kern w:val="2"/>
                <w:sz w:val="20"/>
                <w:szCs w:val="20"/>
                <w:lang w:val="sr-Cyrl-RS" w:eastAsia="en-GB"/>
              </w:rPr>
            </w:pPr>
            <w:r w:rsidRPr="00EF2F18">
              <w:rPr>
                <w:rFonts w:eastAsia="Times New Roman" w:cs="Times New Roman"/>
                <w:color w:val="000000" w:themeColor="text1"/>
                <w:kern w:val="2"/>
                <w:sz w:val="20"/>
                <w:szCs w:val="20"/>
                <w:lang w:val="sr-Cyrl-RS" w:eastAsia="en-GB"/>
              </w:rPr>
              <w:t xml:space="preserve">6.2.4.1. Израда анализа међусобне усклађености правног оквира, усклађености са Архуском конвенцијом и релевантним правним тековинама Европске уније </w:t>
            </w:r>
          </w:p>
        </w:tc>
        <w:tc>
          <w:tcPr>
            <w:tcW w:w="1259" w:type="dxa"/>
            <w:tcBorders>
              <w:top w:val="nil"/>
              <w:left w:val="nil"/>
              <w:bottom w:val="single" w:sz="8" w:space="0" w:color="auto"/>
              <w:right w:val="single" w:sz="8" w:space="0" w:color="auto"/>
            </w:tcBorders>
            <w:hideMark/>
          </w:tcPr>
          <w:p w14:paraId="1CA4B4E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75BC8882"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МЕИ, РАЦ, ОЦД</w:t>
            </w:r>
          </w:p>
        </w:tc>
        <w:tc>
          <w:tcPr>
            <w:tcW w:w="1182" w:type="dxa"/>
            <w:tcBorders>
              <w:top w:val="nil"/>
              <w:left w:val="nil"/>
              <w:bottom w:val="single" w:sz="8" w:space="0" w:color="auto"/>
              <w:right w:val="single" w:sz="8" w:space="0" w:color="auto"/>
            </w:tcBorders>
            <w:hideMark/>
          </w:tcPr>
          <w:p w14:paraId="5CCDE2D4" w14:textId="50FB73BE" w:rsidR="00CF69DC" w:rsidRPr="00EF2F18" w:rsidRDefault="001F1FF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w:t>
            </w:r>
            <w:r w:rsidR="00CF69DC" w:rsidRPr="00EF2F18">
              <w:rPr>
                <w:rFonts w:eastAsia="Times New Roman" w:cs="Times New Roman"/>
                <w:color w:val="000000"/>
                <w:sz w:val="20"/>
                <w:szCs w:val="20"/>
                <w:lang w:val="sr-Cyrl-RS" w:eastAsia="en-GB"/>
              </w:rPr>
              <w:t>. квартал 202</w:t>
            </w:r>
            <w:r w:rsidRPr="00EF2F18">
              <w:rPr>
                <w:rFonts w:eastAsia="Times New Roman" w:cs="Times New Roman"/>
                <w:color w:val="000000"/>
                <w:sz w:val="20"/>
                <w:szCs w:val="20"/>
                <w:lang w:val="sr-Cyrl-RS" w:eastAsia="en-GB"/>
              </w:rPr>
              <w:t>7</w:t>
            </w:r>
          </w:p>
        </w:tc>
        <w:tc>
          <w:tcPr>
            <w:tcW w:w="1691" w:type="dxa"/>
            <w:tcBorders>
              <w:top w:val="nil"/>
              <w:left w:val="nil"/>
              <w:bottom w:val="single" w:sz="8" w:space="0" w:color="auto"/>
              <w:right w:val="single" w:sz="8" w:space="0" w:color="auto"/>
            </w:tcBorders>
          </w:tcPr>
          <w:p w14:paraId="6183C5BE"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Донаторска средства*</w:t>
            </w:r>
          </w:p>
        </w:tc>
        <w:tc>
          <w:tcPr>
            <w:tcW w:w="1340" w:type="dxa"/>
            <w:tcBorders>
              <w:top w:val="nil"/>
              <w:left w:val="nil"/>
              <w:bottom w:val="single" w:sz="8" w:space="0" w:color="auto"/>
              <w:right w:val="single" w:sz="8" w:space="0" w:color="auto"/>
            </w:tcBorders>
          </w:tcPr>
          <w:p w14:paraId="1745E4FD" w14:textId="77777777" w:rsidR="00CF69DC" w:rsidRPr="00EF2F18" w:rsidRDefault="00CF69DC" w:rsidP="00752CA0">
            <w:pPr>
              <w:spacing w:after="0"/>
              <w:rPr>
                <w:rFonts w:eastAsia="Times New Roman" w:cs="Times New Roman"/>
                <w:color w:val="000000"/>
                <w:sz w:val="20"/>
                <w:szCs w:val="20"/>
                <w:lang w:val="sr-Cyrl-RS" w:eastAsia="en-GB"/>
              </w:rPr>
            </w:pPr>
          </w:p>
        </w:tc>
        <w:tc>
          <w:tcPr>
            <w:tcW w:w="1264" w:type="dxa"/>
            <w:tcBorders>
              <w:top w:val="nil"/>
              <w:left w:val="nil"/>
              <w:bottom w:val="single" w:sz="8" w:space="0" w:color="auto"/>
              <w:right w:val="single" w:sz="8" w:space="0" w:color="auto"/>
            </w:tcBorders>
          </w:tcPr>
          <w:p w14:paraId="7DF1D2C0" w14:textId="6183027C"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412F09F5" w14:textId="724F2673" w:rsidR="00CF69DC" w:rsidRPr="00EF2F18" w:rsidRDefault="00CF69DC"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double" w:sz="6" w:space="0" w:color="auto"/>
            </w:tcBorders>
          </w:tcPr>
          <w:p w14:paraId="449DDFBC" w14:textId="380D53A8"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2A21BBDB" w14:textId="77777777" w:rsidTr="00CF69DC">
        <w:trPr>
          <w:trHeight w:val="973"/>
        </w:trPr>
        <w:tc>
          <w:tcPr>
            <w:tcW w:w="2981" w:type="dxa"/>
            <w:tcBorders>
              <w:top w:val="nil"/>
              <w:left w:val="double" w:sz="6" w:space="0" w:color="auto"/>
              <w:bottom w:val="single" w:sz="8" w:space="0" w:color="auto"/>
              <w:right w:val="single" w:sz="8" w:space="0" w:color="auto"/>
            </w:tcBorders>
            <w:hideMark/>
          </w:tcPr>
          <w:p w14:paraId="5D188509" w14:textId="62AC5949"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6.2.4.2. Припрема предлога и иницијативе за измену</w:t>
            </w:r>
            <w:r w:rsidR="00D9097E" w:rsidRPr="00EF2F18">
              <w:rPr>
                <w:rFonts w:eastAsia="Times New Roman" w:cs="Times New Roman"/>
                <w:color w:val="000000" w:themeColor="text1"/>
                <w:kern w:val="2"/>
                <w:sz w:val="20"/>
                <w:szCs w:val="20"/>
                <w:lang w:val="sr-Cyrl-RS" w:eastAsia="en-GB"/>
              </w:rPr>
              <w:t xml:space="preserve"> </w:t>
            </w:r>
            <w:r w:rsidRPr="00EF2F18">
              <w:rPr>
                <w:rFonts w:eastAsia="Times New Roman" w:cs="Times New Roman"/>
                <w:color w:val="000000" w:themeColor="text1"/>
                <w:kern w:val="2"/>
                <w:sz w:val="20"/>
                <w:szCs w:val="20"/>
                <w:lang w:val="sr-Cyrl-RS" w:eastAsia="en-GB"/>
              </w:rPr>
              <w:t xml:space="preserve">Закона о слободном приступу информацијама од јавног значаја </w:t>
            </w:r>
          </w:p>
        </w:tc>
        <w:tc>
          <w:tcPr>
            <w:tcW w:w="1259" w:type="dxa"/>
            <w:tcBorders>
              <w:top w:val="nil"/>
              <w:left w:val="nil"/>
              <w:bottom w:val="single" w:sz="8" w:space="0" w:color="auto"/>
              <w:right w:val="single" w:sz="8" w:space="0" w:color="auto"/>
            </w:tcBorders>
            <w:hideMark/>
          </w:tcPr>
          <w:p w14:paraId="10B483A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782BB89E"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МДУЛС, МЕИ, ПИЈЗЗПЛ, РАЦ, ОЦД</w:t>
            </w:r>
          </w:p>
        </w:tc>
        <w:tc>
          <w:tcPr>
            <w:tcW w:w="1182" w:type="dxa"/>
            <w:tcBorders>
              <w:top w:val="nil"/>
              <w:left w:val="nil"/>
              <w:bottom w:val="single" w:sz="8" w:space="0" w:color="auto"/>
              <w:right w:val="single" w:sz="8" w:space="0" w:color="auto"/>
            </w:tcBorders>
            <w:hideMark/>
          </w:tcPr>
          <w:p w14:paraId="40567784" w14:textId="26FD1C2E" w:rsidR="00CF69DC" w:rsidRPr="00EF2F18" w:rsidRDefault="00D9097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single" w:sz="8" w:space="0" w:color="auto"/>
              <w:right w:val="single" w:sz="8" w:space="0" w:color="auto"/>
            </w:tcBorders>
            <w:hideMark/>
          </w:tcPr>
          <w:p w14:paraId="5033CF01"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6E994136"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264" w:type="dxa"/>
            <w:tcBorders>
              <w:top w:val="nil"/>
              <w:left w:val="nil"/>
              <w:bottom w:val="single" w:sz="8" w:space="0" w:color="auto"/>
              <w:right w:val="single" w:sz="8" w:space="0" w:color="auto"/>
            </w:tcBorders>
          </w:tcPr>
          <w:p w14:paraId="0867AB62" w14:textId="7DD60EE1"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0C267E56" w14:textId="26B160AA" w:rsidR="00CF69DC" w:rsidRPr="00EF2F18" w:rsidRDefault="00CF69DC"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single" w:sz="8" w:space="0" w:color="auto"/>
            </w:tcBorders>
          </w:tcPr>
          <w:p w14:paraId="3BC95168" w14:textId="3FE09B44"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1ADFF01A" w14:textId="77777777" w:rsidTr="00CF69DC">
        <w:trPr>
          <w:trHeight w:val="2050"/>
        </w:trPr>
        <w:tc>
          <w:tcPr>
            <w:tcW w:w="2981" w:type="dxa"/>
            <w:tcBorders>
              <w:top w:val="nil"/>
              <w:left w:val="double" w:sz="6" w:space="0" w:color="auto"/>
              <w:bottom w:val="single" w:sz="8" w:space="0" w:color="auto"/>
              <w:right w:val="single" w:sz="8" w:space="0" w:color="auto"/>
            </w:tcBorders>
            <w:hideMark/>
          </w:tcPr>
          <w:p w14:paraId="6B307C9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6.2.4.3. Припрема предлога измена и упућивање иницијативе за усклађивање терминологије са Архуском конвенцијом и релевантним одредбама законодавства ЕУ, која би била коришћена у целом правном систему (исте дефиниције са истим значењем)</w:t>
            </w:r>
          </w:p>
        </w:tc>
        <w:tc>
          <w:tcPr>
            <w:tcW w:w="1259" w:type="dxa"/>
            <w:tcBorders>
              <w:top w:val="nil"/>
              <w:left w:val="nil"/>
              <w:bottom w:val="single" w:sz="8" w:space="0" w:color="auto"/>
              <w:right w:val="single" w:sz="8" w:space="0" w:color="auto"/>
            </w:tcBorders>
            <w:hideMark/>
          </w:tcPr>
          <w:p w14:paraId="3E28003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1F9C747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МДУЛС, РАЦ, ОЦД</w:t>
            </w:r>
          </w:p>
        </w:tc>
        <w:tc>
          <w:tcPr>
            <w:tcW w:w="1182" w:type="dxa"/>
            <w:tcBorders>
              <w:top w:val="nil"/>
              <w:left w:val="nil"/>
              <w:bottom w:val="single" w:sz="8" w:space="0" w:color="auto"/>
              <w:right w:val="single" w:sz="8" w:space="0" w:color="auto"/>
            </w:tcBorders>
            <w:hideMark/>
          </w:tcPr>
          <w:p w14:paraId="379CA887" w14:textId="77777777" w:rsidR="00CF69DC" w:rsidRPr="00EF2F18" w:rsidRDefault="00CF69DC" w:rsidP="00752CA0">
            <w:pPr>
              <w:spacing w:after="0"/>
              <w:rPr>
                <w:rFonts w:eastAsia="Times New Roman" w:cs="Times New Roman"/>
                <w:strike/>
                <w:color w:val="000000"/>
                <w:sz w:val="20"/>
                <w:szCs w:val="20"/>
                <w:lang w:val="sr-Cyrl-RS" w:eastAsia="en-GB"/>
              </w:rPr>
            </w:pPr>
          </w:p>
          <w:p w14:paraId="3398826A" w14:textId="77777777" w:rsidR="00CF69DC" w:rsidRPr="00EF2F18" w:rsidRDefault="00CF69DC" w:rsidP="00752CA0">
            <w:pPr>
              <w:spacing w:after="0"/>
              <w:rPr>
                <w:rFonts w:eastAsia="Times New Roman" w:cs="Times New Roman"/>
                <w:sz w:val="20"/>
                <w:szCs w:val="20"/>
                <w:lang w:val="sr-Cyrl-RS" w:eastAsia="en-GB"/>
              </w:rPr>
            </w:pPr>
            <w:r w:rsidRPr="00EF2F18">
              <w:rPr>
                <w:rFonts w:eastAsia="Times New Roman" w:cs="Times New Roman"/>
                <w:sz w:val="20"/>
                <w:szCs w:val="20"/>
                <w:lang w:val="sr-Cyrl-RS" w:eastAsia="en-GB"/>
              </w:rPr>
              <w:t>4.квартал</w:t>
            </w:r>
          </w:p>
          <w:p w14:paraId="502D3EE4" w14:textId="0B299706" w:rsidR="00CF69DC" w:rsidRPr="00EF2F18" w:rsidRDefault="00CF69DC" w:rsidP="00752CA0">
            <w:pPr>
              <w:spacing w:after="0"/>
              <w:rPr>
                <w:rFonts w:eastAsia="Times New Roman" w:cs="Times New Roman"/>
                <w:strike/>
                <w:color w:val="000000"/>
                <w:sz w:val="20"/>
                <w:szCs w:val="20"/>
                <w:lang w:val="sr-Cyrl-RS" w:eastAsia="en-GB"/>
              </w:rPr>
            </w:pPr>
            <w:r w:rsidRPr="00EF2F18">
              <w:rPr>
                <w:rFonts w:eastAsia="Times New Roman" w:cs="Times New Roman"/>
                <w:sz w:val="20"/>
                <w:szCs w:val="20"/>
                <w:lang w:val="sr-Cyrl-RS" w:eastAsia="en-GB"/>
              </w:rPr>
              <w:t>2026</w:t>
            </w:r>
          </w:p>
        </w:tc>
        <w:tc>
          <w:tcPr>
            <w:tcW w:w="1691" w:type="dxa"/>
            <w:tcBorders>
              <w:top w:val="nil"/>
              <w:left w:val="nil"/>
              <w:bottom w:val="single" w:sz="8" w:space="0" w:color="auto"/>
              <w:right w:val="single" w:sz="8" w:space="0" w:color="auto"/>
            </w:tcBorders>
            <w:hideMark/>
          </w:tcPr>
          <w:p w14:paraId="72D2911C"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1315C8A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264" w:type="dxa"/>
            <w:tcBorders>
              <w:top w:val="nil"/>
              <w:left w:val="nil"/>
              <w:bottom w:val="single" w:sz="8" w:space="0" w:color="auto"/>
              <w:right w:val="single" w:sz="8" w:space="0" w:color="auto"/>
            </w:tcBorders>
          </w:tcPr>
          <w:p w14:paraId="45C03EBC" w14:textId="72BAC2CC"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7B337A60" w14:textId="06B5423D" w:rsidR="00CF69DC" w:rsidRPr="00EF2F18" w:rsidRDefault="00CF69DC"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single" w:sz="8" w:space="0" w:color="auto"/>
            </w:tcBorders>
          </w:tcPr>
          <w:p w14:paraId="00EAAB0B" w14:textId="307B5694"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1479FA76" w14:textId="77777777" w:rsidTr="00CF69DC">
        <w:trPr>
          <w:trHeight w:val="1870"/>
        </w:trPr>
        <w:tc>
          <w:tcPr>
            <w:tcW w:w="2981" w:type="dxa"/>
            <w:tcBorders>
              <w:top w:val="nil"/>
              <w:left w:val="double" w:sz="6" w:space="0" w:color="auto"/>
              <w:bottom w:val="single" w:sz="8" w:space="0" w:color="auto"/>
              <w:right w:val="single" w:sz="8" w:space="0" w:color="auto"/>
            </w:tcBorders>
            <w:hideMark/>
          </w:tcPr>
          <w:p w14:paraId="1C0ADF2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6.2.4.4. Припрема предлога измена и упућивање иницијативе за измену прописа којима би били успостављени одговарајући механизми који би допринели уклањању или смањењу финансијских и других баријера остваривању права на правну заштиту</w:t>
            </w:r>
          </w:p>
        </w:tc>
        <w:tc>
          <w:tcPr>
            <w:tcW w:w="1259" w:type="dxa"/>
            <w:tcBorders>
              <w:top w:val="nil"/>
              <w:left w:val="nil"/>
              <w:bottom w:val="single" w:sz="8" w:space="0" w:color="auto"/>
              <w:right w:val="single" w:sz="8" w:space="0" w:color="auto"/>
            </w:tcBorders>
            <w:hideMark/>
          </w:tcPr>
          <w:p w14:paraId="682090FF"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446763B3" w14:textId="3D46B1EE"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 РАЦ, ОЦД</w:t>
            </w:r>
          </w:p>
        </w:tc>
        <w:tc>
          <w:tcPr>
            <w:tcW w:w="1182" w:type="dxa"/>
            <w:tcBorders>
              <w:top w:val="nil"/>
              <w:left w:val="nil"/>
              <w:bottom w:val="single" w:sz="8" w:space="0" w:color="auto"/>
              <w:right w:val="single" w:sz="8" w:space="0" w:color="auto"/>
            </w:tcBorders>
            <w:hideMark/>
          </w:tcPr>
          <w:p w14:paraId="4D68946E" w14:textId="572ECB74" w:rsidR="00CF69DC" w:rsidRPr="00EF2F18" w:rsidRDefault="00D9097E"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single" w:sz="8" w:space="0" w:color="auto"/>
              <w:right w:val="single" w:sz="8" w:space="0" w:color="auto"/>
            </w:tcBorders>
            <w:hideMark/>
          </w:tcPr>
          <w:p w14:paraId="401327F6"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39F0E6B4"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264" w:type="dxa"/>
            <w:tcBorders>
              <w:top w:val="nil"/>
              <w:left w:val="nil"/>
              <w:bottom w:val="single" w:sz="8" w:space="0" w:color="auto"/>
              <w:right w:val="single" w:sz="8" w:space="0" w:color="auto"/>
            </w:tcBorders>
          </w:tcPr>
          <w:p w14:paraId="69CF552A" w14:textId="22AB8DB7"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52031AED" w14:textId="67EDA3A3" w:rsidR="00CF69DC" w:rsidRPr="00EF2F18" w:rsidRDefault="00CF69DC"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single" w:sz="8" w:space="0" w:color="auto"/>
              <w:right w:val="single" w:sz="8" w:space="0" w:color="auto"/>
            </w:tcBorders>
          </w:tcPr>
          <w:p w14:paraId="5C2CDACD" w14:textId="246F9681"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157428F1" w14:textId="77777777" w:rsidTr="00CE0B43">
        <w:trPr>
          <w:trHeight w:val="2124"/>
        </w:trPr>
        <w:tc>
          <w:tcPr>
            <w:tcW w:w="2981" w:type="dxa"/>
            <w:tcBorders>
              <w:top w:val="single" w:sz="4" w:space="0" w:color="auto"/>
              <w:left w:val="double" w:sz="6" w:space="0" w:color="auto"/>
              <w:bottom w:val="single" w:sz="8" w:space="0" w:color="auto"/>
              <w:right w:val="single" w:sz="8" w:space="0" w:color="auto"/>
            </w:tcBorders>
            <w:hideMark/>
          </w:tcPr>
          <w:p w14:paraId="268A38B1"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lastRenderedPageBreak/>
              <w:t>6.2.4.5. Припрема предлога измена и упућивање иницијативе за усвајање измена и допуна Закона о облигационим односима и Закона о основама својинско-правних односа како би се осигурало учешће заинтересоване јавности као странке у грађанском поступку</w:t>
            </w:r>
          </w:p>
        </w:tc>
        <w:tc>
          <w:tcPr>
            <w:tcW w:w="1259" w:type="dxa"/>
            <w:tcBorders>
              <w:top w:val="single" w:sz="4" w:space="0" w:color="auto"/>
              <w:left w:val="nil"/>
              <w:bottom w:val="single" w:sz="8" w:space="0" w:color="auto"/>
              <w:right w:val="single" w:sz="8" w:space="0" w:color="auto"/>
            </w:tcBorders>
            <w:hideMark/>
          </w:tcPr>
          <w:p w14:paraId="1FAD9E24"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single" w:sz="4" w:space="0" w:color="auto"/>
              <w:left w:val="nil"/>
              <w:bottom w:val="single" w:sz="8" w:space="0" w:color="auto"/>
              <w:right w:val="single" w:sz="8" w:space="0" w:color="auto"/>
            </w:tcBorders>
            <w:hideMark/>
          </w:tcPr>
          <w:p w14:paraId="62989BA0"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 МПравде, РАЦ, ОЦД</w:t>
            </w:r>
          </w:p>
        </w:tc>
        <w:tc>
          <w:tcPr>
            <w:tcW w:w="1182" w:type="dxa"/>
            <w:tcBorders>
              <w:top w:val="single" w:sz="4" w:space="0" w:color="auto"/>
              <w:left w:val="nil"/>
              <w:bottom w:val="single" w:sz="8" w:space="0" w:color="auto"/>
              <w:right w:val="single" w:sz="8" w:space="0" w:color="auto"/>
            </w:tcBorders>
            <w:hideMark/>
          </w:tcPr>
          <w:p w14:paraId="13972D1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691" w:type="dxa"/>
            <w:tcBorders>
              <w:top w:val="single" w:sz="4" w:space="0" w:color="auto"/>
              <w:left w:val="nil"/>
              <w:bottom w:val="single" w:sz="8" w:space="0" w:color="auto"/>
              <w:right w:val="single" w:sz="8" w:space="0" w:color="auto"/>
            </w:tcBorders>
            <w:hideMark/>
          </w:tcPr>
          <w:p w14:paraId="29A93DF2"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5CBA330C"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264" w:type="dxa"/>
            <w:tcBorders>
              <w:top w:val="single" w:sz="4" w:space="0" w:color="auto"/>
              <w:left w:val="nil"/>
              <w:bottom w:val="single" w:sz="8" w:space="0" w:color="auto"/>
              <w:right w:val="single" w:sz="8" w:space="0" w:color="auto"/>
            </w:tcBorders>
          </w:tcPr>
          <w:p w14:paraId="6E452DCC" w14:textId="701DAE3F"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single" w:sz="4" w:space="0" w:color="auto"/>
              <w:left w:val="nil"/>
              <w:bottom w:val="single" w:sz="8" w:space="0" w:color="auto"/>
              <w:right w:val="single" w:sz="8" w:space="0" w:color="auto"/>
            </w:tcBorders>
          </w:tcPr>
          <w:p w14:paraId="6EFACE29" w14:textId="3CD91C41" w:rsidR="00CF69DC" w:rsidRPr="00EF2F18" w:rsidRDefault="00CF69DC" w:rsidP="00752CA0">
            <w:pPr>
              <w:spacing w:after="0"/>
              <w:jc w:val="right"/>
              <w:rPr>
                <w:rFonts w:eastAsia="Times New Roman" w:cs="Times New Roman"/>
                <w:color w:val="000000"/>
                <w:sz w:val="20"/>
                <w:szCs w:val="20"/>
                <w:lang w:val="sr-Cyrl-RS" w:eastAsia="en-GB"/>
              </w:rPr>
            </w:pPr>
          </w:p>
        </w:tc>
        <w:tc>
          <w:tcPr>
            <w:tcW w:w="1440" w:type="dxa"/>
            <w:tcBorders>
              <w:top w:val="single" w:sz="4" w:space="0" w:color="auto"/>
              <w:left w:val="nil"/>
              <w:bottom w:val="single" w:sz="8" w:space="0" w:color="auto"/>
              <w:right w:val="single" w:sz="8" w:space="0" w:color="auto"/>
            </w:tcBorders>
          </w:tcPr>
          <w:p w14:paraId="26C40032" w14:textId="04794F05"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28FAD58E" w14:textId="77777777" w:rsidTr="00CF69DC">
        <w:trPr>
          <w:trHeight w:val="1860"/>
        </w:trPr>
        <w:tc>
          <w:tcPr>
            <w:tcW w:w="2981" w:type="dxa"/>
            <w:tcBorders>
              <w:top w:val="nil"/>
              <w:left w:val="double" w:sz="6" w:space="0" w:color="auto"/>
              <w:bottom w:val="double" w:sz="6" w:space="0" w:color="auto"/>
              <w:right w:val="single" w:sz="8" w:space="0" w:color="auto"/>
            </w:tcBorders>
            <w:hideMark/>
          </w:tcPr>
          <w:p w14:paraId="245362C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
                <w:sz w:val="20"/>
                <w:szCs w:val="20"/>
                <w:lang w:val="sr-Cyrl-RS" w:eastAsia="en-GB"/>
              </w:rPr>
              <w:t>6.2.4.6. Припрема предлога и упућивање иницијативе за пооштравање казнене политике у одговарајућим прописима по питању кршења права из области животне средине и остваривање права на правну заштиту</w:t>
            </w:r>
          </w:p>
        </w:tc>
        <w:tc>
          <w:tcPr>
            <w:tcW w:w="1259" w:type="dxa"/>
            <w:tcBorders>
              <w:top w:val="nil"/>
              <w:left w:val="nil"/>
              <w:bottom w:val="double" w:sz="6" w:space="0" w:color="auto"/>
              <w:right w:val="single" w:sz="8" w:space="0" w:color="auto"/>
            </w:tcBorders>
            <w:hideMark/>
          </w:tcPr>
          <w:p w14:paraId="2E00E267"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double" w:sz="6" w:space="0" w:color="auto"/>
              <w:right w:val="single" w:sz="8" w:space="0" w:color="auto"/>
            </w:tcBorders>
            <w:hideMark/>
          </w:tcPr>
          <w:p w14:paraId="72FA6427"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 МПравде, РАЦ, ОЦД</w:t>
            </w:r>
          </w:p>
        </w:tc>
        <w:tc>
          <w:tcPr>
            <w:tcW w:w="1182" w:type="dxa"/>
            <w:tcBorders>
              <w:top w:val="nil"/>
              <w:left w:val="nil"/>
              <w:bottom w:val="double" w:sz="6" w:space="0" w:color="auto"/>
              <w:right w:val="single" w:sz="8" w:space="0" w:color="auto"/>
            </w:tcBorders>
            <w:hideMark/>
          </w:tcPr>
          <w:p w14:paraId="0AE12B1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double" w:sz="6" w:space="0" w:color="auto"/>
              <w:right w:val="single" w:sz="8" w:space="0" w:color="auto"/>
            </w:tcBorders>
            <w:hideMark/>
          </w:tcPr>
          <w:p w14:paraId="7B3F2C87"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hideMark/>
          </w:tcPr>
          <w:p w14:paraId="419C3E10"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0404-560-0002-411</w:t>
            </w:r>
          </w:p>
        </w:tc>
        <w:tc>
          <w:tcPr>
            <w:tcW w:w="1264" w:type="dxa"/>
            <w:tcBorders>
              <w:top w:val="nil"/>
              <w:left w:val="nil"/>
              <w:bottom w:val="double" w:sz="6" w:space="0" w:color="auto"/>
              <w:right w:val="single" w:sz="8" w:space="0" w:color="auto"/>
            </w:tcBorders>
          </w:tcPr>
          <w:p w14:paraId="2205D1F1" w14:textId="453CE0DE"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double" w:sz="6" w:space="0" w:color="auto"/>
              <w:right w:val="single" w:sz="8" w:space="0" w:color="auto"/>
            </w:tcBorders>
          </w:tcPr>
          <w:p w14:paraId="5453D421" w14:textId="2AB6E35B" w:rsidR="00CF69DC" w:rsidRPr="00EF2F18" w:rsidRDefault="00CF69DC" w:rsidP="00752CA0">
            <w:pPr>
              <w:spacing w:after="0"/>
              <w:jc w:val="right"/>
              <w:rPr>
                <w:rFonts w:eastAsia="Times New Roman" w:cs="Times New Roman"/>
                <w:color w:val="000000"/>
                <w:sz w:val="20"/>
                <w:szCs w:val="20"/>
                <w:lang w:val="sr-Cyrl-RS" w:eastAsia="en-GB"/>
              </w:rPr>
            </w:pPr>
          </w:p>
        </w:tc>
        <w:tc>
          <w:tcPr>
            <w:tcW w:w="1440" w:type="dxa"/>
            <w:tcBorders>
              <w:top w:val="nil"/>
              <w:left w:val="nil"/>
              <w:bottom w:val="double" w:sz="6" w:space="0" w:color="auto"/>
              <w:right w:val="single" w:sz="8" w:space="0" w:color="auto"/>
            </w:tcBorders>
          </w:tcPr>
          <w:p w14:paraId="2EFDDE11" w14:textId="063497F9" w:rsidR="00CF69DC" w:rsidRPr="00EF2F18" w:rsidRDefault="00CF69DC" w:rsidP="00752CA0">
            <w:pPr>
              <w:spacing w:after="0"/>
              <w:jc w:val="right"/>
              <w:rPr>
                <w:rFonts w:eastAsia="Times New Roman" w:cs="Times New Roman"/>
                <w:color w:val="000000"/>
                <w:sz w:val="20"/>
                <w:szCs w:val="20"/>
                <w:lang w:val="sr-Cyrl-RS" w:eastAsia="en-GB"/>
              </w:rPr>
            </w:pPr>
          </w:p>
        </w:tc>
      </w:tr>
    </w:tbl>
    <w:p w14:paraId="39DF7144" w14:textId="643FD6E7" w:rsidR="007D7243" w:rsidRPr="00EF2F18" w:rsidRDefault="00021365"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tbl>
      <w:tblPr>
        <w:tblW w:w="13657" w:type="dxa"/>
        <w:tblLook w:val="04A0" w:firstRow="1" w:lastRow="0" w:firstColumn="1" w:lastColumn="0" w:noHBand="0" w:noVBand="1"/>
      </w:tblPr>
      <w:tblGrid>
        <w:gridCol w:w="3320"/>
        <w:gridCol w:w="1280"/>
        <w:gridCol w:w="1280"/>
        <w:gridCol w:w="1000"/>
        <w:gridCol w:w="1000"/>
        <w:gridCol w:w="1520"/>
        <w:gridCol w:w="1287"/>
        <w:gridCol w:w="1260"/>
        <w:gridCol w:w="1693"/>
        <w:gridCol w:w="17"/>
      </w:tblGrid>
      <w:tr w:rsidR="007D7243" w:rsidRPr="00EF2F18" w14:paraId="14F2B47F" w14:textId="77777777" w:rsidTr="00CF69D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4C091EE2"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6.2.5: Јачање капацитета институција за остваривање правне заштите по питањима животне средине</w:t>
            </w:r>
          </w:p>
        </w:tc>
      </w:tr>
      <w:tr w:rsidR="007D7243" w:rsidRPr="00EF2F18" w14:paraId="1B86FD30" w14:textId="77777777" w:rsidTr="00CF69D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E03314C" w14:textId="36BC1A53"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w:t>
            </w:r>
            <w:r w:rsidR="00FA2D03" w:rsidRPr="00EF2F18">
              <w:rPr>
                <w:rFonts w:eastAsia="Times New Roman" w:cs="Times New Roman"/>
                <w:color w:val="000000"/>
                <w:sz w:val="20"/>
                <w:szCs w:val="20"/>
                <w:lang w:val="sr-Cyrl-RS" w:eastAsia="en-GB"/>
              </w:rPr>
              <w:t>Правосудна академија Републике Србије</w:t>
            </w:r>
          </w:p>
        </w:tc>
      </w:tr>
      <w:tr w:rsidR="007D7243" w:rsidRPr="00EF2F18" w14:paraId="18FFD3F6" w14:textId="77777777" w:rsidTr="00CF69D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24ABE658" w14:textId="6B99DD28"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743C4B"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71B07184" w14:textId="7DCBEF0A" w:rsidR="007D7243" w:rsidRPr="00EF2F18" w:rsidRDefault="007D7243" w:rsidP="001534F6">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институционално</w:t>
            </w:r>
            <w:r w:rsidR="001534F6"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управља</w:t>
            </w:r>
            <w:r w:rsidR="001534F6" w:rsidRPr="00EF2F18">
              <w:rPr>
                <w:rFonts w:eastAsia="Times New Roman" w:cs="Times New Roman"/>
                <w:color w:val="000000"/>
                <w:sz w:val="20"/>
                <w:szCs w:val="20"/>
                <w:lang w:val="sr-Cyrl-RS" w:eastAsia="en-GB"/>
              </w:rPr>
              <w:t>чко-</w:t>
            </w:r>
            <w:r w:rsidRPr="00EF2F18">
              <w:rPr>
                <w:rFonts w:eastAsia="Times New Roman" w:cs="Times New Roman"/>
                <w:color w:val="000000"/>
                <w:sz w:val="20"/>
                <w:szCs w:val="20"/>
                <w:lang w:val="sr-Cyrl-RS" w:eastAsia="en-GB"/>
              </w:rPr>
              <w:t>организациона</w:t>
            </w:r>
          </w:p>
        </w:tc>
      </w:tr>
      <w:tr w:rsidR="007D7243" w:rsidRPr="00EF2F18" w14:paraId="7B2D0C06" w14:textId="77777777" w:rsidTr="00CF69D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29733359"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4385B2E6"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F69DC" w:rsidRPr="00EF2F18" w14:paraId="005FF5F0" w14:textId="77777777" w:rsidTr="00CF69DC">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0A3346A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6C2A53E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2EE19997"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1FCDF339"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3AF8A27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287" w:type="dxa"/>
            <w:tcBorders>
              <w:top w:val="nil"/>
              <w:left w:val="nil"/>
              <w:bottom w:val="double" w:sz="6" w:space="0" w:color="auto"/>
              <w:right w:val="nil"/>
            </w:tcBorders>
            <w:shd w:val="clear" w:color="000000" w:fill="D9D9D9"/>
            <w:hideMark/>
          </w:tcPr>
          <w:p w14:paraId="53E58D0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60" w:type="dxa"/>
            <w:tcBorders>
              <w:top w:val="nil"/>
              <w:left w:val="nil"/>
              <w:bottom w:val="double" w:sz="6" w:space="0" w:color="auto"/>
              <w:right w:val="single" w:sz="8" w:space="0" w:color="auto"/>
            </w:tcBorders>
            <w:shd w:val="clear" w:color="000000" w:fill="D9D9D9"/>
            <w:hideMark/>
          </w:tcPr>
          <w:p w14:paraId="28600CCD"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tcBorders>
              <w:top w:val="nil"/>
              <w:left w:val="nil"/>
              <w:bottom w:val="double" w:sz="6" w:space="0" w:color="auto"/>
              <w:right w:val="double" w:sz="6" w:space="0" w:color="auto"/>
            </w:tcBorders>
            <w:shd w:val="clear" w:color="000000" w:fill="D9D9D9"/>
            <w:hideMark/>
          </w:tcPr>
          <w:p w14:paraId="07D7E45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F69DC" w:rsidRPr="00EF2F18" w14:paraId="14D5D3B2" w14:textId="77777777" w:rsidTr="00CF69DC">
        <w:trPr>
          <w:trHeight w:val="984"/>
        </w:trPr>
        <w:tc>
          <w:tcPr>
            <w:tcW w:w="3320" w:type="dxa"/>
            <w:tcBorders>
              <w:top w:val="nil"/>
              <w:left w:val="double" w:sz="6" w:space="0" w:color="auto"/>
              <w:bottom w:val="double" w:sz="6" w:space="0" w:color="auto"/>
              <w:right w:val="single" w:sz="8" w:space="0" w:color="auto"/>
            </w:tcBorders>
            <w:shd w:val="clear" w:color="000000" w:fill="FFFFFF"/>
            <w:hideMark/>
          </w:tcPr>
          <w:p w14:paraId="7C6AB63A" w14:textId="1B842283"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Успостављена специјализација судија и јавних тужилаца</w:t>
            </w:r>
          </w:p>
        </w:tc>
        <w:tc>
          <w:tcPr>
            <w:tcW w:w="1280" w:type="dxa"/>
            <w:tcBorders>
              <w:top w:val="nil"/>
              <w:left w:val="nil"/>
              <w:bottom w:val="double" w:sz="6" w:space="0" w:color="auto"/>
              <w:right w:val="single" w:sz="8" w:space="0" w:color="auto"/>
            </w:tcBorders>
            <w:shd w:val="clear" w:color="000000" w:fill="FFFFFF"/>
            <w:hideMark/>
          </w:tcPr>
          <w:p w14:paraId="24DDB833"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68F03865" w14:textId="77777777" w:rsidR="00CF69DC" w:rsidRPr="00EF2F18" w:rsidRDefault="00CF69DC" w:rsidP="00752CA0">
            <w:pPr>
              <w:spacing w:after="0"/>
              <w:jc w:val="center"/>
              <w:rPr>
                <w:rFonts w:eastAsia="Times New Roman" w:cs="Times New Roman"/>
                <w:color w:val="000000"/>
                <w:sz w:val="18"/>
                <w:szCs w:val="18"/>
                <w:lang w:val="sr-Cyrl-RS" w:eastAsia="en-GB"/>
              </w:rPr>
            </w:pPr>
            <w:r w:rsidRPr="00EF2F18">
              <w:rPr>
                <w:rFonts w:eastAsia="Times New Roman" w:cs="Times New Roman"/>
                <w:color w:val="000000"/>
                <w:sz w:val="18"/>
                <w:szCs w:val="18"/>
                <w:lang w:val="sr-Cyrl-RS" w:eastAsia="en-GB"/>
              </w:rPr>
              <w:t>Правосудна академија</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62B0598D"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520" w:type="dxa"/>
            <w:tcBorders>
              <w:top w:val="nil"/>
              <w:left w:val="nil"/>
              <w:bottom w:val="double" w:sz="6" w:space="0" w:color="auto"/>
              <w:right w:val="single" w:sz="8" w:space="0" w:color="auto"/>
            </w:tcBorders>
            <w:shd w:val="clear" w:color="000000" w:fill="FFFFFF"/>
            <w:hideMark/>
          </w:tcPr>
          <w:p w14:paraId="22684E6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6EBA1FD7"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60" w:type="dxa"/>
            <w:tcBorders>
              <w:top w:val="nil"/>
              <w:left w:val="nil"/>
              <w:bottom w:val="double" w:sz="6" w:space="0" w:color="auto"/>
              <w:right w:val="single" w:sz="8" w:space="0" w:color="auto"/>
            </w:tcBorders>
            <w:shd w:val="clear" w:color="000000" w:fill="FFFFFF"/>
            <w:hideMark/>
          </w:tcPr>
          <w:p w14:paraId="75646773"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1710" w:type="dxa"/>
            <w:gridSpan w:val="2"/>
            <w:tcBorders>
              <w:top w:val="nil"/>
              <w:left w:val="nil"/>
              <w:bottom w:val="double" w:sz="6" w:space="0" w:color="auto"/>
              <w:right w:val="double" w:sz="6" w:space="0" w:color="auto"/>
            </w:tcBorders>
            <w:shd w:val="clear" w:color="000000" w:fill="FFFFFF"/>
            <w:hideMark/>
          </w:tcPr>
          <w:p w14:paraId="27E199C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r>
    </w:tbl>
    <w:p w14:paraId="6A270A0F" w14:textId="77777777" w:rsidR="007D7243" w:rsidRPr="00EF2F18" w:rsidRDefault="007D7243" w:rsidP="007D7243">
      <w:pPr>
        <w:rPr>
          <w:sz w:val="20"/>
          <w:szCs w:val="20"/>
          <w:lang w:val="sr-Cyrl-RS"/>
        </w:rPr>
      </w:pPr>
    </w:p>
    <w:p w14:paraId="1C87FD1A" w14:textId="77777777" w:rsidR="007620E6" w:rsidRPr="00EF2F18" w:rsidRDefault="007620E6" w:rsidP="007D7243">
      <w:pPr>
        <w:rPr>
          <w:sz w:val="20"/>
          <w:szCs w:val="20"/>
          <w:lang w:val="sr-Cyrl-RS"/>
        </w:rPr>
      </w:pPr>
    </w:p>
    <w:tbl>
      <w:tblPr>
        <w:tblW w:w="13567" w:type="dxa"/>
        <w:tblLook w:val="04A0" w:firstRow="1" w:lastRow="0" w:firstColumn="1" w:lastColumn="0" w:noHBand="0" w:noVBand="1"/>
      </w:tblPr>
      <w:tblGrid>
        <w:gridCol w:w="3800"/>
        <w:gridCol w:w="2480"/>
        <w:gridCol w:w="2607"/>
        <w:gridCol w:w="2160"/>
        <w:gridCol w:w="2513"/>
        <w:gridCol w:w="7"/>
      </w:tblGrid>
      <w:tr w:rsidR="007D7243" w:rsidRPr="00EF2F18" w14:paraId="57116E7A" w14:textId="77777777" w:rsidTr="00CF69DC">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6B9DCB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5354DDE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79D0B73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F69DC" w:rsidRPr="00EF2F18" w14:paraId="3726EB3D" w14:textId="77777777" w:rsidTr="00CF69DC">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52C832D5" w14:textId="77777777" w:rsidR="00CF69DC" w:rsidRPr="00EF2F18" w:rsidRDefault="00CF69DC"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65530086" w14:textId="77777777" w:rsidR="00CF69DC" w:rsidRPr="00EF2F18" w:rsidRDefault="00CF69DC" w:rsidP="00752CA0">
            <w:pPr>
              <w:spacing w:after="0"/>
              <w:rPr>
                <w:rFonts w:eastAsia="Times New Roman" w:cs="Times New Roman"/>
                <w:color w:val="000000"/>
                <w:sz w:val="20"/>
                <w:szCs w:val="20"/>
                <w:lang w:val="sr-Cyrl-RS" w:eastAsia="en-GB"/>
              </w:rPr>
            </w:pPr>
          </w:p>
        </w:tc>
        <w:tc>
          <w:tcPr>
            <w:tcW w:w="2607" w:type="dxa"/>
            <w:tcBorders>
              <w:top w:val="nil"/>
              <w:left w:val="nil"/>
              <w:bottom w:val="double" w:sz="6" w:space="0" w:color="auto"/>
              <w:right w:val="double" w:sz="6" w:space="0" w:color="auto"/>
            </w:tcBorders>
            <w:shd w:val="clear" w:color="000000" w:fill="A8D08D"/>
            <w:hideMark/>
          </w:tcPr>
          <w:p w14:paraId="32E04496" w14:textId="0AAD319E"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60B40688" w14:textId="2E65BE2D"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520" w:type="dxa"/>
            <w:gridSpan w:val="2"/>
            <w:tcBorders>
              <w:top w:val="nil"/>
              <w:left w:val="nil"/>
              <w:bottom w:val="double" w:sz="6" w:space="0" w:color="auto"/>
              <w:right w:val="double" w:sz="6" w:space="0" w:color="auto"/>
            </w:tcBorders>
            <w:shd w:val="clear" w:color="000000" w:fill="A8D08D"/>
            <w:hideMark/>
          </w:tcPr>
          <w:p w14:paraId="756B79A7" w14:textId="222A7FD1"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CF69DC" w:rsidRPr="00EF2F18" w14:paraId="4E692693" w14:textId="77777777" w:rsidTr="00CF69DC">
        <w:trPr>
          <w:trHeight w:val="324"/>
        </w:trPr>
        <w:tc>
          <w:tcPr>
            <w:tcW w:w="3800" w:type="dxa"/>
            <w:tcBorders>
              <w:top w:val="nil"/>
              <w:left w:val="double" w:sz="6" w:space="0" w:color="auto"/>
              <w:bottom w:val="nil"/>
              <w:right w:val="double" w:sz="6" w:space="0" w:color="auto"/>
            </w:tcBorders>
            <w:hideMark/>
          </w:tcPr>
          <w:p w14:paraId="6B1B4877" w14:textId="4C0BEEC3"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r w:rsidR="00C91352" w:rsidRPr="00EF2F18">
              <w:rPr>
                <w:rFonts w:eastAsia="Times New Roman" w:cs="Times New Roman"/>
                <w:color w:val="000000"/>
                <w:sz w:val="20"/>
                <w:szCs w:val="20"/>
                <w:lang w:val="sr-Cyrl-RS" w:eastAsia="en-GB"/>
              </w:rPr>
              <w:t xml:space="preserve"> *</w:t>
            </w:r>
          </w:p>
        </w:tc>
        <w:tc>
          <w:tcPr>
            <w:tcW w:w="2480" w:type="dxa"/>
            <w:tcBorders>
              <w:top w:val="nil"/>
              <w:left w:val="nil"/>
              <w:bottom w:val="nil"/>
              <w:right w:val="double" w:sz="6" w:space="0" w:color="auto"/>
            </w:tcBorders>
          </w:tcPr>
          <w:p w14:paraId="10B7FE1C" w14:textId="39400A91" w:rsidR="00CF69DC" w:rsidRPr="00EF2F18" w:rsidRDefault="00CF69DC" w:rsidP="00AF27C7">
            <w:pPr>
              <w:spacing w:after="0"/>
              <w:rPr>
                <w:rFonts w:eastAsia="Times New Roman" w:cs="Times New Roman"/>
                <w:color w:val="000000"/>
                <w:sz w:val="20"/>
                <w:szCs w:val="20"/>
                <w:lang w:val="sr-Cyrl-RS" w:eastAsia="en-GB"/>
              </w:rPr>
            </w:pPr>
          </w:p>
        </w:tc>
        <w:tc>
          <w:tcPr>
            <w:tcW w:w="2607" w:type="dxa"/>
            <w:tcBorders>
              <w:top w:val="nil"/>
              <w:left w:val="nil"/>
              <w:bottom w:val="nil"/>
              <w:right w:val="double" w:sz="6" w:space="0" w:color="auto"/>
            </w:tcBorders>
            <w:hideMark/>
          </w:tcPr>
          <w:p w14:paraId="6DB0350A" w14:textId="631A2F5D" w:rsidR="00CF69DC" w:rsidRPr="00EF2F18" w:rsidRDefault="00CF69DC" w:rsidP="00AF27C7">
            <w:pPr>
              <w:spacing w:after="0"/>
              <w:jc w:val="right"/>
              <w:rPr>
                <w:rFonts w:eastAsia="Times New Roman" w:cs="Times New Roman"/>
                <w:color w:val="000000"/>
                <w:sz w:val="20"/>
                <w:szCs w:val="20"/>
                <w:lang w:val="sr-Cyrl-RS" w:eastAsia="en-GB"/>
              </w:rPr>
            </w:pPr>
          </w:p>
        </w:tc>
        <w:tc>
          <w:tcPr>
            <w:tcW w:w="2160" w:type="dxa"/>
            <w:tcBorders>
              <w:top w:val="nil"/>
              <w:left w:val="nil"/>
              <w:bottom w:val="nil"/>
              <w:right w:val="double" w:sz="6" w:space="0" w:color="auto"/>
            </w:tcBorders>
          </w:tcPr>
          <w:p w14:paraId="1BEFB8BF" w14:textId="26A696CF" w:rsidR="00CF69DC" w:rsidRPr="00EF2F18" w:rsidRDefault="00CF69DC" w:rsidP="00AF27C7">
            <w:pPr>
              <w:spacing w:after="0"/>
              <w:jc w:val="right"/>
              <w:rPr>
                <w:rFonts w:eastAsia="Times New Roman" w:cs="Times New Roman"/>
                <w:color w:val="000000"/>
                <w:sz w:val="20"/>
                <w:szCs w:val="20"/>
                <w:lang w:val="sr-Cyrl-RS" w:eastAsia="en-GB"/>
              </w:rPr>
            </w:pPr>
          </w:p>
        </w:tc>
        <w:tc>
          <w:tcPr>
            <w:tcW w:w="2520" w:type="dxa"/>
            <w:gridSpan w:val="2"/>
            <w:tcBorders>
              <w:top w:val="nil"/>
              <w:left w:val="nil"/>
              <w:bottom w:val="nil"/>
              <w:right w:val="double" w:sz="6" w:space="0" w:color="auto"/>
            </w:tcBorders>
          </w:tcPr>
          <w:p w14:paraId="568F3175" w14:textId="54D91279" w:rsidR="00CF69DC" w:rsidRPr="00EF2F18" w:rsidRDefault="00CF69DC" w:rsidP="00AF27C7">
            <w:pPr>
              <w:spacing w:after="0"/>
              <w:jc w:val="right"/>
              <w:rPr>
                <w:rFonts w:eastAsia="Times New Roman" w:cs="Times New Roman"/>
                <w:color w:val="000000"/>
                <w:sz w:val="20"/>
                <w:szCs w:val="20"/>
                <w:lang w:val="sr-Cyrl-RS" w:eastAsia="en-GB"/>
              </w:rPr>
            </w:pPr>
          </w:p>
        </w:tc>
      </w:tr>
      <w:tr w:rsidR="00CF69DC" w:rsidRPr="00EF2F18" w14:paraId="5AB1FB6A" w14:textId="77777777" w:rsidTr="00CF69DC">
        <w:trPr>
          <w:trHeight w:val="324"/>
        </w:trPr>
        <w:tc>
          <w:tcPr>
            <w:tcW w:w="3800" w:type="dxa"/>
            <w:tcBorders>
              <w:top w:val="nil"/>
              <w:left w:val="double" w:sz="6" w:space="0" w:color="auto"/>
              <w:bottom w:val="double" w:sz="6" w:space="0" w:color="auto"/>
              <w:right w:val="double" w:sz="6" w:space="0" w:color="auto"/>
            </w:tcBorders>
          </w:tcPr>
          <w:p w14:paraId="79958413" w14:textId="77777777" w:rsidR="00CF69DC" w:rsidRPr="00EF2F18" w:rsidRDefault="00CF69DC" w:rsidP="00AF27C7">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tcPr>
          <w:p w14:paraId="77F8C29D" w14:textId="28419AE3" w:rsidR="00CF69DC" w:rsidRPr="00EF2F18" w:rsidRDefault="00CF69DC" w:rsidP="00AF27C7">
            <w:pPr>
              <w:spacing w:after="0"/>
              <w:rPr>
                <w:rFonts w:eastAsia="Times New Roman" w:cs="Times New Roman"/>
                <w:color w:val="000000"/>
                <w:sz w:val="20"/>
                <w:szCs w:val="20"/>
                <w:lang w:val="sr-Cyrl-RS" w:eastAsia="en-GB"/>
              </w:rPr>
            </w:pPr>
          </w:p>
        </w:tc>
        <w:tc>
          <w:tcPr>
            <w:tcW w:w="2607" w:type="dxa"/>
            <w:tcBorders>
              <w:top w:val="nil"/>
              <w:left w:val="nil"/>
              <w:bottom w:val="double" w:sz="6" w:space="0" w:color="auto"/>
              <w:right w:val="double" w:sz="6" w:space="0" w:color="auto"/>
            </w:tcBorders>
          </w:tcPr>
          <w:p w14:paraId="77407D53" w14:textId="77DFB913" w:rsidR="00CF69DC" w:rsidRPr="00EF2F18" w:rsidRDefault="00CF69DC" w:rsidP="00AF27C7">
            <w:pPr>
              <w:spacing w:after="0"/>
              <w:jc w:val="right"/>
              <w:rPr>
                <w:rFonts w:eastAsia="Times New Roman" w:cs="Times New Roman"/>
                <w:color w:val="000000"/>
                <w:sz w:val="20"/>
                <w:szCs w:val="20"/>
                <w:lang w:val="sr-Cyrl-RS" w:eastAsia="en-GB"/>
              </w:rPr>
            </w:pPr>
          </w:p>
        </w:tc>
        <w:tc>
          <w:tcPr>
            <w:tcW w:w="2160" w:type="dxa"/>
            <w:tcBorders>
              <w:top w:val="nil"/>
              <w:left w:val="nil"/>
              <w:bottom w:val="double" w:sz="6" w:space="0" w:color="auto"/>
              <w:right w:val="double" w:sz="6" w:space="0" w:color="auto"/>
            </w:tcBorders>
          </w:tcPr>
          <w:p w14:paraId="0014C281" w14:textId="77777777" w:rsidR="00CF69DC" w:rsidRPr="00EF2F18" w:rsidRDefault="00CF69DC" w:rsidP="00AF27C7">
            <w:pPr>
              <w:spacing w:after="0"/>
              <w:jc w:val="right"/>
              <w:rPr>
                <w:rFonts w:eastAsia="Times New Roman" w:cs="Times New Roman"/>
                <w:color w:val="000000"/>
                <w:sz w:val="20"/>
                <w:szCs w:val="20"/>
                <w:lang w:val="sr-Cyrl-RS" w:eastAsia="en-GB"/>
              </w:rPr>
            </w:pPr>
          </w:p>
        </w:tc>
        <w:tc>
          <w:tcPr>
            <w:tcW w:w="2520" w:type="dxa"/>
            <w:gridSpan w:val="2"/>
            <w:tcBorders>
              <w:top w:val="nil"/>
              <w:left w:val="nil"/>
              <w:bottom w:val="double" w:sz="6" w:space="0" w:color="auto"/>
              <w:right w:val="double" w:sz="6" w:space="0" w:color="auto"/>
            </w:tcBorders>
          </w:tcPr>
          <w:p w14:paraId="37769153" w14:textId="77777777" w:rsidR="00CF69DC" w:rsidRPr="00EF2F18" w:rsidRDefault="00CF69DC" w:rsidP="00AF27C7">
            <w:pPr>
              <w:spacing w:after="0"/>
              <w:jc w:val="right"/>
              <w:rPr>
                <w:rFonts w:eastAsia="Times New Roman" w:cs="Times New Roman"/>
                <w:color w:val="000000"/>
                <w:sz w:val="20"/>
                <w:szCs w:val="20"/>
                <w:lang w:val="sr-Cyrl-RS" w:eastAsia="en-GB"/>
              </w:rPr>
            </w:pPr>
          </w:p>
        </w:tc>
      </w:tr>
    </w:tbl>
    <w:p w14:paraId="32F9C3C6" w14:textId="77777777" w:rsidR="007D7243" w:rsidRPr="00EF2F18" w:rsidRDefault="007D7243" w:rsidP="007D7243">
      <w:pPr>
        <w:rPr>
          <w:sz w:val="20"/>
          <w:szCs w:val="20"/>
          <w:lang w:val="sr-Cyrl-RS"/>
        </w:rPr>
      </w:pPr>
    </w:p>
    <w:tbl>
      <w:tblPr>
        <w:tblW w:w="13567" w:type="dxa"/>
        <w:tblLayout w:type="fixed"/>
        <w:tblLook w:val="04A0" w:firstRow="1" w:lastRow="0" w:firstColumn="1" w:lastColumn="0" w:noHBand="0" w:noVBand="1"/>
      </w:tblPr>
      <w:tblGrid>
        <w:gridCol w:w="2954"/>
        <w:gridCol w:w="1278"/>
        <w:gridCol w:w="1240"/>
        <w:gridCol w:w="1182"/>
        <w:gridCol w:w="1400"/>
        <w:gridCol w:w="1387"/>
        <w:gridCol w:w="1336"/>
        <w:gridCol w:w="1260"/>
        <w:gridCol w:w="1530"/>
      </w:tblGrid>
      <w:tr w:rsidR="007D7243" w:rsidRPr="00EF2F18" w14:paraId="2AEA3F06" w14:textId="77777777" w:rsidTr="007620E6">
        <w:trPr>
          <w:trHeight w:val="732"/>
        </w:trPr>
        <w:tc>
          <w:tcPr>
            <w:tcW w:w="2954"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32D84BC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78"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EDF409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5BDEF5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294D56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40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2CC55C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87"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4032F9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126" w:type="dxa"/>
            <w:gridSpan w:val="3"/>
            <w:tcBorders>
              <w:top w:val="double" w:sz="6" w:space="0" w:color="auto"/>
              <w:left w:val="nil"/>
              <w:bottom w:val="single" w:sz="8" w:space="0" w:color="auto"/>
              <w:right w:val="double" w:sz="6" w:space="0" w:color="auto"/>
            </w:tcBorders>
            <w:shd w:val="clear" w:color="000000" w:fill="FFF2CC"/>
            <w:hideMark/>
          </w:tcPr>
          <w:p w14:paraId="7946C46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F69DC" w:rsidRPr="00EF2F18" w14:paraId="10F6FB5B" w14:textId="77777777" w:rsidTr="007620E6">
        <w:trPr>
          <w:trHeight w:val="324"/>
        </w:trPr>
        <w:tc>
          <w:tcPr>
            <w:tcW w:w="2954" w:type="dxa"/>
            <w:vMerge/>
            <w:tcBorders>
              <w:top w:val="double" w:sz="6" w:space="0" w:color="auto"/>
              <w:left w:val="double" w:sz="6" w:space="0" w:color="auto"/>
              <w:bottom w:val="single" w:sz="8" w:space="0" w:color="000000"/>
              <w:right w:val="single" w:sz="8" w:space="0" w:color="auto"/>
            </w:tcBorders>
            <w:vAlign w:val="center"/>
            <w:hideMark/>
          </w:tcPr>
          <w:p w14:paraId="77809049" w14:textId="77777777" w:rsidR="00CF69DC" w:rsidRPr="00EF2F18" w:rsidRDefault="00CF69DC" w:rsidP="00752CA0">
            <w:pPr>
              <w:spacing w:after="0"/>
              <w:rPr>
                <w:rFonts w:eastAsia="Times New Roman" w:cs="Times New Roman"/>
                <w:color w:val="000000"/>
                <w:sz w:val="20"/>
                <w:szCs w:val="20"/>
                <w:lang w:val="sr-Cyrl-RS" w:eastAsia="en-GB"/>
              </w:rPr>
            </w:pPr>
          </w:p>
        </w:tc>
        <w:tc>
          <w:tcPr>
            <w:tcW w:w="1278" w:type="dxa"/>
            <w:vMerge/>
            <w:tcBorders>
              <w:top w:val="double" w:sz="6" w:space="0" w:color="auto"/>
              <w:left w:val="single" w:sz="8" w:space="0" w:color="auto"/>
              <w:bottom w:val="single" w:sz="8" w:space="0" w:color="000000"/>
              <w:right w:val="single" w:sz="8" w:space="0" w:color="auto"/>
            </w:tcBorders>
            <w:vAlign w:val="center"/>
            <w:hideMark/>
          </w:tcPr>
          <w:p w14:paraId="1A2C28D3" w14:textId="77777777" w:rsidR="00CF69DC" w:rsidRPr="00EF2F18" w:rsidRDefault="00CF69DC"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2B26D423" w14:textId="77777777" w:rsidR="00CF69DC" w:rsidRPr="00EF2F18" w:rsidRDefault="00CF69DC"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0BA50002" w14:textId="77777777" w:rsidR="00CF69DC" w:rsidRPr="00EF2F18" w:rsidRDefault="00CF69DC" w:rsidP="00752CA0">
            <w:pPr>
              <w:spacing w:after="0"/>
              <w:rPr>
                <w:rFonts w:eastAsia="Times New Roman" w:cs="Times New Roman"/>
                <w:color w:val="000000"/>
                <w:sz w:val="20"/>
                <w:szCs w:val="20"/>
                <w:lang w:val="sr-Cyrl-RS" w:eastAsia="en-GB"/>
              </w:rPr>
            </w:pPr>
          </w:p>
        </w:tc>
        <w:tc>
          <w:tcPr>
            <w:tcW w:w="1400" w:type="dxa"/>
            <w:vMerge/>
            <w:tcBorders>
              <w:top w:val="double" w:sz="6" w:space="0" w:color="auto"/>
              <w:left w:val="single" w:sz="8" w:space="0" w:color="auto"/>
              <w:bottom w:val="single" w:sz="8" w:space="0" w:color="000000"/>
              <w:right w:val="single" w:sz="8" w:space="0" w:color="auto"/>
            </w:tcBorders>
            <w:vAlign w:val="center"/>
            <w:hideMark/>
          </w:tcPr>
          <w:p w14:paraId="53FE1688" w14:textId="77777777" w:rsidR="00CF69DC" w:rsidRPr="00EF2F18" w:rsidRDefault="00CF69DC" w:rsidP="00752CA0">
            <w:pPr>
              <w:spacing w:after="0"/>
              <w:rPr>
                <w:rFonts w:eastAsia="Times New Roman" w:cs="Times New Roman"/>
                <w:color w:val="000000"/>
                <w:sz w:val="20"/>
                <w:szCs w:val="20"/>
                <w:lang w:val="sr-Cyrl-RS" w:eastAsia="en-GB"/>
              </w:rPr>
            </w:pPr>
          </w:p>
        </w:tc>
        <w:tc>
          <w:tcPr>
            <w:tcW w:w="1387" w:type="dxa"/>
            <w:vMerge/>
            <w:tcBorders>
              <w:top w:val="double" w:sz="6" w:space="0" w:color="auto"/>
              <w:left w:val="single" w:sz="8" w:space="0" w:color="auto"/>
              <w:bottom w:val="single" w:sz="8" w:space="0" w:color="000000"/>
              <w:right w:val="single" w:sz="8" w:space="0" w:color="auto"/>
            </w:tcBorders>
            <w:vAlign w:val="center"/>
            <w:hideMark/>
          </w:tcPr>
          <w:p w14:paraId="55B33606" w14:textId="77777777" w:rsidR="00CF69DC" w:rsidRPr="00EF2F18" w:rsidRDefault="00CF69DC" w:rsidP="00752CA0">
            <w:pPr>
              <w:spacing w:after="0"/>
              <w:rPr>
                <w:rFonts w:eastAsia="Times New Roman" w:cs="Times New Roman"/>
                <w:color w:val="000000"/>
                <w:sz w:val="20"/>
                <w:szCs w:val="20"/>
                <w:lang w:val="sr-Cyrl-RS" w:eastAsia="en-GB"/>
              </w:rPr>
            </w:pPr>
          </w:p>
        </w:tc>
        <w:tc>
          <w:tcPr>
            <w:tcW w:w="1336" w:type="dxa"/>
            <w:tcBorders>
              <w:top w:val="nil"/>
              <w:left w:val="nil"/>
              <w:bottom w:val="single" w:sz="8" w:space="0" w:color="auto"/>
              <w:right w:val="single" w:sz="8" w:space="0" w:color="auto"/>
            </w:tcBorders>
            <w:shd w:val="clear" w:color="000000" w:fill="FFF2CC"/>
            <w:hideMark/>
          </w:tcPr>
          <w:p w14:paraId="5BFD390A" w14:textId="666A224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60" w:type="dxa"/>
            <w:tcBorders>
              <w:top w:val="nil"/>
              <w:left w:val="nil"/>
              <w:bottom w:val="single" w:sz="8" w:space="0" w:color="auto"/>
              <w:right w:val="single" w:sz="8" w:space="0" w:color="auto"/>
            </w:tcBorders>
            <w:shd w:val="clear" w:color="000000" w:fill="FFF2CC"/>
            <w:hideMark/>
          </w:tcPr>
          <w:p w14:paraId="1C82191D" w14:textId="15FFC19B"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460A3744" w14:textId="65B3F008"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CF69DC" w:rsidRPr="00EF2F18" w14:paraId="5028E31D" w14:textId="77777777" w:rsidTr="007620E6">
        <w:trPr>
          <w:trHeight w:val="1068"/>
        </w:trPr>
        <w:tc>
          <w:tcPr>
            <w:tcW w:w="2954" w:type="dxa"/>
            <w:tcBorders>
              <w:top w:val="nil"/>
              <w:left w:val="double" w:sz="6" w:space="0" w:color="auto"/>
              <w:bottom w:val="single" w:sz="8" w:space="0" w:color="auto"/>
              <w:right w:val="single" w:sz="8" w:space="0" w:color="auto"/>
            </w:tcBorders>
            <w:hideMark/>
          </w:tcPr>
          <w:p w14:paraId="6E1588C1" w14:textId="72F6240C"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6.2.5.1. Израда</w:t>
            </w:r>
            <w:r w:rsidR="0017758D" w:rsidRPr="00EF2F18">
              <w:rPr>
                <w:rFonts w:eastAsia="Times New Roman" w:cs="Times New Roman"/>
                <w:color w:val="000000"/>
                <w:sz w:val="20"/>
                <w:szCs w:val="20"/>
                <w:lang w:val="sr-Cyrl-RS" w:eastAsia="en-GB"/>
              </w:rPr>
              <w:t xml:space="preserve"> приручника за поступање јавних тужилаца у предметима у вези са </w:t>
            </w:r>
            <w:r w:rsidRPr="00EF2F18">
              <w:rPr>
                <w:rFonts w:eastAsia="Times New Roman" w:cs="Times New Roman"/>
                <w:color w:val="000000"/>
                <w:sz w:val="20"/>
                <w:szCs w:val="20"/>
                <w:lang w:val="sr-Cyrl-RS" w:eastAsia="en-GB"/>
              </w:rPr>
              <w:t xml:space="preserve"> кривични</w:t>
            </w:r>
            <w:r w:rsidR="0017758D" w:rsidRPr="00EF2F18">
              <w:rPr>
                <w:rFonts w:eastAsia="Times New Roman" w:cs="Times New Roman"/>
                <w:color w:val="000000"/>
                <w:sz w:val="20"/>
                <w:szCs w:val="20"/>
                <w:lang w:val="sr-Cyrl-RS" w:eastAsia="en-GB"/>
              </w:rPr>
              <w:t>м</w:t>
            </w:r>
            <w:r w:rsidRPr="00EF2F18">
              <w:rPr>
                <w:rFonts w:eastAsia="Times New Roman" w:cs="Times New Roman"/>
                <w:color w:val="000000"/>
                <w:sz w:val="20"/>
                <w:szCs w:val="20"/>
                <w:lang w:val="sr-Cyrl-RS" w:eastAsia="en-GB"/>
              </w:rPr>
              <w:t xml:space="preserve"> дел</w:t>
            </w:r>
            <w:r w:rsidR="0017758D" w:rsidRPr="00EF2F18">
              <w:rPr>
                <w:rFonts w:eastAsia="Times New Roman" w:cs="Times New Roman"/>
                <w:color w:val="000000"/>
                <w:sz w:val="20"/>
                <w:szCs w:val="20"/>
                <w:lang w:val="sr-Cyrl-RS" w:eastAsia="en-GB"/>
              </w:rPr>
              <w:t xml:space="preserve">има </w:t>
            </w:r>
            <w:r w:rsidRPr="00EF2F18">
              <w:rPr>
                <w:rFonts w:eastAsia="Times New Roman" w:cs="Times New Roman"/>
                <w:color w:val="000000"/>
                <w:sz w:val="20"/>
                <w:szCs w:val="20"/>
                <w:lang w:val="sr-Cyrl-RS" w:eastAsia="en-GB"/>
              </w:rPr>
              <w:t>против животне средине</w:t>
            </w:r>
          </w:p>
        </w:tc>
        <w:tc>
          <w:tcPr>
            <w:tcW w:w="1278" w:type="dxa"/>
            <w:tcBorders>
              <w:top w:val="nil"/>
              <w:left w:val="nil"/>
              <w:bottom w:val="single" w:sz="8" w:space="0" w:color="auto"/>
              <w:right w:val="single" w:sz="8" w:space="0" w:color="auto"/>
            </w:tcBorders>
            <w:hideMark/>
          </w:tcPr>
          <w:p w14:paraId="4B2C44E1" w14:textId="6C331728"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ПА</w:t>
            </w:r>
          </w:p>
        </w:tc>
        <w:tc>
          <w:tcPr>
            <w:tcW w:w="1240" w:type="dxa"/>
            <w:tcBorders>
              <w:top w:val="nil"/>
              <w:left w:val="nil"/>
              <w:bottom w:val="single" w:sz="8" w:space="0" w:color="auto"/>
              <w:right w:val="single" w:sz="8" w:space="0" w:color="auto"/>
            </w:tcBorders>
            <w:hideMark/>
          </w:tcPr>
          <w:p w14:paraId="7C5B53CF" w14:textId="67D1E02F"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МЗЖС, </w:t>
            </w:r>
          </w:p>
        </w:tc>
        <w:tc>
          <w:tcPr>
            <w:tcW w:w="1182" w:type="dxa"/>
            <w:tcBorders>
              <w:top w:val="nil"/>
              <w:left w:val="nil"/>
              <w:bottom w:val="single" w:sz="8" w:space="0" w:color="auto"/>
              <w:right w:val="single" w:sz="8" w:space="0" w:color="auto"/>
            </w:tcBorders>
            <w:hideMark/>
          </w:tcPr>
          <w:p w14:paraId="56AB37D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400" w:type="dxa"/>
            <w:tcBorders>
              <w:top w:val="nil"/>
              <w:left w:val="nil"/>
              <w:bottom w:val="single" w:sz="8" w:space="0" w:color="auto"/>
              <w:right w:val="single" w:sz="8" w:space="0" w:color="auto"/>
            </w:tcBorders>
            <w:hideMark/>
          </w:tcPr>
          <w:p w14:paraId="018B094F" w14:textId="0A2CED60"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87" w:type="dxa"/>
            <w:tcBorders>
              <w:top w:val="nil"/>
              <w:left w:val="nil"/>
              <w:bottom w:val="single" w:sz="8" w:space="0" w:color="auto"/>
              <w:right w:val="single" w:sz="8" w:space="0" w:color="auto"/>
            </w:tcBorders>
          </w:tcPr>
          <w:p w14:paraId="4DF0BE04" w14:textId="5CCBFA19" w:rsidR="00CF69DC" w:rsidRPr="00EF2F18" w:rsidRDefault="00CF69DC" w:rsidP="00752CA0">
            <w:pPr>
              <w:spacing w:after="0"/>
              <w:rPr>
                <w:rFonts w:eastAsia="Times New Roman" w:cs="Times New Roman"/>
                <w:color w:val="000000"/>
                <w:sz w:val="20"/>
                <w:szCs w:val="20"/>
                <w:lang w:val="sr-Cyrl-RS" w:eastAsia="en-GB"/>
              </w:rPr>
            </w:pPr>
          </w:p>
        </w:tc>
        <w:tc>
          <w:tcPr>
            <w:tcW w:w="1336" w:type="dxa"/>
            <w:tcBorders>
              <w:top w:val="nil"/>
              <w:left w:val="nil"/>
              <w:bottom w:val="single" w:sz="8" w:space="0" w:color="auto"/>
              <w:right w:val="single" w:sz="8" w:space="0" w:color="auto"/>
            </w:tcBorders>
            <w:hideMark/>
          </w:tcPr>
          <w:p w14:paraId="1F71C2B6" w14:textId="18467603" w:rsidR="00CF69DC" w:rsidRPr="00EF2F18" w:rsidRDefault="00CF69DC" w:rsidP="00752CA0">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6A477D42" w14:textId="5CDB1997" w:rsidR="00CF69DC" w:rsidRPr="00EF2F18" w:rsidRDefault="00CF69DC"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539D2F35" w14:textId="21B2A11A"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25B9EA00" w14:textId="77777777" w:rsidTr="007620E6">
        <w:trPr>
          <w:trHeight w:val="1596"/>
        </w:trPr>
        <w:tc>
          <w:tcPr>
            <w:tcW w:w="2954" w:type="dxa"/>
            <w:tcBorders>
              <w:top w:val="nil"/>
              <w:left w:val="double" w:sz="6" w:space="0" w:color="auto"/>
              <w:bottom w:val="single" w:sz="8" w:space="0" w:color="auto"/>
              <w:right w:val="single" w:sz="8" w:space="0" w:color="auto"/>
            </w:tcBorders>
            <w:hideMark/>
          </w:tcPr>
          <w:p w14:paraId="4B9DA7BA"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6.2.5.2. Организација континуираних обука за судије, судске помоћнике, јавне тужиоце, инспекторе о правима на правну заштиту у питањима животне средине</w:t>
            </w:r>
          </w:p>
        </w:tc>
        <w:tc>
          <w:tcPr>
            <w:tcW w:w="1278" w:type="dxa"/>
            <w:tcBorders>
              <w:top w:val="nil"/>
              <w:left w:val="nil"/>
              <w:bottom w:val="single" w:sz="8" w:space="0" w:color="auto"/>
              <w:right w:val="single" w:sz="8" w:space="0" w:color="auto"/>
            </w:tcBorders>
            <w:hideMark/>
          </w:tcPr>
          <w:p w14:paraId="7A385C64"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ПА</w:t>
            </w:r>
          </w:p>
        </w:tc>
        <w:tc>
          <w:tcPr>
            <w:tcW w:w="1240" w:type="dxa"/>
            <w:tcBorders>
              <w:top w:val="nil"/>
              <w:left w:val="nil"/>
              <w:bottom w:val="single" w:sz="8" w:space="0" w:color="auto"/>
              <w:right w:val="single" w:sz="8" w:space="0" w:color="auto"/>
            </w:tcBorders>
            <w:hideMark/>
          </w:tcPr>
          <w:p w14:paraId="5F3D4FA7"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ВСС, ВСТ</w:t>
            </w:r>
          </w:p>
        </w:tc>
        <w:tc>
          <w:tcPr>
            <w:tcW w:w="1182" w:type="dxa"/>
            <w:tcBorders>
              <w:top w:val="nil"/>
              <w:left w:val="nil"/>
              <w:bottom w:val="single" w:sz="8" w:space="0" w:color="auto"/>
              <w:right w:val="single" w:sz="8" w:space="0" w:color="auto"/>
            </w:tcBorders>
            <w:hideMark/>
          </w:tcPr>
          <w:p w14:paraId="4E25A617"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400" w:type="dxa"/>
            <w:tcBorders>
              <w:top w:val="nil"/>
              <w:left w:val="nil"/>
              <w:bottom w:val="single" w:sz="8" w:space="0" w:color="auto"/>
              <w:right w:val="single" w:sz="8" w:space="0" w:color="auto"/>
            </w:tcBorders>
            <w:hideMark/>
          </w:tcPr>
          <w:p w14:paraId="156193D4" w14:textId="7E2843AE"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87" w:type="dxa"/>
            <w:tcBorders>
              <w:top w:val="nil"/>
              <w:left w:val="nil"/>
              <w:bottom w:val="single" w:sz="8" w:space="0" w:color="auto"/>
              <w:right w:val="single" w:sz="8" w:space="0" w:color="auto"/>
            </w:tcBorders>
          </w:tcPr>
          <w:p w14:paraId="5B70ECD4" w14:textId="622A1E44" w:rsidR="00CF69DC" w:rsidRPr="00EF2F18" w:rsidRDefault="00CF69DC" w:rsidP="00AF27C7">
            <w:pPr>
              <w:spacing w:after="0"/>
              <w:rPr>
                <w:rFonts w:eastAsia="Times New Roman" w:cs="Times New Roman"/>
                <w:color w:val="000000"/>
                <w:sz w:val="20"/>
                <w:szCs w:val="20"/>
                <w:lang w:val="sr-Cyrl-RS" w:eastAsia="en-GB"/>
              </w:rPr>
            </w:pPr>
          </w:p>
        </w:tc>
        <w:tc>
          <w:tcPr>
            <w:tcW w:w="1336" w:type="dxa"/>
            <w:tcBorders>
              <w:top w:val="nil"/>
              <w:left w:val="nil"/>
              <w:bottom w:val="single" w:sz="8" w:space="0" w:color="auto"/>
              <w:right w:val="single" w:sz="8" w:space="0" w:color="auto"/>
            </w:tcBorders>
            <w:hideMark/>
          </w:tcPr>
          <w:p w14:paraId="586BAD57" w14:textId="04D7F3FE" w:rsidR="00CF69DC" w:rsidRPr="00EF2F18" w:rsidRDefault="00CF69DC" w:rsidP="00AF27C7">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35E5CD28" w14:textId="0F9643D1" w:rsidR="00CF69DC" w:rsidRPr="00EF2F18" w:rsidRDefault="00CF69DC" w:rsidP="00AF27C7">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4BFC363F" w14:textId="5C71AA11" w:rsidR="00CF69DC" w:rsidRPr="00EF2F18" w:rsidRDefault="00CF69DC" w:rsidP="00AF27C7">
            <w:pPr>
              <w:spacing w:after="0"/>
              <w:jc w:val="right"/>
              <w:rPr>
                <w:rFonts w:eastAsia="Times New Roman" w:cs="Times New Roman"/>
                <w:color w:val="000000"/>
                <w:sz w:val="20"/>
                <w:szCs w:val="20"/>
                <w:lang w:val="sr-Cyrl-RS" w:eastAsia="en-GB"/>
              </w:rPr>
            </w:pPr>
          </w:p>
        </w:tc>
      </w:tr>
      <w:tr w:rsidR="00CF69DC" w:rsidRPr="00EF2F18" w14:paraId="70EECE7B" w14:textId="77777777" w:rsidTr="007620E6">
        <w:trPr>
          <w:trHeight w:val="938"/>
        </w:trPr>
        <w:tc>
          <w:tcPr>
            <w:tcW w:w="2954" w:type="dxa"/>
            <w:tcBorders>
              <w:top w:val="nil"/>
              <w:left w:val="double" w:sz="6" w:space="0" w:color="auto"/>
              <w:bottom w:val="single" w:sz="8" w:space="0" w:color="auto"/>
              <w:right w:val="single" w:sz="8" w:space="0" w:color="auto"/>
            </w:tcBorders>
            <w:hideMark/>
          </w:tcPr>
          <w:p w14:paraId="4DCB0DAB"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6.2.5.3. Увођење специјализације судија и јавних тужилаца</w:t>
            </w:r>
          </w:p>
        </w:tc>
        <w:tc>
          <w:tcPr>
            <w:tcW w:w="1278" w:type="dxa"/>
            <w:tcBorders>
              <w:top w:val="nil"/>
              <w:left w:val="nil"/>
              <w:bottom w:val="single" w:sz="8" w:space="0" w:color="auto"/>
              <w:right w:val="single" w:sz="8" w:space="0" w:color="auto"/>
            </w:tcBorders>
            <w:hideMark/>
          </w:tcPr>
          <w:p w14:paraId="01D8495E"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ПА</w:t>
            </w:r>
            <w:r w:rsidRPr="00EF2F18" w:rsidDel="00441857">
              <w:rPr>
                <w:rFonts w:eastAsia="Times New Roman" w:cs="Times New Roman"/>
                <w:color w:val="000000"/>
                <w:sz w:val="20"/>
                <w:szCs w:val="20"/>
                <w:lang w:val="sr-Cyrl-RS" w:eastAsia="en-GB"/>
              </w:rPr>
              <w:t xml:space="preserve"> </w:t>
            </w:r>
          </w:p>
        </w:tc>
        <w:tc>
          <w:tcPr>
            <w:tcW w:w="1240" w:type="dxa"/>
            <w:tcBorders>
              <w:top w:val="nil"/>
              <w:left w:val="nil"/>
              <w:bottom w:val="single" w:sz="8" w:space="0" w:color="auto"/>
              <w:right w:val="single" w:sz="8" w:space="0" w:color="auto"/>
            </w:tcBorders>
            <w:hideMark/>
          </w:tcPr>
          <w:p w14:paraId="6183525E" w14:textId="4FECFE0C"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ВСС, ВСТ</w:t>
            </w:r>
          </w:p>
        </w:tc>
        <w:tc>
          <w:tcPr>
            <w:tcW w:w="1182" w:type="dxa"/>
            <w:tcBorders>
              <w:top w:val="nil"/>
              <w:left w:val="nil"/>
              <w:bottom w:val="single" w:sz="8" w:space="0" w:color="auto"/>
              <w:right w:val="single" w:sz="8" w:space="0" w:color="auto"/>
            </w:tcBorders>
            <w:hideMark/>
          </w:tcPr>
          <w:p w14:paraId="05FBDB56" w14:textId="77777777"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4. квартал 2027. </w:t>
            </w:r>
          </w:p>
        </w:tc>
        <w:tc>
          <w:tcPr>
            <w:tcW w:w="1400" w:type="dxa"/>
            <w:tcBorders>
              <w:top w:val="nil"/>
              <w:left w:val="nil"/>
              <w:bottom w:val="single" w:sz="8" w:space="0" w:color="auto"/>
              <w:right w:val="single" w:sz="8" w:space="0" w:color="auto"/>
            </w:tcBorders>
            <w:hideMark/>
          </w:tcPr>
          <w:p w14:paraId="2A1A2E09" w14:textId="6DBB4D31" w:rsidR="00CF69DC" w:rsidRPr="00EF2F18" w:rsidRDefault="00CF69DC" w:rsidP="00AF27C7">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87" w:type="dxa"/>
            <w:tcBorders>
              <w:top w:val="nil"/>
              <w:left w:val="nil"/>
              <w:bottom w:val="single" w:sz="8" w:space="0" w:color="auto"/>
              <w:right w:val="single" w:sz="8" w:space="0" w:color="auto"/>
            </w:tcBorders>
          </w:tcPr>
          <w:p w14:paraId="4964E729" w14:textId="0F530FFC" w:rsidR="00CF69DC" w:rsidRPr="00EF2F18" w:rsidRDefault="00CF69DC" w:rsidP="00AF27C7">
            <w:pPr>
              <w:spacing w:after="0"/>
              <w:rPr>
                <w:rFonts w:eastAsia="Times New Roman" w:cs="Times New Roman"/>
                <w:color w:val="000000"/>
                <w:sz w:val="20"/>
                <w:szCs w:val="20"/>
                <w:lang w:val="sr-Cyrl-RS" w:eastAsia="en-GB"/>
              </w:rPr>
            </w:pPr>
          </w:p>
        </w:tc>
        <w:tc>
          <w:tcPr>
            <w:tcW w:w="1336" w:type="dxa"/>
            <w:tcBorders>
              <w:top w:val="nil"/>
              <w:left w:val="nil"/>
              <w:bottom w:val="single" w:sz="8" w:space="0" w:color="auto"/>
              <w:right w:val="single" w:sz="8" w:space="0" w:color="auto"/>
            </w:tcBorders>
            <w:hideMark/>
          </w:tcPr>
          <w:p w14:paraId="3AE67EB4" w14:textId="0098EFB9" w:rsidR="00CF69DC" w:rsidRPr="00EF2F18" w:rsidRDefault="00CF69DC" w:rsidP="00AF27C7">
            <w:pPr>
              <w:spacing w:after="0"/>
              <w:jc w:val="right"/>
              <w:rPr>
                <w:rFonts w:eastAsia="Times New Roman" w:cs="Times New Roman"/>
                <w:color w:val="000000"/>
                <w:sz w:val="20"/>
                <w:szCs w:val="20"/>
                <w:lang w:val="sr-Cyrl-RS" w:eastAsia="en-GB"/>
              </w:rPr>
            </w:pPr>
          </w:p>
        </w:tc>
        <w:tc>
          <w:tcPr>
            <w:tcW w:w="1260" w:type="dxa"/>
            <w:tcBorders>
              <w:top w:val="nil"/>
              <w:left w:val="nil"/>
              <w:bottom w:val="single" w:sz="8" w:space="0" w:color="auto"/>
              <w:right w:val="single" w:sz="8" w:space="0" w:color="auto"/>
            </w:tcBorders>
          </w:tcPr>
          <w:p w14:paraId="379783E0" w14:textId="2D4C6174" w:rsidR="00CF69DC" w:rsidRPr="00EF2F18" w:rsidRDefault="00CF69DC" w:rsidP="00AF27C7">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4AAB02F7" w14:textId="12B46326" w:rsidR="00CF69DC" w:rsidRPr="00EF2F18" w:rsidRDefault="00CF69DC" w:rsidP="00AF27C7">
            <w:pPr>
              <w:spacing w:after="0"/>
              <w:jc w:val="right"/>
              <w:rPr>
                <w:rFonts w:eastAsia="Times New Roman" w:cs="Times New Roman"/>
                <w:color w:val="000000"/>
                <w:sz w:val="20"/>
                <w:szCs w:val="20"/>
                <w:lang w:val="sr-Cyrl-RS" w:eastAsia="en-GB"/>
              </w:rPr>
            </w:pPr>
          </w:p>
        </w:tc>
      </w:tr>
    </w:tbl>
    <w:p w14:paraId="5A21CA1E" w14:textId="4523B817" w:rsidR="007D7243" w:rsidRPr="00EF2F18" w:rsidRDefault="00021365"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0C408C72" w14:textId="77777777" w:rsidR="00021365" w:rsidRPr="00EF2F18" w:rsidRDefault="00021365" w:rsidP="007D7243">
      <w:pPr>
        <w:rPr>
          <w:sz w:val="20"/>
          <w:szCs w:val="20"/>
          <w:lang w:val="sr-Cyrl-RS"/>
        </w:rPr>
      </w:pPr>
    </w:p>
    <w:p w14:paraId="0DBE782C" w14:textId="77777777" w:rsidR="007620E6" w:rsidRPr="00EF2F18" w:rsidRDefault="007620E6" w:rsidP="007D7243">
      <w:pPr>
        <w:rPr>
          <w:sz w:val="20"/>
          <w:szCs w:val="20"/>
          <w:lang w:val="sr-Cyrl-RS"/>
        </w:rPr>
      </w:pPr>
    </w:p>
    <w:p w14:paraId="3F3BD97B" w14:textId="77777777" w:rsidR="007620E6" w:rsidRPr="00EF2F18" w:rsidRDefault="007620E6" w:rsidP="007D7243">
      <w:pPr>
        <w:rPr>
          <w:sz w:val="20"/>
          <w:szCs w:val="20"/>
          <w:lang w:val="sr-Cyrl-RS"/>
        </w:rPr>
      </w:pPr>
    </w:p>
    <w:p w14:paraId="541329DD" w14:textId="77777777" w:rsidR="007620E6" w:rsidRPr="00EF2F18" w:rsidRDefault="007620E6" w:rsidP="007D7243">
      <w:pPr>
        <w:rPr>
          <w:sz w:val="20"/>
          <w:szCs w:val="20"/>
          <w:lang w:val="sr-Cyrl-RS"/>
        </w:rPr>
      </w:pPr>
    </w:p>
    <w:p w14:paraId="0CF62586" w14:textId="77777777" w:rsidR="007620E6" w:rsidRPr="00EF2F18" w:rsidRDefault="007620E6" w:rsidP="007D7243">
      <w:pPr>
        <w:rPr>
          <w:sz w:val="20"/>
          <w:szCs w:val="20"/>
          <w:lang w:val="sr-Cyrl-RS"/>
        </w:rPr>
      </w:pPr>
    </w:p>
    <w:tbl>
      <w:tblPr>
        <w:tblW w:w="13906" w:type="dxa"/>
        <w:tblLook w:val="04A0" w:firstRow="1" w:lastRow="0" w:firstColumn="1" w:lastColumn="0" w:noHBand="0" w:noVBand="1"/>
      </w:tblPr>
      <w:tblGrid>
        <w:gridCol w:w="3574"/>
        <w:gridCol w:w="1152"/>
        <w:gridCol w:w="1502"/>
        <w:gridCol w:w="1265"/>
        <w:gridCol w:w="1085"/>
        <w:gridCol w:w="1582"/>
        <w:gridCol w:w="1800"/>
        <w:gridCol w:w="1620"/>
        <w:gridCol w:w="326"/>
      </w:tblGrid>
      <w:tr w:rsidR="007D7243" w:rsidRPr="00EF2F18" w14:paraId="73EA0B65" w14:textId="77777777" w:rsidTr="007620E6">
        <w:trPr>
          <w:gridAfter w:val="1"/>
          <w:wAfter w:w="326" w:type="dxa"/>
          <w:trHeight w:val="336"/>
        </w:trPr>
        <w:tc>
          <w:tcPr>
            <w:tcW w:w="13580" w:type="dxa"/>
            <w:gridSpan w:val="8"/>
            <w:tcBorders>
              <w:top w:val="double" w:sz="6" w:space="0" w:color="auto"/>
              <w:left w:val="single" w:sz="8" w:space="0" w:color="auto"/>
              <w:bottom w:val="single" w:sz="8" w:space="0" w:color="auto"/>
              <w:right w:val="double" w:sz="6" w:space="0" w:color="auto"/>
            </w:tcBorders>
            <w:shd w:val="clear" w:color="000000" w:fill="C5E0B3"/>
            <w:hideMark/>
          </w:tcPr>
          <w:p w14:paraId="5D53D39D"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lastRenderedPageBreak/>
              <w:t>Посебан циљ 6.3: Даљи развој система за праћење квалитета чинилаца животне средине и утицаја климатских промена</w:t>
            </w:r>
          </w:p>
        </w:tc>
      </w:tr>
      <w:tr w:rsidR="007D7243" w:rsidRPr="00EF2F18" w14:paraId="1F728CB0" w14:textId="77777777" w:rsidTr="007620E6">
        <w:trPr>
          <w:gridAfter w:val="1"/>
          <w:wAfter w:w="326" w:type="dxa"/>
          <w:trHeight w:val="324"/>
        </w:trPr>
        <w:tc>
          <w:tcPr>
            <w:tcW w:w="13580" w:type="dxa"/>
            <w:gridSpan w:val="8"/>
            <w:tcBorders>
              <w:top w:val="single" w:sz="8" w:space="0" w:color="auto"/>
              <w:left w:val="single" w:sz="8" w:space="0" w:color="auto"/>
              <w:bottom w:val="single" w:sz="8" w:space="0" w:color="auto"/>
              <w:right w:val="double" w:sz="6" w:space="0" w:color="auto"/>
            </w:tcBorders>
            <w:shd w:val="clear" w:color="000000" w:fill="C5E0B3"/>
            <w:hideMark/>
          </w:tcPr>
          <w:p w14:paraId="74C407F7"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координацију и извештавање: Министарство заштите животне средине</w:t>
            </w:r>
          </w:p>
        </w:tc>
      </w:tr>
      <w:tr w:rsidR="00CF69DC" w:rsidRPr="00EF2F18" w14:paraId="3ADA3E2C" w14:textId="77777777" w:rsidTr="007620E6">
        <w:trPr>
          <w:gridAfter w:val="1"/>
          <w:wAfter w:w="326" w:type="dxa"/>
          <w:trHeight w:val="468"/>
        </w:trPr>
        <w:tc>
          <w:tcPr>
            <w:tcW w:w="3574" w:type="dxa"/>
            <w:vMerge w:val="restart"/>
            <w:tcBorders>
              <w:top w:val="nil"/>
              <w:left w:val="single" w:sz="8" w:space="0" w:color="auto"/>
              <w:bottom w:val="single" w:sz="8" w:space="0" w:color="000000"/>
              <w:right w:val="single" w:sz="8" w:space="0" w:color="auto"/>
            </w:tcBorders>
            <w:shd w:val="clear" w:color="000000" w:fill="D9D9D9"/>
            <w:hideMark/>
          </w:tcPr>
          <w:p w14:paraId="088BFC74"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52" w:type="dxa"/>
            <w:vMerge w:val="restart"/>
            <w:tcBorders>
              <w:top w:val="nil"/>
              <w:left w:val="single" w:sz="8" w:space="0" w:color="auto"/>
              <w:bottom w:val="single" w:sz="8" w:space="0" w:color="000000"/>
              <w:right w:val="single" w:sz="8" w:space="0" w:color="auto"/>
            </w:tcBorders>
            <w:shd w:val="clear" w:color="000000" w:fill="D9D9D9"/>
            <w:hideMark/>
          </w:tcPr>
          <w:p w14:paraId="7D60B0A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502" w:type="dxa"/>
            <w:vMerge w:val="restart"/>
            <w:tcBorders>
              <w:top w:val="nil"/>
              <w:left w:val="single" w:sz="8" w:space="0" w:color="auto"/>
              <w:bottom w:val="single" w:sz="8" w:space="0" w:color="000000"/>
              <w:right w:val="single" w:sz="8" w:space="0" w:color="auto"/>
            </w:tcBorders>
            <w:shd w:val="clear" w:color="000000" w:fill="D9D9D9"/>
            <w:hideMark/>
          </w:tcPr>
          <w:p w14:paraId="0166C214"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265" w:type="dxa"/>
            <w:vMerge w:val="restart"/>
            <w:tcBorders>
              <w:top w:val="nil"/>
              <w:left w:val="single" w:sz="8" w:space="0" w:color="auto"/>
              <w:bottom w:val="single" w:sz="8" w:space="0" w:color="000000"/>
              <w:right w:val="single" w:sz="8" w:space="0" w:color="auto"/>
            </w:tcBorders>
            <w:shd w:val="clear" w:color="000000" w:fill="D9D9D9"/>
            <w:hideMark/>
          </w:tcPr>
          <w:p w14:paraId="5E303C0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085" w:type="dxa"/>
            <w:vMerge w:val="restart"/>
            <w:tcBorders>
              <w:top w:val="nil"/>
              <w:left w:val="single" w:sz="8" w:space="0" w:color="auto"/>
              <w:bottom w:val="single" w:sz="8" w:space="0" w:color="000000"/>
              <w:right w:val="single" w:sz="8" w:space="0" w:color="auto"/>
            </w:tcBorders>
            <w:shd w:val="clear" w:color="000000" w:fill="D9D9D9"/>
            <w:hideMark/>
          </w:tcPr>
          <w:p w14:paraId="7B7BAC5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582" w:type="dxa"/>
            <w:vMerge w:val="restart"/>
            <w:tcBorders>
              <w:top w:val="nil"/>
              <w:left w:val="single" w:sz="8" w:space="0" w:color="auto"/>
              <w:bottom w:val="single" w:sz="8" w:space="0" w:color="000000"/>
              <w:right w:val="single" w:sz="8" w:space="0" w:color="auto"/>
            </w:tcBorders>
            <w:shd w:val="clear" w:color="000000" w:fill="D9D9D9"/>
            <w:hideMark/>
          </w:tcPr>
          <w:p w14:paraId="3B34410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800" w:type="dxa"/>
            <w:vMerge w:val="restart"/>
            <w:tcBorders>
              <w:top w:val="nil"/>
              <w:left w:val="single" w:sz="8" w:space="0" w:color="auto"/>
              <w:bottom w:val="single" w:sz="8" w:space="0" w:color="000000"/>
              <w:right w:val="single" w:sz="8" w:space="0" w:color="auto"/>
            </w:tcBorders>
            <w:shd w:val="clear" w:color="000000" w:fill="D9D9D9"/>
            <w:hideMark/>
          </w:tcPr>
          <w:p w14:paraId="5EAFF01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vMerge w:val="restart"/>
            <w:tcBorders>
              <w:top w:val="nil"/>
              <w:left w:val="single" w:sz="8" w:space="0" w:color="auto"/>
              <w:bottom w:val="single" w:sz="8" w:space="0" w:color="000000"/>
              <w:right w:val="double" w:sz="6" w:space="0" w:color="auto"/>
            </w:tcBorders>
            <w:shd w:val="clear" w:color="000000" w:fill="D9D9D9"/>
            <w:hideMark/>
          </w:tcPr>
          <w:p w14:paraId="1E9AFCA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F69DC" w:rsidRPr="00EF2F18" w14:paraId="61F7D7DE" w14:textId="77777777" w:rsidTr="007620E6">
        <w:trPr>
          <w:trHeight w:val="324"/>
        </w:trPr>
        <w:tc>
          <w:tcPr>
            <w:tcW w:w="3574" w:type="dxa"/>
            <w:vMerge/>
            <w:tcBorders>
              <w:top w:val="nil"/>
              <w:left w:val="single" w:sz="8" w:space="0" w:color="auto"/>
              <w:bottom w:val="single" w:sz="8" w:space="0" w:color="000000"/>
              <w:right w:val="single" w:sz="8" w:space="0" w:color="auto"/>
            </w:tcBorders>
            <w:vAlign w:val="center"/>
            <w:hideMark/>
          </w:tcPr>
          <w:p w14:paraId="618FF2BA" w14:textId="77777777" w:rsidR="00CF69DC" w:rsidRPr="00EF2F18" w:rsidRDefault="00CF69DC" w:rsidP="00752CA0">
            <w:pPr>
              <w:spacing w:after="0"/>
              <w:rPr>
                <w:rFonts w:eastAsia="Times New Roman" w:cs="Times New Roman"/>
                <w:color w:val="000000"/>
                <w:sz w:val="20"/>
                <w:szCs w:val="20"/>
                <w:lang w:val="sr-Cyrl-RS" w:eastAsia="en-GB"/>
              </w:rPr>
            </w:pPr>
          </w:p>
        </w:tc>
        <w:tc>
          <w:tcPr>
            <w:tcW w:w="1152" w:type="dxa"/>
            <w:vMerge/>
            <w:tcBorders>
              <w:top w:val="nil"/>
              <w:left w:val="single" w:sz="8" w:space="0" w:color="auto"/>
              <w:bottom w:val="single" w:sz="8" w:space="0" w:color="000000"/>
              <w:right w:val="single" w:sz="8" w:space="0" w:color="auto"/>
            </w:tcBorders>
            <w:vAlign w:val="center"/>
            <w:hideMark/>
          </w:tcPr>
          <w:p w14:paraId="6A5FB41E" w14:textId="77777777" w:rsidR="00CF69DC" w:rsidRPr="00EF2F18" w:rsidRDefault="00CF69DC" w:rsidP="00752CA0">
            <w:pPr>
              <w:spacing w:after="0"/>
              <w:rPr>
                <w:rFonts w:eastAsia="Times New Roman" w:cs="Times New Roman"/>
                <w:color w:val="000000"/>
                <w:sz w:val="20"/>
                <w:szCs w:val="20"/>
                <w:lang w:val="sr-Cyrl-RS" w:eastAsia="en-GB"/>
              </w:rPr>
            </w:pPr>
          </w:p>
        </w:tc>
        <w:tc>
          <w:tcPr>
            <w:tcW w:w="1502" w:type="dxa"/>
            <w:vMerge/>
            <w:tcBorders>
              <w:top w:val="nil"/>
              <w:left w:val="single" w:sz="8" w:space="0" w:color="auto"/>
              <w:bottom w:val="single" w:sz="8" w:space="0" w:color="000000"/>
              <w:right w:val="single" w:sz="8" w:space="0" w:color="auto"/>
            </w:tcBorders>
            <w:vAlign w:val="center"/>
            <w:hideMark/>
          </w:tcPr>
          <w:p w14:paraId="748DC7F9" w14:textId="77777777" w:rsidR="00CF69DC" w:rsidRPr="00EF2F18" w:rsidRDefault="00CF69DC" w:rsidP="00752CA0">
            <w:pPr>
              <w:spacing w:after="0"/>
              <w:rPr>
                <w:rFonts w:eastAsia="Times New Roman" w:cs="Times New Roman"/>
                <w:color w:val="000000"/>
                <w:sz w:val="20"/>
                <w:szCs w:val="20"/>
                <w:lang w:val="sr-Cyrl-RS" w:eastAsia="en-GB"/>
              </w:rPr>
            </w:pPr>
          </w:p>
        </w:tc>
        <w:tc>
          <w:tcPr>
            <w:tcW w:w="1265" w:type="dxa"/>
            <w:vMerge/>
            <w:tcBorders>
              <w:top w:val="nil"/>
              <w:left w:val="single" w:sz="8" w:space="0" w:color="auto"/>
              <w:bottom w:val="single" w:sz="8" w:space="0" w:color="000000"/>
              <w:right w:val="single" w:sz="8" w:space="0" w:color="auto"/>
            </w:tcBorders>
            <w:vAlign w:val="center"/>
            <w:hideMark/>
          </w:tcPr>
          <w:p w14:paraId="7E3D9CEE" w14:textId="77777777" w:rsidR="00CF69DC" w:rsidRPr="00EF2F18" w:rsidRDefault="00CF69DC" w:rsidP="00752CA0">
            <w:pPr>
              <w:spacing w:after="0"/>
              <w:rPr>
                <w:rFonts w:eastAsia="Times New Roman" w:cs="Times New Roman"/>
                <w:color w:val="000000"/>
                <w:sz w:val="20"/>
                <w:szCs w:val="20"/>
                <w:lang w:val="sr-Cyrl-RS" w:eastAsia="en-GB"/>
              </w:rPr>
            </w:pPr>
          </w:p>
        </w:tc>
        <w:tc>
          <w:tcPr>
            <w:tcW w:w="1085" w:type="dxa"/>
            <w:vMerge/>
            <w:tcBorders>
              <w:top w:val="nil"/>
              <w:left w:val="single" w:sz="8" w:space="0" w:color="auto"/>
              <w:bottom w:val="single" w:sz="8" w:space="0" w:color="000000"/>
              <w:right w:val="single" w:sz="8" w:space="0" w:color="auto"/>
            </w:tcBorders>
            <w:vAlign w:val="center"/>
            <w:hideMark/>
          </w:tcPr>
          <w:p w14:paraId="1CBA51DF" w14:textId="77777777" w:rsidR="00CF69DC" w:rsidRPr="00EF2F18" w:rsidRDefault="00CF69DC" w:rsidP="00752CA0">
            <w:pPr>
              <w:spacing w:after="0"/>
              <w:rPr>
                <w:rFonts w:eastAsia="Times New Roman" w:cs="Times New Roman"/>
                <w:color w:val="000000"/>
                <w:sz w:val="20"/>
                <w:szCs w:val="20"/>
                <w:lang w:val="sr-Cyrl-RS" w:eastAsia="en-GB"/>
              </w:rPr>
            </w:pPr>
          </w:p>
        </w:tc>
        <w:tc>
          <w:tcPr>
            <w:tcW w:w="1582" w:type="dxa"/>
            <w:vMerge/>
            <w:tcBorders>
              <w:top w:val="nil"/>
              <w:left w:val="single" w:sz="8" w:space="0" w:color="auto"/>
              <w:bottom w:val="single" w:sz="8" w:space="0" w:color="000000"/>
              <w:right w:val="single" w:sz="8" w:space="0" w:color="auto"/>
            </w:tcBorders>
            <w:vAlign w:val="center"/>
            <w:hideMark/>
          </w:tcPr>
          <w:p w14:paraId="5F5C8138" w14:textId="77777777" w:rsidR="00CF69DC" w:rsidRPr="00EF2F18" w:rsidRDefault="00CF69DC" w:rsidP="00752CA0">
            <w:pPr>
              <w:spacing w:after="0"/>
              <w:rPr>
                <w:rFonts w:eastAsia="Times New Roman" w:cs="Times New Roman"/>
                <w:color w:val="000000"/>
                <w:sz w:val="20"/>
                <w:szCs w:val="20"/>
                <w:lang w:val="sr-Cyrl-RS" w:eastAsia="en-GB"/>
              </w:rPr>
            </w:pPr>
          </w:p>
        </w:tc>
        <w:tc>
          <w:tcPr>
            <w:tcW w:w="1800" w:type="dxa"/>
            <w:vMerge/>
            <w:tcBorders>
              <w:top w:val="nil"/>
              <w:left w:val="single" w:sz="8" w:space="0" w:color="auto"/>
              <w:bottom w:val="single" w:sz="8" w:space="0" w:color="000000"/>
              <w:right w:val="single" w:sz="8" w:space="0" w:color="auto"/>
            </w:tcBorders>
            <w:vAlign w:val="center"/>
            <w:hideMark/>
          </w:tcPr>
          <w:p w14:paraId="7AD619D5" w14:textId="77777777" w:rsidR="00CF69DC" w:rsidRPr="00EF2F18" w:rsidRDefault="00CF69DC" w:rsidP="00752CA0">
            <w:pPr>
              <w:spacing w:after="0"/>
              <w:rPr>
                <w:rFonts w:eastAsia="Times New Roman" w:cs="Times New Roman"/>
                <w:color w:val="000000"/>
                <w:sz w:val="20"/>
                <w:szCs w:val="20"/>
                <w:lang w:val="sr-Cyrl-RS" w:eastAsia="en-GB"/>
              </w:rPr>
            </w:pPr>
          </w:p>
        </w:tc>
        <w:tc>
          <w:tcPr>
            <w:tcW w:w="1620" w:type="dxa"/>
            <w:vMerge/>
            <w:tcBorders>
              <w:top w:val="nil"/>
              <w:left w:val="single" w:sz="8" w:space="0" w:color="auto"/>
              <w:bottom w:val="single" w:sz="8" w:space="0" w:color="000000"/>
              <w:right w:val="double" w:sz="6" w:space="0" w:color="auto"/>
            </w:tcBorders>
            <w:vAlign w:val="center"/>
            <w:hideMark/>
          </w:tcPr>
          <w:p w14:paraId="02A9EE14" w14:textId="77777777" w:rsidR="00CF69DC" w:rsidRPr="00EF2F18" w:rsidRDefault="00CF69DC" w:rsidP="00752CA0">
            <w:pPr>
              <w:spacing w:after="0"/>
              <w:rPr>
                <w:rFonts w:eastAsia="Times New Roman" w:cs="Times New Roman"/>
                <w:color w:val="000000"/>
                <w:sz w:val="20"/>
                <w:szCs w:val="20"/>
                <w:lang w:val="sr-Cyrl-RS" w:eastAsia="en-GB"/>
              </w:rPr>
            </w:pPr>
          </w:p>
        </w:tc>
        <w:tc>
          <w:tcPr>
            <w:tcW w:w="326" w:type="dxa"/>
            <w:tcBorders>
              <w:top w:val="nil"/>
              <w:left w:val="nil"/>
              <w:bottom w:val="nil"/>
              <w:right w:val="nil"/>
            </w:tcBorders>
            <w:noWrap/>
            <w:vAlign w:val="bottom"/>
            <w:hideMark/>
          </w:tcPr>
          <w:p w14:paraId="4C1F25BE" w14:textId="77777777" w:rsidR="00CF69DC" w:rsidRPr="00EF2F18" w:rsidRDefault="00CF69DC" w:rsidP="00752CA0">
            <w:pPr>
              <w:spacing w:after="0"/>
              <w:rPr>
                <w:rFonts w:eastAsia="Times New Roman" w:cs="Times New Roman"/>
                <w:color w:val="000000"/>
                <w:sz w:val="20"/>
                <w:szCs w:val="20"/>
                <w:lang w:val="sr-Cyrl-RS" w:eastAsia="en-GB"/>
              </w:rPr>
            </w:pPr>
          </w:p>
        </w:tc>
      </w:tr>
      <w:tr w:rsidR="00CF69DC" w:rsidRPr="00EF2F18" w14:paraId="4346EBB0" w14:textId="77777777" w:rsidTr="007620E6">
        <w:trPr>
          <w:trHeight w:val="804"/>
        </w:trPr>
        <w:tc>
          <w:tcPr>
            <w:tcW w:w="3574" w:type="dxa"/>
            <w:tcBorders>
              <w:top w:val="nil"/>
              <w:left w:val="single" w:sz="8" w:space="0" w:color="auto"/>
              <w:bottom w:val="single" w:sz="8" w:space="0" w:color="auto"/>
              <w:right w:val="single" w:sz="8" w:space="0" w:color="auto"/>
            </w:tcBorders>
            <w:shd w:val="clear" w:color="000000" w:fill="FFFFFF"/>
            <w:hideMark/>
          </w:tcPr>
          <w:p w14:paraId="7C215B6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Унапређен систем за праћење квалитета чинилаца животне средине и утицаја климатских промена</w:t>
            </w:r>
          </w:p>
        </w:tc>
        <w:tc>
          <w:tcPr>
            <w:tcW w:w="1152" w:type="dxa"/>
            <w:tcBorders>
              <w:top w:val="nil"/>
              <w:left w:val="nil"/>
              <w:bottom w:val="single" w:sz="8" w:space="0" w:color="auto"/>
              <w:right w:val="single" w:sz="8" w:space="0" w:color="auto"/>
            </w:tcBorders>
            <w:shd w:val="clear" w:color="000000" w:fill="FFFFFF"/>
            <w:hideMark/>
          </w:tcPr>
          <w:p w14:paraId="26BD6780"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не/да</w:t>
            </w:r>
          </w:p>
        </w:tc>
        <w:tc>
          <w:tcPr>
            <w:tcW w:w="1502" w:type="dxa"/>
            <w:tcBorders>
              <w:top w:val="nil"/>
              <w:left w:val="nil"/>
              <w:bottom w:val="single" w:sz="8" w:space="0" w:color="auto"/>
              <w:right w:val="single" w:sz="8" w:space="0" w:color="auto"/>
            </w:tcBorders>
            <w:shd w:val="clear" w:color="000000" w:fill="FFFFFF"/>
            <w:hideMark/>
          </w:tcPr>
          <w:p w14:paraId="4B385990" w14:textId="77777777" w:rsidR="00CF69DC" w:rsidRPr="00EF2F18" w:rsidRDefault="00CF69DC" w:rsidP="00752CA0">
            <w:pPr>
              <w:spacing w:after="0"/>
              <w:rPr>
                <w:rFonts w:eastAsia="Times New Roman" w:cs="Times New Roman"/>
                <w:color w:val="000000"/>
                <w:sz w:val="18"/>
                <w:szCs w:val="18"/>
                <w:lang w:val="sr-Cyrl-RS" w:eastAsia="en-GB"/>
              </w:rPr>
            </w:pPr>
            <w:r w:rsidRPr="00EF2F18">
              <w:rPr>
                <w:rFonts w:eastAsia="Times New Roman" w:cs="Times New Roman"/>
                <w:sz w:val="18"/>
                <w:szCs w:val="18"/>
                <w:lang w:val="sr-Cyrl-RS" w:eastAsia="en-GB"/>
              </w:rPr>
              <w:t>Извештаји надлежних институција</w:t>
            </w:r>
          </w:p>
        </w:tc>
        <w:tc>
          <w:tcPr>
            <w:tcW w:w="1265" w:type="dxa"/>
            <w:tcBorders>
              <w:top w:val="nil"/>
              <w:left w:val="nil"/>
              <w:bottom w:val="single" w:sz="8" w:space="0" w:color="auto"/>
              <w:right w:val="single" w:sz="8" w:space="0" w:color="auto"/>
            </w:tcBorders>
            <w:shd w:val="clear" w:color="000000" w:fill="FFFFFF"/>
            <w:hideMark/>
          </w:tcPr>
          <w:p w14:paraId="4BD0CEC4"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085" w:type="dxa"/>
            <w:tcBorders>
              <w:top w:val="nil"/>
              <w:left w:val="nil"/>
              <w:bottom w:val="single" w:sz="8" w:space="0" w:color="auto"/>
              <w:right w:val="single" w:sz="8" w:space="0" w:color="auto"/>
            </w:tcBorders>
            <w:shd w:val="clear" w:color="000000" w:fill="FFFFFF"/>
            <w:hideMark/>
          </w:tcPr>
          <w:p w14:paraId="24990CC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582" w:type="dxa"/>
            <w:tcBorders>
              <w:top w:val="nil"/>
              <w:left w:val="nil"/>
              <w:bottom w:val="single" w:sz="8" w:space="0" w:color="auto"/>
              <w:right w:val="single" w:sz="8" w:space="0" w:color="auto"/>
            </w:tcBorders>
            <w:shd w:val="clear" w:color="000000" w:fill="FFFFFF"/>
            <w:hideMark/>
          </w:tcPr>
          <w:p w14:paraId="161112C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800" w:type="dxa"/>
            <w:tcBorders>
              <w:top w:val="nil"/>
              <w:left w:val="nil"/>
              <w:bottom w:val="single" w:sz="8" w:space="0" w:color="auto"/>
              <w:right w:val="single" w:sz="8" w:space="0" w:color="auto"/>
            </w:tcBorders>
            <w:shd w:val="clear" w:color="000000" w:fill="FFFFFF"/>
            <w:hideMark/>
          </w:tcPr>
          <w:p w14:paraId="280AB8B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620" w:type="dxa"/>
            <w:tcBorders>
              <w:top w:val="nil"/>
              <w:left w:val="nil"/>
              <w:bottom w:val="single" w:sz="8" w:space="0" w:color="auto"/>
              <w:right w:val="double" w:sz="6" w:space="0" w:color="auto"/>
            </w:tcBorders>
            <w:shd w:val="clear" w:color="000000" w:fill="FFFFFF"/>
            <w:hideMark/>
          </w:tcPr>
          <w:p w14:paraId="3E5DC69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326" w:type="dxa"/>
            <w:vAlign w:val="center"/>
            <w:hideMark/>
          </w:tcPr>
          <w:p w14:paraId="2E991EFF" w14:textId="77777777" w:rsidR="00CF69DC" w:rsidRPr="00EF2F18" w:rsidRDefault="00CF69DC" w:rsidP="00752CA0">
            <w:pPr>
              <w:spacing w:after="0"/>
              <w:rPr>
                <w:rFonts w:eastAsia="Times New Roman" w:cs="Times New Roman"/>
                <w:sz w:val="20"/>
                <w:szCs w:val="20"/>
                <w:lang w:val="sr-Cyrl-RS" w:eastAsia="en-GB"/>
              </w:rPr>
            </w:pPr>
          </w:p>
        </w:tc>
      </w:tr>
    </w:tbl>
    <w:p w14:paraId="12CC8A9E" w14:textId="77777777" w:rsidR="007D7243" w:rsidRPr="00EF2F18" w:rsidRDefault="007D7243" w:rsidP="007D7243">
      <w:pPr>
        <w:tabs>
          <w:tab w:val="left" w:pos="1940"/>
        </w:tabs>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287"/>
        <w:gridCol w:w="1260"/>
        <w:gridCol w:w="1693"/>
        <w:gridCol w:w="17"/>
      </w:tblGrid>
      <w:tr w:rsidR="007D7243" w:rsidRPr="00EF2F18" w14:paraId="1AC03ECA" w14:textId="77777777" w:rsidTr="00CF69D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4BEE9468"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6.3.1: Унапређење националне мреже за мониторинг квалитета животне средине и утицаја климатских промена</w:t>
            </w:r>
          </w:p>
        </w:tc>
      </w:tr>
      <w:tr w:rsidR="007D7243" w:rsidRPr="00EF2F18" w14:paraId="0A76196D" w14:textId="77777777" w:rsidTr="00CF69DC">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5C35792A"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заштите животне средине </w:t>
            </w:r>
          </w:p>
        </w:tc>
      </w:tr>
      <w:tr w:rsidR="007D7243" w:rsidRPr="00EF2F18" w14:paraId="5FCB7443" w14:textId="77777777" w:rsidTr="00CF69D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6FBA23EA" w14:textId="69B7C7F3"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CF69DC"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5300C67C"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Обезбеђивање добара и пружање услуга</w:t>
            </w:r>
          </w:p>
        </w:tc>
      </w:tr>
      <w:tr w:rsidR="007D7243" w:rsidRPr="00EF2F18" w14:paraId="4DD2234C" w14:textId="77777777" w:rsidTr="00CF69DC">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B3819CA"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hideMark/>
          </w:tcPr>
          <w:p w14:paraId="52421FF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CF69DC" w:rsidRPr="00EF2F18" w14:paraId="3D9BC700" w14:textId="77777777" w:rsidTr="00CF69DC">
        <w:trPr>
          <w:trHeight w:val="816"/>
        </w:trPr>
        <w:tc>
          <w:tcPr>
            <w:tcW w:w="3320" w:type="dxa"/>
            <w:tcBorders>
              <w:top w:val="nil"/>
              <w:left w:val="double" w:sz="6" w:space="0" w:color="auto"/>
              <w:bottom w:val="double" w:sz="6" w:space="0" w:color="auto"/>
              <w:right w:val="single" w:sz="8" w:space="0" w:color="auto"/>
            </w:tcBorders>
            <w:shd w:val="clear" w:color="000000" w:fill="D9D9D9"/>
            <w:hideMark/>
          </w:tcPr>
          <w:p w14:paraId="11A0F427"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hideMark/>
          </w:tcPr>
          <w:p w14:paraId="66C331F7"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hideMark/>
          </w:tcPr>
          <w:p w14:paraId="6960BA9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hideMark/>
          </w:tcPr>
          <w:p w14:paraId="3EE39909"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tcBorders>
              <w:top w:val="nil"/>
              <w:left w:val="nil"/>
              <w:bottom w:val="double" w:sz="6" w:space="0" w:color="auto"/>
              <w:right w:val="single" w:sz="8" w:space="0" w:color="auto"/>
            </w:tcBorders>
            <w:shd w:val="clear" w:color="000000" w:fill="D9D9D9"/>
            <w:hideMark/>
          </w:tcPr>
          <w:p w14:paraId="3C72C81C"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287" w:type="dxa"/>
            <w:tcBorders>
              <w:top w:val="nil"/>
              <w:left w:val="nil"/>
              <w:bottom w:val="double" w:sz="6" w:space="0" w:color="auto"/>
              <w:right w:val="nil"/>
            </w:tcBorders>
            <w:shd w:val="clear" w:color="000000" w:fill="D9D9D9"/>
            <w:hideMark/>
          </w:tcPr>
          <w:p w14:paraId="629456D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60" w:type="dxa"/>
            <w:tcBorders>
              <w:top w:val="nil"/>
              <w:left w:val="nil"/>
              <w:bottom w:val="double" w:sz="6" w:space="0" w:color="auto"/>
              <w:right w:val="single" w:sz="8" w:space="0" w:color="auto"/>
            </w:tcBorders>
            <w:shd w:val="clear" w:color="000000" w:fill="D9D9D9"/>
            <w:hideMark/>
          </w:tcPr>
          <w:p w14:paraId="6FD50425"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710" w:type="dxa"/>
            <w:gridSpan w:val="2"/>
            <w:tcBorders>
              <w:top w:val="nil"/>
              <w:left w:val="nil"/>
              <w:bottom w:val="double" w:sz="6" w:space="0" w:color="auto"/>
              <w:right w:val="double" w:sz="6" w:space="0" w:color="auto"/>
            </w:tcBorders>
            <w:shd w:val="clear" w:color="000000" w:fill="D9D9D9"/>
            <w:hideMark/>
          </w:tcPr>
          <w:p w14:paraId="5A0CF18E"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CF69DC" w:rsidRPr="00EF2F18" w14:paraId="1D91568F" w14:textId="77777777" w:rsidTr="00CF69DC">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1C2E32D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постављених нових метеоролошких и хидролошких станица, укупно</w:t>
            </w:r>
          </w:p>
        </w:tc>
        <w:tc>
          <w:tcPr>
            <w:tcW w:w="1280" w:type="dxa"/>
            <w:tcBorders>
              <w:top w:val="nil"/>
              <w:left w:val="nil"/>
              <w:bottom w:val="double" w:sz="6" w:space="0" w:color="auto"/>
              <w:right w:val="single" w:sz="8" w:space="0" w:color="auto"/>
            </w:tcBorders>
            <w:shd w:val="clear" w:color="000000" w:fill="FFFFFF"/>
            <w:hideMark/>
          </w:tcPr>
          <w:p w14:paraId="3361A59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441A8E3D"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Извештаји РХМЗ</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49CF81B7"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38B0353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4A1EAE20"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c>
          <w:tcPr>
            <w:tcW w:w="1260" w:type="dxa"/>
            <w:tcBorders>
              <w:top w:val="nil"/>
              <w:left w:val="nil"/>
              <w:bottom w:val="double" w:sz="6" w:space="0" w:color="auto"/>
              <w:right w:val="single" w:sz="8" w:space="0" w:color="auto"/>
            </w:tcBorders>
            <w:shd w:val="clear" w:color="000000" w:fill="FFFFFF"/>
            <w:hideMark/>
          </w:tcPr>
          <w:p w14:paraId="160ADCA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c>
          <w:tcPr>
            <w:tcW w:w="1710" w:type="dxa"/>
            <w:gridSpan w:val="2"/>
            <w:tcBorders>
              <w:top w:val="nil"/>
              <w:left w:val="nil"/>
              <w:bottom w:val="double" w:sz="6" w:space="0" w:color="auto"/>
              <w:right w:val="double" w:sz="6" w:space="0" w:color="auto"/>
            </w:tcBorders>
            <w:shd w:val="clear" w:color="000000" w:fill="FFFFFF"/>
            <w:hideMark/>
          </w:tcPr>
          <w:p w14:paraId="39C033D5"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w:t>
            </w:r>
          </w:p>
        </w:tc>
      </w:tr>
      <w:tr w:rsidR="00CF69DC" w:rsidRPr="00EF2F18" w14:paraId="1E925D94" w14:textId="77777777" w:rsidTr="00CF69DC">
        <w:trPr>
          <w:trHeight w:val="552"/>
        </w:trPr>
        <w:tc>
          <w:tcPr>
            <w:tcW w:w="3320" w:type="dxa"/>
            <w:tcBorders>
              <w:top w:val="nil"/>
              <w:left w:val="double" w:sz="6" w:space="0" w:color="auto"/>
              <w:bottom w:val="double" w:sz="6" w:space="0" w:color="auto"/>
              <w:right w:val="single" w:sz="8" w:space="0" w:color="auto"/>
            </w:tcBorders>
            <w:shd w:val="clear" w:color="000000" w:fill="FFFFFF"/>
            <w:hideMark/>
          </w:tcPr>
          <w:p w14:paraId="6BB2802B"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станица за мониторинг ваздуха, укупно</w:t>
            </w:r>
          </w:p>
        </w:tc>
        <w:tc>
          <w:tcPr>
            <w:tcW w:w="1280" w:type="dxa"/>
            <w:tcBorders>
              <w:top w:val="nil"/>
              <w:left w:val="nil"/>
              <w:bottom w:val="double" w:sz="6" w:space="0" w:color="auto"/>
              <w:right w:val="single" w:sz="8" w:space="0" w:color="auto"/>
            </w:tcBorders>
            <w:shd w:val="clear" w:color="000000" w:fill="FFFFFF"/>
            <w:hideMark/>
          </w:tcPr>
          <w:p w14:paraId="39EBD1C1"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26DAB4C1"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Извештаји АЗЖС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2F55093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39</w:t>
            </w:r>
          </w:p>
        </w:tc>
        <w:tc>
          <w:tcPr>
            <w:tcW w:w="1520" w:type="dxa"/>
            <w:tcBorders>
              <w:top w:val="nil"/>
              <w:left w:val="nil"/>
              <w:bottom w:val="double" w:sz="6" w:space="0" w:color="auto"/>
              <w:right w:val="single" w:sz="8" w:space="0" w:color="auto"/>
            </w:tcBorders>
            <w:shd w:val="clear" w:color="000000" w:fill="FFFFFF"/>
            <w:hideMark/>
          </w:tcPr>
          <w:p w14:paraId="6C4F1FD3"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2E74C4C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49</w:t>
            </w:r>
          </w:p>
        </w:tc>
        <w:tc>
          <w:tcPr>
            <w:tcW w:w="1260" w:type="dxa"/>
            <w:tcBorders>
              <w:top w:val="nil"/>
              <w:left w:val="nil"/>
              <w:bottom w:val="double" w:sz="6" w:space="0" w:color="auto"/>
              <w:right w:val="single" w:sz="8" w:space="0" w:color="auto"/>
            </w:tcBorders>
            <w:shd w:val="clear" w:color="000000" w:fill="FFFFFF"/>
            <w:hideMark/>
          </w:tcPr>
          <w:p w14:paraId="50AD16A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49</w:t>
            </w:r>
          </w:p>
        </w:tc>
        <w:tc>
          <w:tcPr>
            <w:tcW w:w="1710" w:type="dxa"/>
            <w:gridSpan w:val="2"/>
            <w:tcBorders>
              <w:top w:val="nil"/>
              <w:left w:val="nil"/>
              <w:bottom w:val="double" w:sz="6" w:space="0" w:color="auto"/>
              <w:right w:val="double" w:sz="6" w:space="0" w:color="auto"/>
            </w:tcBorders>
            <w:shd w:val="clear" w:color="000000" w:fill="FFFFFF"/>
            <w:hideMark/>
          </w:tcPr>
          <w:p w14:paraId="1B4AC5C9"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49</w:t>
            </w:r>
          </w:p>
        </w:tc>
      </w:tr>
      <w:tr w:rsidR="00CF69DC" w:rsidRPr="00EF2F18" w14:paraId="34CEA04B" w14:textId="77777777" w:rsidTr="00CF69DC">
        <w:trPr>
          <w:trHeight w:val="552"/>
        </w:trPr>
        <w:tc>
          <w:tcPr>
            <w:tcW w:w="3320" w:type="dxa"/>
            <w:tcBorders>
              <w:top w:val="nil"/>
              <w:left w:val="double" w:sz="6" w:space="0" w:color="auto"/>
              <w:bottom w:val="double" w:sz="6" w:space="0" w:color="auto"/>
              <w:right w:val="single" w:sz="8" w:space="0" w:color="auto"/>
            </w:tcBorders>
            <w:shd w:val="clear" w:color="000000" w:fill="FFFFFF"/>
            <w:hideMark/>
          </w:tcPr>
          <w:p w14:paraId="701CBB06"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 станица за мониторинг вода, укупно</w:t>
            </w:r>
          </w:p>
        </w:tc>
        <w:tc>
          <w:tcPr>
            <w:tcW w:w="1280" w:type="dxa"/>
            <w:tcBorders>
              <w:top w:val="nil"/>
              <w:left w:val="nil"/>
              <w:bottom w:val="double" w:sz="6" w:space="0" w:color="auto"/>
              <w:right w:val="single" w:sz="8" w:space="0" w:color="auto"/>
            </w:tcBorders>
            <w:shd w:val="clear" w:color="000000" w:fill="FFFFFF"/>
            <w:hideMark/>
          </w:tcPr>
          <w:p w14:paraId="193FC13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број</w:t>
            </w:r>
          </w:p>
        </w:tc>
        <w:tc>
          <w:tcPr>
            <w:tcW w:w="1280" w:type="dxa"/>
            <w:tcBorders>
              <w:top w:val="nil"/>
              <w:left w:val="nil"/>
              <w:bottom w:val="double" w:sz="6" w:space="0" w:color="auto"/>
              <w:right w:val="single" w:sz="8" w:space="0" w:color="auto"/>
            </w:tcBorders>
            <w:shd w:val="clear" w:color="000000" w:fill="FFFFFF"/>
            <w:hideMark/>
          </w:tcPr>
          <w:p w14:paraId="3DE4A536"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Извештаји АЗЖС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07A2EBFA"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79</w:t>
            </w:r>
          </w:p>
        </w:tc>
        <w:tc>
          <w:tcPr>
            <w:tcW w:w="1520" w:type="dxa"/>
            <w:tcBorders>
              <w:top w:val="nil"/>
              <w:left w:val="nil"/>
              <w:bottom w:val="double" w:sz="6" w:space="0" w:color="auto"/>
              <w:right w:val="single" w:sz="8" w:space="0" w:color="auto"/>
            </w:tcBorders>
            <w:shd w:val="clear" w:color="000000" w:fill="FFFFFF"/>
            <w:hideMark/>
          </w:tcPr>
          <w:p w14:paraId="104383C1"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0291D9A4" w14:textId="317DAD8B" w:rsidR="00CF69DC" w:rsidRPr="00EF2F18" w:rsidRDefault="00A02780"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111</w:t>
            </w:r>
          </w:p>
        </w:tc>
        <w:tc>
          <w:tcPr>
            <w:tcW w:w="1260" w:type="dxa"/>
            <w:tcBorders>
              <w:top w:val="nil"/>
              <w:left w:val="nil"/>
              <w:bottom w:val="double" w:sz="6" w:space="0" w:color="auto"/>
              <w:right w:val="single" w:sz="8" w:space="0" w:color="auto"/>
            </w:tcBorders>
            <w:shd w:val="clear" w:color="000000" w:fill="FFFFFF"/>
            <w:hideMark/>
          </w:tcPr>
          <w:p w14:paraId="30571B15"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193</w:t>
            </w:r>
          </w:p>
        </w:tc>
        <w:tc>
          <w:tcPr>
            <w:tcW w:w="1710" w:type="dxa"/>
            <w:gridSpan w:val="2"/>
            <w:tcBorders>
              <w:top w:val="nil"/>
              <w:left w:val="nil"/>
              <w:bottom w:val="double" w:sz="6" w:space="0" w:color="auto"/>
              <w:right w:val="double" w:sz="6" w:space="0" w:color="auto"/>
            </w:tcBorders>
            <w:shd w:val="clear" w:color="000000" w:fill="FFFFFF"/>
            <w:hideMark/>
          </w:tcPr>
          <w:p w14:paraId="18B6B872"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193</w:t>
            </w:r>
          </w:p>
        </w:tc>
      </w:tr>
      <w:tr w:rsidR="00CF69DC" w:rsidRPr="00EF2F18" w14:paraId="3CF0993A" w14:textId="77777777" w:rsidTr="00CF69DC">
        <w:trPr>
          <w:trHeight w:val="816"/>
        </w:trPr>
        <w:tc>
          <w:tcPr>
            <w:tcW w:w="3320" w:type="dxa"/>
            <w:tcBorders>
              <w:top w:val="nil"/>
              <w:left w:val="double" w:sz="6" w:space="0" w:color="auto"/>
              <w:bottom w:val="double" w:sz="6" w:space="0" w:color="auto"/>
              <w:right w:val="single" w:sz="8" w:space="0" w:color="auto"/>
            </w:tcBorders>
            <w:shd w:val="clear" w:color="000000" w:fill="FFFFFF"/>
            <w:hideMark/>
          </w:tcPr>
          <w:p w14:paraId="75E81D88"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успостављених мерних места за мониторинг земљишта у односу на планирана</w:t>
            </w:r>
          </w:p>
        </w:tc>
        <w:tc>
          <w:tcPr>
            <w:tcW w:w="1280" w:type="dxa"/>
            <w:tcBorders>
              <w:top w:val="nil"/>
              <w:left w:val="nil"/>
              <w:bottom w:val="double" w:sz="6" w:space="0" w:color="auto"/>
              <w:right w:val="single" w:sz="8" w:space="0" w:color="auto"/>
            </w:tcBorders>
            <w:shd w:val="clear" w:color="000000" w:fill="FFFFFF"/>
            <w:hideMark/>
          </w:tcPr>
          <w:p w14:paraId="64C1E4C3"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80" w:type="dxa"/>
            <w:tcBorders>
              <w:top w:val="nil"/>
              <w:left w:val="nil"/>
              <w:bottom w:val="double" w:sz="6" w:space="0" w:color="auto"/>
              <w:right w:val="single" w:sz="8" w:space="0" w:color="auto"/>
            </w:tcBorders>
            <w:shd w:val="clear" w:color="000000" w:fill="FFFFFF"/>
            <w:hideMark/>
          </w:tcPr>
          <w:p w14:paraId="7D71FE81"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Извештаји МЗЖС, АЗЖС</w:t>
            </w:r>
          </w:p>
        </w:tc>
        <w:tc>
          <w:tcPr>
            <w:tcW w:w="2000" w:type="dxa"/>
            <w:gridSpan w:val="2"/>
            <w:tcBorders>
              <w:top w:val="double" w:sz="6" w:space="0" w:color="auto"/>
              <w:left w:val="nil"/>
              <w:bottom w:val="double" w:sz="6" w:space="0" w:color="auto"/>
              <w:right w:val="single" w:sz="8" w:space="0" w:color="000000"/>
            </w:tcBorders>
            <w:shd w:val="clear" w:color="000000" w:fill="FFFFFF"/>
            <w:hideMark/>
          </w:tcPr>
          <w:p w14:paraId="193D89C3"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w:t>
            </w:r>
          </w:p>
        </w:tc>
        <w:tc>
          <w:tcPr>
            <w:tcW w:w="1520" w:type="dxa"/>
            <w:tcBorders>
              <w:top w:val="nil"/>
              <w:left w:val="nil"/>
              <w:bottom w:val="double" w:sz="6" w:space="0" w:color="auto"/>
              <w:right w:val="single" w:sz="8" w:space="0" w:color="auto"/>
            </w:tcBorders>
            <w:shd w:val="clear" w:color="000000" w:fill="FFFFFF"/>
            <w:hideMark/>
          </w:tcPr>
          <w:p w14:paraId="68DAAAB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2023.</w:t>
            </w:r>
          </w:p>
        </w:tc>
        <w:tc>
          <w:tcPr>
            <w:tcW w:w="1287" w:type="dxa"/>
            <w:tcBorders>
              <w:top w:val="double" w:sz="6" w:space="0" w:color="auto"/>
              <w:left w:val="single" w:sz="4" w:space="0" w:color="auto"/>
              <w:bottom w:val="double" w:sz="6" w:space="0" w:color="auto"/>
              <w:right w:val="single" w:sz="8" w:space="0" w:color="auto"/>
            </w:tcBorders>
            <w:shd w:val="clear" w:color="000000" w:fill="FFFFFF"/>
            <w:hideMark/>
          </w:tcPr>
          <w:p w14:paraId="16AD2C19"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50</w:t>
            </w:r>
          </w:p>
        </w:tc>
        <w:tc>
          <w:tcPr>
            <w:tcW w:w="1260" w:type="dxa"/>
            <w:tcBorders>
              <w:top w:val="nil"/>
              <w:left w:val="nil"/>
              <w:bottom w:val="double" w:sz="6" w:space="0" w:color="auto"/>
              <w:right w:val="single" w:sz="8" w:space="0" w:color="auto"/>
            </w:tcBorders>
            <w:shd w:val="clear" w:color="000000" w:fill="FFFFFF"/>
            <w:hideMark/>
          </w:tcPr>
          <w:p w14:paraId="0C816858"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75</w:t>
            </w:r>
          </w:p>
        </w:tc>
        <w:tc>
          <w:tcPr>
            <w:tcW w:w="1710" w:type="dxa"/>
            <w:gridSpan w:val="2"/>
            <w:tcBorders>
              <w:top w:val="nil"/>
              <w:left w:val="nil"/>
              <w:bottom w:val="double" w:sz="6" w:space="0" w:color="auto"/>
              <w:right w:val="double" w:sz="6" w:space="0" w:color="auto"/>
            </w:tcBorders>
            <w:shd w:val="clear" w:color="000000" w:fill="FFFFFF"/>
            <w:hideMark/>
          </w:tcPr>
          <w:p w14:paraId="5B8CA05B" w14:textId="77777777"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r>
    </w:tbl>
    <w:p w14:paraId="75331B90" w14:textId="77777777" w:rsidR="007D7243" w:rsidRPr="00EF2F18" w:rsidRDefault="007D7243" w:rsidP="007D7243">
      <w:pPr>
        <w:rPr>
          <w:rFonts w:cs="Times New Roman"/>
          <w:sz w:val="20"/>
          <w:szCs w:val="20"/>
          <w:lang w:val="sr-Cyrl-RS"/>
        </w:rPr>
      </w:pPr>
    </w:p>
    <w:p w14:paraId="57396E71" w14:textId="77777777" w:rsidR="007620E6" w:rsidRPr="00EF2F18" w:rsidRDefault="007620E6" w:rsidP="007D7243">
      <w:pPr>
        <w:rPr>
          <w:rFonts w:cs="Times New Roman"/>
          <w:sz w:val="20"/>
          <w:szCs w:val="20"/>
          <w:lang w:val="sr-Cyrl-RS"/>
        </w:rPr>
      </w:pPr>
    </w:p>
    <w:tbl>
      <w:tblPr>
        <w:tblW w:w="13657" w:type="dxa"/>
        <w:tblLook w:val="04A0" w:firstRow="1" w:lastRow="0" w:firstColumn="1" w:lastColumn="0" w:noHBand="0" w:noVBand="1"/>
      </w:tblPr>
      <w:tblGrid>
        <w:gridCol w:w="3800"/>
        <w:gridCol w:w="2480"/>
        <w:gridCol w:w="2337"/>
        <w:gridCol w:w="2250"/>
        <w:gridCol w:w="2790"/>
      </w:tblGrid>
      <w:tr w:rsidR="007D7243" w:rsidRPr="00EF2F18" w14:paraId="2A174FAC" w14:textId="77777777" w:rsidTr="00CF69DC">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44B546D1"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796AA22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tcBorders>
              <w:top w:val="double" w:sz="6" w:space="0" w:color="auto"/>
              <w:left w:val="nil"/>
              <w:bottom w:val="double" w:sz="6" w:space="0" w:color="auto"/>
              <w:right w:val="double" w:sz="6" w:space="0" w:color="auto"/>
            </w:tcBorders>
            <w:shd w:val="clear" w:color="000000" w:fill="A8D08D"/>
            <w:hideMark/>
          </w:tcPr>
          <w:p w14:paraId="0ADBB76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CF69DC" w:rsidRPr="00EF2F18" w14:paraId="1B2C9879" w14:textId="77777777" w:rsidTr="00CF69DC">
        <w:trPr>
          <w:trHeight w:val="336"/>
        </w:trPr>
        <w:tc>
          <w:tcPr>
            <w:tcW w:w="3800" w:type="dxa"/>
            <w:vMerge/>
            <w:tcBorders>
              <w:top w:val="double" w:sz="6" w:space="0" w:color="auto"/>
              <w:left w:val="double" w:sz="6" w:space="0" w:color="auto"/>
              <w:bottom w:val="single" w:sz="8" w:space="0" w:color="000000"/>
              <w:right w:val="double" w:sz="6" w:space="0" w:color="auto"/>
            </w:tcBorders>
            <w:hideMark/>
          </w:tcPr>
          <w:p w14:paraId="5B5832E1" w14:textId="77777777" w:rsidR="00CF69DC" w:rsidRPr="00EF2F18" w:rsidRDefault="00CF69DC"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hideMark/>
          </w:tcPr>
          <w:p w14:paraId="61A4C0D2" w14:textId="77777777" w:rsidR="00CF69DC" w:rsidRPr="00EF2F18" w:rsidRDefault="00CF69DC"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shd w:val="clear" w:color="000000" w:fill="A8D08D"/>
            <w:hideMark/>
          </w:tcPr>
          <w:p w14:paraId="1D550C6D" w14:textId="796E4CC4"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250" w:type="dxa"/>
            <w:tcBorders>
              <w:top w:val="nil"/>
              <w:left w:val="nil"/>
              <w:bottom w:val="double" w:sz="6" w:space="0" w:color="auto"/>
              <w:right w:val="double" w:sz="6" w:space="0" w:color="auto"/>
            </w:tcBorders>
            <w:shd w:val="clear" w:color="000000" w:fill="A8D08D"/>
            <w:hideMark/>
          </w:tcPr>
          <w:p w14:paraId="62CA73AF" w14:textId="6204F999"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790" w:type="dxa"/>
            <w:tcBorders>
              <w:top w:val="nil"/>
              <w:left w:val="nil"/>
              <w:bottom w:val="double" w:sz="6" w:space="0" w:color="auto"/>
              <w:right w:val="double" w:sz="6" w:space="0" w:color="auto"/>
            </w:tcBorders>
            <w:shd w:val="clear" w:color="000000" w:fill="A8D08D"/>
            <w:hideMark/>
          </w:tcPr>
          <w:p w14:paraId="0BC4E25C" w14:textId="1FF8F027" w:rsidR="00CF69DC" w:rsidRPr="00EF2F18" w:rsidRDefault="00963B12"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CF69DC" w:rsidRPr="00EF2F18">
              <w:rPr>
                <w:rFonts w:eastAsia="Times New Roman" w:cs="Times New Roman"/>
                <w:sz w:val="20"/>
                <w:szCs w:val="20"/>
                <w:lang w:val="sr-Cyrl-RS" w:eastAsia="en-GB"/>
              </w:rPr>
              <w:t xml:space="preserve"> 2028. године</w:t>
            </w:r>
          </w:p>
        </w:tc>
      </w:tr>
      <w:tr w:rsidR="00CF69DC" w:rsidRPr="00EF2F18" w14:paraId="4872B7A8" w14:textId="77777777" w:rsidTr="00CF69DC">
        <w:trPr>
          <w:trHeight w:val="324"/>
        </w:trPr>
        <w:tc>
          <w:tcPr>
            <w:tcW w:w="3800" w:type="dxa"/>
            <w:tcBorders>
              <w:top w:val="nil"/>
              <w:left w:val="double" w:sz="6" w:space="0" w:color="auto"/>
              <w:bottom w:val="double" w:sz="6" w:space="0" w:color="auto"/>
              <w:right w:val="double" w:sz="6" w:space="0" w:color="auto"/>
            </w:tcBorders>
            <w:hideMark/>
          </w:tcPr>
          <w:p w14:paraId="18E2248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средства/редовна издвајања (АЗЖС)</w:t>
            </w:r>
          </w:p>
        </w:tc>
        <w:tc>
          <w:tcPr>
            <w:tcW w:w="2480" w:type="dxa"/>
            <w:tcBorders>
              <w:top w:val="nil"/>
              <w:left w:val="nil"/>
              <w:bottom w:val="double" w:sz="6" w:space="0" w:color="auto"/>
              <w:right w:val="double" w:sz="6" w:space="0" w:color="auto"/>
            </w:tcBorders>
            <w:hideMark/>
          </w:tcPr>
          <w:p w14:paraId="005A13B6" w14:textId="77777777" w:rsidR="00B50B6C" w:rsidRPr="00EF2F18" w:rsidRDefault="00B50B6C" w:rsidP="00B50B6C">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p w14:paraId="369F852A" w14:textId="4440ADD8" w:rsidR="00CF69DC" w:rsidRPr="00EF2F18" w:rsidRDefault="00CF69DC"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tcPr>
          <w:p w14:paraId="2B63B539" w14:textId="73C4569C" w:rsidR="00CF69DC" w:rsidRPr="00EF2F18" w:rsidRDefault="00CF69DC" w:rsidP="00752CA0">
            <w:pPr>
              <w:spacing w:after="0"/>
              <w:jc w:val="right"/>
              <w:rPr>
                <w:rFonts w:eastAsia="Times New Roman" w:cs="Times New Roman"/>
                <w:color w:val="000000"/>
                <w:sz w:val="20"/>
                <w:szCs w:val="20"/>
                <w:lang w:val="sr-Cyrl-RS" w:eastAsia="en-GB"/>
              </w:rPr>
            </w:pPr>
          </w:p>
        </w:tc>
        <w:tc>
          <w:tcPr>
            <w:tcW w:w="2250" w:type="dxa"/>
            <w:tcBorders>
              <w:top w:val="nil"/>
              <w:left w:val="nil"/>
              <w:bottom w:val="double" w:sz="6" w:space="0" w:color="auto"/>
              <w:right w:val="double" w:sz="6" w:space="0" w:color="auto"/>
            </w:tcBorders>
          </w:tcPr>
          <w:p w14:paraId="2B2C0CF9" w14:textId="36FF1B3A" w:rsidR="00CF69DC" w:rsidRPr="00EF2F18" w:rsidRDefault="00CF69DC" w:rsidP="00752CA0">
            <w:pPr>
              <w:spacing w:after="0"/>
              <w:jc w:val="right"/>
              <w:rPr>
                <w:rFonts w:eastAsia="Times New Roman" w:cs="Times New Roman"/>
                <w:color w:val="000000"/>
                <w:sz w:val="20"/>
                <w:szCs w:val="20"/>
                <w:lang w:val="sr-Cyrl-RS" w:eastAsia="en-GB"/>
              </w:rPr>
            </w:pPr>
          </w:p>
        </w:tc>
        <w:tc>
          <w:tcPr>
            <w:tcW w:w="2790" w:type="dxa"/>
            <w:tcBorders>
              <w:top w:val="nil"/>
              <w:left w:val="nil"/>
              <w:bottom w:val="double" w:sz="6" w:space="0" w:color="auto"/>
              <w:right w:val="double" w:sz="6" w:space="0" w:color="auto"/>
            </w:tcBorders>
          </w:tcPr>
          <w:p w14:paraId="53FA67F3" w14:textId="5FF4376C"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7FFEA577" w14:textId="77777777" w:rsidTr="00CF69DC">
        <w:trPr>
          <w:trHeight w:val="324"/>
        </w:trPr>
        <w:tc>
          <w:tcPr>
            <w:tcW w:w="3800" w:type="dxa"/>
            <w:vMerge w:val="restart"/>
            <w:tcBorders>
              <w:top w:val="nil"/>
              <w:left w:val="double" w:sz="6" w:space="0" w:color="auto"/>
              <w:bottom w:val="double" w:sz="6" w:space="0" w:color="000000"/>
              <w:right w:val="double" w:sz="6" w:space="0" w:color="auto"/>
            </w:tcBorders>
            <w:hideMark/>
          </w:tcPr>
          <w:p w14:paraId="73FC94D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2480" w:type="dxa"/>
            <w:tcBorders>
              <w:top w:val="nil"/>
              <w:left w:val="nil"/>
              <w:bottom w:val="nil"/>
              <w:right w:val="double" w:sz="6" w:space="0" w:color="auto"/>
            </w:tcBorders>
            <w:hideMark/>
          </w:tcPr>
          <w:p w14:paraId="3BE658F7" w14:textId="3CE258FF" w:rsidR="00CF69DC" w:rsidRPr="00EF2F18" w:rsidRDefault="0010617A"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0406-560-0001-424</w:t>
            </w:r>
          </w:p>
        </w:tc>
        <w:tc>
          <w:tcPr>
            <w:tcW w:w="2337" w:type="dxa"/>
            <w:tcBorders>
              <w:top w:val="nil"/>
              <w:left w:val="nil"/>
              <w:bottom w:val="nil"/>
              <w:right w:val="double" w:sz="6" w:space="0" w:color="auto"/>
            </w:tcBorders>
            <w:hideMark/>
          </w:tcPr>
          <w:p w14:paraId="20CD2021" w14:textId="288E024C" w:rsidR="00CF69DC" w:rsidRPr="00EF2F18" w:rsidRDefault="007868C6"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c>
          <w:tcPr>
            <w:tcW w:w="2250" w:type="dxa"/>
            <w:tcBorders>
              <w:top w:val="nil"/>
              <w:left w:val="nil"/>
              <w:bottom w:val="nil"/>
              <w:right w:val="double" w:sz="6" w:space="0" w:color="auto"/>
            </w:tcBorders>
            <w:hideMark/>
          </w:tcPr>
          <w:p w14:paraId="78565100" w14:textId="1056E94D" w:rsidR="00CF69DC" w:rsidRPr="00EF2F18" w:rsidRDefault="00B71C5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25.000</w:t>
            </w:r>
          </w:p>
        </w:tc>
        <w:tc>
          <w:tcPr>
            <w:tcW w:w="2790" w:type="dxa"/>
            <w:tcBorders>
              <w:top w:val="nil"/>
              <w:left w:val="nil"/>
              <w:bottom w:val="nil"/>
              <w:right w:val="double" w:sz="6" w:space="0" w:color="auto"/>
            </w:tcBorders>
            <w:hideMark/>
          </w:tcPr>
          <w:p w14:paraId="226E63FD" w14:textId="12752C8F" w:rsidR="00CF69DC" w:rsidRPr="00EF2F18" w:rsidRDefault="00B71C5D"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25.000</w:t>
            </w:r>
          </w:p>
        </w:tc>
      </w:tr>
      <w:tr w:rsidR="00CF69DC" w:rsidRPr="00EF2F18" w14:paraId="60DF6ECE" w14:textId="77777777" w:rsidTr="00CF69DC">
        <w:trPr>
          <w:trHeight w:val="312"/>
        </w:trPr>
        <w:tc>
          <w:tcPr>
            <w:tcW w:w="3800" w:type="dxa"/>
            <w:vMerge/>
            <w:tcBorders>
              <w:top w:val="nil"/>
              <w:left w:val="double" w:sz="6" w:space="0" w:color="auto"/>
              <w:bottom w:val="double" w:sz="6" w:space="0" w:color="000000"/>
              <w:right w:val="double" w:sz="6" w:space="0" w:color="auto"/>
            </w:tcBorders>
            <w:hideMark/>
          </w:tcPr>
          <w:p w14:paraId="671ECE26" w14:textId="77777777" w:rsidR="00CF69DC" w:rsidRPr="00EF2F18" w:rsidRDefault="00CF69DC" w:rsidP="00752CA0">
            <w:pPr>
              <w:spacing w:after="0"/>
              <w:rPr>
                <w:rFonts w:eastAsia="Times New Roman" w:cs="Times New Roman"/>
                <w:color w:val="000000"/>
                <w:sz w:val="20"/>
                <w:szCs w:val="20"/>
                <w:lang w:val="sr-Cyrl-RS" w:eastAsia="en-GB"/>
              </w:rPr>
            </w:pPr>
          </w:p>
        </w:tc>
        <w:tc>
          <w:tcPr>
            <w:tcW w:w="2480" w:type="dxa"/>
            <w:tcBorders>
              <w:top w:val="nil"/>
              <w:left w:val="nil"/>
              <w:bottom w:val="nil"/>
              <w:right w:val="double" w:sz="6" w:space="0" w:color="auto"/>
            </w:tcBorders>
            <w:hideMark/>
          </w:tcPr>
          <w:p w14:paraId="23D774D4"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0404-560-0004-423</w:t>
            </w:r>
          </w:p>
        </w:tc>
        <w:tc>
          <w:tcPr>
            <w:tcW w:w="2337" w:type="dxa"/>
            <w:tcBorders>
              <w:top w:val="nil"/>
              <w:left w:val="nil"/>
              <w:bottom w:val="nil"/>
              <w:right w:val="double" w:sz="6" w:space="0" w:color="auto"/>
            </w:tcBorders>
            <w:hideMark/>
          </w:tcPr>
          <w:p w14:paraId="568BEC6F"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c>
          <w:tcPr>
            <w:tcW w:w="2250" w:type="dxa"/>
            <w:tcBorders>
              <w:top w:val="nil"/>
              <w:left w:val="nil"/>
              <w:bottom w:val="nil"/>
              <w:right w:val="double" w:sz="6" w:space="0" w:color="auto"/>
            </w:tcBorders>
            <w:hideMark/>
          </w:tcPr>
          <w:p w14:paraId="50FA3FBB"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c>
          <w:tcPr>
            <w:tcW w:w="2790" w:type="dxa"/>
            <w:tcBorders>
              <w:top w:val="nil"/>
              <w:left w:val="nil"/>
              <w:bottom w:val="nil"/>
              <w:right w:val="double" w:sz="6" w:space="0" w:color="auto"/>
            </w:tcBorders>
            <w:hideMark/>
          </w:tcPr>
          <w:p w14:paraId="2B6BC7DF" w14:textId="49869140"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r>
      <w:tr w:rsidR="00CF69DC" w:rsidRPr="00EF2F18" w14:paraId="2F3730FC" w14:textId="77777777" w:rsidTr="00CF69DC">
        <w:trPr>
          <w:trHeight w:val="324"/>
        </w:trPr>
        <w:tc>
          <w:tcPr>
            <w:tcW w:w="3800" w:type="dxa"/>
            <w:vMerge/>
            <w:tcBorders>
              <w:top w:val="nil"/>
              <w:left w:val="double" w:sz="6" w:space="0" w:color="auto"/>
              <w:bottom w:val="double" w:sz="6" w:space="0" w:color="000000"/>
              <w:right w:val="double" w:sz="6" w:space="0" w:color="auto"/>
            </w:tcBorders>
            <w:hideMark/>
          </w:tcPr>
          <w:p w14:paraId="76AAC8E6" w14:textId="77777777" w:rsidR="00CF69DC" w:rsidRPr="00EF2F18" w:rsidRDefault="00CF69DC" w:rsidP="00752CA0">
            <w:pPr>
              <w:spacing w:after="0"/>
              <w:rPr>
                <w:rFonts w:eastAsia="Times New Roman" w:cs="Times New Roman"/>
                <w:color w:val="000000"/>
                <w:sz w:val="20"/>
                <w:szCs w:val="20"/>
                <w:lang w:val="sr-Cyrl-RS" w:eastAsia="en-GB"/>
              </w:rPr>
            </w:pPr>
          </w:p>
        </w:tc>
        <w:tc>
          <w:tcPr>
            <w:tcW w:w="2480" w:type="dxa"/>
            <w:tcBorders>
              <w:top w:val="nil"/>
              <w:left w:val="nil"/>
              <w:bottom w:val="double" w:sz="6" w:space="0" w:color="auto"/>
              <w:right w:val="double" w:sz="6" w:space="0" w:color="auto"/>
            </w:tcBorders>
            <w:hideMark/>
          </w:tcPr>
          <w:p w14:paraId="72776FB2" w14:textId="2F5247C8" w:rsidR="00CF69DC" w:rsidRPr="00EF2F18" w:rsidRDefault="00CF69DC" w:rsidP="00B50B6C">
            <w:pPr>
              <w:spacing w:before="60"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1802-760-0002-465</w:t>
            </w:r>
          </w:p>
          <w:p w14:paraId="31D69A38" w14:textId="4D04591A"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1802-760-0001-465</w:t>
            </w:r>
          </w:p>
          <w:p w14:paraId="10EA0742" w14:textId="77777777" w:rsidR="00CF69DC" w:rsidRPr="00EF2F18" w:rsidRDefault="00CF69DC" w:rsidP="00E464C1">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hideMark/>
          </w:tcPr>
          <w:p w14:paraId="149FE501" w14:textId="77777777" w:rsidR="00CF69DC" w:rsidRPr="00EF2F18" w:rsidRDefault="00CF69DC" w:rsidP="00B50B6C">
            <w:pPr>
              <w:spacing w:before="60"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5.838</w:t>
            </w:r>
          </w:p>
          <w:p w14:paraId="293936BD" w14:textId="4B0AC626" w:rsidR="00CF69DC" w:rsidRPr="00EF2F18" w:rsidRDefault="00CF69DC" w:rsidP="0099521D">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3.205</w:t>
            </w:r>
          </w:p>
          <w:p w14:paraId="16E673F3" w14:textId="2FED30FB" w:rsidR="00CF69DC" w:rsidRPr="00EF2F18" w:rsidRDefault="00CF69DC" w:rsidP="00E464C1">
            <w:pPr>
              <w:spacing w:after="0"/>
              <w:jc w:val="right"/>
              <w:rPr>
                <w:rFonts w:eastAsia="Times New Roman" w:cs="Times New Roman"/>
                <w:color w:val="000000"/>
                <w:sz w:val="20"/>
                <w:szCs w:val="20"/>
                <w:lang w:val="sr-Cyrl-RS" w:eastAsia="en-GB"/>
              </w:rPr>
            </w:pPr>
          </w:p>
        </w:tc>
        <w:tc>
          <w:tcPr>
            <w:tcW w:w="2250" w:type="dxa"/>
            <w:tcBorders>
              <w:top w:val="nil"/>
              <w:left w:val="nil"/>
              <w:bottom w:val="double" w:sz="6" w:space="0" w:color="auto"/>
              <w:right w:val="double" w:sz="6" w:space="0" w:color="auto"/>
            </w:tcBorders>
            <w:hideMark/>
          </w:tcPr>
          <w:p w14:paraId="7208307D" w14:textId="1865BEEE" w:rsidR="00CF69DC" w:rsidRPr="00EF2F18" w:rsidRDefault="00CF69DC" w:rsidP="00B50B6C">
            <w:pPr>
              <w:spacing w:before="60"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5.838</w:t>
            </w:r>
          </w:p>
          <w:p w14:paraId="3ACE34B6" w14:textId="1A7EFCD6" w:rsidR="00CF69DC" w:rsidRPr="00EF2F18" w:rsidRDefault="00CF69DC" w:rsidP="0099521D">
            <w:pPr>
              <w:spacing w:after="0"/>
              <w:jc w:val="right"/>
              <w:rPr>
                <w:rFonts w:ascii="Aptos Narrow" w:eastAsia="Times New Roman" w:hAnsi="Aptos Narrow" w:cs="Times New Roman"/>
                <w:color w:val="000000"/>
                <w:szCs w:val="24"/>
                <w:lang w:val="sr-Cyrl-RS" w:eastAsia="en-GB"/>
              </w:rPr>
            </w:pPr>
            <w:r w:rsidRPr="00EF2F18">
              <w:rPr>
                <w:rFonts w:eastAsia="Times New Roman" w:cs="Times New Roman"/>
                <w:color w:val="000000"/>
                <w:sz w:val="20"/>
                <w:szCs w:val="20"/>
                <w:lang w:val="sr-Cyrl-RS" w:eastAsia="en-GB"/>
              </w:rPr>
              <w:t>3.205</w:t>
            </w:r>
          </w:p>
          <w:p w14:paraId="21FAF83D" w14:textId="12F5AC9B" w:rsidR="00CF69DC" w:rsidRPr="00EF2F18" w:rsidRDefault="00CF69DC" w:rsidP="00E464C1">
            <w:pPr>
              <w:spacing w:after="0"/>
              <w:jc w:val="right"/>
              <w:rPr>
                <w:rFonts w:ascii="Aptos Narrow" w:eastAsia="Times New Roman" w:hAnsi="Aptos Narrow" w:cs="Times New Roman"/>
                <w:color w:val="000000"/>
                <w:szCs w:val="24"/>
                <w:lang w:val="sr-Cyrl-RS" w:eastAsia="en-GB"/>
              </w:rPr>
            </w:pPr>
          </w:p>
        </w:tc>
        <w:tc>
          <w:tcPr>
            <w:tcW w:w="2790" w:type="dxa"/>
            <w:tcBorders>
              <w:top w:val="nil"/>
              <w:left w:val="nil"/>
              <w:bottom w:val="double" w:sz="6" w:space="0" w:color="auto"/>
              <w:right w:val="double" w:sz="6" w:space="0" w:color="auto"/>
            </w:tcBorders>
            <w:hideMark/>
          </w:tcPr>
          <w:p w14:paraId="0B658496" w14:textId="617983F2" w:rsidR="00CF69DC" w:rsidRPr="00EF2F18" w:rsidRDefault="007868C6" w:rsidP="001C5AF0">
            <w:pPr>
              <w:spacing w:before="60"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                                        </w:t>
            </w:r>
            <w:r w:rsidR="00CF69DC" w:rsidRPr="00EF2F18">
              <w:rPr>
                <w:rFonts w:eastAsia="Times New Roman" w:cs="Times New Roman"/>
                <w:color w:val="000000"/>
                <w:sz w:val="20"/>
                <w:szCs w:val="20"/>
                <w:lang w:val="sr-Cyrl-RS" w:eastAsia="en-GB"/>
              </w:rPr>
              <w:t>5.838</w:t>
            </w:r>
          </w:p>
          <w:p w14:paraId="13B5B289" w14:textId="7CE7BE39" w:rsidR="00CF69DC" w:rsidRPr="00EF2F18" w:rsidRDefault="007868C6" w:rsidP="006436E5">
            <w:pPr>
              <w:spacing w:after="0"/>
              <w:jc w:val="right"/>
              <w:rPr>
                <w:rFonts w:ascii="Aptos Narrow" w:eastAsia="Times New Roman" w:hAnsi="Aptos Narrow" w:cs="Times New Roman"/>
                <w:color w:val="000000"/>
                <w:szCs w:val="24"/>
                <w:lang w:val="sr-Cyrl-RS" w:eastAsia="en-GB"/>
              </w:rPr>
            </w:pPr>
            <w:r w:rsidRPr="00EF2F18">
              <w:rPr>
                <w:rFonts w:eastAsia="Times New Roman" w:cs="Times New Roman"/>
                <w:color w:val="000000"/>
                <w:sz w:val="20"/>
                <w:szCs w:val="20"/>
                <w:lang w:val="sr-Cyrl-RS" w:eastAsia="en-GB"/>
              </w:rPr>
              <w:t xml:space="preserve">                                        </w:t>
            </w:r>
            <w:r w:rsidR="006436E5" w:rsidRPr="00EF2F18">
              <w:rPr>
                <w:rFonts w:eastAsia="Times New Roman" w:cs="Times New Roman"/>
                <w:color w:val="000000"/>
                <w:sz w:val="20"/>
                <w:szCs w:val="20"/>
                <w:lang w:val="sr-Cyrl-RS" w:eastAsia="en-GB"/>
              </w:rPr>
              <w:t>3</w:t>
            </w:r>
            <w:r w:rsidR="00CF69DC" w:rsidRPr="00EF2F18">
              <w:rPr>
                <w:rFonts w:eastAsia="Times New Roman" w:cs="Times New Roman"/>
                <w:color w:val="000000"/>
                <w:sz w:val="20"/>
                <w:szCs w:val="20"/>
                <w:lang w:val="sr-Cyrl-RS" w:eastAsia="en-GB"/>
              </w:rPr>
              <w:t>.205</w:t>
            </w:r>
          </w:p>
          <w:p w14:paraId="3411F029" w14:textId="13C8F9C5" w:rsidR="00CF69DC" w:rsidRPr="00EF2F18" w:rsidRDefault="00CF69DC" w:rsidP="00E464C1">
            <w:pPr>
              <w:spacing w:after="0"/>
              <w:jc w:val="right"/>
              <w:rPr>
                <w:rFonts w:ascii="Aptos Narrow" w:eastAsia="Times New Roman" w:hAnsi="Aptos Narrow" w:cs="Times New Roman"/>
                <w:color w:val="000000"/>
                <w:szCs w:val="24"/>
                <w:lang w:val="sr-Cyrl-RS" w:eastAsia="en-GB"/>
              </w:rPr>
            </w:pPr>
          </w:p>
        </w:tc>
      </w:tr>
      <w:tr w:rsidR="00CF69DC" w:rsidRPr="00EF2F18" w14:paraId="0D5D01C4" w14:textId="77777777" w:rsidTr="00CF69DC">
        <w:trPr>
          <w:trHeight w:val="336"/>
        </w:trPr>
        <w:tc>
          <w:tcPr>
            <w:tcW w:w="3800" w:type="dxa"/>
            <w:tcBorders>
              <w:top w:val="nil"/>
              <w:left w:val="double" w:sz="6" w:space="0" w:color="auto"/>
              <w:bottom w:val="double" w:sz="6" w:space="0" w:color="auto"/>
              <w:right w:val="double" w:sz="6" w:space="0" w:color="auto"/>
            </w:tcBorders>
            <w:hideMark/>
          </w:tcPr>
          <w:p w14:paraId="735EF016" w14:textId="146E828C"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2480" w:type="dxa"/>
            <w:tcBorders>
              <w:top w:val="nil"/>
              <w:left w:val="nil"/>
              <w:bottom w:val="double" w:sz="6" w:space="0" w:color="auto"/>
              <w:right w:val="double" w:sz="6" w:space="0" w:color="auto"/>
            </w:tcBorders>
          </w:tcPr>
          <w:p w14:paraId="1C2D7335" w14:textId="66564477" w:rsidR="00CF69DC" w:rsidRPr="00EF2F18" w:rsidRDefault="00CF69DC" w:rsidP="00752CA0">
            <w:pPr>
              <w:spacing w:after="0"/>
              <w:rPr>
                <w:rFonts w:eastAsia="Times New Roman" w:cs="Times New Roman"/>
                <w:color w:val="000000"/>
                <w:sz w:val="20"/>
                <w:szCs w:val="20"/>
                <w:lang w:val="sr-Cyrl-RS" w:eastAsia="en-GB"/>
              </w:rPr>
            </w:pPr>
          </w:p>
        </w:tc>
        <w:tc>
          <w:tcPr>
            <w:tcW w:w="2337" w:type="dxa"/>
            <w:tcBorders>
              <w:top w:val="nil"/>
              <w:left w:val="nil"/>
              <w:bottom w:val="double" w:sz="6" w:space="0" w:color="auto"/>
              <w:right w:val="double" w:sz="6" w:space="0" w:color="auto"/>
            </w:tcBorders>
            <w:hideMark/>
          </w:tcPr>
          <w:p w14:paraId="7C8B371F"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14.700*</w:t>
            </w:r>
          </w:p>
        </w:tc>
        <w:tc>
          <w:tcPr>
            <w:tcW w:w="2250" w:type="dxa"/>
            <w:tcBorders>
              <w:top w:val="nil"/>
              <w:left w:val="nil"/>
              <w:bottom w:val="double" w:sz="6" w:space="0" w:color="auto"/>
              <w:right w:val="double" w:sz="6" w:space="0" w:color="auto"/>
            </w:tcBorders>
          </w:tcPr>
          <w:p w14:paraId="03CE8A24" w14:textId="7533FBF8" w:rsidR="00CF69DC" w:rsidRPr="00EF2F18" w:rsidRDefault="00CF69DC" w:rsidP="00752CA0">
            <w:pPr>
              <w:spacing w:after="0"/>
              <w:jc w:val="right"/>
              <w:rPr>
                <w:rFonts w:eastAsia="Times New Roman" w:cs="Times New Roman"/>
                <w:color w:val="000000"/>
                <w:sz w:val="20"/>
                <w:szCs w:val="20"/>
                <w:lang w:val="sr-Cyrl-RS" w:eastAsia="en-GB"/>
              </w:rPr>
            </w:pPr>
          </w:p>
        </w:tc>
        <w:tc>
          <w:tcPr>
            <w:tcW w:w="2790" w:type="dxa"/>
            <w:tcBorders>
              <w:top w:val="nil"/>
              <w:left w:val="nil"/>
              <w:bottom w:val="double" w:sz="6" w:space="0" w:color="auto"/>
              <w:right w:val="double" w:sz="6" w:space="0" w:color="auto"/>
            </w:tcBorders>
          </w:tcPr>
          <w:p w14:paraId="25962D85" w14:textId="5F1CF6C6" w:rsidR="00CF69DC" w:rsidRPr="00EF2F18" w:rsidRDefault="00CF69DC" w:rsidP="00752CA0">
            <w:pPr>
              <w:spacing w:after="0"/>
              <w:jc w:val="right"/>
              <w:rPr>
                <w:rFonts w:eastAsia="Times New Roman" w:cs="Times New Roman"/>
                <w:color w:val="000000"/>
                <w:sz w:val="20"/>
                <w:szCs w:val="20"/>
                <w:lang w:val="sr-Cyrl-RS" w:eastAsia="en-GB"/>
              </w:rPr>
            </w:pPr>
          </w:p>
        </w:tc>
      </w:tr>
    </w:tbl>
    <w:p w14:paraId="44196364" w14:textId="77777777" w:rsidR="007D7243" w:rsidRPr="00EF2F18" w:rsidRDefault="007D7243" w:rsidP="007D7243">
      <w:pPr>
        <w:rPr>
          <w:rFonts w:cs="Times New Roman"/>
          <w:sz w:val="20"/>
          <w:szCs w:val="20"/>
          <w:lang w:val="sr-Cyrl-RS"/>
        </w:rPr>
      </w:pPr>
    </w:p>
    <w:tbl>
      <w:tblPr>
        <w:tblW w:w="13811" w:type="dxa"/>
        <w:tblLook w:val="04A0" w:firstRow="1" w:lastRow="0" w:firstColumn="1" w:lastColumn="0" w:noHBand="0" w:noVBand="1"/>
      </w:tblPr>
      <w:tblGrid>
        <w:gridCol w:w="2290"/>
        <w:gridCol w:w="1146"/>
        <w:gridCol w:w="1294"/>
        <w:gridCol w:w="1354"/>
        <w:gridCol w:w="1695"/>
        <w:gridCol w:w="1340"/>
        <w:gridCol w:w="1118"/>
        <w:gridCol w:w="1517"/>
        <w:gridCol w:w="1814"/>
        <w:gridCol w:w="7"/>
        <w:gridCol w:w="236"/>
      </w:tblGrid>
      <w:tr w:rsidR="007D7243" w:rsidRPr="00EF2F18" w14:paraId="023F9A04" w14:textId="77777777" w:rsidTr="009B57B8">
        <w:trPr>
          <w:gridAfter w:val="2"/>
          <w:wAfter w:w="243" w:type="dxa"/>
          <w:trHeight w:val="732"/>
        </w:trPr>
        <w:tc>
          <w:tcPr>
            <w:tcW w:w="2290" w:type="dxa"/>
            <w:vMerge w:val="restart"/>
            <w:tcBorders>
              <w:top w:val="double" w:sz="4" w:space="0" w:color="auto"/>
              <w:left w:val="double" w:sz="4" w:space="0" w:color="auto"/>
              <w:bottom w:val="single" w:sz="4" w:space="0" w:color="auto"/>
              <w:right w:val="single" w:sz="4" w:space="0" w:color="auto"/>
            </w:tcBorders>
            <w:shd w:val="clear" w:color="auto" w:fill="FFF2CC" w:themeFill="accent4" w:themeFillTint="33"/>
            <w:hideMark/>
          </w:tcPr>
          <w:p w14:paraId="1D06CD1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146" w:type="dxa"/>
            <w:vMerge w:val="restart"/>
            <w:tcBorders>
              <w:top w:val="double" w:sz="4" w:space="0" w:color="auto"/>
              <w:left w:val="single" w:sz="4" w:space="0" w:color="auto"/>
              <w:bottom w:val="single" w:sz="4" w:space="0" w:color="auto"/>
              <w:right w:val="single" w:sz="4" w:space="0" w:color="auto"/>
            </w:tcBorders>
            <w:shd w:val="clear" w:color="auto" w:fill="FFF2CC" w:themeFill="accent4" w:themeFillTint="33"/>
            <w:hideMark/>
          </w:tcPr>
          <w:p w14:paraId="28F6DC6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94" w:type="dxa"/>
            <w:vMerge w:val="restart"/>
            <w:tcBorders>
              <w:top w:val="double" w:sz="4" w:space="0" w:color="auto"/>
              <w:left w:val="single" w:sz="4" w:space="0" w:color="auto"/>
              <w:bottom w:val="single" w:sz="4" w:space="0" w:color="auto"/>
              <w:right w:val="single" w:sz="4" w:space="0" w:color="auto"/>
            </w:tcBorders>
            <w:shd w:val="clear" w:color="auto" w:fill="FFF2CC" w:themeFill="accent4" w:themeFillTint="33"/>
            <w:hideMark/>
          </w:tcPr>
          <w:p w14:paraId="2172F8B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354" w:type="dxa"/>
            <w:vMerge w:val="restart"/>
            <w:tcBorders>
              <w:top w:val="double" w:sz="4" w:space="0" w:color="auto"/>
              <w:left w:val="single" w:sz="4" w:space="0" w:color="auto"/>
              <w:bottom w:val="single" w:sz="4" w:space="0" w:color="auto"/>
              <w:right w:val="single" w:sz="4" w:space="0" w:color="auto"/>
            </w:tcBorders>
            <w:shd w:val="clear" w:color="auto" w:fill="FFF2CC" w:themeFill="accent4" w:themeFillTint="33"/>
            <w:hideMark/>
          </w:tcPr>
          <w:p w14:paraId="52BD853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5" w:type="dxa"/>
            <w:vMerge w:val="restart"/>
            <w:tcBorders>
              <w:top w:val="double" w:sz="4" w:space="0" w:color="auto"/>
              <w:left w:val="single" w:sz="4" w:space="0" w:color="auto"/>
              <w:bottom w:val="single" w:sz="4" w:space="0" w:color="auto"/>
              <w:right w:val="single" w:sz="4" w:space="0" w:color="auto"/>
            </w:tcBorders>
            <w:shd w:val="clear" w:color="auto" w:fill="FFF2CC" w:themeFill="accent4" w:themeFillTint="33"/>
            <w:hideMark/>
          </w:tcPr>
          <w:p w14:paraId="4BAD446F"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4" w:space="0" w:color="auto"/>
              <w:left w:val="single" w:sz="4" w:space="0" w:color="auto"/>
              <w:bottom w:val="single" w:sz="4" w:space="0" w:color="auto"/>
              <w:right w:val="single" w:sz="4" w:space="0" w:color="auto"/>
            </w:tcBorders>
            <w:shd w:val="clear" w:color="auto" w:fill="FFF2CC" w:themeFill="accent4" w:themeFillTint="33"/>
            <w:hideMark/>
          </w:tcPr>
          <w:p w14:paraId="512736E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449" w:type="dxa"/>
            <w:gridSpan w:val="3"/>
            <w:tcBorders>
              <w:top w:val="double" w:sz="4" w:space="0" w:color="auto"/>
              <w:left w:val="single" w:sz="4" w:space="0" w:color="auto"/>
              <w:bottom w:val="single" w:sz="4" w:space="0" w:color="auto"/>
              <w:right w:val="double" w:sz="4" w:space="0" w:color="auto"/>
            </w:tcBorders>
            <w:shd w:val="clear" w:color="auto" w:fill="FFF2CC" w:themeFill="accent4" w:themeFillTint="33"/>
            <w:hideMark/>
          </w:tcPr>
          <w:p w14:paraId="6872414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CF69DC" w:rsidRPr="00EF2F18" w14:paraId="074E260F" w14:textId="77777777" w:rsidTr="009B57B8">
        <w:trPr>
          <w:gridAfter w:val="1"/>
          <w:wAfter w:w="236" w:type="dxa"/>
          <w:trHeight w:val="324"/>
        </w:trPr>
        <w:tc>
          <w:tcPr>
            <w:tcW w:w="2290" w:type="dxa"/>
            <w:vMerge/>
            <w:tcBorders>
              <w:top w:val="single" w:sz="4" w:space="0" w:color="auto"/>
              <w:left w:val="double" w:sz="4" w:space="0" w:color="auto"/>
              <w:bottom w:val="single" w:sz="4" w:space="0" w:color="auto"/>
              <w:right w:val="single" w:sz="4" w:space="0" w:color="auto"/>
            </w:tcBorders>
            <w:vAlign w:val="center"/>
            <w:hideMark/>
          </w:tcPr>
          <w:p w14:paraId="5D042EAB" w14:textId="77777777" w:rsidR="00CF69DC" w:rsidRPr="00EF2F18" w:rsidRDefault="00CF69DC" w:rsidP="00752CA0">
            <w:pPr>
              <w:spacing w:after="0"/>
              <w:rPr>
                <w:rFonts w:eastAsia="Times New Roman" w:cs="Times New Roman"/>
                <w:color w:val="000000"/>
                <w:sz w:val="20"/>
                <w:szCs w:val="20"/>
                <w:lang w:val="sr-Cyrl-RS" w:eastAsia="en-GB"/>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047F3E34" w14:textId="77777777" w:rsidR="00CF69DC" w:rsidRPr="00EF2F18" w:rsidRDefault="00CF69DC" w:rsidP="00752CA0">
            <w:pPr>
              <w:spacing w:after="0"/>
              <w:rPr>
                <w:rFonts w:eastAsia="Times New Roman" w:cs="Times New Roman"/>
                <w:color w:val="000000"/>
                <w:sz w:val="20"/>
                <w:szCs w:val="20"/>
                <w:lang w:val="sr-Cyrl-RS" w:eastAsia="en-GB"/>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20820079" w14:textId="77777777" w:rsidR="00CF69DC" w:rsidRPr="00EF2F18" w:rsidRDefault="00CF69DC" w:rsidP="00752CA0">
            <w:pPr>
              <w:spacing w:after="0"/>
              <w:rPr>
                <w:rFonts w:eastAsia="Times New Roman" w:cs="Times New Roman"/>
                <w:color w:val="000000"/>
                <w:sz w:val="20"/>
                <w:szCs w:val="20"/>
                <w:lang w:val="sr-Cyrl-RS" w:eastAsia="en-GB"/>
              </w:rPr>
            </w:pPr>
          </w:p>
        </w:tc>
        <w:tc>
          <w:tcPr>
            <w:tcW w:w="1354" w:type="dxa"/>
            <w:vMerge/>
            <w:tcBorders>
              <w:top w:val="single" w:sz="4" w:space="0" w:color="auto"/>
              <w:left w:val="single" w:sz="4" w:space="0" w:color="auto"/>
              <w:bottom w:val="single" w:sz="4" w:space="0" w:color="auto"/>
              <w:right w:val="single" w:sz="4" w:space="0" w:color="auto"/>
            </w:tcBorders>
            <w:vAlign w:val="center"/>
            <w:hideMark/>
          </w:tcPr>
          <w:p w14:paraId="3658E28C" w14:textId="77777777" w:rsidR="00CF69DC" w:rsidRPr="00EF2F18" w:rsidRDefault="00CF69DC" w:rsidP="00752CA0">
            <w:pPr>
              <w:spacing w:after="0"/>
              <w:rPr>
                <w:rFonts w:eastAsia="Times New Roman" w:cs="Times New Roman"/>
                <w:color w:val="000000"/>
                <w:sz w:val="20"/>
                <w:szCs w:val="20"/>
                <w:lang w:val="sr-Cyrl-RS" w:eastAsia="en-GB"/>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14:paraId="0AF7DE5E" w14:textId="77777777" w:rsidR="00CF69DC" w:rsidRPr="00EF2F18" w:rsidRDefault="00CF69DC" w:rsidP="00752CA0">
            <w:pPr>
              <w:spacing w:after="0"/>
              <w:rPr>
                <w:rFonts w:eastAsia="Times New Roman" w:cs="Times New Roman"/>
                <w:color w:val="000000"/>
                <w:sz w:val="20"/>
                <w:szCs w:val="20"/>
                <w:lang w:val="sr-Cyrl-RS" w:eastAsia="en-GB"/>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21A76E4" w14:textId="77777777"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bottom w:val="single" w:sz="4" w:space="0" w:color="auto"/>
              <w:right w:val="single" w:sz="4" w:space="0" w:color="auto"/>
            </w:tcBorders>
            <w:shd w:val="clear" w:color="000000" w:fill="FFF2CC"/>
            <w:hideMark/>
          </w:tcPr>
          <w:p w14:paraId="120D70E5" w14:textId="29DA048F"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517" w:type="dxa"/>
            <w:tcBorders>
              <w:top w:val="single" w:sz="4" w:space="0" w:color="auto"/>
              <w:left w:val="single" w:sz="4" w:space="0" w:color="auto"/>
              <w:bottom w:val="single" w:sz="4" w:space="0" w:color="auto"/>
              <w:right w:val="single" w:sz="4" w:space="0" w:color="auto"/>
            </w:tcBorders>
            <w:shd w:val="clear" w:color="000000" w:fill="FFF2CC"/>
            <w:hideMark/>
          </w:tcPr>
          <w:p w14:paraId="28B0CD65" w14:textId="5508C294"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821" w:type="dxa"/>
            <w:gridSpan w:val="2"/>
            <w:tcBorders>
              <w:top w:val="single" w:sz="4" w:space="0" w:color="auto"/>
              <w:left w:val="single" w:sz="4" w:space="0" w:color="auto"/>
              <w:bottom w:val="single" w:sz="4" w:space="0" w:color="auto"/>
              <w:right w:val="double" w:sz="4" w:space="0" w:color="auto"/>
            </w:tcBorders>
            <w:shd w:val="clear" w:color="000000" w:fill="FFF2CC"/>
            <w:hideMark/>
          </w:tcPr>
          <w:p w14:paraId="21C46B1E" w14:textId="542F2BEC" w:rsidR="00CF69DC" w:rsidRPr="00EF2F18" w:rsidRDefault="00CF69DC"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2028.</w:t>
            </w:r>
          </w:p>
        </w:tc>
      </w:tr>
      <w:tr w:rsidR="00491C30" w:rsidRPr="00EF2F18" w14:paraId="6507D4FF" w14:textId="77777777" w:rsidTr="00DA7351">
        <w:trPr>
          <w:gridAfter w:val="1"/>
          <w:wAfter w:w="236" w:type="dxa"/>
          <w:trHeight w:val="1628"/>
        </w:trPr>
        <w:tc>
          <w:tcPr>
            <w:tcW w:w="2290" w:type="dxa"/>
            <w:tcBorders>
              <w:top w:val="single" w:sz="4" w:space="0" w:color="auto"/>
              <w:left w:val="double" w:sz="4" w:space="0" w:color="auto"/>
              <w:bottom w:val="single" w:sz="4" w:space="0" w:color="auto"/>
              <w:right w:val="single" w:sz="4" w:space="0" w:color="auto"/>
            </w:tcBorders>
            <w:hideMark/>
          </w:tcPr>
          <w:p w14:paraId="5C16BDDA" w14:textId="77777777" w:rsidR="00491C30" w:rsidRPr="00EF2F18" w:rsidRDefault="00491C3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6.3.1.1.Израда годишњих програма мониторинга квалитета површинских и подземних вода</w:t>
            </w:r>
          </w:p>
        </w:tc>
        <w:tc>
          <w:tcPr>
            <w:tcW w:w="1146" w:type="dxa"/>
            <w:tcBorders>
              <w:top w:val="single" w:sz="4" w:space="0" w:color="auto"/>
              <w:left w:val="single" w:sz="4" w:space="0" w:color="auto"/>
              <w:bottom w:val="single" w:sz="4" w:space="0" w:color="auto"/>
              <w:right w:val="single" w:sz="4" w:space="0" w:color="auto"/>
            </w:tcBorders>
            <w:hideMark/>
          </w:tcPr>
          <w:p w14:paraId="6F7E3B12" w14:textId="6E2053CC" w:rsidR="00491C30" w:rsidRPr="00EF2F18" w:rsidRDefault="00491C3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294" w:type="dxa"/>
            <w:tcBorders>
              <w:top w:val="single" w:sz="4" w:space="0" w:color="auto"/>
              <w:left w:val="single" w:sz="4" w:space="0" w:color="auto"/>
              <w:bottom w:val="single" w:sz="4" w:space="0" w:color="auto"/>
              <w:right w:val="single" w:sz="4" w:space="0" w:color="auto"/>
            </w:tcBorders>
            <w:hideMark/>
          </w:tcPr>
          <w:p w14:paraId="58AD0A70" w14:textId="62519B51" w:rsidR="00491C30" w:rsidRPr="00EF2F18" w:rsidRDefault="00491C3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РХМЗ, МЗЖС, МПШВ</w:t>
            </w:r>
          </w:p>
        </w:tc>
        <w:tc>
          <w:tcPr>
            <w:tcW w:w="1354" w:type="dxa"/>
            <w:tcBorders>
              <w:top w:val="single" w:sz="4" w:space="0" w:color="auto"/>
              <w:left w:val="single" w:sz="4" w:space="0" w:color="auto"/>
              <w:bottom w:val="single" w:sz="4" w:space="0" w:color="auto"/>
              <w:right w:val="single" w:sz="4" w:space="0" w:color="auto"/>
            </w:tcBorders>
            <w:hideMark/>
          </w:tcPr>
          <w:p w14:paraId="01764FEB" w14:textId="08C59A9C" w:rsidR="00491C30" w:rsidRPr="00EF2F18" w:rsidRDefault="00491C3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Континуално</w:t>
            </w:r>
            <w:r w:rsidRPr="00EF2F18" w:rsidDel="00A02780">
              <w:rPr>
                <w:rFonts w:eastAsia="Times New Roman" w:cs="Times New Roman"/>
                <w:color w:val="000000"/>
                <w:sz w:val="20"/>
                <w:szCs w:val="20"/>
                <w:lang w:val="sr-Cyrl-RS" w:eastAsia="en-GB"/>
              </w:rPr>
              <w:t xml:space="preserve"> </w:t>
            </w:r>
          </w:p>
        </w:tc>
        <w:tc>
          <w:tcPr>
            <w:tcW w:w="1695" w:type="dxa"/>
            <w:tcBorders>
              <w:top w:val="single" w:sz="4" w:space="0" w:color="auto"/>
              <w:left w:val="single" w:sz="4" w:space="0" w:color="auto"/>
              <w:right w:val="single" w:sz="4" w:space="0" w:color="auto"/>
            </w:tcBorders>
            <w:hideMark/>
          </w:tcPr>
          <w:p w14:paraId="30247678" w14:textId="77777777" w:rsidR="00491C30" w:rsidRPr="00EF2F18" w:rsidRDefault="00491C3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средства/редовна издвајања</w:t>
            </w:r>
          </w:p>
          <w:p w14:paraId="01E1A307" w14:textId="77777777" w:rsidR="00491C30" w:rsidRPr="00EF2F18" w:rsidRDefault="00491C30" w:rsidP="00752CA0">
            <w:pPr>
              <w:spacing w:after="0"/>
              <w:rPr>
                <w:rFonts w:eastAsia="Times New Roman" w:cs="Times New Roman"/>
                <w:color w:val="000000"/>
                <w:sz w:val="20"/>
                <w:szCs w:val="20"/>
                <w:lang w:val="sr-Cyrl-RS" w:eastAsia="en-GB"/>
              </w:rPr>
            </w:pPr>
          </w:p>
          <w:p w14:paraId="4837F751" w14:textId="77777777" w:rsidR="00491C30" w:rsidRPr="00EF2F18" w:rsidRDefault="00491C30" w:rsidP="00752CA0">
            <w:pPr>
              <w:spacing w:after="0"/>
              <w:rPr>
                <w:rFonts w:eastAsia="Times New Roman" w:cs="Times New Roman"/>
                <w:color w:val="000000"/>
                <w:sz w:val="20"/>
                <w:szCs w:val="20"/>
                <w:lang w:val="sr-Cyrl-RS" w:eastAsia="en-GB"/>
              </w:rPr>
            </w:pPr>
          </w:p>
          <w:p w14:paraId="32E4AD0F" w14:textId="77777777" w:rsidR="00491C30" w:rsidRPr="00EF2F18" w:rsidRDefault="00491C30" w:rsidP="00752CA0">
            <w:pPr>
              <w:spacing w:after="0"/>
              <w:rPr>
                <w:rFonts w:eastAsia="Times New Roman" w:cs="Times New Roman"/>
                <w:color w:val="000000"/>
                <w:sz w:val="20"/>
                <w:szCs w:val="20"/>
                <w:lang w:val="sr-Cyrl-RS" w:eastAsia="en-GB"/>
              </w:rPr>
            </w:pPr>
          </w:p>
        </w:tc>
        <w:tc>
          <w:tcPr>
            <w:tcW w:w="1340" w:type="dxa"/>
            <w:tcBorders>
              <w:top w:val="single" w:sz="4" w:space="0" w:color="auto"/>
              <w:left w:val="single" w:sz="4" w:space="0" w:color="auto"/>
              <w:right w:val="single" w:sz="4" w:space="0" w:color="auto"/>
            </w:tcBorders>
            <w:hideMark/>
          </w:tcPr>
          <w:p w14:paraId="5605F940" w14:textId="77777777" w:rsidR="00491C30" w:rsidRPr="00EF2F18" w:rsidRDefault="00491C3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p w14:paraId="09CFE541" w14:textId="73EA1722" w:rsidR="00491C30" w:rsidRPr="00EF2F18" w:rsidRDefault="00491C30"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bottom w:val="single" w:sz="4" w:space="0" w:color="auto"/>
              <w:right w:val="single" w:sz="4" w:space="0" w:color="auto"/>
            </w:tcBorders>
          </w:tcPr>
          <w:p w14:paraId="550DAE26" w14:textId="4EABAB9B" w:rsidR="00491C30" w:rsidRPr="00EF2F18" w:rsidRDefault="00491C30" w:rsidP="00752CA0">
            <w:pPr>
              <w:spacing w:after="0"/>
              <w:jc w:val="right"/>
              <w:rPr>
                <w:rFonts w:eastAsia="Times New Roman" w:cs="Times New Roman"/>
                <w:color w:val="000000"/>
                <w:sz w:val="20"/>
                <w:szCs w:val="20"/>
                <w:lang w:val="sr-Cyrl-RS" w:eastAsia="en-GB"/>
              </w:rPr>
            </w:pPr>
          </w:p>
        </w:tc>
        <w:tc>
          <w:tcPr>
            <w:tcW w:w="1517" w:type="dxa"/>
            <w:tcBorders>
              <w:top w:val="single" w:sz="4" w:space="0" w:color="auto"/>
              <w:left w:val="single" w:sz="4" w:space="0" w:color="auto"/>
              <w:bottom w:val="single" w:sz="4" w:space="0" w:color="auto"/>
              <w:right w:val="single" w:sz="4" w:space="0" w:color="auto"/>
            </w:tcBorders>
          </w:tcPr>
          <w:p w14:paraId="08DEC1FC" w14:textId="4ACDA7D0" w:rsidR="00491C30" w:rsidRPr="00EF2F18" w:rsidRDefault="00491C30" w:rsidP="00752CA0">
            <w:pPr>
              <w:spacing w:after="0"/>
              <w:jc w:val="right"/>
              <w:rPr>
                <w:rFonts w:eastAsia="Times New Roman" w:cs="Times New Roman"/>
                <w:color w:val="000000"/>
                <w:sz w:val="20"/>
                <w:szCs w:val="20"/>
                <w:lang w:val="sr-Cyrl-RS" w:eastAsia="en-GB"/>
              </w:rPr>
            </w:pPr>
          </w:p>
        </w:tc>
        <w:tc>
          <w:tcPr>
            <w:tcW w:w="1821" w:type="dxa"/>
            <w:gridSpan w:val="2"/>
            <w:tcBorders>
              <w:top w:val="single" w:sz="4" w:space="0" w:color="auto"/>
              <w:left w:val="single" w:sz="4" w:space="0" w:color="auto"/>
              <w:bottom w:val="single" w:sz="4" w:space="0" w:color="auto"/>
              <w:right w:val="double" w:sz="4" w:space="0" w:color="auto"/>
            </w:tcBorders>
          </w:tcPr>
          <w:p w14:paraId="64C497FE" w14:textId="168D6E50" w:rsidR="00491C30" w:rsidRPr="00EF2F18" w:rsidRDefault="00491C30" w:rsidP="00752CA0">
            <w:pPr>
              <w:spacing w:after="0"/>
              <w:jc w:val="right"/>
              <w:rPr>
                <w:rFonts w:eastAsia="Times New Roman" w:cs="Times New Roman"/>
                <w:color w:val="000000"/>
                <w:sz w:val="20"/>
                <w:szCs w:val="20"/>
                <w:lang w:val="sr-Cyrl-RS" w:eastAsia="en-GB"/>
              </w:rPr>
            </w:pPr>
          </w:p>
        </w:tc>
      </w:tr>
      <w:tr w:rsidR="00CF69DC" w:rsidRPr="00EF2F18" w14:paraId="1EFB83E1" w14:textId="77777777" w:rsidTr="007620E6">
        <w:trPr>
          <w:gridAfter w:val="1"/>
          <w:wAfter w:w="236" w:type="dxa"/>
          <w:trHeight w:val="2510"/>
        </w:trPr>
        <w:tc>
          <w:tcPr>
            <w:tcW w:w="2290" w:type="dxa"/>
            <w:tcBorders>
              <w:top w:val="single" w:sz="4" w:space="0" w:color="auto"/>
              <w:left w:val="double" w:sz="4" w:space="0" w:color="auto"/>
              <w:bottom w:val="single" w:sz="4" w:space="0" w:color="auto"/>
              <w:right w:val="single" w:sz="4" w:space="0" w:color="auto"/>
            </w:tcBorders>
            <w:hideMark/>
          </w:tcPr>
          <w:p w14:paraId="79384447" w14:textId="799266C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6.3.1.</w:t>
            </w:r>
            <w:r w:rsidR="00D732D6" w:rsidRPr="00EF2F18">
              <w:rPr>
                <w:rFonts w:eastAsia="Times New Roman" w:cs="Times New Roman"/>
                <w:color w:val="000000"/>
                <w:sz w:val="20"/>
                <w:szCs w:val="20"/>
                <w:lang w:val="sr-Cyrl-RS" w:eastAsia="en-GB"/>
              </w:rPr>
              <w:t>2</w:t>
            </w:r>
            <w:r w:rsidRPr="00EF2F18">
              <w:rPr>
                <w:rFonts w:eastAsia="Times New Roman" w:cs="Times New Roman"/>
                <w:color w:val="000000"/>
                <w:sz w:val="20"/>
                <w:szCs w:val="20"/>
                <w:lang w:val="sr-Cyrl-RS" w:eastAsia="en-GB"/>
              </w:rPr>
              <w:t>. Унапређење система РХМЗ за агрометеоролошки мониторинг</w:t>
            </w:r>
          </w:p>
        </w:tc>
        <w:tc>
          <w:tcPr>
            <w:tcW w:w="1146" w:type="dxa"/>
            <w:tcBorders>
              <w:top w:val="single" w:sz="4" w:space="0" w:color="auto"/>
              <w:left w:val="single" w:sz="4" w:space="0" w:color="auto"/>
              <w:bottom w:val="single" w:sz="4" w:space="0" w:color="auto"/>
              <w:right w:val="single" w:sz="4" w:space="0" w:color="auto"/>
            </w:tcBorders>
            <w:hideMark/>
          </w:tcPr>
          <w:p w14:paraId="7EA0402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РХМЗ</w:t>
            </w:r>
          </w:p>
        </w:tc>
        <w:tc>
          <w:tcPr>
            <w:tcW w:w="1294" w:type="dxa"/>
            <w:tcBorders>
              <w:top w:val="single" w:sz="4" w:space="0" w:color="auto"/>
              <w:left w:val="single" w:sz="4" w:space="0" w:color="auto"/>
              <w:bottom w:val="single" w:sz="4" w:space="0" w:color="auto"/>
              <w:right w:val="single" w:sz="4" w:space="0" w:color="auto"/>
            </w:tcBorders>
            <w:hideMark/>
          </w:tcPr>
          <w:p w14:paraId="64CA8C82"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354" w:type="dxa"/>
            <w:tcBorders>
              <w:top w:val="single" w:sz="4" w:space="0" w:color="auto"/>
              <w:left w:val="single" w:sz="4" w:space="0" w:color="auto"/>
              <w:bottom w:val="single" w:sz="4" w:space="0" w:color="auto"/>
              <w:right w:val="single" w:sz="4" w:space="0" w:color="auto"/>
            </w:tcBorders>
            <w:hideMark/>
          </w:tcPr>
          <w:p w14:paraId="497D3DCE"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695" w:type="dxa"/>
            <w:tcBorders>
              <w:top w:val="single" w:sz="4" w:space="0" w:color="auto"/>
              <w:left w:val="single" w:sz="4" w:space="0" w:color="auto"/>
              <w:bottom w:val="single" w:sz="4" w:space="0" w:color="auto"/>
              <w:right w:val="single" w:sz="4" w:space="0" w:color="auto"/>
            </w:tcBorders>
            <w:hideMark/>
          </w:tcPr>
          <w:p w14:paraId="64B8D4DC" w14:textId="4660AA6D"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Донаторска средства** </w:t>
            </w:r>
          </w:p>
        </w:tc>
        <w:tc>
          <w:tcPr>
            <w:tcW w:w="1340" w:type="dxa"/>
            <w:tcBorders>
              <w:top w:val="single" w:sz="4" w:space="0" w:color="auto"/>
              <w:left w:val="single" w:sz="4" w:space="0" w:color="auto"/>
              <w:bottom w:val="single" w:sz="4" w:space="0" w:color="auto"/>
              <w:right w:val="single" w:sz="4" w:space="0" w:color="auto"/>
            </w:tcBorders>
          </w:tcPr>
          <w:p w14:paraId="21CAF1A3" w14:textId="2AD229D7"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bottom w:val="single" w:sz="4" w:space="0" w:color="auto"/>
              <w:right w:val="single" w:sz="4" w:space="0" w:color="auto"/>
            </w:tcBorders>
            <w:hideMark/>
          </w:tcPr>
          <w:p w14:paraId="27B6394F" w14:textId="115D0BEC"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14.700*</w:t>
            </w:r>
          </w:p>
        </w:tc>
        <w:tc>
          <w:tcPr>
            <w:tcW w:w="1517" w:type="dxa"/>
            <w:tcBorders>
              <w:top w:val="single" w:sz="4" w:space="0" w:color="auto"/>
              <w:left w:val="single" w:sz="4" w:space="0" w:color="auto"/>
              <w:bottom w:val="single" w:sz="4" w:space="0" w:color="auto"/>
              <w:right w:val="single" w:sz="4" w:space="0" w:color="auto"/>
            </w:tcBorders>
          </w:tcPr>
          <w:p w14:paraId="14C14BD8" w14:textId="4E3DE86B" w:rsidR="00CF69DC" w:rsidRPr="00EF2F18" w:rsidRDefault="00CF69DC" w:rsidP="00752CA0">
            <w:pPr>
              <w:spacing w:after="0"/>
              <w:jc w:val="right"/>
              <w:rPr>
                <w:rFonts w:eastAsia="Times New Roman" w:cs="Times New Roman"/>
                <w:color w:val="000000"/>
                <w:sz w:val="20"/>
                <w:szCs w:val="20"/>
                <w:lang w:val="sr-Cyrl-RS" w:eastAsia="en-GB"/>
              </w:rPr>
            </w:pPr>
          </w:p>
        </w:tc>
        <w:tc>
          <w:tcPr>
            <w:tcW w:w="1821" w:type="dxa"/>
            <w:gridSpan w:val="2"/>
            <w:tcBorders>
              <w:top w:val="single" w:sz="4" w:space="0" w:color="auto"/>
              <w:left w:val="single" w:sz="4" w:space="0" w:color="auto"/>
              <w:bottom w:val="single" w:sz="4" w:space="0" w:color="auto"/>
              <w:right w:val="double" w:sz="4" w:space="0" w:color="auto"/>
            </w:tcBorders>
          </w:tcPr>
          <w:p w14:paraId="568748AA" w14:textId="3B4B2E59"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14B20886" w14:textId="77777777" w:rsidTr="009B57B8">
        <w:trPr>
          <w:gridAfter w:val="1"/>
          <w:wAfter w:w="236" w:type="dxa"/>
          <w:trHeight w:val="528"/>
        </w:trPr>
        <w:tc>
          <w:tcPr>
            <w:tcW w:w="2290" w:type="dxa"/>
            <w:vMerge w:val="restart"/>
            <w:tcBorders>
              <w:top w:val="single" w:sz="4" w:space="0" w:color="auto"/>
              <w:left w:val="double" w:sz="4" w:space="0" w:color="auto"/>
              <w:bottom w:val="single" w:sz="4" w:space="0" w:color="auto"/>
              <w:right w:val="single" w:sz="4" w:space="0" w:color="auto"/>
            </w:tcBorders>
            <w:hideMark/>
          </w:tcPr>
          <w:p w14:paraId="31FF0FE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6.3.1.4. Успостављање нових станица за мониторинг ваздуха</w:t>
            </w:r>
          </w:p>
        </w:tc>
        <w:tc>
          <w:tcPr>
            <w:tcW w:w="1146" w:type="dxa"/>
            <w:vMerge w:val="restart"/>
            <w:tcBorders>
              <w:top w:val="single" w:sz="4" w:space="0" w:color="auto"/>
              <w:left w:val="single" w:sz="4" w:space="0" w:color="auto"/>
              <w:bottom w:val="single" w:sz="4" w:space="0" w:color="auto"/>
              <w:right w:val="single" w:sz="4" w:space="0" w:color="auto"/>
            </w:tcBorders>
            <w:hideMark/>
          </w:tcPr>
          <w:p w14:paraId="2112D1FD" w14:textId="2C437EC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94" w:type="dxa"/>
            <w:vMerge w:val="restart"/>
            <w:tcBorders>
              <w:top w:val="single" w:sz="4" w:space="0" w:color="auto"/>
              <w:left w:val="single" w:sz="4" w:space="0" w:color="auto"/>
              <w:bottom w:val="single" w:sz="4" w:space="0" w:color="auto"/>
              <w:right w:val="single" w:sz="4" w:space="0" w:color="auto"/>
            </w:tcBorders>
            <w:hideMark/>
          </w:tcPr>
          <w:p w14:paraId="6A0E970C"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354" w:type="dxa"/>
            <w:vMerge w:val="restart"/>
            <w:tcBorders>
              <w:top w:val="single" w:sz="4" w:space="0" w:color="auto"/>
              <w:left w:val="single" w:sz="4" w:space="0" w:color="auto"/>
              <w:bottom w:val="single" w:sz="4" w:space="0" w:color="auto"/>
              <w:right w:val="single" w:sz="4" w:space="0" w:color="auto"/>
            </w:tcBorders>
            <w:hideMark/>
          </w:tcPr>
          <w:p w14:paraId="4CC593C8"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5" w:type="dxa"/>
            <w:tcBorders>
              <w:top w:val="single" w:sz="4" w:space="0" w:color="auto"/>
              <w:left w:val="single" w:sz="4" w:space="0" w:color="auto"/>
              <w:right w:val="single" w:sz="4" w:space="0" w:color="auto"/>
            </w:tcBorders>
            <w:hideMark/>
          </w:tcPr>
          <w:p w14:paraId="109480ED" w14:textId="50C218B5"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p w14:paraId="4A3CDBD5" w14:textId="77777777" w:rsidR="00CF69DC" w:rsidRPr="00EF2F18" w:rsidRDefault="00CF69DC" w:rsidP="00752CA0">
            <w:pPr>
              <w:spacing w:after="0"/>
              <w:rPr>
                <w:rFonts w:eastAsia="Times New Roman" w:cs="Times New Roman"/>
                <w:color w:val="000000"/>
                <w:sz w:val="20"/>
                <w:szCs w:val="20"/>
                <w:lang w:val="sr-Cyrl-RS" w:eastAsia="en-GB"/>
              </w:rPr>
            </w:pPr>
          </w:p>
          <w:p w14:paraId="52C33320" w14:textId="34636399" w:rsidR="00CF69DC" w:rsidRPr="00EF2F18" w:rsidRDefault="00CF69DC" w:rsidP="00752CA0">
            <w:pPr>
              <w:spacing w:after="0"/>
              <w:rPr>
                <w:rFonts w:eastAsia="Times New Roman" w:cs="Times New Roman"/>
                <w:color w:val="000000"/>
                <w:sz w:val="20"/>
                <w:szCs w:val="20"/>
                <w:lang w:val="sr-Cyrl-RS" w:eastAsia="en-GB"/>
              </w:rPr>
            </w:pPr>
          </w:p>
        </w:tc>
        <w:tc>
          <w:tcPr>
            <w:tcW w:w="1340" w:type="dxa"/>
            <w:tcBorders>
              <w:top w:val="single" w:sz="4" w:space="0" w:color="auto"/>
              <w:left w:val="single" w:sz="4" w:space="0" w:color="auto"/>
              <w:right w:val="single" w:sz="4" w:space="0" w:color="auto"/>
            </w:tcBorders>
            <w:hideMark/>
          </w:tcPr>
          <w:p w14:paraId="258D39CE" w14:textId="63F0AD1C"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right w:val="single" w:sz="4" w:space="0" w:color="auto"/>
            </w:tcBorders>
          </w:tcPr>
          <w:p w14:paraId="383EF1D9" w14:textId="626A808A" w:rsidR="00CF69DC" w:rsidRPr="00EF2F18" w:rsidRDefault="00CF69DC" w:rsidP="00752CA0">
            <w:pPr>
              <w:spacing w:after="0"/>
              <w:jc w:val="right"/>
              <w:rPr>
                <w:rFonts w:eastAsia="Times New Roman" w:cs="Times New Roman"/>
                <w:color w:val="000000"/>
                <w:sz w:val="20"/>
                <w:szCs w:val="20"/>
                <w:lang w:val="sr-Cyrl-RS" w:eastAsia="en-GB"/>
              </w:rPr>
            </w:pPr>
          </w:p>
        </w:tc>
        <w:tc>
          <w:tcPr>
            <w:tcW w:w="1517" w:type="dxa"/>
            <w:vMerge w:val="restart"/>
            <w:tcBorders>
              <w:top w:val="single" w:sz="4" w:space="0" w:color="auto"/>
              <w:left w:val="single" w:sz="4" w:space="0" w:color="auto"/>
              <w:bottom w:val="single" w:sz="4" w:space="0" w:color="auto"/>
              <w:right w:val="single" w:sz="4" w:space="0" w:color="auto"/>
            </w:tcBorders>
          </w:tcPr>
          <w:p w14:paraId="61D0D604" w14:textId="7A712A23" w:rsidR="00CF69DC" w:rsidRPr="00EF2F18" w:rsidRDefault="00CF69DC" w:rsidP="00752CA0">
            <w:pPr>
              <w:spacing w:after="0"/>
              <w:jc w:val="right"/>
              <w:rPr>
                <w:rFonts w:eastAsia="Times New Roman" w:cs="Times New Roman"/>
                <w:color w:val="000000"/>
                <w:sz w:val="20"/>
                <w:szCs w:val="20"/>
                <w:lang w:val="sr-Cyrl-RS" w:eastAsia="en-GB"/>
              </w:rPr>
            </w:pPr>
          </w:p>
        </w:tc>
        <w:tc>
          <w:tcPr>
            <w:tcW w:w="1821" w:type="dxa"/>
            <w:gridSpan w:val="2"/>
            <w:vMerge w:val="restart"/>
            <w:tcBorders>
              <w:top w:val="single" w:sz="4" w:space="0" w:color="auto"/>
              <w:left w:val="single" w:sz="4" w:space="0" w:color="auto"/>
              <w:bottom w:val="single" w:sz="4" w:space="0" w:color="auto"/>
              <w:right w:val="double" w:sz="4" w:space="0" w:color="auto"/>
            </w:tcBorders>
          </w:tcPr>
          <w:p w14:paraId="23AF3C89" w14:textId="380A33C7"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27F78FE0" w14:textId="77777777" w:rsidTr="009B57B8">
        <w:trPr>
          <w:gridAfter w:val="1"/>
          <w:wAfter w:w="236" w:type="dxa"/>
          <w:trHeight w:val="540"/>
        </w:trPr>
        <w:tc>
          <w:tcPr>
            <w:tcW w:w="2290" w:type="dxa"/>
            <w:vMerge/>
            <w:tcBorders>
              <w:top w:val="single" w:sz="4" w:space="0" w:color="auto"/>
              <w:left w:val="double" w:sz="4" w:space="0" w:color="auto"/>
              <w:bottom w:val="single" w:sz="4" w:space="0" w:color="auto"/>
              <w:right w:val="single" w:sz="4" w:space="0" w:color="auto"/>
            </w:tcBorders>
            <w:vAlign w:val="center"/>
            <w:hideMark/>
          </w:tcPr>
          <w:p w14:paraId="0CFDAB5D" w14:textId="77777777" w:rsidR="00CF69DC" w:rsidRPr="00EF2F18" w:rsidRDefault="00CF69DC" w:rsidP="00752CA0">
            <w:pPr>
              <w:spacing w:after="0"/>
              <w:rPr>
                <w:rFonts w:eastAsia="Times New Roman" w:cs="Times New Roman"/>
                <w:color w:val="000000"/>
                <w:sz w:val="20"/>
                <w:szCs w:val="20"/>
                <w:lang w:val="sr-Cyrl-RS" w:eastAsia="en-GB"/>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7AA3C87A" w14:textId="77777777" w:rsidR="00CF69DC" w:rsidRPr="00EF2F18" w:rsidRDefault="00CF69DC" w:rsidP="00752CA0">
            <w:pPr>
              <w:spacing w:after="0"/>
              <w:rPr>
                <w:rFonts w:eastAsia="Times New Roman" w:cs="Times New Roman"/>
                <w:color w:val="000000"/>
                <w:sz w:val="20"/>
                <w:szCs w:val="20"/>
                <w:lang w:val="sr-Cyrl-RS" w:eastAsia="en-GB"/>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784EEB46" w14:textId="77777777" w:rsidR="00CF69DC" w:rsidRPr="00EF2F18" w:rsidRDefault="00CF69DC" w:rsidP="00752CA0">
            <w:pPr>
              <w:spacing w:after="0"/>
              <w:rPr>
                <w:rFonts w:eastAsia="Times New Roman" w:cs="Times New Roman"/>
                <w:color w:val="000000"/>
                <w:sz w:val="20"/>
                <w:szCs w:val="20"/>
                <w:lang w:val="sr-Cyrl-RS" w:eastAsia="en-GB"/>
              </w:rPr>
            </w:pPr>
          </w:p>
        </w:tc>
        <w:tc>
          <w:tcPr>
            <w:tcW w:w="1354" w:type="dxa"/>
            <w:vMerge/>
            <w:tcBorders>
              <w:top w:val="single" w:sz="4" w:space="0" w:color="auto"/>
              <w:left w:val="single" w:sz="4" w:space="0" w:color="auto"/>
              <w:bottom w:val="single" w:sz="4" w:space="0" w:color="auto"/>
              <w:right w:val="single" w:sz="4" w:space="0" w:color="auto"/>
            </w:tcBorders>
            <w:vAlign w:val="center"/>
            <w:hideMark/>
          </w:tcPr>
          <w:p w14:paraId="06A4DF7C" w14:textId="77777777" w:rsidR="00CF69DC" w:rsidRPr="00EF2F18" w:rsidRDefault="00CF69DC" w:rsidP="00752CA0">
            <w:pPr>
              <w:spacing w:after="0"/>
              <w:rPr>
                <w:rFonts w:eastAsia="Times New Roman" w:cs="Times New Roman"/>
                <w:color w:val="000000"/>
                <w:sz w:val="20"/>
                <w:szCs w:val="20"/>
                <w:lang w:val="sr-Cyrl-RS" w:eastAsia="en-GB"/>
              </w:rPr>
            </w:pPr>
          </w:p>
        </w:tc>
        <w:tc>
          <w:tcPr>
            <w:tcW w:w="1695" w:type="dxa"/>
            <w:tcBorders>
              <w:left w:val="single" w:sz="4" w:space="0" w:color="auto"/>
              <w:bottom w:val="single" w:sz="4" w:space="0" w:color="auto"/>
              <w:right w:val="single" w:sz="4" w:space="0" w:color="auto"/>
            </w:tcBorders>
            <w:hideMark/>
          </w:tcPr>
          <w:p w14:paraId="7E1E3FAE" w14:textId="77777777" w:rsidR="00CF69DC" w:rsidRPr="00EF2F18" w:rsidRDefault="00CF69DC" w:rsidP="00752CA0">
            <w:pPr>
              <w:spacing w:after="0"/>
              <w:rPr>
                <w:rFonts w:eastAsia="Times New Roman" w:cs="Times New Roman"/>
                <w:color w:val="000000"/>
                <w:sz w:val="20"/>
                <w:szCs w:val="20"/>
                <w:lang w:val="sr-Cyrl-RS" w:eastAsia="en-GB"/>
              </w:rPr>
            </w:pPr>
          </w:p>
        </w:tc>
        <w:tc>
          <w:tcPr>
            <w:tcW w:w="1340" w:type="dxa"/>
            <w:tcBorders>
              <w:left w:val="single" w:sz="4" w:space="0" w:color="auto"/>
              <w:bottom w:val="single" w:sz="4" w:space="0" w:color="auto"/>
              <w:right w:val="single" w:sz="4" w:space="0" w:color="auto"/>
            </w:tcBorders>
            <w:hideMark/>
          </w:tcPr>
          <w:p w14:paraId="697DF9C8" w14:textId="77777777"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left w:val="single" w:sz="4" w:space="0" w:color="auto"/>
              <w:bottom w:val="single" w:sz="4" w:space="0" w:color="auto"/>
              <w:right w:val="single" w:sz="4" w:space="0" w:color="auto"/>
            </w:tcBorders>
            <w:hideMark/>
          </w:tcPr>
          <w:p w14:paraId="761DE52D" w14:textId="77777777" w:rsidR="00CF69DC" w:rsidRPr="00EF2F18" w:rsidRDefault="00CF69DC" w:rsidP="00752CA0">
            <w:pPr>
              <w:spacing w:after="0"/>
              <w:jc w:val="right"/>
              <w:rPr>
                <w:rFonts w:eastAsia="Times New Roman" w:cs="Times New Roman"/>
                <w:color w:val="000000"/>
                <w:sz w:val="20"/>
                <w:szCs w:val="20"/>
                <w:lang w:val="sr-Cyrl-RS" w:eastAsia="en-GB"/>
              </w:rPr>
            </w:pPr>
          </w:p>
        </w:tc>
        <w:tc>
          <w:tcPr>
            <w:tcW w:w="1517" w:type="dxa"/>
            <w:vMerge/>
            <w:tcBorders>
              <w:top w:val="single" w:sz="4" w:space="0" w:color="auto"/>
              <w:left w:val="single" w:sz="4" w:space="0" w:color="auto"/>
              <w:bottom w:val="single" w:sz="4" w:space="0" w:color="auto"/>
              <w:right w:val="single" w:sz="4" w:space="0" w:color="auto"/>
            </w:tcBorders>
            <w:vAlign w:val="center"/>
          </w:tcPr>
          <w:p w14:paraId="73EDF4CB" w14:textId="77777777" w:rsidR="00CF69DC" w:rsidRPr="00EF2F18" w:rsidRDefault="00CF69DC" w:rsidP="00752CA0">
            <w:pPr>
              <w:spacing w:after="0"/>
              <w:jc w:val="right"/>
              <w:rPr>
                <w:rFonts w:eastAsia="Times New Roman" w:cs="Times New Roman"/>
                <w:color w:val="000000"/>
                <w:sz w:val="20"/>
                <w:szCs w:val="20"/>
                <w:lang w:val="sr-Cyrl-RS" w:eastAsia="en-GB"/>
              </w:rPr>
            </w:pPr>
          </w:p>
        </w:tc>
        <w:tc>
          <w:tcPr>
            <w:tcW w:w="1821" w:type="dxa"/>
            <w:gridSpan w:val="2"/>
            <w:vMerge/>
            <w:tcBorders>
              <w:top w:val="single" w:sz="4" w:space="0" w:color="auto"/>
              <w:left w:val="single" w:sz="4" w:space="0" w:color="auto"/>
              <w:bottom w:val="single" w:sz="4" w:space="0" w:color="auto"/>
              <w:right w:val="double" w:sz="4" w:space="0" w:color="auto"/>
            </w:tcBorders>
            <w:vAlign w:val="center"/>
          </w:tcPr>
          <w:p w14:paraId="0AD4FCEC" w14:textId="77777777"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7539FB0C" w14:textId="77777777" w:rsidTr="009B57B8">
        <w:trPr>
          <w:gridAfter w:val="1"/>
          <w:wAfter w:w="236" w:type="dxa"/>
          <w:trHeight w:val="1332"/>
        </w:trPr>
        <w:tc>
          <w:tcPr>
            <w:tcW w:w="2290" w:type="dxa"/>
            <w:tcBorders>
              <w:top w:val="single" w:sz="4" w:space="0" w:color="auto"/>
              <w:left w:val="double" w:sz="4" w:space="0" w:color="auto"/>
              <w:bottom w:val="single" w:sz="4" w:space="0" w:color="auto"/>
              <w:right w:val="single" w:sz="4" w:space="0" w:color="auto"/>
            </w:tcBorders>
            <w:hideMark/>
          </w:tcPr>
          <w:p w14:paraId="5F57494F"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6.3.1.5. Успостављање нових станица за мониторинг површинских и подземних вода</w:t>
            </w:r>
          </w:p>
        </w:tc>
        <w:tc>
          <w:tcPr>
            <w:tcW w:w="1146" w:type="dxa"/>
            <w:tcBorders>
              <w:top w:val="single" w:sz="4" w:space="0" w:color="auto"/>
              <w:left w:val="single" w:sz="4" w:space="0" w:color="auto"/>
              <w:bottom w:val="single" w:sz="4" w:space="0" w:color="auto"/>
              <w:right w:val="single" w:sz="4" w:space="0" w:color="auto"/>
            </w:tcBorders>
            <w:hideMark/>
          </w:tcPr>
          <w:p w14:paraId="32A439BC" w14:textId="75794C2E"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294" w:type="dxa"/>
            <w:tcBorders>
              <w:top w:val="single" w:sz="4" w:space="0" w:color="auto"/>
              <w:left w:val="single" w:sz="4" w:space="0" w:color="auto"/>
              <w:bottom w:val="single" w:sz="4" w:space="0" w:color="auto"/>
              <w:right w:val="single" w:sz="4" w:space="0" w:color="auto"/>
            </w:tcBorders>
            <w:hideMark/>
          </w:tcPr>
          <w:p w14:paraId="6147B990" w14:textId="6136A069"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РХМЗ</w:t>
            </w:r>
          </w:p>
        </w:tc>
        <w:tc>
          <w:tcPr>
            <w:tcW w:w="1354" w:type="dxa"/>
            <w:tcBorders>
              <w:top w:val="single" w:sz="4" w:space="0" w:color="auto"/>
              <w:left w:val="single" w:sz="4" w:space="0" w:color="auto"/>
              <w:bottom w:val="single" w:sz="4" w:space="0" w:color="auto"/>
              <w:right w:val="single" w:sz="4" w:space="0" w:color="auto"/>
            </w:tcBorders>
            <w:hideMark/>
          </w:tcPr>
          <w:p w14:paraId="17A6A21B" w14:textId="0CEBCCFD"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A02780" w:rsidRPr="00EF2F18">
              <w:rPr>
                <w:rFonts w:eastAsia="Times New Roman" w:cs="Times New Roman"/>
                <w:color w:val="000000"/>
                <w:sz w:val="20"/>
                <w:szCs w:val="20"/>
                <w:lang w:val="sr-Cyrl-RS" w:eastAsia="en-GB"/>
              </w:rPr>
              <w:t>7</w:t>
            </w:r>
            <w:r w:rsidRPr="00EF2F18">
              <w:rPr>
                <w:rFonts w:eastAsia="Times New Roman" w:cs="Times New Roman"/>
                <w:color w:val="000000"/>
                <w:sz w:val="20"/>
                <w:szCs w:val="20"/>
                <w:lang w:val="sr-Cyrl-RS" w:eastAsia="en-GB"/>
              </w:rPr>
              <w:t>.</w:t>
            </w:r>
          </w:p>
        </w:tc>
        <w:tc>
          <w:tcPr>
            <w:tcW w:w="1695" w:type="dxa"/>
            <w:tcBorders>
              <w:top w:val="single" w:sz="4" w:space="0" w:color="auto"/>
              <w:left w:val="single" w:sz="4" w:space="0" w:color="auto"/>
              <w:bottom w:val="single" w:sz="4" w:space="0" w:color="auto"/>
              <w:right w:val="single" w:sz="4" w:space="0" w:color="auto"/>
            </w:tcBorders>
          </w:tcPr>
          <w:p w14:paraId="6EA5A2A6" w14:textId="66B28E95"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40" w:type="dxa"/>
            <w:tcBorders>
              <w:top w:val="single" w:sz="4" w:space="0" w:color="auto"/>
              <w:left w:val="single" w:sz="4" w:space="0" w:color="auto"/>
              <w:bottom w:val="single" w:sz="4" w:space="0" w:color="auto"/>
              <w:right w:val="single" w:sz="4" w:space="0" w:color="auto"/>
            </w:tcBorders>
          </w:tcPr>
          <w:p w14:paraId="635DA706" w14:textId="427B435D"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bottom w:val="single" w:sz="4" w:space="0" w:color="auto"/>
              <w:right w:val="single" w:sz="4" w:space="0" w:color="auto"/>
            </w:tcBorders>
          </w:tcPr>
          <w:p w14:paraId="3E9B4B3E" w14:textId="1FE7B857" w:rsidR="00CF69DC" w:rsidRPr="00EF2F18" w:rsidRDefault="00CF69DC" w:rsidP="00752CA0">
            <w:pPr>
              <w:spacing w:after="0"/>
              <w:jc w:val="right"/>
              <w:rPr>
                <w:rFonts w:eastAsia="Times New Roman" w:cs="Times New Roman"/>
                <w:color w:val="000000"/>
                <w:sz w:val="20"/>
                <w:szCs w:val="20"/>
                <w:lang w:val="sr-Cyrl-RS" w:eastAsia="en-GB"/>
              </w:rPr>
            </w:pPr>
          </w:p>
        </w:tc>
        <w:tc>
          <w:tcPr>
            <w:tcW w:w="1517" w:type="dxa"/>
            <w:tcBorders>
              <w:top w:val="single" w:sz="4" w:space="0" w:color="auto"/>
              <w:left w:val="single" w:sz="4" w:space="0" w:color="auto"/>
              <w:bottom w:val="single" w:sz="4" w:space="0" w:color="auto"/>
              <w:right w:val="single" w:sz="4" w:space="0" w:color="auto"/>
            </w:tcBorders>
          </w:tcPr>
          <w:p w14:paraId="66A2654F" w14:textId="2D5E90DA" w:rsidR="00CF69DC" w:rsidRPr="00EF2F18" w:rsidRDefault="00CF69DC" w:rsidP="00752CA0">
            <w:pPr>
              <w:spacing w:after="0"/>
              <w:jc w:val="right"/>
              <w:rPr>
                <w:rFonts w:eastAsia="Times New Roman" w:cs="Times New Roman"/>
                <w:color w:val="000000"/>
                <w:sz w:val="20"/>
                <w:szCs w:val="20"/>
                <w:lang w:val="sr-Cyrl-RS" w:eastAsia="en-GB"/>
              </w:rPr>
            </w:pPr>
          </w:p>
        </w:tc>
        <w:tc>
          <w:tcPr>
            <w:tcW w:w="1821" w:type="dxa"/>
            <w:gridSpan w:val="2"/>
            <w:tcBorders>
              <w:top w:val="single" w:sz="4" w:space="0" w:color="auto"/>
              <w:left w:val="single" w:sz="4" w:space="0" w:color="auto"/>
              <w:bottom w:val="single" w:sz="4" w:space="0" w:color="auto"/>
              <w:right w:val="double" w:sz="4" w:space="0" w:color="auto"/>
            </w:tcBorders>
          </w:tcPr>
          <w:p w14:paraId="7F157517" w14:textId="42F0DD17" w:rsidR="00CF69DC" w:rsidRPr="00EF2F18" w:rsidRDefault="00CF69DC" w:rsidP="00752CA0">
            <w:pPr>
              <w:spacing w:after="0"/>
              <w:jc w:val="right"/>
              <w:rPr>
                <w:rFonts w:eastAsia="Times New Roman" w:cs="Times New Roman"/>
                <w:color w:val="000000"/>
                <w:sz w:val="20"/>
                <w:szCs w:val="20"/>
                <w:lang w:val="sr-Cyrl-RS" w:eastAsia="en-GB"/>
              </w:rPr>
            </w:pPr>
          </w:p>
        </w:tc>
      </w:tr>
      <w:tr w:rsidR="00E42DFB" w:rsidRPr="00EF2F18" w14:paraId="03BF9D3B" w14:textId="77777777" w:rsidTr="009B57B8">
        <w:trPr>
          <w:gridAfter w:val="1"/>
          <w:wAfter w:w="236" w:type="dxa"/>
          <w:trHeight w:val="540"/>
        </w:trPr>
        <w:tc>
          <w:tcPr>
            <w:tcW w:w="2290" w:type="dxa"/>
            <w:tcBorders>
              <w:top w:val="single" w:sz="4" w:space="0" w:color="auto"/>
              <w:left w:val="double" w:sz="4" w:space="0" w:color="auto"/>
              <w:bottom w:val="single" w:sz="4" w:space="0" w:color="auto"/>
              <w:right w:val="single" w:sz="4" w:space="0" w:color="auto"/>
            </w:tcBorders>
            <w:hideMark/>
          </w:tcPr>
          <w:p w14:paraId="4C60F9C3" w14:textId="3EDC9754" w:rsidR="00E42DFB" w:rsidRPr="00EF2F18" w:rsidRDefault="00E42DFB" w:rsidP="00E42DFB">
            <w:pPr>
              <w:spacing w:after="0"/>
              <w:rPr>
                <w:rFonts w:eastAsia="Times New Roman" w:cs="Times New Roman"/>
                <w:color w:val="000000"/>
                <w:sz w:val="20"/>
                <w:szCs w:val="20"/>
                <w:highlight w:val="yellow"/>
                <w:lang w:val="sr-Cyrl-RS" w:eastAsia="en-GB"/>
              </w:rPr>
            </w:pPr>
            <w:r w:rsidRPr="00EF2F18">
              <w:rPr>
                <w:rFonts w:eastAsia="Times New Roman" w:cs="Times New Roman"/>
                <w:color w:val="000000"/>
                <w:sz w:val="20"/>
                <w:szCs w:val="20"/>
                <w:lang w:val="sr-Cyrl-RS" w:eastAsia="en-GB"/>
              </w:rPr>
              <w:t>6.3.1.6. Успостављање мерних места зa мониторинг земљишта</w:t>
            </w:r>
          </w:p>
        </w:tc>
        <w:tc>
          <w:tcPr>
            <w:tcW w:w="1146" w:type="dxa"/>
            <w:tcBorders>
              <w:top w:val="single" w:sz="4" w:space="0" w:color="auto"/>
              <w:left w:val="single" w:sz="4" w:space="0" w:color="auto"/>
              <w:bottom w:val="single" w:sz="4" w:space="0" w:color="auto"/>
              <w:right w:val="single" w:sz="4" w:space="0" w:color="auto"/>
            </w:tcBorders>
            <w:hideMark/>
          </w:tcPr>
          <w:p w14:paraId="3F5A982A" w14:textId="77777777" w:rsidR="00E42DFB" w:rsidRPr="00EF2F18" w:rsidRDefault="00E42DFB" w:rsidP="00E42DFB">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МЗЖС </w:t>
            </w:r>
          </w:p>
        </w:tc>
        <w:tc>
          <w:tcPr>
            <w:tcW w:w="1294" w:type="dxa"/>
            <w:tcBorders>
              <w:top w:val="single" w:sz="4" w:space="0" w:color="auto"/>
              <w:left w:val="single" w:sz="4" w:space="0" w:color="auto"/>
              <w:bottom w:val="single" w:sz="4" w:space="0" w:color="auto"/>
              <w:right w:val="single" w:sz="4" w:space="0" w:color="auto"/>
            </w:tcBorders>
            <w:hideMark/>
          </w:tcPr>
          <w:p w14:paraId="118C536F" w14:textId="77777777" w:rsidR="00E42DFB" w:rsidRPr="00EF2F18" w:rsidRDefault="00E42DFB" w:rsidP="00E42DFB">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354" w:type="dxa"/>
            <w:tcBorders>
              <w:top w:val="single" w:sz="4" w:space="0" w:color="auto"/>
              <w:left w:val="single" w:sz="4" w:space="0" w:color="auto"/>
              <w:bottom w:val="single" w:sz="4" w:space="0" w:color="auto"/>
              <w:right w:val="single" w:sz="4" w:space="0" w:color="auto"/>
            </w:tcBorders>
            <w:hideMark/>
          </w:tcPr>
          <w:p w14:paraId="4F698A70" w14:textId="4A82ECB5" w:rsidR="00E42DFB" w:rsidRPr="00EF2F18" w:rsidRDefault="00E42DFB" w:rsidP="00E42DFB">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5" w:type="dxa"/>
            <w:tcBorders>
              <w:top w:val="single" w:sz="4" w:space="0" w:color="auto"/>
              <w:left w:val="single" w:sz="4" w:space="0" w:color="auto"/>
              <w:bottom w:val="single" w:sz="4" w:space="0" w:color="auto"/>
              <w:right w:val="single" w:sz="4" w:space="0" w:color="auto"/>
            </w:tcBorders>
          </w:tcPr>
          <w:p w14:paraId="1EF0BE9C" w14:textId="327A29F4" w:rsidR="00E42DFB" w:rsidRPr="00EF2F18" w:rsidRDefault="00E42DFB" w:rsidP="00E42DFB">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single" w:sz="4" w:space="0" w:color="auto"/>
              <w:bottom w:val="single" w:sz="4" w:space="0" w:color="auto"/>
              <w:right w:val="single" w:sz="4" w:space="0" w:color="auto"/>
            </w:tcBorders>
          </w:tcPr>
          <w:p w14:paraId="14CD2AEF" w14:textId="7D5F786A" w:rsidR="00E42DFB" w:rsidRPr="00EF2F18" w:rsidRDefault="0010617A" w:rsidP="00E42DFB">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0406-560-0001-424</w:t>
            </w:r>
          </w:p>
        </w:tc>
        <w:tc>
          <w:tcPr>
            <w:tcW w:w="1118" w:type="dxa"/>
            <w:tcBorders>
              <w:top w:val="single" w:sz="4" w:space="0" w:color="auto"/>
              <w:left w:val="single" w:sz="4" w:space="0" w:color="auto"/>
              <w:bottom w:val="single" w:sz="4" w:space="0" w:color="auto"/>
              <w:right w:val="single" w:sz="4" w:space="0" w:color="auto"/>
            </w:tcBorders>
          </w:tcPr>
          <w:p w14:paraId="5522CA38" w14:textId="338C8463" w:rsidR="00E42DFB" w:rsidRPr="00EF2F18" w:rsidRDefault="00465A02" w:rsidP="00E42DFB">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1.000</w:t>
            </w:r>
          </w:p>
        </w:tc>
        <w:tc>
          <w:tcPr>
            <w:tcW w:w="1517" w:type="dxa"/>
            <w:tcBorders>
              <w:top w:val="single" w:sz="4" w:space="0" w:color="auto"/>
              <w:left w:val="single" w:sz="4" w:space="0" w:color="auto"/>
              <w:bottom w:val="single" w:sz="4" w:space="0" w:color="auto"/>
              <w:right w:val="single" w:sz="4" w:space="0" w:color="auto"/>
            </w:tcBorders>
          </w:tcPr>
          <w:p w14:paraId="32B49BC3" w14:textId="388BAA86" w:rsidR="00E42DFB" w:rsidRPr="00EF2F18" w:rsidRDefault="00B71C5D" w:rsidP="00E42DFB">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25.000</w:t>
            </w:r>
          </w:p>
        </w:tc>
        <w:tc>
          <w:tcPr>
            <w:tcW w:w="1821" w:type="dxa"/>
            <w:gridSpan w:val="2"/>
            <w:tcBorders>
              <w:top w:val="single" w:sz="4" w:space="0" w:color="auto"/>
              <w:left w:val="single" w:sz="4" w:space="0" w:color="auto"/>
              <w:bottom w:val="single" w:sz="4" w:space="0" w:color="auto"/>
              <w:right w:val="double" w:sz="4" w:space="0" w:color="auto"/>
            </w:tcBorders>
          </w:tcPr>
          <w:p w14:paraId="55C86460" w14:textId="19F5258B" w:rsidR="00E42DFB" w:rsidRPr="00EF2F18" w:rsidRDefault="00B71C5D" w:rsidP="00E42DFB">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25.000</w:t>
            </w:r>
          </w:p>
        </w:tc>
      </w:tr>
      <w:tr w:rsidR="00CF69DC" w:rsidRPr="00EF2F18" w14:paraId="69F0FEFC" w14:textId="77777777" w:rsidTr="009B57B8">
        <w:trPr>
          <w:gridAfter w:val="1"/>
          <w:wAfter w:w="236" w:type="dxa"/>
          <w:trHeight w:val="540"/>
        </w:trPr>
        <w:tc>
          <w:tcPr>
            <w:tcW w:w="2290" w:type="dxa"/>
            <w:tcBorders>
              <w:top w:val="single" w:sz="4" w:space="0" w:color="auto"/>
              <w:left w:val="double" w:sz="4" w:space="0" w:color="auto"/>
              <w:bottom w:val="single" w:sz="4" w:space="0" w:color="auto"/>
              <w:right w:val="single" w:sz="4" w:space="0" w:color="auto"/>
            </w:tcBorders>
            <w:hideMark/>
          </w:tcPr>
          <w:p w14:paraId="68FF988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6.3.1.7. Успостављање мреже мониторинга биодиверзитета </w:t>
            </w:r>
          </w:p>
        </w:tc>
        <w:tc>
          <w:tcPr>
            <w:tcW w:w="1146" w:type="dxa"/>
            <w:tcBorders>
              <w:top w:val="single" w:sz="4" w:space="0" w:color="auto"/>
              <w:left w:val="single" w:sz="4" w:space="0" w:color="auto"/>
              <w:bottom w:val="single" w:sz="4" w:space="0" w:color="auto"/>
              <w:right w:val="single" w:sz="4" w:space="0" w:color="auto"/>
            </w:tcBorders>
            <w:hideMark/>
          </w:tcPr>
          <w:p w14:paraId="308C5B4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94" w:type="dxa"/>
            <w:tcBorders>
              <w:top w:val="single" w:sz="4" w:space="0" w:color="auto"/>
              <w:left w:val="single" w:sz="4" w:space="0" w:color="auto"/>
              <w:bottom w:val="single" w:sz="4" w:space="0" w:color="auto"/>
              <w:right w:val="single" w:sz="4" w:space="0" w:color="auto"/>
            </w:tcBorders>
            <w:hideMark/>
          </w:tcPr>
          <w:p w14:paraId="1397590A"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ЗЗПС, ПЗЗП</w:t>
            </w:r>
          </w:p>
        </w:tc>
        <w:tc>
          <w:tcPr>
            <w:tcW w:w="1354" w:type="dxa"/>
            <w:tcBorders>
              <w:top w:val="single" w:sz="4" w:space="0" w:color="auto"/>
              <w:left w:val="single" w:sz="4" w:space="0" w:color="auto"/>
              <w:bottom w:val="single" w:sz="4" w:space="0" w:color="auto"/>
              <w:right w:val="single" w:sz="4" w:space="0" w:color="auto"/>
            </w:tcBorders>
            <w:hideMark/>
          </w:tcPr>
          <w:p w14:paraId="303F93B9"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2027.</w:t>
            </w:r>
          </w:p>
        </w:tc>
        <w:tc>
          <w:tcPr>
            <w:tcW w:w="1695" w:type="dxa"/>
            <w:tcBorders>
              <w:top w:val="single" w:sz="4" w:space="0" w:color="auto"/>
              <w:left w:val="single" w:sz="4" w:space="0" w:color="auto"/>
              <w:bottom w:val="single" w:sz="4" w:space="0" w:color="auto"/>
              <w:right w:val="single" w:sz="4" w:space="0" w:color="auto"/>
            </w:tcBorders>
          </w:tcPr>
          <w:p w14:paraId="1212F7CD" w14:textId="092DEEEE" w:rsidR="00CF69DC" w:rsidRPr="00EF2F18" w:rsidRDefault="00CF69DC" w:rsidP="00752CA0">
            <w:pPr>
              <w:spacing w:after="0"/>
              <w:rPr>
                <w:rFonts w:eastAsia="Times New Roman" w:cs="Times New Roman"/>
                <w:color w:val="000000"/>
                <w:sz w:val="20"/>
                <w:szCs w:val="20"/>
                <w:highlight w:val="yellow"/>
                <w:lang w:val="sr-Cyrl-RS" w:eastAsia="en-GB"/>
              </w:rPr>
            </w:pPr>
            <w:r w:rsidRPr="00EF2F18">
              <w:rPr>
                <w:rFonts w:eastAsia="Times New Roman" w:cs="Times New Roman"/>
                <w:color w:val="000000"/>
                <w:sz w:val="20"/>
                <w:szCs w:val="20"/>
                <w:lang w:val="sr-Cyrl-RS" w:eastAsia="en-GB"/>
              </w:rPr>
              <w:t>*</w:t>
            </w:r>
          </w:p>
        </w:tc>
        <w:tc>
          <w:tcPr>
            <w:tcW w:w="1340" w:type="dxa"/>
            <w:tcBorders>
              <w:top w:val="single" w:sz="4" w:space="0" w:color="auto"/>
              <w:left w:val="single" w:sz="4" w:space="0" w:color="auto"/>
              <w:bottom w:val="single" w:sz="4" w:space="0" w:color="auto"/>
              <w:right w:val="single" w:sz="4" w:space="0" w:color="auto"/>
            </w:tcBorders>
          </w:tcPr>
          <w:p w14:paraId="7CB933E8" w14:textId="6778B7BB"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bottom w:val="single" w:sz="4" w:space="0" w:color="auto"/>
              <w:right w:val="single" w:sz="4" w:space="0" w:color="auto"/>
            </w:tcBorders>
          </w:tcPr>
          <w:p w14:paraId="48D817D4" w14:textId="4EC24A42" w:rsidR="00CF69DC" w:rsidRPr="00EF2F18" w:rsidRDefault="00CF69DC" w:rsidP="00752CA0">
            <w:pPr>
              <w:spacing w:after="0"/>
              <w:jc w:val="right"/>
              <w:rPr>
                <w:rFonts w:eastAsia="Times New Roman" w:cs="Times New Roman"/>
                <w:color w:val="000000"/>
                <w:sz w:val="20"/>
                <w:szCs w:val="20"/>
                <w:lang w:val="sr-Cyrl-RS" w:eastAsia="en-GB"/>
              </w:rPr>
            </w:pPr>
          </w:p>
        </w:tc>
        <w:tc>
          <w:tcPr>
            <w:tcW w:w="1517" w:type="dxa"/>
            <w:tcBorders>
              <w:top w:val="single" w:sz="4" w:space="0" w:color="auto"/>
              <w:left w:val="single" w:sz="4" w:space="0" w:color="auto"/>
              <w:bottom w:val="single" w:sz="4" w:space="0" w:color="auto"/>
              <w:right w:val="single" w:sz="4" w:space="0" w:color="auto"/>
            </w:tcBorders>
          </w:tcPr>
          <w:p w14:paraId="2516E94C" w14:textId="2BBEB8BF" w:rsidR="00CF69DC" w:rsidRPr="00EF2F18" w:rsidRDefault="00CF69DC" w:rsidP="00752CA0">
            <w:pPr>
              <w:spacing w:after="0"/>
              <w:jc w:val="right"/>
              <w:rPr>
                <w:rFonts w:eastAsia="Times New Roman" w:cs="Times New Roman"/>
                <w:color w:val="000000"/>
                <w:sz w:val="20"/>
                <w:szCs w:val="20"/>
                <w:lang w:val="sr-Cyrl-RS" w:eastAsia="en-GB"/>
              </w:rPr>
            </w:pPr>
          </w:p>
        </w:tc>
        <w:tc>
          <w:tcPr>
            <w:tcW w:w="1821" w:type="dxa"/>
            <w:gridSpan w:val="2"/>
            <w:tcBorders>
              <w:top w:val="single" w:sz="4" w:space="0" w:color="auto"/>
              <w:left w:val="single" w:sz="4" w:space="0" w:color="auto"/>
              <w:bottom w:val="single" w:sz="4" w:space="0" w:color="auto"/>
              <w:right w:val="double" w:sz="4" w:space="0" w:color="auto"/>
            </w:tcBorders>
          </w:tcPr>
          <w:p w14:paraId="7B00D4CF" w14:textId="5C2FAAF7" w:rsidR="00CF69DC" w:rsidRPr="00EF2F18" w:rsidRDefault="00CF69DC" w:rsidP="00752CA0">
            <w:pPr>
              <w:spacing w:after="0"/>
              <w:jc w:val="right"/>
              <w:rPr>
                <w:rFonts w:eastAsia="Times New Roman" w:cs="Times New Roman"/>
                <w:color w:val="000000"/>
                <w:sz w:val="20"/>
                <w:szCs w:val="20"/>
                <w:lang w:val="sr-Cyrl-RS" w:eastAsia="en-GB"/>
              </w:rPr>
            </w:pPr>
          </w:p>
        </w:tc>
      </w:tr>
      <w:tr w:rsidR="00CF69DC" w:rsidRPr="00EF2F18" w14:paraId="78011394" w14:textId="77777777" w:rsidTr="009B57B8">
        <w:trPr>
          <w:gridAfter w:val="1"/>
          <w:wAfter w:w="236" w:type="dxa"/>
          <w:trHeight w:val="732"/>
        </w:trPr>
        <w:tc>
          <w:tcPr>
            <w:tcW w:w="2290" w:type="dxa"/>
            <w:vMerge w:val="restart"/>
            <w:tcBorders>
              <w:top w:val="single" w:sz="4" w:space="0" w:color="auto"/>
              <w:left w:val="double" w:sz="4" w:space="0" w:color="auto"/>
              <w:bottom w:val="single" w:sz="4" w:space="0" w:color="auto"/>
              <w:right w:val="single" w:sz="4" w:space="0" w:color="auto"/>
            </w:tcBorders>
            <w:hideMark/>
          </w:tcPr>
          <w:p w14:paraId="5D72F811"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6.3.1.8 Континуирано спровођење обука за запослене који се баве пословима мониторинга квалитета животне средине</w:t>
            </w:r>
          </w:p>
        </w:tc>
        <w:tc>
          <w:tcPr>
            <w:tcW w:w="1146" w:type="dxa"/>
            <w:vMerge w:val="restart"/>
            <w:tcBorders>
              <w:top w:val="single" w:sz="4" w:space="0" w:color="auto"/>
              <w:left w:val="single" w:sz="4" w:space="0" w:color="auto"/>
              <w:bottom w:val="single" w:sz="4" w:space="0" w:color="auto"/>
              <w:right w:val="single" w:sz="4" w:space="0" w:color="auto"/>
            </w:tcBorders>
            <w:hideMark/>
          </w:tcPr>
          <w:p w14:paraId="1EA37AF2"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94" w:type="dxa"/>
            <w:vMerge w:val="restart"/>
            <w:tcBorders>
              <w:top w:val="single" w:sz="4" w:space="0" w:color="auto"/>
              <w:left w:val="single" w:sz="4" w:space="0" w:color="auto"/>
              <w:bottom w:val="single" w:sz="4" w:space="0" w:color="auto"/>
              <w:right w:val="single" w:sz="4" w:space="0" w:color="auto"/>
            </w:tcBorders>
            <w:hideMark/>
          </w:tcPr>
          <w:p w14:paraId="00B0566E" w14:textId="0896F4BF"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ЗЗПС, ПЗЗП, РХМЗ</w:t>
            </w:r>
          </w:p>
        </w:tc>
        <w:tc>
          <w:tcPr>
            <w:tcW w:w="1354" w:type="dxa"/>
            <w:vMerge w:val="restart"/>
            <w:tcBorders>
              <w:top w:val="single" w:sz="4" w:space="0" w:color="auto"/>
              <w:left w:val="single" w:sz="4" w:space="0" w:color="auto"/>
              <w:bottom w:val="single" w:sz="4" w:space="0" w:color="auto"/>
              <w:right w:val="single" w:sz="4" w:space="0" w:color="auto"/>
            </w:tcBorders>
            <w:hideMark/>
          </w:tcPr>
          <w:p w14:paraId="07F07C80"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5" w:type="dxa"/>
            <w:vMerge w:val="restart"/>
            <w:tcBorders>
              <w:top w:val="single" w:sz="4" w:space="0" w:color="auto"/>
              <w:left w:val="single" w:sz="4" w:space="0" w:color="auto"/>
              <w:bottom w:val="single" w:sz="4" w:space="0" w:color="auto"/>
              <w:right w:val="single" w:sz="4" w:space="0" w:color="auto"/>
            </w:tcBorders>
            <w:hideMark/>
          </w:tcPr>
          <w:p w14:paraId="2FE4F95E"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vMerge w:val="restart"/>
            <w:tcBorders>
              <w:top w:val="single" w:sz="4" w:space="0" w:color="auto"/>
              <w:left w:val="single" w:sz="4" w:space="0" w:color="auto"/>
              <w:bottom w:val="single" w:sz="4" w:space="0" w:color="auto"/>
              <w:right w:val="single" w:sz="4" w:space="0" w:color="auto"/>
            </w:tcBorders>
            <w:hideMark/>
          </w:tcPr>
          <w:p w14:paraId="7E3F595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0404-560-0004-423</w:t>
            </w:r>
          </w:p>
        </w:tc>
        <w:tc>
          <w:tcPr>
            <w:tcW w:w="1118" w:type="dxa"/>
            <w:vMerge w:val="restart"/>
            <w:tcBorders>
              <w:top w:val="single" w:sz="4" w:space="0" w:color="auto"/>
              <w:left w:val="single" w:sz="4" w:space="0" w:color="auto"/>
              <w:bottom w:val="single" w:sz="4" w:space="0" w:color="auto"/>
              <w:right w:val="single" w:sz="4" w:space="0" w:color="auto"/>
            </w:tcBorders>
            <w:hideMark/>
          </w:tcPr>
          <w:p w14:paraId="11274EA3"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c>
          <w:tcPr>
            <w:tcW w:w="1517" w:type="dxa"/>
            <w:vMerge w:val="restart"/>
            <w:tcBorders>
              <w:top w:val="single" w:sz="4" w:space="0" w:color="auto"/>
              <w:left w:val="single" w:sz="4" w:space="0" w:color="auto"/>
              <w:bottom w:val="single" w:sz="4" w:space="0" w:color="auto"/>
              <w:right w:val="single" w:sz="4" w:space="0" w:color="auto"/>
            </w:tcBorders>
            <w:hideMark/>
          </w:tcPr>
          <w:p w14:paraId="2C0074D2"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c>
          <w:tcPr>
            <w:tcW w:w="1821" w:type="dxa"/>
            <w:gridSpan w:val="2"/>
            <w:vMerge w:val="restart"/>
            <w:tcBorders>
              <w:top w:val="single" w:sz="4" w:space="0" w:color="auto"/>
              <w:left w:val="single" w:sz="4" w:space="0" w:color="auto"/>
              <w:bottom w:val="single" w:sz="4" w:space="0" w:color="auto"/>
              <w:right w:val="double" w:sz="4" w:space="0" w:color="auto"/>
            </w:tcBorders>
            <w:hideMark/>
          </w:tcPr>
          <w:p w14:paraId="288E5935" w14:textId="39895414"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2.000</w:t>
            </w:r>
          </w:p>
        </w:tc>
      </w:tr>
      <w:tr w:rsidR="00CF69DC" w:rsidRPr="00EF2F18" w14:paraId="59B7453D" w14:textId="77777777" w:rsidTr="009B57B8">
        <w:trPr>
          <w:trHeight w:val="324"/>
        </w:trPr>
        <w:tc>
          <w:tcPr>
            <w:tcW w:w="2290" w:type="dxa"/>
            <w:vMerge/>
            <w:tcBorders>
              <w:top w:val="single" w:sz="4" w:space="0" w:color="auto"/>
              <w:left w:val="double" w:sz="4" w:space="0" w:color="auto"/>
              <w:bottom w:val="single" w:sz="4" w:space="0" w:color="auto"/>
              <w:right w:val="single" w:sz="4" w:space="0" w:color="auto"/>
            </w:tcBorders>
            <w:vAlign w:val="center"/>
            <w:hideMark/>
          </w:tcPr>
          <w:p w14:paraId="5C58FFFD" w14:textId="77777777" w:rsidR="00CF69DC" w:rsidRPr="00EF2F18" w:rsidRDefault="00CF69DC" w:rsidP="00752CA0">
            <w:pPr>
              <w:spacing w:after="0"/>
              <w:rPr>
                <w:rFonts w:eastAsia="Times New Roman" w:cs="Times New Roman"/>
                <w:color w:val="000000"/>
                <w:sz w:val="20"/>
                <w:szCs w:val="20"/>
                <w:lang w:val="sr-Cyrl-RS" w:eastAsia="en-GB"/>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5D61640D" w14:textId="77777777" w:rsidR="00CF69DC" w:rsidRPr="00EF2F18" w:rsidRDefault="00CF69DC" w:rsidP="00752CA0">
            <w:pPr>
              <w:spacing w:after="0"/>
              <w:rPr>
                <w:rFonts w:eastAsia="Times New Roman" w:cs="Times New Roman"/>
                <w:color w:val="000000"/>
                <w:sz w:val="20"/>
                <w:szCs w:val="20"/>
                <w:lang w:val="sr-Cyrl-RS" w:eastAsia="en-GB"/>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7C482A13" w14:textId="77777777" w:rsidR="00CF69DC" w:rsidRPr="00EF2F18" w:rsidRDefault="00CF69DC" w:rsidP="00752CA0">
            <w:pPr>
              <w:spacing w:after="0"/>
              <w:rPr>
                <w:rFonts w:eastAsia="Times New Roman" w:cs="Times New Roman"/>
                <w:color w:val="000000"/>
                <w:sz w:val="20"/>
                <w:szCs w:val="20"/>
                <w:lang w:val="sr-Cyrl-RS" w:eastAsia="en-GB"/>
              </w:rPr>
            </w:pPr>
          </w:p>
        </w:tc>
        <w:tc>
          <w:tcPr>
            <w:tcW w:w="1354" w:type="dxa"/>
            <w:vMerge/>
            <w:tcBorders>
              <w:top w:val="single" w:sz="4" w:space="0" w:color="auto"/>
              <w:left w:val="single" w:sz="4" w:space="0" w:color="auto"/>
              <w:bottom w:val="single" w:sz="4" w:space="0" w:color="auto"/>
              <w:right w:val="single" w:sz="4" w:space="0" w:color="auto"/>
            </w:tcBorders>
            <w:vAlign w:val="center"/>
            <w:hideMark/>
          </w:tcPr>
          <w:p w14:paraId="7783158F" w14:textId="77777777" w:rsidR="00CF69DC" w:rsidRPr="00EF2F18" w:rsidRDefault="00CF69DC" w:rsidP="00752CA0">
            <w:pPr>
              <w:spacing w:after="0"/>
              <w:rPr>
                <w:rFonts w:eastAsia="Times New Roman" w:cs="Times New Roman"/>
                <w:color w:val="000000"/>
                <w:sz w:val="20"/>
                <w:szCs w:val="20"/>
                <w:lang w:val="sr-Cyrl-RS" w:eastAsia="en-GB"/>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14:paraId="7ADEF61F" w14:textId="77777777" w:rsidR="00CF69DC" w:rsidRPr="00EF2F18" w:rsidRDefault="00CF69DC" w:rsidP="00752CA0">
            <w:pPr>
              <w:spacing w:after="0"/>
              <w:rPr>
                <w:rFonts w:eastAsia="Times New Roman" w:cs="Times New Roman"/>
                <w:color w:val="000000"/>
                <w:sz w:val="20"/>
                <w:szCs w:val="20"/>
                <w:lang w:val="sr-Cyrl-RS" w:eastAsia="en-GB"/>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5695081C" w14:textId="77777777" w:rsidR="00CF69DC" w:rsidRPr="00EF2F18" w:rsidRDefault="00CF69DC" w:rsidP="00752CA0">
            <w:pPr>
              <w:spacing w:after="0"/>
              <w:rPr>
                <w:rFonts w:eastAsia="Times New Roman" w:cs="Times New Roman"/>
                <w:color w:val="000000"/>
                <w:sz w:val="20"/>
                <w:szCs w:val="20"/>
                <w:lang w:val="sr-Cyrl-RS" w:eastAsia="en-GB"/>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723CA565" w14:textId="77777777" w:rsidR="00CF69DC" w:rsidRPr="00EF2F18" w:rsidRDefault="00CF69DC" w:rsidP="00752CA0">
            <w:pPr>
              <w:spacing w:after="0"/>
              <w:rPr>
                <w:rFonts w:eastAsia="Times New Roman" w:cs="Times New Roman"/>
                <w:color w:val="000000"/>
                <w:sz w:val="20"/>
                <w:szCs w:val="20"/>
                <w:lang w:val="sr-Cyrl-RS" w:eastAsia="en-GB"/>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1BA21B64" w14:textId="77777777" w:rsidR="00CF69DC" w:rsidRPr="00EF2F18" w:rsidRDefault="00CF69DC" w:rsidP="00752CA0">
            <w:pPr>
              <w:spacing w:after="0"/>
              <w:rPr>
                <w:rFonts w:eastAsia="Times New Roman" w:cs="Times New Roman"/>
                <w:color w:val="000000"/>
                <w:sz w:val="20"/>
                <w:szCs w:val="20"/>
                <w:lang w:val="sr-Cyrl-RS" w:eastAsia="en-GB"/>
              </w:rPr>
            </w:pPr>
          </w:p>
        </w:tc>
        <w:tc>
          <w:tcPr>
            <w:tcW w:w="1821" w:type="dxa"/>
            <w:gridSpan w:val="2"/>
            <w:vMerge/>
            <w:tcBorders>
              <w:top w:val="single" w:sz="4" w:space="0" w:color="auto"/>
              <w:left w:val="single" w:sz="4" w:space="0" w:color="auto"/>
              <w:bottom w:val="single" w:sz="4" w:space="0" w:color="auto"/>
              <w:right w:val="double" w:sz="4" w:space="0" w:color="auto"/>
            </w:tcBorders>
            <w:vAlign w:val="center"/>
            <w:hideMark/>
          </w:tcPr>
          <w:p w14:paraId="35017D02" w14:textId="77777777" w:rsidR="00CF69DC" w:rsidRPr="00EF2F18" w:rsidRDefault="00CF69DC" w:rsidP="00752CA0">
            <w:pPr>
              <w:spacing w:after="0"/>
              <w:rPr>
                <w:rFonts w:eastAsia="Times New Roman" w:cs="Times New Roman"/>
                <w:color w:val="000000"/>
                <w:sz w:val="20"/>
                <w:szCs w:val="20"/>
                <w:lang w:val="sr-Cyrl-RS" w:eastAsia="en-GB"/>
              </w:rPr>
            </w:pPr>
          </w:p>
        </w:tc>
        <w:tc>
          <w:tcPr>
            <w:tcW w:w="236" w:type="dxa"/>
            <w:tcBorders>
              <w:top w:val="nil"/>
              <w:left w:val="double" w:sz="4" w:space="0" w:color="auto"/>
              <w:bottom w:val="nil"/>
              <w:right w:val="nil"/>
            </w:tcBorders>
            <w:noWrap/>
            <w:vAlign w:val="bottom"/>
            <w:hideMark/>
          </w:tcPr>
          <w:p w14:paraId="1525799D" w14:textId="77777777" w:rsidR="00CF69DC" w:rsidRPr="00EF2F18" w:rsidRDefault="00CF69DC" w:rsidP="00752CA0">
            <w:pPr>
              <w:spacing w:after="0"/>
              <w:rPr>
                <w:rFonts w:eastAsia="Times New Roman" w:cs="Times New Roman"/>
                <w:color w:val="000000"/>
                <w:sz w:val="20"/>
                <w:szCs w:val="20"/>
                <w:lang w:val="sr-Cyrl-RS" w:eastAsia="en-GB"/>
              </w:rPr>
            </w:pPr>
          </w:p>
        </w:tc>
      </w:tr>
      <w:tr w:rsidR="00CF69DC" w:rsidRPr="00EF2F18" w14:paraId="0B9825EC" w14:textId="77777777" w:rsidTr="009B57B8">
        <w:trPr>
          <w:trHeight w:val="1332"/>
        </w:trPr>
        <w:tc>
          <w:tcPr>
            <w:tcW w:w="2290" w:type="dxa"/>
            <w:tcBorders>
              <w:top w:val="single" w:sz="4" w:space="0" w:color="auto"/>
              <w:left w:val="double" w:sz="4" w:space="0" w:color="auto"/>
              <w:bottom w:val="single" w:sz="4" w:space="0" w:color="auto"/>
              <w:right w:val="single" w:sz="4" w:space="0" w:color="auto"/>
            </w:tcBorders>
            <w:hideMark/>
          </w:tcPr>
          <w:p w14:paraId="66E820C1" w14:textId="33D33F34"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6.3.1.9.</w:t>
            </w:r>
            <w:r w:rsidR="001534F6" w:rsidRPr="00EF2F18">
              <w:rPr>
                <w:rFonts w:eastAsia="Times New Roman" w:cs="Times New Roman"/>
                <w:color w:val="000000"/>
                <w:sz w:val="20"/>
                <w:szCs w:val="20"/>
                <w:lang w:val="sr-Cyrl-RS" w:eastAsia="en-GB"/>
              </w:rPr>
              <w:t xml:space="preserve"> </w:t>
            </w:r>
            <w:r w:rsidRPr="00EF2F18">
              <w:rPr>
                <w:rFonts w:eastAsia="Times New Roman" w:cs="Times New Roman"/>
                <w:color w:val="000000"/>
                <w:sz w:val="20"/>
                <w:szCs w:val="20"/>
                <w:lang w:val="sr-Cyrl-RS" w:eastAsia="en-GB"/>
              </w:rPr>
              <w:t>Набавка додатне мерне опреме, за мониторинг вода, ваздуха, земљишта, биодиверзитета и др.</w:t>
            </w:r>
          </w:p>
        </w:tc>
        <w:tc>
          <w:tcPr>
            <w:tcW w:w="1146" w:type="dxa"/>
            <w:tcBorders>
              <w:top w:val="single" w:sz="4" w:space="0" w:color="auto"/>
              <w:left w:val="single" w:sz="4" w:space="0" w:color="auto"/>
              <w:bottom w:val="single" w:sz="4" w:space="0" w:color="auto"/>
              <w:right w:val="single" w:sz="4" w:space="0" w:color="auto"/>
            </w:tcBorders>
            <w:hideMark/>
          </w:tcPr>
          <w:p w14:paraId="723D8605"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94" w:type="dxa"/>
            <w:tcBorders>
              <w:top w:val="single" w:sz="4" w:space="0" w:color="auto"/>
              <w:left w:val="single" w:sz="4" w:space="0" w:color="auto"/>
              <w:bottom w:val="single" w:sz="4" w:space="0" w:color="auto"/>
              <w:right w:val="single" w:sz="4" w:space="0" w:color="auto"/>
            </w:tcBorders>
            <w:hideMark/>
          </w:tcPr>
          <w:p w14:paraId="3D4B5BF6"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РХМЗ</w:t>
            </w:r>
          </w:p>
        </w:tc>
        <w:tc>
          <w:tcPr>
            <w:tcW w:w="1354" w:type="dxa"/>
            <w:tcBorders>
              <w:top w:val="single" w:sz="4" w:space="0" w:color="auto"/>
              <w:left w:val="single" w:sz="4" w:space="0" w:color="auto"/>
              <w:bottom w:val="single" w:sz="4" w:space="0" w:color="auto"/>
              <w:right w:val="single" w:sz="4" w:space="0" w:color="auto"/>
            </w:tcBorders>
            <w:hideMark/>
          </w:tcPr>
          <w:p w14:paraId="0F13C6CF"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5" w:type="dxa"/>
            <w:tcBorders>
              <w:top w:val="single" w:sz="4" w:space="0" w:color="auto"/>
              <w:left w:val="single" w:sz="4" w:space="0" w:color="auto"/>
              <w:bottom w:val="single" w:sz="4" w:space="0" w:color="auto"/>
              <w:right w:val="single" w:sz="4" w:space="0" w:color="auto"/>
            </w:tcBorders>
          </w:tcPr>
          <w:p w14:paraId="04BEAFE5" w14:textId="39432F47" w:rsidR="00CF69DC" w:rsidRPr="00EF2F18" w:rsidRDefault="00176CE1"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40" w:type="dxa"/>
            <w:tcBorders>
              <w:top w:val="single" w:sz="4" w:space="0" w:color="auto"/>
              <w:left w:val="single" w:sz="4" w:space="0" w:color="auto"/>
              <w:bottom w:val="single" w:sz="4" w:space="0" w:color="auto"/>
              <w:right w:val="single" w:sz="4" w:space="0" w:color="auto"/>
            </w:tcBorders>
          </w:tcPr>
          <w:p w14:paraId="226E9C9D" w14:textId="7E7FBDF1" w:rsidR="00CF69DC" w:rsidRPr="00EF2F18" w:rsidRDefault="00CF69DC" w:rsidP="00752CA0">
            <w:pPr>
              <w:spacing w:after="0"/>
              <w:rPr>
                <w:rFonts w:eastAsia="Times New Roman" w:cs="Times New Roman"/>
                <w:color w:val="000000"/>
                <w:sz w:val="20"/>
                <w:szCs w:val="20"/>
                <w:lang w:val="sr-Cyrl-RS" w:eastAsia="en-GB"/>
              </w:rPr>
            </w:pPr>
          </w:p>
        </w:tc>
        <w:tc>
          <w:tcPr>
            <w:tcW w:w="1118" w:type="dxa"/>
            <w:tcBorders>
              <w:top w:val="single" w:sz="4" w:space="0" w:color="auto"/>
              <w:left w:val="single" w:sz="4" w:space="0" w:color="auto"/>
              <w:bottom w:val="single" w:sz="4" w:space="0" w:color="auto"/>
              <w:right w:val="single" w:sz="4" w:space="0" w:color="auto"/>
            </w:tcBorders>
          </w:tcPr>
          <w:p w14:paraId="725F2DEB" w14:textId="54334EC7" w:rsidR="00CF69DC" w:rsidRPr="00EF2F18" w:rsidRDefault="00CF69DC" w:rsidP="00752CA0">
            <w:pPr>
              <w:spacing w:after="0"/>
              <w:jc w:val="right"/>
              <w:rPr>
                <w:rFonts w:eastAsia="Times New Roman" w:cs="Times New Roman"/>
                <w:color w:val="000000"/>
                <w:sz w:val="20"/>
                <w:szCs w:val="20"/>
                <w:lang w:val="sr-Cyrl-RS" w:eastAsia="en-GB"/>
              </w:rPr>
            </w:pPr>
          </w:p>
        </w:tc>
        <w:tc>
          <w:tcPr>
            <w:tcW w:w="1517" w:type="dxa"/>
            <w:tcBorders>
              <w:top w:val="single" w:sz="4" w:space="0" w:color="auto"/>
              <w:left w:val="single" w:sz="4" w:space="0" w:color="auto"/>
              <w:bottom w:val="single" w:sz="4" w:space="0" w:color="auto"/>
              <w:right w:val="single" w:sz="4" w:space="0" w:color="auto"/>
            </w:tcBorders>
          </w:tcPr>
          <w:p w14:paraId="48717753" w14:textId="693FEB50" w:rsidR="00CF69DC" w:rsidRPr="00EF2F18" w:rsidRDefault="00CF69DC" w:rsidP="00752CA0">
            <w:pPr>
              <w:spacing w:after="0"/>
              <w:jc w:val="right"/>
              <w:rPr>
                <w:rFonts w:eastAsia="Times New Roman" w:cs="Times New Roman"/>
                <w:color w:val="000000"/>
                <w:sz w:val="20"/>
                <w:szCs w:val="20"/>
                <w:lang w:val="sr-Cyrl-RS" w:eastAsia="en-GB"/>
              </w:rPr>
            </w:pPr>
          </w:p>
        </w:tc>
        <w:tc>
          <w:tcPr>
            <w:tcW w:w="1821" w:type="dxa"/>
            <w:gridSpan w:val="2"/>
            <w:tcBorders>
              <w:top w:val="single" w:sz="4" w:space="0" w:color="auto"/>
              <w:left w:val="single" w:sz="4" w:space="0" w:color="auto"/>
              <w:bottom w:val="single" w:sz="4" w:space="0" w:color="auto"/>
              <w:right w:val="double" w:sz="4" w:space="0" w:color="auto"/>
            </w:tcBorders>
          </w:tcPr>
          <w:p w14:paraId="43FB74CF" w14:textId="7364488B" w:rsidR="00CF69DC" w:rsidRPr="00EF2F18" w:rsidRDefault="00CF69DC" w:rsidP="00752CA0">
            <w:pPr>
              <w:spacing w:after="0"/>
              <w:jc w:val="right"/>
              <w:rPr>
                <w:rFonts w:eastAsia="Times New Roman" w:cs="Times New Roman"/>
                <w:color w:val="000000"/>
                <w:sz w:val="20"/>
                <w:szCs w:val="20"/>
                <w:lang w:val="sr-Cyrl-RS" w:eastAsia="en-GB"/>
              </w:rPr>
            </w:pPr>
          </w:p>
        </w:tc>
        <w:tc>
          <w:tcPr>
            <w:tcW w:w="236" w:type="dxa"/>
            <w:tcBorders>
              <w:left w:val="double" w:sz="4" w:space="0" w:color="auto"/>
            </w:tcBorders>
            <w:vAlign w:val="center"/>
            <w:hideMark/>
          </w:tcPr>
          <w:p w14:paraId="20BCF1E2" w14:textId="77777777" w:rsidR="00CF69DC" w:rsidRPr="00EF2F18" w:rsidRDefault="00CF69DC" w:rsidP="00752CA0">
            <w:pPr>
              <w:spacing w:after="0"/>
              <w:rPr>
                <w:rFonts w:eastAsia="Times New Roman" w:cs="Times New Roman"/>
                <w:sz w:val="20"/>
                <w:szCs w:val="20"/>
                <w:lang w:val="sr-Cyrl-RS" w:eastAsia="en-GB"/>
              </w:rPr>
            </w:pPr>
          </w:p>
        </w:tc>
      </w:tr>
      <w:tr w:rsidR="00CF69DC" w:rsidRPr="00EF2F18" w14:paraId="6AD5DDBF" w14:textId="77777777" w:rsidTr="009B57B8">
        <w:trPr>
          <w:trHeight w:val="1320"/>
        </w:trPr>
        <w:tc>
          <w:tcPr>
            <w:tcW w:w="2290" w:type="dxa"/>
            <w:tcBorders>
              <w:top w:val="single" w:sz="4" w:space="0" w:color="auto"/>
              <w:left w:val="double" w:sz="4" w:space="0" w:color="auto"/>
              <w:bottom w:val="single" w:sz="4" w:space="0" w:color="auto"/>
              <w:right w:val="single" w:sz="4" w:space="0" w:color="auto"/>
            </w:tcBorders>
            <w:hideMark/>
          </w:tcPr>
          <w:p w14:paraId="66F398C3"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6.3.1.10. Развој методологије за праћење здравственог стања становништва са аспектом деловања чинилаца животне средине</w:t>
            </w:r>
          </w:p>
        </w:tc>
        <w:tc>
          <w:tcPr>
            <w:tcW w:w="1146" w:type="dxa"/>
            <w:tcBorders>
              <w:top w:val="single" w:sz="4" w:space="0" w:color="auto"/>
              <w:left w:val="single" w:sz="4" w:space="0" w:color="auto"/>
              <w:bottom w:val="single" w:sz="4" w:space="0" w:color="auto"/>
              <w:right w:val="single" w:sz="4" w:space="0" w:color="auto"/>
            </w:tcBorders>
            <w:hideMark/>
          </w:tcPr>
          <w:p w14:paraId="2A385C5D"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w:t>
            </w:r>
          </w:p>
        </w:tc>
        <w:tc>
          <w:tcPr>
            <w:tcW w:w="1294" w:type="dxa"/>
            <w:tcBorders>
              <w:top w:val="single" w:sz="4" w:space="0" w:color="auto"/>
              <w:left w:val="single" w:sz="4" w:space="0" w:color="auto"/>
              <w:bottom w:val="single" w:sz="4" w:space="0" w:color="auto"/>
              <w:right w:val="single" w:sz="4" w:space="0" w:color="auto"/>
            </w:tcBorders>
            <w:hideMark/>
          </w:tcPr>
          <w:p w14:paraId="4F3C285C"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АЗЖС, ЗЗЈЗ</w:t>
            </w:r>
          </w:p>
        </w:tc>
        <w:tc>
          <w:tcPr>
            <w:tcW w:w="1354" w:type="dxa"/>
            <w:tcBorders>
              <w:top w:val="single" w:sz="4" w:space="0" w:color="auto"/>
              <w:left w:val="single" w:sz="4" w:space="0" w:color="auto"/>
              <w:bottom w:val="single" w:sz="4" w:space="0" w:color="auto"/>
              <w:right w:val="single" w:sz="4" w:space="0" w:color="auto"/>
            </w:tcBorders>
            <w:hideMark/>
          </w:tcPr>
          <w:p w14:paraId="51E543B0" w14:textId="7777777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5" w:type="dxa"/>
            <w:tcBorders>
              <w:top w:val="single" w:sz="4" w:space="0" w:color="auto"/>
              <w:left w:val="single" w:sz="4" w:space="0" w:color="auto"/>
              <w:bottom w:val="single" w:sz="4" w:space="0" w:color="auto"/>
              <w:right w:val="single" w:sz="4" w:space="0" w:color="auto"/>
            </w:tcBorders>
            <w:hideMark/>
          </w:tcPr>
          <w:p w14:paraId="636290DA" w14:textId="496C6FFB"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single" w:sz="4" w:space="0" w:color="auto"/>
              <w:bottom w:val="single" w:sz="4" w:space="0" w:color="auto"/>
              <w:right w:val="single" w:sz="4" w:space="0" w:color="auto"/>
            </w:tcBorders>
            <w:hideMark/>
          </w:tcPr>
          <w:p w14:paraId="575BD3D6" w14:textId="5C972A67"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1802-760-0002-465</w:t>
            </w:r>
          </w:p>
        </w:tc>
        <w:tc>
          <w:tcPr>
            <w:tcW w:w="1118" w:type="dxa"/>
            <w:tcBorders>
              <w:top w:val="single" w:sz="4" w:space="0" w:color="auto"/>
              <w:left w:val="single" w:sz="4" w:space="0" w:color="auto"/>
              <w:bottom w:val="single" w:sz="4" w:space="0" w:color="auto"/>
              <w:right w:val="single" w:sz="4" w:space="0" w:color="auto"/>
            </w:tcBorders>
            <w:hideMark/>
          </w:tcPr>
          <w:p w14:paraId="7386D7B0"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5.838</w:t>
            </w:r>
          </w:p>
        </w:tc>
        <w:tc>
          <w:tcPr>
            <w:tcW w:w="1517" w:type="dxa"/>
            <w:tcBorders>
              <w:top w:val="single" w:sz="4" w:space="0" w:color="auto"/>
              <w:left w:val="single" w:sz="4" w:space="0" w:color="auto"/>
              <w:bottom w:val="single" w:sz="4" w:space="0" w:color="auto"/>
              <w:right w:val="single" w:sz="4" w:space="0" w:color="auto"/>
            </w:tcBorders>
            <w:hideMark/>
          </w:tcPr>
          <w:p w14:paraId="170D699C" w14:textId="77777777"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5.838</w:t>
            </w:r>
          </w:p>
        </w:tc>
        <w:tc>
          <w:tcPr>
            <w:tcW w:w="1821" w:type="dxa"/>
            <w:gridSpan w:val="2"/>
            <w:tcBorders>
              <w:top w:val="single" w:sz="4" w:space="0" w:color="auto"/>
              <w:left w:val="single" w:sz="4" w:space="0" w:color="auto"/>
              <w:bottom w:val="single" w:sz="4" w:space="0" w:color="auto"/>
              <w:right w:val="double" w:sz="4" w:space="0" w:color="auto"/>
            </w:tcBorders>
            <w:hideMark/>
          </w:tcPr>
          <w:p w14:paraId="78994416" w14:textId="3A3EC401"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5.838</w:t>
            </w:r>
          </w:p>
        </w:tc>
        <w:tc>
          <w:tcPr>
            <w:tcW w:w="236" w:type="dxa"/>
            <w:tcBorders>
              <w:left w:val="double" w:sz="4" w:space="0" w:color="auto"/>
            </w:tcBorders>
            <w:vAlign w:val="center"/>
            <w:hideMark/>
          </w:tcPr>
          <w:p w14:paraId="2AD5E599" w14:textId="77777777" w:rsidR="00CF69DC" w:rsidRPr="00EF2F18" w:rsidRDefault="00CF69DC" w:rsidP="00752CA0">
            <w:pPr>
              <w:spacing w:after="0"/>
              <w:rPr>
                <w:rFonts w:eastAsia="Times New Roman" w:cs="Times New Roman"/>
                <w:sz w:val="20"/>
                <w:szCs w:val="20"/>
                <w:lang w:val="sr-Cyrl-RS" w:eastAsia="en-GB"/>
              </w:rPr>
            </w:pPr>
          </w:p>
        </w:tc>
      </w:tr>
      <w:tr w:rsidR="00CF69DC" w:rsidRPr="00EF2F18" w14:paraId="5DA8B778" w14:textId="7D3524B8" w:rsidTr="009B57B8">
        <w:trPr>
          <w:trHeight w:val="1068"/>
        </w:trPr>
        <w:tc>
          <w:tcPr>
            <w:tcW w:w="2290" w:type="dxa"/>
            <w:tcBorders>
              <w:top w:val="single" w:sz="4" w:space="0" w:color="auto"/>
              <w:left w:val="double" w:sz="4" w:space="0" w:color="auto"/>
              <w:bottom w:val="double" w:sz="4" w:space="0" w:color="auto"/>
              <w:right w:val="single" w:sz="4" w:space="0" w:color="auto"/>
            </w:tcBorders>
            <w:hideMark/>
          </w:tcPr>
          <w:p w14:paraId="29A8C6F3" w14:textId="48487350"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6.3.1.11. Едукација и подизање свести јавности о значају и утицају чинилаца животне средине на здравље људи.</w:t>
            </w:r>
          </w:p>
        </w:tc>
        <w:tc>
          <w:tcPr>
            <w:tcW w:w="1146" w:type="dxa"/>
            <w:tcBorders>
              <w:top w:val="single" w:sz="4" w:space="0" w:color="auto"/>
              <w:left w:val="single" w:sz="4" w:space="0" w:color="auto"/>
              <w:bottom w:val="double" w:sz="4" w:space="0" w:color="auto"/>
              <w:right w:val="single" w:sz="4" w:space="0" w:color="auto"/>
            </w:tcBorders>
            <w:hideMark/>
          </w:tcPr>
          <w:p w14:paraId="4AE514BE" w14:textId="2DA2DA04"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w:t>
            </w:r>
          </w:p>
        </w:tc>
        <w:tc>
          <w:tcPr>
            <w:tcW w:w="1294" w:type="dxa"/>
            <w:tcBorders>
              <w:top w:val="single" w:sz="4" w:space="0" w:color="auto"/>
              <w:left w:val="single" w:sz="4" w:space="0" w:color="auto"/>
              <w:bottom w:val="double" w:sz="4" w:space="0" w:color="auto"/>
              <w:right w:val="single" w:sz="4" w:space="0" w:color="auto"/>
            </w:tcBorders>
            <w:hideMark/>
          </w:tcPr>
          <w:p w14:paraId="5159AD44" w14:textId="1F1656E2"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АЗЖС, ЗЗЈЗ</w:t>
            </w:r>
          </w:p>
        </w:tc>
        <w:tc>
          <w:tcPr>
            <w:tcW w:w="1354" w:type="dxa"/>
            <w:tcBorders>
              <w:top w:val="single" w:sz="4" w:space="0" w:color="auto"/>
              <w:left w:val="single" w:sz="4" w:space="0" w:color="auto"/>
              <w:bottom w:val="double" w:sz="4" w:space="0" w:color="auto"/>
              <w:right w:val="single" w:sz="4" w:space="0" w:color="auto"/>
            </w:tcBorders>
            <w:hideMark/>
          </w:tcPr>
          <w:p w14:paraId="7858E749" w14:textId="784CE7E3"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5" w:type="dxa"/>
            <w:tcBorders>
              <w:top w:val="single" w:sz="4" w:space="0" w:color="auto"/>
              <w:left w:val="single" w:sz="4" w:space="0" w:color="auto"/>
              <w:bottom w:val="double" w:sz="4" w:space="0" w:color="auto"/>
              <w:right w:val="single" w:sz="4" w:space="0" w:color="auto"/>
            </w:tcBorders>
            <w:hideMark/>
          </w:tcPr>
          <w:p w14:paraId="05ADD6B5" w14:textId="11FBDAAC"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p>
        </w:tc>
        <w:tc>
          <w:tcPr>
            <w:tcW w:w="1340" w:type="dxa"/>
            <w:tcBorders>
              <w:top w:val="single" w:sz="4" w:space="0" w:color="auto"/>
              <w:left w:val="single" w:sz="4" w:space="0" w:color="auto"/>
              <w:bottom w:val="double" w:sz="4" w:space="0" w:color="auto"/>
              <w:right w:val="single" w:sz="4" w:space="0" w:color="auto"/>
            </w:tcBorders>
            <w:hideMark/>
          </w:tcPr>
          <w:p w14:paraId="7912828A" w14:textId="0E15D8AA" w:rsidR="00CF69DC" w:rsidRPr="00EF2F18" w:rsidRDefault="00CF69DC"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1802-760-0001-465</w:t>
            </w:r>
          </w:p>
        </w:tc>
        <w:tc>
          <w:tcPr>
            <w:tcW w:w="1118" w:type="dxa"/>
            <w:tcBorders>
              <w:top w:val="single" w:sz="4" w:space="0" w:color="auto"/>
              <w:left w:val="single" w:sz="4" w:space="0" w:color="auto"/>
              <w:bottom w:val="double" w:sz="4" w:space="0" w:color="auto"/>
              <w:right w:val="single" w:sz="4" w:space="0" w:color="auto"/>
            </w:tcBorders>
            <w:hideMark/>
          </w:tcPr>
          <w:p w14:paraId="2EBD10C8" w14:textId="731C4B98"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3.205</w:t>
            </w:r>
          </w:p>
        </w:tc>
        <w:tc>
          <w:tcPr>
            <w:tcW w:w="1517" w:type="dxa"/>
            <w:tcBorders>
              <w:top w:val="single" w:sz="4" w:space="0" w:color="auto"/>
              <w:left w:val="single" w:sz="4" w:space="0" w:color="auto"/>
              <w:bottom w:val="double" w:sz="4" w:space="0" w:color="auto"/>
              <w:right w:val="single" w:sz="4" w:space="0" w:color="auto"/>
            </w:tcBorders>
            <w:hideMark/>
          </w:tcPr>
          <w:p w14:paraId="263981C1" w14:textId="007E4C16"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3.205</w:t>
            </w:r>
          </w:p>
        </w:tc>
        <w:tc>
          <w:tcPr>
            <w:tcW w:w="1821" w:type="dxa"/>
            <w:gridSpan w:val="2"/>
            <w:tcBorders>
              <w:top w:val="single" w:sz="4" w:space="0" w:color="auto"/>
              <w:left w:val="single" w:sz="4" w:space="0" w:color="auto"/>
              <w:bottom w:val="double" w:sz="4" w:space="0" w:color="auto"/>
              <w:right w:val="double" w:sz="4" w:space="0" w:color="auto"/>
            </w:tcBorders>
            <w:hideMark/>
          </w:tcPr>
          <w:p w14:paraId="07338C54" w14:textId="6555B83C" w:rsidR="00CF69DC" w:rsidRPr="00EF2F18" w:rsidRDefault="00CF69DC"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3.205</w:t>
            </w:r>
          </w:p>
        </w:tc>
        <w:tc>
          <w:tcPr>
            <w:tcW w:w="236" w:type="dxa"/>
            <w:tcBorders>
              <w:left w:val="double" w:sz="4" w:space="0" w:color="auto"/>
            </w:tcBorders>
            <w:vAlign w:val="center"/>
            <w:hideMark/>
          </w:tcPr>
          <w:p w14:paraId="5F9B235E" w14:textId="62980643" w:rsidR="00CF69DC" w:rsidRPr="00EF2F18" w:rsidRDefault="00CF69DC" w:rsidP="00752CA0">
            <w:pPr>
              <w:spacing w:after="0"/>
              <w:rPr>
                <w:rFonts w:eastAsia="Times New Roman" w:cs="Times New Roman"/>
                <w:sz w:val="20"/>
                <w:szCs w:val="20"/>
                <w:lang w:val="sr-Cyrl-RS" w:eastAsia="en-GB"/>
              </w:rPr>
            </w:pPr>
          </w:p>
        </w:tc>
      </w:tr>
    </w:tbl>
    <w:p w14:paraId="5456E740" w14:textId="6C1581E2" w:rsidR="00021365" w:rsidRPr="00EF2F18" w:rsidRDefault="00021365" w:rsidP="007D7243">
      <w:pPr>
        <w:rPr>
          <w:rFonts w:cs="Times New Roman"/>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2C936D22" w14:textId="0FF20FDA" w:rsidR="007D7243" w:rsidRPr="00EF2F18" w:rsidRDefault="00322B7C" w:rsidP="007D7243">
      <w:pPr>
        <w:rPr>
          <w:rFonts w:cs="Times New Roman"/>
          <w:sz w:val="20"/>
          <w:szCs w:val="20"/>
          <w:lang w:val="sr-Cyrl-RS"/>
        </w:rPr>
      </w:pPr>
      <w:r w:rsidRPr="00EF2F18">
        <w:rPr>
          <w:rFonts w:cs="Times New Roman"/>
          <w:sz w:val="20"/>
          <w:szCs w:val="20"/>
          <w:lang w:val="sr-Cyrl-RS"/>
        </w:rPr>
        <w:t>** Наведена средства су обухваћена Акционим планом Програма прилагођавања на измењене климатске услове</w:t>
      </w:r>
      <w:r w:rsidR="00A0415D" w:rsidRPr="00EF2F18">
        <w:rPr>
          <w:rFonts w:cs="Times New Roman"/>
          <w:sz w:val="20"/>
          <w:szCs w:val="20"/>
          <w:lang w:val="sr-Cyrl-RS"/>
        </w:rPr>
        <w:t>.</w:t>
      </w:r>
    </w:p>
    <w:p w14:paraId="3F74F0C3" w14:textId="77777777" w:rsidR="00322B7C" w:rsidRPr="00EF2F18" w:rsidRDefault="00322B7C" w:rsidP="007D7243">
      <w:pPr>
        <w:rPr>
          <w:rFonts w:cs="Times New Roman"/>
          <w:sz w:val="20"/>
          <w:szCs w:val="20"/>
          <w:lang w:val="sr-Cyrl-RS"/>
        </w:rPr>
      </w:pPr>
    </w:p>
    <w:tbl>
      <w:tblPr>
        <w:tblW w:w="13567" w:type="dxa"/>
        <w:tblLook w:val="04A0" w:firstRow="1" w:lastRow="0" w:firstColumn="1" w:lastColumn="0" w:noHBand="0" w:noVBand="1"/>
      </w:tblPr>
      <w:tblGrid>
        <w:gridCol w:w="3230"/>
        <w:gridCol w:w="1279"/>
        <w:gridCol w:w="1278"/>
        <w:gridCol w:w="1004"/>
        <w:gridCol w:w="991"/>
        <w:gridCol w:w="1517"/>
        <w:gridCol w:w="1060"/>
        <w:gridCol w:w="1318"/>
        <w:gridCol w:w="1890"/>
      </w:tblGrid>
      <w:tr w:rsidR="007D7243" w:rsidRPr="00EF2F18" w14:paraId="410A1327" w14:textId="77777777" w:rsidTr="00EE692D">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2ECE7277"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6.3.2: Подршка развоју локалних мрежа за мониторинг квалитета животне средине</w:t>
            </w:r>
          </w:p>
        </w:tc>
      </w:tr>
      <w:tr w:rsidR="007D7243" w:rsidRPr="00EF2F18" w14:paraId="61F7D8A4" w14:textId="77777777" w:rsidTr="00EE692D">
        <w:trPr>
          <w:trHeight w:val="336"/>
        </w:trPr>
        <w:tc>
          <w:tcPr>
            <w:tcW w:w="13567" w:type="dxa"/>
            <w:gridSpan w:val="9"/>
            <w:tcBorders>
              <w:top w:val="double" w:sz="6" w:space="0" w:color="auto"/>
              <w:left w:val="double" w:sz="6" w:space="0" w:color="auto"/>
              <w:bottom w:val="double" w:sz="6" w:space="0" w:color="auto"/>
              <w:right w:val="double" w:sz="6" w:space="0" w:color="auto"/>
            </w:tcBorders>
            <w:shd w:val="clear" w:color="000000" w:fill="F7CAAC"/>
            <w:hideMark/>
          </w:tcPr>
          <w:p w14:paraId="3A8D836E" w14:textId="09C1D21A" w:rsidR="007D7243" w:rsidRPr="00EF2F18" w:rsidRDefault="007D7243" w:rsidP="001534F6">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Агенција за заштиту животне средине </w:t>
            </w:r>
            <w:r w:rsidR="001534F6" w:rsidRPr="00EF2F18">
              <w:rPr>
                <w:rFonts w:eastAsia="Times New Roman" w:cs="Times New Roman"/>
                <w:color w:val="000000"/>
                <w:sz w:val="20"/>
                <w:szCs w:val="20"/>
                <w:lang w:val="sr-Cyrl-RS" w:eastAsia="en-GB"/>
              </w:rPr>
              <w:t>–</w:t>
            </w:r>
            <w:r w:rsidRPr="00EF2F18">
              <w:rPr>
                <w:rFonts w:eastAsia="Times New Roman" w:cs="Times New Roman"/>
                <w:color w:val="000000"/>
                <w:sz w:val="20"/>
                <w:szCs w:val="20"/>
                <w:lang w:val="sr-Cyrl-RS" w:eastAsia="en-GB"/>
              </w:rPr>
              <w:t xml:space="preserve"> Министарство заштите животне средине</w:t>
            </w:r>
          </w:p>
        </w:tc>
      </w:tr>
      <w:tr w:rsidR="007D7243" w:rsidRPr="00EF2F18" w14:paraId="42CBBD0F" w14:textId="77777777" w:rsidTr="00EE692D">
        <w:trPr>
          <w:trHeight w:val="336"/>
        </w:trPr>
        <w:tc>
          <w:tcPr>
            <w:tcW w:w="6791"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7C3F08EE" w14:textId="0059409F"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EE692D"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76" w:type="dxa"/>
            <w:gridSpan w:val="5"/>
            <w:tcBorders>
              <w:top w:val="double" w:sz="6" w:space="0" w:color="auto"/>
              <w:left w:val="nil"/>
              <w:bottom w:val="double" w:sz="6" w:space="0" w:color="auto"/>
              <w:right w:val="double" w:sz="6" w:space="0" w:color="auto"/>
            </w:tcBorders>
            <w:shd w:val="clear" w:color="000000" w:fill="F7CAAC"/>
            <w:hideMark/>
          </w:tcPr>
          <w:p w14:paraId="19468E3F" w14:textId="6F16DF5F" w:rsidR="007D7243" w:rsidRPr="00EF2F18" w:rsidRDefault="001534F6"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информативно-</w:t>
            </w:r>
            <w:r w:rsidR="007D7243" w:rsidRPr="00EF2F18">
              <w:rPr>
                <w:rFonts w:eastAsia="Times New Roman" w:cs="Times New Roman"/>
                <w:color w:val="000000"/>
                <w:sz w:val="20"/>
                <w:szCs w:val="20"/>
                <w:lang w:val="sr-Cyrl-RS" w:eastAsia="en-GB"/>
              </w:rPr>
              <w:t>едукативна</w:t>
            </w:r>
          </w:p>
        </w:tc>
      </w:tr>
      <w:tr w:rsidR="007D7243" w:rsidRPr="00EF2F18" w14:paraId="3B22CEB7" w14:textId="77777777" w:rsidTr="00EE692D">
        <w:trPr>
          <w:trHeight w:val="336"/>
        </w:trPr>
        <w:tc>
          <w:tcPr>
            <w:tcW w:w="6791" w:type="dxa"/>
            <w:gridSpan w:val="4"/>
            <w:tcBorders>
              <w:top w:val="double" w:sz="6" w:space="0" w:color="auto"/>
              <w:left w:val="double" w:sz="6" w:space="0" w:color="auto"/>
              <w:bottom w:val="double" w:sz="6" w:space="0" w:color="auto"/>
              <w:right w:val="double" w:sz="6" w:space="0" w:color="000000"/>
            </w:tcBorders>
            <w:shd w:val="clear" w:color="000000" w:fill="F7CAAC"/>
            <w:hideMark/>
          </w:tcPr>
          <w:p w14:paraId="1D20CEC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76" w:type="dxa"/>
            <w:gridSpan w:val="5"/>
            <w:tcBorders>
              <w:top w:val="double" w:sz="6" w:space="0" w:color="auto"/>
              <w:left w:val="nil"/>
              <w:bottom w:val="double" w:sz="6" w:space="0" w:color="auto"/>
              <w:right w:val="double" w:sz="6" w:space="0" w:color="auto"/>
            </w:tcBorders>
            <w:shd w:val="clear" w:color="000000" w:fill="F7CAAC"/>
            <w:hideMark/>
          </w:tcPr>
          <w:p w14:paraId="0EAA6CF6"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EE692D" w:rsidRPr="00EF2F18" w14:paraId="029E0897" w14:textId="77777777" w:rsidTr="00EE692D">
        <w:trPr>
          <w:trHeight w:val="816"/>
        </w:trPr>
        <w:tc>
          <w:tcPr>
            <w:tcW w:w="3230" w:type="dxa"/>
            <w:tcBorders>
              <w:top w:val="nil"/>
              <w:left w:val="double" w:sz="6" w:space="0" w:color="auto"/>
              <w:bottom w:val="double" w:sz="6" w:space="0" w:color="auto"/>
              <w:right w:val="single" w:sz="8" w:space="0" w:color="auto"/>
            </w:tcBorders>
            <w:shd w:val="clear" w:color="000000" w:fill="D9D9D9"/>
            <w:hideMark/>
          </w:tcPr>
          <w:p w14:paraId="416128E8"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79" w:type="dxa"/>
            <w:tcBorders>
              <w:top w:val="nil"/>
              <w:left w:val="nil"/>
              <w:bottom w:val="double" w:sz="6" w:space="0" w:color="auto"/>
              <w:right w:val="single" w:sz="8" w:space="0" w:color="auto"/>
            </w:tcBorders>
            <w:shd w:val="clear" w:color="000000" w:fill="D9D9D9"/>
            <w:hideMark/>
          </w:tcPr>
          <w:p w14:paraId="476B31BC"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78" w:type="dxa"/>
            <w:tcBorders>
              <w:top w:val="nil"/>
              <w:left w:val="nil"/>
              <w:bottom w:val="double" w:sz="6" w:space="0" w:color="auto"/>
              <w:right w:val="single" w:sz="8" w:space="0" w:color="auto"/>
            </w:tcBorders>
            <w:shd w:val="clear" w:color="000000" w:fill="D9D9D9"/>
            <w:hideMark/>
          </w:tcPr>
          <w:p w14:paraId="765FD0E3"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995" w:type="dxa"/>
            <w:gridSpan w:val="2"/>
            <w:tcBorders>
              <w:top w:val="double" w:sz="6" w:space="0" w:color="auto"/>
              <w:left w:val="nil"/>
              <w:bottom w:val="double" w:sz="6" w:space="0" w:color="auto"/>
              <w:right w:val="single" w:sz="8" w:space="0" w:color="000000"/>
            </w:tcBorders>
            <w:shd w:val="clear" w:color="000000" w:fill="D9D9D9"/>
            <w:hideMark/>
          </w:tcPr>
          <w:p w14:paraId="54DD7B44"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517" w:type="dxa"/>
            <w:tcBorders>
              <w:top w:val="nil"/>
              <w:left w:val="nil"/>
              <w:bottom w:val="double" w:sz="6" w:space="0" w:color="auto"/>
              <w:right w:val="single" w:sz="8" w:space="0" w:color="auto"/>
            </w:tcBorders>
            <w:shd w:val="clear" w:color="000000" w:fill="D9D9D9"/>
            <w:hideMark/>
          </w:tcPr>
          <w:p w14:paraId="4FCEC1A2"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hideMark/>
          </w:tcPr>
          <w:p w14:paraId="49898634"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18" w:type="dxa"/>
            <w:tcBorders>
              <w:top w:val="nil"/>
              <w:left w:val="nil"/>
              <w:bottom w:val="double" w:sz="6" w:space="0" w:color="auto"/>
              <w:right w:val="single" w:sz="8" w:space="0" w:color="auto"/>
            </w:tcBorders>
            <w:shd w:val="clear" w:color="000000" w:fill="D9D9D9"/>
            <w:hideMark/>
          </w:tcPr>
          <w:p w14:paraId="3BEE4937"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tcBorders>
              <w:top w:val="nil"/>
              <w:left w:val="nil"/>
              <w:bottom w:val="double" w:sz="6" w:space="0" w:color="auto"/>
              <w:right w:val="double" w:sz="6" w:space="0" w:color="auto"/>
            </w:tcBorders>
            <w:shd w:val="clear" w:color="000000" w:fill="D9D9D9"/>
            <w:hideMark/>
          </w:tcPr>
          <w:p w14:paraId="3F7B9208"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EE692D" w:rsidRPr="00EF2F18" w14:paraId="368D13E2" w14:textId="77777777" w:rsidTr="00EE692D">
        <w:trPr>
          <w:trHeight w:val="816"/>
        </w:trPr>
        <w:tc>
          <w:tcPr>
            <w:tcW w:w="3230" w:type="dxa"/>
            <w:tcBorders>
              <w:top w:val="nil"/>
              <w:left w:val="double" w:sz="6" w:space="0" w:color="auto"/>
              <w:bottom w:val="double" w:sz="6" w:space="0" w:color="auto"/>
              <w:right w:val="single" w:sz="8" w:space="0" w:color="auto"/>
            </w:tcBorders>
            <w:shd w:val="clear" w:color="000000" w:fill="FFFFFF"/>
            <w:hideMark/>
          </w:tcPr>
          <w:p w14:paraId="03BC2781" w14:textId="5631C309"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Удео ЈЛС које имају успостављен мониторинг стања квалитетa животне средине у складу са законом </w:t>
            </w:r>
          </w:p>
        </w:tc>
        <w:tc>
          <w:tcPr>
            <w:tcW w:w="1279" w:type="dxa"/>
            <w:tcBorders>
              <w:top w:val="nil"/>
              <w:left w:val="nil"/>
              <w:bottom w:val="double" w:sz="6" w:space="0" w:color="auto"/>
              <w:right w:val="single" w:sz="8" w:space="0" w:color="auto"/>
            </w:tcBorders>
            <w:shd w:val="clear" w:color="000000" w:fill="FFFFFF"/>
            <w:hideMark/>
          </w:tcPr>
          <w:p w14:paraId="64443E81"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78" w:type="dxa"/>
            <w:tcBorders>
              <w:top w:val="nil"/>
              <w:left w:val="nil"/>
              <w:bottom w:val="double" w:sz="6" w:space="0" w:color="auto"/>
              <w:right w:val="single" w:sz="8" w:space="0" w:color="auto"/>
            </w:tcBorders>
            <w:shd w:val="clear" w:color="000000" w:fill="FFFFFF"/>
            <w:hideMark/>
          </w:tcPr>
          <w:p w14:paraId="291EC601"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ЈЛС</w:t>
            </w:r>
          </w:p>
        </w:tc>
        <w:tc>
          <w:tcPr>
            <w:tcW w:w="1995" w:type="dxa"/>
            <w:gridSpan w:val="2"/>
            <w:tcBorders>
              <w:top w:val="double" w:sz="6" w:space="0" w:color="auto"/>
              <w:left w:val="nil"/>
              <w:bottom w:val="double" w:sz="6" w:space="0" w:color="auto"/>
              <w:right w:val="single" w:sz="8" w:space="0" w:color="000000"/>
            </w:tcBorders>
            <w:shd w:val="clear" w:color="000000" w:fill="FFFFFF"/>
            <w:hideMark/>
          </w:tcPr>
          <w:p w14:paraId="1C9ED52E"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11</w:t>
            </w:r>
          </w:p>
        </w:tc>
        <w:tc>
          <w:tcPr>
            <w:tcW w:w="1517" w:type="dxa"/>
            <w:tcBorders>
              <w:top w:val="nil"/>
              <w:left w:val="nil"/>
              <w:bottom w:val="double" w:sz="6" w:space="0" w:color="auto"/>
              <w:right w:val="single" w:sz="8" w:space="0" w:color="auto"/>
            </w:tcBorders>
            <w:shd w:val="clear" w:color="000000" w:fill="FFFFFF"/>
            <w:hideMark/>
          </w:tcPr>
          <w:p w14:paraId="1464FDC3"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2022.</w:t>
            </w:r>
          </w:p>
        </w:tc>
        <w:tc>
          <w:tcPr>
            <w:tcW w:w="1060" w:type="dxa"/>
            <w:tcBorders>
              <w:top w:val="nil"/>
              <w:left w:val="single" w:sz="4" w:space="0" w:color="auto"/>
              <w:bottom w:val="double" w:sz="6" w:space="0" w:color="auto"/>
              <w:right w:val="single" w:sz="8" w:space="0" w:color="auto"/>
            </w:tcBorders>
            <w:hideMark/>
          </w:tcPr>
          <w:p w14:paraId="06ABDEE5"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18" w:type="dxa"/>
            <w:tcBorders>
              <w:top w:val="nil"/>
              <w:left w:val="nil"/>
              <w:bottom w:val="double" w:sz="6" w:space="0" w:color="auto"/>
              <w:right w:val="single" w:sz="8" w:space="0" w:color="auto"/>
            </w:tcBorders>
            <w:hideMark/>
          </w:tcPr>
          <w:p w14:paraId="0A92B5E9"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890" w:type="dxa"/>
            <w:tcBorders>
              <w:top w:val="nil"/>
              <w:left w:val="nil"/>
              <w:bottom w:val="double" w:sz="6" w:space="0" w:color="auto"/>
              <w:right w:val="double" w:sz="6" w:space="0" w:color="auto"/>
            </w:tcBorders>
            <w:hideMark/>
          </w:tcPr>
          <w:p w14:paraId="39596BE5" w14:textId="77777777"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100</w:t>
            </w:r>
          </w:p>
        </w:tc>
      </w:tr>
    </w:tbl>
    <w:p w14:paraId="5D40A59C" w14:textId="77777777" w:rsidR="007D7243" w:rsidRPr="00EF2F18" w:rsidRDefault="007D7243" w:rsidP="007D7243">
      <w:pPr>
        <w:rPr>
          <w:rFonts w:cs="Times New Roman"/>
          <w:sz w:val="20"/>
          <w:szCs w:val="20"/>
          <w:lang w:val="sr-Cyrl-RS"/>
        </w:rPr>
      </w:pPr>
    </w:p>
    <w:tbl>
      <w:tblPr>
        <w:tblW w:w="13567" w:type="dxa"/>
        <w:tblLook w:val="04A0" w:firstRow="1" w:lastRow="0" w:firstColumn="1" w:lastColumn="0" w:noHBand="0" w:noVBand="1"/>
      </w:tblPr>
      <w:tblGrid>
        <w:gridCol w:w="3800"/>
        <w:gridCol w:w="2480"/>
        <w:gridCol w:w="1820"/>
        <w:gridCol w:w="2587"/>
        <w:gridCol w:w="2873"/>
        <w:gridCol w:w="7"/>
      </w:tblGrid>
      <w:tr w:rsidR="007D7243" w:rsidRPr="00EF2F18" w14:paraId="7E93E84A" w14:textId="77777777" w:rsidTr="00EE692D">
        <w:trPr>
          <w:gridAfter w:val="1"/>
          <w:wAfter w:w="7" w:type="dxa"/>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141E29B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433155D"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280" w:type="dxa"/>
            <w:gridSpan w:val="3"/>
            <w:tcBorders>
              <w:top w:val="double" w:sz="6" w:space="0" w:color="auto"/>
              <w:left w:val="nil"/>
              <w:bottom w:val="double" w:sz="6" w:space="0" w:color="auto"/>
              <w:right w:val="double" w:sz="6" w:space="0" w:color="auto"/>
            </w:tcBorders>
            <w:shd w:val="clear" w:color="000000" w:fill="A8D08D"/>
            <w:hideMark/>
          </w:tcPr>
          <w:p w14:paraId="16C7805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EE692D" w:rsidRPr="00EF2F18" w14:paraId="56AE6753" w14:textId="77777777" w:rsidTr="00EE692D">
        <w:trPr>
          <w:trHeight w:val="336"/>
        </w:trPr>
        <w:tc>
          <w:tcPr>
            <w:tcW w:w="3800" w:type="dxa"/>
            <w:vMerge/>
            <w:tcBorders>
              <w:top w:val="double" w:sz="6" w:space="0" w:color="auto"/>
              <w:left w:val="double" w:sz="6" w:space="0" w:color="auto"/>
              <w:bottom w:val="single" w:sz="8" w:space="0" w:color="000000"/>
              <w:right w:val="double" w:sz="6" w:space="0" w:color="auto"/>
            </w:tcBorders>
            <w:hideMark/>
          </w:tcPr>
          <w:p w14:paraId="0B4358CB" w14:textId="77777777" w:rsidR="00EE692D" w:rsidRPr="00EF2F18" w:rsidRDefault="00EE692D"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hideMark/>
          </w:tcPr>
          <w:p w14:paraId="31B22B9B" w14:textId="77777777" w:rsidR="00EE692D" w:rsidRPr="00EF2F18" w:rsidRDefault="00EE692D" w:rsidP="00752CA0">
            <w:pPr>
              <w:spacing w:after="0"/>
              <w:rPr>
                <w:rFonts w:eastAsia="Times New Roman" w:cs="Times New Roman"/>
                <w:color w:val="000000"/>
                <w:sz w:val="20"/>
                <w:szCs w:val="20"/>
                <w:lang w:val="sr-Cyrl-RS" w:eastAsia="en-GB"/>
              </w:rPr>
            </w:pPr>
          </w:p>
        </w:tc>
        <w:tc>
          <w:tcPr>
            <w:tcW w:w="1820" w:type="dxa"/>
            <w:tcBorders>
              <w:top w:val="nil"/>
              <w:left w:val="nil"/>
              <w:bottom w:val="double" w:sz="6" w:space="0" w:color="auto"/>
              <w:right w:val="double" w:sz="6" w:space="0" w:color="auto"/>
            </w:tcBorders>
            <w:shd w:val="clear" w:color="000000" w:fill="A8D08D"/>
            <w:hideMark/>
          </w:tcPr>
          <w:p w14:paraId="71255FE3" w14:textId="24A136B0"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587" w:type="dxa"/>
            <w:tcBorders>
              <w:top w:val="nil"/>
              <w:left w:val="nil"/>
              <w:bottom w:val="double" w:sz="6" w:space="0" w:color="auto"/>
              <w:right w:val="double" w:sz="6" w:space="0" w:color="auto"/>
            </w:tcBorders>
            <w:shd w:val="clear" w:color="000000" w:fill="A8D08D"/>
            <w:hideMark/>
          </w:tcPr>
          <w:p w14:paraId="41DC6EDE" w14:textId="5A663514"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880" w:type="dxa"/>
            <w:gridSpan w:val="2"/>
            <w:tcBorders>
              <w:top w:val="nil"/>
              <w:left w:val="nil"/>
              <w:bottom w:val="double" w:sz="6" w:space="0" w:color="auto"/>
              <w:right w:val="double" w:sz="6" w:space="0" w:color="auto"/>
            </w:tcBorders>
            <w:shd w:val="clear" w:color="000000" w:fill="A8D08D"/>
            <w:hideMark/>
          </w:tcPr>
          <w:p w14:paraId="4096079A" w14:textId="467757D0"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EE692D" w:rsidRPr="00EF2F18" w14:paraId="11C1B9D0" w14:textId="77777777" w:rsidTr="001C5AF0">
        <w:trPr>
          <w:trHeight w:val="324"/>
        </w:trPr>
        <w:tc>
          <w:tcPr>
            <w:tcW w:w="3800" w:type="dxa"/>
            <w:tcBorders>
              <w:top w:val="nil"/>
              <w:left w:val="double" w:sz="6" w:space="0" w:color="auto"/>
              <w:bottom w:val="double" w:sz="6" w:space="0" w:color="auto"/>
              <w:right w:val="double" w:sz="6" w:space="0" w:color="auto"/>
            </w:tcBorders>
            <w:shd w:val="clear" w:color="000000" w:fill="FFFFFF"/>
            <w:hideMark/>
          </w:tcPr>
          <w:p w14:paraId="7BBEC6D2"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 (АЗЖС)</w:t>
            </w:r>
          </w:p>
        </w:tc>
        <w:tc>
          <w:tcPr>
            <w:tcW w:w="2480" w:type="dxa"/>
            <w:tcBorders>
              <w:top w:val="nil"/>
              <w:left w:val="nil"/>
              <w:bottom w:val="double" w:sz="6" w:space="0" w:color="auto"/>
              <w:right w:val="double" w:sz="6" w:space="0" w:color="auto"/>
            </w:tcBorders>
            <w:shd w:val="clear" w:color="000000" w:fill="FFFFFF"/>
          </w:tcPr>
          <w:p w14:paraId="60DE672A" w14:textId="61DE7D73" w:rsidR="00EE692D" w:rsidRPr="00EF2F18" w:rsidRDefault="00176CE1"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tc>
        <w:tc>
          <w:tcPr>
            <w:tcW w:w="1820" w:type="dxa"/>
            <w:tcBorders>
              <w:top w:val="nil"/>
              <w:left w:val="nil"/>
              <w:bottom w:val="double" w:sz="6" w:space="0" w:color="auto"/>
              <w:right w:val="double" w:sz="6" w:space="0" w:color="auto"/>
            </w:tcBorders>
            <w:shd w:val="clear" w:color="000000" w:fill="FFFFFF"/>
          </w:tcPr>
          <w:p w14:paraId="6499C4D1" w14:textId="7C15292A" w:rsidR="00EE692D" w:rsidRPr="00EF2F18" w:rsidRDefault="00EE692D" w:rsidP="00752CA0">
            <w:pPr>
              <w:spacing w:after="0"/>
              <w:jc w:val="right"/>
              <w:rPr>
                <w:rFonts w:eastAsia="Times New Roman" w:cs="Times New Roman"/>
                <w:color w:val="000000"/>
                <w:sz w:val="20"/>
                <w:szCs w:val="20"/>
                <w:lang w:val="sr-Cyrl-RS" w:eastAsia="en-GB"/>
              </w:rPr>
            </w:pPr>
          </w:p>
        </w:tc>
        <w:tc>
          <w:tcPr>
            <w:tcW w:w="2587" w:type="dxa"/>
            <w:tcBorders>
              <w:top w:val="nil"/>
              <w:left w:val="nil"/>
              <w:bottom w:val="double" w:sz="6" w:space="0" w:color="auto"/>
              <w:right w:val="double" w:sz="6" w:space="0" w:color="auto"/>
            </w:tcBorders>
            <w:shd w:val="clear" w:color="000000" w:fill="FFFFFF"/>
          </w:tcPr>
          <w:p w14:paraId="7A207DE2" w14:textId="0DE7437F" w:rsidR="00EE692D" w:rsidRPr="00EF2F18" w:rsidRDefault="00EE692D" w:rsidP="00752CA0">
            <w:pPr>
              <w:spacing w:after="0"/>
              <w:jc w:val="right"/>
              <w:rPr>
                <w:rFonts w:eastAsia="Times New Roman" w:cs="Times New Roman"/>
                <w:color w:val="000000"/>
                <w:sz w:val="20"/>
                <w:szCs w:val="20"/>
                <w:lang w:val="sr-Cyrl-RS" w:eastAsia="en-GB"/>
              </w:rPr>
            </w:pPr>
          </w:p>
        </w:tc>
        <w:tc>
          <w:tcPr>
            <w:tcW w:w="2880" w:type="dxa"/>
            <w:gridSpan w:val="2"/>
            <w:tcBorders>
              <w:top w:val="nil"/>
              <w:left w:val="nil"/>
              <w:bottom w:val="double" w:sz="6" w:space="0" w:color="auto"/>
              <w:right w:val="double" w:sz="6" w:space="0" w:color="auto"/>
            </w:tcBorders>
            <w:shd w:val="clear" w:color="000000" w:fill="FFFFFF"/>
          </w:tcPr>
          <w:p w14:paraId="4B8A3FE3" w14:textId="4A2F2690" w:rsidR="00EE692D" w:rsidRPr="00EF2F18" w:rsidRDefault="00EE692D" w:rsidP="00752CA0">
            <w:pPr>
              <w:spacing w:after="0"/>
              <w:jc w:val="right"/>
              <w:rPr>
                <w:rFonts w:eastAsia="Times New Roman" w:cs="Times New Roman"/>
                <w:color w:val="000000"/>
                <w:sz w:val="20"/>
                <w:szCs w:val="20"/>
                <w:lang w:val="sr-Cyrl-RS" w:eastAsia="en-GB"/>
              </w:rPr>
            </w:pPr>
          </w:p>
        </w:tc>
      </w:tr>
      <w:tr w:rsidR="001C5AF0" w:rsidRPr="00EF2F18" w14:paraId="276CFE27" w14:textId="77777777" w:rsidTr="001C5AF0">
        <w:trPr>
          <w:trHeight w:val="324"/>
        </w:trPr>
        <w:tc>
          <w:tcPr>
            <w:tcW w:w="3800" w:type="dxa"/>
            <w:tcBorders>
              <w:top w:val="double" w:sz="6" w:space="0" w:color="auto"/>
              <w:left w:val="double" w:sz="6" w:space="0" w:color="auto"/>
              <w:bottom w:val="double" w:sz="6" w:space="0" w:color="auto"/>
              <w:right w:val="double" w:sz="6" w:space="0" w:color="auto"/>
            </w:tcBorders>
            <w:shd w:val="clear" w:color="000000" w:fill="FFFFFF"/>
          </w:tcPr>
          <w:p w14:paraId="4F432A17" w14:textId="23D927DC" w:rsidR="001C5AF0" w:rsidRPr="00EF2F18" w:rsidRDefault="001C5AF0"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 ЈЛС</w:t>
            </w:r>
          </w:p>
        </w:tc>
        <w:tc>
          <w:tcPr>
            <w:tcW w:w="2480" w:type="dxa"/>
            <w:tcBorders>
              <w:top w:val="double" w:sz="6" w:space="0" w:color="auto"/>
              <w:left w:val="nil"/>
              <w:bottom w:val="double" w:sz="6" w:space="0" w:color="auto"/>
              <w:right w:val="double" w:sz="6" w:space="0" w:color="auto"/>
            </w:tcBorders>
            <w:shd w:val="clear" w:color="000000" w:fill="FFFFFF"/>
          </w:tcPr>
          <w:p w14:paraId="5EB29C21" w14:textId="77777777" w:rsidR="001C5AF0" w:rsidRPr="00EF2F18" w:rsidRDefault="001C5AF0" w:rsidP="00752CA0">
            <w:pPr>
              <w:spacing w:after="0"/>
              <w:rPr>
                <w:rFonts w:eastAsia="Times New Roman" w:cs="Times New Roman"/>
                <w:color w:val="000000"/>
                <w:sz w:val="20"/>
                <w:szCs w:val="20"/>
                <w:lang w:val="sr-Cyrl-RS" w:eastAsia="en-GB"/>
              </w:rPr>
            </w:pPr>
          </w:p>
        </w:tc>
        <w:tc>
          <w:tcPr>
            <w:tcW w:w="1820" w:type="dxa"/>
            <w:tcBorders>
              <w:top w:val="double" w:sz="6" w:space="0" w:color="auto"/>
              <w:left w:val="nil"/>
              <w:bottom w:val="double" w:sz="6" w:space="0" w:color="auto"/>
              <w:right w:val="double" w:sz="6" w:space="0" w:color="auto"/>
            </w:tcBorders>
            <w:shd w:val="clear" w:color="000000" w:fill="FFFFFF"/>
          </w:tcPr>
          <w:p w14:paraId="051C8DC9" w14:textId="77777777" w:rsidR="001C5AF0" w:rsidRPr="00EF2F18" w:rsidRDefault="001C5AF0" w:rsidP="00752CA0">
            <w:pPr>
              <w:spacing w:after="0"/>
              <w:jc w:val="right"/>
              <w:rPr>
                <w:rFonts w:eastAsia="Times New Roman" w:cs="Times New Roman"/>
                <w:color w:val="000000"/>
                <w:sz w:val="20"/>
                <w:szCs w:val="20"/>
                <w:lang w:val="sr-Cyrl-RS" w:eastAsia="en-GB"/>
              </w:rPr>
            </w:pPr>
          </w:p>
        </w:tc>
        <w:tc>
          <w:tcPr>
            <w:tcW w:w="2587" w:type="dxa"/>
            <w:tcBorders>
              <w:top w:val="double" w:sz="6" w:space="0" w:color="auto"/>
              <w:left w:val="nil"/>
              <w:bottom w:val="double" w:sz="6" w:space="0" w:color="auto"/>
              <w:right w:val="double" w:sz="6" w:space="0" w:color="auto"/>
            </w:tcBorders>
            <w:shd w:val="clear" w:color="000000" w:fill="FFFFFF"/>
          </w:tcPr>
          <w:p w14:paraId="33780BCC" w14:textId="77777777" w:rsidR="001C5AF0" w:rsidRPr="00EF2F18" w:rsidRDefault="001C5AF0" w:rsidP="00752CA0">
            <w:pPr>
              <w:spacing w:after="0"/>
              <w:jc w:val="right"/>
              <w:rPr>
                <w:rFonts w:eastAsia="Times New Roman" w:cs="Times New Roman"/>
                <w:color w:val="000000"/>
                <w:sz w:val="20"/>
                <w:szCs w:val="20"/>
                <w:lang w:val="sr-Cyrl-RS" w:eastAsia="en-GB"/>
              </w:rPr>
            </w:pPr>
          </w:p>
        </w:tc>
        <w:tc>
          <w:tcPr>
            <w:tcW w:w="2880" w:type="dxa"/>
            <w:gridSpan w:val="2"/>
            <w:tcBorders>
              <w:top w:val="double" w:sz="6" w:space="0" w:color="auto"/>
              <w:left w:val="nil"/>
              <w:bottom w:val="double" w:sz="6" w:space="0" w:color="auto"/>
              <w:right w:val="double" w:sz="6" w:space="0" w:color="auto"/>
            </w:tcBorders>
            <w:shd w:val="clear" w:color="000000" w:fill="FFFFFF"/>
          </w:tcPr>
          <w:p w14:paraId="1F69584B" w14:textId="77777777" w:rsidR="001C5AF0" w:rsidRPr="00EF2F18" w:rsidRDefault="001C5AF0" w:rsidP="00752CA0">
            <w:pPr>
              <w:spacing w:after="0"/>
              <w:jc w:val="right"/>
              <w:rPr>
                <w:rFonts w:eastAsia="Times New Roman" w:cs="Times New Roman"/>
                <w:color w:val="000000"/>
                <w:sz w:val="20"/>
                <w:szCs w:val="20"/>
                <w:lang w:val="sr-Cyrl-RS" w:eastAsia="en-GB"/>
              </w:rPr>
            </w:pPr>
          </w:p>
        </w:tc>
      </w:tr>
    </w:tbl>
    <w:p w14:paraId="50022BF1" w14:textId="77777777" w:rsidR="007D7243" w:rsidRPr="00EF2F18" w:rsidRDefault="007D7243" w:rsidP="007D7243">
      <w:pPr>
        <w:rPr>
          <w:sz w:val="20"/>
          <w:szCs w:val="20"/>
          <w:lang w:val="sr-Cyrl-RS"/>
        </w:rPr>
      </w:pPr>
    </w:p>
    <w:tbl>
      <w:tblPr>
        <w:tblW w:w="13585" w:type="dxa"/>
        <w:tblLook w:val="04A0" w:firstRow="1" w:lastRow="0" w:firstColumn="1" w:lastColumn="0" w:noHBand="0" w:noVBand="1"/>
      </w:tblPr>
      <w:tblGrid>
        <w:gridCol w:w="2978"/>
        <w:gridCol w:w="1260"/>
        <w:gridCol w:w="1240"/>
        <w:gridCol w:w="1182"/>
        <w:gridCol w:w="1691"/>
        <w:gridCol w:w="1340"/>
        <w:gridCol w:w="1176"/>
        <w:gridCol w:w="1170"/>
        <w:gridCol w:w="1530"/>
        <w:gridCol w:w="18"/>
      </w:tblGrid>
      <w:tr w:rsidR="007D7243" w:rsidRPr="00EF2F18" w14:paraId="0B35F470" w14:textId="77777777" w:rsidTr="00053FD8">
        <w:trPr>
          <w:trHeight w:val="732"/>
        </w:trPr>
        <w:tc>
          <w:tcPr>
            <w:tcW w:w="2978"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7E5C8C0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6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F759DD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E35607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0C30F9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639396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C5C8E7E"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3894" w:type="dxa"/>
            <w:gridSpan w:val="4"/>
            <w:tcBorders>
              <w:top w:val="double" w:sz="6" w:space="0" w:color="auto"/>
              <w:left w:val="nil"/>
              <w:bottom w:val="single" w:sz="8" w:space="0" w:color="auto"/>
              <w:right w:val="double" w:sz="6" w:space="0" w:color="auto"/>
            </w:tcBorders>
            <w:shd w:val="clear" w:color="000000" w:fill="FFF2CC"/>
            <w:hideMark/>
          </w:tcPr>
          <w:p w14:paraId="35D36E29"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EE692D" w:rsidRPr="00EF2F18" w14:paraId="7033A710" w14:textId="77777777" w:rsidTr="00EE692D">
        <w:trPr>
          <w:gridAfter w:val="1"/>
          <w:wAfter w:w="18" w:type="dxa"/>
          <w:trHeight w:val="324"/>
        </w:trPr>
        <w:tc>
          <w:tcPr>
            <w:tcW w:w="2978" w:type="dxa"/>
            <w:vMerge/>
            <w:tcBorders>
              <w:top w:val="double" w:sz="6" w:space="0" w:color="auto"/>
              <w:left w:val="double" w:sz="6" w:space="0" w:color="auto"/>
              <w:bottom w:val="single" w:sz="8" w:space="0" w:color="000000"/>
              <w:right w:val="single" w:sz="8" w:space="0" w:color="auto"/>
            </w:tcBorders>
            <w:vAlign w:val="center"/>
            <w:hideMark/>
          </w:tcPr>
          <w:p w14:paraId="2FEF227D" w14:textId="77777777" w:rsidR="00EE692D" w:rsidRPr="00EF2F18" w:rsidRDefault="00EE692D" w:rsidP="00752CA0">
            <w:pPr>
              <w:spacing w:after="0"/>
              <w:rPr>
                <w:rFonts w:eastAsia="Times New Roman" w:cs="Times New Roman"/>
                <w:color w:val="000000"/>
                <w:sz w:val="20"/>
                <w:szCs w:val="20"/>
                <w:lang w:val="sr-Cyrl-RS" w:eastAsia="en-GB"/>
              </w:rPr>
            </w:pPr>
          </w:p>
        </w:tc>
        <w:tc>
          <w:tcPr>
            <w:tcW w:w="1260" w:type="dxa"/>
            <w:vMerge/>
            <w:tcBorders>
              <w:top w:val="double" w:sz="6" w:space="0" w:color="auto"/>
              <w:left w:val="single" w:sz="8" w:space="0" w:color="auto"/>
              <w:bottom w:val="single" w:sz="8" w:space="0" w:color="000000"/>
              <w:right w:val="single" w:sz="8" w:space="0" w:color="auto"/>
            </w:tcBorders>
            <w:vAlign w:val="center"/>
            <w:hideMark/>
          </w:tcPr>
          <w:p w14:paraId="040AD8ED" w14:textId="77777777" w:rsidR="00EE692D" w:rsidRPr="00EF2F18" w:rsidRDefault="00EE692D"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2F30A276" w14:textId="77777777" w:rsidR="00EE692D" w:rsidRPr="00EF2F18" w:rsidRDefault="00EE692D"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77D562B4" w14:textId="77777777" w:rsidR="00EE692D" w:rsidRPr="00EF2F18" w:rsidRDefault="00EE692D"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50388B6D" w14:textId="77777777" w:rsidR="00EE692D" w:rsidRPr="00EF2F18" w:rsidRDefault="00EE692D"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2449AE24" w14:textId="77777777" w:rsidR="00EE692D" w:rsidRPr="00EF2F18" w:rsidRDefault="00EE692D" w:rsidP="00752CA0">
            <w:pPr>
              <w:spacing w:after="0"/>
              <w:rPr>
                <w:rFonts w:eastAsia="Times New Roman" w:cs="Times New Roman"/>
                <w:color w:val="000000"/>
                <w:sz w:val="20"/>
                <w:szCs w:val="20"/>
                <w:lang w:val="sr-Cyrl-RS" w:eastAsia="en-GB"/>
              </w:rPr>
            </w:pPr>
          </w:p>
        </w:tc>
        <w:tc>
          <w:tcPr>
            <w:tcW w:w="1176" w:type="dxa"/>
            <w:tcBorders>
              <w:top w:val="nil"/>
              <w:left w:val="nil"/>
              <w:bottom w:val="single" w:sz="8" w:space="0" w:color="auto"/>
              <w:right w:val="single" w:sz="8" w:space="0" w:color="auto"/>
            </w:tcBorders>
            <w:shd w:val="clear" w:color="000000" w:fill="FFF2CC"/>
            <w:hideMark/>
          </w:tcPr>
          <w:p w14:paraId="55ED8B3F" w14:textId="5CAC2B3B"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170" w:type="dxa"/>
            <w:tcBorders>
              <w:top w:val="nil"/>
              <w:left w:val="nil"/>
              <w:bottom w:val="single" w:sz="8" w:space="0" w:color="auto"/>
              <w:right w:val="single" w:sz="8" w:space="0" w:color="auto"/>
            </w:tcBorders>
            <w:shd w:val="clear" w:color="000000" w:fill="FFF2CC"/>
            <w:hideMark/>
          </w:tcPr>
          <w:p w14:paraId="1503E2FB" w14:textId="22F9A7C1"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51276AA9" w14:textId="063C93C1" w:rsidR="00EE692D" w:rsidRPr="00EF2F18" w:rsidRDefault="00EE692D"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EE692D" w:rsidRPr="00EF2F18" w14:paraId="4B6BC010" w14:textId="77777777" w:rsidTr="00EE692D">
        <w:trPr>
          <w:gridAfter w:val="1"/>
          <w:wAfter w:w="18" w:type="dxa"/>
          <w:trHeight w:val="540"/>
        </w:trPr>
        <w:tc>
          <w:tcPr>
            <w:tcW w:w="2978" w:type="dxa"/>
            <w:tcBorders>
              <w:top w:val="nil"/>
              <w:left w:val="double" w:sz="6" w:space="0" w:color="auto"/>
              <w:bottom w:val="single" w:sz="8" w:space="0" w:color="auto"/>
              <w:right w:val="single" w:sz="8" w:space="0" w:color="auto"/>
            </w:tcBorders>
            <w:hideMark/>
          </w:tcPr>
          <w:p w14:paraId="7C2E25E6" w14:textId="241076CC"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6.3.2</w:t>
            </w:r>
            <w:r w:rsidR="004A3FDD" w:rsidRPr="00EF2F18">
              <w:rPr>
                <w:rFonts w:eastAsia="Times New Roman" w:cs="Times New Roman"/>
                <w:color w:val="000000" w:themeColor="text1"/>
                <w:kern w:val="24"/>
                <w:sz w:val="20"/>
                <w:szCs w:val="20"/>
                <w:lang w:val="sr-Cyrl-RS" w:eastAsia="en-GB"/>
              </w:rPr>
              <w:t>.1</w:t>
            </w:r>
            <w:r w:rsidRPr="00EF2F18">
              <w:rPr>
                <w:rFonts w:eastAsia="Times New Roman" w:cs="Times New Roman"/>
                <w:color w:val="000000" w:themeColor="text1"/>
                <w:kern w:val="24"/>
                <w:sz w:val="20"/>
                <w:szCs w:val="20"/>
                <w:lang w:val="sr-Cyrl-RS" w:eastAsia="en-GB"/>
              </w:rPr>
              <w:t xml:space="preserve">. Израда плана оптимизације локалних мрежа мониторинга </w:t>
            </w:r>
          </w:p>
        </w:tc>
        <w:tc>
          <w:tcPr>
            <w:tcW w:w="1260" w:type="dxa"/>
            <w:tcBorders>
              <w:top w:val="nil"/>
              <w:left w:val="nil"/>
              <w:bottom w:val="single" w:sz="8" w:space="0" w:color="auto"/>
              <w:right w:val="single" w:sz="8" w:space="0" w:color="auto"/>
            </w:tcBorders>
            <w:hideMark/>
          </w:tcPr>
          <w:p w14:paraId="1170E577"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240" w:type="dxa"/>
            <w:tcBorders>
              <w:top w:val="nil"/>
              <w:left w:val="nil"/>
              <w:bottom w:val="single" w:sz="8" w:space="0" w:color="auto"/>
              <w:right w:val="single" w:sz="8" w:space="0" w:color="auto"/>
            </w:tcBorders>
            <w:hideMark/>
          </w:tcPr>
          <w:p w14:paraId="331FB1EA"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АПВ, ЈЛС</w:t>
            </w:r>
          </w:p>
        </w:tc>
        <w:tc>
          <w:tcPr>
            <w:tcW w:w="1182" w:type="dxa"/>
            <w:tcBorders>
              <w:top w:val="nil"/>
              <w:left w:val="nil"/>
              <w:bottom w:val="single" w:sz="8" w:space="0" w:color="auto"/>
              <w:right w:val="single" w:sz="8" w:space="0" w:color="auto"/>
            </w:tcBorders>
            <w:hideMark/>
          </w:tcPr>
          <w:p w14:paraId="61F933E0"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tcPr>
          <w:p w14:paraId="3047F85C" w14:textId="1BE813D9"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40" w:type="dxa"/>
            <w:tcBorders>
              <w:top w:val="nil"/>
              <w:left w:val="nil"/>
              <w:bottom w:val="single" w:sz="8" w:space="0" w:color="auto"/>
              <w:right w:val="single" w:sz="8" w:space="0" w:color="auto"/>
            </w:tcBorders>
          </w:tcPr>
          <w:p w14:paraId="540FAF0C" w14:textId="73DEB2A9" w:rsidR="00EE692D" w:rsidRPr="00EF2F18" w:rsidRDefault="00EE692D" w:rsidP="00752CA0">
            <w:pPr>
              <w:spacing w:after="0"/>
              <w:rPr>
                <w:rFonts w:eastAsia="Times New Roman" w:cs="Times New Roman"/>
                <w:color w:val="000000"/>
                <w:sz w:val="20"/>
                <w:szCs w:val="20"/>
                <w:lang w:val="sr-Cyrl-RS" w:eastAsia="en-GB"/>
              </w:rPr>
            </w:pPr>
          </w:p>
        </w:tc>
        <w:tc>
          <w:tcPr>
            <w:tcW w:w="1176" w:type="dxa"/>
            <w:tcBorders>
              <w:top w:val="nil"/>
              <w:left w:val="nil"/>
              <w:bottom w:val="single" w:sz="8" w:space="0" w:color="auto"/>
              <w:right w:val="single" w:sz="8" w:space="0" w:color="auto"/>
            </w:tcBorders>
          </w:tcPr>
          <w:p w14:paraId="42969F4D" w14:textId="2833E3AD" w:rsidR="00EE692D" w:rsidRPr="00EF2F18" w:rsidRDefault="00EE692D"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276A2B02" w14:textId="3D52AFED" w:rsidR="00EE692D" w:rsidRPr="00EF2F18" w:rsidRDefault="00EE692D"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2F00C3FE" w14:textId="0AD8E194"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01BA06E7" w14:textId="77777777" w:rsidTr="00EE692D">
        <w:trPr>
          <w:gridAfter w:val="1"/>
          <w:wAfter w:w="18" w:type="dxa"/>
          <w:trHeight w:val="804"/>
        </w:trPr>
        <w:tc>
          <w:tcPr>
            <w:tcW w:w="2978" w:type="dxa"/>
            <w:tcBorders>
              <w:top w:val="nil"/>
              <w:left w:val="double" w:sz="6" w:space="0" w:color="auto"/>
              <w:bottom w:val="single" w:sz="8" w:space="0" w:color="auto"/>
              <w:right w:val="single" w:sz="8" w:space="0" w:color="auto"/>
            </w:tcBorders>
            <w:hideMark/>
          </w:tcPr>
          <w:p w14:paraId="7FB40904" w14:textId="36834E38"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6.3.2.</w:t>
            </w:r>
            <w:r w:rsidR="004A3FDD" w:rsidRPr="00EF2F18">
              <w:rPr>
                <w:rFonts w:eastAsia="Times New Roman" w:cs="Times New Roman"/>
                <w:color w:val="000000"/>
                <w:sz w:val="20"/>
                <w:szCs w:val="20"/>
                <w:lang w:val="sr-Cyrl-RS" w:eastAsia="en-GB"/>
              </w:rPr>
              <w:t>2.</w:t>
            </w:r>
            <w:r w:rsidRPr="00EF2F18">
              <w:rPr>
                <w:rFonts w:eastAsia="Times New Roman" w:cs="Times New Roman"/>
                <w:color w:val="000000"/>
                <w:sz w:val="20"/>
                <w:szCs w:val="20"/>
                <w:lang w:val="sr-Cyrl-RS" w:eastAsia="en-GB"/>
              </w:rPr>
              <w:t>. Оптимизација локалних мрежа мониторинга квалитета животне средине</w:t>
            </w:r>
          </w:p>
        </w:tc>
        <w:tc>
          <w:tcPr>
            <w:tcW w:w="1260" w:type="dxa"/>
            <w:tcBorders>
              <w:top w:val="nil"/>
              <w:left w:val="nil"/>
              <w:bottom w:val="single" w:sz="8" w:space="0" w:color="auto"/>
              <w:right w:val="single" w:sz="8" w:space="0" w:color="auto"/>
            </w:tcBorders>
            <w:hideMark/>
          </w:tcPr>
          <w:p w14:paraId="38CACB2D"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240" w:type="dxa"/>
            <w:tcBorders>
              <w:top w:val="nil"/>
              <w:left w:val="nil"/>
              <w:bottom w:val="single" w:sz="8" w:space="0" w:color="auto"/>
              <w:right w:val="single" w:sz="8" w:space="0" w:color="auto"/>
            </w:tcBorders>
            <w:hideMark/>
          </w:tcPr>
          <w:p w14:paraId="56E14667"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 АПВ, ЈЛС</w:t>
            </w:r>
          </w:p>
        </w:tc>
        <w:tc>
          <w:tcPr>
            <w:tcW w:w="1182" w:type="dxa"/>
            <w:tcBorders>
              <w:top w:val="nil"/>
              <w:left w:val="nil"/>
              <w:bottom w:val="single" w:sz="8" w:space="0" w:color="auto"/>
              <w:right w:val="single" w:sz="8" w:space="0" w:color="auto"/>
            </w:tcBorders>
            <w:hideMark/>
          </w:tcPr>
          <w:p w14:paraId="1B56BB15"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single" w:sz="8" w:space="0" w:color="auto"/>
              <w:right w:val="single" w:sz="8" w:space="0" w:color="auto"/>
            </w:tcBorders>
          </w:tcPr>
          <w:p w14:paraId="6953CA0D" w14:textId="4E51761E"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340" w:type="dxa"/>
            <w:tcBorders>
              <w:top w:val="nil"/>
              <w:left w:val="nil"/>
              <w:bottom w:val="single" w:sz="8" w:space="0" w:color="auto"/>
              <w:right w:val="single" w:sz="8" w:space="0" w:color="auto"/>
            </w:tcBorders>
          </w:tcPr>
          <w:p w14:paraId="4E7B421E" w14:textId="0BD5C085" w:rsidR="00EE692D" w:rsidRPr="00EF2F18" w:rsidRDefault="00EE692D" w:rsidP="00752CA0">
            <w:pPr>
              <w:spacing w:after="0"/>
              <w:rPr>
                <w:rFonts w:eastAsia="Times New Roman" w:cs="Times New Roman"/>
                <w:color w:val="000000"/>
                <w:sz w:val="20"/>
                <w:szCs w:val="20"/>
                <w:lang w:val="sr-Cyrl-RS" w:eastAsia="en-GB"/>
              </w:rPr>
            </w:pPr>
          </w:p>
        </w:tc>
        <w:tc>
          <w:tcPr>
            <w:tcW w:w="1176" w:type="dxa"/>
            <w:tcBorders>
              <w:top w:val="nil"/>
              <w:left w:val="nil"/>
              <w:bottom w:val="single" w:sz="8" w:space="0" w:color="auto"/>
              <w:right w:val="single" w:sz="8" w:space="0" w:color="auto"/>
            </w:tcBorders>
          </w:tcPr>
          <w:p w14:paraId="61266166" w14:textId="0E461E3D" w:rsidR="00EE692D" w:rsidRPr="00EF2F18" w:rsidRDefault="00EE692D" w:rsidP="00752CA0">
            <w:pPr>
              <w:spacing w:after="0"/>
              <w:jc w:val="right"/>
              <w:rPr>
                <w:rFonts w:eastAsia="Times New Roman" w:cs="Times New Roman"/>
                <w:color w:val="000000"/>
                <w:sz w:val="20"/>
                <w:szCs w:val="20"/>
                <w:lang w:val="sr-Cyrl-RS" w:eastAsia="en-GB"/>
              </w:rPr>
            </w:pPr>
          </w:p>
        </w:tc>
        <w:tc>
          <w:tcPr>
            <w:tcW w:w="1170" w:type="dxa"/>
            <w:tcBorders>
              <w:top w:val="nil"/>
              <w:left w:val="nil"/>
              <w:bottom w:val="single" w:sz="8" w:space="0" w:color="auto"/>
              <w:right w:val="single" w:sz="8" w:space="0" w:color="auto"/>
            </w:tcBorders>
          </w:tcPr>
          <w:p w14:paraId="18736956" w14:textId="5ED0E09F" w:rsidR="00EE692D" w:rsidRPr="00EF2F18" w:rsidRDefault="00EE692D"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1E9CD592" w14:textId="5977AA66"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1B3720F9" w14:textId="77777777" w:rsidTr="00EE692D">
        <w:trPr>
          <w:gridAfter w:val="1"/>
          <w:wAfter w:w="18" w:type="dxa"/>
          <w:trHeight w:val="547"/>
        </w:trPr>
        <w:tc>
          <w:tcPr>
            <w:tcW w:w="2978" w:type="dxa"/>
            <w:vMerge w:val="restart"/>
            <w:tcBorders>
              <w:top w:val="nil"/>
              <w:left w:val="double" w:sz="6" w:space="0" w:color="auto"/>
              <w:bottom w:val="single" w:sz="8" w:space="0" w:color="000000"/>
              <w:right w:val="single" w:sz="8" w:space="0" w:color="auto"/>
            </w:tcBorders>
            <w:hideMark/>
          </w:tcPr>
          <w:p w14:paraId="58A77C9F" w14:textId="06719A7C"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6.3.2.</w:t>
            </w:r>
            <w:r w:rsidR="004A3FDD" w:rsidRPr="00EF2F18">
              <w:rPr>
                <w:rFonts w:eastAsia="Times New Roman" w:cs="Times New Roman"/>
                <w:color w:val="000000" w:themeColor="text1"/>
                <w:kern w:val="24"/>
                <w:sz w:val="20"/>
                <w:szCs w:val="20"/>
                <w:lang w:val="sr-Cyrl-RS" w:eastAsia="en-GB"/>
              </w:rPr>
              <w:t>3</w:t>
            </w:r>
            <w:r w:rsidRPr="00EF2F18">
              <w:rPr>
                <w:rFonts w:eastAsia="Times New Roman" w:cs="Times New Roman"/>
                <w:color w:val="000000" w:themeColor="text1"/>
                <w:kern w:val="24"/>
                <w:sz w:val="20"/>
                <w:szCs w:val="20"/>
                <w:lang w:val="sr-Cyrl-RS" w:eastAsia="en-GB"/>
              </w:rPr>
              <w:t xml:space="preserve">. Континуирано спровођење обука за запослене у ЈЛС који су задужени за послове мониторинга квалитета животне средине </w:t>
            </w:r>
          </w:p>
        </w:tc>
        <w:tc>
          <w:tcPr>
            <w:tcW w:w="1260" w:type="dxa"/>
            <w:vMerge w:val="restart"/>
            <w:tcBorders>
              <w:top w:val="nil"/>
              <w:left w:val="single" w:sz="8" w:space="0" w:color="auto"/>
              <w:bottom w:val="single" w:sz="8" w:space="0" w:color="000000"/>
              <w:right w:val="single" w:sz="8" w:space="0" w:color="auto"/>
            </w:tcBorders>
            <w:hideMark/>
          </w:tcPr>
          <w:p w14:paraId="2C64BC27"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240" w:type="dxa"/>
            <w:vMerge w:val="restart"/>
            <w:tcBorders>
              <w:top w:val="nil"/>
              <w:left w:val="single" w:sz="8" w:space="0" w:color="auto"/>
              <w:bottom w:val="single" w:sz="8" w:space="0" w:color="000000"/>
              <w:right w:val="single" w:sz="8" w:space="0" w:color="auto"/>
            </w:tcBorders>
            <w:hideMark/>
          </w:tcPr>
          <w:p w14:paraId="2F92ED39"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АПВ, ЈЛС</w:t>
            </w:r>
          </w:p>
        </w:tc>
        <w:tc>
          <w:tcPr>
            <w:tcW w:w="1182" w:type="dxa"/>
            <w:vMerge w:val="restart"/>
            <w:tcBorders>
              <w:top w:val="nil"/>
              <w:left w:val="single" w:sz="8" w:space="0" w:color="auto"/>
              <w:bottom w:val="single" w:sz="8" w:space="0" w:color="000000"/>
              <w:right w:val="single" w:sz="8" w:space="0" w:color="auto"/>
            </w:tcBorders>
            <w:hideMark/>
          </w:tcPr>
          <w:p w14:paraId="32A3815E"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nil"/>
              <w:right w:val="single" w:sz="8" w:space="0" w:color="auto"/>
            </w:tcBorders>
            <w:hideMark/>
          </w:tcPr>
          <w:p w14:paraId="44C73CC4" w14:textId="77777777" w:rsidR="00EE692D" w:rsidRPr="00EF2F18" w:rsidRDefault="00EE692D" w:rsidP="00752CA0">
            <w:pPr>
              <w:spacing w:after="0"/>
              <w:rPr>
                <w:rFonts w:eastAsia="Times New Roman" w:cs="Times New Roman"/>
                <w:color w:val="000000"/>
                <w:sz w:val="20"/>
                <w:szCs w:val="20"/>
                <w:lang w:val="sr-Cyrl-RS" w:eastAsia="sr-Cyrl-RS"/>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p w14:paraId="72CFB99C" w14:textId="77777777" w:rsidR="00EE692D" w:rsidRPr="00EF2F18" w:rsidRDefault="00EE692D" w:rsidP="00752CA0">
            <w:pPr>
              <w:spacing w:after="0"/>
              <w:rPr>
                <w:rFonts w:eastAsia="Times New Roman" w:cs="Times New Roman"/>
                <w:color w:val="000000"/>
                <w:sz w:val="20"/>
                <w:szCs w:val="20"/>
                <w:lang w:val="sr-Cyrl-RS" w:eastAsia="sr-Cyrl-RS"/>
              </w:rPr>
            </w:pPr>
          </w:p>
          <w:p w14:paraId="45A6CEF0" w14:textId="77777777" w:rsidR="00EE692D" w:rsidRPr="00EF2F18" w:rsidRDefault="00EE692D" w:rsidP="00752CA0">
            <w:pPr>
              <w:spacing w:after="0"/>
              <w:rPr>
                <w:rFonts w:eastAsia="Times New Roman" w:cs="Times New Roman"/>
                <w:color w:val="000000"/>
                <w:sz w:val="20"/>
                <w:szCs w:val="20"/>
                <w:lang w:val="sr-Cyrl-RS" w:eastAsia="en-GB"/>
              </w:rPr>
            </w:pPr>
          </w:p>
        </w:tc>
        <w:tc>
          <w:tcPr>
            <w:tcW w:w="1340" w:type="dxa"/>
            <w:vMerge w:val="restart"/>
            <w:tcBorders>
              <w:top w:val="nil"/>
              <w:left w:val="single" w:sz="8" w:space="0" w:color="auto"/>
              <w:bottom w:val="single" w:sz="8" w:space="0" w:color="000000"/>
              <w:right w:val="single" w:sz="8" w:space="0" w:color="auto"/>
            </w:tcBorders>
          </w:tcPr>
          <w:p w14:paraId="2B5D9439" w14:textId="59B29C7C" w:rsidR="00EE692D" w:rsidRPr="00EF2F18" w:rsidRDefault="00176CE1"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tc>
        <w:tc>
          <w:tcPr>
            <w:tcW w:w="1176" w:type="dxa"/>
            <w:vMerge w:val="restart"/>
            <w:tcBorders>
              <w:top w:val="nil"/>
              <w:left w:val="single" w:sz="8" w:space="0" w:color="auto"/>
              <w:bottom w:val="single" w:sz="8" w:space="0" w:color="000000"/>
              <w:right w:val="single" w:sz="8" w:space="0" w:color="auto"/>
            </w:tcBorders>
          </w:tcPr>
          <w:p w14:paraId="28DC09D1" w14:textId="00B81E94" w:rsidR="00EE692D" w:rsidRPr="00EF2F18" w:rsidRDefault="00EE692D" w:rsidP="00752CA0">
            <w:pPr>
              <w:spacing w:after="0"/>
              <w:jc w:val="right"/>
              <w:rPr>
                <w:rFonts w:eastAsia="Times New Roman" w:cs="Times New Roman"/>
                <w:color w:val="000000"/>
                <w:sz w:val="20"/>
                <w:szCs w:val="20"/>
                <w:lang w:val="sr-Cyrl-RS" w:eastAsia="en-GB"/>
              </w:rPr>
            </w:pPr>
          </w:p>
        </w:tc>
        <w:tc>
          <w:tcPr>
            <w:tcW w:w="1170" w:type="dxa"/>
            <w:vMerge w:val="restart"/>
            <w:tcBorders>
              <w:top w:val="nil"/>
              <w:left w:val="single" w:sz="8" w:space="0" w:color="auto"/>
              <w:bottom w:val="single" w:sz="8" w:space="0" w:color="000000"/>
              <w:right w:val="single" w:sz="8" w:space="0" w:color="auto"/>
            </w:tcBorders>
          </w:tcPr>
          <w:p w14:paraId="1C7153D8" w14:textId="278DA9CE" w:rsidR="00EE692D" w:rsidRPr="00EF2F18" w:rsidRDefault="00EE692D" w:rsidP="00752CA0">
            <w:pPr>
              <w:spacing w:after="0"/>
              <w:jc w:val="right"/>
              <w:rPr>
                <w:rFonts w:eastAsia="Times New Roman" w:cs="Times New Roman"/>
                <w:color w:val="000000"/>
                <w:sz w:val="20"/>
                <w:szCs w:val="20"/>
                <w:lang w:val="sr-Cyrl-RS" w:eastAsia="en-GB"/>
              </w:rPr>
            </w:pPr>
          </w:p>
        </w:tc>
        <w:tc>
          <w:tcPr>
            <w:tcW w:w="1530" w:type="dxa"/>
            <w:vMerge w:val="restart"/>
            <w:tcBorders>
              <w:top w:val="nil"/>
              <w:left w:val="single" w:sz="8" w:space="0" w:color="auto"/>
              <w:bottom w:val="single" w:sz="8" w:space="0" w:color="000000"/>
              <w:right w:val="double" w:sz="6" w:space="0" w:color="auto"/>
            </w:tcBorders>
          </w:tcPr>
          <w:p w14:paraId="42AA52CB" w14:textId="26B92358" w:rsidR="00EE692D" w:rsidRPr="00EF2F18" w:rsidRDefault="00EE692D" w:rsidP="00752CA0">
            <w:pPr>
              <w:spacing w:after="0"/>
              <w:jc w:val="right"/>
              <w:rPr>
                <w:rFonts w:eastAsia="Times New Roman" w:cs="Times New Roman"/>
                <w:color w:val="000000"/>
                <w:sz w:val="20"/>
                <w:szCs w:val="20"/>
                <w:lang w:val="sr-Cyrl-RS" w:eastAsia="en-GB"/>
              </w:rPr>
            </w:pPr>
          </w:p>
        </w:tc>
      </w:tr>
      <w:tr w:rsidR="00EE692D" w:rsidRPr="00EF2F18" w14:paraId="56B687A3" w14:textId="77777777" w:rsidTr="00EE692D">
        <w:trPr>
          <w:gridAfter w:val="1"/>
          <w:wAfter w:w="18" w:type="dxa"/>
          <w:trHeight w:val="672"/>
        </w:trPr>
        <w:tc>
          <w:tcPr>
            <w:tcW w:w="2978" w:type="dxa"/>
            <w:vMerge/>
            <w:tcBorders>
              <w:top w:val="nil"/>
              <w:left w:val="double" w:sz="6" w:space="0" w:color="auto"/>
              <w:bottom w:val="double" w:sz="6" w:space="0" w:color="auto"/>
              <w:right w:val="single" w:sz="8" w:space="0" w:color="auto"/>
            </w:tcBorders>
            <w:vAlign w:val="center"/>
            <w:hideMark/>
          </w:tcPr>
          <w:p w14:paraId="2CF8A129" w14:textId="77777777" w:rsidR="00EE692D" w:rsidRPr="00EF2F18" w:rsidRDefault="00EE692D" w:rsidP="00752CA0">
            <w:pPr>
              <w:spacing w:after="0"/>
              <w:rPr>
                <w:rFonts w:eastAsia="Times New Roman" w:cs="Times New Roman"/>
                <w:color w:val="000000"/>
                <w:sz w:val="20"/>
                <w:szCs w:val="20"/>
                <w:lang w:val="sr-Cyrl-RS" w:eastAsia="en-GB"/>
              </w:rPr>
            </w:pPr>
          </w:p>
        </w:tc>
        <w:tc>
          <w:tcPr>
            <w:tcW w:w="1260" w:type="dxa"/>
            <w:vMerge/>
            <w:tcBorders>
              <w:top w:val="nil"/>
              <w:left w:val="single" w:sz="8" w:space="0" w:color="auto"/>
              <w:bottom w:val="double" w:sz="6" w:space="0" w:color="auto"/>
              <w:right w:val="single" w:sz="8" w:space="0" w:color="auto"/>
            </w:tcBorders>
            <w:vAlign w:val="center"/>
            <w:hideMark/>
          </w:tcPr>
          <w:p w14:paraId="594B7E48" w14:textId="77777777" w:rsidR="00EE692D" w:rsidRPr="00EF2F18" w:rsidRDefault="00EE692D" w:rsidP="00752CA0">
            <w:pPr>
              <w:spacing w:after="0"/>
              <w:rPr>
                <w:rFonts w:eastAsia="Times New Roman" w:cs="Times New Roman"/>
                <w:color w:val="000000"/>
                <w:sz w:val="20"/>
                <w:szCs w:val="20"/>
                <w:lang w:val="sr-Cyrl-RS" w:eastAsia="en-GB"/>
              </w:rPr>
            </w:pPr>
          </w:p>
        </w:tc>
        <w:tc>
          <w:tcPr>
            <w:tcW w:w="1240" w:type="dxa"/>
            <w:vMerge/>
            <w:tcBorders>
              <w:top w:val="nil"/>
              <w:left w:val="single" w:sz="8" w:space="0" w:color="auto"/>
              <w:bottom w:val="double" w:sz="6" w:space="0" w:color="auto"/>
              <w:right w:val="single" w:sz="8" w:space="0" w:color="auto"/>
            </w:tcBorders>
            <w:vAlign w:val="center"/>
            <w:hideMark/>
          </w:tcPr>
          <w:p w14:paraId="40386892" w14:textId="77777777" w:rsidR="00EE692D" w:rsidRPr="00EF2F18" w:rsidRDefault="00EE692D"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double" w:sz="6" w:space="0" w:color="auto"/>
              <w:right w:val="single" w:sz="8" w:space="0" w:color="auto"/>
            </w:tcBorders>
            <w:vAlign w:val="center"/>
            <w:hideMark/>
          </w:tcPr>
          <w:p w14:paraId="4F108FC4" w14:textId="77777777" w:rsidR="00EE692D" w:rsidRPr="00EF2F18" w:rsidRDefault="00EE692D" w:rsidP="00752CA0">
            <w:pPr>
              <w:spacing w:after="0"/>
              <w:rPr>
                <w:rFonts w:eastAsia="Times New Roman" w:cs="Times New Roman"/>
                <w:color w:val="000000"/>
                <w:sz w:val="20"/>
                <w:szCs w:val="20"/>
                <w:lang w:val="sr-Cyrl-RS" w:eastAsia="en-GB"/>
              </w:rPr>
            </w:pPr>
          </w:p>
        </w:tc>
        <w:tc>
          <w:tcPr>
            <w:tcW w:w="1691" w:type="dxa"/>
            <w:tcBorders>
              <w:top w:val="nil"/>
              <w:left w:val="nil"/>
              <w:bottom w:val="double" w:sz="6" w:space="0" w:color="auto"/>
              <w:right w:val="single" w:sz="8" w:space="0" w:color="auto"/>
            </w:tcBorders>
            <w:hideMark/>
          </w:tcPr>
          <w:p w14:paraId="49682D2A" w14:textId="77777777" w:rsidR="00EE692D" w:rsidRPr="00EF2F18" w:rsidRDefault="00EE692D"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 ЈЛС</w:t>
            </w:r>
          </w:p>
        </w:tc>
        <w:tc>
          <w:tcPr>
            <w:tcW w:w="1340" w:type="dxa"/>
            <w:vMerge/>
            <w:tcBorders>
              <w:top w:val="nil"/>
              <w:left w:val="single" w:sz="8" w:space="0" w:color="auto"/>
              <w:bottom w:val="double" w:sz="6" w:space="0" w:color="auto"/>
              <w:right w:val="single" w:sz="8" w:space="0" w:color="auto"/>
            </w:tcBorders>
            <w:vAlign w:val="center"/>
          </w:tcPr>
          <w:p w14:paraId="3C9991BB" w14:textId="77777777" w:rsidR="00EE692D" w:rsidRPr="00EF2F18" w:rsidRDefault="00EE692D" w:rsidP="00752CA0">
            <w:pPr>
              <w:spacing w:after="0"/>
              <w:rPr>
                <w:rFonts w:eastAsia="Times New Roman" w:cs="Times New Roman"/>
                <w:color w:val="000000"/>
                <w:sz w:val="20"/>
                <w:szCs w:val="20"/>
                <w:lang w:val="sr-Cyrl-RS" w:eastAsia="en-GB"/>
              </w:rPr>
            </w:pPr>
          </w:p>
        </w:tc>
        <w:tc>
          <w:tcPr>
            <w:tcW w:w="1176" w:type="dxa"/>
            <w:vMerge/>
            <w:tcBorders>
              <w:top w:val="nil"/>
              <w:left w:val="single" w:sz="8" w:space="0" w:color="auto"/>
              <w:bottom w:val="double" w:sz="6" w:space="0" w:color="auto"/>
              <w:right w:val="single" w:sz="8" w:space="0" w:color="auto"/>
            </w:tcBorders>
            <w:vAlign w:val="center"/>
          </w:tcPr>
          <w:p w14:paraId="2A2862DC" w14:textId="77777777" w:rsidR="00EE692D" w:rsidRPr="00EF2F18" w:rsidRDefault="00EE692D" w:rsidP="00752CA0">
            <w:pPr>
              <w:spacing w:after="0"/>
              <w:rPr>
                <w:rFonts w:eastAsia="Times New Roman" w:cs="Times New Roman"/>
                <w:color w:val="000000"/>
                <w:sz w:val="20"/>
                <w:szCs w:val="20"/>
                <w:lang w:val="sr-Cyrl-RS" w:eastAsia="en-GB"/>
              </w:rPr>
            </w:pPr>
          </w:p>
        </w:tc>
        <w:tc>
          <w:tcPr>
            <w:tcW w:w="1170" w:type="dxa"/>
            <w:vMerge/>
            <w:tcBorders>
              <w:top w:val="nil"/>
              <w:left w:val="single" w:sz="8" w:space="0" w:color="auto"/>
              <w:bottom w:val="double" w:sz="6" w:space="0" w:color="auto"/>
              <w:right w:val="single" w:sz="8" w:space="0" w:color="auto"/>
            </w:tcBorders>
            <w:vAlign w:val="center"/>
          </w:tcPr>
          <w:p w14:paraId="6A654F36" w14:textId="77777777" w:rsidR="00EE692D" w:rsidRPr="00EF2F18" w:rsidRDefault="00EE692D" w:rsidP="00752CA0">
            <w:pPr>
              <w:spacing w:after="0"/>
              <w:rPr>
                <w:rFonts w:eastAsia="Times New Roman" w:cs="Times New Roman"/>
                <w:color w:val="000000"/>
                <w:sz w:val="20"/>
                <w:szCs w:val="20"/>
                <w:lang w:val="sr-Cyrl-RS" w:eastAsia="en-GB"/>
              </w:rPr>
            </w:pPr>
          </w:p>
        </w:tc>
        <w:tc>
          <w:tcPr>
            <w:tcW w:w="1530" w:type="dxa"/>
            <w:vMerge/>
            <w:tcBorders>
              <w:top w:val="nil"/>
              <w:left w:val="single" w:sz="8" w:space="0" w:color="auto"/>
              <w:bottom w:val="double" w:sz="6" w:space="0" w:color="auto"/>
              <w:right w:val="double" w:sz="6" w:space="0" w:color="auto"/>
            </w:tcBorders>
            <w:vAlign w:val="center"/>
          </w:tcPr>
          <w:p w14:paraId="4B9CBAC9" w14:textId="77777777" w:rsidR="00EE692D" w:rsidRPr="00EF2F18" w:rsidRDefault="00EE692D" w:rsidP="00752CA0">
            <w:pPr>
              <w:spacing w:after="0"/>
              <w:rPr>
                <w:rFonts w:eastAsia="Times New Roman" w:cs="Times New Roman"/>
                <w:color w:val="000000"/>
                <w:sz w:val="20"/>
                <w:szCs w:val="20"/>
                <w:lang w:val="sr-Cyrl-RS" w:eastAsia="en-GB"/>
              </w:rPr>
            </w:pPr>
          </w:p>
        </w:tc>
      </w:tr>
    </w:tbl>
    <w:p w14:paraId="337E5128" w14:textId="357F7DC1" w:rsidR="007D7243" w:rsidRPr="00EF2F18" w:rsidRDefault="00053FD8"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442AB571" w14:textId="77777777" w:rsidR="00053FD8" w:rsidRPr="00EF2F18" w:rsidRDefault="00053FD8" w:rsidP="007D7243">
      <w:pPr>
        <w:rPr>
          <w:sz w:val="20"/>
          <w:szCs w:val="20"/>
          <w:lang w:val="sr-Cyrl-RS"/>
        </w:rPr>
      </w:pPr>
    </w:p>
    <w:tbl>
      <w:tblPr>
        <w:tblW w:w="13657" w:type="dxa"/>
        <w:tblLook w:val="04A0" w:firstRow="1" w:lastRow="0" w:firstColumn="1" w:lastColumn="0" w:noHBand="0" w:noVBand="1"/>
      </w:tblPr>
      <w:tblGrid>
        <w:gridCol w:w="3171"/>
        <w:gridCol w:w="1653"/>
        <w:gridCol w:w="1244"/>
        <w:gridCol w:w="967"/>
        <w:gridCol w:w="949"/>
        <w:gridCol w:w="1460"/>
        <w:gridCol w:w="1049"/>
        <w:gridCol w:w="1274"/>
        <w:gridCol w:w="1873"/>
        <w:gridCol w:w="17"/>
      </w:tblGrid>
      <w:tr w:rsidR="007D7243" w:rsidRPr="00EF2F18" w14:paraId="59BC592D" w14:textId="77777777" w:rsidTr="00BF0002">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0FFC3650" w14:textId="3F39540F"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Мера 6.3.3: Унапређивање информационог система заштите животне средине Републике Србије</w:t>
            </w:r>
          </w:p>
        </w:tc>
      </w:tr>
      <w:tr w:rsidR="007D7243" w:rsidRPr="00EF2F18" w14:paraId="46AED5B3" w14:textId="77777777" w:rsidTr="00BF0002">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29B60371"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Агенција за заштиту животне средине</w:t>
            </w:r>
          </w:p>
        </w:tc>
      </w:tr>
      <w:tr w:rsidR="007D7243" w:rsidRPr="00EF2F18" w14:paraId="4EE31F7A" w14:textId="77777777" w:rsidTr="00BF0002">
        <w:trPr>
          <w:gridAfter w:val="1"/>
          <w:wAfter w:w="17" w:type="dxa"/>
          <w:trHeight w:val="336"/>
        </w:trPr>
        <w:tc>
          <w:tcPr>
            <w:tcW w:w="7035" w:type="dxa"/>
            <w:gridSpan w:val="4"/>
            <w:tcBorders>
              <w:top w:val="double" w:sz="6" w:space="0" w:color="auto"/>
              <w:left w:val="double" w:sz="6" w:space="0" w:color="auto"/>
              <w:bottom w:val="double" w:sz="6" w:space="0" w:color="auto"/>
              <w:right w:val="double" w:sz="6" w:space="0" w:color="000000"/>
            </w:tcBorders>
            <w:shd w:val="clear" w:color="000000" w:fill="F7CAAC"/>
            <w:vAlign w:val="center"/>
            <w:hideMark/>
          </w:tcPr>
          <w:p w14:paraId="3C491117" w14:textId="1EC9F7D9"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EE692D"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605" w:type="dxa"/>
            <w:gridSpan w:val="5"/>
            <w:tcBorders>
              <w:top w:val="double" w:sz="6" w:space="0" w:color="auto"/>
              <w:left w:val="nil"/>
              <w:bottom w:val="double" w:sz="6" w:space="0" w:color="auto"/>
              <w:right w:val="double" w:sz="6" w:space="0" w:color="auto"/>
            </w:tcBorders>
            <w:shd w:val="clear" w:color="000000" w:fill="F7CAAC"/>
            <w:vAlign w:val="center"/>
            <w:hideMark/>
          </w:tcPr>
          <w:p w14:paraId="5A2169C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Обезбеђивање добара и пружање услуга</w:t>
            </w:r>
          </w:p>
        </w:tc>
      </w:tr>
      <w:tr w:rsidR="007D7243" w:rsidRPr="00EF2F18" w14:paraId="473E10A8" w14:textId="77777777" w:rsidTr="00BF0002">
        <w:trPr>
          <w:gridAfter w:val="1"/>
          <w:wAfter w:w="17" w:type="dxa"/>
          <w:trHeight w:val="336"/>
        </w:trPr>
        <w:tc>
          <w:tcPr>
            <w:tcW w:w="7035" w:type="dxa"/>
            <w:gridSpan w:val="4"/>
            <w:tcBorders>
              <w:top w:val="double" w:sz="6" w:space="0" w:color="auto"/>
              <w:left w:val="double" w:sz="6" w:space="0" w:color="auto"/>
              <w:bottom w:val="double" w:sz="6" w:space="0" w:color="auto"/>
              <w:right w:val="double" w:sz="6" w:space="0" w:color="000000"/>
            </w:tcBorders>
            <w:shd w:val="clear" w:color="000000" w:fill="F7CAAC"/>
            <w:vAlign w:val="center"/>
            <w:hideMark/>
          </w:tcPr>
          <w:p w14:paraId="7A3B69A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605" w:type="dxa"/>
            <w:gridSpan w:val="5"/>
            <w:tcBorders>
              <w:top w:val="double" w:sz="6" w:space="0" w:color="auto"/>
              <w:left w:val="nil"/>
              <w:bottom w:val="double" w:sz="6" w:space="0" w:color="auto"/>
              <w:right w:val="double" w:sz="6" w:space="0" w:color="auto"/>
            </w:tcBorders>
            <w:shd w:val="clear" w:color="000000" w:fill="F7CAAC"/>
            <w:vAlign w:val="center"/>
            <w:hideMark/>
          </w:tcPr>
          <w:p w14:paraId="54511FC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BF0002" w:rsidRPr="00EF2F18" w14:paraId="3088C0C3" w14:textId="77777777" w:rsidTr="00BF0002">
        <w:trPr>
          <w:trHeight w:val="816"/>
        </w:trPr>
        <w:tc>
          <w:tcPr>
            <w:tcW w:w="3171" w:type="dxa"/>
            <w:tcBorders>
              <w:top w:val="nil"/>
              <w:left w:val="double" w:sz="6" w:space="0" w:color="auto"/>
              <w:bottom w:val="double" w:sz="6" w:space="0" w:color="auto"/>
              <w:right w:val="single" w:sz="8" w:space="0" w:color="auto"/>
            </w:tcBorders>
            <w:shd w:val="clear" w:color="000000" w:fill="D9D9D9"/>
            <w:vAlign w:val="center"/>
            <w:hideMark/>
          </w:tcPr>
          <w:p w14:paraId="3311C94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653" w:type="dxa"/>
            <w:tcBorders>
              <w:top w:val="nil"/>
              <w:left w:val="nil"/>
              <w:bottom w:val="double" w:sz="6" w:space="0" w:color="auto"/>
              <w:right w:val="single" w:sz="8" w:space="0" w:color="auto"/>
            </w:tcBorders>
            <w:shd w:val="clear" w:color="000000" w:fill="D9D9D9"/>
            <w:vAlign w:val="center"/>
            <w:hideMark/>
          </w:tcPr>
          <w:p w14:paraId="4C64B21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44" w:type="dxa"/>
            <w:tcBorders>
              <w:top w:val="nil"/>
              <w:left w:val="nil"/>
              <w:bottom w:val="double" w:sz="6" w:space="0" w:color="auto"/>
              <w:right w:val="single" w:sz="8" w:space="0" w:color="auto"/>
            </w:tcBorders>
            <w:shd w:val="clear" w:color="000000" w:fill="D9D9D9"/>
            <w:vAlign w:val="center"/>
            <w:hideMark/>
          </w:tcPr>
          <w:p w14:paraId="4E1106C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916" w:type="dxa"/>
            <w:gridSpan w:val="2"/>
            <w:tcBorders>
              <w:top w:val="double" w:sz="6" w:space="0" w:color="auto"/>
              <w:left w:val="nil"/>
              <w:bottom w:val="double" w:sz="6" w:space="0" w:color="auto"/>
              <w:right w:val="single" w:sz="8" w:space="0" w:color="000000"/>
            </w:tcBorders>
            <w:shd w:val="clear" w:color="000000" w:fill="D9D9D9"/>
            <w:vAlign w:val="center"/>
            <w:hideMark/>
          </w:tcPr>
          <w:p w14:paraId="7E3CF140"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460" w:type="dxa"/>
            <w:tcBorders>
              <w:top w:val="nil"/>
              <w:left w:val="nil"/>
              <w:bottom w:val="double" w:sz="6" w:space="0" w:color="auto"/>
              <w:right w:val="single" w:sz="8" w:space="0" w:color="auto"/>
            </w:tcBorders>
            <w:shd w:val="clear" w:color="000000" w:fill="D9D9D9"/>
            <w:vAlign w:val="center"/>
            <w:hideMark/>
          </w:tcPr>
          <w:p w14:paraId="03002DF9"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49" w:type="dxa"/>
            <w:tcBorders>
              <w:top w:val="nil"/>
              <w:left w:val="nil"/>
              <w:bottom w:val="double" w:sz="6" w:space="0" w:color="auto"/>
              <w:right w:val="nil"/>
            </w:tcBorders>
            <w:shd w:val="clear" w:color="000000" w:fill="D9D9D9"/>
            <w:vAlign w:val="center"/>
            <w:hideMark/>
          </w:tcPr>
          <w:p w14:paraId="775B17C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274" w:type="dxa"/>
            <w:tcBorders>
              <w:top w:val="nil"/>
              <w:left w:val="nil"/>
              <w:bottom w:val="double" w:sz="6" w:space="0" w:color="auto"/>
              <w:right w:val="single" w:sz="8" w:space="0" w:color="auto"/>
            </w:tcBorders>
            <w:shd w:val="clear" w:color="000000" w:fill="D9D9D9"/>
            <w:vAlign w:val="center"/>
            <w:hideMark/>
          </w:tcPr>
          <w:p w14:paraId="7CAD466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90" w:type="dxa"/>
            <w:gridSpan w:val="2"/>
            <w:tcBorders>
              <w:top w:val="nil"/>
              <w:left w:val="nil"/>
              <w:bottom w:val="double" w:sz="6" w:space="0" w:color="auto"/>
              <w:right w:val="double" w:sz="6" w:space="0" w:color="auto"/>
            </w:tcBorders>
            <w:shd w:val="clear" w:color="000000" w:fill="D9D9D9"/>
            <w:vAlign w:val="center"/>
            <w:hideMark/>
          </w:tcPr>
          <w:p w14:paraId="1E72ADF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BF0002" w:rsidRPr="00EF2F18" w14:paraId="21FA0B8F" w14:textId="77777777" w:rsidTr="00BF0002">
        <w:trPr>
          <w:trHeight w:val="552"/>
        </w:trPr>
        <w:tc>
          <w:tcPr>
            <w:tcW w:w="3171" w:type="dxa"/>
            <w:tcBorders>
              <w:top w:val="nil"/>
              <w:left w:val="double" w:sz="6" w:space="0" w:color="auto"/>
              <w:bottom w:val="double" w:sz="6" w:space="0" w:color="auto"/>
              <w:right w:val="single" w:sz="8" w:space="0" w:color="auto"/>
            </w:tcBorders>
            <w:shd w:val="clear" w:color="000000" w:fill="FFFFFF"/>
            <w:vAlign w:val="center"/>
            <w:hideMark/>
          </w:tcPr>
          <w:p w14:paraId="0957BF20"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Успостављене планиране дигиталне базе података и инвентара</w:t>
            </w:r>
          </w:p>
        </w:tc>
        <w:tc>
          <w:tcPr>
            <w:tcW w:w="1653" w:type="dxa"/>
            <w:tcBorders>
              <w:top w:val="nil"/>
              <w:left w:val="nil"/>
              <w:bottom w:val="double" w:sz="6" w:space="0" w:color="auto"/>
              <w:right w:val="single" w:sz="8" w:space="0" w:color="auto"/>
            </w:tcBorders>
            <w:shd w:val="clear" w:color="000000" w:fill="FFFFFF"/>
            <w:vAlign w:val="center"/>
            <w:hideMark/>
          </w:tcPr>
          <w:p w14:paraId="064BF0A4"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да/делимично/не</w:t>
            </w:r>
          </w:p>
        </w:tc>
        <w:tc>
          <w:tcPr>
            <w:tcW w:w="1244" w:type="dxa"/>
            <w:tcBorders>
              <w:top w:val="nil"/>
              <w:left w:val="nil"/>
              <w:bottom w:val="double" w:sz="6" w:space="0" w:color="auto"/>
              <w:right w:val="single" w:sz="8" w:space="0" w:color="auto"/>
            </w:tcBorders>
            <w:shd w:val="clear" w:color="000000" w:fill="FFFFFF"/>
            <w:vAlign w:val="center"/>
            <w:hideMark/>
          </w:tcPr>
          <w:p w14:paraId="2A5B780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АЗЖС</w:t>
            </w:r>
          </w:p>
        </w:tc>
        <w:tc>
          <w:tcPr>
            <w:tcW w:w="1916" w:type="dxa"/>
            <w:gridSpan w:val="2"/>
            <w:tcBorders>
              <w:top w:val="double" w:sz="6" w:space="0" w:color="auto"/>
              <w:left w:val="nil"/>
              <w:bottom w:val="double" w:sz="6" w:space="0" w:color="auto"/>
              <w:right w:val="single" w:sz="8" w:space="0" w:color="000000"/>
            </w:tcBorders>
            <w:shd w:val="clear" w:color="000000" w:fill="FFFFFF"/>
            <w:vAlign w:val="center"/>
            <w:hideMark/>
          </w:tcPr>
          <w:p w14:paraId="12188414"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460" w:type="dxa"/>
            <w:tcBorders>
              <w:top w:val="nil"/>
              <w:left w:val="nil"/>
              <w:bottom w:val="double" w:sz="6" w:space="0" w:color="auto"/>
              <w:right w:val="single" w:sz="8" w:space="0" w:color="auto"/>
            </w:tcBorders>
            <w:shd w:val="clear" w:color="000000" w:fill="FFFFFF"/>
            <w:vAlign w:val="center"/>
            <w:hideMark/>
          </w:tcPr>
          <w:p w14:paraId="518FBD72"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49" w:type="dxa"/>
            <w:tcBorders>
              <w:top w:val="double" w:sz="6" w:space="0" w:color="auto"/>
              <w:left w:val="single" w:sz="4" w:space="0" w:color="auto"/>
              <w:bottom w:val="double" w:sz="6" w:space="0" w:color="auto"/>
              <w:right w:val="single" w:sz="8" w:space="0" w:color="auto"/>
            </w:tcBorders>
            <w:vAlign w:val="center"/>
            <w:hideMark/>
          </w:tcPr>
          <w:p w14:paraId="10D212ED"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274" w:type="dxa"/>
            <w:tcBorders>
              <w:top w:val="nil"/>
              <w:left w:val="nil"/>
              <w:bottom w:val="double" w:sz="6" w:space="0" w:color="auto"/>
              <w:right w:val="single" w:sz="8" w:space="0" w:color="auto"/>
            </w:tcBorders>
            <w:vAlign w:val="center"/>
            <w:hideMark/>
          </w:tcPr>
          <w:p w14:paraId="662CDABF"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890" w:type="dxa"/>
            <w:gridSpan w:val="2"/>
            <w:tcBorders>
              <w:top w:val="nil"/>
              <w:left w:val="nil"/>
              <w:bottom w:val="double" w:sz="6" w:space="0" w:color="auto"/>
              <w:right w:val="double" w:sz="6" w:space="0" w:color="auto"/>
            </w:tcBorders>
            <w:vAlign w:val="center"/>
            <w:hideMark/>
          </w:tcPr>
          <w:p w14:paraId="61D0CA9E"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r>
    </w:tbl>
    <w:p w14:paraId="109A1F9B" w14:textId="77777777" w:rsidR="007D7243" w:rsidRPr="00EF2F18" w:rsidRDefault="007D7243" w:rsidP="007D7243">
      <w:pPr>
        <w:rPr>
          <w:rFonts w:cs="Times New Roman"/>
          <w:sz w:val="20"/>
          <w:szCs w:val="20"/>
          <w:lang w:val="sr-Cyrl-RS"/>
        </w:rPr>
      </w:pPr>
    </w:p>
    <w:p w14:paraId="613672EB" w14:textId="77777777" w:rsidR="007620E6" w:rsidRPr="00EF2F18" w:rsidRDefault="007620E6" w:rsidP="007D7243">
      <w:pPr>
        <w:rPr>
          <w:rFonts w:cs="Times New Roman"/>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0"/>
        <w:gridCol w:w="2480"/>
        <w:gridCol w:w="1977"/>
        <w:gridCol w:w="2880"/>
        <w:gridCol w:w="2520"/>
      </w:tblGrid>
      <w:tr w:rsidR="007D7243" w:rsidRPr="00EF2F18" w14:paraId="646B61A0" w14:textId="77777777" w:rsidTr="00BF0002">
        <w:trPr>
          <w:trHeight w:val="336"/>
        </w:trPr>
        <w:tc>
          <w:tcPr>
            <w:tcW w:w="3800" w:type="dxa"/>
            <w:vMerge w:val="restart"/>
            <w:shd w:val="clear" w:color="000000" w:fill="A8D08D"/>
            <w:hideMark/>
          </w:tcPr>
          <w:p w14:paraId="03BB28B2"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Извор финансирања мере</w:t>
            </w:r>
          </w:p>
        </w:tc>
        <w:tc>
          <w:tcPr>
            <w:tcW w:w="2480" w:type="dxa"/>
            <w:vMerge w:val="restart"/>
            <w:shd w:val="clear" w:color="000000" w:fill="A8D08D"/>
            <w:hideMark/>
          </w:tcPr>
          <w:p w14:paraId="3E14EEA9"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shd w:val="clear" w:color="000000" w:fill="A8D08D"/>
            <w:hideMark/>
          </w:tcPr>
          <w:p w14:paraId="4414938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BF0002" w:rsidRPr="00EF2F18" w14:paraId="33B3DBD2" w14:textId="77777777" w:rsidTr="00BF0002">
        <w:trPr>
          <w:trHeight w:val="336"/>
        </w:trPr>
        <w:tc>
          <w:tcPr>
            <w:tcW w:w="3800" w:type="dxa"/>
            <w:vMerge/>
            <w:vAlign w:val="center"/>
            <w:hideMark/>
          </w:tcPr>
          <w:p w14:paraId="068D25F3" w14:textId="77777777" w:rsidR="00BF0002" w:rsidRPr="00EF2F18" w:rsidRDefault="00BF0002" w:rsidP="00752CA0">
            <w:pPr>
              <w:spacing w:after="0"/>
              <w:rPr>
                <w:rFonts w:eastAsia="Times New Roman" w:cs="Times New Roman"/>
                <w:color w:val="000000"/>
                <w:sz w:val="20"/>
                <w:szCs w:val="20"/>
                <w:lang w:val="sr-Cyrl-RS" w:eastAsia="en-GB"/>
              </w:rPr>
            </w:pPr>
          </w:p>
        </w:tc>
        <w:tc>
          <w:tcPr>
            <w:tcW w:w="2480" w:type="dxa"/>
            <w:vMerge/>
            <w:vAlign w:val="center"/>
            <w:hideMark/>
          </w:tcPr>
          <w:p w14:paraId="6FF58130" w14:textId="77777777" w:rsidR="00BF0002" w:rsidRPr="00EF2F18" w:rsidRDefault="00BF0002" w:rsidP="00752CA0">
            <w:pPr>
              <w:spacing w:after="0"/>
              <w:rPr>
                <w:rFonts w:eastAsia="Times New Roman" w:cs="Times New Roman"/>
                <w:color w:val="000000"/>
                <w:sz w:val="20"/>
                <w:szCs w:val="20"/>
                <w:lang w:val="sr-Cyrl-RS" w:eastAsia="en-GB"/>
              </w:rPr>
            </w:pPr>
          </w:p>
        </w:tc>
        <w:tc>
          <w:tcPr>
            <w:tcW w:w="1977" w:type="dxa"/>
            <w:shd w:val="clear" w:color="000000" w:fill="A8D08D"/>
            <w:hideMark/>
          </w:tcPr>
          <w:p w14:paraId="573C4146" w14:textId="546E0130"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 године</w:t>
            </w:r>
          </w:p>
        </w:tc>
        <w:tc>
          <w:tcPr>
            <w:tcW w:w="2880" w:type="dxa"/>
            <w:shd w:val="clear" w:color="000000" w:fill="A8D08D"/>
            <w:hideMark/>
          </w:tcPr>
          <w:p w14:paraId="3DA0F88A" w14:textId="2D8461CA"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520" w:type="dxa"/>
            <w:shd w:val="clear" w:color="000000" w:fill="A8D08D"/>
            <w:hideMark/>
          </w:tcPr>
          <w:p w14:paraId="636BA55D" w14:textId="37E6C861"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BF0002" w:rsidRPr="00EF2F18" w14:paraId="62661977" w14:textId="77777777" w:rsidTr="00BF0002">
        <w:trPr>
          <w:trHeight w:val="336"/>
        </w:trPr>
        <w:tc>
          <w:tcPr>
            <w:tcW w:w="3800" w:type="dxa"/>
            <w:shd w:val="clear" w:color="000000" w:fill="FFFFFF"/>
            <w:hideMark/>
          </w:tcPr>
          <w:p w14:paraId="1604C48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2480" w:type="dxa"/>
            <w:shd w:val="clear" w:color="000000" w:fill="FFFFFF"/>
          </w:tcPr>
          <w:p w14:paraId="4FF37210" w14:textId="55DBC519" w:rsidR="00BF0002" w:rsidRPr="00EF2F18" w:rsidRDefault="00BF0002" w:rsidP="00752CA0">
            <w:pPr>
              <w:spacing w:after="0"/>
              <w:rPr>
                <w:rFonts w:eastAsia="Times New Roman" w:cs="Times New Roman"/>
                <w:color w:val="000000"/>
                <w:sz w:val="20"/>
                <w:szCs w:val="20"/>
                <w:lang w:val="sr-Cyrl-RS" w:eastAsia="en-GB"/>
              </w:rPr>
            </w:pPr>
          </w:p>
        </w:tc>
        <w:tc>
          <w:tcPr>
            <w:tcW w:w="1977" w:type="dxa"/>
            <w:shd w:val="clear" w:color="000000" w:fill="FFFFFF"/>
          </w:tcPr>
          <w:p w14:paraId="427ABBCA" w14:textId="77258C0B" w:rsidR="00BF0002" w:rsidRPr="00EF2F18" w:rsidRDefault="00BF0002" w:rsidP="00752CA0">
            <w:pPr>
              <w:spacing w:after="0"/>
              <w:jc w:val="right"/>
              <w:rPr>
                <w:rFonts w:eastAsia="Times New Roman" w:cs="Times New Roman"/>
                <w:color w:val="000000"/>
                <w:sz w:val="20"/>
                <w:szCs w:val="20"/>
                <w:lang w:val="sr-Cyrl-RS" w:eastAsia="en-GB"/>
              </w:rPr>
            </w:pPr>
          </w:p>
        </w:tc>
        <w:tc>
          <w:tcPr>
            <w:tcW w:w="2880" w:type="dxa"/>
            <w:shd w:val="clear" w:color="000000" w:fill="FFFFFF"/>
          </w:tcPr>
          <w:p w14:paraId="798302AE" w14:textId="312BC4B1" w:rsidR="00BF0002" w:rsidRPr="00EF2F18" w:rsidRDefault="00BF0002" w:rsidP="00752CA0">
            <w:pPr>
              <w:spacing w:after="0"/>
              <w:jc w:val="right"/>
              <w:rPr>
                <w:rFonts w:eastAsia="Times New Roman" w:cs="Times New Roman"/>
                <w:color w:val="000000"/>
                <w:sz w:val="20"/>
                <w:szCs w:val="20"/>
                <w:lang w:val="sr-Cyrl-RS" w:eastAsia="en-GB"/>
              </w:rPr>
            </w:pPr>
          </w:p>
        </w:tc>
        <w:tc>
          <w:tcPr>
            <w:tcW w:w="2520" w:type="dxa"/>
            <w:shd w:val="clear" w:color="000000" w:fill="FFFFFF"/>
          </w:tcPr>
          <w:p w14:paraId="320AC64C" w14:textId="73EEF4A1"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5619456A" w14:textId="77777777" w:rsidTr="00BF0002">
        <w:trPr>
          <w:trHeight w:val="336"/>
        </w:trPr>
        <w:tc>
          <w:tcPr>
            <w:tcW w:w="3800" w:type="dxa"/>
            <w:shd w:val="clear" w:color="000000" w:fill="FFFFFF"/>
          </w:tcPr>
          <w:p w14:paraId="23D74187" w14:textId="2272422E" w:rsidR="00BF0002" w:rsidRPr="00EF2F18" w:rsidRDefault="00BF0002" w:rsidP="00731D85">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 (АЗЖС)</w:t>
            </w:r>
          </w:p>
        </w:tc>
        <w:tc>
          <w:tcPr>
            <w:tcW w:w="2480" w:type="dxa"/>
            <w:shd w:val="clear" w:color="000000" w:fill="FFFFFF"/>
          </w:tcPr>
          <w:p w14:paraId="096AC033" w14:textId="77777777" w:rsidR="00BF0002" w:rsidRPr="00EF2F18" w:rsidRDefault="00176CE1" w:rsidP="00731D85">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p w14:paraId="13F9A9A5" w14:textId="52823106" w:rsidR="00176CE1" w:rsidRPr="00EF2F18" w:rsidRDefault="00176CE1" w:rsidP="00731D85">
            <w:pPr>
              <w:spacing w:after="0"/>
              <w:rPr>
                <w:rFonts w:eastAsia="Times New Roman" w:cs="Times New Roman"/>
                <w:color w:val="000000"/>
                <w:sz w:val="20"/>
                <w:szCs w:val="20"/>
                <w:lang w:val="sr-Cyrl-RS" w:eastAsia="en-GB"/>
              </w:rPr>
            </w:pPr>
          </w:p>
        </w:tc>
        <w:tc>
          <w:tcPr>
            <w:tcW w:w="1977" w:type="dxa"/>
          </w:tcPr>
          <w:p w14:paraId="1C919159" w14:textId="77777777" w:rsidR="00BF0002" w:rsidRPr="00EF2F18" w:rsidRDefault="00BF0002" w:rsidP="00731D85">
            <w:pPr>
              <w:spacing w:after="0"/>
              <w:jc w:val="right"/>
              <w:rPr>
                <w:rFonts w:eastAsia="Times New Roman" w:cs="Times New Roman"/>
                <w:color w:val="000000"/>
                <w:sz w:val="20"/>
                <w:szCs w:val="20"/>
                <w:lang w:val="sr-Cyrl-RS" w:eastAsia="en-GB"/>
              </w:rPr>
            </w:pPr>
          </w:p>
        </w:tc>
        <w:tc>
          <w:tcPr>
            <w:tcW w:w="2880" w:type="dxa"/>
          </w:tcPr>
          <w:p w14:paraId="1781CECA" w14:textId="77777777" w:rsidR="00BF0002" w:rsidRPr="00EF2F18" w:rsidRDefault="00BF0002" w:rsidP="00731D85">
            <w:pPr>
              <w:spacing w:after="0"/>
              <w:jc w:val="right"/>
              <w:rPr>
                <w:rFonts w:eastAsia="Times New Roman" w:cs="Times New Roman"/>
                <w:color w:val="000000"/>
                <w:sz w:val="20"/>
                <w:szCs w:val="20"/>
                <w:lang w:val="sr-Cyrl-RS" w:eastAsia="en-GB"/>
              </w:rPr>
            </w:pPr>
          </w:p>
        </w:tc>
        <w:tc>
          <w:tcPr>
            <w:tcW w:w="2520" w:type="dxa"/>
            <w:shd w:val="clear" w:color="000000" w:fill="FFFFFF"/>
          </w:tcPr>
          <w:p w14:paraId="69E6CB7C" w14:textId="77777777" w:rsidR="00BF0002" w:rsidRPr="00EF2F18" w:rsidRDefault="00BF0002" w:rsidP="00731D85">
            <w:pPr>
              <w:spacing w:after="0"/>
              <w:jc w:val="right"/>
              <w:rPr>
                <w:rFonts w:eastAsia="Times New Roman" w:cs="Times New Roman"/>
                <w:color w:val="000000"/>
                <w:sz w:val="20"/>
                <w:szCs w:val="20"/>
                <w:lang w:val="sr-Cyrl-RS" w:eastAsia="en-GB"/>
              </w:rPr>
            </w:pPr>
          </w:p>
        </w:tc>
      </w:tr>
    </w:tbl>
    <w:p w14:paraId="2EAAAE87" w14:textId="60B845F7" w:rsidR="00630969" w:rsidRPr="00EF2F18" w:rsidRDefault="007D7243" w:rsidP="007D7243">
      <w:pPr>
        <w:rPr>
          <w:sz w:val="20"/>
          <w:szCs w:val="20"/>
          <w:lang w:val="sr-Cyrl-RS"/>
        </w:rPr>
      </w:pPr>
      <w:r w:rsidRPr="00EF2F18">
        <w:rPr>
          <w:sz w:val="20"/>
          <w:szCs w:val="20"/>
          <w:lang w:val="sr-Cyrl-RS"/>
        </w:rPr>
        <w:t xml:space="preserve"> </w:t>
      </w:r>
    </w:p>
    <w:tbl>
      <w:tblPr>
        <w:tblW w:w="13657" w:type="dxa"/>
        <w:tblLook w:val="04A0" w:firstRow="1" w:lastRow="0" w:firstColumn="1" w:lastColumn="0" w:noHBand="0" w:noVBand="1"/>
      </w:tblPr>
      <w:tblGrid>
        <w:gridCol w:w="2929"/>
        <w:gridCol w:w="1252"/>
        <w:gridCol w:w="1240"/>
        <w:gridCol w:w="1182"/>
        <w:gridCol w:w="1691"/>
        <w:gridCol w:w="1340"/>
        <w:gridCol w:w="993"/>
        <w:gridCol w:w="1230"/>
        <w:gridCol w:w="1800"/>
      </w:tblGrid>
      <w:tr w:rsidR="007D7243" w:rsidRPr="00EF2F18" w14:paraId="656300B7" w14:textId="77777777" w:rsidTr="00BF0002">
        <w:trPr>
          <w:trHeight w:val="732"/>
        </w:trPr>
        <w:tc>
          <w:tcPr>
            <w:tcW w:w="2929"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7915E0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0ED043F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6CB973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B75264C"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84AFB1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F9068A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23" w:type="dxa"/>
            <w:gridSpan w:val="3"/>
            <w:tcBorders>
              <w:top w:val="double" w:sz="6" w:space="0" w:color="auto"/>
              <w:left w:val="nil"/>
              <w:bottom w:val="single" w:sz="8" w:space="0" w:color="auto"/>
              <w:right w:val="double" w:sz="6" w:space="0" w:color="auto"/>
            </w:tcBorders>
            <w:shd w:val="clear" w:color="000000" w:fill="FFF2CC"/>
            <w:hideMark/>
          </w:tcPr>
          <w:p w14:paraId="620B450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BF0002" w:rsidRPr="00EF2F18" w14:paraId="2AD3CA60" w14:textId="77777777" w:rsidTr="00BF0002">
        <w:trPr>
          <w:trHeight w:val="324"/>
        </w:trPr>
        <w:tc>
          <w:tcPr>
            <w:tcW w:w="2929" w:type="dxa"/>
            <w:vMerge/>
            <w:tcBorders>
              <w:top w:val="double" w:sz="6" w:space="0" w:color="auto"/>
              <w:left w:val="double" w:sz="6" w:space="0" w:color="auto"/>
              <w:bottom w:val="single" w:sz="8" w:space="0" w:color="000000"/>
              <w:right w:val="single" w:sz="8" w:space="0" w:color="auto"/>
            </w:tcBorders>
            <w:vAlign w:val="center"/>
            <w:hideMark/>
          </w:tcPr>
          <w:p w14:paraId="221F6604" w14:textId="77777777" w:rsidR="00BF0002" w:rsidRPr="00EF2F18" w:rsidRDefault="00BF0002" w:rsidP="00752CA0">
            <w:pPr>
              <w:spacing w:after="0"/>
              <w:rPr>
                <w:rFonts w:eastAsia="Times New Roman" w:cs="Times New Roman"/>
                <w:color w:val="000000"/>
                <w:sz w:val="20"/>
                <w:szCs w:val="20"/>
                <w:lang w:val="sr-Cyrl-RS" w:eastAsia="en-GB"/>
              </w:rPr>
            </w:pPr>
          </w:p>
        </w:tc>
        <w:tc>
          <w:tcPr>
            <w:tcW w:w="1252" w:type="dxa"/>
            <w:vMerge/>
            <w:tcBorders>
              <w:top w:val="double" w:sz="6" w:space="0" w:color="auto"/>
              <w:left w:val="single" w:sz="8" w:space="0" w:color="auto"/>
              <w:bottom w:val="single" w:sz="8" w:space="0" w:color="000000"/>
              <w:right w:val="single" w:sz="8" w:space="0" w:color="auto"/>
            </w:tcBorders>
            <w:vAlign w:val="center"/>
            <w:hideMark/>
          </w:tcPr>
          <w:p w14:paraId="299972C2" w14:textId="77777777" w:rsidR="00BF0002" w:rsidRPr="00EF2F18" w:rsidRDefault="00BF0002"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7ED44501"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306830F9" w14:textId="77777777" w:rsidR="00BF0002" w:rsidRPr="00EF2F18" w:rsidRDefault="00BF0002"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282B92CE" w14:textId="77777777" w:rsidR="00BF0002" w:rsidRPr="00EF2F18" w:rsidRDefault="00BF0002"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2AABB437" w14:textId="77777777" w:rsidR="00BF0002" w:rsidRPr="00EF2F18" w:rsidRDefault="00BF0002"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shd w:val="clear" w:color="000000" w:fill="FFF2CC"/>
            <w:vAlign w:val="center"/>
            <w:hideMark/>
          </w:tcPr>
          <w:p w14:paraId="22674ACF" w14:textId="027E90B8"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w:t>
            </w:r>
          </w:p>
        </w:tc>
        <w:tc>
          <w:tcPr>
            <w:tcW w:w="1230" w:type="dxa"/>
            <w:tcBorders>
              <w:top w:val="nil"/>
              <w:left w:val="nil"/>
              <w:bottom w:val="single" w:sz="8" w:space="0" w:color="auto"/>
              <w:right w:val="single" w:sz="8" w:space="0" w:color="auto"/>
            </w:tcBorders>
            <w:shd w:val="clear" w:color="000000" w:fill="FFF2CC"/>
            <w:vAlign w:val="center"/>
            <w:hideMark/>
          </w:tcPr>
          <w:p w14:paraId="6FADB9D8" w14:textId="46B131C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800" w:type="dxa"/>
            <w:tcBorders>
              <w:top w:val="nil"/>
              <w:left w:val="nil"/>
              <w:bottom w:val="single" w:sz="8" w:space="0" w:color="auto"/>
              <w:right w:val="double" w:sz="6" w:space="0" w:color="auto"/>
            </w:tcBorders>
            <w:shd w:val="clear" w:color="000000" w:fill="FFF2CC"/>
            <w:vAlign w:val="center"/>
            <w:hideMark/>
          </w:tcPr>
          <w:p w14:paraId="76BF7AB8" w14:textId="2F27CD61"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BF0002" w:rsidRPr="00EF2F18" w14:paraId="526B65FA" w14:textId="77777777" w:rsidTr="00150BA5">
        <w:trPr>
          <w:trHeight w:val="528"/>
        </w:trPr>
        <w:tc>
          <w:tcPr>
            <w:tcW w:w="2929" w:type="dxa"/>
            <w:vMerge w:val="restart"/>
            <w:tcBorders>
              <w:top w:val="nil"/>
              <w:left w:val="double" w:sz="6" w:space="0" w:color="auto"/>
              <w:bottom w:val="double" w:sz="6" w:space="0" w:color="000000"/>
              <w:right w:val="single" w:sz="8" w:space="0" w:color="auto"/>
            </w:tcBorders>
            <w:hideMark/>
          </w:tcPr>
          <w:p w14:paraId="0B8F9DB5" w14:textId="5BB1398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themeColor="text1"/>
                <w:kern w:val="24"/>
                <w:sz w:val="20"/>
                <w:szCs w:val="20"/>
                <w:lang w:val="sr-Cyrl-RS" w:eastAsia="en-GB"/>
              </w:rPr>
              <w:t>6.3.3.</w:t>
            </w:r>
            <w:r w:rsidR="00E4386E" w:rsidRPr="00EF2F18">
              <w:rPr>
                <w:rFonts w:eastAsia="Times New Roman" w:cs="Times New Roman"/>
                <w:color w:val="000000" w:themeColor="text1"/>
                <w:kern w:val="24"/>
                <w:sz w:val="20"/>
                <w:szCs w:val="20"/>
                <w:lang w:val="sr-Cyrl-RS" w:eastAsia="en-GB"/>
              </w:rPr>
              <w:t>1</w:t>
            </w:r>
            <w:r w:rsidRPr="00EF2F18">
              <w:rPr>
                <w:rFonts w:eastAsia="Times New Roman" w:cs="Times New Roman"/>
                <w:color w:val="000000" w:themeColor="text1"/>
                <w:kern w:val="24"/>
                <w:sz w:val="20"/>
                <w:szCs w:val="20"/>
                <w:lang w:val="sr-Cyrl-RS" w:eastAsia="en-GB"/>
              </w:rPr>
              <w:t xml:space="preserve">. Подршка развоју и унапређивању локалних регистара извора загађивања животне средине у свим ЈЛС </w:t>
            </w:r>
          </w:p>
        </w:tc>
        <w:tc>
          <w:tcPr>
            <w:tcW w:w="1252" w:type="dxa"/>
            <w:vMerge w:val="restart"/>
            <w:tcBorders>
              <w:top w:val="nil"/>
              <w:left w:val="single" w:sz="8" w:space="0" w:color="auto"/>
              <w:bottom w:val="double" w:sz="6" w:space="0" w:color="000000"/>
              <w:right w:val="single" w:sz="8" w:space="0" w:color="auto"/>
            </w:tcBorders>
            <w:hideMark/>
          </w:tcPr>
          <w:p w14:paraId="1FA1CF4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АЗЖС</w:t>
            </w:r>
          </w:p>
        </w:tc>
        <w:tc>
          <w:tcPr>
            <w:tcW w:w="1240" w:type="dxa"/>
            <w:vMerge w:val="restart"/>
            <w:tcBorders>
              <w:top w:val="nil"/>
              <w:left w:val="single" w:sz="8" w:space="0" w:color="auto"/>
              <w:bottom w:val="double" w:sz="6" w:space="0" w:color="000000"/>
              <w:right w:val="single" w:sz="8" w:space="0" w:color="auto"/>
            </w:tcBorders>
            <w:hideMark/>
          </w:tcPr>
          <w:p w14:paraId="1D994B7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ЈЛС</w:t>
            </w:r>
          </w:p>
        </w:tc>
        <w:tc>
          <w:tcPr>
            <w:tcW w:w="1182" w:type="dxa"/>
            <w:vMerge w:val="restart"/>
            <w:tcBorders>
              <w:top w:val="nil"/>
              <w:left w:val="single" w:sz="8" w:space="0" w:color="auto"/>
              <w:bottom w:val="double" w:sz="6" w:space="0" w:color="000000"/>
              <w:right w:val="single" w:sz="8" w:space="0" w:color="auto"/>
            </w:tcBorders>
            <w:hideMark/>
          </w:tcPr>
          <w:p w14:paraId="1CF1771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2028.</w:t>
            </w:r>
          </w:p>
        </w:tc>
        <w:tc>
          <w:tcPr>
            <w:tcW w:w="1691" w:type="dxa"/>
            <w:tcBorders>
              <w:top w:val="nil"/>
              <w:left w:val="nil"/>
              <w:bottom w:val="nil"/>
              <w:right w:val="single" w:sz="8" w:space="0" w:color="auto"/>
            </w:tcBorders>
            <w:hideMark/>
          </w:tcPr>
          <w:p w14:paraId="76736DA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nil"/>
              <w:right w:val="single" w:sz="8" w:space="0" w:color="auto"/>
            </w:tcBorders>
          </w:tcPr>
          <w:p w14:paraId="5DBB19C5" w14:textId="77777777" w:rsidR="00BF0002" w:rsidRPr="00EF2F18" w:rsidRDefault="00176CE1"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0404-560-0010-411</w:t>
            </w:r>
          </w:p>
          <w:p w14:paraId="45434D08" w14:textId="7D99E3F7" w:rsidR="00176CE1" w:rsidRPr="00EF2F18" w:rsidRDefault="00176CE1" w:rsidP="00752CA0">
            <w:pPr>
              <w:spacing w:after="0"/>
              <w:rPr>
                <w:rFonts w:eastAsia="Times New Roman" w:cs="Times New Roman"/>
                <w:color w:val="000000"/>
                <w:sz w:val="20"/>
                <w:szCs w:val="20"/>
                <w:lang w:val="sr-Cyrl-RS" w:eastAsia="en-GB"/>
              </w:rPr>
            </w:pPr>
          </w:p>
        </w:tc>
        <w:tc>
          <w:tcPr>
            <w:tcW w:w="993" w:type="dxa"/>
            <w:vMerge w:val="restart"/>
            <w:tcBorders>
              <w:top w:val="nil"/>
              <w:left w:val="single" w:sz="8" w:space="0" w:color="auto"/>
              <w:bottom w:val="double" w:sz="6" w:space="0" w:color="000000"/>
              <w:right w:val="single" w:sz="8" w:space="0" w:color="auto"/>
            </w:tcBorders>
          </w:tcPr>
          <w:p w14:paraId="07385F08" w14:textId="6561C352" w:rsidR="00BF0002" w:rsidRPr="00EF2F18" w:rsidRDefault="00BF0002" w:rsidP="00752CA0">
            <w:pPr>
              <w:spacing w:after="0"/>
              <w:jc w:val="right"/>
              <w:rPr>
                <w:rFonts w:eastAsia="Times New Roman" w:cs="Times New Roman"/>
                <w:color w:val="000000"/>
                <w:sz w:val="20"/>
                <w:szCs w:val="20"/>
                <w:lang w:val="sr-Cyrl-RS" w:eastAsia="en-GB"/>
              </w:rPr>
            </w:pPr>
          </w:p>
        </w:tc>
        <w:tc>
          <w:tcPr>
            <w:tcW w:w="1230" w:type="dxa"/>
            <w:vMerge w:val="restart"/>
            <w:tcBorders>
              <w:top w:val="nil"/>
              <w:left w:val="single" w:sz="8" w:space="0" w:color="auto"/>
              <w:bottom w:val="double" w:sz="6" w:space="0" w:color="000000"/>
              <w:right w:val="single" w:sz="8" w:space="0" w:color="auto"/>
            </w:tcBorders>
          </w:tcPr>
          <w:p w14:paraId="18A26B55" w14:textId="4E56720A" w:rsidR="00BF0002" w:rsidRPr="00EF2F18" w:rsidRDefault="00BF0002" w:rsidP="00752CA0">
            <w:pPr>
              <w:spacing w:after="0"/>
              <w:jc w:val="right"/>
              <w:rPr>
                <w:rFonts w:eastAsia="Times New Roman" w:cs="Times New Roman"/>
                <w:color w:val="000000"/>
                <w:sz w:val="20"/>
                <w:szCs w:val="20"/>
                <w:lang w:val="sr-Cyrl-RS" w:eastAsia="en-GB"/>
              </w:rPr>
            </w:pPr>
          </w:p>
        </w:tc>
        <w:tc>
          <w:tcPr>
            <w:tcW w:w="1800" w:type="dxa"/>
            <w:vMerge w:val="restart"/>
            <w:tcBorders>
              <w:top w:val="nil"/>
              <w:left w:val="single" w:sz="8" w:space="0" w:color="auto"/>
              <w:bottom w:val="double" w:sz="6" w:space="0" w:color="000000"/>
              <w:right w:val="double" w:sz="6" w:space="0" w:color="auto"/>
            </w:tcBorders>
          </w:tcPr>
          <w:p w14:paraId="29FC62EA" w14:textId="7B0372C2"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34CA97BD" w14:textId="77777777" w:rsidTr="00BF0002">
        <w:trPr>
          <w:trHeight w:val="540"/>
        </w:trPr>
        <w:tc>
          <w:tcPr>
            <w:tcW w:w="2929" w:type="dxa"/>
            <w:vMerge/>
            <w:tcBorders>
              <w:top w:val="nil"/>
              <w:left w:val="double" w:sz="6" w:space="0" w:color="auto"/>
              <w:bottom w:val="double" w:sz="6" w:space="0" w:color="000000"/>
              <w:right w:val="single" w:sz="8" w:space="0" w:color="auto"/>
            </w:tcBorders>
            <w:vAlign w:val="center"/>
            <w:hideMark/>
          </w:tcPr>
          <w:p w14:paraId="7D33FFC8" w14:textId="77777777" w:rsidR="00BF0002" w:rsidRPr="00EF2F18" w:rsidRDefault="00BF0002" w:rsidP="00752CA0">
            <w:pPr>
              <w:spacing w:after="0"/>
              <w:rPr>
                <w:rFonts w:eastAsia="Times New Roman" w:cs="Times New Roman"/>
                <w:color w:val="000000"/>
                <w:sz w:val="20"/>
                <w:szCs w:val="20"/>
                <w:lang w:val="sr-Cyrl-RS" w:eastAsia="en-GB"/>
              </w:rPr>
            </w:pPr>
          </w:p>
        </w:tc>
        <w:tc>
          <w:tcPr>
            <w:tcW w:w="1252" w:type="dxa"/>
            <w:vMerge/>
            <w:tcBorders>
              <w:top w:val="nil"/>
              <w:left w:val="single" w:sz="8" w:space="0" w:color="auto"/>
              <w:bottom w:val="double" w:sz="6" w:space="0" w:color="000000"/>
              <w:right w:val="single" w:sz="8" w:space="0" w:color="auto"/>
            </w:tcBorders>
            <w:vAlign w:val="center"/>
            <w:hideMark/>
          </w:tcPr>
          <w:p w14:paraId="4EE8A54D" w14:textId="77777777" w:rsidR="00BF0002" w:rsidRPr="00EF2F18" w:rsidRDefault="00BF0002" w:rsidP="00752CA0">
            <w:pPr>
              <w:spacing w:after="0"/>
              <w:rPr>
                <w:rFonts w:eastAsia="Times New Roman" w:cs="Times New Roman"/>
                <w:color w:val="000000"/>
                <w:sz w:val="20"/>
                <w:szCs w:val="20"/>
                <w:lang w:val="sr-Cyrl-RS" w:eastAsia="en-GB"/>
              </w:rPr>
            </w:pPr>
          </w:p>
        </w:tc>
        <w:tc>
          <w:tcPr>
            <w:tcW w:w="1240" w:type="dxa"/>
            <w:vMerge/>
            <w:tcBorders>
              <w:top w:val="nil"/>
              <w:left w:val="single" w:sz="8" w:space="0" w:color="auto"/>
              <w:bottom w:val="double" w:sz="6" w:space="0" w:color="000000"/>
              <w:right w:val="single" w:sz="8" w:space="0" w:color="auto"/>
            </w:tcBorders>
            <w:vAlign w:val="center"/>
            <w:hideMark/>
          </w:tcPr>
          <w:p w14:paraId="4E1A4860"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nil"/>
              <w:left w:val="single" w:sz="8" w:space="0" w:color="auto"/>
              <w:bottom w:val="double" w:sz="6" w:space="0" w:color="000000"/>
              <w:right w:val="single" w:sz="8" w:space="0" w:color="auto"/>
            </w:tcBorders>
            <w:vAlign w:val="center"/>
            <w:hideMark/>
          </w:tcPr>
          <w:p w14:paraId="615756B3" w14:textId="77777777" w:rsidR="00BF0002" w:rsidRPr="00EF2F18" w:rsidRDefault="00BF0002" w:rsidP="00752CA0">
            <w:pPr>
              <w:spacing w:after="0"/>
              <w:rPr>
                <w:rFonts w:eastAsia="Times New Roman" w:cs="Times New Roman"/>
                <w:color w:val="000000"/>
                <w:sz w:val="20"/>
                <w:szCs w:val="20"/>
                <w:lang w:val="sr-Cyrl-RS" w:eastAsia="en-GB"/>
              </w:rPr>
            </w:pPr>
          </w:p>
        </w:tc>
        <w:tc>
          <w:tcPr>
            <w:tcW w:w="1691" w:type="dxa"/>
            <w:tcBorders>
              <w:top w:val="nil"/>
              <w:left w:val="nil"/>
              <w:bottom w:val="double" w:sz="6" w:space="0" w:color="auto"/>
              <w:right w:val="single" w:sz="8" w:space="0" w:color="auto"/>
            </w:tcBorders>
            <w:vAlign w:val="center"/>
            <w:hideMark/>
          </w:tcPr>
          <w:p w14:paraId="6EA60A5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Донаторска средства*</w:t>
            </w:r>
          </w:p>
        </w:tc>
        <w:tc>
          <w:tcPr>
            <w:tcW w:w="1340" w:type="dxa"/>
            <w:tcBorders>
              <w:top w:val="nil"/>
              <w:left w:val="nil"/>
              <w:bottom w:val="double" w:sz="6" w:space="0" w:color="auto"/>
              <w:right w:val="single" w:sz="8" w:space="0" w:color="auto"/>
            </w:tcBorders>
            <w:vAlign w:val="center"/>
          </w:tcPr>
          <w:p w14:paraId="72E76200" w14:textId="74A18818" w:rsidR="00BF0002" w:rsidRPr="00EF2F18" w:rsidRDefault="00BF0002" w:rsidP="00752CA0">
            <w:pPr>
              <w:spacing w:after="0"/>
              <w:rPr>
                <w:rFonts w:eastAsia="Times New Roman" w:cs="Times New Roman"/>
                <w:color w:val="000000"/>
                <w:sz w:val="20"/>
                <w:szCs w:val="20"/>
                <w:lang w:val="sr-Cyrl-RS" w:eastAsia="en-GB"/>
              </w:rPr>
            </w:pPr>
          </w:p>
        </w:tc>
        <w:tc>
          <w:tcPr>
            <w:tcW w:w="993" w:type="dxa"/>
            <w:vMerge/>
            <w:tcBorders>
              <w:top w:val="nil"/>
              <w:left w:val="single" w:sz="8" w:space="0" w:color="auto"/>
              <w:bottom w:val="double" w:sz="6" w:space="0" w:color="000000"/>
              <w:right w:val="single" w:sz="8" w:space="0" w:color="auto"/>
            </w:tcBorders>
            <w:vAlign w:val="center"/>
            <w:hideMark/>
          </w:tcPr>
          <w:p w14:paraId="051B96EB" w14:textId="77777777" w:rsidR="00BF0002" w:rsidRPr="00EF2F18" w:rsidRDefault="00BF0002" w:rsidP="00752CA0">
            <w:pPr>
              <w:spacing w:after="0"/>
              <w:rPr>
                <w:rFonts w:eastAsia="Times New Roman" w:cs="Times New Roman"/>
                <w:color w:val="000000"/>
                <w:sz w:val="20"/>
                <w:szCs w:val="20"/>
                <w:lang w:val="sr-Cyrl-RS" w:eastAsia="en-GB"/>
              </w:rPr>
            </w:pPr>
          </w:p>
        </w:tc>
        <w:tc>
          <w:tcPr>
            <w:tcW w:w="1230" w:type="dxa"/>
            <w:vMerge/>
            <w:tcBorders>
              <w:top w:val="nil"/>
              <w:left w:val="single" w:sz="8" w:space="0" w:color="auto"/>
              <w:bottom w:val="double" w:sz="6" w:space="0" w:color="000000"/>
              <w:right w:val="single" w:sz="8" w:space="0" w:color="auto"/>
            </w:tcBorders>
            <w:vAlign w:val="center"/>
            <w:hideMark/>
          </w:tcPr>
          <w:p w14:paraId="0E796A93" w14:textId="77777777" w:rsidR="00BF0002" w:rsidRPr="00EF2F18" w:rsidRDefault="00BF0002" w:rsidP="00752CA0">
            <w:pPr>
              <w:spacing w:after="0"/>
              <w:rPr>
                <w:rFonts w:eastAsia="Times New Roman" w:cs="Times New Roman"/>
                <w:color w:val="000000"/>
                <w:sz w:val="20"/>
                <w:szCs w:val="20"/>
                <w:lang w:val="sr-Cyrl-RS" w:eastAsia="en-GB"/>
              </w:rPr>
            </w:pPr>
          </w:p>
        </w:tc>
        <w:tc>
          <w:tcPr>
            <w:tcW w:w="1800" w:type="dxa"/>
            <w:vMerge/>
            <w:tcBorders>
              <w:top w:val="nil"/>
              <w:left w:val="single" w:sz="8" w:space="0" w:color="auto"/>
              <w:bottom w:val="double" w:sz="6" w:space="0" w:color="000000"/>
              <w:right w:val="double" w:sz="6" w:space="0" w:color="auto"/>
            </w:tcBorders>
            <w:vAlign w:val="center"/>
            <w:hideMark/>
          </w:tcPr>
          <w:p w14:paraId="62FA3B87" w14:textId="77777777" w:rsidR="00BF0002" w:rsidRPr="00EF2F18" w:rsidRDefault="00BF0002" w:rsidP="00752CA0">
            <w:pPr>
              <w:spacing w:after="0"/>
              <w:rPr>
                <w:rFonts w:eastAsia="Times New Roman" w:cs="Times New Roman"/>
                <w:color w:val="000000"/>
                <w:sz w:val="20"/>
                <w:szCs w:val="20"/>
                <w:lang w:val="sr-Cyrl-RS" w:eastAsia="en-GB"/>
              </w:rPr>
            </w:pPr>
          </w:p>
        </w:tc>
      </w:tr>
    </w:tbl>
    <w:p w14:paraId="5B2C0480" w14:textId="68612F52" w:rsidR="007D7243" w:rsidRPr="00EF2F18" w:rsidRDefault="00021365" w:rsidP="007D7243">
      <w:pPr>
        <w:rPr>
          <w:sz w:val="20"/>
          <w:szCs w:val="20"/>
          <w:lang w:val="sr-Cyrl-RS"/>
        </w:rPr>
      </w:pPr>
      <w:r w:rsidRPr="00EF2F18">
        <w:rPr>
          <w:rFonts w:cs="Times New Roman"/>
          <w:sz w:val="20"/>
          <w:szCs w:val="20"/>
          <w:lang w:val="sr-Cyrl-RS"/>
        </w:rPr>
        <w:t>* Извори финансирања и/или средства још увек нису утврђени и/или обезбеђени.</w:t>
      </w:r>
    </w:p>
    <w:p w14:paraId="79111628" w14:textId="77777777" w:rsidR="00021365" w:rsidRPr="00EF2F18" w:rsidRDefault="00021365" w:rsidP="007D7243">
      <w:pPr>
        <w:rPr>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534"/>
        <w:gridCol w:w="1134"/>
        <w:gridCol w:w="1520"/>
        <w:gridCol w:w="1147"/>
        <w:gridCol w:w="1100"/>
        <w:gridCol w:w="1442"/>
        <w:gridCol w:w="1620"/>
        <w:gridCol w:w="2160"/>
      </w:tblGrid>
      <w:tr w:rsidR="007D7243" w:rsidRPr="00EF2F18" w14:paraId="4A6F64BF" w14:textId="77777777" w:rsidTr="00D92C26">
        <w:trPr>
          <w:trHeight w:val="336"/>
        </w:trPr>
        <w:tc>
          <w:tcPr>
            <w:tcW w:w="13657" w:type="dxa"/>
            <w:gridSpan w:val="8"/>
            <w:shd w:val="clear" w:color="000000" w:fill="C5E0B3"/>
            <w:hideMark/>
          </w:tcPr>
          <w:p w14:paraId="42B59058" w14:textId="77777777"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t>Посебан циљ 6.4: Унапређење система финансирања заштите животне средине</w:t>
            </w:r>
          </w:p>
        </w:tc>
      </w:tr>
      <w:tr w:rsidR="007D7243" w:rsidRPr="00EF2F18" w14:paraId="6D294770" w14:textId="77777777" w:rsidTr="00D92C26">
        <w:trPr>
          <w:trHeight w:val="324"/>
        </w:trPr>
        <w:tc>
          <w:tcPr>
            <w:tcW w:w="13657" w:type="dxa"/>
            <w:gridSpan w:val="8"/>
            <w:shd w:val="clear" w:color="000000" w:fill="C5E0B3"/>
            <w:hideMark/>
          </w:tcPr>
          <w:p w14:paraId="2E78D8FE"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координацију и извештавање: Министарство финансија</w:t>
            </w:r>
          </w:p>
        </w:tc>
      </w:tr>
      <w:tr w:rsidR="00BF0002" w:rsidRPr="00EF2F18" w14:paraId="4AF4C1F0" w14:textId="77777777" w:rsidTr="00D92C26">
        <w:trPr>
          <w:trHeight w:val="804"/>
        </w:trPr>
        <w:tc>
          <w:tcPr>
            <w:tcW w:w="3534" w:type="dxa"/>
            <w:shd w:val="clear" w:color="000000" w:fill="D9D9D9"/>
            <w:hideMark/>
          </w:tcPr>
          <w:p w14:paraId="63A6723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посебног циља </w:t>
            </w:r>
            <w:r w:rsidRPr="00EF2F18">
              <w:rPr>
                <w:rFonts w:eastAsia="Times New Roman" w:cs="Times New Roman"/>
                <w:i/>
                <w:iCs/>
                <w:color w:val="000000"/>
                <w:sz w:val="20"/>
                <w:szCs w:val="20"/>
                <w:lang w:val="sr-Cyrl-RS" w:eastAsia="en-GB"/>
              </w:rPr>
              <w:t>(показатељ исхода)</w:t>
            </w:r>
          </w:p>
        </w:tc>
        <w:tc>
          <w:tcPr>
            <w:tcW w:w="1134" w:type="dxa"/>
            <w:shd w:val="clear" w:color="000000" w:fill="D9D9D9"/>
            <w:hideMark/>
          </w:tcPr>
          <w:p w14:paraId="0379BDB9"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520" w:type="dxa"/>
            <w:shd w:val="clear" w:color="000000" w:fill="D9D9D9"/>
            <w:hideMark/>
          </w:tcPr>
          <w:p w14:paraId="707005B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1147" w:type="dxa"/>
            <w:shd w:val="clear" w:color="000000" w:fill="D9D9D9"/>
            <w:hideMark/>
          </w:tcPr>
          <w:p w14:paraId="149867C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100" w:type="dxa"/>
            <w:shd w:val="clear" w:color="000000" w:fill="D9D9D9"/>
            <w:hideMark/>
          </w:tcPr>
          <w:p w14:paraId="35D2ABA4"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442" w:type="dxa"/>
            <w:shd w:val="clear" w:color="000000" w:fill="D9D9D9"/>
            <w:hideMark/>
          </w:tcPr>
          <w:p w14:paraId="6462A3DD"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620" w:type="dxa"/>
            <w:shd w:val="clear" w:color="000000" w:fill="D9D9D9"/>
            <w:hideMark/>
          </w:tcPr>
          <w:p w14:paraId="37353139"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2160" w:type="dxa"/>
            <w:shd w:val="clear" w:color="000000" w:fill="D9D9D9"/>
            <w:hideMark/>
          </w:tcPr>
          <w:p w14:paraId="0EAE2CAE"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BF0002" w:rsidRPr="00EF2F18" w14:paraId="2CDF8EBF" w14:textId="77777777" w:rsidTr="00D92C26">
        <w:trPr>
          <w:trHeight w:val="804"/>
        </w:trPr>
        <w:tc>
          <w:tcPr>
            <w:tcW w:w="3534" w:type="dxa"/>
            <w:shd w:val="clear" w:color="000000" w:fill="FFFFFF"/>
            <w:hideMark/>
          </w:tcPr>
          <w:p w14:paraId="2AC0ECE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Удео БДП-а за издатке у области заштите животне средине на републичком нивоу</w:t>
            </w:r>
          </w:p>
        </w:tc>
        <w:tc>
          <w:tcPr>
            <w:tcW w:w="1134" w:type="dxa"/>
            <w:shd w:val="clear" w:color="000000" w:fill="FFFFFF"/>
            <w:hideMark/>
          </w:tcPr>
          <w:p w14:paraId="464D362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w:t>
            </w:r>
          </w:p>
        </w:tc>
        <w:tc>
          <w:tcPr>
            <w:tcW w:w="1520" w:type="dxa"/>
            <w:shd w:val="clear" w:color="000000" w:fill="FFFFFF"/>
            <w:hideMark/>
          </w:tcPr>
          <w:p w14:paraId="1B236703"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147" w:type="dxa"/>
            <w:shd w:val="clear" w:color="000000" w:fill="FFFFFF"/>
            <w:hideMark/>
          </w:tcPr>
          <w:p w14:paraId="3833A6B2"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1</w:t>
            </w:r>
          </w:p>
        </w:tc>
        <w:tc>
          <w:tcPr>
            <w:tcW w:w="1100" w:type="dxa"/>
            <w:shd w:val="clear" w:color="000000" w:fill="FFFFFF"/>
            <w:hideMark/>
          </w:tcPr>
          <w:p w14:paraId="308ED4E1"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2022.</w:t>
            </w:r>
          </w:p>
        </w:tc>
        <w:tc>
          <w:tcPr>
            <w:tcW w:w="1442" w:type="dxa"/>
            <w:shd w:val="clear" w:color="000000" w:fill="FFFFFF"/>
            <w:hideMark/>
          </w:tcPr>
          <w:p w14:paraId="217BB49D"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1,7</w:t>
            </w:r>
          </w:p>
        </w:tc>
        <w:tc>
          <w:tcPr>
            <w:tcW w:w="1620" w:type="dxa"/>
            <w:shd w:val="clear" w:color="000000" w:fill="FFFFFF"/>
            <w:hideMark/>
          </w:tcPr>
          <w:p w14:paraId="21CCBB49"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1,9</w:t>
            </w:r>
          </w:p>
        </w:tc>
        <w:tc>
          <w:tcPr>
            <w:tcW w:w="2160" w:type="dxa"/>
            <w:shd w:val="clear" w:color="000000" w:fill="FFFFFF"/>
            <w:hideMark/>
          </w:tcPr>
          <w:p w14:paraId="4639A79A"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2,1</w:t>
            </w:r>
          </w:p>
        </w:tc>
      </w:tr>
    </w:tbl>
    <w:p w14:paraId="1773FA06" w14:textId="77777777" w:rsidR="007D7243" w:rsidRPr="00EF2F18" w:rsidRDefault="007D7243" w:rsidP="007D7243">
      <w:pPr>
        <w:tabs>
          <w:tab w:val="left" w:pos="1940"/>
        </w:tabs>
        <w:rPr>
          <w:rFonts w:cs="Times New Roman"/>
          <w:sz w:val="20"/>
          <w:szCs w:val="20"/>
          <w:lang w:val="sr-Cyrl-RS"/>
        </w:rPr>
      </w:pPr>
    </w:p>
    <w:p w14:paraId="31D539F9" w14:textId="77777777" w:rsidR="007620E6" w:rsidRPr="00EF2F18" w:rsidRDefault="007620E6" w:rsidP="007D7243">
      <w:pPr>
        <w:tabs>
          <w:tab w:val="left" w:pos="1940"/>
        </w:tabs>
        <w:rPr>
          <w:rFonts w:cs="Times New Roman"/>
          <w:sz w:val="20"/>
          <w:szCs w:val="20"/>
          <w:lang w:val="sr-Cyrl-RS"/>
        </w:rPr>
      </w:pPr>
    </w:p>
    <w:p w14:paraId="7D82CC84" w14:textId="77777777" w:rsidR="007620E6" w:rsidRPr="00EF2F18" w:rsidRDefault="007620E6" w:rsidP="007D7243">
      <w:pPr>
        <w:tabs>
          <w:tab w:val="left" w:pos="1940"/>
        </w:tabs>
        <w:rPr>
          <w:rFonts w:cs="Times New Roman"/>
          <w:sz w:val="20"/>
          <w:szCs w:val="20"/>
          <w:lang w:val="sr-Cyrl-RS"/>
        </w:rPr>
      </w:pPr>
    </w:p>
    <w:tbl>
      <w:tblPr>
        <w:tblW w:w="13657" w:type="dxa"/>
        <w:tblLook w:val="04A0" w:firstRow="1" w:lastRow="0" w:firstColumn="1" w:lastColumn="0" w:noHBand="0" w:noVBand="1"/>
      </w:tblPr>
      <w:tblGrid>
        <w:gridCol w:w="3320"/>
        <w:gridCol w:w="1280"/>
        <w:gridCol w:w="1280"/>
        <w:gridCol w:w="1000"/>
        <w:gridCol w:w="1000"/>
        <w:gridCol w:w="1520"/>
        <w:gridCol w:w="1060"/>
        <w:gridCol w:w="1397"/>
        <w:gridCol w:w="1783"/>
        <w:gridCol w:w="17"/>
      </w:tblGrid>
      <w:tr w:rsidR="007D7243" w:rsidRPr="00EF2F18" w14:paraId="05A1445C" w14:textId="77777777" w:rsidTr="00BF0002">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574B7A57" w14:textId="212FFF42" w:rsidR="007D7243" w:rsidRPr="00EF2F18" w:rsidRDefault="007D7243" w:rsidP="00752CA0">
            <w:pPr>
              <w:spacing w:after="0"/>
              <w:rPr>
                <w:rFonts w:eastAsia="Times New Roman" w:cs="Times New Roman"/>
                <w:b/>
                <w:bCs/>
                <w:color w:val="000000"/>
                <w:sz w:val="20"/>
                <w:szCs w:val="20"/>
                <w:lang w:val="sr-Cyrl-RS" w:eastAsia="en-GB"/>
              </w:rPr>
            </w:pPr>
            <w:r w:rsidRPr="00EF2F18">
              <w:rPr>
                <w:rFonts w:eastAsia="Times New Roman" w:cs="Times New Roman"/>
                <w:b/>
                <w:bCs/>
                <w:color w:val="000000"/>
                <w:sz w:val="20"/>
                <w:szCs w:val="20"/>
                <w:lang w:val="sr-Cyrl-RS" w:eastAsia="en-GB"/>
              </w:rPr>
              <w:lastRenderedPageBreak/>
              <w:t>Мера</w:t>
            </w:r>
            <w:r w:rsidR="000A1BEE" w:rsidRPr="00EF2F18">
              <w:rPr>
                <w:rFonts w:eastAsia="Times New Roman" w:cs="Times New Roman"/>
                <w:b/>
                <w:bCs/>
                <w:color w:val="000000"/>
                <w:sz w:val="20"/>
                <w:szCs w:val="20"/>
                <w:lang w:val="sr-Cyrl-RS" w:eastAsia="en-GB"/>
              </w:rPr>
              <w:t>0401-630-000</w:t>
            </w:r>
            <w:r w:rsidRPr="00EF2F18">
              <w:rPr>
                <w:rFonts w:eastAsia="Times New Roman" w:cs="Times New Roman"/>
                <w:b/>
                <w:bCs/>
                <w:color w:val="000000"/>
                <w:sz w:val="20"/>
                <w:szCs w:val="20"/>
                <w:lang w:val="sr-Cyrl-RS" w:eastAsia="en-GB"/>
              </w:rPr>
              <w:t>: Реформисање инструмената финансирања заштите животне средине</w:t>
            </w:r>
          </w:p>
        </w:tc>
      </w:tr>
      <w:tr w:rsidR="007D7243" w:rsidRPr="00EF2F18" w14:paraId="18A6FDA0" w14:textId="77777777" w:rsidTr="00BF0002">
        <w:trPr>
          <w:gridAfter w:val="1"/>
          <w:wAfter w:w="17" w:type="dxa"/>
          <w:trHeight w:val="336"/>
        </w:trPr>
        <w:tc>
          <w:tcPr>
            <w:tcW w:w="13640" w:type="dxa"/>
            <w:gridSpan w:val="9"/>
            <w:tcBorders>
              <w:top w:val="double" w:sz="6" w:space="0" w:color="auto"/>
              <w:left w:val="double" w:sz="6" w:space="0" w:color="auto"/>
              <w:bottom w:val="double" w:sz="6" w:space="0" w:color="auto"/>
              <w:right w:val="double" w:sz="6" w:space="0" w:color="auto"/>
            </w:tcBorders>
            <w:shd w:val="clear" w:color="000000" w:fill="F7CAAC"/>
            <w:vAlign w:val="center"/>
            <w:hideMark/>
          </w:tcPr>
          <w:p w14:paraId="16C82E5A"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финансија</w:t>
            </w:r>
          </w:p>
        </w:tc>
      </w:tr>
      <w:tr w:rsidR="007D7243" w:rsidRPr="00EF2F18" w14:paraId="03D429EE" w14:textId="77777777" w:rsidTr="00BF0002">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vAlign w:val="center"/>
            <w:hideMark/>
          </w:tcPr>
          <w:p w14:paraId="595CAF2D" w14:textId="7EBB3B04"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2026.</w:t>
            </w:r>
          </w:p>
        </w:tc>
        <w:tc>
          <w:tcPr>
            <w:tcW w:w="6760" w:type="dxa"/>
            <w:gridSpan w:val="5"/>
            <w:tcBorders>
              <w:top w:val="double" w:sz="6" w:space="0" w:color="auto"/>
              <w:left w:val="nil"/>
              <w:bottom w:val="double" w:sz="6" w:space="0" w:color="auto"/>
              <w:right w:val="double" w:sz="6" w:space="0" w:color="auto"/>
            </w:tcBorders>
            <w:shd w:val="clear" w:color="000000" w:fill="F7CAAC"/>
            <w:vAlign w:val="center"/>
            <w:hideMark/>
          </w:tcPr>
          <w:p w14:paraId="53B9393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регулаторна</w:t>
            </w:r>
          </w:p>
        </w:tc>
      </w:tr>
      <w:tr w:rsidR="007D7243" w:rsidRPr="00EF2F18" w14:paraId="505E32F6" w14:textId="77777777" w:rsidTr="00BF0002">
        <w:trPr>
          <w:gridAfter w:val="1"/>
          <w:wAfter w:w="17" w:type="dxa"/>
          <w:trHeight w:val="336"/>
        </w:trPr>
        <w:tc>
          <w:tcPr>
            <w:tcW w:w="6880" w:type="dxa"/>
            <w:gridSpan w:val="4"/>
            <w:tcBorders>
              <w:top w:val="double" w:sz="6" w:space="0" w:color="auto"/>
              <w:left w:val="double" w:sz="6" w:space="0" w:color="auto"/>
              <w:bottom w:val="double" w:sz="6" w:space="0" w:color="auto"/>
              <w:right w:val="double" w:sz="6" w:space="0" w:color="000000"/>
            </w:tcBorders>
            <w:shd w:val="clear" w:color="000000" w:fill="F7CAAC"/>
            <w:vAlign w:val="center"/>
            <w:hideMark/>
          </w:tcPr>
          <w:p w14:paraId="7D593F1D"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tcBorders>
              <w:top w:val="double" w:sz="6" w:space="0" w:color="auto"/>
              <w:left w:val="nil"/>
              <w:bottom w:val="double" w:sz="6" w:space="0" w:color="auto"/>
              <w:right w:val="double" w:sz="6" w:space="0" w:color="auto"/>
            </w:tcBorders>
            <w:shd w:val="clear" w:color="000000" w:fill="F7CAAC"/>
            <w:vAlign w:val="center"/>
            <w:hideMark/>
          </w:tcPr>
          <w:p w14:paraId="63D72974"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BF0002" w:rsidRPr="00EF2F18" w14:paraId="3DC27E68" w14:textId="77777777" w:rsidTr="00BF0002">
        <w:trPr>
          <w:trHeight w:val="816"/>
        </w:trPr>
        <w:tc>
          <w:tcPr>
            <w:tcW w:w="3320" w:type="dxa"/>
            <w:tcBorders>
              <w:top w:val="nil"/>
              <w:left w:val="double" w:sz="6" w:space="0" w:color="auto"/>
              <w:bottom w:val="double" w:sz="6" w:space="0" w:color="auto"/>
              <w:right w:val="single" w:sz="8" w:space="0" w:color="auto"/>
            </w:tcBorders>
            <w:shd w:val="clear" w:color="000000" w:fill="D9D9D9"/>
            <w:vAlign w:val="center"/>
            <w:hideMark/>
          </w:tcPr>
          <w:p w14:paraId="48D5EFD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tcBorders>
              <w:top w:val="nil"/>
              <w:left w:val="nil"/>
              <w:bottom w:val="double" w:sz="6" w:space="0" w:color="auto"/>
              <w:right w:val="single" w:sz="8" w:space="0" w:color="auto"/>
            </w:tcBorders>
            <w:shd w:val="clear" w:color="000000" w:fill="D9D9D9"/>
            <w:vAlign w:val="center"/>
            <w:hideMark/>
          </w:tcPr>
          <w:p w14:paraId="525E06B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tcBorders>
              <w:top w:val="nil"/>
              <w:left w:val="nil"/>
              <w:bottom w:val="double" w:sz="6" w:space="0" w:color="auto"/>
              <w:right w:val="single" w:sz="8" w:space="0" w:color="auto"/>
            </w:tcBorders>
            <w:shd w:val="clear" w:color="000000" w:fill="D9D9D9"/>
            <w:vAlign w:val="center"/>
            <w:hideMark/>
          </w:tcPr>
          <w:p w14:paraId="7C34292A"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tcBorders>
              <w:top w:val="double" w:sz="6" w:space="0" w:color="auto"/>
              <w:left w:val="nil"/>
              <w:bottom w:val="double" w:sz="6" w:space="0" w:color="auto"/>
              <w:right w:val="single" w:sz="8" w:space="0" w:color="000000"/>
            </w:tcBorders>
            <w:shd w:val="clear" w:color="000000" w:fill="D9D9D9"/>
            <w:vAlign w:val="center"/>
            <w:hideMark/>
          </w:tcPr>
          <w:p w14:paraId="781C212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Почетна вредност </w:t>
            </w:r>
          </w:p>
        </w:tc>
        <w:tc>
          <w:tcPr>
            <w:tcW w:w="1520" w:type="dxa"/>
            <w:tcBorders>
              <w:top w:val="nil"/>
              <w:left w:val="nil"/>
              <w:bottom w:val="double" w:sz="6" w:space="0" w:color="auto"/>
              <w:right w:val="single" w:sz="8" w:space="0" w:color="auto"/>
            </w:tcBorders>
            <w:shd w:val="clear" w:color="000000" w:fill="D9D9D9"/>
            <w:vAlign w:val="center"/>
            <w:hideMark/>
          </w:tcPr>
          <w:p w14:paraId="6A318AF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tcBorders>
              <w:top w:val="nil"/>
              <w:left w:val="nil"/>
              <w:bottom w:val="double" w:sz="6" w:space="0" w:color="auto"/>
              <w:right w:val="nil"/>
            </w:tcBorders>
            <w:shd w:val="clear" w:color="000000" w:fill="D9D9D9"/>
            <w:vAlign w:val="center"/>
            <w:hideMark/>
          </w:tcPr>
          <w:p w14:paraId="7B51BE4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397" w:type="dxa"/>
            <w:tcBorders>
              <w:top w:val="nil"/>
              <w:left w:val="nil"/>
              <w:bottom w:val="double" w:sz="6" w:space="0" w:color="auto"/>
              <w:right w:val="single" w:sz="8" w:space="0" w:color="auto"/>
            </w:tcBorders>
            <w:shd w:val="clear" w:color="000000" w:fill="D9D9D9"/>
            <w:vAlign w:val="center"/>
            <w:hideMark/>
          </w:tcPr>
          <w:p w14:paraId="09FE73D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800" w:type="dxa"/>
            <w:gridSpan w:val="2"/>
            <w:tcBorders>
              <w:top w:val="nil"/>
              <w:left w:val="nil"/>
              <w:bottom w:val="double" w:sz="6" w:space="0" w:color="auto"/>
              <w:right w:val="double" w:sz="6" w:space="0" w:color="auto"/>
            </w:tcBorders>
            <w:shd w:val="clear" w:color="000000" w:fill="D9D9D9"/>
            <w:vAlign w:val="center"/>
            <w:hideMark/>
          </w:tcPr>
          <w:p w14:paraId="01AF50F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BF0002" w:rsidRPr="00EF2F18" w14:paraId="687DF686" w14:textId="77777777" w:rsidTr="00BF0002">
        <w:trPr>
          <w:trHeight w:val="1080"/>
        </w:trPr>
        <w:tc>
          <w:tcPr>
            <w:tcW w:w="3320" w:type="dxa"/>
            <w:tcBorders>
              <w:top w:val="nil"/>
              <w:left w:val="double" w:sz="6" w:space="0" w:color="auto"/>
              <w:bottom w:val="double" w:sz="6" w:space="0" w:color="auto"/>
              <w:right w:val="single" w:sz="8" w:space="0" w:color="auto"/>
            </w:tcBorders>
            <w:shd w:val="clear" w:color="000000" w:fill="FFFFFF"/>
            <w:vAlign w:val="center"/>
            <w:hideMark/>
          </w:tcPr>
          <w:p w14:paraId="697831B9"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Успостављен одговарајући законодавни и институционални оквир за финансирање заштите животне средине</w:t>
            </w:r>
          </w:p>
        </w:tc>
        <w:tc>
          <w:tcPr>
            <w:tcW w:w="1280" w:type="dxa"/>
            <w:tcBorders>
              <w:top w:val="nil"/>
              <w:left w:val="nil"/>
              <w:bottom w:val="double" w:sz="6" w:space="0" w:color="auto"/>
              <w:right w:val="single" w:sz="8" w:space="0" w:color="auto"/>
            </w:tcBorders>
            <w:shd w:val="clear" w:color="000000" w:fill="FFFFFF"/>
            <w:vAlign w:val="center"/>
            <w:hideMark/>
          </w:tcPr>
          <w:p w14:paraId="43188429"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не/да</w:t>
            </w:r>
          </w:p>
        </w:tc>
        <w:tc>
          <w:tcPr>
            <w:tcW w:w="1280" w:type="dxa"/>
            <w:tcBorders>
              <w:top w:val="nil"/>
              <w:left w:val="nil"/>
              <w:bottom w:val="double" w:sz="6" w:space="0" w:color="auto"/>
              <w:right w:val="single" w:sz="8" w:space="0" w:color="auto"/>
            </w:tcBorders>
            <w:shd w:val="clear" w:color="000000" w:fill="FFFFFF"/>
            <w:vAlign w:val="center"/>
            <w:hideMark/>
          </w:tcPr>
          <w:p w14:paraId="1E92FFB3"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Извештај МФ</w:t>
            </w:r>
          </w:p>
        </w:tc>
        <w:tc>
          <w:tcPr>
            <w:tcW w:w="2000" w:type="dxa"/>
            <w:gridSpan w:val="2"/>
            <w:tcBorders>
              <w:top w:val="double" w:sz="6" w:space="0" w:color="auto"/>
              <w:left w:val="nil"/>
              <w:bottom w:val="double" w:sz="6" w:space="0" w:color="auto"/>
              <w:right w:val="single" w:sz="8" w:space="0" w:color="000000"/>
            </w:tcBorders>
            <w:shd w:val="clear" w:color="000000" w:fill="FFFFFF"/>
            <w:vAlign w:val="center"/>
            <w:hideMark/>
          </w:tcPr>
          <w:p w14:paraId="08683199"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520" w:type="dxa"/>
            <w:tcBorders>
              <w:top w:val="nil"/>
              <w:left w:val="nil"/>
              <w:bottom w:val="double" w:sz="6" w:space="0" w:color="auto"/>
              <w:right w:val="single" w:sz="8" w:space="0" w:color="auto"/>
            </w:tcBorders>
            <w:shd w:val="clear" w:color="000000" w:fill="FFFFFF"/>
            <w:vAlign w:val="center"/>
            <w:hideMark/>
          </w:tcPr>
          <w:p w14:paraId="20437D92"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tcBorders>
              <w:top w:val="double" w:sz="6" w:space="0" w:color="auto"/>
              <w:left w:val="single" w:sz="4" w:space="0" w:color="auto"/>
              <w:bottom w:val="double" w:sz="6" w:space="0" w:color="auto"/>
              <w:right w:val="single" w:sz="8" w:space="0" w:color="auto"/>
            </w:tcBorders>
            <w:shd w:val="clear" w:color="000000" w:fill="FFFFFF"/>
            <w:vAlign w:val="center"/>
            <w:hideMark/>
          </w:tcPr>
          <w:p w14:paraId="0627A906"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1397" w:type="dxa"/>
            <w:tcBorders>
              <w:top w:val="nil"/>
              <w:left w:val="nil"/>
              <w:bottom w:val="double" w:sz="6" w:space="0" w:color="auto"/>
              <w:right w:val="single" w:sz="8" w:space="0" w:color="auto"/>
            </w:tcBorders>
            <w:shd w:val="clear" w:color="000000" w:fill="FFFFFF"/>
            <w:vAlign w:val="center"/>
            <w:hideMark/>
          </w:tcPr>
          <w:p w14:paraId="3A8BF3DE"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800" w:type="dxa"/>
            <w:gridSpan w:val="2"/>
            <w:tcBorders>
              <w:top w:val="nil"/>
              <w:left w:val="nil"/>
              <w:bottom w:val="double" w:sz="6" w:space="0" w:color="auto"/>
              <w:right w:val="double" w:sz="6" w:space="0" w:color="auto"/>
            </w:tcBorders>
            <w:shd w:val="clear" w:color="000000" w:fill="FFFFFF"/>
            <w:vAlign w:val="center"/>
            <w:hideMark/>
          </w:tcPr>
          <w:p w14:paraId="26175754"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r>
    </w:tbl>
    <w:p w14:paraId="436757AF" w14:textId="77777777" w:rsidR="007D7243" w:rsidRPr="00EF2F18" w:rsidRDefault="007D7243" w:rsidP="007D7243">
      <w:pPr>
        <w:rPr>
          <w:rFonts w:cs="Times New Roman"/>
          <w:sz w:val="20"/>
          <w:szCs w:val="20"/>
          <w:lang w:val="sr-Cyrl-RS"/>
        </w:rPr>
      </w:pPr>
    </w:p>
    <w:tbl>
      <w:tblPr>
        <w:tblW w:w="13657" w:type="dxa"/>
        <w:tblLook w:val="04A0" w:firstRow="1" w:lastRow="0" w:firstColumn="1" w:lastColumn="0" w:noHBand="0" w:noVBand="1"/>
      </w:tblPr>
      <w:tblGrid>
        <w:gridCol w:w="3800"/>
        <w:gridCol w:w="2480"/>
        <w:gridCol w:w="2247"/>
        <w:gridCol w:w="2160"/>
        <w:gridCol w:w="2970"/>
      </w:tblGrid>
      <w:tr w:rsidR="007D7243" w:rsidRPr="00EF2F18" w14:paraId="5E366400" w14:textId="77777777" w:rsidTr="00D92C26">
        <w:trPr>
          <w:trHeight w:val="336"/>
        </w:trPr>
        <w:tc>
          <w:tcPr>
            <w:tcW w:w="380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E9BA8B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tcBorders>
              <w:top w:val="double" w:sz="6" w:space="0" w:color="auto"/>
              <w:left w:val="double" w:sz="6" w:space="0" w:color="auto"/>
              <w:bottom w:val="single" w:sz="8" w:space="0" w:color="000000"/>
              <w:right w:val="double" w:sz="6" w:space="0" w:color="auto"/>
            </w:tcBorders>
            <w:shd w:val="clear" w:color="000000" w:fill="A8D08D"/>
            <w:hideMark/>
          </w:tcPr>
          <w:p w14:paraId="64A4740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7" w:type="dxa"/>
            <w:gridSpan w:val="3"/>
            <w:tcBorders>
              <w:top w:val="double" w:sz="6" w:space="0" w:color="auto"/>
              <w:left w:val="nil"/>
              <w:bottom w:val="double" w:sz="6" w:space="0" w:color="auto"/>
              <w:right w:val="double" w:sz="6" w:space="0" w:color="auto"/>
            </w:tcBorders>
            <w:shd w:val="clear" w:color="000000" w:fill="A8D08D"/>
            <w:hideMark/>
          </w:tcPr>
          <w:p w14:paraId="1403509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BF0002" w:rsidRPr="00EF2F18" w14:paraId="637AB150" w14:textId="77777777" w:rsidTr="00D92C26">
        <w:trPr>
          <w:trHeight w:val="336"/>
        </w:trPr>
        <w:tc>
          <w:tcPr>
            <w:tcW w:w="3800" w:type="dxa"/>
            <w:vMerge/>
            <w:tcBorders>
              <w:top w:val="double" w:sz="6" w:space="0" w:color="auto"/>
              <w:left w:val="double" w:sz="6" w:space="0" w:color="auto"/>
              <w:bottom w:val="single" w:sz="8" w:space="0" w:color="000000"/>
              <w:right w:val="double" w:sz="6" w:space="0" w:color="auto"/>
            </w:tcBorders>
            <w:vAlign w:val="center"/>
            <w:hideMark/>
          </w:tcPr>
          <w:p w14:paraId="67A73CF9" w14:textId="77777777" w:rsidR="00BF0002" w:rsidRPr="00EF2F18" w:rsidRDefault="00BF0002" w:rsidP="00752CA0">
            <w:pPr>
              <w:spacing w:after="0"/>
              <w:rPr>
                <w:rFonts w:eastAsia="Times New Roman" w:cs="Times New Roman"/>
                <w:color w:val="000000"/>
                <w:sz w:val="20"/>
                <w:szCs w:val="20"/>
                <w:lang w:val="sr-Cyrl-RS" w:eastAsia="en-GB"/>
              </w:rPr>
            </w:pPr>
          </w:p>
        </w:tc>
        <w:tc>
          <w:tcPr>
            <w:tcW w:w="2480" w:type="dxa"/>
            <w:vMerge/>
            <w:tcBorders>
              <w:top w:val="double" w:sz="6" w:space="0" w:color="auto"/>
              <w:left w:val="double" w:sz="6" w:space="0" w:color="auto"/>
              <w:bottom w:val="single" w:sz="8" w:space="0" w:color="000000"/>
              <w:right w:val="double" w:sz="6" w:space="0" w:color="auto"/>
            </w:tcBorders>
            <w:vAlign w:val="center"/>
            <w:hideMark/>
          </w:tcPr>
          <w:p w14:paraId="15DB08A8" w14:textId="77777777" w:rsidR="00BF0002" w:rsidRPr="00EF2F18" w:rsidRDefault="00BF0002" w:rsidP="00752CA0">
            <w:pPr>
              <w:spacing w:after="0"/>
              <w:rPr>
                <w:rFonts w:eastAsia="Times New Roman" w:cs="Times New Roman"/>
                <w:color w:val="000000"/>
                <w:sz w:val="20"/>
                <w:szCs w:val="20"/>
                <w:lang w:val="sr-Cyrl-RS" w:eastAsia="en-GB"/>
              </w:rPr>
            </w:pPr>
          </w:p>
        </w:tc>
        <w:tc>
          <w:tcPr>
            <w:tcW w:w="2247" w:type="dxa"/>
            <w:tcBorders>
              <w:top w:val="nil"/>
              <w:left w:val="nil"/>
              <w:bottom w:val="double" w:sz="6" w:space="0" w:color="auto"/>
              <w:right w:val="double" w:sz="6" w:space="0" w:color="auto"/>
            </w:tcBorders>
            <w:shd w:val="clear" w:color="000000" w:fill="A8D08D"/>
            <w:hideMark/>
          </w:tcPr>
          <w:p w14:paraId="6EAD61C1" w14:textId="5FCC62C1"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2026. године</w:t>
            </w:r>
          </w:p>
        </w:tc>
        <w:tc>
          <w:tcPr>
            <w:tcW w:w="2160" w:type="dxa"/>
            <w:tcBorders>
              <w:top w:val="nil"/>
              <w:left w:val="nil"/>
              <w:bottom w:val="double" w:sz="6" w:space="0" w:color="auto"/>
              <w:right w:val="double" w:sz="6" w:space="0" w:color="auto"/>
            </w:tcBorders>
            <w:shd w:val="clear" w:color="000000" w:fill="A8D08D"/>
            <w:hideMark/>
          </w:tcPr>
          <w:p w14:paraId="0C8C2CC4" w14:textId="6B290EDD"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 године</w:t>
            </w:r>
          </w:p>
        </w:tc>
        <w:tc>
          <w:tcPr>
            <w:tcW w:w="2970" w:type="dxa"/>
            <w:tcBorders>
              <w:top w:val="nil"/>
              <w:left w:val="nil"/>
              <w:bottom w:val="double" w:sz="6" w:space="0" w:color="auto"/>
              <w:right w:val="double" w:sz="6" w:space="0" w:color="auto"/>
            </w:tcBorders>
            <w:shd w:val="clear" w:color="000000" w:fill="A8D08D"/>
            <w:hideMark/>
          </w:tcPr>
          <w:p w14:paraId="789E1438" w14:textId="368AA0E2"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BF0002" w:rsidRPr="00EF2F18" w14:paraId="6A6EEBA1" w14:textId="77777777" w:rsidTr="00D92C26">
        <w:trPr>
          <w:trHeight w:val="324"/>
        </w:trPr>
        <w:tc>
          <w:tcPr>
            <w:tcW w:w="3800" w:type="dxa"/>
            <w:tcBorders>
              <w:top w:val="nil"/>
              <w:left w:val="double" w:sz="6" w:space="0" w:color="auto"/>
              <w:bottom w:val="double" w:sz="6" w:space="0" w:color="auto"/>
              <w:right w:val="double" w:sz="6" w:space="0" w:color="auto"/>
            </w:tcBorders>
            <w:hideMark/>
          </w:tcPr>
          <w:p w14:paraId="74F12566" w14:textId="349D2A31"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(МФ)</w:t>
            </w:r>
          </w:p>
        </w:tc>
        <w:tc>
          <w:tcPr>
            <w:tcW w:w="2480" w:type="dxa"/>
            <w:tcBorders>
              <w:top w:val="nil"/>
              <w:left w:val="nil"/>
              <w:bottom w:val="double" w:sz="6" w:space="0" w:color="auto"/>
              <w:right w:val="double" w:sz="6" w:space="0" w:color="auto"/>
            </w:tcBorders>
            <w:hideMark/>
          </w:tcPr>
          <w:p w14:paraId="6234A400"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247" w:type="dxa"/>
            <w:tcBorders>
              <w:top w:val="nil"/>
              <w:left w:val="nil"/>
              <w:bottom w:val="double" w:sz="6" w:space="0" w:color="auto"/>
              <w:right w:val="double" w:sz="6" w:space="0" w:color="auto"/>
            </w:tcBorders>
            <w:hideMark/>
          </w:tcPr>
          <w:p w14:paraId="30506AE9"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160" w:type="dxa"/>
            <w:tcBorders>
              <w:top w:val="nil"/>
              <w:left w:val="nil"/>
              <w:bottom w:val="double" w:sz="6" w:space="0" w:color="auto"/>
              <w:right w:val="double" w:sz="6" w:space="0" w:color="auto"/>
            </w:tcBorders>
            <w:hideMark/>
          </w:tcPr>
          <w:p w14:paraId="18223674"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970" w:type="dxa"/>
            <w:tcBorders>
              <w:top w:val="nil"/>
              <w:left w:val="nil"/>
              <w:bottom w:val="double" w:sz="6" w:space="0" w:color="auto"/>
              <w:right w:val="double" w:sz="6" w:space="0" w:color="auto"/>
            </w:tcBorders>
            <w:hideMark/>
          </w:tcPr>
          <w:p w14:paraId="738FB064"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bl>
    <w:p w14:paraId="3C5270B5" w14:textId="77777777" w:rsidR="007D7243" w:rsidRPr="00EF2F18" w:rsidRDefault="007D7243" w:rsidP="007D7243">
      <w:pPr>
        <w:rPr>
          <w:rFonts w:cs="Times New Roman"/>
          <w:sz w:val="20"/>
          <w:szCs w:val="20"/>
          <w:lang w:val="sr-Cyrl-RS"/>
        </w:rPr>
      </w:pPr>
    </w:p>
    <w:tbl>
      <w:tblPr>
        <w:tblW w:w="13657" w:type="dxa"/>
        <w:tblLook w:val="04A0" w:firstRow="1" w:lastRow="0" w:firstColumn="1" w:lastColumn="0" w:noHBand="0" w:noVBand="1"/>
      </w:tblPr>
      <w:tblGrid>
        <w:gridCol w:w="2840"/>
        <w:gridCol w:w="1250"/>
        <w:gridCol w:w="1270"/>
        <w:gridCol w:w="1182"/>
        <w:gridCol w:w="1691"/>
        <w:gridCol w:w="1340"/>
        <w:gridCol w:w="1204"/>
        <w:gridCol w:w="1350"/>
        <w:gridCol w:w="1530"/>
      </w:tblGrid>
      <w:tr w:rsidR="007D7243" w:rsidRPr="00EF2F18" w14:paraId="47F1F31E" w14:textId="77777777" w:rsidTr="007620E6">
        <w:trPr>
          <w:trHeight w:val="732"/>
        </w:trPr>
        <w:tc>
          <w:tcPr>
            <w:tcW w:w="2840"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41BA94D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Назив активности:</w:t>
            </w:r>
          </w:p>
        </w:tc>
        <w:tc>
          <w:tcPr>
            <w:tcW w:w="125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2DECC1B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7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6ED05980"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4A06836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6EBE2A7"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52631182"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84" w:type="dxa"/>
            <w:gridSpan w:val="3"/>
            <w:tcBorders>
              <w:top w:val="double" w:sz="6" w:space="0" w:color="auto"/>
              <w:left w:val="nil"/>
              <w:bottom w:val="single" w:sz="8" w:space="0" w:color="auto"/>
              <w:right w:val="double" w:sz="6" w:space="0" w:color="auto"/>
            </w:tcBorders>
            <w:shd w:val="clear" w:color="000000" w:fill="FFF2CC"/>
            <w:hideMark/>
          </w:tcPr>
          <w:p w14:paraId="3DA39758"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BF0002" w:rsidRPr="00EF2F18" w14:paraId="5C812AF1" w14:textId="77777777" w:rsidTr="007620E6">
        <w:trPr>
          <w:trHeight w:val="324"/>
        </w:trPr>
        <w:tc>
          <w:tcPr>
            <w:tcW w:w="2840" w:type="dxa"/>
            <w:vMerge/>
            <w:tcBorders>
              <w:top w:val="double" w:sz="6" w:space="0" w:color="auto"/>
              <w:left w:val="double" w:sz="6" w:space="0" w:color="auto"/>
              <w:bottom w:val="single" w:sz="8" w:space="0" w:color="000000"/>
              <w:right w:val="single" w:sz="8" w:space="0" w:color="auto"/>
            </w:tcBorders>
            <w:vAlign w:val="center"/>
            <w:hideMark/>
          </w:tcPr>
          <w:p w14:paraId="2808B22C" w14:textId="77777777" w:rsidR="00BF0002" w:rsidRPr="00EF2F18" w:rsidRDefault="00BF0002" w:rsidP="00752CA0">
            <w:pPr>
              <w:spacing w:after="0"/>
              <w:rPr>
                <w:rFonts w:eastAsia="Times New Roman" w:cs="Times New Roman"/>
                <w:color w:val="000000"/>
                <w:sz w:val="20"/>
                <w:szCs w:val="20"/>
                <w:lang w:val="sr-Cyrl-RS" w:eastAsia="en-GB"/>
              </w:rPr>
            </w:pPr>
          </w:p>
        </w:tc>
        <w:tc>
          <w:tcPr>
            <w:tcW w:w="1250" w:type="dxa"/>
            <w:vMerge/>
            <w:tcBorders>
              <w:top w:val="double" w:sz="6" w:space="0" w:color="auto"/>
              <w:left w:val="single" w:sz="8" w:space="0" w:color="auto"/>
              <w:bottom w:val="single" w:sz="8" w:space="0" w:color="000000"/>
              <w:right w:val="single" w:sz="8" w:space="0" w:color="auto"/>
            </w:tcBorders>
            <w:vAlign w:val="center"/>
            <w:hideMark/>
          </w:tcPr>
          <w:p w14:paraId="70A80784" w14:textId="77777777" w:rsidR="00BF0002" w:rsidRPr="00EF2F18" w:rsidRDefault="00BF0002" w:rsidP="00752CA0">
            <w:pPr>
              <w:spacing w:after="0"/>
              <w:rPr>
                <w:rFonts w:eastAsia="Times New Roman" w:cs="Times New Roman"/>
                <w:color w:val="000000"/>
                <w:sz w:val="20"/>
                <w:szCs w:val="20"/>
                <w:lang w:val="sr-Cyrl-RS" w:eastAsia="en-GB"/>
              </w:rPr>
            </w:pPr>
          </w:p>
        </w:tc>
        <w:tc>
          <w:tcPr>
            <w:tcW w:w="1270" w:type="dxa"/>
            <w:vMerge/>
            <w:tcBorders>
              <w:top w:val="double" w:sz="6" w:space="0" w:color="auto"/>
              <w:left w:val="single" w:sz="8" w:space="0" w:color="auto"/>
              <w:bottom w:val="single" w:sz="8" w:space="0" w:color="000000"/>
              <w:right w:val="single" w:sz="8" w:space="0" w:color="auto"/>
            </w:tcBorders>
            <w:vAlign w:val="center"/>
            <w:hideMark/>
          </w:tcPr>
          <w:p w14:paraId="7935425E"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0B401440" w14:textId="77777777" w:rsidR="00BF0002" w:rsidRPr="00EF2F18" w:rsidRDefault="00BF0002"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345597B8" w14:textId="77777777" w:rsidR="00BF0002" w:rsidRPr="00EF2F18" w:rsidRDefault="00BF0002"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52AA37B9" w14:textId="77777777" w:rsidR="00BF0002" w:rsidRPr="00EF2F18" w:rsidRDefault="00BF0002" w:rsidP="00752CA0">
            <w:pPr>
              <w:spacing w:after="0"/>
              <w:rPr>
                <w:rFonts w:eastAsia="Times New Roman" w:cs="Times New Roman"/>
                <w:color w:val="000000"/>
                <w:sz w:val="20"/>
                <w:szCs w:val="20"/>
                <w:lang w:val="sr-Cyrl-RS" w:eastAsia="en-GB"/>
              </w:rPr>
            </w:pPr>
          </w:p>
        </w:tc>
        <w:tc>
          <w:tcPr>
            <w:tcW w:w="1204" w:type="dxa"/>
            <w:tcBorders>
              <w:top w:val="nil"/>
              <w:left w:val="nil"/>
              <w:bottom w:val="single" w:sz="8" w:space="0" w:color="auto"/>
              <w:right w:val="single" w:sz="8" w:space="0" w:color="auto"/>
            </w:tcBorders>
            <w:shd w:val="clear" w:color="000000" w:fill="FFF2CC"/>
            <w:hideMark/>
          </w:tcPr>
          <w:p w14:paraId="1A6DED91" w14:textId="693C4894"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w:t>
            </w:r>
          </w:p>
        </w:tc>
        <w:tc>
          <w:tcPr>
            <w:tcW w:w="1350" w:type="dxa"/>
            <w:tcBorders>
              <w:top w:val="nil"/>
              <w:left w:val="nil"/>
              <w:bottom w:val="single" w:sz="8" w:space="0" w:color="auto"/>
              <w:right w:val="single" w:sz="8" w:space="0" w:color="auto"/>
            </w:tcBorders>
            <w:shd w:val="clear" w:color="000000" w:fill="FFF2CC"/>
            <w:hideMark/>
          </w:tcPr>
          <w:p w14:paraId="063F9ED5" w14:textId="0701B55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2027.</w:t>
            </w:r>
          </w:p>
        </w:tc>
        <w:tc>
          <w:tcPr>
            <w:tcW w:w="1530" w:type="dxa"/>
            <w:tcBorders>
              <w:top w:val="nil"/>
              <w:left w:val="nil"/>
              <w:bottom w:val="single" w:sz="8" w:space="0" w:color="auto"/>
              <w:right w:val="double" w:sz="6" w:space="0" w:color="auto"/>
            </w:tcBorders>
            <w:shd w:val="clear" w:color="000000" w:fill="FFF2CC"/>
            <w:hideMark/>
          </w:tcPr>
          <w:p w14:paraId="51BD0BF9" w14:textId="15BA22EC"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BF0002" w:rsidRPr="00EF2F18" w14:paraId="3325C040" w14:textId="77777777" w:rsidTr="007620E6">
        <w:trPr>
          <w:trHeight w:val="1332"/>
        </w:trPr>
        <w:tc>
          <w:tcPr>
            <w:tcW w:w="2840" w:type="dxa"/>
            <w:tcBorders>
              <w:top w:val="nil"/>
              <w:left w:val="double" w:sz="6" w:space="0" w:color="auto"/>
              <w:bottom w:val="single" w:sz="8" w:space="0" w:color="auto"/>
              <w:right w:val="single" w:sz="8" w:space="0" w:color="auto"/>
            </w:tcBorders>
            <w:hideMark/>
          </w:tcPr>
          <w:p w14:paraId="6259576F"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6.4.1.1. Анализа инструмената за одрживо финансирање, укључујући таксе и накнаде, у циљу ефикасне реализације програма и пројеката у области заштите животне средине </w:t>
            </w:r>
          </w:p>
        </w:tc>
        <w:tc>
          <w:tcPr>
            <w:tcW w:w="1250" w:type="dxa"/>
            <w:tcBorders>
              <w:top w:val="nil"/>
              <w:left w:val="nil"/>
              <w:bottom w:val="single" w:sz="8" w:space="0" w:color="auto"/>
              <w:right w:val="single" w:sz="8" w:space="0" w:color="auto"/>
            </w:tcBorders>
            <w:hideMark/>
          </w:tcPr>
          <w:p w14:paraId="187C2F2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w:t>
            </w:r>
          </w:p>
        </w:tc>
        <w:tc>
          <w:tcPr>
            <w:tcW w:w="1270" w:type="dxa"/>
            <w:tcBorders>
              <w:top w:val="nil"/>
              <w:left w:val="nil"/>
              <w:bottom w:val="single" w:sz="8" w:space="0" w:color="auto"/>
              <w:right w:val="single" w:sz="8" w:space="0" w:color="auto"/>
            </w:tcBorders>
            <w:hideMark/>
          </w:tcPr>
          <w:p w14:paraId="6F294E8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МПШВ, МГСИ, МРЕ, МПривреде, ЈЛС, ОЦД</w:t>
            </w:r>
          </w:p>
        </w:tc>
        <w:tc>
          <w:tcPr>
            <w:tcW w:w="1182" w:type="dxa"/>
            <w:tcBorders>
              <w:top w:val="nil"/>
              <w:left w:val="nil"/>
              <w:bottom w:val="single" w:sz="8" w:space="0" w:color="auto"/>
              <w:right w:val="single" w:sz="8" w:space="0" w:color="auto"/>
            </w:tcBorders>
            <w:hideMark/>
          </w:tcPr>
          <w:p w14:paraId="1EB71BDD" w14:textId="55BDC7A1"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630969"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w:t>
            </w:r>
          </w:p>
        </w:tc>
        <w:tc>
          <w:tcPr>
            <w:tcW w:w="1691" w:type="dxa"/>
            <w:tcBorders>
              <w:top w:val="nil"/>
              <w:left w:val="nil"/>
              <w:bottom w:val="single" w:sz="8" w:space="0" w:color="auto"/>
              <w:right w:val="single" w:sz="8" w:space="0" w:color="auto"/>
            </w:tcBorders>
            <w:hideMark/>
          </w:tcPr>
          <w:p w14:paraId="71B4C06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3E4533F0" w14:textId="77777777" w:rsidR="00BF0002" w:rsidRPr="00EF2F18" w:rsidRDefault="00BF0002" w:rsidP="00752CA0">
            <w:pPr>
              <w:spacing w:after="0"/>
              <w:rPr>
                <w:rFonts w:eastAsia="Times New Roman" w:cs="Times New Roman"/>
                <w:color w:val="000000"/>
                <w:sz w:val="20"/>
                <w:szCs w:val="20"/>
                <w:lang w:val="sr-Cyrl-RS" w:eastAsia="en-GB"/>
              </w:rPr>
            </w:pPr>
          </w:p>
        </w:tc>
        <w:tc>
          <w:tcPr>
            <w:tcW w:w="1204" w:type="dxa"/>
            <w:tcBorders>
              <w:top w:val="nil"/>
              <w:left w:val="nil"/>
              <w:bottom w:val="single" w:sz="8" w:space="0" w:color="auto"/>
              <w:right w:val="single" w:sz="8" w:space="0" w:color="auto"/>
            </w:tcBorders>
          </w:tcPr>
          <w:p w14:paraId="40D1ECFA" w14:textId="292707F2"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nil"/>
              <w:left w:val="nil"/>
              <w:bottom w:val="single" w:sz="8" w:space="0" w:color="auto"/>
              <w:right w:val="single" w:sz="8" w:space="0" w:color="auto"/>
            </w:tcBorders>
          </w:tcPr>
          <w:p w14:paraId="507D08C3" w14:textId="6C26D785" w:rsidR="00BF0002" w:rsidRPr="00EF2F18" w:rsidRDefault="00BF0002" w:rsidP="00752CA0">
            <w:pPr>
              <w:spacing w:after="0"/>
              <w:jc w:val="right"/>
              <w:rPr>
                <w:rFonts w:eastAsia="Times New Roman" w:cs="Times New Roman"/>
                <w:color w:val="000000"/>
                <w:sz w:val="20"/>
                <w:szCs w:val="20"/>
                <w:lang w:val="sr-Cyrl-RS" w:eastAsia="en-GB"/>
              </w:rPr>
            </w:pPr>
          </w:p>
        </w:tc>
        <w:tc>
          <w:tcPr>
            <w:tcW w:w="1530" w:type="dxa"/>
            <w:tcBorders>
              <w:top w:val="nil"/>
              <w:left w:val="nil"/>
              <w:bottom w:val="single" w:sz="8" w:space="0" w:color="auto"/>
              <w:right w:val="double" w:sz="6" w:space="0" w:color="auto"/>
            </w:tcBorders>
          </w:tcPr>
          <w:p w14:paraId="67C607CA" w14:textId="5819ADA1"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13A05C04" w14:textId="77777777" w:rsidTr="004E7A51">
        <w:trPr>
          <w:trHeight w:val="1332"/>
        </w:trPr>
        <w:tc>
          <w:tcPr>
            <w:tcW w:w="2840" w:type="dxa"/>
            <w:tcBorders>
              <w:top w:val="single" w:sz="4" w:space="0" w:color="auto"/>
              <w:left w:val="double" w:sz="6" w:space="0" w:color="auto"/>
              <w:bottom w:val="single" w:sz="8" w:space="0" w:color="auto"/>
              <w:right w:val="single" w:sz="8" w:space="0" w:color="auto"/>
            </w:tcBorders>
            <w:hideMark/>
          </w:tcPr>
          <w:p w14:paraId="4A4D385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lastRenderedPageBreak/>
              <w:t>6.4.1.2. Дефинисање институционалног, правног и организационог оквира за одрживи систем финансирања у области заштите животне средине</w:t>
            </w:r>
          </w:p>
        </w:tc>
        <w:tc>
          <w:tcPr>
            <w:tcW w:w="1250" w:type="dxa"/>
            <w:tcBorders>
              <w:top w:val="single" w:sz="4" w:space="0" w:color="auto"/>
              <w:left w:val="nil"/>
              <w:bottom w:val="single" w:sz="8" w:space="0" w:color="auto"/>
              <w:right w:val="single" w:sz="8" w:space="0" w:color="auto"/>
            </w:tcBorders>
            <w:hideMark/>
          </w:tcPr>
          <w:p w14:paraId="0F77E47C"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w:t>
            </w:r>
          </w:p>
        </w:tc>
        <w:tc>
          <w:tcPr>
            <w:tcW w:w="1270" w:type="dxa"/>
            <w:tcBorders>
              <w:top w:val="single" w:sz="4" w:space="0" w:color="auto"/>
              <w:left w:val="nil"/>
              <w:bottom w:val="single" w:sz="8" w:space="0" w:color="auto"/>
              <w:right w:val="single" w:sz="8" w:space="0" w:color="auto"/>
            </w:tcBorders>
            <w:hideMark/>
          </w:tcPr>
          <w:p w14:paraId="0585325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МПШВ, МГСИ, МРЕ, МПривреде, ЈЛС, ОЦД</w:t>
            </w:r>
          </w:p>
        </w:tc>
        <w:tc>
          <w:tcPr>
            <w:tcW w:w="1182" w:type="dxa"/>
            <w:tcBorders>
              <w:top w:val="single" w:sz="4" w:space="0" w:color="auto"/>
              <w:left w:val="nil"/>
              <w:bottom w:val="single" w:sz="8" w:space="0" w:color="auto"/>
              <w:right w:val="single" w:sz="8" w:space="0" w:color="auto"/>
            </w:tcBorders>
            <w:hideMark/>
          </w:tcPr>
          <w:p w14:paraId="61E88CB7" w14:textId="3079F4EA"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630969" w:rsidRPr="00EF2F18">
              <w:rPr>
                <w:rFonts w:eastAsia="Times New Roman" w:cs="Times New Roman"/>
                <w:color w:val="000000"/>
                <w:sz w:val="20"/>
                <w:szCs w:val="20"/>
                <w:lang w:val="sr-Cyrl-RS" w:eastAsia="en-GB"/>
              </w:rPr>
              <w:t>6</w:t>
            </w:r>
            <w:r w:rsidRPr="00EF2F18">
              <w:rPr>
                <w:rFonts w:eastAsia="Times New Roman" w:cs="Times New Roman"/>
                <w:color w:val="000000"/>
                <w:sz w:val="20"/>
                <w:szCs w:val="20"/>
                <w:lang w:val="sr-Cyrl-RS" w:eastAsia="en-GB"/>
              </w:rPr>
              <w:t>.</w:t>
            </w:r>
          </w:p>
        </w:tc>
        <w:tc>
          <w:tcPr>
            <w:tcW w:w="1691" w:type="dxa"/>
            <w:tcBorders>
              <w:top w:val="single" w:sz="4" w:space="0" w:color="auto"/>
              <w:left w:val="nil"/>
              <w:bottom w:val="single" w:sz="8" w:space="0" w:color="auto"/>
              <w:right w:val="single" w:sz="8" w:space="0" w:color="auto"/>
            </w:tcBorders>
            <w:hideMark/>
          </w:tcPr>
          <w:p w14:paraId="316B3E4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4" w:space="0" w:color="auto"/>
              <w:left w:val="nil"/>
              <w:bottom w:val="single" w:sz="8" w:space="0" w:color="auto"/>
              <w:right w:val="single" w:sz="8" w:space="0" w:color="auto"/>
            </w:tcBorders>
            <w:hideMark/>
          </w:tcPr>
          <w:p w14:paraId="7A40A538" w14:textId="77777777" w:rsidR="00BF0002" w:rsidRPr="00EF2F18" w:rsidRDefault="00BF0002" w:rsidP="00752CA0">
            <w:pPr>
              <w:spacing w:after="0"/>
              <w:rPr>
                <w:rFonts w:eastAsia="Times New Roman" w:cs="Times New Roman"/>
                <w:color w:val="000000"/>
                <w:sz w:val="20"/>
                <w:szCs w:val="20"/>
                <w:lang w:val="sr-Cyrl-RS" w:eastAsia="en-GB"/>
              </w:rPr>
            </w:pPr>
          </w:p>
        </w:tc>
        <w:tc>
          <w:tcPr>
            <w:tcW w:w="1204" w:type="dxa"/>
            <w:tcBorders>
              <w:top w:val="single" w:sz="4" w:space="0" w:color="auto"/>
              <w:left w:val="nil"/>
              <w:bottom w:val="single" w:sz="8" w:space="0" w:color="auto"/>
              <w:right w:val="single" w:sz="8" w:space="0" w:color="auto"/>
            </w:tcBorders>
          </w:tcPr>
          <w:p w14:paraId="6FDBD2FB" w14:textId="548E8CEF"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single" w:sz="4" w:space="0" w:color="auto"/>
              <w:left w:val="nil"/>
              <w:bottom w:val="single" w:sz="8" w:space="0" w:color="auto"/>
              <w:right w:val="single" w:sz="8" w:space="0" w:color="auto"/>
            </w:tcBorders>
          </w:tcPr>
          <w:p w14:paraId="5F39DE05" w14:textId="4F4992B8" w:rsidR="00BF0002" w:rsidRPr="00EF2F18" w:rsidRDefault="00BF0002" w:rsidP="00752CA0">
            <w:pPr>
              <w:spacing w:after="0"/>
              <w:jc w:val="right"/>
              <w:rPr>
                <w:rFonts w:eastAsia="Times New Roman" w:cs="Times New Roman"/>
                <w:color w:val="000000"/>
                <w:sz w:val="20"/>
                <w:szCs w:val="20"/>
                <w:lang w:val="sr-Cyrl-RS" w:eastAsia="en-GB"/>
              </w:rPr>
            </w:pPr>
          </w:p>
        </w:tc>
        <w:tc>
          <w:tcPr>
            <w:tcW w:w="1530" w:type="dxa"/>
            <w:tcBorders>
              <w:top w:val="single" w:sz="4" w:space="0" w:color="auto"/>
              <w:left w:val="nil"/>
              <w:bottom w:val="single" w:sz="8" w:space="0" w:color="auto"/>
              <w:right w:val="double" w:sz="6" w:space="0" w:color="auto"/>
            </w:tcBorders>
          </w:tcPr>
          <w:p w14:paraId="4A0742F4" w14:textId="1EFC4757"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44921CA3" w14:textId="77777777" w:rsidTr="007620E6">
        <w:trPr>
          <w:trHeight w:val="1332"/>
        </w:trPr>
        <w:tc>
          <w:tcPr>
            <w:tcW w:w="2840" w:type="dxa"/>
            <w:tcBorders>
              <w:top w:val="single" w:sz="8" w:space="0" w:color="auto"/>
              <w:left w:val="double" w:sz="6" w:space="0" w:color="auto"/>
              <w:bottom w:val="double" w:sz="4" w:space="0" w:color="auto"/>
              <w:right w:val="single" w:sz="8" w:space="0" w:color="auto"/>
            </w:tcBorders>
            <w:hideMark/>
          </w:tcPr>
          <w:p w14:paraId="59C46856" w14:textId="0E2FD568"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6.4.1.</w:t>
            </w:r>
            <w:r w:rsidR="00176CE1" w:rsidRPr="00EF2F18">
              <w:rPr>
                <w:rFonts w:eastAsia="Times New Roman" w:cs="Times New Roman"/>
                <w:color w:val="000000"/>
                <w:sz w:val="20"/>
                <w:szCs w:val="20"/>
                <w:lang w:val="sr-Cyrl-RS" w:eastAsia="en-GB"/>
              </w:rPr>
              <w:t>3</w:t>
            </w:r>
            <w:r w:rsidRPr="00EF2F18">
              <w:rPr>
                <w:rFonts w:eastAsia="Times New Roman" w:cs="Times New Roman"/>
                <w:color w:val="000000"/>
                <w:sz w:val="20"/>
                <w:szCs w:val="20"/>
                <w:lang w:val="sr-Cyrl-RS" w:eastAsia="en-GB"/>
              </w:rPr>
              <w:t>. Успостављање пуног функционисања система за одрживо финансирање у области заштите животне средине</w:t>
            </w:r>
          </w:p>
        </w:tc>
        <w:tc>
          <w:tcPr>
            <w:tcW w:w="1250" w:type="dxa"/>
            <w:tcBorders>
              <w:top w:val="single" w:sz="8" w:space="0" w:color="auto"/>
              <w:left w:val="nil"/>
              <w:bottom w:val="double" w:sz="4" w:space="0" w:color="auto"/>
              <w:right w:val="single" w:sz="8" w:space="0" w:color="auto"/>
            </w:tcBorders>
            <w:hideMark/>
          </w:tcPr>
          <w:p w14:paraId="5EE39963"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w:t>
            </w:r>
          </w:p>
        </w:tc>
        <w:tc>
          <w:tcPr>
            <w:tcW w:w="1270" w:type="dxa"/>
            <w:tcBorders>
              <w:top w:val="single" w:sz="8" w:space="0" w:color="auto"/>
              <w:left w:val="nil"/>
              <w:bottom w:val="double" w:sz="4" w:space="0" w:color="auto"/>
              <w:right w:val="single" w:sz="8" w:space="0" w:color="auto"/>
            </w:tcBorders>
            <w:hideMark/>
          </w:tcPr>
          <w:p w14:paraId="5C804541"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МПШВ, МГСИ, МРЕ, МПривреде, ЈЛС, ОЦД</w:t>
            </w:r>
          </w:p>
        </w:tc>
        <w:tc>
          <w:tcPr>
            <w:tcW w:w="1182" w:type="dxa"/>
            <w:tcBorders>
              <w:top w:val="single" w:sz="8" w:space="0" w:color="auto"/>
              <w:left w:val="nil"/>
              <w:bottom w:val="double" w:sz="4" w:space="0" w:color="auto"/>
              <w:right w:val="single" w:sz="8" w:space="0" w:color="auto"/>
            </w:tcBorders>
            <w:hideMark/>
          </w:tcPr>
          <w:p w14:paraId="3FEDA3BB"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single" w:sz="8" w:space="0" w:color="auto"/>
              <w:left w:val="nil"/>
              <w:bottom w:val="double" w:sz="4" w:space="0" w:color="auto"/>
              <w:right w:val="single" w:sz="8" w:space="0" w:color="auto"/>
            </w:tcBorders>
            <w:hideMark/>
          </w:tcPr>
          <w:p w14:paraId="1AAF23F6"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single" w:sz="8" w:space="0" w:color="auto"/>
              <w:left w:val="nil"/>
              <w:bottom w:val="double" w:sz="4" w:space="0" w:color="auto"/>
              <w:right w:val="single" w:sz="8" w:space="0" w:color="auto"/>
            </w:tcBorders>
            <w:hideMark/>
          </w:tcPr>
          <w:p w14:paraId="4C0364D7" w14:textId="77777777" w:rsidR="00BF0002" w:rsidRPr="00EF2F18" w:rsidRDefault="00BF0002" w:rsidP="00752CA0">
            <w:pPr>
              <w:spacing w:after="0"/>
              <w:rPr>
                <w:rFonts w:eastAsia="Times New Roman" w:cs="Times New Roman"/>
                <w:color w:val="000000"/>
                <w:sz w:val="20"/>
                <w:szCs w:val="20"/>
                <w:lang w:val="sr-Cyrl-RS" w:eastAsia="en-GB"/>
              </w:rPr>
            </w:pPr>
          </w:p>
        </w:tc>
        <w:tc>
          <w:tcPr>
            <w:tcW w:w="1204" w:type="dxa"/>
            <w:tcBorders>
              <w:top w:val="single" w:sz="8" w:space="0" w:color="auto"/>
              <w:left w:val="nil"/>
              <w:bottom w:val="double" w:sz="4" w:space="0" w:color="auto"/>
              <w:right w:val="single" w:sz="8" w:space="0" w:color="auto"/>
            </w:tcBorders>
          </w:tcPr>
          <w:p w14:paraId="770C8127" w14:textId="18313041" w:rsidR="00BF0002" w:rsidRPr="00EF2F18" w:rsidRDefault="00BF0002" w:rsidP="00752CA0">
            <w:pPr>
              <w:spacing w:after="0"/>
              <w:jc w:val="right"/>
              <w:rPr>
                <w:rFonts w:eastAsia="Times New Roman" w:cs="Times New Roman"/>
                <w:color w:val="000000"/>
                <w:sz w:val="20"/>
                <w:szCs w:val="20"/>
                <w:lang w:val="sr-Cyrl-RS" w:eastAsia="en-GB"/>
              </w:rPr>
            </w:pPr>
          </w:p>
        </w:tc>
        <w:tc>
          <w:tcPr>
            <w:tcW w:w="1350" w:type="dxa"/>
            <w:tcBorders>
              <w:top w:val="single" w:sz="8" w:space="0" w:color="auto"/>
              <w:left w:val="nil"/>
              <w:bottom w:val="double" w:sz="4" w:space="0" w:color="auto"/>
              <w:right w:val="single" w:sz="8" w:space="0" w:color="auto"/>
            </w:tcBorders>
          </w:tcPr>
          <w:p w14:paraId="35C3A14A" w14:textId="413137A9" w:rsidR="00BF0002" w:rsidRPr="00EF2F18" w:rsidRDefault="00BF0002" w:rsidP="00752CA0">
            <w:pPr>
              <w:spacing w:after="0"/>
              <w:jc w:val="right"/>
              <w:rPr>
                <w:rFonts w:eastAsia="Times New Roman" w:cs="Times New Roman"/>
                <w:color w:val="000000"/>
                <w:sz w:val="20"/>
                <w:szCs w:val="20"/>
                <w:lang w:val="sr-Cyrl-RS" w:eastAsia="en-GB"/>
              </w:rPr>
            </w:pPr>
          </w:p>
        </w:tc>
        <w:tc>
          <w:tcPr>
            <w:tcW w:w="1530" w:type="dxa"/>
            <w:tcBorders>
              <w:top w:val="single" w:sz="8" w:space="0" w:color="auto"/>
              <w:left w:val="nil"/>
              <w:bottom w:val="double" w:sz="4" w:space="0" w:color="auto"/>
              <w:right w:val="double" w:sz="6" w:space="0" w:color="auto"/>
            </w:tcBorders>
          </w:tcPr>
          <w:p w14:paraId="2D0F71EB" w14:textId="1CC15D9E" w:rsidR="00BF0002" w:rsidRPr="00EF2F18" w:rsidRDefault="00BF0002" w:rsidP="00752CA0">
            <w:pPr>
              <w:spacing w:after="0"/>
              <w:jc w:val="right"/>
              <w:rPr>
                <w:rFonts w:eastAsia="Times New Roman" w:cs="Times New Roman"/>
                <w:color w:val="000000"/>
                <w:sz w:val="20"/>
                <w:szCs w:val="20"/>
                <w:lang w:val="sr-Cyrl-RS" w:eastAsia="en-GB"/>
              </w:rPr>
            </w:pPr>
          </w:p>
        </w:tc>
      </w:tr>
    </w:tbl>
    <w:p w14:paraId="5C738B97" w14:textId="77777777" w:rsidR="007D7243" w:rsidRPr="00EF2F18" w:rsidRDefault="007D7243" w:rsidP="007D7243">
      <w:pPr>
        <w:rPr>
          <w:rFonts w:cs="Times New Roman"/>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320"/>
        <w:gridCol w:w="1280"/>
        <w:gridCol w:w="1280"/>
        <w:gridCol w:w="1000"/>
        <w:gridCol w:w="1000"/>
        <w:gridCol w:w="1520"/>
        <w:gridCol w:w="1060"/>
        <w:gridCol w:w="1577"/>
        <w:gridCol w:w="1603"/>
        <w:gridCol w:w="17"/>
      </w:tblGrid>
      <w:tr w:rsidR="007D7243" w:rsidRPr="00EF2F18" w14:paraId="56D9982D" w14:textId="77777777" w:rsidTr="00BF0002">
        <w:trPr>
          <w:gridAfter w:val="1"/>
          <w:wAfter w:w="17" w:type="dxa"/>
          <w:trHeight w:val="336"/>
        </w:trPr>
        <w:tc>
          <w:tcPr>
            <w:tcW w:w="13640" w:type="dxa"/>
            <w:gridSpan w:val="9"/>
            <w:shd w:val="clear" w:color="000000" w:fill="F7CAAC"/>
            <w:hideMark/>
          </w:tcPr>
          <w:p w14:paraId="57BF096E"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b/>
                <w:bCs/>
                <w:color w:val="000000"/>
                <w:sz w:val="20"/>
                <w:szCs w:val="20"/>
                <w:lang w:val="sr-Cyrl-RS" w:eastAsia="en-GB"/>
              </w:rPr>
              <w:t>Мера 6.4.2: Успостављање механизма за финансијску подршку климатски неутралној и зеленој трансформацији привреде и друштва</w:t>
            </w:r>
          </w:p>
        </w:tc>
      </w:tr>
      <w:tr w:rsidR="007D7243" w:rsidRPr="00EF2F18" w14:paraId="1A4AF6A9" w14:textId="77777777" w:rsidTr="00BF0002">
        <w:trPr>
          <w:gridAfter w:val="1"/>
          <w:wAfter w:w="17" w:type="dxa"/>
          <w:trHeight w:val="336"/>
        </w:trPr>
        <w:tc>
          <w:tcPr>
            <w:tcW w:w="13640" w:type="dxa"/>
            <w:gridSpan w:val="9"/>
            <w:shd w:val="clear" w:color="000000" w:fill="F7CAAC"/>
            <w:hideMark/>
          </w:tcPr>
          <w:p w14:paraId="74AFE0AB" w14:textId="77777777" w:rsidR="007D7243" w:rsidRPr="00EF2F18" w:rsidRDefault="007D7243" w:rsidP="00752CA0">
            <w:pPr>
              <w:spacing w:after="0"/>
              <w:rPr>
                <w:rFonts w:eastAsia="Times New Roman" w:cs="Times New Roman"/>
                <w:color w:val="222222"/>
                <w:sz w:val="20"/>
                <w:szCs w:val="20"/>
                <w:lang w:val="sr-Cyrl-RS" w:eastAsia="en-GB"/>
              </w:rPr>
            </w:pPr>
            <w:r w:rsidRPr="00EF2F18">
              <w:rPr>
                <w:rFonts w:eastAsia="Times New Roman" w:cs="Times New Roman"/>
                <w:color w:val="222222"/>
                <w:sz w:val="20"/>
                <w:szCs w:val="20"/>
                <w:lang w:val="sr-Cyrl-RS" w:eastAsia="en-GB"/>
              </w:rPr>
              <w:t>Институција одговорна за реализацију:</w:t>
            </w:r>
            <w:r w:rsidRPr="00EF2F18">
              <w:rPr>
                <w:rFonts w:eastAsia="Times New Roman" w:cs="Times New Roman"/>
                <w:color w:val="000000"/>
                <w:sz w:val="20"/>
                <w:szCs w:val="20"/>
                <w:lang w:val="sr-Cyrl-RS" w:eastAsia="en-GB"/>
              </w:rPr>
              <w:t xml:space="preserve"> Министарство финансија</w:t>
            </w:r>
          </w:p>
        </w:tc>
      </w:tr>
      <w:tr w:rsidR="007D7243" w:rsidRPr="00EF2F18" w14:paraId="4D667ED8" w14:textId="77777777" w:rsidTr="00BF0002">
        <w:trPr>
          <w:gridAfter w:val="1"/>
          <w:wAfter w:w="17" w:type="dxa"/>
          <w:trHeight w:val="336"/>
        </w:trPr>
        <w:tc>
          <w:tcPr>
            <w:tcW w:w="6880" w:type="dxa"/>
            <w:gridSpan w:val="4"/>
            <w:shd w:val="clear" w:color="000000" w:fill="F7CAAC"/>
            <w:hideMark/>
          </w:tcPr>
          <w:p w14:paraId="48E572A8" w14:textId="3826831A"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Период спровођења: 202</w:t>
            </w:r>
            <w:r w:rsidR="00BF0002" w:rsidRPr="00EF2F18">
              <w:rPr>
                <w:rFonts w:eastAsia="Times New Roman" w:cs="Times New Roman"/>
                <w:sz w:val="20"/>
                <w:szCs w:val="20"/>
                <w:lang w:val="sr-Cyrl-RS" w:eastAsia="en-GB"/>
              </w:rPr>
              <w:t>6</w:t>
            </w:r>
            <w:r w:rsidRPr="00EF2F18">
              <w:rPr>
                <w:rFonts w:eastAsia="Times New Roman" w:cs="Times New Roman"/>
                <w:sz w:val="20"/>
                <w:szCs w:val="20"/>
                <w:lang w:val="sr-Cyrl-RS" w:eastAsia="en-GB"/>
              </w:rPr>
              <w:t>-2028.</w:t>
            </w:r>
          </w:p>
        </w:tc>
        <w:tc>
          <w:tcPr>
            <w:tcW w:w="6760" w:type="dxa"/>
            <w:gridSpan w:val="5"/>
            <w:shd w:val="clear" w:color="000000" w:fill="F7CAAC"/>
            <w:hideMark/>
          </w:tcPr>
          <w:p w14:paraId="256C78E4"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Тип мере: подстицајна</w:t>
            </w:r>
          </w:p>
        </w:tc>
      </w:tr>
      <w:tr w:rsidR="007D7243" w:rsidRPr="00EF2F18" w14:paraId="07E03251" w14:textId="77777777" w:rsidTr="00BF0002">
        <w:trPr>
          <w:gridAfter w:val="1"/>
          <w:wAfter w:w="17" w:type="dxa"/>
          <w:trHeight w:val="336"/>
        </w:trPr>
        <w:tc>
          <w:tcPr>
            <w:tcW w:w="6880" w:type="dxa"/>
            <w:gridSpan w:val="4"/>
            <w:shd w:val="clear" w:color="000000" w:fill="F7CAAC"/>
            <w:hideMark/>
          </w:tcPr>
          <w:p w14:paraId="701D1143"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Прописи које је потребно изменити/усвојити за спровођење мере:</w:t>
            </w:r>
          </w:p>
        </w:tc>
        <w:tc>
          <w:tcPr>
            <w:tcW w:w="6760" w:type="dxa"/>
            <w:gridSpan w:val="5"/>
            <w:shd w:val="clear" w:color="000000" w:fill="F7CAAC"/>
            <w:hideMark/>
          </w:tcPr>
          <w:p w14:paraId="262C2DA7" w14:textId="77777777" w:rsidR="007D7243" w:rsidRPr="00EF2F18" w:rsidRDefault="007D7243"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r w:rsidR="00BF0002" w:rsidRPr="00EF2F18" w14:paraId="04CC935E" w14:textId="77777777" w:rsidTr="00BF0002">
        <w:trPr>
          <w:trHeight w:val="816"/>
        </w:trPr>
        <w:tc>
          <w:tcPr>
            <w:tcW w:w="3320" w:type="dxa"/>
            <w:shd w:val="clear" w:color="000000" w:fill="D9D9D9"/>
            <w:hideMark/>
          </w:tcPr>
          <w:p w14:paraId="3EF70E50"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xml:space="preserve">Показатељ(и) на нивоу мере </w:t>
            </w:r>
            <w:r w:rsidRPr="00EF2F18">
              <w:rPr>
                <w:rFonts w:eastAsia="Times New Roman" w:cs="Times New Roman"/>
                <w:i/>
                <w:iCs/>
                <w:color w:val="000000"/>
                <w:sz w:val="20"/>
                <w:szCs w:val="20"/>
                <w:lang w:val="sr-Cyrl-RS" w:eastAsia="en-GB"/>
              </w:rPr>
              <w:t>(показатељ резултата)</w:t>
            </w:r>
          </w:p>
        </w:tc>
        <w:tc>
          <w:tcPr>
            <w:tcW w:w="1280" w:type="dxa"/>
            <w:shd w:val="clear" w:color="000000" w:fill="D9D9D9"/>
            <w:hideMark/>
          </w:tcPr>
          <w:p w14:paraId="26ECF871"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Jединица мере</w:t>
            </w:r>
          </w:p>
        </w:tc>
        <w:tc>
          <w:tcPr>
            <w:tcW w:w="1280" w:type="dxa"/>
            <w:shd w:val="clear" w:color="000000" w:fill="D9D9D9"/>
            <w:hideMark/>
          </w:tcPr>
          <w:p w14:paraId="6C03D7AC"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провере</w:t>
            </w:r>
          </w:p>
        </w:tc>
        <w:tc>
          <w:tcPr>
            <w:tcW w:w="2000" w:type="dxa"/>
            <w:gridSpan w:val="2"/>
            <w:shd w:val="clear" w:color="000000" w:fill="D9D9D9"/>
            <w:hideMark/>
          </w:tcPr>
          <w:p w14:paraId="6A75CC6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Почетна вредност</w:t>
            </w:r>
          </w:p>
        </w:tc>
        <w:tc>
          <w:tcPr>
            <w:tcW w:w="1520" w:type="dxa"/>
            <w:shd w:val="clear" w:color="000000" w:fill="D9D9D9"/>
            <w:hideMark/>
          </w:tcPr>
          <w:p w14:paraId="442F936A"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Базна година</w:t>
            </w:r>
          </w:p>
        </w:tc>
        <w:tc>
          <w:tcPr>
            <w:tcW w:w="1060" w:type="dxa"/>
            <w:shd w:val="clear" w:color="000000" w:fill="D9D9D9"/>
            <w:hideMark/>
          </w:tcPr>
          <w:p w14:paraId="0C799459"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2026.</w:t>
            </w:r>
          </w:p>
        </w:tc>
        <w:tc>
          <w:tcPr>
            <w:tcW w:w="1577" w:type="dxa"/>
            <w:shd w:val="clear" w:color="000000" w:fill="D9D9D9"/>
            <w:hideMark/>
          </w:tcPr>
          <w:p w14:paraId="2F3CC2DF"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2027.</w:t>
            </w:r>
          </w:p>
        </w:tc>
        <w:tc>
          <w:tcPr>
            <w:tcW w:w="1620" w:type="dxa"/>
            <w:gridSpan w:val="2"/>
            <w:shd w:val="clear" w:color="000000" w:fill="D9D9D9"/>
            <w:hideMark/>
          </w:tcPr>
          <w:p w14:paraId="490CA2C1"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Циљaна вредност у 2028.</w:t>
            </w:r>
          </w:p>
        </w:tc>
      </w:tr>
      <w:tr w:rsidR="00BF0002" w:rsidRPr="00EF2F18" w14:paraId="3B9318E2" w14:textId="77777777" w:rsidTr="00BF0002">
        <w:trPr>
          <w:trHeight w:val="1080"/>
        </w:trPr>
        <w:tc>
          <w:tcPr>
            <w:tcW w:w="3320" w:type="dxa"/>
            <w:shd w:val="clear" w:color="000000" w:fill="FFFFFF"/>
            <w:hideMark/>
          </w:tcPr>
          <w:p w14:paraId="373E3B0A"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Успостављен механизам за финансијску подршку климатски неутралној и зеленој трансформацији привреде и друштва</w:t>
            </w:r>
          </w:p>
        </w:tc>
        <w:tc>
          <w:tcPr>
            <w:tcW w:w="1280" w:type="dxa"/>
            <w:shd w:val="clear" w:color="000000" w:fill="FFFFFF"/>
            <w:hideMark/>
          </w:tcPr>
          <w:p w14:paraId="696BC9D1"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не/да</w:t>
            </w:r>
          </w:p>
        </w:tc>
        <w:tc>
          <w:tcPr>
            <w:tcW w:w="1280" w:type="dxa"/>
            <w:shd w:val="clear" w:color="000000" w:fill="FFFFFF"/>
            <w:hideMark/>
          </w:tcPr>
          <w:p w14:paraId="672A594D"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МФ</w:t>
            </w:r>
          </w:p>
        </w:tc>
        <w:tc>
          <w:tcPr>
            <w:tcW w:w="2000" w:type="dxa"/>
            <w:gridSpan w:val="2"/>
            <w:shd w:val="clear" w:color="000000" w:fill="FFFFFF"/>
            <w:hideMark/>
          </w:tcPr>
          <w:p w14:paraId="5EB0BAE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не</w:t>
            </w:r>
          </w:p>
        </w:tc>
        <w:tc>
          <w:tcPr>
            <w:tcW w:w="1520" w:type="dxa"/>
            <w:shd w:val="clear" w:color="000000" w:fill="FFFFFF"/>
            <w:hideMark/>
          </w:tcPr>
          <w:p w14:paraId="3CFF519D"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2023.</w:t>
            </w:r>
          </w:p>
        </w:tc>
        <w:tc>
          <w:tcPr>
            <w:tcW w:w="1060" w:type="dxa"/>
            <w:shd w:val="clear" w:color="000000" w:fill="FFFFFF"/>
            <w:hideMark/>
          </w:tcPr>
          <w:p w14:paraId="2FCC1D57"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c>
          <w:tcPr>
            <w:tcW w:w="1577" w:type="dxa"/>
            <w:shd w:val="clear" w:color="000000" w:fill="FFFFFF"/>
            <w:hideMark/>
          </w:tcPr>
          <w:p w14:paraId="448E6ED8"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да</w:t>
            </w:r>
          </w:p>
        </w:tc>
        <w:tc>
          <w:tcPr>
            <w:tcW w:w="1620" w:type="dxa"/>
            <w:gridSpan w:val="2"/>
            <w:shd w:val="clear" w:color="000000" w:fill="FFFFFF"/>
            <w:hideMark/>
          </w:tcPr>
          <w:p w14:paraId="273F1EF3" w14:textId="77777777"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w:t>
            </w:r>
          </w:p>
        </w:tc>
      </w:tr>
    </w:tbl>
    <w:p w14:paraId="152E7051" w14:textId="77777777" w:rsidR="007D7243" w:rsidRPr="00EF2F18" w:rsidRDefault="007D7243" w:rsidP="007D7243">
      <w:pPr>
        <w:rPr>
          <w:rFonts w:cs="Times New Roman"/>
          <w:sz w:val="20"/>
          <w:szCs w:val="20"/>
          <w:lang w:val="sr-Cyrl-RS"/>
        </w:rPr>
      </w:pPr>
    </w:p>
    <w:tbl>
      <w:tblPr>
        <w:tblW w:w="1365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3805"/>
        <w:gridCol w:w="2480"/>
        <w:gridCol w:w="1820"/>
        <w:gridCol w:w="2582"/>
        <w:gridCol w:w="2970"/>
      </w:tblGrid>
      <w:tr w:rsidR="007D7243" w:rsidRPr="00EF2F18" w14:paraId="4A0BDE4C" w14:textId="77777777" w:rsidTr="00D92C26">
        <w:trPr>
          <w:trHeight w:val="336"/>
        </w:trPr>
        <w:tc>
          <w:tcPr>
            <w:tcW w:w="3805" w:type="dxa"/>
            <w:vMerge w:val="restart"/>
            <w:shd w:val="clear" w:color="000000" w:fill="A8D08D"/>
            <w:hideMark/>
          </w:tcPr>
          <w:p w14:paraId="3197A194"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 мере</w:t>
            </w:r>
          </w:p>
        </w:tc>
        <w:tc>
          <w:tcPr>
            <w:tcW w:w="2480" w:type="dxa"/>
            <w:vMerge w:val="restart"/>
            <w:shd w:val="clear" w:color="000000" w:fill="A8D08D"/>
            <w:hideMark/>
          </w:tcPr>
          <w:p w14:paraId="211E6F8D"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7372" w:type="dxa"/>
            <w:gridSpan w:val="3"/>
            <w:shd w:val="clear" w:color="000000" w:fill="A8D08D"/>
            <w:hideMark/>
          </w:tcPr>
          <w:p w14:paraId="27AA445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у 000 дин/еври.</w:t>
            </w:r>
          </w:p>
        </w:tc>
      </w:tr>
      <w:tr w:rsidR="00BF0002" w:rsidRPr="00EF2F18" w14:paraId="4666C1C6" w14:textId="77777777" w:rsidTr="00D92C26">
        <w:trPr>
          <w:trHeight w:val="336"/>
        </w:trPr>
        <w:tc>
          <w:tcPr>
            <w:tcW w:w="3805" w:type="dxa"/>
            <w:vMerge/>
            <w:vAlign w:val="center"/>
            <w:hideMark/>
          </w:tcPr>
          <w:p w14:paraId="445BE1A6" w14:textId="77777777" w:rsidR="00BF0002" w:rsidRPr="00EF2F18" w:rsidRDefault="00BF0002" w:rsidP="00752CA0">
            <w:pPr>
              <w:spacing w:after="0"/>
              <w:rPr>
                <w:rFonts w:eastAsia="Times New Roman" w:cs="Times New Roman"/>
                <w:color w:val="000000"/>
                <w:sz w:val="20"/>
                <w:szCs w:val="20"/>
                <w:lang w:val="sr-Cyrl-RS" w:eastAsia="en-GB"/>
              </w:rPr>
            </w:pPr>
          </w:p>
        </w:tc>
        <w:tc>
          <w:tcPr>
            <w:tcW w:w="2480" w:type="dxa"/>
            <w:vMerge/>
            <w:vAlign w:val="center"/>
            <w:hideMark/>
          </w:tcPr>
          <w:p w14:paraId="13EC878E" w14:textId="77777777" w:rsidR="00BF0002" w:rsidRPr="00EF2F18" w:rsidRDefault="00BF0002" w:rsidP="00752CA0">
            <w:pPr>
              <w:spacing w:after="0"/>
              <w:rPr>
                <w:rFonts w:eastAsia="Times New Roman" w:cs="Times New Roman"/>
                <w:color w:val="000000"/>
                <w:sz w:val="20"/>
                <w:szCs w:val="20"/>
                <w:lang w:val="sr-Cyrl-RS" w:eastAsia="en-GB"/>
              </w:rPr>
            </w:pPr>
          </w:p>
        </w:tc>
        <w:tc>
          <w:tcPr>
            <w:tcW w:w="1820" w:type="dxa"/>
            <w:shd w:val="clear" w:color="000000" w:fill="A8D08D"/>
            <w:hideMark/>
          </w:tcPr>
          <w:p w14:paraId="024BFFFC" w14:textId="4C37501E"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2026. године</w:t>
            </w:r>
          </w:p>
        </w:tc>
        <w:tc>
          <w:tcPr>
            <w:tcW w:w="2582" w:type="dxa"/>
            <w:shd w:val="clear" w:color="000000" w:fill="A8D08D"/>
            <w:hideMark/>
          </w:tcPr>
          <w:p w14:paraId="38A813BB" w14:textId="70753655"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2027. године</w:t>
            </w:r>
          </w:p>
        </w:tc>
        <w:tc>
          <w:tcPr>
            <w:tcW w:w="2970" w:type="dxa"/>
            <w:shd w:val="clear" w:color="000000" w:fill="A8D08D"/>
            <w:hideMark/>
          </w:tcPr>
          <w:p w14:paraId="2309B4B8" w14:textId="609CF192"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 године</w:t>
            </w:r>
          </w:p>
        </w:tc>
      </w:tr>
      <w:tr w:rsidR="00BF0002" w:rsidRPr="00EF2F18" w14:paraId="6D578FCD" w14:textId="77777777" w:rsidTr="00D92C26">
        <w:trPr>
          <w:trHeight w:val="324"/>
        </w:trPr>
        <w:tc>
          <w:tcPr>
            <w:tcW w:w="3805" w:type="dxa"/>
            <w:hideMark/>
          </w:tcPr>
          <w:p w14:paraId="6F2494FB" w14:textId="40C3EE0C"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r w:rsidRPr="00EF2F18">
              <w:rPr>
                <w:rFonts w:eastAsia="Times New Roman" w:cs="Times New Roman"/>
                <w:color w:val="000000"/>
                <w:sz w:val="20"/>
                <w:szCs w:val="20"/>
                <w:lang w:val="sr-Cyrl-RS" w:eastAsia="en-GB"/>
              </w:rPr>
              <w:t xml:space="preserve"> (МФ)</w:t>
            </w:r>
          </w:p>
        </w:tc>
        <w:tc>
          <w:tcPr>
            <w:tcW w:w="2480" w:type="dxa"/>
            <w:hideMark/>
          </w:tcPr>
          <w:p w14:paraId="6974490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1820" w:type="dxa"/>
            <w:hideMark/>
          </w:tcPr>
          <w:p w14:paraId="26996BE2"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582" w:type="dxa"/>
            <w:hideMark/>
          </w:tcPr>
          <w:p w14:paraId="66CC7C6A"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c>
          <w:tcPr>
            <w:tcW w:w="2970" w:type="dxa"/>
            <w:hideMark/>
          </w:tcPr>
          <w:p w14:paraId="4DCDDB01" w14:textId="77777777" w:rsidR="00BF0002" w:rsidRPr="00EF2F18" w:rsidRDefault="00BF0002" w:rsidP="00752CA0">
            <w:pPr>
              <w:spacing w:after="0"/>
              <w:jc w:val="right"/>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 </w:t>
            </w:r>
          </w:p>
        </w:tc>
      </w:tr>
    </w:tbl>
    <w:p w14:paraId="53348E87" w14:textId="77777777" w:rsidR="007D7243" w:rsidRPr="00EF2F18" w:rsidRDefault="007D7243" w:rsidP="007D7243">
      <w:pPr>
        <w:rPr>
          <w:rFonts w:cs="Times New Roman"/>
          <w:sz w:val="20"/>
          <w:szCs w:val="20"/>
          <w:lang w:val="sr-Cyrl-RS"/>
        </w:rPr>
      </w:pPr>
    </w:p>
    <w:tbl>
      <w:tblPr>
        <w:tblW w:w="13657" w:type="dxa"/>
        <w:tblLook w:val="04A0" w:firstRow="1" w:lastRow="0" w:firstColumn="1" w:lastColumn="0" w:noHBand="0" w:noVBand="1"/>
      </w:tblPr>
      <w:tblGrid>
        <w:gridCol w:w="2949"/>
        <w:gridCol w:w="1253"/>
        <w:gridCol w:w="1240"/>
        <w:gridCol w:w="1182"/>
        <w:gridCol w:w="1691"/>
        <w:gridCol w:w="1340"/>
        <w:gridCol w:w="993"/>
        <w:gridCol w:w="1299"/>
        <w:gridCol w:w="1710"/>
      </w:tblGrid>
      <w:tr w:rsidR="007D7243" w:rsidRPr="00EF2F18" w14:paraId="6CC0B615" w14:textId="77777777" w:rsidTr="00BF0002">
        <w:trPr>
          <w:trHeight w:val="732"/>
        </w:trPr>
        <w:tc>
          <w:tcPr>
            <w:tcW w:w="2949" w:type="dxa"/>
            <w:vMerge w:val="restart"/>
            <w:tcBorders>
              <w:top w:val="double" w:sz="6" w:space="0" w:color="auto"/>
              <w:left w:val="double" w:sz="6" w:space="0" w:color="auto"/>
              <w:bottom w:val="single" w:sz="8" w:space="0" w:color="000000"/>
              <w:right w:val="single" w:sz="8" w:space="0" w:color="auto"/>
            </w:tcBorders>
            <w:shd w:val="clear" w:color="000000" w:fill="FFF2CC"/>
            <w:hideMark/>
          </w:tcPr>
          <w:p w14:paraId="224CAFF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lastRenderedPageBreak/>
              <w:t>Назив активности:</w:t>
            </w:r>
          </w:p>
        </w:tc>
        <w:tc>
          <w:tcPr>
            <w:tcW w:w="1253"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7307E8FA"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Орган који спроводи активност</w:t>
            </w:r>
          </w:p>
        </w:tc>
        <w:tc>
          <w:tcPr>
            <w:tcW w:w="12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181B2E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Oргани партнери у спровођењу активности</w:t>
            </w:r>
          </w:p>
        </w:tc>
        <w:tc>
          <w:tcPr>
            <w:tcW w:w="1182"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7B86FE1"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Рок за завршетак активности</w:t>
            </w:r>
          </w:p>
        </w:tc>
        <w:tc>
          <w:tcPr>
            <w:tcW w:w="1691"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39A8D42B"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Извор финансирања</w:t>
            </w:r>
          </w:p>
        </w:tc>
        <w:tc>
          <w:tcPr>
            <w:tcW w:w="1340" w:type="dxa"/>
            <w:vMerge w:val="restart"/>
            <w:tcBorders>
              <w:top w:val="double" w:sz="6" w:space="0" w:color="auto"/>
              <w:left w:val="single" w:sz="8" w:space="0" w:color="auto"/>
              <w:bottom w:val="single" w:sz="8" w:space="0" w:color="000000"/>
              <w:right w:val="single" w:sz="8" w:space="0" w:color="auto"/>
            </w:tcBorders>
            <w:shd w:val="clear" w:color="000000" w:fill="FFF2CC"/>
            <w:hideMark/>
          </w:tcPr>
          <w:p w14:paraId="1CE04FC3"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Веза са програмским буџетом</w:t>
            </w:r>
          </w:p>
        </w:tc>
        <w:tc>
          <w:tcPr>
            <w:tcW w:w="4002" w:type="dxa"/>
            <w:gridSpan w:val="3"/>
            <w:tcBorders>
              <w:top w:val="double" w:sz="6" w:space="0" w:color="auto"/>
              <w:left w:val="nil"/>
              <w:bottom w:val="single" w:sz="8" w:space="0" w:color="auto"/>
              <w:right w:val="double" w:sz="6" w:space="0" w:color="auto"/>
            </w:tcBorders>
            <w:shd w:val="clear" w:color="000000" w:fill="FFF2CC"/>
            <w:hideMark/>
          </w:tcPr>
          <w:p w14:paraId="6460B305" w14:textId="77777777" w:rsidR="007D7243" w:rsidRPr="00EF2F18" w:rsidRDefault="007D7243" w:rsidP="00752CA0">
            <w:pPr>
              <w:spacing w:after="0"/>
              <w:jc w:val="center"/>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Укупна процењена финансијска средства по изворима у 000 дин/еври.</w:t>
            </w:r>
          </w:p>
        </w:tc>
      </w:tr>
      <w:tr w:rsidR="00BF0002" w:rsidRPr="00EF2F18" w14:paraId="21075F6F" w14:textId="77777777" w:rsidTr="00BF0002">
        <w:trPr>
          <w:trHeight w:val="324"/>
        </w:trPr>
        <w:tc>
          <w:tcPr>
            <w:tcW w:w="2949" w:type="dxa"/>
            <w:vMerge/>
            <w:tcBorders>
              <w:top w:val="double" w:sz="6" w:space="0" w:color="auto"/>
              <w:left w:val="double" w:sz="6" w:space="0" w:color="auto"/>
              <w:bottom w:val="single" w:sz="8" w:space="0" w:color="000000"/>
              <w:right w:val="single" w:sz="8" w:space="0" w:color="auto"/>
            </w:tcBorders>
            <w:vAlign w:val="center"/>
            <w:hideMark/>
          </w:tcPr>
          <w:p w14:paraId="381639B7" w14:textId="77777777" w:rsidR="00BF0002" w:rsidRPr="00EF2F18" w:rsidRDefault="00BF0002" w:rsidP="00752CA0">
            <w:pPr>
              <w:spacing w:after="0"/>
              <w:rPr>
                <w:rFonts w:eastAsia="Times New Roman" w:cs="Times New Roman"/>
                <w:color w:val="000000"/>
                <w:sz w:val="20"/>
                <w:szCs w:val="20"/>
                <w:lang w:val="sr-Cyrl-RS" w:eastAsia="en-GB"/>
              </w:rPr>
            </w:pPr>
          </w:p>
        </w:tc>
        <w:tc>
          <w:tcPr>
            <w:tcW w:w="1253" w:type="dxa"/>
            <w:vMerge/>
            <w:tcBorders>
              <w:top w:val="double" w:sz="6" w:space="0" w:color="auto"/>
              <w:left w:val="single" w:sz="8" w:space="0" w:color="auto"/>
              <w:bottom w:val="single" w:sz="8" w:space="0" w:color="000000"/>
              <w:right w:val="single" w:sz="8" w:space="0" w:color="auto"/>
            </w:tcBorders>
            <w:vAlign w:val="center"/>
            <w:hideMark/>
          </w:tcPr>
          <w:p w14:paraId="47B10582" w14:textId="77777777" w:rsidR="00BF0002" w:rsidRPr="00EF2F18" w:rsidRDefault="00BF0002" w:rsidP="00752CA0">
            <w:pPr>
              <w:spacing w:after="0"/>
              <w:rPr>
                <w:rFonts w:eastAsia="Times New Roman" w:cs="Times New Roman"/>
                <w:color w:val="000000"/>
                <w:sz w:val="20"/>
                <w:szCs w:val="20"/>
                <w:lang w:val="sr-Cyrl-RS" w:eastAsia="en-GB"/>
              </w:rPr>
            </w:pPr>
          </w:p>
        </w:tc>
        <w:tc>
          <w:tcPr>
            <w:tcW w:w="1240" w:type="dxa"/>
            <w:vMerge/>
            <w:tcBorders>
              <w:top w:val="double" w:sz="6" w:space="0" w:color="auto"/>
              <w:left w:val="single" w:sz="8" w:space="0" w:color="auto"/>
              <w:bottom w:val="single" w:sz="8" w:space="0" w:color="000000"/>
              <w:right w:val="single" w:sz="8" w:space="0" w:color="auto"/>
            </w:tcBorders>
            <w:vAlign w:val="center"/>
            <w:hideMark/>
          </w:tcPr>
          <w:p w14:paraId="6D2D38DF" w14:textId="77777777" w:rsidR="00BF0002" w:rsidRPr="00EF2F18" w:rsidRDefault="00BF0002" w:rsidP="00752CA0">
            <w:pPr>
              <w:spacing w:after="0"/>
              <w:rPr>
                <w:rFonts w:eastAsia="Times New Roman" w:cs="Times New Roman"/>
                <w:color w:val="000000"/>
                <w:sz w:val="20"/>
                <w:szCs w:val="20"/>
                <w:lang w:val="sr-Cyrl-RS" w:eastAsia="en-GB"/>
              </w:rPr>
            </w:pPr>
          </w:p>
        </w:tc>
        <w:tc>
          <w:tcPr>
            <w:tcW w:w="1182" w:type="dxa"/>
            <w:vMerge/>
            <w:tcBorders>
              <w:top w:val="double" w:sz="6" w:space="0" w:color="auto"/>
              <w:left w:val="single" w:sz="8" w:space="0" w:color="auto"/>
              <w:bottom w:val="single" w:sz="8" w:space="0" w:color="000000"/>
              <w:right w:val="single" w:sz="8" w:space="0" w:color="auto"/>
            </w:tcBorders>
            <w:vAlign w:val="center"/>
            <w:hideMark/>
          </w:tcPr>
          <w:p w14:paraId="7AEBAB62" w14:textId="77777777" w:rsidR="00BF0002" w:rsidRPr="00EF2F18" w:rsidRDefault="00BF0002" w:rsidP="00752CA0">
            <w:pPr>
              <w:spacing w:after="0"/>
              <w:rPr>
                <w:rFonts w:eastAsia="Times New Roman" w:cs="Times New Roman"/>
                <w:color w:val="000000"/>
                <w:sz w:val="20"/>
                <w:szCs w:val="20"/>
                <w:lang w:val="sr-Cyrl-RS" w:eastAsia="en-GB"/>
              </w:rPr>
            </w:pPr>
          </w:p>
        </w:tc>
        <w:tc>
          <w:tcPr>
            <w:tcW w:w="1691" w:type="dxa"/>
            <w:vMerge/>
            <w:tcBorders>
              <w:top w:val="double" w:sz="6" w:space="0" w:color="auto"/>
              <w:left w:val="single" w:sz="8" w:space="0" w:color="auto"/>
              <w:bottom w:val="single" w:sz="8" w:space="0" w:color="000000"/>
              <w:right w:val="single" w:sz="8" w:space="0" w:color="auto"/>
            </w:tcBorders>
            <w:vAlign w:val="center"/>
            <w:hideMark/>
          </w:tcPr>
          <w:p w14:paraId="3E1ACFDA" w14:textId="77777777" w:rsidR="00BF0002" w:rsidRPr="00EF2F18" w:rsidRDefault="00BF0002" w:rsidP="00752CA0">
            <w:pPr>
              <w:spacing w:after="0"/>
              <w:rPr>
                <w:rFonts w:eastAsia="Times New Roman" w:cs="Times New Roman"/>
                <w:color w:val="000000"/>
                <w:sz w:val="20"/>
                <w:szCs w:val="20"/>
                <w:lang w:val="sr-Cyrl-RS" w:eastAsia="en-GB"/>
              </w:rPr>
            </w:pPr>
          </w:p>
        </w:tc>
        <w:tc>
          <w:tcPr>
            <w:tcW w:w="1340" w:type="dxa"/>
            <w:vMerge/>
            <w:tcBorders>
              <w:top w:val="double" w:sz="6" w:space="0" w:color="auto"/>
              <w:left w:val="single" w:sz="8" w:space="0" w:color="auto"/>
              <w:bottom w:val="single" w:sz="8" w:space="0" w:color="000000"/>
              <w:right w:val="single" w:sz="8" w:space="0" w:color="auto"/>
            </w:tcBorders>
            <w:vAlign w:val="center"/>
            <w:hideMark/>
          </w:tcPr>
          <w:p w14:paraId="25A4C4C6" w14:textId="77777777" w:rsidR="00BF0002" w:rsidRPr="00EF2F18" w:rsidRDefault="00BF0002"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shd w:val="clear" w:color="000000" w:fill="FFF2CC"/>
            <w:hideMark/>
          </w:tcPr>
          <w:p w14:paraId="3681025B" w14:textId="66713E53" w:rsidR="00BF0002" w:rsidRPr="00EF2F18" w:rsidRDefault="006736C8" w:rsidP="00963B12">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BF0002" w:rsidRPr="00EF2F18">
              <w:rPr>
                <w:rFonts w:eastAsia="Times New Roman" w:cs="Times New Roman"/>
                <w:sz w:val="20"/>
                <w:szCs w:val="20"/>
                <w:lang w:val="sr-Cyrl-RS" w:eastAsia="en-GB"/>
              </w:rPr>
              <w:t xml:space="preserve"> 2026.</w:t>
            </w:r>
          </w:p>
        </w:tc>
        <w:tc>
          <w:tcPr>
            <w:tcW w:w="1299" w:type="dxa"/>
            <w:tcBorders>
              <w:top w:val="nil"/>
              <w:left w:val="nil"/>
              <w:bottom w:val="single" w:sz="8" w:space="0" w:color="auto"/>
              <w:right w:val="single" w:sz="8" w:space="0" w:color="auto"/>
            </w:tcBorders>
            <w:shd w:val="clear" w:color="000000" w:fill="FFF2CC"/>
            <w:hideMark/>
          </w:tcPr>
          <w:p w14:paraId="0E441E40" w14:textId="16F99406" w:rsidR="00BF0002" w:rsidRPr="00EF2F18" w:rsidRDefault="00BF0002" w:rsidP="006736C8">
            <w:pPr>
              <w:spacing w:after="0"/>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w:t>
            </w:r>
            <w:r w:rsidR="006736C8" w:rsidRPr="00EF2F18">
              <w:rPr>
                <w:rFonts w:eastAsia="Times New Roman" w:cs="Times New Roman"/>
                <w:sz w:val="20"/>
                <w:szCs w:val="20"/>
                <w:lang w:val="sr-Cyrl-RS" w:eastAsia="en-GB"/>
              </w:rPr>
              <w:t xml:space="preserve">     </w:t>
            </w:r>
            <w:r w:rsidRPr="00EF2F18">
              <w:rPr>
                <w:rFonts w:eastAsia="Times New Roman" w:cs="Times New Roman"/>
                <w:sz w:val="20"/>
                <w:szCs w:val="20"/>
                <w:lang w:val="sr-Cyrl-RS" w:eastAsia="en-GB"/>
              </w:rPr>
              <w:t>2027.</w:t>
            </w:r>
          </w:p>
        </w:tc>
        <w:tc>
          <w:tcPr>
            <w:tcW w:w="1710" w:type="dxa"/>
            <w:tcBorders>
              <w:top w:val="nil"/>
              <w:left w:val="nil"/>
              <w:bottom w:val="single" w:sz="8" w:space="0" w:color="auto"/>
              <w:right w:val="double" w:sz="6" w:space="0" w:color="auto"/>
            </w:tcBorders>
            <w:shd w:val="clear" w:color="000000" w:fill="FFF2CC"/>
            <w:hideMark/>
          </w:tcPr>
          <w:p w14:paraId="664931C6" w14:textId="2EFCA590" w:rsidR="00BF0002" w:rsidRPr="00EF2F18" w:rsidRDefault="00BF0002" w:rsidP="00752CA0">
            <w:pPr>
              <w:spacing w:after="0"/>
              <w:jc w:val="center"/>
              <w:rPr>
                <w:rFonts w:eastAsia="Times New Roman" w:cs="Times New Roman"/>
                <w:color w:val="000000"/>
                <w:sz w:val="20"/>
                <w:szCs w:val="20"/>
                <w:lang w:val="sr-Cyrl-RS" w:eastAsia="en-GB"/>
              </w:rPr>
            </w:pPr>
            <w:r w:rsidRPr="00EF2F18">
              <w:rPr>
                <w:rFonts w:eastAsia="Times New Roman" w:cs="Times New Roman"/>
                <w:sz w:val="20"/>
                <w:szCs w:val="20"/>
                <w:lang w:val="sr-Cyrl-RS" w:eastAsia="en-GB"/>
              </w:rPr>
              <w:t xml:space="preserve"> 2028.</w:t>
            </w:r>
          </w:p>
        </w:tc>
      </w:tr>
      <w:tr w:rsidR="00BF0002" w:rsidRPr="00EF2F18" w14:paraId="34C10771" w14:textId="77777777" w:rsidTr="00BF0002">
        <w:trPr>
          <w:trHeight w:val="2652"/>
        </w:trPr>
        <w:tc>
          <w:tcPr>
            <w:tcW w:w="2949" w:type="dxa"/>
            <w:tcBorders>
              <w:top w:val="nil"/>
              <w:left w:val="double" w:sz="6" w:space="0" w:color="auto"/>
              <w:bottom w:val="single" w:sz="8" w:space="0" w:color="auto"/>
              <w:right w:val="single" w:sz="8" w:space="0" w:color="auto"/>
            </w:tcBorders>
            <w:hideMark/>
          </w:tcPr>
          <w:p w14:paraId="32E4EB6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6.4.2.1. Идентификација модела и механизама за финансијску подршку климатски неутралној и зеленој трансформацији привреде и друштва (субвенције, финансијске инструменте, моделе јавно-приватног партнерства), и извора финансирања (национални, билатерални, регионални, ЕУ, међународни)</w:t>
            </w:r>
          </w:p>
        </w:tc>
        <w:tc>
          <w:tcPr>
            <w:tcW w:w="1253" w:type="dxa"/>
            <w:tcBorders>
              <w:top w:val="nil"/>
              <w:left w:val="nil"/>
              <w:bottom w:val="single" w:sz="8" w:space="0" w:color="auto"/>
              <w:right w:val="single" w:sz="8" w:space="0" w:color="auto"/>
            </w:tcBorders>
            <w:hideMark/>
          </w:tcPr>
          <w:p w14:paraId="1326E213"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w:t>
            </w:r>
          </w:p>
        </w:tc>
        <w:tc>
          <w:tcPr>
            <w:tcW w:w="1240" w:type="dxa"/>
            <w:tcBorders>
              <w:top w:val="nil"/>
              <w:left w:val="nil"/>
              <w:bottom w:val="single" w:sz="8" w:space="0" w:color="auto"/>
              <w:right w:val="single" w:sz="8" w:space="0" w:color="auto"/>
            </w:tcBorders>
            <w:hideMark/>
          </w:tcPr>
          <w:p w14:paraId="55BBB3B7"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 МРЕ, МГСИ, МПШВ</w:t>
            </w:r>
          </w:p>
        </w:tc>
        <w:tc>
          <w:tcPr>
            <w:tcW w:w="1182" w:type="dxa"/>
            <w:tcBorders>
              <w:top w:val="nil"/>
              <w:left w:val="nil"/>
              <w:bottom w:val="single" w:sz="8" w:space="0" w:color="auto"/>
              <w:right w:val="single" w:sz="8" w:space="0" w:color="auto"/>
            </w:tcBorders>
            <w:hideMark/>
          </w:tcPr>
          <w:p w14:paraId="1CEA51E5"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2026.</w:t>
            </w:r>
          </w:p>
        </w:tc>
        <w:tc>
          <w:tcPr>
            <w:tcW w:w="1691" w:type="dxa"/>
            <w:tcBorders>
              <w:top w:val="nil"/>
              <w:left w:val="nil"/>
              <w:bottom w:val="single" w:sz="8" w:space="0" w:color="auto"/>
              <w:right w:val="single" w:sz="8" w:space="0" w:color="auto"/>
            </w:tcBorders>
            <w:hideMark/>
          </w:tcPr>
          <w:p w14:paraId="64546C92"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single" w:sz="8" w:space="0" w:color="auto"/>
              <w:right w:val="single" w:sz="8" w:space="0" w:color="auto"/>
            </w:tcBorders>
            <w:hideMark/>
          </w:tcPr>
          <w:p w14:paraId="15D60797" w14:textId="77777777" w:rsidR="00BF0002" w:rsidRPr="00EF2F18" w:rsidRDefault="00BF0002" w:rsidP="00752CA0">
            <w:pPr>
              <w:spacing w:after="0"/>
              <w:rPr>
                <w:rFonts w:eastAsia="Times New Roman" w:cs="Times New Roman"/>
                <w:color w:val="000000"/>
                <w:sz w:val="20"/>
                <w:szCs w:val="20"/>
                <w:lang w:val="sr-Cyrl-RS" w:eastAsia="en-GB"/>
              </w:rPr>
            </w:pPr>
          </w:p>
        </w:tc>
        <w:tc>
          <w:tcPr>
            <w:tcW w:w="993" w:type="dxa"/>
            <w:tcBorders>
              <w:top w:val="nil"/>
              <w:left w:val="nil"/>
              <w:bottom w:val="single" w:sz="8" w:space="0" w:color="auto"/>
              <w:right w:val="single" w:sz="8" w:space="0" w:color="auto"/>
            </w:tcBorders>
          </w:tcPr>
          <w:p w14:paraId="184CBE28" w14:textId="0E97BE88" w:rsidR="00BF0002" w:rsidRPr="00EF2F18" w:rsidRDefault="00BF0002" w:rsidP="00752CA0">
            <w:pPr>
              <w:spacing w:after="0"/>
              <w:jc w:val="right"/>
              <w:rPr>
                <w:rFonts w:eastAsia="Times New Roman" w:cs="Times New Roman"/>
                <w:color w:val="000000"/>
                <w:sz w:val="20"/>
                <w:szCs w:val="20"/>
                <w:lang w:val="sr-Cyrl-RS" w:eastAsia="en-GB"/>
              </w:rPr>
            </w:pPr>
          </w:p>
        </w:tc>
        <w:tc>
          <w:tcPr>
            <w:tcW w:w="1299" w:type="dxa"/>
            <w:tcBorders>
              <w:top w:val="nil"/>
              <w:left w:val="nil"/>
              <w:bottom w:val="single" w:sz="8" w:space="0" w:color="auto"/>
              <w:right w:val="single" w:sz="8" w:space="0" w:color="auto"/>
            </w:tcBorders>
          </w:tcPr>
          <w:p w14:paraId="5327B336" w14:textId="1AF0451A" w:rsidR="00BF0002" w:rsidRPr="00EF2F18" w:rsidRDefault="00BF0002"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single" w:sz="8" w:space="0" w:color="auto"/>
              <w:right w:val="double" w:sz="6" w:space="0" w:color="auto"/>
            </w:tcBorders>
          </w:tcPr>
          <w:p w14:paraId="3512FEAD" w14:textId="222906A2" w:rsidR="00BF0002" w:rsidRPr="00EF2F18" w:rsidRDefault="00BF0002" w:rsidP="00752CA0">
            <w:pPr>
              <w:spacing w:after="0"/>
              <w:jc w:val="right"/>
              <w:rPr>
                <w:rFonts w:eastAsia="Times New Roman" w:cs="Times New Roman"/>
                <w:color w:val="000000"/>
                <w:sz w:val="20"/>
                <w:szCs w:val="20"/>
                <w:lang w:val="sr-Cyrl-RS" w:eastAsia="en-GB"/>
              </w:rPr>
            </w:pPr>
          </w:p>
        </w:tc>
      </w:tr>
      <w:tr w:rsidR="00BF0002" w:rsidRPr="00EF2F18" w14:paraId="4DDF7CF6" w14:textId="77777777" w:rsidTr="00BF0002">
        <w:trPr>
          <w:trHeight w:val="2124"/>
        </w:trPr>
        <w:tc>
          <w:tcPr>
            <w:tcW w:w="2949" w:type="dxa"/>
            <w:tcBorders>
              <w:top w:val="nil"/>
              <w:left w:val="double" w:sz="6" w:space="0" w:color="auto"/>
              <w:bottom w:val="double" w:sz="6" w:space="0" w:color="auto"/>
              <w:right w:val="single" w:sz="8" w:space="0" w:color="auto"/>
            </w:tcBorders>
            <w:hideMark/>
          </w:tcPr>
          <w:p w14:paraId="6C4756A9" w14:textId="1B7AA573"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6.4.2.2. Спровођење програмских активности којима се обезбеђују или подстичу улагања у прилагођавање на основу методологије за обележавање зелених расхода приликом израде годишњег Закона о буџету</w:t>
            </w:r>
            <w:r w:rsidR="001534F6" w:rsidRPr="00EF2F18">
              <w:rPr>
                <w:rFonts w:eastAsia="Times New Roman" w:cs="Times New Roman"/>
                <w:color w:val="000000"/>
                <w:sz w:val="20"/>
                <w:szCs w:val="20"/>
                <w:lang w:val="sr-Cyrl-RS" w:eastAsia="en-GB"/>
              </w:rPr>
              <w:t xml:space="preserve"> </w:t>
            </w:r>
            <w:r w:rsidR="00A74A0A" w:rsidRPr="00EF2F18">
              <w:rPr>
                <w:rFonts w:eastAsia="Times New Roman" w:cs="Times New Roman"/>
                <w:color w:val="000000"/>
                <w:sz w:val="20"/>
                <w:szCs w:val="20"/>
                <w:lang w:val="sr-Cyrl-RS" w:eastAsia="en-GB"/>
              </w:rPr>
              <w:t xml:space="preserve">РС </w:t>
            </w:r>
            <w:r w:rsidRPr="00EF2F18">
              <w:rPr>
                <w:rFonts w:eastAsia="Times New Roman" w:cs="Times New Roman"/>
                <w:color w:val="000000"/>
                <w:sz w:val="20"/>
                <w:szCs w:val="20"/>
                <w:lang w:val="sr-Cyrl-RS" w:eastAsia="en-GB"/>
              </w:rPr>
              <w:t xml:space="preserve"> за 202</w:t>
            </w:r>
            <w:r w:rsidR="00176CE1" w:rsidRPr="00EF2F18">
              <w:rPr>
                <w:rFonts w:eastAsia="Times New Roman" w:cs="Times New Roman"/>
                <w:color w:val="000000"/>
                <w:sz w:val="20"/>
                <w:szCs w:val="20"/>
                <w:lang w:val="sr-Cyrl-RS" w:eastAsia="en-GB"/>
              </w:rPr>
              <w:t>7</w:t>
            </w:r>
            <w:r w:rsidRPr="00EF2F18">
              <w:rPr>
                <w:rFonts w:eastAsia="Times New Roman" w:cs="Times New Roman"/>
                <w:color w:val="000000"/>
                <w:sz w:val="20"/>
                <w:szCs w:val="20"/>
                <w:lang w:val="sr-Cyrl-RS" w:eastAsia="en-GB"/>
              </w:rPr>
              <w:t>. и 202</w:t>
            </w:r>
            <w:r w:rsidR="00176CE1" w:rsidRPr="00EF2F18">
              <w:rPr>
                <w:rFonts w:eastAsia="Times New Roman" w:cs="Times New Roman"/>
                <w:color w:val="000000"/>
                <w:sz w:val="20"/>
                <w:szCs w:val="20"/>
                <w:lang w:val="sr-Cyrl-RS" w:eastAsia="en-GB"/>
              </w:rPr>
              <w:t>8</w:t>
            </w:r>
            <w:r w:rsidRPr="00EF2F18">
              <w:rPr>
                <w:rFonts w:eastAsia="Times New Roman" w:cs="Times New Roman"/>
                <w:color w:val="000000"/>
                <w:sz w:val="20"/>
                <w:szCs w:val="20"/>
                <w:lang w:val="sr-Cyrl-RS" w:eastAsia="en-GB"/>
              </w:rPr>
              <w:t>. годину</w:t>
            </w:r>
          </w:p>
        </w:tc>
        <w:tc>
          <w:tcPr>
            <w:tcW w:w="1253" w:type="dxa"/>
            <w:tcBorders>
              <w:top w:val="nil"/>
              <w:left w:val="nil"/>
              <w:bottom w:val="double" w:sz="6" w:space="0" w:color="auto"/>
              <w:right w:val="single" w:sz="8" w:space="0" w:color="auto"/>
            </w:tcBorders>
            <w:hideMark/>
          </w:tcPr>
          <w:p w14:paraId="07D47EB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МФ</w:t>
            </w:r>
          </w:p>
        </w:tc>
        <w:tc>
          <w:tcPr>
            <w:tcW w:w="1240" w:type="dxa"/>
            <w:tcBorders>
              <w:top w:val="nil"/>
              <w:left w:val="nil"/>
              <w:bottom w:val="double" w:sz="6" w:space="0" w:color="auto"/>
              <w:right w:val="single" w:sz="8" w:space="0" w:color="auto"/>
            </w:tcBorders>
            <w:hideMark/>
          </w:tcPr>
          <w:p w14:paraId="7E0E0CEA"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МЗЖС</w:t>
            </w:r>
          </w:p>
        </w:tc>
        <w:tc>
          <w:tcPr>
            <w:tcW w:w="1182" w:type="dxa"/>
            <w:tcBorders>
              <w:top w:val="nil"/>
              <w:left w:val="nil"/>
              <w:bottom w:val="double" w:sz="6" w:space="0" w:color="auto"/>
              <w:right w:val="single" w:sz="8" w:space="0" w:color="auto"/>
            </w:tcBorders>
            <w:hideMark/>
          </w:tcPr>
          <w:p w14:paraId="7C12766C" w14:textId="3F7A8D8A"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4. квартал 202</w:t>
            </w:r>
            <w:r w:rsidR="00607B5A" w:rsidRPr="00EF2F18">
              <w:rPr>
                <w:rFonts w:eastAsia="Times New Roman" w:cs="Times New Roman"/>
                <w:color w:val="000000"/>
                <w:sz w:val="20"/>
                <w:szCs w:val="20"/>
                <w:lang w:val="sr-Cyrl-RS" w:eastAsia="en-GB"/>
              </w:rPr>
              <w:t>8</w:t>
            </w:r>
          </w:p>
        </w:tc>
        <w:tc>
          <w:tcPr>
            <w:tcW w:w="1691" w:type="dxa"/>
            <w:tcBorders>
              <w:top w:val="nil"/>
              <w:left w:val="nil"/>
              <w:bottom w:val="double" w:sz="6" w:space="0" w:color="auto"/>
              <w:right w:val="single" w:sz="8" w:space="0" w:color="auto"/>
            </w:tcBorders>
            <w:hideMark/>
          </w:tcPr>
          <w:p w14:paraId="6B561288" w14:textId="77777777" w:rsidR="00BF0002" w:rsidRPr="00EF2F18" w:rsidRDefault="00BF0002" w:rsidP="00752CA0">
            <w:pPr>
              <w:spacing w:after="0"/>
              <w:rPr>
                <w:rFonts w:eastAsia="Times New Roman" w:cs="Times New Roman"/>
                <w:color w:val="000000"/>
                <w:sz w:val="20"/>
                <w:szCs w:val="20"/>
                <w:lang w:val="sr-Cyrl-RS" w:eastAsia="en-GB"/>
              </w:rPr>
            </w:pPr>
            <w:r w:rsidRPr="00EF2F18">
              <w:rPr>
                <w:rFonts w:eastAsia="Times New Roman" w:cs="Times New Roman"/>
                <w:color w:val="000000"/>
                <w:sz w:val="20"/>
                <w:szCs w:val="20"/>
                <w:lang w:val="sr-Cyrl-RS" w:eastAsia="en-GB"/>
              </w:rPr>
              <w:t>Буџетска средства</w:t>
            </w:r>
            <w:r w:rsidRPr="00EF2F18">
              <w:rPr>
                <w:rFonts w:eastAsia="Times New Roman" w:cs="Times New Roman"/>
                <w:color w:val="000000"/>
                <w:sz w:val="20"/>
                <w:szCs w:val="20"/>
                <w:lang w:val="sr-Cyrl-RS" w:eastAsia="sr-Cyrl-RS"/>
              </w:rPr>
              <w:t>/редовна издвајања</w:t>
            </w:r>
          </w:p>
        </w:tc>
        <w:tc>
          <w:tcPr>
            <w:tcW w:w="1340" w:type="dxa"/>
            <w:tcBorders>
              <w:top w:val="nil"/>
              <w:left w:val="nil"/>
              <w:bottom w:val="double" w:sz="6" w:space="0" w:color="auto"/>
              <w:right w:val="single" w:sz="8" w:space="0" w:color="auto"/>
            </w:tcBorders>
            <w:hideMark/>
          </w:tcPr>
          <w:p w14:paraId="6011CAA3" w14:textId="77777777" w:rsidR="00BF0002" w:rsidRPr="00EF2F18" w:rsidRDefault="00BF0002" w:rsidP="00752CA0">
            <w:pPr>
              <w:spacing w:after="0"/>
              <w:rPr>
                <w:rFonts w:eastAsia="Times New Roman" w:cs="Times New Roman"/>
                <w:color w:val="000000"/>
                <w:sz w:val="20"/>
                <w:szCs w:val="20"/>
                <w:lang w:val="sr-Cyrl-RS" w:eastAsia="en-GB"/>
              </w:rPr>
            </w:pPr>
          </w:p>
        </w:tc>
        <w:tc>
          <w:tcPr>
            <w:tcW w:w="993" w:type="dxa"/>
            <w:tcBorders>
              <w:top w:val="nil"/>
              <w:left w:val="nil"/>
              <w:bottom w:val="double" w:sz="6" w:space="0" w:color="auto"/>
              <w:right w:val="single" w:sz="8" w:space="0" w:color="auto"/>
            </w:tcBorders>
          </w:tcPr>
          <w:p w14:paraId="4B399656" w14:textId="01CB56D9" w:rsidR="00BF0002" w:rsidRPr="00EF2F18" w:rsidRDefault="00BF0002" w:rsidP="00752CA0">
            <w:pPr>
              <w:spacing w:after="0"/>
              <w:jc w:val="right"/>
              <w:rPr>
                <w:rFonts w:eastAsia="Times New Roman" w:cs="Times New Roman"/>
                <w:color w:val="000000"/>
                <w:sz w:val="20"/>
                <w:szCs w:val="20"/>
                <w:lang w:val="sr-Cyrl-RS" w:eastAsia="en-GB"/>
              </w:rPr>
            </w:pPr>
          </w:p>
        </w:tc>
        <w:tc>
          <w:tcPr>
            <w:tcW w:w="1299" w:type="dxa"/>
            <w:tcBorders>
              <w:top w:val="nil"/>
              <w:left w:val="nil"/>
              <w:bottom w:val="double" w:sz="6" w:space="0" w:color="auto"/>
              <w:right w:val="single" w:sz="8" w:space="0" w:color="auto"/>
            </w:tcBorders>
          </w:tcPr>
          <w:p w14:paraId="7B494651" w14:textId="446214F8" w:rsidR="00BF0002" w:rsidRPr="00EF2F18" w:rsidRDefault="00BF0002" w:rsidP="00752CA0">
            <w:pPr>
              <w:spacing w:after="0"/>
              <w:jc w:val="right"/>
              <w:rPr>
                <w:rFonts w:eastAsia="Times New Roman" w:cs="Times New Roman"/>
                <w:color w:val="000000"/>
                <w:sz w:val="20"/>
                <w:szCs w:val="20"/>
                <w:lang w:val="sr-Cyrl-RS" w:eastAsia="en-GB"/>
              </w:rPr>
            </w:pPr>
          </w:p>
        </w:tc>
        <w:tc>
          <w:tcPr>
            <w:tcW w:w="1710" w:type="dxa"/>
            <w:tcBorders>
              <w:top w:val="nil"/>
              <w:left w:val="nil"/>
              <w:bottom w:val="double" w:sz="6" w:space="0" w:color="auto"/>
              <w:right w:val="double" w:sz="6" w:space="0" w:color="auto"/>
            </w:tcBorders>
          </w:tcPr>
          <w:p w14:paraId="451B92E7" w14:textId="1C13F31B" w:rsidR="00BF0002" w:rsidRPr="00EF2F18" w:rsidRDefault="00BF0002" w:rsidP="00752CA0">
            <w:pPr>
              <w:spacing w:after="0"/>
              <w:jc w:val="right"/>
              <w:rPr>
                <w:rFonts w:eastAsia="Times New Roman" w:cs="Times New Roman"/>
                <w:color w:val="000000"/>
                <w:sz w:val="20"/>
                <w:szCs w:val="20"/>
                <w:lang w:val="sr-Cyrl-RS" w:eastAsia="en-GB"/>
              </w:rPr>
            </w:pPr>
          </w:p>
        </w:tc>
      </w:tr>
    </w:tbl>
    <w:p w14:paraId="05412F32" w14:textId="77777777" w:rsidR="007D7243" w:rsidRPr="00EF2F18" w:rsidRDefault="007D7243" w:rsidP="00322B7C">
      <w:pPr>
        <w:spacing w:before="240"/>
        <w:rPr>
          <w:rFonts w:cs="Times New Roman"/>
          <w:b/>
          <w:bCs/>
          <w:sz w:val="20"/>
          <w:szCs w:val="20"/>
          <w:lang w:val="sr-Cyrl-RS"/>
        </w:rPr>
      </w:pPr>
      <w:r w:rsidRPr="00EF2F18">
        <w:rPr>
          <w:rFonts w:cs="Times New Roman"/>
          <w:b/>
          <w:bCs/>
          <w:sz w:val="20"/>
          <w:szCs w:val="20"/>
          <w:lang w:val="sr-Cyrl-RS"/>
        </w:rPr>
        <w:t>Напомена:</w:t>
      </w:r>
    </w:p>
    <w:p w14:paraId="30BC476A" w14:textId="46A28FD2" w:rsidR="007D7243" w:rsidRPr="00EF2F18" w:rsidRDefault="007D7243" w:rsidP="007D7243">
      <w:pPr>
        <w:ind w:left="720" w:hanging="578"/>
        <w:rPr>
          <w:rFonts w:cs="Times New Roman"/>
          <w:sz w:val="20"/>
          <w:szCs w:val="20"/>
          <w:lang w:val="sr-Cyrl-RS"/>
        </w:rPr>
      </w:pPr>
      <w:r w:rsidRPr="00EF2F18">
        <w:rPr>
          <w:rFonts w:cs="Times New Roman"/>
          <w:sz w:val="20"/>
          <w:szCs w:val="20"/>
          <w:lang w:val="sr-Cyrl-RS"/>
        </w:rPr>
        <w:t xml:space="preserve">* </w:t>
      </w:r>
      <w:r w:rsidR="00D72BCA" w:rsidRPr="00EF2F18">
        <w:rPr>
          <w:rFonts w:cs="Times New Roman"/>
          <w:sz w:val="20"/>
          <w:szCs w:val="20"/>
          <w:lang w:val="sr-Cyrl-RS"/>
        </w:rPr>
        <w:t>И</w:t>
      </w:r>
      <w:r w:rsidR="00322B7C" w:rsidRPr="00EF2F18">
        <w:rPr>
          <w:rFonts w:cs="Times New Roman"/>
          <w:sz w:val="20"/>
          <w:szCs w:val="20"/>
          <w:lang w:val="sr-Cyrl-RS"/>
        </w:rPr>
        <w:t xml:space="preserve">звори финансирања </w:t>
      </w:r>
      <w:r w:rsidR="00D72BCA" w:rsidRPr="00EF2F18">
        <w:rPr>
          <w:rFonts w:cs="Times New Roman"/>
          <w:sz w:val="20"/>
          <w:szCs w:val="20"/>
          <w:lang w:val="sr-Cyrl-RS"/>
        </w:rPr>
        <w:t xml:space="preserve">и/или средства </w:t>
      </w:r>
      <w:r w:rsidRPr="00EF2F18">
        <w:rPr>
          <w:rFonts w:cs="Times New Roman"/>
          <w:sz w:val="20"/>
          <w:szCs w:val="20"/>
          <w:lang w:val="sr-Cyrl-RS"/>
        </w:rPr>
        <w:t xml:space="preserve">још увек нису </w:t>
      </w:r>
      <w:r w:rsidR="00322B7C" w:rsidRPr="00EF2F18">
        <w:rPr>
          <w:rFonts w:cs="Times New Roman"/>
          <w:sz w:val="20"/>
          <w:szCs w:val="20"/>
          <w:lang w:val="sr-Cyrl-RS"/>
        </w:rPr>
        <w:t xml:space="preserve">утврђени </w:t>
      </w:r>
      <w:r w:rsidRPr="00EF2F18">
        <w:rPr>
          <w:rFonts w:cs="Times New Roman"/>
          <w:sz w:val="20"/>
          <w:szCs w:val="20"/>
          <w:lang w:val="sr-Cyrl-RS"/>
        </w:rPr>
        <w:t>и/или обезбеђен</w:t>
      </w:r>
      <w:r w:rsidR="00322B7C" w:rsidRPr="00EF2F18">
        <w:rPr>
          <w:rFonts w:cs="Times New Roman"/>
          <w:sz w:val="20"/>
          <w:szCs w:val="20"/>
          <w:lang w:val="sr-Cyrl-RS"/>
        </w:rPr>
        <w:t>и</w:t>
      </w:r>
      <w:r w:rsidR="00EF17B7" w:rsidRPr="00EF2F18">
        <w:rPr>
          <w:rFonts w:cs="Times New Roman"/>
          <w:sz w:val="20"/>
          <w:szCs w:val="20"/>
          <w:lang w:val="sr-Cyrl-RS"/>
        </w:rPr>
        <w:t>.</w:t>
      </w:r>
    </w:p>
    <w:p w14:paraId="7153BE15" w14:textId="27DAA9AF" w:rsidR="009B41AF" w:rsidRPr="00EF2F18" w:rsidRDefault="007D7243" w:rsidP="00A74A0A">
      <w:pPr>
        <w:ind w:left="720" w:hanging="578"/>
        <w:rPr>
          <w:rFonts w:cs="Times New Roman"/>
          <w:sz w:val="20"/>
          <w:szCs w:val="20"/>
          <w:lang w:val="sr-Cyrl-RS"/>
        </w:rPr>
      </w:pPr>
      <w:r w:rsidRPr="00EF2F18">
        <w:rPr>
          <w:rFonts w:cs="Times New Roman"/>
          <w:sz w:val="20"/>
          <w:szCs w:val="20"/>
          <w:lang w:val="sr-Cyrl-RS"/>
        </w:rPr>
        <w:t xml:space="preserve">** </w:t>
      </w:r>
      <w:r w:rsidR="00322B7C" w:rsidRPr="00EF2F18">
        <w:rPr>
          <w:rFonts w:cs="Times New Roman"/>
          <w:sz w:val="20"/>
          <w:szCs w:val="20"/>
          <w:lang w:val="sr-Cyrl-RS"/>
        </w:rPr>
        <w:t>С</w:t>
      </w:r>
      <w:r w:rsidRPr="00EF2F18">
        <w:rPr>
          <w:rFonts w:cs="Times New Roman"/>
          <w:sz w:val="20"/>
          <w:szCs w:val="20"/>
          <w:lang w:val="sr-Cyrl-RS"/>
        </w:rPr>
        <w:t>редства дефинисана у раније усвојеним планским документима</w:t>
      </w:r>
      <w:r w:rsidR="00EF17B7" w:rsidRPr="00EF2F18">
        <w:rPr>
          <w:rFonts w:cs="Times New Roman"/>
          <w:sz w:val="20"/>
          <w:szCs w:val="20"/>
          <w:lang w:val="sr-Cyrl-RS"/>
        </w:rPr>
        <w:t>.</w:t>
      </w:r>
    </w:p>
    <w:p w14:paraId="1CAE4A4F" w14:textId="244E77B9" w:rsidR="007D7243" w:rsidRPr="00EF2F18" w:rsidRDefault="007D7243" w:rsidP="007D7243">
      <w:pPr>
        <w:rPr>
          <w:rFonts w:cs="Times New Roman"/>
          <w:b/>
          <w:bCs/>
          <w:sz w:val="20"/>
          <w:szCs w:val="20"/>
          <w:lang w:val="sr-Cyrl-RS"/>
        </w:rPr>
      </w:pPr>
      <w:r w:rsidRPr="00EF2F18">
        <w:rPr>
          <w:rFonts w:cs="Times New Roman"/>
          <w:b/>
          <w:bCs/>
          <w:sz w:val="20"/>
          <w:szCs w:val="20"/>
          <w:lang w:val="sr-Cyrl-RS"/>
        </w:rPr>
        <w:t>Легенда:</w:t>
      </w:r>
    </w:p>
    <w:tbl>
      <w:tblPr>
        <w:tblStyle w:val="Tabellenraster1"/>
        <w:tblW w:w="818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6926"/>
      </w:tblGrid>
      <w:tr w:rsidR="007D7243" w:rsidRPr="00EF2F18" w14:paraId="77752BDD" w14:textId="77777777" w:rsidTr="00752CA0">
        <w:trPr>
          <w:trHeight w:val="149"/>
        </w:trPr>
        <w:tc>
          <w:tcPr>
            <w:tcW w:w="1259" w:type="dxa"/>
          </w:tcPr>
          <w:p w14:paraId="65657550" w14:textId="77777777" w:rsidR="007D7243" w:rsidRPr="00EF2F18" w:rsidRDefault="007D7243" w:rsidP="00752CA0">
            <w:pPr>
              <w:tabs>
                <w:tab w:val="left" w:pos="1020"/>
              </w:tabs>
              <w:spacing w:after="0"/>
              <w:rPr>
                <w:sz w:val="20"/>
                <w:lang w:val="sr-Cyrl-RS"/>
              </w:rPr>
            </w:pPr>
            <w:r w:rsidRPr="00EF2F18">
              <w:rPr>
                <w:sz w:val="20"/>
                <w:lang w:val="sr-Cyrl-RS"/>
              </w:rPr>
              <w:t>АБС</w:t>
            </w:r>
          </w:p>
        </w:tc>
        <w:tc>
          <w:tcPr>
            <w:tcW w:w="6926" w:type="dxa"/>
          </w:tcPr>
          <w:p w14:paraId="00527C3F" w14:textId="77777777" w:rsidR="007D7243" w:rsidRPr="00EF2F18" w:rsidRDefault="007D7243" w:rsidP="00752CA0">
            <w:pPr>
              <w:spacing w:after="0"/>
              <w:rPr>
                <w:iCs/>
                <w:sz w:val="20"/>
                <w:lang w:val="sr-Cyrl-RS"/>
              </w:rPr>
            </w:pPr>
            <w:r w:rsidRPr="00EF2F18">
              <w:rPr>
                <w:iCs/>
                <w:sz w:val="20"/>
                <w:lang w:val="sr-Cyrl-RS"/>
              </w:rPr>
              <w:t>Агенција за безбедност саобраћаја</w:t>
            </w:r>
          </w:p>
        </w:tc>
      </w:tr>
      <w:tr w:rsidR="007D7243" w:rsidRPr="00EF2F18" w14:paraId="2E2BF06C" w14:textId="77777777" w:rsidTr="00752CA0">
        <w:trPr>
          <w:trHeight w:val="149"/>
        </w:trPr>
        <w:tc>
          <w:tcPr>
            <w:tcW w:w="1259" w:type="dxa"/>
          </w:tcPr>
          <w:p w14:paraId="6520B937" w14:textId="77777777" w:rsidR="007D7243" w:rsidRPr="00EF2F18" w:rsidRDefault="007D7243" w:rsidP="00752CA0">
            <w:pPr>
              <w:tabs>
                <w:tab w:val="left" w:pos="1020"/>
              </w:tabs>
              <w:spacing w:after="0"/>
              <w:rPr>
                <w:sz w:val="20"/>
                <w:lang w:val="sr-Cyrl-RS"/>
              </w:rPr>
            </w:pPr>
            <w:r w:rsidRPr="00EF2F18">
              <w:rPr>
                <w:sz w:val="20"/>
                <w:lang w:val="sr-Cyrl-RS"/>
              </w:rPr>
              <w:t>АФД</w:t>
            </w:r>
          </w:p>
        </w:tc>
        <w:tc>
          <w:tcPr>
            <w:tcW w:w="6926" w:type="dxa"/>
          </w:tcPr>
          <w:p w14:paraId="336E6BD7" w14:textId="77777777" w:rsidR="007D7243" w:rsidRPr="00EF2F18" w:rsidRDefault="007D7243" w:rsidP="00752CA0">
            <w:pPr>
              <w:spacing w:after="0"/>
              <w:rPr>
                <w:iCs/>
                <w:sz w:val="20"/>
                <w:lang w:val="sr-Cyrl-RS"/>
              </w:rPr>
            </w:pPr>
            <w:r w:rsidRPr="00EF2F18">
              <w:rPr>
                <w:iCs/>
                <w:sz w:val="20"/>
                <w:lang w:val="sr-Cyrl-RS"/>
              </w:rPr>
              <w:t>Француска развојна агенција</w:t>
            </w:r>
          </w:p>
        </w:tc>
      </w:tr>
      <w:tr w:rsidR="007D7243" w:rsidRPr="00EF2F18" w14:paraId="69A5CEE8" w14:textId="77777777" w:rsidTr="00752CA0">
        <w:trPr>
          <w:trHeight w:val="149"/>
        </w:trPr>
        <w:tc>
          <w:tcPr>
            <w:tcW w:w="1259" w:type="dxa"/>
          </w:tcPr>
          <w:p w14:paraId="66B3267D" w14:textId="77777777" w:rsidR="007D7243" w:rsidRPr="00EF2F18" w:rsidRDefault="007D7243" w:rsidP="00752CA0">
            <w:pPr>
              <w:tabs>
                <w:tab w:val="left" w:pos="1020"/>
              </w:tabs>
              <w:spacing w:after="0"/>
              <w:rPr>
                <w:sz w:val="20"/>
                <w:lang w:val="sr-Cyrl-RS"/>
              </w:rPr>
            </w:pPr>
            <w:r w:rsidRPr="00EF2F18">
              <w:rPr>
                <w:sz w:val="20"/>
                <w:lang w:val="sr-Cyrl-RS"/>
              </w:rPr>
              <w:t>АПСПВ</w:t>
            </w:r>
          </w:p>
        </w:tc>
        <w:tc>
          <w:tcPr>
            <w:tcW w:w="6926" w:type="dxa"/>
          </w:tcPr>
          <w:p w14:paraId="01D87FA7" w14:textId="77777777" w:rsidR="007D7243" w:rsidRPr="00EF2F18" w:rsidRDefault="007D7243" w:rsidP="00752CA0">
            <w:pPr>
              <w:spacing w:after="0"/>
              <w:rPr>
                <w:iCs/>
                <w:sz w:val="20"/>
                <w:lang w:val="sr-Cyrl-RS"/>
              </w:rPr>
            </w:pPr>
            <w:r w:rsidRPr="00EF2F18">
              <w:rPr>
                <w:iCs/>
                <w:sz w:val="20"/>
                <w:lang w:val="sr-Cyrl-RS"/>
              </w:rPr>
              <w:t>Акциони план за спровођење програма Владе</w:t>
            </w:r>
          </w:p>
        </w:tc>
      </w:tr>
      <w:tr w:rsidR="007D7243" w:rsidRPr="00EF2F18" w14:paraId="0D7D6719" w14:textId="77777777" w:rsidTr="00752CA0">
        <w:trPr>
          <w:trHeight w:val="149"/>
        </w:trPr>
        <w:tc>
          <w:tcPr>
            <w:tcW w:w="1259" w:type="dxa"/>
          </w:tcPr>
          <w:p w14:paraId="18FF7EB1" w14:textId="77777777" w:rsidR="007D7243" w:rsidRPr="00EF2F18" w:rsidRDefault="007D7243" w:rsidP="00752CA0">
            <w:pPr>
              <w:tabs>
                <w:tab w:val="left" w:pos="1020"/>
              </w:tabs>
              <w:spacing w:after="0"/>
              <w:rPr>
                <w:sz w:val="20"/>
                <w:lang w:val="sr-Cyrl-RS"/>
              </w:rPr>
            </w:pPr>
            <w:r w:rsidRPr="00EF2F18">
              <w:rPr>
                <w:sz w:val="20"/>
                <w:lang w:val="sr-Cyrl-RS"/>
              </w:rPr>
              <w:t>АТС</w:t>
            </w:r>
          </w:p>
        </w:tc>
        <w:tc>
          <w:tcPr>
            <w:tcW w:w="6926" w:type="dxa"/>
          </w:tcPr>
          <w:p w14:paraId="1CABFFB4" w14:textId="77777777" w:rsidR="007D7243" w:rsidRPr="00EF2F18" w:rsidRDefault="007D7243" w:rsidP="00752CA0">
            <w:pPr>
              <w:spacing w:after="0"/>
              <w:rPr>
                <w:iCs/>
                <w:sz w:val="20"/>
                <w:lang w:val="sr-Cyrl-RS"/>
              </w:rPr>
            </w:pPr>
            <w:r w:rsidRPr="00EF2F18">
              <w:rPr>
                <w:iCs/>
                <w:sz w:val="20"/>
                <w:lang w:val="sr-Cyrl-RS"/>
              </w:rPr>
              <w:t>Акредитационо тело Србије</w:t>
            </w:r>
          </w:p>
        </w:tc>
      </w:tr>
      <w:tr w:rsidR="007D7243" w:rsidRPr="00EF2F18" w14:paraId="3A6859CB" w14:textId="77777777" w:rsidTr="00752CA0">
        <w:trPr>
          <w:trHeight w:val="149"/>
        </w:trPr>
        <w:tc>
          <w:tcPr>
            <w:tcW w:w="1259" w:type="dxa"/>
          </w:tcPr>
          <w:p w14:paraId="1EE8E13B" w14:textId="77777777" w:rsidR="007D7243" w:rsidRPr="00EF2F18" w:rsidRDefault="007D7243" w:rsidP="00752CA0">
            <w:pPr>
              <w:tabs>
                <w:tab w:val="left" w:pos="1020"/>
              </w:tabs>
              <w:spacing w:after="0"/>
              <w:rPr>
                <w:sz w:val="20"/>
                <w:lang w:val="sr-Cyrl-RS"/>
              </w:rPr>
            </w:pPr>
            <w:r w:rsidRPr="00EF2F18">
              <w:rPr>
                <w:sz w:val="20"/>
                <w:lang w:val="sr-Cyrl-RS"/>
              </w:rPr>
              <w:lastRenderedPageBreak/>
              <w:t>АЗЖС</w:t>
            </w:r>
          </w:p>
        </w:tc>
        <w:tc>
          <w:tcPr>
            <w:tcW w:w="6926" w:type="dxa"/>
          </w:tcPr>
          <w:p w14:paraId="67156248" w14:textId="77777777" w:rsidR="007D7243" w:rsidRPr="00EF2F18" w:rsidRDefault="007D7243" w:rsidP="00752CA0">
            <w:pPr>
              <w:spacing w:after="0"/>
              <w:rPr>
                <w:iCs/>
                <w:sz w:val="20"/>
                <w:lang w:val="sr-Cyrl-RS"/>
              </w:rPr>
            </w:pPr>
            <w:r w:rsidRPr="00EF2F18">
              <w:rPr>
                <w:iCs/>
                <w:sz w:val="20"/>
                <w:lang w:val="sr-Cyrl-RS"/>
              </w:rPr>
              <w:t>Агенција за заштиту животне средине</w:t>
            </w:r>
          </w:p>
        </w:tc>
      </w:tr>
      <w:tr w:rsidR="007D7243" w:rsidRPr="00EF2F18" w14:paraId="3F6AE4CF" w14:textId="77777777" w:rsidTr="00752CA0">
        <w:trPr>
          <w:trHeight w:val="149"/>
        </w:trPr>
        <w:tc>
          <w:tcPr>
            <w:tcW w:w="1259" w:type="dxa"/>
          </w:tcPr>
          <w:p w14:paraId="5049A154" w14:textId="77777777" w:rsidR="007D7243" w:rsidRPr="00EF2F18" w:rsidRDefault="007D7243" w:rsidP="00752CA0">
            <w:pPr>
              <w:tabs>
                <w:tab w:val="left" w:pos="1020"/>
              </w:tabs>
              <w:spacing w:after="0"/>
              <w:rPr>
                <w:sz w:val="20"/>
                <w:lang w:val="sr-Cyrl-RS"/>
              </w:rPr>
            </w:pPr>
            <w:r w:rsidRPr="00EF2F18">
              <w:rPr>
                <w:sz w:val="20"/>
                <w:lang w:val="sr-Cyrl-RS"/>
              </w:rPr>
              <w:t>АЕРС</w:t>
            </w:r>
          </w:p>
        </w:tc>
        <w:tc>
          <w:tcPr>
            <w:tcW w:w="6926" w:type="dxa"/>
          </w:tcPr>
          <w:p w14:paraId="33BEF287" w14:textId="77777777" w:rsidR="007D7243" w:rsidRPr="00EF2F18" w:rsidRDefault="007D7243" w:rsidP="00752CA0">
            <w:pPr>
              <w:spacing w:after="0"/>
              <w:rPr>
                <w:iCs/>
                <w:sz w:val="20"/>
                <w:lang w:val="sr-Cyrl-RS"/>
              </w:rPr>
            </w:pPr>
            <w:r w:rsidRPr="00EF2F18">
              <w:rPr>
                <w:iCs/>
                <w:sz w:val="20"/>
                <w:lang w:val="sr-Cyrl-RS"/>
              </w:rPr>
              <w:t>Агенција за енергетику Републике Србије</w:t>
            </w:r>
          </w:p>
        </w:tc>
      </w:tr>
      <w:tr w:rsidR="007D7243" w:rsidRPr="00EF2F18" w14:paraId="5AEDBF74" w14:textId="77777777" w:rsidTr="00752CA0">
        <w:trPr>
          <w:trHeight w:val="149"/>
        </w:trPr>
        <w:tc>
          <w:tcPr>
            <w:tcW w:w="1259" w:type="dxa"/>
          </w:tcPr>
          <w:p w14:paraId="02D8A2C8" w14:textId="77777777" w:rsidR="007D7243" w:rsidRPr="00EF2F18" w:rsidRDefault="007D7243" w:rsidP="00752CA0">
            <w:pPr>
              <w:tabs>
                <w:tab w:val="left" w:pos="1020"/>
              </w:tabs>
              <w:spacing w:after="0"/>
              <w:rPr>
                <w:sz w:val="20"/>
                <w:lang w:val="sr-Cyrl-RS"/>
              </w:rPr>
            </w:pPr>
            <w:r w:rsidRPr="00EF2F18">
              <w:rPr>
                <w:sz w:val="20"/>
                <w:lang w:val="sr-Cyrl-RS"/>
              </w:rPr>
              <w:t>АП</w:t>
            </w:r>
          </w:p>
        </w:tc>
        <w:tc>
          <w:tcPr>
            <w:tcW w:w="6926" w:type="dxa"/>
          </w:tcPr>
          <w:p w14:paraId="4BE9945E" w14:textId="77777777" w:rsidR="007D7243" w:rsidRPr="00EF2F18" w:rsidRDefault="007D7243" w:rsidP="00752CA0">
            <w:pPr>
              <w:spacing w:after="0"/>
              <w:rPr>
                <w:iCs/>
                <w:sz w:val="20"/>
                <w:lang w:val="sr-Cyrl-RS"/>
              </w:rPr>
            </w:pPr>
            <w:r w:rsidRPr="00EF2F18">
              <w:rPr>
                <w:iCs/>
                <w:sz w:val="20"/>
                <w:lang w:val="sr-Cyrl-RS"/>
              </w:rPr>
              <w:t>Асоцијације произвођача</w:t>
            </w:r>
          </w:p>
        </w:tc>
      </w:tr>
      <w:tr w:rsidR="007D7243" w:rsidRPr="00EF2F18" w14:paraId="3E035313" w14:textId="77777777" w:rsidTr="00752CA0">
        <w:trPr>
          <w:trHeight w:val="149"/>
        </w:trPr>
        <w:tc>
          <w:tcPr>
            <w:tcW w:w="1259" w:type="dxa"/>
          </w:tcPr>
          <w:p w14:paraId="6DD6A5CC" w14:textId="77777777" w:rsidR="007D7243" w:rsidRPr="00EF2F18" w:rsidRDefault="007D7243" w:rsidP="00752CA0">
            <w:pPr>
              <w:tabs>
                <w:tab w:val="left" w:pos="1020"/>
              </w:tabs>
              <w:spacing w:after="0"/>
              <w:rPr>
                <w:sz w:val="20"/>
                <w:lang w:val="sr-Cyrl-RS"/>
              </w:rPr>
            </w:pPr>
            <w:r w:rsidRPr="00EF2F18">
              <w:rPr>
                <w:sz w:val="20"/>
                <w:lang w:val="sr-Cyrl-RS"/>
              </w:rPr>
              <w:t>АПВ</w:t>
            </w:r>
          </w:p>
        </w:tc>
        <w:tc>
          <w:tcPr>
            <w:tcW w:w="6926" w:type="dxa"/>
          </w:tcPr>
          <w:p w14:paraId="5EA36916" w14:textId="77777777" w:rsidR="007D7243" w:rsidRPr="00EF2F18" w:rsidRDefault="007D7243" w:rsidP="00752CA0">
            <w:pPr>
              <w:spacing w:after="0"/>
              <w:rPr>
                <w:iCs/>
                <w:sz w:val="20"/>
                <w:lang w:val="sr-Cyrl-RS"/>
              </w:rPr>
            </w:pPr>
            <w:r w:rsidRPr="00EF2F18">
              <w:rPr>
                <w:iCs/>
                <w:sz w:val="20"/>
                <w:lang w:val="sr-Cyrl-RS"/>
              </w:rPr>
              <w:t>Аутономна покрајина Војводина</w:t>
            </w:r>
          </w:p>
        </w:tc>
      </w:tr>
      <w:tr w:rsidR="007D7243" w:rsidRPr="00EF2F18" w14:paraId="330D9011" w14:textId="77777777" w:rsidTr="00752CA0">
        <w:trPr>
          <w:trHeight w:val="149"/>
        </w:trPr>
        <w:tc>
          <w:tcPr>
            <w:tcW w:w="1259" w:type="dxa"/>
          </w:tcPr>
          <w:p w14:paraId="2096D0D4" w14:textId="77777777" w:rsidR="007D7243" w:rsidRPr="00EF2F18" w:rsidRDefault="007D7243" w:rsidP="00752CA0">
            <w:pPr>
              <w:tabs>
                <w:tab w:val="left" w:pos="1020"/>
              </w:tabs>
              <w:spacing w:after="0"/>
              <w:rPr>
                <w:sz w:val="20"/>
                <w:lang w:val="sr-Cyrl-RS"/>
              </w:rPr>
            </w:pPr>
            <w:r w:rsidRPr="00EF2F18">
              <w:rPr>
                <w:sz w:val="20"/>
                <w:lang w:val="sr-Cyrl-RS"/>
              </w:rPr>
              <w:t>ВСС</w:t>
            </w:r>
          </w:p>
        </w:tc>
        <w:tc>
          <w:tcPr>
            <w:tcW w:w="6926" w:type="dxa"/>
          </w:tcPr>
          <w:p w14:paraId="54D60F16" w14:textId="77777777" w:rsidR="007D7243" w:rsidRPr="00EF2F18" w:rsidRDefault="007D7243" w:rsidP="00752CA0">
            <w:pPr>
              <w:spacing w:after="0"/>
              <w:rPr>
                <w:iCs/>
                <w:sz w:val="20"/>
                <w:lang w:val="sr-Cyrl-RS"/>
              </w:rPr>
            </w:pPr>
            <w:r w:rsidRPr="00EF2F18">
              <w:rPr>
                <w:iCs/>
                <w:sz w:val="20"/>
                <w:lang w:val="sr-Cyrl-RS"/>
              </w:rPr>
              <w:t>Високи савет судства</w:t>
            </w:r>
          </w:p>
        </w:tc>
      </w:tr>
      <w:tr w:rsidR="007D7243" w:rsidRPr="00EF2F18" w14:paraId="6685F809" w14:textId="77777777" w:rsidTr="00752CA0">
        <w:trPr>
          <w:trHeight w:val="149"/>
        </w:trPr>
        <w:tc>
          <w:tcPr>
            <w:tcW w:w="1259" w:type="dxa"/>
          </w:tcPr>
          <w:p w14:paraId="2A5CA42F" w14:textId="77777777" w:rsidR="007D7243" w:rsidRPr="00EF2F18" w:rsidRDefault="007D7243" w:rsidP="00752CA0">
            <w:pPr>
              <w:tabs>
                <w:tab w:val="left" w:pos="1020"/>
              </w:tabs>
              <w:spacing w:after="0"/>
              <w:rPr>
                <w:sz w:val="20"/>
                <w:lang w:val="sr-Cyrl-RS"/>
              </w:rPr>
            </w:pPr>
            <w:r w:rsidRPr="00EF2F18">
              <w:rPr>
                <w:sz w:val="20"/>
                <w:lang w:val="sr-Cyrl-RS"/>
              </w:rPr>
              <w:t>ВСТ</w:t>
            </w:r>
          </w:p>
        </w:tc>
        <w:tc>
          <w:tcPr>
            <w:tcW w:w="6926" w:type="dxa"/>
          </w:tcPr>
          <w:p w14:paraId="3F1367E8" w14:textId="77777777" w:rsidR="007D7243" w:rsidRPr="00EF2F18" w:rsidRDefault="007D7243" w:rsidP="00752CA0">
            <w:pPr>
              <w:spacing w:after="0"/>
              <w:rPr>
                <w:iCs/>
                <w:sz w:val="20"/>
                <w:lang w:val="sr-Cyrl-RS"/>
              </w:rPr>
            </w:pPr>
            <w:r w:rsidRPr="00EF2F18">
              <w:rPr>
                <w:iCs/>
                <w:sz w:val="20"/>
                <w:lang w:val="sr-Cyrl-RS"/>
              </w:rPr>
              <w:t>Високи савет тужилаштва</w:t>
            </w:r>
          </w:p>
        </w:tc>
      </w:tr>
      <w:tr w:rsidR="007D7243" w:rsidRPr="00EF2F18" w14:paraId="168132FA" w14:textId="77777777" w:rsidTr="00752CA0">
        <w:trPr>
          <w:trHeight w:val="149"/>
        </w:trPr>
        <w:tc>
          <w:tcPr>
            <w:tcW w:w="1259" w:type="dxa"/>
          </w:tcPr>
          <w:p w14:paraId="3C89596C" w14:textId="77777777" w:rsidR="007D7243" w:rsidRPr="00EF2F18" w:rsidRDefault="007D7243" w:rsidP="00752CA0">
            <w:pPr>
              <w:tabs>
                <w:tab w:val="left" w:pos="1020"/>
              </w:tabs>
              <w:spacing w:after="0"/>
              <w:rPr>
                <w:i/>
                <w:iCs/>
                <w:sz w:val="20"/>
                <w:lang w:val="sr-Cyrl-RS"/>
              </w:rPr>
            </w:pPr>
            <w:r w:rsidRPr="00EF2F18">
              <w:rPr>
                <w:i/>
                <w:iCs/>
                <w:sz w:val="20"/>
                <w:lang w:val="sr-Cyrl-RS"/>
              </w:rPr>
              <w:t>GHG</w:t>
            </w:r>
          </w:p>
        </w:tc>
        <w:tc>
          <w:tcPr>
            <w:tcW w:w="6926" w:type="dxa"/>
          </w:tcPr>
          <w:p w14:paraId="7C384A24" w14:textId="77777777" w:rsidR="007D7243" w:rsidRPr="00EF2F18" w:rsidRDefault="007D7243" w:rsidP="00752CA0">
            <w:pPr>
              <w:spacing w:after="0"/>
              <w:rPr>
                <w:iCs/>
                <w:sz w:val="20"/>
                <w:lang w:val="sr-Cyrl-RS"/>
              </w:rPr>
            </w:pPr>
            <w:r w:rsidRPr="00EF2F18">
              <w:rPr>
                <w:iCs/>
                <w:sz w:val="20"/>
                <w:lang w:val="sr-Cyrl-RS"/>
              </w:rPr>
              <w:t>Гасови са ефектом стаклене баште</w:t>
            </w:r>
          </w:p>
        </w:tc>
      </w:tr>
      <w:tr w:rsidR="007D7243" w:rsidRPr="00EF2F18" w14:paraId="68F2F934" w14:textId="77777777" w:rsidTr="00752CA0">
        <w:trPr>
          <w:trHeight w:val="149"/>
        </w:trPr>
        <w:tc>
          <w:tcPr>
            <w:tcW w:w="1259" w:type="dxa"/>
          </w:tcPr>
          <w:p w14:paraId="758D69DF" w14:textId="77777777" w:rsidR="007D7243" w:rsidRPr="00EF2F18" w:rsidRDefault="007D7243" w:rsidP="00752CA0">
            <w:pPr>
              <w:tabs>
                <w:tab w:val="left" w:pos="1020"/>
              </w:tabs>
              <w:spacing w:after="0"/>
              <w:rPr>
                <w:sz w:val="20"/>
                <w:lang w:val="sr-Cyrl-RS"/>
              </w:rPr>
            </w:pPr>
            <w:r w:rsidRPr="00EF2F18">
              <w:rPr>
                <w:sz w:val="20"/>
                <w:lang w:val="sr-Cyrl-RS"/>
              </w:rPr>
              <w:t>ЕБ</w:t>
            </w:r>
          </w:p>
        </w:tc>
        <w:tc>
          <w:tcPr>
            <w:tcW w:w="6926" w:type="dxa"/>
          </w:tcPr>
          <w:p w14:paraId="4D239409" w14:textId="77777777" w:rsidR="007D7243" w:rsidRPr="00EF2F18" w:rsidRDefault="007D7243" w:rsidP="00752CA0">
            <w:pPr>
              <w:spacing w:after="0"/>
              <w:rPr>
                <w:iCs/>
                <w:sz w:val="20"/>
                <w:lang w:val="sr-Cyrl-RS"/>
              </w:rPr>
            </w:pPr>
            <w:r w:rsidRPr="00EF2F18">
              <w:rPr>
                <w:iCs/>
                <w:sz w:val="20"/>
                <w:lang w:val="sr-Cyrl-RS"/>
              </w:rPr>
              <w:t>Енергетски биланс</w:t>
            </w:r>
          </w:p>
        </w:tc>
      </w:tr>
      <w:tr w:rsidR="007D7243" w:rsidRPr="00EF2F18" w14:paraId="0C66B4D4" w14:textId="77777777" w:rsidTr="00752CA0">
        <w:trPr>
          <w:trHeight w:val="149"/>
        </w:trPr>
        <w:tc>
          <w:tcPr>
            <w:tcW w:w="1259" w:type="dxa"/>
          </w:tcPr>
          <w:p w14:paraId="4C4F3B39" w14:textId="77777777" w:rsidR="007D7243" w:rsidRPr="00EF2F18" w:rsidRDefault="007D7243" w:rsidP="00752CA0">
            <w:pPr>
              <w:tabs>
                <w:tab w:val="left" w:pos="1020"/>
              </w:tabs>
              <w:spacing w:after="0"/>
              <w:rPr>
                <w:sz w:val="20"/>
                <w:lang w:val="sr-Cyrl-RS"/>
              </w:rPr>
            </w:pPr>
            <w:r w:rsidRPr="00EF2F18">
              <w:rPr>
                <w:sz w:val="20"/>
                <w:lang w:val="sr-Cyrl-RS"/>
              </w:rPr>
              <w:t>ЕБРД</w:t>
            </w:r>
          </w:p>
        </w:tc>
        <w:tc>
          <w:tcPr>
            <w:tcW w:w="6926" w:type="dxa"/>
          </w:tcPr>
          <w:p w14:paraId="169FD2CD" w14:textId="77777777" w:rsidR="007D7243" w:rsidRPr="00EF2F18" w:rsidRDefault="007D7243" w:rsidP="00752CA0">
            <w:pPr>
              <w:spacing w:after="0"/>
              <w:rPr>
                <w:iCs/>
                <w:sz w:val="20"/>
                <w:lang w:val="sr-Cyrl-RS"/>
              </w:rPr>
            </w:pPr>
            <w:r w:rsidRPr="00EF2F18">
              <w:rPr>
                <w:iCs/>
                <w:sz w:val="20"/>
                <w:lang w:val="sr-Cyrl-RS"/>
              </w:rPr>
              <w:t>Европска банка за обнову и развој</w:t>
            </w:r>
          </w:p>
        </w:tc>
      </w:tr>
      <w:tr w:rsidR="007D7243" w:rsidRPr="00EF2F18" w14:paraId="7C24EE4D" w14:textId="77777777" w:rsidTr="00752CA0">
        <w:trPr>
          <w:trHeight w:val="149"/>
        </w:trPr>
        <w:tc>
          <w:tcPr>
            <w:tcW w:w="1259" w:type="dxa"/>
          </w:tcPr>
          <w:p w14:paraId="5B33DEE3" w14:textId="77777777" w:rsidR="007D7243" w:rsidRPr="00EF2F18" w:rsidRDefault="007D7243" w:rsidP="00752CA0">
            <w:pPr>
              <w:tabs>
                <w:tab w:val="left" w:pos="1020"/>
              </w:tabs>
              <w:spacing w:after="0"/>
              <w:rPr>
                <w:sz w:val="20"/>
                <w:lang w:val="sr-Cyrl-RS"/>
              </w:rPr>
            </w:pPr>
            <w:r w:rsidRPr="00EF2F18">
              <w:rPr>
                <w:sz w:val="20"/>
                <w:lang w:val="sr-Cyrl-RS"/>
              </w:rPr>
              <w:t>ЕУ</w:t>
            </w:r>
          </w:p>
        </w:tc>
        <w:tc>
          <w:tcPr>
            <w:tcW w:w="6926" w:type="dxa"/>
          </w:tcPr>
          <w:p w14:paraId="6FFA9B4E" w14:textId="77777777" w:rsidR="007D7243" w:rsidRPr="00EF2F18" w:rsidRDefault="007D7243" w:rsidP="00752CA0">
            <w:pPr>
              <w:spacing w:after="0"/>
              <w:rPr>
                <w:iCs/>
                <w:sz w:val="20"/>
                <w:lang w:val="sr-Cyrl-RS"/>
              </w:rPr>
            </w:pPr>
            <w:r w:rsidRPr="00EF2F18">
              <w:rPr>
                <w:iCs/>
                <w:sz w:val="20"/>
                <w:lang w:val="sr-Cyrl-RS"/>
              </w:rPr>
              <w:t>Европска унија</w:t>
            </w:r>
          </w:p>
        </w:tc>
      </w:tr>
      <w:tr w:rsidR="007D7243" w:rsidRPr="00EF2F18" w14:paraId="3901446C" w14:textId="77777777" w:rsidTr="00752CA0">
        <w:trPr>
          <w:trHeight w:val="149"/>
        </w:trPr>
        <w:tc>
          <w:tcPr>
            <w:tcW w:w="1259" w:type="dxa"/>
          </w:tcPr>
          <w:p w14:paraId="2FD700A0" w14:textId="77777777" w:rsidR="007D7243" w:rsidRPr="00EF2F18" w:rsidRDefault="007D7243" w:rsidP="00752CA0">
            <w:pPr>
              <w:tabs>
                <w:tab w:val="left" w:pos="1020"/>
              </w:tabs>
              <w:spacing w:after="0"/>
              <w:rPr>
                <w:sz w:val="20"/>
                <w:lang w:val="sr-Cyrl-RS"/>
              </w:rPr>
            </w:pPr>
            <w:r w:rsidRPr="00EF2F18">
              <w:rPr>
                <w:sz w:val="20"/>
                <w:lang w:val="sr-Cyrl-RS"/>
              </w:rPr>
              <w:t>ЗЗЈЗ</w:t>
            </w:r>
          </w:p>
        </w:tc>
        <w:tc>
          <w:tcPr>
            <w:tcW w:w="6926" w:type="dxa"/>
          </w:tcPr>
          <w:p w14:paraId="663FCF51" w14:textId="77777777" w:rsidR="007D7243" w:rsidRPr="00EF2F18" w:rsidRDefault="007D7243" w:rsidP="00752CA0">
            <w:pPr>
              <w:spacing w:after="0"/>
              <w:rPr>
                <w:iCs/>
                <w:sz w:val="20"/>
                <w:lang w:val="sr-Cyrl-RS"/>
              </w:rPr>
            </w:pPr>
            <w:r w:rsidRPr="00EF2F18">
              <w:rPr>
                <w:sz w:val="20"/>
                <w:lang w:val="sr-Cyrl-RS"/>
              </w:rPr>
              <w:t>Заводи за јавно здравље</w:t>
            </w:r>
          </w:p>
        </w:tc>
      </w:tr>
      <w:tr w:rsidR="007D7243" w:rsidRPr="00EF2F18" w14:paraId="50249379" w14:textId="77777777" w:rsidTr="00752CA0">
        <w:trPr>
          <w:trHeight w:val="149"/>
        </w:trPr>
        <w:tc>
          <w:tcPr>
            <w:tcW w:w="1259" w:type="dxa"/>
          </w:tcPr>
          <w:p w14:paraId="00AAAF97" w14:textId="77777777" w:rsidR="007D7243" w:rsidRPr="00EF2F18" w:rsidRDefault="007D7243" w:rsidP="00752CA0">
            <w:pPr>
              <w:tabs>
                <w:tab w:val="left" w:pos="1020"/>
              </w:tabs>
              <w:spacing w:after="0"/>
              <w:rPr>
                <w:sz w:val="20"/>
                <w:lang w:val="sr-Cyrl-RS"/>
              </w:rPr>
            </w:pPr>
            <w:r w:rsidRPr="00EF2F18">
              <w:rPr>
                <w:sz w:val="20"/>
                <w:lang w:val="sr-Cyrl-RS"/>
              </w:rPr>
              <w:t>ЗЗПС</w:t>
            </w:r>
          </w:p>
        </w:tc>
        <w:tc>
          <w:tcPr>
            <w:tcW w:w="6926" w:type="dxa"/>
          </w:tcPr>
          <w:p w14:paraId="2F1EEADB" w14:textId="77777777" w:rsidR="007D7243" w:rsidRPr="00EF2F18" w:rsidRDefault="007D7243" w:rsidP="00752CA0">
            <w:pPr>
              <w:spacing w:after="0"/>
              <w:rPr>
                <w:iCs/>
                <w:sz w:val="20"/>
                <w:lang w:val="sr-Cyrl-RS"/>
              </w:rPr>
            </w:pPr>
            <w:r w:rsidRPr="00EF2F18">
              <w:rPr>
                <w:iCs/>
                <w:sz w:val="20"/>
                <w:lang w:val="sr-Cyrl-RS"/>
              </w:rPr>
              <w:t>Завод за заштиту природе Србије</w:t>
            </w:r>
          </w:p>
        </w:tc>
      </w:tr>
      <w:tr w:rsidR="007D7243" w:rsidRPr="00EF2F18" w14:paraId="6B80F6B7"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263A6BFA" w14:textId="77777777" w:rsidR="007D7243" w:rsidRPr="00EF2F18" w:rsidRDefault="007D7243" w:rsidP="00752CA0">
            <w:pPr>
              <w:tabs>
                <w:tab w:val="left" w:pos="1020"/>
              </w:tabs>
              <w:spacing w:after="0"/>
              <w:rPr>
                <w:sz w:val="20"/>
                <w:lang w:val="sr-Cyrl-RS"/>
              </w:rPr>
            </w:pPr>
            <w:r w:rsidRPr="00EF2F18">
              <w:rPr>
                <w:sz w:val="20"/>
                <w:lang w:val="sr-Cyrl-RS"/>
              </w:rPr>
              <w:t>ИЗЈЗС</w:t>
            </w:r>
          </w:p>
        </w:tc>
        <w:tc>
          <w:tcPr>
            <w:tcW w:w="6926" w:type="dxa"/>
            <w:tcBorders>
              <w:top w:val="single" w:sz="4" w:space="0" w:color="auto"/>
              <w:left w:val="single" w:sz="4" w:space="0" w:color="auto"/>
              <w:bottom w:val="single" w:sz="4" w:space="0" w:color="auto"/>
              <w:right w:val="single" w:sz="4" w:space="0" w:color="auto"/>
            </w:tcBorders>
            <w:hideMark/>
          </w:tcPr>
          <w:p w14:paraId="2A4D1DE7" w14:textId="694ABFE3" w:rsidR="007D7243" w:rsidRPr="00EF2F18" w:rsidRDefault="007D7243" w:rsidP="00752CA0">
            <w:pPr>
              <w:spacing w:after="0"/>
              <w:rPr>
                <w:iCs/>
                <w:sz w:val="20"/>
                <w:lang w:val="sr-Cyrl-RS"/>
              </w:rPr>
            </w:pPr>
            <w:r w:rsidRPr="00EF2F18">
              <w:rPr>
                <w:iCs/>
                <w:sz w:val="20"/>
                <w:lang w:val="sr-Cyrl-RS"/>
              </w:rPr>
              <w:t>Институт за јавно здравље Србије „Др Милан Јовановић Батут</w:t>
            </w:r>
            <w:r w:rsidR="00A64280" w:rsidRPr="00EF2F18">
              <w:rPr>
                <w:iCs/>
                <w:sz w:val="20"/>
                <w:lang w:val="sr-Cyrl-RS"/>
              </w:rPr>
              <w:t>”</w:t>
            </w:r>
          </w:p>
        </w:tc>
      </w:tr>
      <w:tr w:rsidR="007D7243" w:rsidRPr="00EF2F18" w14:paraId="363DD438"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4D85B57A" w14:textId="77777777" w:rsidR="007D7243" w:rsidRPr="00EF2F18" w:rsidRDefault="007D7243" w:rsidP="00752CA0">
            <w:pPr>
              <w:tabs>
                <w:tab w:val="left" w:pos="1020"/>
              </w:tabs>
              <w:spacing w:after="0"/>
              <w:rPr>
                <w:sz w:val="20"/>
                <w:lang w:val="sr-Cyrl-RS"/>
              </w:rPr>
            </w:pPr>
            <w:r w:rsidRPr="00EF2F18">
              <w:rPr>
                <w:sz w:val="20"/>
                <w:lang w:val="sr-Cyrl-RS"/>
              </w:rPr>
              <w:t>ИОМ</w:t>
            </w:r>
          </w:p>
        </w:tc>
        <w:tc>
          <w:tcPr>
            <w:tcW w:w="6926" w:type="dxa"/>
            <w:tcBorders>
              <w:top w:val="single" w:sz="4" w:space="0" w:color="auto"/>
              <w:left w:val="single" w:sz="4" w:space="0" w:color="auto"/>
              <w:bottom w:val="single" w:sz="4" w:space="0" w:color="auto"/>
              <w:right w:val="single" w:sz="4" w:space="0" w:color="auto"/>
            </w:tcBorders>
          </w:tcPr>
          <w:p w14:paraId="1D8FF1D9" w14:textId="77777777" w:rsidR="007D7243" w:rsidRPr="00EF2F18" w:rsidRDefault="007D7243" w:rsidP="00752CA0">
            <w:pPr>
              <w:spacing w:after="0"/>
              <w:rPr>
                <w:iCs/>
                <w:sz w:val="20"/>
                <w:lang w:val="sr-Cyrl-RS"/>
              </w:rPr>
            </w:pPr>
            <w:r w:rsidRPr="00EF2F18">
              <w:rPr>
                <w:sz w:val="20"/>
                <w:lang w:val="sr-Cyrl-RS"/>
              </w:rPr>
              <w:t>Међународна организација за миграције у Србији – ИОМ</w:t>
            </w:r>
          </w:p>
        </w:tc>
      </w:tr>
      <w:tr w:rsidR="007D7243" w:rsidRPr="00EF2F18" w14:paraId="0BF7267F"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7D033FA2" w14:textId="77777777" w:rsidR="007D7243" w:rsidRPr="00EF2F18" w:rsidRDefault="007D7243" w:rsidP="00752CA0">
            <w:pPr>
              <w:tabs>
                <w:tab w:val="left" w:pos="1020"/>
              </w:tabs>
              <w:spacing w:after="0"/>
              <w:rPr>
                <w:sz w:val="20"/>
                <w:lang w:val="sr-Cyrl-RS"/>
              </w:rPr>
            </w:pPr>
            <w:r w:rsidRPr="00EF2F18">
              <w:rPr>
                <w:sz w:val="20"/>
                <w:lang w:val="sr-Cyrl-RS"/>
              </w:rPr>
              <w:t>ИПА</w:t>
            </w:r>
          </w:p>
        </w:tc>
        <w:tc>
          <w:tcPr>
            <w:tcW w:w="6926" w:type="dxa"/>
            <w:tcBorders>
              <w:top w:val="single" w:sz="4" w:space="0" w:color="auto"/>
              <w:left w:val="single" w:sz="4" w:space="0" w:color="auto"/>
              <w:bottom w:val="single" w:sz="4" w:space="0" w:color="auto"/>
              <w:right w:val="single" w:sz="4" w:space="0" w:color="auto"/>
            </w:tcBorders>
          </w:tcPr>
          <w:p w14:paraId="00AD1B26" w14:textId="77777777" w:rsidR="007D7243" w:rsidRPr="00EF2F18" w:rsidRDefault="007D7243" w:rsidP="00752CA0">
            <w:pPr>
              <w:spacing w:after="0"/>
              <w:rPr>
                <w:iCs/>
                <w:sz w:val="20"/>
                <w:lang w:val="sr-Cyrl-RS"/>
              </w:rPr>
            </w:pPr>
            <w:r w:rsidRPr="00EF2F18">
              <w:rPr>
                <w:iCs/>
                <w:sz w:val="20"/>
                <w:lang w:val="sr-Cyrl-RS"/>
              </w:rPr>
              <w:t>Инструмент за претприступну помоћ Европске уније</w:t>
            </w:r>
          </w:p>
        </w:tc>
      </w:tr>
      <w:tr w:rsidR="00A844AE" w:rsidRPr="00EF2F18" w14:paraId="08FA4BF2"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0B6DE6F5" w14:textId="51DACE75" w:rsidR="00A844AE" w:rsidRPr="00EF2F18" w:rsidRDefault="00A844AE" w:rsidP="00752CA0">
            <w:pPr>
              <w:tabs>
                <w:tab w:val="left" w:pos="1020"/>
              </w:tabs>
              <w:spacing w:after="0"/>
              <w:rPr>
                <w:sz w:val="20"/>
                <w:lang w:val="sr-Cyrl-RS"/>
              </w:rPr>
            </w:pPr>
            <w:r w:rsidRPr="00EF2F18">
              <w:rPr>
                <w:sz w:val="20"/>
                <w:lang w:val="sr-Cyrl-RS"/>
              </w:rPr>
              <w:t>ИПАРД</w:t>
            </w:r>
          </w:p>
        </w:tc>
        <w:tc>
          <w:tcPr>
            <w:tcW w:w="6926" w:type="dxa"/>
            <w:tcBorders>
              <w:top w:val="single" w:sz="4" w:space="0" w:color="auto"/>
              <w:left w:val="single" w:sz="4" w:space="0" w:color="auto"/>
              <w:bottom w:val="single" w:sz="4" w:space="0" w:color="auto"/>
              <w:right w:val="single" w:sz="4" w:space="0" w:color="auto"/>
            </w:tcBorders>
          </w:tcPr>
          <w:p w14:paraId="1241FFAD" w14:textId="3F080903" w:rsidR="00A844AE" w:rsidRPr="00EF2F18" w:rsidRDefault="00A844AE" w:rsidP="00752CA0">
            <w:pPr>
              <w:spacing w:after="0"/>
              <w:rPr>
                <w:iCs/>
                <w:sz w:val="20"/>
                <w:lang w:val="sr-Cyrl-RS"/>
              </w:rPr>
            </w:pPr>
            <w:r w:rsidRPr="00EF2F18">
              <w:rPr>
                <w:iCs/>
                <w:sz w:val="20"/>
                <w:lang w:val="sr-Cyrl-RS"/>
              </w:rPr>
              <w:t>Инструмент претприступне помоћи за рурални развој</w:t>
            </w:r>
          </w:p>
        </w:tc>
      </w:tr>
      <w:tr w:rsidR="007D7243" w:rsidRPr="00EF2F18" w14:paraId="4D1117D8"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238C97A1" w14:textId="77777777" w:rsidR="007D7243" w:rsidRPr="00EF2F18" w:rsidRDefault="007D7243" w:rsidP="00752CA0">
            <w:pPr>
              <w:tabs>
                <w:tab w:val="left" w:pos="1020"/>
              </w:tabs>
              <w:spacing w:after="0"/>
              <w:rPr>
                <w:sz w:val="20"/>
                <w:lang w:val="sr-Cyrl-RS"/>
              </w:rPr>
            </w:pPr>
            <w:r w:rsidRPr="00EF2F18">
              <w:rPr>
                <w:sz w:val="20"/>
                <w:lang w:val="sr-Cyrl-RS"/>
              </w:rPr>
              <w:t>ЈЛС</w:t>
            </w:r>
          </w:p>
        </w:tc>
        <w:tc>
          <w:tcPr>
            <w:tcW w:w="6926" w:type="dxa"/>
            <w:tcBorders>
              <w:top w:val="single" w:sz="4" w:space="0" w:color="auto"/>
              <w:left w:val="single" w:sz="4" w:space="0" w:color="auto"/>
              <w:bottom w:val="single" w:sz="4" w:space="0" w:color="auto"/>
              <w:right w:val="single" w:sz="4" w:space="0" w:color="auto"/>
            </w:tcBorders>
            <w:hideMark/>
          </w:tcPr>
          <w:p w14:paraId="63A1B106" w14:textId="10C2A16D" w:rsidR="007D7243" w:rsidRPr="00EF2F18" w:rsidRDefault="007D7243" w:rsidP="00752CA0">
            <w:pPr>
              <w:spacing w:after="0"/>
              <w:rPr>
                <w:iCs/>
                <w:sz w:val="20"/>
                <w:lang w:val="sr-Cyrl-RS"/>
              </w:rPr>
            </w:pPr>
            <w:r w:rsidRPr="00EF2F18">
              <w:rPr>
                <w:iCs/>
                <w:sz w:val="20"/>
                <w:lang w:val="sr-Cyrl-RS"/>
              </w:rPr>
              <w:t>Јединице локалне сам</w:t>
            </w:r>
            <w:r w:rsidR="00321713">
              <w:rPr>
                <w:iCs/>
                <w:sz w:val="20"/>
                <w:lang w:val="sr-Cyrl-RS"/>
              </w:rPr>
              <w:t>о</w:t>
            </w:r>
            <w:r w:rsidRPr="00EF2F18">
              <w:rPr>
                <w:iCs/>
                <w:sz w:val="20"/>
                <w:lang w:val="sr-Cyrl-RS"/>
              </w:rPr>
              <w:t>управе</w:t>
            </w:r>
          </w:p>
        </w:tc>
      </w:tr>
      <w:tr w:rsidR="007D7243" w:rsidRPr="00EF2F18" w14:paraId="063D750E"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23CCA7C4" w14:textId="77777777" w:rsidR="007D7243" w:rsidRPr="00EF2F18" w:rsidRDefault="007D7243" w:rsidP="00752CA0">
            <w:pPr>
              <w:tabs>
                <w:tab w:val="left" w:pos="1020"/>
              </w:tabs>
              <w:spacing w:after="0"/>
              <w:rPr>
                <w:sz w:val="20"/>
                <w:lang w:val="sr-Cyrl-RS"/>
              </w:rPr>
            </w:pPr>
            <w:r w:rsidRPr="00EF2F18">
              <w:rPr>
                <w:sz w:val="20"/>
                <w:lang w:val="sr-Cyrl-RS"/>
              </w:rPr>
              <w:t>ЈКП</w:t>
            </w:r>
          </w:p>
        </w:tc>
        <w:tc>
          <w:tcPr>
            <w:tcW w:w="6926" w:type="dxa"/>
            <w:tcBorders>
              <w:top w:val="single" w:sz="4" w:space="0" w:color="auto"/>
              <w:left w:val="single" w:sz="4" w:space="0" w:color="auto"/>
              <w:bottom w:val="single" w:sz="4" w:space="0" w:color="auto"/>
              <w:right w:val="single" w:sz="4" w:space="0" w:color="auto"/>
            </w:tcBorders>
            <w:hideMark/>
          </w:tcPr>
          <w:p w14:paraId="7D4CCC10" w14:textId="77777777" w:rsidR="007D7243" w:rsidRPr="00EF2F18" w:rsidRDefault="007D7243" w:rsidP="00752CA0">
            <w:pPr>
              <w:spacing w:after="0"/>
              <w:rPr>
                <w:iCs/>
                <w:sz w:val="20"/>
                <w:lang w:val="sr-Cyrl-RS"/>
              </w:rPr>
            </w:pPr>
            <w:r w:rsidRPr="00EF2F18">
              <w:rPr>
                <w:iCs/>
                <w:sz w:val="20"/>
                <w:lang w:val="sr-Cyrl-RS"/>
              </w:rPr>
              <w:t>Јавна комунална предузећа</w:t>
            </w:r>
          </w:p>
        </w:tc>
      </w:tr>
      <w:tr w:rsidR="007D7243" w:rsidRPr="00EF2F18" w14:paraId="7E3A8687"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7EC05BA5" w14:textId="77777777" w:rsidR="007D7243" w:rsidRPr="00EF2F18" w:rsidRDefault="007D7243" w:rsidP="00752CA0">
            <w:pPr>
              <w:tabs>
                <w:tab w:val="left" w:pos="1020"/>
              </w:tabs>
              <w:spacing w:after="0"/>
              <w:rPr>
                <w:sz w:val="20"/>
                <w:lang w:val="sr-Cyrl-RS"/>
              </w:rPr>
            </w:pPr>
            <w:r w:rsidRPr="00EF2F18">
              <w:rPr>
                <w:sz w:val="20"/>
                <w:lang w:val="sr-Cyrl-RS"/>
              </w:rPr>
              <w:t>ЈП</w:t>
            </w:r>
          </w:p>
        </w:tc>
        <w:tc>
          <w:tcPr>
            <w:tcW w:w="6926" w:type="dxa"/>
            <w:tcBorders>
              <w:top w:val="single" w:sz="4" w:space="0" w:color="auto"/>
              <w:left w:val="single" w:sz="4" w:space="0" w:color="auto"/>
              <w:bottom w:val="single" w:sz="4" w:space="0" w:color="auto"/>
              <w:right w:val="single" w:sz="4" w:space="0" w:color="auto"/>
            </w:tcBorders>
          </w:tcPr>
          <w:p w14:paraId="3488C6AC" w14:textId="77777777" w:rsidR="007D7243" w:rsidRPr="00EF2F18" w:rsidRDefault="007D7243" w:rsidP="00752CA0">
            <w:pPr>
              <w:spacing w:after="0"/>
              <w:rPr>
                <w:iCs/>
                <w:sz w:val="20"/>
                <w:lang w:val="sr-Cyrl-RS"/>
              </w:rPr>
            </w:pPr>
            <w:r w:rsidRPr="00EF2F18">
              <w:rPr>
                <w:iCs/>
                <w:sz w:val="20"/>
                <w:lang w:val="sr-Cyrl-RS"/>
              </w:rPr>
              <w:t>Јавна предузећа</w:t>
            </w:r>
          </w:p>
        </w:tc>
      </w:tr>
      <w:tr w:rsidR="00F8668F" w:rsidRPr="00EF2F18" w14:paraId="31674BFD"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277DA742" w14:textId="73A2E6D2" w:rsidR="00F8668F" w:rsidRPr="00EF2F18" w:rsidRDefault="00F8668F" w:rsidP="00752CA0">
            <w:pPr>
              <w:tabs>
                <w:tab w:val="left" w:pos="1020"/>
              </w:tabs>
              <w:spacing w:after="0"/>
              <w:rPr>
                <w:sz w:val="20"/>
                <w:lang w:val="sr-Cyrl-RS"/>
              </w:rPr>
            </w:pPr>
            <w:r w:rsidRPr="00EF2F18">
              <w:rPr>
                <w:sz w:val="20"/>
                <w:lang w:val="sr-Cyrl-RS" w:eastAsia="sr-Cyrl-RS"/>
              </w:rPr>
              <w:t>KfW</w:t>
            </w:r>
          </w:p>
        </w:tc>
        <w:tc>
          <w:tcPr>
            <w:tcW w:w="6926" w:type="dxa"/>
            <w:tcBorders>
              <w:top w:val="single" w:sz="4" w:space="0" w:color="auto"/>
              <w:left w:val="single" w:sz="4" w:space="0" w:color="auto"/>
              <w:bottom w:val="single" w:sz="4" w:space="0" w:color="auto"/>
              <w:right w:val="single" w:sz="4" w:space="0" w:color="auto"/>
            </w:tcBorders>
          </w:tcPr>
          <w:p w14:paraId="1A866898" w14:textId="1B8EE1EA" w:rsidR="00F8668F" w:rsidRPr="00EF2F18" w:rsidRDefault="00F8668F" w:rsidP="00752CA0">
            <w:pPr>
              <w:spacing w:after="0"/>
              <w:rPr>
                <w:iCs/>
                <w:sz w:val="20"/>
                <w:lang w:val="sr-Cyrl-RS"/>
              </w:rPr>
            </w:pPr>
            <w:r w:rsidRPr="00EF2F18">
              <w:rPr>
                <w:iCs/>
                <w:sz w:val="20"/>
                <w:lang w:val="sr-Cyrl-RS"/>
              </w:rPr>
              <w:t>Немачка развојна банка</w:t>
            </w:r>
          </w:p>
        </w:tc>
      </w:tr>
      <w:tr w:rsidR="007D7243" w:rsidRPr="00EF2F18" w14:paraId="67F105DF" w14:textId="77777777" w:rsidTr="00752CA0">
        <w:trPr>
          <w:trHeight w:val="149"/>
        </w:trPr>
        <w:tc>
          <w:tcPr>
            <w:tcW w:w="1259" w:type="dxa"/>
          </w:tcPr>
          <w:p w14:paraId="2647E547" w14:textId="77777777" w:rsidR="007D7243" w:rsidRPr="00EF2F18" w:rsidRDefault="007D7243" w:rsidP="00752CA0">
            <w:pPr>
              <w:tabs>
                <w:tab w:val="left" w:pos="1020"/>
              </w:tabs>
              <w:spacing w:after="0"/>
              <w:rPr>
                <w:sz w:val="20"/>
                <w:lang w:val="sr-Cyrl-RS"/>
              </w:rPr>
            </w:pPr>
            <w:r w:rsidRPr="00EF2F18">
              <w:rPr>
                <w:rFonts w:eastAsia="Arial"/>
                <w:sz w:val="20"/>
                <w:lang w:val="sr-Cyrl-RS"/>
              </w:rPr>
              <w:t>МБПД</w:t>
            </w:r>
          </w:p>
        </w:tc>
        <w:tc>
          <w:tcPr>
            <w:tcW w:w="6926" w:type="dxa"/>
          </w:tcPr>
          <w:p w14:paraId="2F338E90" w14:textId="77777777" w:rsidR="007D7243" w:rsidRPr="00EF2F18" w:rsidRDefault="007D7243" w:rsidP="00752CA0">
            <w:pPr>
              <w:spacing w:after="0"/>
              <w:rPr>
                <w:sz w:val="20"/>
                <w:lang w:val="sr-Cyrl-RS"/>
              </w:rPr>
            </w:pPr>
            <w:r w:rsidRPr="00EF2F18">
              <w:rPr>
                <w:sz w:val="20"/>
                <w:lang w:val="sr-Cyrl-RS"/>
              </w:rPr>
              <w:t>Министарство за бригу о породици и демографију</w:t>
            </w:r>
          </w:p>
        </w:tc>
      </w:tr>
      <w:tr w:rsidR="007D7243" w:rsidRPr="00EF2F18" w14:paraId="3520FD07" w14:textId="77777777" w:rsidTr="00752CA0">
        <w:trPr>
          <w:trHeight w:val="149"/>
        </w:trPr>
        <w:tc>
          <w:tcPr>
            <w:tcW w:w="1259" w:type="dxa"/>
          </w:tcPr>
          <w:p w14:paraId="247B3ADE" w14:textId="77777777" w:rsidR="007D7243" w:rsidRPr="00EF2F18" w:rsidRDefault="007D7243" w:rsidP="00752CA0">
            <w:pPr>
              <w:tabs>
                <w:tab w:val="left" w:pos="1020"/>
              </w:tabs>
              <w:spacing w:after="0"/>
              <w:rPr>
                <w:iCs/>
                <w:sz w:val="20"/>
                <w:lang w:val="sr-Cyrl-RS"/>
              </w:rPr>
            </w:pPr>
            <w:r w:rsidRPr="00EF2F18">
              <w:rPr>
                <w:sz w:val="20"/>
                <w:lang w:val="sr-Cyrl-RS"/>
              </w:rPr>
              <w:t xml:space="preserve">МГСИ </w:t>
            </w:r>
          </w:p>
        </w:tc>
        <w:tc>
          <w:tcPr>
            <w:tcW w:w="6926" w:type="dxa"/>
          </w:tcPr>
          <w:p w14:paraId="268E1DFB" w14:textId="77777777" w:rsidR="007D7243" w:rsidRPr="00EF2F18" w:rsidRDefault="007D7243" w:rsidP="00752CA0">
            <w:pPr>
              <w:spacing w:after="0"/>
              <w:rPr>
                <w:iCs/>
                <w:sz w:val="20"/>
                <w:lang w:val="sr-Cyrl-RS"/>
              </w:rPr>
            </w:pPr>
            <w:r w:rsidRPr="00EF2F18">
              <w:rPr>
                <w:iCs/>
                <w:sz w:val="20"/>
                <w:lang w:val="sr-Cyrl-RS"/>
              </w:rPr>
              <w:t>Министарство грађевинарства, саобраћаја и инфраструктуре</w:t>
            </w:r>
          </w:p>
        </w:tc>
      </w:tr>
      <w:tr w:rsidR="007D7243" w:rsidRPr="00EF2F18" w14:paraId="70DC639B" w14:textId="77777777" w:rsidTr="00752CA0">
        <w:trPr>
          <w:trHeight w:val="149"/>
        </w:trPr>
        <w:tc>
          <w:tcPr>
            <w:tcW w:w="1259" w:type="dxa"/>
          </w:tcPr>
          <w:p w14:paraId="4D97BD06" w14:textId="77777777" w:rsidR="007D7243" w:rsidRPr="00EF2F18" w:rsidRDefault="007D7243" w:rsidP="00752CA0">
            <w:pPr>
              <w:tabs>
                <w:tab w:val="left" w:pos="1020"/>
              </w:tabs>
              <w:spacing w:after="0"/>
              <w:rPr>
                <w:sz w:val="20"/>
                <w:lang w:val="sr-Cyrl-RS"/>
              </w:rPr>
            </w:pPr>
            <w:r w:rsidRPr="00EF2F18">
              <w:rPr>
                <w:sz w:val="20"/>
                <w:lang w:val="sr-Cyrl-RS"/>
              </w:rPr>
              <w:t>МЕИ</w:t>
            </w:r>
          </w:p>
        </w:tc>
        <w:tc>
          <w:tcPr>
            <w:tcW w:w="6926" w:type="dxa"/>
          </w:tcPr>
          <w:p w14:paraId="513B73F5" w14:textId="77777777" w:rsidR="007D7243" w:rsidRPr="00EF2F18" w:rsidRDefault="007D7243" w:rsidP="00752CA0">
            <w:pPr>
              <w:spacing w:after="0"/>
              <w:rPr>
                <w:iCs/>
                <w:sz w:val="20"/>
                <w:lang w:val="sr-Cyrl-RS"/>
              </w:rPr>
            </w:pPr>
            <w:r w:rsidRPr="00EF2F18">
              <w:rPr>
                <w:iCs/>
                <w:sz w:val="20"/>
                <w:lang w:val="sr-Cyrl-RS"/>
              </w:rPr>
              <w:t>Министарство за европске интеграције</w:t>
            </w:r>
          </w:p>
        </w:tc>
      </w:tr>
      <w:tr w:rsidR="007D7243" w:rsidRPr="00EF2F18" w14:paraId="3BF3C286" w14:textId="77777777" w:rsidTr="00752CA0">
        <w:trPr>
          <w:trHeight w:val="149"/>
        </w:trPr>
        <w:tc>
          <w:tcPr>
            <w:tcW w:w="1259" w:type="dxa"/>
          </w:tcPr>
          <w:p w14:paraId="51E616D6" w14:textId="77777777" w:rsidR="007D7243" w:rsidRPr="00EF2F18" w:rsidRDefault="007D7243" w:rsidP="00752CA0">
            <w:pPr>
              <w:tabs>
                <w:tab w:val="left" w:pos="1020"/>
              </w:tabs>
              <w:spacing w:after="0"/>
              <w:rPr>
                <w:sz w:val="20"/>
                <w:lang w:val="sr-Cyrl-RS"/>
              </w:rPr>
            </w:pPr>
            <w:r w:rsidRPr="00EF2F18">
              <w:rPr>
                <w:sz w:val="20"/>
                <w:lang w:val="sr-Cyrl-RS"/>
              </w:rPr>
              <w:t>МО</w:t>
            </w:r>
          </w:p>
        </w:tc>
        <w:tc>
          <w:tcPr>
            <w:tcW w:w="6926" w:type="dxa"/>
          </w:tcPr>
          <w:p w14:paraId="0306EE61" w14:textId="77777777" w:rsidR="007D7243" w:rsidRPr="00EF2F18" w:rsidRDefault="007D7243" w:rsidP="00752CA0">
            <w:pPr>
              <w:spacing w:after="0"/>
              <w:rPr>
                <w:iCs/>
                <w:sz w:val="20"/>
                <w:lang w:val="sr-Cyrl-RS"/>
              </w:rPr>
            </w:pPr>
            <w:r w:rsidRPr="00EF2F18">
              <w:rPr>
                <w:iCs/>
                <w:sz w:val="20"/>
                <w:lang w:val="sr-Cyrl-RS"/>
              </w:rPr>
              <w:t>Међународне организације</w:t>
            </w:r>
          </w:p>
        </w:tc>
      </w:tr>
      <w:tr w:rsidR="007D7243" w:rsidRPr="00EF2F18" w14:paraId="01BC4442" w14:textId="77777777" w:rsidTr="00752CA0">
        <w:trPr>
          <w:trHeight w:val="149"/>
        </w:trPr>
        <w:tc>
          <w:tcPr>
            <w:tcW w:w="1259" w:type="dxa"/>
          </w:tcPr>
          <w:p w14:paraId="117A6CDF" w14:textId="77777777" w:rsidR="007D7243" w:rsidRPr="00EF2F18" w:rsidRDefault="007D7243" w:rsidP="00752CA0">
            <w:pPr>
              <w:tabs>
                <w:tab w:val="left" w:pos="1020"/>
              </w:tabs>
              <w:spacing w:after="0"/>
              <w:rPr>
                <w:sz w:val="20"/>
                <w:lang w:val="sr-Cyrl-RS"/>
              </w:rPr>
            </w:pPr>
            <w:r w:rsidRPr="00EF2F18">
              <w:rPr>
                <w:sz w:val="20"/>
                <w:lang w:val="sr-Cyrl-RS"/>
              </w:rPr>
              <w:t>МЗ</w:t>
            </w:r>
          </w:p>
        </w:tc>
        <w:tc>
          <w:tcPr>
            <w:tcW w:w="6926" w:type="dxa"/>
          </w:tcPr>
          <w:p w14:paraId="20AF577E" w14:textId="77777777" w:rsidR="007D7243" w:rsidRPr="00EF2F18" w:rsidRDefault="007D7243" w:rsidP="00752CA0">
            <w:pPr>
              <w:spacing w:after="0"/>
              <w:rPr>
                <w:iCs/>
                <w:sz w:val="20"/>
                <w:lang w:val="sr-Cyrl-RS"/>
              </w:rPr>
            </w:pPr>
            <w:r w:rsidRPr="00EF2F18">
              <w:rPr>
                <w:iCs/>
                <w:sz w:val="20"/>
                <w:lang w:val="sr-Cyrl-RS"/>
              </w:rPr>
              <w:t>Министарство здравља</w:t>
            </w:r>
          </w:p>
        </w:tc>
      </w:tr>
      <w:tr w:rsidR="007D7243" w:rsidRPr="00EF2F18" w14:paraId="19E3E9FF" w14:textId="77777777" w:rsidTr="00752CA0">
        <w:trPr>
          <w:trHeight w:val="149"/>
        </w:trPr>
        <w:tc>
          <w:tcPr>
            <w:tcW w:w="1259" w:type="dxa"/>
          </w:tcPr>
          <w:p w14:paraId="2E935665" w14:textId="77777777" w:rsidR="007D7243" w:rsidRPr="00EF2F18" w:rsidRDefault="007D7243" w:rsidP="00752CA0">
            <w:pPr>
              <w:tabs>
                <w:tab w:val="left" w:pos="1020"/>
              </w:tabs>
              <w:spacing w:after="0"/>
              <w:rPr>
                <w:iCs/>
                <w:sz w:val="20"/>
                <w:lang w:val="sr-Cyrl-RS"/>
              </w:rPr>
            </w:pPr>
            <w:r w:rsidRPr="00EF2F18">
              <w:rPr>
                <w:sz w:val="20"/>
                <w:lang w:val="sr-Cyrl-RS"/>
              </w:rPr>
              <w:t>МЗЖС</w:t>
            </w:r>
          </w:p>
        </w:tc>
        <w:tc>
          <w:tcPr>
            <w:tcW w:w="6926" w:type="dxa"/>
          </w:tcPr>
          <w:p w14:paraId="65661FEE" w14:textId="77777777" w:rsidR="007D7243" w:rsidRPr="00EF2F18" w:rsidRDefault="007D7243" w:rsidP="00752CA0">
            <w:pPr>
              <w:spacing w:after="0"/>
              <w:rPr>
                <w:iCs/>
                <w:sz w:val="20"/>
                <w:lang w:val="sr-Cyrl-RS"/>
              </w:rPr>
            </w:pPr>
            <w:r w:rsidRPr="00EF2F18">
              <w:rPr>
                <w:sz w:val="20"/>
                <w:lang w:val="sr-Cyrl-RS"/>
              </w:rPr>
              <w:t>Министарство заштите животне средине</w:t>
            </w:r>
          </w:p>
        </w:tc>
      </w:tr>
      <w:tr w:rsidR="007D7243" w:rsidRPr="00EF2F18" w14:paraId="22D055FD" w14:textId="77777777" w:rsidTr="00752CA0">
        <w:trPr>
          <w:trHeight w:val="149"/>
        </w:trPr>
        <w:tc>
          <w:tcPr>
            <w:tcW w:w="1259" w:type="dxa"/>
          </w:tcPr>
          <w:p w14:paraId="57948AC4" w14:textId="77777777" w:rsidR="007D7243" w:rsidRPr="00EF2F18" w:rsidRDefault="007D7243" w:rsidP="00752CA0">
            <w:pPr>
              <w:tabs>
                <w:tab w:val="left" w:pos="1020"/>
              </w:tabs>
              <w:spacing w:after="0"/>
              <w:rPr>
                <w:iCs/>
                <w:sz w:val="20"/>
                <w:lang w:val="sr-Cyrl-RS"/>
              </w:rPr>
            </w:pPr>
            <w:r w:rsidRPr="00EF2F18">
              <w:rPr>
                <w:sz w:val="20"/>
                <w:lang w:val="sr-Cyrl-RS"/>
              </w:rPr>
              <w:t xml:space="preserve">МЈУ </w:t>
            </w:r>
          </w:p>
        </w:tc>
        <w:tc>
          <w:tcPr>
            <w:tcW w:w="6926" w:type="dxa"/>
          </w:tcPr>
          <w:p w14:paraId="789C64B4" w14:textId="77777777" w:rsidR="007D7243" w:rsidRPr="00EF2F18" w:rsidRDefault="007D7243" w:rsidP="00752CA0">
            <w:pPr>
              <w:spacing w:after="0"/>
              <w:rPr>
                <w:iCs/>
                <w:sz w:val="20"/>
                <w:lang w:val="sr-Cyrl-RS"/>
              </w:rPr>
            </w:pPr>
            <w:r w:rsidRPr="00EF2F18">
              <w:rPr>
                <w:iCs/>
                <w:sz w:val="20"/>
                <w:lang w:val="sr-Cyrl-RS"/>
              </w:rPr>
              <w:t>Министарство за јавна улагања</w:t>
            </w:r>
          </w:p>
        </w:tc>
      </w:tr>
      <w:tr w:rsidR="007D7243" w:rsidRPr="00EF2F18" w14:paraId="34CF002C" w14:textId="77777777" w:rsidTr="00752CA0">
        <w:trPr>
          <w:trHeight w:val="149"/>
        </w:trPr>
        <w:tc>
          <w:tcPr>
            <w:tcW w:w="1259" w:type="dxa"/>
          </w:tcPr>
          <w:p w14:paraId="2D7F837C" w14:textId="77777777" w:rsidR="007D7243" w:rsidRPr="00EF2F18" w:rsidRDefault="007D7243" w:rsidP="00752CA0">
            <w:pPr>
              <w:tabs>
                <w:tab w:val="left" w:pos="1020"/>
              </w:tabs>
              <w:spacing w:after="0"/>
              <w:rPr>
                <w:sz w:val="20"/>
                <w:lang w:val="sr-Cyrl-RS"/>
              </w:rPr>
            </w:pPr>
            <w:r w:rsidRPr="00EF2F18">
              <w:rPr>
                <w:rFonts w:eastAsia="Arial"/>
                <w:sz w:val="20"/>
                <w:lang w:val="sr-Cyrl-RS"/>
              </w:rPr>
              <w:t>МЉМПДД</w:t>
            </w:r>
          </w:p>
        </w:tc>
        <w:tc>
          <w:tcPr>
            <w:tcW w:w="6926" w:type="dxa"/>
          </w:tcPr>
          <w:p w14:paraId="0FE3E4D9" w14:textId="77777777" w:rsidR="007D7243" w:rsidRPr="00EF2F18" w:rsidRDefault="007D7243" w:rsidP="00752CA0">
            <w:pPr>
              <w:spacing w:after="0"/>
              <w:rPr>
                <w:iCs/>
                <w:sz w:val="20"/>
                <w:lang w:val="sr-Cyrl-RS"/>
              </w:rPr>
            </w:pPr>
            <w:r w:rsidRPr="00EF2F18">
              <w:rPr>
                <w:rFonts w:eastAsia="Arial"/>
                <w:sz w:val="20"/>
                <w:lang w:val="sr-Cyrl-RS"/>
              </w:rPr>
              <w:t>Министарство за људска и мањинска права и друштвени дијалог</w:t>
            </w:r>
          </w:p>
        </w:tc>
      </w:tr>
      <w:tr w:rsidR="007D7243" w:rsidRPr="00EF2F18" w14:paraId="62A8704B" w14:textId="77777777" w:rsidTr="00752CA0">
        <w:trPr>
          <w:trHeight w:val="149"/>
        </w:trPr>
        <w:tc>
          <w:tcPr>
            <w:tcW w:w="1259" w:type="dxa"/>
          </w:tcPr>
          <w:p w14:paraId="04465953" w14:textId="77777777" w:rsidR="007D7243" w:rsidRPr="00EF2F18" w:rsidRDefault="007D7243" w:rsidP="00752CA0">
            <w:pPr>
              <w:tabs>
                <w:tab w:val="left" w:pos="1020"/>
              </w:tabs>
              <w:spacing w:after="0"/>
              <w:rPr>
                <w:sz w:val="20"/>
                <w:lang w:val="sr-Cyrl-RS"/>
              </w:rPr>
            </w:pPr>
            <w:r w:rsidRPr="00EF2F18">
              <w:rPr>
                <w:sz w:val="20"/>
                <w:lang w:val="sr-Cyrl-RS"/>
              </w:rPr>
              <w:t>МНТРИ</w:t>
            </w:r>
          </w:p>
        </w:tc>
        <w:tc>
          <w:tcPr>
            <w:tcW w:w="6926" w:type="dxa"/>
          </w:tcPr>
          <w:p w14:paraId="19DD879E" w14:textId="77777777" w:rsidR="007D7243" w:rsidRPr="00EF2F18" w:rsidRDefault="007D7243" w:rsidP="00752CA0">
            <w:pPr>
              <w:spacing w:after="0"/>
              <w:rPr>
                <w:iCs/>
                <w:sz w:val="20"/>
                <w:lang w:val="sr-Cyrl-RS"/>
              </w:rPr>
            </w:pPr>
            <w:r w:rsidRPr="00EF2F18">
              <w:rPr>
                <w:iCs/>
                <w:sz w:val="20"/>
                <w:lang w:val="sr-Cyrl-RS"/>
              </w:rPr>
              <w:t>Министарство науке, технолошког развоја и иновација</w:t>
            </w:r>
          </w:p>
        </w:tc>
      </w:tr>
      <w:tr w:rsidR="007D7243" w:rsidRPr="00EF2F18" w14:paraId="03F4D2F1" w14:textId="77777777" w:rsidTr="00752CA0">
        <w:trPr>
          <w:trHeight w:val="149"/>
        </w:trPr>
        <w:tc>
          <w:tcPr>
            <w:tcW w:w="1259" w:type="dxa"/>
          </w:tcPr>
          <w:p w14:paraId="72E8DA6A" w14:textId="77777777" w:rsidR="007D7243" w:rsidRPr="00EF2F18" w:rsidRDefault="007D7243" w:rsidP="00752CA0">
            <w:pPr>
              <w:tabs>
                <w:tab w:val="left" w:pos="1020"/>
              </w:tabs>
              <w:spacing w:after="0"/>
              <w:rPr>
                <w:sz w:val="20"/>
                <w:lang w:val="sr-Cyrl-RS"/>
              </w:rPr>
            </w:pPr>
            <w:r w:rsidRPr="00EF2F18">
              <w:rPr>
                <w:sz w:val="20"/>
                <w:lang w:val="sr-Cyrl-RS"/>
              </w:rPr>
              <w:t>МПравде</w:t>
            </w:r>
          </w:p>
        </w:tc>
        <w:tc>
          <w:tcPr>
            <w:tcW w:w="6926" w:type="dxa"/>
          </w:tcPr>
          <w:p w14:paraId="6A10074C" w14:textId="77777777" w:rsidR="007D7243" w:rsidRPr="00EF2F18" w:rsidRDefault="007D7243" w:rsidP="00752CA0">
            <w:pPr>
              <w:spacing w:after="0"/>
              <w:rPr>
                <w:sz w:val="20"/>
                <w:lang w:val="sr-Cyrl-RS"/>
              </w:rPr>
            </w:pPr>
            <w:r w:rsidRPr="00EF2F18">
              <w:rPr>
                <w:sz w:val="20"/>
                <w:lang w:val="sr-Cyrl-RS"/>
              </w:rPr>
              <w:t>Министарство правде</w:t>
            </w:r>
          </w:p>
        </w:tc>
      </w:tr>
      <w:tr w:rsidR="007D7243" w:rsidRPr="00EF2F18" w14:paraId="0F13DA3D" w14:textId="77777777" w:rsidTr="00752CA0">
        <w:trPr>
          <w:trHeight w:val="149"/>
        </w:trPr>
        <w:tc>
          <w:tcPr>
            <w:tcW w:w="1259" w:type="dxa"/>
          </w:tcPr>
          <w:p w14:paraId="624D2357" w14:textId="77777777" w:rsidR="007D7243" w:rsidRPr="00EF2F18" w:rsidRDefault="007D7243" w:rsidP="00752CA0">
            <w:pPr>
              <w:tabs>
                <w:tab w:val="left" w:pos="1020"/>
              </w:tabs>
              <w:spacing w:after="0"/>
              <w:rPr>
                <w:sz w:val="20"/>
                <w:lang w:val="sr-Cyrl-RS"/>
              </w:rPr>
            </w:pPr>
            <w:r w:rsidRPr="00EF2F18">
              <w:rPr>
                <w:sz w:val="20"/>
                <w:lang w:val="sr-Cyrl-RS"/>
              </w:rPr>
              <w:t>МПривреде</w:t>
            </w:r>
          </w:p>
        </w:tc>
        <w:tc>
          <w:tcPr>
            <w:tcW w:w="6926" w:type="dxa"/>
          </w:tcPr>
          <w:p w14:paraId="4451BEDC" w14:textId="77777777" w:rsidR="007D7243" w:rsidRPr="00EF2F18" w:rsidRDefault="007D7243" w:rsidP="00752CA0">
            <w:pPr>
              <w:spacing w:after="0"/>
              <w:rPr>
                <w:sz w:val="20"/>
                <w:lang w:val="sr-Cyrl-RS"/>
              </w:rPr>
            </w:pPr>
            <w:r w:rsidRPr="00EF2F18">
              <w:rPr>
                <w:sz w:val="20"/>
                <w:lang w:val="sr-Cyrl-RS"/>
              </w:rPr>
              <w:t>Министарство привреде</w:t>
            </w:r>
          </w:p>
        </w:tc>
      </w:tr>
      <w:tr w:rsidR="007D7243" w:rsidRPr="00EF2F18" w14:paraId="08B0211B" w14:textId="77777777" w:rsidTr="00752CA0">
        <w:trPr>
          <w:trHeight w:val="149"/>
        </w:trPr>
        <w:tc>
          <w:tcPr>
            <w:tcW w:w="1259" w:type="dxa"/>
          </w:tcPr>
          <w:p w14:paraId="07A8013F" w14:textId="77777777" w:rsidR="007D7243" w:rsidRPr="00EF2F18" w:rsidRDefault="007D7243" w:rsidP="00752CA0">
            <w:pPr>
              <w:tabs>
                <w:tab w:val="left" w:pos="1020"/>
              </w:tabs>
              <w:spacing w:after="0"/>
              <w:rPr>
                <w:sz w:val="20"/>
                <w:lang w:val="sr-Cyrl-RS"/>
              </w:rPr>
            </w:pPr>
            <w:r w:rsidRPr="00EF2F18">
              <w:rPr>
                <w:sz w:val="20"/>
                <w:lang w:val="sr-Cyrl-RS"/>
              </w:rPr>
              <w:t>МПросвете</w:t>
            </w:r>
          </w:p>
        </w:tc>
        <w:tc>
          <w:tcPr>
            <w:tcW w:w="6926" w:type="dxa"/>
          </w:tcPr>
          <w:p w14:paraId="5344925F" w14:textId="77777777" w:rsidR="007D7243" w:rsidRPr="00EF2F18" w:rsidRDefault="007D7243" w:rsidP="00752CA0">
            <w:pPr>
              <w:spacing w:after="0"/>
              <w:rPr>
                <w:sz w:val="20"/>
                <w:lang w:val="sr-Cyrl-RS"/>
              </w:rPr>
            </w:pPr>
            <w:r w:rsidRPr="00EF2F18">
              <w:rPr>
                <w:sz w:val="20"/>
                <w:lang w:val="sr-Cyrl-RS"/>
              </w:rPr>
              <w:t>Министарство просвете</w:t>
            </w:r>
          </w:p>
        </w:tc>
      </w:tr>
      <w:tr w:rsidR="007D7243" w:rsidRPr="00EF2F18" w14:paraId="1E0D4F63" w14:textId="77777777" w:rsidTr="00752CA0">
        <w:trPr>
          <w:trHeight w:val="149"/>
        </w:trPr>
        <w:tc>
          <w:tcPr>
            <w:tcW w:w="1259" w:type="dxa"/>
          </w:tcPr>
          <w:p w14:paraId="67F2AD12" w14:textId="77777777" w:rsidR="007D7243" w:rsidRPr="00EF2F18" w:rsidRDefault="007D7243" w:rsidP="00752CA0">
            <w:pPr>
              <w:tabs>
                <w:tab w:val="left" w:pos="1020"/>
              </w:tabs>
              <w:spacing w:after="0"/>
              <w:rPr>
                <w:iCs/>
                <w:sz w:val="20"/>
                <w:lang w:val="sr-Cyrl-RS"/>
              </w:rPr>
            </w:pPr>
            <w:r w:rsidRPr="00EF2F18">
              <w:rPr>
                <w:sz w:val="20"/>
                <w:lang w:val="sr-Cyrl-RS"/>
              </w:rPr>
              <w:t xml:space="preserve">МПШВ </w:t>
            </w:r>
          </w:p>
        </w:tc>
        <w:tc>
          <w:tcPr>
            <w:tcW w:w="6926" w:type="dxa"/>
          </w:tcPr>
          <w:p w14:paraId="63E68871" w14:textId="77777777" w:rsidR="007D7243" w:rsidRPr="00EF2F18" w:rsidRDefault="007D7243" w:rsidP="00752CA0">
            <w:pPr>
              <w:spacing w:after="0"/>
              <w:rPr>
                <w:iCs/>
                <w:sz w:val="20"/>
                <w:lang w:val="sr-Cyrl-RS"/>
              </w:rPr>
            </w:pPr>
            <w:r w:rsidRPr="00EF2F18">
              <w:rPr>
                <w:iCs/>
                <w:sz w:val="20"/>
                <w:lang w:val="sr-Cyrl-RS"/>
              </w:rPr>
              <w:t>Министарство пољопривреде, шумарства и водопривреде</w:t>
            </w:r>
          </w:p>
        </w:tc>
      </w:tr>
      <w:tr w:rsidR="007D7243" w:rsidRPr="00EF2F18" w14:paraId="74E0D294" w14:textId="77777777" w:rsidTr="00752CA0">
        <w:trPr>
          <w:trHeight w:val="149"/>
        </w:trPr>
        <w:tc>
          <w:tcPr>
            <w:tcW w:w="1259" w:type="dxa"/>
          </w:tcPr>
          <w:p w14:paraId="7FAB57DC" w14:textId="77777777" w:rsidR="007D7243" w:rsidRPr="00EF2F18" w:rsidRDefault="007D7243" w:rsidP="00752CA0">
            <w:pPr>
              <w:tabs>
                <w:tab w:val="left" w:pos="1020"/>
              </w:tabs>
              <w:spacing w:after="0"/>
              <w:rPr>
                <w:sz w:val="20"/>
                <w:lang w:val="sr-Cyrl-RS"/>
              </w:rPr>
            </w:pPr>
            <w:r w:rsidRPr="00EF2F18">
              <w:rPr>
                <w:sz w:val="20"/>
                <w:lang w:val="sr-Cyrl-RS"/>
              </w:rPr>
              <w:t>МРЕ</w:t>
            </w:r>
          </w:p>
        </w:tc>
        <w:tc>
          <w:tcPr>
            <w:tcW w:w="6926" w:type="dxa"/>
          </w:tcPr>
          <w:p w14:paraId="6B569D63" w14:textId="77777777" w:rsidR="007D7243" w:rsidRPr="00EF2F18" w:rsidRDefault="007D7243" w:rsidP="00752CA0">
            <w:pPr>
              <w:spacing w:after="0"/>
              <w:rPr>
                <w:iCs/>
                <w:sz w:val="20"/>
                <w:lang w:val="sr-Cyrl-RS"/>
              </w:rPr>
            </w:pPr>
            <w:r w:rsidRPr="00EF2F18">
              <w:rPr>
                <w:iCs/>
                <w:sz w:val="20"/>
                <w:lang w:val="sr-Cyrl-RS"/>
              </w:rPr>
              <w:t>Министарство рударства и енергетике</w:t>
            </w:r>
          </w:p>
        </w:tc>
      </w:tr>
      <w:tr w:rsidR="007D7243" w:rsidRPr="00EF2F18" w14:paraId="0590D737" w14:textId="77777777" w:rsidTr="00752CA0">
        <w:trPr>
          <w:trHeight w:val="149"/>
        </w:trPr>
        <w:tc>
          <w:tcPr>
            <w:tcW w:w="1259" w:type="dxa"/>
          </w:tcPr>
          <w:p w14:paraId="6FFB5C18" w14:textId="77777777" w:rsidR="007D7243" w:rsidRPr="00EF2F18" w:rsidRDefault="007D7243" w:rsidP="00752CA0">
            <w:pPr>
              <w:tabs>
                <w:tab w:val="left" w:pos="1020"/>
              </w:tabs>
              <w:spacing w:after="0"/>
              <w:rPr>
                <w:sz w:val="20"/>
                <w:lang w:val="sr-Cyrl-RS"/>
              </w:rPr>
            </w:pPr>
            <w:r w:rsidRPr="00EF2F18">
              <w:rPr>
                <w:sz w:val="20"/>
                <w:lang w:val="sr-Cyrl-RS"/>
              </w:rPr>
              <w:t>МРЗБСП</w:t>
            </w:r>
          </w:p>
        </w:tc>
        <w:tc>
          <w:tcPr>
            <w:tcW w:w="6926" w:type="dxa"/>
          </w:tcPr>
          <w:p w14:paraId="1908E6F4" w14:textId="77777777" w:rsidR="007D7243" w:rsidRPr="00EF2F18" w:rsidRDefault="007D7243" w:rsidP="00752CA0">
            <w:pPr>
              <w:spacing w:after="0"/>
              <w:rPr>
                <w:iCs/>
                <w:sz w:val="20"/>
                <w:lang w:val="sr-Cyrl-RS"/>
              </w:rPr>
            </w:pPr>
            <w:r w:rsidRPr="00EF2F18">
              <w:rPr>
                <w:bCs/>
                <w:sz w:val="20"/>
                <w:lang w:val="sr-Cyrl-RS"/>
              </w:rPr>
              <w:t>Министарство за рад, запошљавање, борачка и социјална питања</w:t>
            </w:r>
          </w:p>
        </w:tc>
      </w:tr>
      <w:tr w:rsidR="007D7243" w:rsidRPr="00EF2F18" w14:paraId="0D2813FA" w14:textId="77777777" w:rsidTr="00752CA0">
        <w:trPr>
          <w:trHeight w:val="70"/>
        </w:trPr>
        <w:tc>
          <w:tcPr>
            <w:tcW w:w="1259" w:type="dxa"/>
          </w:tcPr>
          <w:p w14:paraId="209D11C7" w14:textId="77777777" w:rsidR="007D7243" w:rsidRPr="00EF2F18" w:rsidRDefault="007D7243" w:rsidP="00752CA0">
            <w:pPr>
              <w:tabs>
                <w:tab w:val="left" w:pos="1020"/>
              </w:tabs>
              <w:spacing w:after="0"/>
              <w:rPr>
                <w:sz w:val="20"/>
                <w:lang w:val="sr-Cyrl-RS"/>
              </w:rPr>
            </w:pPr>
            <w:r w:rsidRPr="00EF2F18">
              <w:rPr>
                <w:rFonts w:eastAsia="Arial"/>
                <w:sz w:val="20"/>
                <w:lang w:val="sr-Cyrl-RS"/>
              </w:rPr>
              <w:t>МТО</w:t>
            </w:r>
          </w:p>
        </w:tc>
        <w:tc>
          <w:tcPr>
            <w:tcW w:w="6926" w:type="dxa"/>
          </w:tcPr>
          <w:p w14:paraId="44BFCCFE" w14:textId="77777777" w:rsidR="007D7243" w:rsidRPr="00EF2F18" w:rsidRDefault="007D7243" w:rsidP="00752CA0">
            <w:pPr>
              <w:spacing w:after="0"/>
              <w:rPr>
                <w:iCs/>
                <w:sz w:val="20"/>
                <w:lang w:val="sr-Cyrl-RS"/>
              </w:rPr>
            </w:pPr>
            <w:r w:rsidRPr="00EF2F18">
              <w:rPr>
                <w:bCs/>
                <w:iCs/>
                <w:sz w:val="20"/>
                <w:lang w:val="sr-Cyrl-RS"/>
              </w:rPr>
              <w:t>Министарство туризма и омладине</w:t>
            </w:r>
          </w:p>
        </w:tc>
      </w:tr>
      <w:tr w:rsidR="007D7243" w:rsidRPr="00EF2F18" w14:paraId="24C8F7AE" w14:textId="77777777" w:rsidTr="00752CA0">
        <w:trPr>
          <w:trHeight w:val="149"/>
        </w:trPr>
        <w:tc>
          <w:tcPr>
            <w:tcW w:w="1259" w:type="dxa"/>
          </w:tcPr>
          <w:p w14:paraId="55932048" w14:textId="77777777" w:rsidR="007D7243" w:rsidRPr="00EF2F18" w:rsidRDefault="007D7243" w:rsidP="00752CA0">
            <w:pPr>
              <w:tabs>
                <w:tab w:val="left" w:pos="1020"/>
              </w:tabs>
              <w:spacing w:after="0"/>
              <w:rPr>
                <w:iCs/>
                <w:sz w:val="20"/>
                <w:lang w:val="sr-Cyrl-RS"/>
              </w:rPr>
            </w:pPr>
            <w:r w:rsidRPr="00EF2F18">
              <w:rPr>
                <w:sz w:val="20"/>
                <w:lang w:val="sr-Cyrl-RS"/>
              </w:rPr>
              <w:t xml:space="preserve">МУП </w:t>
            </w:r>
          </w:p>
        </w:tc>
        <w:tc>
          <w:tcPr>
            <w:tcW w:w="6926" w:type="dxa"/>
          </w:tcPr>
          <w:p w14:paraId="084A486B" w14:textId="77777777" w:rsidR="007D7243" w:rsidRPr="00EF2F18" w:rsidRDefault="007D7243" w:rsidP="00752CA0">
            <w:pPr>
              <w:spacing w:after="0"/>
              <w:rPr>
                <w:iCs/>
                <w:sz w:val="20"/>
                <w:lang w:val="sr-Cyrl-RS"/>
              </w:rPr>
            </w:pPr>
            <w:r w:rsidRPr="00EF2F18">
              <w:rPr>
                <w:iCs/>
                <w:sz w:val="20"/>
                <w:lang w:val="sr-Cyrl-RS"/>
              </w:rPr>
              <w:t>Министарство унутрашњих послова</w:t>
            </w:r>
          </w:p>
        </w:tc>
      </w:tr>
      <w:tr w:rsidR="007D7243" w:rsidRPr="00EF2F18" w14:paraId="34C30DA7" w14:textId="77777777" w:rsidTr="00752CA0">
        <w:trPr>
          <w:trHeight w:val="149"/>
        </w:trPr>
        <w:tc>
          <w:tcPr>
            <w:tcW w:w="1259" w:type="dxa"/>
          </w:tcPr>
          <w:p w14:paraId="4CD29AA3" w14:textId="77777777" w:rsidR="007D7243" w:rsidRPr="00EF2F18" w:rsidRDefault="007D7243" w:rsidP="00752CA0">
            <w:pPr>
              <w:tabs>
                <w:tab w:val="left" w:pos="1020"/>
              </w:tabs>
              <w:spacing w:after="0"/>
              <w:rPr>
                <w:sz w:val="20"/>
                <w:lang w:val="sr-Cyrl-RS"/>
              </w:rPr>
            </w:pPr>
            <w:r w:rsidRPr="00EF2F18">
              <w:rPr>
                <w:sz w:val="20"/>
                <w:lang w:val="sr-Cyrl-RS"/>
              </w:rPr>
              <w:lastRenderedPageBreak/>
              <w:t>МУСТ</w:t>
            </w:r>
          </w:p>
        </w:tc>
        <w:tc>
          <w:tcPr>
            <w:tcW w:w="6926" w:type="dxa"/>
          </w:tcPr>
          <w:p w14:paraId="4683438B" w14:textId="77777777" w:rsidR="007D7243" w:rsidRPr="00EF2F18" w:rsidRDefault="007D7243" w:rsidP="00752CA0">
            <w:pPr>
              <w:spacing w:after="0"/>
              <w:rPr>
                <w:iCs/>
                <w:sz w:val="20"/>
                <w:lang w:val="sr-Cyrl-RS"/>
              </w:rPr>
            </w:pPr>
            <w:r w:rsidRPr="00EF2F18">
              <w:rPr>
                <w:iCs/>
                <w:sz w:val="20"/>
                <w:lang w:val="sr-Cyrl-RS"/>
              </w:rPr>
              <w:t>Министарство унутрашње и спољне трговине</w:t>
            </w:r>
          </w:p>
        </w:tc>
      </w:tr>
      <w:tr w:rsidR="007D7243" w:rsidRPr="00EF2F18" w14:paraId="16204CCA" w14:textId="77777777" w:rsidTr="00752CA0">
        <w:trPr>
          <w:trHeight w:val="149"/>
        </w:trPr>
        <w:tc>
          <w:tcPr>
            <w:tcW w:w="1259" w:type="dxa"/>
          </w:tcPr>
          <w:p w14:paraId="39EF978F" w14:textId="77777777" w:rsidR="007D7243" w:rsidRPr="00EF2F18" w:rsidRDefault="007D7243" w:rsidP="00752CA0">
            <w:pPr>
              <w:tabs>
                <w:tab w:val="left" w:pos="1020"/>
              </w:tabs>
              <w:spacing w:after="0"/>
              <w:rPr>
                <w:sz w:val="20"/>
                <w:lang w:val="sr-Cyrl-RS"/>
              </w:rPr>
            </w:pPr>
            <w:r w:rsidRPr="00EF2F18">
              <w:rPr>
                <w:sz w:val="20"/>
                <w:lang w:val="sr-Cyrl-RS"/>
              </w:rPr>
              <w:t>МФ</w:t>
            </w:r>
          </w:p>
        </w:tc>
        <w:tc>
          <w:tcPr>
            <w:tcW w:w="6926" w:type="dxa"/>
          </w:tcPr>
          <w:p w14:paraId="37962543" w14:textId="77777777" w:rsidR="007D7243" w:rsidRPr="00EF2F18" w:rsidRDefault="007D7243" w:rsidP="00752CA0">
            <w:pPr>
              <w:spacing w:after="0"/>
              <w:rPr>
                <w:iCs/>
                <w:sz w:val="20"/>
                <w:lang w:val="sr-Cyrl-RS"/>
              </w:rPr>
            </w:pPr>
            <w:r w:rsidRPr="00EF2F18">
              <w:rPr>
                <w:iCs/>
                <w:sz w:val="20"/>
                <w:lang w:val="sr-Cyrl-RS"/>
              </w:rPr>
              <w:t>Министарство финансија</w:t>
            </w:r>
          </w:p>
        </w:tc>
      </w:tr>
      <w:tr w:rsidR="007D7243" w:rsidRPr="00EF2F18" w14:paraId="72E1BEDC" w14:textId="77777777" w:rsidTr="00752CA0">
        <w:trPr>
          <w:trHeight w:val="149"/>
        </w:trPr>
        <w:tc>
          <w:tcPr>
            <w:tcW w:w="1259" w:type="dxa"/>
          </w:tcPr>
          <w:p w14:paraId="702EA5DD" w14:textId="77777777" w:rsidR="007D7243" w:rsidRPr="00EF2F18" w:rsidRDefault="007D7243" w:rsidP="00752CA0">
            <w:pPr>
              <w:tabs>
                <w:tab w:val="left" w:pos="1020"/>
              </w:tabs>
              <w:spacing w:after="0"/>
              <w:rPr>
                <w:sz w:val="20"/>
                <w:lang w:val="sr-Cyrl-RS"/>
              </w:rPr>
            </w:pPr>
            <w:r w:rsidRPr="00EF2F18">
              <w:rPr>
                <w:sz w:val="20"/>
                <w:lang w:val="sr-Cyrl-RS"/>
              </w:rPr>
              <w:t>НАЈУ</w:t>
            </w:r>
          </w:p>
        </w:tc>
        <w:tc>
          <w:tcPr>
            <w:tcW w:w="6926" w:type="dxa"/>
          </w:tcPr>
          <w:p w14:paraId="489E103D" w14:textId="77777777" w:rsidR="007D7243" w:rsidRPr="00EF2F18" w:rsidRDefault="007D7243" w:rsidP="00752CA0">
            <w:pPr>
              <w:spacing w:after="0"/>
              <w:rPr>
                <w:iCs/>
                <w:sz w:val="20"/>
                <w:lang w:val="sr-Cyrl-RS"/>
              </w:rPr>
            </w:pPr>
            <w:r w:rsidRPr="00EF2F18">
              <w:rPr>
                <w:iCs/>
                <w:sz w:val="20"/>
                <w:lang w:val="sr-Cyrl-RS"/>
              </w:rPr>
              <w:t>Национална академија за јавну управу</w:t>
            </w:r>
          </w:p>
        </w:tc>
      </w:tr>
      <w:tr w:rsidR="007D7243" w:rsidRPr="00EF2F18" w14:paraId="2D4EF8A5" w14:textId="77777777" w:rsidTr="00752CA0">
        <w:trPr>
          <w:trHeight w:val="149"/>
        </w:trPr>
        <w:tc>
          <w:tcPr>
            <w:tcW w:w="1259" w:type="dxa"/>
          </w:tcPr>
          <w:p w14:paraId="596401CB" w14:textId="77777777" w:rsidR="007D7243" w:rsidRPr="00EF2F18" w:rsidRDefault="007D7243" w:rsidP="00752CA0">
            <w:pPr>
              <w:tabs>
                <w:tab w:val="left" w:pos="1020"/>
              </w:tabs>
              <w:spacing w:after="0"/>
              <w:rPr>
                <w:sz w:val="20"/>
                <w:lang w:val="sr-Cyrl-RS"/>
              </w:rPr>
            </w:pPr>
            <w:r w:rsidRPr="00EF2F18">
              <w:rPr>
                <w:sz w:val="20"/>
                <w:lang w:val="sr-Cyrl-RS"/>
              </w:rPr>
              <w:t>НИO</w:t>
            </w:r>
          </w:p>
        </w:tc>
        <w:tc>
          <w:tcPr>
            <w:tcW w:w="6926" w:type="dxa"/>
          </w:tcPr>
          <w:p w14:paraId="6CA5BCF5" w14:textId="77777777" w:rsidR="007D7243" w:rsidRPr="00EF2F18" w:rsidRDefault="007D7243" w:rsidP="00752CA0">
            <w:pPr>
              <w:spacing w:after="0"/>
              <w:rPr>
                <w:iCs/>
                <w:sz w:val="20"/>
                <w:lang w:val="sr-Cyrl-RS"/>
              </w:rPr>
            </w:pPr>
            <w:r w:rsidRPr="00EF2F18">
              <w:rPr>
                <w:iCs/>
                <w:sz w:val="20"/>
                <w:lang w:val="sr-Cyrl-RS"/>
              </w:rPr>
              <w:t>Научнo-истраживачке организације</w:t>
            </w:r>
          </w:p>
        </w:tc>
      </w:tr>
      <w:tr w:rsidR="007D7243" w:rsidRPr="00EF2F18" w14:paraId="1F6D5AD4" w14:textId="77777777" w:rsidTr="00752CA0">
        <w:trPr>
          <w:trHeight w:val="149"/>
        </w:trPr>
        <w:tc>
          <w:tcPr>
            <w:tcW w:w="1259" w:type="dxa"/>
          </w:tcPr>
          <w:p w14:paraId="49A58C4F" w14:textId="77777777" w:rsidR="007D7243" w:rsidRPr="00EF2F18" w:rsidRDefault="007D7243" w:rsidP="00752CA0">
            <w:pPr>
              <w:tabs>
                <w:tab w:val="left" w:pos="1020"/>
              </w:tabs>
              <w:spacing w:after="0"/>
              <w:rPr>
                <w:sz w:val="20"/>
                <w:lang w:val="sr-Cyrl-RS"/>
              </w:rPr>
            </w:pPr>
            <w:r w:rsidRPr="00EF2F18">
              <w:rPr>
                <w:sz w:val="20"/>
                <w:lang w:val="sr-Cyrl-RS"/>
              </w:rPr>
              <w:t>ВШУ</w:t>
            </w:r>
          </w:p>
        </w:tc>
        <w:tc>
          <w:tcPr>
            <w:tcW w:w="6926" w:type="dxa"/>
          </w:tcPr>
          <w:p w14:paraId="6F049FA4" w14:textId="77777777" w:rsidR="007D7243" w:rsidRPr="00EF2F18" w:rsidRDefault="007D7243" w:rsidP="00752CA0">
            <w:pPr>
              <w:spacing w:after="0"/>
              <w:rPr>
                <w:iCs/>
                <w:sz w:val="20"/>
                <w:lang w:val="sr-Cyrl-RS"/>
              </w:rPr>
            </w:pPr>
            <w:r w:rsidRPr="00EF2F18">
              <w:rPr>
                <w:iCs/>
                <w:sz w:val="20"/>
                <w:lang w:val="sr-Cyrl-RS"/>
              </w:rPr>
              <w:t>Високошколске установе</w:t>
            </w:r>
          </w:p>
        </w:tc>
      </w:tr>
      <w:tr w:rsidR="007D7243" w:rsidRPr="00EF2F18" w14:paraId="66538258" w14:textId="77777777" w:rsidTr="00752CA0">
        <w:trPr>
          <w:trHeight w:val="149"/>
        </w:trPr>
        <w:tc>
          <w:tcPr>
            <w:tcW w:w="1259" w:type="dxa"/>
          </w:tcPr>
          <w:p w14:paraId="4142416B" w14:textId="77777777" w:rsidR="007D7243" w:rsidRPr="00EF2F18" w:rsidRDefault="007D7243" w:rsidP="00752CA0">
            <w:pPr>
              <w:tabs>
                <w:tab w:val="left" w:pos="1020"/>
              </w:tabs>
              <w:spacing w:after="0"/>
              <w:rPr>
                <w:sz w:val="20"/>
                <w:lang w:val="sr-Cyrl-RS"/>
              </w:rPr>
            </w:pPr>
            <w:r w:rsidRPr="00EF2F18">
              <w:rPr>
                <w:sz w:val="20"/>
                <w:lang w:val="sr-Cyrl-RS"/>
              </w:rPr>
              <w:t>ОЦД</w:t>
            </w:r>
          </w:p>
        </w:tc>
        <w:tc>
          <w:tcPr>
            <w:tcW w:w="6926" w:type="dxa"/>
          </w:tcPr>
          <w:p w14:paraId="25D48DE0" w14:textId="77777777" w:rsidR="007D7243" w:rsidRPr="00EF2F18" w:rsidRDefault="007D7243" w:rsidP="00752CA0">
            <w:pPr>
              <w:spacing w:after="0"/>
              <w:rPr>
                <w:iCs/>
                <w:sz w:val="20"/>
                <w:lang w:val="sr-Cyrl-RS"/>
              </w:rPr>
            </w:pPr>
            <w:r w:rsidRPr="00EF2F18">
              <w:rPr>
                <w:iCs/>
                <w:sz w:val="20"/>
                <w:lang w:val="sr-Cyrl-RS"/>
              </w:rPr>
              <w:t>Организације цивилног друштва</w:t>
            </w:r>
          </w:p>
        </w:tc>
      </w:tr>
      <w:tr w:rsidR="007D7243" w:rsidRPr="00EF2F18" w14:paraId="48B1CD06" w14:textId="77777777" w:rsidTr="00752CA0">
        <w:trPr>
          <w:trHeight w:val="149"/>
        </w:trPr>
        <w:tc>
          <w:tcPr>
            <w:tcW w:w="1259" w:type="dxa"/>
          </w:tcPr>
          <w:p w14:paraId="2CBC5E1C" w14:textId="77777777" w:rsidR="007D7243" w:rsidRPr="00EF2F18" w:rsidRDefault="007D7243" w:rsidP="00752CA0">
            <w:pPr>
              <w:tabs>
                <w:tab w:val="left" w:pos="1020"/>
              </w:tabs>
              <w:spacing w:after="0"/>
              <w:rPr>
                <w:sz w:val="20"/>
                <w:lang w:val="sr-Cyrl-RS"/>
              </w:rPr>
            </w:pPr>
            <w:r w:rsidRPr="00EF2F18">
              <w:rPr>
                <w:sz w:val="20"/>
                <w:lang w:val="sr-Cyrl-RS"/>
              </w:rPr>
              <w:t>ПА</w:t>
            </w:r>
          </w:p>
        </w:tc>
        <w:tc>
          <w:tcPr>
            <w:tcW w:w="6926" w:type="dxa"/>
          </w:tcPr>
          <w:p w14:paraId="5173207A" w14:textId="77777777" w:rsidR="007D7243" w:rsidRPr="00EF2F18" w:rsidRDefault="007D7243" w:rsidP="00752CA0">
            <w:pPr>
              <w:spacing w:after="0"/>
              <w:rPr>
                <w:iCs/>
                <w:sz w:val="20"/>
                <w:lang w:val="sr-Cyrl-RS"/>
              </w:rPr>
            </w:pPr>
            <w:r w:rsidRPr="00EF2F18">
              <w:rPr>
                <w:iCs/>
                <w:sz w:val="20"/>
                <w:lang w:val="sr-Cyrl-RS"/>
              </w:rPr>
              <w:t>Правосудна академија</w:t>
            </w:r>
          </w:p>
        </w:tc>
      </w:tr>
      <w:tr w:rsidR="002E21EC" w:rsidRPr="00EF2F18" w14:paraId="66D140B8" w14:textId="77777777" w:rsidTr="00752CA0">
        <w:trPr>
          <w:trHeight w:val="149"/>
        </w:trPr>
        <w:tc>
          <w:tcPr>
            <w:tcW w:w="1259" w:type="dxa"/>
          </w:tcPr>
          <w:p w14:paraId="74480EFA" w14:textId="68BD55E9" w:rsidR="002E21EC" w:rsidRPr="00EF2F18" w:rsidRDefault="002E21EC" w:rsidP="00752CA0">
            <w:pPr>
              <w:tabs>
                <w:tab w:val="left" w:pos="1020"/>
              </w:tabs>
              <w:spacing w:after="0"/>
              <w:rPr>
                <w:sz w:val="20"/>
                <w:lang w:val="sr-Cyrl-RS"/>
              </w:rPr>
            </w:pPr>
            <w:r w:rsidRPr="00EF2F18">
              <w:rPr>
                <w:sz w:val="20"/>
                <w:lang w:val="sr-Cyrl-RS"/>
              </w:rPr>
              <w:t>ПД</w:t>
            </w:r>
          </w:p>
        </w:tc>
        <w:tc>
          <w:tcPr>
            <w:tcW w:w="6926" w:type="dxa"/>
          </w:tcPr>
          <w:p w14:paraId="0B737161" w14:textId="4AAD4E0E" w:rsidR="002E21EC" w:rsidRPr="00EF2F18" w:rsidRDefault="002E21EC" w:rsidP="00752CA0">
            <w:pPr>
              <w:spacing w:after="0"/>
              <w:rPr>
                <w:iCs/>
                <w:sz w:val="20"/>
                <w:lang w:val="sr-Cyrl-RS"/>
              </w:rPr>
            </w:pPr>
            <w:r w:rsidRPr="00EF2F18">
              <w:rPr>
                <w:iCs/>
                <w:sz w:val="20"/>
                <w:lang w:val="sr-Cyrl-RS"/>
              </w:rPr>
              <w:t>Привредно друштво</w:t>
            </w:r>
          </w:p>
        </w:tc>
      </w:tr>
      <w:tr w:rsidR="007D7243" w:rsidRPr="00EF2F18" w14:paraId="735A7BCD" w14:textId="77777777" w:rsidTr="00752CA0">
        <w:trPr>
          <w:trHeight w:val="149"/>
        </w:trPr>
        <w:tc>
          <w:tcPr>
            <w:tcW w:w="1259" w:type="dxa"/>
          </w:tcPr>
          <w:p w14:paraId="68133DD0" w14:textId="77777777" w:rsidR="007D7243" w:rsidRPr="00EF2F18" w:rsidRDefault="007D7243" w:rsidP="00752CA0">
            <w:pPr>
              <w:tabs>
                <w:tab w:val="left" w:pos="1020"/>
              </w:tabs>
              <w:spacing w:after="0"/>
              <w:rPr>
                <w:sz w:val="20"/>
                <w:lang w:val="sr-Cyrl-RS"/>
              </w:rPr>
            </w:pPr>
            <w:r w:rsidRPr="00EF2F18">
              <w:rPr>
                <w:sz w:val="20"/>
                <w:lang w:val="sr-Cyrl-RS"/>
              </w:rPr>
              <w:t>ПЗЗП</w:t>
            </w:r>
          </w:p>
        </w:tc>
        <w:tc>
          <w:tcPr>
            <w:tcW w:w="6926" w:type="dxa"/>
          </w:tcPr>
          <w:p w14:paraId="45373E36" w14:textId="77777777" w:rsidR="007D7243" w:rsidRPr="00EF2F18" w:rsidRDefault="007D7243" w:rsidP="00752CA0">
            <w:pPr>
              <w:spacing w:after="0"/>
              <w:rPr>
                <w:iCs/>
                <w:sz w:val="20"/>
                <w:lang w:val="sr-Cyrl-RS"/>
              </w:rPr>
            </w:pPr>
            <w:r w:rsidRPr="00EF2F18">
              <w:rPr>
                <w:iCs/>
                <w:sz w:val="20"/>
                <w:lang w:val="sr-Cyrl-RS"/>
              </w:rPr>
              <w:t>Покрајински завод за заштиту природе</w:t>
            </w:r>
          </w:p>
        </w:tc>
      </w:tr>
      <w:tr w:rsidR="007D7243" w:rsidRPr="00EF2F18" w14:paraId="74FE24B8" w14:textId="77777777" w:rsidTr="00752CA0">
        <w:trPr>
          <w:trHeight w:val="149"/>
        </w:trPr>
        <w:tc>
          <w:tcPr>
            <w:tcW w:w="1259" w:type="dxa"/>
          </w:tcPr>
          <w:p w14:paraId="714C4DAC" w14:textId="77777777" w:rsidR="007D7243" w:rsidRPr="00EF2F18" w:rsidRDefault="007D7243" w:rsidP="00752CA0">
            <w:pPr>
              <w:tabs>
                <w:tab w:val="left" w:pos="1020"/>
              </w:tabs>
              <w:spacing w:after="0"/>
              <w:rPr>
                <w:sz w:val="20"/>
                <w:lang w:val="sr-Cyrl-RS"/>
              </w:rPr>
            </w:pPr>
            <w:r w:rsidRPr="00EF2F18">
              <w:rPr>
                <w:sz w:val="20"/>
                <w:lang w:val="sr-Cyrl-RS"/>
              </w:rPr>
              <w:t>ПЗР</w:t>
            </w:r>
          </w:p>
        </w:tc>
        <w:tc>
          <w:tcPr>
            <w:tcW w:w="6926" w:type="dxa"/>
          </w:tcPr>
          <w:p w14:paraId="174CB666" w14:textId="6D0477C8" w:rsidR="007D7243" w:rsidRPr="00EF2F18" w:rsidRDefault="00F019B2" w:rsidP="00752CA0">
            <w:pPr>
              <w:spacing w:after="0"/>
              <w:rPr>
                <w:iCs/>
                <w:sz w:val="20"/>
                <w:lang w:val="sr-Cyrl-RS"/>
              </w:rPr>
            </w:pPr>
            <w:r>
              <w:rPr>
                <w:sz w:val="20"/>
                <w:lang w:val="sr-Cyrl-RS" w:eastAsia="en-GB"/>
              </w:rPr>
              <w:t>Повереник за заштиту рав</w:t>
            </w:r>
            <w:r w:rsidR="007D7243" w:rsidRPr="00EF2F18">
              <w:rPr>
                <w:sz w:val="20"/>
                <w:lang w:val="sr-Cyrl-RS" w:eastAsia="en-GB"/>
              </w:rPr>
              <w:t>ноправности</w:t>
            </w:r>
          </w:p>
        </w:tc>
      </w:tr>
      <w:tr w:rsidR="007D7243" w:rsidRPr="00EF2F18" w14:paraId="22865B93" w14:textId="77777777" w:rsidTr="00752CA0">
        <w:trPr>
          <w:trHeight w:val="149"/>
        </w:trPr>
        <w:tc>
          <w:tcPr>
            <w:tcW w:w="1259" w:type="dxa"/>
          </w:tcPr>
          <w:p w14:paraId="54D3937D" w14:textId="77777777" w:rsidR="007D7243" w:rsidRPr="00EF2F18" w:rsidRDefault="007D7243" w:rsidP="00752CA0">
            <w:pPr>
              <w:tabs>
                <w:tab w:val="left" w:pos="1020"/>
              </w:tabs>
              <w:spacing w:after="0"/>
              <w:rPr>
                <w:sz w:val="20"/>
                <w:lang w:val="sr-Cyrl-RS"/>
              </w:rPr>
            </w:pPr>
            <w:r w:rsidRPr="00EF2F18">
              <w:rPr>
                <w:sz w:val="20"/>
                <w:lang w:val="sr-Cyrl-RS"/>
              </w:rPr>
              <w:t>ПИЈЗЗПЛ</w:t>
            </w:r>
          </w:p>
        </w:tc>
        <w:tc>
          <w:tcPr>
            <w:tcW w:w="6926" w:type="dxa"/>
          </w:tcPr>
          <w:p w14:paraId="53CE0AEF" w14:textId="77777777" w:rsidR="007D7243" w:rsidRPr="00EF2F18" w:rsidRDefault="007D7243" w:rsidP="00752CA0">
            <w:pPr>
              <w:spacing w:after="0"/>
              <w:rPr>
                <w:iCs/>
                <w:sz w:val="20"/>
                <w:lang w:val="sr-Cyrl-RS"/>
              </w:rPr>
            </w:pPr>
            <w:r w:rsidRPr="00EF2F18">
              <w:rPr>
                <w:sz w:val="20"/>
                <w:lang w:val="sr-Cyrl-RS" w:eastAsia="en-GB"/>
              </w:rPr>
              <w:t>Повереник за информације од јавног значаја и заштиту података о личности</w:t>
            </w:r>
          </w:p>
        </w:tc>
      </w:tr>
      <w:tr w:rsidR="007D7243" w:rsidRPr="00EF2F18" w14:paraId="2721E346" w14:textId="77777777" w:rsidTr="00752CA0">
        <w:trPr>
          <w:trHeight w:val="149"/>
        </w:trPr>
        <w:tc>
          <w:tcPr>
            <w:tcW w:w="1259" w:type="dxa"/>
          </w:tcPr>
          <w:p w14:paraId="1773EDB2" w14:textId="77777777" w:rsidR="007D7243" w:rsidRPr="00EF2F18" w:rsidRDefault="007D7243" w:rsidP="00752CA0">
            <w:pPr>
              <w:tabs>
                <w:tab w:val="left" w:pos="1020"/>
              </w:tabs>
              <w:spacing w:after="0"/>
              <w:rPr>
                <w:sz w:val="20"/>
                <w:lang w:val="sr-Cyrl-RS"/>
              </w:rPr>
            </w:pPr>
            <w:r w:rsidRPr="00EF2F18">
              <w:rPr>
                <w:sz w:val="20"/>
                <w:lang w:val="sr-Cyrl-RS"/>
              </w:rPr>
              <w:t>ПКС</w:t>
            </w:r>
          </w:p>
        </w:tc>
        <w:tc>
          <w:tcPr>
            <w:tcW w:w="6926" w:type="dxa"/>
          </w:tcPr>
          <w:p w14:paraId="55729097" w14:textId="77777777" w:rsidR="007D7243" w:rsidRPr="00EF2F18" w:rsidRDefault="007D7243" w:rsidP="00752CA0">
            <w:pPr>
              <w:spacing w:after="0"/>
              <w:rPr>
                <w:iCs/>
                <w:sz w:val="20"/>
                <w:lang w:val="sr-Cyrl-RS"/>
              </w:rPr>
            </w:pPr>
            <w:r w:rsidRPr="00EF2F18">
              <w:rPr>
                <w:iCs/>
                <w:sz w:val="20"/>
                <w:lang w:val="sr-Cyrl-RS"/>
              </w:rPr>
              <w:t>Привредна комора Србије</w:t>
            </w:r>
          </w:p>
        </w:tc>
      </w:tr>
      <w:tr w:rsidR="007D7243" w:rsidRPr="00EF2F18" w14:paraId="22AE0396"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5A18B5EA" w14:textId="77777777" w:rsidR="007D7243" w:rsidRPr="00EF2F18" w:rsidRDefault="007D7243" w:rsidP="00752CA0">
            <w:pPr>
              <w:tabs>
                <w:tab w:val="left" w:pos="1020"/>
              </w:tabs>
              <w:spacing w:after="0"/>
              <w:rPr>
                <w:sz w:val="20"/>
                <w:lang w:val="sr-Cyrl-RS"/>
              </w:rPr>
            </w:pPr>
            <w:r w:rsidRPr="00EF2F18">
              <w:rPr>
                <w:sz w:val="20"/>
                <w:lang w:val="sr-Cyrl-RS"/>
              </w:rPr>
              <w:t>ПСЕГС</w:t>
            </w:r>
          </w:p>
        </w:tc>
        <w:tc>
          <w:tcPr>
            <w:tcW w:w="6926" w:type="dxa"/>
            <w:tcBorders>
              <w:top w:val="single" w:sz="4" w:space="0" w:color="auto"/>
              <w:left w:val="single" w:sz="4" w:space="0" w:color="auto"/>
              <w:bottom w:val="single" w:sz="4" w:space="0" w:color="auto"/>
              <w:right w:val="single" w:sz="4" w:space="0" w:color="auto"/>
            </w:tcBorders>
            <w:hideMark/>
          </w:tcPr>
          <w:p w14:paraId="0107C8C6" w14:textId="77777777" w:rsidR="007D7243" w:rsidRPr="00EF2F18" w:rsidRDefault="007D7243" w:rsidP="00752CA0">
            <w:pPr>
              <w:spacing w:after="0"/>
              <w:rPr>
                <w:iCs/>
                <w:sz w:val="20"/>
                <w:lang w:val="sr-Cyrl-RS"/>
              </w:rPr>
            </w:pPr>
            <w:r w:rsidRPr="00EF2F18">
              <w:rPr>
                <w:sz w:val="20"/>
                <w:lang w:val="sr-Cyrl-RS"/>
              </w:rPr>
              <w:t>Покрајински секретаријат за енергетику, грађевинарство и саобраћај</w:t>
            </w:r>
          </w:p>
        </w:tc>
      </w:tr>
      <w:tr w:rsidR="007D7243" w:rsidRPr="00EF2F18" w14:paraId="4D99E270"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08CC590E" w14:textId="77777777" w:rsidR="007D7243" w:rsidRPr="00EF2F18" w:rsidRDefault="007D7243" w:rsidP="00752CA0">
            <w:pPr>
              <w:tabs>
                <w:tab w:val="left" w:pos="1020"/>
              </w:tabs>
              <w:spacing w:after="0"/>
              <w:rPr>
                <w:sz w:val="20"/>
                <w:lang w:val="sr-Cyrl-RS"/>
              </w:rPr>
            </w:pPr>
            <w:r w:rsidRPr="00EF2F18">
              <w:rPr>
                <w:sz w:val="20"/>
                <w:lang w:val="sr-Cyrl-RS" w:eastAsia="en-GB"/>
              </w:rPr>
              <w:t>ПСПВШ</w:t>
            </w:r>
          </w:p>
        </w:tc>
        <w:tc>
          <w:tcPr>
            <w:tcW w:w="6926" w:type="dxa"/>
            <w:tcBorders>
              <w:top w:val="single" w:sz="4" w:space="0" w:color="auto"/>
              <w:left w:val="single" w:sz="4" w:space="0" w:color="auto"/>
              <w:bottom w:val="single" w:sz="4" w:space="0" w:color="auto"/>
              <w:right w:val="single" w:sz="4" w:space="0" w:color="auto"/>
            </w:tcBorders>
            <w:hideMark/>
          </w:tcPr>
          <w:p w14:paraId="2281189C" w14:textId="77777777" w:rsidR="007D7243" w:rsidRPr="00EF2F18" w:rsidRDefault="007D7243" w:rsidP="00752CA0">
            <w:pPr>
              <w:spacing w:after="0"/>
              <w:rPr>
                <w:iCs/>
                <w:sz w:val="20"/>
                <w:lang w:val="sr-Cyrl-RS"/>
              </w:rPr>
            </w:pPr>
            <w:r w:rsidRPr="00EF2F18">
              <w:rPr>
                <w:iCs/>
                <w:sz w:val="20"/>
                <w:lang w:val="sr-Cyrl-RS"/>
              </w:rPr>
              <w:t>Покрајински секретаријат за пољопривреду, водопривреду и шумарство</w:t>
            </w:r>
          </w:p>
        </w:tc>
      </w:tr>
      <w:tr w:rsidR="007D7243" w:rsidRPr="00EF2F18" w14:paraId="222BACBB"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2390C901" w14:textId="77777777" w:rsidR="007D7243" w:rsidRPr="00EF2F18" w:rsidRDefault="007D7243" w:rsidP="00752CA0">
            <w:pPr>
              <w:tabs>
                <w:tab w:val="left" w:pos="1020"/>
              </w:tabs>
              <w:spacing w:after="0"/>
              <w:rPr>
                <w:sz w:val="20"/>
                <w:lang w:val="sr-Cyrl-RS" w:eastAsia="en-GB"/>
              </w:rPr>
            </w:pPr>
            <w:r w:rsidRPr="00EF2F18">
              <w:rPr>
                <w:sz w:val="20"/>
                <w:lang w:val="sr-Cyrl-RS"/>
              </w:rPr>
              <w:t>ПСУЗЖС</w:t>
            </w:r>
          </w:p>
        </w:tc>
        <w:tc>
          <w:tcPr>
            <w:tcW w:w="6926" w:type="dxa"/>
            <w:tcBorders>
              <w:top w:val="single" w:sz="4" w:space="0" w:color="auto"/>
              <w:left w:val="single" w:sz="4" w:space="0" w:color="auto"/>
              <w:bottom w:val="single" w:sz="4" w:space="0" w:color="auto"/>
              <w:right w:val="single" w:sz="4" w:space="0" w:color="auto"/>
            </w:tcBorders>
            <w:hideMark/>
          </w:tcPr>
          <w:p w14:paraId="047BF326" w14:textId="77777777" w:rsidR="007D7243" w:rsidRPr="00EF2F18" w:rsidRDefault="007D7243" w:rsidP="00752CA0">
            <w:pPr>
              <w:spacing w:after="0"/>
              <w:rPr>
                <w:iCs/>
                <w:sz w:val="20"/>
                <w:lang w:val="sr-Cyrl-RS"/>
              </w:rPr>
            </w:pPr>
            <w:r w:rsidRPr="00EF2F18">
              <w:rPr>
                <w:iCs/>
                <w:sz w:val="20"/>
                <w:lang w:val="sr-Cyrl-RS"/>
              </w:rPr>
              <w:t>Покрајински секретаријат за урбанизам и заштиту животне средине</w:t>
            </w:r>
          </w:p>
        </w:tc>
      </w:tr>
      <w:tr w:rsidR="007D7243" w:rsidRPr="00EF2F18" w14:paraId="12C1BA3A"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008E570E" w14:textId="77777777" w:rsidR="007D7243" w:rsidRPr="00EF2F18" w:rsidRDefault="007D7243" w:rsidP="00752CA0">
            <w:pPr>
              <w:tabs>
                <w:tab w:val="left" w:pos="1020"/>
              </w:tabs>
              <w:spacing w:after="0"/>
              <w:rPr>
                <w:sz w:val="20"/>
                <w:lang w:val="sr-Cyrl-RS"/>
              </w:rPr>
            </w:pPr>
            <w:r w:rsidRPr="00EF2F18">
              <w:rPr>
                <w:sz w:val="20"/>
                <w:lang w:val="sr-Cyrl-RS"/>
              </w:rPr>
              <w:t>РАЦ</w:t>
            </w:r>
          </w:p>
        </w:tc>
        <w:tc>
          <w:tcPr>
            <w:tcW w:w="6926" w:type="dxa"/>
            <w:tcBorders>
              <w:top w:val="single" w:sz="4" w:space="0" w:color="auto"/>
              <w:left w:val="single" w:sz="4" w:space="0" w:color="auto"/>
              <w:bottom w:val="single" w:sz="4" w:space="0" w:color="auto"/>
              <w:right w:val="single" w:sz="4" w:space="0" w:color="auto"/>
            </w:tcBorders>
            <w:hideMark/>
          </w:tcPr>
          <w:p w14:paraId="6FAE74BF" w14:textId="77777777" w:rsidR="007D7243" w:rsidRPr="00EF2F18" w:rsidRDefault="007D7243" w:rsidP="00752CA0">
            <w:pPr>
              <w:spacing w:after="0"/>
              <w:rPr>
                <w:iCs/>
                <w:sz w:val="20"/>
                <w:lang w:val="sr-Cyrl-RS"/>
              </w:rPr>
            </w:pPr>
            <w:r w:rsidRPr="00EF2F18">
              <w:rPr>
                <w:iCs/>
                <w:sz w:val="20"/>
                <w:lang w:val="sr-Cyrl-RS"/>
              </w:rPr>
              <w:t>Регионални Архус центри</w:t>
            </w:r>
          </w:p>
        </w:tc>
      </w:tr>
      <w:tr w:rsidR="007D7243" w:rsidRPr="00EF2F18" w14:paraId="18518F5E"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2D12053C" w14:textId="77777777" w:rsidR="007D7243" w:rsidRPr="00EF2F18" w:rsidRDefault="007D7243" w:rsidP="00752CA0">
            <w:pPr>
              <w:tabs>
                <w:tab w:val="left" w:pos="1020"/>
              </w:tabs>
              <w:spacing w:after="0"/>
              <w:rPr>
                <w:sz w:val="20"/>
                <w:lang w:val="sr-Cyrl-RS"/>
              </w:rPr>
            </w:pPr>
            <w:r w:rsidRPr="00EF2F18">
              <w:rPr>
                <w:sz w:val="20"/>
                <w:lang w:val="sr-Cyrl-RS"/>
              </w:rPr>
              <w:t>РГЗ</w:t>
            </w:r>
          </w:p>
        </w:tc>
        <w:tc>
          <w:tcPr>
            <w:tcW w:w="6926" w:type="dxa"/>
            <w:tcBorders>
              <w:top w:val="single" w:sz="4" w:space="0" w:color="auto"/>
              <w:left w:val="single" w:sz="4" w:space="0" w:color="auto"/>
              <w:bottom w:val="single" w:sz="4" w:space="0" w:color="auto"/>
              <w:right w:val="single" w:sz="4" w:space="0" w:color="auto"/>
            </w:tcBorders>
          </w:tcPr>
          <w:p w14:paraId="275F912F" w14:textId="77777777" w:rsidR="007D7243" w:rsidRPr="00EF2F18" w:rsidRDefault="007D7243" w:rsidP="00752CA0">
            <w:pPr>
              <w:spacing w:after="0"/>
              <w:rPr>
                <w:iCs/>
                <w:sz w:val="20"/>
                <w:lang w:val="sr-Cyrl-RS"/>
              </w:rPr>
            </w:pPr>
            <w:r w:rsidRPr="00EF2F18">
              <w:rPr>
                <w:iCs/>
                <w:sz w:val="20"/>
                <w:lang w:val="sr-Cyrl-RS"/>
              </w:rPr>
              <w:t>Републички геодетски завод</w:t>
            </w:r>
          </w:p>
        </w:tc>
      </w:tr>
      <w:tr w:rsidR="007D7243" w:rsidRPr="00EF2F18" w14:paraId="557F3E47"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0BF5D415" w14:textId="77777777" w:rsidR="007D7243" w:rsidRPr="00EF2F18" w:rsidRDefault="007D7243" w:rsidP="00752CA0">
            <w:pPr>
              <w:tabs>
                <w:tab w:val="left" w:pos="1020"/>
              </w:tabs>
              <w:spacing w:after="0"/>
              <w:rPr>
                <w:sz w:val="20"/>
                <w:lang w:val="sr-Cyrl-RS"/>
              </w:rPr>
            </w:pPr>
            <w:r w:rsidRPr="00EF2F18">
              <w:rPr>
                <w:sz w:val="20"/>
                <w:lang w:val="sr-Cyrl-RS"/>
              </w:rPr>
              <w:t>РДВ</w:t>
            </w:r>
          </w:p>
        </w:tc>
        <w:tc>
          <w:tcPr>
            <w:tcW w:w="6926" w:type="dxa"/>
            <w:tcBorders>
              <w:top w:val="single" w:sz="4" w:space="0" w:color="auto"/>
              <w:left w:val="single" w:sz="4" w:space="0" w:color="auto"/>
              <w:bottom w:val="single" w:sz="4" w:space="0" w:color="auto"/>
              <w:right w:val="single" w:sz="4" w:space="0" w:color="auto"/>
            </w:tcBorders>
            <w:hideMark/>
          </w:tcPr>
          <w:p w14:paraId="70D5CF51" w14:textId="77777777" w:rsidR="007D7243" w:rsidRPr="00EF2F18" w:rsidRDefault="007D7243" w:rsidP="00752CA0">
            <w:pPr>
              <w:spacing w:after="0"/>
              <w:rPr>
                <w:iCs/>
                <w:sz w:val="20"/>
                <w:lang w:val="sr-Cyrl-RS"/>
              </w:rPr>
            </w:pPr>
            <w:r w:rsidRPr="00EF2F18">
              <w:rPr>
                <w:iCs/>
                <w:sz w:val="20"/>
                <w:lang w:val="sr-Cyrl-RS"/>
              </w:rPr>
              <w:t>Републичка дирекција за воде</w:t>
            </w:r>
          </w:p>
        </w:tc>
      </w:tr>
      <w:tr w:rsidR="007D7243" w:rsidRPr="00EF2F18" w14:paraId="1CB5B6A1"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0D84FA58" w14:textId="77777777" w:rsidR="007D7243" w:rsidRPr="00EF2F18" w:rsidRDefault="007D7243" w:rsidP="00752CA0">
            <w:pPr>
              <w:tabs>
                <w:tab w:val="left" w:pos="1020"/>
              </w:tabs>
              <w:spacing w:after="0"/>
              <w:rPr>
                <w:sz w:val="20"/>
                <w:lang w:val="sr-Cyrl-RS"/>
              </w:rPr>
            </w:pPr>
            <w:r w:rsidRPr="00EF2F18">
              <w:rPr>
                <w:sz w:val="20"/>
                <w:lang w:val="sr-Cyrl-RS"/>
              </w:rPr>
              <w:t>РЗС</w:t>
            </w:r>
          </w:p>
        </w:tc>
        <w:tc>
          <w:tcPr>
            <w:tcW w:w="6926" w:type="dxa"/>
            <w:tcBorders>
              <w:top w:val="single" w:sz="4" w:space="0" w:color="auto"/>
              <w:left w:val="single" w:sz="4" w:space="0" w:color="auto"/>
              <w:bottom w:val="single" w:sz="4" w:space="0" w:color="auto"/>
              <w:right w:val="single" w:sz="4" w:space="0" w:color="auto"/>
            </w:tcBorders>
            <w:hideMark/>
          </w:tcPr>
          <w:p w14:paraId="4184BF8F" w14:textId="77777777" w:rsidR="007D7243" w:rsidRPr="00EF2F18" w:rsidRDefault="007D7243" w:rsidP="00752CA0">
            <w:pPr>
              <w:spacing w:after="0"/>
              <w:rPr>
                <w:iCs/>
                <w:sz w:val="20"/>
                <w:lang w:val="sr-Cyrl-RS"/>
              </w:rPr>
            </w:pPr>
            <w:r w:rsidRPr="00EF2F18">
              <w:rPr>
                <w:iCs/>
                <w:sz w:val="20"/>
                <w:lang w:val="sr-Cyrl-RS"/>
              </w:rPr>
              <w:t>Републички завод за статистику</w:t>
            </w:r>
          </w:p>
        </w:tc>
      </w:tr>
      <w:tr w:rsidR="007D7243" w:rsidRPr="00EF2F18" w14:paraId="18BEE196"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022C04A0" w14:textId="77777777" w:rsidR="007D7243" w:rsidRPr="00EF2F18" w:rsidRDefault="007D7243" w:rsidP="00752CA0">
            <w:pPr>
              <w:tabs>
                <w:tab w:val="left" w:pos="1020"/>
              </w:tabs>
              <w:spacing w:after="0"/>
              <w:rPr>
                <w:sz w:val="20"/>
                <w:lang w:val="sr-Cyrl-RS"/>
              </w:rPr>
            </w:pPr>
            <w:r w:rsidRPr="00EF2F18">
              <w:rPr>
                <w:sz w:val="20"/>
                <w:lang w:val="sr-Cyrl-RS"/>
              </w:rPr>
              <w:t>РХМЗ</w:t>
            </w:r>
          </w:p>
        </w:tc>
        <w:tc>
          <w:tcPr>
            <w:tcW w:w="6926" w:type="dxa"/>
            <w:tcBorders>
              <w:top w:val="single" w:sz="4" w:space="0" w:color="auto"/>
              <w:left w:val="single" w:sz="4" w:space="0" w:color="auto"/>
              <w:bottom w:val="single" w:sz="4" w:space="0" w:color="auto"/>
              <w:right w:val="single" w:sz="4" w:space="0" w:color="auto"/>
            </w:tcBorders>
            <w:hideMark/>
          </w:tcPr>
          <w:p w14:paraId="6DBA2233" w14:textId="77777777" w:rsidR="007D7243" w:rsidRPr="00EF2F18" w:rsidRDefault="007D7243" w:rsidP="00752CA0">
            <w:pPr>
              <w:spacing w:after="0"/>
              <w:rPr>
                <w:iCs/>
                <w:sz w:val="20"/>
                <w:lang w:val="sr-Cyrl-RS"/>
              </w:rPr>
            </w:pPr>
            <w:r w:rsidRPr="00EF2F18">
              <w:rPr>
                <w:iCs/>
                <w:sz w:val="20"/>
                <w:lang w:val="sr-Cyrl-RS"/>
              </w:rPr>
              <w:t>Републички хидрометеоролошки завод</w:t>
            </w:r>
          </w:p>
        </w:tc>
      </w:tr>
      <w:tr w:rsidR="007D7243" w:rsidRPr="00EF2F18" w14:paraId="6ACCD4B3"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6DE106FD" w14:textId="77777777" w:rsidR="007D7243" w:rsidRPr="00EF2F18" w:rsidRDefault="007D7243" w:rsidP="00752CA0">
            <w:pPr>
              <w:tabs>
                <w:tab w:val="left" w:pos="1020"/>
              </w:tabs>
              <w:spacing w:after="0"/>
              <w:rPr>
                <w:sz w:val="20"/>
                <w:lang w:val="sr-Cyrl-RS"/>
              </w:rPr>
            </w:pPr>
            <w:r w:rsidRPr="00EF2F18">
              <w:rPr>
                <w:sz w:val="20"/>
                <w:lang w:val="sr-Cyrl-RS"/>
              </w:rPr>
              <w:t>РС</w:t>
            </w:r>
          </w:p>
        </w:tc>
        <w:tc>
          <w:tcPr>
            <w:tcW w:w="6926" w:type="dxa"/>
            <w:tcBorders>
              <w:top w:val="single" w:sz="4" w:space="0" w:color="auto"/>
              <w:left w:val="single" w:sz="4" w:space="0" w:color="auto"/>
              <w:bottom w:val="single" w:sz="4" w:space="0" w:color="auto"/>
              <w:right w:val="single" w:sz="4" w:space="0" w:color="auto"/>
            </w:tcBorders>
          </w:tcPr>
          <w:p w14:paraId="6CD60D65" w14:textId="77777777" w:rsidR="007D7243" w:rsidRPr="00EF2F18" w:rsidRDefault="007D7243" w:rsidP="00752CA0">
            <w:pPr>
              <w:spacing w:after="0"/>
              <w:rPr>
                <w:iCs/>
                <w:sz w:val="20"/>
                <w:lang w:val="sr-Cyrl-RS"/>
              </w:rPr>
            </w:pPr>
            <w:r w:rsidRPr="00EF2F18">
              <w:rPr>
                <w:iCs/>
                <w:sz w:val="20"/>
                <w:lang w:val="sr-Cyrl-RS"/>
              </w:rPr>
              <w:t>Република Србија</w:t>
            </w:r>
          </w:p>
        </w:tc>
      </w:tr>
      <w:tr w:rsidR="004734E8" w:rsidRPr="00EF2F18" w14:paraId="6E56BD67"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tcPr>
          <w:p w14:paraId="0741B848" w14:textId="174C1A0E" w:rsidR="004734E8" w:rsidRPr="00EF2F18" w:rsidRDefault="004734E8" w:rsidP="00752CA0">
            <w:pPr>
              <w:tabs>
                <w:tab w:val="left" w:pos="1020"/>
              </w:tabs>
              <w:spacing w:after="0"/>
              <w:rPr>
                <w:sz w:val="20"/>
                <w:lang w:val="sr-Cyrl-RS"/>
              </w:rPr>
            </w:pPr>
            <w:r w:rsidRPr="00EF2F18">
              <w:rPr>
                <w:sz w:val="20"/>
                <w:lang w:val="sr-Cyrl-RS"/>
              </w:rPr>
              <w:t>СИДА</w:t>
            </w:r>
          </w:p>
        </w:tc>
        <w:tc>
          <w:tcPr>
            <w:tcW w:w="6926" w:type="dxa"/>
            <w:tcBorders>
              <w:top w:val="single" w:sz="4" w:space="0" w:color="auto"/>
              <w:left w:val="single" w:sz="4" w:space="0" w:color="auto"/>
              <w:bottom w:val="single" w:sz="4" w:space="0" w:color="auto"/>
              <w:right w:val="single" w:sz="4" w:space="0" w:color="auto"/>
            </w:tcBorders>
          </w:tcPr>
          <w:p w14:paraId="7F475361" w14:textId="42B96A75" w:rsidR="004734E8" w:rsidRPr="00EF2F18" w:rsidRDefault="004734E8" w:rsidP="00752CA0">
            <w:pPr>
              <w:spacing w:after="0"/>
              <w:rPr>
                <w:iCs/>
                <w:sz w:val="20"/>
                <w:lang w:val="sr-Cyrl-RS"/>
              </w:rPr>
            </w:pPr>
            <w:r w:rsidRPr="00EF2F18">
              <w:rPr>
                <w:iCs/>
                <w:sz w:val="20"/>
                <w:lang w:val="sr-Cyrl-RS"/>
              </w:rPr>
              <w:t>Шведска развојна агенција</w:t>
            </w:r>
          </w:p>
        </w:tc>
      </w:tr>
      <w:tr w:rsidR="007D7243" w:rsidRPr="00EF2F18" w14:paraId="2362A55F"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4F08BE5A" w14:textId="77777777" w:rsidR="007D7243" w:rsidRPr="00EF2F18" w:rsidRDefault="007D7243" w:rsidP="00752CA0">
            <w:pPr>
              <w:tabs>
                <w:tab w:val="left" w:pos="1020"/>
              </w:tabs>
              <w:spacing w:after="0"/>
              <w:rPr>
                <w:sz w:val="20"/>
                <w:lang w:val="sr-Cyrl-RS"/>
              </w:rPr>
            </w:pPr>
            <w:r w:rsidRPr="00EF2F18">
              <w:rPr>
                <w:sz w:val="20"/>
                <w:lang w:val="sr-Cyrl-RS"/>
              </w:rPr>
              <w:t>СКГО</w:t>
            </w:r>
          </w:p>
        </w:tc>
        <w:tc>
          <w:tcPr>
            <w:tcW w:w="6926" w:type="dxa"/>
            <w:tcBorders>
              <w:top w:val="single" w:sz="4" w:space="0" w:color="auto"/>
              <w:left w:val="single" w:sz="4" w:space="0" w:color="auto"/>
              <w:bottom w:val="single" w:sz="4" w:space="0" w:color="auto"/>
              <w:right w:val="single" w:sz="4" w:space="0" w:color="auto"/>
            </w:tcBorders>
            <w:hideMark/>
          </w:tcPr>
          <w:p w14:paraId="1D7B6F1E" w14:textId="77777777" w:rsidR="007D7243" w:rsidRPr="00EF2F18" w:rsidRDefault="007D7243" w:rsidP="00752CA0">
            <w:pPr>
              <w:spacing w:after="0"/>
              <w:rPr>
                <w:iCs/>
                <w:sz w:val="20"/>
                <w:lang w:val="sr-Cyrl-RS"/>
              </w:rPr>
            </w:pPr>
            <w:r w:rsidRPr="00EF2F18">
              <w:rPr>
                <w:sz w:val="20"/>
                <w:lang w:val="sr-Cyrl-RS"/>
              </w:rPr>
              <w:t>Стална конференција градова и општина</w:t>
            </w:r>
          </w:p>
        </w:tc>
      </w:tr>
      <w:tr w:rsidR="007D7243" w:rsidRPr="00EF2F18" w14:paraId="6DB69D0E" w14:textId="77777777" w:rsidTr="00752CA0">
        <w:trPr>
          <w:trHeight w:val="149"/>
        </w:trPr>
        <w:tc>
          <w:tcPr>
            <w:tcW w:w="1259" w:type="dxa"/>
            <w:tcBorders>
              <w:top w:val="single" w:sz="4" w:space="0" w:color="auto"/>
              <w:left w:val="single" w:sz="4" w:space="0" w:color="auto"/>
              <w:bottom w:val="single" w:sz="4" w:space="0" w:color="auto"/>
              <w:right w:val="single" w:sz="4" w:space="0" w:color="auto"/>
            </w:tcBorders>
            <w:hideMark/>
          </w:tcPr>
          <w:p w14:paraId="1A6EEE54" w14:textId="77777777" w:rsidR="007D7243" w:rsidRPr="00EF2F18" w:rsidRDefault="007D7243" w:rsidP="00752CA0">
            <w:pPr>
              <w:tabs>
                <w:tab w:val="left" w:pos="1020"/>
              </w:tabs>
              <w:spacing w:after="0"/>
              <w:rPr>
                <w:sz w:val="20"/>
                <w:lang w:val="sr-Cyrl-RS"/>
              </w:rPr>
            </w:pPr>
            <w:r w:rsidRPr="00EF2F18">
              <w:rPr>
                <w:sz w:val="20"/>
                <w:lang w:val="sr-Cyrl-RS"/>
              </w:rPr>
              <w:t>СРБАТОМ</w:t>
            </w:r>
          </w:p>
        </w:tc>
        <w:tc>
          <w:tcPr>
            <w:tcW w:w="6926" w:type="dxa"/>
            <w:tcBorders>
              <w:top w:val="single" w:sz="4" w:space="0" w:color="auto"/>
              <w:left w:val="single" w:sz="4" w:space="0" w:color="auto"/>
              <w:bottom w:val="single" w:sz="4" w:space="0" w:color="auto"/>
              <w:right w:val="single" w:sz="4" w:space="0" w:color="auto"/>
            </w:tcBorders>
            <w:hideMark/>
          </w:tcPr>
          <w:p w14:paraId="2CB9C490" w14:textId="77777777" w:rsidR="007D7243" w:rsidRPr="00EF2F18" w:rsidRDefault="007D7243" w:rsidP="00752CA0">
            <w:pPr>
              <w:spacing w:after="0"/>
              <w:rPr>
                <w:sz w:val="20"/>
                <w:lang w:val="sr-Cyrl-RS"/>
              </w:rPr>
            </w:pPr>
            <w:r w:rsidRPr="00EF2F18">
              <w:rPr>
                <w:sz w:val="20"/>
                <w:lang w:val="sr-Cyrl-RS"/>
              </w:rPr>
              <w:t>Директорат за радијациону и нуклеарну сигурност и безбедност Србије</w:t>
            </w:r>
          </w:p>
        </w:tc>
      </w:tr>
      <w:tr w:rsidR="007D7243" w:rsidRPr="00EF2F18" w14:paraId="43525051" w14:textId="77777777" w:rsidTr="00752CA0">
        <w:trPr>
          <w:trHeight w:val="149"/>
        </w:trPr>
        <w:tc>
          <w:tcPr>
            <w:tcW w:w="1259" w:type="dxa"/>
          </w:tcPr>
          <w:p w14:paraId="11B40CA3" w14:textId="77777777" w:rsidR="007D7243" w:rsidRPr="00EF2F18" w:rsidRDefault="007D7243" w:rsidP="00752CA0">
            <w:pPr>
              <w:tabs>
                <w:tab w:val="left" w:pos="1020"/>
              </w:tabs>
              <w:spacing w:after="0"/>
              <w:rPr>
                <w:sz w:val="20"/>
                <w:lang w:val="sr-Cyrl-RS"/>
              </w:rPr>
            </w:pPr>
            <w:r w:rsidRPr="00EF2F18">
              <w:rPr>
                <w:rFonts w:eastAsia="Calibri"/>
                <w:color w:val="000000"/>
                <w:kern w:val="24"/>
                <w:sz w:val="20"/>
                <w:lang w:val="sr-Cyrl-RS"/>
              </w:rPr>
              <w:t>УАП</w:t>
            </w:r>
          </w:p>
        </w:tc>
        <w:tc>
          <w:tcPr>
            <w:tcW w:w="6926" w:type="dxa"/>
          </w:tcPr>
          <w:p w14:paraId="43558814" w14:textId="77777777" w:rsidR="007D7243" w:rsidRPr="00EF2F18" w:rsidRDefault="007D7243" w:rsidP="00752CA0">
            <w:pPr>
              <w:spacing w:after="0"/>
              <w:rPr>
                <w:iCs/>
                <w:sz w:val="20"/>
                <w:lang w:val="sr-Cyrl-RS"/>
              </w:rPr>
            </w:pPr>
            <w:r w:rsidRPr="00EF2F18">
              <w:rPr>
                <w:iCs/>
                <w:sz w:val="20"/>
                <w:lang w:val="sr-Cyrl-RS"/>
              </w:rPr>
              <w:t>Управа за аграрна плаћања</w:t>
            </w:r>
          </w:p>
        </w:tc>
      </w:tr>
      <w:tr w:rsidR="007D7243" w:rsidRPr="00EF2F18" w14:paraId="746A3249" w14:textId="77777777" w:rsidTr="00752CA0">
        <w:trPr>
          <w:trHeight w:val="149"/>
        </w:trPr>
        <w:tc>
          <w:tcPr>
            <w:tcW w:w="1259" w:type="dxa"/>
          </w:tcPr>
          <w:p w14:paraId="47E0003A" w14:textId="77777777" w:rsidR="007D7243" w:rsidRPr="00EF2F18" w:rsidRDefault="007D7243" w:rsidP="00752CA0">
            <w:pPr>
              <w:tabs>
                <w:tab w:val="left" w:pos="1020"/>
              </w:tabs>
              <w:spacing w:after="0"/>
              <w:rPr>
                <w:rFonts w:eastAsia="Calibri"/>
                <w:color w:val="000000"/>
                <w:kern w:val="24"/>
                <w:sz w:val="20"/>
                <w:lang w:val="sr-Cyrl-RS"/>
              </w:rPr>
            </w:pPr>
            <w:r w:rsidRPr="00EF2F18">
              <w:rPr>
                <w:rFonts w:eastAsia="Calibri"/>
                <w:color w:val="000000"/>
                <w:kern w:val="24"/>
                <w:sz w:val="20"/>
                <w:lang w:val="sr-Cyrl-RS"/>
              </w:rPr>
              <w:t xml:space="preserve">УН </w:t>
            </w:r>
          </w:p>
        </w:tc>
        <w:tc>
          <w:tcPr>
            <w:tcW w:w="6926" w:type="dxa"/>
          </w:tcPr>
          <w:p w14:paraId="777591E0" w14:textId="77777777" w:rsidR="007D7243" w:rsidRPr="00EF2F18" w:rsidRDefault="007D7243" w:rsidP="00752CA0">
            <w:pPr>
              <w:spacing w:after="0"/>
              <w:rPr>
                <w:iCs/>
                <w:sz w:val="20"/>
                <w:lang w:val="sr-Cyrl-RS"/>
              </w:rPr>
            </w:pPr>
            <w:r w:rsidRPr="00EF2F18">
              <w:rPr>
                <w:iCs/>
                <w:sz w:val="20"/>
                <w:lang w:val="sr-Cyrl-RS"/>
              </w:rPr>
              <w:t>Уједињене нације</w:t>
            </w:r>
          </w:p>
        </w:tc>
      </w:tr>
      <w:tr w:rsidR="007D7243" w:rsidRPr="00EF2F18" w14:paraId="7285FCFF" w14:textId="77777777" w:rsidTr="00752CA0">
        <w:trPr>
          <w:trHeight w:val="149"/>
        </w:trPr>
        <w:tc>
          <w:tcPr>
            <w:tcW w:w="1259" w:type="dxa"/>
          </w:tcPr>
          <w:p w14:paraId="29181AB9" w14:textId="77777777" w:rsidR="007D7243" w:rsidRPr="00EF2F18" w:rsidRDefault="007D7243" w:rsidP="00752CA0">
            <w:pPr>
              <w:tabs>
                <w:tab w:val="left" w:pos="1020"/>
              </w:tabs>
              <w:spacing w:after="0"/>
              <w:rPr>
                <w:rFonts w:eastAsia="Calibri"/>
                <w:color w:val="000000"/>
                <w:kern w:val="24"/>
                <w:sz w:val="20"/>
                <w:lang w:val="sr-Cyrl-RS"/>
              </w:rPr>
            </w:pPr>
            <w:r w:rsidRPr="00EF2F18">
              <w:rPr>
                <w:rFonts w:eastAsia="Calibri"/>
                <w:color w:val="000000"/>
                <w:kern w:val="24"/>
                <w:sz w:val="20"/>
                <w:lang w:val="sr-Cyrl-RS"/>
              </w:rPr>
              <w:t>УНДП</w:t>
            </w:r>
          </w:p>
        </w:tc>
        <w:tc>
          <w:tcPr>
            <w:tcW w:w="6926" w:type="dxa"/>
          </w:tcPr>
          <w:p w14:paraId="1CC5FCF5" w14:textId="77777777" w:rsidR="007D7243" w:rsidRPr="00EF2F18" w:rsidRDefault="007D7243" w:rsidP="00752CA0">
            <w:pPr>
              <w:spacing w:after="0"/>
              <w:rPr>
                <w:iCs/>
                <w:sz w:val="20"/>
                <w:lang w:val="sr-Cyrl-RS"/>
              </w:rPr>
            </w:pPr>
            <w:r w:rsidRPr="00EF2F18">
              <w:rPr>
                <w:iCs/>
                <w:sz w:val="20"/>
                <w:lang w:val="sr-Cyrl-RS"/>
              </w:rPr>
              <w:t>Програм Уједињених нација за развој</w:t>
            </w:r>
          </w:p>
        </w:tc>
      </w:tr>
      <w:tr w:rsidR="007D7243" w:rsidRPr="00EF2F18" w14:paraId="45AE4584" w14:textId="77777777" w:rsidTr="00752CA0">
        <w:trPr>
          <w:trHeight w:val="149"/>
        </w:trPr>
        <w:tc>
          <w:tcPr>
            <w:tcW w:w="1259" w:type="dxa"/>
          </w:tcPr>
          <w:p w14:paraId="1947B31B" w14:textId="77777777" w:rsidR="007D7243" w:rsidRPr="00EF2F18" w:rsidRDefault="007D7243" w:rsidP="00752CA0">
            <w:pPr>
              <w:tabs>
                <w:tab w:val="left" w:pos="1020"/>
              </w:tabs>
              <w:spacing w:after="0"/>
              <w:rPr>
                <w:rFonts w:eastAsia="Calibri"/>
                <w:color w:val="000000"/>
                <w:kern w:val="24"/>
                <w:sz w:val="20"/>
                <w:lang w:val="sr-Cyrl-RS"/>
              </w:rPr>
            </w:pPr>
            <w:r w:rsidRPr="00EF2F18">
              <w:rPr>
                <w:rFonts w:eastAsia="Calibri"/>
                <w:color w:val="000000"/>
                <w:kern w:val="24"/>
                <w:sz w:val="20"/>
                <w:lang w:val="sr-Cyrl-RS"/>
              </w:rPr>
              <w:t>УНЕП</w:t>
            </w:r>
          </w:p>
        </w:tc>
        <w:tc>
          <w:tcPr>
            <w:tcW w:w="6926" w:type="dxa"/>
          </w:tcPr>
          <w:p w14:paraId="6EAEDF02" w14:textId="77777777" w:rsidR="007D7243" w:rsidRPr="00EF2F18" w:rsidRDefault="007D7243" w:rsidP="00752CA0">
            <w:pPr>
              <w:spacing w:after="0"/>
              <w:rPr>
                <w:iCs/>
                <w:sz w:val="20"/>
                <w:lang w:val="sr-Cyrl-RS"/>
              </w:rPr>
            </w:pPr>
            <w:r w:rsidRPr="00EF2F18">
              <w:rPr>
                <w:iCs/>
                <w:sz w:val="20"/>
                <w:lang w:val="sr-Cyrl-RS"/>
              </w:rPr>
              <w:t>Програм Уједињених нација за животну средину</w:t>
            </w:r>
          </w:p>
        </w:tc>
      </w:tr>
      <w:tr w:rsidR="007D7243" w:rsidRPr="00EF2F18" w14:paraId="1FC12F11" w14:textId="77777777" w:rsidTr="00752CA0">
        <w:trPr>
          <w:trHeight w:val="149"/>
        </w:trPr>
        <w:tc>
          <w:tcPr>
            <w:tcW w:w="1259" w:type="dxa"/>
          </w:tcPr>
          <w:p w14:paraId="49ADA11C" w14:textId="77777777" w:rsidR="007D7243" w:rsidRPr="00EF2F18" w:rsidRDefault="007D7243" w:rsidP="00752CA0">
            <w:pPr>
              <w:tabs>
                <w:tab w:val="left" w:pos="1020"/>
              </w:tabs>
              <w:spacing w:after="0"/>
              <w:rPr>
                <w:rFonts w:eastAsia="Calibri"/>
                <w:color w:val="000000"/>
                <w:kern w:val="24"/>
                <w:sz w:val="20"/>
                <w:lang w:val="sr-Cyrl-RS"/>
              </w:rPr>
            </w:pPr>
            <w:r w:rsidRPr="00EF2F18">
              <w:rPr>
                <w:rFonts w:eastAsia="Calibri"/>
                <w:color w:val="000000"/>
                <w:kern w:val="24"/>
                <w:sz w:val="20"/>
                <w:lang w:val="sr-Cyrl-RS"/>
              </w:rPr>
              <w:t>УНИЦЕФ</w:t>
            </w:r>
          </w:p>
        </w:tc>
        <w:tc>
          <w:tcPr>
            <w:tcW w:w="6926" w:type="dxa"/>
          </w:tcPr>
          <w:p w14:paraId="250A85F1" w14:textId="77777777" w:rsidR="007D7243" w:rsidRPr="00EF2F18" w:rsidRDefault="007D7243" w:rsidP="00752CA0">
            <w:pPr>
              <w:spacing w:after="0"/>
              <w:rPr>
                <w:iCs/>
                <w:sz w:val="20"/>
                <w:lang w:val="sr-Cyrl-RS"/>
              </w:rPr>
            </w:pPr>
            <w:r w:rsidRPr="00EF2F18">
              <w:rPr>
                <w:iCs/>
                <w:sz w:val="20"/>
                <w:lang w:val="sr-Cyrl-RS"/>
              </w:rPr>
              <w:t>Дечји фонд Уједињених нација</w:t>
            </w:r>
          </w:p>
        </w:tc>
      </w:tr>
      <w:tr w:rsidR="007D7243" w:rsidRPr="00EF2F18" w14:paraId="752BE104" w14:textId="77777777" w:rsidTr="00752CA0">
        <w:trPr>
          <w:trHeight w:val="149"/>
        </w:trPr>
        <w:tc>
          <w:tcPr>
            <w:tcW w:w="1259" w:type="dxa"/>
          </w:tcPr>
          <w:p w14:paraId="513761B6" w14:textId="77777777" w:rsidR="007D7243" w:rsidRPr="00EF2F18" w:rsidRDefault="007D7243" w:rsidP="00752CA0">
            <w:pPr>
              <w:tabs>
                <w:tab w:val="left" w:pos="1020"/>
              </w:tabs>
              <w:spacing w:after="0"/>
              <w:rPr>
                <w:rFonts w:eastAsia="Calibri"/>
                <w:color w:val="000000"/>
                <w:kern w:val="24"/>
                <w:sz w:val="20"/>
                <w:lang w:val="sr-Cyrl-RS"/>
              </w:rPr>
            </w:pPr>
            <w:r w:rsidRPr="00EF2F18">
              <w:rPr>
                <w:rFonts w:eastAsia="Calibri"/>
                <w:color w:val="000000"/>
                <w:kern w:val="24"/>
                <w:sz w:val="20"/>
                <w:lang w:val="sr-Cyrl-RS"/>
              </w:rPr>
              <w:t>УПЗ</w:t>
            </w:r>
          </w:p>
        </w:tc>
        <w:tc>
          <w:tcPr>
            <w:tcW w:w="6926" w:type="dxa"/>
          </w:tcPr>
          <w:p w14:paraId="54AC6858" w14:textId="77777777" w:rsidR="007D7243" w:rsidRPr="00EF2F18" w:rsidRDefault="007D7243" w:rsidP="00752CA0">
            <w:pPr>
              <w:spacing w:after="0"/>
              <w:rPr>
                <w:iCs/>
                <w:sz w:val="20"/>
                <w:lang w:val="sr-Cyrl-RS"/>
              </w:rPr>
            </w:pPr>
            <w:r w:rsidRPr="00EF2F18">
              <w:rPr>
                <w:iCs/>
                <w:sz w:val="20"/>
                <w:lang w:val="sr-Cyrl-RS"/>
              </w:rPr>
              <w:t>Управа за пољопривредно земљиште</w:t>
            </w:r>
          </w:p>
        </w:tc>
      </w:tr>
      <w:tr w:rsidR="007D7243" w:rsidRPr="00EF2F18" w14:paraId="1B1585AE" w14:textId="77777777" w:rsidTr="00752CA0">
        <w:trPr>
          <w:trHeight w:val="149"/>
        </w:trPr>
        <w:tc>
          <w:tcPr>
            <w:tcW w:w="1259" w:type="dxa"/>
          </w:tcPr>
          <w:p w14:paraId="2F64499F" w14:textId="77777777" w:rsidR="007D7243" w:rsidRPr="00EF2F18" w:rsidRDefault="007D7243" w:rsidP="00752CA0">
            <w:pPr>
              <w:tabs>
                <w:tab w:val="left" w:pos="1020"/>
              </w:tabs>
              <w:spacing w:after="0"/>
              <w:rPr>
                <w:rFonts w:eastAsia="Calibri"/>
                <w:color w:val="000000"/>
                <w:kern w:val="24"/>
                <w:sz w:val="20"/>
                <w:lang w:val="sr-Cyrl-RS"/>
              </w:rPr>
            </w:pPr>
            <w:r w:rsidRPr="00EF2F18">
              <w:rPr>
                <w:rFonts w:eastAsia="Calibri"/>
                <w:color w:val="000000"/>
                <w:kern w:val="24"/>
                <w:sz w:val="20"/>
                <w:lang w:val="sr-Cyrl-RS"/>
              </w:rPr>
              <w:t>ЦОР</w:t>
            </w:r>
          </w:p>
        </w:tc>
        <w:tc>
          <w:tcPr>
            <w:tcW w:w="6926" w:type="dxa"/>
          </w:tcPr>
          <w:p w14:paraId="35691348" w14:textId="77777777" w:rsidR="007D7243" w:rsidRPr="00EF2F18" w:rsidRDefault="007D7243" w:rsidP="00752CA0">
            <w:pPr>
              <w:spacing w:after="0"/>
              <w:rPr>
                <w:iCs/>
                <w:sz w:val="20"/>
                <w:lang w:val="sr-Cyrl-RS"/>
              </w:rPr>
            </w:pPr>
            <w:r w:rsidRPr="00EF2F18">
              <w:rPr>
                <w:iCs/>
                <w:sz w:val="20"/>
                <w:lang w:val="sr-Cyrl-RS"/>
              </w:rPr>
              <w:t>Циљеви одрживог развоја</w:t>
            </w:r>
          </w:p>
        </w:tc>
      </w:tr>
    </w:tbl>
    <w:p w14:paraId="629945B9" w14:textId="77777777" w:rsidR="007D7243" w:rsidRPr="00EF2F18" w:rsidRDefault="007D7243" w:rsidP="00630969">
      <w:pPr>
        <w:spacing w:after="0"/>
        <w:jc w:val="both"/>
        <w:rPr>
          <w:rFonts w:cs="Times New Roman"/>
          <w:sz w:val="22"/>
          <w:lang w:val="sr-Cyrl-RS"/>
        </w:rPr>
        <w:sectPr w:rsidR="007D7243" w:rsidRPr="00EF2F18" w:rsidSect="008A4E3F">
          <w:pgSz w:w="16840" w:h="11907" w:orient="landscape" w:code="9"/>
          <w:pgMar w:top="1440" w:right="1440" w:bottom="1440" w:left="1440" w:header="720" w:footer="720" w:gutter="0"/>
          <w:cols w:space="720"/>
          <w:docGrid w:linePitch="360"/>
        </w:sectPr>
      </w:pPr>
    </w:p>
    <w:p w14:paraId="716A30B6" w14:textId="77777777" w:rsidR="001D6C6A" w:rsidRPr="00EF2F18" w:rsidRDefault="001D6C6A" w:rsidP="00403C2B">
      <w:pPr>
        <w:spacing w:after="0"/>
        <w:jc w:val="both"/>
        <w:rPr>
          <w:rFonts w:cs="Times New Roman"/>
          <w:sz w:val="22"/>
          <w:lang w:val="sr-Cyrl-RS"/>
        </w:rPr>
      </w:pPr>
    </w:p>
    <w:p w14:paraId="55F76959" w14:textId="21ACA861" w:rsidR="001D398C" w:rsidRPr="00EF2F18" w:rsidRDefault="001D398C" w:rsidP="00A74A0A">
      <w:pPr>
        <w:pStyle w:val="Heading1"/>
        <w:numPr>
          <w:ilvl w:val="0"/>
          <w:numId w:val="2"/>
        </w:numPr>
        <w:ind w:left="1440" w:hanging="630"/>
        <w:jc w:val="center"/>
        <w:rPr>
          <w:rFonts w:cs="Times New Roman"/>
          <w:sz w:val="22"/>
          <w:szCs w:val="22"/>
          <w:lang w:val="sr-Cyrl-RS"/>
        </w:rPr>
      </w:pPr>
      <w:bookmarkStart w:id="179" w:name="_Toc158307751"/>
      <w:r w:rsidRPr="00EF2F18">
        <w:rPr>
          <w:rFonts w:cs="Times New Roman"/>
          <w:sz w:val="22"/>
          <w:szCs w:val="22"/>
          <w:lang w:val="sr-Cyrl-RS"/>
        </w:rPr>
        <w:t xml:space="preserve">ЛИСТА ПРОПИСА КОЈЕ ТРЕБА ИЗМЕНИТИ ИЛИ УСВОЈИТИ РАДИ СПРОВОЂЕЊА </w:t>
      </w:r>
      <w:r w:rsidR="00A46181" w:rsidRPr="00EF2F18">
        <w:rPr>
          <w:rFonts w:cs="Times New Roman"/>
          <w:sz w:val="22"/>
          <w:szCs w:val="22"/>
          <w:lang w:val="sr-Cyrl-RS"/>
        </w:rPr>
        <w:t>СТРАТЕГИЈЕ</w:t>
      </w:r>
      <w:bookmarkEnd w:id="179"/>
    </w:p>
    <w:p w14:paraId="3EFDD0E8" w14:textId="505E5008" w:rsidR="001D398C" w:rsidRPr="00EF2F18" w:rsidRDefault="001D398C" w:rsidP="001D398C">
      <w:pPr>
        <w:rPr>
          <w:rFonts w:cs="Times New Roman"/>
          <w:sz w:val="22"/>
          <w:lang w:val="sr-Cyrl-RS"/>
        </w:rPr>
      </w:pPr>
    </w:p>
    <w:p w14:paraId="7081B90C" w14:textId="6BF6AB51" w:rsidR="00524E1E" w:rsidRPr="00EF2F18" w:rsidRDefault="00524E1E" w:rsidP="00524E1E">
      <w:pPr>
        <w:pStyle w:val="Caption"/>
        <w:spacing w:after="0" w:line="240" w:lineRule="auto"/>
        <w:ind w:firstLine="720"/>
        <w:rPr>
          <w:rFonts w:ascii="Times New Roman" w:hAnsi="Times New Roman"/>
          <w:b w:val="0"/>
          <w:sz w:val="22"/>
          <w:szCs w:val="22"/>
          <w:lang w:val="sr-Cyrl-RS"/>
        </w:rPr>
      </w:pPr>
      <w:r w:rsidRPr="00EF2F18">
        <w:rPr>
          <w:rFonts w:ascii="Times New Roman" w:hAnsi="Times New Roman"/>
          <w:b w:val="0"/>
          <w:sz w:val="22"/>
          <w:szCs w:val="22"/>
          <w:lang w:val="sr-Cyrl-RS"/>
        </w:rPr>
        <w:t xml:space="preserve">Одређене разлике између законодавства </w:t>
      </w:r>
      <w:r w:rsidR="00380A9F" w:rsidRPr="00EF2F18">
        <w:rPr>
          <w:rFonts w:ascii="Times New Roman" w:hAnsi="Times New Roman"/>
          <w:b w:val="0"/>
          <w:sz w:val="22"/>
          <w:szCs w:val="22"/>
          <w:lang w:val="sr-Cyrl-RS"/>
        </w:rPr>
        <w:t xml:space="preserve">у оквиру </w:t>
      </w:r>
      <w:r w:rsidR="00C204C6" w:rsidRPr="00EF2F18">
        <w:rPr>
          <w:rFonts w:ascii="Times New Roman" w:hAnsi="Times New Roman"/>
          <w:b w:val="0"/>
          <w:sz w:val="22"/>
          <w:szCs w:val="22"/>
          <w:lang w:val="sr-Cyrl-RS"/>
        </w:rPr>
        <w:t xml:space="preserve">Кластера </w:t>
      </w:r>
      <w:r w:rsidR="00380A9F" w:rsidRPr="00EF2F18">
        <w:rPr>
          <w:rFonts w:ascii="Times New Roman" w:hAnsi="Times New Roman"/>
          <w:b w:val="0"/>
          <w:sz w:val="22"/>
          <w:szCs w:val="22"/>
          <w:lang w:val="sr-Cyrl-RS"/>
        </w:rPr>
        <w:t xml:space="preserve">4 </w:t>
      </w:r>
      <w:r w:rsidR="004E7A51" w:rsidRPr="00EF2F18">
        <w:rPr>
          <w:rFonts w:ascii="Times New Roman" w:hAnsi="Times New Roman"/>
          <w:b w:val="0"/>
          <w:sz w:val="22"/>
          <w:szCs w:val="22"/>
          <w:lang w:val="sr-Cyrl-RS"/>
        </w:rPr>
        <w:t>–</w:t>
      </w:r>
      <w:r w:rsidR="00380A9F" w:rsidRPr="00EF2F18">
        <w:rPr>
          <w:rFonts w:ascii="Times New Roman" w:hAnsi="Times New Roman"/>
          <w:b w:val="0"/>
          <w:sz w:val="22"/>
          <w:szCs w:val="22"/>
          <w:lang w:val="sr-Cyrl-RS"/>
        </w:rPr>
        <w:t xml:space="preserve"> Зелена агенда и одржива повезаност</w:t>
      </w:r>
      <w:r w:rsidRPr="00EF2F18">
        <w:rPr>
          <w:rFonts w:ascii="Times New Roman" w:hAnsi="Times New Roman"/>
          <w:b w:val="0"/>
          <w:sz w:val="22"/>
          <w:szCs w:val="22"/>
          <w:lang w:val="sr-Cyrl-RS"/>
        </w:rPr>
        <w:t xml:space="preserve"> у Републици Србији и правних тековина ЕУ захтевају додатно прилагођавање законодавства Републике Србије о заштити животне средине у процесу приближавања ЕУ.</w:t>
      </w:r>
    </w:p>
    <w:p w14:paraId="3BA4F473" w14:textId="5D814570" w:rsidR="00524E1E" w:rsidRPr="00EF2F18" w:rsidRDefault="00524E1E" w:rsidP="00524E1E">
      <w:pPr>
        <w:spacing w:after="0"/>
        <w:ind w:firstLine="720"/>
        <w:jc w:val="both"/>
        <w:rPr>
          <w:rFonts w:cs="Times New Roman"/>
          <w:sz w:val="22"/>
          <w:lang w:val="sr-Cyrl-RS"/>
        </w:rPr>
      </w:pPr>
      <w:r w:rsidRPr="00EF2F18">
        <w:rPr>
          <w:rFonts w:cs="Times New Roman"/>
          <w:sz w:val="22"/>
          <w:lang w:val="sr-Cyrl-RS"/>
        </w:rPr>
        <w:t>Кључни прописи које је потребно изменити или усвојити ради спровођења Стратегије су нарочито:</w:t>
      </w:r>
    </w:p>
    <w:p w14:paraId="73560EE6" w14:textId="45904E7D" w:rsidR="00930ADD" w:rsidRPr="00EF2F18" w:rsidRDefault="00930ADD" w:rsidP="00313E8E">
      <w:pPr>
        <w:pStyle w:val="ListParagraph"/>
        <w:numPr>
          <w:ilvl w:val="0"/>
          <w:numId w:val="12"/>
        </w:numPr>
        <w:spacing w:after="0"/>
        <w:jc w:val="both"/>
        <w:rPr>
          <w:rFonts w:cs="Times New Roman"/>
          <w:sz w:val="22"/>
          <w:lang w:val="sr-Cyrl-RS"/>
        </w:rPr>
      </w:pPr>
      <w:r w:rsidRPr="00EF2F18">
        <w:rPr>
          <w:rFonts w:cs="Times New Roman"/>
          <w:sz w:val="22"/>
          <w:lang w:val="sr-Cyrl-RS"/>
        </w:rPr>
        <w:t>Закон о климатским променама</w:t>
      </w:r>
      <w:r w:rsidR="00790673" w:rsidRPr="00EF2F18">
        <w:rPr>
          <w:rFonts w:cs="Times New Roman"/>
          <w:sz w:val="22"/>
          <w:lang w:val="sr-Cyrl-RS"/>
        </w:rPr>
        <w:t>;</w:t>
      </w:r>
      <w:r w:rsidR="005E42D2" w:rsidRPr="00EF2F18">
        <w:rPr>
          <w:rFonts w:cs="Times New Roman"/>
          <w:sz w:val="22"/>
          <w:lang w:val="sr-Cyrl-RS"/>
        </w:rPr>
        <w:t xml:space="preserve"> </w:t>
      </w:r>
    </w:p>
    <w:p w14:paraId="6C7C01CA" w14:textId="7F34CC0F" w:rsidR="00930ADD" w:rsidRPr="00EF2F18" w:rsidRDefault="00930ADD" w:rsidP="00313E8E">
      <w:pPr>
        <w:pStyle w:val="ListParagraph"/>
        <w:numPr>
          <w:ilvl w:val="0"/>
          <w:numId w:val="12"/>
        </w:numPr>
        <w:spacing w:after="0"/>
        <w:jc w:val="both"/>
        <w:rPr>
          <w:rFonts w:cs="Times New Roman"/>
          <w:sz w:val="22"/>
          <w:lang w:val="sr-Cyrl-RS"/>
        </w:rPr>
      </w:pPr>
      <w:r w:rsidRPr="00EF2F18">
        <w:rPr>
          <w:rFonts w:cs="Times New Roman"/>
          <w:sz w:val="22"/>
          <w:lang w:val="sr-Cyrl-RS"/>
        </w:rPr>
        <w:t>Закон о планирању и изградњи</w:t>
      </w:r>
      <w:r w:rsidR="00790673" w:rsidRPr="00EF2F18">
        <w:rPr>
          <w:rFonts w:cs="Times New Roman"/>
          <w:sz w:val="22"/>
          <w:lang w:val="sr-Cyrl-RS"/>
        </w:rPr>
        <w:t>;</w:t>
      </w:r>
      <w:r w:rsidR="005E42D2" w:rsidRPr="00EF2F18">
        <w:rPr>
          <w:rFonts w:cs="Times New Roman"/>
          <w:sz w:val="22"/>
          <w:lang w:val="sr-Cyrl-RS"/>
        </w:rPr>
        <w:t xml:space="preserve"> </w:t>
      </w:r>
    </w:p>
    <w:p w14:paraId="1E265839" w14:textId="3FB7ACD3" w:rsidR="002D2B52" w:rsidRPr="00EF2F18" w:rsidRDefault="002D2B52"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заштити животне средине;</w:t>
      </w:r>
    </w:p>
    <w:p w14:paraId="0120EDEA" w14:textId="77777777" w:rsidR="00790673" w:rsidRPr="00EF2F18" w:rsidRDefault="00790673"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водама;</w:t>
      </w:r>
    </w:p>
    <w:p w14:paraId="3F5FBB10" w14:textId="0382F2BB" w:rsidR="00097F1A" w:rsidRPr="00EF2F18" w:rsidRDefault="00097F1A"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земљишту;</w:t>
      </w:r>
    </w:p>
    <w:p w14:paraId="34EB4460" w14:textId="77777777" w:rsidR="00790673" w:rsidRPr="00EF2F18" w:rsidRDefault="00790673"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интегрисаном спречавању и контроли загађивања животне средине;</w:t>
      </w:r>
    </w:p>
    <w:p w14:paraId="08F368F9" w14:textId="77777777" w:rsidR="00790673" w:rsidRPr="00EF2F18" w:rsidRDefault="00790673"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управљању отпадом;</w:t>
      </w:r>
    </w:p>
    <w:p w14:paraId="7D0ECEA0" w14:textId="77777777" w:rsidR="00790673" w:rsidRPr="00EF2F18" w:rsidRDefault="00790673"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амбалажи и амбалажном отпаду;</w:t>
      </w:r>
    </w:p>
    <w:p w14:paraId="3C19DCD7" w14:textId="77777777" w:rsidR="00790673" w:rsidRPr="00EF2F18" w:rsidRDefault="00790673"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Закон о накнадама за коришћење јавних добара;</w:t>
      </w:r>
    </w:p>
    <w:p w14:paraId="5F3EBBC8" w14:textId="75186957" w:rsidR="005968B3" w:rsidRPr="00EF2F18" w:rsidRDefault="005968B3" w:rsidP="00313E8E">
      <w:pPr>
        <w:pStyle w:val="ListParagraph"/>
        <w:numPr>
          <w:ilvl w:val="0"/>
          <w:numId w:val="12"/>
        </w:numPr>
        <w:spacing w:after="0"/>
        <w:contextualSpacing w:val="0"/>
        <w:jc w:val="both"/>
        <w:rPr>
          <w:rFonts w:cs="Times New Roman"/>
          <w:sz w:val="22"/>
          <w:lang w:val="sr-Cyrl-RS"/>
        </w:rPr>
      </w:pPr>
      <w:r w:rsidRPr="00EF2F18">
        <w:rPr>
          <w:rFonts w:cs="Times New Roman"/>
          <w:sz w:val="22"/>
          <w:lang w:val="sr-Cyrl-RS"/>
        </w:rPr>
        <w:t>Уредб</w:t>
      </w:r>
      <w:r w:rsidR="00380A9F" w:rsidRPr="00EF2F18">
        <w:rPr>
          <w:rFonts w:cs="Times New Roman"/>
          <w:sz w:val="22"/>
          <w:lang w:val="sr-Cyrl-RS"/>
        </w:rPr>
        <w:t>а</w:t>
      </w:r>
      <w:r w:rsidRPr="00EF2F18">
        <w:rPr>
          <w:rFonts w:cs="Times New Roman"/>
          <w:sz w:val="22"/>
          <w:lang w:val="sr-Cyrl-RS"/>
        </w:rPr>
        <w:t xml:space="preserve"> о увозу моторних возила;</w:t>
      </w:r>
    </w:p>
    <w:p w14:paraId="39D9A0E8" w14:textId="40811608" w:rsidR="00CB3189" w:rsidRPr="00EF2F18" w:rsidRDefault="00CB3189" w:rsidP="00313E8E">
      <w:pPr>
        <w:pStyle w:val="ListParagraph"/>
        <w:numPr>
          <w:ilvl w:val="0"/>
          <w:numId w:val="12"/>
        </w:numPr>
        <w:spacing w:after="0"/>
        <w:contextualSpacing w:val="0"/>
        <w:jc w:val="both"/>
        <w:rPr>
          <w:rFonts w:cs="Times New Roman"/>
          <w:sz w:val="22"/>
          <w:lang w:val="sr-Cyrl-RS"/>
        </w:rPr>
      </w:pPr>
      <w:r w:rsidRPr="00EF2F18">
        <w:rPr>
          <w:sz w:val="22"/>
          <w:lang w:val="sr-Cyrl-RS"/>
        </w:rPr>
        <w:t>Закон о одговорности за штету према животној средини;</w:t>
      </w:r>
    </w:p>
    <w:p w14:paraId="15231DD4" w14:textId="7E425CD6" w:rsidR="00CB3189" w:rsidRPr="00EF2F18" w:rsidRDefault="00CB3189" w:rsidP="00313E8E">
      <w:pPr>
        <w:pStyle w:val="ListParagraph"/>
        <w:numPr>
          <w:ilvl w:val="0"/>
          <w:numId w:val="12"/>
        </w:numPr>
        <w:spacing w:after="0"/>
        <w:contextualSpacing w:val="0"/>
        <w:jc w:val="both"/>
        <w:rPr>
          <w:rFonts w:cs="Times New Roman"/>
          <w:sz w:val="22"/>
          <w:lang w:val="sr-Cyrl-RS"/>
        </w:rPr>
      </w:pPr>
      <w:r w:rsidRPr="00EF2F18">
        <w:rPr>
          <w:sz w:val="22"/>
          <w:lang w:val="sr-Cyrl-RS"/>
        </w:rPr>
        <w:t>Закон о води за пиће;</w:t>
      </w:r>
    </w:p>
    <w:p w14:paraId="70C02BC7" w14:textId="1972C86C" w:rsidR="00CB3189" w:rsidRPr="00EF2F18" w:rsidRDefault="00CB3189" w:rsidP="00313E8E">
      <w:pPr>
        <w:pStyle w:val="ListParagraph"/>
        <w:numPr>
          <w:ilvl w:val="0"/>
          <w:numId w:val="12"/>
        </w:numPr>
        <w:spacing w:after="0"/>
        <w:contextualSpacing w:val="0"/>
        <w:jc w:val="both"/>
        <w:rPr>
          <w:rFonts w:cs="Times New Roman"/>
          <w:sz w:val="22"/>
          <w:lang w:val="sr-Cyrl-RS"/>
        </w:rPr>
      </w:pPr>
      <w:r w:rsidRPr="00EF2F18">
        <w:rPr>
          <w:sz w:val="22"/>
          <w:lang w:val="sr-Cyrl-RS"/>
        </w:rPr>
        <w:t>Закон о заштити природе;</w:t>
      </w:r>
    </w:p>
    <w:p w14:paraId="32911068" w14:textId="59ACF4D5" w:rsidR="00CB3189" w:rsidRPr="00EF2F18" w:rsidRDefault="00CB3189" w:rsidP="00313E8E">
      <w:pPr>
        <w:pStyle w:val="ListParagraph"/>
        <w:numPr>
          <w:ilvl w:val="0"/>
          <w:numId w:val="12"/>
        </w:numPr>
        <w:spacing w:after="0"/>
        <w:contextualSpacing w:val="0"/>
        <w:jc w:val="both"/>
        <w:rPr>
          <w:rFonts w:cs="Times New Roman"/>
          <w:sz w:val="22"/>
          <w:lang w:val="sr-Cyrl-RS"/>
        </w:rPr>
      </w:pPr>
      <w:r w:rsidRPr="00EF2F18">
        <w:rPr>
          <w:sz w:val="22"/>
          <w:lang w:val="sr-Cyrl-RS"/>
        </w:rPr>
        <w:t>Уредба о еколошкој мрежи;</w:t>
      </w:r>
    </w:p>
    <w:p w14:paraId="44E256E1" w14:textId="4F244A88" w:rsidR="00CB3189" w:rsidRPr="00EF2F18" w:rsidRDefault="00CB3189" w:rsidP="00313E8E">
      <w:pPr>
        <w:pStyle w:val="ListParagraph"/>
        <w:numPr>
          <w:ilvl w:val="0"/>
          <w:numId w:val="12"/>
        </w:numPr>
        <w:spacing w:after="0"/>
        <w:contextualSpacing w:val="0"/>
        <w:jc w:val="both"/>
        <w:rPr>
          <w:rFonts w:cs="Times New Roman"/>
          <w:sz w:val="22"/>
          <w:lang w:val="sr-Cyrl-RS"/>
        </w:rPr>
      </w:pPr>
      <w:r w:rsidRPr="00EF2F18">
        <w:rPr>
          <w:sz w:val="22"/>
          <w:lang w:val="sr-Cyrl-RS"/>
        </w:rPr>
        <w:t>Уредба о оцени прихватљивости</w:t>
      </w:r>
      <w:r w:rsidR="00380A9F" w:rsidRPr="00EF2F18">
        <w:rPr>
          <w:sz w:val="22"/>
          <w:lang w:val="sr-Cyrl-RS"/>
        </w:rPr>
        <w:t>.</w:t>
      </w:r>
    </w:p>
    <w:p w14:paraId="0304D06A" w14:textId="6648FA12" w:rsidR="00524E1E" w:rsidRDefault="00524E1E" w:rsidP="001D398C">
      <w:pPr>
        <w:rPr>
          <w:rFonts w:cs="Times New Roman"/>
          <w:sz w:val="22"/>
          <w:lang w:val="sr-Cyrl-RS"/>
        </w:rPr>
      </w:pPr>
    </w:p>
    <w:p w14:paraId="18AE838C" w14:textId="77777777" w:rsidR="00047C0F" w:rsidRPr="00EF2F18" w:rsidRDefault="00047C0F" w:rsidP="001D398C">
      <w:pPr>
        <w:rPr>
          <w:rFonts w:cs="Times New Roman"/>
          <w:sz w:val="22"/>
          <w:lang w:val="sr-Cyrl-RS"/>
        </w:rPr>
      </w:pPr>
    </w:p>
    <w:p w14:paraId="7A009CC0" w14:textId="3E6A8654" w:rsidR="00524E1E" w:rsidRDefault="00FE2EC8" w:rsidP="00A74A0A">
      <w:pPr>
        <w:ind w:firstLine="720"/>
        <w:jc w:val="center"/>
        <w:rPr>
          <w:rFonts w:cs="Times New Roman"/>
          <w:b/>
          <w:bCs/>
          <w:color w:val="2E74B5" w:themeColor="accent1" w:themeShade="BF"/>
          <w:sz w:val="22"/>
          <w:lang w:val="sr-Cyrl-RS"/>
        </w:rPr>
      </w:pPr>
      <w:r w:rsidRPr="00EF2F18">
        <w:rPr>
          <w:rFonts w:cs="Times New Roman"/>
          <w:b/>
          <w:bCs/>
          <w:color w:val="2E74B5" w:themeColor="accent1" w:themeShade="BF"/>
          <w:sz w:val="22"/>
          <w:lang w:val="sr-Cyrl-RS"/>
        </w:rPr>
        <w:t xml:space="preserve">13. </w:t>
      </w:r>
      <w:r w:rsidR="00A74A0A" w:rsidRPr="00EF2F18">
        <w:rPr>
          <w:rFonts w:cs="Times New Roman"/>
          <w:b/>
          <w:bCs/>
          <w:color w:val="2E74B5" w:themeColor="accent1" w:themeShade="BF"/>
          <w:sz w:val="22"/>
          <w:lang w:val="sr-Cyrl-RS"/>
        </w:rPr>
        <w:t>ЗАВРШНЕ ОДРЕДБЕ</w:t>
      </w:r>
    </w:p>
    <w:p w14:paraId="17B0113F" w14:textId="77777777" w:rsidR="00047C0F" w:rsidRPr="00047C0F" w:rsidRDefault="00047C0F" w:rsidP="00A74A0A">
      <w:pPr>
        <w:ind w:firstLine="720"/>
        <w:jc w:val="center"/>
        <w:rPr>
          <w:rFonts w:cs="Times New Roman"/>
          <w:b/>
          <w:bCs/>
          <w:color w:val="2E74B5" w:themeColor="accent1" w:themeShade="BF"/>
          <w:sz w:val="12"/>
          <w:szCs w:val="12"/>
          <w:lang w:val="sr-Cyrl-RS"/>
        </w:rPr>
      </w:pPr>
    </w:p>
    <w:p w14:paraId="4B4398F2" w14:textId="043AE2B8" w:rsidR="00A74A0A" w:rsidRPr="00EF2F18" w:rsidRDefault="00A74A0A" w:rsidP="00524E1E">
      <w:pPr>
        <w:pStyle w:val="basic-paragraph"/>
        <w:spacing w:before="0" w:beforeAutospacing="0" w:after="120" w:afterAutospacing="0"/>
        <w:ind w:firstLine="720"/>
        <w:jc w:val="both"/>
        <w:rPr>
          <w:sz w:val="22"/>
          <w:szCs w:val="22"/>
          <w:lang w:val="sr-Cyrl-RS"/>
        </w:rPr>
      </w:pPr>
      <w:r w:rsidRPr="00EF2F18">
        <w:rPr>
          <w:sz w:val="22"/>
          <w:szCs w:val="22"/>
          <w:lang w:val="sr-Cyrl-RS"/>
        </w:rPr>
        <w:t>Прилог – Листа скраћеница, одштампан је уз ову стратегију и чини њен саставни део.</w:t>
      </w:r>
    </w:p>
    <w:p w14:paraId="1A964035" w14:textId="2590BC04" w:rsidR="00A74A0A" w:rsidRPr="00EF2F18" w:rsidRDefault="00524E1E" w:rsidP="001534F6">
      <w:pPr>
        <w:pStyle w:val="basic-paragraph"/>
        <w:spacing w:before="0" w:beforeAutospacing="0" w:after="0" w:afterAutospacing="0"/>
        <w:ind w:firstLine="720"/>
        <w:jc w:val="both"/>
        <w:rPr>
          <w:sz w:val="22"/>
          <w:szCs w:val="22"/>
          <w:lang w:val="sr-Cyrl-RS"/>
        </w:rPr>
      </w:pPr>
      <w:r w:rsidRPr="00EF2F18">
        <w:rPr>
          <w:sz w:val="22"/>
          <w:szCs w:val="22"/>
          <w:lang w:val="sr-Cyrl-RS"/>
        </w:rPr>
        <w:t xml:space="preserve">Ову </w:t>
      </w:r>
      <w:r w:rsidR="00FE2EC8" w:rsidRPr="00EF2F18">
        <w:rPr>
          <w:sz w:val="22"/>
          <w:szCs w:val="22"/>
          <w:lang w:val="sr-Cyrl-RS"/>
        </w:rPr>
        <w:t xml:space="preserve">стратегију </w:t>
      </w:r>
      <w:r w:rsidRPr="00EF2F18">
        <w:rPr>
          <w:sz w:val="22"/>
          <w:szCs w:val="22"/>
          <w:lang w:val="sr-Cyrl-RS"/>
        </w:rPr>
        <w:t>објавити на интернет страници Владе, интернет страници Министарства заштите животне средине и</w:t>
      </w:r>
      <w:r w:rsidR="00BA2956" w:rsidRPr="00EF2F18">
        <w:rPr>
          <w:sz w:val="22"/>
          <w:szCs w:val="22"/>
          <w:lang w:val="sr-Cyrl-RS"/>
        </w:rPr>
        <w:t xml:space="preserve"> на</w:t>
      </w:r>
      <w:r w:rsidRPr="00EF2F18">
        <w:rPr>
          <w:sz w:val="22"/>
          <w:szCs w:val="22"/>
          <w:lang w:val="sr-Cyrl-RS"/>
        </w:rPr>
        <w:t xml:space="preserve"> порталу е-Управ</w:t>
      </w:r>
      <w:r w:rsidR="00FE4557">
        <w:rPr>
          <w:sz w:val="22"/>
          <w:szCs w:val="22"/>
          <w:lang w:val="sr-Cyrl-RS"/>
        </w:rPr>
        <w:t>а</w:t>
      </w:r>
      <w:r w:rsidRPr="00EF2F18">
        <w:rPr>
          <w:sz w:val="22"/>
          <w:szCs w:val="22"/>
          <w:lang w:val="sr-Cyrl-RS"/>
        </w:rPr>
        <w:t xml:space="preserve">, </w:t>
      </w:r>
      <w:r w:rsidR="004E7A51" w:rsidRPr="00EF2F18">
        <w:rPr>
          <w:sz w:val="22"/>
          <w:szCs w:val="22"/>
          <w:lang w:val="sr-Cyrl-RS"/>
        </w:rPr>
        <w:t>најк</w:t>
      </w:r>
      <w:r w:rsidR="00BA2956" w:rsidRPr="00EF2F18">
        <w:rPr>
          <w:sz w:val="22"/>
          <w:szCs w:val="22"/>
          <w:lang w:val="sr-Cyrl-RS"/>
        </w:rPr>
        <w:t xml:space="preserve">асније </w:t>
      </w:r>
      <w:r w:rsidRPr="00EF2F18">
        <w:rPr>
          <w:sz w:val="22"/>
          <w:szCs w:val="22"/>
          <w:lang w:val="sr-Cyrl-RS"/>
        </w:rPr>
        <w:t xml:space="preserve">у року од </w:t>
      </w:r>
      <w:r w:rsidR="00BA2956" w:rsidRPr="00EF2F18">
        <w:rPr>
          <w:sz w:val="22"/>
          <w:szCs w:val="22"/>
          <w:lang w:val="sr-Cyrl-RS"/>
        </w:rPr>
        <w:t>седам радних</w:t>
      </w:r>
      <w:r w:rsidR="009160E9" w:rsidRPr="00EF2F18">
        <w:rPr>
          <w:sz w:val="22"/>
          <w:szCs w:val="22"/>
          <w:lang w:val="sr-Cyrl-RS"/>
        </w:rPr>
        <w:t xml:space="preserve"> </w:t>
      </w:r>
      <w:r w:rsidRPr="00EF2F18">
        <w:rPr>
          <w:sz w:val="22"/>
          <w:szCs w:val="22"/>
          <w:lang w:val="sr-Cyrl-RS"/>
        </w:rPr>
        <w:t xml:space="preserve">дана од дана усвајања. </w:t>
      </w:r>
    </w:p>
    <w:p w14:paraId="02634430" w14:textId="77777777" w:rsidR="001534F6" w:rsidRPr="00EF2F18" w:rsidRDefault="001534F6" w:rsidP="001534F6">
      <w:pPr>
        <w:pStyle w:val="basic-paragraph"/>
        <w:spacing w:before="0" w:beforeAutospacing="0" w:after="0" w:afterAutospacing="0"/>
        <w:ind w:firstLine="720"/>
        <w:jc w:val="both"/>
        <w:rPr>
          <w:sz w:val="12"/>
          <w:szCs w:val="12"/>
          <w:lang w:val="sr-Cyrl-RS"/>
        </w:rPr>
      </w:pPr>
    </w:p>
    <w:p w14:paraId="4D67F937" w14:textId="0C553FD2" w:rsidR="00524E1E" w:rsidRPr="00EF2F18" w:rsidRDefault="00524E1E" w:rsidP="005878D3">
      <w:pPr>
        <w:pStyle w:val="basic-paragraph"/>
        <w:spacing w:before="0" w:beforeAutospacing="0" w:after="0" w:afterAutospacing="0"/>
        <w:ind w:firstLine="720"/>
        <w:rPr>
          <w:sz w:val="22"/>
          <w:szCs w:val="22"/>
          <w:lang w:val="sr-Cyrl-RS"/>
        </w:rPr>
      </w:pPr>
      <w:r w:rsidRPr="00EF2F18">
        <w:rPr>
          <w:sz w:val="22"/>
          <w:szCs w:val="22"/>
          <w:lang w:val="sr-Cyrl-RS"/>
        </w:rPr>
        <w:t xml:space="preserve">Ову </w:t>
      </w:r>
      <w:r w:rsidR="00FE2EC8" w:rsidRPr="00EF2F18">
        <w:rPr>
          <w:sz w:val="22"/>
          <w:szCs w:val="22"/>
          <w:lang w:val="sr-Cyrl-RS"/>
        </w:rPr>
        <w:t xml:space="preserve">стратегију </w:t>
      </w:r>
      <w:r w:rsidRPr="00EF2F18">
        <w:rPr>
          <w:sz w:val="22"/>
          <w:szCs w:val="22"/>
          <w:lang w:val="sr-Cyrl-RS"/>
        </w:rPr>
        <w:t>објавити у „Службеном гласнику Републике Србије”.</w:t>
      </w:r>
    </w:p>
    <w:p w14:paraId="0A2A70AB" w14:textId="2E8A518C" w:rsidR="00FE2EC8" w:rsidRPr="00EF2F18" w:rsidRDefault="00FE2EC8" w:rsidP="005878D3">
      <w:pPr>
        <w:pStyle w:val="basic-paragraph"/>
        <w:spacing w:before="0" w:beforeAutospacing="0" w:after="0" w:afterAutospacing="0"/>
        <w:ind w:firstLine="720"/>
        <w:rPr>
          <w:sz w:val="22"/>
          <w:szCs w:val="22"/>
          <w:lang w:val="sr-Cyrl-RS"/>
        </w:rPr>
      </w:pPr>
    </w:p>
    <w:p w14:paraId="0B672AA0" w14:textId="77777777" w:rsidR="00FE2EC8" w:rsidRPr="00EF2F18" w:rsidRDefault="00FE2EC8" w:rsidP="005878D3">
      <w:pPr>
        <w:pStyle w:val="basic-paragraph"/>
        <w:spacing w:before="0" w:beforeAutospacing="0" w:after="0" w:afterAutospacing="0"/>
        <w:ind w:firstLine="720"/>
        <w:rPr>
          <w:sz w:val="22"/>
          <w:szCs w:val="22"/>
          <w:lang w:val="sr-Cyrl-RS"/>
        </w:rPr>
      </w:pPr>
    </w:p>
    <w:p w14:paraId="5FF5DE8E" w14:textId="77777777" w:rsidR="005878D3" w:rsidRPr="00EF2F18" w:rsidRDefault="005878D3" w:rsidP="005878D3">
      <w:pPr>
        <w:pStyle w:val="potpis"/>
        <w:spacing w:before="0" w:beforeAutospacing="0" w:after="0" w:afterAutospacing="0"/>
        <w:rPr>
          <w:sz w:val="22"/>
          <w:szCs w:val="22"/>
          <w:lang w:val="sr-Cyrl-RS"/>
        </w:rPr>
      </w:pPr>
    </w:p>
    <w:p w14:paraId="13A91B22" w14:textId="575A783F" w:rsidR="00FE2EC8" w:rsidRPr="00B047C9" w:rsidRDefault="00FE2EC8" w:rsidP="00FE2EC8">
      <w:pPr>
        <w:spacing w:after="0"/>
        <w:jc w:val="both"/>
        <w:rPr>
          <w:rFonts w:eastAsia="Times New Roman" w:cs="Times New Roman"/>
          <w:sz w:val="22"/>
          <w:lang w:val="sr-Latn-RS"/>
        </w:rPr>
      </w:pPr>
      <w:r w:rsidRPr="00EF2F18">
        <w:rPr>
          <w:rFonts w:eastAsia="Times New Roman" w:cs="Times New Roman"/>
          <w:sz w:val="22"/>
          <w:lang w:val="sr-Cyrl-RS"/>
        </w:rPr>
        <w:t>05 Број:</w:t>
      </w:r>
      <w:r w:rsidR="00B047C9">
        <w:rPr>
          <w:rFonts w:eastAsia="Times New Roman" w:cs="Times New Roman"/>
          <w:sz w:val="22"/>
          <w:lang w:val="sr-Latn-RS"/>
        </w:rPr>
        <w:t xml:space="preserve"> 353-7395/2026-1</w:t>
      </w:r>
    </w:p>
    <w:p w14:paraId="59829295" w14:textId="77777777" w:rsidR="00FE2EC8" w:rsidRPr="00EF2F18" w:rsidRDefault="00FE2EC8" w:rsidP="00FE2EC8">
      <w:pPr>
        <w:spacing w:after="0"/>
        <w:jc w:val="both"/>
        <w:rPr>
          <w:rFonts w:eastAsia="Times New Roman" w:cs="Times New Roman"/>
          <w:sz w:val="22"/>
          <w:lang w:val="sr-Cyrl-RS"/>
        </w:rPr>
      </w:pPr>
      <w:r w:rsidRPr="00EF2F18">
        <w:rPr>
          <w:rFonts w:eastAsia="Times New Roman" w:cs="Times New Roman"/>
          <w:sz w:val="22"/>
          <w:lang w:val="sr-Cyrl-RS"/>
        </w:rPr>
        <w:t>У Београду, 30. јула 2026. године</w:t>
      </w:r>
    </w:p>
    <w:p w14:paraId="013E56EB" w14:textId="77777777" w:rsidR="00FE2EC8" w:rsidRPr="00EF2F18" w:rsidRDefault="00FE2EC8" w:rsidP="00FE2EC8">
      <w:pPr>
        <w:spacing w:after="0"/>
        <w:jc w:val="both"/>
        <w:rPr>
          <w:rFonts w:eastAsia="Times New Roman" w:cs="Times New Roman"/>
          <w:sz w:val="22"/>
          <w:lang w:val="sr-Cyrl-RS"/>
        </w:rPr>
      </w:pPr>
    </w:p>
    <w:p w14:paraId="4F99215A" w14:textId="77777777" w:rsidR="00FE2EC8" w:rsidRPr="00EF2F18" w:rsidRDefault="00FE2EC8" w:rsidP="00FE2EC8">
      <w:pPr>
        <w:spacing w:after="0"/>
        <w:jc w:val="center"/>
        <w:rPr>
          <w:rFonts w:eastAsia="Times New Roman" w:cs="Times New Roman"/>
          <w:sz w:val="22"/>
          <w:lang w:val="sr-Cyrl-RS"/>
        </w:rPr>
      </w:pPr>
      <w:r w:rsidRPr="00EF2F18">
        <w:rPr>
          <w:rFonts w:eastAsia="Times New Roman" w:cs="Times New Roman"/>
          <w:sz w:val="22"/>
          <w:lang w:val="sr-Cyrl-RS"/>
        </w:rPr>
        <w:t>В Л А Д А</w:t>
      </w:r>
    </w:p>
    <w:p w14:paraId="40A16B70" w14:textId="77777777" w:rsidR="00FE2EC8" w:rsidRPr="00EF2F18" w:rsidRDefault="00FE2EC8" w:rsidP="00FE2EC8">
      <w:pPr>
        <w:spacing w:after="0"/>
        <w:jc w:val="both"/>
        <w:rPr>
          <w:rFonts w:eastAsia="Times New Roman" w:cs="Times New Roman"/>
          <w:sz w:val="22"/>
          <w:lang w:val="sr-Cyrl-RS"/>
        </w:rPr>
      </w:pPr>
      <w:r w:rsidRPr="00EF2F18">
        <w:rPr>
          <w:rFonts w:eastAsia="Times New Roman" w:cs="Times New Roman"/>
          <w:sz w:val="22"/>
          <w:lang w:val="sr-Cyrl-RS"/>
        </w:rPr>
        <w:t xml:space="preserve">                                                                                                                ПРЕДСЕДНИК</w:t>
      </w:r>
    </w:p>
    <w:p w14:paraId="0BA382A7" w14:textId="77777777" w:rsidR="00FE2EC8" w:rsidRPr="00EF2F18" w:rsidRDefault="00FE2EC8" w:rsidP="00FE2EC8">
      <w:pPr>
        <w:spacing w:after="0"/>
        <w:jc w:val="both"/>
        <w:rPr>
          <w:rFonts w:eastAsia="Times New Roman" w:cs="Times New Roman"/>
          <w:sz w:val="22"/>
          <w:lang w:val="sr-Cyrl-RS"/>
        </w:rPr>
      </w:pPr>
    </w:p>
    <w:p w14:paraId="1AD807C7" w14:textId="77777777" w:rsidR="00FE2EC8" w:rsidRPr="00EF2F18" w:rsidRDefault="00FE2EC8" w:rsidP="00FE2EC8">
      <w:pPr>
        <w:spacing w:after="0"/>
        <w:jc w:val="both"/>
        <w:rPr>
          <w:rFonts w:eastAsia="Times New Roman" w:cs="Times New Roman"/>
          <w:sz w:val="22"/>
          <w:lang w:val="sr-Cyrl-RS"/>
        </w:rPr>
      </w:pPr>
    </w:p>
    <w:p w14:paraId="420994D6" w14:textId="769A2E49" w:rsidR="00524E1E" w:rsidRPr="00FE3A51" w:rsidRDefault="00FE2EC8" w:rsidP="00A74A0A">
      <w:pPr>
        <w:spacing w:after="0"/>
        <w:jc w:val="both"/>
        <w:rPr>
          <w:sz w:val="22"/>
          <w:lang w:val="sr-Cyrl-RS"/>
        </w:rPr>
      </w:pPr>
      <w:r w:rsidRPr="00EF2F18">
        <w:rPr>
          <w:rFonts w:eastAsia="Times New Roman" w:cs="Times New Roman"/>
          <w:sz w:val="22"/>
          <w:lang w:val="sr-Cyrl-RS"/>
        </w:rPr>
        <w:t xml:space="preserve">                                                                                                           проф. др Ђуро Мацут</w:t>
      </w:r>
      <w:r w:rsidR="00FE3A51">
        <w:rPr>
          <w:rFonts w:eastAsia="Times New Roman" w:cs="Times New Roman"/>
          <w:sz w:val="22"/>
        </w:rPr>
        <w:t>,</w:t>
      </w:r>
      <w:r w:rsidR="00FE3A51">
        <w:rPr>
          <w:rFonts w:eastAsia="Times New Roman" w:cs="Times New Roman"/>
          <w:sz w:val="22"/>
          <w:lang w:val="sr-Cyrl-RS"/>
        </w:rPr>
        <w:t>с.р.</w:t>
      </w:r>
    </w:p>
    <w:sectPr w:rsidR="00524E1E" w:rsidRPr="00FE3A51" w:rsidSect="00A7528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9B1BF" w14:textId="77777777" w:rsidR="002C51A0" w:rsidRDefault="002C51A0" w:rsidP="00566EA3">
      <w:pPr>
        <w:spacing w:after="0"/>
      </w:pPr>
      <w:r>
        <w:separator/>
      </w:r>
    </w:p>
  </w:endnote>
  <w:endnote w:type="continuationSeparator" w:id="0">
    <w:p w14:paraId="2C3D74C5" w14:textId="77777777" w:rsidR="002C51A0" w:rsidRDefault="002C51A0" w:rsidP="00566E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Bembo">
    <w:charset w:val="00"/>
    <w:family w:val="roman"/>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Helvetica">
    <w:altName w:val="Courier New"/>
    <w:charset w:val="00"/>
    <w:family w:val="swiss"/>
    <w:pitch w:val="variable"/>
    <w:sig w:usb0="00000083" w:usb1="00000000" w:usb2="00000000" w:usb3="00000000" w:csb0="00000009" w:csb1="00000000"/>
  </w:font>
  <w:font w:name="Minion Pro Cond">
    <w:panose1 w:val="00000000000000000000"/>
    <w:charset w:val="00"/>
    <w:family w:val="roman"/>
    <w:notTrueType/>
    <w:pitch w:val="variable"/>
    <w:sig w:usb0="60000287" w:usb1="00000001" w:usb2="00000000" w:usb3="00000000" w:csb0="0000019F" w:csb1="00000000"/>
  </w:font>
  <w:font w:name="CHelvPlain">
    <w:altName w:val="Times New Roman"/>
    <w:charset w:val="00"/>
    <w:family w:val="auto"/>
    <w:pitch w:val="variable"/>
    <w:sig w:usb0="00000001" w:usb1="00000000" w:usb2="00000000" w:usb3="00000000" w:csb0="00000009" w:csb1="00000000"/>
  </w:font>
  <w:font w:name="Souvenir Lt BT">
    <w:charset w:val="00"/>
    <w:family w:val="roman"/>
    <w:pitch w:val="variable"/>
    <w:sig w:usb0="00000087" w:usb1="00000000" w:usb2="00000000" w:usb3="00000000" w:csb0="0000001B"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Ciril">
    <w:altName w:val="Courier New"/>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utch">
    <w:altName w:val="Times New Roman"/>
    <w:charset w:val="00"/>
    <w:family w:val="auto"/>
    <w:pitch w:val="variable"/>
    <w:sig w:usb0="00000007" w:usb1="00000000" w:usb2="00000000" w:usb3="00000000" w:csb0="00000013" w:csb1="00000000"/>
  </w:font>
  <w:font w:name="YU Times New Roman">
    <w:altName w:val="Courier New"/>
    <w:charset w:val="00"/>
    <w:family w:val="roman"/>
    <w:pitch w:val="variable"/>
    <w:sig w:usb0="00000007" w:usb1="00000000" w:usb2="00000000" w:usb3="00000000" w:csb0="00000013" w:csb1="00000000"/>
  </w:font>
  <w:font w:name="TimesC DzComm">
    <w:altName w:val="Arial Narrow"/>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U Albertina">
    <w:altName w:val="EU Albertina"/>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auto"/>
    <w:notTrueType/>
    <w:pitch w:val="default"/>
    <w:sig w:usb0="00000203" w:usb1="00000000" w:usb2="00000000" w:usb3="00000000" w:csb0="00000005" w:csb1="00000000"/>
  </w:font>
  <w:font w:name="TimesNewRomanPSMT">
    <w:altName w:val="Times New Roman"/>
    <w:panose1 w:val="00000000000000000000"/>
    <w:charset w:val="80"/>
    <w:family w:val="auto"/>
    <w:notTrueType/>
    <w:pitch w:val="default"/>
    <w:sig w:usb0="00002A87" w:usb1="08070000" w:usb2="00000010" w:usb3="00000000" w:csb0="000201FF" w:csb1="00000000"/>
  </w:font>
  <w:font w:name="CenturyGothic">
    <w:altName w:val="Yu Gothic"/>
    <w:panose1 w:val="00000000000000000000"/>
    <w:charset w:val="80"/>
    <w:family w:val="auto"/>
    <w:notTrueType/>
    <w:pitch w:val="default"/>
    <w:sig w:usb0="00000001" w:usb1="08070000" w:usb2="00000010" w:usb3="00000000" w:csb0="00020000" w:csb1="00000000"/>
  </w:font>
  <w:font w:name="Fira Sans">
    <w:charset w:val="00"/>
    <w:family w:val="swiss"/>
    <w:pitch w:val="variable"/>
    <w:sig w:usb0="600002FF" w:usb1="00000001" w:usb2="00000000" w:usb3="00000000" w:csb0="0000019F" w:csb1="00000000"/>
  </w:font>
  <w:font w:name="+mn-e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54765"/>
      <w:docPartObj>
        <w:docPartGallery w:val="Page Numbers (Bottom of Page)"/>
        <w:docPartUnique/>
      </w:docPartObj>
    </w:sdtPr>
    <w:sdtEndPr>
      <w:rPr>
        <w:noProof/>
      </w:rPr>
    </w:sdtEndPr>
    <w:sdtContent>
      <w:p w14:paraId="47164A31" w14:textId="7451C75C" w:rsidR="00BB078D" w:rsidRDefault="00BB078D">
        <w:pPr>
          <w:pStyle w:val="Footer"/>
          <w:jc w:val="right"/>
        </w:pPr>
        <w:r>
          <w:fldChar w:fldCharType="begin"/>
        </w:r>
        <w:r>
          <w:instrText xml:space="preserve"> PAGE   \* MERGEFORMAT </w:instrText>
        </w:r>
        <w:r>
          <w:fldChar w:fldCharType="separate"/>
        </w:r>
        <w:r w:rsidR="00FE4557">
          <w:rPr>
            <w:noProof/>
          </w:rPr>
          <w:t>122</w:t>
        </w:r>
        <w:r>
          <w:rPr>
            <w:noProof/>
          </w:rPr>
          <w:fldChar w:fldCharType="end"/>
        </w:r>
      </w:p>
    </w:sdtContent>
  </w:sdt>
  <w:p w14:paraId="415B30DC" w14:textId="77777777" w:rsidR="00BB078D" w:rsidRDefault="00BB0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129538"/>
      <w:docPartObj>
        <w:docPartGallery w:val="Page Numbers (Bottom of Page)"/>
        <w:docPartUnique/>
      </w:docPartObj>
    </w:sdtPr>
    <w:sdtContent>
      <w:p w14:paraId="30694CDF" w14:textId="59035774" w:rsidR="00BB078D" w:rsidRPr="004A0C82" w:rsidRDefault="00BB078D">
        <w:pPr>
          <w:pStyle w:val="Footer"/>
          <w:jc w:val="right"/>
        </w:pPr>
        <w:r w:rsidRPr="004A0C82">
          <w:fldChar w:fldCharType="begin"/>
        </w:r>
        <w:r w:rsidRPr="004A0C82">
          <w:instrText xml:space="preserve"> PAGE   \* MERGEFORMAT </w:instrText>
        </w:r>
        <w:r w:rsidRPr="004A0C82">
          <w:fldChar w:fldCharType="separate"/>
        </w:r>
        <w:r w:rsidR="00FE4557">
          <w:rPr>
            <w:noProof/>
          </w:rPr>
          <w:t>343</w:t>
        </w:r>
        <w:r w:rsidRPr="004A0C82">
          <w:fldChar w:fldCharType="end"/>
        </w:r>
      </w:p>
    </w:sdtContent>
  </w:sdt>
  <w:p w14:paraId="52B6C115" w14:textId="77777777" w:rsidR="00BB078D" w:rsidRPr="004A0C82" w:rsidRDefault="00BB0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60BB9" w14:textId="77777777" w:rsidR="002C51A0" w:rsidRDefault="002C51A0" w:rsidP="00566EA3">
      <w:pPr>
        <w:spacing w:after="0"/>
      </w:pPr>
      <w:r>
        <w:separator/>
      </w:r>
    </w:p>
  </w:footnote>
  <w:footnote w:type="continuationSeparator" w:id="0">
    <w:p w14:paraId="473BFF0D" w14:textId="77777777" w:rsidR="002C51A0" w:rsidRDefault="002C51A0" w:rsidP="00566EA3">
      <w:pPr>
        <w:spacing w:after="0"/>
      </w:pPr>
      <w:r>
        <w:continuationSeparator/>
      </w:r>
    </w:p>
  </w:footnote>
  <w:footnote w:id="1">
    <w:p w14:paraId="3D38A21A" w14:textId="7AF2FC0F" w:rsidR="00BB078D" w:rsidRPr="00C57978" w:rsidRDefault="00BB078D" w:rsidP="004A2277">
      <w:pPr>
        <w:pStyle w:val="FootnoteText"/>
        <w:spacing w:line="240" w:lineRule="auto"/>
        <w:ind w:left="144" w:hanging="144"/>
        <w:rPr>
          <w:rFonts w:ascii="Times New Roman" w:hAnsi="Times New Roman"/>
          <w:sz w:val="18"/>
          <w:szCs w:val="18"/>
          <w:lang w:val="sr-Cyrl-RS"/>
        </w:rPr>
      </w:pPr>
      <w:r>
        <w:rPr>
          <w:rStyle w:val="FootnoteReference"/>
        </w:rPr>
        <w:footnoteRef/>
      </w:r>
      <w:r>
        <w:t xml:space="preserve"> </w:t>
      </w:r>
      <w:r w:rsidRPr="00C70F25">
        <w:rPr>
          <w:rFonts w:ascii="Times New Roman" w:hAnsi="Times New Roman"/>
          <w:sz w:val="18"/>
          <w:szCs w:val="18"/>
          <w:lang w:val="sr-Cyrl-RS"/>
        </w:rPr>
        <w:t xml:space="preserve">Анекс </w:t>
      </w:r>
      <w:r>
        <w:rPr>
          <w:rFonts w:ascii="Times New Roman" w:hAnsi="Times New Roman"/>
          <w:sz w:val="18"/>
          <w:szCs w:val="18"/>
          <w:lang w:val="sr-Cyrl-RS"/>
        </w:rPr>
        <w:t>1</w:t>
      </w:r>
      <w:r w:rsidRPr="00C70F25">
        <w:rPr>
          <w:rFonts w:ascii="Times New Roman" w:hAnsi="Times New Roman"/>
          <w:sz w:val="18"/>
          <w:szCs w:val="18"/>
          <w:lang w:val="sr-Cyrl-RS"/>
        </w:rPr>
        <w:t xml:space="preserve"> Првог националног извештаја Републике Србије у складу са Оквиром конвенцијом Уједињених нација о промени климе: нето топлотна моћ вредност и емисиони фактор за нискокалорични лигнит из експлоатације са површинских копова у Републици Србији</w:t>
      </w:r>
      <w:r>
        <w:rPr>
          <w:rFonts w:ascii="Times New Roman" w:hAnsi="Times New Roman"/>
          <w:sz w:val="18"/>
          <w:szCs w:val="18"/>
          <w:lang w:val="sr-Cyrl-RS"/>
        </w:rPr>
        <w:t>.</w:t>
      </w:r>
    </w:p>
  </w:footnote>
  <w:footnote w:id="2">
    <w:p w14:paraId="5CC870E6" w14:textId="77777777" w:rsidR="00BB078D" w:rsidRPr="005E0994" w:rsidRDefault="00BB078D" w:rsidP="00E65C16">
      <w:pPr>
        <w:pStyle w:val="FootnoteText"/>
        <w:spacing w:before="0" w:line="240" w:lineRule="auto"/>
        <w:ind w:left="144" w:hanging="144"/>
        <w:rPr>
          <w:rFonts w:ascii="Times New Roman" w:hAnsi="Times New Roman"/>
          <w:sz w:val="18"/>
          <w:szCs w:val="18"/>
          <w:lang w:val="en-US"/>
        </w:rPr>
      </w:pPr>
      <w:r w:rsidRPr="005E0994">
        <w:rPr>
          <w:rStyle w:val="FootnoteReference"/>
          <w:rFonts w:ascii="Times New Roman" w:hAnsi="Times New Roman"/>
          <w:sz w:val="18"/>
          <w:szCs w:val="18"/>
        </w:rPr>
        <w:footnoteRef/>
      </w:r>
      <w:r w:rsidRPr="005E0994">
        <w:rPr>
          <w:rFonts w:ascii="Times New Roman" w:hAnsi="Times New Roman"/>
          <w:sz w:val="18"/>
          <w:szCs w:val="18"/>
          <w:lang w:val="sr-Cyrl-RS"/>
        </w:rPr>
        <w:t xml:space="preserve"> </w:t>
      </w:r>
      <w:r w:rsidRPr="005E0994">
        <w:rPr>
          <w:rFonts w:ascii="Times New Roman" w:hAnsi="Times New Roman"/>
          <w:sz w:val="18"/>
          <w:szCs w:val="18"/>
        </w:rPr>
        <w:t>IPCC</w:t>
      </w:r>
      <w:r w:rsidRPr="005E0994">
        <w:rPr>
          <w:rFonts w:ascii="Times New Roman" w:hAnsi="Times New Roman"/>
          <w:sz w:val="18"/>
          <w:szCs w:val="18"/>
          <w:lang w:val="sr-Cyrl-RS"/>
        </w:rPr>
        <w:t xml:space="preserve">, 2022: </w:t>
      </w:r>
      <w:r w:rsidRPr="005E0994">
        <w:rPr>
          <w:rFonts w:ascii="Times New Roman" w:hAnsi="Times New Roman"/>
          <w:sz w:val="18"/>
          <w:szCs w:val="18"/>
          <w:lang w:val="en-US"/>
        </w:rPr>
        <w:t>Summary</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for</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Policymakers</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H</w:t>
      </w:r>
      <w:r w:rsidRPr="005E0994">
        <w:rPr>
          <w:rFonts w:ascii="Times New Roman" w:hAnsi="Times New Roman"/>
          <w:sz w:val="18"/>
          <w:szCs w:val="18"/>
          <w:lang w:val="sr-Cyrl-RS"/>
        </w:rPr>
        <w:t>.-</w:t>
      </w:r>
      <w:r w:rsidRPr="005E0994">
        <w:rPr>
          <w:rFonts w:ascii="Times New Roman" w:hAnsi="Times New Roman"/>
          <w:sz w:val="18"/>
          <w:szCs w:val="18"/>
          <w:lang w:val="en-US"/>
        </w:rPr>
        <w:t>O</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P</w:t>
      </w:r>
      <w:r w:rsidRPr="005E0994">
        <w:rPr>
          <w:rFonts w:ascii="Times New Roman" w:hAnsi="Times New Roman"/>
          <w:sz w:val="18"/>
          <w:szCs w:val="18"/>
          <w:lang w:val="sr-Cyrl-RS"/>
        </w:rPr>
        <w:t>ö</w:t>
      </w:r>
      <w:r w:rsidRPr="005E0994">
        <w:rPr>
          <w:rFonts w:ascii="Times New Roman" w:hAnsi="Times New Roman"/>
          <w:sz w:val="18"/>
          <w:szCs w:val="18"/>
          <w:lang w:val="en-US"/>
        </w:rPr>
        <w:t>rtner</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D</w:t>
      </w:r>
      <w:r w:rsidRPr="005E0994">
        <w:rPr>
          <w:rFonts w:ascii="Times New Roman" w:hAnsi="Times New Roman"/>
          <w:sz w:val="18"/>
          <w:szCs w:val="18"/>
          <w:lang w:val="sr-Cyrl-RS"/>
        </w:rPr>
        <w:t>.</w:t>
      </w:r>
      <w:r w:rsidRPr="005E0994">
        <w:rPr>
          <w:rFonts w:ascii="Times New Roman" w:hAnsi="Times New Roman"/>
          <w:sz w:val="18"/>
          <w:szCs w:val="18"/>
          <w:lang w:val="en-US"/>
        </w:rPr>
        <w:t>C</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Roberts</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E</w:t>
      </w:r>
      <w:r w:rsidRPr="005E0994">
        <w:rPr>
          <w:rFonts w:ascii="Times New Roman" w:hAnsi="Times New Roman"/>
          <w:sz w:val="18"/>
          <w:szCs w:val="18"/>
          <w:lang w:val="sr-Cyrl-RS"/>
        </w:rPr>
        <w:t>.</w:t>
      </w:r>
      <w:r w:rsidRPr="005E0994">
        <w:rPr>
          <w:rFonts w:ascii="Times New Roman" w:hAnsi="Times New Roman"/>
          <w:sz w:val="18"/>
          <w:szCs w:val="18"/>
          <w:lang w:val="en-US"/>
        </w:rPr>
        <w:t>S</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Poloczanska</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K</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Mintenbeck</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M</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Tignor</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A</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Alegr</w:t>
      </w:r>
      <w:r w:rsidRPr="005E0994">
        <w:rPr>
          <w:rFonts w:ascii="Times New Roman" w:hAnsi="Times New Roman"/>
          <w:sz w:val="18"/>
          <w:szCs w:val="18"/>
          <w:lang w:val="sr-Cyrl-RS"/>
        </w:rPr>
        <w:t>í</w:t>
      </w:r>
      <w:r w:rsidRPr="005E0994">
        <w:rPr>
          <w:rFonts w:ascii="Times New Roman" w:hAnsi="Times New Roman"/>
          <w:sz w:val="18"/>
          <w:szCs w:val="18"/>
          <w:lang w:val="en-US"/>
        </w:rPr>
        <w:t>a</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M</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Craig</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S</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Langsdorf</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S</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L</w:t>
      </w:r>
      <w:r w:rsidRPr="005E0994">
        <w:rPr>
          <w:rFonts w:ascii="Times New Roman" w:hAnsi="Times New Roman"/>
          <w:sz w:val="18"/>
          <w:szCs w:val="18"/>
          <w:lang w:val="sr-Cyrl-RS"/>
        </w:rPr>
        <w:t>ö</w:t>
      </w:r>
      <w:r w:rsidRPr="005E0994">
        <w:rPr>
          <w:rFonts w:ascii="Times New Roman" w:hAnsi="Times New Roman"/>
          <w:sz w:val="18"/>
          <w:szCs w:val="18"/>
          <w:lang w:val="en-US"/>
        </w:rPr>
        <w:t>schke</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V</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M</w:t>
      </w:r>
      <w:r w:rsidRPr="005E0994">
        <w:rPr>
          <w:rFonts w:ascii="Times New Roman" w:hAnsi="Times New Roman"/>
          <w:sz w:val="18"/>
          <w:szCs w:val="18"/>
          <w:lang w:val="sr-Cyrl-RS"/>
        </w:rPr>
        <w:t>ö</w:t>
      </w:r>
      <w:r w:rsidRPr="005E0994">
        <w:rPr>
          <w:rFonts w:ascii="Times New Roman" w:hAnsi="Times New Roman"/>
          <w:sz w:val="18"/>
          <w:szCs w:val="18"/>
          <w:lang w:val="en-US"/>
        </w:rPr>
        <w:t>ller</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A</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Okem</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eds</w:t>
      </w:r>
      <w:r w:rsidRPr="005E0994">
        <w:rPr>
          <w:rFonts w:ascii="Times New Roman" w:hAnsi="Times New Roman"/>
          <w:sz w:val="18"/>
          <w:szCs w:val="18"/>
          <w:lang w:val="sr-Cyrl-RS"/>
        </w:rPr>
        <w:t xml:space="preserve">.)]. </w:t>
      </w:r>
      <w:r w:rsidRPr="005E0994">
        <w:rPr>
          <w:rFonts w:ascii="Times New Roman" w:hAnsi="Times New Roman"/>
          <w:sz w:val="18"/>
          <w:szCs w:val="18"/>
          <w:lang w:val="en-US"/>
        </w:rPr>
        <w:t>In: Climate Change 2022: Impacts, Adaptation and Vulnerability. Contribution of Working Group II to the Sixth Assessment Report of the Intergovernmental Panel on Climate Change [H.-O. Pörtner, D.C. Roberts, M. Tignor, E.S. Poloczanska, K. Mintenbeck, A. Alegría, M. Craig, S. Langsdorf, S. Löschke, V. Möller, A. Okem, B. Rama (eds.)]. Cambridge University Press, Cambridge, UK and New York, NY, USA, pp. 3–33, doi:10.1017/9781009325844.001.</w:t>
      </w:r>
    </w:p>
  </w:footnote>
  <w:footnote w:id="3">
    <w:p w14:paraId="79C1A560" w14:textId="13B5CF30" w:rsidR="00BB078D" w:rsidRPr="00D01C6E" w:rsidRDefault="00BB078D">
      <w:pPr>
        <w:pStyle w:val="FootnoteText"/>
        <w:rPr>
          <w:rFonts w:ascii="Times New Roman" w:hAnsi="Times New Roman"/>
          <w:lang w:val="sr-Cyrl-RS"/>
        </w:rPr>
      </w:pPr>
      <w:r w:rsidRPr="006E3932">
        <w:rPr>
          <w:rStyle w:val="FootnoteReference"/>
          <w:rFonts w:ascii="Times New Roman" w:hAnsi="Times New Roman"/>
        </w:rPr>
        <w:footnoteRef/>
      </w:r>
      <w:r w:rsidRPr="006E3932">
        <w:rPr>
          <w:rFonts w:ascii="Times New Roman" w:hAnsi="Times New Roman"/>
        </w:rPr>
        <w:t xml:space="preserve"> </w:t>
      </w:r>
      <w:r w:rsidRPr="006E3932">
        <w:rPr>
          <w:rFonts w:ascii="Times New Roman" w:hAnsi="Times New Roman"/>
          <w:lang w:val="sr-Cyrl-RS"/>
        </w:rPr>
        <w:t>И</w:t>
      </w:r>
      <w:r w:rsidRPr="006E3932">
        <w:rPr>
          <w:rFonts w:ascii="Times New Roman" w:hAnsi="Times New Roman"/>
        </w:rPr>
        <w:t>звештај о управљању амбалажом и амбалажним отпадом у 2022. години</w:t>
      </w:r>
      <w:r>
        <w:rPr>
          <w:rFonts w:ascii="Times New Roman" w:hAnsi="Times New Roman"/>
          <w:lang w:val="sr-Cyrl-RS"/>
        </w:rPr>
        <w:t>.</w:t>
      </w:r>
    </w:p>
  </w:footnote>
  <w:footnote w:id="4">
    <w:p w14:paraId="28841613" w14:textId="06C77C24" w:rsidR="00BB078D" w:rsidRPr="00994601" w:rsidRDefault="00BB078D">
      <w:pPr>
        <w:pStyle w:val="FootnoteText"/>
        <w:rPr>
          <w:lang w:val="sr-Cyrl-RS"/>
        </w:rPr>
      </w:pPr>
      <w:r>
        <w:rPr>
          <w:rStyle w:val="FootnoteReference"/>
        </w:rPr>
        <w:footnoteRef/>
      </w:r>
      <w:r>
        <w:t xml:space="preserve"> </w:t>
      </w:r>
      <w:r>
        <w:rPr>
          <w:rFonts w:ascii="Times New Roman" w:hAnsi="Times New Roman"/>
          <w:sz w:val="18"/>
          <w:szCs w:val="18"/>
          <w:lang w:val="sr-Cyrl-RS"/>
        </w:rPr>
        <w:t>Анализа истраживања о директном</w:t>
      </w:r>
      <w:r w:rsidRPr="00BA2E70">
        <w:rPr>
          <w:rFonts w:ascii="Times New Roman" w:hAnsi="Times New Roman"/>
          <w:sz w:val="18"/>
          <w:szCs w:val="18"/>
        </w:rPr>
        <w:t xml:space="preserve"> мерењ</w:t>
      </w:r>
      <w:r>
        <w:rPr>
          <w:rFonts w:ascii="Times New Roman" w:hAnsi="Times New Roman"/>
          <w:sz w:val="18"/>
          <w:szCs w:val="18"/>
          <w:lang w:val="sr-Cyrl-RS"/>
        </w:rPr>
        <w:t>у</w:t>
      </w:r>
      <w:r w:rsidRPr="00BA2E70">
        <w:rPr>
          <w:rFonts w:ascii="Times New Roman" w:hAnsi="Times New Roman"/>
          <w:sz w:val="18"/>
          <w:szCs w:val="18"/>
        </w:rPr>
        <w:t xml:space="preserve"> количине и морфолошког састава отпада од хране из комерцијалног сектора у </w:t>
      </w:r>
      <w:r>
        <w:rPr>
          <w:rFonts w:ascii="Times New Roman" w:hAnsi="Times New Roman"/>
          <w:sz w:val="18"/>
          <w:szCs w:val="18"/>
          <w:lang w:val="sr-Cyrl-RS"/>
        </w:rPr>
        <w:t>Б</w:t>
      </w:r>
      <w:r w:rsidRPr="00BA2E70">
        <w:rPr>
          <w:rFonts w:ascii="Times New Roman" w:hAnsi="Times New Roman"/>
          <w:sz w:val="18"/>
          <w:szCs w:val="18"/>
        </w:rPr>
        <w:t>еограду, Центар за унапређење животне средине, 2022</w:t>
      </w:r>
      <w:r>
        <w:rPr>
          <w:rFonts w:ascii="Times New Roman" w:hAnsi="Times New Roman"/>
          <w:sz w:val="18"/>
          <w:szCs w:val="18"/>
          <w:lang w:val="sr-Cyrl-RS"/>
        </w:rPr>
        <w:t>.</w:t>
      </w:r>
    </w:p>
  </w:footnote>
  <w:footnote w:id="5">
    <w:p w14:paraId="5E41B46A" w14:textId="5CF9190E" w:rsidR="00BB078D" w:rsidRPr="00AB6FFF" w:rsidRDefault="00BB078D" w:rsidP="00AB6FFF">
      <w:pPr>
        <w:pStyle w:val="FootnoteText"/>
        <w:spacing w:before="0" w:line="240" w:lineRule="auto"/>
        <w:ind w:left="144" w:hanging="144"/>
        <w:rPr>
          <w:rFonts w:ascii="Times New Roman" w:hAnsi="Times New Roman"/>
          <w:sz w:val="20"/>
          <w:lang w:val="ru-RU"/>
        </w:rPr>
      </w:pPr>
      <w:r w:rsidRPr="00957FF0">
        <w:rPr>
          <w:rStyle w:val="FootnoteReference"/>
          <w:rFonts w:ascii="Times New Roman" w:hAnsi="Times New Roman"/>
          <w:sz w:val="18"/>
          <w:szCs w:val="18"/>
        </w:rPr>
        <w:footnoteRef/>
      </w:r>
      <w:r w:rsidRPr="00957FF0">
        <w:rPr>
          <w:rFonts w:ascii="Times New Roman" w:hAnsi="Times New Roman"/>
          <w:sz w:val="18"/>
          <w:szCs w:val="18"/>
          <w:lang w:val="ru-RU"/>
        </w:rPr>
        <w:t xml:space="preserve"> Подаци о истраживању броја сертификата у свету, тзв „</w:t>
      </w:r>
      <w:r w:rsidRPr="00957FF0">
        <w:rPr>
          <w:rFonts w:ascii="Times New Roman" w:hAnsi="Times New Roman"/>
          <w:sz w:val="18"/>
          <w:szCs w:val="18"/>
        </w:rPr>
        <w:t>ISO</w:t>
      </w:r>
      <w:r w:rsidRPr="00957FF0">
        <w:rPr>
          <w:rFonts w:ascii="Times New Roman" w:hAnsi="Times New Roman"/>
          <w:sz w:val="18"/>
          <w:szCs w:val="18"/>
          <w:lang w:val="ru-RU"/>
        </w:rPr>
        <w:t xml:space="preserve"> </w:t>
      </w:r>
      <w:r w:rsidRPr="00957FF0">
        <w:rPr>
          <w:rFonts w:ascii="Times New Roman" w:hAnsi="Times New Roman"/>
          <w:sz w:val="18"/>
          <w:szCs w:val="18"/>
        </w:rPr>
        <w:t>survey</w:t>
      </w:r>
      <w:r w:rsidRPr="00957FF0">
        <w:rPr>
          <w:rFonts w:ascii="Times New Roman" w:hAnsi="Times New Roman"/>
          <w:sz w:val="18"/>
          <w:szCs w:val="18"/>
          <w:lang w:val="ru-RU"/>
        </w:rPr>
        <w:t>”. Ови подаци нису прецизни јер јединствени, званичан регистар сертификованих организација тренутно не постоји</w:t>
      </w:r>
      <w:r w:rsidRPr="00AB6FFF">
        <w:rPr>
          <w:rFonts w:ascii="Times New Roman" w:hAnsi="Times New Roman"/>
          <w:sz w:val="20"/>
          <w:lang w:val="ru-RU"/>
        </w:rPr>
        <w:t xml:space="preserve">. </w:t>
      </w:r>
    </w:p>
  </w:footnote>
  <w:footnote w:id="6">
    <w:p w14:paraId="16B3C4D7" w14:textId="3FDE13FA" w:rsidR="00BB078D" w:rsidRPr="00AB6FFF" w:rsidRDefault="00BB078D" w:rsidP="00A03D65">
      <w:pPr>
        <w:pStyle w:val="FootnoteText"/>
        <w:spacing w:before="0" w:line="240" w:lineRule="auto"/>
        <w:ind w:left="144" w:hanging="144"/>
        <w:rPr>
          <w:rFonts w:ascii="Times New Roman" w:hAnsi="Times New Roman"/>
          <w:sz w:val="20"/>
          <w:lang w:val="sr-Cyrl-RS"/>
        </w:rPr>
      </w:pPr>
      <w:r w:rsidRPr="00AB6FFF">
        <w:rPr>
          <w:rStyle w:val="FootnoteReference"/>
          <w:rFonts w:ascii="Times New Roman" w:hAnsi="Times New Roman"/>
          <w:sz w:val="20"/>
        </w:rPr>
        <w:footnoteRef/>
      </w:r>
      <w:r w:rsidRPr="00AB6FFF">
        <w:rPr>
          <w:rFonts w:ascii="Times New Roman" w:hAnsi="Times New Roman"/>
          <w:sz w:val="20"/>
          <w:lang w:val="sr-Cyrl-RS"/>
        </w:rPr>
        <w:t xml:space="preserve"> </w:t>
      </w:r>
      <w:hyperlink r:id="rId1" w:history="1">
        <w:r w:rsidRPr="00A417AD">
          <w:rPr>
            <w:rStyle w:val="Hyperlink"/>
            <w:rFonts w:ascii="Times New Roman" w:hAnsi="Times New Roman"/>
            <w:sz w:val="20"/>
          </w:rPr>
          <w:t>http</w:t>
        </w:r>
        <w:r w:rsidRPr="00A417AD">
          <w:rPr>
            <w:rStyle w:val="Hyperlink"/>
            <w:rFonts w:ascii="Times New Roman" w:hAnsi="Times New Roman"/>
            <w:sz w:val="20"/>
            <w:lang w:val="sr-Cyrl-RS"/>
          </w:rPr>
          <w:t>://</w:t>
        </w:r>
        <w:r w:rsidRPr="00A417AD">
          <w:rPr>
            <w:rStyle w:val="Hyperlink"/>
            <w:rFonts w:ascii="Times New Roman" w:hAnsi="Times New Roman"/>
            <w:sz w:val="20"/>
          </w:rPr>
          <w:t>eupodrska</w:t>
        </w:r>
        <w:r w:rsidRPr="00A417AD">
          <w:rPr>
            <w:rStyle w:val="Hyperlink"/>
            <w:rFonts w:ascii="Times New Roman" w:hAnsi="Times New Roman"/>
            <w:sz w:val="20"/>
            <w:lang w:val="sr-Cyrl-RS"/>
          </w:rPr>
          <w:t>.</w:t>
        </w:r>
        <w:r w:rsidRPr="00A417AD">
          <w:rPr>
            <w:rStyle w:val="Hyperlink"/>
            <w:rFonts w:ascii="Times New Roman" w:hAnsi="Times New Roman"/>
            <w:sz w:val="20"/>
          </w:rPr>
          <w:t>ujn</w:t>
        </w:r>
        <w:r w:rsidRPr="00A417AD">
          <w:rPr>
            <w:rStyle w:val="Hyperlink"/>
            <w:rFonts w:ascii="Times New Roman" w:hAnsi="Times New Roman"/>
            <w:sz w:val="20"/>
            <w:lang w:val="sr-Cyrl-RS"/>
          </w:rPr>
          <w:t>.</w:t>
        </w:r>
        <w:r w:rsidRPr="00A417AD">
          <w:rPr>
            <w:rStyle w:val="Hyperlink"/>
            <w:rFonts w:ascii="Times New Roman" w:hAnsi="Times New Roman"/>
            <w:sz w:val="20"/>
          </w:rPr>
          <w:t>gov</w:t>
        </w:r>
        <w:r w:rsidRPr="00A417AD">
          <w:rPr>
            <w:rStyle w:val="Hyperlink"/>
            <w:rFonts w:ascii="Times New Roman" w:hAnsi="Times New Roman"/>
            <w:sz w:val="20"/>
            <w:lang w:val="sr-Cyrl-RS"/>
          </w:rPr>
          <w:t>.</w:t>
        </w:r>
        <w:r w:rsidRPr="00A417AD">
          <w:rPr>
            <w:rStyle w:val="Hyperlink"/>
            <w:rFonts w:ascii="Times New Roman" w:hAnsi="Times New Roman"/>
            <w:sz w:val="20"/>
          </w:rPr>
          <w:t>rs</w:t>
        </w:r>
        <w:r w:rsidRPr="00A417AD">
          <w:rPr>
            <w:rStyle w:val="Hyperlink"/>
            <w:rFonts w:ascii="Times New Roman" w:hAnsi="Times New Roman"/>
            <w:sz w:val="20"/>
            <w:lang w:val="sr-Cyrl-RS"/>
          </w:rPr>
          <w:t>/</w:t>
        </w:r>
        <w:r w:rsidRPr="00A417AD">
          <w:rPr>
            <w:rStyle w:val="Hyperlink"/>
            <w:rFonts w:ascii="Times New Roman" w:hAnsi="Times New Roman"/>
            <w:sz w:val="20"/>
          </w:rPr>
          <w:t>dokumenta</w:t>
        </w:r>
        <w:r w:rsidRPr="00A417AD">
          <w:rPr>
            <w:rStyle w:val="Hyperlink"/>
            <w:rFonts w:ascii="Times New Roman" w:hAnsi="Times New Roman"/>
            <w:sz w:val="20"/>
            <w:lang w:val="sr-Cyrl-RS"/>
          </w:rPr>
          <w:t>/</w:t>
        </w:r>
      </w:hyperlink>
      <w:r>
        <w:rPr>
          <w:rFonts w:ascii="Times New Roman" w:hAnsi="Times New Roman"/>
          <w:sz w:val="20"/>
          <w:lang w:val="sr-Cyrl-RS"/>
        </w:rPr>
        <w:t xml:space="preserve"> </w:t>
      </w:r>
    </w:p>
  </w:footnote>
  <w:footnote w:id="7">
    <w:p w14:paraId="0E115D50" w14:textId="43571C49" w:rsidR="00BB078D" w:rsidRPr="006E3932" w:rsidRDefault="00BB078D">
      <w:pPr>
        <w:pStyle w:val="FootnoteText"/>
        <w:rPr>
          <w:rFonts w:ascii="Times New Roman" w:hAnsi="Times New Roman"/>
          <w:sz w:val="18"/>
          <w:szCs w:val="18"/>
          <w:lang w:val="sr-Cyrl-RS"/>
        </w:rPr>
      </w:pPr>
      <w:r w:rsidRPr="006E3932">
        <w:rPr>
          <w:rStyle w:val="FootnoteReference"/>
          <w:rFonts w:ascii="Times New Roman" w:hAnsi="Times New Roman"/>
          <w:sz w:val="18"/>
          <w:szCs w:val="18"/>
        </w:rPr>
        <w:footnoteRef/>
      </w:r>
      <w:r w:rsidRPr="006E3932">
        <w:rPr>
          <w:rFonts w:ascii="Times New Roman" w:hAnsi="Times New Roman"/>
          <w:sz w:val="18"/>
          <w:szCs w:val="18"/>
        </w:rPr>
        <w:t xml:space="preserve"> </w:t>
      </w:r>
      <w:r>
        <w:rPr>
          <w:rFonts w:ascii="Times New Roman" w:hAnsi="Times New Roman"/>
          <w:sz w:val="18"/>
          <w:szCs w:val="18"/>
          <w:lang w:val="sr-Cyrl-RS"/>
        </w:rPr>
        <w:t xml:space="preserve">СЕПА, </w:t>
      </w:r>
      <w:r w:rsidRPr="00BA5FA2">
        <w:rPr>
          <w:rFonts w:ascii="Times New Roman" w:hAnsi="Times New Roman"/>
          <w:sz w:val="18"/>
          <w:szCs w:val="18"/>
          <w:lang w:val="sr-Cyrl-RS"/>
        </w:rPr>
        <w:t>Годишњи извештај о стању квалитета ваздуха у Републици Србији 2023. године</w:t>
      </w:r>
    </w:p>
  </w:footnote>
  <w:footnote w:id="8">
    <w:p w14:paraId="74FDFC57" w14:textId="77777777" w:rsidR="00BB078D" w:rsidRPr="00143598" w:rsidRDefault="00BB078D" w:rsidP="009E3888">
      <w:pPr>
        <w:pBdr>
          <w:top w:val="nil"/>
          <w:left w:val="nil"/>
          <w:bottom w:val="nil"/>
          <w:right w:val="nil"/>
          <w:between w:val="nil"/>
        </w:pBdr>
        <w:tabs>
          <w:tab w:val="left" w:pos="284"/>
          <w:tab w:val="left" w:pos="3825"/>
        </w:tabs>
        <w:spacing w:before="120"/>
        <w:ind w:left="284" w:hanging="284"/>
        <w:rPr>
          <w:rFonts w:cs="Calibri"/>
          <w:color w:val="000000"/>
          <w:sz w:val="16"/>
          <w:szCs w:val="16"/>
          <w:lang w:val="ru-RU"/>
        </w:rPr>
      </w:pPr>
      <w:r>
        <w:rPr>
          <w:rStyle w:val="FootnoteReference"/>
        </w:rPr>
        <w:footnoteRef/>
      </w:r>
      <w:r w:rsidRPr="00143598">
        <w:rPr>
          <w:rFonts w:cs="Calibri"/>
          <w:color w:val="000000"/>
          <w:sz w:val="16"/>
          <w:szCs w:val="16"/>
          <w:lang w:val="ru-RU"/>
        </w:rPr>
        <w:t xml:space="preserve"> Укључује ненамерне емисије од чврстих горива (рударење и руковање угљем, трансформација) и ненамерне емисије од нафте и гаса (истраживање, производња, прерада, пренос, складиштење, дистрибуција и друго, на пример, сакупљање и спаљивање гаса на бакљи).</w:t>
      </w:r>
    </w:p>
  </w:footnote>
  <w:footnote w:id="9">
    <w:p w14:paraId="2B5EBC7F" w14:textId="0DC0917B" w:rsidR="00BB078D" w:rsidRPr="00CB74C9" w:rsidRDefault="00BB078D" w:rsidP="00CB74C9">
      <w:pPr>
        <w:pStyle w:val="FootnoteText"/>
        <w:spacing w:before="0" w:line="240" w:lineRule="auto"/>
        <w:ind w:left="144" w:hanging="144"/>
        <w:rPr>
          <w:lang w:val="sr-Cyrl-RS"/>
        </w:rPr>
      </w:pPr>
      <w:r w:rsidRPr="003A37F1">
        <w:rPr>
          <w:rStyle w:val="FootnoteReference"/>
        </w:rPr>
        <w:footnoteRef/>
      </w:r>
      <w:r w:rsidRPr="003A37F1">
        <w:rPr>
          <w:rFonts w:ascii="Times New Roman" w:hAnsi="Times New Roman"/>
        </w:rPr>
        <w:t xml:space="preserve"> </w:t>
      </w:r>
      <w:r w:rsidRPr="00B34C5E">
        <w:rPr>
          <w:rFonts w:ascii="Times New Roman" w:hAnsi="Times New Roman"/>
        </w:rPr>
        <w:t>EU-Serbia Stabilisation and Association Agreement Sub-Committee on Transport, Energy, Environment, Climate Change and Regional Development</w:t>
      </w:r>
      <w:r w:rsidRPr="00B34C5E">
        <w:rPr>
          <w:rFonts w:ascii="Times New Roman" w:hAnsi="Times New Roman"/>
          <w:lang w:val="en-US"/>
        </w:rPr>
        <w:t xml:space="preserve"> </w:t>
      </w:r>
      <w:r w:rsidRPr="00B34C5E">
        <w:rPr>
          <w:rFonts w:ascii="Times New Roman" w:hAnsi="Times New Roman"/>
        </w:rPr>
        <w:t>Brussels / hybrid, 7 or 8 December 2022</w:t>
      </w:r>
    </w:p>
  </w:footnote>
  <w:footnote w:id="10">
    <w:p w14:paraId="355231CA" w14:textId="6E6D57D4" w:rsidR="00BB078D" w:rsidRPr="007E648C" w:rsidRDefault="00BB078D">
      <w:pPr>
        <w:pStyle w:val="FootnoteText"/>
        <w:rPr>
          <w:lang w:val="sr-Cyrl-RS"/>
        </w:rPr>
      </w:pPr>
      <w:r>
        <w:rPr>
          <w:rStyle w:val="FootnoteReference"/>
        </w:rPr>
        <w:footnoteRef/>
      </w:r>
      <w:r>
        <w:t xml:space="preserve"> </w:t>
      </w:r>
      <w:r w:rsidRPr="007E648C">
        <w:rPr>
          <w:rFonts w:ascii="Times New Roman" w:hAnsi="Times New Roman"/>
          <w:sz w:val="18"/>
          <w:szCs w:val="18"/>
        </w:rPr>
        <w:t>Биланс воде у Републици Србији у периоду 2004 - 2019.</w:t>
      </w:r>
    </w:p>
  </w:footnote>
  <w:footnote w:id="11">
    <w:p w14:paraId="3E29DBA4" w14:textId="77777777" w:rsidR="00BB078D" w:rsidRPr="00C1083D" w:rsidRDefault="00BB078D" w:rsidP="001E1EBB">
      <w:pPr>
        <w:pStyle w:val="FootnoteText"/>
        <w:spacing w:line="240" w:lineRule="auto"/>
        <w:ind w:left="144" w:hanging="144"/>
        <w:rPr>
          <w:rFonts w:ascii="Times New Roman" w:hAnsi="Times New Roman"/>
          <w:lang w:val="sr-Cyrl-RS"/>
        </w:rPr>
      </w:pPr>
      <w:r w:rsidRPr="00C1083D">
        <w:rPr>
          <w:rStyle w:val="FootnoteReference"/>
          <w:rFonts w:ascii="Times New Roman" w:hAnsi="Times New Roman"/>
        </w:rPr>
        <w:footnoteRef/>
      </w:r>
      <w:r w:rsidRPr="00C1083D">
        <w:rPr>
          <w:rFonts w:ascii="Times New Roman" w:hAnsi="Times New Roman"/>
        </w:rPr>
        <w:t xml:space="preserve"> Land Degradation Neutrality Target Setting Programme</w:t>
      </w:r>
      <w:r w:rsidRPr="00C1083D">
        <w:rPr>
          <w:rFonts w:ascii="Times New Roman" w:hAnsi="Times New Roman"/>
          <w:lang w:val="sr-Cyrl-RS"/>
        </w:rPr>
        <w:t xml:space="preserve">, </w:t>
      </w:r>
      <w:r w:rsidRPr="00C1083D">
        <w:rPr>
          <w:rFonts w:ascii="Times New Roman" w:hAnsi="Times New Roman"/>
        </w:rPr>
        <w:t>R</w:t>
      </w:r>
      <w:r w:rsidRPr="00C1083D">
        <w:rPr>
          <w:rFonts w:ascii="Times New Roman" w:hAnsi="Times New Roman"/>
          <w:lang w:val="en-GB"/>
        </w:rPr>
        <w:t>eport</w:t>
      </w:r>
      <w:r w:rsidRPr="00C1083D">
        <w:rPr>
          <w:rFonts w:ascii="Times New Roman" w:hAnsi="Times New Roman"/>
        </w:rPr>
        <w:t xml:space="preserve"> </w:t>
      </w:r>
      <w:r w:rsidRPr="00C1083D">
        <w:rPr>
          <w:rFonts w:ascii="Times New Roman" w:hAnsi="Times New Roman"/>
          <w:lang w:val="en-GB"/>
        </w:rPr>
        <w:t xml:space="preserve">on the </w:t>
      </w:r>
      <w:r w:rsidRPr="00C1083D">
        <w:rPr>
          <w:rFonts w:ascii="Times New Roman" w:hAnsi="Times New Roman"/>
        </w:rPr>
        <w:t>A</w:t>
      </w:r>
      <w:r w:rsidRPr="00C1083D">
        <w:rPr>
          <w:rFonts w:ascii="Times New Roman" w:hAnsi="Times New Roman"/>
          <w:lang w:val="en-GB"/>
        </w:rPr>
        <w:t>pplied</w:t>
      </w:r>
      <w:r w:rsidRPr="00C1083D">
        <w:rPr>
          <w:rFonts w:ascii="Times New Roman" w:hAnsi="Times New Roman"/>
        </w:rPr>
        <w:t xml:space="preserve"> Methodology and Identification of T</w:t>
      </w:r>
      <w:r w:rsidRPr="00C1083D">
        <w:rPr>
          <w:rFonts w:ascii="Times New Roman" w:hAnsi="Times New Roman"/>
          <w:lang w:val="en-GB"/>
        </w:rPr>
        <w:t>argets to</w:t>
      </w:r>
      <w:r w:rsidRPr="00C1083D">
        <w:rPr>
          <w:rFonts w:ascii="Times New Roman" w:hAnsi="Times New Roman"/>
        </w:rPr>
        <w:t xml:space="preserve"> A</w:t>
      </w:r>
      <w:r w:rsidRPr="00C1083D">
        <w:rPr>
          <w:rFonts w:ascii="Times New Roman" w:hAnsi="Times New Roman"/>
          <w:lang w:val="en-GB"/>
        </w:rPr>
        <w:t>chieve</w:t>
      </w:r>
      <w:r w:rsidRPr="00C1083D">
        <w:rPr>
          <w:rFonts w:ascii="Times New Roman" w:hAnsi="Times New Roman"/>
        </w:rPr>
        <w:t xml:space="preserve"> L</w:t>
      </w:r>
      <w:r w:rsidRPr="00C1083D">
        <w:rPr>
          <w:rFonts w:ascii="Times New Roman" w:hAnsi="Times New Roman"/>
          <w:lang w:val="en-GB"/>
        </w:rPr>
        <w:t>and</w:t>
      </w:r>
      <w:r w:rsidRPr="00C1083D">
        <w:rPr>
          <w:rFonts w:ascii="Times New Roman" w:hAnsi="Times New Roman"/>
        </w:rPr>
        <w:t xml:space="preserve"> D</w:t>
      </w:r>
      <w:r w:rsidRPr="00C1083D">
        <w:rPr>
          <w:rFonts w:ascii="Times New Roman" w:hAnsi="Times New Roman"/>
          <w:lang w:val="en-GB"/>
        </w:rPr>
        <w:t>egradation</w:t>
      </w:r>
      <w:r w:rsidRPr="00C1083D">
        <w:rPr>
          <w:rFonts w:ascii="Times New Roman" w:hAnsi="Times New Roman"/>
        </w:rPr>
        <w:t xml:space="preserve"> N</w:t>
      </w:r>
      <w:r w:rsidRPr="00C1083D">
        <w:rPr>
          <w:rFonts w:ascii="Times New Roman" w:hAnsi="Times New Roman"/>
          <w:lang w:val="en-GB"/>
        </w:rPr>
        <w:t>eutrality in the</w:t>
      </w:r>
      <w:r w:rsidRPr="00C1083D">
        <w:rPr>
          <w:rFonts w:ascii="Times New Roman" w:hAnsi="Times New Roman"/>
        </w:rPr>
        <w:t xml:space="preserve"> R</w:t>
      </w:r>
      <w:r w:rsidRPr="00C1083D">
        <w:rPr>
          <w:rFonts w:ascii="Times New Roman" w:hAnsi="Times New Roman"/>
          <w:lang w:val="en-GB"/>
        </w:rPr>
        <w:t>epublic</w:t>
      </w:r>
      <w:r w:rsidRPr="00C1083D">
        <w:rPr>
          <w:rFonts w:ascii="Times New Roman" w:hAnsi="Times New Roman"/>
        </w:rPr>
        <w:t xml:space="preserve"> </w:t>
      </w:r>
      <w:r w:rsidRPr="00C1083D">
        <w:rPr>
          <w:rFonts w:ascii="Times New Roman" w:hAnsi="Times New Roman"/>
          <w:lang w:val="en-GB"/>
        </w:rPr>
        <w:t>of</w:t>
      </w:r>
      <w:r w:rsidRPr="00C1083D">
        <w:rPr>
          <w:rFonts w:ascii="Times New Roman" w:hAnsi="Times New Roman"/>
        </w:rPr>
        <w:t xml:space="preserve"> S</w:t>
      </w:r>
      <w:r w:rsidRPr="00C1083D">
        <w:rPr>
          <w:rFonts w:ascii="Times New Roman" w:hAnsi="Times New Roman"/>
          <w:lang w:val="en-GB"/>
        </w:rPr>
        <w:t>erbia,</w:t>
      </w:r>
      <w:r w:rsidRPr="00C1083D">
        <w:rPr>
          <w:rFonts w:ascii="Times New Roman" w:hAnsi="Times New Roman"/>
          <w:lang w:val="sr-Cyrl-RS"/>
        </w:rPr>
        <w:t xml:space="preserve"> МЗЖС, Јануар 2020., </w:t>
      </w:r>
      <w:hyperlink r:id="rId2" w:history="1">
        <w:r w:rsidRPr="00C1083D">
          <w:rPr>
            <w:rStyle w:val="Hyperlink"/>
            <w:rFonts w:ascii="Times New Roman" w:hAnsi="Times New Roman"/>
            <w:lang w:val="sr-Cyrl-RS"/>
          </w:rPr>
          <w:t>https://www.unccd.int/commitment/ldn-tsp-country-report-46</w:t>
        </w:r>
      </w:hyperlink>
    </w:p>
  </w:footnote>
  <w:footnote w:id="12">
    <w:p w14:paraId="5762658C" w14:textId="249A4155" w:rsidR="00BB078D" w:rsidRPr="00994601" w:rsidRDefault="00BB078D" w:rsidP="001E1EBB">
      <w:pPr>
        <w:pStyle w:val="FootnoteText"/>
        <w:spacing w:line="240" w:lineRule="auto"/>
        <w:ind w:left="144" w:hanging="144"/>
        <w:rPr>
          <w:lang w:val="sr-Cyrl-RS"/>
        </w:rPr>
      </w:pPr>
      <w:r w:rsidRPr="001E1EBB">
        <w:rPr>
          <w:rStyle w:val="FootnoteReference"/>
          <w:rFonts w:ascii="Times New Roman" w:hAnsi="Times New Roman"/>
        </w:rPr>
        <w:footnoteRef/>
      </w:r>
      <w:r w:rsidRPr="001E1EBB">
        <w:rPr>
          <w:rFonts w:ascii="Times New Roman" w:hAnsi="Times New Roman"/>
        </w:rPr>
        <w:t xml:space="preserve"> </w:t>
      </w:r>
      <w:r w:rsidRPr="001E1EBB">
        <w:rPr>
          <w:rFonts w:ascii="Times New Roman" w:hAnsi="Times New Roman"/>
          <w:lang w:val="en-US"/>
        </w:rPr>
        <w:t>Nacionalni</w:t>
      </w:r>
      <w:r w:rsidRPr="00BA5FA2">
        <w:rPr>
          <w:rFonts w:ascii="Times New Roman" w:hAnsi="Times New Roman"/>
          <w:lang w:val="sr-Cyrl-RS"/>
        </w:rPr>
        <w:t xml:space="preserve"> </w:t>
      </w:r>
      <w:r w:rsidRPr="001E1EBB">
        <w:rPr>
          <w:rFonts w:ascii="Times New Roman" w:hAnsi="Times New Roman"/>
          <w:lang w:val="en-US"/>
        </w:rPr>
        <w:t>izve</w:t>
      </w:r>
      <w:r w:rsidRPr="00BA5FA2">
        <w:rPr>
          <w:rFonts w:ascii="Times New Roman" w:hAnsi="Times New Roman"/>
          <w:lang w:val="sr-Cyrl-RS"/>
        </w:rPr>
        <w:t>š</w:t>
      </w:r>
      <w:r w:rsidRPr="001E1EBB">
        <w:rPr>
          <w:rFonts w:ascii="Times New Roman" w:hAnsi="Times New Roman"/>
          <w:lang w:val="en-US"/>
        </w:rPr>
        <w:t>taj</w:t>
      </w:r>
      <w:r w:rsidRPr="00BA5FA2">
        <w:rPr>
          <w:rFonts w:ascii="Times New Roman" w:hAnsi="Times New Roman"/>
          <w:lang w:val="sr-Cyrl-RS"/>
        </w:rPr>
        <w:t xml:space="preserve"> </w:t>
      </w:r>
      <w:r w:rsidRPr="001E1EBB">
        <w:rPr>
          <w:rFonts w:ascii="Times New Roman" w:hAnsi="Times New Roman"/>
          <w:lang w:val="en-US"/>
        </w:rPr>
        <w:t>Republike</w:t>
      </w:r>
      <w:r w:rsidRPr="00BA5FA2">
        <w:rPr>
          <w:rFonts w:ascii="Times New Roman" w:hAnsi="Times New Roman"/>
          <w:lang w:val="sr-Cyrl-RS"/>
        </w:rPr>
        <w:t xml:space="preserve"> </w:t>
      </w:r>
      <w:r w:rsidRPr="001E1EBB">
        <w:rPr>
          <w:rFonts w:ascii="Times New Roman" w:hAnsi="Times New Roman"/>
          <w:lang w:val="en-US"/>
        </w:rPr>
        <w:t>Srbije</w:t>
      </w:r>
      <w:r w:rsidRPr="00BA5FA2">
        <w:rPr>
          <w:rFonts w:ascii="Times New Roman" w:hAnsi="Times New Roman"/>
          <w:lang w:val="sr-Cyrl-RS"/>
        </w:rPr>
        <w:t xml:space="preserve"> </w:t>
      </w:r>
      <w:r w:rsidRPr="001E1EBB">
        <w:rPr>
          <w:rFonts w:ascii="Times New Roman" w:hAnsi="Times New Roman"/>
          <w:lang w:val="en-US"/>
        </w:rPr>
        <w:t>o</w:t>
      </w:r>
      <w:r w:rsidRPr="00BA5FA2">
        <w:rPr>
          <w:rFonts w:ascii="Times New Roman" w:hAnsi="Times New Roman"/>
          <w:lang w:val="sr-Cyrl-RS"/>
        </w:rPr>
        <w:t xml:space="preserve"> </w:t>
      </w:r>
      <w:r w:rsidRPr="001E1EBB">
        <w:rPr>
          <w:rFonts w:ascii="Times New Roman" w:hAnsi="Times New Roman"/>
          <w:lang w:val="en-US"/>
        </w:rPr>
        <w:t>napretku</w:t>
      </w:r>
      <w:r w:rsidRPr="00BA5FA2">
        <w:rPr>
          <w:rFonts w:ascii="Times New Roman" w:hAnsi="Times New Roman"/>
          <w:lang w:val="sr-Cyrl-RS"/>
        </w:rPr>
        <w:t xml:space="preserve"> </w:t>
      </w:r>
      <w:r w:rsidRPr="001E1EBB">
        <w:rPr>
          <w:rFonts w:ascii="Times New Roman" w:hAnsi="Times New Roman"/>
          <w:lang w:val="en-US"/>
        </w:rPr>
        <w:t>u</w:t>
      </w:r>
      <w:r w:rsidRPr="00BA5FA2">
        <w:rPr>
          <w:rFonts w:ascii="Times New Roman" w:hAnsi="Times New Roman"/>
          <w:lang w:val="sr-Cyrl-RS"/>
        </w:rPr>
        <w:t xml:space="preserve"> </w:t>
      </w:r>
      <w:r w:rsidRPr="001E1EBB">
        <w:rPr>
          <w:rFonts w:ascii="Times New Roman" w:hAnsi="Times New Roman"/>
          <w:lang w:val="en-US"/>
        </w:rPr>
        <w:t>implementaciji</w:t>
      </w:r>
      <w:r w:rsidRPr="00BA5FA2">
        <w:rPr>
          <w:rFonts w:ascii="Times New Roman" w:hAnsi="Times New Roman"/>
          <w:lang w:val="sr-Cyrl-RS"/>
        </w:rPr>
        <w:t xml:space="preserve"> </w:t>
      </w:r>
      <w:r w:rsidRPr="001E1EBB">
        <w:rPr>
          <w:rFonts w:ascii="Times New Roman" w:hAnsi="Times New Roman"/>
          <w:lang w:val="en-US"/>
        </w:rPr>
        <w:t>UN</w:t>
      </w:r>
      <w:r w:rsidRPr="00BA5FA2">
        <w:rPr>
          <w:rFonts w:ascii="Times New Roman" w:hAnsi="Times New Roman"/>
          <w:lang w:val="sr-Cyrl-RS"/>
        </w:rPr>
        <w:t xml:space="preserve"> </w:t>
      </w:r>
      <w:r w:rsidRPr="001E1EBB">
        <w:rPr>
          <w:rFonts w:ascii="Times New Roman" w:hAnsi="Times New Roman"/>
          <w:lang w:val="en-US"/>
        </w:rPr>
        <w:t>Konvencije</w:t>
      </w:r>
      <w:r w:rsidRPr="00BA5FA2">
        <w:rPr>
          <w:rFonts w:ascii="Times New Roman" w:hAnsi="Times New Roman"/>
          <w:lang w:val="sr-Cyrl-RS"/>
        </w:rPr>
        <w:t xml:space="preserve"> </w:t>
      </w:r>
      <w:r w:rsidRPr="001E1EBB">
        <w:rPr>
          <w:rFonts w:ascii="Times New Roman" w:hAnsi="Times New Roman"/>
          <w:lang w:val="en-US"/>
        </w:rPr>
        <w:t>za</w:t>
      </w:r>
      <w:r w:rsidRPr="00BA5FA2">
        <w:rPr>
          <w:rFonts w:ascii="Times New Roman" w:hAnsi="Times New Roman"/>
          <w:lang w:val="sr-Cyrl-RS"/>
        </w:rPr>
        <w:t xml:space="preserve"> </w:t>
      </w:r>
      <w:r w:rsidRPr="001E1EBB">
        <w:rPr>
          <w:rFonts w:ascii="Times New Roman" w:hAnsi="Times New Roman"/>
          <w:lang w:val="en-US"/>
        </w:rPr>
        <w:t>borbu</w:t>
      </w:r>
      <w:r w:rsidRPr="00BA5FA2">
        <w:rPr>
          <w:rFonts w:ascii="Times New Roman" w:hAnsi="Times New Roman"/>
          <w:lang w:val="sr-Cyrl-RS"/>
        </w:rPr>
        <w:t xml:space="preserve"> </w:t>
      </w:r>
      <w:r w:rsidRPr="001E1EBB">
        <w:rPr>
          <w:rFonts w:ascii="Times New Roman" w:hAnsi="Times New Roman"/>
          <w:lang w:val="en-US"/>
        </w:rPr>
        <w:t>protev</w:t>
      </w:r>
      <w:r w:rsidRPr="00BA5FA2">
        <w:rPr>
          <w:rFonts w:ascii="Times New Roman" w:hAnsi="Times New Roman"/>
          <w:lang w:val="sr-Cyrl-RS"/>
        </w:rPr>
        <w:t xml:space="preserve"> </w:t>
      </w:r>
      <w:r w:rsidRPr="001E1EBB">
        <w:rPr>
          <w:rFonts w:ascii="Times New Roman" w:hAnsi="Times New Roman"/>
          <w:lang w:val="en-US"/>
        </w:rPr>
        <w:t>dezertifikacije</w:t>
      </w:r>
      <w:r w:rsidRPr="00BA5FA2">
        <w:rPr>
          <w:rFonts w:ascii="Times New Roman" w:hAnsi="Times New Roman"/>
          <w:lang w:val="sr-Cyrl-RS"/>
        </w:rPr>
        <w:t xml:space="preserve"> </w:t>
      </w:r>
      <w:r w:rsidRPr="001E1EBB">
        <w:rPr>
          <w:rFonts w:ascii="Times New Roman" w:hAnsi="Times New Roman"/>
          <w:lang w:val="en-US"/>
        </w:rPr>
        <w:t>i</w:t>
      </w:r>
      <w:r w:rsidRPr="00BA5FA2">
        <w:rPr>
          <w:rFonts w:ascii="Times New Roman" w:hAnsi="Times New Roman"/>
          <w:lang w:val="sr-Cyrl-RS"/>
        </w:rPr>
        <w:t xml:space="preserve"> </w:t>
      </w:r>
      <w:r w:rsidRPr="001E1EBB">
        <w:rPr>
          <w:rFonts w:ascii="Times New Roman" w:hAnsi="Times New Roman"/>
          <w:lang w:val="en-US"/>
        </w:rPr>
        <w:t>degradacije</w:t>
      </w:r>
      <w:r w:rsidRPr="00BA5FA2">
        <w:rPr>
          <w:rFonts w:ascii="Times New Roman" w:hAnsi="Times New Roman"/>
          <w:lang w:val="sr-Cyrl-RS"/>
        </w:rPr>
        <w:t xml:space="preserve"> </w:t>
      </w:r>
      <w:r w:rsidRPr="001E1EBB">
        <w:rPr>
          <w:rFonts w:ascii="Times New Roman" w:hAnsi="Times New Roman"/>
          <w:lang w:val="en-US"/>
        </w:rPr>
        <w:t>zemlji</w:t>
      </w:r>
      <w:r w:rsidRPr="00BA5FA2">
        <w:rPr>
          <w:rFonts w:ascii="Times New Roman" w:hAnsi="Times New Roman"/>
          <w:lang w:val="sr-Cyrl-RS"/>
        </w:rPr>
        <w:t>š</w:t>
      </w:r>
      <w:r w:rsidRPr="001E1EBB">
        <w:rPr>
          <w:rFonts w:ascii="Times New Roman" w:hAnsi="Times New Roman"/>
          <w:lang w:val="en-US"/>
        </w:rPr>
        <w:t>ta</w:t>
      </w:r>
      <w:r w:rsidRPr="00BA5FA2">
        <w:rPr>
          <w:rFonts w:ascii="Times New Roman" w:hAnsi="Times New Roman"/>
          <w:lang w:val="sr-Cyrl-RS"/>
        </w:rPr>
        <w:t xml:space="preserve"> (</w:t>
      </w:r>
      <w:r w:rsidRPr="001E1EBB">
        <w:rPr>
          <w:rFonts w:ascii="Times New Roman" w:hAnsi="Times New Roman"/>
          <w:lang w:val="en-US"/>
        </w:rPr>
        <w:t>UNCCD</w:t>
      </w:r>
      <w:r w:rsidRPr="00BA5FA2">
        <w:rPr>
          <w:rFonts w:ascii="Times New Roman" w:hAnsi="Times New Roman"/>
          <w:lang w:val="sr-Cyrl-RS"/>
        </w:rPr>
        <w:t xml:space="preserve">), </w:t>
      </w:r>
      <w:r w:rsidRPr="001E1EBB">
        <w:rPr>
          <w:rFonts w:ascii="Times New Roman" w:hAnsi="Times New Roman"/>
          <w:lang w:val="en-US"/>
        </w:rPr>
        <w:t>mart</w:t>
      </w:r>
      <w:r w:rsidRPr="00BA5FA2">
        <w:rPr>
          <w:rFonts w:ascii="Times New Roman" w:hAnsi="Times New Roman"/>
          <w:lang w:val="sr-Cyrl-RS"/>
        </w:rPr>
        <w:t xml:space="preserve"> 2023. </w:t>
      </w:r>
      <w:r w:rsidRPr="001E1EBB">
        <w:rPr>
          <w:rFonts w:ascii="Times New Roman" w:hAnsi="Times New Roman"/>
          <w:lang w:val="en-US"/>
        </w:rPr>
        <w:t>godine</w:t>
      </w:r>
      <w:r w:rsidRPr="00BA5FA2">
        <w:rPr>
          <w:rFonts w:ascii="Times New Roman" w:hAnsi="Times New Roman"/>
          <w:lang w:val="sr-Cyrl-RS"/>
        </w:rPr>
        <w:t xml:space="preserve">, </w:t>
      </w:r>
      <w:r w:rsidRPr="001E1EBB">
        <w:rPr>
          <w:rFonts w:ascii="Times New Roman" w:hAnsi="Times New Roman"/>
          <w:lang w:val="en-US"/>
        </w:rPr>
        <w:t>tabela</w:t>
      </w:r>
      <w:r w:rsidRPr="00BA5FA2">
        <w:rPr>
          <w:rFonts w:ascii="Times New Roman" w:hAnsi="Times New Roman"/>
          <w:lang w:val="sr-Cyrl-RS"/>
        </w:rPr>
        <w:t xml:space="preserve"> </w:t>
      </w:r>
      <w:r w:rsidRPr="001E1EBB">
        <w:rPr>
          <w:rFonts w:ascii="Times New Roman" w:hAnsi="Times New Roman"/>
          <w:lang w:val="en-US"/>
        </w:rPr>
        <w:t>SO</w:t>
      </w:r>
      <w:r w:rsidRPr="00BA5FA2">
        <w:rPr>
          <w:rFonts w:ascii="Times New Roman" w:hAnsi="Times New Roman"/>
          <w:lang w:val="sr-Cyrl-RS"/>
        </w:rPr>
        <w:t>1-4.</w:t>
      </w:r>
      <w:r w:rsidRPr="001E1EBB">
        <w:rPr>
          <w:rFonts w:ascii="Times New Roman" w:hAnsi="Times New Roman"/>
          <w:lang w:val="en-US"/>
        </w:rPr>
        <w:t>T</w:t>
      </w:r>
      <w:r w:rsidRPr="00BA5FA2">
        <w:rPr>
          <w:rFonts w:ascii="Times New Roman" w:hAnsi="Times New Roman"/>
          <w:lang w:val="sr-Cyrl-RS"/>
        </w:rPr>
        <w:t>1</w:t>
      </w:r>
      <w:r w:rsidRPr="001E1EBB">
        <w:rPr>
          <w:rFonts w:ascii="Times New Roman" w:hAnsi="Times New Roman"/>
          <w:lang w:val="sr-Cyrl-RS"/>
        </w:rPr>
        <w:t xml:space="preserve">, </w:t>
      </w:r>
      <w:hyperlink r:id="rId3" w:history="1">
        <w:r w:rsidRPr="001E1EBB">
          <w:rPr>
            <w:rStyle w:val="Hyperlink"/>
            <w:rFonts w:ascii="Times New Roman" w:hAnsi="Times New Roman"/>
            <w:lang w:val="en-US"/>
          </w:rPr>
          <w:t>https</w:t>
        </w:r>
        <w:r w:rsidRPr="00BA5FA2">
          <w:rPr>
            <w:rStyle w:val="Hyperlink"/>
            <w:rFonts w:ascii="Times New Roman" w:hAnsi="Times New Roman"/>
            <w:lang w:val="sr-Cyrl-RS"/>
          </w:rPr>
          <w:t>://</w:t>
        </w:r>
        <w:r w:rsidRPr="001E1EBB">
          <w:rPr>
            <w:rStyle w:val="Hyperlink"/>
            <w:rFonts w:ascii="Times New Roman" w:hAnsi="Times New Roman"/>
            <w:lang w:val="en-US"/>
          </w:rPr>
          <w:t>data</w:t>
        </w:r>
        <w:r w:rsidRPr="00BA5FA2">
          <w:rPr>
            <w:rStyle w:val="Hyperlink"/>
            <w:rFonts w:ascii="Times New Roman" w:hAnsi="Times New Roman"/>
            <w:lang w:val="sr-Cyrl-RS"/>
          </w:rPr>
          <w:t>.</w:t>
        </w:r>
        <w:r w:rsidRPr="001E1EBB">
          <w:rPr>
            <w:rStyle w:val="Hyperlink"/>
            <w:rFonts w:ascii="Times New Roman" w:hAnsi="Times New Roman"/>
            <w:lang w:val="en-US"/>
          </w:rPr>
          <w:t>unccd</w:t>
        </w:r>
        <w:r w:rsidRPr="00BA5FA2">
          <w:rPr>
            <w:rStyle w:val="Hyperlink"/>
            <w:rFonts w:ascii="Times New Roman" w:hAnsi="Times New Roman"/>
            <w:lang w:val="sr-Cyrl-RS"/>
          </w:rPr>
          <w:t>.</w:t>
        </w:r>
        <w:r w:rsidRPr="001E1EBB">
          <w:rPr>
            <w:rStyle w:val="Hyperlink"/>
            <w:rFonts w:ascii="Times New Roman" w:hAnsi="Times New Roman"/>
            <w:lang w:val="en-US"/>
          </w:rPr>
          <w:t>int</w:t>
        </w:r>
        <w:r w:rsidRPr="00BA5FA2">
          <w:rPr>
            <w:rStyle w:val="Hyperlink"/>
            <w:rFonts w:ascii="Times New Roman" w:hAnsi="Times New Roman"/>
            <w:lang w:val="sr-Cyrl-RS"/>
          </w:rPr>
          <w:t>/</w:t>
        </w:r>
        <w:r w:rsidRPr="001E1EBB">
          <w:rPr>
            <w:rStyle w:val="Hyperlink"/>
            <w:rFonts w:ascii="Times New Roman" w:hAnsi="Times New Roman"/>
            <w:lang w:val="en-US"/>
          </w:rPr>
          <w:t>country</w:t>
        </w:r>
        <w:r w:rsidRPr="00BA5FA2">
          <w:rPr>
            <w:rStyle w:val="Hyperlink"/>
            <w:rFonts w:ascii="Times New Roman" w:hAnsi="Times New Roman"/>
            <w:lang w:val="sr-Cyrl-RS"/>
          </w:rPr>
          <w:t>-</w:t>
        </w:r>
        <w:r w:rsidRPr="001E1EBB">
          <w:rPr>
            <w:rStyle w:val="Hyperlink"/>
            <w:rFonts w:ascii="Times New Roman" w:hAnsi="Times New Roman"/>
            <w:lang w:val="en-US"/>
          </w:rPr>
          <w:t>overview</w:t>
        </w:r>
        <w:r w:rsidRPr="00BA5FA2">
          <w:rPr>
            <w:rStyle w:val="Hyperlink"/>
            <w:rFonts w:ascii="Times New Roman" w:hAnsi="Times New Roman"/>
            <w:lang w:val="sr-Cyrl-RS"/>
          </w:rPr>
          <w:t>?</w:t>
        </w:r>
        <w:r w:rsidRPr="001E1EBB">
          <w:rPr>
            <w:rStyle w:val="Hyperlink"/>
            <w:rFonts w:ascii="Times New Roman" w:hAnsi="Times New Roman"/>
            <w:lang w:val="en-US"/>
          </w:rPr>
          <w:t>country</w:t>
        </w:r>
        <w:r w:rsidRPr="00BA5FA2">
          <w:rPr>
            <w:rStyle w:val="Hyperlink"/>
            <w:rFonts w:ascii="Times New Roman" w:hAnsi="Times New Roman"/>
            <w:lang w:val="sr-Cyrl-RS"/>
          </w:rPr>
          <w:t>=</w:t>
        </w:r>
        <w:r w:rsidRPr="001E1EBB">
          <w:rPr>
            <w:rStyle w:val="Hyperlink"/>
            <w:rFonts w:ascii="Times New Roman" w:hAnsi="Times New Roman"/>
            <w:lang w:val="en-US"/>
          </w:rPr>
          <w:t>SRB</w:t>
        </w:r>
      </w:hyperlink>
    </w:p>
  </w:footnote>
  <w:footnote w:id="13">
    <w:p w14:paraId="4A1C060B" w14:textId="1D8B1355" w:rsidR="00BB078D" w:rsidRPr="00A25076" w:rsidRDefault="00BB078D">
      <w:pPr>
        <w:pStyle w:val="FootnoteText"/>
        <w:rPr>
          <w:rFonts w:ascii="Times New Roman" w:hAnsi="Times New Roman"/>
          <w:sz w:val="18"/>
          <w:szCs w:val="18"/>
          <w:lang w:val="sr-Cyrl-RS"/>
        </w:rPr>
      </w:pPr>
      <w:r w:rsidRPr="005266E2">
        <w:rPr>
          <w:rStyle w:val="FootnoteReference"/>
          <w:rFonts w:ascii="Times New Roman" w:hAnsi="Times New Roman"/>
          <w:sz w:val="18"/>
          <w:szCs w:val="18"/>
        </w:rPr>
        <w:footnoteRef/>
      </w:r>
      <w:r w:rsidRPr="005266E2">
        <w:rPr>
          <w:rFonts w:ascii="Times New Roman" w:hAnsi="Times New Roman"/>
          <w:sz w:val="18"/>
          <w:szCs w:val="18"/>
        </w:rPr>
        <w:t xml:space="preserve"> </w:t>
      </w:r>
      <w:r w:rsidRPr="005266E2">
        <w:rPr>
          <w:rFonts w:ascii="Times New Roman" w:hAnsi="Times New Roman"/>
          <w:sz w:val="18"/>
          <w:szCs w:val="18"/>
          <w:lang w:val="sr-Cyrl-RS"/>
        </w:rPr>
        <w:t xml:space="preserve">На основу </w:t>
      </w:r>
      <w:r w:rsidRPr="005266E2">
        <w:rPr>
          <w:rStyle w:val="cf01"/>
          <w:rFonts w:ascii="Times New Roman" w:hAnsi="Times New Roman" w:cs="Times New Roman"/>
        </w:rPr>
        <w:t>Акцион</w:t>
      </w:r>
      <w:r w:rsidRPr="005266E2">
        <w:rPr>
          <w:rStyle w:val="cf01"/>
          <w:rFonts w:ascii="Times New Roman" w:hAnsi="Times New Roman" w:cs="Times New Roman"/>
          <w:lang w:val="sr-Cyrl-RS"/>
        </w:rPr>
        <w:t>ог</w:t>
      </w:r>
      <w:r w:rsidRPr="005266E2">
        <w:rPr>
          <w:rStyle w:val="cf01"/>
          <w:rFonts w:ascii="Times New Roman" w:hAnsi="Times New Roman" w:cs="Times New Roman"/>
        </w:rPr>
        <w:t xml:space="preserve"> план</w:t>
      </w:r>
      <w:r w:rsidRPr="005266E2">
        <w:rPr>
          <w:rStyle w:val="cf01"/>
          <w:rFonts w:ascii="Times New Roman" w:hAnsi="Times New Roman" w:cs="Times New Roman"/>
          <w:lang w:val="sr-Cyrl-RS"/>
        </w:rPr>
        <w:t>а</w:t>
      </w:r>
      <w:r w:rsidRPr="005266E2">
        <w:rPr>
          <w:rStyle w:val="cf01"/>
          <w:rFonts w:ascii="Times New Roman" w:hAnsi="Times New Roman" w:cs="Times New Roman"/>
        </w:rPr>
        <w:t xml:space="preserve"> за развој административних капацитета Министарства заштите животне средине</w:t>
      </w:r>
      <w:r>
        <w:rPr>
          <w:rStyle w:val="cf01"/>
          <w:rFonts w:ascii="Times New Roman" w:hAnsi="Times New Roman" w:cs="Times New Roman"/>
          <w:lang w:val="sr-Cyrl-RS"/>
        </w:rPr>
        <w:t>.</w:t>
      </w:r>
    </w:p>
  </w:footnote>
  <w:footnote w:id="14">
    <w:p w14:paraId="3339C9F9" w14:textId="25A87506" w:rsidR="00BB078D" w:rsidRPr="00143598" w:rsidRDefault="00BB078D">
      <w:pPr>
        <w:pStyle w:val="FootnoteText"/>
        <w:rPr>
          <w:rFonts w:ascii="Times New Roman" w:hAnsi="Times New Roman"/>
          <w:sz w:val="20"/>
          <w:lang w:val="sr-Cyrl-RS"/>
        </w:rPr>
      </w:pPr>
      <w:r w:rsidRPr="00994601">
        <w:rPr>
          <w:rStyle w:val="FootnoteReference"/>
          <w:rFonts w:ascii="Times New Roman" w:hAnsi="Times New Roman"/>
          <w:sz w:val="20"/>
        </w:rPr>
        <w:footnoteRef/>
      </w:r>
      <w:r w:rsidRPr="00994601">
        <w:rPr>
          <w:rFonts w:ascii="Times New Roman" w:hAnsi="Times New Roman"/>
          <w:sz w:val="20"/>
        </w:rPr>
        <w:t xml:space="preserve"> </w:t>
      </w:r>
      <w:hyperlink r:id="rId4" w:history="1">
        <w:r w:rsidRPr="00994601">
          <w:rPr>
            <w:rStyle w:val="cf01"/>
            <w:rFonts w:ascii="Times New Roman" w:hAnsi="Times New Roman" w:cs="Times New Roman"/>
            <w:color w:val="0000FF"/>
            <w:sz w:val="20"/>
            <w:szCs w:val="20"/>
            <w:u w:val="single"/>
          </w:rPr>
          <w:t>https://www.fiskalnisavet.rs/doc/analize-stavovi-predlozi/FS-Rezime-Investicije-u-zastitu-zivotne-sredine.pdf</w:t>
        </w:r>
      </w:hyperlink>
    </w:p>
  </w:footnote>
  <w:footnote w:id="15">
    <w:p w14:paraId="363391AA" w14:textId="711E757E" w:rsidR="00BB078D" w:rsidRPr="00BA5FA2" w:rsidRDefault="00BB078D" w:rsidP="00581461">
      <w:pPr>
        <w:pStyle w:val="FootnoteText"/>
        <w:spacing w:before="0" w:line="240" w:lineRule="auto"/>
        <w:ind w:left="144" w:hanging="144"/>
        <w:rPr>
          <w:rFonts w:ascii="Times New Roman" w:hAnsi="Times New Roman"/>
          <w:lang w:val="sr-Cyrl-RS"/>
        </w:rPr>
      </w:pPr>
      <w:r w:rsidRPr="00581461">
        <w:rPr>
          <w:rStyle w:val="FootnoteReference"/>
          <w:rFonts w:ascii="Times New Roman" w:hAnsi="Times New Roman"/>
        </w:rPr>
        <w:footnoteRef/>
      </w:r>
      <w:r w:rsidRPr="00581461">
        <w:rPr>
          <w:rFonts w:ascii="Times New Roman" w:hAnsi="Times New Roman"/>
        </w:rPr>
        <w:t xml:space="preserve"> </w:t>
      </w:r>
      <w:hyperlink r:id="rId5" w:history="1">
        <w:r w:rsidRPr="00A417AD">
          <w:rPr>
            <w:rStyle w:val="Hyperlink"/>
            <w:rFonts w:ascii="Times New Roman" w:hAnsi="Times New Roman"/>
          </w:rPr>
          <w:t>https://publikacije.stat.gov.rs/G2023/Doc/G20231311.docx</w:t>
        </w:r>
      </w:hyperlink>
      <w:r w:rsidRPr="00BA5FA2">
        <w:rPr>
          <w:rFonts w:ascii="Times New Roman" w:hAnsi="Times New Roman"/>
          <w:lang w:val="sr-Cyrl-RS"/>
        </w:rPr>
        <w:t xml:space="preserve"> </w:t>
      </w:r>
    </w:p>
  </w:footnote>
  <w:footnote w:id="16">
    <w:p w14:paraId="736805FD" w14:textId="060664B2" w:rsidR="00BB078D" w:rsidRPr="00BA5FA2" w:rsidRDefault="00BB078D" w:rsidP="00581461">
      <w:pPr>
        <w:pStyle w:val="FootnoteText"/>
        <w:spacing w:before="0" w:line="240" w:lineRule="auto"/>
        <w:ind w:left="144" w:hanging="144"/>
        <w:rPr>
          <w:lang w:val="sr-Cyrl-RS"/>
        </w:rPr>
      </w:pPr>
      <w:r w:rsidRPr="00581461">
        <w:rPr>
          <w:rStyle w:val="FootnoteReference"/>
          <w:rFonts w:ascii="Times New Roman" w:hAnsi="Times New Roman"/>
        </w:rPr>
        <w:footnoteRef/>
      </w:r>
      <w:r w:rsidRPr="00581461">
        <w:rPr>
          <w:rFonts w:ascii="Times New Roman" w:hAnsi="Times New Roman"/>
        </w:rPr>
        <w:t xml:space="preserve"> </w:t>
      </w:r>
      <w:hyperlink r:id="rId6" w:history="1">
        <w:r w:rsidRPr="00A417AD">
          <w:rPr>
            <w:rStyle w:val="Hyperlink"/>
            <w:rFonts w:ascii="Times New Roman" w:hAnsi="Times New Roman"/>
          </w:rPr>
          <w:t>www.sepa.gov.rs/download/Izvestaj_2022_usvojen.pdf</w:t>
        </w:r>
      </w:hyperlink>
      <w:r w:rsidRPr="00BA5FA2">
        <w:rPr>
          <w:rFonts w:ascii="Times New Roman" w:hAnsi="Times New Roman"/>
          <w:lang w:val="sr-Cyrl-RS"/>
        </w:rPr>
        <w:t xml:space="preserve"> </w:t>
      </w:r>
    </w:p>
  </w:footnote>
  <w:footnote w:id="17">
    <w:p w14:paraId="12220A9A" w14:textId="7FE4F29C" w:rsidR="00BB078D" w:rsidRPr="00BA5FA2" w:rsidRDefault="00BB078D" w:rsidP="00A13032">
      <w:pPr>
        <w:pStyle w:val="FootnoteText"/>
        <w:spacing w:before="0" w:line="240" w:lineRule="auto"/>
        <w:ind w:left="144" w:hanging="144"/>
        <w:rPr>
          <w:rFonts w:ascii="Times New Roman" w:hAnsi="Times New Roman"/>
          <w:lang w:val="sr-Cyrl-RS"/>
        </w:rPr>
      </w:pPr>
      <w:r w:rsidRPr="00A13032">
        <w:rPr>
          <w:rStyle w:val="FootnoteReference"/>
          <w:rFonts w:ascii="Times New Roman" w:hAnsi="Times New Roman"/>
        </w:rPr>
        <w:footnoteRef/>
      </w:r>
      <w:r w:rsidRPr="00A13032">
        <w:rPr>
          <w:rFonts w:ascii="Times New Roman" w:hAnsi="Times New Roman"/>
        </w:rPr>
        <w:t xml:space="preserve"> </w:t>
      </w:r>
      <w:hyperlink r:id="rId7" w:history="1">
        <w:r w:rsidRPr="00057416">
          <w:rPr>
            <w:rStyle w:val="Hyperlink"/>
            <w:rFonts w:ascii="Times New Roman" w:hAnsi="Times New Roman"/>
          </w:rPr>
          <w:t>www.sepa.gov.rs/download/Izvestaj_202</w:t>
        </w:r>
        <w:r w:rsidRPr="00BA5FA2">
          <w:rPr>
            <w:rStyle w:val="Hyperlink"/>
            <w:rFonts w:ascii="Times New Roman" w:hAnsi="Times New Roman"/>
            <w:lang w:val="sr-Cyrl-RS"/>
          </w:rPr>
          <w:t>3</w:t>
        </w:r>
        <w:r w:rsidRPr="00057416">
          <w:rPr>
            <w:rStyle w:val="Hyperlink"/>
            <w:rFonts w:ascii="Times New Roman" w:hAnsi="Times New Roman"/>
          </w:rPr>
          <w:t>_usvojen.pdf</w:t>
        </w:r>
      </w:hyperlink>
      <w:r w:rsidRPr="00BA5FA2">
        <w:rPr>
          <w:rFonts w:ascii="Times New Roman" w:hAnsi="Times New Roman"/>
          <w:lang w:val="sr-Cyrl-RS"/>
        </w:rPr>
        <w:t xml:space="preserve"> </w:t>
      </w:r>
    </w:p>
  </w:footnote>
  <w:footnote w:id="18">
    <w:p w14:paraId="7F003E04" w14:textId="25E3C812" w:rsidR="00BB078D" w:rsidRPr="00ED1026" w:rsidRDefault="00BB078D" w:rsidP="00ED1026">
      <w:pPr>
        <w:pStyle w:val="FootnoteText"/>
        <w:spacing w:before="0" w:line="240" w:lineRule="auto"/>
        <w:ind w:left="144" w:hanging="144"/>
        <w:rPr>
          <w:lang w:val="sr-Cyrl-RS"/>
        </w:rPr>
      </w:pPr>
      <w:r>
        <w:rPr>
          <w:rStyle w:val="FootnoteReference"/>
        </w:rPr>
        <w:footnoteRef/>
      </w:r>
      <w:r>
        <w:t xml:space="preserve"> </w:t>
      </w:r>
      <w:r w:rsidRPr="004A0D7F">
        <w:rPr>
          <w:rFonts w:ascii="Times New Roman" w:hAnsi="Times New Roman"/>
          <w:lang w:val="sr-Cyrl-RS"/>
        </w:rPr>
        <w:t>Акцион</w:t>
      </w:r>
      <w:r>
        <w:rPr>
          <w:rFonts w:ascii="Times New Roman" w:hAnsi="Times New Roman"/>
          <w:lang w:val="sr-Cyrl-RS"/>
        </w:rPr>
        <w:t>и</w:t>
      </w:r>
      <w:r w:rsidRPr="004A0D7F">
        <w:rPr>
          <w:rFonts w:ascii="Times New Roman" w:hAnsi="Times New Roman"/>
          <w:lang w:val="sr-Cyrl-RS"/>
        </w:rPr>
        <w:t xml:space="preserve"> план Европске агенције за хемикалије за процену </w:t>
      </w:r>
      <w:r>
        <w:rPr>
          <w:rFonts w:ascii="Times New Roman" w:hAnsi="Times New Roman"/>
          <w:lang w:val="sr-Cyrl-RS"/>
        </w:rPr>
        <w:t>н</w:t>
      </w:r>
      <w:r w:rsidRPr="004A0D7F">
        <w:rPr>
          <w:rFonts w:ascii="Times New Roman" w:hAnsi="Times New Roman"/>
          <w:lang w:val="sr-Cyrl-RS"/>
        </w:rPr>
        <w:t xml:space="preserve">ационалних капацитета и спремности за спровођење и надзор </w:t>
      </w:r>
      <w:r w:rsidRPr="002643A9">
        <w:rPr>
          <w:rFonts w:ascii="Times New Roman" w:hAnsi="Times New Roman"/>
          <w:i/>
          <w:iCs/>
          <w:lang w:val="sr-Cyrl-RS"/>
        </w:rPr>
        <w:t>REACH, CLP, BPR</w:t>
      </w:r>
      <w:r w:rsidRPr="004A0D7F">
        <w:rPr>
          <w:rFonts w:ascii="Times New Roman" w:hAnsi="Times New Roman"/>
          <w:lang w:val="sr-Cyrl-RS"/>
        </w:rPr>
        <w:t xml:space="preserve"> и </w:t>
      </w:r>
      <w:r w:rsidRPr="002643A9">
        <w:rPr>
          <w:rFonts w:ascii="Times New Roman" w:hAnsi="Times New Roman"/>
          <w:i/>
          <w:iCs/>
          <w:lang w:val="sr-Cyrl-RS"/>
        </w:rPr>
        <w:t>PIC</w:t>
      </w:r>
      <w:r w:rsidRPr="004A0D7F">
        <w:rPr>
          <w:rFonts w:ascii="Times New Roman" w:hAnsi="Times New Roman"/>
          <w:lang w:val="sr-Cyrl-RS"/>
        </w:rPr>
        <w:t xml:space="preserve"> уредби ЕУ </w:t>
      </w:r>
      <w:r w:rsidRPr="004A231C">
        <w:rPr>
          <w:rFonts w:ascii="Times New Roman" w:hAnsi="Times New Roman"/>
          <w:lang w:val="sr-Cyrl-RS"/>
        </w:rPr>
        <w:t>у Црној Гори</w:t>
      </w:r>
      <w:r w:rsidRPr="004A0D7F">
        <w:rPr>
          <w:rFonts w:ascii="Times New Roman" w:hAnsi="Times New Roman"/>
          <w:lang w:val="sr-Cyrl-RS"/>
        </w:rPr>
        <w:t xml:space="preserve"> и </w:t>
      </w:r>
      <w:r>
        <w:rPr>
          <w:rFonts w:ascii="Times New Roman" w:hAnsi="Times New Roman"/>
          <w:lang w:val="sr-Cyrl-RS"/>
        </w:rPr>
        <w:t xml:space="preserve">Републици </w:t>
      </w:r>
      <w:r w:rsidRPr="004A0D7F">
        <w:rPr>
          <w:rFonts w:ascii="Times New Roman" w:hAnsi="Times New Roman"/>
          <w:lang w:val="sr-Cyrl-RS"/>
        </w:rPr>
        <w:t>Србији</w:t>
      </w:r>
    </w:p>
  </w:footnote>
  <w:footnote w:id="19">
    <w:p w14:paraId="6DC3FBAE" w14:textId="77777777" w:rsidR="00BB078D" w:rsidRPr="001E01D6" w:rsidRDefault="00BB078D" w:rsidP="007C23EE">
      <w:pPr>
        <w:pStyle w:val="FootnoteText"/>
        <w:rPr>
          <w:rFonts w:ascii="Times New Roman" w:hAnsi="Times New Roman"/>
          <w:lang w:val="sr-Cyrl-RS"/>
        </w:rPr>
      </w:pPr>
      <w:r w:rsidRPr="001E01D6">
        <w:rPr>
          <w:rStyle w:val="FootnoteReference"/>
          <w:rFonts w:ascii="Times New Roman" w:hAnsi="Times New Roman"/>
        </w:rPr>
        <w:footnoteRef/>
      </w:r>
      <w:r w:rsidRPr="001E01D6">
        <w:rPr>
          <w:rFonts w:ascii="Times New Roman" w:hAnsi="Times New Roman"/>
        </w:rPr>
        <w:t xml:space="preserve"> </w:t>
      </w:r>
      <w:r w:rsidRPr="00143598">
        <w:rPr>
          <w:rFonts w:ascii="Times New Roman" w:hAnsi="Times New Roman"/>
          <w:lang w:val="ru-RU"/>
        </w:rPr>
        <w:t xml:space="preserve">До 2030. године смањење емисије </w:t>
      </w:r>
      <w:r w:rsidRPr="001E01D6">
        <w:rPr>
          <w:rFonts w:ascii="Times New Roman" w:hAnsi="Times New Roman"/>
          <w:lang w:val="en-US"/>
        </w:rPr>
        <w:t>SO</w:t>
      </w:r>
      <w:r w:rsidRPr="00143598">
        <w:rPr>
          <w:rFonts w:ascii="Times New Roman" w:hAnsi="Times New Roman"/>
          <w:lang w:val="ru-RU"/>
        </w:rPr>
        <w:t xml:space="preserve">2 за 92%, </w:t>
      </w:r>
      <w:r w:rsidRPr="001E01D6">
        <w:rPr>
          <w:rFonts w:ascii="Times New Roman" w:hAnsi="Times New Roman"/>
          <w:lang w:val="en-US"/>
        </w:rPr>
        <w:t>NOx</w:t>
      </w:r>
      <w:r w:rsidRPr="00143598">
        <w:rPr>
          <w:rFonts w:ascii="Times New Roman" w:hAnsi="Times New Roman"/>
          <w:lang w:val="ru-RU"/>
        </w:rPr>
        <w:t xml:space="preserve"> за 60,6%, </w:t>
      </w:r>
      <w:r w:rsidRPr="001E01D6">
        <w:rPr>
          <w:rFonts w:ascii="Times New Roman" w:hAnsi="Times New Roman"/>
          <w:lang w:val="en-US"/>
        </w:rPr>
        <w:t>PM</w:t>
      </w:r>
      <w:r w:rsidRPr="00143598">
        <w:rPr>
          <w:rFonts w:ascii="Times New Roman" w:hAnsi="Times New Roman"/>
          <w:lang w:val="ru-RU"/>
        </w:rPr>
        <w:t xml:space="preserve">10 за 50,9, </w:t>
      </w:r>
      <w:r w:rsidRPr="001E01D6">
        <w:rPr>
          <w:rFonts w:ascii="Times New Roman" w:hAnsi="Times New Roman"/>
          <w:lang w:val="en-US"/>
        </w:rPr>
        <w:t>PM</w:t>
      </w:r>
      <w:r w:rsidRPr="00143598">
        <w:rPr>
          <w:rFonts w:ascii="Times New Roman" w:hAnsi="Times New Roman"/>
          <w:lang w:val="ru-RU"/>
        </w:rPr>
        <w:t>2.5 за 58,3%, у поређењу са 2015. годином, Програм заштите ваздуха у Републици Србији за период од 2022. до 2030. године</w:t>
      </w:r>
    </w:p>
  </w:footnote>
  <w:footnote w:id="20">
    <w:p w14:paraId="5FFC306F" w14:textId="2BBC9EC0" w:rsidR="00BB078D" w:rsidRPr="00EB48B8" w:rsidRDefault="00BB078D" w:rsidP="00EB48B8">
      <w:pPr>
        <w:pStyle w:val="FootnoteText"/>
        <w:spacing w:before="0" w:line="240" w:lineRule="auto"/>
        <w:ind w:left="144" w:hanging="144"/>
        <w:rPr>
          <w:rFonts w:ascii="Times New Roman" w:hAnsi="Times New Roman"/>
          <w:lang w:val="sr-Cyrl-RS"/>
        </w:rPr>
      </w:pPr>
      <w:r w:rsidRPr="000304BC">
        <w:rPr>
          <w:rStyle w:val="FootnoteReference"/>
          <w:rFonts w:ascii="Times New Roman" w:hAnsi="Times New Roman"/>
        </w:rPr>
        <w:footnoteRef/>
      </w:r>
      <w:r w:rsidRPr="000304BC">
        <w:rPr>
          <w:rFonts w:ascii="Times New Roman" w:hAnsi="Times New Roman"/>
        </w:rPr>
        <w:t xml:space="preserve"> </w:t>
      </w:r>
      <w:r w:rsidRPr="000304BC">
        <w:rPr>
          <w:rFonts w:ascii="Times New Roman" w:hAnsi="Times New Roman"/>
          <w:lang w:val="sr-Cyrl-RS"/>
        </w:rPr>
        <w:t xml:space="preserve">Трошкови обухватају спровођење Стратегије нискоугљеничног развоја Републике Србије, Интегрисаног националног енергетског и климатског плана Републике Србије за период до 2030. године са визијом до 2050. године, Програма прилагођавања на измењене климатске услове за период од 2023. до 2030. године </w:t>
      </w:r>
      <w:r w:rsidRPr="00EB48B8">
        <w:rPr>
          <w:rFonts w:ascii="Times New Roman" w:hAnsi="Times New Roman"/>
          <w:lang w:val="sr-Cyrl-RS"/>
        </w:rPr>
        <w:t xml:space="preserve">и нацрта Специфичног плана имплементације за директиву ЕУ о систему трговине емисионим јединицама </w:t>
      </w:r>
      <w:r w:rsidRPr="00EB48B8">
        <w:rPr>
          <w:rFonts w:ascii="Times New Roman" w:hAnsi="Times New Roman"/>
          <w:i/>
          <w:iCs/>
          <w:lang w:val="sr-Cyrl-RS"/>
        </w:rPr>
        <w:t>GHG</w:t>
      </w:r>
      <w:r w:rsidRPr="00EB48B8">
        <w:rPr>
          <w:rFonts w:ascii="Times New Roman" w:hAnsi="Times New Roman"/>
          <w:lang w:val="sr-Cyrl-RS"/>
        </w:rPr>
        <w:t xml:space="preserve"> (EU ETS).</w:t>
      </w:r>
    </w:p>
  </w:footnote>
  <w:footnote w:id="21">
    <w:p w14:paraId="5313C84A" w14:textId="77777777" w:rsidR="00BB078D" w:rsidRPr="00074158" w:rsidRDefault="00BB078D" w:rsidP="00D35EEE">
      <w:pPr>
        <w:pStyle w:val="FootnoteText"/>
        <w:spacing w:before="0" w:line="240" w:lineRule="auto"/>
        <w:rPr>
          <w:lang w:val="sr-Cyrl-RS"/>
        </w:rPr>
      </w:pPr>
      <w:r w:rsidRPr="00EB48B8">
        <w:rPr>
          <w:rStyle w:val="FootnoteReference"/>
          <w:rFonts w:ascii="Times New Roman" w:hAnsi="Times New Roman"/>
        </w:rPr>
        <w:footnoteRef/>
      </w:r>
      <w:r w:rsidRPr="00EB48B8">
        <w:rPr>
          <w:rFonts w:ascii="Times New Roman" w:hAnsi="Times New Roman"/>
        </w:rPr>
        <w:t xml:space="preserve"> </w:t>
      </w:r>
      <w:r w:rsidRPr="00F23129">
        <w:rPr>
          <w:rFonts w:ascii="Times New Roman" w:hAnsi="Times New Roman"/>
          <w:lang w:val="sr-Cyrl-RS"/>
        </w:rPr>
        <w:t>Административни трошкови су дати на основу података из Стратегије нискоугљеничног развоја Републике Србије.</w:t>
      </w:r>
    </w:p>
  </w:footnote>
  <w:footnote w:id="22">
    <w:p w14:paraId="68DB0E1B" w14:textId="7E41F05C" w:rsidR="00BB078D" w:rsidRPr="002C2D2D" w:rsidRDefault="00BB078D" w:rsidP="00474641">
      <w:pPr>
        <w:pStyle w:val="FootnoteText"/>
        <w:spacing w:before="0" w:line="240" w:lineRule="auto"/>
        <w:ind w:left="144" w:hanging="144"/>
        <w:rPr>
          <w:lang w:val="sr-Cyrl-RS"/>
        </w:rPr>
      </w:pPr>
      <w:r w:rsidRPr="000304BC">
        <w:rPr>
          <w:rStyle w:val="FootnoteReference"/>
          <w:rFonts w:ascii="Times New Roman" w:hAnsi="Times New Roman"/>
        </w:rPr>
        <w:footnoteRef/>
      </w:r>
      <w:r w:rsidRPr="000304BC">
        <w:rPr>
          <w:rFonts w:ascii="Times New Roman" w:hAnsi="Times New Roman"/>
        </w:rPr>
        <w:t xml:space="preserve"> </w:t>
      </w:r>
      <w:r w:rsidRPr="000304BC">
        <w:rPr>
          <w:rFonts w:ascii="Times New Roman" w:hAnsi="Times New Roman"/>
          <w:lang w:val="sr-Cyrl-RS"/>
        </w:rPr>
        <w:t>Укључује трошкове Програма управљања отпадом у Републици Србија за период 2022-2031. година, Програма развоја циркуларне економије у Републици Србији за период 20</w:t>
      </w:r>
      <w:r>
        <w:rPr>
          <w:rFonts w:ascii="Times New Roman" w:hAnsi="Times New Roman"/>
          <w:lang w:val="sr-Cyrl-RS"/>
        </w:rPr>
        <w:t>26</w:t>
      </w:r>
      <w:r w:rsidRPr="000304BC">
        <w:rPr>
          <w:rFonts w:ascii="Times New Roman" w:hAnsi="Times New Roman"/>
          <w:lang w:val="sr-Cyrl-RS"/>
        </w:rPr>
        <w:t>-20</w:t>
      </w:r>
      <w:r>
        <w:rPr>
          <w:rFonts w:ascii="Times New Roman" w:hAnsi="Times New Roman"/>
          <w:lang w:val="sr-Cyrl-RS"/>
        </w:rPr>
        <w:t>30</w:t>
      </w:r>
      <w:r w:rsidRPr="000304BC">
        <w:rPr>
          <w:rFonts w:ascii="Times New Roman" w:hAnsi="Times New Roman"/>
          <w:lang w:val="sr-Cyrl-RS"/>
        </w:rPr>
        <w:t>. годин</w:t>
      </w:r>
      <w:r>
        <w:rPr>
          <w:rFonts w:ascii="Times New Roman" w:hAnsi="Times New Roman"/>
          <w:lang w:val="sr-Cyrl-RS"/>
        </w:rPr>
        <w:t>е</w:t>
      </w:r>
      <w:r w:rsidRPr="000304BC">
        <w:rPr>
          <w:rFonts w:ascii="Times New Roman" w:hAnsi="Times New Roman"/>
          <w:lang w:val="sr-Cyrl-RS"/>
        </w:rPr>
        <w:t xml:space="preserve"> и Програма управљања муљем у Републици Србији за период 2022-2031</w:t>
      </w:r>
      <w:r>
        <w:rPr>
          <w:rFonts w:ascii="Times New Roman" w:hAnsi="Times New Roman"/>
          <w:lang w:val="sr-Cyrl-RS"/>
        </w:rPr>
        <w:t>.</w:t>
      </w:r>
    </w:p>
  </w:footnote>
  <w:footnote w:id="23">
    <w:p w14:paraId="36B8FE59" w14:textId="1AB2F970" w:rsidR="00BB078D" w:rsidRPr="005F2866" w:rsidRDefault="00BB078D" w:rsidP="00474641">
      <w:pPr>
        <w:pStyle w:val="FootnoteText"/>
        <w:spacing w:before="0" w:line="240" w:lineRule="auto"/>
        <w:ind w:left="144" w:hanging="144"/>
        <w:rPr>
          <w:rFonts w:ascii="Times New Roman" w:hAnsi="Times New Roman"/>
          <w:lang w:val="sr-Cyrl-RS"/>
        </w:rPr>
      </w:pPr>
      <w:r w:rsidRPr="000304BC">
        <w:rPr>
          <w:rStyle w:val="FootnoteReference"/>
          <w:rFonts w:ascii="Times New Roman" w:hAnsi="Times New Roman"/>
        </w:rPr>
        <w:footnoteRef/>
      </w:r>
      <w:r w:rsidRPr="000304BC">
        <w:rPr>
          <w:rFonts w:ascii="Times New Roman" w:hAnsi="Times New Roman"/>
        </w:rPr>
        <w:t xml:space="preserve"> </w:t>
      </w:r>
      <w:r w:rsidRPr="0023060B">
        <w:rPr>
          <w:rFonts w:ascii="Times New Roman" w:hAnsi="Times New Roman"/>
          <w:lang w:val="sr-Cyrl-RS"/>
        </w:rPr>
        <w:t xml:space="preserve">Трошкови обухватају спровођење </w:t>
      </w:r>
      <w:r>
        <w:rPr>
          <w:rFonts w:ascii="Times New Roman" w:hAnsi="Times New Roman"/>
          <w:lang w:val="sr-Cyrl-RS"/>
        </w:rPr>
        <w:t xml:space="preserve">мера и активности из </w:t>
      </w:r>
      <w:r w:rsidRPr="0023060B">
        <w:rPr>
          <w:rFonts w:ascii="Times New Roman" w:hAnsi="Times New Roman"/>
          <w:lang w:val="sr-Cyrl-RS"/>
        </w:rPr>
        <w:t>Програма заштите ваздуха у Републици Србији за период од 2022. до 2030. године са Акционим планом, Стратегије управљања водама на територији Републике Србије до 2034. године, Плана управљања водама на територији Републике Србије до 2027. године</w:t>
      </w:r>
      <w:r>
        <w:rPr>
          <w:rFonts w:ascii="Times New Roman" w:hAnsi="Times New Roman"/>
          <w:lang w:val="sr-Cyrl-RS"/>
        </w:rPr>
        <w:t xml:space="preserve">, као </w:t>
      </w:r>
      <w:r w:rsidRPr="0023060B">
        <w:rPr>
          <w:rFonts w:ascii="Times New Roman" w:hAnsi="Times New Roman"/>
          <w:lang w:val="sr-Cyrl-RS"/>
        </w:rPr>
        <w:t xml:space="preserve">и Специфичних планова имплементације за сваку од одговарајућих директива </w:t>
      </w:r>
      <w:r>
        <w:rPr>
          <w:rFonts w:ascii="Times New Roman" w:hAnsi="Times New Roman"/>
          <w:lang w:val="sr-Cyrl-RS"/>
        </w:rPr>
        <w:t>ЕУ</w:t>
      </w:r>
      <w:r w:rsidRPr="0023060B">
        <w:rPr>
          <w:rFonts w:ascii="Times New Roman" w:hAnsi="Times New Roman"/>
          <w:lang w:val="sr-Cyrl-RS"/>
        </w:rPr>
        <w:t xml:space="preserve"> у области управљања водама и индустријск</w:t>
      </w:r>
      <w:r>
        <w:rPr>
          <w:rFonts w:ascii="Times New Roman" w:hAnsi="Times New Roman"/>
          <w:lang w:val="sr-Cyrl-RS"/>
        </w:rPr>
        <w:t>их</w:t>
      </w:r>
      <w:r w:rsidRPr="0023060B">
        <w:rPr>
          <w:rFonts w:ascii="Times New Roman" w:hAnsi="Times New Roman"/>
          <w:lang w:val="sr-Cyrl-RS"/>
        </w:rPr>
        <w:t xml:space="preserve"> емисија</w:t>
      </w:r>
    </w:p>
  </w:footnote>
  <w:footnote w:id="24">
    <w:p w14:paraId="72025C51" w14:textId="5CF9D561" w:rsidR="00BB078D" w:rsidRPr="002C2D2D" w:rsidRDefault="00BB078D" w:rsidP="000304BC">
      <w:pPr>
        <w:pStyle w:val="FootnoteText"/>
        <w:spacing w:before="0" w:line="240" w:lineRule="auto"/>
        <w:rPr>
          <w:rFonts w:ascii="Times New Roman" w:hAnsi="Times New Roman"/>
          <w:szCs w:val="16"/>
          <w:lang w:val="sr-Cyrl-RS"/>
        </w:rPr>
      </w:pPr>
      <w:r>
        <w:rPr>
          <w:rStyle w:val="FootnoteReference"/>
        </w:rPr>
        <w:footnoteRef/>
      </w:r>
      <w:r>
        <w:t xml:space="preserve"> </w:t>
      </w:r>
      <w:r w:rsidRPr="002C2D2D">
        <w:rPr>
          <w:rFonts w:ascii="Times New Roman" w:hAnsi="Times New Roman"/>
          <w:lang w:val="sr-Cyrl-RS"/>
        </w:rPr>
        <w:t xml:space="preserve">Трошкови израчунати на </w:t>
      </w:r>
      <w:r w:rsidRPr="002C2D2D">
        <w:rPr>
          <w:rFonts w:ascii="Times New Roman" w:hAnsi="Times New Roman"/>
          <w:szCs w:val="16"/>
          <w:lang w:val="sr-Cyrl-RS"/>
        </w:rPr>
        <w:t xml:space="preserve">основу </w:t>
      </w:r>
      <w:r w:rsidRPr="002C2D2D">
        <w:rPr>
          <w:rFonts w:ascii="Times New Roman" w:hAnsi="Times New Roman"/>
          <w:szCs w:val="16"/>
          <w:lang w:val="sr-Cyrl-RS" w:eastAsia="en-GB"/>
        </w:rPr>
        <w:t>пројекција које су за претходни трогодишњи период приказане у Програму заштите природе</w:t>
      </w:r>
      <w:r w:rsidRPr="00143598">
        <w:rPr>
          <w:rFonts w:ascii="Times New Roman" w:hAnsi="Times New Roman"/>
          <w:szCs w:val="16"/>
          <w:lang w:val="ru-RU" w:eastAsia="en-GB"/>
        </w:rPr>
        <w:t xml:space="preserve"> </w:t>
      </w:r>
      <w:r w:rsidRPr="002C2D2D">
        <w:rPr>
          <w:rFonts w:ascii="Times New Roman" w:hAnsi="Times New Roman"/>
          <w:szCs w:val="16"/>
          <w:lang w:val="sr-Cyrl-RS" w:eastAsia="en-GB"/>
        </w:rPr>
        <w:t>Републике Србије за период од 2021. до 2023. године</w:t>
      </w:r>
      <w:r>
        <w:rPr>
          <w:rFonts w:ascii="Times New Roman" w:hAnsi="Times New Roman"/>
          <w:szCs w:val="16"/>
          <w:lang w:val="sr-Cyrl-RS" w:eastAsia="en-GB"/>
        </w:rPr>
        <w:t xml:space="preserve"> и пројекција трошкова за</w:t>
      </w:r>
      <w:r w:rsidRPr="00536A2F">
        <w:rPr>
          <w:rFonts w:ascii="Times New Roman" w:hAnsi="Times New Roman"/>
          <w:szCs w:val="16"/>
          <w:lang w:val="sr-Cyrl-RS" w:eastAsia="en-GB"/>
        </w:rPr>
        <w:t xml:space="preserve"> финансирање заштићених подручја</w:t>
      </w:r>
    </w:p>
  </w:footnote>
  <w:footnote w:id="25">
    <w:p w14:paraId="5F9C9446" w14:textId="77777777" w:rsidR="00BB078D" w:rsidRPr="008F5583" w:rsidRDefault="00BB078D" w:rsidP="00536A2F">
      <w:pPr>
        <w:spacing w:after="0"/>
        <w:ind w:left="180" w:hanging="180"/>
        <w:jc w:val="both"/>
        <w:rPr>
          <w:rFonts w:cs="Times New Roman"/>
          <w:sz w:val="16"/>
          <w:szCs w:val="16"/>
          <w:lang w:val="sr-Cyrl-RS"/>
        </w:rPr>
      </w:pPr>
      <w:r w:rsidRPr="002C2D2D">
        <w:rPr>
          <w:rStyle w:val="FootnoteReference"/>
          <w:rFonts w:cs="Times New Roman"/>
          <w:sz w:val="16"/>
          <w:szCs w:val="16"/>
        </w:rPr>
        <w:footnoteRef/>
      </w:r>
      <w:r w:rsidRPr="00143598">
        <w:rPr>
          <w:rFonts w:cs="Times New Roman"/>
          <w:sz w:val="16"/>
          <w:szCs w:val="16"/>
          <w:lang w:val="ru-RU"/>
        </w:rPr>
        <w:t xml:space="preserve"> </w:t>
      </w:r>
      <w:r w:rsidRPr="000304BC">
        <w:rPr>
          <w:rFonts w:cs="Times New Roman"/>
          <w:sz w:val="16"/>
          <w:szCs w:val="16"/>
          <w:lang w:val="sr-Cyrl-RS"/>
        </w:rPr>
        <w:t xml:space="preserve">Трошкови </w:t>
      </w:r>
      <w:r w:rsidRPr="000304BC">
        <w:rPr>
          <w:rFonts w:cs="Times New Roman"/>
          <w:sz w:val="16"/>
          <w:szCs w:val="16"/>
          <w:lang w:val="sr-Cyrl-RS" w:eastAsia="en-GB"/>
        </w:rPr>
        <w:t>дати на основу података који су прикупљени за потребе израде нацрта Националног програма за пољопривреду за период 2022–2024. година, нацрта Националног програма руралног развоја за период 2022-2024. године, документа</w:t>
      </w:r>
      <w:r w:rsidRPr="000304BC">
        <w:rPr>
          <w:rFonts w:cs="Times New Roman"/>
          <w:sz w:val="16"/>
          <w:szCs w:val="16"/>
          <w:lang w:val="sr-Cyrl-RS"/>
        </w:rPr>
        <w:t xml:space="preserve"> „ИПАРД </w:t>
      </w:r>
      <w:r w:rsidRPr="00991FE1">
        <w:rPr>
          <w:rFonts w:cs="Times New Roman"/>
          <w:sz w:val="16"/>
          <w:szCs w:val="16"/>
          <w:lang w:val="sr-Cyrl-RS"/>
        </w:rPr>
        <w:t>Програм Републике Србије за период 2021-2027</w:t>
      </w:r>
      <w:r w:rsidRPr="00991FE1">
        <w:rPr>
          <w:rFonts w:cs="Times New Roman"/>
          <w:sz w:val="16"/>
          <w:szCs w:val="16"/>
          <w:lang w:val="sr-Cyrl-RS" w:eastAsia="en-GB"/>
        </w:rPr>
        <w:t>” и информација Управе за пољопривредно земљиште.</w:t>
      </w:r>
    </w:p>
  </w:footnote>
  <w:footnote w:id="26">
    <w:p w14:paraId="68457B23" w14:textId="06217C8D" w:rsidR="00BB078D" w:rsidRPr="00143598" w:rsidRDefault="00BB078D" w:rsidP="008F5583">
      <w:pPr>
        <w:pStyle w:val="FootnoteText"/>
        <w:spacing w:line="240" w:lineRule="auto"/>
        <w:ind w:left="144" w:hanging="144"/>
        <w:rPr>
          <w:rFonts w:ascii="Times New Roman" w:hAnsi="Times New Roman"/>
          <w:sz w:val="18"/>
          <w:szCs w:val="18"/>
          <w:lang w:val="ru-RU"/>
        </w:rPr>
      </w:pPr>
      <w:r w:rsidRPr="008F5583">
        <w:rPr>
          <w:rStyle w:val="FootnoteReference"/>
          <w:rFonts w:ascii="Times New Roman" w:hAnsi="Times New Roman"/>
          <w:szCs w:val="16"/>
        </w:rPr>
        <w:footnoteRef/>
      </w:r>
      <w:r w:rsidRPr="008F5583">
        <w:rPr>
          <w:rFonts w:ascii="Times New Roman" w:hAnsi="Times New Roman"/>
          <w:szCs w:val="16"/>
        </w:rPr>
        <w:t xml:space="preserve"> </w:t>
      </w:r>
      <w:hyperlink r:id="rId8" w:history="1">
        <w:r w:rsidRPr="008F5583">
          <w:rPr>
            <w:rStyle w:val="Hyperlink"/>
            <w:rFonts w:ascii="Times New Roman" w:hAnsi="Times New Roman"/>
            <w:szCs w:val="16"/>
            <w:lang w:val="en-US"/>
          </w:rPr>
          <w:t>https</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uap</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gov</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rs</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ipard</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iii</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podrska</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ruralnom</w:t>
        </w:r>
        <w:r w:rsidRPr="00143598">
          <w:rPr>
            <w:rStyle w:val="Hyperlink"/>
            <w:rFonts w:ascii="Times New Roman" w:hAnsi="Times New Roman"/>
            <w:szCs w:val="16"/>
            <w:lang w:val="ru-RU"/>
          </w:rPr>
          <w:t>-</w:t>
        </w:r>
        <w:r w:rsidRPr="008F5583">
          <w:rPr>
            <w:rStyle w:val="Hyperlink"/>
            <w:rFonts w:ascii="Times New Roman" w:hAnsi="Times New Roman"/>
            <w:szCs w:val="16"/>
            <w:lang w:val="en-US"/>
          </w:rPr>
          <w:t>razvoju</w:t>
        </w:r>
        <w:r w:rsidRPr="00143598">
          <w:rPr>
            <w:rStyle w:val="Hyperlink"/>
            <w:rFonts w:ascii="Times New Roman" w:hAnsi="Times New Roman"/>
            <w:szCs w:val="16"/>
            <w:lang w:val="ru-RU"/>
          </w:rPr>
          <w:t>/</w:t>
        </w:r>
      </w:hyperlink>
      <w:r w:rsidRPr="00143598">
        <w:rPr>
          <w:rFonts w:ascii="Times New Roman" w:hAnsi="Times New Roman"/>
          <w:szCs w:val="16"/>
          <w:lang w:val="ru-RU"/>
        </w:rPr>
        <w:t xml:space="preserve"> </w:t>
      </w:r>
      <w:r w:rsidRPr="008F5583">
        <w:rPr>
          <w:rFonts w:ascii="Times New Roman" w:hAnsi="Times New Roman"/>
          <w:szCs w:val="16"/>
        </w:rPr>
        <w:t>Одлуком ЕК број С(2022)1537 од 09. марта 2022. године усвојен је ИПАРД III програм Републике Србије за период 2021 – 2027. године. Финансијски допринос ЕУ за ИПАРД III програм повећан је у односу на претходни програмски период и износи 288 милиона евра. Очекује се да ће ова подршка ЕУ, заједно са националним и приватним доприносoм корисника, резултирати инветсицијама у српски аграр од преко 580 милиона евра.</w:t>
      </w:r>
    </w:p>
  </w:footnote>
  <w:footnote w:id="27">
    <w:p w14:paraId="14F11D38" w14:textId="74B1A4DD" w:rsidR="00BB078D" w:rsidRPr="002C2D2D" w:rsidRDefault="00BB078D" w:rsidP="000304BC">
      <w:pPr>
        <w:pStyle w:val="FootnoteText"/>
        <w:spacing w:before="0" w:line="240" w:lineRule="auto"/>
        <w:ind w:left="144" w:hanging="144"/>
        <w:rPr>
          <w:lang w:val="sr-Cyrl-RS"/>
        </w:rPr>
      </w:pPr>
      <w:r w:rsidRPr="000304BC">
        <w:rPr>
          <w:rStyle w:val="FootnoteReference"/>
          <w:rFonts w:ascii="Times New Roman" w:hAnsi="Times New Roman"/>
        </w:rPr>
        <w:footnoteRef/>
      </w:r>
      <w:r w:rsidRPr="000304BC">
        <w:rPr>
          <w:rFonts w:ascii="Times New Roman" w:hAnsi="Times New Roman"/>
        </w:rPr>
        <w:t xml:space="preserve"> </w:t>
      </w:r>
      <w:r w:rsidRPr="000304BC">
        <w:rPr>
          <w:rFonts w:ascii="Times New Roman" w:hAnsi="Times New Roman"/>
          <w:lang w:val="sr-Cyrl-RS"/>
        </w:rPr>
        <w:t xml:space="preserve">Трошкови на основу </w:t>
      </w:r>
      <w:r w:rsidRPr="001B6BB7">
        <w:rPr>
          <w:rFonts w:ascii="Times New Roman" w:hAnsi="Times New Roman"/>
          <w:lang w:val="sr-Cyrl-RS"/>
        </w:rPr>
        <w:t>Приручник</w:t>
      </w:r>
      <w:r>
        <w:rPr>
          <w:rFonts w:ascii="Times New Roman" w:hAnsi="Times New Roman"/>
          <w:lang w:val="sr-Cyrl-RS"/>
        </w:rPr>
        <w:t>а</w:t>
      </w:r>
      <w:r w:rsidRPr="001B6BB7">
        <w:rPr>
          <w:rFonts w:ascii="Times New Roman" w:hAnsi="Times New Roman"/>
          <w:lang w:val="sr-Cyrl-RS"/>
        </w:rPr>
        <w:t xml:space="preserve"> за утврђивање трошкова јавних политика и прописа</w:t>
      </w:r>
      <w:r w:rsidRPr="00143598">
        <w:rPr>
          <w:rFonts w:ascii="Times New Roman" w:hAnsi="Times New Roman"/>
          <w:lang w:val="ru-RU"/>
        </w:rPr>
        <w:t xml:space="preserve"> </w:t>
      </w:r>
      <w:r w:rsidRPr="008F5583">
        <w:rPr>
          <w:rFonts w:ascii="Times New Roman" w:hAnsi="Times New Roman"/>
          <w:lang w:val="sr-Cyrl-RS"/>
        </w:rPr>
        <w:t>(РСЈП)</w:t>
      </w:r>
      <w:r w:rsidRPr="001B6BB7">
        <w:rPr>
          <w:rFonts w:ascii="Times New Roman" w:hAnsi="Times New Roman"/>
          <w:lang w:val="sr-Cyrl-RS"/>
        </w:rPr>
        <w:t xml:space="preserve"> и </w:t>
      </w:r>
      <w:r w:rsidRPr="008F5583">
        <w:rPr>
          <w:rFonts w:ascii="Times New Roman" w:hAnsi="Times New Roman"/>
          <w:lang w:val="sr-Cyrl-RS"/>
        </w:rPr>
        <w:t>Н</w:t>
      </w:r>
      <w:r w:rsidRPr="001B6BB7">
        <w:rPr>
          <w:rFonts w:ascii="Times New Roman" w:hAnsi="Times New Roman"/>
          <w:lang w:val="sr-Cyrl-RS"/>
        </w:rPr>
        <w:t>ацрта акционог плана за развој административних капацитета и на основу листе стандардних цена/трошкова за</w:t>
      </w:r>
      <w:r>
        <w:rPr>
          <w:rFonts w:ascii="Times New Roman" w:hAnsi="Times New Roman"/>
          <w:lang w:val="sr-Cyrl-RS"/>
        </w:rPr>
        <w:t xml:space="preserve"> </w:t>
      </w:r>
      <w:r w:rsidRPr="001B6BB7">
        <w:rPr>
          <w:rFonts w:ascii="Times New Roman" w:hAnsi="Times New Roman"/>
          <w:lang w:val="sr-Cyrl-RS"/>
        </w:rPr>
        <w:t xml:space="preserve">израду планских докумената и прописа </w:t>
      </w:r>
    </w:p>
  </w:footnote>
  <w:footnote w:id="28">
    <w:p w14:paraId="18F4E3D8" w14:textId="77777777" w:rsidR="00BB078D" w:rsidRPr="003D039D" w:rsidRDefault="00BB078D" w:rsidP="00DC6CB5">
      <w:pPr>
        <w:pStyle w:val="FootnoteText"/>
        <w:spacing w:before="0" w:line="240" w:lineRule="auto"/>
        <w:jc w:val="left"/>
        <w:rPr>
          <w:lang w:val="sr-Cyrl-RS"/>
        </w:rPr>
      </w:pPr>
      <w:r w:rsidRPr="003D039D">
        <w:rPr>
          <w:rStyle w:val="FootnoteReference"/>
          <w:rFonts w:ascii="Times New Roman" w:hAnsi="Times New Roman"/>
        </w:rPr>
        <w:footnoteRef/>
      </w:r>
      <w:r w:rsidRPr="003D039D">
        <w:rPr>
          <w:rFonts w:ascii="Times New Roman" w:hAnsi="Times New Roman"/>
        </w:rPr>
        <w:t xml:space="preserve"> Извор: Управа за јавни дуг, Serbia Green Bond Report January 2024,</w:t>
      </w:r>
      <w:r>
        <w:rPr>
          <w:rFonts w:ascii="Times New Roman" w:hAnsi="Times New Roman"/>
          <w:lang w:val="sr-Cyrl-RS"/>
        </w:rPr>
        <w:t xml:space="preserve"> </w:t>
      </w:r>
      <w:r w:rsidRPr="003D039D">
        <w:rPr>
          <w:rFonts w:ascii="Times New Roman" w:hAnsi="Times New Roman"/>
        </w:rPr>
        <w:t>https://javnidug.gov.rs/static/uploads/Green%20Bond%20Report%20-%20Jan%202024.pdf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2A55" w14:textId="2082D98C" w:rsidR="00BB078D" w:rsidRPr="00035BCF" w:rsidRDefault="00BB078D" w:rsidP="00DC6CB5">
    <w:pPr>
      <w:pStyle w:val="Header"/>
      <w:jc w:val="right"/>
      <w:rPr>
        <w:b/>
        <w:bCs/>
        <w:sz w:val="32"/>
        <w:szCs w:val="32"/>
        <w:lang w:val="sr-Cyrl-R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419"/>
    <w:multiLevelType w:val="hybridMultilevel"/>
    <w:tmpl w:val="B674171A"/>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AA3BE9"/>
    <w:multiLevelType w:val="hybridMultilevel"/>
    <w:tmpl w:val="1BFCDF6E"/>
    <w:lvl w:ilvl="0" w:tplc="281A0011">
      <w:start w:val="1"/>
      <w:numFmt w:val="decimal"/>
      <w:lvlText w:val="%1)"/>
      <w:lvlJc w:val="left"/>
      <w:pPr>
        <w:ind w:left="1080" w:hanging="360"/>
      </w:p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2" w15:restartNumberingAfterBreak="0">
    <w:nsid w:val="04F978E3"/>
    <w:multiLevelType w:val="hybridMultilevel"/>
    <w:tmpl w:val="F4FE37E6"/>
    <w:lvl w:ilvl="0" w:tplc="04090005">
      <w:start w:val="1"/>
      <w:numFmt w:val="bullet"/>
      <w:lvlText w:val=""/>
      <w:lvlJc w:val="left"/>
      <w:pPr>
        <w:tabs>
          <w:tab w:val="num" w:pos="360"/>
        </w:tabs>
        <w:ind w:left="360" w:hanging="360"/>
      </w:pPr>
      <w:rPr>
        <w:rFonts w:ascii="Wingdings" w:hAnsi="Wingdings" w:hint="default"/>
      </w:rPr>
    </w:lvl>
    <w:lvl w:ilvl="1" w:tplc="9B94E4FC">
      <w:start w:val="1"/>
      <w:numFmt w:val="bullet"/>
      <w:pStyle w:val="Para0bullet"/>
      <w:lvlText w:val=""/>
      <w:lvlJc w:val="left"/>
      <w:pPr>
        <w:tabs>
          <w:tab w:val="num" w:pos="1117"/>
        </w:tabs>
        <w:ind w:left="1117" w:hanging="397"/>
      </w:pPr>
      <w:rPr>
        <w:rFonts w:ascii="Wingdings" w:hAnsi="Wingdings" w:hint="default"/>
        <w:sz w:val="12"/>
      </w:rPr>
    </w:lvl>
    <w:lvl w:ilvl="2" w:tplc="4A6692BC">
      <w:numFmt w:val="bullet"/>
      <w:lvlText w:val="–"/>
      <w:lvlJc w:val="left"/>
      <w:pPr>
        <w:tabs>
          <w:tab w:val="num" w:pos="1800"/>
        </w:tabs>
        <w:ind w:left="1800" w:hanging="360"/>
      </w:pPr>
      <w:rPr>
        <w:rFonts w:ascii="Times New Roman" w:eastAsia="Times New Roman" w:hAnsi="Times New Roman" w:cs="Times New Roman" w:hint="default"/>
        <w:sz w:val="20"/>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802C17"/>
    <w:multiLevelType w:val="multilevel"/>
    <w:tmpl w:val="4D1CA7A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7C25B25"/>
    <w:multiLevelType w:val="hybridMultilevel"/>
    <w:tmpl w:val="FD1011F8"/>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5" w15:restartNumberingAfterBreak="0">
    <w:nsid w:val="08251C9C"/>
    <w:multiLevelType w:val="hybridMultilevel"/>
    <w:tmpl w:val="88443B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A2219B"/>
    <w:multiLevelType w:val="hybridMultilevel"/>
    <w:tmpl w:val="D80A6FDA"/>
    <w:lvl w:ilvl="0" w:tplc="6E6C7F2C">
      <w:start w:val="1"/>
      <w:numFmt w:val="decimal"/>
      <w:lvlText w:val="%1)"/>
      <w:lvlJc w:val="left"/>
      <w:pPr>
        <w:ind w:left="720" w:hanging="360"/>
      </w:pPr>
      <w:rPr>
        <w:b/>
        <w:bCs/>
      </w:rPr>
    </w:lvl>
    <w:lvl w:ilvl="1" w:tplc="2CCAB79C">
      <w:start w:val="1"/>
      <w:numFmt w:val="bullet"/>
      <w:lvlText w:val=""/>
      <w:lvlJc w:val="left"/>
      <w:pPr>
        <w:ind w:left="1440" w:hanging="360"/>
      </w:pPr>
      <w:rPr>
        <w:rFonts w:ascii="Symbol" w:hAnsi="Symbol" w:cs="Symbol" w:hint="default"/>
      </w:r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7" w15:restartNumberingAfterBreak="0">
    <w:nsid w:val="0B200C66"/>
    <w:multiLevelType w:val="multilevel"/>
    <w:tmpl w:val="9892B81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0BA202BA"/>
    <w:multiLevelType w:val="multilevel"/>
    <w:tmpl w:val="1C8A2622"/>
    <w:lvl w:ilvl="0">
      <w:start w:val="1"/>
      <w:numFmt w:val="decimal"/>
      <w:lvlText w:val="%1."/>
      <w:lvlJc w:val="left"/>
      <w:pPr>
        <w:ind w:left="1080" w:hanging="360"/>
      </w:pPr>
    </w:lvl>
    <w:lvl w:ilvl="1">
      <w:start w:val="6"/>
      <w:numFmt w:val="decimal"/>
      <w:isLgl/>
      <w:lvlText w:val="%1.%2."/>
      <w:lvlJc w:val="left"/>
      <w:pPr>
        <w:ind w:left="144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9" w15:restartNumberingAfterBreak="0">
    <w:nsid w:val="0D0C2A67"/>
    <w:multiLevelType w:val="multilevel"/>
    <w:tmpl w:val="86E449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0D2E4BE1"/>
    <w:multiLevelType w:val="singleLevel"/>
    <w:tmpl w:val="BC1E681E"/>
    <w:lvl w:ilvl="0">
      <w:start w:val="1"/>
      <w:numFmt w:val="lowerLetter"/>
      <w:pStyle w:val="Absatz-Aufzhlungalphabetisch"/>
      <w:lvlText w:val="%1."/>
      <w:lvlJc w:val="left"/>
      <w:pPr>
        <w:tabs>
          <w:tab w:val="num" w:pos="360"/>
        </w:tabs>
        <w:ind w:left="227" w:hanging="227"/>
      </w:pPr>
    </w:lvl>
  </w:abstractNum>
  <w:abstractNum w:abstractNumId="11" w15:restartNumberingAfterBreak="0">
    <w:nsid w:val="0F9042D0"/>
    <w:multiLevelType w:val="hybridMultilevel"/>
    <w:tmpl w:val="3ED84F7E"/>
    <w:lvl w:ilvl="0" w:tplc="1B86474C">
      <w:start w:val="1"/>
      <w:numFmt w:val="bullet"/>
      <w:lvlText w:val=""/>
      <w:lvlJc w:val="left"/>
      <w:pPr>
        <w:ind w:left="1080" w:hanging="360"/>
      </w:pPr>
      <w:rPr>
        <w:rFonts w:ascii="Symbol" w:hAnsi="Symbol" w:hint="default"/>
        <w:color w:val="auto"/>
        <w:sz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20F7DDE"/>
    <w:multiLevelType w:val="multilevel"/>
    <w:tmpl w:val="AFA4A4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128118C7"/>
    <w:multiLevelType w:val="multilevel"/>
    <w:tmpl w:val="29ECC004"/>
    <w:styleLink w:val="Formatvorlage71"/>
    <w:lvl w:ilvl="0">
      <w:numFmt w:val="decimal"/>
      <w:lvlText w:val="%1"/>
      <w:lvlJc w:val="left"/>
      <w:pPr>
        <w:tabs>
          <w:tab w:val="num" w:pos="432"/>
        </w:tabs>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3270"/>
        </w:tabs>
        <w:ind w:left="3270" w:hanging="576"/>
      </w:pPr>
      <w:rPr>
        <w:rFonts w:cs="Times New Roman" w:hint="default"/>
      </w:rPr>
    </w:lvl>
    <w:lvl w:ilvl="2">
      <w:start w:val="1"/>
      <w:numFmt w:val="decimal"/>
      <w:lvlText w:val="%1.%2.%3"/>
      <w:lvlJc w:val="left"/>
      <w:pPr>
        <w:tabs>
          <w:tab w:val="num" w:pos="720"/>
        </w:tabs>
        <w:ind w:left="720" w:hanging="720"/>
      </w:pPr>
      <w:rPr>
        <w:rFonts w:hint="default"/>
        <w:bCs w:val="0"/>
        <w:i w:val="0"/>
        <w:iCs w:val="0"/>
        <w:caps w:val="0"/>
        <w:smallCaps w:val="0"/>
        <w:strike w:val="0"/>
        <w:dstrike w:val="0"/>
        <w:vanish w:val="0"/>
        <w:color w:val="000066"/>
        <w:spacing w:val="0"/>
        <w:kern w:val="0"/>
        <w:position w:val="0"/>
        <w:u w:val="none"/>
        <w:vertAlign w:val="baseline"/>
        <w:em w:val="none"/>
        <w:lang w:val="en-GB"/>
      </w:rPr>
    </w:lvl>
    <w:lvl w:ilvl="3">
      <w:start w:val="1"/>
      <w:numFmt w:val="decimal"/>
      <w:lvlText w:val="%1.%2.%3.%4"/>
      <w:lvlJc w:val="left"/>
      <w:pPr>
        <w:tabs>
          <w:tab w:val="num" w:pos="4350"/>
        </w:tabs>
        <w:ind w:left="4350" w:hanging="1089"/>
      </w:pPr>
      <w:rPr>
        <w:rFonts w:hint="default"/>
      </w:rPr>
    </w:lvl>
    <w:lvl w:ilvl="4">
      <w:start w:val="1"/>
      <w:numFmt w:val="decimal"/>
      <w:lvlText w:val="%1.%2.%3.%4.%5"/>
      <w:lvlJc w:val="left"/>
      <w:pPr>
        <w:tabs>
          <w:tab w:val="num" w:pos="1049"/>
        </w:tabs>
        <w:ind w:left="1049" w:hanging="720"/>
      </w:pPr>
      <w:rPr>
        <w:rFonts w:cs="Times New Roman" w:hint="default"/>
      </w:rPr>
    </w:lvl>
    <w:lvl w:ilvl="5">
      <w:start w:val="1"/>
      <w:numFmt w:val="decimal"/>
      <w:lvlText w:val="%1.%2.%3.%4.%5.%6"/>
      <w:lvlJc w:val="left"/>
      <w:pPr>
        <w:tabs>
          <w:tab w:val="num" w:pos="1152"/>
        </w:tabs>
        <w:ind w:left="1152" w:hanging="823"/>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none"/>
      <w:lvlText w:val=""/>
      <w:lvlJc w:val="left"/>
      <w:pPr>
        <w:tabs>
          <w:tab w:val="num" w:pos="1584"/>
        </w:tabs>
        <w:ind w:left="1584" w:hanging="1584"/>
      </w:pPr>
      <w:rPr>
        <w:rFonts w:ascii="Calibri" w:hAnsi="Calibri" w:cs="Times New Roman" w:hint="default"/>
        <w:b/>
        <w:i w:val="0"/>
        <w:sz w:val="36"/>
      </w:rPr>
    </w:lvl>
  </w:abstractNum>
  <w:abstractNum w:abstractNumId="14" w15:restartNumberingAfterBreak="0">
    <w:nsid w:val="17F9685A"/>
    <w:multiLevelType w:val="multilevel"/>
    <w:tmpl w:val="7DEC4A76"/>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rPr>
    </w:lvl>
    <w:lvl w:ilvl="2">
      <w:start w:val="2"/>
      <w:numFmt w:val="decimal"/>
      <w:lvlText w:val="2.%2.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1AEF0A47"/>
    <w:multiLevelType w:val="hybridMultilevel"/>
    <w:tmpl w:val="EC62171A"/>
    <w:lvl w:ilvl="0" w:tplc="2CCAB79C">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CCF6E2B"/>
    <w:multiLevelType w:val="multilevel"/>
    <w:tmpl w:val="BB3C84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D8C40BA"/>
    <w:multiLevelType w:val="multilevel"/>
    <w:tmpl w:val="6F18897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228C0FD4"/>
    <w:multiLevelType w:val="hybridMultilevel"/>
    <w:tmpl w:val="4D62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B5FE8"/>
    <w:multiLevelType w:val="hybridMultilevel"/>
    <w:tmpl w:val="0772DC02"/>
    <w:lvl w:ilvl="0" w:tplc="DAAEE4B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6D8710D"/>
    <w:multiLevelType w:val="hybridMultilevel"/>
    <w:tmpl w:val="AD38EC8C"/>
    <w:lvl w:ilvl="0" w:tplc="04090005">
      <w:start w:val="1"/>
      <w:numFmt w:val="bullet"/>
      <w:pStyle w:val="PORbullets"/>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6E7F3A"/>
    <w:multiLevelType w:val="hybridMultilevel"/>
    <w:tmpl w:val="4B08C508"/>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BA76EB7"/>
    <w:multiLevelType w:val="hybridMultilevel"/>
    <w:tmpl w:val="4922F11E"/>
    <w:lvl w:ilvl="0" w:tplc="DAAEE4B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F76B37"/>
    <w:multiLevelType w:val="multilevel"/>
    <w:tmpl w:val="CC208C8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3018469F"/>
    <w:multiLevelType w:val="hybridMultilevel"/>
    <w:tmpl w:val="05A02F72"/>
    <w:lvl w:ilvl="0" w:tplc="8B22FD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F31B2A"/>
    <w:multiLevelType w:val="hybridMultilevel"/>
    <w:tmpl w:val="DA72F10A"/>
    <w:lvl w:ilvl="0" w:tplc="4A6692BC">
      <w:numFmt w:val="bullet"/>
      <w:lvlText w:val="–"/>
      <w:lvlJc w:val="left"/>
      <w:pPr>
        <w:ind w:left="1080" w:hanging="360"/>
      </w:pPr>
      <w:rPr>
        <w:rFonts w:ascii="Times New Roman" w:eastAsia="Times New Roman" w:hAnsi="Times New Roman" w:cs="Times New Roman"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319439E6"/>
    <w:multiLevelType w:val="multilevel"/>
    <w:tmpl w:val="4A32F4C4"/>
    <w:lvl w:ilvl="0">
      <w:start w:val="1"/>
      <w:numFmt w:val="none"/>
      <w:suff w:val="nothing"/>
      <w:lvlText w:val="%1"/>
      <w:lvlJc w:val="left"/>
      <w:pPr>
        <w:ind w:left="0" w:firstLine="0"/>
      </w:pPr>
      <w:rPr>
        <w:rFonts w:hint="default"/>
      </w:rPr>
    </w:lvl>
    <w:lvl w:ilvl="1">
      <w:start w:val="1"/>
      <w:numFmt w:val="decimal"/>
      <w:lvlRestart w:val="0"/>
      <w:lvlText w:val="%2."/>
      <w:lvlJc w:val="left"/>
      <w:pPr>
        <w:tabs>
          <w:tab w:val="num" w:pos="720"/>
        </w:tabs>
        <w:ind w:left="720" w:hanging="720"/>
      </w:pPr>
      <w:rPr>
        <w:rFonts w:hint="default"/>
        <w:b w:val="0"/>
        <w:i w:val="0"/>
        <w:lang w:val="en-US"/>
      </w:rPr>
    </w:lvl>
    <w:lvl w:ilvl="2">
      <w:start w:val="1"/>
      <w:numFmt w:val="decimal"/>
      <w:lvlText w:val="%3."/>
      <w:lvlJc w:val="left"/>
      <w:pPr>
        <w:tabs>
          <w:tab w:val="num" w:pos="720"/>
        </w:tabs>
        <w:ind w:left="720" w:hanging="360"/>
      </w:pPr>
      <w:rPr>
        <w:rFonts w:hint="default"/>
      </w:rPr>
    </w:lvl>
    <w:lvl w:ilvl="3">
      <w:start w:val="1"/>
      <w:numFmt w:val="lowerRoman"/>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332D7661"/>
    <w:multiLevelType w:val="hybridMultilevel"/>
    <w:tmpl w:val="7CCE7EC0"/>
    <w:lvl w:ilvl="0" w:tplc="2CCAB79C">
      <w:start w:val="1"/>
      <w:numFmt w:val="bullet"/>
      <w:lvlText w:val=""/>
      <w:lvlJc w:val="left"/>
      <w:pPr>
        <w:ind w:left="1065" w:hanging="360"/>
      </w:pPr>
      <w:rPr>
        <w:rFonts w:ascii="Symbol" w:hAnsi="Symbol" w:cs="Symbol" w:hint="default"/>
      </w:rPr>
    </w:lvl>
    <w:lvl w:ilvl="1" w:tplc="04090003">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8" w15:restartNumberingAfterBreak="0">
    <w:nsid w:val="36453736"/>
    <w:multiLevelType w:val="hybridMultilevel"/>
    <w:tmpl w:val="C63A575E"/>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8567B40"/>
    <w:multiLevelType w:val="multilevel"/>
    <w:tmpl w:val="3990C40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392D27C9"/>
    <w:multiLevelType w:val="hybridMultilevel"/>
    <w:tmpl w:val="0B762900"/>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A6E3DCE"/>
    <w:multiLevelType w:val="multilevel"/>
    <w:tmpl w:val="E7764B8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411168D3"/>
    <w:multiLevelType w:val="hybridMultilevel"/>
    <w:tmpl w:val="5BBE1FFA"/>
    <w:lvl w:ilvl="0" w:tplc="4A6692BC">
      <w:numFmt w:val="bullet"/>
      <w:lvlText w:val="–"/>
      <w:lvlJc w:val="left"/>
      <w:pPr>
        <w:ind w:left="1080" w:hanging="360"/>
      </w:pPr>
      <w:rPr>
        <w:rFonts w:ascii="Times New Roman" w:eastAsia="Times New Roman" w:hAnsi="Times New Roman" w:cs="Times New Roman"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3A54CD8"/>
    <w:multiLevelType w:val="hybridMultilevel"/>
    <w:tmpl w:val="771E5532"/>
    <w:lvl w:ilvl="0" w:tplc="3F2617E8">
      <w:start w:val="1"/>
      <w:numFmt w:val="bullet"/>
      <w:pStyle w:val="a"/>
      <w:lvlText w:val=""/>
      <w:lvlJc w:val="left"/>
      <w:pPr>
        <w:ind w:left="3302" w:hanging="360"/>
      </w:pPr>
      <w:rPr>
        <w:rFonts w:ascii="Symbol" w:hAnsi="Symbol" w:hint="default"/>
      </w:rPr>
    </w:lvl>
    <w:lvl w:ilvl="1" w:tplc="04090003" w:tentative="1">
      <w:start w:val="1"/>
      <w:numFmt w:val="bullet"/>
      <w:lvlText w:val="o"/>
      <w:lvlJc w:val="left"/>
      <w:pPr>
        <w:ind w:left="3588" w:hanging="360"/>
      </w:pPr>
      <w:rPr>
        <w:rFonts w:ascii="Courier New" w:hAnsi="Courier New" w:cs="Courier New" w:hint="default"/>
      </w:rPr>
    </w:lvl>
    <w:lvl w:ilvl="2" w:tplc="04090005" w:tentative="1">
      <w:start w:val="1"/>
      <w:numFmt w:val="bullet"/>
      <w:lvlText w:val=""/>
      <w:lvlJc w:val="left"/>
      <w:pPr>
        <w:ind w:left="4308" w:hanging="360"/>
      </w:pPr>
      <w:rPr>
        <w:rFonts w:ascii="Wingdings" w:hAnsi="Wingdings" w:hint="default"/>
      </w:rPr>
    </w:lvl>
    <w:lvl w:ilvl="3" w:tplc="04090001" w:tentative="1">
      <w:start w:val="1"/>
      <w:numFmt w:val="bullet"/>
      <w:lvlText w:val=""/>
      <w:lvlJc w:val="left"/>
      <w:pPr>
        <w:ind w:left="5028" w:hanging="360"/>
      </w:pPr>
      <w:rPr>
        <w:rFonts w:ascii="Symbol" w:hAnsi="Symbol" w:hint="default"/>
      </w:rPr>
    </w:lvl>
    <w:lvl w:ilvl="4" w:tplc="04090003" w:tentative="1">
      <w:start w:val="1"/>
      <w:numFmt w:val="bullet"/>
      <w:lvlText w:val="o"/>
      <w:lvlJc w:val="left"/>
      <w:pPr>
        <w:ind w:left="5748" w:hanging="360"/>
      </w:pPr>
      <w:rPr>
        <w:rFonts w:ascii="Courier New" w:hAnsi="Courier New" w:cs="Courier New" w:hint="default"/>
      </w:rPr>
    </w:lvl>
    <w:lvl w:ilvl="5" w:tplc="04090005" w:tentative="1">
      <w:start w:val="1"/>
      <w:numFmt w:val="bullet"/>
      <w:lvlText w:val=""/>
      <w:lvlJc w:val="left"/>
      <w:pPr>
        <w:ind w:left="6468" w:hanging="360"/>
      </w:pPr>
      <w:rPr>
        <w:rFonts w:ascii="Wingdings" w:hAnsi="Wingdings" w:hint="default"/>
      </w:rPr>
    </w:lvl>
    <w:lvl w:ilvl="6" w:tplc="04090001" w:tentative="1">
      <w:start w:val="1"/>
      <w:numFmt w:val="bullet"/>
      <w:lvlText w:val=""/>
      <w:lvlJc w:val="left"/>
      <w:pPr>
        <w:ind w:left="7188" w:hanging="360"/>
      </w:pPr>
      <w:rPr>
        <w:rFonts w:ascii="Symbol" w:hAnsi="Symbol" w:hint="default"/>
      </w:rPr>
    </w:lvl>
    <w:lvl w:ilvl="7" w:tplc="04090003" w:tentative="1">
      <w:start w:val="1"/>
      <w:numFmt w:val="bullet"/>
      <w:lvlText w:val="o"/>
      <w:lvlJc w:val="left"/>
      <w:pPr>
        <w:ind w:left="7908" w:hanging="360"/>
      </w:pPr>
      <w:rPr>
        <w:rFonts w:ascii="Courier New" w:hAnsi="Courier New" w:cs="Courier New" w:hint="default"/>
      </w:rPr>
    </w:lvl>
    <w:lvl w:ilvl="8" w:tplc="04090005" w:tentative="1">
      <w:start w:val="1"/>
      <w:numFmt w:val="bullet"/>
      <w:lvlText w:val=""/>
      <w:lvlJc w:val="left"/>
      <w:pPr>
        <w:ind w:left="8628" w:hanging="360"/>
      </w:pPr>
      <w:rPr>
        <w:rFonts w:ascii="Wingdings" w:hAnsi="Wingdings" w:hint="default"/>
      </w:rPr>
    </w:lvl>
  </w:abstractNum>
  <w:abstractNum w:abstractNumId="34" w15:restartNumberingAfterBreak="0">
    <w:nsid w:val="47320E0B"/>
    <w:multiLevelType w:val="multilevel"/>
    <w:tmpl w:val="4D6CABE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478D3FC5"/>
    <w:multiLevelType w:val="hybridMultilevel"/>
    <w:tmpl w:val="374E2196"/>
    <w:lvl w:ilvl="0" w:tplc="DAAEE4B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AD754EE"/>
    <w:multiLevelType w:val="multilevel"/>
    <w:tmpl w:val="2A7670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sz w:val="22"/>
        <w:szCs w:val="22"/>
      </w:rPr>
    </w:lvl>
    <w:lvl w:ilvl="2">
      <w:start w:val="1"/>
      <w:numFmt w:val="decimal"/>
      <w:isLgl/>
      <w:lvlText w:val="%1.%2.%3."/>
      <w:lvlJc w:val="left"/>
      <w:pPr>
        <w:ind w:left="1440" w:hanging="720"/>
      </w:pPr>
      <w:rPr>
        <w:rFonts w:ascii="Times New Roman Bold" w:hAnsi="Times New Roman Bold" w:hint="default"/>
        <w:i w:val="0"/>
        <w:iCs w:val="0"/>
        <w:color w:val="2E74B5" w:themeColor="accent1" w:themeShade="BF"/>
      </w:rPr>
    </w:lvl>
    <w:lvl w:ilvl="3">
      <w:start w:val="1"/>
      <w:numFmt w:val="decimal"/>
      <w:isLgl/>
      <w:lvlText w:val="%1.%2.%3.%4."/>
      <w:lvlJc w:val="left"/>
      <w:pPr>
        <w:ind w:left="387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B44242A"/>
    <w:multiLevelType w:val="hybridMultilevel"/>
    <w:tmpl w:val="388EFAE4"/>
    <w:lvl w:ilvl="0" w:tplc="1B86474C">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DFA2CCB"/>
    <w:multiLevelType w:val="hybridMultilevel"/>
    <w:tmpl w:val="5D669282"/>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EB70427"/>
    <w:multiLevelType w:val="multilevel"/>
    <w:tmpl w:val="B610330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50145C7C"/>
    <w:multiLevelType w:val="hybridMultilevel"/>
    <w:tmpl w:val="7D021A38"/>
    <w:lvl w:ilvl="0" w:tplc="4948BB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8D504E"/>
    <w:multiLevelType w:val="multilevel"/>
    <w:tmpl w:val="AE8229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52BF359C"/>
    <w:multiLevelType w:val="multilevel"/>
    <w:tmpl w:val="9FD2B53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54533957"/>
    <w:multiLevelType w:val="multilevel"/>
    <w:tmpl w:val="7C121EF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598D467C"/>
    <w:multiLevelType w:val="hybridMultilevel"/>
    <w:tmpl w:val="EE34C5BE"/>
    <w:lvl w:ilvl="0" w:tplc="1B86474C">
      <w:start w:val="1"/>
      <w:numFmt w:val="bullet"/>
      <w:lvlText w:val=""/>
      <w:lvlJc w:val="left"/>
      <w:pPr>
        <w:ind w:left="1080" w:hanging="360"/>
      </w:pPr>
      <w:rPr>
        <w:rFonts w:ascii="Symbol" w:hAnsi="Symbol" w:hint="default"/>
        <w:color w:val="auto"/>
        <w:sz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5C2F4FD0"/>
    <w:multiLevelType w:val="multilevel"/>
    <w:tmpl w:val="C3B21950"/>
    <w:lvl w:ilvl="0">
      <w:start w:val="1"/>
      <w:numFmt w:val="bullet"/>
      <w:lvlText w:val=""/>
      <w:lvlJc w:val="left"/>
      <w:pPr>
        <w:ind w:left="1079" w:hanging="359"/>
      </w:pPr>
      <w:rPr>
        <w:rFonts w:ascii="Symbol" w:hAnsi="Symbol" w:hint="default"/>
      </w:rPr>
    </w:lvl>
    <w:lvl w:ilvl="1">
      <w:start w:val="1"/>
      <w:numFmt w:val="bullet"/>
      <w:lvlText w:val="o"/>
      <w:lvlJc w:val="left"/>
      <w:pPr>
        <w:ind w:left="1799" w:hanging="360"/>
      </w:pPr>
      <w:rPr>
        <w:rFonts w:ascii="Courier New" w:eastAsia="Courier New" w:hAnsi="Courier New" w:cs="Courier New"/>
      </w:rPr>
    </w:lvl>
    <w:lvl w:ilvl="2">
      <w:start w:val="1"/>
      <w:numFmt w:val="bullet"/>
      <w:lvlText w:val="▪"/>
      <w:lvlJc w:val="left"/>
      <w:pPr>
        <w:ind w:left="2519" w:hanging="360"/>
      </w:pPr>
      <w:rPr>
        <w:rFonts w:ascii="Noto Sans Symbols" w:eastAsia="Noto Sans Symbols" w:hAnsi="Noto Sans Symbols" w:cs="Noto Sans Symbols"/>
      </w:rPr>
    </w:lvl>
    <w:lvl w:ilvl="3">
      <w:start w:val="1"/>
      <w:numFmt w:val="bullet"/>
      <w:lvlText w:val="●"/>
      <w:lvlJc w:val="left"/>
      <w:pPr>
        <w:ind w:left="3239" w:hanging="360"/>
      </w:pPr>
      <w:rPr>
        <w:rFonts w:ascii="Noto Sans Symbols" w:eastAsia="Noto Sans Symbols" w:hAnsi="Noto Sans Symbols" w:cs="Noto Sans Symbols"/>
      </w:rPr>
    </w:lvl>
    <w:lvl w:ilvl="4">
      <w:start w:val="1"/>
      <w:numFmt w:val="bullet"/>
      <w:lvlText w:val="o"/>
      <w:lvlJc w:val="left"/>
      <w:pPr>
        <w:ind w:left="3959" w:hanging="360"/>
      </w:pPr>
      <w:rPr>
        <w:rFonts w:ascii="Courier New" w:eastAsia="Courier New" w:hAnsi="Courier New" w:cs="Courier New"/>
      </w:rPr>
    </w:lvl>
    <w:lvl w:ilvl="5">
      <w:start w:val="1"/>
      <w:numFmt w:val="bullet"/>
      <w:lvlText w:val="▪"/>
      <w:lvlJc w:val="left"/>
      <w:pPr>
        <w:ind w:left="4679" w:hanging="360"/>
      </w:pPr>
      <w:rPr>
        <w:rFonts w:ascii="Noto Sans Symbols" w:eastAsia="Noto Sans Symbols" w:hAnsi="Noto Sans Symbols" w:cs="Noto Sans Symbols"/>
      </w:rPr>
    </w:lvl>
    <w:lvl w:ilvl="6">
      <w:start w:val="1"/>
      <w:numFmt w:val="bullet"/>
      <w:lvlText w:val="●"/>
      <w:lvlJc w:val="left"/>
      <w:pPr>
        <w:ind w:left="5399" w:hanging="360"/>
      </w:pPr>
      <w:rPr>
        <w:rFonts w:ascii="Noto Sans Symbols" w:eastAsia="Noto Sans Symbols" w:hAnsi="Noto Sans Symbols" w:cs="Noto Sans Symbols"/>
      </w:rPr>
    </w:lvl>
    <w:lvl w:ilvl="7">
      <w:start w:val="1"/>
      <w:numFmt w:val="bullet"/>
      <w:lvlText w:val="o"/>
      <w:lvlJc w:val="left"/>
      <w:pPr>
        <w:ind w:left="6119" w:hanging="360"/>
      </w:pPr>
      <w:rPr>
        <w:rFonts w:ascii="Courier New" w:eastAsia="Courier New" w:hAnsi="Courier New" w:cs="Courier New"/>
      </w:rPr>
    </w:lvl>
    <w:lvl w:ilvl="8">
      <w:start w:val="1"/>
      <w:numFmt w:val="bullet"/>
      <w:lvlText w:val="▪"/>
      <w:lvlJc w:val="left"/>
      <w:pPr>
        <w:ind w:left="6839" w:hanging="360"/>
      </w:pPr>
      <w:rPr>
        <w:rFonts w:ascii="Noto Sans Symbols" w:eastAsia="Noto Sans Symbols" w:hAnsi="Noto Sans Symbols" w:cs="Noto Sans Symbols"/>
      </w:rPr>
    </w:lvl>
  </w:abstractNum>
  <w:abstractNum w:abstractNumId="46" w15:restartNumberingAfterBreak="0">
    <w:nsid w:val="5D0B35B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912"/>
        </w:tabs>
        <w:ind w:left="9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7" w15:restartNumberingAfterBreak="0">
    <w:nsid w:val="62146094"/>
    <w:multiLevelType w:val="hybridMultilevel"/>
    <w:tmpl w:val="CD68BDBE"/>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2B926BF"/>
    <w:multiLevelType w:val="multilevel"/>
    <w:tmpl w:val="97EA7926"/>
    <w:lvl w:ilvl="0">
      <w:start w:val="1"/>
      <w:numFmt w:val="bullet"/>
      <w:pStyle w:val="DSIPbullets"/>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9" w15:restartNumberingAfterBreak="0">
    <w:nsid w:val="651C40A8"/>
    <w:multiLevelType w:val="multilevel"/>
    <w:tmpl w:val="495E1A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65A662D0"/>
    <w:multiLevelType w:val="hybridMultilevel"/>
    <w:tmpl w:val="1B1A0694"/>
    <w:lvl w:ilvl="0" w:tplc="1B86474C">
      <w:start w:val="1"/>
      <w:numFmt w:val="bullet"/>
      <w:lvlText w:val=""/>
      <w:lvlJc w:val="left"/>
      <w:pPr>
        <w:ind w:left="1080" w:hanging="360"/>
      </w:pPr>
      <w:rPr>
        <w:rFonts w:ascii="Symbol" w:hAnsi="Symbol" w:hint="default"/>
        <w:color w:val="auto"/>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6FE72BD"/>
    <w:multiLevelType w:val="multilevel"/>
    <w:tmpl w:val="BDDE708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2" w15:restartNumberingAfterBreak="0">
    <w:nsid w:val="67711AF4"/>
    <w:multiLevelType w:val="multilevel"/>
    <w:tmpl w:val="5D88A24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688E578A"/>
    <w:multiLevelType w:val="hybridMultilevel"/>
    <w:tmpl w:val="805EFA4A"/>
    <w:lvl w:ilvl="0" w:tplc="1B86474C">
      <w:start w:val="1"/>
      <w:numFmt w:val="bullet"/>
      <w:lvlText w:val=""/>
      <w:lvlJc w:val="left"/>
      <w:pPr>
        <w:ind w:left="1080" w:hanging="360"/>
      </w:pPr>
      <w:rPr>
        <w:rFonts w:ascii="Symbol" w:hAnsi="Symbol" w:hint="default"/>
        <w:color w:val="auto"/>
        <w:sz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 w15:restartNumberingAfterBreak="0">
    <w:nsid w:val="693D27A6"/>
    <w:multiLevelType w:val="hybridMultilevel"/>
    <w:tmpl w:val="F708755A"/>
    <w:lvl w:ilvl="0" w:tplc="7F4A9E22">
      <w:start w:val="1"/>
      <w:numFmt w:val="decimal"/>
      <w:lvlText w:val="%1)"/>
      <w:lvlJc w:val="left"/>
      <w:pPr>
        <w:ind w:left="720" w:hanging="360"/>
      </w:pPr>
      <w:rPr>
        <w:b w:val="0"/>
        <w:bCs w:val="0"/>
        <w:i w:val="0"/>
        <w:iCs w:val="0"/>
      </w:rPr>
    </w:lvl>
    <w:lvl w:ilvl="1" w:tplc="281A0019">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5" w15:restartNumberingAfterBreak="0">
    <w:nsid w:val="6A261324"/>
    <w:multiLevelType w:val="hybridMultilevel"/>
    <w:tmpl w:val="29FCFD2C"/>
    <w:lvl w:ilvl="0" w:tplc="1B86474C">
      <w:start w:val="1"/>
      <w:numFmt w:val="bullet"/>
      <w:lvlText w:val=""/>
      <w:lvlJc w:val="left"/>
      <w:pPr>
        <w:ind w:left="1080" w:hanging="360"/>
      </w:pPr>
      <w:rPr>
        <w:rFonts w:ascii="Symbol" w:hAnsi="Symbol" w:hint="default"/>
        <w:color w:val="auto"/>
        <w:sz w:val="28"/>
      </w:rPr>
    </w:lvl>
    <w:lvl w:ilvl="1" w:tplc="FFFFFFFF">
      <w:start w:val="1"/>
      <w:numFmt w:val="bullet"/>
      <w:lvlText w:val="-"/>
      <w:lvlJc w:val="left"/>
      <w:pPr>
        <w:ind w:left="1800" w:hanging="360"/>
      </w:pPr>
      <w:rPr>
        <w:rFonts w:ascii="Times New Roman" w:hAnsi="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 w15:restartNumberingAfterBreak="0">
    <w:nsid w:val="6CEF6D48"/>
    <w:multiLevelType w:val="hybridMultilevel"/>
    <w:tmpl w:val="785A9666"/>
    <w:lvl w:ilvl="0" w:tplc="4DF8BCE6">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7" w15:restartNumberingAfterBreak="0">
    <w:nsid w:val="6E0B7E3F"/>
    <w:multiLevelType w:val="hybridMultilevel"/>
    <w:tmpl w:val="C1706A7C"/>
    <w:lvl w:ilvl="0" w:tplc="C8C24A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15:restartNumberingAfterBreak="0">
    <w:nsid w:val="6E726CEC"/>
    <w:multiLevelType w:val="hybridMultilevel"/>
    <w:tmpl w:val="04EAC2CE"/>
    <w:lvl w:ilvl="0" w:tplc="040EDFC8">
      <w:start w:val="1"/>
      <w:numFmt w:val="bullet"/>
      <w:pStyle w:val="Absatz-Aufzhlung1"/>
      <w:lvlText w:val=""/>
      <w:lvlJc w:val="left"/>
      <w:pPr>
        <w:ind w:left="362" w:hanging="360"/>
      </w:pPr>
      <w:rPr>
        <w:rFonts w:ascii="Symbol" w:hAnsi="Symbol" w:hint="default"/>
        <w:color w:val="008080"/>
        <w:sz w:val="28"/>
        <w:lang w:val="en-GB"/>
      </w:rPr>
    </w:lvl>
    <w:lvl w:ilvl="1" w:tplc="04070003">
      <w:start w:val="1"/>
      <w:numFmt w:val="bullet"/>
      <w:lvlText w:val="o"/>
      <w:lvlJc w:val="left"/>
      <w:pPr>
        <w:tabs>
          <w:tab w:val="num" w:pos="1497"/>
        </w:tabs>
        <w:ind w:left="1497" w:hanging="360"/>
      </w:pPr>
      <w:rPr>
        <w:rFonts w:ascii="Courier New" w:hAnsi="Courier New" w:hint="default"/>
      </w:rPr>
    </w:lvl>
    <w:lvl w:ilvl="2" w:tplc="04070005" w:tentative="1">
      <w:start w:val="1"/>
      <w:numFmt w:val="bullet"/>
      <w:lvlText w:val=""/>
      <w:lvlJc w:val="left"/>
      <w:pPr>
        <w:tabs>
          <w:tab w:val="num" w:pos="2162"/>
        </w:tabs>
        <w:ind w:left="2162" w:hanging="360"/>
      </w:pPr>
      <w:rPr>
        <w:rFonts w:ascii="Wingdings" w:hAnsi="Wingdings" w:hint="default"/>
      </w:rPr>
    </w:lvl>
    <w:lvl w:ilvl="3" w:tplc="04070001" w:tentative="1">
      <w:start w:val="1"/>
      <w:numFmt w:val="bullet"/>
      <w:lvlText w:val=""/>
      <w:lvlJc w:val="left"/>
      <w:pPr>
        <w:tabs>
          <w:tab w:val="num" w:pos="2882"/>
        </w:tabs>
        <w:ind w:left="2882" w:hanging="360"/>
      </w:pPr>
      <w:rPr>
        <w:rFonts w:ascii="Symbol" w:hAnsi="Symbol" w:hint="default"/>
      </w:rPr>
    </w:lvl>
    <w:lvl w:ilvl="4" w:tplc="04070003" w:tentative="1">
      <w:start w:val="1"/>
      <w:numFmt w:val="bullet"/>
      <w:lvlText w:val="o"/>
      <w:lvlJc w:val="left"/>
      <w:pPr>
        <w:tabs>
          <w:tab w:val="num" w:pos="3602"/>
        </w:tabs>
        <w:ind w:left="3602" w:hanging="360"/>
      </w:pPr>
      <w:rPr>
        <w:rFonts w:ascii="Courier New" w:hAnsi="Courier New" w:hint="default"/>
      </w:rPr>
    </w:lvl>
    <w:lvl w:ilvl="5" w:tplc="04070005" w:tentative="1">
      <w:start w:val="1"/>
      <w:numFmt w:val="bullet"/>
      <w:lvlText w:val=""/>
      <w:lvlJc w:val="left"/>
      <w:pPr>
        <w:tabs>
          <w:tab w:val="num" w:pos="4322"/>
        </w:tabs>
        <w:ind w:left="4322" w:hanging="360"/>
      </w:pPr>
      <w:rPr>
        <w:rFonts w:ascii="Wingdings" w:hAnsi="Wingdings" w:hint="default"/>
      </w:rPr>
    </w:lvl>
    <w:lvl w:ilvl="6" w:tplc="04070001" w:tentative="1">
      <w:start w:val="1"/>
      <w:numFmt w:val="bullet"/>
      <w:lvlText w:val=""/>
      <w:lvlJc w:val="left"/>
      <w:pPr>
        <w:tabs>
          <w:tab w:val="num" w:pos="5042"/>
        </w:tabs>
        <w:ind w:left="5042" w:hanging="360"/>
      </w:pPr>
      <w:rPr>
        <w:rFonts w:ascii="Symbol" w:hAnsi="Symbol" w:hint="default"/>
      </w:rPr>
    </w:lvl>
    <w:lvl w:ilvl="7" w:tplc="04070003" w:tentative="1">
      <w:start w:val="1"/>
      <w:numFmt w:val="bullet"/>
      <w:lvlText w:val="o"/>
      <w:lvlJc w:val="left"/>
      <w:pPr>
        <w:tabs>
          <w:tab w:val="num" w:pos="5762"/>
        </w:tabs>
        <w:ind w:left="5762" w:hanging="360"/>
      </w:pPr>
      <w:rPr>
        <w:rFonts w:ascii="Courier New" w:hAnsi="Courier New" w:hint="default"/>
      </w:rPr>
    </w:lvl>
    <w:lvl w:ilvl="8" w:tplc="04070005" w:tentative="1">
      <w:start w:val="1"/>
      <w:numFmt w:val="bullet"/>
      <w:lvlText w:val=""/>
      <w:lvlJc w:val="left"/>
      <w:pPr>
        <w:tabs>
          <w:tab w:val="num" w:pos="6482"/>
        </w:tabs>
        <w:ind w:left="6482" w:hanging="360"/>
      </w:pPr>
      <w:rPr>
        <w:rFonts w:ascii="Wingdings" w:hAnsi="Wingdings" w:hint="default"/>
      </w:rPr>
    </w:lvl>
  </w:abstractNum>
  <w:abstractNum w:abstractNumId="59" w15:restartNumberingAfterBreak="0">
    <w:nsid w:val="6F6247B4"/>
    <w:multiLevelType w:val="hybridMultilevel"/>
    <w:tmpl w:val="31525C2C"/>
    <w:lvl w:ilvl="0" w:tplc="0700C4AA">
      <w:start w:val="1"/>
      <w:numFmt w:val="bullet"/>
      <w:lvlText w:val=""/>
      <w:lvlJc w:val="left"/>
      <w:pPr>
        <w:ind w:left="1800" w:hanging="360"/>
      </w:pPr>
      <w:rPr>
        <w:rFonts w:ascii="Symbol" w:hAnsi="Symbol" w:hint="default"/>
      </w:rPr>
    </w:lvl>
    <w:lvl w:ilvl="1" w:tplc="241A0003" w:tentative="1">
      <w:start w:val="1"/>
      <w:numFmt w:val="bullet"/>
      <w:lvlText w:val="o"/>
      <w:lvlJc w:val="left"/>
      <w:pPr>
        <w:ind w:left="2520" w:hanging="360"/>
      </w:pPr>
      <w:rPr>
        <w:rFonts w:ascii="Courier New" w:hAnsi="Courier New" w:cs="Courier New" w:hint="default"/>
      </w:rPr>
    </w:lvl>
    <w:lvl w:ilvl="2" w:tplc="241A0005" w:tentative="1">
      <w:start w:val="1"/>
      <w:numFmt w:val="bullet"/>
      <w:lvlText w:val=""/>
      <w:lvlJc w:val="left"/>
      <w:pPr>
        <w:ind w:left="3240" w:hanging="360"/>
      </w:pPr>
      <w:rPr>
        <w:rFonts w:ascii="Wingdings" w:hAnsi="Wingdings" w:hint="default"/>
      </w:rPr>
    </w:lvl>
    <w:lvl w:ilvl="3" w:tplc="241A0001" w:tentative="1">
      <w:start w:val="1"/>
      <w:numFmt w:val="bullet"/>
      <w:lvlText w:val=""/>
      <w:lvlJc w:val="left"/>
      <w:pPr>
        <w:ind w:left="3960" w:hanging="360"/>
      </w:pPr>
      <w:rPr>
        <w:rFonts w:ascii="Symbol" w:hAnsi="Symbol" w:hint="default"/>
      </w:rPr>
    </w:lvl>
    <w:lvl w:ilvl="4" w:tplc="241A0003" w:tentative="1">
      <w:start w:val="1"/>
      <w:numFmt w:val="bullet"/>
      <w:lvlText w:val="o"/>
      <w:lvlJc w:val="left"/>
      <w:pPr>
        <w:ind w:left="4680" w:hanging="360"/>
      </w:pPr>
      <w:rPr>
        <w:rFonts w:ascii="Courier New" w:hAnsi="Courier New" w:cs="Courier New" w:hint="default"/>
      </w:rPr>
    </w:lvl>
    <w:lvl w:ilvl="5" w:tplc="241A0005" w:tentative="1">
      <w:start w:val="1"/>
      <w:numFmt w:val="bullet"/>
      <w:lvlText w:val=""/>
      <w:lvlJc w:val="left"/>
      <w:pPr>
        <w:ind w:left="5400" w:hanging="360"/>
      </w:pPr>
      <w:rPr>
        <w:rFonts w:ascii="Wingdings" w:hAnsi="Wingdings" w:hint="default"/>
      </w:rPr>
    </w:lvl>
    <w:lvl w:ilvl="6" w:tplc="241A0001" w:tentative="1">
      <w:start w:val="1"/>
      <w:numFmt w:val="bullet"/>
      <w:lvlText w:val=""/>
      <w:lvlJc w:val="left"/>
      <w:pPr>
        <w:ind w:left="6120" w:hanging="360"/>
      </w:pPr>
      <w:rPr>
        <w:rFonts w:ascii="Symbol" w:hAnsi="Symbol" w:hint="default"/>
      </w:rPr>
    </w:lvl>
    <w:lvl w:ilvl="7" w:tplc="241A0003" w:tentative="1">
      <w:start w:val="1"/>
      <w:numFmt w:val="bullet"/>
      <w:lvlText w:val="o"/>
      <w:lvlJc w:val="left"/>
      <w:pPr>
        <w:ind w:left="6840" w:hanging="360"/>
      </w:pPr>
      <w:rPr>
        <w:rFonts w:ascii="Courier New" w:hAnsi="Courier New" w:cs="Courier New" w:hint="default"/>
      </w:rPr>
    </w:lvl>
    <w:lvl w:ilvl="8" w:tplc="241A0005" w:tentative="1">
      <w:start w:val="1"/>
      <w:numFmt w:val="bullet"/>
      <w:lvlText w:val=""/>
      <w:lvlJc w:val="left"/>
      <w:pPr>
        <w:ind w:left="7560" w:hanging="360"/>
      </w:pPr>
      <w:rPr>
        <w:rFonts w:ascii="Wingdings" w:hAnsi="Wingdings" w:hint="default"/>
      </w:rPr>
    </w:lvl>
  </w:abstractNum>
  <w:abstractNum w:abstractNumId="60" w15:restartNumberingAfterBreak="0">
    <w:nsid w:val="71400545"/>
    <w:multiLevelType w:val="hybridMultilevel"/>
    <w:tmpl w:val="CAC09ABC"/>
    <w:lvl w:ilvl="0" w:tplc="1B8647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2BE33EB"/>
    <w:multiLevelType w:val="hybridMultilevel"/>
    <w:tmpl w:val="DAAEFF78"/>
    <w:lvl w:ilvl="0" w:tplc="5DFE6C6E">
      <w:start w:val="1"/>
      <w:numFmt w:val="decimal"/>
      <w:lvlText w:val="%1."/>
      <w:lvlJc w:val="left"/>
      <w:pPr>
        <w:tabs>
          <w:tab w:val="num" w:pos="720"/>
        </w:tabs>
        <w:ind w:left="720" w:hanging="360"/>
      </w:pPr>
    </w:lvl>
    <w:lvl w:ilvl="1" w:tplc="57C80F24" w:tentative="1">
      <w:start w:val="1"/>
      <w:numFmt w:val="decimal"/>
      <w:lvlText w:val="%2."/>
      <w:lvlJc w:val="left"/>
      <w:pPr>
        <w:tabs>
          <w:tab w:val="num" w:pos="1440"/>
        </w:tabs>
        <w:ind w:left="1440" w:hanging="360"/>
      </w:pPr>
    </w:lvl>
    <w:lvl w:ilvl="2" w:tplc="352EA278" w:tentative="1">
      <w:start w:val="1"/>
      <w:numFmt w:val="decimal"/>
      <w:lvlText w:val="%3."/>
      <w:lvlJc w:val="left"/>
      <w:pPr>
        <w:tabs>
          <w:tab w:val="num" w:pos="2160"/>
        </w:tabs>
        <w:ind w:left="2160" w:hanging="360"/>
      </w:pPr>
    </w:lvl>
    <w:lvl w:ilvl="3" w:tplc="6A083E8E" w:tentative="1">
      <w:start w:val="1"/>
      <w:numFmt w:val="decimal"/>
      <w:lvlText w:val="%4."/>
      <w:lvlJc w:val="left"/>
      <w:pPr>
        <w:tabs>
          <w:tab w:val="num" w:pos="2880"/>
        </w:tabs>
        <w:ind w:left="2880" w:hanging="360"/>
      </w:pPr>
    </w:lvl>
    <w:lvl w:ilvl="4" w:tplc="275C3EF6" w:tentative="1">
      <w:start w:val="1"/>
      <w:numFmt w:val="decimal"/>
      <w:lvlText w:val="%5."/>
      <w:lvlJc w:val="left"/>
      <w:pPr>
        <w:tabs>
          <w:tab w:val="num" w:pos="3600"/>
        </w:tabs>
        <w:ind w:left="3600" w:hanging="360"/>
      </w:pPr>
    </w:lvl>
    <w:lvl w:ilvl="5" w:tplc="F06AB816" w:tentative="1">
      <w:start w:val="1"/>
      <w:numFmt w:val="decimal"/>
      <w:lvlText w:val="%6."/>
      <w:lvlJc w:val="left"/>
      <w:pPr>
        <w:tabs>
          <w:tab w:val="num" w:pos="4320"/>
        </w:tabs>
        <w:ind w:left="4320" w:hanging="360"/>
      </w:pPr>
    </w:lvl>
    <w:lvl w:ilvl="6" w:tplc="B0A414E6" w:tentative="1">
      <w:start w:val="1"/>
      <w:numFmt w:val="decimal"/>
      <w:lvlText w:val="%7."/>
      <w:lvlJc w:val="left"/>
      <w:pPr>
        <w:tabs>
          <w:tab w:val="num" w:pos="5040"/>
        </w:tabs>
        <w:ind w:left="5040" w:hanging="360"/>
      </w:pPr>
    </w:lvl>
    <w:lvl w:ilvl="7" w:tplc="03AAE294" w:tentative="1">
      <w:start w:val="1"/>
      <w:numFmt w:val="decimal"/>
      <w:lvlText w:val="%8."/>
      <w:lvlJc w:val="left"/>
      <w:pPr>
        <w:tabs>
          <w:tab w:val="num" w:pos="5760"/>
        </w:tabs>
        <w:ind w:left="5760" w:hanging="360"/>
      </w:pPr>
    </w:lvl>
    <w:lvl w:ilvl="8" w:tplc="F64EC6A0" w:tentative="1">
      <w:start w:val="1"/>
      <w:numFmt w:val="decimal"/>
      <w:lvlText w:val="%9."/>
      <w:lvlJc w:val="left"/>
      <w:pPr>
        <w:tabs>
          <w:tab w:val="num" w:pos="6480"/>
        </w:tabs>
        <w:ind w:left="6480" w:hanging="360"/>
      </w:pPr>
    </w:lvl>
  </w:abstractNum>
  <w:abstractNum w:abstractNumId="62" w15:restartNumberingAfterBreak="0">
    <w:nsid w:val="74BC207F"/>
    <w:multiLevelType w:val="multilevel"/>
    <w:tmpl w:val="8BBE922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791872E9"/>
    <w:multiLevelType w:val="hybridMultilevel"/>
    <w:tmpl w:val="246C997C"/>
    <w:lvl w:ilvl="0" w:tplc="4A6692BC">
      <w:numFmt w:val="bullet"/>
      <w:lvlText w:val="–"/>
      <w:lvlJc w:val="left"/>
      <w:pPr>
        <w:ind w:left="1080" w:hanging="360"/>
      </w:pPr>
      <w:rPr>
        <w:rFonts w:ascii="Times New Roman" w:eastAsia="Times New Roman" w:hAnsi="Times New Roman" w:cs="Times New Roman"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A0F7097"/>
    <w:multiLevelType w:val="hybridMultilevel"/>
    <w:tmpl w:val="60C01230"/>
    <w:lvl w:ilvl="0" w:tplc="0700C4AA">
      <w:start w:val="1"/>
      <w:numFmt w:val="bullet"/>
      <w:lvlText w:val=""/>
      <w:lvlJc w:val="left"/>
      <w:pPr>
        <w:ind w:left="1998" w:hanging="360"/>
      </w:pPr>
      <w:rPr>
        <w:rFonts w:ascii="Symbol" w:hAnsi="Symbol" w:hint="default"/>
      </w:rPr>
    </w:lvl>
    <w:lvl w:ilvl="1" w:tplc="241A0003" w:tentative="1">
      <w:start w:val="1"/>
      <w:numFmt w:val="bullet"/>
      <w:lvlText w:val="o"/>
      <w:lvlJc w:val="left"/>
      <w:pPr>
        <w:ind w:left="2718" w:hanging="360"/>
      </w:pPr>
      <w:rPr>
        <w:rFonts w:ascii="Courier New" w:hAnsi="Courier New" w:cs="Courier New" w:hint="default"/>
      </w:rPr>
    </w:lvl>
    <w:lvl w:ilvl="2" w:tplc="241A0005" w:tentative="1">
      <w:start w:val="1"/>
      <w:numFmt w:val="bullet"/>
      <w:lvlText w:val=""/>
      <w:lvlJc w:val="left"/>
      <w:pPr>
        <w:ind w:left="3438" w:hanging="360"/>
      </w:pPr>
      <w:rPr>
        <w:rFonts w:ascii="Wingdings" w:hAnsi="Wingdings" w:hint="default"/>
      </w:rPr>
    </w:lvl>
    <w:lvl w:ilvl="3" w:tplc="241A0001" w:tentative="1">
      <w:start w:val="1"/>
      <w:numFmt w:val="bullet"/>
      <w:lvlText w:val=""/>
      <w:lvlJc w:val="left"/>
      <w:pPr>
        <w:ind w:left="4158" w:hanging="360"/>
      </w:pPr>
      <w:rPr>
        <w:rFonts w:ascii="Symbol" w:hAnsi="Symbol" w:hint="default"/>
      </w:rPr>
    </w:lvl>
    <w:lvl w:ilvl="4" w:tplc="241A0003" w:tentative="1">
      <w:start w:val="1"/>
      <w:numFmt w:val="bullet"/>
      <w:lvlText w:val="o"/>
      <w:lvlJc w:val="left"/>
      <w:pPr>
        <w:ind w:left="4878" w:hanging="360"/>
      </w:pPr>
      <w:rPr>
        <w:rFonts w:ascii="Courier New" w:hAnsi="Courier New" w:cs="Courier New" w:hint="default"/>
      </w:rPr>
    </w:lvl>
    <w:lvl w:ilvl="5" w:tplc="241A0005" w:tentative="1">
      <w:start w:val="1"/>
      <w:numFmt w:val="bullet"/>
      <w:lvlText w:val=""/>
      <w:lvlJc w:val="left"/>
      <w:pPr>
        <w:ind w:left="5598" w:hanging="360"/>
      </w:pPr>
      <w:rPr>
        <w:rFonts w:ascii="Wingdings" w:hAnsi="Wingdings" w:hint="default"/>
      </w:rPr>
    </w:lvl>
    <w:lvl w:ilvl="6" w:tplc="241A0001" w:tentative="1">
      <w:start w:val="1"/>
      <w:numFmt w:val="bullet"/>
      <w:lvlText w:val=""/>
      <w:lvlJc w:val="left"/>
      <w:pPr>
        <w:ind w:left="6318" w:hanging="360"/>
      </w:pPr>
      <w:rPr>
        <w:rFonts w:ascii="Symbol" w:hAnsi="Symbol" w:hint="default"/>
      </w:rPr>
    </w:lvl>
    <w:lvl w:ilvl="7" w:tplc="241A0003" w:tentative="1">
      <w:start w:val="1"/>
      <w:numFmt w:val="bullet"/>
      <w:lvlText w:val="o"/>
      <w:lvlJc w:val="left"/>
      <w:pPr>
        <w:ind w:left="7038" w:hanging="360"/>
      </w:pPr>
      <w:rPr>
        <w:rFonts w:ascii="Courier New" w:hAnsi="Courier New" w:cs="Courier New" w:hint="default"/>
      </w:rPr>
    </w:lvl>
    <w:lvl w:ilvl="8" w:tplc="241A0005" w:tentative="1">
      <w:start w:val="1"/>
      <w:numFmt w:val="bullet"/>
      <w:lvlText w:val=""/>
      <w:lvlJc w:val="left"/>
      <w:pPr>
        <w:ind w:left="7758" w:hanging="360"/>
      </w:pPr>
      <w:rPr>
        <w:rFonts w:ascii="Wingdings" w:hAnsi="Wingdings" w:hint="default"/>
      </w:rPr>
    </w:lvl>
  </w:abstractNum>
  <w:abstractNum w:abstractNumId="65" w15:restartNumberingAfterBreak="0">
    <w:nsid w:val="7CF46DA6"/>
    <w:multiLevelType w:val="multilevel"/>
    <w:tmpl w:val="F9421FB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7DB1402E"/>
    <w:multiLevelType w:val="multilevel"/>
    <w:tmpl w:val="DA0454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7" w15:restartNumberingAfterBreak="0">
    <w:nsid w:val="7E320795"/>
    <w:multiLevelType w:val="hybridMultilevel"/>
    <w:tmpl w:val="9D2293DC"/>
    <w:lvl w:ilvl="0" w:tplc="4A6692BC">
      <w:numFmt w:val="bullet"/>
      <w:lvlText w:val="–"/>
      <w:lvlJc w:val="left"/>
      <w:pPr>
        <w:ind w:left="1260" w:hanging="360"/>
      </w:pPr>
      <w:rPr>
        <w:rFonts w:ascii="Times New Roman" w:eastAsia="Times New Roman" w:hAnsi="Times New Roman" w:cs="Times New Roman"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42537359">
    <w:abstractNumId w:val="49"/>
  </w:num>
  <w:num w:numId="2" w16cid:durableId="880753024">
    <w:abstractNumId w:val="36"/>
  </w:num>
  <w:num w:numId="3" w16cid:durableId="564683094">
    <w:abstractNumId w:val="33"/>
  </w:num>
  <w:num w:numId="4" w16cid:durableId="1494681436">
    <w:abstractNumId w:val="48"/>
  </w:num>
  <w:num w:numId="5" w16cid:durableId="237909465">
    <w:abstractNumId w:val="14"/>
  </w:num>
  <w:num w:numId="6" w16cid:durableId="1380595320">
    <w:abstractNumId w:val="2"/>
  </w:num>
  <w:num w:numId="7" w16cid:durableId="656031894">
    <w:abstractNumId w:val="26"/>
  </w:num>
  <w:num w:numId="8" w16cid:durableId="767237703">
    <w:abstractNumId w:val="20"/>
  </w:num>
  <w:num w:numId="9" w16cid:durableId="118643922">
    <w:abstractNumId w:val="46"/>
  </w:num>
  <w:num w:numId="10" w16cid:durableId="378671622">
    <w:abstractNumId w:val="58"/>
  </w:num>
  <w:num w:numId="11" w16cid:durableId="397364613">
    <w:abstractNumId w:val="37"/>
  </w:num>
  <w:num w:numId="12" w16cid:durableId="1528985373">
    <w:abstractNumId w:val="22"/>
  </w:num>
  <w:num w:numId="13" w16cid:durableId="222762755">
    <w:abstractNumId w:val="50"/>
  </w:num>
  <w:num w:numId="14" w16cid:durableId="436295826">
    <w:abstractNumId w:val="61"/>
  </w:num>
  <w:num w:numId="15" w16cid:durableId="1396320422">
    <w:abstractNumId w:val="38"/>
  </w:num>
  <w:num w:numId="16" w16cid:durableId="510681293">
    <w:abstractNumId w:val="30"/>
  </w:num>
  <w:num w:numId="17" w16cid:durableId="1890919675">
    <w:abstractNumId w:val="53"/>
  </w:num>
  <w:num w:numId="18" w16cid:durableId="940533434">
    <w:abstractNumId w:val="35"/>
  </w:num>
  <w:num w:numId="19" w16cid:durableId="1213620754">
    <w:abstractNumId w:val="19"/>
  </w:num>
  <w:num w:numId="20" w16cid:durableId="1556895515">
    <w:abstractNumId w:val="1"/>
  </w:num>
  <w:num w:numId="21" w16cid:durableId="1615866852">
    <w:abstractNumId w:val="6"/>
  </w:num>
  <w:num w:numId="22" w16cid:durableId="1727610527">
    <w:abstractNumId w:val="54"/>
  </w:num>
  <w:num w:numId="23" w16cid:durableId="176964247">
    <w:abstractNumId w:val="55"/>
  </w:num>
  <w:num w:numId="24" w16cid:durableId="1939679052">
    <w:abstractNumId w:val="11"/>
  </w:num>
  <w:num w:numId="25" w16cid:durableId="187573567">
    <w:abstractNumId w:val="44"/>
  </w:num>
  <w:num w:numId="26" w16cid:durableId="1689287534">
    <w:abstractNumId w:val="57"/>
  </w:num>
  <w:num w:numId="27" w16cid:durableId="189172363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6429453">
    <w:abstractNumId w:val="29"/>
  </w:num>
  <w:num w:numId="29" w16cid:durableId="1749571298">
    <w:abstractNumId w:val="64"/>
  </w:num>
  <w:num w:numId="30" w16cid:durableId="629940505">
    <w:abstractNumId w:val="59"/>
  </w:num>
  <w:num w:numId="31" w16cid:durableId="1833253877">
    <w:abstractNumId w:val="66"/>
  </w:num>
  <w:num w:numId="32" w16cid:durableId="594169712">
    <w:abstractNumId w:val="34"/>
  </w:num>
  <w:num w:numId="33" w16cid:durableId="1466046354">
    <w:abstractNumId w:val="0"/>
  </w:num>
  <w:num w:numId="34" w16cid:durableId="628052147">
    <w:abstractNumId w:val="7"/>
  </w:num>
  <w:num w:numId="35" w16cid:durableId="1472940285">
    <w:abstractNumId w:val="23"/>
  </w:num>
  <w:num w:numId="36" w16cid:durableId="1542863720">
    <w:abstractNumId w:val="45"/>
  </w:num>
  <w:num w:numId="37" w16cid:durableId="723020402">
    <w:abstractNumId w:val="16"/>
  </w:num>
  <w:num w:numId="38" w16cid:durableId="1677226585">
    <w:abstractNumId w:val="42"/>
  </w:num>
  <w:num w:numId="39" w16cid:durableId="898395367">
    <w:abstractNumId w:val="31"/>
  </w:num>
  <w:num w:numId="40" w16cid:durableId="1787192684">
    <w:abstractNumId w:val="62"/>
  </w:num>
  <w:num w:numId="41" w16cid:durableId="1706716767">
    <w:abstractNumId w:val="60"/>
  </w:num>
  <w:num w:numId="42" w16cid:durableId="328169377">
    <w:abstractNumId w:val="12"/>
  </w:num>
  <w:num w:numId="43" w16cid:durableId="589697781">
    <w:abstractNumId w:val="41"/>
  </w:num>
  <w:num w:numId="44" w16cid:durableId="777068377">
    <w:abstractNumId w:val="52"/>
  </w:num>
  <w:num w:numId="45" w16cid:durableId="1477380074">
    <w:abstractNumId w:val="39"/>
  </w:num>
  <w:num w:numId="46" w16cid:durableId="682902825">
    <w:abstractNumId w:val="51"/>
  </w:num>
  <w:num w:numId="47" w16cid:durableId="1339381707">
    <w:abstractNumId w:val="43"/>
  </w:num>
  <w:num w:numId="48" w16cid:durableId="862979806">
    <w:abstractNumId w:val="3"/>
  </w:num>
  <w:num w:numId="49" w16cid:durableId="1224179371">
    <w:abstractNumId w:val="17"/>
  </w:num>
  <w:num w:numId="50" w16cid:durableId="88089115">
    <w:abstractNumId w:val="5"/>
  </w:num>
  <w:num w:numId="51" w16cid:durableId="705300067">
    <w:abstractNumId w:val="40"/>
  </w:num>
  <w:num w:numId="52" w16cid:durableId="1568683493">
    <w:abstractNumId w:val="47"/>
  </w:num>
  <w:num w:numId="53" w16cid:durableId="706762950">
    <w:abstractNumId w:val="8"/>
  </w:num>
  <w:num w:numId="54" w16cid:durableId="1715812379">
    <w:abstractNumId w:val="15"/>
  </w:num>
  <w:num w:numId="55" w16cid:durableId="473109727">
    <w:abstractNumId w:val="67"/>
  </w:num>
  <w:num w:numId="56" w16cid:durableId="156238784">
    <w:abstractNumId w:val="25"/>
  </w:num>
  <w:num w:numId="57" w16cid:durableId="1798794893">
    <w:abstractNumId w:val="24"/>
  </w:num>
  <w:num w:numId="58" w16cid:durableId="72094007">
    <w:abstractNumId w:val="63"/>
  </w:num>
  <w:num w:numId="59" w16cid:durableId="1079983325">
    <w:abstractNumId w:val="9"/>
  </w:num>
  <w:num w:numId="60" w16cid:durableId="1292126061">
    <w:abstractNumId w:val="65"/>
  </w:num>
  <w:num w:numId="61" w16cid:durableId="99838583">
    <w:abstractNumId w:val="32"/>
  </w:num>
  <w:num w:numId="62" w16cid:durableId="768702201">
    <w:abstractNumId w:val="21"/>
  </w:num>
  <w:num w:numId="63" w16cid:durableId="1010107496">
    <w:abstractNumId w:val="28"/>
  </w:num>
  <w:num w:numId="64" w16cid:durableId="1015421188">
    <w:abstractNumId w:val="13"/>
  </w:num>
  <w:num w:numId="65" w16cid:durableId="1419978679">
    <w:abstractNumId w:val="10"/>
    <w:lvlOverride w:ilvl="0">
      <w:startOverride w:val="1"/>
    </w:lvlOverride>
  </w:num>
  <w:num w:numId="66" w16cid:durableId="265161354">
    <w:abstractNumId w:val="4"/>
  </w:num>
  <w:num w:numId="67" w16cid:durableId="33314357">
    <w:abstractNumId w:val="18"/>
  </w:num>
  <w:num w:numId="68" w16cid:durableId="1690329244">
    <w:abstractNumId w:val="2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687"/>
    <w:rsid w:val="000003F7"/>
    <w:rsid w:val="000005B8"/>
    <w:rsid w:val="00000AB1"/>
    <w:rsid w:val="000011E5"/>
    <w:rsid w:val="00001518"/>
    <w:rsid w:val="0000188E"/>
    <w:rsid w:val="00001C00"/>
    <w:rsid w:val="00001D53"/>
    <w:rsid w:val="00001DD7"/>
    <w:rsid w:val="00001DE4"/>
    <w:rsid w:val="00001E06"/>
    <w:rsid w:val="000026E5"/>
    <w:rsid w:val="00002AB7"/>
    <w:rsid w:val="00002B55"/>
    <w:rsid w:val="00003108"/>
    <w:rsid w:val="00003B44"/>
    <w:rsid w:val="00004045"/>
    <w:rsid w:val="00004819"/>
    <w:rsid w:val="00004CAC"/>
    <w:rsid w:val="000054A7"/>
    <w:rsid w:val="000060AF"/>
    <w:rsid w:val="00007899"/>
    <w:rsid w:val="000078A8"/>
    <w:rsid w:val="00007DF3"/>
    <w:rsid w:val="0001006A"/>
    <w:rsid w:val="000102FE"/>
    <w:rsid w:val="00010372"/>
    <w:rsid w:val="00010713"/>
    <w:rsid w:val="00010DAF"/>
    <w:rsid w:val="00011594"/>
    <w:rsid w:val="000127E4"/>
    <w:rsid w:val="00012947"/>
    <w:rsid w:val="00012AFD"/>
    <w:rsid w:val="00012C0A"/>
    <w:rsid w:val="0001304A"/>
    <w:rsid w:val="00013051"/>
    <w:rsid w:val="00013096"/>
    <w:rsid w:val="00013726"/>
    <w:rsid w:val="000137D9"/>
    <w:rsid w:val="00013835"/>
    <w:rsid w:val="000138A4"/>
    <w:rsid w:val="00013F28"/>
    <w:rsid w:val="00013FA8"/>
    <w:rsid w:val="000140D6"/>
    <w:rsid w:val="000140EA"/>
    <w:rsid w:val="00014448"/>
    <w:rsid w:val="00014D8D"/>
    <w:rsid w:val="000154D1"/>
    <w:rsid w:val="0001592F"/>
    <w:rsid w:val="00015E20"/>
    <w:rsid w:val="000167AD"/>
    <w:rsid w:val="00016864"/>
    <w:rsid w:val="00016968"/>
    <w:rsid w:val="00016AF8"/>
    <w:rsid w:val="00016CF6"/>
    <w:rsid w:val="00016EDC"/>
    <w:rsid w:val="00016F08"/>
    <w:rsid w:val="00016FB0"/>
    <w:rsid w:val="00017742"/>
    <w:rsid w:val="00017E09"/>
    <w:rsid w:val="000204A1"/>
    <w:rsid w:val="00020644"/>
    <w:rsid w:val="00020835"/>
    <w:rsid w:val="00020D56"/>
    <w:rsid w:val="00020E3A"/>
    <w:rsid w:val="00021183"/>
    <w:rsid w:val="00021365"/>
    <w:rsid w:val="00021796"/>
    <w:rsid w:val="000218CB"/>
    <w:rsid w:val="000223A3"/>
    <w:rsid w:val="00022619"/>
    <w:rsid w:val="00023201"/>
    <w:rsid w:val="000236AB"/>
    <w:rsid w:val="0002391F"/>
    <w:rsid w:val="00024132"/>
    <w:rsid w:val="000241E9"/>
    <w:rsid w:val="00024223"/>
    <w:rsid w:val="00024459"/>
    <w:rsid w:val="00024A7F"/>
    <w:rsid w:val="00024AC4"/>
    <w:rsid w:val="00024CAC"/>
    <w:rsid w:val="00025037"/>
    <w:rsid w:val="0002506B"/>
    <w:rsid w:val="0002587C"/>
    <w:rsid w:val="0002587E"/>
    <w:rsid w:val="00025F4F"/>
    <w:rsid w:val="0002735B"/>
    <w:rsid w:val="00027396"/>
    <w:rsid w:val="00027608"/>
    <w:rsid w:val="0002778A"/>
    <w:rsid w:val="00027F05"/>
    <w:rsid w:val="00027FED"/>
    <w:rsid w:val="0003018D"/>
    <w:rsid w:val="000304BC"/>
    <w:rsid w:val="0003056B"/>
    <w:rsid w:val="00030B53"/>
    <w:rsid w:val="00030BB8"/>
    <w:rsid w:val="00030CA8"/>
    <w:rsid w:val="00030F34"/>
    <w:rsid w:val="00031C35"/>
    <w:rsid w:val="0003265A"/>
    <w:rsid w:val="000333C2"/>
    <w:rsid w:val="000339DC"/>
    <w:rsid w:val="00033A27"/>
    <w:rsid w:val="00033F4F"/>
    <w:rsid w:val="0003416B"/>
    <w:rsid w:val="000347AE"/>
    <w:rsid w:val="00034A0A"/>
    <w:rsid w:val="00034E30"/>
    <w:rsid w:val="00034EDD"/>
    <w:rsid w:val="000351C4"/>
    <w:rsid w:val="00035773"/>
    <w:rsid w:val="00035948"/>
    <w:rsid w:val="00035BCF"/>
    <w:rsid w:val="0003609B"/>
    <w:rsid w:val="00036447"/>
    <w:rsid w:val="0003650A"/>
    <w:rsid w:val="00036A19"/>
    <w:rsid w:val="00037106"/>
    <w:rsid w:val="000379D0"/>
    <w:rsid w:val="00037E87"/>
    <w:rsid w:val="0004051E"/>
    <w:rsid w:val="00040909"/>
    <w:rsid w:val="000409EA"/>
    <w:rsid w:val="00040DD9"/>
    <w:rsid w:val="00040E99"/>
    <w:rsid w:val="0004129C"/>
    <w:rsid w:val="000412D4"/>
    <w:rsid w:val="000413CA"/>
    <w:rsid w:val="000414E6"/>
    <w:rsid w:val="00041DB9"/>
    <w:rsid w:val="0004206C"/>
    <w:rsid w:val="0004238D"/>
    <w:rsid w:val="0004267F"/>
    <w:rsid w:val="00042820"/>
    <w:rsid w:val="00042ADD"/>
    <w:rsid w:val="00042B88"/>
    <w:rsid w:val="00042CA7"/>
    <w:rsid w:val="00042FF3"/>
    <w:rsid w:val="00043071"/>
    <w:rsid w:val="000432E3"/>
    <w:rsid w:val="000433FF"/>
    <w:rsid w:val="00043708"/>
    <w:rsid w:val="000438F7"/>
    <w:rsid w:val="000439D0"/>
    <w:rsid w:val="00043E1E"/>
    <w:rsid w:val="00044071"/>
    <w:rsid w:val="00044077"/>
    <w:rsid w:val="00044334"/>
    <w:rsid w:val="00044354"/>
    <w:rsid w:val="00045172"/>
    <w:rsid w:val="00045388"/>
    <w:rsid w:val="0004575A"/>
    <w:rsid w:val="0004575E"/>
    <w:rsid w:val="00045805"/>
    <w:rsid w:val="00045A4E"/>
    <w:rsid w:val="0004617E"/>
    <w:rsid w:val="000465ED"/>
    <w:rsid w:val="0004668E"/>
    <w:rsid w:val="00046A49"/>
    <w:rsid w:val="00046BE9"/>
    <w:rsid w:val="00046CAB"/>
    <w:rsid w:val="0004776B"/>
    <w:rsid w:val="00047AFF"/>
    <w:rsid w:val="00047C0F"/>
    <w:rsid w:val="00047DF5"/>
    <w:rsid w:val="00047F33"/>
    <w:rsid w:val="000508E3"/>
    <w:rsid w:val="000509FE"/>
    <w:rsid w:val="00051065"/>
    <w:rsid w:val="000512F0"/>
    <w:rsid w:val="00051690"/>
    <w:rsid w:val="00051B45"/>
    <w:rsid w:val="00051C0D"/>
    <w:rsid w:val="00051DED"/>
    <w:rsid w:val="00051F6F"/>
    <w:rsid w:val="000522CF"/>
    <w:rsid w:val="0005257B"/>
    <w:rsid w:val="000528C0"/>
    <w:rsid w:val="00052ADA"/>
    <w:rsid w:val="00053221"/>
    <w:rsid w:val="0005322E"/>
    <w:rsid w:val="0005351F"/>
    <w:rsid w:val="000539EA"/>
    <w:rsid w:val="00053FD8"/>
    <w:rsid w:val="00054378"/>
    <w:rsid w:val="00054689"/>
    <w:rsid w:val="00054AE4"/>
    <w:rsid w:val="00054B7C"/>
    <w:rsid w:val="00054C7C"/>
    <w:rsid w:val="000556FE"/>
    <w:rsid w:val="00055805"/>
    <w:rsid w:val="00055C80"/>
    <w:rsid w:val="00056430"/>
    <w:rsid w:val="00056FCF"/>
    <w:rsid w:val="00057265"/>
    <w:rsid w:val="00057416"/>
    <w:rsid w:val="000576BF"/>
    <w:rsid w:val="00057970"/>
    <w:rsid w:val="00057AD1"/>
    <w:rsid w:val="000600AB"/>
    <w:rsid w:val="0006014B"/>
    <w:rsid w:val="0006015B"/>
    <w:rsid w:val="0006079E"/>
    <w:rsid w:val="00060906"/>
    <w:rsid w:val="00060B72"/>
    <w:rsid w:val="00060BC8"/>
    <w:rsid w:val="00060D30"/>
    <w:rsid w:val="00061098"/>
    <w:rsid w:val="000610AC"/>
    <w:rsid w:val="0006115E"/>
    <w:rsid w:val="0006147D"/>
    <w:rsid w:val="00061C4A"/>
    <w:rsid w:val="00062DB3"/>
    <w:rsid w:val="00063669"/>
    <w:rsid w:val="00063965"/>
    <w:rsid w:val="00063AE1"/>
    <w:rsid w:val="00063EFD"/>
    <w:rsid w:val="00064503"/>
    <w:rsid w:val="00064644"/>
    <w:rsid w:val="00065C74"/>
    <w:rsid w:val="00065EC0"/>
    <w:rsid w:val="0006616F"/>
    <w:rsid w:val="000665DD"/>
    <w:rsid w:val="00066774"/>
    <w:rsid w:val="00066D8A"/>
    <w:rsid w:val="00067722"/>
    <w:rsid w:val="0006776E"/>
    <w:rsid w:val="00067800"/>
    <w:rsid w:val="000679FA"/>
    <w:rsid w:val="00067CC9"/>
    <w:rsid w:val="00067CE7"/>
    <w:rsid w:val="000702D0"/>
    <w:rsid w:val="000704C5"/>
    <w:rsid w:val="00070EE9"/>
    <w:rsid w:val="00070F39"/>
    <w:rsid w:val="00071165"/>
    <w:rsid w:val="00071661"/>
    <w:rsid w:val="00071787"/>
    <w:rsid w:val="00071DA7"/>
    <w:rsid w:val="0007216B"/>
    <w:rsid w:val="0007229D"/>
    <w:rsid w:val="000722E9"/>
    <w:rsid w:val="00072668"/>
    <w:rsid w:val="00072816"/>
    <w:rsid w:val="00072D5E"/>
    <w:rsid w:val="0007305C"/>
    <w:rsid w:val="00073109"/>
    <w:rsid w:val="0007380A"/>
    <w:rsid w:val="00074362"/>
    <w:rsid w:val="00074904"/>
    <w:rsid w:val="00074CE2"/>
    <w:rsid w:val="00074E5E"/>
    <w:rsid w:val="0007545A"/>
    <w:rsid w:val="0007621D"/>
    <w:rsid w:val="00076421"/>
    <w:rsid w:val="000769EF"/>
    <w:rsid w:val="00076B2B"/>
    <w:rsid w:val="00076C33"/>
    <w:rsid w:val="0007710F"/>
    <w:rsid w:val="00077308"/>
    <w:rsid w:val="000777AE"/>
    <w:rsid w:val="00077A3C"/>
    <w:rsid w:val="00077AD5"/>
    <w:rsid w:val="00080081"/>
    <w:rsid w:val="00080159"/>
    <w:rsid w:val="000803CF"/>
    <w:rsid w:val="000804BA"/>
    <w:rsid w:val="00081285"/>
    <w:rsid w:val="00081328"/>
    <w:rsid w:val="0008163B"/>
    <w:rsid w:val="00081B8E"/>
    <w:rsid w:val="00081F11"/>
    <w:rsid w:val="00081FB7"/>
    <w:rsid w:val="0008236F"/>
    <w:rsid w:val="000823B3"/>
    <w:rsid w:val="000823C2"/>
    <w:rsid w:val="0008252C"/>
    <w:rsid w:val="000826A2"/>
    <w:rsid w:val="0008283E"/>
    <w:rsid w:val="00082BB7"/>
    <w:rsid w:val="00083211"/>
    <w:rsid w:val="000836F7"/>
    <w:rsid w:val="000839DF"/>
    <w:rsid w:val="00083C6B"/>
    <w:rsid w:val="00083CB3"/>
    <w:rsid w:val="00084006"/>
    <w:rsid w:val="0008422B"/>
    <w:rsid w:val="000846C8"/>
    <w:rsid w:val="00084CC1"/>
    <w:rsid w:val="00085618"/>
    <w:rsid w:val="00086144"/>
    <w:rsid w:val="00087AE3"/>
    <w:rsid w:val="00087DC9"/>
    <w:rsid w:val="00090134"/>
    <w:rsid w:val="000902F2"/>
    <w:rsid w:val="00090A8E"/>
    <w:rsid w:val="00090B75"/>
    <w:rsid w:val="00090D24"/>
    <w:rsid w:val="00090E04"/>
    <w:rsid w:val="00090EFA"/>
    <w:rsid w:val="00090F71"/>
    <w:rsid w:val="000910AC"/>
    <w:rsid w:val="00091259"/>
    <w:rsid w:val="00091425"/>
    <w:rsid w:val="00091540"/>
    <w:rsid w:val="00091684"/>
    <w:rsid w:val="00091836"/>
    <w:rsid w:val="00091C86"/>
    <w:rsid w:val="00091D10"/>
    <w:rsid w:val="00091DEC"/>
    <w:rsid w:val="000923AA"/>
    <w:rsid w:val="000923FE"/>
    <w:rsid w:val="00092693"/>
    <w:rsid w:val="00092F05"/>
    <w:rsid w:val="00092FAB"/>
    <w:rsid w:val="00093056"/>
    <w:rsid w:val="00093812"/>
    <w:rsid w:val="00093F09"/>
    <w:rsid w:val="000940A4"/>
    <w:rsid w:val="00094280"/>
    <w:rsid w:val="000943E9"/>
    <w:rsid w:val="0009495F"/>
    <w:rsid w:val="000949C3"/>
    <w:rsid w:val="00094D0E"/>
    <w:rsid w:val="00094E06"/>
    <w:rsid w:val="00094EE7"/>
    <w:rsid w:val="00095049"/>
    <w:rsid w:val="00095450"/>
    <w:rsid w:val="0009564C"/>
    <w:rsid w:val="000957EB"/>
    <w:rsid w:val="00095A6D"/>
    <w:rsid w:val="00095E18"/>
    <w:rsid w:val="00096011"/>
    <w:rsid w:val="000964E6"/>
    <w:rsid w:val="00096DEC"/>
    <w:rsid w:val="000974B5"/>
    <w:rsid w:val="00097F1A"/>
    <w:rsid w:val="000A020B"/>
    <w:rsid w:val="000A024D"/>
    <w:rsid w:val="000A0A3D"/>
    <w:rsid w:val="000A0AA5"/>
    <w:rsid w:val="000A0C32"/>
    <w:rsid w:val="000A1BEE"/>
    <w:rsid w:val="000A22BE"/>
    <w:rsid w:val="000A2579"/>
    <w:rsid w:val="000A25F7"/>
    <w:rsid w:val="000A2BB1"/>
    <w:rsid w:val="000A2CF7"/>
    <w:rsid w:val="000A2F32"/>
    <w:rsid w:val="000A332D"/>
    <w:rsid w:val="000A36CB"/>
    <w:rsid w:val="000A37E9"/>
    <w:rsid w:val="000A3A0B"/>
    <w:rsid w:val="000A45ED"/>
    <w:rsid w:val="000A6110"/>
    <w:rsid w:val="000A6224"/>
    <w:rsid w:val="000A64D8"/>
    <w:rsid w:val="000A6501"/>
    <w:rsid w:val="000A69AF"/>
    <w:rsid w:val="000A6E64"/>
    <w:rsid w:val="000A72BD"/>
    <w:rsid w:val="000A775C"/>
    <w:rsid w:val="000A7896"/>
    <w:rsid w:val="000A7AE4"/>
    <w:rsid w:val="000A7D62"/>
    <w:rsid w:val="000A7EAD"/>
    <w:rsid w:val="000A7F8B"/>
    <w:rsid w:val="000B0D74"/>
    <w:rsid w:val="000B1779"/>
    <w:rsid w:val="000B18A6"/>
    <w:rsid w:val="000B197E"/>
    <w:rsid w:val="000B19D0"/>
    <w:rsid w:val="000B1ADA"/>
    <w:rsid w:val="000B1B3F"/>
    <w:rsid w:val="000B1BB1"/>
    <w:rsid w:val="000B1C8D"/>
    <w:rsid w:val="000B20EC"/>
    <w:rsid w:val="000B2200"/>
    <w:rsid w:val="000B246D"/>
    <w:rsid w:val="000B2D39"/>
    <w:rsid w:val="000B2FAE"/>
    <w:rsid w:val="000B35A3"/>
    <w:rsid w:val="000B3DE2"/>
    <w:rsid w:val="000B3E43"/>
    <w:rsid w:val="000B403D"/>
    <w:rsid w:val="000B4445"/>
    <w:rsid w:val="000B4845"/>
    <w:rsid w:val="000B4DF8"/>
    <w:rsid w:val="000B5C8E"/>
    <w:rsid w:val="000B5FBC"/>
    <w:rsid w:val="000B6147"/>
    <w:rsid w:val="000B63A4"/>
    <w:rsid w:val="000B730F"/>
    <w:rsid w:val="000C0104"/>
    <w:rsid w:val="000C0185"/>
    <w:rsid w:val="000C06E9"/>
    <w:rsid w:val="000C06F1"/>
    <w:rsid w:val="000C0780"/>
    <w:rsid w:val="000C0E58"/>
    <w:rsid w:val="000C164A"/>
    <w:rsid w:val="000C170C"/>
    <w:rsid w:val="000C1F21"/>
    <w:rsid w:val="000C21BE"/>
    <w:rsid w:val="000C2563"/>
    <w:rsid w:val="000C273B"/>
    <w:rsid w:val="000C2A6B"/>
    <w:rsid w:val="000C2A6D"/>
    <w:rsid w:val="000C2BF2"/>
    <w:rsid w:val="000C2E1B"/>
    <w:rsid w:val="000C2F0F"/>
    <w:rsid w:val="000C31AC"/>
    <w:rsid w:val="000C338A"/>
    <w:rsid w:val="000C3D6B"/>
    <w:rsid w:val="000C3EDC"/>
    <w:rsid w:val="000C410D"/>
    <w:rsid w:val="000C41C8"/>
    <w:rsid w:val="000C4456"/>
    <w:rsid w:val="000C46D3"/>
    <w:rsid w:val="000C4973"/>
    <w:rsid w:val="000C5499"/>
    <w:rsid w:val="000C54F5"/>
    <w:rsid w:val="000C56CC"/>
    <w:rsid w:val="000C56E2"/>
    <w:rsid w:val="000C5D85"/>
    <w:rsid w:val="000C62EC"/>
    <w:rsid w:val="000C673E"/>
    <w:rsid w:val="000C6AF5"/>
    <w:rsid w:val="000C6ED9"/>
    <w:rsid w:val="000C72E1"/>
    <w:rsid w:val="000C7AF8"/>
    <w:rsid w:val="000D021D"/>
    <w:rsid w:val="000D07FC"/>
    <w:rsid w:val="000D0989"/>
    <w:rsid w:val="000D0F6C"/>
    <w:rsid w:val="000D1160"/>
    <w:rsid w:val="000D14BD"/>
    <w:rsid w:val="000D1650"/>
    <w:rsid w:val="000D2353"/>
    <w:rsid w:val="000D23A7"/>
    <w:rsid w:val="000D27EC"/>
    <w:rsid w:val="000D317E"/>
    <w:rsid w:val="000D3514"/>
    <w:rsid w:val="000D3ABB"/>
    <w:rsid w:val="000D440B"/>
    <w:rsid w:val="000D47D6"/>
    <w:rsid w:val="000D4ECA"/>
    <w:rsid w:val="000D4F86"/>
    <w:rsid w:val="000D59B0"/>
    <w:rsid w:val="000D5AD5"/>
    <w:rsid w:val="000D5D4B"/>
    <w:rsid w:val="000D5F88"/>
    <w:rsid w:val="000D63A6"/>
    <w:rsid w:val="000D6B66"/>
    <w:rsid w:val="000D6CBE"/>
    <w:rsid w:val="000D6F0B"/>
    <w:rsid w:val="000D7462"/>
    <w:rsid w:val="000D76A4"/>
    <w:rsid w:val="000E013A"/>
    <w:rsid w:val="000E0167"/>
    <w:rsid w:val="000E046A"/>
    <w:rsid w:val="000E0572"/>
    <w:rsid w:val="000E099D"/>
    <w:rsid w:val="000E0B4F"/>
    <w:rsid w:val="000E0CFA"/>
    <w:rsid w:val="000E10B7"/>
    <w:rsid w:val="000E1554"/>
    <w:rsid w:val="000E1DAA"/>
    <w:rsid w:val="000E1E7D"/>
    <w:rsid w:val="000E213B"/>
    <w:rsid w:val="000E25C5"/>
    <w:rsid w:val="000E2C9B"/>
    <w:rsid w:val="000E30AA"/>
    <w:rsid w:val="000E3C6C"/>
    <w:rsid w:val="000E3E35"/>
    <w:rsid w:val="000E42FB"/>
    <w:rsid w:val="000E4301"/>
    <w:rsid w:val="000E4550"/>
    <w:rsid w:val="000E4862"/>
    <w:rsid w:val="000E496C"/>
    <w:rsid w:val="000E4C8E"/>
    <w:rsid w:val="000E4FA7"/>
    <w:rsid w:val="000E5414"/>
    <w:rsid w:val="000E5763"/>
    <w:rsid w:val="000E5E8D"/>
    <w:rsid w:val="000E6092"/>
    <w:rsid w:val="000E63C8"/>
    <w:rsid w:val="000E65E9"/>
    <w:rsid w:val="000E712C"/>
    <w:rsid w:val="000E7595"/>
    <w:rsid w:val="000F0013"/>
    <w:rsid w:val="000F005B"/>
    <w:rsid w:val="000F00F6"/>
    <w:rsid w:val="000F030F"/>
    <w:rsid w:val="000F0738"/>
    <w:rsid w:val="000F0A0F"/>
    <w:rsid w:val="000F0FB6"/>
    <w:rsid w:val="000F1012"/>
    <w:rsid w:val="000F11E9"/>
    <w:rsid w:val="000F1B55"/>
    <w:rsid w:val="000F1FB2"/>
    <w:rsid w:val="000F219E"/>
    <w:rsid w:val="000F2421"/>
    <w:rsid w:val="000F24D8"/>
    <w:rsid w:val="000F2840"/>
    <w:rsid w:val="000F2A2D"/>
    <w:rsid w:val="000F2FBD"/>
    <w:rsid w:val="000F3016"/>
    <w:rsid w:val="000F35E3"/>
    <w:rsid w:val="000F3862"/>
    <w:rsid w:val="000F3B07"/>
    <w:rsid w:val="000F3E8C"/>
    <w:rsid w:val="000F4425"/>
    <w:rsid w:val="000F4923"/>
    <w:rsid w:val="000F4BB4"/>
    <w:rsid w:val="000F4CF9"/>
    <w:rsid w:val="000F4E11"/>
    <w:rsid w:val="000F596F"/>
    <w:rsid w:val="000F5DAD"/>
    <w:rsid w:val="000F5E9E"/>
    <w:rsid w:val="000F6255"/>
    <w:rsid w:val="000F6445"/>
    <w:rsid w:val="000F64F5"/>
    <w:rsid w:val="000F6505"/>
    <w:rsid w:val="000F6577"/>
    <w:rsid w:val="000F65B5"/>
    <w:rsid w:val="000F6826"/>
    <w:rsid w:val="000F691B"/>
    <w:rsid w:val="000F6B1D"/>
    <w:rsid w:val="000F6B4D"/>
    <w:rsid w:val="000F6BA0"/>
    <w:rsid w:val="000F6BEF"/>
    <w:rsid w:val="000F7256"/>
    <w:rsid w:val="000F73A9"/>
    <w:rsid w:val="000F7487"/>
    <w:rsid w:val="000F75B6"/>
    <w:rsid w:val="000F763A"/>
    <w:rsid w:val="000F7A86"/>
    <w:rsid w:val="000F7FF2"/>
    <w:rsid w:val="00100224"/>
    <w:rsid w:val="0010044D"/>
    <w:rsid w:val="0010054D"/>
    <w:rsid w:val="001007CF"/>
    <w:rsid w:val="00100BBE"/>
    <w:rsid w:val="00101862"/>
    <w:rsid w:val="00101BD7"/>
    <w:rsid w:val="00101F0B"/>
    <w:rsid w:val="001021B2"/>
    <w:rsid w:val="001023B7"/>
    <w:rsid w:val="0010319B"/>
    <w:rsid w:val="00103229"/>
    <w:rsid w:val="00103BAA"/>
    <w:rsid w:val="00103BC2"/>
    <w:rsid w:val="00103D0D"/>
    <w:rsid w:val="00103E70"/>
    <w:rsid w:val="00104026"/>
    <w:rsid w:val="00104038"/>
    <w:rsid w:val="00104296"/>
    <w:rsid w:val="00104446"/>
    <w:rsid w:val="00104C2B"/>
    <w:rsid w:val="00104DEC"/>
    <w:rsid w:val="00104F5B"/>
    <w:rsid w:val="001050F6"/>
    <w:rsid w:val="001057D8"/>
    <w:rsid w:val="00105AD4"/>
    <w:rsid w:val="00105DFE"/>
    <w:rsid w:val="00105F83"/>
    <w:rsid w:val="0010617A"/>
    <w:rsid w:val="001063FA"/>
    <w:rsid w:val="00106469"/>
    <w:rsid w:val="001069CB"/>
    <w:rsid w:val="00106A64"/>
    <w:rsid w:val="00106C69"/>
    <w:rsid w:val="00106F36"/>
    <w:rsid w:val="0010757F"/>
    <w:rsid w:val="00107985"/>
    <w:rsid w:val="00107C58"/>
    <w:rsid w:val="00110185"/>
    <w:rsid w:val="00110546"/>
    <w:rsid w:val="00110969"/>
    <w:rsid w:val="001109D8"/>
    <w:rsid w:val="00110FD0"/>
    <w:rsid w:val="00111176"/>
    <w:rsid w:val="001112A7"/>
    <w:rsid w:val="0011169E"/>
    <w:rsid w:val="001116A0"/>
    <w:rsid w:val="00111804"/>
    <w:rsid w:val="00111813"/>
    <w:rsid w:val="001122DD"/>
    <w:rsid w:val="00112411"/>
    <w:rsid w:val="001127D6"/>
    <w:rsid w:val="00113047"/>
    <w:rsid w:val="00113216"/>
    <w:rsid w:val="0011364B"/>
    <w:rsid w:val="0011382D"/>
    <w:rsid w:val="00113854"/>
    <w:rsid w:val="00113BB3"/>
    <w:rsid w:val="00113DEA"/>
    <w:rsid w:val="00114464"/>
    <w:rsid w:val="00114CFB"/>
    <w:rsid w:val="00115293"/>
    <w:rsid w:val="0011576A"/>
    <w:rsid w:val="00115851"/>
    <w:rsid w:val="00115BE8"/>
    <w:rsid w:val="00115C9D"/>
    <w:rsid w:val="00116454"/>
    <w:rsid w:val="00116937"/>
    <w:rsid w:val="00116AF7"/>
    <w:rsid w:val="00117373"/>
    <w:rsid w:val="00117481"/>
    <w:rsid w:val="001174E4"/>
    <w:rsid w:val="0011763B"/>
    <w:rsid w:val="001209F6"/>
    <w:rsid w:val="00120DE6"/>
    <w:rsid w:val="00122234"/>
    <w:rsid w:val="001223D0"/>
    <w:rsid w:val="001224CA"/>
    <w:rsid w:val="00122A66"/>
    <w:rsid w:val="0012364D"/>
    <w:rsid w:val="00123A92"/>
    <w:rsid w:val="00123D92"/>
    <w:rsid w:val="00123DCC"/>
    <w:rsid w:val="0012418F"/>
    <w:rsid w:val="001241E5"/>
    <w:rsid w:val="00124537"/>
    <w:rsid w:val="00124546"/>
    <w:rsid w:val="0012465C"/>
    <w:rsid w:val="0012483F"/>
    <w:rsid w:val="00124CEC"/>
    <w:rsid w:val="00124D5A"/>
    <w:rsid w:val="00124F67"/>
    <w:rsid w:val="00125111"/>
    <w:rsid w:val="00125478"/>
    <w:rsid w:val="0012686B"/>
    <w:rsid w:val="00126903"/>
    <w:rsid w:val="0012718E"/>
    <w:rsid w:val="00127758"/>
    <w:rsid w:val="00127BE8"/>
    <w:rsid w:val="00127D9A"/>
    <w:rsid w:val="001301B7"/>
    <w:rsid w:val="00130299"/>
    <w:rsid w:val="00130B16"/>
    <w:rsid w:val="00130BEE"/>
    <w:rsid w:val="00130D44"/>
    <w:rsid w:val="00130FDD"/>
    <w:rsid w:val="00131F36"/>
    <w:rsid w:val="00132AEA"/>
    <w:rsid w:val="00132EF4"/>
    <w:rsid w:val="001333F0"/>
    <w:rsid w:val="00133A41"/>
    <w:rsid w:val="00133A91"/>
    <w:rsid w:val="00134262"/>
    <w:rsid w:val="00134880"/>
    <w:rsid w:val="00134EC3"/>
    <w:rsid w:val="0013510D"/>
    <w:rsid w:val="00135726"/>
    <w:rsid w:val="00135887"/>
    <w:rsid w:val="00135EDD"/>
    <w:rsid w:val="001360F5"/>
    <w:rsid w:val="001364B5"/>
    <w:rsid w:val="0013659F"/>
    <w:rsid w:val="001367BA"/>
    <w:rsid w:val="00136871"/>
    <w:rsid w:val="00136A68"/>
    <w:rsid w:val="00136ACD"/>
    <w:rsid w:val="00137042"/>
    <w:rsid w:val="00137F89"/>
    <w:rsid w:val="001405C2"/>
    <w:rsid w:val="0014061E"/>
    <w:rsid w:val="00140B3F"/>
    <w:rsid w:val="00141093"/>
    <w:rsid w:val="001411CA"/>
    <w:rsid w:val="0014138F"/>
    <w:rsid w:val="001415CF"/>
    <w:rsid w:val="001418C7"/>
    <w:rsid w:val="001418FC"/>
    <w:rsid w:val="00141F55"/>
    <w:rsid w:val="00142077"/>
    <w:rsid w:val="0014210B"/>
    <w:rsid w:val="00142304"/>
    <w:rsid w:val="001425B9"/>
    <w:rsid w:val="00142D10"/>
    <w:rsid w:val="0014322E"/>
    <w:rsid w:val="00143597"/>
    <w:rsid w:val="00143598"/>
    <w:rsid w:val="0014387A"/>
    <w:rsid w:val="00143F69"/>
    <w:rsid w:val="00143F80"/>
    <w:rsid w:val="001442F8"/>
    <w:rsid w:val="0014432C"/>
    <w:rsid w:val="0014459A"/>
    <w:rsid w:val="001447C8"/>
    <w:rsid w:val="00144994"/>
    <w:rsid w:val="00144F0C"/>
    <w:rsid w:val="001456B6"/>
    <w:rsid w:val="00145899"/>
    <w:rsid w:val="00145B5E"/>
    <w:rsid w:val="00145B8C"/>
    <w:rsid w:val="00145D14"/>
    <w:rsid w:val="00145E41"/>
    <w:rsid w:val="00145F6C"/>
    <w:rsid w:val="0014602B"/>
    <w:rsid w:val="0014649E"/>
    <w:rsid w:val="00146861"/>
    <w:rsid w:val="00146A67"/>
    <w:rsid w:val="00146C68"/>
    <w:rsid w:val="00146EA9"/>
    <w:rsid w:val="001470D0"/>
    <w:rsid w:val="001474FE"/>
    <w:rsid w:val="00147834"/>
    <w:rsid w:val="00147878"/>
    <w:rsid w:val="00147D16"/>
    <w:rsid w:val="00147D74"/>
    <w:rsid w:val="0015021D"/>
    <w:rsid w:val="001503AB"/>
    <w:rsid w:val="00150BA5"/>
    <w:rsid w:val="00150C32"/>
    <w:rsid w:val="00150CA4"/>
    <w:rsid w:val="00150EF7"/>
    <w:rsid w:val="001511A0"/>
    <w:rsid w:val="00151393"/>
    <w:rsid w:val="00151584"/>
    <w:rsid w:val="00151831"/>
    <w:rsid w:val="001522CA"/>
    <w:rsid w:val="001524C2"/>
    <w:rsid w:val="00152BEA"/>
    <w:rsid w:val="00152F3B"/>
    <w:rsid w:val="001531EE"/>
    <w:rsid w:val="001534F6"/>
    <w:rsid w:val="0015396E"/>
    <w:rsid w:val="00153BD9"/>
    <w:rsid w:val="001540A3"/>
    <w:rsid w:val="0015492B"/>
    <w:rsid w:val="001549EF"/>
    <w:rsid w:val="00154A97"/>
    <w:rsid w:val="001552C9"/>
    <w:rsid w:val="001556E4"/>
    <w:rsid w:val="00155E9A"/>
    <w:rsid w:val="001562C4"/>
    <w:rsid w:val="00156431"/>
    <w:rsid w:val="001564F9"/>
    <w:rsid w:val="001572EC"/>
    <w:rsid w:val="00157581"/>
    <w:rsid w:val="001575E4"/>
    <w:rsid w:val="0015761B"/>
    <w:rsid w:val="00157D54"/>
    <w:rsid w:val="00160176"/>
    <w:rsid w:val="00160F05"/>
    <w:rsid w:val="00160FC2"/>
    <w:rsid w:val="00161767"/>
    <w:rsid w:val="00162324"/>
    <w:rsid w:val="00162883"/>
    <w:rsid w:val="00162888"/>
    <w:rsid w:val="00162C73"/>
    <w:rsid w:val="00162F70"/>
    <w:rsid w:val="00163502"/>
    <w:rsid w:val="00163B60"/>
    <w:rsid w:val="00163D04"/>
    <w:rsid w:val="00163E46"/>
    <w:rsid w:val="00163EDF"/>
    <w:rsid w:val="00164245"/>
    <w:rsid w:val="00164CA5"/>
    <w:rsid w:val="001650E5"/>
    <w:rsid w:val="00165289"/>
    <w:rsid w:val="00165503"/>
    <w:rsid w:val="001658F4"/>
    <w:rsid w:val="00165D99"/>
    <w:rsid w:val="00166089"/>
    <w:rsid w:val="001662E1"/>
    <w:rsid w:val="001664F3"/>
    <w:rsid w:val="00166D01"/>
    <w:rsid w:val="00166DA3"/>
    <w:rsid w:val="00166F82"/>
    <w:rsid w:val="00167576"/>
    <w:rsid w:val="00167739"/>
    <w:rsid w:val="0016799D"/>
    <w:rsid w:val="00167B46"/>
    <w:rsid w:val="00170266"/>
    <w:rsid w:val="001703B7"/>
    <w:rsid w:val="0017106E"/>
    <w:rsid w:val="00171145"/>
    <w:rsid w:val="001715F5"/>
    <w:rsid w:val="00172209"/>
    <w:rsid w:val="0017273E"/>
    <w:rsid w:val="00173289"/>
    <w:rsid w:val="001736C6"/>
    <w:rsid w:val="00173921"/>
    <w:rsid w:val="0017430D"/>
    <w:rsid w:val="00174C84"/>
    <w:rsid w:val="00174ED6"/>
    <w:rsid w:val="00174EFB"/>
    <w:rsid w:val="00174F4D"/>
    <w:rsid w:val="00175803"/>
    <w:rsid w:val="001758AE"/>
    <w:rsid w:val="00175DA7"/>
    <w:rsid w:val="0017601E"/>
    <w:rsid w:val="001760AA"/>
    <w:rsid w:val="00176B4E"/>
    <w:rsid w:val="00176CE1"/>
    <w:rsid w:val="00176F89"/>
    <w:rsid w:val="00177014"/>
    <w:rsid w:val="001770F9"/>
    <w:rsid w:val="00177447"/>
    <w:rsid w:val="0017758D"/>
    <w:rsid w:val="0018001A"/>
    <w:rsid w:val="001805D4"/>
    <w:rsid w:val="001806AF"/>
    <w:rsid w:val="00180884"/>
    <w:rsid w:val="0018142F"/>
    <w:rsid w:val="00181513"/>
    <w:rsid w:val="00181927"/>
    <w:rsid w:val="001819D6"/>
    <w:rsid w:val="00182114"/>
    <w:rsid w:val="00182AFC"/>
    <w:rsid w:val="00182C51"/>
    <w:rsid w:val="00182DC9"/>
    <w:rsid w:val="00182FD6"/>
    <w:rsid w:val="0018412F"/>
    <w:rsid w:val="00184136"/>
    <w:rsid w:val="00184444"/>
    <w:rsid w:val="001846DD"/>
    <w:rsid w:val="00184868"/>
    <w:rsid w:val="001849BA"/>
    <w:rsid w:val="00184ED5"/>
    <w:rsid w:val="00185A75"/>
    <w:rsid w:val="0018604B"/>
    <w:rsid w:val="00186093"/>
    <w:rsid w:val="00186309"/>
    <w:rsid w:val="001867D9"/>
    <w:rsid w:val="001869E2"/>
    <w:rsid w:val="00186B13"/>
    <w:rsid w:val="00186BD3"/>
    <w:rsid w:val="00187200"/>
    <w:rsid w:val="001877FA"/>
    <w:rsid w:val="00187D5B"/>
    <w:rsid w:val="00187E24"/>
    <w:rsid w:val="00190022"/>
    <w:rsid w:val="00190837"/>
    <w:rsid w:val="001908B0"/>
    <w:rsid w:val="00190903"/>
    <w:rsid w:val="00191588"/>
    <w:rsid w:val="00191A25"/>
    <w:rsid w:val="00191BE0"/>
    <w:rsid w:val="001926E5"/>
    <w:rsid w:val="00192984"/>
    <w:rsid w:val="00192C44"/>
    <w:rsid w:val="0019385A"/>
    <w:rsid w:val="00193BDE"/>
    <w:rsid w:val="00193DA4"/>
    <w:rsid w:val="00194110"/>
    <w:rsid w:val="001941D6"/>
    <w:rsid w:val="001947D7"/>
    <w:rsid w:val="00194962"/>
    <w:rsid w:val="00194AD2"/>
    <w:rsid w:val="00194BE5"/>
    <w:rsid w:val="00194CA8"/>
    <w:rsid w:val="00194DC2"/>
    <w:rsid w:val="00194F6C"/>
    <w:rsid w:val="001950F5"/>
    <w:rsid w:val="00195289"/>
    <w:rsid w:val="0019534E"/>
    <w:rsid w:val="001957E4"/>
    <w:rsid w:val="00195A37"/>
    <w:rsid w:val="0019655E"/>
    <w:rsid w:val="00196AFA"/>
    <w:rsid w:val="0019799A"/>
    <w:rsid w:val="001A0DE4"/>
    <w:rsid w:val="001A0FAF"/>
    <w:rsid w:val="001A117B"/>
    <w:rsid w:val="001A1609"/>
    <w:rsid w:val="001A1646"/>
    <w:rsid w:val="001A203F"/>
    <w:rsid w:val="001A23A7"/>
    <w:rsid w:val="001A24F4"/>
    <w:rsid w:val="001A2991"/>
    <w:rsid w:val="001A347B"/>
    <w:rsid w:val="001A3B25"/>
    <w:rsid w:val="001A3CFB"/>
    <w:rsid w:val="001A4351"/>
    <w:rsid w:val="001A43AB"/>
    <w:rsid w:val="001A4816"/>
    <w:rsid w:val="001A4DFD"/>
    <w:rsid w:val="001A4E19"/>
    <w:rsid w:val="001A5069"/>
    <w:rsid w:val="001A5D4A"/>
    <w:rsid w:val="001A5E8E"/>
    <w:rsid w:val="001A6607"/>
    <w:rsid w:val="001A77C2"/>
    <w:rsid w:val="001A7B71"/>
    <w:rsid w:val="001B0265"/>
    <w:rsid w:val="001B0F75"/>
    <w:rsid w:val="001B16D8"/>
    <w:rsid w:val="001B2039"/>
    <w:rsid w:val="001B22A4"/>
    <w:rsid w:val="001B23F9"/>
    <w:rsid w:val="001B24B3"/>
    <w:rsid w:val="001B2696"/>
    <w:rsid w:val="001B2DA6"/>
    <w:rsid w:val="001B4337"/>
    <w:rsid w:val="001B47AD"/>
    <w:rsid w:val="001B4DAE"/>
    <w:rsid w:val="001B4ECD"/>
    <w:rsid w:val="001B559F"/>
    <w:rsid w:val="001B5670"/>
    <w:rsid w:val="001B5962"/>
    <w:rsid w:val="001B614A"/>
    <w:rsid w:val="001B62B4"/>
    <w:rsid w:val="001B6976"/>
    <w:rsid w:val="001B69A9"/>
    <w:rsid w:val="001B6BB7"/>
    <w:rsid w:val="001B6C03"/>
    <w:rsid w:val="001B791A"/>
    <w:rsid w:val="001C02BA"/>
    <w:rsid w:val="001C0A5E"/>
    <w:rsid w:val="001C0DF3"/>
    <w:rsid w:val="001C0E12"/>
    <w:rsid w:val="001C1303"/>
    <w:rsid w:val="001C169F"/>
    <w:rsid w:val="001C1905"/>
    <w:rsid w:val="001C1A64"/>
    <w:rsid w:val="001C29BE"/>
    <w:rsid w:val="001C2F5F"/>
    <w:rsid w:val="001C34B0"/>
    <w:rsid w:val="001C3645"/>
    <w:rsid w:val="001C39C8"/>
    <w:rsid w:val="001C3B97"/>
    <w:rsid w:val="001C3BBC"/>
    <w:rsid w:val="001C40F6"/>
    <w:rsid w:val="001C43CD"/>
    <w:rsid w:val="001C4479"/>
    <w:rsid w:val="001C45D0"/>
    <w:rsid w:val="001C4D0A"/>
    <w:rsid w:val="001C50BE"/>
    <w:rsid w:val="001C5AF0"/>
    <w:rsid w:val="001C6801"/>
    <w:rsid w:val="001C6FCE"/>
    <w:rsid w:val="001C743C"/>
    <w:rsid w:val="001C74EC"/>
    <w:rsid w:val="001C7BEE"/>
    <w:rsid w:val="001D01D7"/>
    <w:rsid w:val="001D04F8"/>
    <w:rsid w:val="001D09E3"/>
    <w:rsid w:val="001D0A2F"/>
    <w:rsid w:val="001D0D4C"/>
    <w:rsid w:val="001D0D75"/>
    <w:rsid w:val="001D112B"/>
    <w:rsid w:val="001D18BC"/>
    <w:rsid w:val="001D1ECB"/>
    <w:rsid w:val="001D2728"/>
    <w:rsid w:val="001D2B7D"/>
    <w:rsid w:val="001D32DB"/>
    <w:rsid w:val="001D3897"/>
    <w:rsid w:val="001D38BF"/>
    <w:rsid w:val="001D398C"/>
    <w:rsid w:val="001D3C42"/>
    <w:rsid w:val="001D3DF9"/>
    <w:rsid w:val="001D4669"/>
    <w:rsid w:val="001D471E"/>
    <w:rsid w:val="001D480F"/>
    <w:rsid w:val="001D4D2C"/>
    <w:rsid w:val="001D5118"/>
    <w:rsid w:val="001D526D"/>
    <w:rsid w:val="001D5331"/>
    <w:rsid w:val="001D53B5"/>
    <w:rsid w:val="001D53D6"/>
    <w:rsid w:val="001D5448"/>
    <w:rsid w:val="001D5C36"/>
    <w:rsid w:val="001D5C51"/>
    <w:rsid w:val="001D5E8B"/>
    <w:rsid w:val="001D5ECC"/>
    <w:rsid w:val="001D6528"/>
    <w:rsid w:val="001D669B"/>
    <w:rsid w:val="001D6C6A"/>
    <w:rsid w:val="001D7164"/>
    <w:rsid w:val="001D738C"/>
    <w:rsid w:val="001D73FA"/>
    <w:rsid w:val="001D774B"/>
    <w:rsid w:val="001D79F7"/>
    <w:rsid w:val="001D7BD2"/>
    <w:rsid w:val="001E038D"/>
    <w:rsid w:val="001E0580"/>
    <w:rsid w:val="001E0E9C"/>
    <w:rsid w:val="001E1067"/>
    <w:rsid w:val="001E10EF"/>
    <w:rsid w:val="001E1327"/>
    <w:rsid w:val="001E132B"/>
    <w:rsid w:val="001E1811"/>
    <w:rsid w:val="001E19AA"/>
    <w:rsid w:val="001E1EBB"/>
    <w:rsid w:val="001E1F35"/>
    <w:rsid w:val="001E2602"/>
    <w:rsid w:val="001E2859"/>
    <w:rsid w:val="001E28A2"/>
    <w:rsid w:val="001E2FC5"/>
    <w:rsid w:val="001E3DF3"/>
    <w:rsid w:val="001E3ED0"/>
    <w:rsid w:val="001E4FD2"/>
    <w:rsid w:val="001E4FEA"/>
    <w:rsid w:val="001E50D4"/>
    <w:rsid w:val="001E5417"/>
    <w:rsid w:val="001E586F"/>
    <w:rsid w:val="001E5FF7"/>
    <w:rsid w:val="001E6435"/>
    <w:rsid w:val="001E65EA"/>
    <w:rsid w:val="001E706C"/>
    <w:rsid w:val="001E7820"/>
    <w:rsid w:val="001E7922"/>
    <w:rsid w:val="001E79D3"/>
    <w:rsid w:val="001E7A5F"/>
    <w:rsid w:val="001F0896"/>
    <w:rsid w:val="001F14EF"/>
    <w:rsid w:val="001F1A07"/>
    <w:rsid w:val="001F1B47"/>
    <w:rsid w:val="001F1EEF"/>
    <w:rsid w:val="001F1FF3"/>
    <w:rsid w:val="001F37AF"/>
    <w:rsid w:val="001F3881"/>
    <w:rsid w:val="001F3887"/>
    <w:rsid w:val="001F3C5A"/>
    <w:rsid w:val="001F3FA9"/>
    <w:rsid w:val="001F40E3"/>
    <w:rsid w:val="001F43C2"/>
    <w:rsid w:val="001F4A2F"/>
    <w:rsid w:val="001F4B3D"/>
    <w:rsid w:val="001F4ED5"/>
    <w:rsid w:val="001F4FCB"/>
    <w:rsid w:val="001F554B"/>
    <w:rsid w:val="001F5613"/>
    <w:rsid w:val="001F582B"/>
    <w:rsid w:val="001F6199"/>
    <w:rsid w:val="001F6877"/>
    <w:rsid w:val="001F6D79"/>
    <w:rsid w:val="001F6FB5"/>
    <w:rsid w:val="002005A2"/>
    <w:rsid w:val="00200E5F"/>
    <w:rsid w:val="00200FE6"/>
    <w:rsid w:val="0020133E"/>
    <w:rsid w:val="00201D7A"/>
    <w:rsid w:val="00201FBD"/>
    <w:rsid w:val="0020271B"/>
    <w:rsid w:val="00202782"/>
    <w:rsid w:val="002028AD"/>
    <w:rsid w:val="002030A3"/>
    <w:rsid w:val="00204FF0"/>
    <w:rsid w:val="0020525E"/>
    <w:rsid w:val="002054A0"/>
    <w:rsid w:val="00205921"/>
    <w:rsid w:val="0020599C"/>
    <w:rsid w:val="002059A3"/>
    <w:rsid w:val="00205A0C"/>
    <w:rsid w:val="00205AB0"/>
    <w:rsid w:val="00206407"/>
    <w:rsid w:val="00206A5D"/>
    <w:rsid w:val="00206DD7"/>
    <w:rsid w:val="00207D0C"/>
    <w:rsid w:val="002103C0"/>
    <w:rsid w:val="00210874"/>
    <w:rsid w:val="00210BAB"/>
    <w:rsid w:val="00210C7E"/>
    <w:rsid w:val="00210ECC"/>
    <w:rsid w:val="0021137D"/>
    <w:rsid w:val="0021145F"/>
    <w:rsid w:val="00211616"/>
    <w:rsid w:val="00211DE4"/>
    <w:rsid w:val="00211F29"/>
    <w:rsid w:val="002123D5"/>
    <w:rsid w:val="00212466"/>
    <w:rsid w:val="0021256A"/>
    <w:rsid w:val="00212662"/>
    <w:rsid w:val="002128FB"/>
    <w:rsid w:val="002130D3"/>
    <w:rsid w:val="002135B9"/>
    <w:rsid w:val="00213654"/>
    <w:rsid w:val="0021374D"/>
    <w:rsid w:val="00213822"/>
    <w:rsid w:val="00213823"/>
    <w:rsid w:val="00213BA4"/>
    <w:rsid w:val="00213E5A"/>
    <w:rsid w:val="002141D5"/>
    <w:rsid w:val="0021477B"/>
    <w:rsid w:val="00215845"/>
    <w:rsid w:val="00215A69"/>
    <w:rsid w:val="00215CC6"/>
    <w:rsid w:val="00216553"/>
    <w:rsid w:val="00216705"/>
    <w:rsid w:val="00216F5A"/>
    <w:rsid w:val="00217174"/>
    <w:rsid w:val="00217D04"/>
    <w:rsid w:val="00220091"/>
    <w:rsid w:val="00220236"/>
    <w:rsid w:val="002204C9"/>
    <w:rsid w:val="0022085B"/>
    <w:rsid w:val="00220F3A"/>
    <w:rsid w:val="002210C2"/>
    <w:rsid w:val="00221553"/>
    <w:rsid w:val="00221F4F"/>
    <w:rsid w:val="0022231A"/>
    <w:rsid w:val="002225BF"/>
    <w:rsid w:val="002228AF"/>
    <w:rsid w:val="00222CA9"/>
    <w:rsid w:val="00222DD4"/>
    <w:rsid w:val="00222F6C"/>
    <w:rsid w:val="00223508"/>
    <w:rsid w:val="00223690"/>
    <w:rsid w:val="0022379B"/>
    <w:rsid w:val="00223D71"/>
    <w:rsid w:val="00223DD3"/>
    <w:rsid w:val="002241C1"/>
    <w:rsid w:val="002246B1"/>
    <w:rsid w:val="00224D1E"/>
    <w:rsid w:val="002250E5"/>
    <w:rsid w:val="002254E1"/>
    <w:rsid w:val="0022550B"/>
    <w:rsid w:val="0022610E"/>
    <w:rsid w:val="00226F0C"/>
    <w:rsid w:val="0022719A"/>
    <w:rsid w:val="002271EE"/>
    <w:rsid w:val="00227532"/>
    <w:rsid w:val="002276C2"/>
    <w:rsid w:val="002279EB"/>
    <w:rsid w:val="00227A14"/>
    <w:rsid w:val="00227D04"/>
    <w:rsid w:val="00227D9F"/>
    <w:rsid w:val="002307E8"/>
    <w:rsid w:val="00230897"/>
    <w:rsid w:val="00230BF5"/>
    <w:rsid w:val="00230BFD"/>
    <w:rsid w:val="00230E8A"/>
    <w:rsid w:val="002316A2"/>
    <w:rsid w:val="00231BAB"/>
    <w:rsid w:val="00231CB0"/>
    <w:rsid w:val="00231D95"/>
    <w:rsid w:val="00232D7A"/>
    <w:rsid w:val="00232D7C"/>
    <w:rsid w:val="00232E2E"/>
    <w:rsid w:val="00233206"/>
    <w:rsid w:val="00233C78"/>
    <w:rsid w:val="0023436F"/>
    <w:rsid w:val="00234491"/>
    <w:rsid w:val="002351AE"/>
    <w:rsid w:val="00235264"/>
    <w:rsid w:val="0023535B"/>
    <w:rsid w:val="00235BB9"/>
    <w:rsid w:val="00235EB9"/>
    <w:rsid w:val="00236330"/>
    <w:rsid w:val="002363CF"/>
    <w:rsid w:val="00236929"/>
    <w:rsid w:val="0023703E"/>
    <w:rsid w:val="002378DB"/>
    <w:rsid w:val="00237CD7"/>
    <w:rsid w:val="00237DF6"/>
    <w:rsid w:val="00240863"/>
    <w:rsid w:val="00240DC9"/>
    <w:rsid w:val="0024110A"/>
    <w:rsid w:val="00241170"/>
    <w:rsid w:val="00241695"/>
    <w:rsid w:val="0024175E"/>
    <w:rsid w:val="00241B72"/>
    <w:rsid w:val="002420CA"/>
    <w:rsid w:val="002424FF"/>
    <w:rsid w:val="00242D28"/>
    <w:rsid w:val="002431DA"/>
    <w:rsid w:val="002434E5"/>
    <w:rsid w:val="0024365B"/>
    <w:rsid w:val="00243B1D"/>
    <w:rsid w:val="002441E6"/>
    <w:rsid w:val="002445C4"/>
    <w:rsid w:val="00244CD9"/>
    <w:rsid w:val="00244D76"/>
    <w:rsid w:val="00244E7B"/>
    <w:rsid w:val="0024502E"/>
    <w:rsid w:val="00246EC6"/>
    <w:rsid w:val="00250041"/>
    <w:rsid w:val="002502CD"/>
    <w:rsid w:val="0025035D"/>
    <w:rsid w:val="002504B9"/>
    <w:rsid w:val="00250974"/>
    <w:rsid w:val="00251471"/>
    <w:rsid w:val="00251840"/>
    <w:rsid w:val="00251A39"/>
    <w:rsid w:val="00251D7B"/>
    <w:rsid w:val="002524DE"/>
    <w:rsid w:val="002525C0"/>
    <w:rsid w:val="00252AD7"/>
    <w:rsid w:val="00252D63"/>
    <w:rsid w:val="00252D9B"/>
    <w:rsid w:val="00253196"/>
    <w:rsid w:val="0025322A"/>
    <w:rsid w:val="002541BE"/>
    <w:rsid w:val="0025431B"/>
    <w:rsid w:val="002543C4"/>
    <w:rsid w:val="00254ACF"/>
    <w:rsid w:val="00254AF9"/>
    <w:rsid w:val="00254EAA"/>
    <w:rsid w:val="00255721"/>
    <w:rsid w:val="002558B0"/>
    <w:rsid w:val="00255910"/>
    <w:rsid w:val="00255962"/>
    <w:rsid w:val="00255BFC"/>
    <w:rsid w:val="0025606D"/>
    <w:rsid w:val="002568D5"/>
    <w:rsid w:val="00257414"/>
    <w:rsid w:val="00257598"/>
    <w:rsid w:val="0025781E"/>
    <w:rsid w:val="002600A9"/>
    <w:rsid w:val="00260405"/>
    <w:rsid w:val="002606B0"/>
    <w:rsid w:val="00260707"/>
    <w:rsid w:val="0026127F"/>
    <w:rsid w:val="00261FB1"/>
    <w:rsid w:val="00262239"/>
    <w:rsid w:val="002626E6"/>
    <w:rsid w:val="00262BDC"/>
    <w:rsid w:val="00262C8F"/>
    <w:rsid w:val="00263CEA"/>
    <w:rsid w:val="002643A9"/>
    <w:rsid w:val="00264BCD"/>
    <w:rsid w:val="00264C99"/>
    <w:rsid w:val="00265337"/>
    <w:rsid w:val="002653B2"/>
    <w:rsid w:val="00265CA1"/>
    <w:rsid w:val="002673CB"/>
    <w:rsid w:val="00267448"/>
    <w:rsid w:val="00267B70"/>
    <w:rsid w:val="0027051B"/>
    <w:rsid w:val="00270858"/>
    <w:rsid w:val="002709F6"/>
    <w:rsid w:val="00270D10"/>
    <w:rsid w:val="002710EE"/>
    <w:rsid w:val="002713BC"/>
    <w:rsid w:val="00271634"/>
    <w:rsid w:val="002717AA"/>
    <w:rsid w:val="00271E3F"/>
    <w:rsid w:val="002720C4"/>
    <w:rsid w:val="0027234C"/>
    <w:rsid w:val="00273C98"/>
    <w:rsid w:val="0027473A"/>
    <w:rsid w:val="00274B4B"/>
    <w:rsid w:val="00275088"/>
    <w:rsid w:val="0027538F"/>
    <w:rsid w:val="00275780"/>
    <w:rsid w:val="00275794"/>
    <w:rsid w:val="002758DB"/>
    <w:rsid w:val="00275997"/>
    <w:rsid w:val="00275A91"/>
    <w:rsid w:val="002764C0"/>
    <w:rsid w:val="00276990"/>
    <w:rsid w:val="002769B2"/>
    <w:rsid w:val="00276EB2"/>
    <w:rsid w:val="00277A92"/>
    <w:rsid w:val="00277F2A"/>
    <w:rsid w:val="002800EE"/>
    <w:rsid w:val="00280965"/>
    <w:rsid w:val="00280AAB"/>
    <w:rsid w:val="00281238"/>
    <w:rsid w:val="002812A7"/>
    <w:rsid w:val="002817DC"/>
    <w:rsid w:val="0028189F"/>
    <w:rsid w:val="002819B4"/>
    <w:rsid w:val="00281C40"/>
    <w:rsid w:val="00281C43"/>
    <w:rsid w:val="00282042"/>
    <w:rsid w:val="00282C39"/>
    <w:rsid w:val="0028302D"/>
    <w:rsid w:val="002835EE"/>
    <w:rsid w:val="00283765"/>
    <w:rsid w:val="00283FCC"/>
    <w:rsid w:val="002841EB"/>
    <w:rsid w:val="00284463"/>
    <w:rsid w:val="00284BCF"/>
    <w:rsid w:val="00284F9B"/>
    <w:rsid w:val="0028509C"/>
    <w:rsid w:val="00285642"/>
    <w:rsid w:val="00285990"/>
    <w:rsid w:val="00286B75"/>
    <w:rsid w:val="00286FCC"/>
    <w:rsid w:val="0028722D"/>
    <w:rsid w:val="002872E7"/>
    <w:rsid w:val="00287367"/>
    <w:rsid w:val="002876F7"/>
    <w:rsid w:val="00287964"/>
    <w:rsid w:val="00287C30"/>
    <w:rsid w:val="00287DBA"/>
    <w:rsid w:val="00287FC5"/>
    <w:rsid w:val="0029034B"/>
    <w:rsid w:val="002903BF"/>
    <w:rsid w:val="00290541"/>
    <w:rsid w:val="00290555"/>
    <w:rsid w:val="002906A9"/>
    <w:rsid w:val="00290971"/>
    <w:rsid w:val="002909A3"/>
    <w:rsid w:val="00291193"/>
    <w:rsid w:val="002911CC"/>
    <w:rsid w:val="00291363"/>
    <w:rsid w:val="00291415"/>
    <w:rsid w:val="00291CE4"/>
    <w:rsid w:val="00291E11"/>
    <w:rsid w:val="00292212"/>
    <w:rsid w:val="00292638"/>
    <w:rsid w:val="00292D47"/>
    <w:rsid w:val="00292DE8"/>
    <w:rsid w:val="00293168"/>
    <w:rsid w:val="00293A1C"/>
    <w:rsid w:val="00293AAE"/>
    <w:rsid w:val="00293FD3"/>
    <w:rsid w:val="0029487A"/>
    <w:rsid w:val="00294D12"/>
    <w:rsid w:val="00295620"/>
    <w:rsid w:val="002957A1"/>
    <w:rsid w:val="00295F2D"/>
    <w:rsid w:val="00296051"/>
    <w:rsid w:val="0029628D"/>
    <w:rsid w:val="002968A3"/>
    <w:rsid w:val="00296C31"/>
    <w:rsid w:val="00296E8D"/>
    <w:rsid w:val="002974C5"/>
    <w:rsid w:val="00297502"/>
    <w:rsid w:val="00297629"/>
    <w:rsid w:val="0029790D"/>
    <w:rsid w:val="00297AF7"/>
    <w:rsid w:val="00297B1A"/>
    <w:rsid w:val="00297BC9"/>
    <w:rsid w:val="00297C1B"/>
    <w:rsid w:val="00297E61"/>
    <w:rsid w:val="002A01C6"/>
    <w:rsid w:val="002A06DB"/>
    <w:rsid w:val="002A0A6D"/>
    <w:rsid w:val="002A10E0"/>
    <w:rsid w:val="002A19B4"/>
    <w:rsid w:val="002A1AEA"/>
    <w:rsid w:val="002A2665"/>
    <w:rsid w:val="002A2A23"/>
    <w:rsid w:val="002A2B86"/>
    <w:rsid w:val="002A2D6E"/>
    <w:rsid w:val="002A2ECF"/>
    <w:rsid w:val="002A313A"/>
    <w:rsid w:val="002A32EE"/>
    <w:rsid w:val="002A37B7"/>
    <w:rsid w:val="002A4391"/>
    <w:rsid w:val="002A4612"/>
    <w:rsid w:val="002A4D43"/>
    <w:rsid w:val="002A61BB"/>
    <w:rsid w:val="002A61D8"/>
    <w:rsid w:val="002A6208"/>
    <w:rsid w:val="002A6510"/>
    <w:rsid w:val="002A6620"/>
    <w:rsid w:val="002A687F"/>
    <w:rsid w:val="002B00E8"/>
    <w:rsid w:val="002B010B"/>
    <w:rsid w:val="002B069C"/>
    <w:rsid w:val="002B0AD0"/>
    <w:rsid w:val="002B1177"/>
    <w:rsid w:val="002B15AA"/>
    <w:rsid w:val="002B1BB3"/>
    <w:rsid w:val="002B2014"/>
    <w:rsid w:val="002B2F22"/>
    <w:rsid w:val="002B335D"/>
    <w:rsid w:val="002B388D"/>
    <w:rsid w:val="002B398E"/>
    <w:rsid w:val="002B3C5F"/>
    <w:rsid w:val="002B3F78"/>
    <w:rsid w:val="002B4405"/>
    <w:rsid w:val="002B4AFC"/>
    <w:rsid w:val="002B4B6A"/>
    <w:rsid w:val="002B4D4E"/>
    <w:rsid w:val="002B4E3B"/>
    <w:rsid w:val="002B53A1"/>
    <w:rsid w:val="002B56E8"/>
    <w:rsid w:val="002B5856"/>
    <w:rsid w:val="002B5DEB"/>
    <w:rsid w:val="002B6023"/>
    <w:rsid w:val="002B626E"/>
    <w:rsid w:val="002B69E7"/>
    <w:rsid w:val="002B702F"/>
    <w:rsid w:val="002B722C"/>
    <w:rsid w:val="002B7B02"/>
    <w:rsid w:val="002B7B15"/>
    <w:rsid w:val="002C068A"/>
    <w:rsid w:val="002C08DE"/>
    <w:rsid w:val="002C15CC"/>
    <w:rsid w:val="002C169D"/>
    <w:rsid w:val="002C1D13"/>
    <w:rsid w:val="002C1D71"/>
    <w:rsid w:val="002C2045"/>
    <w:rsid w:val="002C215F"/>
    <w:rsid w:val="002C2344"/>
    <w:rsid w:val="002C2F67"/>
    <w:rsid w:val="002C36B1"/>
    <w:rsid w:val="002C37FE"/>
    <w:rsid w:val="002C3D3C"/>
    <w:rsid w:val="002C4545"/>
    <w:rsid w:val="002C4907"/>
    <w:rsid w:val="002C51A0"/>
    <w:rsid w:val="002C55F5"/>
    <w:rsid w:val="002C597A"/>
    <w:rsid w:val="002C5D97"/>
    <w:rsid w:val="002C5E56"/>
    <w:rsid w:val="002C616C"/>
    <w:rsid w:val="002C6876"/>
    <w:rsid w:val="002C7C2F"/>
    <w:rsid w:val="002C7E34"/>
    <w:rsid w:val="002C7F2B"/>
    <w:rsid w:val="002D010E"/>
    <w:rsid w:val="002D0162"/>
    <w:rsid w:val="002D081D"/>
    <w:rsid w:val="002D094E"/>
    <w:rsid w:val="002D10B3"/>
    <w:rsid w:val="002D17A3"/>
    <w:rsid w:val="002D1BD0"/>
    <w:rsid w:val="002D1DCF"/>
    <w:rsid w:val="002D21BC"/>
    <w:rsid w:val="002D237C"/>
    <w:rsid w:val="002D2B47"/>
    <w:rsid w:val="002D2B52"/>
    <w:rsid w:val="002D2E51"/>
    <w:rsid w:val="002D2E6A"/>
    <w:rsid w:val="002D31E7"/>
    <w:rsid w:val="002D33B7"/>
    <w:rsid w:val="002D36D9"/>
    <w:rsid w:val="002D380B"/>
    <w:rsid w:val="002D3834"/>
    <w:rsid w:val="002D386B"/>
    <w:rsid w:val="002D3B7B"/>
    <w:rsid w:val="002D3ED7"/>
    <w:rsid w:val="002D461F"/>
    <w:rsid w:val="002D49F7"/>
    <w:rsid w:val="002D5149"/>
    <w:rsid w:val="002D52EC"/>
    <w:rsid w:val="002D56FD"/>
    <w:rsid w:val="002D5C7A"/>
    <w:rsid w:val="002D626A"/>
    <w:rsid w:val="002D6372"/>
    <w:rsid w:val="002D68F4"/>
    <w:rsid w:val="002D6B78"/>
    <w:rsid w:val="002D6BAE"/>
    <w:rsid w:val="002D6E28"/>
    <w:rsid w:val="002D72FE"/>
    <w:rsid w:val="002E04A4"/>
    <w:rsid w:val="002E0C49"/>
    <w:rsid w:val="002E0CC4"/>
    <w:rsid w:val="002E0F5D"/>
    <w:rsid w:val="002E104D"/>
    <w:rsid w:val="002E1191"/>
    <w:rsid w:val="002E1928"/>
    <w:rsid w:val="002E1CC0"/>
    <w:rsid w:val="002E21EC"/>
    <w:rsid w:val="002E2800"/>
    <w:rsid w:val="002E2ACF"/>
    <w:rsid w:val="002E2F94"/>
    <w:rsid w:val="002E2FC3"/>
    <w:rsid w:val="002E3173"/>
    <w:rsid w:val="002E320F"/>
    <w:rsid w:val="002E3594"/>
    <w:rsid w:val="002E38DE"/>
    <w:rsid w:val="002E39A0"/>
    <w:rsid w:val="002E435E"/>
    <w:rsid w:val="002E4B5A"/>
    <w:rsid w:val="002E4F8B"/>
    <w:rsid w:val="002E52B3"/>
    <w:rsid w:val="002E5881"/>
    <w:rsid w:val="002E5EFA"/>
    <w:rsid w:val="002E5F6C"/>
    <w:rsid w:val="002E6111"/>
    <w:rsid w:val="002E671D"/>
    <w:rsid w:val="002E794C"/>
    <w:rsid w:val="002F00E3"/>
    <w:rsid w:val="002F05AD"/>
    <w:rsid w:val="002F0730"/>
    <w:rsid w:val="002F09E0"/>
    <w:rsid w:val="002F171A"/>
    <w:rsid w:val="002F1A17"/>
    <w:rsid w:val="002F1AD6"/>
    <w:rsid w:val="002F1BE7"/>
    <w:rsid w:val="002F223B"/>
    <w:rsid w:val="002F23B6"/>
    <w:rsid w:val="002F2922"/>
    <w:rsid w:val="002F2E86"/>
    <w:rsid w:val="002F350D"/>
    <w:rsid w:val="002F3549"/>
    <w:rsid w:val="002F3A2A"/>
    <w:rsid w:val="002F40F4"/>
    <w:rsid w:val="002F413D"/>
    <w:rsid w:val="002F418E"/>
    <w:rsid w:val="002F4237"/>
    <w:rsid w:val="002F4904"/>
    <w:rsid w:val="002F4F19"/>
    <w:rsid w:val="002F549C"/>
    <w:rsid w:val="002F5CD5"/>
    <w:rsid w:val="002F5DD9"/>
    <w:rsid w:val="002F5F80"/>
    <w:rsid w:val="002F6091"/>
    <w:rsid w:val="002F6C0B"/>
    <w:rsid w:val="002F78D3"/>
    <w:rsid w:val="002F7ED7"/>
    <w:rsid w:val="002F7F97"/>
    <w:rsid w:val="00300582"/>
    <w:rsid w:val="00300C9C"/>
    <w:rsid w:val="0030101C"/>
    <w:rsid w:val="0030120C"/>
    <w:rsid w:val="00301257"/>
    <w:rsid w:val="003016AC"/>
    <w:rsid w:val="00301DBD"/>
    <w:rsid w:val="003021A2"/>
    <w:rsid w:val="0030238E"/>
    <w:rsid w:val="003028D3"/>
    <w:rsid w:val="00302CED"/>
    <w:rsid w:val="00302CF3"/>
    <w:rsid w:val="0030362D"/>
    <w:rsid w:val="00303D27"/>
    <w:rsid w:val="0030471D"/>
    <w:rsid w:val="0030484A"/>
    <w:rsid w:val="00304D6D"/>
    <w:rsid w:val="003050AC"/>
    <w:rsid w:val="00305537"/>
    <w:rsid w:val="00305782"/>
    <w:rsid w:val="00305798"/>
    <w:rsid w:val="00305B8A"/>
    <w:rsid w:val="003061C6"/>
    <w:rsid w:val="00306591"/>
    <w:rsid w:val="003067D6"/>
    <w:rsid w:val="00306CBE"/>
    <w:rsid w:val="0030734B"/>
    <w:rsid w:val="00307633"/>
    <w:rsid w:val="00307971"/>
    <w:rsid w:val="00307989"/>
    <w:rsid w:val="00307EB6"/>
    <w:rsid w:val="00307FEE"/>
    <w:rsid w:val="0031073D"/>
    <w:rsid w:val="00310D8F"/>
    <w:rsid w:val="0031114B"/>
    <w:rsid w:val="0031165D"/>
    <w:rsid w:val="00311726"/>
    <w:rsid w:val="003119C3"/>
    <w:rsid w:val="00311F8E"/>
    <w:rsid w:val="003123C7"/>
    <w:rsid w:val="003125A2"/>
    <w:rsid w:val="003129FA"/>
    <w:rsid w:val="00312B57"/>
    <w:rsid w:val="00313006"/>
    <w:rsid w:val="0031312E"/>
    <w:rsid w:val="00313302"/>
    <w:rsid w:val="00313318"/>
    <w:rsid w:val="00313324"/>
    <w:rsid w:val="00313485"/>
    <w:rsid w:val="00313E8E"/>
    <w:rsid w:val="00313F6D"/>
    <w:rsid w:val="003140D0"/>
    <w:rsid w:val="0031442F"/>
    <w:rsid w:val="00314DA0"/>
    <w:rsid w:val="003155D3"/>
    <w:rsid w:val="00315674"/>
    <w:rsid w:val="00315BE3"/>
    <w:rsid w:val="003163B0"/>
    <w:rsid w:val="003163EA"/>
    <w:rsid w:val="00316928"/>
    <w:rsid w:val="00316C1B"/>
    <w:rsid w:val="00316E65"/>
    <w:rsid w:val="00317228"/>
    <w:rsid w:val="00317E81"/>
    <w:rsid w:val="003201E8"/>
    <w:rsid w:val="00320417"/>
    <w:rsid w:val="00320473"/>
    <w:rsid w:val="00320542"/>
    <w:rsid w:val="00320770"/>
    <w:rsid w:val="00320B49"/>
    <w:rsid w:val="00320DB6"/>
    <w:rsid w:val="0032105F"/>
    <w:rsid w:val="00321713"/>
    <w:rsid w:val="003217B5"/>
    <w:rsid w:val="003218A7"/>
    <w:rsid w:val="00322072"/>
    <w:rsid w:val="00322180"/>
    <w:rsid w:val="003221A9"/>
    <w:rsid w:val="00322A72"/>
    <w:rsid w:val="00322B7C"/>
    <w:rsid w:val="00323869"/>
    <w:rsid w:val="00323C75"/>
    <w:rsid w:val="003241C1"/>
    <w:rsid w:val="0032435E"/>
    <w:rsid w:val="0032442A"/>
    <w:rsid w:val="003246E2"/>
    <w:rsid w:val="0032500A"/>
    <w:rsid w:val="0032536C"/>
    <w:rsid w:val="00325C17"/>
    <w:rsid w:val="00325C8D"/>
    <w:rsid w:val="00325CF9"/>
    <w:rsid w:val="00325DB0"/>
    <w:rsid w:val="00326EB6"/>
    <w:rsid w:val="003271D7"/>
    <w:rsid w:val="0032771B"/>
    <w:rsid w:val="003278C2"/>
    <w:rsid w:val="00327C9C"/>
    <w:rsid w:val="00327D32"/>
    <w:rsid w:val="00330A4A"/>
    <w:rsid w:val="0033115E"/>
    <w:rsid w:val="0033128F"/>
    <w:rsid w:val="003315C6"/>
    <w:rsid w:val="0033254B"/>
    <w:rsid w:val="00332911"/>
    <w:rsid w:val="003329E5"/>
    <w:rsid w:val="003332E3"/>
    <w:rsid w:val="003346E9"/>
    <w:rsid w:val="00334DC3"/>
    <w:rsid w:val="00335548"/>
    <w:rsid w:val="0033573D"/>
    <w:rsid w:val="00335B54"/>
    <w:rsid w:val="003360F2"/>
    <w:rsid w:val="00336C3F"/>
    <w:rsid w:val="00336F3E"/>
    <w:rsid w:val="003370CD"/>
    <w:rsid w:val="00337443"/>
    <w:rsid w:val="00337A25"/>
    <w:rsid w:val="00337AF2"/>
    <w:rsid w:val="003401D0"/>
    <w:rsid w:val="00340F46"/>
    <w:rsid w:val="00340F5E"/>
    <w:rsid w:val="003413EB"/>
    <w:rsid w:val="003414AD"/>
    <w:rsid w:val="00341DAA"/>
    <w:rsid w:val="003422B6"/>
    <w:rsid w:val="00342B1B"/>
    <w:rsid w:val="003438FC"/>
    <w:rsid w:val="00343A8C"/>
    <w:rsid w:val="00343D49"/>
    <w:rsid w:val="00343D4F"/>
    <w:rsid w:val="00344104"/>
    <w:rsid w:val="00344603"/>
    <w:rsid w:val="0034495D"/>
    <w:rsid w:val="00345068"/>
    <w:rsid w:val="003458C0"/>
    <w:rsid w:val="003459DD"/>
    <w:rsid w:val="00345FB4"/>
    <w:rsid w:val="00346C76"/>
    <w:rsid w:val="00346C94"/>
    <w:rsid w:val="00346F78"/>
    <w:rsid w:val="00347617"/>
    <w:rsid w:val="00347787"/>
    <w:rsid w:val="003477F2"/>
    <w:rsid w:val="00347A5E"/>
    <w:rsid w:val="00347B9A"/>
    <w:rsid w:val="00347FCA"/>
    <w:rsid w:val="00350393"/>
    <w:rsid w:val="003506A8"/>
    <w:rsid w:val="00350C03"/>
    <w:rsid w:val="00350C48"/>
    <w:rsid w:val="00350F1A"/>
    <w:rsid w:val="003511D9"/>
    <w:rsid w:val="003511FB"/>
    <w:rsid w:val="00351438"/>
    <w:rsid w:val="003514D4"/>
    <w:rsid w:val="003519D3"/>
    <w:rsid w:val="00351D67"/>
    <w:rsid w:val="00351EE6"/>
    <w:rsid w:val="003524C6"/>
    <w:rsid w:val="003524F1"/>
    <w:rsid w:val="00352600"/>
    <w:rsid w:val="00352845"/>
    <w:rsid w:val="003528AA"/>
    <w:rsid w:val="00352D1F"/>
    <w:rsid w:val="00353369"/>
    <w:rsid w:val="003534BC"/>
    <w:rsid w:val="00353641"/>
    <w:rsid w:val="003536DD"/>
    <w:rsid w:val="00353C9E"/>
    <w:rsid w:val="003540B3"/>
    <w:rsid w:val="00354249"/>
    <w:rsid w:val="00354450"/>
    <w:rsid w:val="00354ADF"/>
    <w:rsid w:val="00354FC7"/>
    <w:rsid w:val="003554B0"/>
    <w:rsid w:val="00355A03"/>
    <w:rsid w:val="003560ED"/>
    <w:rsid w:val="0035613C"/>
    <w:rsid w:val="003566D1"/>
    <w:rsid w:val="003567A8"/>
    <w:rsid w:val="003568E8"/>
    <w:rsid w:val="00356B3D"/>
    <w:rsid w:val="00356BB4"/>
    <w:rsid w:val="00356D88"/>
    <w:rsid w:val="00356E0F"/>
    <w:rsid w:val="00356EDD"/>
    <w:rsid w:val="00356FAB"/>
    <w:rsid w:val="003570CA"/>
    <w:rsid w:val="00357249"/>
    <w:rsid w:val="003576BB"/>
    <w:rsid w:val="00357B2A"/>
    <w:rsid w:val="00357BC9"/>
    <w:rsid w:val="00360087"/>
    <w:rsid w:val="0036044C"/>
    <w:rsid w:val="00360494"/>
    <w:rsid w:val="00360B68"/>
    <w:rsid w:val="003614CB"/>
    <w:rsid w:val="003617AA"/>
    <w:rsid w:val="003617FD"/>
    <w:rsid w:val="00361E8D"/>
    <w:rsid w:val="0036218F"/>
    <w:rsid w:val="0036375F"/>
    <w:rsid w:val="003638E0"/>
    <w:rsid w:val="003639EC"/>
    <w:rsid w:val="00363A59"/>
    <w:rsid w:val="00363A67"/>
    <w:rsid w:val="00363F1F"/>
    <w:rsid w:val="00364B86"/>
    <w:rsid w:val="00365300"/>
    <w:rsid w:val="003659A7"/>
    <w:rsid w:val="00365B37"/>
    <w:rsid w:val="00365E3C"/>
    <w:rsid w:val="00365F88"/>
    <w:rsid w:val="003660DE"/>
    <w:rsid w:val="0036632F"/>
    <w:rsid w:val="00366D40"/>
    <w:rsid w:val="00367A3C"/>
    <w:rsid w:val="00370579"/>
    <w:rsid w:val="0037078C"/>
    <w:rsid w:val="0037086B"/>
    <w:rsid w:val="00370952"/>
    <w:rsid w:val="00370B90"/>
    <w:rsid w:val="00370DE0"/>
    <w:rsid w:val="00370F5F"/>
    <w:rsid w:val="00371896"/>
    <w:rsid w:val="00371D33"/>
    <w:rsid w:val="00372673"/>
    <w:rsid w:val="003727F2"/>
    <w:rsid w:val="003728A5"/>
    <w:rsid w:val="00372F5E"/>
    <w:rsid w:val="003730AC"/>
    <w:rsid w:val="0037331A"/>
    <w:rsid w:val="00373B4A"/>
    <w:rsid w:val="00373BB3"/>
    <w:rsid w:val="003744A8"/>
    <w:rsid w:val="003749BC"/>
    <w:rsid w:val="00374E51"/>
    <w:rsid w:val="00375703"/>
    <w:rsid w:val="00375FC8"/>
    <w:rsid w:val="00376233"/>
    <w:rsid w:val="00376270"/>
    <w:rsid w:val="003764EE"/>
    <w:rsid w:val="0037668C"/>
    <w:rsid w:val="0037683E"/>
    <w:rsid w:val="00376E83"/>
    <w:rsid w:val="00376FEB"/>
    <w:rsid w:val="003773D6"/>
    <w:rsid w:val="00377462"/>
    <w:rsid w:val="003779A4"/>
    <w:rsid w:val="00377E5D"/>
    <w:rsid w:val="0038022C"/>
    <w:rsid w:val="003804FC"/>
    <w:rsid w:val="0038060F"/>
    <w:rsid w:val="003806B0"/>
    <w:rsid w:val="00380A9F"/>
    <w:rsid w:val="00380EE1"/>
    <w:rsid w:val="00380EFC"/>
    <w:rsid w:val="00380F20"/>
    <w:rsid w:val="00381189"/>
    <w:rsid w:val="0038151B"/>
    <w:rsid w:val="003821D6"/>
    <w:rsid w:val="00382D07"/>
    <w:rsid w:val="003830B1"/>
    <w:rsid w:val="00383185"/>
    <w:rsid w:val="00383194"/>
    <w:rsid w:val="00384137"/>
    <w:rsid w:val="00384DA4"/>
    <w:rsid w:val="003854A0"/>
    <w:rsid w:val="0038550B"/>
    <w:rsid w:val="00385E02"/>
    <w:rsid w:val="003864D1"/>
    <w:rsid w:val="00386855"/>
    <w:rsid w:val="00386BCF"/>
    <w:rsid w:val="00386EC5"/>
    <w:rsid w:val="0038728C"/>
    <w:rsid w:val="0038751E"/>
    <w:rsid w:val="00387558"/>
    <w:rsid w:val="00387710"/>
    <w:rsid w:val="003878CE"/>
    <w:rsid w:val="0038791D"/>
    <w:rsid w:val="003879A4"/>
    <w:rsid w:val="003879B1"/>
    <w:rsid w:val="00387C7F"/>
    <w:rsid w:val="00387E65"/>
    <w:rsid w:val="003904E9"/>
    <w:rsid w:val="003914F4"/>
    <w:rsid w:val="003915B4"/>
    <w:rsid w:val="00391893"/>
    <w:rsid w:val="00392031"/>
    <w:rsid w:val="00392358"/>
    <w:rsid w:val="0039275B"/>
    <w:rsid w:val="00392771"/>
    <w:rsid w:val="00392C0B"/>
    <w:rsid w:val="00392E5E"/>
    <w:rsid w:val="003930F5"/>
    <w:rsid w:val="00393406"/>
    <w:rsid w:val="00393C70"/>
    <w:rsid w:val="00393DB6"/>
    <w:rsid w:val="00394868"/>
    <w:rsid w:val="003949AF"/>
    <w:rsid w:val="00394BF6"/>
    <w:rsid w:val="00394E95"/>
    <w:rsid w:val="003955B6"/>
    <w:rsid w:val="00395794"/>
    <w:rsid w:val="00395B85"/>
    <w:rsid w:val="00395E82"/>
    <w:rsid w:val="003971BA"/>
    <w:rsid w:val="0039727B"/>
    <w:rsid w:val="003975E5"/>
    <w:rsid w:val="003978E0"/>
    <w:rsid w:val="00397A21"/>
    <w:rsid w:val="00397DC9"/>
    <w:rsid w:val="003A00E3"/>
    <w:rsid w:val="003A01E9"/>
    <w:rsid w:val="003A01F7"/>
    <w:rsid w:val="003A1B39"/>
    <w:rsid w:val="003A20A7"/>
    <w:rsid w:val="003A2709"/>
    <w:rsid w:val="003A2F34"/>
    <w:rsid w:val="003A319A"/>
    <w:rsid w:val="003A3375"/>
    <w:rsid w:val="003A34E4"/>
    <w:rsid w:val="003A37E4"/>
    <w:rsid w:val="003A37F1"/>
    <w:rsid w:val="003A3A78"/>
    <w:rsid w:val="003A3DA2"/>
    <w:rsid w:val="003A4226"/>
    <w:rsid w:val="003A52C7"/>
    <w:rsid w:val="003A5356"/>
    <w:rsid w:val="003A582E"/>
    <w:rsid w:val="003A5AF3"/>
    <w:rsid w:val="003A5DB5"/>
    <w:rsid w:val="003A65C3"/>
    <w:rsid w:val="003A6731"/>
    <w:rsid w:val="003A6E2A"/>
    <w:rsid w:val="003A7A4D"/>
    <w:rsid w:val="003A7B96"/>
    <w:rsid w:val="003A7C51"/>
    <w:rsid w:val="003A7CA7"/>
    <w:rsid w:val="003A7DC4"/>
    <w:rsid w:val="003A7E2C"/>
    <w:rsid w:val="003B0AF5"/>
    <w:rsid w:val="003B0FA3"/>
    <w:rsid w:val="003B10D6"/>
    <w:rsid w:val="003B126D"/>
    <w:rsid w:val="003B12F0"/>
    <w:rsid w:val="003B1385"/>
    <w:rsid w:val="003B14A6"/>
    <w:rsid w:val="003B19C4"/>
    <w:rsid w:val="003B1E43"/>
    <w:rsid w:val="003B2086"/>
    <w:rsid w:val="003B2156"/>
    <w:rsid w:val="003B2189"/>
    <w:rsid w:val="003B24E3"/>
    <w:rsid w:val="003B2A46"/>
    <w:rsid w:val="003B2B45"/>
    <w:rsid w:val="003B2D5E"/>
    <w:rsid w:val="003B30E0"/>
    <w:rsid w:val="003B3DD7"/>
    <w:rsid w:val="003B40DD"/>
    <w:rsid w:val="003B41FB"/>
    <w:rsid w:val="003B478B"/>
    <w:rsid w:val="003B4BE8"/>
    <w:rsid w:val="003B51C9"/>
    <w:rsid w:val="003B525E"/>
    <w:rsid w:val="003B52FC"/>
    <w:rsid w:val="003B54A5"/>
    <w:rsid w:val="003B585A"/>
    <w:rsid w:val="003B5A56"/>
    <w:rsid w:val="003B5E86"/>
    <w:rsid w:val="003B6046"/>
    <w:rsid w:val="003B6088"/>
    <w:rsid w:val="003B66F0"/>
    <w:rsid w:val="003B68E1"/>
    <w:rsid w:val="003B69B7"/>
    <w:rsid w:val="003B6B2A"/>
    <w:rsid w:val="003B6E72"/>
    <w:rsid w:val="003B707D"/>
    <w:rsid w:val="003B743E"/>
    <w:rsid w:val="003B7589"/>
    <w:rsid w:val="003C003E"/>
    <w:rsid w:val="003C01D0"/>
    <w:rsid w:val="003C09D8"/>
    <w:rsid w:val="003C0B30"/>
    <w:rsid w:val="003C154D"/>
    <w:rsid w:val="003C1818"/>
    <w:rsid w:val="003C1B1B"/>
    <w:rsid w:val="003C24DB"/>
    <w:rsid w:val="003C2627"/>
    <w:rsid w:val="003C265B"/>
    <w:rsid w:val="003C2A45"/>
    <w:rsid w:val="003C2E63"/>
    <w:rsid w:val="003C2E6C"/>
    <w:rsid w:val="003C393F"/>
    <w:rsid w:val="003C3AE7"/>
    <w:rsid w:val="003C4067"/>
    <w:rsid w:val="003C431E"/>
    <w:rsid w:val="003C518D"/>
    <w:rsid w:val="003C52CC"/>
    <w:rsid w:val="003C54BF"/>
    <w:rsid w:val="003C56DC"/>
    <w:rsid w:val="003C59BD"/>
    <w:rsid w:val="003C5D1A"/>
    <w:rsid w:val="003C6167"/>
    <w:rsid w:val="003C62A6"/>
    <w:rsid w:val="003C65BD"/>
    <w:rsid w:val="003C7171"/>
    <w:rsid w:val="003C7323"/>
    <w:rsid w:val="003C7462"/>
    <w:rsid w:val="003C7B33"/>
    <w:rsid w:val="003C7BFC"/>
    <w:rsid w:val="003D012D"/>
    <w:rsid w:val="003D08CA"/>
    <w:rsid w:val="003D08F8"/>
    <w:rsid w:val="003D0A0E"/>
    <w:rsid w:val="003D0B29"/>
    <w:rsid w:val="003D0B84"/>
    <w:rsid w:val="003D1239"/>
    <w:rsid w:val="003D1425"/>
    <w:rsid w:val="003D14CD"/>
    <w:rsid w:val="003D19A5"/>
    <w:rsid w:val="003D1DB1"/>
    <w:rsid w:val="003D1F23"/>
    <w:rsid w:val="003D2466"/>
    <w:rsid w:val="003D2534"/>
    <w:rsid w:val="003D2DCB"/>
    <w:rsid w:val="003D2E01"/>
    <w:rsid w:val="003D2F49"/>
    <w:rsid w:val="003D35F1"/>
    <w:rsid w:val="003D37B0"/>
    <w:rsid w:val="003D381B"/>
    <w:rsid w:val="003D3FAA"/>
    <w:rsid w:val="003D4201"/>
    <w:rsid w:val="003D49E9"/>
    <w:rsid w:val="003D502D"/>
    <w:rsid w:val="003D5050"/>
    <w:rsid w:val="003D52E2"/>
    <w:rsid w:val="003D5D06"/>
    <w:rsid w:val="003D628E"/>
    <w:rsid w:val="003D633C"/>
    <w:rsid w:val="003D69F8"/>
    <w:rsid w:val="003D6EC0"/>
    <w:rsid w:val="003D7137"/>
    <w:rsid w:val="003D7BF8"/>
    <w:rsid w:val="003D7D5F"/>
    <w:rsid w:val="003D7E22"/>
    <w:rsid w:val="003D7FA3"/>
    <w:rsid w:val="003E05FC"/>
    <w:rsid w:val="003E07FA"/>
    <w:rsid w:val="003E0EA2"/>
    <w:rsid w:val="003E30DB"/>
    <w:rsid w:val="003E30E0"/>
    <w:rsid w:val="003E356B"/>
    <w:rsid w:val="003E3A62"/>
    <w:rsid w:val="003E3E91"/>
    <w:rsid w:val="003E4704"/>
    <w:rsid w:val="003E47E4"/>
    <w:rsid w:val="003E4AAB"/>
    <w:rsid w:val="003E5240"/>
    <w:rsid w:val="003E533F"/>
    <w:rsid w:val="003E59A0"/>
    <w:rsid w:val="003E5E7D"/>
    <w:rsid w:val="003E5F76"/>
    <w:rsid w:val="003E600E"/>
    <w:rsid w:val="003E6065"/>
    <w:rsid w:val="003E6266"/>
    <w:rsid w:val="003E66B3"/>
    <w:rsid w:val="003E6C5B"/>
    <w:rsid w:val="003E7A1E"/>
    <w:rsid w:val="003E7BD6"/>
    <w:rsid w:val="003F0208"/>
    <w:rsid w:val="003F0CA3"/>
    <w:rsid w:val="003F1460"/>
    <w:rsid w:val="003F1D95"/>
    <w:rsid w:val="003F1F66"/>
    <w:rsid w:val="003F215B"/>
    <w:rsid w:val="003F2DF7"/>
    <w:rsid w:val="003F2F41"/>
    <w:rsid w:val="003F372D"/>
    <w:rsid w:val="003F40A0"/>
    <w:rsid w:val="003F423E"/>
    <w:rsid w:val="003F4BFB"/>
    <w:rsid w:val="003F5020"/>
    <w:rsid w:val="003F57E1"/>
    <w:rsid w:val="003F58B7"/>
    <w:rsid w:val="003F5A28"/>
    <w:rsid w:val="003F5A56"/>
    <w:rsid w:val="003F5C5E"/>
    <w:rsid w:val="003F5F82"/>
    <w:rsid w:val="003F61F2"/>
    <w:rsid w:val="003F652D"/>
    <w:rsid w:val="003F6687"/>
    <w:rsid w:val="003F6D05"/>
    <w:rsid w:val="003F726E"/>
    <w:rsid w:val="003F7D37"/>
    <w:rsid w:val="004002C5"/>
    <w:rsid w:val="004003BA"/>
    <w:rsid w:val="00400512"/>
    <w:rsid w:val="00400A98"/>
    <w:rsid w:val="00400C8E"/>
    <w:rsid w:val="00400F9C"/>
    <w:rsid w:val="004010D6"/>
    <w:rsid w:val="004015F8"/>
    <w:rsid w:val="004016D5"/>
    <w:rsid w:val="00401965"/>
    <w:rsid w:val="004019F1"/>
    <w:rsid w:val="00402573"/>
    <w:rsid w:val="00402AD6"/>
    <w:rsid w:val="004032B7"/>
    <w:rsid w:val="00403591"/>
    <w:rsid w:val="0040370B"/>
    <w:rsid w:val="00403A95"/>
    <w:rsid w:val="00403C2B"/>
    <w:rsid w:val="004041D4"/>
    <w:rsid w:val="00404B57"/>
    <w:rsid w:val="00405120"/>
    <w:rsid w:val="00405663"/>
    <w:rsid w:val="004058E4"/>
    <w:rsid w:val="004059D7"/>
    <w:rsid w:val="004059F4"/>
    <w:rsid w:val="00405A0E"/>
    <w:rsid w:val="00405A2B"/>
    <w:rsid w:val="00405F5B"/>
    <w:rsid w:val="00406804"/>
    <w:rsid w:val="00406BC0"/>
    <w:rsid w:val="00406C23"/>
    <w:rsid w:val="00406D9C"/>
    <w:rsid w:val="00406DEA"/>
    <w:rsid w:val="0040708C"/>
    <w:rsid w:val="004074F4"/>
    <w:rsid w:val="00407928"/>
    <w:rsid w:val="00407A2F"/>
    <w:rsid w:val="00407B19"/>
    <w:rsid w:val="00407FB2"/>
    <w:rsid w:val="00410482"/>
    <w:rsid w:val="00410848"/>
    <w:rsid w:val="00410940"/>
    <w:rsid w:val="00410A7F"/>
    <w:rsid w:val="00410A86"/>
    <w:rsid w:val="00410BE5"/>
    <w:rsid w:val="004118DE"/>
    <w:rsid w:val="00411A2E"/>
    <w:rsid w:val="00411C27"/>
    <w:rsid w:val="0041296A"/>
    <w:rsid w:val="00413356"/>
    <w:rsid w:val="00413C15"/>
    <w:rsid w:val="00414702"/>
    <w:rsid w:val="00414955"/>
    <w:rsid w:val="00414FB8"/>
    <w:rsid w:val="004154AD"/>
    <w:rsid w:val="00415700"/>
    <w:rsid w:val="00415766"/>
    <w:rsid w:val="004164A1"/>
    <w:rsid w:val="0041689C"/>
    <w:rsid w:val="0041694A"/>
    <w:rsid w:val="0041705F"/>
    <w:rsid w:val="00417472"/>
    <w:rsid w:val="004176B0"/>
    <w:rsid w:val="00417AA6"/>
    <w:rsid w:val="00420016"/>
    <w:rsid w:val="0042003F"/>
    <w:rsid w:val="004200D1"/>
    <w:rsid w:val="0042042E"/>
    <w:rsid w:val="004204F4"/>
    <w:rsid w:val="00420797"/>
    <w:rsid w:val="00420BBB"/>
    <w:rsid w:val="00420DD4"/>
    <w:rsid w:val="00421025"/>
    <w:rsid w:val="004219A2"/>
    <w:rsid w:val="004219DD"/>
    <w:rsid w:val="00421F6E"/>
    <w:rsid w:val="00422034"/>
    <w:rsid w:val="00422091"/>
    <w:rsid w:val="004220BE"/>
    <w:rsid w:val="0042225F"/>
    <w:rsid w:val="004223FA"/>
    <w:rsid w:val="00422D8A"/>
    <w:rsid w:val="00422F41"/>
    <w:rsid w:val="0042305E"/>
    <w:rsid w:val="004230CF"/>
    <w:rsid w:val="004238FA"/>
    <w:rsid w:val="004239B0"/>
    <w:rsid w:val="00423B13"/>
    <w:rsid w:val="00423F82"/>
    <w:rsid w:val="00424A13"/>
    <w:rsid w:val="00424BF3"/>
    <w:rsid w:val="00424D2E"/>
    <w:rsid w:val="004256FD"/>
    <w:rsid w:val="00425A36"/>
    <w:rsid w:val="00425B2E"/>
    <w:rsid w:val="00425FCC"/>
    <w:rsid w:val="004262BC"/>
    <w:rsid w:val="00426A62"/>
    <w:rsid w:val="00426F97"/>
    <w:rsid w:val="0042709F"/>
    <w:rsid w:val="00427416"/>
    <w:rsid w:val="00427F45"/>
    <w:rsid w:val="0043001F"/>
    <w:rsid w:val="00430024"/>
    <w:rsid w:val="004301FE"/>
    <w:rsid w:val="004307A0"/>
    <w:rsid w:val="00430D08"/>
    <w:rsid w:val="004310E8"/>
    <w:rsid w:val="004315BA"/>
    <w:rsid w:val="004315E1"/>
    <w:rsid w:val="00431617"/>
    <w:rsid w:val="00431BBE"/>
    <w:rsid w:val="0043205B"/>
    <w:rsid w:val="004328C4"/>
    <w:rsid w:val="0043326C"/>
    <w:rsid w:val="004332D7"/>
    <w:rsid w:val="00433643"/>
    <w:rsid w:val="00433782"/>
    <w:rsid w:val="00433B2D"/>
    <w:rsid w:val="00433BB9"/>
    <w:rsid w:val="0043410F"/>
    <w:rsid w:val="00434429"/>
    <w:rsid w:val="00434907"/>
    <w:rsid w:val="004349F3"/>
    <w:rsid w:val="00434BFA"/>
    <w:rsid w:val="00434CC3"/>
    <w:rsid w:val="00435D5A"/>
    <w:rsid w:val="00435FC4"/>
    <w:rsid w:val="00436157"/>
    <w:rsid w:val="00436402"/>
    <w:rsid w:val="00436A61"/>
    <w:rsid w:val="00437D5B"/>
    <w:rsid w:val="0044018C"/>
    <w:rsid w:val="004402EC"/>
    <w:rsid w:val="0044054B"/>
    <w:rsid w:val="00440BC4"/>
    <w:rsid w:val="00440C2B"/>
    <w:rsid w:val="00440EB2"/>
    <w:rsid w:val="00441130"/>
    <w:rsid w:val="00441314"/>
    <w:rsid w:val="004419ED"/>
    <w:rsid w:val="00441C9C"/>
    <w:rsid w:val="0044238D"/>
    <w:rsid w:val="0044271D"/>
    <w:rsid w:val="0044287D"/>
    <w:rsid w:val="00443232"/>
    <w:rsid w:val="004432B5"/>
    <w:rsid w:val="00443728"/>
    <w:rsid w:val="00443821"/>
    <w:rsid w:val="00443ECB"/>
    <w:rsid w:val="00443FDD"/>
    <w:rsid w:val="0044403F"/>
    <w:rsid w:val="00444167"/>
    <w:rsid w:val="00444846"/>
    <w:rsid w:val="00444E1C"/>
    <w:rsid w:val="00445014"/>
    <w:rsid w:val="004450DB"/>
    <w:rsid w:val="00445137"/>
    <w:rsid w:val="0044514A"/>
    <w:rsid w:val="0044529C"/>
    <w:rsid w:val="00445E44"/>
    <w:rsid w:val="00445EAC"/>
    <w:rsid w:val="00445EF6"/>
    <w:rsid w:val="004460CE"/>
    <w:rsid w:val="004461CD"/>
    <w:rsid w:val="0044635A"/>
    <w:rsid w:val="00446E4F"/>
    <w:rsid w:val="004500FB"/>
    <w:rsid w:val="004501E8"/>
    <w:rsid w:val="00450D8C"/>
    <w:rsid w:val="00450F84"/>
    <w:rsid w:val="00451520"/>
    <w:rsid w:val="00451D1A"/>
    <w:rsid w:val="00451EAC"/>
    <w:rsid w:val="004522DA"/>
    <w:rsid w:val="0045231F"/>
    <w:rsid w:val="004524FB"/>
    <w:rsid w:val="004524FC"/>
    <w:rsid w:val="0045255F"/>
    <w:rsid w:val="0045257C"/>
    <w:rsid w:val="004525DB"/>
    <w:rsid w:val="00452ACB"/>
    <w:rsid w:val="00452C40"/>
    <w:rsid w:val="004540E6"/>
    <w:rsid w:val="00454E0C"/>
    <w:rsid w:val="004556E0"/>
    <w:rsid w:val="00455CEC"/>
    <w:rsid w:val="00455ED7"/>
    <w:rsid w:val="00455EEE"/>
    <w:rsid w:val="00456134"/>
    <w:rsid w:val="004562A9"/>
    <w:rsid w:val="00456318"/>
    <w:rsid w:val="004563B6"/>
    <w:rsid w:val="00456609"/>
    <w:rsid w:val="004566FA"/>
    <w:rsid w:val="00456D31"/>
    <w:rsid w:val="00456E44"/>
    <w:rsid w:val="00456FA9"/>
    <w:rsid w:val="00457243"/>
    <w:rsid w:val="0045751B"/>
    <w:rsid w:val="00457814"/>
    <w:rsid w:val="004578E2"/>
    <w:rsid w:val="00457AAD"/>
    <w:rsid w:val="00457D2E"/>
    <w:rsid w:val="004605CD"/>
    <w:rsid w:val="004607F1"/>
    <w:rsid w:val="0046085A"/>
    <w:rsid w:val="00460932"/>
    <w:rsid w:val="00461408"/>
    <w:rsid w:val="004617AF"/>
    <w:rsid w:val="00461809"/>
    <w:rsid w:val="00461C37"/>
    <w:rsid w:val="00461FF3"/>
    <w:rsid w:val="00462CD2"/>
    <w:rsid w:val="0046366E"/>
    <w:rsid w:val="00463BA1"/>
    <w:rsid w:val="00463C19"/>
    <w:rsid w:val="00463DB5"/>
    <w:rsid w:val="00463EDF"/>
    <w:rsid w:val="00464160"/>
    <w:rsid w:val="004642B8"/>
    <w:rsid w:val="004647BD"/>
    <w:rsid w:val="0046526D"/>
    <w:rsid w:val="0046563C"/>
    <w:rsid w:val="004658DE"/>
    <w:rsid w:val="00465A02"/>
    <w:rsid w:val="00465FF4"/>
    <w:rsid w:val="004661DD"/>
    <w:rsid w:val="0046620C"/>
    <w:rsid w:val="004662E2"/>
    <w:rsid w:val="004668C4"/>
    <w:rsid w:val="00466B36"/>
    <w:rsid w:val="00466CC0"/>
    <w:rsid w:val="00467066"/>
    <w:rsid w:val="00467A43"/>
    <w:rsid w:val="00467D19"/>
    <w:rsid w:val="0047004D"/>
    <w:rsid w:val="0047046C"/>
    <w:rsid w:val="004704E0"/>
    <w:rsid w:val="004707B7"/>
    <w:rsid w:val="00470E41"/>
    <w:rsid w:val="00470E43"/>
    <w:rsid w:val="004713FE"/>
    <w:rsid w:val="00471454"/>
    <w:rsid w:val="0047153F"/>
    <w:rsid w:val="00471720"/>
    <w:rsid w:val="00471BEC"/>
    <w:rsid w:val="0047227A"/>
    <w:rsid w:val="004724C6"/>
    <w:rsid w:val="00472A64"/>
    <w:rsid w:val="00472EAD"/>
    <w:rsid w:val="0047338B"/>
    <w:rsid w:val="004734E8"/>
    <w:rsid w:val="00473A30"/>
    <w:rsid w:val="00473C8D"/>
    <w:rsid w:val="0047434F"/>
    <w:rsid w:val="00474351"/>
    <w:rsid w:val="004744B3"/>
    <w:rsid w:val="00474641"/>
    <w:rsid w:val="004747C0"/>
    <w:rsid w:val="00474980"/>
    <w:rsid w:val="00474A92"/>
    <w:rsid w:val="00474B0F"/>
    <w:rsid w:val="004751A4"/>
    <w:rsid w:val="00475287"/>
    <w:rsid w:val="004759D2"/>
    <w:rsid w:val="00475ECD"/>
    <w:rsid w:val="004760D1"/>
    <w:rsid w:val="0047611C"/>
    <w:rsid w:val="00476371"/>
    <w:rsid w:val="00476817"/>
    <w:rsid w:val="00476A91"/>
    <w:rsid w:val="00476BC6"/>
    <w:rsid w:val="0047705C"/>
    <w:rsid w:val="004770E2"/>
    <w:rsid w:val="00477558"/>
    <w:rsid w:val="004779EC"/>
    <w:rsid w:val="00477A89"/>
    <w:rsid w:val="00480132"/>
    <w:rsid w:val="0048022A"/>
    <w:rsid w:val="004803D1"/>
    <w:rsid w:val="00481BCE"/>
    <w:rsid w:val="004826D1"/>
    <w:rsid w:val="004827E6"/>
    <w:rsid w:val="00482AC6"/>
    <w:rsid w:val="00482D51"/>
    <w:rsid w:val="00483269"/>
    <w:rsid w:val="004837E7"/>
    <w:rsid w:val="00483E72"/>
    <w:rsid w:val="0048423C"/>
    <w:rsid w:val="004847D8"/>
    <w:rsid w:val="00484AF2"/>
    <w:rsid w:val="00484B56"/>
    <w:rsid w:val="00484C72"/>
    <w:rsid w:val="00484DBB"/>
    <w:rsid w:val="00484EAA"/>
    <w:rsid w:val="004854CF"/>
    <w:rsid w:val="004856E2"/>
    <w:rsid w:val="004861CC"/>
    <w:rsid w:val="004862C2"/>
    <w:rsid w:val="00486576"/>
    <w:rsid w:val="00486591"/>
    <w:rsid w:val="00486683"/>
    <w:rsid w:val="004866FC"/>
    <w:rsid w:val="00487126"/>
    <w:rsid w:val="0049009A"/>
    <w:rsid w:val="00490AF5"/>
    <w:rsid w:val="00490EB8"/>
    <w:rsid w:val="00491189"/>
    <w:rsid w:val="00491C30"/>
    <w:rsid w:val="00491EBE"/>
    <w:rsid w:val="00491EC3"/>
    <w:rsid w:val="00491EE4"/>
    <w:rsid w:val="00491F4A"/>
    <w:rsid w:val="00492304"/>
    <w:rsid w:val="0049231B"/>
    <w:rsid w:val="004923B1"/>
    <w:rsid w:val="004925D8"/>
    <w:rsid w:val="00492CBD"/>
    <w:rsid w:val="00493D5C"/>
    <w:rsid w:val="00494AC1"/>
    <w:rsid w:val="00494BD6"/>
    <w:rsid w:val="00494C36"/>
    <w:rsid w:val="00494E45"/>
    <w:rsid w:val="00494FB8"/>
    <w:rsid w:val="004952CA"/>
    <w:rsid w:val="00495353"/>
    <w:rsid w:val="00495360"/>
    <w:rsid w:val="00495472"/>
    <w:rsid w:val="00495784"/>
    <w:rsid w:val="00496465"/>
    <w:rsid w:val="004965B5"/>
    <w:rsid w:val="00496775"/>
    <w:rsid w:val="004969B5"/>
    <w:rsid w:val="00496A40"/>
    <w:rsid w:val="00496B21"/>
    <w:rsid w:val="00497116"/>
    <w:rsid w:val="00497220"/>
    <w:rsid w:val="00497732"/>
    <w:rsid w:val="00497759"/>
    <w:rsid w:val="004979CE"/>
    <w:rsid w:val="00497B88"/>
    <w:rsid w:val="004A0789"/>
    <w:rsid w:val="004A0E52"/>
    <w:rsid w:val="004A1215"/>
    <w:rsid w:val="004A14D5"/>
    <w:rsid w:val="004A15E9"/>
    <w:rsid w:val="004A19BA"/>
    <w:rsid w:val="004A1A80"/>
    <w:rsid w:val="004A1D63"/>
    <w:rsid w:val="004A2129"/>
    <w:rsid w:val="004A2277"/>
    <w:rsid w:val="004A231C"/>
    <w:rsid w:val="004A2F41"/>
    <w:rsid w:val="004A32B3"/>
    <w:rsid w:val="004A3B63"/>
    <w:rsid w:val="004A3D95"/>
    <w:rsid w:val="004A3FDD"/>
    <w:rsid w:val="004A40FD"/>
    <w:rsid w:val="004A46C1"/>
    <w:rsid w:val="004A4760"/>
    <w:rsid w:val="004A48E6"/>
    <w:rsid w:val="004A490B"/>
    <w:rsid w:val="004A4B0E"/>
    <w:rsid w:val="004A4CD6"/>
    <w:rsid w:val="004A4E67"/>
    <w:rsid w:val="004A508B"/>
    <w:rsid w:val="004A55D4"/>
    <w:rsid w:val="004A57A0"/>
    <w:rsid w:val="004A57B1"/>
    <w:rsid w:val="004A5ACF"/>
    <w:rsid w:val="004A5CB3"/>
    <w:rsid w:val="004A6458"/>
    <w:rsid w:val="004A6A43"/>
    <w:rsid w:val="004A6B5F"/>
    <w:rsid w:val="004A6E9F"/>
    <w:rsid w:val="004A70C2"/>
    <w:rsid w:val="004A70CF"/>
    <w:rsid w:val="004A7626"/>
    <w:rsid w:val="004A7D9A"/>
    <w:rsid w:val="004A7FBD"/>
    <w:rsid w:val="004B0069"/>
    <w:rsid w:val="004B04B6"/>
    <w:rsid w:val="004B09C6"/>
    <w:rsid w:val="004B0ABE"/>
    <w:rsid w:val="004B0C01"/>
    <w:rsid w:val="004B0CDA"/>
    <w:rsid w:val="004B0DB3"/>
    <w:rsid w:val="004B1A38"/>
    <w:rsid w:val="004B1D19"/>
    <w:rsid w:val="004B1D85"/>
    <w:rsid w:val="004B2245"/>
    <w:rsid w:val="004B24C2"/>
    <w:rsid w:val="004B2537"/>
    <w:rsid w:val="004B2CBA"/>
    <w:rsid w:val="004B3A8E"/>
    <w:rsid w:val="004B3ABC"/>
    <w:rsid w:val="004B4670"/>
    <w:rsid w:val="004B48CD"/>
    <w:rsid w:val="004B4CE4"/>
    <w:rsid w:val="004B4CE5"/>
    <w:rsid w:val="004B4F7D"/>
    <w:rsid w:val="004B547C"/>
    <w:rsid w:val="004B561D"/>
    <w:rsid w:val="004B61DE"/>
    <w:rsid w:val="004B67DC"/>
    <w:rsid w:val="004B695B"/>
    <w:rsid w:val="004B709F"/>
    <w:rsid w:val="004B727A"/>
    <w:rsid w:val="004B7718"/>
    <w:rsid w:val="004B772E"/>
    <w:rsid w:val="004C009A"/>
    <w:rsid w:val="004C048F"/>
    <w:rsid w:val="004C0571"/>
    <w:rsid w:val="004C063F"/>
    <w:rsid w:val="004C0B55"/>
    <w:rsid w:val="004C13E4"/>
    <w:rsid w:val="004C1988"/>
    <w:rsid w:val="004C19FB"/>
    <w:rsid w:val="004C1A81"/>
    <w:rsid w:val="004C1B85"/>
    <w:rsid w:val="004C1BB3"/>
    <w:rsid w:val="004C24E4"/>
    <w:rsid w:val="004C2549"/>
    <w:rsid w:val="004C28D4"/>
    <w:rsid w:val="004C2C6D"/>
    <w:rsid w:val="004C349D"/>
    <w:rsid w:val="004C365B"/>
    <w:rsid w:val="004C36D5"/>
    <w:rsid w:val="004C3766"/>
    <w:rsid w:val="004C39B0"/>
    <w:rsid w:val="004C3A94"/>
    <w:rsid w:val="004C42D4"/>
    <w:rsid w:val="004C4773"/>
    <w:rsid w:val="004C4B83"/>
    <w:rsid w:val="004C4CA1"/>
    <w:rsid w:val="004C5633"/>
    <w:rsid w:val="004C5A6A"/>
    <w:rsid w:val="004C5C04"/>
    <w:rsid w:val="004C5EAE"/>
    <w:rsid w:val="004C5FDB"/>
    <w:rsid w:val="004C6140"/>
    <w:rsid w:val="004C6434"/>
    <w:rsid w:val="004C649E"/>
    <w:rsid w:val="004C6644"/>
    <w:rsid w:val="004C6C7D"/>
    <w:rsid w:val="004C6E25"/>
    <w:rsid w:val="004C7706"/>
    <w:rsid w:val="004D02C4"/>
    <w:rsid w:val="004D0356"/>
    <w:rsid w:val="004D0592"/>
    <w:rsid w:val="004D119F"/>
    <w:rsid w:val="004D12F4"/>
    <w:rsid w:val="004D1A64"/>
    <w:rsid w:val="004D2C71"/>
    <w:rsid w:val="004D2CB7"/>
    <w:rsid w:val="004D2DE4"/>
    <w:rsid w:val="004D2FE5"/>
    <w:rsid w:val="004D35F0"/>
    <w:rsid w:val="004D3A22"/>
    <w:rsid w:val="004D41C6"/>
    <w:rsid w:val="004D4612"/>
    <w:rsid w:val="004D4BA9"/>
    <w:rsid w:val="004D4DF6"/>
    <w:rsid w:val="004D4EE1"/>
    <w:rsid w:val="004D5090"/>
    <w:rsid w:val="004D5D59"/>
    <w:rsid w:val="004D622D"/>
    <w:rsid w:val="004D632A"/>
    <w:rsid w:val="004D677C"/>
    <w:rsid w:val="004D78B7"/>
    <w:rsid w:val="004E080C"/>
    <w:rsid w:val="004E0811"/>
    <w:rsid w:val="004E09AF"/>
    <w:rsid w:val="004E0F96"/>
    <w:rsid w:val="004E126F"/>
    <w:rsid w:val="004E12F9"/>
    <w:rsid w:val="004E1360"/>
    <w:rsid w:val="004E181D"/>
    <w:rsid w:val="004E1E0C"/>
    <w:rsid w:val="004E2668"/>
    <w:rsid w:val="004E2BBD"/>
    <w:rsid w:val="004E335D"/>
    <w:rsid w:val="004E3503"/>
    <w:rsid w:val="004E3DA0"/>
    <w:rsid w:val="004E3F3A"/>
    <w:rsid w:val="004E4112"/>
    <w:rsid w:val="004E436C"/>
    <w:rsid w:val="004E449F"/>
    <w:rsid w:val="004E4D9F"/>
    <w:rsid w:val="004E54F9"/>
    <w:rsid w:val="004E596A"/>
    <w:rsid w:val="004E5BE0"/>
    <w:rsid w:val="004E6062"/>
    <w:rsid w:val="004E63C7"/>
    <w:rsid w:val="004E649B"/>
    <w:rsid w:val="004E64DD"/>
    <w:rsid w:val="004E6648"/>
    <w:rsid w:val="004E67A8"/>
    <w:rsid w:val="004E6C76"/>
    <w:rsid w:val="004E6EB7"/>
    <w:rsid w:val="004E7A51"/>
    <w:rsid w:val="004E7BE1"/>
    <w:rsid w:val="004E7C7D"/>
    <w:rsid w:val="004E7E4D"/>
    <w:rsid w:val="004F1117"/>
    <w:rsid w:val="004F1118"/>
    <w:rsid w:val="004F1709"/>
    <w:rsid w:val="004F1824"/>
    <w:rsid w:val="004F1830"/>
    <w:rsid w:val="004F18B0"/>
    <w:rsid w:val="004F1947"/>
    <w:rsid w:val="004F1C3C"/>
    <w:rsid w:val="004F263A"/>
    <w:rsid w:val="004F282E"/>
    <w:rsid w:val="004F3155"/>
    <w:rsid w:val="004F3274"/>
    <w:rsid w:val="004F32FC"/>
    <w:rsid w:val="004F3B74"/>
    <w:rsid w:val="004F4301"/>
    <w:rsid w:val="004F438C"/>
    <w:rsid w:val="004F4BBC"/>
    <w:rsid w:val="004F525F"/>
    <w:rsid w:val="004F5282"/>
    <w:rsid w:val="004F5DA7"/>
    <w:rsid w:val="004F6822"/>
    <w:rsid w:val="004F6A62"/>
    <w:rsid w:val="004F6F2E"/>
    <w:rsid w:val="004F704E"/>
    <w:rsid w:val="004F710A"/>
    <w:rsid w:val="004F71F3"/>
    <w:rsid w:val="0050011B"/>
    <w:rsid w:val="005004DC"/>
    <w:rsid w:val="00500E89"/>
    <w:rsid w:val="00500FB7"/>
    <w:rsid w:val="0050150F"/>
    <w:rsid w:val="005015EA"/>
    <w:rsid w:val="0050163F"/>
    <w:rsid w:val="00501A44"/>
    <w:rsid w:val="00501E9C"/>
    <w:rsid w:val="00501F14"/>
    <w:rsid w:val="005029AC"/>
    <w:rsid w:val="00502C5C"/>
    <w:rsid w:val="00502F75"/>
    <w:rsid w:val="005031E4"/>
    <w:rsid w:val="005031E6"/>
    <w:rsid w:val="00503885"/>
    <w:rsid w:val="00503E3C"/>
    <w:rsid w:val="00503E45"/>
    <w:rsid w:val="00503EE3"/>
    <w:rsid w:val="00503FBD"/>
    <w:rsid w:val="005045A1"/>
    <w:rsid w:val="00504647"/>
    <w:rsid w:val="0050474E"/>
    <w:rsid w:val="00504871"/>
    <w:rsid w:val="005048BB"/>
    <w:rsid w:val="00504FDA"/>
    <w:rsid w:val="00506190"/>
    <w:rsid w:val="005061B1"/>
    <w:rsid w:val="0050635E"/>
    <w:rsid w:val="00506CBB"/>
    <w:rsid w:val="0050723E"/>
    <w:rsid w:val="00507756"/>
    <w:rsid w:val="00507A4A"/>
    <w:rsid w:val="00510134"/>
    <w:rsid w:val="005101A6"/>
    <w:rsid w:val="005103AD"/>
    <w:rsid w:val="005109AB"/>
    <w:rsid w:val="00510AE0"/>
    <w:rsid w:val="00510CB5"/>
    <w:rsid w:val="00511080"/>
    <w:rsid w:val="00511410"/>
    <w:rsid w:val="00511769"/>
    <w:rsid w:val="00511B6C"/>
    <w:rsid w:val="0051206E"/>
    <w:rsid w:val="005122A1"/>
    <w:rsid w:val="00512456"/>
    <w:rsid w:val="005125AA"/>
    <w:rsid w:val="00512697"/>
    <w:rsid w:val="005127F2"/>
    <w:rsid w:val="005128B8"/>
    <w:rsid w:val="00513680"/>
    <w:rsid w:val="00513BDF"/>
    <w:rsid w:val="00513EA2"/>
    <w:rsid w:val="00514669"/>
    <w:rsid w:val="00514F5E"/>
    <w:rsid w:val="0051537F"/>
    <w:rsid w:val="00516CB8"/>
    <w:rsid w:val="0051785E"/>
    <w:rsid w:val="00517FF8"/>
    <w:rsid w:val="0052009F"/>
    <w:rsid w:val="00520BE5"/>
    <w:rsid w:val="00520DE0"/>
    <w:rsid w:val="00521204"/>
    <w:rsid w:val="00521E1D"/>
    <w:rsid w:val="0052223F"/>
    <w:rsid w:val="00522296"/>
    <w:rsid w:val="005236DF"/>
    <w:rsid w:val="00523E37"/>
    <w:rsid w:val="00523E73"/>
    <w:rsid w:val="005242D7"/>
    <w:rsid w:val="005242E8"/>
    <w:rsid w:val="00524704"/>
    <w:rsid w:val="00524E1E"/>
    <w:rsid w:val="00524F4F"/>
    <w:rsid w:val="0052507A"/>
    <w:rsid w:val="005251FD"/>
    <w:rsid w:val="00525702"/>
    <w:rsid w:val="00525762"/>
    <w:rsid w:val="005262EF"/>
    <w:rsid w:val="0052633C"/>
    <w:rsid w:val="0052667C"/>
    <w:rsid w:val="005266E2"/>
    <w:rsid w:val="00526FB6"/>
    <w:rsid w:val="00527421"/>
    <w:rsid w:val="00530029"/>
    <w:rsid w:val="005300AD"/>
    <w:rsid w:val="005300F7"/>
    <w:rsid w:val="00530E03"/>
    <w:rsid w:val="00531016"/>
    <w:rsid w:val="005312F9"/>
    <w:rsid w:val="00531392"/>
    <w:rsid w:val="005313EC"/>
    <w:rsid w:val="00531FC6"/>
    <w:rsid w:val="00532140"/>
    <w:rsid w:val="00532659"/>
    <w:rsid w:val="005328D5"/>
    <w:rsid w:val="005328F8"/>
    <w:rsid w:val="0053337C"/>
    <w:rsid w:val="00533901"/>
    <w:rsid w:val="005339A5"/>
    <w:rsid w:val="00534E49"/>
    <w:rsid w:val="00535686"/>
    <w:rsid w:val="00535861"/>
    <w:rsid w:val="0053587D"/>
    <w:rsid w:val="00535911"/>
    <w:rsid w:val="00536665"/>
    <w:rsid w:val="00536921"/>
    <w:rsid w:val="00536924"/>
    <w:rsid w:val="00536A2F"/>
    <w:rsid w:val="005372A0"/>
    <w:rsid w:val="0053774E"/>
    <w:rsid w:val="005378FB"/>
    <w:rsid w:val="00537FC7"/>
    <w:rsid w:val="00540659"/>
    <w:rsid w:val="005409A2"/>
    <w:rsid w:val="00540EE8"/>
    <w:rsid w:val="00540FE4"/>
    <w:rsid w:val="0054162E"/>
    <w:rsid w:val="00541B3B"/>
    <w:rsid w:val="00541B61"/>
    <w:rsid w:val="00542484"/>
    <w:rsid w:val="0054259A"/>
    <w:rsid w:val="005429BF"/>
    <w:rsid w:val="00542C9F"/>
    <w:rsid w:val="00542F26"/>
    <w:rsid w:val="00542F60"/>
    <w:rsid w:val="00542F9E"/>
    <w:rsid w:val="005433D9"/>
    <w:rsid w:val="00543665"/>
    <w:rsid w:val="005437FE"/>
    <w:rsid w:val="00543993"/>
    <w:rsid w:val="00543E5E"/>
    <w:rsid w:val="0054453A"/>
    <w:rsid w:val="00544718"/>
    <w:rsid w:val="005447BC"/>
    <w:rsid w:val="00545211"/>
    <w:rsid w:val="00545418"/>
    <w:rsid w:val="00546084"/>
    <w:rsid w:val="00546277"/>
    <w:rsid w:val="0054654D"/>
    <w:rsid w:val="00546636"/>
    <w:rsid w:val="0055000E"/>
    <w:rsid w:val="00550026"/>
    <w:rsid w:val="00550050"/>
    <w:rsid w:val="0055006C"/>
    <w:rsid w:val="005501F4"/>
    <w:rsid w:val="005502E2"/>
    <w:rsid w:val="0055030E"/>
    <w:rsid w:val="005505CE"/>
    <w:rsid w:val="005506B1"/>
    <w:rsid w:val="0055115A"/>
    <w:rsid w:val="0055125F"/>
    <w:rsid w:val="00551E6C"/>
    <w:rsid w:val="005522C9"/>
    <w:rsid w:val="00552620"/>
    <w:rsid w:val="0055299A"/>
    <w:rsid w:val="00552EDE"/>
    <w:rsid w:val="005532BF"/>
    <w:rsid w:val="00553D94"/>
    <w:rsid w:val="00554F09"/>
    <w:rsid w:val="005556C6"/>
    <w:rsid w:val="005556FE"/>
    <w:rsid w:val="00555A29"/>
    <w:rsid w:val="00555F7D"/>
    <w:rsid w:val="0055607F"/>
    <w:rsid w:val="005562EF"/>
    <w:rsid w:val="005563CC"/>
    <w:rsid w:val="00556C23"/>
    <w:rsid w:val="00556EBE"/>
    <w:rsid w:val="00557661"/>
    <w:rsid w:val="005576F5"/>
    <w:rsid w:val="005579DB"/>
    <w:rsid w:val="00557CB0"/>
    <w:rsid w:val="00557D95"/>
    <w:rsid w:val="00557F9C"/>
    <w:rsid w:val="00560A42"/>
    <w:rsid w:val="00560B24"/>
    <w:rsid w:val="0056149F"/>
    <w:rsid w:val="005621F1"/>
    <w:rsid w:val="0056229C"/>
    <w:rsid w:val="005627E4"/>
    <w:rsid w:val="0056291A"/>
    <w:rsid w:val="005629CC"/>
    <w:rsid w:val="00563374"/>
    <w:rsid w:val="0056371D"/>
    <w:rsid w:val="00563B99"/>
    <w:rsid w:val="00563D7E"/>
    <w:rsid w:val="00563EFA"/>
    <w:rsid w:val="0056404B"/>
    <w:rsid w:val="00565181"/>
    <w:rsid w:val="00565B37"/>
    <w:rsid w:val="00565F95"/>
    <w:rsid w:val="00565FEA"/>
    <w:rsid w:val="005661B4"/>
    <w:rsid w:val="005662A0"/>
    <w:rsid w:val="005666F6"/>
    <w:rsid w:val="00566A13"/>
    <w:rsid w:val="00566B8A"/>
    <w:rsid w:val="00566C54"/>
    <w:rsid w:val="00566E96"/>
    <w:rsid w:val="00566EA3"/>
    <w:rsid w:val="00566F3F"/>
    <w:rsid w:val="00566F4C"/>
    <w:rsid w:val="00567115"/>
    <w:rsid w:val="0056771A"/>
    <w:rsid w:val="0057012C"/>
    <w:rsid w:val="005702EC"/>
    <w:rsid w:val="00570580"/>
    <w:rsid w:val="00570603"/>
    <w:rsid w:val="00571400"/>
    <w:rsid w:val="005715B7"/>
    <w:rsid w:val="0057192F"/>
    <w:rsid w:val="00571B3D"/>
    <w:rsid w:val="00571EA1"/>
    <w:rsid w:val="005723F1"/>
    <w:rsid w:val="005723F9"/>
    <w:rsid w:val="00572416"/>
    <w:rsid w:val="00572439"/>
    <w:rsid w:val="00572C10"/>
    <w:rsid w:val="00573768"/>
    <w:rsid w:val="00573B29"/>
    <w:rsid w:val="00573C47"/>
    <w:rsid w:val="00573C80"/>
    <w:rsid w:val="00573C8A"/>
    <w:rsid w:val="00573E16"/>
    <w:rsid w:val="00573FE5"/>
    <w:rsid w:val="005749B6"/>
    <w:rsid w:val="0057558F"/>
    <w:rsid w:val="005756C2"/>
    <w:rsid w:val="0057581D"/>
    <w:rsid w:val="00575ABF"/>
    <w:rsid w:val="0057618D"/>
    <w:rsid w:val="00576539"/>
    <w:rsid w:val="0057659D"/>
    <w:rsid w:val="005767EF"/>
    <w:rsid w:val="00576976"/>
    <w:rsid w:val="005769F9"/>
    <w:rsid w:val="00576D5C"/>
    <w:rsid w:val="005770E4"/>
    <w:rsid w:val="005771E4"/>
    <w:rsid w:val="0057794B"/>
    <w:rsid w:val="00577EB3"/>
    <w:rsid w:val="0058039D"/>
    <w:rsid w:val="0058043C"/>
    <w:rsid w:val="00580512"/>
    <w:rsid w:val="00580913"/>
    <w:rsid w:val="00580EE7"/>
    <w:rsid w:val="00580F75"/>
    <w:rsid w:val="0058144F"/>
    <w:rsid w:val="00581461"/>
    <w:rsid w:val="0058149D"/>
    <w:rsid w:val="0058149E"/>
    <w:rsid w:val="00581B09"/>
    <w:rsid w:val="00581BD6"/>
    <w:rsid w:val="00581C13"/>
    <w:rsid w:val="00581DC9"/>
    <w:rsid w:val="00581EDE"/>
    <w:rsid w:val="00581FB9"/>
    <w:rsid w:val="005823E7"/>
    <w:rsid w:val="00582473"/>
    <w:rsid w:val="005827FA"/>
    <w:rsid w:val="00582B29"/>
    <w:rsid w:val="00582E16"/>
    <w:rsid w:val="0058389D"/>
    <w:rsid w:val="00583A2D"/>
    <w:rsid w:val="00583B95"/>
    <w:rsid w:val="00583F02"/>
    <w:rsid w:val="00584122"/>
    <w:rsid w:val="005843EC"/>
    <w:rsid w:val="00584EB0"/>
    <w:rsid w:val="00584F39"/>
    <w:rsid w:val="0058581F"/>
    <w:rsid w:val="00585C1D"/>
    <w:rsid w:val="00585DF5"/>
    <w:rsid w:val="00586980"/>
    <w:rsid w:val="00586DA0"/>
    <w:rsid w:val="00586DF0"/>
    <w:rsid w:val="00587067"/>
    <w:rsid w:val="00587214"/>
    <w:rsid w:val="0058728C"/>
    <w:rsid w:val="0058775E"/>
    <w:rsid w:val="00587893"/>
    <w:rsid w:val="005878D3"/>
    <w:rsid w:val="00587E2C"/>
    <w:rsid w:val="00590078"/>
    <w:rsid w:val="0059022C"/>
    <w:rsid w:val="00590987"/>
    <w:rsid w:val="00590A6B"/>
    <w:rsid w:val="00590BBD"/>
    <w:rsid w:val="00590C57"/>
    <w:rsid w:val="00590EF5"/>
    <w:rsid w:val="00591576"/>
    <w:rsid w:val="005919A8"/>
    <w:rsid w:val="005925A3"/>
    <w:rsid w:val="00592929"/>
    <w:rsid w:val="00592CFA"/>
    <w:rsid w:val="00593244"/>
    <w:rsid w:val="0059370F"/>
    <w:rsid w:val="00593C66"/>
    <w:rsid w:val="005940B1"/>
    <w:rsid w:val="0059412B"/>
    <w:rsid w:val="00594BA7"/>
    <w:rsid w:val="00595700"/>
    <w:rsid w:val="00595DB9"/>
    <w:rsid w:val="00595FC4"/>
    <w:rsid w:val="00596493"/>
    <w:rsid w:val="005964D3"/>
    <w:rsid w:val="005968B3"/>
    <w:rsid w:val="00596937"/>
    <w:rsid w:val="00596A99"/>
    <w:rsid w:val="00596C32"/>
    <w:rsid w:val="00596EB6"/>
    <w:rsid w:val="00597268"/>
    <w:rsid w:val="005A0577"/>
    <w:rsid w:val="005A087F"/>
    <w:rsid w:val="005A0A1A"/>
    <w:rsid w:val="005A0AC8"/>
    <w:rsid w:val="005A1F13"/>
    <w:rsid w:val="005A2472"/>
    <w:rsid w:val="005A24BD"/>
    <w:rsid w:val="005A2705"/>
    <w:rsid w:val="005A2BA4"/>
    <w:rsid w:val="005A30DB"/>
    <w:rsid w:val="005A33E0"/>
    <w:rsid w:val="005A3EF3"/>
    <w:rsid w:val="005A44BC"/>
    <w:rsid w:val="005A46AD"/>
    <w:rsid w:val="005A4F98"/>
    <w:rsid w:val="005A50AF"/>
    <w:rsid w:val="005A5FEE"/>
    <w:rsid w:val="005A621C"/>
    <w:rsid w:val="005A69E2"/>
    <w:rsid w:val="005A7490"/>
    <w:rsid w:val="005A74C6"/>
    <w:rsid w:val="005A74F1"/>
    <w:rsid w:val="005A75E9"/>
    <w:rsid w:val="005A7C36"/>
    <w:rsid w:val="005A7C45"/>
    <w:rsid w:val="005A7E8A"/>
    <w:rsid w:val="005A7ECA"/>
    <w:rsid w:val="005B0723"/>
    <w:rsid w:val="005B0811"/>
    <w:rsid w:val="005B09AE"/>
    <w:rsid w:val="005B0A12"/>
    <w:rsid w:val="005B0CCA"/>
    <w:rsid w:val="005B0D7E"/>
    <w:rsid w:val="005B0EE3"/>
    <w:rsid w:val="005B1006"/>
    <w:rsid w:val="005B17F5"/>
    <w:rsid w:val="005B1C77"/>
    <w:rsid w:val="005B1DF2"/>
    <w:rsid w:val="005B2462"/>
    <w:rsid w:val="005B2869"/>
    <w:rsid w:val="005B2A26"/>
    <w:rsid w:val="005B2DB6"/>
    <w:rsid w:val="005B2FBF"/>
    <w:rsid w:val="005B3140"/>
    <w:rsid w:val="005B3A85"/>
    <w:rsid w:val="005B4457"/>
    <w:rsid w:val="005B49BE"/>
    <w:rsid w:val="005B51FB"/>
    <w:rsid w:val="005B539A"/>
    <w:rsid w:val="005B53A5"/>
    <w:rsid w:val="005B5A52"/>
    <w:rsid w:val="005B5AA1"/>
    <w:rsid w:val="005B5B7B"/>
    <w:rsid w:val="005B6009"/>
    <w:rsid w:val="005B605A"/>
    <w:rsid w:val="005B635D"/>
    <w:rsid w:val="005B6602"/>
    <w:rsid w:val="005B69CC"/>
    <w:rsid w:val="005B6FA7"/>
    <w:rsid w:val="005B772A"/>
    <w:rsid w:val="005C050D"/>
    <w:rsid w:val="005C0CF6"/>
    <w:rsid w:val="005C1239"/>
    <w:rsid w:val="005C17D5"/>
    <w:rsid w:val="005C1FFF"/>
    <w:rsid w:val="005C21EC"/>
    <w:rsid w:val="005C237C"/>
    <w:rsid w:val="005C2495"/>
    <w:rsid w:val="005C26EF"/>
    <w:rsid w:val="005C30A1"/>
    <w:rsid w:val="005C3863"/>
    <w:rsid w:val="005C3AB3"/>
    <w:rsid w:val="005C3E2F"/>
    <w:rsid w:val="005C408A"/>
    <w:rsid w:val="005C45F8"/>
    <w:rsid w:val="005C46D5"/>
    <w:rsid w:val="005C47BF"/>
    <w:rsid w:val="005C4B2F"/>
    <w:rsid w:val="005C568E"/>
    <w:rsid w:val="005C5A12"/>
    <w:rsid w:val="005C5AC6"/>
    <w:rsid w:val="005C5E18"/>
    <w:rsid w:val="005C60DF"/>
    <w:rsid w:val="005C69FE"/>
    <w:rsid w:val="005C6AEE"/>
    <w:rsid w:val="005C6BD1"/>
    <w:rsid w:val="005C6C46"/>
    <w:rsid w:val="005C6D2A"/>
    <w:rsid w:val="005C6DFB"/>
    <w:rsid w:val="005C6FD7"/>
    <w:rsid w:val="005C73D1"/>
    <w:rsid w:val="005C78AB"/>
    <w:rsid w:val="005C7A82"/>
    <w:rsid w:val="005C7BF4"/>
    <w:rsid w:val="005C7E83"/>
    <w:rsid w:val="005D04BD"/>
    <w:rsid w:val="005D0501"/>
    <w:rsid w:val="005D050D"/>
    <w:rsid w:val="005D0593"/>
    <w:rsid w:val="005D09E9"/>
    <w:rsid w:val="005D0B22"/>
    <w:rsid w:val="005D0C18"/>
    <w:rsid w:val="005D0CEB"/>
    <w:rsid w:val="005D0E43"/>
    <w:rsid w:val="005D1431"/>
    <w:rsid w:val="005D1A8B"/>
    <w:rsid w:val="005D2233"/>
    <w:rsid w:val="005D2263"/>
    <w:rsid w:val="005D22BB"/>
    <w:rsid w:val="005D23CD"/>
    <w:rsid w:val="005D247B"/>
    <w:rsid w:val="005D30DA"/>
    <w:rsid w:val="005D3380"/>
    <w:rsid w:val="005D33CC"/>
    <w:rsid w:val="005D3A4C"/>
    <w:rsid w:val="005D3E5B"/>
    <w:rsid w:val="005D4DDF"/>
    <w:rsid w:val="005D5264"/>
    <w:rsid w:val="005D5A0F"/>
    <w:rsid w:val="005D5AF9"/>
    <w:rsid w:val="005D5B3C"/>
    <w:rsid w:val="005D673E"/>
    <w:rsid w:val="005D6A2C"/>
    <w:rsid w:val="005D6ABF"/>
    <w:rsid w:val="005D6FB8"/>
    <w:rsid w:val="005D78E8"/>
    <w:rsid w:val="005E071A"/>
    <w:rsid w:val="005E0B74"/>
    <w:rsid w:val="005E0F7E"/>
    <w:rsid w:val="005E183A"/>
    <w:rsid w:val="005E18B9"/>
    <w:rsid w:val="005E19CA"/>
    <w:rsid w:val="005E2335"/>
    <w:rsid w:val="005E2434"/>
    <w:rsid w:val="005E2D55"/>
    <w:rsid w:val="005E2F5E"/>
    <w:rsid w:val="005E3133"/>
    <w:rsid w:val="005E32FE"/>
    <w:rsid w:val="005E3943"/>
    <w:rsid w:val="005E3B99"/>
    <w:rsid w:val="005E3C87"/>
    <w:rsid w:val="005E3DFA"/>
    <w:rsid w:val="005E3E62"/>
    <w:rsid w:val="005E42D2"/>
    <w:rsid w:val="005E4866"/>
    <w:rsid w:val="005E49E8"/>
    <w:rsid w:val="005E4C7E"/>
    <w:rsid w:val="005E501E"/>
    <w:rsid w:val="005E526C"/>
    <w:rsid w:val="005E540B"/>
    <w:rsid w:val="005E552A"/>
    <w:rsid w:val="005E5CF1"/>
    <w:rsid w:val="005E5FF9"/>
    <w:rsid w:val="005E61CD"/>
    <w:rsid w:val="005E6344"/>
    <w:rsid w:val="005E66FB"/>
    <w:rsid w:val="005E687E"/>
    <w:rsid w:val="005E77A9"/>
    <w:rsid w:val="005E7C43"/>
    <w:rsid w:val="005F103F"/>
    <w:rsid w:val="005F126D"/>
    <w:rsid w:val="005F13BE"/>
    <w:rsid w:val="005F17C2"/>
    <w:rsid w:val="005F1DF0"/>
    <w:rsid w:val="005F2112"/>
    <w:rsid w:val="005F2415"/>
    <w:rsid w:val="005F25FF"/>
    <w:rsid w:val="005F2B99"/>
    <w:rsid w:val="005F2C9E"/>
    <w:rsid w:val="005F3003"/>
    <w:rsid w:val="005F317C"/>
    <w:rsid w:val="005F3649"/>
    <w:rsid w:val="005F3778"/>
    <w:rsid w:val="005F3A51"/>
    <w:rsid w:val="005F445B"/>
    <w:rsid w:val="005F4579"/>
    <w:rsid w:val="005F4687"/>
    <w:rsid w:val="005F4DBC"/>
    <w:rsid w:val="005F5388"/>
    <w:rsid w:val="005F5572"/>
    <w:rsid w:val="005F5D26"/>
    <w:rsid w:val="005F5F49"/>
    <w:rsid w:val="005F609D"/>
    <w:rsid w:val="005F61B8"/>
    <w:rsid w:val="005F62E6"/>
    <w:rsid w:val="005F6534"/>
    <w:rsid w:val="005F68D4"/>
    <w:rsid w:val="005F74FD"/>
    <w:rsid w:val="005F7E23"/>
    <w:rsid w:val="00600137"/>
    <w:rsid w:val="0060022F"/>
    <w:rsid w:val="00600570"/>
    <w:rsid w:val="0060058B"/>
    <w:rsid w:val="0060073A"/>
    <w:rsid w:val="0060079A"/>
    <w:rsid w:val="00600ABA"/>
    <w:rsid w:val="006010A9"/>
    <w:rsid w:val="006015DD"/>
    <w:rsid w:val="006022B8"/>
    <w:rsid w:val="006035D1"/>
    <w:rsid w:val="00603C96"/>
    <w:rsid w:val="00604229"/>
    <w:rsid w:val="006044B4"/>
    <w:rsid w:val="006049FE"/>
    <w:rsid w:val="00604B71"/>
    <w:rsid w:val="00604E76"/>
    <w:rsid w:val="00604F6C"/>
    <w:rsid w:val="006055C5"/>
    <w:rsid w:val="00605962"/>
    <w:rsid w:val="006059B3"/>
    <w:rsid w:val="00605B5E"/>
    <w:rsid w:val="00605FA3"/>
    <w:rsid w:val="00606081"/>
    <w:rsid w:val="006063AD"/>
    <w:rsid w:val="00606629"/>
    <w:rsid w:val="006066FE"/>
    <w:rsid w:val="00606920"/>
    <w:rsid w:val="00607B5A"/>
    <w:rsid w:val="0061024D"/>
    <w:rsid w:val="006104C6"/>
    <w:rsid w:val="0061050B"/>
    <w:rsid w:val="0061060A"/>
    <w:rsid w:val="00610B1C"/>
    <w:rsid w:val="00610F68"/>
    <w:rsid w:val="00611CBE"/>
    <w:rsid w:val="00611E0E"/>
    <w:rsid w:val="006124ED"/>
    <w:rsid w:val="00612B40"/>
    <w:rsid w:val="00613296"/>
    <w:rsid w:val="006138AF"/>
    <w:rsid w:val="00613BA0"/>
    <w:rsid w:val="00614A17"/>
    <w:rsid w:val="006154BD"/>
    <w:rsid w:val="00615740"/>
    <w:rsid w:val="006157B8"/>
    <w:rsid w:val="00615D9D"/>
    <w:rsid w:val="006169B1"/>
    <w:rsid w:val="00616A9F"/>
    <w:rsid w:val="00616D72"/>
    <w:rsid w:val="00616DD0"/>
    <w:rsid w:val="00616E68"/>
    <w:rsid w:val="00616F08"/>
    <w:rsid w:val="00616FCF"/>
    <w:rsid w:val="00617188"/>
    <w:rsid w:val="00617990"/>
    <w:rsid w:val="00620858"/>
    <w:rsid w:val="00620D54"/>
    <w:rsid w:val="00620D91"/>
    <w:rsid w:val="00621479"/>
    <w:rsid w:val="0062177C"/>
    <w:rsid w:val="006218E1"/>
    <w:rsid w:val="00621D8B"/>
    <w:rsid w:val="00621E33"/>
    <w:rsid w:val="00622126"/>
    <w:rsid w:val="00622B7D"/>
    <w:rsid w:val="00623025"/>
    <w:rsid w:val="0062373F"/>
    <w:rsid w:val="00623B56"/>
    <w:rsid w:val="00623BE4"/>
    <w:rsid w:val="00623CEC"/>
    <w:rsid w:val="00623D0F"/>
    <w:rsid w:val="00623D16"/>
    <w:rsid w:val="00623DD6"/>
    <w:rsid w:val="00624243"/>
    <w:rsid w:val="0062453D"/>
    <w:rsid w:val="006246E5"/>
    <w:rsid w:val="006248A8"/>
    <w:rsid w:val="00624B57"/>
    <w:rsid w:val="00624DA8"/>
    <w:rsid w:val="00625049"/>
    <w:rsid w:val="0062511E"/>
    <w:rsid w:val="006251DC"/>
    <w:rsid w:val="0062521D"/>
    <w:rsid w:val="00625841"/>
    <w:rsid w:val="006261F3"/>
    <w:rsid w:val="006265DD"/>
    <w:rsid w:val="006267C5"/>
    <w:rsid w:val="00626DBF"/>
    <w:rsid w:val="00627767"/>
    <w:rsid w:val="0062793A"/>
    <w:rsid w:val="006303FB"/>
    <w:rsid w:val="00630969"/>
    <w:rsid w:val="00632817"/>
    <w:rsid w:val="006329A7"/>
    <w:rsid w:val="00632B02"/>
    <w:rsid w:val="00633635"/>
    <w:rsid w:val="006338E7"/>
    <w:rsid w:val="00633951"/>
    <w:rsid w:val="00633C92"/>
    <w:rsid w:val="00633F1E"/>
    <w:rsid w:val="00633FFD"/>
    <w:rsid w:val="0063423E"/>
    <w:rsid w:val="00634330"/>
    <w:rsid w:val="00634445"/>
    <w:rsid w:val="00634EEE"/>
    <w:rsid w:val="00635292"/>
    <w:rsid w:val="00635AB5"/>
    <w:rsid w:val="00635C8F"/>
    <w:rsid w:val="006361B5"/>
    <w:rsid w:val="00636345"/>
    <w:rsid w:val="006363B0"/>
    <w:rsid w:val="0063652D"/>
    <w:rsid w:val="00636768"/>
    <w:rsid w:val="00636A49"/>
    <w:rsid w:val="00636DDF"/>
    <w:rsid w:val="00637034"/>
    <w:rsid w:val="00637A2D"/>
    <w:rsid w:val="00637CE3"/>
    <w:rsid w:val="00637D94"/>
    <w:rsid w:val="00637EB7"/>
    <w:rsid w:val="0064007B"/>
    <w:rsid w:val="006404F5"/>
    <w:rsid w:val="00640CAE"/>
    <w:rsid w:val="0064103D"/>
    <w:rsid w:val="006410D9"/>
    <w:rsid w:val="00641157"/>
    <w:rsid w:val="00641872"/>
    <w:rsid w:val="006418E0"/>
    <w:rsid w:val="00641910"/>
    <w:rsid w:val="00641FAC"/>
    <w:rsid w:val="0064230F"/>
    <w:rsid w:val="00642E25"/>
    <w:rsid w:val="00643070"/>
    <w:rsid w:val="006433AA"/>
    <w:rsid w:val="00643623"/>
    <w:rsid w:val="006436E5"/>
    <w:rsid w:val="006437F9"/>
    <w:rsid w:val="006438DE"/>
    <w:rsid w:val="00643A0C"/>
    <w:rsid w:val="00643B35"/>
    <w:rsid w:val="00643D36"/>
    <w:rsid w:val="00643F9C"/>
    <w:rsid w:val="00644399"/>
    <w:rsid w:val="00644F22"/>
    <w:rsid w:val="006454BA"/>
    <w:rsid w:val="00645816"/>
    <w:rsid w:val="00645A24"/>
    <w:rsid w:val="00645FAE"/>
    <w:rsid w:val="00646109"/>
    <w:rsid w:val="00646643"/>
    <w:rsid w:val="006471E0"/>
    <w:rsid w:val="006473E9"/>
    <w:rsid w:val="00647772"/>
    <w:rsid w:val="0064777A"/>
    <w:rsid w:val="00647C0B"/>
    <w:rsid w:val="00647E28"/>
    <w:rsid w:val="00647F5E"/>
    <w:rsid w:val="00650870"/>
    <w:rsid w:val="0065135F"/>
    <w:rsid w:val="006514E5"/>
    <w:rsid w:val="0065150C"/>
    <w:rsid w:val="00651741"/>
    <w:rsid w:val="006526D5"/>
    <w:rsid w:val="0065299A"/>
    <w:rsid w:val="00652A64"/>
    <w:rsid w:val="00652D24"/>
    <w:rsid w:val="0065384E"/>
    <w:rsid w:val="00653A3F"/>
    <w:rsid w:val="00653DFD"/>
    <w:rsid w:val="006541DF"/>
    <w:rsid w:val="006549D4"/>
    <w:rsid w:val="00654CD9"/>
    <w:rsid w:val="00654D74"/>
    <w:rsid w:val="00655014"/>
    <w:rsid w:val="00655213"/>
    <w:rsid w:val="006557A1"/>
    <w:rsid w:val="006560EE"/>
    <w:rsid w:val="006566AA"/>
    <w:rsid w:val="00656A26"/>
    <w:rsid w:val="00657142"/>
    <w:rsid w:val="00657799"/>
    <w:rsid w:val="0065786A"/>
    <w:rsid w:val="00657A94"/>
    <w:rsid w:val="00657E5F"/>
    <w:rsid w:val="00657ED2"/>
    <w:rsid w:val="00660064"/>
    <w:rsid w:val="0066017E"/>
    <w:rsid w:val="0066038F"/>
    <w:rsid w:val="0066095B"/>
    <w:rsid w:val="00660DB4"/>
    <w:rsid w:val="006614AA"/>
    <w:rsid w:val="0066190C"/>
    <w:rsid w:val="00662F81"/>
    <w:rsid w:val="00662FBF"/>
    <w:rsid w:val="0066307C"/>
    <w:rsid w:val="006635F1"/>
    <w:rsid w:val="00663764"/>
    <w:rsid w:val="00663816"/>
    <w:rsid w:val="00663FD4"/>
    <w:rsid w:val="00663FFC"/>
    <w:rsid w:val="006643FA"/>
    <w:rsid w:val="00664512"/>
    <w:rsid w:val="00664632"/>
    <w:rsid w:val="0066481F"/>
    <w:rsid w:val="00664986"/>
    <w:rsid w:val="00664C07"/>
    <w:rsid w:val="006658B2"/>
    <w:rsid w:val="006660B5"/>
    <w:rsid w:val="0066661A"/>
    <w:rsid w:val="00667DDA"/>
    <w:rsid w:val="00667E01"/>
    <w:rsid w:val="00667EA3"/>
    <w:rsid w:val="00667FBF"/>
    <w:rsid w:val="006704B4"/>
    <w:rsid w:val="00670D06"/>
    <w:rsid w:val="00670E20"/>
    <w:rsid w:val="006713B9"/>
    <w:rsid w:val="00671492"/>
    <w:rsid w:val="006722AE"/>
    <w:rsid w:val="006724D2"/>
    <w:rsid w:val="00672958"/>
    <w:rsid w:val="00673307"/>
    <w:rsid w:val="006735D9"/>
    <w:rsid w:val="006736C8"/>
    <w:rsid w:val="00673C2C"/>
    <w:rsid w:val="006742A9"/>
    <w:rsid w:val="00674CF3"/>
    <w:rsid w:val="0067588F"/>
    <w:rsid w:val="00675A2B"/>
    <w:rsid w:val="00675EB1"/>
    <w:rsid w:val="00676218"/>
    <w:rsid w:val="006766AB"/>
    <w:rsid w:val="006766C9"/>
    <w:rsid w:val="00676C83"/>
    <w:rsid w:val="00677B75"/>
    <w:rsid w:val="0068000A"/>
    <w:rsid w:val="00680083"/>
    <w:rsid w:val="006804E6"/>
    <w:rsid w:val="00680727"/>
    <w:rsid w:val="00680FFD"/>
    <w:rsid w:val="006822E8"/>
    <w:rsid w:val="00682875"/>
    <w:rsid w:val="00682956"/>
    <w:rsid w:val="00683050"/>
    <w:rsid w:val="006830E4"/>
    <w:rsid w:val="0068313D"/>
    <w:rsid w:val="00684202"/>
    <w:rsid w:val="00684639"/>
    <w:rsid w:val="0068490A"/>
    <w:rsid w:val="00685595"/>
    <w:rsid w:val="0068581C"/>
    <w:rsid w:val="006858BB"/>
    <w:rsid w:val="0068590A"/>
    <w:rsid w:val="006859C9"/>
    <w:rsid w:val="00685CFC"/>
    <w:rsid w:val="006867BE"/>
    <w:rsid w:val="00686FE1"/>
    <w:rsid w:val="006870DF"/>
    <w:rsid w:val="00687207"/>
    <w:rsid w:val="0068728D"/>
    <w:rsid w:val="006873AC"/>
    <w:rsid w:val="0068755E"/>
    <w:rsid w:val="0068780A"/>
    <w:rsid w:val="00690065"/>
    <w:rsid w:val="006909EA"/>
    <w:rsid w:val="00690A94"/>
    <w:rsid w:val="006910C9"/>
    <w:rsid w:val="006910F9"/>
    <w:rsid w:val="006911C0"/>
    <w:rsid w:val="00691CF9"/>
    <w:rsid w:val="006920E7"/>
    <w:rsid w:val="0069349E"/>
    <w:rsid w:val="00693B0C"/>
    <w:rsid w:val="006941AD"/>
    <w:rsid w:val="006944AF"/>
    <w:rsid w:val="00694550"/>
    <w:rsid w:val="00694636"/>
    <w:rsid w:val="006947A6"/>
    <w:rsid w:val="00694929"/>
    <w:rsid w:val="00694A7F"/>
    <w:rsid w:val="00694F76"/>
    <w:rsid w:val="0069520D"/>
    <w:rsid w:val="00695A03"/>
    <w:rsid w:val="0069618C"/>
    <w:rsid w:val="006963DB"/>
    <w:rsid w:val="0069686C"/>
    <w:rsid w:val="00696937"/>
    <w:rsid w:val="00696B95"/>
    <w:rsid w:val="00696FD8"/>
    <w:rsid w:val="0069768F"/>
    <w:rsid w:val="0069789B"/>
    <w:rsid w:val="00697C70"/>
    <w:rsid w:val="006A000C"/>
    <w:rsid w:val="006A028C"/>
    <w:rsid w:val="006A02AA"/>
    <w:rsid w:val="006A0788"/>
    <w:rsid w:val="006A0AB0"/>
    <w:rsid w:val="006A0AED"/>
    <w:rsid w:val="006A1585"/>
    <w:rsid w:val="006A186A"/>
    <w:rsid w:val="006A21F8"/>
    <w:rsid w:val="006A2374"/>
    <w:rsid w:val="006A26E2"/>
    <w:rsid w:val="006A3170"/>
    <w:rsid w:val="006A3398"/>
    <w:rsid w:val="006A3640"/>
    <w:rsid w:val="006A3FC6"/>
    <w:rsid w:val="006A4369"/>
    <w:rsid w:val="006A47FB"/>
    <w:rsid w:val="006A5526"/>
    <w:rsid w:val="006A568A"/>
    <w:rsid w:val="006A5F86"/>
    <w:rsid w:val="006A5FCC"/>
    <w:rsid w:val="006A67B5"/>
    <w:rsid w:val="006A710D"/>
    <w:rsid w:val="006A7693"/>
    <w:rsid w:val="006B02FF"/>
    <w:rsid w:val="006B04F4"/>
    <w:rsid w:val="006B0BC5"/>
    <w:rsid w:val="006B0D27"/>
    <w:rsid w:val="006B0E2A"/>
    <w:rsid w:val="006B1673"/>
    <w:rsid w:val="006B1A15"/>
    <w:rsid w:val="006B238F"/>
    <w:rsid w:val="006B26AF"/>
    <w:rsid w:val="006B2F45"/>
    <w:rsid w:val="006B2FF6"/>
    <w:rsid w:val="006B3103"/>
    <w:rsid w:val="006B449E"/>
    <w:rsid w:val="006B4514"/>
    <w:rsid w:val="006B4520"/>
    <w:rsid w:val="006B474B"/>
    <w:rsid w:val="006B4DF8"/>
    <w:rsid w:val="006B4FFF"/>
    <w:rsid w:val="006B52C4"/>
    <w:rsid w:val="006B5F2E"/>
    <w:rsid w:val="006B60C7"/>
    <w:rsid w:val="006B6875"/>
    <w:rsid w:val="006B69EA"/>
    <w:rsid w:val="006B6E14"/>
    <w:rsid w:val="006B708D"/>
    <w:rsid w:val="006B73A2"/>
    <w:rsid w:val="006B7B09"/>
    <w:rsid w:val="006B7F43"/>
    <w:rsid w:val="006C06FE"/>
    <w:rsid w:val="006C0EF5"/>
    <w:rsid w:val="006C16AF"/>
    <w:rsid w:val="006C1A98"/>
    <w:rsid w:val="006C1ED6"/>
    <w:rsid w:val="006C248D"/>
    <w:rsid w:val="006C2846"/>
    <w:rsid w:val="006C2CDD"/>
    <w:rsid w:val="006C2E00"/>
    <w:rsid w:val="006C2F9C"/>
    <w:rsid w:val="006C310D"/>
    <w:rsid w:val="006C3CA6"/>
    <w:rsid w:val="006C43CC"/>
    <w:rsid w:val="006C45FB"/>
    <w:rsid w:val="006C4764"/>
    <w:rsid w:val="006C48BA"/>
    <w:rsid w:val="006C496E"/>
    <w:rsid w:val="006C4D0E"/>
    <w:rsid w:val="006C5134"/>
    <w:rsid w:val="006C5143"/>
    <w:rsid w:val="006C538C"/>
    <w:rsid w:val="006C54FD"/>
    <w:rsid w:val="006C5609"/>
    <w:rsid w:val="006C5624"/>
    <w:rsid w:val="006C5DD6"/>
    <w:rsid w:val="006C6242"/>
    <w:rsid w:val="006C735C"/>
    <w:rsid w:val="006C769C"/>
    <w:rsid w:val="006C7980"/>
    <w:rsid w:val="006C7FA6"/>
    <w:rsid w:val="006D026F"/>
    <w:rsid w:val="006D0D74"/>
    <w:rsid w:val="006D13E4"/>
    <w:rsid w:val="006D1AFB"/>
    <w:rsid w:val="006D1EFA"/>
    <w:rsid w:val="006D23C5"/>
    <w:rsid w:val="006D301D"/>
    <w:rsid w:val="006D32B5"/>
    <w:rsid w:val="006D3DFA"/>
    <w:rsid w:val="006D3EFC"/>
    <w:rsid w:val="006D4254"/>
    <w:rsid w:val="006D4857"/>
    <w:rsid w:val="006D4922"/>
    <w:rsid w:val="006D4BAE"/>
    <w:rsid w:val="006D517C"/>
    <w:rsid w:val="006D52C3"/>
    <w:rsid w:val="006D5426"/>
    <w:rsid w:val="006D5666"/>
    <w:rsid w:val="006D591E"/>
    <w:rsid w:val="006D5D47"/>
    <w:rsid w:val="006D62C2"/>
    <w:rsid w:val="006D7105"/>
    <w:rsid w:val="006D7775"/>
    <w:rsid w:val="006D7893"/>
    <w:rsid w:val="006D7BE6"/>
    <w:rsid w:val="006E016E"/>
    <w:rsid w:val="006E05A8"/>
    <w:rsid w:val="006E0A0B"/>
    <w:rsid w:val="006E0E7C"/>
    <w:rsid w:val="006E12A1"/>
    <w:rsid w:val="006E13D4"/>
    <w:rsid w:val="006E2055"/>
    <w:rsid w:val="006E209C"/>
    <w:rsid w:val="006E2618"/>
    <w:rsid w:val="006E3932"/>
    <w:rsid w:val="006E3CFD"/>
    <w:rsid w:val="006E3FBB"/>
    <w:rsid w:val="006E42BC"/>
    <w:rsid w:val="006E43DC"/>
    <w:rsid w:val="006E4AAC"/>
    <w:rsid w:val="006E4CA6"/>
    <w:rsid w:val="006E503E"/>
    <w:rsid w:val="006E55EC"/>
    <w:rsid w:val="006E60CE"/>
    <w:rsid w:val="006E6208"/>
    <w:rsid w:val="006E6334"/>
    <w:rsid w:val="006E6D45"/>
    <w:rsid w:val="006E6D80"/>
    <w:rsid w:val="006E7431"/>
    <w:rsid w:val="006E7780"/>
    <w:rsid w:val="006F0027"/>
    <w:rsid w:val="006F0397"/>
    <w:rsid w:val="006F04BD"/>
    <w:rsid w:val="006F091C"/>
    <w:rsid w:val="006F0F1E"/>
    <w:rsid w:val="006F10E5"/>
    <w:rsid w:val="006F11EA"/>
    <w:rsid w:val="006F12D4"/>
    <w:rsid w:val="006F14F1"/>
    <w:rsid w:val="006F1B6A"/>
    <w:rsid w:val="006F1EFE"/>
    <w:rsid w:val="006F301B"/>
    <w:rsid w:val="006F38CA"/>
    <w:rsid w:val="006F3D4C"/>
    <w:rsid w:val="006F3E4F"/>
    <w:rsid w:val="006F3E76"/>
    <w:rsid w:val="006F42F8"/>
    <w:rsid w:val="006F4381"/>
    <w:rsid w:val="006F44B1"/>
    <w:rsid w:val="006F4538"/>
    <w:rsid w:val="006F484A"/>
    <w:rsid w:val="006F485D"/>
    <w:rsid w:val="006F5138"/>
    <w:rsid w:val="006F5392"/>
    <w:rsid w:val="006F53E3"/>
    <w:rsid w:val="006F580D"/>
    <w:rsid w:val="006F6412"/>
    <w:rsid w:val="006F65C1"/>
    <w:rsid w:val="006F6A93"/>
    <w:rsid w:val="006F706A"/>
    <w:rsid w:val="006F70B0"/>
    <w:rsid w:val="006F742E"/>
    <w:rsid w:val="006F7923"/>
    <w:rsid w:val="006F7D81"/>
    <w:rsid w:val="007000FA"/>
    <w:rsid w:val="00700168"/>
    <w:rsid w:val="00700913"/>
    <w:rsid w:val="007009AF"/>
    <w:rsid w:val="00700A4B"/>
    <w:rsid w:val="00700AEE"/>
    <w:rsid w:val="00700B8E"/>
    <w:rsid w:val="00700EC0"/>
    <w:rsid w:val="007010DD"/>
    <w:rsid w:val="00701365"/>
    <w:rsid w:val="00701468"/>
    <w:rsid w:val="00701617"/>
    <w:rsid w:val="00701A10"/>
    <w:rsid w:val="007023D2"/>
    <w:rsid w:val="00702460"/>
    <w:rsid w:val="00702C51"/>
    <w:rsid w:val="007033DA"/>
    <w:rsid w:val="007034C9"/>
    <w:rsid w:val="00703C46"/>
    <w:rsid w:val="00704BC9"/>
    <w:rsid w:val="00704BCE"/>
    <w:rsid w:val="00704D50"/>
    <w:rsid w:val="0070508A"/>
    <w:rsid w:val="0070627B"/>
    <w:rsid w:val="00706348"/>
    <w:rsid w:val="007066AE"/>
    <w:rsid w:val="007069BA"/>
    <w:rsid w:val="00706FEF"/>
    <w:rsid w:val="00707113"/>
    <w:rsid w:val="0070748A"/>
    <w:rsid w:val="00707D0C"/>
    <w:rsid w:val="00707FCC"/>
    <w:rsid w:val="007103BC"/>
    <w:rsid w:val="00710703"/>
    <w:rsid w:val="00710D06"/>
    <w:rsid w:val="00712146"/>
    <w:rsid w:val="00712444"/>
    <w:rsid w:val="007125CE"/>
    <w:rsid w:val="007127DA"/>
    <w:rsid w:val="00712A6C"/>
    <w:rsid w:val="00712C84"/>
    <w:rsid w:val="00712D92"/>
    <w:rsid w:val="00713221"/>
    <w:rsid w:val="00713B63"/>
    <w:rsid w:val="007143DA"/>
    <w:rsid w:val="007149D3"/>
    <w:rsid w:val="007156DE"/>
    <w:rsid w:val="00715DA8"/>
    <w:rsid w:val="00715DC5"/>
    <w:rsid w:val="007160DE"/>
    <w:rsid w:val="007160F9"/>
    <w:rsid w:val="0071648B"/>
    <w:rsid w:val="0071655B"/>
    <w:rsid w:val="007166BC"/>
    <w:rsid w:val="007167D6"/>
    <w:rsid w:val="00716AA9"/>
    <w:rsid w:val="00716CBA"/>
    <w:rsid w:val="00716EDB"/>
    <w:rsid w:val="00716F88"/>
    <w:rsid w:val="00717559"/>
    <w:rsid w:val="0071766A"/>
    <w:rsid w:val="00717E17"/>
    <w:rsid w:val="00720068"/>
    <w:rsid w:val="00720419"/>
    <w:rsid w:val="00720526"/>
    <w:rsid w:val="007208CA"/>
    <w:rsid w:val="007208D2"/>
    <w:rsid w:val="00721073"/>
    <w:rsid w:val="00721591"/>
    <w:rsid w:val="007217A1"/>
    <w:rsid w:val="00721BCA"/>
    <w:rsid w:val="00721E1A"/>
    <w:rsid w:val="0072255A"/>
    <w:rsid w:val="00722872"/>
    <w:rsid w:val="00722983"/>
    <w:rsid w:val="00723064"/>
    <w:rsid w:val="00723070"/>
    <w:rsid w:val="0072333C"/>
    <w:rsid w:val="007234A9"/>
    <w:rsid w:val="007252CF"/>
    <w:rsid w:val="00725907"/>
    <w:rsid w:val="00725B97"/>
    <w:rsid w:val="00725D02"/>
    <w:rsid w:val="00725DAC"/>
    <w:rsid w:val="00726092"/>
    <w:rsid w:val="007260AB"/>
    <w:rsid w:val="0072662B"/>
    <w:rsid w:val="00726787"/>
    <w:rsid w:val="00726E75"/>
    <w:rsid w:val="00726F6A"/>
    <w:rsid w:val="00727112"/>
    <w:rsid w:val="0072730C"/>
    <w:rsid w:val="00727421"/>
    <w:rsid w:val="007275E9"/>
    <w:rsid w:val="0072760E"/>
    <w:rsid w:val="0072795E"/>
    <w:rsid w:val="00727AA3"/>
    <w:rsid w:val="00730079"/>
    <w:rsid w:val="007300F5"/>
    <w:rsid w:val="00730116"/>
    <w:rsid w:val="007302B8"/>
    <w:rsid w:val="007302FE"/>
    <w:rsid w:val="0073046C"/>
    <w:rsid w:val="00731038"/>
    <w:rsid w:val="00731768"/>
    <w:rsid w:val="00731D85"/>
    <w:rsid w:val="00732256"/>
    <w:rsid w:val="00732673"/>
    <w:rsid w:val="00732F2B"/>
    <w:rsid w:val="007330BE"/>
    <w:rsid w:val="007332E3"/>
    <w:rsid w:val="00733764"/>
    <w:rsid w:val="0073393A"/>
    <w:rsid w:val="00733DCA"/>
    <w:rsid w:val="00733DE0"/>
    <w:rsid w:val="00734234"/>
    <w:rsid w:val="00734236"/>
    <w:rsid w:val="00734E19"/>
    <w:rsid w:val="00734FC7"/>
    <w:rsid w:val="0073520D"/>
    <w:rsid w:val="00735292"/>
    <w:rsid w:val="00735A81"/>
    <w:rsid w:val="00735AB3"/>
    <w:rsid w:val="00735BC7"/>
    <w:rsid w:val="00735EC7"/>
    <w:rsid w:val="0073641C"/>
    <w:rsid w:val="00736541"/>
    <w:rsid w:val="007369F3"/>
    <w:rsid w:val="00736A09"/>
    <w:rsid w:val="00736A87"/>
    <w:rsid w:val="00736EC9"/>
    <w:rsid w:val="00737045"/>
    <w:rsid w:val="00737490"/>
    <w:rsid w:val="007378D5"/>
    <w:rsid w:val="00737D7D"/>
    <w:rsid w:val="0074015C"/>
    <w:rsid w:val="007402F5"/>
    <w:rsid w:val="00740F31"/>
    <w:rsid w:val="007411B2"/>
    <w:rsid w:val="007414EA"/>
    <w:rsid w:val="00741525"/>
    <w:rsid w:val="00741615"/>
    <w:rsid w:val="0074171C"/>
    <w:rsid w:val="00741BFA"/>
    <w:rsid w:val="00741E1A"/>
    <w:rsid w:val="007423F1"/>
    <w:rsid w:val="007431C4"/>
    <w:rsid w:val="00743332"/>
    <w:rsid w:val="007434AF"/>
    <w:rsid w:val="007438E8"/>
    <w:rsid w:val="00743C4B"/>
    <w:rsid w:val="00743DC9"/>
    <w:rsid w:val="00744021"/>
    <w:rsid w:val="007442D7"/>
    <w:rsid w:val="00745416"/>
    <w:rsid w:val="007456DD"/>
    <w:rsid w:val="00745740"/>
    <w:rsid w:val="00745A9A"/>
    <w:rsid w:val="00745CA1"/>
    <w:rsid w:val="00745D66"/>
    <w:rsid w:val="00746430"/>
    <w:rsid w:val="007467DE"/>
    <w:rsid w:val="00746865"/>
    <w:rsid w:val="00746AE5"/>
    <w:rsid w:val="00746EB2"/>
    <w:rsid w:val="007470CD"/>
    <w:rsid w:val="00747137"/>
    <w:rsid w:val="00747A60"/>
    <w:rsid w:val="00747CE0"/>
    <w:rsid w:val="00750428"/>
    <w:rsid w:val="00750699"/>
    <w:rsid w:val="0075122F"/>
    <w:rsid w:val="007515EF"/>
    <w:rsid w:val="007519A9"/>
    <w:rsid w:val="007519E8"/>
    <w:rsid w:val="00751F11"/>
    <w:rsid w:val="00752667"/>
    <w:rsid w:val="00752CA0"/>
    <w:rsid w:val="00752D6E"/>
    <w:rsid w:val="00753384"/>
    <w:rsid w:val="00753659"/>
    <w:rsid w:val="00754EF1"/>
    <w:rsid w:val="00756592"/>
    <w:rsid w:val="00756642"/>
    <w:rsid w:val="00756A03"/>
    <w:rsid w:val="00756B47"/>
    <w:rsid w:val="00756DF9"/>
    <w:rsid w:val="0075719A"/>
    <w:rsid w:val="0075721F"/>
    <w:rsid w:val="00757C7E"/>
    <w:rsid w:val="007605B1"/>
    <w:rsid w:val="00760938"/>
    <w:rsid w:val="00760B40"/>
    <w:rsid w:val="00760D85"/>
    <w:rsid w:val="007611B1"/>
    <w:rsid w:val="00761268"/>
    <w:rsid w:val="007612D6"/>
    <w:rsid w:val="00761548"/>
    <w:rsid w:val="00761EF2"/>
    <w:rsid w:val="00761FCA"/>
    <w:rsid w:val="007620E6"/>
    <w:rsid w:val="00762390"/>
    <w:rsid w:val="00762A86"/>
    <w:rsid w:val="00762FC5"/>
    <w:rsid w:val="00763058"/>
    <w:rsid w:val="0076338D"/>
    <w:rsid w:val="0076348C"/>
    <w:rsid w:val="00763592"/>
    <w:rsid w:val="00763609"/>
    <w:rsid w:val="00763B0A"/>
    <w:rsid w:val="00763C1D"/>
    <w:rsid w:val="00763D3F"/>
    <w:rsid w:val="00763EB4"/>
    <w:rsid w:val="00763EC3"/>
    <w:rsid w:val="00764572"/>
    <w:rsid w:val="00764A4B"/>
    <w:rsid w:val="007650FA"/>
    <w:rsid w:val="0076587E"/>
    <w:rsid w:val="00765A14"/>
    <w:rsid w:val="00765A5E"/>
    <w:rsid w:val="00765A62"/>
    <w:rsid w:val="00765E78"/>
    <w:rsid w:val="00766158"/>
    <w:rsid w:val="0076637F"/>
    <w:rsid w:val="007664E2"/>
    <w:rsid w:val="0076657D"/>
    <w:rsid w:val="007666F9"/>
    <w:rsid w:val="00766704"/>
    <w:rsid w:val="00766777"/>
    <w:rsid w:val="00766848"/>
    <w:rsid w:val="00766BEA"/>
    <w:rsid w:val="00766D06"/>
    <w:rsid w:val="00766DE5"/>
    <w:rsid w:val="00767E6C"/>
    <w:rsid w:val="007702B2"/>
    <w:rsid w:val="0077037B"/>
    <w:rsid w:val="00770573"/>
    <w:rsid w:val="00770979"/>
    <w:rsid w:val="00770A8F"/>
    <w:rsid w:val="00770C23"/>
    <w:rsid w:val="00771429"/>
    <w:rsid w:val="00771B8C"/>
    <w:rsid w:val="00772860"/>
    <w:rsid w:val="0077288A"/>
    <w:rsid w:val="00772919"/>
    <w:rsid w:val="00772AAE"/>
    <w:rsid w:val="00772CCB"/>
    <w:rsid w:val="00773265"/>
    <w:rsid w:val="0077361E"/>
    <w:rsid w:val="00773AF2"/>
    <w:rsid w:val="00773CA0"/>
    <w:rsid w:val="00773CDA"/>
    <w:rsid w:val="0077421D"/>
    <w:rsid w:val="00774A0D"/>
    <w:rsid w:val="0077542C"/>
    <w:rsid w:val="0077598B"/>
    <w:rsid w:val="00775EAF"/>
    <w:rsid w:val="00775EED"/>
    <w:rsid w:val="00776304"/>
    <w:rsid w:val="007763DD"/>
    <w:rsid w:val="0077656B"/>
    <w:rsid w:val="0077656E"/>
    <w:rsid w:val="00777250"/>
    <w:rsid w:val="00777788"/>
    <w:rsid w:val="00780588"/>
    <w:rsid w:val="00780ECD"/>
    <w:rsid w:val="00780F42"/>
    <w:rsid w:val="007810B6"/>
    <w:rsid w:val="00781108"/>
    <w:rsid w:val="007813CB"/>
    <w:rsid w:val="00781702"/>
    <w:rsid w:val="00781C9C"/>
    <w:rsid w:val="00782423"/>
    <w:rsid w:val="00782844"/>
    <w:rsid w:val="00782A37"/>
    <w:rsid w:val="00783158"/>
    <w:rsid w:val="00783B51"/>
    <w:rsid w:val="00783F6B"/>
    <w:rsid w:val="00783FBF"/>
    <w:rsid w:val="00784483"/>
    <w:rsid w:val="00784536"/>
    <w:rsid w:val="007845CF"/>
    <w:rsid w:val="0078479A"/>
    <w:rsid w:val="00784CDE"/>
    <w:rsid w:val="00785632"/>
    <w:rsid w:val="00785899"/>
    <w:rsid w:val="0078595C"/>
    <w:rsid w:val="007862F0"/>
    <w:rsid w:val="007865BA"/>
    <w:rsid w:val="007867A0"/>
    <w:rsid w:val="007868C6"/>
    <w:rsid w:val="00786E1D"/>
    <w:rsid w:val="00786FFB"/>
    <w:rsid w:val="0078756B"/>
    <w:rsid w:val="00790673"/>
    <w:rsid w:val="00790AFC"/>
    <w:rsid w:val="00790DB1"/>
    <w:rsid w:val="00790E12"/>
    <w:rsid w:val="00790F80"/>
    <w:rsid w:val="0079193B"/>
    <w:rsid w:val="00791FA3"/>
    <w:rsid w:val="007927E8"/>
    <w:rsid w:val="007929D9"/>
    <w:rsid w:val="007929E9"/>
    <w:rsid w:val="007929EB"/>
    <w:rsid w:val="00792D67"/>
    <w:rsid w:val="007932EE"/>
    <w:rsid w:val="00793687"/>
    <w:rsid w:val="007936CE"/>
    <w:rsid w:val="007939EA"/>
    <w:rsid w:val="00793F0C"/>
    <w:rsid w:val="0079437A"/>
    <w:rsid w:val="007943E2"/>
    <w:rsid w:val="00794505"/>
    <w:rsid w:val="007949E9"/>
    <w:rsid w:val="00794FBE"/>
    <w:rsid w:val="007954F0"/>
    <w:rsid w:val="00795592"/>
    <w:rsid w:val="007959AC"/>
    <w:rsid w:val="00795DDD"/>
    <w:rsid w:val="00796218"/>
    <w:rsid w:val="007962E8"/>
    <w:rsid w:val="007966AE"/>
    <w:rsid w:val="00796890"/>
    <w:rsid w:val="00796B63"/>
    <w:rsid w:val="00796C8F"/>
    <w:rsid w:val="0079720E"/>
    <w:rsid w:val="00797AAB"/>
    <w:rsid w:val="00797AF5"/>
    <w:rsid w:val="00797FD3"/>
    <w:rsid w:val="007A0191"/>
    <w:rsid w:val="007A02AA"/>
    <w:rsid w:val="007A0568"/>
    <w:rsid w:val="007A0D35"/>
    <w:rsid w:val="007A19AC"/>
    <w:rsid w:val="007A1CDC"/>
    <w:rsid w:val="007A1E6A"/>
    <w:rsid w:val="007A24F0"/>
    <w:rsid w:val="007A257B"/>
    <w:rsid w:val="007A272B"/>
    <w:rsid w:val="007A2AFC"/>
    <w:rsid w:val="007A2BE3"/>
    <w:rsid w:val="007A2E9F"/>
    <w:rsid w:val="007A2FEA"/>
    <w:rsid w:val="007A32B0"/>
    <w:rsid w:val="007A34AC"/>
    <w:rsid w:val="007A3668"/>
    <w:rsid w:val="007A3747"/>
    <w:rsid w:val="007A3818"/>
    <w:rsid w:val="007A3BEA"/>
    <w:rsid w:val="007A3E5B"/>
    <w:rsid w:val="007A43DA"/>
    <w:rsid w:val="007A521B"/>
    <w:rsid w:val="007A52BD"/>
    <w:rsid w:val="007A56AF"/>
    <w:rsid w:val="007A60A0"/>
    <w:rsid w:val="007A61EC"/>
    <w:rsid w:val="007A6535"/>
    <w:rsid w:val="007A736B"/>
    <w:rsid w:val="007A7EA1"/>
    <w:rsid w:val="007B0270"/>
    <w:rsid w:val="007B0C10"/>
    <w:rsid w:val="007B16B6"/>
    <w:rsid w:val="007B1B8C"/>
    <w:rsid w:val="007B22DE"/>
    <w:rsid w:val="007B2315"/>
    <w:rsid w:val="007B25E2"/>
    <w:rsid w:val="007B2781"/>
    <w:rsid w:val="007B2D0A"/>
    <w:rsid w:val="007B2F6F"/>
    <w:rsid w:val="007B3034"/>
    <w:rsid w:val="007B3364"/>
    <w:rsid w:val="007B36B6"/>
    <w:rsid w:val="007B3705"/>
    <w:rsid w:val="007B3A16"/>
    <w:rsid w:val="007B50AD"/>
    <w:rsid w:val="007B513F"/>
    <w:rsid w:val="007B5608"/>
    <w:rsid w:val="007B578C"/>
    <w:rsid w:val="007B5892"/>
    <w:rsid w:val="007B5AEE"/>
    <w:rsid w:val="007B5B5B"/>
    <w:rsid w:val="007B5DCB"/>
    <w:rsid w:val="007B679A"/>
    <w:rsid w:val="007B67FE"/>
    <w:rsid w:val="007B6AB9"/>
    <w:rsid w:val="007B73B7"/>
    <w:rsid w:val="007B7582"/>
    <w:rsid w:val="007B773D"/>
    <w:rsid w:val="007B7DF0"/>
    <w:rsid w:val="007C0842"/>
    <w:rsid w:val="007C0ADB"/>
    <w:rsid w:val="007C0D27"/>
    <w:rsid w:val="007C1E8E"/>
    <w:rsid w:val="007C2093"/>
    <w:rsid w:val="007C23EE"/>
    <w:rsid w:val="007C259C"/>
    <w:rsid w:val="007C28C8"/>
    <w:rsid w:val="007C2AED"/>
    <w:rsid w:val="007C33E8"/>
    <w:rsid w:val="007C390E"/>
    <w:rsid w:val="007C3CDF"/>
    <w:rsid w:val="007C3D90"/>
    <w:rsid w:val="007C436D"/>
    <w:rsid w:val="007C499F"/>
    <w:rsid w:val="007C49A4"/>
    <w:rsid w:val="007C4D8C"/>
    <w:rsid w:val="007C4DA2"/>
    <w:rsid w:val="007C4F6F"/>
    <w:rsid w:val="007C50D9"/>
    <w:rsid w:val="007C514A"/>
    <w:rsid w:val="007C60AA"/>
    <w:rsid w:val="007C6436"/>
    <w:rsid w:val="007C647C"/>
    <w:rsid w:val="007C6633"/>
    <w:rsid w:val="007C6657"/>
    <w:rsid w:val="007C67F3"/>
    <w:rsid w:val="007C688A"/>
    <w:rsid w:val="007C6BCA"/>
    <w:rsid w:val="007C6EDA"/>
    <w:rsid w:val="007C6F36"/>
    <w:rsid w:val="007C7888"/>
    <w:rsid w:val="007C78BD"/>
    <w:rsid w:val="007C7D58"/>
    <w:rsid w:val="007D099D"/>
    <w:rsid w:val="007D1D91"/>
    <w:rsid w:val="007D22CA"/>
    <w:rsid w:val="007D2A94"/>
    <w:rsid w:val="007D352B"/>
    <w:rsid w:val="007D35CB"/>
    <w:rsid w:val="007D36CF"/>
    <w:rsid w:val="007D4774"/>
    <w:rsid w:val="007D4E98"/>
    <w:rsid w:val="007D4F1B"/>
    <w:rsid w:val="007D5024"/>
    <w:rsid w:val="007D5261"/>
    <w:rsid w:val="007D5373"/>
    <w:rsid w:val="007D575B"/>
    <w:rsid w:val="007D58CE"/>
    <w:rsid w:val="007D5998"/>
    <w:rsid w:val="007D5FF0"/>
    <w:rsid w:val="007D6193"/>
    <w:rsid w:val="007D62F5"/>
    <w:rsid w:val="007D639B"/>
    <w:rsid w:val="007D6439"/>
    <w:rsid w:val="007D67F8"/>
    <w:rsid w:val="007D6925"/>
    <w:rsid w:val="007D6A4F"/>
    <w:rsid w:val="007D6A64"/>
    <w:rsid w:val="007D6B54"/>
    <w:rsid w:val="007D6DA4"/>
    <w:rsid w:val="007D6DB6"/>
    <w:rsid w:val="007D7243"/>
    <w:rsid w:val="007D740F"/>
    <w:rsid w:val="007D7726"/>
    <w:rsid w:val="007D779F"/>
    <w:rsid w:val="007D7AC0"/>
    <w:rsid w:val="007D7D1A"/>
    <w:rsid w:val="007D7FC6"/>
    <w:rsid w:val="007E0C22"/>
    <w:rsid w:val="007E0CCF"/>
    <w:rsid w:val="007E153D"/>
    <w:rsid w:val="007E1A33"/>
    <w:rsid w:val="007E2494"/>
    <w:rsid w:val="007E27BA"/>
    <w:rsid w:val="007E2A58"/>
    <w:rsid w:val="007E35AF"/>
    <w:rsid w:val="007E3D36"/>
    <w:rsid w:val="007E3DB8"/>
    <w:rsid w:val="007E3F45"/>
    <w:rsid w:val="007E47A0"/>
    <w:rsid w:val="007E513C"/>
    <w:rsid w:val="007E524F"/>
    <w:rsid w:val="007E57DE"/>
    <w:rsid w:val="007E5900"/>
    <w:rsid w:val="007E603C"/>
    <w:rsid w:val="007E62BE"/>
    <w:rsid w:val="007E62C5"/>
    <w:rsid w:val="007E62E3"/>
    <w:rsid w:val="007E648C"/>
    <w:rsid w:val="007E65EB"/>
    <w:rsid w:val="007E699D"/>
    <w:rsid w:val="007E6FB9"/>
    <w:rsid w:val="007E7042"/>
    <w:rsid w:val="007E743E"/>
    <w:rsid w:val="007E763D"/>
    <w:rsid w:val="007E77C3"/>
    <w:rsid w:val="007E780C"/>
    <w:rsid w:val="007E7EB9"/>
    <w:rsid w:val="007E7FD8"/>
    <w:rsid w:val="007F0070"/>
    <w:rsid w:val="007F0278"/>
    <w:rsid w:val="007F089D"/>
    <w:rsid w:val="007F0E5A"/>
    <w:rsid w:val="007F10AE"/>
    <w:rsid w:val="007F1184"/>
    <w:rsid w:val="007F156F"/>
    <w:rsid w:val="007F159D"/>
    <w:rsid w:val="007F1B91"/>
    <w:rsid w:val="007F1C2B"/>
    <w:rsid w:val="007F220F"/>
    <w:rsid w:val="007F2337"/>
    <w:rsid w:val="007F37EF"/>
    <w:rsid w:val="007F3A7D"/>
    <w:rsid w:val="007F3B10"/>
    <w:rsid w:val="007F3C7F"/>
    <w:rsid w:val="007F3CF7"/>
    <w:rsid w:val="007F407F"/>
    <w:rsid w:val="007F451C"/>
    <w:rsid w:val="007F47DF"/>
    <w:rsid w:val="007F4A31"/>
    <w:rsid w:val="007F4D3C"/>
    <w:rsid w:val="007F4E98"/>
    <w:rsid w:val="007F4EA5"/>
    <w:rsid w:val="007F559B"/>
    <w:rsid w:val="007F56E1"/>
    <w:rsid w:val="007F5790"/>
    <w:rsid w:val="007F58A4"/>
    <w:rsid w:val="007F636C"/>
    <w:rsid w:val="007F6AA6"/>
    <w:rsid w:val="007F6AD0"/>
    <w:rsid w:val="007F6FF0"/>
    <w:rsid w:val="007F71CC"/>
    <w:rsid w:val="007F7234"/>
    <w:rsid w:val="007F73F0"/>
    <w:rsid w:val="007F76AD"/>
    <w:rsid w:val="00800248"/>
    <w:rsid w:val="0080031B"/>
    <w:rsid w:val="00800ADC"/>
    <w:rsid w:val="00801115"/>
    <w:rsid w:val="0080126C"/>
    <w:rsid w:val="0080178E"/>
    <w:rsid w:val="0080194C"/>
    <w:rsid w:val="00801C8E"/>
    <w:rsid w:val="00802118"/>
    <w:rsid w:val="008021F7"/>
    <w:rsid w:val="00802B77"/>
    <w:rsid w:val="00802C05"/>
    <w:rsid w:val="00802D16"/>
    <w:rsid w:val="00803705"/>
    <w:rsid w:val="00803B0E"/>
    <w:rsid w:val="00803DE8"/>
    <w:rsid w:val="008044E3"/>
    <w:rsid w:val="00804600"/>
    <w:rsid w:val="0080481D"/>
    <w:rsid w:val="0080484A"/>
    <w:rsid w:val="008051EF"/>
    <w:rsid w:val="008054DC"/>
    <w:rsid w:val="00805AEC"/>
    <w:rsid w:val="00805E27"/>
    <w:rsid w:val="008067BF"/>
    <w:rsid w:val="008070DE"/>
    <w:rsid w:val="00807319"/>
    <w:rsid w:val="00810A6F"/>
    <w:rsid w:val="00810B19"/>
    <w:rsid w:val="00810C9C"/>
    <w:rsid w:val="008113CF"/>
    <w:rsid w:val="008116AD"/>
    <w:rsid w:val="00811D79"/>
    <w:rsid w:val="00812431"/>
    <w:rsid w:val="00812E0B"/>
    <w:rsid w:val="00812F9C"/>
    <w:rsid w:val="00812FA4"/>
    <w:rsid w:val="0081374C"/>
    <w:rsid w:val="008139AE"/>
    <w:rsid w:val="00813B75"/>
    <w:rsid w:val="00814224"/>
    <w:rsid w:val="00814275"/>
    <w:rsid w:val="008144B4"/>
    <w:rsid w:val="008149EC"/>
    <w:rsid w:val="00814E2D"/>
    <w:rsid w:val="008150D9"/>
    <w:rsid w:val="00815A3E"/>
    <w:rsid w:val="00815AA7"/>
    <w:rsid w:val="00815F2E"/>
    <w:rsid w:val="00816381"/>
    <w:rsid w:val="0081734D"/>
    <w:rsid w:val="00817610"/>
    <w:rsid w:val="00820799"/>
    <w:rsid w:val="008207C2"/>
    <w:rsid w:val="008209F8"/>
    <w:rsid w:val="00820F15"/>
    <w:rsid w:val="008212C2"/>
    <w:rsid w:val="0082136D"/>
    <w:rsid w:val="008213DA"/>
    <w:rsid w:val="008215E7"/>
    <w:rsid w:val="0082195F"/>
    <w:rsid w:val="00822182"/>
    <w:rsid w:val="00822E6E"/>
    <w:rsid w:val="00823973"/>
    <w:rsid w:val="00823E83"/>
    <w:rsid w:val="0082480D"/>
    <w:rsid w:val="008251F8"/>
    <w:rsid w:val="00825838"/>
    <w:rsid w:val="0082586F"/>
    <w:rsid w:val="00825E8E"/>
    <w:rsid w:val="008261CB"/>
    <w:rsid w:val="0082631C"/>
    <w:rsid w:val="00826F21"/>
    <w:rsid w:val="00827A94"/>
    <w:rsid w:val="00830348"/>
    <w:rsid w:val="00830420"/>
    <w:rsid w:val="00830627"/>
    <w:rsid w:val="00830B11"/>
    <w:rsid w:val="00830CDE"/>
    <w:rsid w:val="00830EB6"/>
    <w:rsid w:val="00831177"/>
    <w:rsid w:val="00831C3D"/>
    <w:rsid w:val="00831E7B"/>
    <w:rsid w:val="008320B1"/>
    <w:rsid w:val="008323E8"/>
    <w:rsid w:val="0083241B"/>
    <w:rsid w:val="00833BEB"/>
    <w:rsid w:val="00833E08"/>
    <w:rsid w:val="008341B2"/>
    <w:rsid w:val="008343A2"/>
    <w:rsid w:val="00834783"/>
    <w:rsid w:val="00834875"/>
    <w:rsid w:val="00834979"/>
    <w:rsid w:val="00834A76"/>
    <w:rsid w:val="00834AD6"/>
    <w:rsid w:val="00834FD8"/>
    <w:rsid w:val="00835725"/>
    <w:rsid w:val="0083678C"/>
    <w:rsid w:val="00836D7E"/>
    <w:rsid w:val="0083702B"/>
    <w:rsid w:val="0083746D"/>
    <w:rsid w:val="008378C5"/>
    <w:rsid w:val="00837D88"/>
    <w:rsid w:val="00837DDB"/>
    <w:rsid w:val="008400EC"/>
    <w:rsid w:val="008403D2"/>
    <w:rsid w:val="00840AF6"/>
    <w:rsid w:val="00840FDC"/>
    <w:rsid w:val="0084136C"/>
    <w:rsid w:val="0084170D"/>
    <w:rsid w:val="00841912"/>
    <w:rsid w:val="00841D95"/>
    <w:rsid w:val="00841DD5"/>
    <w:rsid w:val="00841E04"/>
    <w:rsid w:val="00841E62"/>
    <w:rsid w:val="0084266A"/>
    <w:rsid w:val="00842BC9"/>
    <w:rsid w:val="008430AD"/>
    <w:rsid w:val="008431D5"/>
    <w:rsid w:val="00843A40"/>
    <w:rsid w:val="00843A4C"/>
    <w:rsid w:val="00843A89"/>
    <w:rsid w:val="00843CBD"/>
    <w:rsid w:val="00844D5A"/>
    <w:rsid w:val="00844DF5"/>
    <w:rsid w:val="00844EAC"/>
    <w:rsid w:val="0084504E"/>
    <w:rsid w:val="0084584B"/>
    <w:rsid w:val="00845AA6"/>
    <w:rsid w:val="00846CB8"/>
    <w:rsid w:val="008471FA"/>
    <w:rsid w:val="00847503"/>
    <w:rsid w:val="0085044B"/>
    <w:rsid w:val="008505AD"/>
    <w:rsid w:val="00850852"/>
    <w:rsid w:val="00850F2C"/>
    <w:rsid w:val="008514C3"/>
    <w:rsid w:val="008514FE"/>
    <w:rsid w:val="0085274F"/>
    <w:rsid w:val="00852AD6"/>
    <w:rsid w:val="00852D83"/>
    <w:rsid w:val="00852FBA"/>
    <w:rsid w:val="00853088"/>
    <w:rsid w:val="0085334E"/>
    <w:rsid w:val="008533B8"/>
    <w:rsid w:val="008543E9"/>
    <w:rsid w:val="00854DEC"/>
    <w:rsid w:val="00854FC3"/>
    <w:rsid w:val="00855006"/>
    <w:rsid w:val="008557D6"/>
    <w:rsid w:val="00855A71"/>
    <w:rsid w:val="00855B9F"/>
    <w:rsid w:val="00855C56"/>
    <w:rsid w:val="0085644E"/>
    <w:rsid w:val="008564D2"/>
    <w:rsid w:val="00856527"/>
    <w:rsid w:val="0085703D"/>
    <w:rsid w:val="008570F3"/>
    <w:rsid w:val="0085745E"/>
    <w:rsid w:val="00857A02"/>
    <w:rsid w:val="00857AEF"/>
    <w:rsid w:val="0086059C"/>
    <w:rsid w:val="0086063E"/>
    <w:rsid w:val="00860B2E"/>
    <w:rsid w:val="0086115A"/>
    <w:rsid w:val="008613A9"/>
    <w:rsid w:val="0086156F"/>
    <w:rsid w:val="008615D0"/>
    <w:rsid w:val="00861D48"/>
    <w:rsid w:val="0086215C"/>
    <w:rsid w:val="00862B81"/>
    <w:rsid w:val="00862BBE"/>
    <w:rsid w:val="00862D90"/>
    <w:rsid w:val="00862D9F"/>
    <w:rsid w:val="00862FDE"/>
    <w:rsid w:val="00863DA5"/>
    <w:rsid w:val="00864077"/>
    <w:rsid w:val="008646ED"/>
    <w:rsid w:val="00864BAB"/>
    <w:rsid w:val="00864D48"/>
    <w:rsid w:val="00864ECF"/>
    <w:rsid w:val="00865F2F"/>
    <w:rsid w:val="00865FD0"/>
    <w:rsid w:val="00866065"/>
    <w:rsid w:val="008666ED"/>
    <w:rsid w:val="00866ADB"/>
    <w:rsid w:val="00867428"/>
    <w:rsid w:val="008674AE"/>
    <w:rsid w:val="00867A68"/>
    <w:rsid w:val="0087031A"/>
    <w:rsid w:val="008703E0"/>
    <w:rsid w:val="00870547"/>
    <w:rsid w:val="008706C4"/>
    <w:rsid w:val="00870840"/>
    <w:rsid w:val="00870D29"/>
    <w:rsid w:val="008711F4"/>
    <w:rsid w:val="008713CE"/>
    <w:rsid w:val="00871525"/>
    <w:rsid w:val="00872506"/>
    <w:rsid w:val="00872C7C"/>
    <w:rsid w:val="00873129"/>
    <w:rsid w:val="00873481"/>
    <w:rsid w:val="008741BC"/>
    <w:rsid w:val="00874389"/>
    <w:rsid w:val="00874452"/>
    <w:rsid w:val="008754FF"/>
    <w:rsid w:val="008756E5"/>
    <w:rsid w:val="00875A27"/>
    <w:rsid w:val="00875A2E"/>
    <w:rsid w:val="00875C29"/>
    <w:rsid w:val="00875E54"/>
    <w:rsid w:val="00875E7B"/>
    <w:rsid w:val="00875FCF"/>
    <w:rsid w:val="00876115"/>
    <w:rsid w:val="008765A6"/>
    <w:rsid w:val="00876768"/>
    <w:rsid w:val="00876923"/>
    <w:rsid w:val="00876A88"/>
    <w:rsid w:val="00876D0E"/>
    <w:rsid w:val="00876FCA"/>
    <w:rsid w:val="008774B4"/>
    <w:rsid w:val="00877775"/>
    <w:rsid w:val="00877A7D"/>
    <w:rsid w:val="00877EB6"/>
    <w:rsid w:val="0088014D"/>
    <w:rsid w:val="00880E07"/>
    <w:rsid w:val="00880F5F"/>
    <w:rsid w:val="0088127E"/>
    <w:rsid w:val="008813BF"/>
    <w:rsid w:val="008813C0"/>
    <w:rsid w:val="008816BE"/>
    <w:rsid w:val="0088194D"/>
    <w:rsid w:val="00881B55"/>
    <w:rsid w:val="008823CB"/>
    <w:rsid w:val="00882538"/>
    <w:rsid w:val="00882850"/>
    <w:rsid w:val="008829B2"/>
    <w:rsid w:val="008836C2"/>
    <w:rsid w:val="00884223"/>
    <w:rsid w:val="00884AB9"/>
    <w:rsid w:val="00884ADF"/>
    <w:rsid w:val="008851C5"/>
    <w:rsid w:val="008857A5"/>
    <w:rsid w:val="0088581C"/>
    <w:rsid w:val="00885D0D"/>
    <w:rsid w:val="00885ED0"/>
    <w:rsid w:val="00886274"/>
    <w:rsid w:val="008863E9"/>
    <w:rsid w:val="008869E5"/>
    <w:rsid w:val="00886A26"/>
    <w:rsid w:val="00886AE8"/>
    <w:rsid w:val="00887E77"/>
    <w:rsid w:val="0089035C"/>
    <w:rsid w:val="008905F5"/>
    <w:rsid w:val="00890ADA"/>
    <w:rsid w:val="00890B04"/>
    <w:rsid w:val="0089106A"/>
    <w:rsid w:val="0089167E"/>
    <w:rsid w:val="00891D8A"/>
    <w:rsid w:val="00891E4E"/>
    <w:rsid w:val="00892084"/>
    <w:rsid w:val="008925EE"/>
    <w:rsid w:val="00892FA2"/>
    <w:rsid w:val="00892FDC"/>
    <w:rsid w:val="00893314"/>
    <w:rsid w:val="008937D7"/>
    <w:rsid w:val="00893888"/>
    <w:rsid w:val="00893D5B"/>
    <w:rsid w:val="00894141"/>
    <w:rsid w:val="00894688"/>
    <w:rsid w:val="00894AE2"/>
    <w:rsid w:val="0089594C"/>
    <w:rsid w:val="00895D21"/>
    <w:rsid w:val="00896183"/>
    <w:rsid w:val="008961E3"/>
    <w:rsid w:val="00896352"/>
    <w:rsid w:val="00897E93"/>
    <w:rsid w:val="008A0D0D"/>
    <w:rsid w:val="008A163A"/>
    <w:rsid w:val="008A1E33"/>
    <w:rsid w:val="008A2155"/>
    <w:rsid w:val="008A23A2"/>
    <w:rsid w:val="008A2448"/>
    <w:rsid w:val="008A2495"/>
    <w:rsid w:val="008A2683"/>
    <w:rsid w:val="008A2824"/>
    <w:rsid w:val="008A29DC"/>
    <w:rsid w:val="008A2C91"/>
    <w:rsid w:val="008A31C8"/>
    <w:rsid w:val="008A353E"/>
    <w:rsid w:val="008A35A4"/>
    <w:rsid w:val="008A36C4"/>
    <w:rsid w:val="008A3914"/>
    <w:rsid w:val="008A4470"/>
    <w:rsid w:val="008A45B1"/>
    <w:rsid w:val="008A4680"/>
    <w:rsid w:val="008A4E3F"/>
    <w:rsid w:val="008A4F2A"/>
    <w:rsid w:val="008A539E"/>
    <w:rsid w:val="008A5BFD"/>
    <w:rsid w:val="008A5D85"/>
    <w:rsid w:val="008A5F82"/>
    <w:rsid w:val="008A60E1"/>
    <w:rsid w:val="008A61CB"/>
    <w:rsid w:val="008A6B20"/>
    <w:rsid w:val="008A6DD8"/>
    <w:rsid w:val="008A6DED"/>
    <w:rsid w:val="008A7A41"/>
    <w:rsid w:val="008A7A68"/>
    <w:rsid w:val="008A7D29"/>
    <w:rsid w:val="008B0480"/>
    <w:rsid w:val="008B09CD"/>
    <w:rsid w:val="008B0A60"/>
    <w:rsid w:val="008B0EC4"/>
    <w:rsid w:val="008B0F53"/>
    <w:rsid w:val="008B1C87"/>
    <w:rsid w:val="008B2838"/>
    <w:rsid w:val="008B2A85"/>
    <w:rsid w:val="008B2BC4"/>
    <w:rsid w:val="008B2BE0"/>
    <w:rsid w:val="008B2DA4"/>
    <w:rsid w:val="008B2E3A"/>
    <w:rsid w:val="008B300E"/>
    <w:rsid w:val="008B32BA"/>
    <w:rsid w:val="008B32BE"/>
    <w:rsid w:val="008B3517"/>
    <w:rsid w:val="008B3614"/>
    <w:rsid w:val="008B3E0A"/>
    <w:rsid w:val="008B3EBF"/>
    <w:rsid w:val="008B417B"/>
    <w:rsid w:val="008B455A"/>
    <w:rsid w:val="008B517C"/>
    <w:rsid w:val="008B5462"/>
    <w:rsid w:val="008B5537"/>
    <w:rsid w:val="008B5A0F"/>
    <w:rsid w:val="008B5BA9"/>
    <w:rsid w:val="008B602B"/>
    <w:rsid w:val="008B627D"/>
    <w:rsid w:val="008B69BF"/>
    <w:rsid w:val="008B6D53"/>
    <w:rsid w:val="008B73A9"/>
    <w:rsid w:val="008B7814"/>
    <w:rsid w:val="008B783D"/>
    <w:rsid w:val="008C0096"/>
    <w:rsid w:val="008C0327"/>
    <w:rsid w:val="008C077C"/>
    <w:rsid w:val="008C078F"/>
    <w:rsid w:val="008C0DD5"/>
    <w:rsid w:val="008C0DDE"/>
    <w:rsid w:val="008C0E9C"/>
    <w:rsid w:val="008C0F78"/>
    <w:rsid w:val="008C1034"/>
    <w:rsid w:val="008C121F"/>
    <w:rsid w:val="008C123D"/>
    <w:rsid w:val="008C1873"/>
    <w:rsid w:val="008C195A"/>
    <w:rsid w:val="008C1B6B"/>
    <w:rsid w:val="008C1B6D"/>
    <w:rsid w:val="008C1C01"/>
    <w:rsid w:val="008C1EBD"/>
    <w:rsid w:val="008C2816"/>
    <w:rsid w:val="008C28C3"/>
    <w:rsid w:val="008C290D"/>
    <w:rsid w:val="008C31E6"/>
    <w:rsid w:val="008C3365"/>
    <w:rsid w:val="008C37BA"/>
    <w:rsid w:val="008C39A2"/>
    <w:rsid w:val="008C3FF8"/>
    <w:rsid w:val="008C4727"/>
    <w:rsid w:val="008C4982"/>
    <w:rsid w:val="008C4C33"/>
    <w:rsid w:val="008C4E3C"/>
    <w:rsid w:val="008C511F"/>
    <w:rsid w:val="008C55B2"/>
    <w:rsid w:val="008C58EC"/>
    <w:rsid w:val="008C5C17"/>
    <w:rsid w:val="008C5C30"/>
    <w:rsid w:val="008C5E4C"/>
    <w:rsid w:val="008C60F4"/>
    <w:rsid w:val="008C62BC"/>
    <w:rsid w:val="008C630A"/>
    <w:rsid w:val="008C6BA0"/>
    <w:rsid w:val="008C7B01"/>
    <w:rsid w:val="008D0C3E"/>
    <w:rsid w:val="008D0CB4"/>
    <w:rsid w:val="008D0E8B"/>
    <w:rsid w:val="008D114B"/>
    <w:rsid w:val="008D17D9"/>
    <w:rsid w:val="008D17F7"/>
    <w:rsid w:val="008D1D5E"/>
    <w:rsid w:val="008D1E97"/>
    <w:rsid w:val="008D1EA2"/>
    <w:rsid w:val="008D23C8"/>
    <w:rsid w:val="008D27A7"/>
    <w:rsid w:val="008D2E4B"/>
    <w:rsid w:val="008D35D1"/>
    <w:rsid w:val="008D3705"/>
    <w:rsid w:val="008D37C6"/>
    <w:rsid w:val="008D3F3A"/>
    <w:rsid w:val="008D3FE9"/>
    <w:rsid w:val="008D4010"/>
    <w:rsid w:val="008D4872"/>
    <w:rsid w:val="008D5ABD"/>
    <w:rsid w:val="008D5B0D"/>
    <w:rsid w:val="008D7159"/>
    <w:rsid w:val="008D76F6"/>
    <w:rsid w:val="008D7753"/>
    <w:rsid w:val="008D7A55"/>
    <w:rsid w:val="008E0C8C"/>
    <w:rsid w:val="008E181D"/>
    <w:rsid w:val="008E1958"/>
    <w:rsid w:val="008E23CA"/>
    <w:rsid w:val="008E2E06"/>
    <w:rsid w:val="008E331B"/>
    <w:rsid w:val="008E33D8"/>
    <w:rsid w:val="008E3499"/>
    <w:rsid w:val="008E37F0"/>
    <w:rsid w:val="008E4728"/>
    <w:rsid w:val="008E4A4D"/>
    <w:rsid w:val="008E4D1B"/>
    <w:rsid w:val="008E4D1E"/>
    <w:rsid w:val="008E4FF7"/>
    <w:rsid w:val="008E5524"/>
    <w:rsid w:val="008E67CC"/>
    <w:rsid w:val="008E6FBB"/>
    <w:rsid w:val="008E7217"/>
    <w:rsid w:val="008E76E5"/>
    <w:rsid w:val="008E785F"/>
    <w:rsid w:val="008E7B8F"/>
    <w:rsid w:val="008F019F"/>
    <w:rsid w:val="008F0241"/>
    <w:rsid w:val="008F051F"/>
    <w:rsid w:val="008F0833"/>
    <w:rsid w:val="008F087F"/>
    <w:rsid w:val="008F0955"/>
    <w:rsid w:val="008F0980"/>
    <w:rsid w:val="008F0F07"/>
    <w:rsid w:val="008F1039"/>
    <w:rsid w:val="008F104D"/>
    <w:rsid w:val="008F13D9"/>
    <w:rsid w:val="008F18A7"/>
    <w:rsid w:val="008F18E3"/>
    <w:rsid w:val="008F1E7E"/>
    <w:rsid w:val="008F1F7D"/>
    <w:rsid w:val="008F213F"/>
    <w:rsid w:val="008F270C"/>
    <w:rsid w:val="008F2EFF"/>
    <w:rsid w:val="008F3053"/>
    <w:rsid w:val="008F330A"/>
    <w:rsid w:val="008F3341"/>
    <w:rsid w:val="008F3FE3"/>
    <w:rsid w:val="008F4359"/>
    <w:rsid w:val="008F43D6"/>
    <w:rsid w:val="008F52D7"/>
    <w:rsid w:val="008F5499"/>
    <w:rsid w:val="008F5583"/>
    <w:rsid w:val="008F55ED"/>
    <w:rsid w:val="008F6A7C"/>
    <w:rsid w:val="008F6ADA"/>
    <w:rsid w:val="008F72A4"/>
    <w:rsid w:val="008F7818"/>
    <w:rsid w:val="008F7EE5"/>
    <w:rsid w:val="00900026"/>
    <w:rsid w:val="0090028E"/>
    <w:rsid w:val="0090065F"/>
    <w:rsid w:val="00900B46"/>
    <w:rsid w:val="00900F92"/>
    <w:rsid w:val="00901297"/>
    <w:rsid w:val="00901AF3"/>
    <w:rsid w:val="00901C94"/>
    <w:rsid w:val="0090262B"/>
    <w:rsid w:val="009028FE"/>
    <w:rsid w:val="00902EDC"/>
    <w:rsid w:val="009032ED"/>
    <w:rsid w:val="00903A3B"/>
    <w:rsid w:val="00903C90"/>
    <w:rsid w:val="00903D92"/>
    <w:rsid w:val="00903DAB"/>
    <w:rsid w:val="009040C9"/>
    <w:rsid w:val="009047C5"/>
    <w:rsid w:val="009049F2"/>
    <w:rsid w:val="00904BD9"/>
    <w:rsid w:val="0090542F"/>
    <w:rsid w:val="00905963"/>
    <w:rsid w:val="00905A12"/>
    <w:rsid w:val="00905A29"/>
    <w:rsid w:val="00905EB2"/>
    <w:rsid w:val="0090650E"/>
    <w:rsid w:val="0090679D"/>
    <w:rsid w:val="009067F3"/>
    <w:rsid w:val="00906DC0"/>
    <w:rsid w:val="0090711E"/>
    <w:rsid w:val="00907392"/>
    <w:rsid w:val="00907605"/>
    <w:rsid w:val="0091005C"/>
    <w:rsid w:val="00910355"/>
    <w:rsid w:val="009107AC"/>
    <w:rsid w:val="00910F2F"/>
    <w:rsid w:val="009111BE"/>
    <w:rsid w:val="009112BA"/>
    <w:rsid w:val="009113F6"/>
    <w:rsid w:val="00911456"/>
    <w:rsid w:val="009114BC"/>
    <w:rsid w:val="009115E4"/>
    <w:rsid w:val="009116B5"/>
    <w:rsid w:val="0091182D"/>
    <w:rsid w:val="00911EB1"/>
    <w:rsid w:val="009125AD"/>
    <w:rsid w:val="00912C58"/>
    <w:rsid w:val="009131C2"/>
    <w:rsid w:val="00913AF0"/>
    <w:rsid w:val="00913FD4"/>
    <w:rsid w:val="00913FE2"/>
    <w:rsid w:val="00914137"/>
    <w:rsid w:val="009144A7"/>
    <w:rsid w:val="00914550"/>
    <w:rsid w:val="00914938"/>
    <w:rsid w:val="00914D2B"/>
    <w:rsid w:val="0091529A"/>
    <w:rsid w:val="00915346"/>
    <w:rsid w:val="00915493"/>
    <w:rsid w:val="00915794"/>
    <w:rsid w:val="00915AFA"/>
    <w:rsid w:val="00915C33"/>
    <w:rsid w:val="00915C39"/>
    <w:rsid w:val="009160E9"/>
    <w:rsid w:val="0091671C"/>
    <w:rsid w:val="00916A8E"/>
    <w:rsid w:val="00916C04"/>
    <w:rsid w:val="0091723B"/>
    <w:rsid w:val="00917A16"/>
    <w:rsid w:val="00917ACF"/>
    <w:rsid w:val="00917CC6"/>
    <w:rsid w:val="0092044A"/>
    <w:rsid w:val="0092058B"/>
    <w:rsid w:val="00920954"/>
    <w:rsid w:val="00920D0B"/>
    <w:rsid w:val="009217B3"/>
    <w:rsid w:val="00922060"/>
    <w:rsid w:val="0092230B"/>
    <w:rsid w:val="009223D0"/>
    <w:rsid w:val="009224B4"/>
    <w:rsid w:val="00922619"/>
    <w:rsid w:val="0092279A"/>
    <w:rsid w:val="00922A5E"/>
    <w:rsid w:val="00922C6B"/>
    <w:rsid w:val="00923CB0"/>
    <w:rsid w:val="009240B0"/>
    <w:rsid w:val="00924B1E"/>
    <w:rsid w:val="00924FC5"/>
    <w:rsid w:val="00925122"/>
    <w:rsid w:val="00925131"/>
    <w:rsid w:val="0092563C"/>
    <w:rsid w:val="009256A9"/>
    <w:rsid w:val="0092570A"/>
    <w:rsid w:val="00925A5D"/>
    <w:rsid w:val="00925ED5"/>
    <w:rsid w:val="00926085"/>
    <w:rsid w:val="009260C2"/>
    <w:rsid w:val="00926514"/>
    <w:rsid w:val="009265DA"/>
    <w:rsid w:val="0092695B"/>
    <w:rsid w:val="00926E55"/>
    <w:rsid w:val="0092723A"/>
    <w:rsid w:val="00927861"/>
    <w:rsid w:val="0092798D"/>
    <w:rsid w:val="00927CDC"/>
    <w:rsid w:val="00927F99"/>
    <w:rsid w:val="0093009F"/>
    <w:rsid w:val="009307BB"/>
    <w:rsid w:val="009307BD"/>
    <w:rsid w:val="0093080C"/>
    <w:rsid w:val="009308CD"/>
    <w:rsid w:val="00930ADD"/>
    <w:rsid w:val="00930B36"/>
    <w:rsid w:val="00930B5A"/>
    <w:rsid w:val="00930B91"/>
    <w:rsid w:val="00930F97"/>
    <w:rsid w:val="00930FB0"/>
    <w:rsid w:val="009310D7"/>
    <w:rsid w:val="00931290"/>
    <w:rsid w:val="00931ABA"/>
    <w:rsid w:val="00931B0F"/>
    <w:rsid w:val="00931BCA"/>
    <w:rsid w:val="009322FC"/>
    <w:rsid w:val="00932B55"/>
    <w:rsid w:val="0093359E"/>
    <w:rsid w:val="009336CC"/>
    <w:rsid w:val="00933C35"/>
    <w:rsid w:val="00933F2A"/>
    <w:rsid w:val="009347B2"/>
    <w:rsid w:val="009349E0"/>
    <w:rsid w:val="00934B7E"/>
    <w:rsid w:val="00934F87"/>
    <w:rsid w:val="0093528B"/>
    <w:rsid w:val="00935485"/>
    <w:rsid w:val="009356AE"/>
    <w:rsid w:val="00935B71"/>
    <w:rsid w:val="009364E0"/>
    <w:rsid w:val="00936659"/>
    <w:rsid w:val="00937CE9"/>
    <w:rsid w:val="00940180"/>
    <w:rsid w:val="00940816"/>
    <w:rsid w:val="00940876"/>
    <w:rsid w:val="00940A8F"/>
    <w:rsid w:val="009414FC"/>
    <w:rsid w:val="009428D4"/>
    <w:rsid w:val="00942F6A"/>
    <w:rsid w:val="00943225"/>
    <w:rsid w:val="00943428"/>
    <w:rsid w:val="009436FC"/>
    <w:rsid w:val="00943E9C"/>
    <w:rsid w:val="00943E9F"/>
    <w:rsid w:val="00944038"/>
    <w:rsid w:val="009440DB"/>
    <w:rsid w:val="0094473D"/>
    <w:rsid w:val="0094486A"/>
    <w:rsid w:val="00944875"/>
    <w:rsid w:val="00944C01"/>
    <w:rsid w:val="00945239"/>
    <w:rsid w:val="00945346"/>
    <w:rsid w:val="009456DD"/>
    <w:rsid w:val="00945943"/>
    <w:rsid w:val="00945BF0"/>
    <w:rsid w:val="00945E5A"/>
    <w:rsid w:val="00945E87"/>
    <w:rsid w:val="00945EC6"/>
    <w:rsid w:val="00946191"/>
    <w:rsid w:val="00946A35"/>
    <w:rsid w:val="009502EA"/>
    <w:rsid w:val="0095069E"/>
    <w:rsid w:val="00950CCB"/>
    <w:rsid w:val="00950D79"/>
    <w:rsid w:val="00951005"/>
    <w:rsid w:val="009514D6"/>
    <w:rsid w:val="009517E8"/>
    <w:rsid w:val="00952415"/>
    <w:rsid w:val="009529FB"/>
    <w:rsid w:val="00952C83"/>
    <w:rsid w:val="00952C8F"/>
    <w:rsid w:val="0095304B"/>
    <w:rsid w:val="0095340F"/>
    <w:rsid w:val="00953689"/>
    <w:rsid w:val="0095402E"/>
    <w:rsid w:val="00954140"/>
    <w:rsid w:val="00954A8A"/>
    <w:rsid w:val="00954AEA"/>
    <w:rsid w:val="00954BA0"/>
    <w:rsid w:val="00955203"/>
    <w:rsid w:val="0095570A"/>
    <w:rsid w:val="00955BBC"/>
    <w:rsid w:val="0095605D"/>
    <w:rsid w:val="009571F7"/>
    <w:rsid w:val="009573FD"/>
    <w:rsid w:val="00957449"/>
    <w:rsid w:val="00957690"/>
    <w:rsid w:val="00957FF0"/>
    <w:rsid w:val="00960616"/>
    <w:rsid w:val="00960CF4"/>
    <w:rsid w:val="009614A0"/>
    <w:rsid w:val="00961784"/>
    <w:rsid w:val="009617CA"/>
    <w:rsid w:val="00961B97"/>
    <w:rsid w:val="00961C69"/>
    <w:rsid w:val="00961D42"/>
    <w:rsid w:val="00961E36"/>
    <w:rsid w:val="009625D7"/>
    <w:rsid w:val="00962A65"/>
    <w:rsid w:val="00962B4A"/>
    <w:rsid w:val="00963741"/>
    <w:rsid w:val="0096385A"/>
    <w:rsid w:val="00963AA6"/>
    <w:rsid w:val="00963B12"/>
    <w:rsid w:val="00963DE0"/>
    <w:rsid w:val="009640B0"/>
    <w:rsid w:val="0096443A"/>
    <w:rsid w:val="00964814"/>
    <w:rsid w:val="009648F8"/>
    <w:rsid w:val="00964951"/>
    <w:rsid w:val="00964CA6"/>
    <w:rsid w:val="0096538B"/>
    <w:rsid w:val="00965718"/>
    <w:rsid w:val="00965CC3"/>
    <w:rsid w:val="0096619A"/>
    <w:rsid w:val="0096631C"/>
    <w:rsid w:val="009668E2"/>
    <w:rsid w:val="00967178"/>
    <w:rsid w:val="009675F0"/>
    <w:rsid w:val="0096793E"/>
    <w:rsid w:val="009679C7"/>
    <w:rsid w:val="00967C45"/>
    <w:rsid w:val="00970306"/>
    <w:rsid w:val="009708DA"/>
    <w:rsid w:val="00970B7D"/>
    <w:rsid w:val="00970FE5"/>
    <w:rsid w:val="0097113E"/>
    <w:rsid w:val="0097120F"/>
    <w:rsid w:val="00971280"/>
    <w:rsid w:val="0097177D"/>
    <w:rsid w:val="009719F8"/>
    <w:rsid w:val="00971A6B"/>
    <w:rsid w:val="00971CF1"/>
    <w:rsid w:val="00971F94"/>
    <w:rsid w:val="00972616"/>
    <w:rsid w:val="0097272D"/>
    <w:rsid w:val="009727FD"/>
    <w:rsid w:val="00972BE6"/>
    <w:rsid w:val="00972F90"/>
    <w:rsid w:val="00973040"/>
    <w:rsid w:val="0097360E"/>
    <w:rsid w:val="0097361F"/>
    <w:rsid w:val="00973801"/>
    <w:rsid w:val="00973999"/>
    <w:rsid w:val="00974C2D"/>
    <w:rsid w:val="009755F8"/>
    <w:rsid w:val="009758F8"/>
    <w:rsid w:val="00975A2E"/>
    <w:rsid w:val="009761F8"/>
    <w:rsid w:val="0097638B"/>
    <w:rsid w:val="0097684F"/>
    <w:rsid w:val="0097690C"/>
    <w:rsid w:val="00976D65"/>
    <w:rsid w:val="00977527"/>
    <w:rsid w:val="00980035"/>
    <w:rsid w:val="009807F7"/>
    <w:rsid w:val="009808FB"/>
    <w:rsid w:val="00980AA2"/>
    <w:rsid w:val="00980C1E"/>
    <w:rsid w:val="00980C99"/>
    <w:rsid w:val="0098156E"/>
    <w:rsid w:val="00981EBF"/>
    <w:rsid w:val="00981FA2"/>
    <w:rsid w:val="00982671"/>
    <w:rsid w:val="0098293A"/>
    <w:rsid w:val="00982AA2"/>
    <w:rsid w:val="009831DE"/>
    <w:rsid w:val="00983292"/>
    <w:rsid w:val="00983C1D"/>
    <w:rsid w:val="0098449A"/>
    <w:rsid w:val="00984601"/>
    <w:rsid w:val="0098509A"/>
    <w:rsid w:val="009853F1"/>
    <w:rsid w:val="0098594C"/>
    <w:rsid w:val="009859E5"/>
    <w:rsid w:val="00985C31"/>
    <w:rsid w:val="00985E96"/>
    <w:rsid w:val="00986205"/>
    <w:rsid w:val="0098632E"/>
    <w:rsid w:val="0098656E"/>
    <w:rsid w:val="00986951"/>
    <w:rsid w:val="00986C43"/>
    <w:rsid w:val="00987033"/>
    <w:rsid w:val="0098758A"/>
    <w:rsid w:val="009906B2"/>
    <w:rsid w:val="00990835"/>
    <w:rsid w:val="00990916"/>
    <w:rsid w:val="00990A7E"/>
    <w:rsid w:val="00990B31"/>
    <w:rsid w:val="0099112F"/>
    <w:rsid w:val="0099124E"/>
    <w:rsid w:val="009912F7"/>
    <w:rsid w:val="0099180C"/>
    <w:rsid w:val="00991F40"/>
    <w:rsid w:val="00991FDD"/>
    <w:rsid w:val="00991FE1"/>
    <w:rsid w:val="0099226C"/>
    <w:rsid w:val="009924F2"/>
    <w:rsid w:val="00992A79"/>
    <w:rsid w:val="00992DFA"/>
    <w:rsid w:val="00992F8C"/>
    <w:rsid w:val="0099367E"/>
    <w:rsid w:val="00993BAA"/>
    <w:rsid w:val="00994601"/>
    <w:rsid w:val="0099521D"/>
    <w:rsid w:val="0099544B"/>
    <w:rsid w:val="009956B6"/>
    <w:rsid w:val="0099596D"/>
    <w:rsid w:val="0099606D"/>
    <w:rsid w:val="009961DA"/>
    <w:rsid w:val="00996AD0"/>
    <w:rsid w:val="00997054"/>
    <w:rsid w:val="009970DC"/>
    <w:rsid w:val="009974CE"/>
    <w:rsid w:val="0099777F"/>
    <w:rsid w:val="00997EC7"/>
    <w:rsid w:val="009A03AB"/>
    <w:rsid w:val="009A062F"/>
    <w:rsid w:val="009A07A1"/>
    <w:rsid w:val="009A0959"/>
    <w:rsid w:val="009A0A45"/>
    <w:rsid w:val="009A0E36"/>
    <w:rsid w:val="009A1448"/>
    <w:rsid w:val="009A1805"/>
    <w:rsid w:val="009A2123"/>
    <w:rsid w:val="009A2167"/>
    <w:rsid w:val="009A294A"/>
    <w:rsid w:val="009A2A14"/>
    <w:rsid w:val="009A2C47"/>
    <w:rsid w:val="009A2DAE"/>
    <w:rsid w:val="009A3541"/>
    <w:rsid w:val="009A35D4"/>
    <w:rsid w:val="009A36EC"/>
    <w:rsid w:val="009A378F"/>
    <w:rsid w:val="009A37E4"/>
    <w:rsid w:val="009A3879"/>
    <w:rsid w:val="009A438A"/>
    <w:rsid w:val="009A4442"/>
    <w:rsid w:val="009A481A"/>
    <w:rsid w:val="009A48FA"/>
    <w:rsid w:val="009A49DD"/>
    <w:rsid w:val="009A5423"/>
    <w:rsid w:val="009A5C7B"/>
    <w:rsid w:val="009A62FD"/>
    <w:rsid w:val="009A6D7C"/>
    <w:rsid w:val="009A7FD6"/>
    <w:rsid w:val="009B04C1"/>
    <w:rsid w:val="009B0A5A"/>
    <w:rsid w:val="009B0C3A"/>
    <w:rsid w:val="009B11D0"/>
    <w:rsid w:val="009B11F2"/>
    <w:rsid w:val="009B1218"/>
    <w:rsid w:val="009B1591"/>
    <w:rsid w:val="009B15EB"/>
    <w:rsid w:val="009B172F"/>
    <w:rsid w:val="009B2082"/>
    <w:rsid w:val="009B283A"/>
    <w:rsid w:val="009B28D1"/>
    <w:rsid w:val="009B2A83"/>
    <w:rsid w:val="009B2B9B"/>
    <w:rsid w:val="009B2D1D"/>
    <w:rsid w:val="009B332C"/>
    <w:rsid w:val="009B3425"/>
    <w:rsid w:val="009B3946"/>
    <w:rsid w:val="009B3EE9"/>
    <w:rsid w:val="009B41AF"/>
    <w:rsid w:val="009B48C9"/>
    <w:rsid w:val="009B49E8"/>
    <w:rsid w:val="009B4BAA"/>
    <w:rsid w:val="009B4CFF"/>
    <w:rsid w:val="009B51CA"/>
    <w:rsid w:val="009B51D4"/>
    <w:rsid w:val="009B57B8"/>
    <w:rsid w:val="009B58F7"/>
    <w:rsid w:val="009B5A8B"/>
    <w:rsid w:val="009B67FC"/>
    <w:rsid w:val="009B6ADA"/>
    <w:rsid w:val="009B6B86"/>
    <w:rsid w:val="009B72DD"/>
    <w:rsid w:val="009B7327"/>
    <w:rsid w:val="009B77BC"/>
    <w:rsid w:val="009C04FB"/>
    <w:rsid w:val="009C086E"/>
    <w:rsid w:val="009C0A5A"/>
    <w:rsid w:val="009C12FA"/>
    <w:rsid w:val="009C1374"/>
    <w:rsid w:val="009C194D"/>
    <w:rsid w:val="009C19DD"/>
    <w:rsid w:val="009C1B15"/>
    <w:rsid w:val="009C1F39"/>
    <w:rsid w:val="009C2073"/>
    <w:rsid w:val="009C210E"/>
    <w:rsid w:val="009C23A0"/>
    <w:rsid w:val="009C2BCF"/>
    <w:rsid w:val="009C2D85"/>
    <w:rsid w:val="009C3133"/>
    <w:rsid w:val="009C3170"/>
    <w:rsid w:val="009C3340"/>
    <w:rsid w:val="009C39C3"/>
    <w:rsid w:val="009C3A55"/>
    <w:rsid w:val="009C3C24"/>
    <w:rsid w:val="009C4312"/>
    <w:rsid w:val="009C4E21"/>
    <w:rsid w:val="009C523D"/>
    <w:rsid w:val="009C53FC"/>
    <w:rsid w:val="009C5A76"/>
    <w:rsid w:val="009C6306"/>
    <w:rsid w:val="009C6569"/>
    <w:rsid w:val="009C67BD"/>
    <w:rsid w:val="009C688F"/>
    <w:rsid w:val="009C6F88"/>
    <w:rsid w:val="009C7115"/>
    <w:rsid w:val="009C7969"/>
    <w:rsid w:val="009C7A96"/>
    <w:rsid w:val="009C7EA2"/>
    <w:rsid w:val="009C7F51"/>
    <w:rsid w:val="009D0298"/>
    <w:rsid w:val="009D0FFE"/>
    <w:rsid w:val="009D10E0"/>
    <w:rsid w:val="009D13D4"/>
    <w:rsid w:val="009D1D3A"/>
    <w:rsid w:val="009D1E8B"/>
    <w:rsid w:val="009D243A"/>
    <w:rsid w:val="009D2C94"/>
    <w:rsid w:val="009D315D"/>
    <w:rsid w:val="009D3195"/>
    <w:rsid w:val="009D3319"/>
    <w:rsid w:val="009D3957"/>
    <w:rsid w:val="009D4289"/>
    <w:rsid w:val="009D4396"/>
    <w:rsid w:val="009D43C8"/>
    <w:rsid w:val="009D4B53"/>
    <w:rsid w:val="009D4E03"/>
    <w:rsid w:val="009D4E50"/>
    <w:rsid w:val="009D613C"/>
    <w:rsid w:val="009D628D"/>
    <w:rsid w:val="009D63A7"/>
    <w:rsid w:val="009D669D"/>
    <w:rsid w:val="009D675E"/>
    <w:rsid w:val="009D67F6"/>
    <w:rsid w:val="009D6944"/>
    <w:rsid w:val="009D701D"/>
    <w:rsid w:val="009D70DA"/>
    <w:rsid w:val="009D72BE"/>
    <w:rsid w:val="009D74EC"/>
    <w:rsid w:val="009D7739"/>
    <w:rsid w:val="009D7892"/>
    <w:rsid w:val="009D7ACC"/>
    <w:rsid w:val="009D7D22"/>
    <w:rsid w:val="009E003F"/>
    <w:rsid w:val="009E02CE"/>
    <w:rsid w:val="009E0768"/>
    <w:rsid w:val="009E0EE2"/>
    <w:rsid w:val="009E1025"/>
    <w:rsid w:val="009E1723"/>
    <w:rsid w:val="009E1973"/>
    <w:rsid w:val="009E1A5F"/>
    <w:rsid w:val="009E2266"/>
    <w:rsid w:val="009E3082"/>
    <w:rsid w:val="009E3176"/>
    <w:rsid w:val="009E3219"/>
    <w:rsid w:val="009E357E"/>
    <w:rsid w:val="009E3888"/>
    <w:rsid w:val="009E3F8A"/>
    <w:rsid w:val="009E47D7"/>
    <w:rsid w:val="009E4AF5"/>
    <w:rsid w:val="009E57E9"/>
    <w:rsid w:val="009E5C20"/>
    <w:rsid w:val="009E619F"/>
    <w:rsid w:val="009E655B"/>
    <w:rsid w:val="009E6677"/>
    <w:rsid w:val="009E6ABD"/>
    <w:rsid w:val="009E6CFF"/>
    <w:rsid w:val="009E70DA"/>
    <w:rsid w:val="009E76F2"/>
    <w:rsid w:val="009E7B9F"/>
    <w:rsid w:val="009E7C30"/>
    <w:rsid w:val="009F028A"/>
    <w:rsid w:val="009F0FE8"/>
    <w:rsid w:val="009F1B47"/>
    <w:rsid w:val="009F2121"/>
    <w:rsid w:val="009F2581"/>
    <w:rsid w:val="009F32DA"/>
    <w:rsid w:val="009F33F9"/>
    <w:rsid w:val="009F3E15"/>
    <w:rsid w:val="009F453C"/>
    <w:rsid w:val="009F45FA"/>
    <w:rsid w:val="009F4912"/>
    <w:rsid w:val="009F4E5D"/>
    <w:rsid w:val="009F4E64"/>
    <w:rsid w:val="009F4F22"/>
    <w:rsid w:val="009F4F90"/>
    <w:rsid w:val="009F5A6B"/>
    <w:rsid w:val="009F5B7E"/>
    <w:rsid w:val="009F5F53"/>
    <w:rsid w:val="009F63FD"/>
    <w:rsid w:val="009F6926"/>
    <w:rsid w:val="009F69DF"/>
    <w:rsid w:val="009F6A95"/>
    <w:rsid w:val="009F6E0C"/>
    <w:rsid w:val="009F7D64"/>
    <w:rsid w:val="00A00633"/>
    <w:rsid w:val="00A00AFC"/>
    <w:rsid w:val="00A00D2F"/>
    <w:rsid w:val="00A00EB4"/>
    <w:rsid w:val="00A00EB6"/>
    <w:rsid w:val="00A00FDD"/>
    <w:rsid w:val="00A0100A"/>
    <w:rsid w:val="00A01436"/>
    <w:rsid w:val="00A014F5"/>
    <w:rsid w:val="00A01530"/>
    <w:rsid w:val="00A0187B"/>
    <w:rsid w:val="00A01C1E"/>
    <w:rsid w:val="00A01CBF"/>
    <w:rsid w:val="00A01F72"/>
    <w:rsid w:val="00A02780"/>
    <w:rsid w:val="00A0282B"/>
    <w:rsid w:val="00A02AC6"/>
    <w:rsid w:val="00A02BA0"/>
    <w:rsid w:val="00A02DA8"/>
    <w:rsid w:val="00A02FE3"/>
    <w:rsid w:val="00A0304A"/>
    <w:rsid w:val="00A030F3"/>
    <w:rsid w:val="00A0310C"/>
    <w:rsid w:val="00A03498"/>
    <w:rsid w:val="00A03579"/>
    <w:rsid w:val="00A035A8"/>
    <w:rsid w:val="00A036AE"/>
    <w:rsid w:val="00A0393D"/>
    <w:rsid w:val="00A03C5A"/>
    <w:rsid w:val="00A03D36"/>
    <w:rsid w:val="00A03D65"/>
    <w:rsid w:val="00A040B1"/>
    <w:rsid w:val="00A040CC"/>
    <w:rsid w:val="00A040D2"/>
    <w:rsid w:val="00A0415D"/>
    <w:rsid w:val="00A04514"/>
    <w:rsid w:val="00A04F45"/>
    <w:rsid w:val="00A04FD4"/>
    <w:rsid w:val="00A05711"/>
    <w:rsid w:val="00A061A8"/>
    <w:rsid w:val="00A06311"/>
    <w:rsid w:val="00A066BC"/>
    <w:rsid w:val="00A06812"/>
    <w:rsid w:val="00A06A02"/>
    <w:rsid w:val="00A06A21"/>
    <w:rsid w:val="00A06F45"/>
    <w:rsid w:val="00A06F69"/>
    <w:rsid w:val="00A075B1"/>
    <w:rsid w:val="00A07B04"/>
    <w:rsid w:val="00A07D4C"/>
    <w:rsid w:val="00A07E95"/>
    <w:rsid w:val="00A07EBC"/>
    <w:rsid w:val="00A07F09"/>
    <w:rsid w:val="00A10291"/>
    <w:rsid w:val="00A1038E"/>
    <w:rsid w:val="00A108DA"/>
    <w:rsid w:val="00A1092A"/>
    <w:rsid w:val="00A10FF5"/>
    <w:rsid w:val="00A11490"/>
    <w:rsid w:val="00A120DB"/>
    <w:rsid w:val="00A1213A"/>
    <w:rsid w:val="00A12DD2"/>
    <w:rsid w:val="00A13032"/>
    <w:rsid w:val="00A130B9"/>
    <w:rsid w:val="00A130E7"/>
    <w:rsid w:val="00A13271"/>
    <w:rsid w:val="00A13938"/>
    <w:rsid w:val="00A13BAC"/>
    <w:rsid w:val="00A13E50"/>
    <w:rsid w:val="00A13F8C"/>
    <w:rsid w:val="00A142D2"/>
    <w:rsid w:val="00A148E8"/>
    <w:rsid w:val="00A14A1A"/>
    <w:rsid w:val="00A14C84"/>
    <w:rsid w:val="00A150FA"/>
    <w:rsid w:val="00A1625F"/>
    <w:rsid w:val="00A16458"/>
    <w:rsid w:val="00A167E7"/>
    <w:rsid w:val="00A16F1E"/>
    <w:rsid w:val="00A17060"/>
    <w:rsid w:val="00A1713E"/>
    <w:rsid w:val="00A17D75"/>
    <w:rsid w:val="00A17F71"/>
    <w:rsid w:val="00A20065"/>
    <w:rsid w:val="00A202CB"/>
    <w:rsid w:val="00A20704"/>
    <w:rsid w:val="00A20C8F"/>
    <w:rsid w:val="00A210AD"/>
    <w:rsid w:val="00A2114D"/>
    <w:rsid w:val="00A21514"/>
    <w:rsid w:val="00A2195B"/>
    <w:rsid w:val="00A21BBA"/>
    <w:rsid w:val="00A21DFE"/>
    <w:rsid w:val="00A223F3"/>
    <w:rsid w:val="00A22589"/>
    <w:rsid w:val="00A22733"/>
    <w:rsid w:val="00A22B88"/>
    <w:rsid w:val="00A22BB1"/>
    <w:rsid w:val="00A22E82"/>
    <w:rsid w:val="00A22FFF"/>
    <w:rsid w:val="00A2305D"/>
    <w:rsid w:val="00A232F1"/>
    <w:rsid w:val="00A23A35"/>
    <w:rsid w:val="00A23ACE"/>
    <w:rsid w:val="00A23E88"/>
    <w:rsid w:val="00A23EC7"/>
    <w:rsid w:val="00A24072"/>
    <w:rsid w:val="00A24C09"/>
    <w:rsid w:val="00A25076"/>
    <w:rsid w:val="00A2513F"/>
    <w:rsid w:val="00A25981"/>
    <w:rsid w:val="00A25CE0"/>
    <w:rsid w:val="00A25D04"/>
    <w:rsid w:val="00A25E27"/>
    <w:rsid w:val="00A25EA0"/>
    <w:rsid w:val="00A25FF1"/>
    <w:rsid w:val="00A2631C"/>
    <w:rsid w:val="00A26BEE"/>
    <w:rsid w:val="00A2719E"/>
    <w:rsid w:val="00A2765A"/>
    <w:rsid w:val="00A27859"/>
    <w:rsid w:val="00A30141"/>
    <w:rsid w:val="00A301D9"/>
    <w:rsid w:val="00A30C95"/>
    <w:rsid w:val="00A30CDA"/>
    <w:rsid w:val="00A3129F"/>
    <w:rsid w:val="00A318C9"/>
    <w:rsid w:val="00A31B3D"/>
    <w:rsid w:val="00A32356"/>
    <w:rsid w:val="00A32C83"/>
    <w:rsid w:val="00A33368"/>
    <w:rsid w:val="00A336B5"/>
    <w:rsid w:val="00A34CDE"/>
    <w:rsid w:val="00A34E71"/>
    <w:rsid w:val="00A35911"/>
    <w:rsid w:val="00A35D7B"/>
    <w:rsid w:val="00A365FA"/>
    <w:rsid w:val="00A36923"/>
    <w:rsid w:val="00A36CDF"/>
    <w:rsid w:val="00A36DC9"/>
    <w:rsid w:val="00A36EEC"/>
    <w:rsid w:val="00A37F4D"/>
    <w:rsid w:val="00A400FB"/>
    <w:rsid w:val="00A405D1"/>
    <w:rsid w:val="00A40D00"/>
    <w:rsid w:val="00A40D1E"/>
    <w:rsid w:val="00A40F7C"/>
    <w:rsid w:val="00A414B6"/>
    <w:rsid w:val="00A420F1"/>
    <w:rsid w:val="00A42320"/>
    <w:rsid w:val="00A424D7"/>
    <w:rsid w:val="00A42784"/>
    <w:rsid w:val="00A42801"/>
    <w:rsid w:val="00A429EB"/>
    <w:rsid w:val="00A42A93"/>
    <w:rsid w:val="00A42B74"/>
    <w:rsid w:val="00A42C93"/>
    <w:rsid w:val="00A433A7"/>
    <w:rsid w:val="00A43568"/>
    <w:rsid w:val="00A437FC"/>
    <w:rsid w:val="00A439FD"/>
    <w:rsid w:val="00A43DF2"/>
    <w:rsid w:val="00A43E44"/>
    <w:rsid w:val="00A43EC4"/>
    <w:rsid w:val="00A44007"/>
    <w:rsid w:val="00A440D5"/>
    <w:rsid w:val="00A44AA1"/>
    <w:rsid w:val="00A44C65"/>
    <w:rsid w:val="00A44D09"/>
    <w:rsid w:val="00A4578F"/>
    <w:rsid w:val="00A458CD"/>
    <w:rsid w:val="00A45B8E"/>
    <w:rsid w:val="00A45D14"/>
    <w:rsid w:val="00A45FE9"/>
    <w:rsid w:val="00A46181"/>
    <w:rsid w:val="00A4684D"/>
    <w:rsid w:val="00A46D52"/>
    <w:rsid w:val="00A46EDA"/>
    <w:rsid w:val="00A476E0"/>
    <w:rsid w:val="00A47958"/>
    <w:rsid w:val="00A479B8"/>
    <w:rsid w:val="00A47ACD"/>
    <w:rsid w:val="00A47D8C"/>
    <w:rsid w:val="00A5062D"/>
    <w:rsid w:val="00A50744"/>
    <w:rsid w:val="00A507D5"/>
    <w:rsid w:val="00A508C5"/>
    <w:rsid w:val="00A50AA4"/>
    <w:rsid w:val="00A50B49"/>
    <w:rsid w:val="00A50CC9"/>
    <w:rsid w:val="00A50E9C"/>
    <w:rsid w:val="00A50EDC"/>
    <w:rsid w:val="00A512A7"/>
    <w:rsid w:val="00A51A16"/>
    <w:rsid w:val="00A51B5C"/>
    <w:rsid w:val="00A52358"/>
    <w:rsid w:val="00A53016"/>
    <w:rsid w:val="00A535D4"/>
    <w:rsid w:val="00A53AD8"/>
    <w:rsid w:val="00A53F96"/>
    <w:rsid w:val="00A54510"/>
    <w:rsid w:val="00A5464A"/>
    <w:rsid w:val="00A54C00"/>
    <w:rsid w:val="00A54D47"/>
    <w:rsid w:val="00A552A9"/>
    <w:rsid w:val="00A5548A"/>
    <w:rsid w:val="00A56483"/>
    <w:rsid w:val="00A56863"/>
    <w:rsid w:val="00A56907"/>
    <w:rsid w:val="00A56986"/>
    <w:rsid w:val="00A56BE2"/>
    <w:rsid w:val="00A56D56"/>
    <w:rsid w:val="00A57168"/>
    <w:rsid w:val="00A57346"/>
    <w:rsid w:val="00A574E9"/>
    <w:rsid w:val="00A577F5"/>
    <w:rsid w:val="00A57BBC"/>
    <w:rsid w:val="00A57C3E"/>
    <w:rsid w:val="00A57CF6"/>
    <w:rsid w:val="00A57FCB"/>
    <w:rsid w:val="00A600B8"/>
    <w:rsid w:val="00A60B55"/>
    <w:rsid w:val="00A60BF2"/>
    <w:rsid w:val="00A60F91"/>
    <w:rsid w:val="00A61548"/>
    <w:rsid w:val="00A61580"/>
    <w:rsid w:val="00A615D0"/>
    <w:rsid w:val="00A616C8"/>
    <w:rsid w:val="00A61983"/>
    <w:rsid w:val="00A61A2B"/>
    <w:rsid w:val="00A62263"/>
    <w:rsid w:val="00A624F8"/>
    <w:rsid w:val="00A62666"/>
    <w:rsid w:val="00A62771"/>
    <w:rsid w:val="00A62A7E"/>
    <w:rsid w:val="00A62ECB"/>
    <w:rsid w:val="00A63309"/>
    <w:rsid w:val="00A634C6"/>
    <w:rsid w:val="00A64090"/>
    <w:rsid w:val="00A64280"/>
    <w:rsid w:val="00A6485F"/>
    <w:rsid w:val="00A649A7"/>
    <w:rsid w:val="00A64E97"/>
    <w:rsid w:val="00A652D3"/>
    <w:rsid w:val="00A6551E"/>
    <w:rsid w:val="00A656EF"/>
    <w:rsid w:val="00A65F0A"/>
    <w:rsid w:val="00A65F90"/>
    <w:rsid w:val="00A6626B"/>
    <w:rsid w:val="00A664BC"/>
    <w:rsid w:val="00A665A0"/>
    <w:rsid w:val="00A6660A"/>
    <w:rsid w:val="00A66B9E"/>
    <w:rsid w:val="00A66DA5"/>
    <w:rsid w:val="00A67273"/>
    <w:rsid w:val="00A67402"/>
    <w:rsid w:val="00A70601"/>
    <w:rsid w:val="00A708CA"/>
    <w:rsid w:val="00A70943"/>
    <w:rsid w:val="00A71CD2"/>
    <w:rsid w:val="00A7207E"/>
    <w:rsid w:val="00A72099"/>
    <w:rsid w:val="00A72473"/>
    <w:rsid w:val="00A727FC"/>
    <w:rsid w:val="00A7298B"/>
    <w:rsid w:val="00A72B12"/>
    <w:rsid w:val="00A72C32"/>
    <w:rsid w:val="00A73188"/>
    <w:rsid w:val="00A7330D"/>
    <w:rsid w:val="00A7343B"/>
    <w:rsid w:val="00A73814"/>
    <w:rsid w:val="00A7397A"/>
    <w:rsid w:val="00A7435A"/>
    <w:rsid w:val="00A74A0A"/>
    <w:rsid w:val="00A75007"/>
    <w:rsid w:val="00A75287"/>
    <w:rsid w:val="00A753E1"/>
    <w:rsid w:val="00A75630"/>
    <w:rsid w:val="00A758CE"/>
    <w:rsid w:val="00A75F85"/>
    <w:rsid w:val="00A76090"/>
    <w:rsid w:val="00A76352"/>
    <w:rsid w:val="00A76EA5"/>
    <w:rsid w:val="00A76F0D"/>
    <w:rsid w:val="00A7719F"/>
    <w:rsid w:val="00A7765B"/>
    <w:rsid w:val="00A77895"/>
    <w:rsid w:val="00A77DA3"/>
    <w:rsid w:val="00A8038B"/>
    <w:rsid w:val="00A804FB"/>
    <w:rsid w:val="00A806EA"/>
    <w:rsid w:val="00A811EC"/>
    <w:rsid w:val="00A814F6"/>
    <w:rsid w:val="00A81B0D"/>
    <w:rsid w:val="00A820D5"/>
    <w:rsid w:val="00A8261C"/>
    <w:rsid w:val="00A82B04"/>
    <w:rsid w:val="00A82B16"/>
    <w:rsid w:val="00A82BE4"/>
    <w:rsid w:val="00A83937"/>
    <w:rsid w:val="00A83C4B"/>
    <w:rsid w:val="00A844AE"/>
    <w:rsid w:val="00A84800"/>
    <w:rsid w:val="00A84E90"/>
    <w:rsid w:val="00A8547A"/>
    <w:rsid w:val="00A85A2E"/>
    <w:rsid w:val="00A86126"/>
    <w:rsid w:val="00A86799"/>
    <w:rsid w:val="00A874C2"/>
    <w:rsid w:val="00A87693"/>
    <w:rsid w:val="00A87A45"/>
    <w:rsid w:val="00A87F0A"/>
    <w:rsid w:val="00A900F9"/>
    <w:rsid w:val="00A903C9"/>
    <w:rsid w:val="00A91045"/>
    <w:rsid w:val="00A91DB4"/>
    <w:rsid w:val="00A91DEC"/>
    <w:rsid w:val="00A91EBD"/>
    <w:rsid w:val="00A91FA2"/>
    <w:rsid w:val="00A920F8"/>
    <w:rsid w:val="00A9219B"/>
    <w:rsid w:val="00A92303"/>
    <w:rsid w:val="00A92411"/>
    <w:rsid w:val="00A92507"/>
    <w:rsid w:val="00A933B5"/>
    <w:rsid w:val="00A93690"/>
    <w:rsid w:val="00A93A44"/>
    <w:rsid w:val="00A93DE0"/>
    <w:rsid w:val="00A94065"/>
    <w:rsid w:val="00A9438F"/>
    <w:rsid w:val="00A94FBC"/>
    <w:rsid w:val="00A956F5"/>
    <w:rsid w:val="00A95B7F"/>
    <w:rsid w:val="00A95BB1"/>
    <w:rsid w:val="00A962E1"/>
    <w:rsid w:val="00A96426"/>
    <w:rsid w:val="00A964AF"/>
    <w:rsid w:val="00A96AD0"/>
    <w:rsid w:val="00A96AFB"/>
    <w:rsid w:val="00A96D94"/>
    <w:rsid w:val="00A97F40"/>
    <w:rsid w:val="00AA0156"/>
    <w:rsid w:val="00AA0693"/>
    <w:rsid w:val="00AA07A4"/>
    <w:rsid w:val="00AA135E"/>
    <w:rsid w:val="00AA1450"/>
    <w:rsid w:val="00AA14FA"/>
    <w:rsid w:val="00AA173F"/>
    <w:rsid w:val="00AA1977"/>
    <w:rsid w:val="00AA19A4"/>
    <w:rsid w:val="00AA1B90"/>
    <w:rsid w:val="00AA1C23"/>
    <w:rsid w:val="00AA202F"/>
    <w:rsid w:val="00AA227F"/>
    <w:rsid w:val="00AA2503"/>
    <w:rsid w:val="00AA257B"/>
    <w:rsid w:val="00AA2891"/>
    <w:rsid w:val="00AA28DC"/>
    <w:rsid w:val="00AA2AF4"/>
    <w:rsid w:val="00AA38B6"/>
    <w:rsid w:val="00AA3982"/>
    <w:rsid w:val="00AA4472"/>
    <w:rsid w:val="00AA4B12"/>
    <w:rsid w:val="00AA4F8D"/>
    <w:rsid w:val="00AA4F95"/>
    <w:rsid w:val="00AA55B1"/>
    <w:rsid w:val="00AA6329"/>
    <w:rsid w:val="00AA6965"/>
    <w:rsid w:val="00AA710F"/>
    <w:rsid w:val="00AA74FD"/>
    <w:rsid w:val="00AA7B68"/>
    <w:rsid w:val="00AA7BB3"/>
    <w:rsid w:val="00AA7D90"/>
    <w:rsid w:val="00AA7FDA"/>
    <w:rsid w:val="00AB02CE"/>
    <w:rsid w:val="00AB0C3F"/>
    <w:rsid w:val="00AB0D4B"/>
    <w:rsid w:val="00AB1514"/>
    <w:rsid w:val="00AB18DF"/>
    <w:rsid w:val="00AB2312"/>
    <w:rsid w:val="00AB2447"/>
    <w:rsid w:val="00AB26E4"/>
    <w:rsid w:val="00AB2845"/>
    <w:rsid w:val="00AB3126"/>
    <w:rsid w:val="00AB313B"/>
    <w:rsid w:val="00AB3785"/>
    <w:rsid w:val="00AB37C1"/>
    <w:rsid w:val="00AB3B2B"/>
    <w:rsid w:val="00AB3F31"/>
    <w:rsid w:val="00AB478E"/>
    <w:rsid w:val="00AB4CDA"/>
    <w:rsid w:val="00AB55B7"/>
    <w:rsid w:val="00AB59F9"/>
    <w:rsid w:val="00AB5B85"/>
    <w:rsid w:val="00AB5D57"/>
    <w:rsid w:val="00AB67FA"/>
    <w:rsid w:val="00AB692A"/>
    <w:rsid w:val="00AB6FFA"/>
    <w:rsid w:val="00AB6FFF"/>
    <w:rsid w:val="00AB7542"/>
    <w:rsid w:val="00AB7B67"/>
    <w:rsid w:val="00AB7D19"/>
    <w:rsid w:val="00AC01E4"/>
    <w:rsid w:val="00AC0590"/>
    <w:rsid w:val="00AC06D9"/>
    <w:rsid w:val="00AC07DE"/>
    <w:rsid w:val="00AC090C"/>
    <w:rsid w:val="00AC0B03"/>
    <w:rsid w:val="00AC160F"/>
    <w:rsid w:val="00AC211D"/>
    <w:rsid w:val="00AC2933"/>
    <w:rsid w:val="00AC2A07"/>
    <w:rsid w:val="00AC2EA5"/>
    <w:rsid w:val="00AC3DD6"/>
    <w:rsid w:val="00AC4483"/>
    <w:rsid w:val="00AC4641"/>
    <w:rsid w:val="00AC4B30"/>
    <w:rsid w:val="00AC5AA8"/>
    <w:rsid w:val="00AC5F48"/>
    <w:rsid w:val="00AC653D"/>
    <w:rsid w:val="00AC697D"/>
    <w:rsid w:val="00AC6A25"/>
    <w:rsid w:val="00AC6CD6"/>
    <w:rsid w:val="00AC6DAC"/>
    <w:rsid w:val="00AC7502"/>
    <w:rsid w:val="00AC779A"/>
    <w:rsid w:val="00AC77D9"/>
    <w:rsid w:val="00AC7DEE"/>
    <w:rsid w:val="00AD00CC"/>
    <w:rsid w:val="00AD01BE"/>
    <w:rsid w:val="00AD02B4"/>
    <w:rsid w:val="00AD03D1"/>
    <w:rsid w:val="00AD087D"/>
    <w:rsid w:val="00AD0C4B"/>
    <w:rsid w:val="00AD0E51"/>
    <w:rsid w:val="00AD0F9A"/>
    <w:rsid w:val="00AD13FD"/>
    <w:rsid w:val="00AD1518"/>
    <w:rsid w:val="00AD1604"/>
    <w:rsid w:val="00AD18EC"/>
    <w:rsid w:val="00AD1A64"/>
    <w:rsid w:val="00AD1CC3"/>
    <w:rsid w:val="00AD202D"/>
    <w:rsid w:val="00AD21F5"/>
    <w:rsid w:val="00AD22D6"/>
    <w:rsid w:val="00AD26C5"/>
    <w:rsid w:val="00AD2834"/>
    <w:rsid w:val="00AD29F7"/>
    <w:rsid w:val="00AD31DB"/>
    <w:rsid w:val="00AD331E"/>
    <w:rsid w:val="00AD343F"/>
    <w:rsid w:val="00AD35E6"/>
    <w:rsid w:val="00AD3749"/>
    <w:rsid w:val="00AD37E1"/>
    <w:rsid w:val="00AD4321"/>
    <w:rsid w:val="00AD50AA"/>
    <w:rsid w:val="00AD595C"/>
    <w:rsid w:val="00AD5C46"/>
    <w:rsid w:val="00AD607C"/>
    <w:rsid w:val="00AD636F"/>
    <w:rsid w:val="00AD6D78"/>
    <w:rsid w:val="00AD770C"/>
    <w:rsid w:val="00AE0101"/>
    <w:rsid w:val="00AE0E24"/>
    <w:rsid w:val="00AE0E3A"/>
    <w:rsid w:val="00AE122F"/>
    <w:rsid w:val="00AE1389"/>
    <w:rsid w:val="00AE1B28"/>
    <w:rsid w:val="00AE1E84"/>
    <w:rsid w:val="00AE28BE"/>
    <w:rsid w:val="00AE2B11"/>
    <w:rsid w:val="00AE2E52"/>
    <w:rsid w:val="00AE2F57"/>
    <w:rsid w:val="00AE3208"/>
    <w:rsid w:val="00AE34F7"/>
    <w:rsid w:val="00AE396F"/>
    <w:rsid w:val="00AE4031"/>
    <w:rsid w:val="00AE408F"/>
    <w:rsid w:val="00AE4263"/>
    <w:rsid w:val="00AE4A28"/>
    <w:rsid w:val="00AE4A70"/>
    <w:rsid w:val="00AE4C32"/>
    <w:rsid w:val="00AE5682"/>
    <w:rsid w:val="00AE5F2C"/>
    <w:rsid w:val="00AE6112"/>
    <w:rsid w:val="00AE6585"/>
    <w:rsid w:val="00AE6CED"/>
    <w:rsid w:val="00AE7654"/>
    <w:rsid w:val="00AE77C1"/>
    <w:rsid w:val="00AF013C"/>
    <w:rsid w:val="00AF01D6"/>
    <w:rsid w:val="00AF02AD"/>
    <w:rsid w:val="00AF0C46"/>
    <w:rsid w:val="00AF0ECB"/>
    <w:rsid w:val="00AF1601"/>
    <w:rsid w:val="00AF247A"/>
    <w:rsid w:val="00AF2683"/>
    <w:rsid w:val="00AF27C7"/>
    <w:rsid w:val="00AF2C63"/>
    <w:rsid w:val="00AF339E"/>
    <w:rsid w:val="00AF36A7"/>
    <w:rsid w:val="00AF375C"/>
    <w:rsid w:val="00AF381E"/>
    <w:rsid w:val="00AF39DA"/>
    <w:rsid w:val="00AF3A41"/>
    <w:rsid w:val="00AF3DAD"/>
    <w:rsid w:val="00AF43C0"/>
    <w:rsid w:val="00AF452E"/>
    <w:rsid w:val="00AF4B94"/>
    <w:rsid w:val="00AF54DA"/>
    <w:rsid w:val="00AF574E"/>
    <w:rsid w:val="00AF58F4"/>
    <w:rsid w:val="00AF5C59"/>
    <w:rsid w:val="00AF6174"/>
    <w:rsid w:val="00AF6DB1"/>
    <w:rsid w:val="00AF6E4C"/>
    <w:rsid w:val="00AF738E"/>
    <w:rsid w:val="00AF7521"/>
    <w:rsid w:val="00AF7A02"/>
    <w:rsid w:val="00B003EB"/>
    <w:rsid w:val="00B00DA1"/>
    <w:rsid w:val="00B00EC0"/>
    <w:rsid w:val="00B011E9"/>
    <w:rsid w:val="00B01A72"/>
    <w:rsid w:val="00B01B1F"/>
    <w:rsid w:val="00B02282"/>
    <w:rsid w:val="00B023DE"/>
    <w:rsid w:val="00B02545"/>
    <w:rsid w:val="00B026C1"/>
    <w:rsid w:val="00B0294E"/>
    <w:rsid w:val="00B033F0"/>
    <w:rsid w:val="00B0361B"/>
    <w:rsid w:val="00B036DD"/>
    <w:rsid w:val="00B044D5"/>
    <w:rsid w:val="00B047C9"/>
    <w:rsid w:val="00B04A67"/>
    <w:rsid w:val="00B04B84"/>
    <w:rsid w:val="00B04DEE"/>
    <w:rsid w:val="00B05144"/>
    <w:rsid w:val="00B05155"/>
    <w:rsid w:val="00B05488"/>
    <w:rsid w:val="00B05664"/>
    <w:rsid w:val="00B05CA5"/>
    <w:rsid w:val="00B060F9"/>
    <w:rsid w:val="00B063AA"/>
    <w:rsid w:val="00B0649D"/>
    <w:rsid w:val="00B06BA7"/>
    <w:rsid w:val="00B10BB9"/>
    <w:rsid w:val="00B11193"/>
    <w:rsid w:val="00B11432"/>
    <w:rsid w:val="00B12088"/>
    <w:rsid w:val="00B123C9"/>
    <w:rsid w:val="00B12439"/>
    <w:rsid w:val="00B12C9F"/>
    <w:rsid w:val="00B13278"/>
    <w:rsid w:val="00B138D1"/>
    <w:rsid w:val="00B143AD"/>
    <w:rsid w:val="00B144C6"/>
    <w:rsid w:val="00B145C1"/>
    <w:rsid w:val="00B14C89"/>
    <w:rsid w:val="00B14D56"/>
    <w:rsid w:val="00B155B9"/>
    <w:rsid w:val="00B15B31"/>
    <w:rsid w:val="00B15F85"/>
    <w:rsid w:val="00B16256"/>
    <w:rsid w:val="00B1638B"/>
    <w:rsid w:val="00B16920"/>
    <w:rsid w:val="00B1698D"/>
    <w:rsid w:val="00B16A45"/>
    <w:rsid w:val="00B1705F"/>
    <w:rsid w:val="00B17868"/>
    <w:rsid w:val="00B20A8D"/>
    <w:rsid w:val="00B20EDF"/>
    <w:rsid w:val="00B20F0B"/>
    <w:rsid w:val="00B21611"/>
    <w:rsid w:val="00B21856"/>
    <w:rsid w:val="00B21CA1"/>
    <w:rsid w:val="00B21E5F"/>
    <w:rsid w:val="00B22375"/>
    <w:rsid w:val="00B232C7"/>
    <w:rsid w:val="00B2345F"/>
    <w:rsid w:val="00B23D96"/>
    <w:rsid w:val="00B244F2"/>
    <w:rsid w:val="00B246DD"/>
    <w:rsid w:val="00B249A5"/>
    <w:rsid w:val="00B24D45"/>
    <w:rsid w:val="00B24E32"/>
    <w:rsid w:val="00B24ED4"/>
    <w:rsid w:val="00B250D1"/>
    <w:rsid w:val="00B252B6"/>
    <w:rsid w:val="00B252ED"/>
    <w:rsid w:val="00B254AD"/>
    <w:rsid w:val="00B25B92"/>
    <w:rsid w:val="00B25DDA"/>
    <w:rsid w:val="00B26F3E"/>
    <w:rsid w:val="00B27052"/>
    <w:rsid w:val="00B2745E"/>
    <w:rsid w:val="00B2750A"/>
    <w:rsid w:val="00B27FCA"/>
    <w:rsid w:val="00B30251"/>
    <w:rsid w:val="00B304A9"/>
    <w:rsid w:val="00B304ED"/>
    <w:rsid w:val="00B30581"/>
    <w:rsid w:val="00B30D25"/>
    <w:rsid w:val="00B30DF1"/>
    <w:rsid w:val="00B31778"/>
    <w:rsid w:val="00B31BB6"/>
    <w:rsid w:val="00B31BF5"/>
    <w:rsid w:val="00B31D8A"/>
    <w:rsid w:val="00B32107"/>
    <w:rsid w:val="00B325DC"/>
    <w:rsid w:val="00B329E9"/>
    <w:rsid w:val="00B331F3"/>
    <w:rsid w:val="00B33457"/>
    <w:rsid w:val="00B342F5"/>
    <w:rsid w:val="00B34683"/>
    <w:rsid w:val="00B34686"/>
    <w:rsid w:val="00B34800"/>
    <w:rsid w:val="00B34C5E"/>
    <w:rsid w:val="00B34D5C"/>
    <w:rsid w:val="00B35169"/>
    <w:rsid w:val="00B35286"/>
    <w:rsid w:val="00B3562A"/>
    <w:rsid w:val="00B3652C"/>
    <w:rsid w:val="00B36F91"/>
    <w:rsid w:val="00B37AE1"/>
    <w:rsid w:val="00B4087D"/>
    <w:rsid w:val="00B40A40"/>
    <w:rsid w:val="00B40E20"/>
    <w:rsid w:val="00B42224"/>
    <w:rsid w:val="00B42310"/>
    <w:rsid w:val="00B42F90"/>
    <w:rsid w:val="00B4306D"/>
    <w:rsid w:val="00B43075"/>
    <w:rsid w:val="00B432EB"/>
    <w:rsid w:val="00B4350F"/>
    <w:rsid w:val="00B4382F"/>
    <w:rsid w:val="00B44728"/>
    <w:rsid w:val="00B448CC"/>
    <w:rsid w:val="00B4499B"/>
    <w:rsid w:val="00B450EE"/>
    <w:rsid w:val="00B45187"/>
    <w:rsid w:val="00B45689"/>
    <w:rsid w:val="00B46108"/>
    <w:rsid w:val="00B46140"/>
    <w:rsid w:val="00B461C4"/>
    <w:rsid w:val="00B46523"/>
    <w:rsid w:val="00B468BB"/>
    <w:rsid w:val="00B46A84"/>
    <w:rsid w:val="00B46D16"/>
    <w:rsid w:val="00B46EE6"/>
    <w:rsid w:val="00B47541"/>
    <w:rsid w:val="00B4768D"/>
    <w:rsid w:val="00B50111"/>
    <w:rsid w:val="00B50370"/>
    <w:rsid w:val="00B5084F"/>
    <w:rsid w:val="00B50A14"/>
    <w:rsid w:val="00B50B6C"/>
    <w:rsid w:val="00B50D91"/>
    <w:rsid w:val="00B51304"/>
    <w:rsid w:val="00B51691"/>
    <w:rsid w:val="00B519C3"/>
    <w:rsid w:val="00B51A8A"/>
    <w:rsid w:val="00B51B5B"/>
    <w:rsid w:val="00B51CDD"/>
    <w:rsid w:val="00B51D9D"/>
    <w:rsid w:val="00B529EB"/>
    <w:rsid w:val="00B53378"/>
    <w:rsid w:val="00B53452"/>
    <w:rsid w:val="00B53E76"/>
    <w:rsid w:val="00B549DA"/>
    <w:rsid w:val="00B54BAB"/>
    <w:rsid w:val="00B54EAD"/>
    <w:rsid w:val="00B550D9"/>
    <w:rsid w:val="00B55373"/>
    <w:rsid w:val="00B55385"/>
    <w:rsid w:val="00B55640"/>
    <w:rsid w:val="00B5582B"/>
    <w:rsid w:val="00B55AA4"/>
    <w:rsid w:val="00B55BBA"/>
    <w:rsid w:val="00B5618C"/>
    <w:rsid w:val="00B56295"/>
    <w:rsid w:val="00B565BA"/>
    <w:rsid w:val="00B566B1"/>
    <w:rsid w:val="00B56CB4"/>
    <w:rsid w:val="00B56DEF"/>
    <w:rsid w:val="00B57191"/>
    <w:rsid w:val="00B574C9"/>
    <w:rsid w:val="00B577F5"/>
    <w:rsid w:val="00B57B3F"/>
    <w:rsid w:val="00B57CFF"/>
    <w:rsid w:val="00B57D82"/>
    <w:rsid w:val="00B60040"/>
    <w:rsid w:val="00B60685"/>
    <w:rsid w:val="00B60B9E"/>
    <w:rsid w:val="00B60EE7"/>
    <w:rsid w:val="00B612A0"/>
    <w:rsid w:val="00B61308"/>
    <w:rsid w:val="00B613BF"/>
    <w:rsid w:val="00B61803"/>
    <w:rsid w:val="00B61AAA"/>
    <w:rsid w:val="00B6246D"/>
    <w:rsid w:val="00B628E1"/>
    <w:rsid w:val="00B629C4"/>
    <w:rsid w:val="00B62D36"/>
    <w:rsid w:val="00B62EE2"/>
    <w:rsid w:val="00B62FE8"/>
    <w:rsid w:val="00B63039"/>
    <w:rsid w:val="00B630DE"/>
    <w:rsid w:val="00B6328F"/>
    <w:rsid w:val="00B63498"/>
    <w:rsid w:val="00B639CA"/>
    <w:rsid w:val="00B63C93"/>
    <w:rsid w:val="00B6494A"/>
    <w:rsid w:val="00B649CF"/>
    <w:rsid w:val="00B64A70"/>
    <w:rsid w:val="00B64DF2"/>
    <w:rsid w:val="00B65A33"/>
    <w:rsid w:val="00B65D29"/>
    <w:rsid w:val="00B65E6A"/>
    <w:rsid w:val="00B6601D"/>
    <w:rsid w:val="00B663DE"/>
    <w:rsid w:val="00B6680E"/>
    <w:rsid w:val="00B66844"/>
    <w:rsid w:val="00B66F1B"/>
    <w:rsid w:val="00B6749D"/>
    <w:rsid w:val="00B676B9"/>
    <w:rsid w:val="00B67718"/>
    <w:rsid w:val="00B67AB6"/>
    <w:rsid w:val="00B67B60"/>
    <w:rsid w:val="00B7026A"/>
    <w:rsid w:val="00B70537"/>
    <w:rsid w:val="00B70999"/>
    <w:rsid w:val="00B711A1"/>
    <w:rsid w:val="00B71584"/>
    <w:rsid w:val="00B71BC1"/>
    <w:rsid w:val="00B71C5D"/>
    <w:rsid w:val="00B721C1"/>
    <w:rsid w:val="00B7223B"/>
    <w:rsid w:val="00B72657"/>
    <w:rsid w:val="00B726AA"/>
    <w:rsid w:val="00B72C7F"/>
    <w:rsid w:val="00B72D31"/>
    <w:rsid w:val="00B73045"/>
    <w:rsid w:val="00B731F8"/>
    <w:rsid w:val="00B73387"/>
    <w:rsid w:val="00B7380B"/>
    <w:rsid w:val="00B73932"/>
    <w:rsid w:val="00B73E48"/>
    <w:rsid w:val="00B743F2"/>
    <w:rsid w:val="00B74424"/>
    <w:rsid w:val="00B74C7B"/>
    <w:rsid w:val="00B74FD0"/>
    <w:rsid w:val="00B756EE"/>
    <w:rsid w:val="00B75952"/>
    <w:rsid w:val="00B75B24"/>
    <w:rsid w:val="00B75D85"/>
    <w:rsid w:val="00B7616B"/>
    <w:rsid w:val="00B76CB3"/>
    <w:rsid w:val="00B77129"/>
    <w:rsid w:val="00B774AB"/>
    <w:rsid w:val="00B77568"/>
    <w:rsid w:val="00B77B52"/>
    <w:rsid w:val="00B77D8C"/>
    <w:rsid w:val="00B80C79"/>
    <w:rsid w:val="00B80D7A"/>
    <w:rsid w:val="00B810BD"/>
    <w:rsid w:val="00B815CD"/>
    <w:rsid w:val="00B817DB"/>
    <w:rsid w:val="00B81A01"/>
    <w:rsid w:val="00B81C2C"/>
    <w:rsid w:val="00B81D3F"/>
    <w:rsid w:val="00B82165"/>
    <w:rsid w:val="00B825DC"/>
    <w:rsid w:val="00B82E40"/>
    <w:rsid w:val="00B8301C"/>
    <w:rsid w:val="00B830E3"/>
    <w:rsid w:val="00B8319D"/>
    <w:rsid w:val="00B8325C"/>
    <w:rsid w:val="00B83591"/>
    <w:rsid w:val="00B8362A"/>
    <w:rsid w:val="00B838FD"/>
    <w:rsid w:val="00B83D50"/>
    <w:rsid w:val="00B83EB3"/>
    <w:rsid w:val="00B84380"/>
    <w:rsid w:val="00B84AFA"/>
    <w:rsid w:val="00B84C20"/>
    <w:rsid w:val="00B84FEC"/>
    <w:rsid w:val="00B850E3"/>
    <w:rsid w:val="00B85791"/>
    <w:rsid w:val="00B85A2E"/>
    <w:rsid w:val="00B85E07"/>
    <w:rsid w:val="00B860B2"/>
    <w:rsid w:val="00B865BB"/>
    <w:rsid w:val="00B866A8"/>
    <w:rsid w:val="00B867DD"/>
    <w:rsid w:val="00B86891"/>
    <w:rsid w:val="00B86C8E"/>
    <w:rsid w:val="00B86F76"/>
    <w:rsid w:val="00B87391"/>
    <w:rsid w:val="00B87483"/>
    <w:rsid w:val="00B877CE"/>
    <w:rsid w:val="00B87DCE"/>
    <w:rsid w:val="00B87F83"/>
    <w:rsid w:val="00B90FA8"/>
    <w:rsid w:val="00B9120E"/>
    <w:rsid w:val="00B9180A"/>
    <w:rsid w:val="00B92536"/>
    <w:rsid w:val="00B92669"/>
    <w:rsid w:val="00B927A1"/>
    <w:rsid w:val="00B93707"/>
    <w:rsid w:val="00B93BAA"/>
    <w:rsid w:val="00B93D5E"/>
    <w:rsid w:val="00B940E0"/>
    <w:rsid w:val="00B9477D"/>
    <w:rsid w:val="00B948FE"/>
    <w:rsid w:val="00B94B21"/>
    <w:rsid w:val="00B95B9C"/>
    <w:rsid w:val="00B961EB"/>
    <w:rsid w:val="00B963D3"/>
    <w:rsid w:val="00B9648D"/>
    <w:rsid w:val="00B9763B"/>
    <w:rsid w:val="00B97A70"/>
    <w:rsid w:val="00B97CC5"/>
    <w:rsid w:val="00BA019A"/>
    <w:rsid w:val="00BA0218"/>
    <w:rsid w:val="00BA02F6"/>
    <w:rsid w:val="00BA08EC"/>
    <w:rsid w:val="00BA0BC0"/>
    <w:rsid w:val="00BA101C"/>
    <w:rsid w:val="00BA11C1"/>
    <w:rsid w:val="00BA12F9"/>
    <w:rsid w:val="00BA1A65"/>
    <w:rsid w:val="00BA1EAD"/>
    <w:rsid w:val="00BA22F6"/>
    <w:rsid w:val="00BA2956"/>
    <w:rsid w:val="00BA2C98"/>
    <w:rsid w:val="00BA3229"/>
    <w:rsid w:val="00BA3316"/>
    <w:rsid w:val="00BA347D"/>
    <w:rsid w:val="00BA3572"/>
    <w:rsid w:val="00BA367A"/>
    <w:rsid w:val="00BA3DB0"/>
    <w:rsid w:val="00BA3EFA"/>
    <w:rsid w:val="00BA470A"/>
    <w:rsid w:val="00BA52C1"/>
    <w:rsid w:val="00BA5FA2"/>
    <w:rsid w:val="00BA6075"/>
    <w:rsid w:val="00BA6877"/>
    <w:rsid w:val="00BA713C"/>
    <w:rsid w:val="00BA7223"/>
    <w:rsid w:val="00BA7463"/>
    <w:rsid w:val="00BA777A"/>
    <w:rsid w:val="00BA7B19"/>
    <w:rsid w:val="00BA7B82"/>
    <w:rsid w:val="00BA7C87"/>
    <w:rsid w:val="00BA7E77"/>
    <w:rsid w:val="00BB027E"/>
    <w:rsid w:val="00BB0522"/>
    <w:rsid w:val="00BB078D"/>
    <w:rsid w:val="00BB108D"/>
    <w:rsid w:val="00BB10CE"/>
    <w:rsid w:val="00BB1A19"/>
    <w:rsid w:val="00BB1D88"/>
    <w:rsid w:val="00BB2494"/>
    <w:rsid w:val="00BB2BC5"/>
    <w:rsid w:val="00BB2E4A"/>
    <w:rsid w:val="00BB3175"/>
    <w:rsid w:val="00BB31B1"/>
    <w:rsid w:val="00BB3267"/>
    <w:rsid w:val="00BB387D"/>
    <w:rsid w:val="00BB3AD6"/>
    <w:rsid w:val="00BB41AC"/>
    <w:rsid w:val="00BB475B"/>
    <w:rsid w:val="00BB4790"/>
    <w:rsid w:val="00BB4A09"/>
    <w:rsid w:val="00BB4B20"/>
    <w:rsid w:val="00BB4B28"/>
    <w:rsid w:val="00BB4BEE"/>
    <w:rsid w:val="00BB4FA5"/>
    <w:rsid w:val="00BB5447"/>
    <w:rsid w:val="00BB5705"/>
    <w:rsid w:val="00BB5E51"/>
    <w:rsid w:val="00BB62F5"/>
    <w:rsid w:val="00BB635E"/>
    <w:rsid w:val="00BB6BF0"/>
    <w:rsid w:val="00BB7017"/>
    <w:rsid w:val="00BB7287"/>
    <w:rsid w:val="00BB72F3"/>
    <w:rsid w:val="00BB76AC"/>
    <w:rsid w:val="00BB76B1"/>
    <w:rsid w:val="00BB7C92"/>
    <w:rsid w:val="00BB7E12"/>
    <w:rsid w:val="00BB7F0A"/>
    <w:rsid w:val="00BB7FA3"/>
    <w:rsid w:val="00BC0433"/>
    <w:rsid w:val="00BC0B0C"/>
    <w:rsid w:val="00BC0C00"/>
    <w:rsid w:val="00BC0C47"/>
    <w:rsid w:val="00BC0E4D"/>
    <w:rsid w:val="00BC0F0A"/>
    <w:rsid w:val="00BC1087"/>
    <w:rsid w:val="00BC1158"/>
    <w:rsid w:val="00BC19B3"/>
    <w:rsid w:val="00BC1DDE"/>
    <w:rsid w:val="00BC209D"/>
    <w:rsid w:val="00BC21DC"/>
    <w:rsid w:val="00BC2369"/>
    <w:rsid w:val="00BC2FBE"/>
    <w:rsid w:val="00BC45F9"/>
    <w:rsid w:val="00BC4746"/>
    <w:rsid w:val="00BC477D"/>
    <w:rsid w:val="00BC4C74"/>
    <w:rsid w:val="00BC5821"/>
    <w:rsid w:val="00BC5C85"/>
    <w:rsid w:val="00BC5F35"/>
    <w:rsid w:val="00BC69F2"/>
    <w:rsid w:val="00BC6E34"/>
    <w:rsid w:val="00BC736A"/>
    <w:rsid w:val="00BC74CF"/>
    <w:rsid w:val="00BC7586"/>
    <w:rsid w:val="00BC77EB"/>
    <w:rsid w:val="00BC7E7A"/>
    <w:rsid w:val="00BD03CB"/>
    <w:rsid w:val="00BD0B1C"/>
    <w:rsid w:val="00BD129D"/>
    <w:rsid w:val="00BD1841"/>
    <w:rsid w:val="00BD1D2F"/>
    <w:rsid w:val="00BD1D9A"/>
    <w:rsid w:val="00BD20C7"/>
    <w:rsid w:val="00BD220A"/>
    <w:rsid w:val="00BD2940"/>
    <w:rsid w:val="00BD2992"/>
    <w:rsid w:val="00BD2CF6"/>
    <w:rsid w:val="00BD2FC5"/>
    <w:rsid w:val="00BD3283"/>
    <w:rsid w:val="00BD3447"/>
    <w:rsid w:val="00BD3B0D"/>
    <w:rsid w:val="00BD3B7A"/>
    <w:rsid w:val="00BD3DD6"/>
    <w:rsid w:val="00BD49B4"/>
    <w:rsid w:val="00BD4FAC"/>
    <w:rsid w:val="00BD5529"/>
    <w:rsid w:val="00BD570D"/>
    <w:rsid w:val="00BD611D"/>
    <w:rsid w:val="00BD68AE"/>
    <w:rsid w:val="00BD6E2D"/>
    <w:rsid w:val="00BD7297"/>
    <w:rsid w:val="00BD752D"/>
    <w:rsid w:val="00BD7CE6"/>
    <w:rsid w:val="00BE0067"/>
    <w:rsid w:val="00BE0104"/>
    <w:rsid w:val="00BE01B3"/>
    <w:rsid w:val="00BE09A1"/>
    <w:rsid w:val="00BE0B0C"/>
    <w:rsid w:val="00BE0C4F"/>
    <w:rsid w:val="00BE10CA"/>
    <w:rsid w:val="00BE1172"/>
    <w:rsid w:val="00BE11F5"/>
    <w:rsid w:val="00BE1265"/>
    <w:rsid w:val="00BE138C"/>
    <w:rsid w:val="00BE1C57"/>
    <w:rsid w:val="00BE2062"/>
    <w:rsid w:val="00BE2085"/>
    <w:rsid w:val="00BE2643"/>
    <w:rsid w:val="00BE26F9"/>
    <w:rsid w:val="00BE2BE0"/>
    <w:rsid w:val="00BE2D4E"/>
    <w:rsid w:val="00BE2E11"/>
    <w:rsid w:val="00BE2E26"/>
    <w:rsid w:val="00BE38A0"/>
    <w:rsid w:val="00BE3BB0"/>
    <w:rsid w:val="00BE3C80"/>
    <w:rsid w:val="00BE4013"/>
    <w:rsid w:val="00BE41E2"/>
    <w:rsid w:val="00BE453D"/>
    <w:rsid w:val="00BE4FCF"/>
    <w:rsid w:val="00BE50FE"/>
    <w:rsid w:val="00BE55D8"/>
    <w:rsid w:val="00BE564A"/>
    <w:rsid w:val="00BE58F5"/>
    <w:rsid w:val="00BE5C96"/>
    <w:rsid w:val="00BE5E72"/>
    <w:rsid w:val="00BE6B9D"/>
    <w:rsid w:val="00BE6F4A"/>
    <w:rsid w:val="00BF0002"/>
    <w:rsid w:val="00BF09F3"/>
    <w:rsid w:val="00BF0BAF"/>
    <w:rsid w:val="00BF0C07"/>
    <w:rsid w:val="00BF0C70"/>
    <w:rsid w:val="00BF12CF"/>
    <w:rsid w:val="00BF1339"/>
    <w:rsid w:val="00BF17FC"/>
    <w:rsid w:val="00BF18C9"/>
    <w:rsid w:val="00BF1B8A"/>
    <w:rsid w:val="00BF1EC0"/>
    <w:rsid w:val="00BF1F91"/>
    <w:rsid w:val="00BF2024"/>
    <w:rsid w:val="00BF256A"/>
    <w:rsid w:val="00BF2808"/>
    <w:rsid w:val="00BF2A32"/>
    <w:rsid w:val="00BF2B27"/>
    <w:rsid w:val="00BF2D7C"/>
    <w:rsid w:val="00BF2EC0"/>
    <w:rsid w:val="00BF361A"/>
    <w:rsid w:val="00BF389C"/>
    <w:rsid w:val="00BF3A69"/>
    <w:rsid w:val="00BF3C87"/>
    <w:rsid w:val="00BF3E56"/>
    <w:rsid w:val="00BF3E57"/>
    <w:rsid w:val="00BF575B"/>
    <w:rsid w:val="00BF5E22"/>
    <w:rsid w:val="00BF5F94"/>
    <w:rsid w:val="00BF6433"/>
    <w:rsid w:val="00BF7731"/>
    <w:rsid w:val="00BF78D1"/>
    <w:rsid w:val="00BF7C90"/>
    <w:rsid w:val="00BF7D0B"/>
    <w:rsid w:val="00C00102"/>
    <w:rsid w:val="00C00157"/>
    <w:rsid w:val="00C0025A"/>
    <w:rsid w:val="00C010D6"/>
    <w:rsid w:val="00C01551"/>
    <w:rsid w:val="00C018CD"/>
    <w:rsid w:val="00C01972"/>
    <w:rsid w:val="00C01D18"/>
    <w:rsid w:val="00C0204F"/>
    <w:rsid w:val="00C020AB"/>
    <w:rsid w:val="00C022E0"/>
    <w:rsid w:val="00C026FE"/>
    <w:rsid w:val="00C02771"/>
    <w:rsid w:val="00C02C6B"/>
    <w:rsid w:val="00C02CFE"/>
    <w:rsid w:val="00C02FD0"/>
    <w:rsid w:val="00C03094"/>
    <w:rsid w:val="00C0328C"/>
    <w:rsid w:val="00C03303"/>
    <w:rsid w:val="00C0396A"/>
    <w:rsid w:val="00C03C8B"/>
    <w:rsid w:val="00C04AF3"/>
    <w:rsid w:val="00C05192"/>
    <w:rsid w:val="00C0522D"/>
    <w:rsid w:val="00C0551D"/>
    <w:rsid w:val="00C055B1"/>
    <w:rsid w:val="00C05646"/>
    <w:rsid w:val="00C057DF"/>
    <w:rsid w:val="00C05E39"/>
    <w:rsid w:val="00C06335"/>
    <w:rsid w:val="00C0638C"/>
    <w:rsid w:val="00C06805"/>
    <w:rsid w:val="00C06F73"/>
    <w:rsid w:val="00C071E5"/>
    <w:rsid w:val="00C07324"/>
    <w:rsid w:val="00C0735C"/>
    <w:rsid w:val="00C07491"/>
    <w:rsid w:val="00C078F6"/>
    <w:rsid w:val="00C07BBB"/>
    <w:rsid w:val="00C07BC8"/>
    <w:rsid w:val="00C07F4B"/>
    <w:rsid w:val="00C07F56"/>
    <w:rsid w:val="00C105A9"/>
    <w:rsid w:val="00C107AD"/>
    <w:rsid w:val="00C10816"/>
    <w:rsid w:val="00C1083D"/>
    <w:rsid w:val="00C10EED"/>
    <w:rsid w:val="00C11198"/>
    <w:rsid w:val="00C116EA"/>
    <w:rsid w:val="00C1185A"/>
    <w:rsid w:val="00C11FFF"/>
    <w:rsid w:val="00C122DA"/>
    <w:rsid w:val="00C122FB"/>
    <w:rsid w:val="00C123AD"/>
    <w:rsid w:val="00C1286C"/>
    <w:rsid w:val="00C1333D"/>
    <w:rsid w:val="00C13476"/>
    <w:rsid w:val="00C13DC5"/>
    <w:rsid w:val="00C15009"/>
    <w:rsid w:val="00C15369"/>
    <w:rsid w:val="00C15A3C"/>
    <w:rsid w:val="00C15DF8"/>
    <w:rsid w:val="00C1655B"/>
    <w:rsid w:val="00C16633"/>
    <w:rsid w:val="00C16D1C"/>
    <w:rsid w:val="00C1788B"/>
    <w:rsid w:val="00C17C57"/>
    <w:rsid w:val="00C202C3"/>
    <w:rsid w:val="00C203F3"/>
    <w:rsid w:val="00C204C6"/>
    <w:rsid w:val="00C20590"/>
    <w:rsid w:val="00C20C1D"/>
    <w:rsid w:val="00C20FC3"/>
    <w:rsid w:val="00C2132A"/>
    <w:rsid w:val="00C2142B"/>
    <w:rsid w:val="00C2270C"/>
    <w:rsid w:val="00C22873"/>
    <w:rsid w:val="00C229BD"/>
    <w:rsid w:val="00C23031"/>
    <w:rsid w:val="00C23809"/>
    <w:rsid w:val="00C24077"/>
    <w:rsid w:val="00C24367"/>
    <w:rsid w:val="00C24B1E"/>
    <w:rsid w:val="00C24F8C"/>
    <w:rsid w:val="00C250D2"/>
    <w:rsid w:val="00C25A42"/>
    <w:rsid w:val="00C260E1"/>
    <w:rsid w:val="00C262CD"/>
    <w:rsid w:val="00C26B42"/>
    <w:rsid w:val="00C26F4F"/>
    <w:rsid w:val="00C272BA"/>
    <w:rsid w:val="00C27365"/>
    <w:rsid w:val="00C2742B"/>
    <w:rsid w:val="00C27AC6"/>
    <w:rsid w:val="00C3001E"/>
    <w:rsid w:val="00C3010D"/>
    <w:rsid w:val="00C30314"/>
    <w:rsid w:val="00C30427"/>
    <w:rsid w:val="00C304F8"/>
    <w:rsid w:val="00C30786"/>
    <w:rsid w:val="00C30C30"/>
    <w:rsid w:val="00C31366"/>
    <w:rsid w:val="00C314EC"/>
    <w:rsid w:val="00C315EE"/>
    <w:rsid w:val="00C3175F"/>
    <w:rsid w:val="00C31CEF"/>
    <w:rsid w:val="00C31E20"/>
    <w:rsid w:val="00C32091"/>
    <w:rsid w:val="00C32624"/>
    <w:rsid w:val="00C33A2E"/>
    <w:rsid w:val="00C33E9B"/>
    <w:rsid w:val="00C33FAE"/>
    <w:rsid w:val="00C33FFB"/>
    <w:rsid w:val="00C3486F"/>
    <w:rsid w:val="00C34C15"/>
    <w:rsid w:val="00C34E34"/>
    <w:rsid w:val="00C3500E"/>
    <w:rsid w:val="00C3521D"/>
    <w:rsid w:val="00C352D4"/>
    <w:rsid w:val="00C359B3"/>
    <w:rsid w:val="00C35C50"/>
    <w:rsid w:val="00C35DBC"/>
    <w:rsid w:val="00C35E63"/>
    <w:rsid w:val="00C35EFB"/>
    <w:rsid w:val="00C35F8B"/>
    <w:rsid w:val="00C361B6"/>
    <w:rsid w:val="00C3666E"/>
    <w:rsid w:val="00C36DCE"/>
    <w:rsid w:val="00C37061"/>
    <w:rsid w:val="00C376C8"/>
    <w:rsid w:val="00C37C0F"/>
    <w:rsid w:val="00C37DEB"/>
    <w:rsid w:val="00C4024F"/>
    <w:rsid w:val="00C4030F"/>
    <w:rsid w:val="00C40588"/>
    <w:rsid w:val="00C40871"/>
    <w:rsid w:val="00C40886"/>
    <w:rsid w:val="00C408FC"/>
    <w:rsid w:val="00C40C3A"/>
    <w:rsid w:val="00C41462"/>
    <w:rsid w:val="00C41539"/>
    <w:rsid w:val="00C41721"/>
    <w:rsid w:val="00C41745"/>
    <w:rsid w:val="00C41912"/>
    <w:rsid w:val="00C41F7C"/>
    <w:rsid w:val="00C41FD3"/>
    <w:rsid w:val="00C42153"/>
    <w:rsid w:val="00C4267A"/>
    <w:rsid w:val="00C4284F"/>
    <w:rsid w:val="00C42C4E"/>
    <w:rsid w:val="00C4373A"/>
    <w:rsid w:val="00C43845"/>
    <w:rsid w:val="00C43ADC"/>
    <w:rsid w:val="00C43D62"/>
    <w:rsid w:val="00C441D0"/>
    <w:rsid w:val="00C44718"/>
    <w:rsid w:val="00C44956"/>
    <w:rsid w:val="00C44E73"/>
    <w:rsid w:val="00C4571A"/>
    <w:rsid w:val="00C458B6"/>
    <w:rsid w:val="00C45A5A"/>
    <w:rsid w:val="00C45A64"/>
    <w:rsid w:val="00C45C03"/>
    <w:rsid w:val="00C45F38"/>
    <w:rsid w:val="00C464A3"/>
    <w:rsid w:val="00C46BA3"/>
    <w:rsid w:val="00C46C66"/>
    <w:rsid w:val="00C4713B"/>
    <w:rsid w:val="00C47750"/>
    <w:rsid w:val="00C479A8"/>
    <w:rsid w:val="00C47A55"/>
    <w:rsid w:val="00C507C1"/>
    <w:rsid w:val="00C508B8"/>
    <w:rsid w:val="00C5090C"/>
    <w:rsid w:val="00C5099A"/>
    <w:rsid w:val="00C50B3A"/>
    <w:rsid w:val="00C50D7A"/>
    <w:rsid w:val="00C51021"/>
    <w:rsid w:val="00C51096"/>
    <w:rsid w:val="00C5153F"/>
    <w:rsid w:val="00C51D5D"/>
    <w:rsid w:val="00C52304"/>
    <w:rsid w:val="00C5235E"/>
    <w:rsid w:val="00C52402"/>
    <w:rsid w:val="00C52C2E"/>
    <w:rsid w:val="00C53005"/>
    <w:rsid w:val="00C534CB"/>
    <w:rsid w:val="00C53905"/>
    <w:rsid w:val="00C53C24"/>
    <w:rsid w:val="00C53F88"/>
    <w:rsid w:val="00C54F91"/>
    <w:rsid w:val="00C55024"/>
    <w:rsid w:val="00C5509B"/>
    <w:rsid w:val="00C5553A"/>
    <w:rsid w:val="00C57171"/>
    <w:rsid w:val="00C571BD"/>
    <w:rsid w:val="00C57322"/>
    <w:rsid w:val="00C57688"/>
    <w:rsid w:val="00C578F8"/>
    <w:rsid w:val="00C60141"/>
    <w:rsid w:val="00C60276"/>
    <w:rsid w:val="00C6052C"/>
    <w:rsid w:val="00C6099C"/>
    <w:rsid w:val="00C60B96"/>
    <w:rsid w:val="00C60C7C"/>
    <w:rsid w:val="00C60C83"/>
    <w:rsid w:val="00C611F4"/>
    <w:rsid w:val="00C61205"/>
    <w:rsid w:val="00C614D2"/>
    <w:rsid w:val="00C6194D"/>
    <w:rsid w:val="00C61A35"/>
    <w:rsid w:val="00C61B30"/>
    <w:rsid w:val="00C61FEF"/>
    <w:rsid w:val="00C6207E"/>
    <w:rsid w:val="00C63BB0"/>
    <w:rsid w:val="00C64384"/>
    <w:rsid w:val="00C64C8C"/>
    <w:rsid w:val="00C64F35"/>
    <w:rsid w:val="00C64F4E"/>
    <w:rsid w:val="00C650C1"/>
    <w:rsid w:val="00C654A5"/>
    <w:rsid w:val="00C65509"/>
    <w:rsid w:val="00C66011"/>
    <w:rsid w:val="00C6622B"/>
    <w:rsid w:val="00C6653C"/>
    <w:rsid w:val="00C66CBB"/>
    <w:rsid w:val="00C6737E"/>
    <w:rsid w:val="00C67708"/>
    <w:rsid w:val="00C67875"/>
    <w:rsid w:val="00C67F7F"/>
    <w:rsid w:val="00C70233"/>
    <w:rsid w:val="00C70271"/>
    <w:rsid w:val="00C70C92"/>
    <w:rsid w:val="00C71081"/>
    <w:rsid w:val="00C716E3"/>
    <w:rsid w:val="00C71F2D"/>
    <w:rsid w:val="00C71FF9"/>
    <w:rsid w:val="00C7266D"/>
    <w:rsid w:val="00C7276D"/>
    <w:rsid w:val="00C72A72"/>
    <w:rsid w:val="00C72F11"/>
    <w:rsid w:val="00C73403"/>
    <w:rsid w:val="00C737AF"/>
    <w:rsid w:val="00C73F8E"/>
    <w:rsid w:val="00C74201"/>
    <w:rsid w:val="00C7462B"/>
    <w:rsid w:val="00C74687"/>
    <w:rsid w:val="00C7499A"/>
    <w:rsid w:val="00C74A89"/>
    <w:rsid w:val="00C74F11"/>
    <w:rsid w:val="00C75582"/>
    <w:rsid w:val="00C75667"/>
    <w:rsid w:val="00C75839"/>
    <w:rsid w:val="00C7598B"/>
    <w:rsid w:val="00C75EC9"/>
    <w:rsid w:val="00C75FC3"/>
    <w:rsid w:val="00C7619F"/>
    <w:rsid w:val="00C768BF"/>
    <w:rsid w:val="00C76B33"/>
    <w:rsid w:val="00C770BF"/>
    <w:rsid w:val="00C77766"/>
    <w:rsid w:val="00C80250"/>
    <w:rsid w:val="00C8043E"/>
    <w:rsid w:val="00C8091C"/>
    <w:rsid w:val="00C80C3F"/>
    <w:rsid w:val="00C80D8B"/>
    <w:rsid w:val="00C80EDF"/>
    <w:rsid w:val="00C81896"/>
    <w:rsid w:val="00C81A52"/>
    <w:rsid w:val="00C81CDE"/>
    <w:rsid w:val="00C82054"/>
    <w:rsid w:val="00C82BD0"/>
    <w:rsid w:val="00C82E30"/>
    <w:rsid w:val="00C83E92"/>
    <w:rsid w:val="00C84040"/>
    <w:rsid w:val="00C841C6"/>
    <w:rsid w:val="00C8432E"/>
    <w:rsid w:val="00C84A30"/>
    <w:rsid w:val="00C84E18"/>
    <w:rsid w:val="00C84E32"/>
    <w:rsid w:val="00C84F3B"/>
    <w:rsid w:val="00C850AB"/>
    <w:rsid w:val="00C8530A"/>
    <w:rsid w:val="00C8533D"/>
    <w:rsid w:val="00C85564"/>
    <w:rsid w:val="00C85BFF"/>
    <w:rsid w:val="00C85CDB"/>
    <w:rsid w:val="00C85E2B"/>
    <w:rsid w:val="00C861DD"/>
    <w:rsid w:val="00C86590"/>
    <w:rsid w:val="00C869C9"/>
    <w:rsid w:val="00C86D3D"/>
    <w:rsid w:val="00C87493"/>
    <w:rsid w:val="00C87719"/>
    <w:rsid w:val="00C87B2C"/>
    <w:rsid w:val="00C87DF7"/>
    <w:rsid w:val="00C902F3"/>
    <w:rsid w:val="00C90627"/>
    <w:rsid w:val="00C90E14"/>
    <w:rsid w:val="00C90FFE"/>
    <w:rsid w:val="00C91122"/>
    <w:rsid w:val="00C91352"/>
    <w:rsid w:val="00C913F0"/>
    <w:rsid w:val="00C916C2"/>
    <w:rsid w:val="00C91FE0"/>
    <w:rsid w:val="00C920B7"/>
    <w:rsid w:val="00C9213B"/>
    <w:rsid w:val="00C9225D"/>
    <w:rsid w:val="00C9230D"/>
    <w:rsid w:val="00C92463"/>
    <w:rsid w:val="00C924C4"/>
    <w:rsid w:val="00C92576"/>
    <w:rsid w:val="00C9322C"/>
    <w:rsid w:val="00C933F0"/>
    <w:rsid w:val="00C93ADD"/>
    <w:rsid w:val="00C94384"/>
    <w:rsid w:val="00C94560"/>
    <w:rsid w:val="00C9471F"/>
    <w:rsid w:val="00C95012"/>
    <w:rsid w:val="00C951E1"/>
    <w:rsid w:val="00C9549D"/>
    <w:rsid w:val="00C9582C"/>
    <w:rsid w:val="00C958E8"/>
    <w:rsid w:val="00C96528"/>
    <w:rsid w:val="00C969B4"/>
    <w:rsid w:val="00C96A47"/>
    <w:rsid w:val="00C96B37"/>
    <w:rsid w:val="00C96D6A"/>
    <w:rsid w:val="00C96E68"/>
    <w:rsid w:val="00C97193"/>
    <w:rsid w:val="00C9721B"/>
    <w:rsid w:val="00C972F5"/>
    <w:rsid w:val="00C976E8"/>
    <w:rsid w:val="00C979A9"/>
    <w:rsid w:val="00C97BF8"/>
    <w:rsid w:val="00C97D14"/>
    <w:rsid w:val="00C97F9B"/>
    <w:rsid w:val="00CA0655"/>
    <w:rsid w:val="00CA06D5"/>
    <w:rsid w:val="00CA06D7"/>
    <w:rsid w:val="00CA0714"/>
    <w:rsid w:val="00CA09AB"/>
    <w:rsid w:val="00CA0A50"/>
    <w:rsid w:val="00CA0A8D"/>
    <w:rsid w:val="00CA1016"/>
    <w:rsid w:val="00CA11D8"/>
    <w:rsid w:val="00CA1C9F"/>
    <w:rsid w:val="00CA25E1"/>
    <w:rsid w:val="00CA27E5"/>
    <w:rsid w:val="00CA2972"/>
    <w:rsid w:val="00CA2DA9"/>
    <w:rsid w:val="00CA33A6"/>
    <w:rsid w:val="00CA384B"/>
    <w:rsid w:val="00CA3965"/>
    <w:rsid w:val="00CA3A1B"/>
    <w:rsid w:val="00CA42D7"/>
    <w:rsid w:val="00CA50A8"/>
    <w:rsid w:val="00CA5669"/>
    <w:rsid w:val="00CA56BD"/>
    <w:rsid w:val="00CA584D"/>
    <w:rsid w:val="00CA5891"/>
    <w:rsid w:val="00CA5DDB"/>
    <w:rsid w:val="00CA62F0"/>
    <w:rsid w:val="00CA6598"/>
    <w:rsid w:val="00CA6833"/>
    <w:rsid w:val="00CA68C8"/>
    <w:rsid w:val="00CA6916"/>
    <w:rsid w:val="00CA6996"/>
    <w:rsid w:val="00CA6AF3"/>
    <w:rsid w:val="00CA6AFA"/>
    <w:rsid w:val="00CA7046"/>
    <w:rsid w:val="00CA7067"/>
    <w:rsid w:val="00CA7654"/>
    <w:rsid w:val="00CA7B84"/>
    <w:rsid w:val="00CA7C56"/>
    <w:rsid w:val="00CB0391"/>
    <w:rsid w:val="00CB0416"/>
    <w:rsid w:val="00CB05C2"/>
    <w:rsid w:val="00CB08A1"/>
    <w:rsid w:val="00CB08D3"/>
    <w:rsid w:val="00CB0A18"/>
    <w:rsid w:val="00CB0AD1"/>
    <w:rsid w:val="00CB0B73"/>
    <w:rsid w:val="00CB0D18"/>
    <w:rsid w:val="00CB12C0"/>
    <w:rsid w:val="00CB1573"/>
    <w:rsid w:val="00CB163A"/>
    <w:rsid w:val="00CB173E"/>
    <w:rsid w:val="00CB1B05"/>
    <w:rsid w:val="00CB1C6E"/>
    <w:rsid w:val="00CB23BD"/>
    <w:rsid w:val="00CB2CAD"/>
    <w:rsid w:val="00CB317B"/>
    <w:rsid w:val="00CB3189"/>
    <w:rsid w:val="00CB3996"/>
    <w:rsid w:val="00CB4126"/>
    <w:rsid w:val="00CB424A"/>
    <w:rsid w:val="00CB4252"/>
    <w:rsid w:val="00CB470D"/>
    <w:rsid w:val="00CB4B4B"/>
    <w:rsid w:val="00CB5259"/>
    <w:rsid w:val="00CB5664"/>
    <w:rsid w:val="00CB57BB"/>
    <w:rsid w:val="00CB5C6E"/>
    <w:rsid w:val="00CB5CE8"/>
    <w:rsid w:val="00CB5D2D"/>
    <w:rsid w:val="00CB5ECF"/>
    <w:rsid w:val="00CB6446"/>
    <w:rsid w:val="00CB65E6"/>
    <w:rsid w:val="00CB6796"/>
    <w:rsid w:val="00CB6936"/>
    <w:rsid w:val="00CB69BB"/>
    <w:rsid w:val="00CB70F3"/>
    <w:rsid w:val="00CB744B"/>
    <w:rsid w:val="00CB74C9"/>
    <w:rsid w:val="00CB78E4"/>
    <w:rsid w:val="00CC001E"/>
    <w:rsid w:val="00CC00E5"/>
    <w:rsid w:val="00CC04C1"/>
    <w:rsid w:val="00CC0C2C"/>
    <w:rsid w:val="00CC0C60"/>
    <w:rsid w:val="00CC11A6"/>
    <w:rsid w:val="00CC11EB"/>
    <w:rsid w:val="00CC16EB"/>
    <w:rsid w:val="00CC1846"/>
    <w:rsid w:val="00CC18E5"/>
    <w:rsid w:val="00CC19AC"/>
    <w:rsid w:val="00CC1B65"/>
    <w:rsid w:val="00CC1B9F"/>
    <w:rsid w:val="00CC1C15"/>
    <w:rsid w:val="00CC1C5D"/>
    <w:rsid w:val="00CC2532"/>
    <w:rsid w:val="00CC2B9D"/>
    <w:rsid w:val="00CC3270"/>
    <w:rsid w:val="00CC3A15"/>
    <w:rsid w:val="00CC4071"/>
    <w:rsid w:val="00CC4400"/>
    <w:rsid w:val="00CC4491"/>
    <w:rsid w:val="00CC4BD6"/>
    <w:rsid w:val="00CC6498"/>
    <w:rsid w:val="00CC64D8"/>
    <w:rsid w:val="00CC669A"/>
    <w:rsid w:val="00CC68E7"/>
    <w:rsid w:val="00CC705F"/>
    <w:rsid w:val="00CC7304"/>
    <w:rsid w:val="00CC731A"/>
    <w:rsid w:val="00CC7323"/>
    <w:rsid w:val="00CC76FE"/>
    <w:rsid w:val="00CC7D84"/>
    <w:rsid w:val="00CD0026"/>
    <w:rsid w:val="00CD006B"/>
    <w:rsid w:val="00CD01FA"/>
    <w:rsid w:val="00CD023C"/>
    <w:rsid w:val="00CD041E"/>
    <w:rsid w:val="00CD0755"/>
    <w:rsid w:val="00CD076A"/>
    <w:rsid w:val="00CD0833"/>
    <w:rsid w:val="00CD0913"/>
    <w:rsid w:val="00CD0974"/>
    <w:rsid w:val="00CD0ABD"/>
    <w:rsid w:val="00CD0EC3"/>
    <w:rsid w:val="00CD140C"/>
    <w:rsid w:val="00CD173F"/>
    <w:rsid w:val="00CD1F97"/>
    <w:rsid w:val="00CD231D"/>
    <w:rsid w:val="00CD2495"/>
    <w:rsid w:val="00CD2A9C"/>
    <w:rsid w:val="00CD2F41"/>
    <w:rsid w:val="00CD398E"/>
    <w:rsid w:val="00CD3BF2"/>
    <w:rsid w:val="00CD3E7E"/>
    <w:rsid w:val="00CD45DA"/>
    <w:rsid w:val="00CD46A4"/>
    <w:rsid w:val="00CD5327"/>
    <w:rsid w:val="00CD5BBD"/>
    <w:rsid w:val="00CD5CEE"/>
    <w:rsid w:val="00CD64D0"/>
    <w:rsid w:val="00CD67B8"/>
    <w:rsid w:val="00CD6ADD"/>
    <w:rsid w:val="00CD6C09"/>
    <w:rsid w:val="00CD6D34"/>
    <w:rsid w:val="00CD6E5E"/>
    <w:rsid w:val="00CD6FF2"/>
    <w:rsid w:val="00CD74BA"/>
    <w:rsid w:val="00CD7583"/>
    <w:rsid w:val="00CD7A50"/>
    <w:rsid w:val="00CE067C"/>
    <w:rsid w:val="00CE0B43"/>
    <w:rsid w:val="00CE15E1"/>
    <w:rsid w:val="00CE2490"/>
    <w:rsid w:val="00CE260D"/>
    <w:rsid w:val="00CE2839"/>
    <w:rsid w:val="00CE2D2A"/>
    <w:rsid w:val="00CE2FCD"/>
    <w:rsid w:val="00CE3242"/>
    <w:rsid w:val="00CE342E"/>
    <w:rsid w:val="00CE359F"/>
    <w:rsid w:val="00CE3F3F"/>
    <w:rsid w:val="00CE46E6"/>
    <w:rsid w:val="00CE4CA1"/>
    <w:rsid w:val="00CE4EDD"/>
    <w:rsid w:val="00CE50ED"/>
    <w:rsid w:val="00CE519F"/>
    <w:rsid w:val="00CE57C1"/>
    <w:rsid w:val="00CE5C09"/>
    <w:rsid w:val="00CE5F64"/>
    <w:rsid w:val="00CE672E"/>
    <w:rsid w:val="00CE6ECC"/>
    <w:rsid w:val="00CE6F0E"/>
    <w:rsid w:val="00CE76C9"/>
    <w:rsid w:val="00CE77ED"/>
    <w:rsid w:val="00CE7B25"/>
    <w:rsid w:val="00CE7C07"/>
    <w:rsid w:val="00CE7E41"/>
    <w:rsid w:val="00CF015C"/>
    <w:rsid w:val="00CF0212"/>
    <w:rsid w:val="00CF0A4E"/>
    <w:rsid w:val="00CF0CDF"/>
    <w:rsid w:val="00CF0EC7"/>
    <w:rsid w:val="00CF11EB"/>
    <w:rsid w:val="00CF14F4"/>
    <w:rsid w:val="00CF1521"/>
    <w:rsid w:val="00CF17F5"/>
    <w:rsid w:val="00CF1802"/>
    <w:rsid w:val="00CF2336"/>
    <w:rsid w:val="00CF27D2"/>
    <w:rsid w:val="00CF2906"/>
    <w:rsid w:val="00CF2F84"/>
    <w:rsid w:val="00CF307C"/>
    <w:rsid w:val="00CF3B8F"/>
    <w:rsid w:val="00CF3BD2"/>
    <w:rsid w:val="00CF3D43"/>
    <w:rsid w:val="00CF439E"/>
    <w:rsid w:val="00CF45B9"/>
    <w:rsid w:val="00CF4697"/>
    <w:rsid w:val="00CF48BB"/>
    <w:rsid w:val="00CF4EC5"/>
    <w:rsid w:val="00CF50DD"/>
    <w:rsid w:val="00CF525F"/>
    <w:rsid w:val="00CF5308"/>
    <w:rsid w:val="00CF585E"/>
    <w:rsid w:val="00CF5CDB"/>
    <w:rsid w:val="00CF60C9"/>
    <w:rsid w:val="00CF629C"/>
    <w:rsid w:val="00CF63D5"/>
    <w:rsid w:val="00CF69DC"/>
    <w:rsid w:val="00CF7088"/>
    <w:rsid w:val="00CF709B"/>
    <w:rsid w:val="00CF7A8A"/>
    <w:rsid w:val="00CF7C55"/>
    <w:rsid w:val="00CF7FF5"/>
    <w:rsid w:val="00D0016C"/>
    <w:rsid w:val="00D0046F"/>
    <w:rsid w:val="00D00632"/>
    <w:rsid w:val="00D0073C"/>
    <w:rsid w:val="00D0076C"/>
    <w:rsid w:val="00D00771"/>
    <w:rsid w:val="00D00DDB"/>
    <w:rsid w:val="00D01031"/>
    <w:rsid w:val="00D012F3"/>
    <w:rsid w:val="00D0135E"/>
    <w:rsid w:val="00D0173B"/>
    <w:rsid w:val="00D01B9C"/>
    <w:rsid w:val="00D01C6E"/>
    <w:rsid w:val="00D02655"/>
    <w:rsid w:val="00D02671"/>
    <w:rsid w:val="00D029A3"/>
    <w:rsid w:val="00D02B81"/>
    <w:rsid w:val="00D02B8F"/>
    <w:rsid w:val="00D02F27"/>
    <w:rsid w:val="00D032AA"/>
    <w:rsid w:val="00D034DD"/>
    <w:rsid w:val="00D0372E"/>
    <w:rsid w:val="00D03B09"/>
    <w:rsid w:val="00D03FBD"/>
    <w:rsid w:val="00D04141"/>
    <w:rsid w:val="00D046AF"/>
    <w:rsid w:val="00D049BD"/>
    <w:rsid w:val="00D051C4"/>
    <w:rsid w:val="00D0541C"/>
    <w:rsid w:val="00D054A6"/>
    <w:rsid w:val="00D055D4"/>
    <w:rsid w:val="00D05695"/>
    <w:rsid w:val="00D0592E"/>
    <w:rsid w:val="00D05BB0"/>
    <w:rsid w:val="00D05F2A"/>
    <w:rsid w:val="00D0633E"/>
    <w:rsid w:val="00D06798"/>
    <w:rsid w:val="00D06B6B"/>
    <w:rsid w:val="00D06C33"/>
    <w:rsid w:val="00D06CF4"/>
    <w:rsid w:val="00D06E31"/>
    <w:rsid w:val="00D06E7C"/>
    <w:rsid w:val="00D0710A"/>
    <w:rsid w:val="00D07709"/>
    <w:rsid w:val="00D0796D"/>
    <w:rsid w:val="00D1021A"/>
    <w:rsid w:val="00D10223"/>
    <w:rsid w:val="00D104A0"/>
    <w:rsid w:val="00D106A5"/>
    <w:rsid w:val="00D10BF5"/>
    <w:rsid w:val="00D11459"/>
    <w:rsid w:val="00D11521"/>
    <w:rsid w:val="00D1174C"/>
    <w:rsid w:val="00D11C9F"/>
    <w:rsid w:val="00D1206D"/>
    <w:rsid w:val="00D124EC"/>
    <w:rsid w:val="00D12615"/>
    <w:rsid w:val="00D12764"/>
    <w:rsid w:val="00D12BF8"/>
    <w:rsid w:val="00D12DC6"/>
    <w:rsid w:val="00D13011"/>
    <w:rsid w:val="00D13378"/>
    <w:rsid w:val="00D1378D"/>
    <w:rsid w:val="00D13AA8"/>
    <w:rsid w:val="00D13DE7"/>
    <w:rsid w:val="00D13F89"/>
    <w:rsid w:val="00D14693"/>
    <w:rsid w:val="00D149D6"/>
    <w:rsid w:val="00D14AC5"/>
    <w:rsid w:val="00D151D2"/>
    <w:rsid w:val="00D154AF"/>
    <w:rsid w:val="00D15773"/>
    <w:rsid w:val="00D15BBB"/>
    <w:rsid w:val="00D15CCF"/>
    <w:rsid w:val="00D15FAC"/>
    <w:rsid w:val="00D166C1"/>
    <w:rsid w:val="00D16AC8"/>
    <w:rsid w:val="00D16BFB"/>
    <w:rsid w:val="00D16E9A"/>
    <w:rsid w:val="00D16F02"/>
    <w:rsid w:val="00D171A5"/>
    <w:rsid w:val="00D17953"/>
    <w:rsid w:val="00D17EB7"/>
    <w:rsid w:val="00D202C4"/>
    <w:rsid w:val="00D203ED"/>
    <w:rsid w:val="00D215DF"/>
    <w:rsid w:val="00D21A58"/>
    <w:rsid w:val="00D21E05"/>
    <w:rsid w:val="00D225DD"/>
    <w:rsid w:val="00D22DDF"/>
    <w:rsid w:val="00D234F4"/>
    <w:rsid w:val="00D236AB"/>
    <w:rsid w:val="00D23B62"/>
    <w:rsid w:val="00D23B97"/>
    <w:rsid w:val="00D23DA2"/>
    <w:rsid w:val="00D24058"/>
    <w:rsid w:val="00D24572"/>
    <w:rsid w:val="00D246EF"/>
    <w:rsid w:val="00D2475A"/>
    <w:rsid w:val="00D247BE"/>
    <w:rsid w:val="00D24D26"/>
    <w:rsid w:val="00D25363"/>
    <w:rsid w:val="00D25B43"/>
    <w:rsid w:val="00D26A94"/>
    <w:rsid w:val="00D26AD7"/>
    <w:rsid w:val="00D26F39"/>
    <w:rsid w:val="00D27388"/>
    <w:rsid w:val="00D278FF"/>
    <w:rsid w:val="00D279F8"/>
    <w:rsid w:val="00D3051B"/>
    <w:rsid w:val="00D30E82"/>
    <w:rsid w:val="00D3132D"/>
    <w:rsid w:val="00D31ADF"/>
    <w:rsid w:val="00D31CC3"/>
    <w:rsid w:val="00D31D69"/>
    <w:rsid w:val="00D31E52"/>
    <w:rsid w:val="00D32106"/>
    <w:rsid w:val="00D322C1"/>
    <w:rsid w:val="00D32795"/>
    <w:rsid w:val="00D3281C"/>
    <w:rsid w:val="00D32907"/>
    <w:rsid w:val="00D33773"/>
    <w:rsid w:val="00D33E41"/>
    <w:rsid w:val="00D342EB"/>
    <w:rsid w:val="00D346C3"/>
    <w:rsid w:val="00D34AFC"/>
    <w:rsid w:val="00D352F8"/>
    <w:rsid w:val="00D354FF"/>
    <w:rsid w:val="00D356A0"/>
    <w:rsid w:val="00D35B5A"/>
    <w:rsid w:val="00D35B8B"/>
    <w:rsid w:val="00D35EEE"/>
    <w:rsid w:val="00D364D9"/>
    <w:rsid w:val="00D3651F"/>
    <w:rsid w:val="00D36E86"/>
    <w:rsid w:val="00D36EEE"/>
    <w:rsid w:val="00D37220"/>
    <w:rsid w:val="00D372B8"/>
    <w:rsid w:val="00D376B7"/>
    <w:rsid w:val="00D37935"/>
    <w:rsid w:val="00D37E2C"/>
    <w:rsid w:val="00D400F5"/>
    <w:rsid w:val="00D4084B"/>
    <w:rsid w:val="00D40F59"/>
    <w:rsid w:val="00D41B4D"/>
    <w:rsid w:val="00D41B5B"/>
    <w:rsid w:val="00D41BA6"/>
    <w:rsid w:val="00D41BAC"/>
    <w:rsid w:val="00D41CFC"/>
    <w:rsid w:val="00D41E17"/>
    <w:rsid w:val="00D42015"/>
    <w:rsid w:val="00D422CF"/>
    <w:rsid w:val="00D42C24"/>
    <w:rsid w:val="00D42CA9"/>
    <w:rsid w:val="00D42CE6"/>
    <w:rsid w:val="00D42F12"/>
    <w:rsid w:val="00D430A2"/>
    <w:rsid w:val="00D430DE"/>
    <w:rsid w:val="00D431A7"/>
    <w:rsid w:val="00D435B0"/>
    <w:rsid w:val="00D436CE"/>
    <w:rsid w:val="00D438B8"/>
    <w:rsid w:val="00D43BE6"/>
    <w:rsid w:val="00D43F3F"/>
    <w:rsid w:val="00D44261"/>
    <w:rsid w:val="00D443EA"/>
    <w:rsid w:val="00D44758"/>
    <w:rsid w:val="00D44926"/>
    <w:rsid w:val="00D44B96"/>
    <w:rsid w:val="00D45211"/>
    <w:rsid w:val="00D45250"/>
    <w:rsid w:val="00D45271"/>
    <w:rsid w:val="00D457BA"/>
    <w:rsid w:val="00D45B33"/>
    <w:rsid w:val="00D45C04"/>
    <w:rsid w:val="00D45D25"/>
    <w:rsid w:val="00D45E19"/>
    <w:rsid w:val="00D45E71"/>
    <w:rsid w:val="00D45FA7"/>
    <w:rsid w:val="00D46154"/>
    <w:rsid w:val="00D46890"/>
    <w:rsid w:val="00D4695D"/>
    <w:rsid w:val="00D46B29"/>
    <w:rsid w:val="00D46E31"/>
    <w:rsid w:val="00D47354"/>
    <w:rsid w:val="00D475FB"/>
    <w:rsid w:val="00D47706"/>
    <w:rsid w:val="00D47DEC"/>
    <w:rsid w:val="00D508E8"/>
    <w:rsid w:val="00D515C8"/>
    <w:rsid w:val="00D515E1"/>
    <w:rsid w:val="00D516A4"/>
    <w:rsid w:val="00D5187B"/>
    <w:rsid w:val="00D5227F"/>
    <w:rsid w:val="00D525D9"/>
    <w:rsid w:val="00D52657"/>
    <w:rsid w:val="00D52ED8"/>
    <w:rsid w:val="00D5306C"/>
    <w:rsid w:val="00D531A8"/>
    <w:rsid w:val="00D535B8"/>
    <w:rsid w:val="00D5379F"/>
    <w:rsid w:val="00D5387A"/>
    <w:rsid w:val="00D53A1D"/>
    <w:rsid w:val="00D53B72"/>
    <w:rsid w:val="00D53C0E"/>
    <w:rsid w:val="00D54471"/>
    <w:rsid w:val="00D54768"/>
    <w:rsid w:val="00D5497A"/>
    <w:rsid w:val="00D549AC"/>
    <w:rsid w:val="00D54BA7"/>
    <w:rsid w:val="00D552A5"/>
    <w:rsid w:val="00D55B47"/>
    <w:rsid w:val="00D55D1A"/>
    <w:rsid w:val="00D56568"/>
    <w:rsid w:val="00D56AC9"/>
    <w:rsid w:val="00D573C4"/>
    <w:rsid w:val="00D57BEA"/>
    <w:rsid w:val="00D57C8F"/>
    <w:rsid w:val="00D600F6"/>
    <w:rsid w:val="00D60678"/>
    <w:rsid w:val="00D60D78"/>
    <w:rsid w:val="00D611D8"/>
    <w:rsid w:val="00D612DC"/>
    <w:rsid w:val="00D6139F"/>
    <w:rsid w:val="00D61771"/>
    <w:rsid w:val="00D618D1"/>
    <w:rsid w:val="00D61FB1"/>
    <w:rsid w:val="00D6219E"/>
    <w:rsid w:val="00D62253"/>
    <w:rsid w:val="00D62274"/>
    <w:rsid w:val="00D6241D"/>
    <w:rsid w:val="00D6250D"/>
    <w:rsid w:val="00D62ED7"/>
    <w:rsid w:val="00D6353A"/>
    <w:rsid w:val="00D6359A"/>
    <w:rsid w:val="00D635EC"/>
    <w:rsid w:val="00D63A79"/>
    <w:rsid w:val="00D63FAB"/>
    <w:rsid w:val="00D646F4"/>
    <w:rsid w:val="00D64834"/>
    <w:rsid w:val="00D64B3E"/>
    <w:rsid w:val="00D64D69"/>
    <w:rsid w:val="00D651A2"/>
    <w:rsid w:val="00D651DA"/>
    <w:rsid w:val="00D658E2"/>
    <w:rsid w:val="00D65FC8"/>
    <w:rsid w:val="00D66150"/>
    <w:rsid w:val="00D66573"/>
    <w:rsid w:val="00D665A5"/>
    <w:rsid w:val="00D6794B"/>
    <w:rsid w:val="00D679E9"/>
    <w:rsid w:val="00D67F34"/>
    <w:rsid w:val="00D701C8"/>
    <w:rsid w:val="00D706A8"/>
    <w:rsid w:val="00D7117E"/>
    <w:rsid w:val="00D71ABB"/>
    <w:rsid w:val="00D723E5"/>
    <w:rsid w:val="00D72519"/>
    <w:rsid w:val="00D72724"/>
    <w:rsid w:val="00D72BCA"/>
    <w:rsid w:val="00D72BD3"/>
    <w:rsid w:val="00D7302D"/>
    <w:rsid w:val="00D732D6"/>
    <w:rsid w:val="00D7343F"/>
    <w:rsid w:val="00D73745"/>
    <w:rsid w:val="00D7382E"/>
    <w:rsid w:val="00D73EB6"/>
    <w:rsid w:val="00D7411E"/>
    <w:rsid w:val="00D741C9"/>
    <w:rsid w:val="00D745F4"/>
    <w:rsid w:val="00D7464E"/>
    <w:rsid w:val="00D74B5B"/>
    <w:rsid w:val="00D75C76"/>
    <w:rsid w:val="00D761D5"/>
    <w:rsid w:val="00D763AB"/>
    <w:rsid w:val="00D765BF"/>
    <w:rsid w:val="00D767F9"/>
    <w:rsid w:val="00D76FC2"/>
    <w:rsid w:val="00D77312"/>
    <w:rsid w:val="00D7741A"/>
    <w:rsid w:val="00D77D8E"/>
    <w:rsid w:val="00D800C3"/>
    <w:rsid w:val="00D8011D"/>
    <w:rsid w:val="00D80416"/>
    <w:rsid w:val="00D80533"/>
    <w:rsid w:val="00D808C7"/>
    <w:rsid w:val="00D811E9"/>
    <w:rsid w:val="00D821AC"/>
    <w:rsid w:val="00D8247C"/>
    <w:rsid w:val="00D82BDA"/>
    <w:rsid w:val="00D82F4B"/>
    <w:rsid w:val="00D830CF"/>
    <w:rsid w:val="00D83396"/>
    <w:rsid w:val="00D83673"/>
    <w:rsid w:val="00D83FA5"/>
    <w:rsid w:val="00D84085"/>
    <w:rsid w:val="00D84496"/>
    <w:rsid w:val="00D847E6"/>
    <w:rsid w:val="00D8487C"/>
    <w:rsid w:val="00D84B10"/>
    <w:rsid w:val="00D852DB"/>
    <w:rsid w:val="00D854B5"/>
    <w:rsid w:val="00D85699"/>
    <w:rsid w:val="00D858EB"/>
    <w:rsid w:val="00D85CEA"/>
    <w:rsid w:val="00D86291"/>
    <w:rsid w:val="00D86656"/>
    <w:rsid w:val="00D867FF"/>
    <w:rsid w:val="00D86AC3"/>
    <w:rsid w:val="00D86FEE"/>
    <w:rsid w:val="00D872D6"/>
    <w:rsid w:val="00D8744E"/>
    <w:rsid w:val="00D87457"/>
    <w:rsid w:val="00D87E08"/>
    <w:rsid w:val="00D87F3C"/>
    <w:rsid w:val="00D9000B"/>
    <w:rsid w:val="00D90449"/>
    <w:rsid w:val="00D905BD"/>
    <w:rsid w:val="00D9076B"/>
    <w:rsid w:val="00D9097E"/>
    <w:rsid w:val="00D90C35"/>
    <w:rsid w:val="00D91108"/>
    <w:rsid w:val="00D912B2"/>
    <w:rsid w:val="00D915A5"/>
    <w:rsid w:val="00D91D19"/>
    <w:rsid w:val="00D9223A"/>
    <w:rsid w:val="00D9233B"/>
    <w:rsid w:val="00D92B7E"/>
    <w:rsid w:val="00D92C26"/>
    <w:rsid w:val="00D93318"/>
    <w:rsid w:val="00D933C4"/>
    <w:rsid w:val="00D933D9"/>
    <w:rsid w:val="00D93806"/>
    <w:rsid w:val="00D938EB"/>
    <w:rsid w:val="00D93A8F"/>
    <w:rsid w:val="00D93B2C"/>
    <w:rsid w:val="00D93B63"/>
    <w:rsid w:val="00D9405A"/>
    <w:rsid w:val="00D950FF"/>
    <w:rsid w:val="00D95421"/>
    <w:rsid w:val="00D95681"/>
    <w:rsid w:val="00D958F6"/>
    <w:rsid w:val="00D95BCF"/>
    <w:rsid w:val="00D9615A"/>
    <w:rsid w:val="00D96163"/>
    <w:rsid w:val="00D96182"/>
    <w:rsid w:val="00D96509"/>
    <w:rsid w:val="00D967C1"/>
    <w:rsid w:val="00D96A67"/>
    <w:rsid w:val="00D96B95"/>
    <w:rsid w:val="00D970D2"/>
    <w:rsid w:val="00D97379"/>
    <w:rsid w:val="00D973DE"/>
    <w:rsid w:val="00D97485"/>
    <w:rsid w:val="00D977F6"/>
    <w:rsid w:val="00D97967"/>
    <w:rsid w:val="00DA041D"/>
    <w:rsid w:val="00DA06CF"/>
    <w:rsid w:val="00DA0AC9"/>
    <w:rsid w:val="00DA0FC3"/>
    <w:rsid w:val="00DA10F3"/>
    <w:rsid w:val="00DA1233"/>
    <w:rsid w:val="00DA1279"/>
    <w:rsid w:val="00DA1731"/>
    <w:rsid w:val="00DA1CAE"/>
    <w:rsid w:val="00DA24EE"/>
    <w:rsid w:val="00DA2594"/>
    <w:rsid w:val="00DA264D"/>
    <w:rsid w:val="00DA5555"/>
    <w:rsid w:val="00DA560C"/>
    <w:rsid w:val="00DA5686"/>
    <w:rsid w:val="00DA5B63"/>
    <w:rsid w:val="00DA5DC1"/>
    <w:rsid w:val="00DA6388"/>
    <w:rsid w:val="00DA6AE5"/>
    <w:rsid w:val="00DA7009"/>
    <w:rsid w:val="00DA7351"/>
    <w:rsid w:val="00DA7F09"/>
    <w:rsid w:val="00DB0080"/>
    <w:rsid w:val="00DB0170"/>
    <w:rsid w:val="00DB0359"/>
    <w:rsid w:val="00DB054D"/>
    <w:rsid w:val="00DB0893"/>
    <w:rsid w:val="00DB0ADF"/>
    <w:rsid w:val="00DB0EEA"/>
    <w:rsid w:val="00DB11A9"/>
    <w:rsid w:val="00DB14F0"/>
    <w:rsid w:val="00DB1596"/>
    <w:rsid w:val="00DB27A4"/>
    <w:rsid w:val="00DB32C5"/>
    <w:rsid w:val="00DB350F"/>
    <w:rsid w:val="00DB37EB"/>
    <w:rsid w:val="00DB39DE"/>
    <w:rsid w:val="00DB3F25"/>
    <w:rsid w:val="00DB434A"/>
    <w:rsid w:val="00DB435A"/>
    <w:rsid w:val="00DB45AB"/>
    <w:rsid w:val="00DB4CBD"/>
    <w:rsid w:val="00DB4E20"/>
    <w:rsid w:val="00DB4F39"/>
    <w:rsid w:val="00DB582D"/>
    <w:rsid w:val="00DB5A63"/>
    <w:rsid w:val="00DB5B8C"/>
    <w:rsid w:val="00DB5C88"/>
    <w:rsid w:val="00DB63D8"/>
    <w:rsid w:val="00DB6989"/>
    <w:rsid w:val="00DB7070"/>
    <w:rsid w:val="00DB77B3"/>
    <w:rsid w:val="00DB7F49"/>
    <w:rsid w:val="00DC04FB"/>
    <w:rsid w:val="00DC075C"/>
    <w:rsid w:val="00DC07F6"/>
    <w:rsid w:val="00DC11C3"/>
    <w:rsid w:val="00DC11CE"/>
    <w:rsid w:val="00DC1402"/>
    <w:rsid w:val="00DC1731"/>
    <w:rsid w:val="00DC19C6"/>
    <w:rsid w:val="00DC1C7D"/>
    <w:rsid w:val="00DC1D17"/>
    <w:rsid w:val="00DC225E"/>
    <w:rsid w:val="00DC28D5"/>
    <w:rsid w:val="00DC2E87"/>
    <w:rsid w:val="00DC306A"/>
    <w:rsid w:val="00DC39BC"/>
    <w:rsid w:val="00DC4004"/>
    <w:rsid w:val="00DC4297"/>
    <w:rsid w:val="00DC4893"/>
    <w:rsid w:val="00DC4967"/>
    <w:rsid w:val="00DC4B0A"/>
    <w:rsid w:val="00DC4D45"/>
    <w:rsid w:val="00DC4EE5"/>
    <w:rsid w:val="00DC59A1"/>
    <w:rsid w:val="00DC5C83"/>
    <w:rsid w:val="00DC6251"/>
    <w:rsid w:val="00DC6974"/>
    <w:rsid w:val="00DC6CB5"/>
    <w:rsid w:val="00DC7182"/>
    <w:rsid w:val="00DC7451"/>
    <w:rsid w:val="00DC769C"/>
    <w:rsid w:val="00DC7F63"/>
    <w:rsid w:val="00DD0516"/>
    <w:rsid w:val="00DD09A8"/>
    <w:rsid w:val="00DD0D59"/>
    <w:rsid w:val="00DD0ECF"/>
    <w:rsid w:val="00DD0F76"/>
    <w:rsid w:val="00DD1091"/>
    <w:rsid w:val="00DD151A"/>
    <w:rsid w:val="00DD1D98"/>
    <w:rsid w:val="00DD1FE2"/>
    <w:rsid w:val="00DD231E"/>
    <w:rsid w:val="00DD235E"/>
    <w:rsid w:val="00DD26D2"/>
    <w:rsid w:val="00DD29B7"/>
    <w:rsid w:val="00DD2F35"/>
    <w:rsid w:val="00DD314D"/>
    <w:rsid w:val="00DD3524"/>
    <w:rsid w:val="00DD474D"/>
    <w:rsid w:val="00DD4C39"/>
    <w:rsid w:val="00DD4FF8"/>
    <w:rsid w:val="00DD515E"/>
    <w:rsid w:val="00DD53CA"/>
    <w:rsid w:val="00DD5840"/>
    <w:rsid w:val="00DD651A"/>
    <w:rsid w:val="00DD6585"/>
    <w:rsid w:val="00DD6DF5"/>
    <w:rsid w:val="00DD7110"/>
    <w:rsid w:val="00DD7134"/>
    <w:rsid w:val="00DD74F2"/>
    <w:rsid w:val="00DD76A9"/>
    <w:rsid w:val="00DD7841"/>
    <w:rsid w:val="00DD7D57"/>
    <w:rsid w:val="00DE003D"/>
    <w:rsid w:val="00DE0073"/>
    <w:rsid w:val="00DE02E9"/>
    <w:rsid w:val="00DE0703"/>
    <w:rsid w:val="00DE0AD6"/>
    <w:rsid w:val="00DE127E"/>
    <w:rsid w:val="00DE1478"/>
    <w:rsid w:val="00DE1C44"/>
    <w:rsid w:val="00DE2124"/>
    <w:rsid w:val="00DE2374"/>
    <w:rsid w:val="00DE2744"/>
    <w:rsid w:val="00DE2EFD"/>
    <w:rsid w:val="00DE2FCA"/>
    <w:rsid w:val="00DE33E1"/>
    <w:rsid w:val="00DE3580"/>
    <w:rsid w:val="00DE362B"/>
    <w:rsid w:val="00DE38A7"/>
    <w:rsid w:val="00DE38F0"/>
    <w:rsid w:val="00DE3971"/>
    <w:rsid w:val="00DE3A47"/>
    <w:rsid w:val="00DE4363"/>
    <w:rsid w:val="00DE44C3"/>
    <w:rsid w:val="00DE457E"/>
    <w:rsid w:val="00DE495D"/>
    <w:rsid w:val="00DE5A9D"/>
    <w:rsid w:val="00DE5BC7"/>
    <w:rsid w:val="00DE5C34"/>
    <w:rsid w:val="00DE5C53"/>
    <w:rsid w:val="00DE5F3F"/>
    <w:rsid w:val="00DE62CA"/>
    <w:rsid w:val="00DE696F"/>
    <w:rsid w:val="00DE6B7C"/>
    <w:rsid w:val="00DE6EB6"/>
    <w:rsid w:val="00DE7002"/>
    <w:rsid w:val="00DE712A"/>
    <w:rsid w:val="00DE74E7"/>
    <w:rsid w:val="00DE7698"/>
    <w:rsid w:val="00DE76E9"/>
    <w:rsid w:val="00DE7D38"/>
    <w:rsid w:val="00DF08DA"/>
    <w:rsid w:val="00DF0A05"/>
    <w:rsid w:val="00DF159E"/>
    <w:rsid w:val="00DF16B5"/>
    <w:rsid w:val="00DF1763"/>
    <w:rsid w:val="00DF17B2"/>
    <w:rsid w:val="00DF1AF4"/>
    <w:rsid w:val="00DF1C2A"/>
    <w:rsid w:val="00DF2340"/>
    <w:rsid w:val="00DF2519"/>
    <w:rsid w:val="00DF2782"/>
    <w:rsid w:val="00DF29F2"/>
    <w:rsid w:val="00DF2C49"/>
    <w:rsid w:val="00DF2CCC"/>
    <w:rsid w:val="00DF3C30"/>
    <w:rsid w:val="00DF4D6B"/>
    <w:rsid w:val="00DF4F6D"/>
    <w:rsid w:val="00DF5104"/>
    <w:rsid w:val="00DF5461"/>
    <w:rsid w:val="00DF5C08"/>
    <w:rsid w:val="00DF5E36"/>
    <w:rsid w:val="00DF609B"/>
    <w:rsid w:val="00DF61B1"/>
    <w:rsid w:val="00DF624A"/>
    <w:rsid w:val="00DF635B"/>
    <w:rsid w:val="00DF6676"/>
    <w:rsid w:val="00DF6910"/>
    <w:rsid w:val="00DF6AE6"/>
    <w:rsid w:val="00DF6E37"/>
    <w:rsid w:val="00DF73C5"/>
    <w:rsid w:val="00DF748D"/>
    <w:rsid w:val="00DF74EC"/>
    <w:rsid w:val="00DF76F0"/>
    <w:rsid w:val="00DF7784"/>
    <w:rsid w:val="00DF7C34"/>
    <w:rsid w:val="00DF7D05"/>
    <w:rsid w:val="00DF7ECF"/>
    <w:rsid w:val="00DF7FF9"/>
    <w:rsid w:val="00E00098"/>
    <w:rsid w:val="00E00BAB"/>
    <w:rsid w:val="00E00C50"/>
    <w:rsid w:val="00E01262"/>
    <w:rsid w:val="00E01411"/>
    <w:rsid w:val="00E01419"/>
    <w:rsid w:val="00E015E0"/>
    <w:rsid w:val="00E01CFF"/>
    <w:rsid w:val="00E01E03"/>
    <w:rsid w:val="00E024BA"/>
    <w:rsid w:val="00E024CC"/>
    <w:rsid w:val="00E02609"/>
    <w:rsid w:val="00E02614"/>
    <w:rsid w:val="00E026F4"/>
    <w:rsid w:val="00E0276C"/>
    <w:rsid w:val="00E027BD"/>
    <w:rsid w:val="00E02C44"/>
    <w:rsid w:val="00E02E0B"/>
    <w:rsid w:val="00E030C7"/>
    <w:rsid w:val="00E044CF"/>
    <w:rsid w:val="00E046AD"/>
    <w:rsid w:val="00E04805"/>
    <w:rsid w:val="00E04968"/>
    <w:rsid w:val="00E04C40"/>
    <w:rsid w:val="00E0506A"/>
    <w:rsid w:val="00E05255"/>
    <w:rsid w:val="00E05575"/>
    <w:rsid w:val="00E05856"/>
    <w:rsid w:val="00E05EC6"/>
    <w:rsid w:val="00E05F38"/>
    <w:rsid w:val="00E06063"/>
    <w:rsid w:val="00E06122"/>
    <w:rsid w:val="00E0645D"/>
    <w:rsid w:val="00E06468"/>
    <w:rsid w:val="00E06486"/>
    <w:rsid w:val="00E0651B"/>
    <w:rsid w:val="00E06835"/>
    <w:rsid w:val="00E06A89"/>
    <w:rsid w:val="00E074A1"/>
    <w:rsid w:val="00E0780D"/>
    <w:rsid w:val="00E07C37"/>
    <w:rsid w:val="00E07DE6"/>
    <w:rsid w:val="00E109D5"/>
    <w:rsid w:val="00E10B07"/>
    <w:rsid w:val="00E11110"/>
    <w:rsid w:val="00E11293"/>
    <w:rsid w:val="00E115A8"/>
    <w:rsid w:val="00E117CF"/>
    <w:rsid w:val="00E11BCC"/>
    <w:rsid w:val="00E11E8C"/>
    <w:rsid w:val="00E12124"/>
    <w:rsid w:val="00E123DF"/>
    <w:rsid w:val="00E12D6D"/>
    <w:rsid w:val="00E1357E"/>
    <w:rsid w:val="00E135AF"/>
    <w:rsid w:val="00E1377A"/>
    <w:rsid w:val="00E13E80"/>
    <w:rsid w:val="00E1467F"/>
    <w:rsid w:val="00E147F8"/>
    <w:rsid w:val="00E151A2"/>
    <w:rsid w:val="00E15A87"/>
    <w:rsid w:val="00E15BA1"/>
    <w:rsid w:val="00E15E27"/>
    <w:rsid w:val="00E15FD4"/>
    <w:rsid w:val="00E16245"/>
    <w:rsid w:val="00E168CC"/>
    <w:rsid w:val="00E16E82"/>
    <w:rsid w:val="00E16FE6"/>
    <w:rsid w:val="00E172D4"/>
    <w:rsid w:val="00E172E6"/>
    <w:rsid w:val="00E174D7"/>
    <w:rsid w:val="00E178D1"/>
    <w:rsid w:val="00E17FE9"/>
    <w:rsid w:val="00E2013B"/>
    <w:rsid w:val="00E20D9C"/>
    <w:rsid w:val="00E20FCC"/>
    <w:rsid w:val="00E21445"/>
    <w:rsid w:val="00E21D05"/>
    <w:rsid w:val="00E21E5D"/>
    <w:rsid w:val="00E21E73"/>
    <w:rsid w:val="00E21E76"/>
    <w:rsid w:val="00E21FA6"/>
    <w:rsid w:val="00E22062"/>
    <w:rsid w:val="00E220B5"/>
    <w:rsid w:val="00E222DC"/>
    <w:rsid w:val="00E2265C"/>
    <w:rsid w:val="00E22767"/>
    <w:rsid w:val="00E22991"/>
    <w:rsid w:val="00E22AA9"/>
    <w:rsid w:val="00E22CA4"/>
    <w:rsid w:val="00E23533"/>
    <w:rsid w:val="00E23D69"/>
    <w:rsid w:val="00E241E9"/>
    <w:rsid w:val="00E249B2"/>
    <w:rsid w:val="00E250A0"/>
    <w:rsid w:val="00E25104"/>
    <w:rsid w:val="00E2559A"/>
    <w:rsid w:val="00E26586"/>
    <w:rsid w:val="00E26FB7"/>
    <w:rsid w:val="00E27271"/>
    <w:rsid w:val="00E27759"/>
    <w:rsid w:val="00E278A5"/>
    <w:rsid w:val="00E278BD"/>
    <w:rsid w:val="00E27D09"/>
    <w:rsid w:val="00E3006A"/>
    <w:rsid w:val="00E306F5"/>
    <w:rsid w:val="00E30B17"/>
    <w:rsid w:val="00E311C7"/>
    <w:rsid w:val="00E3129C"/>
    <w:rsid w:val="00E312A4"/>
    <w:rsid w:val="00E313CE"/>
    <w:rsid w:val="00E3180F"/>
    <w:rsid w:val="00E31E52"/>
    <w:rsid w:val="00E32028"/>
    <w:rsid w:val="00E326A5"/>
    <w:rsid w:val="00E32AAA"/>
    <w:rsid w:val="00E32B0A"/>
    <w:rsid w:val="00E32F45"/>
    <w:rsid w:val="00E32F80"/>
    <w:rsid w:val="00E335B7"/>
    <w:rsid w:val="00E33AB9"/>
    <w:rsid w:val="00E33BD0"/>
    <w:rsid w:val="00E33D25"/>
    <w:rsid w:val="00E34454"/>
    <w:rsid w:val="00E347E6"/>
    <w:rsid w:val="00E34E2F"/>
    <w:rsid w:val="00E35190"/>
    <w:rsid w:val="00E353D5"/>
    <w:rsid w:val="00E359C7"/>
    <w:rsid w:val="00E360C8"/>
    <w:rsid w:val="00E36BBB"/>
    <w:rsid w:val="00E3725E"/>
    <w:rsid w:val="00E37656"/>
    <w:rsid w:val="00E37949"/>
    <w:rsid w:val="00E37AB3"/>
    <w:rsid w:val="00E37B12"/>
    <w:rsid w:val="00E37B15"/>
    <w:rsid w:val="00E37D27"/>
    <w:rsid w:val="00E37EEF"/>
    <w:rsid w:val="00E4024F"/>
    <w:rsid w:val="00E402D2"/>
    <w:rsid w:val="00E405C0"/>
    <w:rsid w:val="00E40B14"/>
    <w:rsid w:val="00E40BA2"/>
    <w:rsid w:val="00E410CE"/>
    <w:rsid w:val="00E41421"/>
    <w:rsid w:val="00E41F14"/>
    <w:rsid w:val="00E42419"/>
    <w:rsid w:val="00E42DFB"/>
    <w:rsid w:val="00E4312C"/>
    <w:rsid w:val="00E43382"/>
    <w:rsid w:val="00E4362D"/>
    <w:rsid w:val="00E436F7"/>
    <w:rsid w:val="00E4386E"/>
    <w:rsid w:val="00E438A1"/>
    <w:rsid w:val="00E438D7"/>
    <w:rsid w:val="00E43D23"/>
    <w:rsid w:val="00E441D6"/>
    <w:rsid w:val="00E449A4"/>
    <w:rsid w:val="00E44BA1"/>
    <w:rsid w:val="00E455CD"/>
    <w:rsid w:val="00E45BB8"/>
    <w:rsid w:val="00E464C1"/>
    <w:rsid w:val="00E466E0"/>
    <w:rsid w:val="00E46CEB"/>
    <w:rsid w:val="00E46E16"/>
    <w:rsid w:val="00E47061"/>
    <w:rsid w:val="00E472A9"/>
    <w:rsid w:val="00E473CB"/>
    <w:rsid w:val="00E475C4"/>
    <w:rsid w:val="00E47B0F"/>
    <w:rsid w:val="00E47E2D"/>
    <w:rsid w:val="00E503F9"/>
    <w:rsid w:val="00E506C7"/>
    <w:rsid w:val="00E50B41"/>
    <w:rsid w:val="00E50B58"/>
    <w:rsid w:val="00E51204"/>
    <w:rsid w:val="00E51B09"/>
    <w:rsid w:val="00E51D9F"/>
    <w:rsid w:val="00E51FD7"/>
    <w:rsid w:val="00E520C2"/>
    <w:rsid w:val="00E523AE"/>
    <w:rsid w:val="00E52612"/>
    <w:rsid w:val="00E52685"/>
    <w:rsid w:val="00E52A27"/>
    <w:rsid w:val="00E53039"/>
    <w:rsid w:val="00E53413"/>
    <w:rsid w:val="00E53B80"/>
    <w:rsid w:val="00E54190"/>
    <w:rsid w:val="00E54231"/>
    <w:rsid w:val="00E542DF"/>
    <w:rsid w:val="00E54516"/>
    <w:rsid w:val="00E546A3"/>
    <w:rsid w:val="00E54ACB"/>
    <w:rsid w:val="00E54AE2"/>
    <w:rsid w:val="00E5501D"/>
    <w:rsid w:val="00E554F1"/>
    <w:rsid w:val="00E55651"/>
    <w:rsid w:val="00E5577F"/>
    <w:rsid w:val="00E55A1C"/>
    <w:rsid w:val="00E55CFF"/>
    <w:rsid w:val="00E55F26"/>
    <w:rsid w:val="00E56450"/>
    <w:rsid w:val="00E56CA0"/>
    <w:rsid w:val="00E56E99"/>
    <w:rsid w:val="00E56EE9"/>
    <w:rsid w:val="00E56FFE"/>
    <w:rsid w:val="00E57360"/>
    <w:rsid w:val="00E57C5A"/>
    <w:rsid w:val="00E57E25"/>
    <w:rsid w:val="00E6014A"/>
    <w:rsid w:val="00E606E3"/>
    <w:rsid w:val="00E60AB7"/>
    <w:rsid w:val="00E60C32"/>
    <w:rsid w:val="00E60E71"/>
    <w:rsid w:val="00E60ED8"/>
    <w:rsid w:val="00E612C2"/>
    <w:rsid w:val="00E61360"/>
    <w:rsid w:val="00E61454"/>
    <w:rsid w:val="00E61D45"/>
    <w:rsid w:val="00E61FEB"/>
    <w:rsid w:val="00E62442"/>
    <w:rsid w:val="00E62503"/>
    <w:rsid w:val="00E6263E"/>
    <w:rsid w:val="00E62843"/>
    <w:rsid w:val="00E62D42"/>
    <w:rsid w:val="00E630E7"/>
    <w:rsid w:val="00E63889"/>
    <w:rsid w:val="00E6453B"/>
    <w:rsid w:val="00E64623"/>
    <w:rsid w:val="00E64E6B"/>
    <w:rsid w:val="00E65C16"/>
    <w:rsid w:val="00E65D1C"/>
    <w:rsid w:val="00E6676B"/>
    <w:rsid w:val="00E66859"/>
    <w:rsid w:val="00E668B9"/>
    <w:rsid w:val="00E66B62"/>
    <w:rsid w:val="00E67126"/>
    <w:rsid w:val="00E67510"/>
    <w:rsid w:val="00E6770F"/>
    <w:rsid w:val="00E67F4F"/>
    <w:rsid w:val="00E70077"/>
    <w:rsid w:val="00E70B14"/>
    <w:rsid w:val="00E70FDA"/>
    <w:rsid w:val="00E711BE"/>
    <w:rsid w:val="00E71614"/>
    <w:rsid w:val="00E7163C"/>
    <w:rsid w:val="00E729B4"/>
    <w:rsid w:val="00E72F2B"/>
    <w:rsid w:val="00E731BC"/>
    <w:rsid w:val="00E73552"/>
    <w:rsid w:val="00E73568"/>
    <w:rsid w:val="00E73A94"/>
    <w:rsid w:val="00E73C50"/>
    <w:rsid w:val="00E747ED"/>
    <w:rsid w:val="00E74E90"/>
    <w:rsid w:val="00E74F38"/>
    <w:rsid w:val="00E753F6"/>
    <w:rsid w:val="00E75449"/>
    <w:rsid w:val="00E75A4B"/>
    <w:rsid w:val="00E75D92"/>
    <w:rsid w:val="00E76279"/>
    <w:rsid w:val="00E76625"/>
    <w:rsid w:val="00E7671C"/>
    <w:rsid w:val="00E76B3C"/>
    <w:rsid w:val="00E76BC8"/>
    <w:rsid w:val="00E76C4E"/>
    <w:rsid w:val="00E779C5"/>
    <w:rsid w:val="00E77C1E"/>
    <w:rsid w:val="00E81505"/>
    <w:rsid w:val="00E822C3"/>
    <w:rsid w:val="00E825EF"/>
    <w:rsid w:val="00E82832"/>
    <w:rsid w:val="00E82980"/>
    <w:rsid w:val="00E82F7B"/>
    <w:rsid w:val="00E8347E"/>
    <w:rsid w:val="00E83664"/>
    <w:rsid w:val="00E83CEF"/>
    <w:rsid w:val="00E83D4A"/>
    <w:rsid w:val="00E83E34"/>
    <w:rsid w:val="00E8470B"/>
    <w:rsid w:val="00E84C64"/>
    <w:rsid w:val="00E84D52"/>
    <w:rsid w:val="00E84D9F"/>
    <w:rsid w:val="00E851AB"/>
    <w:rsid w:val="00E855F7"/>
    <w:rsid w:val="00E85D41"/>
    <w:rsid w:val="00E85DEC"/>
    <w:rsid w:val="00E86264"/>
    <w:rsid w:val="00E86284"/>
    <w:rsid w:val="00E86449"/>
    <w:rsid w:val="00E86636"/>
    <w:rsid w:val="00E8693A"/>
    <w:rsid w:val="00E86D84"/>
    <w:rsid w:val="00E86FE0"/>
    <w:rsid w:val="00E8731B"/>
    <w:rsid w:val="00E87859"/>
    <w:rsid w:val="00E90A3C"/>
    <w:rsid w:val="00E90EC5"/>
    <w:rsid w:val="00E9139F"/>
    <w:rsid w:val="00E914A6"/>
    <w:rsid w:val="00E91638"/>
    <w:rsid w:val="00E920F4"/>
    <w:rsid w:val="00E92833"/>
    <w:rsid w:val="00E92992"/>
    <w:rsid w:val="00E92C32"/>
    <w:rsid w:val="00E932E4"/>
    <w:rsid w:val="00E935DE"/>
    <w:rsid w:val="00E93838"/>
    <w:rsid w:val="00E93C33"/>
    <w:rsid w:val="00E94061"/>
    <w:rsid w:val="00E94A23"/>
    <w:rsid w:val="00E94B9A"/>
    <w:rsid w:val="00E94E13"/>
    <w:rsid w:val="00E95055"/>
    <w:rsid w:val="00E9519F"/>
    <w:rsid w:val="00E953B2"/>
    <w:rsid w:val="00E95450"/>
    <w:rsid w:val="00E95547"/>
    <w:rsid w:val="00E95C12"/>
    <w:rsid w:val="00E96325"/>
    <w:rsid w:val="00E96BF0"/>
    <w:rsid w:val="00E9726B"/>
    <w:rsid w:val="00E9742C"/>
    <w:rsid w:val="00E9792A"/>
    <w:rsid w:val="00E97AA4"/>
    <w:rsid w:val="00E97C64"/>
    <w:rsid w:val="00E97D4F"/>
    <w:rsid w:val="00E97FBA"/>
    <w:rsid w:val="00EA0135"/>
    <w:rsid w:val="00EA051C"/>
    <w:rsid w:val="00EA0613"/>
    <w:rsid w:val="00EA08DB"/>
    <w:rsid w:val="00EA0C2F"/>
    <w:rsid w:val="00EA0D29"/>
    <w:rsid w:val="00EA116C"/>
    <w:rsid w:val="00EA1309"/>
    <w:rsid w:val="00EA1E5C"/>
    <w:rsid w:val="00EA1FF8"/>
    <w:rsid w:val="00EA2488"/>
    <w:rsid w:val="00EA2919"/>
    <w:rsid w:val="00EA2AC2"/>
    <w:rsid w:val="00EA2AED"/>
    <w:rsid w:val="00EA3044"/>
    <w:rsid w:val="00EA30D0"/>
    <w:rsid w:val="00EA38EF"/>
    <w:rsid w:val="00EA3E26"/>
    <w:rsid w:val="00EA43FD"/>
    <w:rsid w:val="00EA449F"/>
    <w:rsid w:val="00EA48D5"/>
    <w:rsid w:val="00EA4927"/>
    <w:rsid w:val="00EA50BC"/>
    <w:rsid w:val="00EA5273"/>
    <w:rsid w:val="00EA55F6"/>
    <w:rsid w:val="00EA5806"/>
    <w:rsid w:val="00EA5835"/>
    <w:rsid w:val="00EA6136"/>
    <w:rsid w:val="00EA64D2"/>
    <w:rsid w:val="00EA6647"/>
    <w:rsid w:val="00EA6C77"/>
    <w:rsid w:val="00EA6D6E"/>
    <w:rsid w:val="00EA7147"/>
    <w:rsid w:val="00EA76D9"/>
    <w:rsid w:val="00EA773C"/>
    <w:rsid w:val="00EA7770"/>
    <w:rsid w:val="00EB0220"/>
    <w:rsid w:val="00EB0ADF"/>
    <w:rsid w:val="00EB102D"/>
    <w:rsid w:val="00EB1742"/>
    <w:rsid w:val="00EB196E"/>
    <w:rsid w:val="00EB1CE1"/>
    <w:rsid w:val="00EB1EDE"/>
    <w:rsid w:val="00EB262B"/>
    <w:rsid w:val="00EB2F05"/>
    <w:rsid w:val="00EB30D2"/>
    <w:rsid w:val="00EB34B2"/>
    <w:rsid w:val="00EB39EA"/>
    <w:rsid w:val="00EB3D4A"/>
    <w:rsid w:val="00EB3FFE"/>
    <w:rsid w:val="00EB407F"/>
    <w:rsid w:val="00EB4198"/>
    <w:rsid w:val="00EB4316"/>
    <w:rsid w:val="00EB48B8"/>
    <w:rsid w:val="00EB4D68"/>
    <w:rsid w:val="00EB4DE4"/>
    <w:rsid w:val="00EB4F7E"/>
    <w:rsid w:val="00EB5048"/>
    <w:rsid w:val="00EB57B6"/>
    <w:rsid w:val="00EB6A4D"/>
    <w:rsid w:val="00EB6ADD"/>
    <w:rsid w:val="00EB721F"/>
    <w:rsid w:val="00EB7774"/>
    <w:rsid w:val="00EB7D37"/>
    <w:rsid w:val="00EC013E"/>
    <w:rsid w:val="00EC03D1"/>
    <w:rsid w:val="00EC06CA"/>
    <w:rsid w:val="00EC0836"/>
    <w:rsid w:val="00EC08B0"/>
    <w:rsid w:val="00EC0AE8"/>
    <w:rsid w:val="00EC17A4"/>
    <w:rsid w:val="00EC1891"/>
    <w:rsid w:val="00EC240C"/>
    <w:rsid w:val="00EC2477"/>
    <w:rsid w:val="00EC282C"/>
    <w:rsid w:val="00EC2893"/>
    <w:rsid w:val="00EC355A"/>
    <w:rsid w:val="00EC3D46"/>
    <w:rsid w:val="00EC44CF"/>
    <w:rsid w:val="00EC47A9"/>
    <w:rsid w:val="00EC51C3"/>
    <w:rsid w:val="00EC5250"/>
    <w:rsid w:val="00EC5259"/>
    <w:rsid w:val="00EC5343"/>
    <w:rsid w:val="00EC5B21"/>
    <w:rsid w:val="00EC6EA5"/>
    <w:rsid w:val="00EC70B7"/>
    <w:rsid w:val="00EC743F"/>
    <w:rsid w:val="00EC7565"/>
    <w:rsid w:val="00EC7A09"/>
    <w:rsid w:val="00EC7A57"/>
    <w:rsid w:val="00EC7C9B"/>
    <w:rsid w:val="00ED0251"/>
    <w:rsid w:val="00ED0623"/>
    <w:rsid w:val="00ED06B1"/>
    <w:rsid w:val="00ED1026"/>
    <w:rsid w:val="00ED1295"/>
    <w:rsid w:val="00ED1489"/>
    <w:rsid w:val="00ED18B5"/>
    <w:rsid w:val="00ED19C2"/>
    <w:rsid w:val="00ED1B08"/>
    <w:rsid w:val="00ED2132"/>
    <w:rsid w:val="00ED23DD"/>
    <w:rsid w:val="00ED2CC7"/>
    <w:rsid w:val="00ED2EA6"/>
    <w:rsid w:val="00ED30AD"/>
    <w:rsid w:val="00ED31D8"/>
    <w:rsid w:val="00ED3270"/>
    <w:rsid w:val="00ED331B"/>
    <w:rsid w:val="00ED345A"/>
    <w:rsid w:val="00ED3485"/>
    <w:rsid w:val="00ED366A"/>
    <w:rsid w:val="00ED3741"/>
    <w:rsid w:val="00ED3F66"/>
    <w:rsid w:val="00ED4724"/>
    <w:rsid w:val="00ED496C"/>
    <w:rsid w:val="00ED4972"/>
    <w:rsid w:val="00ED4CC8"/>
    <w:rsid w:val="00ED4E97"/>
    <w:rsid w:val="00ED5353"/>
    <w:rsid w:val="00ED551A"/>
    <w:rsid w:val="00ED5552"/>
    <w:rsid w:val="00ED78C1"/>
    <w:rsid w:val="00ED7909"/>
    <w:rsid w:val="00ED7C70"/>
    <w:rsid w:val="00EE0399"/>
    <w:rsid w:val="00EE0413"/>
    <w:rsid w:val="00EE0691"/>
    <w:rsid w:val="00EE0FA9"/>
    <w:rsid w:val="00EE11C5"/>
    <w:rsid w:val="00EE120B"/>
    <w:rsid w:val="00EE1B1B"/>
    <w:rsid w:val="00EE204A"/>
    <w:rsid w:val="00EE2906"/>
    <w:rsid w:val="00EE2F26"/>
    <w:rsid w:val="00EE4264"/>
    <w:rsid w:val="00EE4300"/>
    <w:rsid w:val="00EE46BE"/>
    <w:rsid w:val="00EE4B27"/>
    <w:rsid w:val="00EE5439"/>
    <w:rsid w:val="00EE54A8"/>
    <w:rsid w:val="00EE556A"/>
    <w:rsid w:val="00EE5C67"/>
    <w:rsid w:val="00EE5DA1"/>
    <w:rsid w:val="00EE5FE5"/>
    <w:rsid w:val="00EE6325"/>
    <w:rsid w:val="00EE6477"/>
    <w:rsid w:val="00EE65F6"/>
    <w:rsid w:val="00EE692D"/>
    <w:rsid w:val="00EE6E90"/>
    <w:rsid w:val="00EE6F5A"/>
    <w:rsid w:val="00EE6FA3"/>
    <w:rsid w:val="00EE72C8"/>
    <w:rsid w:val="00EE7A3F"/>
    <w:rsid w:val="00EF02F9"/>
    <w:rsid w:val="00EF0359"/>
    <w:rsid w:val="00EF0900"/>
    <w:rsid w:val="00EF0981"/>
    <w:rsid w:val="00EF0B0F"/>
    <w:rsid w:val="00EF0BB2"/>
    <w:rsid w:val="00EF0D30"/>
    <w:rsid w:val="00EF119A"/>
    <w:rsid w:val="00EF133B"/>
    <w:rsid w:val="00EF13F4"/>
    <w:rsid w:val="00EF1651"/>
    <w:rsid w:val="00EF1686"/>
    <w:rsid w:val="00EF16C9"/>
    <w:rsid w:val="00EF17B7"/>
    <w:rsid w:val="00EF19D1"/>
    <w:rsid w:val="00EF1E0D"/>
    <w:rsid w:val="00EF1E63"/>
    <w:rsid w:val="00EF1FF6"/>
    <w:rsid w:val="00EF2210"/>
    <w:rsid w:val="00EF2718"/>
    <w:rsid w:val="00EF2816"/>
    <w:rsid w:val="00EF2F18"/>
    <w:rsid w:val="00EF30FF"/>
    <w:rsid w:val="00EF3800"/>
    <w:rsid w:val="00EF3E5E"/>
    <w:rsid w:val="00EF41E7"/>
    <w:rsid w:val="00EF42FD"/>
    <w:rsid w:val="00EF4661"/>
    <w:rsid w:val="00EF47BF"/>
    <w:rsid w:val="00EF47CA"/>
    <w:rsid w:val="00EF49F6"/>
    <w:rsid w:val="00EF4EDC"/>
    <w:rsid w:val="00EF58C4"/>
    <w:rsid w:val="00EF5C86"/>
    <w:rsid w:val="00EF6079"/>
    <w:rsid w:val="00EF66F3"/>
    <w:rsid w:val="00EF66F5"/>
    <w:rsid w:val="00EF6F35"/>
    <w:rsid w:val="00EF72F4"/>
    <w:rsid w:val="00EF765F"/>
    <w:rsid w:val="00EF769B"/>
    <w:rsid w:val="00F00196"/>
    <w:rsid w:val="00F00BB5"/>
    <w:rsid w:val="00F00DF3"/>
    <w:rsid w:val="00F00EDB"/>
    <w:rsid w:val="00F01208"/>
    <w:rsid w:val="00F01554"/>
    <w:rsid w:val="00F01928"/>
    <w:rsid w:val="00F019B2"/>
    <w:rsid w:val="00F026C1"/>
    <w:rsid w:val="00F026F2"/>
    <w:rsid w:val="00F02C65"/>
    <w:rsid w:val="00F02F16"/>
    <w:rsid w:val="00F0348F"/>
    <w:rsid w:val="00F037F4"/>
    <w:rsid w:val="00F03978"/>
    <w:rsid w:val="00F03A9B"/>
    <w:rsid w:val="00F03E04"/>
    <w:rsid w:val="00F04073"/>
    <w:rsid w:val="00F043CF"/>
    <w:rsid w:val="00F04734"/>
    <w:rsid w:val="00F04C35"/>
    <w:rsid w:val="00F052AF"/>
    <w:rsid w:val="00F05711"/>
    <w:rsid w:val="00F05F0F"/>
    <w:rsid w:val="00F06405"/>
    <w:rsid w:val="00F067CE"/>
    <w:rsid w:val="00F06832"/>
    <w:rsid w:val="00F0797A"/>
    <w:rsid w:val="00F10347"/>
    <w:rsid w:val="00F10479"/>
    <w:rsid w:val="00F106C9"/>
    <w:rsid w:val="00F10F58"/>
    <w:rsid w:val="00F110EC"/>
    <w:rsid w:val="00F1144F"/>
    <w:rsid w:val="00F11EE7"/>
    <w:rsid w:val="00F12408"/>
    <w:rsid w:val="00F1262B"/>
    <w:rsid w:val="00F12781"/>
    <w:rsid w:val="00F12F3E"/>
    <w:rsid w:val="00F12FD3"/>
    <w:rsid w:val="00F13053"/>
    <w:rsid w:val="00F13838"/>
    <w:rsid w:val="00F141C7"/>
    <w:rsid w:val="00F143B1"/>
    <w:rsid w:val="00F14AA6"/>
    <w:rsid w:val="00F14B6B"/>
    <w:rsid w:val="00F154A3"/>
    <w:rsid w:val="00F15588"/>
    <w:rsid w:val="00F15AD3"/>
    <w:rsid w:val="00F15C62"/>
    <w:rsid w:val="00F16485"/>
    <w:rsid w:val="00F16598"/>
    <w:rsid w:val="00F166F5"/>
    <w:rsid w:val="00F169F6"/>
    <w:rsid w:val="00F16EAC"/>
    <w:rsid w:val="00F16F3B"/>
    <w:rsid w:val="00F170EE"/>
    <w:rsid w:val="00F17159"/>
    <w:rsid w:val="00F17520"/>
    <w:rsid w:val="00F17537"/>
    <w:rsid w:val="00F175E8"/>
    <w:rsid w:val="00F20280"/>
    <w:rsid w:val="00F2107B"/>
    <w:rsid w:val="00F21B70"/>
    <w:rsid w:val="00F21C0A"/>
    <w:rsid w:val="00F21C22"/>
    <w:rsid w:val="00F2230D"/>
    <w:rsid w:val="00F2247C"/>
    <w:rsid w:val="00F22FDB"/>
    <w:rsid w:val="00F23129"/>
    <w:rsid w:val="00F233D8"/>
    <w:rsid w:val="00F234E2"/>
    <w:rsid w:val="00F23728"/>
    <w:rsid w:val="00F23C39"/>
    <w:rsid w:val="00F23DFE"/>
    <w:rsid w:val="00F23E09"/>
    <w:rsid w:val="00F2418F"/>
    <w:rsid w:val="00F24222"/>
    <w:rsid w:val="00F2430A"/>
    <w:rsid w:val="00F24489"/>
    <w:rsid w:val="00F24DD5"/>
    <w:rsid w:val="00F2501C"/>
    <w:rsid w:val="00F25506"/>
    <w:rsid w:val="00F257A5"/>
    <w:rsid w:val="00F25D4F"/>
    <w:rsid w:val="00F269CB"/>
    <w:rsid w:val="00F26A57"/>
    <w:rsid w:val="00F26AE8"/>
    <w:rsid w:val="00F26B4C"/>
    <w:rsid w:val="00F26C75"/>
    <w:rsid w:val="00F27578"/>
    <w:rsid w:val="00F27E89"/>
    <w:rsid w:val="00F30454"/>
    <w:rsid w:val="00F305E9"/>
    <w:rsid w:val="00F3091C"/>
    <w:rsid w:val="00F30B74"/>
    <w:rsid w:val="00F30E49"/>
    <w:rsid w:val="00F3140F"/>
    <w:rsid w:val="00F318A2"/>
    <w:rsid w:val="00F325B5"/>
    <w:rsid w:val="00F32861"/>
    <w:rsid w:val="00F3286B"/>
    <w:rsid w:val="00F328A1"/>
    <w:rsid w:val="00F329A4"/>
    <w:rsid w:val="00F32A89"/>
    <w:rsid w:val="00F32CEF"/>
    <w:rsid w:val="00F32E8C"/>
    <w:rsid w:val="00F32F2C"/>
    <w:rsid w:val="00F3330D"/>
    <w:rsid w:val="00F33A23"/>
    <w:rsid w:val="00F33BB1"/>
    <w:rsid w:val="00F340CC"/>
    <w:rsid w:val="00F34438"/>
    <w:rsid w:val="00F34A09"/>
    <w:rsid w:val="00F34D8C"/>
    <w:rsid w:val="00F35214"/>
    <w:rsid w:val="00F35384"/>
    <w:rsid w:val="00F35712"/>
    <w:rsid w:val="00F363D2"/>
    <w:rsid w:val="00F36572"/>
    <w:rsid w:val="00F36CC7"/>
    <w:rsid w:val="00F3724D"/>
    <w:rsid w:val="00F37ADC"/>
    <w:rsid w:val="00F37C43"/>
    <w:rsid w:val="00F40328"/>
    <w:rsid w:val="00F40494"/>
    <w:rsid w:val="00F408FF"/>
    <w:rsid w:val="00F40E8B"/>
    <w:rsid w:val="00F4115B"/>
    <w:rsid w:val="00F41264"/>
    <w:rsid w:val="00F412ED"/>
    <w:rsid w:val="00F4158B"/>
    <w:rsid w:val="00F418DF"/>
    <w:rsid w:val="00F418EF"/>
    <w:rsid w:val="00F41D40"/>
    <w:rsid w:val="00F421E0"/>
    <w:rsid w:val="00F42483"/>
    <w:rsid w:val="00F42484"/>
    <w:rsid w:val="00F424BE"/>
    <w:rsid w:val="00F42507"/>
    <w:rsid w:val="00F42CB2"/>
    <w:rsid w:val="00F42D74"/>
    <w:rsid w:val="00F42ECD"/>
    <w:rsid w:val="00F4310A"/>
    <w:rsid w:val="00F43266"/>
    <w:rsid w:val="00F4346C"/>
    <w:rsid w:val="00F43BBE"/>
    <w:rsid w:val="00F44088"/>
    <w:rsid w:val="00F4408F"/>
    <w:rsid w:val="00F441FD"/>
    <w:rsid w:val="00F44757"/>
    <w:rsid w:val="00F44AA0"/>
    <w:rsid w:val="00F44F6D"/>
    <w:rsid w:val="00F4504B"/>
    <w:rsid w:val="00F45076"/>
    <w:rsid w:val="00F4559E"/>
    <w:rsid w:val="00F455AA"/>
    <w:rsid w:val="00F45912"/>
    <w:rsid w:val="00F45E82"/>
    <w:rsid w:val="00F45EC6"/>
    <w:rsid w:val="00F46124"/>
    <w:rsid w:val="00F463C8"/>
    <w:rsid w:val="00F466E5"/>
    <w:rsid w:val="00F46705"/>
    <w:rsid w:val="00F467CF"/>
    <w:rsid w:val="00F46903"/>
    <w:rsid w:val="00F46981"/>
    <w:rsid w:val="00F46996"/>
    <w:rsid w:val="00F470DF"/>
    <w:rsid w:val="00F471A8"/>
    <w:rsid w:val="00F47468"/>
    <w:rsid w:val="00F47507"/>
    <w:rsid w:val="00F477E0"/>
    <w:rsid w:val="00F47AD6"/>
    <w:rsid w:val="00F47B8B"/>
    <w:rsid w:val="00F47C32"/>
    <w:rsid w:val="00F47E6A"/>
    <w:rsid w:val="00F50652"/>
    <w:rsid w:val="00F50B87"/>
    <w:rsid w:val="00F50C17"/>
    <w:rsid w:val="00F51262"/>
    <w:rsid w:val="00F512E6"/>
    <w:rsid w:val="00F51729"/>
    <w:rsid w:val="00F52655"/>
    <w:rsid w:val="00F52F8E"/>
    <w:rsid w:val="00F5368A"/>
    <w:rsid w:val="00F53A00"/>
    <w:rsid w:val="00F54427"/>
    <w:rsid w:val="00F544BE"/>
    <w:rsid w:val="00F54F90"/>
    <w:rsid w:val="00F55373"/>
    <w:rsid w:val="00F55395"/>
    <w:rsid w:val="00F55AF7"/>
    <w:rsid w:val="00F55DF3"/>
    <w:rsid w:val="00F55FBF"/>
    <w:rsid w:val="00F56338"/>
    <w:rsid w:val="00F56713"/>
    <w:rsid w:val="00F56B97"/>
    <w:rsid w:val="00F571B9"/>
    <w:rsid w:val="00F5721D"/>
    <w:rsid w:val="00F57493"/>
    <w:rsid w:val="00F579B8"/>
    <w:rsid w:val="00F57F46"/>
    <w:rsid w:val="00F57F94"/>
    <w:rsid w:val="00F60292"/>
    <w:rsid w:val="00F60353"/>
    <w:rsid w:val="00F605D7"/>
    <w:rsid w:val="00F60AF1"/>
    <w:rsid w:val="00F614F3"/>
    <w:rsid w:val="00F61AE8"/>
    <w:rsid w:val="00F61C84"/>
    <w:rsid w:val="00F61DAC"/>
    <w:rsid w:val="00F61E23"/>
    <w:rsid w:val="00F6260C"/>
    <w:rsid w:val="00F627DF"/>
    <w:rsid w:val="00F62CF2"/>
    <w:rsid w:val="00F63757"/>
    <w:rsid w:val="00F637B6"/>
    <w:rsid w:val="00F63823"/>
    <w:rsid w:val="00F643CF"/>
    <w:rsid w:val="00F64500"/>
    <w:rsid w:val="00F64C9D"/>
    <w:rsid w:val="00F650A3"/>
    <w:rsid w:val="00F656F2"/>
    <w:rsid w:val="00F664F7"/>
    <w:rsid w:val="00F666C3"/>
    <w:rsid w:val="00F669A7"/>
    <w:rsid w:val="00F67270"/>
    <w:rsid w:val="00F677FC"/>
    <w:rsid w:val="00F67803"/>
    <w:rsid w:val="00F67D81"/>
    <w:rsid w:val="00F67ED0"/>
    <w:rsid w:val="00F701FF"/>
    <w:rsid w:val="00F7061B"/>
    <w:rsid w:val="00F7068C"/>
    <w:rsid w:val="00F70969"/>
    <w:rsid w:val="00F70B19"/>
    <w:rsid w:val="00F710F7"/>
    <w:rsid w:val="00F724CF"/>
    <w:rsid w:val="00F72A57"/>
    <w:rsid w:val="00F72B03"/>
    <w:rsid w:val="00F72DFD"/>
    <w:rsid w:val="00F73536"/>
    <w:rsid w:val="00F73883"/>
    <w:rsid w:val="00F73D03"/>
    <w:rsid w:val="00F73F2F"/>
    <w:rsid w:val="00F7408A"/>
    <w:rsid w:val="00F745A5"/>
    <w:rsid w:val="00F746D0"/>
    <w:rsid w:val="00F74832"/>
    <w:rsid w:val="00F74926"/>
    <w:rsid w:val="00F749AD"/>
    <w:rsid w:val="00F7508F"/>
    <w:rsid w:val="00F750BD"/>
    <w:rsid w:val="00F754D2"/>
    <w:rsid w:val="00F7558A"/>
    <w:rsid w:val="00F7561C"/>
    <w:rsid w:val="00F75775"/>
    <w:rsid w:val="00F75CDC"/>
    <w:rsid w:val="00F76911"/>
    <w:rsid w:val="00F76AE4"/>
    <w:rsid w:val="00F76E07"/>
    <w:rsid w:val="00F76F55"/>
    <w:rsid w:val="00F76FA8"/>
    <w:rsid w:val="00F771C9"/>
    <w:rsid w:val="00F771DA"/>
    <w:rsid w:val="00F772ED"/>
    <w:rsid w:val="00F7796B"/>
    <w:rsid w:val="00F77AAA"/>
    <w:rsid w:val="00F802D2"/>
    <w:rsid w:val="00F80826"/>
    <w:rsid w:val="00F80919"/>
    <w:rsid w:val="00F80A16"/>
    <w:rsid w:val="00F80A30"/>
    <w:rsid w:val="00F818D5"/>
    <w:rsid w:val="00F81F78"/>
    <w:rsid w:val="00F827D1"/>
    <w:rsid w:val="00F82805"/>
    <w:rsid w:val="00F8293D"/>
    <w:rsid w:val="00F82AB7"/>
    <w:rsid w:val="00F8323D"/>
    <w:rsid w:val="00F83366"/>
    <w:rsid w:val="00F837B3"/>
    <w:rsid w:val="00F83BE5"/>
    <w:rsid w:val="00F83DF4"/>
    <w:rsid w:val="00F83F89"/>
    <w:rsid w:val="00F84065"/>
    <w:rsid w:val="00F8463D"/>
    <w:rsid w:val="00F85052"/>
    <w:rsid w:val="00F85986"/>
    <w:rsid w:val="00F85C94"/>
    <w:rsid w:val="00F85F9E"/>
    <w:rsid w:val="00F8668F"/>
    <w:rsid w:val="00F8674E"/>
    <w:rsid w:val="00F86847"/>
    <w:rsid w:val="00F86BEB"/>
    <w:rsid w:val="00F86E37"/>
    <w:rsid w:val="00F8700B"/>
    <w:rsid w:val="00F872C8"/>
    <w:rsid w:val="00F873E0"/>
    <w:rsid w:val="00F8748C"/>
    <w:rsid w:val="00F87539"/>
    <w:rsid w:val="00F8793D"/>
    <w:rsid w:val="00F8797C"/>
    <w:rsid w:val="00F87E58"/>
    <w:rsid w:val="00F905E3"/>
    <w:rsid w:val="00F90C37"/>
    <w:rsid w:val="00F90F52"/>
    <w:rsid w:val="00F916BD"/>
    <w:rsid w:val="00F919AB"/>
    <w:rsid w:val="00F91C4B"/>
    <w:rsid w:val="00F91EC4"/>
    <w:rsid w:val="00F91EE5"/>
    <w:rsid w:val="00F9265D"/>
    <w:rsid w:val="00F92891"/>
    <w:rsid w:val="00F930BA"/>
    <w:rsid w:val="00F9317F"/>
    <w:rsid w:val="00F931FD"/>
    <w:rsid w:val="00F936A6"/>
    <w:rsid w:val="00F94415"/>
    <w:rsid w:val="00F9474E"/>
    <w:rsid w:val="00F949E2"/>
    <w:rsid w:val="00F94A79"/>
    <w:rsid w:val="00F94CDE"/>
    <w:rsid w:val="00F952C8"/>
    <w:rsid w:val="00F954CC"/>
    <w:rsid w:val="00F95734"/>
    <w:rsid w:val="00F95F9C"/>
    <w:rsid w:val="00F95FF3"/>
    <w:rsid w:val="00F96ACB"/>
    <w:rsid w:val="00F97487"/>
    <w:rsid w:val="00F977CB"/>
    <w:rsid w:val="00FA0029"/>
    <w:rsid w:val="00FA01F2"/>
    <w:rsid w:val="00FA04F8"/>
    <w:rsid w:val="00FA0637"/>
    <w:rsid w:val="00FA06DF"/>
    <w:rsid w:val="00FA0877"/>
    <w:rsid w:val="00FA0A62"/>
    <w:rsid w:val="00FA0E1B"/>
    <w:rsid w:val="00FA0F3D"/>
    <w:rsid w:val="00FA0FF7"/>
    <w:rsid w:val="00FA11FB"/>
    <w:rsid w:val="00FA1749"/>
    <w:rsid w:val="00FA1CF7"/>
    <w:rsid w:val="00FA210D"/>
    <w:rsid w:val="00FA24CA"/>
    <w:rsid w:val="00FA2B7E"/>
    <w:rsid w:val="00FA2D03"/>
    <w:rsid w:val="00FA2EA4"/>
    <w:rsid w:val="00FA319B"/>
    <w:rsid w:val="00FA366A"/>
    <w:rsid w:val="00FA3DEA"/>
    <w:rsid w:val="00FA4535"/>
    <w:rsid w:val="00FA486E"/>
    <w:rsid w:val="00FA4A67"/>
    <w:rsid w:val="00FA4BA1"/>
    <w:rsid w:val="00FA514B"/>
    <w:rsid w:val="00FA5181"/>
    <w:rsid w:val="00FA6C6B"/>
    <w:rsid w:val="00FA6D38"/>
    <w:rsid w:val="00FA7222"/>
    <w:rsid w:val="00FA72A8"/>
    <w:rsid w:val="00FA736B"/>
    <w:rsid w:val="00FA7661"/>
    <w:rsid w:val="00FA77D7"/>
    <w:rsid w:val="00FB0657"/>
    <w:rsid w:val="00FB0A8E"/>
    <w:rsid w:val="00FB0E74"/>
    <w:rsid w:val="00FB1686"/>
    <w:rsid w:val="00FB17BA"/>
    <w:rsid w:val="00FB18B7"/>
    <w:rsid w:val="00FB1903"/>
    <w:rsid w:val="00FB20A9"/>
    <w:rsid w:val="00FB212F"/>
    <w:rsid w:val="00FB235E"/>
    <w:rsid w:val="00FB2828"/>
    <w:rsid w:val="00FB2A80"/>
    <w:rsid w:val="00FB2BC3"/>
    <w:rsid w:val="00FB2C19"/>
    <w:rsid w:val="00FB2E43"/>
    <w:rsid w:val="00FB3258"/>
    <w:rsid w:val="00FB3D25"/>
    <w:rsid w:val="00FB3FD6"/>
    <w:rsid w:val="00FB4A3D"/>
    <w:rsid w:val="00FB4DD4"/>
    <w:rsid w:val="00FB6C58"/>
    <w:rsid w:val="00FB73B9"/>
    <w:rsid w:val="00FB7412"/>
    <w:rsid w:val="00FB7A14"/>
    <w:rsid w:val="00FB7FBF"/>
    <w:rsid w:val="00FC010F"/>
    <w:rsid w:val="00FC04B9"/>
    <w:rsid w:val="00FC0DC6"/>
    <w:rsid w:val="00FC0F96"/>
    <w:rsid w:val="00FC0FDA"/>
    <w:rsid w:val="00FC14F0"/>
    <w:rsid w:val="00FC19AA"/>
    <w:rsid w:val="00FC1D95"/>
    <w:rsid w:val="00FC210A"/>
    <w:rsid w:val="00FC2367"/>
    <w:rsid w:val="00FC2851"/>
    <w:rsid w:val="00FC2E5E"/>
    <w:rsid w:val="00FC3293"/>
    <w:rsid w:val="00FC343E"/>
    <w:rsid w:val="00FC3827"/>
    <w:rsid w:val="00FC3E71"/>
    <w:rsid w:val="00FC3E90"/>
    <w:rsid w:val="00FC4536"/>
    <w:rsid w:val="00FC458E"/>
    <w:rsid w:val="00FC45E4"/>
    <w:rsid w:val="00FC477E"/>
    <w:rsid w:val="00FC4EF0"/>
    <w:rsid w:val="00FC54EA"/>
    <w:rsid w:val="00FC56F6"/>
    <w:rsid w:val="00FC5FDD"/>
    <w:rsid w:val="00FC6A48"/>
    <w:rsid w:val="00FC6EDB"/>
    <w:rsid w:val="00FC6F2E"/>
    <w:rsid w:val="00FC6FEA"/>
    <w:rsid w:val="00FC74AB"/>
    <w:rsid w:val="00FC75B4"/>
    <w:rsid w:val="00FC7658"/>
    <w:rsid w:val="00FC76D7"/>
    <w:rsid w:val="00FC77C0"/>
    <w:rsid w:val="00FC792B"/>
    <w:rsid w:val="00FC7BD2"/>
    <w:rsid w:val="00FC7BE1"/>
    <w:rsid w:val="00FD01AC"/>
    <w:rsid w:val="00FD03D3"/>
    <w:rsid w:val="00FD06DE"/>
    <w:rsid w:val="00FD08E7"/>
    <w:rsid w:val="00FD13DF"/>
    <w:rsid w:val="00FD15B2"/>
    <w:rsid w:val="00FD2187"/>
    <w:rsid w:val="00FD2283"/>
    <w:rsid w:val="00FD2965"/>
    <w:rsid w:val="00FD2A3B"/>
    <w:rsid w:val="00FD3551"/>
    <w:rsid w:val="00FD3659"/>
    <w:rsid w:val="00FD38AD"/>
    <w:rsid w:val="00FD39A5"/>
    <w:rsid w:val="00FD3FB8"/>
    <w:rsid w:val="00FD41FC"/>
    <w:rsid w:val="00FD47DE"/>
    <w:rsid w:val="00FD5116"/>
    <w:rsid w:val="00FD5123"/>
    <w:rsid w:val="00FD5234"/>
    <w:rsid w:val="00FD5E17"/>
    <w:rsid w:val="00FD5FF1"/>
    <w:rsid w:val="00FD67CD"/>
    <w:rsid w:val="00FD6D3D"/>
    <w:rsid w:val="00FD7460"/>
    <w:rsid w:val="00FD79FF"/>
    <w:rsid w:val="00FD7CB3"/>
    <w:rsid w:val="00FE01A7"/>
    <w:rsid w:val="00FE0AD7"/>
    <w:rsid w:val="00FE12BC"/>
    <w:rsid w:val="00FE15B5"/>
    <w:rsid w:val="00FE16BA"/>
    <w:rsid w:val="00FE1848"/>
    <w:rsid w:val="00FE1B09"/>
    <w:rsid w:val="00FE1C46"/>
    <w:rsid w:val="00FE1E97"/>
    <w:rsid w:val="00FE2048"/>
    <w:rsid w:val="00FE284E"/>
    <w:rsid w:val="00FE2E6C"/>
    <w:rsid w:val="00FE2EC8"/>
    <w:rsid w:val="00FE390F"/>
    <w:rsid w:val="00FE3A51"/>
    <w:rsid w:val="00FE3C1B"/>
    <w:rsid w:val="00FE3D21"/>
    <w:rsid w:val="00FE3F8A"/>
    <w:rsid w:val="00FE3FEF"/>
    <w:rsid w:val="00FE408D"/>
    <w:rsid w:val="00FE4557"/>
    <w:rsid w:val="00FE54DC"/>
    <w:rsid w:val="00FE559B"/>
    <w:rsid w:val="00FE5CE6"/>
    <w:rsid w:val="00FE5E0A"/>
    <w:rsid w:val="00FE623D"/>
    <w:rsid w:val="00FE69CB"/>
    <w:rsid w:val="00FE6D0F"/>
    <w:rsid w:val="00FE770E"/>
    <w:rsid w:val="00FF009A"/>
    <w:rsid w:val="00FF01B6"/>
    <w:rsid w:val="00FF04BE"/>
    <w:rsid w:val="00FF0D43"/>
    <w:rsid w:val="00FF0EDC"/>
    <w:rsid w:val="00FF10A6"/>
    <w:rsid w:val="00FF1113"/>
    <w:rsid w:val="00FF12BE"/>
    <w:rsid w:val="00FF1488"/>
    <w:rsid w:val="00FF15A4"/>
    <w:rsid w:val="00FF1AC1"/>
    <w:rsid w:val="00FF1ED8"/>
    <w:rsid w:val="00FF1F05"/>
    <w:rsid w:val="00FF25E2"/>
    <w:rsid w:val="00FF25F8"/>
    <w:rsid w:val="00FF2B55"/>
    <w:rsid w:val="00FF2C85"/>
    <w:rsid w:val="00FF2C9D"/>
    <w:rsid w:val="00FF2D1C"/>
    <w:rsid w:val="00FF2FAD"/>
    <w:rsid w:val="00FF3162"/>
    <w:rsid w:val="00FF3296"/>
    <w:rsid w:val="00FF34C5"/>
    <w:rsid w:val="00FF3870"/>
    <w:rsid w:val="00FF3ABF"/>
    <w:rsid w:val="00FF45A4"/>
    <w:rsid w:val="00FF4816"/>
    <w:rsid w:val="00FF4915"/>
    <w:rsid w:val="00FF4962"/>
    <w:rsid w:val="00FF4B3C"/>
    <w:rsid w:val="00FF4B4B"/>
    <w:rsid w:val="00FF4BE4"/>
    <w:rsid w:val="00FF588F"/>
    <w:rsid w:val="00FF5A28"/>
    <w:rsid w:val="00FF5E26"/>
    <w:rsid w:val="00FF5F8F"/>
    <w:rsid w:val="00FF6235"/>
    <w:rsid w:val="00FF6949"/>
    <w:rsid w:val="00FF6F3F"/>
    <w:rsid w:val="00FF705C"/>
    <w:rsid w:val="00FF72DA"/>
    <w:rsid w:val="00FF734A"/>
    <w:rsid w:val="00FF7889"/>
    <w:rsid w:val="00FF78E2"/>
    <w:rsid w:val="00FF7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92216"/>
  <w15:docId w15:val="{8A23CDCC-585A-4241-A34F-BB72935F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EC8"/>
    <w:pPr>
      <w:spacing w:after="120" w:line="240" w:lineRule="auto"/>
    </w:pPr>
    <w:rPr>
      <w:rFonts w:ascii="Times New Roman" w:hAnsi="Times New Roman"/>
      <w:sz w:val="24"/>
    </w:rPr>
  </w:style>
  <w:style w:type="paragraph" w:styleId="Heading1">
    <w:name w:val="heading 1"/>
    <w:aliases w:val="Title Indo"/>
    <w:basedOn w:val="Normal"/>
    <w:next w:val="Normal"/>
    <w:link w:val="Heading1Char"/>
    <w:uiPriority w:val="9"/>
    <w:qFormat/>
    <w:rsid w:val="00FB7412"/>
    <w:pPr>
      <w:keepNext/>
      <w:keepLines/>
      <w:spacing w:before="240" w:after="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FB7412"/>
    <w:pPr>
      <w:keepNext/>
      <w:keepLines/>
      <w:spacing w:before="40" w:after="0"/>
      <w:outlineLvl w:val="1"/>
    </w:pPr>
    <w:rPr>
      <w:rFonts w:eastAsiaTheme="majorEastAsia" w:cstheme="majorBidi"/>
      <w:b/>
      <w:color w:val="2E74B5" w:themeColor="accent1" w:themeShade="BF"/>
      <w:sz w:val="26"/>
      <w:szCs w:val="26"/>
    </w:rPr>
  </w:style>
  <w:style w:type="paragraph" w:styleId="Heading3">
    <w:name w:val="heading 3"/>
    <w:aliases w:val="bericht3"/>
    <w:basedOn w:val="Normal"/>
    <w:next w:val="Normal"/>
    <w:link w:val="Heading3Char"/>
    <w:unhideWhenUsed/>
    <w:qFormat/>
    <w:rsid w:val="00FB7412"/>
    <w:pPr>
      <w:numPr>
        <w:ilvl w:val="2"/>
        <w:numId w:val="1"/>
      </w:numPr>
      <w:spacing w:before="240"/>
      <w:jc w:val="both"/>
      <w:outlineLvl w:val="2"/>
    </w:pPr>
    <w:rPr>
      <w:rFonts w:eastAsia="Times New Roman" w:cstheme="majorBidi"/>
      <w:b/>
      <w:color w:val="2E74B5" w:themeColor="accent1" w:themeShade="BF"/>
      <w:szCs w:val="20"/>
      <w:lang w:val="en-GB"/>
    </w:rPr>
  </w:style>
  <w:style w:type="paragraph" w:styleId="Heading4">
    <w:name w:val="heading 4"/>
    <w:basedOn w:val="Normal"/>
    <w:next w:val="Normal"/>
    <w:link w:val="Heading4Char"/>
    <w:uiPriority w:val="9"/>
    <w:qFormat/>
    <w:rsid w:val="00513EA2"/>
    <w:pPr>
      <w:keepNext/>
      <w:spacing w:before="240" w:after="60"/>
      <w:outlineLvl w:val="3"/>
    </w:pPr>
    <w:rPr>
      <w:rFonts w:eastAsia="Times New Roman" w:cs="Times New Roman"/>
      <w:b/>
      <w:bCs/>
      <w:szCs w:val="28"/>
      <w:lang w:val="en-GB" w:eastAsia="en-GB"/>
    </w:rPr>
  </w:style>
  <w:style w:type="paragraph" w:styleId="Heading5">
    <w:name w:val="heading 5"/>
    <w:basedOn w:val="Normal"/>
    <w:next w:val="Normal"/>
    <w:link w:val="Heading5Char"/>
    <w:uiPriority w:val="9"/>
    <w:qFormat/>
    <w:rsid w:val="00E13E80"/>
    <w:pPr>
      <w:spacing w:before="240" w:after="60"/>
      <w:outlineLvl w:val="4"/>
    </w:pPr>
    <w:rPr>
      <w:rFonts w:eastAsia="Times New Roman" w:cs="Times New Roman"/>
      <w:b/>
      <w:bCs/>
      <w:i/>
      <w:iCs/>
      <w:sz w:val="26"/>
      <w:szCs w:val="26"/>
      <w:lang w:val="en-GB" w:eastAsia="en-GB"/>
    </w:rPr>
  </w:style>
  <w:style w:type="paragraph" w:styleId="Heading6">
    <w:name w:val="heading 6"/>
    <w:basedOn w:val="Normal"/>
    <w:next w:val="Normal"/>
    <w:link w:val="Heading6Char"/>
    <w:qFormat/>
    <w:rsid w:val="00E13E80"/>
    <w:pPr>
      <w:numPr>
        <w:ilvl w:val="5"/>
        <w:numId w:val="5"/>
      </w:numPr>
      <w:tabs>
        <w:tab w:val="clear" w:pos="1152"/>
        <w:tab w:val="num" w:pos="360"/>
      </w:tabs>
      <w:spacing w:after="0"/>
      <w:ind w:left="360" w:hanging="360"/>
      <w:outlineLvl w:val="5"/>
    </w:pPr>
    <w:rPr>
      <w:rFonts w:ascii="Bembo" w:eastAsia="Times New Roman" w:hAnsi="Bembo" w:cs="Times New Roman"/>
      <w:szCs w:val="20"/>
      <w:lang w:val="en-GB"/>
    </w:rPr>
  </w:style>
  <w:style w:type="paragraph" w:styleId="Heading7">
    <w:name w:val="heading 7"/>
    <w:basedOn w:val="Normal"/>
    <w:next w:val="Normal"/>
    <w:link w:val="Heading7Char"/>
    <w:qFormat/>
    <w:rsid w:val="00E13E80"/>
    <w:pPr>
      <w:numPr>
        <w:ilvl w:val="6"/>
        <w:numId w:val="5"/>
      </w:numPr>
      <w:tabs>
        <w:tab w:val="clear" w:pos="1296"/>
        <w:tab w:val="num" w:pos="360"/>
      </w:tabs>
      <w:spacing w:after="0"/>
      <w:ind w:left="360" w:hanging="360"/>
      <w:outlineLvl w:val="6"/>
    </w:pPr>
    <w:rPr>
      <w:rFonts w:ascii="Bembo" w:eastAsia="Times New Roman" w:hAnsi="Bembo" w:cs="Times New Roman"/>
      <w:szCs w:val="20"/>
      <w:lang w:val="en-GB"/>
    </w:rPr>
  </w:style>
  <w:style w:type="paragraph" w:styleId="Heading8">
    <w:name w:val="heading 8"/>
    <w:basedOn w:val="Normal"/>
    <w:next w:val="Normal"/>
    <w:link w:val="Heading8Char"/>
    <w:qFormat/>
    <w:rsid w:val="00E13E80"/>
    <w:pPr>
      <w:numPr>
        <w:ilvl w:val="7"/>
        <w:numId w:val="5"/>
      </w:numPr>
      <w:tabs>
        <w:tab w:val="clear" w:pos="1440"/>
        <w:tab w:val="num" w:pos="360"/>
      </w:tabs>
      <w:spacing w:after="0"/>
      <w:ind w:left="360" w:hanging="360"/>
      <w:outlineLvl w:val="7"/>
    </w:pPr>
    <w:rPr>
      <w:rFonts w:ascii="Bembo" w:eastAsia="Times New Roman" w:hAnsi="Bembo" w:cs="Times New Roman"/>
      <w:szCs w:val="20"/>
      <w:lang w:val="en-GB"/>
    </w:rPr>
  </w:style>
  <w:style w:type="paragraph" w:styleId="Heading9">
    <w:name w:val="heading 9"/>
    <w:basedOn w:val="Normal"/>
    <w:next w:val="Normal"/>
    <w:link w:val="Heading9Char"/>
    <w:qFormat/>
    <w:rsid w:val="00E13E80"/>
    <w:pPr>
      <w:numPr>
        <w:ilvl w:val="8"/>
        <w:numId w:val="5"/>
      </w:numPr>
      <w:tabs>
        <w:tab w:val="clear" w:pos="1584"/>
        <w:tab w:val="num" w:pos="360"/>
      </w:tabs>
      <w:spacing w:after="0"/>
      <w:ind w:left="360" w:hanging="360"/>
      <w:outlineLvl w:val="8"/>
    </w:pPr>
    <w:rPr>
      <w:rFonts w:ascii="Bembo" w:eastAsia="Times New Roman" w:hAnsi="Bembo"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bericht3 Char"/>
    <w:basedOn w:val="DefaultParagraphFont"/>
    <w:link w:val="Heading3"/>
    <w:rsid w:val="00FB7412"/>
    <w:rPr>
      <w:rFonts w:ascii="Times New Roman" w:eastAsia="Times New Roman" w:hAnsi="Times New Roman" w:cstheme="majorBidi"/>
      <w:b/>
      <w:color w:val="2E74B5" w:themeColor="accent1" w:themeShade="BF"/>
      <w:sz w:val="24"/>
      <w:szCs w:val="20"/>
      <w:lang w:val="en-GB"/>
    </w:rPr>
  </w:style>
  <w:style w:type="paragraph" w:customStyle="1" w:styleId="Default">
    <w:name w:val="Default"/>
    <w:rsid w:val="005F4687"/>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unhideWhenUsed/>
    <w:rsid w:val="00C47750"/>
    <w:rPr>
      <w:sz w:val="16"/>
      <w:szCs w:val="16"/>
    </w:rPr>
  </w:style>
  <w:style w:type="paragraph" w:styleId="CommentText">
    <w:name w:val="annotation text"/>
    <w:basedOn w:val="Normal"/>
    <w:link w:val="CommentTextChar"/>
    <w:uiPriority w:val="99"/>
    <w:unhideWhenUsed/>
    <w:rsid w:val="00C47750"/>
    <w:rPr>
      <w:sz w:val="20"/>
      <w:szCs w:val="20"/>
    </w:rPr>
  </w:style>
  <w:style w:type="character" w:customStyle="1" w:styleId="CommentTextChar">
    <w:name w:val="Comment Text Char"/>
    <w:basedOn w:val="DefaultParagraphFont"/>
    <w:link w:val="CommentText"/>
    <w:uiPriority w:val="99"/>
    <w:rsid w:val="00C47750"/>
    <w:rPr>
      <w:sz w:val="20"/>
      <w:szCs w:val="20"/>
    </w:rPr>
  </w:style>
  <w:style w:type="paragraph" w:styleId="CommentSubject">
    <w:name w:val="annotation subject"/>
    <w:basedOn w:val="CommentText"/>
    <w:next w:val="CommentText"/>
    <w:link w:val="CommentSubjectChar"/>
    <w:uiPriority w:val="99"/>
    <w:semiHidden/>
    <w:unhideWhenUsed/>
    <w:rsid w:val="00C47750"/>
    <w:rPr>
      <w:b/>
      <w:bCs/>
    </w:rPr>
  </w:style>
  <w:style w:type="character" w:customStyle="1" w:styleId="CommentSubjectChar">
    <w:name w:val="Comment Subject Char"/>
    <w:basedOn w:val="CommentTextChar"/>
    <w:link w:val="CommentSubject"/>
    <w:uiPriority w:val="99"/>
    <w:semiHidden/>
    <w:rsid w:val="00C47750"/>
    <w:rPr>
      <w:b/>
      <w:bCs/>
      <w:sz w:val="20"/>
      <w:szCs w:val="20"/>
    </w:rPr>
  </w:style>
  <w:style w:type="paragraph" w:styleId="BalloonText">
    <w:name w:val="Balloon Text"/>
    <w:basedOn w:val="Normal"/>
    <w:link w:val="BalloonTextChar"/>
    <w:uiPriority w:val="99"/>
    <w:semiHidden/>
    <w:unhideWhenUsed/>
    <w:rsid w:val="00C477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750"/>
    <w:rPr>
      <w:rFonts w:ascii="Segoe UI" w:hAnsi="Segoe UI" w:cs="Segoe UI"/>
      <w:sz w:val="18"/>
      <w:szCs w:val="18"/>
    </w:rPr>
  </w:style>
  <w:style w:type="character" w:customStyle="1" w:styleId="Heading1Char">
    <w:name w:val="Heading 1 Char"/>
    <w:aliases w:val="Title Indo Char"/>
    <w:basedOn w:val="DefaultParagraphFont"/>
    <w:link w:val="Heading1"/>
    <w:uiPriority w:val="9"/>
    <w:rsid w:val="00FB7412"/>
    <w:rPr>
      <w:rFonts w:ascii="Times New Roman" w:eastAsiaTheme="majorEastAsia" w:hAnsi="Times New Roman" w:cstheme="majorBidi"/>
      <w:b/>
      <w:color w:val="2E74B5" w:themeColor="accent1" w:themeShade="BF"/>
      <w:sz w:val="32"/>
      <w:szCs w:val="32"/>
    </w:rPr>
  </w:style>
  <w:style w:type="character" w:customStyle="1" w:styleId="Heading2Char">
    <w:name w:val="Heading 2 Char"/>
    <w:basedOn w:val="DefaultParagraphFont"/>
    <w:link w:val="Heading2"/>
    <w:uiPriority w:val="9"/>
    <w:rsid w:val="00FB7412"/>
    <w:rPr>
      <w:rFonts w:ascii="Times New Roman" w:eastAsiaTheme="majorEastAsia" w:hAnsi="Times New Roman" w:cstheme="majorBidi"/>
      <w:b/>
      <w:color w:val="2E74B5" w:themeColor="accent1" w:themeShade="BF"/>
      <w:sz w:val="26"/>
      <w:szCs w:val="26"/>
    </w:rPr>
  </w:style>
  <w:style w:type="paragraph" w:styleId="TOCHeading">
    <w:name w:val="TOC Heading"/>
    <w:basedOn w:val="Heading1"/>
    <w:next w:val="Normal"/>
    <w:uiPriority w:val="39"/>
    <w:unhideWhenUsed/>
    <w:qFormat/>
    <w:rsid w:val="00FB7412"/>
    <w:pPr>
      <w:outlineLvl w:val="9"/>
    </w:pPr>
    <w:rPr>
      <w:rFonts w:asciiTheme="majorHAnsi" w:hAnsiTheme="majorHAnsi"/>
      <w:b w:val="0"/>
    </w:rPr>
  </w:style>
  <w:style w:type="paragraph" w:styleId="TOC1">
    <w:name w:val="toc 1"/>
    <w:basedOn w:val="Normal"/>
    <w:next w:val="Normal"/>
    <w:autoRedefine/>
    <w:uiPriority w:val="39"/>
    <w:unhideWhenUsed/>
    <w:qFormat/>
    <w:rsid w:val="00384DA4"/>
    <w:pPr>
      <w:tabs>
        <w:tab w:val="left" w:pos="440"/>
        <w:tab w:val="right" w:leader="dot" w:pos="9017"/>
      </w:tabs>
      <w:spacing w:after="100"/>
    </w:pPr>
    <w:rPr>
      <w:noProof/>
    </w:rPr>
  </w:style>
  <w:style w:type="paragraph" w:styleId="TOC2">
    <w:name w:val="toc 2"/>
    <w:basedOn w:val="Normal"/>
    <w:next w:val="Normal"/>
    <w:autoRedefine/>
    <w:uiPriority w:val="39"/>
    <w:unhideWhenUsed/>
    <w:qFormat/>
    <w:rsid w:val="005B51FB"/>
    <w:pPr>
      <w:tabs>
        <w:tab w:val="left" w:pos="880"/>
        <w:tab w:val="right" w:leader="dot" w:pos="9017"/>
      </w:tabs>
      <w:spacing w:after="100"/>
      <w:ind w:left="220"/>
    </w:pPr>
  </w:style>
  <w:style w:type="paragraph" w:styleId="TOC3">
    <w:name w:val="toc 3"/>
    <w:basedOn w:val="Normal"/>
    <w:next w:val="Normal"/>
    <w:autoRedefine/>
    <w:uiPriority w:val="39"/>
    <w:unhideWhenUsed/>
    <w:qFormat/>
    <w:rsid w:val="00B50370"/>
    <w:pPr>
      <w:tabs>
        <w:tab w:val="left" w:pos="900"/>
        <w:tab w:val="right" w:leader="dot" w:pos="9017"/>
      </w:tabs>
      <w:spacing w:after="100"/>
      <w:ind w:left="440" w:hanging="170"/>
    </w:pPr>
    <w:rPr>
      <w:rFonts w:cs="Times New Roman"/>
      <w:noProof/>
    </w:rPr>
  </w:style>
  <w:style w:type="character" w:styleId="Hyperlink">
    <w:name w:val="Hyperlink"/>
    <w:basedOn w:val="DefaultParagraphFont"/>
    <w:uiPriority w:val="99"/>
    <w:unhideWhenUsed/>
    <w:rsid w:val="00FB7412"/>
    <w:rPr>
      <w:color w:val="0563C1" w:themeColor="hyperlink"/>
      <w:u w:val="single"/>
    </w:rPr>
  </w:style>
  <w:style w:type="paragraph" w:styleId="ListParagraph">
    <w:name w:val="List Paragraph"/>
    <w:aliases w:val="Style Bullet,Numbered Para 1,Dot pt,No Spacing1,List Paragraph Char Char Char,Indicator Text,Bullet Points,Bullet 1,MAIN CONTENT,List Paragraph12,F5 List Paragraph,OBC Bullet,Colorful List - Accent 11,Normal numbered,List_Paragraph,6,lp1"/>
    <w:basedOn w:val="Normal"/>
    <w:link w:val="ListParagraphChar"/>
    <w:uiPriority w:val="34"/>
    <w:qFormat/>
    <w:rsid w:val="001D398C"/>
    <w:pPr>
      <w:ind w:left="720"/>
      <w:contextualSpacing/>
    </w:pPr>
  </w:style>
  <w:style w:type="paragraph" w:customStyle="1" w:styleId="Char">
    <w:name w:val="Char"/>
    <w:basedOn w:val="Normal"/>
    <w:rsid w:val="003C24DB"/>
    <w:pPr>
      <w:spacing w:line="240" w:lineRule="exact"/>
    </w:pPr>
    <w:rPr>
      <w:rFonts w:ascii="Verdana" w:eastAsia="Times New Roman" w:hAnsi="Verdana" w:cs="Times New Roman"/>
      <w:sz w:val="20"/>
      <w:szCs w:val="20"/>
    </w:rPr>
  </w:style>
  <w:style w:type="paragraph" w:styleId="BodyText">
    <w:name w:val="Body Text"/>
    <w:aliases w:val="Body Text Char1,Body Text Char Char,Body Text Char1 Char2 Char,Body Text Char Char Char2 Char,Body Text Char2 Char Char Char Char,Body Text Char Char1 Char Char1 Char Char,bt Char1 Char Char Char1 Char Char"/>
    <w:basedOn w:val="Normal"/>
    <w:link w:val="BodyTextChar"/>
    <w:unhideWhenUsed/>
    <w:rsid w:val="003C24DB"/>
    <w:pPr>
      <w:spacing w:line="262" w:lineRule="exact"/>
      <w:jc w:val="both"/>
    </w:pPr>
    <w:rPr>
      <w:rFonts w:ascii="Arial" w:eastAsia="Times New Roman" w:hAnsi="Arial" w:cs="Times New Roman"/>
      <w:sz w:val="20"/>
      <w:szCs w:val="20"/>
      <w:lang w:val="uz-Cyrl-UZ" w:eastAsia="de-DE"/>
    </w:rPr>
  </w:style>
  <w:style w:type="character" w:customStyle="1" w:styleId="BodyTextChar">
    <w:name w:val="Body Text Char"/>
    <w:aliases w:val="Body Text Char1 Char,Body Text Char Char Char,Body Text Char1 Char2 Char Char,Body Text Char Char Char2 Char Char,Body Text Char2 Char Char Char Char Char,Body Text Char Char1 Char Char1 Char Char Char"/>
    <w:basedOn w:val="DefaultParagraphFont"/>
    <w:link w:val="BodyText"/>
    <w:rsid w:val="003C24DB"/>
    <w:rPr>
      <w:rFonts w:ascii="Arial" w:eastAsia="Times New Roman" w:hAnsi="Arial" w:cs="Times New Roman"/>
      <w:sz w:val="20"/>
      <w:szCs w:val="20"/>
      <w:lang w:val="uz-Cyrl-UZ" w:eastAsia="de-DE"/>
    </w:rPr>
  </w:style>
  <w:style w:type="character" w:customStyle="1" w:styleId="ListParagraphChar">
    <w:name w:val="List Paragraph Char"/>
    <w:aliases w:val="Style Bullet Char,Numbered Para 1 Char,Dot pt Char,No Spacing1 Char,List Paragraph Char Char Char Char,Indicator Text Char,Bullet Points Char,Bullet 1 Char,MAIN CONTENT Char,List Paragraph12 Char,F5 List Paragraph Char,6 Char"/>
    <w:basedOn w:val="DefaultParagraphFont"/>
    <w:link w:val="ListParagraph"/>
    <w:uiPriority w:val="34"/>
    <w:qFormat/>
    <w:locked/>
    <w:rsid w:val="001057D8"/>
  </w:style>
  <w:style w:type="paragraph" w:customStyle="1" w:styleId="a">
    <w:name w:val="_цртице"/>
    <w:basedOn w:val="Normal"/>
    <w:qFormat/>
    <w:rsid w:val="001057D8"/>
    <w:pPr>
      <w:numPr>
        <w:numId w:val="3"/>
      </w:numPr>
      <w:spacing w:after="0"/>
      <w:ind w:left="284" w:firstLine="0"/>
      <w:jc w:val="both"/>
    </w:pPr>
    <w:rPr>
      <w:rFonts w:eastAsia="Calibri" w:cs="Times New Roman"/>
    </w:rPr>
  </w:style>
  <w:style w:type="paragraph" w:styleId="PlainText">
    <w:name w:val="Plain Text"/>
    <w:basedOn w:val="Normal"/>
    <w:link w:val="PlainTextChar"/>
    <w:uiPriority w:val="99"/>
    <w:rsid w:val="001057D8"/>
    <w:pPr>
      <w:spacing w:after="0"/>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uiPriority w:val="99"/>
    <w:rsid w:val="001057D8"/>
    <w:rPr>
      <w:rFonts w:ascii="Courier New" w:eastAsia="Times New Roman" w:hAnsi="Courier New" w:cs="Courier New"/>
      <w:sz w:val="20"/>
      <w:szCs w:val="20"/>
      <w:lang w:val="en-GB" w:eastAsia="en-GB"/>
    </w:rPr>
  </w:style>
  <w:style w:type="character" w:customStyle="1" w:styleId="shorttext">
    <w:name w:val="short_text"/>
    <w:rsid w:val="001057D8"/>
  </w:style>
  <w:style w:type="paragraph" w:styleId="Caption">
    <w:name w:val="caption"/>
    <w:aliases w:val="Legend,Map Char,Map Char Char,Map Char Char Char Char Char,Map Char Char Char,Map,Caption Char Char Car Car,Caption Char Char Car Car Car,Map Char Char Char Car Car,Caption Char Char,Caption Char Char Char Char,Table,Annotation_for_Figures"/>
    <w:basedOn w:val="Normal"/>
    <w:next w:val="Normal"/>
    <w:link w:val="CaptionChar"/>
    <w:unhideWhenUsed/>
    <w:qFormat/>
    <w:rsid w:val="009113F6"/>
    <w:pPr>
      <w:spacing w:line="262" w:lineRule="exact"/>
      <w:jc w:val="both"/>
    </w:pPr>
    <w:rPr>
      <w:rFonts w:ascii="Arial" w:eastAsia="Times New Roman" w:hAnsi="Arial" w:cs="Times New Roman"/>
      <w:b/>
      <w:bCs/>
      <w:sz w:val="20"/>
      <w:szCs w:val="20"/>
      <w:lang w:val="uz-Cyrl-UZ" w:eastAsia="de-DE"/>
    </w:rPr>
  </w:style>
  <w:style w:type="character" w:customStyle="1" w:styleId="CaptionChar">
    <w:name w:val="Caption Char"/>
    <w:aliases w:val="Legend Char,Map Char Char1,Map Char Char Char1,Map Char Char Char Char Char Char,Map Char Char Char Char,Map Char1,Caption Char Char Car Car Char,Caption Char Char Car Car Car Char,Map Char Char Char Car Car Char,Caption Char Char Char"/>
    <w:link w:val="Caption"/>
    <w:locked/>
    <w:rsid w:val="009113F6"/>
    <w:rPr>
      <w:rFonts w:ascii="Arial" w:eastAsia="Times New Roman" w:hAnsi="Arial" w:cs="Times New Roman"/>
      <w:b/>
      <w:bCs/>
      <w:sz w:val="20"/>
      <w:szCs w:val="20"/>
      <w:lang w:val="uz-Cyrl-UZ" w:eastAsia="de-DE"/>
    </w:rPr>
  </w:style>
  <w:style w:type="paragraph" w:styleId="FootnoteText">
    <w:name w:val="footnote text"/>
    <w:aliases w:val="single space,ft,Footnote Text Char Char Char Char,Footnote Text Char Char Char,Footnote Text Char Char,footnote text,ft Char Char Char,ft Char Char,Fußnote,FOOTNOTES,fn,F1,Geneva 9,Boston 1,Footnote Text Char2,ADB,Footnote text,f,Car Car,A"/>
    <w:basedOn w:val="Normal"/>
    <w:link w:val="FootnoteTextChar"/>
    <w:uiPriority w:val="99"/>
    <w:qFormat/>
    <w:rsid w:val="00566EA3"/>
    <w:pPr>
      <w:spacing w:before="40" w:after="0" w:line="262" w:lineRule="exact"/>
      <w:ind w:left="142" w:hanging="142"/>
      <w:jc w:val="both"/>
    </w:pPr>
    <w:rPr>
      <w:rFonts w:ascii="Arial" w:eastAsia="Times New Roman" w:hAnsi="Arial" w:cs="Times New Roman"/>
      <w:sz w:val="16"/>
      <w:szCs w:val="20"/>
      <w:lang w:val="uz-Cyrl-UZ" w:eastAsia="de-DE"/>
    </w:rPr>
  </w:style>
  <w:style w:type="character" w:customStyle="1" w:styleId="FootnoteTextChar">
    <w:name w:val="Footnote Text Char"/>
    <w:aliases w:val="single space Char,ft Char,Footnote Text Char Char Char Char Char,Footnote Text Char Char Char Char1,Footnote Text Char Char Char1,footnote text Char,ft Char Char Char Char,ft Char Char Char1,Fußnote Char,FOOTNOTES Char,fn Char,F1 Char"/>
    <w:basedOn w:val="DefaultParagraphFont"/>
    <w:link w:val="FootnoteText"/>
    <w:uiPriority w:val="99"/>
    <w:qFormat/>
    <w:rsid w:val="00566EA3"/>
    <w:rPr>
      <w:rFonts w:ascii="Arial" w:eastAsia="Times New Roman" w:hAnsi="Arial" w:cs="Times New Roman"/>
      <w:sz w:val="16"/>
      <w:szCs w:val="20"/>
      <w:lang w:val="uz-Cyrl-UZ" w:eastAsia="de-DE"/>
    </w:rPr>
  </w:style>
  <w:style w:type="character" w:styleId="FootnoteReference">
    <w:name w:val="footnote reference"/>
    <w:aliases w:val="BVI fnr Char Char,Footnotes refss Char Char,ftref Char Char,16 Point Char Char,Superscript 6 Point Char Char,Footnote Reference Number Char Char,nota pié di pagina Char Char,Times 10 Point Char Char,Exposant 3 Point Char Char,ftref,Re"/>
    <w:link w:val="BVIfnrChar"/>
    <w:uiPriority w:val="99"/>
    <w:qFormat/>
    <w:rsid w:val="00566EA3"/>
    <w:rPr>
      <w:rFonts w:ascii="Arial" w:hAnsi="Arial"/>
      <w:vertAlign w:val="superscript"/>
    </w:rPr>
  </w:style>
  <w:style w:type="table" w:customStyle="1" w:styleId="Tabellenraster4">
    <w:name w:val="Tabellenraster4"/>
    <w:basedOn w:val="TableNormal"/>
    <w:next w:val="TableGrid"/>
    <w:uiPriority w:val="59"/>
    <w:rsid w:val="00566EA3"/>
    <w:pPr>
      <w:spacing w:after="0" w:line="240" w:lineRule="auto"/>
    </w:pPr>
    <w:rPr>
      <w:rFonts w:ascii="Tms Rmn" w:eastAsia="Times New Roman" w:hAnsi="Tms Rmn" w:cs="Times New Roman"/>
      <w:sz w:val="20"/>
      <w:szCs w:val="20"/>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 Exposant 3 Point Ch"/>
    <w:basedOn w:val="Normal"/>
    <w:link w:val="FootnoteReference"/>
    <w:uiPriority w:val="99"/>
    <w:rsid w:val="00566EA3"/>
    <w:pPr>
      <w:spacing w:after="0"/>
    </w:pPr>
    <w:rPr>
      <w:rFonts w:ascii="Arial" w:hAnsi="Arial"/>
      <w:vertAlign w:val="superscript"/>
    </w:rPr>
  </w:style>
  <w:style w:type="table" w:styleId="TableGrid">
    <w:name w:val="Table Grid"/>
    <w:basedOn w:val="TableNormal"/>
    <w:uiPriority w:val="39"/>
    <w:rsid w:val="00566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6859C9"/>
    <w:pPr>
      <w:spacing w:after="200" w:line="240" w:lineRule="auto"/>
    </w:pPr>
    <w:rPr>
      <w:rFonts w:ascii="Calibri" w:eastAsia="Calibri" w:hAnsi="Calibri" w:cs="Calibri"/>
    </w:rPr>
  </w:style>
  <w:style w:type="table" w:customStyle="1" w:styleId="21">
    <w:name w:val="21"/>
    <w:basedOn w:val="TableNormal"/>
    <w:rsid w:val="008A2155"/>
    <w:pPr>
      <w:spacing w:after="20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16">
    <w:name w:val="16"/>
    <w:basedOn w:val="TableNormal"/>
    <w:rsid w:val="00F42507"/>
    <w:pPr>
      <w:spacing w:after="20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Tabellenraster11">
    <w:name w:val="Tabellenraster11"/>
    <w:basedOn w:val="TableNormal"/>
    <w:next w:val="TableGrid"/>
    <w:uiPriority w:val="59"/>
    <w:rsid w:val="004B0C01"/>
    <w:pPr>
      <w:spacing w:after="0" w:line="240" w:lineRule="auto"/>
    </w:pPr>
    <w:rPr>
      <w:rFonts w:ascii="Tms Rmn" w:eastAsia="Times New Roman" w:hAnsi="Tms Rm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4">
    <w:name w:val="Char4"/>
    <w:basedOn w:val="Normal"/>
    <w:rsid w:val="004B0C01"/>
    <w:pPr>
      <w:spacing w:line="240" w:lineRule="exact"/>
    </w:pPr>
    <w:rPr>
      <w:rFonts w:ascii="Verdana" w:eastAsia="Times New Roman" w:hAnsi="Verdana" w:cs="Times New Roman"/>
      <w:sz w:val="20"/>
      <w:szCs w:val="20"/>
    </w:rPr>
  </w:style>
  <w:style w:type="paragraph" w:customStyle="1" w:styleId="DSIPbullets">
    <w:name w:val="DSIP bullets"/>
    <w:basedOn w:val="Normal"/>
    <w:next w:val="Normal"/>
    <w:qFormat/>
    <w:rsid w:val="00B830E3"/>
    <w:pPr>
      <w:numPr>
        <w:numId w:val="4"/>
      </w:numPr>
      <w:spacing w:before="120"/>
      <w:contextualSpacing/>
      <w:jc w:val="both"/>
    </w:pPr>
    <w:rPr>
      <w:rFonts w:eastAsia="Cambria" w:cs="Times New Roman"/>
      <w:szCs w:val="24"/>
    </w:rPr>
  </w:style>
  <w:style w:type="character" w:customStyle="1" w:styleId="tlid-translation">
    <w:name w:val="tlid-translation"/>
    <w:rsid w:val="00B830E3"/>
  </w:style>
  <w:style w:type="paragraph" w:customStyle="1" w:styleId="Latinica">
    <w:name w:val="Latinica"/>
    <w:basedOn w:val="Normal"/>
    <w:rsid w:val="00C74201"/>
    <w:pPr>
      <w:spacing w:after="0"/>
    </w:pPr>
    <w:rPr>
      <w:rFonts w:ascii="Yu Helvetica" w:eastAsia="Times New Roman" w:hAnsi="Yu Helvetica" w:cs="Times New Roman"/>
      <w:sz w:val="20"/>
      <w:szCs w:val="20"/>
      <w:lang w:val="sr-Latn-CS"/>
    </w:rPr>
  </w:style>
  <w:style w:type="table" w:customStyle="1" w:styleId="28">
    <w:name w:val="28"/>
    <w:basedOn w:val="TableNormal"/>
    <w:rsid w:val="00521204"/>
    <w:pPr>
      <w:spacing w:after="200" w:line="240" w:lineRule="auto"/>
    </w:pPr>
    <w:rPr>
      <w:rFonts w:ascii="Calibri" w:eastAsia="Calibri" w:hAnsi="Calibri" w:cs="Calibri"/>
    </w:rPr>
    <w:tblPr>
      <w:tblStyleRowBandSize w:val="1"/>
      <w:tblStyleColBandSize w:val="1"/>
      <w:tblCellMar>
        <w:left w:w="115" w:type="dxa"/>
        <w:right w:w="115" w:type="dxa"/>
      </w:tblCellMar>
    </w:tblPr>
  </w:style>
  <w:style w:type="paragraph" w:customStyle="1" w:styleId="DSIPbody">
    <w:name w:val="DSIP body"/>
    <w:basedOn w:val="Normal"/>
    <w:uiPriority w:val="99"/>
    <w:qFormat/>
    <w:rsid w:val="009E1025"/>
    <w:pPr>
      <w:spacing w:before="120"/>
      <w:jc w:val="both"/>
    </w:pPr>
    <w:rPr>
      <w:rFonts w:ascii="Cambria" w:eastAsia="Cambria" w:hAnsi="Cambria" w:cs="Times New Roman"/>
      <w:szCs w:val="24"/>
      <w:lang w:val="en-GB"/>
    </w:rPr>
  </w:style>
  <w:style w:type="paragraph" w:styleId="NoSpacing">
    <w:name w:val="No Spacing"/>
    <w:link w:val="NoSpacingChar"/>
    <w:uiPriority w:val="1"/>
    <w:qFormat/>
    <w:rsid w:val="002C37FE"/>
    <w:pPr>
      <w:spacing w:after="0" w:line="240" w:lineRule="auto"/>
      <w:jc w:val="both"/>
    </w:pPr>
    <w:rPr>
      <w:rFonts w:ascii="Arial" w:eastAsia="Times New Roman" w:hAnsi="Arial" w:cs="Times New Roman"/>
      <w:sz w:val="20"/>
      <w:szCs w:val="20"/>
      <w:lang w:val="en-GB" w:eastAsia="de-DE"/>
    </w:rPr>
  </w:style>
  <w:style w:type="character" w:customStyle="1" w:styleId="NoSpacingChar">
    <w:name w:val="No Spacing Char"/>
    <w:basedOn w:val="DefaultParagraphFont"/>
    <w:link w:val="NoSpacing"/>
    <w:uiPriority w:val="1"/>
    <w:rsid w:val="002C37FE"/>
    <w:rPr>
      <w:rFonts w:ascii="Arial" w:eastAsia="Times New Roman" w:hAnsi="Arial" w:cs="Times New Roman"/>
      <w:sz w:val="20"/>
      <w:szCs w:val="20"/>
      <w:lang w:val="en-GB" w:eastAsia="de-DE"/>
    </w:rPr>
  </w:style>
  <w:style w:type="paragraph" w:styleId="Header">
    <w:name w:val="header"/>
    <w:basedOn w:val="Normal"/>
    <w:link w:val="HeaderChar"/>
    <w:uiPriority w:val="99"/>
    <w:unhideWhenUsed/>
    <w:rsid w:val="00865F2F"/>
    <w:pPr>
      <w:tabs>
        <w:tab w:val="center" w:pos="4680"/>
        <w:tab w:val="right" w:pos="9360"/>
      </w:tabs>
      <w:spacing w:after="0"/>
    </w:pPr>
  </w:style>
  <w:style w:type="character" w:customStyle="1" w:styleId="HeaderChar">
    <w:name w:val="Header Char"/>
    <w:basedOn w:val="DefaultParagraphFont"/>
    <w:link w:val="Header"/>
    <w:uiPriority w:val="99"/>
    <w:rsid w:val="00865F2F"/>
  </w:style>
  <w:style w:type="paragraph" w:styleId="Footer">
    <w:name w:val="footer"/>
    <w:aliases w:val=" Char Char,Char Char"/>
    <w:basedOn w:val="Normal"/>
    <w:link w:val="FooterChar"/>
    <w:uiPriority w:val="99"/>
    <w:unhideWhenUsed/>
    <w:rsid w:val="00865F2F"/>
    <w:pPr>
      <w:tabs>
        <w:tab w:val="center" w:pos="4680"/>
        <w:tab w:val="right" w:pos="9360"/>
      </w:tabs>
      <w:spacing w:after="0"/>
    </w:pPr>
  </w:style>
  <w:style w:type="character" w:customStyle="1" w:styleId="FooterChar">
    <w:name w:val="Footer Char"/>
    <w:aliases w:val=" Char Char Char,Char Char Char1"/>
    <w:basedOn w:val="DefaultParagraphFont"/>
    <w:link w:val="Footer"/>
    <w:uiPriority w:val="99"/>
    <w:rsid w:val="00865F2F"/>
  </w:style>
  <w:style w:type="paragraph" w:customStyle="1" w:styleId="Char3">
    <w:name w:val="Char3"/>
    <w:basedOn w:val="Normal"/>
    <w:rsid w:val="00222DD4"/>
    <w:pPr>
      <w:spacing w:line="240" w:lineRule="exact"/>
    </w:pPr>
    <w:rPr>
      <w:rFonts w:ascii="Verdana" w:eastAsia="Times New Roman" w:hAnsi="Verdana" w:cs="Times New Roman"/>
      <w:sz w:val="20"/>
      <w:szCs w:val="20"/>
    </w:rPr>
  </w:style>
  <w:style w:type="paragraph" w:customStyle="1" w:styleId="a0">
    <w:name w:val="_текст"/>
    <w:basedOn w:val="Normal"/>
    <w:qFormat/>
    <w:rsid w:val="00222DD4"/>
    <w:pPr>
      <w:spacing w:after="0"/>
      <w:ind w:firstLine="284"/>
      <w:jc w:val="both"/>
    </w:pPr>
    <w:rPr>
      <w:rFonts w:eastAsia="Calibri" w:cs="Times New Roman"/>
    </w:rPr>
  </w:style>
  <w:style w:type="paragraph" w:customStyle="1" w:styleId="basic-paragraph">
    <w:name w:val="basic-paragraph"/>
    <w:basedOn w:val="Normal"/>
    <w:qFormat/>
    <w:rsid w:val="00566A13"/>
    <w:pPr>
      <w:spacing w:before="100" w:beforeAutospacing="1" w:after="100" w:afterAutospacing="1"/>
    </w:pPr>
    <w:rPr>
      <w:rFonts w:eastAsia="Times New Roman" w:cs="Times New Roman"/>
      <w:szCs w:val="24"/>
    </w:rPr>
  </w:style>
  <w:style w:type="character" w:styleId="PageNumber">
    <w:name w:val="page number"/>
    <w:basedOn w:val="DefaultParagraphFont"/>
    <w:uiPriority w:val="99"/>
    <w:rsid w:val="00B838FD"/>
  </w:style>
  <w:style w:type="paragraph" w:customStyle="1" w:styleId="StyleBodyTextIndentArial">
    <w:name w:val="Style Body Text Indent + Arial"/>
    <w:basedOn w:val="BodyTextIndent"/>
    <w:rsid w:val="00F24DD5"/>
    <w:pPr>
      <w:spacing w:after="0"/>
      <w:ind w:left="0"/>
      <w:jc w:val="both"/>
    </w:pPr>
    <w:rPr>
      <w:rFonts w:ascii="Arial" w:eastAsia="Times New Roman" w:hAnsi="Arial" w:cs="Times New Roman"/>
      <w:szCs w:val="24"/>
      <w:lang w:val="sl-SI"/>
    </w:rPr>
  </w:style>
  <w:style w:type="paragraph" w:styleId="BodyTextIndent">
    <w:name w:val="Body Text Indent"/>
    <w:basedOn w:val="Normal"/>
    <w:link w:val="BodyTextIndentChar"/>
    <w:unhideWhenUsed/>
    <w:rsid w:val="00F24DD5"/>
    <w:pPr>
      <w:ind w:left="360"/>
    </w:pPr>
  </w:style>
  <w:style w:type="character" w:customStyle="1" w:styleId="BodyTextIndentChar">
    <w:name w:val="Body Text Indent Char"/>
    <w:basedOn w:val="DefaultParagraphFont"/>
    <w:link w:val="BodyTextIndent"/>
    <w:uiPriority w:val="99"/>
    <w:semiHidden/>
    <w:rsid w:val="00F24DD5"/>
  </w:style>
  <w:style w:type="character" w:customStyle="1" w:styleId="Heading4Char">
    <w:name w:val="Heading 4 Char"/>
    <w:basedOn w:val="DefaultParagraphFont"/>
    <w:link w:val="Heading4"/>
    <w:uiPriority w:val="9"/>
    <w:rsid w:val="00513EA2"/>
    <w:rPr>
      <w:rFonts w:ascii="Times New Roman" w:eastAsia="Times New Roman" w:hAnsi="Times New Roman" w:cs="Times New Roman"/>
      <w:b/>
      <w:bCs/>
      <w:sz w:val="24"/>
      <w:szCs w:val="28"/>
      <w:lang w:val="en-GB" w:eastAsia="en-GB"/>
    </w:rPr>
  </w:style>
  <w:style w:type="character" w:customStyle="1" w:styleId="Heading5Char">
    <w:name w:val="Heading 5 Char"/>
    <w:basedOn w:val="DefaultParagraphFont"/>
    <w:link w:val="Heading5"/>
    <w:uiPriority w:val="9"/>
    <w:rsid w:val="00E13E80"/>
    <w:rPr>
      <w:rFonts w:ascii="Times New Roman" w:eastAsia="Times New Roman" w:hAnsi="Times New Roman" w:cs="Times New Roman"/>
      <w:b/>
      <w:bCs/>
      <w:i/>
      <w:iCs/>
      <w:sz w:val="26"/>
      <w:szCs w:val="26"/>
      <w:lang w:val="en-GB" w:eastAsia="en-GB"/>
    </w:rPr>
  </w:style>
  <w:style w:type="character" w:customStyle="1" w:styleId="Heading6Char">
    <w:name w:val="Heading 6 Char"/>
    <w:basedOn w:val="DefaultParagraphFont"/>
    <w:link w:val="Heading6"/>
    <w:rsid w:val="00E13E80"/>
    <w:rPr>
      <w:rFonts w:ascii="Bembo" w:eastAsia="Times New Roman" w:hAnsi="Bembo" w:cs="Times New Roman"/>
      <w:sz w:val="24"/>
      <w:szCs w:val="20"/>
      <w:lang w:val="en-GB"/>
    </w:rPr>
  </w:style>
  <w:style w:type="character" w:customStyle="1" w:styleId="Heading7Char">
    <w:name w:val="Heading 7 Char"/>
    <w:basedOn w:val="DefaultParagraphFont"/>
    <w:link w:val="Heading7"/>
    <w:rsid w:val="00E13E80"/>
    <w:rPr>
      <w:rFonts w:ascii="Bembo" w:eastAsia="Times New Roman" w:hAnsi="Bembo" w:cs="Times New Roman"/>
      <w:sz w:val="24"/>
      <w:szCs w:val="20"/>
      <w:lang w:val="en-GB"/>
    </w:rPr>
  </w:style>
  <w:style w:type="character" w:customStyle="1" w:styleId="Heading8Char">
    <w:name w:val="Heading 8 Char"/>
    <w:basedOn w:val="DefaultParagraphFont"/>
    <w:link w:val="Heading8"/>
    <w:rsid w:val="00E13E80"/>
    <w:rPr>
      <w:rFonts w:ascii="Bembo" w:eastAsia="Times New Roman" w:hAnsi="Bembo" w:cs="Times New Roman"/>
      <w:sz w:val="24"/>
      <w:szCs w:val="20"/>
      <w:lang w:val="en-GB"/>
    </w:rPr>
  </w:style>
  <w:style w:type="character" w:customStyle="1" w:styleId="Heading9Char">
    <w:name w:val="Heading 9 Char"/>
    <w:basedOn w:val="DefaultParagraphFont"/>
    <w:link w:val="Heading9"/>
    <w:rsid w:val="00E13E80"/>
    <w:rPr>
      <w:rFonts w:ascii="Bembo" w:eastAsia="Times New Roman" w:hAnsi="Bembo" w:cs="Times New Roman"/>
      <w:sz w:val="24"/>
      <w:szCs w:val="20"/>
      <w:lang w:val="en-GB"/>
    </w:rPr>
  </w:style>
  <w:style w:type="paragraph" w:customStyle="1" w:styleId="T-98bezuvl">
    <w:name w:val="T-9/8 bez uvl"/>
    <w:basedOn w:val="Normal"/>
    <w:rsid w:val="00E13E80"/>
    <w:pPr>
      <w:autoSpaceDE w:val="0"/>
      <w:autoSpaceDN w:val="0"/>
      <w:adjustRightInd w:val="0"/>
      <w:spacing w:after="43" w:line="210" w:lineRule="atLeast"/>
      <w:jc w:val="both"/>
    </w:pPr>
    <w:rPr>
      <w:rFonts w:ascii="Minion Pro Cond" w:eastAsia="Times New Roman" w:hAnsi="Minion Pro Cond" w:cs="Times New Roman"/>
      <w:color w:val="000000"/>
      <w:w w:val="95"/>
      <w:sz w:val="20"/>
      <w:szCs w:val="20"/>
      <w:lang w:val="en-GB" w:eastAsia="en-GB"/>
    </w:rPr>
  </w:style>
  <w:style w:type="paragraph" w:customStyle="1" w:styleId="Noparagraphstyle">
    <w:name w:val="[No paragraph style]"/>
    <w:rsid w:val="00E13E80"/>
    <w:pPr>
      <w:autoSpaceDE w:val="0"/>
      <w:autoSpaceDN w:val="0"/>
      <w:adjustRightInd w:val="0"/>
      <w:spacing w:after="0" w:line="288" w:lineRule="auto"/>
    </w:pPr>
    <w:rPr>
      <w:rFonts w:ascii="Minion Pro Cond" w:eastAsia="Times New Roman" w:hAnsi="Minion Pro Cond" w:cs="Times New Roman"/>
      <w:color w:val="000000"/>
      <w:sz w:val="24"/>
      <w:szCs w:val="24"/>
      <w:lang w:val="en-GB" w:eastAsia="en-GB"/>
    </w:rPr>
  </w:style>
  <w:style w:type="paragraph" w:styleId="NormalWeb">
    <w:name w:val="Normal (Web)"/>
    <w:basedOn w:val="Normal"/>
    <w:uiPriority w:val="99"/>
    <w:rsid w:val="00E13E80"/>
    <w:pPr>
      <w:spacing w:before="100" w:beforeAutospacing="1" w:after="100" w:afterAutospacing="1"/>
    </w:pPr>
    <w:rPr>
      <w:rFonts w:eastAsia="Times New Roman" w:cs="Times New Roman"/>
      <w:szCs w:val="24"/>
      <w:lang w:val="en-GB" w:eastAsia="en-GB"/>
    </w:rPr>
  </w:style>
  <w:style w:type="paragraph" w:customStyle="1" w:styleId="potpisnik">
    <w:name w:val="potpisnik"/>
    <w:basedOn w:val="Normal"/>
    <w:rsid w:val="00E13E80"/>
    <w:pPr>
      <w:spacing w:after="0"/>
      <w:jc w:val="center"/>
    </w:pPr>
    <w:rPr>
      <w:rFonts w:eastAsia="Times New Roman" w:cs="Times New Roman"/>
      <w:szCs w:val="24"/>
      <w:lang w:val="en-GB" w:eastAsia="en-GB"/>
    </w:rPr>
  </w:style>
  <w:style w:type="paragraph" w:styleId="BodyText2">
    <w:name w:val="Body Text 2"/>
    <w:basedOn w:val="Normal"/>
    <w:link w:val="BodyText2Char"/>
    <w:rsid w:val="00E13E80"/>
    <w:pPr>
      <w:spacing w:line="480" w:lineRule="auto"/>
    </w:pPr>
    <w:rPr>
      <w:rFonts w:eastAsia="Times New Roman" w:cs="Times New Roman"/>
      <w:szCs w:val="24"/>
      <w:lang w:val="en-GB" w:eastAsia="en-GB"/>
    </w:rPr>
  </w:style>
  <w:style w:type="character" w:customStyle="1" w:styleId="BodyText2Char">
    <w:name w:val="Body Text 2 Char"/>
    <w:basedOn w:val="DefaultParagraphFont"/>
    <w:link w:val="BodyText2"/>
    <w:rsid w:val="00E13E80"/>
    <w:rPr>
      <w:rFonts w:ascii="Times New Roman" w:eastAsia="Times New Roman" w:hAnsi="Times New Roman" w:cs="Times New Roman"/>
      <w:sz w:val="24"/>
      <w:szCs w:val="24"/>
      <w:lang w:val="en-GB" w:eastAsia="en-GB"/>
    </w:rPr>
  </w:style>
  <w:style w:type="paragraph" w:styleId="BodyText3">
    <w:name w:val="Body Text 3"/>
    <w:basedOn w:val="Normal"/>
    <w:link w:val="BodyText3Char"/>
    <w:rsid w:val="00E13E80"/>
    <w:rPr>
      <w:rFonts w:eastAsia="Times New Roman" w:cs="Times New Roman"/>
      <w:sz w:val="16"/>
      <w:szCs w:val="16"/>
    </w:rPr>
  </w:style>
  <w:style w:type="character" w:customStyle="1" w:styleId="BodyText3Char">
    <w:name w:val="Body Text 3 Char"/>
    <w:basedOn w:val="DefaultParagraphFont"/>
    <w:link w:val="BodyText3"/>
    <w:rsid w:val="00E13E80"/>
    <w:rPr>
      <w:rFonts w:ascii="Times New Roman" w:eastAsia="Times New Roman" w:hAnsi="Times New Roman" w:cs="Times New Roman"/>
      <w:sz w:val="16"/>
      <w:szCs w:val="16"/>
    </w:rPr>
  </w:style>
  <w:style w:type="paragraph" w:styleId="BlockText">
    <w:name w:val="Block Text"/>
    <w:basedOn w:val="Normal"/>
    <w:rsid w:val="00E13E80"/>
    <w:pPr>
      <w:overflowPunct w:val="0"/>
      <w:autoSpaceDE w:val="0"/>
      <w:autoSpaceDN w:val="0"/>
      <w:adjustRightInd w:val="0"/>
      <w:spacing w:after="240"/>
      <w:ind w:left="720"/>
      <w:jc w:val="both"/>
      <w:textAlignment w:val="baseline"/>
    </w:pPr>
    <w:rPr>
      <w:rFonts w:eastAsia="Times New Roman" w:cs="Times New Roman"/>
      <w:szCs w:val="20"/>
      <w:lang w:val="en-GB"/>
    </w:rPr>
  </w:style>
  <w:style w:type="character" w:customStyle="1" w:styleId="StyleBodyTextIndentArialChar">
    <w:name w:val="Style Body Text Indent + Arial Char"/>
    <w:rsid w:val="00E13E80"/>
    <w:rPr>
      <w:rFonts w:ascii="Arial" w:hAnsi="Arial"/>
      <w:sz w:val="22"/>
      <w:szCs w:val="24"/>
      <w:lang w:val="sl-SI" w:eastAsia="en-US" w:bidi="ar-SA"/>
    </w:rPr>
  </w:style>
  <w:style w:type="paragraph" w:customStyle="1" w:styleId="Clan">
    <w:name w:val="Clan"/>
    <w:basedOn w:val="Normal"/>
    <w:rsid w:val="00E13E80"/>
    <w:pPr>
      <w:keepNext/>
      <w:tabs>
        <w:tab w:val="left" w:pos="1080"/>
      </w:tabs>
      <w:spacing w:before="120"/>
      <w:ind w:left="720" w:right="720"/>
      <w:jc w:val="center"/>
    </w:pPr>
    <w:rPr>
      <w:rFonts w:ascii="Arial" w:eastAsia="Times New Roman" w:hAnsi="Arial" w:cs="Times New Roman"/>
      <w:b/>
      <w:szCs w:val="20"/>
      <w:lang w:val="sr-Cyrl-CS"/>
    </w:rPr>
  </w:style>
  <w:style w:type="character" w:styleId="Strong">
    <w:name w:val="Strong"/>
    <w:uiPriority w:val="22"/>
    <w:qFormat/>
    <w:rsid w:val="00E13E80"/>
    <w:rPr>
      <w:b/>
      <w:bCs/>
    </w:rPr>
  </w:style>
  <w:style w:type="paragraph" w:customStyle="1" w:styleId="spip">
    <w:name w:val="spip"/>
    <w:basedOn w:val="Normal"/>
    <w:rsid w:val="00E13E80"/>
    <w:pPr>
      <w:spacing w:before="100" w:beforeAutospacing="1" w:after="100" w:afterAutospacing="1"/>
    </w:pPr>
    <w:rPr>
      <w:rFonts w:eastAsia="Times New Roman" w:cs="Times New Roman"/>
      <w:szCs w:val="24"/>
    </w:rPr>
  </w:style>
  <w:style w:type="paragraph" w:customStyle="1" w:styleId="tekst">
    <w:name w:val="tekst"/>
    <w:basedOn w:val="Normal"/>
    <w:rsid w:val="00E13E80"/>
    <w:pPr>
      <w:spacing w:after="0"/>
      <w:jc w:val="both"/>
    </w:pPr>
    <w:rPr>
      <w:rFonts w:ascii="Arial" w:eastAsia="Times New Roman" w:hAnsi="Arial" w:cs="Times New Roman"/>
      <w:szCs w:val="20"/>
      <w:lang w:val="sr-Cyrl-CS"/>
    </w:rPr>
  </w:style>
  <w:style w:type="paragraph" w:styleId="BodyTextIndent2">
    <w:name w:val="Body Text Indent 2"/>
    <w:basedOn w:val="Normal"/>
    <w:link w:val="BodyTextIndent2Char"/>
    <w:rsid w:val="00E13E80"/>
    <w:pPr>
      <w:spacing w:after="0"/>
      <w:ind w:firstLine="720"/>
      <w:jc w:val="both"/>
    </w:pPr>
    <w:rPr>
      <w:rFonts w:eastAsia="Times New Roman" w:cs="Times New Roman"/>
      <w:bCs/>
      <w:szCs w:val="20"/>
    </w:rPr>
  </w:style>
  <w:style w:type="character" w:customStyle="1" w:styleId="BodyTextIndent2Char">
    <w:name w:val="Body Text Indent 2 Char"/>
    <w:basedOn w:val="DefaultParagraphFont"/>
    <w:link w:val="BodyTextIndent2"/>
    <w:rsid w:val="00E13E80"/>
    <w:rPr>
      <w:rFonts w:ascii="Times New Roman" w:eastAsia="Times New Roman" w:hAnsi="Times New Roman" w:cs="Times New Roman"/>
      <w:bCs/>
      <w:szCs w:val="20"/>
    </w:rPr>
  </w:style>
  <w:style w:type="paragraph" w:styleId="BodyTextIndent3">
    <w:name w:val="Body Text Indent 3"/>
    <w:basedOn w:val="Normal"/>
    <w:link w:val="BodyTextIndent3Char"/>
    <w:rsid w:val="00E13E80"/>
    <w:pPr>
      <w:spacing w:after="0"/>
      <w:ind w:left="810" w:firstLine="630"/>
      <w:jc w:val="both"/>
    </w:pPr>
    <w:rPr>
      <w:rFonts w:eastAsia="Times New Roman" w:cs="Times New Roman"/>
      <w:szCs w:val="20"/>
    </w:rPr>
  </w:style>
  <w:style w:type="character" w:customStyle="1" w:styleId="BodyTextIndent3Char">
    <w:name w:val="Body Text Indent 3 Char"/>
    <w:basedOn w:val="DefaultParagraphFont"/>
    <w:link w:val="BodyTextIndent3"/>
    <w:rsid w:val="00E13E80"/>
    <w:rPr>
      <w:rFonts w:ascii="Times New Roman" w:eastAsia="Times New Roman" w:hAnsi="Times New Roman" w:cs="Times New Roman"/>
      <w:sz w:val="24"/>
      <w:szCs w:val="20"/>
    </w:rPr>
  </w:style>
  <w:style w:type="paragraph" w:customStyle="1" w:styleId="cirilica">
    <w:name w:val="cirilica"/>
    <w:basedOn w:val="Normal"/>
    <w:rsid w:val="00E13E80"/>
    <w:pPr>
      <w:spacing w:after="0"/>
    </w:pPr>
    <w:rPr>
      <w:rFonts w:ascii="CHelvPlain" w:eastAsia="Times New Roman" w:hAnsi="CHelvPlain" w:cs="Times New Roman"/>
      <w:szCs w:val="20"/>
    </w:rPr>
  </w:style>
  <w:style w:type="paragraph" w:styleId="ListContinue">
    <w:name w:val="List Continue"/>
    <w:basedOn w:val="Normal"/>
    <w:rsid w:val="00E13E80"/>
    <w:pPr>
      <w:widowControl w:val="0"/>
      <w:ind w:left="283"/>
    </w:pPr>
    <w:rPr>
      <w:rFonts w:eastAsia="Times New Roman" w:cs="Times New Roman"/>
      <w:snapToGrid w:val="0"/>
      <w:sz w:val="20"/>
      <w:szCs w:val="20"/>
      <w:lang w:val="hu-HU" w:eastAsia="hu-HU"/>
    </w:rPr>
  </w:style>
  <w:style w:type="paragraph" w:customStyle="1" w:styleId="Crtica">
    <w:name w:val="Crtica"/>
    <w:basedOn w:val="Normal"/>
    <w:rsid w:val="00E13E80"/>
    <w:pPr>
      <w:tabs>
        <w:tab w:val="num" w:pos="720"/>
      </w:tabs>
      <w:spacing w:before="120" w:after="0" w:line="280" w:lineRule="exact"/>
      <w:ind w:left="684" w:hanging="342"/>
      <w:jc w:val="both"/>
    </w:pPr>
    <w:rPr>
      <w:rFonts w:ascii="Souvenir Lt BT" w:eastAsia="Times New Roman" w:hAnsi="Souvenir Lt BT" w:cs="Times New Roman"/>
      <w:sz w:val="20"/>
      <w:szCs w:val="24"/>
      <w:lang w:val="sl-SI"/>
    </w:rPr>
  </w:style>
  <w:style w:type="paragraph" w:customStyle="1" w:styleId="btext">
    <w:name w:val="btext"/>
    <w:basedOn w:val="Normal"/>
    <w:rsid w:val="00E13E80"/>
    <w:pPr>
      <w:spacing w:before="100" w:beforeAutospacing="1" w:after="100" w:afterAutospacing="1"/>
    </w:pPr>
    <w:rPr>
      <w:rFonts w:ascii="Arial" w:eastAsia="Arial Unicode MS" w:hAnsi="Arial" w:cs="Arial"/>
      <w:color w:val="000066"/>
      <w:sz w:val="18"/>
      <w:szCs w:val="18"/>
      <w:lang w:val="en-GB"/>
    </w:rPr>
  </w:style>
  <w:style w:type="paragraph" w:customStyle="1" w:styleId="n4">
    <w:name w:val="n4"/>
    <w:basedOn w:val="Normal"/>
    <w:rsid w:val="00E13E80"/>
    <w:pPr>
      <w:spacing w:after="0"/>
      <w:jc w:val="both"/>
    </w:pPr>
    <w:rPr>
      <w:rFonts w:ascii="CHelvPlain" w:eastAsia="Times New Roman" w:hAnsi="CHelvPlain" w:cs="Times New Roman"/>
      <w:b/>
      <w:szCs w:val="20"/>
    </w:rPr>
  </w:style>
  <w:style w:type="paragraph" w:customStyle="1" w:styleId="xl27">
    <w:name w:val="xl27"/>
    <w:basedOn w:val="Normal"/>
    <w:rsid w:val="00E13E80"/>
    <w:pPr>
      <w:spacing w:before="100" w:beforeAutospacing="1" w:after="100" w:afterAutospacing="1"/>
    </w:pPr>
    <w:rPr>
      <w:rFonts w:ascii="Arial Narrow" w:eastAsia="Arial Unicode MS" w:hAnsi="Arial Narrow" w:cs="Arial Unicode MS"/>
      <w:szCs w:val="24"/>
    </w:rPr>
  </w:style>
  <w:style w:type="paragraph" w:customStyle="1" w:styleId="xl29">
    <w:name w:val="xl29"/>
    <w:basedOn w:val="Normal"/>
    <w:rsid w:val="00E13E80"/>
    <w:pPr>
      <w:spacing w:before="100" w:beforeAutospacing="1" w:after="100" w:afterAutospacing="1"/>
    </w:pPr>
    <w:rPr>
      <w:rFonts w:ascii="Arial Narrow" w:eastAsia="Arial Unicode MS" w:hAnsi="Arial Narrow" w:cs="Arial Unicode MS"/>
      <w:sz w:val="20"/>
      <w:szCs w:val="20"/>
    </w:rPr>
  </w:style>
  <w:style w:type="paragraph" w:customStyle="1" w:styleId="xl30">
    <w:name w:val="xl30"/>
    <w:basedOn w:val="Normal"/>
    <w:rsid w:val="00E13E80"/>
    <w:pPr>
      <w:spacing w:before="100" w:beforeAutospacing="1" w:after="100" w:afterAutospacing="1"/>
    </w:pPr>
    <w:rPr>
      <w:rFonts w:ascii="Arial Narrow" w:eastAsia="Arial Unicode MS" w:hAnsi="Arial Narrow" w:cs="Arial Unicode MS"/>
      <w:b/>
      <w:bCs/>
      <w:sz w:val="20"/>
      <w:szCs w:val="20"/>
    </w:rPr>
  </w:style>
  <w:style w:type="paragraph" w:customStyle="1" w:styleId="xl31">
    <w:name w:val="xl31"/>
    <w:basedOn w:val="Normal"/>
    <w:rsid w:val="00E13E80"/>
    <w:pPr>
      <w:pBdr>
        <w:bottom w:val="double" w:sz="6" w:space="0" w:color="auto"/>
      </w:pBdr>
      <w:spacing w:before="100" w:beforeAutospacing="1" w:after="100" w:afterAutospacing="1"/>
    </w:pPr>
    <w:rPr>
      <w:rFonts w:ascii="Arial Narrow" w:eastAsia="Arial Unicode MS" w:hAnsi="Arial Narrow" w:cs="Arial Unicode MS"/>
      <w:szCs w:val="24"/>
    </w:rPr>
  </w:style>
  <w:style w:type="paragraph" w:customStyle="1" w:styleId="xl32">
    <w:name w:val="xl32"/>
    <w:basedOn w:val="Normal"/>
    <w:rsid w:val="00E13E80"/>
    <w:pPr>
      <w:pBdr>
        <w:top w:val="single" w:sz="4" w:space="0" w:color="auto"/>
        <w:bottom w:val="single" w:sz="4" w:space="0" w:color="auto"/>
      </w:pBdr>
      <w:spacing w:before="100" w:beforeAutospacing="1" w:after="100" w:afterAutospacing="1"/>
    </w:pPr>
    <w:rPr>
      <w:rFonts w:ascii="Arial Narrow" w:eastAsia="Arial Unicode MS" w:hAnsi="Arial Narrow" w:cs="Arial Unicode MS"/>
      <w:szCs w:val="24"/>
    </w:rPr>
  </w:style>
  <w:style w:type="paragraph" w:customStyle="1" w:styleId="xl33">
    <w:name w:val="xl33"/>
    <w:basedOn w:val="Normal"/>
    <w:rsid w:val="00E13E80"/>
    <w:pPr>
      <w:pBdr>
        <w:bottom w:val="double" w:sz="6" w:space="0" w:color="auto"/>
      </w:pBdr>
      <w:spacing w:before="100" w:beforeAutospacing="1" w:after="100" w:afterAutospacing="1"/>
    </w:pPr>
    <w:rPr>
      <w:rFonts w:ascii="Arial Unicode MS" w:eastAsia="Arial Unicode MS" w:hAnsi="Arial Unicode MS" w:cs="Arial Unicode MS"/>
      <w:szCs w:val="24"/>
    </w:rPr>
  </w:style>
  <w:style w:type="paragraph" w:customStyle="1" w:styleId="xl34">
    <w:name w:val="xl34"/>
    <w:basedOn w:val="Normal"/>
    <w:rsid w:val="00E13E8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35">
    <w:name w:val="xl35"/>
    <w:basedOn w:val="Normal"/>
    <w:rsid w:val="00E13E80"/>
    <w:pPr>
      <w:pBdr>
        <w:top w:val="double" w:sz="6" w:space="0" w:color="auto"/>
        <w:left w:val="double" w:sz="6" w:space="0" w:color="auto"/>
        <w:bottom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36">
    <w:name w:val="xl36"/>
    <w:basedOn w:val="Normal"/>
    <w:rsid w:val="00E13E80"/>
    <w:pPr>
      <w:pBdr>
        <w:top w:val="double" w:sz="6" w:space="0" w:color="auto"/>
        <w:bottom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37">
    <w:name w:val="xl37"/>
    <w:basedOn w:val="Normal"/>
    <w:rsid w:val="00E13E80"/>
    <w:pPr>
      <w:pBdr>
        <w:top w:val="double" w:sz="6" w:space="0" w:color="auto"/>
        <w:bottom w:val="single" w:sz="4" w:space="0" w:color="auto"/>
        <w:right w:val="double" w:sz="6" w:space="0" w:color="auto"/>
      </w:pBdr>
      <w:spacing w:before="100" w:beforeAutospacing="1" w:after="100" w:afterAutospacing="1"/>
      <w:jc w:val="center"/>
    </w:pPr>
    <w:rPr>
      <w:rFonts w:ascii="Arial Narrow" w:eastAsia="Arial Unicode MS" w:hAnsi="Arial Narrow" w:cs="Arial Unicode MS"/>
      <w:sz w:val="20"/>
      <w:szCs w:val="20"/>
    </w:rPr>
  </w:style>
  <w:style w:type="paragraph" w:customStyle="1" w:styleId="xl38">
    <w:name w:val="xl38"/>
    <w:basedOn w:val="Normal"/>
    <w:rsid w:val="00E13E80"/>
    <w:pPr>
      <w:pBdr>
        <w:left w:val="double" w:sz="6" w:space="0" w:color="auto"/>
      </w:pBdr>
      <w:spacing w:before="100" w:beforeAutospacing="1" w:after="100" w:afterAutospacing="1"/>
    </w:pPr>
    <w:rPr>
      <w:rFonts w:ascii="Arial Narrow" w:eastAsia="Arial Unicode MS" w:hAnsi="Arial Narrow" w:cs="Arial Unicode MS"/>
      <w:b/>
      <w:bCs/>
      <w:sz w:val="20"/>
      <w:szCs w:val="20"/>
      <w:u w:val="single"/>
    </w:rPr>
  </w:style>
  <w:style w:type="paragraph" w:customStyle="1" w:styleId="xl39">
    <w:name w:val="xl39"/>
    <w:basedOn w:val="Normal"/>
    <w:rsid w:val="00E13E80"/>
    <w:pPr>
      <w:pBdr>
        <w:right w:val="double" w:sz="6" w:space="0" w:color="auto"/>
      </w:pBdr>
      <w:spacing w:before="100" w:beforeAutospacing="1" w:after="100" w:afterAutospacing="1"/>
    </w:pPr>
    <w:rPr>
      <w:rFonts w:ascii="Arial Narrow" w:eastAsia="Arial Unicode MS" w:hAnsi="Arial Narrow" w:cs="Arial Unicode MS"/>
      <w:sz w:val="20"/>
      <w:szCs w:val="20"/>
    </w:rPr>
  </w:style>
  <w:style w:type="paragraph" w:customStyle="1" w:styleId="xl40">
    <w:name w:val="xl40"/>
    <w:basedOn w:val="Normal"/>
    <w:rsid w:val="00E13E80"/>
    <w:pPr>
      <w:pBdr>
        <w:left w:val="double" w:sz="6" w:space="0" w:color="auto"/>
      </w:pBdr>
      <w:spacing w:before="100" w:beforeAutospacing="1" w:after="100" w:afterAutospacing="1"/>
    </w:pPr>
    <w:rPr>
      <w:rFonts w:ascii="Arial Narrow" w:eastAsia="Arial Unicode MS" w:hAnsi="Arial Narrow" w:cs="Arial Unicode MS"/>
      <w:szCs w:val="24"/>
    </w:rPr>
  </w:style>
  <w:style w:type="paragraph" w:customStyle="1" w:styleId="xl41">
    <w:name w:val="xl41"/>
    <w:basedOn w:val="Normal"/>
    <w:rsid w:val="00E13E80"/>
    <w:pPr>
      <w:pBdr>
        <w:top w:val="single" w:sz="4" w:space="0" w:color="auto"/>
        <w:left w:val="double" w:sz="6" w:space="0" w:color="auto"/>
        <w:bottom w:val="single" w:sz="4" w:space="0" w:color="auto"/>
      </w:pBdr>
      <w:spacing w:before="100" w:beforeAutospacing="1" w:after="100" w:afterAutospacing="1"/>
      <w:jc w:val="center"/>
    </w:pPr>
    <w:rPr>
      <w:rFonts w:ascii="Arial Narrow" w:eastAsia="Arial Unicode MS" w:hAnsi="Arial Narrow" w:cs="Arial Unicode MS"/>
      <w:szCs w:val="24"/>
    </w:rPr>
  </w:style>
  <w:style w:type="paragraph" w:customStyle="1" w:styleId="xl42">
    <w:name w:val="xl42"/>
    <w:basedOn w:val="Normal"/>
    <w:rsid w:val="00E13E80"/>
    <w:pPr>
      <w:pBdr>
        <w:top w:val="single" w:sz="4" w:space="0" w:color="auto"/>
        <w:bottom w:val="single" w:sz="4" w:space="0" w:color="auto"/>
        <w:right w:val="double" w:sz="6" w:space="0" w:color="auto"/>
      </w:pBdr>
      <w:spacing w:before="100" w:beforeAutospacing="1" w:after="100" w:afterAutospacing="1"/>
    </w:pPr>
    <w:rPr>
      <w:rFonts w:ascii="Arial Narrow" w:eastAsia="Arial Unicode MS" w:hAnsi="Arial Narrow" w:cs="Arial Unicode MS"/>
      <w:sz w:val="20"/>
      <w:szCs w:val="20"/>
    </w:rPr>
  </w:style>
  <w:style w:type="paragraph" w:customStyle="1" w:styleId="xl43">
    <w:name w:val="xl43"/>
    <w:basedOn w:val="Normal"/>
    <w:rsid w:val="00E13E80"/>
    <w:pPr>
      <w:pBdr>
        <w:left w:val="double" w:sz="6" w:space="0" w:color="auto"/>
      </w:pBdr>
      <w:spacing w:before="100" w:beforeAutospacing="1" w:after="100" w:afterAutospacing="1"/>
    </w:pPr>
    <w:rPr>
      <w:rFonts w:ascii="Arial Narrow" w:eastAsia="Arial Unicode MS" w:hAnsi="Arial Narrow" w:cs="Arial Unicode MS"/>
      <w:szCs w:val="24"/>
    </w:rPr>
  </w:style>
  <w:style w:type="paragraph" w:customStyle="1" w:styleId="xl44">
    <w:name w:val="xl44"/>
    <w:basedOn w:val="Normal"/>
    <w:rsid w:val="00E13E80"/>
    <w:pPr>
      <w:pBdr>
        <w:bottom w:val="double" w:sz="6" w:space="0" w:color="auto"/>
        <w:right w:val="double" w:sz="6" w:space="0" w:color="auto"/>
      </w:pBdr>
      <w:spacing w:before="100" w:beforeAutospacing="1" w:after="100" w:afterAutospacing="1"/>
    </w:pPr>
    <w:rPr>
      <w:rFonts w:ascii="Arial Narrow" w:eastAsia="Arial Unicode MS" w:hAnsi="Arial Narrow" w:cs="Arial Unicode MS"/>
      <w:sz w:val="20"/>
      <w:szCs w:val="20"/>
    </w:rPr>
  </w:style>
  <w:style w:type="paragraph" w:customStyle="1" w:styleId="xl45">
    <w:name w:val="xl45"/>
    <w:basedOn w:val="Normal"/>
    <w:rsid w:val="00E13E80"/>
    <w:pPr>
      <w:pBdr>
        <w:left w:val="double" w:sz="6" w:space="0" w:color="auto"/>
      </w:pBdr>
      <w:spacing w:before="100" w:beforeAutospacing="1" w:after="100" w:afterAutospacing="1"/>
    </w:pPr>
    <w:rPr>
      <w:rFonts w:ascii="Arial Unicode MS" w:eastAsia="Arial Unicode MS" w:hAnsi="Arial Unicode MS" w:cs="Arial Unicode MS"/>
      <w:szCs w:val="24"/>
    </w:rPr>
  </w:style>
  <w:style w:type="paragraph" w:customStyle="1" w:styleId="xl46">
    <w:name w:val="xl46"/>
    <w:basedOn w:val="Normal"/>
    <w:rsid w:val="00E13E80"/>
    <w:pPr>
      <w:pBdr>
        <w:top w:val="single" w:sz="4" w:space="0" w:color="auto"/>
        <w:left w:val="double" w:sz="6"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47">
    <w:name w:val="xl47"/>
    <w:basedOn w:val="Normal"/>
    <w:rsid w:val="00E13E80"/>
    <w:pPr>
      <w:pBdr>
        <w:top w:val="double" w:sz="6"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48">
    <w:name w:val="xl48"/>
    <w:basedOn w:val="Normal"/>
    <w:rsid w:val="00E13E80"/>
    <w:pPr>
      <w:pBdr>
        <w:left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49">
    <w:name w:val="xl49"/>
    <w:basedOn w:val="Normal"/>
    <w:rsid w:val="00E13E80"/>
    <w:pPr>
      <w:pBdr>
        <w:left w:val="single" w:sz="4" w:space="0" w:color="auto"/>
      </w:pBdr>
      <w:spacing w:before="100" w:beforeAutospacing="1" w:after="100" w:afterAutospacing="1"/>
    </w:pPr>
    <w:rPr>
      <w:rFonts w:ascii="Arial Narrow" w:eastAsia="Arial Unicode MS" w:hAnsi="Arial Narrow" w:cs="Arial Unicode MS"/>
      <w:szCs w:val="24"/>
    </w:rPr>
  </w:style>
  <w:style w:type="paragraph" w:customStyle="1" w:styleId="xl50">
    <w:name w:val="xl50"/>
    <w:basedOn w:val="Normal"/>
    <w:rsid w:val="00E13E80"/>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szCs w:val="24"/>
    </w:rPr>
  </w:style>
  <w:style w:type="paragraph" w:customStyle="1" w:styleId="xl51">
    <w:name w:val="xl51"/>
    <w:basedOn w:val="Normal"/>
    <w:rsid w:val="00E13E80"/>
    <w:pPr>
      <w:pBdr>
        <w:left w:val="single" w:sz="4" w:space="0" w:color="auto"/>
        <w:bottom w:val="double" w:sz="6" w:space="0" w:color="auto"/>
      </w:pBdr>
      <w:spacing w:before="100" w:beforeAutospacing="1" w:after="100" w:afterAutospacing="1"/>
    </w:pPr>
    <w:rPr>
      <w:rFonts w:ascii="Arial Narrow" w:eastAsia="Arial Unicode MS" w:hAnsi="Arial Narrow" w:cs="Arial Unicode MS"/>
      <w:szCs w:val="24"/>
    </w:rPr>
  </w:style>
  <w:style w:type="paragraph" w:customStyle="1" w:styleId="xl52">
    <w:name w:val="xl52"/>
    <w:basedOn w:val="Normal"/>
    <w:rsid w:val="00E13E80"/>
    <w:pPr>
      <w:pBdr>
        <w:left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53">
    <w:name w:val="xl53"/>
    <w:basedOn w:val="Normal"/>
    <w:rsid w:val="00E13E80"/>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54">
    <w:name w:val="xl54"/>
    <w:basedOn w:val="Normal"/>
    <w:rsid w:val="00E13E80"/>
    <w:pPr>
      <w:pBdr>
        <w:left w:val="single" w:sz="4" w:space="0" w:color="auto"/>
        <w:bottom w:val="double" w:sz="6" w:space="0" w:color="auto"/>
      </w:pBdr>
      <w:spacing w:before="100" w:beforeAutospacing="1" w:after="100" w:afterAutospacing="1"/>
    </w:pPr>
    <w:rPr>
      <w:rFonts w:ascii="Arial Unicode MS" w:eastAsia="Arial Unicode MS" w:hAnsi="Arial Unicode MS" w:cs="Arial Unicode MS"/>
      <w:szCs w:val="24"/>
    </w:rPr>
  </w:style>
  <w:style w:type="paragraph" w:customStyle="1" w:styleId="xl55">
    <w:name w:val="xl55"/>
    <w:basedOn w:val="Normal"/>
    <w:rsid w:val="00E13E80"/>
    <w:pPr>
      <w:pBdr>
        <w:top w:val="double" w:sz="6"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sz w:val="20"/>
      <w:szCs w:val="20"/>
    </w:rPr>
  </w:style>
  <w:style w:type="paragraph" w:customStyle="1" w:styleId="xl56">
    <w:name w:val="xl56"/>
    <w:basedOn w:val="Normal"/>
    <w:rsid w:val="00E13E80"/>
    <w:pPr>
      <w:pBdr>
        <w:right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57">
    <w:name w:val="xl57"/>
    <w:basedOn w:val="Normal"/>
    <w:rsid w:val="00E13E80"/>
    <w:pPr>
      <w:pBdr>
        <w:top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58">
    <w:name w:val="xl58"/>
    <w:basedOn w:val="Normal"/>
    <w:rsid w:val="00E13E80"/>
    <w:pPr>
      <w:pBdr>
        <w:bottom w:val="double" w:sz="6" w:space="0" w:color="auto"/>
        <w:right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59">
    <w:name w:val="xl59"/>
    <w:basedOn w:val="Normal"/>
    <w:rsid w:val="00E13E80"/>
    <w:pPr>
      <w:pBdr>
        <w:left w:val="double" w:sz="6" w:space="0" w:color="auto"/>
        <w:bottom w:val="double" w:sz="6" w:space="0" w:color="auto"/>
      </w:pBdr>
      <w:spacing w:before="100" w:beforeAutospacing="1" w:after="100" w:afterAutospacing="1"/>
      <w:jc w:val="center"/>
    </w:pPr>
    <w:rPr>
      <w:rFonts w:ascii="Arial Narrow" w:eastAsia="Arial Unicode MS" w:hAnsi="Arial Narrow" w:cs="Arial Unicode MS"/>
      <w:b/>
      <w:bCs/>
      <w:szCs w:val="24"/>
    </w:rPr>
  </w:style>
  <w:style w:type="paragraph" w:customStyle="1" w:styleId="xl60">
    <w:name w:val="xl60"/>
    <w:basedOn w:val="Normal"/>
    <w:rsid w:val="00E13E80"/>
    <w:pPr>
      <w:pBdr>
        <w:top w:val="double" w:sz="6" w:space="0" w:color="auto"/>
        <w:left w:val="double" w:sz="6" w:space="0" w:color="auto"/>
      </w:pBdr>
      <w:spacing w:before="100" w:beforeAutospacing="1" w:after="100" w:afterAutospacing="1"/>
    </w:pPr>
    <w:rPr>
      <w:rFonts w:ascii="Arial Narrow" w:eastAsia="Arial Unicode MS" w:hAnsi="Arial Narrow" w:cs="Arial Unicode MS"/>
      <w:b/>
      <w:bCs/>
      <w:szCs w:val="24"/>
    </w:rPr>
  </w:style>
  <w:style w:type="paragraph" w:customStyle="1" w:styleId="xl61">
    <w:name w:val="xl61"/>
    <w:basedOn w:val="Normal"/>
    <w:rsid w:val="00E13E80"/>
    <w:pPr>
      <w:pBdr>
        <w:top w:val="double" w:sz="6" w:space="0" w:color="auto"/>
      </w:pBdr>
      <w:spacing w:before="100" w:beforeAutospacing="1" w:after="100" w:afterAutospacing="1"/>
    </w:pPr>
    <w:rPr>
      <w:rFonts w:ascii="Arial Unicode MS" w:eastAsia="Arial Unicode MS" w:hAnsi="Arial Unicode MS" w:cs="Arial Unicode MS"/>
      <w:szCs w:val="24"/>
    </w:rPr>
  </w:style>
  <w:style w:type="paragraph" w:customStyle="1" w:styleId="xl62">
    <w:name w:val="xl62"/>
    <w:basedOn w:val="Normal"/>
    <w:rsid w:val="00E13E80"/>
    <w:pPr>
      <w:pBdr>
        <w:top w:val="double" w:sz="6" w:space="0" w:color="auto"/>
        <w:right w:val="double" w:sz="6" w:space="0" w:color="auto"/>
      </w:pBdr>
      <w:spacing w:before="100" w:beforeAutospacing="1" w:after="100" w:afterAutospacing="1"/>
    </w:pPr>
    <w:rPr>
      <w:rFonts w:ascii="Arial Narrow" w:eastAsia="Arial Unicode MS" w:hAnsi="Arial Narrow" w:cs="Arial Unicode MS"/>
      <w:sz w:val="20"/>
      <w:szCs w:val="20"/>
    </w:rPr>
  </w:style>
  <w:style w:type="paragraph" w:customStyle="1" w:styleId="xl63">
    <w:name w:val="xl63"/>
    <w:basedOn w:val="Normal"/>
    <w:rsid w:val="00E13E80"/>
    <w:pPr>
      <w:pBdr>
        <w:left w:val="double" w:sz="6" w:space="0" w:color="auto"/>
        <w:bottom w:val="double" w:sz="6" w:space="0" w:color="auto"/>
      </w:pBdr>
      <w:spacing w:before="100" w:beforeAutospacing="1" w:after="100" w:afterAutospacing="1"/>
    </w:pPr>
    <w:rPr>
      <w:rFonts w:ascii="Arial Narrow" w:eastAsia="Arial Unicode MS" w:hAnsi="Arial Narrow" w:cs="Arial Unicode MS"/>
      <w:szCs w:val="24"/>
    </w:rPr>
  </w:style>
  <w:style w:type="paragraph" w:customStyle="1" w:styleId="xl64">
    <w:name w:val="xl64"/>
    <w:basedOn w:val="Normal"/>
    <w:rsid w:val="00E13E80"/>
    <w:pPr>
      <w:pBdr>
        <w:top w:val="double" w:sz="6" w:space="0" w:color="auto"/>
        <w:left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65">
    <w:name w:val="xl65"/>
    <w:basedOn w:val="Normal"/>
    <w:rsid w:val="00E13E80"/>
    <w:pPr>
      <w:pBdr>
        <w:top w:val="double" w:sz="6" w:space="0" w:color="auto"/>
        <w:right w:val="single" w:sz="4" w:space="0" w:color="auto"/>
      </w:pBdr>
      <w:spacing w:before="100" w:beforeAutospacing="1" w:after="100" w:afterAutospacing="1"/>
    </w:pPr>
    <w:rPr>
      <w:rFonts w:ascii="Arial Narrow" w:eastAsia="Arial Unicode MS" w:hAnsi="Arial Narrow" w:cs="Arial Unicode MS"/>
      <w:sz w:val="20"/>
      <w:szCs w:val="20"/>
    </w:rPr>
  </w:style>
  <w:style w:type="paragraph" w:customStyle="1" w:styleId="xl66">
    <w:name w:val="xl66"/>
    <w:basedOn w:val="Normal"/>
    <w:rsid w:val="00E13E80"/>
    <w:pPr>
      <w:spacing w:before="100" w:beforeAutospacing="1" w:after="100" w:afterAutospacing="1"/>
      <w:jc w:val="center"/>
    </w:pPr>
    <w:rPr>
      <w:rFonts w:ascii="Arial Narrow" w:eastAsia="Arial Unicode MS" w:hAnsi="Arial Narrow" w:cs="Arial Unicode MS"/>
      <w:b/>
      <w:bCs/>
      <w:szCs w:val="24"/>
      <w:u w:val="single"/>
    </w:rPr>
  </w:style>
  <w:style w:type="paragraph" w:customStyle="1" w:styleId="xl28">
    <w:name w:val="xl28"/>
    <w:basedOn w:val="Normal"/>
    <w:rsid w:val="00E13E80"/>
    <w:pPr>
      <w:spacing w:before="100" w:beforeAutospacing="1" w:after="100" w:afterAutospacing="1"/>
    </w:pPr>
    <w:rPr>
      <w:rFonts w:ascii="Arial Narrow" w:eastAsia="Arial Unicode MS" w:hAnsi="Arial Narrow" w:cs="Arial Unicode MS"/>
      <w:sz w:val="20"/>
      <w:szCs w:val="20"/>
    </w:rPr>
  </w:style>
  <w:style w:type="paragraph" w:customStyle="1" w:styleId="font5">
    <w:name w:val="font5"/>
    <w:basedOn w:val="Normal"/>
    <w:rsid w:val="00E13E80"/>
    <w:pPr>
      <w:spacing w:before="100" w:beforeAutospacing="1" w:after="100" w:afterAutospacing="1"/>
    </w:pPr>
    <w:rPr>
      <w:rFonts w:ascii="Tahoma" w:eastAsia="Arial Unicode MS" w:hAnsi="Tahoma" w:cs="Tahoma"/>
      <w:color w:val="000000"/>
      <w:sz w:val="16"/>
      <w:szCs w:val="16"/>
    </w:rPr>
  </w:style>
  <w:style w:type="paragraph" w:customStyle="1" w:styleId="font6">
    <w:name w:val="font6"/>
    <w:basedOn w:val="Normal"/>
    <w:rsid w:val="00E13E80"/>
    <w:pPr>
      <w:spacing w:before="100" w:beforeAutospacing="1" w:after="100" w:afterAutospacing="1"/>
    </w:pPr>
    <w:rPr>
      <w:rFonts w:ascii="Tahoma" w:eastAsia="Arial Unicode MS" w:hAnsi="Tahoma" w:cs="Tahoma"/>
      <w:b/>
      <w:bCs/>
      <w:color w:val="000000"/>
      <w:sz w:val="16"/>
      <w:szCs w:val="16"/>
    </w:rPr>
  </w:style>
  <w:style w:type="paragraph" w:customStyle="1" w:styleId="font7">
    <w:name w:val="font7"/>
    <w:basedOn w:val="Normal"/>
    <w:rsid w:val="00E13E80"/>
    <w:pPr>
      <w:spacing w:before="100" w:beforeAutospacing="1" w:after="100" w:afterAutospacing="1"/>
    </w:pPr>
    <w:rPr>
      <w:rFonts w:ascii="Tahoma" w:eastAsia="Arial Unicode MS" w:hAnsi="Tahoma" w:cs="Tahoma"/>
      <w:b/>
      <w:bCs/>
      <w:color w:val="000000"/>
      <w:sz w:val="16"/>
      <w:szCs w:val="16"/>
    </w:rPr>
  </w:style>
  <w:style w:type="paragraph" w:customStyle="1" w:styleId="Podnaslov">
    <w:name w:val="Podnaslov"/>
    <w:basedOn w:val="Normal"/>
    <w:rsid w:val="00E13E80"/>
    <w:pPr>
      <w:keepNext/>
      <w:tabs>
        <w:tab w:val="left" w:pos="1800"/>
      </w:tabs>
      <w:spacing w:before="120"/>
      <w:ind w:left="720" w:right="720"/>
      <w:jc w:val="center"/>
    </w:pPr>
    <w:rPr>
      <w:rFonts w:ascii="Helv Ciril" w:eastAsia="Times New Roman" w:hAnsi="Helv Ciril" w:cs="Times New Roman"/>
      <w:b/>
      <w:sz w:val="26"/>
      <w:szCs w:val="20"/>
    </w:rPr>
  </w:style>
  <w:style w:type="paragraph" w:styleId="Title">
    <w:name w:val="Title"/>
    <w:basedOn w:val="Normal"/>
    <w:link w:val="TitleChar"/>
    <w:qFormat/>
    <w:rsid w:val="00E13E80"/>
    <w:pPr>
      <w:spacing w:after="0"/>
      <w:jc w:val="center"/>
    </w:pPr>
    <w:rPr>
      <w:rFonts w:ascii="Helvetica" w:eastAsia="Times New Roman" w:hAnsi="Helvetica" w:cs="Times New Roman"/>
      <w:b/>
      <w:bCs/>
      <w:sz w:val="28"/>
      <w:szCs w:val="20"/>
    </w:rPr>
  </w:style>
  <w:style w:type="character" w:customStyle="1" w:styleId="TitleChar">
    <w:name w:val="Title Char"/>
    <w:basedOn w:val="DefaultParagraphFont"/>
    <w:link w:val="Title"/>
    <w:rsid w:val="00E13E80"/>
    <w:rPr>
      <w:rFonts w:ascii="Helvetica" w:eastAsia="Times New Roman" w:hAnsi="Helvetica" w:cs="Times New Roman"/>
      <w:b/>
      <w:bCs/>
      <w:sz w:val="28"/>
      <w:szCs w:val="20"/>
    </w:rPr>
  </w:style>
  <w:style w:type="paragraph" w:customStyle="1" w:styleId="Podnaslov2">
    <w:name w:val="Podnaslov2"/>
    <w:basedOn w:val="Clan"/>
    <w:rsid w:val="00E13E80"/>
    <w:pPr>
      <w:tabs>
        <w:tab w:val="clear" w:pos="1080"/>
        <w:tab w:val="left" w:pos="1800"/>
      </w:tabs>
    </w:pPr>
    <w:rPr>
      <w:rFonts w:ascii="Helv Ciril" w:hAnsi="Helv Ciril"/>
      <w:i/>
    </w:rPr>
  </w:style>
  <w:style w:type="paragraph" w:customStyle="1" w:styleId="07EPRroundbullets">
    <w:name w:val="(07) EPR round bullets"/>
    <w:basedOn w:val="03EPRregularparagraphs"/>
    <w:rsid w:val="00E13E80"/>
    <w:pPr>
      <w:tabs>
        <w:tab w:val="num" w:pos="360"/>
      </w:tabs>
      <w:ind w:left="360" w:hanging="360"/>
    </w:pPr>
  </w:style>
  <w:style w:type="paragraph" w:customStyle="1" w:styleId="03EPRregularparagraphs">
    <w:name w:val="(03) EPR regular paragraphs"/>
    <w:basedOn w:val="Normal"/>
    <w:rsid w:val="00E13E80"/>
    <w:pPr>
      <w:spacing w:after="0"/>
      <w:jc w:val="both"/>
    </w:pPr>
    <w:rPr>
      <w:rFonts w:eastAsia="Times New Roman" w:cs="Times New Roman"/>
      <w:szCs w:val="20"/>
      <w:lang w:val="en-GB"/>
    </w:rPr>
  </w:style>
  <w:style w:type="paragraph" w:customStyle="1" w:styleId="08EPRroundbulletsforlongparagraphs">
    <w:name w:val="(08) EPR round bullets for long paragraphs"/>
    <w:basedOn w:val="03EPRregularparagraphs"/>
    <w:rsid w:val="00E13E80"/>
    <w:pPr>
      <w:tabs>
        <w:tab w:val="num" w:pos="360"/>
      </w:tabs>
      <w:spacing w:after="120"/>
      <w:ind w:left="360" w:hanging="360"/>
    </w:pPr>
  </w:style>
  <w:style w:type="paragraph" w:customStyle="1" w:styleId="BodyText22">
    <w:name w:val="Body Text 22"/>
    <w:basedOn w:val="Normal"/>
    <w:rsid w:val="00E13E80"/>
    <w:pPr>
      <w:tabs>
        <w:tab w:val="left" w:pos="567"/>
      </w:tabs>
      <w:jc w:val="both"/>
    </w:pPr>
    <w:rPr>
      <w:rFonts w:ascii="Dutch" w:eastAsia="Times New Roman" w:hAnsi="Dutch" w:cs="Times New Roman"/>
      <w:szCs w:val="20"/>
      <w:lang w:val="en-GB"/>
    </w:rPr>
  </w:style>
  <w:style w:type="paragraph" w:customStyle="1" w:styleId="srpski">
    <w:name w:val="srpski"/>
    <w:basedOn w:val="Normal"/>
    <w:rsid w:val="00E13E80"/>
    <w:pPr>
      <w:spacing w:before="120"/>
      <w:ind w:firstLine="567"/>
      <w:jc w:val="both"/>
    </w:pPr>
    <w:rPr>
      <w:rFonts w:ascii="YU Times New Roman" w:eastAsia="Times New Roman" w:hAnsi="YU Times New Roman" w:cs="Times New Roman"/>
      <w:sz w:val="26"/>
      <w:szCs w:val="20"/>
    </w:rPr>
  </w:style>
  <w:style w:type="paragraph" w:customStyle="1" w:styleId="A1">
    <w:name w:val="A1"/>
    <w:basedOn w:val="Normal"/>
    <w:rsid w:val="00E13E80"/>
    <w:pPr>
      <w:spacing w:before="120" w:after="0"/>
      <w:jc w:val="both"/>
    </w:pPr>
    <w:rPr>
      <w:rFonts w:ascii="Arial" w:eastAsia="Times New Roman" w:hAnsi="Arial" w:cs="Arial"/>
      <w:color w:val="000000"/>
      <w:szCs w:val="20"/>
      <w:lang w:val="en-GB" w:eastAsia="de-DE"/>
    </w:rPr>
  </w:style>
  <w:style w:type="paragraph" w:customStyle="1" w:styleId="CharCharChar">
    <w:name w:val="Char Char Char"/>
    <w:basedOn w:val="Normal"/>
    <w:rsid w:val="00E13E80"/>
    <w:pPr>
      <w:spacing w:line="240" w:lineRule="exact"/>
    </w:pPr>
    <w:rPr>
      <w:rFonts w:ascii="Verdana" w:eastAsia="Times New Roman" w:hAnsi="Verdana" w:cs="Times New Roman"/>
      <w:sz w:val="20"/>
      <w:szCs w:val="20"/>
    </w:rPr>
  </w:style>
  <w:style w:type="paragraph" w:customStyle="1" w:styleId="HeadCir">
    <w:name w:val="HeadCir"/>
    <w:basedOn w:val="Normal"/>
    <w:rsid w:val="00E13E80"/>
    <w:pPr>
      <w:spacing w:after="0"/>
      <w:jc w:val="both"/>
    </w:pPr>
    <w:rPr>
      <w:rFonts w:ascii="TimesC DzComm" w:eastAsia="Times New Roman" w:hAnsi="TimesC DzComm" w:cs="Times New Roman"/>
      <w:szCs w:val="20"/>
    </w:rPr>
  </w:style>
  <w:style w:type="character" w:customStyle="1" w:styleId="Style10pt">
    <w:name w:val="Style 10 pt"/>
    <w:rsid w:val="00E13E80"/>
    <w:rPr>
      <w:sz w:val="24"/>
      <w:szCs w:val="20"/>
    </w:rPr>
  </w:style>
  <w:style w:type="paragraph" w:customStyle="1" w:styleId="Akcioniplan3">
    <w:name w:val="Akcioni plan 3"/>
    <w:basedOn w:val="Normal"/>
    <w:rsid w:val="00E13E80"/>
    <w:pPr>
      <w:spacing w:after="0"/>
    </w:pPr>
    <w:rPr>
      <w:rFonts w:eastAsia="Times New Roman" w:cs="Times New Roman"/>
      <w:b/>
      <w:noProof/>
      <w:sz w:val="20"/>
      <w:szCs w:val="20"/>
      <w:lang w:val="sr-Latn-CS"/>
    </w:rPr>
  </w:style>
  <w:style w:type="paragraph" w:customStyle="1" w:styleId="t-98bezuvl0">
    <w:name w:val="t-98bezuvl"/>
    <w:basedOn w:val="Normal"/>
    <w:rsid w:val="00E13E80"/>
    <w:pPr>
      <w:spacing w:before="100" w:beforeAutospacing="1" w:after="100" w:afterAutospacing="1"/>
    </w:pPr>
    <w:rPr>
      <w:rFonts w:eastAsia="Times New Roman" w:cs="Times New Roman"/>
      <w:szCs w:val="24"/>
    </w:rPr>
  </w:style>
  <w:style w:type="paragraph" w:customStyle="1" w:styleId="noparagraphstyle0">
    <w:name w:val="noparagraphstyle"/>
    <w:basedOn w:val="Normal"/>
    <w:rsid w:val="00E13E80"/>
    <w:pPr>
      <w:spacing w:before="100" w:beforeAutospacing="1" w:after="100" w:afterAutospacing="1"/>
    </w:pPr>
    <w:rPr>
      <w:rFonts w:eastAsia="Times New Roman" w:cs="Times New Roman"/>
      <w:szCs w:val="24"/>
    </w:rPr>
  </w:style>
  <w:style w:type="paragraph" w:customStyle="1" w:styleId="Char2">
    <w:name w:val="Char2"/>
    <w:basedOn w:val="Normal"/>
    <w:uiPriority w:val="99"/>
    <w:rsid w:val="00E13E80"/>
    <w:pPr>
      <w:spacing w:line="240" w:lineRule="exact"/>
    </w:pPr>
    <w:rPr>
      <w:rFonts w:ascii="Verdana" w:eastAsia="Times New Roman" w:hAnsi="Verdana" w:cs="Times New Roman"/>
      <w:sz w:val="20"/>
      <w:szCs w:val="20"/>
    </w:rPr>
  </w:style>
  <w:style w:type="character" w:customStyle="1" w:styleId="link-external">
    <w:name w:val="link-external"/>
    <w:basedOn w:val="DefaultParagraphFont"/>
    <w:rsid w:val="00E13E80"/>
  </w:style>
  <w:style w:type="character" w:styleId="Emphasis">
    <w:name w:val="Emphasis"/>
    <w:uiPriority w:val="20"/>
    <w:qFormat/>
    <w:rsid w:val="00E13E80"/>
    <w:rPr>
      <w:b/>
      <w:bCs/>
      <w:i w:val="0"/>
      <w:iCs w:val="0"/>
    </w:rPr>
  </w:style>
  <w:style w:type="paragraph" w:customStyle="1" w:styleId="Buletiutekstu">
    <w:name w:val="Buleti u tekstu"/>
    <w:basedOn w:val="Normal"/>
    <w:autoRedefine/>
    <w:rsid w:val="00E13E80"/>
    <w:pPr>
      <w:spacing w:after="0"/>
      <w:jc w:val="center"/>
    </w:pPr>
    <w:rPr>
      <w:rFonts w:eastAsia="Times New Roman" w:cs="Times New Roman"/>
      <w:bCs/>
      <w:sz w:val="20"/>
      <w:szCs w:val="24"/>
      <w:lang w:val="it-IT"/>
    </w:rPr>
  </w:style>
  <w:style w:type="paragraph" w:customStyle="1" w:styleId="Char1">
    <w:name w:val="Char1"/>
    <w:basedOn w:val="Normal"/>
    <w:rsid w:val="00E13E80"/>
    <w:pPr>
      <w:spacing w:line="240" w:lineRule="exact"/>
    </w:pPr>
    <w:rPr>
      <w:rFonts w:ascii="Verdana" w:eastAsia="Times New Roman" w:hAnsi="Verdana" w:cs="Times New Roman"/>
      <w:sz w:val="20"/>
      <w:szCs w:val="20"/>
    </w:rPr>
  </w:style>
  <w:style w:type="paragraph" w:customStyle="1" w:styleId="topnaslov">
    <w:name w:val="topnaslov"/>
    <w:basedOn w:val="Normal"/>
    <w:rsid w:val="00E13E80"/>
    <w:pPr>
      <w:spacing w:before="100" w:beforeAutospacing="1" w:after="100" w:afterAutospacing="1"/>
    </w:pPr>
    <w:rPr>
      <w:rFonts w:ascii="Verdana" w:eastAsia="Times New Roman" w:hAnsi="Verdana" w:cs="Times New Roman"/>
      <w:b/>
      <w:bCs/>
      <w:color w:val="000000"/>
      <w:sz w:val="21"/>
      <w:szCs w:val="21"/>
      <w:lang w:val="en-GB" w:eastAsia="en-GB"/>
    </w:rPr>
  </w:style>
  <w:style w:type="paragraph" w:customStyle="1" w:styleId="Para0bullet">
    <w:name w:val="Para 0 bullet"/>
    <w:basedOn w:val="Normal"/>
    <w:rsid w:val="00E13E80"/>
    <w:pPr>
      <w:numPr>
        <w:ilvl w:val="1"/>
        <w:numId w:val="6"/>
      </w:numPr>
      <w:spacing w:after="0"/>
      <w:jc w:val="both"/>
    </w:pPr>
    <w:rPr>
      <w:rFonts w:eastAsia="Times New Roman" w:cs="Times New Roman"/>
      <w:szCs w:val="24"/>
    </w:rPr>
  </w:style>
  <w:style w:type="paragraph" w:customStyle="1" w:styleId="MainParanoChapter">
    <w:name w:val="Main Para no Chapter #"/>
    <w:basedOn w:val="Normal"/>
    <w:rsid w:val="00E13E80"/>
    <w:pPr>
      <w:spacing w:after="240"/>
      <w:outlineLvl w:val="1"/>
    </w:pPr>
    <w:rPr>
      <w:rFonts w:eastAsia="Times New Roman" w:cs="Times New Roman"/>
      <w:szCs w:val="24"/>
    </w:rPr>
  </w:style>
  <w:style w:type="paragraph" w:customStyle="1" w:styleId="Sub-Para2underX">
    <w:name w:val="Sub-Para 2 under X."/>
    <w:basedOn w:val="Normal"/>
    <w:rsid w:val="00E13E80"/>
    <w:pPr>
      <w:tabs>
        <w:tab w:val="num" w:pos="1800"/>
      </w:tabs>
      <w:spacing w:after="240"/>
      <w:ind w:left="1080" w:hanging="360"/>
      <w:outlineLvl w:val="3"/>
    </w:pPr>
    <w:rPr>
      <w:rFonts w:eastAsia="Times New Roman" w:cs="Times New Roman"/>
      <w:szCs w:val="24"/>
    </w:rPr>
  </w:style>
  <w:style w:type="paragraph" w:customStyle="1" w:styleId="Sub-Para3underX">
    <w:name w:val="Sub-Para 3 under X."/>
    <w:basedOn w:val="Normal"/>
    <w:rsid w:val="00E13E80"/>
    <w:pPr>
      <w:tabs>
        <w:tab w:val="num" w:pos="1440"/>
      </w:tabs>
      <w:spacing w:after="240"/>
      <w:ind w:left="1440" w:hanging="360"/>
      <w:outlineLvl w:val="4"/>
    </w:pPr>
    <w:rPr>
      <w:rFonts w:eastAsia="Times New Roman" w:cs="Times New Roman"/>
      <w:szCs w:val="24"/>
    </w:rPr>
  </w:style>
  <w:style w:type="paragraph" w:customStyle="1" w:styleId="Sub-Para4underX">
    <w:name w:val="Sub-Para 4 under X."/>
    <w:basedOn w:val="Normal"/>
    <w:rsid w:val="00E13E80"/>
    <w:pPr>
      <w:numPr>
        <w:ilvl w:val="5"/>
        <w:numId w:val="7"/>
      </w:numPr>
      <w:spacing w:after="240"/>
      <w:outlineLvl w:val="5"/>
    </w:pPr>
    <w:rPr>
      <w:rFonts w:eastAsia="Times New Roman" w:cs="Times New Roman"/>
      <w:szCs w:val="24"/>
    </w:rPr>
  </w:style>
  <w:style w:type="paragraph" w:customStyle="1" w:styleId="Firstparagraph">
    <w:name w:val="First paragraph"/>
    <w:basedOn w:val="Normal"/>
    <w:rsid w:val="00E13E80"/>
    <w:pPr>
      <w:spacing w:after="200"/>
      <w:jc w:val="both"/>
    </w:pPr>
    <w:rPr>
      <w:rFonts w:ascii="Arial" w:eastAsia="Times New Roman" w:hAnsi="Arial" w:cs="Times New Roman"/>
      <w:sz w:val="20"/>
      <w:szCs w:val="24"/>
      <w:lang w:val="en-GB"/>
    </w:rPr>
  </w:style>
  <w:style w:type="paragraph" w:customStyle="1" w:styleId="StyleJustifiedFirstline127cm">
    <w:name w:val="Style Justified First line:  127 cm"/>
    <w:basedOn w:val="Normal"/>
    <w:next w:val="Normal"/>
    <w:rsid w:val="00E13E80"/>
    <w:pPr>
      <w:autoSpaceDE w:val="0"/>
      <w:autoSpaceDN w:val="0"/>
      <w:adjustRightInd w:val="0"/>
      <w:spacing w:after="60"/>
    </w:pPr>
    <w:rPr>
      <w:rFonts w:eastAsia="Times New Roman" w:cs="Times New Roman"/>
      <w:szCs w:val="24"/>
    </w:rPr>
  </w:style>
  <w:style w:type="paragraph" w:customStyle="1" w:styleId="Abullit">
    <w:name w:val="A bullit"/>
    <w:basedOn w:val="Default"/>
    <w:next w:val="Default"/>
    <w:rsid w:val="00E13E80"/>
    <w:pPr>
      <w:spacing w:before="40" w:after="80"/>
    </w:pPr>
    <w:rPr>
      <w:rFonts w:ascii="Times New Roman" w:eastAsia="Times New Roman" w:hAnsi="Times New Roman" w:cs="Times New Roman"/>
      <w:color w:val="auto"/>
    </w:rPr>
  </w:style>
  <w:style w:type="paragraph" w:customStyle="1" w:styleId="CalibriStyle">
    <w:name w:val="Calibri Style"/>
    <w:basedOn w:val="Normal"/>
    <w:rsid w:val="00E13E80"/>
    <w:pPr>
      <w:spacing w:after="60"/>
      <w:jc w:val="both"/>
    </w:pPr>
    <w:rPr>
      <w:rFonts w:ascii="Calibri" w:eastAsia="Times New Roman" w:hAnsi="Calibri" w:cs="Times New Roman"/>
      <w:lang w:val="en-GB"/>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E13E80"/>
    <w:pPr>
      <w:spacing w:line="240" w:lineRule="exact"/>
    </w:pPr>
    <w:rPr>
      <w:rFonts w:ascii="Verdana" w:eastAsia="Times New Roman" w:hAnsi="Verdana" w:cs="Times New Roman"/>
      <w:sz w:val="20"/>
      <w:szCs w:val="20"/>
    </w:rPr>
  </w:style>
  <w:style w:type="paragraph" w:customStyle="1" w:styleId="PORbullets">
    <w:name w:val="POR bullets"/>
    <w:basedOn w:val="Normal"/>
    <w:rsid w:val="00E13E80"/>
    <w:pPr>
      <w:numPr>
        <w:numId w:val="8"/>
      </w:numPr>
      <w:spacing w:after="0"/>
    </w:pPr>
    <w:rPr>
      <w:rFonts w:eastAsia="Times New Roman" w:cs="Times New Roman"/>
      <w:noProof/>
      <w:lang w:val="sr-Cyrl-CS"/>
    </w:rPr>
  </w:style>
  <w:style w:type="paragraph" w:customStyle="1" w:styleId="Akcioniplan1">
    <w:name w:val="Akcioni plan 1"/>
    <w:basedOn w:val="Normal"/>
    <w:autoRedefine/>
    <w:rsid w:val="00E13E80"/>
    <w:pPr>
      <w:tabs>
        <w:tab w:val="left" w:pos="8460"/>
      </w:tabs>
      <w:spacing w:after="0"/>
      <w:jc w:val="center"/>
    </w:pPr>
    <w:rPr>
      <w:rFonts w:eastAsia="Times New Roman" w:cs="Times New Roman"/>
      <w:b/>
      <w:noProof/>
      <w:sz w:val="28"/>
      <w:szCs w:val="28"/>
      <w:lang w:val="ru-RU"/>
    </w:rPr>
  </w:style>
  <w:style w:type="paragraph" w:customStyle="1" w:styleId="Akcioniplan2">
    <w:name w:val="Akcioni plan 2"/>
    <w:basedOn w:val="Normal"/>
    <w:autoRedefine/>
    <w:rsid w:val="00E13E80"/>
    <w:pPr>
      <w:spacing w:after="0"/>
    </w:pPr>
    <w:rPr>
      <w:rFonts w:ascii="Times New Roman Bold" w:eastAsia="Times New Roman" w:hAnsi="Times New Roman Bold" w:cs="Times New Roman"/>
      <w:b/>
      <w:noProof/>
      <w:sz w:val="20"/>
      <w:szCs w:val="20"/>
      <w:lang w:val="sr-Latn-CS"/>
    </w:rPr>
  </w:style>
  <w:style w:type="paragraph" w:customStyle="1" w:styleId="PEXON-NORMAL">
    <w:name w:val="PEXON-NORMAL"/>
    <w:basedOn w:val="Normal"/>
    <w:next w:val="Normal"/>
    <w:rsid w:val="00E13E80"/>
    <w:pPr>
      <w:widowControl w:val="0"/>
      <w:autoSpaceDE w:val="0"/>
      <w:autoSpaceDN w:val="0"/>
      <w:adjustRightInd w:val="0"/>
      <w:spacing w:before="80" w:after="80"/>
      <w:jc w:val="both"/>
    </w:pPr>
    <w:rPr>
      <w:rFonts w:ascii="Arial" w:eastAsia="Times New Roman" w:hAnsi="Arial" w:cs="Arial"/>
      <w:lang w:val="sr-Latn-CS"/>
    </w:rPr>
  </w:style>
  <w:style w:type="character" w:customStyle="1" w:styleId="PEXON-NORMALChar">
    <w:name w:val="PEXON-NORMAL Char"/>
    <w:locked/>
    <w:rsid w:val="00E13E80"/>
    <w:rPr>
      <w:rFonts w:ascii="Arial" w:hAnsi="Arial" w:cs="Arial"/>
      <w:sz w:val="22"/>
      <w:szCs w:val="22"/>
      <w:lang w:val="sr-Latn-CS" w:eastAsia="en-US" w:bidi="ar-SA"/>
    </w:rPr>
  </w:style>
  <w:style w:type="paragraph" w:customStyle="1" w:styleId="Akcioniplan4">
    <w:name w:val="Akcioni plan 4"/>
    <w:basedOn w:val="Normal"/>
    <w:rsid w:val="00E13E80"/>
    <w:pPr>
      <w:spacing w:after="0"/>
      <w:jc w:val="both"/>
    </w:pPr>
    <w:rPr>
      <w:rFonts w:eastAsia="Times New Roman" w:cs="Times New Roman"/>
      <w:b/>
      <w:i/>
      <w:noProof/>
      <w:sz w:val="20"/>
      <w:szCs w:val="20"/>
      <w:lang w:val="sr-Latn-CS"/>
    </w:rPr>
  </w:style>
  <w:style w:type="paragraph" w:customStyle="1" w:styleId="CharChar3Char">
    <w:name w:val="Char Char3 Char"/>
    <w:basedOn w:val="Normal"/>
    <w:rsid w:val="00E13E80"/>
    <w:pPr>
      <w:spacing w:line="240" w:lineRule="exact"/>
    </w:pPr>
    <w:rPr>
      <w:rFonts w:ascii="Verdana" w:eastAsia="Times New Roman" w:hAnsi="Verdana" w:cs="Times New Roman"/>
      <w:sz w:val="20"/>
      <w:szCs w:val="20"/>
    </w:rPr>
  </w:style>
  <w:style w:type="paragraph" w:customStyle="1" w:styleId="TableContents">
    <w:name w:val="Table Contents"/>
    <w:basedOn w:val="Normal"/>
    <w:rsid w:val="00E13E80"/>
    <w:pPr>
      <w:suppressLineNumbers/>
      <w:suppressAutoHyphens/>
      <w:spacing w:after="0"/>
    </w:pPr>
    <w:rPr>
      <w:rFonts w:eastAsia="Times New Roman" w:cs="Times New Roman"/>
      <w:szCs w:val="24"/>
      <w:lang w:val="sr-Latn-CS" w:eastAsia="ar-SA"/>
    </w:rPr>
  </w:style>
  <w:style w:type="paragraph" w:customStyle="1" w:styleId="CharChar3CharCharCharChar">
    <w:name w:val="Char Char3 Char Char Char Char"/>
    <w:basedOn w:val="Normal"/>
    <w:rsid w:val="00E13E80"/>
    <w:pPr>
      <w:spacing w:line="240" w:lineRule="exact"/>
    </w:pPr>
    <w:rPr>
      <w:rFonts w:ascii="Verdana" w:eastAsia="Times New Roman" w:hAnsi="Verdana" w:cs="Times New Roman"/>
      <w:sz w:val="20"/>
      <w:szCs w:val="20"/>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rsid w:val="00E13E80"/>
    <w:pPr>
      <w:tabs>
        <w:tab w:val="left" w:pos="709"/>
      </w:tabs>
      <w:spacing w:after="0"/>
    </w:pPr>
    <w:rPr>
      <w:rFonts w:ascii="Arial Narrow" w:eastAsia="Times New Roman" w:hAnsi="Arial Narrow" w:cs="Times New Roman"/>
      <w:b/>
      <w:sz w:val="26"/>
      <w:szCs w:val="24"/>
      <w:lang w:val="pl-PL" w:eastAsia="pl-PL"/>
    </w:rPr>
  </w:style>
  <w:style w:type="character" w:styleId="FollowedHyperlink">
    <w:name w:val="FollowedHyperlink"/>
    <w:uiPriority w:val="99"/>
    <w:rsid w:val="00E13E80"/>
    <w:rPr>
      <w:color w:val="800080"/>
      <w:u w:val="single"/>
    </w:rPr>
  </w:style>
  <w:style w:type="character" w:customStyle="1" w:styleId="CharChar1">
    <w:name w:val="Char Char1"/>
    <w:locked/>
    <w:rsid w:val="00E13E80"/>
    <w:rPr>
      <w:noProof/>
      <w:sz w:val="16"/>
      <w:szCs w:val="16"/>
      <w:lang w:val="sr-Cyrl-CS" w:eastAsia="en-US" w:bidi="ar-SA"/>
    </w:rPr>
  </w:style>
  <w:style w:type="paragraph" w:customStyle="1" w:styleId="Char1CharCharChar">
    <w:name w:val="Char1 Char Char Char"/>
    <w:basedOn w:val="Normal"/>
    <w:rsid w:val="00E13E80"/>
    <w:pPr>
      <w:spacing w:line="240" w:lineRule="exact"/>
    </w:pPr>
    <w:rPr>
      <w:rFonts w:ascii="Verdana" w:eastAsia="Times New Roman" w:hAnsi="Verdana" w:cs="Times New Roman"/>
      <w:sz w:val="20"/>
      <w:szCs w:val="20"/>
      <w:lang w:val="sr-Latn-CS"/>
    </w:rPr>
  </w:style>
  <w:style w:type="numbering" w:styleId="111111">
    <w:name w:val="Outline List 2"/>
    <w:basedOn w:val="NoList"/>
    <w:rsid w:val="00E13E80"/>
    <w:pPr>
      <w:numPr>
        <w:numId w:val="9"/>
      </w:numPr>
    </w:pPr>
  </w:style>
  <w:style w:type="paragraph" w:styleId="Revision">
    <w:name w:val="Revision"/>
    <w:hidden/>
    <w:uiPriority w:val="99"/>
    <w:semiHidden/>
    <w:rsid w:val="00E13E80"/>
    <w:pPr>
      <w:spacing w:after="0" w:line="240" w:lineRule="auto"/>
    </w:pPr>
    <w:rPr>
      <w:rFonts w:ascii="Times New Roman" w:eastAsia="Times New Roman" w:hAnsi="Times New Roman" w:cs="Times New Roman"/>
      <w:sz w:val="24"/>
      <w:szCs w:val="24"/>
      <w:lang w:val="sr-Latn-CS" w:eastAsia="en-GB"/>
    </w:rPr>
  </w:style>
  <w:style w:type="paragraph" w:styleId="TOC4">
    <w:name w:val="toc 4"/>
    <w:basedOn w:val="Normal"/>
    <w:next w:val="Normal"/>
    <w:autoRedefine/>
    <w:uiPriority w:val="39"/>
    <w:unhideWhenUsed/>
    <w:rsid w:val="00E13E80"/>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13E80"/>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13E80"/>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13E80"/>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13E80"/>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13E80"/>
    <w:pPr>
      <w:spacing w:after="100" w:line="276" w:lineRule="auto"/>
      <w:ind w:left="1760"/>
    </w:pPr>
    <w:rPr>
      <w:rFonts w:ascii="Calibri" w:eastAsia="Times New Roman" w:hAnsi="Calibri" w:cs="Times New Roman"/>
    </w:rPr>
  </w:style>
  <w:style w:type="paragraph" w:customStyle="1" w:styleId="RENA-normal">
    <w:name w:val="RENA-normal"/>
    <w:basedOn w:val="Normal"/>
    <w:qFormat/>
    <w:rsid w:val="00E13E80"/>
    <w:pPr>
      <w:suppressAutoHyphens/>
      <w:autoSpaceDN w:val="0"/>
      <w:jc w:val="both"/>
      <w:textAlignment w:val="baseline"/>
    </w:pPr>
    <w:rPr>
      <w:rFonts w:ascii="Garamond" w:eastAsia="Times New Roman" w:hAnsi="Garamond" w:cs="Times New Roman"/>
      <w:szCs w:val="24"/>
      <w:lang w:val="en-GB"/>
    </w:rPr>
  </w:style>
  <w:style w:type="character" w:customStyle="1" w:styleId="hps">
    <w:name w:val="hps"/>
    <w:rsid w:val="00E13E80"/>
  </w:style>
  <w:style w:type="paragraph" w:customStyle="1" w:styleId="rvps1">
    <w:name w:val="rvps1"/>
    <w:basedOn w:val="Normal"/>
    <w:rsid w:val="00E13E80"/>
    <w:pPr>
      <w:spacing w:after="0"/>
    </w:pPr>
    <w:rPr>
      <w:rFonts w:eastAsia="Times New Roman" w:cs="Times New Roman"/>
      <w:szCs w:val="24"/>
    </w:rPr>
  </w:style>
  <w:style w:type="character" w:customStyle="1" w:styleId="rvts1">
    <w:name w:val="rvts1"/>
    <w:rsid w:val="00E13E80"/>
    <w:rPr>
      <w:b w:val="0"/>
      <w:bCs w:val="0"/>
      <w:i/>
      <w:iCs/>
      <w:color w:val="008000"/>
      <w:sz w:val="20"/>
      <w:szCs w:val="20"/>
    </w:rPr>
  </w:style>
  <w:style w:type="character" w:customStyle="1" w:styleId="rvts13">
    <w:name w:val="rvts13"/>
    <w:rsid w:val="00E13E80"/>
    <w:rPr>
      <w:b w:val="0"/>
      <w:bCs w:val="0"/>
      <w:color w:val="000000"/>
      <w:sz w:val="20"/>
      <w:szCs w:val="20"/>
      <w:shd w:val="clear" w:color="auto" w:fill="FFFF00"/>
    </w:rPr>
  </w:style>
  <w:style w:type="character" w:customStyle="1" w:styleId="longtext1">
    <w:name w:val="long_text1"/>
    <w:uiPriority w:val="99"/>
    <w:rsid w:val="00E13E80"/>
    <w:rPr>
      <w:sz w:val="20"/>
      <w:szCs w:val="20"/>
    </w:rPr>
  </w:style>
  <w:style w:type="character" w:customStyle="1" w:styleId="atn">
    <w:name w:val="atn"/>
    <w:basedOn w:val="DefaultParagraphFont"/>
    <w:rsid w:val="00E13E80"/>
  </w:style>
  <w:style w:type="paragraph" w:customStyle="1" w:styleId="Char5">
    <w:name w:val="Char5"/>
    <w:basedOn w:val="Normal"/>
    <w:rsid w:val="00DD26D2"/>
    <w:pPr>
      <w:spacing w:line="240" w:lineRule="exact"/>
    </w:pPr>
    <w:rPr>
      <w:rFonts w:ascii="Verdana" w:eastAsia="Times New Roman" w:hAnsi="Verdana" w:cs="Times New Roman"/>
      <w:sz w:val="20"/>
      <w:szCs w:val="20"/>
    </w:rPr>
  </w:style>
  <w:style w:type="table" w:customStyle="1" w:styleId="Tabellenraster1">
    <w:name w:val="Tabellenraster1"/>
    <w:basedOn w:val="TableNormal"/>
    <w:next w:val="TableGrid"/>
    <w:uiPriority w:val="59"/>
    <w:rsid w:val="00BF5F94"/>
    <w:pPr>
      <w:spacing w:after="0" w:line="240" w:lineRule="auto"/>
    </w:pPr>
    <w:rPr>
      <w:rFonts w:ascii="Tms Rmn" w:eastAsia="Times New Roman" w:hAnsi="Tms Rmn" w:cs="Times New Roman"/>
      <w:sz w:val="20"/>
      <w:szCs w:val="20"/>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itternetztabelle4Akzent11">
    <w:name w:val="Gitternetztabelle 4 – Akzent 11"/>
    <w:basedOn w:val="TableNormal"/>
    <w:uiPriority w:val="49"/>
    <w:rsid w:val="00671492"/>
    <w:pPr>
      <w:spacing w:after="0" w:line="240" w:lineRule="auto"/>
    </w:pPr>
    <w:rPr>
      <w:rFonts w:ascii="Tms Rmn" w:eastAsia="Times New Roman" w:hAnsi="Tms Rmn" w:cs="Times New Roman"/>
      <w:sz w:val="20"/>
      <w:szCs w:val="20"/>
      <w:lang w:val="de-AT"/>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
    <w:name w:val="Table Grid2"/>
    <w:basedOn w:val="TableNormal"/>
    <w:next w:val="TableGrid"/>
    <w:uiPriority w:val="39"/>
    <w:unhideWhenUsed/>
    <w:rsid w:val="00E06A8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C769C"/>
    <w:pPr>
      <w:spacing w:after="0" w:line="240" w:lineRule="auto"/>
    </w:pPr>
    <w:rPr>
      <w:rFonts w:ascii="Tms Rmn" w:eastAsia="Times New Roman" w:hAnsi="Tms Rmn" w:cs="Times New Roman"/>
      <w:sz w:val="20"/>
      <w:szCs w:val="20"/>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satz-Aufzhlung1">
    <w:name w:val="Absatz-Aufzählung 1"/>
    <w:basedOn w:val="Normal"/>
    <w:rsid w:val="007D5024"/>
    <w:pPr>
      <w:numPr>
        <w:numId w:val="10"/>
      </w:numPr>
      <w:tabs>
        <w:tab w:val="left" w:pos="227"/>
      </w:tabs>
      <w:spacing w:after="60" w:line="262" w:lineRule="exact"/>
      <w:jc w:val="both"/>
    </w:pPr>
    <w:rPr>
      <w:rFonts w:ascii="Arial" w:eastAsia="Times New Roman" w:hAnsi="Arial" w:cs="Times New Roman"/>
      <w:sz w:val="20"/>
      <w:szCs w:val="20"/>
      <w:lang w:val="uz-Cyrl-UZ" w:eastAsia="de-DE"/>
    </w:rPr>
  </w:style>
  <w:style w:type="table" w:customStyle="1" w:styleId="13">
    <w:name w:val="13"/>
    <w:basedOn w:val="TableNormal"/>
    <w:rsid w:val="00763EC3"/>
    <w:pPr>
      <w:spacing w:after="200" w:line="240" w:lineRule="auto"/>
    </w:pPr>
    <w:rPr>
      <w:rFonts w:ascii="Calibri" w:eastAsia="Calibri" w:hAnsi="Calibri" w:cs="Calibri"/>
    </w:rPr>
    <w:tblPr>
      <w:tblStyleRowBandSize w:val="1"/>
      <w:tblStyleColBandSize w:val="1"/>
      <w:tblCellMar>
        <w:left w:w="115" w:type="dxa"/>
        <w:right w:w="115" w:type="dxa"/>
      </w:tblCellMar>
    </w:tblPr>
  </w:style>
  <w:style w:type="paragraph" w:customStyle="1" w:styleId="potpis">
    <w:name w:val="potpis"/>
    <w:basedOn w:val="Normal"/>
    <w:rsid w:val="00674CF3"/>
    <w:pPr>
      <w:spacing w:before="100" w:beforeAutospacing="1" w:after="100" w:afterAutospacing="1"/>
    </w:pPr>
    <w:rPr>
      <w:rFonts w:eastAsia="Times New Roman" w:cs="Times New Roman"/>
      <w:szCs w:val="24"/>
      <w:lang w:val="en-GB" w:eastAsia="en-GB"/>
    </w:rPr>
  </w:style>
  <w:style w:type="character" w:customStyle="1" w:styleId="bold">
    <w:name w:val="bold"/>
    <w:basedOn w:val="DefaultParagraphFont"/>
    <w:rsid w:val="00674CF3"/>
  </w:style>
  <w:style w:type="paragraph" w:customStyle="1" w:styleId="doc-ti">
    <w:name w:val="doc-ti"/>
    <w:basedOn w:val="Normal"/>
    <w:rsid w:val="00067CE7"/>
    <w:pPr>
      <w:spacing w:before="100" w:beforeAutospacing="1" w:after="100" w:afterAutospacing="1"/>
    </w:pPr>
    <w:rPr>
      <w:rFonts w:eastAsia="Times New Roman" w:cs="Times New Roman"/>
      <w:szCs w:val="24"/>
    </w:rPr>
  </w:style>
  <w:style w:type="paragraph" w:customStyle="1" w:styleId="CM1">
    <w:name w:val="CM1"/>
    <w:basedOn w:val="Default"/>
    <w:next w:val="Default"/>
    <w:uiPriority w:val="99"/>
    <w:rsid w:val="004310E8"/>
    <w:rPr>
      <w:rFonts w:ascii="EU Albertina" w:hAnsi="EU Albertina" w:cstheme="minorBidi"/>
      <w:color w:val="auto"/>
    </w:rPr>
  </w:style>
  <w:style w:type="paragraph" w:customStyle="1" w:styleId="CM3">
    <w:name w:val="CM3"/>
    <w:basedOn w:val="Default"/>
    <w:next w:val="Default"/>
    <w:uiPriority w:val="99"/>
    <w:rsid w:val="004310E8"/>
    <w:rPr>
      <w:rFonts w:ascii="EU Albertina" w:hAnsi="EU Albertina" w:cstheme="minorBidi"/>
      <w:color w:val="auto"/>
    </w:rPr>
  </w:style>
  <w:style w:type="paragraph" w:customStyle="1" w:styleId="odluka-zakon">
    <w:name w:val="odluka-zakon"/>
    <w:basedOn w:val="Normal"/>
    <w:rsid w:val="00083CB3"/>
    <w:pPr>
      <w:spacing w:before="100" w:beforeAutospacing="1" w:after="100" w:afterAutospacing="1"/>
    </w:pPr>
    <w:rPr>
      <w:rFonts w:eastAsia="Times New Roman" w:cs="Times New Roman"/>
      <w:szCs w:val="24"/>
    </w:rPr>
  </w:style>
  <w:style w:type="paragraph" w:customStyle="1" w:styleId="centar">
    <w:name w:val="centar"/>
    <w:basedOn w:val="Normal"/>
    <w:rsid w:val="00083CB3"/>
    <w:pPr>
      <w:spacing w:before="100" w:beforeAutospacing="1" w:after="100" w:afterAutospacing="1"/>
    </w:pPr>
    <w:rPr>
      <w:rFonts w:eastAsia="Times New Roman" w:cs="Times New Roman"/>
      <w:szCs w:val="24"/>
    </w:rPr>
  </w:style>
  <w:style w:type="paragraph" w:customStyle="1" w:styleId="clan0">
    <w:name w:val="clan"/>
    <w:basedOn w:val="Normal"/>
    <w:rsid w:val="00083CB3"/>
    <w:pPr>
      <w:spacing w:before="100" w:beforeAutospacing="1" w:after="100" w:afterAutospacing="1"/>
    </w:pPr>
    <w:rPr>
      <w:rFonts w:eastAsia="Times New Roman" w:cs="Times New Roman"/>
      <w:szCs w:val="24"/>
    </w:rPr>
  </w:style>
  <w:style w:type="paragraph" w:customStyle="1" w:styleId="16Point">
    <w:name w:val="16 Point"/>
    <w:aliases w:val="Superscript 6 Point,Odwołanie przypisu,Ref,de nota al pie,footnote ref,2001+ Fußnotenzeichen,BVI fnr Знак Знак,BVI fnr Car Car Знак Знак,BVI fnr Car Знак Знак,R"/>
    <w:basedOn w:val="Normal"/>
    <w:uiPriority w:val="99"/>
    <w:rsid w:val="00AA0693"/>
    <w:pPr>
      <w:spacing w:before="120" w:after="160" w:line="240" w:lineRule="exact"/>
      <w:jc w:val="both"/>
    </w:pPr>
    <w:rPr>
      <w:rFonts w:asciiTheme="minorHAnsi" w:eastAsiaTheme="minorEastAsia" w:hAnsiTheme="minorHAnsi"/>
      <w:sz w:val="22"/>
      <w:vertAlign w:val="superscript"/>
      <w:lang w:val="en-GB" w:eastAsia="en-GB"/>
    </w:rPr>
  </w:style>
  <w:style w:type="character" w:customStyle="1" w:styleId="superscript">
    <w:name w:val="superscript"/>
    <w:basedOn w:val="DefaultParagraphFont"/>
    <w:rsid w:val="00CE2839"/>
  </w:style>
  <w:style w:type="character" w:customStyle="1" w:styleId="naslovpropisa1">
    <w:name w:val="naslovpropisa1"/>
    <w:basedOn w:val="DefaultParagraphFont"/>
    <w:rsid w:val="00CE2839"/>
  </w:style>
  <w:style w:type="character" w:customStyle="1" w:styleId="naslovpropisa1a">
    <w:name w:val="naslovpropisa1a"/>
    <w:basedOn w:val="DefaultParagraphFont"/>
    <w:rsid w:val="00CE2839"/>
  </w:style>
  <w:style w:type="paragraph" w:customStyle="1" w:styleId="tabela">
    <w:name w:val="tabela"/>
    <w:basedOn w:val="Normal"/>
    <w:rsid w:val="00CE2839"/>
    <w:pPr>
      <w:spacing w:before="100" w:beforeAutospacing="1" w:after="100" w:afterAutospacing="1"/>
    </w:pPr>
    <w:rPr>
      <w:rFonts w:eastAsia="Times New Roman" w:cs="Times New Roman"/>
      <w:szCs w:val="24"/>
      <w:lang w:val="en-GB" w:eastAsia="en-GB"/>
    </w:rPr>
  </w:style>
  <w:style w:type="character" w:customStyle="1" w:styleId="UnresolvedMention1">
    <w:name w:val="Unresolved Mention1"/>
    <w:basedOn w:val="DefaultParagraphFont"/>
    <w:uiPriority w:val="99"/>
    <w:semiHidden/>
    <w:unhideWhenUsed/>
    <w:rsid w:val="00CE2839"/>
    <w:rPr>
      <w:color w:val="605E5C"/>
      <w:shd w:val="clear" w:color="auto" w:fill="E1DFDD"/>
    </w:rPr>
  </w:style>
  <w:style w:type="paragraph" w:customStyle="1" w:styleId="normaluvuceni">
    <w:name w:val="normal_uvuceni"/>
    <w:basedOn w:val="Normal"/>
    <w:rsid w:val="00CE2839"/>
    <w:pPr>
      <w:spacing w:before="100" w:beforeAutospacing="1" w:after="100" w:afterAutospacing="1"/>
    </w:pPr>
    <w:rPr>
      <w:rFonts w:eastAsia="Times New Roman" w:cs="Times New Roman"/>
      <w:szCs w:val="24"/>
      <w:lang w:val="en-GB" w:eastAsia="en-GB"/>
    </w:rPr>
  </w:style>
  <w:style w:type="paragraph" w:styleId="z-TopofForm">
    <w:name w:val="HTML Top of Form"/>
    <w:basedOn w:val="Normal"/>
    <w:next w:val="Normal"/>
    <w:link w:val="z-TopofFormChar"/>
    <w:hidden/>
    <w:uiPriority w:val="99"/>
    <w:semiHidden/>
    <w:unhideWhenUsed/>
    <w:rsid w:val="006F65C1"/>
    <w:pPr>
      <w:pBdr>
        <w:bottom w:val="single" w:sz="6" w:space="1" w:color="auto"/>
      </w:pBdr>
      <w:spacing w:after="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F65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F65C1"/>
    <w:pPr>
      <w:pBdr>
        <w:top w:val="single" w:sz="6" w:space="1" w:color="auto"/>
      </w:pBdr>
      <w:spacing w:after="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F65C1"/>
    <w:rPr>
      <w:rFonts w:ascii="Arial" w:eastAsia="Times New Roman" w:hAnsi="Arial" w:cs="Arial"/>
      <w:vanish/>
      <w:sz w:val="16"/>
      <w:szCs w:val="16"/>
    </w:rPr>
  </w:style>
  <w:style w:type="character" w:customStyle="1" w:styleId="UnresolvedMention11">
    <w:name w:val="Unresolved Mention11"/>
    <w:basedOn w:val="DefaultParagraphFont"/>
    <w:uiPriority w:val="99"/>
    <w:semiHidden/>
    <w:unhideWhenUsed/>
    <w:rsid w:val="00961D42"/>
    <w:rPr>
      <w:color w:val="605E5C"/>
      <w:shd w:val="clear" w:color="auto" w:fill="E1DFDD"/>
    </w:rPr>
  </w:style>
  <w:style w:type="paragraph" w:customStyle="1" w:styleId="v1msonormal">
    <w:name w:val="v1msonormal"/>
    <w:basedOn w:val="Normal"/>
    <w:rsid w:val="00961D42"/>
    <w:pPr>
      <w:spacing w:before="100" w:beforeAutospacing="1" w:after="100" w:afterAutospacing="1"/>
    </w:pPr>
    <w:rPr>
      <w:rFonts w:eastAsia="Times New Roman" w:cs="Times New Roman"/>
      <w:szCs w:val="24"/>
    </w:rPr>
  </w:style>
  <w:style w:type="paragraph" w:customStyle="1" w:styleId="v1msolistparagraph">
    <w:name w:val="v1msolistparagraph"/>
    <w:basedOn w:val="Normal"/>
    <w:rsid w:val="00961D42"/>
    <w:pPr>
      <w:spacing w:before="100" w:beforeAutospacing="1" w:after="100" w:afterAutospacing="1"/>
    </w:pPr>
    <w:rPr>
      <w:rFonts w:eastAsia="Times New Roman" w:cs="Times New Roman"/>
      <w:szCs w:val="24"/>
    </w:rPr>
  </w:style>
  <w:style w:type="paragraph" w:customStyle="1" w:styleId="li">
    <w:name w:val="li"/>
    <w:basedOn w:val="Normal"/>
    <w:rsid w:val="00961D42"/>
    <w:pPr>
      <w:spacing w:before="100" w:beforeAutospacing="1" w:after="100" w:afterAutospacing="1"/>
    </w:pPr>
    <w:rPr>
      <w:rFonts w:eastAsia="Times New Roman" w:cs="Times New Roman"/>
      <w:szCs w:val="24"/>
    </w:rPr>
  </w:style>
  <w:style w:type="character" w:customStyle="1" w:styleId="auto-style4">
    <w:name w:val="auto-style4"/>
    <w:basedOn w:val="DefaultParagraphFont"/>
    <w:rsid w:val="00477558"/>
  </w:style>
  <w:style w:type="character" w:customStyle="1" w:styleId="A3">
    <w:name w:val="A3"/>
    <w:uiPriority w:val="99"/>
    <w:rsid w:val="00BF78D1"/>
    <w:rPr>
      <w:rFonts w:cs="Roboto"/>
      <w:color w:val="211D1E"/>
      <w:sz w:val="11"/>
      <w:szCs w:val="11"/>
    </w:rPr>
  </w:style>
  <w:style w:type="paragraph" w:customStyle="1" w:styleId="AppelnotedebasdepCharChar">
    <w:name w:val="Appel note de bas de p Char Char"/>
    <w:aliases w:val="callout Char Char,ftref Char Char Char Char,BVI fnr Char Char Char Char,BVI fnr Car Car Char Char Char Char,BVI fnr Car Char Char Char Char,callo, BVI fnr Char Char Char Char"/>
    <w:basedOn w:val="Normal"/>
    <w:uiPriority w:val="99"/>
    <w:rsid w:val="00292DE8"/>
    <w:pPr>
      <w:spacing w:after="0"/>
      <w:jc w:val="both"/>
    </w:pPr>
    <w:rPr>
      <w:rFonts w:asciiTheme="minorHAnsi" w:hAnsiTheme="minorHAnsi"/>
      <w:sz w:val="22"/>
      <w:vertAlign w:val="superscript"/>
    </w:rPr>
  </w:style>
  <w:style w:type="paragraph" w:customStyle="1" w:styleId="paragraph">
    <w:name w:val="paragraph"/>
    <w:basedOn w:val="Normal"/>
    <w:rsid w:val="00C534CB"/>
    <w:pPr>
      <w:spacing w:before="100" w:beforeAutospacing="1" w:after="100" w:afterAutospacing="1"/>
    </w:pPr>
    <w:rPr>
      <w:rFonts w:eastAsia="Times New Roman" w:cs="Times New Roman"/>
      <w:szCs w:val="24"/>
    </w:rPr>
  </w:style>
  <w:style w:type="table" w:styleId="ListTable3-Accent1">
    <w:name w:val="List Table 3 Accent 1"/>
    <w:basedOn w:val="TableNormal"/>
    <w:uiPriority w:val="48"/>
    <w:rsid w:val="005F61B8"/>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rynqvb">
    <w:name w:val="rynqvb"/>
    <w:basedOn w:val="DefaultParagraphFont"/>
    <w:rsid w:val="001B5962"/>
  </w:style>
  <w:style w:type="character" w:customStyle="1" w:styleId="field-content">
    <w:name w:val="field-content"/>
    <w:basedOn w:val="DefaultParagraphFont"/>
    <w:rsid w:val="001B5962"/>
  </w:style>
  <w:style w:type="character" w:customStyle="1" w:styleId="UnresolvedMention2">
    <w:name w:val="Unresolved Mention2"/>
    <w:basedOn w:val="DefaultParagraphFont"/>
    <w:uiPriority w:val="99"/>
    <w:semiHidden/>
    <w:unhideWhenUsed/>
    <w:rsid w:val="0089167E"/>
    <w:rPr>
      <w:color w:val="605E5C"/>
      <w:shd w:val="clear" w:color="auto" w:fill="E1DFDD"/>
    </w:rPr>
  </w:style>
  <w:style w:type="paragraph" w:customStyle="1" w:styleId="pf0">
    <w:name w:val="pf0"/>
    <w:basedOn w:val="Normal"/>
    <w:rsid w:val="00D055D4"/>
    <w:pPr>
      <w:spacing w:before="100" w:beforeAutospacing="1" w:after="100" w:afterAutospacing="1"/>
    </w:pPr>
    <w:rPr>
      <w:rFonts w:eastAsia="Times New Roman" w:cs="Times New Roman"/>
      <w:szCs w:val="24"/>
    </w:rPr>
  </w:style>
  <w:style w:type="character" w:customStyle="1" w:styleId="cf01">
    <w:name w:val="cf01"/>
    <w:basedOn w:val="DefaultParagraphFont"/>
    <w:rsid w:val="00D055D4"/>
    <w:rPr>
      <w:rFonts w:ascii="Segoe UI" w:hAnsi="Segoe UI" w:cs="Segoe UI" w:hint="default"/>
      <w:sz w:val="18"/>
      <w:szCs w:val="18"/>
    </w:rPr>
  </w:style>
  <w:style w:type="character" w:customStyle="1" w:styleId="ListParagraphChar1">
    <w:name w:val="List Paragraph Char1"/>
    <w:aliases w:val="члан Char,List (Mannvit) Char,Left Bullet L1 Char,Table/Figure Heading Char1,Paragraph Char1,Bullet EY Char1,Normal bullet 2 Char1,Bullet list Char1,List Paragraph Red Char1,Resume Title Char1,Citation List Char1,List L1 Char1"/>
    <w:basedOn w:val="DefaultParagraphFont"/>
    <w:uiPriority w:val="34"/>
    <w:locked/>
    <w:rsid w:val="00D11521"/>
    <w:rPr>
      <w:rFonts w:ascii="Arial" w:hAnsi="Arial" w:cs="Arial"/>
      <w:lang w:val="en-GB"/>
    </w:rPr>
  </w:style>
  <w:style w:type="table" w:styleId="GridTable1Light">
    <w:name w:val="Grid Table 1 Light"/>
    <w:basedOn w:val="TableNormal"/>
    <w:uiPriority w:val="46"/>
    <w:rsid w:val="005103AD"/>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TMLPreformatted">
    <w:name w:val="HTML Preformatted"/>
    <w:basedOn w:val="Normal"/>
    <w:link w:val="HTMLPreformattedChar"/>
    <w:uiPriority w:val="99"/>
    <w:semiHidden/>
    <w:unhideWhenUsed/>
    <w:rsid w:val="0003265A"/>
    <w:pPr>
      <w:spacing w:after="0"/>
    </w:pPr>
    <w:rPr>
      <w:rFonts w:ascii="Consolas" w:eastAsia="Calibri" w:hAnsi="Consolas" w:cs="Times New Roman"/>
      <w:sz w:val="20"/>
      <w:szCs w:val="20"/>
    </w:rPr>
  </w:style>
  <w:style w:type="character" w:customStyle="1" w:styleId="HTMLPreformattedChar">
    <w:name w:val="HTML Preformatted Char"/>
    <w:basedOn w:val="DefaultParagraphFont"/>
    <w:link w:val="HTMLPreformatted"/>
    <w:uiPriority w:val="99"/>
    <w:semiHidden/>
    <w:rsid w:val="0003265A"/>
    <w:rPr>
      <w:rFonts w:ascii="Consolas" w:eastAsia="Calibri" w:hAnsi="Consolas" w:cs="Times New Roman"/>
      <w:sz w:val="20"/>
      <w:szCs w:val="20"/>
    </w:rPr>
  </w:style>
  <w:style w:type="paragraph" w:styleId="Subtitle">
    <w:name w:val="Subtitle"/>
    <w:basedOn w:val="Normal"/>
    <w:next w:val="Normal"/>
    <w:link w:val="SubtitleChar"/>
    <w:uiPriority w:val="11"/>
    <w:qFormat/>
    <w:rsid w:val="00E01E03"/>
    <w:pPr>
      <w:numPr>
        <w:ilvl w:val="1"/>
      </w:numPr>
      <w:spacing w:after="160"/>
      <w:jc w:val="both"/>
    </w:pPr>
    <w:rPr>
      <w:rFonts w:asciiTheme="minorHAnsi" w:eastAsiaTheme="minorEastAsia" w:hAnsiTheme="minorHAnsi"/>
      <w:color w:val="5A5A5A" w:themeColor="text1" w:themeTint="A5"/>
      <w:spacing w:val="15"/>
      <w:sz w:val="22"/>
      <w:lang w:val="en-GB" w:eastAsia="sr-Cyrl-RS"/>
    </w:rPr>
  </w:style>
  <w:style w:type="character" w:customStyle="1" w:styleId="SubtitleChar">
    <w:name w:val="Subtitle Char"/>
    <w:basedOn w:val="DefaultParagraphFont"/>
    <w:link w:val="Subtitle"/>
    <w:uiPriority w:val="11"/>
    <w:rsid w:val="00E01E03"/>
    <w:rPr>
      <w:rFonts w:eastAsiaTheme="minorEastAsia"/>
      <w:color w:val="5A5A5A" w:themeColor="text1" w:themeTint="A5"/>
      <w:spacing w:val="15"/>
      <w:lang w:val="en-GB" w:eastAsia="sr-Cyrl-RS"/>
    </w:rPr>
  </w:style>
  <w:style w:type="character" w:customStyle="1" w:styleId="subscript">
    <w:name w:val="subscript"/>
    <w:basedOn w:val="DefaultParagraphFont"/>
    <w:rsid w:val="00B77568"/>
  </w:style>
  <w:style w:type="character" w:customStyle="1" w:styleId="cf11">
    <w:name w:val="cf11"/>
    <w:basedOn w:val="DefaultParagraphFont"/>
    <w:rsid w:val="00B743F2"/>
    <w:rPr>
      <w:rFonts w:ascii="Segoe UI" w:hAnsi="Segoe UI" w:cs="Segoe UI" w:hint="default"/>
      <w:sz w:val="18"/>
      <w:szCs w:val="18"/>
    </w:rPr>
  </w:style>
  <w:style w:type="character" w:customStyle="1" w:styleId="v2-clan-left-1">
    <w:name w:val="v2-clan-left-1"/>
    <w:basedOn w:val="DefaultParagraphFont"/>
    <w:rsid w:val="00F26C75"/>
  </w:style>
  <w:style w:type="character" w:customStyle="1" w:styleId="v2-clan-left-3">
    <w:name w:val="v2-clan-left-3"/>
    <w:basedOn w:val="DefaultParagraphFont"/>
    <w:rsid w:val="00F26C75"/>
  </w:style>
  <w:style w:type="character" w:customStyle="1" w:styleId="normalchar1">
    <w:name w:val="normal__char1"/>
    <w:rsid w:val="00D77312"/>
    <w:rPr>
      <w:rFonts w:ascii="Arial" w:hAnsi="Arial" w:cs="Arial" w:hint="default"/>
      <w:sz w:val="22"/>
      <w:szCs w:val="22"/>
    </w:rPr>
  </w:style>
  <w:style w:type="paragraph" w:customStyle="1" w:styleId="xmsonormal">
    <w:name w:val="x_msonormal"/>
    <w:basedOn w:val="Normal"/>
    <w:uiPriority w:val="99"/>
    <w:rsid w:val="008C511F"/>
    <w:pPr>
      <w:spacing w:after="0"/>
    </w:pPr>
    <w:rPr>
      <w:rFonts w:ascii="Calibri" w:eastAsia="Calibri" w:hAnsi="Calibri" w:cs="Calibri"/>
      <w:sz w:val="22"/>
      <w:lang w:val="en-GB" w:eastAsia="en-GB"/>
    </w:rPr>
  </w:style>
  <w:style w:type="paragraph" w:customStyle="1" w:styleId="Normal2">
    <w:name w:val="Normal2"/>
    <w:basedOn w:val="Normal"/>
    <w:rsid w:val="00F463C8"/>
    <w:pPr>
      <w:spacing w:before="100" w:beforeAutospacing="1" w:after="100" w:afterAutospacing="1"/>
    </w:pPr>
    <w:rPr>
      <w:rFonts w:eastAsia="Times New Roman" w:cs="Times New Roman"/>
      <w:szCs w:val="24"/>
    </w:rPr>
  </w:style>
  <w:style w:type="paragraph" w:customStyle="1" w:styleId="TableParagraph">
    <w:name w:val="Table Paragraph"/>
    <w:basedOn w:val="Normal"/>
    <w:uiPriority w:val="1"/>
    <w:qFormat/>
    <w:rsid w:val="00B5084F"/>
    <w:pPr>
      <w:widowControl w:val="0"/>
      <w:autoSpaceDE w:val="0"/>
      <w:autoSpaceDN w:val="0"/>
      <w:spacing w:after="0"/>
    </w:pPr>
    <w:rPr>
      <w:rFonts w:eastAsia="Times New Roman" w:cs="Times New Roman"/>
      <w:sz w:val="22"/>
    </w:rPr>
  </w:style>
  <w:style w:type="character" w:customStyle="1" w:styleId="apple-converted-space">
    <w:name w:val="apple-converted-space"/>
    <w:basedOn w:val="DefaultParagraphFont"/>
    <w:rsid w:val="00211616"/>
  </w:style>
  <w:style w:type="paragraph" w:customStyle="1" w:styleId="a2">
    <w:name w:val="Текст"/>
    <w:basedOn w:val="Normal"/>
    <w:link w:val="Char0"/>
    <w:qFormat/>
    <w:rsid w:val="00F26A57"/>
    <w:pPr>
      <w:spacing w:after="0"/>
      <w:ind w:firstLine="720"/>
      <w:jc w:val="both"/>
    </w:pPr>
    <w:rPr>
      <w:rFonts w:eastAsia="Calibri" w:cs="Times New Roman"/>
      <w:szCs w:val="20"/>
      <w:lang w:val="x-none" w:eastAsia="x-none"/>
    </w:rPr>
  </w:style>
  <w:style w:type="character" w:customStyle="1" w:styleId="Char0">
    <w:name w:val="Текст Char"/>
    <w:link w:val="a2"/>
    <w:rsid w:val="00F26A57"/>
    <w:rPr>
      <w:rFonts w:ascii="Times New Roman" w:eastAsia="Calibri" w:hAnsi="Times New Roman" w:cs="Times New Roman"/>
      <w:sz w:val="24"/>
      <w:szCs w:val="20"/>
      <w:lang w:val="x-none" w:eastAsia="x-none"/>
    </w:rPr>
  </w:style>
  <w:style w:type="table" w:customStyle="1" w:styleId="TableNormal1">
    <w:name w:val="Table Normal1"/>
    <w:uiPriority w:val="2"/>
    <w:semiHidden/>
    <w:unhideWhenUsed/>
    <w:qFormat/>
    <w:rsid w:val="007D7243"/>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Figure">
    <w:name w:val="Figure"/>
    <w:basedOn w:val="Caption"/>
    <w:link w:val="FigureChar"/>
    <w:autoRedefine/>
    <w:qFormat/>
    <w:rsid w:val="007D7243"/>
    <w:pPr>
      <w:spacing w:after="0" w:line="240" w:lineRule="auto"/>
      <w:jc w:val="left"/>
    </w:pPr>
    <w:rPr>
      <w:rFonts w:ascii="Times New Roman" w:hAnsi="Times New Roman"/>
      <w:bCs w:val="0"/>
      <w:sz w:val="24"/>
      <w:szCs w:val="24"/>
      <w:lang w:val="sr-Cyrl-RS" w:eastAsia="de-AT"/>
    </w:rPr>
  </w:style>
  <w:style w:type="character" w:customStyle="1" w:styleId="FigureChar">
    <w:name w:val="Figure Char"/>
    <w:basedOn w:val="DefaultParagraphFont"/>
    <w:link w:val="Figure"/>
    <w:rsid w:val="007D7243"/>
    <w:rPr>
      <w:rFonts w:ascii="Times New Roman" w:eastAsia="Times New Roman" w:hAnsi="Times New Roman" w:cs="Times New Roman"/>
      <w:b/>
      <w:sz w:val="24"/>
      <w:szCs w:val="24"/>
      <w:lang w:val="sr-Cyrl-RS" w:eastAsia="de-AT"/>
    </w:rPr>
  </w:style>
  <w:style w:type="table" w:customStyle="1" w:styleId="TableGrid9">
    <w:name w:val="Table Grid9"/>
    <w:basedOn w:val="TableNormal"/>
    <w:next w:val="TableGrid"/>
    <w:uiPriority w:val="39"/>
    <w:rsid w:val="007D7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Report Title"/>
    <w:basedOn w:val="DefaultParagraphFont"/>
    <w:uiPriority w:val="19"/>
    <w:qFormat/>
    <w:rsid w:val="007D7243"/>
    <w:rPr>
      <w:rFonts w:ascii="Calibri" w:hAnsi="Calibri" w:cs="Arial"/>
      <w:smallCaps/>
      <w:color w:val="1F4E79" w:themeColor="accent1" w:themeShade="80"/>
      <w:szCs w:val="28"/>
      <w:lang w:eastAsia="de-AT"/>
    </w:rPr>
  </w:style>
  <w:style w:type="paragraph" w:styleId="TableofFigures">
    <w:name w:val="table of figures"/>
    <w:basedOn w:val="Normal"/>
    <w:next w:val="Normal"/>
    <w:uiPriority w:val="99"/>
    <w:unhideWhenUsed/>
    <w:rsid w:val="007D7243"/>
    <w:pPr>
      <w:spacing w:before="120" w:after="0"/>
      <w:jc w:val="both"/>
    </w:pPr>
    <w:rPr>
      <w:rFonts w:ascii="Calibri" w:eastAsia="Times New Roman" w:hAnsi="Calibri" w:cs="Arial"/>
      <w:bCs/>
      <w:color w:val="002060"/>
      <w:sz w:val="20"/>
      <w:lang w:val="sr-Cyrl-RS" w:eastAsia="de-AT"/>
    </w:rPr>
  </w:style>
  <w:style w:type="paragraph" w:styleId="EndnoteText">
    <w:name w:val="endnote text"/>
    <w:basedOn w:val="Normal"/>
    <w:link w:val="EndnoteTextChar"/>
    <w:uiPriority w:val="99"/>
    <w:semiHidden/>
    <w:unhideWhenUsed/>
    <w:rsid w:val="007D7243"/>
    <w:pPr>
      <w:spacing w:after="0"/>
      <w:jc w:val="both"/>
    </w:pPr>
    <w:rPr>
      <w:rFonts w:ascii="Calibri" w:eastAsia="Times New Roman" w:hAnsi="Calibri" w:cs="Arial"/>
      <w:bCs/>
      <w:sz w:val="20"/>
      <w:szCs w:val="20"/>
      <w:lang w:val="sr-Cyrl-RS" w:eastAsia="de-AT"/>
    </w:rPr>
  </w:style>
  <w:style w:type="character" w:customStyle="1" w:styleId="EndnoteTextChar">
    <w:name w:val="Endnote Text Char"/>
    <w:basedOn w:val="DefaultParagraphFont"/>
    <w:link w:val="EndnoteText"/>
    <w:uiPriority w:val="99"/>
    <w:semiHidden/>
    <w:rsid w:val="007D7243"/>
    <w:rPr>
      <w:rFonts w:ascii="Calibri" w:eastAsia="Times New Roman" w:hAnsi="Calibri" w:cs="Arial"/>
      <w:bCs/>
      <w:sz w:val="20"/>
      <w:szCs w:val="20"/>
      <w:lang w:val="sr-Cyrl-RS" w:eastAsia="de-AT"/>
    </w:rPr>
  </w:style>
  <w:style w:type="character" w:styleId="EndnoteReference">
    <w:name w:val="endnote reference"/>
    <w:basedOn w:val="DefaultParagraphFont"/>
    <w:uiPriority w:val="99"/>
    <w:semiHidden/>
    <w:unhideWhenUsed/>
    <w:rsid w:val="007D7243"/>
    <w:rPr>
      <w:vertAlign w:val="superscript"/>
    </w:rPr>
  </w:style>
  <w:style w:type="table" w:customStyle="1" w:styleId="TableGrid1">
    <w:name w:val="Table Grid1"/>
    <w:basedOn w:val="TableNormal"/>
    <w:next w:val="TableGrid"/>
    <w:uiPriority w:val="39"/>
    <w:rsid w:val="007D7243"/>
    <w:pPr>
      <w:spacing w:after="0" w:line="240" w:lineRule="auto"/>
    </w:pPr>
    <w:rPr>
      <w:rFonts w:ascii="Times New Roman" w:eastAsia="Calibri" w:hAnsi="Times New Roman" w:cs="Times New Roman"/>
      <w:sz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7D7243"/>
    <w:rPr>
      <w:b/>
      <w:bCs/>
      <w:smallCaps/>
      <w:color w:val="5B9BD5" w:themeColor="accent1"/>
      <w:spacing w:val="5"/>
    </w:rPr>
  </w:style>
  <w:style w:type="character" w:styleId="PlaceholderText">
    <w:name w:val="Placeholder Text"/>
    <w:basedOn w:val="DefaultParagraphFont"/>
    <w:uiPriority w:val="99"/>
    <w:semiHidden/>
    <w:rsid w:val="007D7243"/>
    <w:rPr>
      <w:color w:val="808080"/>
    </w:rPr>
  </w:style>
  <w:style w:type="paragraph" w:customStyle="1" w:styleId="gmail-m779855214237077301msolistparagraph">
    <w:name w:val="gmail-m_779855214237077301msolistparagraph"/>
    <w:basedOn w:val="Normal"/>
    <w:rsid w:val="007D7243"/>
    <w:pPr>
      <w:spacing w:before="100" w:beforeAutospacing="1" w:after="100" w:afterAutospacing="1"/>
    </w:pPr>
    <w:rPr>
      <w:rFonts w:ascii="Calibri" w:eastAsia="Calibri" w:hAnsi="Calibri" w:cs="Calibri"/>
      <w:sz w:val="22"/>
      <w:lang w:val="sr-Cyrl-RS" w:eastAsia="en-GB"/>
    </w:rPr>
  </w:style>
  <w:style w:type="numbering" w:customStyle="1" w:styleId="Formatvorlage71">
    <w:name w:val="Formatvorlage71"/>
    <w:basedOn w:val="NoList"/>
    <w:uiPriority w:val="99"/>
    <w:rsid w:val="007D7243"/>
    <w:pPr>
      <w:numPr>
        <w:numId w:val="64"/>
      </w:numPr>
    </w:pPr>
  </w:style>
  <w:style w:type="table" w:styleId="LightGrid-Accent1">
    <w:name w:val="Light Grid Accent 1"/>
    <w:basedOn w:val="TableNormal"/>
    <w:uiPriority w:val="62"/>
    <w:rsid w:val="007D7243"/>
    <w:pPr>
      <w:spacing w:after="0" w:line="240" w:lineRule="auto"/>
    </w:pPr>
    <w:rPr>
      <w:rFonts w:ascii="Calibri" w:eastAsia="Times New Roman" w:hAnsi="Calibri" w:cs="Times New Roman"/>
      <w:sz w:val="20"/>
      <w:szCs w:val="20"/>
      <w:lang w:val="de-AT" w:eastAsia="de-AT"/>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ANormal">
    <w:name w:val="A Normal"/>
    <w:basedOn w:val="Normal"/>
    <w:link w:val="ANormalChar"/>
    <w:qFormat/>
    <w:rsid w:val="007D7243"/>
    <w:pPr>
      <w:spacing w:before="180" w:after="0" w:line="288" w:lineRule="auto"/>
      <w:jc w:val="both"/>
    </w:pPr>
    <w:rPr>
      <w:rFonts w:ascii="Calibri" w:eastAsia="Times New Roman" w:hAnsi="Calibri" w:cs="Arial"/>
      <w:bCs/>
      <w:sz w:val="22"/>
      <w:lang w:val="sr-Cyrl-RS" w:eastAsia="de-AT"/>
    </w:rPr>
  </w:style>
  <w:style w:type="character" w:customStyle="1" w:styleId="ANormalChar">
    <w:name w:val="A Normal Char"/>
    <w:link w:val="ANormal"/>
    <w:rsid w:val="007D7243"/>
    <w:rPr>
      <w:rFonts w:ascii="Calibri" w:eastAsia="Times New Roman" w:hAnsi="Calibri" w:cs="Arial"/>
      <w:bCs/>
      <w:lang w:val="sr-Cyrl-RS" w:eastAsia="de-AT"/>
    </w:rPr>
  </w:style>
  <w:style w:type="paragraph" w:customStyle="1" w:styleId="xl67">
    <w:name w:val="xl67"/>
    <w:basedOn w:val="Normal"/>
    <w:rsid w:val="007D7243"/>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eastAsia="Times New Roman" w:cs="Times New Roman"/>
      <w:b/>
      <w:bCs/>
      <w:color w:val="FFFFFF"/>
      <w:szCs w:val="24"/>
      <w:lang w:val="de-DE" w:eastAsia="de-DE"/>
    </w:rPr>
  </w:style>
  <w:style w:type="paragraph" w:customStyle="1" w:styleId="xl68">
    <w:name w:val="xl68"/>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val="de-DE" w:eastAsia="de-DE"/>
    </w:rPr>
  </w:style>
  <w:style w:type="paragraph" w:customStyle="1" w:styleId="xl69">
    <w:name w:val="xl69"/>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val="de-DE" w:eastAsia="de-DE"/>
    </w:rPr>
  </w:style>
  <w:style w:type="paragraph" w:customStyle="1" w:styleId="xl70">
    <w:name w:val="xl70"/>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Cs w:val="24"/>
      <w:lang w:val="de-DE" w:eastAsia="de-DE"/>
    </w:rPr>
  </w:style>
  <w:style w:type="paragraph" w:customStyle="1" w:styleId="xl71">
    <w:name w:val="xl71"/>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val="de-DE" w:eastAsia="de-DE"/>
    </w:rPr>
  </w:style>
  <w:style w:type="paragraph" w:customStyle="1" w:styleId="xl72">
    <w:name w:val="xl72"/>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val="de-DE" w:eastAsia="de-DE"/>
    </w:rPr>
  </w:style>
  <w:style w:type="paragraph" w:customStyle="1" w:styleId="xl73">
    <w:name w:val="xl73"/>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val="de-DE" w:eastAsia="de-DE"/>
    </w:rPr>
  </w:style>
  <w:style w:type="paragraph" w:customStyle="1" w:styleId="xl74">
    <w:name w:val="xl74"/>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val="de-DE" w:eastAsia="de-DE"/>
    </w:rPr>
  </w:style>
  <w:style w:type="paragraph" w:customStyle="1" w:styleId="xl75">
    <w:name w:val="xl75"/>
    <w:basedOn w:val="Normal"/>
    <w:rsid w:val="007D72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val="de-DE" w:eastAsia="de-DE"/>
    </w:rPr>
  </w:style>
  <w:style w:type="character" w:customStyle="1" w:styleId="jlqj4b">
    <w:name w:val="jlqj4b"/>
    <w:basedOn w:val="DefaultParagraphFont"/>
    <w:rsid w:val="007D7243"/>
  </w:style>
  <w:style w:type="character" w:customStyle="1" w:styleId="viiyi">
    <w:name w:val="viiyi"/>
    <w:basedOn w:val="DefaultParagraphFont"/>
    <w:rsid w:val="007D7243"/>
  </w:style>
  <w:style w:type="table" w:customStyle="1" w:styleId="TableNormal11">
    <w:name w:val="Table Normal11"/>
    <w:uiPriority w:val="2"/>
    <w:semiHidden/>
    <w:unhideWhenUsed/>
    <w:qFormat/>
    <w:rsid w:val="007D7243"/>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2">
    <w:name w:val="Основной текст (2)_"/>
    <w:basedOn w:val="DefaultParagraphFont"/>
    <w:link w:val="20"/>
    <w:rsid w:val="007D7243"/>
    <w:rPr>
      <w:rFonts w:ascii="Times New Roman" w:eastAsia="Times New Roman" w:hAnsi="Times New Roman"/>
      <w:shd w:val="clear" w:color="auto" w:fill="FFFFFF"/>
    </w:rPr>
  </w:style>
  <w:style w:type="paragraph" w:customStyle="1" w:styleId="20">
    <w:name w:val="Основной текст (2)"/>
    <w:basedOn w:val="Normal"/>
    <w:link w:val="2"/>
    <w:rsid w:val="007D7243"/>
    <w:pPr>
      <w:widowControl w:val="0"/>
      <w:shd w:val="clear" w:color="auto" w:fill="FFFFFF"/>
      <w:spacing w:before="120" w:after="680" w:line="244" w:lineRule="exact"/>
      <w:ind w:hanging="360"/>
      <w:jc w:val="center"/>
    </w:pPr>
    <w:rPr>
      <w:rFonts w:eastAsia="Times New Roman"/>
      <w:sz w:val="22"/>
    </w:rPr>
  </w:style>
  <w:style w:type="paragraph" w:customStyle="1" w:styleId="wyq120---podnaslov-clana">
    <w:name w:val="wyq120---podnaslov-clana"/>
    <w:basedOn w:val="Normal"/>
    <w:rsid w:val="007D7243"/>
    <w:pPr>
      <w:spacing w:before="100" w:beforeAutospacing="1" w:after="100" w:afterAutospacing="1"/>
    </w:pPr>
    <w:rPr>
      <w:rFonts w:eastAsia="Times New Roman" w:cs="Times New Roman"/>
      <w:szCs w:val="24"/>
      <w:lang w:val="sr-Cyrl-RS"/>
    </w:rPr>
  </w:style>
  <w:style w:type="paragraph" w:customStyle="1" w:styleId="naslov">
    <w:name w:val="naslov"/>
    <w:basedOn w:val="Normal"/>
    <w:rsid w:val="007D7243"/>
    <w:pPr>
      <w:spacing w:before="100" w:beforeAutospacing="1" w:after="100" w:afterAutospacing="1"/>
    </w:pPr>
    <w:rPr>
      <w:rFonts w:eastAsia="Times New Roman" w:cs="Times New Roman"/>
      <w:szCs w:val="24"/>
      <w:lang w:val="sr-Cyrl-RS"/>
    </w:rPr>
  </w:style>
  <w:style w:type="character" w:customStyle="1" w:styleId="align-center">
    <w:name w:val="align-center"/>
    <w:basedOn w:val="DefaultParagraphFont"/>
    <w:rsid w:val="007D7243"/>
  </w:style>
  <w:style w:type="character" w:customStyle="1" w:styleId="remove">
    <w:name w:val="remove"/>
    <w:basedOn w:val="DefaultParagraphFont"/>
    <w:rsid w:val="007D7243"/>
  </w:style>
  <w:style w:type="paragraph" w:customStyle="1" w:styleId="Absatz-Aufzhlungalphabetisch">
    <w:name w:val="Absatz-Aufzählung alphabetisch"/>
    <w:basedOn w:val="Normal"/>
    <w:rsid w:val="007D7243"/>
    <w:pPr>
      <w:numPr>
        <w:numId w:val="65"/>
      </w:numPr>
      <w:tabs>
        <w:tab w:val="clear" w:pos="360"/>
      </w:tabs>
      <w:spacing w:after="60" w:line="262" w:lineRule="exact"/>
      <w:ind w:left="284" w:hanging="284"/>
      <w:jc w:val="both"/>
    </w:pPr>
    <w:rPr>
      <w:rFonts w:ascii="Arial" w:eastAsia="Times New Roman" w:hAnsi="Arial" w:cs="Arial"/>
      <w:sz w:val="20"/>
      <w:szCs w:val="20"/>
      <w:lang w:val="de-AT" w:eastAsia="de-DE"/>
    </w:rPr>
  </w:style>
  <w:style w:type="paragraph" w:customStyle="1" w:styleId="Normal3">
    <w:name w:val="Normal3"/>
    <w:basedOn w:val="Normal"/>
    <w:rsid w:val="007D7243"/>
    <w:pPr>
      <w:spacing w:before="100" w:beforeAutospacing="1" w:after="100" w:afterAutospacing="1"/>
    </w:pPr>
    <w:rPr>
      <w:rFonts w:eastAsia="Times New Roman" w:cs="Times New Roman"/>
      <w:szCs w:val="24"/>
      <w:lang w:val="sr-Cyrl-RS"/>
    </w:rPr>
  </w:style>
  <w:style w:type="table" w:customStyle="1" w:styleId="TableGrid4">
    <w:name w:val="Table Grid4"/>
    <w:basedOn w:val="TableNormal"/>
    <w:next w:val="TableGrid"/>
    <w:uiPriority w:val="39"/>
    <w:rsid w:val="007D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D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D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D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D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7D7243"/>
    <w:pPr>
      <w:spacing w:before="100" w:beforeAutospacing="1" w:after="100" w:afterAutospacing="1"/>
    </w:pPr>
    <w:rPr>
      <w:rFonts w:eastAsia="Times New Roman" w:cs="Times New Roman"/>
      <w:szCs w:val="24"/>
      <w:lang w:val="sr-Cyrl-RS"/>
    </w:rPr>
  </w:style>
  <w:style w:type="paragraph" w:customStyle="1" w:styleId="clanak">
    <w:name w:val="clanak"/>
    <w:basedOn w:val="Normal"/>
    <w:rsid w:val="007D7243"/>
    <w:pPr>
      <w:spacing w:before="100" w:beforeAutospacing="1" w:after="100" w:afterAutospacing="1"/>
    </w:pPr>
    <w:rPr>
      <w:rFonts w:eastAsia="Times New Roman" w:cs="Times New Roman"/>
      <w:szCs w:val="24"/>
      <w:lang w:val="sr-Cyrl-RS"/>
    </w:rPr>
  </w:style>
  <w:style w:type="paragraph" w:customStyle="1" w:styleId="t-10-9-kurz-s">
    <w:name w:val="t-10-9-kurz-s"/>
    <w:basedOn w:val="Normal"/>
    <w:rsid w:val="007D7243"/>
    <w:pPr>
      <w:spacing w:before="100" w:beforeAutospacing="1" w:after="100" w:afterAutospacing="1"/>
    </w:pPr>
    <w:rPr>
      <w:rFonts w:eastAsia="Times New Roman" w:cs="Times New Roman"/>
      <w:szCs w:val="24"/>
      <w:lang w:val="sr-Cyrl-RS"/>
    </w:rPr>
  </w:style>
  <w:style w:type="character" w:customStyle="1" w:styleId="kurziv">
    <w:name w:val="kurziv"/>
    <w:basedOn w:val="DefaultParagraphFont"/>
    <w:rsid w:val="007D7243"/>
  </w:style>
  <w:style w:type="paragraph" w:customStyle="1" w:styleId="t-11-9-sred">
    <w:name w:val="t-11-9-sred"/>
    <w:basedOn w:val="Normal"/>
    <w:rsid w:val="007D7243"/>
    <w:pPr>
      <w:spacing w:before="100" w:beforeAutospacing="1" w:after="100" w:afterAutospacing="1"/>
    </w:pPr>
    <w:rPr>
      <w:rFonts w:eastAsia="Times New Roman" w:cs="Times New Roman"/>
      <w:szCs w:val="24"/>
      <w:lang w:val="sr-Cyrl-RS"/>
    </w:rPr>
  </w:style>
  <w:style w:type="paragraph" w:customStyle="1" w:styleId="t-10-9-kurz-s-ispod">
    <w:name w:val="t-10-9-kurz-s-ispod"/>
    <w:basedOn w:val="Normal"/>
    <w:rsid w:val="007D7243"/>
    <w:pPr>
      <w:spacing w:before="100" w:beforeAutospacing="1" w:after="100" w:afterAutospacing="1"/>
    </w:pPr>
    <w:rPr>
      <w:rFonts w:eastAsia="Times New Roman" w:cs="Times New Roman"/>
      <w:szCs w:val="24"/>
      <w:lang w:val="sr-Cyrl-RS"/>
    </w:rPr>
  </w:style>
  <w:style w:type="paragraph" w:customStyle="1" w:styleId="clanak-">
    <w:name w:val="clanak-"/>
    <w:basedOn w:val="Normal"/>
    <w:rsid w:val="007D7243"/>
    <w:pPr>
      <w:spacing w:before="100" w:beforeAutospacing="1" w:after="100" w:afterAutospacing="1"/>
    </w:pPr>
    <w:rPr>
      <w:rFonts w:eastAsia="Times New Roman" w:cs="Times New Roman"/>
      <w:szCs w:val="24"/>
      <w:lang w:val="sr-Cyrl-RS"/>
    </w:rPr>
  </w:style>
  <w:style w:type="table" w:customStyle="1" w:styleId="ListTable3-Accent11">
    <w:name w:val="List Table 3 - Accent 11"/>
    <w:basedOn w:val="TableNormal"/>
    <w:uiPriority w:val="48"/>
    <w:rsid w:val="007D724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Normal4">
    <w:name w:val="Normal4"/>
    <w:basedOn w:val="Normal"/>
    <w:rsid w:val="007D7243"/>
    <w:pPr>
      <w:spacing w:before="100" w:beforeAutospacing="1" w:after="100" w:afterAutospacing="1"/>
    </w:pPr>
    <w:rPr>
      <w:rFonts w:eastAsia="Times New Roman" w:cs="Times New Roman"/>
      <w:szCs w:val="24"/>
      <w:lang w:val="en-GB" w:eastAsia="en-GB"/>
    </w:rPr>
  </w:style>
  <w:style w:type="paragraph" w:customStyle="1" w:styleId="v1xxmsonormal">
    <w:name w:val="v1xxmsonormal"/>
    <w:basedOn w:val="Normal"/>
    <w:rsid w:val="007D7243"/>
    <w:pPr>
      <w:spacing w:before="100" w:beforeAutospacing="1" w:after="100" w:afterAutospacing="1"/>
    </w:pPr>
    <w:rPr>
      <w:rFonts w:eastAsia="Times New Roman" w:cs="Times New Roman"/>
      <w:szCs w:val="24"/>
      <w:lang w:val="sr-Cyrl-RS"/>
    </w:rPr>
  </w:style>
  <w:style w:type="character" w:customStyle="1" w:styleId="a4">
    <w:name w:val="_"/>
    <w:basedOn w:val="DefaultParagraphFont"/>
    <w:rsid w:val="007D7243"/>
  </w:style>
  <w:style w:type="table" w:customStyle="1" w:styleId="LightGrid-Accent11">
    <w:name w:val="Light Grid - Accent 11"/>
    <w:basedOn w:val="TableNormal"/>
    <w:uiPriority w:val="62"/>
    <w:rsid w:val="007D7243"/>
    <w:pPr>
      <w:spacing w:after="0" w:line="240" w:lineRule="auto"/>
    </w:pPr>
    <w:rPr>
      <w:rFonts w:ascii="Calibri" w:eastAsia="Times New Roman" w:hAnsi="Calibri" w:cs="Times New Roman"/>
      <w:sz w:val="20"/>
      <w:szCs w:val="20"/>
      <w:lang w:val="de-AT" w:eastAsia="de-AT"/>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UnresolvedMention3">
    <w:name w:val="Unresolved Mention3"/>
    <w:basedOn w:val="DefaultParagraphFont"/>
    <w:uiPriority w:val="99"/>
    <w:semiHidden/>
    <w:unhideWhenUsed/>
    <w:rsid w:val="007D7243"/>
    <w:rPr>
      <w:color w:val="605E5C"/>
      <w:shd w:val="clear" w:color="auto" w:fill="E1DFDD"/>
    </w:rPr>
  </w:style>
  <w:style w:type="character" w:customStyle="1" w:styleId="normaltextrun">
    <w:name w:val="normaltextrun"/>
    <w:basedOn w:val="DefaultParagraphFont"/>
    <w:rsid w:val="007D7243"/>
  </w:style>
  <w:style w:type="character" w:customStyle="1" w:styleId="eop">
    <w:name w:val="eop"/>
    <w:basedOn w:val="DefaultParagraphFont"/>
    <w:rsid w:val="007D7243"/>
  </w:style>
  <w:style w:type="character" w:customStyle="1" w:styleId="UnresolvedMention4">
    <w:name w:val="Unresolved Mention4"/>
    <w:basedOn w:val="DefaultParagraphFont"/>
    <w:uiPriority w:val="99"/>
    <w:semiHidden/>
    <w:unhideWhenUsed/>
    <w:rsid w:val="00B023DE"/>
    <w:rPr>
      <w:color w:val="605E5C"/>
      <w:shd w:val="clear" w:color="auto" w:fill="E1DFDD"/>
    </w:rPr>
  </w:style>
  <w:style w:type="paragraph" w:customStyle="1" w:styleId="BVIfnrCarCar">
    <w:name w:val="BVI fnr Car Car"/>
    <w:aliases w:val="BVI fnr Car,BVI fnr Car Car Car Car,BVI fnr Car Car Char,BVI fnr Car Car Car Car Char"/>
    <w:basedOn w:val="Normal"/>
    <w:uiPriority w:val="99"/>
    <w:rsid w:val="004540E6"/>
    <w:pPr>
      <w:spacing w:before="240" w:after="0" w:line="240" w:lineRule="exact"/>
      <w:jc w:val="both"/>
    </w:pPr>
    <w:rPr>
      <w:rFonts w:asciiTheme="minorHAnsi" w:hAnsiTheme="minorHAnsi"/>
      <w:sz w:val="22"/>
      <w:vertAlign w:val="superscript"/>
      <w:lang w:val="sr-Cyrl-RS"/>
    </w:rPr>
  </w:style>
  <w:style w:type="character" w:customStyle="1" w:styleId="UnresolvedMention5">
    <w:name w:val="Unresolved Mention5"/>
    <w:basedOn w:val="DefaultParagraphFont"/>
    <w:uiPriority w:val="99"/>
    <w:semiHidden/>
    <w:unhideWhenUsed/>
    <w:rsid w:val="00A96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819">
      <w:bodyDiv w:val="1"/>
      <w:marLeft w:val="0"/>
      <w:marRight w:val="0"/>
      <w:marTop w:val="0"/>
      <w:marBottom w:val="0"/>
      <w:divBdr>
        <w:top w:val="none" w:sz="0" w:space="0" w:color="auto"/>
        <w:left w:val="none" w:sz="0" w:space="0" w:color="auto"/>
        <w:bottom w:val="none" w:sz="0" w:space="0" w:color="auto"/>
        <w:right w:val="none" w:sz="0" w:space="0" w:color="auto"/>
      </w:divBdr>
    </w:div>
    <w:div w:id="18631558">
      <w:bodyDiv w:val="1"/>
      <w:marLeft w:val="0"/>
      <w:marRight w:val="0"/>
      <w:marTop w:val="0"/>
      <w:marBottom w:val="0"/>
      <w:divBdr>
        <w:top w:val="none" w:sz="0" w:space="0" w:color="auto"/>
        <w:left w:val="none" w:sz="0" w:space="0" w:color="auto"/>
        <w:bottom w:val="none" w:sz="0" w:space="0" w:color="auto"/>
        <w:right w:val="none" w:sz="0" w:space="0" w:color="auto"/>
      </w:divBdr>
      <w:divsChild>
        <w:div w:id="1058555285">
          <w:marLeft w:val="547"/>
          <w:marRight w:val="0"/>
          <w:marTop w:val="0"/>
          <w:marBottom w:val="0"/>
          <w:divBdr>
            <w:top w:val="none" w:sz="0" w:space="0" w:color="auto"/>
            <w:left w:val="none" w:sz="0" w:space="0" w:color="auto"/>
            <w:bottom w:val="none" w:sz="0" w:space="0" w:color="auto"/>
            <w:right w:val="none" w:sz="0" w:space="0" w:color="auto"/>
          </w:divBdr>
        </w:div>
      </w:divsChild>
    </w:div>
    <w:div w:id="23407725">
      <w:bodyDiv w:val="1"/>
      <w:marLeft w:val="0"/>
      <w:marRight w:val="0"/>
      <w:marTop w:val="0"/>
      <w:marBottom w:val="0"/>
      <w:divBdr>
        <w:top w:val="none" w:sz="0" w:space="0" w:color="auto"/>
        <w:left w:val="none" w:sz="0" w:space="0" w:color="auto"/>
        <w:bottom w:val="none" w:sz="0" w:space="0" w:color="auto"/>
        <w:right w:val="none" w:sz="0" w:space="0" w:color="auto"/>
      </w:divBdr>
    </w:div>
    <w:div w:id="26220702">
      <w:bodyDiv w:val="1"/>
      <w:marLeft w:val="0"/>
      <w:marRight w:val="0"/>
      <w:marTop w:val="0"/>
      <w:marBottom w:val="0"/>
      <w:divBdr>
        <w:top w:val="none" w:sz="0" w:space="0" w:color="auto"/>
        <w:left w:val="none" w:sz="0" w:space="0" w:color="auto"/>
        <w:bottom w:val="none" w:sz="0" w:space="0" w:color="auto"/>
        <w:right w:val="none" w:sz="0" w:space="0" w:color="auto"/>
      </w:divBdr>
      <w:divsChild>
        <w:div w:id="282080546">
          <w:marLeft w:val="720"/>
          <w:marRight w:val="0"/>
          <w:marTop w:val="0"/>
          <w:marBottom w:val="0"/>
          <w:divBdr>
            <w:top w:val="none" w:sz="0" w:space="0" w:color="auto"/>
            <w:left w:val="none" w:sz="0" w:space="0" w:color="auto"/>
            <w:bottom w:val="none" w:sz="0" w:space="0" w:color="auto"/>
            <w:right w:val="none" w:sz="0" w:space="0" w:color="auto"/>
          </w:divBdr>
        </w:div>
        <w:div w:id="295068148">
          <w:marLeft w:val="720"/>
          <w:marRight w:val="0"/>
          <w:marTop w:val="0"/>
          <w:marBottom w:val="0"/>
          <w:divBdr>
            <w:top w:val="none" w:sz="0" w:space="0" w:color="auto"/>
            <w:left w:val="none" w:sz="0" w:space="0" w:color="auto"/>
            <w:bottom w:val="none" w:sz="0" w:space="0" w:color="auto"/>
            <w:right w:val="none" w:sz="0" w:space="0" w:color="auto"/>
          </w:divBdr>
        </w:div>
        <w:div w:id="298459758">
          <w:marLeft w:val="720"/>
          <w:marRight w:val="0"/>
          <w:marTop w:val="0"/>
          <w:marBottom w:val="0"/>
          <w:divBdr>
            <w:top w:val="none" w:sz="0" w:space="0" w:color="auto"/>
            <w:left w:val="none" w:sz="0" w:space="0" w:color="auto"/>
            <w:bottom w:val="none" w:sz="0" w:space="0" w:color="auto"/>
            <w:right w:val="none" w:sz="0" w:space="0" w:color="auto"/>
          </w:divBdr>
        </w:div>
        <w:div w:id="337388878">
          <w:marLeft w:val="720"/>
          <w:marRight w:val="0"/>
          <w:marTop w:val="0"/>
          <w:marBottom w:val="0"/>
          <w:divBdr>
            <w:top w:val="none" w:sz="0" w:space="0" w:color="auto"/>
            <w:left w:val="none" w:sz="0" w:space="0" w:color="auto"/>
            <w:bottom w:val="none" w:sz="0" w:space="0" w:color="auto"/>
            <w:right w:val="none" w:sz="0" w:space="0" w:color="auto"/>
          </w:divBdr>
        </w:div>
        <w:div w:id="597107431">
          <w:marLeft w:val="720"/>
          <w:marRight w:val="0"/>
          <w:marTop w:val="0"/>
          <w:marBottom w:val="0"/>
          <w:divBdr>
            <w:top w:val="none" w:sz="0" w:space="0" w:color="auto"/>
            <w:left w:val="none" w:sz="0" w:space="0" w:color="auto"/>
            <w:bottom w:val="none" w:sz="0" w:space="0" w:color="auto"/>
            <w:right w:val="none" w:sz="0" w:space="0" w:color="auto"/>
          </w:divBdr>
        </w:div>
        <w:div w:id="676465624">
          <w:marLeft w:val="720"/>
          <w:marRight w:val="0"/>
          <w:marTop w:val="0"/>
          <w:marBottom w:val="0"/>
          <w:divBdr>
            <w:top w:val="none" w:sz="0" w:space="0" w:color="auto"/>
            <w:left w:val="none" w:sz="0" w:space="0" w:color="auto"/>
            <w:bottom w:val="none" w:sz="0" w:space="0" w:color="auto"/>
            <w:right w:val="none" w:sz="0" w:space="0" w:color="auto"/>
          </w:divBdr>
        </w:div>
        <w:div w:id="817845872">
          <w:marLeft w:val="720"/>
          <w:marRight w:val="0"/>
          <w:marTop w:val="0"/>
          <w:marBottom w:val="0"/>
          <w:divBdr>
            <w:top w:val="none" w:sz="0" w:space="0" w:color="auto"/>
            <w:left w:val="none" w:sz="0" w:space="0" w:color="auto"/>
            <w:bottom w:val="none" w:sz="0" w:space="0" w:color="auto"/>
            <w:right w:val="none" w:sz="0" w:space="0" w:color="auto"/>
          </w:divBdr>
        </w:div>
        <w:div w:id="826746808">
          <w:marLeft w:val="720"/>
          <w:marRight w:val="0"/>
          <w:marTop w:val="0"/>
          <w:marBottom w:val="0"/>
          <w:divBdr>
            <w:top w:val="none" w:sz="0" w:space="0" w:color="auto"/>
            <w:left w:val="none" w:sz="0" w:space="0" w:color="auto"/>
            <w:bottom w:val="none" w:sz="0" w:space="0" w:color="auto"/>
            <w:right w:val="none" w:sz="0" w:space="0" w:color="auto"/>
          </w:divBdr>
        </w:div>
        <w:div w:id="843085316">
          <w:marLeft w:val="720"/>
          <w:marRight w:val="0"/>
          <w:marTop w:val="0"/>
          <w:marBottom w:val="0"/>
          <w:divBdr>
            <w:top w:val="none" w:sz="0" w:space="0" w:color="auto"/>
            <w:left w:val="none" w:sz="0" w:space="0" w:color="auto"/>
            <w:bottom w:val="none" w:sz="0" w:space="0" w:color="auto"/>
            <w:right w:val="none" w:sz="0" w:space="0" w:color="auto"/>
          </w:divBdr>
        </w:div>
        <w:div w:id="869143543">
          <w:marLeft w:val="720"/>
          <w:marRight w:val="0"/>
          <w:marTop w:val="0"/>
          <w:marBottom w:val="0"/>
          <w:divBdr>
            <w:top w:val="none" w:sz="0" w:space="0" w:color="auto"/>
            <w:left w:val="none" w:sz="0" w:space="0" w:color="auto"/>
            <w:bottom w:val="none" w:sz="0" w:space="0" w:color="auto"/>
            <w:right w:val="none" w:sz="0" w:space="0" w:color="auto"/>
          </w:divBdr>
        </w:div>
        <w:div w:id="896552369">
          <w:marLeft w:val="720"/>
          <w:marRight w:val="0"/>
          <w:marTop w:val="0"/>
          <w:marBottom w:val="0"/>
          <w:divBdr>
            <w:top w:val="none" w:sz="0" w:space="0" w:color="auto"/>
            <w:left w:val="none" w:sz="0" w:space="0" w:color="auto"/>
            <w:bottom w:val="none" w:sz="0" w:space="0" w:color="auto"/>
            <w:right w:val="none" w:sz="0" w:space="0" w:color="auto"/>
          </w:divBdr>
        </w:div>
        <w:div w:id="944074246">
          <w:marLeft w:val="720"/>
          <w:marRight w:val="0"/>
          <w:marTop w:val="0"/>
          <w:marBottom w:val="0"/>
          <w:divBdr>
            <w:top w:val="none" w:sz="0" w:space="0" w:color="auto"/>
            <w:left w:val="none" w:sz="0" w:space="0" w:color="auto"/>
            <w:bottom w:val="none" w:sz="0" w:space="0" w:color="auto"/>
            <w:right w:val="none" w:sz="0" w:space="0" w:color="auto"/>
          </w:divBdr>
        </w:div>
        <w:div w:id="1066494033">
          <w:marLeft w:val="720"/>
          <w:marRight w:val="0"/>
          <w:marTop w:val="0"/>
          <w:marBottom w:val="0"/>
          <w:divBdr>
            <w:top w:val="none" w:sz="0" w:space="0" w:color="auto"/>
            <w:left w:val="none" w:sz="0" w:space="0" w:color="auto"/>
            <w:bottom w:val="none" w:sz="0" w:space="0" w:color="auto"/>
            <w:right w:val="none" w:sz="0" w:space="0" w:color="auto"/>
          </w:divBdr>
        </w:div>
        <w:div w:id="1364021149">
          <w:marLeft w:val="720"/>
          <w:marRight w:val="0"/>
          <w:marTop w:val="0"/>
          <w:marBottom w:val="0"/>
          <w:divBdr>
            <w:top w:val="none" w:sz="0" w:space="0" w:color="auto"/>
            <w:left w:val="none" w:sz="0" w:space="0" w:color="auto"/>
            <w:bottom w:val="none" w:sz="0" w:space="0" w:color="auto"/>
            <w:right w:val="none" w:sz="0" w:space="0" w:color="auto"/>
          </w:divBdr>
        </w:div>
        <w:div w:id="1437873236">
          <w:marLeft w:val="720"/>
          <w:marRight w:val="0"/>
          <w:marTop w:val="0"/>
          <w:marBottom w:val="0"/>
          <w:divBdr>
            <w:top w:val="none" w:sz="0" w:space="0" w:color="auto"/>
            <w:left w:val="none" w:sz="0" w:space="0" w:color="auto"/>
            <w:bottom w:val="none" w:sz="0" w:space="0" w:color="auto"/>
            <w:right w:val="none" w:sz="0" w:space="0" w:color="auto"/>
          </w:divBdr>
        </w:div>
        <w:div w:id="1447232185">
          <w:marLeft w:val="720"/>
          <w:marRight w:val="0"/>
          <w:marTop w:val="0"/>
          <w:marBottom w:val="0"/>
          <w:divBdr>
            <w:top w:val="none" w:sz="0" w:space="0" w:color="auto"/>
            <w:left w:val="none" w:sz="0" w:space="0" w:color="auto"/>
            <w:bottom w:val="none" w:sz="0" w:space="0" w:color="auto"/>
            <w:right w:val="none" w:sz="0" w:space="0" w:color="auto"/>
          </w:divBdr>
        </w:div>
        <w:div w:id="1587882709">
          <w:marLeft w:val="720"/>
          <w:marRight w:val="0"/>
          <w:marTop w:val="0"/>
          <w:marBottom w:val="0"/>
          <w:divBdr>
            <w:top w:val="none" w:sz="0" w:space="0" w:color="auto"/>
            <w:left w:val="none" w:sz="0" w:space="0" w:color="auto"/>
            <w:bottom w:val="none" w:sz="0" w:space="0" w:color="auto"/>
            <w:right w:val="none" w:sz="0" w:space="0" w:color="auto"/>
          </w:divBdr>
        </w:div>
        <w:div w:id="1689720152">
          <w:marLeft w:val="720"/>
          <w:marRight w:val="0"/>
          <w:marTop w:val="0"/>
          <w:marBottom w:val="0"/>
          <w:divBdr>
            <w:top w:val="none" w:sz="0" w:space="0" w:color="auto"/>
            <w:left w:val="none" w:sz="0" w:space="0" w:color="auto"/>
            <w:bottom w:val="none" w:sz="0" w:space="0" w:color="auto"/>
            <w:right w:val="none" w:sz="0" w:space="0" w:color="auto"/>
          </w:divBdr>
        </w:div>
        <w:div w:id="1753314766">
          <w:marLeft w:val="720"/>
          <w:marRight w:val="0"/>
          <w:marTop w:val="0"/>
          <w:marBottom w:val="0"/>
          <w:divBdr>
            <w:top w:val="none" w:sz="0" w:space="0" w:color="auto"/>
            <w:left w:val="none" w:sz="0" w:space="0" w:color="auto"/>
            <w:bottom w:val="none" w:sz="0" w:space="0" w:color="auto"/>
            <w:right w:val="none" w:sz="0" w:space="0" w:color="auto"/>
          </w:divBdr>
        </w:div>
        <w:div w:id="1853913417">
          <w:marLeft w:val="720"/>
          <w:marRight w:val="0"/>
          <w:marTop w:val="0"/>
          <w:marBottom w:val="0"/>
          <w:divBdr>
            <w:top w:val="none" w:sz="0" w:space="0" w:color="auto"/>
            <w:left w:val="none" w:sz="0" w:space="0" w:color="auto"/>
            <w:bottom w:val="none" w:sz="0" w:space="0" w:color="auto"/>
            <w:right w:val="none" w:sz="0" w:space="0" w:color="auto"/>
          </w:divBdr>
        </w:div>
        <w:div w:id="1907256558">
          <w:marLeft w:val="720"/>
          <w:marRight w:val="0"/>
          <w:marTop w:val="0"/>
          <w:marBottom w:val="0"/>
          <w:divBdr>
            <w:top w:val="none" w:sz="0" w:space="0" w:color="auto"/>
            <w:left w:val="none" w:sz="0" w:space="0" w:color="auto"/>
            <w:bottom w:val="none" w:sz="0" w:space="0" w:color="auto"/>
            <w:right w:val="none" w:sz="0" w:space="0" w:color="auto"/>
          </w:divBdr>
        </w:div>
      </w:divsChild>
    </w:div>
    <w:div w:id="30152567">
      <w:bodyDiv w:val="1"/>
      <w:marLeft w:val="0"/>
      <w:marRight w:val="0"/>
      <w:marTop w:val="0"/>
      <w:marBottom w:val="0"/>
      <w:divBdr>
        <w:top w:val="none" w:sz="0" w:space="0" w:color="auto"/>
        <w:left w:val="none" w:sz="0" w:space="0" w:color="auto"/>
        <w:bottom w:val="none" w:sz="0" w:space="0" w:color="auto"/>
        <w:right w:val="none" w:sz="0" w:space="0" w:color="auto"/>
      </w:divBdr>
    </w:div>
    <w:div w:id="31619719">
      <w:bodyDiv w:val="1"/>
      <w:marLeft w:val="0"/>
      <w:marRight w:val="0"/>
      <w:marTop w:val="0"/>
      <w:marBottom w:val="0"/>
      <w:divBdr>
        <w:top w:val="none" w:sz="0" w:space="0" w:color="auto"/>
        <w:left w:val="none" w:sz="0" w:space="0" w:color="auto"/>
        <w:bottom w:val="none" w:sz="0" w:space="0" w:color="auto"/>
        <w:right w:val="none" w:sz="0" w:space="0" w:color="auto"/>
      </w:divBdr>
    </w:div>
    <w:div w:id="36976652">
      <w:bodyDiv w:val="1"/>
      <w:marLeft w:val="0"/>
      <w:marRight w:val="0"/>
      <w:marTop w:val="0"/>
      <w:marBottom w:val="0"/>
      <w:divBdr>
        <w:top w:val="none" w:sz="0" w:space="0" w:color="auto"/>
        <w:left w:val="none" w:sz="0" w:space="0" w:color="auto"/>
        <w:bottom w:val="none" w:sz="0" w:space="0" w:color="auto"/>
        <w:right w:val="none" w:sz="0" w:space="0" w:color="auto"/>
      </w:divBdr>
    </w:div>
    <w:div w:id="37778844">
      <w:bodyDiv w:val="1"/>
      <w:marLeft w:val="0"/>
      <w:marRight w:val="0"/>
      <w:marTop w:val="0"/>
      <w:marBottom w:val="0"/>
      <w:divBdr>
        <w:top w:val="none" w:sz="0" w:space="0" w:color="auto"/>
        <w:left w:val="none" w:sz="0" w:space="0" w:color="auto"/>
        <w:bottom w:val="none" w:sz="0" w:space="0" w:color="auto"/>
        <w:right w:val="none" w:sz="0" w:space="0" w:color="auto"/>
      </w:divBdr>
    </w:div>
    <w:div w:id="42215658">
      <w:bodyDiv w:val="1"/>
      <w:marLeft w:val="0"/>
      <w:marRight w:val="0"/>
      <w:marTop w:val="0"/>
      <w:marBottom w:val="0"/>
      <w:divBdr>
        <w:top w:val="none" w:sz="0" w:space="0" w:color="auto"/>
        <w:left w:val="none" w:sz="0" w:space="0" w:color="auto"/>
        <w:bottom w:val="none" w:sz="0" w:space="0" w:color="auto"/>
        <w:right w:val="none" w:sz="0" w:space="0" w:color="auto"/>
      </w:divBdr>
    </w:div>
    <w:div w:id="54815606">
      <w:bodyDiv w:val="1"/>
      <w:marLeft w:val="0"/>
      <w:marRight w:val="0"/>
      <w:marTop w:val="0"/>
      <w:marBottom w:val="0"/>
      <w:divBdr>
        <w:top w:val="none" w:sz="0" w:space="0" w:color="auto"/>
        <w:left w:val="none" w:sz="0" w:space="0" w:color="auto"/>
        <w:bottom w:val="none" w:sz="0" w:space="0" w:color="auto"/>
        <w:right w:val="none" w:sz="0" w:space="0" w:color="auto"/>
      </w:divBdr>
    </w:div>
    <w:div w:id="70199175">
      <w:bodyDiv w:val="1"/>
      <w:marLeft w:val="0"/>
      <w:marRight w:val="0"/>
      <w:marTop w:val="0"/>
      <w:marBottom w:val="0"/>
      <w:divBdr>
        <w:top w:val="none" w:sz="0" w:space="0" w:color="auto"/>
        <w:left w:val="none" w:sz="0" w:space="0" w:color="auto"/>
        <w:bottom w:val="none" w:sz="0" w:space="0" w:color="auto"/>
        <w:right w:val="none" w:sz="0" w:space="0" w:color="auto"/>
      </w:divBdr>
    </w:div>
    <w:div w:id="71660789">
      <w:bodyDiv w:val="1"/>
      <w:marLeft w:val="0"/>
      <w:marRight w:val="0"/>
      <w:marTop w:val="0"/>
      <w:marBottom w:val="0"/>
      <w:divBdr>
        <w:top w:val="none" w:sz="0" w:space="0" w:color="auto"/>
        <w:left w:val="none" w:sz="0" w:space="0" w:color="auto"/>
        <w:bottom w:val="none" w:sz="0" w:space="0" w:color="auto"/>
        <w:right w:val="none" w:sz="0" w:space="0" w:color="auto"/>
      </w:divBdr>
    </w:div>
    <w:div w:id="76486109">
      <w:bodyDiv w:val="1"/>
      <w:marLeft w:val="0"/>
      <w:marRight w:val="0"/>
      <w:marTop w:val="0"/>
      <w:marBottom w:val="0"/>
      <w:divBdr>
        <w:top w:val="none" w:sz="0" w:space="0" w:color="auto"/>
        <w:left w:val="none" w:sz="0" w:space="0" w:color="auto"/>
        <w:bottom w:val="none" w:sz="0" w:space="0" w:color="auto"/>
        <w:right w:val="none" w:sz="0" w:space="0" w:color="auto"/>
      </w:divBdr>
    </w:div>
    <w:div w:id="80028867">
      <w:bodyDiv w:val="1"/>
      <w:marLeft w:val="0"/>
      <w:marRight w:val="0"/>
      <w:marTop w:val="0"/>
      <w:marBottom w:val="0"/>
      <w:divBdr>
        <w:top w:val="none" w:sz="0" w:space="0" w:color="auto"/>
        <w:left w:val="none" w:sz="0" w:space="0" w:color="auto"/>
        <w:bottom w:val="none" w:sz="0" w:space="0" w:color="auto"/>
        <w:right w:val="none" w:sz="0" w:space="0" w:color="auto"/>
      </w:divBdr>
    </w:div>
    <w:div w:id="81493658">
      <w:bodyDiv w:val="1"/>
      <w:marLeft w:val="0"/>
      <w:marRight w:val="0"/>
      <w:marTop w:val="0"/>
      <w:marBottom w:val="0"/>
      <w:divBdr>
        <w:top w:val="none" w:sz="0" w:space="0" w:color="auto"/>
        <w:left w:val="none" w:sz="0" w:space="0" w:color="auto"/>
        <w:bottom w:val="none" w:sz="0" w:space="0" w:color="auto"/>
        <w:right w:val="none" w:sz="0" w:space="0" w:color="auto"/>
      </w:divBdr>
    </w:div>
    <w:div w:id="86775142">
      <w:bodyDiv w:val="1"/>
      <w:marLeft w:val="0"/>
      <w:marRight w:val="0"/>
      <w:marTop w:val="0"/>
      <w:marBottom w:val="0"/>
      <w:divBdr>
        <w:top w:val="none" w:sz="0" w:space="0" w:color="auto"/>
        <w:left w:val="none" w:sz="0" w:space="0" w:color="auto"/>
        <w:bottom w:val="none" w:sz="0" w:space="0" w:color="auto"/>
        <w:right w:val="none" w:sz="0" w:space="0" w:color="auto"/>
      </w:divBdr>
    </w:div>
    <w:div w:id="87963823">
      <w:bodyDiv w:val="1"/>
      <w:marLeft w:val="0"/>
      <w:marRight w:val="0"/>
      <w:marTop w:val="0"/>
      <w:marBottom w:val="0"/>
      <w:divBdr>
        <w:top w:val="none" w:sz="0" w:space="0" w:color="auto"/>
        <w:left w:val="none" w:sz="0" w:space="0" w:color="auto"/>
        <w:bottom w:val="none" w:sz="0" w:space="0" w:color="auto"/>
        <w:right w:val="none" w:sz="0" w:space="0" w:color="auto"/>
      </w:divBdr>
    </w:div>
    <w:div w:id="97681276">
      <w:bodyDiv w:val="1"/>
      <w:marLeft w:val="0"/>
      <w:marRight w:val="0"/>
      <w:marTop w:val="0"/>
      <w:marBottom w:val="0"/>
      <w:divBdr>
        <w:top w:val="none" w:sz="0" w:space="0" w:color="auto"/>
        <w:left w:val="none" w:sz="0" w:space="0" w:color="auto"/>
        <w:bottom w:val="none" w:sz="0" w:space="0" w:color="auto"/>
        <w:right w:val="none" w:sz="0" w:space="0" w:color="auto"/>
      </w:divBdr>
      <w:divsChild>
        <w:div w:id="185797126">
          <w:marLeft w:val="0"/>
          <w:marRight w:val="0"/>
          <w:marTop w:val="0"/>
          <w:marBottom w:val="0"/>
          <w:divBdr>
            <w:top w:val="none" w:sz="0" w:space="0" w:color="auto"/>
            <w:left w:val="none" w:sz="0" w:space="0" w:color="auto"/>
            <w:bottom w:val="none" w:sz="0" w:space="0" w:color="auto"/>
            <w:right w:val="none" w:sz="0" w:space="0" w:color="auto"/>
          </w:divBdr>
        </w:div>
        <w:div w:id="435946014">
          <w:marLeft w:val="0"/>
          <w:marRight w:val="0"/>
          <w:marTop w:val="0"/>
          <w:marBottom w:val="0"/>
          <w:divBdr>
            <w:top w:val="single" w:sz="2" w:space="0" w:color="E3E3E3"/>
            <w:left w:val="single" w:sz="2" w:space="0" w:color="E3E3E3"/>
            <w:bottom w:val="single" w:sz="2" w:space="0" w:color="E3E3E3"/>
            <w:right w:val="single" w:sz="2" w:space="0" w:color="E3E3E3"/>
          </w:divBdr>
          <w:divsChild>
            <w:div w:id="1042436849">
              <w:marLeft w:val="0"/>
              <w:marRight w:val="0"/>
              <w:marTop w:val="0"/>
              <w:marBottom w:val="0"/>
              <w:divBdr>
                <w:top w:val="single" w:sz="2" w:space="0" w:color="E3E3E3"/>
                <w:left w:val="single" w:sz="2" w:space="0" w:color="E3E3E3"/>
                <w:bottom w:val="single" w:sz="2" w:space="0" w:color="E3E3E3"/>
                <w:right w:val="single" w:sz="2" w:space="0" w:color="E3E3E3"/>
              </w:divBdr>
              <w:divsChild>
                <w:div w:id="2047876016">
                  <w:marLeft w:val="0"/>
                  <w:marRight w:val="0"/>
                  <w:marTop w:val="0"/>
                  <w:marBottom w:val="0"/>
                  <w:divBdr>
                    <w:top w:val="single" w:sz="2" w:space="0" w:color="E3E3E3"/>
                    <w:left w:val="single" w:sz="2" w:space="0" w:color="E3E3E3"/>
                    <w:bottom w:val="single" w:sz="2" w:space="0" w:color="E3E3E3"/>
                    <w:right w:val="single" w:sz="2" w:space="0" w:color="E3E3E3"/>
                  </w:divBdr>
                  <w:divsChild>
                    <w:div w:id="1183979902">
                      <w:marLeft w:val="0"/>
                      <w:marRight w:val="0"/>
                      <w:marTop w:val="0"/>
                      <w:marBottom w:val="0"/>
                      <w:divBdr>
                        <w:top w:val="single" w:sz="2" w:space="0" w:color="E3E3E3"/>
                        <w:left w:val="single" w:sz="2" w:space="0" w:color="E3E3E3"/>
                        <w:bottom w:val="single" w:sz="2" w:space="0" w:color="E3E3E3"/>
                        <w:right w:val="single" w:sz="2" w:space="0" w:color="E3E3E3"/>
                      </w:divBdr>
                      <w:divsChild>
                        <w:div w:id="1792671949">
                          <w:marLeft w:val="0"/>
                          <w:marRight w:val="0"/>
                          <w:marTop w:val="0"/>
                          <w:marBottom w:val="0"/>
                          <w:divBdr>
                            <w:top w:val="single" w:sz="2" w:space="0" w:color="E3E3E3"/>
                            <w:left w:val="single" w:sz="2" w:space="0" w:color="E3E3E3"/>
                            <w:bottom w:val="single" w:sz="2" w:space="0" w:color="E3E3E3"/>
                            <w:right w:val="single" w:sz="2" w:space="0" w:color="E3E3E3"/>
                          </w:divBdr>
                          <w:divsChild>
                            <w:div w:id="163979743">
                              <w:marLeft w:val="0"/>
                              <w:marRight w:val="0"/>
                              <w:marTop w:val="100"/>
                              <w:marBottom w:val="100"/>
                              <w:divBdr>
                                <w:top w:val="single" w:sz="2" w:space="0" w:color="E3E3E3"/>
                                <w:left w:val="single" w:sz="2" w:space="0" w:color="E3E3E3"/>
                                <w:bottom w:val="single" w:sz="2" w:space="0" w:color="E3E3E3"/>
                                <w:right w:val="single" w:sz="2" w:space="0" w:color="E3E3E3"/>
                              </w:divBdr>
                              <w:divsChild>
                                <w:div w:id="34352635">
                                  <w:marLeft w:val="0"/>
                                  <w:marRight w:val="0"/>
                                  <w:marTop w:val="0"/>
                                  <w:marBottom w:val="0"/>
                                  <w:divBdr>
                                    <w:top w:val="single" w:sz="2" w:space="0" w:color="E3E3E3"/>
                                    <w:left w:val="single" w:sz="2" w:space="0" w:color="E3E3E3"/>
                                    <w:bottom w:val="single" w:sz="2" w:space="0" w:color="E3E3E3"/>
                                    <w:right w:val="single" w:sz="2" w:space="0" w:color="E3E3E3"/>
                                  </w:divBdr>
                                  <w:divsChild>
                                    <w:div w:id="2020231897">
                                      <w:marLeft w:val="0"/>
                                      <w:marRight w:val="0"/>
                                      <w:marTop w:val="0"/>
                                      <w:marBottom w:val="0"/>
                                      <w:divBdr>
                                        <w:top w:val="single" w:sz="2" w:space="0" w:color="E3E3E3"/>
                                        <w:left w:val="single" w:sz="2" w:space="0" w:color="E3E3E3"/>
                                        <w:bottom w:val="single" w:sz="2" w:space="0" w:color="E3E3E3"/>
                                        <w:right w:val="single" w:sz="2" w:space="0" w:color="E3E3E3"/>
                                      </w:divBdr>
                                      <w:divsChild>
                                        <w:div w:id="325593748">
                                          <w:marLeft w:val="0"/>
                                          <w:marRight w:val="0"/>
                                          <w:marTop w:val="0"/>
                                          <w:marBottom w:val="0"/>
                                          <w:divBdr>
                                            <w:top w:val="single" w:sz="2" w:space="0" w:color="E3E3E3"/>
                                            <w:left w:val="single" w:sz="2" w:space="0" w:color="E3E3E3"/>
                                            <w:bottom w:val="single" w:sz="2" w:space="0" w:color="E3E3E3"/>
                                            <w:right w:val="single" w:sz="2" w:space="0" w:color="E3E3E3"/>
                                          </w:divBdr>
                                          <w:divsChild>
                                            <w:div w:id="1442214840">
                                              <w:marLeft w:val="0"/>
                                              <w:marRight w:val="0"/>
                                              <w:marTop w:val="0"/>
                                              <w:marBottom w:val="0"/>
                                              <w:divBdr>
                                                <w:top w:val="single" w:sz="2" w:space="0" w:color="E3E3E3"/>
                                                <w:left w:val="single" w:sz="2" w:space="0" w:color="E3E3E3"/>
                                                <w:bottom w:val="single" w:sz="2" w:space="0" w:color="E3E3E3"/>
                                                <w:right w:val="single" w:sz="2" w:space="0" w:color="E3E3E3"/>
                                              </w:divBdr>
                                              <w:divsChild>
                                                <w:div w:id="1889803508">
                                                  <w:marLeft w:val="0"/>
                                                  <w:marRight w:val="0"/>
                                                  <w:marTop w:val="0"/>
                                                  <w:marBottom w:val="0"/>
                                                  <w:divBdr>
                                                    <w:top w:val="single" w:sz="2" w:space="0" w:color="E3E3E3"/>
                                                    <w:left w:val="single" w:sz="2" w:space="0" w:color="E3E3E3"/>
                                                    <w:bottom w:val="single" w:sz="2" w:space="0" w:color="E3E3E3"/>
                                                    <w:right w:val="single" w:sz="2" w:space="0" w:color="E3E3E3"/>
                                                  </w:divBdr>
                                                  <w:divsChild>
                                                    <w:div w:id="8317960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0274431">
      <w:bodyDiv w:val="1"/>
      <w:marLeft w:val="0"/>
      <w:marRight w:val="0"/>
      <w:marTop w:val="0"/>
      <w:marBottom w:val="0"/>
      <w:divBdr>
        <w:top w:val="none" w:sz="0" w:space="0" w:color="auto"/>
        <w:left w:val="none" w:sz="0" w:space="0" w:color="auto"/>
        <w:bottom w:val="none" w:sz="0" w:space="0" w:color="auto"/>
        <w:right w:val="none" w:sz="0" w:space="0" w:color="auto"/>
      </w:divBdr>
    </w:div>
    <w:div w:id="123475369">
      <w:bodyDiv w:val="1"/>
      <w:marLeft w:val="0"/>
      <w:marRight w:val="0"/>
      <w:marTop w:val="0"/>
      <w:marBottom w:val="0"/>
      <w:divBdr>
        <w:top w:val="none" w:sz="0" w:space="0" w:color="auto"/>
        <w:left w:val="none" w:sz="0" w:space="0" w:color="auto"/>
        <w:bottom w:val="none" w:sz="0" w:space="0" w:color="auto"/>
        <w:right w:val="none" w:sz="0" w:space="0" w:color="auto"/>
      </w:divBdr>
    </w:div>
    <w:div w:id="130290272">
      <w:bodyDiv w:val="1"/>
      <w:marLeft w:val="0"/>
      <w:marRight w:val="0"/>
      <w:marTop w:val="0"/>
      <w:marBottom w:val="0"/>
      <w:divBdr>
        <w:top w:val="none" w:sz="0" w:space="0" w:color="auto"/>
        <w:left w:val="none" w:sz="0" w:space="0" w:color="auto"/>
        <w:bottom w:val="none" w:sz="0" w:space="0" w:color="auto"/>
        <w:right w:val="none" w:sz="0" w:space="0" w:color="auto"/>
      </w:divBdr>
    </w:div>
    <w:div w:id="131601997">
      <w:bodyDiv w:val="1"/>
      <w:marLeft w:val="0"/>
      <w:marRight w:val="0"/>
      <w:marTop w:val="0"/>
      <w:marBottom w:val="0"/>
      <w:divBdr>
        <w:top w:val="none" w:sz="0" w:space="0" w:color="auto"/>
        <w:left w:val="none" w:sz="0" w:space="0" w:color="auto"/>
        <w:bottom w:val="none" w:sz="0" w:space="0" w:color="auto"/>
        <w:right w:val="none" w:sz="0" w:space="0" w:color="auto"/>
      </w:divBdr>
    </w:div>
    <w:div w:id="132911522">
      <w:bodyDiv w:val="1"/>
      <w:marLeft w:val="0"/>
      <w:marRight w:val="0"/>
      <w:marTop w:val="0"/>
      <w:marBottom w:val="0"/>
      <w:divBdr>
        <w:top w:val="none" w:sz="0" w:space="0" w:color="auto"/>
        <w:left w:val="none" w:sz="0" w:space="0" w:color="auto"/>
        <w:bottom w:val="none" w:sz="0" w:space="0" w:color="auto"/>
        <w:right w:val="none" w:sz="0" w:space="0" w:color="auto"/>
      </w:divBdr>
    </w:div>
    <w:div w:id="149762020">
      <w:bodyDiv w:val="1"/>
      <w:marLeft w:val="0"/>
      <w:marRight w:val="0"/>
      <w:marTop w:val="0"/>
      <w:marBottom w:val="0"/>
      <w:divBdr>
        <w:top w:val="none" w:sz="0" w:space="0" w:color="auto"/>
        <w:left w:val="none" w:sz="0" w:space="0" w:color="auto"/>
        <w:bottom w:val="none" w:sz="0" w:space="0" w:color="auto"/>
        <w:right w:val="none" w:sz="0" w:space="0" w:color="auto"/>
      </w:divBdr>
    </w:div>
    <w:div w:id="166362655">
      <w:bodyDiv w:val="1"/>
      <w:marLeft w:val="0"/>
      <w:marRight w:val="0"/>
      <w:marTop w:val="0"/>
      <w:marBottom w:val="0"/>
      <w:divBdr>
        <w:top w:val="none" w:sz="0" w:space="0" w:color="auto"/>
        <w:left w:val="none" w:sz="0" w:space="0" w:color="auto"/>
        <w:bottom w:val="none" w:sz="0" w:space="0" w:color="auto"/>
        <w:right w:val="none" w:sz="0" w:space="0" w:color="auto"/>
      </w:divBdr>
    </w:div>
    <w:div w:id="184294151">
      <w:bodyDiv w:val="1"/>
      <w:marLeft w:val="0"/>
      <w:marRight w:val="0"/>
      <w:marTop w:val="0"/>
      <w:marBottom w:val="0"/>
      <w:divBdr>
        <w:top w:val="none" w:sz="0" w:space="0" w:color="auto"/>
        <w:left w:val="none" w:sz="0" w:space="0" w:color="auto"/>
        <w:bottom w:val="none" w:sz="0" w:space="0" w:color="auto"/>
        <w:right w:val="none" w:sz="0" w:space="0" w:color="auto"/>
      </w:divBdr>
    </w:div>
    <w:div w:id="209000242">
      <w:bodyDiv w:val="1"/>
      <w:marLeft w:val="0"/>
      <w:marRight w:val="0"/>
      <w:marTop w:val="0"/>
      <w:marBottom w:val="0"/>
      <w:divBdr>
        <w:top w:val="none" w:sz="0" w:space="0" w:color="auto"/>
        <w:left w:val="none" w:sz="0" w:space="0" w:color="auto"/>
        <w:bottom w:val="none" w:sz="0" w:space="0" w:color="auto"/>
        <w:right w:val="none" w:sz="0" w:space="0" w:color="auto"/>
      </w:divBdr>
    </w:div>
    <w:div w:id="213002422">
      <w:bodyDiv w:val="1"/>
      <w:marLeft w:val="0"/>
      <w:marRight w:val="0"/>
      <w:marTop w:val="0"/>
      <w:marBottom w:val="0"/>
      <w:divBdr>
        <w:top w:val="none" w:sz="0" w:space="0" w:color="auto"/>
        <w:left w:val="none" w:sz="0" w:space="0" w:color="auto"/>
        <w:bottom w:val="none" w:sz="0" w:space="0" w:color="auto"/>
        <w:right w:val="none" w:sz="0" w:space="0" w:color="auto"/>
      </w:divBdr>
    </w:div>
    <w:div w:id="213127176">
      <w:bodyDiv w:val="1"/>
      <w:marLeft w:val="0"/>
      <w:marRight w:val="0"/>
      <w:marTop w:val="0"/>
      <w:marBottom w:val="0"/>
      <w:divBdr>
        <w:top w:val="none" w:sz="0" w:space="0" w:color="auto"/>
        <w:left w:val="none" w:sz="0" w:space="0" w:color="auto"/>
        <w:bottom w:val="none" w:sz="0" w:space="0" w:color="auto"/>
        <w:right w:val="none" w:sz="0" w:space="0" w:color="auto"/>
      </w:divBdr>
    </w:div>
    <w:div w:id="218368426">
      <w:bodyDiv w:val="1"/>
      <w:marLeft w:val="0"/>
      <w:marRight w:val="0"/>
      <w:marTop w:val="0"/>
      <w:marBottom w:val="0"/>
      <w:divBdr>
        <w:top w:val="none" w:sz="0" w:space="0" w:color="auto"/>
        <w:left w:val="none" w:sz="0" w:space="0" w:color="auto"/>
        <w:bottom w:val="none" w:sz="0" w:space="0" w:color="auto"/>
        <w:right w:val="none" w:sz="0" w:space="0" w:color="auto"/>
      </w:divBdr>
    </w:div>
    <w:div w:id="223296225">
      <w:bodyDiv w:val="1"/>
      <w:marLeft w:val="0"/>
      <w:marRight w:val="0"/>
      <w:marTop w:val="0"/>
      <w:marBottom w:val="0"/>
      <w:divBdr>
        <w:top w:val="none" w:sz="0" w:space="0" w:color="auto"/>
        <w:left w:val="none" w:sz="0" w:space="0" w:color="auto"/>
        <w:bottom w:val="none" w:sz="0" w:space="0" w:color="auto"/>
        <w:right w:val="none" w:sz="0" w:space="0" w:color="auto"/>
      </w:divBdr>
    </w:div>
    <w:div w:id="224223240">
      <w:bodyDiv w:val="1"/>
      <w:marLeft w:val="0"/>
      <w:marRight w:val="0"/>
      <w:marTop w:val="0"/>
      <w:marBottom w:val="0"/>
      <w:divBdr>
        <w:top w:val="none" w:sz="0" w:space="0" w:color="auto"/>
        <w:left w:val="none" w:sz="0" w:space="0" w:color="auto"/>
        <w:bottom w:val="none" w:sz="0" w:space="0" w:color="auto"/>
        <w:right w:val="none" w:sz="0" w:space="0" w:color="auto"/>
      </w:divBdr>
    </w:div>
    <w:div w:id="228539539">
      <w:bodyDiv w:val="1"/>
      <w:marLeft w:val="0"/>
      <w:marRight w:val="0"/>
      <w:marTop w:val="0"/>
      <w:marBottom w:val="0"/>
      <w:divBdr>
        <w:top w:val="none" w:sz="0" w:space="0" w:color="auto"/>
        <w:left w:val="none" w:sz="0" w:space="0" w:color="auto"/>
        <w:bottom w:val="none" w:sz="0" w:space="0" w:color="auto"/>
        <w:right w:val="none" w:sz="0" w:space="0" w:color="auto"/>
      </w:divBdr>
    </w:div>
    <w:div w:id="230426293">
      <w:bodyDiv w:val="1"/>
      <w:marLeft w:val="0"/>
      <w:marRight w:val="0"/>
      <w:marTop w:val="0"/>
      <w:marBottom w:val="0"/>
      <w:divBdr>
        <w:top w:val="none" w:sz="0" w:space="0" w:color="auto"/>
        <w:left w:val="none" w:sz="0" w:space="0" w:color="auto"/>
        <w:bottom w:val="none" w:sz="0" w:space="0" w:color="auto"/>
        <w:right w:val="none" w:sz="0" w:space="0" w:color="auto"/>
      </w:divBdr>
    </w:div>
    <w:div w:id="238100170">
      <w:bodyDiv w:val="1"/>
      <w:marLeft w:val="0"/>
      <w:marRight w:val="0"/>
      <w:marTop w:val="0"/>
      <w:marBottom w:val="0"/>
      <w:divBdr>
        <w:top w:val="none" w:sz="0" w:space="0" w:color="auto"/>
        <w:left w:val="none" w:sz="0" w:space="0" w:color="auto"/>
        <w:bottom w:val="none" w:sz="0" w:space="0" w:color="auto"/>
        <w:right w:val="none" w:sz="0" w:space="0" w:color="auto"/>
      </w:divBdr>
    </w:div>
    <w:div w:id="238945676">
      <w:bodyDiv w:val="1"/>
      <w:marLeft w:val="0"/>
      <w:marRight w:val="0"/>
      <w:marTop w:val="0"/>
      <w:marBottom w:val="0"/>
      <w:divBdr>
        <w:top w:val="none" w:sz="0" w:space="0" w:color="auto"/>
        <w:left w:val="none" w:sz="0" w:space="0" w:color="auto"/>
        <w:bottom w:val="none" w:sz="0" w:space="0" w:color="auto"/>
        <w:right w:val="none" w:sz="0" w:space="0" w:color="auto"/>
      </w:divBdr>
    </w:div>
    <w:div w:id="240916285">
      <w:bodyDiv w:val="1"/>
      <w:marLeft w:val="0"/>
      <w:marRight w:val="0"/>
      <w:marTop w:val="0"/>
      <w:marBottom w:val="0"/>
      <w:divBdr>
        <w:top w:val="none" w:sz="0" w:space="0" w:color="auto"/>
        <w:left w:val="none" w:sz="0" w:space="0" w:color="auto"/>
        <w:bottom w:val="none" w:sz="0" w:space="0" w:color="auto"/>
        <w:right w:val="none" w:sz="0" w:space="0" w:color="auto"/>
      </w:divBdr>
    </w:div>
    <w:div w:id="241767012">
      <w:bodyDiv w:val="1"/>
      <w:marLeft w:val="0"/>
      <w:marRight w:val="0"/>
      <w:marTop w:val="0"/>
      <w:marBottom w:val="0"/>
      <w:divBdr>
        <w:top w:val="none" w:sz="0" w:space="0" w:color="auto"/>
        <w:left w:val="none" w:sz="0" w:space="0" w:color="auto"/>
        <w:bottom w:val="none" w:sz="0" w:space="0" w:color="auto"/>
        <w:right w:val="none" w:sz="0" w:space="0" w:color="auto"/>
      </w:divBdr>
    </w:div>
    <w:div w:id="245119483">
      <w:bodyDiv w:val="1"/>
      <w:marLeft w:val="0"/>
      <w:marRight w:val="0"/>
      <w:marTop w:val="0"/>
      <w:marBottom w:val="0"/>
      <w:divBdr>
        <w:top w:val="none" w:sz="0" w:space="0" w:color="auto"/>
        <w:left w:val="none" w:sz="0" w:space="0" w:color="auto"/>
        <w:bottom w:val="none" w:sz="0" w:space="0" w:color="auto"/>
        <w:right w:val="none" w:sz="0" w:space="0" w:color="auto"/>
      </w:divBdr>
    </w:div>
    <w:div w:id="245462564">
      <w:bodyDiv w:val="1"/>
      <w:marLeft w:val="0"/>
      <w:marRight w:val="0"/>
      <w:marTop w:val="0"/>
      <w:marBottom w:val="0"/>
      <w:divBdr>
        <w:top w:val="none" w:sz="0" w:space="0" w:color="auto"/>
        <w:left w:val="none" w:sz="0" w:space="0" w:color="auto"/>
        <w:bottom w:val="none" w:sz="0" w:space="0" w:color="auto"/>
        <w:right w:val="none" w:sz="0" w:space="0" w:color="auto"/>
      </w:divBdr>
    </w:div>
    <w:div w:id="250286829">
      <w:bodyDiv w:val="1"/>
      <w:marLeft w:val="0"/>
      <w:marRight w:val="0"/>
      <w:marTop w:val="0"/>
      <w:marBottom w:val="0"/>
      <w:divBdr>
        <w:top w:val="none" w:sz="0" w:space="0" w:color="auto"/>
        <w:left w:val="none" w:sz="0" w:space="0" w:color="auto"/>
        <w:bottom w:val="none" w:sz="0" w:space="0" w:color="auto"/>
        <w:right w:val="none" w:sz="0" w:space="0" w:color="auto"/>
      </w:divBdr>
    </w:div>
    <w:div w:id="251936622">
      <w:bodyDiv w:val="1"/>
      <w:marLeft w:val="0"/>
      <w:marRight w:val="0"/>
      <w:marTop w:val="0"/>
      <w:marBottom w:val="0"/>
      <w:divBdr>
        <w:top w:val="none" w:sz="0" w:space="0" w:color="auto"/>
        <w:left w:val="none" w:sz="0" w:space="0" w:color="auto"/>
        <w:bottom w:val="none" w:sz="0" w:space="0" w:color="auto"/>
        <w:right w:val="none" w:sz="0" w:space="0" w:color="auto"/>
      </w:divBdr>
    </w:div>
    <w:div w:id="259726820">
      <w:bodyDiv w:val="1"/>
      <w:marLeft w:val="0"/>
      <w:marRight w:val="0"/>
      <w:marTop w:val="0"/>
      <w:marBottom w:val="0"/>
      <w:divBdr>
        <w:top w:val="none" w:sz="0" w:space="0" w:color="auto"/>
        <w:left w:val="none" w:sz="0" w:space="0" w:color="auto"/>
        <w:bottom w:val="none" w:sz="0" w:space="0" w:color="auto"/>
        <w:right w:val="none" w:sz="0" w:space="0" w:color="auto"/>
      </w:divBdr>
    </w:div>
    <w:div w:id="265188043">
      <w:bodyDiv w:val="1"/>
      <w:marLeft w:val="0"/>
      <w:marRight w:val="0"/>
      <w:marTop w:val="0"/>
      <w:marBottom w:val="0"/>
      <w:divBdr>
        <w:top w:val="none" w:sz="0" w:space="0" w:color="auto"/>
        <w:left w:val="none" w:sz="0" w:space="0" w:color="auto"/>
        <w:bottom w:val="none" w:sz="0" w:space="0" w:color="auto"/>
        <w:right w:val="none" w:sz="0" w:space="0" w:color="auto"/>
      </w:divBdr>
    </w:div>
    <w:div w:id="265894925">
      <w:bodyDiv w:val="1"/>
      <w:marLeft w:val="0"/>
      <w:marRight w:val="0"/>
      <w:marTop w:val="0"/>
      <w:marBottom w:val="0"/>
      <w:divBdr>
        <w:top w:val="none" w:sz="0" w:space="0" w:color="auto"/>
        <w:left w:val="none" w:sz="0" w:space="0" w:color="auto"/>
        <w:bottom w:val="none" w:sz="0" w:space="0" w:color="auto"/>
        <w:right w:val="none" w:sz="0" w:space="0" w:color="auto"/>
      </w:divBdr>
    </w:div>
    <w:div w:id="267927352">
      <w:bodyDiv w:val="1"/>
      <w:marLeft w:val="0"/>
      <w:marRight w:val="0"/>
      <w:marTop w:val="0"/>
      <w:marBottom w:val="0"/>
      <w:divBdr>
        <w:top w:val="none" w:sz="0" w:space="0" w:color="auto"/>
        <w:left w:val="none" w:sz="0" w:space="0" w:color="auto"/>
        <w:bottom w:val="none" w:sz="0" w:space="0" w:color="auto"/>
        <w:right w:val="none" w:sz="0" w:space="0" w:color="auto"/>
      </w:divBdr>
      <w:divsChild>
        <w:div w:id="234635626">
          <w:marLeft w:val="0"/>
          <w:marRight w:val="0"/>
          <w:marTop w:val="0"/>
          <w:marBottom w:val="0"/>
          <w:divBdr>
            <w:top w:val="none" w:sz="0" w:space="0" w:color="auto"/>
            <w:left w:val="none" w:sz="0" w:space="0" w:color="auto"/>
            <w:bottom w:val="none" w:sz="0" w:space="0" w:color="auto"/>
            <w:right w:val="none" w:sz="0" w:space="0" w:color="auto"/>
          </w:divBdr>
          <w:divsChild>
            <w:div w:id="1661738517">
              <w:marLeft w:val="0"/>
              <w:marRight w:val="0"/>
              <w:marTop w:val="0"/>
              <w:marBottom w:val="0"/>
              <w:divBdr>
                <w:top w:val="single" w:sz="2" w:space="0" w:color="D9D9E3"/>
                <w:left w:val="single" w:sz="2" w:space="0" w:color="D9D9E3"/>
                <w:bottom w:val="single" w:sz="2" w:space="0" w:color="D9D9E3"/>
                <w:right w:val="single" w:sz="2" w:space="0" w:color="D9D9E3"/>
              </w:divBdr>
              <w:divsChild>
                <w:div w:id="94634457">
                  <w:marLeft w:val="0"/>
                  <w:marRight w:val="0"/>
                  <w:marTop w:val="0"/>
                  <w:marBottom w:val="0"/>
                  <w:divBdr>
                    <w:top w:val="single" w:sz="2" w:space="0" w:color="D9D9E3"/>
                    <w:left w:val="single" w:sz="2" w:space="0" w:color="D9D9E3"/>
                    <w:bottom w:val="single" w:sz="2" w:space="0" w:color="D9D9E3"/>
                    <w:right w:val="single" w:sz="2" w:space="0" w:color="D9D9E3"/>
                  </w:divBdr>
                  <w:divsChild>
                    <w:div w:id="1449162804">
                      <w:marLeft w:val="0"/>
                      <w:marRight w:val="0"/>
                      <w:marTop w:val="0"/>
                      <w:marBottom w:val="0"/>
                      <w:divBdr>
                        <w:top w:val="single" w:sz="2" w:space="0" w:color="D9D9E3"/>
                        <w:left w:val="single" w:sz="2" w:space="0" w:color="D9D9E3"/>
                        <w:bottom w:val="single" w:sz="2" w:space="0" w:color="D9D9E3"/>
                        <w:right w:val="single" w:sz="2" w:space="0" w:color="D9D9E3"/>
                      </w:divBdr>
                      <w:divsChild>
                        <w:div w:id="1254399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89126166">
          <w:marLeft w:val="0"/>
          <w:marRight w:val="0"/>
          <w:marTop w:val="0"/>
          <w:marBottom w:val="0"/>
          <w:divBdr>
            <w:top w:val="single" w:sz="2" w:space="0" w:color="D9D9E3"/>
            <w:left w:val="single" w:sz="2" w:space="0" w:color="D9D9E3"/>
            <w:bottom w:val="single" w:sz="2" w:space="0" w:color="D9D9E3"/>
            <w:right w:val="single" w:sz="2" w:space="0" w:color="D9D9E3"/>
          </w:divBdr>
          <w:divsChild>
            <w:div w:id="2015110324">
              <w:marLeft w:val="0"/>
              <w:marRight w:val="0"/>
              <w:marTop w:val="0"/>
              <w:marBottom w:val="0"/>
              <w:divBdr>
                <w:top w:val="single" w:sz="2" w:space="0" w:color="D9D9E3"/>
                <w:left w:val="single" w:sz="2" w:space="0" w:color="D9D9E3"/>
                <w:bottom w:val="single" w:sz="2" w:space="0" w:color="D9D9E3"/>
                <w:right w:val="single" w:sz="2" w:space="0" w:color="D9D9E3"/>
              </w:divBdr>
              <w:divsChild>
                <w:div w:id="1585382884">
                  <w:marLeft w:val="0"/>
                  <w:marRight w:val="0"/>
                  <w:marTop w:val="0"/>
                  <w:marBottom w:val="0"/>
                  <w:divBdr>
                    <w:top w:val="single" w:sz="2" w:space="0" w:color="D9D9E3"/>
                    <w:left w:val="single" w:sz="2" w:space="0" w:color="D9D9E3"/>
                    <w:bottom w:val="single" w:sz="2" w:space="0" w:color="D9D9E3"/>
                    <w:right w:val="single" w:sz="2" w:space="0" w:color="D9D9E3"/>
                  </w:divBdr>
                  <w:divsChild>
                    <w:div w:id="866141161">
                      <w:marLeft w:val="0"/>
                      <w:marRight w:val="0"/>
                      <w:marTop w:val="0"/>
                      <w:marBottom w:val="0"/>
                      <w:divBdr>
                        <w:top w:val="single" w:sz="2" w:space="0" w:color="D9D9E3"/>
                        <w:left w:val="single" w:sz="2" w:space="0" w:color="D9D9E3"/>
                        <w:bottom w:val="single" w:sz="2" w:space="0" w:color="D9D9E3"/>
                        <w:right w:val="single" w:sz="2" w:space="0" w:color="D9D9E3"/>
                      </w:divBdr>
                      <w:divsChild>
                        <w:div w:id="838470111">
                          <w:marLeft w:val="0"/>
                          <w:marRight w:val="0"/>
                          <w:marTop w:val="0"/>
                          <w:marBottom w:val="0"/>
                          <w:divBdr>
                            <w:top w:val="single" w:sz="2" w:space="0" w:color="auto"/>
                            <w:left w:val="single" w:sz="2" w:space="0" w:color="auto"/>
                            <w:bottom w:val="single" w:sz="6" w:space="0" w:color="auto"/>
                            <w:right w:val="single" w:sz="2" w:space="0" w:color="auto"/>
                          </w:divBdr>
                          <w:divsChild>
                            <w:div w:id="502665515">
                              <w:marLeft w:val="0"/>
                              <w:marRight w:val="0"/>
                              <w:marTop w:val="100"/>
                              <w:marBottom w:val="100"/>
                              <w:divBdr>
                                <w:top w:val="single" w:sz="2" w:space="0" w:color="D9D9E3"/>
                                <w:left w:val="single" w:sz="2" w:space="0" w:color="D9D9E3"/>
                                <w:bottom w:val="single" w:sz="2" w:space="0" w:color="D9D9E3"/>
                                <w:right w:val="single" w:sz="2" w:space="0" w:color="D9D9E3"/>
                              </w:divBdr>
                              <w:divsChild>
                                <w:div w:id="78790998">
                                  <w:marLeft w:val="0"/>
                                  <w:marRight w:val="0"/>
                                  <w:marTop w:val="0"/>
                                  <w:marBottom w:val="0"/>
                                  <w:divBdr>
                                    <w:top w:val="single" w:sz="2" w:space="0" w:color="D9D9E3"/>
                                    <w:left w:val="single" w:sz="2" w:space="0" w:color="D9D9E3"/>
                                    <w:bottom w:val="single" w:sz="2" w:space="0" w:color="D9D9E3"/>
                                    <w:right w:val="single" w:sz="2" w:space="0" w:color="D9D9E3"/>
                                  </w:divBdr>
                                  <w:divsChild>
                                    <w:div w:id="1934825293">
                                      <w:marLeft w:val="0"/>
                                      <w:marRight w:val="0"/>
                                      <w:marTop w:val="0"/>
                                      <w:marBottom w:val="0"/>
                                      <w:divBdr>
                                        <w:top w:val="single" w:sz="2" w:space="0" w:color="D9D9E3"/>
                                        <w:left w:val="single" w:sz="2" w:space="0" w:color="D9D9E3"/>
                                        <w:bottom w:val="single" w:sz="2" w:space="0" w:color="D9D9E3"/>
                                        <w:right w:val="single" w:sz="2" w:space="0" w:color="D9D9E3"/>
                                      </w:divBdr>
                                      <w:divsChild>
                                        <w:div w:id="582489529">
                                          <w:marLeft w:val="0"/>
                                          <w:marRight w:val="0"/>
                                          <w:marTop w:val="0"/>
                                          <w:marBottom w:val="0"/>
                                          <w:divBdr>
                                            <w:top w:val="single" w:sz="2" w:space="0" w:color="D9D9E3"/>
                                            <w:left w:val="single" w:sz="2" w:space="0" w:color="D9D9E3"/>
                                            <w:bottom w:val="single" w:sz="2" w:space="0" w:color="D9D9E3"/>
                                            <w:right w:val="single" w:sz="2" w:space="0" w:color="D9D9E3"/>
                                          </w:divBdr>
                                          <w:divsChild>
                                            <w:div w:id="15099017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275062976">
      <w:bodyDiv w:val="1"/>
      <w:marLeft w:val="0"/>
      <w:marRight w:val="0"/>
      <w:marTop w:val="0"/>
      <w:marBottom w:val="0"/>
      <w:divBdr>
        <w:top w:val="none" w:sz="0" w:space="0" w:color="auto"/>
        <w:left w:val="none" w:sz="0" w:space="0" w:color="auto"/>
        <w:bottom w:val="none" w:sz="0" w:space="0" w:color="auto"/>
        <w:right w:val="none" w:sz="0" w:space="0" w:color="auto"/>
      </w:divBdr>
    </w:div>
    <w:div w:id="279538088">
      <w:bodyDiv w:val="1"/>
      <w:marLeft w:val="0"/>
      <w:marRight w:val="0"/>
      <w:marTop w:val="0"/>
      <w:marBottom w:val="0"/>
      <w:divBdr>
        <w:top w:val="none" w:sz="0" w:space="0" w:color="auto"/>
        <w:left w:val="none" w:sz="0" w:space="0" w:color="auto"/>
        <w:bottom w:val="none" w:sz="0" w:space="0" w:color="auto"/>
        <w:right w:val="none" w:sz="0" w:space="0" w:color="auto"/>
      </w:divBdr>
    </w:div>
    <w:div w:id="300695785">
      <w:bodyDiv w:val="1"/>
      <w:marLeft w:val="0"/>
      <w:marRight w:val="0"/>
      <w:marTop w:val="0"/>
      <w:marBottom w:val="0"/>
      <w:divBdr>
        <w:top w:val="none" w:sz="0" w:space="0" w:color="auto"/>
        <w:left w:val="none" w:sz="0" w:space="0" w:color="auto"/>
        <w:bottom w:val="none" w:sz="0" w:space="0" w:color="auto"/>
        <w:right w:val="none" w:sz="0" w:space="0" w:color="auto"/>
      </w:divBdr>
    </w:div>
    <w:div w:id="301614857">
      <w:bodyDiv w:val="1"/>
      <w:marLeft w:val="0"/>
      <w:marRight w:val="0"/>
      <w:marTop w:val="0"/>
      <w:marBottom w:val="0"/>
      <w:divBdr>
        <w:top w:val="none" w:sz="0" w:space="0" w:color="auto"/>
        <w:left w:val="none" w:sz="0" w:space="0" w:color="auto"/>
        <w:bottom w:val="none" w:sz="0" w:space="0" w:color="auto"/>
        <w:right w:val="none" w:sz="0" w:space="0" w:color="auto"/>
      </w:divBdr>
    </w:div>
    <w:div w:id="301813070">
      <w:bodyDiv w:val="1"/>
      <w:marLeft w:val="0"/>
      <w:marRight w:val="0"/>
      <w:marTop w:val="0"/>
      <w:marBottom w:val="0"/>
      <w:divBdr>
        <w:top w:val="none" w:sz="0" w:space="0" w:color="auto"/>
        <w:left w:val="none" w:sz="0" w:space="0" w:color="auto"/>
        <w:bottom w:val="none" w:sz="0" w:space="0" w:color="auto"/>
        <w:right w:val="none" w:sz="0" w:space="0" w:color="auto"/>
      </w:divBdr>
    </w:div>
    <w:div w:id="303512563">
      <w:bodyDiv w:val="1"/>
      <w:marLeft w:val="0"/>
      <w:marRight w:val="0"/>
      <w:marTop w:val="0"/>
      <w:marBottom w:val="0"/>
      <w:divBdr>
        <w:top w:val="none" w:sz="0" w:space="0" w:color="auto"/>
        <w:left w:val="none" w:sz="0" w:space="0" w:color="auto"/>
        <w:bottom w:val="none" w:sz="0" w:space="0" w:color="auto"/>
        <w:right w:val="none" w:sz="0" w:space="0" w:color="auto"/>
      </w:divBdr>
    </w:div>
    <w:div w:id="303584727">
      <w:bodyDiv w:val="1"/>
      <w:marLeft w:val="0"/>
      <w:marRight w:val="0"/>
      <w:marTop w:val="0"/>
      <w:marBottom w:val="0"/>
      <w:divBdr>
        <w:top w:val="none" w:sz="0" w:space="0" w:color="auto"/>
        <w:left w:val="none" w:sz="0" w:space="0" w:color="auto"/>
        <w:bottom w:val="none" w:sz="0" w:space="0" w:color="auto"/>
        <w:right w:val="none" w:sz="0" w:space="0" w:color="auto"/>
      </w:divBdr>
    </w:div>
    <w:div w:id="307176254">
      <w:bodyDiv w:val="1"/>
      <w:marLeft w:val="0"/>
      <w:marRight w:val="0"/>
      <w:marTop w:val="0"/>
      <w:marBottom w:val="0"/>
      <w:divBdr>
        <w:top w:val="none" w:sz="0" w:space="0" w:color="auto"/>
        <w:left w:val="none" w:sz="0" w:space="0" w:color="auto"/>
        <w:bottom w:val="none" w:sz="0" w:space="0" w:color="auto"/>
        <w:right w:val="none" w:sz="0" w:space="0" w:color="auto"/>
      </w:divBdr>
    </w:div>
    <w:div w:id="309216666">
      <w:bodyDiv w:val="1"/>
      <w:marLeft w:val="0"/>
      <w:marRight w:val="0"/>
      <w:marTop w:val="0"/>
      <w:marBottom w:val="0"/>
      <w:divBdr>
        <w:top w:val="none" w:sz="0" w:space="0" w:color="auto"/>
        <w:left w:val="none" w:sz="0" w:space="0" w:color="auto"/>
        <w:bottom w:val="none" w:sz="0" w:space="0" w:color="auto"/>
        <w:right w:val="none" w:sz="0" w:space="0" w:color="auto"/>
      </w:divBdr>
    </w:div>
    <w:div w:id="312374732">
      <w:bodyDiv w:val="1"/>
      <w:marLeft w:val="0"/>
      <w:marRight w:val="0"/>
      <w:marTop w:val="0"/>
      <w:marBottom w:val="0"/>
      <w:divBdr>
        <w:top w:val="none" w:sz="0" w:space="0" w:color="auto"/>
        <w:left w:val="none" w:sz="0" w:space="0" w:color="auto"/>
        <w:bottom w:val="none" w:sz="0" w:space="0" w:color="auto"/>
        <w:right w:val="none" w:sz="0" w:space="0" w:color="auto"/>
      </w:divBdr>
      <w:divsChild>
        <w:div w:id="892695307">
          <w:marLeft w:val="850"/>
          <w:marRight w:val="0"/>
          <w:marTop w:val="0"/>
          <w:marBottom w:val="0"/>
          <w:divBdr>
            <w:top w:val="none" w:sz="0" w:space="0" w:color="auto"/>
            <w:left w:val="none" w:sz="0" w:space="0" w:color="auto"/>
            <w:bottom w:val="none" w:sz="0" w:space="0" w:color="auto"/>
            <w:right w:val="none" w:sz="0" w:space="0" w:color="auto"/>
          </w:divBdr>
        </w:div>
      </w:divsChild>
    </w:div>
    <w:div w:id="318312675">
      <w:bodyDiv w:val="1"/>
      <w:marLeft w:val="0"/>
      <w:marRight w:val="0"/>
      <w:marTop w:val="0"/>
      <w:marBottom w:val="0"/>
      <w:divBdr>
        <w:top w:val="none" w:sz="0" w:space="0" w:color="auto"/>
        <w:left w:val="none" w:sz="0" w:space="0" w:color="auto"/>
        <w:bottom w:val="none" w:sz="0" w:space="0" w:color="auto"/>
        <w:right w:val="none" w:sz="0" w:space="0" w:color="auto"/>
      </w:divBdr>
      <w:divsChild>
        <w:div w:id="177545430">
          <w:marLeft w:val="1987"/>
          <w:marRight w:val="0"/>
          <w:marTop w:val="0"/>
          <w:marBottom w:val="0"/>
          <w:divBdr>
            <w:top w:val="none" w:sz="0" w:space="0" w:color="auto"/>
            <w:left w:val="none" w:sz="0" w:space="0" w:color="auto"/>
            <w:bottom w:val="none" w:sz="0" w:space="0" w:color="auto"/>
            <w:right w:val="none" w:sz="0" w:space="0" w:color="auto"/>
          </w:divBdr>
        </w:div>
        <w:div w:id="826477292">
          <w:marLeft w:val="1987"/>
          <w:marRight w:val="0"/>
          <w:marTop w:val="0"/>
          <w:marBottom w:val="0"/>
          <w:divBdr>
            <w:top w:val="none" w:sz="0" w:space="0" w:color="auto"/>
            <w:left w:val="none" w:sz="0" w:space="0" w:color="auto"/>
            <w:bottom w:val="none" w:sz="0" w:space="0" w:color="auto"/>
            <w:right w:val="none" w:sz="0" w:space="0" w:color="auto"/>
          </w:divBdr>
        </w:div>
        <w:div w:id="1241065101">
          <w:marLeft w:val="1987"/>
          <w:marRight w:val="0"/>
          <w:marTop w:val="0"/>
          <w:marBottom w:val="0"/>
          <w:divBdr>
            <w:top w:val="none" w:sz="0" w:space="0" w:color="auto"/>
            <w:left w:val="none" w:sz="0" w:space="0" w:color="auto"/>
            <w:bottom w:val="none" w:sz="0" w:space="0" w:color="auto"/>
            <w:right w:val="none" w:sz="0" w:space="0" w:color="auto"/>
          </w:divBdr>
        </w:div>
      </w:divsChild>
    </w:div>
    <w:div w:id="319582901">
      <w:bodyDiv w:val="1"/>
      <w:marLeft w:val="0"/>
      <w:marRight w:val="0"/>
      <w:marTop w:val="0"/>
      <w:marBottom w:val="0"/>
      <w:divBdr>
        <w:top w:val="none" w:sz="0" w:space="0" w:color="auto"/>
        <w:left w:val="none" w:sz="0" w:space="0" w:color="auto"/>
        <w:bottom w:val="none" w:sz="0" w:space="0" w:color="auto"/>
        <w:right w:val="none" w:sz="0" w:space="0" w:color="auto"/>
      </w:divBdr>
    </w:div>
    <w:div w:id="332298022">
      <w:bodyDiv w:val="1"/>
      <w:marLeft w:val="0"/>
      <w:marRight w:val="0"/>
      <w:marTop w:val="0"/>
      <w:marBottom w:val="0"/>
      <w:divBdr>
        <w:top w:val="none" w:sz="0" w:space="0" w:color="auto"/>
        <w:left w:val="none" w:sz="0" w:space="0" w:color="auto"/>
        <w:bottom w:val="none" w:sz="0" w:space="0" w:color="auto"/>
        <w:right w:val="none" w:sz="0" w:space="0" w:color="auto"/>
      </w:divBdr>
      <w:divsChild>
        <w:div w:id="957182307">
          <w:marLeft w:val="1987"/>
          <w:marRight w:val="0"/>
          <w:marTop w:val="0"/>
          <w:marBottom w:val="0"/>
          <w:divBdr>
            <w:top w:val="none" w:sz="0" w:space="0" w:color="auto"/>
            <w:left w:val="none" w:sz="0" w:space="0" w:color="auto"/>
            <w:bottom w:val="none" w:sz="0" w:space="0" w:color="auto"/>
            <w:right w:val="none" w:sz="0" w:space="0" w:color="auto"/>
          </w:divBdr>
        </w:div>
      </w:divsChild>
    </w:div>
    <w:div w:id="333998514">
      <w:bodyDiv w:val="1"/>
      <w:marLeft w:val="0"/>
      <w:marRight w:val="0"/>
      <w:marTop w:val="0"/>
      <w:marBottom w:val="0"/>
      <w:divBdr>
        <w:top w:val="none" w:sz="0" w:space="0" w:color="auto"/>
        <w:left w:val="none" w:sz="0" w:space="0" w:color="auto"/>
        <w:bottom w:val="none" w:sz="0" w:space="0" w:color="auto"/>
        <w:right w:val="none" w:sz="0" w:space="0" w:color="auto"/>
      </w:divBdr>
    </w:div>
    <w:div w:id="346448281">
      <w:bodyDiv w:val="1"/>
      <w:marLeft w:val="0"/>
      <w:marRight w:val="0"/>
      <w:marTop w:val="0"/>
      <w:marBottom w:val="0"/>
      <w:divBdr>
        <w:top w:val="none" w:sz="0" w:space="0" w:color="auto"/>
        <w:left w:val="none" w:sz="0" w:space="0" w:color="auto"/>
        <w:bottom w:val="none" w:sz="0" w:space="0" w:color="auto"/>
        <w:right w:val="none" w:sz="0" w:space="0" w:color="auto"/>
      </w:divBdr>
    </w:div>
    <w:div w:id="353656056">
      <w:bodyDiv w:val="1"/>
      <w:marLeft w:val="0"/>
      <w:marRight w:val="0"/>
      <w:marTop w:val="0"/>
      <w:marBottom w:val="0"/>
      <w:divBdr>
        <w:top w:val="none" w:sz="0" w:space="0" w:color="auto"/>
        <w:left w:val="none" w:sz="0" w:space="0" w:color="auto"/>
        <w:bottom w:val="none" w:sz="0" w:space="0" w:color="auto"/>
        <w:right w:val="none" w:sz="0" w:space="0" w:color="auto"/>
      </w:divBdr>
    </w:div>
    <w:div w:id="356659590">
      <w:bodyDiv w:val="1"/>
      <w:marLeft w:val="0"/>
      <w:marRight w:val="0"/>
      <w:marTop w:val="0"/>
      <w:marBottom w:val="0"/>
      <w:divBdr>
        <w:top w:val="none" w:sz="0" w:space="0" w:color="auto"/>
        <w:left w:val="none" w:sz="0" w:space="0" w:color="auto"/>
        <w:bottom w:val="none" w:sz="0" w:space="0" w:color="auto"/>
        <w:right w:val="none" w:sz="0" w:space="0" w:color="auto"/>
      </w:divBdr>
      <w:divsChild>
        <w:div w:id="432290884">
          <w:marLeft w:val="547"/>
          <w:marRight w:val="0"/>
          <w:marTop w:val="0"/>
          <w:marBottom w:val="0"/>
          <w:divBdr>
            <w:top w:val="none" w:sz="0" w:space="0" w:color="auto"/>
            <w:left w:val="none" w:sz="0" w:space="0" w:color="auto"/>
            <w:bottom w:val="none" w:sz="0" w:space="0" w:color="auto"/>
            <w:right w:val="none" w:sz="0" w:space="0" w:color="auto"/>
          </w:divBdr>
        </w:div>
      </w:divsChild>
    </w:div>
    <w:div w:id="362677644">
      <w:bodyDiv w:val="1"/>
      <w:marLeft w:val="0"/>
      <w:marRight w:val="0"/>
      <w:marTop w:val="0"/>
      <w:marBottom w:val="0"/>
      <w:divBdr>
        <w:top w:val="none" w:sz="0" w:space="0" w:color="auto"/>
        <w:left w:val="none" w:sz="0" w:space="0" w:color="auto"/>
        <w:bottom w:val="none" w:sz="0" w:space="0" w:color="auto"/>
        <w:right w:val="none" w:sz="0" w:space="0" w:color="auto"/>
      </w:divBdr>
    </w:div>
    <w:div w:id="369577063">
      <w:bodyDiv w:val="1"/>
      <w:marLeft w:val="0"/>
      <w:marRight w:val="0"/>
      <w:marTop w:val="0"/>
      <w:marBottom w:val="0"/>
      <w:divBdr>
        <w:top w:val="none" w:sz="0" w:space="0" w:color="auto"/>
        <w:left w:val="none" w:sz="0" w:space="0" w:color="auto"/>
        <w:bottom w:val="none" w:sz="0" w:space="0" w:color="auto"/>
        <w:right w:val="none" w:sz="0" w:space="0" w:color="auto"/>
      </w:divBdr>
    </w:div>
    <w:div w:id="370351020">
      <w:bodyDiv w:val="1"/>
      <w:marLeft w:val="0"/>
      <w:marRight w:val="0"/>
      <w:marTop w:val="0"/>
      <w:marBottom w:val="0"/>
      <w:divBdr>
        <w:top w:val="none" w:sz="0" w:space="0" w:color="auto"/>
        <w:left w:val="none" w:sz="0" w:space="0" w:color="auto"/>
        <w:bottom w:val="none" w:sz="0" w:space="0" w:color="auto"/>
        <w:right w:val="none" w:sz="0" w:space="0" w:color="auto"/>
      </w:divBdr>
    </w:div>
    <w:div w:id="376709264">
      <w:bodyDiv w:val="1"/>
      <w:marLeft w:val="0"/>
      <w:marRight w:val="0"/>
      <w:marTop w:val="0"/>
      <w:marBottom w:val="0"/>
      <w:divBdr>
        <w:top w:val="none" w:sz="0" w:space="0" w:color="auto"/>
        <w:left w:val="none" w:sz="0" w:space="0" w:color="auto"/>
        <w:bottom w:val="none" w:sz="0" w:space="0" w:color="auto"/>
        <w:right w:val="none" w:sz="0" w:space="0" w:color="auto"/>
      </w:divBdr>
    </w:div>
    <w:div w:id="377173129">
      <w:bodyDiv w:val="1"/>
      <w:marLeft w:val="0"/>
      <w:marRight w:val="0"/>
      <w:marTop w:val="0"/>
      <w:marBottom w:val="0"/>
      <w:divBdr>
        <w:top w:val="none" w:sz="0" w:space="0" w:color="auto"/>
        <w:left w:val="none" w:sz="0" w:space="0" w:color="auto"/>
        <w:bottom w:val="none" w:sz="0" w:space="0" w:color="auto"/>
        <w:right w:val="none" w:sz="0" w:space="0" w:color="auto"/>
      </w:divBdr>
    </w:div>
    <w:div w:id="392899039">
      <w:bodyDiv w:val="1"/>
      <w:marLeft w:val="0"/>
      <w:marRight w:val="0"/>
      <w:marTop w:val="0"/>
      <w:marBottom w:val="0"/>
      <w:divBdr>
        <w:top w:val="none" w:sz="0" w:space="0" w:color="auto"/>
        <w:left w:val="none" w:sz="0" w:space="0" w:color="auto"/>
        <w:bottom w:val="none" w:sz="0" w:space="0" w:color="auto"/>
        <w:right w:val="none" w:sz="0" w:space="0" w:color="auto"/>
      </w:divBdr>
    </w:div>
    <w:div w:id="399719901">
      <w:bodyDiv w:val="1"/>
      <w:marLeft w:val="0"/>
      <w:marRight w:val="0"/>
      <w:marTop w:val="0"/>
      <w:marBottom w:val="0"/>
      <w:divBdr>
        <w:top w:val="none" w:sz="0" w:space="0" w:color="auto"/>
        <w:left w:val="none" w:sz="0" w:space="0" w:color="auto"/>
        <w:bottom w:val="none" w:sz="0" w:space="0" w:color="auto"/>
        <w:right w:val="none" w:sz="0" w:space="0" w:color="auto"/>
      </w:divBdr>
    </w:div>
    <w:div w:id="409079347">
      <w:bodyDiv w:val="1"/>
      <w:marLeft w:val="0"/>
      <w:marRight w:val="0"/>
      <w:marTop w:val="0"/>
      <w:marBottom w:val="0"/>
      <w:divBdr>
        <w:top w:val="none" w:sz="0" w:space="0" w:color="auto"/>
        <w:left w:val="none" w:sz="0" w:space="0" w:color="auto"/>
        <w:bottom w:val="none" w:sz="0" w:space="0" w:color="auto"/>
        <w:right w:val="none" w:sz="0" w:space="0" w:color="auto"/>
      </w:divBdr>
      <w:divsChild>
        <w:div w:id="1663269190">
          <w:marLeft w:val="706"/>
          <w:marRight w:val="0"/>
          <w:marTop w:val="0"/>
          <w:marBottom w:val="0"/>
          <w:divBdr>
            <w:top w:val="none" w:sz="0" w:space="0" w:color="auto"/>
            <w:left w:val="none" w:sz="0" w:space="0" w:color="auto"/>
            <w:bottom w:val="none" w:sz="0" w:space="0" w:color="auto"/>
            <w:right w:val="none" w:sz="0" w:space="0" w:color="auto"/>
          </w:divBdr>
        </w:div>
      </w:divsChild>
    </w:div>
    <w:div w:id="409154801">
      <w:bodyDiv w:val="1"/>
      <w:marLeft w:val="0"/>
      <w:marRight w:val="0"/>
      <w:marTop w:val="0"/>
      <w:marBottom w:val="0"/>
      <w:divBdr>
        <w:top w:val="none" w:sz="0" w:space="0" w:color="auto"/>
        <w:left w:val="none" w:sz="0" w:space="0" w:color="auto"/>
        <w:bottom w:val="none" w:sz="0" w:space="0" w:color="auto"/>
        <w:right w:val="none" w:sz="0" w:space="0" w:color="auto"/>
      </w:divBdr>
    </w:div>
    <w:div w:id="412893280">
      <w:bodyDiv w:val="1"/>
      <w:marLeft w:val="0"/>
      <w:marRight w:val="0"/>
      <w:marTop w:val="0"/>
      <w:marBottom w:val="0"/>
      <w:divBdr>
        <w:top w:val="none" w:sz="0" w:space="0" w:color="auto"/>
        <w:left w:val="none" w:sz="0" w:space="0" w:color="auto"/>
        <w:bottom w:val="none" w:sz="0" w:space="0" w:color="auto"/>
        <w:right w:val="none" w:sz="0" w:space="0" w:color="auto"/>
      </w:divBdr>
    </w:div>
    <w:div w:id="414057400">
      <w:bodyDiv w:val="1"/>
      <w:marLeft w:val="0"/>
      <w:marRight w:val="0"/>
      <w:marTop w:val="0"/>
      <w:marBottom w:val="0"/>
      <w:divBdr>
        <w:top w:val="none" w:sz="0" w:space="0" w:color="auto"/>
        <w:left w:val="none" w:sz="0" w:space="0" w:color="auto"/>
        <w:bottom w:val="none" w:sz="0" w:space="0" w:color="auto"/>
        <w:right w:val="none" w:sz="0" w:space="0" w:color="auto"/>
      </w:divBdr>
    </w:div>
    <w:div w:id="418333721">
      <w:bodyDiv w:val="1"/>
      <w:marLeft w:val="0"/>
      <w:marRight w:val="0"/>
      <w:marTop w:val="0"/>
      <w:marBottom w:val="0"/>
      <w:divBdr>
        <w:top w:val="none" w:sz="0" w:space="0" w:color="auto"/>
        <w:left w:val="none" w:sz="0" w:space="0" w:color="auto"/>
        <w:bottom w:val="none" w:sz="0" w:space="0" w:color="auto"/>
        <w:right w:val="none" w:sz="0" w:space="0" w:color="auto"/>
      </w:divBdr>
    </w:div>
    <w:div w:id="424229197">
      <w:bodyDiv w:val="1"/>
      <w:marLeft w:val="0"/>
      <w:marRight w:val="0"/>
      <w:marTop w:val="0"/>
      <w:marBottom w:val="0"/>
      <w:divBdr>
        <w:top w:val="none" w:sz="0" w:space="0" w:color="auto"/>
        <w:left w:val="none" w:sz="0" w:space="0" w:color="auto"/>
        <w:bottom w:val="none" w:sz="0" w:space="0" w:color="auto"/>
        <w:right w:val="none" w:sz="0" w:space="0" w:color="auto"/>
      </w:divBdr>
    </w:div>
    <w:div w:id="427892329">
      <w:bodyDiv w:val="1"/>
      <w:marLeft w:val="0"/>
      <w:marRight w:val="0"/>
      <w:marTop w:val="0"/>
      <w:marBottom w:val="0"/>
      <w:divBdr>
        <w:top w:val="none" w:sz="0" w:space="0" w:color="auto"/>
        <w:left w:val="none" w:sz="0" w:space="0" w:color="auto"/>
        <w:bottom w:val="none" w:sz="0" w:space="0" w:color="auto"/>
        <w:right w:val="none" w:sz="0" w:space="0" w:color="auto"/>
      </w:divBdr>
    </w:div>
    <w:div w:id="449319529">
      <w:bodyDiv w:val="1"/>
      <w:marLeft w:val="0"/>
      <w:marRight w:val="0"/>
      <w:marTop w:val="0"/>
      <w:marBottom w:val="0"/>
      <w:divBdr>
        <w:top w:val="none" w:sz="0" w:space="0" w:color="auto"/>
        <w:left w:val="none" w:sz="0" w:space="0" w:color="auto"/>
        <w:bottom w:val="none" w:sz="0" w:space="0" w:color="auto"/>
        <w:right w:val="none" w:sz="0" w:space="0" w:color="auto"/>
      </w:divBdr>
    </w:div>
    <w:div w:id="474761058">
      <w:bodyDiv w:val="1"/>
      <w:marLeft w:val="0"/>
      <w:marRight w:val="0"/>
      <w:marTop w:val="0"/>
      <w:marBottom w:val="0"/>
      <w:divBdr>
        <w:top w:val="none" w:sz="0" w:space="0" w:color="auto"/>
        <w:left w:val="none" w:sz="0" w:space="0" w:color="auto"/>
        <w:bottom w:val="none" w:sz="0" w:space="0" w:color="auto"/>
        <w:right w:val="none" w:sz="0" w:space="0" w:color="auto"/>
      </w:divBdr>
    </w:div>
    <w:div w:id="477650360">
      <w:bodyDiv w:val="1"/>
      <w:marLeft w:val="0"/>
      <w:marRight w:val="0"/>
      <w:marTop w:val="0"/>
      <w:marBottom w:val="0"/>
      <w:divBdr>
        <w:top w:val="none" w:sz="0" w:space="0" w:color="auto"/>
        <w:left w:val="none" w:sz="0" w:space="0" w:color="auto"/>
        <w:bottom w:val="none" w:sz="0" w:space="0" w:color="auto"/>
        <w:right w:val="none" w:sz="0" w:space="0" w:color="auto"/>
      </w:divBdr>
    </w:div>
    <w:div w:id="479274307">
      <w:bodyDiv w:val="1"/>
      <w:marLeft w:val="0"/>
      <w:marRight w:val="0"/>
      <w:marTop w:val="0"/>
      <w:marBottom w:val="0"/>
      <w:divBdr>
        <w:top w:val="none" w:sz="0" w:space="0" w:color="auto"/>
        <w:left w:val="none" w:sz="0" w:space="0" w:color="auto"/>
        <w:bottom w:val="none" w:sz="0" w:space="0" w:color="auto"/>
        <w:right w:val="none" w:sz="0" w:space="0" w:color="auto"/>
      </w:divBdr>
    </w:div>
    <w:div w:id="498691226">
      <w:bodyDiv w:val="1"/>
      <w:marLeft w:val="0"/>
      <w:marRight w:val="0"/>
      <w:marTop w:val="0"/>
      <w:marBottom w:val="0"/>
      <w:divBdr>
        <w:top w:val="none" w:sz="0" w:space="0" w:color="auto"/>
        <w:left w:val="none" w:sz="0" w:space="0" w:color="auto"/>
        <w:bottom w:val="none" w:sz="0" w:space="0" w:color="auto"/>
        <w:right w:val="none" w:sz="0" w:space="0" w:color="auto"/>
      </w:divBdr>
      <w:divsChild>
        <w:div w:id="1473786280">
          <w:marLeft w:val="994"/>
          <w:marRight w:val="0"/>
          <w:marTop w:val="0"/>
          <w:marBottom w:val="0"/>
          <w:divBdr>
            <w:top w:val="none" w:sz="0" w:space="0" w:color="auto"/>
            <w:left w:val="none" w:sz="0" w:space="0" w:color="auto"/>
            <w:bottom w:val="none" w:sz="0" w:space="0" w:color="auto"/>
            <w:right w:val="none" w:sz="0" w:space="0" w:color="auto"/>
          </w:divBdr>
        </w:div>
      </w:divsChild>
    </w:div>
    <w:div w:id="514617356">
      <w:bodyDiv w:val="1"/>
      <w:marLeft w:val="0"/>
      <w:marRight w:val="0"/>
      <w:marTop w:val="0"/>
      <w:marBottom w:val="0"/>
      <w:divBdr>
        <w:top w:val="none" w:sz="0" w:space="0" w:color="auto"/>
        <w:left w:val="none" w:sz="0" w:space="0" w:color="auto"/>
        <w:bottom w:val="none" w:sz="0" w:space="0" w:color="auto"/>
        <w:right w:val="none" w:sz="0" w:space="0" w:color="auto"/>
      </w:divBdr>
    </w:div>
    <w:div w:id="517277125">
      <w:bodyDiv w:val="1"/>
      <w:marLeft w:val="0"/>
      <w:marRight w:val="0"/>
      <w:marTop w:val="0"/>
      <w:marBottom w:val="0"/>
      <w:divBdr>
        <w:top w:val="none" w:sz="0" w:space="0" w:color="auto"/>
        <w:left w:val="none" w:sz="0" w:space="0" w:color="auto"/>
        <w:bottom w:val="none" w:sz="0" w:space="0" w:color="auto"/>
        <w:right w:val="none" w:sz="0" w:space="0" w:color="auto"/>
      </w:divBdr>
      <w:divsChild>
        <w:div w:id="905190960">
          <w:marLeft w:val="720"/>
          <w:marRight w:val="0"/>
          <w:marTop w:val="0"/>
          <w:marBottom w:val="0"/>
          <w:divBdr>
            <w:top w:val="none" w:sz="0" w:space="0" w:color="auto"/>
            <w:left w:val="none" w:sz="0" w:space="0" w:color="auto"/>
            <w:bottom w:val="none" w:sz="0" w:space="0" w:color="auto"/>
            <w:right w:val="none" w:sz="0" w:space="0" w:color="auto"/>
          </w:divBdr>
        </w:div>
        <w:div w:id="1352491592">
          <w:marLeft w:val="720"/>
          <w:marRight w:val="0"/>
          <w:marTop w:val="0"/>
          <w:marBottom w:val="0"/>
          <w:divBdr>
            <w:top w:val="none" w:sz="0" w:space="0" w:color="auto"/>
            <w:left w:val="none" w:sz="0" w:space="0" w:color="auto"/>
            <w:bottom w:val="none" w:sz="0" w:space="0" w:color="auto"/>
            <w:right w:val="none" w:sz="0" w:space="0" w:color="auto"/>
          </w:divBdr>
        </w:div>
      </w:divsChild>
    </w:div>
    <w:div w:id="521823310">
      <w:bodyDiv w:val="1"/>
      <w:marLeft w:val="0"/>
      <w:marRight w:val="0"/>
      <w:marTop w:val="0"/>
      <w:marBottom w:val="0"/>
      <w:divBdr>
        <w:top w:val="none" w:sz="0" w:space="0" w:color="auto"/>
        <w:left w:val="none" w:sz="0" w:space="0" w:color="auto"/>
        <w:bottom w:val="none" w:sz="0" w:space="0" w:color="auto"/>
        <w:right w:val="none" w:sz="0" w:space="0" w:color="auto"/>
      </w:divBdr>
    </w:div>
    <w:div w:id="523054379">
      <w:bodyDiv w:val="1"/>
      <w:marLeft w:val="0"/>
      <w:marRight w:val="0"/>
      <w:marTop w:val="0"/>
      <w:marBottom w:val="0"/>
      <w:divBdr>
        <w:top w:val="none" w:sz="0" w:space="0" w:color="auto"/>
        <w:left w:val="none" w:sz="0" w:space="0" w:color="auto"/>
        <w:bottom w:val="none" w:sz="0" w:space="0" w:color="auto"/>
        <w:right w:val="none" w:sz="0" w:space="0" w:color="auto"/>
      </w:divBdr>
    </w:div>
    <w:div w:id="524827144">
      <w:bodyDiv w:val="1"/>
      <w:marLeft w:val="0"/>
      <w:marRight w:val="0"/>
      <w:marTop w:val="0"/>
      <w:marBottom w:val="0"/>
      <w:divBdr>
        <w:top w:val="none" w:sz="0" w:space="0" w:color="auto"/>
        <w:left w:val="none" w:sz="0" w:space="0" w:color="auto"/>
        <w:bottom w:val="none" w:sz="0" w:space="0" w:color="auto"/>
        <w:right w:val="none" w:sz="0" w:space="0" w:color="auto"/>
      </w:divBdr>
    </w:div>
    <w:div w:id="543758613">
      <w:bodyDiv w:val="1"/>
      <w:marLeft w:val="0"/>
      <w:marRight w:val="0"/>
      <w:marTop w:val="0"/>
      <w:marBottom w:val="0"/>
      <w:divBdr>
        <w:top w:val="none" w:sz="0" w:space="0" w:color="auto"/>
        <w:left w:val="none" w:sz="0" w:space="0" w:color="auto"/>
        <w:bottom w:val="none" w:sz="0" w:space="0" w:color="auto"/>
        <w:right w:val="none" w:sz="0" w:space="0" w:color="auto"/>
      </w:divBdr>
    </w:div>
    <w:div w:id="574900493">
      <w:bodyDiv w:val="1"/>
      <w:marLeft w:val="0"/>
      <w:marRight w:val="0"/>
      <w:marTop w:val="0"/>
      <w:marBottom w:val="0"/>
      <w:divBdr>
        <w:top w:val="none" w:sz="0" w:space="0" w:color="auto"/>
        <w:left w:val="none" w:sz="0" w:space="0" w:color="auto"/>
        <w:bottom w:val="none" w:sz="0" w:space="0" w:color="auto"/>
        <w:right w:val="none" w:sz="0" w:space="0" w:color="auto"/>
      </w:divBdr>
    </w:div>
    <w:div w:id="582032637">
      <w:bodyDiv w:val="1"/>
      <w:marLeft w:val="0"/>
      <w:marRight w:val="0"/>
      <w:marTop w:val="0"/>
      <w:marBottom w:val="0"/>
      <w:divBdr>
        <w:top w:val="none" w:sz="0" w:space="0" w:color="auto"/>
        <w:left w:val="none" w:sz="0" w:space="0" w:color="auto"/>
        <w:bottom w:val="none" w:sz="0" w:space="0" w:color="auto"/>
        <w:right w:val="none" w:sz="0" w:space="0" w:color="auto"/>
      </w:divBdr>
    </w:div>
    <w:div w:id="582757786">
      <w:bodyDiv w:val="1"/>
      <w:marLeft w:val="0"/>
      <w:marRight w:val="0"/>
      <w:marTop w:val="0"/>
      <w:marBottom w:val="0"/>
      <w:divBdr>
        <w:top w:val="none" w:sz="0" w:space="0" w:color="auto"/>
        <w:left w:val="none" w:sz="0" w:space="0" w:color="auto"/>
        <w:bottom w:val="none" w:sz="0" w:space="0" w:color="auto"/>
        <w:right w:val="none" w:sz="0" w:space="0" w:color="auto"/>
      </w:divBdr>
      <w:divsChild>
        <w:div w:id="869100559">
          <w:marLeft w:val="850"/>
          <w:marRight w:val="0"/>
          <w:marTop w:val="0"/>
          <w:marBottom w:val="0"/>
          <w:divBdr>
            <w:top w:val="none" w:sz="0" w:space="0" w:color="auto"/>
            <w:left w:val="none" w:sz="0" w:space="0" w:color="auto"/>
            <w:bottom w:val="none" w:sz="0" w:space="0" w:color="auto"/>
            <w:right w:val="none" w:sz="0" w:space="0" w:color="auto"/>
          </w:divBdr>
        </w:div>
      </w:divsChild>
    </w:div>
    <w:div w:id="587688709">
      <w:bodyDiv w:val="1"/>
      <w:marLeft w:val="0"/>
      <w:marRight w:val="0"/>
      <w:marTop w:val="0"/>
      <w:marBottom w:val="0"/>
      <w:divBdr>
        <w:top w:val="none" w:sz="0" w:space="0" w:color="auto"/>
        <w:left w:val="none" w:sz="0" w:space="0" w:color="auto"/>
        <w:bottom w:val="none" w:sz="0" w:space="0" w:color="auto"/>
        <w:right w:val="none" w:sz="0" w:space="0" w:color="auto"/>
      </w:divBdr>
    </w:div>
    <w:div w:id="590627540">
      <w:bodyDiv w:val="1"/>
      <w:marLeft w:val="0"/>
      <w:marRight w:val="0"/>
      <w:marTop w:val="0"/>
      <w:marBottom w:val="0"/>
      <w:divBdr>
        <w:top w:val="none" w:sz="0" w:space="0" w:color="auto"/>
        <w:left w:val="none" w:sz="0" w:space="0" w:color="auto"/>
        <w:bottom w:val="none" w:sz="0" w:space="0" w:color="auto"/>
        <w:right w:val="none" w:sz="0" w:space="0" w:color="auto"/>
      </w:divBdr>
    </w:div>
    <w:div w:id="592783761">
      <w:bodyDiv w:val="1"/>
      <w:marLeft w:val="0"/>
      <w:marRight w:val="0"/>
      <w:marTop w:val="0"/>
      <w:marBottom w:val="0"/>
      <w:divBdr>
        <w:top w:val="none" w:sz="0" w:space="0" w:color="auto"/>
        <w:left w:val="none" w:sz="0" w:space="0" w:color="auto"/>
        <w:bottom w:val="none" w:sz="0" w:space="0" w:color="auto"/>
        <w:right w:val="none" w:sz="0" w:space="0" w:color="auto"/>
      </w:divBdr>
    </w:div>
    <w:div w:id="595132825">
      <w:bodyDiv w:val="1"/>
      <w:marLeft w:val="0"/>
      <w:marRight w:val="0"/>
      <w:marTop w:val="0"/>
      <w:marBottom w:val="0"/>
      <w:divBdr>
        <w:top w:val="none" w:sz="0" w:space="0" w:color="auto"/>
        <w:left w:val="none" w:sz="0" w:space="0" w:color="auto"/>
        <w:bottom w:val="none" w:sz="0" w:space="0" w:color="auto"/>
        <w:right w:val="none" w:sz="0" w:space="0" w:color="auto"/>
      </w:divBdr>
    </w:div>
    <w:div w:id="597324320">
      <w:bodyDiv w:val="1"/>
      <w:marLeft w:val="0"/>
      <w:marRight w:val="0"/>
      <w:marTop w:val="0"/>
      <w:marBottom w:val="0"/>
      <w:divBdr>
        <w:top w:val="none" w:sz="0" w:space="0" w:color="auto"/>
        <w:left w:val="none" w:sz="0" w:space="0" w:color="auto"/>
        <w:bottom w:val="none" w:sz="0" w:space="0" w:color="auto"/>
        <w:right w:val="none" w:sz="0" w:space="0" w:color="auto"/>
      </w:divBdr>
    </w:div>
    <w:div w:id="599029070">
      <w:bodyDiv w:val="1"/>
      <w:marLeft w:val="0"/>
      <w:marRight w:val="0"/>
      <w:marTop w:val="0"/>
      <w:marBottom w:val="0"/>
      <w:divBdr>
        <w:top w:val="none" w:sz="0" w:space="0" w:color="auto"/>
        <w:left w:val="none" w:sz="0" w:space="0" w:color="auto"/>
        <w:bottom w:val="none" w:sz="0" w:space="0" w:color="auto"/>
        <w:right w:val="none" w:sz="0" w:space="0" w:color="auto"/>
      </w:divBdr>
    </w:div>
    <w:div w:id="613250160">
      <w:bodyDiv w:val="1"/>
      <w:marLeft w:val="0"/>
      <w:marRight w:val="0"/>
      <w:marTop w:val="0"/>
      <w:marBottom w:val="0"/>
      <w:divBdr>
        <w:top w:val="none" w:sz="0" w:space="0" w:color="auto"/>
        <w:left w:val="none" w:sz="0" w:space="0" w:color="auto"/>
        <w:bottom w:val="none" w:sz="0" w:space="0" w:color="auto"/>
        <w:right w:val="none" w:sz="0" w:space="0" w:color="auto"/>
      </w:divBdr>
    </w:div>
    <w:div w:id="615719672">
      <w:bodyDiv w:val="1"/>
      <w:marLeft w:val="0"/>
      <w:marRight w:val="0"/>
      <w:marTop w:val="0"/>
      <w:marBottom w:val="0"/>
      <w:divBdr>
        <w:top w:val="none" w:sz="0" w:space="0" w:color="auto"/>
        <w:left w:val="none" w:sz="0" w:space="0" w:color="auto"/>
        <w:bottom w:val="none" w:sz="0" w:space="0" w:color="auto"/>
        <w:right w:val="none" w:sz="0" w:space="0" w:color="auto"/>
      </w:divBdr>
    </w:div>
    <w:div w:id="628556648">
      <w:bodyDiv w:val="1"/>
      <w:marLeft w:val="0"/>
      <w:marRight w:val="0"/>
      <w:marTop w:val="0"/>
      <w:marBottom w:val="0"/>
      <w:divBdr>
        <w:top w:val="none" w:sz="0" w:space="0" w:color="auto"/>
        <w:left w:val="none" w:sz="0" w:space="0" w:color="auto"/>
        <w:bottom w:val="none" w:sz="0" w:space="0" w:color="auto"/>
        <w:right w:val="none" w:sz="0" w:space="0" w:color="auto"/>
      </w:divBdr>
    </w:div>
    <w:div w:id="630749879">
      <w:bodyDiv w:val="1"/>
      <w:marLeft w:val="0"/>
      <w:marRight w:val="0"/>
      <w:marTop w:val="0"/>
      <w:marBottom w:val="0"/>
      <w:divBdr>
        <w:top w:val="none" w:sz="0" w:space="0" w:color="auto"/>
        <w:left w:val="none" w:sz="0" w:space="0" w:color="auto"/>
        <w:bottom w:val="none" w:sz="0" w:space="0" w:color="auto"/>
        <w:right w:val="none" w:sz="0" w:space="0" w:color="auto"/>
      </w:divBdr>
    </w:div>
    <w:div w:id="633754707">
      <w:bodyDiv w:val="1"/>
      <w:marLeft w:val="0"/>
      <w:marRight w:val="0"/>
      <w:marTop w:val="0"/>
      <w:marBottom w:val="0"/>
      <w:divBdr>
        <w:top w:val="none" w:sz="0" w:space="0" w:color="auto"/>
        <w:left w:val="none" w:sz="0" w:space="0" w:color="auto"/>
        <w:bottom w:val="none" w:sz="0" w:space="0" w:color="auto"/>
        <w:right w:val="none" w:sz="0" w:space="0" w:color="auto"/>
      </w:divBdr>
    </w:div>
    <w:div w:id="636108940">
      <w:bodyDiv w:val="1"/>
      <w:marLeft w:val="0"/>
      <w:marRight w:val="0"/>
      <w:marTop w:val="0"/>
      <w:marBottom w:val="0"/>
      <w:divBdr>
        <w:top w:val="none" w:sz="0" w:space="0" w:color="auto"/>
        <w:left w:val="none" w:sz="0" w:space="0" w:color="auto"/>
        <w:bottom w:val="none" w:sz="0" w:space="0" w:color="auto"/>
        <w:right w:val="none" w:sz="0" w:space="0" w:color="auto"/>
      </w:divBdr>
    </w:div>
    <w:div w:id="646281465">
      <w:bodyDiv w:val="1"/>
      <w:marLeft w:val="0"/>
      <w:marRight w:val="0"/>
      <w:marTop w:val="0"/>
      <w:marBottom w:val="0"/>
      <w:divBdr>
        <w:top w:val="none" w:sz="0" w:space="0" w:color="auto"/>
        <w:left w:val="none" w:sz="0" w:space="0" w:color="auto"/>
        <w:bottom w:val="none" w:sz="0" w:space="0" w:color="auto"/>
        <w:right w:val="none" w:sz="0" w:space="0" w:color="auto"/>
      </w:divBdr>
    </w:div>
    <w:div w:id="650795420">
      <w:bodyDiv w:val="1"/>
      <w:marLeft w:val="0"/>
      <w:marRight w:val="0"/>
      <w:marTop w:val="0"/>
      <w:marBottom w:val="0"/>
      <w:divBdr>
        <w:top w:val="none" w:sz="0" w:space="0" w:color="auto"/>
        <w:left w:val="none" w:sz="0" w:space="0" w:color="auto"/>
        <w:bottom w:val="none" w:sz="0" w:space="0" w:color="auto"/>
        <w:right w:val="none" w:sz="0" w:space="0" w:color="auto"/>
      </w:divBdr>
    </w:div>
    <w:div w:id="654451096">
      <w:bodyDiv w:val="1"/>
      <w:marLeft w:val="0"/>
      <w:marRight w:val="0"/>
      <w:marTop w:val="0"/>
      <w:marBottom w:val="0"/>
      <w:divBdr>
        <w:top w:val="none" w:sz="0" w:space="0" w:color="auto"/>
        <w:left w:val="none" w:sz="0" w:space="0" w:color="auto"/>
        <w:bottom w:val="none" w:sz="0" w:space="0" w:color="auto"/>
        <w:right w:val="none" w:sz="0" w:space="0" w:color="auto"/>
      </w:divBdr>
    </w:div>
    <w:div w:id="658920759">
      <w:bodyDiv w:val="1"/>
      <w:marLeft w:val="0"/>
      <w:marRight w:val="0"/>
      <w:marTop w:val="0"/>
      <w:marBottom w:val="0"/>
      <w:divBdr>
        <w:top w:val="none" w:sz="0" w:space="0" w:color="auto"/>
        <w:left w:val="none" w:sz="0" w:space="0" w:color="auto"/>
        <w:bottom w:val="none" w:sz="0" w:space="0" w:color="auto"/>
        <w:right w:val="none" w:sz="0" w:space="0" w:color="auto"/>
      </w:divBdr>
    </w:div>
    <w:div w:id="667711332">
      <w:bodyDiv w:val="1"/>
      <w:marLeft w:val="0"/>
      <w:marRight w:val="0"/>
      <w:marTop w:val="0"/>
      <w:marBottom w:val="0"/>
      <w:divBdr>
        <w:top w:val="none" w:sz="0" w:space="0" w:color="auto"/>
        <w:left w:val="none" w:sz="0" w:space="0" w:color="auto"/>
        <w:bottom w:val="none" w:sz="0" w:space="0" w:color="auto"/>
        <w:right w:val="none" w:sz="0" w:space="0" w:color="auto"/>
      </w:divBdr>
    </w:div>
    <w:div w:id="675621077">
      <w:bodyDiv w:val="1"/>
      <w:marLeft w:val="0"/>
      <w:marRight w:val="0"/>
      <w:marTop w:val="0"/>
      <w:marBottom w:val="0"/>
      <w:divBdr>
        <w:top w:val="none" w:sz="0" w:space="0" w:color="auto"/>
        <w:left w:val="none" w:sz="0" w:space="0" w:color="auto"/>
        <w:bottom w:val="none" w:sz="0" w:space="0" w:color="auto"/>
        <w:right w:val="none" w:sz="0" w:space="0" w:color="auto"/>
      </w:divBdr>
    </w:div>
    <w:div w:id="675810685">
      <w:bodyDiv w:val="1"/>
      <w:marLeft w:val="0"/>
      <w:marRight w:val="0"/>
      <w:marTop w:val="0"/>
      <w:marBottom w:val="0"/>
      <w:divBdr>
        <w:top w:val="none" w:sz="0" w:space="0" w:color="auto"/>
        <w:left w:val="none" w:sz="0" w:space="0" w:color="auto"/>
        <w:bottom w:val="none" w:sz="0" w:space="0" w:color="auto"/>
        <w:right w:val="none" w:sz="0" w:space="0" w:color="auto"/>
      </w:divBdr>
    </w:div>
    <w:div w:id="684751752">
      <w:bodyDiv w:val="1"/>
      <w:marLeft w:val="0"/>
      <w:marRight w:val="0"/>
      <w:marTop w:val="0"/>
      <w:marBottom w:val="0"/>
      <w:divBdr>
        <w:top w:val="none" w:sz="0" w:space="0" w:color="auto"/>
        <w:left w:val="none" w:sz="0" w:space="0" w:color="auto"/>
        <w:bottom w:val="none" w:sz="0" w:space="0" w:color="auto"/>
        <w:right w:val="none" w:sz="0" w:space="0" w:color="auto"/>
      </w:divBdr>
    </w:div>
    <w:div w:id="694581192">
      <w:bodyDiv w:val="1"/>
      <w:marLeft w:val="0"/>
      <w:marRight w:val="0"/>
      <w:marTop w:val="0"/>
      <w:marBottom w:val="0"/>
      <w:divBdr>
        <w:top w:val="none" w:sz="0" w:space="0" w:color="auto"/>
        <w:left w:val="none" w:sz="0" w:space="0" w:color="auto"/>
        <w:bottom w:val="none" w:sz="0" w:space="0" w:color="auto"/>
        <w:right w:val="none" w:sz="0" w:space="0" w:color="auto"/>
      </w:divBdr>
    </w:div>
    <w:div w:id="696657265">
      <w:bodyDiv w:val="1"/>
      <w:marLeft w:val="0"/>
      <w:marRight w:val="0"/>
      <w:marTop w:val="0"/>
      <w:marBottom w:val="0"/>
      <w:divBdr>
        <w:top w:val="none" w:sz="0" w:space="0" w:color="auto"/>
        <w:left w:val="none" w:sz="0" w:space="0" w:color="auto"/>
        <w:bottom w:val="none" w:sz="0" w:space="0" w:color="auto"/>
        <w:right w:val="none" w:sz="0" w:space="0" w:color="auto"/>
      </w:divBdr>
    </w:div>
    <w:div w:id="704446753">
      <w:bodyDiv w:val="1"/>
      <w:marLeft w:val="0"/>
      <w:marRight w:val="0"/>
      <w:marTop w:val="0"/>
      <w:marBottom w:val="0"/>
      <w:divBdr>
        <w:top w:val="none" w:sz="0" w:space="0" w:color="auto"/>
        <w:left w:val="none" w:sz="0" w:space="0" w:color="auto"/>
        <w:bottom w:val="none" w:sz="0" w:space="0" w:color="auto"/>
        <w:right w:val="none" w:sz="0" w:space="0" w:color="auto"/>
      </w:divBdr>
    </w:div>
    <w:div w:id="720054996">
      <w:bodyDiv w:val="1"/>
      <w:marLeft w:val="0"/>
      <w:marRight w:val="0"/>
      <w:marTop w:val="0"/>
      <w:marBottom w:val="0"/>
      <w:divBdr>
        <w:top w:val="none" w:sz="0" w:space="0" w:color="auto"/>
        <w:left w:val="none" w:sz="0" w:space="0" w:color="auto"/>
        <w:bottom w:val="none" w:sz="0" w:space="0" w:color="auto"/>
        <w:right w:val="none" w:sz="0" w:space="0" w:color="auto"/>
      </w:divBdr>
    </w:div>
    <w:div w:id="720983884">
      <w:bodyDiv w:val="1"/>
      <w:marLeft w:val="0"/>
      <w:marRight w:val="0"/>
      <w:marTop w:val="0"/>
      <w:marBottom w:val="0"/>
      <w:divBdr>
        <w:top w:val="none" w:sz="0" w:space="0" w:color="auto"/>
        <w:left w:val="none" w:sz="0" w:space="0" w:color="auto"/>
        <w:bottom w:val="none" w:sz="0" w:space="0" w:color="auto"/>
        <w:right w:val="none" w:sz="0" w:space="0" w:color="auto"/>
      </w:divBdr>
      <w:divsChild>
        <w:div w:id="1828395354">
          <w:marLeft w:val="547"/>
          <w:marRight w:val="0"/>
          <w:marTop w:val="0"/>
          <w:marBottom w:val="160"/>
          <w:divBdr>
            <w:top w:val="none" w:sz="0" w:space="0" w:color="auto"/>
            <w:left w:val="none" w:sz="0" w:space="0" w:color="auto"/>
            <w:bottom w:val="none" w:sz="0" w:space="0" w:color="auto"/>
            <w:right w:val="none" w:sz="0" w:space="0" w:color="auto"/>
          </w:divBdr>
        </w:div>
      </w:divsChild>
    </w:div>
    <w:div w:id="725180516">
      <w:bodyDiv w:val="1"/>
      <w:marLeft w:val="0"/>
      <w:marRight w:val="0"/>
      <w:marTop w:val="0"/>
      <w:marBottom w:val="0"/>
      <w:divBdr>
        <w:top w:val="none" w:sz="0" w:space="0" w:color="auto"/>
        <w:left w:val="none" w:sz="0" w:space="0" w:color="auto"/>
        <w:bottom w:val="none" w:sz="0" w:space="0" w:color="auto"/>
        <w:right w:val="none" w:sz="0" w:space="0" w:color="auto"/>
      </w:divBdr>
      <w:divsChild>
        <w:div w:id="46299538">
          <w:marLeft w:val="0"/>
          <w:marRight w:val="0"/>
          <w:marTop w:val="0"/>
          <w:marBottom w:val="0"/>
          <w:divBdr>
            <w:top w:val="none" w:sz="0" w:space="0" w:color="auto"/>
            <w:left w:val="none" w:sz="0" w:space="0" w:color="auto"/>
            <w:bottom w:val="none" w:sz="0" w:space="0" w:color="auto"/>
            <w:right w:val="none" w:sz="0" w:space="0" w:color="auto"/>
          </w:divBdr>
        </w:div>
        <w:div w:id="130173484">
          <w:marLeft w:val="0"/>
          <w:marRight w:val="0"/>
          <w:marTop w:val="0"/>
          <w:marBottom w:val="0"/>
          <w:divBdr>
            <w:top w:val="none" w:sz="0" w:space="0" w:color="auto"/>
            <w:left w:val="none" w:sz="0" w:space="0" w:color="auto"/>
            <w:bottom w:val="none" w:sz="0" w:space="0" w:color="auto"/>
            <w:right w:val="none" w:sz="0" w:space="0" w:color="auto"/>
          </w:divBdr>
        </w:div>
        <w:div w:id="135538723">
          <w:marLeft w:val="0"/>
          <w:marRight w:val="0"/>
          <w:marTop w:val="0"/>
          <w:marBottom w:val="0"/>
          <w:divBdr>
            <w:top w:val="none" w:sz="0" w:space="0" w:color="auto"/>
            <w:left w:val="none" w:sz="0" w:space="0" w:color="auto"/>
            <w:bottom w:val="none" w:sz="0" w:space="0" w:color="auto"/>
            <w:right w:val="none" w:sz="0" w:space="0" w:color="auto"/>
          </w:divBdr>
        </w:div>
        <w:div w:id="191654663">
          <w:marLeft w:val="0"/>
          <w:marRight w:val="0"/>
          <w:marTop w:val="0"/>
          <w:marBottom w:val="0"/>
          <w:divBdr>
            <w:top w:val="none" w:sz="0" w:space="0" w:color="auto"/>
            <w:left w:val="none" w:sz="0" w:space="0" w:color="auto"/>
            <w:bottom w:val="none" w:sz="0" w:space="0" w:color="auto"/>
            <w:right w:val="none" w:sz="0" w:space="0" w:color="auto"/>
          </w:divBdr>
        </w:div>
        <w:div w:id="191695936">
          <w:marLeft w:val="0"/>
          <w:marRight w:val="0"/>
          <w:marTop w:val="0"/>
          <w:marBottom w:val="0"/>
          <w:divBdr>
            <w:top w:val="none" w:sz="0" w:space="0" w:color="auto"/>
            <w:left w:val="none" w:sz="0" w:space="0" w:color="auto"/>
            <w:bottom w:val="none" w:sz="0" w:space="0" w:color="auto"/>
            <w:right w:val="none" w:sz="0" w:space="0" w:color="auto"/>
          </w:divBdr>
        </w:div>
        <w:div w:id="209270959">
          <w:marLeft w:val="0"/>
          <w:marRight w:val="0"/>
          <w:marTop w:val="0"/>
          <w:marBottom w:val="0"/>
          <w:divBdr>
            <w:top w:val="none" w:sz="0" w:space="0" w:color="auto"/>
            <w:left w:val="none" w:sz="0" w:space="0" w:color="auto"/>
            <w:bottom w:val="none" w:sz="0" w:space="0" w:color="auto"/>
            <w:right w:val="none" w:sz="0" w:space="0" w:color="auto"/>
          </w:divBdr>
        </w:div>
        <w:div w:id="240257863">
          <w:marLeft w:val="0"/>
          <w:marRight w:val="0"/>
          <w:marTop w:val="0"/>
          <w:marBottom w:val="0"/>
          <w:divBdr>
            <w:top w:val="none" w:sz="0" w:space="0" w:color="auto"/>
            <w:left w:val="none" w:sz="0" w:space="0" w:color="auto"/>
            <w:bottom w:val="none" w:sz="0" w:space="0" w:color="auto"/>
            <w:right w:val="none" w:sz="0" w:space="0" w:color="auto"/>
          </w:divBdr>
        </w:div>
        <w:div w:id="278998203">
          <w:marLeft w:val="0"/>
          <w:marRight w:val="0"/>
          <w:marTop w:val="0"/>
          <w:marBottom w:val="0"/>
          <w:divBdr>
            <w:top w:val="none" w:sz="0" w:space="0" w:color="auto"/>
            <w:left w:val="none" w:sz="0" w:space="0" w:color="auto"/>
            <w:bottom w:val="none" w:sz="0" w:space="0" w:color="auto"/>
            <w:right w:val="none" w:sz="0" w:space="0" w:color="auto"/>
          </w:divBdr>
        </w:div>
        <w:div w:id="314795170">
          <w:marLeft w:val="0"/>
          <w:marRight w:val="0"/>
          <w:marTop w:val="0"/>
          <w:marBottom w:val="0"/>
          <w:divBdr>
            <w:top w:val="none" w:sz="0" w:space="0" w:color="auto"/>
            <w:left w:val="none" w:sz="0" w:space="0" w:color="auto"/>
            <w:bottom w:val="none" w:sz="0" w:space="0" w:color="auto"/>
            <w:right w:val="none" w:sz="0" w:space="0" w:color="auto"/>
          </w:divBdr>
        </w:div>
        <w:div w:id="322851942">
          <w:marLeft w:val="0"/>
          <w:marRight w:val="0"/>
          <w:marTop w:val="0"/>
          <w:marBottom w:val="0"/>
          <w:divBdr>
            <w:top w:val="none" w:sz="0" w:space="0" w:color="auto"/>
            <w:left w:val="none" w:sz="0" w:space="0" w:color="auto"/>
            <w:bottom w:val="none" w:sz="0" w:space="0" w:color="auto"/>
            <w:right w:val="none" w:sz="0" w:space="0" w:color="auto"/>
          </w:divBdr>
        </w:div>
        <w:div w:id="577787575">
          <w:marLeft w:val="0"/>
          <w:marRight w:val="0"/>
          <w:marTop w:val="0"/>
          <w:marBottom w:val="0"/>
          <w:divBdr>
            <w:top w:val="none" w:sz="0" w:space="0" w:color="auto"/>
            <w:left w:val="none" w:sz="0" w:space="0" w:color="auto"/>
            <w:bottom w:val="none" w:sz="0" w:space="0" w:color="auto"/>
            <w:right w:val="none" w:sz="0" w:space="0" w:color="auto"/>
          </w:divBdr>
        </w:div>
        <w:div w:id="764232846">
          <w:marLeft w:val="0"/>
          <w:marRight w:val="0"/>
          <w:marTop w:val="0"/>
          <w:marBottom w:val="0"/>
          <w:divBdr>
            <w:top w:val="none" w:sz="0" w:space="0" w:color="auto"/>
            <w:left w:val="none" w:sz="0" w:space="0" w:color="auto"/>
            <w:bottom w:val="none" w:sz="0" w:space="0" w:color="auto"/>
            <w:right w:val="none" w:sz="0" w:space="0" w:color="auto"/>
          </w:divBdr>
        </w:div>
        <w:div w:id="775759457">
          <w:marLeft w:val="0"/>
          <w:marRight w:val="0"/>
          <w:marTop w:val="0"/>
          <w:marBottom w:val="0"/>
          <w:divBdr>
            <w:top w:val="none" w:sz="0" w:space="0" w:color="auto"/>
            <w:left w:val="none" w:sz="0" w:space="0" w:color="auto"/>
            <w:bottom w:val="none" w:sz="0" w:space="0" w:color="auto"/>
            <w:right w:val="none" w:sz="0" w:space="0" w:color="auto"/>
          </w:divBdr>
        </w:div>
        <w:div w:id="923877591">
          <w:marLeft w:val="0"/>
          <w:marRight w:val="0"/>
          <w:marTop w:val="0"/>
          <w:marBottom w:val="0"/>
          <w:divBdr>
            <w:top w:val="none" w:sz="0" w:space="0" w:color="auto"/>
            <w:left w:val="none" w:sz="0" w:space="0" w:color="auto"/>
            <w:bottom w:val="none" w:sz="0" w:space="0" w:color="auto"/>
            <w:right w:val="none" w:sz="0" w:space="0" w:color="auto"/>
          </w:divBdr>
        </w:div>
        <w:div w:id="951091162">
          <w:marLeft w:val="0"/>
          <w:marRight w:val="0"/>
          <w:marTop w:val="0"/>
          <w:marBottom w:val="0"/>
          <w:divBdr>
            <w:top w:val="none" w:sz="0" w:space="0" w:color="auto"/>
            <w:left w:val="none" w:sz="0" w:space="0" w:color="auto"/>
            <w:bottom w:val="none" w:sz="0" w:space="0" w:color="auto"/>
            <w:right w:val="none" w:sz="0" w:space="0" w:color="auto"/>
          </w:divBdr>
        </w:div>
        <w:div w:id="951402938">
          <w:marLeft w:val="0"/>
          <w:marRight w:val="0"/>
          <w:marTop w:val="0"/>
          <w:marBottom w:val="0"/>
          <w:divBdr>
            <w:top w:val="none" w:sz="0" w:space="0" w:color="auto"/>
            <w:left w:val="none" w:sz="0" w:space="0" w:color="auto"/>
            <w:bottom w:val="none" w:sz="0" w:space="0" w:color="auto"/>
            <w:right w:val="none" w:sz="0" w:space="0" w:color="auto"/>
          </w:divBdr>
        </w:div>
        <w:div w:id="991519673">
          <w:marLeft w:val="0"/>
          <w:marRight w:val="0"/>
          <w:marTop w:val="0"/>
          <w:marBottom w:val="0"/>
          <w:divBdr>
            <w:top w:val="none" w:sz="0" w:space="0" w:color="auto"/>
            <w:left w:val="none" w:sz="0" w:space="0" w:color="auto"/>
            <w:bottom w:val="none" w:sz="0" w:space="0" w:color="auto"/>
            <w:right w:val="none" w:sz="0" w:space="0" w:color="auto"/>
          </w:divBdr>
        </w:div>
        <w:div w:id="1151867971">
          <w:marLeft w:val="0"/>
          <w:marRight w:val="0"/>
          <w:marTop w:val="0"/>
          <w:marBottom w:val="0"/>
          <w:divBdr>
            <w:top w:val="none" w:sz="0" w:space="0" w:color="auto"/>
            <w:left w:val="none" w:sz="0" w:space="0" w:color="auto"/>
            <w:bottom w:val="none" w:sz="0" w:space="0" w:color="auto"/>
            <w:right w:val="none" w:sz="0" w:space="0" w:color="auto"/>
          </w:divBdr>
        </w:div>
        <w:div w:id="1398433298">
          <w:marLeft w:val="0"/>
          <w:marRight w:val="0"/>
          <w:marTop w:val="0"/>
          <w:marBottom w:val="0"/>
          <w:divBdr>
            <w:top w:val="none" w:sz="0" w:space="0" w:color="auto"/>
            <w:left w:val="none" w:sz="0" w:space="0" w:color="auto"/>
            <w:bottom w:val="none" w:sz="0" w:space="0" w:color="auto"/>
            <w:right w:val="none" w:sz="0" w:space="0" w:color="auto"/>
          </w:divBdr>
        </w:div>
        <w:div w:id="1455640585">
          <w:marLeft w:val="0"/>
          <w:marRight w:val="0"/>
          <w:marTop w:val="0"/>
          <w:marBottom w:val="0"/>
          <w:divBdr>
            <w:top w:val="none" w:sz="0" w:space="0" w:color="auto"/>
            <w:left w:val="none" w:sz="0" w:space="0" w:color="auto"/>
            <w:bottom w:val="none" w:sz="0" w:space="0" w:color="auto"/>
            <w:right w:val="none" w:sz="0" w:space="0" w:color="auto"/>
          </w:divBdr>
        </w:div>
        <w:div w:id="1613853527">
          <w:marLeft w:val="0"/>
          <w:marRight w:val="0"/>
          <w:marTop w:val="0"/>
          <w:marBottom w:val="0"/>
          <w:divBdr>
            <w:top w:val="none" w:sz="0" w:space="0" w:color="auto"/>
            <w:left w:val="none" w:sz="0" w:space="0" w:color="auto"/>
            <w:bottom w:val="none" w:sz="0" w:space="0" w:color="auto"/>
            <w:right w:val="none" w:sz="0" w:space="0" w:color="auto"/>
          </w:divBdr>
        </w:div>
        <w:div w:id="1677225269">
          <w:marLeft w:val="0"/>
          <w:marRight w:val="0"/>
          <w:marTop w:val="0"/>
          <w:marBottom w:val="0"/>
          <w:divBdr>
            <w:top w:val="none" w:sz="0" w:space="0" w:color="auto"/>
            <w:left w:val="none" w:sz="0" w:space="0" w:color="auto"/>
            <w:bottom w:val="none" w:sz="0" w:space="0" w:color="auto"/>
            <w:right w:val="none" w:sz="0" w:space="0" w:color="auto"/>
          </w:divBdr>
        </w:div>
        <w:div w:id="1709647252">
          <w:marLeft w:val="0"/>
          <w:marRight w:val="0"/>
          <w:marTop w:val="0"/>
          <w:marBottom w:val="0"/>
          <w:divBdr>
            <w:top w:val="none" w:sz="0" w:space="0" w:color="auto"/>
            <w:left w:val="none" w:sz="0" w:space="0" w:color="auto"/>
            <w:bottom w:val="none" w:sz="0" w:space="0" w:color="auto"/>
            <w:right w:val="none" w:sz="0" w:space="0" w:color="auto"/>
          </w:divBdr>
        </w:div>
        <w:div w:id="1810241759">
          <w:marLeft w:val="0"/>
          <w:marRight w:val="0"/>
          <w:marTop w:val="0"/>
          <w:marBottom w:val="0"/>
          <w:divBdr>
            <w:top w:val="none" w:sz="0" w:space="0" w:color="auto"/>
            <w:left w:val="none" w:sz="0" w:space="0" w:color="auto"/>
            <w:bottom w:val="none" w:sz="0" w:space="0" w:color="auto"/>
            <w:right w:val="none" w:sz="0" w:space="0" w:color="auto"/>
          </w:divBdr>
        </w:div>
        <w:div w:id="1981110122">
          <w:marLeft w:val="0"/>
          <w:marRight w:val="0"/>
          <w:marTop w:val="0"/>
          <w:marBottom w:val="0"/>
          <w:divBdr>
            <w:top w:val="none" w:sz="0" w:space="0" w:color="auto"/>
            <w:left w:val="none" w:sz="0" w:space="0" w:color="auto"/>
            <w:bottom w:val="none" w:sz="0" w:space="0" w:color="auto"/>
            <w:right w:val="none" w:sz="0" w:space="0" w:color="auto"/>
          </w:divBdr>
        </w:div>
      </w:divsChild>
    </w:div>
    <w:div w:id="725643800">
      <w:bodyDiv w:val="1"/>
      <w:marLeft w:val="0"/>
      <w:marRight w:val="0"/>
      <w:marTop w:val="0"/>
      <w:marBottom w:val="0"/>
      <w:divBdr>
        <w:top w:val="none" w:sz="0" w:space="0" w:color="auto"/>
        <w:left w:val="none" w:sz="0" w:space="0" w:color="auto"/>
        <w:bottom w:val="none" w:sz="0" w:space="0" w:color="auto"/>
        <w:right w:val="none" w:sz="0" w:space="0" w:color="auto"/>
      </w:divBdr>
    </w:div>
    <w:div w:id="727607602">
      <w:bodyDiv w:val="1"/>
      <w:marLeft w:val="0"/>
      <w:marRight w:val="0"/>
      <w:marTop w:val="0"/>
      <w:marBottom w:val="0"/>
      <w:divBdr>
        <w:top w:val="none" w:sz="0" w:space="0" w:color="auto"/>
        <w:left w:val="none" w:sz="0" w:space="0" w:color="auto"/>
        <w:bottom w:val="none" w:sz="0" w:space="0" w:color="auto"/>
        <w:right w:val="none" w:sz="0" w:space="0" w:color="auto"/>
      </w:divBdr>
    </w:div>
    <w:div w:id="728111647">
      <w:bodyDiv w:val="1"/>
      <w:marLeft w:val="0"/>
      <w:marRight w:val="0"/>
      <w:marTop w:val="0"/>
      <w:marBottom w:val="0"/>
      <w:divBdr>
        <w:top w:val="none" w:sz="0" w:space="0" w:color="auto"/>
        <w:left w:val="none" w:sz="0" w:space="0" w:color="auto"/>
        <w:bottom w:val="none" w:sz="0" w:space="0" w:color="auto"/>
        <w:right w:val="none" w:sz="0" w:space="0" w:color="auto"/>
      </w:divBdr>
    </w:div>
    <w:div w:id="730885455">
      <w:bodyDiv w:val="1"/>
      <w:marLeft w:val="0"/>
      <w:marRight w:val="0"/>
      <w:marTop w:val="0"/>
      <w:marBottom w:val="0"/>
      <w:divBdr>
        <w:top w:val="none" w:sz="0" w:space="0" w:color="auto"/>
        <w:left w:val="none" w:sz="0" w:space="0" w:color="auto"/>
        <w:bottom w:val="none" w:sz="0" w:space="0" w:color="auto"/>
        <w:right w:val="none" w:sz="0" w:space="0" w:color="auto"/>
      </w:divBdr>
    </w:div>
    <w:div w:id="744568331">
      <w:bodyDiv w:val="1"/>
      <w:marLeft w:val="0"/>
      <w:marRight w:val="0"/>
      <w:marTop w:val="0"/>
      <w:marBottom w:val="0"/>
      <w:divBdr>
        <w:top w:val="none" w:sz="0" w:space="0" w:color="auto"/>
        <w:left w:val="none" w:sz="0" w:space="0" w:color="auto"/>
        <w:bottom w:val="none" w:sz="0" w:space="0" w:color="auto"/>
        <w:right w:val="none" w:sz="0" w:space="0" w:color="auto"/>
      </w:divBdr>
    </w:div>
    <w:div w:id="755445343">
      <w:bodyDiv w:val="1"/>
      <w:marLeft w:val="0"/>
      <w:marRight w:val="0"/>
      <w:marTop w:val="0"/>
      <w:marBottom w:val="0"/>
      <w:divBdr>
        <w:top w:val="none" w:sz="0" w:space="0" w:color="auto"/>
        <w:left w:val="none" w:sz="0" w:space="0" w:color="auto"/>
        <w:bottom w:val="none" w:sz="0" w:space="0" w:color="auto"/>
        <w:right w:val="none" w:sz="0" w:space="0" w:color="auto"/>
      </w:divBdr>
    </w:div>
    <w:div w:id="755905656">
      <w:bodyDiv w:val="1"/>
      <w:marLeft w:val="0"/>
      <w:marRight w:val="0"/>
      <w:marTop w:val="0"/>
      <w:marBottom w:val="0"/>
      <w:divBdr>
        <w:top w:val="none" w:sz="0" w:space="0" w:color="auto"/>
        <w:left w:val="none" w:sz="0" w:space="0" w:color="auto"/>
        <w:bottom w:val="none" w:sz="0" w:space="0" w:color="auto"/>
        <w:right w:val="none" w:sz="0" w:space="0" w:color="auto"/>
      </w:divBdr>
    </w:div>
    <w:div w:id="764497018">
      <w:bodyDiv w:val="1"/>
      <w:marLeft w:val="0"/>
      <w:marRight w:val="0"/>
      <w:marTop w:val="0"/>
      <w:marBottom w:val="0"/>
      <w:divBdr>
        <w:top w:val="none" w:sz="0" w:space="0" w:color="auto"/>
        <w:left w:val="none" w:sz="0" w:space="0" w:color="auto"/>
        <w:bottom w:val="none" w:sz="0" w:space="0" w:color="auto"/>
        <w:right w:val="none" w:sz="0" w:space="0" w:color="auto"/>
      </w:divBdr>
    </w:div>
    <w:div w:id="768354601">
      <w:bodyDiv w:val="1"/>
      <w:marLeft w:val="0"/>
      <w:marRight w:val="0"/>
      <w:marTop w:val="0"/>
      <w:marBottom w:val="0"/>
      <w:divBdr>
        <w:top w:val="none" w:sz="0" w:space="0" w:color="auto"/>
        <w:left w:val="none" w:sz="0" w:space="0" w:color="auto"/>
        <w:bottom w:val="none" w:sz="0" w:space="0" w:color="auto"/>
        <w:right w:val="none" w:sz="0" w:space="0" w:color="auto"/>
      </w:divBdr>
    </w:div>
    <w:div w:id="770052520">
      <w:bodyDiv w:val="1"/>
      <w:marLeft w:val="0"/>
      <w:marRight w:val="0"/>
      <w:marTop w:val="0"/>
      <w:marBottom w:val="0"/>
      <w:divBdr>
        <w:top w:val="none" w:sz="0" w:space="0" w:color="auto"/>
        <w:left w:val="none" w:sz="0" w:space="0" w:color="auto"/>
        <w:bottom w:val="none" w:sz="0" w:space="0" w:color="auto"/>
        <w:right w:val="none" w:sz="0" w:space="0" w:color="auto"/>
      </w:divBdr>
    </w:div>
    <w:div w:id="787818309">
      <w:bodyDiv w:val="1"/>
      <w:marLeft w:val="0"/>
      <w:marRight w:val="0"/>
      <w:marTop w:val="0"/>
      <w:marBottom w:val="0"/>
      <w:divBdr>
        <w:top w:val="none" w:sz="0" w:space="0" w:color="auto"/>
        <w:left w:val="none" w:sz="0" w:space="0" w:color="auto"/>
        <w:bottom w:val="none" w:sz="0" w:space="0" w:color="auto"/>
        <w:right w:val="none" w:sz="0" w:space="0" w:color="auto"/>
      </w:divBdr>
    </w:div>
    <w:div w:id="787894752">
      <w:bodyDiv w:val="1"/>
      <w:marLeft w:val="0"/>
      <w:marRight w:val="0"/>
      <w:marTop w:val="0"/>
      <w:marBottom w:val="0"/>
      <w:divBdr>
        <w:top w:val="none" w:sz="0" w:space="0" w:color="auto"/>
        <w:left w:val="none" w:sz="0" w:space="0" w:color="auto"/>
        <w:bottom w:val="none" w:sz="0" w:space="0" w:color="auto"/>
        <w:right w:val="none" w:sz="0" w:space="0" w:color="auto"/>
      </w:divBdr>
      <w:divsChild>
        <w:div w:id="172768905">
          <w:marLeft w:val="706"/>
          <w:marRight w:val="0"/>
          <w:marTop w:val="0"/>
          <w:marBottom w:val="0"/>
          <w:divBdr>
            <w:top w:val="none" w:sz="0" w:space="0" w:color="auto"/>
            <w:left w:val="none" w:sz="0" w:space="0" w:color="auto"/>
            <w:bottom w:val="none" w:sz="0" w:space="0" w:color="auto"/>
            <w:right w:val="none" w:sz="0" w:space="0" w:color="auto"/>
          </w:divBdr>
        </w:div>
        <w:div w:id="322663973">
          <w:marLeft w:val="706"/>
          <w:marRight w:val="0"/>
          <w:marTop w:val="0"/>
          <w:marBottom w:val="120"/>
          <w:divBdr>
            <w:top w:val="none" w:sz="0" w:space="0" w:color="auto"/>
            <w:left w:val="none" w:sz="0" w:space="0" w:color="auto"/>
            <w:bottom w:val="none" w:sz="0" w:space="0" w:color="auto"/>
            <w:right w:val="none" w:sz="0" w:space="0" w:color="auto"/>
          </w:divBdr>
        </w:div>
        <w:div w:id="487018974">
          <w:marLeft w:val="706"/>
          <w:marRight w:val="0"/>
          <w:marTop w:val="0"/>
          <w:marBottom w:val="120"/>
          <w:divBdr>
            <w:top w:val="none" w:sz="0" w:space="0" w:color="auto"/>
            <w:left w:val="none" w:sz="0" w:space="0" w:color="auto"/>
            <w:bottom w:val="none" w:sz="0" w:space="0" w:color="auto"/>
            <w:right w:val="none" w:sz="0" w:space="0" w:color="auto"/>
          </w:divBdr>
        </w:div>
        <w:div w:id="500851288">
          <w:marLeft w:val="706"/>
          <w:marRight w:val="0"/>
          <w:marTop w:val="0"/>
          <w:marBottom w:val="0"/>
          <w:divBdr>
            <w:top w:val="none" w:sz="0" w:space="0" w:color="auto"/>
            <w:left w:val="none" w:sz="0" w:space="0" w:color="auto"/>
            <w:bottom w:val="none" w:sz="0" w:space="0" w:color="auto"/>
            <w:right w:val="none" w:sz="0" w:space="0" w:color="auto"/>
          </w:divBdr>
        </w:div>
        <w:div w:id="825587862">
          <w:marLeft w:val="706"/>
          <w:marRight w:val="0"/>
          <w:marTop w:val="0"/>
          <w:marBottom w:val="120"/>
          <w:divBdr>
            <w:top w:val="none" w:sz="0" w:space="0" w:color="auto"/>
            <w:left w:val="none" w:sz="0" w:space="0" w:color="auto"/>
            <w:bottom w:val="none" w:sz="0" w:space="0" w:color="auto"/>
            <w:right w:val="none" w:sz="0" w:space="0" w:color="auto"/>
          </w:divBdr>
        </w:div>
        <w:div w:id="906494832">
          <w:marLeft w:val="706"/>
          <w:marRight w:val="0"/>
          <w:marTop w:val="0"/>
          <w:marBottom w:val="200"/>
          <w:divBdr>
            <w:top w:val="none" w:sz="0" w:space="0" w:color="auto"/>
            <w:left w:val="none" w:sz="0" w:space="0" w:color="auto"/>
            <w:bottom w:val="none" w:sz="0" w:space="0" w:color="auto"/>
            <w:right w:val="none" w:sz="0" w:space="0" w:color="auto"/>
          </w:divBdr>
        </w:div>
        <w:div w:id="1648783581">
          <w:marLeft w:val="706"/>
          <w:marRight w:val="0"/>
          <w:marTop w:val="0"/>
          <w:marBottom w:val="200"/>
          <w:divBdr>
            <w:top w:val="none" w:sz="0" w:space="0" w:color="auto"/>
            <w:left w:val="none" w:sz="0" w:space="0" w:color="auto"/>
            <w:bottom w:val="none" w:sz="0" w:space="0" w:color="auto"/>
            <w:right w:val="none" w:sz="0" w:space="0" w:color="auto"/>
          </w:divBdr>
        </w:div>
        <w:div w:id="1818298681">
          <w:marLeft w:val="706"/>
          <w:marRight w:val="0"/>
          <w:marTop w:val="0"/>
          <w:marBottom w:val="200"/>
          <w:divBdr>
            <w:top w:val="none" w:sz="0" w:space="0" w:color="auto"/>
            <w:left w:val="none" w:sz="0" w:space="0" w:color="auto"/>
            <w:bottom w:val="none" w:sz="0" w:space="0" w:color="auto"/>
            <w:right w:val="none" w:sz="0" w:space="0" w:color="auto"/>
          </w:divBdr>
        </w:div>
        <w:div w:id="2079203930">
          <w:marLeft w:val="706"/>
          <w:marRight w:val="0"/>
          <w:marTop w:val="0"/>
          <w:marBottom w:val="0"/>
          <w:divBdr>
            <w:top w:val="none" w:sz="0" w:space="0" w:color="auto"/>
            <w:left w:val="none" w:sz="0" w:space="0" w:color="auto"/>
            <w:bottom w:val="none" w:sz="0" w:space="0" w:color="auto"/>
            <w:right w:val="none" w:sz="0" w:space="0" w:color="auto"/>
          </w:divBdr>
        </w:div>
      </w:divsChild>
    </w:div>
    <w:div w:id="788476477">
      <w:bodyDiv w:val="1"/>
      <w:marLeft w:val="0"/>
      <w:marRight w:val="0"/>
      <w:marTop w:val="0"/>
      <w:marBottom w:val="0"/>
      <w:divBdr>
        <w:top w:val="none" w:sz="0" w:space="0" w:color="auto"/>
        <w:left w:val="none" w:sz="0" w:space="0" w:color="auto"/>
        <w:bottom w:val="none" w:sz="0" w:space="0" w:color="auto"/>
        <w:right w:val="none" w:sz="0" w:space="0" w:color="auto"/>
      </w:divBdr>
    </w:div>
    <w:div w:id="794522342">
      <w:bodyDiv w:val="1"/>
      <w:marLeft w:val="0"/>
      <w:marRight w:val="0"/>
      <w:marTop w:val="0"/>
      <w:marBottom w:val="0"/>
      <w:divBdr>
        <w:top w:val="none" w:sz="0" w:space="0" w:color="auto"/>
        <w:left w:val="none" w:sz="0" w:space="0" w:color="auto"/>
        <w:bottom w:val="none" w:sz="0" w:space="0" w:color="auto"/>
        <w:right w:val="none" w:sz="0" w:space="0" w:color="auto"/>
      </w:divBdr>
    </w:div>
    <w:div w:id="805006294">
      <w:bodyDiv w:val="1"/>
      <w:marLeft w:val="0"/>
      <w:marRight w:val="0"/>
      <w:marTop w:val="0"/>
      <w:marBottom w:val="0"/>
      <w:divBdr>
        <w:top w:val="none" w:sz="0" w:space="0" w:color="auto"/>
        <w:left w:val="none" w:sz="0" w:space="0" w:color="auto"/>
        <w:bottom w:val="none" w:sz="0" w:space="0" w:color="auto"/>
        <w:right w:val="none" w:sz="0" w:space="0" w:color="auto"/>
      </w:divBdr>
    </w:div>
    <w:div w:id="816147811">
      <w:bodyDiv w:val="1"/>
      <w:marLeft w:val="0"/>
      <w:marRight w:val="0"/>
      <w:marTop w:val="0"/>
      <w:marBottom w:val="0"/>
      <w:divBdr>
        <w:top w:val="none" w:sz="0" w:space="0" w:color="auto"/>
        <w:left w:val="none" w:sz="0" w:space="0" w:color="auto"/>
        <w:bottom w:val="none" w:sz="0" w:space="0" w:color="auto"/>
        <w:right w:val="none" w:sz="0" w:space="0" w:color="auto"/>
      </w:divBdr>
    </w:div>
    <w:div w:id="823207393">
      <w:bodyDiv w:val="1"/>
      <w:marLeft w:val="0"/>
      <w:marRight w:val="0"/>
      <w:marTop w:val="0"/>
      <w:marBottom w:val="0"/>
      <w:divBdr>
        <w:top w:val="none" w:sz="0" w:space="0" w:color="auto"/>
        <w:left w:val="none" w:sz="0" w:space="0" w:color="auto"/>
        <w:bottom w:val="none" w:sz="0" w:space="0" w:color="auto"/>
        <w:right w:val="none" w:sz="0" w:space="0" w:color="auto"/>
      </w:divBdr>
    </w:div>
    <w:div w:id="823620576">
      <w:bodyDiv w:val="1"/>
      <w:marLeft w:val="0"/>
      <w:marRight w:val="0"/>
      <w:marTop w:val="0"/>
      <w:marBottom w:val="0"/>
      <w:divBdr>
        <w:top w:val="none" w:sz="0" w:space="0" w:color="auto"/>
        <w:left w:val="none" w:sz="0" w:space="0" w:color="auto"/>
        <w:bottom w:val="none" w:sz="0" w:space="0" w:color="auto"/>
        <w:right w:val="none" w:sz="0" w:space="0" w:color="auto"/>
      </w:divBdr>
    </w:div>
    <w:div w:id="838736544">
      <w:bodyDiv w:val="1"/>
      <w:marLeft w:val="0"/>
      <w:marRight w:val="0"/>
      <w:marTop w:val="0"/>
      <w:marBottom w:val="0"/>
      <w:divBdr>
        <w:top w:val="none" w:sz="0" w:space="0" w:color="auto"/>
        <w:left w:val="none" w:sz="0" w:space="0" w:color="auto"/>
        <w:bottom w:val="none" w:sz="0" w:space="0" w:color="auto"/>
        <w:right w:val="none" w:sz="0" w:space="0" w:color="auto"/>
      </w:divBdr>
      <w:divsChild>
        <w:div w:id="1943607406">
          <w:marLeft w:val="446"/>
          <w:marRight w:val="0"/>
          <w:marTop w:val="0"/>
          <w:marBottom w:val="160"/>
          <w:divBdr>
            <w:top w:val="none" w:sz="0" w:space="0" w:color="auto"/>
            <w:left w:val="none" w:sz="0" w:space="0" w:color="auto"/>
            <w:bottom w:val="none" w:sz="0" w:space="0" w:color="auto"/>
            <w:right w:val="none" w:sz="0" w:space="0" w:color="auto"/>
          </w:divBdr>
        </w:div>
      </w:divsChild>
    </w:div>
    <w:div w:id="849099155">
      <w:bodyDiv w:val="1"/>
      <w:marLeft w:val="0"/>
      <w:marRight w:val="0"/>
      <w:marTop w:val="0"/>
      <w:marBottom w:val="0"/>
      <w:divBdr>
        <w:top w:val="none" w:sz="0" w:space="0" w:color="auto"/>
        <w:left w:val="none" w:sz="0" w:space="0" w:color="auto"/>
        <w:bottom w:val="none" w:sz="0" w:space="0" w:color="auto"/>
        <w:right w:val="none" w:sz="0" w:space="0" w:color="auto"/>
      </w:divBdr>
    </w:div>
    <w:div w:id="850025583">
      <w:bodyDiv w:val="1"/>
      <w:marLeft w:val="0"/>
      <w:marRight w:val="0"/>
      <w:marTop w:val="0"/>
      <w:marBottom w:val="0"/>
      <w:divBdr>
        <w:top w:val="none" w:sz="0" w:space="0" w:color="auto"/>
        <w:left w:val="none" w:sz="0" w:space="0" w:color="auto"/>
        <w:bottom w:val="none" w:sz="0" w:space="0" w:color="auto"/>
        <w:right w:val="none" w:sz="0" w:space="0" w:color="auto"/>
      </w:divBdr>
    </w:div>
    <w:div w:id="862937735">
      <w:bodyDiv w:val="1"/>
      <w:marLeft w:val="0"/>
      <w:marRight w:val="0"/>
      <w:marTop w:val="0"/>
      <w:marBottom w:val="0"/>
      <w:divBdr>
        <w:top w:val="none" w:sz="0" w:space="0" w:color="auto"/>
        <w:left w:val="none" w:sz="0" w:space="0" w:color="auto"/>
        <w:bottom w:val="none" w:sz="0" w:space="0" w:color="auto"/>
        <w:right w:val="none" w:sz="0" w:space="0" w:color="auto"/>
      </w:divBdr>
      <w:divsChild>
        <w:div w:id="254561621">
          <w:marLeft w:val="547"/>
          <w:marRight w:val="0"/>
          <w:marTop w:val="0"/>
          <w:marBottom w:val="160"/>
          <w:divBdr>
            <w:top w:val="none" w:sz="0" w:space="0" w:color="auto"/>
            <w:left w:val="none" w:sz="0" w:space="0" w:color="auto"/>
            <w:bottom w:val="none" w:sz="0" w:space="0" w:color="auto"/>
            <w:right w:val="none" w:sz="0" w:space="0" w:color="auto"/>
          </w:divBdr>
        </w:div>
        <w:div w:id="779030710">
          <w:marLeft w:val="547"/>
          <w:marRight w:val="0"/>
          <w:marTop w:val="0"/>
          <w:marBottom w:val="160"/>
          <w:divBdr>
            <w:top w:val="none" w:sz="0" w:space="0" w:color="auto"/>
            <w:left w:val="none" w:sz="0" w:space="0" w:color="auto"/>
            <w:bottom w:val="none" w:sz="0" w:space="0" w:color="auto"/>
            <w:right w:val="none" w:sz="0" w:space="0" w:color="auto"/>
          </w:divBdr>
        </w:div>
        <w:div w:id="2085253344">
          <w:marLeft w:val="547"/>
          <w:marRight w:val="0"/>
          <w:marTop w:val="0"/>
          <w:marBottom w:val="0"/>
          <w:divBdr>
            <w:top w:val="none" w:sz="0" w:space="0" w:color="auto"/>
            <w:left w:val="none" w:sz="0" w:space="0" w:color="auto"/>
            <w:bottom w:val="none" w:sz="0" w:space="0" w:color="auto"/>
            <w:right w:val="none" w:sz="0" w:space="0" w:color="auto"/>
          </w:divBdr>
        </w:div>
      </w:divsChild>
    </w:div>
    <w:div w:id="885482539">
      <w:bodyDiv w:val="1"/>
      <w:marLeft w:val="0"/>
      <w:marRight w:val="0"/>
      <w:marTop w:val="0"/>
      <w:marBottom w:val="0"/>
      <w:divBdr>
        <w:top w:val="none" w:sz="0" w:space="0" w:color="auto"/>
        <w:left w:val="none" w:sz="0" w:space="0" w:color="auto"/>
        <w:bottom w:val="none" w:sz="0" w:space="0" w:color="auto"/>
        <w:right w:val="none" w:sz="0" w:space="0" w:color="auto"/>
      </w:divBdr>
      <w:divsChild>
        <w:div w:id="920262412">
          <w:marLeft w:val="0"/>
          <w:marRight w:val="0"/>
          <w:marTop w:val="0"/>
          <w:marBottom w:val="0"/>
          <w:divBdr>
            <w:top w:val="single" w:sz="2" w:space="0" w:color="D9D9E3"/>
            <w:left w:val="single" w:sz="2" w:space="0" w:color="D9D9E3"/>
            <w:bottom w:val="single" w:sz="2" w:space="0" w:color="D9D9E3"/>
            <w:right w:val="single" w:sz="2" w:space="0" w:color="D9D9E3"/>
          </w:divBdr>
          <w:divsChild>
            <w:div w:id="115679416">
              <w:marLeft w:val="0"/>
              <w:marRight w:val="0"/>
              <w:marTop w:val="0"/>
              <w:marBottom w:val="0"/>
              <w:divBdr>
                <w:top w:val="single" w:sz="2" w:space="0" w:color="D9D9E3"/>
                <w:left w:val="single" w:sz="2" w:space="0" w:color="D9D9E3"/>
                <w:bottom w:val="single" w:sz="2" w:space="0" w:color="D9D9E3"/>
                <w:right w:val="single" w:sz="2" w:space="0" w:color="D9D9E3"/>
              </w:divBdr>
              <w:divsChild>
                <w:div w:id="316959074">
                  <w:marLeft w:val="0"/>
                  <w:marRight w:val="0"/>
                  <w:marTop w:val="0"/>
                  <w:marBottom w:val="0"/>
                  <w:divBdr>
                    <w:top w:val="single" w:sz="2" w:space="0" w:color="D9D9E3"/>
                    <w:left w:val="single" w:sz="2" w:space="0" w:color="D9D9E3"/>
                    <w:bottom w:val="single" w:sz="2" w:space="0" w:color="D9D9E3"/>
                    <w:right w:val="single" w:sz="2" w:space="0" w:color="D9D9E3"/>
                  </w:divBdr>
                  <w:divsChild>
                    <w:div w:id="1514685832">
                      <w:marLeft w:val="0"/>
                      <w:marRight w:val="0"/>
                      <w:marTop w:val="0"/>
                      <w:marBottom w:val="0"/>
                      <w:divBdr>
                        <w:top w:val="single" w:sz="2" w:space="0" w:color="D9D9E3"/>
                        <w:left w:val="single" w:sz="2" w:space="0" w:color="D9D9E3"/>
                        <w:bottom w:val="single" w:sz="2" w:space="0" w:color="D9D9E3"/>
                        <w:right w:val="single" w:sz="2" w:space="0" w:color="D9D9E3"/>
                      </w:divBdr>
                      <w:divsChild>
                        <w:div w:id="1507283135">
                          <w:marLeft w:val="0"/>
                          <w:marRight w:val="0"/>
                          <w:marTop w:val="0"/>
                          <w:marBottom w:val="0"/>
                          <w:divBdr>
                            <w:top w:val="single" w:sz="2" w:space="0" w:color="auto"/>
                            <w:left w:val="single" w:sz="2" w:space="0" w:color="auto"/>
                            <w:bottom w:val="single" w:sz="6" w:space="0" w:color="auto"/>
                            <w:right w:val="single" w:sz="2" w:space="0" w:color="auto"/>
                          </w:divBdr>
                          <w:divsChild>
                            <w:div w:id="1208879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598753037">
                                  <w:marLeft w:val="0"/>
                                  <w:marRight w:val="0"/>
                                  <w:marTop w:val="0"/>
                                  <w:marBottom w:val="0"/>
                                  <w:divBdr>
                                    <w:top w:val="single" w:sz="2" w:space="0" w:color="D9D9E3"/>
                                    <w:left w:val="single" w:sz="2" w:space="0" w:color="D9D9E3"/>
                                    <w:bottom w:val="single" w:sz="2" w:space="0" w:color="D9D9E3"/>
                                    <w:right w:val="single" w:sz="2" w:space="0" w:color="D9D9E3"/>
                                  </w:divBdr>
                                  <w:divsChild>
                                    <w:div w:id="2142919268">
                                      <w:marLeft w:val="0"/>
                                      <w:marRight w:val="0"/>
                                      <w:marTop w:val="0"/>
                                      <w:marBottom w:val="0"/>
                                      <w:divBdr>
                                        <w:top w:val="single" w:sz="2" w:space="0" w:color="D9D9E3"/>
                                        <w:left w:val="single" w:sz="2" w:space="0" w:color="D9D9E3"/>
                                        <w:bottom w:val="single" w:sz="2" w:space="0" w:color="D9D9E3"/>
                                        <w:right w:val="single" w:sz="2" w:space="0" w:color="D9D9E3"/>
                                      </w:divBdr>
                                      <w:divsChild>
                                        <w:div w:id="937758414">
                                          <w:marLeft w:val="0"/>
                                          <w:marRight w:val="0"/>
                                          <w:marTop w:val="0"/>
                                          <w:marBottom w:val="0"/>
                                          <w:divBdr>
                                            <w:top w:val="single" w:sz="2" w:space="0" w:color="D9D9E3"/>
                                            <w:left w:val="single" w:sz="2" w:space="0" w:color="D9D9E3"/>
                                            <w:bottom w:val="single" w:sz="2" w:space="0" w:color="D9D9E3"/>
                                            <w:right w:val="single" w:sz="2" w:space="0" w:color="D9D9E3"/>
                                          </w:divBdr>
                                          <w:divsChild>
                                            <w:div w:id="1967933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59386008">
          <w:marLeft w:val="0"/>
          <w:marRight w:val="0"/>
          <w:marTop w:val="0"/>
          <w:marBottom w:val="0"/>
          <w:divBdr>
            <w:top w:val="none" w:sz="0" w:space="0" w:color="auto"/>
            <w:left w:val="none" w:sz="0" w:space="0" w:color="auto"/>
            <w:bottom w:val="none" w:sz="0" w:space="0" w:color="auto"/>
            <w:right w:val="none" w:sz="0" w:space="0" w:color="auto"/>
          </w:divBdr>
        </w:div>
      </w:divsChild>
    </w:div>
    <w:div w:id="888498830">
      <w:bodyDiv w:val="1"/>
      <w:marLeft w:val="0"/>
      <w:marRight w:val="0"/>
      <w:marTop w:val="0"/>
      <w:marBottom w:val="0"/>
      <w:divBdr>
        <w:top w:val="none" w:sz="0" w:space="0" w:color="auto"/>
        <w:left w:val="none" w:sz="0" w:space="0" w:color="auto"/>
        <w:bottom w:val="none" w:sz="0" w:space="0" w:color="auto"/>
        <w:right w:val="none" w:sz="0" w:space="0" w:color="auto"/>
      </w:divBdr>
    </w:div>
    <w:div w:id="890774404">
      <w:bodyDiv w:val="1"/>
      <w:marLeft w:val="0"/>
      <w:marRight w:val="0"/>
      <w:marTop w:val="0"/>
      <w:marBottom w:val="0"/>
      <w:divBdr>
        <w:top w:val="none" w:sz="0" w:space="0" w:color="auto"/>
        <w:left w:val="none" w:sz="0" w:space="0" w:color="auto"/>
        <w:bottom w:val="none" w:sz="0" w:space="0" w:color="auto"/>
        <w:right w:val="none" w:sz="0" w:space="0" w:color="auto"/>
      </w:divBdr>
    </w:div>
    <w:div w:id="891502744">
      <w:bodyDiv w:val="1"/>
      <w:marLeft w:val="0"/>
      <w:marRight w:val="0"/>
      <w:marTop w:val="0"/>
      <w:marBottom w:val="0"/>
      <w:divBdr>
        <w:top w:val="none" w:sz="0" w:space="0" w:color="auto"/>
        <w:left w:val="none" w:sz="0" w:space="0" w:color="auto"/>
        <w:bottom w:val="none" w:sz="0" w:space="0" w:color="auto"/>
        <w:right w:val="none" w:sz="0" w:space="0" w:color="auto"/>
      </w:divBdr>
      <w:divsChild>
        <w:div w:id="117724670">
          <w:marLeft w:val="720"/>
          <w:marRight w:val="0"/>
          <w:marTop w:val="0"/>
          <w:marBottom w:val="0"/>
          <w:divBdr>
            <w:top w:val="none" w:sz="0" w:space="0" w:color="auto"/>
            <w:left w:val="none" w:sz="0" w:space="0" w:color="auto"/>
            <w:bottom w:val="none" w:sz="0" w:space="0" w:color="auto"/>
            <w:right w:val="none" w:sz="0" w:space="0" w:color="auto"/>
          </w:divBdr>
        </w:div>
        <w:div w:id="300231253">
          <w:marLeft w:val="720"/>
          <w:marRight w:val="0"/>
          <w:marTop w:val="0"/>
          <w:marBottom w:val="0"/>
          <w:divBdr>
            <w:top w:val="none" w:sz="0" w:space="0" w:color="auto"/>
            <w:left w:val="none" w:sz="0" w:space="0" w:color="auto"/>
            <w:bottom w:val="none" w:sz="0" w:space="0" w:color="auto"/>
            <w:right w:val="none" w:sz="0" w:space="0" w:color="auto"/>
          </w:divBdr>
        </w:div>
        <w:div w:id="416942191">
          <w:marLeft w:val="720"/>
          <w:marRight w:val="0"/>
          <w:marTop w:val="0"/>
          <w:marBottom w:val="0"/>
          <w:divBdr>
            <w:top w:val="none" w:sz="0" w:space="0" w:color="auto"/>
            <w:left w:val="none" w:sz="0" w:space="0" w:color="auto"/>
            <w:bottom w:val="none" w:sz="0" w:space="0" w:color="auto"/>
            <w:right w:val="none" w:sz="0" w:space="0" w:color="auto"/>
          </w:divBdr>
        </w:div>
        <w:div w:id="506675498">
          <w:marLeft w:val="720"/>
          <w:marRight w:val="0"/>
          <w:marTop w:val="0"/>
          <w:marBottom w:val="0"/>
          <w:divBdr>
            <w:top w:val="none" w:sz="0" w:space="0" w:color="auto"/>
            <w:left w:val="none" w:sz="0" w:space="0" w:color="auto"/>
            <w:bottom w:val="none" w:sz="0" w:space="0" w:color="auto"/>
            <w:right w:val="none" w:sz="0" w:space="0" w:color="auto"/>
          </w:divBdr>
        </w:div>
        <w:div w:id="601110674">
          <w:marLeft w:val="720"/>
          <w:marRight w:val="0"/>
          <w:marTop w:val="0"/>
          <w:marBottom w:val="0"/>
          <w:divBdr>
            <w:top w:val="none" w:sz="0" w:space="0" w:color="auto"/>
            <w:left w:val="none" w:sz="0" w:space="0" w:color="auto"/>
            <w:bottom w:val="none" w:sz="0" w:space="0" w:color="auto"/>
            <w:right w:val="none" w:sz="0" w:space="0" w:color="auto"/>
          </w:divBdr>
        </w:div>
        <w:div w:id="607585958">
          <w:marLeft w:val="720"/>
          <w:marRight w:val="0"/>
          <w:marTop w:val="0"/>
          <w:marBottom w:val="0"/>
          <w:divBdr>
            <w:top w:val="none" w:sz="0" w:space="0" w:color="auto"/>
            <w:left w:val="none" w:sz="0" w:space="0" w:color="auto"/>
            <w:bottom w:val="none" w:sz="0" w:space="0" w:color="auto"/>
            <w:right w:val="none" w:sz="0" w:space="0" w:color="auto"/>
          </w:divBdr>
        </w:div>
        <w:div w:id="630130968">
          <w:marLeft w:val="720"/>
          <w:marRight w:val="0"/>
          <w:marTop w:val="0"/>
          <w:marBottom w:val="0"/>
          <w:divBdr>
            <w:top w:val="none" w:sz="0" w:space="0" w:color="auto"/>
            <w:left w:val="none" w:sz="0" w:space="0" w:color="auto"/>
            <w:bottom w:val="none" w:sz="0" w:space="0" w:color="auto"/>
            <w:right w:val="none" w:sz="0" w:space="0" w:color="auto"/>
          </w:divBdr>
        </w:div>
        <w:div w:id="930311527">
          <w:marLeft w:val="720"/>
          <w:marRight w:val="0"/>
          <w:marTop w:val="0"/>
          <w:marBottom w:val="0"/>
          <w:divBdr>
            <w:top w:val="none" w:sz="0" w:space="0" w:color="auto"/>
            <w:left w:val="none" w:sz="0" w:space="0" w:color="auto"/>
            <w:bottom w:val="none" w:sz="0" w:space="0" w:color="auto"/>
            <w:right w:val="none" w:sz="0" w:space="0" w:color="auto"/>
          </w:divBdr>
        </w:div>
        <w:div w:id="1037774909">
          <w:marLeft w:val="720"/>
          <w:marRight w:val="0"/>
          <w:marTop w:val="0"/>
          <w:marBottom w:val="0"/>
          <w:divBdr>
            <w:top w:val="none" w:sz="0" w:space="0" w:color="auto"/>
            <w:left w:val="none" w:sz="0" w:space="0" w:color="auto"/>
            <w:bottom w:val="none" w:sz="0" w:space="0" w:color="auto"/>
            <w:right w:val="none" w:sz="0" w:space="0" w:color="auto"/>
          </w:divBdr>
        </w:div>
        <w:div w:id="1048263684">
          <w:marLeft w:val="720"/>
          <w:marRight w:val="0"/>
          <w:marTop w:val="0"/>
          <w:marBottom w:val="0"/>
          <w:divBdr>
            <w:top w:val="none" w:sz="0" w:space="0" w:color="auto"/>
            <w:left w:val="none" w:sz="0" w:space="0" w:color="auto"/>
            <w:bottom w:val="none" w:sz="0" w:space="0" w:color="auto"/>
            <w:right w:val="none" w:sz="0" w:space="0" w:color="auto"/>
          </w:divBdr>
        </w:div>
        <w:div w:id="1288659544">
          <w:marLeft w:val="720"/>
          <w:marRight w:val="0"/>
          <w:marTop w:val="0"/>
          <w:marBottom w:val="0"/>
          <w:divBdr>
            <w:top w:val="none" w:sz="0" w:space="0" w:color="auto"/>
            <w:left w:val="none" w:sz="0" w:space="0" w:color="auto"/>
            <w:bottom w:val="none" w:sz="0" w:space="0" w:color="auto"/>
            <w:right w:val="none" w:sz="0" w:space="0" w:color="auto"/>
          </w:divBdr>
        </w:div>
        <w:div w:id="1306395313">
          <w:marLeft w:val="720"/>
          <w:marRight w:val="0"/>
          <w:marTop w:val="0"/>
          <w:marBottom w:val="0"/>
          <w:divBdr>
            <w:top w:val="none" w:sz="0" w:space="0" w:color="auto"/>
            <w:left w:val="none" w:sz="0" w:space="0" w:color="auto"/>
            <w:bottom w:val="none" w:sz="0" w:space="0" w:color="auto"/>
            <w:right w:val="none" w:sz="0" w:space="0" w:color="auto"/>
          </w:divBdr>
        </w:div>
        <w:div w:id="1462767998">
          <w:marLeft w:val="720"/>
          <w:marRight w:val="0"/>
          <w:marTop w:val="0"/>
          <w:marBottom w:val="0"/>
          <w:divBdr>
            <w:top w:val="none" w:sz="0" w:space="0" w:color="auto"/>
            <w:left w:val="none" w:sz="0" w:space="0" w:color="auto"/>
            <w:bottom w:val="none" w:sz="0" w:space="0" w:color="auto"/>
            <w:right w:val="none" w:sz="0" w:space="0" w:color="auto"/>
          </w:divBdr>
        </w:div>
        <w:div w:id="1473911120">
          <w:marLeft w:val="720"/>
          <w:marRight w:val="0"/>
          <w:marTop w:val="0"/>
          <w:marBottom w:val="0"/>
          <w:divBdr>
            <w:top w:val="none" w:sz="0" w:space="0" w:color="auto"/>
            <w:left w:val="none" w:sz="0" w:space="0" w:color="auto"/>
            <w:bottom w:val="none" w:sz="0" w:space="0" w:color="auto"/>
            <w:right w:val="none" w:sz="0" w:space="0" w:color="auto"/>
          </w:divBdr>
        </w:div>
        <w:div w:id="1663965101">
          <w:marLeft w:val="720"/>
          <w:marRight w:val="0"/>
          <w:marTop w:val="0"/>
          <w:marBottom w:val="0"/>
          <w:divBdr>
            <w:top w:val="none" w:sz="0" w:space="0" w:color="auto"/>
            <w:left w:val="none" w:sz="0" w:space="0" w:color="auto"/>
            <w:bottom w:val="none" w:sz="0" w:space="0" w:color="auto"/>
            <w:right w:val="none" w:sz="0" w:space="0" w:color="auto"/>
          </w:divBdr>
        </w:div>
        <w:div w:id="1685866275">
          <w:marLeft w:val="720"/>
          <w:marRight w:val="0"/>
          <w:marTop w:val="0"/>
          <w:marBottom w:val="0"/>
          <w:divBdr>
            <w:top w:val="none" w:sz="0" w:space="0" w:color="auto"/>
            <w:left w:val="none" w:sz="0" w:space="0" w:color="auto"/>
            <w:bottom w:val="none" w:sz="0" w:space="0" w:color="auto"/>
            <w:right w:val="none" w:sz="0" w:space="0" w:color="auto"/>
          </w:divBdr>
        </w:div>
        <w:div w:id="1716735404">
          <w:marLeft w:val="720"/>
          <w:marRight w:val="0"/>
          <w:marTop w:val="0"/>
          <w:marBottom w:val="0"/>
          <w:divBdr>
            <w:top w:val="none" w:sz="0" w:space="0" w:color="auto"/>
            <w:left w:val="none" w:sz="0" w:space="0" w:color="auto"/>
            <w:bottom w:val="none" w:sz="0" w:space="0" w:color="auto"/>
            <w:right w:val="none" w:sz="0" w:space="0" w:color="auto"/>
          </w:divBdr>
        </w:div>
        <w:div w:id="1845122167">
          <w:marLeft w:val="720"/>
          <w:marRight w:val="0"/>
          <w:marTop w:val="0"/>
          <w:marBottom w:val="0"/>
          <w:divBdr>
            <w:top w:val="none" w:sz="0" w:space="0" w:color="auto"/>
            <w:left w:val="none" w:sz="0" w:space="0" w:color="auto"/>
            <w:bottom w:val="none" w:sz="0" w:space="0" w:color="auto"/>
            <w:right w:val="none" w:sz="0" w:space="0" w:color="auto"/>
          </w:divBdr>
        </w:div>
        <w:div w:id="1856768112">
          <w:marLeft w:val="720"/>
          <w:marRight w:val="0"/>
          <w:marTop w:val="0"/>
          <w:marBottom w:val="0"/>
          <w:divBdr>
            <w:top w:val="none" w:sz="0" w:space="0" w:color="auto"/>
            <w:left w:val="none" w:sz="0" w:space="0" w:color="auto"/>
            <w:bottom w:val="none" w:sz="0" w:space="0" w:color="auto"/>
            <w:right w:val="none" w:sz="0" w:space="0" w:color="auto"/>
          </w:divBdr>
        </w:div>
        <w:div w:id="1888370807">
          <w:marLeft w:val="720"/>
          <w:marRight w:val="0"/>
          <w:marTop w:val="0"/>
          <w:marBottom w:val="0"/>
          <w:divBdr>
            <w:top w:val="none" w:sz="0" w:space="0" w:color="auto"/>
            <w:left w:val="none" w:sz="0" w:space="0" w:color="auto"/>
            <w:bottom w:val="none" w:sz="0" w:space="0" w:color="auto"/>
            <w:right w:val="none" w:sz="0" w:space="0" w:color="auto"/>
          </w:divBdr>
        </w:div>
        <w:div w:id="2029140764">
          <w:marLeft w:val="720"/>
          <w:marRight w:val="0"/>
          <w:marTop w:val="0"/>
          <w:marBottom w:val="0"/>
          <w:divBdr>
            <w:top w:val="none" w:sz="0" w:space="0" w:color="auto"/>
            <w:left w:val="none" w:sz="0" w:space="0" w:color="auto"/>
            <w:bottom w:val="none" w:sz="0" w:space="0" w:color="auto"/>
            <w:right w:val="none" w:sz="0" w:space="0" w:color="auto"/>
          </w:divBdr>
        </w:div>
        <w:div w:id="2067796390">
          <w:marLeft w:val="720"/>
          <w:marRight w:val="0"/>
          <w:marTop w:val="0"/>
          <w:marBottom w:val="0"/>
          <w:divBdr>
            <w:top w:val="none" w:sz="0" w:space="0" w:color="auto"/>
            <w:left w:val="none" w:sz="0" w:space="0" w:color="auto"/>
            <w:bottom w:val="none" w:sz="0" w:space="0" w:color="auto"/>
            <w:right w:val="none" w:sz="0" w:space="0" w:color="auto"/>
          </w:divBdr>
        </w:div>
      </w:divsChild>
    </w:div>
    <w:div w:id="892544558">
      <w:bodyDiv w:val="1"/>
      <w:marLeft w:val="0"/>
      <w:marRight w:val="0"/>
      <w:marTop w:val="0"/>
      <w:marBottom w:val="0"/>
      <w:divBdr>
        <w:top w:val="none" w:sz="0" w:space="0" w:color="auto"/>
        <w:left w:val="none" w:sz="0" w:space="0" w:color="auto"/>
        <w:bottom w:val="none" w:sz="0" w:space="0" w:color="auto"/>
        <w:right w:val="none" w:sz="0" w:space="0" w:color="auto"/>
      </w:divBdr>
    </w:div>
    <w:div w:id="893465758">
      <w:bodyDiv w:val="1"/>
      <w:marLeft w:val="0"/>
      <w:marRight w:val="0"/>
      <w:marTop w:val="0"/>
      <w:marBottom w:val="0"/>
      <w:divBdr>
        <w:top w:val="none" w:sz="0" w:space="0" w:color="auto"/>
        <w:left w:val="none" w:sz="0" w:space="0" w:color="auto"/>
        <w:bottom w:val="none" w:sz="0" w:space="0" w:color="auto"/>
        <w:right w:val="none" w:sz="0" w:space="0" w:color="auto"/>
      </w:divBdr>
      <w:divsChild>
        <w:div w:id="72549394">
          <w:marLeft w:val="1123"/>
          <w:marRight w:val="0"/>
          <w:marTop w:val="0"/>
          <w:marBottom w:val="0"/>
          <w:divBdr>
            <w:top w:val="none" w:sz="0" w:space="0" w:color="auto"/>
            <w:left w:val="none" w:sz="0" w:space="0" w:color="auto"/>
            <w:bottom w:val="none" w:sz="0" w:space="0" w:color="auto"/>
            <w:right w:val="none" w:sz="0" w:space="0" w:color="auto"/>
          </w:divBdr>
        </w:div>
      </w:divsChild>
    </w:div>
    <w:div w:id="902564987">
      <w:bodyDiv w:val="1"/>
      <w:marLeft w:val="0"/>
      <w:marRight w:val="0"/>
      <w:marTop w:val="0"/>
      <w:marBottom w:val="0"/>
      <w:divBdr>
        <w:top w:val="none" w:sz="0" w:space="0" w:color="auto"/>
        <w:left w:val="none" w:sz="0" w:space="0" w:color="auto"/>
        <w:bottom w:val="none" w:sz="0" w:space="0" w:color="auto"/>
        <w:right w:val="none" w:sz="0" w:space="0" w:color="auto"/>
      </w:divBdr>
    </w:div>
    <w:div w:id="914776251">
      <w:bodyDiv w:val="1"/>
      <w:marLeft w:val="0"/>
      <w:marRight w:val="0"/>
      <w:marTop w:val="0"/>
      <w:marBottom w:val="0"/>
      <w:divBdr>
        <w:top w:val="none" w:sz="0" w:space="0" w:color="auto"/>
        <w:left w:val="none" w:sz="0" w:space="0" w:color="auto"/>
        <w:bottom w:val="none" w:sz="0" w:space="0" w:color="auto"/>
        <w:right w:val="none" w:sz="0" w:space="0" w:color="auto"/>
      </w:divBdr>
    </w:div>
    <w:div w:id="932401105">
      <w:bodyDiv w:val="1"/>
      <w:marLeft w:val="0"/>
      <w:marRight w:val="0"/>
      <w:marTop w:val="0"/>
      <w:marBottom w:val="0"/>
      <w:divBdr>
        <w:top w:val="none" w:sz="0" w:space="0" w:color="auto"/>
        <w:left w:val="none" w:sz="0" w:space="0" w:color="auto"/>
        <w:bottom w:val="none" w:sz="0" w:space="0" w:color="auto"/>
        <w:right w:val="none" w:sz="0" w:space="0" w:color="auto"/>
      </w:divBdr>
    </w:div>
    <w:div w:id="940457807">
      <w:bodyDiv w:val="1"/>
      <w:marLeft w:val="0"/>
      <w:marRight w:val="0"/>
      <w:marTop w:val="0"/>
      <w:marBottom w:val="0"/>
      <w:divBdr>
        <w:top w:val="none" w:sz="0" w:space="0" w:color="auto"/>
        <w:left w:val="none" w:sz="0" w:space="0" w:color="auto"/>
        <w:bottom w:val="none" w:sz="0" w:space="0" w:color="auto"/>
        <w:right w:val="none" w:sz="0" w:space="0" w:color="auto"/>
      </w:divBdr>
    </w:div>
    <w:div w:id="957101513">
      <w:bodyDiv w:val="1"/>
      <w:marLeft w:val="0"/>
      <w:marRight w:val="0"/>
      <w:marTop w:val="0"/>
      <w:marBottom w:val="0"/>
      <w:divBdr>
        <w:top w:val="none" w:sz="0" w:space="0" w:color="auto"/>
        <w:left w:val="none" w:sz="0" w:space="0" w:color="auto"/>
        <w:bottom w:val="none" w:sz="0" w:space="0" w:color="auto"/>
        <w:right w:val="none" w:sz="0" w:space="0" w:color="auto"/>
      </w:divBdr>
      <w:divsChild>
        <w:div w:id="371534966">
          <w:marLeft w:val="547"/>
          <w:marRight w:val="0"/>
          <w:marTop w:val="0"/>
          <w:marBottom w:val="0"/>
          <w:divBdr>
            <w:top w:val="none" w:sz="0" w:space="0" w:color="auto"/>
            <w:left w:val="none" w:sz="0" w:space="0" w:color="auto"/>
            <w:bottom w:val="none" w:sz="0" w:space="0" w:color="auto"/>
            <w:right w:val="none" w:sz="0" w:space="0" w:color="auto"/>
          </w:divBdr>
        </w:div>
        <w:div w:id="388237330">
          <w:marLeft w:val="547"/>
          <w:marRight w:val="0"/>
          <w:marTop w:val="0"/>
          <w:marBottom w:val="0"/>
          <w:divBdr>
            <w:top w:val="none" w:sz="0" w:space="0" w:color="auto"/>
            <w:left w:val="none" w:sz="0" w:space="0" w:color="auto"/>
            <w:bottom w:val="none" w:sz="0" w:space="0" w:color="auto"/>
            <w:right w:val="none" w:sz="0" w:space="0" w:color="auto"/>
          </w:divBdr>
        </w:div>
        <w:div w:id="844781169">
          <w:marLeft w:val="547"/>
          <w:marRight w:val="0"/>
          <w:marTop w:val="0"/>
          <w:marBottom w:val="0"/>
          <w:divBdr>
            <w:top w:val="none" w:sz="0" w:space="0" w:color="auto"/>
            <w:left w:val="none" w:sz="0" w:space="0" w:color="auto"/>
            <w:bottom w:val="none" w:sz="0" w:space="0" w:color="auto"/>
            <w:right w:val="none" w:sz="0" w:space="0" w:color="auto"/>
          </w:divBdr>
        </w:div>
        <w:div w:id="857544370">
          <w:marLeft w:val="547"/>
          <w:marRight w:val="0"/>
          <w:marTop w:val="0"/>
          <w:marBottom w:val="0"/>
          <w:divBdr>
            <w:top w:val="none" w:sz="0" w:space="0" w:color="auto"/>
            <w:left w:val="none" w:sz="0" w:space="0" w:color="auto"/>
            <w:bottom w:val="none" w:sz="0" w:space="0" w:color="auto"/>
            <w:right w:val="none" w:sz="0" w:space="0" w:color="auto"/>
          </w:divBdr>
        </w:div>
        <w:div w:id="942689779">
          <w:marLeft w:val="547"/>
          <w:marRight w:val="0"/>
          <w:marTop w:val="0"/>
          <w:marBottom w:val="0"/>
          <w:divBdr>
            <w:top w:val="none" w:sz="0" w:space="0" w:color="auto"/>
            <w:left w:val="none" w:sz="0" w:space="0" w:color="auto"/>
            <w:bottom w:val="none" w:sz="0" w:space="0" w:color="auto"/>
            <w:right w:val="none" w:sz="0" w:space="0" w:color="auto"/>
          </w:divBdr>
        </w:div>
        <w:div w:id="1289583085">
          <w:marLeft w:val="547"/>
          <w:marRight w:val="0"/>
          <w:marTop w:val="0"/>
          <w:marBottom w:val="0"/>
          <w:divBdr>
            <w:top w:val="none" w:sz="0" w:space="0" w:color="auto"/>
            <w:left w:val="none" w:sz="0" w:space="0" w:color="auto"/>
            <w:bottom w:val="none" w:sz="0" w:space="0" w:color="auto"/>
            <w:right w:val="none" w:sz="0" w:space="0" w:color="auto"/>
          </w:divBdr>
        </w:div>
        <w:div w:id="1425346807">
          <w:marLeft w:val="547"/>
          <w:marRight w:val="0"/>
          <w:marTop w:val="0"/>
          <w:marBottom w:val="0"/>
          <w:divBdr>
            <w:top w:val="none" w:sz="0" w:space="0" w:color="auto"/>
            <w:left w:val="none" w:sz="0" w:space="0" w:color="auto"/>
            <w:bottom w:val="none" w:sz="0" w:space="0" w:color="auto"/>
            <w:right w:val="none" w:sz="0" w:space="0" w:color="auto"/>
          </w:divBdr>
        </w:div>
        <w:div w:id="1666859007">
          <w:marLeft w:val="547"/>
          <w:marRight w:val="0"/>
          <w:marTop w:val="0"/>
          <w:marBottom w:val="0"/>
          <w:divBdr>
            <w:top w:val="none" w:sz="0" w:space="0" w:color="auto"/>
            <w:left w:val="none" w:sz="0" w:space="0" w:color="auto"/>
            <w:bottom w:val="none" w:sz="0" w:space="0" w:color="auto"/>
            <w:right w:val="none" w:sz="0" w:space="0" w:color="auto"/>
          </w:divBdr>
        </w:div>
      </w:divsChild>
    </w:div>
    <w:div w:id="961153122">
      <w:bodyDiv w:val="1"/>
      <w:marLeft w:val="0"/>
      <w:marRight w:val="0"/>
      <w:marTop w:val="0"/>
      <w:marBottom w:val="0"/>
      <w:divBdr>
        <w:top w:val="none" w:sz="0" w:space="0" w:color="auto"/>
        <w:left w:val="none" w:sz="0" w:space="0" w:color="auto"/>
        <w:bottom w:val="none" w:sz="0" w:space="0" w:color="auto"/>
        <w:right w:val="none" w:sz="0" w:space="0" w:color="auto"/>
      </w:divBdr>
    </w:div>
    <w:div w:id="979847752">
      <w:bodyDiv w:val="1"/>
      <w:marLeft w:val="0"/>
      <w:marRight w:val="0"/>
      <w:marTop w:val="0"/>
      <w:marBottom w:val="0"/>
      <w:divBdr>
        <w:top w:val="none" w:sz="0" w:space="0" w:color="auto"/>
        <w:left w:val="none" w:sz="0" w:space="0" w:color="auto"/>
        <w:bottom w:val="none" w:sz="0" w:space="0" w:color="auto"/>
        <w:right w:val="none" w:sz="0" w:space="0" w:color="auto"/>
      </w:divBdr>
    </w:div>
    <w:div w:id="985863832">
      <w:bodyDiv w:val="1"/>
      <w:marLeft w:val="0"/>
      <w:marRight w:val="0"/>
      <w:marTop w:val="0"/>
      <w:marBottom w:val="0"/>
      <w:divBdr>
        <w:top w:val="none" w:sz="0" w:space="0" w:color="auto"/>
        <w:left w:val="none" w:sz="0" w:space="0" w:color="auto"/>
        <w:bottom w:val="none" w:sz="0" w:space="0" w:color="auto"/>
        <w:right w:val="none" w:sz="0" w:space="0" w:color="auto"/>
      </w:divBdr>
    </w:div>
    <w:div w:id="987324935">
      <w:bodyDiv w:val="1"/>
      <w:marLeft w:val="0"/>
      <w:marRight w:val="0"/>
      <w:marTop w:val="0"/>
      <w:marBottom w:val="0"/>
      <w:divBdr>
        <w:top w:val="none" w:sz="0" w:space="0" w:color="auto"/>
        <w:left w:val="none" w:sz="0" w:space="0" w:color="auto"/>
        <w:bottom w:val="none" w:sz="0" w:space="0" w:color="auto"/>
        <w:right w:val="none" w:sz="0" w:space="0" w:color="auto"/>
      </w:divBdr>
    </w:div>
    <w:div w:id="995911059">
      <w:bodyDiv w:val="1"/>
      <w:marLeft w:val="0"/>
      <w:marRight w:val="0"/>
      <w:marTop w:val="0"/>
      <w:marBottom w:val="0"/>
      <w:divBdr>
        <w:top w:val="none" w:sz="0" w:space="0" w:color="auto"/>
        <w:left w:val="none" w:sz="0" w:space="0" w:color="auto"/>
        <w:bottom w:val="none" w:sz="0" w:space="0" w:color="auto"/>
        <w:right w:val="none" w:sz="0" w:space="0" w:color="auto"/>
      </w:divBdr>
    </w:div>
    <w:div w:id="1002318904">
      <w:bodyDiv w:val="1"/>
      <w:marLeft w:val="0"/>
      <w:marRight w:val="0"/>
      <w:marTop w:val="0"/>
      <w:marBottom w:val="0"/>
      <w:divBdr>
        <w:top w:val="none" w:sz="0" w:space="0" w:color="auto"/>
        <w:left w:val="none" w:sz="0" w:space="0" w:color="auto"/>
        <w:bottom w:val="none" w:sz="0" w:space="0" w:color="auto"/>
        <w:right w:val="none" w:sz="0" w:space="0" w:color="auto"/>
      </w:divBdr>
      <w:divsChild>
        <w:div w:id="186721839">
          <w:marLeft w:val="547"/>
          <w:marRight w:val="0"/>
          <w:marTop w:val="0"/>
          <w:marBottom w:val="0"/>
          <w:divBdr>
            <w:top w:val="none" w:sz="0" w:space="0" w:color="auto"/>
            <w:left w:val="none" w:sz="0" w:space="0" w:color="auto"/>
            <w:bottom w:val="none" w:sz="0" w:space="0" w:color="auto"/>
            <w:right w:val="none" w:sz="0" w:space="0" w:color="auto"/>
          </w:divBdr>
        </w:div>
        <w:div w:id="380980144">
          <w:marLeft w:val="547"/>
          <w:marRight w:val="0"/>
          <w:marTop w:val="0"/>
          <w:marBottom w:val="160"/>
          <w:divBdr>
            <w:top w:val="none" w:sz="0" w:space="0" w:color="auto"/>
            <w:left w:val="none" w:sz="0" w:space="0" w:color="auto"/>
            <w:bottom w:val="none" w:sz="0" w:space="0" w:color="auto"/>
            <w:right w:val="none" w:sz="0" w:space="0" w:color="auto"/>
          </w:divBdr>
        </w:div>
        <w:div w:id="1920630779">
          <w:marLeft w:val="547"/>
          <w:marRight w:val="0"/>
          <w:marTop w:val="0"/>
          <w:marBottom w:val="0"/>
          <w:divBdr>
            <w:top w:val="none" w:sz="0" w:space="0" w:color="auto"/>
            <w:left w:val="none" w:sz="0" w:space="0" w:color="auto"/>
            <w:bottom w:val="none" w:sz="0" w:space="0" w:color="auto"/>
            <w:right w:val="none" w:sz="0" w:space="0" w:color="auto"/>
          </w:divBdr>
        </w:div>
      </w:divsChild>
    </w:div>
    <w:div w:id="1012535566">
      <w:bodyDiv w:val="1"/>
      <w:marLeft w:val="0"/>
      <w:marRight w:val="0"/>
      <w:marTop w:val="0"/>
      <w:marBottom w:val="0"/>
      <w:divBdr>
        <w:top w:val="none" w:sz="0" w:space="0" w:color="auto"/>
        <w:left w:val="none" w:sz="0" w:space="0" w:color="auto"/>
        <w:bottom w:val="none" w:sz="0" w:space="0" w:color="auto"/>
        <w:right w:val="none" w:sz="0" w:space="0" w:color="auto"/>
      </w:divBdr>
      <w:divsChild>
        <w:div w:id="804087206">
          <w:marLeft w:val="547"/>
          <w:marRight w:val="0"/>
          <w:marTop w:val="0"/>
          <w:marBottom w:val="0"/>
          <w:divBdr>
            <w:top w:val="none" w:sz="0" w:space="0" w:color="auto"/>
            <w:left w:val="none" w:sz="0" w:space="0" w:color="auto"/>
            <w:bottom w:val="none" w:sz="0" w:space="0" w:color="auto"/>
            <w:right w:val="none" w:sz="0" w:space="0" w:color="auto"/>
          </w:divBdr>
        </w:div>
        <w:div w:id="1431730920">
          <w:marLeft w:val="547"/>
          <w:marRight w:val="0"/>
          <w:marTop w:val="0"/>
          <w:marBottom w:val="160"/>
          <w:divBdr>
            <w:top w:val="none" w:sz="0" w:space="0" w:color="auto"/>
            <w:left w:val="none" w:sz="0" w:space="0" w:color="auto"/>
            <w:bottom w:val="none" w:sz="0" w:space="0" w:color="auto"/>
            <w:right w:val="none" w:sz="0" w:space="0" w:color="auto"/>
          </w:divBdr>
        </w:div>
      </w:divsChild>
    </w:div>
    <w:div w:id="1023441973">
      <w:bodyDiv w:val="1"/>
      <w:marLeft w:val="0"/>
      <w:marRight w:val="0"/>
      <w:marTop w:val="0"/>
      <w:marBottom w:val="0"/>
      <w:divBdr>
        <w:top w:val="none" w:sz="0" w:space="0" w:color="auto"/>
        <w:left w:val="none" w:sz="0" w:space="0" w:color="auto"/>
        <w:bottom w:val="none" w:sz="0" w:space="0" w:color="auto"/>
        <w:right w:val="none" w:sz="0" w:space="0" w:color="auto"/>
      </w:divBdr>
    </w:div>
    <w:div w:id="1034188800">
      <w:bodyDiv w:val="1"/>
      <w:marLeft w:val="0"/>
      <w:marRight w:val="0"/>
      <w:marTop w:val="0"/>
      <w:marBottom w:val="0"/>
      <w:divBdr>
        <w:top w:val="none" w:sz="0" w:space="0" w:color="auto"/>
        <w:left w:val="none" w:sz="0" w:space="0" w:color="auto"/>
        <w:bottom w:val="none" w:sz="0" w:space="0" w:color="auto"/>
        <w:right w:val="none" w:sz="0" w:space="0" w:color="auto"/>
      </w:divBdr>
    </w:div>
    <w:div w:id="1034773610">
      <w:bodyDiv w:val="1"/>
      <w:marLeft w:val="0"/>
      <w:marRight w:val="0"/>
      <w:marTop w:val="0"/>
      <w:marBottom w:val="0"/>
      <w:divBdr>
        <w:top w:val="none" w:sz="0" w:space="0" w:color="auto"/>
        <w:left w:val="none" w:sz="0" w:space="0" w:color="auto"/>
        <w:bottom w:val="none" w:sz="0" w:space="0" w:color="auto"/>
        <w:right w:val="none" w:sz="0" w:space="0" w:color="auto"/>
      </w:divBdr>
      <w:divsChild>
        <w:div w:id="773743267">
          <w:marLeft w:val="1987"/>
          <w:marRight w:val="0"/>
          <w:marTop w:val="0"/>
          <w:marBottom w:val="0"/>
          <w:divBdr>
            <w:top w:val="none" w:sz="0" w:space="0" w:color="auto"/>
            <w:left w:val="none" w:sz="0" w:space="0" w:color="auto"/>
            <w:bottom w:val="none" w:sz="0" w:space="0" w:color="auto"/>
            <w:right w:val="none" w:sz="0" w:space="0" w:color="auto"/>
          </w:divBdr>
        </w:div>
      </w:divsChild>
    </w:div>
    <w:div w:id="1056276338">
      <w:bodyDiv w:val="1"/>
      <w:marLeft w:val="0"/>
      <w:marRight w:val="0"/>
      <w:marTop w:val="0"/>
      <w:marBottom w:val="0"/>
      <w:divBdr>
        <w:top w:val="none" w:sz="0" w:space="0" w:color="auto"/>
        <w:left w:val="none" w:sz="0" w:space="0" w:color="auto"/>
        <w:bottom w:val="none" w:sz="0" w:space="0" w:color="auto"/>
        <w:right w:val="none" w:sz="0" w:space="0" w:color="auto"/>
      </w:divBdr>
    </w:div>
    <w:div w:id="1064329082">
      <w:bodyDiv w:val="1"/>
      <w:marLeft w:val="0"/>
      <w:marRight w:val="0"/>
      <w:marTop w:val="0"/>
      <w:marBottom w:val="0"/>
      <w:divBdr>
        <w:top w:val="none" w:sz="0" w:space="0" w:color="auto"/>
        <w:left w:val="none" w:sz="0" w:space="0" w:color="auto"/>
        <w:bottom w:val="none" w:sz="0" w:space="0" w:color="auto"/>
        <w:right w:val="none" w:sz="0" w:space="0" w:color="auto"/>
      </w:divBdr>
    </w:div>
    <w:div w:id="1067919627">
      <w:bodyDiv w:val="1"/>
      <w:marLeft w:val="0"/>
      <w:marRight w:val="0"/>
      <w:marTop w:val="0"/>
      <w:marBottom w:val="0"/>
      <w:divBdr>
        <w:top w:val="none" w:sz="0" w:space="0" w:color="auto"/>
        <w:left w:val="none" w:sz="0" w:space="0" w:color="auto"/>
        <w:bottom w:val="none" w:sz="0" w:space="0" w:color="auto"/>
        <w:right w:val="none" w:sz="0" w:space="0" w:color="auto"/>
      </w:divBdr>
    </w:div>
    <w:div w:id="1075737743">
      <w:bodyDiv w:val="1"/>
      <w:marLeft w:val="0"/>
      <w:marRight w:val="0"/>
      <w:marTop w:val="0"/>
      <w:marBottom w:val="0"/>
      <w:divBdr>
        <w:top w:val="none" w:sz="0" w:space="0" w:color="auto"/>
        <w:left w:val="none" w:sz="0" w:space="0" w:color="auto"/>
        <w:bottom w:val="none" w:sz="0" w:space="0" w:color="auto"/>
        <w:right w:val="none" w:sz="0" w:space="0" w:color="auto"/>
      </w:divBdr>
    </w:div>
    <w:div w:id="1087994093">
      <w:bodyDiv w:val="1"/>
      <w:marLeft w:val="0"/>
      <w:marRight w:val="0"/>
      <w:marTop w:val="0"/>
      <w:marBottom w:val="0"/>
      <w:divBdr>
        <w:top w:val="none" w:sz="0" w:space="0" w:color="auto"/>
        <w:left w:val="none" w:sz="0" w:space="0" w:color="auto"/>
        <w:bottom w:val="none" w:sz="0" w:space="0" w:color="auto"/>
        <w:right w:val="none" w:sz="0" w:space="0" w:color="auto"/>
      </w:divBdr>
    </w:div>
    <w:div w:id="1096441506">
      <w:bodyDiv w:val="1"/>
      <w:marLeft w:val="0"/>
      <w:marRight w:val="0"/>
      <w:marTop w:val="0"/>
      <w:marBottom w:val="0"/>
      <w:divBdr>
        <w:top w:val="none" w:sz="0" w:space="0" w:color="auto"/>
        <w:left w:val="none" w:sz="0" w:space="0" w:color="auto"/>
        <w:bottom w:val="none" w:sz="0" w:space="0" w:color="auto"/>
        <w:right w:val="none" w:sz="0" w:space="0" w:color="auto"/>
      </w:divBdr>
    </w:div>
    <w:div w:id="1096487626">
      <w:bodyDiv w:val="1"/>
      <w:marLeft w:val="0"/>
      <w:marRight w:val="0"/>
      <w:marTop w:val="0"/>
      <w:marBottom w:val="0"/>
      <w:divBdr>
        <w:top w:val="none" w:sz="0" w:space="0" w:color="auto"/>
        <w:left w:val="none" w:sz="0" w:space="0" w:color="auto"/>
        <w:bottom w:val="none" w:sz="0" w:space="0" w:color="auto"/>
        <w:right w:val="none" w:sz="0" w:space="0" w:color="auto"/>
      </w:divBdr>
    </w:div>
    <w:div w:id="1101102402">
      <w:bodyDiv w:val="1"/>
      <w:marLeft w:val="0"/>
      <w:marRight w:val="0"/>
      <w:marTop w:val="0"/>
      <w:marBottom w:val="0"/>
      <w:divBdr>
        <w:top w:val="none" w:sz="0" w:space="0" w:color="auto"/>
        <w:left w:val="none" w:sz="0" w:space="0" w:color="auto"/>
        <w:bottom w:val="none" w:sz="0" w:space="0" w:color="auto"/>
        <w:right w:val="none" w:sz="0" w:space="0" w:color="auto"/>
      </w:divBdr>
    </w:div>
    <w:div w:id="1108433657">
      <w:bodyDiv w:val="1"/>
      <w:marLeft w:val="0"/>
      <w:marRight w:val="0"/>
      <w:marTop w:val="0"/>
      <w:marBottom w:val="0"/>
      <w:divBdr>
        <w:top w:val="none" w:sz="0" w:space="0" w:color="auto"/>
        <w:left w:val="none" w:sz="0" w:space="0" w:color="auto"/>
        <w:bottom w:val="none" w:sz="0" w:space="0" w:color="auto"/>
        <w:right w:val="none" w:sz="0" w:space="0" w:color="auto"/>
      </w:divBdr>
    </w:div>
    <w:div w:id="1110469863">
      <w:bodyDiv w:val="1"/>
      <w:marLeft w:val="0"/>
      <w:marRight w:val="0"/>
      <w:marTop w:val="0"/>
      <w:marBottom w:val="0"/>
      <w:divBdr>
        <w:top w:val="none" w:sz="0" w:space="0" w:color="auto"/>
        <w:left w:val="none" w:sz="0" w:space="0" w:color="auto"/>
        <w:bottom w:val="none" w:sz="0" w:space="0" w:color="auto"/>
        <w:right w:val="none" w:sz="0" w:space="0" w:color="auto"/>
      </w:divBdr>
    </w:div>
    <w:div w:id="1114714736">
      <w:bodyDiv w:val="1"/>
      <w:marLeft w:val="0"/>
      <w:marRight w:val="0"/>
      <w:marTop w:val="0"/>
      <w:marBottom w:val="0"/>
      <w:divBdr>
        <w:top w:val="none" w:sz="0" w:space="0" w:color="auto"/>
        <w:left w:val="none" w:sz="0" w:space="0" w:color="auto"/>
        <w:bottom w:val="none" w:sz="0" w:space="0" w:color="auto"/>
        <w:right w:val="none" w:sz="0" w:space="0" w:color="auto"/>
      </w:divBdr>
    </w:div>
    <w:div w:id="1123695726">
      <w:bodyDiv w:val="1"/>
      <w:marLeft w:val="0"/>
      <w:marRight w:val="0"/>
      <w:marTop w:val="0"/>
      <w:marBottom w:val="0"/>
      <w:divBdr>
        <w:top w:val="none" w:sz="0" w:space="0" w:color="auto"/>
        <w:left w:val="none" w:sz="0" w:space="0" w:color="auto"/>
        <w:bottom w:val="none" w:sz="0" w:space="0" w:color="auto"/>
        <w:right w:val="none" w:sz="0" w:space="0" w:color="auto"/>
      </w:divBdr>
    </w:div>
    <w:div w:id="1147210103">
      <w:bodyDiv w:val="1"/>
      <w:marLeft w:val="0"/>
      <w:marRight w:val="0"/>
      <w:marTop w:val="0"/>
      <w:marBottom w:val="0"/>
      <w:divBdr>
        <w:top w:val="none" w:sz="0" w:space="0" w:color="auto"/>
        <w:left w:val="none" w:sz="0" w:space="0" w:color="auto"/>
        <w:bottom w:val="none" w:sz="0" w:space="0" w:color="auto"/>
        <w:right w:val="none" w:sz="0" w:space="0" w:color="auto"/>
      </w:divBdr>
    </w:div>
    <w:div w:id="1148742381">
      <w:bodyDiv w:val="1"/>
      <w:marLeft w:val="0"/>
      <w:marRight w:val="0"/>
      <w:marTop w:val="0"/>
      <w:marBottom w:val="0"/>
      <w:divBdr>
        <w:top w:val="none" w:sz="0" w:space="0" w:color="auto"/>
        <w:left w:val="none" w:sz="0" w:space="0" w:color="auto"/>
        <w:bottom w:val="none" w:sz="0" w:space="0" w:color="auto"/>
        <w:right w:val="none" w:sz="0" w:space="0" w:color="auto"/>
      </w:divBdr>
    </w:div>
    <w:div w:id="1149057329">
      <w:bodyDiv w:val="1"/>
      <w:marLeft w:val="0"/>
      <w:marRight w:val="0"/>
      <w:marTop w:val="0"/>
      <w:marBottom w:val="0"/>
      <w:divBdr>
        <w:top w:val="none" w:sz="0" w:space="0" w:color="auto"/>
        <w:left w:val="none" w:sz="0" w:space="0" w:color="auto"/>
        <w:bottom w:val="none" w:sz="0" w:space="0" w:color="auto"/>
        <w:right w:val="none" w:sz="0" w:space="0" w:color="auto"/>
      </w:divBdr>
    </w:div>
    <w:div w:id="1149206117">
      <w:bodyDiv w:val="1"/>
      <w:marLeft w:val="0"/>
      <w:marRight w:val="0"/>
      <w:marTop w:val="0"/>
      <w:marBottom w:val="0"/>
      <w:divBdr>
        <w:top w:val="none" w:sz="0" w:space="0" w:color="auto"/>
        <w:left w:val="none" w:sz="0" w:space="0" w:color="auto"/>
        <w:bottom w:val="none" w:sz="0" w:space="0" w:color="auto"/>
        <w:right w:val="none" w:sz="0" w:space="0" w:color="auto"/>
      </w:divBdr>
    </w:div>
    <w:div w:id="1154948253">
      <w:bodyDiv w:val="1"/>
      <w:marLeft w:val="0"/>
      <w:marRight w:val="0"/>
      <w:marTop w:val="0"/>
      <w:marBottom w:val="0"/>
      <w:divBdr>
        <w:top w:val="none" w:sz="0" w:space="0" w:color="auto"/>
        <w:left w:val="none" w:sz="0" w:space="0" w:color="auto"/>
        <w:bottom w:val="none" w:sz="0" w:space="0" w:color="auto"/>
        <w:right w:val="none" w:sz="0" w:space="0" w:color="auto"/>
      </w:divBdr>
    </w:div>
    <w:div w:id="1155411039">
      <w:bodyDiv w:val="1"/>
      <w:marLeft w:val="0"/>
      <w:marRight w:val="0"/>
      <w:marTop w:val="0"/>
      <w:marBottom w:val="0"/>
      <w:divBdr>
        <w:top w:val="none" w:sz="0" w:space="0" w:color="auto"/>
        <w:left w:val="none" w:sz="0" w:space="0" w:color="auto"/>
        <w:bottom w:val="none" w:sz="0" w:space="0" w:color="auto"/>
        <w:right w:val="none" w:sz="0" w:space="0" w:color="auto"/>
      </w:divBdr>
      <w:divsChild>
        <w:div w:id="1035736721">
          <w:marLeft w:val="547"/>
          <w:marRight w:val="0"/>
          <w:marTop w:val="0"/>
          <w:marBottom w:val="0"/>
          <w:divBdr>
            <w:top w:val="none" w:sz="0" w:space="0" w:color="auto"/>
            <w:left w:val="none" w:sz="0" w:space="0" w:color="auto"/>
            <w:bottom w:val="none" w:sz="0" w:space="0" w:color="auto"/>
            <w:right w:val="none" w:sz="0" w:space="0" w:color="auto"/>
          </w:divBdr>
        </w:div>
      </w:divsChild>
    </w:div>
    <w:div w:id="1159803928">
      <w:bodyDiv w:val="1"/>
      <w:marLeft w:val="0"/>
      <w:marRight w:val="0"/>
      <w:marTop w:val="0"/>
      <w:marBottom w:val="0"/>
      <w:divBdr>
        <w:top w:val="none" w:sz="0" w:space="0" w:color="auto"/>
        <w:left w:val="none" w:sz="0" w:space="0" w:color="auto"/>
        <w:bottom w:val="none" w:sz="0" w:space="0" w:color="auto"/>
        <w:right w:val="none" w:sz="0" w:space="0" w:color="auto"/>
      </w:divBdr>
    </w:div>
    <w:div w:id="1166440157">
      <w:bodyDiv w:val="1"/>
      <w:marLeft w:val="0"/>
      <w:marRight w:val="0"/>
      <w:marTop w:val="0"/>
      <w:marBottom w:val="0"/>
      <w:divBdr>
        <w:top w:val="none" w:sz="0" w:space="0" w:color="auto"/>
        <w:left w:val="none" w:sz="0" w:space="0" w:color="auto"/>
        <w:bottom w:val="none" w:sz="0" w:space="0" w:color="auto"/>
        <w:right w:val="none" w:sz="0" w:space="0" w:color="auto"/>
      </w:divBdr>
    </w:div>
    <w:div w:id="1173446782">
      <w:bodyDiv w:val="1"/>
      <w:marLeft w:val="0"/>
      <w:marRight w:val="0"/>
      <w:marTop w:val="0"/>
      <w:marBottom w:val="0"/>
      <w:divBdr>
        <w:top w:val="none" w:sz="0" w:space="0" w:color="auto"/>
        <w:left w:val="none" w:sz="0" w:space="0" w:color="auto"/>
        <w:bottom w:val="none" w:sz="0" w:space="0" w:color="auto"/>
        <w:right w:val="none" w:sz="0" w:space="0" w:color="auto"/>
      </w:divBdr>
    </w:div>
    <w:div w:id="1174297931">
      <w:bodyDiv w:val="1"/>
      <w:marLeft w:val="0"/>
      <w:marRight w:val="0"/>
      <w:marTop w:val="0"/>
      <w:marBottom w:val="0"/>
      <w:divBdr>
        <w:top w:val="none" w:sz="0" w:space="0" w:color="auto"/>
        <w:left w:val="none" w:sz="0" w:space="0" w:color="auto"/>
        <w:bottom w:val="none" w:sz="0" w:space="0" w:color="auto"/>
        <w:right w:val="none" w:sz="0" w:space="0" w:color="auto"/>
      </w:divBdr>
    </w:div>
    <w:div w:id="1177623125">
      <w:bodyDiv w:val="1"/>
      <w:marLeft w:val="0"/>
      <w:marRight w:val="0"/>
      <w:marTop w:val="0"/>
      <w:marBottom w:val="0"/>
      <w:divBdr>
        <w:top w:val="none" w:sz="0" w:space="0" w:color="auto"/>
        <w:left w:val="none" w:sz="0" w:space="0" w:color="auto"/>
        <w:bottom w:val="none" w:sz="0" w:space="0" w:color="auto"/>
        <w:right w:val="none" w:sz="0" w:space="0" w:color="auto"/>
      </w:divBdr>
    </w:div>
    <w:div w:id="1182471935">
      <w:bodyDiv w:val="1"/>
      <w:marLeft w:val="0"/>
      <w:marRight w:val="0"/>
      <w:marTop w:val="0"/>
      <w:marBottom w:val="0"/>
      <w:divBdr>
        <w:top w:val="none" w:sz="0" w:space="0" w:color="auto"/>
        <w:left w:val="none" w:sz="0" w:space="0" w:color="auto"/>
        <w:bottom w:val="none" w:sz="0" w:space="0" w:color="auto"/>
        <w:right w:val="none" w:sz="0" w:space="0" w:color="auto"/>
      </w:divBdr>
    </w:div>
    <w:div w:id="1185557328">
      <w:bodyDiv w:val="1"/>
      <w:marLeft w:val="0"/>
      <w:marRight w:val="0"/>
      <w:marTop w:val="0"/>
      <w:marBottom w:val="0"/>
      <w:divBdr>
        <w:top w:val="none" w:sz="0" w:space="0" w:color="auto"/>
        <w:left w:val="none" w:sz="0" w:space="0" w:color="auto"/>
        <w:bottom w:val="none" w:sz="0" w:space="0" w:color="auto"/>
        <w:right w:val="none" w:sz="0" w:space="0" w:color="auto"/>
      </w:divBdr>
    </w:div>
    <w:div w:id="1187065450">
      <w:bodyDiv w:val="1"/>
      <w:marLeft w:val="0"/>
      <w:marRight w:val="0"/>
      <w:marTop w:val="0"/>
      <w:marBottom w:val="0"/>
      <w:divBdr>
        <w:top w:val="none" w:sz="0" w:space="0" w:color="auto"/>
        <w:left w:val="none" w:sz="0" w:space="0" w:color="auto"/>
        <w:bottom w:val="none" w:sz="0" w:space="0" w:color="auto"/>
        <w:right w:val="none" w:sz="0" w:space="0" w:color="auto"/>
      </w:divBdr>
    </w:div>
    <w:div w:id="1193376869">
      <w:bodyDiv w:val="1"/>
      <w:marLeft w:val="0"/>
      <w:marRight w:val="0"/>
      <w:marTop w:val="0"/>
      <w:marBottom w:val="0"/>
      <w:divBdr>
        <w:top w:val="none" w:sz="0" w:space="0" w:color="auto"/>
        <w:left w:val="none" w:sz="0" w:space="0" w:color="auto"/>
        <w:bottom w:val="none" w:sz="0" w:space="0" w:color="auto"/>
        <w:right w:val="none" w:sz="0" w:space="0" w:color="auto"/>
      </w:divBdr>
    </w:div>
    <w:div w:id="1194076208">
      <w:bodyDiv w:val="1"/>
      <w:marLeft w:val="0"/>
      <w:marRight w:val="0"/>
      <w:marTop w:val="0"/>
      <w:marBottom w:val="0"/>
      <w:divBdr>
        <w:top w:val="none" w:sz="0" w:space="0" w:color="auto"/>
        <w:left w:val="none" w:sz="0" w:space="0" w:color="auto"/>
        <w:bottom w:val="none" w:sz="0" w:space="0" w:color="auto"/>
        <w:right w:val="none" w:sz="0" w:space="0" w:color="auto"/>
      </w:divBdr>
    </w:div>
    <w:div w:id="1201669756">
      <w:bodyDiv w:val="1"/>
      <w:marLeft w:val="0"/>
      <w:marRight w:val="0"/>
      <w:marTop w:val="0"/>
      <w:marBottom w:val="0"/>
      <w:divBdr>
        <w:top w:val="none" w:sz="0" w:space="0" w:color="auto"/>
        <w:left w:val="none" w:sz="0" w:space="0" w:color="auto"/>
        <w:bottom w:val="none" w:sz="0" w:space="0" w:color="auto"/>
        <w:right w:val="none" w:sz="0" w:space="0" w:color="auto"/>
      </w:divBdr>
    </w:div>
    <w:div w:id="1201934924">
      <w:bodyDiv w:val="1"/>
      <w:marLeft w:val="0"/>
      <w:marRight w:val="0"/>
      <w:marTop w:val="0"/>
      <w:marBottom w:val="0"/>
      <w:divBdr>
        <w:top w:val="none" w:sz="0" w:space="0" w:color="auto"/>
        <w:left w:val="none" w:sz="0" w:space="0" w:color="auto"/>
        <w:bottom w:val="none" w:sz="0" w:space="0" w:color="auto"/>
        <w:right w:val="none" w:sz="0" w:space="0" w:color="auto"/>
      </w:divBdr>
    </w:div>
    <w:div w:id="1204245042">
      <w:bodyDiv w:val="1"/>
      <w:marLeft w:val="0"/>
      <w:marRight w:val="0"/>
      <w:marTop w:val="0"/>
      <w:marBottom w:val="0"/>
      <w:divBdr>
        <w:top w:val="none" w:sz="0" w:space="0" w:color="auto"/>
        <w:left w:val="none" w:sz="0" w:space="0" w:color="auto"/>
        <w:bottom w:val="none" w:sz="0" w:space="0" w:color="auto"/>
        <w:right w:val="none" w:sz="0" w:space="0" w:color="auto"/>
      </w:divBdr>
    </w:div>
    <w:div w:id="1211763775">
      <w:bodyDiv w:val="1"/>
      <w:marLeft w:val="0"/>
      <w:marRight w:val="0"/>
      <w:marTop w:val="0"/>
      <w:marBottom w:val="0"/>
      <w:divBdr>
        <w:top w:val="none" w:sz="0" w:space="0" w:color="auto"/>
        <w:left w:val="none" w:sz="0" w:space="0" w:color="auto"/>
        <w:bottom w:val="none" w:sz="0" w:space="0" w:color="auto"/>
        <w:right w:val="none" w:sz="0" w:space="0" w:color="auto"/>
      </w:divBdr>
    </w:div>
    <w:div w:id="1212959783">
      <w:bodyDiv w:val="1"/>
      <w:marLeft w:val="0"/>
      <w:marRight w:val="0"/>
      <w:marTop w:val="0"/>
      <w:marBottom w:val="0"/>
      <w:divBdr>
        <w:top w:val="none" w:sz="0" w:space="0" w:color="auto"/>
        <w:left w:val="none" w:sz="0" w:space="0" w:color="auto"/>
        <w:bottom w:val="none" w:sz="0" w:space="0" w:color="auto"/>
        <w:right w:val="none" w:sz="0" w:space="0" w:color="auto"/>
      </w:divBdr>
    </w:div>
    <w:div w:id="1220556622">
      <w:bodyDiv w:val="1"/>
      <w:marLeft w:val="0"/>
      <w:marRight w:val="0"/>
      <w:marTop w:val="0"/>
      <w:marBottom w:val="0"/>
      <w:divBdr>
        <w:top w:val="none" w:sz="0" w:space="0" w:color="auto"/>
        <w:left w:val="none" w:sz="0" w:space="0" w:color="auto"/>
        <w:bottom w:val="none" w:sz="0" w:space="0" w:color="auto"/>
        <w:right w:val="none" w:sz="0" w:space="0" w:color="auto"/>
      </w:divBdr>
    </w:div>
    <w:div w:id="1229076749">
      <w:bodyDiv w:val="1"/>
      <w:marLeft w:val="0"/>
      <w:marRight w:val="0"/>
      <w:marTop w:val="0"/>
      <w:marBottom w:val="0"/>
      <w:divBdr>
        <w:top w:val="none" w:sz="0" w:space="0" w:color="auto"/>
        <w:left w:val="none" w:sz="0" w:space="0" w:color="auto"/>
        <w:bottom w:val="none" w:sz="0" w:space="0" w:color="auto"/>
        <w:right w:val="none" w:sz="0" w:space="0" w:color="auto"/>
      </w:divBdr>
    </w:div>
    <w:div w:id="1230455951">
      <w:bodyDiv w:val="1"/>
      <w:marLeft w:val="0"/>
      <w:marRight w:val="0"/>
      <w:marTop w:val="0"/>
      <w:marBottom w:val="0"/>
      <w:divBdr>
        <w:top w:val="none" w:sz="0" w:space="0" w:color="auto"/>
        <w:left w:val="none" w:sz="0" w:space="0" w:color="auto"/>
        <w:bottom w:val="none" w:sz="0" w:space="0" w:color="auto"/>
        <w:right w:val="none" w:sz="0" w:space="0" w:color="auto"/>
      </w:divBdr>
    </w:div>
    <w:div w:id="1232808621">
      <w:bodyDiv w:val="1"/>
      <w:marLeft w:val="0"/>
      <w:marRight w:val="0"/>
      <w:marTop w:val="0"/>
      <w:marBottom w:val="0"/>
      <w:divBdr>
        <w:top w:val="none" w:sz="0" w:space="0" w:color="auto"/>
        <w:left w:val="none" w:sz="0" w:space="0" w:color="auto"/>
        <w:bottom w:val="none" w:sz="0" w:space="0" w:color="auto"/>
        <w:right w:val="none" w:sz="0" w:space="0" w:color="auto"/>
      </w:divBdr>
    </w:div>
    <w:div w:id="1235240258">
      <w:bodyDiv w:val="1"/>
      <w:marLeft w:val="0"/>
      <w:marRight w:val="0"/>
      <w:marTop w:val="0"/>
      <w:marBottom w:val="0"/>
      <w:divBdr>
        <w:top w:val="none" w:sz="0" w:space="0" w:color="auto"/>
        <w:left w:val="none" w:sz="0" w:space="0" w:color="auto"/>
        <w:bottom w:val="none" w:sz="0" w:space="0" w:color="auto"/>
        <w:right w:val="none" w:sz="0" w:space="0" w:color="auto"/>
      </w:divBdr>
      <w:divsChild>
        <w:div w:id="694231474">
          <w:marLeft w:val="706"/>
          <w:marRight w:val="0"/>
          <w:marTop w:val="0"/>
          <w:marBottom w:val="0"/>
          <w:divBdr>
            <w:top w:val="none" w:sz="0" w:space="0" w:color="auto"/>
            <w:left w:val="none" w:sz="0" w:space="0" w:color="auto"/>
            <w:bottom w:val="none" w:sz="0" w:space="0" w:color="auto"/>
            <w:right w:val="none" w:sz="0" w:space="0" w:color="auto"/>
          </w:divBdr>
        </w:div>
      </w:divsChild>
    </w:div>
    <w:div w:id="1236041545">
      <w:bodyDiv w:val="1"/>
      <w:marLeft w:val="0"/>
      <w:marRight w:val="0"/>
      <w:marTop w:val="0"/>
      <w:marBottom w:val="0"/>
      <w:divBdr>
        <w:top w:val="none" w:sz="0" w:space="0" w:color="auto"/>
        <w:left w:val="none" w:sz="0" w:space="0" w:color="auto"/>
        <w:bottom w:val="none" w:sz="0" w:space="0" w:color="auto"/>
        <w:right w:val="none" w:sz="0" w:space="0" w:color="auto"/>
      </w:divBdr>
      <w:divsChild>
        <w:div w:id="686178168">
          <w:marLeft w:val="547"/>
          <w:marRight w:val="0"/>
          <w:marTop w:val="0"/>
          <w:marBottom w:val="0"/>
          <w:divBdr>
            <w:top w:val="none" w:sz="0" w:space="0" w:color="auto"/>
            <w:left w:val="none" w:sz="0" w:space="0" w:color="auto"/>
            <w:bottom w:val="none" w:sz="0" w:space="0" w:color="auto"/>
            <w:right w:val="none" w:sz="0" w:space="0" w:color="auto"/>
          </w:divBdr>
        </w:div>
        <w:div w:id="714892827">
          <w:marLeft w:val="547"/>
          <w:marRight w:val="0"/>
          <w:marTop w:val="0"/>
          <w:marBottom w:val="160"/>
          <w:divBdr>
            <w:top w:val="none" w:sz="0" w:space="0" w:color="auto"/>
            <w:left w:val="none" w:sz="0" w:space="0" w:color="auto"/>
            <w:bottom w:val="none" w:sz="0" w:space="0" w:color="auto"/>
            <w:right w:val="none" w:sz="0" w:space="0" w:color="auto"/>
          </w:divBdr>
        </w:div>
        <w:div w:id="987632155">
          <w:marLeft w:val="547"/>
          <w:marRight w:val="0"/>
          <w:marTop w:val="0"/>
          <w:marBottom w:val="0"/>
          <w:divBdr>
            <w:top w:val="none" w:sz="0" w:space="0" w:color="auto"/>
            <w:left w:val="none" w:sz="0" w:space="0" w:color="auto"/>
            <w:bottom w:val="none" w:sz="0" w:space="0" w:color="auto"/>
            <w:right w:val="none" w:sz="0" w:space="0" w:color="auto"/>
          </w:divBdr>
        </w:div>
      </w:divsChild>
    </w:div>
    <w:div w:id="1239289045">
      <w:bodyDiv w:val="1"/>
      <w:marLeft w:val="0"/>
      <w:marRight w:val="0"/>
      <w:marTop w:val="0"/>
      <w:marBottom w:val="0"/>
      <w:divBdr>
        <w:top w:val="none" w:sz="0" w:space="0" w:color="auto"/>
        <w:left w:val="none" w:sz="0" w:space="0" w:color="auto"/>
        <w:bottom w:val="none" w:sz="0" w:space="0" w:color="auto"/>
        <w:right w:val="none" w:sz="0" w:space="0" w:color="auto"/>
      </w:divBdr>
    </w:div>
    <w:div w:id="1241252331">
      <w:bodyDiv w:val="1"/>
      <w:marLeft w:val="0"/>
      <w:marRight w:val="0"/>
      <w:marTop w:val="0"/>
      <w:marBottom w:val="0"/>
      <w:divBdr>
        <w:top w:val="none" w:sz="0" w:space="0" w:color="auto"/>
        <w:left w:val="none" w:sz="0" w:space="0" w:color="auto"/>
        <w:bottom w:val="none" w:sz="0" w:space="0" w:color="auto"/>
        <w:right w:val="none" w:sz="0" w:space="0" w:color="auto"/>
      </w:divBdr>
    </w:div>
    <w:div w:id="1243567400">
      <w:bodyDiv w:val="1"/>
      <w:marLeft w:val="0"/>
      <w:marRight w:val="0"/>
      <w:marTop w:val="0"/>
      <w:marBottom w:val="0"/>
      <w:divBdr>
        <w:top w:val="none" w:sz="0" w:space="0" w:color="auto"/>
        <w:left w:val="none" w:sz="0" w:space="0" w:color="auto"/>
        <w:bottom w:val="none" w:sz="0" w:space="0" w:color="auto"/>
        <w:right w:val="none" w:sz="0" w:space="0" w:color="auto"/>
      </w:divBdr>
    </w:div>
    <w:div w:id="1258253337">
      <w:bodyDiv w:val="1"/>
      <w:marLeft w:val="0"/>
      <w:marRight w:val="0"/>
      <w:marTop w:val="0"/>
      <w:marBottom w:val="0"/>
      <w:divBdr>
        <w:top w:val="none" w:sz="0" w:space="0" w:color="auto"/>
        <w:left w:val="none" w:sz="0" w:space="0" w:color="auto"/>
        <w:bottom w:val="none" w:sz="0" w:space="0" w:color="auto"/>
        <w:right w:val="none" w:sz="0" w:space="0" w:color="auto"/>
      </w:divBdr>
    </w:div>
    <w:div w:id="1260214305">
      <w:bodyDiv w:val="1"/>
      <w:marLeft w:val="0"/>
      <w:marRight w:val="0"/>
      <w:marTop w:val="0"/>
      <w:marBottom w:val="0"/>
      <w:divBdr>
        <w:top w:val="none" w:sz="0" w:space="0" w:color="auto"/>
        <w:left w:val="none" w:sz="0" w:space="0" w:color="auto"/>
        <w:bottom w:val="none" w:sz="0" w:space="0" w:color="auto"/>
        <w:right w:val="none" w:sz="0" w:space="0" w:color="auto"/>
      </w:divBdr>
    </w:div>
    <w:div w:id="1272006965">
      <w:bodyDiv w:val="1"/>
      <w:marLeft w:val="0"/>
      <w:marRight w:val="0"/>
      <w:marTop w:val="0"/>
      <w:marBottom w:val="0"/>
      <w:divBdr>
        <w:top w:val="none" w:sz="0" w:space="0" w:color="auto"/>
        <w:left w:val="none" w:sz="0" w:space="0" w:color="auto"/>
        <w:bottom w:val="none" w:sz="0" w:space="0" w:color="auto"/>
        <w:right w:val="none" w:sz="0" w:space="0" w:color="auto"/>
      </w:divBdr>
    </w:div>
    <w:div w:id="1287003681">
      <w:bodyDiv w:val="1"/>
      <w:marLeft w:val="0"/>
      <w:marRight w:val="0"/>
      <w:marTop w:val="0"/>
      <w:marBottom w:val="0"/>
      <w:divBdr>
        <w:top w:val="none" w:sz="0" w:space="0" w:color="auto"/>
        <w:left w:val="none" w:sz="0" w:space="0" w:color="auto"/>
        <w:bottom w:val="none" w:sz="0" w:space="0" w:color="auto"/>
        <w:right w:val="none" w:sz="0" w:space="0" w:color="auto"/>
      </w:divBdr>
    </w:div>
    <w:div w:id="1287930995">
      <w:bodyDiv w:val="1"/>
      <w:marLeft w:val="0"/>
      <w:marRight w:val="0"/>
      <w:marTop w:val="0"/>
      <w:marBottom w:val="0"/>
      <w:divBdr>
        <w:top w:val="none" w:sz="0" w:space="0" w:color="auto"/>
        <w:left w:val="none" w:sz="0" w:space="0" w:color="auto"/>
        <w:bottom w:val="none" w:sz="0" w:space="0" w:color="auto"/>
        <w:right w:val="none" w:sz="0" w:space="0" w:color="auto"/>
      </w:divBdr>
      <w:divsChild>
        <w:div w:id="51465666">
          <w:marLeft w:val="446"/>
          <w:marRight w:val="0"/>
          <w:marTop w:val="0"/>
          <w:marBottom w:val="0"/>
          <w:divBdr>
            <w:top w:val="none" w:sz="0" w:space="0" w:color="auto"/>
            <w:left w:val="none" w:sz="0" w:space="0" w:color="auto"/>
            <w:bottom w:val="none" w:sz="0" w:space="0" w:color="auto"/>
            <w:right w:val="none" w:sz="0" w:space="0" w:color="auto"/>
          </w:divBdr>
        </w:div>
        <w:div w:id="258223900">
          <w:marLeft w:val="446"/>
          <w:marRight w:val="0"/>
          <w:marTop w:val="0"/>
          <w:marBottom w:val="0"/>
          <w:divBdr>
            <w:top w:val="none" w:sz="0" w:space="0" w:color="auto"/>
            <w:left w:val="none" w:sz="0" w:space="0" w:color="auto"/>
            <w:bottom w:val="none" w:sz="0" w:space="0" w:color="auto"/>
            <w:right w:val="none" w:sz="0" w:space="0" w:color="auto"/>
          </w:divBdr>
        </w:div>
        <w:div w:id="605387076">
          <w:marLeft w:val="446"/>
          <w:marRight w:val="0"/>
          <w:marTop w:val="0"/>
          <w:marBottom w:val="0"/>
          <w:divBdr>
            <w:top w:val="none" w:sz="0" w:space="0" w:color="auto"/>
            <w:left w:val="none" w:sz="0" w:space="0" w:color="auto"/>
            <w:bottom w:val="none" w:sz="0" w:space="0" w:color="auto"/>
            <w:right w:val="none" w:sz="0" w:space="0" w:color="auto"/>
          </w:divBdr>
        </w:div>
        <w:div w:id="634523590">
          <w:marLeft w:val="446"/>
          <w:marRight w:val="0"/>
          <w:marTop w:val="0"/>
          <w:marBottom w:val="0"/>
          <w:divBdr>
            <w:top w:val="none" w:sz="0" w:space="0" w:color="auto"/>
            <w:left w:val="none" w:sz="0" w:space="0" w:color="auto"/>
            <w:bottom w:val="none" w:sz="0" w:space="0" w:color="auto"/>
            <w:right w:val="none" w:sz="0" w:space="0" w:color="auto"/>
          </w:divBdr>
        </w:div>
        <w:div w:id="864516922">
          <w:marLeft w:val="446"/>
          <w:marRight w:val="0"/>
          <w:marTop w:val="0"/>
          <w:marBottom w:val="0"/>
          <w:divBdr>
            <w:top w:val="none" w:sz="0" w:space="0" w:color="auto"/>
            <w:left w:val="none" w:sz="0" w:space="0" w:color="auto"/>
            <w:bottom w:val="none" w:sz="0" w:space="0" w:color="auto"/>
            <w:right w:val="none" w:sz="0" w:space="0" w:color="auto"/>
          </w:divBdr>
        </w:div>
        <w:div w:id="1117211384">
          <w:marLeft w:val="446"/>
          <w:marRight w:val="0"/>
          <w:marTop w:val="0"/>
          <w:marBottom w:val="0"/>
          <w:divBdr>
            <w:top w:val="none" w:sz="0" w:space="0" w:color="auto"/>
            <w:left w:val="none" w:sz="0" w:space="0" w:color="auto"/>
            <w:bottom w:val="none" w:sz="0" w:space="0" w:color="auto"/>
            <w:right w:val="none" w:sz="0" w:space="0" w:color="auto"/>
          </w:divBdr>
        </w:div>
        <w:div w:id="1967226541">
          <w:marLeft w:val="446"/>
          <w:marRight w:val="0"/>
          <w:marTop w:val="0"/>
          <w:marBottom w:val="0"/>
          <w:divBdr>
            <w:top w:val="none" w:sz="0" w:space="0" w:color="auto"/>
            <w:left w:val="none" w:sz="0" w:space="0" w:color="auto"/>
            <w:bottom w:val="none" w:sz="0" w:space="0" w:color="auto"/>
            <w:right w:val="none" w:sz="0" w:space="0" w:color="auto"/>
          </w:divBdr>
        </w:div>
      </w:divsChild>
    </w:div>
    <w:div w:id="1293093202">
      <w:bodyDiv w:val="1"/>
      <w:marLeft w:val="0"/>
      <w:marRight w:val="0"/>
      <w:marTop w:val="0"/>
      <w:marBottom w:val="0"/>
      <w:divBdr>
        <w:top w:val="none" w:sz="0" w:space="0" w:color="auto"/>
        <w:left w:val="none" w:sz="0" w:space="0" w:color="auto"/>
        <w:bottom w:val="none" w:sz="0" w:space="0" w:color="auto"/>
        <w:right w:val="none" w:sz="0" w:space="0" w:color="auto"/>
      </w:divBdr>
    </w:div>
    <w:div w:id="1302031642">
      <w:bodyDiv w:val="1"/>
      <w:marLeft w:val="0"/>
      <w:marRight w:val="0"/>
      <w:marTop w:val="0"/>
      <w:marBottom w:val="0"/>
      <w:divBdr>
        <w:top w:val="none" w:sz="0" w:space="0" w:color="auto"/>
        <w:left w:val="none" w:sz="0" w:space="0" w:color="auto"/>
        <w:bottom w:val="none" w:sz="0" w:space="0" w:color="auto"/>
        <w:right w:val="none" w:sz="0" w:space="0" w:color="auto"/>
      </w:divBdr>
    </w:div>
    <w:div w:id="1305307181">
      <w:bodyDiv w:val="1"/>
      <w:marLeft w:val="0"/>
      <w:marRight w:val="0"/>
      <w:marTop w:val="0"/>
      <w:marBottom w:val="0"/>
      <w:divBdr>
        <w:top w:val="none" w:sz="0" w:space="0" w:color="auto"/>
        <w:left w:val="none" w:sz="0" w:space="0" w:color="auto"/>
        <w:bottom w:val="none" w:sz="0" w:space="0" w:color="auto"/>
        <w:right w:val="none" w:sz="0" w:space="0" w:color="auto"/>
      </w:divBdr>
    </w:div>
    <w:div w:id="1308315736">
      <w:bodyDiv w:val="1"/>
      <w:marLeft w:val="0"/>
      <w:marRight w:val="0"/>
      <w:marTop w:val="0"/>
      <w:marBottom w:val="0"/>
      <w:divBdr>
        <w:top w:val="none" w:sz="0" w:space="0" w:color="auto"/>
        <w:left w:val="none" w:sz="0" w:space="0" w:color="auto"/>
        <w:bottom w:val="none" w:sz="0" w:space="0" w:color="auto"/>
        <w:right w:val="none" w:sz="0" w:space="0" w:color="auto"/>
      </w:divBdr>
    </w:div>
    <w:div w:id="1312296210">
      <w:bodyDiv w:val="1"/>
      <w:marLeft w:val="0"/>
      <w:marRight w:val="0"/>
      <w:marTop w:val="0"/>
      <w:marBottom w:val="0"/>
      <w:divBdr>
        <w:top w:val="none" w:sz="0" w:space="0" w:color="auto"/>
        <w:left w:val="none" w:sz="0" w:space="0" w:color="auto"/>
        <w:bottom w:val="none" w:sz="0" w:space="0" w:color="auto"/>
        <w:right w:val="none" w:sz="0" w:space="0" w:color="auto"/>
      </w:divBdr>
    </w:div>
    <w:div w:id="1320383431">
      <w:bodyDiv w:val="1"/>
      <w:marLeft w:val="0"/>
      <w:marRight w:val="0"/>
      <w:marTop w:val="0"/>
      <w:marBottom w:val="0"/>
      <w:divBdr>
        <w:top w:val="none" w:sz="0" w:space="0" w:color="auto"/>
        <w:left w:val="none" w:sz="0" w:space="0" w:color="auto"/>
        <w:bottom w:val="none" w:sz="0" w:space="0" w:color="auto"/>
        <w:right w:val="none" w:sz="0" w:space="0" w:color="auto"/>
      </w:divBdr>
    </w:div>
    <w:div w:id="1325628693">
      <w:bodyDiv w:val="1"/>
      <w:marLeft w:val="0"/>
      <w:marRight w:val="0"/>
      <w:marTop w:val="0"/>
      <w:marBottom w:val="0"/>
      <w:divBdr>
        <w:top w:val="none" w:sz="0" w:space="0" w:color="auto"/>
        <w:left w:val="none" w:sz="0" w:space="0" w:color="auto"/>
        <w:bottom w:val="none" w:sz="0" w:space="0" w:color="auto"/>
        <w:right w:val="none" w:sz="0" w:space="0" w:color="auto"/>
      </w:divBdr>
    </w:div>
    <w:div w:id="1330474977">
      <w:bodyDiv w:val="1"/>
      <w:marLeft w:val="0"/>
      <w:marRight w:val="0"/>
      <w:marTop w:val="0"/>
      <w:marBottom w:val="0"/>
      <w:divBdr>
        <w:top w:val="none" w:sz="0" w:space="0" w:color="auto"/>
        <w:left w:val="none" w:sz="0" w:space="0" w:color="auto"/>
        <w:bottom w:val="none" w:sz="0" w:space="0" w:color="auto"/>
        <w:right w:val="none" w:sz="0" w:space="0" w:color="auto"/>
      </w:divBdr>
    </w:div>
    <w:div w:id="1333920076">
      <w:bodyDiv w:val="1"/>
      <w:marLeft w:val="0"/>
      <w:marRight w:val="0"/>
      <w:marTop w:val="0"/>
      <w:marBottom w:val="0"/>
      <w:divBdr>
        <w:top w:val="none" w:sz="0" w:space="0" w:color="auto"/>
        <w:left w:val="none" w:sz="0" w:space="0" w:color="auto"/>
        <w:bottom w:val="none" w:sz="0" w:space="0" w:color="auto"/>
        <w:right w:val="none" w:sz="0" w:space="0" w:color="auto"/>
      </w:divBdr>
    </w:div>
    <w:div w:id="1338728219">
      <w:bodyDiv w:val="1"/>
      <w:marLeft w:val="0"/>
      <w:marRight w:val="0"/>
      <w:marTop w:val="0"/>
      <w:marBottom w:val="0"/>
      <w:divBdr>
        <w:top w:val="none" w:sz="0" w:space="0" w:color="auto"/>
        <w:left w:val="none" w:sz="0" w:space="0" w:color="auto"/>
        <w:bottom w:val="none" w:sz="0" w:space="0" w:color="auto"/>
        <w:right w:val="none" w:sz="0" w:space="0" w:color="auto"/>
      </w:divBdr>
    </w:div>
    <w:div w:id="1361318715">
      <w:bodyDiv w:val="1"/>
      <w:marLeft w:val="0"/>
      <w:marRight w:val="0"/>
      <w:marTop w:val="0"/>
      <w:marBottom w:val="0"/>
      <w:divBdr>
        <w:top w:val="none" w:sz="0" w:space="0" w:color="auto"/>
        <w:left w:val="none" w:sz="0" w:space="0" w:color="auto"/>
        <w:bottom w:val="none" w:sz="0" w:space="0" w:color="auto"/>
        <w:right w:val="none" w:sz="0" w:space="0" w:color="auto"/>
      </w:divBdr>
    </w:div>
    <w:div w:id="1364865929">
      <w:bodyDiv w:val="1"/>
      <w:marLeft w:val="0"/>
      <w:marRight w:val="0"/>
      <w:marTop w:val="0"/>
      <w:marBottom w:val="0"/>
      <w:divBdr>
        <w:top w:val="none" w:sz="0" w:space="0" w:color="auto"/>
        <w:left w:val="none" w:sz="0" w:space="0" w:color="auto"/>
        <w:bottom w:val="none" w:sz="0" w:space="0" w:color="auto"/>
        <w:right w:val="none" w:sz="0" w:space="0" w:color="auto"/>
      </w:divBdr>
    </w:div>
    <w:div w:id="1367293023">
      <w:bodyDiv w:val="1"/>
      <w:marLeft w:val="0"/>
      <w:marRight w:val="0"/>
      <w:marTop w:val="0"/>
      <w:marBottom w:val="0"/>
      <w:divBdr>
        <w:top w:val="none" w:sz="0" w:space="0" w:color="auto"/>
        <w:left w:val="none" w:sz="0" w:space="0" w:color="auto"/>
        <w:bottom w:val="none" w:sz="0" w:space="0" w:color="auto"/>
        <w:right w:val="none" w:sz="0" w:space="0" w:color="auto"/>
      </w:divBdr>
    </w:div>
    <w:div w:id="1368530397">
      <w:bodyDiv w:val="1"/>
      <w:marLeft w:val="0"/>
      <w:marRight w:val="0"/>
      <w:marTop w:val="0"/>
      <w:marBottom w:val="0"/>
      <w:divBdr>
        <w:top w:val="none" w:sz="0" w:space="0" w:color="auto"/>
        <w:left w:val="none" w:sz="0" w:space="0" w:color="auto"/>
        <w:bottom w:val="none" w:sz="0" w:space="0" w:color="auto"/>
        <w:right w:val="none" w:sz="0" w:space="0" w:color="auto"/>
      </w:divBdr>
    </w:div>
    <w:div w:id="1375734216">
      <w:bodyDiv w:val="1"/>
      <w:marLeft w:val="0"/>
      <w:marRight w:val="0"/>
      <w:marTop w:val="0"/>
      <w:marBottom w:val="0"/>
      <w:divBdr>
        <w:top w:val="none" w:sz="0" w:space="0" w:color="auto"/>
        <w:left w:val="none" w:sz="0" w:space="0" w:color="auto"/>
        <w:bottom w:val="none" w:sz="0" w:space="0" w:color="auto"/>
        <w:right w:val="none" w:sz="0" w:space="0" w:color="auto"/>
      </w:divBdr>
      <w:divsChild>
        <w:div w:id="415908107">
          <w:marLeft w:val="994"/>
          <w:marRight w:val="0"/>
          <w:marTop w:val="0"/>
          <w:marBottom w:val="0"/>
          <w:divBdr>
            <w:top w:val="none" w:sz="0" w:space="0" w:color="auto"/>
            <w:left w:val="none" w:sz="0" w:space="0" w:color="auto"/>
            <w:bottom w:val="none" w:sz="0" w:space="0" w:color="auto"/>
            <w:right w:val="none" w:sz="0" w:space="0" w:color="auto"/>
          </w:divBdr>
        </w:div>
      </w:divsChild>
    </w:div>
    <w:div w:id="1387490620">
      <w:bodyDiv w:val="1"/>
      <w:marLeft w:val="0"/>
      <w:marRight w:val="0"/>
      <w:marTop w:val="0"/>
      <w:marBottom w:val="0"/>
      <w:divBdr>
        <w:top w:val="none" w:sz="0" w:space="0" w:color="auto"/>
        <w:left w:val="none" w:sz="0" w:space="0" w:color="auto"/>
        <w:bottom w:val="none" w:sz="0" w:space="0" w:color="auto"/>
        <w:right w:val="none" w:sz="0" w:space="0" w:color="auto"/>
      </w:divBdr>
    </w:div>
    <w:div w:id="1389840265">
      <w:bodyDiv w:val="1"/>
      <w:marLeft w:val="0"/>
      <w:marRight w:val="0"/>
      <w:marTop w:val="0"/>
      <w:marBottom w:val="0"/>
      <w:divBdr>
        <w:top w:val="none" w:sz="0" w:space="0" w:color="auto"/>
        <w:left w:val="none" w:sz="0" w:space="0" w:color="auto"/>
        <w:bottom w:val="none" w:sz="0" w:space="0" w:color="auto"/>
        <w:right w:val="none" w:sz="0" w:space="0" w:color="auto"/>
      </w:divBdr>
    </w:div>
    <w:div w:id="1396859001">
      <w:bodyDiv w:val="1"/>
      <w:marLeft w:val="0"/>
      <w:marRight w:val="0"/>
      <w:marTop w:val="0"/>
      <w:marBottom w:val="0"/>
      <w:divBdr>
        <w:top w:val="none" w:sz="0" w:space="0" w:color="auto"/>
        <w:left w:val="none" w:sz="0" w:space="0" w:color="auto"/>
        <w:bottom w:val="none" w:sz="0" w:space="0" w:color="auto"/>
        <w:right w:val="none" w:sz="0" w:space="0" w:color="auto"/>
      </w:divBdr>
      <w:divsChild>
        <w:div w:id="556404992">
          <w:marLeft w:val="547"/>
          <w:marRight w:val="0"/>
          <w:marTop w:val="0"/>
          <w:marBottom w:val="160"/>
          <w:divBdr>
            <w:top w:val="none" w:sz="0" w:space="0" w:color="auto"/>
            <w:left w:val="none" w:sz="0" w:space="0" w:color="auto"/>
            <w:bottom w:val="none" w:sz="0" w:space="0" w:color="auto"/>
            <w:right w:val="none" w:sz="0" w:space="0" w:color="auto"/>
          </w:divBdr>
        </w:div>
        <w:div w:id="1367676106">
          <w:marLeft w:val="547"/>
          <w:marRight w:val="0"/>
          <w:marTop w:val="0"/>
          <w:marBottom w:val="0"/>
          <w:divBdr>
            <w:top w:val="none" w:sz="0" w:space="0" w:color="auto"/>
            <w:left w:val="none" w:sz="0" w:space="0" w:color="auto"/>
            <w:bottom w:val="none" w:sz="0" w:space="0" w:color="auto"/>
            <w:right w:val="none" w:sz="0" w:space="0" w:color="auto"/>
          </w:divBdr>
        </w:div>
        <w:div w:id="1812096547">
          <w:marLeft w:val="547"/>
          <w:marRight w:val="0"/>
          <w:marTop w:val="0"/>
          <w:marBottom w:val="160"/>
          <w:divBdr>
            <w:top w:val="none" w:sz="0" w:space="0" w:color="auto"/>
            <w:left w:val="none" w:sz="0" w:space="0" w:color="auto"/>
            <w:bottom w:val="none" w:sz="0" w:space="0" w:color="auto"/>
            <w:right w:val="none" w:sz="0" w:space="0" w:color="auto"/>
          </w:divBdr>
        </w:div>
      </w:divsChild>
    </w:div>
    <w:div w:id="1397778184">
      <w:bodyDiv w:val="1"/>
      <w:marLeft w:val="0"/>
      <w:marRight w:val="0"/>
      <w:marTop w:val="0"/>
      <w:marBottom w:val="0"/>
      <w:divBdr>
        <w:top w:val="none" w:sz="0" w:space="0" w:color="auto"/>
        <w:left w:val="none" w:sz="0" w:space="0" w:color="auto"/>
        <w:bottom w:val="none" w:sz="0" w:space="0" w:color="auto"/>
        <w:right w:val="none" w:sz="0" w:space="0" w:color="auto"/>
      </w:divBdr>
    </w:div>
    <w:div w:id="1401322059">
      <w:bodyDiv w:val="1"/>
      <w:marLeft w:val="0"/>
      <w:marRight w:val="0"/>
      <w:marTop w:val="0"/>
      <w:marBottom w:val="0"/>
      <w:divBdr>
        <w:top w:val="none" w:sz="0" w:space="0" w:color="auto"/>
        <w:left w:val="none" w:sz="0" w:space="0" w:color="auto"/>
        <w:bottom w:val="none" w:sz="0" w:space="0" w:color="auto"/>
        <w:right w:val="none" w:sz="0" w:space="0" w:color="auto"/>
      </w:divBdr>
    </w:div>
    <w:div w:id="1406412322">
      <w:bodyDiv w:val="1"/>
      <w:marLeft w:val="0"/>
      <w:marRight w:val="0"/>
      <w:marTop w:val="0"/>
      <w:marBottom w:val="0"/>
      <w:divBdr>
        <w:top w:val="none" w:sz="0" w:space="0" w:color="auto"/>
        <w:left w:val="none" w:sz="0" w:space="0" w:color="auto"/>
        <w:bottom w:val="none" w:sz="0" w:space="0" w:color="auto"/>
        <w:right w:val="none" w:sz="0" w:space="0" w:color="auto"/>
      </w:divBdr>
    </w:div>
    <w:div w:id="1411465633">
      <w:bodyDiv w:val="1"/>
      <w:marLeft w:val="0"/>
      <w:marRight w:val="0"/>
      <w:marTop w:val="0"/>
      <w:marBottom w:val="0"/>
      <w:divBdr>
        <w:top w:val="none" w:sz="0" w:space="0" w:color="auto"/>
        <w:left w:val="none" w:sz="0" w:space="0" w:color="auto"/>
        <w:bottom w:val="none" w:sz="0" w:space="0" w:color="auto"/>
        <w:right w:val="none" w:sz="0" w:space="0" w:color="auto"/>
      </w:divBdr>
    </w:div>
    <w:div w:id="1414552336">
      <w:bodyDiv w:val="1"/>
      <w:marLeft w:val="0"/>
      <w:marRight w:val="0"/>
      <w:marTop w:val="0"/>
      <w:marBottom w:val="0"/>
      <w:divBdr>
        <w:top w:val="none" w:sz="0" w:space="0" w:color="auto"/>
        <w:left w:val="none" w:sz="0" w:space="0" w:color="auto"/>
        <w:bottom w:val="none" w:sz="0" w:space="0" w:color="auto"/>
        <w:right w:val="none" w:sz="0" w:space="0" w:color="auto"/>
      </w:divBdr>
    </w:div>
    <w:div w:id="1422023186">
      <w:bodyDiv w:val="1"/>
      <w:marLeft w:val="0"/>
      <w:marRight w:val="0"/>
      <w:marTop w:val="0"/>
      <w:marBottom w:val="0"/>
      <w:divBdr>
        <w:top w:val="none" w:sz="0" w:space="0" w:color="auto"/>
        <w:left w:val="none" w:sz="0" w:space="0" w:color="auto"/>
        <w:bottom w:val="none" w:sz="0" w:space="0" w:color="auto"/>
        <w:right w:val="none" w:sz="0" w:space="0" w:color="auto"/>
      </w:divBdr>
    </w:div>
    <w:div w:id="1423985304">
      <w:bodyDiv w:val="1"/>
      <w:marLeft w:val="0"/>
      <w:marRight w:val="0"/>
      <w:marTop w:val="0"/>
      <w:marBottom w:val="0"/>
      <w:divBdr>
        <w:top w:val="none" w:sz="0" w:space="0" w:color="auto"/>
        <w:left w:val="none" w:sz="0" w:space="0" w:color="auto"/>
        <w:bottom w:val="none" w:sz="0" w:space="0" w:color="auto"/>
        <w:right w:val="none" w:sz="0" w:space="0" w:color="auto"/>
      </w:divBdr>
    </w:div>
    <w:div w:id="1432051343">
      <w:bodyDiv w:val="1"/>
      <w:marLeft w:val="0"/>
      <w:marRight w:val="0"/>
      <w:marTop w:val="0"/>
      <w:marBottom w:val="0"/>
      <w:divBdr>
        <w:top w:val="none" w:sz="0" w:space="0" w:color="auto"/>
        <w:left w:val="none" w:sz="0" w:space="0" w:color="auto"/>
        <w:bottom w:val="none" w:sz="0" w:space="0" w:color="auto"/>
        <w:right w:val="none" w:sz="0" w:space="0" w:color="auto"/>
      </w:divBdr>
      <w:divsChild>
        <w:div w:id="1327633588">
          <w:marLeft w:val="0"/>
          <w:marRight w:val="0"/>
          <w:marTop w:val="0"/>
          <w:marBottom w:val="0"/>
          <w:divBdr>
            <w:top w:val="none" w:sz="0" w:space="0" w:color="auto"/>
            <w:left w:val="none" w:sz="0" w:space="0" w:color="auto"/>
            <w:bottom w:val="none" w:sz="0" w:space="0" w:color="auto"/>
            <w:right w:val="none" w:sz="0" w:space="0" w:color="auto"/>
          </w:divBdr>
          <w:divsChild>
            <w:div w:id="137785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0344">
      <w:bodyDiv w:val="1"/>
      <w:marLeft w:val="0"/>
      <w:marRight w:val="0"/>
      <w:marTop w:val="0"/>
      <w:marBottom w:val="0"/>
      <w:divBdr>
        <w:top w:val="none" w:sz="0" w:space="0" w:color="auto"/>
        <w:left w:val="none" w:sz="0" w:space="0" w:color="auto"/>
        <w:bottom w:val="none" w:sz="0" w:space="0" w:color="auto"/>
        <w:right w:val="none" w:sz="0" w:space="0" w:color="auto"/>
      </w:divBdr>
    </w:div>
    <w:div w:id="1452481798">
      <w:bodyDiv w:val="1"/>
      <w:marLeft w:val="0"/>
      <w:marRight w:val="0"/>
      <w:marTop w:val="0"/>
      <w:marBottom w:val="0"/>
      <w:divBdr>
        <w:top w:val="none" w:sz="0" w:space="0" w:color="auto"/>
        <w:left w:val="none" w:sz="0" w:space="0" w:color="auto"/>
        <w:bottom w:val="none" w:sz="0" w:space="0" w:color="auto"/>
        <w:right w:val="none" w:sz="0" w:space="0" w:color="auto"/>
      </w:divBdr>
    </w:div>
    <w:div w:id="1465350069">
      <w:bodyDiv w:val="1"/>
      <w:marLeft w:val="0"/>
      <w:marRight w:val="0"/>
      <w:marTop w:val="0"/>
      <w:marBottom w:val="0"/>
      <w:divBdr>
        <w:top w:val="none" w:sz="0" w:space="0" w:color="auto"/>
        <w:left w:val="none" w:sz="0" w:space="0" w:color="auto"/>
        <w:bottom w:val="none" w:sz="0" w:space="0" w:color="auto"/>
        <w:right w:val="none" w:sz="0" w:space="0" w:color="auto"/>
      </w:divBdr>
    </w:div>
    <w:div w:id="1472794796">
      <w:bodyDiv w:val="1"/>
      <w:marLeft w:val="0"/>
      <w:marRight w:val="0"/>
      <w:marTop w:val="0"/>
      <w:marBottom w:val="0"/>
      <w:divBdr>
        <w:top w:val="none" w:sz="0" w:space="0" w:color="auto"/>
        <w:left w:val="none" w:sz="0" w:space="0" w:color="auto"/>
        <w:bottom w:val="none" w:sz="0" w:space="0" w:color="auto"/>
        <w:right w:val="none" w:sz="0" w:space="0" w:color="auto"/>
      </w:divBdr>
    </w:div>
    <w:div w:id="1477453194">
      <w:bodyDiv w:val="1"/>
      <w:marLeft w:val="0"/>
      <w:marRight w:val="0"/>
      <w:marTop w:val="0"/>
      <w:marBottom w:val="0"/>
      <w:divBdr>
        <w:top w:val="none" w:sz="0" w:space="0" w:color="auto"/>
        <w:left w:val="none" w:sz="0" w:space="0" w:color="auto"/>
        <w:bottom w:val="none" w:sz="0" w:space="0" w:color="auto"/>
        <w:right w:val="none" w:sz="0" w:space="0" w:color="auto"/>
      </w:divBdr>
    </w:div>
    <w:div w:id="1477836918">
      <w:bodyDiv w:val="1"/>
      <w:marLeft w:val="0"/>
      <w:marRight w:val="0"/>
      <w:marTop w:val="0"/>
      <w:marBottom w:val="0"/>
      <w:divBdr>
        <w:top w:val="none" w:sz="0" w:space="0" w:color="auto"/>
        <w:left w:val="none" w:sz="0" w:space="0" w:color="auto"/>
        <w:bottom w:val="none" w:sz="0" w:space="0" w:color="auto"/>
        <w:right w:val="none" w:sz="0" w:space="0" w:color="auto"/>
      </w:divBdr>
      <w:divsChild>
        <w:div w:id="1150486868">
          <w:marLeft w:val="850"/>
          <w:marRight w:val="0"/>
          <w:marTop w:val="0"/>
          <w:marBottom w:val="0"/>
          <w:divBdr>
            <w:top w:val="none" w:sz="0" w:space="0" w:color="auto"/>
            <w:left w:val="none" w:sz="0" w:space="0" w:color="auto"/>
            <w:bottom w:val="none" w:sz="0" w:space="0" w:color="auto"/>
            <w:right w:val="none" w:sz="0" w:space="0" w:color="auto"/>
          </w:divBdr>
        </w:div>
      </w:divsChild>
    </w:div>
    <w:div w:id="1479807164">
      <w:bodyDiv w:val="1"/>
      <w:marLeft w:val="0"/>
      <w:marRight w:val="0"/>
      <w:marTop w:val="0"/>
      <w:marBottom w:val="0"/>
      <w:divBdr>
        <w:top w:val="none" w:sz="0" w:space="0" w:color="auto"/>
        <w:left w:val="none" w:sz="0" w:space="0" w:color="auto"/>
        <w:bottom w:val="none" w:sz="0" w:space="0" w:color="auto"/>
        <w:right w:val="none" w:sz="0" w:space="0" w:color="auto"/>
      </w:divBdr>
    </w:div>
    <w:div w:id="1479956391">
      <w:bodyDiv w:val="1"/>
      <w:marLeft w:val="0"/>
      <w:marRight w:val="0"/>
      <w:marTop w:val="0"/>
      <w:marBottom w:val="0"/>
      <w:divBdr>
        <w:top w:val="none" w:sz="0" w:space="0" w:color="auto"/>
        <w:left w:val="none" w:sz="0" w:space="0" w:color="auto"/>
        <w:bottom w:val="none" w:sz="0" w:space="0" w:color="auto"/>
        <w:right w:val="none" w:sz="0" w:space="0" w:color="auto"/>
      </w:divBdr>
    </w:div>
    <w:div w:id="1491556222">
      <w:bodyDiv w:val="1"/>
      <w:marLeft w:val="0"/>
      <w:marRight w:val="0"/>
      <w:marTop w:val="0"/>
      <w:marBottom w:val="0"/>
      <w:divBdr>
        <w:top w:val="none" w:sz="0" w:space="0" w:color="auto"/>
        <w:left w:val="none" w:sz="0" w:space="0" w:color="auto"/>
        <w:bottom w:val="none" w:sz="0" w:space="0" w:color="auto"/>
        <w:right w:val="none" w:sz="0" w:space="0" w:color="auto"/>
      </w:divBdr>
    </w:div>
    <w:div w:id="1493134359">
      <w:bodyDiv w:val="1"/>
      <w:marLeft w:val="0"/>
      <w:marRight w:val="0"/>
      <w:marTop w:val="0"/>
      <w:marBottom w:val="0"/>
      <w:divBdr>
        <w:top w:val="none" w:sz="0" w:space="0" w:color="auto"/>
        <w:left w:val="none" w:sz="0" w:space="0" w:color="auto"/>
        <w:bottom w:val="none" w:sz="0" w:space="0" w:color="auto"/>
        <w:right w:val="none" w:sz="0" w:space="0" w:color="auto"/>
      </w:divBdr>
    </w:div>
    <w:div w:id="1509444594">
      <w:bodyDiv w:val="1"/>
      <w:marLeft w:val="0"/>
      <w:marRight w:val="0"/>
      <w:marTop w:val="0"/>
      <w:marBottom w:val="0"/>
      <w:divBdr>
        <w:top w:val="none" w:sz="0" w:space="0" w:color="auto"/>
        <w:left w:val="none" w:sz="0" w:space="0" w:color="auto"/>
        <w:bottom w:val="none" w:sz="0" w:space="0" w:color="auto"/>
        <w:right w:val="none" w:sz="0" w:space="0" w:color="auto"/>
      </w:divBdr>
    </w:div>
    <w:div w:id="1511751008">
      <w:bodyDiv w:val="1"/>
      <w:marLeft w:val="0"/>
      <w:marRight w:val="0"/>
      <w:marTop w:val="0"/>
      <w:marBottom w:val="0"/>
      <w:divBdr>
        <w:top w:val="none" w:sz="0" w:space="0" w:color="auto"/>
        <w:left w:val="none" w:sz="0" w:space="0" w:color="auto"/>
        <w:bottom w:val="none" w:sz="0" w:space="0" w:color="auto"/>
        <w:right w:val="none" w:sz="0" w:space="0" w:color="auto"/>
      </w:divBdr>
    </w:div>
    <w:div w:id="1522431134">
      <w:bodyDiv w:val="1"/>
      <w:marLeft w:val="0"/>
      <w:marRight w:val="0"/>
      <w:marTop w:val="0"/>
      <w:marBottom w:val="0"/>
      <w:divBdr>
        <w:top w:val="none" w:sz="0" w:space="0" w:color="auto"/>
        <w:left w:val="none" w:sz="0" w:space="0" w:color="auto"/>
        <w:bottom w:val="none" w:sz="0" w:space="0" w:color="auto"/>
        <w:right w:val="none" w:sz="0" w:space="0" w:color="auto"/>
      </w:divBdr>
    </w:div>
    <w:div w:id="1524006810">
      <w:bodyDiv w:val="1"/>
      <w:marLeft w:val="0"/>
      <w:marRight w:val="0"/>
      <w:marTop w:val="0"/>
      <w:marBottom w:val="0"/>
      <w:divBdr>
        <w:top w:val="none" w:sz="0" w:space="0" w:color="auto"/>
        <w:left w:val="none" w:sz="0" w:space="0" w:color="auto"/>
        <w:bottom w:val="none" w:sz="0" w:space="0" w:color="auto"/>
        <w:right w:val="none" w:sz="0" w:space="0" w:color="auto"/>
      </w:divBdr>
    </w:div>
    <w:div w:id="1527476180">
      <w:bodyDiv w:val="1"/>
      <w:marLeft w:val="0"/>
      <w:marRight w:val="0"/>
      <w:marTop w:val="0"/>
      <w:marBottom w:val="0"/>
      <w:divBdr>
        <w:top w:val="none" w:sz="0" w:space="0" w:color="auto"/>
        <w:left w:val="none" w:sz="0" w:space="0" w:color="auto"/>
        <w:bottom w:val="none" w:sz="0" w:space="0" w:color="auto"/>
        <w:right w:val="none" w:sz="0" w:space="0" w:color="auto"/>
      </w:divBdr>
      <w:divsChild>
        <w:div w:id="680855201">
          <w:marLeft w:val="446"/>
          <w:marRight w:val="0"/>
          <w:marTop w:val="0"/>
          <w:marBottom w:val="160"/>
          <w:divBdr>
            <w:top w:val="none" w:sz="0" w:space="0" w:color="auto"/>
            <w:left w:val="none" w:sz="0" w:space="0" w:color="auto"/>
            <w:bottom w:val="none" w:sz="0" w:space="0" w:color="auto"/>
            <w:right w:val="none" w:sz="0" w:space="0" w:color="auto"/>
          </w:divBdr>
        </w:div>
      </w:divsChild>
    </w:div>
    <w:div w:id="1532180508">
      <w:bodyDiv w:val="1"/>
      <w:marLeft w:val="0"/>
      <w:marRight w:val="0"/>
      <w:marTop w:val="0"/>
      <w:marBottom w:val="0"/>
      <w:divBdr>
        <w:top w:val="none" w:sz="0" w:space="0" w:color="auto"/>
        <w:left w:val="none" w:sz="0" w:space="0" w:color="auto"/>
        <w:bottom w:val="none" w:sz="0" w:space="0" w:color="auto"/>
        <w:right w:val="none" w:sz="0" w:space="0" w:color="auto"/>
      </w:divBdr>
    </w:div>
    <w:div w:id="1538201273">
      <w:bodyDiv w:val="1"/>
      <w:marLeft w:val="0"/>
      <w:marRight w:val="0"/>
      <w:marTop w:val="0"/>
      <w:marBottom w:val="0"/>
      <w:divBdr>
        <w:top w:val="none" w:sz="0" w:space="0" w:color="auto"/>
        <w:left w:val="none" w:sz="0" w:space="0" w:color="auto"/>
        <w:bottom w:val="none" w:sz="0" w:space="0" w:color="auto"/>
        <w:right w:val="none" w:sz="0" w:space="0" w:color="auto"/>
      </w:divBdr>
    </w:div>
    <w:div w:id="1556431427">
      <w:bodyDiv w:val="1"/>
      <w:marLeft w:val="0"/>
      <w:marRight w:val="0"/>
      <w:marTop w:val="0"/>
      <w:marBottom w:val="0"/>
      <w:divBdr>
        <w:top w:val="none" w:sz="0" w:space="0" w:color="auto"/>
        <w:left w:val="none" w:sz="0" w:space="0" w:color="auto"/>
        <w:bottom w:val="none" w:sz="0" w:space="0" w:color="auto"/>
        <w:right w:val="none" w:sz="0" w:space="0" w:color="auto"/>
      </w:divBdr>
    </w:div>
    <w:div w:id="1561287822">
      <w:bodyDiv w:val="1"/>
      <w:marLeft w:val="0"/>
      <w:marRight w:val="0"/>
      <w:marTop w:val="0"/>
      <w:marBottom w:val="0"/>
      <w:divBdr>
        <w:top w:val="none" w:sz="0" w:space="0" w:color="auto"/>
        <w:left w:val="none" w:sz="0" w:space="0" w:color="auto"/>
        <w:bottom w:val="none" w:sz="0" w:space="0" w:color="auto"/>
        <w:right w:val="none" w:sz="0" w:space="0" w:color="auto"/>
      </w:divBdr>
    </w:div>
    <w:div w:id="1580288971">
      <w:bodyDiv w:val="1"/>
      <w:marLeft w:val="0"/>
      <w:marRight w:val="0"/>
      <w:marTop w:val="0"/>
      <w:marBottom w:val="0"/>
      <w:divBdr>
        <w:top w:val="none" w:sz="0" w:space="0" w:color="auto"/>
        <w:left w:val="none" w:sz="0" w:space="0" w:color="auto"/>
        <w:bottom w:val="none" w:sz="0" w:space="0" w:color="auto"/>
        <w:right w:val="none" w:sz="0" w:space="0" w:color="auto"/>
      </w:divBdr>
    </w:div>
    <w:div w:id="1582132909">
      <w:bodyDiv w:val="1"/>
      <w:marLeft w:val="0"/>
      <w:marRight w:val="0"/>
      <w:marTop w:val="0"/>
      <w:marBottom w:val="0"/>
      <w:divBdr>
        <w:top w:val="none" w:sz="0" w:space="0" w:color="auto"/>
        <w:left w:val="none" w:sz="0" w:space="0" w:color="auto"/>
        <w:bottom w:val="none" w:sz="0" w:space="0" w:color="auto"/>
        <w:right w:val="none" w:sz="0" w:space="0" w:color="auto"/>
      </w:divBdr>
    </w:div>
    <w:div w:id="1583489741">
      <w:bodyDiv w:val="1"/>
      <w:marLeft w:val="0"/>
      <w:marRight w:val="0"/>
      <w:marTop w:val="0"/>
      <w:marBottom w:val="0"/>
      <w:divBdr>
        <w:top w:val="none" w:sz="0" w:space="0" w:color="auto"/>
        <w:left w:val="none" w:sz="0" w:space="0" w:color="auto"/>
        <w:bottom w:val="none" w:sz="0" w:space="0" w:color="auto"/>
        <w:right w:val="none" w:sz="0" w:space="0" w:color="auto"/>
      </w:divBdr>
    </w:div>
    <w:div w:id="1589847577">
      <w:bodyDiv w:val="1"/>
      <w:marLeft w:val="0"/>
      <w:marRight w:val="0"/>
      <w:marTop w:val="0"/>
      <w:marBottom w:val="0"/>
      <w:divBdr>
        <w:top w:val="none" w:sz="0" w:space="0" w:color="auto"/>
        <w:left w:val="none" w:sz="0" w:space="0" w:color="auto"/>
        <w:bottom w:val="none" w:sz="0" w:space="0" w:color="auto"/>
        <w:right w:val="none" w:sz="0" w:space="0" w:color="auto"/>
      </w:divBdr>
    </w:div>
    <w:div w:id="1596286773">
      <w:bodyDiv w:val="1"/>
      <w:marLeft w:val="0"/>
      <w:marRight w:val="0"/>
      <w:marTop w:val="0"/>
      <w:marBottom w:val="0"/>
      <w:divBdr>
        <w:top w:val="none" w:sz="0" w:space="0" w:color="auto"/>
        <w:left w:val="none" w:sz="0" w:space="0" w:color="auto"/>
        <w:bottom w:val="none" w:sz="0" w:space="0" w:color="auto"/>
        <w:right w:val="none" w:sz="0" w:space="0" w:color="auto"/>
      </w:divBdr>
    </w:div>
    <w:div w:id="1632250804">
      <w:bodyDiv w:val="1"/>
      <w:marLeft w:val="0"/>
      <w:marRight w:val="0"/>
      <w:marTop w:val="0"/>
      <w:marBottom w:val="0"/>
      <w:divBdr>
        <w:top w:val="none" w:sz="0" w:space="0" w:color="auto"/>
        <w:left w:val="none" w:sz="0" w:space="0" w:color="auto"/>
        <w:bottom w:val="none" w:sz="0" w:space="0" w:color="auto"/>
        <w:right w:val="none" w:sz="0" w:space="0" w:color="auto"/>
      </w:divBdr>
    </w:div>
    <w:div w:id="1637372507">
      <w:bodyDiv w:val="1"/>
      <w:marLeft w:val="0"/>
      <w:marRight w:val="0"/>
      <w:marTop w:val="0"/>
      <w:marBottom w:val="0"/>
      <w:divBdr>
        <w:top w:val="none" w:sz="0" w:space="0" w:color="auto"/>
        <w:left w:val="none" w:sz="0" w:space="0" w:color="auto"/>
        <w:bottom w:val="none" w:sz="0" w:space="0" w:color="auto"/>
        <w:right w:val="none" w:sz="0" w:space="0" w:color="auto"/>
      </w:divBdr>
    </w:div>
    <w:div w:id="1641112971">
      <w:bodyDiv w:val="1"/>
      <w:marLeft w:val="0"/>
      <w:marRight w:val="0"/>
      <w:marTop w:val="0"/>
      <w:marBottom w:val="0"/>
      <w:divBdr>
        <w:top w:val="none" w:sz="0" w:space="0" w:color="auto"/>
        <w:left w:val="none" w:sz="0" w:space="0" w:color="auto"/>
        <w:bottom w:val="none" w:sz="0" w:space="0" w:color="auto"/>
        <w:right w:val="none" w:sz="0" w:space="0" w:color="auto"/>
      </w:divBdr>
    </w:div>
    <w:div w:id="1649239259">
      <w:bodyDiv w:val="1"/>
      <w:marLeft w:val="0"/>
      <w:marRight w:val="0"/>
      <w:marTop w:val="0"/>
      <w:marBottom w:val="0"/>
      <w:divBdr>
        <w:top w:val="none" w:sz="0" w:space="0" w:color="auto"/>
        <w:left w:val="none" w:sz="0" w:space="0" w:color="auto"/>
        <w:bottom w:val="none" w:sz="0" w:space="0" w:color="auto"/>
        <w:right w:val="none" w:sz="0" w:space="0" w:color="auto"/>
      </w:divBdr>
      <w:divsChild>
        <w:div w:id="1862235363">
          <w:marLeft w:val="547"/>
          <w:marRight w:val="0"/>
          <w:marTop w:val="0"/>
          <w:marBottom w:val="160"/>
          <w:divBdr>
            <w:top w:val="none" w:sz="0" w:space="0" w:color="auto"/>
            <w:left w:val="none" w:sz="0" w:space="0" w:color="auto"/>
            <w:bottom w:val="none" w:sz="0" w:space="0" w:color="auto"/>
            <w:right w:val="none" w:sz="0" w:space="0" w:color="auto"/>
          </w:divBdr>
        </w:div>
      </w:divsChild>
    </w:div>
    <w:div w:id="1653875023">
      <w:bodyDiv w:val="1"/>
      <w:marLeft w:val="0"/>
      <w:marRight w:val="0"/>
      <w:marTop w:val="0"/>
      <w:marBottom w:val="0"/>
      <w:divBdr>
        <w:top w:val="none" w:sz="0" w:space="0" w:color="auto"/>
        <w:left w:val="none" w:sz="0" w:space="0" w:color="auto"/>
        <w:bottom w:val="none" w:sz="0" w:space="0" w:color="auto"/>
        <w:right w:val="none" w:sz="0" w:space="0" w:color="auto"/>
      </w:divBdr>
    </w:div>
    <w:div w:id="1664242333">
      <w:bodyDiv w:val="1"/>
      <w:marLeft w:val="0"/>
      <w:marRight w:val="0"/>
      <w:marTop w:val="0"/>
      <w:marBottom w:val="0"/>
      <w:divBdr>
        <w:top w:val="none" w:sz="0" w:space="0" w:color="auto"/>
        <w:left w:val="none" w:sz="0" w:space="0" w:color="auto"/>
        <w:bottom w:val="none" w:sz="0" w:space="0" w:color="auto"/>
        <w:right w:val="none" w:sz="0" w:space="0" w:color="auto"/>
      </w:divBdr>
      <w:divsChild>
        <w:div w:id="106774660">
          <w:marLeft w:val="1166"/>
          <w:marRight w:val="0"/>
          <w:marTop w:val="0"/>
          <w:marBottom w:val="0"/>
          <w:divBdr>
            <w:top w:val="none" w:sz="0" w:space="0" w:color="auto"/>
            <w:left w:val="none" w:sz="0" w:space="0" w:color="auto"/>
            <w:bottom w:val="none" w:sz="0" w:space="0" w:color="auto"/>
            <w:right w:val="none" w:sz="0" w:space="0" w:color="auto"/>
          </w:divBdr>
        </w:div>
        <w:div w:id="691877681">
          <w:marLeft w:val="1166"/>
          <w:marRight w:val="0"/>
          <w:marTop w:val="0"/>
          <w:marBottom w:val="0"/>
          <w:divBdr>
            <w:top w:val="none" w:sz="0" w:space="0" w:color="auto"/>
            <w:left w:val="none" w:sz="0" w:space="0" w:color="auto"/>
            <w:bottom w:val="none" w:sz="0" w:space="0" w:color="auto"/>
            <w:right w:val="none" w:sz="0" w:space="0" w:color="auto"/>
          </w:divBdr>
        </w:div>
      </w:divsChild>
    </w:div>
    <w:div w:id="1672175200">
      <w:bodyDiv w:val="1"/>
      <w:marLeft w:val="0"/>
      <w:marRight w:val="0"/>
      <w:marTop w:val="0"/>
      <w:marBottom w:val="0"/>
      <w:divBdr>
        <w:top w:val="none" w:sz="0" w:space="0" w:color="auto"/>
        <w:left w:val="none" w:sz="0" w:space="0" w:color="auto"/>
        <w:bottom w:val="none" w:sz="0" w:space="0" w:color="auto"/>
        <w:right w:val="none" w:sz="0" w:space="0" w:color="auto"/>
      </w:divBdr>
      <w:divsChild>
        <w:div w:id="1413047629">
          <w:marLeft w:val="994"/>
          <w:marRight w:val="0"/>
          <w:marTop w:val="0"/>
          <w:marBottom w:val="0"/>
          <w:divBdr>
            <w:top w:val="none" w:sz="0" w:space="0" w:color="auto"/>
            <w:left w:val="none" w:sz="0" w:space="0" w:color="auto"/>
            <w:bottom w:val="none" w:sz="0" w:space="0" w:color="auto"/>
            <w:right w:val="none" w:sz="0" w:space="0" w:color="auto"/>
          </w:divBdr>
        </w:div>
      </w:divsChild>
    </w:div>
    <w:div w:id="1673291598">
      <w:bodyDiv w:val="1"/>
      <w:marLeft w:val="0"/>
      <w:marRight w:val="0"/>
      <w:marTop w:val="0"/>
      <w:marBottom w:val="0"/>
      <w:divBdr>
        <w:top w:val="none" w:sz="0" w:space="0" w:color="auto"/>
        <w:left w:val="none" w:sz="0" w:space="0" w:color="auto"/>
        <w:bottom w:val="none" w:sz="0" w:space="0" w:color="auto"/>
        <w:right w:val="none" w:sz="0" w:space="0" w:color="auto"/>
      </w:divBdr>
    </w:div>
    <w:div w:id="1690763329">
      <w:bodyDiv w:val="1"/>
      <w:marLeft w:val="0"/>
      <w:marRight w:val="0"/>
      <w:marTop w:val="0"/>
      <w:marBottom w:val="0"/>
      <w:divBdr>
        <w:top w:val="none" w:sz="0" w:space="0" w:color="auto"/>
        <w:left w:val="none" w:sz="0" w:space="0" w:color="auto"/>
        <w:bottom w:val="none" w:sz="0" w:space="0" w:color="auto"/>
        <w:right w:val="none" w:sz="0" w:space="0" w:color="auto"/>
      </w:divBdr>
    </w:div>
    <w:div w:id="1694528705">
      <w:bodyDiv w:val="1"/>
      <w:marLeft w:val="0"/>
      <w:marRight w:val="0"/>
      <w:marTop w:val="0"/>
      <w:marBottom w:val="0"/>
      <w:divBdr>
        <w:top w:val="none" w:sz="0" w:space="0" w:color="auto"/>
        <w:left w:val="none" w:sz="0" w:space="0" w:color="auto"/>
        <w:bottom w:val="none" w:sz="0" w:space="0" w:color="auto"/>
        <w:right w:val="none" w:sz="0" w:space="0" w:color="auto"/>
      </w:divBdr>
    </w:div>
    <w:div w:id="1701778655">
      <w:bodyDiv w:val="1"/>
      <w:marLeft w:val="0"/>
      <w:marRight w:val="0"/>
      <w:marTop w:val="0"/>
      <w:marBottom w:val="0"/>
      <w:divBdr>
        <w:top w:val="none" w:sz="0" w:space="0" w:color="auto"/>
        <w:left w:val="none" w:sz="0" w:space="0" w:color="auto"/>
        <w:bottom w:val="none" w:sz="0" w:space="0" w:color="auto"/>
        <w:right w:val="none" w:sz="0" w:space="0" w:color="auto"/>
      </w:divBdr>
    </w:div>
    <w:div w:id="1727870237">
      <w:bodyDiv w:val="1"/>
      <w:marLeft w:val="0"/>
      <w:marRight w:val="0"/>
      <w:marTop w:val="0"/>
      <w:marBottom w:val="0"/>
      <w:divBdr>
        <w:top w:val="none" w:sz="0" w:space="0" w:color="auto"/>
        <w:left w:val="none" w:sz="0" w:space="0" w:color="auto"/>
        <w:bottom w:val="none" w:sz="0" w:space="0" w:color="auto"/>
        <w:right w:val="none" w:sz="0" w:space="0" w:color="auto"/>
      </w:divBdr>
    </w:div>
    <w:div w:id="1731227988">
      <w:bodyDiv w:val="1"/>
      <w:marLeft w:val="0"/>
      <w:marRight w:val="0"/>
      <w:marTop w:val="0"/>
      <w:marBottom w:val="0"/>
      <w:divBdr>
        <w:top w:val="none" w:sz="0" w:space="0" w:color="auto"/>
        <w:left w:val="none" w:sz="0" w:space="0" w:color="auto"/>
        <w:bottom w:val="none" w:sz="0" w:space="0" w:color="auto"/>
        <w:right w:val="none" w:sz="0" w:space="0" w:color="auto"/>
      </w:divBdr>
    </w:div>
    <w:div w:id="1732076031">
      <w:bodyDiv w:val="1"/>
      <w:marLeft w:val="0"/>
      <w:marRight w:val="0"/>
      <w:marTop w:val="0"/>
      <w:marBottom w:val="0"/>
      <w:divBdr>
        <w:top w:val="none" w:sz="0" w:space="0" w:color="auto"/>
        <w:left w:val="none" w:sz="0" w:space="0" w:color="auto"/>
        <w:bottom w:val="none" w:sz="0" w:space="0" w:color="auto"/>
        <w:right w:val="none" w:sz="0" w:space="0" w:color="auto"/>
      </w:divBdr>
    </w:div>
    <w:div w:id="1734697557">
      <w:bodyDiv w:val="1"/>
      <w:marLeft w:val="0"/>
      <w:marRight w:val="0"/>
      <w:marTop w:val="0"/>
      <w:marBottom w:val="0"/>
      <w:divBdr>
        <w:top w:val="none" w:sz="0" w:space="0" w:color="auto"/>
        <w:left w:val="none" w:sz="0" w:space="0" w:color="auto"/>
        <w:bottom w:val="none" w:sz="0" w:space="0" w:color="auto"/>
        <w:right w:val="none" w:sz="0" w:space="0" w:color="auto"/>
      </w:divBdr>
      <w:divsChild>
        <w:div w:id="359475019">
          <w:marLeft w:val="547"/>
          <w:marRight w:val="0"/>
          <w:marTop w:val="0"/>
          <w:marBottom w:val="160"/>
          <w:divBdr>
            <w:top w:val="none" w:sz="0" w:space="0" w:color="auto"/>
            <w:left w:val="none" w:sz="0" w:space="0" w:color="auto"/>
            <w:bottom w:val="none" w:sz="0" w:space="0" w:color="auto"/>
            <w:right w:val="none" w:sz="0" w:space="0" w:color="auto"/>
          </w:divBdr>
        </w:div>
        <w:div w:id="462967349">
          <w:marLeft w:val="547"/>
          <w:marRight w:val="0"/>
          <w:marTop w:val="0"/>
          <w:marBottom w:val="160"/>
          <w:divBdr>
            <w:top w:val="none" w:sz="0" w:space="0" w:color="auto"/>
            <w:left w:val="none" w:sz="0" w:space="0" w:color="auto"/>
            <w:bottom w:val="none" w:sz="0" w:space="0" w:color="auto"/>
            <w:right w:val="none" w:sz="0" w:space="0" w:color="auto"/>
          </w:divBdr>
        </w:div>
        <w:div w:id="1922593570">
          <w:marLeft w:val="547"/>
          <w:marRight w:val="0"/>
          <w:marTop w:val="0"/>
          <w:marBottom w:val="0"/>
          <w:divBdr>
            <w:top w:val="none" w:sz="0" w:space="0" w:color="auto"/>
            <w:left w:val="none" w:sz="0" w:space="0" w:color="auto"/>
            <w:bottom w:val="none" w:sz="0" w:space="0" w:color="auto"/>
            <w:right w:val="none" w:sz="0" w:space="0" w:color="auto"/>
          </w:divBdr>
        </w:div>
      </w:divsChild>
    </w:div>
    <w:div w:id="1754087398">
      <w:bodyDiv w:val="1"/>
      <w:marLeft w:val="0"/>
      <w:marRight w:val="0"/>
      <w:marTop w:val="0"/>
      <w:marBottom w:val="0"/>
      <w:divBdr>
        <w:top w:val="none" w:sz="0" w:space="0" w:color="auto"/>
        <w:left w:val="none" w:sz="0" w:space="0" w:color="auto"/>
        <w:bottom w:val="none" w:sz="0" w:space="0" w:color="auto"/>
        <w:right w:val="none" w:sz="0" w:space="0" w:color="auto"/>
      </w:divBdr>
    </w:div>
    <w:div w:id="1763986336">
      <w:bodyDiv w:val="1"/>
      <w:marLeft w:val="0"/>
      <w:marRight w:val="0"/>
      <w:marTop w:val="0"/>
      <w:marBottom w:val="0"/>
      <w:divBdr>
        <w:top w:val="none" w:sz="0" w:space="0" w:color="auto"/>
        <w:left w:val="none" w:sz="0" w:space="0" w:color="auto"/>
        <w:bottom w:val="none" w:sz="0" w:space="0" w:color="auto"/>
        <w:right w:val="none" w:sz="0" w:space="0" w:color="auto"/>
      </w:divBdr>
    </w:div>
    <w:div w:id="1769227329">
      <w:bodyDiv w:val="1"/>
      <w:marLeft w:val="0"/>
      <w:marRight w:val="0"/>
      <w:marTop w:val="0"/>
      <w:marBottom w:val="0"/>
      <w:divBdr>
        <w:top w:val="none" w:sz="0" w:space="0" w:color="auto"/>
        <w:left w:val="none" w:sz="0" w:space="0" w:color="auto"/>
        <w:bottom w:val="none" w:sz="0" w:space="0" w:color="auto"/>
        <w:right w:val="none" w:sz="0" w:space="0" w:color="auto"/>
      </w:divBdr>
    </w:div>
    <w:div w:id="1812209347">
      <w:bodyDiv w:val="1"/>
      <w:marLeft w:val="0"/>
      <w:marRight w:val="0"/>
      <w:marTop w:val="0"/>
      <w:marBottom w:val="0"/>
      <w:divBdr>
        <w:top w:val="none" w:sz="0" w:space="0" w:color="auto"/>
        <w:left w:val="none" w:sz="0" w:space="0" w:color="auto"/>
        <w:bottom w:val="none" w:sz="0" w:space="0" w:color="auto"/>
        <w:right w:val="none" w:sz="0" w:space="0" w:color="auto"/>
      </w:divBdr>
    </w:div>
    <w:div w:id="1812791390">
      <w:bodyDiv w:val="1"/>
      <w:marLeft w:val="0"/>
      <w:marRight w:val="0"/>
      <w:marTop w:val="0"/>
      <w:marBottom w:val="0"/>
      <w:divBdr>
        <w:top w:val="none" w:sz="0" w:space="0" w:color="auto"/>
        <w:left w:val="none" w:sz="0" w:space="0" w:color="auto"/>
        <w:bottom w:val="none" w:sz="0" w:space="0" w:color="auto"/>
        <w:right w:val="none" w:sz="0" w:space="0" w:color="auto"/>
      </w:divBdr>
    </w:div>
    <w:div w:id="1813056410">
      <w:bodyDiv w:val="1"/>
      <w:marLeft w:val="0"/>
      <w:marRight w:val="0"/>
      <w:marTop w:val="0"/>
      <w:marBottom w:val="0"/>
      <w:divBdr>
        <w:top w:val="none" w:sz="0" w:space="0" w:color="auto"/>
        <w:left w:val="none" w:sz="0" w:space="0" w:color="auto"/>
        <w:bottom w:val="none" w:sz="0" w:space="0" w:color="auto"/>
        <w:right w:val="none" w:sz="0" w:space="0" w:color="auto"/>
      </w:divBdr>
      <w:divsChild>
        <w:div w:id="1158811138">
          <w:marLeft w:val="994"/>
          <w:marRight w:val="0"/>
          <w:marTop w:val="0"/>
          <w:marBottom w:val="0"/>
          <w:divBdr>
            <w:top w:val="none" w:sz="0" w:space="0" w:color="auto"/>
            <w:left w:val="none" w:sz="0" w:space="0" w:color="auto"/>
            <w:bottom w:val="none" w:sz="0" w:space="0" w:color="auto"/>
            <w:right w:val="none" w:sz="0" w:space="0" w:color="auto"/>
          </w:divBdr>
        </w:div>
      </w:divsChild>
    </w:div>
    <w:div w:id="1838416775">
      <w:bodyDiv w:val="1"/>
      <w:marLeft w:val="0"/>
      <w:marRight w:val="0"/>
      <w:marTop w:val="0"/>
      <w:marBottom w:val="0"/>
      <w:divBdr>
        <w:top w:val="none" w:sz="0" w:space="0" w:color="auto"/>
        <w:left w:val="none" w:sz="0" w:space="0" w:color="auto"/>
        <w:bottom w:val="none" w:sz="0" w:space="0" w:color="auto"/>
        <w:right w:val="none" w:sz="0" w:space="0" w:color="auto"/>
      </w:divBdr>
    </w:div>
    <w:div w:id="1840389237">
      <w:bodyDiv w:val="1"/>
      <w:marLeft w:val="0"/>
      <w:marRight w:val="0"/>
      <w:marTop w:val="0"/>
      <w:marBottom w:val="0"/>
      <w:divBdr>
        <w:top w:val="none" w:sz="0" w:space="0" w:color="auto"/>
        <w:left w:val="none" w:sz="0" w:space="0" w:color="auto"/>
        <w:bottom w:val="none" w:sz="0" w:space="0" w:color="auto"/>
        <w:right w:val="none" w:sz="0" w:space="0" w:color="auto"/>
      </w:divBdr>
    </w:div>
    <w:div w:id="1848862275">
      <w:bodyDiv w:val="1"/>
      <w:marLeft w:val="0"/>
      <w:marRight w:val="0"/>
      <w:marTop w:val="0"/>
      <w:marBottom w:val="0"/>
      <w:divBdr>
        <w:top w:val="none" w:sz="0" w:space="0" w:color="auto"/>
        <w:left w:val="none" w:sz="0" w:space="0" w:color="auto"/>
        <w:bottom w:val="none" w:sz="0" w:space="0" w:color="auto"/>
        <w:right w:val="none" w:sz="0" w:space="0" w:color="auto"/>
      </w:divBdr>
    </w:div>
    <w:div w:id="1851214386">
      <w:bodyDiv w:val="1"/>
      <w:marLeft w:val="0"/>
      <w:marRight w:val="0"/>
      <w:marTop w:val="0"/>
      <w:marBottom w:val="0"/>
      <w:divBdr>
        <w:top w:val="none" w:sz="0" w:space="0" w:color="auto"/>
        <w:left w:val="none" w:sz="0" w:space="0" w:color="auto"/>
        <w:bottom w:val="none" w:sz="0" w:space="0" w:color="auto"/>
        <w:right w:val="none" w:sz="0" w:space="0" w:color="auto"/>
      </w:divBdr>
    </w:div>
    <w:div w:id="1852254868">
      <w:bodyDiv w:val="1"/>
      <w:marLeft w:val="0"/>
      <w:marRight w:val="0"/>
      <w:marTop w:val="0"/>
      <w:marBottom w:val="0"/>
      <w:divBdr>
        <w:top w:val="none" w:sz="0" w:space="0" w:color="auto"/>
        <w:left w:val="none" w:sz="0" w:space="0" w:color="auto"/>
        <w:bottom w:val="none" w:sz="0" w:space="0" w:color="auto"/>
        <w:right w:val="none" w:sz="0" w:space="0" w:color="auto"/>
      </w:divBdr>
    </w:div>
    <w:div w:id="1854026754">
      <w:bodyDiv w:val="1"/>
      <w:marLeft w:val="0"/>
      <w:marRight w:val="0"/>
      <w:marTop w:val="0"/>
      <w:marBottom w:val="0"/>
      <w:divBdr>
        <w:top w:val="none" w:sz="0" w:space="0" w:color="auto"/>
        <w:left w:val="none" w:sz="0" w:space="0" w:color="auto"/>
        <w:bottom w:val="none" w:sz="0" w:space="0" w:color="auto"/>
        <w:right w:val="none" w:sz="0" w:space="0" w:color="auto"/>
      </w:divBdr>
    </w:div>
    <w:div w:id="1858227509">
      <w:bodyDiv w:val="1"/>
      <w:marLeft w:val="0"/>
      <w:marRight w:val="0"/>
      <w:marTop w:val="0"/>
      <w:marBottom w:val="0"/>
      <w:divBdr>
        <w:top w:val="none" w:sz="0" w:space="0" w:color="auto"/>
        <w:left w:val="none" w:sz="0" w:space="0" w:color="auto"/>
        <w:bottom w:val="none" w:sz="0" w:space="0" w:color="auto"/>
        <w:right w:val="none" w:sz="0" w:space="0" w:color="auto"/>
      </w:divBdr>
    </w:div>
    <w:div w:id="1858425883">
      <w:bodyDiv w:val="1"/>
      <w:marLeft w:val="0"/>
      <w:marRight w:val="0"/>
      <w:marTop w:val="0"/>
      <w:marBottom w:val="0"/>
      <w:divBdr>
        <w:top w:val="none" w:sz="0" w:space="0" w:color="auto"/>
        <w:left w:val="none" w:sz="0" w:space="0" w:color="auto"/>
        <w:bottom w:val="none" w:sz="0" w:space="0" w:color="auto"/>
        <w:right w:val="none" w:sz="0" w:space="0" w:color="auto"/>
      </w:divBdr>
    </w:div>
    <w:div w:id="1862738588">
      <w:bodyDiv w:val="1"/>
      <w:marLeft w:val="0"/>
      <w:marRight w:val="0"/>
      <w:marTop w:val="0"/>
      <w:marBottom w:val="0"/>
      <w:divBdr>
        <w:top w:val="none" w:sz="0" w:space="0" w:color="auto"/>
        <w:left w:val="none" w:sz="0" w:space="0" w:color="auto"/>
        <w:bottom w:val="none" w:sz="0" w:space="0" w:color="auto"/>
        <w:right w:val="none" w:sz="0" w:space="0" w:color="auto"/>
      </w:divBdr>
    </w:div>
    <w:div w:id="1879924837">
      <w:bodyDiv w:val="1"/>
      <w:marLeft w:val="0"/>
      <w:marRight w:val="0"/>
      <w:marTop w:val="0"/>
      <w:marBottom w:val="0"/>
      <w:divBdr>
        <w:top w:val="none" w:sz="0" w:space="0" w:color="auto"/>
        <w:left w:val="none" w:sz="0" w:space="0" w:color="auto"/>
        <w:bottom w:val="none" w:sz="0" w:space="0" w:color="auto"/>
        <w:right w:val="none" w:sz="0" w:space="0" w:color="auto"/>
      </w:divBdr>
      <w:divsChild>
        <w:div w:id="746659191">
          <w:marLeft w:val="720"/>
          <w:marRight w:val="0"/>
          <w:marTop w:val="0"/>
          <w:marBottom w:val="0"/>
          <w:divBdr>
            <w:top w:val="none" w:sz="0" w:space="0" w:color="auto"/>
            <w:left w:val="none" w:sz="0" w:space="0" w:color="auto"/>
            <w:bottom w:val="none" w:sz="0" w:space="0" w:color="auto"/>
            <w:right w:val="none" w:sz="0" w:space="0" w:color="auto"/>
          </w:divBdr>
        </w:div>
      </w:divsChild>
    </w:div>
    <w:div w:id="1891334298">
      <w:bodyDiv w:val="1"/>
      <w:marLeft w:val="0"/>
      <w:marRight w:val="0"/>
      <w:marTop w:val="0"/>
      <w:marBottom w:val="0"/>
      <w:divBdr>
        <w:top w:val="none" w:sz="0" w:space="0" w:color="auto"/>
        <w:left w:val="none" w:sz="0" w:space="0" w:color="auto"/>
        <w:bottom w:val="none" w:sz="0" w:space="0" w:color="auto"/>
        <w:right w:val="none" w:sz="0" w:space="0" w:color="auto"/>
      </w:divBdr>
    </w:div>
    <w:div w:id="1894153842">
      <w:bodyDiv w:val="1"/>
      <w:marLeft w:val="0"/>
      <w:marRight w:val="0"/>
      <w:marTop w:val="0"/>
      <w:marBottom w:val="0"/>
      <w:divBdr>
        <w:top w:val="none" w:sz="0" w:space="0" w:color="auto"/>
        <w:left w:val="none" w:sz="0" w:space="0" w:color="auto"/>
        <w:bottom w:val="none" w:sz="0" w:space="0" w:color="auto"/>
        <w:right w:val="none" w:sz="0" w:space="0" w:color="auto"/>
      </w:divBdr>
    </w:div>
    <w:div w:id="1897006579">
      <w:bodyDiv w:val="1"/>
      <w:marLeft w:val="0"/>
      <w:marRight w:val="0"/>
      <w:marTop w:val="0"/>
      <w:marBottom w:val="0"/>
      <w:divBdr>
        <w:top w:val="none" w:sz="0" w:space="0" w:color="auto"/>
        <w:left w:val="none" w:sz="0" w:space="0" w:color="auto"/>
        <w:bottom w:val="none" w:sz="0" w:space="0" w:color="auto"/>
        <w:right w:val="none" w:sz="0" w:space="0" w:color="auto"/>
      </w:divBdr>
    </w:div>
    <w:div w:id="1908370532">
      <w:bodyDiv w:val="1"/>
      <w:marLeft w:val="0"/>
      <w:marRight w:val="0"/>
      <w:marTop w:val="0"/>
      <w:marBottom w:val="0"/>
      <w:divBdr>
        <w:top w:val="none" w:sz="0" w:space="0" w:color="auto"/>
        <w:left w:val="none" w:sz="0" w:space="0" w:color="auto"/>
        <w:bottom w:val="none" w:sz="0" w:space="0" w:color="auto"/>
        <w:right w:val="none" w:sz="0" w:space="0" w:color="auto"/>
      </w:divBdr>
    </w:div>
    <w:div w:id="1912612889">
      <w:bodyDiv w:val="1"/>
      <w:marLeft w:val="0"/>
      <w:marRight w:val="0"/>
      <w:marTop w:val="0"/>
      <w:marBottom w:val="0"/>
      <w:divBdr>
        <w:top w:val="none" w:sz="0" w:space="0" w:color="auto"/>
        <w:left w:val="none" w:sz="0" w:space="0" w:color="auto"/>
        <w:bottom w:val="none" w:sz="0" w:space="0" w:color="auto"/>
        <w:right w:val="none" w:sz="0" w:space="0" w:color="auto"/>
      </w:divBdr>
    </w:div>
    <w:div w:id="1917549772">
      <w:bodyDiv w:val="1"/>
      <w:marLeft w:val="0"/>
      <w:marRight w:val="0"/>
      <w:marTop w:val="0"/>
      <w:marBottom w:val="0"/>
      <w:divBdr>
        <w:top w:val="none" w:sz="0" w:space="0" w:color="auto"/>
        <w:left w:val="none" w:sz="0" w:space="0" w:color="auto"/>
        <w:bottom w:val="none" w:sz="0" w:space="0" w:color="auto"/>
        <w:right w:val="none" w:sz="0" w:space="0" w:color="auto"/>
      </w:divBdr>
    </w:div>
    <w:div w:id="1931428396">
      <w:bodyDiv w:val="1"/>
      <w:marLeft w:val="0"/>
      <w:marRight w:val="0"/>
      <w:marTop w:val="0"/>
      <w:marBottom w:val="0"/>
      <w:divBdr>
        <w:top w:val="none" w:sz="0" w:space="0" w:color="auto"/>
        <w:left w:val="none" w:sz="0" w:space="0" w:color="auto"/>
        <w:bottom w:val="none" w:sz="0" w:space="0" w:color="auto"/>
        <w:right w:val="none" w:sz="0" w:space="0" w:color="auto"/>
      </w:divBdr>
      <w:divsChild>
        <w:div w:id="667943822">
          <w:marLeft w:val="547"/>
          <w:marRight w:val="0"/>
          <w:marTop w:val="0"/>
          <w:marBottom w:val="0"/>
          <w:divBdr>
            <w:top w:val="none" w:sz="0" w:space="0" w:color="auto"/>
            <w:left w:val="none" w:sz="0" w:space="0" w:color="auto"/>
            <w:bottom w:val="none" w:sz="0" w:space="0" w:color="auto"/>
            <w:right w:val="none" w:sz="0" w:space="0" w:color="auto"/>
          </w:divBdr>
        </w:div>
      </w:divsChild>
    </w:div>
    <w:div w:id="1933852392">
      <w:bodyDiv w:val="1"/>
      <w:marLeft w:val="0"/>
      <w:marRight w:val="0"/>
      <w:marTop w:val="0"/>
      <w:marBottom w:val="0"/>
      <w:divBdr>
        <w:top w:val="none" w:sz="0" w:space="0" w:color="auto"/>
        <w:left w:val="none" w:sz="0" w:space="0" w:color="auto"/>
        <w:bottom w:val="none" w:sz="0" w:space="0" w:color="auto"/>
        <w:right w:val="none" w:sz="0" w:space="0" w:color="auto"/>
      </w:divBdr>
    </w:div>
    <w:div w:id="1939485822">
      <w:bodyDiv w:val="1"/>
      <w:marLeft w:val="0"/>
      <w:marRight w:val="0"/>
      <w:marTop w:val="0"/>
      <w:marBottom w:val="0"/>
      <w:divBdr>
        <w:top w:val="none" w:sz="0" w:space="0" w:color="auto"/>
        <w:left w:val="none" w:sz="0" w:space="0" w:color="auto"/>
        <w:bottom w:val="none" w:sz="0" w:space="0" w:color="auto"/>
        <w:right w:val="none" w:sz="0" w:space="0" w:color="auto"/>
      </w:divBdr>
    </w:div>
    <w:div w:id="1941790345">
      <w:bodyDiv w:val="1"/>
      <w:marLeft w:val="0"/>
      <w:marRight w:val="0"/>
      <w:marTop w:val="0"/>
      <w:marBottom w:val="0"/>
      <w:divBdr>
        <w:top w:val="none" w:sz="0" w:space="0" w:color="auto"/>
        <w:left w:val="none" w:sz="0" w:space="0" w:color="auto"/>
        <w:bottom w:val="none" w:sz="0" w:space="0" w:color="auto"/>
        <w:right w:val="none" w:sz="0" w:space="0" w:color="auto"/>
      </w:divBdr>
    </w:div>
    <w:div w:id="1948467811">
      <w:bodyDiv w:val="1"/>
      <w:marLeft w:val="0"/>
      <w:marRight w:val="0"/>
      <w:marTop w:val="0"/>
      <w:marBottom w:val="0"/>
      <w:divBdr>
        <w:top w:val="none" w:sz="0" w:space="0" w:color="auto"/>
        <w:left w:val="none" w:sz="0" w:space="0" w:color="auto"/>
        <w:bottom w:val="none" w:sz="0" w:space="0" w:color="auto"/>
        <w:right w:val="none" w:sz="0" w:space="0" w:color="auto"/>
      </w:divBdr>
      <w:divsChild>
        <w:div w:id="347367674">
          <w:marLeft w:val="547"/>
          <w:marRight w:val="0"/>
          <w:marTop w:val="0"/>
          <w:marBottom w:val="0"/>
          <w:divBdr>
            <w:top w:val="none" w:sz="0" w:space="0" w:color="auto"/>
            <w:left w:val="none" w:sz="0" w:space="0" w:color="auto"/>
            <w:bottom w:val="none" w:sz="0" w:space="0" w:color="auto"/>
            <w:right w:val="none" w:sz="0" w:space="0" w:color="auto"/>
          </w:divBdr>
        </w:div>
        <w:div w:id="635838969">
          <w:marLeft w:val="547"/>
          <w:marRight w:val="0"/>
          <w:marTop w:val="0"/>
          <w:marBottom w:val="160"/>
          <w:divBdr>
            <w:top w:val="none" w:sz="0" w:space="0" w:color="auto"/>
            <w:left w:val="none" w:sz="0" w:space="0" w:color="auto"/>
            <w:bottom w:val="none" w:sz="0" w:space="0" w:color="auto"/>
            <w:right w:val="none" w:sz="0" w:space="0" w:color="auto"/>
          </w:divBdr>
        </w:div>
        <w:div w:id="993144667">
          <w:marLeft w:val="547"/>
          <w:marRight w:val="0"/>
          <w:marTop w:val="0"/>
          <w:marBottom w:val="160"/>
          <w:divBdr>
            <w:top w:val="none" w:sz="0" w:space="0" w:color="auto"/>
            <w:left w:val="none" w:sz="0" w:space="0" w:color="auto"/>
            <w:bottom w:val="none" w:sz="0" w:space="0" w:color="auto"/>
            <w:right w:val="none" w:sz="0" w:space="0" w:color="auto"/>
          </w:divBdr>
        </w:div>
      </w:divsChild>
    </w:div>
    <w:div w:id="1964382876">
      <w:bodyDiv w:val="1"/>
      <w:marLeft w:val="0"/>
      <w:marRight w:val="0"/>
      <w:marTop w:val="0"/>
      <w:marBottom w:val="0"/>
      <w:divBdr>
        <w:top w:val="none" w:sz="0" w:space="0" w:color="auto"/>
        <w:left w:val="none" w:sz="0" w:space="0" w:color="auto"/>
        <w:bottom w:val="none" w:sz="0" w:space="0" w:color="auto"/>
        <w:right w:val="none" w:sz="0" w:space="0" w:color="auto"/>
      </w:divBdr>
    </w:div>
    <w:div w:id="1966544935">
      <w:bodyDiv w:val="1"/>
      <w:marLeft w:val="0"/>
      <w:marRight w:val="0"/>
      <w:marTop w:val="0"/>
      <w:marBottom w:val="0"/>
      <w:divBdr>
        <w:top w:val="none" w:sz="0" w:space="0" w:color="auto"/>
        <w:left w:val="none" w:sz="0" w:space="0" w:color="auto"/>
        <w:bottom w:val="none" w:sz="0" w:space="0" w:color="auto"/>
        <w:right w:val="none" w:sz="0" w:space="0" w:color="auto"/>
      </w:divBdr>
    </w:div>
    <w:div w:id="1970436727">
      <w:bodyDiv w:val="1"/>
      <w:marLeft w:val="0"/>
      <w:marRight w:val="0"/>
      <w:marTop w:val="0"/>
      <w:marBottom w:val="0"/>
      <w:divBdr>
        <w:top w:val="none" w:sz="0" w:space="0" w:color="auto"/>
        <w:left w:val="none" w:sz="0" w:space="0" w:color="auto"/>
        <w:bottom w:val="none" w:sz="0" w:space="0" w:color="auto"/>
        <w:right w:val="none" w:sz="0" w:space="0" w:color="auto"/>
      </w:divBdr>
    </w:div>
    <w:div w:id="1975209969">
      <w:bodyDiv w:val="1"/>
      <w:marLeft w:val="0"/>
      <w:marRight w:val="0"/>
      <w:marTop w:val="0"/>
      <w:marBottom w:val="0"/>
      <w:divBdr>
        <w:top w:val="none" w:sz="0" w:space="0" w:color="auto"/>
        <w:left w:val="none" w:sz="0" w:space="0" w:color="auto"/>
        <w:bottom w:val="none" w:sz="0" w:space="0" w:color="auto"/>
        <w:right w:val="none" w:sz="0" w:space="0" w:color="auto"/>
      </w:divBdr>
    </w:div>
    <w:div w:id="1978563015">
      <w:bodyDiv w:val="1"/>
      <w:marLeft w:val="0"/>
      <w:marRight w:val="0"/>
      <w:marTop w:val="0"/>
      <w:marBottom w:val="0"/>
      <w:divBdr>
        <w:top w:val="none" w:sz="0" w:space="0" w:color="auto"/>
        <w:left w:val="none" w:sz="0" w:space="0" w:color="auto"/>
        <w:bottom w:val="none" w:sz="0" w:space="0" w:color="auto"/>
        <w:right w:val="none" w:sz="0" w:space="0" w:color="auto"/>
      </w:divBdr>
    </w:div>
    <w:div w:id="1986353909">
      <w:bodyDiv w:val="1"/>
      <w:marLeft w:val="0"/>
      <w:marRight w:val="0"/>
      <w:marTop w:val="0"/>
      <w:marBottom w:val="0"/>
      <w:divBdr>
        <w:top w:val="none" w:sz="0" w:space="0" w:color="auto"/>
        <w:left w:val="none" w:sz="0" w:space="0" w:color="auto"/>
        <w:bottom w:val="none" w:sz="0" w:space="0" w:color="auto"/>
        <w:right w:val="none" w:sz="0" w:space="0" w:color="auto"/>
      </w:divBdr>
    </w:div>
    <w:div w:id="1989750064">
      <w:bodyDiv w:val="1"/>
      <w:marLeft w:val="0"/>
      <w:marRight w:val="0"/>
      <w:marTop w:val="0"/>
      <w:marBottom w:val="0"/>
      <w:divBdr>
        <w:top w:val="none" w:sz="0" w:space="0" w:color="auto"/>
        <w:left w:val="none" w:sz="0" w:space="0" w:color="auto"/>
        <w:bottom w:val="none" w:sz="0" w:space="0" w:color="auto"/>
        <w:right w:val="none" w:sz="0" w:space="0" w:color="auto"/>
      </w:divBdr>
    </w:div>
    <w:div w:id="1997219653">
      <w:bodyDiv w:val="1"/>
      <w:marLeft w:val="0"/>
      <w:marRight w:val="0"/>
      <w:marTop w:val="0"/>
      <w:marBottom w:val="0"/>
      <w:divBdr>
        <w:top w:val="none" w:sz="0" w:space="0" w:color="auto"/>
        <w:left w:val="none" w:sz="0" w:space="0" w:color="auto"/>
        <w:bottom w:val="none" w:sz="0" w:space="0" w:color="auto"/>
        <w:right w:val="none" w:sz="0" w:space="0" w:color="auto"/>
      </w:divBdr>
    </w:div>
    <w:div w:id="1999381747">
      <w:bodyDiv w:val="1"/>
      <w:marLeft w:val="0"/>
      <w:marRight w:val="0"/>
      <w:marTop w:val="0"/>
      <w:marBottom w:val="0"/>
      <w:divBdr>
        <w:top w:val="none" w:sz="0" w:space="0" w:color="auto"/>
        <w:left w:val="none" w:sz="0" w:space="0" w:color="auto"/>
        <w:bottom w:val="none" w:sz="0" w:space="0" w:color="auto"/>
        <w:right w:val="none" w:sz="0" w:space="0" w:color="auto"/>
      </w:divBdr>
    </w:div>
    <w:div w:id="2000846836">
      <w:bodyDiv w:val="1"/>
      <w:marLeft w:val="0"/>
      <w:marRight w:val="0"/>
      <w:marTop w:val="0"/>
      <w:marBottom w:val="0"/>
      <w:divBdr>
        <w:top w:val="none" w:sz="0" w:space="0" w:color="auto"/>
        <w:left w:val="none" w:sz="0" w:space="0" w:color="auto"/>
        <w:bottom w:val="none" w:sz="0" w:space="0" w:color="auto"/>
        <w:right w:val="none" w:sz="0" w:space="0" w:color="auto"/>
      </w:divBdr>
    </w:div>
    <w:div w:id="2010981430">
      <w:bodyDiv w:val="1"/>
      <w:marLeft w:val="0"/>
      <w:marRight w:val="0"/>
      <w:marTop w:val="0"/>
      <w:marBottom w:val="0"/>
      <w:divBdr>
        <w:top w:val="none" w:sz="0" w:space="0" w:color="auto"/>
        <w:left w:val="none" w:sz="0" w:space="0" w:color="auto"/>
        <w:bottom w:val="none" w:sz="0" w:space="0" w:color="auto"/>
        <w:right w:val="none" w:sz="0" w:space="0" w:color="auto"/>
      </w:divBdr>
    </w:div>
    <w:div w:id="2014408530">
      <w:bodyDiv w:val="1"/>
      <w:marLeft w:val="0"/>
      <w:marRight w:val="0"/>
      <w:marTop w:val="0"/>
      <w:marBottom w:val="0"/>
      <w:divBdr>
        <w:top w:val="none" w:sz="0" w:space="0" w:color="auto"/>
        <w:left w:val="none" w:sz="0" w:space="0" w:color="auto"/>
        <w:bottom w:val="none" w:sz="0" w:space="0" w:color="auto"/>
        <w:right w:val="none" w:sz="0" w:space="0" w:color="auto"/>
      </w:divBdr>
    </w:div>
    <w:div w:id="2026781874">
      <w:bodyDiv w:val="1"/>
      <w:marLeft w:val="0"/>
      <w:marRight w:val="0"/>
      <w:marTop w:val="0"/>
      <w:marBottom w:val="0"/>
      <w:divBdr>
        <w:top w:val="none" w:sz="0" w:space="0" w:color="auto"/>
        <w:left w:val="none" w:sz="0" w:space="0" w:color="auto"/>
        <w:bottom w:val="none" w:sz="0" w:space="0" w:color="auto"/>
        <w:right w:val="none" w:sz="0" w:space="0" w:color="auto"/>
      </w:divBdr>
      <w:divsChild>
        <w:div w:id="1005404541">
          <w:marLeft w:val="994"/>
          <w:marRight w:val="0"/>
          <w:marTop w:val="0"/>
          <w:marBottom w:val="0"/>
          <w:divBdr>
            <w:top w:val="none" w:sz="0" w:space="0" w:color="auto"/>
            <w:left w:val="none" w:sz="0" w:space="0" w:color="auto"/>
            <w:bottom w:val="none" w:sz="0" w:space="0" w:color="auto"/>
            <w:right w:val="none" w:sz="0" w:space="0" w:color="auto"/>
          </w:divBdr>
        </w:div>
      </w:divsChild>
    </w:div>
    <w:div w:id="2030643977">
      <w:bodyDiv w:val="1"/>
      <w:marLeft w:val="0"/>
      <w:marRight w:val="0"/>
      <w:marTop w:val="0"/>
      <w:marBottom w:val="0"/>
      <w:divBdr>
        <w:top w:val="none" w:sz="0" w:space="0" w:color="auto"/>
        <w:left w:val="none" w:sz="0" w:space="0" w:color="auto"/>
        <w:bottom w:val="none" w:sz="0" w:space="0" w:color="auto"/>
        <w:right w:val="none" w:sz="0" w:space="0" w:color="auto"/>
      </w:divBdr>
      <w:divsChild>
        <w:div w:id="38676052">
          <w:marLeft w:val="720"/>
          <w:marRight w:val="0"/>
          <w:marTop w:val="0"/>
          <w:marBottom w:val="0"/>
          <w:divBdr>
            <w:top w:val="none" w:sz="0" w:space="0" w:color="auto"/>
            <w:left w:val="none" w:sz="0" w:space="0" w:color="auto"/>
            <w:bottom w:val="none" w:sz="0" w:space="0" w:color="auto"/>
            <w:right w:val="none" w:sz="0" w:space="0" w:color="auto"/>
          </w:divBdr>
        </w:div>
      </w:divsChild>
    </w:div>
    <w:div w:id="2043748092">
      <w:bodyDiv w:val="1"/>
      <w:marLeft w:val="0"/>
      <w:marRight w:val="0"/>
      <w:marTop w:val="0"/>
      <w:marBottom w:val="0"/>
      <w:divBdr>
        <w:top w:val="none" w:sz="0" w:space="0" w:color="auto"/>
        <w:left w:val="none" w:sz="0" w:space="0" w:color="auto"/>
        <w:bottom w:val="none" w:sz="0" w:space="0" w:color="auto"/>
        <w:right w:val="none" w:sz="0" w:space="0" w:color="auto"/>
      </w:divBdr>
    </w:div>
    <w:div w:id="2044136513">
      <w:bodyDiv w:val="1"/>
      <w:marLeft w:val="0"/>
      <w:marRight w:val="0"/>
      <w:marTop w:val="0"/>
      <w:marBottom w:val="0"/>
      <w:divBdr>
        <w:top w:val="none" w:sz="0" w:space="0" w:color="auto"/>
        <w:left w:val="none" w:sz="0" w:space="0" w:color="auto"/>
        <w:bottom w:val="none" w:sz="0" w:space="0" w:color="auto"/>
        <w:right w:val="none" w:sz="0" w:space="0" w:color="auto"/>
      </w:divBdr>
    </w:div>
    <w:div w:id="2046561296">
      <w:bodyDiv w:val="1"/>
      <w:marLeft w:val="0"/>
      <w:marRight w:val="0"/>
      <w:marTop w:val="0"/>
      <w:marBottom w:val="0"/>
      <w:divBdr>
        <w:top w:val="none" w:sz="0" w:space="0" w:color="auto"/>
        <w:left w:val="none" w:sz="0" w:space="0" w:color="auto"/>
        <w:bottom w:val="none" w:sz="0" w:space="0" w:color="auto"/>
        <w:right w:val="none" w:sz="0" w:space="0" w:color="auto"/>
      </w:divBdr>
      <w:divsChild>
        <w:div w:id="558176918">
          <w:marLeft w:val="720"/>
          <w:marRight w:val="0"/>
          <w:marTop w:val="0"/>
          <w:marBottom w:val="0"/>
          <w:divBdr>
            <w:top w:val="none" w:sz="0" w:space="0" w:color="auto"/>
            <w:left w:val="none" w:sz="0" w:space="0" w:color="auto"/>
            <w:bottom w:val="none" w:sz="0" w:space="0" w:color="auto"/>
            <w:right w:val="none" w:sz="0" w:space="0" w:color="auto"/>
          </w:divBdr>
        </w:div>
      </w:divsChild>
    </w:div>
    <w:div w:id="2055343651">
      <w:bodyDiv w:val="1"/>
      <w:marLeft w:val="0"/>
      <w:marRight w:val="0"/>
      <w:marTop w:val="0"/>
      <w:marBottom w:val="0"/>
      <w:divBdr>
        <w:top w:val="none" w:sz="0" w:space="0" w:color="auto"/>
        <w:left w:val="none" w:sz="0" w:space="0" w:color="auto"/>
        <w:bottom w:val="none" w:sz="0" w:space="0" w:color="auto"/>
        <w:right w:val="none" w:sz="0" w:space="0" w:color="auto"/>
      </w:divBdr>
    </w:div>
    <w:div w:id="2064525859">
      <w:bodyDiv w:val="1"/>
      <w:marLeft w:val="0"/>
      <w:marRight w:val="0"/>
      <w:marTop w:val="0"/>
      <w:marBottom w:val="0"/>
      <w:divBdr>
        <w:top w:val="none" w:sz="0" w:space="0" w:color="auto"/>
        <w:left w:val="none" w:sz="0" w:space="0" w:color="auto"/>
        <w:bottom w:val="none" w:sz="0" w:space="0" w:color="auto"/>
        <w:right w:val="none" w:sz="0" w:space="0" w:color="auto"/>
      </w:divBdr>
    </w:div>
    <w:div w:id="2067874371">
      <w:bodyDiv w:val="1"/>
      <w:marLeft w:val="0"/>
      <w:marRight w:val="0"/>
      <w:marTop w:val="0"/>
      <w:marBottom w:val="0"/>
      <w:divBdr>
        <w:top w:val="none" w:sz="0" w:space="0" w:color="auto"/>
        <w:left w:val="none" w:sz="0" w:space="0" w:color="auto"/>
        <w:bottom w:val="none" w:sz="0" w:space="0" w:color="auto"/>
        <w:right w:val="none" w:sz="0" w:space="0" w:color="auto"/>
      </w:divBdr>
    </w:div>
    <w:div w:id="2068068960">
      <w:bodyDiv w:val="1"/>
      <w:marLeft w:val="0"/>
      <w:marRight w:val="0"/>
      <w:marTop w:val="0"/>
      <w:marBottom w:val="0"/>
      <w:divBdr>
        <w:top w:val="none" w:sz="0" w:space="0" w:color="auto"/>
        <w:left w:val="none" w:sz="0" w:space="0" w:color="auto"/>
        <w:bottom w:val="none" w:sz="0" w:space="0" w:color="auto"/>
        <w:right w:val="none" w:sz="0" w:space="0" w:color="auto"/>
      </w:divBdr>
    </w:div>
    <w:div w:id="2073000613">
      <w:bodyDiv w:val="1"/>
      <w:marLeft w:val="0"/>
      <w:marRight w:val="0"/>
      <w:marTop w:val="0"/>
      <w:marBottom w:val="0"/>
      <w:divBdr>
        <w:top w:val="none" w:sz="0" w:space="0" w:color="auto"/>
        <w:left w:val="none" w:sz="0" w:space="0" w:color="auto"/>
        <w:bottom w:val="none" w:sz="0" w:space="0" w:color="auto"/>
        <w:right w:val="none" w:sz="0" w:space="0" w:color="auto"/>
      </w:divBdr>
    </w:div>
    <w:div w:id="2074886887">
      <w:bodyDiv w:val="1"/>
      <w:marLeft w:val="0"/>
      <w:marRight w:val="0"/>
      <w:marTop w:val="0"/>
      <w:marBottom w:val="0"/>
      <w:divBdr>
        <w:top w:val="none" w:sz="0" w:space="0" w:color="auto"/>
        <w:left w:val="none" w:sz="0" w:space="0" w:color="auto"/>
        <w:bottom w:val="none" w:sz="0" w:space="0" w:color="auto"/>
        <w:right w:val="none" w:sz="0" w:space="0" w:color="auto"/>
      </w:divBdr>
    </w:div>
    <w:div w:id="2075546797">
      <w:bodyDiv w:val="1"/>
      <w:marLeft w:val="0"/>
      <w:marRight w:val="0"/>
      <w:marTop w:val="0"/>
      <w:marBottom w:val="0"/>
      <w:divBdr>
        <w:top w:val="none" w:sz="0" w:space="0" w:color="auto"/>
        <w:left w:val="none" w:sz="0" w:space="0" w:color="auto"/>
        <w:bottom w:val="none" w:sz="0" w:space="0" w:color="auto"/>
        <w:right w:val="none" w:sz="0" w:space="0" w:color="auto"/>
      </w:divBdr>
    </w:div>
    <w:div w:id="2088265017">
      <w:bodyDiv w:val="1"/>
      <w:marLeft w:val="0"/>
      <w:marRight w:val="0"/>
      <w:marTop w:val="0"/>
      <w:marBottom w:val="0"/>
      <w:divBdr>
        <w:top w:val="none" w:sz="0" w:space="0" w:color="auto"/>
        <w:left w:val="none" w:sz="0" w:space="0" w:color="auto"/>
        <w:bottom w:val="none" w:sz="0" w:space="0" w:color="auto"/>
        <w:right w:val="none" w:sz="0" w:space="0" w:color="auto"/>
      </w:divBdr>
    </w:div>
    <w:div w:id="2088375490">
      <w:bodyDiv w:val="1"/>
      <w:marLeft w:val="0"/>
      <w:marRight w:val="0"/>
      <w:marTop w:val="0"/>
      <w:marBottom w:val="0"/>
      <w:divBdr>
        <w:top w:val="none" w:sz="0" w:space="0" w:color="auto"/>
        <w:left w:val="none" w:sz="0" w:space="0" w:color="auto"/>
        <w:bottom w:val="none" w:sz="0" w:space="0" w:color="auto"/>
        <w:right w:val="none" w:sz="0" w:space="0" w:color="auto"/>
      </w:divBdr>
    </w:div>
    <w:div w:id="2097359892">
      <w:bodyDiv w:val="1"/>
      <w:marLeft w:val="0"/>
      <w:marRight w:val="0"/>
      <w:marTop w:val="0"/>
      <w:marBottom w:val="0"/>
      <w:divBdr>
        <w:top w:val="none" w:sz="0" w:space="0" w:color="auto"/>
        <w:left w:val="none" w:sz="0" w:space="0" w:color="auto"/>
        <w:bottom w:val="none" w:sz="0" w:space="0" w:color="auto"/>
        <w:right w:val="none" w:sz="0" w:space="0" w:color="auto"/>
      </w:divBdr>
    </w:div>
    <w:div w:id="2098749665">
      <w:bodyDiv w:val="1"/>
      <w:marLeft w:val="0"/>
      <w:marRight w:val="0"/>
      <w:marTop w:val="0"/>
      <w:marBottom w:val="0"/>
      <w:divBdr>
        <w:top w:val="none" w:sz="0" w:space="0" w:color="auto"/>
        <w:left w:val="none" w:sz="0" w:space="0" w:color="auto"/>
        <w:bottom w:val="none" w:sz="0" w:space="0" w:color="auto"/>
        <w:right w:val="none" w:sz="0" w:space="0" w:color="auto"/>
      </w:divBdr>
    </w:div>
    <w:div w:id="2099016493">
      <w:bodyDiv w:val="1"/>
      <w:marLeft w:val="0"/>
      <w:marRight w:val="0"/>
      <w:marTop w:val="0"/>
      <w:marBottom w:val="0"/>
      <w:divBdr>
        <w:top w:val="none" w:sz="0" w:space="0" w:color="auto"/>
        <w:left w:val="none" w:sz="0" w:space="0" w:color="auto"/>
        <w:bottom w:val="none" w:sz="0" w:space="0" w:color="auto"/>
        <w:right w:val="none" w:sz="0" w:space="0" w:color="auto"/>
      </w:divBdr>
    </w:div>
    <w:div w:id="2106030810">
      <w:bodyDiv w:val="1"/>
      <w:marLeft w:val="0"/>
      <w:marRight w:val="0"/>
      <w:marTop w:val="0"/>
      <w:marBottom w:val="0"/>
      <w:divBdr>
        <w:top w:val="none" w:sz="0" w:space="0" w:color="auto"/>
        <w:left w:val="none" w:sz="0" w:space="0" w:color="auto"/>
        <w:bottom w:val="none" w:sz="0" w:space="0" w:color="auto"/>
        <w:right w:val="none" w:sz="0" w:space="0" w:color="auto"/>
      </w:divBdr>
    </w:div>
    <w:div w:id="2110268119">
      <w:bodyDiv w:val="1"/>
      <w:marLeft w:val="0"/>
      <w:marRight w:val="0"/>
      <w:marTop w:val="0"/>
      <w:marBottom w:val="0"/>
      <w:divBdr>
        <w:top w:val="none" w:sz="0" w:space="0" w:color="auto"/>
        <w:left w:val="none" w:sz="0" w:space="0" w:color="auto"/>
        <w:bottom w:val="none" w:sz="0" w:space="0" w:color="auto"/>
        <w:right w:val="none" w:sz="0" w:space="0" w:color="auto"/>
      </w:divBdr>
    </w:div>
    <w:div w:id="2113822027">
      <w:bodyDiv w:val="1"/>
      <w:marLeft w:val="0"/>
      <w:marRight w:val="0"/>
      <w:marTop w:val="0"/>
      <w:marBottom w:val="0"/>
      <w:divBdr>
        <w:top w:val="none" w:sz="0" w:space="0" w:color="auto"/>
        <w:left w:val="none" w:sz="0" w:space="0" w:color="auto"/>
        <w:bottom w:val="none" w:sz="0" w:space="0" w:color="auto"/>
        <w:right w:val="none" w:sz="0" w:space="0" w:color="auto"/>
      </w:divBdr>
      <w:divsChild>
        <w:div w:id="144324668">
          <w:marLeft w:val="720"/>
          <w:marRight w:val="0"/>
          <w:marTop w:val="0"/>
          <w:marBottom w:val="160"/>
          <w:divBdr>
            <w:top w:val="none" w:sz="0" w:space="0" w:color="auto"/>
            <w:left w:val="none" w:sz="0" w:space="0" w:color="auto"/>
            <w:bottom w:val="none" w:sz="0" w:space="0" w:color="auto"/>
            <w:right w:val="none" w:sz="0" w:space="0" w:color="auto"/>
          </w:divBdr>
        </w:div>
        <w:div w:id="549222077">
          <w:marLeft w:val="720"/>
          <w:marRight w:val="0"/>
          <w:marTop w:val="0"/>
          <w:marBottom w:val="160"/>
          <w:divBdr>
            <w:top w:val="none" w:sz="0" w:space="0" w:color="auto"/>
            <w:left w:val="none" w:sz="0" w:space="0" w:color="auto"/>
            <w:bottom w:val="none" w:sz="0" w:space="0" w:color="auto"/>
            <w:right w:val="none" w:sz="0" w:space="0" w:color="auto"/>
          </w:divBdr>
        </w:div>
        <w:div w:id="956448519">
          <w:marLeft w:val="720"/>
          <w:marRight w:val="0"/>
          <w:marTop w:val="0"/>
          <w:marBottom w:val="160"/>
          <w:divBdr>
            <w:top w:val="none" w:sz="0" w:space="0" w:color="auto"/>
            <w:left w:val="none" w:sz="0" w:space="0" w:color="auto"/>
            <w:bottom w:val="none" w:sz="0" w:space="0" w:color="auto"/>
            <w:right w:val="none" w:sz="0" w:space="0" w:color="auto"/>
          </w:divBdr>
        </w:div>
        <w:div w:id="1005092112">
          <w:marLeft w:val="720"/>
          <w:marRight w:val="0"/>
          <w:marTop w:val="0"/>
          <w:marBottom w:val="160"/>
          <w:divBdr>
            <w:top w:val="none" w:sz="0" w:space="0" w:color="auto"/>
            <w:left w:val="none" w:sz="0" w:space="0" w:color="auto"/>
            <w:bottom w:val="none" w:sz="0" w:space="0" w:color="auto"/>
            <w:right w:val="none" w:sz="0" w:space="0" w:color="auto"/>
          </w:divBdr>
        </w:div>
        <w:div w:id="1725836033">
          <w:marLeft w:val="720"/>
          <w:marRight w:val="0"/>
          <w:marTop w:val="0"/>
          <w:marBottom w:val="160"/>
          <w:divBdr>
            <w:top w:val="none" w:sz="0" w:space="0" w:color="auto"/>
            <w:left w:val="none" w:sz="0" w:space="0" w:color="auto"/>
            <w:bottom w:val="none" w:sz="0" w:space="0" w:color="auto"/>
            <w:right w:val="none" w:sz="0" w:space="0" w:color="auto"/>
          </w:divBdr>
        </w:div>
      </w:divsChild>
    </w:div>
    <w:div w:id="2114860127">
      <w:bodyDiv w:val="1"/>
      <w:marLeft w:val="0"/>
      <w:marRight w:val="0"/>
      <w:marTop w:val="0"/>
      <w:marBottom w:val="0"/>
      <w:divBdr>
        <w:top w:val="none" w:sz="0" w:space="0" w:color="auto"/>
        <w:left w:val="none" w:sz="0" w:space="0" w:color="auto"/>
        <w:bottom w:val="none" w:sz="0" w:space="0" w:color="auto"/>
        <w:right w:val="none" w:sz="0" w:space="0" w:color="auto"/>
      </w:divBdr>
    </w:div>
    <w:div w:id="2125536418">
      <w:bodyDiv w:val="1"/>
      <w:marLeft w:val="0"/>
      <w:marRight w:val="0"/>
      <w:marTop w:val="0"/>
      <w:marBottom w:val="0"/>
      <w:divBdr>
        <w:top w:val="none" w:sz="0" w:space="0" w:color="auto"/>
        <w:left w:val="none" w:sz="0" w:space="0" w:color="auto"/>
        <w:bottom w:val="none" w:sz="0" w:space="0" w:color="auto"/>
        <w:right w:val="none" w:sz="0" w:space="0" w:color="auto"/>
      </w:divBdr>
    </w:div>
    <w:div w:id="2126579599">
      <w:bodyDiv w:val="1"/>
      <w:marLeft w:val="0"/>
      <w:marRight w:val="0"/>
      <w:marTop w:val="0"/>
      <w:marBottom w:val="0"/>
      <w:divBdr>
        <w:top w:val="none" w:sz="0" w:space="0" w:color="auto"/>
        <w:left w:val="none" w:sz="0" w:space="0" w:color="auto"/>
        <w:bottom w:val="none" w:sz="0" w:space="0" w:color="auto"/>
        <w:right w:val="none" w:sz="0" w:space="0" w:color="auto"/>
      </w:divBdr>
    </w:div>
    <w:div w:id="2128234250">
      <w:bodyDiv w:val="1"/>
      <w:marLeft w:val="0"/>
      <w:marRight w:val="0"/>
      <w:marTop w:val="0"/>
      <w:marBottom w:val="0"/>
      <w:divBdr>
        <w:top w:val="none" w:sz="0" w:space="0" w:color="auto"/>
        <w:left w:val="none" w:sz="0" w:space="0" w:color="auto"/>
        <w:bottom w:val="none" w:sz="0" w:space="0" w:color="auto"/>
        <w:right w:val="none" w:sz="0" w:space="0" w:color="auto"/>
      </w:divBdr>
    </w:div>
    <w:div w:id="2130274744">
      <w:bodyDiv w:val="1"/>
      <w:marLeft w:val="0"/>
      <w:marRight w:val="0"/>
      <w:marTop w:val="0"/>
      <w:marBottom w:val="0"/>
      <w:divBdr>
        <w:top w:val="none" w:sz="0" w:space="0" w:color="auto"/>
        <w:left w:val="none" w:sz="0" w:space="0" w:color="auto"/>
        <w:bottom w:val="none" w:sz="0" w:space="0" w:color="auto"/>
        <w:right w:val="none" w:sz="0" w:space="0" w:color="auto"/>
      </w:divBdr>
    </w:div>
    <w:div w:id="2137022069">
      <w:bodyDiv w:val="1"/>
      <w:marLeft w:val="0"/>
      <w:marRight w:val="0"/>
      <w:marTop w:val="0"/>
      <w:marBottom w:val="0"/>
      <w:divBdr>
        <w:top w:val="none" w:sz="0" w:space="0" w:color="auto"/>
        <w:left w:val="none" w:sz="0" w:space="0" w:color="auto"/>
        <w:bottom w:val="none" w:sz="0" w:space="0" w:color="auto"/>
        <w:right w:val="none" w:sz="0" w:space="0" w:color="auto"/>
      </w:divBdr>
    </w:div>
    <w:div w:id="2137485576">
      <w:bodyDiv w:val="1"/>
      <w:marLeft w:val="0"/>
      <w:marRight w:val="0"/>
      <w:marTop w:val="0"/>
      <w:marBottom w:val="0"/>
      <w:divBdr>
        <w:top w:val="none" w:sz="0" w:space="0" w:color="auto"/>
        <w:left w:val="none" w:sz="0" w:space="0" w:color="auto"/>
        <w:bottom w:val="none" w:sz="0" w:space="0" w:color="auto"/>
        <w:right w:val="none" w:sz="0" w:space="0" w:color="auto"/>
      </w:divBdr>
    </w:div>
    <w:div w:id="2140222711">
      <w:bodyDiv w:val="1"/>
      <w:marLeft w:val="0"/>
      <w:marRight w:val="0"/>
      <w:marTop w:val="0"/>
      <w:marBottom w:val="0"/>
      <w:divBdr>
        <w:top w:val="none" w:sz="0" w:space="0" w:color="auto"/>
        <w:left w:val="none" w:sz="0" w:space="0" w:color="auto"/>
        <w:bottom w:val="none" w:sz="0" w:space="0" w:color="auto"/>
        <w:right w:val="none" w:sz="0" w:space="0" w:color="auto"/>
      </w:divBdr>
    </w:div>
    <w:div w:id="2140413193">
      <w:bodyDiv w:val="1"/>
      <w:marLeft w:val="0"/>
      <w:marRight w:val="0"/>
      <w:marTop w:val="0"/>
      <w:marBottom w:val="0"/>
      <w:divBdr>
        <w:top w:val="none" w:sz="0" w:space="0" w:color="auto"/>
        <w:left w:val="none" w:sz="0" w:space="0" w:color="auto"/>
        <w:bottom w:val="none" w:sz="0" w:space="0" w:color="auto"/>
        <w:right w:val="none" w:sz="0" w:space="0" w:color="auto"/>
      </w:divBdr>
    </w:div>
    <w:div w:id="2143962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theme" Target="theme/theme1.xml"/><Relationship Id="rId21" Type="http://schemas.openxmlformats.org/officeDocument/2006/relationships/image" Target="media/image6.png"/><Relationship Id="rId42" Type="http://schemas.openxmlformats.org/officeDocument/2006/relationships/image" Target="media/image26.png"/><Relationship Id="rId47" Type="http://schemas.openxmlformats.org/officeDocument/2006/relationships/image" Target="media/image29.png"/><Relationship Id="rId63" Type="http://schemas.openxmlformats.org/officeDocument/2006/relationships/chart" Target="charts/chart6.xml"/><Relationship Id="rId68" Type="http://schemas.openxmlformats.org/officeDocument/2006/relationships/header" Target="header1.xml"/><Relationship Id="rId84" Type="http://schemas.openxmlformats.org/officeDocument/2006/relationships/image" Target="media/image58.png"/><Relationship Id="rId89" Type="http://schemas.openxmlformats.org/officeDocument/2006/relationships/image" Target="media/image63.png"/><Relationship Id="rId112" Type="http://schemas.openxmlformats.org/officeDocument/2006/relationships/diagramQuickStyle" Target="diagrams/quickStyle1.xml"/><Relationship Id="rId16" Type="http://schemas.openxmlformats.org/officeDocument/2006/relationships/image" Target="media/image1.png"/><Relationship Id="rId107" Type="http://schemas.openxmlformats.org/officeDocument/2006/relationships/image" Target="media/image81.png"/><Relationship Id="rId11" Type="http://schemas.openxmlformats.org/officeDocument/2006/relationships/hyperlink" Target="https://ec.europa.eu/info/files/communication-new-eu-forest-strategy-2030" TargetMode="Externa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2.png"/><Relationship Id="rId58" Type="http://schemas.openxmlformats.org/officeDocument/2006/relationships/chart" Target="charts/chart4.xml"/><Relationship Id="rId74" Type="http://schemas.openxmlformats.org/officeDocument/2006/relationships/image" Target="media/image48.png"/><Relationship Id="rId79" Type="http://schemas.openxmlformats.org/officeDocument/2006/relationships/image" Target="media/image53.png"/><Relationship Id="rId102" Type="http://schemas.openxmlformats.org/officeDocument/2006/relationships/image" Target="media/image76.png"/><Relationship Id="rId5" Type="http://schemas.openxmlformats.org/officeDocument/2006/relationships/numbering" Target="numbering.xml"/><Relationship Id="rId90" Type="http://schemas.openxmlformats.org/officeDocument/2006/relationships/image" Target="media/image64.png"/><Relationship Id="rId95" Type="http://schemas.openxmlformats.org/officeDocument/2006/relationships/image" Target="media/image69.png"/><Relationship Id="rId22" Type="http://schemas.openxmlformats.org/officeDocument/2006/relationships/image" Target="media/image7.png"/><Relationship Id="rId27" Type="http://schemas.openxmlformats.org/officeDocument/2006/relationships/hyperlink" Target="https://www.ujn.gov.rs/?page_id=1195" TargetMode="External"/><Relationship Id="rId43" Type="http://schemas.openxmlformats.org/officeDocument/2006/relationships/image" Target="media/image27.emf"/><Relationship Id="rId48" Type="http://schemas.openxmlformats.org/officeDocument/2006/relationships/image" Target="media/image30.png"/><Relationship Id="rId64" Type="http://schemas.openxmlformats.org/officeDocument/2006/relationships/image" Target="media/image40.png"/><Relationship Id="rId69" Type="http://schemas.openxmlformats.org/officeDocument/2006/relationships/footer" Target="footer1.xml"/><Relationship Id="rId113" Type="http://schemas.openxmlformats.org/officeDocument/2006/relationships/diagramColors" Target="diagrams/colors1.xml"/><Relationship Id="rId80" Type="http://schemas.openxmlformats.org/officeDocument/2006/relationships/image" Target="media/image54.png"/><Relationship Id="rId85" Type="http://schemas.openxmlformats.org/officeDocument/2006/relationships/image" Target="media/image59.png"/><Relationship Id="rId12" Type="http://schemas.openxmlformats.org/officeDocument/2006/relationships/hyperlink" Target="https://ec.europa.eu/info/strategy/priorities-2019-2024/european-green-deal_en" TargetMode="External"/><Relationship Id="rId17" Type="http://schemas.openxmlformats.org/officeDocument/2006/relationships/image" Target="media/image2.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chart" Target="charts/chart5.xml"/><Relationship Id="rId103" Type="http://schemas.openxmlformats.org/officeDocument/2006/relationships/image" Target="media/image77.png"/><Relationship Id="rId108" Type="http://schemas.openxmlformats.org/officeDocument/2006/relationships/image" Target="media/image82.emf"/><Relationship Id="rId54" Type="http://schemas.openxmlformats.org/officeDocument/2006/relationships/image" Target="media/image33.png"/><Relationship Id="rId70" Type="http://schemas.openxmlformats.org/officeDocument/2006/relationships/image" Target="media/image44.jpeg"/><Relationship Id="rId75" Type="http://schemas.openxmlformats.org/officeDocument/2006/relationships/image" Target="media/image49.png"/><Relationship Id="rId91" Type="http://schemas.openxmlformats.org/officeDocument/2006/relationships/image" Target="media/image65.png"/><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2.png"/><Relationship Id="rId49" Type="http://schemas.openxmlformats.org/officeDocument/2006/relationships/chart" Target="charts/chart2.xml"/><Relationship Id="rId114" Type="http://schemas.microsoft.com/office/2007/relationships/diagramDrawing" Target="diagrams/drawing1.xm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chart" Target="charts/chart3.xml"/><Relationship Id="rId60" Type="http://schemas.openxmlformats.org/officeDocument/2006/relationships/image" Target="media/image37.png"/><Relationship Id="rId65" Type="http://schemas.openxmlformats.org/officeDocument/2006/relationships/image" Target="media/image41.png"/><Relationship Id="rId73" Type="http://schemas.openxmlformats.org/officeDocument/2006/relationships/image" Target="media/image47.jpe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image" Target="media/image60.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c.europa.eu/commission/presscorner/detail/en/ip_20_335" TargetMode="External"/><Relationship Id="rId18" Type="http://schemas.openxmlformats.org/officeDocument/2006/relationships/image" Target="media/image3.png"/><Relationship Id="rId39" Type="http://schemas.openxmlformats.org/officeDocument/2006/relationships/image" Target="media/image23.png"/><Relationship Id="rId109" Type="http://schemas.openxmlformats.org/officeDocument/2006/relationships/chart" Target="charts/chart7.xml"/><Relationship Id="rId34" Type="http://schemas.openxmlformats.org/officeDocument/2006/relationships/image" Target="media/image18.png"/><Relationship Id="rId50" Type="http://schemas.openxmlformats.org/officeDocument/2006/relationships/hyperlink" Target="https://www.upravazasume.gov.rs" TargetMode="External"/><Relationship Id="rId55" Type="http://schemas.openxmlformats.org/officeDocument/2006/relationships/image" Target="media/image34.png"/><Relationship Id="rId76" Type="http://schemas.openxmlformats.org/officeDocument/2006/relationships/image" Target="media/image50.png"/><Relationship Id="rId97" Type="http://schemas.openxmlformats.org/officeDocument/2006/relationships/image" Target="media/image71.png"/><Relationship Id="rId104" Type="http://schemas.openxmlformats.org/officeDocument/2006/relationships/image" Target="media/image78.png"/><Relationship Id="rId7" Type="http://schemas.openxmlformats.org/officeDocument/2006/relationships/settings" Target="settings.xml"/><Relationship Id="rId71" Type="http://schemas.openxmlformats.org/officeDocument/2006/relationships/image" Target="media/image45.png"/><Relationship Id="rId92" Type="http://schemas.openxmlformats.org/officeDocument/2006/relationships/image" Target="media/image66.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9.png"/><Relationship Id="rId40" Type="http://schemas.openxmlformats.org/officeDocument/2006/relationships/image" Target="media/image24.png"/><Relationship Id="rId45" Type="http://schemas.openxmlformats.org/officeDocument/2006/relationships/chart" Target="charts/chart1.xml"/><Relationship Id="rId66" Type="http://schemas.openxmlformats.org/officeDocument/2006/relationships/image" Target="media/image42.png"/><Relationship Id="rId87" Type="http://schemas.openxmlformats.org/officeDocument/2006/relationships/image" Target="media/image61.png"/><Relationship Id="rId110" Type="http://schemas.openxmlformats.org/officeDocument/2006/relationships/diagramData" Target="diagrams/data1.xml"/><Relationship Id="rId115" Type="http://schemas.openxmlformats.org/officeDocument/2006/relationships/footer" Target="footer2.xml"/><Relationship Id="rId61" Type="http://schemas.openxmlformats.org/officeDocument/2006/relationships/image" Target="media/image38.png"/><Relationship Id="rId82" Type="http://schemas.openxmlformats.org/officeDocument/2006/relationships/image" Target="media/image56.png"/><Relationship Id="rId19" Type="http://schemas.openxmlformats.org/officeDocument/2006/relationships/image" Target="media/image4.png"/><Relationship Id="rId14" Type="http://schemas.openxmlformats.org/officeDocument/2006/relationships/hyperlink" Target="https://www.poverenik.rs/images/stories/dokumentacija-nova/medjunarodna-dokumenta/SLOBODAN-PRISTUP/UJEDINJENE-NACIJE/konvencijaodostupnostiinformacijaLAT.doc" TargetMode="Externa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35.png"/><Relationship Id="rId77" Type="http://schemas.openxmlformats.org/officeDocument/2006/relationships/image" Target="media/image51.png"/><Relationship Id="rId100" Type="http://schemas.openxmlformats.org/officeDocument/2006/relationships/image" Target="media/image74.png"/><Relationship Id="rId105" Type="http://schemas.openxmlformats.org/officeDocument/2006/relationships/image" Target="media/image79.png"/><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image" Target="media/image46.png"/><Relationship Id="rId93" Type="http://schemas.openxmlformats.org/officeDocument/2006/relationships/image" Target="media/image67.png"/><Relationship Id="rId98" Type="http://schemas.openxmlformats.org/officeDocument/2006/relationships/image" Target="media/image72.pn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hyperlink" Target="http://www.sepa.gov.rs" TargetMode="External"/><Relationship Id="rId67" Type="http://schemas.openxmlformats.org/officeDocument/2006/relationships/image" Target="media/image43.png"/><Relationship Id="rId11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5.png"/><Relationship Id="rId62" Type="http://schemas.openxmlformats.org/officeDocument/2006/relationships/image" Target="media/image39.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diagramLayout" Target="diagrams/layout1.xml"/><Relationship Id="rId15" Type="http://schemas.openxmlformats.org/officeDocument/2006/relationships/hyperlink" Target="https://www.poverenik.rs/images/stories/dokumentacija-nova/medjunarodna-dokumenta/SLOBODAN-PRISTUP/UJEDINJENE-NACIJE/konvencijaodostupnostiinformacijaLAT.doc" TargetMode="External"/><Relationship Id="rId36" Type="http://schemas.openxmlformats.org/officeDocument/2006/relationships/image" Target="media/image20.png"/><Relationship Id="rId57" Type="http://schemas.openxmlformats.org/officeDocument/2006/relationships/image" Target="media/image36.emf"/><Relationship Id="rId106" Type="http://schemas.openxmlformats.org/officeDocument/2006/relationships/image" Target="media/image80.png"/></Relationships>
</file>

<file path=word/_rels/footnotes.xml.rels><?xml version="1.0" encoding="UTF-8" standalone="yes"?>
<Relationships xmlns="http://schemas.openxmlformats.org/package/2006/relationships"><Relationship Id="rId8" Type="http://schemas.openxmlformats.org/officeDocument/2006/relationships/hyperlink" Target="https://uap.gov.rs/ipard-iii-podrska-ruralnom-razvoju/" TargetMode="External"/><Relationship Id="rId3" Type="http://schemas.openxmlformats.org/officeDocument/2006/relationships/hyperlink" Target="https://data.unccd.int/country-overview?country=SRB" TargetMode="External"/><Relationship Id="rId7" Type="http://schemas.openxmlformats.org/officeDocument/2006/relationships/hyperlink" Target="http://www.sepa.gov.rs/download/Izvestaj_2023_usvojen.pdf" TargetMode="External"/><Relationship Id="rId2" Type="http://schemas.openxmlformats.org/officeDocument/2006/relationships/hyperlink" Target="https://www.unccd.int/commitment/ldn-tsp-country-report-46" TargetMode="External"/><Relationship Id="rId1" Type="http://schemas.openxmlformats.org/officeDocument/2006/relationships/hyperlink" Target="http://eupodrska.ujn.gov.rs/dokumenta/" TargetMode="External"/><Relationship Id="rId6" Type="http://schemas.openxmlformats.org/officeDocument/2006/relationships/hyperlink" Target="http://www.sepa.gov.rs/download/Izvestaj_2022_usvojen.pdf" TargetMode="External"/><Relationship Id="rId5" Type="http://schemas.openxmlformats.org/officeDocument/2006/relationships/hyperlink" Target="https://publikacije.stat.gov.rs/G2023/Doc/G20231311.docx" TargetMode="External"/><Relationship Id="rId4" Type="http://schemas.openxmlformats.org/officeDocument/2006/relationships/hyperlink" Target="https://www.fiskalnisavet.rs/doc/analize-stavovi-predlozi/FS-Rezime-Investicije-u-zastitu-zivotne-sredine.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1580e73a356b2605/Documents/Projekti/2023_UNDP_Strategija%20zastite%20zivotne%20sredine/Short%20analysis%20of%20Investments-1.xlsx"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1580e73a356b2605/Documents/Projekti/2023_UNDP_Strategija%20zastite%20zivotne%20sredine/4_Model/Scenario.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r-Cyrl-RS" sz="1200" b="1">
                <a:solidFill>
                  <a:sysClr val="windowText" lastClr="000000"/>
                </a:solidFill>
              </a:rPr>
              <a:t>Број биоцидних производа стављених на тржиште Републике Србије по годинама</a:t>
            </a:r>
            <a:endParaRPr lang="en-GB"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rgbClr val="0070C0"/>
            </a:solidFill>
            <a:ln cap="sq">
              <a:gradFill flip="none" rotWithShape="1">
                <a:gsLst>
                  <a:gs pos="95000">
                    <a:srgbClr val="0070C0">
                      <a:lumMod val="96000"/>
                      <a:lumOff val="4000"/>
                    </a:srgbClr>
                  </a:gs>
                  <a:gs pos="48000">
                    <a:schemeClr val="accent1">
                      <a:lumMod val="97000"/>
                      <a:lumOff val="3000"/>
                    </a:schemeClr>
                  </a:gs>
                  <a:gs pos="100000">
                    <a:schemeClr val="accent1">
                      <a:lumMod val="60000"/>
                      <a:lumOff val="40000"/>
                    </a:schemeClr>
                  </a:gs>
                </a:gsLst>
                <a:lin ang="2700000" scaled="1"/>
                <a:tileRect/>
              </a:gra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Sheet1!$T$7:$AF$7</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Sheet1!$T$8:$AF$8</c:f>
              <c:numCache>
                <c:formatCode>General</c:formatCode>
                <c:ptCount val="13"/>
                <c:pt idx="0">
                  <c:v>14</c:v>
                </c:pt>
                <c:pt idx="1">
                  <c:v>177</c:v>
                </c:pt>
                <c:pt idx="2">
                  <c:v>152</c:v>
                </c:pt>
                <c:pt idx="3">
                  <c:v>304</c:v>
                </c:pt>
                <c:pt idx="4">
                  <c:v>429</c:v>
                </c:pt>
                <c:pt idx="5">
                  <c:v>228</c:v>
                </c:pt>
                <c:pt idx="6">
                  <c:v>304</c:v>
                </c:pt>
                <c:pt idx="7">
                  <c:v>178</c:v>
                </c:pt>
                <c:pt idx="8">
                  <c:v>153</c:v>
                </c:pt>
                <c:pt idx="9">
                  <c:v>165</c:v>
                </c:pt>
                <c:pt idx="10">
                  <c:v>660</c:v>
                </c:pt>
                <c:pt idx="11">
                  <c:v>332</c:v>
                </c:pt>
                <c:pt idx="12">
                  <c:v>241</c:v>
                </c:pt>
              </c:numCache>
            </c:numRef>
          </c:val>
          <c:extLst>
            <c:ext xmlns:c16="http://schemas.microsoft.com/office/drawing/2014/chart" uri="{C3380CC4-5D6E-409C-BE32-E72D297353CC}">
              <c16:uniqueId val="{00000000-9808-4BE8-9984-E02A384BD2B0}"/>
            </c:ext>
          </c:extLst>
        </c:ser>
        <c:dLbls>
          <c:showLegendKey val="0"/>
          <c:showVal val="0"/>
          <c:showCatName val="0"/>
          <c:showSerName val="0"/>
          <c:showPercent val="0"/>
          <c:showBubbleSize val="0"/>
        </c:dLbls>
        <c:gapWidth val="120"/>
        <c:overlap val="-20"/>
        <c:axId val="454159776"/>
        <c:axId val="537908616"/>
      </c:barChart>
      <c:catAx>
        <c:axId val="45415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908616"/>
        <c:crosses val="autoZero"/>
        <c:auto val="1"/>
        <c:lblAlgn val="ctr"/>
        <c:lblOffset val="100"/>
        <c:noMultiLvlLbl val="0"/>
      </c:catAx>
      <c:valAx>
        <c:axId val="537908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15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lumMod val="50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24938875305623"/>
          <c:y val="6.3882063882063883E-2"/>
          <c:w val="0.68704156479217604"/>
          <c:h val="0.8255528255528255"/>
        </c:manualLayout>
      </c:layout>
      <c:barChart>
        <c:barDir val="col"/>
        <c:grouping val="clustered"/>
        <c:varyColors val="0"/>
        <c:ser>
          <c:idx val="0"/>
          <c:order val="0"/>
          <c:tx>
            <c:strRef>
              <c:f>Sheet2!$B$61</c:f>
              <c:strCache>
                <c:ptCount val="1"/>
                <c:pt idx="0">
                  <c:v>Историјски подаци</c:v>
                </c:pt>
              </c:strCache>
            </c:strRef>
          </c:tx>
          <c:spPr>
            <a:solidFill>
              <a:srgbClr val="99CC00"/>
            </a:solidFill>
            <a:ln w="12700">
              <a:solidFill>
                <a:srgbClr val="000000"/>
              </a:solidFill>
              <a:prstDash val="solid"/>
            </a:ln>
          </c:spPr>
          <c:invertIfNegative val="0"/>
          <c:cat>
            <c:numRef>
              <c:f>Sheet2!$C$60:$T$60</c:f>
              <c:numCache>
                <c:formatCode>General</c:formatCode>
                <c:ptCount val="18"/>
                <c:pt idx="0">
                  <c:v>1801</c:v>
                </c:pt>
                <c:pt idx="1">
                  <c:v>1820</c:v>
                </c:pt>
                <c:pt idx="2">
                  <c:v>1841</c:v>
                </c:pt>
                <c:pt idx="3">
                  <c:v>1885</c:v>
                </c:pt>
                <c:pt idx="4">
                  <c:v>1905</c:v>
                </c:pt>
                <c:pt idx="5">
                  <c:v>1938</c:v>
                </c:pt>
                <c:pt idx="6">
                  <c:v>1947</c:v>
                </c:pt>
                <c:pt idx="7">
                  <c:v>1953</c:v>
                </c:pt>
                <c:pt idx="8">
                  <c:v>1958</c:v>
                </c:pt>
                <c:pt idx="9">
                  <c:v>1961</c:v>
                </c:pt>
                <c:pt idx="10">
                  <c:v>1979</c:v>
                </c:pt>
                <c:pt idx="11">
                  <c:v>1990</c:v>
                </c:pt>
                <c:pt idx="12">
                  <c:v>2000</c:v>
                </c:pt>
                <c:pt idx="13">
                  <c:v>2006</c:v>
                </c:pt>
                <c:pt idx="14">
                  <c:v>2007</c:v>
                </c:pt>
                <c:pt idx="15">
                  <c:v>2012</c:v>
                </c:pt>
                <c:pt idx="16">
                  <c:v>2018</c:v>
                </c:pt>
                <c:pt idx="17">
                  <c:v>2023</c:v>
                </c:pt>
              </c:numCache>
            </c:numRef>
          </c:cat>
          <c:val>
            <c:numRef>
              <c:f>Sheet2!$C$61:$T$61</c:f>
              <c:numCache>
                <c:formatCode>General</c:formatCode>
                <c:ptCount val="18"/>
                <c:pt idx="0">
                  <c:v>3622700</c:v>
                </c:pt>
                <c:pt idx="1">
                  <c:v>3622700</c:v>
                </c:pt>
                <c:pt idx="2">
                  <c:v>3187972</c:v>
                </c:pt>
                <c:pt idx="3">
                  <c:v>1546000</c:v>
                </c:pt>
              </c:numCache>
            </c:numRef>
          </c:val>
          <c:extLst>
            <c:ext xmlns:c16="http://schemas.microsoft.com/office/drawing/2014/chart" uri="{C3380CC4-5D6E-409C-BE32-E72D297353CC}">
              <c16:uniqueId val="{00000000-2A82-4F55-AB29-ED294D0DF05E}"/>
            </c:ext>
          </c:extLst>
        </c:ser>
        <c:ser>
          <c:idx val="1"/>
          <c:order val="1"/>
          <c:tx>
            <c:strRef>
              <c:f>Sheet2!$B$62</c:f>
              <c:strCache>
                <c:ptCount val="1"/>
                <c:pt idx="0">
                  <c:v>Пoдатак надлежног министарства</c:v>
                </c:pt>
              </c:strCache>
            </c:strRef>
          </c:tx>
          <c:spPr>
            <a:solidFill>
              <a:srgbClr val="993366"/>
            </a:solidFill>
            <a:ln w="12700">
              <a:solidFill>
                <a:srgbClr val="000000"/>
              </a:solidFill>
              <a:prstDash val="solid"/>
            </a:ln>
          </c:spPr>
          <c:invertIfNegative val="0"/>
          <c:cat>
            <c:numRef>
              <c:f>Sheet2!$C$60:$T$60</c:f>
              <c:numCache>
                <c:formatCode>General</c:formatCode>
                <c:ptCount val="18"/>
                <c:pt idx="0">
                  <c:v>1801</c:v>
                </c:pt>
                <c:pt idx="1">
                  <c:v>1820</c:v>
                </c:pt>
                <c:pt idx="2">
                  <c:v>1841</c:v>
                </c:pt>
                <c:pt idx="3">
                  <c:v>1885</c:v>
                </c:pt>
                <c:pt idx="4">
                  <c:v>1905</c:v>
                </c:pt>
                <c:pt idx="5">
                  <c:v>1938</c:v>
                </c:pt>
                <c:pt idx="6">
                  <c:v>1947</c:v>
                </c:pt>
                <c:pt idx="7">
                  <c:v>1953</c:v>
                </c:pt>
                <c:pt idx="8">
                  <c:v>1958</c:v>
                </c:pt>
                <c:pt idx="9">
                  <c:v>1961</c:v>
                </c:pt>
                <c:pt idx="10">
                  <c:v>1979</c:v>
                </c:pt>
                <c:pt idx="11">
                  <c:v>1990</c:v>
                </c:pt>
                <c:pt idx="12">
                  <c:v>2000</c:v>
                </c:pt>
                <c:pt idx="13">
                  <c:v>2006</c:v>
                </c:pt>
                <c:pt idx="14">
                  <c:v>2007</c:v>
                </c:pt>
                <c:pt idx="15">
                  <c:v>2012</c:v>
                </c:pt>
                <c:pt idx="16">
                  <c:v>2018</c:v>
                </c:pt>
                <c:pt idx="17">
                  <c:v>2023</c:v>
                </c:pt>
              </c:numCache>
            </c:numRef>
          </c:cat>
          <c:val>
            <c:numRef>
              <c:f>Sheet2!$C$62:$T$62</c:f>
              <c:numCache>
                <c:formatCode>General</c:formatCode>
                <c:ptCount val="18"/>
                <c:pt idx="4">
                  <c:v>1517000</c:v>
                </c:pt>
              </c:numCache>
            </c:numRef>
          </c:val>
          <c:extLst>
            <c:ext xmlns:c16="http://schemas.microsoft.com/office/drawing/2014/chart" uri="{C3380CC4-5D6E-409C-BE32-E72D297353CC}">
              <c16:uniqueId val="{00000001-2A82-4F55-AB29-ED294D0DF05E}"/>
            </c:ext>
          </c:extLst>
        </c:ser>
        <c:ser>
          <c:idx val="2"/>
          <c:order val="2"/>
          <c:tx>
            <c:strRef>
              <c:f>Sheet2!$B$63</c:f>
              <c:strCache>
                <c:ptCount val="1"/>
                <c:pt idx="0">
                  <c:v>Инвентура шума</c:v>
                </c:pt>
              </c:strCache>
            </c:strRef>
          </c:tx>
          <c:spPr>
            <a:solidFill>
              <a:srgbClr val="008000"/>
            </a:solidFill>
            <a:ln w="12700">
              <a:solidFill>
                <a:srgbClr val="000000"/>
              </a:solidFill>
              <a:prstDash val="solid"/>
            </a:ln>
          </c:spPr>
          <c:invertIfNegative val="0"/>
          <c:cat>
            <c:numRef>
              <c:f>Sheet2!$C$60:$T$60</c:f>
              <c:numCache>
                <c:formatCode>General</c:formatCode>
                <c:ptCount val="18"/>
                <c:pt idx="0">
                  <c:v>1801</c:v>
                </c:pt>
                <c:pt idx="1">
                  <c:v>1820</c:v>
                </c:pt>
                <c:pt idx="2">
                  <c:v>1841</c:v>
                </c:pt>
                <c:pt idx="3">
                  <c:v>1885</c:v>
                </c:pt>
                <c:pt idx="4">
                  <c:v>1905</c:v>
                </c:pt>
                <c:pt idx="5">
                  <c:v>1938</c:v>
                </c:pt>
                <c:pt idx="6">
                  <c:v>1947</c:v>
                </c:pt>
                <c:pt idx="7">
                  <c:v>1953</c:v>
                </c:pt>
                <c:pt idx="8">
                  <c:v>1958</c:v>
                </c:pt>
                <c:pt idx="9">
                  <c:v>1961</c:v>
                </c:pt>
                <c:pt idx="10">
                  <c:v>1979</c:v>
                </c:pt>
                <c:pt idx="11">
                  <c:v>1990</c:v>
                </c:pt>
                <c:pt idx="12">
                  <c:v>2000</c:v>
                </c:pt>
                <c:pt idx="13">
                  <c:v>2006</c:v>
                </c:pt>
                <c:pt idx="14">
                  <c:v>2007</c:v>
                </c:pt>
                <c:pt idx="15">
                  <c:v>2012</c:v>
                </c:pt>
                <c:pt idx="16">
                  <c:v>2018</c:v>
                </c:pt>
                <c:pt idx="17">
                  <c:v>2023</c:v>
                </c:pt>
              </c:numCache>
            </c:numRef>
          </c:cat>
          <c:val>
            <c:numRef>
              <c:f>Sheet2!$C$63:$T$63</c:f>
              <c:numCache>
                <c:formatCode>General</c:formatCode>
                <c:ptCount val="18"/>
                <c:pt idx="5">
                  <c:v>1442669</c:v>
                </c:pt>
                <c:pt idx="6">
                  <c:v>1342000</c:v>
                </c:pt>
                <c:pt idx="7">
                  <c:v>1322000</c:v>
                </c:pt>
                <c:pt idx="8">
                  <c:v>1876000</c:v>
                </c:pt>
                <c:pt idx="9">
                  <c:v>1923466</c:v>
                </c:pt>
                <c:pt idx="10">
                  <c:v>1964239</c:v>
                </c:pt>
                <c:pt idx="14">
                  <c:v>2252400</c:v>
                </c:pt>
                <c:pt idx="17">
                  <c:v>3049502</c:v>
                </c:pt>
              </c:numCache>
            </c:numRef>
          </c:val>
          <c:extLst>
            <c:ext xmlns:c16="http://schemas.microsoft.com/office/drawing/2014/chart" uri="{C3380CC4-5D6E-409C-BE32-E72D297353CC}">
              <c16:uniqueId val="{00000002-2A82-4F55-AB29-ED294D0DF05E}"/>
            </c:ext>
          </c:extLst>
        </c:ser>
        <c:ser>
          <c:idx val="3"/>
          <c:order val="3"/>
          <c:tx>
            <c:strRef>
              <c:f>Sheet2!$B$64</c:f>
              <c:strCache>
                <c:ptCount val="1"/>
                <c:pt idx="0">
                  <c:v>CORINE Land Cover</c:v>
                </c:pt>
              </c:strCache>
            </c:strRef>
          </c:tx>
          <c:spPr>
            <a:solidFill>
              <a:srgbClr val="0000FF"/>
            </a:solidFill>
            <a:ln w="12700">
              <a:solidFill>
                <a:srgbClr val="000000"/>
              </a:solidFill>
              <a:prstDash val="solid"/>
            </a:ln>
          </c:spPr>
          <c:invertIfNegative val="0"/>
          <c:cat>
            <c:numRef>
              <c:f>Sheet2!$C$60:$T$60</c:f>
              <c:numCache>
                <c:formatCode>General</c:formatCode>
                <c:ptCount val="18"/>
                <c:pt idx="0">
                  <c:v>1801</c:v>
                </c:pt>
                <c:pt idx="1">
                  <c:v>1820</c:v>
                </c:pt>
                <c:pt idx="2">
                  <c:v>1841</c:v>
                </c:pt>
                <c:pt idx="3">
                  <c:v>1885</c:v>
                </c:pt>
                <c:pt idx="4">
                  <c:v>1905</c:v>
                </c:pt>
                <c:pt idx="5">
                  <c:v>1938</c:v>
                </c:pt>
                <c:pt idx="6">
                  <c:v>1947</c:v>
                </c:pt>
                <c:pt idx="7">
                  <c:v>1953</c:v>
                </c:pt>
                <c:pt idx="8">
                  <c:v>1958</c:v>
                </c:pt>
                <c:pt idx="9">
                  <c:v>1961</c:v>
                </c:pt>
                <c:pt idx="10">
                  <c:v>1979</c:v>
                </c:pt>
                <c:pt idx="11">
                  <c:v>1990</c:v>
                </c:pt>
                <c:pt idx="12">
                  <c:v>2000</c:v>
                </c:pt>
                <c:pt idx="13">
                  <c:v>2006</c:v>
                </c:pt>
                <c:pt idx="14">
                  <c:v>2007</c:v>
                </c:pt>
                <c:pt idx="15">
                  <c:v>2012</c:v>
                </c:pt>
                <c:pt idx="16">
                  <c:v>2018</c:v>
                </c:pt>
                <c:pt idx="17">
                  <c:v>2023</c:v>
                </c:pt>
              </c:numCache>
            </c:numRef>
          </c:cat>
          <c:val>
            <c:numRef>
              <c:f>Sheet2!$C$64:$T$64</c:f>
              <c:numCache>
                <c:formatCode>General</c:formatCode>
                <c:ptCount val="18"/>
                <c:pt idx="11">
                  <c:v>2249677</c:v>
                </c:pt>
                <c:pt idx="12">
                  <c:v>2266333</c:v>
                </c:pt>
                <c:pt idx="13">
                  <c:v>2351000</c:v>
                </c:pt>
                <c:pt idx="15">
                  <c:v>2373740</c:v>
                </c:pt>
                <c:pt idx="16">
                  <c:v>2380917</c:v>
                </c:pt>
              </c:numCache>
            </c:numRef>
          </c:val>
          <c:extLst>
            <c:ext xmlns:c16="http://schemas.microsoft.com/office/drawing/2014/chart" uri="{C3380CC4-5D6E-409C-BE32-E72D297353CC}">
              <c16:uniqueId val="{00000003-2A82-4F55-AB29-ED294D0DF05E}"/>
            </c:ext>
          </c:extLst>
        </c:ser>
        <c:ser>
          <c:idx val="4"/>
          <c:order val="4"/>
          <c:tx>
            <c:strRef>
              <c:f>Sheet2!$B$65</c:f>
              <c:strCache>
                <c:ptCount val="1"/>
                <c:pt idx="0">
                  <c:v>Ortofoto</c:v>
                </c:pt>
              </c:strCache>
            </c:strRef>
          </c:tx>
          <c:spPr>
            <a:solidFill>
              <a:srgbClr val="FF9900"/>
            </a:solidFill>
            <a:ln w="12700">
              <a:solidFill>
                <a:srgbClr val="000000"/>
              </a:solidFill>
              <a:prstDash val="solid"/>
            </a:ln>
          </c:spPr>
          <c:invertIfNegative val="0"/>
          <c:cat>
            <c:numRef>
              <c:f>Sheet2!$C$60:$T$60</c:f>
              <c:numCache>
                <c:formatCode>General</c:formatCode>
                <c:ptCount val="18"/>
                <c:pt idx="0">
                  <c:v>1801</c:v>
                </c:pt>
                <c:pt idx="1">
                  <c:v>1820</c:v>
                </c:pt>
                <c:pt idx="2">
                  <c:v>1841</c:v>
                </c:pt>
                <c:pt idx="3">
                  <c:v>1885</c:v>
                </c:pt>
                <c:pt idx="4">
                  <c:v>1905</c:v>
                </c:pt>
                <c:pt idx="5">
                  <c:v>1938</c:v>
                </c:pt>
                <c:pt idx="6">
                  <c:v>1947</c:v>
                </c:pt>
                <c:pt idx="7">
                  <c:v>1953</c:v>
                </c:pt>
                <c:pt idx="8">
                  <c:v>1958</c:v>
                </c:pt>
                <c:pt idx="9">
                  <c:v>1961</c:v>
                </c:pt>
                <c:pt idx="10">
                  <c:v>1979</c:v>
                </c:pt>
                <c:pt idx="11">
                  <c:v>1990</c:v>
                </c:pt>
                <c:pt idx="12">
                  <c:v>2000</c:v>
                </c:pt>
                <c:pt idx="13">
                  <c:v>2006</c:v>
                </c:pt>
                <c:pt idx="14">
                  <c:v>2007</c:v>
                </c:pt>
                <c:pt idx="15">
                  <c:v>2012</c:v>
                </c:pt>
                <c:pt idx="16">
                  <c:v>2018</c:v>
                </c:pt>
                <c:pt idx="17">
                  <c:v>2023</c:v>
                </c:pt>
              </c:numCache>
            </c:numRef>
          </c:cat>
          <c:val>
            <c:numRef>
              <c:f>Sheet2!$C$65:$T$65</c:f>
              <c:numCache>
                <c:formatCode>General</c:formatCode>
                <c:ptCount val="18"/>
                <c:pt idx="15">
                  <c:v>2653532</c:v>
                </c:pt>
              </c:numCache>
            </c:numRef>
          </c:val>
          <c:extLst>
            <c:ext xmlns:c16="http://schemas.microsoft.com/office/drawing/2014/chart" uri="{C3380CC4-5D6E-409C-BE32-E72D297353CC}">
              <c16:uniqueId val="{00000004-2A82-4F55-AB29-ED294D0DF05E}"/>
            </c:ext>
          </c:extLst>
        </c:ser>
        <c:dLbls>
          <c:showLegendKey val="0"/>
          <c:showVal val="0"/>
          <c:showCatName val="0"/>
          <c:showSerName val="0"/>
          <c:showPercent val="0"/>
          <c:showBubbleSize val="0"/>
        </c:dLbls>
        <c:gapWidth val="150"/>
        <c:axId val="441431112"/>
        <c:axId val="441432288"/>
      </c:barChart>
      <c:catAx>
        <c:axId val="4414311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mj-lt"/>
                <a:ea typeface="Arial"/>
                <a:cs typeface="Arial"/>
              </a:defRPr>
            </a:pPr>
            <a:endParaRPr lang="en-US"/>
          </a:p>
        </c:txPr>
        <c:crossAx val="441432288"/>
        <c:crosses val="autoZero"/>
        <c:auto val="1"/>
        <c:lblAlgn val="ctr"/>
        <c:lblOffset val="100"/>
        <c:tickLblSkip val="1"/>
        <c:tickMarkSkip val="1"/>
        <c:noMultiLvlLbl val="0"/>
      </c:catAx>
      <c:valAx>
        <c:axId val="441432288"/>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(ha)</a:t>
                </a:r>
              </a:p>
            </c:rich>
          </c:tx>
          <c:layout>
            <c:manualLayout>
              <c:xMode val="edge"/>
              <c:yMode val="edge"/>
              <c:x val="1.8352641114277464E-3"/>
              <c:y val="0.433353846801213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mj-lt"/>
                <a:ea typeface="Arial"/>
                <a:cs typeface="Arial"/>
              </a:defRPr>
            </a:pPr>
            <a:endParaRPr lang="en-US"/>
          </a:p>
        </c:txPr>
        <c:crossAx val="441431112"/>
        <c:crosses val="autoZero"/>
        <c:crossBetween val="between"/>
      </c:valAx>
      <c:spPr>
        <a:noFill/>
        <a:ln w="25400">
          <a:noFill/>
        </a:ln>
      </c:spPr>
    </c:plotArea>
    <c:legend>
      <c:legendPos val="r"/>
      <c:layout>
        <c:manualLayout>
          <c:xMode val="edge"/>
          <c:yMode val="edge"/>
          <c:x val="0.82396088019559899"/>
          <c:y val="0.39803439803439805"/>
          <c:w val="0.16748166259168706"/>
          <c:h val="0.40786240786240785"/>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Необрасла опожарена површина</c:v>
                </c:pt>
              </c:strCache>
            </c:strRef>
          </c:tx>
          <c:spPr>
            <a:ln w="28575" cap="rnd">
              <a:solidFill>
                <a:schemeClr val="accent1"/>
              </a:solidFill>
              <a:round/>
            </a:ln>
            <a:effectLst/>
          </c:spPr>
          <c:marker>
            <c:symbol val="none"/>
          </c:marker>
          <c:cat>
            <c:numRef>
              <c:f>Sheet1!$A$2:$A$10</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Sheet1!$B$2:$B$10</c:f>
              <c:numCache>
                <c:formatCode>_(* #,##0_);_(* \(#,##0\);_(* "-"_);_(@_)</c:formatCode>
                <c:ptCount val="9"/>
                <c:pt idx="0">
                  <c:v>148</c:v>
                </c:pt>
                <c:pt idx="1">
                  <c:v>45</c:v>
                </c:pt>
                <c:pt idx="2">
                  <c:v>1441</c:v>
                </c:pt>
                <c:pt idx="3">
                  <c:v>840</c:v>
                </c:pt>
                <c:pt idx="4">
                  <c:v>4597</c:v>
                </c:pt>
                <c:pt idx="5">
                  <c:v>448</c:v>
                </c:pt>
                <c:pt idx="6">
                  <c:v>731</c:v>
                </c:pt>
                <c:pt idx="7">
                  <c:v>0</c:v>
                </c:pt>
                <c:pt idx="8">
                  <c:v>66</c:v>
                </c:pt>
              </c:numCache>
            </c:numRef>
          </c:val>
          <c:smooth val="0"/>
          <c:extLst>
            <c:ext xmlns:c16="http://schemas.microsoft.com/office/drawing/2014/chart" uri="{C3380CC4-5D6E-409C-BE32-E72D297353CC}">
              <c16:uniqueId val="{00000000-5C4D-4B9B-B191-08B6BA247FEF}"/>
            </c:ext>
          </c:extLst>
        </c:ser>
        <c:dLbls>
          <c:showLegendKey val="0"/>
          <c:showVal val="0"/>
          <c:showCatName val="0"/>
          <c:showSerName val="0"/>
          <c:showPercent val="0"/>
          <c:showBubbleSize val="0"/>
        </c:dLbls>
        <c:smooth val="0"/>
        <c:axId val="441431504"/>
        <c:axId val="454983856"/>
      </c:lineChart>
      <c:catAx>
        <c:axId val="441431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983856"/>
        <c:crosses val="autoZero"/>
        <c:auto val="1"/>
        <c:lblAlgn val="ctr"/>
        <c:lblOffset val="100"/>
        <c:noMultiLvlLbl val="0"/>
      </c:catAx>
      <c:valAx>
        <c:axId val="454983856"/>
        <c:scaling>
          <c:orientation val="minMax"/>
        </c:scaling>
        <c:delete val="1"/>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one"/>
        <c:crossAx val="441431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Sheet1!$A$6</c:f>
              <c:strCache>
                <c:ptCount val="1"/>
                <c:pt idx="0">
                  <c:v>Удео инвестиција у БДП</c:v>
                </c:pt>
              </c:strCache>
            </c:strRef>
          </c:tx>
          <c:spPr>
            <a:ln w="9525" cap="rnd">
              <a:solidFill>
                <a:schemeClr val="accent1">
                  <a:alpha val="50000"/>
                </a:schemeClr>
              </a:solidFill>
              <a:round/>
            </a:ln>
            <a:effectLst/>
          </c:spPr>
          <c:marker>
            <c:symbol val="diamond"/>
            <c:size val="6"/>
            <c:spPr>
              <a:solidFill>
                <a:schemeClr val="lt1"/>
              </a:solidFill>
              <a:ln w="15875">
                <a:solidFill>
                  <a:schemeClr val="accent1"/>
                </a:solidFill>
                <a:round/>
              </a:ln>
              <a:effectLst/>
            </c:spPr>
          </c:marker>
          <c:xVal>
            <c:numRef>
              <c:f>Sheet1!$C$2:$J$2</c:f>
              <c:numCache>
                <c:formatCode>General</c:formatCode>
                <c:ptCount val="8"/>
                <c:pt idx="0">
                  <c:v>2015</c:v>
                </c:pt>
                <c:pt idx="1">
                  <c:v>2016</c:v>
                </c:pt>
                <c:pt idx="2">
                  <c:v>2017</c:v>
                </c:pt>
                <c:pt idx="3">
                  <c:v>2018</c:v>
                </c:pt>
                <c:pt idx="4">
                  <c:v>2019</c:v>
                </c:pt>
                <c:pt idx="5">
                  <c:v>2020</c:v>
                </c:pt>
                <c:pt idx="6">
                  <c:v>2021</c:v>
                </c:pt>
                <c:pt idx="7">
                  <c:v>2022</c:v>
                </c:pt>
              </c:numCache>
            </c:numRef>
          </c:xVal>
          <c:yVal>
            <c:numRef>
              <c:f>Sheet1!$C$6:$J$6</c:f>
              <c:numCache>
                <c:formatCode>#,#00%</c:formatCode>
                <c:ptCount val="8"/>
                <c:pt idx="0">
                  <c:v>2.8487237602606709E-3</c:v>
                </c:pt>
                <c:pt idx="1">
                  <c:v>2.8278391294173999E-3</c:v>
                </c:pt>
                <c:pt idx="2">
                  <c:v>1.3848214946029158E-3</c:v>
                </c:pt>
                <c:pt idx="3">
                  <c:v>1.4661542633834508E-3</c:v>
                </c:pt>
                <c:pt idx="4">
                  <c:v>2.1406718648521073E-3</c:v>
                </c:pt>
                <c:pt idx="5">
                  <c:v>3.355587525758793E-3</c:v>
                </c:pt>
                <c:pt idx="6">
                  <c:v>5.4558326609620228E-3</c:v>
                </c:pt>
                <c:pt idx="7">
                  <c:v>3.8402758350227148E-3</c:v>
                </c:pt>
              </c:numCache>
            </c:numRef>
          </c:yVal>
          <c:smooth val="0"/>
          <c:extLst>
            <c:ext xmlns:c16="http://schemas.microsoft.com/office/drawing/2014/chart" uri="{C3380CC4-5D6E-409C-BE32-E72D297353CC}">
              <c16:uniqueId val="{00000000-B8C7-47B1-B4F6-BAC8D6050B03}"/>
            </c:ext>
          </c:extLst>
        </c:ser>
        <c:ser>
          <c:idx val="1"/>
          <c:order val="1"/>
          <c:tx>
            <c:strRef>
              <c:f>Sheet1!$A$7</c:f>
              <c:strCache>
                <c:ptCount val="1"/>
                <c:pt idx="0">
                  <c:v>Удео укупних издатака у БДП</c:v>
                </c:pt>
              </c:strCache>
            </c:strRef>
          </c:tx>
          <c:spPr>
            <a:ln w="9525" cap="rnd">
              <a:solidFill>
                <a:schemeClr val="accent2">
                  <a:alpha val="50000"/>
                </a:schemeClr>
              </a:solidFill>
              <a:round/>
            </a:ln>
            <a:effectLst/>
          </c:spPr>
          <c:marker>
            <c:symbol val="square"/>
            <c:size val="6"/>
            <c:spPr>
              <a:solidFill>
                <a:schemeClr val="lt1"/>
              </a:solidFill>
              <a:ln w="15875">
                <a:solidFill>
                  <a:schemeClr val="accent2"/>
                </a:solidFill>
                <a:round/>
              </a:ln>
              <a:effectLst/>
            </c:spPr>
          </c:marker>
          <c:xVal>
            <c:numRef>
              <c:f>Sheet1!$C$2:$J$2</c:f>
              <c:numCache>
                <c:formatCode>General</c:formatCode>
                <c:ptCount val="8"/>
                <c:pt idx="0">
                  <c:v>2015</c:v>
                </c:pt>
                <c:pt idx="1">
                  <c:v>2016</c:v>
                </c:pt>
                <c:pt idx="2">
                  <c:v>2017</c:v>
                </c:pt>
                <c:pt idx="3">
                  <c:v>2018</c:v>
                </c:pt>
                <c:pt idx="4">
                  <c:v>2019</c:v>
                </c:pt>
                <c:pt idx="5">
                  <c:v>2020</c:v>
                </c:pt>
                <c:pt idx="6">
                  <c:v>2021</c:v>
                </c:pt>
                <c:pt idx="7">
                  <c:v>2022</c:v>
                </c:pt>
              </c:numCache>
            </c:numRef>
          </c:xVal>
          <c:yVal>
            <c:numRef>
              <c:f>Sheet1!$C$7:$J$7</c:f>
              <c:numCache>
                <c:formatCode>#,#00%</c:formatCode>
                <c:ptCount val="8"/>
                <c:pt idx="0">
                  <c:v>8.0708780028829526E-3</c:v>
                </c:pt>
                <c:pt idx="1">
                  <c:v>7.8065143710603236E-3</c:v>
                </c:pt>
                <c:pt idx="2">
                  <c:v>7.2263328384088287E-3</c:v>
                </c:pt>
                <c:pt idx="3">
                  <c:v>7.5432914389111086E-3</c:v>
                </c:pt>
                <c:pt idx="4">
                  <c:v>7.8142896594006403E-3</c:v>
                </c:pt>
                <c:pt idx="5">
                  <c:v>8.4837288359141932E-3</c:v>
                </c:pt>
                <c:pt idx="6">
                  <c:v>9.8500230538698195E-3</c:v>
                </c:pt>
                <c:pt idx="7">
                  <c:v>9.7659247609899105E-3</c:v>
                </c:pt>
              </c:numCache>
            </c:numRef>
          </c:yVal>
          <c:smooth val="0"/>
          <c:extLst>
            <c:ext xmlns:c16="http://schemas.microsoft.com/office/drawing/2014/chart" uri="{C3380CC4-5D6E-409C-BE32-E72D297353CC}">
              <c16:uniqueId val="{00000001-B8C7-47B1-B4F6-BAC8D6050B03}"/>
            </c:ext>
          </c:extLst>
        </c:ser>
        <c:dLbls>
          <c:showLegendKey val="0"/>
          <c:showVal val="0"/>
          <c:showCatName val="0"/>
          <c:showSerName val="0"/>
          <c:showPercent val="0"/>
          <c:showBubbleSize val="0"/>
        </c:dLbls>
        <c:axId val="454984640"/>
        <c:axId val="454985032"/>
      </c:scatterChart>
      <c:valAx>
        <c:axId val="454984640"/>
        <c:scaling>
          <c:orientation val="minMax"/>
          <c:max val="2022"/>
          <c:min val="2015"/>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dk1">
                    <a:lumMod val="65000"/>
                    <a:lumOff val="35000"/>
                  </a:schemeClr>
                </a:solidFill>
                <a:latin typeface="+mn-lt"/>
                <a:ea typeface="+mn-ea"/>
                <a:cs typeface="+mn-cs"/>
              </a:defRPr>
            </a:pPr>
            <a:endParaRPr lang="en-US"/>
          </a:p>
        </c:txPr>
        <c:crossAx val="454985032"/>
        <c:crosses val="autoZero"/>
        <c:crossBetween val="midCat"/>
      </c:valAx>
      <c:valAx>
        <c:axId val="454985032"/>
        <c:scaling>
          <c:orientation val="minMax"/>
        </c:scaling>
        <c:delete val="0"/>
        <c:axPos val="l"/>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crossAx val="454984640"/>
        <c:crosses val="autoZero"/>
        <c:crossBetween val="midCat"/>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b="1"/>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16766466295017"/>
          <c:y val="0.10391311595928185"/>
          <c:w val="0.5768743258983634"/>
          <c:h val="0.70321733553037657"/>
        </c:manualLayout>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3A6-4AB6-954D-ABDC543E6B1B}"/>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3A6-4AB6-954D-ABDC543E6B1B}"/>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3A6-4AB6-954D-ABDC543E6B1B}"/>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3A6-4AB6-954D-ABDC543E6B1B}"/>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E3A6-4AB6-954D-ABDC543E6B1B}"/>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E3A6-4AB6-954D-ABDC543E6B1B}"/>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E3A6-4AB6-954D-ABDC543E6B1B}"/>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E3A6-4AB6-954D-ABDC543E6B1B}"/>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E3A6-4AB6-954D-ABDC543E6B1B}"/>
              </c:ext>
            </c:extLst>
          </c:dPt>
          <c:dLbls>
            <c:dLbl>
              <c:idx val="0"/>
              <c:layout>
                <c:manualLayout>
                  <c:x val="6.8025467088650621E-2"/>
                  <c:y val="4.522312317161656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3A6-4AB6-954D-ABDC543E6B1B}"/>
                </c:ext>
              </c:extLst>
            </c:dLbl>
            <c:dLbl>
              <c:idx val="1"/>
              <c:layout>
                <c:manualLayout>
                  <c:x val="5.1813471502590698E-2"/>
                  <c:y val="-4.11522633744856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3A6-4AB6-954D-ABDC543E6B1B}"/>
                </c:ext>
              </c:extLst>
            </c:dLbl>
            <c:dLbl>
              <c:idx val="2"/>
              <c:layout>
                <c:manualLayout>
                  <c:x val="4.9407413557945104E-2"/>
                  <c:y val="-7.2286788891872872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3A6-4AB6-954D-ABDC543E6B1B}"/>
                </c:ext>
              </c:extLst>
            </c:dLbl>
            <c:dLbl>
              <c:idx val="3"/>
              <c:layout>
                <c:manualLayout>
                  <c:x val="5.1785740721788506E-3"/>
                  <c:y val="0.21406009176248655"/>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3A6-4AB6-954D-ABDC543E6B1B}"/>
                </c:ext>
              </c:extLst>
            </c:dLbl>
            <c:dLbl>
              <c:idx val="4"/>
              <c:layout>
                <c:manualLayout>
                  <c:x val="-0.14429349522693233"/>
                  <c:y val="0.1652564818518594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3A6-4AB6-954D-ABDC543E6B1B}"/>
                </c:ext>
              </c:extLst>
            </c:dLbl>
            <c:dLbl>
              <c:idx val="6"/>
              <c:layout>
                <c:manualLayout>
                  <c:x val="-6.2107013790979951E-2"/>
                  <c:y val="6.3905244456849029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3A6-4AB6-954D-ABDC543E6B1B}"/>
                </c:ext>
              </c:extLst>
            </c:dLbl>
            <c:dLbl>
              <c:idx val="7"/>
              <c:layout>
                <c:manualLayout>
                  <c:x val="4.0592428031207377E-3"/>
                  <c:y val="4.4291981328710229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E3A6-4AB6-954D-ABDC543E6B1B}"/>
                </c:ext>
              </c:extLst>
            </c:dLbl>
            <c:dLbl>
              <c:idx val="8"/>
              <c:layout>
                <c:manualLayout>
                  <c:x val="0.11832114512441626"/>
                  <c:y val="1.6515348652054194E-7"/>
                </c:manualLayout>
              </c:layout>
              <c:showLegendKey val="0"/>
              <c:showVal val="0"/>
              <c:showCatName val="1"/>
              <c:showSerName val="0"/>
              <c:showPercent val="1"/>
              <c:showBubbleSize val="0"/>
              <c:extLst>
                <c:ext xmlns:c15="http://schemas.microsoft.com/office/drawing/2012/chart" uri="{CE6537A1-D6FC-4f65-9D91-7224C49458BB}">
                  <c15:layout>
                    <c:manualLayout>
                      <c:w val="0.14541537243039035"/>
                      <c:h val="0.11965058421751334"/>
                    </c:manualLayout>
                  </c15:layout>
                </c:ext>
                <c:ext xmlns:c16="http://schemas.microsoft.com/office/drawing/2014/chart" uri="{C3380CC4-5D6E-409C-BE32-E72D297353CC}">
                  <c16:uniqueId val="{00000011-E3A6-4AB6-954D-ABDC543E6B1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'[Chart in Microsoft Word]ENVând CC'!$L$42:$T$42</c:f>
              <c:strCache>
                <c:ptCount val="9"/>
                <c:pt idx="0">
                  <c:v>Хоризонтална директива</c:v>
                </c:pt>
                <c:pt idx="1">
                  <c:v>Квалитет ваздуха</c:v>
                </c:pt>
                <c:pt idx="2">
                  <c:v>Управљање отпадом</c:v>
                </c:pt>
                <c:pt idx="3">
                  <c:v>Квалитет вода</c:v>
                </c:pt>
                <c:pt idx="4">
                  <c:v>Заштита природе</c:v>
                </c:pt>
                <c:pt idx="5">
                  <c:v>Спречавање и контрола индустријског загађења</c:v>
                </c:pt>
                <c:pt idx="6">
                  <c:v>Хемикалије</c:v>
                </c:pt>
                <c:pt idx="7">
                  <c:v>Бука</c:v>
                </c:pt>
                <c:pt idx="8">
                  <c:v>Климатске промене</c:v>
                </c:pt>
              </c:strCache>
            </c:strRef>
          </c:cat>
          <c:val>
            <c:numRef>
              <c:f>'[Chart in Microsoft Word]ENVând CC'!$L$45:$T$45</c:f>
              <c:numCache>
                <c:formatCode>#,##0</c:formatCode>
                <c:ptCount val="9"/>
                <c:pt idx="0">
                  <c:v>79.984585660610719</c:v>
                </c:pt>
                <c:pt idx="1">
                  <c:v>5.2101977438843328</c:v>
                </c:pt>
                <c:pt idx="2">
                  <c:v>214.82587686393444</c:v>
                </c:pt>
                <c:pt idx="3">
                  <c:v>193.7762577829335</c:v>
                </c:pt>
                <c:pt idx="4">
                  <c:v>21.139948643630426</c:v>
                </c:pt>
                <c:pt idx="5">
                  <c:v>7.3010701639277729</c:v>
                </c:pt>
                <c:pt idx="6">
                  <c:v>7.0198779757777867</c:v>
                </c:pt>
                <c:pt idx="7">
                  <c:v>0.16487474592378898</c:v>
                </c:pt>
                <c:pt idx="8">
                  <c:v>12.444632523784239</c:v>
                </c:pt>
              </c:numCache>
            </c:numRef>
          </c:val>
          <c:extLst>
            <c:ext xmlns:c16="http://schemas.microsoft.com/office/drawing/2014/chart" uri="{C3380CC4-5D6E-409C-BE32-E72D297353CC}">
              <c16:uniqueId val="{00000012-E3A6-4AB6-954D-ABDC543E6B1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1.1799422380278238E-2"/>
          <c:y val="0.82152936935196175"/>
          <c:w val="0.97395669509407035"/>
          <c:h val="0.16142923212621191"/>
        </c:manualLayout>
      </c:layout>
      <c:overlay val="0"/>
      <c:spPr>
        <a:solidFill>
          <a:schemeClr val="lt1">
            <a:alpha val="50000"/>
          </a:schemeClr>
        </a:solid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sz="800" b="1"/>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Sheet1!$C$7</c:f>
              <c:strCache>
                <c:ptCount val="1"/>
                <c:pt idx="0">
                  <c:v>Учешће прихода од накнада у области животне средине у укупним порезима и социјалним доприносима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5"/>
              <c:layout>
                <c:manualLayout>
                  <c:x val="-2.786624029124829E-2"/>
                  <c:y val="5.37031423006413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0B-4F1E-A25A-29B8925534AD}"/>
                </c:ext>
              </c:extLst>
            </c:dLbl>
            <c:dLbl>
              <c:idx val="6"/>
              <c:layout>
                <c:manualLayout>
                  <c:x val="5.573248058249658E-3"/>
                  <c:y val="7.43581970316572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0B-4F1E-A25A-29B8925534A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Sheet1!$D$6:$M$6</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Sheet1!$D$7:$M$7</c:f>
              <c:numCache>
                <c:formatCode>0.0%</c:formatCode>
                <c:ptCount val="10"/>
                <c:pt idx="0">
                  <c:v>8.3000000000000004E-2</c:v>
                </c:pt>
                <c:pt idx="1">
                  <c:v>9.0999999999999998E-2</c:v>
                </c:pt>
                <c:pt idx="2">
                  <c:v>0.105</c:v>
                </c:pt>
                <c:pt idx="3">
                  <c:v>0.111</c:v>
                </c:pt>
                <c:pt idx="4">
                  <c:v>0.114</c:v>
                </c:pt>
                <c:pt idx="5">
                  <c:v>0.111</c:v>
                </c:pt>
                <c:pt idx="6">
                  <c:v>0.111</c:v>
                </c:pt>
                <c:pt idx="7">
                  <c:v>0.11</c:v>
                </c:pt>
                <c:pt idx="8">
                  <c:v>0.10299999999999999</c:v>
                </c:pt>
                <c:pt idx="9">
                  <c:v>9.8000000000000004E-2</c:v>
                </c:pt>
              </c:numCache>
            </c:numRef>
          </c:val>
          <c:smooth val="0"/>
          <c:extLst>
            <c:ext xmlns:c16="http://schemas.microsoft.com/office/drawing/2014/chart" uri="{C3380CC4-5D6E-409C-BE32-E72D297353CC}">
              <c16:uniqueId val="{00000002-340B-4F1E-A25A-29B8925534AD}"/>
            </c:ext>
          </c:extLst>
        </c:ser>
        <c:dLbls>
          <c:showLegendKey val="0"/>
          <c:showVal val="0"/>
          <c:showCatName val="0"/>
          <c:showSerName val="0"/>
          <c:showPercent val="0"/>
          <c:showBubbleSize val="0"/>
        </c:dLbls>
        <c:marker val="1"/>
        <c:smooth val="0"/>
        <c:axId val="392074872"/>
        <c:axId val="392074088"/>
      </c:lineChart>
      <c:catAx>
        <c:axId val="392074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92074088"/>
        <c:crosses val="autoZero"/>
        <c:auto val="1"/>
        <c:lblAlgn val="ctr"/>
        <c:lblOffset val="100"/>
        <c:noMultiLvlLbl val="0"/>
      </c:catAx>
      <c:valAx>
        <c:axId val="392074088"/>
        <c:scaling>
          <c:orientation val="minMax"/>
          <c:min val="7.5000000000000011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92074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b="1"/>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sr-Cyrl-RS" sz="1100" b="1"/>
              <a:t>Трошкови материјала и енергије - економске</a:t>
            </a:r>
            <a:r>
              <a:rPr lang="sr-Cyrl-RS" sz="1100" b="1" baseline="0"/>
              <a:t> уштеде</a:t>
            </a:r>
            <a:endParaRPr lang="sr-Latn-RS"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lineChart>
        <c:grouping val="standard"/>
        <c:varyColors val="0"/>
        <c:ser>
          <c:idx val="1"/>
          <c:order val="0"/>
          <c:spPr>
            <a:ln w="28575" cap="rnd">
              <a:solidFill>
                <a:schemeClr val="accent2"/>
              </a:solidFill>
              <a:round/>
            </a:ln>
            <a:effectLst/>
          </c:spPr>
          <c:marker>
            <c:symbol val="none"/>
          </c:marker>
          <c:cat>
            <c:numRef>
              <c:f>'[Scenario.xlsx]Green Agenda'!$G$14:$P$14</c:f>
              <c:numCache>
                <c:formatCode>General</c:formatCode>
                <c:ptCount val="10"/>
                <c:pt idx="0">
                  <c:v>2024</c:v>
                </c:pt>
                <c:pt idx="1">
                  <c:v>2025</c:v>
                </c:pt>
                <c:pt idx="2">
                  <c:v>2026</c:v>
                </c:pt>
                <c:pt idx="3">
                  <c:v>2027</c:v>
                </c:pt>
                <c:pt idx="4">
                  <c:v>2028</c:v>
                </c:pt>
                <c:pt idx="5">
                  <c:v>2029</c:v>
                </c:pt>
                <c:pt idx="6">
                  <c:v>2030</c:v>
                </c:pt>
                <c:pt idx="7">
                  <c:v>2031</c:v>
                </c:pt>
                <c:pt idx="8">
                  <c:v>2032</c:v>
                </c:pt>
                <c:pt idx="9">
                  <c:v>2033</c:v>
                </c:pt>
              </c:numCache>
            </c:numRef>
          </c:cat>
          <c:val>
            <c:numRef>
              <c:f>'[Scenario.xlsx]Green Agenda'!$G$17:$P$17</c:f>
              <c:numCache>
                <c:formatCode>#,##0</c:formatCode>
                <c:ptCount val="10"/>
                <c:pt idx="0">
                  <c:v>241.18441184039992</c:v>
                </c:pt>
                <c:pt idx="1">
                  <c:v>511.59750883848795</c:v>
                </c:pt>
                <c:pt idx="2">
                  <c:v>1105.1547905295852</c:v>
                </c:pt>
                <c:pt idx="3">
                  <c:v>1787.894861123418</c:v>
                </c:pt>
                <c:pt idx="4">
                  <c:v>2386.2997254364723</c:v>
                </c:pt>
                <c:pt idx="5">
                  <c:v>3419.6712587124416</c:v>
                </c:pt>
                <c:pt idx="6">
                  <c:v>3522.2613964738143</c:v>
                </c:pt>
                <c:pt idx="7">
                  <c:v>3627.9292383680295</c:v>
                </c:pt>
                <c:pt idx="8">
                  <c:v>3736.7671155190701</c:v>
                </c:pt>
                <c:pt idx="9">
                  <c:v>3848.8701289846417</c:v>
                </c:pt>
              </c:numCache>
            </c:numRef>
          </c:val>
          <c:smooth val="0"/>
          <c:extLst>
            <c:ext xmlns:c16="http://schemas.microsoft.com/office/drawing/2014/chart" uri="{C3380CC4-5D6E-409C-BE32-E72D297353CC}">
              <c16:uniqueId val="{00000000-2125-442F-86FC-8C008C769788}"/>
            </c:ext>
          </c:extLst>
        </c:ser>
        <c:dLbls>
          <c:showLegendKey val="0"/>
          <c:showVal val="0"/>
          <c:showCatName val="0"/>
          <c:showSerName val="0"/>
          <c:showPercent val="0"/>
          <c:showBubbleSize val="0"/>
        </c:dLbls>
        <c:smooth val="0"/>
        <c:axId val="392073696"/>
        <c:axId val="392072912"/>
      </c:lineChart>
      <c:catAx>
        <c:axId val="392073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072912"/>
        <c:crosses val="autoZero"/>
        <c:auto val="1"/>
        <c:lblAlgn val="ctr"/>
        <c:lblOffset val="100"/>
        <c:noMultiLvlLbl val="0"/>
      </c:catAx>
      <c:valAx>
        <c:axId val="39207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Cyrl-RS"/>
                  <a:t>Милиони евра</a:t>
                </a:r>
                <a:endParaRPr lang="sr-Latn-R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0736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1197" b="1" kern="1200"/>
  </cs:axisTitle>
  <cs:categoryAxis>
    <cs:lnRef idx="0"/>
    <cs:fillRef idx="0"/>
    <cs:effectRef idx="0"/>
    <cs:fontRef idx="minor">
      <a:schemeClr val="dk1">
        <a:lumMod val="65000"/>
        <a:lumOff val="35000"/>
      </a:schemeClr>
    </cs:fontRef>
    <cs:defRPr sz="1197"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64"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1197"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2128"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1E03EA-7127-4951-ABD8-617CD7F12262}" type="doc">
      <dgm:prSet loTypeId="urn:microsoft.com/office/officeart/2009/3/layout/PhasedProcess" loCatId="process" qsTypeId="urn:microsoft.com/office/officeart/2005/8/quickstyle/simple1" qsCatId="simple" csTypeId="urn:microsoft.com/office/officeart/2005/8/colors/accent1_2" csCatId="accent1" phldr="1"/>
      <dgm:spPr/>
      <dgm:t>
        <a:bodyPr/>
        <a:lstStyle/>
        <a:p>
          <a:endParaRPr lang="en-GB"/>
        </a:p>
      </dgm:t>
    </dgm:pt>
    <dgm:pt modelId="{BCF63FDB-DA84-4C0C-B064-CAA373A28BB4}">
      <dgm:prSet phldrT="[Text]" custT="1"/>
      <dgm:spPr/>
      <dgm:t>
        <a:bodyPr/>
        <a:lstStyle/>
        <a:p>
          <a:r>
            <a:rPr lang="sr-Cyrl-RS" sz="1000">
              <a:latin typeface="Times New Roman" panose="02020603050405020304" pitchFamily="18" charset="0"/>
              <a:cs typeface="Times New Roman" panose="02020603050405020304" pitchFamily="18" charset="0"/>
            </a:rPr>
            <a:t>Извештаји о спровођењу СП надлежних институција</a:t>
          </a:r>
          <a:endParaRPr lang="en-GB" sz="1000">
            <a:latin typeface="Times New Roman" panose="02020603050405020304" pitchFamily="18" charset="0"/>
            <a:cs typeface="Times New Roman" panose="02020603050405020304" pitchFamily="18" charset="0"/>
          </a:endParaRPr>
        </a:p>
      </dgm:t>
    </dgm:pt>
    <dgm:pt modelId="{21E48514-8BF0-49B7-9674-BE755116A1D6}" type="parTrans" cxnId="{4E16AB04-0045-430E-AECF-60F849A19F12}">
      <dgm:prSet/>
      <dgm:spPr/>
      <dgm:t>
        <a:bodyPr/>
        <a:lstStyle/>
        <a:p>
          <a:endParaRPr lang="en-GB"/>
        </a:p>
      </dgm:t>
    </dgm:pt>
    <dgm:pt modelId="{1A5CF0CB-106C-4419-BCF3-540DEC433CFA}" type="sibTrans" cxnId="{4E16AB04-0045-430E-AECF-60F849A19F12}">
      <dgm:prSet/>
      <dgm:spPr/>
      <dgm:t>
        <a:bodyPr/>
        <a:lstStyle/>
        <a:p>
          <a:endParaRPr lang="en-GB"/>
        </a:p>
      </dgm:t>
    </dgm:pt>
    <dgm:pt modelId="{06400001-2CDB-4EF1-911F-5106BB1AF914}">
      <dgm:prSet phldrT="[Text]"/>
      <dgm:spPr/>
      <dgm:t>
        <a:bodyPr/>
        <a:lstStyle/>
        <a:p>
          <a:r>
            <a:rPr lang="sr-Cyrl-RS">
              <a:latin typeface="Times New Roman" panose="02020603050405020304" pitchFamily="18" charset="0"/>
              <a:cs typeface="Times New Roman" panose="02020603050405020304" pitchFamily="18" charset="0"/>
            </a:rPr>
            <a:t>СП 1 </a:t>
          </a:r>
          <a:endParaRPr lang="en-GB">
            <a:latin typeface="Times New Roman" panose="02020603050405020304" pitchFamily="18" charset="0"/>
            <a:cs typeface="Times New Roman" panose="02020603050405020304" pitchFamily="18" charset="0"/>
          </a:endParaRPr>
        </a:p>
      </dgm:t>
    </dgm:pt>
    <dgm:pt modelId="{E340D63C-D77B-453A-9666-E1E08980D026}" type="parTrans" cxnId="{10D2B1B1-9849-4D1A-9A1F-58EA3B578776}">
      <dgm:prSet/>
      <dgm:spPr/>
      <dgm:t>
        <a:bodyPr/>
        <a:lstStyle/>
        <a:p>
          <a:endParaRPr lang="en-GB"/>
        </a:p>
      </dgm:t>
    </dgm:pt>
    <dgm:pt modelId="{A4E87769-AF17-45FF-85AA-251F17973EEA}" type="sibTrans" cxnId="{10D2B1B1-9849-4D1A-9A1F-58EA3B578776}">
      <dgm:prSet/>
      <dgm:spPr/>
      <dgm:t>
        <a:bodyPr/>
        <a:lstStyle/>
        <a:p>
          <a:endParaRPr lang="en-GB"/>
        </a:p>
      </dgm:t>
    </dgm:pt>
    <dgm:pt modelId="{3DB132B0-93CC-4888-A071-1ED83C37AD3E}">
      <dgm:prSet phldrT="[Text]"/>
      <dgm:spPr/>
      <dgm:t>
        <a:bodyPr/>
        <a:lstStyle/>
        <a:p>
          <a:r>
            <a:rPr lang="sr-Cyrl-RS">
              <a:latin typeface="Times New Roman" panose="02020603050405020304" pitchFamily="18" charset="0"/>
              <a:cs typeface="Times New Roman" panose="02020603050405020304" pitchFamily="18" charset="0"/>
            </a:rPr>
            <a:t>СП 2</a:t>
          </a:r>
          <a:endParaRPr lang="en-GB">
            <a:latin typeface="Times New Roman" panose="02020603050405020304" pitchFamily="18" charset="0"/>
            <a:cs typeface="Times New Roman" panose="02020603050405020304" pitchFamily="18" charset="0"/>
          </a:endParaRPr>
        </a:p>
      </dgm:t>
    </dgm:pt>
    <dgm:pt modelId="{48DB293B-53C8-43CD-8570-CB600661FA4A}" type="parTrans" cxnId="{F8CA5A61-9245-4798-A840-C0AB0B602FDA}">
      <dgm:prSet/>
      <dgm:spPr/>
      <dgm:t>
        <a:bodyPr/>
        <a:lstStyle/>
        <a:p>
          <a:endParaRPr lang="en-GB"/>
        </a:p>
      </dgm:t>
    </dgm:pt>
    <dgm:pt modelId="{E8F071A0-0605-4492-A215-8A69B634329A}" type="sibTrans" cxnId="{F8CA5A61-9245-4798-A840-C0AB0B602FDA}">
      <dgm:prSet/>
      <dgm:spPr/>
      <dgm:t>
        <a:bodyPr/>
        <a:lstStyle/>
        <a:p>
          <a:endParaRPr lang="en-GB"/>
        </a:p>
      </dgm:t>
    </dgm:pt>
    <dgm:pt modelId="{D49258F2-CA01-43A3-BAD4-D077A36C048E}">
      <dgm:prSet phldrT="[Text]"/>
      <dgm:spPr/>
      <dgm:t>
        <a:bodyPr/>
        <a:lstStyle/>
        <a:p>
          <a:r>
            <a:rPr lang="sr-Cyrl-RS">
              <a:latin typeface="Times New Roman" panose="02020603050405020304" pitchFamily="18" charset="0"/>
              <a:cs typeface="Times New Roman" panose="02020603050405020304" pitchFamily="18" charset="0"/>
            </a:rPr>
            <a:t>СП 3 </a:t>
          </a:r>
          <a:endParaRPr lang="en-GB">
            <a:latin typeface="Times New Roman" panose="02020603050405020304" pitchFamily="18" charset="0"/>
            <a:cs typeface="Times New Roman" panose="02020603050405020304" pitchFamily="18" charset="0"/>
          </a:endParaRPr>
        </a:p>
      </dgm:t>
    </dgm:pt>
    <dgm:pt modelId="{FA25623A-CF42-456D-9FC4-3E3A8946141E}" type="parTrans" cxnId="{F3929186-09AF-42AB-B39C-3FBC78C15D58}">
      <dgm:prSet/>
      <dgm:spPr/>
      <dgm:t>
        <a:bodyPr/>
        <a:lstStyle/>
        <a:p>
          <a:endParaRPr lang="en-GB"/>
        </a:p>
      </dgm:t>
    </dgm:pt>
    <dgm:pt modelId="{F2218F4D-766E-4526-BDE7-226DA7FB0D57}" type="sibTrans" cxnId="{F3929186-09AF-42AB-B39C-3FBC78C15D58}">
      <dgm:prSet/>
      <dgm:spPr/>
      <dgm:t>
        <a:bodyPr/>
        <a:lstStyle/>
        <a:p>
          <a:endParaRPr lang="en-GB"/>
        </a:p>
      </dgm:t>
    </dgm:pt>
    <dgm:pt modelId="{8838162E-6A7F-4CF0-A028-51FDD405FA83}">
      <dgm:prSet phldrT="[Text]" custT="1"/>
      <dgm:spPr/>
      <dgm:t>
        <a:bodyPr/>
        <a:lstStyle/>
        <a:p>
          <a:r>
            <a:rPr lang="sr-Cyrl-RS" sz="1000">
              <a:latin typeface="Times New Roman" panose="02020603050405020304" pitchFamily="18" charset="0"/>
              <a:cs typeface="Times New Roman" panose="02020603050405020304" pitchFamily="18" charset="0"/>
            </a:rPr>
            <a:t>Извештаји о спровођењу АП програма који су повезани са Стратегијом</a:t>
          </a:r>
          <a:endParaRPr lang="en-GB" sz="1000">
            <a:latin typeface="Times New Roman" panose="02020603050405020304" pitchFamily="18" charset="0"/>
            <a:cs typeface="Times New Roman" panose="02020603050405020304" pitchFamily="18" charset="0"/>
          </a:endParaRPr>
        </a:p>
      </dgm:t>
    </dgm:pt>
    <dgm:pt modelId="{CF55A4CF-1DC9-4452-BD2D-F3B268F14D49}" type="parTrans" cxnId="{11BFC56E-1E2F-4C36-BCEB-045E1C126000}">
      <dgm:prSet/>
      <dgm:spPr/>
      <dgm:t>
        <a:bodyPr/>
        <a:lstStyle/>
        <a:p>
          <a:endParaRPr lang="en-GB"/>
        </a:p>
      </dgm:t>
    </dgm:pt>
    <dgm:pt modelId="{11F57727-F77E-4444-A6DF-7110CBBE9DB1}" type="sibTrans" cxnId="{11BFC56E-1E2F-4C36-BCEB-045E1C126000}">
      <dgm:prSet/>
      <dgm:spPr/>
      <dgm:t>
        <a:bodyPr/>
        <a:lstStyle/>
        <a:p>
          <a:endParaRPr lang="en-GB"/>
        </a:p>
      </dgm:t>
    </dgm:pt>
    <dgm:pt modelId="{0621F222-4409-4645-AA65-F56BF357BE41}">
      <dgm:prSet phldrT="[Text]" custT="1"/>
      <dgm:spPr/>
      <dgm:t>
        <a:bodyPr/>
        <a:lstStyle/>
        <a:p>
          <a:r>
            <a:rPr lang="sr-Cyrl-RS" sz="900">
              <a:latin typeface="Times New Roman" panose="02020603050405020304" pitchFamily="18" charset="0"/>
              <a:cs typeface="Times New Roman" panose="02020603050405020304" pitchFamily="18" charset="0"/>
            </a:rPr>
            <a:t>АП Програма 1</a:t>
          </a:r>
          <a:endParaRPr lang="en-GB" sz="900">
            <a:latin typeface="Times New Roman" panose="02020603050405020304" pitchFamily="18" charset="0"/>
            <a:cs typeface="Times New Roman" panose="02020603050405020304" pitchFamily="18" charset="0"/>
          </a:endParaRPr>
        </a:p>
      </dgm:t>
    </dgm:pt>
    <dgm:pt modelId="{C730D066-D5C1-4413-BF98-19CFE58FE817}" type="parTrans" cxnId="{1BE23718-AD07-4642-843D-881F8BE5D575}">
      <dgm:prSet/>
      <dgm:spPr/>
      <dgm:t>
        <a:bodyPr/>
        <a:lstStyle/>
        <a:p>
          <a:endParaRPr lang="en-GB"/>
        </a:p>
      </dgm:t>
    </dgm:pt>
    <dgm:pt modelId="{943499F4-B9BA-4801-8C17-0B83D5B04DC4}" type="sibTrans" cxnId="{1BE23718-AD07-4642-843D-881F8BE5D575}">
      <dgm:prSet/>
      <dgm:spPr/>
      <dgm:t>
        <a:bodyPr/>
        <a:lstStyle/>
        <a:p>
          <a:endParaRPr lang="en-GB"/>
        </a:p>
      </dgm:t>
    </dgm:pt>
    <dgm:pt modelId="{7AA2853C-4D21-4187-BC6A-F5D3EBD45F67}">
      <dgm:prSet phldrT="[Text]" custT="1"/>
      <dgm:spPr/>
      <dgm:t>
        <a:bodyPr/>
        <a:lstStyle/>
        <a:p>
          <a:pPr algn="ctr"/>
          <a:r>
            <a:rPr lang="sr-Cyrl-RS" sz="900">
              <a:latin typeface="Times New Roman" panose="02020603050405020304" pitchFamily="18" charset="0"/>
              <a:cs typeface="Times New Roman" panose="02020603050405020304" pitchFamily="18" charset="0"/>
            </a:rPr>
            <a:t>АП Програма 2</a:t>
          </a:r>
          <a:endParaRPr lang="en-GB" sz="900">
            <a:latin typeface="Times New Roman" panose="02020603050405020304" pitchFamily="18" charset="0"/>
            <a:cs typeface="Times New Roman" panose="02020603050405020304" pitchFamily="18" charset="0"/>
          </a:endParaRPr>
        </a:p>
      </dgm:t>
    </dgm:pt>
    <dgm:pt modelId="{F5AD178D-E4B0-42CD-98C7-D3AF0A9A9630}" type="parTrans" cxnId="{A6B2484E-0AD9-4133-87EC-BC4784539392}">
      <dgm:prSet/>
      <dgm:spPr/>
      <dgm:t>
        <a:bodyPr/>
        <a:lstStyle/>
        <a:p>
          <a:endParaRPr lang="en-GB"/>
        </a:p>
      </dgm:t>
    </dgm:pt>
    <dgm:pt modelId="{03FFAEBD-99AC-438B-82BB-35AE1C6FBB7D}" type="sibTrans" cxnId="{A6B2484E-0AD9-4133-87EC-BC4784539392}">
      <dgm:prSet/>
      <dgm:spPr/>
      <dgm:t>
        <a:bodyPr/>
        <a:lstStyle/>
        <a:p>
          <a:endParaRPr lang="en-GB"/>
        </a:p>
      </dgm:t>
    </dgm:pt>
    <dgm:pt modelId="{08252073-DD66-433B-95E2-ABFCF92E9E9F}">
      <dgm:prSet phldrT="[Text]" custT="1"/>
      <dgm:spPr/>
      <dgm:t>
        <a:bodyPr/>
        <a:lstStyle/>
        <a:p>
          <a:r>
            <a:rPr lang="sr-Cyrl-RS" sz="1000">
              <a:latin typeface="Times New Roman" panose="02020603050405020304" pitchFamily="18" charset="0"/>
              <a:cs typeface="Times New Roman" panose="02020603050405020304" pitchFamily="18" charset="0"/>
            </a:rPr>
            <a:t>Извештај о спроовђењу АП Стратегије</a:t>
          </a:r>
          <a:endParaRPr lang="en-GB" sz="1000">
            <a:latin typeface="Times New Roman" panose="02020603050405020304" pitchFamily="18" charset="0"/>
            <a:cs typeface="Times New Roman" panose="02020603050405020304" pitchFamily="18" charset="0"/>
          </a:endParaRPr>
        </a:p>
      </dgm:t>
    </dgm:pt>
    <dgm:pt modelId="{4CDCA19F-DA2F-47A9-A543-966AA4CC32C2}" type="parTrans" cxnId="{DFD11ED2-7561-492B-956E-1392CCA4BED5}">
      <dgm:prSet/>
      <dgm:spPr/>
      <dgm:t>
        <a:bodyPr/>
        <a:lstStyle/>
        <a:p>
          <a:endParaRPr lang="en-GB"/>
        </a:p>
      </dgm:t>
    </dgm:pt>
    <dgm:pt modelId="{D5DEF308-92BA-4C44-90C1-B973F0DE1063}" type="sibTrans" cxnId="{DFD11ED2-7561-492B-956E-1392CCA4BED5}">
      <dgm:prSet/>
      <dgm:spPr/>
      <dgm:t>
        <a:bodyPr/>
        <a:lstStyle/>
        <a:p>
          <a:endParaRPr lang="en-GB"/>
        </a:p>
      </dgm:t>
    </dgm:pt>
    <dgm:pt modelId="{2EB25EC2-2B6A-4661-A616-4F912B309A3C}">
      <dgm:prSet phldrT="[Text]" custT="1"/>
      <dgm:spPr/>
      <dgm:t>
        <a:bodyPr/>
        <a:lstStyle/>
        <a:p>
          <a:r>
            <a:rPr lang="sr-Cyrl-RS" sz="1200">
              <a:latin typeface="Times New Roman" panose="02020603050405020304" pitchFamily="18" charset="0"/>
              <a:cs typeface="Times New Roman" panose="02020603050405020304" pitchFamily="18" charset="0"/>
            </a:rPr>
            <a:t>АП Стратегије</a:t>
          </a:r>
          <a:endParaRPr lang="en-GB" sz="1200">
            <a:latin typeface="Times New Roman" panose="02020603050405020304" pitchFamily="18" charset="0"/>
            <a:cs typeface="Times New Roman" panose="02020603050405020304" pitchFamily="18" charset="0"/>
          </a:endParaRPr>
        </a:p>
      </dgm:t>
    </dgm:pt>
    <dgm:pt modelId="{7792FE0F-2FB1-4A78-ADFE-7A47588ABA13}" type="parTrans" cxnId="{D8A4BE72-7C2D-402F-94A1-DB58F174465C}">
      <dgm:prSet/>
      <dgm:spPr/>
      <dgm:t>
        <a:bodyPr/>
        <a:lstStyle/>
        <a:p>
          <a:endParaRPr lang="en-GB"/>
        </a:p>
      </dgm:t>
    </dgm:pt>
    <dgm:pt modelId="{C15FDB78-384F-4DBB-A31F-5FEC7993186A}" type="sibTrans" cxnId="{D8A4BE72-7C2D-402F-94A1-DB58F174465C}">
      <dgm:prSet/>
      <dgm:spPr/>
      <dgm:t>
        <a:bodyPr/>
        <a:lstStyle/>
        <a:p>
          <a:endParaRPr lang="en-GB"/>
        </a:p>
      </dgm:t>
    </dgm:pt>
    <dgm:pt modelId="{E656EAB8-4A63-460F-960E-EF40D3915D1A}">
      <dgm:prSet custT="1"/>
      <dgm:spPr/>
      <dgm:t>
        <a:bodyPr/>
        <a:lstStyle/>
        <a:p>
          <a:pPr algn="ctr"/>
          <a:r>
            <a:rPr lang="sr-Cyrl-RS" sz="900">
              <a:latin typeface="Times New Roman" panose="02020603050405020304" pitchFamily="18" charset="0"/>
              <a:cs typeface="Times New Roman" panose="02020603050405020304" pitchFamily="18" charset="0"/>
            </a:rPr>
            <a:t>АП Програма 3</a:t>
          </a:r>
          <a:endParaRPr lang="en-GB" sz="900">
            <a:latin typeface="Times New Roman" panose="02020603050405020304" pitchFamily="18" charset="0"/>
            <a:cs typeface="Times New Roman" panose="02020603050405020304" pitchFamily="18" charset="0"/>
          </a:endParaRPr>
        </a:p>
      </dgm:t>
    </dgm:pt>
    <dgm:pt modelId="{0A7EBB2A-D1E0-488D-94E9-99D3AD057A74}" type="parTrans" cxnId="{1F7755CF-BA98-48C9-B405-236E8BF600C8}">
      <dgm:prSet/>
      <dgm:spPr/>
      <dgm:t>
        <a:bodyPr/>
        <a:lstStyle/>
        <a:p>
          <a:endParaRPr lang="en-GB"/>
        </a:p>
      </dgm:t>
    </dgm:pt>
    <dgm:pt modelId="{210C4A2C-4559-4823-BC4D-CF0E8A40A663}" type="sibTrans" cxnId="{1F7755CF-BA98-48C9-B405-236E8BF600C8}">
      <dgm:prSet/>
      <dgm:spPr/>
      <dgm:t>
        <a:bodyPr/>
        <a:lstStyle/>
        <a:p>
          <a:endParaRPr lang="en-GB"/>
        </a:p>
      </dgm:t>
    </dgm:pt>
    <dgm:pt modelId="{35BFE76A-B277-49DC-B058-F90DA5ED8CCB}" type="pres">
      <dgm:prSet presAssocID="{4F1E03EA-7127-4951-ABD8-617CD7F12262}" presName="Name0" presStyleCnt="0">
        <dgm:presLayoutVars>
          <dgm:chMax val="3"/>
          <dgm:chPref val="3"/>
          <dgm:bulletEnabled val="1"/>
          <dgm:dir/>
          <dgm:animLvl val="lvl"/>
        </dgm:presLayoutVars>
      </dgm:prSet>
      <dgm:spPr/>
    </dgm:pt>
    <dgm:pt modelId="{C5FDB43C-27C8-4B69-A54B-CA09DCC41551}" type="pres">
      <dgm:prSet presAssocID="{4F1E03EA-7127-4951-ABD8-617CD7F12262}" presName="arc1" presStyleLbl="node1" presStyleIdx="0" presStyleCnt="4"/>
      <dgm:spPr/>
    </dgm:pt>
    <dgm:pt modelId="{964B7686-0EED-4A92-A193-6E775FA4CFA0}" type="pres">
      <dgm:prSet presAssocID="{4F1E03EA-7127-4951-ABD8-617CD7F12262}" presName="arc3" presStyleLbl="node1" presStyleIdx="1" presStyleCnt="4" custScaleX="104834"/>
      <dgm:spPr/>
    </dgm:pt>
    <dgm:pt modelId="{77C3577F-DCB8-43C7-AE6F-8A2F7165F6D4}" type="pres">
      <dgm:prSet presAssocID="{4F1E03EA-7127-4951-ABD8-617CD7F12262}" presName="parentText2" presStyleLbl="revTx" presStyleIdx="0" presStyleCnt="3" custScaleX="138576">
        <dgm:presLayoutVars>
          <dgm:chMax val="4"/>
          <dgm:chPref val="3"/>
          <dgm:bulletEnabled val="1"/>
        </dgm:presLayoutVars>
      </dgm:prSet>
      <dgm:spPr/>
    </dgm:pt>
    <dgm:pt modelId="{157D266A-34E4-4C3D-9EF9-DC6A0A64096A}" type="pres">
      <dgm:prSet presAssocID="{4F1E03EA-7127-4951-ABD8-617CD7F12262}" presName="arc2" presStyleLbl="node1" presStyleIdx="2" presStyleCnt="4" custLinFactNeighborX="3140"/>
      <dgm:spPr/>
    </dgm:pt>
    <dgm:pt modelId="{49CEBF6A-39B5-4068-A8E3-FB6F4F3357EE}" type="pres">
      <dgm:prSet presAssocID="{4F1E03EA-7127-4951-ABD8-617CD7F12262}" presName="arc4" presStyleLbl="node1" presStyleIdx="3" presStyleCnt="4"/>
      <dgm:spPr/>
    </dgm:pt>
    <dgm:pt modelId="{B61106F2-114B-4CF2-B95C-F544EE13B802}" type="pres">
      <dgm:prSet presAssocID="{4F1E03EA-7127-4951-ABD8-617CD7F12262}" presName="parentText3" presStyleLbl="revTx" presStyleIdx="1" presStyleCnt="3" custScaleX="130993" custLinFactNeighborX="10250" custLinFactNeighborY="1962">
        <dgm:presLayoutVars>
          <dgm:chMax val="1"/>
          <dgm:chPref val="1"/>
          <dgm:bulletEnabled val="1"/>
        </dgm:presLayoutVars>
      </dgm:prSet>
      <dgm:spPr/>
    </dgm:pt>
    <dgm:pt modelId="{0E23C0AB-63A9-4AFA-BDBC-FB0665655E64}" type="pres">
      <dgm:prSet presAssocID="{4F1E03EA-7127-4951-ABD8-617CD7F12262}" presName="middleComposite" presStyleCnt="0"/>
      <dgm:spPr/>
    </dgm:pt>
    <dgm:pt modelId="{A96ABA1D-902F-499E-A16A-C085429E89B3}" type="pres">
      <dgm:prSet presAssocID="{0621F222-4409-4645-AA65-F56BF357BE41}" presName="circ1" presStyleLbl="vennNode1" presStyleIdx="0" presStyleCnt="9" custScaleX="107997" custScaleY="105116" custLinFactNeighborX="-3938" custLinFactNeighborY="-25576"/>
      <dgm:spPr/>
    </dgm:pt>
    <dgm:pt modelId="{4E9E75E7-9586-49E1-963B-58638A0473A7}" type="pres">
      <dgm:prSet presAssocID="{0621F222-4409-4645-AA65-F56BF357BE41}" presName="circ1Tx" presStyleLbl="revTx" presStyleIdx="1" presStyleCnt="3">
        <dgm:presLayoutVars>
          <dgm:chMax val="0"/>
          <dgm:chPref val="0"/>
        </dgm:presLayoutVars>
      </dgm:prSet>
      <dgm:spPr/>
    </dgm:pt>
    <dgm:pt modelId="{84C6C22A-3770-4DB3-88B5-867AF55BFA56}" type="pres">
      <dgm:prSet presAssocID="{E656EAB8-4A63-460F-960E-EF40D3915D1A}" presName="circ2" presStyleLbl="vennNode1" presStyleIdx="1" presStyleCnt="9" custScaleX="111321" custScaleY="104556" custLinFactNeighborX="19439" custLinFactNeighborY="-15968"/>
      <dgm:spPr/>
    </dgm:pt>
    <dgm:pt modelId="{0F2FBB9E-8EB7-4ED6-9BA5-0800B8174E69}" type="pres">
      <dgm:prSet presAssocID="{E656EAB8-4A63-460F-960E-EF40D3915D1A}" presName="circ2Tx" presStyleLbl="revTx" presStyleIdx="1" presStyleCnt="3">
        <dgm:presLayoutVars>
          <dgm:chMax val="0"/>
          <dgm:chPref val="0"/>
        </dgm:presLayoutVars>
      </dgm:prSet>
      <dgm:spPr/>
    </dgm:pt>
    <dgm:pt modelId="{5AEB2106-5667-4CA5-8F23-23CD720552AC}" type="pres">
      <dgm:prSet presAssocID="{7AA2853C-4D21-4187-BC6A-F5D3EBD45F67}" presName="circ3" presStyleLbl="vennNode1" presStyleIdx="2" presStyleCnt="9" custScaleX="108264" custScaleY="97856" custLinFactNeighborX="-9971" custLinFactNeighborY="-8650"/>
      <dgm:spPr/>
    </dgm:pt>
    <dgm:pt modelId="{8A6D1B4B-B3F8-4409-88E2-49A7D067F4F6}" type="pres">
      <dgm:prSet presAssocID="{7AA2853C-4D21-4187-BC6A-F5D3EBD45F67}" presName="circ3Tx" presStyleLbl="revTx" presStyleIdx="1" presStyleCnt="3">
        <dgm:presLayoutVars>
          <dgm:chMax val="0"/>
          <dgm:chPref val="0"/>
        </dgm:presLayoutVars>
      </dgm:prSet>
      <dgm:spPr/>
    </dgm:pt>
    <dgm:pt modelId="{0A245EC5-B38B-4152-B463-769983DBED18}" type="pres">
      <dgm:prSet presAssocID="{4F1E03EA-7127-4951-ABD8-617CD7F12262}" presName="leftComposite" presStyleCnt="0"/>
      <dgm:spPr/>
    </dgm:pt>
    <dgm:pt modelId="{7D9128F0-AAAC-462C-BFFE-22A4463957FF}" type="pres">
      <dgm:prSet presAssocID="{06400001-2CDB-4EF1-911F-5106BB1AF914}" presName="childText1_1" presStyleLbl="vennNode1" presStyleIdx="3" presStyleCnt="9">
        <dgm:presLayoutVars>
          <dgm:chMax val="0"/>
          <dgm:chPref val="0"/>
        </dgm:presLayoutVars>
      </dgm:prSet>
      <dgm:spPr/>
    </dgm:pt>
    <dgm:pt modelId="{8144C2B1-A7C5-4537-AB36-47797C5E684B}" type="pres">
      <dgm:prSet presAssocID="{06400001-2CDB-4EF1-911F-5106BB1AF914}" presName="ellipse1" presStyleLbl="vennNode1" presStyleIdx="4" presStyleCnt="9" custLinFactY="44109" custLinFactNeighborX="57124" custLinFactNeighborY="100000"/>
      <dgm:spPr/>
    </dgm:pt>
    <dgm:pt modelId="{88138262-0C1E-40DC-A4E0-CA5214A74373}" type="pres">
      <dgm:prSet presAssocID="{06400001-2CDB-4EF1-911F-5106BB1AF914}" presName="ellipse2" presStyleLbl="vennNode1" presStyleIdx="5" presStyleCnt="9"/>
      <dgm:spPr/>
    </dgm:pt>
    <dgm:pt modelId="{FA5A7AD1-940C-4897-9C3A-615E97753512}" type="pres">
      <dgm:prSet presAssocID="{3DB132B0-93CC-4888-A071-1ED83C37AD3E}" presName="childText1_2" presStyleLbl="vennNode1" presStyleIdx="6" presStyleCnt="9">
        <dgm:presLayoutVars>
          <dgm:chMax val="0"/>
          <dgm:chPref val="0"/>
        </dgm:presLayoutVars>
      </dgm:prSet>
      <dgm:spPr/>
    </dgm:pt>
    <dgm:pt modelId="{6D12896E-718B-4EE5-BF2C-611813B9BA64}" type="pres">
      <dgm:prSet presAssocID="{3DB132B0-93CC-4888-A071-1ED83C37AD3E}" presName="ellipse3" presStyleLbl="vennNode1" presStyleIdx="7" presStyleCnt="9"/>
      <dgm:spPr/>
    </dgm:pt>
    <dgm:pt modelId="{508D15E3-0403-426E-9FE2-39D33C00BC60}" type="pres">
      <dgm:prSet presAssocID="{D49258F2-CA01-43A3-BAD4-D077A36C048E}" presName="childText1_3" presStyleLbl="vennNode1" presStyleIdx="8" presStyleCnt="9">
        <dgm:presLayoutVars>
          <dgm:chMax val="0"/>
          <dgm:chPref val="0"/>
        </dgm:presLayoutVars>
      </dgm:prSet>
      <dgm:spPr/>
    </dgm:pt>
    <dgm:pt modelId="{DFF5F08E-7094-40A8-AE40-CB240F2F1FE1}" type="pres">
      <dgm:prSet presAssocID="{4F1E03EA-7127-4951-ABD8-617CD7F12262}" presName="rightChild" presStyleLbl="node2" presStyleIdx="0" presStyleCnt="1" custScaleX="115639" custScaleY="111465">
        <dgm:presLayoutVars>
          <dgm:chMax val="0"/>
          <dgm:chPref val="0"/>
        </dgm:presLayoutVars>
      </dgm:prSet>
      <dgm:spPr/>
    </dgm:pt>
    <dgm:pt modelId="{9F98F6AE-C057-4466-916B-3B764BDBA88F}" type="pres">
      <dgm:prSet presAssocID="{4F1E03EA-7127-4951-ABD8-617CD7F12262}" presName="parentText1" presStyleLbl="revTx" presStyleIdx="2" presStyleCnt="3" custScaleX="125717">
        <dgm:presLayoutVars>
          <dgm:chMax val="4"/>
          <dgm:chPref val="3"/>
          <dgm:bulletEnabled val="1"/>
        </dgm:presLayoutVars>
      </dgm:prSet>
      <dgm:spPr/>
    </dgm:pt>
  </dgm:ptLst>
  <dgm:cxnLst>
    <dgm:cxn modelId="{4E16AB04-0045-430E-AECF-60F849A19F12}" srcId="{4F1E03EA-7127-4951-ABD8-617CD7F12262}" destId="{BCF63FDB-DA84-4C0C-B064-CAA373A28BB4}" srcOrd="0" destOrd="0" parTransId="{21E48514-8BF0-49B7-9674-BE755116A1D6}" sibTransId="{1A5CF0CB-106C-4419-BCF3-540DEC433CFA}"/>
    <dgm:cxn modelId="{3A432409-CFB0-420B-A01D-F4A5D0A056DF}" type="presOf" srcId="{D49258F2-CA01-43A3-BAD4-D077A36C048E}" destId="{508D15E3-0403-426E-9FE2-39D33C00BC60}" srcOrd="0" destOrd="0" presId="urn:microsoft.com/office/officeart/2009/3/layout/PhasedProcess"/>
    <dgm:cxn modelId="{1BE23718-AD07-4642-843D-881F8BE5D575}" srcId="{8838162E-6A7F-4CF0-A028-51FDD405FA83}" destId="{0621F222-4409-4645-AA65-F56BF357BE41}" srcOrd="0" destOrd="0" parTransId="{C730D066-D5C1-4413-BF98-19CFE58FE817}" sibTransId="{943499F4-B9BA-4801-8C17-0B83D5B04DC4}"/>
    <dgm:cxn modelId="{AFBEE729-A031-402D-81A4-F9793F0E5A67}" type="presOf" srcId="{0621F222-4409-4645-AA65-F56BF357BE41}" destId="{A96ABA1D-902F-499E-A16A-C085429E89B3}" srcOrd="0" destOrd="0" presId="urn:microsoft.com/office/officeart/2009/3/layout/PhasedProcess"/>
    <dgm:cxn modelId="{D9245D2A-DB6C-47E8-9309-1E392071041E}" type="presOf" srcId="{E656EAB8-4A63-460F-960E-EF40D3915D1A}" destId="{84C6C22A-3770-4DB3-88B5-867AF55BFA56}" srcOrd="0" destOrd="0" presId="urn:microsoft.com/office/officeart/2009/3/layout/PhasedProcess"/>
    <dgm:cxn modelId="{54D83939-6DFF-4B65-8D54-D197B4166F55}" type="presOf" srcId="{06400001-2CDB-4EF1-911F-5106BB1AF914}" destId="{7D9128F0-AAAC-462C-BFFE-22A4463957FF}" srcOrd="0" destOrd="0" presId="urn:microsoft.com/office/officeart/2009/3/layout/PhasedProcess"/>
    <dgm:cxn modelId="{F8CA5A61-9245-4798-A840-C0AB0B602FDA}" srcId="{BCF63FDB-DA84-4C0C-B064-CAA373A28BB4}" destId="{3DB132B0-93CC-4888-A071-1ED83C37AD3E}" srcOrd="1" destOrd="0" parTransId="{48DB293B-53C8-43CD-8570-CB600661FA4A}" sibTransId="{E8F071A0-0605-4492-A215-8A69B634329A}"/>
    <dgm:cxn modelId="{22199D49-D391-4070-9313-4A3BBE4595E8}" type="presOf" srcId="{7AA2853C-4D21-4187-BC6A-F5D3EBD45F67}" destId="{5AEB2106-5667-4CA5-8F23-23CD720552AC}" srcOrd="0" destOrd="0" presId="urn:microsoft.com/office/officeart/2009/3/layout/PhasedProcess"/>
    <dgm:cxn modelId="{193C9A4A-C594-4864-8D0A-F5D7B877500B}" type="presOf" srcId="{3DB132B0-93CC-4888-A071-1ED83C37AD3E}" destId="{FA5A7AD1-940C-4897-9C3A-615E97753512}" srcOrd="0" destOrd="0" presId="urn:microsoft.com/office/officeart/2009/3/layout/PhasedProcess"/>
    <dgm:cxn modelId="{FB11F46D-A76E-4905-9CF5-8783FF329A31}" type="presOf" srcId="{0621F222-4409-4645-AA65-F56BF357BE41}" destId="{4E9E75E7-9586-49E1-963B-58638A0473A7}" srcOrd="1" destOrd="0" presId="urn:microsoft.com/office/officeart/2009/3/layout/PhasedProcess"/>
    <dgm:cxn modelId="{A6B2484E-0AD9-4133-87EC-BC4784539392}" srcId="{8838162E-6A7F-4CF0-A028-51FDD405FA83}" destId="{7AA2853C-4D21-4187-BC6A-F5D3EBD45F67}" srcOrd="2" destOrd="0" parTransId="{F5AD178D-E4B0-42CD-98C7-D3AF0A9A9630}" sibTransId="{03FFAEBD-99AC-438B-82BB-35AE1C6FBB7D}"/>
    <dgm:cxn modelId="{11BFC56E-1E2F-4C36-BCEB-045E1C126000}" srcId="{4F1E03EA-7127-4951-ABD8-617CD7F12262}" destId="{8838162E-6A7F-4CF0-A028-51FDD405FA83}" srcOrd="1" destOrd="0" parTransId="{CF55A4CF-1DC9-4452-BD2D-F3B268F14D49}" sibTransId="{11F57727-F77E-4444-A6DF-7110CBBE9DB1}"/>
    <dgm:cxn modelId="{D8A4BE72-7C2D-402F-94A1-DB58F174465C}" srcId="{08252073-DD66-433B-95E2-ABFCF92E9E9F}" destId="{2EB25EC2-2B6A-4661-A616-4F912B309A3C}" srcOrd="0" destOrd="0" parTransId="{7792FE0F-2FB1-4A78-ADFE-7A47588ABA13}" sibTransId="{C15FDB78-384F-4DBB-A31F-5FEC7993186A}"/>
    <dgm:cxn modelId="{F3929186-09AF-42AB-B39C-3FBC78C15D58}" srcId="{BCF63FDB-DA84-4C0C-B064-CAA373A28BB4}" destId="{D49258F2-CA01-43A3-BAD4-D077A36C048E}" srcOrd="2" destOrd="0" parTransId="{FA25623A-CF42-456D-9FC4-3E3A8946141E}" sibTransId="{F2218F4D-766E-4526-BDE7-226DA7FB0D57}"/>
    <dgm:cxn modelId="{6AA0468F-96BC-4CF5-95C5-8A6F4D3D1E53}" type="presOf" srcId="{E656EAB8-4A63-460F-960E-EF40D3915D1A}" destId="{0F2FBB9E-8EB7-4ED6-9BA5-0800B8174E69}" srcOrd="1" destOrd="0" presId="urn:microsoft.com/office/officeart/2009/3/layout/PhasedProcess"/>
    <dgm:cxn modelId="{A6B40EA4-174D-4DE0-AEB7-00C5081BDCA4}" type="presOf" srcId="{7AA2853C-4D21-4187-BC6A-F5D3EBD45F67}" destId="{8A6D1B4B-B3F8-4409-88E2-49A7D067F4F6}" srcOrd="1" destOrd="0" presId="urn:microsoft.com/office/officeart/2009/3/layout/PhasedProcess"/>
    <dgm:cxn modelId="{B29790AC-EE91-42B2-885A-8C40CF7E5A76}" type="presOf" srcId="{8838162E-6A7F-4CF0-A028-51FDD405FA83}" destId="{77C3577F-DCB8-43C7-AE6F-8A2F7165F6D4}" srcOrd="0" destOrd="0" presId="urn:microsoft.com/office/officeart/2009/3/layout/PhasedProcess"/>
    <dgm:cxn modelId="{10D2B1B1-9849-4D1A-9A1F-58EA3B578776}" srcId="{BCF63FDB-DA84-4C0C-B064-CAA373A28BB4}" destId="{06400001-2CDB-4EF1-911F-5106BB1AF914}" srcOrd="0" destOrd="0" parTransId="{E340D63C-D77B-453A-9666-E1E08980D026}" sibTransId="{A4E87769-AF17-45FF-85AA-251F17973EEA}"/>
    <dgm:cxn modelId="{6F1136BA-0232-4C90-A4AB-24B4C2EA4025}" type="presOf" srcId="{BCF63FDB-DA84-4C0C-B064-CAA373A28BB4}" destId="{9F98F6AE-C057-4466-916B-3B764BDBA88F}" srcOrd="0" destOrd="0" presId="urn:microsoft.com/office/officeart/2009/3/layout/PhasedProcess"/>
    <dgm:cxn modelId="{ECF48BBE-18DB-4886-A360-AADD01707A91}" type="presOf" srcId="{4F1E03EA-7127-4951-ABD8-617CD7F12262}" destId="{35BFE76A-B277-49DC-B058-F90DA5ED8CCB}" srcOrd="0" destOrd="0" presId="urn:microsoft.com/office/officeart/2009/3/layout/PhasedProcess"/>
    <dgm:cxn modelId="{1F7755CF-BA98-48C9-B405-236E8BF600C8}" srcId="{8838162E-6A7F-4CF0-A028-51FDD405FA83}" destId="{E656EAB8-4A63-460F-960E-EF40D3915D1A}" srcOrd="1" destOrd="0" parTransId="{0A7EBB2A-D1E0-488D-94E9-99D3AD057A74}" sibTransId="{210C4A2C-4559-4823-BC4D-CF0E8A40A663}"/>
    <dgm:cxn modelId="{DFD11ED2-7561-492B-956E-1392CCA4BED5}" srcId="{4F1E03EA-7127-4951-ABD8-617CD7F12262}" destId="{08252073-DD66-433B-95E2-ABFCF92E9E9F}" srcOrd="2" destOrd="0" parTransId="{4CDCA19F-DA2F-47A9-A543-966AA4CC32C2}" sibTransId="{D5DEF308-92BA-4C44-90C1-B973F0DE1063}"/>
    <dgm:cxn modelId="{B455E7D8-0B26-4EC4-A0B4-FDF69AA2E317}" type="presOf" srcId="{08252073-DD66-433B-95E2-ABFCF92E9E9F}" destId="{B61106F2-114B-4CF2-B95C-F544EE13B802}" srcOrd="0" destOrd="0" presId="urn:microsoft.com/office/officeart/2009/3/layout/PhasedProcess"/>
    <dgm:cxn modelId="{2F7236F0-B72C-4A28-A4C3-1F12024B0CD1}" type="presOf" srcId="{2EB25EC2-2B6A-4661-A616-4F912B309A3C}" destId="{DFF5F08E-7094-40A8-AE40-CB240F2F1FE1}" srcOrd="0" destOrd="0" presId="urn:microsoft.com/office/officeart/2009/3/layout/PhasedProcess"/>
    <dgm:cxn modelId="{AB379F79-D9D7-49D7-9351-99B9E9C7D281}" type="presParOf" srcId="{35BFE76A-B277-49DC-B058-F90DA5ED8CCB}" destId="{C5FDB43C-27C8-4B69-A54B-CA09DCC41551}" srcOrd="0" destOrd="0" presId="urn:microsoft.com/office/officeart/2009/3/layout/PhasedProcess"/>
    <dgm:cxn modelId="{DDD91F30-271F-4BED-AAC8-F986961C939A}" type="presParOf" srcId="{35BFE76A-B277-49DC-B058-F90DA5ED8CCB}" destId="{964B7686-0EED-4A92-A193-6E775FA4CFA0}" srcOrd="1" destOrd="0" presId="urn:microsoft.com/office/officeart/2009/3/layout/PhasedProcess"/>
    <dgm:cxn modelId="{993057C9-5690-46BA-8C4E-5E4D85FDA3AF}" type="presParOf" srcId="{35BFE76A-B277-49DC-B058-F90DA5ED8CCB}" destId="{77C3577F-DCB8-43C7-AE6F-8A2F7165F6D4}" srcOrd="2" destOrd="0" presId="urn:microsoft.com/office/officeart/2009/3/layout/PhasedProcess"/>
    <dgm:cxn modelId="{BF57BB4F-0CF5-40E4-9E84-D0AC49C9331F}" type="presParOf" srcId="{35BFE76A-B277-49DC-B058-F90DA5ED8CCB}" destId="{157D266A-34E4-4C3D-9EF9-DC6A0A64096A}" srcOrd="3" destOrd="0" presId="urn:microsoft.com/office/officeart/2009/3/layout/PhasedProcess"/>
    <dgm:cxn modelId="{F6E65D8E-AFA9-4CC9-9E37-1E76221CADDD}" type="presParOf" srcId="{35BFE76A-B277-49DC-B058-F90DA5ED8CCB}" destId="{49CEBF6A-39B5-4068-A8E3-FB6F4F3357EE}" srcOrd="4" destOrd="0" presId="urn:microsoft.com/office/officeart/2009/3/layout/PhasedProcess"/>
    <dgm:cxn modelId="{084D9DC7-0D8A-46BE-B3B6-917EDF7C08D0}" type="presParOf" srcId="{35BFE76A-B277-49DC-B058-F90DA5ED8CCB}" destId="{B61106F2-114B-4CF2-B95C-F544EE13B802}" srcOrd="5" destOrd="0" presId="urn:microsoft.com/office/officeart/2009/3/layout/PhasedProcess"/>
    <dgm:cxn modelId="{646ED8FC-7A07-440B-8DC1-84930F2BAB41}" type="presParOf" srcId="{35BFE76A-B277-49DC-B058-F90DA5ED8CCB}" destId="{0E23C0AB-63A9-4AFA-BDBC-FB0665655E64}" srcOrd="6" destOrd="0" presId="urn:microsoft.com/office/officeart/2009/3/layout/PhasedProcess"/>
    <dgm:cxn modelId="{79D553CD-F55F-463E-A90B-6B0D550A29D1}" type="presParOf" srcId="{0E23C0AB-63A9-4AFA-BDBC-FB0665655E64}" destId="{A96ABA1D-902F-499E-A16A-C085429E89B3}" srcOrd="0" destOrd="0" presId="urn:microsoft.com/office/officeart/2009/3/layout/PhasedProcess"/>
    <dgm:cxn modelId="{6F22A6F6-1190-4BBB-920C-732FD82BAE19}" type="presParOf" srcId="{0E23C0AB-63A9-4AFA-BDBC-FB0665655E64}" destId="{4E9E75E7-9586-49E1-963B-58638A0473A7}" srcOrd="1" destOrd="0" presId="urn:microsoft.com/office/officeart/2009/3/layout/PhasedProcess"/>
    <dgm:cxn modelId="{03EA5C86-CB7C-41D7-B3C9-2E7D69317999}" type="presParOf" srcId="{0E23C0AB-63A9-4AFA-BDBC-FB0665655E64}" destId="{84C6C22A-3770-4DB3-88B5-867AF55BFA56}" srcOrd="2" destOrd="0" presId="urn:microsoft.com/office/officeart/2009/3/layout/PhasedProcess"/>
    <dgm:cxn modelId="{8FC4F362-0D9C-47BF-B1DA-A93D48325FB3}" type="presParOf" srcId="{0E23C0AB-63A9-4AFA-BDBC-FB0665655E64}" destId="{0F2FBB9E-8EB7-4ED6-9BA5-0800B8174E69}" srcOrd="3" destOrd="0" presId="urn:microsoft.com/office/officeart/2009/3/layout/PhasedProcess"/>
    <dgm:cxn modelId="{3EA203C5-BDF6-4970-A36C-936946709A1D}" type="presParOf" srcId="{0E23C0AB-63A9-4AFA-BDBC-FB0665655E64}" destId="{5AEB2106-5667-4CA5-8F23-23CD720552AC}" srcOrd="4" destOrd="0" presId="urn:microsoft.com/office/officeart/2009/3/layout/PhasedProcess"/>
    <dgm:cxn modelId="{DE0F03F7-F77B-4C05-90C3-3DCE6947D660}" type="presParOf" srcId="{0E23C0AB-63A9-4AFA-BDBC-FB0665655E64}" destId="{8A6D1B4B-B3F8-4409-88E2-49A7D067F4F6}" srcOrd="5" destOrd="0" presId="urn:microsoft.com/office/officeart/2009/3/layout/PhasedProcess"/>
    <dgm:cxn modelId="{62D9EB81-7FF8-4E17-A0E1-F8172E247474}" type="presParOf" srcId="{35BFE76A-B277-49DC-B058-F90DA5ED8CCB}" destId="{0A245EC5-B38B-4152-B463-769983DBED18}" srcOrd="7" destOrd="0" presId="urn:microsoft.com/office/officeart/2009/3/layout/PhasedProcess"/>
    <dgm:cxn modelId="{3541DA80-4B32-42C6-9A7B-B193F4EB09A6}" type="presParOf" srcId="{0A245EC5-B38B-4152-B463-769983DBED18}" destId="{7D9128F0-AAAC-462C-BFFE-22A4463957FF}" srcOrd="0" destOrd="0" presId="urn:microsoft.com/office/officeart/2009/3/layout/PhasedProcess"/>
    <dgm:cxn modelId="{64EF8B3C-F5F2-4446-B9BA-2AB3083B29BE}" type="presParOf" srcId="{0A245EC5-B38B-4152-B463-769983DBED18}" destId="{8144C2B1-A7C5-4537-AB36-47797C5E684B}" srcOrd="1" destOrd="0" presId="urn:microsoft.com/office/officeart/2009/3/layout/PhasedProcess"/>
    <dgm:cxn modelId="{EADC210C-AC24-4897-9047-571680A1D24D}" type="presParOf" srcId="{0A245EC5-B38B-4152-B463-769983DBED18}" destId="{88138262-0C1E-40DC-A4E0-CA5214A74373}" srcOrd="2" destOrd="0" presId="urn:microsoft.com/office/officeart/2009/3/layout/PhasedProcess"/>
    <dgm:cxn modelId="{B6E21356-17B4-4AEC-93ED-9AD613A1C3F8}" type="presParOf" srcId="{0A245EC5-B38B-4152-B463-769983DBED18}" destId="{FA5A7AD1-940C-4897-9C3A-615E97753512}" srcOrd="3" destOrd="0" presId="urn:microsoft.com/office/officeart/2009/3/layout/PhasedProcess"/>
    <dgm:cxn modelId="{FFBF75E8-E6BB-4629-8F7A-1E9AF73E0109}" type="presParOf" srcId="{0A245EC5-B38B-4152-B463-769983DBED18}" destId="{6D12896E-718B-4EE5-BF2C-611813B9BA64}" srcOrd="4" destOrd="0" presId="urn:microsoft.com/office/officeart/2009/3/layout/PhasedProcess"/>
    <dgm:cxn modelId="{14C6EB40-2A01-42F4-AFC5-68675C785C5C}" type="presParOf" srcId="{0A245EC5-B38B-4152-B463-769983DBED18}" destId="{508D15E3-0403-426E-9FE2-39D33C00BC60}" srcOrd="5" destOrd="0" presId="urn:microsoft.com/office/officeart/2009/3/layout/PhasedProcess"/>
    <dgm:cxn modelId="{E7BA1754-F308-4D71-8DA3-896154F0B2DF}" type="presParOf" srcId="{35BFE76A-B277-49DC-B058-F90DA5ED8CCB}" destId="{DFF5F08E-7094-40A8-AE40-CB240F2F1FE1}" srcOrd="8" destOrd="0" presId="urn:microsoft.com/office/officeart/2009/3/layout/PhasedProcess"/>
    <dgm:cxn modelId="{7184CDE5-8687-42A2-93F6-07C88A1D9FC2}" type="presParOf" srcId="{35BFE76A-B277-49DC-B058-F90DA5ED8CCB}" destId="{9F98F6AE-C057-4466-916B-3B764BDBA88F}" srcOrd="9" destOrd="0" presId="urn:microsoft.com/office/officeart/2009/3/layout/PhasedProcess"/>
  </dgm:cxnLst>
  <dgm:bg/>
  <dgm:whole/>
  <dgm:extLst>
    <a:ext uri="http://schemas.microsoft.com/office/drawing/2008/diagram">
      <dsp:dataModelExt xmlns:dsp="http://schemas.microsoft.com/office/drawing/2008/diagram" relId="rId1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FDB43C-27C8-4B69-A54B-CA09DCC41551}">
      <dsp:nvSpPr>
        <dsp:cNvPr id="0" name=""/>
        <dsp:cNvSpPr/>
      </dsp:nvSpPr>
      <dsp:spPr>
        <a:xfrm rot="5400000">
          <a:off x="144" y="210826"/>
          <a:ext cx="1878243" cy="1878532"/>
        </a:xfrm>
        <a:prstGeom prst="blockArc">
          <a:avLst>
            <a:gd name="adj1" fmla="val 13500000"/>
            <a:gd name="adj2" fmla="val 18900000"/>
            <a:gd name="adj3" fmla="val 496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64B7686-0EED-4A92-A193-6E775FA4CFA0}">
      <dsp:nvSpPr>
        <dsp:cNvPr id="0" name=""/>
        <dsp:cNvSpPr/>
      </dsp:nvSpPr>
      <dsp:spPr>
        <a:xfrm rot="16200000">
          <a:off x="1933242" y="165422"/>
          <a:ext cx="1878243" cy="1969340"/>
        </a:xfrm>
        <a:prstGeom prst="blockArc">
          <a:avLst>
            <a:gd name="adj1" fmla="val 13500000"/>
            <a:gd name="adj2" fmla="val 18900000"/>
            <a:gd name="adj3" fmla="val 496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C3577F-DCB8-43C7-AE6F-8A2F7165F6D4}">
      <dsp:nvSpPr>
        <dsp:cNvPr id="0" name=""/>
        <dsp:cNvSpPr/>
      </dsp:nvSpPr>
      <dsp:spPr>
        <a:xfrm>
          <a:off x="1880273" y="1842515"/>
          <a:ext cx="1976222" cy="3757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r-Cyrl-RS" sz="1000" kern="1200">
              <a:latin typeface="Times New Roman" panose="02020603050405020304" pitchFamily="18" charset="0"/>
              <a:cs typeface="Times New Roman" panose="02020603050405020304" pitchFamily="18" charset="0"/>
            </a:rPr>
            <a:t>Извештаји о спровођењу АП програма који су повезани са Стратегијом</a:t>
          </a:r>
          <a:endParaRPr lang="en-GB" sz="1000" kern="1200">
            <a:latin typeface="Times New Roman" panose="02020603050405020304" pitchFamily="18" charset="0"/>
            <a:cs typeface="Times New Roman" panose="02020603050405020304" pitchFamily="18" charset="0"/>
          </a:endParaRPr>
        </a:p>
      </dsp:txBody>
      <dsp:txXfrm>
        <a:off x="1880273" y="1842515"/>
        <a:ext cx="1976222" cy="375769"/>
      </dsp:txXfrm>
    </dsp:sp>
    <dsp:sp modelId="{157D266A-34E4-4C3D-9EF9-DC6A0A64096A}">
      <dsp:nvSpPr>
        <dsp:cNvPr id="0" name=""/>
        <dsp:cNvSpPr/>
      </dsp:nvSpPr>
      <dsp:spPr>
        <a:xfrm rot="5400000">
          <a:off x="1931978" y="210826"/>
          <a:ext cx="1878243" cy="1878532"/>
        </a:xfrm>
        <a:prstGeom prst="blockArc">
          <a:avLst>
            <a:gd name="adj1" fmla="val 13500000"/>
            <a:gd name="adj2" fmla="val 18900000"/>
            <a:gd name="adj3" fmla="val 496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CEBF6A-39B5-4068-A8E3-FB6F4F3357EE}">
      <dsp:nvSpPr>
        <dsp:cNvPr id="0" name=""/>
        <dsp:cNvSpPr/>
      </dsp:nvSpPr>
      <dsp:spPr>
        <a:xfrm rot="16200000">
          <a:off x="3805522" y="210826"/>
          <a:ext cx="1878243" cy="1878532"/>
        </a:xfrm>
        <a:prstGeom prst="blockArc">
          <a:avLst>
            <a:gd name="adj1" fmla="val 13500000"/>
            <a:gd name="adj2" fmla="val 18900000"/>
            <a:gd name="adj3" fmla="val 496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1106F2-114B-4CF2-B95C-F544EE13B802}">
      <dsp:nvSpPr>
        <dsp:cNvPr id="0" name=""/>
        <dsp:cNvSpPr/>
      </dsp:nvSpPr>
      <dsp:spPr>
        <a:xfrm>
          <a:off x="3815816" y="1849888"/>
          <a:ext cx="1868082" cy="3757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r-Cyrl-RS" sz="1000" kern="1200">
              <a:latin typeface="Times New Roman" panose="02020603050405020304" pitchFamily="18" charset="0"/>
              <a:cs typeface="Times New Roman" panose="02020603050405020304" pitchFamily="18" charset="0"/>
            </a:rPr>
            <a:t>Извештај о спроовђењу АП Стратегије</a:t>
          </a:r>
          <a:endParaRPr lang="en-GB" sz="1000" kern="1200">
            <a:latin typeface="Times New Roman" panose="02020603050405020304" pitchFamily="18" charset="0"/>
            <a:cs typeface="Times New Roman" panose="02020603050405020304" pitchFamily="18" charset="0"/>
          </a:endParaRPr>
        </a:p>
      </dsp:txBody>
      <dsp:txXfrm>
        <a:off x="3815816" y="1849888"/>
        <a:ext cx="1868082" cy="375769"/>
      </dsp:txXfrm>
    </dsp:sp>
    <dsp:sp modelId="{A96ABA1D-902F-499E-A16A-C085429E89B3}">
      <dsp:nvSpPr>
        <dsp:cNvPr id="0" name=""/>
        <dsp:cNvSpPr/>
      </dsp:nvSpPr>
      <dsp:spPr>
        <a:xfrm>
          <a:off x="2385635" y="316167"/>
          <a:ext cx="854171" cy="831385"/>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sr-Cyrl-RS" sz="900" kern="1200">
              <a:latin typeface="Times New Roman" panose="02020603050405020304" pitchFamily="18" charset="0"/>
              <a:cs typeface="Times New Roman" panose="02020603050405020304" pitchFamily="18" charset="0"/>
            </a:rPr>
            <a:t>АП Програма 1</a:t>
          </a:r>
          <a:endParaRPr lang="en-GB" sz="900" kern="1200">
            <a:latin typeface="Times New Roman" panose="02020603050405020304" pitchFamily="18" charset="0"/>
            <a:cs typeface="Times New Roman" panose="02020603050405020304" pitchFamily="18" charset="0"/>
          </a:endParaRPr>
        </a:p>
      </dsp:txBody>
      <dsp:txXfrm>
        <a:off x="2499525" y="461660"/>
        <a:ext cx="626392" cy="374123"/>
      </dsp:txXfrm>
    </dsp:sp>
    <dsp:sp modelId="{84C6C22A-3770-4DB3-88B5-867AF55BFA56}">
      <dsp:nvSpPr>
        <dsp:cNvPr id="0" name=""/>
        <dsp:cNvSpPr/>
      </dsp:nvSpPr>
      <dsp:spPr>
        <a:xfrm>
          <a:off x="2842775" y="888700"/>
          <a:ext cx="880462" cy="82695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sr-Cyrl-RS" sz="900" kern="1200">
              <a:latin typeface="Times New Roman" panose="02020603050405020304" pitchFamily="18" charset="0"/>
              <a:cs typeface="Times New Roman" panose="02020603050405020304" pitchFamily="18" charset="0"/>
            </a:rPr>
            <a:t>АП Програма 3</a:t>
          </a:r>
          <a:endParaRPr lang="en-GB" sz="900" kern="1200">
            <a:latin typeface="Times New Roman" panose="02020603050405020304" pitchFamily="18" charset="0"/>
            <a:cs typeface="Times New Roman" panose="02020603050405020304" pitchFamily="18" charset="0"/>
          </a:endParaRPr>
        </a:p>
      </dsp:txBody>
      <dsp:txXfrm>
        <a:off x="3112049" y="1102330"/>
        <a:ext cx="528277" cy="454825"/>
      </dsp:txXfrm>
    </dsp:sp>
    <dsp:sp modelId="{5AEB2106-5667-4CA5-8F23-23CD720552AC}">
      <dsp:nvSpPr>
        <dsp:cNvPr id="0" name=""/>
        <dsp:cNvSpPr/>
      </dsp:nvSpPr>
      <dsp:spPr>
        <a:xfrm>
          <a:off x="2051472" y="973075"/>
          <a:ext cx="856283" cy="77396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sr-Cyrl-RS" sz="900" kern="1200">
              <a:latin typeface="Times New Roman" panose="02020603050405020304" pitchFamily="18" charset="0"/>
              <a:cs typeface="Times New Roman" panose="02020603050405020304" pitchFamily="18" charset="0"/>
            </a:rPr>
            <a:t>АП Програма 2</a:t>
          </a:r>
          <a:endParaRPr lang="en-GB" sz="900" kern="1200">
            <a:latin typeface="Times New Roman" panose="02020603050405020304" pitchFamily="18" charset="0"/>
            <a:cs typeface="Times New Roman" panose="02020603050405020304" pitchFamily="18" charset="0"/>
          </a:endParaRPr>
        </a:p>
      </dsp:txBody>
      <dsp:txXfrm>
        <a:off x="2132105" y="1173016"/>
        <a:ext cx="513770" cy="425680"/>
      </dsp:txXfrm>
    </dsp:sp>
    <dsp:sp modelId="{7D9128F0-AAAC-462C-BFFE-22A4463957FF}">
      <dsp:nvSpPr>
        <dsp:cNvPr id="0" name=""/>
        <dsp:cNvSpPr/>
      </dsp:nvSpPr>
      <dsp:spPr>
        <a:xfrm>
          <a:off x="541774" y="496100"/>
          <a:ext cx="595138" cy="59515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anose="02020603050405020304" pitchFamily="18" charset="0"/>
              <a:cs typeface="Times New Roman" panose="02020603050405020304" pitchFamily="18" charset="0"/>
            </a:rPr>
            <a:t>СП 1 </a:t>
          </a:r>
          <a:endParaRPr lang="en-GB" sz="1200" kern="1200">
            <a:latin typeface="Times New Roman" panose="02020603050405020304" pitchFamily="18" charset="0"/>
            <a:cs typeface="Times New Roman" panose="02020603050405020304" pitchFamily="18" charset="0"/>
          </a:endParaRPr>
        </a:p>
      </dsp:txBody>
      <dsp:txXfrm>
        <a:off x="628930" y="583258"/>
        <a:ext cx="420826" cy="420836"/>
      </dsp:txXfrm>
    </dsp:sp>
    <dsp:sp modelId="{8144C2B1-A7C5-4537-AB36-47797C5E684B}">
      <dsp:nvSpPr>
        <dsp:cNvPr id="0" name=""/>
        <dsp:cNvSpPr/>
      </dsp:nvSpPr>
      <dsp:spPr>
        <a:xfrm>
          <a:off x="489271" y="1414788"/>
          <a:ext cx="292336" cy="292219"/>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88138262-0C1E-40DC-A4E0-CA5214A74373}">
      <dsp:nvSpPr>
        <dsp:cNvPr id="0" name=""/>
        <dsp:cNvSpPr/>
      </dsp:nvSpPr>
      <dsp:spPr>
        <a:xfrm>
          <a:off x="1185751" y="613168"/>
          <a:ext cx="170099" cy="16998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FA5A7AD1-940C-4897-9C3A-615E97753512}">
      <dsp:nvSpPr>
        <dsp:cNvPr id="0" name=""/>
        <dsp:cNvSpPr/>
      </dsp:nvSpPr>
      <dsp:spPr>
        <a:xfrm>
          <a:off x="1122539" y="851565"/>
          <a:ext cx="595138" cy="59515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anose="02020603050405020304" pitchFamily="18" charset="0"/>
              <a:cs typeface="Times New Roman" panose="02020603050405020304" pitchFamily="18" charset="0"/>
            </a:rPr>
            <a:t>СП 2</a:t>
          </a:r>
          <a:endParaRPr lang="en-GB" sz="1200" kern="1200">
            <a:latin typeface="Times New Roman" panose="02020603050405020304" pitchFamily="18" charset="0"/>
            <a:cs typeface="Times New Roman" panose="02020603050405020304" pitchFamily="18" charset="0"/>
          </a:endParaRPr>
        </a:p>
      </dsp:txBody>
      <dsp:txXfrm>
        <a:off x="1209695" y="938723"/>
        <a:ext cx="420826" cy="420836"/>
      </dsp:txXfrm>
    </dsp:sp>
    <dsp:sp modelId="{6D12896E-718B-4EE5-BF2C-611813B9BA64}">
      <dsp:nvSpPr>
        <dsp:cNvPr id="0" name=""/>
        <dsp:cNvSpPr/>
      </dsp:nvSpPr>
      <dsp:spPr>
        <a:xfrm>
          <a:off x="1184774" y="1483115"/>
          <a:ext cx="170099" cy="16998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508D15E3-0403-426E-9FE2-39D33C00BC60}">
      <dsp:nvSpPr>
        <dsp:cNvPr id="0" name=""/>
        <dsp:cNvSpPr/>
      </dsp:nvSpPr>
      <dsp:spPr>
        <a:xfrm>
          <a:off x="552379" y="1191670"/>
          <a:ext cx="595138" cy="59515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anose="02020603050405020304" pitchFamily="18" charset="0"/>
              <a:cs typeface="Times New Roman" panose="02020603050405020304" pitchFamily="18" charset="0"/>
            </a:rPr>
            <a:t>СП 3 </a:t>
          </a:r>
          <a:endParaRPr lang="en-GB" sz="1200" kern="1200">
            <a:latin typeface="Times New Roman" panose="02020603050405020304" pitchFamily="18" charset="0"/>
            <a:cs typeface="Times New Roman" panose="02020603050405020304" pitchFamily="18" charset="0"/>
          </a:endParaRPr>
        </a:p>
      </dsp:txBody>
      <dsp:txXfrm>
        <a:off x="639535" y="1278828"/>
        <a:ext cx="420826" cy="420836"/>
      </dsp:txXfrm>
    </dsp:sp>
    <dsp:sp modelId="{DFF5F08E-7094-40A8-AE40-CB240F2F1FE1}">
      <dsp:nvSpPr>
        <dsp:cNvPr id="0" name=""/>
        <dsp:cNvSpPr/>
      </dsp:nvSpPr>
      <dsp:spPr>
        <a:xfrm>
          <a:off x="3966848" y="536311"/>
          <a:ext cx="1268553" cy="1222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anose="02020603050405020304" pitchFamily="18" charset="0"/>
              <a:cs typeface="Times New Roman" panose="02020603050405020304" pitchFamily="18" charset="0"/>
            </a:rPr>
            <a:t>АП Стратегије</a:t>
          </a:r>
          <a:endParaRPr lang="en-GB" sz="1200" kern="1200">
            <a:latin typeface="Times New Roman" panose="02020603050405020304" pitchFamily="18" charset="0"/>
            <a:cs typeface="Times New Roman" panose="02020603050405020304" pitchFamily="18" charset="0"/>
          </a:endParaRPr>
        </a:p>
      </dsp:txBody>
      <dsp:txXfrm>
        <a:off x="4152623" y="715348"/>
        <a:ext cx="897003" cy="864470"/>
      </dsp:txXfrm>
    </dsp:sp>
    <dsp:sp modelId="{9F98F6AE-C057-4466-916B-3B764BDBA88F}">
      <dsp:nvSpPr>
        <dsp:cNvPr id="0" name=""/>
        <dsp:cNvSpPr/>
      </dsp:nvSpPr>
      <dsp:spPr>
        <a:xfrm>
          <a:off x="169596" y="1842515"/>
          <a:ext cx="1792841" cy="3757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r-Cyrl-RS" sz="1000" kern="1200">
              <a:latin typeface="Times New Roman" panose="02020603050405020304" pitchFamily="18" charset="0"/>
              <a:cs typeface="Times New Roman" panose="02020603050405020304" pitchFamily="18" charset="0"/>
            </a:rPr>
            <a:t>Извештаји о спровођењу СП надлежних институција</a:t>
          </a:r>
          <a:endParaRPr lang="en-GB" sz="1000" kern="1200">
            <a:latin typeface="Times New Roman" panose="02020603050405020304" pitchFamily="18" charset="0"/>
            <a:cs typeface="Times New Roman" panose="02020603050405020304" pitchFamily="18" charset="0"/>
          </a:endParaRPr>
        </a:p>
      </dsp:txBody>
      <dsp:txXfrm>
        <a:off x="169596" y="1842515"/>
        <a:ext cx="1792841" cy="375769"/>
      </dsp:txXfrm>
    </dsp:sp>
  </dsp:spTree>
</dsp:drawing>
</file>

<file path=word/diagrams/layout1.xml><?xml version="1.0" encoding="utf-8"?>
<dgm:layoutDef xmlns:dgm="http://schemas.openxmlformats.org/drawingml/2006/diagram" xmlns:a="http://schemas.openxmlformats.org/drawingml/2006/main" uniqueId="urn:microsoft.com/office/officeart/2009/3/layout/PhasedProcess">
  <dgm:title val=""/>
  <dgm:desc val=""/>
  <dgm:catLst>
    <dgm:cat type="process" pri="12500"/>
  </dgm:catLst>
  <dgm:samp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30">
          <dgm:prSet phldr="1"/>
        </dgm:pt>
        <dgm:pt modelId="31">
          <dgm:prSet phldr="1"/>
        </dgm:pt>
      </dgm:ptLst>
      <dgm:cxnLst>
        <dgm:cxn modelId="40" srcId="0" destId="10" srcOrd="0" destOrd="0"/>
        <dgm:cxn modelId="16" srcId="10" destId="11" srcOrd="0" destOrd="0"/>
        <dgm:cxn modelId="17" srcId="10" destId="12" srcOrd="1" destOrd="0"/>
        <dgm:cxn modelId="18" srcId="10" destId="13" srcOrd="2" destOrd="0"/>
        <dgm:cxn modelId="50" srcId="0" destId="20" srcOrd="1" destOrd="0"/>
        <dgm:cxn modelId="60" srcId="0" destId="30" srcOrd="2" destOrd="0"/>
        <dgm:cxn modelId="32" srcId="30" destId="31" srcOrd="0" destOrd="0"/>
        <dgm:cxn modelId="26" srcId="20" destId="21" srcOrd="0" destOrd="0"/>
        <dgm:cxn modelId="27" srcId="20" destId="22" srcOrd="1" destOrd="0"/>
      </dgm:cxnLst>
      <dgm:bg/>
      <dgm:whole/>
    </dgm:dataModel>
  </dgm:sampData>
  <dgm:style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30">
          <dgm:prSet phldr="1"/>
        </dgm:pt>
        <dgm:pt modelId="31">
          <dgm:prSet phldr="1"/>
        </dgm:pt>
      </dgm:ptLst>
      <dgm:cxnLst>
        <dgm:cxn modelId="40" srcId="0" destId="10" srcOrd="0" destOrd="0"/>
        <dgm:cxn modelId="16" srcId="10" destId="11" srcOrd="0" destOrd="0"/>
        <dgm:cxn modelId="17" srcId="10" destId="12" srcOrd="1" destOrd="0"/>
        <dgm:cxn modelId="18" srcId="10" destId="13" srcOrd="2" destOrd="0"/>
        <dgm:cxn modelId="50" srcId="0" destId="20" srcOrd="1" destOrd="0"/>
        <dgm:cxn modelId="60" srcId="0" destId="30" srcOrd="2" destOrd="0"/>
        <dgm:cxn modelId="32" srcId="30" destId="31" srcOrd="0" destOrd="0"/>
        <dgm:cxn modelId="26" srcId="20" destId="21" srcOrd="0" destOrd="0"/>
        <dgm:cxn modelId="27" srcId="20" destId="22" srcOrd="1"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30">
          <dgm:prSet phldr="1"/>
        </dgm:pt>
        <dgm:pt modelId="31">
          <dgm:prSet phldr="1"/>
        </dgm:pt>
      </dgm:ptLst>
      <dgm:cxnLst>
        <dgm:cxn modelId="40" srcId="0" destId="10" srcOrd="0" destOrd="0"/>
        <dgm:cxn modelId="16" srcId="10" destId="11" srcOrd="0" destOrd="0"/>
        <dgm:cxn modelId="17" srcId="10" destId="12" srcOrd="1" destOrd="0"/>
        <dgm:cxn modelId="18" srcId="10" destId="13" srcOrd="2" destOrd="0"/>
        <dgm:cxn modelId="50" srcId="0" destId="20" srcOrd="1" destOrd="0"/>
        <dgm:cxn modelId="60" srcId="0" destId="30" srcOrd="2" destOrd="0"/>
        <dgm:cxn modelId="32" srcId="30" destId="31" srcOrd="0" destOrd="0"/>
        <dgm:cxn modelId="26" srcId="20" destId="21" srcOrd="0" destOrd="0"/>
        <dgm:cxn modelId="27" srcId="20" destId="22" srcOrd="1" destOrd="0"/>
      </dgm:cxnLst>
      <dgm:bg/>
      <dgm:whole/>
    </dgm:dataModel>
  </dgm:clrData>
  <dgm:layoutNode name="Name0">
    <dgm:varLst>
      <dgm:chMax val="3"/>
      <dgm:chPref val="3"/>
      <dgm:bulletEnabled val="1"/>
      <dgm:dir/>
      <dgm:animLvl val="lvl"/>
    </dgm:varLst>
    <dgm:shape xmlns:r="http://schemas.openxmlformats.org/officeDocument/2006/relationships" r:blip="">
      <dgm:adjLst/>
    </dgm:shape>
    <dgm:choose name="Name1">
      <dgm:if name="Name2" axis="ch" ptType="node" func="cnt" op="gte" val="3">
        <dgm:alg type="composite">
          <dgm:param type="ar" val="2.8316"/>
        </dgm:alg>
        <dgm:choose name="Name3">
          <dgm:if name="Name4" func="var" arg="dir" op="equ" val="norm">
            <dgm:constrLst>
              <dgm:constr type="primFontSz" for="des" forName="parentText1" val="65"/>
              <dgm:constr type="primFontSz" for="des" forName="childText1_1" val="65"/>
              <dgm:constr type="primFontSz" for="des" forName="circ1Tx" val="65"/>
              <dgm:constr type="primFontSz" for="des" forName="parentText2" refType="primFontSz" refFor="des" refForName="parentText1" op="equ"/>
              <dgm:constr type="primFontSz" for="des" forName="parentText3" refType="primFontSz" refFor="des" refForName="parentText1" op="equ"/>
              <dgm:constr type="primFontSz" for="des" forName="childText1_1" refType="primFontSz" refFor="des" refForName="parentText1" op="lte"/>
              <dgm:constr type="primFontSz" for="des" forName="childText1_2" refType="primFontSz" refFor="des" refForName="parentText1" op="lte"/>
              <dgm:constr type="primFontSz" for="des" forName="childText1_3" refType="primFontSz" refFor="des" refForName="parentText1" op="lte"/>
              <dgm:constr type="primFontSz" for="des" forName="childText1_4" refType="primFontSz" refFor="des" refForName="parentText1" op="lte"/>
              <dgm:constr type="primFontSz" for="des" forName="childText1_1" refType="primFontSz" refFor="des" refForName="parentText2" op="lte"/>
              <dgm:constr type="primFontSz" for="des" forName="childText1_2" refType="primFontSz" refFor="des" refForName="parentText2" op="lte"/>
              <dgm:constr type="primFontSz" for="des" forName="childText1_3" refType="primFontSz" refFor="des" refForName="parentText2" op="lte"/>
              <dgm:constr type="primFontSz" for="des" forName="childText1_4" refType="primFontSz" refFor="des" refForName="parentText2" op="lte"/>
              <dgm:constr type="primFontSz" for="des" forName="childText1_1" refType="primFontSz" refFor="des" refForName="parentText3" op="lte"/>
              <dgm:constr type="primFontSz" for="des" forName="childText1_2" refType="primFontSz" refFor="des" refForName="parentText3" op="lte"/>
              <dgm:constr type="primFontSz" for="des" forName="childText1_3" refType="primFontSz" refFor="des" refForName="parentText3" op="lte"/>
              <dgm:constr type="primFontSz" for="des" forName="childText1_4" refType="primFontSz" refFor="des" refForName="parentText3" op="lte"/>
              <dgm:constr type="primFontSz" for="des" forName="circ1Tx" refType="primFontSz" refFor="des" refForName="parentText1" op="lte"/>
              <dgm:constr type="primFontSz" for="des" forName="circ2Tx" refType="primFontSz" refFor="des" refForName="parentText1" op="lte"/>
              <dgm:constr type="primFontSz" for="des" forName="circ3Tx" refType="primFontSz" refFor="des" refForName="parentText1" op="lte"/>
              <dgm:constr type="primFontSz" for="des" forName="circ4Tx" refType="primFontSz" refFor="des" refForName="parentText1" op="lte"/>
              <dgm:constr type="primFontSz" for="des" forName="circ1Tx" refType="primFontSz" refFor="des" refForName="parentText2" op="lte"/>
              <dgm:constr type="primFontSz" for="des" forName="circ2Tx" refType="primFontSz" refFor="des" refForName="parentText2" op="lte"/>
              <dgm:constr type="primFontSz" for="des" forName="circ3Tx" refType="primFontSz" refFor="des" refForName="parentText2" op="lte"/>
              <dgm:constr type="primFontSz" for="des" forName="circ4Tx" refType="primFontSz" refFor="des" refForName="parentText2" op="lte"/>
              <dgm:constr type="primFontSz" for="des" forName="circ1Tx" refType="primFontSz" refFor="des" refForName="parentText3" op="lte"/>
              <dgm:constr type="primFontSz" for="des" forName="circ2Tx" refType="primFontSz" refFor="des" refForName="parentText3" op="lte"/>
              <dgm:constr type="primFontSz" for="des" forName="circ3Tx" refType="primFontSz" refFor="des" refForName="parentText3" op="lte"/>
              <dgm:constr type="primFontSz" for="des" forName="circ4Tx" refType="primFontSz" refFor="des" refForName="parentText3" op="lte"/>
              <dgm:constr type="primFontSz" for="des" forName="rightChild" refType="primFontSz" refFor="des" refForName="parentText1" op="lte"/>
              <dgm:constr type="primFontSz" for="des" forName="rightChild" refType="primFontSz" refFor="des" refForName="parentText2" op="lte"/>
              <dgm:constr type="primFontSz" for="des" forName="rightChild" refType="primFontSz" refFor="des" refForName="parentText3" op="lte"/>
              <dgm:constr type="primFontSz" for="des" forName="childText1_2" refType="primFontSz" refFor="des" refForName="childText1_1" op="equ"/>
              <dgm:constr type="primFontSz" for="des" forName="childText1_3" refType="primFontSz" refFor="des" refForName="childText1_1" op="equ"/>
              <dgm:constr type="primFontSz" for="des" forName="childText1_4" refType="primFontSz" refFor="des" refForName="childText1_1" op="equ"/>
              <dgm:constr type="primFontSz" for="des" forName="circ2Tx" refType="primFontSz" refFor="des" refForName="circ1Tx" op="equ"/>
              <dgm:constr type="primFontSz" for="des" forName="circ3Tx" refType="primFontSz" refFor="des" refForName="circ1Tx" op="equ"/>
              <dgm:constr type="primFontSz" for="des" forName="circ4Tx" refType="primFontSz" refFor="des" refForName="circ1Tx" op="equ"/>
              <dgm:constr type="l" for="ch" forName="leftComposite" refType="w" fact="0.0567"/>
              <dgm:constr type="t" for="ch" forName="leftComposite" refType="h" fact="0.1159"/>
              <dgm:constr type="w" for="ch" forName="leftComposite" refType="w" fact="0.2455"/>
              <dgm:constr type="h" for="ch" forName="leftComposite" refType="h" fact="0.6953"/>
              <dgm:constr type="l" for="ch" forName="middleComposite" refType="w" fact="0.365"/>
              <dgm:constr type="t" for="ch" forName="middleComposite" refType="h" fact="0.1545"/>
              <dgm:constr type="w" for="ch" forName="middleComposite" refType="w" fact="0.2728"/>
              <dgm:constr type="h" for="ch" forName="middleComposite" refType="h" fact="0.6567"/>
              <dgm:constr type="l" for="ch" forName="arc1" refType="w" fact="0"/>
              <dgm:constr type="t" for="ch" forName="arc1" refType="h" fact="0"/>
              <dgm:constr type="w" for="ch" forName="arc1" refType="w" fact="0.3305"/>
              <dgm:constr type="h" for="ch" forName="arc1" refType="h" fact="0.9357"/>
              <dgm:constr type="l" for="ch" forName="arc2" refType="w" fact="0.3295"/>
              <dgm:constr type="t" for="ch" forName="arc2" refType="h" fact="0"/>
              <dgm:constr type="w" for="ch" forName="arc2" refType="w" fact="0.3305"/>
              <dgm:constr type="h" for="ch" forName="arc2" refType="h" fact="0.9357"/>
              <dgm:constr type="l" for="ch" forName="arc3" refType="w" fact="0.3401"/>
              <dgm:constr type="t" for="ch" forName="arc3" refType="h" fact="0"/>
              <dgm:constr type="w" for="ch" forName="arc3" refType="w" fact="0.3305"/>
              <dgm:constr type="h" for="ch" forName="arc3" refType="h" fact="0.9357"/>
              <dgm:constr type="l" for="ch" forName="arc4" refType="w" fact="0.6695"/>
              <dgm:constr type="t" for="ch" forName="arc4" refType="h" fact="0"/>
              <dgm:constr type="w" for="ch" forName="arc4" refType="w" fact="0.3305"/>
              <dgm:constr type="h" for="ch" forName="arc4" refType="h" fact="0.9357"/>
              <dgm:constr type="l" for="ch" forName="rightChild" refType="w" fact="0.713"/>
              <dgm:constr type="t" for="ch" forName="rightChild" refType="h" fact="0.1934"/>
              <dgm:constr type="w" for="ch" forName="rightChild" refType="w" fact="0.193"/>
              <dgm:constr type="h" for="ch" forName="rightChild" refType="h" fact="0.5464"/>
              <dgm:constr type="l" for="ch" forName="parentText1" refType="w" fact="0.0621"/>
              <dgm:constr type="t" for="ch" forName="parentText1" refType="h" fact="0.8128"/>
              <dgm:constr type="w" for="ch" forName="parentText1" refType="w" fact="0.2509"/>
              <dgm:constr type="h" for="ch" forName="parentText1" refType="h" fact="0.1872"/>
              <dgm:constr type="l" for="ch" forName="parentText2" refType="w" fact="0.3792"/>
              <dgm:constr type="t" for="ch" forName="parentText2" refType="h" fact="0.8128"/>
              <dgm:constr type="w" for="ch" forName="parentText2" refType="w" fact="0.2509"/>
              <dgm:constr type="h" for="ch" forName="parentText2" refType="h" fact="0.1872"/>
              <dgm:constr type="l" for="ch" forName="parentText3" refType="w" fact="0.6845"/>
              <dgm:constr type="t" for="ch" forName="parentText3" refType="h" fact="0.8128"/>
              <dgm:constr type="w" for="ch" forName="parentText3" refType="w" fact="0.2509"/>
              <dgm:constr type="h" for="ch" forName="parentText3" refType="h" fact="0.1872"/>
            </dgm:constrLst>
          </dgm:if>
          <dgm:else name="Name5">
            <dgm:constrLst>
              <dgm:constr type="primFontSz" for="des" forName="parentText1" val="65"/>
              <dgm:constr type="primFontSz" for="des" forName="childText1_1" val="65"/>
              <dgm:constr type="primFontSz" for="des" forName="circ1Tx" val="65"/>
              <dgm:constr type="primFontSz" for="des" forName="parentText2" refType="primFontSz" refFor="des" refForName="parentText1" op="equ"/>
              <dgm:constr type="primFontSz" for="des" forName="parentText3" refType="primFontSz" refFor="des" refForName="parentText1" op="equ"/>
              <dgm:constr type="primFontSz" for="des" forName="childText1_1" refType="primFontSz" refFor="des" refForName="parentText1" op="lte"/>
              <dgm:constr type="primFontSz" for="des" forName="childText1_2" refType="primFontSz" refFor="des" refForName="parentText1" op="lte"/>
              <dgm:constr type="primFontSz" for="des" forName="childText1_3" refType="primFontSz" refFor="des" refForName="parentText1" op="lte"/>
              <dgm:constr type="primFontSz" for="des" forName="childText1_4" refType="primFontSz" refFor="des" refForName="parentText1" op="lte"/>
              <dgm:constr type="primFontSz" for="des" forName="childText1_1" refType="primFontSz" refFor="des" refForName="parentText2" op="lte"/>
              <dgm:constr type="primFontSz" for="des" forName="childText1_2" refType="primFontSz" refFor="des" refForName="parentText2" op="lte"/>
              <dgm:constr type="primFontSz" for="des" forName="childText1_3" refType="primFontSz" refFor="des" refForName="parentText2" op="lte"/>
              <dgm:constr type="primFontSz" for="des" forName="childText1_4" refType="primFontSz" refFor="des" refForName="parentText2" op="lte"/>
              <dgm:constr type="primFontSz" for="des" forName="childText1_1" refType="primFontSz" refFor="des" refForName="parentText3" op="lte"/>
              <dgm:constr type="primFontSz" for="des" forName="childText1_2" refType="primFontSz" refFor="des" refForName="parentText3" op="lte"/>
              <dgm:constr type="primFontSz" for="des" forName="childText1_3" refType="primFontSz" refFor="des" refForName="parentText3" op="lte"/>
              <dgm:constr type="primFontSz" for="des" forName="childText1_4" refType="primFontSz" refFor="des" refForName="parentText3" op="lte"/>
              <dgm:constr type="primFontSz" for="des" forName="circ1Tx" refType="primFontSz" refFor="des" refForName="parentText1" op="lte"/>
              <dgm:constr type="primFontSz" for="des" forName="circ2Tx" refType="primFontSz" refFor="des" refForName="parentText1" op="lte"/>
              <dgm:constr type="primFontSz" for="des" forName="circ3Tx" refType="primFontSz" refFor="des" refForName="parentText1" op="lte"/>
              <dgm:constr type="primFontSz" for="des" forName="circ4Tx" refType="primFontSz" refFor="des" refForName="parentText1" op="lte"/>
              <dgm:constr type="primFontSz" for="des" forName="circ1Tx" refType="primFontSz" refFor="des" refForName="parentText2" op="lte"/>
              <dgm:constr type="primFontSz" for="des" forName="circ2Tx" refType="primFontSz" refFor="des" refForName="parentText2" op="lte"/>
              <dgm:constr type="primFontSz" for="des" forName="circ3Tx" refType="primFontSz" refFor="des" refForName="parentText2" op="lte"/>
              <dgm:constr type="primFontSz" for="des" forName="circ4Tx" refType="primFontSz" refFor="des" refForName="parentText2" op="lte"/>
              <dgm:constr type="primFontSz" for="des" forName="circ1Tx" refType="primFontSz" refFor="des" refForName="parentText3" op="lte"/>
              <dgm:constr type="primFontSz" for="des" forName="circ2Tx" refType="primFontSz" refFor="des" refForName="parentText3" op="lte"/>
              <dgm:constr type="primFontSz" for="des" forName="circ3Tx" refType="primFontSz" refFor="des" refForName="parentText3" op="lte"/>
              <dgm:constr type="primFontSz" for="des" forName="circ4Tx" refType="primFontSz" refFor="des" refForName="parentText3" op="lte"/>
              <dgm:constr type="primFontSz" for="des" forName="rightChild" refType="primFontSz" refFor="des" refForName="parentText1" op="lte"/>
              <dgm:constr type="primFontSz" for="des" forName="rightChild" refType="primFontSz" refFor="des" refForName="parentText2" op="lte"/>
              <dgm:constr type="primFontSz" for="des" forName="rightChild" refType="primFontSz" refFor="des" refForName="parentText3" op="lte"/>
              <dgm:constr type="primFontSz" for="des" forName="childText1_2" refType="primFontSz" refFor="des" refForName="childText1_1" op="equ"/>
              <dgm:constr type="primFontSz" for="des" forName="childText1_3" refType="primFontSz" refFor="des" refForName="childText1_1" op="equ"/>
              <dgm:constr type="primFontSz" for="des" forName="childText1_4" refType="primFontSz" refFor="des" refForName="childText1_1" op="equ"/>
              <dgm:constr type="primFontSz" for="des" forName="circ2Tx" refType="primFontSz" refFor="des" refForName="circ1Tx" op="equ"/>
              <dgm:constr type="primFontSz" for="des" forName="circ3Tx" refType="primFontSz" refFor="des" refForName="circ1Tx" op="equ"/>
              <dgm:constr type="primFontSz" for="des" forName="circ4Tx" refType="primFontSz" refFor="des" refForName="circ1Tx" op="equ"/>
              <dgm:constr type="l" for="ch" forName="leftComposite" refType="w" fact="0.72"/>
              <dgm:constr type="t" for="ch" forName="leftComposite" refType="h" fact="0.1159"/>
              <dgm:constr type="w" for="ch" forName="leftComposite" refType="w" fact="0.2455"/>
              <dgm:constr type="h" for="ch" forName="leftComposite" refType="h" fact="0.6953"/>
              <dgm:constr type="l" for="ch" forName="middleComposite" refType="w" fact="0.365"/>
              <dgm:constr type="t" for="ch" forName="middleComposite" refType="h" fact="0.1545"/>
              <dgm:constr type="w" for="ch" forName="middleComposite" refType="w" fact="0.2728"/>
              <dgm:constr type="h" for="ch" forName="middleComposite" refType="h" fact="0.6567"/>
              <dgm:constr type="l" for="ch" forName="rightChild" refType="w" fact="0.09"/>
              <dgm:constr type="t" for="ch" forName="rightChild" refType="h" fact="0.1934"/>
              <dgm:constr type="w" for="ch" forName="rightChild" refType="w" fact="0.193"/>
              <dgm:constr type="h" for="ch" forName="rightChild" refType="h" fact="0.5464"/>
              <dgm:constr type="l" for="ch" forName="arc1" refType="w" fact="0"/>
              <dgm:constr type="t" for="ch" forName="arc1" refType="h" fact="0"/>
              <dgm:constr type="w" for="ch" forName="arc1" refType="w" fact="0.3305"/>
              <dgm:constr type="h" for="ch" forName="arc1" refType="h" fact="0.9357"/>
              <dgm:constr type="l" for="ch" forName="arc2" refType="w" fact="0.3295"/>
              <dgm:constr type="t" for="ch" forName="arc2" refType="h" fact="0"/>
              <dgm:constr type="w" for="ch" forName="arc2" refType="w" fact="0.3305"/>
              <dgm:constr type="h" for="ch" forName="arc2" refType="h" fact="0.9357"/>
              <dgm:constr type="l" for="ch" forName="arc3" refType="w" fact="0.3401"/>
              <dgm:constr type="t" for="ch" forName="arc3" refType="h" fact="0"/>
              <dgm:constr type="w" for="ch" forName="arc3" refType="w" fact="0.3305"/>
              <dgm:constr type="h" for="ch" forName="arc3" refType="h" fact="0.9357"/>
              <dgm:constr type="l" for="ch" forName="arc4" refType="w" fact="0.6695"/>
              <dgm:constr type="t" for="ch" forName="arc4" refType="h" fact="0"/>
              <dgm:constr type="w" for="ch" forName="arc4" refType="w" fact="0.3305"/>
              <dgm:constr type="h" for="ch" forName="arc4" refType="h" fact="0.9357"/>
              <dgm:constr type="l" for="ch" forName="parentText1" refType="w" fact="0.7"/>
              <dgm:constr type="t" for="ch" forName="parentText1" refType="h" fact="0.8128"/>
              <dgm:constr type="w" for="ch" forName="parentText1" refType="w" fact="0.2509"/>
              <dgm:constr type="h" for="ch" forName="parentText1" refType="h" fact="0.1872"/>
              <dgm:constr type="l" for="ch" forName="parentText2" refType="w" fact="0.3792"/>
              <dgm:constr type="t" for="ch" forName="parentText2" refType="h" fact="0.8128"/>
              <dgm:constr type="w" for="ch" forName="parentText2" refType="w" fact="0.2509"/>
              <dgm:constr type="h" for="ch" forName="parentText2" refType="h" fact="0.1872"/>
              <dgm:constr type="l" for="ch" forName="parentText3" refType="w" fact="0.062"/>
              <dgm:constr type="t" for="ch" forName="parentText3" refType="h" fact="0.8128"/>
              <dgm:constr type="w" for="ch" forName="parentText3" refType="w" fact="0.2509"/>
              <dgm:constr type="h" for="ch" forName="parentText3" refType="h" fact="0.1872"/>
            </dgm:constrLst>
          </dgm:else>
        </dgm:choose>
      </dgm:if>
      <dgm:if name="Name6" axis="ch" ptType="node" func="cnt" op="gte" val="2">
        <dgm:alg type="composite">
          <dgm:param type="ar" val="1.8986"/>
        </dgm:alg>
        <dgm:choose name="Name7">
          <dgm:if name="Name8" func="var" arg="dir" op="equ" val="norm">
            <dgm:constrLst>
              <dgm:constr type="primFontSz" for="des" forName="parentText1" val="65"/>
              <dgm:constr type="primFontSz" for="des" forName="childText1_1" val="65"/>
              <dgm:constr type="primFontSz" for="des" forName="circ1Tx" val="65"/>
              <dgm:constr type="primFontSz" for="des" forName="parentText2" refType="primFontSz" refFor="des" refForName="parentText1" op="equ"/>
              <dgm:constr type="primFontSz" for="des" forName="childText1_1" refType="primFontSz" refFor="des" refForName="parentText1" op="lte"/>
              <dgm:constr type="primFontSz" for="des" forName="childText1_2" refType="primFontSz" refFor="des" refForName="parentText1" op="lte"/>
              <dgm:constr type="primFontSz" for="des" forName="childText1_3" refType="primFontSz" refFor="des" refForName="parentText1" op="lte"/>
              <dgm:constr type="primFontSz" for="des" forName="childText1_4" refType="primFontSz" refFor="des" refForName="parentText1" op="lte"/>
              <dgm:constr type="primFontSz" for="des" forName="childText1_1" refType="primFontSz" refFor="des" refForName="parentText2" op="lte"/>
              <dgm:constr type="primFontSz" for="des" forName="childText1_2" refType="primFontSz" refFor="des" refForName="parentText2" op="lte"/>
              <dgm:constr type="primFontSz" for="des" forName="childText1_3" refType="primFontSz" refFor="des" refForName="parentText2" op="lte"/>
              <dgm:constr type="primFontSz" for="des" forName="childText1_4" refType="primFontSz" refFor="des" refForName="parentText2" op="lte"/>
              <dgm:constr type="primFontSz" for="des" forName="childText1_1" refType="primFontSz" refFor="des" refForName="parentText3" op="lte"/>
              <dgm:constr type="primFontSz" for="des" forName="childText1_2" refType="primFontSz" refFor="des" refForName="parentText3" op="lte"/>
              <dgm:constr type="primFontSz" for="des" forName="childText1_3" refType="primFontSz" refFor="des" refForName="parentText3" op="lte"/>
              <dgm:constr type="primFontSz" for="des" forName="childText1_4" refType="primFontSz" refFor="des" refForName="parentText3" op="lte"/>
              <dgm:constr type="primFontSz" for="des" forName="circ1Tx" refType="primFontSz" refFor="des" refForName="parentText1" op="lte"/>
              <dgm:constr type="primFontSz" for="des" forName="circ2Tx" refType="primFontSz" refFor="des" refForName="parentText1" op="lte"/>
              <dgm:constr type="primFontSz" for="des" forName="circ3Tx" refType="primFontSz" refFor="des" refForName="parentText1" op="lte"/>
              <dgm:constr type="primFontSz" for="des" forName="circ4Tx" refType="primFontSz" refFor="des" refForName="parentText1" op="lte"/>
              <dgm:constr type="primFontSz" for="des" forName="circ1Tx" refType="primFontSz" refFor="des" refForName="parentText2" op="lte"/>
              <dgm:constr type="primFontSz" for="des" forName="circ2Tx" refType="primFontSz" refFor="des" refForName="parentText2" op="lte"/>
              <dgm:constr type="primFontSz" for="des" forName="circ3Tx" refType="primFontSz" refFor="des" refForName="parentText2" op="lte"/>
              <dgm:constr type="primFontSz" for="des" forName="circ4Tx" refType="primFontSz" refFor="des" refForName="parentText2" op="lte"/>
              <dgm:constr type="primFontSz" for="des" forName="circ1Tx" refType="primFontSz" refFor="des" refForName="parentText3" op="lte"/>
              <dgm:constr type="primFontSz" for="des" forName="circ2Tx" refType="primFontSz" refFor="des" refForName="parentText3" op="lte"/>
              <dgm:constr type="primFontSz" for="des" forName="circ3Tx" refType="primFontSz" refFor="des" refForName="parentText3" op="lte"/>
              <dgm:constr type="primFontSz" for="des" forName="circ4Tx" refType="primFontSz" refFor="des" refForName="parentText3" op="lte"/>
              <dgm:constr type="primFontSz" for="des" forName="childText1_2" refType="primFontSz" refFor="des" refForName="childText1_1" op="equ"/>
              <dgm:constr type="primFontSz" for="des" forName="childText1_3" refType="primFontSz" refFor="des" refForName="childText1_1" op="equ"/>
              <dgm:constr type="primFontSz" for="des" forName="childText1_4" refType="primFontSz" refFor="des" refForName="childText1_1" op="equ"/>
              <dgm:constr type="primFontSz" for="des" forName="circ2Tx" refType="primFontSz" refFor="des" refForName="circ1Tx" op="equ"/>
              <dgm:constr type="primFontSz" for="des" forName="circ3Tx" refType="primFontSz" refFor="des" refForName="circ1Tx" op="equ"/>
              <dgm:constr type="primFontSz" for="des" forName="circ4Tx" refType="primFontSz" refFor="des" refForName="circ1Tx" op="equ"/>
              <dgm:constr type="l" for="ch" forName="leftComposite" refType="w" fact="0.0941"/>
              <dgm:constr type="t" for="ch" forName="leftComposite" refType="h" fact="0.1159"/>
              <dgm:constr type="w" for="ch" forName="leftComposite" refType="w" fact="0.3469"/>
              <dgm:constr type="h" for="ch" forName="leftComposite" refType="h" fact="0.6953"/>
              <dgm:constr type="l" for="ch" forName="middleComposite" refType="w" fact="0.5782"/>
              <dgm:constr type="t" for="ch" forName="middleComposite" refType="h" fact="0.1159"/>
              <dgm:constr type="w" for="ch" forName="middleComposite" refType="w" fact="0.3389"/>
              <dgm:constr type="h" for="ch" forName="middleComposite" refType="h" fact="0.6567"/>
              <dgm:constr type="l" for="ch" forName="arc1" refType="w" fact="0"/>
              <dgm:constr type="t" for="ch" forName="arc1" refType="h" fact="0"/>
              <dgm:constr type="w" for="ch" forName="arc1" refType="w" fact="0.4928"/>
              <dgm:constr type="h" for="ch" forName="arc1" refType="h" fact="0.9357"/>
              <dgm:constr type="l" for="ch" forName="arc3" refType="w" fact="0.5072"/>
              <dgm:constr type="t" for="ch" forName="arc3" refType="h" fact="0"/>
              <dgm:constr type="w" for="ch" forName="arc3" refType="w" fact="0.4928"/>
              <dgm:constr type="h" for="ch" forName="arc3" refType="h" fact="0.9357"/>
              <dgm:constr type="l" for="ch" forName="parentText1" refType="w" fact="0.0926"/>
              <dgm:constr type="t" for="ch" forName="parentText1" refType="h" fact="0.8128"/>
              <dgm:constr type="w" for="ch" forName="parentText1" refType="w" fact="0.3742"/>
              <dgm:constr type="h" for="ch" forName="parentText1" refType="h" fact="0.1872"/>
              <dgm:constr type="l" for="ch" forName="parentText2" refType="w" fact="0.5655"/>
              <dgm:constr type="t" for="ch" forName="parentText2" refType="h" fact="0.8128"/>
              <dgm:constr type="w" for="ch" forName="parentText2" refType="w" fact="0.3742"/>
              <dgm:constr type="h" for="ch" forName="parentText2" refType="h" fact="0.1872"/>
            </dgm:constrLst>
          </dgm:if>
          <dgm:else name="Name9">
            <dgm:constrLst>
              <dgm:constr type="primFontSz" for="des" forName="parentText1" val="65"/>
              <dgm:constr type="primFontSz" for="des" forName="childText1_1" val="65"/>
              <dgm:constr type="primFontSz" for="des" forName="circ1Tx" val="65"/>
              <dgm:constr type="primFontSz" for="des" forName="parentText2" refType="primFontSz" refFor="des" refForName="parentText1" op="equ"/>
              <dgm:constr type="primFontSz" for="des" forName="childText1_1" refType="primFontSz" refFor="des" refForName="parentText1" op="lte"/>
              <dgm:constr type="primFontSz" for="des" forName="childText1_2" refType="primFontSz" refFor="des" refForName="parentText1" op="lte"/>
              <dgm:constr type="primFontSz" for="des" forName="childText1_3" refType="primFontSz" refFor="des" refForName="parentText1" op="lte"/>
              <dgm:constr type="primFontSz" for="des" forName="childText1_4" refType="primFontSz" refFor="des" refForName="parentText1" op="lte"/>
              <dgm:constr type="primFontSz" for="des" forName="childText1_1" refType="primFontSz" refFor="des" refForName="parentText2" op="lte"/>
              <dgm:constr type="primFontSz" for="des" forName="childText1_2" refType="primFontSz" refFor="des" refForName="parentText2" op="lte"/>
              <dgm:constr type="primFontSz" for="des" forName="childText1_3" refType="primFontSz" refFor="des" refForName="parentText2" op="lte"/>
              <dgm:constr type="primFontSz" for="des" forName="childText1_4" refType="primFontSz" refFor="des" refForName="parentText2" op="lte"/>
              <dgm:constr type="primFontSz" for="des" forName="childText1_1" refType="primFontSz" refFor="des" refForName="parentText3" op="lte"/>
              <dgm:constr type="primFontSz" for="des" forName="childText1_2" refType="primFontSz" refFor="des" refForName="parentText3" op="lte"/>
              <dgm:constr type="primFontSz" for="des" forName="childText1_3" refType="primFontSz" refFor="des" refForName="parentText3" op="lte"/>
              <dgm:constr type="primFontSz" for="des" forName="childText1_4" refType="primFontSz" refFor="des" refForName="parentText3" op="lte"/>
              <dgm:constr type="primFontSz" for="des" forName="circ1Tx" refType="primFontSz" refFor="des" refForName="parentText1" op="lte"/>
              <dgm:constr type="primFontSz" for="des" forName="circ2Tx" refType="primFontSz" refFor="des" refForName="parentText1" op="lte"/>
              <dgm:constr type="primFontSz" for="des" forName="circ3Tx" refType="primFontSz" refFor="des" refForName="parentText1" op="lte"/>
              <dgm:constr type="primFontSz" for="des" forName="circ4Tx" refType="primFontSz" refFor="des" refForName="parentText1" op="lte"/>
              <dgm:constr type="primFontSz" for="des" forName="circ1Tx" refType="primFontSz" refFor="des" refForName="parentText2" op="lte"/>
              <dgm:constr type="primFontSz" for="des" forName="circ2Tx" refType="primFontSz" refFor="des" refForName="parentText2" op="lte"/>
              <dgm:constr type="primFontSz" for="des" forName="circ3Tx" refType="primFontSz" refFor="des" refForName="parentText2" op="lte"/>
              <dgm:constr type="primFontSz" for="des" forName="circ4Tx" refType="primFontSz" refFor="des" refForName="parentText2" op="lte"/>
              <dgm:constr type="primFontSz" for="des" forName="circ1Tx" refType="primFontSz" refFor="des" refForName="parentText3" op="lte"/>
              <dgm:constr type="primFontSz" for="des" forName="circ2Tx" refType="primFontSz" refFor="des" refForName="parentText3" op="lte"/>
              <dgm:constr type="primFontSz" for="des" forName="circ3Tx" refType="primFontSz" refFor="des" refForName="parentText3" op="lte"/>
              <dgm:constr type="primFontSz" for="des" forName="circ4Tx" refType="primFontSz" refFor="des" refForName="parentText3" op="lte"/>
              <dgm:constr type="primFontSz" for="des" forName="childText1_2" refType="primFontSz" refFor="des" refForName="childText1_1" op="equ"/>
              <dgm:constr type="primFontSz" for="des" forName="childText1_3" refType="primFontSz" refFor="des" refForName="childText1_1" op="equ"/>
              <dgm:constr type="primFontSz" for="des" forName="childText1_4" refType="primFontSz" refFor="des" refForName="childText1_1" op="equ"/>
              <dgm:constr type="primFontSz" for="des" forName="circ2Tx" refType="primFontSz" refFor="des" refForName="circ1Tx" op="equ"/>
              <dgm:constr type="primFontSz" for="des" forName="circ3Tx" refType="primFontSz" refFor="des" refForName="circ1Tx" op="equ"/>
              <dgm:constr type="primFontSz" for="des" forName="circ4Tx" refType="primFontSz" refFor="des" refForName="circ1Tx" op="equ"/>
              <dgm:constr type="l" for="ch" forName="leftComposite" refType="w" fact="0.592"/>
              <dgm:constr type="t" for="ch" forName="leftComposite" refType="h" fact="0.1159"/>
              <dgm:constr type="w" for="ch" forName="leftComposite" refType="w" fact="0.3469"/>
              <dgm:constr type="h" for="ch" forName="leftComposite" refType="h" fact="0.6953"/>
              <dgm:constr type="l" for="ch" forName="middleComposite" refType="w" fact="0.0941"/>
              <dgm:constr type="t" for="ch" forName="middleComposite" refType="h" fact="0.1159"/>
              <dgm:constr type="w" for="ch" forName="middleComposite" refType="w" fact="0.3389"/>
              <dgm:constr type="h" for="ch" forName="middleComposite" refType="h" fact="0.6567"/>
              <dgm:constr type="l" for="ch" forName="arc1" refType="w" fact="0"/>
              <dgm:constr type="t" for="ch" forName="arc1" refType="h" fact="0"/>
              <dgm:constr type="w" for="ch" forName="arc1" refType="w" fact="0.4928"/>
              <dgm:constr type="h" for="ch" forName="arc1" refType="h" fact="0.9357"/>
              <dgm:constr type="l" for="ch" forName="arc3" refType="w" fact="0.5072"/>
              <dgm:constr type="t" for="ch" forName="arc3" refType="h" fact="0"/>
              <dgm:constr type="w" for="ch" forName="arc3" refType="w" fact="0.4928"/>
              <dgm:constr type="h" for="ch" forName="arc3" refType="h" fact="0.9357"/>
              <dgm:constr type="l" for="ch" forName="parentText2" refType="w" fact="0.0926"/>
              <dgm:constr type="t" for="ch" forName="parentText2" refType="h" fact="0.8128"/>
              <dgm:constr type="w" for="ch" forName="parentText2" refType="w" fact="0.3742"/>
              <dgm:constr type="h" for="ch" forName="parentText2" refType="h" fact="0.1872"/>
              <dgm:constr type="l" for="ch" forName="parentText1" refType="w" fact="0.5655"/>
              <dgm:constr type="t" for="ch" forName="parentText1" refType="h" fact="0.8128"/>
              <dgm:constr type="w" for="ch" forName="parentText1" refType="w" fact="0.3742"/>
              <dgm:constr type="h" for="ch" forName="parentText1" refType="h" fact="0.1872"/>
            </dgm:constrLst>
          </dgm:else>
        </dgm:choose>
      </dgm:if>
      <dgm:else name="Name10">
        <dgm:alg type="composite">
          <dgm:param type="ar" val="0.8036"/>
        </dgm:alg>
        <dgm:constrLst>
          <dgm:constr type="primFontSz" for="des" forName="parentText1" val="65"/>
          <dgm:constr type="primFontSz" for="des" forName="childText1_1" val="65"/>
          <dgm:constr type="primFontSz" for="des" forName="childText1_1" refType="primFontSz" refFor="des" refForName="parentText1" op="lte"/>
          <dgm:constr type="primFontSz" for="des" forName="childText1_2" refType="primFontSz" refFor="des" refForName="parentText1" op="lte"/>
          <dgm:constr type="primFontSz" for="des" forName="childText1_3" refType="primFontSz" refFor="des" refForName="parentText1" op="lte"/>
          <dgm:constr type="primFontSz" for="des" forName="childText1_4" refType="primFontSz" refFor="des" refForName="parentText1" op="lte"/>
          <dgm:constr type="primFontSz" for="des" forName="childText1_1" refType="primFontSz" refFor="des" refForName="parentText2" op="lte"/>
          <dgm:constr type="primFontSz" for="des" forName="childText1_2" refType="primFontSz" refFor="des" refForName="parentText2" op="lte"/>
          <dgm:constr type="primFontSz" for="des" forName="childText1_3" refType="primFontSz" refFor="des" refForName="parentText2" op="lte"/>
          <dgm:constr type="primFontSz" for="des" forName="childText1_4" refType="primFontSz" refFor="des" refForName="parentText2" op="lte"/>
          <dgm:constr type="primFontSz" for="des" forName="childText1_1" refType="primFontSz" refFor="des" refForName="parentText3" op="lte"/>
          <dgm:constr type="primFontSz" for="des" forName="childText1_2" refType="primFontSz" refFor="des" refForName="parentText3" op="lte"/>
          <dgm:constr type="primFontSz" for="des" forName="childText1_3" refType="primFontSz" refFor="des" refForName="parentText3" op="lte"/>
          <dgm:constr type="primFontSz" for="des" forName="childText1_4" refType="primFontSz" refFor="des" refForName="parentText3" op="lte"/>
          <dgm:constr type="primFontSz" for="des" forName="childText1_2" refType="primFontSz" refFor="des" refForName="childText1_1" op="equ"/>
          <dgm:constr type="primFontSz" for="des" forName="childText1_3" refType="primFontSz" refFor="des" refForName="childText1_1" op="equ"/>
          <dgm:constr type="primFontSz" for="des" forName="childText1_4" refType="primFontSz" refFor="des" refForName="childText1_1" op="equ"/>
          <dgm:constr type="l" for="ch" forName="leftComposite" refType="w" fact="0"/>
          <dgm:constr type="t" for="ch" forName="leftComposite" refType="h" fact="0.1159"/>
          <dgm:constr type="w" for="ch" forName="leftComposite" refType="w"/>
          <dgm:constr type="h" for="ch" forName="leftComposite" refType="h" fact="0.6953"/>
          <dgm:constr type="l" for="ch" forName="parentText1" refType="w" fact="0"/>
          <dgm:constr type="t" for="ch" forName="parentText1" refType="h" fact="0.8128"/>
          <dgm:constr type="w" for="ch" forName="parentText1" refType="w"/>
          <dgm:constr type="h" for="ch" forName="parentText1" refType="h" fact="0.1872"/>
        </dgm:constrLst>
      </dgm:else>
    </dgm:choose>
    <dgm:choose name="Name11">
      <dgm:if name="Name12" axis="ch" ptType="node" func="cnt" op="gte" val="1">
        <dgm:choose name="Name13">
          <dgm:if name="Name14" axis="ch" ptType="node" func="cnt" op="gte" val="2">
            <dgm:layoutNode name="arc1">
              <dgm:alg type="sp"/>
              <dgm:shape xmlns:r="http://schemas.openxmlformats.org/officeDocument/2006/relationships" rot="90" type="blockArc" r:blip="">
                <dgm:adjLst>
                  <dgm:adj idx="1" val="-135"/>
                  <dgm:adj idx="2" val="-45"/>
                  <dgm:adj idx="3" val="0.0496"/>
                </dgm:adjLst>
              </dgm:shape>
              <dgm:presOf/>
            </dgm:layoutNode>
            <dgm:layoutNode name="arc3">
              <dgm:alg type="sp"/>
              <dgm:shape xmlns:r="http://schemas.openxmlformats.org/officeDocument/2006/relationships" rot="270" type="blockArc" r:blip="">
                <dgm:adjLst>
                  <dgm:adj idx="1" val="-135"/>
                  <dgm:adj idx="2" val="-45"/>
                  <dgm:adj idx="3" val="0.0496"/>
                </dgm:adjLst>
              </dgm:shape>
              <dgm:presOf/>
            </dgm:layoutNode>
            <dgm:layoutNode name="parentText2" styleLbl="revTx">
              <dgm:varLst>
                <dgm:chMax val="4"/>
                <dgm:chPref val="3"/>
                <dgm:bulletEnabled val="1"/>
              </dgm:varLst>
              <dgm:alg type="tx"/>
              <dgm:shape xmlns:r="http://schemas.openxmlformats.org/officeDocument/2006/relationships" type="rect" r:blip="">
                <dgm:adjLst/>
              </dgm:shape>
              <dgm:presOf axis="ch 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5"/>
        </dgm:choose>
        <dgm:choose name="Name16">
          <dgm:if name="Name17" axis="ch" ptType="node" func="cnt" op="gte" val="3">
            <dgm:layoutNode name="arc2">
              <dgm:alg type="sp"/>
              <dgm:shape xmlns:r="http://schemas.openxmlformats.org/officeDocument/2006/relationships" rot="90" type="blockArc" r:blip="">
                <dgm:adjLst>
                  <dgm:adj idx="1" val="-135"/>
                  <dgm:adj idx="2" val="-45"/>
                  <dgm:adj idx="3" val="0.0496"/>
                </dgm:adjLst>
              </dgm:shape>
              <dgm:presOf/>
            </dgm:layoutNode>
            <dgm:layoutNode name="arc4">
              <dgm:alg type="sp"/>
              <dgm:shape xmlns:r="http://schemas.openxmlformats.org/officeDocument/2006/relationships" rot="270" type="blockArc" r:blip="">
                <dgm:adjLst>
                  <dgm:adj idx="1" val="-135"/>
                  <dgm:adj idx="2" val="-45"/>
                  <dgm:adj idx="3" val="0.0496"/>
                </dgm:adjLst>
              </dgm:shape>
              <dgm:presOf/>
            </dgm:layoutNode>
            <dgm:layoutNode name="parentText3" styleLbl="revTx">
              <dgm:varLst>
                <dgm:chMax val="1"/>
                <dgm:chPref val="1"/>
                <dgm:bulletEnabled val="1"/>
              </dgm:varLst>
              <dgm:alg type="tx"/>
              <dgm:shape xmlns:r="http://schemas.openxmlformats.org/officeDocument/2006/relationships" type="rect" r:blip="">
                <dgm:adjLst/>
              </dgm:shape>
              <dgm:presOf axis="ch 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8"/>
        </dgm:choose>
      </dgm:if>
      <dgm:else name="Name19"/>
    </dgm:choose>
    <dgm:layoutNode name="middleComposite">
      <dgm:choose name="Name20">
        <dgm:if name="Name21" axis="ch ch" ptType="node node" st="2 1" cnt="1 0" func="cnt" op="lte" val="1">
          <dgm:alg type="composite">
            <dgm:param type="ar" val="1"/>
          </dgm:alg>
        </dgm:if>
        <dgm:if name="Name22" axis="ch ch" ptType="node node" st="2 1" cnt="1 0" func="cnt" op="equ" val="2">
          <dgm:alg type="composite">
            <dgm:param type="ar" val="1.792"/>
          </dgm:alg>
        </dgm:if>
        <dgm:if name="Name23" axis="ch ch" ptType="node node" st="2 1" cnt="1 0" func="cnt" op="equ" val="3">
          <dgm:alg type="composite">
            <dgm:param type="ar" val="1"/>
          </dgm:alg>
        </dgm:if>
        <dgm:else name="Name24">
          <dgm:alg type="composite">
            <dgm:param type="ar" val="1"/>
          </dgm:alg>
        </dgm:else>
      </dgm:choose>
      <dgm:shape xmlns:r="http://schemas.openxmlformats.org/officeDocument/2006/relationships" r:blip="">
        <dgm:adjLst/>
      </dgm:shape>
      <dgm:presOf/>
      <dgm:choose name="Name25">
        <dgm:if name="Name26" axis="ch ch" ptType="node node" st="2 1" cnt="1 0" func="cnt" op="lte" val="1">
          <dgm:constrLst>
            <dgm:constr type="ctrX" for="ch" forName="circ1" refType="w" fact="0.5"/>
            <dgm:constr type="ctrY" for="ch" forName="circ1" refType="h" fact="0.5"/>
            <dgm:constr type="w" for="ch" forName="circ1" refType="w"/>
            <dgm:constr type="h" for="ch" forName="circ1" refType="h"/>
            <dgm:constr type="l" for="ch" forName="circ1Tx" refType="w" fact="0.2"/>
            <dgm:constr type="t" for="ch" forName="circ1Tx" refType="h" fact="0.1"/>
            <dgm:constr type="w" for="ch" forName="circ1Tx" refType="w" fact="0.6"/>
            <dgm:constr type="h" for="ch" forName="circ1Tx" refType="h" fact="0.8"/>
          </dgm:constrLst>
        </dgm:if>
        <dgm:if name="Name27" axis="ch ch" ptType="node node" st="2 1" cnt="1 0"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Lst>
        </dgm:if>
        <dgm:if name="Name28" axis="ch ch" ptType="node node" st="2 1" cnt="1 0"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Lst>
        </dgm:if>
        <dgm:else name="Name29">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Lst>
        </dgm:else>
      </dgm:choose>
      <dgm:ruleLst/>
      <dgm:forEach name="Name30" axis="ch ch" ptType="node node" st="2 1" cnt="1 1">
        <dgm:layoutNode name="circ1" styleLbl="vennNode1">
          <dgm:alg type="sp"/>
          <dgm:shape xmlns:r="http://schemas.openxmlformats.org/officeDocument/2006/relationships" type="ellipse" r:blip="">
            <dgm:adjLst/>
          </dgm:shape>
          <dgm:presOf axis="desOrSelf" ptType="node"/>
          <dgm:constrLst/>
          <dgm:ruleLst/>
        </dgm:layoutNode>
        <dgm:layoutNode name="circ1Tx" styleLbl="revTx">
          <dgm:varLst>
            <dgm:chMax val="0"/>
            <dgm:chPref val="0"/>
          </dgm:varLst>
          <dgm:alg type="tx">
            <dgm:param type="txAnchorHorzCh" val="ctr"/>
            <dgm:param type="txAnchorVertCh" val="mid"/>
          </dgm:alg>
          <dgm:shape xmlns:r="http://schemas.openxmlformats.org/officeDocument/2006/relationships" type="rect" r:blip="" hideGeom="1">
            <dgm:adjLst/>
          </dgm:shape>
          <dgm:presOf axis="desOrSelf" ptType="node"/>
          <dgm:constrLst>
            <dgm:constr type="tMarg"/>
            <dgm:constr type="bMarg"/>
            <dgm:constr type="lMarg"/>
            <dgm:constr type="rMarg"/>
            <dgm:constr type="primFontSz" val="20"/>
          </dgm:constrLst>
          <dgm:ruleLst>
            <dgm:rule type="primFontSz" val="5" fact="NaN" max="NaN"/>
          </dgm:ruleLst>
        </dgm:layoutNode>
      </dgm:forEach>
      <dgm:forEach name="Name31" axis="ch ch" ptType="node node" st="2 2" cnt="1 1">
        <dgm:layoutNode name="circ2" styleLbl="vennNode1">
          <dgm:alg type="sp"/>
          <dgm:shape xmlns:r="http://schemas.openxmlformats.org/officeDocument/2006/relationships" type="ellipse" r:blip="">
            <dgm:adjLst/>
          </dgm:shape>
          <dgm:presOf axis="desOrSelf" ptType="node"/>
          <dgm:constrLst/>
          <dgm:ruleLst/>
        </dgm:layoutNode>
        <dgm:layoutNode name="circ2Tx" styleLbl="revTx">
          <dgm:varLst>
            <dgm:chMax val="0"/>
            <dgm:chPref val="0"/>
          </dgm:varLst>
          <dgm:alg type="tx">
            <dgm:param type="txAnchorHorzCh" val="ctr"/>
            <dgm:param type="txAnchorVertCh" val="mid"/>
          </dgm:alg>
          <dgm:shape xmlns:r="http://schemas.openxmlformats.org/officeDocument/2006/relationships" type="rect" r:blip="" hideGeom="1">
            <dgm:adjLst/>
          </dgm:shape>
          <dgm:presOf axis="desOrSelf" ptType="node"/>
          <dgm:constrLst>
            <dgm:constr type="tMarg"/>
            <dgm:constr type="bMarg"/>
            <dgm:constr type="lMarg"/>
            <dgm:constr type="rMarg"/>
            <dgm:constr type="primFontSz" val="20"/>
          </dgm:constrLst>
          <dgm:ruleLst>
            <dgm:rule type="primFontSz" val="5" fact="NaN" max="NaN"/>
          </dgm:ruleLst>
        </dgm:layoutNode>
      </dgm:forEach>
      <dgm:forEach name="Name32" axis="ch ch" ptType="node node" st="2 3" cnt="1 1">
        <dgm:layoutNode name="circ3" styleLbl="vennNode1">
          <dgm:alg type="sp"/>
          <dgm:shape xmlns:r="http://schemas.openxmlformats.org/officeDocument/2006/relationships" type="ellipse" r:blip="">
            <dgm:adjLst/>
          </dgm:shape>
          <dgm:presOf axis="desOrSelf" ptType="node"/>
          <dgm:constrLst/>
          <dgm:ruleLst/>
        </dgm:layoutNode>
        <dgm:layoutNode name="circ3Tx" styleLbl="revTx">
          <dgm:varLst>
            <dgm:chMax val="0"/>
            <dgm:chPref val="0"/>
          </dgm:varLst>
          <dgm:alg type="tx">
            <dgm:param type="txAnchorHorzCh" val="ctr"/>
            <dgm:param type="txAnchorVertCh" val="mid"/>
          </dgm:alg>
          <dgm:shape xmlns:r="http://schemas.openxmlformats.org/officeDocument/2006/relationships" type="rect" r:blip="" hideGeom="1">
            <dgm:adjLst/>
          </dgm:shape>
          <dgm:presOf axis="desOrSelf" ptType="node"/>
          <dgm:constrLst>
            <dgm:constr type="tMarg"/>
            <dgm:constr type="bMarg"/>
            <dgm:constr type="lMarg"/>
            <dgm:constr type="rMarg"/>
            <dgm:constr type="primFontSz" val="20"/>
          </dgm:constrLst>
          <dgm:ruleLst>
            <dgm:rule type="primFontSz" val="5" fact="NaN" max="NaN"/>
          </dgm:ruleLst>
        </dgm:layoutNode>
      </dgm:forEach>
      <dgm:forEach name="Name33" axis="ch ch" ptType="node node" st="2 4" cnt="1 1">
        <dgm:layoutNode name="circ4" styleLbl="vennNode1">
          <dgm:alg type="sp"/>
          <dgm:shape xmlns:r="http://schemas.openxmlformats.org/officeDocument/2006/relationships" type="ellipse" r:blip="">
            <dgm:adjLst/>
          </dgm:shape>
          <dgm:presOf axis="desOrSelf" ptType="nod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presOf axis="desOrSelf" ptType="node"/>
          <dgm:constrLst>
            <dgm:constr type="tMarg"/>
            <dgm:constr type="bMarg"/>
            <dgm:constr type="lMarg"/>
            <dgm:constr type="rMarg"/>
            <dgm:constr type="primFontSz" val="20"/>
          </dgm:constrLst>
          <dgm:ruleLst>
            <dgm:rule type="primFontSz" val="5" fact="NaN" max="NaN"/>
          </dgm:ruleLst>
        </dgm:layoutNode>
      </dgm:forEach>
    </dgm:layoutNode>
    <dgm:layoutNode name="leftComposite">
      <dgm:choose name="Name34">
        <dgm:if name="Name35" axis="ch ch" ptType="node node" st="1 1" cnt="1 0" func="cnt" op="lte" val="1">
          <dgm:alg type="composite">
            <dgm:param type="ar" val="1.3085"/>
          </dgm:alg>
          <dgm:constrLst>
            <dgm:constr type="l" for="ch" forName="childText1_1" refType="w" fact="0.2124"/>
            <dgm:constr type="t" for="ch" forName="childText1_1" refType="h" fact="0"/>
            <dgm:constr type="w" for="ch" forName="childText1_1" refType="w" fact="0.5759"/>
            <dgm:constr type="h" for="ch" forName="childText1_1" refType="h" fact="0.7535"/>
            <dgm:constr type="l" for="ch" forName="ellipse1" refType="w" fact="0"/>
            <dgm:constr type="t" for="ch" forName="ellipse1" refType="h" fact="0.63"/>
            <dgm:constr type="w" for="ch" forName="ellipse1" refType="w" fact="0.2828"/>
            <dgm:constr type="h" for="ch" forName="ellipse1" refType="h" fact="0.37"/>
            <dgm:constr type="l" for="ch" forName="ellipse2" refType="w" fact="0.82"/>
            <dgm:constr type="t" for="ch" forName="ellipse2" refType="h" fact="0.17"/>
            <dgm:constr type="w" for="ch" forName="ellipse2" refType="w" fact="0.1645"/>
            <dgm:constr type="h" for="ch" forName="ellipse2" refType="h" fact="0.2153"/>
          </dgm:constrLst>
        </dgm:if>
        <dgm:if name="Name36" axis="ch ch" ptType="node node" st="1 1" cnt="1 0" func="cnt" op="equ" val="2">
          <dgm:alg type="composite">
            <dgm:param type="ar" val="0.8917"/>
          </dgm:alg>
          <dgm:constrLst>
            <dgm:constr type="l" for="ch" forName="childText1_1" refType="w" fact="0.1864"/>
            <dgm:constr type="t" for="ch" forName="childText1_1" refType="h" fact="0"/>
            <dgm:constr type="w" for="ch" forName="childText1_1" refType="w" fact="0.5055"/>
            <dgm:constr type="h" for="ch" forName="childText1_1" refType="h" fact="0.4507"/>
            <dgm:constr type="l" for="ch" forName="childText1_2" refType="w" fact="0.4945"/>
            <dgm:constr type="t" for="ch" forName="childText1_2" refType="h" fact="0.3929"/>
            <dgm:constr type="w" for="ch" forName="childText1_2" refType="w" fact="0.5055"/>
            <dgm:constr type="h" for="ch" forName="childText1_2" refType="h" fact="0.4507"/>
            <dgm:constr type="l" for="ch" forName="ellipse1" refType="w" fact="0"/>
            <dgm:constr type="t" for="ch" forName="ellipse1" refType="h" fact="0.3768"/>
            <dgm:constr type="w" for="ch" forName="ellipse1" refType="w" fact="0.2482"/>
            <dgm:constr type="h" for="ch" forName="ellipse1" refType="h" fact="0.2213"/>
            <dgm:constr type="l" for="ch" forName="ellipse3" refType="w" fact="0.5474"/>
            <dgm:constr type="t" for="ch" forName="ellipse3" refType="h" fact="0.8712"/>
            <dgm:constr type="w" for="ch" forName="ellipse3" refType="w" fact="0.1444"/>
            <dgm:constr type="h" for="ch" forName="ellipse3" refType="h" fact="0.1288"/>
            <dgm:constr type="l" for="ch" forName="ellipse2" refType="w" fact="0.7333"/>
            <dgm:constr type="t" for="ch" forName="ellipse2" refType="h" fact="0.0887"/>
            <dgm:constr type="w" for="ch" forName="ellipse2" refType="w" fact="0.1444"/>
            <dgm:constr type="h" for="ch" forName="ellipse2" refType="h" fact="0.1288"/>
          </dgm:constrLst>
        </dgm:if>
        <dgm:if name="Name37" axis="ch ch" ptType="node node" st="1 1" cnt="1 0" func="cnt" op="equ" val="3">
          <dgm:alg type="composite">
            <dgm:param type="ar" val="1.0811"/>
          </dgm:alg>
          <dgm:constrLst>
            <dgm:constr type="l" for="ch" forName="childText1_3" refType="w" fact="0.1649"/>
            <dgm:constr type="t" for="ch" forName="childText1_3" refType="h" fact="0.5389"/>
            <dgm:constr type="w" for="ch" forName="childText1_3" refType="w" fact="0.4265"/>
            <dgm:constr type="h" for="ch" forName="childText1_3" refType="h" fact="0.4611"/>
            <dgm:constr type="l" for="ch" forName="childText1_1" refType="w" fact="0.1573"/>
            <dgm:constr type="t" for="ch" forName="childText1_1" refType="h" fact="0"/>
            <dgm:constr type="w" for="ch" forName="childText1_1" refType="w" fact="0.4265"/>
            <dgm:constr type="h" for="ch" forName="childText1_1" refType="h" fact="0.4611"/>
            <dgm:constr type="l" for="ch" forName="childText1_2" refType="w" fact="0.5735"/>
            <dgm:constr type="t" for="ch" forName="childText1_2" refType="h" fact="0.2754"/>
            <dgm:constr type="w" for="ch" forName="childText1_2" refType="w" fact="0.4265"/>
            <dgm:constr type="h" for="ch" forName="childText1_2" refType="h" fact="0.4611"/>
            <dgm:constr type="l" for="ch" forName="ellipse1" refType="w" fact="0"/>
            <dgm:constr type="t" for="ch" forName="ellipse1" refType="h" fact="0.3855"/>
            <dgm:constr type="w" for="ch" forName="ellipse1" refType="w" fact="0.2095"/>
            <dgm:constr type="h" for="ch" forName="ellipse1" refType="h" fact="0.2264"/>
            <dgm:constr type="l" for="ch" forName="ellipse3" refType="w" fact="0.6181"/>
            <dgm:constr type="t" for="ch" forName="ellipse3" refType="h" fact="0.7647"/>
            <dgm:constr type="w" for="ch" forName="ellipse3" refType="w" fact="0.1219"/>
            <dgm:constr type="h" for="ch" forName="ellipse3" refType="h" fact="0.1317"/>
            <dgm:constr type="l" for="ch" forName="ellipse2" refType="w" fact="0.6188"/>
            <dgm:constr type="t" for="ch" forName="ellipse2" refType="h" fact="0.0907"/>
            <dgm:constr type="w" for="ch" forName="ellipse2" refType="w" fact="0.1219"/>
            <dgm:constr type="h" for="ch" forName="ellipse2" refType="h" fact="0.1317"/>
          </dgm:constrLst>
        </dgm:if>
        <dgm:else name="Name38">
          <dgm:alg type="composite">
            <dgm:param type="ar" val="0.9472"/>
          </dgm:alg>
          <dgm:constrLst>
            <dgm:constr type="l" for="ch" forName="childText1_3" refType="w" fact="0"/>
            <dgm:constr type="t" for="ch" forName="childText1_3" refType="h" fact="0.6035"/>
            <dgm:constr type="w" for="ch" forName="childText1_3" refType="w" fact="0.4186"/>
            <dgm:constr type="h" for="ch" forName="childText1_3" refType="h" fact="0.3965"/>
            <dgm:constr type="l" for="ch" forName="childText1_1" refType="w" fact="0.0981"/>
            <dgm:constr type="t" for="ch" forName="childText1_1" refType="h" fact="0"/>
            <dgm:constr type="w" for="ch" forName="childText1_1" refType="w" fact="0.4186"/>
            <dgm:constr type="h" for="ch" forName="childText1_1" refType="h" fact="0.3965"/>
            <dgm:constr type="l" for="ch" forName="childText1_2" refType="w" fact="0.5385"/>
            <dgm:constr type="t" for="ch" forName="childText1_2" refType="h" fact="0.1304"/>
            <dgm:constr type="w" for="ch" forName="childText1_2" refType="w" fact="0.4186"/>
            <dgm:constr type="h" for="ch" forName="childText1_2" refType="h" fact="0.3965"/>
            <dgm:constr type="l" for="ch" forName="ellipse4" refType="w" fact="0.3222"/>
            <dgm:constr type="t" for="ch" forName="ellipse4" refType="h" fact="0.4232"/>
            <dgm:constr type="w" for="ch" forName="ellipse4" refType="w" fact="0.2056"/>
            <dgm:constr type="h" for="ch" forName="ellipse4" refType="h" fact="0.1947"/>
            <dgm:constr type="l" for="ch" forName="ellipse1" refType="w" fact="0.1489"/>
            <dgm:constr type="t" for="ch" forName="ellipse1" refType="h" fact="0.4502"/>
            <dgm:constr type="w" for="ch" forName="ellipse1" refType="w" fact="0.1196"/>
            <dgm:constr type="h" for="ch" forName="ellipse1" refType="h" fact="0.1133"/>
            <dgm:constr type="l" for="ch" forName="ellipse2" refType="w" fact="0.5384"/>
            <dgm:constr type="t" for="ch" forName="ellipse2" refType="h" fact="0.0124"/>
            <dgm:constr type="w" for="ch" forName="ellipse2" refType="w" fact="0.1196"/>
            <dgm:constr type="h" for="ch" forName="ellipse2" refType="h" fact="0.1133"/>
            <dgm:constr type="l" for="ch" forName="childText1_4" refType="w" fact="0.4625"/>
            <dgm:constr type="t" for="ch" forName="childText1_4" refType="h" fact="0.5719"/>
            <dgm:constr type="w" for="ch" forName="childText1_4" refType="w" fact="0.4186"/>
            <dgm:constr type="h" for="ch" forName="childText1_4" refType="h" fact="0.3965"/>
            <dgm:constr type="l" for="ch" forName="ellipse3" refType="w" fact="0.8804"/>
            <dgm:constr type="t" for="ch" forName="ellipse3" refType="h" fact="0.5329"/>
            <dgm:constr type="w" for="ch" forName="ellipse3" refType="w" fact="0.1196"/>
            <dgm:constr type="h" for="ch" forName="ellipse3" refType="h" fact="0.1133"/>
            <dgm:constr type="l" for="ch" forName="ellipse5" refType="w" fact="0.0146"/>
            <dgm:constr type="t" for="ch" forName="ellipse5" refType="h" fact="0.5228"/>
            <dgm:constr type="w" for="ch" forName="ellipse5" refType="w" fact="0.0899"/>
            <dgm:constr type="h" for="ch" forName="ellipse5" refType="h" fact="0.0851"/>
          </dgm:constrLst>
        </dgm:else>
      </dgm:choose>
      <dgm:forEach name="Name39" axis="ch ch" ptType="node node" st="1 1" cnt="1 1">
        <dgm:layoutNode name="childText1_1" styleLbl="vennNode1">
          <dgm:varLst>
            <dgm:chMax val="0"/>
            <dgm:chPref val="0"/>
          </dgm:varLst>
          <dgm:alg type="tx"/>
          <dgm:shape xmlns:r="http://schemas.openxmlformats.org/officeDocument/2006/relationships" type="ellipse"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ellipse1" styleLbl="vennNode1">
          <dgm:alg type="sp"/>
          <dgm:shape xmlns:r="http://schemas.openxmlformats.org/officeDocument/2006/relationships" type="ellipse" r:blip="">
            <dgm:adjLst/>
          </dgm:shape>
          <dgm:presOf/>
        </dgm:layoutNode>
        <dgm:layoutNode name="ellipse2" styleLbl="vennNode1">
          <dgm:alg type="sp"/>
          <dgm:shape xmlns:r="http://schemas.openxmlformats.org/officeDocument/2006/relationships" type="ellipse" r:blip="">
            <dgm:adjLst/>
          </dgm:shape>
          <dgm:presOf/>
        </dgm:layoutNode>
      </dgm:forEach>
      <dgm:forEach name="Name40" axis="ch ch" ptType="node node" st="1 2" cnt="1 1">
        <dgm:layoutNode name="childText1_2" styleLbl="vennNode1">
          <dgm:varLst>
            <dgm:chMax val="0"/>
            <dgm:chPref val="0"/>
          </dgm:varLst>
          <dgm:alg type="tx"/>
          <dgm:shape xmlns:r="http://schemas.openxmlformats.org/officeDocument/2006/relationships" type="ellipse"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ellipse3" styleLbl="vennNode1">
          <dgm:alg type="sp"/>
          <dgm:shape xmlns:r="http://schemas.openxmlformats.org/officeDocument/2006/relationships" type="ellipse" r:blip="">
            <dgm:adjLst/>
          </dgm:shape>
          <dgm:presOf/>
        </dgm:layoutNode>
      </dgm:forEach>
      <dgm:forEach name="Name41" axis="ch ch" ptType="node node" st="1 3" cnt="1 1">
        <dgm:layoutNode name="childText1_3" styleLbl="vennNode1">
          <dgm:varLst>
            <dgm:chMax val="0"/>
            <dgm:chPref val="0"/>
          </dgm:varLst>
          <dgm:alg type="tx"/>
          <dgm:shape xmlns:r="http://schemas.openxmlformats.org/officeDocument/2006/relationships" type="ellipse"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forEach name="Name42" axis="ch ch" ptType="node node" st="1 4" cnt="1 1">
        <dgm:layoutNode name="childText1_4" styleLbl="vennNode1">
          <dgm:varLst>
            <dgm:chMax val="0"/>
            <dgm:chPref val="0"/>
          </dgm:varLst>
          <dgm:alg type="tx"/>
          <dgm:shape xmlns:r="http://schemas.openxmlformats.org/officeDocument/2006/relationships" type="ellipse"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ellipse4" styleLbl="vennNode1">
          <dgm:alg type="sp"/>
          <dgm:shape xmlns:r="http://schemas.openxmlformats.org/officeDocument/2006/relationships" type="ellipse" r:blip="">
            <dgm:adjLst/>
          </dgm:shape>
          <dgm:presOf/>
        </dgm:layoutNode>
        <dgm:layoutNode name="ellipse5" styleLbl="vennNode1">
          <dgm:alg type="sp"/>
          <dgm:shape xmlns:r="http://schemas.openxmlformats.org/officeDocument/2006/relationships" type="ellipse" r:blip="">
            <dgm:adjLst/>
          </dgm:shape>
          <dgm:presOf/>
        </dgm:layoutNode>
      </dgm:forEach>
    </dgm:layoutNode>
    <dgm:choose name="Name43">
      <dgm:if name="Name44" axis="ch ch" ptType="node node" st="3 1" cnt="1 0" func="cnt" op="gte" val="1">
        <dgm:layoutNode name="rightChild">
          <dgm:varLst>
            <dgm:chMax val="0"/>
            <dgm:chPref val="0"/>
          </dgm:varLst>
          <dgm:alg type="tx"/>
          <dgm:shape xmlns:r="http://schemas.openxmlformats.org/officeDocument/2006/relationships" type="ellipse" r:blip="">
            <dgm:adjLst/>
          </dgm:shape>
          <dgm:presOf axis="ch des"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5"/>
    </dgm:choose>
    <dgm:layoutNode name="parentText1" styleLbl="revTx">
      <dgm:varLst>
        <dgm:chMax val="4"/>
        <dgm:chPref val="3"/>
        <dgm:bulletEnabled val="1"/>
      </dgm:varLst>
      <dgm:alg type="tx"/>
      <dgm:shape xmlns:r="http://schemas.openxmlformats.org/officeDocument/2006/relationships" type="rect" r:blip="">
        <dgm:adjLst/>
      </dgm:shape>
      <dgm:presOf axis="ch 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b24b12-d7e5-4e46-9c82-4aaab35e0d6e">
      <Terms xmlns="http://schemas.microsoft.com/office/infopath/2007/PartnerControls"/>
    </lcf76f155ced4ddcb4097134ff3c332f>
    <TaxCatchAll xmlns="3989381d-8515-4919-a331-87c58876b4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5BDFC38CAB204A81EF7F1CD8A60BE2" ma:contentTypeVersion="19" ma:contentTypeDescription="Create a new document." ma:contentTypeScope="" ma:versionID="eca4d96cf0b1a1630ad878845bbd8621">
  <xsd:schema xmlns:xsd="http://www.w3.org/2001/XMLSchema" xmlns:xs="http://www.w3.org/2001/XMLSchema" xmlns:p="http://schemas.microsoft.com/office/2006/metadata/properties" xmlns:ns2="f9b24b12-d7e5-4e46-9c82-4aaab35e0d6e" xmlns:ns3="3989381d-8515-4919-a331-87c58876b42f" targetNamespace="http://schemas.microsoft.com/office/2006/metadata/properties" ma:root="true" ma:fieldsID="ab6206069806ec4af3d76f3318918b22" ns2:_="" ns3:_="">
    <xsd:import namespace="f9b24b12-d7e5-4e46-9c82-4aaab35e0d6e"/>
    <xsd:import namespace="3989381d-8515-4919-a331-87c58876b4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24b12-d7e5-4e46-9c82-4aaab35e0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9381d-8515-4919-a331-87c58876b4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f32f57-2ef6-442f-891f-30c7a1aa59f3}" ma:internalName="TaxCatchAll" ma:showField="CatchAllData" ma:web="3989381d-8515-4919-a331-87c58876b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72A9A-38E7-47D0-BBD3-80DB85C9EE07}">
  <ds:schemaRefs>
    <ds:schemaRef ds:uri="http://schemas.microsoft.com/office/2006/metadata/properties"/>
    <ds:schemaRef ds:uri="http://schemas.microsoft.com/office/infopath/2007/PartnerControls"/>
    <ds:schemaRef ds:uri="f9b24b12-d7e5-4e46-9c82-4aaab35e0d6e"/>
    <ds:schemaRef ds:uri="3989381d-8515-4919-a331-87c58876b42f"/>
  </ds:schemaRefs>
</ds:datastoreItem>
</file>

<file path=customXml/itemProps2.xml><?xml version="1.0" encoding="utf-8"?>
<ds:datastoreItem xmlns:ds="http://schemas.openxmlformats.org/officeDocument/2006/customXml" ds:itemID="{393B09CE-15F6-48B5-91CF-E5C79F0DE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b24b12-d7e5-4e46-9c82-4aaab35e0d6e"/>
    <ds:schemaRef ds:uri="3989381d-8515-4919-a331-87c58876b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720E2-2323-40DB-9068-A1BFD5DF11F2}">
  <ds:schemaRefs>
    <ds:schemaRef ds:uri="http://schemas.microsoft.com/sharepoint/v3/contenttype/forms"/>
  </ds:schemaRefs>
</ds:datastoreItem>
</file>

<file path=customXml/itemProps4.xml><?xml version="1.0" encoding="utf-8"?>
<ds:datastoreItem xmlns:ds="http://schemas.openxmlformats.org/officeDocument/2006/customXml" ds:itemID="{32930336-44B9-44DE-A735-095190043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344</Pages>
  <Words>131615</Words>
  <Characters>750208</Characters>
  <Application>Microsoft Office Word</Application>
  <DocSecurity>0</DocSecurity>
  <Lines>6251</Lines>
  <Paragraphs>1760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Ilić</dc:creator>
  <cp:keywords/>
  <dc:description/>
  <cp:lastModifiedBy>Ivana Vojinović</cp:lastModifiedBy>
  <cp:revision>2</cp:revision>
  <cp:lastPrinted>2026-07-29T13:24:00Z</cp:lastPrinted>
  <dcterms:created xsi:type="dcterms:W3CDTF">2026-08-03T09:38:00Z</dcterms:created>
  <dcterms:modified xsi:type="dcterms:W3CDTF">2026-08-03T09:38:00Z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0x010100E95BDFC38CAB204A81EF7F1CD8A60BE2</vt:lpwstr>
  </property>
  <property fmtid="{D5CDD505-2E9C-101B-9397-08002B2CF9AE}" pid="3" name="MediaServiceImageTags">
    <vt:lpwstr/>
  </property>
  <property fmtid="{D5CDD505-2E9C-101B-9397-08002B2CF9AE}" pid="4" name="GrammarlyDocumentId">
    <vt:lpwstr>15ed8b16-4de8-4323-9fb0-963994175f24</vt:lpwstr>
  </property>
  <property fmtid="{D5CDD505-2E9C-101B-9397-08002B2CF9AE}" pid="5" name="lcf76f155ced4ddcb4097134ff3c332f">
    <vt:lpwstr/>
  </property>
  <property fmtid="{D5CDD505-2E9C-101B-9397-08002B2CF9AE}" pid="6" name="TaxCatchAll">
    <vt:lpwstr/>
  </property>
</Properties>
</file>